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DEBB8" w14:textId="77777777" w:rsidR="00ED2FC5" w:rsidRPr="005869AB" w:rsidRDefault="00ED2FC5" w:rsidP="006F3A1F">
      <w:pPr>
        <w:suppressAutoHyphens w:val="0"/>
        <w:spacing w:line="360" w:lineRule="auto"/>
        <w:ind w:left="569" w:right="42" w:hangingChars="236" w:hanging="569"/>
        <w:jc w:val="center"/>
        <w:rPr>
          <w:rFonts w:cs="Arial"/>
          <w:b/>
        </w:rPr>
      </w:pPr>
      <w:r w:rsidRPr="005869AB">
        <w:rPr>
          <w:rFonts w:cs="Arial"/>
          <w:b/>
        </w:rPr>
        <w:t>REPUBLIC OF SOUTH AFRICA</w:t>
      </w:r>
    </w:p>
    <w:p w14:paraId="5BDDEBB9" w14:textId="77777777" w:rsidR="00ED2FC5" w:rsidRPr="005869AB" w:rsidRDefault="00ED2FC5" w:rsidP="006F3A1F">
      <w:pPr>
        <w:suppressAutoHyphens w:val="0"/>
        <w:spacing w:line="360" w:lineRule="auto"/>
        <w:ind w:left="569" w:right="42" w:hangingChars="236" w:hanging="569"/>
        <w:jc w:val="center"/>
        <w:rPr>
          <w:rFonts w:cs="Arial"/>
        </w:rPr>
      </w:pPr>
      <w:r w:rsidRPr="005869AB">
        <w:rPr>
          <w:rFonts w:cs="Arial"/>
          <w:b/>
          <w:noProof/>
          <w:lang w:val="en-ZA" w:eastAsia="en-ZA"/>
        </w:rPr>
        <w:drawing>
          <wp:inline distT="0" distB="0" distL="0" distR="0" wp14:anchorId="5BDDEC4E" wp14:editId="5BDDEC4F">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BDDEBBA" w14:textId="77777777" w:rsidR="00ED2FC5" w:rsidRPr="005869AB" w:rsidRDefault="00ED2FC5" w:rsidP="006F3A1F">
      <w:pPr>
        <w:suppressAutoHyphens w:val="0"/>
        <w:ind w:left="569" w:right="42" w:hangingChars="236" w:hanging="569"/>
        <w:jc w:val="center"/>
        <w:rPr>
          <w:rFonts w:cs="Arial"/>
          <w:b/>
        </w:rPr>
      </w:pPr>
      <w:r w:rsidRPr="005869AB">
        <w:rPr>
          <w:rFonts w:cs="Arial"/>
          <w:b/>
        </w:rPr>
        <w:t>IN THE HIGH COURT OF SOUTH AFRICA</w:t>
      </w:r>
    </w:p>
    <w:p w14:paraId="492B8539" w14:textId="1F6CBB8F" w:rsidR="004D3DDD" w:rsidRDefault="002B0401" w:rsidP="004D3DDD">
      <w:pPr>
        <w:suppressAutoHyphens w:val="0"/>
        <w:ind w:left="569" w:right="42" w:hangingChars="236" w:hanging="569"/>
        <w:jc w:val="center"/>
        <w:rPr>
          <w:rFonts w:cs="Arial"/>
          <w:b/>
        </w:rPr>
      </w:pPr>
      <w:r w:rsidRPr="005869AB">
        <w:rPr>
          <w:rFonts w:cs="Arial"/>
          <w:b/>
        </w:rPr>
        <w:t>(</w:t>
      </w:r>
      <w:r w:rsidR="0045659E" w:rsidRPr="005869AB">
        <w:rPr>
          <w:rFonts w:cs="Arial"/>
          <w:b/>
        </w:rPr>
        <w:t>GAUTENG</w:t>
      </w:r>
      <w:r w:rsidR="00BB1A96">
        <w:rPr>
          <w:rFonts w:cs="Arial"/>
          <w:b/>
        </w:rPr>
        <w:t xml:space="preserve"> </w:t>
      </w:r>
      <w:r w:rsidR="00ED2FC5" w:rsidRPr="005869AB">
        <w:rPr>
          <w:rFonts w:cs="Arial"/>
          <w:b/>
        </w:rPr>
        <w:t xml:space="preserve">DIVISION, </w:t>
      </w:r>
      <w:r w:rsidR="00BB1A96">
        <w:rPr>
          <w:rFonts w:cs="Arial"/>
          <w:b/>
        </w:rPr>
        <w:t>JOHANNESBURG</w:t>
      </w:r>
      <w:r w:rsidR="009C51D8">
        <w:rPr>
          <w:rFonts w:cs="Arial"/>
          <w:b/>
        </w:rPr>
        <w:t>)</w:t>
      </w:r>
    </w:p>
    <w:p w14:paraId="5BDDEBBC" w14:textId="4399E242" w:rsidR="00F014AB" w:rsidRPr="005869AB" w:rsidRDefault="004D3DDD" w:rsidP="004D3DDD">
      <w:pPr>
        <w:tabs>
          <w:tab w:val="right" w:pos="9356"/>
        </w:tabs>
        <w:suppressAutoHyphens w:val="0"/>
        <w:ind w:left="569" w:right="42" w:hangingChars="236" w:hanging="569"/>
        <w:rPr>
          <w:rFonts w:cs="Arial"/>
          <w:b/>
        </w:rPr>
      </w:pPr>
      <w:r>
        <w:rPr>
          <w:rFonts w:cs="Arial"/>
          <w:b/>
        </w:rPr>
        <w:tab/>
      </w:r>
      <w:r>
        <w:rPr>
          <w:rFonts w:cs="Arial"/>
          <w:b/>
        </w:rPr>
        <w:tab/>
      </w:r>
    </w:p>
    <w:p w14:paraId="5BDDEBBD" w14:textId="12971DB7" w:rsidR="00ED2FC5" w:rsidRPr="005869AB" w:rsidRDefault="00ED2FC5" w:rsidP="0062238E">
      <w:pPr>
        <w:tabs>
          <w:tab w:val="right" w:pos="9356"/>
        </w:tabs>
        <w:suppressAutoHyphens w:val="0"/>
        <w:spacing w:before="240"/>
        <w:ind w:right="42"/>
        <w:rPr>
          <w:rFonts w:cs="Arial"/>
          <w:b/>
        </w:rPr>
      </w:pPr>
      <w:r w:rsidRPr="005869AB">
        <w:rPr>
          <w:rFonts w:cs="Arial"/>
          <w:b/>
          <w:noProof/>
          <w:lang w:val="en-ZA" w:eastAsia="en-ZA"/>
        </w:rPr>
        <mc:AlternateContent>
          <mc:Choice Requires="wps">
            <w:drawing>
              <wp:anchor distT="0" distB="0" distL="114300" distR="114300" simplePos="0" relativeHeight="251659264" behindDoc="0" locked="0" layoutInCell="1" allowOverlap="1" wp14:anchorId="5BDDEC50" wp14:editId="5BDDEC51">
                <wp:simplePos x="0" y="0"/>
                <wp:positionH relativeFrom="column">
                  <wp:posOffset>55289</wp:posOffset>
                </wp:positionH>
                <wp:positionV relativeFrom="paragraph">
                  <wp:posOffset>112380</wp:posOffset>
                </wp:positionV>
                <wp:extent cx="3232785" cy="1394992"/>
                <wp:effectExtent l="0" t="0" r="247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94992"/>
                        </a:xfrm>
                        <a:prstGeom prst="rect">
                          <a:avLst/>
                        </a:prstGeom>
                        <a:solidFill>
                          <a:srgbClr val="FFFFFF"/>
                        </a:solidFill>
                        <a:ln w="9525">
                          <a:solidFill>
                            <a:srgbClr val="000000"/>
                          </a:solidFill>
                          <a:miter lim="800000"/>
                          <a:headEnd/>
                          <a:tailEnd/>
                        </a:ln>
                      </wps:spPr>
                      <wps:txbx>
                        <w:txbxContent>
                          <w:p w14:paraId="5BDDEC6C" w14:textId="77777777" w:rsidR="00B32045" w:rsidRDefault="00B32045" w:rsidP="00ED2FC5">
                            <w:pPr>
                              <w:jc w:val="center"/>
                              <w:rPr>
                                <w:rFonts w:ascii="Century Gothic" w:hAnsi="Century Gothic"/>
                                <w:b/>
                                <w:sz w:val="20"/>
                                <w:szCs w:val="20"/>
                              </w:rPr>
                            </w:pPr>
                          </w:p>
                          <w:p w14:paraId="5BDDEC6D" w14:textId="4E294B78" w:rsidR="00B32045" w:rsidRDefault="009728ED" w:rsidP="009728E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F5B7D">
                              <w:rPr>
                                <w:rFonts w:ascii="Century Gothic" w:hAnsi="Century Gothic"/>
                                <w:sz w:val="20"/>
                                <w:szCs w:val="20"/>
                              </w:rPr>
                              <w:t xml:space="preserve">REPORTABLE: </w:t>
                            </w:r>
                            <w:r w:rsidR="00E82F20">
                              <w:rPr>
                                <w:rFonts w:ascii="Century Gothic" w:hAnsi="Century Gothic"/>
                                <w:sz w:val="20"/>
                                <w:szCs w:val="20"/>
                              </w:rPr>
                              <w:t>YES</w:t>
                            </w:r>
                          </w:p>
                          <w:p w14:paraId="5BDDEC6E" w14:textId="7FC89C83" w:rsidR="00B32045" w:rsidRDefault="009728ED" w:rsidP="009728ED">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32045">
                              <w:rPr>
                                <w:rFonts w:ascii="Century Gothic" w:hAnsi="Century Gothic"/>
                                <w:sz w:val="20"/>
                                <w:szCs w:val="20"/>
                              </w:rPr>
                              <w:t>OF IN</w:t>
                            </w:r>
                            <w:r w:rsidR="00DF5B7D">
                              <w:rPr>
                                <w:rFonts w:ascii="Century Gothic" w:hAnsi="Century Gothic"/>
                                <w:sz w:val="20"/>
                                <w:szCs w:val="20"/>
                              </w:rPr>
                              <w:t xml:space="preserve">TEREST TO OTHER JUDGES: </w:t>
                            </w:r>
                            <w:r w:rsidR="00E82F20">
                              <w:rPr>
                                <w:rFonts w:ascii="Century Gothic" w:hAnsi="Century Gothic"/>
                                <w:sz w:val="20"/>
                                <w:szCs w:val="20"/>
                              </w:rPr>
                              <w:t>YES</w:t>
                            </w:r>
                            <w:r w:rsidR="00B32045">
                              <w:rPr>
                                <w:rFonts w:ascii="Century Gothic" w:hAnsi="Century Gothic"/>
                                <w:sz w:val="20"/>
                                <w:szCs w:val="20"/>
                              </w:rPr>
                              <w:t xml:space="preserve"> </w:t>
                            </w:r>
                          </w:p>
                          <w:p w14:paraId="5BDDEC6F" w14:textId="66951161" w:rsidR="00B32045" w:rsidRDefault="009728ED" w:rsidP="009728ED">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32045">
                              <w:rPr>
                                <w:rFonts w:ascii="Century Gothic" w:hAnsi="Century Gothic"/>
                                <w:sz w:val="20"/>
                                <w:szCs w:val="20"/>
                              </w:rPr>
                              <w:t>REVISED</w:t>
                            </w:r>
                            <w:r w:rsidR="00DF5B7D">
                              <w:rPr>
                                <w:rFonts w:ascii="Century Gothic" w:hAnsi="Century Gothic"/>
                                <w:sz w:val="20"/>
                                <w:szCs w:val="20"/>
                              </w:rPr>
                              <w:t xml:space="preserve"> YES</w:t>
                            </w:r>
                          </w:p>
                          <w:p w14:paraId="5BDDEC70" w14:textId="77777777" w:rsidR="00B32045" w:rsidRDefault="00B32045" w:rsidP="00ED2FC5">
                            <w:pPr>
                              <w:rPr>
                                <w:rFonts w:ascii="Century Gothic" w:hAnsi="Century Gothic"/>
                                <w:sz w:val="20"/>
                                <w:szCs w:val="20"/>
                              </w:rPr>
                            </w:pPr>
                          </w:p>
                          <w:p w14:paraId="5BDDEC71" w14:textId="77777777" w:rsidR="00B32045" w:rsidRDefault="00B32045" w:rsidP="00ED2FC5">
                            <w:pPr>
                              <w:ind w:firstLine="180"/>
                              <w:rPr>
                                <w:rFonts w:ascii="Century Gothic" w:hAnsi="Century Gothic"/>
                                <w:sz w:val="20"/>
                                <w:szCs w:val="20"/>
                              </w:rPr>
                            </w:pPr>
                            <w:r>
                              <w:rPr>
                                <w:rFonts w:ascii="Century Gothic" w:hAnsi="Century Gothic"/>
                                <w:sz w:val="20"/>
                                <w:szCs w:val="20"/>
                              </w:rPr>
                              <w:t>_________________</w:t>
                            </w:r>
                            <w:r>
                              <w:rPr>
                                <w:rFonts w:ascii="Century Gothic" w:hAnsi="Century Gothic"/>
                                <w:sz w:val="20"/>
                                <w:szCs w:val="20"/>
                              </w:rPr>
                              <w:tab/>
                            </w:r>
                            <w:r>
                              <w:rPr>
                                <w:rFonts w:ascii="Century Gothic" w:hAnsi="Century Gothic"/>
                                <w:sz w:val="20"/>
                                <w:szCs w:val="20"/>
                              </w:rPr>
                              <w:tab/>
                              <w:t xml:space="preserve">___________________ </w:t>
                            </w:r>
                          </w:p>
                          <w:p w14:paraId="5BDDEC72" w14:textId="77777777" w:rsidR="00B32045" w:rsidRDefault="00B32045" w:rsidP="00BE3702">
                            <w:pPr>
                              <w:ind w:firstLine="180"/>
                              <w:rPr>
                                <w:rFonts w:ascii="Century Gothic" w:hAnsi="Century Gothic"/>
                                <w:sz w:val="18"/>
                                <w:szCs w:val="18"/>
                              </w:rPr>
                            </w:pPr>
                            <w:r>
                              <w:rPr>
                                <w:rFonts w:ascii="Century Gothic" w:hAnsi="Century Gothic"/>
                                <w:b/>
                                <w:sz w:val="20"/>
                                <w:szCs w:val="20"/>
                              </w:rPr>
                              <w:t>Date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Signature</w:t>
                            </w:r>
                            <w:r>
                              <w:rPr>
                                <w:rFonts w:ascii="Century Gothic" w:hAnsi="Century Gothic"/>
                                <w:sz w:val="20"/>
                                <w:szCs w:val="20"/>
                              </w:rPr>
                              <w:t xml:space="preserve"> </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DEC50" id="_x0000_t202" coordsize="21600,21600" o:spt="202" path="m,l,21600r21600,l21600,xe">
                <v:stroke joinstyle="miter"/>
                <v:path gradientshapeok="t" o:connecttype="rect"/>
              </v:shapetype>
              <v:shape id="Text Box 2" o:spid="_x0000_s1026" type="#_x0000_t202" style="position:absolute;margin-left:4.35pt;margin-top:8.85pt;width:254.55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">
                <v:textbox>
                  <w:txbxContent>
                    <w:p w14:paraId="5BDDEC6C" w14:textId="77777777" w:rsidR="00B32045" w:rsidRDefault="00B32045" w:rsidP="00ED2FC5">
                      <w:pPr>
                        <w:jc w:val="center"/>
                        <w:rPr>
                          <w:rFonts w:ascii="Century Gothic" w:hAnsi="Century Gothic"/>
                          <w:b/>
                          <w:sz w:val="20"/>
                          <w:szCs w:val="20"/>
                        </w:rPr>
                      </w:pPr>
                    </w:p>
                    <w:p w14:paraId="5BDDEC6D" w14:textId="4E294B78" w:rsidR="00B32045" w:rsidRDefault="009728ED" w:rsidP="009728E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F5B7D">
                        <w:rPr>
                          <w:rFonts w:ascii="Century Gothic" w:hAnsi="Century Gothic"/>
                          <w:sz w:val="20"/>
                          <w:szCs w:val="20"/>
                        </w:rPr>
                        <w:t xml:space="preserve">REPORTABLE: </w:t>
                      </w:r>
                      <w:r w:rsidR="00E82F20">
                        <w:rPr>
                          <w:rFonts w:ascii="Century Gothic" w:hAnsi="Century Gothic"/>
                          <w:sz w:val="20"/>
                          <w:szCs w:val="20"/>
                        </w:rPr>
                        <w:t>YES</w:t>
                      </w:r>
                    </w:p>
                    <w:p w14:paraId="5BDDEC6E" w14:textId="7FC89C83" w:rsidR="00B32045" w:rsidRDefault="009728ED" w:rsidP="009728ED">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32045">
                        <w:rPr>
                          <w:rFonts w:ascii="Century Gothic" w:hAnsi="Century Gothic"/>
                          <w:sz w:val="20"/>
                          <w:szCs w:val="20"/>
                        </w:rPr>
                        <w:t>OF IN</w:t>
                      </w:r>
                      <w:r w:rsidR="00DF5B7D">
                        <w:rPr>
                          <w:rFonts w:ascii="Century Gothic" w:hAnsi="Century Gothic"/>
                          <w:sz w:val="20"/>
                          <w:szCs w:val="20"/>
                        </w:rPr>
                        <w:t xml:space="preserve">TEREST TO OTHER JUDGES: </w:t>
                      </w:r>
                      <w:r w:rsidR="00E82F20">
                        <w:rPr>
                          <w:rFonts w:ascii="Century Gothic" w:hAnsi="Century Gothic"/>
                          <w:sz w:val="20"/>
                          <w:szCs w:val="20"/>
                        </w:rPr>
                        <w:t>YES</w:t>
                      </w:r>
                      <w:r w:rsidR="00B32045">
                        <w:rPr>
                          <w:rFonts w:ascii="Century Gothic" w:hAnsi="Century Gothic"/>
                          <w:sz w:val="20"/>
                          <w:szCs w:val="20"/>
                        </w:rPr>
                        <w:t xml:space="preserve"> </w:t>
                      </w:r>
                    </w:p>
                    <w:p w14:paraId="5BDDEC6F" w14:textId="66951161" w:rsidR="00B32045" w:rsidRDefault="009728ED" w:rsidP="009728ED">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32045">
                        <w:rPr>
                          <w:rFonts w:ascii="Century Gothic" w:hAnsi="Century Gothic"/>
                          <w:sz w:val="20"/>
                          <w:szCs w:val="20"/>
                        </w:rPr>
                        <w:t>REVISED</w:t>
                      </w:r>
                      <w:r w:rsidR="00DF5B7D">
                        <w:rPr>
                          <w:rFonts w:ascii="Century Gothic" w:hAnsi="Century Gothic"/>
                          <w:sz w:val="20"/>
                          <w:szCs w:val="20"/>
                        </w:rPr>
                        <w:t xml:space="preserve"> YES</w:t>
                      </w:r>
                    </w:p>
                    <w:p w14:paraId="5BDDEC70" w14:textId="77777777" w:rsidR="00B32045" w:rsidRDefault="00B32045" w:rsidP="00ED2FC5">
                      <w:pPr>
                        <w:rPr>
                          <w:rFonts w:ascii="Century Gothic" w:hAnsi="Century Gothic"/>
                          <w:sz w:val="20"/>
                          <w:szCs w:val="20"/>
                        </w:rPr>
                      </w:pPr>
                    </w:p>
                    <w:p w14:paraId="5BDDEC71" w14:textId="77777777" w:rsidR="00B32045" w:rsidRDefault="00B32045" w:rsidP="00ED2FC5">
                      <w:pPr>
                        <w:ind w:firstLine="180"/>
                        <w:rPr>
                          <w:rFonts w:ascii="Century Gothic" w:hAnsi="Century Gothic"/>
                          <w:sz w:val="20"/>
                          <w:szCs w:val="20"/>
                        </w:rPr>
                      </w:pPr>
                      <w:r>
                        <w:rPr>
                          <w:rFonts w:ascii="Century Gothic" w:hAnsi="Century Gothic"/>
                          <w:sz w:val="20"/>
                          <w:szCs w:val="20"/>
                        </w:rPr>
                        <w:t>_________________</w:t>
                      </w:r>
                      <w:r>
                        <w:rPr>
                          <w:rFonts w:ascii="Century Gothic" w:hAnsi="Century Gothic"/>
                          <w:sz w:val="20"/>
                          <w:szCs w:val="20"/>
                        </w:rPr>
                        <w:tab/>
                      </w:r>
                      <w:r>
                        <w:rPr>
                          <w:rFonts w:ascii="Century Gothic" w:hAnsi="Century Gothic"/>
                          <w:sz w:val="20"/>
                          <w:szCs w:val="20"/>
                        </w:rPr>
                        <w:tab/>
                        <w:t xml:space="preserve">___________________ </w:t>
                      </w:r>
                    </w:p>
                    <w:p w14:paraId="5BDDEC72" w14:textId="77777777" w:rsidR="00B32045" w:rsidRDefault="00B32045" w:rsidP="00BE3702">
                      <w:pPr>
                        <w:ind w:firstLine="180"/>
                        <w:rPr>
                          <w:rFonts w:ascii="Century Gothic" w:hAnsi="Century Gothic"/>
                          <w:sz w:val="18"/>
                          <w:szCs w:val="18"/>
                        </w:rPr>
                      </w:pPr>
                      <w:r>
                        <w:rPr>
                          <w:rFonts w:ascii="Century Gothic" w:hAnsi="Century Gothic"/>
                          <w:b/>
                          <w:sz w:val="20"/>
                          <w:szCs w:val="20"/>
                        </w:rPr>
                        <w:t>Date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Signature</w:t>
                      </w:r>
                      <w:r>
                        <w:rPr>
                          <w:rFonts w:ascii="Century Gothic" w:hAnsi="Century Gothic"/>
                          <w:sz w:val="20"/>
                          <w:szCs w:val="20"/>
                        </w:rPr>
                        <w:t xml:space="preserve"> </w:t>
                      </w:r>
                      <w:r>
                        <w:rPr>
                          <w:rFonts w:ascii="Century Gothic" w:hAnsi="Century Gothic"/>
                          <w:b/>
                          <w:sz w:val="18"/>
                          <w:szCs w:val="18"/>
                        </w:rPr>
                        <w:t xml:space="preserve">          </w:t>
                      </w:r>
                    </w:p>
                  </w:txbxContent>
                </v:textbox>
              </v:shape>
            </w:pict>
          </mc:Fallback>
        </mc:AlternateContent>
      </w:r>
      <w:r w:rsidR="0062238E">
        <w:rPr>
          <w:rFonts w:cs="Arial"/>
          <w:b/>
        </w:rPr>
        <w:tab/>
      </w:r>
      <w:r w:rsidR="00C0299A">
        <w:rPr>
          <w:rFonts w:cs="Arial"/>
          <w:b/>
        </w:rPr>
        <w:t xml:space="preserve">CASE NO:  </w:t>
      </w:r>
      <w:r w:rsidR="00692023" w:rsidRPr="00EA3F93">
        <w:rPr>
          <w:b/>
          <w:spacing w:val="-1"/>
        </w:rPr>
        <w:t>2023-05</w:t>
      </w:r>
      <w:r w:rsidR="00E15237">
        <w:rPr>
          <w:b/>
          <w:spacing w:val="-1"/>
        </w:rPr>
        <w:t>3299</w:t>
      </w:r>
    </w:p>
    <w:p w14:paraId="5BDDEBBE" w14:textId="77777777" w:rsidR="00ED2FC5" w:rsidRPr="005869AB" w:rsidRDefault="00ED2FC5" w:rsidP="006F3A1F">
      <w:pPr>
        <w:tabs>
          <w:tab w:val="left" w:pos="4917"/>
        </w:tabs>
        <w:suppressAutoHyphens w:val="0"/>
        <w:spacing w:line="360" w:lineRule="auto"/>
        <w:ind w:right="42"/>
        <w:jc w:val="center"/>
        <w:rPr>
          <w:rFonts w:cs="Arial"/>
        </w:rPr>
      </w:pPr>
    </w:p>
    <w:p w14:paraId="5BDDEBBF" w14:textId="77777777" w:rsidR="00ED2FC5" w:rsidRPr="005869AB" w:rsidRDefault="00ED2FC5" w:rsidP="006F3A1F">
      <w:pPr>
        <w:tabs>
          <w:tab w:val="left" w:pos="4917"/>
        </w:tabs>
        <w:suppressAutoHyphens w:val="0"/>
        <w:spacing w:line="360" w:lineRule="auto"/>
        <w:ind w:right="42"/>
        <w:jc w:val="center"/>
        <w:rPr>
          <w:rFonts w:cs="Arial"/>
        </w:rPr>
      </w:pPr>
    </w:p>
    <w:p w14:paraId="5BDDEBC0" w14:textId="77777777" w:rsidR="00ED2FC5" w:rsidRPr="005869AB" w:rsidRDefault="00ED2FC5" w:rsidP="006F3A1F">
      <w:pPr>
        <w:tabs>
          <w:tab w:val="left" w:pos="4917"/>
        </w:tabs>
        <w:suppressAutoHyphens w:val="0"/>
        <w:spacing w:line="360" w:lineRule="auto"/>
        <w:ind w:right="42"/>
        <w:jc w:val="center"/>
        <w:rPr>
          <w:rFonts w:cs="Arial"/>
        </w:rPr>
      </w:pPr>
    </w:p>
    <w:p w14:paraId="5BDDEBC1" w14:textId="77777777" w:rsidR="00ED2FC5" w:rsidRPr="005869AB" w:rsidRDefault="00ED2FC5" w:rsidP="002D3B8A">
      <w:pPr>
        <w:tabs>
          <w:tab w:val="right" w:pos="9356"/>
        </w:tabs>
        <w:suppressAutoHyphens w:val="0"/>
        <w:spacing w:before="240"/>
        <w:ind w:right="42"/>
        <w:rPr>
          <w:rFonts w:cs="Arial"/>
          <w:b/>
          <w:u w:val="single"/>
        </w:rPr>
      </w:pPr>
    </w:p>
    <w:p w14:paraId="13F53221" w14:textId="77777777" w:rsidR="002F04A6" w:rsidRDefault="002F04A6" w:rsidP="006F3A1F">
      <w:pPr>
        <w:tabs>
          <w:tab w:val="left" w:pos="4917"/>
        </w:tabs>
        <w:suppressAutoHyphens w:val="0"/>
        <w:spacing w:line="360" w:lineRule="auto"/>
        <w:ind w:right="42"/>
        <w:jc w:val="both"/>
        <w:rPr>
          <w:rFonts w:cs="Arial"/>
        </w:rPr>
      </w:pPr>
    </w:p>
    <w:p w14:paraId="5BDDEBC2" w14:textId="1B0454B3" w:rsidR="008F5D51" w:rsidRDefault="002F04A6" w:rsidP="00AD1F3B">
      <w:pPr>
        <w:tabs>
          <w:tab w:val="left" w:pos="4917"/>
        </w:tabs>
        <w:suppressAutoHyphens w:val="0"/>
        <w:spacing w:line="360" w:lineRule="auto"/>
        <w:ind w:right="40"/>
        <w:jc w:val="both"/>
        <w:rPr>
          <w:rFonts w:cs="Arial"/>
        </w:rPr>
      </w:pPr>
      <w:r>
        <w:rPr>
          <w:rFonts w:cs="Arial"/>
        </w:rPr>
        <w:t>In the matter</w:t>
      </w:r>
      <w:r w:rsidR="008F5D51" w:rsidRPr="005869AB">
        <w:rPr>
          <w:rFonts w:cs="Arial"/>
        </w:rPr>
        <w:t xml:space="preserve"> between:</w:t>
      </w:r>
    </w:p>
    <w:p w14:paraId="19FC8C6C" w14:textId="2667FFD5" w:rsidR="00C34582" w:rsidRPr="00C34582" w:rsidRDefault="0097458D" w:rsidP="00C34582">
      <w:pPr>
        <w:keepNext/>
        <w:tabs>
          <w:tab w:val="left" w:pos="7773"/>
        </w:tabs>
        <w:spacing w:before="240" w:after="60"/>
        <w:ind w:right="208"/>
        <w:outlineLvl w:val="0"/>
        <w:rPr>
          <w:rFonts w:cs="Arial"/>
          <w:kern w:val="32"/>
        </w:rPr>
      </w:pPr>
      <w:r>
        <w:rPr>
          <w:rFonts w:ascii="Arial-BoldMT" w:eastAsiaTheme="minorHAnsi" w:hAnsi="Arial-BoldMT" w:cs="Arial-BoldMT"/>
          <w:b/>
          <w:bCs/>
          <w:lang w:eastAsia="en-US"/>
        </w:rPr>
        <w:t>THC THE HEALTH CENTRE (PTY) LTD t/a THC PHARMACY</w:t>
      </w:r>
      <w:r w:rsidR="00C34582" w:rsidRPr="00C34582">
        <w:rPr>
          <w:rFonts w:cs="Arial"/>
          <w:b/>
          <w:bCs/>
          <w:spacing w:val="-1"/>
          <w:kern w:val="32"/>
        </w:rPr>
        <w:tab/>
      </w:r>
      <w:r w:rsidR="00C34582" w:rsidRPr="00C34582">
        <w:rPr>
          <w:rFonts w:cs="Arial"/>
          <w:bCs/>
          <w:kern w:val="32"/>
        </w:rPr>
        <w:t>Applicant</w:t>
      </w:r>
    </w:p>
    <w:p w14:paraId="08A3D6B1" w14:textId="77777777" w:rsidR="00C34582" w:rsidRPr="00C34582" w:rsidRDefault="00C34582" w:rsidP="00C34582">
      <w:pPr>
        <w:rPr>
          <w:rFonts w:eastAsia="Arial" w:cs="Arial"/>
        </w:rPr>
      </w:pPr>
    </w:p>
    <w:p w14:paraId="106FF468" w14:textId="77777777" w:rsidR="00C34582" w:rsidRPr="00C34582" w:rsidRDefault="00C34582" w:rsidP="00C34582">
      <w:pPr>
        <w:rPr>
          <w:rFonts w:eastAsia="Arial"/>
          <w:spacing w:val="-1"/>
        </w:rPr>
      </w:pPr>
      <w:r w:rsidRPr="00C34582">
        <w:rPr>
          <w:rFonts w:eastAsia="Arial"/>
          <w:spacing w:val="-1"/>
        </w:rPr>
        <w:t>and</w:t>
      </w:r>
    </w:p>
    <w:p w14:paraId="320004C9" w14:textId="77777777" w:rsidR="00C34582" w:rsidRPr="00C34582" w:rsidRDefault="00C34582" w:rsidP="00C34582">
      <w:pPr>
        <w:ind w:left="568"/>
        <w:rPr>
          <w:rFonts w:eastAsia="Arial"/>
        </w:rPr>
      </w:pPr>
    </w:p>
    <w:p w14:paraId="033FAE95" w14:textId="77777777" w:rsidR="00B947D0" w:rsidRDefault="00B947D0" w:rsidP="00B947D0">
      <w:pPr>
        <w:suppressAutoHyphens w:val="0"/>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THE SOUTH AFRICAN HEALTH</w:t>
      </w:r>
    </w:p>
    <w:p w14:paraId="45C4660A" w14:textId="3D192AA6" w:rsidR="00C34582" w:rsidRPr="00C34582" w:rsidRDefault="00B947D0" w:rsidP="00843A6F">
      <w:pPr>
        <w:tabs>
          <w:tab w:val="left" w:pos="7321"/>
        </w:tabs>
        <w:ind w:right="88"/>
        <w:rPr>
          <w:rFonts w:eastAsia="Arial" w:cs="Arial"/>
        </w:rPr>
      </w:pPr>
      <w:r>
        <w:rPr>
          <w:rFonts w:ascii="Arial-BoldMT" w:eastAsiaTheme="minorHAnsi" w:hAnsi="Arial-BoldMT" w:cs="Arial-BoldMT"/>
          <w:b/>
          <w:bCs/>
          <w:lang w:eastAsia="en-US"/>
        </w:rPr>
        <w:t>PRODUCTS REGULATORY AUTHORITY</w:t>
      </w:r>
      <w:r w:rsidR="00C34582" w:rsidRPr="00C34582">
        <w:rPr>
          <w:b/>
        </w:rPr>
        <w:tab/>
      </w:r>
      <w:r w:rsidR="00C34582" w:rsidRPr="00C34582">
        <w:t>1</w:t>
      </w:r>
      <w:r w:rsidR="00C34582" w:rsidRPr="00C34582">
        <w:rPr>
          <w:vertAlign w:val="superscript"/>
        </w:rPr>
        <w:t>st</w:t>
      </w:r>
      <w:r w:rsidR="00C34582" w:rsidRPr="00C34582">
        <w:t xml:space="preserve"> </w:t>
      </w:r>
      <w:r w:rsidR="00C34582" w:rsidRPr="00C34582">
        <w:rPr>
          <w:spacing w:val="-1"/>
        </w:rPr>
        <w:t>Respondent</w:t>
      </w:r>
    </w:p>
    <w:p w14:paraId="7288CD8E" w14:textId="77777777" w:rsidR="00C34582" w:rsidRPr="00C34582" w:rsidRDefault="00C34582" w:rsidP="00C34582">
      <w:pPr>
        <w:spacing w:before="11"/>
        <w:rPr>
          <w:rFonts w:eastAsia="Arial" w:cs="Arial"/>
        </w:rPr>
      </w:pPr>
    </w:p>
    <w:p w14:paraId="0542B973" w14:textId="112004B7" w:rsidR="00C34582" w:rsidRPr="00C34582" w:rsidRDefault="00B947D0" w:rsidP="00C34582">
      <w:pPr>
        <w:tabs>
          <w:tab w:val="left" w:pos="7274"/>
        </w:tabs>
        <w:ind w:right="88"/>
        <w:rPr>
          <w:rFonts w:eastAsia="Arial" w:cs="Arial"/>
        </w:rPr>
      </w:pPr>
      <w:r>
        <w:rPr>
          <w:rFonts w:ascii="Arial-BoldMT" w:eastAsiaTheme="minorHAnsi" w:hAnsi="Arial-BoldMT" w:cs="Arial-BoldMT"/>
          <w:b/>
          <w:bCs/>
          <w:lang w:eastAsia="en-US"/>
        </w:rPr>
        <w:t>THE MINISTER OF POLICE</w:t>
      </w:r>
      <w:r w:rsidR="00C34582" w:rsidRPr="00C34582">
        <w:rPr>
          <w:b/>
          <w:spacing w:val="-1"/>
        </w:rPr>
        <w:tab/>
      </w:r>
      <w:r w:rsidR="00C34582" w:rsidRPr="00C34582">
        <w:rPr>
          <w:spacing w:val="-1"/>
        </w:rPr>
        <w:t>2</w:t>
      </w:r>
      <w:r w:rsidR="00C34582" w:rsidRPr="00C34582">
        <w:rPr>
          <w:spacing w:val="-1"/>
          <w:vertAlign w:val="superscript"/>
        </w:rPr>
        <w:t>nd</w:t>
      </w:r>
      <w:r w:rsidR="00C34582" w:rsidRPr="00C34582">
        <w:rPr>
          <w:spacing w:val="-1"/>
        </w:rPr>
        <w:t xml:space="preserve"> Respondent</w:t>
      </w:r>
    </w:p>
    <w:p w14:paraId="0F63FE78" w14:textId="77777777" w:rsidR="00770F28" w:rsidRDefault="00770F28" w:rsidP="00770F28">
      <w:pPr>
        <w:suppressAutoHyphens w:val="0"/>
        <w:autoSpaceDE w:val="0"/>
        <w:autoSpaceDN w:val="0"/>
        <w:adjustRightInd w:val="0"/>
        <w:rPr>
          <w:rFonts w:ascii="Arial-BoldMT" w:eastAsiaTheme="minorHAnsi" w:hAnsi="Arial-BoldMT" w:cs="Arial-BoldMT"/>
          <w:b/>
          <w:bCs/>
          <w:lang w:eastAsia="en-US"/>
        </w:rPr>
      </w:pPr>
    </w:p>
    <w:p w14:paraId="52A11D6E" w14:textId="6E7B687A" w:rsidR="00770F28" w:rsidRDefault="00770F28" w:rsidP="00770F28">
      <w:pPr>
        <w:suppressAutoHyphens w:val="0"/>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DIRECTORATE FOR PRIORITY</w:t>
      </w:r>
    </w:p>
    <w:p w14:paraId="5A435FF5" w14:textId="331864EA" w:rsidR="00187497" w:rsidRPr="00C34582" w:rsidRDefault="00770F28" w:rsidP="00843A6F">
      <w:pPr>
        <w:tabs>
          <w:tab w:val="left" w:pos="7321"/>
        </w:tabs>
        <w:ind w:right="88"/>
        <w:rPr>
          <w:rFonts w:eastAsia="Arial" w:cs="Arial"/>
        </w:rPr>
      </w:pPr>
      <w:r>
        <w:rPr>
          <w:rFonts w:ascii="Arial-BoldMT" w:eastAsiaTheme="minorHAnsi" w:hAnsi="Arial-BoldMT" w:cs="Arial-BoldMT"/>
          <w:b/>
          <w:bCs/>
          <w:lang w:eastAsia="en-US"/>
        </w:rPr>
        <w:t>CRIME INVESTIGATION GAUTENG</w:t>
      </w:r>
      <w:r w:rsidR="00187497" w:rsidRPr="00C34582">
        <w:rPr>
          <w:b/>
        </w:rPr>
        <w:tab/>
      </w:r>
      <w:r w:rsidRPr="00770F28">
        <w:rPr>
          <w:bCs/>
        </w:rPr>
        <w:t>3</w:t>
      </w:r>
      <w:r w:rsidRPr="00770F28">
        <w:rPr>
          <w:bCs/>
          <w:vertAlign w:val="superscript"/>
        </w:rPr>
        <w:t>rd</w:t>
      </w:r>
      <w:r w:rsidRPr="00770F28">
        <w:rPr>
          <w:bCs/>
        </w:rPr>
        <w:t xml:space="preserve"> </w:t>
      </w:r>
      <w:r w:rsidR="00187497" w:rsidRPr="00770F28">
        <w:rPr>
          <w:bCs/>
          <w:spacing w:val="-1"/>
        </w:rPr>
        <w:t>R</w:t>
      </w:r>
      <w:r w:rsidR="00187497" w:rsidRPr="00C34582">
        <w:rPr>
          <w:spacing w:val="-1"/>
        </w:rPr>
        <w:t>espondent</w:t>
      </w:r>
    </w:p>
    <w:p w14:paraId="65C52D9E" w14:textId="77777777" w:rsidR="00187497" w:rsidRPr="00C34582" w:rsidRDefault="00187497" w:rsidP="00187497">
      <w:pPr>
        <w:spacing w:before="11"/>
        <w:rPr>
          <w:rFonts w:eastAsia="Arial" w:cs="Arial"/>
        </w:rPr>
      </w:pPr>
    </w:p>
    <w:p w14:paraId="6865A5AC" w14:textId="77777777" w:rsidR="00F127DF" w:rsidRDefault="00F127DF" w:rsidP="00F127DF">
      <w:pPr>
        <w:suppressAutoHyphens w:val="0"/>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CAPTAIN JOHANNES HENDRIK LAST</w:t>
      </w:r>
    </w:p>
    <w:p w14:paraId="1E91A927" w14:textId="77777777" w:rsidR="00F127DF" w:rsidRDefault="00F127DF" w:rsidP="00F127DF">
      <w:pPr>
        <w:suppressAutoHyphens w:val="0"/>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OF THE GAUTENG SERIOUS</w:t>
      </w:r>
    </w:p>
    <w:p w14:paraId="551305B3" w14:textId="77777777" w:rsidR="00F127DF" w:rsidRDefault="00F127DF" w:rsidP="00F127DF">
      <w:pPr>
        <w:suppressAutoHyphens w:val="0"/>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ORGANISED CRIME INVESTIGATION</w:t>
      </w:r>
    </w:p>
    <w:p w14:paraId="55CE7746" w14:textId="77777777" w:rsidR="00F127DF" w:rsidRDefault="00F127DF" w:rsidP="00F127DF">
      <w:pPr>
        <w:suppressAutoHyphens w:val="0"/>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UNIT, OF THE DIRECTORATE FOR</w:t>
      </w:r>
    </w:p>
    <w:p w14:paraId="5873EAA7" w14:textId="77055B33" w:rsidR="00187497" w:rsidRPr="00C34582" w:rsidRDefault="00F127DF" w:rsidP="00F127DF">
      <w:pPr>
        <w:tabs>
          <w:tab w:val="left" w:pos="7274"/>
        </w:tabs>
        <w:ind w:right="88"/>
        <w:rPr>
          <w:rFonts w:eastAsia="Arial" w:cs="Arial"/>
        </w:rPr>
      </w:pPr>
      <w:r>
        <w:rPr>
          <w:rFonts w:ascii="Arial-BoldMT" w:eastAsiaTheme="minorHAnsi" w:hAnsi="Arial-BoldMT" w:cs="Arial-BoldMT"/>
          <w:b/>
          <w:bCs/>
          <w:lang w:eastAsia="en-US"/>
        </w:rPr>
        <w:t>PRIORITY CRIME INVESTIGATION</w:t>
      </w:r>
      <w:r w:rsidR="00187497" w:rsidRPr="00C34582">
        <w:rPr>
          <w:b/>
          <w:spacing w:val="-1"/>
        </w:rPr>
        <w:tab/>
      </w:r>
      <w:r w:rsidRPr="00F127DF">
        <w:rPr>
          <w:bCs/>
          <w:spacing w:val="-1"/>
        </w:rPr>
        <w:t>4</w:t>
      </w:r>
      <w:r w:rsidRPr="00F127DF">
        <w:rPr>
          <w:bCs/>
          <w:spacing w:val="-1"/>
          <w:vertAlign w:val="superscript"/>
        </w:rPr>
        <w:t>th</w:t>
      </w:r>
      <w:r w:rsidRPr="00F127DF">
        <w:rPr>
          <w:bCs/>
          <w:spacing w:val="-1"/>
        </w:rPr>
        <w:t xml:space="preserve"> </w:t>
      </w:r>
      <w:r w:rsidR="00187497" w:rsidRPr="00C34582">
        <w:rPr>
          <w:spacing w:val="-1"/>
        </w:rPr>
        <w:t>Respondent</w:t>
      </w:r>
    </w:p>
    <w:p w14:paraId="6404197A" w14:textId="77777777" w:rsidR="00770F28" w:rsidRPr="00C34582" w:rsidRDefault="00770F28" w:rsidP="00770F28">
      <w:pPr>
        <w:spacing w:before="11"/>
        <w:rPr>
          <w:rFonts w:eastAsia="Arial" w:cs="Arial"/>
        </w:rPr>
      </w:pPr>
    </w:p>
    <w:p w14:paraId="0C5245C6" w14:textId="1EABA8A1" w:rsidR="00770F28" w:rsidRPr="00C34582" w:rsidRDefault="00843A6F" w:rsidP="00770F28">
      <w:pPr>
        <w:tabs>
          <w:tab w:val="left" w:pos="7274"/>
        </w:tabs>
        <w:ind w:right="88"/>
        <w:rPr>
          <w:rFonts w:eastAsia="Arial" w:cs="Arial"/>
        </w:rPr>
      </w:pPr>
      <w:r>
        <w:rPr>
          <w:rFonts w:ascii="Arial-BoldMT" w:eastAsiaTheme="minorHAnsi" w:hAnsi="Arial-BoldMT" w:cs="Arial-BoldMT"/>
          <w:b/>
          <w:bCs/>
          <w:lang w:eastAsia="en-US"/>
        </w:rPr>
        <w:t>SOUTH AFRICAN PHARMACY COUNCIL</w:t>
      </w:r>
      <w:r w:rsidR="00770F28" w:rsidRPr="00C34582">
        <w:rPr>
          <w:b/>
          <w:spacing w:val="-1"/>
        </w:rPr>
        <w:tab/>
      </w:r>
      <w:r w:rsidRPr="00843A6F">
        <w:rPr>
          <w:bCs/>
          <w:spacing w:val="-1"/>
        </w:rPr>
        <w:t>5</w:t>
      </w:r>
      <w:r w:rsidRPr="00843A6F">
        <w:rPr>
          <w:bCs/>
          <w:spacing w:val="-1"/>
          <w:vertAlign w:val="superscript"/>
        </w:rPr>
        <w:t>th</w:t>
      </w:r>
      <w:r w:rsidRPr="00843A6F">
        <w:rPr>
          <w:bCs/>
          <w:spacing w:val="-1"/>
        </w:rPr>
        <w:t xml:space="preserve"> </w:t>
      </w:r>
      <w:r w:rsidR="00770F28" w:rsidRPr="00C34582">
        <w:rPr>
          <w:spacing w:val="-1"/>
        </w:rPr>
        <w:t>Respondent</w:t>
      </w:r>
    </w:p>
    <w:p w14:paraId="787FEB33" w14:textId="77777777" w:rsidR="00187497" w:rsidRDefault="00187497" w:rsidP="00AD1F3B">
      <w:pPr>
        <w:tabs>
          <w:tab w:val="left" w:pos="4917"/>
        </w:tabs>
        <w:suppressAutoHyphens w:val="0"/>
        <w:spacing w:line="360" w:lineRule="auto"/>
        <w:ind w:right="40"/>
        <w:jc w:val="both"/>
        <w:rPr>
          <w:rFonts w:cs="Arial"/>
        </w:rPr>
      </w:pPr>
    </w:p>
    <w:p w14:paraId="2031BE98" w14:textId="2F698CAF" w:rsidR="00256EFD" w:rsidRPr="00671B75" w:rsidRDefault="005578F8" w:rsidP="00BD0E5A">
      <w:pPr>
        <w:tabs>
          <w:tab w:val="left" w:pos="4917"/>
        </w:tabs>
        <w:suppressAutoHyphens w:val="0"/>
        <w:spacing w:after="120" w:line="360" w:lineRule="auto"/>
        <w:ind w:right="40"/>
        <w:jc w:val="both"/>
        <w:rPr>
          <w:rFonts w:cs="Arial"/>
          <w:b/>
          <w:bCs/>
        </w:rPr>
      </w:pPr>
      <w:r w:rsidRPr="00BD0E5A">
        <w:rPr>
          <w:rFonts w:cs="Arial"/>
          <w:i/>
          <w:iCs/>
          <w:u w:val="single"/>
        </w:rPr>
        <w:t>Summary</w:t>
      </w:r>
      <w:r w:rsidRPr="00671B75">
        <w:rPr>
          <w:rFonts w:cs="Arial"/>
          <w:b/>
          <w:bCs/>
        </w:rPr>
        <w:t xml:space="preserve"> </w:t>
      </w:r>
    </w:p>
    <w:p w14:paraId="32FC8735" w14:textId="3B97B934" w:rsidR="005578F8" w:rsidRPr="004F2492" w:rsidRDefault="009722DE" w:rsidP="00AD1F3B">
      <w:pPr>
        <w:tabs>
          <w:tab w:val="left" w:pos="4917"/>
        </w:tabs>
        <w:suppressAutoHyphens w:val="0"/>
        <w:spacing w:line="360" w:lineRule="auto"/>
        <w:ind w:right="40"/>
        <w:jc w:val="both"/>
        <w:rPr>
          <w:rFonts w:cs="Arial"/>
          <w:i/>
          <w:iCs/>
        </w:rPr>
      </w:pPr>
      <w:r w:rsidRPr="004F2492">
        <w:rPr>
          <w:rFonts w:cs="Arial"/>
          <w:i/>
          <w:iCs/>
        </w:rPr>
        <w:t>The applicant</w:t>
      </w:r>
      <w:r w:rsidR="0027050C" w:rsidRPr="004F2492">
        <w:rPr>
          <w:rFonts w:cs="Arial"/>
          <w:i/>
          <w:iCs/>
        </w:rPr>
        <w:t xml:space="preserve"> is licensed to operate a community pharmacy.  </w:t>
      </w:r>
      <w:r w:rsidR="00F6578B" w:rsidRPr="004F2492">
        <w:rPr>
          <w:rFonts w:cs="Arial"/>
          <w:i/>
          <w:iCs/>
        </w:rPr>
        <w:t xml:space="preserve">Although it is licensed as a general pharmacy, </w:t>
      </w:r>
      <w:r w:rsidR="00F8672C" w:rsidRPr="004F2492">
        <w:rPr>
          <w:rFonts w:cs="Arial"/>
          <w:i/>
          <w:iCs/>
        </w:rPr>
        <w:t>it only in fact trades in medicinal cannabis and related products.  The applicant</w:t>
      </w:r>
      <w:r w:rsidR="00F6578B" w:rsidRPr="004F2492">
        <w:rPr>
          <w:rFonts w:cs="Arial"/>
          <w:i/>
          <w:iCs/>
        </w:rPr>
        <w:t xml:space="preserve"> and the pharmacy it </w:t>
      </w:r>
      <w:proofErr w:type="gramStart"/>
      <w:r w:rsidR="00F6578B" w:rsidRPr="004F2492">
        <w:rPr>
          <w:rFonts w:cs="Arial"/>
          <w:i/>
          <w:iCs/>
        </w:rPr>
        <w:t>operates</w:t>
      </w:r>
      <w:proofErr w:type="gramEnd"/>
      <w:r w:rsidR="0027050C" w:rsidRPr="004F2492">
        <w:rPr>
          <w:rFonts w:cs="Arial"/>
          <w:i/>
          <w:iCs/>
        </w:rPr>
        <w:t xml:space="preserve"> was subject to an inspection by the South African Health Products Regulatory Authority</w:t>
      </w:r>
      <w:r w:rsidR="007046A3" w:rsidRPr="004F2492">
        <w:rPr>
          <w:rFonts w:cs="Arial"/>
          <w:i/>
          <w:iCs/>
        </w:rPr>
        <w:t xml:space="preserve"> ("</w:t>
      </w:r>
      <w:r w:rsidR="007046A3" w:rsidRPr="004F2492">
        <w:rPr>
          <w:rFonts w:cs="Arial"/>
          <w:b/>
          <w:bCs/>
          <w:i/>
          <w:iCs/>
        </w:rPr>
        <w:t>SAHPRA</w:t>
      </w:r>
      <w:r w:rsidR="007046A3" w:rsidRPr="004F2492">
        <w:rPr>
          <w:rFonts w:cs="Arial"/>
          <w:i/>
          <w:iCs/>
        </w:rPr>
        <w:t>")</w:t>
      </w:r>
      <w:r w:rsidR="0027050C" w:rsidRPr="004F2492">
        <w:rPr>
          <w:rFonts w:cs="Arial"/>
          <w:i/>
          <w:iCs/>
        </w:rPr>
        <w:t xml:space="preserve"> and the South African Pharmacy Council</w:t>
      </w:r>
      <w:r w:rsidR="007046A3" w:rsidRPr="004F2492">
        <w:rPr>
          <w:rFonts w:cs="Arial"/>
          <w:i/>
          <w:iCs/>
        </w:rPr>
        <w:t xml:space="preserve"> ("</w:t>
      </w:r>
      <w:r w:rsidR="007046A3" w:rsidRPr="004F2492">
        <w:rPr>
          <w:rFonts w:cs="Arial"/>
          <w:b/>
          <w:bCs/>
          <w:i/>
          <w:iCs/>
        </w:rPr>
        <w:t>the Council</w:t>
      </w:r>
      <w:r w:rsidR="007046A3" w:rsidRPr="004F2492">
        <w:rPr>
          <w:rFonts w:cs="Arial"/>
          <w:i/>
          <w:iCs/>
        </w:rPr>
        <w:t>").  Following on the inspection, SAHPRA and the Council identified various alleged transgressions of legislation</w:t>
      </w:r>
      <w:r w:rsidR="005B4271" w:rsidRPr="004F2492">
        <w:rPr>
          <w:rFonts w:cs="Arial"/>
          <w:i/>
          <w:iCs/>
        </w:rPr>
        <w:t xml:space="preserve">, and </w:t>
      </w:r>
      <w:r w:rsidR="00610808" w:rsidRPr="004F2492">
        <w:rPr>
          <w:rFonts w:cs="Arial"/>
          <w:i/>
          <w:iCs/>
        </w:rPr>
        <w:t xml:space="preserve">SAHPRA believed there was a basis for exercising its powers to </w:t>
      </w:r>
      <w:r w:rsidR="00A466B6" w:rsidRPr="004F2492">
        <w:rPr>
          <w:rFonts w:cs="Arial"/>
          <w:i/>
          <w:iCs/>
        </w:rPr>
        <w:t xml:space="preserve">seize various items pursuant to the inspection.  </w:t>
      </w:r>
      <w:r w:rsidR="0003475E" w:rsidRPr="004F2492">
        <w:rPr>
          <w:rFonts w:cs="Arial"/>
          <w:i/>
          <w:iCs/>
        </w:rPr>
        <w:t>SAHPRA produced a detailed report which set forth</w:t>
      </w:r>
      <w:r w:rsidR="00FF2DCB" w:rsidRPr="004F2492">
        <w:rPr>
          <w:rFonts w:cs="Arial"/>
          <w:i/>
          <w:iCs/>
        </w:rPr>
        <w:t xml:space="preserve"> the facts surrounding the inspection and its findings. </w:t>
      </w:r>
      <w:r w:rsidR="0003475E" w:rsidRPr="004F2492">
        <w:rPr>
          <w:rFonts w:cs="Arial"/>
          <w:i/>
          <w:iCs/>
        </w:rPr>
        <w:t xml:space="preserve"> </w:t>
      </w:r>
      <w:r w:rsidR="00FF2DCB" w:rsidRPr="004F2492">
        <w:rPr>
          <w:rFonts w:cs="Arial"/>
          <w:i/>
          <w:iCs/>
        </w:rPr>
        <w:t xml:space="preserve">These included breaches of the </w:t>
      </w:r>
      <w:r w:rsidR="0012405F" w:rsidRPr="004F2492">
        <w:rPr>
          <w:rFonts w:cs="Arial"/>
          <w:i/>
          <w:iCs/>
        </w:rPr>
        <w:t xml:space="preserve">prohibition against repeat prescriptions of schedule 6 medication (scripts for all </w:t>
      </w:r>
      <w:r w:rsidR="00DE0DAA" w:rsidRPr="004F2492">
        <w:rPr>
          <w:rFonts w:cs="Arial"/>
          <w:i/>
          <w:iCs/>
        </w:rPr>
        <w:t xml:space="preserve">700 </w:t>
      </w:r>
      <w:r w:rsidR="00C80483" w:rsidRPr="004F2492">
        <w:rPr>
          <w:rFonts w:cs="Arial"/>
          <w:i/>
          <w:iCs/>
        </w:rPr>
        <w:t xml:space="preserve">clients of the pharmacy </w:t>
      </w:r>
      <w:r w:rsidR="0012405F" w:rsidRPr="004F2492">
        <w:rPr>
          <w:rFonts w:cs="Arial"/>
          <w:i/>
          <w:iCs/>
        </w:rPr>
        <w:t xml:space="preserve">were issued under the hand of one medical </w:t>
      </w:r>
      <w:r w:rsidR="00C80483" w:rsidRPr="004F2492">
        <w:rPr>
          <w:rFonts w:cs="Arial"/>
          <w:i/>
          <w:iCs/>
        </w:rPr>
        <w:t xml:space="preserve">practitioner, many of the scripts were postdated, </w:t>
      </w:r>
      <w:r w:rsidR="004D34F6" w:rsidRPr="004F2492">
        <w:rPr>
          <w:rFonts w:cs="Arial"/>
          <w:i/>
          <w:iCs/>
        </w:rPr>
        <w:t>the medical practitioner did not conduct in-person consultations</w:t>
      </w:r>
      <w:r w:rsidR="00DE0DAA" w:rsidRPr="004F2492">
        <w:rPr>
          <w:rFonts w:cs="Arial"/>
          <w:i/>
          <w:iCs/>
        </w:rPr>
        <w:t xml:space="preserve">), </w:t>
      </w:r>
      <w:r w:rsidR="000314A2" w:rsidRPr="004F2492">
        <w:rPr>
          <w:rFonts w:cs="Arial"/>
          <w:i/>
          <w:iCs/>
        </w:rPr>
        <w:t xml:space="preserve">unlawful manufacturing </w:t>
      </w:r>
      <w:r w:rsidR="007563F2" w:rsidRPr="004F2492">
        <w:rPr>
          <w:rFonts w:cs="Arial"/>
          <w:i/>
          <w:iCs/>
        </w:rPr>
        <w:t xml:space="preserve">of medicines on the premises, repackaging of medicines appears to have been done by unauthorised staff and </w:t>
      </w:r>
      <w:r w:rsidR="005075D0" w:rsidRPr="004F2492">
        <w:rPr>
          <w:rFonts w:cs="Arial"/>
          <w:i/>
          <w:iCs/>
        </w:rPr>
        <w:t>a failure to keep proper records.</w:t>
      </w:r>
      <w:r w:rsidR="007563F2" w:rsidRPr="004F2492">
        <w:rPr>
          <w:rFonts w:cs="Arial"/>
          <w:i/>
          <w:iCs/>
        </w:rPr>
        <w:t xml:space="preserve"> </w:t>
      </w:r>
      <w:r w:rsidR="004D34F6" w:rsidRPr="004F2492">
        <w:rPr>
          <w:rFonts w:cs="Arial"/>
          <w:i/>
          <w:iCs/>
        </w:rPr>
        <w:t xml:space="preserve"> </w:t>
      </w:r>
      <w:r w:rsidR="00A466B6" w:rsidRPr="004F2492">
        <w:rPr>
          <w:rFonts w:cs="Arial"/>
          <w:i/>
          <w:iCs/>
        </w:rPr>
        <w:t>Given</w:t>
      </w:r>
      <w:r w:rsidR="005075D0" w:rsidRPr="004F2492">
        <w:rPr>
          <w:rFonts w:cs="Arial"/>
          <w:i/>
          <w:iCs/>
        </w:rPr>
        <w:t>, however,</w:t>
      </w:r>
      <w:r w:rsidR="00A466B6" w:rsidRPr="004F2492">
        <w:rPr>
          <w:rFonts w:cs="Arial"/>
          <w:i/>
          <w:iCs/>
        </w:rPr>
        <w:t xml:space="preserve"> that SAHPRA and the Council also </w:t>
      </w:r>
      <w:r w:rsidR="005B4271" w:rsidRPr="004F2492">
        <w:rPr>
          <w:rFonts w:cs="Arial"/>
          <w:i/>
          <w:iCs/>
        </w:rPr>
        <w:t>considered that there was a basis for criminal charges to be brought against the applicant</w:t>
      </w:r>
      <w:r w:rsidR="005075D0" w:rsidRPr="004F2492">
        <w:rPr>
          <w:rFonts w:cs="Arial"/>
          <w:i/>
          <w:iCs/>
        </w:rPr>
        <w:t>, they contacted the South African Police Service ("</w:t>
      </w:r>
      <w:r w:rsidR="005075D0" w:rsidRPr="004F2492">
        <w:rPr>
          <w:rFonts w:cs="Arial"/>
          <w:b/>
          <w:bCs/>
          <w:i/>
          <w:iCs/>
        </w:rPr>
        <w:t>SAPS</w:t>
      </w:r>
      <w:r w:rsidR="005075D0" w:rsidRPr="004F2492">
        <w:rPr>
          <w:rFonts w:cs="Arial"/>
          <w:i/>
          <w:iCs/>
        </w:rPr>
        <w:t>") and</w:t>
      </w:r>
      <w:r w:rsidR="005B4271" w:rsidRPr="004F2492">
        <w:rPr>
          <w:rFonts w:cs="Arial"/>
          <w:i/>
          <w:iCs/>
        </w:rPr>
        <w:t xml:space="preserve"> handed over the scene to the </w:t>
      </w:r>
      <w:r w:rsidR="002B5E0B" w:rsidRPr="004F2492">
        <w:rPr>
          <w:rFonts w:cs="Arial"/>
          <w:i/>
          <w:iCs/>
        </w:rPr>
        <w:t>latter</w:t>
      </w:r>
      <w:r w:rsidR="005B4271" w:rsidRPr="004F2492">
        <w:rPr>
          <w:rFonts w:cs="Arial"/>
          <w:i/>
          <w:iCs/>
        </w:rPr>
        <w:t xml:space="preserve">.  The SAPS </w:t>
      </w:r>
      <w:r w:rsidR="00F6578B" w:rsidRPr="004F2492">
        <w:rPr>
          <w:rFonts w:cs="Arial"/>
          <w:i/>
          <w:iCs/>
        </w:rPr>
        <w:t xml:space="preserve">took control of the premises where the inspection took place and </w:t>
      </w:r>
      <w:r w:rsidR="005B4271" w:rsidRPr="004F2492">
        <w:rPr>
          <w:rFonts w:cs="Arial"/>
          <w:i/>
          <w:iCs/>
        </w:rPr>
        <w:t>seized</w:t>
      </w:r>
      <w:r w:rsidR="00102F4C" w:rsidRPr="004F2492">
        <w:rPr>
          <w:rFonts w:cs="Arial"/>
          <w:i/>
          <w:iCs/>
        </w:rPr>
        <w:t>, without a warrant,</w:t>
      </w:r>
      <w:r w:rsidR="005B4271" w:rsidRPr="004F2492">
        <w:rPr>
          <w:rFonts w:cs="Arial"/>
          <w:i/>
          <w:iCs/>
        </w:rPr>
        <w:t xml:space="preserve"> </w:t>
      </w:r>
      <w:proofErr w:type="gramStart"/>
      <w:r w:rsidR="005B4271" w:rsidRPr="004F2492">
        <w:rPr>
          <w:rFonts w:cs="Arial"/>
          <w:i/>
          <w:iCs/>
        </w:rPr>
        <w:t xml:space="preserve">a </w:t>
      </w:r>
      <w:r w:rsidR="00F6578B" w:rsidRPr="004F2492">
        <w:rPr>
          <w:rFonts w:cs="Arial"/>
          <w:i/>
          <w:iCs/>
        </w:rPr>
        <w:t>number of</w:t>
      </w:r>
      <w:proofErr w:type="gramEnd"/>
      <w:r w:rsidR="00F6578B" w:rsidRPr="004F2492">
        <w:rPr>
          <w:rFonts w:cs="Arial"/>
          <w:i/>
          <w:iCs/>
        </w:rPr>
        <w:t xml:space="preserve"> </w:t>
      </w:r>
      <w:r w:rsidR="001058F1" w:rsidRPr="004F2492">
        <w:rPr>
          <w:rFonts w:cs="Arial"/>
          <w:i/>
          <w:iCs/>
        </w:rPr>
        <w:t xml:space="preserve">items, including </w:t>
      </w:r>
      <w:r w:rsidR="00706A16" w:rsidRPr="004F2492">
        <w:rPr>
          <w:rFonts w:cs="Arial"/>
          <w:i/>
          <w:iCs/>
        </w:rPr>
        <w:t>cannabis flowers, medical cannabis</w:t>
      </w:r>
      <w:r w:rsidR="00256EFD" w:rsidRPr="004F2492">
        <w:rPr>
          <w:rFonts w:cs="Arial"/>
          <w:i/>
          <w:iCs/>
        </w:rPr>
        <w:t>, cannabis edibles and pharmacy records</w:t>
      </w:r>
      <w:r w:rsidR="00A6657C" w:rsidRPr="004F2492">
        <w:rPr>
          <w:rFonts w:cs="Arial"/>
          <w:i/>
          <w:iCs/>
        </w:rPr>
        <w:t xml:space="preserve"> ("</w:t>
      </w:r>
      <w:r w:rsidR="00A6657C" w:rsidRPr="004F2492">
        <w:rPr>
          <w:rFonts w:cs="Arial"/>
          <w:b/>
          <w:bCs/>
          <w:i/>
          <w:iCs/>
        </w:rPr>
        <w:t xml:space="preserve">the </w:t>
      </w:r>
      <w:r w:rsidR="000333FB" w:rsidRPr="004F2492">
        <w:rPr>
          <w:rFonts w:cs="Arial"/>
          <w:b/>
          <w:bCs/>
          <w:i/>
          <w:iCs/>
        </w:rPr>
        <w:t>relevant</w:t>
      </w:r>
      <w:r w:rsidR="00A6657C" w:rsidRPr="004F2492">
        <w:rPr>
          <w:rFonts w:cs="Arial"/>
          <w:b/>
          <w:bCs/>
          <w:i/>
          <w:iCs/>
        </w:rPr>
        <w:t xml:space="preserve"> </w:t>
      </w:r>
      <w:r w:rsidR="000333FB" w:rsidRPr="004F2492">
        <w:rPr>
          <w:rFonts w:cs="Arial"/>
          <w:b/>
          <w:bCs/>
          <w:i/>
          <w:iCs/>
        </w:rPr>
        <w:t>articles</w:t>
      </w:r>
      <w:r w:rsidR="00A6657C" w:rsidRPr="004F2492">
        <w:rPr>
          <w:rFonts w:cs="Arial"/>
          <w:i/>
          <w:iCs/>
        </w:rPr>
        <w:t>")</w:t>
      </w:r>
      <w:r w:rsidR="00256EFD" w:rsidRPr="004F2492">
        <w:rPr>
          <w:rFonts w:cs="Arial"/>
          <w:i/>
          <w:iCs/>
        </w:rPr>
        <w:t>.</w:t>
      </w:r>
    </w:p>
    <w:p w14:paraId="59F55D41" w14:textId="77777777" w:rsidR="000314A2" w:rsidRPr="004F2492" w:rsidRDefault="000314A2" w:rsidP="00AD1F3B">
      <w:pPr>
        <w:tabs>
          <w:tab w:val="left" w:pos="4917"/>
        </w:tabs>
        <w:suppressAutoHyphens w:val="0"/>
        <w:spacing w:line="360" w:lineRule="auto"/>
        <w:ind w:right="40"/>
        <w:jc w:val="both"/>
        <w:rPr>
          <w:rFonts w:cs="Arial"/>
          <w:i/>
          <w:iCs/>
        </w:rPr>
      </w:pPr>
    </w:p>
    <w:p w14:paraId="701368EB" w14:textId="08E7F487" w:rsidR="007C518C" w:rsidRPr="004F2492" w:rsidRDefault="00A6657C" w:rsidP="00AD1F3B">
      <w:pPr>
        <w:tabs>
          <w:tab w:val="left" w:pos="4917"/>
        </w:tabs>
        <w:suppressAutoHyphens w:val="0"/>
        <w:spacing w:line="360" w:lineRule="auto"/>
        <w:ind w:right="40"/>
        <w:jc w:val="both"/>
        <w:rPr>
          <w:rFonts w:cs="Arial"/>
          <w:i/>
          <w:iCs/>
        </w:rPr>
      </w:pPr>
      <w:r w:rsidRPr="004F2492">
        <w:rPr>
          <w:rFonts w:cs="Arial"/>
          <w:i/>
          <w:iCs/>
        </w:rPr>
        <w:t xml:space="preserve">The applicant </w:t>
      </w:r>
      <w:r w:rsidR="00102F4C" w:rsidRPr="004F2492">
        <w:rPr>
          <w:rFonts w:cs="Arial"/>
          <w:i/>
          <w:iCs/>
        </w:rPr>
        <w:t xml:space="preserve">claims that its rights have been infringed and that the SAPS engaged in self-help.  </w:t>
      </w:r>
      <w:r w:rsidR="00071E2B" w:rsidRPr="004F2492">
        <w:rPr>
          <w:rFonts w:cs="Arial"/>
          <w:i/>
          <w:iCs/>
        </w:rPr>
        <w:t xml:space="preserve">It thus </w:t>
      </w:r>
      <w:r w:rsidRPr="004F2492">
        <w:rPr>
          <w:rFonts w:cs="Arial"/>
          <w:i/>
          <w:iCs/>
        </w:rPr>
        <w:t>s</w:t>
      </w:r>
      <w:r w:rsidR="00420F98" w:rsidRPr="004F2492">
        <w:rPr>
          <w:rFonts w:cs="Arial"/>
          <w:i/>
          <w:iCs/>
        </w:rPr>
        <w:t>ought the restoration of possession of</w:t>
      </w:r>
      <w:r w:rsidRPr="004F2492">
        <w:rPr>
          <w:rFonts w:cs="Arial"/>
          <w:i/>
          <w:iCs/>
        </w:rPr>
        <w:t xml:space="preserve"> the </w:t>
      </w:r>
      <w:r w:rsidR="000333FB" w:rsidRPr="004F2492">
        <w:rPr>
          <w:rFonts w:cs="Arial"/>
          <w:i/>
          <w:iCs/>
        </w:rPr>
        <w:t>relevant</w:t>
      </w:r>
      <w:r w:rsidRPr="004F2492">
        <w:rPr>
          <w:rFonts w:cs="Arial"/>
          <w:i/>
          <w:iCs/>
        </w:rPr>
        <w:t xml:space="preserve"> a</w:t>
      </w:r>
      <w:r w:rsidR="000333FB" w:rsidRPr="004F2492">
        <w:rPr>
          <w:rFonts w:cs="Arial"/>
          <w:i/>
          <w:iCs/>
        </w:rPr>
        <w:t>rticles</w:t>
      </w:r>
      <w:r w:rsidRPr="004F2492">
        <w:rPr>
          <w:rFonts w:cs="Arial"/>
          <w:i/>
          <w:iCs/>
        </w:rPr>
        <w:t xml:space="preserve"> by way of a </w:t>
      </w:r>
      <w:proofErr w:type="spellStart"/>
      <w:r w:rsidRPr="004F2492">
        <w:rPr>
          <w:rFonts w:cs="Arial"/>
          <w:i/>
          <w:iCs/>
        </w:rPr>
        <w:t>mandament</w:t>
      </w:r>
      <w:proofErr w:type="spellEnd"/>
      <w:r w:rsidRPr="004F2492">
        <w:rPr>
          <w:rFonts w:cs="Arial"/>
          <w:i/>
          <w:iCs/>
        </w:rPr>
        <w:t xml:space="preserve"> van </w:t>
      </w:r>
      <w:proofErr w:type="spellStart"/>
      <w:r w:rsidRPr="004F2492">
        <w:rPr>
          <w:rFonts w:cs="Arial"/>
          <w:i/>
          <w:iCs/>
        </w:rPr>
        <w:t>spolie</w:t>
      </w:r>
      <w:proofErr w:type="spellEnd"/>
      <w:r w:rsidR="00071E2B" w:rsidRPr="004F2492">
        <w:rPr>
          <w:rFonts w:cs="Arial"/>
          <w:i/>
          <w:iCs/>
        </w:rPr>
        <w:t>, from the SAPS and SAHPRA</w:t>
      </w:r>
      <w:r w:rsidR="002D12C0" w:rsidRPr="004F2492">
        <w:rPr>
          <w:rFonts w:cs="Arial"/>
          <w:i/>
          <w:iCs/>
        </w:rPr>
        <w:t>, against the broader rights to privacy and property</w:t>
      </w:r>
      <w:r w:rsidRPr="004F2492">
        <w:rPr>
          <w:rFonts w:cs="Arial"/>
          <w:i/>
          <w:iCs/>
        </w:rPr>
        <w:t>.</w:t>
      </w:r>
      <w:r w:rsidR="00770B7C" w:rsidRPr="004F2492">
        <w:rPr>
          <w:rFonts w:cs="Arial"/>
          <w:i/>
          <w:iCs/>
        </w:rPr>
        <w:t xml:space="preserve">  </w:t>
      </w:r>
      <w:r w:rsidR="00503753" w:rsidRPr="004F2492">
        <w:rPr>
          <w:rFonts w:cs="Arial"/>
          <w:i/>
          <w:iCs/>
        </w:rPr>
        <w:t>The SAPS and SAHPRA opposed the relief.  SAPS argued that the dispossession was lawful, having been authorised in terms of sections 20 and 26 of the Criminal Procedure Act, 1977</w:t>
      </w:r>
      <w:r w:rsidR="00092CD8" w:rsidRPr="004F2492">
        <w:rPr>
          <w:rFonts w:cs="Arial"/>
          <w:i/>
          <w:iCs/>
        </w:rPr>
        <w:t xml:space="preserve"> ("</w:t>
      </w:r>
      <w:r w:rsidR="00092CD8" w:rsidRPr="004F2492">
        <w:rPr>
          <w:rFonts w:cs="Arial"/>
          <w:b/>
          <w:bCs/>
          <w:i/>
          <w:iCs/>
        </w:rPr>
        <w:t>CPA</w:t>
      </w:r>
      <w:r w:rsidR="00092CD8" w:rsidRPr="004F2492">
        <w:rPr>
          <w:rFonts w:cs="Arial"/>
          <w:i/>
          <w:iCs/>
        </w:rPr>
        <w:t>")</w:t>
      </w:r>
      <w:r w:rsidR="00503753" w:rsidRPr="004F2492">
        <w:rPr>
          <w:rFonts w:cs="Arial"/>
          <w:i/>
          <w:iCs/>
        </w:rPr>
        <w:t>.  SAHPRA su</w:t>
      </w:r>
      <w:r w:rsidR="00C23A23" w:rsidRPr="004F2492">
        <w:rPr>
          <w:rFonts w:cs="Arial"/>
          <w:i/>
          <w:iCs/>
        </w:rPr>
        <w:t>bmitted that</w:t>
      </w:r>
      <w:proofErr w:type="gramStart"/>
      <w:r w:rsidR="00C23A23" w:rsidRPr="004F2492">
        <w:rPr>
          <w:rFonts w:cs="Arial"/>
          <w:i/>
          <w:iCs/>
        </w:rPr>
        <w:t>, placing substance over form, there</w:t>
      </w:r>
      <w:proofErr w:type="gramEnd"/>
      <w:r w:rsidR="00C23A23" w:rsidRPr="004F2492">
        <w:rPr>
          <w:rFonts w:cs="Arial"/>
          <w:i/>
          <w:iCs/>
        </w:rPr>
        <w:t xml:space="preserve"> was no basis to impugn the seizure of the </w:t>
      </w:r>
      <w:r w:rsidR="00610808" w:rsidRPr="004F2492">
        <w:rPr>
          <w:rFonts w:cs="Arial"/>
          <w:i/>
          <w:iCs/>
        </w:rPr>
        <w:t xml:space="preserve">relevant articles, and that in any event </w:t>
      </w:r>
      <w:r w:rsidR="0011778F" w:rsidRPr="004F2492">
        <w:rPr>
          <w:rFonts w:cs="Arial"/>
          <w:i/>
          <w:iCs/>
        </w:rPr>
        <w:t xml:space="preserve">any articles sought to be returned to the applicant should instead be </w:t>
      </w:r>
      <w:r w:rsidR="007C518C" w:rsidRPr="004F2492">
        <w:rPr>
          <w:rFonts w:cs="Arial"/>
          <w:i/>
          <w:iCs/>
        </w:rPr>
        <w:t xml:space="preserve">handed over to it.  </w:t>
      </w:r>
    </w:p>
    <w:p w14:paraId="0E03A5AB" w14:textId="77777777" w:rsidR="007C518C" w:rsidRPr="004F2492" w:rsidRDefault="007C518C" w:rsidP="00AD1F3B">
      <w:pPr>
        <w:tabs>
          <w:tab w:val="left" w:pos="4917"/>
        </w:tabs>
        <w:suppressAutoHyphens w:val="0"/>
        <w:spacing w:line="360" w:lineRule="auto"/>
        <w:ind w:right="40"/>
        <w:jc w:val="both"/>
        <w:rPr>
          <w:rFonts w:cs="Arial"/>
          <w:i/>
          <w:iCs/>
        </w:rPr>
      </w:pPr>
    </w:p>
    <w:p w14:paraId="681C2DAE" w14:textId="250BA438" w:rsidR="00092CD8" w:rsidRPr="004F2492" w:rsidRDefault="007C518C" w:rsidP="00AD1F3B">
      <w:pPr>
        <w:tabs>
          <w:tab w:val="left" w:pos="4917"/>
        </w:tabs>
        <w:suppressAutoHyphens w:val="0"/>
        <w:spacing w:line="360" w:lineRule="auto"/>
        <w:ind w:right="40"/>
        <w:jc w:val="both"/>
        <w:rPr>
          <w:rFonts w:cs="Arial"/>
          <w:i/>
          <w:iCs/>
        </w:rPr>
      </w:pPr>
      <w:r w:rsidRPr="004F2492">
        <w:rPr>
          <w:rFonts w:cs="Arial"/>
          <w:i/>
          <w:iCs/>
        </w:rPr>
        <w:t>The</w:t>
      </w:r>
      <w:r w:rsidR="009818BA" w:rsidRPr="004F2492">
        <w:rPr>
          <w:rFonts w:cs="Arial"/>
          <w:i/>
          <w:iCs/>
        </w:rPr>
        <w:t xml:space="preserve"> </w:t>
      </w:r>
      <w:r w:rsidR="00317ECF" w:rsidRPr="004F2492">
        <w:rPr>
          <w:rFonts w:cs="Arial"/>
          <w:i/>
          <w:iCs/>
        </w:rPr>
        <w:t xml:space="preserve">case </w:t>
      </w:r>
      <w:r w:rsidR="00EE3BB1" w:rsidRPr="004F2492">
        <w:rPr>
          <w:rFonts w:cs="Arial"/>
          <w:i/>
          <w:iCs/>
        </w:rPr>
        <w:t xml:space="preserve">raises important issues involving the common law, statutory </w:t>
      </w:r>
      <w:proofErr w:type="gramStart"/>
      <w:r w:rsidR="00EE3BB1" w:rsidRPr="004F2492">
        <w:rPr>
          <w:rFonts w:cs="Arial"/>
          <w:i/>
          <w:iCs/>
        </w:rPr>
        <w:t>interpretation</w:t>
      </w:r>
      <w:proofErr w:type="gramEnd"/>
      <w:r w:rsidR="00EE3BB1" w:rsidRPr="004F2492">
        <w:rPr>
          <w:rFonts w:cs="Arial"/>
          <w:i/>
          <w:iCs/>
        </w:rPr>
        <w:t xml:space="preserve"> and </w:t>
      </w:r>
      <w:r w:rsidR="003F59CB" w:rsidRPr="004F2492">
        <w:rPr>
          <w:rFonts w:cs="Arial"/>
          <w:i/>
          <w:iCs/>
        </w:rPr>
        <w:t xml:space="preserve">the remedial powers of courts in constitutional and spoliation matters.  On a proper </w:t>
      </w:r>
      <w:r w:rsidR="003F59CB" w:rsidRPr="004F2492">
        <w:rPr>
          <w:rFonts w:cs="Arial"/>
          <w:i/>
          <w:iCs/>
        </w:rPr>
        <w:lastRenderedPageBreak/>
        <w:t xml:space="preserve">construction of the CPA and application of the spoliation principles, the applicant's case had to succeed.  The </w:t>
      </w:r>
      <w:r w:rsidR="003D737A" w:rsidRPr="004F2492">
        <w:rPr>
          <w:rFonts w:cs="Arial"/>
          <w:i/>
          <w:iCs/>
        </w:rPr>
        <w:t>SAPS did not set forth in a reasoned fashion the basis on which seizure was justified, as contemplated in section 20 of the CPA.  Moreover, the SAPS had not established compliance with the requirements in section 22(b) of the CPA and appeared oblivious to its obligation to do so.</w:t>
      </w:r>
      <w:r w:rsidR="00D40DB6" w:rsidRPr="004F2492">
        <w:rPr>
          <w:rFonts w:cs="Arial"/>
          <w:i/>
          <w:iCs/>
        </w:rPr>
        <w:t xml:space="preserve">  Those requirements are peremptory and provide an important check on, and ensure the disciplined application of, law enforcement powers. </w:t>
      </w:r>
      <w:r w:rsidR="001C519B" w:rsidRPr="004F2492">
        <w:rPr>
          <w:rFonts w:cs="Arial"/>
          <w:i/>
          <w:iCs/>
        </w:rPr>
        <w:t xml:space="preserve"> On the other hand, no case for substantive relief has been made out against SAHPRA or the Council.</w:t>
      </w:r>
    </w:p>
    <w:p w14:paraId="1FC88644" w14:textId="77777777" w:rsidR="008641FD" w:rsidRPr="004F2492" w:rsidRDefault="008641FD" w:rsidP="00AD1F3B">
      <w:pPr>
        <w:tabs>
          <w:tab w:val="left" w:pos="4917"/>
        </w:tabs>
        <w:suppressAutoHyphens w:val="0"/>
        <w:spacing w:line="360" w:lineRule="auto"/>
        <w:ind w:right="40"/>
        <w:jc w:val="both"/>
        <w:rPr>
          <w:rFonts w:cs="Arial"/>
          <w:i/>
          <w:iCs/>
        </w:rPr>
      </w:pPr>
    </w:p>
    <w:p w14:paraId="532E2E47" w14:textId="7DFD3EE1" w:rsidR="008641FD" w:rsidRPr="004F2492" w:rsidRDefault="008641FD" w:rsidP="00AD1F3B">
      <w:pPr>
        <w:tabs>
          <w:tab w:val="left" w:pos="4917"/>
        </w:tabs>
        <w:suppressAutoHyphens w:val="0"/>
        <w:spacing w:line="360" w:lineRule="auto"/>
        <w:ind w:right="40"/>
        <w:jc w:val="both"/>
        <w:rPr>
          <w:rFonts w:cs="Arial"/>
          <w:i/>
          <w:iCs/>
        </w:rPr>
      </w:pPr>
      <w:r w:rsidRPr="004F2492">
        <w:rPr>
          <w:rFonts w:cs="Arial"/>
          <w:i/>
          <w:iCs/>
        </w:rPr>
        <w:t xml:space="preserve">This was not, however, the end of the matter and the Court retained </w:t>
      </w:r>
      <w:r w:rsidR="00FB52CD" w:rsidRPr="004F2492">
        <w:rPr>
          <w:rFonts w:cs="Arial"/>
          <w:i/>
          <w:iCs/>
        </w:rPr>
        <w:t>the power, and in fact had a duty, to grant just and equitable relief</w:t>
      </w:r>
      <w:r w:rsidR="00671B75" w:rsidRPr="004F2492">
        <w:rPr>
          <w:rFonts w:cs="Arial"/>
          <w:i/>
          <w:iCs/>
        </w:rPr>
        <w:t xml:space="preserve"> in terms of section 172 of the Constitution</w:t>
      </w:r>
      <w:r w:rsidR="00FB52CD" w:rsidRPr="004F2492">
        <w:rPr>
          <w:rFonts w:cs="Arial"/>
          <w:i/>
          <w:iCs/>
        </w:rPr>
        <w:t xml:space="preserve">, </w:t>
      </w:r>
      <w:proofErr w:type="gramStart"/>
      <w:r w:rsidR="00FB52CD" w:rsidRPr="004F2492">
        <w:rPr>
          <w:rFonts w:cs="Arial"/>
          <w:i/>
          <w:iCs/>
        </w:rPr>
        <w:t>taking into account</w:t>
      </w:r>
      <w:proofErr w:type="gramEnd"/>
      <w:r w:rsidR="00FB52CD" w:rsidRPr="004F2492">
        <w:rPr>
          <w:rFonts w:cs="Arial"/>
          <w:i/>
          <w:iCs/>
        </w:rPr>
        <w:t xml:space="preserve"> the circumstances of the case, both in relation to the </w:t>
      </w:r>
      <w:r w:rsidR="00C158FB" w:rsidRPr="004F2492">
        <w:rPr>
          <w:rFonts w:cs="Arial"/>
          <w:i/>
          <w:iCs/>
        </w:rPr>
        <w:t>substantive remedy and the costs order.</w:t>
      </w:r>
      <w:r w:rsidR="00FB52CD" w:rsidRPr="004F2492">
        <w:rPr>
          <w:rFonts w:cs="Arial"/>
          <w:i/>
          <w:iCs/>
        </w:rPr>
        <w:t xml:space="preserve"> </w:t>
      </w:r>
    </w:p>
    <w:p w14:paraId="2F48BF99" w14:textId="77777777" w:rsidR="00C158FB" w:rsidRPr="004F2492" w:rsidRDefault="00C158FB" w:rsidP="00AD1F3B">
      <w:pPr>
        <w:tabs>
          <w:tab w:val="left" w:pos="4917"/>
        </w:tabs>
        <w:suppressAutoHyphens w:val="0"/>
        <w:spacing w:line="360" w:lineRule="auto"/>
        <w:ind w:right="40"/>
        <w:jc w:val="both"/>
        <w:rPr>
          <w:rFonts w:cs="Arial"/>
          <w:i/>
          <w:iCs/>
        </w:rPr>
      </w:pPr>
    </w:p>
    <w:p w14:paraId="1B4BD3FB" w14:textId="1A036829" w:rsidR="00C158FB" w:rsidRPr="004F2492" w:rsidRDefault="00C158FB" w:rsidP="00AD1F3B">
      <w:pPr>
        <w:tabs>
          <w:tab w:val="left" w:pos="4917"/>
        </w:tabs>
        <w:suppressAutoHyphens w:val="0"/>
        <w:spacing w:line="360" w:lineRule="auto"/>
        <w:ind w:right="40"/>
        <w:jc w:val="both"/>
        <w:rPr>
          <w:rFonts w:cs="Arial"/>
          <w:i/>
          <w:iCs/>
        </w:rPr>
      </w:pPr>
      <w:r w:rsidRPr="004F2492">
        <w:rPr>
          <w:rFonts w:cs="Arial"/>
          <w:i/>
          <w:iCs/>
        </w:rPr>
        <w:t>In circumstances where there were overlapping powers by regulators and enforcement agencies and where two of the agencies (SAHPRA and the Council) conduct</w:t>
      </w:r>
      <w:r w:rsidR="00BD0E5A">
        <w:rPr>
          <w:rFonts w:cs="Arial"/>
          <w:i/>
          <w:iCs/>
        </w:rPr>
        <w:t>ed</w:t>
      </w:r>
      <w:r w:rsidRPr="004F2492">
        <w:rPr>
          <w:rFonts w:cs="Arial"/>
          <w:i/>
          <w:iCs/>
        </w:rPr>
        <w:t xml:space="preserve"> a thorough and lawful </w:t>
      </w:r>
      <w:r w:rsidR="00FF58AB" w:rsidRPr="004F2492">
        <w:rPr>
          <w:rFonts w:cs="Arial"/>
          <w:i/>
          <w:iCs/>
        </w:rPr>
        <w:t>inspection, and considered</w:t>
      </w:r>
      <w:r w:rsidR="00BD0E5A">
        <w:rPr>
          <w:rFonts w:cs="Arial"/>
          <w:i/>
          <w:iCs/>
        </w:rPr>
        <w:t xml:space="preserve"> at the time</w:t>
      </w:r>
      <w:r w:rsidR="00FF58AB" w:rsidRPr="004F2492">
        <w:rPr>
          <w:rFonts w:cs="Arial"/>
          <w:i/>
          <w:iCs/>
        </w:rPr>
        <w:t xml:space="preserve"> that there was a</w:t>
      </w:r>
      <w:r w:rsidR="00B90B07">
        <w:rPr>
          <w:rFonts w:cs="Arial"/>
          <w:i/>
          <w:iCs/>
        </w:rPr>
        <w:t xml:space="preserve"> proper</w:t>
      </w:r>
      <w:r w:rsidR="00FF58AB" w:rsidRPr="004F2492">
        <w:rPr>
          <w:rFonts w:cs="Arial"/>
          <w:i/>
          <w:iCs/>
        </w:rPr>
        <w:t xml:space="preserve"> basis </w:t>
      </w:r>
      <w:r w:rsidR="00A54254" w:rsidRPr="004F2492">
        <w:rPr>
          <w:rFonts w:cs="Arial"/>
          <w:i/>
          <w:iCs/>
        </w:rPr>
        <w:t xml:space="preserve">for seizing some of the relevant articles in terms of the </w:t>
      </w:r>
      <w:r w:rsidR="00A54254" w:rsidRPr="004F2492">
        <w:rPr>
          <w:i/>
          <w:iCs/>
        </w:rPr>
        <w:t>Medicines and Related Substances Act, 1965</w:t>
      </w:r>
      <w:r w:rsidR="00FF58AB" w:rsidRPr="004F2492">
        <w:rPr>
          <w:rFonts w:cs="Arial"/>
          <w:i/>
          <w:iCs/>
        </w:rPr>
        <w:t>, it was just and equitable to afford th</w:t>
      </w:r>
      <w:r w:rsidR="004316F8" w:rsidRPr="004F2492">
        <w:rPr>
          <w:rFonts w:cs="Arial"/>
          <w:i/>
          <w:iCs/>
        </w:rPr>
        <w:t xml:space="preserve">ose agencies the opportunity to exercise their statutory powers prior to the relevant articles being </w:t>
      </w:r>
      <w:r w:rsidR="00180415">
        <w:rPr>
          <w:rFonts w:cs="Arial"/>
          <w:i/>
          <w:iCs/>
        </w:rPr>
        <w:t>returned</w:t>
      </w:r>
      <w:r w:rsidR="001C519B" w:rsidRPr="004F2492">
        <w:rPr>
          <w:rFonts w:cs="Arial"/>
          <w:i/>
          <w:iCs/>
        </w:rPr>
        <w:t xml:space="preserve"> to</w:t>
      </w:r>
      <w:r w:rsidR="004316F8" w:rsidRPr="004F2492">
        <w:rPr>
          <w:rFonts w:cs="Arial"/>
          <w:i/>
          <w:iCs/>
        </w:rPr>
        <w:t xml:space="preserve"> the </w:t>
      </w:r>
      <w:r w:rsidR="001C519B" w:rsidRPr="004F2492">
        <w:rPr>
          <w:rFonts w:cs="Arial"/>
          <w:i/>
          <w:iCs/>
        </w:rPr>
        <w:t>applicant.</w:t>
      </w:r>
      <w:r w:rsidRPr="004F2492">
        <w:rPr>
          <w:rFonts w:cs="Arial"/>
          <w:i/>
          <w:iCs/>
        </w:rPr>
        <w:t xml:space="preserve"> </w:t>
      </w:r>
    </w:p>
    <w:p w14:paraId="0DD31670" w14:textId="77777777" w:rsidR="001C519B" w:rsidRPr="004F2492" w:rsidRDefault="001C519B" w:rsidP="00AD1F3B">
      <w:pPr>
        <w:tabs>
          <w:tab w:val="left" w:pos="4917"/>
        </w:tabs>
        <w:suppressAutoHyphens w:val="0"/>
        <w:spacing w:line="360" w:lineRule="auto"/>
        <w:ind w:right="40"/>
        <w:jc w:val="both"/>
        <w:rPr>
          <w:rFonts w:cs="Arial"/>
          <w:i/>
          <w:iCs/>
        </w:rPr>
      </w:pPr>
    </w:p>
    <w:p w14:paraId="703FB988" w14:textId="069D229E" w:rsidR="001C519B" w:rsidRPr="004F2492" w:rsidRDefault="001C519B" w:rsidP="00AD1F3B">
      <w:pPr>
        <w:tabs>
          <w:tab w:val="left" w:pos="4917"/>
        </w:tabs>
        <w:suppressAutoHyphens w:val="0"/>
        <w:spacing w:line="360" w:lineRule="auto"/>
        <w:ind w:right="40"/>
        <w:jc w:val="both"/>
        <w:rPr>
          <w:rFonts w:cs="Arial"/>
          <w:i/>
          <w:iCs/>
        </w:rPr>
      </w:pPr>
      <w:r w:rsidRPr="004F2492">
        <w:rPr>
          <w:rFonts w:cs="Arial"/>
          <w:i/>
          <w:iCs/>
        </w:rPr>
        <w:t>The SAPS was declared liable for the applicant's costs, save any costs incurred by virtue of SAHPRA's opposition.</w:t>
      </w:r>
      <w:r w:rsidR="004F2492">
        <w:rPr>
          <w:rFonts w:cs="Arial"/>
          <w:i/>
          <w:iCs/>
        </w:rPr>
        <w:t xml:space="preserve">  </w:t>
      </w:r>
    </w:p>
    <w:p w14:paraId="69880EFB" w14:textId="77777777" w:rsidR="00180E8B" w:rsidRDefault="00180E8B" w:rsidP="00AD1F3B">
      <w:pPr>
        <w:tabs>
          <w:tab w:val="left" w:pos="4917"/>
        </w:tabs>
        <w:suppressAutoHyphens w:val="0"/>
        <w:spacing w:line="360" w:lineRule="auto"/>
        <w:ind w:right="40"/>
        <w:jc w:val="both"/>
        <w:rPr>
          <w:rFonts w:cs="Arial"/>
        </w:rPr>
      </w:pPr>
    </w:p>
    <w:p w14:paraId="05AA00E3" w14:textId="77777777" w:rsidR="00671B75" w:rsidRDefault="00671B75" w:rsidP="00671B75">
      <w:pPr>
        <w:tabs>
          <w:tab w:val="left" w:pos="4917"/>
        </w:tabs>
        <w:suppressAutoHyphens w:val="0"/>
        <w:spacing w:line="360" w:lineRule="auto"/>
        <w:ind w:right="40"/>
        <w:jc w:val="both"/>
        <w:rPr>
          <w:rFonts w:cs="Arial"/>
        </w:rPr>
      </w:pPr>
      <w:r>
        <w:rPr>
          <w:rFonts w:cs="Arial"/>
        </w:rPr>
        <w:t>Heard:  7 July 2023</w:t>
      </w:r>
    </w:p>
    <w:p w14:paraId="65F0A847" w14:textId="77777777" w:rsidR="00671B75" w:rsidRDefault="00671B75" w:rsidP="00671B75">
      <w:pPr>
        <w:tabs>
          <w:tab w:val="left" w:pos="4917"/>
        </w:tabs>
        <w:suppressAutoHyphens w:val="0"/>
        <w:spacing w:line="360" w:lineRule="auto"/>
        <w:ind w:right="40"/>
        <w:jc w:val="both"/>
        <w:rPr>
          <w:rFonts w:cs="Arial"/>
        </w:rPr>
      </w:pPr>
      <w:r>
        <w:rPr>
          <w:rFonts w:cs="Arial"/>
        </w:rPr>
        <w:t>Judgment:  3 April 2024</w:t>
      </w:r>
    </w:p>
    <w:p w14:paraId="5863BF2D" w14:textId="77777777" w:rsidR="00671B75" w:rsidRPr="005869AB" w:rsidRDefault="00671B75" w:rsidP="00AD1F3B">
      <w:pPr>
        <w:tabs>
          <w:tab w:val="left" w:pos="4917"/>
        </w:tabs>
        <w:suppressAutoHyphens w:val="0"/>
        <w:spacing w:line="360" w:lineRule="auto"/>
        <w:ind w:right="40"/>
        <w:jc w:val="both"/>
        <w:rPr>
          <w:rFonts w:cs="Arial"/>
        </w:rPr>
      </w:pPr>
    </w:p>
    <w:p w14:paraId="5BDDEBD4" w14:textId="77777777" w:rsidR="008F5D51" w:rsidRPr="005869AB" w:rsidRDefault="00000000" w:rsidP="006F3A1F">
      <w:pPr>
        <w:tabs>
          <w:tab w:val="left" w:pos="4917"/>
        </w:tabs>
        <w:suppressAutoHyphens w:val="0"/>
        <w:ind w:right="42"/>
        <w:jc w:val="both"/>
        <w:rPr>
          <w:rFonts w:cs="Arial"/>
          <w:b/>
        </w:rPr>
      </w:pPr>
      <w:r>
        <w:rPr>
          <w:rFonts w:cs="Arial"/>
          <w:b/>
        </w:rPr>
        <w:pict w14:anchorId="5BDDEC52">
          <v:rect id="_x0000_i1025" style="width:0;height:1.5pt" o:hralign="center" o:hrstd="t" o:hr="t" fillcolor="#a0a0a0" stroked="f"/>
        </w:pict>
      </w:r>
    </w:p>
    <w:p w14:paraId="5BDDEBD5" w14:textId="77777777" w:rsidR="002B0401" w:rsidRPr="005869AB" w:rsidRDefault="002B0401" w:rsidP="006F3A1F">
      <w:pPr>
        <w:suppressAutoHyphens w:val="0"/>
        <w:ind w:right="42"/>
        <w:jc w:val="center"/>
        <w:rPr>
          <w:rFonts w:cs="Arial"/>
          <w:b/>
        </w:rPr>
      </w:pPr>
    </w:p>
    <w:p w14:paraId="5BDDEBD6" w14:textId="1BB85396" w:rsidR="00716377" w:rsidRPr="005869AB" w:rsidRDefault="00E15237" w:rsidP="006F3A1F">
      <w:pPr>
        <w:suppressAutoHyphens w:val="0"/>
        <w:ind w:right="42"/>
        <w:jc w:val="center"/>
        <w:rPr>
          <w:rFonts w:cs="Arial"/>
          <w:b/>
        </w:rPr>
      </w:pPr>
      <w:r>
        <w:rPr>
          <w:rFonts w:cs="Arial"/>
          <w:b/>
        </w:rPr>
        <w:t>JUDGMENT</w:t>
      </w:r>
    </w:p>
    <w:p w14:paraId="5BDDEBD7" w14:textId="77777777" w:rsidR="002B0401" w:rsidRPr="005869AB" w:rsidRDefault="002B0401" w:rsidP="006F3A1F">
      <w:pPr>
        <w:suppressAutoHyphens w:val="0"/>
        <w:ind w:right="42"/>
        <w:jc w:val="center"/>
        <w:rPr>
          <w:rFonts w:cs="Arial"/>
          <w:b/>
        </w:rPr>
      </w:pPr>
    </w:p>
    <w:p w14:paraId="5BDDEBD8" w14:textId="77777777" w:rsidR="00716377" w:rsidRPr="005869AB" w:rsidRDefault="00000000" w:rsidP="006F3A1F">
      <w:pPr>
        <w:suppressAutoHyphens w:val="0"/>
        <w:ind w:right="42"/>
        <w:jc w:val="both"/>
        <w:rPr>
          <w:rFonts w:cs="Arial"/>
          <w:b/>
        </w:rPr>
      </w:pPr>
      <w:r>
        <w:rPr>
          <w:rFonts w:cs="Arial"/>
          <w:b/>
        </w:rPr>
        <w:pict w14:anchorId="5BDDEC53">
          <v:rect id="_x0000_i1026" style="width:0;height:1.5pt" o:hralign="center" o:hrstd="t" o:hr="t" fillcolor="#a0a0a0" stroked="f"/>
        </w:pict>
      </w:r>
    </w:p>
    <w:p w14:paraId="5BDDEBD9" w14:textId="6796B39B" w:rsidR="007A62E2" w:rsidRDefault="005078B7" w:rsidP="00AD1F3B">
      <w:pPr>
        <w:suppressAutoHyphens w:val="0"/>
        <w:spacing w:before="240" w:after="240" w:line="360" w:lineRule="auto"/>
        <w:ind w:left="720" w:right="40" w:hanging="720"/>
        <w:jc w:val="both"/>
        <w:rPr>
          <w:rFonts w:cs="Arial"/>
          <w:b/>
        </w:rPr>
      </w:pPr>
      <w:r w:rsidRPr="00642437">
        <w:rPr>
          <w:rFonts w:cs="Arial"/>
          <w:b/>
        </w:rPr>
        <w:t>MOVSHOVICH AJ:</w:t>
      </w:r>
    </w:p>
    <w:p w14:paraId="0C9507D9" w14:textId="77777777" w:rsidR="00BE5B5C" w:rsidRDefault="00BE5B5C" w:rsidP="00BE5B5C">
      <w:pPr>
        <w:rPr>
          <w:rFonts w:eastAsia="Arial" w:cs="Arial"/>
          <w:b/>
          <w:bCs/>
        </w:rPr>
      </w:pPr>
      <w:r w:rsidRPr="00793A94">
        <w:rPr>
          <w:rFonts w:eastAsia="Arial" w:cs="Arial"/>
          <w:b/>
          <w:bCs/>
          <w:u w:val="single"/>
        </w:rPr>
        <w:t>Introduction</w:t>
      </w:r>
    </w:p>
    <w:p w14:paraId="4C5AC841" w14:textId="77777777" w:rsidR="00BE5B5C" w:rsidRPr="00EA3F93" w:rsidRDefault="00BE5B5C" w:rsidP="00BE5B5C">
      <w:pPr>
        <w:rPr>
          <w:rFonts w:eastAsia="Arial" w:cs="Arial"/>
          <w:b/>
          <w:bCs/>
        </w:rPr>
      </w:pPr>
    </w:p>
    <w:p w14:paraId="62531AB5" w14:textId="35A719C9" w:rsidR="00640A84" w:rsidRDefault="009728ED" w:rsidP="009728ED">
      <w:pPr>
        <w:pStyle w:val="WWList1"/>
        <w:numPr>
          <w:ilvl w:val="0"/>
          <w:numId w:val="0"/>
        </w:numPr>
        <w:tabs>
          <w:tab w:val="left" w:pos="567"/>
        </w:tabs>
        <w:ind w:left="567" w:hanging="567"/>
      </w:pPr>
      <w:r>
        <w:lastRenderedPageBreak/>
        <w:t>1.</w:t>
      </w:r>
      <w:r>
        <w:tab/>
      </w:r>
      <w:r w:rsidR="00474ECE">
        <w:t>This is an application for the re</w:t>
      </w:r>
      <w:r w:rsidR="008B00A6">
        <w:t xml:space="preserve">storation of possession of </w:t>
      </w:r>
      <w:r w:rsidR="00074DFB">
        <w:t>the</w:t>
      </w:r>
      <w:r w:rsidR="00640A84">
        <w:t xml:space="preserve"> articles</w:t>
      </w:r>
      <w:r w:rsidR="00232041">
        <w:t xml:space="preserve"> listed in annex </w:t>
      </w:r>
      <w:r w:rsidR="0006657B">
        <w:t xml:space="preserve">marked </w:t>
      </w:r>
      <w:r w:rsidR="00384068">
        <w:t>"</w:t>
      </w:r>
      <w:r w:rsidR="00384068" w:rsidRPr="0006657B">
        <w:rPr>
          <w:b/>
          <w:bCs/>
        </w:rPr>
        <w:t>NOM1</w:t>
      </w:r>
      <w:r w:rsidR="00384068">
        <w:t>"</w:t>
      </w:r>
      <w:r w:rsidR="00232041">
        <w:t xml:space="preserve"> to the notice of motion</w:t>
      </w:r>
      <w:r w:rsidR="0006657B">
        <w:t xml:space="preserve"> and any other article</w:t>
      </w:r>
      <w:r w:rsidR="00A75565">
        <w:t>s</w:t>
      </w:r>
      <w:r w:rsidR="00447091">
        <w:t xml:space="preserve"> </w:t>
      </w:r>
      <w:r w:rsidR="00640A84">
        <w:t>removed</w:t>
      </w:r>
      <w:r w:rsidR="00A75565">
        <w:t xml:space="preserve"> on or about 22 May 2023</w:t>
      </w:r>
      <w:r w:rsidR="00640A84">
        <w:t xml:space="preserve"> from the </w:t>
      </w:r>
      <w:r w:rsidR="00055B52">
        <w:t>applicant's premises</w:t>
      </w:r>
      <w:r w:rsidR="00190CAE">
        <w:t>, together with any copies thereof</w:t>
      </w:r>
      <w:r w:rsidR="00A75565">
        <w:t xml:space="preserve"> (</w:t>
      </w:r>
      <w:r w:rsidR="00FE508E">
        <w:t xml:space="preserve">collectively, </w:t>
      </w:r>
      <w:r w:rsidR="00A75565">
        <w:t>"</w:t>
      </w:r>
      <w:r w:rsidR="00A75565" w:rsidRPr="00447091">
        <w:rPr>
          <w:b/>
          <w:bCs/>
        </w:rPr>
        <w:t>the relevant articles</w:t>
      </w:r>
      <w:r w:rsidR="00A75565">
        <w:t>")</w:t>
      </w:r>
      <w:r w:rsidR="00074DFB">
        <w:t>.  The relevant articles include</w:t>
      </w:r>
      <w:r w:rsidR="00640A84">
        <w:t xml:space="preserve">: </w:t>
      </w:r>
    </w:p>
    <w:p w14:paraId="51C14DD4" w14:textId="3613EE3B" w:rsidR="00BE5B5C" w:rsidRDefault="009728ED" w:rsidP="009728ED">
      <w:pPr>
        <w:pStyle w:val="WWList2"/>
        <w:numPr>
          <w:ilvl w:val="0"/>
          <w:numId w:val="0"/>
        </w:numPr>
        <w:tabs>
          <w:tab w:val="left" w:pos="1134"/>
        </w:tabs>
        <w:ind w:left="1134" w:hanging="1134"/>
      </w:pPr>
      <w:r>
        <w:t>1.1</w:t>
      </w:r>
      <w:r>
        <w:tab/>
      </w:r>
      <w:r w:rsidR="00640A84">
        <w:t>medical cannabis</w:t>
      </w:r>
      <w:r w:rsidR="00355419">
        <w:t xml:space="preserve">, packaged and in bulk </w:t>
      </w:r>
      <w:proofErr w:type="gramStart"/>
      <w:r w:rsidR="00355419">
        <w:t>packaging;</w:t>
      </w:r>
      <w:proofErr w:type="gramEnd"/>
    </w:p>
    <w:p w14:paraId="0F744016" w14:textId="6E79147D" w:rsidR="00355419" w:rsidRDefault="009728ED" w:rsidP="009728ED">
      <w:pPr>
        <w:pStyle w:val="WWList2"/>
        <w:numPr>
          <w:ilvl w:val="0"/>
          <w:numId w:val="0"/>
        </w:numPr>
        <w:tabs>
          <w:tab w:val="left" w:pos="1134"/>
        </w:tabs>
        <w:ind w:left="1134" w:hanging="1134"/>
      </w:pPr>
      <w:r>
        <w:t>1.2</w:t>
      </w:r>
      <w:r>
        <w:tab/>
      </w:r>
      <w:r w:rsidR="00355419">
        <w:t xml:space="preserve">cannabis </w:t>
      </w:r>
      <w:r w:rsidR="000C70E0">
        <w:t>"</w:t>
      </w:r>
      <w:r w:rsidR="00355419">
        <w:t>edibles</w:t>
      </w:r>
      <w:r w:rsidR="000C70E0">
        <w:t xml:space="preserve">", including strips, toffees and </w:t>
      </w:r>
      <w:proofErr w:type="gramStart"/>
      <w:r w:rsidR="000C70E0">
        <w:t>gummies;</w:t>
      </w:r>
      <w:proofErr w:type="gramEnd"/>
    </w:p>
    <w:p w14:paraId="3BAA47E4" w14:textId="11D68A01" w:rsidR="000C70E0" w:rsidRDefault="009728ED" w:rsidP="009728ED">
      <w:pPr>
        <w:pStyle w:val="WWList2"/>
        <w:numPr>
          <w:ilvl w:val="0"/>
          <w:numId w:val="0"/>
        </w:numPr>
        <w:tabs>
          <w:tab w:val="left" w:pos="1134"/>
        </w:tabs>
        <w:ind w:left="1134" w:hanging="1134"/>
      </w:pPr>
      <w:r>
        <w:t>1.3</w:t>
      </w:r>
      <w:r>
        <w:tab/>
      </w:r>
      <w:r w:rsidR="00366CF3">
        <w:t>c</w:t>
      </w:r>
      <w:r w:rsidR="00366CF3" w:rsidRPr="00366CF3">
        <w:t>annabidiol</w:t>
      </w:r>
      <w:r w:rsidR="00366CF3">
        <w:t xml:space="preserve"> </w:t>
      </w:r>
      <w:r w:rsidR="00CE2133">
        <w:t xml:space="preserve">skin and beauty care </w:t>
      </w:r>
      <w:proofErr w:type="gramStart"/>
      <w:r w:rsidR="00CE2133">
        <w:t>products;</w:t>
      </w:r>
      <w:proofErr w:type="gramEnd"/>
    </w:p>
    <w:p w14:paraId="176FD5F7" w14:textId="14E4351E" w:rsidR="00CE2133" w:rsidRDefault="009728ED" w:rsidP="009728ED">
      <w:pPr>
        <w:pStyle w:val="WWList2"/>
        <w:numPr>
          <w:ilvl w:val="0"/>
          <w:numId w:val="0"/>
        </w:numPr>
        <w:tabs>
          <w:tab w:val="left" w:pos="1134"/>
        </w:tabs>
        <w:ind w:left="1134" w:hanging="1134"/>
      </w:pPr>
      <w:r>
        <w:t>1.4</w:t>
      </w:r>
      <w:r>
        <w:tab/>
      </w:r>
      <w:r w:rsidR="00DF6316">
        <w:t>cannabis flowers or "</w:t>
      </w:r>
      <w:r w:rsidR="00CE2133">
        <w:t>pre-rolled cannabis</w:t>
      </w:r>
      <w:proofErr w:type="gramStart"/>
      <w:r w:rsidR="00DF6316">
        <w:t>"</w:t>
      </w:r>
      <w:r w:rsidR="00CE2133">
        <w:t>;</w:t>
      </w:r>
      <w:proofErr w:type="gramEnd"/>
    </w:p>
    <w:p w14:paraId="45D1F9B8" w14:textId="63C197AA" w:rsidR="00CE2133" w:rsidRPr="00F9077A" w:rsidRDefault="009728ED" w:rsidP="009728ED">
      <w:pPr>
        <w:pStyle w:val="WWList2"/>
        <w:numPr>
          <w:ilvl w:val="0"/>
          <w:numId w:val="0"/>
        </w:numPr>
        <w:tabs>
          <w:tab w:val="left" w:pos="1134"/>
        </w:tabs>
        <w:ind w:left="1134" w:hanging="1134"/>
      </w:pPr>
      <w:r w:rsidRPr="00F9077A">
        <w:t>1.5</w:t>
      </w:r>
      <w:r w:rsidRPr="00F9077A">
        <w:tab/>
      </w:r>
      <w:r w:rsidR="00953A74">
        <w:t>pharmacy records, including patient information, doctor scripts</w:t>
      </w:r>
      <w:r w:rsidR="00447091">
        <w:t xml:space="preserve"> and invoices.</w:t>
      </w:r>
    </w:p>
    <w:p w14:paraId="700736D1" w14:textId="486848E7" w:rsidR="00447091" w:rsidRDefault="009728ED" w:rsidP="009728ED">
      <w:pPr>
        <w:pStyle w:val="WWList1"/>
        <w:numPr>
          <w:ilvl w:val="0"/>
          <w:numId w:val="0"/>
        </w:numPr>
        <w:tabs>
          <w:tab w:val="left" w:pos="567"/>
        </w:tabs>
        <w:ind w:left="567" w:hanging="567"/>
      </w:pPr>
      <w:r>
        <w:t>2.</w:t>
      </w:r>
      <w:r>
        <w:tab/>
      </w:r>
      <w:r w:rsidR="00447091">
        <w:t xml:space="preserve">The </w:t>
      </w:r>
      <w:r w:rsidR="00EC5BFA">
        <w:t>application is based</w:t>
      </w:r>
      <w:r w:rsidR="008F5F25">
        <w:t xml:space="preserve"> principally</w:t>
      </w:r>
      <w:r w:rsidR="00EC5BFA">
        <w:t xml:space="preserve"> on the </w:t>
      </w:r>
      <w:proofErr w:type="spellStart"/>
      <w:r w:rsidR="00EC5BFA" w:rsidRPr="007E6458">
        <w:rPr>
          <w:i/>
          <w:iCs/>
        </w:rPr>
        <w:t>mandament</w:t>
      </w:r>
      <w:proofErr w:type="spellEnd"/>
      <w:r w:rsidR="00EC5BFA" w:rsidRPr="007E6458">
        <w:rPr>
          <w:i/>
          <w:iCs/>
        </w:rPr>
        <w:t xml:space="preserve"> van </w:t>
      </w:r>
      <w:proofErr w:type="spellStart"/>
      <w:r w:rsidR="00EC5BFA" w:rsidRPr="007E6458">
        <w:rPr>
          <w:i/>
          <w:iCs/>
        </w:rPr>
        <w:t>spolie</w:t>
      </w:r>
      <w:proofErr w:type="spellEnd"/>
      <w:r w:rsidR="00111109">
        <w:t xml:space="preserve">.  The applicant alleges that it is entitled to the order as it was in possession of the relevant articles at the time of dispossession and </w:t>
      </w:r>
      <w:r w:rsidR="00EF08E9">
        <w:t xml:space="preserve">the dispossession was unlawful.  In the latter regard, the applicant alleges that the </w:t>
      </w:r>
      <w:r w:rsidR="007E6458">
        <w:t xml:space="preserve">search and seizure pursuant to which the dispossession occurred was </w:t>
      </w:r>
      <w:r w:rsidR="0027753C">
        <w:t xml:space="preserve">not conducted in accordance with </w:t>
      </w:r>
      <w:r w:rsidR="006B59AC">
        <w:t>legal requirements.</w:t>
      </w:r>
    </w:p>
    <w:p w14:paraId="08236050" w14:textId="479C0B3F" w:rsidR="006B59AC" w:rsidRDefault="009728ED" w:rsidP="009728ED">
      <w:pPr>
        <w:pStyle w:val="WWList1"/>
        <w:numPr>
          <w:ilvl w:val="0"/>
          <w:numId w:val="0"/>
        </w:numPr>
        <w:tabs>
          <w:tab w:val="left" w:pos="567"/>
        </w:tabs>
        <w:ind w:left="567" w:hanging="567"/>
      </w:pPr>
      <w:r>
        <w:t>3.</w:t>
      </w:r>
      <w:r>
        <w:tab/>
      </w:r>
      <w:r w:rsidR="006B59AC">
        <w:t xml:space="preserve">In those circumstances, the applicant avers, the Court must order the return </w:t>
      </w:r>
      <w:r w:rsidR="00AD162B">
        <w:t>of the relevant articles</w:t>
      </w:r>
      <w:r w:rsidR="00373DDD">
        <w:t xml:space="preserve"> without more</w:t>
      </w:r>
      <w:r w:rsidR="00AD162B">
        <w:t>.</w:t>
      </w:r>
    </w:p>
    <w:p w14:paraId="09CE53E6" w14:textId="68EF522B" w:rsidR="006E4181" w:rsidRPr="00BC6810" w:rsidRDefault="00DA12B5" w:rsidP="003C6483">
      <w:pPr>
        <w:pStyle w:val="WWList1"/>
        <w:keepNext/>
        <w:numPr>
          <w:ilvl w:val="0"/>
          <w:numId w:val="0"/>
        </w:numPr>
        <w:rPr>
          <w:b/>
          <w:bCs/>
          <w:u w:val="single"/>
        </w:rPr>
      </w:pPr>
      <w:r w:rsidRPr="00793A94">
        <w:rPr>
          <w:b/>
          <w:bCs/>
          <w:u w:val="single"/>
        </w:rPr>
        <w:t>Parties</w:t>
      </w:r>
    </w:p>
    <w:p w14:paraId="48146D14" w14:textId="5D274C04" w:rsidR="00BC6810" w:rsidRDefault="009728ED" w:rsidP="009728ED">
      <w:pPr>
        <w:pStyle w:val="WWList1"/>
        <w:numPr>
          <w:ilvl w:val="0"/>
          <w:numId w:val="0"/>
        </w:numPr>
        <w:tabs>
          <w:tab w:val="left" w:pos="567"/>
        </w:tabs>
        <w:ind w:left="567" w:hanging="567"/>
      </w:pPr>
      <w:r>
        <w:t>4.</w:t>
      </w:r>
      <w:r>
        <w:tab/>
      </w:r>
      <w:r w:rsidR="0033038B">
        <w:t xml:space="preserve">The applicant </w:t>
      </w:r>
      <w:r w:rsidR="00294B5B">
        <w:t>is THC The Health Centre (Pty) Ltd t/a THC Pharmacy.  In this judgment, I shall continue to refer to it as "</w:t>
      </w:r>
      <w:r w:rsidR="00294B5B" w:rsidRPr="002C2725">
        <w:rPr>
          <w:b/>
          <w:bCs/>
        </w:rPr>
        <w:t>the applicant</w:t>
      </w:r>
      <w:r w:rsidR="00294B5B">
        <w:t xml:space="preserve">", </w:t>
      </w:r>
      <w:r w:rsidR="00F5630C">
        <w:t>to avoid any confusion</w:t>
      </w:r>
      <w:r w:rsidR="003334FC">
        <w:t xml:space="preserve"> with</w:t>
      </w:r>
      <w:r w:rsidR="00F5630C">
        <w:t xml:space="preserve"> </w:t>
      </w:r>
      <w:r w:rsidR="002C2725" w:rsidRPr="002C2725">
        <w:t>tetrahydrocannabinol</w:t>
      </w:r>
      <w:r w:rsidR="002C2725">
        <w:t>, also referred to as THC</w:t>
      </w:r>
      <w:r w:rsidR="00D30E7C">
        <w:t>, a chemical found in cannabis</w:t>
      </w:r>
      <w:r w:rsidR="002C2725">
        <w:t xml:space="preserve">. </w:t>
      </w:r>
    </w:p>
    <w:p w14:paraId="4701A4B5" w14:textId="166FE16A" w:rsidR="00BC6810" w:rsidRDefault="009728ED" w:rsidP="009728ED">
      <w:pPr>
        <w:pStyle w:val="WWList1"/>
        <w:numPr>
          <w:ilvl w:val="0"/>
          <w:numId w:val="0"/>
        </w:numPr>
        <w:tabs>
          <w:tab w:val="left" w:pos="567"/>
        </w:tabs>
        <w:ind w:left="567" w:hanging="567"/>
      </w:pPr>
      <w:r>
        <w:t>5.</w:t>
      </w:r>
      <w:r>
        <w:tab/>
      </w:r>
      <w:r w:rsidR="000740B7">
        <w:t>The first respondent is the South African Health Products Regulatory Authority ("</w:t>
      </w:r>
      <w:r w:rsidR="000740B7" w:rsidRPr="009D31EC">
        <w:rPr>
          <w:b/>
          <w:bCs/>
        </w:rPr>
        <w:t>SAHPRA</w:t>
      </w:r>
      <w:r w:rsidR="000740B7">
        <w:t xml:space="preserve">"), the </w:t>
      </w:r>
      <w:r w:rsidR="009D31EC">
        <w:t>statutory body which regulates health products in South Africa.</w:t>
      </w:r>
    </w:p>
    <w:p w14:paraId="3B83C04E" w14:textId="434057AA" w:rsidR="00BC6810" w:rsidRDefault="009728ED" w:rsidP="009728ED">
      <w:pPr>
        <w:pStyle w:val="WWList1"/>
        <w:numPr>
          <w:ilvl w:val="0"/>
          <w:numId w:val="0"/>
        </w:numPr>
        <w:tabs>
          <w:tab w:val="left" w:pos="567"/>
        </w:tabs>
        <w:ind w:left="567" w:hanging="567"/>
      </w:pPr>
      <w:r>
        <w:lastRenderedPageBreak/>
        <w:t>6.</w:t>
      </w:r>
      <w:r>
        <w:tab/>
      </w:r>
      <w:r w:rsidR="006F4BF4">
        <w:t xml:space="preserve">The second respondent is the Minister of Police, the Minister of State responsible for policing </w:t>
      </w:r>
      <w:r w:rsidR="00BA0452">
        <w:t xml:space="preserve">in the Republic and the executive authority responsible for the </w:t>
      </w:r>
      <w:r w:rsidR="00217B83">
        <w:t>South African Police Service</w:t>
      </w:r>
      <w:r w:rsidR="00BA0452">
        <w:t xml:space="preserve"> and the third and fourth respondents are, respectively, the direct</w:t>
      </w:r>
      <w:r w:rsidR="00217B83">
        <w:t xml:space="preserve">orate </w:t>
      </w:r>
      <w:r w:rsidR="00EF6432">
        <w:t xml:space="preserve">and the investigating officers </w:t>
      </w:r>
      <w:r w:rsidR="00217B83">
        <w:t>within the Police Service</w:t>
      </w:r>
      <w:r w:rsidR="00EF6432">
        <w:t xml:space="preserve"> who represented the Police Service </w:t>
      </w:r>
      <w:r w:rsidR="00EF241D">
        <w:t>at all relevant times in this matter.  I shall refer to the second to fourth respondents as the "</w:t>
      </w:r>
      <w:r w:rsidR="00EF241D" w:rsidRPr="00EF241D">
        <w:rPr>
          <w:b/>
          <w:bCs/>
        </w:rPr>
        <w:t>SAPS</w:t>
      </w:r>
      <w:r w:rsidR="00EF241D">
        <w:t>".</w:t>
      </w:r>
      <w:r w:rsidR="00217B83">
        <w:t xml:space="preserve"> </w:t>
      </w:r>
    </w:p>
    <w:p w14:paraId="66801F88" w14:textId="385F8364" w:rsidR="006F11F0" w:rsidRDefault="009728ED" w:rsidP="009728ED">
      <w:pPr>
        <w:pStyle w:val="WWList1"/>
        <w:numPr>
          <w:ilvl w:val="0"/>
          <w:numId w:val="0"/>
        </w:numPr>
        <w:tabs>
          <w:tab w:val="left" w:pos="567"/>
        </w:tabs>
        <w:ind w:left="567" w:hanging="567"/>
      </w:pPr>
      <w:r>
        <w:t>7.</w:t>
      </w:r>
      <w:r>
        <w:tab/>
      </w:r>
      <w:r w:rsidR="006F11F0">
        <w:t>SAHPRA and SAPS oppose the relief sought.</w:t>
      </w:r>
    </w:p>
    <w:p w14:paraId="53195B25" w14:textId="353E76C7" w:rsidR="00BC6810" w:rsidRDefault="009728ED" w:rsidP="009728ED">
      <w:pPr>
        <w:pStyle w:val="WWList1"/>
        <w:numPr>
          <w:ilvl w:val="0"/>
          <w:numId w:val="0"/>
        </w:numPr>
        <w:tabs>
          <w:tab w:val="left" w:pos="567"/>
        </w:tabs>
        <w:ind w:left="567" w:hanging="567"/>
      </w:pPr>
      <w:r>
        <w:t>8.</w:t>
      </w:r>
      <w:r>
        <w:tab/>
      </w:r>
      <w:r w:rsidR="006F11F0">
        <w:t xml:space="preserve">The fifth respondent is the South African Pharmacy Council </w:t>
      </w:r>
      <w:r w:rsidR="003D7789">
        <w:t>("</w:t>
      </w:r>
      <w:r w:rsidR="003D7789" w:rsidRPr="00A66963">
        <w:rPr>
          <w:b/>
          <w:bCs/>
        </w:rPr>
        <w:t>the</w:t>
      </w:r>
      <w:r w:rsidR="00636440">
        <w:rPr>
          <w:b/>
          <w:bCs/>
        </w:rPr>
        <w:t xml:space="preserve"> </w:t>
      </w:r>
      <w:r w:rsidR="003D7789" w:rsidRPr="00A66963">
        <w:rPr>
          <w:b/>
          <w:bCs/>
        </w:rPr>
        <w:t>Council</w:t>
      </w:r>
      <w:r w:rsidR="003D7789">
        <w:t>").  The Council</w:t>
      </w:r>
      <w:r w:rsidR="00F92DA6">
        <w:t xml:space="preserve"> regulates pharmacists </w:t>
      </w:r>
      <w:r w:rsidR="00BD511D">
        <w:t>and pharmacy premises in the Republic.  It</w:t>
      </w:r>
      <w:r w:rsidR="003D7789">
        <w:t xml:space="preserve"> abides the decision of this Court</w:t>
      </w:r>
      <w:r w:rsidR="00636440">
        <w:t>.</w:t>
      </w:r>
    </w:p>
    <w:p w14:paraId="19732DAF" w14:textId="3AA1BCBB" w:rsidR="00487F3F" w:rsidRPr="00487F3F" w:rsidRDefault="00487F3F" w:rsidP="00487F3F">
      <w:pPr>
        <w:pStyle w:val="WWList1"/>
        <w:numPr>
          <w:ilvl w:val="0"/>
          <w:numId w:val="0"/>
        </w:numPr>
        <w:rPr>
          <w:b/>
          <w:bCs/>
          <w:u w:val="single"/>
        </w:rPr>
      </w:pPr>
      <w:r w:rsidRPr="00487F3F">
        <w:rPr>
          <w:b/>
          <w:bCs/>
          <w:u w:val="single"/>
        </w:rPr>
        <w:t>Key factual background</w:t>
      </w:r>
    </w:p>
    <w:p w14:paraId="70A08A65" w14:textId="4103436D" w:rsidR="00DA12B5" w:rsidRDefault="009728ED" w:rsidP="009728ED">
      <w:pPr>
        <w:pStyle w:val="WWList1"/>
        <w:numPr>
          <w:ilvl w:val="0"/>
          <w:numId w:val="0"/>
        </w:numPr>
        <w:tabs>
          <w:tab w:val="left" w:pos="567"/>
        </w:tabs>
        <w:ind w:left="567" w:hanging="567"/>
      </w:pPr>
      <w:r>
        <w:t>9.</w:t>
      </w:r>
      <w:r>
        <w:tab/>
      </w:r>
      <w:r w:rsidR="00DA12B5">
        <w:t>The facts are largely common cause.</w:t>
      </w:r>
      <w:r w:rsidR="008C30BC">
        <w:t xml:space="preserve">  Insofar as they are not,</w:t>
      </w:r>
      <w:r w:rsidR="00E85A4F">
        <w:t xml:space="preserve"> in accordance with trite principles governing motion proceedings,</w:t>
      </w:r>
      <w:r w:rsidR="008C30BC">
        <w:t xml:space="preserve"> I am bound to accept the respondents' version, unless </w:t>
      </w:r>
      <w:r w:rsidR="00AF4AD8">
        <w:t xml:space="preserve">it is </w:t>
      </w:r>
      <w:r w:rsidR="00D82704">
        <w:t xml:space="preserve">so </w:t>
      </w:r>
      <w:r w:rsidR="00EE2EBF">
        <w:t>"</w:t>
      </w:r>
      <w:r w:rsidR="00EE2EBF" w:rsidRPr="00EE2EBF">
        <w:rPr>
          <w:i/>
          <w:iCs/>
        </w:rPr>
        <w:t>palpably implausible, far-fetched or clearly untenable</w:t>
      </w:r>
      <w:r w:rsidR="00EE2EBF">
        <w:t>"</w:t>
      </w:r>
      <w:r w:rsidR="00D82704">
        <w:t xml:space="preserve"> that it may be rejected on the papers.</w:t>
      </w:r>
      <w:r w:rsidR="00E10441">
        <w:rPr>
          <w:rStyle w:val="FootnoteReference"/>
        </w:rPr>
        <w:footnoteReference w:id="1"/>
      </w:r>
      <w:r w:rsidR="00D82704">
        <w:t xml:space="preserve">  </w:t>
      </w:r>
    </w:p>
    <w:p w14:paraId="7CF9906A" w14:textId="406D6D34" w:rsidR="00BC6810" w:rsidRDefault="009728ED" w:rsidP="009728ED">
      <w:pPr>
        <w:pStyle w:val="WWList1"/>
        <w:numPr>
          <w:ilvl w:val="0"/>
          <w:numId w:val="0"/>
        </w:numPr>
        <w:tabs>
          <w:tab w:val="left" w:pos="567"/>
        </w:tabs>
        <w:ind w:left="567" w:hanging="567"/>
      </w:pPr>
      <w:r>
        <w:t>10.</w:t>
      </w:r>
      <w:r>
        <w:tab/>
      </w:r>
      <w:r w:rsidR="008837C4">
        <w:t>The applicant was</w:t>
      </w:r>
      <w:r w:rsidR="00C06775">
        <w:t>,</w:t>
      </w:r>
      <w:r w:rsidR="00F04164">
        <w:t xml:space="preserve"> in December 2021</w:t>
      </w:r>
      <w:r w:rsidR="00C06775">
        <w:t>,</w:t>
      </w:r>
      <w:r w:rsidR="008837C4">
        <w:t xml:space="preserve"> licensed </w:t>
      </w:r>
      <w:r w:rsidR="005B0D97">
        <w:t xml:space="preserve">by the Council </w:t>
      </w:r>
      <w:r w:rsidR="008837C4">
        <w:t xml:space="preserve">to operate a community pharmacy </w:t>
      </w:r>
      <w:r w:rsidR="00F04164">
        <w:t xml:space="preserve">in </w:t>
      </w:r>
      <w:proofErr w:type="spellStart"/>
      <w:r w:rsidR="00F04164">
        <w:t>Glenanda</w:t>
      </w:r>
      <w:proofErr w:type="spellEnd"/>
      <w:r w:rsidR="00F04164">
        <w:t>, Johannesburg</w:t>
      </w:r>
      <w:r w:rsidR="00517457">
        <w:t xml:space="preserve"> ("</w:t>
      </w:r>
      <w:r w:rsidR="00517457" w:rsidRPr="00517457">
        <w:rPr>
          <w:b/>
          <w:bCs/>
        </w:rPr>
        <w:t>the premises</w:t>
      </w:r>
      <w:r w:rsidR="00517457">
        <w:t>")</w:t>
      </w:r>
      <w:r w:rsidR="00F04164">
        <w:t>.</w:t>
      </w:r>
      <w:r w:rsidR="005B0D97">
        <w:t xml:space="preserve"> </w:t>
      </w:r>
    </w:p>
    <w:p w14:paraId="6B50F1F6" w14:textId="735C8BD5" w:rsidR="00BC6810" w:rsidRDefault="009728ED" w:rsidP="009728ED">
      <w:pPr>
        <w:pStyle w:val="WWList1"/>
        <w:numPr>
          <w:ilvl w:val="0"/>
          <w:numId w:val="0"/>
        </w:numPr>
        <w:tabs>
          <w:tab w:val="left" w:pos="567"/>
        </w:tabs>
        <w:ind w:left="567" w:hanging="567"/>
      </w:pPr>
      <w:r>
        <w:t>11.</w:t>
      </w:r>
      <w:r>
        <w:tab/>
      </w:r>
      <w:r w:rsidR="00F61122">
        <w:t>According to the applicant, it</w:t>
      </w:r>
      <w:r w:rsidR="00C13BFC">
        <w:t xml:space="preserve"> </w:t>
      </w:r>
      <w:r w:rsidR="00887604">
        <w:t>serves principally as a dispensary for users of medical cannabis</w:t>
      </w:r>
      <w:r w:rsidR="00D00399">
        <w:t xml:space="preserve">, although this </w:t>
      </w:r>
      <w:r w:rsidR="00F61122">
        <w:t xml:space="preserve">was not disclosed </w:t>
      </w:r>
      <w:r w:rsidR="00977111">
        <w:t xml:space="preserve">during the application process for </w:t>
      </w:r>
      <w:r w:rsidR="00C43633">
        <w:t>the applicant to be licensed as a community pharmacy</w:t>
      </w:r>
      <w:r w:rsidR="003240CE">
        <w:t xml:space="preserve">. </w:t>
      </w:r>
    </w:p>
    <w:p w14:paraId="77A33FAF" w14:textId="36A50278" w:rsidR="00A855CD" w:rsidRDefault="009728ED" w:rsidP="009728ED">
      <w:pPr>
        <w:pStyle w:val="WWList1"/>
        <w:numPr>
          <w:ilvl w:val="0"/>
          <w:numId w:val="0"/>
        </w:numPr>
        <w:tabs>
          <w:tab w:val="left" w:pos="567"/>
        </w:tabs>
        <w:ind w:left="567" w:hanging="567"/>
      </w:pPr>
      <w:r>
        <w:lastRenderedPageBreak/>
        <w:t>12.</w:t>
      </w:r>
      <w:r>
        <w:tab/>
      </w:r>
      <w:r w:rsidR="00A855CD">
        <w:t>The applicant's primary supplier of cannabis is CBD Full Spectrum Manufacturers International (Pty) Ltd</w:t>
      </w:r>
      <w:r w:rsidR="006F66D7">
        <w:t xml:space="preserve"> (</w:t>
      </w:r>
      <w:r w:rsidR="00B72D71">
        <w:t>"</w:t>
      </w:r>
      <w:r w:rsidR="00B72D71" w:rsidRPr="00B72D71">
        <w:rPr>
          <w:b/>
          <w:bCs/>
        </w:rPr>
        <w:t>FSMI</w:t>
      </w:r>
      <w:r w:rsidR="00B72D71">
        <w:t>")</w:t>
      </w:r>
      <w:r w:rsidR="00084EDB">
        <w:t>, which is a holder of a licence to cultivate cannabis</w:t>
      </w:r>
      <w:r w:rsidR="008F2F80">
        <w:t>, issued by SAHPRA.</w:t>
      </w:r>
      <w:r w:rsidR="0010298C">
        <w:t xml:space="preserve">  </w:t>
      </w:r>
    </w:p>
    <w:p w14:paraId="3E39EAF1" w14:textId="0D314808" w:rsidR="00A855CD" w:rsidRDefault="009728ED" w:rsidP="009728ED">
      <w:pPr>
        <w:pStyle w:val="WWList1"/>
        <w:numPr>
          <w:ilvl w:val="0"/>
          <w:numId w:val="0"/>
        </w:numPr>
        <w:tabs>
          <w:tab w:val="left" w:pos="567"/>
        </w:tabs>
        <w:ind w:left="567" w:hanging="567"/>
      </w:pPr>
      <w:r>
        <w:t>13.</w:t>
      </w:r>
      <w:r>
        <w:tab/>
      </w:r>
      <w:r w:rsidR="00061398">
        <w:t>The applicant serves some 700 patients monthly</w:t>
      </w:r>
      <w:r w:rsidR="00752F26">
        <w:t xml:space="preserve"> and dispenses medical cannabis to them pursuant to scripts from a medical practitioner.</w:t>
      </w:r>
    </w:p>
    <w:p w14:paraId="70FE8333" w14:textId="39FBD543" w:rsidR="00A855CD" w:rsidRDefault="009728ED" w:rsidP="009728ED">
      <w:pPr>
        <w:pStyle w:val="WWList1"/>
        <w:numPr>
          <w:ilvl w:val="0"/>
          <w:numId w:val="0"/>
        </w:numPr>
        <w:tabs>
          <w:tab w:val="left" w:pos="567"/>
        </w:tabs>
        <w:ind w:left="567" w:hanging="567"/>
      </w:pPr>
      <w:r>
        <w:t>14.</w:t>
      </w:r>
      <w:r>
        <w:tab/>
      </w:r>
      <w:r w:rsidR="001D68F9">
        <w:t xml:space="preserve">On 22 May 2023, </w:t>
      </w:r>
      <w:r w:rsidR="00B72D71">
        <w:t xml:space="preserve">SAHPRA and the Council </w:t>
      </w:r>
      <w:r w:rsidR="001D68F9">
        <w:t xml:space="preserve">entered the premises and </w:t>
      </w:r>
      <w:r w:rsidR="00F06225">
        <w:t xml:space="preserve">conducted a joint inspection </w:t>
      </w:r>
      <w:r w:rsidR="00497B9F">
        <w:t xml:space="preserve">of the applicant and the premises </w:t>
      </w:r>
      <w:r w:rsidR="00F06225">
        <w:t xml:space="preserve">in terms of </w:t>
      </w:r>
      <w:r w:rsidR="00A87342">
        <w:t>section 28(1) of the Medicines and Related Substances Act, 1965 ("</w:t>
      </w:r>
      <w:r w:rsidR="00A87342" w:rsidRPr="00A87342">
        <w:rPr>
          <w:b/>
          <w:bCs/>
        </w:rPr>
        <w:t>the Medicines Act</w:t>
      </w:r>
      <w:r w:rsidR="00A87342">
        <w:t xml:space="preserve">") and </w:t>
      </w:r>
      <w:r w:rsidR="00FD744F">
        <w:t>section 38</w:t>
      </w:r>
      <w:proofErr w:type="gramStart"/>
      <w:r w:rsidR="00FD744F">
        <w:t>A(</w:t>
      </w:r>
      <w:proofErr w:type="gramEnd"/>
      <w:r w:rsidR="00FD744F">
        <w:t>1) of the Pharmacy Act, 1974 (</w:t>
      </w:r>
      <w:r w:rsidR="000F13E8">
        <w:t>"</w:t>
      </w:r>
      <w:r w:rsidR="000F13E8" w:rsidRPr="000F13E8">
        <w:rPr>
          <w:b/>
          <w:bCs/>
        </w:rPr>
        <w:t>the Pharmacy Act</w:t>
      </w:r>
      <w:r w:rsidR="000F13E8">
        <w:t>")</w:t>
      </w:r>
      <w:r w:rsidR="00FD744F">
        <w:t>.</w:t>
      </w:r>
    </w:p>
    <w:p w14:paraId="2A03431A" w14:textId="18C43397" w:rsidR="00590583" w:rsidRDefault="009728ED" w:rsidP="009728ED">
      <w:pPr>
        <w:pStyle w:val="WWList1"/>
        <w:numPr>
          <w:ilvl w:val="0"/>
          <w:numId w:val="0"/>
        </w:numPr>
        <w:tabs>
          <w:tab w:val="left" w:pos="567"/>
        </w:tabs>
        <w:ind w:left="567" w:hanging="567"/>
      </w:pPr>
      <w:r>
        <w:t>15.</w:t>
      </w:r>
      <w:r>
        <w:tab/>
      </w:r>
      <w:r w:rsidR="006514AD">
        <w:t xml:space="preserve">SAHPRA's report dated 25 May 2023 issued pursuant to the inspection </w:t>
      </w:r>
      <w:r w:rsidR="00590583">
        <w:t>details what was found</w:t>
      </w:r>
      <w:r w:rsidR="00104F9A">
        <w:t>, according to SAHPRA</w:t>
      </w:r>
      <w:r w:rsidR="00590583">
        <w:t>:</w:t>
      </w:r>
    </w:p>
    <w:p w14:paraId="3A6CCA71" w14:textId="09ECAA1A" w:rsidR="00F76E69" w:rsidRPr="00E271DF" w:rsidRDefault="00590583" w:rsidP="00F76E69">
      <w:pPr>
        <w:pStyle w:val="WWList1"/>
        <w:numPr>
          <w:ilvl w:val="0"/>
          <w:numId w:val="0"/>
        </w:numPr>
        <w:ind w:left="851"/>
        <w:rPr>
          <w:rFonts w:eastAsiaTheme="minorHAnsi" w:cs="Arial"/>
          <w:i/>
          <w:iCs/>
          <w:color w:val="383443"/>
          <w:lang w:eastAsia="en-US"/>
        </w:rPr>
      </w:pPr>
      <w:r>
        <w:t>"</w:t>
      </w:r>
      <w:r w:rsidRPr="00E271DF">
        <w:rPr>
          <w:i/>
          <w:iCs/>
        </w:rPr>
        <w:t>On arrival, the inspectors introduced themselves by prod</w:t>
      </w:r>
      <w:r w:rsidR="008C30BC" w:rsidRPr="00E271DF">
        <w:rPr>
          <w:i/>
          <w:iCs/>
        </w:rPr>
        <w:t xml:space="preserve">ucing their </w:t>
      </w:r>
      <w:r w:rsidRPr="00E271DF">
        <w:rPr>
          <w:i/>
          <w:iCs/>
        </w:rPr>
        <w:t>appointment cards to Mr. Kyle Van Wyk (salesperson) who was standing</w:t>
      </w:r>
      <w:r w:rsidR="008C30BC" w:rsidRPr="00E271DF">
        <w:rPr>
          <w:i/>
          <w:iCs/>
        </w:rPr>
        <w:t xml:space="preserve"> </w:t>
      </w:r>
      <w:r w:rsidRPr="00E271DF">
        <w:rPr>
          <w:i/>
          <w:iCs/>
        </w:rPr>
        <w:t>behind the pay-point counter. Mr. Kyle Van Wyk went into the dispensary</w:t>
      </w:r>
      <w:r w:rsidR="008C30BC" w:rsidRPr="00E271DF">
        <w:rPr>
          <w:i/>
          <w:iCs/>
        </w:rPr>
        <w:t xml:space="preserve"> </w:t>
      </w:r>
      <w:r w:rsidRPr="00E271DF">
        <w:rPr>
          <w:i/>
          <w:iCs/>
        </w:rPr>
        <w:t xml:space="preserve">to call the Responsible Pharmacist (RP) Ms. Cheryl </w:t>
      </w:r>
      <w:proofErr w:type="gramStart"/>
      <w:r w:rsidRPr="00E271DF">
        <w:rPr>
          <w:i/>
          <w:iCs/>
        </w:rPr>
        <w:t>Brocklebank .</w:t>
      </w:r>
      <w:proofErr w:type="gramEnd"/>
      <w:r w:rsidRPr="00E271DF">
        <w:rPr>
          <w:i/>
          <w:iCs/>
        </w:rPr>
        <w:t xml:space="preserve"> ... The</w:t>
      </w:r>
      <w:r w:rsidR="008C30BC" w:rsidRPr="00E271DF">
        <w:rPr>
          <w:i/>
          <w:iCs/>
        </w:rPr>
        <w:t xml:space="preserve"> </w:t>
      </w:r>
      <w:r w:rsidRPr="00E271DF">
        <w:rPr>
          <w:i/>
          <w:iCs/>
        </w:rPr>
        <w:t>inspectors introduced themselves to Ms. Brocklebank and explained the</w:t>
      </w:r>
      <w:r w:rsidR="008C30BC" w:rsidRPr="00E271DF">
        <w:rPr>
          <w:i/>
          <w:iCs/>
        </w:rPr>
        <w:t xml:space="preserve"> </w:t>
      </w:r>
      <w:r w:rsidRPr="00E271DF">
        <w:rPr>
          <w:i/>
          <w:iCs/>
        </w:rPr>
        <w:t>purpose of the visit. On arrival, inspectors noticed packing activities</w:t>
      </w:r>
      <w:r w:rsidR="008C30BC" w:rsidRPr="00E271DF">
        <w:rPr>
          <w:i/>
          <w:iCs/>
        </w:rPr>
        <w:t xml:space="preserve"> </w:t>
      </w:r>
      <w:r w:rsidRPr="00E271DF">
        <w:rPr>
          <w:i/>
          <w:iCs/>
        </w:rPr>
        <w:t>taking place at the ground floor of the pharmacy. The inspectors asked</w:t>
      </w:r>
      <w:r w:rsidR="008C30BC" w:rsidRPr="00E271DF">
        <w:rPr>
          <w:i/>
          <w:iCs/>
        </w:rPr>
        <w:t xml:space="preserve"> </w:t>
      </w:r>
      <w:r w:rsidRPr="00E271DF">
        <w:rPr>
          <w:i/>
          <w:iCs/>
        </w:rPr>
        <w:t xml:space="preserve">Ms Brocklebank if the activities at the ground floor </w:t>
      </w:r>
      <w:proofErr w:type="gramStart"/>
      <w:r w:rsidRPr="00E271DF">
        <w:rPr>
          <w:i/>
          <w:iCs/>
        </w:rPr>
        <w:t>were part of the</w:t>
      </w:r>
      <w:r w:rsidR="0099119E" w:rsidRPr="00E271DF">
        <w:rPr>
          <w:i/>
          <w:iCs/>
        </w:rPr>
        <w:t xml:space="preserve"> </w:t>
      </w:r>
      <w:r w:rsidRPr="00E271DF">
        <w:rPr>
          <w:i/>
          <w:iCs/>
        </w:rPr>
        <w:t>pharmacy business and she</w:t>
      </w:r>
      <w:proofErr w:type="gramEnd"/>
      <w:r w:rsidRPr="00E271DF">
        <w:rPr>
          <w:i/>
          <w:iCs/>
        </w:rPr>
        <w:t xml:space="preserve"> agreed. Inspectors requested Ms</w:t>
      </w:r>
      <w:r w:rsidR="0099119E" w:rsidRPr="00E271DF">
        <w:rPr>
          <w:i/>
          <w:iCs/>
        </w:rPr>
        <w:t xml:space="preserve">. </w:t>
      </w:r>
      <w:r w:rsidRPr="00E271DF">
        <w:rPr>
          <w:i/>
          <w:iCs/>
        </w:rPr>
        <w:t>Brocklebank to accompany them to the ground floor for inspection.</w:t>
      </w:r>
      <w:r w:rsidR="0099119E" w:rsidRPr="00E271DF">
        <w:rPr>
          <w:i/>
          <w:iCs/>
        </w:rPr>
        <w:t xml:space="preserve">  </w:t>
      </w:r>
      <w:r w:rsidRPr="00E271DF">
        <w:rPr>
          <w:i/>
          <w:iCs/>
        </w:rPr>
        <w:t>During the inspection, bulk of cannabis flowers were found in plastic</w:t>
      </w:r>
      <w:r w:rsidR="0099119E" w:rsidRPr="00E271DF">
        <w:rPr>
          <w:i/>
          <w:iCs/>
        </w:rPr>
        <w:t xml:space="preserve"> </w:t>
      </w:r>
      <w:r w:rsidRPr="00E271DF">
        <w:rPr>
          <w:i/>
          <w:iCs/>
        </w:rPr>
        <w:t>bags, containers and 20 [litre</w:t>
      </w:r>
      <w:r w:rsidR="00B24348">
        <w:rPr>
          <w:i/>
          <w:iCs/>
        </w:rPr>
        <w:t>]</w:t>
      </w:r>
      <w:r w:rsidRPr="00E271DF">
        <w:rPr>
          <w:i/>
          <w:iCs/>
        </w:rPr>
        <w:t xml:space="preserve"> buckets. Non-qualified personnel were</w:t>
      </w:r>
      <w:r w:rsidR="0099119E" w:rsidRPr="00E271DF">
        <w:rPr>
          <w:i/>
          <w:iCs/>
        </w:rPr>
        <w:t xml:space="preserve"> </w:t>
      </w:r>
      <w:r w:rsidRPr="00E271DF">
        <w:rPr>
          <w:i/>
          <w:iCs/>
        </w:rPr>
        <w:t>also found weighing and packing the cannabis flower into small packages</w:t>
      </w:r>
      <w:r w:rsidR="0099119E" w:rsidRPr="00E271DF">
        <w:rPr>
          <w:i/>
          <w:iCs/>
        </w:rPr>
        <w:t xml:space="preserve"> </w:t>
      </w:r>
      <w:r w:rsidRPr="00E271DF">
        <w:rPr>
          <w:i/>
          <w:iCs/>
        </w:rPr>
        <w:t xml:space="preserve">of 1 </w:t>
      </w:r>
      <w:proofErr w:type="gramStart"/>
      <w:r w:rsidRPr="00E271DF">
        <w:rPr>
          <w:i/>
          <w:iCs/>
        </w:rPr>
        <w:t>grams</w:t>
      </w:r>
      <w:proofErr w:type="gramEnd"/>
      <w:r w:rsidRPr="00E271DF">
        <w:rPr>
          <w:i/>
          <w:iCs/>
        </w:rPr>
        <w:t>. The personnel were packaging on a wooden table</w:t>
      </w:r>
      <w:r w:rsidR="0099119E" w:rsidRPr="00E271DF">
        <w:rPr>
          <w:i/>
          <w:iCs/>
        </w:rPr>
        <w:t xml:space="preserve"> </w:t>
      </w:r>
      <w:r w:rsidRPr="00E271DF">
        <w:rPr>
          <w:i/>
          <w:iCs/>
        </w:rPr>
        <w:t>unsupervised and in a non-compliant Good Manufacturing Practice</w:t>
      </w:r>
      <w:r w:rsidR="0099119E" w:rsidRPr="00E271DF">
        <w:rPr>
          <w:i/>
          <w:iCs/>
        </w:rPr>
        <w:t xml:space="preserve"> </w:t>
      </w:r>
      <w:r w:rsidRPr="00E271DF">
        <w:rPr>
          <w:i/>
          <w:iCs/>
        </w:rPr>
        <w:t xml:space="preserve">(GMP) area. </w:t>
      </w:r>
      <w:r w:rsidRPr="00E271DF">
        <w:rPr>
          <w:i/>
          <w:iCs/>
        </w:rPr>
        <w:lastRenderedPageBreak/>
        <w:t>The packaging was taking place in a room without</w:t>
      </w:r>
      <w:r w:rsidR="0099119E" w:rsidRPr="00E271DF">
        <w:rPr>
          <w:i/>
          <w:iCs/>
        </w:rPr>
        <w:t xml:space="preserve"> </w:t>
      </w:r>
      <w:r w:rsidRPr="00E271DF">
        <w:rPr>
          <w:i/>
          <w:iCs/>
        </w:rPr>
        <w:t>temperature and humidity control. The room also had kitchen weighing</w:t>
      </w:r>
      <w:r w:rsidR="0099119E" w:rsidRPr="00E271DF">
        <w:rPr>
          <w:i/>
          <w:iCs/>
        </w:rPr>
        <w:t xml:space="preserve"> </w:t>
      </w:r>
      <w:r w:rsidRPr="00E271DF">
        <w:rPr>
          <w:i/>
          <w:iCs/>
        </w:rPr>
        <w:t xml:space="preserve">scales. The </w:t>
      </w:r>
      <w:r w:rsidR="00D606A2">
        <w:rPr>
          <w:i/>
          <w:iCs/>
        </w:rPr>
        <w:t>[Registered Pharmacist ("</w:t>
      </w:r>
      <w:r w:rsidRPr="00E271DF">
        <w:rPr>
          <w:i/>
          <w:iCs/>
        </w:rPr>
        <w:t>RP</w:t>
      </w:r>
      <w:r w:rsidR="00D606A2">
        <w:rPr>
          <w:i/>
          <w:iCs/>
        </w:rPr>
        <w:t>")]</w:t>
      </w:r>
      <w:r w:rsidRPr="00E271DF">
        <w:rPr>
          <w:i/>
          <w:iCs/>
        </w:rPr>
        <w:t xml:space="preserve"> Ms. Brocklebank stated that another bulk of the THC</w:t>
      </w:r>
      <w:r w:rsidR="0099119E" w:rsidRPr="00E271DF">
        <w:rPr>
          <w:i/>
          <w:iCs/>
        </w:rPr>
        <w:t xml:space="preserve"> </w:t>
      </w:r>
      <w:r w:rsidRPr="00E271DF">
        <w:rPr>
          <w:i/>
          <w:iCs/>
        </w:rPr>
        <w:t>flower was kept in the dispensary of the pharmacy [o]n the first floor. The</w:t>
      </w:r>
      <w:r w:rsidR="0099119E" w:rsidRPr="00E271DF">
        <w:rPr>
          <w:i/>
          <w:iCs/>
        </w:rPr>
        <w:t xml:space="preserve"> </w:t>
      </w:r>
      <w:r w:rsidRPr="00E271DF">
        <w:rPr>
          <w:i/>
          <w:iCs/>
        </w:rPr>
        <w:t>inspectors together with Ms. Brocklebank proceeded to the dispensary</w:t>
      </w:r>
      <w:r w:rsidR="0099119E" w:rsidRPr="00E271DF">
        <w:rPr>
          <w:i/>
          <w:iCs/>
        </w:rPr>
        <w:t xml:space="preserve"> </w:t>
      </w:r>
      <w:r w:rsidRPr="00E271DF">
        <w:rPr>
          <w:i/>
          <w:iCs/>
        </w:rPr>
        <w:t>where she showed the inspectors cannabis flower packaged into</w:t>
      </w:r>
      <w:r w:rsidR="006514AD" w:rsidRPr="00E271DF">
        <w:rPr>
          <w:i/>
          <w:iCs/>
        </w:rPr>
        <w:t xml:space="preserve"> </w:t>
      </w:r>
      <w:r w:rsidR="00A56646" w:rsidRPr="00E271DF">
        <w:rPr>
          <w:rFonts w:eastAsiaTheme="minorHAnsi" w:cs="Arial"/>
          <w:i/>
          <w:iCs/>
          <w:color w:val="0C0D0D"/>
          <w:lang w:eastAsia="en-US"/>
        </w:rPr>
        <w:t>unlabelled transparent bags, placed directly on the floor. 54 bags</w:t>
      </w:r>
      <w:r w:rsidR="00F76E69" w:rsidRPr="00E271DF">
        <w:rPr>
          <w:rFonts w:eastAsiaTheme="minorHAnsi" w:cs="Arial"/>
          <w:i/>
          <w:iCs/>
          <w:color w:val="0C0D0D"/>
          <w:lang w:eastAsia="en-US"/>
        </w:rPr>
        <w:t xml:space="preserve"> </w:t>
      </w:r>
      <w:r w:rsidR="00A56646" w:rsidRPr="00E271DF">
        <w:rPr>
          <w:rFonts w:eastAsiaTheme="minorHAnsi" w:cs="Arial"/>
          <w:i/>
          <w:iCs/>
          <w:color w:val="0C0D0D"/>
          <w:lang w:eastAsia="en-US"/>
        </w:rPr>
        <w:t>weighing 500g were counted in the presence of the RP</w:t>
      </w:r>
      <w:r w:rsidR="00A56646" w:rsidRPr="00E271DF">
        <w:rPr>
          <w:rFonts w:eastAsiaTheme="minorHAnsi" w:cs="Arial"/>
          <w:i/>
          <w:iCs/>
          <w:color w:val="383443"/>
          <w:lang w:eastAsia="en-US"/>
        </w:rPr>
        <w:t>.</w:t>
      </w:r>
    </w:p>
    <w:p w14:paraId="4841924F" w14:textId="61CB33A0" w:rsidR="00046464" w:rsidRPr="00E271DF" w:rsidRDefault="00A56646" w:rsidP="00046464">
      <w:pPr>
        <w:pStyle w:val="WWList1"/>
        <w:numPr>
          <w:ilvl w:val="0"/>
          <w:numId w:val="0"/>
        </w:numPr>
        <w:ind w:left="851"/>
        <w:rPr>
          <w:rFonts w:eastAsiaTheme="minorHAnsi" w:cs="Arial"/>
          <w:i/>
          <w:iCs/>
          <w:color w:val="0C0D0D"/>
          <w:lang w:eastAsia="en-US"/>
        </w:rPr>
      </w:pPr>
      <w:r w:rsidRPr="00E271DF">
        <w:rPr>
          <w:rFonts w:eastAsiaTheme="minorHAnsi" w:cs="Arial"/>
          <w:i/>
          <w:iCs/>
          <w:color w:val="0C0D0D"/>
          <w:lang w:eastAsia="en-US"/>
        </w:rPr>
        <w:t xml:space="preserve">The inspectors asked the RP how and where she obtained the cannabis flower. Ms. Brocklebank stated that, she </w:t>
      </w:r>
      <w:proofErr w:type="gramStart"/>
      <w:r w:rsidRPr="00E271DF">
        <w:rPr>
          <w:rFonts w:eastAsiaTheme="minorHAnsi" w:cs="Arial"/>
          <w:i/>
          <w:iCs/>
          <w:color w:val="0C0D0D"/>
          <w:lang w:eastAsia="en-US"/>
        </w:rPr>
        <w:t>order</w:t>
      </w:r>
      <w:proofErr w:type="gramEnd"/>
      <w:r w:rsidR="001636D1">
        <w:rPr>
          <w:rFonts w:eastAsiaTheme="minorHAnsi" w:cs="Arial"/>
          <w:i/>
          <w:iCs/>
          <w:color w:val="0C0D0D"/>
          <w:lang w:eastAsia="en-US"/>
        </w:rPr>
        <w:t>[s]</w:t>
      </w:r>
      <w:r w:rsidRPr="00E271DF">
        <w:rPr>
          <w:rFonts w:eastAsiaTheme="minorHAnsi" w:cs="Arial"/>
          <w:i/>
          <w:iCs/>
          <w:color w:val="0C0D0D"/>
          <w:lang w:eastAsia="en-US"/>
        </w:rPr>
        <w:t xml:space="preserve"> the flower from two</w:t>
      </w:r>
      <w:r w:rsidR="00F76E69" w:rsidRPr="00E271DF">
        <w:rPr>
          <w:rFonts w:eastAsiaTheme="minorHAnsi" w:cs="Arial"/>
          <w:i/>
          <w:iCs/>
          <w:color w:val="0C0D0D"/>
          <w:lang w:eastAsia="en-US"/>
        </w:rPr>
        <w:t xml:space="preserve"> </w:t>
      </w:r>
      <w:r w:rsidRPr="00E271DF">
        <w:rPr>
          <w:rFonts w:eastAsiaTheme="minorHAnsi" w:cs="Arial"/>
          <w:i/>
          <w:iCs/>
          <w:color w:val="0C0D0D"/>
          <w:lang w:eastAsia="en-US"/>
        </w:rPr>
        <w:t xml:space="preserve">SAHPRA </w:t>
      </w:r>
      <w:proofErr w:type="spellStart"/>
      <w:r w:rsidRPr="00E271DF">
        <w:rPr>
          <w:rFonts w:eastAsiaTheme="minorHAnsi" w:cs="Arial"/>
          <w:i/>
          <w:iCs/>
          <w:color w:val="0C0D0D"/>
          <w:lang w:eastAsia="en-US"/>
        </w:rPr>
        <w:t>licen</w:t>
      </w:r>
      <w:proofErr w:type="spellEnd"/>
      <w:r w:rsidR="001636D1">
        <w:rPr>
          <w:rFonts w:eastAsiaTheme="minorHAnsi" w:cs="Arial"/>
          <w:i/>
          <w:iCs/>
          <w:color w:val="0C0D0D"/>
          <w:lang w:eastAsia="en-US"/>
        </w:rPr>
        <w:t>[s]</w:t>
      </w:r>
      <w:r w:rsidRPr="00E271DF">
        <w:rPr>
          <w:rFonts w:eastAsiaTheme="minorHAnsi" w:cs="Arial"/>
          <w:i/>
          <w:iCs/>
          <w:color w:val="0C0D0D"/>
          <w:lang w:eastAsia="en-US"/>
        </w:rPr>
        <w:t>ed cannabis cultivating facilities namely: CBD Full</w:t>
      </w:r>
      <w:r w:rsidR="00F76E69" w:rsidRPr="00E271DF">
        <w:rPr>
          <w:rFonts w:eastAsiaTheme="minorHAnsi" w:cs="Arial"/>
          <w:i/>
          <w:iCs/>
          <w:color w:val="0C0D0D"/>
          <w:lang w:eastAsia="en-US"/>
        </w:rPr>
        <w:t xml:space="preserve"> </w:t>
      </w:r>
      <w:r w:rsidRPr="00E271DF">
        <w:rPr>
          <w:rFonts w:eastAsiaTheme="minorHAnsi" w:cs="Arial"/>
          <w:i/>
          <w:iCs/>
          <w:color w:val="0C0D0D"/>
          <w:lang w:eastAsia="en-US"/>
        </w:rPr>
        <w:t xml:space="preserve">Spectrum Manufacturer International (Pty) Ltd and </w:t>
      </w:r>
      <w:proofErr w:type="spellStart"/>
      <w:r w:rsidRPr="00E271DF">
        <w:rPr>
          <w:rFonts w:eastAsiaTheme="minorHAnsi" w:cs="Arial"/>
          <w:i/>
          <w:iCs/>
          <w:color w:val="0C0D0D"/>
          <w:lang w:eastAsia="en-US"/>
        </w:rPr>
        <w:t>CannaBudGrow</w:t>
      </w:r>
      <w:proofErr w:type="spellEnd"/>
      <w:r w:rsidRPr="00E271DF">
        <w:rPr>
          <w:rFonts w:eastAsiaTheme="minorHAnsi" w:cs="Arial"/>
          <w:i/>
          <w:iCs/>
          <w:color w:val="0C0D0D"/>
          <w:lang w:eastAsia="en-US"/>
        </w:rPr>
        <w:t xml:space="preserve"> (Pty)</w:t>
      </w:r>
      <w:r w:rsidR="00F76E69" w:rsidRPr="00E271DF">
        <w:rPr>
          <w:rFonts w:eastAsiaTheme="minorHAnsi" w:cs="Arial"/>
          <w:i/>
          <w:iCs/>
          <w:color w:val="0C0D0D"/>
          <w:lang w:eastAsia="en-US"/>
        </w:rPr>
        <w:t xml:space="preserve"> </w:t>
      </w:r>
      <w:r w:rsidRPr="00E271DF">
        <w:rPr>
          <w:rFonts w:eastAsiaTheme="minorHAnsi" w:cs="Arial"/>
          <w:i/>
          <w:iCs/>
          <w:color w:val="0C0D0D"/>
          <w:lang w:eastAsia="en-US"/>
        </w:rPr>
        <w:t>Ltd. She provided an invoice from CBD Spectrum where different strains</w:t>
      </w:r>
      <w:r w:rsidR="00F76E69" w:rsidRPr="00E271DF">
        <w:rPr>
          <w:rFonts w:eastAsiaTheme="minorHAnsi" w:cs="Arial"/>
          <w:i/>
          <w:iCs/>
          <w:color w:val="0C0D0D"/>
          <w:lang w:eastAsia="en-US"/>
        </w:rPr>
        <w:t xml:space="preserve"> </w:t>
      </w:r>
      <w:r w:rsidRPr="00E271DF">
        <w:rPr>
          <w:rFonts w:eastAsiaTheme="minorHAnsi" w:cs="Arial"/>
          <w:i/>
          <w:iCs/>
          <w:color w:val="0C0D0D"/>
          <w:lang w:eastAsia="en-US"/>
        </w:rPr>
        <w:t>were purchased. During the inspection</w:t>
      </w:r>
      <w:r w:rsidR="007F7E65">
        <w:rPr>
          <w:rFonts w:eastAsiaTheme="minorHAnsi" w:cs="Arial"/>
          <w:i/>
          <w:iCs/>
          <w:color w:val="0C0D0D"/>
          <w:lang w:eastAsia="en-US"/>
        </w:rPr>
        <w:t>,</w:t>
      </w:r>
      <w:r w:rsidRPr="00E271DF">
        <w:rPr>
          <w:rFonts w:eastAsiaTheme="minorHAnsi" w:cs="Arial"/>
          <w:i/>
          <w:iCs/>
          <w:color w:val="0C0D0D"/>
          <w:lang w:eastAsia="en-US"/>
        </w:rPr>
        <w:t xml:space="preserve"> it was found that the pharmacy</w:t>
      </w:r>
      <w:r w:rsidR="00F76E69" w:rsidRPr="00E271DF">
        <w:rPr>
          <w:rFonts w:eastAsiaTheme="minorHAnsi" w:cs="Arial"/>
          <w:i/>
          <w:iCs/>
          <w:color w:val="0C0D0D"/>
          <w:lang w:eastAsia="en-US"/>
        </w:rPr>
        <w:t xml:space="preserve"> </w:t>
      </w:r>
      <w:r w:rsidRPr="00E271DF">
        <w:rPr>
          <w:rFonts w:eastAsiaTheme="minorHAnsi" w:cs="Arial"/>
          <w:i/>
          <w:iCs/>
          <w:color w:val="0C0D0D"/>
          <w:lang w:eastAsia="en-US"/>
        </w:rPr>
        <w:t xml:space="preserve">is linked to THC Africa which is an illegal online pharmacy. </w:t>
      </w:r>
      <w:r w:rsidR="00242C70" w:rsidRPr="00E271DF">
        <w:rPr>
          <w:rFonts w:eastAsiaTheme="minorHAnsi" w:cs="Arial"/>
          <w:i/>
          <w:iCs/>
          <w:color w:val="0C0D0D"/>
          <w:lang w:eastAsia="en-US"/>
        </w:rPr>
        <w:t xml:space="preserve"> </w:t>
      </w:r>
      <w:r w:rsidRPr="00E271DF">
        <w:rPr>
          <w:rFonts w:eastAsiaTheme="minorHAnsi" w:cs="Arial"/>
          <w:i/>
          <w:iCs/>
          <w:color w:val="0C0D0D"/>
          <w:lang w:eastAsia="en-US"/>
        </w:rPr>
        <w:t>THC Africa</w:t>
      </w:r>
      <w:r w:rsidR="00F76E69" w:rsidRPr="00E271DF">
        <w:rPr>
          <w:rFonts w:eastAsiaTheme="minorHAnsi" w:cs="Arial"/>
          <w:i/>
          <w:iCs/>
          <w:color w:val="0C0D0D"/>
          <w:lang w:eastAsia="en-US"/>
        </w:rPr>
        <w:t xml:space="preserve"> </w:t>
      </w:r>
      <w:r w:rsidRPr="00E271DF">
        <w:rPr>
          <w:rFonts w:eastAsiaTheme="minorHAnsi" w:cs="Arial"/>
          <w:i/>
          <w:iCs/>
          <w:color w:val="0C0D0D"/>
          <w:lang w:eastAsia="en-US"/>
        </w:rPr>
        <w:t>has 13 shops located in Western Cape, Gauteng and KZN</w:t>
      </w:r>
      <w:r w:rsidR="00E924E4" w:rsidRPr="00E271DF">
        <w:rPr>
          <w:rFonts w:eastAsiaTheme="minorHAnsi" w:cs="Arial"/>
          <w:i/>
          <w:iCs/>
          <w:color w:val="0C0D0D"/>
          <w:lang w:eastAsia="en-US"/>
        </w:rPr>
        <w:t xml:space="preserve"> provinces</w:t>
      </w:r>
      <w:r w:rsidR="00242C70" w:rsidRPr="00E271DF">
        <w:rPr>
          <w:rFonts w:eastAsiaTheme="minorHAnsi" w:cs="Arial"/>
          <w:i/>
          <w:iCs/>
          <w:color w:val="0C0D0D"/>
          <w:lang w:eastAsia="en-US"/>
        </w:rPr>
        <w:t xml:space="preserve">.  </w:t>
      </w:r>
      <w:r w:rsidRPr="00E271DF">
        <w:rPr>
          <w:rFonts w:eastAsiaTheme="minorHAnsi" w:cs="Arial"/>
          <w:i/>
          <w:iCs/>
          <w:color w:val="0C0D0D"/>
          <w:lang w:eastAsia="en-US"/>
        </w:rPr>
        <w:t xml:space="preserve">THC Pharmacy </w:t>
      </w:r>
      <w:proofErr w:type="spellStart"/>
      <w:r w:rsidRPr="00E271DF">
        <w:rPr>
          <w:rFonts w:eastAsiaTheme="minorHAnsi" w:cs="Arial"/>
          <w:i/>
          <w:iCs/>
          <w:color w:val="0C0D0D"/>
          <w:lang w:eastAsia="en-US"/>
        </w:rPr>
        <w:t>suppl</w:t>
      </w:r>
      <w:proofErr w:type="spellEnd"/>
      <w:r w:rsidR="007F7E65">
        <w:rPr>
          <w:rFonts w:eastAsiaTheme="minorHAnsi" w:cs="Arial"/>
          <w:i/>
          <w:iCs/>
          <w:color w:val="0C0D0D"/>
          <w:lang w:eastAsia="en-US"/>
        </w:rPr>
        <w:t>[</w:t>
      </w:r>
      <w:proofErr w:type="spellStart"/>
      <w:r w:rsidR="007F7E65">
        <w:rPr>
          <w:rFonts w:eastAsiaTheme="minorHAnsi" w:cs="Arial"/>
          <w:i/>
          <w:iCs/>
          <w:color w:val="0C0D0D"/>
          <w:lang w:eastAsia="en-US"/>
        </w:rPr>
        <w:t>ies</w:t>
      </w:r>
      <w:proofErr w:type="spellEnd"/>
      <w:r w:rsidR="007F7E65">
        <w:rPr>
          <w:rFonts w:eastAsiaTheme="minorHAnsi" w:cs="Arial"/>
          <w:i/>
          <w:iCs/>
          <w:color w:val="0C0D0D"/>
          <w:lang w:eastAsia="en-US"/>
        </w:rPr>
        <w:t>]</w:t>
      </w:r>
      <w:r w:rsidRPr="00E271DF">
        <w:rPr>
          <w:rFonts w:eastAsiaTheme="minorHAnsi" w:cs="Arial"/>
          <w:i/>
          <w:iCs/>
          <w:color w:val="0C0D0D"/>
          <w:lang w:eastAsia="en-US"/>
        </w:rPr>
        <w:t xml:space="preserve"> cannabis flower to [these] 13 shops, pa</w:t>
      </w:r>
      <w:r w:rsidR="00242C70" w:rsidRPr="00E271DF">
        <w:rPr>
          <w:rFonts w:eastAsiaTheme="minorHAnsi" w:cs="Arial"/>
          <w:i/>
          <w:iCs/>
          <w:color w:val="0C0D0D"/>
          <w:lang w:eastAsia="en-US"/>
        </w:rPr>
        <w:t xml:space="preserve">tients from </w:t>
      </w:r>
      <w:r w:rsidR="00992738">
        <w:rPr>
          <w:rFonts w:eastAsiaTheme="minorHAnsi" w:cs="Arial"/>
          <w:i/>
          <w:iCs/>
          <w:color w:val="0C0D0D"/>
          <w:lang w:eastAsia="en-US"/>
        </w:rPr>
        <w:t>[these]</w:t>
      </w:r>
      <w:r w:rsidR="00242C70" w:rsidRPr="00E271DF">
        <w:rPr>
          <w:rFonts w:eastAsiaTheme="minorHAnsi" w:cs="Arial"/>
          <w:i/>
          <w:iCs/>
          <w:color w:val="0C0D0D"/>
          <w:lang w:eastAsia="en-US"/>
        </w:rPr>
        <w:t xml:space="preserve"> provinces will</w:t>
      </w:r>
      <w:r w:rsidRPr="00E271DF">
        <w:rPr>
          <w:rFonts w:eastAsiaTheme="minorHAnsi" w:cs="Arial"/>
          <w:i/>
          <w:iCs/>
          <w:color w:val="0C0D0D"/>
          <w:lang w:eastAsia="en-US"/>
        </w:rPr>
        <w:t xml:space="preserve"> then collect their cannabis products from</w:t>
      </w:r>
      <w:r w:rsidR="008C06A2" w:rsidRPr="00E271DF">
        <w:rPr>
          <w:rFonts w:eastAsiaTheme="minorHAnsi" w:cs="Arial"/>
          <w:i/>
          <w:iCs/>
          <w:color w:val="0C0D0D"/>
          <w:lang w:eastAsia="en-US"/>
        </w:rPr>
        <w:t xml:space="preserve"> 13 shops.  </w:t>
      </w:r>
      <w:r w:rsidRPr="00E271DF">
        <w:rPr>
          <w:rFonts w:eastAsiaTheme="minorHAnsi" w:cs="Arial"/>
          <w:i/>
          <w:iCs/>
          <w:color w:val="0C0D0D"/>
          <w:lang w:eastAsia="en-US"/>
        </w:rPr>
        <w:t>The names and location of the shops were provided to Inspect</w:t>
      </w:r>
      <w:r w:rsidR="008C06A2" w:rsidRPr="00E271DF">
        <w:rPr>
          <w:rFonts w:eastAsiaTheme="minorHAnsi" w:cs="Arial"/>
          <w:i/>
          <w:iCs/>
          <w:color w:val="0C0D0D"/>
          <w:lang w:eastAsia="en-US"/>
        </w:rPr>
        <w:t>ors</w:t>
      </w:r>
      <w:r w:rsidR="00046464" w:rsidRPr="00E271DF">
        <w:rPr>
          <w:rFonts w:eastAsiaTheme="minorHAnsi" w:cs="Arial"/>
          <w:i/>
          <w:iCs/>
          <w:color w:val="0C0D0D"/>
          <w:lang w:eastAsia="en-US"/>
        </w:rPr>
        <w:t xml:space="preserve">.  These </w:t>
      </w:r>
      <w:r w:rsidRPr="00E271DF">
        <w:rPr>
          <w:rFonts w:eastAsiaTheme="minorHAnsi" w:cs="Arial"/>
          <w:i/>
          <w:iCs/>
          <w:color w:val="0C0D0D"/>
          <w:lang w:eastAsia="en-US"/>
        </w:rPr>
        <w:t xml:space="preserve">shops are not licensed </w:t>
      </w:r>
      <w:proofErr w:type="gramStart"/>
      <w:r w:rsidRPr="00E271DF">
        <w:rPr>
          <w:rFonts w:eastAsiaTheme="minorHAnsi" w:cs="Arial"/>
          <w:i/>
          <w:iCs/>
          <w:color w:val="0C0D0D"/>
          <w:lang w:eastAsia="en-US"/>
        </w:rPr>
        <w:t>pharmacies</w:t>
      </w:r>
      <w:proofErr w:type="gramEnd"/>
      <w:r w:rsidRPr="00E271DF">
        <w:rPr>
          <w:rFonts w:eastAsiaTheme="minorHAnsi" w:cs="Arial"/>
          <w:i/>
          <w:iCs/>
          <w:color w:val="0C0D0D"/>
          <w:lang w:eastAsia="en-US"/>
        </w:rPr>
        <w:t xml:space="preserve"> but they keep the packaged cannabis</w:t>
      </w:r>
      <w:r w:rsidR="00046464" w:rsidRPr="00E271DF">
        <w:rPr>
          <w:rFonts w:eastAsiaTheme="minorHAnsi" w:cs="Arial"/>
          <w:i/>
          <w:iCs/>
          <w:color w:val="0C0D0D"/>
          <w:lang w:eastAsia="en-US"/>
        </w:rPr>
        <w:t xml:space="preserve"> </w:t>
      </w:r>
      <w:r w:rsidRPr="00E271DF">
        <w:rPr>
          <w:rFonts w:eastAsiaTheme="minorHAnsi" w:cs="Arial"/>
          <w:i/>
          <w:iCs/>
          <w:color w:val="0C0D0D"/>
          <w:lang w:eastAsia="en-US"/>
        </w:rPr>
        <w:t>flower packaged and supplied by THC Pharmacy.</w:t>
      </w:r>
    </w:p>
    <w:p w14:paraId="297F46A9" w14:textId="6AD2BC3B" w:rsidR="00C54118" w:rsidRPr="00E271DF" w:rsidRDefault="00A56646" w:rsidP="00C54118">
      <w:pPr>
        <w:pStyle w:val="WWList1"/>
        <w:numPr>
          <w:ilvl w:val="0"/>
          <w:numId w:val="0"/>
        </w:numPr>
        <w:ind w:left="851"/>
        <w:rPr>
          <w:rFonts w:eastAsiaTheme="minorHAnsi" w:cs="Arial"/>
          <w:i/>
          <w:iCs/>
          <w:color w:val="383443"/>
          <w:lang w:eastAsia="en-US"/>
        </w:rPr>
      </w:pPr>
      <w:r w:rsidRPr="00E271DF">
        <w:rPr>
          <w:rFonts w:eastAsiaTheme="minorHAnsi" w:cs="Arial"/>
          <w:i/>
          <w:iCs/>
          <w:color w:val="0C0D0D"/>
          <w:lang w:eastAsia="en-US"/>
        </w:rPr>
        <w:t>The Inspectors also looked at the pharmacy files and realised that there</w:t>
      </w:r>
      <w:r w:rsidR="00046464" w:rsidRPr="00E271DF">
        <w:rPr>
          <w:rFonts w:eastAsiaTheme="minorHAnsi" w:cs="Arial"/>
          <w:i/>
          <w:iCs/>
          <w:color w:val="0C0D0D"/>
          <w:lang w:eastAsia="en-US"/>
        </w:rPr>
        <w:t xml:space="preserve"> </w:t>
      </w:r>
      <w:r w:rsidRPr="00E271DF">
        <w:rPr>
          <w:rFonts w:eastAsiaTheme="minorHAnsi" w:cs="Arial"/>
          <w:i/>
          <w:iCs/>
          <w:color w:val="0C0D0D"/>
          <w:lang w:eastAsia="en-US"/>
        </w:rPr>
        <w:t>are some scripts ..</w:t>
      </w:r>
      <w:r w:rsidRPr="00E271DF">
        <w:rPr>
          <w:rFonts w:eastAsiaTheme="minorHAnsi" w:cs="Arial"/>
          <w:i/>
          <w:iCs/>
          <w:color w:val="383443"/>
          <w:lang w:eastAsia="en-US"/>
        </w:rPr>
        <w:t xml:space="preserve">. </w:t>
      </w:r>
      <w:r w:rsidRPr="00E271DF">
        <w:rPr>
          <w:rFonts w:eastAsiaTheme="minorHAnsi" w:cs="Arial"/>
          <w:i/>
          <w:iCs/>
          <w:color w:val="0C0D0D"/>
          <w:lang w:eastAsia="en-US"/>
        </w:rPr>
        <w:t xml:space="preserve">signed but with no patient details. </w:t>
      </w:r>
      <w:r w:rsidR="00046464" w:rsidRPr="00E271DF">
        <w:rPr>
          <w:rFonts w:eastAsiaTheme="minorHAnsi" w:cs="Arial"/>
          <w:i/>
          <w:iCs/>
          <w:color w:val="0C0D0D"/>
          <w:lang w:eastAsia="en-US"/>
        </w:rPr>
        <w:t xml:space="preserve"> </w:t>
      </w:r>
      <w:r w:rsidRPr="00E271DF">
        <w:rPr>
          <w:rFonts w:eastAsiaTheme="minorHAnsi" w:cs="Arial"/>
          <w:i/>
          <w:iCs/>
          <w:color w:val="0C0D0D"/>
          <w:lang w:eastAsia="en-US"/>
        </w:rPr>
        <w:t>These scripts were</w:t>
      </w:r>
      <w:r w:rsidR="00046464" w:rsidRPr="00E271DF">
        <w:rPr>
          <w:rFonts w:eastAsiaTheme="minorHAnsi" w:cs="Arial"/>
          <w:i/>
          <w:iCs/>
          <w:color w:val="0C0D0D"/>
          <w:lang w:eastAsia="en-US"/>
        </w:rPr>
        <w:t xml:space="preserve"> </w:t>
      </w:r>
      <w:r w:rsidRPr="00E271DF">
        <w:rPr>
          <w:rFonts w:eastAsiaTheme="minorHAnsi" w:cs="Arial"/>
          <w:i/>
          <w:iCs/>
          <w:color w:val="0C0D0D"/>
          <w:lang w:eastAsia="en-US"/>
        </w:rPr>
        <w:t>written 6 months in advance. The SAPC Inspector also checked the</w:t>
      </w:r>
      <w:r w:rsidR="00046464" w:rsidRPr="00E271DF">
        <w:rPr>
          <w:rFonts w:eastAsiaTheme="minorHAnsi" w:cs="Arial"/>
          <w:i/>
          <w:iCs/>
          <w:color w:val="0C0D0D"/>
          <w:lang w:eastAsia="en-US"/>
        </w:rPr>
        <w:t xml:space="preserve"> </w:t>
      </w:r>
      <w:r w:rsidRPr="00E271DF">
        <w:rPr>
          <w:rFonts w:eastAsiaTheme="minorHAnsi" w:cs="Arial"/>
          <w:i/>
          <w:iCs/>
          <w:color w:val="0C0D0D"/>
          <w:lang w:eastAsia="en-US"/>
        </w:rPr>
        <w:t>schedule 6 register and found that strain names of cannabis . . . were</w:t>
      </w:r>
      <w:r w:rsidR="00046464" w:rsidRPr="00E271DF">
        <w:rPr>
          <w:rFonts w:eastAsiaTheme="minorHAnsi" w:cs="Arial"/>
          <w:i/>
          <w:iCs/>
          <w:color w:val="0C0D0D"/>
          <w:lang w:eastAsia="en-US"/>
        </w:rPr>
        <w:t xml:space="preserve"> </w:t>
      </w:r>
      <w:r w:rsidRPr="00E271DF">
        <w:rPr>
          <w:rFonts w:eastAsiaTheme="minorHAnsi" w:cs="Arial"/>
          <w:i/>
          <w:iCs/>
          <w:color w:val="0C0D0D"/>
          <w:lang w:eastAsia="en-US"/>
        </w:rPr>
        <w:t>entered instead of the chemical non-proprietary names</w:t>
      </w:r>
      <w:r w:rsidR="00046464" w:rsidRPr="00E271DF">
        <w:rPr>
          <w:rFonts w:eastAsiaTheme="minorHAnsi" w:cs="Arial"/>
          <w:i/>
          <w:iCs/>
          <w:color w:val="0C0D0D"/>
          <w:lang w:eastAsia="en-US"/>
        </w:rPr>
        <w:t xml:space="preserve"> </w:t>
      </w:r>
      <w:r w:rsidRPr="00E271DF">
        <w:rPr>
          <w:rFonts w:eastAsiaTheme="minorHAnsi" w:cs="Arial"/>
          <w:i/>
          <w:iCs/>
          <w:color w:val="0C0D0D"/>
          <w:lang w:eastAsia="en-US"/>
        </w:rPr>
        <w:t xml:space="preserve">Tetrahydrocannabinol (THC) as it </w:t>
      </w:r>
      <w:proofErr w:type="gramStart"/>
      <w:r w:rsidRPr="00E271DF">
        <w:rPr>
          <w:rFonts w:eastAsiaTheme="minorHAnsi" w:cs="Arial"/>
          <w:i/>
          <w:iCs/>
          <w:color w:val="0C0D0D"/>
          <w:lang w:eastAsia="en-US"/>
        </w:rPr>
        <w:t>appear</w:t>
      </w:r>
      <w:proofErr w:type="gramEnd"/>
      <w:r w:rsidR="004149F3">
        <w:rPr>
          <w:rFonts w:eastAsiaTheme="minorHAnsi" w:cs="Arial"/>
          <w:i/>
          <w:iCs/>
          <w:color w:val="0C0D0D"/>
          <w:lang w:eastAsia="en-US"/>
        </w:rPr>
        <w:t>[ed]</w:t>
      </w:r>
      <w:r w:rsidRPr="00E271DF">
        <w:rPr>
          <w:rFonts w:eastAsiaTheme="minorHAnsi" w:cs="Arial"/>
          <w:i/>
          <w:iCs/>
          <w:color w:val="0C0D0D"/>
          <w:lang w:eastAsia="en-US"/>
        </w:rPr>
        <w:t xml:space="preserve"> in the consolidated schedules.</w:t>
      </w:r>
      <w:r w:rsidR="00C54118" w:rsidRPr="00E271DF">
        <w:rPr>
          <w:rFonts w:eastAsiaTheme="minorHAnsi" w:cs="Arial"/>
          <w:i/>
          <w:iCs/>
          <w:color w:val="0C0D0D"/>
          <w:lang w:eastAsia="en-US"/>
        </w:rPr>
        <w:t xml:space="preserve">  </w:t>
      </w:r>
      <w:r w:rsidRPr="00E271DF">
        <w:rPr>
          <w:rFonts w:eastAsiaTheme="minorHAnsi" w:cs="Arial"/>
          <w:i/>
          <w:iCs/>
          <w:color w:val="0C0D0D"/>
          <w:lang w:eastAsia="en-US"/>
        </w:rPr>
        <w:t>This discrepancy was ... show[n] to the RP</w:t>
      </w:r>
      <w:r w:rsidR="00C54118" w:rsidRPr="00E271DF">
        <w:rPr>
          <w:rFonts w:eastAsiaTheme="minorHAnsi" w:cs="Arial"/>
          <w:i/>
          <w:iCs/>
          <w:color w:val="383443"/>
          <w:lang w:eastAsia="en-US"/>
        </w:rPr>
        <w:t>.</w:t>
      </w:r>
    </w:p>
    <w:p w14:paraId="23C9F511" w14:textId="77777777" w:rsidR="0093129F" w:rsidRPr="00E271DF" w:rsidRDefault="00A56646" w:rsidP="0093129F">
      <w:pPr>
        <w:pStyle w:val="WWList1"/>
        <w:numPr>
          <w:ilvl w:val="0"/>
          <w:numId w:val="0"/>
        </w:numPr>
        <w:ind w:left="851"/>
        <w:rPr>
          <w:rFonts w:eastAsiaTheme="minorHAnsi" w:cs="Arial"/>
          <w:i/>
          <w:iCs/>
          <w:color w:val="0C0D0D"/>
          <w:lang w:eastAsia="en-US"/>
        </w:rPr>
      </w:pPr>
      <w:r w:rsidRPr="00E271DF">
        <w:rPr>
          <w:rFonts w:eastAsiaTheme="minorHAnsi" w:cs="Arial"/>
          <w:i/>
          <w:iCs/>
          <w:color w:val="0C0D0D"/>
          <w:lang w:eastAsia="en-US"/>
        </w:rPr>
        <w:lastRenderedPageBreak/>
        <w:t>The schedule 6 register was inspected and found to be not balancing as</w:t>
      </w:r>
      <w:r w:rsidR="00C54118" w:rsidRPr="00E271DF">
        <w:rPr>
          <w:rFonts w:eastAsiaTheme="minorHAnsi" w:cs="Arial"/>
          <w:i/>
          <w:iCs/>
          <w:color w:val="383443"/>
          <w:lang w:eastAsia="en-US"/>
        </w:rPr>
        <w:t xml:space="preserve"> </w:t>
      </w:r>
      <w:r w:rsidRPr="00E271DF">
        <w:rPr>
          <w:rFonts w:eastAsiaTheme="minorHAnsi" w:cs="Arial"/>
          <w:i/>
          <w:iCs/>
          <w:color w:val="0C0D0D"/>
          <w:lang w:eastAsia="en-US"/>
        </w:rPr>
        <w:t>required in terms of section 22A of the Medicines Act.</w:t>
      </w:r>
    </w:p>
    <w:p w14:paraId="66E9F8CC" w14:textId="34649205" w:rsidR="00C61D5D" w:rsidRPr="00E271DF" w:rsidRDefault="0093129F" w:rsidP="00C61D5D">
      <w:pPr>
        <w:pStyle w:val="WWList1"/>
        <w:numPr>
          <w:ilvl w:val="0"/>
          <w:numId w:val="0"/>
        </w:numPr>
        <w:ind w:left="851"/>
        <w:rPr>
          <w:rFonts w:eastAsiaTheme="minorHAnsi" w:cs="Arial"/>
          <w:color w:val="383443"/>
          <w:lang w:eastAsia="en-US"/>
        </w:rPr>
      </w:pPr>
      <w:r w:rsidRPr="00E271DF">
        <w:rPr>
          <w:rFonts w:eastAsiaTheme="minorHAnsi" w:cs="Arial"/>
          <w:i/>
          <w:iCs/>
          <w:color w:val="0C0D0D"/>
          <w:lang w:eastAsia="en-US"/>
        </w:rPr>
        <w:t xml:space="preserve">While busy with inspection, the prescribing Doctor . </w:t>
      </w:r>
      <w:r w:rsidRPr="00E271DF">
        <w:rPr>
          <w:rFonts w:eastAsiaTheme="minorHAnsi" w:cs="Arial"/>
          <w:i/>
          <w:iCs/>
          <w:color w:val="383443"/>
          <w:lang w:eastAsia="en-US"/>
        </w:rPr>
        <w:t xml:space="preserve">. </w:t>
      </w:r>
      <w:r w:rsidRPr="00E271DF">
        <w:rPr>
          <w:rFonts w:eastAsiaTheme="minorHAnsi" w:cs="Arial"/>
          <w:i/>
          <w:iCs/>
          <w:color w:val="0C0D0D"/>
          <w:lang w:eastAsia="en-US"/>
        </w:rPr>
        <w:t>. arrived at the pharmacy and introduced himself as the prescribing doctor for cannabis section 21 authorisations. He indicated that he is there to consult with patients on video call in the Pharmacy. He stated that he normally consult</w:t>
      </w:r>
      <w:r w:rsidR="004149F3">
        <w:rPr>
          <w:rFonts w:eastAsiaTheme="minorHAnsi" w:cs="Arial"/>
          <w:i/>
          <w:iCs/>
          <w:color w:val="0C0D0D"/>
          <w:lang w:eastAsia="en-US"/>
        </w:rPr>
        <w:t>[ed]</w:t>
      </w:r>
      <w:r w:rsidR="00C61D5D" w:rsidRPr="00E271DF">
        <w:rPr>
          <w:rFonts w:eastAsiaTheme="minorHAnsi" w:cs="Arial"/>
          <w:i/>
          <w:iCs/>
          <w:color w:val="0C0D0D"/>
          <w:lang w:eastAsia="en-US"/>
        </w:rPr>
        <w:t xml:space="preserve"> </w:t>
      </w:r>
      <w:r w:rsidR="00C61D5D" w:rsidRPr="00E271DF">
        <w:rPr>
          <w:rFonts w:eastAsiaTheme="minorHAnsi" w:cs="Arial"/>
          <w:i/>
          <w:iCs/>
          <w:color w:val="0C0C0D"/>
          <w:lang w:eastAsia="en-US"/>
        </w:rPr>
        <w:t xml:space="preserve">with patients on video call and he will take notes and write </w:t>
      </w:r>
      <w:r w:rsidR="00C61D5D" w:rsidRPr="00E271DF">
        <w:rPr>
          <w:rFonts w:eastAsiaTheme="minorHAnsi" w:cs="Arial"/>
          <w:i/>
          <w:iCs/>
          <w:color w:val="0C0C0D"/>
          <w:sz w:val="23"/>
          <w:szCs w:val="23"/>
          <w:lang w:eastAsia="en-US"/>
        </w:rPr>
        <w:t xml:space="preserve">a </w:t>
      </w:r>
      <w:r w:rsidR="00C61D5D" w:rsidRPr="00E271DF">
        <w:rPr>
          <w:rFonts w:eastAsiaTheme="minorHAnsi" w:cs="Arial"/>
          <w:i/>
          <w:iCs/>
          <w:color w:val="0C0C0D"/>
          <w:lang w:eastAsia="en-US"/>
        </w:rPr>
        <w:t xml:space="preserve">prescription for 6 months in </w:t>
      </w:r>
      <w:proofErr w:type="gramStart"/>
      <w:r w:rsidR="00C61D5D" w:rsidRPr="00E271DF">
        <w:rPr>
          <w:rFonts w:eastAsiaTheme="minorHAnsi" w:cs="Arial"/>
          <w:i/>
          <w:iCs/>
          <w:color w:val="0C0C0D"/>
          <w:lang w:eastAsia="en-US"/>
        </w:rPr>
        <w:t xml:space="preserve">advance </w:t>
      </w:r>
      <w:r w:rsidR="00C61D5D" w:rsidRPr="00E271DF">
        <w:rPr>
          <w:rFonts w:eastAsiaTheme="minorHAnsi" w:cs="Arial"/>
          <w:i/>
          <w:iCs/>
          <w:color w:val="252526"/>
          <w:lang w:eastAsia="en-US"/>
        </w:rPr>
        <w:t>.</w:t>
      </w:r>
      <w:proofErr w:type="gramEnd"/>
      <w:r w:rsidR="00C61D5D" w:rsidRPr="00E271DF">
        <w:rPr>
          <w:rFonts w:eastAsiaTheme="minorHAnsi" w:cs="Arial"/>
          <w:i/>
          <w:iCs/>
          <w:color w:val="252526"/>
          <w:lang w:eastAsia="en-US"/>
        </w:rPr>
        <w:t xml:space="preserve"> </w:t>
      </w:r>
      <w:r w:rsidR="00C61D5D" w:rsidRPr="00E271DF">
        <w:rPr>
          <w:rFonts w:eastAsiaTheme="minorHAnsi" w:cs="Arial"/>
          <w:i/>
          <w:iCs/>
          <w:color w:val="0C0C0D"/>
          <w:lang w:eastAsia="en-US"/>
        </w:rPr>
        <w:t xml:space="preserve">... The Doctor was told that he is not allowed to write prescriptions in advance </w:t>
      </w:r>
      <w:proofErr w:type="gramStart"/>
      <w:r w:rsidR="00C61D5D" w:rsidRPr="00E271DF">
        <w:rPr>
          <w:rFonts w:eastAsiaTheme="minorHAnsi" w:cs="Arial"/>
          <w:i/>
          <w:iCs/>
          <w:color w:val="0C0C0D"/>
          <w:lang w:eastAsia="en-US"/>
        </w:rPr>
        <w:t xml:space="preserve">and </w:t>
      </w:r>
      <w:r w:rsidR="00C61D5D" w:rsidRPr="00E271DF">
        <w:rPr>
          <w:rFonts w:eastAsiaTheme="minorHAnsi" w:cs="Arial"/>
          <w:i/>
          <w:iCs/>
          <w:color w:val="0C0C0D"/>
          <w:sz w:val="23"/>
          <w:szCs w:val="23"/>
          <w:lang w:eastAsia="en-US"/>
        </w:rPr>
        <w:t>also</w:t>
      </w:r>
      <w:proofErr w:type="gramEnd"/>
      <w:r w:rsidR="00C61D5D" w:rsidRPr="00E271DF">
        <w:rPr>
          <w:rFonts w:eastAsiaTheme="minorHAnsi" w:cs="Arial"/>
          <w:i/>
          <w:iCs/>
          <w:color w:val="0C0C0D"/>
          <w:sz w:val="23"/>
          <w:szCs w:val="23"/>
          <w:lang w:eastAsia="en-US"/>
        </w:rPr>
        <w:t xml:space="preserve"> </w:t>
      </w:r>
      <w:r w:rsidR="00C61D5D" w:rsidRPr="00E271DF">
        <w:rPr>
          <w:rFonts w:eastAsiaTheme="minorHAnsi" w:cs="Arial"/>
          <w:i/>
          <w:iCs/>
          <w:color w:val="0C0C0D"/>
          <w:lang w:eastAsia="en-US"/>
        </w:rPr>
        <w:t>no repeats are allowed for schedule 6 substance</w:t>
      </w:r>
      <w:r w:rsidR="00C61D5D" w:rsidRPr="00E271DF">
        <w:rPr>
          <w:rFonts w:eastAsiaTheme="minorHAnsi" w:cs="Arial"/>
          <w:i/>
          <w:iCs/>
          <w:color w:val="252526"/>
          <w:lang w:eastAsia="en-US"/>
        </w:rPr>
        <w:t xml:space="preserve">. </w:t>
      </w:r>
      <w:r w:rsidR="00C61D5D" w:rsidRPr="00E271DF">
        <w:rPr>
          <w:rFonts w:eastAsiaTheme="minorHAnsi" w:cs="Arial"/>
          <w:i/>
          <w:iCs/>
          <w:color w:val="0C0C0D"/>
          <w:lang w:eastAsia="en-US"/>
        </w:rPr>
        <w:t xml:space="preserve">The Doctor </w:t>
      </w:r>
      <w:r w:rsidR="00C61D5D" w:rsidRPr="00E271DF">
        <w:rPr>
          <w:rFonts w:eastAsiaTheme="minorHAnsi" w:cs="Arial"/>
          <w:i/>
          <w:iCs/>
          <w:color w:val="0C0C0D"/>
          <w:sz w:val="23"/>
          <w:szCs w:val="23"/>
          <w:lang w:eastAsia="en-US"/>
        </w:rPr>
        <w:t xml:space="preserve">was </w:t>
      </w:r>
      <w:r w:rsidR="00C61D5D" w:rsidRPr="00E271DF">
        <w:rPr>
          <w:rFonts w:eastAsiaTheme="minorHAnsi" w:cs="Arial"/>
          <w:i/>
          <w:iCs/>
          <w:color w:val="0C0C0D"/>
          <w:lang w:eastAsia="en-US"/>
        </w:rPr>
        <w:t>also questioned how .</w:t>
      </w:r>
      <w:r w:rsidR="00C61D5D" w:rsidRPr="00E271DF">
        <w:rPr>
          <w:rFonts w:eastAsiaTheme="minorHAnsi" w:cs="Arial"/>
          <w:i/>
          <w:iCs/>
          <w:color w:val="252526"/>
          <w:lang w:eastAsia="en-US"/>
        </w:rPr>
        <w:t>.</w:t>
      </w:r>
      <w:r w:rsidR="00C61D5D" w:rsidRPr="00E271DF">
        <w:rPr>
          <w:rFonts w:eastAsiaTheme="minorHAnsi" w:cs="Arial"/>
          <w:i/>
          <w:iCs/>
          <w:color w:val="0C0C0D"/>
          <w:lang w:eastAsia="en-US"/>
        </w:rPr>
        <w:t xml:space="preserve">. he </w:t>
      </w:r>
      <w:proofErr w:type="gramStart"/>
      <w:r w:rsidR="00C61D5D" w:rsidRPr="00E271DF">
        <w:rPr>
          <w:rFonts w:eastAsiaTheme="minorHAnsi" w:cs="Arial"/>
          <w:i/>
          <w:iCs/>
          <w:color w:val="0C0C0D"/>
          <w:lang w:eastAsia="en-US"/>
        </w:rPr>
        <w:t>diagnose</w:t>
      </w:r>
      <w:proofErr w:type="gramEnd"/>
      <w:r w:rsidR="00C61D5D" w:rsidRPr="00E271DF">
        <w:rPr>
          <w:rFonts w:eastAsiaTheme="minorHAnsi" w:cs="Arial"/>
          <w:i/>
          <w:iCs/>
          <w:color w:val="0C0C0D"/>
          <w:lang w:eastAsia="en-US"/>
        </w:rPr>
        <w:t>[</w:t>
      </w:r>
      <w:r w:rsidR="00A57FA0">
        <w:rPr>
          <w:rFonts w:eastAsiaTheme="minorHAnsi" w:cs="Arial"/>
          <w:i/>
          <w:iCs/>
          <w:color w:val="0C0C0D"/>
          <w:lang w:eastAsia="en-US"/>
        </w:rPr>
        <w:t>d</w:t>
      </w:r>
      <w:r w:rsidR="00C61D5D" w:rsidRPr="00E271DF">
        <w:rPr>
          <w:rFonts w:eastAsiaTheme="minorHAnsi" w:cs="Arial"/>
          <w:i/>
          <w:iCs/>
          <w:color w:val="0C0C0D"/>
          <w:lang w:eastAsia="en-US"/>
        </w:rPr>
        <w:t>] the patient online without physically examining patients.</w:t>
      </w:r>
      <w:r w:rsidR="00E271DF">
        <w:rPr>
          <w:rFonts w:eastAsiaTheme="minorHAnsi" w:cs="Arial"/>
          <w:color w:val="0C0C0D"/>
          <w:lang w:eastAsia="en-US"/>
        </w:rPr>
        <w:t>"</w:t>
      </w:r>
    </w:p>
    <w:p w14:paraId="260DA920" w14:textId="3F6820EE" w:rsidR="00B2491D" w:rsidRDefault="009728ED" w:rsidP="009728ED">
      <w:pPr>
        <w:pStyle w:val="WWList1"/>
        <w:numPr>
          <w:ilvl w:val="0"/>
          <w:numId w:val="0"/>
        </w:numPr>
        <w:tabs>
          <w:tab w:val="left" w:pos="567"/>
        </w:tabs>
        <w:ind w:left="567" w:hanging="567"/>
        <w:rPr>
          <w:rFonts w:eastAsiaTheme="minorHAnsi"/>
          <w:lang w:eastAsia="en-US"/>
        </w:rPr>
      </w:pPr>
      <w:r>
        <w:rPr>
          <w:rFonts w:eastAsiaTheme="minorHAnsi"/>
          <w:lang w:eastAsia="en-US"/>
        </w:rPr>
        <w:t>16.</w:t>
      </w:r>
      <w:r>
        <w:rPr>
          <w:rFonts w:eastAsiaTheme="minorHAnsi"/>
          <w:lang w:eastAsia="en-US"/>
        </w:rPr>
        <w:tab/>
      </w:r>
      <w:r w:rsidR="00432220">
        <w:rPr>
          <w:rFonts w:eastAsiaTheme="minorHAnsi"/>
          <w:lang w:eastAsia="en-US"/>
        </w:rPr>
        <w:t xml:space="preserve">As a result, SAHPRA concluded that </w:t>
      </w:r>
      <w:r w:rsidR="00EA60D2">
        <w:rPr>
          <w:rFonts w:eastAsiaTheme="minorHAnsi"/>
          <w:lang w:eastAsia="en-US"/>
        </w:rPr>
        <w:t>the inspectors observed numerous contraventions of the Medicines Act,</w:t>
      </w:r>
      <w:r w:rsidR="00307A3C">
        <w:rPr>
          <w:rFonts w:eastAsiaTheme="minorHAnsi"/>
          <w:lang w:eastAsia="en-US"/>
        </w:rPr>
        <w:t xml:space="preserve"> which according to SAHPRA also constitute </w:t>
      </w:r>
      <w:r w:rsidR="00C02303">
        <w:rPr>
          <w:rFonts w:eastAsiaTheme="minorHAnsi"/>
          <w:lang w:eastAsia="en-US"/>
        </w:rPr>
        <w:t>criminal offences,</w:t>
      </w:r>
      <w:r w:rsidR="00EA60D2">
        <w:rPr>
          <w:rFonts w:eastAsiaTheme="minorHAnsi"/>
          <w:lang w:eastAsia="en-US"/>
        </w:rPr>
        <w:t xml:space="preserve"> including </w:t>
      </w:r>
      <w:r w:rsidR="00AA4086">
        <w:rPr>
          <w:rFonts w:eastAsiaTheme="minorHAnsi"/>
          <w:lang w:eastAsia="en-US"/>
        </w:rPr>
        <w:t>the following:</w:t>
      </w:r>
    </w:p>
    <w:p w14:paraId="4AC2F66D" w14:textId="06387834" w:rsidR="00AA4086" w:rsidRDefault="009728ED" w:rsidP="009728ED">
      <w:pPr>
        <w:pStyle w:val="WWList2"/>
        <w:numPr>
          <w:ilvl w:val="0"/>
          <w:numId w:val="0"/>
        </w:numPr>
        <w:tabs>
          <w:tab w:val="left" w:pos="1134"/>
        </w:tabs>
        <w:ind w:left="1134" w:hanging="1134"/>
        <w:rPr>
          <w:rFonts w:eastAsiaTheme="minorHAnsi"/>
          <w:lang w:eastAsia="en-US"/>
        </w:rPr>
      </w:pPr>
      <w:r>
        <w:rPr>
          <w:rFonts w:eastAsiaTheme="minorHAnsi"/>
          <w:lang w:eastAsia="en-US"/>
        </w:rPr>
        <w:t>16.1</w:t>
      </w:r>
      <w:r>
        <w:rPr>
          <w:rFonts w:eastAsiaTheme="minorHAnsi"/>
          <w:lang w:eastAsia="en-US"/>
        </w:rPr>
        <w:tab/>
      </w:r>
      <w:r w:rsidR="00AA4086">
        <w:rPr>
          <w:rFonts w:eastAsiaTheme="minorHAnsi"/>
          <w:lang w:eastAsia="en-US"/>
        </w:rPr>
        <w:t>the unauthorised manufacturing of medicines as contemplated by section 22A(9)(a)(</w:t>
      </w:r>
      <w:proofErr w:type="spellStart"/>
      <w:r w:rsidR="00AA4086">
        <w:rPr>
          <w:rFonts w:eastAsiaTheme="minorHAnsi"/>
          <w:lang w:eastAsia="en-US"/>
        </w:rPr>
        <w:t>i</w:t>
      </w:r>
      <w:proofErr w:type="spellEnd"/>
      <w:r w:rsidR="00AA4086">
        <w:rPr>
          <w:rFonts w:eastAsiaTheme="minorHAnsi"/>
          <w:lang w:eastAsia="en-US"/>
        </w:rPr>
        <w:t>), read with section 22C(1)(b) and regulation 23</w:t>
      </w:r>
      <w:r w:rsidR="004308E3">
        <w:rPr>
          <w:rFonts w:eastAsiaTheme="minorHAnsi"/>
          <w:lang w:eastAsia="en-US"/>
        </w:rPr>
        <w:t xml:space="preserve">.  </w:t>
      </w:r>
      <w:r w:rsidR="004308E3">
        <w:t>According to SAHPRA, FSMI's licence is limited to "</w:t>
      </w:r>
      <w:r w:rsidR="004308E3" w:rsidRPr="0010298C">
        <w:rPr>
          <w:i/>
          <w:iCs/>
        </w:rPr>
        <w:t>cultivation of cannabis and prohibits further manipulation of the dry flower … and subsequent production of finished product</w:t>
      </w:r>
      <w:r w:rsidR="004308E3">
        <w:t>"</w:t>
      </w:r>
      <w:r w:rsidR="00BA26C3">
        <w:t xml:space="preserve"> and "</w:t>
      </w:r>
      <w:r w:rsidR="00BA26C3" w:rsidRPr="00807919">
        <w:rPr>
          <w:i/>
          <w:iCs/>
        </w:rPr>
        <w:t>does not permit the sale of bulk product to an entity such as the applicant for purposes of repacking and then selling and/or dispensi</w:t>
      </w:r>
      <w:r w:rsidR="00807919" w:rsidRPr="00807919">
        <w:rPr>
          <w:i/>
          <w:iCs/>
        </w:rPr>
        <w:t>ng to patients</w:t>
      </w:r>
      <w:r w:rsidR="00807919">
        <w:t>"</w:t>
      </w:r>
      <w:r w:rsidR="004308E3">
        <w:t>.</w:t>
      </w:r>
    </w:p>
    <w:p w14:paraId="27F600B4" w14:textId="1245436D" w:rsidR="00555C40" w:rsidRDefault="009728ED" w:rsidP="009728ED">
      <w:pPr>
        <w:pStyle w:val="WWList2"/>
        <w:numPr>
          <w:ilvl w:val="0"/>
          <w:numId w:val="0"/>
        </w:numPr>
        <w:tabs>
          <w:tab w:val="left" w:pos="1134"/>
        </w:tabs>
        <w:ind w:left="1134" w:hanging="1134"/>
        <w:rPr>
          <w:rFonts w:eastAsiaTheme="minorHAnsi"/>
          <w:lang w:eastAsia="en-US"/>
        </w:rPr>
      </w:pPr>
      <w:r>
        <w:rPr>
          <w:rFonts w:eastAsiaTheme="minorHAnsi"/>
          <w:lang w:eastAsia="en-US"/>
        </w:rPr>
        <w:t>16.2</w:t>
      </w:r>
      <w:r>
        <w:rPr>
          <w:rFonts w:eastAsiaTheme="minorHAnsi"/>
          <w:lang w:eastAsia="en-US"/>
        </w:rPr>
        <w:tab/>
      </w:r>
      <w:r w:rsidR="008167AC">
        <w:rPr>
          <w:rFonts w:eastAsiaTheme="minorHAnsi"/>
          <w:lang w:eastAsia="en-US"/>
        </w:rPr>
        <w:t>the failure to keep a register recording prescribed information</w:t>
      </w:r>
      <w:r w:rsidR="00CF67B6">
        <w:rPr>
          <w:rFonts w:eastAsiaTheme="minorHAnsi"/>
          <w:lang w:eastAsia="en-US"/>
        </w:rPr>
        <w:t xml:space="preserve"> in relation to the schedule 6 medicines sold, in contravention of section 22A(6)(p) and regulation </w:t>
      </w:r>
      <w:proofErr w:type="gramStart"/>
      <w:r w:rsidR="00CF67B6">
        <w:rPr>
          <w:rFonts w:eastAsiaTheme="minorHAnsi"/>
          <w:lang w:eastAsia="en-US"/>
        </w:rPr>
        <w:t>36</w:t>
      </w:r>
      <w:r w:rsidR="009D43DB">
        <w:rPr>
          <w:rFonts w:eastAsiaTheme="minorHAnsi"/>
          <w:lang w:eastAsia="en-US"/>
        </w:rPr>
        <w:t>;</w:t>
      </w:r>
      <w:proofErr w:type="gramEnd"/>
    </w:p>
    <w:p w14:paraId="330BFEBF" w14:textId="1AB44EF1" w:rsidR="009D43DB" w:rsidRDefault="009728ED" w:rsidP="009728ED">
      <w:pPr>
        <w:pStyle w:val="WWList2"/>
        <w:numPr>
          <w:ilvl w:val="0"/>
          <w:numId w:val="0"/>
        </w:numPr>
        <w:tabs>
          <w:tab w:val="left" w:pos="1134"/>
        </w:tabs>
        <w:ind w:left="1134" w:hanging="1134"/>
        <w:rPr>
          <w:rFonts w:eastAsiaTheme="minorHAnsi"/>
          <w:lang w:eastAsia="en-US"/>
        </w:rPr>
      </w:pPr>
      <w:r>
        <w:rPr>
          <w:rFonts w:eastAsiaTheme="minorHAnsi"/>
          <w:lang w:eastAsia="en-US"/>
        </w:rPr>
        <w:lastRenderedPageBreak/>
        <w:t>16.3</w:t>
      </w:r>
      <w:r>
        <w:rPr>
          <w:rFonts w:eastAsiaTheme="minorHAnsi"/>
          <w:lang w:eastAsia="en-US"/>
        </w:rPr>
        <w:tab/>
      </w:r>
      <w:r w:rsidR="009D43DB">
        <w:rPr>
          <w:rFonts w:eastAsiaTheme="minorHAnsi"/>
          <w:lang w:eastAsia="en-US"/>
        </w:rPr>
        <w:t xml:space="preserve">breach of the prohibition </w:t>
      </w:r>
      <w:r w:rsidR="00037A2D">
        <w:rPr>
          <w:rFonts w:eastAsiaTheme="minorHAnsi"/>
          <w:lang w:eastAsia="en-US"/>
        </w:rPr>
        <w:t>against repackaging the medicines other than by a pharmacist, pharmacist's intern or pharmacist's assistant</w:t>
      </w:r>
      <w:r w:rsidR="008E746A">
        <w:rPr>
          <w:rFonts w:eastAsiaTheme="minorHAnsi"/>
          <w:lang w:eastAsia="en-US"/>
        </w:rPr>
        <w:t xml:space="preserve">, as contemplated in regulation </w:t>
      </w:r>
      <w:proofErr w:type="gramStart"/>
      <w:r w:rsidR="008E746A">
        <w:rPr>
          <w:rFonts w:eastAsiaTheme="minorHAnsi"/>
          <w:lang w:eastAsia="en-US"/>
        </w:rPr>
        <w:t>39;</w:t>
      </w:r>
      <w:proofErr w:type="gramEnd"/>
    </w:p>
    <w:p w14:paraId="422A8E86" w14:textId="4945ED7A" w:rsidR="008E746A" w:rsidRDefault="009728ED" w:rsidP="009728ED">
      <w:pPr>
        <w:pStyle w:val="WWList2"/>
        <w:numPr>
          <w:ilvl w:val="0"/>
          <w:numId w:val="0"/>
        </w:numPr>
        <w:tabs>
          <w:tab w:val="left" w:pos="1134"/>
        </w:tabs>
        <w:ind w:left="1134" w:hanging="1134"/>
        <w:rPr>
          <w:rFonts w:eastAsiaTheme="minorHAnsi"/>
          <w:lang w:eastAsia="en-US"/>
        </w:rPr>
      </w:pPr>
      <w:r>
        <w:rPr>
          <w:rFonts w:eastAsiaTheme="minorHAnsi"/>
          <w:lang w:eastAsia="en-US"/>
        </w:rPr>
        <w:t>16.4</w:t>
      </w:r>
      <w:r>
        <w:rPr>
          <w:rFonts w:eastAsiaTheme="minorHAnsi"/>
          <w:lang w:eastAsia="en-US"/>
        </w:rPr>
        <w:tab/>
      </w:r>
      <w:r w:rsidR="008E746A">
        <w:rPr>
          <w:rFonts w:eastAsiaTheme="minorHAnsi"/>
          <w:lang w:eastAsia="en-US"/>
        </w:rPr>
        <w:t>violations of sections 22A</w:t>
      </w:r>
      <w:r w:rsidR="0032485A">
        <w:rPr>
          <w:rFonts w:eastAsiaTheme="minorHAnsi"/>
          <w:lang w:eastAsia="en-US"/>
        </w:rPr>
        <w:t>(6)(</w:t>
      </w:r>
      <w:proofErr w:type="spellStart"/>
      <w:r w:rsidR="0032485A">
        <w:rPr>
          <w:rFonts w:eastAsiaTheme="minorHAnsi"/>
          <w:lang w:eastAsia="en-US"/>
        </w:rPr>
        <w:t>i</w:t>
      </w:r>
      <w:proofErr w:type="spellEnd"/>
      <w:r w:rsidR="0032485A">
        <w:rPr>
          <w:rFonts w:eastAsiaTheme="minorHAnsi"/>
          <w:lang w:eastAsia="en-US"/>
        </w:rPr>
        <w:t>) and 22A(6)(o), which prohibit repeat</w:t>
      </w:r>
      <w:r w:rsidR="00553799">
        <w:rPr>
          <w:rFonts w:eastAsiaTheme="minorHAnsi"/>
          <w:lang w:eastAsia="en-US"/>
        </w:rPr>
        <w:t xml:space="preserve"> (or postdated) scripts</w:t>
      </w:r>
      <w:r w:rsidR="0032485A">
        <w:rPr>
          <w:rFonts w:eastAsiaTheme="minorHAnsi"/>
          <w:lang w:eastAsia="en-US"/>
        </w:rPr>
        <w:t xml:space="preserve"> </w:t>
      </w:r>
      <w:r w:rsidR="00553799">
        <w:rPr>
          <w:rFonts w:eastAsiaTheme="minorHAnsi"/>
          <w:lang w:eastAsia="en-US"/>
        </w:rPr>
        <w:t>on Schedule 6 medicines and</w:t>
      </w:r>
      <w:r w:rsidR="00596299">
        <w:rPr>
          <w:rFonts w:eastAsiaTheme="minorHAnsi"/>
          <w:lang w:eastAsia="en-US"/>
        </w:rPr>
        <w:t xml:space="preserve"> sale of Schedule 6 medicines where the course of treatment exceeds 30 days.</w:t>
      </w:r>
      <w:r w:rsidR="00553799">
        <w:rPr>
          <w:rFonts w:eastAsiaTheme="minorHAnsi"/>
          <w:lang w:eastAsia="en-US"/>
        </w:rPr>
        <w:t xml:space="preserve"> </w:t>
      </w:r>
    </w:p>
    <w:p w14:paraId="1894D114" w14:textId="59F28E32" w:rsidR="008E0946" w:rsidRPr="00673880" w:rsidRDefault="009728ED" w:rsidP="009728ED">
      <w:pPr>
        <w:pStyle w:val="WWList1"/>
        <w:numPr>
          <w:ilvl w:val="0"/>
          <w:numId w:val="0"/>
        </w:numPr>
        <w:tabs>
          <w:tab w:val="left" w:pos="567"/>
        </w:tabs>
        <w:suppressAutoHyphens w:val="0"/>
        <w:autoSpaceDE w:val="0"/>
        <w:autoSpaceDN w:val="0"/>
        <w:adjustRightInd w:val="0"/>
        <w:ind w:left="567" w:hanging="567"/>
        <w:rPr>
          <w:rFonts w:eastAsiaTheme="minorHAnsi"/>
          <w:lang w:eastAsia="en-US"/>
        </w:rPr>
      </w:pPr>
      <w:r w:rsidRPr="00673880">
        <w:rPr>
          <w:rFonts w:eastAsiaTheme="minorHAnsi"/>
          <w:lang w:eastAsia="en-US"/>
        </w:rPr>
        <w:t>17.</w:t>
      </w:r>
      <w:r w:rsidRPr="00673880">
        <w:rPr>
          <w:rFonts w:eastAsiaTheme="minorHAnsi"/>
          <w:lang w:eastAsia="en-US"/>
        </w:rPr>
        <w:tab/>
      </w:r>
      <w:r w:rsidR="008E0946" w:rsidRPr="00673880">
        <w:rPr>
          <w:rFonts w:eastAsiaTheme="minorHAnsi"/>
          <w:lang w:eastAsia="en-US"/>
        </w:rPr>
        <w:t xml:space="preserve">The SAHPRA report continues as follows: </w:t>
      </w:r>
      <w:r w:rsidR="008E0946" w:rsidRPr="00673880">
        <w:rPr>
          <w:rFonts w:eastAsiaTheme="minorHAnsi" w:cs="Arial"/>
          <w:i/>
          <w:iCs/>
          <w:color w:val="2A2A2B"/>
          <w:lang w:eastAsia="en-US"/>
        </w:rPr>
        <w:t>"</w:t>
      </w:r>
      <w:r w:rsidR="008E0946" w:rsidRPr="00673880">
        <w:rPr>
          <w:rFonts w:eastAsiaTheme="minorHAnsi" w:cs="Arial"/>
          <w:i/>
          <w:iCs/>
          <w:color w:val="0D0D0E"/>
          <w:lang w:eastAsia="en-US"/>
        </w:rPr>
        <w:t>The inspe</w:t>
      </w:r>
      <w:r w:rsidR="008E0946" w:rsidRPr="006665ED">
        <w:rPr>
          <w:rFonts w:eastAsiaTheme="minorHAnsi" w:cs="Arial"/>
          <w:i/>
          <w:iCs/>
          <w:color w:val="0D0D0E"/>
          <w:lang w:eastAsia="en-US"/>
        </w:rPr>
        <w:t xml:space="preserve">ctors had a quick meeting with Ms. Mokgadi </w:t>
      </w:r>
      <w:proofErr w:type="spellStart"/>
      <w:r w:rsidR="008E0946" w:rsidRPr="006665ED">
        <w:rPr>
          <w:rFonts w:eastAsiaTheme="minorHAnsi" w:cs="Arial"/>
          <w:i/>
          <w:iCs/>
          <w:color w:val="0D0D0E"/>
          <w:lang w:eastAsia="en-US"/>
        </w:rPr>
        <w:t>Fafudi</w:t>
      </w:r>
      <w:proofErr w:type="spellEnd"/>
      <w:r w:rsidR="008E0946" w:rsidRPr="006665ED">
        <w:rPr>
          <w:rFonts w:eastAsiaTheme="minorHAnsi" w:cs="Arial"/>
          <w:i/>
          <w:iCs/>
          <w:color w:val="0D0D0E"/>
          <w:lang w:eastAsia="en-US"/>
        </w:rPr>
        <w:t xml:space="preserve"> (Regulatory Compliance Manager</w:t>
      </w:r>
      <w:r w:rsidR="008E0946" w:rsidRPr="00673880">
        <w:rPr>
          <w:rFonts w:eastAsiaTheme="minorHAnsi" w:cs="Arial"/>
          <w:i/>
          <w:iCs/>
          <w:color w:val="0D0D0E"/>
          <w:lang w:eastAsia="en-US"/>
        </w:rPr>
        <w:t>)</w:t>
      </w:r>
      <w:r w:rsidR="008E0946" w:rsidRPr="00673880">
        <w:rPr>
          <w:rFonts w:eastAsiaTheme="minorHAnsi" w:cs="Arial"/>
          <w:i/>
          <w:iCs/>
          <w:color w:val="2A2A2B"/>
          <w:lang w:eastAsia="en-US"/>
        </w:rPr>
        <w:t xml:space="preserve">, </w:t>
      </w:r>
      <w:proofErr w:type="spellStart"/>
      <w:r w:rsidR="008E0946" w:rsidRPr="00673880">
        <w:rPr>
          <w:rFonts w:eastAsiaTheme="minorHAnsi" w:cs="Arial"/>
          <w:i/>
          <w:iCs/>
          <w:color w:val="0D0D0E"/>
          <w:lang w:eastAsia="en-US"/>
        </w:rPr>
        <w:t>Shyamli</w:t>
      </w:r>
      <w:proofErr w:type="spellEnd"/>
      <w:r w:rsidR="008E0946" w:rsidRPr="00673880">
        <w:rPr>
          <w:rFonts w:eastAsiaTheme="minorHAnsi" w:cs="Arial"/>
          <w:i/>
          <w:iCs/>
          <w:color w:val="0D0D0E"/>
          <w:lang w:eastAsia="en-US"/>
        </w:rPr>
        <w:t xml:space="preserve"> Munbodh (Section 21 Manager) and Mr</w:t>
      </w:r>
      <w:r w:rsidR="008E0946" w:rsidRPr="00673880">
        <w:rPr>
          <w:rFonts w:eastAsiaTheme="minorHAnsi" w:cs="Arial"/>
          <w:i/>
          <w:iCs/>
          <w:color w:val="2A2A2B"/>
          <w:lang w:eastAsia="en-US"/>
        </w:rPr>
        <w:t xml:space="preserve">. </w:t>
      </w:r>
      <w:r w:rsidR="008E0946" w:rsidRPr="00673880">
        <w:rPr>
          <w:rFonts w:eastAsiaTheme="minorHAnsi" w:cs="Arial"/>
          <w:i/>
          <w:iCs/>
          <w:color w:val="0D0D0E"/>
          <w:lang w:eastAsia="en-US"/>
        </w:rPr>
        <w:t>Deon Poovan (Senior Manager</w:t>
      </w:r>
      <w:r w:rsidR="008E0946" w:rsidRPr="00673880">
        <w:rPr>
          <w:rFonts w:eastAsiaTheme="minorHAnsi" w:cs="Arial"/>
          <w:i/>
          <w:iCs/>
          <w:color w:val="2A2A2B"/>
          <w:lang w:eastAsia="en-US"/>
        </w:rPr>
        <w:t xml:space="preserve">: </w:t>
      </w:r>
      <w:proofErr w:type="spellStart"/>
      <w:r w:rsidR="008E0946" w:rsidRPr="00673880">
        <w:rPr>
          <w:rFonts w:eastAsiaTheme="minorHAnsi" w:cs="Arial"/>
          <w:i/>
          <w:iCs/>
          <w:color w:val="0D0D0E"/>
          <w:lang w:eastAsia="en-US"/>
        </w:rPr>
        <w:t>lnspectorate</w:t>
      </w:r>
      <w:proofErr w:type="spellEnd"/>
      <w:r w:rsidR="008E0946" w:rsidRPr="00673880">
        <w:rPr>
          <w:rFonts w:eastAsiaTheme="minorHAnsi" w:cs="Arial"/>
          <w:i/>
          <w:iCs/>
          <w:color w:val="0D0D0E"/>
          <w:lang w:eastAsia="en-US"/>
        </w:rPr>
        <w:t xml:space="preserve"> and Regulatory Compliance)</w:t>
      </w:r>
      <w:r w:rsidR="008E0946" w:rsidRPr="00673880">
        <w:rPr>
          <w:rFonts w:eastAsiaTheme="minorHAnsi" w:cs="Arial"/>
          <w:i/>
          <w:iCs/>
          <w:color w:val="2A2A2B"/>
          <w:lang w:eastAsia="en-US"/>
        </w:rPr>
        <w:t>.</w:t>
      </w:r>
      <w:r w:rsidR="002B0B8C">
        <w:rPr>
          <w:rFonts w:eastAsiaTheme="minorHAnsi" w:cs="Arial"/>
          <w:i/>
          <w:iCs/>
          <w:color w:val="2A2A2B"/>
          <w:lang w:eastAsia="en-US"/>
        </w:rPr>
        <w:t xml:space="preserve"> </w:t>
      </w:r>
      <w:r w:rsidR="008E0946" w:rsidRPr="00673880">
        <w:rPr>
          <w:rFonts w:eastAsiaTheme="minorHAnsi" w:cs="Arial"/>
          <w:i/>
          <w:iCs/>
          <w:color w:val="2A2A2B"/>
          <w:lang w:eastAsia="en-US"/>
        </w:rPr>
        <w:t xml:space="preserve"> </w:t>
      </w:r>
      <w:r w:rsidR="008E0946" w:rsidRPr="00673880">
        <w:rPr>
          <w:rFonts w:eastAsiaTheme="minorHAnsi" w:cs="Arial"/>
          <w:i/>
          <w:iCs/>
          <w:color w:val="0D0D0E"/>
          <w:lang w:eastAsia="en-US"/>
        </w:rPr>
        <w:t>A decision to seize the THC product</w:t>
      </w:r>
      <w:r w:rsidR="00673880" w:rsidRPr="00673880">
        <w:rPr>
          <w:rFonts w:eastAsiaTheme="minorHAnsi" w:cs="Arial"/>
          <w:i/>
          <w:iCs/>
          <w:color w:val="0D0D0E"/>
          <w:lang w:eastAsia="en-US"/>
        </w:rPr>
        <w:t xml:space="preserve">s and open </w:t>
      </w:r>
      <w:r w:rsidR="008E0946" w:rsidRPr="00673880">
        <w:rPr>
          <w:rFonts w:eastAsiaTheme="minorHAnsi" w:cs="Arial"/>
          <w:i/>
          <w:iCs/>
          <w:color w:val="0D0D0E"/>
          <w:lang w:eastAsia="en-US"/>
        </w:rPr>
        <w:t>a criminal charge was taken because the THC Pharmacy is n</w:t>
      </w:r>
      <w:r w:rsidR="00673880" w:rsidRPr="00673880">
        <w:rPr>
          <w:rFonts w:eastAsiaTheme="minorHAnsi" w:cs="Arial"/>
          <w:i/>
          <w:iCs/>
          <w:color w:val="0D0D0E"/>
          <w:lang w:eastAsia="en-US"/>
        </w:rPr>
        <w:t xml:space="preserve">ot </w:t>
      </w:r>
      <w:proofErr w:type="spellStart"/>
      <w:r w:rsidR="00673880" w:rsidRPr="00673880">
        <w:rPr>
          <w:rFonts w:eastAsiaTheme="minorHAnsi" w:cs="Arial"/>
          <w:i/>
          <w:iCs/>
          <w:color w:val="0D0D0E"/>
          <w:lang w:eastAsia="en-US"/>
        </w:rPr>
        <w:t>licen</w:t>
      </w:r>
      <w:proofErr w:type="spellEnd"/>
      <w:r w:rsidR="00673880" w:rsidRPr="00673880">
        <w:rPr>
          <w:rFonts w:eastAsiaTheme="minorHAnsi" w:cs="Arial"/>
          <w:i/>
          <w:iCs/>
          <w:color w:val="0D0D0E"/>
          <w:lang w:eastAsia="en-US"/>
        </w:rPr>
        <w:t xml:space="preserve">[s]ed </w:t>
      </w:r>
      <w:r w:rsidR="008E0946" w:rsidRPr="00673880">
        <w:rPr>
          <w:rFonts w:eastAsiaTheme="minorHAnsi" w:cs="Arial"/>
          <w:i/>
          <w:iCs/>
          <w:color w:val="0D0D0E"/>
          <w:lang w:eastAsia="en-US"/>
        </w:rPr>
        <w:t>as a manufacturer to package THC products</w:t>
      </w:r>
      <w:r w:rsidR="008E0946" w:rsidRPr="00673880">
        <w:rPr>
          <w:rFonts w:eastAsiaTheme="minorHAnsi" w:cs="Arial"/>
          <w:i/>
          <w:iCs/>
          <w:color w:val="2A2A2B"/>
          <w:lang w:eastAsia="en-US"/>
        </w:rPr>
        <w:t>."</w:t>
      </w:r>
    </w:p>
    <w:p w14:paraId="242ABEC8" w14:textId="06392950" w:rsidR="00B2491D" w:rsidRDefault="009728ED" w:rsidP="009728ED">
      <w:pPr>
        <w:pStyle w:val="WWList1"/>
        <w:numPr>
          <w:ilvl w:val="0"/>
          <w:numId w:val="0"/>
        </w:numPr>
        <w:tabs>
          <w:tab w:val="left" w:pos="567"/>
        </w:tabs>
        <w:ind w:left="567" w:hanging="567"/>
        <w:rPr>
          <w:rFonts w:eastAsiaTheme="minorHAnsi"/>
          <w:lang w:eastAsia="en-US"/>
        </w:rPr>
      </w:pPr>
      <w:r>
        <w:rPr>
          <w:rFonts w:eastAsiaTheme="minorHAnsi"/>
          <w:lang w:eastAsia="en-US"/>
        </w:rPr>
        <w:t>18.</w:t>
      </w:r>
      <w:r>
        <w:rPr>
          <w:rFonts w:eastAsiaTheme="minorHAnsi"/>
          <w:lang w:eastAsia="en-US"/>
        </w:rPr>
        <w:tab/>
      </w:r>
      <w:r w:rsidR="002B0B8C">
        <w:rPr>
          <w:rFonts w:eastAsiaTheme="minorHAnsi"/>
          <w:lang w:eastAsia="en-US"/>
        </w:rPr>
        <w:t xml:space="preserve">The </w:t>
      </w:r>
      <w:r w:rsidR="009A3893">
        <w:rPr>
          <w:rFonts w:eastAsiaTheme="minorHAnsi"/>
          <w:lang w:eastAsia="en-US"/>
        </w:rPr>
        <w:t xml:space="preserve">inspectors </w:t>
      </w:r>
      <w:r w:rsidR="00A87919">
        <w:rPr>
          <w:rFonts w:eastAsiaTheme="minorHAnsi"/>
          <w:lang w:eastAsia="en-US"/>
        </w:rPr>
        <w:t xml:space="preserve">concluded that they were </w:t>
      </w:r>
      <w:r w:rsidR="00704D1B">
        <w:rPr>
          <w:rFonts w:eastAsiaTheme="minorHAnsi"/>
          <w:lang w:eastAsia="en-US"/>
        </w:rPr>
        <w:t xml:space="preserve">likely </w:t>
      </w:r>
      <w:r w:rsidR="00A87919">
        <w:rPr>
          <w:rFonts w:eastAsiaTheme="minorHAnsi"/>
          <w:lang w:eastAsia="en-US"/>
        </w:rPr>
        <w:t xml:space="preserve">dealing with </w:t>
      </w:r>
      <w:r w:rsidR="004824E3">
        <w:rPr>
          <w:rFonts w:eastAsiaTheme="minorHAnsi"/>
          <w:lang w:eastAsia="en-US"/>
        </w:rPr>
        <w:t>a</w:t>
      </w:r>
      <w:r w:rsidR="00A87919">
        <w:rPr>
          <w:rFonts w:eastAsiaTheme="minorHAnsi"/>
          <w:lang w:eastAsia="en-US"/>
        </w:rPr>
        <w:t xml:space="preserve"> scene of a crime and </w:t>
      </w:r>
      <w:r w:rsidR="009A3893">
        <w:rPr>
          <w:rFonts w:eastAsiaTheme="minorHAnsi"/>
          <w:lang w:eastAsia="en-US"/>
        </w:rPr>
        <w:t xml:space="preserve">then contacted the </w:t>
      </w:r>
      <w:r w:rsidR="00935391">
        <w:rPr>
          <w:rFonts w:eastAsiaTheme="minorHAnsi"/>
          <w:lang w:eastAsia="en-US"/>
        </w:rPr>
        <w:t>fourth respondent</w:t>
      </w:r>
      <w:r w:rsidR="00A87919">
        <w:rPr>
          <w:rFonts w:eastAsiaTheme="minorHAnsi"/>
          <w:lang w:eastAsia="en-US"/>
        </w:rPr>
        <w:t xml:space="preserve"> and briefed </w:t>
      </w:r>
      <w:r w:rsidR="004824E3">
        <w:rPr>
          <w:rFonts w:eastAsiaTheme="minorHAnsi"/>
          <w:lang w:eastAsia="en-US"/>
        </w:rPr>
        <w:t xml:space="preserve">him </w:t>
      </w:r>
      <w:r w:rsidR="00A87919">
        <w:rPr>
          <w:rFonts w:eastAsiaTheme="minorHAnsi"/>
          <w:lang w:eastAsia="en-US"/>
        </w:rPr>
        <w:t xml:space="preserve">on the </w:t>
      </w:r>
      <w:r w:rsidR="00E50048">
        <w:rPr>
          <w:rFonts w:eastAsiaTheme="minorHAnsi"/>
          <w:lang w:eastAsia="en-US"/>
        </w:rPr>
        <w:t>activities which were observed at the premises.</w:t>
      </w:r>
      <w:r w:rsidR="00FD3263">
        <w:rPr>
          <w:rFonts w:eastAsiaTheme="minorHAnsi"/>
          <w:lang w:eastAsia="en-US"/>
        </w:rPr>
        <w:t xml:space="preserve">  Although the inspectors concluded that </w:t>
      </w:r>
      <w:r w:rsidR="006665ED">
        <w:rPr>
          <w:rFonts w:eastAsiaTheme="minorHAnsi"/>
          <w:lang w:eastAsia="en-US"/>
        </w:rPr>
        <w:t xml:space="preserve">the cannabis products should be seized, they believed that there would be no point in doing so </w:t>
      </w:r>
      <w:r w:rsidR="0009060F">
        <w:rPr>
          <w:rFonts w:eastAsiaTheme="minorHAnsi"/>
          <w:lang w:eastAsia="en-US"/>
        </w:rPr>
        <w:t>in terms of section 28(1) of the Medicines Act in circumstances where the SAPS would be taking charge of the scene</w:t>
      </w:r>
      <w:r w:rsidR="009E54A8">
        <w:rPr>
          <w:rFonts w:eastAsiaTheme="minorHAnsi"/>
          <w:lang w:eastAsia="en-US"/>
        </w:rPr>
        <w:t xml:space="preserve"> or where the</w:t>
      </w:r>
      <w:r w:rsidR="00AC158A">
        <w:rPr>
          <w:rFonts w:eastAsiaTheme="minorHAnsi"/>
          <w:lang w:eastAsia="en-US"/>
        </w:rPr>
        <w:t xml:space="preserve"> cannabis products were simply immediately to be handed over to the SAPS</w:t>
      </w:r>
      <w:r w:rsidR="0009060F">
        <w:rPr>
          <w:rFonts w:eastAsiaTheme="minorHAnsi"/>
          <w:lang w:eastAsia="en-US"/>
        </w:rPr>
        <w:t>.</w:t>
      </w:r>
    </w:p>
    <w:p w14:paraId="08FFBBCF" w14:textId="721E0F2D" w:rsidR="001B32E0" w:rsidRDefault="009728ED" w:rsidP="009728ED">
      <w:pPr>
        <w:pStyle w:val="WWList1"/>
        <w:numPr>
          <w:ilvl w:val="0"/>
          <w:numId w:val="0"/>
        </w:numPr>
        <w:tabs>
          <w:tab w:val="left" w:pos="567"/>
        </w:tabs>
        <w:ind w:left="567" w:hanging="567"/>
        <w:rPr>
          <w:rFonts w:eastAsiaTheme="minorHAnsi"/>
          <w:lang w:eastAsia="en-US"/>
        </w:rPr>
      </w:pPr>
      <w:r>
        <w:rPr>
          <w:rFonts w:eastAsiaTheme="minorHAnsi"/>
          <w:lang w:eastAsia="en-US"/>
        </w:rPr>
        <w:t>19.</w:t>
      </w:r>
      <w:r>
        <w:rPr>
          <w:rFonts w:eastAsiaTheme="minorHAnsi"/>
          <w:lang w:eastAsia="en-US"/>
        </w:rPr>
        <w:tab/>
      </w:r>
      <w:r w:rsidR="00AC158A">
        <w:rPr>
          <w:rFonts w:eastAsiaTheme="minorHAnsi"/>
          <w:lang w:eastAsia="en-US"/>
        </w:rPr>
        <w:t xml:space="preserve">Thereafter, the </w:t>
      </w:r>
      <w:r w:rsidR="0091731B">
        <w:rPr>
          <w:rFonts w:eastAsiaTheme="minorHAnsi"/>
          <w:lang w:eastAsia="en-US"/>
        </w:rPr>
        <w:t>SAPS took over the scene from the inspectors and</w:t>
      </w:r>
      <w:r w:rsidR="000C4FCD">
        <w:rPr>
          <w:rFonts w:eastAsiaTheme="minorHAnsi"/>
          <w:lang w:eastAsia="en-US"/>
        </w:rPr>
        <w:t xml:space="preserve"> seized the relevant articles.  The SAPS purported to do so in terms of sections 20 and 26 of the Criminal Procedure Act, 1977 ("</w:t>
      </w:r>
      <w:r w:rsidR="000C4FCD" w:rsidRPr="000C4FCD">
        <w:rPr>
          <w:rFonts w:eastAsiaTheme="minorHAnsi"/>
          <w:b/>
          <w:bCs/>
          <w:lang w:eastAsia="en-US"/>
        </w:rPr>
        <w:t>CPA</w:t>
      </w:r>
      <w:r w:rsidR="000C4FCD">
        <w:rPr>
          <w:rFonts w:eastAsiaTheme="minorHAnsi"/>
          <w:lang w:eastAsia="en-US"/>
        </w:rPr>
        <w:t>").</w:t>
      </w:r>
      <w:r w:rsidR="001B32E0">
        <w:rPr>
          <w:rFonts w:eastAsiaTheme="minorHAnsi"/>
          <w:lang w:eastAsia="en-US"/>
        </w:rPr>
        <w:t xml:space="preserve"> </w:t>
      </w:r>
    </w:p>
    <w:p w14:paraId="33FBAF3D" w14:textId="7EA74564" w:rsidR="00A34964" w:rsidRDefault="009728ED" w:rsidP="009728ED">
      <w:pPr>
        <w:pStyle w:val="WWList1"/>
        <w:numPr>
          <w:ilvl w:val="0"/>
          <w:numId w:val="0"/>
        </w:numPr>
        <w:tabs>
          <w:tab w:val="left" w:pos="567"/>
        </w:tabs>
        <w:suppressAutoHyphens w:val="0"/>
        <w:autoSpaceDE w:val="0"/>
        <w:autoSpaceDN w:val="0"/>
        <w:adjustRightInd w:val="0"/>
        <w:ind w:left="567" w:hanging="567"/>
        <w:rPr>
          <w:rFonts w:eastAsiaTheme="minorHAnsi"/>
          <w:lang w:eastAsia="en-US"/>
        </w:rPr>
      </w:pPr>
      <w:r>
        <w:rPr>
          <w:rFonts w:eastAsiaTheme="minorHAnsi"/>
          <w:lang w:eastAsia="en-US"/>
        </w:rPr>
        <w:t>20.</w:t>
      </w:r>
      <w:r>
        <w:rPr>
          <w:rFonts w:eastAsiaTheme="minorHAnsi"/>
          <w:lang w:eastAsia="en-US"/>
        </w:rPr>
        <w:tab/>
      </w:r>
      <w:r w:rsidR="001B32E0" w:rsidRPr="006A6ED0">
        <w:rPr>
          <w:rFonts w:eastAsiaTheme="minorHAnsi"/>
          <w:lang w:eastAsia="en-US"/>
        </w:rPr>
        <w:t>The fourth respondent states in his answering affidavit as follows</w:t>
      </w:r>
      <w:r w:rsidR="00A34964">
        <w:rPr>
          <w:rFonts w:eastAsiaTheme="minorHAnsi"/>
          <w:lang w:eastAsia="en-US"/>
        </w:rPr>
        <w:t>:</w:t>
      </w:r>
      <w:r w:rsidR="001B32E0" w:rsidRPr="006A6ED0">
        <w:rPr>
          <w:rFonts w:eastAsiaTheme="minorHAnsi"/>
          <w:lang w:eastAsia="en-US"/>
        </w:rPr>
        <w:t xml:space="preserve"> </w:t>
      </w:r>
    </w:p>
    <w:p w14:paraId="6B7A031E" w14:textId="31E6CF30" w:rsidR="00A34964" w:rsidRDefault="009728ED" w:rsidP="009728ED">
      <w:pPr>
        <w:pStyle w:val="WWList2"/>
        <w:numPr>
          <w:ilvl w:val="0"/>
          <w:numId w:val="0"/>
        </w:numPr>
        <w:tabs>
          <w:tab w:val="left" w:pos="1134"/>
        </w:tabs>
        <w:ind w:left="1134" w:hanging="1134"/>
        <w:rPr>
          <w:rFonts w:eastAsiaTheme="minorHAnsi"/>
          <w:lang w:eastAsia="en-US"/>
        </w:rPr>
      </w:pPr>
      <w:r>
        <w:rPr>
          <w:rFonts w:eastAsiaTheme="minorHAnsi"/>
          <w:lang w:eastAsia="en-US"/>
        </w:rPr>
        <w:lastRenderedPageBreak/>
        <w:t>20.1</w:t>
      </w:r>
      <w:r>
        <w:rPr>
          <w:rFonts w:eastAsiaTheme="minorHAnsi"/>
          <w:lang w:eastAsia="en-US"/>
        </w:rPr>
        <w:tab/>
      </w:r>
      <w:r w:rsidR="001B32E0" w:rsidRPr="006A6ED0">
        <w:rPr>
          <w:rFonts w:eastAsiaTheme="minorHAnsi"/>
          <w:lang w:eastAsia="en-US"/>
        </w:rPr>
        <w:t>"</w:t>
      </w:r>
      <w:r w:rsidR="001B32E0" w:rsidRPr="00995B9E">
        <w:rPr>
          <w:rFonts w:eastAsiaTheme="minorHAnsi"/>
          <w:i/>
          <w:iCs/>
          <w:lang w:eastAsia="en-US"/>
        </w:rPr>
        <w:t xml:space="preserve">I acted on a reasonable suspicion that the cannabis </w:t>
      </w:r>
      <w:r w:rsidR="002F011A">
        <w:rPr>
          <w:rFonts w:eastAsiaTheme="minorHAnsi"/>
          <w:i/>
          <w:iCs/>
          <w:lang w:eastAsia="en-US"/>
        </w:rPr>
        <w:t>i</w:t>
      </w:r>
      <w:r w:rsidR="001B32E0" w:rsidRPr="00995B9E">
        <w:rPr>
          <w:rFonts w:eastAsiaTheme="minorHAnsi"/>
          <w:i/>
          <w:iCs/>
          <w:lang w:eastAsia="en-US"/>
        </w:rPr>
        <w:t>tems and documentary evidence I seized could possibly have been used in the commission of an offence</w:t>
      </w:r>
      <w:r w:rsidR="006A6ED0" w:rsidRPr="00995B9E">
        <w:rPr>
          <w:rFonts w:eastAsiaTheme="minorHAnsi"/>
          <w:i/>
          <w:iCs/>
          <w:lang w:eastAsia="en-US"/>
        </w:rPr>
        <w:t xml:space="preserve"> </w:t>
      </w:r>
      <w:r w:rsidR="001B32E0" w:rsidRPr="00995B9E">
        <w:rPr>
          <w:rFonts w:eastAsiaTheme="minorHAnsi"/>
          <w:i/>
          <w:iCs/>
          <w:lang w:eastAsia="en-US"/>
        </w:rPr>
        <w:t>and that the evidence had to be seized and send to a laboratory for testing.</w:t>
      </w:r>
      <w:r w:rsidR="00A34964">
        <w:rPr>
          <w:rFonts w:eastAsiaTheme="minorHAnsi"/>
          <w:lang w:eastAsia="en-US"/>
        </w:rPr>
        <w:t xml:space="preserve">" </w:t>
      </w:r>
    </w:p>
    <w:p w14:paraId="6E5E46AC" w14:textId="0B0AA19E" w:rsidR="00995B9E" w:rsidRPr="00995B9E" w:rsidRDefault="009728ED" w:rsidP="009728ED">
      <w:pPr>
        <w:pStyle w:val="WWList2"/>
        <w:numPr>
          <w:ilvl w:val="0"/>
          <w:numId w:val="0"/>
        </w:numPr>
        <w:tabs>
          <w:tab w:val="left" w:pos="1134"/>
        </w:tabs>
        <w:suppressAutoHyphens w:val="0"/>
        <w:autoSpaceDE w:val="0"/>
        <w:autoSpaceDN w:val="0"/>
        <w:adjustRightInd w:val="0"/>
        <w:ind w:left="1134" w:hanging="1134"/>
        <w:rPr>
          <w:rFonts w:eastAsiaTheme="minorHAnsi" w:cs="Arial"/>
          <w:color w:val="050505"/>
          <w:sz w:val="23"/>
          <w:szCs w:val="23"/>
          <w:lang w:eastAsia="en-US"/>
        </w:rPr>
      </w:pPr>
      <w:r w:rsidRPr="00995B9E">
        <w:rPr>
          <w:rFonts w:eastAsiaTheme="minorHAnsi"/>
          <w:color w:val="050505"/>
          <w:sz w:val="23"/>
          <w:szCs w:val="23"/>
          <w:lang w:eastAsia="en-US"/>
        </w:rPr>
        <w:t>20.2</w:t>
      </w:r>
      <w:r w:rsidRPr="00995B9E">
        <w:rPr>
          <w:rFonts w:eastAsiaTheme="minorHAnsi"/>
          <w:color w:val="050505"/>
          <w:sz w:val="23"/>
          <w:szCs w:val="23"/>
          <w:lang w:eastAsia="en-US"/>
        </w:rPr>
        <w:tab/>
      </w:r>
      <w:r w:rsidR="00995B9E">
        <w:rPr>
          <w:rFonts w:eastAsiaTheme="minorHAnsi" w:cs="Arial"/>
          <w:color w:val="060606"/>
          <w:sz w:val="23"/>
          <w:szCs w:val="23"/>
          <w:lang w:eastAsia="en-US"/>
        </w:rPr>
        <w:t>"</w:t>
      </w:r>
      <w:r w:rsidR="00A34964" w:rsidRPr="00995B9E">
        <w:rPr>
          <w:rFonts w:eastAsiaTheme="minorHAnsi" w:cs="Arial"/>
          <w:i/>
          <w:iCs/>
          <w:color w:val="060606"/>
          <w:sz w:val="23"/>
          <w:szCs w:val="23"/>
          <w:lang w:eastAsia="en-US"/>
        </w:rPr>
        <w:t xml:space="preserve">We, as SAPS members, explained to the Applicant the transgressions of the law and the fact that </w:t>
      </w:r>
      <w:proofErr w:type="gramStart"/>
      <w:r w:rsidR="00A34964" w:rsidRPr="00995B9E">
        <w:rPr>
          <w:rFonts w:eastAsiaTheme="minorHAnsi" w:cs="Arial"/>
          <w:i/>
          <w:iCs/>
          <w:color w:val="060606"/>
          <w:sz w:val="23"/>
          <w:szCs w:val="23"/>
          <w:lang w:eastAsia="en-US"/>
        </w:rPr>
        <w:t>their[</w:t>
      </w:r>
      <w:proofErr w:type="gramEnd"/>
      <w:r w:rsidR="00A34964" w:rsidRPr="00995B9E">
        <w:rPr>
          <w:rFonts w:eastAsiaTheme="minorHAnsi" w:cs="Arial"/>
          <w:i/>
          <w:iCs/>
          <w:color w:val="060606"/>
          <w:sz w:val="23"/>
          <w:szCs w:val="23"/>
          <w:lang w:eastAsia="en-US"/>
        </w:rPr>
        <w:t xml:space="preserve"> ] operations were the manufacturing of slush puppies and sweets as well as working with </w:t>
      </w:r>
      <w:proofErr w:type="spellStart"/>
      <w:r w:rsidR="00A34964" w:rsidRPr="00995B9E">
        <w:rPr>
          <w:rFonts w:eastAsiaTheme="minorHAnsi" w:cs="Arial"/>
          <w:i/>
          <w:iCs/>
          <w:color w:val="060606"/>
          <w:sz w:val="23"/>
          <w:szCs w:val="23"/>
          <w:lang w:eastAsia="en-US"/>
        </w:rPr>
        <w:t>Tetrahydrocannobinol</w:t>
      </w:r>
      <w:proofErr w:type="spellEnd"/>
      <w:r w:rsidR="00A34964" w:rsidRPr="00995B9E">
        <w:rPr>
          <w:rFonts w:eastAsiaTheme="minorHAnsi" w:cs="Arial"/>
          <w:i/>
          <w:iCs/>
          <w:color w:val="060606"/>
          <w:sz w:val="23"/>
          <w:szCs w:val="23"/>
          <w:lang w:eastAsia="en-US"/>
        </w:rPr>
        <w:t xml:space="preserve"> </w:t>
      </w:r>
      <w:r w:rsidR="00A34964" w:rsidRPr="00995B9E">
        <w:rPr>
          <w:rFonts w:eastAsiaTheme="minorHAnsi" w:cs="Arial"/>
          <w:i/>
          <w:iCs/>
          <w:color w:val="060606"/>
          <w:lang w:eastAsia="en-US"/>
        </w:rPr>
        <w:t xml:space="preserve">("THC") </w:t>
      </w:r>
      <w:r w:rsidR="00A34964" w:rsidRPr="00995B9E">
        <w:rPr>
          <w:rFonts w:eastAsiaTheme="minorHAnsi" w:cs="Arial"/>
          <w:i/>
          <w:iCs/>
          <w:color w:val="060606"/>
          <w:sz w:val="23"/>
          <w:szCs w:val="23"/>
          <w:lang w:eastAsia="en-US"/>
        </w:rPr>
        <w:t>containing substances with no labelling</w:t>
      </w:r>
      <w:r w:rsidR="00A34964" w:rsidRPr="00995B9E">
        <w:rPr>
          <w:rFonts w:eastAsiaTheme="minorHAnsi" w:cs="Arial"/>
          <w:i/>
          <w:iCs/>
          <w:color w:val="4C4C4C"/>
          <w:sz w:val="23"/>
          <w:szCs w:val="23"/>
          <w:lang w:eastAsia="en-US"/>
        </w:rPr>
        <w:t>.</w:t>
      </w:r>
      <w:r w:rsidR="00161417" w:rsidRPr="00995B9E">
        <w:rPr>
          <w:rFonts w:eastAsiaTheme="minorHAnsi" w:cs="Arial"/>
          <w:i/>
          <w:iCs/>
          <w:color w:val="4C4C4C"/>
          <w:sz w:val="23"/>
          <w:szCs w:val="23"/>
          <w:lang w:eastAsia="en-US"/>
        </w:rPr>
        <w:t xml:space="preserve">  I </w:t>
      </w:r>
      <w:r w:rsidR="00A34964" w:rsidRPr="00995B9E">
        <w:rPr>
          <w:rFonts w:eastAsiaTheme="minorHAnsi" w:cs="Arial"/>
          <w:i/>
          <w:iCs/>
          <w:color w:val="060606"/>
          <w:sz w:val="23"/>
          <w:szCs w:val="23"/>
          <w:lang w:eastAsia="en-US"/>
        </w:rPr>
        <w:t>respectfully submit the Applicant was fully informed about the purpose for our</w:t>
      </w:r>
      <w:r w:rsidR="00161417" w:rsidRPr="00995B9E">
        <w:rPr>
          <w:rFonts w:eastAsiaTheme="minorHAnsi" w:cs="Arial"/>
          <w:i/>
          <w:iCs/>
          <w:color w:val="060606"/>
          <w:sz w:val="23"/>
          <w:szCs w:val="23"/>
          <w:lang w:eastAsia="en-US"/>
        </w:rPr>
        <w:t xml:space="preserve"> </w:t>
      </w:r>
      <w:r w:rsidR="00A34964" w:rsidRPr="00995B9E">
        <w:rPr>
          <w:rFonts w:eastAsiaTheme="minorHAnsi" w:cs="Arial"/>
          <w:i/>
          <w:iCs/>
          <w:color w:val="060606"/>
          <w:sz w:val="23"/>
          <w:szCs w:val="23"/>
          <w:lang w:eastAsia="en-US"/>
        </w:rPr>
        <w:t>presence and actions.</w:t>
      </w:r>
      <w:r w:rsidR="00161417" w:rsidRPr="00995B9E">
        <w:rPr>
          <w:rFonts w:eastAsiaTheme="minorHAnsi" w:cs="Arial"/>
          <w:color w:val="060606"/>
          <w:sz w:val="23"/>
          <w:szCs w:val="23"/>
          <w:lang w:eastAsia="en-US"/>
        </w:rPr>
        <w:t>"</w:t>
      </w:r>
    </w:p>
    <w:p w14:paraId="1D9B2D56" w14:textId="171B3D48" w:rsidR="00161417" w:rsidRPr="00995B9E" w:rsidRDefault="009728ED" w:rsidP="009728ED">
      <w:pPr>
        <w:pStyle w:val="WWList2"/>
        <w:numPr>
          <w:ilvl w:val="0"/>
          <w:numId w:val="0"/>
        </w:numPr>
        <w:tabs>
          <w:tab w:val="left" w:pos="1134"/>
        </w:tabs>
        <w:suppressAutoHyphens w:val="0"/>
        <w:autoSpaceDE w:val="0"/>
        <w:autoSpaceDN w:val="0"/>
        <w:adjustRightInd w:val="0"/>
        <w:ind w:left="1134" w:hanging="1134"/>
        <w:rPr>
          <w:rFonts w:eastAsiaTheme="minorHAnsi"/>
          <w:lang w:eastAsia="en-US"/>
        </w:rPr>
      </w:pPr>
      <w:r w:rsidRPr="00995B9E">
        <w:rPr>
          <w:rFonts w:eastAsiaTheme="minorHAnsi"/>
          <w:lang w:eastAsia="en-US"/>
        </w:rPr>
        <w:t>20.3</w:t>
      </w:r>
      <w:r w:rsidRPr="00995B9E">
        <w:rPr>
          <w:rFonts w:eastAsiaTheme="minorHAnsi"/>
          <w:lang w:eastAsia="en-US"/>
        </w:rPr>
        <w:tab/>
      </w:r>
      <w:r w:rsidR="00995B9E" w:rsidRPr="00995B9E">
        <w:rPr>
          <w:rFonts w:eastAsiaTheme="minorHAnsi" w:cs="Arial"/>
          <w:color w:val="060606"/>
          <w:sz w:val="23"/>
          <w:szCs w:val="23"/>
          <w:lang w:eastAsia="en-US"/>
        </w:rPr>
        <w:t>"</w:t>
      </w:r>
      <w:r w:rsidR="00995B9E" w:rsidRPr="00995B9E">
        <w:rPr>
          <w:rFonts w:eastAsiaTheme="minorHAnsi" w:cs="Arial"/>
          <w:i/>
          <w:iCs/>
          <w:color w:val="050505"/>
          <w:sz w:val="23"/>
          <w:szCs w:val="23"/>
          <w:lang w:eastAsia="en-US"/>
        </w:rPr>
        <w:t>I am advised that this was part of the prima facie illegal activity of the Applicant, as cannabis products were bought in bulk and repacked.  This illegal activity, I am advised, falls outside the licensing of the Applicant.</w:t>
      </w:r>
      <w:r w:rsidR="00995B9E">
        <w:rPr>
          <w:rFonts w:eastAsiaTheme="minorHAnsi" w:cs="Arial"/>
          <w:color w:val="050505"/>
          <w:sz w:val="23"/>
          <w:szCs w:val="23"/>
          <w:lang w:eastAsia="en-US"/>
        </w:rPr>
        <w:t>"</w:t>
      </w:r>
    </w:p>
    <w:p w14:paraId="3F9AC522" w14:textId="1FEE6166" w:rsidR="00C61D5D" w:rsidRDefault="009728ED" w:rsidP="009728ED">
      <w:pPr>
        <w:pStyle w:val="WWList1"/>
        <w:numPr>
          <w:ilvl w:val="0"/>
          <w:numId w:val="0"/>
        </w:numPr>
        <w:tabs>
          <w:tab w:val="left" w:pos="567"/>
        </w:tabs>
        <w:ind w:left="567" w:hanging="567"/>
        <w:rPr>
          <w:rFonts w:eastAsiaTheme="minorHAnsi"/>
          <w:lang w:eastAsia="en-US"/>
        </w:rPr>
      </w:pPr>
      <w:r>
        <w:rPr>
          <w:rFonts w:eastAsiaTheme="minorHAnsi"/>
          <w:lang w:eastAsia="en-US"/>
        </w:rPr>
        <w:t>21.</w:t>
      </w:r>
      <w:r>
        <w:rPr>
          <w:rFonts w:eastAsiaTheme="minorHAnsi"/>
          <w:lang w:eastAsia="en-US"/>
        </w:rPr>
        <w:tab/>
      </w:r>
      <w:r w:rsidR="000B1EEC">
        <w:rPr>
          <w:rFonts w:eastAsiaTheme="minorHAnsi"/>
          <w:lang w:eastAsia="en-US"/>
        </w:rPr>
        <w:t xml:space="preserve">Save for the above, the fourth respondent's answering affidavit is </w:t>
      </w:r>
      <w:r w:rsidR="00127D00">
        <w:rPr>
          <w:rFonts w:eastAsiaTheme="minorHAnsi"/>
          <w:lang w:eastAsia="en-US"/>
        </w:rPr>
        <w:t>sparse</w:t>
      </w:r>
      <w:r w:rsidR="000B1EEC">
        <w:rPr>
          <w:rFonts w:eastAsiaTheme="minorHAnsi"/>
          <w:lang w:eastAsia="en-US"/>
        </w:rPr>
        <w:t xml:space="preserve"> insofar as the background to and the </w:t>
      </w:r>
      <w:r w:rsidR="00D21ABA">
        <w:rPr>
          <w:rFonts w:eastAsiaTheme="minorHAnsi"/>
          <w:lang w:eastAsia="en-US"/>
        </w:rPr>
        <w:t>justification for the seizure of the relevant articles is concerned.</w:t>
      </w:r>
    </w:p>
    <w:p w14:paraId="336987BF" w14:textId="62B6F553" w:rsidR="00127D00" w:rsidRDefault="009728ED" w:rsidP="009728ED">
      <w:pPr>
        <w:pStyle w:val="WWList1"/>
        <w:numPr>
          <w:ilvl w:val="0"/>
          <w:numId w:val="0"/>
        </w:numPr>
        <w:tabs>
          <w:tab w:val="left" w:pos="567"/>
        </w:tabs>
        <w:ind w:left="567" w:hanging="567"/>
        <w:rPr>
          <w:rFonts w:eastAsiaTheme="minorHAnsi"/>
          <w:lang w:eastAsia="en-US"/>
        </w:rPr>
      </w:pPr>
      <w:r>
        <w:rPr>
          <w:rFonts w:eastAsiaTheme="minorHAnsi"/>
          <w:lang w:eastAsia="en-US"/>
        </w:rPr>
        <w:t>22.</w:t>
      </w:r>
      <w:r>
        <w:rPr>
          <w:rFonts w:eastAsiaTheme="minorHAnsi"/>
          <w:lang w:eastAsia="en-US"/>
        </w:rPr>
        <w:tab/>
      </w:r>
      <w:r w:rsidR="00C06BB6">
        <w:rPr>
          <w:rFonts w:eastAsiaTheme="minorHAnsi"/>
          <w:lang w:eastAsia="en-US"/>
        </w:rPr>
        <w:t xml:space="preserve">After some exchange of correspondence, the current application </w:t>
      </w:r>
      <w:r w:rsidR="00243E15">
        <w:rPr>
          <w:rFonts w:eastAsiaTheme="minorHAnsi"/>
          <w:lang w:eastAsia="en-US"/>
        </w:rPr>
        <w:t>was launched on 5 June 2023.</w:t>
      </w:r>
    </w:p>
    <w:p w14:paraId="61DD69DA" w14:textId="6512C36B" w:rsidR="00243E15" w:rsidRDefault="00243E15" w:rsidP="004211E8">
      <w:pPr>
        <w:pStyle w:val="WWList1"/>
        <w:keepNext/>
        <w:numPr>
          <w:ilvl w:val="0"/>
          <w:numId w:val="0"/>
        </w:numPr>
        <w:rPr>
          <w:rFonts w:eastAsiaTheme="minorHAnsi"/>
          <w:b/>
          <w:bCs/>
          <w:u w:val="single"/>
          <w:lang w:eastAsia="en-US"/>
        </w:rPr>
      </w:pPr>
      <w:r w:rsidRPr="00243E15">
        <w:rPr>
          <w:rFonts w:eastAsiaTheme="minorHAnsi"/>
          <w:b/>
          <w:bCs/>
          <w:u w:val="single"/>
          <w:lang w:eastAsia="en-US"/>
        </w:rPr>
        <w:t>Legal principles</w:t>
      </w:r>
    </w:p>
    <w:p w14:paraId="2B1B529E" w14:textId="565A568B" w:rsidR="00AF6B6E" w:rsidRDefault="009728ED" w:rsidP="009728ED">
      <w:pPr>
        <w:pStyle w:val="WWList1"/>
        <w:numPr>
          <w:ilvl w:val="0"/>
          <w:numId w:val="0"/>
        </w:numPr>
        <w:tabs>
          <w:tab w:val="left" w:pos="567"/>
        </w:tabs>
        <w:ind w:left="567" w:hanging="567"/>
        <w:rPr>
          <w:rFonts w:eastAsiaTheme="minorHAnsi"/>
          <w:lang w:eastAsia="en-US"/>
        </w:rPr>
      </w:pPr>
      <w:r>
        <w:rPr>
          <w:rFonts w:eastAsiaTheme="minorHAnsi"/>
          <w:lang w:eastAsia="en-US"/>
        </w:rPr>
        <w:t>23.</w:t>
      </w:r>
      <w:r>
        <w:rPr>
          <w:rFonts w:eastAsiaTheme="minorHAnsi"/>
          <w:lang w:eastAsia="en-US"/>
        </w:rPr>
        <w:tab/>
      </w:r>
      <w:r w:rsidR="008A419C">
        <w:rPr>
          <w:rFonts w:eastAsiaTheme="minorHAnsi"/>
          <w:lang w:eastAsia="en-US"/>
        </w:rPr>
        <w:t xml:space="preserve">The </w:t>
      </w:r>
      <w:proofErr w:type="spellStart"/>
      <w:r w:rsidR="008A419C" w:rsidRPr="00FB65F5">
        <w:rPr>
          <w:rFonts w:eastAsiaTheme="minorHAnsi"/>
          <w:i/>
          <w:iCs/>
          <w:lang w:eastAsia="en-US"/>
        </w:rPr>
        <w:t>mandament</w:t>
      </w:r>
      <w:proofErr w:type="spellEnd"/>
      <w:r w:rsidR="008A419C" w:rsidRPr="00FB65F5">
        <w:rPr>
          <w:rFonts w:eastAsiaTheme="minorHAnsi"/>
          <w:i/>
          <w:iCs/>
          <w:lang w:eastAsia="en-US"/>
        </w:rPr>
        <w:t xml:space="preserve"> van </w:t>
      </w:r>
      <w:proofErr w:type="spellStart"/>
      <w:r w:rsidR="008A419C" w:rsidRPr="00FB65F5">
        <w:rPr>
          <w:rFonts w:eastAsiaTheme="minorHAnsi"/>
          <w:i/>
          <w:iCs/>
          <w:lang w:eastAsia="en-US"/>
        </w:rPr>
        <w:t>spolie</w:t>
      </w:r>
      <w:proofErr w:type="spellEnd"/>
      <w:r w:rsidR="008A419C">
        <w:rPr>
          <w:rFonts w:eastAsiaTheme="minorHAnsi"/>
          <w:lang w:eastAsia="en-US"/>
        </w:rPr>
        <w:t xml:space="preserve"> </w:t>
      </w:r>
      <w:r w:rsidR="003356D1">
        <w:rPr>
          <w:rFonts w:eastAsiaTheme="minorHAnsi"/>
          <w:lang w:eastAsia="en-US"/>
        </w:rPr>
        <w:t>has a long jurisprudential pedigree</w:t>
      </w:r>
      <w:r w:rsidR="001C30AE">
        <w:rPr>
          <w:rFonts w:eastAsiaTheme="minorHAnsi"/>
          <w:lang w:eastAsia="en-US"/>
        </w:rPr>
        <w:t xml:space="preserve"> in South African law</w:t>
      </w:r>
      <w:r w:rsidR="002576D1">
        <w:rPr>
          <w:rFonts w:eastAsiaTheme="minorHAnsi"/>
          <w:lang w:eastAsia="en-US"/>
        </w:rPr>
        <w:t xml:space="preserve">.  </w:t>
      </w:r>
      <w:r w:rsidR="002E1064">
        <w:rPr>
          <w:rFonts w:eastAsiaTheme="minorHAnsi"/>
          <w:lang w:eastAsia="en-US"/>
        </w:rPr>
        <w:t>As emphasised by the Constitutional Court, it</w:t>
      </w:r>
      <w:r w:rsidR="00B05586">
        <w:rPr>
          <w:rFonts w:eastAsiaTheme="minorHAnsi"/>
          <w:lang w:eastAsia="en-US"/>
        </w:rPr>
        <w:t xml:space="preserve"> and its application are</w:t>
      </w:r>
      <w:r w:rsidR="00E64B12">
        <w:rPr>
          <w:rFonts w:eastAsiaTheme="minorHAnsi"/>
          <w:lang w:eastAsia="en-US"/>
        </w:rPr>
        <w:t xml:space="preserve"> rooted in the </w:t>
      </w:r>
      <w:r w:rsidR="00B05586">
        <w:rPr>
          <w:rFonts w:eastAsiaTheme="minorHAnsi"/>
          <w:lang w:eastAsia="en-US"/>
        </w:rPr>
        <w:t>rule of law</w:t>
      </w:r>
      <w:r w:rsidR="00364F1D">
        <w:rPr>
          <w:rFonts w:eastAsiaTheme="minorHAnsi"/>
          <w:lang w:eastAsia="en-US"/>
        </w:rPr>
        <w:t xml:space="preserve">, a key </w:t>
      </w:r>
      <w:r w:rsidR="002E1064">
        <w:rPr>
          <w:rFonts w:eastAsiaTheme="minorHAnsi"/>
          <w:lang w:eastAsia="en-US"/>
        </w:rPr>
        <w:t>objective</w:t>
      </w:r>
      <w:r w:rsidR="002576D1">
        <w:rPr>
          <w:rFonts w:eastAsiaTheme="minorHAnsi"/>
          <w:lang w:eastAsia="en-US"/>
        </w:rPr>
        <w:t xml:space="preserve"> </w:t>
      </w:r>
      <w:r w:rsidR="00364F1D">
        <w:rPr>
          <w:rFonts w:eastAsiaTheme="minorHAnsi"/>
          <w:lang w:eastAsia="en-US"/>
        </w:rPr>
        <w:t xml:space="preserve">of which is </w:t>
      </w:r>
      <w:r w:rsidR="002576D1">
        <w:rPr>
          <w:rFonts w:eastAsiaTheme="minorHAnsi"/>
          <w:lang w:eastAsia="en-US"/>
        </w:rPr>
        <w:t>to prevent self-help</w:t>
      </w:r>
      <w:r w:rsidR="001C30AE">
        <w:rPr>
          <w:rFonts w:eastAsiaTheme="minorHAnsi"/>
          <w:lang w:eastAsia="en-US"/>
        </w:rPr>
        <w:t>.</w:t>
      </w:r>
      <w:bookmarkStart w:id="0" w:name="_Ref162882788"/>
      <w:r w:rsidR="005C2A21">
        <w:rPr>
          <w:rStyle w:val="FootnoteReference"/>
          <w:rFonts w:eastAsiaTheme="minorHAnsi"/>
          <w:lang w:eastAsia="en-US"/>
        </w:rPr>
        <w:footnoteReference w:id="2"/>
      </w:r>
      <w:bookmarkEnd w:id="0"/>
      <w:r w:rsidR="001C30AE">
        <w:rPr>
          <w:rFonts w:eastAsiaTheme="minorHAnsi"/>
          <w:lang w:eastAsia="en-US"/>
        </w:rPr>
        <w:t xml:space="preserve">  </w:t>
      </w:r>
      <w:r w:rsidR="00364F1D">
        <w:rPr>
          <w:rFonts w:eastAsiaTheme="minorHAnsi"/>
          <w:lang w:eastAsia="en-US"/>
        </w:rPr>
        <w:t>Possession is also an incident of the right to property</w:t>
      </w:r>
      <w:r w:rsidR="005C2A21">
        <w:rPr>
          <w:rFonts w:eastAsiaTheme="minorHAnsi"/>
          <w:lang w:eastAsia="en-US"/>
        </w:rPr>
        <w:t>, which is constitutionally protected</w:t>
      </w:r>
      <w:r w:rsidR="00601171">
        <w:rPr>
          <w:rFonts w:eastAsiaTheme="minorHAnsi"/>
          <w:lang w:eastAsia="en-US"/>
        </w:rPr>
        <w:t xml:space="preserve">, and special care should be </w:t>
      </w:r>
      <w:r w:rsidR="00601171">
        <w:rPr>
          <w:rFonts w:eastAsiaTheme="minorHAnsi"/>
          <w:lang w:eastAsia="en-US"/>
        </w:rPr>
        <w:lastRenderedPageBreak/>
        <w:t xml:space="preserve">taken to ensure that this right is not </w:t>
      </w:r>
      <w:r w:rsidR="007A2C38">
        <w:rPr>
          <w:rFonts w:eastAsiaTheme="minorHAnsi"/>
          <w:lang w:eastAsia="en-US"/>
        </w:rPr>
        <w:t>subverted without proper legal processes</w:t>
      </w:r>
      <w:r w:rsidR="005C2A21">
        <w:rPr>
          <w:rFonts w:eastAsiaTheme="minorHAnsi"/>
          <w:lang w:eastAsia="en-US"/>
        </w:rPr>
        <w:t xml:space="preserve">.  </w:t>
      </w:r>
      <w:r w:rsidR="00443565">
        <w:rPr>
          <w:rFonts w:eastAsiaTheme="minorHAnsi"/>
          <w:lang w:eastAsia="en-US"/>
        </w:rPr>
        <w:t xml:space="preserve">Moreover, </w:t>
      </w:r>
      <w:r w:rsidR="00E41E37">
        <w:rPr>
          <w:rFonts w:eastAsiaTheme="minorHAnsi"/>
          <w:lang w:eastAsia="en-US"/>
        </w:rPr>
        <w:t xml:space="preserve">search and seizure processes centrally implicate the rights to privacy and, in certain instances, human dignity.  </w:t>
      </w:r>
    </w:p>
    <w:p w14:paraId="74372681" w14:textId="1088420B" w:rsidR="00243E15" w:rsidRDefault="009728ED" w:rsidP="009728ED">
      <w:pPr>
        <w:pStyle w:val="WWList1"/>
        <w:numPr>
          <w:ilvl w:val="0"/>
          <w:numId w:val="0"/>
        </w:numPr>
        <w:tabs>
          <w:tab w:val="left" w:pos="567"/>
        </w:tabs>
        <w:ind w:left="567" w:hanging="567"/>
        <w:rPr>
          <w:rFonts w:eastAsiaTheme="minorHAnsi"/>
          <w:lang w:eastAsia="en-US"/>
        </w:rPr>
      </w:pPr>
      <w:r>
        <w:rPr>
          <w:rFonts w:eastAsiaTheme="minorHAnsi"/>
          <w:lang w:eastAsia="en-US"/>
        </w:rPr>
        <w:t>24.</w:t>
      </w:r>
      <w:r>
        <w:rPr>
          <w:rFonts w:eastAsiaTheme="minorHAnsi"/>
          <w:lang w:eastAsia="en-US"/>
        </w:rPr>
        <w:tab/>
      </w:r>
      <w:r w:rsidR="00AF6B6E">
        <w:rPr>
          <w:rFonts w:eastAsiaTheme="minorHAnsi"/>
          <w:lang w:eastAsia="en-US"/>
        </w:rPr>
        <w:t>Th</w:t>
      </w:r>
      <w:r w:rsidR="00CD60F2">
        <w:rPr>
          <w:rFonts w:eastAsiaTheme="minorHAnsi"/>
          <w:lang w:eastAsia="en-US"/>
        </w:rPr>
        <w:t xml:space="preserve">us, quite apart from common </w:t>
      </w:r>
      <w:r w:rsidR="00704A49">
        <w:rPr>
          <w:rFonts w:eastAsiaTheme="minorHAnsi"/>
          <w:lang w:eastAsia="en-US"/>
        </w:rPr>
        <w:t>and statutory law principles, th</w:t>
      </w:r>
      <w:r w:rsidR="00AF6B6E">
        <w:rPr>
          <w:rFonts w:eastAsiaTheme="minorHAnsi"/>
          <w:lang w:eastAsia="en-US"/>
        </w:rPr>
        <w:t>e current matter gives rise to constitutional questions and issues</w:t>
      </w:r>
      <w:r w:rsidR="00836C5C">
        <w:rPr>
          <w:rFonts w:eastAsiaTheme="minorHAnsi"/>
          <w:lang w:eastAsia="en-US"/>
        </w:rPr>
        <w:t>.</w:t>
      </w:r>
      <w:r w:rsidR="00AF6B6E">
        <w:rPr>
          <w:rFonts w:eastAsiaTheme="minorHAnsi"/>
          <w:lang w:eastAsia="en-US"/>
        </w:rPr>
        <w:t xml:space="preserve">  </w:t>
      </w:r>
      <w:r w:rsidR="00B754AB">
        <w:rPr>
          <w:rFonts w:eastAsiaTheme="minorHAnsi"/>
          <w:lang w:eastAsia="en-US"/>
        </w:rPr>
        <w:t>This matter should be assessed in that context.</w:t>
      </w:r>
    </w:p>
    <w:p w14:paraId="451E37D8" w14:textId="6052225F" w:rsidR="00A52A69" w:rsidRDefault="009728ED" w:rsidP="009728ED">
      <w:pPr>
        <w:pStyle w:val="WWList1"/>
        <w:numPr>
          <w:ilvl w:val="0"/>
          <w:numId w:val="0"/>
        </w:numPr>
        <w:tabs>
          <w:tab w:val="left" w:pos="567"/>
        </w:tabs>
        <w:ind w:left="567" w:hanging="567"/>
        <w:rPr>
          <w:rFonts w:eastAsiaTheme="minorHAnsi"/>
          <w:lang w:eastAsia="en-US"/>
        </w:rPr>
      </w:pPr>
      <w:bookmarkStart w:id="1" w:name="_Ref162882711"/>
      <w:r>
        <w:rPr>
          <w:rFonts w:eastAsiaTheme="minorHAnsi"/>
          <w:lang w:eastAsia="en-US"/>
        </w:rPr>
        <w:t>25.</w:t>
      </w:r>
      <w:r>
        <w:rPr>
          <w:rFonts w:eastAsiaTheme="minorHAnsi"/>
          <w:lang w:eastAsia="en-US"/>
        </w:rPr>
        <w:tab/>
      </w:r>
      <w:r w:rsidR="00E562CB">
        <w:rPr>
          <w:rFonts w:eastAsiaTheme="minorHAnsi"/>
          <w:lang w:eastAsia="en-US"/>
        </w:rPr>
        <w:t xml:space="preserve">Given its </w:t>
      </w:r>
      <w:r w:rsidR="00A52A69">
        <w:rPr>
          <w:rFonts w:eastAsiaTheme="minorHAnsi"/>
          <w:lang w:eastAsia="en-US"/>
        </w:rPr>
        <w:t xml:space="preserve">philosophical foundations, the </w:t>
      </w:r>
      <w:proofErr w:type="spellStart"/>
      <w:r w:rsidR="00A52A69" w:rsidRPr="00A52A69">
        <w:rPr>
          <w:rFonts w:eastAsiaTheme="minorHAnsi"/>
          <w:i/>
          <w:iCs/>
          <w:lang w:eastAsia="en-US"/>
        </w:rPr>
        <w:t>mandament</w:t>
      </w:r>
      <w:proofErr w:type="spellEnd"/>
      <w:r w:rsidR="00A52A69">
        <w:rPr>
          <w:rFonts w:eastAsiaTheme="minorHAnsi"/>
          <w:lang w:eastAsia="en-US"/>
        </w:rPr>
        <w:t xml:space="preserve"> is centrally concerned with restoring the </w:t>
      </w:r>
      <w:r w:rsidR="00A52A69" w:rsidRPr="00CB312D">
        <w:rPr>
          <w:rFonts w:eastAsiaTheme="minorHAnsi"/>
          <w:u w:val="single"/>
          <w:lang w:eastAsia="en-US"/>
        </w:rPr>
        <w:t>factual</w:t>
      </w:r>
      <w:r w:rsidR="00A52A69">
        <w:rPr>
          <w:rFonts w:eastAsiaTheme="minorHAnsi"/>
          <w:lang w:eastAsia="en-US"/>
        </w:rPr>
        <w:t xml:space="preserve"> position, being possession of the property in question.</w:t>
      </w:r>
      <w:r w:rsidR="00CA0645">
        <w:rPr>
          <w:rStyle w:val="FootnoteReference"/>
          <w:rFonts w:eastAsiaTheme="minorHAnsi"/>
          <w:lang w:eastAsia="en-US"/>
        </w:rPr>
        <w:footnoteReference w:id="3"/>
      </w:r>
      <w:r w:rsidR="00A52A69">
        <w:rPr>
          <w:rFonts w:eastAsiaTheme="minorHAnsi"/>
          <w:lang w:eastAsia="en-US"/>
        </w:rPr>
        <w:t xml:space="preserve">  In this context,</w:t>
      </w:r>
      <w:r w:rsidR="00E2614E">
        <w:rPr>
          <w:rFonts w:eastAsiaTheme="minorHAnsi"/>
          <w:lang w:eastAsia="en-US"/>
        </w:rPr>
        <w:t xml:space="preserve"> an applicant for a spoliation order </w:t>
      </w:r>
      <w:proofErr w:type="gramStart"/>
      <w:r w:rsidR="00E2614E">
        <w:rPr>
          <w:rFonts w:eastAsiaTheme="minorHAnsi"/>
          <w:lang w:eastAsia="en-US"/>
        </w:rPr>
        <w:t>has to</w:t>
      </w:r>
      <w:proofErr w:type="gramEnd"/>
      <w:r w:rsidR="00E2614E">
        <w:rPr>
          <w:rFonts w:eastAsiaTheme="minorHAnsi"/>
          <w:lang w:eastAsia="en-US"/>
        </w:rPr>
        <w:t xml:space="preserve"> establish two requirements</w:t>
      </w:r>
      <w:r w:rsidR="00A52A69">
        <w:rPr>
          <w:rFonts w:eastAsiaTheme="minorHAnsi"/>
          <w:lang w:eastAsia="en-US"/>
        </w:rPr>
        <w:t>:</w:t>
      </w:r>
      <w:bookmarkEnd w:id="1"/>
    </w:p>
    <w:p w14:paraId="63E3C78D" w14:textId="43B70BF2" w:rsidR="00406A30" w:rsidRDefault="009728ED" w:rsidP="009728ED">
      <w:pPr>
        <w:pStyle w:val="WWList2"/>
        <w:numPr>
          <w:ilvl w:val="0"/>
          <w:numId w:val="0"/>
        </w:numPr>
        <w:tabs>
          <w:tab w:val="left" w:pos="1134"/>
        </w:tabs>
        <w:ind w:left="1134" w:hanging="1134"/>
        <w:rPr>
          <w:rFonts w:eastAsiaTheme="minorHAnsi"/>
          <w:lang w:eastAsia="en-US"/>
        </w:rPr>
      </w:pPr>
      <w:r>
        <w:rPr>
          <w:rFonts w:eastAsiaTheme="minorHAnsi"/>
          <w:lang w:eastAsia="en-US"/>
        </w:rPr>
        <w:t>25.1</w:t>
      </w:r>
      <w:r>
        <w:rPr>
          <w:rFonts w:eastAsiaTheme="minorHAnsi"/>
          <w:lang w:eastAsia="en-US"/>
        </w:rPr>
        <w:tab/>
      </w:r>
      <w:r w:rsidR="00CA0645">
        <w:rPr>
          <w:rFonts w:eastAsiaTheme="minorHAnsi"/>
          <w:lang w:eastAsia="en-US"/>
        </w:rPr>
        <w:t xml:space="preserve">peaceful and undisturbed </w:t>
      </w:r>
      <w:r w:rsidR="009D6E71">
        <w:rPr>
          <w:rFonts w:eastAsiaTheme="minorHAnsi"/>
          <w:lang w:eastAsia="en-US"/>
        </w:rPr>
        <w:t xml:space="preserve">possession of the property immediately prior to the </w:t>
      </w:r>
      <w:proofErr w:type="gramStart"/>
      <w:r w:rsidR="009D6E71">
        <w:rPr>
          <w:rFonts w:eastAsiaTheme="minorHAnsi"/>
          <w:lang w:eastAsia="en-US"/>
        </w:rPr>
        <w:t>spoliation;</w:t>
      </w:r>
      <w:proofErr w:type="gramEnd"/>
      <w:r w:rsidR="00A52A69">
        <w:rPr>
          <w:rFonts w:eastAsiaTheme="minorHAnsi"/>
          <w:lang w:eastAsia="en-US"/>
        </w:rPr>
        <w:t xml:space="preserve"> </w:t>
      </w:r>
    </w:p>
    <w:p w14:paraId="56CB0A50" w14:textId="69036E9A" w:rsidR="009D6E71" w:rsidRPr="00243E15" w:rsidRDefault="009728ED" w:rsidP="009728ED">
      <w:pPr>
        <w:pStyle w:val="WWList2"/>
        <w:numPr>
          <w:ilvl w:val="0"/>
          <w:numId w:val="0"/>
        </w:numPr>
        <w:tabs>
          <w:tab w:val="left" w:pos="1134"/>
        </w:tabs>
        <w:ind w:left="1134" w:hanging="1134"/>
        <w:rPr>
          <w:rFonts w:eastAsiaTheme="minorHAnsi"/>
          <w:lang w:eastAsia="en-US"/>
        </w:rPr>
      </w:pPr>
      <w:r w:rsidRPr="00243E15">
        <w:rPr>
          <w:rFonts w:eastAsiaTheme="minorHAnsi"/>
          <w:lang w:eastAsia="en-US"/>
        </w:rPr>
        <w:t>25.2</w:t>
      </w:r>
      <w:r w:rsidRPr="00243E15">
        <w:rPr>
          <w:rFonts w:eastAsiaTheme="minorHAnsi"/>
          <w:lang w:eastAsia="en-US"/>
        </w:rPr>
        <w:tab/>
      </w:r>
      <w:r w:rsidR="005F69FF">
        <w:rPr>
          <w:rFonts w:eastAsiaTheme="minorHAnsi"/>
          <w:lang w:eastAsia="en-US"/>
        </w:rPr>
        <w:t>unlawful dispossession</w:t>
      </w:r>
      <w:r w:rsidR="00CA0645">
        <w:rPr>
          <w:rFonts w:eastAsiaTheme="minorHAnsi"/>
          <w:lang w:eastAsia="en-US"/>
        </w:rPr>
        <w:t xml:space="preserve"> by the respondent </w:t>
      </w:r>
      <w:r w:rsidR="00CA278F">
        <w:rPr>
          <w:rFonts w:eastAsiaTheme="minorHAnsi"/>
          <w:lang w:eastAsia="en-US"/>
        </w:rPr>
        <w:t>(</w:t>
      </w:r>
      <w:r w:rsidR="00CA0645">
        <w:rPr>
          <w:rFonts w:eastAsiaTheme="minorHAnsi"/>
          <w:lang w:eastAsia="en-US"/>
        </w:rPr>
        <w:t>and that the property is still in possession of the respondent</w:t>
      </w:r>
      <w:r w:rsidR="00CA278F">
        <w:rPr>
          <w:rFonts w:eastAsiaTheme="minorHAnsi"/>
          <w:lang w:eastAsia="en-US"/>
        </w:rPr>
        <w:t xml:space="preserve"> in question)</w:t>
      </w:r>
      <w:r w:rsidR="005F69FF">
        <w:rPr>
          <w:rFonts w:eastAsiaTheme="minorHAnsi"/>
          <w:lang w:eastAsia="en-US"/>
        </w:rPr>
        <w:t>.</w:t>
      </w:r>
    </w:p>
    <w:p w14:paraId="3399F69E" w14:textId="0C77BFBD" w:rsidR="00BC6810" w:rsidRDefault="009728ED" w:rsidP="009728ED">
      <w:pPr>
        <w:pStyle w:val="WWList1"/>
        <w:numPr>
          <w:ilvl w:val="0"/>
          <w:numId w:val="0"/>
        </w:numPr>
        <w:tabs>
          <w:tab w:val="left" w:pos="567"/>
        </w:tabs>
        <w:ind w:left="567" w:hanging="567"/>
      </w:pPr>
      <w:r>
        <w:t>26.</w:t>
      </w:r>
      <w:r>
        <w:tab/>
      </w:r>
      <w:r w:rsidR="005F69FF">
        <w:t xml:space="preserve">The above ordinarily does not involve any consideration of the lawfulness of the </w:t>
      </w:r>
      <w:r w:rsidR="003D30D3">
        <w:t xml:space="preserve">applicant's possession.  The focus </w:t>
      </w:r>
      <w:r w:rsidR="00312975">
        <w:t xml:space="preserve">of the first criterion </w:t>
      </w:r>
      <w:r w:rsidR="00EB6CA6">
        <w:t xml:space="preserve">is </w:t>
      </w:r>
      <w:r w:rsidR="003D30D3">
        <w:t xml:space="preserve">on whether there was, as a matter of fact, possession by the applicant.  </w:t>
      </w:r>
      <w:r w:rsidR="00312975">
        <w:t>Under the second criterion</w:t>
      </w:r>
      <w:r w:rsidR="00C244B7">
        <w:t xml:space="preserve">, the emphasis is again not on the legality or otherwise of the applicant's possession, but on whether the </w:t>
      </w:r>
      <w:r w:rsidR="002A3D97">
        <w:t>dispossession by the respondent was carried out under the colour of law</w:t>
      </w:r>
      <w:r w:rsidR="00457734">
        <w:t>.</w:t>
      </w:r>
    </w:p>
    <w:p w14:paraId="7018D294" w14:textId="20DAFF10" w:rsidR="008010BE" w:rsidRDefault="009728ED" w:rsidP="009728ED">
      <w:pPr>
        <w:pStyle w:val="WWList1"/>
        <w:numPr>
          <w:ilvl w:val="0"/>
          <w:numId w:val="0"/>
        </w:numPr>
        <w:tabs>
          <w:tab w:val="left" w:pos="567"/>
        </w:tabs>
        <w:ind w:left="567" w:hanging="567"/>
      </w:pPr>
      <w:r>
        <w:t>27.</w:t>
      </w:r>
      <w:r>
        <w:tab/>
      </w:r>
      <w:r w:rsidR="00844AFB">
        <w:t xml:space="preserve">It is noteworthy, however, that </w:t>
      </w:r>
      <w:r w:rsidR="00D55B74">
        <w:t xml:space="preserve">the </w:t>
      </w:r>
      <w:r w:rsidR="00D82C7C">
        <w:t>nature</w:t>
      </w:r>
      <w:r w:rsidR="00D55B74">
        <w:t xml:space="preserve"> of the applicant's possession </w:t>
      </w:r>
      <w:r w:rsidR="008558A6">
        <w:t>is</w:t>
      </w:r>
      <w:r w:rsidR="00D55B74">
        <w:t xml:space="preserve"> not always irrelevant to </w:t>
      </w:r>
      <w:r w:rsidR="00223708">
        <w:t xml:space="preserve">the matter.  </w:t>
      </w:r>
      <w:r w:rsidR="001F341A">
        <w:t>The current</w:t>
      </w:r>
      <w:r w:rsidR="004643CE">
        <w:t xml:space="preserve"> case provides an illustration</w:t>
      </w:r>
      <w:r w:rsidR="001F341A">
        <w:t xml:space="preserve">.  </w:t>
      </w:r>
    </w:p>
    <w:p w14:paraId="505D6826" w14:textId="2D07D74A" w:rsidR="00441428" w:rsidRDefault="009728ED" w:rsidP="009728ED">
      <w:pPr>
        <w:pStyle w:val="WWList1"/>
        <w:numPr>
          <w:ilvl w:val="0"/>
          <w:numId w:val="0"/>
        </w:numPr>
        <w:tabs>
          <w:tab w:val="left" w:pos="567"/>
        </w:tabs>
        <w:ind w:left="567" w:hanging="567"/>
      </w:pPr>
      <w:r>
        <w:lastRenderedPageBreak/>
        <w:t>28.</w:t>
      </w:r>
      <w:r>
        <w:tab/>
      </w:r>
      <w:r w:rsidR="00336A76">
        <w:t>In the present matter, the SAHPRA/Council inspectors</w:t>
      </w:r>
      <w:r w:rsidR="003070A3">
        <w:t xml:space="preserve"> as well as the SAPS</w:t>
      </w:r>
      <w:r w:rsidR="00336A76">
        <w:t xml:space="preserve"> entered and inspected the pre</w:t>
      </w:r>
      <w:r w:rsidR="003070A3">
        <w:t>mises.  The SAPS also seized the relevant articles.</w:t>
      </w:r>
      <w:r w:rsidR="000F1AC4">
        <w:t xml:space="preserve">  </w:t>
      </w:r>
      <w:r w:rsidR="00441428">
        <w:t>No challenge is mounted against SAHPRA/Council and the legality of their inspection.  The focus in the founding papers is on the conduct of the SAPS and its retention of the relevant articles.</w:t>
      </w:r>
    </w:p>
    <w:p w14:paraId="61827D14" w14:textId="2F3F5E0D" w:rsidR="005620BD" w:rsidRDefault="009728ED" w:rsidP="009728ED">
      <w:pPr>
        <w:pStyle w:val="WWList1"/>
        <w:numPr>
          <w:ilvl w:val="0"/>
          <w:numId w:val="0"/>
        </w:numPr>
        <w:tabs>
          <w:tab w:val="left" w:pos="567"/>
        </w:tabs>
        <w:ind w:left="567" w:hanging="567"/>
      </w:pPr>
      <w:r>
        <w:t>29.</w:t>
      </w:r>
      <w:r>
        <w:tab/>
      </w:r>
      <w:r w:rsidR="00D9552D">
        <w:t xml:space="preserve">Whether the </w:t>
      </w:r>
      <w:r w:rsidR="00713FF0">
        <w:t>dispossession</w:t>
      </w:r>
      <w:r w:rsidR="005A0D70">
        <w:t xml:space="preserve"> by the SAPS</w:t>
      </w:r>
      <w:r w:rsidR="00713FF0">
        <w:t xml:space="preserve"> was lawful is a question as to whether</w:t>
      </w:r>
      <w:r w:rsidR="005A0D70">
        <w:t xml:space="preserve"> it was lawfully entitled to exercise </w:t>
      </w:r>
      <w:r w:rsidR="00713FF0">
        <w:t xml:space="preserve">its powers in terms of chapter </w:t>
      </w:r>
      <w:r w:rsidR="002F1121">
        <w:t xml:space="preserve">2 of the CPA.  </w:t>
      </w:r>
      <w:r w:rsidR="005620BD">
        <w:t>When interpreting statutes, it is important to give a holistic</w:t>
      </w:r>
      <w:r w:rsidR="00AE75BD">
        <w:t xml:space="preserve"> meaning to the statutory language, which takes proper account of the text, internal and external context</w:t>
      </w:r>
      <w:r w:rsidR="002B6ABA">
        <w:t xml:space="preserve"> as well as</w:t>
      </w:r>
      <w:r w:rsidR="00AE75BD">
        <w:t xml:space="preserve"> purpose.</w:t>
      </w:r>
      <w:r w:rsidR="007B3E6A">
        <w:rPr>
          <w:rStyle w:val="FootnoteReference"/>
        </w:rPr>
        <w:footnoteReference w:id="4"/>
      </w:r>
      <w:r w:rsidR="002B6ABA">
        <w:t xml:space="preserve">  Legislation should also be interpreted to further </w:t>
      </w:r>
      <w:r w:rsidR="002C4F38">
        <w:t>the implementation of</w:t>
      </w:r>
      <w:r w:rsidR="009A333D">
        <w:t>, and protect,</w:t>
      </w:r>
      <w:r w:rsidR="002C4F38">
        <w:t xml:space="preserve"> constitutional rights.</w:t>
      </w:r>
      <w:r w:rsidR="00EF4A83">
        <w:rPr>
          <w:rStyle w:val="FootnoteReference"/>
        </w:rPr>
        <w:footnoteReference w:id="5"/>
      </w:r>
    </w:p>
    <w:p w14:paraId="6F921810" w14:textId="1F2A27A3" w:rsidR="006C0086" w:rsidRDefault="009728ED" w:rsidP="009728ED">
      <w:pPr>
        <w:pStyle w:val="WWList1"/>
        <w:numPr>
          <w:ilvl w:val="0"/>
          <w:numId w:val="0"/>
        </w:numPr>
        <w:tabs>
          <w:tab w:val="left" w:pos="567"/>
        </w:tabs>
        <w:ind w:left="567" w:hanging="567"/>
      </w:pPr>
      <w:r>
        <w:t>30.</w:t>
      </w:r>
      <w:r>
        <w:tab/>
      </w:r>
      <w:r w:rsidR="004C193F">
        <w:t xml:space="preserve">The </w:t>
      </w:r>
      <w:r w:rsidR="00237034">
        <w:t xml:space="preserve">SAPS relied specifically on sections 20 and 26 of the CPA.  It averred that it entered the premises </w:t>
      </w:r>
      <w:proofErr w:type="gramStart"/>
      <w:r w:rsidR="00237034">
        <w:t xml:space="preserve">on </w:t>
      </w:r>
      <w:r w:rsidR="006B33BA">
        <w:t>the basis of</w:t>
      </w:r>
      <w:proofErr w:type="gramEnd"/>
      <w:r w:rsidR="006B33BA">
        <w:t xml:space="preserve"> section 26 and then was allowed to seize the relevant articles in terms of section 20.  While both of those sections may be relevant to </w:t>
      </w:r>
      <w:r w:rsidR="0083409C">
        <w:t xml:space="preserve">SAPS officials' actions, section 20 is not a self-standing empowering provision, in my view.  It must be read within the context of chapter </w:t>
      </w:r>
      <w:proofErr w:type="gramStart"/>
      <w:r w:rsidR="0083409C">
        <w:t>2 as a whole</w:t>
      </w:r>
      <w:proofErr w:type="gramEnd"/>
      <w:r w:rsidR="0083409C">
        <w:t xml:space="preserve">.  </w:t>
      </w:r>
      <w:r w:rsidR="006C0086">
        <w:t>The section provides that:</w:t>
      </w:r>
    </w:p>
    <w:p w14:paraId="193C93C7" w14:textId="3C38191B" w:rsidR="008E7E6F" w:rsidRDefault="00C352B4" w:rsidP="00C352B4">
      <w:pPr>
        <w:pStyle w:val="WWList1"/>
        <w:numPr>
          <w:ilvl w:val="0"/>
          <w:numId w:val="0"/>
        </w:numPr>
        <w:ind w:left="851"/>
      </w:pPr>
      <w:r>
        <w:t>"</w:t>
      </w:r>
      <w:r w:rsidR="006C0086" w:rsidRPr="00C352B4">
        <w:rPr>
          <w:i/>
          <w:iCs/>
        </w:rPr>
        <w:t>T</w:t>
      </w:r>
      <w:r w:rsidRPr="00C352B4">
        <w:rPr>
          <w:i/>
          <w:iCs/>
        </w:rPr>
        <w:t xml:space="preserve">he State may, </w:t>
      </w:r>
      <w:r w:rsidRPr="00C352B4">
        <w:rPr>
          <w:i/>
          <w:iCs/>
          <w:u w:val="single"/>
        </w:rPr>
        <w:t>in accordance with the provisions of this Chapter</w:t>
      </w:r>
      <w:r w:rsidRPr="00C352B4">
        <w:rPr>
          <w:i/>
          <w:iCs/>
        </w:rPr>
        <w:t xml:space="preserve">, seize anything (in this Chapter referred to as an article)- (a) which is concerned in or is on reasonable grounds believed to be concerned in the commission or suspected commission of an offence, whether within the Republic or elsewhere; (b) which may afford evidence of the commission or suspected commission of an offence, whether </w:t>
      </w:r>
      <w:r w:rsidRPr="00C352B4">
        <w:rPr>
          <w:i/>
          <w:iCs/>
        </w:rPr>
        <w:lastRenderedPageBreak/>
        <w:t>within the Republic or elsewhere; or (c) which is intended to be used or is on reasonable grounds believed to be intended to be used in the commission of an offence.</w:t>
      </w:r>
      <w:r>
        <w:t>" (emphasis added)</w:t>
      </w:r>
      <w:r w:rsidR="0083409C">
        <w:t xml:space="preserve"> </w:t>
      </w:r>
    </w:p>
    <w:p w14:paraId="4DC16D37" w14:textId="0C9DDCBE" w:rsidR="00C352B4" w:rsidRDefault="009728ED" w:rsidP="009728ED">
      <w:pPr>
        <w:pStyle w:val="WWList1"/>
        <w:numPr>
          <w:ilvl w:val="0"/>
          <w:numId w:val="0"/>
        </w:numPr>
        <w:tabs>
          <w:tab w:val="left" w:pos="567"/>
        </w:tabs>
        <w:ind w:left="567" w:hanging="567"/>
      </w:pPr>
      <w:r>
        <w:t>31.</w:t>
      </w:r>
      <w:r>
        <w:tab/>
      </w:r>
      <w:r w:rsidR="00C352B4">
        <w:t xml:space="preserve">It is apparent from the above that section 20 </w:t>
      </w:r>
      <w:r w:rsidR="00650556">
        <w:t xml:space="preserve">expressly provides that the "seizing" contemplated in that section must be done in accordance with </w:t>
      </w:r>
      <w:r w:rsidR="00F64C28">
        <w:t>the balance of the provisions of chapter 2.  In this regard, sections 21</w:t>
      </w:r>
      <w:r w:rsidR="00E8252F">
        <w:t xml:space="preserve"> to 2</w:t>
      </w:r>
      <w:r w:rsidR="00164F87">
        <w:t>5</w:t>
      </w:r>
      <w:r w:rsidR="00E8252F">
        <w:t xml:space="preserve"> </w:t>
      </w:r>
      <w:r w:rsidR="006A56B8">
        <w:t xml:space="preserve">of the CPA </w:t>
      </w:r>
      <w:r w:rsidR="00E8252F">
        <w:t xml:space="preserve">provide specific circumstances in which articles </w:t>
      </w:r>
      <w:r w:rsidR="004B13A4">
        <w:t xml:space="preserve">described in section 20 </w:t>
      </w:r>
      <w:r w:rsidR="00E8252F">
        <w:t xml:space="preserve">may be seized.  </w:t>
      </w:r>
      <w:r w:rsidR="007B1491">
        <w:t xml:space="preserve">As a general proposition, such articles may only be seized pursuant to a warrant issued in terms of sections 21 and 25.  This is apparent from the </w:t>
      </w:r>
      <w:r w:rsidR="0009251D">
        <w:t>wording of section 21(1): "</w:t>
      </w:r>
      <w:r w:rsidR="0009251D" w:rsidRPr="00BD6D1B">
        <w:rPr>
          <w:i/>
          <w:iCs/>
        </w:rPr>
        <w:t>Subject to the provisions of sections 22, 24 and 25, an article referred to in section 20 shall be seized only by virtue of a search warrant</w:t>
      </w:r>
      <w:r w:rsidR="00BD6D1B" w:rsidRPr="00BD6D1B">
        <w:rPr>
          <w:i/>
          <w:iCs/>
        </w:rPr>
        <w:t xml:space="preserve"> …</w:t>
      </w:r>
      <w:r w:rsidR="00BD6D1B">
        <w:t>".  Thus, ordinarily</w:t>
      </w:r>
      <w:r w:rsidR="008776E1">
        <w:t>,</w:t>
      </w:r>
      <w:r w:rsidR="00BD6D1B">
        <w:t xml:space="preserve"> a warrant in terms of section 21 is required.  But it may not be required if </w:t>
      </w:r>
      <w:r w:rsidR="00235DE9">
        <w:t xml:space="preserve">section 22, </w:t>
      </w:r>
      <w:r w:rsidR="00B16FCA">
        <w:t xml:space="preserve">23, </w:t>
      </w:r>
      <w:r w:rsidR="00235DE9">
        <w:t>24 or 25 is applicable.  Section</w:t>
      </w:r>
      <w:r w:rsidR="00123204">
        <w:t xml:space="preserve"> 23 deals with seizure of property upon </w:t>
      </w:r>
      <w:r w:rsidR="00F720BE">
        <w:t xml:space="preserve">the </w:t>
      </w:r>
      <w:r w:rsidR="00123204">
        <w:t xml:space="preserve">arrest of a person; section 24 concerns </w:t>
      </w:r>
      <w:r w:rsidR="006572DB">
        <w:t>theft of stock or produce</w:t>
      </w:r>
      <w:r w:rsidR="00B16FCA">
        <w:t xml:space="preserve">; section 25 </w:t>
      </w:r>
      <w:r w:rsidR="00D1542A">
        <w:t>deals with a situation where a magistrate issues a warrant</w:t>
      </w:r>
      <w:r w:rsidR="0046083A">
        <w:t xml:space="preserve">.  </w:t>
      </w:r>
      <w:r w:rsidR="00B04B51">
        <w:t>Those sections are thus inapplicable</w:t>
      </w:r>
      <w:r w:rsidR="00B04B51" w:rsidRPr="00B04B51">
        <w:rPr>
          <w:i/>
          <w:iCs/>
        </w:rPr>
        <w:t xml:space="preserve"> in </w:t>
      </w:r>
      <w:proofErr w:type="spellStart"/>
      <w:r w:rsidR="00B04B51" w:rsidRPr="00B04B51">
        <w:rPr>
          <w:i/>
          <w:iCs/>
        </w:rPr>
        <w:t>casu</w:t>
      </w:r>
      <w:proofErr w:type="spellEnd"/>
      <w:r w:rsidR="00B04B51">
        <w:t xml:space="preserve">.  </w:t>
      </w:r>
      <w:r w:rsidR="006A56B8">
        <w:t>To come within the remit of section 20</w:t>
      </w:r>
      <w:r w:rsidR="0084661C">
        <w:t xml:space="preserve">, the SAPS </w:t>
      </w:r>
      <w:r w:rsidR="00B04B51">
        <w:t>was thus, in this matter, also required to co</w:t>
      </w:r>
      <w:r w:rsidR="0084661C">
        <w:t xml:space="preserve">mply with </w:t>
      </w:r>
      <w:r w:rsidR="00EC3459">
        <w:t>section 22</w:t>
      </w:r>
      <w:r w:rsidR="00D41A2F">
        <w:t>, which deals specifically with the seizure of property pursuant to warrantless searches.</w:t>
      </w:r>
      <w:r w:rsidR="00F64C28">
        <w:t xml:space="preserve"> </w:t>
      </w:r>
    </w:p>
    <w:p w14:paraId="793C8E7E" w14:textId="35620671" w:rsidR="003E54DA" w:rsidRDefault="009728ED" w:rsidP="009728ED">
      <w:pPr>
        <w:pStyle w:val="WWList1"/>
        <w:numPr>
          <w:ilvl w:val="0"/>
          <w:numId w:val="0"/>
        </w:numPr>
        <w:tabs>
          <w:tab w:val="left" w:pos="567"/>
        </w:tabs>
        <w:ind w:left="567" w:hanging="567"/>
      </w:pPr>
      <w:r>
        <w:t>32.</w:t>
      </w:r>
      <w:r>
        <w:tab/>
      </w:r>
      <w:r w:rsidR="00454998">
        <w:t>O</w:t>
      </w:r>
      <w:r w:rsidR="00695411">
        <w:t xml:space="preserve">ur courts </w:t>
      </w:r>
      <w:r w:rsidR="00695411" w:rsidRPr="00B04B51">
        <w:t>have emphasised</w:t>
      </w:r>
      <w:r w:rsidR="00B04B51" w:rsidRPr="00B04B51">
        <w:t xml:space="preserve"> </w:t>
      </w:r>
      <w:r w:rsidR="00695411" w:rsidRPr="00B04B51">
        <w:t>that</w:t>
      </w:r>
      <w:r w:rsidR="00B04B51">
        <w:t>, should any seizure of property be contemplated,</w:t>
      </w:r>
      <w:r w:rsidR="00695411" w:rsidRPr="00B04B51">
        <w:t xml:space="preserve"> police officials should obtain a warrant, if this is at all possible.  </w:t>
      </w:r>
      <w:r w:rsidR="00B04B51">
        <w:t xml:space="preserve">In the context of the exercise of law enforcement powers by the SAPS, warrantless seizure is the exception.  </w:t>
      </w:r>
    </w:p>
    <w:p w14:paraId="4A766AB9" w14:textId="650CC157" w:rsidR="00D41A2F" w:rsidRPr="00B04B51" w:rsidRDefault="009728ED" w:rsidP="009728ED">
      <w:pPr>
        <w:pStyle w:val="WWList1"/>
        <w:numPr>
          <w:ilvl w:val="0"/>
          <w:numId w:val="0"/>
        </w:numPr>
        <w:tabs>
          <w:tab w:val="left" w:pos="567"/>
        </w:tabs>
        <w:ind w:left="567" w:hanging="567"/>
      </w:pPr>
      <w:r w:rsidRPr="00B04B51">
        <w:t>33.</w:t>
      </w:r>
      <w:r w:rsidRPr="00B04B51">
        <w:tab/>
      </w:r>
      <w:r w:rsidR="00B04B51">
        <w:t xml:space="preserve">There are important constitutional considerations in this context, which highlight the importance of the discipline of obtaining a warrant.  </w:t>
      </w:r>
      <w:r w:rsidR="00E57ED1" w:rsidRPr="00B04B51">
        <w:t>In this regard, t</w:t>
      </w:r>
      <w:r w:rsidR="00CD0B5A" w:rsidRPr="00B04B51">
        <w:t xml:space="preserve">he Constitutional </w:t>
      </w:r>
      <w:r w:rsidR="00695411" w:rsidRPr="00B04B51">
        <w:t xml:space="preserve">Court </w:t>
      </w:r>
      <w:r w:rsidR="00CD0B5A" w:rsidRPr="00B04B51">
        <w:t>held as follows:</w:t>
      </w:r>
      <w:r w:rsidR="00695411" w:rsidRPr="00B04B51">
        <w:t xml:space="preserve"> </w:t>
      </w:r>
      <w:r w:rsidR="00694183" w:rsidRPr="00B04B51">
        <w:t>"</w:t>
      </w:r>
      <w:r w:rsidR="00694183" w:rsidRPr="00B04B51">
        <w:rPr>
          <w:rFonts w:cs="Arial"/>
          <w:i/>
          <w:iCs/>
          <w:color w:val="242121"/>
          <w:shd w:val="clear" w:color="auto" w:fill="FFFFFF"/>
        </w:rPr>
        <w:t xml:space="preserve">Exceptions to the warrant requirement should not become the </w:t>
      </w:r>
      <w:r w:rsidR="00694183" w:rsidRPr="00B04B51">
        <w:rPr>
          <w:rFonts w:cs="Arial"/>
          <w:i/>
          <w:iCs/>
          <w:color w:val="242121"/>
          <w:shd w:val="clear" w:color="auto" w:fill="FFFFFF"/>
        </w:rPr>
        <w:lastRenderedPageBreak/>
        <w:t xml:space="preserve">rule. A warrant is not a mere formality. It is a mechanism employed to balance an individual’s right to privacy with the public interest in compliance with and enforcement of regulatory provisions. A warrant guarantees that the state must be able, prior to an intrusion, to justify and support intrusions on individuals’ privacy under oath before a judicial officer. Further, it governs the time, </w:t>
      </w:r>
      <w:proofErr w:type="gramStart"/>
      <w:r w:rsidR="00694183" w:rsidRPr="00B04B51">
        <w:rPr>
          <w:rFonts w:cs="Arial"/>
          <w:i/>
          <w:iCs/>
          <w:color w:val="242121"/>
          <w:shd w:val="clear" w:color="auto" w:fill="FFFFFF"/>
        </w:rPr>
        <w:t>place</w:t>
      </w:r>
      <w:proofErr w:type="gramEnd"/>
      <w:r w:rsidR="00694183" w:rsidRPr="00B04B51">
        <w:rPr>
          <w:rFonts w:cs="Arial"/>
          <w:i/>
          <w:iCs/>
          <w:color w:val="242121"/>
          <w:shd w:val="clear" w:color="auto" w:fill="FFFFFF"/>
        </w:rPr>
        <w:t xml:space="preserve"> and scope of the search. This softens the intrusion on the right to privacy, guides the conduct of the inspection, and informs the individual of the legality and limits of the search. Our history provides evidence of the need to adhere strictly to the warrant requirement unless there are clear and justifiable reasons for deviation.</w:t>
      </w:r>
      <w:r w:rsidR="002830C6" w:rsidRPr="00B04B51">
        <w:rPr>
          <w:rFonts w:cs="Arial"/>
          <w:color w:val="242121"/>
          <w:shd w:val="clear" w:color="auto" w:fill="FFFFFF"/>
        </w:rPr>
        <w:t>"</w:t>
      </w:r>
      <w:r w:rsidR="00CD0B5A" w:rsidRPr="00B04B51">
        <w:rPr>
          <w:rStyle w:val="FootnoteReference"/>
          <w:color w:val="242121"/>
          <w:sz w:val="24"/>
          <w:shd w:val="clear" w:color="auto" w:fill="FFFFFF"/>
        </w:rPr>
        <w:footnoteReference w:id="6"/>
      </w:r>
    </w:p>
    <w:p w14:paraId="3B446511" w14:textId="2A38EDEF" w:rsidR="00CD0B5A" w:rsidRDefault="009728ED" w:rsidP="009728ED">
      <w:pPr>
        <w:pStyle w:val="WWList1"/>
        <w:numPr>
          <w:ilvl w:val="0"/>
          <w:numId w:val="0"/>
        </w:numPr>
        <w:tabs>
          <w:tab w:val="left" w:pos="567"/>
        </w:tabs>
        <w:ind w:left="567" w:hanging="567"/>
      </w:pPr>
      <w:r>
        <w:t>34.</w:t>
      </w:r>
      <w:r>
        <w:tab/>
      </w:r>
      <w:r w:rsidR="00372A9B">
        <w:t xml:space="preserve">The Court in </w:t>
      </w:r>
      <w:r w:rsidR="0034259D" w:rsidRPr="0034259D">
        <w:rPr>
          <w:i/>
          <w:iCs/>
        </w:rPr>
        <w:t>S v Murphy and Others - Search and Seizure</w:t>
      </w:r>
      <w:r w:rsidR="0034259D" w:rsidRPr="00476B66">
        <w:rPr>
          <w:rStyle w:val="FootnoteReference"/>
        </w:rPr>
        <w:footnoteReference w:id="7"/>
      </w:r>
      <w:r w:rsidR="0034259D" w:rsidRPr="00476B66">
        <w:t xml:space="preserve"> </w:t>
      </w:r>
      <w:r w:rsidR="00372A9B">
        <w:t>recently summarised the relevant principles</w:t>
      </w:r>
      <w:r w:rsidR="00B04B51">
        <w:t xml:space="preserve"> to be applied should the SAPS wish to proceed in the absence of a warrant</w:t>
      </w:r>
      <w:r w:rsidR="00372A9B">
        <w:t>:</w:t>
      </w:r>
    </w:p>
    <w:p w14:paraId="6D0955AC" w14:textId="433A3B26" w:rsidR="00372A9B" w:rsidRPr="00A11107" w:rsidRDefault="00372A9B" w:rsidP="00372A9B">
      <w:pPr>
        <w:pStyle w:val="WWList1"/>
        <w:numPr>
          <w:ilvl w:val="0"/>
          <w:numId w:val="0"/>
        </w:numPr>
        <w:ind w:left="993"/>
        <w:rPr>
          <w:i/>
          <w:iCs/>
        </w:rPr>
      </w:pPr>
      <w:r>
        <w:t>"</w:t>
      </w:r>
      <w:r w:rsidRPr="00A11107">
        <w:rPr>
          <w:i/>
          <w:iCs/>
        </w:rPr>
        <w:t xml:space="preserve">17.  </w:t>
      </w:r>
      <w:proofErr w:type="gramStart"/>
      <w:r w:rsidRPr="00A11107">
        <w:rPr>
          <w:i/>
          <w:iCs/>
        </w:rPr>
        <w:t>In order to</w:t>
      </w:r>
      <w:proofErr w:type="gramEnd"/>
      <w:r w:rsidRPr="00A11107">
        <w:rPr>
          <w:i/>
          <w:iCs/>
        </w:rPr>
        <w:t xml:space="preserve"> justify a warrantless search under s 22(b) of the CPA, the State is required to prove that, at the time when the search was executed, the police officer concerned had information which, viewed objectively, was sufficient to ground a reasonable belief:</w:t>
      </w:r>
    </w:p>
    <w:p w14:paraId="317F5864" w14:textId="1B5C037F" w:rsidR="00372A9B" w:rsidRPr="00A11107" w:rsidRDefault="00372A9B" w:rsidP="00372A9B">
      <w:pPr>
        <w:pStyle w:val="WWList1"/>
        <w:numPr>
          <w:ilvl w:val="0"/>
          <w:numId w:val="0"/>
        </w:numPr>
        <w:ind w:left="1418"/>
        <w:rPr>
          <w:i/>
          <w:iCs/>
        </w:rPr>
      </w:pPr>
      <w:r w:rsidRPr="00A11107">
        <w:rPr>
          <w:i/>
          <w:iCs/>
        </w:rPr>
        <w:t xml:space="preserve">a)  that an offence had been committed or would be committed, and that an article connected with the suspected offence was on a particular person or </w:t>
      </w:r>
      <w:proofErr w:type="gramStart"/>
      <w:r w:rsidRPr="00A11107">
        <w:rPr>
          <w:i/>
          <w:iCs/>
        </w:rPr>
        <w:t>premises;</w:t>
      </w:r>
      <w:proofErr w:type="gramEnd"/>
    </w:p>
    <w:p w14:paraId="442C02E2" w14:textId="4366A08E" w:rsidR="00372A9B" w:rsidRPr="00A11107" w:rsidRDefault="00372A9B" w:rsidP="00372A9B">
      <w:pPr>
        <w:pStyle w:val="WWList1"/>
        <w:numPr>
          <w:ilvl w:val="0"/>
          <w:numId w:val="0"/>
        </w:numPr>
        <w:ind w:left="1418"/>
        <w:rPr>
          <w:i/>
          <w:iCs/>
        </w:rPr>
      </w:pPr>
      <w:r w:rsidRPr="00A11107">
        <w:rPr>
          <w:i/>
          <w:iCs/>
        </w:rPr>
        <w:t>b)  that a search warrant would be issued in terms of s 21(1)(a) of the CPA if it were sought; and</w:t>
      </w:r>
    </w:p>
    <w:p w14:paraId="775F4713" w14:textId="58F9073D" w:rsidR="00372A9B" w:rsidRPr="00A11107" w:rsidRDefault="00372A9B" w:rsidP="00372A9B">
      <w:pPr>
        <w:pStyle w:val="WWList1"/>
        <w:numPr>
          <w:ilvl w:val="0"/>
          <w:numId w:val="0"/>
        </w:numPr>
        <w:ind w:left="1418"/>
        <w:rPr>
          <w:i/>
          <w:iCs/>
        </w:rPr>
      </w:pPr>
      <w:r w:rsidRPr="00A11107">
        <w:rPr>
          <w:i/>
          <w:iCs/>
        </w:rPr>
        <w:lastRenderedPageBreak/>
        <w:t>c)  that the delay in obtaining the warrant would defeat the object of the search.</w:t>
      </w:r>
    </w:p>
    <w:p w14:paraId="2090DCE7" w14:textId="4E19CF31" w:rsidR="00372A9B" w:rsidRDefault="00372A9B" w:rsidP="00B04B51">
      <w:pPr>
        <w:pStyle w:val="WWList1"/>
        <w:numPr>
          <w:ilvl w:val="0"/>
          <w:numId w:val="0"/>
        </w:numPr>
        <w:ind w:left="993"/>
      </w:pPr>
      <w:r w:rsidRPr="00A11107">
        <w:rPr>
          <w:i/>
          <w:iCs/>
        </w:rPr>
        <w:t>18.  Reasons must be advanced for the police official’s belief in these regards, and the court evaluating the legality of the search must be satisfied that the grounds justifying the search are objectively reasonable, i.e., reasonable in the judgment of the reasonable person.</w:t>
      </w:r>
      <w:r>
        <w:t>"</w:t>
      </w:r>
    </w:p>
    <w:p w14:paraId="1A04C6E2" w14:textId="3A675BC8" w:rsidR="009E7824" w:rsidRDefault="009728ED" w:rsidP="009728ED">
      <w:pPr>
        <w:pStyle w:val="WWList1"/>
        <w:numPr>
          <w:ilvl w:val="0"/>
          <w:numId w:val="0"/>
        </w:numPr>
        <w:tabs>
          <w:tab w:val="left" w:pos="567"/>
        </w:tabs>
        <w:ind w:left="567" w:hanging="567"/>
      </w:pPr>
      <w:r>
        <w:t>35.</w:t>
      </w:r>
      <w:r>
        <w:tab/>
      </w:r>
      <w:r w:rsidR="00147A23">
        <w:t xml:space="preserve">I would only note in relation to </w:t>
      </w:r>
      <w:r w:rsidR="00516823">
        <w:t xml:space="preserve">paragraph 17(a) of the above quotation </w:t>
      </w:r>
      <w:r w:rsidR="00015900">
        <w:t>that the criterion is too narrowly stated</w:t>
      </w:r>
      <w:r w:rsidR="00B83E9C">
        <w:t xml:space="preserve">.  The </w:t>
      </w:r>
      <w:r w:rsidR="000104C8">
        <w:t xml:space="preserve">connection </w:t>
      </w:r>
      <w:r w:rsidR="00B83E9C">
        <w:t>between the article in question and the offence or suspected offence may take any of the forms set forth in section 20.  In this regard, s</w:t>
      </w:r>
      <w:r w:rsidR="009E7824">
        <w:t>ection 20 provides that property:</w:t>
      </w:r>
    </w:p>
    <w:p w14:paraId="444E7FCE" w14:textId="41AA395C" w:rsidR="009E7824" w:rsidRDefault="009728ED" w:rsidP="009728ED">
      <w:pPr>
        <w:pStyle w:val="WWList2"/>
        <w:numPr>
          <w:ilvl w:val="0"/>
          <w:numId w:val="0"/>
        </w:numPr>
        <w:tabs>
          <w:tab w:val="left" w:pos="1134"/>
        </w:tabs>
        <w:ind w:left="1134" w:hanging="1134"/>
      </w:pPr>
      <w:r>
        <w:t>35.1</w:t>
      </w:r>
      <w:r>
        <w:tab/>
      </w:r>
      <w:r w:rsidR="009E7824">
        <w:t>which is concerned in or is on reasonable grounds believed to be concerned in the commission or suspected commission of an offence, whether within the Republic or elsewhere; or</w:t>
      </w:r>
    </w:p>
    <w:p w14:paraId="1289CD8E" w14:textId="50860CE9" w:rsidR="009E7824" w:rsidRDefault="009728ED" w:rsidP="009728ED">
      <w:pPr>
        <w:pStyle w:val="WWList2"/>
        <w:numPr>
          <w:ilvl w:val="0"/>
          <w:numId w:val="0"/>
        </w:numPr>
        <w:tabs>
          <w:tab w:val="left" w:pos="1134"/>
        </w:tabs>
        <w:ind w:left="1134" w:hanging="1134"/>
      </w:pPr>
      <w:r>
        <w:t>35.2</w:t>
      </w:r>
      <w:r>
        <w:tab/>
      </w:r>
      <w:r w:rsidR="009E7824">
        <w:t xml:space="preserve">which may afford evidence of the commission or suspected commission of an offence, whether within the Republic or elsewhere; or </w:t>
      </w:r>
    </w:p>
    <w:p w14:paraId="4B9F75EF" w14:textId="76FC84F8" w:rsidR="009E7824" w:rsidRDefault="009728ED" w:rsidP="009728ED">
      <w:pPr>
        <w:pStyle w:val="WWList2"/>
        <w:numPr>
          <w:ilvl w:val="0"/>
          <w:numId w:val="0"/>
        </w:numPr>
        <w:tabs>
          <w:tab w:val="left" w:pos="1134"/>
        </w:tabs>
        <w:ind w:left="1134" w:hanging="1134"/>
      </w:pPr>
      <w:r>
        <w:t>35.3</w:t>
      </w:r>
      <w:r>
        <w:tab/>
      </w:r>
      <w:r w:rsidR="009E7824">
        <w:t>which is intended to be used or is on reasonable grounds believed to be intended to be used in the commission of an offence,</w:t>
      </w:r>
    </w:p>
    <w:p w14:paraId="3F7C3840" w14:textId="77777777" w:rsidR="009E7824" w:rsidRPr="00A56646" w:rsidRDefault="009E7824" w:rsidP="009E7824">
      <w:pPr>
        <w:pStyle w:val="WWList1"/>
        <w:numPr>
          <w:ilvl w:val="0"/>
          <w:numId w:val="0"/>
        </w:numPr>
        <w:ind w:left="567"/>
      </w:pPr>
      <w:r>
        <w:t>may be seized in accordance with the provisions of chapter 2 of the CPA.</w:t>
      </w:r>
    </w:p>
    <w:p w14:paraId="316842FB" w14:textId="6CD65EB7" w:rsidR="004D079B" w:rsidRDefault="009728ED" w:rsidP="009728ED">
      <w:pPr>
        <w:pStyle w:val="WWList1"/>
        <w:numPr>
          <w:ilvl w:val="0"/>
          <w:numId w:val="0"/>
        </w:numPr>
        <w:tabs>
          <w:tab w:val="left" w:pos="567"/>
        </w:tabs>
        <w:ind w:left="567" w:hanging="567"/>
      </w:pPr>
      <w:r>
        <w:t>36.</w:t>
      </w:r>
      <w:r>
        <w:tab/>
      </w:r>
      <w:r w:rsidR="004D079B">
        <w:t xml:space="preserve">Section 26 of the CPA is only of passing relevance to the present matter.  That section allows a police officer to enter onto a premises without a warrant in circumstances where s/he reasonably suspects that a person at such premises may provide relevant information which may then form the subject matter of a sworn statement.  It does not expressly deal with any aspects other than interrogation of such person and the </w:t>
      </w:r>
      <w:r w:rsidR="004D079B">
        <w:lastRenderedPageBreak/>
        <w:t>obtaining of a statement.  It does not expressly or implicitly authorise the seizing of property.  In this case, the dispute does not revolve around the lawfulness of the SAPS entry onto the premises, but the seizing of the relevant articles.</w:t>
      </w:r>
    </w:p>
    <w:p w14:paraId="23225F31" w14:textId="5033C340" w:rsidR="004E2985" w:rsidRDefault="009728ED" w:rsidP="009728ED">
      <w:pPr>
        <w:pStyle w:val="WWList1"/>
        <w:numPr>
          <w:ilvl w:val="0"/>
          <w:numId w:val="0"/>
        </w:numPr>
        <w:tabs>
          <w:tab w:val="left" w:pos="567"/>
        </w:tabs>
        <w:ind w:left="567" w:hanging="567"/>
      </w:pPr>
      <w:r>
        <w:t>37.</w:t>
      </w:r>
      <w:r>
        <w:tab/>
      </w:r>
      <w:r w:rsidR="004E2985">
        <w:t>The focus to determine the lawfulness of the dispossession must thus be sections 20 and 22 of the CPA.</w:t>
      </w:r>
    </w:p>
    <w:p w14:paraId="5DC10393" w14:textId="7731E539" w:rsidR="0083143B" w:rsidRDefault="009728ED" w:rsidP="009728ED">
      <w:pPr>
        <w:pStyle w:val="WWList1"/>
        <w:numPr>
          <w:ilvl w:val="0"/>
          <w:numId w:val="0"/>
        </w:numPr>
        <w:tabs>
          <w:tab w:val="left" w:pos="567"/>
        </w:tabs>
        <w:ind w:left="567" w:hanging="567"/>
      </w:pPr>
      <w:r>
        <w:t>38.</w:t>
      </w:r>
      <w:r>
        <w:tab/>
      </w:r>
      <w:r w:rsidR="0083143B">
        <w:t>Should any of the requisites for a lawful seizure be absent, the seizure is unlawful.</w:t>
      </w:r>
    </w:p>
    <w:p w14:paraId="5935C794" w14:textId="34352DFC" w:rsidR="004D079B" w:rsidRDefault="009728ED" w:rsidP="009728ED">
      <w:pPr>
        <w:pStyle w:val="WWList1"/>
        <w:numPr>
          <w:ilvl w:val="0"/>
          <w:numId w:val="0"/>
        </w:numPr>
        <w:tabs>
          <w:tab w:val="left" w:pos="567"/>
        </w:tabs>
        <w:ind w:left="567" w:hanging="567"/>
      </w:pPr>
      <w:r>
        <w:t>39.</w:t>
      </w:r>
      <w:r>
        <w:tab/>
      </w:r>
      <w:r w:rsidR="0083143B">
        <w:t xml:space="preserve">If the two requirements set forth in </w:t>
      </w:r>
      <w:r w:rsidR="000F4541">
        <w:fldChar w:fldCharType="begin"/>
      </w:r>
      <w:r w:rsidR="000F4541">
        <w:instrText xml:space="preserve"> REF _Ref162882711 \r \h </w:instrText>
      </w:r>
      <w:r w:rsidR="000F4541">
        <w:fldChar w:fldCharType="separate"/>
      </w:r>
      <w:r w:rsidR="0026532D">
        <w:t>25</w:t>
      </w:r>
      <w:r w:rsidR="000F4541">
        <w:fldChar w:fldCharType="end"/>
      </w:r>
      <w:r w:rsidR="0083143B">
        <w:t xml:space="preserve"> are satisfied in relation to the dispossession of one or more of the </w:t>
      </w:r>
      <w:r w:rsidR="000F4541">
        <w:t>relevant articles</w:t>
      </w:r>
      <w:r w:rsidR="0083143B">
        <w:t>, then the spoliation order should issue</w:t>
      </w:r>
      <w:r w:rsidR="000F4541">
        <w:t xml:space="preserve"> in respect of such articles</w:t>
      </w:r>
      <w:r w:rsidR="0083143B">
        <w:t>.  In this regard, the merits of the applicant's possession of the</w:t>
      </w:r>
      <w:r w:rsidR="004D079B">
        <w:t xml:space="preserve"> </w:t>
      </w:r>
      <w:r w:rsidR="000F4541">
        <w:t>articles are irrelevant.</w:t>
      </w:r>
      <w:bookmarkStart w:id="2" w:name="_Ref162907355"/>
      <w:r w:rsidR="000F4541">
        <w:rPr>
          <w:rStyle w:val="FootnoteReference"/>
        </w:rPr>
        <w:footnoteReference w:id="8"/>
      </w:r>
      <w:bookmarkEnd w:id="2"/>
    </w:p>
    <w:p w14:paraId="7B27C439" w14:textId="5C188863" w:rsidR="009E7824" w:rsidRDefault="009728ED" w:rsidP="009728ED">
      <w:pPr>
        <w:pStyle w:val="WWList1"/>
        <w:numPr>
          <w:ilvl w:val="0"/>
          <w:numId w:val="0"/>
        </w:numPr>
        <w:tabs>
          <w:tab w:val="left" w:pos="567"/>
        </w:tabs>
        <w:ind w:left="567" w:hanging="567"/>
      </w:pPr>
      <w:r>
        <w:t>40.</w:t>
      </w:r>
      <w:r>
        <w:tab/>
      </w:r>
      <w:r w:rsidR="009221BA">
        <w:t>In granting a remedy, the Court is not, however, divested of its constitutional powers</w:t>
      </w:r>
      <w:r w:rsidR="0005712B">
        <w:t>,</w:t>
      </w:r>
      <w:r w:rsidR="009221BA">
        <w:t xml:space="preserve"> and in </w:t>
      </w:r>
      <w:r w:rsidR="00047F68">
        <w:t>my view</w:t>
      </w:r>
      <w:r w:rsidR="009221BA">
        <w:t xml:space="preserve"> duty</w:t>
      </w:r>
      <w:r w:rsidR="0005712B">
        <w:t>,</w:t>
      </w:r>
      <w:r w:rsidR="00047F68">
        <w:t xml:space="preserve"> in terms of section 172</w:t>
      </w:r>
      <w:r w:rsidR="00B5191E">
        <w:t>(1)(b)</w:t>
      </w:r>
      <w:r w:rsidR="00047F68">
        <w:t xml:space="preserve"> of the Constitution</w:t>
      </w:r>
      <w:r w:rsidR="009221BA">
        <w:t xml:space="preserve">, to grant </w:t>
      </w:r>
      <w:proofErr w:type="gramStart"/>
      <w:r w:rsidR="009221BA">
        <w:t>relief</w:t>
      </w:r>
      <w:proofErr w:type="gramEnd"/>
      <w:r w:rsidR="009221BA">
        <w:t xml:space="preserve"> which is just and equitable</w:t>
      </w:r>
      <w:r w:rsidR="007A4637">
        <w:t>, in all the circumstances.</w:t>
      </w:r>
      <w:r w:rsidR="009221BA">
        <w:t xml:space="preserve"> </w:t>
      </w:r>
      <w:r w:rsidR="00047F68">
        <w:t xml:space="preserve"> This is a principle which applies </w:t>
      </w:r>
      <w:r w:rsidR="00B5191E">
        <w:t>in</w:t>
      </w:r>
      <w:r w:rsidR="00047F68">
        <w:t xml:space="preserve"> all constitutional matters, irrespective of whether </w:t>
      </w:r>
      <w:r w:rsidR="00B5191E">
        <w:t xml:space="preserve">the matter hinges on the constitutional invalidity of </w:t>
      </w:r>
      <w:r w:rsidR="00047F68">
        <w:t>any conduct or legislation</w:t>
      </w:r>
      <w:r w:rsidR="00B5191E">
        <w:t>, and regardless of whether the Court is required to exercise its power in terms of section 172(1)(a) of the Constitution</w:t>
      </w:r>
      <w:r w:rsidR="00047F68">
        <w:t>.</w:t>
      </w:r>
      <w:bookmarkStart w:id="3" w:name="_Ref162905102"/>
      <w:r w:rsidR="00047F68">
        <w:rPr>
          <w:rStyle w:val="FootnoteReference"/>
        </w:rPr>
        <w:footnoteReference w:id="9"/>
      </w:r>
      <w:bookmarkEnd w:id="3"/>
      <w:r w:rsidR="00047F68">
        <w:t xml:space="preserve">  The power of the Court </w:t>
      </w:r>
      <w:r w:rsidR="00B5191E">
        <w:t>to order just and equitable relied</w:t>
      </w:r>
      <w:r w:rsidR="00047F68">
        <w:t xml:space="preserve"> is a wide one, bounded only by what justice and equity may demand.</w:t>
      </w:r>
      <w:r w:rsidR="00047F68">
        <w:rPr>
          <w:rStyle w:val="FootnoteReference"/>
        </w:rPr>
        <w:footnoteReference w:id="10"/>
      </w:r>
      <w:r w:rsidR="00047F68">
        <w:t xml:space="preserve"> </w:t>
      </w:r>
    </w:p>
    <w:p w14:paraId="6CB9B5D8" w14:textId="0342FA13" w:rsidR="009E7824" w:rsidRDefault="00570A02" w:rsidP="00D91DD7">
      <w:pPr>
        <w:pStyle w:val="WWList1"/>
        <w:keepNext/>
        <w:numPr>
          <w:ilvl w:val="0"/>
          <w:numId w:val="0"/>
        </w:numPr>
      </w:pPr>
      <w:r w:rsidRPr="00570A02">
        <w:rPr>
          <w:b/>
          <w:bCs/>
          <w:u w:val="single"/>
        </w:rPr>
        <w:lastRenderedPageBreak/>
        <w:t>Discussion</w:t>
      </w:r>
    </w:p>
    <w:p w14:paraId="10AFD7B8" w14:textId="14B49A7D" w:rsidR="00CD2051" w:rsidRPr="00CD2051" w:rsidRDefault="00CD2051" w:rsidP="00D91DD7">
      <w:pPr>
        <w:pStyle w:val="WWList1"/>
        <w:keepNext/>
        <w:numPr>
          <w:ilvl w:val="0"/>
          <w:numId w:val="0"/>
        </w:numPr>
        <w:ind w:left="567"/>
        <w:rPr>
          <w:i/>
          <w:iCs/>
        </w:rPr>
      </w:pPr>
      <w:r w:rsidRPr="00CD2051">
        <w:rPr>
          <w:i/>
          <w:iCs/>
        </w:rPr>
        <w:t>The position of SAHPRA</w:t>
      </w:r>
      <w:r w:rsidR="00D91DD7">
        <w:rPr>
          <w:i/>
          <w:iCs/>
        </w:rPr>
        <w:t xml:space="preserve"> (and the Council)</w:t>
      </w:r>
    </w:p>
    <w:p w14:paraId="1DBA52A6" w14:textId="7DEF302F" w:rsidR="00D91DD7" w:rsidRDefault="009728ED" w:rsidP="009728ED">
      <w:pPr>
        <w:pStyle w:val="WWList1"/>
        <w:numPr>
          <w:ilvl w:val="0"/>
          <w:numId w:val="0"/>
        </w:numPr>
        <w:tabs>
          <w:tab w:val="left" w:pos="567"/>
        </w:tabs>
        <w:ind w:left="567" w:hanging="567"/>
      </w:pPr>
      <w:r>
        <w:t>41.</w:t>
      </w:r>
      <w:r>
        <w:tab/>
      </w:r>
      <w:r w:rsidR="00570A02">
        <w:t xml:space="preserve">In the current matter, it is common cause that the relevant articles were seized by the SAPS, not the inspectors of SAHPRA and the Council, and are currently in the possession of the SAPS.  No case has been made out against SAHPRA and the Council that there was any illegality associated with SAHPRA and the Council entering and searching/inspecting the premises.  In fact, in my view, it is apparent that the entry and inspection were in line with SAHPRA and the Council's statutory authority under the Medicines Act and the Pharmacy Act, respectively.  </w:t>
      </w:r>
      <w:r w:rsidR="00FD3EF3">
        <w:t>In relation to SAHPRA (which is the relevant party opposing the relief</w:t>
      </w:r>
      <w:r w:rsidR="00CD2051">
        <w:t>), its inspector was permitted "</w:t>
      </w:r>
      <w:r w:rsidR="00CD2051" w:rsidRPr="006B0F44">
        <w:rPr>
          <w:i/>
          <w:iCs/>
        </w:rPr>
        <w:t>at all reasonable times</w:t>
      </w:r>
      <w:r w:rsidR="00CD2051">
        <w:t xml:space="preserve">" to enter a place from which a person is authorised to dispense medicines to conduct an inspection. </w:t>
      </w:r>
      <w:r w:rsidR="00FD3EF3">
        <w:t xml:space="preserve"> </w:t>
      </w:r>
      <w:r w:rsidR="00CD2051">
        <w:t xml:space="preserve">SAHPRA did not need </w:t>
      </w:r>
      <w:r w:rsidR="008B79B6">
        <w:t xml:space="preserve">evidence of a </w:t>
      </w:r>
      <w:r w:rsidR="0026532D">
        <w:t xml:space="preserve">specific </w:t>
      </w:r>
      <w:r w:rsidR="008B79B6">
        <w:t xml:space="preserve">transgression </w:t>
      </w:r>
      <w:r w:rsidR="00CD2051">
        <w:t>to do so.  As regulator</w:t>
      </w:r>
      <w:r w:rsidR="00DE1861">
        <w:t>s</w:t>
      </w:r>
      <w:r w:rsidR="00CD2051">
        <w:t>, it and the Council were entitled to conduct occasional inspections for the purposes of checking compliance with regulatory requirements.  This is especially so</w:t>
      </w:r>
      <w:r w:rsidR="00DE1861">
        <w:t>, however,</w:t>
      </w:r>
      <w:r w:rsidR="00CD2051">
        <w:t xml:space="preserve"> where, as in this case, a complaint had been received in relation to the applicant and there was </w:t>
      </w:r>
      <w:proofErr w:type="gramStart"/>
      <w:r w:rsidR="00CD2051">
        <w:t>a past history</w:t>
      </w:r>
      <w:proofErr w:type="gramEnd"/>
      <w:r w:rsidR="00CD2051">
        <w:t xml:space="preserve"> of potential transgressions.  </w:t>
      </w:r>
    </w:p>
    <w:p w14:paraId="3579AFAF" w14:textId="48E7C14B" w:rsidR="009E7824" w:rsidRDefault="009728ED" w:rsidP="009728ED">
      <w:pPr>
        <w:pStyle w:val="WWList1"/>
        <w:numPr>
          <w:ilvl w:val="0"/>
          <w:numId w:val="0"/>
        </w:numPr>
        <w:tabs>
          <w:tab w:val="left" w:pos="567"/>
        </w:tabs>
        <w:ind w:left="567" w:hanging="567"/>
      </w:pPr>
      <w:r>
        <w:t>42.</w:t>
      </w:r>
      <w:r>
        <w:tab/>
      </w:r>
      <w:r w:rsidR="00CD2051">
        <w:t xml:space="preserve">The applicant simply has not made out a case (and did not advance one in argument) that SAHPRA and the Council acted unlawfully.  </w:t>
      </w:r>
      <w:r w:rsidR="00570A02">
        <w:t>In</w:t>
      </w:r>
      <w:r w:rsidR="00CD2051">
        <w:t xml:space="preserve"> all the </w:t>
      </w:r>
      <w:r w:rsidR="00570A02">
        <w:t xml:space="preserve">circumstances, </w:t>
      </w:r>
      <w:r w:rsidR="00CC6009">
        <w:t xml:space="preserve">no basis has been made out for the </w:t>
      </w:r>
      <w:r w:rsidR="00570A02">
        <w:t xml:space="preserve">spoliation relief and costs against SAHPRA.  </w:t>
      </w:r>
      <w:r w:rsidR="00CD2051">
        <w:t>In my view, for this reason alone, SAHPRA was justified in its opposition.</w:t>
      </w:r>
      <w:r w:rsidR="00570A02">
        <w:t xml:space="preserve">  </w:t>
      </w:r>
      <w:r w:rsidR="00CD2051">
        <w:t>There is, however, a further reason why SAHPRA's participation in this matter and its evidence was of import for the purposes of the Court exercising its remedial powers.  I return to this topic, as well as the issue of costs, later in the judgment.</w:t>
      </w:r>
    </w:p>
    <w:p w14:paraId="0D12D03E" w14:textId="1991CBEF" w:rsidR="00CD2051" w:rsidRPr="005303F4" w:rsidRDefault="005303F4" w:rsidP="00D91DD7">
      <w:pPr>
        <w:pStyle w:val="WWList1"/>
        <w:keepNext/>
        <w:numPr>
          <w:ilvl w:val="0"/>
          <w:numId w:val="0"/>
        </w:numPr>
        <w:ind w:left="567"/>
        <w:rPr>
          <w:i/>
          <w:iCs/>
        </w:rPr>
      </w:pPr>
      <w:r w:rsidRPr="005303F4">
        <w:rPr>
          <w:i/>
          <w:iCs/>
        </w:rPr>
        <w:lastRenderedPageBreak/>
        <w:t>Who was in possession of the relevant articles?</w:t>
      </w:r>
    </w:p>
    <w:p w14:paraId="08322961" w14:textId="7345695B" w:rsidR="00CD2051" w:rsidRDefault="009728ED" w:rsidP="009728ED">
      <w:pPr>
        <w:pStyle w:val="WWList1"/>
        <w:numPr>
          <w:ilvl w:val="0"/>
          <w:numId w:val="0"/>
        </w:numPr>
        <w:tabs>
          <w:tab w:val="left" w:pos="567"/>
        </w:tabs>
        <w:ind w:left="567" w:hanging="567"/>
      </w:pPr>
      <w:r>
        <w:t>43.</w:t>
      </w:r>
      <w:r>
        <w:tab/>
      </w:r>
      <w:r w:rsidR="005303F4">
        <w:t>At the time when the relevant articles were seized by the SAPS, the relevant articles were, in my view, in the applicant's possession.  The premises were those of the applicant and its staff members operated the pharmacy.  The relevant articles consisted of the products stored or sold, or the records kept, by the pharmacy.</w:t>
      </w:r>
    </w:p>
    <w:p w14:paraId="5C56DF3F" w14:textId="378B3A39" w:rsidR="005303F4" w:rsidRDefault="009728ED" w:rsidP="009728ED">
      <w:pPr>
        <w:pStyle w:val="WWList1"/>
        <w:numPr>
          <w:ilvl w:val="0"/>
          <w:numId w:val="0"/>
        </w:numPr>
        <w:tabs>
          <w:tab w:val="left" w:pos="567"/>
        </w:tabs>
        <w:ind w:left="567" w:hanging="567"/>
      </w:pPr>
      <w:r>
        <w:t>44.</w:t>
      </w:r>
      <w:r>
        <w:tab/>
      </w:r>
      <w:r w:rsidR="006E6C66">
        <w:t>It is true that immediately prior to the seizure by the SAPS, the relevant articles, and the premises, were being inspected by SAHPRA/Council, but, while SAHPRA apparently decided to seize some or more of the relevant articles, it did not in fact do so and deferred the further fate of the articles to the SAPS, who took control of the scene.  As such, at the relevant time of dispossession, the applicant was in possession of the relevant articles.</w:t>
      </w:r>
    </w:p>
    <w:p w14:paraId="5A8AA178" w14:textId="42B93804" w:rsidR="006E6C66" w:rsidRPr="006E6C66" w:rsidRDefault="006E6C66" w:rsidP="006E6C66">
      <w:pPr>
        <w:pStyle w:val="WWList1"/>
        <w:numPr>
          <w:ilvl w:val="0"/>
          <w:numId w:val="0"/>
        </w:numPr>
        <w:ind w:left="567"/>
        <w:rPr>
          <w:i/>
          <w:iCs/>
        </w:rPr>
      </w:pPr>
      <w:r w:rsidRPr="006E6C66">
        <w:rPr>
          <w:i/>
          <w:iCs/>
        </w:rPr>
        <w:t>Who is in possession of the relevant articles now?</w:t>
      </w:r>
    </w:p>
    <w:p w14:paraId="564DBF60" w14:textId="264EC93F" w:rsidR="006E6C66" w:rsidRDefault="009728ED" w:rsidP="009728ED">
      <w:pPr>
        <w:pStyle w:val="WWList1"/>
        <w:numPr>
          <w:ilvl w:val="0"/>
          <w:numId w:val="0"/>
        </w:numPr>
        <w:tabs>
          <w:tab w:val="left" w:pos="567"/>
        </w:tabs>
        <w:ind w:left="567" w:hanging="567"/>
      </w:pPr>
      <w:r>
        <w:t>45.</w:t>
      </w:r>
      <w:r>
        <w:tab/>
      </w:r>
      <w:r w:rsidR="006E6C66">
        <w:t>On the available evidence, it is not in dispute that the SAPS is</w:t>
      </w:r>
      <w:r w:rsidR="00FA507B">
        <w:t xml:space="preserve"> presently</w:t>
      </w:r>
      <w:r w:rsidR="006E6C66">
        <w:t xml:space="preserve"> in possession of the relevant articles.</w:t>
      </w:r>
    </w:p>
    <w:p w14:paraId="4A65D191" w14:textId="1B40EBA9" w:rsidR="006E6C66" w:rsidRPr="006E6C66" w:rsidRDefault="006E6C66" w:rsidP="006E6C66">
      <w:pPr>
        <w:pStyle w:val="WWList1"/>
        <w:numPr>
          <w:ilvl w:val="0"/>
          <w:numId w:val="0"/>
        </w:numPr>
        <w:ind w:left="567"/>
        <w:rPr>
          <w:i/>
          <w:iCs/>
        </w:rPr>
      </w:pPr>
      <w:r w:rsidRPr="006E6C66">
        <w:rPr>
          <w:i/>
          <w:iCs/>
        </w:rPr>
        <w:t>Was the dispossession unlawful?</w:t>
      </w:r>
    </w:p>
    <w:p w14:paraId="49AF7BC3" w14:textId="6105605D" w:rsidR="006E6C66" w:rsidRDefault="009728ED" w:rsidP="009728ED">
      <w:pPr>
        <w:pStyle w:val="WWList1"/>
        <w:numPr>
          <w:ilvl w:val="0"/>
          <w:numId w:val="0"/>
        </w:numPr>
        <w:tabs>
          <w:tab w:val="left" w:pos="567"/>
        </w:tabs>
        <w:ind w:left="567" w:hanging="567"/>
      </w:pPr>
      <w:r>
        <w:t>46.</w:t>
      </w:r>
      <w:r>
        <w:tab/>
      </w:r>
      <w:r w:rsidR="006E6C66">
        <w:t>This is the critical element in the current matter.</w:t>
      </w:r>
    </w:p>
    <w:p w14:paraId="64F5A900" w14:textId="7D953B00" w:rsidR="006E6C66" w:rsidRDefault="009728ED" w:rsidP="009728ED">
      <w:pPr>
        <w:pStyle w:val="WWList1"/>
        <w:numPr>
          <w:ilvl w:val="0"/>
          <w:numId w:val="0"/>
        </w:numPr>
        <w:tabs>
          <w:tab w:val="left" w:pos="567"/>
        </w:tabs>
        <w:ind w:left="567" w:hanging="567"/>
      </w:pPr>
      <w:r>
        <w:t>47.</w:t>
      </w:r>
      <w:r>
        <w:tab/>
      </w:r>
      <w:r w:rsidR="006E6C66">
        <w:t>In this regard, while the evidence of SAHPRA's inspection is important as background, it is the SAPS answering affidavit (deposed to by the fourth respondent) which is key.  It must set forth a sufficient basis to satisfy the test for warrantless seizures as indicated above.</w:t>
      </w:r>
    </w:p>
    <w:p w14:paraId="398BB5C5" w14:textId="52BB7C1D" w:rsidR="006E6C66" w:rsidRDefault="009728ED" w:rsidP="009728ED">
      <w:pPr>
        <w:pStyle w:val="WWList1"/>
        <w:numPr>
          <w:ilvl w:val="0"/>
          <w:numId w:val="0"/>
        </w:numPr>
        <w:tabs>
          <w:tab w:val="left" w:pos="567"/>
        </w:tabs>
        <w:ind w:left="567" w:hanging="567"/>
      </w:pPr>
      <w:r>
        <w:t>48.</w:t>
      </w:r>
      <w:r>
        <w:tab/>
      </w:r>
      <w:r w:rsidR="006E6C66">
        <w:t>Regretfully, the affidavit is parsimonious on detail.  It speaks in vague generalities</w:t>
      </w:r>
      <w:r w:rsidR="002F011A">
        <w:t xml:space="preserve">.  It is not sufficient for the police officer seeking to justify reliance on a warrantless seizure </w:t>
      </w:r>
      <w:r w:rsidR="002F011A">
        <w:lastRenderedPageBreak/>
        <w:t>simply to restate the statutory provisions, to offer no reasoned justification for why the provisions were invoked or not to explain why the two requirements set forth in section 22(b) of the CPA are satisfied in this matter, and why the exceptional, warrantless procedure was justified in this matter.  Yet, this is precisely the nature of the answering affidavit presented by the SAPS respondents in this matter.  It falls far short of what is required and what would be expected.</w:t>
      </w:r>
    </w:p>
    <w:p w14:paraId="100E03EC" w14:textId="2839F6BD" w:rsidR="00815C03" w:rsidRDefault="009728ED" w:rsidP="009728ED">
      <w:pPr>
        <w:pStyle w:val="WWList1"/>
        <w:numPr>
          <w:ilvl w:val="0"/>
          <w:numId w:val="0"/>
        </w:numPr>
        <w:tabs>
          <w:tab w:val="left" w:pos="567"/>
        </w:tabs>
        <w:ind w:left="567" w:hanging="567"/>
      </w:pPr>
      <w:r>
        <w:t>49.</w:t>
      </w:r>
      <w:r>
        <w:tab/>
      </w:r>
      <w:r w:rsidR="002F011A">
        <w:t>It does not take this Court into the SAPS's confidence</w:t>
      </w:r>
      <w:r w:rsidR="00CA2C35">
        <w:t xml:space="preserve"> in</w:t>
      </w:r>
      <w:r w:rsidR="00815C03">
        <w:t xml:space="preserve"> </w:t>
      </w:r>
      <w:r w:rsidR="00814F10">
        <w:t xml:space="preserve">at least </w:t>
      </w:r>
      <w:r w:rsidR="00815C03">
        <w:t>the following respects:</w:t>
      </w:r>
    </w:p>
    <w:p w14:paraId="038714BB" w14:textId="7C8227B3" w:rsidR="002F011A" w:rsidRDefault="009728ED" w:rsidP="009728ED">
      <w:pPr>
        <w:pStyle w:val="WWList2"/>
        <w:numPr>
          <w:ilvl w:val="0"/>
          <w:numId w:val="0"/>
        </w:numPr>
        <w:tabs>
          <w:tab w:val="left" w:pos="1134"/>
        </w:tabs>
        <w:ind w:left="1134" w:hanging="1134"/>
      </w:pPr>
      <w:r>
        <w:t>49.1</w:t>
      </w:r>
      <w:r>
        <w:tab/>
      </w:r>
      <w:r w:rsidR="00815C03">
        <w:t>it does not explain what precise offences were being investigated by the SAPS and why the fourth respondent formed the view that the relevant articles were concerned or reasonably suspected to be concerned in, or provided evidence of or were intended to be used in</w:t>
      </w:r>
      <w:r w:rsidR="00524CA6">
        <w:t>,</w:t>
      </w:r>
      <w:r w:rsidR="00815C03">
        <w:t xml:space="preserve"> the commission of such </w:t>
      </w:r>
      <w:proofErr w:type="gramStart"/>
      <w:r w:rsidR="00815C03">
        <w:t>offences;</w:t>
      </w:r>
      <w:proofErr w:type="gramEnd"/>
      <w:r w:rsidR="00CA2C35">
        <w:t xml:space="preserve"> </w:t>
      </w:r>
    </w:p>
    <w:p w14:paraId="57FA0C79" w14:textId="5C31C5E7" w:rsidR="00815C03" w:rsidRDefault="009728ED" w:rsidP="009728ED">
      <w:pPr>
        <w:pStyle w:val="WWList3"/>
        <w:numPr>
          <w:ilvl w:val="0"/>
          <w:numId w:val="0"/>
        </w:numPr>
        <w:tabs>
          <w:tab w:val="left" w:pos="1701"/>
        </w:tabs>
        <w:ind w:left="1701" w:hanging="1701"/>
        <w:rPr>
          <w:rFonts w:eastAsiaTheme="minorHAnsi"/>
          <w:lang w:eastAsia="en-US"/>
        </w:rPr>
      </w:pPr>
      <w:r>
        <w:rPr>
          <w:rFonts w:eastAsiaTheme="minorHAnsi"/>
          <w:lang w:eastAsia="en-US"/>
        </w:rPr>
        <w:t>49.1.1</w:t>
      </w:r>
      <w:r>
        <w:rPr>
          <w:rFonts w:eastAsiaTheme="minorHAnsi"/>
          <w:lang w:eastAsia="en-US"/>
        </w:rPr>
        <w:tab/>
      </w:r>
      <w:r w:rsidR="00815C03">
        <w:rPr>
          <w:rFonts w:eastAsiaTheme="minorHAnsi"/>
          <w:lang w:eastAsia="en-US"/>
        </w:rPr>
        <w:t xml:space="preserve">It is simply not enough baldly to assert that </w:t>
      </w:r>
      <w:r w:rsidR="002F011A" w:rsidRPr="006A6ED0">
        <w:rPr>
          <w:rFonts w:eastAsiaTheme="minorHAnsi"/>
          <w:lang w:eastAsia="en-US"/>
        </w:rPr>
        <w:t>"</w:t>
      </w:r>
      <w:r w:rsidR="002F011A" w:rsidRPr="00815C03">
        <w:rPr>
          <w:rFonts w:eastAsiaTheme="minorHAnsi"/>
          <w:i/>
          <w:iCs/>
          <w:lang w:eastAsia="en-US"/>
        </w:rPr>
        <w:t>I acted on a reasonable suspicion that the cannabis items and documentary evidence I seized could possibly have been used in the commission of an offence and that the evidence had to be seized and send to a laboratory for testing.</w:t>
      </w:r>
      <w:r w:rsidR="002F011A">
        <w:rPr>
          <w:rFonts w:eastAsiaTheme="minorHAnsi"/>
          <w:lang w:eastAsia="en-US"/>
        </w:rPr>
        <w:t xml:space="preserve">" </w:t>
      </w:r>
      <w:r w:rsidR="00815C03">
        <w:rPr>
          <w:rFonts w:eastAsiaTheme="minorHAnsi"/>
          <w:lang w:eastAsia="en-US"/>
        </w:rPr>
        <w:t xml:space="preserve"> What was that offence and how were they used in this regard?</w:t>
      </w:r>
    </w:p>
    <w:p w14:paraId="3794B088" w14:textId="15B5029C" w:rsidR="00815C03" w:rsidRPr="00815C03" w:rsidRDefault="009728ED" w:rsidP="009728ED">
      <w:pPr>
        <w:pStyle w:val="WWList3"/>
        <w:numPr>
          <w:ilvl w:val="0"/>
          <w:numId w:val="0"/>
        </w:numPr>
        <w:tabs>
          <w:tab w:val="left" w:pos="1701"/>
        </w:tabs>
        <w:ind w:left="1701" w:hanging="1701"/>
        <w:rPr>
          <w:rFonts w:eastAsiaTheme="minorHAnsi"/>
          <w:lang w:eastAsia="en-US"/>
        </w:rPr>
      </w:pPr>
      <w:r w:rsidRPr="00815C03">
        <w:rPr>
          <w:rFonts w:eastAsiaTheme="minorHAnsi"/>
          <w:lang w:eastAsia="en-US"/>
        </w:rPr>
        <w:t>49.1.2</w:t>
      </w:r>
      <w:r w:rsidRPr="00815C03">
        <w:rPr>
          <w:rFonts w:eastAsiaTheme="minorHAnsi"/>
          <w:lang w:eastAsia="en-US"/>
        </w:rPr>
        <w:tab/>
      </w:r>
      <w:r w:rsidR="00815C03">
        <w:rPr>
          <w:rFonts w:eastAsiaTheme="minorHAnsi" w:cs="Arial"/>
          <w:color w:val="060606"/>
          <w:sz w:val="23"/>
          <w:szCs w:val="23"/>
          <w:lang w:eastAsia="en-US"/>
        </w:rPr>
        <w:t xml:space="preserve">The second statement was </w:t>
      </w:r>
      <w:r w:rsidR="002F011A" w:rsidRPr="00815C03">
        <w:rPr>
          <w:rFonts w:eastAsiaTheme="minorHAnsi" w:cs="Arial"/>
          <w:color w:val="060606"/>
          <w:sz w:val="23"/>
          <w:szCs w:val="23"/>
          <w:lang w:eastAsia="en-US"/>
        </w:rPr>
        <w:t>"</w:t>
      </w:r>
      <w:r w:rsidR="002F011A" w:rsidRPr="00815C03">
        <w:rPr>
          <w:rFonts w:eastAsiaTheme="minorHAnsi" w:cs="Arial"/>
          <w:i/>
          <w:iCs/>
          <w:color w:val="060606"/>
          <w:sz w:val="23"/>
          <w:szCs w:val="23"/>
          <w:lang w:eastAsia="en-US"/>
        </w:rPr>
        <w:t xml:space="preserve">We, as SAPS members, explained to the Applicant the transgressions of the law and the fact that </w:t>
      </w:r>
      <w:proofErr w:type="gramStart"/>
      <w:r w:rsidR="002F011A" w:rsidRPr="00815C03">
        <w:rPr>
          <w:rFonts w:eastAsiaTheme="minorHAnsi" w:cs="Arial"/>
          <w:i/>
          <w:iCs/>
          <w:color w:val="060606"/>
          <w:sz w:val="23"/>
          <w:szCs w:val="23"/>
          <w:lang w:eastAsia="en-US"/>
        </w:rPr>
        <w:t>their[</w:t>
      </w:r>
      <w:proofErr w:type="gramEnd"/>
      <w:r w:rsidR="002F011A" w:rsidRPr="00815C03">
        <w:rPr>
          <w:rFonts w:eastAsiaTheme="minorHAnsi" w:cs="Arial"/>
          <w:i/>
          <w:iCs/>
          <w:color w:val="060606"/>
          <w:sz w:val="23"/>
          <w:szCs w:val="23"/>
          <w:lang w:eastAsia="en-US"/>
        </w:rPr>
        <w:t xml:space="preserve"> ] operations were the manufacturing of slush puppies and sweets as well as working with </w:t>
      </w:r>
      <w:proofErr w:type="spellStart"/>
      <w:r w:rsidR="002F011A" w:rsidRPr="00815C03">
        <w:rPr>
          <w:rFonts w:eastAsiaTheme="minorHAnsi" w:cs="Arial"/>
          <w:i/>
          <w:iCs/>
          <w:color w:val="060606"/>
          <w:sz w:val="23"/>
          <w:szCs w:val="23"/>
          <w:lang w:eastAsia="en-US"/>
        </w:rPr>
        <w:t>Tetrahydrocannobinol</w:t>
      </w:r>
      <w:proofErr w:type="spellEnd"/>
      <w:r w:rsidR="002F011A" w:rsidRPr="00815C03">
        <w:rPr>
          <w:rFonts w:eastAsiaTheme="minorHAnsi" w:cs="Arial"/>
          <w:i/>
          <w:iCs/>
          <w:color w:val="060606"/>
          <w:sz w:val="23"/>
          <w:szCs w:val="23"/>
          <w:lang w:eastAsia="en-US"/>
        </w:rPr>
        <w:t xml:space="preserve"> </w:t>
      </w:r>
      <w:r w:rsidR="002F011A" w:rsidRPr="00815C03">
        <w:rPr>
          <w:rFonts w:eastAsiaTheme="minorHAnsi" w:cs="Arial"/>
          <w:i/>
          <w:iCs/>
          <w:color w:val="060606"/>
          <w:lang w:eastAsia="en-US"/>
        </w:rPr>
        <w:t xml:space="preserve">("THC") </w:t>
      </w:r>
      <w:r w:rsidR="002F011A" w:rsidRPr="00815C03">
        <w:rPr>
          <w:rFonts w:eastAsiaTheme="minorHAnsi" w:cs="Arial"/>
          <w:i/>
          <w:iCs/>
          <w:color w:val="060606"/>
          <w:sz w:val="23"/>
          <w:szCs w:val="23"/>
          <w:lang w:eastAsia="en-US"/>
        </w:rPr>
        <w:t>containing substances with no labelling</w:t>
      </w:r>
      <w:r w:rsidR="002F011A" w:rsidRPr="00815C03">
        <w:rPr>
          <w:rFonts w:eastAsiaTheme="minorHAnsi" w:cs="Arial"/>
          <w:i/>
          <w:iCs/>
          <w:color w:val="4C4C4C"/>
          <w:sz w:val="23"/>
          <w:szCs w:val="23"/>
          <w:lang w:eastAsia="en-US"/>
        </w:rPr>
        <w:t xml:space="preserve">.  I </w:t>
      </w:r>
      <w:r w:rsidR="002F011A" w:rsidRPr="00815C03">
        <w:rPr>
          <w:rFonts w:eastAsiaTheme="minorHAnsi" w:cs="Arial"/>
          <w:i/>
          <w:iCs/>
          <w:color w:val="060606"/>
          <w:sz w:val="23"/>
          <w:szCs w:val="23"/>
          <w:lang w:eastAsia="en-US"/>
        </w:rPr>
        <w:t>respectfully submit the Applicant was fully informed about the purpose for our presence and actions.</w:t>
      </w:r>
      <w:r w:rsidR="002F011A" w:rsidRPr="00815C03">
        <w:rPr>
          <w:rFonts w:eastAsiaTheme="minorHAnsi" w:cs="Arial"/>
          <w:color w:val="060606"/>
          <w:sz w:val="23"/>
          <w:szCs w:val="23"/>
          <w:lang w:eastAsia="en-US"/>
        </w:rPr>
        <w:t>"</w:t>
      </w:r>
      <w:r w:rsidR="00815C03">
        <w:rPr>
          <w:rFonts w:eastAsiaTheme="minorHAnsi" w:cs="Arial"/>
          <w:color w:val="060606"/>
          <w:sz w:val="23"/>
          <w:szCs w:val="23"/>
          <w:lang w:eastAsia="en-US"/>
        </w:rPr>
        <w:t xml:space="preserve">  Again, it is unclear what offence is being committed (how the manufacturing of slush puppies or sweets is an offence) and the relevance of the relevant articles to that offence.</w:t>
      </w:r>
    </w:p>
    <w:p w14:paraId="34634FCC" w14:textId="4B3A46A5" w:rsidR="002F011A" w:rsidRPr="00815C03" w:rsidRDefault="009728ED" w:rsidP="009728ED">
      <w:pPr>
        <w:pStyle w:val="WWList3"/>
        <w:numPr>
          <w:ilvl w:val="0"/>
          <w:numId w:val="0"/>
        </w:numPr>
        <w:tabs>
          <w:tab w:val="left" w:pos="1701"/>
        </w:tabs>
        <w:ind w:left="1701" w:hanging="1701"/>
        <w:rPr>
          <w:rFonts w:eastAsiaTheme="minorHAnsi"/>
          <w:lang w:eastAsia="en-US"/>
        </w:rPr>
      </w:pPr>
      <w:r w:rsidRPr="00815C03">
        <w:rPr>
          <w:rFonts w:eastAsiaTheme="minorHAnsi"/>
          <w:lang w:eastAsia="en-US"/>
        </w:rPr>
        <w:lastRenderedPageBreak/>
        <w:t>49.1.3</w:t>
      </w:r>
      <w:r w:rsidRPr="00815C03">
        <w:rPr>
          <w:rFonts w:eastAsiaTheme="minorHAnsi"/>
          <w:lang w:eastAsia="en-US"/>
        </w:rPr>
        <w:tab/>
      </w:r>
      <w:r w:rsidR="00815C03">
        <w:rPr>
          <w:rFonts w:eastAsiaTheme="minorHAnsi" w:cs="Arial"/>
          <w:color w:val="060606"/>
          <w:sz w:val="23"/>
          <w:szCs w:val="23"/>
          <w:lang w:eastAsia="en-US"/>
        </w:rPr>
        <w:t xml:space="preserve">The SAPS also alleges that </w:t>
      </w:r>
      <w:r w:rsidR="002F011A" w:rsidRPr="00815C03">
        <w:rPr>
          <w:rFonts w:eastAsiaTheme="minorHAnsi" w:cs="Arial"/>
          <w:color w:val="060606"/>
          <w:sz w:val="23"/>
          <w:szCs w:val="23"/>
          <w:lang w:eastAsia="en-US"/>
        </w:rPr>
        <w:t>"</w:t>
      </w:r>
      <w:r w:rsidR="002F011A" w:rsidRPr="00815C03">
        <w:rPr>
          <w:rFonts w:eastAsiaTheme="minorHAnsi" w:cs="Arial"/>
          <w:i/>
          <w:iCs/>
          <w:color w:val="050505"/>
          <w:sz w:val="23"/>
          <w:szCs w:val="23"/>
          <w:lang w:eastAsia="en-US"/>
        </w:rPr>
        <w:t>cannabis products were bought in bulk and repacked.  This illegal activity, I am advised, falls outside the licensing of the Applicant.</w:t>
      </w:r>
      <w:r w:rsidR="002F011A" w:rsidRPr="00815C03">
        <w:rPr>
          <w:rFonts w:eastAsiaTheme="minorHAnsi" w:cs="Arial"/>
          <w:color w:val="050505"/>
          <w:sz w:val="23"/>
          <w:szCs w:val="23"/>
          <w:lang w:eastAsia="en-US"/>
        </w:rPr>
        <w:t>"</w:t>
      </w:r>
      <w:r w:rsidR="00815C03">
        <w:rPr>
          <w:rFonts w:eastAsiaTheme="minorHAnsi" w:cs="Arial"/>
          <w:color w:val="050505"/>
          <w:sz w:val="23"/>
          <w:szCs w:val="23"/>
          <w:lang w:eastAsia="en-US"/>
        </w:rPr>
        <w:t xml:space="preserve">  It is not explained what offence is being committed an</w:t>
      </w:r>
      <w:r w:rsidR="008926F5">
        <w:rPr>
          <w:rFonts w:eastAsiaTheme="minorHAnsi" w:cs="Arial"/>
          <w:color w:val="050505"/>
          <w:sz w:val="23"/>
          <w:szCs w:val="23"/>
          <w:lang w:eastAsia="en-US"/>
        </w:rPr>
        <w:t>d on what basis such a conclusion is reached</w:t>
      </w:r>
      <w:r w:rsidR="00815C03">
        <w:rPr>
          <w:rFonts w:eastAsiaTheme="minorHAnsi" w:cs="Arial"/>
          <w:color w:val="050505"/>
          <w:sz w:val="23"/>
          <w:szCs w:val="23"/>
          <w:lang w:eastAsia="en-US"/>
        </w:rPr>
        <w:t>.</w:t>
      </w:r>
    </w:p>
    <w:p w14:paraId="06EF7D8C" w14:textId="391DE72C" w:rsidR="00815C03" w:rsidRDefault="009728ED" w:rsidP="009728ED">
      <w:pPr>
        <w:pStyle w:val="WWList3"/>
        <w:numPr>
          <w:ilvl w:val="0"/>
          <w:numId w:val="0"/>
        </w:numPr>
        <w:tabs>
          <w:tab w:val="left" w:pos="1701"/>
        </w:tabs>
        <w:ind w:left="1701" w:hanging="1701"/>
        <w:rPr>
          <w:rFonts w:eastAsiaTheme="minorHAnsi"/>
          <w:lang w:eastAsia="en-US"/>
        </w:rPr>
      </w:pPr>
      <w:r>
        <w:rPr>
          <w:rFonts w:eastAsiaTheme="minorHAnsi"/>
          <w:lang w:eastAsia="en-US"/>
        </w:rPr>
        <w:t>49.1.4</w:t>
      </w:r>
      <w:r>
        <w:rPr>
          <w:rFonts w:eastAsiaTheme="minorHAnsi"/>
          <w:lang w:eastAsia="en-US"/>
        </w:rPr>
        <w:tab/>
      </w:r>
      <w:r w:rsidR="00815C03">
        <w:rPr>
          <w:rFonts w:eastAsiaTheme="minorHAnsi" w:cs="Arial"/>
          <w:color w:val="060606"/>
          <w:sz w:val="23"/>
          <w:szCs w:val="23"/>
          <w:lang w:eastAsia="en-US"/>
        </w:rPr>
        <w:t>I agree that the SAPS may well have been entitled to rely for its suspicion of illegal activity on the evidence or statements provided by SAHPRA.</w:t>
      </w:r>
      <w:r w:rsidR="00815C03">
        <w:rPr>
          <w:rFonts w:eastAsiaTheme="minorHAnsi"/>
          <w:lang w:eastAsia="en-US"/>
        </w:rPr>
        <w:t xml:space="preserve">  But the </w:t>
      </w:r>
      <w:proofErr w:type="spellStart"/>
      <w:r w:rsidR="00815C03">
        <w:rPr>
          <w:rFonts w:eastAsiaTheme="minorHAnsi"/>
          <w:lang w:eastAsia="en-US"/>
        </w:rPr>
        <w:t>the</w:t>
      </w:r>
      <w:proofErr w:type="spellEnd"/>
      <w:r w:rsidR="00815C03">
        <w:rPr>
          <w:rFonts w:eastAsiaTheme="minorHAnsi"/>
          <w:lang w:eastAsia="en-US"/>
        </w:rPr>
        <w:t xml:space="preserve"> fourth respondent does not provide any detail as to what findings of SAHPRA, if any, he </w:t>
      </w:r>
      <w:proofErr w:type="gramStart"/>
      <w:r w:rsidR="00815C03">
        <w:rPr>
          <w:rFonts w:eastAsiaTheme="minorHAnsi"/>
          <w:lang w:eastAsia="en-US"/>
        </w:rPr>
        <w:t>actually relied</w:t>
      </w:r>
      <w:proofErr w:type="gramEnd"/>
      <w:r w:rsidR="00815C03">
        <w:rPr>
          <w:rFonts w:eastAsiaTheme="minorHAnsi"/>
          <w:lang w:eastAsia="en-US"/>
        </w:rPr>
        <w:t xml:space="preserve"> on</w:t>
      </w:r>
      <w:r w:rsidR="00CD3AD2">
        <w:rPr>
          <w:rFonts w:eastAsiaTheme="minorHAnsi"/>
          <w:lang w:eastAsia="en-US"/>
        </w:rPr>
        <w:t>,</w:t>
      </w:r>
      <w:r w:rsidR="00815C03">
        <w:rPr>
          <w:rFonts w:eastAsiaTheme="minorHAnsi"/>
          <w:lang w:eastAsia="en-US"/>
        </w:rPr>
        <w:t xml:space="preserve"> on what basis he</w:t>
      </w:r>
      <w:r w:rsidR="0029782B">
        <w:rPr>
          <w:rFonts w:eastAsiaTheme="minorHAnsi"/>
          <w:lang w:eastAsia="en-US"/>
        </w:rPr>
        <w:t xml:space="preserve"> </w:t>
      </w:r>
      <w:r w:rsidR="00815C03">
        <w:rPr>
          <w:rFonts w:eastAsiaTheme="minorHAnsi"/>
          <w:lang w:eastAsia="en-US"/>
        </w:rPr>
        <w:t>believed</w:t>
      </w:r>
      <w:r w:rsidR="0029782B">
        <w:rPr>
          <w:rFonts w:eastAsiaTheme="minorHAnsi"/>
          <w:lang w:eastAsia="en-US"/>
        </w:rPr>
        <w:t xml:space="preserve"> that there was </w:t>
      </w:r>
      <w:r w:rsidR="0029782B" w:rsidRPr="0029782B">
        <w:rPr>
          <w:rFonts w:eastAsiaTheme="minorHAnsi"/>
          <w:i/>
          <w:iCs/>
          <w:lang w:eastAsia="en-US"/>
        </w:rPr>
        <w:t>prima facie</w:t>
      </w:r>
      <w:r w:rsidR="0029782B">
        <w:rPr>
          <w:rFonts w:eastAsiaTheme="minorHAnsi"/>
          <w:lang w:eastAsia="en-US"/>
        </w:rPr>
        <w:t xml:space="preserve"> proof of criminal activity and how the relevant articles were related to this.</w:t>
      </w:r>
      <w:r w:rsidR="00815C03">
        <w:rPr>
          <w:rFonts w:eastAsiaTheme="minorHAnsi"/>
          <w:lang w:eastAsia="en-US"/>
        </w:rPr>
        <w:t xml:space="preserve"> </w:t>
      </w:r>
      <w:r w:rsidR="0029782B">
        <w:rPr>
          <w:rFonts w:eastAsiaTheme="minorHAnsi"/>
          <w:lang w:eastAsia="en-US"/>
        </w:rPr>
        <w:t xml:space="preserve"> This is all critical information for the purposes of justifying the invocation of the warrantless seizure procedure.</w:t>
      </w:r>
    </w:p>
    <w:p w14:paraId="5170485B" w14:textId="72BC33D8" w:rsidR="0029782B" w:rsidRPr="00D04471" w:rsidRDefault="009728ED" w:rsidP="009728ED">
      <w:pPr>
        <w:pStyle w:val="WWList2"/>
        <w:numPr>
          <w:ilvl w:val="0"/>
          <w:numId w:val="0"/>
        </w:numPr>
        <w:tabs>
          <w:tab w:val="left" w:pos="1134"/>
        </w:tabs>
        <w:ind w:left="1134" w:hanging="1134"/>
        <w:rPr>
          <w:rFonts w:eastAsiaTheme="minorHAnsi"/>
          <w:lang w:eastAsia="en-US"/>
        </w:rPr>
      </w:pPr>
      <w:r w:rsidRPr="00D04471">
        <w:rPr>
          <w:rFonts w:eastAsiaTheme="minorHAnsi"/>
          <w:lang w:eastAsia="en-US"/>
        </w:rPr>
        <w:t>49.2</w:t>
      </w:r>
      <w:r w:rsidRPr="00D04471">
        <w:rPr>
          <w:rFonts w:eastAsiaTheme="minorHAnsi"/>
          <w:lang w:eastAsia="en-US"/>
        </w:rPr>
        <w:tab/>
      </w:r>
      <w:r w:rsidR="0029782B">
        <w:rPr>
          <w:rFonts w:eastAsiaTheme="minorHAnsi"/>
          <w:lang w:eastAsia="en-US"/>
        </w:rPr>
        <w:t xml:space="preserve">Similarly absent from the SAPS answering affidavit is </w:t>
      </w:r>
      <w:r w:rsidR="00765824">
        <w:rPr>
          <w:rFonts w:eastAsiaTheme="minorHAnsi"/>
          <w:lang w:eastAsia="en-US"/>
        </w:rPr>
        <w:t>any attempt to explain how the two requirements of section 22(b) are satisfied.  This may be unsurprising, as the SAPS appears to have been oblivious to the fact that, in addition to section</w:t>
      </w:r>
      <w:r w:rsidR="00AE4E57">
        <w:rPr>
          <w:rFonts w:eastAsiaTheme="minorHAnsi"/>
          <w:lang w:eastAsia="en-US"/>
        </w:rPr>
        <w:t>s</w:t>
      </w:r>
      <w:r w:rsidR="00765824">
        <w:rPr>
          <w:rFonts w:eastAsiaTheme="minorHAnsi"/>
          <w:lang w:eastAsia="en-US"/>
        </w:rPr>
        <w:t xml:space="preserve"> 20 and 26, </w:t>
      </w:r>
      <w:r w:rsidR="00F64634">
        <w:rPr>
          <w:rFonts w:eastAsiaTheme="minorHAnsi"/>
          <w:lang w:eastAsia="en-US"/>
        </w:rPr>
        <w:t xml:space="preserve">the police official in question had to satisfy himself and the </w:t>
      </w:r>
      <w:r w:rsidR="00D04471">
        <w:rPr>
          <w:rFonts w:eastAsiaTheme="minorHAnsi"/>
          <w:lang w:eastAsia="en-US"/>
        </w:rPr>
        <w:t>C</w:t>
      </w:r>
      <w:r w:rsidR="00F64634">
        <w:rPr>
          <w:rFonts w:eastAsiaTheme="minorHAnsi"/>
          <w:lang w:eastAsia="en-US"/>
        </w:rPr>
        <w:t>ourt</w:t>
      </w:r>
      <w:r w:rsidR="00D04471">
        <w:rPr>
          <w:rFonts w:eastAsiaTheme="minorHAnsi"/>
          <w:lang w:eastAsia="en-US"/>
        </w:rPr>
        <w:t xml:space="preserve"> that he had reasonable grounds to believe "</w:t>
      </w:r>
      <w:r w:rsidR="00D04471" w:rsidRPr="00D04471">
        <w:rPr>
          <w:i/>
          <w:iCs/>
        </w:rPr>
        <w:t>that a search warrant will be issued to him under paragraph (a) of section 21(1) if he applies for such warrant; and that the delay in obtaining such warrant would defeat the object of the search.</w:t>
      </w:r>
      <w:r w:rsidR="00D04471">
        <w:t>"  Nothing is said on this score at all in the answering papers.  These sections require the police official</w:t>
      </w:r>
      <w:r w:rsidR="00814F10">
        <w:t xml:space="preserve"> in question (in the current matter, the fourth respondent)</w:t>
      </w:r>
      <w:r w:rsidR="00D04471">
        <w:t xml:space="preserve"> to set forth the reasoning in sufficient detail for the Court to conclude that he indeed had reasonable grounds which founded his belief.  This means setting </w:t>
      </w:r>
      <w:r w:rsidR="00AE4E57">
        <w:t>out</w:t>
      </w:r>
      <w:r w:rsidR="00814F10">
        <w:t xml:space="preserve"> clearly</w:t>
      </w:r>
      <w:r w:rsidR="00D04471">
        <w:t xml:space="preserve"> the facts underlying the conclusions he reached as well as the </w:t>
      </w:r>
      <w:r w:rsidR="00D04471">
        <w:lastRenderedPageBreak/>
        <w:t>reasoning process whereby those conclusions were reached.</w:t>
      </w:r>
      <w:r w:rsidR="00814F10">
        <w:rPr>
          <w:rStyle w:val="FootnoteReference"/>
        </w:rPr>
        <w:footnoteReference w:id="11"/>
      </w:r>
      <w:r w:rsidR="00F64634" w:rsidRPr="00D04471">
        <w:rPr>
          <w:rFonts w:eastAsiaTheme="minorHAnsi"/>
          <w:lang w:eastAsia="en-US"/>
        </w:rPr>
        <w:t xml:space="preserve"> </w:t>
      </w:r>
      <w:r w:rsidR="002750EC">
        <w:rPr>
          <w:rFonts w:eastAsiaTheme="minorHAnsi"/>
          <w:lang w:eastAsia="en-US"/>
        </w:rPr>
        <w:t xml:space="preserve"> The test for the reasonableness of the grounds on which the police official relies is objective and justiciable.</w:t>
      </w:r>
      <w:r w:rsidR="002750EC">
        <w:rPr>
          <w:rStyle w:val="FootnoteReference"/>
          <w:rFonts w:eastAsiaTheme="minorHAnsi"/>
          <w:lang w:eastAsia="en-US"/>
        </w:rPr>
        <w:footnoteReference w:id="12"/>
      </w:r>
    </w:p>
    <w:p w14:paraId="6DC6471C" w14:textId="45694656" w:rsidR="002F011A" w:rsidRDefault="009728ED" w:rsidP="009728ED">
      <w:pPr>
        <w:pStyle w:val="WWList1"/>
        <w:numPr>
          <w:ilvl w:val="0"/>
          <w:numId w:val="0"/>
        </w:numPr>
        <w:tabs>
          <w:tab w:val="left" w:pos="567"/>
        </w:tabs>
        <w:ind w:left="567" w:hanging="567"/>
      </w:pPr>
      <w:r>
        <w:t>50.</w:t>
      </w:r>
      <w:r>
        <w:tab/>
      </w:r>
      <w:r w:rsidR="00814F10">
        <w:t>Unfortunately, the SAPS answering papers are laconic and</w:t>
      </w:r>
      <w:r w:rsidR="002750EC">
        <w:t>, at best, Delphic,</w:t>
      </w:r>
      <w:r w:rsidR="00814F10">
        <w:t xml:space="preserve"> and do not assist this Court to </w:t>
      </w:r>
      <w:proofErr w:type="gramStart"/>
      <w:r w:rsidR="00814F10">
        <w:t>come to a conclusion</w:t>
      </w:r>
      <w:proofErr w:type="gramEnd"/>
      <w:r w:rsidR="00814F10">
        <w:t xml:space="preserve"> that </w:t>
      </w:r>
      <w:r w:rsidR="002750EC">
        <w:t>the</w:t>
      </w:r>
      <w:r w:rsidR="00814F10">
        <w:t xml:space="preserve"> warrantless seizure was executed in accordance with the requirements in chapter 2 of the CPA.</w:t>
      </w:r>
    </w:p>
    <w:p w14:paraId="441D6F3F" w14:textId="67C32B84" w:rsidR="00BC70D0" w:rsidRPr="00D91DD7" w:rsidRDefault="009728ED" w:rsidP="009728ED">
      <w:pPr>
        <w:pStyle w:val="WWList1"/>
        <w:numPr>
          <w:ilvl w:val="0"/>
          <w:numId w:val="0"/>
        </w:numPr>
        <w:tabs>
          <w:tab w:val="left" w:pos="567"/>
        </w:tabs>
        <w:ind w:left="567" w:hanging="567"/>
      </w:pPr>
      <w:r w:rsidRPr="00D91DD7">
        <w:t>51.</w:t>
      </w:r>
      <w:r w:rsidRPr="00D91DD7">
        <w:tab/>
      </w:r>
      <w:r w:rsidR="002750EC">
        <w:t>In those circumstances, the seizure</w:t>
      </w:r>
      <w:r w:rsidR="00B5191E">
        <w:t>, and dispossession,</w:t>
      </w:r>
      <w:r w:rsidR="002750EC">
        <w:t xml:space="preserve"> of the </w:t>
      </w:r>
      <w:r w:rsidR="00B5191E">
        <w:t>relevant articles by the SAPS was unlawful.</w:t>
      </w:r>
    </w:p>
    <w:p w14:paraId="0B53492D" w14:textId="5F78F27E" w:rsidR="00B5191E" w:rsidRPr="00B5191E" w:rsidRDefault="00976370" w:rsidP="00B5191E">
      <w:pPr>
        <w:pStyle w:val="WWList1"/>
        <w:numPr>
          <w:ilvl w:val="0"/>
          <w:numId w:val="0"/>
        </w:numPr>
        <w:rPr>
          <w:b/>
          <w:bCs/>
          <w:u w:val="single"/>
        </w:rPr>
      </w:pPr>
      <w:r>
        <w:rPr>
          <w:b/>
          <w:bCs/>
          <w:u w:val="single"/>
        </w:rPr>
        <w:t>Concurrence of investigative mandates</w:t>
      </w:r>
      <w:r w:rsidR="00894AE9">
        <w:rPr>
          <w:b/>
          <w:bCs/>
          <w:u w:val="single"/>
        </w:rPr>
        <w:t xml:space="preserve"> and appropriate</w:t>
      </w:r>
      <w:r>
        <w:rPr>
          <w:b/>
          <w:bCs/>
          <w:u w:val="single"/>
        </w:rPr>
        <w:t xml:space="preserve"> r</w:t>
      </w:r>
      <w:r w:rsidR="00B5191E" w:rsidRPr="00B5191E">
        <w:rPr>
          <w:b/>
          <w:bCs/>
          <w:u w:val="single"/>
        </w:rPr>
        <w:t>emedy</w:t>
      </w:r>
    </w:p>
    <w:p w14:paraId="09DEBC3E" w14:textId="5206BE66" w:rsidR="00D63A33" w:rsidRDefault="009728ED" w:rsidP="009728ED">
      <w:pPr>
        <w:pStyle w:val="WWList1"/>
        <w:numPr>
          <w:ilvl w:val="0"/>
          <w:numId w:val="0"/>
        </w:numPr>
        <w:tabs>
          <w:tab w:val="left" w:pos="567"/>
        </w:tabs>
        <w:ind w:left="567" w:hanging="567"/>
      </w:pPr>
      <w:r>
        <w:t>52.</w:t>
      </w:r>
      <w:r>
        <w:tab/>
      </w:r>
      <w:r w:rsidR="00B5191E">
        <w:t>This, however, is not the end of the matter</w:t>
      </w:r>
      <w:r w:rsidR="00D91DD7">
        <w:t xml:space="preserve">.  The </w:t>
      </w:r>
      <w:r w:rsidR="00BC70D0">
        <w:t xml:space="preserve">Court is empowered in all constitutional matters to grant an order which is just and equitable.  </w:t>
      </w:r>
      <w:r w:rsidR="00D63A33">
        <w:t xml:space="preserve">The Court's assessment of what justice and equity demands must be made </w:t>
      </w:r>
      <w:proofErr w:type="gramStart"/>
      <w:r w:rsidR="00D63A33">
        <w:t>taking into account</w:t>
      </w:r>
      <w:proofErr w:type="gramEnd"/>
      <w:r w:rsidR="00D63A33">
        <w:t xml:space="preserve"> all the relevant circumstances.  For example, this "</w:t>
      </w:r>
      <w:r w:rsidR="00BC70D0" w:rsidRPr="00D63A33">
        <w:rPr>
          <w:i/>
          <w:iCs/>
        </w:rPr>
        <w:t>ample and flexible remedial jurisdiction in constitutional disputes permits a court to forge an order that would place substance above mere form</w:t>
      </w:r>
      <w:r w:rsidR="00D63A33">
        <w:t>".</w:t>
      </w:r>
      <w:r w:rsidR="00D63A33">
        <w:rPr>
          <w:rStyle w:val="FootnoteReference"/>
        </w:rPr>
        <w:footnoteReference w:id="13"/>
      </w:r>
      <w:r w:rsidR="00D63A33">
        <w:t xml:space="preserve">  The Court often </w:t>
      </w:r>
      <w:r w:rsidR="0024528B">
        <w:t>crafts</w:t>
      </w:r>
      <w:r w:rsidR="00D63A33">
        <w:t xml:space="preserve"> a remedy to suit the circumstances of the case to ensure that just and equitable relief is issued.</w:t>
      </w:r>
      <w:r w:rsidR="00BC70D0" w:rsidRPr="00BC70D0">
        <w:t xml:space="preserve"> </w:t>
      </w:r>
    </w:p>
    <w:p w14:paraId="2C24E942" w14:textId="5DBDB648" w:rsidR="002A7086" w:rsidRDefault="009728ED" w:rsidP="009728ED">
      <w:pPr>
        <w:pStyle w:val="WWList1"/>
        <w:numPr>
          <w:ilvl w:val="0"/>
          <w:numId w:val="0"/>
        </w:numPr>
        <w:tabs>
          <w:tab w:val="left" w:pos="567"/>
        </w:tabs>
        <w:ind w:left="567" w:hanging="567"/>
      </w:pPr>
      <w:r>
        <w:t>53.</w:t>
      </w:r>
      <w:r>
        <w:tab/>
      </w:r>
      <w:r w:rsidR="002A7086">
        <w:t>Ordinarily, in spoliation cases, the standard remedy is a return of the property to the despoiled party</w:t>
      </w:r>
      <w:r w:rsidR="003D6CFD">
        <w:t xml:space="preserve"> before any assessment of the merits of the applicant's possession</w:t>
      </w:r>
      <w:r w:rsidR="00DA66BA">
        <w:t>.</w:t>
      </w:r>
      <w:r w:rsidR="002A7086">
        <w:rPr>
          <w:rStyle w:val="FootnoteReference"/>
        </w:rPr>
        <w:footnoteReference w:id="14"/>
      </w:r>
      <w:r w:rsidR="00DA66BA">
        <w:t xml:space="preserve"> The Constitutional Court in </w:t>
      </w:r>
      <w:proofErr w:type="spellStart"/>
      <w:r w:rsidR="00DA66BA" w:rsidRPr="006024F7">
        <w:rPr>
          <w:i/>
          <w:iCs/>
          <w:lang w:val="en-US"/>
        </w:rPr>
        <w:t>Ngqukumba</w:t>
      </w:r>
      <w:proofErr w:type="spellEnd"/>
      <w:r w:rsidR="00DA66BA">
        <w:rPr>
          <w:i/>
          <w:iCs/>
          <w:lang w:val="en-US"/>
        </w:rPr>
        <w:t xml:space="preserve"> </w:t>
      </w:r>
      <w:r w:rsidR="00DA66BA">
        <w:rPr>
          <w:lang w:val="en-US"/>
        </w:rPr>
        <w:t>stated that "</w:t>
      </w:r>
      <w:r w:rsidR="00DA66BA" w:rsidRPr="00DA66BA">
        <w:rPr>
          <w:i/>
          <w:iCs/>
          <w:lang w:val="en-US"/>
        </w:rPr>
        <w:t xml:space="preserve">[s]elf help is so repugnant to our </w:t>
      </w:r>
      <w:r w:rsidR="00DA66BA" w:rsidRPr="00DA66BA">
        <w:rPr>
          <w:i/>
          <w:iCs/>
          <w:lang w:val="en-US"/>
        </w:rPr>
        <w:lastRenderedPageBreak/>
        <w:t>constitutional values that where it has been resorted to in despoiling someone, it must be purged before any enquiry into the lawfulness of the possession of the person despoiled.</w:t>
      </w:r>
      <w:r w:rsidR="00DA66BA">
        <w:rPr>
          <w:lang w:val="en-US"/>
        </w:rPr>
        <w:t>"</w:t>
      </w:r>
      <w:r w:rsidR="00DA66BA">
        <w:rPr>
          <w:rStyle w:val="FootnoteReference"/>
          <w:lang w:val="en-US"/>
        </w:rPr>
        <w:footnoteReference w:id="15"/>
      </w:r>
      <w:r w:rsidR="00DA66BA">
        <w:rPr>
          <w:lang w:val="en-US"/>
        </w:rPr>
        <w:t xml:space="preserve">  That appears to be the default position as between the dispute between the despoiler and the despoiled.</w:t>
      </w:r>
    </w:p>
    <w:p w14:paraId="37FA6020" w14:textId="7E8C0C38" w:rsidR="00976370" w:rsidRDefault="009728ED" w:rsidP="009728ED">
      <w:pPr>
        <w:pStyle w:val="WWList1"/>
        <w:numPr>
          <w:ilvl w:val="0"/>
          <w:numId w:val="0"/>
        </w:numPr>
        <w:tabs>
          <w:tab w:val="left" w:pos="567"/>
        </w:tabs>
        <w:ind w:left="567" w:hanging="567"/>
      </w:pPr>
      <w:r>
        <w:t>54.</w:t>
      </w:r>
      <w:r>
        <w:tab/>
      </w:r>
      <w:r w:rsidR="00D63A33">
        <w:t>It is</w:t>
      </w:r>
      <w:r w:rsidR="007C7AA1">
        <w:t>, however,</w:t>
      </w:r>
      <w:r w:rsidR="00D63A33">
        <w:t xml:space="preserve"> important to note that the facts in this case are somewhat different from many spoliation cases.  There is not only a concurrence of regulatory or enforcement mandates over the same premises, products and set of facts, but SAHPRA as the regulator in fact conducted a lawful inspection of the premises and the applicant, has set forth in detail in its report the transgressions </w:t>
      </w:r>
      <w:r w:rsidR="00976370">
        <w:t xml:space="preserve">by the applicant </w:t>
      </w:r>
      <w:r w:rsidR="00D63A33">
        <w:t>of the legislative framework which it has identified</w:t>
      </w:r>
      <w:r w:rsidR="00976370">
        <w:t xml:space="preserve">, has made a decision </w:t>
      </w:r>
      <w:r w:rsidR="00575A87">
        <w:t xml:space="preserve">to seize some or all of the relevant articles </w:t>
      </w:r>
      <w:r w:rsidR="00976370">
        <w:t xml:space="preserve">on the basis of what it has observed and found, but deferred action on the relevant articles on account of its referral of the matter for criminal investigation and action to the SAPS.  The SAHPRA report clearly details what was observed, </w:t>
      </w:r>
      <w:r w:rsidR="0083502F">
        <w:t xml:space="preserve">and </w:t>
      </w:r>
      <w:r w:rsidR="00976370">
        <w:t xml:space="preserve">how this materially deviates from the standards required of the applicant and enshrined in legislation.  </w:t>
      </w:r>
      <w:r w:rsidR="007C7AA1">
        <w:t>Once the relevant articles were seized by the SAPS, SAHPRA was no longer (practically, and in all probability in law) in a position to exercise its seizure powers in terms of section 28 of the Medicines Act.</w:t>
      </w:r>
    </w:p>
    <w:p w14:paraId="76AD6783" w14:textId="3CC577A7" w:rsidR="00976370" w:rsidRDefault="009728ED" w:rsidP="009728ED">
      <w:pPr>
        <w:pStyle w:val="WWList1"/>
        <w:numPr>
          <w:ilvl w:val="0"/>
          <w:numId w:val="0"/>
        </w:numPr>
        <w:tabs>
          <w:tab w:val="left" w:pos="567"/>
        </w:tabs>
        <w:ind w:left="567" w:hanging="567"/>
      </w:pPr>
      <w:r>
        <w:t>55.</w:t>
      </w:r>
      <w:r>
        <w:tab/>
      </w:r>
      <w:r w:rsidR="00976370">
        <w:t>SAHPRA requested that, in case this Court decides to uphold the spoliation application, this Court should order that such of the relevant articles as</w:t>
      </w:r>
      <w:r w:rsidR="007C7AA1">
        <w:t xml:space="preserve"> would otherwise have to</w:t>
      </w:r>
      <w:r w:rsidR="00976370">
        <w:t xml:space="preserve"> be handed back to the applicant are handed over to SAHPRA. </w:t>
      </w:r>
    </w:p>
    <w:p w14:paraId="384F5AE0" w14:textId="3D2B2F61" w:rsidR="00145D1F" w:rsidRDefault="009728ED" w:rsidP="009728ED">
      <w:pPr>
        <w:pStyle w:val="WWList1"/>
        <w:numPr>
          <w:ilvl w:val="0"/>
          <w:numId w:val="0"/>
        </w:numPr>
        <w:tabs>
          <w:tab w:val="left" w:pos="567"/>
        </w:tabs>
        <w:ind w:left="567" w:hanging="567"/>
      </w:pPr>
      <w:r>
        <w:t>56.</w:t>
      </w:r>
      <w:r>
        <w:tab/>
      </w:r>
      <w:r w:rsidR="00976370">
        <w:t xml:space="preserve">I do not think that it would be appropriate for me, especially in the absence of a </w:t>
      </w:r>
      <w:proofErr w:type="gramStart"/>
      <w:r w:rsidR="00976370">
        <w:t>counter-application</w:t>
      </w:r>
      <w:proofErr w:type="gramEnd"/>
      <w:r w:rsidR="00976370">
        <w:t xml:space="preserve"> by SAHPRA, and full pleading on the point, to order the transfer of the relevant articles </w:t>
      </w:r>
      <w:proofErr w:type="spellStart"/>
      <w:r w:rsidR="00976370" w:rsidRPr="00976370">
        <w:rPr>
          <w:i/>
          <w:iCs/>
        </w:rPr>
        <w:t>en</w:t>
      </w:r>
      <w:proofErr w:type="spellEnd"/>
      <w:r w:rsidR="00976370" w:rsidRPr="00976370">
        <w:rPr>
          <w:i/>
          <w:iCs/>
        </w:rPr>
        <w:t xml:space="preserve"> masse</w:t>
      </w:r>
      <w:r w:rsidR="00976370">
        <w:t xml:space="preserve"> to SAHPRA.  </w:t>
      </w:r>
      <w:r w:rsidR="00145D1F">
        <w:t xml:space="preserve">The facts pertaining to the </w:t>
      </w:r>
      <w:r w:rsidR="00145D1F">
        <w:lastRenderedPageBreak/>
        <w:t>SAHPRA/Council inspection</w:t>
      </w:r>
      <w:r w:rsidR="007C7AA1">
        <w:t xml:space="preserve"> and role</w:t>
      </w:r>
      <w:r w:rsidR="00145D1F">
        <w:t>, as set forth above, are, however, not without significance.</w:t>
      </w:r>
    </w:p>
    <w:p w14:paraId="496E278D" w14:textId="1E76586E" w:rsidR="005A6989" w:rsidRDefault="009728ED" w:rsidP="009728ED">
      <w:pPr>
        <w:pStyle w:val="WWList1"/>
        <w:numPr>
          <w:ilvl w:val="0"/>
          <w:numId w:val="0"/>
        </w:numPr>
        <w:tabs>
          <w:tab w:val="left" w:pos="567"/>
        </w:tabs>
        <w:ind w:left="567" w:hanging="567"/>
      </w:pPr>
      <w:r>
        <w:t>57.</w:t>
      </w:r>
      <w:r>
        <w:tab/>
      </w:r>
      <w:r w:rsidR="00145D1F">
        <w:t xml:space="preserve">It seems to me that where there are concurrent inspection and seizure mandates and particularly where one agency, such as SAHPRA, </w:t>
      </w:r>
      <w:r w:rsidR="007C7AA1">
        <w:t>(</w:t>
      </w:r>
      <w:proofErr w:type="spellStart"/>
      <w:r w:rsidR="007C7AA1">
        <w:t>i</w:t>
      </w:r>
      <w:proofErr w:type="spellEnd"/>
      <w:r w:rsidR="007C7AA1">
        <w:t xml:space="preserve">) </w:t>
      </w:r>
      <w:r w:rsidR="00145D1F">
        <w:t xml:space="preserve">has already conducted an inspection, which has not been impugned, and </w:t>
      </w:r>
      <w:r w:rsidR="007C7AA1">
        <w:t xml:space="preserve">(ii) </w:t>
      </w:r>
      <w:r w:rsidR="00145D1F">
        <w:t xml:space="preserve">had concluded pursuant to such inspection that it would or may wish to exercise its seizure powers, but </w:t>
      </w:r>
      <w:r w:rsidR="007C7AA1">
        <w:t xml:space="preserve">(iii) </w:t>
      </w:r>
      <w:r w:rsidR="00145D1F">
        <w:t xml:space="preserve">deferred this issue on account of the action of the other regulatory or law enforcement body, such as the SAPS, it </w:t>
      </w:r>
      <w:r w:rsidR="00DA66BA">
        <w:t>would ordinarily</w:t>
      </w:r>
      <w:r w:rsidR="007C7AA1">
        <w:t xml:space="preserve"> be</w:t>
      </w:r>
      <w:r w:rsidR="00145D1F">
        <w:t xml:space="preserve"> just and equitable, when the legality of </w:t>
      </w:r>
      <w:r w:rsidR="00C04EDF">
        <w:t xml:space="preserve">the </w:t>
      </w:r>
      <w:r w:rsidR="00145D1F">
        <w:t xml:space="preserve">SAPS's conduct has been placed in issue and the seizure is declared unlawful and retrospectively set aside, to place </w:t>
      </w:r>
      <w:r w:rsidR="00DA66BA">
        <w:t>the despoiled and third</w:t>
      </w:r>
      <w:r w:rsidR="00145D1F">
        <w:t xml:space="preserve"> parties, including SAHPRA, </w:t>
      </w:r>
      <w:r w:rsidR="007C7AA1">
        <w:t xml:space="preserve">(as far as possible) </w:t>
      </w:r>
      <w:r w:rsidR="00145D1F">
        <w:t xml:space="preserve">in the position </w:t>
      </w:r>
      <w:r w:rsidR="007C7AA1">
        <w:t>they</w:t>
      </w:r>
      <w:r w:rsidR="00145D1F">
        <w:t xml:space="preserve"> would have occupied but for the unlawful conduct of </w:t>
      </w:r>
      <w:r w:rsidR="00C04EDF">
        <w:t xml:space="preserve">the </w:t>
      </w:r>
      <w:r w:rsidR="00145D1F">
        <w:t xml:space="preserve">SAPS.  </w:t>
      </w:r>
    </w:p>
    <w:p w14:paraId="6002FB49" w14:textId="424CFC42" w:rsidR="003D6CFD" w:rsidRDefault="009728ED" w:rsidP="009728ED">
      <w:pPr>
        <w:pStyle w:val="WWList1"/>
        <w:numPr>
          <w:ilvl w:val="0"/>
          <w:numId w:val="0"/>
        </w:numPr>
        <w:tabs>
          <w:tab w:val="left" w:pos="567"/>
        </w:tabs>
        <w:ind w:left="567" w:hanging="567"/>
      </w:pPr>
      <w:r>
        <w:t>58.</w:t>
      </w:r>
      <w:r>
        <w:tab/>
      </w:r>
      <w:r w:rsidR="00894AE9">
        <w:t xml:space="preserve">It is important to note in this case that SAHPRA is </w:t>
      </w:r>
      <w:r w:rsidR="003D6CFD">
        <w:t xml:space="preserve">not the despoiler but </w:t>
      </w:r>
      <w:r w:rsidR="00894AE9">
        <w:t xml:space="preserve">a </w:t>
      </w:r>
      <w:r w:rsidR="003D6CFD">
        <w:t>party which is unconnected</w:t>
      </w:r>
      <w:r w:rsidR="00894AE9">
        <w:t xml:space="preserve"> to any illegality on the part of the SAPS</w:t>
      </w:r>
      <w:r w:rsidR="003D6CFD">
        <w:t>.  SAHPRA and the Council did not attempt unlawfully to invoke self-help.  They are vested with critical regulatory mandates, and they should be afforded</w:t>
      </w:r>
      <w:r w:rsidR="00894AE9">
        <w:t xml:space="preserve"> a reasonable opportunity to exercise </w:t>
      </w:r>
      <w:r w:rsidR="003D6CFD">
        <w:t>their</w:t>
      </w:r>
      <w:r w:rsidR="00894AE9">
        <w:t xml:space="preserve"> statutory powers.  </w:t>
      </w:r>
      <w:r w:rsidR="00802623">
        <w:t xml:space="preserve">Whether there is </w:t>
      </w:r>
      <w:r w:rsidR="00DA66BA">
        <w:t xml:space="preserve">in fact or in law </w:t>
      </w:r>
      <w:r w:rsidR="00802623">
        <w:t>a</w:t>
      </w:r>
      <w:r w:rsidR="00DA66BA">
        <w:t xml:space="preserve"> proper</w:t>
      </w:r>
      <w:r w:rsidR="00802623">
        <w:t xml:space="preserve"> basis for them </w:t>
      </w:r>
      <w:r w:rsidR="00D44C73">
        <w:t>to do</w:t>
      </w:r>
      <w:r w:rsidR="00802623">
        <w:t xml:space="preserve"> so is not an issue which this Court is called upon to decide</w:t>
      </w:r>
      <w:r w:rsidR="00DA66BA">
        <w:t>, nor would it be appropriate at this stage to do so</w:t>
      </w:r>
      <w:r w:rsidR="00802623">
        <w:t>.</w:t>
      </w:r>
      <w:r w:rsidR="003F2EBB">
        <w:t xml:space="preserve">  This is a matter which</w:t>
      </w:r>
      <w:r w:rsidR="00753483">
        <w:t>, in the first instance and in accordance with the statutory framework and principles of deference, is for the regulator in question to consider.</w:t>
      </w:r>
    </w:p>
    <w:p w14:paraId="7CFBEE92" w14:textId="20F06B31" w:rsidR="00145D1F" w:rsidRDefault="009728ED" w:rsidP="009728ED">
      <w:pPr>
        <w:pStyle w:val="WWList1"/>
        <w:numPr>
          <w:ilvl w:val="0"/>
          <w:numId w:val="0"/>
        </w:numPr>
        <w:tabs>
          <w:tab w:val="left" w:pos="567"/>
        </w:tabs>
        <w:ind w:left="567" w:hanging="567"/>
      </w:pPr>
      <w:r>
        <w:lastRenderedPageBreak/>
        <w:t>59.</w:t>
      </w:r>
      <w:r>
        <w:tab/>
      </w:r>
      <w:r w:rsidR="002A7086">
        <w:t>Th</w:t>
      </w:r>
      <w:r w:rsidR="003D6CFD">
        <w:t>e above approach</w:t>
      </w:r>
      <w:r w:rsidR="002A7086">
        <w:t xml:space="preserve"> also accords with the corrective principle, which is applied as the default remedial objective in the</w:t>
      </w:r>
      <w:r w:rsidR="007C7AA1">
        <w:t xml:space="preserve"> different, but comparable,</w:t>
      </w:r>
      <w:r w:rsidR="002A7086">
        <w:t xml:space="preserve"> context of declarations of constitutional invalidity.</w:t>
      </w:r>
      <w:r w:rsidR="002A7086">
        <w:rPr>
          <w:rStyle w:val="FootnoteReference"/>
        </w:rPr>
        <w:footnoteReference w:id="16"/>
      </w:r>
    </w:p>
    <w:p w14:paraId="605E0579" w14:textId="7E807409" w:rsidR="00DA66BA" w:rsidRDefault="009728ED" w:rsidP="009728ED">
      <w:pPr>
        <w:pStyle w:val="WWList1"/>
        <w:numPr>
          <w:ilvl w:val="0"/>
          <w:numId w:val="0"/>
        </w:numPr>
        <w:tabs>
          <w:tab w:val="left" w:pos="567"/>
        </w:tabs>
        <w:ind w:left="567" w:hanging="567"/>
      </w:pPr>
      <w:r>
        <w:t>60.</w:t>
      </w:r>
      <w:r>
        <w:tab/>
      </w:r>
      <w:r w:rsidR="00DA66BA">
        <w:t>At the time when</w:t>
      </w:r>
      <w:r w:rsidR="00C04EDF">
        <w:t xml:space="preserve"> the</w:t>
      </w:r>
      <w:r w:rsidR="00DA66BA">
        <w:t xml:space="preserve"> SAPS took over the scene, SAHPRA and the Council had just concluded their joint inspection and were in the process of deciding on the next steps.  They were effectively </w:t>
      </w:r>
      <w:r w:rsidR="00D02E4A">
        <w:t xml:space="preserve">(from a practical and </w:t>
      </w:r>
      <w:r w:rsidR="00AA7D8D">
        <w:t xml:space="preserve">probably </w:t>
      </w:r>
      <w:r w:rsidR="00D02E4A">
        <w:t xml:space="preserve">legal perspective) </w:t>
      </w:r>
      <w:r w:rsidR="00DA66BA">
        <w:t xml:space="preserve">precluded, to date, from making and communicating any decision on the seizure of the relevant articles.  They should now be afforded the opportunity to make that decision and take whatever other steps in relation to the relevant articles they are permitted to do in law, within a reasonable time, as though the relevant articles are now on the premises and the joint inspection had just been concluded.  The order for the SAPS to return possession of the relevant articles to the applicant </w:t>
      </w:r>
      <w:r w:rsidR="00CA77AB">
        <w:t>sh</w:t>
      </w:r>
      <w:r w:rsidR="00DA66BA">
        <w:t>ould thus be made subject to any steps that SAHPRA and/or the Council may decide to take.</w:t>
      </w:r>
    </w:p>
    <w:p w14:paraId="633CDC3C" w14:textId="7E758BC8" w:rsidR="00D63A33" w:rsidRDefault="009728ED" w:rsidP="009728ED">
      <w:pPr>
        <w:pStyle w:val="WWList1"/>
        <w:numPr>
          <w:ilvl w:val="0"/>
          <w:numId w:val="0"/>
        </w:numPr>
        <w:tabs>
          <w:tab w:val="left" w:pos="567"/>
        </w:tabs>
        <w:ind w:left="567" w:hanging="567"/>
      </w:pPr>
      <w:r>
        <w:t>61.</w:t>
      </w:r>
      <w:r>
        <w:tab/>
      </w:r>
      <w:r w:rsidR="002A7086">
        <w:t xml:space="preserve">I </w:t>
      </w:r>
      <w:r w:rsidR="00836BF1">
        <w:t xml:space="preserve">am </w:t>
      </w:r>
      <w:r w:rsidR="00836BF1" w:rsidRPr="00894AE9">
        <w:rPr>
          <w:i/>
          <w:iCs/>
        </w:rPr>
        <w:t>prima facie</w:t>
      </w:r>
      <w:r w:rsidR="00836BF1">
        <w:t xml:space="preserve"> of the view that an order in those terms would be just and equitable in the current circumstances.  I thus </w:t>
      </w:r>
      <w:r w:rsidR="00894AE9">
        <w:t>intend</w:t>
      </w:r>
      <w:r w:rsidR="002A7086">
        <w:t xml:space="preserve"> to </w:t>
      </w:r>
      <w:r w:rsidR="00836BF1">
        <w:t>issue</w:t>
      </w:r>
      <w:r w:rsidR="00894AE9">
        <w:t xml:space="preserve"> such</w:t>
      </w:r>
      <w:r w:rsidR="002A7086">
        <w:t xml:space="preserve"> an order.  </w:t>
      </w:r>
      <w:r w:rsidR="00836BF1">
        <w:t>I am mindful, however, of the fact that such an order was not specifically prayed for by the applicant or the respondents</w:t>
      </w:r>
      <w:r w:rsidR="002375D5">
        <w:t xml:space="preserve">.  In my view, the parties should have the opportunity to make written submissions to me on the proposed just and equitable relief within 10 days of the date that the order is handed down.  Should any submissions be received, I shall then make a final order </w:t>
      </w:r>
      <w:proofErr w:type="gramStart"/>
      <w:r w:rsidR="002375D5">
        <w:t>taking into account</w:t>
      </w:r>
      <w:proofErr w:type="gramEnd"/>
      <w:r w:rsidR="002375D5">
        <w:t xml:space="preserve"> the additional submissions.  Should no submissions be received by the deadline, the proposed just and equitable order shall become final.</w:t>
      </w:r>
      <w:r w:rsidR="00976370">
        <w:t xml:space="preserve">  </w:t>
      </w:r>
    </w:p>
    <w:p w14:paraId="0E3B0402" w14:textId="5C15F1C6" w:rsidR="00894AE9" w:rsidRDefault="00894AE9" w:rsidP="00894AE9">
      <w:pPr>
        <w:pStyle w:val="WWList1"/>
        <w:numPr>
          <w:ilvl w:val="0"/>
          <w:numId w:val="0"/>
        </w:numPr>
      </w:pPr>
      <w:r w:rsidRPr="00894AE9">
        <w:rPr>
          <w:b/>
          <w:bCs/>
          <w:u w:val="single"/>
        </w:rPr>
        <w:lastRenderedPageBreak/>
        <w:t>Costs</w:t>
      </w:r>
    </w:p>
    <w:p w14:paraId="497D4EC4" w14:textId="5802CCBE" w:rsidR="00894AE9" w:rsidRDefault="009728ED" w:rsidP="009728ED">
      <w:pPr>
        <w:pStyle w:val="WWList1"/>
        <w:numPr>
          <w:ilvl w:val="0"/>
          <w:numId w:val="0"/>
        </w:numPr>
        <w:tabs>
          <w:tab w:val="left" w:pos="567"/>
        </w:tabs>
        <w:ind w:left="567" w:hanging="567"/>
      </w:pPr>
      <w:r>
        <w:t>62.</w:t>
      </w:r>
      <w:r>
        <w:tab/>
      </w:r>
      <w:r w:rsidR="00894AE9">
        <w:t>It remains to deal with the issue of costs, before briefly touching on the questions of urgency and condonation.</w:t>
      </w:r>
    </w:p>
    <w:p w14:paraId="61FC17C3" w14:textId="0A32C02A" w:rsidR="00894AE9" w:rsidRDefault="009728ED" w:rsidP="009728ED">
      <w:pPr>
        <w:pStyle w:val="WWList1"/>
        <w:numPr>
          <w:ilvl w:val="0"/>
          <w:numId w:val="0"/>
        </w:numPr>
        <w:tabs>
          <w:tab w:val="left" w:pos="567"/>
        </w:tabs>
        <w:ind w:left="567" w:hanging="567"/>
      </w:pPr>
      <w:r>
        <w:t>63.</w:t>
      </w:r>
      <w:r>
        <w:tab/>
      </w:r>
      <w:r w:rsidR="00DA66BA">
        <w:t xml:space="preserve">The application against the SAPS </w:t>
      </w:r>
      <w:r w:rsidR="0074458B">
        <w:t xml:space="preserve">substantively </w:t>
      </w:r>
      <w:r w:rsidR="00DA66BA">
        <w:t xml:space="preserve">succeeds and thus </w:t>
      </w:r>
      <w:r w:rsidR="00C04EDF">
        <w:t xml:space="preserve">the </w:t>
      </w:r>
      <w:r w:rsidR="0074458B">
        <w:t>SAPS</w:t>
      </w:r>
      <w:r w:rsidR="00DA66BA">
        <w:t xml:space="preserve"> should bear the costs</w:t>
      </w:r>
      <w:r w:rsidR="0074458B">
        <w:t xml:space="preserve"> of the applicant</w:t>
      </w:r>
      <w:r w:rsidR="00DA66BA">
        <w:t>, including the costs of two counsel where so employed.</w:t>
      </w:r>
    </w:p>
    <w:p w14:paraId="6555C030" w14:textId="43AACACC" w:rsidR="00303B46" w:rsidRDefault="009728ED" w:rsidP="009728ED">
      <w:pPr>
        <w:pStyle w:val="WWList1"/>
        <w:numPr>
          <w:ilvl w:val="0"/>
          <w:numId w:val="0"/>
        </w:numPr>
        <w:tabs>
          <w:tab w:val="left" w:pos="567"/>
        </w:tabs>
        <w:ind w:left="567" w:hanging="567"/>
      </w:pPr>
      <w:r>
        <w:t>64.</w:t>
      </w:r>
      <w:r>
        <w:tab/>
      </w:r>
      <w:r w:rsidR="0074458B">
        <w:t xml:space="preserve">There was no </w:t>
      </w:r>
      <w:r w:rsidR="009F2ED0">
        <w:t xml:space="preserve">sustainable </w:t>
      </w:r>
      <w:r w:rsidR="0074458B">
        <w:t xml:space="preserve">case made out against SAHPRA and SAHPRA should thus not be bear any of the applicant's costs. </w:t>
      </w:r>
      <w:r w:rsidR="00FA3D57">
        <w:t xml:space="preserve"> A spoliation order and costs were sought against </w:t>
      </w:r>
      <w:proofErr w:type="gramStart"/>
      <w:r w:rsidR="00FA3D57">
        <w:t>SAHPRA</w:t>
      </w:r>
      <w:proofErr w:type="gramEnd"/>
      <w:r w:rsidR="00FA3D57">
        <w:t xml:space="preserve"> and, in those circumstances, it was justified in opposing the application.</w:t>
      </w:r>
      <w:r w:rsidR="00303B46">
        <w:t xml:space="preserve">  SAHPRA produced answering papers which were of substantial assistance to the Court in explaining the circumstances of the entering of the premises and the inspection, as well as the applicant's activities.  This provides important context for the Court to exercise its remedial powers.  </w:t>
      </w:r>
    </w:p>
    <w:p w14:paraId="20BD0654" w14:textId="21368576" w:rsidR="00303B46" w:rsidRDefault="009728ED" w:rsidP="009728ED">
      <w:pPr>
        <w:pStyle w:val="WWList1"/>
        <w:numPr>
          <w:ilvl w:val="0"/>
          <w:numId w:val="0"/>
        </w:numPr>
        <w:tabs>
          <w:tab w:val="left" w:pos="567"/>
        </w:tabs>
        <w:ind w:left="567" w:hanging="567"/>
      </w:pPr>
      <w:r>
        <w:t>65.</w:t>
      </w:r>
      <w:r>
        <w:tab/>
      </w:r>
      <w:r w:rsidR="00303B46">
        <w:t xml:space="preserve">SAHPRA's request that the relevant articles should be transferred into its custody was, however, not something that I was prepared to grant, particularly without a fully substantiated </w:t>
      </w:r>
      <w:proofErr w:type="gramStart"/>
      <w:r w:rsidR="00303B46">
        <w:t>counter-application</w:t>
      </w:r>
      <w:proofErr w:type="gramEnd"/>
      <w:r w:rsidR="00303B46">
        <w:t xml:space="preserve">.  </w:t>
      </w:r>
      <w:r w:rsidR="00EF05BC">
        <w:t xml:space="preserve">Similarly, while SAHPRA did not press the point, its opposition on the question of urgency was </w:t>
      </w:r>
      <w:r w:rsidR="001C62FE">
        <w:t xml:space="preserve">not successful.  </w:t>
      </w:r>
      <w:r w:rsidR="00B818D9">
        <w:t xml:space="preserve">On the other hand, </w:t>
      </w:r>
      <w:r w:rsidR="00303B46">
        <w:t xml:space="preserve">SAHPRA's submissions in relation to the potential exercise of SAHPRA's seizure powers is something which I did </w:t>
      </w:r>
      <w:proofErr w:type="gramStart"/>
      <w:r w:rsidR="00303B46">
        <w:t>take into account</w:t>
      </w:r>
      <w:proofErr w:type="gramEnd"/>
      <w:r w:rsidR="00303B46">
        <w:t xml:space="preserve"> in formulating </w:t>
      </w:r>
      <w:r w:rsidR="002367DD">
        <w:t xml:space="preserve">the </w:t>
      </w:r>
      <w:r w:rsidR="00303B46">
        <w:t xml:space="preserve">just and equitable relief in this matter. </w:t>
      </w:r>
    </w:p>
    <w:p w14:paraId="744B7A93" w14:textId="6609CE26" w:rsidR="00751A60" w:rsidRDefault="009728ED" w:rsidP="009728ED">
      <w:pPr>
        <w:pStyle w:val="WWList1"/>
        <w:numPr>
          <w:ilvl w:val="0"/>
          <w:numId w:val="0"/>
        </w:numPr>
        <w:tabs>
          <w:tab w:val="left" w:pos="567"/>
        </w:tabs>
        <w:ind w:left="567" w:hanging="567"/>
      </w:pPr>
      <w:r>
        <w:t>66.</w:t>
      </w:r>
      <w:r>
        <w:tab/>
      </w:r>
      <w:r w:rsidR="005F000C">
        <w:t>Ultimately, the applicant's claim</w:t>
      </w:r>
      <w:r w:rsidR="001E761B">
        <w:t>,</w:t>
      </w:r>
      <w:r w:rsidR="00751A60">
        <w:t xml:space="preserve"> while seeking </w:t>
      </w:r>
      <w:r w:rsidR="00F05F00">
        <w:t>specific spoliation relief in its own interests, also</w:t>
      </w:r>
      <w:r w:rsidR="001E761B">
        <w:t xml:space="preserve"> concerned constitutional </w:t>
      </w:r>
      <w:proofErr w:type="gramStart"/>
      <w:r w:rsidR="001E761B">
        <w:t>issues</w:t>
      </w:r>
      <w:proofErr w:type="gramEnd"/>
      <w:r w:rsidR="00575267">
        <w:t xml:space="preserve"> and </w:t>
      </w:r>
      <w:r w:rsidR="000329C8">
        <w:t>entailed at least</w:t>
      </w:r>
      <w:r w:rsidR="005F6318">
        <w:t xml:space="preserve"> in part</w:t>
      </w:r>
      <w:r w:rsidR="005B3571">
        <w:t xml:space="preserve"> a</w:t>
      </w:r>
      <w:r w:rsidR="000329C8">
        <w:t xml:space="preserve"> consideration of novel remedial and other measures in circumstances where there were overlapping </w:t>
      </w:r>
      <w:r w:rsidR="002B5B59">
        <w:t xml:space="preserve">regulatory powers.  </w:t>
      </w:r>
      <w:r w:rsidR="00F05F00">
        <w:t>In constitutional matters, the default position is that</w:t>
      </w:r>
      <w:r w:rsidR="00410DF3">
        <w:t xml:space="preserve"> in cases where the applicant fails</w:t>
      </w:r>
      <w:r w:rsidR="00F05F00">
        <w:t xml:space="preserve">, unless the litigation is </w:t>
      </w:r>
      <w:r w:rsidR="005B3571">
        <w:t xml:space="preserve">frivolous or </w:t>
      </w:r>
      <w:r w:rsidR="00F05F00">
        <w:t>vexatious,</w:t>
      </w:r>
      <w:r w:rsidR="00410DF3">
        <w:t xml:space="preserve"> </w:t>
      </w:r>
      <w:r w:rsidR="008406B7">
        <w:lastRenderedPageBreak/>
        <w:t>each party should bear its</w:t>
      </w:r>
      <w:r w:rsidR="005B3571">
        <w:t xml:space="preserve"> own</w:t>
      </w:r>
      <w:r w:rsidR="008406B7">
        <w:t xml:space="preserve"> costs.</w:t>
      </w:r>
      <w:r w:rsidR="00F05F00">
        <w:t xml:space="preserve"> </w:t>
      </w:r>
      <w:r w:rsidR="00D56FCD">
        <w:t xml:space="preserve"> While the current case is not purely constitutional in nature, </w:t>
      </w:r>
      <w:r w:rsidR="00662D57">
        <w:t>it ultimately</w:t>
      </w:r>
      <w:r w:rsidR="000303FF">
        <w:t xml:space="preserve">, </w:t>
      </w:r>
      <w:r w:rsidR="000303FF" w:rsidRPr="000303FF">
        <w:rPr>
          <w:i/>
          <w:iCs/>
        </w:rPr>
        <w:t>inter alia</w:t>
      </w:r>
      <w:r w:rsidR="000303FF">
        <w:t>,</w:t>
      </w:r>
      <w:r w:rsidR="00662D57">
        <w:t xml:space="preserve"> sought the enforcement of constitutional rights</w:t>
      </w:r>
      <w:r w:rsidR="00FE40B4">
        <w:t xml:space="preserve"> and enveloped constitutional considerations</w:t>
      </w:r>
      <w:r w:rsidR="00662D57">
        <w:t>.</w:t>
      </w:r>
    </w:p>
    <w:p w14:paraId="4B5927A3" w14:textId="1A987694" w:rsidR="0026532D" w:rsidRDefault="009728ED" w:rsidP="009728ED">
      <w:pPr>
        <w:pStyle w:val="WWList1"/>
        <w:numPr>
          <w:ilvl w:val="0"/>
          <w:numId w:val="0"/>
        </w:numPr>
        <w:tabs>
          <w:tab w:val="left" w:pos="567"/>
        </w:tabs>
        <w:ind w:left="567" w:hanging="567"/>
      </w:pPr>
      <w:r>
        <w:t>67.</w:t>
      </w:r>
      <w:r>
        <w:tab/>
      </w:r>
      <w:r w:rsidR="004A5E48" w:rsidRPr="003F648E">
        <w:t xml:space="preserve">Costs are within the discretion of the Court, a discretion which must be exercised with due regard to all the circumstances, the </w:t>
      </w:r>
      <w:proofErr w:type="spellStart"/>
      <w:r w:rsidR="004A5E48" w:rsidRPr="003F648E">
        <w:rPr>
          <w:i/>
          <w:iCs/>
        </w:rPr>
        <w:t>Biowatch</w:t>
      </w:r>
      <w:proofErr w:type="spellEnd"/>
      <w:r w:rsidR="004A5E48" w:rsidRPr="003F648E">
        <w:t xml:space="preserve"> principle</w:t>
      </w:r>
      <w:r w:rsidR="004A5E48" w:rsidRPr="003F648E">
        <w:rPr>
          <w:rStyle w:val="FootnoteReference"/>
        </w:rPr>
        <w:footnoteReference w:id="17"/>
      </w:r>
      <w:r w:rsidR="004A5E48" w:rsidRPr="003F648E">
        <w:t xml:space="preserve"> </w:t>
      </w:r>
      <w:r w:rsidR="009461F3" w:rsidRPr="003F648E">
        <w:t>and the requirement for the Court to grant a remedy which is just and equitable.</w:t>
      </w:r>
      <w:r w:rsidR="009461F3" w:rsidRPr="003F648E">
        <w:rPr>
          <w:rStyle w:val="FootnoteReference"/>
        </w:rPr>
        <w:footnoteReference w:id="18"/>
      </w:r>
      <w:r w:rsidR="009461F3" w:rsidRPr="003F648E">
        <w:t xml:space="preserve">  </w:t>
      </w:r>
      <w:r w:rsidR="00D1105F" w:rsidRPr="003F648E">
        <w:t xml:space="preserve">While the relief against SAHPRA </w:t>
      </w:r>
      <w:proofErr w:type="gramStart"/>
      <w:r w:rsidR="00D1105F" w:rsidRPr="003F648E">
        <w:t>did not succeed</w:t>
      </w:r>
      <w:proofErr w:type="gramEnd"/>
      <w:r w:rsidR="00D1105F" w:rsidRPr="003F648E">
        <w:t>, this was not the principal thrust of the case</w:t>
      </w:r>
      <w:r w:rsidR="00637EE1" w:rsidRPr="003F648E">
        <w:t xml:space="preserve">.  SAHPRA was integrally involved in the factual matrix which led to the seizure of the relevant articles by </w:t>
      </w:r>
      <w:r w:rsidR="00130AE0" w:rsidRPr="003F648E">
        <w:t xml:space="preserve">the SAPS. </w:t>
      </w:r>
      <w:r w:rsidR="000719C6" w:rsidRPr="003F648E">
        <w:t xml:space="preserve"> </w:t>
      </w:r>
      <w:r w:rsidR="005B6FCF" w:rsidRPr="003F648E">
        <w:t xml:space="preserve">SAHPRA's claim arising from overlapping regulatory </w:t>
      </w:r>
      <w:r w:rsidR="00140E5E" w:rsidRPr="003F648E">
        <w:t xml:space="preserve">powers also made </w:t>
      </w:r>
      <w:r w:rsidR="00176310" w:rsidRPr="003F648E">
        <w:t xml:space="preserve">its participation critical in the determination of just and equitable relief.  </w:t>
      </w:r>
      <w:r w:rsidR="00B12A02" w:rsidRPr="003F648E">
        <w:t xml:space="preserve">The precise detail of what had transpired as between SAHPRA and the SAPS was not known to the applicant at the time of launching the </w:t>
      </w:r>
      <w:proofErr w:type="gramStart"/>
      <w:r w:rsidR="00B12A02" w:rsidRPr="003F648E">
        <w:t>application</w:t>
      </w:r>
      <w:r w:rsidR="00BB773B" w:rsidRPr="003F648E">
        <w:t>, and</w:t>
      </w:r>
      <w:proofErr w:type="gramEnd"/>
      <w:r w:rsidR="00BB773B" w:rsidRPr="003F648E">
        <w:t xml:space="preserve"> emerged from the answering papers</w:t>
      </w:r>
      <w:r w:rsidR="00B12A02" w:rsidRPr="003F648E">
        <w:t xml:space="preserve">.  </w:t>
      </w:r>
      <w:r w:rsidR="006045E7" w:rsidRPr="003F648E">
        <w:t>I</w:t>
      </w:r>
      <w:r w:rsidR="00D618FC" w:rsidRPr="003F648E">
        <w:t>n my view, i</w:t>
      </w:r>
      <w:r w:rsidR="00A3510C" w:rsidRPr="003F648E">
        <w:t xml:space="preserve">t cannot be said that, in all the circumstances of the case, it was frivolous or </w:t>
      </w:r>
      <w:r w:rsidR="00CE79CD" w:rsidRPr="003F648E">
        <w:t>vexatious for the relief</w:t>
      </w:r>
      <w:r w:rsidR="008A5D20" w:rsidRPr="003F648E">
        <w:t xml:space="preserve"> against SAHPRA</w:t>
      </w:r>
      <w:r w:rsidR="00CE79CD" w:rsidRPr="003F648E">
        <w:t xml:space="preserve"> to be pursued. </w:t>
      </w:r>
      <w:r w:rsidR="00D1105F" w:rsidRPr="003F648E">
        <w:t xml:space="preserve"> </w:t>
      </w:r>
    </w:p>
    <w:p w14:paraId="3252B295" w14:textId="4A554897" w:rsidR="00F50203" w:rsidRPr="003F648E" w:rsidRDefault="009728ED" w:rsidP="009728ED">
      <w:pPr>
        <w:pStyle w:val="WWList1"/>
        <w:numPr>
          <w:ilvl w:val="0"/>
          <w:numId w:val="0"/>
        </w:numPr>
        <w:tabs>
          <w:tab w:val="left" w:pos="567"/>
        </w:tabs>
        <w:ind w:left="567" w:hanging="567"/>
      </w:pPr>
      <w:r w:rsidRPr="003F648E">
        <w:t>68.</w:t>
      </w:r>
      <w:r w:rsidRPr="003F648E">
        <w:tab/>
      </w:r>
      <w:r w:rsidR="00751A60" w:rsidRPr="003F648E">
        <w:t xml:space="preserve">In </w:t>
      </w:r>
      <w:r w:rsidR="00B12A02" w:rsidRPr="003F648E">
        <w:t>the exercise of my discretion</w:t>
      </w:r>
      <w:r w:rsidR="00751A60" w:rsidRPr="003F648E">
        <w:t xml:space="preserve">, </w:t>
      </w:r>
      <w:r w:rsidR="002F3D48" w:rsidRPr="003F648E">
        <w:t xml:space="preserve">I think it would be appropriate for </w:t>
      </w:r>
      <w:r w:rsidR="00AF1CBD" w:rsidRPr="003F648E">
        <w:t xml:space="preserve">SAHPRA </w:t>
      </w:r>
      <w:r w:rsidR="00232E1A" w:rsidRPr="003F648E">
        <w:t>and the applicant to bear their own costs insofar as SAHPRA's opposition was concerned.</w:t>
      </w:r>
    </w:p>
    <w:p w14:paraId="541D13BF" w14:textId="221CEA4D" w:rsidR="0074458B" w:rsidRDefault="009728ED" w:rsidP="009728ED">
      <w:pPr>
        <w:pStyle w:val="WWList1"/>
        <w:numPr>
          <w:ilvl w:val="0"/>
          <w:numId w:val="0"/>
        </w:numPr>
        <w:tabs>
          <w:tab w:val="left" w:pos="567"/>
        </w:tabs>
        <w:ind w:left="567" w:hanging="567"/>
      </w:pPr>
      <w:r>
        <w:t>69.</w:t>
      </w:r>
      <w:r>
        <w:tab/>
      </w:r>
      <w:r w:rsidR="00F50203" w:rsidRPr="003F648E">
        <w:t xml:space="preserve">Again, mindful that submissions on costs may be influenced by the nature of the substantive relief I ultimately grant, I </w:t>
      </w:r>
      <w:r w:rsidR="00357800" w:rsidRPr="003F648E">
        <w:t>intend to</w:t>
      </w:r>
      <w:r w:rsidR="00F50203" w:rsidRPr="003F648E">
        <w:t xml:space="preserve"> afford </w:t>
      </w:r>
      <w:r w:rsidR="00357800" w:rsidRPr="003F648E">
        <w:t>the</w:t>
      </w:r>
      <w:r w:rsidR="00F50203" w:rsidRPr="003F648E">
        <w:t xml:space="preserve"> parties an opportunity to </w:t>
      </w:r>
      <w:r w:rsidR="00357800" w:rsidRPr="003F648E">
        <w:t xml:space="preserve">make written submissions, within a reasonable time, in relation to </w:t>
      </w:r>
      <w:r w:rsidR="00E77A74">
        <w:t>any influence of my substantive order on the proposed allocation of costs</w:t>
      </w:r>
      <w:r w:rsidR="00357800" w:rsidRPr="003F648E">
        <w:t>.  The costs order will then be finalised with due regard to any</w:t>
      </w:r>
      <w:r w:rsidR="00E77A74">
        <w:t xml:space="preserve"> further</w:t>
      </w:r>
      <w:r w:rsidR="00357800">
        <w:t xml:space="preserve"> submissions.  Should no such submissions</w:t>
      </w:r>
      <w:r w:rsidR="00303B46">
        <w:t xml:space="preserve"> </w:t>
      </w:r>
      <w:r w:rsidR="00357800">
        <w:t>be received by the deadline, the costs order shall be deemed to be final.</w:t>
      </w:r>
    </w:p>
    <w:p w14:paraId="026B9CA0" w14:textId="636E8E2C" w:rsidR="00042224" w:rsidRPr="00042224" w:rsidRDefault="00042224" w:rsidP="00042224">
      <w:pPr>
        <w:pStyle w:val="WWList1"/>
        <w:numPr>
          <w:ilvl w:val="0"/>
          <w:numId w:val="0"/>
        </w:numPr>
        <w:rPr>
          <w:b/>
          <w:bCs/>
          <w:u w:val="single"/>
        </w:rPr>
      </w:pPr>
      <w:r w:rsidRPr="00042224">
        <w:rPr>
          <w:b/>
          <w:bCs/>
          <w:u w:val="single"/>
        </w:rPr>
        <w:lastRenderedPageBreak/>
        <w:t>Urgency and condonation</w:t>
      </w:r>
    </w:p>
    <w:p w14:paraId="2ADD8571" w14:textId="4142289D" w:rsidR="00042224" w:rsidRPr="00042224" w:rsidRDefault="009728ED" w:rsidP="009728ED">
      <w:pPr>
        <w:pStyle w:val="WWHeading1"/>
        <w:keepNext w:val="0"/>
        <w:numPr>
          <w:ilvl w:val="0"/>
          <w:numId w:val="0"/>
        </w:numPr>
        <w:tabs>
          <w:tab w:val="left" w:pos="567"/>
        </w:tabs>
        <w:ind w:left="567" w:hanging="567"/>
      </w:pPr>
      <w:r w:rsidRPr="00042224">
        <w:rPr>
          <w:b w:val="0"/>
        </w:rPr>
        <w:t>70.</w:t>
      </w:r>
      <w:r w:rsidRPr="00042224">
        <w:rPr>
          <w:b w:val="0"/>
        </w:rPr>
        <w:tab/>
      </w:r>
      <w:r w:rsidR="00042224">
        <w:rPr>
          <w:b w:val="0"/>
          <w:bCs/>
        </w:rPr>
        <w:t>The urgency of the matter was not placed seriously in dispute in oral argument before me.  SAHPRA did not, however, formally abandon its objection to the issue of urgency.  In my view, on the basis of the applicant's pleaded case (which is the basis on which I am required to decide this initial issue)</w:t>
      </w:r>
      <w:r w:rsidR="00CB4B8E">
        <w:rPr>
          <w:b w:val="0"/>
          <w:bCs/>
        </w:rPr>
        <w:t xml:space="preserve"> and despite the fact that this is not a case involving extreme urgency</w:t>
      </w:r>
      <w:r w:rsidR="00042224">
        <w:rPr>
          <w:b w:val="0"/>
          <w:bCs/>
        </w:rPr>
        <w:t xml:space="preserve">, a case has been made out </w:t>
      </w:r>
      <w:r w:rsidR="006D402B">
        <w:rPr>
          <w:b w:val="0"/>
          <w:bCs/>
        </w:rPr>
        <w:t xml:space="preserve">for this matter to be heard on the urgent roll and for </w:t>
      </w:r>
      <w:r w:rsidR="00B57C3B">
        <w:rPr>
          <w:b w:val="0"/>
          <w:bCs/>
        </w:rPr>
        <w:t xml:space="preserve">non-compliance with </w:t>
      </w:r>
      <w:r w:rsidR="006D402B">
        <w:rPr>
          <w:b w:val="0"/>
          <w:bCs/>
        </w:rPr>
        <w:t xml:space="preserve">the </w:t>
      </w:r>
      <w:r w:rsidR="00B57C3B">
        <w:rPr>
          <w:b w:val="0"/>
          <w:bCs/>
        </w:rPr>
        <w:t>time periods and forms in the Rules to be condoned.  No material prejudice has been suffered by the respondents</w:t>
      </w:r>
      <w:r w:rsidR="00CB4B8E">
        <w:rPr>
          <w:b w:val="0"/>
          <w:bCs/>
        </w:rPr>
        <w:t xml:space="preserve"> </w:t>
      </w:r>
      <w:proofErr w:type="gramStart"/>
      <w:r w:rsidR="00CB4B8E">
        <w:rPr>
          <w:b w:val="0"/>
          <w:bCs/>
        </w:rPr>
        <w:t>as a result of</w:t>
      </w:r>
      <w:proofErr w:type="gramEnd"/>
      <w:r w:rsidR="00CB4B8E">
        <w:rPr>
          <w:b w:val="0"/>
          <w:bCs/>
        </w:rPr>
        <w:t xml:space="preserve"> the hearing of this matter on the urgent roll</w:t>
      </w:r>
      <w:r w:rsidR="00B57C3B">
        <w:rPr>
          <w:b w:val="0"/>
          <w:bCs/>
        </w:rPr>
        <w:t xml:space="preserve">.   </w:t>
      </w:r>
    </w:p>
    <w:p w14:paraId="6BB096B5" w14:textId="1903C8FC" w:rsidR="00B14FE0" w:rsidRPr="00B14FE0" w:rsidRDefault="009728ED" w:rsidP="009728ED">
      <w:pPr>
        <w:pStyle w:val="WWHeading1"/>
        <w:keepNext w:val="0"/>
        <w:numPr>
          <w:ilvl w:val="0"/>
          <w:numId w:val="0"/>
        </w:numPr>
        <w:tabs>
          <w:tab w:val="left" w:pos="567"/>
        </w:tabs>
        <w:ind w:left="567" w:hanging="567"/>
      </w:pPr>
      <w:r w:rsidRPr="00B14FE0">
        <w:rPr>
          <w:b w:val="0"/>
        </w:rPr>
        <w:t>71.</w:t>
      </w:r>
      <w:r w:rsidRPr="00B14FE0">
        <w:rPr>
          <w:b w:val="0"/>
        </w:rPr>
        <w:tab/>
      </w:r>
      <w:r w:rsidR="00042224">
        <w:rPr>
          <w:b w:val="0"/>
          <w:bCs/>
        </w:rPr>
        <w:t>It will be apparent from I set forth above that I was</w:t>
      </w:r>
      <w:r w:rsidR="00B57C3B">
        <w:rPr>
          <w:b w:val="0"/>
          <w:bCs/>
        </w:rPr>
        <w:t xml:space="preserve"> also</w:t>
      </w:r>
      <w:r w:rsidR="00042224">
        <w:rPr>
          <w:b w:val="0"/>
          <w:bCs/>
        </w:rPr>
        <w:t xml:space="preserve"> prepared to have regard to the</w:t>
      </w:r>
      <w:r w:rsidR="00B57C3B">
        <w:rPr>
          <w:b w:val="0"/>
          <w:bCs/>
        </w:rPr>
        <w:t xml:space="preserve"> SAPS answering affidavit, which was deposed to and uploaded on </w:t>
      </w:r>
      <w:proofErr w:type="spellStart"/>
      <w:r w:rsidR="00B57C3B">
        <w:rPr>
          <w:b w:val="0"/>
          <w:bCs/>
        </w:rPr>
        <w:t>Caselines</w:t>
      </w:r>
      <w:proofErr w:type="spellEnd"/>
      <w:r w:rsidR="00B57C3B">
        <w:rPr>
          <w:b w:val="0"/>
          <w:bCs/>
        </w:rPr>
        <w:t xml:space="preserve"> two calendar days before the hearing of this application.  Although its delivery was belated, it at least enabled me to make a ruling on the lawfulness of the </w:t>
      </w:r>
      <w:proofErr w:type="gramStart"/>
      <w:r w:rsidR="00B57C3B">
        <w:rPr>
          <w:b w:val="0"/>
          <w:bCs/>
        </w:rPr>
        <w:t>dispossession, and</w:t>
      </w:r>
      <w:proofErr w:type="gramEnd"/>
      <w:r w:rsidR="00B57C3B">
        <w:rPr>
          <w:b w:val="0"/>
          <w:bCs/>
        </w:rPr>
        <w:t xml:space="preserve"> does not appear to have materially prejudiced the applicant.</w:t>
      </w:r>
      <w:r w:rsidR="00042224">
        <w:rPr>
          <w:b w:val="0"/>
          <w:bCs/>
        </w:rPr>
        <w:t xml:space="preserve"> </w:t>
      </w:r>
      <w:r w:rsidR="00B57C3B">
        <w:rPr>
          <w:b w:val="0"/>
          <w:bCs/>
        </w:rPr>
        <w:t xml:space="preserve"> Its late delivery and filing </w:t>
      </w:r>
      <w:r w:rsidR="008F59CF">
        <w:rPr>
          <w:b w:val="0"/>
          <w:bCs/>
        </w:rPr>
        <w:t>will be</w:t>
      </w:r>
      <w:r w:rsidR="00B57C3B">
        <w:rPr>
          <w:b w:val="0"/>
          <w:bCs/>
        </w:rPr>
        <w:t xml:space="preserve"> condoned.</w:t>
      </w:r>
    </w:p>
    <w:p w14:paraId="383CC87F" w14:textId="6A9B78A3" w:rsidR="003D4619" w:rsidRDefault="003D4619" w:rsidP="00042224">
      <w:pPr>
        <w:keepNext/>
        <w:suppressAutoHyphens w:val="0"/>
        <w:spacing w:before="240" w:after="240" w:line="480" w:lineRule="auto"/>
        <w:jc w:val="both"/>
        <w:rPr>
          <w:rFonts w:cs="Arial"/>
          <w:b/>
          <w:color w:val="000000" w:themeColor="text1"/>
          <w:u w:val="single"/>
        </w:rPr>
      </w:pPr>
      <w:r>
        <w:rPr>
          <w:rFonts w:cs="Arial"/>
          <w:b/>
          <w:color w:val="000000" w:themeColor="text1"/>
          <w:u w:val="single"/>
        </w:rPr>
        <w:t>Order</w:t>
      </w:r>
    </w:p>
    <w:p w14:paraId="07D7BF34" w14:textId="7F130DC2" w:rsidR="003D4619" w:rsidRDefault="009728ED" w:rsidP="009728ED">
      <w:pPr>
        <w:pStyle w:val="WWList1"/>
        <w:numPr>
          <w:ilvl w:val="0"/>
          <w:numId w:val="0"/>
        </w:numPr>
        <w:tabs>
          <w:tab w:val="left" w:pos="567"/>
        </w:tabs>
        <w:ind w:left="567" w:hanging="567"/>
      </w:pPr>
      <w:r>
        <w:t>72.</w:t>
      </w:r>
      <w:r>
        <w:tab/>
      </w:r>
      <w:r w:rsidR="00AB0EC5">
        <w:t>I thus make the following order:</w:t>
      </w:r>
    </w:p>
    <w:p w14:paraId="0BB1F3C4" w14:textId="7BD03F23" w:rsidR="002658A9" w:rsidRDefault="009728ED" w:rsidP="009728ED">
      <w:pPr>
        <w:pStyle w:val="WWList2"/>
        <w:numPr>
          <w:ilvl w:val="0"/>
          <w:numId w:val="0"/>
        </w:numPr>
        <w:tabs>
          <w:tab w:val="left" w:pos="1134"/>
        </w:tabs>
        <w:ind w:left="1134" w:hanging="1134"/>
      </w:pPr>
      <w:r>
        <w:t>72.1</w:t>
      </w:r>
      <w:r>
        <w:tab/>
      </w:r>
      <w:r w:rsidR="00AB0EC5">
        <w:t xml:space="preserve">the application is enrolled on the urgent roll and </w:t>
      </w:r>
      <w:r w:rsidR="002658A9">
        <w:t xml:space="preserve">the applicant's non-compliance with the time periods and forms prescribed under the Rules is </w:t>
      </w:r>
      <w:proofErr w:type="gramStart"/>
      <w:r w:rsidR="002658A9">
        <w:t>condoned;</w:t>
      </w:r>
      <w:proofErr w:type="gramEnd"/>
    </w:p>
    <w:p w14:paraId="09172AA0" w14:textId="4EE9D654" w:rsidR="00515F06" w:rsidRDefault="009728ED" w:rsidP="009728ED">
      <w:pPr>
        <w:pStyle w:val="WWList2"/>
        <w:numPr>
          <w:ilvl w:val="0"/>
          <w:numId w:val="0"/>
        </w:numPr>
        <w:tabs>
          <w:tab w:val="left" w:pos="1134"/>
        </w:tabs>
        <w:ind w:left="1134" w:hanging="1134"/>
      </w:pPr>
      <w:r>
        <w:t>72.2</w:t>
      </w:r>
      <w:r>
        <w:tab/>
      </w:r>
      <w:r w:rsidR="00515F06">
        <w:t xml:space="preserve">the late delivery of the SAPS answering papers is condoned and any costs occasioned by such late delivery are costs in the cause of the </w:t>
      </w:r>
      <w:proofErr w:type="gramStart"/>
      <w:r w:rsidR="00515F06">
        <w:t>application;</w:t>
      </w:r>
      <w:proofErr w:type="gramEnd"/>
    </w:p>
    <w:p w14:paraId="3EA0FA4B" w14:textId="4BBB0D2C" w:rsidR="00AB0EC5" w:rsidRDefault="009728ED" w:rsidP="009728ED">
      <w:pPr>
        <w:pStyle w:val="WWList2"/>
        <w:numPr>
          <w:ilvl w:val="0"/>
          <w:numId w:val="0"/>
        </w:numPr>
        <w:tabs>
          <w:tab w:val="left" w:pos="1134"/>
        </w:tabs>
        <w:ind w:left="1134" w:hanging="1134"/>
      </w:pPr>
      <w:bookmarkStart w:id="4" w:name="_Ref162976602"/>
      <w:r>
        <w:lastRenderedPageBreak/>
        <w:t>72.3</w:t>
      </w:r>
      <w:r>
        <w:tab/>
      </w:r>
      <w:r w:rsidR="00A12E68">
        <w:t xml:space="preserve">subject to what is set forth in </w:t>
      </w:r>
      <w:r w:rsidR="00C32724">
        <w:fldChar w:fldCharType="begin"/>
      </w:r>
      <w:r w:rsidR="00C32724">
        <w:instrText xml:space="preserve"> REF _Ref162976135 \r \h </w:instrText>
      </w:r>
      <w:r w:rsidR="00C32724">
        <w:fldChar w:fldCharType="separate"/>
      </w:r>
      <w:r w:rsidR="0026532D">
        <w:t>72.4</w:t>
      </w:r>
      <w:r w:rsidR="00C32724">
        <w:fldChar w:fldCharType="end"/>
      </w:r>
      <w:r w:rsidR="00A12E68">
        <w:t xml:space="preserve"> below, the second and third respondents are ordered to restore possession </w:t>
      </w:r>
      <w:r w:rsidR="001C7DF5">
        <w:t xml:space="preserve">of the </w:t>
      </w:r>
      <w:r w:rsidR="007B4FBB">
        <w:t>relevant articles</w:t>
      </w:r>
      <w:r w:rsidR="001C7DF5">
        <w:t xml:space="preserve"> to the applicant</w:t>
      </w:r>
      <w:r w:rsidR="00AC213D">
        <w:t xml:space="preserve"> within 10 days of 17 April </w:t>
      </w:r>
      <w:proofErr w:type="gramStart"/>
      <w:r w:rsidR="00AC213D">
        <w:t>2024</w:t>
      </w:r>
      <w:r w:rsidR="001C7DF5">
        <w:t>;</w:t>
      </w:r>
      <w:bookmarkEnd w:id="4"/>
      <w:proofErr w:type="gramEnd"/>
    </w:p>
    <w:p w14:paraId="4B9C3CC1" w14:textId="1443506D" w:rsidR="00E3119D" w:rsidRDefault="009728ED" w:rsidP="009728ED">
      <w:pPr>
        <w:pStyle w:val="WWList2"/>
        <w:numPr>
          <w:ilvl w:val="0"/>
          <w:numId w:val="0"/>
        </w:numPr>
        <w:tabs>
          <w:tab w:val="left" w:pos="1134"/>
        </w:tabs>
        <w:ind w:left="1134" w:hanging="1134"/>
      </w:pPr>
      <w:bookmarkStart w:id="5" w:name="_Ref162976135"/>
      <w:r>
        <w:t>72.4</w:t>
      </w:r>
      <w:r>
        <w:tab/>
      </w:r>
      <w:r w:rsidR="004E1C00">
        <w:t xml:space="preserve">the first and fifth respondents </w:t>
      </w:r>
      <w:r w:rsidR="00B729D0">
        <w:t>and the persons who conducted the inspection of the premises on their behalf on 22 May 2023</w:t>
      </w:r>
      <w:r w:rsidR="004E1C00">
        <w:t xml:space="preserve"> are afforded an opportunity to exercise </w:t>
      </w:r>
      <w:r w:rsidR="00BB3802">
        <w:t>their</w:t>
      </w:r>
      <w:r w:rsidR="00C23AC2">
        <w:t xml:space="preserve"> powers</w:t>
      </w:r>
      <w:r w:rsidR="009B731D">
        <w:t xml:space="preserve"> (including </w:t>
      </w:r>
      <w:r w:rsidR="00BB3802">
        <w:t xml:space="preserve">any </w:t>
      </w:r>
      <w:r w:rsidR="009B731D">
        <w:t>seizure powers)</w:t>
      </w:r>
      <w:r w:rsidR="00C23AC2">
        <w:t xml:space="preserve"> i</w:t>
      </w:r>
      <w:r w:rsidR="009B731D">
        <w:t xml:space="preserve">n relation to some or </w:t>
      </w:r>
      <w:proofErr w:type="gramStart"/>
      <w:r w:rsidR="009B731D">
        <w:t>all of</w:t>
      </w:r>
      <w:proofErr w:type="gramEnd"/>
      <w:r w:rsidR="009B731D">
        <w:t xml:space="preserve"> the relevant articles within </w:t>
      </w:r>
      <w:r w:rsidR="00AC213D">
        <w:t>five days of 17 April 2024</w:t>
      </w:r>
      <w:r w:rsidR="00BA35A9">
        <w:t>.  For those purposes</w:t>
      </w:r>
      <w:r w:rsidR="00B23547">
        <w:t xml:space="preserve">, the relevant articles </w:t>
      </w:r>
      <w:r w:rsidR="00840CC4">
        <w:t>will</w:t>
      </w:r>
      <w:r w:rsidR="007C3BC3">
        <w:t>, at all relevant times,</w:t>
      </w:r>
      <w:r w:rsidR="00840CC4">
        <w:t xml:space="preserve"> be deemed to be</w:t>
      </w:r>
      <w:r w:rsidR="00B23547">
        <w:t xml:space="preserve"> in possession</w:t>
      </w:r>
      <w:r w:rsidR="00E3119D">
        <w:t xml:space="preserve"> of the applicant and not in the possession of the SAPS</w:t>
      </w:r>
      <w:r w:rsidR="00DF5657">
        <w:t>.  The first and fifth respondents shall communicate their decision</w:t>
      </w:r>
      <w:r w:rsidR="005F2ECC">
        <w:t xml:space="preserve">s in respect of the exercise of their powers in writing to the SAPS and </w:t>
      </w:r>
      <w:r w:rsidR="00166F8A">
        <w:t xml:space="preserve">the applicant within the aforesaid </w:t>
      </w:r>
      <w:proofErr w:type="gramStart"/>
      <w:r w:rsidR="002C3E60">
        <w:t>five</w:t>
      </w:r>
      <w:r w:rsidR="00166F8A">
        <w:t xml:space="preserve"> day</w:t>
      </w:r>
      <w:proofErr w:type="gramEnd"/>
      <w:r w:rsidR="00166F8A">
        <w:t xml:space="preserve"> period, so as to afford the second and third respondents an opportunity to restore possession to such of the relevant articles as </w:t>
      </w:r>
      <w:r w:rsidR="003F447A">
        <w:t>will not be seized by the first and/or fifth respondent</w:t>
      </w:r>
      <w:r w:rsidR="002C3E60">
        <w:t xml:space="preserve"> within 10 days of 17 April 2024</w:t>
      </w:r>
      <w:r w:rsidR="00B729D0">
        <w:t>;</w:t>
      </w:r>
      <w:bookmarkEnd w:id="5"/>
    </w:p>
    <w:p w14:paraId="45E877B9" w14:textId="008B7C09" w:rsidR="00B729D0" w:rsidRDefault="009728ED" w:rsidP="009728ED">
      <w:pPr>
        <w:pStyle w:val="WWList2"/>
        <w:numPr>
          <w:ilvl w:val="0"/>
          <w:numId w:val="0"/>
        </w:numPr>
        <w:tabs>
          <w:tab w:val="left" w:pos="1134"/>
        </w:tabs>
        <w:ind w:left="1134" w:hanging="1134"/>
      </w:pPr>
      <w:bookmarkStart w:id="6" w:name="_Ref163032574"/>
      <w:r>
        <w:t>72.5</w:t>
      </w:r>
      <w:r>
        <w:tab/>
      </w:r>
      <w:r w:rsidR="00B729D0">
        <w:t>the second to fourth respondents shall bear the costs of the applicant in the application, including the costs of two counsel where so employed</w:t>
      </w:r>
      <w:r w:rsidR="00E56B2F">
        <w:t>, save for any costs occasioned by the first respondent's opposition</w:t>
      </w:r>
      <w:r w:rsidR="005C17DF">
        <w:t xml:space="preserve"> to the relief sought against </w:t>
      </w:r>
      <w:proofErr w:type="gramStart"/>
      <w:r w:rsidR="005C17DF">
        <w:t>it</w:t>
      </w:r>
      <w:r w:rsidR="00B729D0">
        <w:t>;</w:t>
      </w:r>
      <w:bookmarkEnd w:id="6"/>
      <w:proofErr w:type="gramEnd"/>
    </w:p>
    <w:p w14:paraId="6ADBB7C3" w14:textId="346A1DE1" w:rsidR="00B729D0" w:rsidRDefault="009728ED" w:rsidP="009728ED">
      <w:pPr>
        <w:pStyle w:val="WWList2"/>
        <w:numPr>
          <w:ilvl w:val="0"/>
          <w:numId w:val="0"/>
        </w:numPr>
        <w:tabs>
          <w:tab w:val="left" w:pos="1134"/>
        </w:tabs>
        <w:ind w:left="1134" w:hanging="1134"/>
      </w:pPr>
      <w:bookmarkStart w:id="7" w:name="_Ref162976607"/>
      <w:r>
        <w:t>72.6</w:t>
      </w:r>
      <w:r>
        <w:tab/>
      </w:r>
      <w:r w:rsidR="00877CA8">
        <w:t xml:space="preserve">save as </w:t>
      </w:r>
      <w:r w:rsidR="00C202BF">
        <w:t xml:space="preserve">aforesaid, each party will bear its own costs in the </w:t>
      </w:r>
      <w:proofErr w:type="gramStart"/>
      <w:r w:rsidR="00C202BF">
        <w:t>application</w:t>
      </w:r>
      <w:r w:rsidR="00B729D0">
        <w:t>;</w:t>
      </w:r>
      <w:bookmarkEnd w:id="7"/>
      <w:proofErr w:type="gramEnd"/>
    </w:p>
    <w:p w14:paraId="001C9501" w14:textId="4809A0C9" w:rsidR="00E17F10" w:rsidRDefault="009728ED" w:rsidP="009728ED">
      <w:pPr>
        <w:pStyle w:val="WWList2"/>
        <w:numPr>
          <w:ilvl w:val="0"/>
          <w:numId w:val="0"/>
        </w:numPr>
        <w:tabs>
          <w:tab w:val="left" w:pos="1134"/>
        </w:tabs>
        <w:ind w:left="1134" w:hanging="1134"/>
      </w:pPr>
      <w:r>
        <w:t>72.7</w:t>
      </w:r>
      <w:r>
        <w:tab/>
      </w:r>
      <w:r w:rsidR="00E17F10">
        <w:t xml:space="preserve">the orders in </w:t>
      </w:r>
      <w:r w:rsidR="00E17F10">
        <w:fldChar w:fldCharType="begin"/>
      </w:r>
      <w:r w:rsidR="00E17F10">
        <w:instrText xml:space="preserve"> REF _Ref162976602 \r \h </w:instrText>
      </w:r>
      <w:r w:rsidR="00E17F10">
        <w:fldChar w:fldCharType="separate"/>
      </w:r>
      <w:r w:rsidR="0026532D">
        <w:t>72.3</w:t>
      </w:r>
      <w:r w:rsidR="00E17F10">
        <w:fldChar w:fldCharType="end"/>
      </w:r>
      <w:r w:rsidR="00E17F10">
        <w:t xml:space="preserve"> to </w:t>
      </w:r>
      <w:r w:rsidR="00E17F10">
        <w:fldChar w:fldCharType="begin"/>
      </w:r>
      <w:r w:rsidR="00E17F10">
        <w:instrText xml:space="preserve"> REF _Ref162976607 \r \h </w:instrText>
      </w:r>
      <w:r w:rsidR="00E17F10">
        <w:fldChar w:fldCharType="separate"/>
      </w:r>
      <w:r w:rsidR="0026532D">
        <w:t>72.6</w:t>
      </w:r>
      <w:r w:rsidR="00E17F10">
        <w:fldChar w:fldCharType="end"/>
      </w:r>
      <w:r w:rsidR="00E17F10">
        <w:t xml:space="preserve"> </w:t>
      </w:r>
      <w:r w:rsidR="009E10A6">
        <w:t>("</w:t>
      </w:r>
      <w:r w:rsidR="009E10A6" w:rsidRPr="009E10A6">
        <w:rPr>
          <w:b/>
          <w:bCs/>
        </w:rPr>
        <w:t>the relevant orders</w:t>
      </w:r>
      <w:r w:rsidR="009E10A6">
        <w:t xml:space="preserve">") </w:t>
      </w:r>
      <w:r w:rsidR="00E17F10">
        <w:t xml:space="preserve">will </w:t>
      </w:r>
      <w:r w:rsidR="00246FAC">
        <w:t xml:space="preserve">come into effect in the manner set forth in </w:t>
      </w:r>
      <w:r w:rsidR="00AE61BC">
        <w:fldChar w:fldCharType="begin"/>
      </w:r>
      <w:r w:rsidR="00AE61BC">
        <w:instrText xml:space="preserve"> REF _Ref163033979 \r \h </w:instrText>
      </w:r>
      <w:r w:rsidR="00AE61BC">
        <w:fldChar w:fldCharType="separate"/>
      </w:r>
      <w:r w:rsidR="0026532D">
        <w:t>72.8</w:t>
      </w:r>
      <w:r w:rsidR="00AE61BC">
        <w:fldChar w:fldCharType="end"/>
      </w:r>
      <w:r w:rsidR="00AE61BC">
        <w:t xml:space="preserve"> below;</w:t>
      </w:r>
    </w:p>
    <w:p w14:paraId="54486D06" w14:textId="57930C67" w:rsidR="001C7DF5" w:rsidRDefault="009728ED" w:rsidP="009728ED">
      <w:pPr>
        <w:pStyle w:val="WWList2"/>
        <w:numPr>
          <w:ilvl w:val="0"/>
          <w:numId w:val="0"/>
        </w:numPr>
        <w:tabs>
          <w:tab w:val="left" w:pos="1134"/>
        </w:tabs>
        <w:ind w:left="1134" w:hanging="1134"/>
      </w:pPr>
      <w:bookmarkStart w:id="8" w:name="_Ref163033979"/>
      <w:r>
        <w:t>72.8</w:t>
      </w:r>
      <w:r>
        <w:tab/>
      </w:r>
      <w:r w:rsidR="00110526">
        <w:t>the applicant and the first to f</w:t>
      </w:r>
      <w:r w:rsidR="001841B0">
        <w:t>ourth</w:t>
      </w:r>
      <w:r w:rsidR="00110526">
        <w:t xml:space="preserve"> respondents </w:t>
      </w:r>
      <w:r w:rsidR="001841B0">
        <w:t>are afforded the opportunity</w:t>
      </w:r>
      <w:r w:rsidR="0053297D">
        <w:t xml:space="preserve"> make written submissions </w:t>
      </w:r>
      <w:r w:rsidR="0038491C">
        <w:t>in relation to</w:t>
      </w:r>
      <w:r w:rsidR="001C62C3">
        <w:t xml:space="preserve"> </w:t>
      </w:r>
      <w:r w:rsidR="0053297D">
        <w:t>the order</w:t>
      </w:r>
      <w:r w:rsidR="00270089">
        <w:t>s</w:t>
      </w:r>
      <w:r w:rsidR="0053297D">
        <w:t xml:space="preserve"> set forth in</w:t>
      </w:r>
      <w:r w:rsidR="00270089">
        <w:t xml:space="preserve"> </w:t>
      </w:r>
      <w:r w:rsidR="00892902">
        <w:fldChar w:fldCharType="begin"/>
      </w:r>
      <w:r w:rsidR="00892902">
        <w:instrText xml:space="preserve"> REF _Ref162976602 \r \h </w:instrText>
      </w:r>
      <w:r w:rsidR="00892902">
        <w:fldChar w:fldCharType="separate"/>
      </w:r>
      <w:r w:rsidR="0026532D">
        <w:t>72.3</w:t>
      </w:r>
      <w:r w:rsidR="00892902">
        <w:fldChar w:fldCharType="end"/>
      </w:r>
      <w:r w:rsidR="0083253D">
        <w:t xml:space="preserve"> and</w:t>
      </w:r>
      <w:r w:rsidR="00892902">
        <w:t xml:space="preserve"> </w:t>
      </w:r>
      <w:r w:rsidR="00892902">
        <w:fldChar w:fldCharType="begin"/>
      </w:r>
      <w:r w:rsidR="00892902">
        <w:instrText xml:space="preserve"> REF _Ref162976135 \r \h </w:instrText>
      </w:r>
      <w:r w:rsidR="00892902">
        <w:fldChar w:fldCharType="separate"/>
      </w:r>
      <w:r w:rsidR="0026532D">
        <w:t>72.4</w:t>
      </w:r>
      <w:r w:rsidR="00892902">
        <w:fldChar w:fldCharType="end"/>
      </w:r>
      <w:r w:rsidR="00447953">
        <w:t xml:space="preserve"> (and any impact thereof on the costs</w:t>
      </w:r>
      <w:r w:rsidR="00936F67">
        <w:t xml:space="preserve"> orders in </w:t>
      </w:r>
      <w:r w:rsidR="00936F67">
        <w:fldChar w:fldCharType="begin"/>
      </w:r>
      <w:r w:rsidR="00936F67">
        <w:instrText xml:space="preserve"> REF _Ref163032574 \r \h </w:instrText>
      </w:r>
      <w:r w:rsidR="00936F67">
        <w:fldChar w:fldCharType="separate"/>
      </w:r>
      <w:r w:rsidR="0026532D">
        <w:t>72.5</w:t>
      </w:r>
      <w:r w:rsidR="00936F67">
        <w:fldChar w:fldCharType="end"/>
      </w:r>
      <w:r w:rsidR="00936F67">
        <w:t xml:space="preserve"> and </w:t>
      </w:r>
      <w:r w:rsidR="00936F67">
        <w:fldChar w:fldCharType="begin"/>
      </w:r>
      <w:r w:rsidR="00936F67">
        <w:instrText xml:space="preserve"> REF _Ref162976607 \r \h </w:instrText>
      </w:r>
      <w:r w:rsidR="00936F67">
        <w:fldChar w:fldCharType="separate"/>
      </w:r>
      <w:r w:rsidR="0026532D">
        <w:t>72.6</w:t>
      </w:r>
      <w:r w:rsidR="00936F67">
        <w:fldChar w:fldCharType="end"/>
      </w:r>
      <w:r w:rsidR="00447953">
        <w:t>)</w:t>
      </w:r>
      <w:r w:rsidR="00892902">
        <w:t xml:space="preserve"> by no later than </w:t>
      </w:r>
      <w:r w:rsidR="00BE2414">
        <w:t xml:space="preserve">17:00 </w:t>
      </w:r>
      <w:r w:rsidR="00BE2414">
        <w:lastRenderedPageBreak/>
        <w:t xml:space="preserve">on </w:t>
      </w:r>
      <w:r w:rsidR="002C2397">
        <w:t>17 April 2024</w:t>
      </w:r>
      <w:r w:rsidR="00BE2414">
        <w:t xml:space="preserve">.  Should no written submissions be received by the aforesaid </w:t>
      </w:r>
      <w:r w:rsidR="004223F3">
        <w:t xml:space="preserve">time and </w:t>
      </w:r>
      <w:r w:rsidR="00BE2414">
        <w:t>date</w:t>
      </w:r>
      <w:r w:rsidR="00D33C83">
        <w:t xml:space="preserve">, </w:t>
      </w:r>
      <w:r w:rsidR="00FD5418">
        <w:t xml:space="preserve">the </w:t>
      </w:r>
      <w:r w:rsidR="002E6B78">
        <w:t>relevant</w:t>
      </w:r>
      <w:r w:rsidR="00FD5418">
        <w:t xml:space="preserve"> orders </w:t>
      </w:r>
      <w:r w:rsidR="00A2691E">
        <w:t>will become final</w:t>
      </w:r>
      <w:r w:rsidR="00CD1792">
        <w:t xml:space="preserve"> and come into effect</w:t>
      </w:r>
      <w:r w:rsidR="00A2691E">
        <w:t xml:space="preserve"> immediately after 17:00 on 17 April 2024</w:t>
      </w:r>
      <w:r w:rsidR="00270089">
        <w:t>.</w:t>
      </w:r>
      <w:r w:rsidR="00A2691E">
        <w:t xml:space="preserve">  Should written submissions be received</w:t>
      </w:r>
      <w:r w:rsidR="00EE117B">
        <w:t xml:space="preserve"> by the aforesaid time and date</w:t>
      </w:r>
      <w:r w:rsidR="00A2691E">
        <w:t>, th</w:t>
      </w:r>
      <w:r w:rsidR="00732771">
        <w:t xml:space="preserve">e </w:t>
      </w:r>
      <w:r w:rsidR="00C4554E">
        <w:t>relevant</w:t>
      </w:r>
      <w:r w:rsidR="00732771">
        <w:t xml:space="preserve"> orders </w:t>
      </w:r>
      <w:r w:rsidR="00F61386">
        <w:t>will</w:t>
      </w:r>
      <w:r w:rsidR="008B6A83">
        <w:t xml:space="preserve"> not come into effect </w:t>
      </w:r>
      <w:r w:rsidR="00331CE2">
        <w:t xml:space="preserve">until this Court has </w:t>
      </w:r>
      <w:r w:rsidR="002E6B78">
        <w:t xml:space="preserve">considered the further submissions and handed down final orders, with or without modifications to the </w:t>
      </w:r>
      <w:r w:rsidR="00C4554E">
        <w:t>relevant</w:t>
      </w:r>
      <w:r w:rsidR="002E6B78">
        <w:t xml:space="preserve"> orders. </w:t>
      </w:r>
      <w:bookmarkEnd w:id="8"/>
    </w:p>
    <w:p w14:paraId="66165D77" w14:textId="3A2DE1F6" w:rsidR="00CC4A7C" w:rsidRPr="001B7291" w:rsidRDefault="00CC4A7C" w:rsidP="00042224">
      <w:pPr>
        <w:keepNext/>
        <w:suppressAutoHyphens w:val="0"/>
        <w:spacing w:before="240" w:after="240" w:line="480" w:lineRule="auto"/>
        <w:jc w:val="both"/>
        <w:rPr>
          <w:rFonts w:cs="Arial"/>
          <w:b/>
          <w:color w:val="000000" w:themeColor="text1"/>
          <w:u w:val="single"/>
        </w:rPr>
      </w:pPr>
      <w:r w:rsidRPr="001B7291">
        <w:rPr>
          <w:rFonts w:cs="Arial"/>
          <w:b/>
          <w:color w:val="000000" w:themeColor="text1"/>
          <w:u w:val="single"/>
        </w:rPr>
        <w:t>Hand-down and date of</w:t>
      </w:r>
      <w:r w:rsidR="00C4554E">
        <w:rPr>
          <w:rFonts w:cs="Arial"/>
          <w:b/>
          <w:color w:val="000000" w:themeColor="text1"/>
          <w:u w:val="single"/>
        </w:rPr>
        <w:t xml:space="preserve"> judgment</w:t>
      </w:r>
    </w:p>
    <w:p w14:paraId="030C9D17" w14:textId="272F2B0B" w:rsidR="00CC4A7C" w:rsidRPr="001B7291" w:rsidRDefault="009728ED" w:rsidP="009728ED">
      <w:pPr>
        <w:pStyle w:val="WWList1"/>
        <w:numPr>
          <w:ilvl w:val="0"/>
          <w:numId w:val="0"/>
        </w:numPr>
        <w:tabs>
          <w:tab w:val="left" w:pos="567"/>
        </w:tabs>
        <w:ind w:left="567" w:hanging="567"/>
        <w:rPr>
          <w:lang w:val="en-US"/>
        </w:rPr>
      </w:pPr>
      <w:r w:rsidRPr="001B7291">
        <w:rPr>
          <w:lang w:val="en-US"/>
        </w:rPr>
        <w:t>73.</w:t>
      </w:r>
      <w:r w:rsidRPr="001B7291">
        <w:rPr>
          <w:lang w:val="en-US"/>
        </w:rPr>
        <w:tab/>
      </w:r>
      <w:r w:rsidR="00CC4A7C" w:rsidRPr="001B7291">
        <w:rPr>
          <w:lang w:val="en-US"/>
        </w:rPr>
        <w:t>Th</w:t>
      </w:r>
      <w:r w:rsidR="00357800">
        <w:rPr>
          <w:lang w:val="en-US"/>
        </w:rPr>
        <w:t>is judgment is</w:t>
      </w:r>
      <w:r w:rsidR="00CC4A7C" w:rsidRPr="001B7291">
        <w:rPr>
          <w:lang w:val="en-US"/>
        </w:rPr>
        <w:t xml:space="preserve"> handed down electronically by circulation to the parties or their legal representatives by email and by uploading the judgment onto </w:t>
      </w:r>
      <w:proofErr w:type="spellStart"/>
      <w:r w:rsidR="00CC4A7C" w:rsidRPr="001B7291">
        <w:rPr>
          <w:lang w:val="en-US"/>
        </w:rPr>
        <w:t>Caselines</w:t>
      </w:r>
      <w:proofErr w:type="spellEnd"/>
      <w:r w:rsidR="00CC4A7C" w:rsidRPr="001B7291">
        <w:rPr>
          <w:lang w:val="en-US"/>
        </w:rPr>
        <w:t xml:space="preserve">.  The date and time for hand down of the </w:t>
      </w:r>
      <w:r w:rsidR="00357800">
        <w:rPr>
          <w:lang w:val="en-US"/>
        </w:rPr>
        <w:t>judgment</w:t>
      </w:r>
      <w:r w:rsidR="00CC4A7C" w:rsidRPr="001B7291">
        <w:rPr>
          <w:lang w:val="en-US"/>
        </w:rPr>
        <w:t xml:space="preserve"> are deemed to be</w:t>
      </w:r>
      <w:r w:rsidR="001B7291" w:rsidRPr="001B7291">
        <w:rPr>
          <w:lang w:val="en-US"/>
        </w:rPr>
        <w:t xml:space="preserve"> </w:t>
      </w:r>
      <w:r w:rsidR="00547C63">
        <w:rPr>
          <w:lang w:val="en-US"/>
        </w:rPr>
        <w:t>1</w:t>
      </w:r>
      <w:r w:rsidR="00C4554E">
        <w:rPr>
          <w:lang w:val="en-US"/>
        </w:rPr>
        <w:t>7</w:t>
      </w:r>
      <w:r w:rsidR="00547C63">
        <w:rPr>
          <w:lang w:val="en-US"/>
        </w:rPr>
        <w:t>:00</w:t>
      </w:r>
      <w:r w:rsidR="00131557">
        <w:rPr>
          <w:lang w:val="en-US"/>
        </w:rPr>
        <w:t xml:space="preserve"> on </w:t>
      </w:r>
      <w:r w:rsidR="00C4554E">
        <w:rPr>
          <w:lang w:val="en-US"/>
        </w:rPr>
        <w:t>3</w:t>
      </w:r>
      <w:r w:rsidR="00357800">
        <w:rPr>
          <w:lang w:val="en-US"/>
        </w:rPr>
        <w:t xml:space="preserve"> April</w:t>
      </w:r>
      <w:r w:rsidR="00131557">
        <w:rPr>
          <w:lang w:val="en-US"/>
        </w:rPr>
        <w:t xml:space="preserve"> 2024</w:t>
      </w:r>
      <w:r w:rsidR="00CC4A7C" w:rsidRPr="001B7291">
        <w:rPr>
          <w:lang w:val="en-US"/>
        </w:rPr>
        <w:t>.</w:t>
      </w:r>
    </w:p>
    <w:p w14:paraId="4F527F1F" w14:textId="77777777" w:rsidR="00CC4A7C" w:rsidRDefault="00CC4A7C" w:rsidP="005E635C">
      <w:pPr>
        <w:suppressAutoHyphens w:val="0"/>
        <w:spacing w:after="240" w:line="360" w:lineRule="auto"/>
        <w:ind w:right="40"/>
        <w:rPr>
          <w:rFonts w:cs="Arial"/>
        </w:rPr>
      </w:pPr>
    </w:p>
    <w:p w14:paraId="2AE3A3FA" w14:textId="77777777" w:rsidR="00CC4A7C" w:rsidRPr="005869AB" w:rsidRDefault="00CC4A7C" w:rsidP="001B7291">
      <w:pPr>
        <w:suppressAutoHyphens w:val="0"/>
        <w:spacing w:after="240"/>
        <w:ind w:left="5103" w:right="40"/>
        <w:rPr>
          <w:rFonts w:cs="Arial"/>
        </w:rPr>
      </w:pPr>
      <w:r w:rsidRPr="00493CF4">
        <w:rPr>
          <w:rFonts w:cs="Arial"/>
        </w:rPr>
        <w:t>__________________</w:t>
      </w:r>
      <w:r w:rsidRPr="005869AB">
        <w:rPr>
          <w:rFonts w:cs="Arial"/>
        </w:rPr>
        <w:t>___</w:t>
      </w:r>
      <w:r>
        <w:rPr>
          <w:rFonts w:cs="Arial"/>
        </w:rPr>
        <w:t>__________</w:t>
      </w:r>
    </w:p>
    <w:p w14:paraId="7A166DE1" w14:textId="77777777" w:rsidR="00CC4A7C" w:rsidRPr="00493CF4" w:rsidRDefault="00CC4A7C" w:rsidP="001B7291">
      <w:pPr>
        <w:suppressAutoHyphens w:val="0"/>
        <w:spacing w:after="240"/>
        <w:ind w:left="5103" w:right="40"/>
        <w:rPr>
          <w:rFonts w:cs="Arial"/>
          <w:b/>
        </w:rPr>
      </w:pPr>
      <w:r w:rsidRPr="00493CF4">
        <w:rPr>
          <w:rFonts w:cs="Arial"/>
          <w:b/>
        </w:rPr>
        <w:t>VM MOVSHOVICH</w:t>
      </w:r>
    </w:p>
    <w:p w14:paraId="49825C8E" w14:textId="77777777" w:rsidR="00CC4A7C" w:rsidRPr="00493CF4" w:rsidRDefault="00CC4A7C" w:rsidP="001B7291">
      <w:pPr>
        <w:suppressAutoHyphens w:val="0"/>
        <w:spacing w:after="240"/>
        <w:ind w:left="5103" w:right="40"/>
        <w:rPr>
          <w:rFonts w:cs="Arial"/>
          <w:b/>
        </w:rPr>
      </w:pPr>
      <w:r w:rsidRPr="00493CF4">
        <w:rPr>
          <w:rFonts w:cs="Arial"/>
          <w:b/>
        </w:rPr>
        <w:t>ACTING JUDGE OF THE HIGH COURT</w:t>
      </w:r>
    </w:p>
    <w:p w14:paraId="009D4BE8" w14:textId="77777777" w:rsidR="00225C29" w:rsidRDefault="00225C29" w:rsidP="005E635C">
      <w:pPr>
        <w:suppressAutoHyphens w:val="0"/>
        <w:spacing w:after="240" w:line="360" w:lineRule="auto"/>
        <w:ind w:left="3969" w:right="40" w:hanging="3969"/>
        <w:jc w:val="both"/>
        <w:rPr>
          <w:rFonts w:cs="Arial"/>
        </w:rPr>
      </w:pPr>
    </w:p>
    <w:p w14:paraId="5E0DD636" w14:textId="30E7EC3C" w:rsidR="00E71819" w:rsidRDefault="0022256E" w:rsidP="005E635C">
      <w:pPr>
        <w:suppressAutoHyphens w:val="0"/>
        <w:spacing w:after="240" w:line="360" w:lineRule="auto"/>
        <w:ind w:left="3969" w:right="40" w:hanging="3969"/>
        <w:jc w:val="both"/>
        <w:rPr>
          <w:rFonts w:cs="Arial"/>
        </w:rPr>
      </w:pPr>
      <w:r>
        <w:rPr>
          <w:rFonts w:cs="Arial"/>
        </w:rPr>
        <w:t>Applicant</w:t>
      </w:r>
      <w:r w:rsidR="000B33D7">
        <w:rPr>
          <w:rFonts w:cs="Arial"/>
        </w:rPr>
        <w:t>'s</w:t>
      </w:r>
      <w:r w:rsidR="00E71819">
        <w:rPr>
          <w:rFonts w:cs="Arial"/>
        </w:rPr>
        <w:t xml:space="preserve"> </w:t>
      </w:r>
      <w:r w:rsidR="00CC4A7C">
        <w:rPr>
          <w:rFonts w:cs="Arial"/>
        </w:rPr>
        <w:t>Counsel:</w:t>
      </w:r>
      <w:r w:rsidR="00CC4A7C">
        <w:rPr>
          <w:rFonts w:cs="Arial"/>
        </w:rPr>
        <w:tab/>
      </w:r>
      <w:r w:rsidR="006E3BE1">
        <w:rPr>
          <w:rFonts w:cs="Arial"/>
        </w:rPr>
        <w:t>E Kilian SC</w:t>
      </w:r>
      <w:r w:rsidR="003E57C8">
        <w:rPr>
          <w:rFonts w:cs="Arial"/>
        </w:rPr>
        <w:t xml:space="preserve"> and C Cremen</w:t>
      </w:r>
    </w:p>
    <w:p w14:paraId="24DA5144" w14:textId="0EE31C96" w:rsidR="00CC4A7C" w:rsidRDefault="0015521A" w:rsidP="005E635C">
      <w:pPr>
        <w:suppressAutoHyphens w:val="0"/>
        <w:spacing w:after="240" w:line="360" w:lineRule="auto"/>
        <w:ind w:left="3969" w:right="40" w:hanging="3969"/>
        <w:jc w:val="both"/>
        <w:rPr>
          <w:rFonts w:cs="Arial"/>
        </w:rPr>
      </w:pPr>
      <w:r>
        <w:rPr>
          <w:rFonts w:cs="Arial"/>
        </w:rPr>
        <w:t>Applicant</w:t>
      </w:r>
      <w:r w:rsidR="000B33D7">
        <w:rPr>
          <w:rFonts w:cs="Arial"/>
        </w:rPr>
        <w:t>'s</w:t>
      </w:r>
      <w:r w:rsidR="00CC4A7C">
        <w:rPr>
          <w:rFonts w:cs="Arial"/>
        </w:rPr>
        <w:t xml:space="preserve"> Attorneys:</w:t>
      </w:r>
      <w:r w:rsidR="00CC4A7C">
        <w:rPr>
          <w:rFonts w:cs="Arial"/>
        </w:rPr>
        <w:tab/>
      </w:r>
      <w:r w:rsidR="000B33D7">
        <w:rPr>
          <w:rFonts w:cs="Arial"/>
        </w:rPr>
        <w:t>Symes Inc</w:t>
      </w:r>
    </w:p>
    <w:p w14:paraId="666C5692" w14:textId="77777777" w:rsidR="00CC4A7C" w:rsidRDefault="00CC4A7C" w:rsidP="005E635C">
      <w:pPr>
        <w:suppressAutoHyphens w:val="0"/>
        <w:spacing w:after="240" w:line="360" w:lineRule="auto"/>
        <w:ind w:left="3969" w:right="40" w:hanging="3969"/>
        <w:jc w:val="both"/>
        <w:rPr>
          <w:rFonts w:cs="Arial"/>
        </w:rPr>
      </w:pPr>
    </w:p>
    <w:p w14:paraId="7F9D0BC0" w14:textId="3C6DBA23" w:rsidR="00B663C1" w:rsidRDefault="00D474F2" w:rsidP="005E635C">
      <w:pPr>
        <w:suppressAutoHyphens w:val="0"/>
        <w:spacing w:after="240" w:line="360" w:lineRule="auto"/>
        <w:ind w:left="3969" w:right="40" w:hanging="3969"/>
        <w:jc w:val="both"/>
        <w:rPr>
          <w:rFonts w:cs="Arial"/>
        </w:rPr>
      </w:pPr>
      <w:r>
        <w:rPr>
          <w:rFonts w:cs="Arial"/>
        </w:rPr>
        <w:t xml:space="preserve">First </w:t>
      </w:r>
      <w:r w:rsidR="007B3B8B">
        <w:rPr>
          <w:rFonts w:cs="Arial"/>
        </w:rPr>
        <w:t>Respondents'</w:t>
      </w:r>
      <w:r w:rsidR="00B663C1">
        <w:rPr>
          <w:rFonts w:cs="Arial"/>
        </w:rPr>
        <w:t xml:space="preserve"> Counse</w:t>
      </w:r>
      <w:r w:rsidR="00357ED4">
        <w:rPr>
          <w:rFonts w:cs="Arial"/>
        </w:rPr>
        <w:t>l</w:t>
      </w:r>
      <w:r w:rsidR="00B663C1">
        <w:rPr>
          <w:rFonts w:cs="Arial"/>
        </w:rPr>
        <w:t>:</w:t>
      </w:r>
      <w:r w:rsidR="00B663C1">
        <w:rPr>
          <w:rFonts w:cs="Arial"/>
        </w:rPr>
        <w:tab/>
      </w:r>
      <w:r w:rsidR="005D6B0F">
        <w:rPr>
          <w:rFonts w:cs="Arial"/>
        </w:rPr>
        <w:t>JM Berger and EC Chabalala</w:t>
      </w:r>
    </w:p>
    <w:p w14:paraId="33EF081F" w14:textId="5CACA9BD" w:rsidR="00CC4A7C" w:rsidRDefault="00D474F2" w:rsidP="005E635C">
      <w:pPr>
        <w:suppressAutoHyphens w:val="0"/>
        <w:spacing w:after="240" w:line="360" w:lineRule="auto"/>
        <w:ind w:left="3969" w:right="40" w:hanging="3969"/>
        <w:jc w:val="both"/>
        <w:rPr>
          <w:rFonts w:cs="Arial"/>
        </w:rPr>
      </w:pPr>
      <w:r>
        <w:rPr>
          <w:rFonts w:cs="Arial"/>
        </w:rPr>
        <w:t xml:space="preserve">First </w:t>
      </w:r>
      <w:r w:rsidR="007B3B8B">
        <w:rPr>
          <w:rFonts w:cs="Arial"/>
        </w:rPr>
        <w:t>Responde</w:t>
      </w:r>
      <w:r w:rsidR="00B663C1">
        <w:rPr>
          <w:rFonts w:cs="Arial"/>
        </w:rPr>
        <w:t>nt</w:t>
      </w:r>
      <w:r w:rsidR="007B3B8B">
        <w:rPr>
          <w:rFonts w:cs="Arial"/>
        </w:rPr>
        <w:t>s'</w:t>
      </w:r>
      <w:r w:rsidR="00B663C1">
        <w:rPr>
          <w:rFonts w:cs="Arial"/>
        </w:rPr>
        <w:t xml:space="preserve"> Attorneys</w:t>
      </w:r>
      <w:r w:rsidR="00A4498E">
        <w:rPr>
          <w:rFonts w:cs="Arial"/>
        </w:rPr>
        <w:t>:</w:t>
      </w:r>
      <w:r w:rsidR="00CC4A7C">
        <w:rPr>
          <w:rFonts w:cs="Arial"/>
        </w:rPr>
        <w:tab/>
      </w:r>
      <w:r w:rsidR="002B5616">
        <w:rPr>
          <w:rFonts w:cs="Arial"/>
        </w:rPr>
        <w:t>Maluleke Inc</w:t>
      </w:r>
    </w:p>
    <w:p w14:paraId="74175018" w14:textId="77777777" w:rsidR="00CC4A7C" w:rsidRDefault="00CC4A7C" w:rsidP="005E635C">
      <w:pPr>
        <w:suppressAutoHyphens w:val="0"/>
        <w:spacing w:after="240" w:line="360" w:lineRule="auto"/>
        <w:ind w:left="3969" w:right="40" w:hanging="3969"/>
        <w:jc w:val="both"/>
        <w:rPr>
          <w:rFonts w:cs="Arial"/>
        </w:rPr>
      </w:pPr>
    </w:p>
    <w:p w14:paraId="6E6D3BDB" w14:textId="13CCAC3A" w:rsidR="00D474F2" w:rsidRDefault="00D474F2" w:rsidP="00FE39D1">
      <w:pPr>
        <w:keepNext/>
        <w:suppressAutoHyphens w:val="0"/>
        <w:spacing w:after="240" w:line="360" w:lineRule="auto"/>
        <w:ind w:left="3969" w:right="40" w:hanging="3969"/>
        <w:jc w:val="both"/>
        <w:rPr>
          <w:rFonts w:cs="Arial"/>
        </w:rPr>
      </w:pPr>
      <w:r>
        <w:rPr>
          <w:rFonts w:cs="Arial"/>
        </w:rPr>
        <w:t>Second to Fourth Respondents' Counsel:</w:t>
      </w:r>
      <w:r>
        <w:rPr>
          <w:rFonts w:cs="Arial"/>
        </w:rPr>
        <w:tab/>
      </w:r>
      <w:r w:rsidR="00F01568">
        <w:rPr>
          <w:rFonts w:cs="Arial"/>
        </w:rPr>
        <w:t>CR Minnaar</w:t>
      </w:r>
    </w:p>
    <w:p w14:paraId="6F9E2A34" w14:textId="315C8ECF" w:rsidR="00D474F2" w:rsidRDefault="005D6B0F" w:rsidP="00D474F2">
      <w:pPr>
        <w:suppressAutoHyphens w:val="0"/>
        <w:spacing w:after="240" w:line="360" w:lineRule="auto"/>
        <w:ind w:left="3969" w:right="40" w:hanging="3969"/>
        <w:jc w:val="both"/>
        <w:rPr>
          <w:rFonts w:cs="Arial"/>
        </w:rPr>
      </w:pPr>
      <w:r>
        <w:rPr>
          <w:rFonts w:cs="Arial"/>
        </w:rPr>
        <w:t xml:space="preserve">Second to Fourth </w:t>
      </w:r>
      <w:r w:rsidR="00D474F2">
        <w:rPr>
          <w:rFonts w:cs="Arial"/>
        </w:rPr>
        <w:t>Respondents' Attorneys:</w:t>
      </w:r>
      <w:r w:rsidR="00D474F2">
        <w:rPr>
          <w:rFonts w:cs="Arial"/>
        </w:rPr>
        <w:tab/>
      </w:r>
      <w:r w:rsidR="0021588B">
        <w:rPr>
          <w:rFonts w:cs="Arial"/>
        </w:rPr>
        <w:t>State Attorney</w:t>
      </w:r>
    </w:p>
    <w:p w14:paraId="65CC6C8D" w14:textId="77777777" w:rsidR="00D474F2" w:rsidRDefault="00D474F2" w:rsidP="005E635C">
      <w:pPr>
        <w:suppressAutoHyphens w:val="0"/>
        <w:spacing w:after="240" w:line="360" w:lineRule="auto"/>
        <w:ind w:left="3969" w:right="40" w:hanging="3969"/>
        <w:jc w:val="both"/>
        <w:rPr>
          <w:rFonts w:cs="Arial"/>
        </w:rPr>
      </w:pPr>
    </w:p>
    <w:p w14:paraId="3D68A9D2" w14:textId="078D09C5" w:rsidR="00CC4A7C" w:rsidRPr="00277544" w:rsidRDefault="00CC4A7C" w:rsidP="005E635C">
      <w:pPr>
        <w:suppressAutoHyphens w:val="0"/>
        <w:spacing w:after="240" w:line="360" w:lineRule="auto"/>
        <w:ind w:left="3969" w:right="40" w:hanging="3969"/>
        <w:jc w:val="both"/>
        <w:rPr>
          <w:rFonts w:cs="Arial"/>
        </w:rPr>
      </w:pPr>
      <w:r>
        <w:rPr>
          <w:rFonts w:cs="Arial"/>
        </w:rPr>
        <w:t xml:space="preserve">Date of </w:t>
      </w:r>
      <w:r w:rsidR="00017A00">
        <w:rPr>
          <w:rFonts w:cs="Arial"/>
        </w:rPr>
        <w:t>Hearing</w:t>
      </w:r>
      <w:r>
        <w:rPr>
          <w:rFonts w:cs="Arial"/>
        </w:rPr>
        <w:t>:</w:t>
      </w:r>
      <w:r>
        <w:rPr>
          <w:rFonts w:cs="Arial"/>
        </w:rPr>
        <w:tab/>
      </w:r>
      <w:r w:rsidR="005C7B57">
        <w:rPr>
          <w:rFonts w:cs="Arial"/>
        </w:rPr>
        <w:t>7</w:t>
      </w:r>
      <w:r w:rsidR="00017A00">
        <w:rPr>
          <w:rFonts w:cs="Arial"/>
        </w:rPr>
        <w:t xml:space="preserve"> July 2023</w:t>
      </w:r>
    </w:p>
    <w:p w14:paraId="0B35E8A9" w14:textId="10FD233D" w:rsidR="00555AFA" w:rsidRPr="00277544" w:rsidRDefault="00CC4A7C" w:rsidP="005E635C">
      <w:pPr>
        <w:suppressAutoHyphens w:val="0"/>
        <w:spacing w:after="240" w:line="360" w:lineRule="auto"/>
        <w:ind w:left="3969" w:right="40" w:hanging="3969"/>
        <w:jc w:val="both"/>
        <w:rPr>
          <w:rFonts w:cs="Arial"/>
        </w:rPr>
      </w:pPr>
      <w:r w:rsidRPr="00277544">
        <w:rPr>
          <w:rFonts w:cs="Arial"/>
        </w:rPr>
        <w:t xml:space="preserve">Date of </w:t>
      </w:r>
      <w:r w:rsidR="005C7B57">
        <w:rPr>
          <w:rFonts w:cs="Arial"/>
        </w:rPr>
        <w:t>Judgment</w:t>
      </w:r>
      <w:r w:rsidRPr="00277544">
        <w:rPr>
          <w:rFonts w:cs="Arial"/>
        </w:rPr>
        <w:t>:</w:t>
      </w:r>
      <w:r w:rsidRPr="00277544">
        <w:rPr>
          <w:rFonts w:cs="Arial"/>
        </w:rPr>
        <w:tab/>
      </w:r>
      <w:r w:rsidR="00017A00">
        <w:rPr>
          <w:rFonts w:cs="Arial"/>
        </w:rPr>
        <w:t>3 April</w:t>
      </w:r>
      <w:r w:rsidR="00242E23">
        <w:rPr>
          <w:rFonts w:cs="Arial"/>
        </w:rPr>
        <w:t xml:space="preserve"> 2024</w:t>
      </w:r>
    </w:p>
    <w:sectPr w:rsidR="00555AFA" w:rsidRPr="00277544" w:rsidSect="007E77EF">
      <w:headerReference w:type="default" r:id="rId13"/>
      <w:footerReference w:type="default" r:id="rId14"/>
      <w:pgSz w:w="11906" w:h="16838"/>
      <w:pgMar w:top="1276" w:right="907"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C5521" w14:textId="77777777" w:rsidR="007E77EF" w:rsidRDefault="007E77EF">
      <w:r>
        <w:separator/>
      </w:r>
    </w:p>
  </w:endnote>
  <w:endnote w:type="continuationSeparator" w:id="0">
    <w:p w14:paraId="139D8B1E" w14:textId="77777777" w:rsidR="007E77EF" w:rsidRDefault="007E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MT">
    <w:altName w:val="Segoe Prin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EC59" w14:textId="77777777" w:rsidR="00B32045" w:rsidRDefault="00B32045" w:rsidP="008935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252BE" w14:textId="77777777" w:rsidR="007E77EF" w:rsidRDefault="007E77EF">
      <w:r>
        <w:separator/>
      </w:r>
    </w:p>
  </w:footnote>
  <w:footnote w:type="continuationSeparator" w:id="0">
    <w:p w14:paraId="1C7A5B2F" w14:textId="77777777" w:rsidR="007E77EF" w:rsidRDefault="007E77EF">
      <w:r>
        <w:continuationSeparator/>
      </w:r>
    </w:p>
  </w:footnote>
  <w:footnote w:id="1">
    <w:p w14:paraId="663BE48A" w14:textId="2EC5D5BF" w:rsidR="00E10441" w:rsidRPr="00E10441" w:rsidRDefault="00E10441">
      <w:pPr>
        <w:pStyle w:val="FootnoteText"/>
        <w:rPr>
          <w:lang w:val="en-US"/>
        </w:rPr>
      </w:pPr>
      <w:r>
        <w:rPr>
          <w:rStyle w:val="FootnoteReference"/>
        </w:rPr>
        <w:footnoteRef/>
      </w:r>
      <w:r>
        <w:t xml:space="preserve"> </w:t>
      </w:r>
      <w:r>
        <w:rPr>
          <w:lang w:val="en-US"/>
        </w:rPr>
        <w:tab/>
      </w:r>
      <w:r w:rsidR="009C2ECA" w:rsidRPr="009C2ECA">
        <w:rPr>
          <w:i/>
          <w:iCs/>
          <w:lang w:val="en-US"/>
        </w:rPr>
        <w:t>Monde v Viljoen NO and Others</w:t>
      </w:r>
      <w:r w:rsidR="009C2ECA" w:rsidRPr="009C2ECA">
        <w:rPr>
          <w:lang w:val="en-US"/>
        </w:rPr>
        <w:t xml:space="preserve"> 2019 (2) SA 205 (SCA)</w:t>
      </w:r>
      <w:r w:rsidR="00EE2EBF">
        <w:rPr>
          <w:lang w:val="en-US"/>
        </w:rPr>
        <w:t xml:space="preserve">, para [7]. </w:t>
      </w:r>
    </w:p>
  </w:footnote>
  <w:footnote w:id="2">
    <w:p w14:paraId="008B6589" w14:textId="0C11CD63" w:rsidR="005C2A21" w:rsidRPr="005C2A21" w:rsidRDefault="005C2A21">
      <w:pPr>
        <w:pStyle w:val="FootnoteText"/>
        <w:rPr>
          <w:lang w:val="en-US"/>
        </w:rPr>
      </w:pPr>
      <w:r>
        <w:rPr>
          <w:rStyle w:val="FootnoteReference"/>
        </w:rPr>
        <w:footnoteRef/>
      </w:r>
      <w:r>
        <w:t xml:space="preserve"> </w:t>
      </w:r>
      <w:r>
        <w:rPr>
          <w:lang w:val="en-US"/>
        </w:rPr>
        <w:tab/>
      </w:r>
      <w:proofErr w:type="spellStart"/>
      <w:r w:rsidR="006024F7" w:rsidRPr="006024F7">
        <w:rPr>
          <w:i/>
          <w:iCs/>
          <w:lang w:val="en-US"/>
        </w:rPr>
        <w:t>Ngqukumba</w:t>
      </w:r>
      <w:proofErr w:type="spellEnd"/>
      <w:r w:rsidR="006024F7" w:rsidRPr="006024F7">
        <w:rPr>
          <w:i/>
          <w:iCs/>
          <w:lang w:val="en-US"/>
        </w:rPr>
        <w:t xml:space="preserve"> v Minister of Safety and Security and Others</w:t>
      </w:r>
      <w:r w:rsidR="006024F7" w:rsidRPr="006024F7">
        <w:rPr>
          <w:lang w:val="en-US"/>
        </w:rPr>
        <w:t xml:space="preserve"> 2014 (5) SA 112 (CC)</w:t>
      </w:r>
      <w:r w:rsidR="006024F7">
        <w:rPr>
          <w:lang w:val="en-US"/>
        </w:rPr>
        <w:t xml:space="preserve">, para </w:t>
      </w:r>
      <w:r w:rsidR="00032EF0">
        <w:rPr>
          <w:lang w:val="en-US"/>
        </w:rPr>
        <w:t>[9].</w:t>
      </w:r>
    </w:p>
  </w:footnote>
  <w:footnote w:id="3">
    <w:p w14:paraId="0560866C" w14:textId="077623CC" w:rsidR="00CA0645" w:rsidRPr="00CA0645" w:rsidRDefault="00CA0645">
      <w:pPr>
        <w:pStyle w:val="FootnoteText"/>
        <w:rPr>
          <w:lang w:val="en-US"/>
        </w:rPr>
      </w:pPr>
      <w:r>
        <w:rPr>
          <w:rStyle w:val="FootnoteReference"/>
        </w:rPr>
        <w:footnoteRef/>
      </w:r>
      <w:r>
        <w:t xml:space="preserve"> </w:t>
      </w:r>
      <w:r>
        <w:rPr>
          <w:lang w:val="en-US"/>
        </w:rPr>
        <w:tab/>
      </w:r>
      <w:r w:rsidRPr="00CA0645">
        <w:rPr>
          <w:i/>
          <w:iCs/>
          <w:lang w:val="en-US"/>
        </w:rPr>
        <w:t>Bon Quelle (</w:t>
      </w:r>
      <w:proofErr w:type="spellStart"/>
      <w:r w:rsidRPr="00CA0645">
        <w:rPr>
          <w:i/>
          <w:iCs/>
          <w:lang w:val="en-US"/>
        </w:rPr>
        <w:t>Edms</w:t>
      </w:r>
      <w:proofErr w:type="spellEnd"/>
      <w:r w:rsidRPr="00CA0645">
        <w:rPr>
          <w:i/>
          <w:iCs/>
          <w:lang w:val="en-US"/>
        </w:rPr>
        <w:t xml:space="preserve">) </w:t>
      </w:r>
      <w:proofErr w:type="spellStart"/>
      <w:r w:rsidRPr="00CA0645">
        <w:rPr>
          <w:i/>
          <w:iCs/>
          <w:lang w:val="en-US"/>
        </w:rPr>
        <w:t>Bpk</w:t>
      </w:r>
      <w:proofErr w:type="spellEnd"/>
      <w:r w:rsidRPr="00CA0645">
        <w:rPr>
          <w:i/>
          <w:iCs/>
          <w:lang w:val="en-US"/>
        </w:rPr>
        <w:t xml:space="preserve"> v </w:t>
      </w:r>
      <w:proofErr w:type="spellStart"/>
      <w:r w:rsidRPr="00CA0645">
        <w:rPr>
          <w:i/>
          <w:iCs/>
          <w:lang w:val="en-US"/>
        </w:rPr>
        <w:t>Munisipaliteit</w:t>
      </w:r>
      <w:proofErr w:type="spellEnd"/>
      <w:r w:rsidRPr="00CA0645">
        <w:rPr>
          <w:i/>
          <w:iCs/>
          <w:lang w:val="en-US"/>
        </w:rPr>
        <w:t xml:space="preserve"> van Otavi </w:t>
      </w:r>
      <w:r>
        <w:rPr>
          <w:lang w:val="en-US"/>
        </w:rPr>
        <w:t xml:space="preserve">1989 (1) SA 508 (A), 512, and </w:t>
      </w:r>
      <w:r w:rsidRPr="00CA0645">
        <w:rPr>
          <w:i/>
          <w:iCs/>
          <w:lang w:val="en-US"/>
        </w:rPr>
        <w:t xml:space="preserve">Yeko v </w:t>
      </w:r>
      <w:proofErr w:type="spellStart"/>
      <w:r w:rsidRPr="00CA0645">
        <w:rPr>
          <w:i/>
          <w:iCs/>
          <w:lang w:val="en-US"/>
        </w:rPr>
        <w:t>Qana</w:t>
      </w:r>
      <w:proofErr w:type="spellEnd"/>
      <w:r>
        <w:rPr>
          <w:lang w:val="en-US"/>
        </w:rPr>
        <w:t xml:space="preserve"> 1973 (4) SA 735 (A), 739.</w:t>
      </w:r>
    </w:p>
  </w:footnote>
  <w:footnote w:id="4">
    <w:p w14:paraId="399DCF2A" w14:textId="722D5331" w:rsidR="007B3E6A" w:rsidRPr="007B3E6A" w:rsidRDefault="007B3E6A">
      <w:pPr>
        <w:pStyle w:val="FootnoteText"/>
        <w:rPr>
          <w:lang w:val="en-US"/>
        </w:rPr>
      </w:pPr>
      <w:r>
        <w:rPr>
          <w:rStyle w:val="FootnoteReference"/>
        </w:rPr>
        <w:footnoteRef/>
      </w:r>
      <w:r>
        <w:t xml:space="preserve"> </w:t>
      </w:r>
      <w:r>
        <w:rPr>
          <w:lang w:val="en-US"/>
        </w:rPr>
        <w:tab/>
      </w:r>
      <w:r w:rsidRPr="007B3E6A">
        <w:rPr>
          <w:i/>
          <w:iCs/>
          <w:lang w:val="en-US"/>
        </w:rPr>
        <w:t>Tuta v The State</w:t>
      </w:r>
      <w:r w:rsidRPr="007B3E6A">
        <w:rPr>
          <w:lang w:val="en-US"/>
        </w:rPr>
        <w:t xml:space="preserve"> 2024 (1) SACR 242 (CC)</w:t>
      </w:r>
      <w:r w:rsidR="00B9743A">
        <w:rPr>
          <w:lang w:val="en-US"/>
        </w:rPr>
        <w:t>, para [63].</w:t>
      </w:r>
    </w:p>
  </w:footnote>
  <w:footnote w:id="5">
    <w:p w14:paraId="4631796E" w14:textId="42B9C2FC" w:rsidR="00EF4A83" w:rsidRPr="001465AE" w:rsidRDefault="00EF4A83" w:rsidP="00EF4A83">
      <w:pPr>
        <w:pStyle w:val="FootnoteText"/>
        <w:spacing w:before="120"/>
        <w:rPr>
          <w:rFonts w:cs="Arial"/>
          <w:szCs w:val="18"/>
        </w:rPr>
      </w:pPr>
      <w:r w:rsidRPr="001465AE">
        <w:rPr>
          <w:rStyle w:val="FootnoteReference"/>
          <w:rFonts w:cs="Arial"/>
          <w:szCs w:val="18"/>
        </w:rPr>
        <w:footnoteRef/>
      </w:r>
      <w:r w:rsidRPr="001465AE">
        <w:rPr>
          <w:rFonts w:cs="Arial"/>
          <w:szCs w:val="18"/>
        </w:rPr>
        <w:t xml:space="preserve"> </w:t>
      </w:r>
      <w:r w:rsidRPr="001465AE">
        <w:rPr>
          <w:rFonts w:cs="Arial"/>
          <w:szCs w:val="18"/>
        </w:rPr>
        <w:tab/>
      </w:r>
      <w:r w:rsidRPr="00EF6448">
        <w:rPr>
          <w:i/>
          <w:iCs/>
        </w:rPr>
        <w:t xml:space="preserve">Wary Holdings (Pty) Ltd v </w:t>
      </w:r>
      <w:proofErr w:type="spellStart"/>
      <w:r w:rsidRPr="00EF6448">
        <w:rPr>
          <w:i/>
          <w:iCs/>
        </w:rPr>
        <w:t>Stalwo</w:t>
      </w:r>
      <w:proofErr w:type="spellEnd"/>
      <w:r w:rsidRPr="00EF6448">
        <w:rPr>
          <w:i/>
          <w:iCs/>
        </w:rPr>
        <w:t xml:space="preserve"> (Pty) Ltd and Another</w:t>
      </w:r>
      <w:r w:rsidRPr="00B8102A">
        <w:t xml:space="preserve"> 2009 (1) SA 337 (CC)</w:t>
      </w:r>
      <w:r w:rsidR="002C1202">
        <w:t>,</w:t>
      </w:r>
      <w:r w:rsidRPr="00B8102A">
        <w:t xml:space="preserve"> paras </w:t>
      </w:r>
      <w:r w:rsidR="002C1202">
        <w:t>[</w:t>
      </w:r>
      <w:r w:rsidRPr="00B8102A">
        <w:t>46</w:t>
      </w:r>
      <w:r w:rsidR="002C1202">
        <w:t>]</w:t>
      </w:r>
      <w:r w:rsidRPr="00B8102A">
        <w:t xml:space="preserve">, </w:t>
      </w:r>
      <w:r w:rsidR="002C1202">
        <w:t>[</w:t>
      </w:r>
      <w:r w:rsidRPr="00B8102A">
        <w:t>47</w:t>
      </w:r>
      <w:r w:rsidR="002C1202">
        <w:t>]</w:t>
      </w:r>
      <w:r w:rsidRPr="00B8102A">
        <w:t xml:space="preserve">, </w:t>
      </w:r>
      <w:r w:rsidR="002C1202">
        <w:t>[</w:t>
      </w:r>
      <w:r w:rsidRPr="00B8102A">
        <w:t>84</w:t>
      </w:r>
      <w:r w:rsidR="002C1202">
        <w:t>]</w:t>
      </w:r>
      <w:r w:rsidRPr="00B8102A">
        <w:t xml:space="preserve">, and </w:t>
      </w:r>
      <w:r w:rsidR="002C1202">
        <w:t>[</w:t>
      </w:r>
      <w:r w:rsidRPr="00B8102A">
        <w:t>107</w:t>
      </w:r>
      <w:r w:rsidR="002C1202">
        <w:t>].</w:t>
      </w:r>
    </w:p>
  </w:footnote>
  <w:footnote w:id="6">
    <w:p w14:paraId="02DEEBA8" w14:textId="27B82779" w:rsidR="00CD0B5A" w:rsidRPr="00CD0B5A" w:rsidRDefault="00CD0B5A">
      <w:pPr>
        <w:pStyle w:val="FootnoteText"/>
        <w:rPr>
          <w:lang w:val="en-US"/>
        </w:rPr>
      </w:pPr>
      <w:r>
        <w:rPr>
          <w:rStyle w:val="FootnoteReference"/>
        </w:rPr>
        <w:footnoteRef/>
      </w:r>
      <w:r>
        <w:t xml:space="preserve"> </w:t>
      </w:r>
      <w:r w:rsidR="0034259D">
        <w:tab/>
      </w:r>
      <w:r w:rsidR="00E57ED1" w:rsidRPr="00E57ED1">
        <w:rPr>
          <w:i/>
          <w:iCs/>
        </w:rPr>
        <w:t>Gaertner and Others v Minister of Finance and Others</w:t>
      </w:r>
      <w:r w:rsidR="00E57ED1" w:rsidRPr="00E57ED1">
        <w:t xml:space="preserve"> 2014 (1) SA 442 (CC)</w:t>
      </w:r>
      <w:r w:rsidR="00E57ED1">
        <w:t>,</w:t>
      </w:r>
      <w:r w:rsidR="00E57ED1" w:rsidRPr="00E57ED1">
        <w:t xml:space="preserve"> para [69]</w:t>
      </w:r>
      <w:r w:rsidR="00E57ED1">
        <w:t>.</w:t>
      </w:r>
    </w:p>
  </w:footnote>
  <w:footnote w:id="7">
    <w:p w14:paraId="516692AA" w14:textId="65B9CC67" w:rsidR="0034259D" w:rsidRPr="0034259D" w:rsidRDefault="0034259D">
      <w:pPr>
        <w:pStyle w:val="FootnoteText"/>
        <w:rPr>
          <w:lang w:val="en-US"/>
        </w:rPr>
      </w:pPr>
      <w:r>
        <w:rPr>
          <w:rStyle w:val="FootnoteReference"/>
        </w:rPr>
        <w:footnoteRef/>
      </w:r>
      <w:r>
        <w:t xml:space="preserve"> </w:t>
      </w:r>
      <w:r>
        <w:rPr>
          <w:lang w:val="en-US"/>
        </w:rPr>
        <w:tab/>
      </w:r>
      <w:r w:rsidRPr="0034259D">
        <w:t>2024 (1) SACR 138 (WCC)</w:t>
      </w:r>
      <w:r w:rsidR="00476B66">
        <w:t>, paras [17] and [18]</w:t>
      </w:r>
      <w:r w:rsidR="00147A23">
        <w:t xml:space="preserve"> (footnotes omitted)</w:t>
      </w:r>
      <w:r w:rsidR="00476B66">
        <w:t>.</w:t>
      </w:r>
    </w:p>
  </w:footnote>
  <w:footnote w:id="8">
    <w:p w14:paraId="32773EC4" w14:textId="71BC2DF2" w:rsidR="000F4541" w:rsidRPr="000F4541" w:rsidRDefault="000F4541">
      <w:pPr>
        <w:pStyle w:val="FootnoteText"/>
        <w:rPr>
          <w:lang w:val="en-US"/>
        </w:rPr>
      </w:pPr>
      <w:r>
        <w:rPr>
          <w:rStyle w:val="FootnoteReference"/>
        </w:rPr>
        <w:footnoteRef/>
      </w:r>
      <w:r>
        <w:t xml:space="preserve"> </w:t>
      </w:r>
      <w:r>
        <w:rPr>
          <w:lang w:val="en-US"/>
        </w:rPr>
        <w:tab/>
      </w:r>
      <w:proofErr w:type="spellStart"/>
      <w:r w:rsidRPr="006024F7">
        <w:rPr>
          <w:i/>
          <w:iCs/>
          <w:lang w:val="en-US"/>
        </w:rPr>
        <w:t>Ngqukumba</w:t>
      </w:r>
      <w:proofErr w:type="spellEnd"/>
      <w:r>
        <w:rPr>
          <w:i/>
          <w:iCs/>
          <w:lang w:val="en-US"/>
        </w:rPr>
        <w:t xml:space="preserve"> </w:t>
      </w:r>
      <w:r>
        <w:rPr>
          <w:lang w:val="en-US"/>
        </w:rPr>
        <w:t xml:space="preserve">(op </w:t>
      </w:r>
      <w:proofErr w:type="spellStart"/>
      <w:r>
        <w:rPr>
          <w:lang w:val="en-US"/>
        </w:rPr>
        <w:t>cit</w:t>
      </w:r>
      <w:proofErr w:type="spellEnd"/>
      <w:r>
        <w:rPr>
          <w:lang w:val="en-US"/>
        </w:rPr>
        <w:t xml:space="preserve">, </w:t>
      </w:r>
      <w:proofErr w:type="spellStart"/>
      <w:r>
        <w:rPr>
          <w:lang w:val="en-US"/>
        </w:rPr>
        <w:t>fn</w:t>
      </w:r>
      <w:proofErr w:type="spellEnd"/>
      <w:r>
        <w:rPr>
          <w:lang w:val="en-US"/>
        </w:rPr>
        <w:t xml:space="preserve"> </w:t>
      </w:r>
      <w:r>
        <w:rPr>
          <w:lang w:val="en-US"/>
        </w:rPr>
        <w:fldChar w:fldCharType="begin"/>
      </w:r>
      <w:r>
        <w:rPr>
          <w:lang w:val="en-US"/>
        </w:rPr>
        <w:instrText xml:space="preserve"> NOTEREF _Ref162882788 \h </w:instrText>
      </w:r>
      <w:r>
        <w:rPr>
          <w:lang w:val="en-US"/>
        </w:rPr>
      </w:r>
      <w:r>
        <w:rPr>
          <w:lang w:val="en-US"/>
        </w:rPr>
        <w:fldChar w:fldCharType="separate"/>
      </w:r>
      <w:r w:rsidR="0026532D">
        <w:rPr>
          <w:lang w:val="en-US"/>
        </w:rPr>
        <w:t>2</w:t>
      </w:r>
      <w:r>
        <w:rPr>
          <w:lang w:val="en-US"/>
        </w:rPr>
        <w:fldChar w:fldCharType="end"/>
      </w:r>
      <w:r>
        <w:rPr>
          <w:lang w:val="en-US"/>
        </w:rPr>
        <w:t xml:space="preserve">), para </w:t>
      </w:r>
      <w:r w:rsidR="00AC3901">
        <w:rPr>
          <w:lang w:val="en-US"/>
        </w:rPr>
        <w:t>[21]</w:t>
      </w:r>
      <w:r>
        <w:rPr>
          <w:lang w:val="en-US"/>
        </w:rPr>
        <w:t xml:space="preserve"> and </w:t>
      </w:r>
      <w:r w:rsidRPr="00CD2051">
        <w:rPr>
          <w:i/>
          <w:iCs/>
          <w:lang w:val="en-US"/>
        </w:rPr>
        <w:t xml:space="preserve">Ivanov v </w:t>
      </w:r>
      <w:proofErr w:type="gramStart"/>
      <w:r w:rsidRPr="00CD2051">
        <w:rPr>
          <w:i/>
          <w:iCs/>
          <w:lang w:val="en-US"/>
        </w:rPr>
        <w:t>North West</w:t>
      </w:r>
      <w:proofErr w:type="gramEnd"/>
      <w:r w:rsidRPr="00CD2051">
        <w:rPr>
          <w:i/>
          <w:iCs/>
          <w:lang w:val="en-US"/>
        </w:rPr>
        <w:t xml:space="preserve"> Gambling Board and Others</w:t>
      </w:r>
      <w:r>
        <w:rPr>
          <w:lang w:val="en-US"/>
        </w:rPr>
        <w:t xml:space="preserve"> 2012 (6) SA 67 (SCA), paras [25] and [27].</w:t>
      </w:r>
    </w:p>
  </w:footnote>
  <w:footnote w:id="9">
    <w:p w14:paraId="26011F59" w14:textId="76BD59B7" w:rsidR="00047F68" w:rsidRPr="007A4637" w:rsidRDefault="00047F68" w:rsidP="00047F68">
      <w:pPr>
        <w:pStyle w:val="FootnoteText"/>
        <w:rPr>
          <w:lang w:val="en-US"/>
        </w:rPr>
      </w:pPr>
      <w:r>
        <w:rPr>
          <w:rStyle w:val="FootnoteReference"/>
        </w:rPr>
        <w:footnoteRef/>
      </w:r>
      <w:r>
        <w:t xml:space="preserve"> </w:t>
      </w:r>
      <w:r>
        <w:rPr>
          <w:lang w:val="en-US"/>
        </w:rPr>
        <w:tab/>
      </w:r>
      <w:r w:rsidR="00B5191E" w:rsidRPr="00B5191E">
        <w:rPr>
          <w:i/>
          <w:iCs/>
          <w:lang w:val="en-US"/>
        </w:rPr>
        <w:t xml:space="preserve">Head of Department: Mpumalanga Department of Education and Another v </w:t>
      </w:r>
      <w:proofErr w:type="spellStart"/>
      <w:r w:rsidR="00B5191E" w:rsidRPr="00B5191E">
        <w:rPr>
          <w:i/>
          <w:iCs/>
          <w:lang w:val="en-US"/>
        </w:rPr>
        <w:t>Hoërskool</w:t>
      </w:r>
      <w:proofErr w:type="spellEnd"/>
      <w:r w:rsidR="00B5191E" w:rsidRPr="00B5191E">
        <w:rPr>
          <w:i/>
          <w:iCs/>
          <w:lang w:val="en-US"/>
        </w:rPr>
        <w:t xml:space="preserve"> Ermelo and Another</w:t>
      </w:r>
      <w:r w:rsidR="00B5191E" w:rsidRPr="00B5191E">
        <w:rPr>
          <w:lang w:val="en-US"/>
        </w:rPr>
        <w:t xml:space="preserve"> 2010 (2) SA 415 (CC)</w:t>
      </w:r>
      <w:r w:rsidR="00B5191E">
        <w:rPr>
          <w:lang w:val="en-US"/>
        </w:rPr>
        <w:t>, para [97].</w:t>
      </w:r>
    </w:p>
  </w:footnote>
  <w:footnote w:id="10">
    <w:p w14:paraId="2541711E" w14:textId="67D5DF0F" w:rsidR="00047F68" w:rsidRPr="00047F68" w:rsidRDefault="00047F68">
      <w:pPr>
        <w:pStyle w:val="FootnoteText"/>
        <w:rPr>
          <w:lang w:val="en-US"/>
        </w:rPr>
      </w:pPr>
      <w:r>
        <w:rPr>
          <w:rStyle w:val="FootnoteReference"/>
        </w:rPr>
        <w:footnoteRef/>
      </w:r>
      <w:r>
        <w:t xml:space="preserve"> </w:t>
      </w:r>
      <w:r>
        <w:rPr>
          <w:lang w:val="en-US"/>
        </w:rPr>
        <w:tab/>
      </w:r>
      <w:r w:rsidR="00B5191E" w:rsidRPr="00B5191E">
        <w:rPr>
          <w:i/>
          <w:iCs/>
          <w:lang w:val="en-US"/>
        </w:rPr>
        <w:t>State Information Technology Agency SOC Limited v Gijima Holdings (Pty) L</w:t>
      </w:r>
      <w:r w:rsidR="00B5191E">
        <w:rPr>
          <w:i/>
          <w:iCs/>
          <w:lang w:val="en-US"/>
        </w:rPr>
        <w:t>t</w:t>
      </w:r>
      <w:r w:rsidR="00B5191E" w:rsidRPr="00B5191E">
        <w:rPr>
          <w:i/>
          <w:iCs/>
          <w:lang w:val="en-US"/>
        </w:rPr>
        <w:t>d</w:t>
      </w:r>
      <w:r w:rsidR="00B5191E" w:rsidRPr="00B5191E">
        <w:rPr>
          <w:lang w:val="en-US"/>
        </w:rPr>
        <w:t xml:space="preserve"> 2018 (2) SA 23 (CC)</w:t>
      </w:r>
      <w:r w:rsidR="00B5191E">
        <w:rPr>
          <w:lang w:val="en-US"/>
        </w:rPr>
        <w:t>, para [53].</w:t>
      </w:r>
    </w:p>
  </w:footnote>
  <w:footnote w:id="11">
    <w:p w14:paraId="28C305D3" w14:textId="4571FE02" w:rsidR="00814F10" w:rsidRPr="00814F10" w:rsidRDefault="00814F10">
      <w:pPr>
        <w:pStyle w:val="FootnoteText"/>
        <w:rPr>
          <w:lang w:val="en-US"/>
        </w:rPr>
      </w:pPr>
      <w:r>
        <w:rPr>
          <w:rStyle w:val="FootnoteReference"/>
        </w:rPr>
        <w:footnoteRef/>
      </w:r>
      <w:r>
        <w:t xml:space="preserve"> </w:t>
      </w:r>
      <w:r>
        <w:rPr>
          <w:lang w:val="en-US"/>
        </w:rPr>
        <w:tab/>
        <w:t xml:space="preserve">Cf </w:t>
      </w:r>
      <w:r w:rsidRPr="00814F10">
        <w:rPr>
          <w:i/>
          <w:iCs/>
          <w:lang w:val="en-US"/>
        </w:rPr>
        <w:t xml:space="preserve">Minister of Environmental Affairs and Tourism and Others v </w:t>
      </w:r>
      <w:proofErr w:type="spellStart"/>
      <w:r w:rsidRPr="00814F10">
        <w:rPr>
          <w:i/>
          <w:iCs/>
          <w:lang w:val="en-US"/>
        </w:rPr>
        <w:t>Phambili</w:t>
      </w:r>
      <w:proofErr w:type="spellEnd"/>
      <w:r w:rsidRPr="00814F10">
        <w:rPr>
          <w:i/>
          <w:iCs/>
          <w:lang w:val="en-US"/>
        </w:rPr>
        <w:t xml:space="preserve"> Fisheries (Pty) Ltd; Minister of Environmental Affairs and Tourism and Others v Bato Star Fishing (Pty) Ltd</w:t>
      </w:r>
      <w:r w:rsidRPr="00814F10">
        <w:rPr>
          <w:lang w:val="en-US"/>
        </w:rPr>
        <w:t xml:space="preserve"> 2003 (6) SA 407 (SCA)</w:t>
      </w:r>
      <w:r>
        <w:rPr>
          <w:lang w:val="en-US"/>
        </w:rPr>
        <w:t>, para [40].</w:t>
      </w:r>
    </w:p>
  </w:footnote>
  <w:footnote w:id="12">
    <w:p w14:paraId="629069E5" w14:textId="45BA9E9C" w:rsidR="002750EC" w:rsidRPr="002750EC" w:rsidRDefault="002750EC">
      <w:pPr>
        <w:pStyle w:val="FootnoteText"/>
        <w:rPr>
          <w:lang w:val="en-US"/>
        </w:rPr>
      </w:pPr>
      <w:r>
        <w:rPr>
          <w:rStyle w:val="FootnoteReference"/>
        </w:rPr>
        <w:footnoteRef/>
      </w:r>
      <w:r>
        <w:t xml:space="preserve"> </w:t>
      </w:r>
      <w:r>
        <w:rPr>
          <w:lang w:val="en-US"/>
        </w:rPr>
        <w:tab/>
        <w:t xml:space="preserve">In addition to the authorities cited above, see </w:t>
      </w:r>
      <w:r w:rsidRPr="002750EC">
        <w:rPr>
          <w:i/>
          <w:iCs/>
          <w:lang w:val="en-US"/>
        </w:rPr>
        <w:t xml:space="preserve">MEC Responsible for Local Government, Western Cape v Matzikama Local Municipality and Others </w:t>
      </w:r>
      <w:r w:rsidRPr="002750EC">
        <w:rPr>
          <w:lang w:val="en-US"/>
        </w:rPr>
        <w:t>2023 (3) SA 521 (SCA)</w:t>
      </w:r>
      <w:r>
        <w:rPr>
          <w:lang w:val="en-US"/>
        </w:rPr>
        <w:t xml:space="preserve">, para [13], citing </w:t>
      </w:r>
      <w:r w:rsidRPr="002750EC">
        <w:rPr>
          <w:i/>
          <w:iCs/>
          <w:lang w:val="en-US"/>
        </w:rPr>
        <w:t>Minister of Law and Order and Others v Hurley and Another</w:t>
      </w:r>
      <w:r w:rsidRPr="002750EC">
        <w:rPr>
          <w:lang w:val="en-US"/>
        </w:rPr>
        <w:t xml:space="preserve"> 1986 (3) SA 568 (A) at 578</w:t>
      </w:r>
      <w:r>
        <w:rPr>
          <w:lang w:val="en-US"/>
        </w:rPr>
        <w:t xml:space="preserve"> and 579, and other well-worn authorities</w:t>
      </w:r>
      <w:r w:rsidR="00976370">
        <w:rPr>
          <w:lang w:val="en-US"/>
        </w:rPr>
        <w:t xml:space="preserve"> dealing with the proper interpretation and application of the "reasonable belief" or "reasonable grounds" empowering provisions</w:t>
      </w:r>
      <w:r>
        <w:rPr>
          <w:lang w:val="en-US"/>
        </w:rPr>
        <w:t>.</w:t>
      </w:r>
    </w:p>
  </w:footnote>
  <w:footnote w:id="13">
    <w:p w14:paraId="6439B318" w14:textId="14B4AB83" w:rsidR="00D63A33" w:rsidRPr="00D63A33" w:rsidRDefault="00D63A33">
      <w:pPr>
        <w:pStyle w:val="FootnoteText"/>
        <w:rPr>
          <w:lang w:val="en-US"/>
        </w:rPr>
      </w:pPr>
      <w:r>
        <w:rPr>
          <w:rStyle w:val="FootnoteReference"/>
        </w:rPr>
        <w:footnoteRef/>
      </w:r>
      <w:r>
        <w:t xml:space="preserve"> </w:t>
      </w:r>
      <w:r>
        <w:rPr>
          <w:lang w:val="en-US"/>
        </w:rPr>
        <w:tab/>
      </w:r>
      <w:proofErr w:type="spellStart"/>
      <w:r w:rsidRPr="00D63A33">
        <w:rPr>
          <w:i/>
          <w:iCs/>
          <w:lang w:val="en-US"/>
        </w:rPr>
        <w:t>Hoërskool</w:t>
      </w:r>
      <w:proofErr w:type="spellEnd"/>
      <w:r w:rsidRPr="00D63A33">
        <w:rPr>
          <w:i/>
          <w:iCs/>
          <w:lang w:val="en-US"/>
        </w:rPr>
        <w:t xml:space="preserve"> Ermelo</w:t>
      </w:r>
      <w:r w:rsidRPr="00D63A33">
        <w:rPr>
          <w:lang w:val="en-US"/>
        </w:rPr>
        <w:t xml:space="preserve"> </w:t>
      </w:r>
      <w:r>
        <w:rPr>
          <w:lang w:val="en-US"/>
        </w:rPr>
        <w:t xml:space="preserve">(op </w:t>
      </w:r>
      <w:proofErr w:type="spellStart"/>
      <w:r>
        <w:rPr>
          <w:lang w:val="en-US"/>
        </w:rPr>
        <w:t>cit</w:t>
      </w:r>
      <w:proofErr w:type="spellEnd"/>
      <w:r>
        <w:rPr>
          <w:lang w:val="en-US"/>
        </w:rPr>
        <w:t xml:space="preserve">, </w:t>
      </w:r>
      <w:proofErr w:type="spellStart"/>
      <w:r>
        <w:rPr>
          <w:lang w:val="en-US"/>
        </w:rPr>
        <w:t>fn</w:t>
      </w:r>
      <w:proofErr w:type="spellEnd"/>
      <w:r>
        <w:rPr>
          <w:lang w:val="en-US"/>
        </w:rPr>
        <w:t xml:space="preserve"> </w:t>
      </w:r>
      <w:r>
        <w:rPr>
          <w:lang w:val="en-US"/>
        </w:rPr>
        <w:fldChar w:fldCharType="begin"/>
      </w:r>
      <w:r>
        <w:rPr>
          <w:lang w:val="en-US"/>
        </w:rPr>
        <w:instrText xml:space="preserve"> NOTEREF _Ref162905102 \h </w:instrText>
      </w:r>
      <w:r>
        <w:rPr>
          <w:lang w:val="en-US"/>
        </w:rPr>
      </w:r>
      <w:r>
        <w:rPr>
          <w:lang w:val="en-US"/>
        </w:rPr>
        <w:fldChar w:fldCharType="separate"/>
      </w:r>
      <w:r w:rsidR="0026532D">
        <w:rPr>
          <w:lang w:val="en-US"/>
        </w:rPr>
        <w:t>9</w:t>
      </w:r>
      <w:r>
        <w:rPr>
          <w:lang w:val="en-US"/>
        </w:rPr>
        <w:fldChar w:fldCharType="end"/>
      </w:r>
      <w:r>
        <w:rPr>
          <w:lang w:val="en-US"/>
        </w:rPr>
        <w:t>), para [97].</w:t>
      </w:r>
    </w:p>
  </w:footnote>
  <w:footnote w:id="14">
    <w:p w14:paraId="48AC99A4" w14:textId="7F98F2E6" w:rsidR="002A7086" w:rsidRPr="002A7086" w:rsidRDefault="002A7086">
      <w:pPr>
        <w:pStyle w:val="FootnoteText"/>
        <w:rPr>
          <w:lang w:val="en-US"/>
        </w:rPr>
      </w:pPr>
      <w:r>
        <w:rPr>
          <w:rStyle w:val="FootnoteReference"/>
        </w:rPr>
        <w:footnoteRef/>
      </w:r>
      <w:r>
        <w:t xml:space="preserve"> </w:t>
      </w:r>
      <w:r>
        <w:rPr>
          <w:lang w:val="en-US"/>
        </w:rPr>
        <w:tab/>
      </w:r>
      <w:r w:rsidR="007C7AA1" w:rsidRPr="007C7AA1">
        <w:rPr>
          <w:i/>
          <w:iCs/>
          <w:lang w:val="en-US"/>
        </w:rPr>
        <w:t>Ivanov</w:t>
      </w:r>
      <w:r w:rsidR="007C7AA1">
        <w:rPr>
          <w:lang w:val="en-US"/>
        </w:rPr>
        <w:t xml:space="preserve"> (op </w:t>
      </w:r>
      <w:proofErr w:type="spellStart"/>
      <w:r w:rsidR="007C7AA1">
        <w:rPr>
          <w:lang w:val="en-US"/>
        </w:rPr>
        <w:t>cit</w:t>
      </w:r>
      <w:proofErr w:type="spellEnd"/>
      <w:r w:rsidR="007C7AA1">
        <w:rPr>
          <w:lang w:val="en-US"/>
        </w:rPr>
        <w:t xml:space="preserve">, </w:t>
      </w:r>
      <w:proofErr w:type="spellStart"/>
      <w:r w:rsidR="007C7AA1">
        <w:rPr>
          <w:lang w:val="en-US"/>
        </w:rPr>
        <w:t>fn</w:t>
      </w:r>
      <w:proofErr w:type="spellEnd"/>
      <w:r w:rsidR="007C7AA1">
        <w:rPr>
          <w:lang w:val="en-US"/>
        </w:rPr>
        <w:t xml:space="preserve"> </w:t>
      </w:r>
      <w:r w:rsidR="007C7AA1">
        <w:rPr>
          <w:lang w:val="en-US"/>
        </w:rPr>
        <w:fldChar w:fldCharType="begin"/>
      </w:r>
      <w:r w:rsidR="007C7AA1">
        <w:rPr>
          <w:lang w:val="en-US"/>
        </w:rPr>
        <w:instrText xml:space="preserve"> NOTEREF _Ref162907355 \h </w:instrText>
      </w:r>
      <w:r w:rsidR="007C7AA1">
        <w:rPr>
          <w:lang w:val="en-US"/>
        </w:rPr>
      </w:r>
      <w:r w:rsidR="007C7AA1">
        <w:rPr>
          <w:lang w:val="en-US"/>
        </w:rPr>
        <w:fldChar w:fldCharType="separate"/>
      </w:r>
      <w:r w:rsidR="0026532D">
        <w:rPr>
          <w:lang w:val="en-US"/>
        </w:rPr>
        <w:t>8</w:t>
      </w:r>
      <w:r w:rsidR="007C7AA1">
        <w:rPr>
          <w:lang w:val="en-US"/>
        </w:rPr>
        <w:fldChar w:fldCharType="end"/>
      </w:r>
      <w:r w:rsidR="007C7AA1">
        <w:rPr>
          <w:lang w:val="en-US"/>
        </w:rPr>
        <w:t>), para [24].</w:t>
      </w:r>
    </w:p>
  </w:footnote>
  <w:footnote w:id="15">
    <w:p w14:paraId="4B40526B" w14:textId="2ECC617C" w:rsidR="00DA66BA" w:rsidRPr="00DA66BA" w:rsidRDefault="00DA66BA">
      <w:pPr>
        <w:pStyle w:val="FootnoteText"/>
        <w:rPr>
          <w:lang w:val="en-US"/>
        </w:rPr>
      </w:pPr>
      <w:r>
        <w:rPr>
          <w:rStyle w:val="FootnoteReference"/>
        </w:rPr>
        <w:footnoteRef/>
      </w:r>
      <w:r>
        <w:t xml:space="preserve"> </w:t>
      </w:r>
      <w:r w:rsidR="00710A76">
        <w:tab/>
      </w:r>
      <w:r>
        <w:rPr>
          <w:lang w:val="en-US"/>
        </w:rPr>
        <w:t xml:space="preserve">(op </w:t>
      </w:r>
      <w:proofErr w:type="spellStart"/>
      <w:r>
        <w:rPr>
          <w:lang w:val="en-US"/>
        </w:rPr>
        <w:t>cit</w:t>
      </w:r>
      <w:proofErr w:type="spellEnd"/>
      <w:r>
        <w:rPr>
          <w:lang w:val="en-US"/>
        </w:rPr>
        <w:t xml:space="preserve">, </w:t>
      </w:r>
      <w:proofErr w:type="spellStart"/>
      <w:r>
        <w:rPr>
          <w:lang w:val="en-US"/>
        </w:rPr>
        <w:t>fn</w:t>
      </w:r>
      <w:proofErr w:type="spellEnd"/>
      <w:r>
        <w:rPr>
          <w:lang w:val="en-US"/>
        </w:rPr>
        <w:t xml:space="preserve"> </w:t>
      </w:r>
      <w:r>
        <w:rPr>
          <w:lang w:val="en-US"/>
        </w:rPr>
        <w:fldChar w:fldCharType="begin"/>
      </w:r>
      <w:r>
        <w:rPr>
          <w:lang w:val="en-US"/>
        </w:rPr>
        <w:instrText xml:space="preserve"> NOTEREF _Ref162882788 \h </w:instrText>
      </w:r>
      <w:r>
        <w:rPr>
          <w:lang w:val="en-US"/>
        </w:rPr>
      </w:r>
      <w:r>
        <w:rPr>
          <w:lang w:val="en-US"/>
        </w:rPr>
        <w:fldChar w:fldCharType="separate"/>
      </w:r>
      <w:r w:rsidR="0026532D">
        <w:rPr>
          <w:lang w:val="en-US"/>
        </w:rPr>
        <w:t>2</w:t>
      </w:r>
      <w:r>
        <w:rPr>
          <w:lang w:val="en-US"/>
        </w:rPr>
        <w:fldChar w:fldCharType="end"/>
      </w:r>
      <w:r>
        <w:rPr>
          <w:lang w:val="en-US"/>
        </w:rPr>
        <w:t>), para [21].</w:t>
      </w:r>
    </w:p>
  </w:footnote>
  <w:footnote w:id="16">
    <w:p w14:paraId="00E0BF2C" w14:textId="1AE44C3E" w:rsidR="002A7086" w:rsidRPr="002A7086" w:rsidRDefault="002A7086">
      <w:pPr>
        <w:pStyle w:val="FootnoteText"/>
        <w:rPr>
          <w:lang w:val="en-US"/>
        </w:rPr>
      </w:pPr>
      <w:r>
        <w:rPr>
          <w:rStyle w:val="FootnoteReference"/>
        </w:rPr>
        <w:footnoteRef/>
      </w:r>
      <w:r>
        <w:t xml:space="preserve"> </w:t>
      </w:r>
      <w:r>
        <w:rPr>
          <w:lang w:val="en-US"/>
        </w:rPr>
        <w:tab/>
      </w:r>
      <w:proofErr w:type="spellStart"/>
      <w:r w:rsidR="002375D5" w:rsidRPr="002375D5">
        <w:rPr>
          <w:i/>
          <w:iCs/>
          <w:lang w:val="en-US"/>
        </w:rPr>
        <w:t>Allpay</w:t>
      </w:r>
      <w:proofErr w:type="spellEnd"/>
      <w:r w:rsidR="002375D5" w:rsidRPr="002375D5">
        <w:rPr>
          <w:i/>
          <w:iCs/>
          <w:lang w:val="en-US"/>
        </w:rPr>
        <w:t xml:space="preserve"> Consolidated Investment Holdings (Pty) Ltd and Others v Chief Executive Officer of the South African Social Security Agency and Others (No 2)</w:t>
      </w:r>
      <w:r w:rsidR="002375D5" w:rsidRPr="002375D5">
        <w:rPr>
          <w:lang w:val="en-US"/>
        </w:rPr>
        <w:t xml:space="preserve"> 2014 (4) SA 179 (CC)</w:t>
      </w:r>
      <w:r w:rsidR="002375D5">
        <w:rPr>
          <w:lang w:val="en-US"/>
        </w:rPr>
        <w:t>, paras [30] to [32].</w:t>
      </w:r>
    </w:p>
  </w:footnote>
  <w:footnote w:id="17">
    <w:p w14:paraId="7AFAAD2A" w14:textId="77777777" w:rsidR="004A5E48" w:rsidRPr="00CC3145" w:rsidRDefault="004A5E48" w:rsidP="004A5E48">
      <w:pPr>
        <w:pStyle w:val="FootnoteText"/>
        <w:rPr>
          <w:lang w:val="en-US"/>
        </w:rPr>
      </w:pPr>
      <w:r>
        <w:rPr>
          <w:rStyle w:val="FootnoteReference"/>
        </w:rPr>
        <w:footnoteRef/>
      </w:r>
      <w:r>
        <w:t xml:space="preserve"> </w:t>
      </w:r>
      <w:r>
        <w:rPr>
          <w:lang w:val="en-US"/>
        </w:rPr>
        <w:tab/>
      </w:r>
      <w:proofErr w:type="spellStart"/>
      <w:r w:rsidRPr="00CC3145">
        <w:rPr>
          <w:i/>
          <w:iCs/>
          <w:lang w:val="en-US"/>
        </w:rPr>
        <w:t>Biowatch</w:t>
      </w:r>
      <w:proofErr w:type="spellEnd"/>
      <w:r w:rsidRPr="00CC3145">
        <w:rPr>
          <w:i/>
          <w:iCs/>
          <w:lang w:val="en-US"/>
        </w:rPr>
        <w:t xml:space="preserve"> Trust v Registrar Genetic Resources and Others</w:t>
      </w:r>
      <w:r w:rsidRPr="00CC3145">
        <w:rPr>
          <w:lang w:val="en-US"/>
        </w:rPr>
        <w:t xml:space="preserve"> 2009 (6) SA 232 (CC)</w:t>
      </w:r>
      <w:r>
        <w:rPr>
          <w:lang w:val="en-US"/>
        </w:rPr>
        <w:t>.</w:t>
      </w:r>
    </w:p>
  </w:footnote>
  <w:footnote w:id="18">
    <w:p w14:paraId="6054A171" w14:textId="698DC883" w:rsidR="009461F3" w:rsidRPr="009461F3" w:rsidRDefault="009461F3">
      <w:pPr>
        <w:pStyle w:val="FootnoteText"/>
        <w:rPr>
          <w:lang w:val="en-US"/>
        </w:rPr>
      </w:pPr>
      <w:r>
        <w:rPr>
          <w:rStyle w:val="FootnoteReference"/>
        </w:rPr>
        <w:footnoteRef/>
      </w:r>
      <w:r>
        <w:t xml:space="preserve"> </w:t>
      </w:r>
      <w:r>
        <w:rPr>
          <w:lang w:val="en-US"/>
        </w:rPr>
        <w:tab/>
      </w:r>
      <w:r w:rsidR="00B022B3" w:rsidRPr="00B022B3">
        <w:rPr>
          <w:i/>
          <w:iCs/>
          <w:lang w:val="en-US"/>
        </w:rPr>
        <w:t>Hotz and Others v University of Cape Town</w:t>
      </w:r>
      <w:r w:rsidR="00B022B3" w:rsidRPr="00B022B3">
        <w:rPr>
          <w:lang w:val="en-US"/>
        </w:rPr>
        <w:t xml:space="preserve"> 2018 (1) SA 369 (CC)</w:t>
      </w:r>
      <w:r w:rsidR="00B022B3">
        <w:rPr>
          <w:lang w:val="en-US"/>
        </w:rPr>
        <w:t>,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EC58" w14:textId="361BCF48" w:rsidR="00B32045" w:rsidRDefault="00B32045" w:rsidP="001B7224">
    <w:pPr>
      <w:pStyle w:val="Header"/>
      <w:tabs>
        <w:tab w:val="clear" w:pos="8505"/>
        <w:tab w:val="center" w:pos="4770"/>
        <w:tab w:val="right" w:pos="9498"/>
        <w:tab w:val="right" w:pos="9540"/>
      </w:tabs>
    </w:pPr>
    <w:r>
      <w:tab/>
    </w:r>
    <w:r>
      <w:tab/>
    </w:r>
    <w:r>
      <w:tab/>
    </w:r>
    <w:sdt>
      <w:sdtPr>
        <w:id w:val="-1731908836"/>
        <w:docPartObj>
          <w:docPartGallery w:val="Page Numbers (Top of Page)"/>
          <w:docPartUnique/>
        </w:docPartObj>
      </w:sdtPr>
      <w:sdtEndPr>
        <w:rPr>
          <w:rFonts w:cs="Arial"/>
          <w:noProof/>
        </w:rPr>
      </w:sdtEndPr>
      <w:sdtContent>
        <w:r w:rsidRPr="009F722F">
          <w:rPr>
            <w:rFonts w:cs="Arial"/>
          </w:rPr>
          <w:fldChar w:fldCharType="begin"/>
        </w:r>
        <w:r w:rsidRPr="009F722F">
          <w:rPr>
            <w:rFonts w:cs="Arial"/>
          </w:rPr>
          <w:instrText xml:space="preserve"> PAGE   \* MERGEFORMAT </w:instrText>
        </w:r>
        <w:r w:rsidRPr="009F722F">
          <w:rPr>
            <w:rFonts w:cs="Arial"/>
          </w:rPr>
          <w:fldChar w:fldCharType="separate"/>
        </w:r>
        <w:r w:rsidR="00A17703">
          <w:rPr>
            <w:rFonts w:cs="Arial"/>
            <w:noProof/>
          </w:rPr>
          <w:t>29</w:t>
        </w:r>
        <w:r w:rsidRPr="009F722F">
          <w:rPr>
            <w:rFonts w:cs="Arial"/>
            <w:noProof/>
          </w:rPr>
          <w:fldChar w:fldCharType="end"/>
        </w:r>
      </w:sdtContent>
    </w:sdt>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A883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C84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5E6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01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527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4E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25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C48A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EE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D6738D1"/>
    <w:multiLevelType w:val="multilevel"/>
    <w:tmpl w:val="A70276CE"/>
    <w:lvl w:ilvl="0">
      <w:start w:val="1"/>
      <w:numFmt w:val="decimal"/>
      <w:lvlText w:val="%1."/>
      <w:lvlJc w:val="left"/>
      <w:pPr>
        <w:ind w:left="820" w:hanging="721"/>
      </w:pPr>
      <w:rPr>
        <w:rFonts w:ascii="Arial" w:eastAsia="Arial" w:hAnsi="Arial" w:hint="default"/>
        <w:spacing w:val="-1"/>
        <w:w w:val="99"/>
        <w:sz w:val="22"/>
        <w:szCs w:val="22"/>
      </w:rPr>
    </w:lvl>
    <w:lvl w:ilvl="1">
      <w:start w:val="1"/>
      <w:numFmt w:val="decimal"/>
      <w:lvlText w:val="%1.%2."/>
      <w:lvlJc w:val="left"/>
      <w:pPr>
        <w:ind w:left="1593" w:hanging="774"/>
      </w:pPr>
      <w:rPr>
        <w:rFonts w:ascii="Arial" w:eastAsia="Arial" w:hAnsi="Arial" w:hint="default"/>
        <w:spacing w:val="-1"/>
        <w:w w:val="99"/>
        <w:sz w:val="22"/>
        <w:szCs w:val="22"/>
      </w:rPr>
    </w:lvl>
    <w:lvl w:ilvl="2">
      <w:start w:val="2"/>
      <w:numFmt w:val="decimal"/>
      <w:lvlText w:val="%1.%2.%3."/>
      <w:lvlJc w:val="left"/>
      <w:pPr>
        <w:ind w:left="2620" w:hanging="1027"/>
      </w:pPr>
      <w:rPr>
        <w:rFonts w:ascii="Arial" w:eastAsia="Arial" w:hAnsi="Arial" w:hint="default"/>
        <w:spacing w:val="-1"/>
        <w:w w:val="99"/>
        <w:sz w:val="22"/>
        <w:szCs w:val="22"/>
      </w:rPr>
    </w:lvl>
    <w:lvl w:ilvl="3">
      <w:start w:val="1"/>
      <w:numFmt w:val="bullet"/>
      <w:lvlText w:val="•"/>
      <w:lvlJc w:val="left"/>
      <w:pPr>
        <w:ind w:left="2620" w:hanging="1027"/>
      </w:pPr>
      <w:rPr>
        <w:rFonts w:hint="default"/>
      </w:rPr>
    </w:lvl>
    <w:lvl w:ilvl="4">
      <w:start w:val="1"/>
      <w:numFmt w:val="bullet"/>
      <w:lvlText w:val="•"/>
      <w:lvlJc w:val="left"/>
      <w:pPr>
        <w:ind w:left="3678" w:hanging="1027"/>
      </w:pPr>
      <w:rPr>
        <w:rFonts w:hint="default"/>
      </w:rPr>
    </w:lvl>
    <w:lvl w:ilvl="5">
      <w:start w:val="1"/>
      <w:numFmt w:val="bullet"/>
      <w:lvlText w:val="•"/>
      <w:lvlJc w:val="left"/>
      <w:pPr>
        <w:ind w:left="4736" w:hanging="1027"/>
      </w:pPr>
      <w:rPr>
        <w:rFonts w:hint="default"/>
      </w:rPr>
    </w:lvl>
    <w:lvl w:ilvl="6">
      <w:start w:val="1"/>
      <w:numFmt w:val="bullet"/>
      <w:lvlText w:val="•"/>
      <w:lvlJc w:val="left"/>
      <w:pPr>
        <w:ind w:left="5794" w:hanging="1027"/>
      </w:pPr>
      <w:rPr>
        <w:rFonts w:hint="default"/>
      </w:rPr>
    </w:lvl>
    <w:lvl w:ilvl="7">
      <w:start w:val="1"/>
      <w:numFmt w:val="bullet"/>
      <w:lvlText w:val="•"/>
      <w:lvlJc w:val="left"/>
      <w:pPr>
        <w:ind w:left="6852" w:hanging="1027"/>
      </w:pPr>
      <w:rPr>
        <w:rFonts w:hint="default"/>
      </w:rPr>
    </w:lvl>
    <w:lvl w:ilvl="8">
      <w:start w:val="1"/>
      <w:numFmt w:val="bullet"/>
      <w:lvlText w:val="•"/>
      <w:lvlJc w:val="left"/>
      <w:pPr>
        <w:ind w:left="7910" w:hanging="1027"/>
      </w:pPr>
      <w:rPr>
        <w:rFonts w:hint="default"/>
      </w:rPr>
    </w:lvl>
  </w:abstractNum>
  <w:abstractNum w:abstractNumId="15"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A7B1789"/>
    <w:multiLevelType w:val="multilevel"/>
    <w:tmpl w:val="2E82BF2E"/>
    <w:lvl w:ilvl="0">
      <w:start w:val="1"/>
      <w:numFmt w:val="decimal"/>
      <w:pStyle w:val="WWHeading1"/>
      <w:lvlText w:val="%1."/>
      <w:lvlJc w:val="left"/>
      <w:pPr>
        <w:tabs>
          <w:tab w:val="num" w:pos="567"/>
        </w:tabs>
        <w:ind w:left="567" w:hanging="567"/>
      </w:pPr>
      <w:rPr>
        <w:rFonts w:cs="Times New Roman" w:hint="default"/>
        <w:b w:val="0"/>
        <w:i w:val="0"/>
        <w:iCs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0C787A"/>
    <w:multiLevelType w:val="multilevel"/>
    <w:tmpl w:val="28F0E54A"/>
    <w:lvl w:ilvl="0">
      <w:start w:val="2"/>
      <w:numFmt w:val="decimal"/>
      <w:lvlText w:val="%1"/>
      <w:lvlJc w:val="left"/>
      <w:pPr>
        <w:ind w:left="2620" w:hanging="1027"/>
      </w:pPr>
      <w:rPr>
        <w:rFonts w:hint="default"/>
      </w:rPr>
    </w:lvl>
    <w:lvl w:ilvl="1">
      <w:start w:val="2"/>
      <w:numFmt w:val="decimal"/>
      <w:lvlText w:val="%1.%2"/>
      <w:lvlJc w:val="left"/>
      <w:pPr>
        <w:ind w:left="2620" w:hanging="1027"/>
      </w:pPr>
      <w:rPr>
        <w:rFonts w:hint="default"/>
      </w:rPr>
    </w:lvl>
    <w:lvl w:ilvl="2">
      <w:start w:val="1"/>
      <w:numFmt w:val="decimal"/>
      <w:lvlText w:val="%1.%2.%3."/>
      <w:lvlJc w:val="left"/>
      <w:pPr>
        <w:ind w:left="2620" w:hanging="1027"/>
      </w:pPr>
      <w:rPr>
        <w:rFonts w:ascii="Arial" w:eastAsia="Arial" w:hAnsi="Arial" w:hint="default"/>
        <w:spacing w:val="-1"/>
        <w:w w:val="99"/>
        <w:sz w:val="22"/>
        <w:szCs w:val="22"/>
      </w:rPr>
    </w:lvl>
    <w:lvl w:ilvl="3">
      <w:start w:val="1"/>
      <w:numFmt w:val="bullet"/>
      <w:lvlText w:val="•"/>
      <w:lvlJc w:val="left"/>
      <w:pPr>
        <w:ind w:left="4841" w:hanging="1027"/>
      </w:pPr>
      <w:rPr>
        <w:rFonts w:hint="default"/>
      </w:rPr>
    </w:lvl>
    <w:lvl w:ilvl="4">
      <w:start w:val="1"/>
      <w:numFmt w:val="bullet"/>
      <w:lvlText w:val="•"/>
      <w:lvlJc w:val="left"/>
      <w:pPr>
        <w:ind w:left="5582" w:hanging="1027"/>
      </w:pPr>
      <w:rPr>
        <w:rFonts w:hint="default"/>
      </w:rPr>
    </w:lvl>
    <w:lvl w:ilvl="5">
      <w:start w:val="1"/>
      <w:numFmt w:val="bullet"/>
      <w:lvlText w:val="•"/>
      <w:lvlJc w:val="left"/>
      <w:pPr>
        <w:ind w:left="6323" w:hanging="1027"/>
      </w:pPr>
      <w:rPr>
        <w:rFonts w:hint="default"/>
      </w:rPr>
    </w:lvl>
    <w:lvl w:ilvl="6">
      <w:start w:val="1"/>
      <w:numFmt w:val="bullet"/>
      <w:lvlText w:val="•"/>
      <w:lvlJc w:val="left"/>
      <w:pPr>
        <w:ind w:left="7063" w:hanging="1027"/>
      </w:pPr>
      <w:rPr>
        <w:rFonts w:hint="default"/>
      </w:rPr>
    </w:lvl>
    <w:lvl w:ilvl="7">
      <w:start w:val="1"/>
      <w:numFmt w:val="bullet"/>
      <w:lvlText w:val="•"/>
      <w:lvlJc w:val="left"/>
      <w:pPr>
        <w:ind w:left="7804" w:hanging="1027"/>
      </w:pPr>
      <w:rPr>
        <w:rFonts w:hint="default"/>
      </w:rPr>
    </w:lvl>
    <w:lvl w:ilvl="8">
      <w:start w:val="1"/>
      <w:numFmt w:val="bullet"/>
      <w:lvlText w:val="•"/>
      <w:lvlJc w:val="left"/>
      <w:pPr>
        <w:ind w:left="8544" w:hanging="1027"/>
      </w:pPr>
      <w:rPr>
        <w:rFonts w:hint="default"/>
      </w:rPr>
    </w:lvl>
  </w:abstractNum>
  <w:abstractNum w:abstractNumId="19"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8333742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2808221">
    <w:abstractNumId w:val="16"/>
  </w:num>
  <w:num w:numId="3" w16cid:durableId="1368330481">
    <w:abstractNumId w:val="12"/>
  </w:num>
  <w:num w:numId="4" w16cid:durableId="1007251988">
    <w:abstractNumId w:val="15"/>
  </w:num>
  <w:num w:numId="5" w16cid:durableId="953367374">
    <w:abstractNumId w:val="9"/>
  </w:num>
  <w:num w:numId="6" w16cid:durableId="1598513023">
    <w:abstractNumId w:val="11"/>
  </w:num>
  <w:num w:numId="7" w16cid:durableId="1170750448">
    <w:abstractNumId w:val="13"/>
  </w:num>
  <w:num w:numId="8" w16cid:durableId="1926648367">
    <w:abstractNumId w:val="19"/>
  </w:num>
  <w:num w:numId="9" w16cid:durableId="1005791232">
    <w:abstractNumId w:val="17"/>
  </w:num>
  <w:num w:numId="10" w16cid:durableId="1770353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4497033">
    <w:abstractNumId w:val="16"/>
  </w:num>
  <w:num w:numId="12" w16cid:durableId="661664716">
    <w:abstractNumId w:val="16"/>
  </w:num>
  <w:num w:numId="13" w16cid:durableId="1683968495">
    <w:abstractNumId w:val="16"/>
  </w:num>
  <w:num w:numId="14" w16cid:durableId="363212428">
    <w:abstractNumId w:val="16"/>
  </w:num>
  <w:num w:numId="15" w16cid:durableId="1446659997">
    <w:abstractNumId w:val="16"/>
  </w:num>
  <w:num w:numId="16" w16cid:durableId="955600416">
    <w:abstractNumId w:val="16"/>
  </w:num>
  <w:num w:numId="17" w16cid:durableId="736366780">
    <w:abstractNumId w:val="16"/>
  </w:num>
  <w:num w:numId="18" w16cid:durableId="907492383">
    <w:abstractNumId w:val="16"/>
  </w:num>
  <w:num w:numId="19" w16cid:durableId="629357229">
    <w:abstractNumId w:val="16"/>
  </w:num>
  <w:num w:numId="20" w16cid:durableId="912593277">
    <w:abstractNumId w:val="16"/>
  </w:num>
  <w:num w:numId="21" w16cid:durableId="342904739">
    <w:abstractNumId w:val="16"/>
  </w:num>
  <w:num w:numId="22" w16cid:durableId="877200363">
    <w:abstractNumId w:val="16"/>
  </w:num>
  <w:num w:numId="23" w16cid:durableId="1510946468">
    <w:abstractNumId w:val="16"/>
  </w:num>
  <w:num w:numId="24" w16cid:durableId="1425614774">
    <w:abstractNumId w:val="16"/>
  </w:num>
  <w:num w:numId="25" w16cid:durableId="1502235159">
    <w:abstractNumId w:val="16"/>
  </w:num>
  <w:num w:numId="26" w16cid:durableId="1813474675">
    <w:abstractNumId w:val="18"/>
  </w:num>
  <w:num w:numId="27" w16cid:durableId="1066075497">
    <w:abstractNumId w:val="14"/>
  </w:num>
  <w:num w:numId="28" w16cid:durableId="907108115">
    <w:abstractNumId w:val="7"/>
  </w:num>
  <w:num w:numId="29" w16cid:durableId="2049253872">
    <w:abstractNumId w:val="6"/>
  </w:num>
  <w:num w:numId="30" w16cid:durableId="2111008024">
    <w:abstractNumId w:val="5"/>
  </w:num>
  <w:num w:numId="31" w16cid:durableId="1298798627">
    <w:abstractNumId w:val="4"/>
  </w:num>
  <w:num w:numId="32" w16cid:durableId="1466846551">
    <w:abstractNumId w:val="8"/>
  </w:num>
  <w:num w:numId="33" w16cid:durableId="201334397">
    <w:abstractNumId w:val="3"/>
  </w:num>
  <w:num w:numId="34" w16cid:durableId="1693529375">
    <w:abstractNumId w:val="2"/>
  </w:num>
  <w:num w:numId="35" w16cid:durableId="858785397">
    <w:abstractNumId w:val="1"/>
  </w:num>
  <w:num w:numId="36" w16cid:durableId="1480223102">
    <w:abstractNumId w:val="0"/>
  </w:num>
  <w:num w:numId="37" w16cid:durableId="92191607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KgFADbManEtAAAA"/>
  </w:docVars>
  <w:rsids>
    <w:rsidRoot w:val="00716377"/>
    <w:rsid w:val="000002C4"/>
    <w:rsid w:val="00000AF4"/>
    <w:rsid w:val="00002BF6"/>
    <w:rsid w:val="00003A40"/>
    <w:rsid w:val="00004EBD"/>
    <w:rsid w:val="00006672"/>
    <w:rsid w:val="0000683F"/>
    <w:rsid w:val="00006AD8"/>
    <w:rsid w:val="0000736D"/>
    <w:rsid w:val="000104C8"/>
    <w:rsid w:val="000105DE"/>
    <w:rsid w:val="000138EB"/>
    <w:rsid w:val="00014171"/>
    <w:rsid w:val="000145D8"/>
    <w:rsid w:val="000152AC"/>
    <w:rsid w:val="00015900"/>
    <w:rsid w:val="000160AF"/>
    <w:rsid w:val="00017A00"/>
    <w:rsid w:val="000206DA"/>
    <w:rsid w:val="0002071A"/>
    <w:rsid w:val="000208DC"/>
    <w:rsid w:val="00021D3D"/>
    <w:rsid w:val="00023C3B"/>
    <w:rsid w:val="00023F7F"/>
    <w:rsid w:val="0002457D"/>
    <w:rsid w:val="00024FC5"/>
    <w:rsid w:val="000303FF"/>
    <w:rsid w:val="0003131D"/>
    <w:rsid w:val="0003137A"/>
    <w:rsid w:val="000314A2"/>
    <w:rsid w:val="000329C8"/>
    <w:rsid w:val="00032EF0"/>
    <w:rsid w:val="000330D1"/>
    <w:rsid w:val="000333FB"/>
    <w:rsid w:val="00033481"/>
    <w:rsid w:val="000336A4"/>
    <w:rsid w:val="0003475E"/>
    <w:rsid w:val="00035BF5"/>
    <w:rsid w:val="00036068"/>
    <w:rsid w:val="0003688E"/>
    <w:rsid w:val="00037A2D"/>
    <w:rsid w:val="00037CA8"/>
    <w:rsid w:val="00040CCA"/>
    <w:rsid w:val="00042224"/>
    <w:rsid w:val="0004306A"/>
    <w:rsid w:val="00044A6F"/>
    <w:rsid w:val="00045DED"/>
    <w:rsid w:val="00046464"/>
    <w:rsid w:val="00046887"/>
    <w:rsid w:val="00047BBF"/>
    <w:rsid w:val="00047F68"/>
    <w:rsid w:val="000504CE"/>
    <w:rsid w:val="00050A2C"/>
    <w:rsid w:val="00050C4D"/>
    <w:rsid w:val="00051EC8"/>
    <w:rsid w:val="000524DE"/>
    <w:rsid w:val="00053CE0"/>
    <w:rsid w:val="00054534"/>
    <w:rsid w:val="00055B52"/>
    <w:rsid w:val="00056007"/>
    <w:rsid w:val="0005697E"/>
    <w:rsid w:val="00056EC1"/>
    <w:rsid w:val="0005712B"/>
    <w:rsid w:val="00060B7B"/>
    <w:rsid w:val="00061398"/>
    <w:rsid w:val="000648F0"/>
    <w:rsid w:val="00065E8F"/>
    <w:rsid w:val="00065EBE"/>
    <w:rsid w:val="0006657B"/>
    <w:rsid w:val="00066631"/>
    <w:rsid w:val="000671BB"/>
    <w:rsid w:val="000719C6"/>
    <w:rsid w:val="00071E2B"/>
    <w:rsid w:val="00071FE8"/>
    <w:rsid w:val="000722D8"/>
    <w:rsid w:val="000722E0"/>
    <w:rsid w:val="00073B7F"/>
    <w:rsid w:val="00073F15"/>
    <w:rsid w:val="000740B7"/>
    <w:rsid w:val="0007495A"/>
    <w:rsid w:val="00074DFB"/>
    <w:rsid w:val="0007620E"/>
    <w:rsid w:val="00076E83"/>
    <w:rsid w:val="00077156"/>
    <w:rsid w:val="0008178C"/>
    <w:rsid w:val="00083DBF"/>
    <w:rsid w:val="00084377"/>
    <w:rsid w:val="00084EDB"/>
    <w:rsid w:val="000858E9"/>
    <w:rsid w:val="00087DCA"/>
    <w:rsid w:val="0009060F"/>
    <w:rsid w:val="00090CC3"/>
    <w:rsid w:val="00091609"/>
    <w:rsid w:val="000919EC"/>
    <w:rsid w:val="00091A89"/>
    <w:rsid w:val="00091B40"/>
    <w:rsid w:val="00091BBF"/>
    <w:rsid w:val="0009251D"/>
    <w:rsid w:val="000926D2"/>
    <w:rsid w:val="000927F8"/>
    <w:rsid w:val="00092CD8"/>
    <w:rsid w:val="0009396A"/>
    <w:rsid w:val="000941CB"/>
    <w:rsid w:val="00096011"/>
    <w:rsid w:val="000A0149"/>
    <w:rsid w:val="000A046D"/>
    <w:rsid w:val="000A2ACA"/>
    <w:rsid w:val="000A2FFD"/>
    <w:rsid w:val="000A35E4"/>
    <w:rsid w:val="000A482D"/>
    <w:rsid w:val="000A6282"/>
    <w:rsid w:val="000A6A8A"/>
    <w:rsid w:val="000A736B"/>
    <w:rsid w:val="000B1555"/>
    <w:rsid w:val="000B1EEC"/>
    <w:rsid w:val="000B222C"/>
    <w:rsid w:val="000B2E75"/>
    <w:rsid w:val="000B33D7"/>
    <w:rsid w:val="000B3665"/>
    <w:rsid w:val="000B4A54"/>
    <w:rsid w:val="000B57D1"/>
    <w:rsid w:val="000B6558"/>
    <w:rsid w:val="000B65F9"/>
    <w:rsid w:val="000B7EDC"/>
    <w:rsid w:val="000C1449"/>
    <w:rsid w:val="000C184E"/>
    <w:rsid w:val="000C1968"/>
    <w:rsid w:val="000C4191"/>
    <w:rsid w:val="000C4FCD"/>
    <w:rsid w:val="000C5993"/>
    <w:rsid w:val="000C5A6D"/>
    <w:rsid w:val="000C6A50"/>
    <w:rsid w:val="000C70E0"/>
    <w:rsid w:val="000C77CE"/>
    <w:rsid w:val="000D0496"/>
    <w:rsid w:val="000D0BD2"/>
    <w:rsid w:val="000D27DC"/>
    <w:rsid w:val="000D3D3A"/>
    <w:rsid w:val="000D6C7E"/>
    <w:rsid w:val="000D79A1"/>
    <w:rsid w:val="000D7FA9"/>
    <w:rsid w:val="000E3299"/>
    <w:rsid w:val="000E34A4"/>
    <w:rsid w:val="000E4E88"/>
    <w:rsid w:val="000F13E8"/>
    <w:rsid w:val="000F146E"/>
    <w:rsid w:val="000F1AC4"/>
    <w:rsid w:val="000F2001"/>
    <w:rsid w:val="000F238B"/>
    <w:rsid w:val="000F29FA"/>
    <w:rsid w:val="000F34E6"/>
    <w:rsid w:val="000F40E9"/>
    <w:rsid w:val="000F4162"/>
    <w:rsid w:val="000F4541"/>
    <w:rsid w:val="000F650C"/>
    <w:rsid w:val="000F7840"/>
    <w:rsid w:val="000F78BA"/>
    <w:rsid w:val="0010216B"/>
    <w:rsid w:val="0010298C"/>
    <w:rsid w:val="00102F4C"/>
    <w:rsid w:val="00103395"/>
    <w:rsid w:val="0010388F"/>
    <w:rsid w:val="00104B04"/>
    <w:rsid w:val="00104F9A"/>
    <w:rsid w:val="001058F1"/>
    <w:rsid w:val="00110235"/>
    <w:rsid w:val="00110526"/>
    <w:rsid w:val="00111109"/>
    <w:rsid w:val="001122EE"/>
    <w:rsid w:val="001126D1"/>
    <w:rsid w:val="00113E07"/>
    <w:rsid w:val="00113EFF"/>
    <w:rsid w:val="0011418C"/>
    <w:rsid w:val="001146B7"/>
    <w:rsid w:val="00114BF6"/>
    <w:rsid w:val="00115960"/>
    <w:rsid w:val="00117157"/>
    <w:rsid w:val="001176BA"/>
    <w:rsid w:val="0011778F"/>
    <w:rsid w:val="00117B2E"/>
    <w:rsid w:val="001214E4"/>
    <w:rsid w:val="00122745"/>
    <w:rsid w:val="00123204"/>
    <w:rsid w:val="00123AF4"/>
    <w:rsid w:val="00123C80"/>
    <w:rsid w:val="0012405F"/>
    <w:rsid w:val="00124181"/>
    <w:rsid w:val="00124A86"/>
    <w:rsid w:val="001269B8"/>
    <w:rsid w:val="00127D00"/>
    <w:rsid w:val="00127FAF"/>
    <w:rsid w:val="00130AE0"/>
    <w:rsid w:val="00131274"/>
    <w:rsid w:val="00131557"/>
    <w:rsid w:val="00132241"/>
    <w:rsid w:val="00132DAB"/>
    <w:rsid w:val="00132F8B"/>
    <w:rsid w:val="001353F7"/>
    <w:rsid w:val="001372BC"/>
    <w:rsid w:val="00137FF1"/>
    <w:rsid w:val="00140D02"/>
    <w:rsid w:val="00140E5E"/>
    <w:rsid w:val="00141367"/>
    <w:rsid w:val="00141559"/>
    <w:rsid w:val="001423E2"/>
    <w:rsid w:val="00143C8D"/>
    <w:rsid w:val="00144AD4"/>
    <w:rsid w:val="00144C0D"/>
    <w:rsid w:val="0014555F"/>
    <w:rsid w:val="00145D1F"/>
    <w:rsid w:val="00146344"/>
    <w:rsid w:val="0014725B"/>
    <w:rsid w:val="00147A23"/>
    <w:rsid w:val="00150C35"/>
    <w:rsid w:val="00151CCB"/>
    <w:rsid w:val="00152711"/>
    <w:rsid w:val="00153BC1"/>
    <w:rsid w:val="00154A6F"/>
    <w:rsid w:val="0015521A"/>
    <w:rsid w:val="001556AF"/>
    <w:rsid w:val="00156A63"/>
    <w:rsid w:val="0016085D"/>
    <w:rsid w:val="00161417"/>
    <w:rsid w:val="00161B07"/>
    <w:rsid w:val="00163081"/>
    <w:rsid w:val="0016359F"/>
    <w:rsid w:val="001636D1"/>
    <w:rsid w:val="00163754"/>
    <w:rsid w:val="0016382A"/>
    <w:rsid w:val="00163C65"/>
    <w:rsid w:val="00163E5A"/>
    <w:rsid w:val="00164F87"/>
    <w:rsid w:val="00164FF6"/>
    <w:rsid w:val="00165030"/>
    <w:rsid w:val="001663D2"/>
    <w:rsid w:val="00166588"/>
    <w:rsid w:val="00166955"/>
    <w:rsid w:val="00166F8A"/>
    <w:rsid w:val="00167B4F"/>
    <w:rsid w:val="001704EE"/>
    <w:rsid w:val="0017092A"/>
    <w:rsid w:val="0017172C"/>
    <w:rsid w:val="00172058"/>
    <w:rsid w:val="00172B90"/>
    <w:rsid w:val="00173A59"/>
    <w:rsid w:val="00173B09"/>
    <w:rsid w:val="001754AA"/>
    <w:rsid w:val="00176310"/>
    <w:rsid w:val="001764ED"/>
    <w:rsid w:val="001769C5"/>
    <w:rsid w:val="00176F40"/>
    <w:rsid w:val="00180016"/>
    <w:rsid w:val="00180415"/>
    <w:rsid w:val="00180633"/>
    <w:rsid w:val="00180E8B"/>
    <w:rsid w:val="00182C88"/>
    <w:rsid w:val="001841B0"/>
    <w:rsid w:val="001852CC"/>
    <w:rsid w:val="001854BC"/>
    <w:rsid w:val="001855FE"/>
    <w:rsid w:val="00186957"/>
    <w:rsid w:val="00186AE9"/>
    <w:rsid w:val="00186DAC"/>
    <w:rsid w:val="00187497"/>
    <w:rsid w:val="001878A7"/>
    <w:rsid w:val="0019017D"/>
    <w:rsid w:val="0019030B"/>
    <w:rsid w:val="00190CAE"/>
    <w:rsid w:val="00191A0E"/>
    <w:rsid w:val="00191B8C"/>
    <w:rsid w:val="00192169"/>
    <w:rsid w:val="0019238B"/>
    <w:rsid w:val="00192B05"/>
    <w:rsid w:val="00192B89"/>
    <w:rsid w:val="00192C24"/>
    <w:rsid w:val="00193ADF"/>
    <w:rsid w:val="00194DF5"/>
    <w:rsid w:val="00196779"/>
    <w:rsid w:val="0019796A"/>
    <w:rsid w:val="00197AD4"/>
    <w:rsid w:val="001A06C3"/>
    <w:rsid w:val="001A090F"/>
    <w:rsid w:val="001A1613"/>
    <w:rsid w:val="001A2FB6"/>
    <w:rsid w:val="001A3485"/>
    <w:rsid w:val="001A39F5"/>
    <w:rsid w:val="001A3FAA"/>
    <w:rsid w:val="001A5524"/>
    <w:rsid w:val="001A6437"/>
    <w:rsid w:val="001A653C"/>
    <w:rsid w:val="001A709A"/>
    <w:rsid w:val="001B037A"/>
    <w:rsid w:val="001B06CC"/>
    <w:rsid w:val="001B0B7E"/>
    <w:rsid w:val="001B1693"/>
    <w:rsid w:val="001B17B8"/>
    <w:rsid w:val="001B32E0"/>
    <w:rsid w:val="001B40AD"/>
    <w:rsid w:val="001B450A"/>
    <w:rsid w:val="001B4547"/>
    <w:rsid w:val="001B4B1D"/>
    <w:rsid w:val="001B5824"/>
    <w:rsid w:val="001B5C62"/>
    <w:rsid w:val="001B7224"/>
    <w:rsid w:val="001B7291"/>
    <w:rsid w:val="001B7630"/>
    <w:rsid w:val="001B7CC3"/>
    <w:rsid w:val="001C181C"/>
    <w:rsid w:val="001C1F91"/>
    <w:rsid w:val="001C278D"/>
    <w:rsid w:val="001C2AA1"/>
    <w:rsid w:val="001C30AE"/>
    <w:rsid w:val="001C3666"/>
    <w:rsid w:val="001C3993"/>
    <w:rsid w:val="001C487B"/>
    <w:rsid w:val="001C519B"/>
    <w:rsid w:val="001C62C3"/>
    <w:rsid w:val="001C62FE"/>
    <w:rsid w:val="001C7DF5"/>
    <w:rsid w:val="001C7F07"/>
    <w:rsid w:val="001D185A"/>
    <w:rsid w:val="001D2013"/>
    <w:rsid w:val="001D380D"/>
    <w:rsid w:val="001D3A2B"/>
    <w:rsid w:val="001D44A9"/>
    <w:rsid w:val="001D5390"/>
    <w:rsid w:val="001D6028"/>
    <w:rsid w:val="001D6772"/>
    <w:rsid w:val="001D68F9"/>
    <w:rsid w:val="001D76BA"/>
    <w:rsid w:val="001E0A9C"/>
    <w:rsid w:val="001E0ED8"/>
    <w:rsid w:val="001E2951"/>
    <w:rsid w:val="001E2DD1"/>
    <w:rsid w:val="001E377D"/>
    <w:rsid w:val="001E3910"/>
    <w:rsid w:val="001E407C"/>
    <w:rsid w:val="001E47B5"/>
    <w:rsid w:val="001E5208"/>
    <w:rsid w:val="001E5877"/>
    <w:rsid w:val="001E6423"/>
    <w:rsid w:val="001E6BB7"/>
    <w:rsid w:val="001E761B"/>
    <w:rsid w:val="001E7A70"/>
    <w:rsid w:val="001F0E1A"/>
    <w:rsid w:val="001F0EBB"/>
    <w:rsid w:val="001F132F"/>
    <w:rsid w:val="001F1910"/>
    <w:rsid w:val="001F1D9A"/>
    <w:rsid w:val="001F2144"/>
    <w:rsid w:val="001F256F"/>
    <w:rsid w:val="001F341A"/>
    <w:rsid w:val="001F51F4"/>
    <w:rsid w:val="001F63D6"/>
    <w:rsid w:val="001F6469"/>
    <w:rsid w:val="001F6732"/>
    <w:rsid w:val="001F6EC0"/>
    <w:rsid w:val="002000CD"/>
    <w:rsid w:val="00200D8A"/>
    <w:rsid w:val="00200DFD"/>
    <w:rsid w:val="00204011"/>
    <w:rsid w:val="002048C8"/>
    <w:rsid w:val="00204CC5"/>
    <w:rsid w:val="0020517F"/>
    <w:rsid w:val="0020522D"/>
    <w:rsid w:val="00205606"/>
    <w:rsid w:val="002065E7"/>
    <w:rsid w:val="0020700B"/>
    <w:rsid w:val="00207C4A"/>
    <w:rsid w:val="002109F2"/>
    <w:rsid w:val="00213527"/>
    <w:rsid w:val="0021356D"/>
    <w:rsid w:val="00213C6C"/>
    <w:rsid w:val="002143D4"/>
    <w:rsid w:val="002148E3"/>
    <w:rsid w:val="0021588B"/>
    <w:rsid w:val="00215B22"/>
    <w:rsid w:val="00216C0B"/>
    <w:rsid w:val="0021722F"/>
    <w:rsid w:val="00217B83"/>
    <w:rsid w:val="00217C1E"/>
    <w:rsid w:val="00220299"/>
    <w:rsid w:val="00220538"/>
    <w:rsid w:val="0022256E"/>
    <w:rsid w:val="00223708"/>
    <w:rsid w:val="00224FE0"/>
    <w:rsid w:val="002252D8"/>
    <w:rsid w:val="00225C29"/>
    <w:rsid w:val="00227BD7"/>
    <w:rsid w:val="002311D9"/>
    <w:rsid w:val="00231C15"/>
    <w:rsid w:val="00232041"/>
    <w:rsid w:val="002321F6"/>
    <w:rsid w:val="00232E1A"/>
    <w:rsid w:val="00234146"/>
    <w:rsid w:val="0023448B"/>
    <w:rsid w:val="00235DE9"/>
    <w:rsid w:val="002367DD"/>
    <w:rsid w:val="00236F16"/>
    <w:rsid w:val="00236F4B"/>
    <w:rsid w:val="00237034"/>
    <w:rsid w:val="00237205"/>
    <w:rsid w:val="00237251"/>
    <w:rsid w:val="002375D5"/>
    <w:rsid w:val="00242C70"/>
    <w:rsid w:val="00242E23"/>
    <w:rsid w:val="00243E15"/>
    <w:rsid w:val="00244E0D"/>
    <w:rsid w:val="0024528B"/>
    <w:rsid w:val="00245C51"/>
    <w:rsid w:val="00246FAC"/>
    <w:rsid w:val="00247396"/>
    <w:rsid w:val="0024757E"/>
    <w:rsid w:val="00250455"/>
    <w:rsid w:val="00252F5A"/>
    <w:rsid w:val="00253187"/>
    <w:rsid w:val="002539F8"/>
    <w:rsid w:val="00253C60"/>
    <w:rsid w:val="00256069"/>
    <w:rsid w:val="00256EFD"/>
    <w:rsid w:val="0025719A"/>
    <w:rsid w:val="002576D1"/>
    <w:rsid w:val="00260599"/>
    <w:rsid w:val="0026225D"/>
    <w:rsid w:val="0026287F"/>
    <w:rsid w:val="00262E98"/>
    <w:rsid w:val="00263806"/>
    <w:rsid w:val="00263985"/>
    <w:rsid w:val="00264144"/>
    <w:rsid w:val="00264266"/>
    <w:rsid w:val="002652B1"/>
    <w:rsid w:val="0026532D"/>
    <w:rsid w:val="00265440"/>
    <w:rsid w:val="002658A9"/>
    <w:rsid w:val="0026622E"/>
    <w:rsid w:val="00266AEE"/>
    <w:rsid w:val="002679D9"/>
    <w:rsid w:val="00267B24"/>
    <w:rsid w:val="00270089"/>
    <w:rsid w:val="0027050C"/>
    <w:rsid w:val="00270532"/>
    <w:rsid w:val="00272086"/>
    <w:rsid w:val="00272685"/>
    <w:rsid w:val="002729FF"/>
    <w:rsid w:val="00272C4C"/>
    <w:rsid w:val="002735DB"/>
    <w:rsid w:val="002736A2"/>
    <w:rsid w:val="00273A76"/>
    <w:rsid w:val="00273DB7"/>
    <w:rsid w:val="002750EC"/>
    <w:rsid w:val="00276321"/>
    <w:rsid w:val="002764C1"/>
    <w:rsid w:val="00276EF5"/>
    <w:rsid w:val="0027753C"/>
    <w:rsid w:val="00277544"/>
    <w:rsid w:val="00280AE0"/>
    <w:rsid w:val="00282A8F"/>
    <w:rsid w:val="002830C6"/>
    <w:rsid w:val="00284951"/>
    <w:rsid w:val="00284D2B"/>
    <w:rsid w:val="00284E06"/>
    <w:rsid w:val="00286CB3"/>
    <w:rsid w:val="00286CB9"/>
    <w:rsid w:val="00290C53"/>
    <w:rsid w:val="00290DD1"/>
    <w:rsid w:val="00292946"/>
    <w:rsid w:val="00294252"/>
    <w:rsid w:val="00294B5B"/>
    <w:rsid w:val="002955EA"/>
    <w:rsid w:val="00295AFF"/>
    <w:rsid w:val="00295D70"/>
    <w:rsid w:val="002961B2"/>
    <w:rsid w:val="00296CC9"/>
    <w:rsid w:val="0029782B"/>
    <w:rsid w:val="00297907"/>
    <w:rsid w:val="002A02DB"/>
    <w:rsid w:val="002A1945"/>
    <w:rsid w:val="002A21F5"/>
    <w:rsid w:val="002A227B"/>
    <w:rsid w:val="002A236B"/>
    <w:rsid w:val="002A3D97"/>
    <w:rsid w:val="002A4417"/>
    <w:rsid w:val="002A5D69"/>
    <w:rsid w:val="002A5F43"/>
    <w:rsid w:val="002A7086"/>
    <w:rsid w:val="002B0401"/>
    <w:rsid w:val="002B0AC4"/>
    <w:rsid w:val="002B0B8C"/>
    <w:rsid w:val="002B2A3B"/>
    <w:rsid w:val="002B339F"/>
    <w:rsid w:val="002B35C1"/>
    <w:rsid w:val="002B3D15"/>
    <w:rsid w:val="002B3D34"/>
    <w:rsid w:val="002B4A73"/>
    <w:rsid w:val="002B5616"/>
    <w:rsid w:val="002B5B59"/>
    <w:rsid w:val="002B5E0B"/>
    <w:rsid w:val="002B68DC"/>
    <w:rsid w:val="002B6ABA"/>
    <w:rsid w:val="002B72EB"/>
    <w:rsid w:val="002C1202"/>
    <w:rsid w:val="002C1370"/>
    <w:rsid w:val="002C2397"/>
    <w:rsid w:val="002C2725"/>
    <w:rsid w:val="002C2D3B"/>
    <w:rsid w:val="002C3774"/>
    <w:rsid w:val="002C3E60"/>
    <w:rsid w:val="002C4F38"/>
    <w:rsid w:val="002C66BC"/>
    <w:rsid w:val="002D098F"/>
    <w:rsid w:val="002D12C0"/>
    <w:rsid w:val="002D3A55"/>
    <w:rsid w:val="002D3B8A"/>
    <w:rsid w:val="002D3FC7"/>
    <w:rsid w:val="002D46E0"/>
    <w:rsid w:val="002D59CB"/>
    <w:rsid w:val="002D6BB8"/>
    <w:rsid w:val="002D6F9F"/>
    <w:rsid w:val="002D7872"/>
    <w:rsid w:val="002E0FD3"/>
    <w:rsid w:val="002E1064"/>
    <w:rsid w:val="002E1326"/>
    <w:rsid w:val="002E6B78"/>
    <w:rsid w:val="002E6CA8"/>
    <w:rsid w:val="002E78BC"/>
    <w:rsid w:val="002F011A"/>
    <w:rsid w:val="002F02D4"/>
    <w:rsid w:val="002F04A6"/>
    <w:rsid w:val="002F0645"/>
    <w:rsid w:val="002F1121"/>
    <w:rsid w:val="002F2D42"/>
    <w:rsid w:val="002F3636"/>
    <w:rsid w:val="002F3D48"/>
    <w:rsid w:val="002F4490"/>
    <w:rsid w:val="002F50CE"/>
    <w:rsid w:val="002F6A9D"/>
    <w:rsid w:val="002F7FA3"/>
    <w:rsid w:val="003000A5"/>
    <w:rsid w:val="00300106"/>
    <w:rsid w:val="00300C25"/>
    <w:rsid w:val="00300E24"/>
    <w:rsid w:val="00301B60"/>
    <w:rsid w:val="00301C00"/>
    <w:rsid w:val="00303533"/>
    <w:rsid w:val="00303B46"/>
    <w:rsid w:val="0030422C"/>
    <w:rsid w:val="003054DD"/>
    <w:rsid w:val="00305686"/>
    <w:rsid w:val="003070A3"/>
    <w:rsid w:val="00307A3C"/>
    <w:rsid w:val="0031017A"/>
    <w:rsid w:val="00310E92"/>
    <w:rsid w:val="00312792"/>
    <w:rsid w:val="00312975"/>
    <w:rsid w:val="00313DBA"/>
    <w:rsid w:val="00314741"/>
    <w:rsid w:val="00314F1C"/>
    <w:rsid w:val="00315285"/>
    <w:rsid w:val="00317A30"/>
    <w:rsid w:val="00317ECF"/>
    <w:rsid w:val="003203F2"/>
    <w:rsid w:val="00321F01"/>
    <w:rsid w:val="003240CE"/>
    <w:rsid w:val="0032485A"/>
    <w:rsid w:val="00325B99"/>
    <w:rsid w:val="00326432"/>
    <w:rsid w:val="00326C33"/>
    <w:rsid w:val="0032734C"/>
    <w:rsid w:val="00327915"/>
    <w:rsid w:val="00327993"/>
    <w:rsid w:val="0033038B"/>
    <w:rsid w:val="00330D13"/>
    <w:rsid w:val="00331304"/>
    <w:rsid w:val="00331CE2"/>
    <w:rsid w:val="00331D97"/>
    <w:rsid w:val="00332CCA"/>
    <w:rsid w:val="00332E8B"/>
    <w:rsid w:val="003334FC"/>
    <w:rsid w:val="00333E2F"/>
    <w:rsid w:val="00333F76"/>
    <w:rsid w:val="003345AF"/>
    <w:rsid w:val="00334626"/>
    <w:rsid w:val="00334FBF"/>
    <w:rsid w:val="003356D1"/>
    <w:rsid w:val="00336A76"/>
    <w:rsid w:val="00336A87"/>
    <w:rsid w:val="00336AA1"/>
    <w:rsid w:val="00336E91"/>
    <w:rsid w:val="00337BAE"/>
    <w:rsid w:val="00340292"/>
    <w:rsid w:val="00341407"/>
    <w:rsid w:val="00341568"/>
    <w:rsid w:val="00341E41"/>
    <w:rsid w:val="00342189"/>
    <w:rsid w:val="0034259D"/>
    <w:rsid w:val="00342DA3"/>
    <w:rsid w:val="00343122"/>
    <w:rsid w:val="003434D1"/>
    <w:rsid w:val="00343547"/>
    <w:rsid w:val="003442C0"/>
    <w:rsid w:val="0034473A"/>
    <w:rsid w:val="003461F0"/>
    <w:rsid w:val="0034635B"/>
    <w:rsid w:val="003479B5"/>
    <w:rsid w:val="00350439"/>
    <w:rsid w:val="00350FA4"/>
    <w:rsid w:val="00352585"/>
    <w:rsid w:val="003540A7"/>
    <w:rsid w:val="0035413E"/>
    <w:rsid w:val="003549F1"/>
    <w:rsid w:val="00354AD0"/>
    <w:rsid w:val="00355419"/>
    <w:rsid w:val="003559DE"/>
    <w:rsid w:val="003571AE"/>
    <w:rsid w:val="00357800"/>
    <w:rsid w:val="00357ED4"/>
    <w:rsid w:val="00360B26"/>
    <w:rsid w:val="00361ACA"/>
    <w:rsid w:val="003645E0"/>
    <w:rsid w:val="00364BA8"/>
    <w:rsid w:val="00364C05"/>
    <w:rsid w:val="00364F1D"/>
    <w:rsid w:val="00366CF3"/>
    <w:rsid w:val="003674E0"/>
    <w:rsid w:val="0036767F"/>
    <w:rsid w:val="00371818"/>
    <w:rsid w:val="0037212D"/>
    <w:rsid w:val="003724F7"/>
    <w:rsid w:val="00372A9B"/>
    <w:rsid w:val="00373DDD"/>
    <w:rsid w:val="003749C1"/>
    <w:rsid w:val="003758C1"/>
    <w:rsid w:val="00375EF5"/>
    <w:rsid w:val="0037683F"/>
    <w:rsid w:val="00380896"/>
    <w:rsid w:val="00380EA1"/>
    <w:rsid w:val="00382A3C"/>
    <w:rsid w:val="00383B64"/>
    <w:rsid w:val="00384068"/>
    <w:rsid w:val="00384716"/>
    <w:rsid w:val="0038491C"/>
    <w:rsid w:val="00386BD5"/>
    <w:rsid w:val="00386D30"/>
    <w:rsid w:val="003871BA"/>
    <w:rsid w:val="00392FD0"/>
    <w:rsid w:val="00393473"/>
    <w:rsid w:val="003936F1"/>
    <w:rsid w:val="003944F9"/>
    <w:rsid w:val="003953BC"/>
    <w:rsid w:val="0039602B"/>
    <w:rsid w:val="00397242"/>
    <w:rsid w:val="003A1197"/>
    <w:rsid w:val="003A15FB"/>
    <w:rsid w:val="003A1758"/>
    <w:rsid w:val="003A2A44"/>
    <w:rsid w:val="003A42F9"/>
    <w:rsid w:val="003A48D3"/>
    <w:rsid w:val="003A50B6"/>
    <w:rsid w:val="003A711B"/>
    <w:rsid w:val="003B0AAE"/>
    <w:rsid w:val="003B2377"/>
    <w:rsid w:val="003B240B"/>
    <w:rsid w:val="003B29E8"/>
    <w:rsid w:val="003B341A"/>
    <w:rsid w:val="003B3B20"/>
    <w:rsid w:val="003B3C86"/>
    <w:rsid w:val="003B419E"/>
    <w:rsid w:val="003B5AE0"/>
    <w:rsid w:val="003C0590"/>
    <w:rsid w:val="003C1094"/>
    <w:rsid w:val="003C468C"/>
    <w:rsid w:val="003C5720"/>
    <w:rsid w:val="003C6483"/>
    <w:rsid w:val="003C7508"/>
    <w:rsid w:val="003D08E0"/>
    <w:rsid w:val="003D1978"/>
    <w:rsid w:val="003D1B95"/>
    <w:rsid w:val="003D30D3"/>
    <w:rsid w:val="003D4619"/>
    <w:rsid w:val="003D4816"/>
    <w:rsid w:val="003D6CFD"/>
    <w:rsid w:val="003D737A"/>
    <w:rsid w:val="003D766B"/>
    <w:rsid w:val="003D7789"/>
    <w:rsid w:val="003E0D8F"/>
    <w:rsid w:val="003E199E"/>
    <w:rsid w:val="003E1BA4"/>
    <w:rsid w:val="003E28CD"/>
    <w:rsid w:val="003E3061"/>
    <w:rsid w:val="003E375E"/>
    <w:rsid w:val="003E539D"/>
    <w:rsid w:val="003E54DA"/>
    <w:rsid w:val="003E57C8"/>
    <w:rsid w:val="003E6B65"/>
    <w:rsid w:val="003F1828"/>
    <w:rsid w:val="003F1863"/>
    <w:rsid w:val="003F19BD"/>
    <w:rsid w:val="003F2E9F"/>
    <w:rsid w:val="003F2EBB"/>
    <w:rsid w:val="003F447A"/>
    <w:rsid w:val="003F4570"/>
    <w:rsid w:val="003F486A"/>
    <w:rsid w:val="003F4D64"/>
    <w:rsid w:val="003F59CB"/>
    <w:rsid w:val="003F5DC7"/>
    <w:rsid w:val="003F648E"/>
    <w:rsid w:val="003F78CD"/>
    <w:rsid w:val="00400F9B"/>
    <w:rsid w:val="00401D36"/>
    <w:rsid w:val="004025AE"/>
    <w:rsid w:val="00403BDC"/>
    <w:rsid w:val="004043AE"/>
    <w:rsid w:val="00404EA9"/>
    <w:rsid w:val="00406299"/>
    <w:rsid w:val="00406A30"/>
    <w:rsid w:val="00410349"/>
    <w:rsid w:val="004105D1"/>
    <w:rsid w:val="0041081A"/>
    <w:rsid w:val="00410DF3"/>
    <w:rsid w:val="00412EA1"/>
    <w:rsid w:val="004138D8"/>
    <w:rsid w:val="00413D0B"/>
    <w:rsid w:val="004149F3"/>
    <w:rsid w:val="004156A9"/>
    <w:rsid w:val="00415D67"/>
    <w:rsid w:val="004166F5"/>
    <w:rsid w:val="00416741"/>
    <w:rsid w:val="00417D3B"/>
    <w:rsid w:val="00420B4F"/>
    <w:rsid w:val="00420F98"/>
    <w:rsid w:val="004211E8"/>
    <w:rsid w:val="00421C7F"/>
    <w:rsid w:val="004223F3"/>
    <w:rsid w:val="00423571"/>
    <w:rsid w:val="00424C34"/>
    <w:rsid w:val="00426338"/>
    <w:rsid w:val="00426E7C"/>
    <w:rsid w:val="00427841"/>
    <w:rsid w:val="004308E3"/>
    <w:rsid w:val="00430A36"/>
    <w:rsid w:val="00430F1C"/>
    <w:rsid w:val="004316F8"/>
    <w:rsid w:val="00432220"/>
    <w:rsid w:val="0043277A"/>
    <w:rsid w:val="00433EAE"/>
    <w:rsid w:val="004340D2"/>
    <w:rsid w:val="004343D9"/>
    <w:rsid w:val="0043592F"/>
    <w:rsid w:val="00435C15"/>
    <w:rsid w:val="004364C8"/>
    <w:rsid w:val="0043731B"/>
    <w:rsid w:val="00441428"/>
    <w:rsid w:val="004427CC"/>
    <w:rsid w:val="004431F5"/>
    <w:rsid w:val="00443565"/>
    <w:rsid w:val="00444728"/>
    <w:rsid w:val="004457EC"/>
    <w:rsid w:val="004457FA"/>
    <w:rsid w:val="0044580F"/>
    <w:rsid w:val="00445A3D"/>
    <w:rsid w:val="00447091"/>
    <w:rsid w:val="00447953"/>
    <w:rsid w:val="00451317"/>
    <w:rsid w:val="00452D58"/>
    <w:rsid w:val="00454447"/>
    <w:rsid w:val="00454998"/>
    <w:rsid w:val="00454C10"/>
    <w:rsid w:val="00454F0B"/>
    <w:rsid w:val="0045659E"/>
    <w:rsid w:val="00456D36"/>
    <w:rsid w:val="00457734"/>
    <w:rsid w:val="004605B1"/>
    <w:rsid w:val="0046083A"/>
    <w:rsid w:val="00462DA3"/>
    <w:rsid w:val="004643CE"/>
    <w:rsid w:val="00464B6B"/>
    <w:rsid w:val="00465619"/>
    <w:rsid w:val="004665AC"/>
    <w:rsid w:val="00467589"/>
    <w:rsid w:val="00467AF8"/>
    <w:rsid w:val="0047254F"/>
    <w:rsid w:val="004729B0"/>
    <w:rsid w:val="0047320B"/>
    <w:rsid w:val="00474816"/>
    <w:rsid w:val="00474ECE"/>
    <w:rsid w:val="00474F65"/>
    <w:rsid w:val="0047512D"/>
    <w:rsid w:val="004759BF"/>
    <w:rsid w:val="00476116"/>
    <w:rsid w:val="00476252"/>
    <w:rsid w:val="00476B20"/>
    <w:rsid w:val="00476B66"/>
    <w:rsid w:val="004772C8"/>
    <w:rsid w:val="0047739F"/>
    <w:rsid w:val="004775EC"/>
    <w:rsid w:val="00480D08"/>
    <w:rsid w:val="00480E72"/>
    <w:rsid w:val="0048154F"/>
    <w:rsid w:val="004817E4"/>
    <w:rsid w:val="0048248E"/>
    <w:rsid w:val="004824E3"/>
    <w:rsid w:val="00482CF2"/>
    <w:rsid w:val="00482FC8"/>
    <w:rsid w:val="00484744"/>
    <w:rsid w:val="004853C9"/>
    <w:rsid w:val="00486536"/>
    <w:rsid w:val="00487BC3"/>
    <w:rsid w:val="00487F3F"/>
    <w:rsid w:val="00490555"/>
    <w:rsid w:val="004908ED"/>
    <w:rsid w:val="00490C49"/>
    <w:rsid w:val="004938BF"/>
    <w:rsid w:val="00493922"/>
    <w:rsid w:val="00493A67"/>
    <w:rsid w:val="00493CF4"/>
    <w:rsid w:val="00495D76"/>
    <w:rsid w:val="0049666A"/>
    <w:rsid w:val="004979AC"/>
    <w:rsid w:val="00497B9F"/>
    <w:rsid w:val="004A0142"/>
    <w:rsid w:val="004A19B4"/>
    <w:rsid w:val="004A3087"/>
    <w:rsid w:val="004A4EC7"/>
    <w:rsid w:val="004A56A2"/>
    <w:rsid w:val="004A595F"/>
    <w:rsid w:val="004A5E48"/>
    <w:rsid w:val="004B03D5"/>
    <w:rsid w:val="004B13A4"/>
    <w:rsid w:val="004B1FEF"/>
    <w:rsid w:val="004B22E6"/>
    <w:rsid w:val="004B50A0"/>
    <w:rsid w:val="004B52EC"/>
    <w:rsid w:val="004B5AB4"/>
    <w:rsid w:val="004C0545"/>
    <w:rsid w:val="004C0F34"/>
    <w:rsid w:val="004C1207"/>
    <w:rsid w:val="004C193F"/>
    <w:rsid w:val="004C1DA4"/>
    <w:rsid w:val="004C33FB"/>
    <w:rsid w:val="004C3720"/>
    <w:rsid w:val="004C3FDC"/>
    <w:rsid w:val="004C5263"/>
    <w:rsid w:val="004C5286"/>
    <w:rsid w:val="004D0161"/>
    <w:rsid w:val="004D079B"/>
    <w:rsid w:val="004D179E"/>
    <w:rsid w:val="004D34F6"/>
    <w:rsid w:val="004D3DDD"/>
    <w:rsid w:val="004D5973"/>
    <w:rsid w:val="004D5F30"/>
    <w:rsid w:val="004D63B3"/>
    <w:rsid w:val="004E0600"/>
    <w:rsid w:val="004E0870"/>
    <w:rsid w:val="004E1C00"/>
    <w:rsid w:val="004E1E8E"/>
    <w:rsid w:val="004E2985"/>
    <w:rsid w:val="004E348C"/>
    <w:rsid w:val="004E466B"/>
    <w:rsid w:val="004E5BDB"/>
    <w:rsid w:val="004E66BB"/>
    <w:rsid w:val="004E7DF6"/>
    <w:rsid w:val="004F066D"/>
    <w:rsid w:val="004F0F2F"/>
    <w:rsid w:val="004F1E94"/>
    <w:rsid w:val="004F2492"/>
    <w:rsid w:val="004F290D"/>
    <w:rsid w:val="004F37B7"/>
    <w:rsid w:val="004F3838"/>
    <w:rsid w:val="004F4A55"/>
    <w:rsid w:val="004F4DC1"/>
    <w:rsid w:val="004F51B3"/>
    <w:rsid w:val="004F544E"/>
    <w:rsid w:val="004F7F0E"/>
    <w:rsid w:val="00500A65"/>
    <w:rsid w:val="005031FD"/>
    <w:rsid w:val="00503753"/>
    <w:rsid w:val="00504A34"/>
    <w:rsid w:val="005054B4"/>
    <w:rsid w:val="005075D0"/>
    <w:rsid w:val="005078B7"/>
    <w:rsid w:val="00507C7D"/>
    <w:rsid w:val="00507E6A"/>
    <w:rsid w:val="005109FA"/>
    <w:rsid w:val="00510C3E"/>
    <w:rsid w:val="005111D8"/>
    <w:rsid w:val="00511ED5"/>
    <w:rsid w:val="00511F5F"/>
    <w:rsid w:val="00513349"/>
    <w:rsid w:val="0051344F"/>
    <w:rsid w:val="00515558"/>
    <w:rsid w:val="00515F06"/>
    <w:rsid w:val="00516457"/>
    <w:rsid w:val="00516823"/>
    <w:rsid w:val="00516996"/>
    <w:rsid w:val="00517457"/>
    <w:rsid w:val="00517EC6"/>
    <w:rsid w:val="00521BB2"/>
    <w:rsid w:val="00524925"/>
    <w:rsid w:val="00524CA6"/>
    <w:rsid w:val="005260B8"/>
    <w:rsid w:val="005303F4"/>
    <w:rsid w:val="00531A14"/>
    <w:rsid w:val="0053297D"/>
    <w:rsid w:val="00533AB5"/>
    <w:rsid w:val="00535DDA"/>
    <w:rsid w:val="00535EDE"/>
    <w:rsid w:val="00535F29"/>
    <w:rsid w:val="00540397"/>
    <w:rsid w:val="0054171F"/>
    <w:rsid w:val="005447A2"/>
    <w:rsid w:val="00545044"/>
    <w:rsid w:val="005453DD"/>
    <w:rsid w:val="00546E93"/>
    <w:rsid w:val="00547ABF"/>
    <w:rsid w:val="00547C63"/>
    <w:rsid w:val="0055029C"/>
    <w:rsid w:val="00551048"/>
    <w:rsid w:val="005514BB"/>
    <w:rsid w:val="0055182A"/>
    <w:rsid w:val="00552A05"/>
    <w:rsid w:val="0055338F"/>
    <w:rsid w:val="00553799"/>
    <w:rsid w:val="00555AFA"/>
    <w:rsid w:val="00555C40"/>
    <w:rsid w:val="00556670"/>
    <w:rsid w:val="00557480"/>
    <w:rsid w:val="005578F8"/>
    <w:rsid w:val="00557981"/>
    <w:rsid w:val="00560148"/>
    <w:rsid w:val="005620BD"/>
    <w:rsid w:val="00564314"/>
    <w:rsid w:val="005662C6"/>
    <w:rsid w:val="005664D3"/>
    <w:rsid w:val="0057043B"/>
    <w:rsid w:val="00570792"/>
    <w:rsid w:val="00570A02"/>
    <w:rsid w:val="00570DC9"/>
    <w:rsid w:val="00571470"/>
    <w:rsid w:val="00573982"/>
    <w:rsid w:val="00574A7F"/>
    <w:rsid w:val="00574E75"/>
    <w:rsid w:val="005750CB"/>
    <w:rsid w:val="00575267"/>
    <w:rsid w:val="00575A87"/>
    <w:rsid w:val="00576C3C"/>
    <w:rsid w:val="00581F98"/>
    <w:rsid w:val="00581FA6"/>
    <w:rsid w:val="005848BD"/>
    <w:rsid w:val="005866BA"/>
    <w:rsid w:val="005869AB"/>
    <w:rsid w:val="00586BEF"/>
    <w:rsid w:val="0059052E"/>
    <w:rsid w:val="00590583"/>
    <w:rsid w:val="00590C28"/>
    <w:rsid w:val="00591089"/>
    <w:rsid w:val="00593058"/>
    <w:rsid w:val="005936C3"/>
    <w:rsid w:val="00593AD0"/>
    <w:rsid w:val="00595648"/>
    <w:rsid w:val="00595953"/>
    <w:rsid w:val="00595C01"/>
    <w:rsid w:val="00596299"/>
    <w:rsid w:val="00597709"/>
    <w:rsid w:val="005A0446"/>
    <w:rsid w:val="005A0C98"/>
    <w:rsid w:val="005A0D70"/>
    <w:rsid w:val="005A31A3"/>
    <w:rsid w:val="005A691F"/>
    <w:rsid w:val="005A6989"/>
    <w:rsid w:val="005A79C4"/>
    <w:rsid w:val="005A7E23"/>
    <w:rsid w:val="005B0D97"/>
    <w:rsid w:val="005B3571"/>
    <w:rsid w:val="005B4234"/>
    <w:rsid w:val="005B4271"/>
    <w:rsid w:val="005B4304"/>
    <w:rsid w:val="005B4660"/>
    <w:rsid w:val="005B52BA"/>
    <w:rsid w:val="005B6950"/>
    <w:rsid w:val="005B6FCF"/>
    <w:rsid w:val="005B7C5D"/>
    <w:rsid w:val="005C06F9"/>
    <w:rsid w:val="005C0704"/>
    <w:rsid w:val="005C0EE4"/>
    <w:rsid w:val="005C17DF"/>
    <w:rsid w:val="005C2A21"/>
    <w:rsid w:val="005C3AC0"/>
    <w:rsid w:val="005C3FA2"/>
    <w:rsid w:val="005C49AB"/>
    <w:rsid w:val="005C4CE0"/>
    <w:rsid w:val="005C58A6"/>
    <w:rsid w:val="005C5B4F"/>
    <w:rsid w:val="005C7027"/>
    <w:rsid w:val="005C7556"/>
    <w:rsid w:val="005C7B57"/>
    <w:rsid w:val="005C7E47"/>
    <w:rsid w:val="005D02C0"/>
    <w:rsid w:val="005D16CB"/>
    <w:rsid w:val="005D1DA9"/>
    <w:rsid w:val="005D20D7"/>
    <w:rsid w:val="005D334C"/>
    <w:rsid w:val="005D3535"/>
    <w:rsid w:val="005D6B0F"/>
    <w:rsid w:val="005D6B53"/>
    <w:rsid w:val="005D6D6A"/>
    <w:rsid w:val="005E1FEF"/>
    <w:rsid w:val="005E279F"/>
    <w:rsid w:val="005E3CD1"/>
    <w:rsid w:val="005E3D5E"/>
    <w:rsid w:val="005E5091"/>
    <w:rsid w:val="005E635C"/>
    <w:rsid w:val="005E6897"/>
    <w:rsid w:val="005E6C0B"/>
    <w:rsid w:val="005E7741"/>
    <w:rsid w:val="005F000C"/>
    <w:rsid w:val="005F0969"/>
    <w:rsid w:val="005F2ECC"/>
    <w:rsid w:val="005F2F2D"/>
    <w:rsid w:val="005F4CBF"/>
    <w:rsid w:val="005F6318"/>
    <w:rsid w:val="005F69FF"/>
    <w:rsid w:val="00601171"/>
    <w:rsid w:val="00601349"/>
    <w:rsid w:val="00601C72"/>
    <w:rsid w:val="0060245D"/>
    <w:rsid w:val="006024F7"/>
    <w:rsid w:val="0060253B"/>
    <w:rsid w:val="006027A8"/>
    <w:rsid w:val="0060288C"/>
    <w:rsid w:val="006029EF"/>
    <w:rsid w:val="006045E7"/>
    <w:rsid w:val="0060463C"/>
    <w:rsid w:val="00606AE7"/>
    <w:rsid w:val="00606C08"/>
    <w:rsid w:val="0060726B"/>
    <w:rsid w:val="006075A1"/>
    <w:rsid w:val="00610808"/>
    <w:rsid w:val="0061170C"/>
    <w:rsid w:val="00611C17"/>
    <w:rsid w:val="006128F2"/>
    <w:rsid w:val="0061492A"/>
    <w:rsid w:val="00616FF6"/>
    <w:rsid w:val="00617EBB"/>
    <w:rsid w:val="00620195"/>
    <w:rsid w:val="00620869"/>
    <w:rsid w:val="0062142B"/>
    <w:rsid w:val="0062238E"/>
    <w:rsid w:val="00623391"/>
    <w:rsid w:val="0062506A"/>
    <w:rsid w:val="00625A94"/>
    <w:rsid w:val="00625F66"/>
    <w:rsid w:val="00627544"/>
    <w:rsid w:val="006277A1"/>
    <w:rsid w:val="0062784A"/>
    <w:rsid w:val="00630E2B"/>
    <w:rsid w:val="00632DC5"/>
    <w:rsid w:val="006342B7"/>
    <w:rsid w:val="00634884"/>
    <w:rsid w:val="00634D1F"/>
    <w:rsid w:val="00634EE0"/>
    <w:rsid w:val="0063572B"/>
    <w:rsid w:val="006359F5"/>
    <w:rsid w:val="00635A42"/>
    <w:rsid w:val="00635BDB"/>
    <w:rsid w:val="00636440"/>
    <w:rsid w:val="006372B1"/>
    <w:rsid w:val="006373C3"/>
    <w:rsid w:val="00637EE1"/>
    <w:rsid w:val="00637F89"/>
    <w:rsid w:val="00640317"/>
    <w:rsid w:val="00640A84"/>
    <w:rsid w:val="00640B61"/>
    <w:rsid w:val="00641BF1"/>
    <w:rsid w:val="00641CFD"/>
    <w:rsid w:val="00642437"/>
    <w:rsid w:val="0064244A"/>
    <w:rsid w:val="00642DA8"/>
    <w:rsid w:val="00643606"/>
    <w:rsid w:val="0064425D"/>
    <w:rsid w:val="0064671C"/>
    <w:rsid w:val="006470C0"/>
    <w:rsid w:val="00650556"/>
    <w:rsid w:val="006514AD"/>
    <w:rsid w:val="0065468A"/>
    <w:rsid w:val="00654A4A"/>
    <w:rsid w:val="00654C45"/>
    <w:rsid w:val="00655DB4"/>
    <w:rsid w:val="00655DFF"/>
    <w:rsid w:val="00656D92"/>
    <w:rsid w:val="006572DB"/>
    <w:rsid w:val="006573E6"/>
    <w:rsid w:val="00657873"/>
    <w:rsid w:val="006578EC"/>
    <w:rsid w:val="006612AF"/>
    <w:rsid w:val="00662D57"/>
    <w:rsid w:val="00664B01"/>
    <w:rsid w:val="006655B8"/>
    <w:rsid w:val="00665711"/>
    <w:rsid w:val="00665A60"/>
    <w:rsid w:val="00665AA0"/>
    <w:rsid w:val="00665F47"/>
    <w:rsid w:val="006665ED"/>
    <w:rsid w:val="0066698E"/>
    <w:rsid w:val="00667C0B"/>
    <w:rsid w:val="00667CD6"/>
    <w:rsid w:val="00670082"/>
    <w:rsid w:val="00670BB8"/>
    <w:rsid w:val="00671B75"/>
    <w:rsid w:val="00673291"/>
    <w:rsid w:val="00673880"/>
    <w:rsid w:val="00673A55"/>
    <w:rsid w:val="00673B17"/>
    <w:rsid w:val="00674801"/>
    <w:rsid w:val="00674A06"/>
    <w:rsid w:val="00674F4F"/>
    <w:rsid w:val="00676446"/>
    <w:rsid w:val="00676776"/>
    <w:rsid w:val="00677777"/>
    <w:rsid w:val="00677EBF"/>
    <w:rsid w:val="006818C5"/>
    <w:rsid w:val="00682795"/>
    <w:rsid w:val="00682F4C"/>
    <w:rsid w:val="006830C2"/>
    <w:rsid w:val="00683A25"/>
    <w:rsid w:val="00683F33"/>
    <w:rsid w:val="006868E1"/>
    <w:rsid w:val="00690227"/>
    <w:rsid w:val="00690771"/>
    <w:rsid w:val="00690AAA"/>
    <w:rsid w:val="00692023"/>
    <w:rsid w:val="00692848"/>
    <w:rsid w:val="00694183"/>
    <w:rsid w:val="0069431C"/>
    <w:rsid w:val="00695411"/>
    <w:rsid w:val="0069556D"/>
    <w:rsid w:val="006A0B2E"/>
    <w:rsid w:val="006A11C5"/>
    <w:rsid w:val="006A1A27"/>
    <w:rsid w:val="006A4C53"/>
    <w:rsid w:val="006A5009"/>
    <w:rsid w:val="006A563D"/>
    <w:rsid w:val="006A56B8"/>
    <w:rsid w:val="006A5AA3"/>
    <w:rsid w:val="006A5CBD"/>
    <w:rsid w:val="006A6445"/>
    <w:rsid w:val="006A6ED0"/>
    <w:rsid w:val="006B0F32"/>
    <w:rsid w:val="006B0F44"/>
    <w:rsid w:val="006B0FC4"/>
    <w:rsid w:val="006B1738"/>
    <w:rsid w:val="006B198C"/>
    <w:rsid w:val="006B1A94"/>
    <w:rsid w:val="006B215B"/>
    <w:rsid w:val="006B2169"/>
    <w:rsid w:val="006B2A8B"/>
    <w:rsid w:val="006B2BE2"/>
    <w:rsid w:val="006B33BA"/>
    <w:rsid w:val="006B3633"/>
    <w:rsid w:val="006B4A26"/>
    <w:rsid w:val="006B516C"/>
    <w:rsid w:val="006B57BE"/>
    <w:rsid w:val="006B59AC"/>
    <w:rsid w:val="006C0086"/>
    <w:rsid w:val="006C1F72"/>
    <w:rsid w:val="006C25A5"/>
    <w:rsid w:val="006C2844"/>
    <w:rsid w:val="006C28CC"/>
    <w:rsid w:val="006C2C0B"/>
    <w:rsid w:val="006C3032"/>
    <w:rsid w:val="006C352A"/>
    <w:rsid w:val="006C3F6E"/>
    <w:rsid w:val="006C49EA"/>
    <w:rsid w:val="006C4A94"/>
    <w:rsid w:val="006D10F9"/>
    <w:rsid w:val="006D402B"/>
    <w:rsid w:val="006D51D6"/>
    <w:rsid w:val="006D5D94"/>
    <w:rsid w:val="006D67AD"/>
    <w:rsid w:val="006D6D06"/>
    <w:rsid w:val="006D70EF"/>
    <w:rsid w:val="006E03FB"/>
    <w:rsid w:val="006E0ECF"/>
    <w:rsid w:val="006E1B8B"/>
    <w:rsid w:val="006E3BE1"/>
    <w:rsid w:val="006E3FA1"/>
    <w:rsid w:val="006E4181"/>
    <w:rsid w:val="006E499E"/>
    <w:rsid w:val="006E4D5C"/>
    <w:rsid w:val="006E4E38"/>
    <w:rsid w:val="006E578F"/>
    <w:rsid w:val="006E6BFD"/>
    <w:rsid w:val="006E6C66"/>
    <w:rsid w:val="006F11F0"/>
    <w:rsid w:val="006F1474"/>
    <w:rsid w:val="006F1DE4"/>
    <w:rsid w:val="006F200E"/>
    <w:rsid w:val="006F226E"/>
    <w:rsid w:val="006F2EC2"/>
    <w:rsid w:val="006F3A1F"/>
    <w:rsid w:val="006F4150"/>
    <w:rsid w:val="006F4BF4"/>
    <w:rsid w:val="006F4DCB"/>
    <w:rsid w:val="006F4F8F"/>
    <w:rsid w:val="006F66D7"/>
    <w:rsid w:val="0070005E"/>
    <w:rsid w:val="007003D8"/>
    <w:rsid w:val="00700C94"/>
    <w:rsid w:val="00701A71"/>
    <w:rsid w:val="00703CCE"/>
    <w:rsid w:val="007044E9"/>
    <w:rsid w:val="007046A3"/>
    <w:rsid w:val="007047D0"/>
    <w:rsid w:val="007049C6"/>
    <w:rsid w:val="00704A49"/>
    <w:rsid w:val="00704D1B"/>
    <w:rsid w:val="00704F0D"/>
    <w:rsid w:val="00706A16"/>
    <w:rsid w:val="00706A62"/>
    <w:rsid w:val="00707793"/>
    <w:rsid w:val="00710A76"/>
    <w:rsid w:val="00712836"/>
    <w:rsid w:val="00712E70"/>
    <w:rsid w:val="00713B22"/>
    <w:rsid w:val="00713E3C"/>
    <w:rsid w:val="00713FF0"/>
    <w:rsid w:val="007151C2"/>
    <w:rsid w:val="00716377"/>
    <w:rsid w:val="00720275"/>
    <w:rsid w:val="00720A0D"/>
    <w:rsid w:val="00720B59"/>
    <w:rsid w:val="00720BDF"/>
    <w:rsid w:val="007222BE"/>
    <w:rsid w:val="007231B7"/>
    <w:rsid w:val="007234AB"/>
    <w:rsid w:val="00723CF4"/>
    <w:rsid w:val="00724DB9"/>
    <w:rsid w:val="00730098"/>
    <w:rsid w:val="00732771"/>
    <w:rsid w:val="00733500"/>
    <w:rsid w:val="0073449D"/>
    <w:rsid w:val="00742BDE"/>
    <w:rsid w:val="00743C70"/>
    <w:rsid w:val="00743D07"/>
    <w:rsid w:val="0074458B"/>
    <w:rsid w:val="00744CB7"/>
    <w:rsid w:val="00745823"/>
    <w:rsid w:val="00745906"/>
    <w:rsid w:val="00745A6B"/>
    <w:rsid w:val="00745ADF"/>
    <w:rsid w:val="007465B7"/>
    <w:rsid w:val="007501C6"/>
    <w:rsid w:val="00750A81"/>
    <w:rsid w:val="00751A60"/>
    <w:rsid w:val="00752F26"/>
    <w:rsid w:val="00753483"/>
    <w:rsid w:val="007538CD"/>
    <w:rsid w:val="00753906"/>
    <w:rsid w:val="00754A46"/>
    <w:rsid w:val="0075520B"/>
    <w:rsid w:val="007554FC"/>
    <w:rsid w:val="007563F2"/>
    <w:rsid w:val="00756DDF"/>
    <w:rsid w:val="0076016C"/>
    <w:rsid w:val="00760591"/>
    <w:rsid w:val="0076134F"/>
    <w:rsid w:val="00761B0C"/>
    <w:rsid w:val="007621EE"/>
    <w:rsid w:val="007656CC"/>
    <w:rsid w:val="00765824"/>
    <w:rsid w:val="007658B3"/>
    <w:rsid w:val="00766652"/>
    <w:rsid w:val="007702D1"/>
    <w:rsid w:val="00770B7C"/>
    <w:rsid w:val="00770F28"/>
    <w:rsid w:val="0077127B"/>
    <w:rsid w:val="007746BC"/>
    <w:rsid w:val="00774EEC"/>
    <w:rsid w:val="00775913"/>
    <w:rsid w:val="007778E4"/>
    <w:rsid w:val="00777F78"/>
    <w:rsid w:val="00780139"/>
    <w:rsid w:val="00782654"/>
    <w:rsid w:val="00786A2D"/>
    <w:rsid w:val="007873CC"/>
    <w:rsid w:val="0078767E"/>
    <w:rsid w:val="00787FFD"/>
    <w:rsid w:val="00790368"/>
    <w:rsid w:val="00791176"/>
    <w:rsid w:val="00791B5B"/>
    <w:rsid w:val="00792B25"/>
    <w:rsid w:val="00793A94"/>
    <w:rsid w:val="0079473C"/>
    <w:rsid w:val="00795086"/>
    <w:rsid w:val="007952AD"/>
    <w:rsid w:val="00796552"/>
    <w:rsid w:val="00796BDF"/>
    <w:rsid w:val="007970BC"/>
    <w:rsid w:val="00797E0D"/>
    <w:rsid w:val="007A02A8"/>
    <w:rsid w:val="007A09C5"/>
    <w:rsid w:val="007A1360"/>
    <w:rsid w:val="007A143C"/>
    <w:rsid w:val="007A1CED"/>
    <w:rsid w:val="007A2C38"/>
    <w:rsid w:val="007A4482"/>
    <w:rsid w:val="007A45CD"/>
    <w:rsid w:val="007A4637"/>
    <w:rsid w:val="007A62E2"/>
    <w:rsid w:val="007B1491"/>
    <w:rsid w:val="007B209A"/>
    <w:rsid w:val="007B2EE7"/>
    <w:rsid w:val="007B3B8B"/>
    <w:rsid w:val="007B3E6A"/>
    <w:rsid w:val="007B4FBB"/>
    <w:rsid w:val="007B532D"/>
    <w:rsid w:val="007C205E"/>
    <w:rsid w:val="007C2F71"/>
    <w:rsid w:val="007C3159"/>
    <w:rsid w:val="007C3BC3"/>
    <w:rsid w:val="007C518C"/>
    <w:rsid w:val="007C5CB6"/>
    <w:rsid w:val="007C60EE"/>
    <w:rsid w:val="007C68FD"/>
    <w:rsid w:val="007C7AA1"/>
    <w:rsid w:val="007C7CCE"/>
    <w:rsid w:val="007C7CE9"/>
    <w:rsid w:val="007D187D"/>
    <w:rsid w:val="007D1DC7"/>
    <w:rsid w:val="007D38A3"/>
    <w:rsid w:val="007D3E50"/>
    <w:rsid w:val="007D6498"/>
    <w:rsid w:val="007D7902"/>
    <w:rsid w:val="007E4352"/>
    <w:rsid w:val="007E5853"/>
    <w:rsid w:val="007E5AF0"/>
    <w:rsid w:val="007E5EA1"/>
    <w:rsid w:val="007E6458"/>
    <w:rsid w:val="007E77EF"/>
    <w:rsid w:val="007F00DC"/>
    <w:rsid w:val="007F08E8"/>
    <w:rsid w:val="007F210D"/>
    <w:rsid w:val="007F2B6D"/>
    <w:rsid w:val="007F37A0"/>
    <w:rsid w:val="007F4F59"/>
    <w:rsid w:val="007F5AEE"/>
    <w:rsid w:val="007F61D9"/>
    <w:rsid w:val="007F7E65"/>
    <w:rsid w:val="00800FD8"/>
    <w:rsid w:val="008010BE"/>
    <w:rsid w:val="008012B5"/>
    <w:rsid w:val="00801772"/>
    <w:rsid w:val="00801CD2"/>
    <w:rsid w:val="00802623"/>
    <w:rsid w:val="00803ECB"/>
    <w:rsid w:val="008040ED"/>
    <w:rsid w:val="00805CCA"/>
    <w:rsid w:val="00807600"/>
    <w:rsid w:val="00807919"/>
    <w:rsid w:val="00811405"/>
    <w:rsid w:val="00811809"/>
    <w:rsid w:val="00811826"/>
    <w:rsid w:val="00811A7B"/>
    <w:rsid w:val="0081249B"/>
    <w:rsid w:val="00814C0C"/>
    <w:rsid w:val="00814D92"/>
    <w:rsid w:val="00814F10"/>
    <w:rsid w:val="00815291"/>
    <w:rsid w:val="00815AF1"/>
    <w:rsid w:val="00815C03"/>
    <w:rsid w:val="00815DAD"/>
    <w:rsid w:val="008167AC"/>
    <w:rsid w:val="00816F67"/>
    <w:rsid w:val="00820AC0"/>
    <w:rsid w:val="0082165E"/>
    <w:rsid w:val="00821FDF"/>
    <w:rsid w:val="00822933"/>
    <w:rsid w:val="00823812"/>
    <w:rsid w:val="008258D7"/>
    <w:rsid w:val="00826AA9"/>
    <w:rsid w:val="008300EF"/>
    <w:rsid w:val="008305C3"/>
    <w:rsid w:val="00830602"/>
    <w:rsid w:val="0083143B"/>
    <w:rsid w:val="0083253D"/>
    <w:rsid w:val="0083409C"/>
    <w:rsid w:val="00834DA2"/>
    <w:rsid w:val="0083502F"/>
    <w:rsid w:val="00835756"/>
    <w:rsid w:val="008364BB"/>
    <w:rsid w:val="00836BF1"/>
    <w:rsid w:val="00836C5C"/>
    <w:rsid w:val="00836D70"/>
    <w:rsid w:val="00837AF0"/>
    <w:rsid w:val="008400AF"/>
    <w:rsid w:val="008403A2"/>
    <w:rsid w:val="008406B7"/>
    <w:rsid w:val="00840950"/>
    <w:rsid w:val="00840CC4"/>
    <w:rsid w:val="008424C2"/>
    <w:rsid w:val="00843A6F"/>
    <w:rsid w:val="00843FFA"/>
    <w:rsid w:val="008443B3"/>
    <w:rsid w:val="008449D1"/>
    <w:rsid w:val="00844AFB"/>
    <w:rsid w:val="00844F3A"/>
    <w:rsid w:val="0084526B"/>
    <w:rsid w:val="0084598E"/>
    <w:rsid w:val="008464B6"/>
    <w:rsid w:val="0084661C"/>
    <w:rsid w:val="00847096"/>
    <w:rsid w:val="008500FB"/>
    <w:rsid w:val="00850FB1"/>
    <w:rsid w:val="00851036"/>
    <w:rsid w:val="0085160D"/>
    <w:rsid w:val="0085206E"/>
    <w:rsid w:val="008535CE"/>
    <w:rsid w:val="008539CF"/>
    <w:rsid w:val="00854339"/>
    <w:rsid w:val="008558A6"/>
    <w:rsid w:val="00856337"/>
    <w:rsid w:val="0085654E"/>
    <w:rsid w:val="00860B73"/>
    <w:rsid w:val="00863A91"/>
    <w:rsid w:val="008641FD"/>
    <w:rsid w:val="00864779"/>
    <w:rsid w:val="0086566D"/>
    <w:rsid w:val="00866566"/>
    <w:rsid w:val="00866BAA"/>
    <w:rsid w:val="00866BCB"/>
    <w:rsid w:val="00867292"/>
    <w:rsid w:val="00867EF6"/>
    <w:rsid w:val="00872FF8"/>
    <w:rsid w:val="00873907"/>
    <w:rsid w:val="008772F8"/>
    <w:rsid w:val="008776E1"/>
    <w:rsid w:val="00877CA8"/>
    <w:rsid w:val="00877E83"/>
    <w:rsid w:val="00881BB5"/>
    <w:rsid w:val="008827B2"/>
    <w:rsid w:val="008837C4"/>
    <w:rsid w:val="00885308"/>
    <w:rsid w:val="0088669A"/>
    <w:rsid w:val="0088693E"/>
    <w:rsid w:val="00887330"/>
    <w:rsid w:val="00887604"/>
    <w:rsid w:val="00887B73"/>
    <w:rsid w:val="00887F9D"/>
    <w:rsid w:val="008908BB"/>
    <w:rsid w:val="00891A1F"/>
    <w:rsid w:val="008926F5"/>
    <w:rsid w:val="00892902"/>
    <w:rsid w:val="008934FB"/>
    <w:rsid w:val="00893524"/>
    <w:rsid w:val="00894A87"/>
    <w:rsid w:val="00894AE9"/>
    <w:rsid w:val="00895EAA"/>
    <w:rsid w:val="008A0293"/>
    <w:rsid w:val="008A0D0C"/>
    <w:rsid w:val="008A1E13"/>
    <w:rsid w:val="008A21A7"/>
    <w:rsid w:val="008A419C"/>
    <w:rsid w:val="008A50A7"/>
    <w:rsid w:val="008A50CC"/>
    <w:rsid w:val="008A5882"/>
    <w:rsid w:val="008A5D20"/>
    <w:rsid w:val="008A5F18"/>
    <w:rsid w:val="008A7AA8"/>
    <w:rsid w:val="008B00A6"/>
    <w:rsid w:val="008B266F"/>
    <w:rsid w:val="008B32A3"/>
    <w:rsid w:val="008B3BFD"/>
    <w:rsid w:val="008B4A08"/>
    <w:rsid w:val="008B5A90"/>
    <w:rsid w:val="008B6302"/>
    <w:rsid w:val="008B6A83"/>
    <w:rsid w:val="008B79B6"/>
    <w:rsid w:val="008B79E1"/>
    <w:rsid w:val="008B7F7E"/>
    <w:rsid w:val="008C06A2"/>
    <w:rsid w:val="008C0910"/>
    <w:rsid w:val="008C2283"/>
    <w:rsid w:val="008C2F29"/>
    <w:rsid w:val="008C30BC"/>
    <w:rsid w:val="008C3370"/>
    <w:rsid w:val="008C4639"/>
    <w:rsid w:val="008C47F7"/>
    <w:rsid w:val="008C4FE2"/>
    <w:rsid w:val="008C632D"/>
    <w:rsid w:val="008D15B0"/>
    <w:rsid w:val="008D1F6B"/>
    <w:rsid w:val="008D302E"/>
    <w:rsid w:val="008D3B58"/>
    <w:rsid w:val="008D3EBE"/>
    <w:rsid w:val="008D6409"/>
    <w:rsid w:val="008D7DC9"/>
    <w:rsid w:val="008E0873"/>
    <w:rsid w:val="008E0946"/>
    <w:rsid w:val="008E0A27"/>
    <w:rsid w:val="008E62C6"/>
    <w:rsid w:val="008E66C2"/>
    <w:rsid w:val="008E67EC"/>
    <w:rsid w:val="008E6F88"/>
    <w:rsid w:val="008E746A"/>
    <w:rsid w:val="008E7E6F"/>
    <w:rsid w:val="008F0CB3"/>
    <w:rsid w:val="008F192B"/>
    <w:rsid w:val="008F2F80"/>
    <w:rsid w:val="008F42B2"/>
    <w:rsid w:val="008F4B5F"/>
    <w:rsid w:val="008F542E"/>
    <w:rsid w:val="008F59CF"/>
    <w:rsid w:val="008F5BCD"/>
    <w:rsid w:val="008F5D51"/>
    <w:rsid w:val="008F5F25"/>
    <w:rsid w:val="008F75F3"/>
    <w:rsid w:val="008F7A18"/>
    <w:rsid w:val="008F7A4A"/>
    <w:rsid w:val="009003F8"/>
    <w:rsid w:val="00900E2F"/>
    <w:rsid w:val="00902771"/>
    <w:rsid w:val="00902EEA"/>
    <w:rsid w:val="009034D2"/>
    <w:rsid w:val="0090637E"/>
    <w:rsid w:val="00906EFF"/>
    <w:rsid w:val="009125E8"/>
    <w:rsid w:val="0091394A"/>
    <w:rsid w:val="00913FB3"/>
    <w:rsid w:val="0091478E"/>
    <w:rsid w:val="0091716F"/>
    <w:rsid w:val="0091731B"/>
    <w:rsid w:val="009204D5"/>
    <w:rsid w:val="00920E33"/>
    <w:rsid w:val="009211C5"/>
    <w:rsid w:val="009221BA"/>
    <w:rsid w:val="0092275F"/>
    <w:rsid w:val="00922EE8"/>
    <w:rsid w:val="0092302B"/>
    <w:rsid w:val="00923999"/>
    <w:rsid w:val="00923D62"/>
    <w:rsid w:val="00923E7A"/>
    <w:rsid w:val="00924304"/>
    <w:rsid w:val="00924EF5"/>
    <w:rsid w:val="009250B1"/>
    <w:rsid w:val="00930149"/>
    <w:rsid w:val="009303CE"/>
    <w:rsid w:val="0093129F"/>
    <w:rsid w:val="009344BF"/>
    <w:rsid w:val="0093483D"/>
    <w:rsid w:val="00934F94"/>
    <w:rsid w:val="0093504A"/>
    <w:rsid w:val="00935391"/>
    <w:rsid w:val="009354B9"/>
    <w:rsid w:val="009356D1"/>
    <w:rsid w:val="00935806"/>
    <w:rsid w:val="00935FEE"/>
    <w:rsid w:val="00936A62"/>
    <w:rsid w:val="00936F67"/>
    <w:rsid w:val="0094041A"/>
    <w:rsid w:val="00941518"/>
    <w:rsid w:val="00942678"/>
    <w:rsid w:val="00944D5E"/>
    <w:rsid w:val="009452ED"/>
    <w:rsid w:val="0094567F"/>
    <w:rsid w:val="009458AB"/>
    <w:rsid w:val="009461F3"/>
    <w:rsid w:val="0094667F"/>
    <w:rsid w:val="009467E1"/>
    <w:rsid w:val="009501D5"/>
    <w:rsid w:val="00950414"/>
    <w:rsid w:val="00951720"/>
    <w:rsid w:val="00952AD0"/>
    <w:rsid w:val="00953A74"/>
    <w:rsid w:val="00953E58"/>
    <w:rsid w:val="0095458C"/>
    <w:rsid w:val="00954862"/>
    <w:rsid w:val="00954926"/>
    <w:rsid w:val="00954AC0"/>
    <w:rsid w:val="00955D22"/>
    <w:rsid w:val="009622AA"/>
    <w:rsid w:val="00963FA3"/>
    <w:rsid w:val="00964667"/>
    <w:rsid w:val="00965ECB"/>
    <w:rsid w:val="009660B6"/>
    <w:rsid w:val="0097096E"/>
    <w:rsid w:val="00970C55"/>
    <w:rsid w:val="00971547"/>
    <w:rsid w:val="009722DE"/>
    <w:rsid w:val="009728ED"/>
    <w:rsid w:val="00972C5E"/>
    <w:rsid w:val="00973351"/>
    <w:rsid w:val="00973392"/>
    <w:rsid w:val="00973BE3"/>
    <w:rsid w:val="0097458D"/>
    <w:rsid w:val="00975C02"/>
    <w:rsid w:val="00976370"/>
    <w:rsid w:val="00976F15"/>
    <w:rsid w:val="00977111"/>
    <w:rsid w:val="00977DD2"/>
    <w:rsid w:val="00981322"/>
    <w:rsid w:val="009817AD"/>
    <w:rsid w:val="009818BA"/>
    <w:rsid w:val="009820C8"/>
    <w:rsid w:val="009824F0"/>
    <w:rsid w:val="0098341B"/>
    <w:rsid w:val="009835EF"/>
    <w:rsid w:val="00983D64"/>
    <w:rsid w:val="00983F77"/>
    <w:rsid w:val="0098485E"/>
    <w:rsid w:val="00984FE8"/>
    <w:rsid w:val="009862BF"/>
    <w:rsid w:val="0099119E"/>
    <w:rsid w:val="00991972"/>
    <w:rsid w:val="00992738"/>
    <w:rsid w:val="009928D1"/>
    <w:rsid w:val="009932AB"/>
    <w:rsid w:val="00993A01"/>
    <w:rsid w:val="009954DF"/>
    <w:rsid w:val="00995690"/>
    <w:rsid w:val="00995AF5"/>
    <w:rsid w:val="00995B9E"/>
    <w:rsid w:val="0099697D"/>
    <w:rsid w:val="009A1617"/>
    <w:rsid w:val="009A182E"/>
    <w:rsid w:val="009A204B"/>
    <w:rsid w:val="009A24BF"/>
    <w:rsid w:val="009A2FE1"/>
    <w:rsid w:val="009A333D"/>
    <w:rsid w:val="009A384C"/>
    <w:rsid w:val="009A3893"/>
    <w:rsid w:val="009A391D"/>
    <w:rsid w:val="009A40F5"/>
    <w:rsid w:val="009A42B1"/>
    <w:rsid w:val="009A4B27"/>
    <w:rsid w:val="009A5363"/>
    <w:rsid w:val="009A54CC"/>
    <w:rsid w:val="009A57AB"/>
    <w:rsid w:val="009A6348"/>
    <w:rsid w:val="009A6473"/>
    <w:rsid w:val="009A76D2"/>
    <w:rsid w:val="009A7D60"/>
    <w:rsid w:val="009B1106"/>
    <w:rsid w:val="009B1C22"/>
    <w:rsid w:val="009B1CA2"/>
    <w:rsid w:val="009B2AFD"/>
    <w:rsid w:val="009B3399"/>
    <w:rsid w:val="009B35DA"/>
    <w:rsid w:val="009B66C1"/>
    <w:rsid w:val="009B731D"/>
    <w:rsid w:val="009B7B16"/>
    <w:rsid w:val="009C10CF"/>
    <w:rsid w:val="009C1EAD"/>
    <w:rsid w:val="009C2624"/>
    <w:rsid w:val="009C2ECA"/>
    <w:rsid w:val="009C3331"/>
    <w:rsid w:val="009C3784"/>
    <w:rsid w:val="009C3CE3"/>
    <w:rsid w:val="009C4894"/>
    <w:rsid w:val="009C507B"/>
    <w:rsid w:val="009C51D8"/>
    <w:rsid w:val="009C5735"/>
    <w:rsid w:val="009C63DC"/>
    <w:rsid w:val="009C6820"/>
    <w:rsid w:val="009C7539"/>
    <w:rsid w:val="009C75C8"/>
    <w:rsid w:val="009D067D"/>
    <w:rsid w:val="009D158D"/>
    <w:rsid w:val="009D30BD"/>
    <w:rsid w:val="009D31EC"/>
    <w:rsid w:val="009D42F7"/>
    <w:rsid w:val="009D43DB"/>
    <w:rsid w:val="009D4592"/>
    <w:rsid w:val="009D45EC"/>
    <w:rsid w:val="009D5F4D"/>
    <w:rsid w:val="009D6429"/>
    <w:rsid w:val="009D6E71"/>
    <w:rsid w:val="009D7A05"/>
    <w:rsid w:val="009E0292"/>
    <w:rsid w:val="009E045C"/>
    <w:rsid w:val="009E10A6"/>
    <w:rsid w:val="009E2185"/>
    <w:rsid w:val="009E2469"/>
    <w:rsid w:val="009E316B"/>
    <w:rsid w:val="009E3679"/>
    <w:rsid w:val="009E410E"/>
    <w:rsid w:val="009E54A8"/>
    <w:rsid w:val="009E607B"/>
    <w:rsid w:val="009E702A"/>
    <w:rsid w:val="009E715E"/>
    <w:rsid w:val="009E74B7"/>
    <w:rsid w:val="009E7824"/>
    <w:rsid w:val="009F0021"/>
    <w:rsid w:val="009F12AB"/>
    <w:rsid w:val="009F2ED0"/>
    <w:rsid w:val="009F3A0B"/>
    <w:rsid w:val="009F3DE0"/>
    <w:rsid w:val="009F43C5"/>
    <w:rsid w:val="009F722F"/>
    <w:rsid w:val="00A016EA"/>
    <w:rsid w:val="00A0185B"/>
    <w:rsid w:val="00A03401"/>
    <w:rsid w:val="00A0365C"/>
    <w:rsid w:val="00A06266"/>
    <w:rsid w:val="00A06E5C"/>
    <w:rsid w:val="00A0728D"/>
    <w:rsid w:val="00A07D4A"/>
    <w:rsid w:val="00A07DE8"/>
    <w:rsid w:val="00A11107"/>
    <w:rsid w:val="00A12D9C"/>
    <w:rsid w:val="00A12E68"/>
    <w:rsid w:val="00A15623"/>
    <w:rsid w:val="00A166E0"/>
    <w:rsid w:val="00A16741"/>
    <w:rsid w:val="00A17703"/>
    <w:rsid w:val="00A177DB"/>
    <w:rsid w:val="00A20045"/>
    <w:rsid w:val="00A20B41"/>
    <w:rsid w:val="00A22217"/>
    <w:rsid w:val="00A22E94"/>
    <w:rsid w:val="00A26824"/>
    <w:rsid w:val="00A2691E"/>
    <w:rsid w:val="00A270A2"/>
    <w:rsid w:val="00A27849"/>
    <w:rsid w:val="00A278F3"/>
    <w:rsid w:val="00A3083C"/>
    <w:rsid w:val="00A32EB0"/>
    <w:rsid w:val="00A34023"/>
    <w:rsid w:val="00A343E9"/>
    <w:rsid w:val="00A34964"/>
    <w:rsid w:val="00A34F5B"/>
    <w:rsid w:val="00A3510C"/>
    <w:rsid w:val="00A36D18"/>
    <w:rsid w:val="00A37752"/>
    <w:rsid w:val="00A37C08"/>
    <w:rsid w:val="00A37D7B"/>
    <w:rsid w:val="00A37F76"/>
    <w:rsid w:val="00A40AB1"/>
    <w:rsid w:val="00A40D73"/>
    <w:rsid w:val="00A40E09"/>
    <w:rsid w:val="00A40F90"/>
    <w:rsid w:val="00A40F92"/>
    <w:rsid w:val="00A40FCC"/>
    <w:rsid w:val="00A41916"/>
    <w:rsid w:val="00A43907"/>
    <w:rsid w:val="00A43B78"/>
    <w:rsid w:val="00A43D2F"/>
    <w:rsid w:val="00A43FDE"/>
    <w:rsid w:val="00A4498E"/>
    <w:rsid w:val="00A449E8"/>
    <w:rsid w:val="00A44DA2"/>
    <w:rsid w:val="00A466B6"/>
    <w:rsid w:val="00A51107"/>
    <w:rsid w:val="00A5146F"/>
    <w:rsid w:val="00A51746"/>
    <w:rsid w:val="00A52A69"/>
    <w:rsid w:val="00A53444"/>
    <w:rsid w:val="00A5344F"/>
    <w:rsid w:val="00A54139"/>
    <w:rsid w:val="00A54254"/>
    <w:rsid w:val="00A54388"/>
    <w:rsid w:val="00A557CD"/>
    <w:rsid w:val="00A56646"/>
    <w:rsid w:val="00A5693C"/>
    <w:rsid w:val="00A56977"/>
    <w:rsid w:val="00A57E04"/>
    <w:rsid w:val="00A57FA0"/>
    <w:rsid w:val="00A61EB5"/>
    <w:rsid w:val="00A62CF1"/>
    <w:rsid w:val="00A6408A"/>
    <w:rsid w:val="00A64BE1"/>
    <w:rsid w:val="00A65BC4"/>
    <w:rsid w:val="00A65C0A"/>
    <w:rsid w:val="00A6657C"/>
    <w:rsid w:val="00A66963"/>
    <w:rsid w:val="00A67C1E"/>
    <w:rsid w:val="00A70999"/>
    <w:rsid w:val="00A72DA2"/>
    <w:rsid w:val="00A73BFB"/>
    <w:rsid w:val="00A7504A"/>
    <w:rsid w:val="00A75565"/>
    <w:rsid w:val="00A77617"/>
    <w:rsid w:val="00A777FA"/>
    <w:rsid w:val="00A77A5C"/>
    <w:rsid w:val="00A80997"/>
    <w:rsid w:val="00A81EB2"/>
    <w:rsid w:val="00A83096"/>
    <w:rsid w:val="00A83474"/>
    <w:rsid w:val="00A837F3"/>
    <w:rsid w:val="00A84878"/>
    <w:rsid w:val="00A855CD"/>
    <w:rsid w:val="00A87342"/>
    <w:rsid w:val="00A87919"/>
    <w:rsid w:val="00A90011"/>
    <w:rsid w:val="00A90600"/>
    <w:rsid w:val="00A90661"/>
    <w:rsid w:val="00A9202D"/>
    <w:rsid w:val="00A922CF"/>
    <w:rsid w:val="00A92D5E"/>
    <w:rsid w:val="00A93B8A"/>
    <w:rsid w:val="00A94122"/>
    <w:rsid w:val="00A9430B"/>
    <w:rsid w:val="00A9436D"/>
    <w:rsid w:val="00A978D3"/>
    <w:rsid w:val="00AA1FD6"/>
    <w:rsid w:val="00AA244F"/>
    <w:rsid w:val="00AA25B7"/>
    <w:rsid w:val="00AA4086"/>
    <w:rsid w:val="00AA5BFA"/>
    <w:rsid w:val="00AA5C2E"/>
    <w:rsid w:val="00AA5D8A"/>
    <w:rsid w:val="00AA6707"/>
    <w:rsid w:val="00AA68CF"/>
    <w:rsid w:val="00AA6F79"/>
    <w:rsid w:val="00AA7D8D"/>
    <w:rsid w:val="00AB02CC"/>
    <w:rsid w:val="00AB059D"/>
    <w:rsid w:val="00AB0EC5"/>
    <w:rsid w:val="00AB153F"/>
    <w:rsid w:val="00AB1DBE"/>
    <w:rsid w:val="00AB27C7"/>
    <w:rsid w:val="00AB2B95"/>
    <w:rsid w:val="00AB2DEB"/>
    <w:rsid w:val="00AB33DC"/>
    <w:rsid w:val="00AB5C71"/>
    <w:rsid w:val="00AB6226"/>
    <w:rsid w:val="00AB670D"/>
    <w:rsid w:val="00AB685D"/>
    <w:rsid w:val="00AC0AD7"/>
    <w:rsid w:val="00AC158A"/>
    <w:rsid w:val="00AC213D"/>
    <w:rsid w:val="00AC3901"/>
    <w:rsid w:val="00AC4826"/>
    <w:rsid w:val="00AC6449"/>
    <w:rsid w:val="00AC6E7D"/>
    <w:rsid w:val="00AC78CD"/>
    <w:rsid w:val="00AD0EAC"/>
    <w:rsid w:val="00AD13DF"/>
    <w:rsid w:val="00AD1410"/>
    <w:rsid w:val="00AD162B"/>
    <w:rsid w:val="00AD1F3B"/>
    <w:rsid w:val="00AD2BC1"/>
    <w:rsid w:val="00AD2DE5"/>
    <w:rsid w:val="00AD3025"/>
    <w:rsid w:val="00AD4D41"/>
    <w:rsid w:val="00AD5142"/>
    <w:rsid w:val="00AD51B4"/>
    <w:rsid w:val="00AD742B"/>
    <w:rsid w:val="00AD78C1"/>
    <w:rsid w:val="00AE0139"/>
    <w:rsid w:val="00AE04EB"/>
    <w:rsid w:val="00AE256A"/>
    <w:rsid w:val="00AE2B98"/>
    <w:rsid w:val="00AE38B9"/>
    <w:rsid w:val="00AE3B08"/>
    <w:rsid w:val="00AE4E57"/>
    <w:rsid w:val="00AE61BC"/>
    <w:rsid w:val="00AE6260"/>
    <w:rsid w:val="00AE628D"/>
    <w:rsid w:val="00AE75BD"/>
    <w:rsid w:val="00AF02BC"/>
    <w:rsid w:val="00AF0F0D"/>
    <w:rsid w:val="00AF1132"/>
    <w:rsid w:val="00AF1AEF"/>
    <w:rsid w:val="00AF1CBD"/>
    <w:rsid w:val="00AF21EB"/>
    <w:rsid w:val="00AF2A32"/>
    <w:rsid w:val="00AF3268"/>
    <w:rsid w:val="00AF4AD8"/>
    <w:rsid w:val="00AF4F22"/>
    <w:rsid w:val="00AF5304"/>
    <w:rsid w:val="00AF6B6E"/>
    <w:rsid w:val="00AF6D58"/>
    <w:rsid w:val="00AF6F7C"/>
    <w:rsid w:val="00B00583"/>
    <w:rsid w:val="00B00600"/>
    <w:rsid w:val="00B01B2C"/>
    <w:rsid w:val="00B02144"/>
    <w:rsid w:val="00B022B3"/>
    <w:rsid w:val="00B032B9"/>
    <w:rsid w:val="00B03F10"/>
    <w:rsid w:val="00B04B21"/>
    <w:rsid w:val="00B04B51"/>
    <w:rsid w:val="00B05586"/>
    <w:rsid w:val="00B078F5"/>
    <w:rsid w:val="00B10048"/>
    <w:rsid w:val="00B100A1"/>
    <w:rsid w:val="00B12917"/>
    <w:rsid w:val="00B12A02"/>
    <w:rsid w:val="00B141B6"/>
    <w:rsid w:val="00B14FE0"/>
    <w:rsid w:val="00B16C88"/>
    <w:rsid w:val="00B16FCA"/>
    <w:rsid w:val="00B17384"/>
    <w:rsid w:val="00B23547"/>
    <w:rsid w:val="00B23C30"/>
    <w:rsid w:val="00B24348"/>
    <w:rsid w:val="00B2491D"/>
    <w:rsid w:val="00B26836"/>
    <w:rsid w:val="00B30489"/>
    <w:rsid w:val="00B30698"/>
    <w:rsid w:val="00B30B81"/>
    <w:rsid w:val="00B31403"/>
    <w:rsid w:val="00B32045"/>
    <w:rsid w:val="00B328B8"/>
    <w:rsid w:val="00B3321D"/>
    <w:rsid w:val="00B341BB"/>
    <w:rsid w:val="00B351F3"/>
    <w:rsid w:val="00B35812"/>
    <w:rsid w:val="00B358AC"/>
    <w:rsid w:val="00B35AEA"/>
    <w:rsid w:val="00B37663"/>
    <w:rsid w:val="00B40360"/>
    <w:rsid w:val="00B403E9"/>
    <w:rsid w:val="00B41E4E"/>
    <w:rsid w:val="00B430E1"/>
    <w:rsid w:val="00B434B1"/>
    <w:rsid w:val="00B4605A"/>
    <w:rsid w:val="00B4637F"/>
    <w:rsid w:val="00B465C8"/>
    <w:rsid w:val="00B50197"/>
    <w:rsid w:val="00B51745"/>
    <w:rsid w:val="00B5191E"/>
    <w:rsid w:val="00B51A91"/>
    <w:rsid w:val="00B52655"/>
    <w:rsid w:val="00B528D5"/>
    <w:rsid w:val="00B52D57"/>
    <w:rsid w:val="00B54A1A"/>
    <w:rsid w:val="00B55CE9"/>
    <w:rsid w:val="00B55E99"/>
    <w:rsid w:val="00B568F1"/>
    <w:rsid w:val="00B56B26"/>
    <w:rsid w:val="00B57C3B"/>
    <w:rsid w:val="00B60ED4"/>
    <w:rsid w:val="00B62C14"/>
    <w:rsid w:val="00B63431"/>
    <w:rsid w:val="00B663C1"/>
    <w:rsid w:val="00B71F34"/>
    <w:rsid w:val="00B729D0"/>
    <w:rsid w:val="00B72D71"/>
    <w:rsid w:val="00B72E25"/>
    <w:rsid w:val="00B7367B"/>
    <w:rsid w:val="00B739F0"/>
    <w:rsid w:val="00B74301"/>
    <w:rsid w:val="00B74D3D"/>
    <w:rsid w:val="00B75399"/>
    <w:rsid w:val="00B754AB"/>
    <w:rsid w:val="00B75719"/>
    <w:rsid w:val="00B7699E"/>
    <w:rsid w:val="00B7718C"/>
    <w:rsid w:val="00B7724D"/>
    <w:rsid w:val="00B77E25"/>
    <w:rsid w:val="00B80AE3"/>
    <w:rsid w:val="00B818D9"/>
    <w:rsid w:val="00B81E54"/>
    <w:rsid w:val="00B82602"/>
    <w:rsid w:val="00B83CA2"/>
    <w:rsid w:val="00B83E9C"/>
    <w:rsid w:val="00B8489E"/>
    <w:rsid w:val="00B855BE"/>
    <w:rsid w:val="00B87D45"/>
    <w:rsid w:val="00B90B07"/>
    <w:rsid w:val="00B91380"/>
    <w:rsid w:val="00B91F44"/>
    <w:rsid w:val="00B93D06"/>
    <w:rsid w:val="00B947D0"/>
    <w:rsid w:val="00B956B2"/>
    <w:rsid w:val="00B97272"/>
    <w:rsid w:val="00B972A4"/>
    <w:rsid w:val="00B9743A"/>
    <w:rsid w:val="00BA0452"/>
    <w:rsid w:val="00BA0E0E"/>
    <w:rsid w:val="00BA14E9"/>
    <w:rsid w:val="00BA1F6F"/>
    <w:rsid w:val="00BA26C3"/>
    <w:rsid w:val="00BA2CFA"/>
    <w:rsid w:val="00BA35A9"/>
    <w:rsid w:val="00BA49E0"/>
    <w:rsid w:val="00BB0109"/>
    <w:rsid w:val="00BB059D"/>
    <w:rsid w:val="00BB0FEB"/>
    <w:rsid w:val="00BB10DA"/>
    <w:rsid w:val="00BB18F7"/>
    <w:rsid w:val="00BB1A96"/>
    <w:rsid w:val="00BB3120"/>
    <w:rsid w:val="00BB3802"/>
    <w:rsid w:val="00BB464E"/>
    <w:rsid w:val="00BB5BC7"/>
    <w:rsid w:val="00BB6F87"/>
    <w:rsid w:val="00BB773B"/>
    <w:rsid w:val="00BC0F10"/>
    <w:rsid w:val="00BC0FA5"/>
    <w:rsid w:val="00BC1FDD"/>
    <w:rsid w:val="00BC2FB0"/>
    <w:rsid w:val="00BC3451"/>
    <w:rsid w:val="00BC4AB9"/>
    <w:rsid w:val="00BC4DC8"/>
    <w:rsid w:val="00BC5153"/>
    <w:rsid w:val="00BC5519"/>
    <w:rsid w:val="00BC5E3B"/>
    <w:rsid w:val="00BC5F4F"/>
    <w:rsid w:val="00BC5F84"/>
    <w:rsid w:val="00BC6810"/>
    <w:rsid w:val="00BC70D0"/>
    <w:rsid w:val="00BC7BCB"/>
    <w:rsid w:val="00BD0BCC"/>
    <w:rsid w:val="00BD0E18"/>
    <w:rsid w:val="00BD0E5A"/>
    <w:rsid w:val="00BD1FEF"/>
    <w:rsid w:val="00BD2082"/>
    <w:rsid w:val="00BD236C"/>
    <w:rsid w:val="00BD2D0A"/>
    <w:rsid w:val="00BD3EE6"/>
    <w:rsid w:val="00BD4CAB"/>
    <w:rsid w:val="00BD511D"/>
    <w:rsid w:val="00BD5A06"/>
    <w:rsid w:val="00BD6D1B"/>
    <w:rsid w:val="00BD7626"/>
    <w:rsid w:val="00BD7E4B"/>
    <w:rsid w:val="00BE1C11"/>
    <w:rsid w:val="00BE2041"/>
    <w:rsid w:val="00BE2414"/>
    <w:rsid w:val="00BE34CF"/>
    <w:rsid w:val="00BE3702"/>
    <w:rsid w:val="00BE3CBD"/>
    <w:rsid w:val="00BE4155"/>
    <w:rsid w:val="00BE4A02"/>
    <w:rsid w:val="00BE5B5C"/>
    <w:rsid w:val="00BE5CCE"/>
    <w:rsid w:val="00BE5E48"/>
    <w:rsid w:val="00BE5FF6"/>
    <w:rsid w:val="00BE6054"/>
    <w:rsid w:val="00BE72AB"/>
    <w:rsid w:val="00BE73EC"/>
    <w:rsid w:val="00BF1D9A"/>
    <w:rsid w:val="00BF242A"/>
    <w:rsid w:val="00BF357C"/>
    <w:rsid w:val="00BF4A14"/>
    <w:rsid w:val="00BF5928"/>
    <w:rsid w:val="00BF5E00"/>
    <w:rsid w:val="00BF7467"/>
    <w:rsid w:val="00C0052A"/>
    <w:rsid w:val="00C01893"/>
    <w:rsid w:val="00C01AE2"/>
    <w:rsid w:val="00C01F81"/>
    <w:rsid w:val="00C02195"/>
    <w:rsid w:val="00C02303"/>
    <w:rsid w:val="00C024DD"/>
    <w:rsid w:val="00C0299A"/>
    <w:rsid w:val="00C02D41"/>
    <w:rsid w:val="00C03789"/>
    <w:rsid w:val="00C039E8"/>
    <w:rsid w:val="00C03A1B"/>
    <w:rsid w:val="00C04EDF"/>
    <w:rsid w:val="00C05C33"/>
    <w:rsid w:val="00C05EF8"/>
    <w:rsid w:val="00C05F6D"/>
    <w:rsid w:val="00C06775"/>
    <w:rsid w:val="00C06912"/>
    <w:rsid w:val="00C06BB6"/>
    <w:rsid w:val="00C07ABE"/>
    <w:rsid w:val="00C10073"/>
    <w:rsid w:val="00C101E1"/>
    <w:rsid w:val="00C118DE"/>
    <w:rsid w:val="00C12488"/>
    <w:rsid w:val="00C12B43"/>
    <w:rsid w:val="00C13BFC"/>
    <w:rsid w:val="00C14852"/>
    <w:rsid w:val="00C158FB"/>
    <w:rsid w:val="00C15BB1"/>
    <w:rsid w:val="00C16386"/>
    <w:rsid w:val="00C17359"/>
    <w:rsid w:val="00C202BF"/>
    <w:rsid w:val="00C20C87"/>
    <w:rsid w:val="00C2169D"/>
    <w:rsid w:val="00C23A23"/>
    <w:rsid w:val="00C23AC2"/>
    <w:rsid w:val="00C23DB9"/>
    <w:rsid w:val="00C244B7"/>
    <w:rsid w:val="00C2539F"/>
    <w:rsid w:val="00C26E8D"/>
    <w:rsid w:val="00C2724C"/>
    <w:rsid w:val="00C27E54"/>
    <w:rsid w:val="00C30AAC"/>
    <w:rsid w:val="00C30F57"/>
    <w:rsid w:val="00C32724"/>
    <w:rsid w:val="00C3294D"/>
    <w:rsid w:val="00C32C0E"/>
    <w:rsid w:val="00C33EFD"/>
    <w:rsid w:val="00C34328"/>
    <w:rsid w:val="00C34582"/>
    <w:rsid w:val="00C352B4"/>
    <w:rsid w:val="00C35E2A"/>
    <w:rsid w:val="00C36EFD"/>
    <w:rsid w:val="00C37F45"/>
    <w:rsid w:val="00C4005D"/>
    <w:rsid w:val="00C41850"/>
    <w:rsid w:val="00C424F0"/>
    <w:rsid w:val="00C42652"/>
    <w:rsid w:val="00C43633"/>
    <w:rsid w:val="00C43677"/>
    <w:rsid w:val="00C43855"/>
    <w:rsid w:val="00C4554E"/>
    <w:rsid w:val="00C509FE"/>
    <w:rsid w:val="00C50C2A"/>
    <w:rsid w:val="00C51BFD"/>
    <w:rsid w:val="00C530CB"/>
    <w:rsid w:val="00C5345A"/>
    <w:rsid w:val="00C53D8F"/>
    <w:rsid w:val="00C54118"/>
    <w:rsid w:val="00C54732"/>
    <w:rsid w:val="00C54CFD"/>
    <w:rsid w:val="00C571FD"/>
    <w:rsid w:val="00C57FAD"/>
    <w:rsid w:val="00C61A9C"/>
    <w:rsid w:val="00C61D5D"/>
    <w:rsid w:val="00C61E80"/>
    <w:rsid w:val="00C62C83"/>
    <w:rsid w:val="00C62CE8"/>
    <w:rsid w:val="00C630A7"/>
    <w:rsid w:val="00C64180"/>
    <w:rsid w:val="00C66849"/>
    <w:rsid w:val="00C66F31"/>
    <w:rsid w:val="00C67176"/>
    <w:rsid w:val="00C6729C"/>
    <w:rsid w:val="00C71324"/>
    <w:rsid w:val="00C714CD"/>
    <w:rsid w:val="00C71F0F"/>
    <w:rsid w:val="00C725C4"/>
    <w:rsid w:val="00C73510"/>
    <w:rsid w:val="00C74D58"/>
    <w:rsid w:val="00C7797A"/>
    <w:rsid w:val="00C77B79"/>
    <w:rsid w:val="00C77E48"/>
    <w:rsid w:val="00C80483"/>
    <w:rsid w:val="00C82EE9"/>
    <w:rsid w:val="00C83217"/>
    <w:rsid w:val="00C85236"/>
    <w:rsid w:val="00C91C72"/>
    <w:rsid w:val="00C92D65"/>
    <w:rsid w:val="00C9349A"/>
    <w:rsid w:val="00C93E9A"/>
    <w:rsid w:val="00C94F38"/>
    <w:rsid w:val="00C9619A"/>
    <w:rsid w:val="00C97384"/>
    <w:rsid w:val="00CA035F"/>
    <w:rsid w:val="00CA0645"/>
    <w:rsid w:val="00CA129B"/>
    <w:rsid w:val="00CA2692"/>
    <w:rsid w:val="00CA278F"/>
    <w:rsid w:val="00CA2C35"/>
    <w:rsid w:val="00CA3606"/>
    <w:rsid w:val="00CA38B0"/>
    <w:rsid w:val="00CA3E2A"/>
    <w:rsid w:val="00CA4A33"/>
    <w:rsid w:val="00CA776E"/>
    <w:rsid w:val="00CA77AB"/>
    <w:rsid w:val="00CB04B2"/>
    <w:rsid w:val="00CB0F47"/>
    <w:rsid w:val="00CB1BFC"/>
    <w:rsid w:val="00CB312D"/>
    <w:rsid w:val="00CB3AE4"/>
    <w:rsid w:val="00CB4728"/>
    <w:rsid w:val="00CB4908"/>
    <w:rsid w:val="00CB4B8E"/>
    <w:rsid w:val="00CB7653"/>
    <w:rsid w:val="00CB796D"/>
    <w:rsid w:val="00CC1246"/>
    <w:rsid w:val="00CC3145"/>
    <w:rsid w:val="00CC4070"/>
    <w:rsid w:val="00CC4476"/>
    <w:rsid w:val="00CC4A7C"/>
    <w:rsid w:val="00CC4C27"/>
    <w:rsid w:val="00CC4D95"/>
    <w:rsid w:val="00CC50C0"/>
    <w:rsid w:val="00CC6009"/>
    <w:rsid w:val="00CD06E1"/>
    <w:rsid w:val="00CD0B5A"/>
    <w:rsid w:val="00CD1792"/>
    <w:rsid w:val="00CD2051"/>
    <w:rsid w:val="00CD3AD2"/>
    <w:rsid w:val="00CD5CA8"/>
    <w:rsid w:val="00CD60F2"/>
    <w:rsid w:val="00CD78B6"/>
    <w:rsid w:val="00CE0208"/>
    <w:rsid w:val="00CE03E3"/>
    <w:rsid w:val="00CE2133"/>
    <w:rsid w:val="00CE2881"/>
    <w:rsid w:val="00CE3822"/>
    <w:rsid w:val="00CE4371"/>
    <w:rsid w:val="00CE5169"/>
    <w:rsid w:val="00CE57C7"/>
    <w:rsid w:val="00CE5D41"/>
    <w:rsid w:val="00CE5F5D"/>
    <w:rsid w:val="00CE79CD"/>
    <w:rsid w:val="00CF3FC3"/>
    <w:rsid w:val="00CF4C65"/>
    <w:rsid w:val="00CF593C"/>
    <w:rsid w:val="00CF67B6"/>
    <w:rsid w:val="00CF740B"/>
    <w:rsid w:val="00D00399"/>
    <w:rsid w:val="00D01073"/>
    <w:rsid w:val="00D021E3"/>
    <w:rsid w:val="00D02E4A"/>
    <w:rsid w:val="00D037EA"/>
    <w:rsid w:val="00D04471"/>
    <w:rsid w:val="00D0562B"/>
    <w:rsid w:val="00D10570"/>
    <w:rsid w:val="00D10619"/>
    <w:rsid w:val="00D10811"/>
    <w:rsid w:val="00D10832"/>
    <w:rsid w:val="00D1105F"/>
    <w:rsid w:val="00D11AB4"/>
    <w:rsid w:val="00D13760"/>
    <w:rsid w:val="00D1542A"/>
    <w:rsid w:val="00D17492"/>
    <w:rsid w:val="00D21ABA"/>
    <w:rsid w:val="00D22485"/>
    <w:rsid w:val="00D22B7C"/>
    <w:rsid w:val="00D24BF9"/>
    <w:rsid w:val="00D25B48"/>
    <w:rsid w:val="00D25C22"/>
    <w:rsid w:val="00D25E51"/>
    <w:rsid w:val="00D2659C"/>
    <w:rsid w:val="00D26E1E"/>
    <w:rsid w:val="00D272AA"/>
    <w:rsid w:val="00D274A2"/>
    <w:rsid w:val="00D274A6"/>
    <w:rsid w:val="00D30E7C"/>
    <w:rsid w:val="00D329F5"/>
    <w:rsid w:val="00D33C83"/>
    <w:rsid w:val="00D36619"/>
    <w:rsid w:val="00D36EF9"/>
    <w:rsid w:val="00D371F5"/>
    <w:rsid w:val="00D40DB6"/>
    <w:rsid w:val="00D41A2F"/>
    <w:rsid w:val="00D43180"/>
    <w:rsid w:val="00D43573"/>
    <w:rsid w:val="00D43871"/>
    <w:rsid w:val="00D44C73"/>
    <w:rsid w:val="00D44CD4"/>
    <w:rsid w:val="00D466EE"/>
    <w:rsid w:val="00D471D9"/>
    <w:rsid w:val="00D473F4"/>
    <w:rsid w:val="00D474F2"/>
    <w:rsid w:val="00D47AEA"/>
    <w:rsid w:val="00D506F4"/>
    <w:rsid w:val="00D514FA"/>
    <w:rsid w:val="00D51880"/>
    <w:rsid w:val="00D53E11"/>
    <w:rsid w:val="00D55446"/>
    <w:rsid w:val="00D5552D"/>
    <w:rsid w:val="00D55B74"/>
    <w:rsid w:val="00D56FCD"/>
    <w:rsid w:val="00D57D4E"/>
    <w:rsid w:val="00D57F5C"/>
    <w:rsid w:val="00D606A2"/>
    <w:rsid w:val="00D618FC"/>
    <w:rsid w:val="00D6231F"/>
    <w:rsid w:val="00D63A33"/>
    <w:rsid w:val="00D702F4"/>
    <w:rsid w:val="00D732E4"/>
    <w:rsid w:val="00D74980"/>
    <w:rsid w:val="00D74CFC"/>
    <w:rsid w:val="00D750CE"/>
    <w:rsid w:val="00D75831"/>
    <w:rsid w:val="00D773F4"/>
    <w:rsid w:val="00D77461"/>
    <w:rsid w:val="00D8059A"/>
    <w:rsid w:val="00D82704"/>
    <w:rsid w:val="00D82C7C"/>
    <w:rsid w:val="00D83AD5"/>
    <w:rsid w:val="00D83C48"/>
    <w:rsid w:val="00D845C3"/>
    <w:rsid w:val="00D85DC2"/>
    <w:rsid w:val="00D85EE6"/>
    <w:rsid w:val="00D90309"/>
    <w:rsid w:val="00D90A30"/>
    <w:rsid w:val="00D91D97"/>
    <w:rsid w:val="00D91DD7"/>
    <w:rsid w:val="00D94A64"/>
    <w:rsid w:val="00D94C92"/>
    <w:rsid w:val="00D950BF"/>
    <w:rsid w:val="00D951E0"/>
    <w:rsid w:val="00D952CA"/>
    <w:rsid w:val="00D9552D"/>
    <w:rsid w:val="00D95898"/>
    <w:rsid w:val="00D966CA"/>
    <w:rsid w:val="00D97990"/>
    <w:rsid w:val="00D97A00"/>
    <w:rsid w:val="00DA12B5"/>
    <w:rsid w:val="00DA1D4A"/>
    <w:rsid w:val="00DA2D52"/>
    <w:rsid w:val="00DA3D44"/>
    <w:rsid w:val="00DA4C20"/>
    <w:rsid w:val="00DA64F8"/>
    <w:rsid w:val="00DA6584"/>
    <w:rsid w:val="00DA66BA"/>
    <w:rsid w:val="00DA66D8"/>
    <w:rsid w:val="00DB1B16"/>
    <w:rsid w:val="00DB2037"/>
    <w:rsid w:val="00DB24FE"/>
    <w:rsid w:val="00DB4289"/>
    <w:rsid w:val="00DB55F1"/>
    <w:rsid w:val="00DB5A84"/>
    <w:rsid w:val="00DB6FB0"/>
    <w:rsid w:val="00DB6FBA"/>
    <w:rsid w:val="00DB7C4B"/>
    <w:rsid w:val="00DC1F48"/>
    <w:rsid w:val="00DC4017"/>
    <w:rsid w:val="00DC5442"/>
    <w:rsid w:val="00DC7126"/>
    <w:rsid w:val="00DC7840"/>
    <w:rsid w:val="00DD0DCE"/>
    <w:rsid w:val="00DD2E17"/>
    <w:rsid w:val="00DD3379"/>
    <w:rsid w:val="00DD391A"/>
    <w:rsid w:val="00DD3E85"/>
    <w:rsid w:val="00DD57F2"/>
    <w:rsid w:val="00DD5FBC"/>
    <w:rsid w:val="00DD704F"/>
    <w:rsid w:val="00DD7936"/>
    <w:rsid w:val="00DE0DAA"/>
    <w:rsid w:val="00DE1861"/>
    <w:rsid w:val="00DE1CE8"/>
    <w:rsid w:val="00DE3799"/>
    <w:rsid w:val="00DE37D4"/>
    <w:rsid w:val="00DE3DAB"/>
    <w:rsid w:val="00DE42E3"/>
    <w:rsid w:val="00DE7903"/>
    <w:rsid w:val="00DF0314"/>
    <w:rsid w:val="00DF0BF4"/>
    <w:rsid w:val="00DF1B8F"/>
    <w:rsid w:val="00DF1F71"/>
    <w:rsid w:val="00DF20E7"/>
    <w:rsid w:val="00DF31DA"/>
    <w:rsid w:val="00DF3290"/>
    <w:rsid w:val="00DF3B79"/>
    <w:rsid w:val="00DF4184"/>
    <w:rsid w:val="00DF4708"/>
    <w:rsid w:val="00DF4FB8"/>
    <w:rsid w:val="00DF5657"/>
    <w:rsid w:val="00DF5A2A"/>
    <w:rsid w:val="00DF5B7D"/>
    <w:rsid w:val="00DF6316"/>
    <w:rsid w:val="00DF6F24"/>
    <w:rsid w:val="00DF7DE3"/>
    <w:rsid w:val="00E00279"/>
    <w:rsid w:val="00E004EF"/>
    <w:rsid w:val="00E0244E"/>
    <w:rsid w:val="00E02D07"/>
    <w:rsid w:val="00E03802"/>
    <w:rsid w:val="00E03E61"/>
    <w:rsid w:val="00E0425D"/>
    <w:rsid w:val="00E0443E"/>
    <w:rsid w:val="00E0620A"/>
    <w:rsid w:val="00E06590"/>
    <w:rsid w:val="00E06E77"/>
    <w:rsid w:val="00E072AF"/>
    <w:rsid w:val="00E10441"/>
    <w:rsid w:val="00E10F20"/>
    <w:rsid w:val="00E11CE4"/>
    <w:rsid w:val="00E14D9E"/>
    <w:rsid w:val="00E15237"/>
    <w:rsid w:val="00E16269"/>
    <w:rsid w:val="00E16EC0"/>
    <w:rsid w:val="00E17F10"/>
    <w:rsid w:val="00E21106"/>
    <w:rsid w:val="00E22991"/>
    <w:rsid w:val="00E22F28"/>
    <w:rsid w:val="00E23A1B"/>
    <w:rsid w:val="00E23B93"/>
    <w:rsid w:val="00E244B1"/>
    <w:rsid w:val="00E2487A"/>
    <w:rsid w:val="00E24AA7"/>
    <w:rsid w:val="00E24D1F"/>
    <w:rsid w:val="00E2614E"/>
    <w:rsid w:val="00E271DF"/>
    <w:rsid w:val="00E30B47"/>
    <w:rsid w:val="00E3119D"/>
    <w:rsid w:val="00E31B56"/>
    <w:rsid w:val="00E32E7C"/>
    <w:rsid w:val="00E3330F"/>
    <w:rsid w:val="00E35EAC"/>
    <w:rsid w:val="00E41E37"/>
    <w:rsid w:val="00E41F12"/>
    <w:rsid w:val="00E4643D"/>
    <w:rsid w:val="00E47C78"/>
    <w:rsid w:val="00E50048"/>
    <w:rsid w:val="00E50C6B"/>
    <w:rsid w:val="00E52471"/>
    <w:rsid w:val="00E54686"/>
    <w:rsid w:val="00E55760"/>
    <w:rsid w:val="00E557B2"/>
    <w:rsid w:val="00E562CB"/>
    <w:rsid w:val="00E56859"/>
    <w:rsid w:val="00E56B2F"/>
    <w:rsid w:val="00E574BE"/>
    <w:rsid w:val="00E57ED1"/>
    <w:rsid w:val="00E60C34"/>
    <w:rsid w:val="00E61D89"/>
    <w:rsid w:val="00E624A8"/>
    <w:rsid w:val="00E63537"/>
    <w:rsid w:val="00E635DF"/>
    <w:rsid w:val="00E6364C"/>
    <w:rsid w:val="00E63BFB"/>
    <w:rsid w:val="00E63DC1"/>
    <w:rsid w:val="00E64233"/>
    <w:rsid w:val="00E64B12"/>
    <w:rsid w:val="00E64F1B"/>
    <w:rsid w:val="00E65B73"/>
    <w:rsid w:val="00E65E08"/>
    <w:rsid w:val="00E66342"/>
    <w:rsid w:val="00E70D95"/>
    <w:rsid w:val="00E71819"/>
    <w:rsid w:val="00E72129"/>
    <w:rsid w:val="00E72218"/>
    <w:rsid w:val="00E72DFA"/>
    <w:rsid w:val="00E7589B"/>
    <w:rsid w:val="00E7597B"/>
    <w:rsid w:val="00E75B7B"/>
    <w:rsid w:val="00E76B25"/>
    <w:rsid w:val="00E77A74"/>
    <w:rsid w:val="00E813F4"/>
    <w:rsid w:val="00E817AD"/>
    <w:rsid w:val="00E8252F"/>
    <w:rsid w:val="00E82F20"/>
    <w:rsid w:val="00E85949"/>
    <w:rsid w:val="00E85A4F"/>
    <w:rsid w:val="00E85C5B"/>
    <w:rsid w:val="00E90949"/>
    <w:rsid w:val="00E90981"/>
    <w:rsid w:val="00E90AD0"/>
    <w:rsid w:val="00E9106C"/>
    <w:rsid w:val="00E910DA"/>
    <w:rsid w:val="00E924E4"/>
    <w:rsid w:val="00E9340D"/>
    <w:rsid w:val="00E939CC"/>
    <w:rsid w:val="00E941CB"/>
    <w:rsid w:val="00E95785"/>
    <w:rsid w:val="00E9667F"/>
    <w:rsid w:val="00E96871"/>
    <w:rsid w:val="00EA04F9"/>
    <w:rsid w:val="00EA30CB"/>
    <w:rsid w:val="00EA4E6B"/>
    <w:rsid w:val="00EA4EE7"/>
    <w:rsid w:val="00EA4FB2"/>
    <w:rsid w:val="00EA53EB"/>
    <w:rsid w:val="00EA60D2"/>
    <w:rsid w:val="00EA636A"/>
    <w:rsid w:val="00EA7C12"/>
    <w:rsid w:val="00EB099B"/>
    <w:rsid w:val="00EB0AE5"/>
    <w:rsid w:val="00EB1BF7"/>
    <w:rsid w:val="00EB4221"/>
    <w:rsid w:val="00EB6722"/>
    <w:rsid w:val="00EB69A9"/>
    <w:rsid w:val="00EB6CA6"/>
    <w:rsid w:val="00EB73C4"/>
    <w:rsid w:val="00EC0891"/>
    <w:rsid w:val="00EC11B9"/>
    <w:rsid w:val="00EC12AC"/>
    <w:rsid w:val="00EC1A26"/>
    <w:rsid w:val="00EC20E2"/>
    <w:rsid w:val="00EC2C21"/>
    <w:rsid w:val="00EC2C9D"/>
    <w:rsid w:val="00EC2D97"/>
    <w:rsid w:val="00EC3392"/>
    <w:rsid w:val="00EC3459"/>
    <w:rsid w:val="00EC5A84"/>
    <w:rsid w:val="00EC5BFA"/>
    <w:rsid w:val="00EC6966"/>
    <w:rsid w:val="00EC76C3"/>
    <w:rsid w:val="00EC7D82"/>
    <w:rsid w:val="00ED04DD"/>
    <w:rsid w:val="00ED1D8C"/>
    <w:rsid w:val="00ED2BF2"/>
    <w:rsid w:val="00ED2F7A"/>
    <w:rsid w:val="00ED2FC5"/>
    <w:rsid w:val="00ED4095"/>
    <w:rsid w:val="00ED5418"/>
    <w:rsid w:val="00ED55B8"/>
    <w:rsid w:val="00ED59B4"/>
    <w:rsid w:val="00ED66DF"/>
    <w:rsid w:val="00ED74A5"/>
    <w:rsid w:val="00EE117B"/>
    <w:rsid w:val="00EE11DF"/>
    <w:rsid w:val="00EE2EBF"/>
    <w:rsid w:val="00EE2F2A"/>
    <w:rsid w:val="00EE3BB1"/>
    <w:rsid w:val="00EE5156"/>
    <w:rsid w:val="00EE622B"/>
    <w:rsid w:val="00EE6728"/>
    <w:rsid w:val="00EE78B4"/>
    <w:rsid w:val="00EF05BC"/>
    <w:rsid w:val="00EF08E9"/>
    <w:rsid w:val="00EF241D"/>
    <w:rsid w:val="00EF35D7"/>
    <w:rsid w:val="00EF4A83"/>
    <w:rsid w:val="00EF6432"/>
    <w:rsid w:val="00EF717C"/>
    <w:rsid w:val="00F0112B"/>
    <w:rsid w:val="00F014AB"/>
    <w:rsid w:val="00F01568"/>
    <w:rsid w:val="00F018A4"/>
    <w:rsid w:val="00F01B76"/>
    <w:rsid w:val="00F01E0E"/>
    <w:rsid w:val="00F034E2"/>
    <w:rsid w:val="00F04164"/>
    <w:rsid w:val="00F047DE"/>
    <w:rsid w:val="00F056F9"/>
    <w:rsid w:val="00F05F00"/>
    <w:rsid w:val="00F06225"/>
    <w:rsid w:val="00F06462"/>
    <w:rsid w:val="00F0711D"/>
    <w:rsid w:val="00F10145"/>
    <w:rsid w:val="00F1070B"/>
    <w:rsid w:val="00F121DE"/>
    <w:rsid w:val="00F127DF"/>
    <w:rsid w:val="00F12B2D"/>
    <w:rsid w:val="00F12F8B"/>
    <w:rsid w:val="00F14223"/>
    <w:rsid w:val="00F14569"/>
    <w:rsid w:val="00F155F1"/>
    <w:rsid w:val="00F16D65"/>
    <w:rsid w:val="00F16E38"/>
    <w:rsid w:val="00F17E39"/>
    <w:rsid w:val="00F203CE"/>
    <w:rsid w:val="00F20ADF"/>
    <w:rsid w:val="00F211A0"/>
    <w:rsid w:val="00F21220"/>
    <w:rsid w:val="00F22C3F"/>
    <w:rsid w:val="00F22F3F"/>
    <w:rsid w:val="00F24482"/>
    <w:rsid w:val="00F2452B"/>
    <w:rsid w:val="00F247D6"/>
    <w:rsid w:val="00F30A9B"/>
    <w:rsid w:val="00F31671"/>
    <w:rsid w:val="00F31BBA"/>
    <w:rsid w:val="00F34693"/>
    <w:rsid w:val="00F35C28"/>
    <w:rsid w:val="00F365B2"/>
    <w:rsid w:val="00F36850"/>
    <w:rsid w:val="00F407B9"/>
    <w:rsid w:val="00F40A10"/>
    <w:rsid w:val="00F4144D"/>
    <w:rsid w:val="00F43A1C"/>
    <w:rsid w:val="00F466AA"/>
    <w:rsid w:val="00F46BD6"/>
    <w:rsid w:val="00F472DC"/>
    <w:rsid w:val="00F47DC5"/>
    <w:rsid w:val="00F50203"/>
    <w:rsid w:val="00F5196D"/>
    <w:rsid w:val="00F53F27"/>
    <w:rsid w:val="00F54738"/>
    <w:rsid w:val="00F54A41"/>
    <w:rsid w:val="00F54A76"/>
    <w:rsid w:val="00F5595F"/>
    <w:rsid w:val="00F55C0B"/>
    <w:rsid w:val="00F560CA"/>
    <w:rsid w:val="00F5630C"/>
    <w:rsid w:val="00F569B7"/>
    <w:rsid w:val="00F6019D"/>
    <w:rsid w:val="00F61122"/>
    <w:rsid w:val="00F6116B"/>
    <w:rsid w:val="00F61386"/>
    <w:rsid w:val="00F621A4"/>
    <w:rsid w:val="00F63554"/>
    <w:rsid w:val="00F64634"/>
    <w:rsid w:val="00F64C28"/>
    <w:rsid w:val="00F64ED1"/>
    <w:rsid w:val="00F64F60"/>
    <w:rsid w:val="00F65619"/>
    <w:rsid w:val="00F6578B"/>
    <w:rsid w:val="00F657E3"/>
    <w:rsid w:val="00F658F1"/>
    <w:rsid w:val="00F66906"/>
    <w:rsid w:val="00F66BD8"/>
    <w:rsid w:val="00F67249"/>
    <w:rsid w:val="00F701E3"/>
    <w:rsid w:val="00F70645"/>
    <w:rsid w:val="00F70BBB"/>
    <w:rsid w:val="00F70E62"/>
    <w:rsid w:val="00F71FE8"/>
    <w:rsid w:val="00F720BE"/>
    <w:rsid w:val="00F72AFA"/>
    <w:rsid w:val="00F7374B"/>
    <w:rsid w:val="00F73A66"/>
    <w:rsid w:val="00F73DCE"/>
    <w:rsid w:val="00F74284"/>
    <w:rsid w:val="00F7538F"/>
    <w:rsid w:val="00F7612D"/>
    <w:rsid w:val="00F7672F"/>
    <w:rsid w:val="00F76E69"/>
    <w:rsid w:val="00F77613"/>
    <w:rsid w:val="00F778A3"/>
    <w:rsid w:val="00F822D2"/>
    <w:rsid w:val="00F836A9"/>
    <w:rsid w:val="00F8378E"/>
    <w:rsid w:val="00F84765"/>
    <w:rsid w:val="00F8559C"/>
    <w:rsid w:val="00F85F4B"/>
    <w:rsid w:val="00F86038"/>
    <w:rsid w:val="00F8672C"/>
    <w:rsid w:val="00F87EB8"/>
    <w:rsid w:val="00F904A0"/>
    <w:rsid w:val="00F904F0"/>
    <w:rsid w:val="00F92DA6"/>
    <w:rsid w:val="00F9600E"/>
    <w:rsid w:val="00F9685B"/>
    <w:rsid w:val="00FA0F8D"/>
    <w:rsid w:val="00FA1CCD"/>
    <w:rsid w:val="00FA1D28"/>
    <w:rsid w:val="00FA2A3E"/>
    <w:rsid w:val="00FA3D57"/>
    <w:rsid w:val="00FA43D0"/>
    <w:rsid w:val="00FA44D4"/>
    <w:rsid w:val="00FA4850"/>
    <w:rsid w:val="00FA507B"/>
    <w:rsid w:val="00FA6E33"/>
    <w:rsid w:val="00FA6E5C"/>
    <w:rsid w:val="00FA75CB"/>
    <w:rsid w:val="00FA78DA"/>
    <w:rsid w:val="00FB09F5"/>
    <w:rsid w:val="00FB0F4E"/>
    <w:rsid w:val="00FB1871"/>
    <w:rsid w:val="00FB26CF"/>
    <w:rsid w:val="00FB3621"/>
    <w:rsid w:val="00FB47D1"/>
    <w:rsid w:val="00FB4E91"/>
    <w:rsid w:val="00FB52C6"/>
    <w:rsid w:val="00FB52CD"/>
    <w:rsid w:val="00FB5AEE"/>
    <w:rsid w:val="00FB65F5"/>
    <w:rsid w:val="00FB716B"/>
    <w:rsid w:val="00FB7FB7"/>
    <w:rsid w:val="00FC0A4A"/>
    <w:rsid w:val="00FC1AAC"/>
    <w:rsid w:val="00FC1DFE"/>
    <w:rsid w:val="00FC2BD9"/>
    <w:rsid w:val="00FC2D72"/>
    <w:rsid w:val="00FC4B5A"/>
    <w:rsid w:val="00FC721F"/>
    <w:rsid w:val="00FC79AC"/>
    <w:rsid w:val="00FC7FD3"/>
    <w:rsid w:val="00FD01DD"/>
    <w:rsid w:val="00FD2484"/>
    <w:rsid w:val="00FD28DE"/>
    <w:rsid w:val="00FD3130"/>
    <w:rsid w:val="00FD3263"/>
    <w:rsid w:val="00FD34A4"/>
    <w:rsid w:val="00FD37CC"/>
    <w:rsid w:val="00FD3D04"/>
    <w:rsid w:val="00FD3E75"/>
    <w:rsid w:val="00FD3EF3"/>
    <w:rsid w:val="00FD3FE7"/>
    <w:rsid w:val="00FD5418"/>
    <w:rsid w:val="00FD5698"/>
    <w:rsid w:val="00FD63C9"/>
    <w:rsid w:val="00FD744F"/>
    <w:rsid w:val="00FE03DA"/>
    <w:rsid w:val="00FE18AB"/>
    <w:rsid w:val="00FE2847"/>
    <w:rsid w:val="00FE39D1"/>
    <w:rsid w:val="00FE40B4"/>
    <w:rsid w:val="00FE4184"/>
    <w:rsid w:val="00FE4FAD"/>
    <w:rsid w:val="00FE508E"/>
    <w:rsid w:val="00FE5909"/>
    <w:rsid w:val="00FE61A7"/>
    <w:rsid w:val="00FE6597"/>
    <w:rsid w:val="00FF0EC4"/>
    <w:rsid w:val="00FF2136"/>
    <w:rsid w:val="00FF2DCB"/>
    <w:rsid w:val="00FF395C"/>
    <w:rsid w:val="00FF4968"/>
    <w:rsid w:val="00FF54FD"/>
    <w:rsid w:val="00FF58AB"/>
    <w:rsid w:val="00FF58B1"/>
    <w:rsid w:val="00FF706F"/>
    <w:rsid w:val="00FF73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DEBB8"/>
  <w15:docId w15:val="{77FB07A0-7E08-4F06-8704-E86FB46C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59"/>
    <w:pPr>
      <w:suppressAutoHyphens/>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7C31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C3159"/>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7C315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rsid w:val="007C3159"/>
    <w:pPr>
      <w:tabs>
        <w:tab w:val="center" w:pos="4253"/>
        <w:tab w:val="right" w:pos="8505"/>
      </w:tabs>
      <w:jc w:val="both"/>
    </w:pPr>
  </w:style>
  <w:style w:type="character" w:customStyle="1" w:styleId="HeaderChar">
    <w:name w:val="Header Char"/>
    <w:basedOn w:val="DefaultParagraphFont"/>
    <w:link w:val="Header"/>
    <w:rPr>
      <w:rFonts w:ascii="Arial" w:eastAsia="Times New Roman" w:hAnsi="Arial" w:cs="Times New Roman"/>
      <w:sz w:val="24"/>
      <w:szCs w:val="24"/>
      <w:lang w:val="en-GB" w:eastAsia="en-GB"/>
    </w:rPr>
  </w:style>
  <w:style w:type="paragraph" w:styleId="Footer">
    <w:name w:val="footer"/>
    <w:basedOn w:val="Normal"/>
    <w:link w:val="FooterChar"/>
    <w:uiPriority w:val="99"/>
    <w:rsid w:val="007C3159"/>
    <w:pPr>
      <w:tabs>
        <w:tab w:val="center" w:pos="4253"/>
        <w:tab w:val="right" w:pos="8505"/>
      </w:tabs>
      <w:jc w:val="both"/>
    </w:pPr>
  </w:style>
  <w:style w:type="character" w:customStyle="1" w:styleId="FooterChar">
    <w:name w:val="Footer Char"/>
    <w:basedOn w:val="DefaultParagraphFont"/>
    <w:link w:val="Footer"/>
    <w:uiPriority w:val="99"/>
    <w:rPr>
      <w:rFonts w:ascii="Arial" w:eastAsia="Times New Roman" w:hAnsi="Arial" w:cs="Times New Roman"/>
      <w:sz w:val="24"/>
      <w:szCs w:val="24"/>
      <w:lang w:val="en-GB" w:eastAsia="en-GB"/>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qFormat/>
    <w:rsid w:val="007C3159"/>
    <w:pPr>
      <w:tabs>
        <w:tab w:val="left" w:pos="340"/>
      </w:tabs>
      <w:spacing w:after="60"/>
      <w:ind w:left="340" w:hanging="340"/>
      <w:jc w:val="both"/>
    </w:pPr>
    <w:rPr>
      <w:sz w:val="18"/>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820AC0"/>
    <w:rPr>
      <w:rFonts w:ascii="Arial" w:eastAsia="Times New Roman" w:hAnsi="Arial" w:cs="Times New Roman"/>
      <w:sz w:val="18"/>
      <w:szCs w:val="20"/>
      <w:lang w:val="en-GB" w:eastAsia="en-GB"/>
    </w:r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Footnote Reference1,Ref1,de nota al pi"/>
    <w:qFormat/>
    <w:rsid w:val="007C3159"/>
    <w:rPr>
      <w:rFonts w:cs="Times New Roman"/>
      <w:sz w:val="22"/>
      <w:vertAlign w:val="superscript"/>
    </w:rPr>
  </w:style>
  <w:style w:type="paragraph" w:styleId="BalloonText">
    <w:name w:val="Balloon Text"/>
    <w:basedOn w:val="Normal"/>
    <w:link w:val="BalloonTextChar"/>
    <w:rsid w:val="007C3159"/>
    <w:rPr>
      <w:rFonts w:ascii="Tahoma" w:hAnsi="Tahoma" w:cs="Tahoma"/>
      <w:sz w:val="16"/>
      <w:szCs w:val="16"/>
    </w:rPr>
  </w:style>
  <w:style w:type="character" w:customStyle="1" w:styleId="BalloonTextChar">
    <w:name w:val="Balloon Text Char"/>
    <w:basedOn w:val="DefaultParagraphFont"/>
    <w:link w:val="BalloonText"/>
    <w:rsid w:val="006B2BE2"/>
    <w:rPr>
      <w:rFonts w:ascii="Tahoma" w:eastAsia="Times New Roman" w:hAnsi="Tahoma" w:cs="Tahoma"/>
      <w:sz w:val="16"/>
      <w:szCs w:val="16"/>
      <w:lang w:val="en-GB" w:eastAsia="en-GB"/>
    </w:rPr>
  </w:style>
  <w:style w:type="character" w:styleId="Hyperlink">
    <w:name w:val="Hyperlink"/>
    <w:semiHidden/>
    <w:rsid w:val="007C3159"/>
    <w:rPr>
      <w:color w:val="0000FF"/>
      <w:u w:val="single"/>
    </w:rPr>
  </w:style>
  <w:style w:type="paragraph" w:styleId="NormalWeb">
    <w:name w:val="Normal (Web)"/>
    <w:basedOn w:val="Normal"/>
    <w:uiPriority w:val="99"/>
    <w:semiHidden/>
    <w:unhideWhenUsed/>
    <w:rsid w:val="000C6A50"/>
    <w:pPr>
      <w:spacing w:before="100" w:beforeAutospacing="1" w:after="100" w:afterAutospacing="1"/>
    </w:pPr>
    <w:rPr>
      <w:rFonts w:ascii="Times New Roman" w:hAnsi="Times New Roman"/>
      <w:lang w:eastAsia="en-ZA"/>
    </w:rPr>
  </w:style>
  <w:style w:type="character" w:customStyle="1" w:styleId="Heading2Char">
    <w:name w:val="Heading 2 Char"/>
    <w:basedOn w:val="DefaultParagraphFont"/>
    <w:link w:val="Heading2"/>
    <w:rsid w:val="003645E0"/>
    <w:rPr>
      <w:rFonts w:ascii="Arial" w:eastAsia="Times New Roman" w:hAnsi="Arial" w:cs="Arial"/>
      <w:b/>
      <w:bCs/>
      <w:i/>
      <w:iCs/>
      <w:sz w:val="28"/>
      <w:szCs w:val="28"/>
      <w:lang w:val="en-GB" w:eastAsia="en-GB"/>
    </w:rPr>
  </w:style>
  <w:style w:type="paragraph" w:customStyle="1" w:styleId="lg-para3">
    <w:name w:val="lg-para3"/>
    <w:basedOn w:val="Normal"/>
    <w:rsid w:val="00A90600"/>
    <w:pPr>
      <w:spacing w:before="120"/>
      <w:ind w:firstLine="601"/>
      <w:jc w:val="both"/>
    </w:pPr>
    <w:rPr>
      <w:rFonts w:ascii="Verdana" w:hAnsi="Verdana"/>
      <w:color w:val="000000"/>
      <w:sz w:val="18"/>
      <w:szCs w:val="18"/>
      <w:lang w:val="en-US"/>
    </w:rPr>
  </w:style>
  <w:style w:type="character" w:styleId="CommentReference">
    <w:name w:val="annotation reference"/>
    <w:semiHidden/>
    <w:rsid w:val="007C3159"/>
    <w:rPr>
      <w:rFonts w:cs="Times New Roman"/>
      <w:sz w:val="16"/>
      <w:szCs w:val="16"/>
    </w:rPr>
  </w:style>
  <w:style w:type="paragraph" w:styleId="CommentText">
    <w:name w:val="annotation text"/>
    <w:basedOn w:val="Normal"/>
    <w:link w:val="CommentTextChar"/>
    <w:semiHidden/>
    <w:rsid w:val="007C3159"/>
    <w:rPr>
      <w:sz w:val="16"/>
      <w:szCs w:val="20"/>
    </w:rPr>
  </w:style>
  <w:style w:type="character" w:customStyle="1" w:styleId="CommentTextChar">
    <w:name w:val="Comment Text Char"/>
    <w:basedOn w:val="DefaultParagraphFont"/>
    <w:link w:val="CommentText"/>
    <w:semiHidden/>
    <w:rsid w:val="00C57FAD"/>
    <w:rPr>
      <w:rFonts w:ascii="Arial" w:eastAsia="Times New Roman" w:hAnsi="Arial" w:cs="Times New Roman"/>
      <w:sz w:val="16"/>
      <w:szCs w:val="20"/>
      <w:lang w:val="en-GB" w:eastAsia="en-GB"/>
    </w:rPr>
  </w:style>
  <w:style w:type="paragraph" w:styleId="CommentSubject">
    <w:name w:val="annotation subject"/>
    <w:basedOn w:val="CommentText"/>
    <w:next w:val="CommentText"/>
    <w:link w:val="CommentSubjectChar"/>
    <w:semiHidden/>
    <w:rsid w:val="007C3159"/>
    <w:rPr>
      <w:b/>
      <w:bCs/>
    </w:rPr>
  </w:style>
  <w:style w:type="character" w:customStyle="1" w:styleId="CommentSubjectChar">
    <w:name w:val="Comment Subject Char"/>
    <w:basedOn w:val="CommentTextChar"/>
    <w:link w:val="CommentSubject"/>
    <w:semiHidden/>
    <w:rsid w:val="00C57FAD"/>
    <w:rPr>
      <w:rFonts w:ascii="Arial" w:eastAsia="Times New Roman" w:hAnsi="Arial" w:cs="Times New Roman"/>
      <w:b/>
      <w:bCs/>
      <w:sz w:val="16"/>
      <w:szCs w:val="20"/>
      <w:lang w:val="en-GB" w:eastAsia="en-GB"/>
    </w:rPr>
  </w:style>
  <w:style w:type="paragraph" w:customStyle="1" w:styleId="WWList1">
    <w:name w:val="WW_List1"/>
    <w:basedOn w:val="WWHeading1"/>
    <w:link w:val="WWList1Char"/>
    <w:rsid w:val="007C3159"/>
    <w:pPr>
      <w:keepNext w:val="0"/>
      <w:spacing w:before="0"/>
    </w:pPr>
    <w:rPr>
      <w:b w:val="0"/>
    </w:rPr>
  </w:style>
  <w:style w:type="paragraph" w:customStyle="1" w:styleId="WWList2">
    <w:name w:val="WW_List2"/>
    <w:basedOn w:val="WWHeading2"/>
    <w:rsid w:val="007C3159"/>
    <w:pPr>
      <w:keepNext w:val="0"/>
    </w:pPr>
    <w:rPr>
      <w:b w:val="0"/>
    </w:rPr>
  </w:style>
  <w:style w:type="paragraph" w:customStyle="1" w:styleId="WWHeading1">
    <w:name w:val="WW_Heading1"/>
    <w:basedOn w:val="WWHead"/>
    <w:next w:val="WWList2"/>
    <w:rsid w:val="007C3159"/>
    <w:pPr>
      <w:numPr>
        <w:numId w:val="2"/>
      </w:numPr>
      <w:spacing w:before="240"/>
      <w:outlineLvl w:val="0"/>
    </w:pPr>
  </w:style>
  <w:style w:type="paragraph" w:customStyle="1" w:styleId="WWHeading2">
    <w:name w:val="WW_Heading2"/>
    <w:basedOn w:val="WWHead"/>
    <w:next w:val="WWList3"/>
    <w:rsid w:val="007C3159"/>
    <w:pPr>
      <w:numPr>
        <w:ilvl w:val="1"/>
        <w:numId w:val="2"/>
      </w:numPr>
      <w:tabs>
        <w:tab w:val="left" w:pos="3402"/>
        <w:tab w:val="left" w:pos="3969"/>
      </w:tabs>
      <w:outlineLvl w:val="1"/>
    </w:pPr>
  </w:style>
  <w:style w:type="paragraph" w:customStyle="1" w:styleId="WWHeading3">
    <w:name w:val="WW_Heading3"/>
    <w:basedOn w:val="WWHead"/>
    <w:next w:val="WWList4"/>
    <w:rsid w:val="007C3159"/>
    <w:pPr>
      <w:numPr>
        <w:ilvl w:val="2"/>
        <w:numId w:val="2"/>
      </w:numPr>
      <w:tabs>
        <w:tab w:val="left" w:pos="3969"/>
        <w:tab w:val="left" w:pos="4536"/>
      </w:tabs>
      <w:outlineLvl w:val="2"/>
    </w:pPr>
  </w:style>
  <w:style w:type="paragraph" w:customStyle="1" w:styleId="WWHeading4">
    <w:name w:val="WW_Heading4"/>
    <w:basedOn w:val="WWHead"/>
    <w:next w:val="WWList5"/>
    <w:rsid w:val="007C3159"/>
    <w:pPr>
      <w:numPr>
        <w:ilvl w:val="3"/>
        <w:numId w:val="2"/>
      </w:numPr>
      <w:outlineLvl w:val="3"/>
    </w:pPr>
  </w:style>
  <w:style w:type="paragraph" w:customStyle="1" w:styleId="WWHeading5">
    <w:name w:val="WW_Heading5"/>
    <w:basedOn w:val="WWHead"/>
    <w:next w:val="WWList6"/>
    <w:rsid w:val="007C3159"/>
    <w:pPr>
      <w:numPr>
        <w:ilvl w:val="4"/>
        <w:numId w:val="2"/>
      </w:numPr>
      <w:outlineLvl w:val="4"/>
    </w:pPr>
  </w:style>
  <w:style w:type="paragraph" w:customStyle="1" w:styleId="WWList3">
    <w:name w:val="WW_List3"/>
    <w:basedOn w:val="WWHeading3"/>
    <w:rsid w:val="007C3159"/>
    <w:pPr>
      <w:keepNext w:val="0"/>
    </w:pPr>
    <w:rPr>
      <w:b w:val="0"/>
    </w:rPr>
  </w:style>
  <w:style w:type="paragraph" w:customStyle="1" w:styleId="WWHeading6">
    <w:name w:val="WW_Heading6"/>
    <w:basedOn w:val="WWHead"/>
    <w:next w:val="WWBodyText6"/>
    <w:rsid w:val="007C3159"/>
    <w:pPr>
      <w:numPr>
        <w:ilvl w:val="5"/>
        <w:numId w:val="2"/>
      </w:numPr>
      <w:outlineLvl w:val="5"/>
    </w:pPr>
  </w:style>
  <w:style w:type="character" w:customStyle="1" w:styleId="WWList1Char">
    <w:name w:val="WW_List1 Char"/>
    <w:link w:val="WWList1"/>
    <w:rsid w:val="00BC3451"/>
    <w:rPr>
      <w:rFonts w:ascii="Arial" w:eastAsia="Times New Roman" w:hAnsi="Arial" w:cs="Times New Roman"/>
      <w:sz w:val="24"/>
      <w:szCs w:val="24"/>
      <w:lang w:val="en-GB" w:eastAsia="en-GB"/>
    </w:rPr>
  </w:style>
  <w:style w:type="character" w:customStyle="1" w:styleId="mc2">
    <w:name w:val="mc2"/>
    <w:basedOn w:val="DefaultParagraphFont"/>
    <w:rsid w:val="00DF4708"/>
    <w:rPr>
      <w:rFonts w:ascii="Verdana" w:hAnsi="Verdana" w:hint="default"/>
      <w:b w:val="0"/>
      <w:bCs w:val="0"/>
      <w:i w:val="0"/>
      <w:iCs w:val="0"/>
      <w:color w:val="000000"/>
      <w:sz w:val="13"/>
      <w:szCs w:val="13"/>
      <w:shd w:val="clear" w:color="auto" w:fill="C0C0C0"/>
    </w:rPr>
  </w:style>
  <w:style w:type="character" w:customStyle="1" w:styleId="Heading1Char">
    <w:name w:val="Heading 1 Char"/>
    <w:basedOn w:val="DefaultParagraphFont"/>
    <w:link w:val="Heading1"/>
    <w:rsid w:val="007C3159"/>
    <w:rPr>
      <w:rFonts w:ascii="Arial" w:eastAsia="Times New Roman" w:hAnsi="Arial" w:cs="Arial"/>
      <w:b/>
      <w:bCs/>
      <w:kern w:val="32"/>
      <w:sz w:val="32"/>
      <w:szCs w:val="32"/>
      <w:lang w:val="en-GB" w:eastAsia="en-GB"/>
    </w:rPr>
  </w:style>
  <w:style w:type="character" w:customStyle="1" w:styleId="Heading3Char">
    <w:name w:val="Heading 3 Char"/>
    <w:basedOn w:val="DefaultParagraphFont"/>
    <w:link w:val="Heading3"/>
    <w:semiHidden/>
    <w:rsid w:val="007C3159"/>
    <w:rPr>
      <w:rFonts w:ascii="Arial" w:eastAsia="Times New Roman" w:hAnsi="Arial" w:cs="Arial"/>
      <w:b/>
      <w:bCs/>
      <w:sz w:val="26"/>
      <w:szCs w:val="26"/>
      <w:lang w:val="en-GB" w:eastAsia="en-GB"/>
    </w:rPr>
  </w:style>
  <w:style w:type="character" w:styleId="EndnoteReference">
    <w:name w:val="endnote reference"/>
    <w:semiHidden/>
    <w:rsid w:val="007C3159"/>
    <w:rPr>
      <w:rFonts w:cs="Times New Roman"/>
      <w:vertAlign w:val="superscript"/>
    </w:rPr>
  </w:style>
  <w:style w:type="paragraph" w:styleId="EndnoteText">
    <w:name w:val="endnote text"/>
    <w:basedOn w:val="Normal"/>
    <w:link w:val="EndnoteTextChar"/>
    <w:semiHidden/>
    <w:rsid w:val="007C3159"/>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semiHidden/>
    <w:rsid w:val="007C3159"/>
    <w:rPr>
      <w:rFonts w:ascii="Arial" w:eastAsia="Times New Roman" w:hAnsi="Arial" w:cs="Times New Roman"/>
      <w:sz w:val="20"/>
      <w:szCs w:val="20"/>
      <w:lang w:val="en-GB" w:eastAsia="en-GB"/>
    </w:rPr>
  </w:style>
  <w:style w:type="character" w:customStyle="1" w:styleId="WWFilename">
    <w:name w:val="WW_Filename"/>
    <w:rsid w:val="007C3159"/>
    <w:rPr>
      <w:rFonts w:cs="Times New Roman"/>
      <w:sz w:val="16"/>
    </w:rPr>
  </w:style>
  <w:style w:type="character" w:styleId="PageNumber">
    <w:name w:val="page number"/>
    <w:semiHidden/>
    <w:rsid w:val="007C3159"/>
    <w:rPr>
      <w:rFonts w:cs="Times New Roman"/>
      <w:sz w:val="22"/>
    </w:rPr>
  </w:style>
  <w:style w:type="paragraph" w:styleId="TOC1">
    <w:name w:val="toc 1"/>
    <w:basedOn w:val="Normal"/>
    <w:next w:val="Normal"/>
    <w:autoRedefine/>
    <w:unhideWhenUsed/>
    <w:rsid w:val="007C3159"/>
    <w:pPr>
      <w:tabs>
        <w:tab w:val="left" w:pos="567"/>
        <w:tab w:val="right" w:leader="dot" w:pos="8789"/>
      </w:tabs>
      <w:spacing w:before="120"/>
      <w:ind w:left="567" w:right="567" w:hanging="567"/>
    </w:pPr>
  </w:style>
  <w:style w:type="paragraph" w:styleId="TOC2">
    <w:name w:val="toc 2"/>
    <w:basedOn w:val="Normal"/>
    <w:next w:val="Normal"/>
    <w:autoRedefine/>
    <w:unhideWhenUsed/>
    <w:rsid w:val="007C3159"/>
    <w:pPr>
      <w:tabs>
        <w:tab w:val="left" w:pos="1134"/>
        <w:tab w:val="right" w:leader="dot" w:pos="8789"/>
      </w:tabs>
      <w:spacing w:before="120"/>
      <w:ind w:left="1134" w:right="567" w:hanging="1134"/>
    </w:pPr>
  </w:style>
  <w:style w:type="paragraph" w:styleId="TOC3">
    <w:name w:val="toc 3"/>
    <w:basedOn w:val="Normal"/>
    <w:next w:val="Normal"/>
    <w:autoRedefine/>
    <w:unhideWhenUsed/>
    <w:rsid w:val="007C3159"/>
    <w:pPr>
      <w:tabs>
        <w:tab w:val="left" w:pos="1701"/>
        <w:tab w:val="right" w:leader="dot" w:pos="8448"/>
      </w:tabs>
      <w:spacing w:before="120"/>
      <w:ind w:left="1701" w:right="680" w:hanging="1701"/>
    </w:pPr>
  </w:style>
  <w:style w:type="paragraph" w:styleId="TOC4">
    <w:name w:val="toc 4"/>
    <w:basedOn w:val="Normal"/>
    <w:next w:val="Normal"/>
    <w:autoRedefine/>
    <w:semiHidden/>
    <w:rsid w:val="007C3159"/>
    <w:pPr>
      <w:tabs>
        <w:tab w:val="left" w:pos="2041"/>
        <w:tab w:val="right" w:leader="dot" w:pos="8448"/>
      </w:tabs>
      <w:spacing w:before="120"/>
      <w:jc w:val="both"/>
    </w:pPr>
  </w:style>
  <w:style w:type="paragraph" w:customStyle="1" w:styleId="WWAnnexHead1">
    <w:name w:val="WW_AnnexHead1"/>
    <w:basedOn w:val="WWHead"/>
    <w:next w:val="WWAnnexList2"/>
    <w:rsid w:val="007C3159"/>
    <w:pPr>
      <w:numPr>
        <w:numId w:val="7"/>
      </w:numPr>
      <w:spacing w:before="240"/>
      <w:outlineLvl w:val="0"/>
    </w:pPr>
  </w:style>
  <w:style w:type="paragraph" w:customStyle="1" w:styleId="WWAnnexHead2">
    <w:name w:val="WW_AnnexHead2"/>
    <w:basedOn w:val="WWHead"/>
    <w:next w:val="WWAnnexList3"/>
    <w:rsid w:val="007C3159"/>
    <w:pPr>
      <w:numPr>
        <w:ilvl w:val="1"/>
        <w:numId w:val="7"/>
      </w:numPr>
      <w:tabs>
        <w:tab w:val="left" w:pos="3402"/>
        <w:tab w:val="left" w:pos="3969"/>
      </w:tabs>
      <w:outlineLvl w:val="1"/>
    </w:pPr>
  </w:style>
  <w:style w:type="paragraph" w:customStyle="1" w:styleId="WWAnnexHead3">
    <w:name w:val="WW_AnnexHead3"/>
    <w:basedOn w:val="WWHead"/>
    <w:next w:val="WWAnnexList4"/>
    <w:rsid w:val="007C3159"/>
    <w:pPr>
      <w:numPr>
        <w:ilvl w:val="2"/>
        <w:numId w:val="7"/>
      </w:numPr>
      <w:tabs>
        <w:tab w:val="left" w:pos="3969"/>
        <w:tab w:val="left" w:pos="4536"/>
      </w:tabs>
      <w:outlineLvl w:val="2"/>
    </w:pPr>
  </w:style>
  <w:style w:type="paragraph" w:customStyle="1" w:styleId="WWAnnexHead4">
    <w:name w:val="WW_AnnexHead4"/>
    <w:basedOn w:val="WWHead"/>
    <w:next w:val="WWAnnexList5"/>
    <w:rsid w:val="007C3159"/>
    <w:pPr>
      <w:numPr>
        <w:ilvl w:val="3"/>
        <w:numId w:val="7"/>
      </w:numPr>
      <w:outlineLvl w:val="3"/>
    </w:pPr>
  </w:style>
  <w:style w:type="paragraph" w:customStyle="1" w:styleId="WWAnnexHead5">
    <w:name w:val="WW_AnnexHead5"/>
    <w:basedOn w:val="WWHead"/>
    <w:next w:val="WWAnnexList6"/>
    <w:rsid w:val="007C3159"/>
    <w:pPr>
      <w:numPr>
        <w:ilvl w:val="4"/>
        <w:numId w:val="7"/>
      </w:numPr>
      <w:outlineLvl w:val="4"/>
    </w:pPr>
  </w:style>
  <w:style w:type="paragraph" w:styleId="DocumentMap">
    <w:name w:val="Document Map"/>
    <w:basedOn w:val="Normal"/>
    <w:link w:val="DocumentMapChar"/>
    <w:semiHidden/>
    <w:rsid w:val="007C31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C3159"/>
    <w:rPr>
      <w:rFonts w:ascii="Tahoma" w:eastAsia="Times New Roman" w:hAnsi="Tahoma" w:cs="Tahoma"/>
      <w:sz w:val="20"/>
      <w:szCs w:val="20"/>
      <w:shd w:val="clear" w:color="auto" w:fill="000080"/>
      <w:lang w:val="en-GB" w:eastAsia="en-GB"/>
    </w:rPr>
  </w:style>
  <w:style w:type="paragraph" w:customStyle="1" w:styleId="WWBodyText1">
    <w:name w:val="WW_BodyText1"/>
    <w:basedOn w:val="WWBodyText"/>
    <w:rsid w:val="007C3159"/>
    <w:pPr>
      <w:ind w:left="567"/>
    </w:pPr>
  </w:style>
  <w:style w:type="paragraph" w:customStyle="1" w:styleId="WWBodyText10">
    <w:name w:val="WW_BodyText10"/>
    <w:basedOn w:val="WWBodyText"/>
    <w:rsid w:val="007C3159"/>
    <w:pPr>
      <w:ind w:left="5670"/>
    </w:pPr>
  </w:style>
  <w:style w:type="paragraph" w:customStyle="1" w:styleId="WWBodyText2">
    <w:name w:val="WW_BodyText2"/>
    <w:basedOn w:val="WWBodyText"/>
    <w:rsid w:val="007C3159"/>
    <w:pPr>
      <w:tabs>
        <w:tab w:val="left" w:pos="3402"/>
        <w:tab w:val="left" w:pos="3969"/>
      </w:tabs>
      <w:ind w:left="1134"/>
    </w:pPr>
  </w:style>
  <w:style w:type="paragraph" w:customStyle="1" w:styleId="WWBodyText3">
    <w:name w:val="WW_BodyText3"/>
    <w:basedOn w:val="WWBodyText"/>
    <w:rsid w:val="007C3159"/>
    <w:pPr>
      <w:tabs>
        <w:tab w:val="left" w:pos="3969"/>
        <w:tab w:val="left" w:pos="4536"/>
      </w:tabs>
      <w:ind w:left="1701"/>
    </w:pPr>
  </w:style>
  <w:style w:type="paragraph" w:customStyle="1" w:styleId="WWBodyText4">
    <w:name w:val="WW_BodyText4"/>
    <w:basedOn w:val="WWBodyText"/>
    <w:rsid w:val="007C3159"/>
    <w:pPr>
      <w:ind w:left="2268"/>
    </w:pPr>
  </w:style>
  <w:style w:type="paragraph" w:customStyle="1" w:styleId="WWBodyText5">
    <w:name w:val="WW_BodyText5"/>
    <w:basedOn w:val="WWBodyText"/>
    <w:rsid w:val="007C3159"/>
    <w:pPr>
      <w:ind w:left="2835"/>
    </w:pPr>
  </w:style>
  <w:style w:type="paragraph" w:customStyle="1" w:styleId="WWBodyText6">
    <w:name w:val="WW_BodyText6"/>
    <w:basedOn w:val="WWBodyText"/>
    <w:rsid w:val="007C3159"/>
    <w:pPr>
      <w:ind w:left="3402"/>
    </w:pPr>
  </w:style>
  <w:style w:type="paragraph" w:customStyle="1" w:styleId="WWBodyText7">
    <w:name w:val="WW_BodyText7"/>
    <w:basedOn w:val="WWBodyText"/>
    <w:rsid w:val="007C3159"/>
    <w:pPr>
      <w:ind w:left="3969"/>
    </w:pPr>
  </w:style>
  <w:style w:type="paragraph" w:customStyle="1" w:styleId="WWBodyText8">
    <w:name w:val="WW_BodyText8"/>
    <w:basedOn w:val="WWBodyText"/>
    <w:rsid w:val="007C3159"/>
    <w:pPr>
      <w:ind w:left="4536"/>
    </w:pPr>
  </w:style>
  <w:style w:type="paragraph" w:customStyle="1" w:styleId="WWBodyText9">
    <w:name w:val="WW_BodyText9"/>
    <w:basedOn w:val="WWBodyText"/>
    <w:rsid w:val="007C3159"/>
    <w:pPr>
      <w:ind w:left="5103"/>
    </w:pPr>
  </w:style>
  <w:style w:type="paragraph" w:customStyle="1" w:styleId="WWTitleCentre">
    <w:name w:val="WW_TitleCentre"/>
    <w:basedOn w:val="WWBodyText"/>
    <w:next w:val="WWBodyText"/>
    <w:rsid w:val="007C3159"/>
    <w:pPr>
      <w:keepNext/>
      <w:jc w:val="center"/>
    </w:pPr>
    <w:rPr>
      <w:b/>
    </w:rPr>
  </w:style>
  <w:style w:type="paragraph" w:customStyle="1" w:styleId="WWSectionAlpha">
    <w:name w:val="WW_SectionAlpha"/>
    <w:basedOn w:val="WWBodyText"/>
    <w:next w:val="WWBodyText"/>
    <w:rsid w:val="007C3159"/>
    <w:pPr>
      <w:keepNext/>
      <w:numPr>
        <w:numId w:val="3"/>
      </w:numPr>
    </w:pPr>
    <w:rPr>
      <w:b/>
      <w:spacing w:val="2"/>
    </w:rPr>
  </w:style>
  <w:style w:type="paragraph" w:customStyle="1" w:styleId="WWRecital1">
    <w:name w:val="WW_Recital1"/>
    <w:basedOn w:val="WWBodyText"/>
    <w:rsid w:val="007C3159"/>
    <w:pPr>
      <w:numPr>
        <w:numId w:val="6"/>
      </w:numPr>
      <w:outlineLvl w:val="0"/>
    </w:pPr>
  </w:style>
  <w:style w:type="paragraph" w:customStyle="1" w:styleId="WWList4">
    <w:name w:val="WW_List4"/>
    <w:basedOn w:val="WWHeading4"/>
    <w:rsid w:val="007C3159"/>
    <w:pPr>
      <w:keepNext w:val="0"/>
    </w:pPr>
    <w:rPr>
      <w:b w:val="0"/>
    </w:rPr>
  </w:style>
  <w:style w:type="paragraph" w:customStyle="1" w:styleId="WWList5">
    <w:name w:val="WW_List5"/>
    <w:basedOn w:val="WWHeading5"/>
    <w:rsid w:val="007C3159"/>
    <w:pPr>
      <w:keepNext w:val="0"/>
    </w:pPr>
    <w:rPr>
      <w:b w:val="0"/>
    </w:rPr>
  </w:style>
  <w:style w:type="table" w:styleId="TableGrid">
    <w:name w:val="Table Grid"/>
    <w:basedOn w:val="TableNormal"/>
    <w:rsid w:val="007C3159"/>
    <w:pPr>
      <w:suppressAutoHyphens/>
      <w:spacing w:before="40" w:after="40" w:line="264" w:lineRule="auto"/>
    </w:pPr>
    <w:rPr>
      <w:rFonts w:ascii="Times New Roman" w:eastAsia="Times New Roman" w:hAnsi="Times New Roman" w:cs="Times New Roman"/>
      <w:sz w:val="18"/>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C3159"/>
    <w:pPr>
      <w:keepNext/>
      <w:jc w:val="center"/>
    </w:pPr>
    <w:rPr>
      <w:rFonts w:cs="Arial"/>
      <w:b/>
      <w:bCs/>
      <w:caps/>
      <w:szCs w:val="32"/>
    </w:rPr>
  </w:style>
  <w:style w:type="character" w:customStyle="1" w:styleId="TitleChar">
    <w:name w:val="Title Char"/>
    <w:basedOn w:val="DefaultParagraphFont"/>
    <w:link w:val="Title"/>
    <w:rsid w:val="007C3159"/>
    <w:rPr>
      <w:rFonts w:ascii="Arial" w:eastAsia="Times New Roman" w:hAnsi="Arial" w:cs="Arial"/>
      <w:b/>
      <w:bCs/>
      <w:caps/>
      <w:sz w:val="24"/>
      <w:szCs w:val="32"/>
      <w:lang w:val="en-GB" w:eastAsia="en-GB"/>
    </w:rPr>
  </w:style>
  <w:style w:type="paragraph" w:customStyle="1" w:styleId="WWSection">
    <w:name w:val="WW_Section"/>
    <w:basedOn w:val="WWBodyText"/>
    <w:next w:val="WWBodyText"/>
    <w:rsid w:val="007C3159"/>
    <w:pPr>
      <w:keepNext/>
    </w:pPr>
    <w:rPr>
      <w:b/>
    </w:rPr>
  </w:style>
  <w:style w:type="paragraph" w:customStyle="1" w:styleId="WWTramLines">
    <w:name w:val="WW_TramLines"/>
    <w:basedOn w:val="WWBodyText"/>
    <w:next w:val="WWBodyText"/>
    <w:rsid w:val="007C3159"/>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7C3159"/>
    <w:pPr>
      <w:tabs>
        <w:tab w:val="right" w:pos="8789"/>
      </w:tabs>
    </w:pPr>
  </w:style>
  <w:style w:type="paragraph" w:customStyle="1" w:styleId="WWBodyText">
    <w:name w:val="WW_BodyText"/>
    <w:basedOn w:val="Normal"/>
    <w:rsid w:val="007C3159"/>
    <w:pPr>
      <w:spacing w:after="240" w:line="480" w:lineRule="auto"/>
      <w:jc w:val="both"/>
    </w:pPr>
  </w:style>
  <w:style w:type="paragraph" w:customStyle="1" w:styleId="WWAddressee">
    <w:name w:val="WW_Addressee"/>
    <w:basedOn w:val="Normal"/>
    <w:next w:val="WWBodyText"/>
    <w:rsid w:val="007C3159"/>
    <w:pPr>
      <w:suppressAutoHyphens w:val="0"/>
      <w:spacing w:before="480" w:after="480"/>
      <w:contextualSpacing/>
    </w:pPr>
    <w:rPr>
      <w:lang w:eastAsia="en-US"/>
    </w:rPr>
  </w:style>
  <w:style w:type="paragraph" w:customStyle="1" w:styleId="WWBox">
    <w:name w:val="WW_Box"/>
    <w:basedOn w:val="Normal"/>
    <w:next w:val="Normal"/>
    <w:rsid w:val="007C3159"/>
    <w:pPr>
      <w:suppressAutoHyphens w:val="0"/>
      <w:spacing w:before="60" w:after="60"/>
    </w:pPr>
    <w:rPr>
      <w:sz w:val="20"/>
      <w:lang w:eastAsia="en-US"/>
    </w:rPr>
  </w:style>
  <w:style w:type="paragraph" w:customStyle="1" w:styleId="WWEnding">
    <w:name w:val="WW_Ending"/>
    <w:basedOn w:val="Normal"/>
    <w:next w:val="Normal"/>
    <w:rsid w:val="007C3159"/>
    <w:pPr>
      <w:keepNext/>
      <w:suppressAutoHyphens w:val="0"/>
      <w:spacing w:before="360" w:after="720"/>
      <w:jc w:val="both"/>
    </w:pPr>
    <w:rPr>
      <w:bCs/>
      <w:szCs w:val="20"/>
      <w:lang w:eastAsia="en-US"/>
    </w:rPr>
  </w:style>
  <w:style w:type="paragraph" w:customStyle="1" w:styleId="WWSalutation">
    <w:name w:val="WW_Salutation"/>
    <w:basedOn w:val="Normal"/>
    <w:next w:val="Normal"/>
    <w:rsid w:val="007C3159"/>
    <w:pPr>
      <w:suppressAutoHyphens w:val="0"/>
      <w:spacing w:before="480" w:after="480"/>
      <w:jc w:val="both"/>
    </w:pPr>
    <w:rPr>
      <w:lang w:eastAsia="en-US"/>
    </w:rPr>
  </w:style>
  <w:style w:type="paragraph" w:customStyle="1" w:styleId="WWSubject">
    <w:name w:val="WW_Subject"/>
    <w:basedOn w:val="Normal"/>
    <w:next w:val="Normal"/>
    <w:rsid w:val="007C3159"/>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7C3159"/>
    <w:pPr>
      <w:jc w:val="left"/>
    </w:pPr>
  </w:style>
  <w:style w:type="paragraph" w:customStyle="1" w:styleId="WWBullet1">
    <w:name w:val="WW_Bullet1"/>
    <w:basedOn w:val="WWBodyText"/>
    <w:rsid w:val="007C3159"/>
    <w:pPr>
      <w:numPr>
        <w:numId w:val="4"/>
      </w:numPr>
      <w:outlineLvl w:val="0"/>
    </w:pPr>
  </w:style>
  <w:style w:type="paragraph" w:customStyle="1" w:styleId="WWBullet2">
    <w:name w:val="WW_Bullet2"/>
    <w:basedOn w:val="WWBodyText"/>
    <w:rsid w:val="007C3159"/>
    <w:pPr>
      <w:numPr>
        <w:ilvl w:val="1"/>
        <w:numId w:val="4"/>
      </w:numPr>
      <w:outlineLvl w:val="1"/>
    </w:pPr>
  </w:style>
  <w:style w:type="paragraph" w:customStyle="1" w:styleId="WWBullet3">
    <w:name w:val="WW_Bullet3"/>
    <w:basedOn w:val="WWBodyText"/>
    <w:rsid w:val="007C3159"/>
    <w:pPr>
      <w:numPr>
        <w:ilvl w:val="2"/>
        <w:numId w:val="4"/>
      </w:numPr>
      <w:outlineLvl w:val="2"/>
    </w:pPr>
  </w:style>
  <w:style w:type="paragraph" w:customStyle="1" w:styleId="WWBullet4">
    <w:name w:val="WW_Bullet4"/>
    <w:basedOn w:val="WWBodyText"/>
    <w:rsid w:val="007C3159"/>
    <w:pPr>
      <w:numPr>
        <w:ilvl w:val="3"/>
        <w:numId w:val="4"/>
      </w:numPr>
      <w:outlineLvl w:val="3"/>
    </w:pPr>
  </w:style>
  <w:style w:type="paragraph" w:customStyle="1" w:styleId="WWBullet5">
    <w:name w:val="WW_Bullet5"/>
    <w:basedOn w:val="WWBodyText"/>
    <w:rsid w:val="007C3159"/>
    <w:pPr>
      <w:numPr>
        <w:ilvl w:val="4"/>
        <w:numId w:val="4"/>
      </w:numPr>
      <w:outlineLvl w:val="4"/>
    </w:pPr>
  </w:style>
  <w:style w:type="paragraph" w:customStyle="1" w:styleId="WWBullet6">
    <w:name w:val="WW_Bullet6"/>
    <w:basedOn w:val="WWBodyText"/>
    <w:rsid w:val="007C3159"/>
    <w:pPr>
      <w:numPr>
        <w:ilvl w:val="5"/>
        <w:numId w:val="4"/>
      </w:numPr>
    </w:pPr>
  </w:style>
  <w:style w:type="paragraph" w:customStyle="1" w:styleId="WWTitleRight">
    <w:name w:val="WW_TitleRight"/>
    <w:basedOn w:val="WWTitleCentre"/>
    <w:next w:val="WWBodyText"/>
    <w:rsid w:val="007C3159"/>
    <w:pPr>
      <w:jc w:val="right"/>
    </w:pPr>
  </w:style>
  <w:style w:type="paragraph" w:styleId="ListBullet">
    <w:name w:val="List Bullet"/>
    <w:basedOn w:val="Normal"/>
    <w:semiHidden/>
    <w:rsid w:val="007C3159"/>
    <w:pPr>
      <w:numPr>
        <w:numId w:val="5"/>
      </w:numPr>
    </w:pPr>
  </w:style>
  <w:style w:type="paragraph" w:customStyle="1" w:styleId="WWAnnexList1">
    <w:name w:val="WW_AnnexList1"/>
    <w:basedOn w:val="WWAnnexHead1"/>
    <w:next w:val="WWBodyText"/>
    <w:rsid w:val="007C3159"/>
    <w:pPr>
      <w:keepNext w:val="0"/>
      <w:spacing w:before="0"/>
    </w:pPr>
    <w:rPr>
      <w:b w:val="0"/>
    </w:rPr>
  </w:style>
  <w:style w:type="paragraph" w:customStyle="1" w:styleId="WWAnnexList2">
    <w:name w:val="WW_AnnexList2"/>
    <w:basedOn w:val="WWAnnexHead2"/>
    <w:rsid w:val="007C3159"/>
    <w:pPr>
      <w:keepNext w:val="0"/>
    </w:pPr>
    <w:rPr>
      <w:b w:val="0"/>
    </w:rPr>
  </w:style>
  <w:style w:type="paragraph" w:customStyle="1" w:styleId="WWAnnexList3">
    <w:name w:val="WW_AnnexList3"/>
    <w:basedOn w:val="WWAnnexHead3"/>
    <w:rsid w:val="007C3159"/>
    <w:pPr>
      <w:keepNext w:val="0"/>
    </w:pPr>
    <w:rPr>
      <w:b w:val="0"/>
    </w:rPr>
  </w:style>
  <w:style w:type="paragraph" w:customStyle="1" w:styleId="WWAnnexList4">
    <w:name w:val="WW_AnnexList4"/>
    <w:basedOn w:val="WWAnnexHead4"/>
    <w:rsid w:val="007C3159"/>
    <w:pPr>
      <w:keepNext w:val="0"/>
    </w:pPr>
    <w:rPr>
      <w:b w:val="0"/>
    </w:rPr>
  </w:style>
  <w:style w:type="paragraph" w:customStyle="1" w:styleId="WWAnnexList5">
    <w:name w:val="WW_AnnexList5"/>
    <w:basedOn w:val="WWAnnexHead5"/>
    <w:rsid w:val="007C3159"/>
    <w:pPr>
      <w:keepNext w:val="0"/>
    </w:pPr>
    <w:rPr>
      <w:b w:val="0"/>
    </w:rPr>
  </w:style>
  <w:style w:type="paragraph" w:customStyle="1" w:styleId="WWRecital2">
    <w:name w:val="WW_Recital2"/>
    <w:basedOn w:val="WWBodyText"/>
    <w:rsid w:val="007C3159"/>
    <w:pPr>
      <w:numPr>
        <w:ilvl w:val="1"/>
        <w:numId w:val="6"/>
      </w:numPr>
      <w:outlineLvl w:val="1"/>
    </w:pPr>
  </w:style>
  <w:style w:type="paragraph" w:customStyle="1" w:styleId="WWRecital3">
    <w:name w:val="WW_Recital3"/>
    <w:basedOn w:val="WWBodyText"/>
    <w:rsid w:val="007C3159"/>
    <w:pPr>
      <w:numPr>
        <w:ilvl w:val="2"/>
        <w:numId w:val="6"/>
      </w:numPr>
      <w:outlineLvl w:val="2"/>
    </w:pPr>
  </w:style>
  <w:style w:type="paragraph" w:customStyle="1" w:styleId="WWRecital4">
    <w:name w:val="WW_Recital4"/>
    <w:basedOn w:val="WWBodyText"/>
    <w:rsid w:val="007C3159"/>
    <w:pPr>
      <w:numPr>
        <w:ilvl w:val="3"/>
        <w:numId w:val="6"/>
      </w:numPr>
      <w:outlineLvl w:val="3"/>
    </w:pPr>
  </w:style>
  <w:style w:type="paragraph" w:customStyle="1" w:styleId="WWRecital5">
    <w:name w:val="WW_Recital5"/>
    <w:basedOn w:val="WWBodyText"/>
    <w:rsid w:val="007C3159"/>
    <w:pPr>
      <w:numPr>
        <w:ilvl w:val="4"/>
        <w:numId w:val="6"/>
      </w:numPr>
      <w:outlineLvl w:val="4"/>
    </w:pPr>
  </w:style>
  <w:style w:type="paragraph" w:customStyle="1" w:styleId="WWRecital6">
    <w:name w:val="WW_Recital6"/>
    <w:basedOn w:val="WWBodyText"/>
    <w:rsid w:val="007C3159"/>
    <w:pPr>
      <w:numPr>
        <w:ilvl w:val="5"/>
        <w:numId w:val="6"/>
      </w:numPr>
      <w:outlineLvl w:val="5"/>
    </w:pPr>
  </w:style>
  <w:style w:type="paragraph" w:customStyle="1" w:styleId="WWList6">
    <w:name w:val="WW_List6"/>
    <w:basedOn w:val="WWHeading6"/>
    <w:rsid w:val="007C3159"/>
    <w:pPr>
      <w:keepNext w:val="0"/>
    </w:pPr>
    <w:rPr>
      <w:b w:val="0"/>
    </w:rPr>
  </w:style>
  <w:style w:type="paragraph" w:customStyle="1" w:styleId="WWAnnexHead6">
    <w:name w:val="WW_AnnexHead6"/>
    <w:basedOn w:val="WWHead"/>
    <w:next w:val="WWBodyText6"/>
    <w:rsid w:val="007C3159"/>
    <w:pPr>
      <w:numPr>
        <w:ilvl w:val="5"/>
        <w:numId w:val="7"/>
      </w:numPr>
      <w:outlineLvl w:val="5"/>
    </w:pPr>
  </w:style>
  <w:style w:type="paragraph" w:customStyle="1" w:styleId="WWAnnexList6">
    <w:name w:val="WW_AnnexList6"/>
    <w:basedOn w:val="WWAnnexHead6"/>
    <w:next w:val="WWBodyText6"/>
    <w:rsid w:val="007C3159"/>
    <w:pPr>
      <w:keepNext w:val="0"/>
    </w:pPr>
    <w:rPr>
      <w:b w:val="0"/>
    </w:rPr>
  </w:style>
  <w:style w:type="paragraph" w:customStyle="1" w:styleId="WWAppendNum">
    <w:name w:val="WW_AppendNum"/>
    <w:basedOn w:val="WWBodyText"/>
    <w:next w:val="WWBodyText"/>
    <w:rsid w:val="007C3159"/>
    <w:pPr>
      <w:keepNext/>
      <w:jc w:val="right"/>
    </w:pPr>
    <w:rPr>
      <w:b/>
    </w:rPr>
  </w:style>
  <w:style w:type="paragraph" w:customStyle="1" w:styleId="WWHead">
    <w:name w:val="WW_Head"/>
    <w:basedOn w:val="WWBodyText"/>
    <w:rsid w:val="007C3159"/>
    <w:pPr>
      <w:keepNext/>
    </w:pPr>
    <w:rPr>
      <w:b/>
    </w:rPr>
  </w:style>
  <w:style w:type="paragraph" w:customStyle="1" w:styleId="WWSimpleList1">
    <w:name w:val="WW_SimpleList1"/>
    <w:basedOn w:val="WWBodyText"/>
    <w:rsid w:val="007C3159"/>
    <w:pPr>
      <w:numPr>
        <w:numId w:val="8"/>
      </w:numPr>
      <w:outlineLvl w:val="0"/>
    </w:pPr>
  </w:style>
  <w:style w:type="paragraph" w:customStyle="1" w:styleId="WWSimpleList2">
    <w:name w:val="WW_SimpleList2"/>
    <w:basedOn w:val="WWBodyText"/>
    <w:rsid w:val="007C3159"/>
    <w:pPr>
      <w:numPr>
        <w:ilvl w:val="1"/>
        <w:numId w:val="8"/>
      </w:numPr>
      <w:outlineLvl w:val="1"/>
    </w:pPr>
  </w:style>
  <w:style w:type="paragraph" w:customStyle="1" w:styleId="WWSimpleList3">
    <w:name w:val="WW_SimpleList3"/>
    <w:basedOn w:val="WWBodyText"/>
    <w:rsid w:val="007C3159"/>
    <w:pPr>
      <w:numPr>
        <w:ilvl w:val="2"/>
        <w:numId w:val="8"/>
      </w:numPr>
      <w:outlineLvl w:val="2"/>
    </w:pPr>
  </w:style>
  <w:style w:type="paragraph" w:customStyle="1" w:styleId="WWSimpleList4">
    <w:name w:val="WW_SimpleList4"/>
    <w:basedOn w:val="WWBodyText"/>
    <w:rsid w:val="007C3159"/>
    <w:pPr>
      <w:numPr>
        <w:ilvl w:val="3"/>
        <w:numId w:val="8"/>
      </w:numPr>
      <w:outlineLvl w:val="3"/>
    </w:pPr>
  </w:style>
  <w:style w:type="paragraph" w:customStyle="1" w:styleId="WWSimpleList5">
    <w:name w:val="WW_SimpleList5"/>
    <w:basedOn w:val="WWBodyText"/>
    <w:rsid w:val="007C3159"/>
    <w:pPr>
      <w:numPr>
        <w:ilvl w:val="4"/>
        <w:numId w:val="8"/>
      </w:numPr>
      <w:outlineLvl w:val="4"/>
    </w:pPr>
  </w:style>
  <w:style w:type="paragraph" w:customStyle="1" w:styleId="WWSimpleList6">
    <w:name w:val="WW_SimpleList6"/>
    <w:basedOn w:val="WWBodyText"/>
    <w:rsid w:val="007C3159"/>
    <w:pPr>
      <w:numPr>
        <w:ilvl w:val="5"/>
        <w:numId w:val="8"/>
      </w:numPr>
      <w:outlineLvl w:val="5"/>
    </w:pPr>
  </w:style>
  <w:style w:type="paragraph" w:customStyle="1" w:styleId="WWTOCHead">
    <w:name w:val="WW_TOCHead"/>
    <w:basedOn w:val="WWTitleCentre"/>
    <w:next w:val="WWBodyText"/>
    <w:rsid w:val="007C3159"/>
    <w:rPr>
      <w:caps/>
    </w:rPr>
  </w:style>
  <w:style w:type="paragraph" w:customStyle="1" w:styleId="WWAnnexeHead">
    <w:name w:val="WW_AnnexeHead"/>
    <w:basedOn w:val="WWBodyText"/>
    <w:rsid w:val="007C3159"/>
    <w:pPr>
      <w:keepNext/>
      <w:jc w:val="center"/>
    </w:pPr>
    <w:rPr>
      <w:b/>
    </w:rPr>
  </w:style>
  <w:style w:type="paragraph" w:customStyle="1" w:styleId="WWAnnexeAlpha">
    <w:name w:val="WW_AnnexeAlpha"/>
    <w:basedOn w:val="WWAnnexeHead"/>
    <w:next w:val="WWAnnexeHead"/>
    <w:rsid w:val="007C3159"/>
    <w:pPr>
      <w:numPr>
        <w:numId w:val="9"/>
      </w:numPr>
      <w:jc w:val="right"/>
      <w:outlineLvl w:val="0"/>
    </w:pPr>
  </w:style>
  <w:style w:type="paragraph" w:styleId="TOC9">
    <w:name w:val="toc 9"/>
    <w:basedOn w:val="Normal"/>
    <w:next w:val="Normal"/>
    <w:autoRedefine/>
    <w:unhideWhenUsed/>
    <w:rsid w:val="007C3159"/>
    <w:pPr>
      <w:tabs>
        <w:tab w:val="right" w:leader="dot" w:pos="7314"/>
      </w:tabs>
    </w:pPr>
  </w:style>
  <w:style w:type="paragraph" w:customStyle="1" w:styleId="WWAuthorDetails">
    <w:name w:val="WW_AuthorDetails"/>
    <w:basedOn w:val="Normal"/>
    <w:qFormat/>
    <w:rsid w:val="007C3159"/>
    <w:pPr>
      <w:keepNext/>
      <w:spacing w:after="60"/>
      <w:jc w:val="both"/>
    </w:pPr>
    <w:rPr>
      <w:sz w:val="17"/>
    </w:rPr>
  </w:style>
  <w:style w:type="paragraph" w:customStyle="1" w:styleId="WWFirmEnding">
    <w:name w:val="WW_FirmEnding"/>
    <w:basedOn w:val="Normal"/>
    <w:next w:val="WWAuthorDetails"/>
    <w:qFormat/>
    <w:rsid w:val="007C3159"/>
    <w:pPr>
      <w:keepNext/>
      <w:spacing w:after="60"/>
      <w:jc w:val="both"/>
    </w:pPr>
    <w:rPr>
      <w:b/>
    </w:rPr>
  </w:style>
  <w:style w:type="paragraph" w:customStyle="1" w:styleId="WWInfo">
    <w:name w:val="WW_Info"/>
    <w:basedOn w:val="Normal"/>
    <w:next w:val="Normal"/>
    <w:qFormat/>
    <w:rsid w:val="007C3159"/>
    <w:pPr>
      <w:spacing w:before="240" w:after="240"/>
      <w:jc w:val="both"/>
    </w:pPr>
    <w:rPr>
      <w:b/>
    </w:rPr>
  </w:style>
  <w:style w:type="paragraph" w:styleId="BodyText">
    <w:name w:val="Body Text"/>
    <w:basedOn w:val="Normal"/>
    <w:link w:val="BodyTextChar"/>
    <w:uiPriority w:val="1"/>
    <w:qFormat/>
    <w:rsid w:val="00BE5B5C"/>
    <w:pPr>
      <w:ind w:left="2620" w:hanging="1026"/>
    </w:pPr>
    <w:rPr>
      <w:rFonts w:eastAsia="Arial"/>
      <w:sz w:val="22"/>
    </w:rPr>
  </w:style>
  <w:style w:type="character" w:customStyle="1" w:styleId="BodyTextChar">
    <w:name w:val="Body Text Char"/>
    <w:basedOn w:val="DefaultParagraphFont"/>
    <w:link w:val="BodyText"/>
    <w:uiPriority w:val="1"/>
    <w:rsid w:val="00BE5B5C"/>
    <w:rPr>
      <w:rFonts w:ascii="Arial" w:eastAsia="Arial" w:hAnsi="Arial" w:cs="Times New Roman"/>
      <w:szCs w:val="24"/>
      <w:lang w:val="en-GB" w:eastAsia="en-GB"/>
    </w:rPr>
  </w:style>
  <w:style w:type="paragraph" w:customStyle="1" w:styleId="TableParagraph">
    <w:name w:val="Table Paragraph"/>
    <w:basedOn w:val="Normal"/>
    <w:uiPriority w:val="1"/>
    <w:qFormat/>
    <w:rsid w:val="00BE5B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194428">
      <w:bodyDiv w:val="1"/>
      <w:marLeft w:val="0"/>
      <w:marRight w:val="0"/>
      <w:marTop w:val="0"/>
      <w:marBottom w:val="0"/>
      <w:divBdr>
        <w:top w:val="none" w:sz="0" w:space="0" w:color="auto"/>
        <w:left w:val="none" w:sz="0" w:space="0" w:color="auto"/>
        <w:bottom w:val="none" w:sz="0" w:space="0" w:color="auto"/>
        <w:right w:val="none" w:sz="0" w:space="0" w:color="auto"/>
      </w:divBdr>
    </w:div>
    <w:div w:id="371274322">
      <w:bodyDiv w:val="1"/>
      <w:marLeft w:val="0"/>
      <w:marRight w:val="0"/>
      <w:marTop w:val="0"/>
      <w:marBottom w:val="0"/>
      <w:divBdr>
        <w:top w:val="none" w:sz="0" w:space="0" w:color="auto"/>
        <w:left w:val="none" w:sz="0" w:space="0" w:color="auto"/>
        <w:bottom w:val="none" w:sz="0" w:space="0" w:color="auto"/>
        <w:right w:val="none" w:sz="0" w:space="0" w:color="auto"/>
      </w:divBdr>
    </w:div>
    <w:div w:id="401686697">
      <w:bodyDiv w:val="1"/>
      <w:marLeft w:val="0"/>
      <w:marRight w:val="0"/>
      <w:marTop w:val="0"/>
      <w:marBottom w:val="0"/>
      <w:divBdr>
        <w:top w:val="none" w:sz="0" w:space="0" w:color="auto"/>
        <w:left w:val="none" w:sz="0" w:space="0" w:color="auto"/>
        <w:bottom w:val="none" w:sz="0" w:space="0" w:color="auto"/>
        <w:right w:val="none" w:sz="0" w:space="0" w:color="auto"/>
      </w:divBdr>
    </w:div>
    <w:div w:id="418336312">
      <w:bodyDiv w:val="1"/>
      <w:marLeft w:val="0"/>
      <w:marRight w:val="0"/>
      <w:marTop w:val="0"/>
      <w:marBottom w:val="0"/>
      <w:divBdr>
        <w:top w:val="none" w:sz="0" w:space="0" w:color="auto"/>
        <w:left w:val="none" w:sz="0" w:space="0" w:color="auto"/>
        <w:bottom w:val="none" w:sz="0" w:space="0" w:color="auto"/>
        <w:right w:val="none" w:sz="0" w:space="0" w:color="auto"/>
      </w:divBdr>
    </w:div>
    <w:div w:id="428888009">
      <w:bodyDiv w:val="1"/>
      <w:marLeft w:val="0"/>
      <w:marRight w:val="0"/>
      <w:marTop w:val="0"/>
      <w:marBottom w:val="0"/>
      <w:divBdr>
        <w:top w:val="none" w:sz="0" w:space="0" w:color="auto"/>
        <w:left w:val="none" w:sz="0" w:space="0" w:color="auto"/>
        <w:bottom w:val="none" w:sz="0" w:space="0" w:color="auto"/>
        <w:right w:val="none" w:sz="0" w:space="0" w:color="auto"/>
      </w:divBdr>
    </w:div>
    <w:div w:id="732850146">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111628">
      <w:bodyDiv w:val="1"/>
      <w:marLeft w:val="0"/>
      <w:marRight w:val="0"/>
      <w:marTop w:val="0"/>
      <w:marBottom w:val="0"/>
      <w:divBdr>
        <w:top w:val="none" w:sz="0" w:space="0" w:color="auto"/>
        <w:left w:val="none" w:sz="0" w:space="0" w:color="auto"/>
        <w:bottom w:val="none" w:sz="0" w:space="0" w:color="auto"/>
        <w:right w:val="none" w:sz="0" w:space="0" w:color="auto"/>
      </w:divBdr>
    </w:div>
    <w:div w:id="964890114">
      <w:bodyDiv w:val="1"/>
      <w:marLeft w:val="0"/>
      <w:marRight w:val="0"/>
      <w:marTop w:val="0"/>
      <w:marBottom w:val="0"/>
      <w:divBdr>
        <w:top w:val="none" w:sz="0" w:space="0" w:color="auto"/>
        <w:left w:val="none" w:sz="0" w:space="0" w:color="auto"/>
        <w:bottom w:val="none" w:sz="0" w:space="0" w:color="auto"/>
        <w:right w:val="none" w:sz="0" w:space="0" w:color="auto"/>
      </w:divBdr>
    </w:div>
    <w:div w:id="982658707">
      <w:bodyDiv w:val="1"/>
      <w:marLeft w:val="0"/>
      <w:marRight w:val="0"/>
      <w:marTop w:val="0"/>
      <w:marBottom w:val="0"/>
      <w:divBdr>
        <w:top w:val="none" w:sz="0" w:space="0" w:color="auto"/>
        <w:left w:val="none" w:sz="0" w:space="0" w:color="auto"/>
        <w:bottom w:val="none" w:sz="0" w:space="0" w:color="auto"/>
        <w:right w:val="none" w:sz="0" w:space="0" w:color="auto"/>
      </w:divBdr>
    </w:div>
    <w:div w:id="1271670713">
      <w:bodyDiv w:val="1"/>
      <w:marLeft w:val="0"/>
      <w:marRight w:val="0"/>
      <w:marTop w:val="0"/>
      <w:marBottom w:val="0"/>
      <w:divBdr>
        <w:top w:val="none" w:sz="0" w:space="0" w:color="auto"/>
        <w:left w:val="none" w:sz="0" w:space="0" w:color="auto"/>
        <w:bottom w:val="none" w:sz="0" w:space="0" w:color="auto"/>
        <w:right w:val="none" w:sz="0" w:space="0" w:color="auto"/>
      </w:divBdr>
    </w:div>
    <w:div w:id="1493597183">
      <w:bodyDiv w:val="1"/>
      <w:marLeft w:val="0"/>
      <w:marRight w:val="0"/>
      <w:marTop w:val="0"/>
      <w:marBottom w:val="0"/>
      <w:divBdr>
        <w:top w:val="none" w:sz="0" w:space="0" w:color="auto"/>
        <w:left w:val="none" w:sz="0" w:space="0" w:color="auto"/>
        <w:bottom w:val="none" w:sz="0" w:space="0" w:color="auto"/>
        <w:right w:val="none" w:sz="0" w:space="0" w:color="auto"/>
      </w:divBdr>
    </w:div>
    <w:div w:id="1495410596">
      <w:bodyDiv w:val="1"/>
      <w:marLeft w:val="0"/>
      <w:marRight w:val="0"/>
      <w:marTop w:val="0"/>
      <w:marBottom w:val="0"/>
      <w:divBdr>
        <w:top w:val="none" w:sz="0" w:space="0" w:color="auto"/>
        <w:left w:val="none" w:sz="0" w:space="0" w:color="auto"/>
        <w:bottom w:val="none" w:sz="0" w:space="0" w:color="auto"/>
        <w:right w:val="none" w:sz="0" w:space="0" w:color="auto"/>
      </w:divBdr>
    </w:div>
    <w:div w:id="1780176872">
      <w:bodyDiv w:val="1"/>
      <w:marLeft w:val="0"/>
      <w:marRight w:val="0"/>
      <w:marTop w:val="0"/>
      <w:marBottom w:val="0"/>
      <w:divBdr>
        <w:top w:val="none" w:sz="0" w:space="0" w:color="auto"/>
        <w:left w:val="none" w:sz="0" w:space="0" w:color="auto"/>
        <w:bottom w:val="none" w:sz="0" w:space="0" w:color="auto"/>
        <w:right w:val="none" w:sz="0" w:space="0" w:color="auto"/>
      </w:divBdr>
    </w:div>
    <w:div w:id="1795753298">
      <w:bodyDiv w:val="1"/>
      <w:marLeft w:val="0"/>
      <w:marRight w:val="0"/>
      <w:marTop w:val="0"/>
      <w:marBottom w:val="0"/>
      <w:divBdr>
        <w:top w:val="none" w:sz="0" w:space="0" w:color="auto"/>
        <w:left w:val="none" w:sz="0" w:space="0" w:color="auto"/>
        <w:bottom w:val="none" w:sz="0" w:space="0" w:color="auto"/>
        <w:right w:val="none" w:sz="0" w:space="0" w:color="auto"/>
      </w:divBdr>
    </w:div>
    <w:div w:id="1892420183">
      <w:bodyDiv w:val="1"/>
      <w:marLeft w:val="0"/>
      <w:marRight w:val="0"/>
      <w:marTop w:val="0"/>
      <w:marBottom w:val="0"/>
      <w:divBdr>
        <w:top w:val="none" w:sz="0" w:space="0" w:color="auto"/>
        <w:left w:val="none" w:sz="0" w:space="0" w:color="auto"/>
        <w:bottom w:val="none" w:sz="0" w:space="0" w:color="auto"/>
        <w:right w:val="none" w:sz="0" w:space="0" w:color="auto"/>
      </w:divBdr>
    </w:div>
    <w:div w:id="2007200659">
      <w:bodyDiv w:val="1"/>
      <w:marLeft w:val="0"/>
      <w:marRight w:val="0"/>
      <w:marTop w:val="0"/>
      <w:marBottom w:val="0"/>
      <w:divBdr>
        <w:top w:val="none" w:sz="0" w:space="0" w:color="auto"/>
        <w:left w:val="none" w:sz="0" w:space="0" w:color="auto"/>
        <w:bottom w:val="none" w:sz="0" w:space="0" w:color="auto"/>
        <w:right w:val="none" w:sz="0" w:space="0" w:color="auto"/>
      </w:divBdr>
    </w:div>
    <w:div w:id="2055808010">
      <w:bodyDiv w:val="1"/>
      <w:marLeft w:val="0"/>
      <w:marRight w:val="0"/>
      <w:marTop w:val="0"/>
      <w:marBottom w:val="0"/>
      <w:divBdr>
        <w:top w:val="none" w:sz="0" w:space="0" w:color="auto"/>
        <w:left w:val="none" w:sz="0" w:space="0" w:color="auto"/>
        <w:bottom w:val="none" w:sz="0" w:space="0" w:color="auto"/>
        <w:right w:val="none" w:sz="0" w:space="0" w:color="auto"/>
      </w:divBdr>
    </w:div>
    <w:div w:id="2058969041">
      <w:bodyDiv w:val="1"/>
      <w:marLeft w:val="0"/>
      <w:marRight w:val="0"/>
      <w:marTop w:val="0"/>
      <w:marBottom w:val="0"/>
      <w:divBdr>
        <w:top w:val="none" w:sz="0" w:space="0" w:color="auto"/>
        <w:left w:val="none" w:sz="0" w:space="0" w:color="auto"/>
        <w:bottom w:val="none" w:sz="0" w:space="0" w:color="auto"/>
        <w:right w:val="none" w:sz="0" w:space="0" w:color="auto"/>
      </w:divBdr>
    </w:div>
    <w:div w:id="20685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42DDFD2BEC224EB1CBDE52B1F06C49" ma:contentTypeVersion="14" ma:contentTypeDescription="Create a new document." ma:contentTypeScope="" ma:versionID="473d548a1d4e12460c08800ef4c135ab">
  <xsd:schema xmlns:xsd="http://www.w3.org/2001/XMLSchema" xmlns:xs="http://www.w3.org/2001/XMLSchema" xmlns:p="http://schemas.microsoft.com/office/2006/metadata/properties" xmlns:ns3="9b897d15-7226-4b85-89b5-cc7186abe0cd" xmlns:ns4="af9cb7a4-a460-4b02-b64d-d3bb5850b1ac" targetNamespace="http://schemas.microsoft.com/office/2006/metadata/properties" ma:root="true" ma:fieldsID="b4f07775e12813fdd7c78d32614a1d59" ns3:_="" ns4:_="">
    <xsd:import namespace="9b897d15-7226-4b85-89b5-cc7186abe0cd"/>
    <xsd:import namespace="af9cb7a4-a460-4b02-b64d-d3bb5850b1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97d15-7226-4b85-89b5-cc7186abe0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cb7a4-a460-4b02-b64d-d3bb5850b1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CA43B-3CD5-4A44-B37A-22AD0B59E595}">
  <ds:schemaRefs>
    <ds:schemaRef ds:uri="http://schemas.openxmlformats.org/officeDocument/2006/bibliography"/>
  </ds:schemaRefs>
</ds:datastoreItem>
</file>

<file path=customXml/itemProps2.xml><?xml version="1.0" encoding="utf-8"?>
<ds:datastoreItem xmlns:ds="http://schemas.openxmlformats.org/officeDocument/2006/customXml" ds:itemID="{49DF889F-94C6-451D-B4AB-36C00DC3BB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ACA84-5F1A-4C95-91E2-6FDEFE0C9468}">
  <ds:schemaRefs>
    <ds:schemaRef ds:uri="http://schemas.microsoft.com/sharepoint/v3/contenttype/forms"/>
  </ds:schemaRefs>
</ds:datastoreItem>
</file>

<file path=customXml/itemProps4.xml><?xml version="1.0" encoding="utf-8"?>
<ds:datastoreItem xmlns:ds="http://schemas.openxmlformats.org/officeDocument/2006/customXml" ds:itemID="{6D586C0E-C4E3-495D-9F62-92437A784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97d15-7226-4b85-89b5-cc7186abe0cd"/>
    <ds:schemaRef ds:uri="af9cb7a4-a460-4b02-b64d-d3bb5850b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LegalPleading.dot</Template>
  <TotalTime>28</TotalTime>
  <Pages>1</Pages>
  <Words>7076</Words>
  <Characters>40338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portia phahlane</dc:creator>
  <cp:lastModifiedBy>sathish sarshan  mohan</cp:lastModifiedBy>
  <cp:revision>4</cp:revision>
  <cp:lastPrinted>2020-09-25T14:41:00Z</cp:lastPrinted>
  <dcterms:created xsi:type="dcterms:W3CDTF">2024-04-04T10:30:00Z</dcterms:created>
  <dcterms:modified xsi:type="dcterms:W3CDTF">2024-04-19T09:45:00Z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0x0101008942DDFD2BEC224EB1CBDE52B1F06C49</vt:lpwstr>
  </property>
</Properties>
</file>