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E28C2" w14:textId="77777777" w:rsidR="00273DF4" w:rsidRPr="007C2D1F" w:rsidRDefault="00273DF4" w:rsidP="001A4766">
      <w:pPr>
        <w:spacing w:after="0" w:line="276" w:lineRule="auto"/>
        <w:ind w:left="0"/>
        <w:jc w:val="center"/>
        <w:rPr>
          <w:rFonts w:ascii="Arial" w:eastAsia="Times New Roman" w:hAnsi="Arial" w:cs="Arial"/>
          <w:b/>
          <w:color w:val="auto"/>
          <w:szCs w:val="24"/>
        </w:rPr>
      </w:pPr>
      <w:r w:rsidRPr="007C2D1F">
        <w:rPr>
          <w:rFonts w:ascii="Arial" w:eastAsia="Times New Roman" w:hAnsi="Arial" w:cs="Arial"/>
          <w:b/>
          <w:szCs w:val="24"/>
        </w:rPr>
        <w:t>REPUBLIC OF SOUTH AFRICA</w:t>
      </w:r>
    </w:p>
    <w:p w14:paraId="55DE4DF4" w14:textId="77777777" w:rsidR="00273DF4" w:rsidRPr="007C2D1F" w:rsidRDefault="00273DF4" w:rsidP="00273DF4">
      <w:pPr>
        <w:spacing w:after="0" w:line="276" w:lineRule="auto"/>
        <w:ind w:left="0"/>
        <w:jc w:val="center"/>
        <w:rPr>
          <w:rFonts w:ascii="Arial" w:eastAsia="Times New Roman" w:hAnsi="Arial" w:cs="Arial"/>
          <w:b/>
          <w:szCs w:val="24"/>
        </w:rPr>
      </w:pPr>
      <w:r w:rsidRPr="007C2D1F">
        <w:rPr>
          <w:rFonts w:ascii="Arial" w:eastAsia="Times New Roman" w:hAnsi="Arial" w:cs="Arial"/>
          <w:b/>
          <w:noProof/>
          <w:szCs w:val="24"/>
        </w:rPr>
        <w:drawing>
          <wp:inline distT="0" distB="0" distL="0" distR="0" wp14:anchorId="5A2B1F68" wp14:editId="4360ACED">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C615B50" w14:textId="77777777" w:rsidR="00273DF4" w:rsidRPr="007C2D1F" w:rsidRDefault="00273DF4" w:rsidP="00273DF4">
      <w:pPr>
        <w:spacing w:after="0" w:line="276" w:lineRule="auto"/>
        <w:ind w:left="0"/>
        <w:jc w:val="center"/>
        <w:rPr>
          <w:rFonts w:ascii="Arial" w:eastAsia="Times New Roman" w:hAnsi="Arial" w:cs="Arial"/>
          <w:b/>
          <w:szCs w:val="24"/>
          <w:lang w:eastAsia="en-US"/>
        </w:rPr>
      </w:pPr>
      <w:r w:rsidRPr="007C2D1F">
        <w:rPr>
          <w:rFonts w:ascii="Arial" w:eastAsia="Times New Roman" w:hAnsi="Arial" w:cs="Arial"/>
          <w:b/>
          <w:szCs w:val="24"/>
        </w:rPr>
        <w:t>IN THE HIGH COURT OF SOUTH AFRICA</w:t>
      </w:r>
    </w:p>
    <w:p w14:paraId="4DF8E574" w14:textId="77777777" w:rsidR="00273DF4" w:rsidRPr="007C2D1F" w:rsidRDefault="00273DF4" w:rsidP="00273DF4">
      <w:pPr>
        <w:spacing w:after="0" w:line="276" w:lineRule="auto"/>
        <w:ind w:left="0"/>
        <w:jc w:val="center"/>
        <w:rPr>
          <w:rFonts w:ascii="Arial" w:eastAsia="Times New Roman" w:hAnsi="Arial" w:cs="Arial"/>
          <w:b/>
          <w:szCs w:val="24"/>
        </w:rPr>
      </w:pPr>
      <w:r w:rsidRPr="007C2D1F">
        <w:rPr>
          <w:rFonts w:ascii="Arial" w:eastAsia="Times New Roman" w:hAnsi="Arial" w:cs="Arial"/>
          <w:b/>
          <w:szCs w:val="24"/>
        </w:rPr>
        <w:t>GAUTENG DIVISION, JOHANNESBURG</w:t>
      </w:r>
    </w:p>
    <w:p w14:paraId="6087615D" w14:textId="77777777" w:rsidR="00273DF4" w:rsidRPr="007C2D1F" w:rsidRDefault="00273DF4" w:rsidP="00273DF4">
      <w:pPr>
        <w:spacing w:after="0" w:line="276" w:lineRule="auto"/>
        <w:ind w:left="0"/>
        <w:jc w:val="right"/>
        <w:rPr>
          <w:rFonts w:ascii="Arial" w:eastAsia="Times New Roman" w:hAnsi="Arial" w:cs="Arial"/>
          <w:b/>
          <w:szCs w:val="24"/>
        </w:rPr>
      </w:pPr>
    </w:p>
    <w:p w14:paraId="44AF1EE7" w14:textId="5C4B4FC0" w:rsidR="00273DF4" w:rsidRPr="007C2D1F" w:rsidRDefault="008D5964" w:rsidP="00273DF4">
      <w:pPr>
        <w:spacing w:after="0" w:line="276" w:lineRule="auto"/>
        <w:ind w:left="0"/>
        <w:jc w:val="right"/>
        <w:rPr>
          <w:rFonts w:ascii="Arial" w:eastAsia="Times New Roman" w:hAnsi="Arial" w:cs="Arial"/>
          <w:b/>
          <w:szCs w:val="24"/>
        </w:rPr>
      </w:pPr>
      <w:r w:rsidRPr="007C2D1F">
        <w:rPr>
          <w:rFonts w:ascii="Arial" w:hAnsi="Arial" w:cs="Arial"/>
          <w:noProof/>
          <w:szCs w:val="24"/>
        </w:rPr>
        <mc:AlternateContent>
          <mc:Choice Requires="wps">
            <w:drawing>
              <wp:anchor distT="0" distB="0" distL="114300" distR="114300" simplePos="0" relativeHeight="251659264" behindDoc="0" locked="0" layoutInCell="1" allowOverlap="1" wp14:anchorId="6ED6D943" wp14:editId="6A942FEC">
                <wp:simplePos x="0" y="0"/>
                <wp:positionH relativeFrom="margin">
                  <wp:align>left</wp:align>
                </wp:positionH>
                <wp:positionV relativeFrom="page">
                  <wp:posOffset>3200400</wp:posOffset>
                </wp:positionV>
                <wp:extent cx="3168650" cy="1266825"/>
                <wp:effectExtent l="0" t="0" r="1270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650" cy="1266825"/>
                        </a:xfrm>
                        <a:prstGeom prst="rect">
                          <a:avLst/>
                        </a:prstGeom>
                        <a:solidFill>
                          <a:srgbClr val="FFFFFF"/>
                        </a:solidFill>
                        <a:ln w="9525">
                          <a:solidFill>
                            <a:srgbClr val="000000"/>
                          </a:solidFill>
                          <a:miter lim="800000"/>
                          <a:headEnd/>
                          <a:tailEnd/>
                        </a:ln>
                      </wps:spPr>
                      <wps:txbx>
                        <w:txbxContent>
                          <w:p w14:paraId="3E6F44D1" w14:textId="77777777" w:rsidR="00F77F37" w:rsidRPr="004120A8" w:rsidRDefault="00F77F37" w:rsidP="00273DF4">
                            <w:pPr>
                              <w:jc w:val="center"/>
                              <w:rPr>
                                <w:rFonts w:ascii="Century Gothic" w:hAnsi="Century Gothic"/>
                                <w:b/>
                                <w:sz w:val="2"/>
                                <w:szCs w:val="18"/>
                              </w:rPr>
                            </w:pPr>
                          </w:p>
                          <w:p w14:paraId="4DAFDFEA" w14:textId="58DE92C9" w:rsidR="00F77F37" w:rsidRPr="004120A8" w:rsidRDefault="003578B4" w:rsidP="003578B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77F37">
                              <w:rPr>
                                <w:rFonts w:ascii="Century Gothic" w:hAnsi="Century Gothic"/>
                                <w:sz w:val="18"/>
                                <w:szCs w:val="18"/>
                              </w:rPr>
                              <w:t xml:space="preserve">REPORTABLE: </w:t>
                            </w:r>
                            <w:r w:rsidR="00F77F37" w:rsidRPr="004120A8">
                              <w:rPr>
                                <w:rFonts w:ascii="Century Gothic" w:hAnsi="Century Gothic"/>
                                <w:sz w:val="18"/>
                                <w:szCs w:val="18"/>
                              </w:rPr>
                              <w:t>NO</w:t>
                            </w:r>
                          </w:p>
                          <w:p w14:paraId="6F2DF39D" w14:textId="30917FBF" w:rsidR="00F77F37" w:rsidRPr="004120A8" w:rsidRDefault="003578B4" w:rsidP="003578B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77F37" w:rsidRPr="004120A8">
                              <w:rPr>
                                <w:rFonts w:ascii="Century Gothic" w:hAnsi="Century Gothic"/>
                                <w:sz w:val="18"/>
                                <w:szCs w:val="18"/>
                              </w:rPr>
                              <w:t>O</w:t>
                            </w:r>
                            <w:r w:rsidR="00F77F37">
                              <w:rPr>
                                <w:rFonts w:ascii="Century Gothic" w:hAnsi="Century Gothic"/>
                                <w:sz w:val="18"/>
                                <w:szCs w:val="18"/>
                              </w:rPr>
                              <w:t xml:space="preserve">F INTEREST TO OTHER JUDGES: </w:t>
                            </w:r>
                            <w:r w:rsidR="00F77F37" w:rsidRPr="004120A8">
                              <w:rPr>
                                <w:rFonts w:ascii="Century Gothic" w:hAnsi="Century Gothic"/>
                                <w:sz w:val="18"/>
                                <w:szCs w:val="18"/>
                              </w:rPr>
                              <w:t>NO</w:t>
                            </w:r>
                          </w:p>
                          <w:p w14:paraId="50E7C58C" w14:textId="4E4B0F29" w:rsidR="00F77F37" w:rsidRPr="004120A8" w:rsidRDefault="003578B4" w:rsidP="003578B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F77F37" w:rsidRPr="004120A8">
                              <w:rPr>
                                <w:rFonts w:ascii="Century Gothic" w:hAnsi="Century Gothic"/>
                                <w:sz w:val="18"/>
                                <w:szCs w:val="18"/>
                              </w:rPr>
                              <w:t>REVISED.</w:t>
                            </w:r>
                          </w:p>
                          <w:p w14:paraId="66925AE8" w14:textId="77777777" w:rsidR="00F77F37" w:rsidRPr="004120A8" w:rsidRDefault="00F77F37" w:rsidP="00273DF4">
                            <w:pPr>
                              <w:rPr>
                                <w:rFonts w:ascii="Century Gothic" w:hAnsi="Century Gothic"/>
                                <w:b/>
                                <w:sz w:val="18"/>
                                <w:szCs w:val="18"/>
                              </w:rPr>
                            </w:pPr>
                          </w:p>
                          <w:p w14:paraId="17B66853" w14:textId="77777777" w:rsidR="00F77F37" w:rsidRPr="00D261E0" w:rsidRDefault="00F77F37" w:rsidP="00273DF4">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4BCCFD29" w14:textId="02E1DB36" w:rsidR="00F77F37" w:rsidRPr="004120A8" w:rsidRDefault="00F77F37" w:rsidP="00273DF4">
                            <w:pPr>
                              <w:spacing w:after="0"/>
                              <w:rPr>
                                <w:rFonts w:ascii="Century Gothic" w:hAnsi="Century Gothic"/>
                                <w:b/>
                                <w:sz w:val="18"/>
                                <w:szCs w:val="18"/>
                              </w:rPr>
                            </w:pPr>
                            <w:r w:rsidRPr="004120A8">
                              <w:rPr>
                                <w:rFonts w:ascii="Century Gothic" w:hAnsi="Century Gothic"/>
                                <w:b/>
                                <w:sz w:val="18"/>
                                <w:szCs w:val="18"/>
                              </w:rPr>
                              <w:t xml:space="preserve"> </w:t>
                            </w:r>
                            <w:r w:rsidR="009A2335">
                              <w:rPr>
                                <w:rFonts w:ascii="Century Gothic" w:hAnsi="Century Gothic"/>
                                <w:b/>
                                <w:sz w:val="18"/>
                                <w:szCs w:val="18"/>
                              </w:rPr>
                              <w:t>A</w:t>
                            </w:r>
                            <w:r w:rsidR="002F699A">
                              <w:rPr>
                                <w:rFonts w:ascii="Century Gothic" w:hAnsi="Century Gothic"/>
                                <w:b/>
                                <w:sz w:val="18"/>
                                <w:szCs w:val="18"/>
                              </w:rPr>
                              <w:t>.</w:t>
                            </w:r>
                            <w:r w:rsidRPr="00595D44">
                              <w:rPr>
                                <w:rFonts w:ascii="Century Gothic" w:hAnsi="Century Gothic"/>
                                <w:b/>
                                <w:sz w:val="18"/>
                                <w:szCs w:val="18"/>
                              </w:rPr>
                              <w:t xml:space="preserve"> </w:t>
                            </w:r>
                            <w:r w:rsidR="009A2335">
                              <w:rPr>
                                <w:rFonts w:ascii="Century Gothic" w:hAnsi="Century Gothic"/>
                                <w:b/>
                                <w:sz w:val="18"/>
                                <w:szCs w:val="18"/>
                              </w:rPr>
                              <w:t>FRIEDMAN</w:t>
                            </w:r>
                            <w:r w:rsidRPr="00595D44">
                              <w:rPr>
                                <w:rFonts w:ascii="Century Gothic" w:hAnsi="Century Gothic"/>
                                <w:b/>
                                <w:sz w:val="18"/>
                                <w:szCs w:val="18"/>
                              </w:rPr>
                              <w:tab/>
                            </w:r>
                            <w:r w:rsidRPr="00595D44">
                              <w:rPr>
                                <w:rFonts w:ascii="Century Gothic" w:hAnsi="Century Gothic"/>
                                <w:b/>
                                <w:sz w:val="18"/>
                                <w:szCs w:val="18"/>
                              </w:rPr>
                              <w:tab/>
                            </w:r>
                            <w:r w:rsidR="00FF0E0C">
                              <w:rPr>
                                <w:rFonts w:ascii="Century Gothic" w:hAnsi="Century Gothic"/>
                                <w:b/>
                                <w:sz w:val="18"/>
                                <w:szCs w:val="18"/>
                              </w:rPr>
                              <w:tab/>
                            </w:r>
                            <w:r w:rsidR="007E0EAD">
                              <w:rPr>
                                <w:rFonts w:ascii="Century Gothic" w:hAnsi="Century Gothic"/>
                                <w:b/>
                                <w:sz w:val="18"/>
                                <w:szCs w:val="18"/>
                              </w:rPr>
                              <w:t>9 APRIL</w:t>
                            </w:r>
                            <w:r w:rsidRPr="00595D44">
                              <w:rPr>
                                <w:rFonts w:ascii="Century Gothic" w:hAnsi="Century Gothic"/>
                                <w:b/>
                                <w:sz w:val="18"/>
                                <w:szCs w:val="18"/>
                              </w:rPr>
                              <w:t xml:space="preserve"> 202</w:t>
                            </w:r>
                            <w:r w:rsidR="007E0EAD">
                              <w:rPr>
                                <w:rFonts w:ascii="Century Gothic" w:hAnsi="Century Gothic"/>
                                <w:b/>
                                <w:sz w:val="18"/>
                                <w:szCs w:val="18"/>
                              </w:rPr>
                              <w:t>4</w:t>
                            </w:r>
                          </w:p>
                          <w:p w14:paraId="1218F2E7" w14:textId="77777777" w:rsidR="00F77F37" w:rsidRPr="004120A8" w:rsidRDefault="00F77F37" w:rsidP="00273DF4">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6D943" id="_x0000_t202" coordsize="21600,21600" o:spt="202" path="m,l,21600r21600,l21600,xe">
                <v:stroke joinstyle="miter"/>
                <v:path gradientshapeok="t" o:connecttype="rect"/>
              </v:shapetype>
              <v:shape id="Text Box 1" o:spid="_x0000_s1026" type="#_x0000_t202" style="position:absolute;left:0;text-align:left;margin-left:0;margin-top:252pt;width:249.5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TdBwIAABUEAAAOAAAAZHJzL2Uyb0RvYy54bWysU9uO0zAQfUfiHyy/07SlLd2o6Qp2KUJa&#10;LtLCBziO01jYHjN2m5Sv34mT7ZaLeED4wfJ4xmdmzhxvrjtr2FFh0OAKPptMOVNOQqXdvuBfv+xe&#10;rDkLUbhKGHCq4CcV+PX2+bNN63M1hwZMpZARiAt56wvexOjzLAuyUVaECXjlyFkDWhHJxH1WoWgJ&#10;3ZpsPp2ushaw8ghShUC3t4OTbxN+XSsZP9V1UJGZglNtMe2Y9rLfs+1G5HsUvtFyLEP8QxVWaEdJ&#10;z1C3Igp2QP0blNUSIUAdJxJsBnWtpUo9UDez6S/d3DfCq9QLkRP8mabw/2Dlx+O9/4wsdm+gowGm&#10;JoK/A/ktEDdZ60M+xvSchjz00WX7ASqapjhESC+6Gm3fPjXECIaYPp3ZVV1kki5fzlbr1ZJcknyz&#10;+Wq1ni97/jORPz73GOI7BZb1h4IjjS/Bi+NdiEPoY0ifLYDR1U4bkwzclzcG2VHQqHdpjeg/hRnH&#10;2oJfLSn33yGmaf0JwupImjXaFnx9DhJ5o0T11lVJUVFoM5ypO+NGInvuBhZjV3YU2BNaQnUiShEG&#10;bdJfokMD+IOzlnRZ8PD9IFBxZt47GvzVbLHohZyMxfLVnAy89JSXHuEkQRU8cjYcb+Ig/oNHvW8o&#10;0zBxB69plLVOJD9VNdZN2ktjGv9JL+5LO0U9/ebtAwAAAP//AwBQSwMEFAAGAAgAAAAhAD/olZre&#10;AAAACAEAAA8AAABkcnMvZG93bnJldi54bWxMj81OwzAQhO9IvIO1SNyoDWmApnEqfoSEEFJF0wdw&#10;420ciNdR7Lbh7VlOcJvVjGa/KVeT78URx9gF0nA9UyCQmmA7ajVs65erexAxGbKmD4QavjHCqjo/&#10;K01hw4k+8LhJreASioXR4FIaCilj49CbOAsDEnv7MHqT+BxbaUdz4nLfyxulbqU3HfEHZwZ8cth8&#10;bQ5ew/Nntt5S56wfste3un6f8rV81PryYnpYgkg4pb8w/OIzOlTMtAsHslH0GnhI0pCrOQu254sF&#10;i52GO5XlIKtS/h9Q/QAAAP//AwBQSwECLQAUAAYACAAAACEAtoM4kv4AAADhAQAAEwAAAAAAAAAA&#10;AAAAAAAAAAAAW0NvbnRlbnRfVHlwZXNdLnhtbFBLAQItABQABgAIAAAAIQA4/SH/1gAAAJQBAAAL&#10;AAAAAAAAAAAAAAAAAC8BAABfcmVscy8ucmVsc1BLAQItABQABgAIAAAAIQC8BUTdBwIAABUEAAAO&#10;AAAAAAAAAAAAAAAAAC4CAABkcnMvZTJvRG9jLnhtbFBLAQItABQABgAIAAAAIQA/6JWa3gAAAAgB&#10;AAAPAAAAAAAAAAAAAAAAAGEEAABkcnMvZG93bnJldi54bWxQSwUGAAAAAAQABADzAAAAbAUAAAAA&#10;">
                <v:path arrowok="t"/>
                <v:textbox>
                  <w:txbxContent>
                    <w:p w14:paraId="3E6F44D1" w14:textId="77777777" w:rsidR="00F77F37" w:rsidRPr="004120A8" w:rsidRDefault="00F77F37" w:rsidP="00273DF4">
                      <w:pPr>
                        <w:jc w:val="center"/>
                        <w:rPr>
                          <w:rFonts w:ascii="Century Gothic" w:hAnsi="Century Gothic"/>
                          <w:b/>
                          <w:sz w:val="2"/>
                          <w:szCs w:val="18"/>
                        </w:rPr>
                      </w:pPr>
                    </w:p>
                    <w:p w14:paraId="4DAFDFEA" w14:textId="58DE92C9" w:rsidR="00F77F37" w:rsidRPr="004120A8" w:rsidRDefault="003578B4" w:rsidP="003578B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F77F37">
                        <w:rPr>
                          <w:rFonts w:ascii="Century Gothic" w:hAnsi="Century Gothic"/>
                          <w:sz w:val="18"/>
                          <w:szCs w:val="18"/>
                        </w:rPr>
                        <w:t xml:space="preserve">REPORTABLE: </w:t>
                      </w:r>
                      <w:r w:rsidR="00F77F37" w:rsidRPr="004120A8">
                        <w:rPr>
                          <w:rFonts w:ascii="Century Gothic" w:hAnsi="Century Gothic"/>
                          <w:sz w:val="18"/>
                          <w:szCs w:val="18"/>
                        </w:rPr>
                        <w:t>NO</w:t>
                      </w:r>
                    </w:p>
                    <w:p w14:paraId="6F2DF39D" w14:textId="30917FBF" w:rsidR="00F77F37" w:rsidRPr="004120A8" w:rsidRDefault="003578B4" w:rsidP="003578B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F77F37" w:rsidRPr="004120A8">
                        <w:rPr>
                          <w:rFonts w:ascii="Century Gothic" w:hAnsi="Century Gothic"/>
                          <w:sz w:val="18"/>
                          <w:szCs w:val="18"/>
                        </w:rPr>
                        <w:t>O</w:t>
                      </w:r>
                      <w:r w:rsidR="00F77F37">
                        <w:rPr>
                          <w:rFonts w:ascii="Century Gothic" w:hAnsi="Century Gothic"/>
                          <w:sz w:val="18"/>
                          <w:szCs w:val="18"/>
                        </w:rPr>
                        <w:t xml:space="preserve">F INTEREST TO OTHER JUDGES: </w:t>
                      </w:r>
                      <w:r w:rsidR="00F77F37" w:rsidRPr="004120A8">
                        <w:rPr>
                          <w:rFonts w:ascii="Century Gothic" w:hAnsi="Century Gothic"/>
                          <w:sz w:val="18"/>
                          <w:szCs w:val="18"/>
                        </w:rPr>
                        <w:t>NO</w:t>
                      </w:r>
                    </w:p>
                    <w:p w14:paraId="50E7C58C" w14:textId="4E4B0F29" w:rsidR="00F77F37" w:rsidRPr="004120A8" w:rsidRDefault="003578B4" w:rsidP="003578B4">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F77F37" w:rsidRPr="004120A8">
                        <w:rPr>
                          <w:rFonts w:ascii="Century Gothic" w:hAnsi="Century Gothic"/>
                          <w:sz w:val="18"/>
                          <w:szCs w:val="18"/>
                        </w:rPr>
                        <w:t>REVISED.</w:t>
                      </w:r>
                    </w:p>
                    <w:p w14:paraId="66925AE8" w14:textId="77777777" w:rsidR="00F77F37" w:rsidRPr="004120A8" w:rsidRDefault="00F77F37" w:rsidP="00273DF4">
                      <w:pPr>
                        <w:rPr>
                          <w:rFonts w:ascii="Century Gothic" w:hAnsi="Century Gothic"/>
                          <w:b/>
                          <w:sz w:val="18"/>
                          <w:szCs w:val="18"/>
                        </w:rPr>
                      </w:pPr>
                    </w:p>
                    <w:p w14:paraId="17B66853" w14:textId="77777777" w:rsidR="00F77F37" w:rsidRPr="00D261E0" w:rsidRDefault="00F77F37" w:rsidP="00273DF4">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4BCCFD29" w14:textId="02E1DB36" w:rsidR="00F77F37" w:rsidRPr="004120A8" w:rsidRDefault="00F77F37" w:rsidP="00273DF4">
                      <w:pPr>
                        <w:spacing w:after="0"/>
                        <w:rPr>
                          <w:rFonts w:ascii="Century Gothic" w:hAnsi="Century Gothic"/>
                          <w:b/>
                          <w:sz w:val="18"/>
                          <w:szCs w:val="18"/>
                        </w:rPr>
                      </w:pPr>
                      <w:r w:rsidRPr="004120A8">
                        <w:rPr>
                          <w:rFonts w:ascii="Century Gothic" w:hAnsi="Century Gothic"/>
                          <w:b/>
                          <w:sz w:val="18"/>
                          <w:szCs w:val="18"/>
                        </w:rPr>
                        <w:t xml:space="preserve"> </w:t>
                      </w:r>
                      <w:r w:rsidR="009A2335">
                        <w:rPr>
                          <w:rFonts w:ascii="Century Gothic" w:hAnsi="Century Gothic"/>
                          <w:b/>
                          <w:sz w:val="18"/>
                          <w:szCs w:val="18"/>
                        </w:rPr>
                        <w:t>A</w:t>
                      </w:r>
                      <w:r w:rsidR="002F699A">
                        <w:rPr>
                          <w:rFonts w:ascii="Century Gothic" w:hAnsi="Century Gothic"/>
                          <w:b/>
                          <w:sz w:val="18"/>
                          <w:szCs w:val="18"/>
                        </w:rPr>
                        <w:t>.</w:t>
                      </w:r>
                      <w:r w:rsidRPr="00595D44">
                        <w:rPr>
                          <w:rFonts w:ascii="Century Gothic" w:hAnsi="Century Gothic"/>
                          <w:b/>
                          <w:sz w:val="18"/>
                          <w:szCs w:val="18"/>
                        </w:rPr>
                        <w:t xml:space="preserve"> </w:t>
                      </w:r>
                      <w:r w:rsidR="009A2335">
                        <w:rPr>
                          <w:rFonts w:ascii="Century Gothic" w:hAnsi="Century Gothic"/>
                          <w:b/>
                          <w:sz w:val="18"/>
                          <w:szCs w:val="18"/>
                        </w:rPr>
                        <w:t>FRIEDMAN</w:t>
                      </w:r>
                      <w:r w:rsidRPr="00595D44">
                        <w:rPr>
                          <w:rFonts w:ascii="Century Gothic" w:hAnsi="Century Gothic"/>
                          <w:b/>
                          <w:sz w:val="18"/>
                          <w:szCs w:val="18"/>
                        </w:rPr>
                        <w:tab/>
                      </w:r>
                      <w:r w:rsidRPr="00595D44">
                        <w:rPr>
                          <w:rFonts w:ascii="Century Gothic" w:hAnsi="Century Gothic"/>
                          <w:b/>
                          <w:sz w:val="18"/>
                          <w:szCs w:val="18"/>
                        </w:rPr>
                        <w:tab/>
                      </w:r>
                      <w:r w:rsidR="00FF0E0C">
                        <w:rPr>
                          <w:rFonts w:ascii="Century Gothic" w:hAnsi="Century Gothic"/>
                          <w:b/>
                          <w:sz w:val="18"/>
                          <w:szCs w:val="18"/>
                        </w:rPr>
                        <w:tab/>
                      </w:r>
                      <w:r w:rsidR="007E0EAD">
                        <w:rPr>
                          <w:rFonts w:ascii="Century Gothic" w:hAnsi="Century Gothic"/>
                          <w:b/>
                          <w:sz w:val="18"/>
                          <w:szCs w:val="18"/>
                        </w:rPr>
                        <w:t>9 APRIL</w:t>
                      </w:r>
                      <w:r w:rsidRPr="00595D44">
                        <w:rPr>
                          <w:rFonts w:ascii="Century Gothic" w:hAnsi="Century Gothic"/>
                          <w:b/>
                          <w:sz w:val="18"/>
                          <w:szCs w:val="18"/>
                        </w:rPr>
                        <w:t xml:space="preserve"> 202</w:t>
                      </w:r>
                      <w:r w:rsidR="007E0EAD">
                        <w:rPr>
                          <w:rFonts w:ascii="Century Gothic" w:hAnsi="Century Gothic"/>
                          <w:b/>
                          <w:sz w:val="18"/>
                          <w:szCs w:val="18"/>
                        </w:rPr>
                        <w:t>4</w:t>
                      </w:r>
                    </w:p>
                    <w:p w14:paraId="1218F2E7" w14:textId="77777777" w:rsidR="00F77F37" w:rsidRPr="004120A8" w:rsidRDefault="00F77F37" w:rsidP="00273DF4">
                      <w:pPr>
                        <w:rPr>
                          <w:rFonts w:ascii="Century Gothic" w:hAnsi="Century Gothic"/>
                          <w:b/>
                          <w:sz w:val="2"/>
                          <w:szCs w:val="18"/>
                        </w:rPr>
                      </w:pPr>
                    </w:p>
                  </w:txbxContent>
                </v:textbox>
                <w10:wrap type="topAndBottom" anchorx="margin" anchory="page"/>
              </v:shape>
            </w:pict>
          </mc:Fallback>
        </mc:AlternateContent>
      </w:r>
      <w:r w:rsidR="00273DF4" w:rsidRPr="007C2D1F">
        <w:rPr>
          <w:rFonts w:ascii="Arial" w:eastAsia="Times New Roman" w:hAnsi="Arial" w:cs="Arial"/>
          <w:b/>
          <w:szCs w:val="24"/>
        </w:rPr>
        <w:t xml:space="preserve">CASE NUMBER: </w:t>
      </w:r>
      <w:r w:rsidR="00273DF4" w:rsidRPr="007C2D1F">
        <w:rPr>
          <w:rFonts w:ascii="Arial" w:eastAsia="Times New Roman" w:hAnsi="Arial" w:cs="Arial"/>
          <w:b/>
          <w:szCs w:val="24"/>
          <w:u w:val="single"/>
        </w:rPr>
        <w:t>20</w:t>
      </w:r>
      <w:r w:rsidR="00181067" w:rsidRPr="007C2D1F">
        <w:rPr>
          <w:rFonts w:ascii="Arial" w:eastAsia="Times New Roman" w:hAnsi="Arial" w:cs="Arial"/>
          <w:b/>
          <w:szCs w:val="24"/>
          <w:u w:val="single"/>
        </w:rPr>
        <w:t>19</w:t>
      </w:r>
      <w:r w:rsidR="00273DF4" w:rsidRPr="007C2D1F">
        <w:rPr>
          <w:rFonts w:ascii="Arial" w:eastAsia="Times New Roman" w:hAnsi="Arial" w:cs="Arial"/>
          <w:b/>
          <w:szCs w:val="24"/>
          <w:u w:val="single"/>
        </w:rPr>
        <w:t>/</w:t>
      </w:r>
      <w:r w:rsidR="00181067" w:rsidRPr="007C2D1F">
        <w:rPr>
          <w:rFonts w:ascii="Arial" w:eastAsia="Times New Roman" w:hAnsi="Arial" w:cs="Arial"/>
          <w:b/>
          <w:szCs w:val="24"/>
          <w:u w:val="single"/>
        </w:rPr>
        <w:t>14019</w:t>
      </w:r>
    </w:p>
    <w:p w14:paraId="0D414FE6" w14:textId="0EB6E14A" w:rsidR="00273DF4" w:rsidRPr="007C2D1F" w:rsidRDefault="00273DF4" w:rsidP="00273DF4">
      <w:pPr>
        <w:spacing w:after="0" w:line="276" w:lineRule="auto"/>
        <w:ind w:left="0"/>
        <w:jc w:val="left"/>
        <w:rPr>
          <w:rFonts w:ascii="Arial" w:eastAsia="Times New Roman" w:hAnsi="Arial" w:cs="Arial"/>
          <w:b/>
          <w:szCs w:val="24"/>
        </w:rPr>
      </w:pPr>
    </w:p>
    <w:p w14:paraId="622B35B3" w14:textId="77777777" w:rsidR="009D40E5" w:rsidRPr="007C2D1F" w:rsidRDefault="009D40E5" w:rsidP="00273DF4">
      <w:pPr>
        <w:spacing w:after="0" w:line="240" w:lineRule="auto"/>
        <w:ind w:left="0"/>
        <w:rPr>
          <w:rFonts w:ascii="Arial" w:eastAsia="Times New Roman" w:hAnsi="Arial" w:cs="Arial"/>
          <w:b/>
          <w:szCs w:val="24"/>
        </w:rPr>
      </w:pPr>
    </w:p>
    <w:p w14:paraId="2EB7ED32" w14:textId="77777777" w:rsidR="00273DF4" w:rsidRPr="007C2D1F" w:rsidRDefault="00273DF4" w:rsidP="00E91930">
      <w:pPr>
        <w:spacing w:after="0" w:line="240" w:lineRule="auto"/>
        <w:ind w:left="0"/>
        <w:rPr>
          <w:rFonts w:ascii="Arial" w:eastAsia="Times New Roman" w:hAnsi="Arial" w:cs="Arial"/>
          <w:szCs w:val="24"/>
          <w:lang w:eastAsia="en-US"/>
        </w:rPr>
      </w:pPr>
      <w:r w:rsidRPr="007C2D1F">
        <w:rPr>
          <w:rFonts w:ascii="Arial" w:eastAsia="Times New Roman" w:hAnsi="Arial" w:cs="Arial"/>
          <w:szCs w:val="24"/>
        </w:rPr>
        <w:t>In the matter between:</w:t>
      </w:r>
    </w:p>
    <w:p w14:paraId="6113507C" w14:textId="77777777" w:rsidR="00273DF4" w:rsidRPr="007C2D1F" w:rsidRDefault="00273DF4" w:rsidP="00E91930">
      <w:pPr>
        <w:spacing w:after="0" w:line="240" w:lineRule="auto"/>
        <w:ind w:left="0"/>
        <w:rPr>
          <w:rFonts w:ascii="Arial" w:eastAsia="Times New Roman" w:hAnsi="Arial" w:cs="Arial"/>
          <w:b/>
          <w:szCs w:val="24"/>
        </w:rPr>
      </w:pPr>
    </w:p>
    <w:p w14:paraId="1B70D8D2" w14:textId="24BAB815" w:rsidR="001812A2" w:rsidRPr="007C2D1F" w:rsidRDefault="001812A2" w:rsidP="001812A2">
      <w:pPr>
        <w:pStyle w:val="Parties"/>
        <w:rPr>
          <w:rFonts w:cs="Arial"/>
          <w:b/>
          <w:bCs/>
          <w:szCs w:val="24"/>
        </w:rPr>
      </w:pPr>
      <w:r w:rsidRPr="007C2D1F">
        <w:rPr>
          <w:rFonts w:cs="Arial"/>
          <w:b/>
          <w:bCs/>
          <w:szCs w:val="24"/>
        </w:rPr>
        <w:t>TEBEILA N.O., TIMOTHY</w:t>
      </w:r>
      <w:r w:rsidRPr="007C2D1F">
        <w:rPr>
          <w:rFonts w:cs="Arial"/>
          <w:b/>
          <w:bCs/>
          <w:szCs w:val="24"/>
        </w:rPr>
        <w:tab/>
      </w:r>
      <w:r w:rsidRPr="007C2D1F">
        <w:rPr>
          <w:rFonts w:cs="Arial"/>
          <w:szCs w:val="24"/>
        </w:rPr>
        <w:t xml:space="preserve">First </w:t>
      </w:r>
      <w:r w:rsidR="008A2DF7" w:rsidRPr="007C2D1F">
        <w:rPr>
          <w:rFonts w:cs="Arial"/>
          <w:szCs w:val="24"/>
        </w:rPr>
        <w:t>Applicant</w:t>
      </w:r>
    </w:p>
    <w:p w14:paraId="533AB55F" w14:textId="77777777" w:rsidR="001812A2" w:rsidRPr="007C2D1F" w:rsidRDefault="001812A2" w:rsidP="001812A2">
      <w:pPr>
        <w:pStyle w:val="Parties"/>
        <w:rPr>
          <w:rFonts w:cs="Arial"/>
          <w:b/>
          <w:bCs/>
          <w:szCs w:val="24"/>
        </w:rPr>
      </w:pPr>
    </w:p>
    <w:p w14:paraId="0E4CE97D" w14:textId="63F215D7" w:rsidR="001812A2" w:rsidRPr="007C2D1F" w:rsidRDefault="001812A2" w:rsidP="001812A2">
      <w:pPr>
        <w:pStyle w:val="Parties"/>
        <w:rPr>
          <w:rFonts w:cs="Arial"/>
          <w:b/>
          <w:bCs/>
          <w:szCs w:val="24"/>
        </w:rPr>
      </w:pPr>
      <w:r w:rsidRPr="007C2D1F">
        <w:rPr>
          <w:rFonts w:cs="Arial"/>
          <w:b/>
          <w:bCs/>
          <w:szCs w:val="24"/>
        </w:rPr>
        <w:t>NTWAMPIE N.O., MORWAMOCHE ANDREW</w:t>
      </w:r>
      <w:r w:rsidRPr="007C2D1F">
        <w:rPr>
          <w:rFonts w:cs="Arial"/>
          <w:b/>
          <w:bCs/>
          <w:szCs w:val="24"/>
        </w:rPr>
        <w:tab/>
      </w:r>
      <w:r w:rsidRPr="007C2D1F">
        <w:rPr>
          <w:rFonts w:cs="Arial"/>
          <w:szCs w:val="24"/>
        </w:rPr>
        <w:t xml:space="preserve">Second </w:t>
      </w:r>
      <w:r w:rsidR="008A2DF7" w:rsidRPr="007C2D1F">
        <w:rPr>
          <w:rFonts w:cs="Arial"/>
          <w:szCs w:val="24"/>
        </w:rPr>
        <w:t>Applicant</w:t>
      </w:r>
    </w:p>
    <w:p w14:paraId="37A60A12" w14:textId="77777777" w:rsidR="001812A2" w:rsidRPr="007C2D1F" w:rsidRDefault="001812A2" w:rsidP="001812A2">
      <w:pPr>
        <w:pStyle w:val="Parties"/>
        <w:rPr>
          <w:rFonts w:cs="Arial"/>
          <w:b/>
          <w:bCs/>
          <w:szCs w:val="24"/>
        </w:rPr>
      </w:pPr>
    </w:p>
    <w:p w14:paraId="77DD2E13" w14:textId="09D622E4" w:rsidR="001812A2" w:rsidRPr="007C2D1F" w:rsidRDefault="001812A2" w:rsidP="001812A2">
      <w:pPr>
        <w:pStyle w:val="Parties"/>
        <w:rPr>
          <w:rFonts w:cs="Arial"/>
          <w:b/>
          <w:bCs/>
          <w:szCs w:val="24"/>
        </w:rPr>
      </w:pPr>
      <w:r w:rsidRPr="007C2D1F">
        <w:rPr>
          <w:rFonts w:cs="Arial"/>
          <w:b/>
          <w:bCs/>
          <w:szCs w:val="24"/>
        </w:rPr>
        <w:t>MOKOU N.O., IMOGEN-FAITH MALIN</w:t>
      </w:r>
      <w:r w:rsidRPr="007C2D1F">
        <w:rPr>
          <w:rFonts w:cs="Arial"/>
          <w:b/>
          <w:bCs/>
          <w:szCs w:val="24"/>
        </w:rPr>
        <w:tab/>
      </w:r>
      <w:r w:rsidRPr="007C2D1F">
        <w:rPr>
          <w:rFonts w:cs="Arial"/>
          <w:szCs w:val="24"/>
        </w:rPr>
        <w:t xml:space="preserve">Third </w:t>
      </w:r>
      <w:r w:rsidR="008A2DF7" w:rsidRPr="007C2D1F">
        <w:rPr>
          <w:rFonts w:cs="Arial"/>
          <w:szCs w:val="24"/>
        </w:rPr>
        <w:t>Applicant</w:t>
      </w:r>
    </w:p>
    <w:p w14:paraId="7B3D916D" w14:textId="77777777" w:rsidR="001812A2" w:rsidRPr="007C2D1F" w:rsidRDefault="001812A2" w:rsidP="001812A2">
      <w:pPr>
        <w:pStyle w:val="Parties"/>
        <w:rPr>
          <w:rFonts w:cs="Arial"/>
          <w:b/>
          <w:bCs/>
          <w:szCs w:val="24"/>
        </w:rPr>
      </w:pPr>
    </w:p>
    <w:p w14:paraId="0400ECA0" w14:textId="77777777" w:rsidR="001812A2" w:rsidRPr="007C2D1F" w:rsidRDefault="001812A2" w:rsidP="001812A2">
      <w:pPr>
        <w:pStyle w:val="Parties"/>
        <w:rPr>
          <w:rFonts w:cs="Arial"/>
          <w:b/>
          <w:bCs/>
          <w:szCs w:val="24"/>
        </w:rPr>
      </w:pPr>
      <w:r w:rsidRPr="007C2D1F">
        <w:rPr>
          <w:rFonts w:cs="Arial"/>
          <w:b/>
          <w:bCs/>
          <w:szCs w:val="24"/>
        </w:rPr>
        <w:t>[in their capacities as trustees for the time being of</w:t>
      </w:r>
    </w:p>
    <w:p w14:paraId="32826A80" w14:textId="77777777" w:rsidR="001812A2" w:rsidRPr="007C2D1F" w:rsidRDefault="001812A2" w:rsidP="001812A2">
      <w:pPr>
        <w:pStyle w:val="Parties"/>
        <w:rPr>
          <w:rFonts w:cs="Arial"/>
          <w:b/>
          <w:bCs/>
          <w:szCs w:val="24"/>
        </w:rPr>
      </w:pPr>
      <w:r w:rsidRPr="007C2D1F">
        <w:rPr>
          <w:rFonts w:cs="Arial"/>
          <w:b/>
          <w:bCs/>
          <w:szCs w:val="24"/>
        </w:rPr>
        <w:t>The MOLANGWANE TRUST (IT no 3775/2000]</w:t>
      </w:r>
    </w:p>
    <w:p w14:paraId="503C8911" w14:textId="77777777" w:rsidR="001812A2" w:rsidRPr="007C2D1F" w:rsidRDefault="001812A2" w:rsidP="001812A2">
      <w:pPr>
        <w:pStyle w:val="Parties"/>
        <w:rPr>
          <w:rFonts w:cs="Arial"/>
          <w:b/>
          <w:bCs/>
          <w:szCs w:val="24"/>
        </w:rPr>
      </w:pPr>
    </w:p>
    <w:p w14:paraId="26E4C28F" w14:textId="1CD75DAB" w:rsidR="00C357A1" w:rsidRPr="007C2D1F" w:rsidRDefault="00C357A1" w:rsidP="00C357A1">
      <w:pPr>
        <w:pStyle w:val="Parties"/>
        <w:rPr>
          <w:rFonts w:cs="Arial"/>
          <w:b/>
          <w:bCs/>
          <w:szCs w:val="24"/>
        </w:rPr>
      </w:pPr>
      <w:r w:rsidRPr="007C2D1F">
        <w:rPr>
          <w:rFonts w:cs="Arial"/>
          <w:b/>
          <w:bCs/>
          <w:szCs w:val="24"/>
        </w:rPr>
        <w:t>TEBEILA, TIMOTHY</w:t>
      </w:r>
      <w:r w:rsidRPr="007C2D1F">
        <w:rPr>
          <w:rFonts w:cs="Arial"/>
          <w:b/>
          <w:bCs/>
          <w:szCs w:val="24"/>
        </w:rPr>
        <w:tab/>
      </w:r>
      <w:r w:rsidRPr="007C2D1F">
        <w:rPr>
          <w:rFonts w:cs="Arial"/>
          <w:szCs w:val="24"/>
        </w:rPr>
        <w:t xml:space="preserve">Fourth </w:t>
      </w:r>
      <w:r w:rsidR="008A2DF7" w:rsidRPr="007C2D1F">
        <w:rPr>
          <w:rFonts w:cs="Arial"/>
          <w:szCs w:val="24"/>
        </w:rPr>
        <w:t>Applicant</w:t>
      </w:r>
    </w:p>
    <w:p w14:paraId="5E9C6D9A" w14:textId="77777777" w:rsidR="009A2335" w:rsidRPr="007C2D1F" w:rsidRDefault="009A2335" w:rsidP="00E91930">
      <w:pPr>
        <w:spacing w:after="0" w:line="240" w:lineRule="auto"/>
        <w:ind w:left="0"/>
        <w:rPr>
          <w:rFonts w:ascii="Arial" w:eastAsia="Times New Roman" w:hAnsi="Arial" w:cs="Arial"/>
          <w:b/>
          <w:szCs w:val="24"/>
        </w:rPr>
      </w:pPr>
    </w:p>
    <w:p w14:paraId="32258403" w14:textId="77777777" w:rsidR="009A2335" w:rsidRPr="007C2D1F" w:rsidRDefault="009A2335" w:rsidP="00E91930">
      <w:pPr>
        <w:spacing w:after="0" w:line="240" w:lineRule="auto"/>
        <w:ind w:left="2160" w:hanging="2160"/>
        <w:rPr>
          <w:rFonts w:ascii="Arial" w:eastAsia="Times New Roman" w:hAnsi="Arial" w:cs="Arial"/>
          <w:szCs w:val="24"/>
        </w:rPr>
      </w:pPr>
      <w:r w:rsidRPr="007C2D1F">
        <w:rPr>
          <w:rFonts w:ascii="Arial" w:eastAsia="Times New Roman" w:hAnsi="Arial" w:cs="Arial"/>
          <w:szCs w:val="24"/>
        </w:rPr>
        <w:t>and</w:t>
      </w:r>
    </w:p>
    <w:p w14:paraId="2BD94E06" w14:textId="77777777" w:rsidR="009A2335" w:rsidRPr="007C2D1F" w:rsidRDefault="009A2335" w:rsidP="00E91930">
      <w:pPr>
        <w:spacing w:after="0" w:line="240" w:lineRule="auto"/>
        <w:ind w:left="0"/>
        <w:rPr>
          <w:rFonts w:ascii="Arial" w:eastAsia="Times New Roman" w:hAnsi="Arial" w:cs="Arial"/>
          <w:b/>
          <w:szCs w:val="24"/>
        </w:rPr>
      </w:pPr>
    </w:p>
    <w:p w14:paraId="4A931738" w14:textId="7278770E" w:rsidR="009A2335" w:rsidRPr="007C2D1F" w:rsidRDefault="00242805" w:rsidP="00E91930">
      <w:pPr>
        <w:spacing w:after="0" w:line="240" w:lineRule="auto"/>
        <w:ind w:left="2160" w:hanging="2160"/>
        <w:rPr>
          <w:rFonts w:ascii="Arial" w:eastAsia="Times New Roman" w:hAnsi="Arial" w:cs="Arial"/>
          <w:b/>
          <w:szCs w:val="24"/>
        </w:rPr>
      </w:pPr>
      <w:r w:rsidRPr="007C2D1F">
        <w:rPr>
          <w:rFonts w:ascii="Arial" w:hAnsi="Arial" w:cs="Arial"/>
          <w:b/>
          <w:bCs/>
          <w:szCs w:val="24"/>
        </w:rPr>
        <w:t>ABSA BANK LTD</w:t>
      </w:r>
      <w:r w:rsidRPr="007C2D1F">
        <w:rPr>
          <w:rFonts w:ascii="Arial" w:hAnsi="Arial" w:cs="Arial"/>
          <w:b/>
          <w:bCs/>
          <w:szCs w:val="24"/>
        </w:rPr>
        <w:tab/>
      </w:r>
      <w:r w:rsidRPr="007C2D1F">
        <w:rPr>
          <w:rFonts w:ascii="Arial" w:hAnsi="Arial" w:cs="Arial"/>
          <w:b/>
          <w:bCs/>
          <w:szCs w:val="24"/>
        </w:rPr>
        <w:tab/>
      </w:r>
      <w:r w:rsidRPr="007C2D1F">
        <w:rPr>
          <w:rFonts w:ascii="Arial" w:hAnsi="Arial" w:cs="Arial"/>
          <w:b/>
          <w:bCs/>
          <w:szCs w:val="24"/>
        </w:rPr>
        <w:tab/>
      </w:r>
      <w:r w:rsidRPr="007C2D1F">
        <w:rPr>
          <w:rFonts w:ascii="Arial" w:hAnsi="Arial" w:cs="Arial"/>
          <w:b/>
          <w:bCs/>
          <w:szCs w:val="24"/>
        </w:rPr>
        <w:tab/>
      </w:r>
      <w:r w:rsidRPr="007C2D1F">
        <w:rPr>
          <w:rFonts w:ascii="Arial" w:hAnsi="Arial" w:cs="Arial"/>
          <w:b/>
          <w:bCs/>
          <w:szCs w:val="24"/>
        </w:rPr>
        <w:tab/>
      </w:r>
      <w:r w:rsidR="009A2335" w:rsidRPr="007C2D1F">
        <w:rPr>
          <w:rFonts w:ascii="Arial" w:eastAsia="Times New Roman" w:hAnsi="Arial" w:cs="Arial"/>
          <w:b/>
          <w:szCs w:val="24"/>
        </w:rPr>
        <w:tab/>
      </w:r>
      <w:r w:rsidR="009A2335" w:rsidRPr="007C2D1F">
        <w:rPr>
          <w:rFonts w:ascii="Arial" w:eastAsia="Times New Roman" w:hAnsi="Arial" w:cs="Arial"/>
          <w:b/>
          <w:szCs w:val="24"/>
        </w:rPr>
        <w:tab/>
      </w:r>
      <w:r w:rsidR="009A2335" w:rsidRPr="007C2D1F">
        <w:rPr>
          <w:rFonts w:ascii="Arial" w:eastAsia="Times New Roman" w:hAnsi="Arial" w:cs="Arial"/>
          <w:b/>
          <w:szCs w:val="24"/>
        </w:rPr>
        <w:tab/>
        <w:t xml:space="preserve">       </w:t>
      </w:r>
      <w:r w:rsidR="009A2335" w:rsidRPr="007C2D1F">
        <w:rPr>
          <w:rFonts w:ascii="Arial" w:eastAsia="Times New Roman" w:hAnsi="Arial" w:cs="Arial"/>
          <w:szCs w:val="24"/>
        </w:rPr>
        <w:t>Respondent</w:t>
      </w:r>
    </w:p>
    <w:p w14:paraId="07EE8D6C" w14:textId="77777777" w:rsidR="009A2335" w:rsidRPr="007C2D1F" w:rsidRDefault="009A2335" w:rsidP="00E91930">
      <w:pPr>
        <w:spacing w:after="0" w:line="240" w:lineRule="auto"/>
        <w:ind w:left="2160" w:hanging="2160"/>
        <w:rPr>
          <w:rFonts w:ascii="Arial" w:eastAsia="Times New Roman" w:hAnsi="Arial" w:cs="Arial"/>
          <w:b/>
          <w:szCs w:val="24"/>
        </w:rPr>
      </w:pPr>
    </w:p>
    <w:p w14:paraId="2B1C0350" w14:textId="77777777" w:rsidR="009A2335" w:rsidRPr="007C2D1F" w:rsidRDefault="009A2335" w:rsidP="00E91930">
      <w:pPr>
        <w:spacing w:after="0" w:line="240" w:lineRule="auto"/>
        <w:ind w:left="2160" w:hanging="2160"/>
        <w:rPr>
          <w:rFonts w:ascii="Arial" w:eastAsia="Times New Roman" w:hAnsi="Arial" w:cs="Arial"/>
          <w:i/>
          <w:szCs w:val="24"/>
        </w:rPr>
      </w:pPr>
    </w:p>
    <w:p w14:paraId="65B4260C" w14:textId="5D83FA09" w:rsidR="009A2335" w:rsidRPr="007C2D1F" w:rsidRDefault="009A2335" w:rsidP="00E91930">
      <w:pPr>
        <w:spacing w:after="0" w:line="240" w:lineRule="auto"/>
        <w:ind w:left="2160" w:hanging="2160"/>
        <w:rPr>
          <w:rFonts w:ascii="Arial" w:eastAsia="Times New Roman" w:hAnsi="Arial" w:cs="Arial"/>
          <w:i/>
          <w:szCs w:val="24"/>
        </w:rPr>
      </w:pPr>
      <w:r w:rsidRPr="007C2D1F">
        <w:rPr>
          <w:rFonts w:ascii="Arial" w:eastAsia="Times New Roman" w:hAnsi="Arial" w:cs="Arial"/>
          <w:i/>
          <w:szCs w:val="24"/>
        </w:rPr>
        <w:t>In re:</w:t>
      </w:r>
    </w:p>
    <w:p w14:paraId="5572C1AF" w14:textId="77777777" w:rsidR="009A2335" w:rsidRPr="007C2D1F" w:rsidRDefault="009A2335" w:rsidP="00E91930">
      <w:pPr>
        <w:spacing w:after="0" w:line="240" w:lineRule="auto"/>
        <w:ind w:left="0"/>
        <w:rPr>
          <w:rFonts w:ascii="Arial" w:eastAsia="Times New Roman" w:hAnsi="Arial" w:cs="Arial"/>
          <w:b/>
          <w:szCs w:val="24"/>
        </w:rPr>
      </w:pPr>
    </w:p>
    <w:p w14:paraId="19803A07" w14:textId="77777777" w:rsidR="007B7916" w:rsidRPr="007C2D1F" w:rsidRDefault="007B7916" w:rsidP="007B7916">
      <w:pPr>
        <w:pStyle w:val="Parties"/>
        <w:rPr>
          <w:rFonts w:cs="Arial"/>
          <w:b/>
          <w:bCs/>
          <w:szCs w:val="24"/>
        </w:rPr>
      </w:pPr>
      <w:r w:rsidRPr="007C2D1F">
        <w:rPr>
          <w:rFonts w:cs="Arial"/>
          <w:b/>
          <w:bCs/>
          <w:szCs w:val="24"/>
        </w:rPr>
        <w:t>ABSA BANK LTD</w:t>
      </w:r>
      <w:r w:rsidRPr="007C2D1F">
        <w:rPr>
          <w:rFonts w:cs="Arial"/>
          <w:b/>
          <w:bCs/>
          <w:szCs w:val="24"/>
        </w:rPr>
        <w:tab/>
      </w:r>
      <w:r w:rsidRPr="007C2D1F">
        <w:rPr>
          <w:rFonts w:cs="Arial"/>
          <w:szCs w:val="24"/>
        </w:rPr>
        <w:t>Applicant</w:t>
      </w:r>
    </w:p>
    <w:p w14:paraId="673ED34A" w14:textId="77777777" w:rsidR="007B7916" w:rsidRPr="007C2D1F" w:rsidRDefault="007B7916" w:rsidP="007B7916">
      <w:pPr>
        <w:pStyle w:val="Parties"/>
        <w:rPr>
          <w:rFonts w:cs="Arial"/>
          <w:b/>
          <w:bCs/>
          <w:szCs w:val="24"/>
        </w:rPr>
      </w:pPr>
    </w:p>
    <w:p w14:paraId="703CB949" w14:textId="77777777" w:rsidR="007B7916" w:rsidRPr="007C2D1F" w:rsidRDefault="007B7916" w:rsidP="007B7916">
      <w:pPr>
        <w:pStyle w:val="Parties"/>
        <w:rPr>
          <w:rFonts w:cs="Arial"/>
          <w:b/>
          <w:bCs/>
          <w:szCs w:val="24"/>
        </w:rPr>
      </w:pPr>
    </w:p>
    <w:p w14:paraId="649D2BF0" w14:textId="77777777" w:rsidR="007B7916" w:rsidRPr="007C2D1F" w:rsidRDefault="007B7916" w:rsidP="007B7916">
      <w:pPr>
        <w:pStyle w:val="Parties"/>
        <w:rPr>
          <w:rFonts w:cs="Arial"/>
          <w:b/>
          <w:bCs/>
          <w:szCs w:val="24"/>
        </w:rPr>
      </w:pPr>
    </w:p>
    <w:p w14:paraId="7CAB914B" w14:textId="77777777" w:rsidR="007B7916" w:rsidRPr="007C2D1F" w:rsidRDefault="007B7916" w:rsidP="007B7916">
      <w:pPr>
        <w:pStyle w:val="Parties"/>
        <w:rPr>
          <w:rFonts w:cs="Arial"/>
          <w:b/>
          <w:bCs/>
          <w:szCs w:val="24"/>
        </w:rPr>
      </w:pPr>
      <w:r w:rsidRPr="007C2D1F">
        <w:rPr>
          <w:rFonts w:cs="Arial"/>
          <w:b/>
          <w:bCs/>
          <w:szCs w:val="24"/>
        </w:rPr>
        <w:t>and</w:t>
      </w:r>
    </w:p>
    <w:p w14:paraId="5CF1D4CB" w14:textId="77777777" w:rsidR="007B7916" w:rsidRPr="007C2D1F" w:rsidRDefault="007B7916" w:rsidP="007B7916">
      <w:pPr>
        <w:pStyle w:val="Parties"/>
        <w:rPr>
          <w:rFonts w:cs="Arial"/>
          <w:b/>
          <w:bCs/>
          <w:szCs w:val="24"/>
        </w:rPr>
      </w:pPr>
    </w:p>
    <w:p w14:paraId="447D54F9" w14:textId="77777777" w:rsidR="007B7916" w:rsidRPr="007C2D1F" w:rsidRDefault="007B7916" w:rsidP="007B7916">
      <w:pPr>
        <w:pStyle w:val="Parties"/>
        <w:rPr>
          <w:rFonts w:cs="Arial"/>
          <w:b/>
          <w:bCs/>
          <w:szCs w:val="24"/>
        </w:rPr>
      </w:pPr>
    </w:p>
    <w:p w14:paraId="1731BD82" w14:textId="77777777" w:rsidR="007B7916" w:rsidRPr="007C2D1F" w:rsidRDefault="007B7916" w:rsidP="007B7916">
      <w:pPr>
        <w:pStyle w:val="Parties"/>
        <w:rPr>
          <w:rFonts w:cs="Arial"/>
          <w:b/>
          <w:bCs/>
          <w:szCs w:val="24"/>
        </w:rPr>
      </w:pPr>
    </w:p>
    <w:p w14:paraId="6A3FF107" w14:textId="77777777" w:rsidR="007B7916" w:rsidRPr="007C2D1F" w:rsidRDefault="007B7916" w:rsidP="007B7916">
      <w:pPr>
        <w:pStyle w:val="Parties"/>
        <w:rPr>
          <w:rFonts w:cs="Arial"/>
          <w:b/>
          <w:bCs/>
          <w:szCs w:val="24"/>
        </w:rPr>
      </w:pPr>
      <w:r w:rsidRPr="007C2D1F">
        <w:rPr>
          <w:rFonts w:cs="Arial"/>
          <w:b/>
          <w:bCs/>
          <w:szCs w:val="24"/>
        </w:rPr>
        <w:t>TEBEILA N.O., TIMOTHY</w:t>
      </w:r>
      <w:r w:rsidRPr="007C2D1F">
        <w:rPr>
          <w:rFonts w:cs="Arial"/>
          <w:b/>
          <w:bCs/>
          <w:szCs w:val="24"/>
        </w:rPr>
        <w:tab/>
      </w:r>
      <w:r w:rsidRPr="007C2D1F">
        <w:rPr>
          <w:rFonts w:cs="Arial"/>
          <w:szCs w:val="24"/>
        </w:rPr>
        <w:t>First Respondent</w:t>
      </w:r>
    </w:p>
    <w:p w14:paraId="320E7A5A" w14:textId="77777777" w:rsidR="007B7916" w:rsidRPr="007C2D1F" w:rsidRDefault="007B7916" w:rsidP="007B7916">
      <w:pPr>
        <w:pStyle w:val="Parties"/>
        <w:rPr>
          <w:rFonts w:cs="Arial"/>
          <w:b/>
          <w:bCs/>
          <w:szCs w:val="24"/>
        </w:rPr>
      </w:pPr>
    </w:p>
    <w:p w14:paraId="70789C3E" w14:textId="77777777" w:rsidR="007B7916" w:rsidRPr="007C2D1F" w:rsidRDefault="007B7916" w:rsidP="007B7916">
      <w:pPr>
        <w:pStyle w:val="Parties"/>
        <w:rPr>
          <w:rFonts w:cs="Arial"/>
          <w:b/>
          <w:bCs/>
          <w:szCs w:val="24"/>
        </w:rPr>
      </w:pPr>
      <w:r w:rsidRPr="007C2D1F">
        <w:rPr>
          <w:rFonts w:cs="Arial"/>
          <w:b/>
          <w:bCs/>
          <w:szCs w:val="24"/>
        </w:rPr>
        <w:t>NTWAMPIE N.O., MORWAMOCHE ANDREW</w:t>
      </w:r>
      <w:r w:rsidRPr="007C2D1F">
        <w:rPr>
          <w:rFonts w:cs="Arial"/>
          <w:b/>
          <w:bCs/>
          <w:szCs w:val="24"/>
        </w:rPr>
        <w:tab/>
      </w:r>
      <w:r w:rsidRPr="007C2D1F">
        <w:rPr>
          <w:rFonts w:cs="Arial"/>
          <w:szCs w:val="24"/>
        </w:rPr>
        <w:t>Second Respondent</w:t>
      </w:r>
    </w:p>
    <w:p w14:paraId="5E0EF6A6" w14:textId="77777777" w:rsidR="007B7916" w:rsidRPr="007C2D1F" w:rsidRDefault="007B7916" w:rsidP="007B7916">
      <w:pPr>
        <w:pStyle w:val="Parties"/>
        <w:rPr>
          <w:rFonts w:cs="Arial"/>
          <w:b/>
          <w:bCs/>
          <w:szCs w:val="24"/>
        </w:rPr>
      </w:pPr>
    </w:p>
    <w:p w14:paraId="7F192F85" w14:textId="77777777" w:rsidR="007B7916" w:rsidRPr="007C2D1F" w:rsidRDefault="007B7916" w:rsidP="007B7916">
      <w:pPr>
        <w:pStyle w:val="Parties"/>
        <w:rPr>
          <w:rFonts w:cs="Arial"/>
          <w:b/>
          <w:bCs/>
          <w:szCs w:val="24"/>
        </w:rPr>
      </w:pPr>
      <w:r w:rsidRPr="007C2D1F">
        <w:rPr>
          <w:rFonts w:cs="Arial"/>
          <w:b/>
          <w:bCs/>
          <w:szCs w:val="24"/>
        </w:rPr>
        <w:t>MOKOU N.O., IMOGEN-FAITH MALIN</w:t>
      </w:r>
      <w:r w:rsidRPr="007C2D1F">
        <w:rPr>
          <w:rFonts w:cs="Arial"/>
          <w:b/>
          <w:bCs/>
          <w:szCs w:val="24"/>
        </w:rPr>
        <w:tab/>
      </w:r>
      <w:r w:rsidRPr="007C2D1F">
        <w:rPr>
          <w:rFonts w:cs="Arial"/>
          <w:szCs w:val="24"/>
        </w:rPr>
        <w:t>Third Respondent</w:t>
      </w:r>
    </w:p>
    <w:p w14:paraId="0440ECC4" w14:textId="77777777" w:rsidR="007B7916" w:rsidRPr="007C2D1F" w:rsidRDefault="007B7916" w:rsidP="007B7916">
      <w:pPr>
        <w:pStyle w:val="Parties"/>
        <w:rPr>
          <w:rFonts w:cs="Arial"/>
          <w:b/>
          <w:bCs/>
          <w:szCs w:val="24"/>
        </w:rPr>
      </w:pPr>
    </w:p>
    <w:p w14:paraId="49C7E0F6" w14:textId="77777777" w:rsidR="007B7916" w:rsidRPr="007C2D1F" w:rsidRDefault="007B7916" w:rsidP="007B7916">
      <w:pPr>
        <w:pStyle w:val="Parties"/>
        <w:rPr>
          <w:rFonts w:cs="Arial"/>
          <w:b/>
          <w:bCs/>
          <w:szCs w:val="24"/>
        </w:rPr>
      </w:pPr>
      <w:r w:rsidRPr="007C2D1F">
        <w:rPr>
          <w:rFonts w:cs="Arial"/>
          <w:b/>
          <w:bCs/>
          <w:szCs w:val="24"/>
        </w:rPr>
        <w:t>[in their capacities as trustees for the time being of</w:t>
      </w:r>
    </w:p>
    <w:p w14:paraId="140E1B55" w14:textId="77777777" w:rsidR="007B7916" w:rsidRPr="007C2D1F" w:rsidRDefault="007B7916" w:rsidP="007B7916">
      <w:pPr>
        <w:pStyle w:val="Parties"/>
        <w:rPr>
          <w:rFonts w:cs="Arial"/>
          <w:b/>
          <w:bCs/>
          <w:szCs w:val="24"/>
        </w:rPr>
      </w:pPr>
      <w:r w:rsidRPr="007C2D1F">
        <w:rPr>
          <w:rFonts w:cs="Arial"/>
          <w:b/>
          <w:bCs/>
          <w:szCs w:val="24"/>
        </w:rPr>
        <w:t>The MOLANGWANE TRUST (IT no 3775/2000]</w:t>
      </w:r>
    </w:p>
    <w:p w14:paraId="7C3B36CF" w14:textId="77777777" w:rsidR="007B7916" w:rsidRPr="007C2D1F" w:rsidRDefault="007B7916" w:rsidP="007B7916">
      <w:pPr>
        <w:pStyle w:val="Parties"/>
        <w:rPr>
          <w:rFonts w:cs="Arial"/>
          <w:b/>
          <w:bCs/>
          <w:szCs w:val="24"/>
        </w:rPr>
      </w:pPr>
    </w:p>
    <w:p w14:paraId="1E03D958" w14:textId="61CCEF08" w:rsidR="00C357A1" w:rsidRPr="007C2D1F" w:rsidRDefault="00C357A1" w:rsidP="00C357A1">
      <w:pPr>
        <w:pStyle w:val="Parties"/>
        <w:rPr>
          <w:rFonts w:cs="Arial"/>
          <w:b/>
          <w:bCs/>
          <w:szCs w:val="24"/>
        </w:rPr>
      </w:pPr>
      <w:r w:rsidRPr="007C2D1F">
        <w:rPr>
          <w:rFonts w:cs="Arial"/>
          <w:b/>
          <w:bCs/>
          <w:szCs w:val="24"/>
        </w:rPr>
        <w:t>TEBEILA, TIMOTHY</w:t>
      </w:r>
      <w:r w:rsidRPr="007C2D1F">
        <w:rPr>
          <w:rFonts w:cs="Arial"/>
          <w:b/>
          <w:bCs/>
          <w:szCs w:val="24"/>
        </w:rPr>
        <w:tab/>
      </w:r>
      <w:r w:rsidRPr="007C2D1F">
        <w:rPr>
          <w:rFonts w:cs="Arial"/>
          <w:szCs w:val="24"/>
        </w:rPr>
        <w:t>Fourth Respondent</w:t>
      </w:r>
    </w:p>
    <w:p w14:paraId="0181D07D" w14:textId="77777777" w:rsidR="0021342B" w:rsidRPr="007C2D1F" w:rsidRDefault="0021342B" w:rsidP="007B7916">
      <w:pPr>
        <w:spacing w:after="0" w:line="240" w:lineRule="auto"/>
        <w:ind w:left="2160" w:hanging="2160"/>
        <w:rPr>
          <w:rFonts w:ascii="Arial" w:eastAsia="Times New Roman" w:hAnsi="Arial" w:cs="Arial"/>
          <w:szCs w:val="24"/>
        </w:rPr>
      </w:pPr>
    </w:p>
    <w:p w14:paraId="236A4C71" w14:textId="77777777" w:rsidR="00273DF4" w:rsidRPr="007C2D1F" w:rsidRDefault="00273DF4" w:rsidP="00FF06E7">
      <w:pPr>
        <w:spacing w:after="0" w:line="240" w:lineRule="auto"/>
        <w:ind w:left="0"/>
        <w:rPr>
          <w:rFonts w:ascii="Arial" w:eastAsia="Times New Roman" w:hAnsi="Arial" w:cs="Arial"/>
          <w:szCs w:val="24"/>
        </w:rPr>
      </w:pPr>
      <w:r w:rsidRPr="007C2D1F">
        <w:rPr>
          <w:rFonts w:ascii="Arial" w:eastAsia="Times New Roman" w:hAnsi="Arial" w:cs="Arial"/>
          <w:szCs w:val="24"/>
        </w:rPr>
        <w:t>___________________________________________________________________</w:t>
      </w:r>
    </w:p>
    <w:p w14:paraId="40035947" w14:textId="77777777" w:rsidR="00273DF4" w:rsidRPr="007C2D1F" w:rsidRDefault="00273DF4" w:rsidP="00FF06E7">
      <w:pPr>
        <w:spacing w:after="0" w:line="240" w:lineRule="auto"/>
        <w:ind w:left="0"/>
        <w:jc w:val="center"/>
        <w:rPr>
          <w:rFonts w:ascii="Arial" w:eastAsia="Times New Roman" w:hAnsi="Arial" w:cs="Arial"/>
          <w:b/>
          <w:szCs w:val="24"/>
        </w:rPr>
      </w:pPr>
    </w:p>
    <w:p w14:paraId="5B84DB8C" w14:textId="5CA63BB6" w:rsidR="00273DF4" w:rsidRPr="007C2D1F" w:rsidRDefault="00273DF4" w:rsidP="00FF06E7">
      <w:pPr>
        <w:spacing w:after="0" w:line="240" w:lineRule="auto"/>
        <w:ind w:left="0"/>
        <w:jc w:val="center"/>
        <w:rPr>
          <w:rFonts w:ascii="Arial" w:eastAsia="Times New Roman" w:hAnsi="Arial" w:cs="Arial"/>
          <w:b/>
          <w:szCs w:val="24"/>
        </w:rPr>
      </w:pPr>
      <w:r w:rsidRPr="007C2D1F">
        <w:rPr>
          <w:rFonts w:ascii="Arial" w:eastAsia="Times New Roman" w:hAnsi="Arial" w:cs="Arial"/>
          <w:b/>
          <w:szCs w:val="24"/>
        </w:rPr>
        <w:t>JUDGMENT</w:t>
      </w:r>
    </w:p>
    <w:p w14:paraId="704D9912" w14:textId="6117465E" w:rsidR="006E5E01" w:rsidRPr="007C2D1F" w:rsidRDefault="00496A29" w:rsidP="00FF06E7">
      <w:pPr>
        <w:spacing w:after="0" w:line="240" w:lineRule="auto"/>
        <w:ind w:left="0"/>
        <w:jc w:val="center"/>
        <w:rPr>
          <w:rFonts w:ascii="Arial" w:eastAsia="Times New Roman" w:hAnsi="Arial" w:cs="Arial"/>
          <w:b/>
          <w:szCs w:val="24"/>
        </w:rPr>
      </w:pPr>
      <w:r w:rsidRPr="007C2D1F">
        <w:rPr>
          <w:rFonts w:ascii="Arial" w:eastAsia="Times New Roman" w:hAnsi="Arial" w:cs="Arial"/>
          <w:b/>
          <w:szCs w:val="24"/>
        </w:rPr>
        <w:t>(</w:t>
      </w:r>
      <w:r w:rsidR="006E5E01" w:rsidRPr="007C2D1F">
        <w:rPr>
          <w:rFonts w:ascii="Arial" w:eastAsia="Times New Roman" w:hAnsi="Arial" w:cs="Arial"/>
          <w:b/>
          <w:szCs w:val="24"/>
        </w:rPr>
        <w:t>LEAVE TO APPEAL</w:t>
      </w:r>
      <w:r w:rsidRPr="007C2D1F">
        <w:rPr>
          <w:rFonts w:ascii="Arial" w:eastAsia="Times New Roman" w:hAnsi="Arial" w:cs="Arial"/>
          <w:b/>
          <w:szCs w:val="24"/>
        </w:rPr>
        <w:t>)</w:t>
      </w:r>
    </w:p>
    <w:p w14:paraId="12E77323" w14:textId="77777777" w:rsidR="00273DF4" w:rsidRPr="007C2D1F" w:rsidRDefault="00273DF4" w:rsidP="00FF06E7">
      <w:pPr>
        <w:spacing w:after="0" w:line="240" w:lineRule="auto"/>
        <w:ind w:left="0"/>
        <w:rPr>
          <w:rFonts w:ascii="Arial" w:eastAsia="Times New Roman" w:hAnsi="Arial" w:cs="Arial"/>
          <w:szCs w:val="24"/>
        </w:rPr>
      </w:pPr>
      <w:r w:rsidRPr="007C2D1F">
        <w:rPr>
          <w:rFonts w:ascii="Arial" w:eastAsia="Times New Roman" w:hAnsi="Arial" w:cs="Arial"/>
          <w:szCs w:val="24"/>
        </w:rPr>
        <w:t>___________________________________________________________________</w:t>
      </w:r>
    </w:p>
    <w:p w14:paraId="5438C10F" w14:textId="77777777" w:rsidR="001A4766" w:rsidRPr="007C2D1F" w:rsidRDefault="001A4766" w:rsidP="00FF06E7">
      <w:pPr>
        <w:spacing w:after="0" w:line="240" w:lineRule="auto"/>
        <w:rPr>
          <w:rFonts w:ascii="Arial" w:hAnsi="Arial" w:cs="Arial"/>
          <w:b/>
          <w:bCs/>
          <w:w w:val="104"/>
          <w:szCs w:val="24"/>
          <w:u w:val="single"/>
          <w:lang w:val="en-GB"/>
        </w:rPr>
      </w:pPr>
    </w:p>
    <w:p w14:paraId="602147DA" w14:textId="4F6D2784" w:rsidR="002F699A" w:rsidRPr="007C2D1F" w:rsidRDefault="009A2335" w:rsidP="00FF06E7">
      <w:pPr>
        <w:spacing w:after="0" w:line="240" w:lineRule="auto"/>
        <w:rPr>
          <w:rFonts w:ascii="Arial" w:hAnsi="Arial" w:cs="Arial"/>
          <w:b/>
          <w:bCs/>
          <w:w w:val="104"/>
          <w:szCs w:val="24"/>
          <w:u w:val="single"/>
          <w:lang w:val="en-GB"/>
        </w:rPr>
      </w:pPr>
      <w:r w:rsidRPr="007C2D1F">
        <w:rPr>
          <w:rFonts w:ascii="Arial" w:hAnsi="Arial" w:cs="Arial"/>
          <w:b/>
          <w:bCs/>
          <w:w w:val="104"/>
          <w:szCs w:val="24"/>
          <w:u w:val="single"/>
          <w:lang w:val="en-GB"/>
        </w:rPr>
        <w:t>FRIEDMAN</w:t>
      </w:r>
      <w:r w:rsidR="00273DF4" w:rsidRPr="007C2D1F">
        <w:rPr>
          <w:rFonts w:ascii="Arial" w:hAnsi="Arial" w:cs="Arial"/>
          <w:b/>
          <w:bCs/>
          <w:w w:val="104"/>
          <w:szCs w:val="24"/>
          <w:u w:val="single"/>
          <w:lang w:val="en-GB"/>
        </w:rPr>
        <w:t xml:space="preserve"> AJ</w:t>
      </w:r>
    </w:p>
    <w:p w14:paraId="16AC0FE3" w14:textId="61EA282B" w:rsidR="006E5E01" w:rsidRPr="007C2D1F" w:rsidRDefault="006E5E01" w:rsidP="006E5E01">
      <w:pPr>
        <w:spacing w:after="0" w:line="276" w:lineRule="auto"/>
        <w:rPr>
          <w:rFonts w:ascii="Arial" w:hAnsi="Arial" w:cs="Arial"/>
          <w:b/>
          <w:bCs/>
          <w:w w:val="104"/>
          <w:szCs w:val="24"/>
          <w:u w:val="single"/>
          <w:lang w:val="en-GB"/>
        </w:rPr>
      </w:pPr>
    </w:p>
    <w:p w14:paraId="211AE398" w14:textId="5A2165CB"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[1]</w:t>
      </w:r>
      <w:r w:rsidRPr="007C2D1F">
        <w:rPr>
          <w:rFonts w:cs="Arial"/>
          <w:szCs w:val="24"/>
        </w:rPr>
        <w:tab/>
      </w:r>
      <w:r w:rsidR="00CA6BC0" w:rsidRPr="007C2D1F">
        <w:rPr>
          <w:rFonts w:cs="Arial"/>
          <w:szCs w:val="24"/>
        </w:rPr>
        <w:t>On 29 November 2022, I handed down judgment in an application brought by Absa Bank Ltd (“</w:t>
      </w:r>
      <w:r w:rsidR="00CA6BC0" w:rsidRPr="007C4BF5">
        <w:rPr>
          <w:rFonts w:cs="Arial"/>
          <w:b/>
          <w:bCs/>
          <w:szCs w:val="24"/>
        </w:rPr>
        <w:t>Absa</w:t>
      </w:r>
      <w:r w:rsidR="00CA6BC0" w:rsidRPr="007C2D1F">
        <w:rPr>
          <w:rFonts w:cs="Arial"/>
          <w:szCs w:val="24"/>
        </w:rPr>
        <w:t xml:space="preserve">”) to enforce </w:t>
      </w:r>
      <w:r w:rsidR="00B46D3C">
        <w:rPr>
          <w:rFonts w:cs="Arial"/>
          <w:szCs w:val="24"/>
        </w:rPr>
        <w:t xml:space="preserve">payment in terms of </w:t>
      </w:r>
      <w:r w:rsidR="00CA6BC0" w:rsidRPr="007C2D1F">
        <w:rPr>
          <w:rFonts w:cs="Arial"/>
          <w:szCs w:val="24"/>
        </w:rPr>
        <w:t xml:space="preserve">a credit agreement concluded </w:t>
      </w:r>
      <w:r w:rsidR="00B46D3C">
        <w:rPr>
          <w:rFonts w:cs="Arial"/>
          <w:szCs w:val="24"/>
        </w:rPr>
        <w:t>with</w:t>
      </w:r>
      <w:r w:rsidR="00CA6BC0" w:rsidRPr="007C2D1F">
        <w:rPr>
          <w:rFonts w:cs="Arial"/>
          <w:szCs w:val="24"/>
        </w:rPr>
        <w:t xml:space="preserve"> the applicants for leave to appeal (who, to retain consistency with my judgment on the merits, I shall describe below as “</w:t>
      </w:r>
      <w:r w:rsidR="00CA6BC0" w:rsidRPr="00C60F4B">
        <w:rPr>
          <w:rFonts w:cs="Arial"/>
          <w:b/>
          <w:bCs/>
          <w:szCs w:val="24"/>
        </w:rPr>
        <w:t>the respondents</w:t>
      </w:r>
      <w:r w:rsidR="00CA6BC0" w:rsidRPr="007C2D1F">
        <w:rPr>
          <w:rFonts w:cs="Arial"/>
          <w:szCs w:val="24"/>
        </w:rPr>
        <w:t xml:space="preserve">”) and to declare </w:t>
      </w:r>
      <w:r w:rsidR="00C06E27">
        <w:rPr>
          <w:rFonts w:cs="Arial"/>
          <w:szCs w:val="24"/>
        </w:rPr>
        <w:t xml:space="preserve">executable </w:t>
      </w:r>
      <w:r w:rsidR="00CA6BC0" w:rsidRPr="007C2D1F">
        <w:rPr>
          <w:rFonts w:cs="Arial"/>
          <w:szCs w:val="24"/>
        </w:rPr>
        <w:t xml:space="preserve">the immovable property which </w:t>
      </w:r>
      <w:r w:rsidR="00C60F4B">
        <w:rPr>
          <w:rFonts w:cs="Arial"/>
          <w:szCs w:val="24"/>
        </w:rPr>
        <w:t xml:space="preserve">was </w:t>
      </w:r>
      <w:r w:rsidR="00CA6BC0" w:rsidRPr="007C2D1F">
        <w:rPr>
          <w:rFonts w:cs="Arial"/>
          <w:szCs w:val="24"/>
        </w:rPr>
        <w:t>purchased with the credit advanced by Absa. In th</w:t>
      </w:r>
      <w:r w:rsidR="00B24297">
        <w:rPr>
          <w:rFonts w:cs="Arial"/>
          <w:szCs w:val="24"/>
        </w:rPr>
        <w:t>e</w:t>
      </w:r>
      <w:r w:rsidR="00CA6BC0" w:rsidRPr="007C2D1F">
        <w:rPr>
          <w:rFonts w:cs="Arial"/>
          <w:szCs w:val="24"/>
        </w:rPr>
        <w:t xml:space="preserve"> discussion below, I shall refer to my judgment in the original proceedings as “</w:t>
      </w:r>
      <w:r w:rsidR="00CA6BC0" w:rsidRPr="00C35236">
        <w:rPr>
          <w:rFonts w:cs="Arial"/>
          <w:b/>
          <w:bCs/>
          <w:szCs w:val="24"/>
        </w:rPr>
        <w:t>the merits judgme</w:t>
      </w:r>
      <w:r w:rsidR="00C06E27" w:rsidRPr="00C35236">
        <w:rPr>
          <w:rFonts w:cs="Arial"/>
          <w:b/>
          <w:bCs/>
          <w:szCs w:val="24"/>
        </w:rPr>
        <w:t>n</w:t>
      </w:r>
      <w:r w:rsidR="00CA6BC0" w:rsidRPr="00C35236">
        <w:rPr>
          <w:rFonts w:cs="Arial"/>
          <w:b/>
          <w:bCs/>
          <w:szCs w:val="24"/>
        </w:rPr>
        <w:t>t</w:t>
      </w:r>
      <w:r w:rsidR="00CA6BC0" w:rsidRPr="007C2D1F">
        <w:rPr>
          <w:rFonts w:cs="Arial"/>
          <w:szCs w:val="24"/>
        </w:rPr>
        <w:t>” and all relevant papers and issues relevant to the original proceedings as “</w:t>
      </w:r>
      <w:r w:rsidR="00CA6BC0" w:rsidRPr="00C35236">
        <w:rPr>
          <w:rFonts w:cs="Arial"/>
          <w:b/>
          <w:bCs/>
          <w:szCs w:val="24"/>
        </w:rPr>
        <w:t>the merits founding affidavit</w:t>
      </w:r>
      <w:r w:rsidR="00CA6BC0" w:rsidRPr="007C2D1F">
        <w:rPr>
          <w:rFonts w:cs="Arial"/>
          <w:szCs w:val="24"/>
        </w:rPr>
        <w:t>”, the “</w:t>
      </w:r>
      <w:r w:rsidR="00CA6BC0" w:rsidRPr="00C35236">
        <w:rPr>
          <w:rFonts w:cs="Arial"/>
          <w:b/>
          <w:bCs/>
          <w:szCs w:val="24"/>
        </w:rPr>
        <w:t>merits answering affidavit</w:t>
      </w:r>
      <w:r w:rsidR="00CA6BC0" w:rsidRPr="007C2D1F">
        <w:rPr>
          <w:rFonts w:cs="Arial"/>
          <w:szCs w:val="24"/>
        </w:rPr>
        <w:t>”, “</w:t>
      </w:r>
      <w:r w:rsidR="00CA6BC0" w:rsidRPr="00C35236">
        <w:rPr>
          <w:rFonts w:cs="Arial"/>
          <w:b/>
          <w:bCs/>
          <w:szCs w:val="24"/>
        </w:rPr>
        <w:t>the merits proceedings</w:t>
      </w:r>
      <w:r w:rsidR="00CA6BC0" w:rsidRPr="007C2D1F">
        <w:rPr>
          <w:rFonts w:cs="Arial"/>
          <w:szCs w:val="24"/>
        </w:rPr>
        <w:t>” and so on.</w:t>
      </w:r>
    </w:p>
    <w:p w14:paraId="1F9A063A" w14:textId="7933FA97"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[2]</w:t>
      </w:r>
      <w:r w:rsidRPr="007C2D1F">
        <w:rPr>
          <w:rFonts w:cs="Arial"/>
          <w:szCs w:val="24"/>
        </w:rPr>
        <w:tab/>
      </w:r>
      <w:r w:rsidR="00CA6BC0" w:rsidRPr="007C2D1F">
        <w:rPr>
          <w:rFonts w:cs="Arial"/>
          <w:szCs w:val="24"/>
        </w:rPr>
        <w:t>I do not intend to repeat anything said in the merits judgment here. This judgment should be read together with that one and the discussion below assumes familiarity with the merits judgment.</w:t>
      </w:r>
    </w:p>
    <w:p w14:paraId="72EDA7E6" w14:textId="77777777" w:rsidR="00CA6BC0" w:rsidRPr="007C2D1F" w:rsidRDefault="00CA6BC0" w:rsidP="001B09CE">
      <w:pPr>
        <w:pStyle w:val="Heading1"/>
        <w:spacing w:line="276" w:lineRule="auto"/>
        <w:ind w:left="709" w:hanging="709"/>
        <w:rPr>
          <w:rFonts w:cs="Arial"/>
          <w:szCs w:val="24"/>
        </w:rPr>
      </w:pPr>
      <w:r w:rsidRPr="007C2D1F">
        <w:rPr>
          <w:rFonts w:cs="Arial"/>
          <w:szCs w:val="24"/>
        </w:rPr>
        <w:t>APPEARANCE BY THE RESPONDENTS</w:t>
      </w:r>
    </w:p>
    <w:p w14:paraId="224F11AD" w14:textId="6835F63A"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[3]</w:t>
      </w:r>
      <w:r w:rsidRPr="007C2D1F">
        <w:rPr>
          <w:rFonts w:cs="Arial"/>
          <w:szCs w:val="24"/>
        </w:rPr>
        <w:tab/>
      </w:r>
      <w:r w:rsidR="00CA6BC0" w:rsidRPr="007C2D1F">
        <w:rPr>
          <w:rFonts w:cs="Arial"/>
          <w:szCs w:val="24"/>
        </w:rPr>
        <w:t xml:space="preserve">This application for leave to appeal has taken close to 18 months to be </w:t>
      </w:r>
      <w:r w:rsidR="00ED06AF">
        <w:rPr>
          <w:rFonts w:cs="Arial"/>
          <w:szCs w:val="24"/>
        </w:rPr>
        <w:t>heard</w:t>
      </w:r>
      <w:r w:rsidR="00CA6BC0" w:rsidRPr="007C2D1F">
        <w:rPr>
          <w:rFonts w:cs="Arial"/>
          <w:szCs w:val="24"/>
        </w:rPr>
        <w:t xml:space="preserve">. As far as I can see from previous correspondence, it was scheduled to be heard in around June or July 2023, but was removed from the roll. </w:t>
      </w:r>
      <w:r w:rsidR="00CA6BC0" w:rsidRPr="00DF193B">
        <w:rPr>
          <w:rFonts w:cs="Arial"/>
          <w:i/>
          <w:iCs/>
          <w:szCs w:val="24"/>
        </w:rPr>
        <w:t>Ms Acker</w:t>
      </w:r>
      <w:r w:rsidR="00CA6BC0" w:rsidRPr="007C2D1F">
        <w:rPr>
          <w:rFonts w:cs="Arial"/>
          <w:szCs w:val="24"/>
        </w:rPr>
        <w:t>, who appeared for Absa (as she did in the merits proceedings)</w:t>
      </w:r>
      <w:r w:rsidR="007B7023">
        <w:rPr>
          <w:rFonts w:cs="Arial"/>
          <w:szCs w:val="24"/>
        </w:rPr>
        <w:t>,</w:t>
      </w:r>
      <w:r w:rsidR="00CA6BC0" w:rsidRPr="007C2D1F">
        <w:rPr>
          <w:rFonts w:cs="Arial"/>
          <w:szCs w:val="24"/>
        </w:rPr>
        <w:t xml:space="preserve"> informed me that Absa has made multiple efforts to have this application for leave to appeal heard</w:t>
      </w:r>
      <w:r w:rsidR="00753C25">
        <w:rPr>
          <w:rFonts w:cs="Arial"/>
          <w:szCs w:val="24"/>
        </w:rPr>
        <w:t xml:space="preserve"> because the respondents failed to take the necessary steps to set it down</w:t>
      </w:r>
      <w:r w:rsidR="00CA6BC0" w:rsidRPr="007C2D1F">
        <w:rPr>
          <w:rFonts w:cs="Arial"/>
          <w:szCs w:val="24"/>
        </w:rPr>
        <w:t>.</w:t>
      </w:r>
    </w:p>
    <w:p w14:paraId="4E65DBB6" w14:textId="456253CF"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lastRenderedPageBreak/>
        <w:t>[4]</w:t>
      </w:r>
      <w:r w:rsidRPr="007C2D1F">
        <w:rPr>
          <w:rFonts w:cs="Arial"/>
          <w:szCs w:val="24"/>
        </w:rPr>
        <w:tab/>
      </w:r>
      <w:r w:rsidR="00CA6BC0" w:rsidRPr="007C2D1F">
        <w:rPr>
          <w:rFonts w:cs="Arial"/>
          <w:szCs w:val="24"/>
        </w:rPr>
        <w:t xml:space="preserve">When the matter began at 9h30 on the date reflected in the </w:t>
      </w:r>
      <w:r w:rsidR="00753C25">
        <w:rPr>
          <w:rFonts w:cs="Arial"/>
          <w:szCs w:val="24"/>
        </w:rPr>
        <w:t xml:space="preserve">notice of </w:t>
      </w:r>
      <w:r w:rsidR="00CA6BC0" w:rsidRPr="007C2D1F">
        <w:rPr>
          <w:rFonts w:cs="Arial"/>
          <w:szCs w:val="24"/>
        </w:rPr>
        <w:t>set down (8 April 2024), there was no appearance for the respondents. The Registrar made efforts to locate them and</w:t>
      </w:r>
      <w:r w:rsidR="00274FF1">
        <w:rPr>
          <w:rFonts w:cs="Arial"/>
          <w:szCs w:val="24"/>
        </w:rPr>
        <w:t>,</w:t>
      </w:r>
      <w:r w:rsidR="00CA6BC0" w:rsidRPr="007C2D1F">
        <w:rPr>
          <w:rFonts w:cs="Arial"/>
          <w:szCs w:val="24"/>
        </w:rPr>
        <w:t xml:space="preserve"> in due course</w:t>
      </w:r>
      <w:r w:rsidR="00274FF1">
        <w:rPr>
          <w:rFonts w:cs="Arial"/>
          <w:szCs w:val="24"/>
        </w:rPr>
        <w:t>,</w:t>
      </w:r>
      <w:r w:rsidR="00CA6BC0" w:rsidRPr="007C2D1F">
        <w:rPr>
          <w:rFonts w:cs="Arial"/>
          <w:szCs w:val="24"/>
        </w:rPr>
        <w:t xml:space="preserve"> the respondents</w:t>
      </w:r>
      <w:r w:rsidR="00F739FC">
        <w:rPr>
          <w:rFonts w:cs="Arial"/>
          <w:szCs w:val="24"/>
        </w:rPr>
        <w:t>’</w:t>
      </w:r>
      <w:r w:rsidR="00CA6BC0" w:rsidRPr="007C2D1F">
        <w:rPr>
          <w:rFonts w:cs="Arial"/>
          <w:szCs w:val="24"/>
        </w:rPr>
        <w:t xml:space="preserve"> attorney, </w:t>
      </w:r>
      <w:r w:rsidR="00CA6BC0" w:rsidRPr="00917508">
        <w:rPr>
          <w:rFonts w:cs="Arial"/>
          <w:i/>
          <w:iCs/>
          <w:szCs w:val="24"/>
        </w:rPr>
        <w:t>Mr Raphela</w:t>
      </w:r>
      <w:r w:rsidR="00CA6BC0" w:rsidRPr="007C2D1F">
        <w:rPr>
          <w:rFonts w:cs="Arial"/>
          <w:szCs w:val="24"/>
        </w:rPr>
        <w:t xml:space="preserve">, appeared. He informed me that, despite the notice of the hearing </w:t>
      </w:r>
      <w:r w:rsidR="00274FF1">
        <w:rPr>
          <w:rFonts w:cs="Arial"/>
          <w:szCs w:val="24"/>
        </w:rPr>
        <w:t>having been</w:t>
      </w:r>
      <w:r w:rsidR="00CA6BC0" w:rsidRPr="007C2D1F">
        <w:rPr>
          <w:rFonts w:cs="Arial"/>
          <w:szCs w:val="24"/>
        </w:rPr>
        <w:t xml:space="preserve"> sent to the same email addresses (two of them) used by </w:t>
      </w:r>
      <w:r w:rsidR="00F739FC">
        <w:rPr>
          <w:rFonts w:cs="Arial"/>
          <w:szCs w:val="24"/>
        </w:rPr>
        <w:t>his firm since they came on record in this matter</w:t>
      </w:r>
      <w:r w:rsidR="00CA6BC0" w:rsidRPr="007C2D1F">
        <w:rPr>
          <w:rFonts w:cs="Arial"/>
          <w:szCs w:val="24"/>
        </w:rPr>
        <w:t xml:space="preserve">, nobody at his firm received them. </w:t>
      </w:r>
      <w:r w:rsidR="00D76876">
        <w:rPr>
          <w:rFonts w:cs="Arial"/>
          <w:szCs w:val="24"/>
        </w:rPr>
        <w:t xml:space="preserve">Email correspondence is now the default method of communication used by the Registrars of this Court to communicate with parties. </w:t>
      </w:r>
      <w:r w:rsidR="00EB3043">
        <w:rPr>
          <w:rFonts w:cs="Arial"/>
          <w:szCs w:val="24"/>
        </w:rPr>
        <w:t>The email addresse</w:t>
      </w:r>
      <w:r w:rsidR="00C45C44">
        <w:rPr>
          <w:rFonts w:cs="Arial"/>
          <w:szCs w:val="24"/>
        </w:rPr>
        <w:t>s</w:t>
      </w:r>
      <w:r w:rsidR="00EB3043">
        <w:rPr>
          <w:rFonts w:cs="Arial"/>
          <w:szCs w:val="24"/>
        </w:rPr>
        <w:t xml:space="preserve"> used by the Registrar to inform the parties of the hearing date and time are the same addresses provided by Mr Raphela’s firm in its notice of appointment </w:t>
      </w:r>
      <w:r w:rsidR="00644649">
        <w:rPr>
          <w:rFonts w:cs="Arial"/>
          <w:szCs w:val="24"/>
        </w:rPr>
        <w:t>dated 21 June 2023.</w:t>
      </w:r>
      <w:r w:rsidR="00C45C44">
        <w:rPr>
          <w:rFonts w:cs="Arial"/>
          <w:szCs w:val="24"/>
        </w:rPr>
        <w:t xml:space="preserve"> I was informed both by the Registrar and the legal representatives of Absa that one or both of these addresses had previously been successfully used to communicate with Mr Raphela’s firm. </w:t>
      </w:r>
      <w:r w:rsidR="00C45C44" w:rsidRPr="007C2D1F">
        <w:rPr>
          <w:rFonts w:cs="Arial"/>
          <w:szCs w:val="24"/>
        </w:rPr>
        <w:t>I</w:t>
      </w:r>
      <w:r w:rsidR="00C45C44">
        <w:rPr>
          <w:rFonts w:cs="Arial"/>
          <w:szCs w:val="24"/>
        </w:rPr>
        <w:t>n these circumstances, I</w:t>
      </w:r>
      <w:r w:rsidR="00C45C44" w:rsidRPr="007C2D1F">
        <w:rPr>
          <w:rFonts w:cs="Arial"/>
          <w:szCs w:val="24"/>
        </w:rPr>
        <w:t xml:space="preserve"> informed </w:t>
      </w:r>
      <w:r w:rsidR="00C45C44" w:rsidRPr="00BA1612">
        <w:rPr>
          <w:rFonts w:cs="Arial"/>
          <w:i/>
          <w:iCs/>
          <w:szCs w:val="24"/>
        </w:rPr>
        <w:t>Mr Raphela</w:t>
      </w:r>
      <w:r w:rsidR="00C45C44" w:rsidRPr="007C2D1F">
        <w:rPr>
          <w:rFonts w:cs="Arial"/>
          <w:szCs w:val="24"/>
        </w:rPr>
        <w:t xml:space="preserve"> that I had no </w:t>
      </w:r>
      <w:r w:rsidR="00F50908">
        <w:rPr>
          <w:rFonts w:cs="Arial"/>
          <w:szCs w:val="24"/>
        </w:rPr>
        <w:t>reason</w:t>
      </w:r>
      <w:r w:rsidR="00C45C44" w:rsidRPr="007C2D1F">
        <w:rPr>
          <w:rFonts w:cs="Arial"/>
          <w:szCs w:val="24"/>
        </w:rPr>
        <w:t xml:space="preserve"> to disbelieve him when he said that he did not receive notice</w:t>
      </w:r>
      <w:r w:rsidR="00C45C44">
        <w:rPr>
          <w:rFonts w:cs="Arial"/>
          <w:szCs w:val="24"/>
        </w:rPr>
        <w:t xml:space="preserve"> of the hearing</w:t>
      </w:r>
      <w:r w:rsidR="00C45C44" w:rsidRPr="007C2D1F">
        <w:rPr>
          <w:rFonts w:cs="Arial"/>
          <w:szCs w:val="24"/>
        </w:rPr>
        <w:t xml:space="preserve">, but that I would have to proceed on the basis that the </w:t>
      </w:r>
      <w:r w:rsidR="00C45C44">
        <w:rPr>
          <w:rFonts w:cs="Arial"/>
          <w:szCs w:val="24"/>
        </w:rPr>
        <w:t xml:space="preserve">hearing date </w:t>
      </w:r>
      <w:r w:rsidR="00C45C44" w:rsidRPr="007C2D1F">
        <w:rPr>
          <w:rFonts w:cs="Arial"/>
          <w:szCs w:val="24"/>
        </w:rPr>
        <w:t>was properly brought to the respondents’ attention.</w:t>
      </w:r>
    </w:p>
    <w:p w14:paraId="55C04737" w14:textId="6249D44C" w:rsidR="00950B41" w:rsidRDefault="003578B4" w:rsidP="003578B4">
      <w:pPr>
        <w:pStyle w:val="WLGLevel1"/>
        <w:numPr>
          <w:ilvl w:val="0"/>
          <w:numId w:val="0"/>
        </w:numPr>
        <w:spacing w:line="276" w:lineRule="auto"/>
        <w:ind w:left="709" w:hanging="709"/>
        <w:rPr>
          <w:rFonts w:cs="Arial"/>
          <w:szCs w:val="24"/>
        </w:rPr>
      </w:pPr>
      <w:r>
        <w:rPr>
          <w:rFonts w:cs="Arial"/>
          <w:szCs w:val="24"/>
        </w:rPr>
        <w:t>[5]</w:t>
      </w:r>
      <w:r>
        <w:rPr>
          <w:rFonts w:cs="Arial"/>
          <w:szCs w:val="24"/>
        </w:rPr>
        <w:tab/>
      </w:r>
      <w:r w:rsidR="00CA6BC0" w:rsidRPr="007C2D1F">
        <w:rPr>
          <w:rFonts w:cs="Arial"/>
          <w:szCs w:val="24"/>
        </w:rPr>
        <w:t xml:space="preserve">I have to acknowledge, and make no apology for doing so, that I was influenced in my desire to bring finality to this matter by my view, which I shared with </w:t>
      </w:r>
      <w:r w:rsidR="00CA6BC0" w:rsidRPr="00BA1612">
        <w:rPr>
          <w:rFonts w:cs="Arial"/>
          <w:i/>
          <w:iCs/>
          <w:szCs w:val="24"/>
        </w:rPr>
        <w:t>Mr Raphela</w:t>
      </w:r>
      <w:r w:rsidR="00CA6BC0" w:rsidRPr="007C2D1F">
        <w:rPr>
          <w:rFonts w:cs="Arial"/>
          <w:szCs w:val="24"/>
        </w:rPr>
        <w:t xml:space="preserve">, that the application for leave to appeal, as reflected in the notice filed by the respondents on 15 December 2022, bears no prospects of success. </w:t>
      </w:r>
      <w:r w:rsidR="00950B41">
        <w:rPr>
          <w:rFonts w:cs="Arial"/>
          <w:szCs w:val="24"/>
        </w:rPr>
        <w:t xml:space="preserve">I should emphasise that I would not have been willing to proceed with the hearing had I been in any doubt that the respondents were given proper notice. However, </w:t>
      </w:r>
      <w:r w:rsidR="00F144B8">
        <w:rPr>
          <w:rFonts w:cs="Arial"/>
          <w:szCs w:val="24"/>
        </w:rPr>
        <w:t>since I ha</w:t>
      </w:r>
      <w:r w:rsidR="0082396C">
        <w:rPr>
          <w:rFonts w:cs="Arial"/>
          <w:szCs w:val="24"/>
        </w:rPr>
        <w:t>d</w:t>
      </w:r>
      <w:r w:rsidR="00F144B8">
        <w:rPr>
          <w:rFonts w:cs="Arial"/>
          <w:szCs w:val="24"/>
        </w:rPr>
        <w:t xml:space="preserve"> no doubt, and since this matter </w:t>
      </w:r>
      <w:r w:rsidR="00842075">
        <w:rPr>
          <w:rFonts w:cs="Arial"/>
          <w:szCs w:val="24"/>
        </w:rPr>
        <w:t>demands</w:t>
      </w:r>
      <w:r w:rsidR="00F144B8">
        <w:rPr>
          <w:rFonts w:cs="Arial"/>
          <w:szCs w:val="24"/>
        </w:rPr>
        <w:t xml:space="preserve"> finality, I considered it to be essential to proceed.</w:t>
      </w:r>
    </w:p>
    <w:p w14:paraId="34AAA1FF" w14:textId="0166DD70"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[6]</w:t>
      </w:r>
      <w:r w:rsidRPr="007C2D1F">
        <w:rPr>
          <w:rFonts w:cs="Arial"/>
          <w:szCs w:val="24"/>
        </w:rPr>
        <w:tab/>
      </w:r>
      <w:r w:rsidR="00CA6BC0" w:rsidRPr="00C52984">
        <w:rPr>
          <w:rFonts w:cs="Arial"/>
          <w:i/>
          <w:iCs/>
          <w:szCs w:val="24"/>
        </w:rPr>
        <w:t>Mr Raphela</w:t>
      </w:r>
      <w:r w:rsidR="00CA6BC0" w:rsidRPr="007C2D1F">
        <w:rPr>
          <w:rFonts w:cs="Arial"/>
          <w:szCs w:val="24"/>
        </w:rPr>
        <w:t>, quite fairly, did not dispute that, given that the notice had been properly brought to the respondents’ attention (even if they say that, as a matter of fact, they did not receive it)</w:t>
      </w:r>
      <w:r w:rsidR="00F144B8">
        <w:rPr>
          <w:rFonts w:cs="Arial"/>
          <w:szCs w:val="24"/>
        </w:rPr>
        <w:t>,</w:t>
      </w:r>
      <w:r w:rsidR="00CA6BC0" w:rsidRPr="007C2D1F">
        <w:rPr>
          <w:rFonts w:cs="Arial"/>
          <w:szCs w:val="24"/>
        </w:rPr>
        <w:t xml:space="preserve"> it would be appropriate for me to proceed to determine the matter. </w:t>
      </w:r>
      <w:r w:rsidR="00AF7851">
        <w:rPr>
          <w:rFonts w:cs="Arial"/>
          <w:szCs w:val="24"/>
        </w:rPr>
        <w:t>He placed the relevant facts (relating to the respondents’ claim that they did not receive notice of the hearing)</w:t>
      </w:r>
      <w:r w:rsidR="00842075">
        <w:rPr>
          <w:rFonts w:cs="Arial"/>
          <w:szCs w:val="24"/>
        </w:rPr>
        <w:t xml:space="preserve"> before Court</w:t>
      </w:r>
      <w:r w:rsidR="00AF7851">
        <w:rPr>
          <w:rFonts w:cs="Arial"/>
          <w:szCs w:val="24"/>
        </w:rPr>
        <w:t xml:space="preserve">, but then left it at that. </w:t>
      </w:r>
      <w:r w:rsidR="00CA6BC0" w:rsidRPr="007C2D1F">
        <w:rPr>
          <w:rFonts w:cs="Arial"/>
          <w:szCs w:val="24"/>
        </w:rPr>
        <w:t>I informed the parties that I intended to give a brief judgment dealing with each of the grounds on which the application for leave to appeal is based</w:t>
      </w:r>
      <w:r w:rsidR="007713B3">
        <w:rPr>
          <w:rFonts w:cs="Arial"/>
          <w:szCs w:val="24"/>
        </w:rPr>
        <w:t xml:space="preserve"> as reflected in the notice of application for leave to appeal</w:t>
      </w:r>
      <w:r w:rsidR="00CA6BC0" w:rsidRPr="007C2D1F">
        <w:rPr>
          <w:rFonts w:cs="Arial"/>
          <w:szCs w:val="24"/>
        </w:rPr>
        <w:t xml:space="preserve">. I undertook to explain, as I attempt to do below, my reasons for concluding that an appeal would bear no prospects of success. </w:t>
      </w:r>
      <w:r w:rsidR="00CA6BC0" w:rsidRPr="00967F1F">
        <w:rPr>
          <w:rFonts w:cs="Arial"/>
          <w:i/>
          <w:iCs/>
          <w:szCs w:val="24"/>
        </w:rPr>
        <w:t>Mr Raphela</w:t>
      </w:r>
      <w:r w:rsidR="00CA6BC0" w:rsidRPr="007C2D1F">
        <w:rPr>
          <w:rFonts w:cs="Arial"/>
          <w:szCs w:val="24"/>
        </w:rPr>
        <w:t xml:space="preserve"> accepted this, and undertook to inform his clients of the outcome in due course. I am grateful to him for making the effort to join the hearing and for adopting a sensible approach in the circumstances.</w:t>
      </w:r>
    </w:p>
    <w:p w14:paraId="1115750D" w14:textId="77777777" w:rsidR="00CA6BC0" w:rsidRPr="007C2D1F" w:rsidRDefault="00CA6BC0" w:rsidP="001B09CE">
      <w:pPr>
        <w:spacing w:line="276" w:lineRule="auto"/>
        <w:ind w:left="709" w:hanging="709"/>
        <w:rPr>
          <w:rFonts w:ascii="Arial" w:hAnsi="Arial" w:cs="Arial"/>
          <w:szCs w:val="24"/>
        </w:rPr>
      </w:pPr>
    </w:p>
    <w:p w14:paraId="069526BD" w14:textId="77777777" w:rsidR="00B727A7" w:rsidRDefault="00B727A7" w:rsidP="001B09CE">
      <w:pPr>
        <w:pStyle w:val="Heading1"/>
        <w:spacing w:line="276" w:lineRule="auto"/>
        <w:ind w:left="709" w:hanging="709"/>
        <w:rPr>
          <w:rFonts w:cs="Arial"/>
          <w:szCs w:val="24"/>
        </w:rPr>
      </w:pPr>
    </w:p>
    <w:p w14:paraId="709D4E8B" w14:textId="77777777" w:rsidR="00967F1F" w:rsidRDefault="00967F1F" w:rsidP="001B09CE">
      <w:pPr>
        <w:pStyle w:val="Heading1"/>
        <w:spacing w:line="276" w:lineRule="auto"/>
        <w:ind w:left="709" w:hanging="709"/>
        <w:rPr>
          <w:rFonts w:cs="Arial"/>
          <w:szCs w:val="24"/>
        </w:rPr>
      </w:pPr>
    </w:p>
    <w:p w14:paraId="7F383D26" w14:textId="1C407A37" w:rsidR="00CA6BC0" w:rsidRPr="007C2D1F" w:rsidRDefault="00CA6BC0" w:rsidP="001B09CE">
      <w:pPr>
        <w:pStyle w:val="Heading1"/>
        <w:spacing w:line="276" w:lineRule="auto"/>
        <w:ind w:left="709" w:hanging="709"/>
        <w:rPr>
          <w:rFonts w:cs="Arial"/>
          <w:szCs w:val="24"/>
        </w:rPr>
      </w:pPr>
      <w:r w:rsidRPr="007C2D1F">
        <w:rPr>
          <w:rFonts w:cs="Arial"/>
          <w:szCs w:val="24"/>
        </w:rPr>
        <w:lastRenderedPageBreak/>
        <w:t>ABSA’S HEADS OF ARGUMENT</w:t>
      </w:r>
    </w:p>
    <w:p w14:paraId="2B8EDB4F" w14:textId="51CB5ACA"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[7]</w:t>
      </w:r>
      <w:r w:rsidRPr="007C2D1F">
        <w:rPr>
          <w:rFonts w:cs="Arial"/>
          <w:szCs w:val="24"/>
        </w:rPr>
        <w:tab/>
      </w:r>
      <w:r w:rsidR="00CA6BC0" w:rsidRPr="007C2D1F">
        <w:rPr>
          <w:rFonts w:cs="Arial"/>
          <w:szCs w:val="24"/>
        </w:rPr>
        <w:t xml:space="preserve">In the hearing of the application for leave to appeal, </w:t>
      </w:r>
      <w:r w:rsidR="00CA6BC0" w:rsidRPr="007713B3">
        <w:rPr>
          <w:rFonts w:cs="Arial"/>
          <w:i/>
          <w:iCs/>
          <w:szCs w:val="24"/>
        </w:rPr>
        <w:t>Ms Acker</w:t>
      </w:r>
      <w:r w:rsidR="00CA6BC0" w:rsidRPr="007C2D1F">
        <w:rPr>
          <w:rFonts w:cs="Arial"/>
          <w:szCs w:val="24"/>
        </w:rPr>
        <w:t xml:space="preserve"> alerted me to the fact that she had uploaded heads of argument to Caselines. I confessed that, in my preparation, I had overlooked them. I have considered them </w:t>
      </w:r>
      <w:r w:rsidR="005A47D3">
        <w:rPr>
          <w:rFonts w:cs="Arial"/>
          <w:szCs w:val="24"/>
        </w:rPr>
        <w:t>as part of formulating</w:t>
      </w:r>
      <w:r w:rsidR="00CA6BC0" w:rsidRPr="007C2D1F">
        <w:rPr>
          <w:rFonts w:cs="Arial"/>
          <w:szCs w:val="24"/>
        </w:rPr>
        <w:t xml:space="preserve"> this judgment, and I am grateful to her for having taken the effort to assist me by providing them.</w:t>
      </w:r>
    </w:p>
    <w:p w14:paraId="22802CF5" w14:textId="77777777" w:rsidR="00CA6BC0" w:rsidRPr="007C2D1F" w:rsidRDefault="00CA6BC0" w:rsidP="001B09CE">
      <w:pPr>
        <w:pStyle w:val="Heading1"/>
        <w:spacing w:line="276" w:lineRule="auto"/>
        <w:ind w:left="709" w:hanging="709"/>
        <w:rPr>
          <w:rFonts w:cs="Arial"/>
          <w:szCs w:val="24"/>
        </w:rPr>
      </w:pPr>
      <w:r w:rsidRPr="007C2D1F">
        <w:rPr>
          <w:rFonts w:cs="Arial"/>
          <w:szCs w:val="24"/>
        </w:rPr>
        <w:t>THE GROUNDS</w:t>
      </w:r>
    </w:p>
    <w:p w14:paraId="2A4982E1" w14:textId="54C62D79"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[8]</w:t>
      </w:r>
      <w:r w:rsidRPr="007C2D1F">
        <w:rPr>
          <w:rFonts w:cs="Arial"/>
          <w:szCs w:val="24"/>
        </w:rPr>
        <w:tab/>
      </w:r>
      <w:r w:rsidR="00CA6BC0" w:rsidRPr="007C2D1F">
        <w:rPr>
          <w:rFonts w:cs="Arial"/>
          <w:szCs w:val="24"/>
        </w:rPr>
        <w:t>The grounds in the application for leave to appeal are the following (I summarise robustly, to avoid repetition):</w:t>
      </w:r>
    </w:p>
    <w:p w14:paraId="612EBD57" w14:textId="38E8C479" w:rsidR="00CA6BC0" w:rsidRPr="007C2D1F" w:rsidRDefault="003578B4" w:rsidP="003578B4">
      <w:pPr>
        <w:pStyle w:val="WLGLevel2"/>
        <w:numPr>
          <w:ilvl w:val="0"/>
          <w:numId w:val="0"/>
        </w:numPr>
        <w:spacing w:line="276" w:lineRule="auto"/>
        <w:ind w:left="709" w:hanging="709"/>
        <w:rPr>
          <w:rFonts w:cs="Arial"/>
          <w:szCs w:val="24"/>
        </w:rPr>
      </w:pPr>
      <w:r w:rsidRPr="007C2D1F">
        <w:rPr>
          <w:rFonts w:cs="Arial"/>
          <w:szCs w:val="24"/>
        </w:rPr>
        <w:t>8.1.</w:t>
      </w:r>
      <w:r w:rsidRPr="007C2D1F">
        <w:rPr>
          <w:rFonts w:cs="Arial"/>
          <w:szCs w:val="24"/>
        </w:rPr>
        <w:tab/>
      </w:r>
      <w:r w:rsidR="00CA6BC0" w:rsidRPr="007C2D1F">
        <w:rPr>
          <w:rFonts w:cs="Arial"/>
          <w:szCs w:val="24"/>
        </w:rPr>
        <w:t xml:space="preserve">I did not apply rules 46 and 46A of this Court’s rules (relating to execution against immovable property) </w:t>
      </w:r>
      <w:r w:rsidR="005A47D3">
        <w:rPr>
          <w:rFonts w:cs="Arial"/>
          <w:szCs w:val="24"/>
        </w:rPr>
        <w:t xml:space="preserve">correctly, </w:t>
      </w:r>
      <w:r w:rsidR="00CA6BC0" w:rsidRPr="007C2D1F">
        <w:rPr>
          <w:rFonts w:cs="Arial"/>
          <w:szCs w:val="24"/>
        </w:rPr>
        <w:t>primarily for failing to set a reserve price (but also, if I understand correctly, for letting Absa get away with non-compliance with these rules).</w:t>
      </w:r>
    </w:p>
    <w:p w14:paraId="59229702" w14:textId="622ECFDA" w:rsidR="00CA6BC0" w:rsidRPr="007C2D1F" w:rsidRDefault="003578B4" w:rsidP="003578B4">
      <w:pPr>
        <w:pStyle w:val="WLGLevel2"/>
        <w:numPr>
          <w:ilvl w:val="0"/>
          <w:numId w:val="0"/>
        </w:numPr>
        <w:spacing w:line="276" w:lineRule="auto"/>
        <w:ind w:left="709" w:hanging="709"/>
        <w:rPr>
          <w:rFonts w:cs="Arial"/>
          <w:szCs w:val="24"/>
        </w:rPr>
      </w:pPr>
      <w:r w:rsidRPr="007C2D1F">
        <w:rPr>
          <w:rFonts w:cs="Arial"/>
          <w:szCs w:val="24"/>
        </w:rPr>
        <w:t>8.2.</w:t>
      </w:r>
      <w:r w:rsidRPr="007C2D1F">
        <w:rPr>
          <w:rFonts w:cs="Arial"/>
          <w:szCs w:val="24"/>
        </w:rPr>
        <w:tab/>
      </w:r>
      <w:r w:rsidR="00CA6BC0" w:rsidRPr="007C2D1F">
        <w:rPr>
          <w:rFonts w:cs="Arial"/>
          <w:szCs w:val="24"/>
        </w:rPr>
        <w:t xml:space="preserve">I failed to make a finding in terms of section 83 of the National Credit Act 34 of 2005 </w:t>
      </w:r>
      <w:r w:rsidR="00164B4D">
        <w:rPr>
          <w:rFonts w:cs="Arial"/>
          <w:szCs w:val="24"/>
        </w:rPr>
        <w:t>(“</w:t>
      </w:r>
      <w:r w:rsidR="00164B4D" w:rsidRPr="00164B4D">
        <w:rPr>
          <w:rFonts w:cs="Arial"/>
          <w:b/>
          <w:bCs/>
          <w:szCs w:val="24"/>
        </w:rPr>
        <w:t>the National Credit Act</w:t>
      </w:r>
      <w:r w:rsidR="00164B4D">
        <w:rPr>
          <w:rFonts w:cs="Arial"/>
          <w:szCs w:val="24"/>
        </w:rPr>
        <w:t xml:space="preserve">”) </w:t>
      </w:r>
      <w:r w:rsidR="00CA6BC0" w:rsidRPr="007C2D1F">
        <w:rPr>
          <w:rFonts w:cs="Arial"/>
          <w:szCs w:val="24"/>
        </w:rPr>
        <w:t>that the credit agreement was reckless credit.</w:t>
      </w:r>
    </w:p>
    <w:p w14:paraId="1F0810DA" w14:textId="5C91D896" w:rsidR="00CA6BC0" w:rsidRPr="007C2D1F" w:rsidRDefault="003578B4" w:rsidP="003578B4">
      <w:pPr>
        <w:pStyle w:val="WLGLevel2"/>
        <w:numPr>
          <w:ilvl w:val="0"/>
          <w:numId w:val="0"/>
        </w:numPr>
        <w:spacing w:line="276" w:lineRule="auto"/>
        <w:ind w:left="709" w:hanging="709"/>
        <w:rPr>
          <w:rFonts w:cs="Arial"/>
          <w:szCs w:val="24"/>
        </w:rPr>
      </w:pPr>
      <w:r w:rsidRPr="007C2D1F">
        <w:rPr>
          <w:rFonts w:cs="Arial"/>
          <w:szCs w:val="24"/>
        </w:rPr>
        <w:t>8.3.</w:t>
      </w:r>
      <w:r w:rsidRPr="007C2D1F">
        <w:rPr>
          <w:rFonts w:cs="Arial"/>
          <w:szCs w:val="24"/>
        </w:rPr>
        <w:tab/>
      </w:r>
      <w:r w:rsidR="00CA6BC0" w:rsidRPr="007C2D1F">
        <w:rPr>
          <w:rFonts w:cs="Arial"/>
          <w:szCs w:val="24"/>
        </w:rPr>
        <w:t>I failed to ensure that Absa complied with section 129(1)</w:t>
      </w:r>
      <w:r w:rsidR="00164B4D">
        <w:rPr>
          <w:rFonts w:cs="Arial"/>
          <w:szCs w:val="24"/>
        </w:rPr>
        <w:t>, read with section 130,</w:t>
      </w:r>
      <w:r w:rsidR="00CA6BC0" w:rsidRPr="007C2D1F">
        <w:rPr>
          <w:rFonts w:cs="Arial"/>
          <w:szCs w:val="24"/>
        </w:rPr>
        <w:t xml:space="preserve"> of the National Credit Act.</w:t>
      </w:r>
    </w:p>
    <w:p w14:paraId="137B4EF8" w14:textId="44A0816C" w:rsidR="00CA6BC0" w:rsidRPr="007C2D1F" w:rsidRDefault="003578B4" w:rsidP="003578B4">
      <w:pPr>
        <w:pStyle w:val="WLGLevel2"/>
        <w:numPr>
          <w:ilvl w:val="0"/>
          <w:numId w:val="0"/>
        </w:numPr>
        <w:spacing w:line="276" w:lineRule="auto"/>
        <w:ind w:left="709" w:hanging="709"/>
        <w:rPr>
          <w:rFonts w:cs="Arial"/>
          <w:szCs w:val="24"/>
        </w:rPr>
      </w:pPr>
      <w:r w:rsidRPr="007C2D1F">
        <w:rPr>
          <w:rFonts w:cs="Arial"/>
          <w:szCs w:val="24"/>
        </w:rPr>
        <w:t>8.4.</w:t>
      </w:r>
      <w:r w:rsidRPr="007C2D1F">
        <w:rPr>
          <w:rFonts w:cs="Arial"/>
          <w:szCs w:val="24"/>
        </w:rPr>
        <w:tab/>
      </w:r>
      <w:r w:rsidR="00CA6BC0" w:rsidRPr="007C2D1F">
        <w:rPr>
          <w:rFonts w:cs="Arial"/>
          <w:szCs w:val="24"/>
        </w:rPr>
        <w:t>My order is “unconstitutional” because “it was unconstit</w:t>
      </w:r>
      <w:r w:rsidR="00F85CEE">
        <w:rPr>
          <w:rFonts w:cs="Arial"/>
          <w:szCs w:val="24"/>
        </w:rPr>
        <w:t>ut</w:t>
      </w:r>
      <w:r w:rsidR="00CA6BC0" w:rsidRPr="007C2D1F">
        <w:rPr>
          <w:rFonts w:cs="Arial"/>
          <w:szCs w:val="24"/>
        </w:rPr>
        <w:t>ional for Absa to apply to attach the Respondent’s [sic] property and the registrar would be precluded to order attachment</w:t>
      </w:r>
      <w:r w:rsidR="00F85CEE">
        <w:rPr>
          <w:rFonts w:cs="Arial"/>
          <w:szCs w:val="24"/>
        </w:rPr>
        <w:t xml:space="preserve"> [sic]</w:t>
      </w:r>
      <w:r w:rsidR="00CA6BC0" w:rsidRPr="007C2D1F">
        <w:rPr>
          <w:rFonts w:cs="Arial"/>
          <w:szCs w:val="24"/>
        </w:rPr>
        <w:t>”.</w:t>
      </w:r>
    </w:p>
    <w:p w14:paraId="7C91366A" w14:textId="77243F62"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[9]</w:t>
      </w:r>
      <w:r w:rsidRPr="007C2D1F">
        <w:rPr>
          <w:rFonts w:cs="Arial"/>
          <w:szCs w:val="24"/>
        </w:rPr>
        <w:tab/>
      </w:r>
      <w:r w:rsidR="00CA6BC0" w:rsidRPr="007C2D1F">
        <w:rPr>
          <w:rFonts w:cs="Arial"/>
          <w:szCs w:val="24"/>
        </w:rPr>
        <w:t>I deal with each one briefly below.</w:t>
      </w:r>
    </w:p>
    <w:p w14:paraId="69E174CB" w14:textId="77777777" w:rsidR="00CA6BC0" w:rsidRPr="007C2D1F" w:rsidRDefault="00CA6BC0" w:rsidP="001B09CE">
      <w:pPr>
        <w:pStyle w:val="Heading1"/>
        <w:spacing w:line="276" w:lineRule="auto"/>
        <w:ind w:left="709" w:hanging="709"/>
        <w:rPr>
          <w:rFonts w:cs="Arial"/>
          <w:szCs w:val="24"/>
        </w:rPr>
      </w:pPr>
      <w:r w:rsidRPr="007C2D1F">
        <w:rPr>
          <w:rFonts w:cs="Arial"/>
          <w:szCs w:val="24"/>
        </w:rPr>
        <w:t>RULES 46 AND 46A</w:t>
      </w:r>
    </w:p>
    <w:p w14:paraId="094A8C5B" w14:textId="70C9573A"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[10]</w:t>
      </w:r>
      <w:r w:rsidRPr="007C2D1F">
        <w:rPr>
          <w:rFonts w:cs="Arial"/>
          <w:szCs w:val="24"/>
        </w:rPr>
        <w:tab/>
      </w:r>
      <w:r w:rsidR="00CA6BC0" w:rsidRPr="007C2D1F">
        <w:rPr>
          <w:rFonts w:cs="Arial"/>
          <w:szCs w:val="24"/>
        </w:rPr>
        <w:t xml:space="preserve">This proposed ground of appeal links to the argument of the respondents that my order was unconstitutional. I deal with that below. For the reasons given in that section of the judgment, I am satisfied that the respondents bear no prospects of success in </w:t>
      </w:r>
      <w:r w:rsidR="00D53581">
        <w:rPr>
          <w:rFonts w:cs="Arial"/>
          <w:szCs w:val="24"/>
        </w:rPr>
        <w:t>overturning my order on any basis related to their constitutional rights</w:t>
      </w:r>
      <w:r w:rsidR="00CA6BC0" w:rsidRPr="007C2D1F">
        <w:rPr>
          <w:rFonts w:cs="Arial"/>
          <w:szCs w:val="24"/>
        </w:rPr>
        <w:t>. In this section, I focus briefly on the arguments advanced by the respondents about the application of the detailed requirements of rule 46A.</w:t>
      </w:r>
    </w:p>
    <w:p w14:paraId="513B0994" w14:textId="3F3509E4" w:rsidR="005B2366" w:rsidRDefault="003578B4" w:rsidP="003578B4">
      <w:pPr>
        <w:pStyle w:val="WLGLevel1"/>
        <w:numPr>
          <w:ilvl w:val="0"/>
          <w:numId w:val="0"/>
        </w:numPr>
        <w:spacing w:line="276" w:lineRule="auto"/>
        <w:ind w:left="709" w:hanging="709"/>
        <w:rPr>
          <w:rFonts w:cs="Arial"/>
          <w:szCs w:val="24"/>
        </w:rPr>
      </w:pPr>
      <w:r>
        <w:rPr>
          <w:rFonts w:cs="Arial"/>
          <w:szCs w:val="24"/>
        </w:rPr>
        <w:t>[11]</w:t>
      </w:r>
      <w:r>
        <w:rPr>
          <w:rFonts w:cs="Arial"/>
          <w:szCs w:val="24"/>
        </w:rPr>
        <w:tab/>
      </w:r>
      <w:r w:rsidR="00586C03">
        <w:rPr>
          <w:rFonts w:cs="Arial"/>
          <w:szCs w:val="24"/>
        </w:rPr>
        <w:t>I</w:t>
      </w:r>
      <w:r w:rsidR="00CA6BC0" w:rsidRPr="007C2D1F">
        <w:rPr>
          <w:rFonts w:cs="Arial"/>
          <w:szCs w:val="24"/>
        </w:rPr>
        <w:t xml:space="preserve">t remains something of a mystery as to what aspects of my application of rule 46A </w:t>
      </w:r>
      <w:r w:rsidR="00D53581">
        <w:rPr>
          <w:rFonts w:cs="Arial"/>
          <w:szCs w:val="24"/>
        </w:rPr>
        <w:t xml:space="preserve">in the merits judgment </w:t>
      </w:r>
      <w:r w:rsidR="00CA6BC0" w:rsidRPr="007C2D1F">
        <w:rPr>
          <w:rFonts w:cs="Arial"/>
          <w:szCs w:val="24"/>
        </w:rPr>
        <w:t xml:space="preserve">are said </w:t>
      </w:r>
      <w:r w:rsidR="00586C03">
        <w:rPr>
          <w:rFonts w:cs="Arial"/>
          <w:szCs w:val="24"/>
        </w:rPr>
        <w:t xml:space="preserve">by the respondents </w:t>
      </w:r>
      <w:r w:rsidR="00CA6BC0" w:rsidRPr="007C2D1F">
        <w:rPr>
          <w:rFonts w:cs="Arial"/>
          <w:szCs w:val="24"/>
        </w:rPr>
        <w:t xml:space="preserve">to </w:t>
      </w:r>
      <w:r w:rsidR="00D53581">
        <w:rPr>
          <w:rFonts w:cs="Arial"/>
          <w:szCs w:val="24"/>
        </w:rPr>
        <w:t>have been</w:t>
      </w:r>
      <w:r w:rsidR="00CA6BC0" w:rsidRPr="007C2D1F">
        <w:rPr>
          <w:rFonts w:cs="Arial"/>
          <w:szCs w:val="24"/>
        </w:rPr>
        <w:t xml:space="preserve"> wrong. My failure to set a reserve price is specifically raised in the application</w:t>
      </w:r>
      <w:r w:rsidR="00D53581">
        <w:rPr>
          <w:rFonts w:cs="Arial"/>
          <w:szCs w:val="24"/>
        </w:rPr>
        <w:t xml:space="preserve"> for leave to appeal</w:t>
      </w:r>
      <w:r w:rsidR="00CA6BC0" w:rsidRPr="007C2D1F">
        <w:rPr>
          <w:rFonts w:cs="Arial"/>
          <w:szCs w:val="24"/>
        </w:rPr>
        <w:t>. But</w:t>
      </w:r>
      <w:r w:rsidR="00D53581">
        <w:rPr>
          <w:rFonts w:cs="Arial"/>
          <w:szCs w:val="24"/>
        </w:rPr>
        <w:t>,</w:t>
      </w:r>
      <w:r w:rsidR="00CA6BC0" w:rsidRPr="007C2D1F">
        <w:rPr>
          <w:rFonts w:cs="Arial"/>
          <w:szCs w:val="24"/>
        </w:rPr>
        <w:t xml:space="preserve"> beyond that, no specific non-application of the rule is identified. </w:t>
      </w:r>
      <w:r w:rsidR="00CA6BC0" w:rsidRPr="007C2D1F">
        <w:rPr>
          <w:rFonts w:cs="Arial"/>
          <w:szCs w:val="24"/>
        </w:rPr>
        <w:lastRenderedPageBreak/>
        <w:t xml:space="preserve">In the </w:t>
      </w:r>
      <w:r w:rsidR="00EB2F71">
        <w:rPr>
          <w:rFonts w:cs="Arial"/>
          <w:szCs w:val="24"/>
        </w:rPr>
        <w:t xml:space="preserve">merits </w:t>
      </w:r>
      <w:r w:rsidR="00CA6BC0" w:rsidRPr="007C2D1F">
        <w:rPr>
          <w:rFonts w:cs="Arial"/>
          <w:szCs w:val="24"/>
        </w:rPr>
        <w:t>answering affidavit, the respondents alleged that there was no</w:t>
      </w:r>
      <w:r w:rsidR="000E4790">
        <w:rPr>
          <w:rFonts w:cs="Arial"/>
          <w:szCs w:val="24"/>
        </w:rPr>
        <w:t>n-</w:t>
      </w:r>
      <w:r w:rsidR="00CA6BC0" w:rsidRPr="007C2D1F">
        <w:rPr>
          <w:rFonts w:cs="Arial"/>
          <w:szCs w:val="24"/>
        </w:rPr>
        <w:t>compliance with rule 46A(3)(d), which requires personal service of an application to declare immovable property executable unless the court orders that service may be effect</w:t>
      </w:r>
      <w:r w:rsidR="000E4790">
        <w:rPr>
          <w:rFonts w:cs="Arial"/>
          <w:szCs w:val="24"/>
        </w:rPr>
        <w:t>ed</w:t>
      </w:r>
      <w:r w:rsidR="00CA6BC0" w:rsidRPr="007C2D1F">
        <w:rPr>
          <w:rFonts w:cs="Arial"/>
          <w:szCs w:val="24"/>
        </w:rPr>
        <w:t xml:space="preserve"> in another matter. </w:t>
      </w:r>
      <w:r w:rsidR="00C32EE1">
        <w:rPr>
          <w:rFonts w:cs="Arial"/>
          <w:szCs w:val="24"/>
        </w:rPr>
        <w:t>Their contention in the</w:t>
      </w:r>
      <w:r w:rsidR="004E7908">
        <w:rPr>
          <w:rFonts w:cs="Arial"/>
          <w:szCs w:val="24"/>
        </w:rPr>
        <w:t xml:space="preserve"> merits</w:t>
      </w:r>
      <w:r w:rsidR="00C32EE1">
        <w:rPr>
          <w:rFonts w:cs="Arial"/>
          <w:szCs w:val="24"/>
        </w:rPr>
        <w:t xml:space="preserve"> answering affidavit, as far as I understand it, was</w:t>
      </w:r>
      <w:r w:rsidR="00CA6BC0" w:rsidRPr="007C2D1F">
        <w:rPr>
          <w:rFonts w:cs="Arial"/>
          <w:szCs w:val="24"/>
        </w:rPr>
        <w:t xml:space="preserve"> that they were prejudiced by </w:t>
      </w:r>
      <w:r w:rsidR="003E60AF">
        <w:rPr>
          <w:rFonts w:cs="Arial"/>
          <w:szCs w:val="24"/>
        </w:rPr>
        <w:t>alleged</w:t>
      </w:r>
      <w:r w:rsidR="00CA6BC0" w:rsidRPr="007C2D1F">
        <w:rPr>
          <w:rFonts w:cs="Arial"/>
          <w:szCs w:val="24"/>
        </w:rPr>
        <w:t xml:space="preserve"> non-compliance with the rule</w:t>
      </w:r>
      <w:r w:rsidR="0070222B">
        <w:rPr>
          <w:rFonts w:cs="Arial"/>
          <w:szCs w:val="24"/>
        </w:rPr>
        <w:t>. This, apparently,</w:t>
      </w:r>
      <w:r w:rsidR="00CA6BC0" w:rsidRPr="007C2D1F">
        <w:rPr>
          <w:rFonts w:cs="Arial"/>
          <w:szCs w:val="24"/>
        </w:rPr>
        <w:t xml:space="preserve"> because the merits application “was only issued on 16 April 2019” and they needed more time to obtain valuation reports to deal with the issue of an appropriate reserve price. The answering affidavit </w:t>
      </w:r>
      <w:r w:rsidR="000E4790">
        <w:rPr>
          <w:rFonts w:cs="Arial"/>
          <w:szCs w:val="24"/>
        </w:rPr>
        <w:t xml:space="preserve">was filed </w:t>
      </w:r>
      <w:r w:rsidR="00CA6BC0" w:rsidRPr="007C2D1F">
        <w:rPr>
          <w:rFonts w:cs="Arial"/>
          <w:szCs w:val="24"/>
        </w:rPr>
        <w:t xml:space="preserve">about 7 weeks after the </w:t>
      </w:r>
      <w:r w:rsidR="000E4790">
        <w:rPr>
          <w:rFonts w:cs="Arial"/>
          <w:szCs w:val="24"/>
        </w:rPr>
        <w:t xml:space="preserve">merits </w:t>
      </w:r>
      <w:r w:rsidR="00CA6BC0" w:rsidRPr="007C2D1F">
        <w:rPr>
          <w:rFonts w:cs="Arial"/>
          <w:szCs w:val="24"/>
        </w:rPr>
        <w:t xml:space="preserve">application was launched. Given the timeframes </w:t>
      </w:r>
      <w:r w:rsidR="000E4790">
        <w:rPr>
          <w:rFonts w:cs="Arial"/>
          <w:szCs w:val="24"/>
        </w:rPr>
        <w:t xml:space="preserve">provided in rule 6 of </w:t>
      </w:r>
      <w:r w:rsidR="00CA6BC0" w:rsidRPr="007C2D1F">
        <w:rPr>
          <w:rFonts w:cs="Arial"/>
          <w:szCs w:val="24"/>
        </w:rPr>
        <w:t xml:space="preserve">the Uniform Rules, I do not understand this complaint. </w:t>
      </w:r>
    </w:p>
    <w:p w14:paraId="33B850D9" w14:textId="13E1242A" w:rsidR="00D10B8A" w:rsidRDefault="003578B4" w:rsidP="003578B4">
      <w:pPr>
        <w:pStyle w:val="WLGLevel1"/>
        <w:numPr>
          <w:ilvl w:val="0"/>
          <w:numId w:val="0"/>
        </w:numPr>
        <w:spacing w:line="276" w:lineRule="auto"/>
        <w:ind w:left="709" w:hanging="709"/>
        <w:rPr>
          <w:rFonts w:cs="Arial"/>
          <w:szCs w:val="24"/>
        </w:rPr>
      </w:pPr>
      <w:r>
        <w:rPr>
          <w:rFonts w:cs="Arial"/>
          <w:szCs w:val="24"/>
        </w:rPr>
        <w:t>[12]</w:t>
      </w:r>
      <w:r>
        <w:rPr>
          <w:rFonts w:cs="Arial"/>
          <w:szCs w:val="24"/>
        </w:rPr>
        <w:tab/>
      </w:r>
      <w:r w:rsidR="00CA6BC0" w:rsidRPr="007C2D1F">
        <w:rPr>
          <w:rFonts w:cs="Arial"/>
          <w:szCs w:val="24"/>
        </w:rPr>
        <w:t>But, in any event, there is no doubt that the respondents had proper notice of the proceedings and exercise</w:t>
      </w:r>
      <w:r w:rsidR="00812905">
        <w:rPr>
          <w:rFonts w:cs="Arial"/>
          <w:szCs w:val="24"/>
        </w:rPr>
        <w:t>d</w:t>
      </w:r>
      <w:r w:rsidR="00CA6BC0" w:rsidRPr="007C2D1F">
        <w:rPr>
          <w:rFonts w:cs="Arial"/>
          <w:szCs w:val="24"/>
        </w:rPr>
        <w:t xml:space="preserve"> their right to oppose the application. I referred in the merits judgment to the supplementary affidavit which the respondents undertook to</w:t>
      </w:r>
      <w:r w:rsidR="00812905">
        <w:rPr>
          <w:rFonts w:cs="Arial"/>
          <w:szCs w:val="24"/>
        </w:rPr>
        <w:t>, but did not,</w:t>
      </w:r>
      <w:r w:rsidR="00CA6BC0" w:rsidRPr="007C2D1F">
        <w:rPr>
          <w:rFonts w:cs="Arial"/>
          <w:szCs w:val="24"/>
        </w:rPr>
        <w:t xml:space="preserve"> file. They had </w:t>
      </w:r>
      <w:r w:rsidR="008E074E">
        <w:rPr>
          <w:rFonts w:cs="Arial"/>
          <w:szCs w:val="24"/>
        </w:rPr>
        <w:t xml:space="preserve">more than </w:t>
      </w:r>
      <w:r w:rsidR="00CA6BC0" w:rsidRPr="007C2D1F">
        <w:rPr>
          <w:rFonts w:cs="Arial"/>
          <w:szCs w:val="24"/>
        </w:rPr>
        <w:t>ample time to do so</w:t>
      </w:r>
      <w:r w:rsidR="008E074E">
        <w:rPr>
          <w:rFonts w:cs="Arial"/>
          <w:szCs w:val="24"/>
        </w:rPr>
        <w:t xml:space="preserve"> (their answering affidavit was filed in June 2019 and I heard argument in the merits application in November 2022)</w:t>
      </w:r>
      <w:r w:rsidR="00CA6BC0" w:rsidRPr="007C2D1F">
        <w:rPr>
          <w:rFonts w:cs="Arial"/>
          <w:szCs w:val="24"/>
        </w:rPr>
        <w:t xml:space="preserve">, and to the extent that they seek to link their failure to do so to </w:t>
      </w:r>
      <w:r w:rsidR="00812905">
        <w:rPr>
          <w:rFonts w:cs="Arial"/>
          <w:szCs w:val="24"/>
        </w:rPr>
        <w:t xml:space="preserve">an allegation that there was not personal service as contemplated </w:t>
      </w:r>
      <w:r w:rsidR="00CA6BC0" w:rsidRPr="007C2D1F">
        <w:rPr>
          <w:rFonts w:cs="Arial"/>
          <w:szCs w:val="24"/>
        </w:rPr>
        <w:t>rule 46A</w:t>
      </w:r>
      <w:r w:rsidR="00812905">
        <w:rPr>
          <w:rFonts w:cs="Arial"/>
          <w:szCs w:val="24"/>
        </w:rPr>
        <w:t>(3)(d) (which is how the point was framed in the merits answering affidavit)</w:t>
      </w:r>
      <w:r w:rsidR="00CA6BC0" w:rsidRPr="007C2D1F">
        <w:rPr>
          <w:rFonts w:cs="Arial"/>
          <w:szCs w:val="24"/>
        </w:rPr>
        <w:t xml:space="preserve">, it is an attempt which must fail. </w:t>
      </w:r>
      <w:r w:rsidR="00D10B8A">
        <w:rPr>
          <w:rFonts w:cs="Arial"/>
          <w:szCs w:val="24"/>
        </w:rPr>
        <w:t>I accept that, in some circumstances, formalities must be applied uniformly, regardless of their purpose. But the service requirement in rule 46A(3)(d) is designed to protect the interests of judgment debtors to ensure that all necessary steps are taken to bring an application under rule 46A to their attention. Since judgment debtors will often, at least by the t</w:t>
      </w:r>
      <w:r w:rsidR="00B37725">
        <w:rPr>
          <w:rFonts w:cs="Arial"/>
          <w:szCs w:val="24"/>
        </w:rPr>
        <w:t>i</w:t>
      </w:r>
      <w:r w:rsidR="00D10B8A">
        <w:rPr>
          <w:rFonts w:cs="Arial"/>
          <w:szCs w:val="24"/>
        </w:rPr>
        <w:t>me that a rule 46A application is brought, have fallen on hard times, most (I hypothesise)</w:t>
      </w:r>
      <w:r w:rsidR="00FE1D30">
        <w:rPr>
          <w:rFonts w:cs="Arial"/>
          <w:szCs w:val="24"/>
        </w:rPr>
        <w:t xml:space="preserve"> rule 46A applications are </w:t>
      </w:r>
      <w:r w:rsidR="00451424">
        <w:rPr>
          <w:rFonts w:cs="Arial"/>
          <w:szCs w:val="24"/>
        </w:rPr>
        <w:t>determined</w:t>
      </w:r>
      <w:r w:rsidR="00FE1D30">
        <w:rPr>
          <w:rFonts w:cs="Arial"/>
          <w:szCs w:val="24"/>
        </w:rPr>
        <w:t xml:space="preserve"> in unopposed court. That being so, proper service is essential. It strikes me as opportunist</w:t>
      </w:r>
      <w:r w:rsidR="00B37725">
        <w:rPr>
          <w:rFonts w:cs="Arial"/>
          <w:szCs w:val="24"/>
        </w:rPr>
        <w:t>ic</w:t>
      </w:r>
      <w:r w:rsidR="00FE1D30">
        <w:rPr>
          <w:rFonts w:cs="Arial"/>
          <w:szCs w:val="24"/>
        </w:rPr>
        <w:t xml:space="preserve"> for a respondent in an opposed application to seek to make something </w:t>
      </w:r>
      <w:r w:rsidR="0000479C">
        <w:rPr>
          <w:rFonts w:cs="Arial"/>
          <w:szCs w:val="24"/>
        </w:rPr>
        <w:t>of (alleged)</w:t>
      </w:r>
      <w:r w:rsidR="00FE1D30">
        <w:rPr>
          <w:rFonts w:cs="Arial"/>
          <w:szCs w:val="24"/>
        </w:rPr>
        <w:t xml:space="preserve"> lack of compliance with rule 46A(3)(d) (or other service and notice provisions).</w:t>
      </w:r>
    </w:p>
    <w:p w14:paraId="0BF73529" w14:textId="12EC7214"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[13]</w:t>
      </w:r>
      <w:r w:rsidRPr="007C2D1F">
        <w:rPr>
          <w:rFonts w:cs="Arial"/>
          <w:szCs w:val="24"/>
        </w:rPr>
        <w:tab/>
      </w:r>
      <w:r w:rsidR="00CA6BC0" w:rsidRPr="007C2D1F">
        <w:rPr>
          <w:rFonts w:cs="Arial"/>
          <w:szCs w:val="24"/>
        </w:rPr>
        <w:t xml:space="preserve">The remaining focus placed by the respondents on </w:t>
      </w:r>
      <w:r w:rsidR="002C04F9">
        <w:rPr>
          <w:rFonts w:cs="Arial"/>
          <w:szCs w:val="24"/>
        </w:rPr>
        <w:t xml:space="preserve">compliance with </w:t>
      </w:r>
      <w:r w:rsidR="00CA6BC0" w:rsidRPr="007C2D1F">
        <w:rPr>
          <w:rFonts w:cs="Arial"/>
          <w:szCs w:val="24"/>
        </w:rPr>
        <w:t>rule 46A give</w:t>
      </w:r>
      <w:r w:rsidR="00812905">
        <w:rPr>
          <w:rFonts w:cs="Arial"/>
          <w:szCs w:val="24"/>
        </w:rPr>
        <w:t>s</w:t>
      </w:r>
      <w:r w:rsidR="00CA6BC0" w:rsidRPr="007C2D1F">
        <w:rPr>
          <w:rFonts w:cs="Arial"/>
          <w:szCs w:val="24"/>
        </w:rPr>
        <w:t xml:space="preserve"> rise to the issues which I addressed in the merits judgment. Flowing from the reasoning in that judgment, I do not consider the respondents to have reasonable prospects of success on appeal in relation to this ground.</w:t>
      </w:r>
    </w:p>
    <w:p w14:paraId="25BF1EEB" w14:textId="12383F98"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[14]</w:t>
      </w:r>
      <w:r w:rsidRPr="007C2D1F">
        <w:rPr>
          <w:rFonts w:cs="Arial"/>
          <w:szCs w:val="24"/>
        </w:rPr>
        <w:tab/>
      </w:r>
      <w:r w:rsidR="00CA6BC0" w:rsidRPr="007C2D1F">
        <w:rPr>
          <w:rFonts w:cs="Arial"/>
          <w:szCs w:val="24"/>
        </w:rPr>
        <w:t xml:space="preserve">On the issue of a reserve price, </w:t>
      </w:r>
      <w:r w:rsidR="00CA6BC0" w:rsidRPr="002C04F9">
        <w:rPr>
          <w:rFonts w:cs="Arial"/>
          <w:i/>
          <w:iCs/>
          <w:szCs w:val="24"/>
        </w:rPr>
        <w:t>Ms Acker</w:t>
      </w:r>
      <w:r w:rsidR="00CA6BC0" w:rsidRPr="007C2D1F">
        <w:rPr>
          <w:rFonts w:cs="Arial"/>
          <w:szCs w:val="24"/>
        </w:rPr>
        <w:t xml:space="preserve"> quite correctly pointed out, in her heads of argument, that the courts retain a discretion as to whether to set a reserve price</w:t>
      </w:r>
      <w:r w:rsidR="00812905">
        <w:rPr>
          <w:rFonts w:cs="Arial"/>
          <w:szCs w:val="24"/>
        </w:rPr>
        <w:t xml:space="preserve"> in terms of rule 46A</w:t>
      </w:r>
      <w:r w:rsidR="006C65FF">
        <w:rPr>
          <w:rFonts w:cs="Arial"/>
          <w:szCs w:val="24"/>
        </w:rPr>
        <w:t>(8)(e) of the Uniform Rules</w:t>
      </w:r>
      <w:r w:rsidR="00CA6BC0" w:rsidRPr="007C2D1F">
        <w:rPr>
          <w:rFonts w:cs="Arial"/>
          <w:szCs w:val="24"/>
        </w:rPr>
        <w:t xml:space="preserve">. The intention in setting a reserve price is to prevent the debtor </w:t>
      </w:r>
      <w:r w:rsidR="006C65FF">
        <w:rPr>
          <w:rFonts w:cs="Arial"/>
          <w:szCs w:val="24"/>
        </w:rPr>
        <w:t xml:space="preserve">from </w:t>
      </w:r>
      <w:r w:rsidR="00CA6BC0" w:rsidRPr="007C2D1F">
        <w:rPr>
          <w:rFonts w:cs="Arial"/>
          <w:szCs w:val="24"/>
        </w:rPr>
        <w:t xml:space="preserve">being prejudiced by a sale for substantially less than the true value of the property, leaving the debtor with no home and a significant debt still to repay. In this case, Absa placed detailed information as to the property’s value before Court in its founding affidavit. </w:t>
      </w:r>
      <w:r w:rsidR="00CA6BC0" w:rsidRPr="007C2D1F">
        <w:rPr>
          <w:rFonts w:cs="Arial"/>
          <w:szCs w:val="24"/>
        </w:rPr>
        <w:lastRenderedPageBreak/>
        <w:t>Although the respondents intimated that its value was higher</w:t>
      </w:r>
      <w:r w:rsidR="00066C25">
        <w:rPr>
          <w:rFonts w:cs="Arial"/>
          <w:szCs w:val="24"/>
        </w:rPr>
        <w:t xml:space="preserve"> than reflected in Absa’s valuations</w:t>
      </w:r>
      <w:r w:rsidR="00CA6BC0" w:rsidRPr="007C2D1F">
        <w:rPr>
          <w:rFonts w:cs="Arial"/>
          <w:szCs w:val="24"/>
        </w:rPr>
        <w:t>, they failed to take the opportunity to place any facts relevant to this issue before Court</w:t>
      </w:r>
      <w:r w:rsidR="00CF5165">
        <w:rPr>
          <w:rFonts w:cs="Arial"/>
          <w:szCs w:val="24"/>
        </w:rPr>
        <w:t>. This</w:t>
      </w:r>
      <w:r w:rsidR="00BC63A3">
        <w:rPr>
          <w:rFonts w:cs="Arial"/>
          <w:szCs w:val="24"/>
        </w:rPr>
        <w:t xml:space="preserve"> despite expressly reserving the right to do so in the merits answering affidavit</w:t>
      </w:r>
      <w:r w:rsidR="00CA6BC0" w:rsidRPr="007C2D1F">
        <w:rPr>
          <w:rFonts w:cs="Arial"/>
          <w:szCs w:val="24"/>
        </w:rPr>
        <w:t>. Importantly, Absa understandably did not press for the setting of a reserve price, and the respondents did not raise the issue in the</w:t>
      </w:r>
      <w:r w:rsidR="00957316">
        <w:rPr>
          <w:rFonts w:cs="Arial"/>
          <w:szCs w:val="24"/>
        </w:rPr>
        <w:t>ir</w:t>
      </w:r>
      <w:r w:rsidR="00CA6BC0" w:rsidRPr="007C2D1F">
        <w:rPr>
          <w:rFonts w:cs="Arial"/>
          <w:szCs w:val="24"/>
        </w:rPr>
        <w:t xml:space="preserve"> merits argument at all. </w:t>
      </w:r>
      <w:r w:rsidR="00826B5B">
        <w:rPr>
          <w:rFonts w:cs="Arial"/>
          <w:szCs w:val="24"/>
        </w:rPr>
        <w:t xml:space="preserve">In these circumstances, </w:t>
      </w:r>
      <w:r w:rsidR="00CA6BC0" w:rsidRPr="007C2D1F">
        <w:rPr>
          <w:rFonts w:cs="Arial"/>
          <w:szCs w:val="24"/>
        </w:rPr>
        <w:t xml:space="preserve">I do not consider there to be a reasonable prospect of an appeal court setting aside my merits order on the basis that I failed to provide for a reserve price. </w:t>
      </w:r>
    </w:p>
    <w:p w14:paraId="3011D99D" w14:textId="77777777" w:rsidR="00CA6BC0" w:rsidRPr="007C2D1F" w:rsidRDefault="00CA6BC0" w:rsidP="001B09CE">
      <w:pPr>
        <w:pStyle w:val="Heading1"/>
        <w:spacing w:line="276" w:lineRule="auto"/>
        <w:ind w:left="709" w:hanging="709"/>
        <w:rPr>
          <w:rFonts w:cs="Arial"/>
          <w:szCs w:val="24"/>
        </w:rPr>
      </w:pPr>
      <w:r w:rsidRPr="007C2D1F">
        <w:rPr>
          <w:rFonts w:cs="Arial"/>
          <w:szCs w:val="24"/>
        </w:rPr>
        <w:t>RECKLESS CREDIT</w:t>
      </w:r>
    </w:p>
    <w:p w14:paraId="37D63760" w14:textId="068AB46C"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[15]</w:t>
      </w:r>
      <w:r w:rsidRPr="007C2D1F">
        <w:rPr>
          <w:rFonts w:cs="Arial"/>
          <w:szCs w:val="24"/>
        </w:rPr>
        <w:tab/>
      </w:r>
      <w:r w:rsidR="00CA6BC0" w:rsidRPr="007C2D1F">
        <w:rPr>
          <w:rFonts w:cs="Arial"/>
          <w:szCs w:val="24"/>
        </w:rPr>
        <w:t xml:space="preserve">The simple reason why this ground cannot succeed is that the respondents did not plead, in their </w:t>
      </w:r>
      <w:r w:rsidR="0040091A">
        <w:rPr>
          <w:rFonts w:cs="Arial"/>
          <w:szCs w:val="24"/>
        </w:rPr>
        <w:t xml:space="preserve">merits </w:t>
      </w:r>
      <w:r w:rsidR="00CA6BC0" w:rsidRPr="007C2D1F">
        <w:rPr>
          <w:rFonts w:cs="Arial"/>
          <w:szCs w:val="24"/>
        </w:rPr>
        <w:t xml:space="preserve">answering affidavit, that the credit agreement constituted reckless credit as contemplated by sections 80 to 83 of the National Credit Act. In my view this is dispositive of the argument. This is because there are vital facts which the Court needs to know to determine whether sections 80 to 83 apply. </w:t>
      </w:r>
      <w:r w:rsidR="006C0B18">
        <w:rPr>
          <w:rFonts w:cs="Arial"/>
          <w:szCs w:val="24"/>
        </w:rPr>
        <w:t>A s</w:t>
      </w:r>
      <w:r w:rsidR="00CA6BC0" w:rsidRPr="007C2D1F">
        <w:rPr>
          <w:rFonts w:cs="Arial"/>
          <w:szCs w:val="24"/>
        </w:rPr>
        <w:t xml:space="preserve">triking example </w:t>
      </w:r>
      <w:r w:rsidR="006C0B18">
        <w:rPr>
          <w:rFonts w:cs="Arial"/>
          <w:szCs w:val="24"/>
        </w:rPr>
        <w:t xml:space="preserve">is </w:t>
      </w:r>
      <w:r w:rsidR="00CA6BC0" w:rsidRPr="007C2D1F">
        <w:rPr>
          <w:rFonts w:cs="Arial"/>
          <w:szCs w:val="24"/>
        </w:rPr>
        <w:t>whether an assessment was done in terms of section 81(2), and, if so, whether Absa satisfied itself that the respondents understood the agreement. Other factual matters flow from sections 80(1) and 80(2) of the National Credit Act. Had the respondents pleaded reliance on these provisions, Absa would have had an opportunity to place facts before this Court to refute (if possible) the respondents’ reliance on section 83. Not only was this issue not pleaded,</w:t>
      </w:r>
      <w:r w:rsidR="004F75DA">
        <w:rPr>
          <w:rFonts w:cs="Arial"/>
          <w:szCs w:val="24"/>
        </w:rPr>
        <w:t xml:space="preserve"> </w:t>
      </w:r>
      <w:r w:rsidR="00CA6BC0" w:rsidRPr="007C2D1F">
        <w:rPr>
          <w:rFonts w:cs="Arial"/>
          <w:szCs w:val="24"/>
        </w:rPr>
        <w:t>it was not argued during the merits proceedings. It escapes me how it can be raised for the first time in the application for leave to appeal</w:t>
      </w:r>
      <w:r w:rsidR="00C45BC1">
        <w:rPr>
          <w:rFonts w:cs="Arial"/>
          <w:szCs w:val="24"/>
        </w:rPr>
        <w:t xml:space="preserve">, untethered from any factual </w:t>
      </w:r>
      <w:r w:rsidR="00BC2394">
        <w:rPr>
          <w:rFonts w:cs="Arial"/>
          <w:szCs w:val="24"/>
        </w:rPr>
        <w:t>jetty</w:t>
      </w:r>
      <w:r w:rsidR="00CA6BC0" w:rsidRPr="007C2D1F">
        <w:rPr>
          <w:rFonts w:cs="Arial"/>
          <w:szCs w:val="24"/>
        </w:rPr>
        <w:t>.</w:t>
      </w:r>
      <w:r w:rsidR="00875208">
        <w:rPr>
          <w:rFonts w:cs="Arial"/>
          <w:szCs w:val="24"/>
        </w:rPr>
        <w:t xml:space="preserve"> There is simply no </w:t>
      </w:r>
      <w:r w:rsidR="002E6E48">
        <w:rPr>
          <w:rFonts w:cs="Arial"/>
          <w:szCs w:val="24"/>
        </w:rPr>
        <w:t>evidence</w:t>
      </w:r>
      <w:r w:rsidR="00875208">
        <w:rPr>
          <w:rFonts w:cs="Arial"/>
          <w:szCs w:val="24"/>
        </w:rPr>
        <w:t xml:space="preserve"> in the record on which an appeal court could overturn my order on the basis that the credit agreement i</w:t>
      </w:r>
      <w:r w:rsidR="00730A5E">
        <w:rPr>
          <w:rFonts w:cs="Arial"/>
          <w:szCs w:val="24"/>
        </w:rPr>
        <w:t>s</w:t>
      </w:r>
      <w:r w:rsidR="00875208">
        <w:rPr>
          <w:rFonts w:cs="Arial"/>
          <w:szCs w:val="24"/>
        </w:rPr>
        <w:t xml:space="preserve"> impeachable under sections 80 to 83 of the National Credit Act.</w:t>
      </w:r>
    </w:p>
    <w:p w14:paraId="30172176" w14:textId="77777777" w:rsidR="00CA6BC0" w:rsidRPr="007C2D1F" w:rsidRDefault="00CA6BC0" w:rsidP="001B09CE">
      <w:pPr>
        <w:pStyle w:val="Heading1"/>
        <w:spacing w:line="276" w:lineRule="auto"/>
        <w:ind w:left="709" w:hanging="709"/>
        <w:rPr>
          <w:rFonts w:cs="Arial"/>
          <w:szCs w:val="24"/>
        </w:rPr>
      </w:pPr>
      <w:r w:rsidRPr="007C2D1F">
        <w:rPr>
          <w:rFonts w:cs="Arial"/>
          <w:szCs w:val="24"/>
        </w:rPr>
        <w:t>SECTIONS 129 AND 130</w:t>
      </w:r>
    </w:p>
    <w:p w14:paraId="026B7F91" w14:textId="098320B7"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[16]</w:t>
      </w:r>
      <w:r w:rsidRPr="007C2D1F">
        <w:rPr>
          <w:rFonts w:cs="Arial"/>
          <w:szCs w:val="24"/>
        </w:rPr>
        <w:tab/>
      </w:r>
      <w:r w:rsidR="00CA6BC0" w:rsidRPr="007C2D1F">
        <w:rPr>
          <w:rFonts w:cs="Arial"/>
          <w:szCs w:val="24"/>
        </w:rPr>
        <w:t xml:space="preserve">In </w:t>
      </w:r>
      <w:r w:rsidR="00A33545">
        <w:rPr>
          <w:rFonts w:cs="Arial"/>
          <w:szCs w:val="24"/>
        </w:rPr>
        <w:t>the</w:t>
      </w:r>
      <w:r w:rsidR="00CA6BC0" w:rsidRPr="007C2D1F">
        <w:rPr>
          <w:rFonts w:cs="Arial"/>
          <w:szCs w:val="24"/>
        </w:rPr>
        <w:t xml:space="preserve"> </w:t>
      </w:r>
      <w:r w:rsidR="00A33545">
        <w:rPr>
          <w:rFonts w:cs="Arial"/>
          <w:szCs w:val="24"/>
        </w:rPr>
        <w:t xml:space="preserve">merits </w:t>
      </w:r>
      <w:r w:rsidR="00CA6BC0" w:rsidRPr="007C2D1F">
        <w:rPr>
          <w:rFonts w:cs="Arial"/>
          <w:szCs w:val="24"/>
        </w:rPr>
        <w:t>founding affidavit, Absa pleaded that it had complied with the requirem</w:t>
      </w:r>
      <w:r w:rsidR="002E6E48">
        <w:rPr>
          <w:rFonts w:cs="Arial"/>
          <w:szCs w:val="24"/>
        </w:rPr>
        <w:t>e</w:t>
      </w:r>
      <w:r w:rsidR="00CA6BC0" w:rsidRPr="007C2D1F">
        <w:rPr>
          <w:rFonts w:cs="Arial"/>
          <w:szCs w:val="24"/>
        </w:rPr>
        <w:t>nts of sections 129(1) and 130 of the National Credit Act by giving proper notice of the application to the respondents. In the respondents’ answering affidavit (ie, on the merits), they denied that Absa had complied with section 129 of the National Credit Act.</w:t>
      </w:r>
    </w:p>
    <w:p w14:paraId="71098D07" w14:textId="3AFFFC69"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[17]</w:t>
      </w:r>
      <w:r w:rsidRPr="007C2D1F">
        <w:rPr>
          <w:rFonts w:cs="Arial"/>
          <w:szCs w:val="24"/>
        </w:rPr>
        <w:tab/>
      </w:r>
      <w:r w:rsidR="00CA6BC0" w:rsidRPr="007C2D1F">
        <w:rPr>
          <w:rFonts w:cs="Arial"/>
          <w:szCs w:val="24"/>
        </w:rPr>
        <w:t>In Absa’s replying affidavit, Absa argued that the National Credit Act did not apply to the credit agreement. However, essentially as an alternative argument, it comprehensively demonstrated that it had complied with sections 129(1) and 130 of the National Credit Act before launching the merits proceedings. I do not wish to make this judgment any longer than necessary by summarising Absa’s detailed explanation of its compliance (which included annexing proof). I shall simply note that I could have been left in no doubt that there was compliance.</w:t>
      </w:r>
    </w:p>
    <w:p w14:paraId="16743DF5" w14:textId="53ECB59C"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lastRenderedPageBreak/>
        <w:t>[18]</w:t>
      </w:r>
      <w:r w:rsidRPr="007C2D1F">
        <w:rPr>
          <w:rFonts w:cs="Arial"/>
          <w:szCs w:val="24"/>
        </w:rPr>
        <w:tab/>
      </w:r>
      <w:r w:rsidR="00CA6BC0" w:rsidRPr="007C2D1F">
        <w:rPr>
          <w:rFonts w:cs="Arial"/>
          <w:szCs w:val="24"/>
        </w:rPr>
        <w:t xml:space="preserve">I say “could have been” because, in their </w:t>
      </w:r>
      <w:r w:rsidR="00FD6209">
        <w:rPr>
          <w:rFonts w:cs="Arial"/>
          <w:szCs w:val="24"/>
        </w:rPr>
        <w:t xml:space="preserve">merits </w:t>
      </w:r>
      <w:r w:rsidR="00CA6BC0" w:rsidRPr="007C2D1F">
        <w:rPr>
          <w:rFonts w:cs="Arial"/>
          <w:szCs w:val="24"/>
        </w:rPr>
        <w:t>heads of argument and in the proceedings before me on the merits, the respondents did not press the section 129 argument at all. It may well have been that, having seen Absa’s response in its replying affidavit, it was decided by their counsel not to press the point. I need not speculate. The simple position is that there is no reasonable prospect that an appellate court will uphold the section 129 argument.</w:t>
      </w:r>
    </w:p>
    <w:p w14:paraId="0479A684" w14:textId="77777777" w:rsidR="00CA6BC0" w:rsidRPr="007C2D1F" w:rsidRDefault="00CA6BC0" w:rsidP="001B09CE">
      <w:pPr>
        <w:pStyle w:val="Heading1"/>
        <w:spacing w:line="276" w:lineRule="auto"/>
        <w:ind w:left="709" w:hanging="709"/>
        <w:rPr>
          <w:rFonts w:cs="Arial"/>
          <w:szCs w:val="24"/>
        </w:rPr>
      </w:pPr>
      <w:r w:rsidRPr="007C2D1F">
        <w:rPr>
          <w:rFonts w:cs="Arial"/>
          <w:szCs w:val="24"/>
        </w:rPr>
        <w:t>UNCONSTITUTIONAL ORDER</w:t>
      </w:r>
    </w:p>
    <w:p w14:paraId="49F5C682" w14:textId="54EE457D"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[19]</w:t>
      </w:r>
      <w:r w:rsidRPr="007C2D1F">
        <w:rPr>
          <w:rFonts w:cs="Arial"/>
          <w:szCs w:val="24"/>
        </w:rPr>
        <w:tab/>
      </w:r>
      <w:r w:rsidR="00CA6BC0" w:rsidRPr="007C2D1F">
        <w:rPr>
          <w:rFonts w:cs="Arial"/>
          <w:szCs w:val="24"/>
        </w:rPr>
        <w:t xml:space="preserve">Since this is a leave to appeal judgment, of interest only to the parties (at best), I do not intend to spend much time explaining why this last ground has no merit. There are scores of judgments of our courts dealing with the interaction between </w:t>
      </w:r>
      <w:r w:rsidR="00A4352C">
        <w:rPr>
          <w:rFonts w:cs="Arial"/>
          <w:szCs w:val="24"/>
        </w:rPr>
        <w:t>rule</w:t>
      </w:r>
      <w:r w:rsidR="00CA6BC0" w:rsidRPr="007C2D1F">
        <w:rPr>
          <w:rFonts w:cs="Arial"/>
          <w:szCs w:val="24"/>
        </w:rPr>
        <w:t xml:space="preserve"> 46A of the Uniform Rules and the right to housing in section 26 of the Constitution. I can do no better than to repeat the recent </w:t>
      </w:r>
      <w:r w:rsidR="00A80D2E">
        <w:rPr>
          <w:rFonts w:cs="Arial"/>
          <w:szCs w:val="24"/>
        </w:rPr>
        <w:t>explanation</w:t>
      </w:r>
      <w:r w:rsidR="00CA6BC0" w:rsidRPr="007C2D1F">
        <w:rPr>
          <w:rFonts w:cs="Arial"/>
          <w:szCs w:val="24"/>
        </w:rPr>
        <w:t xml:space="preserve"> </w:t>
      </w:r>
      <w:r w:rsidR="00CA6066">
        <w:rPr>
          <w:rFonts w:cs="Arial"/>
          <w:szCs w:val="24"/>
        </w:rPr>
        <w:t>given by</w:t>
      </w:r>
      <w:r w:rsidR="00CA6BC0" w:rsidRPr="007C2D1F">
        <w:rPr>
          <w:rFonts w:cs="Arial"/>
          <w:szCs w:val="24"/>
        </w:rPr>
        <w:t xml:space="preserve"> Moultrie AJ</w:t>
      </w:r>
      <w:r w:rsidR="000A3F8D">
        <w:rPr>
          <w:rFonts w:cs="Arial"/>
          <w:szCs w:val="24"/>
        </w:rPr>
        <w:t>,</w:t>
      </w:r>
      <w:r w:rsidR="00CA6BC0" w:rsidRPr="007C2D1F">
        <w:rPr>
          <w:rFonts w:cs="Arial"/>
          <w:szCs w:val="24"/>
        </w:rPr>
        <w:t xml:space="preserve"> in </w:t>
      </w:r>
      <w:r w:rsidR="00CA6BC0" w:rsidRPr="00923384">
        <w:rPr>
          <w:rFonts w:cs="Arial"/>
          <w:i/>
          <w:iCs/>
          <w:szCs w:val="24"/>
        </w:rPr>
        <w:t>Nedbank Ltd v Mabaso</w:t>
      </w:r>
      <w:r w:rsidR="00CA6BC0" w:rsidRPr="007C2D1F">
        <w:rPr>
          <w:rFonts w:cs="Arial"/>
          <w:szCs w:val="24"/>
        </w:rPr>
        <w:t xml:space="preserve"> 2023 (2) SA 298 (GJ) at para 11, that the purpose of rule 46A is to “achieve an appropriate balance between the legitimate commercial rights of judgment creditors to payment and the equally legitimate rights of indigent debtors to housing under s 26 of the Constitution”. And I agree (with respect) wholeheartedly with his point, made in the same paragraph of the judgment, that if the application of rule 46A “presents a court with an opportunity to address an inappropriate imbalance that has emerged between the competing rights of the parties, that opportunity must be seized”.</w:t>
      </w:r>
    </w:p>
    <w:p w14:paraId="74CD37AC" w14:textId="0F01D8FE" w:rsidR="00CA6BC0" w:rsidRPr="00821F7B" w:rsidRDefault="003578B4" w:rsidP="003578B4">
      <w:pPr>
        <w:pStyle w:val="WLGLevel1"/>
        <w:numPr>
          <w:ilvl w:val="0"/>
          <w:numId w:val="0"/>
        </w:numPr>
        <w:spacing w:line="276" w:lineRule="auto"/>
        <w:ind w:left="709" w:hanging="709"/>
        <w:rPr>
          <w:rFonts w:cs="Arial"/>
          <w:szCs w:val="24"/>
        </w:rPr>
      </w:pPr>
      <w:r w:rsidRPr="00821F7B">
        <w:rPr>
          <w:rFonts w:cs="Arial"/>
          <w:szCs w:val="24"/>
        </w:rPr>
        <w:t>[20]</w:t>
      </w:r>
      <w:r w:rsidRPr="00821F7B">
        <w:rPr>
          <w:rFonts w:cs="Arial"/>
          <w:szCs w:val="24"/>
        </w:rPr>
        <w:tab/>
      </w:r>
      <w:r w:rsidR="00CA6BC0" w:rsidRPr="00821F7B">
        <w:rPr>
          <w:rFonts w:cs="Arial"/>
          <w:szCs w:val="24"/>
        </w:rPr>
        <w:t>I do not want to repeat what I said in the merits judgment on the application of rule 46A</w:t>
      </w:r>
      <w:r w:rsidR="00BB6381" w:rsidRPr="00821F7B">
        <w:rPr>
          <w:rFonts w:cs="Arial"/>
          <w:szCs w:val="24"/>
        </w:rPr>
        <w:t xml:space="preserve"> and the substantive question of whether it would be appropriate to order execution on the facts of the case</w:t>
      </w:r>
      <w:r w:rsidR="00CA6BC0" w:rsidRPr="00821F7B">
        <w:rPr>
          <w:rFonts w:cs="Arial"/>
          <w:szCs w:val="24"/>
        </w:rPr>
        <w:t xml:space="preserve">. In my view (and it is always invidious to cast judgement on one’s own reasoning), the merits judgment reflects an appropriate balancing of the various interests, taking into account, in particular, what was pleaded. I made the point </w:t>
      </w:r>
      <w:r w:rsidR="00E43391" w:rsidRPr="00821F7B">
        <w:rPr>
          <w:rFonts w:cs="Arial"/>
          <w:szCs w:val="24"/>
        </w:rPr>
        <w:t xml:space="preserve">in the merits judgment </w:t>
      </w:r>
      <w:r w:rsidR="00CA6BC0" w:rsidRPr="00821F7B">
        <w:rPr>
          <w:rFonts w:cs="Arial"/>
          <w:szCs w:val="24"/>
        </w:rPr>
        <w:t xml:space="preserve">that I </w:t>
      </w:r>
      <w:r w:rsidR="006C61D2" w:rsidRPr="00821F7B">
        <w:rPr>
          <w:rFonts w:cs="Arial"/>
          <w:szCs w:val="24"/>
        </w:rPr>
        <w:t xml:space="preserve">expressly </w:t>
      </w:r>
      <w:r w:rsidR="00CA6BC0" w:rsidRPr="00821F7B">
        <w:rPr>
          <w:rFonts w:cs="Arial"/>
          <w:szCs w:val="24"/>
        </w:rPr>
        <w:t>did not make a finding that section 46A did not apply at all</w:t>
      </w:r>
      <w:r w:rsidR="006C61D2" w:rsidRPr="00821F7B">
        <w:rPr>
          <w:rFonts w:cs="Arial"/>
          <w:szCs w:val="24"/>
        </w:rPr>
        <w:t xml:space="preserve"> – ie, I did not make a finding that there was some sort of threshold (relating to the value of a debtor’s home), above which the protection fell away</w:t>
      </w:r>
      <w:r w:rsidR="00CA6BC0" w:rsidRPr="00821F7B">
        <w:rPr>
          <w:rFonts w:cs="Arial"/>
          <w:szCs w:val="24"/>
        </w:rPr>
        <w:t xml:space="preserve">. Everything turned, </w:t>
      </w:r>
      <w:r w:rsidR="00DB147E">
        <w:rPr>
          <w:rFonts w:cs="Arial"/>
          <w:szCs w:val="24"/>
        </w:rPr>
        <w:t>rather</w:t>
      </w:r>
      <w:r w:rsidR="00CA6BC0" w:rsidRPr="00821F7B">
        <w:rPr>
          <w:rFonts w:cs="Arial"/>
          <w:szCs w:val="24"/>
        </w:rPr>
        <w:t>, on the balancing of the interests envisaged by the rule. There can be no scope for finding that my order is “unconstitutional”. There is also no scope for the direct application of section 26 of the Constitution (or section 25, for that matter – which I mention because the respondents refer to it in their application for leave to appeal). Rather, rule 46A is meant to give effect to the Constitution by ensuring that the right in section 26 is adequately protected. The wrong application of the rule by a judge is not “unconstitutional”. It is simply wrong and, accordingly, appealable. In this case, though, I am satisfied that there is no prospect of an appeal court finding that I misapplied rule 46A.</w:t>
      </w:r>
    </w:p>
    <w:p w14:paraId="2631E4A8" w14:textId="77777777" w:rsidR="006D2FA1" w:rsidRDefault="006D2FA1" w:rsidP="001B09CE">
      <w:pPr>
        <w:pStyle w:val="Heading1"/>
        <w:spacing w:line="276" w:lineRule="auto"/>
        <w:ind w:left="709" w:hanging="709"/>
        <w:rPr>
          <w:rFonts w:cs="Arial"/>
          <w:szCs w:val="24"/>
        </w:rPr>
      </w:pPr>
    </w:p>
    <w:p w14:paraId="7FDDC880" w14:textId="62565CC5" w:rsidR="00CA6BC0" w:rsidRPr="007C2D1F" w:rsidRDefault="00CA6BC0" w:rsidP="001B09CE">
      <w:pPr>
        <w:pStyle w:val="Heading1"/>
        <w:spacing w:line="276" w:lineRule="auto"/>
        <w:ind w:left="709" w:hanging="709"/>
        <w:rPr>
          <w:rFonts w:cs="Arial"/>
          <w:szCs w:val="24"/>
        </w:rPr>
      </w:pPr>
      <w:r w:rsidRPr="007C2D1F">
        <w:rPr>
          <w:rFonts w:cs="Arial"/>
          <w:szCs w:val="24"/>
        </w:rPr>
        <w:lastRenderedPageBreak/>
        <w:t>CONCLUSION AND COSTS</w:t>
      </w:r>
    </w:p>
    <w:p w14:paraId="7A61E2FD" w14:textId="6049EC79"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[21]</w:t>
      </w:r>
      <w:r w:rsidRPr="007C2D1F">
        <w:rPr>
          <w:rFonts w:cs="Arial"/>
          <w:szCs w:val="24"/>
        </w:rPr>
        <w:tab/>
      </w:r>
      <w:r w:rsidR="00CA6BC0" w:rsidRPr="007C2D1F">
        <w:rPr>
          <w:rFonts w:cs="Arial"/>
          <w:szCs w:val="24"/>
        </w:rPr>
        <w:t>It follows from what I have said above that the application for leave to appeal should be dismissed.</w:t>
      </w:r>
    </w:p>
    <w:p w14:paraId="184DF3EE" w14:textId="355A3256" w:rsidR="00CA6BC0" w:rsidRPr="007C2D1F" w:rsidRDefault="003578B4" w:rsidP="003578B4">
      <w:pPr>
        <w:pStyle w:val="WLGLevel1"/>
        <w:numPr>
          <w:ilvl w:val="0"/>
          <w:numId w:val="0"/>
        </w:numPr>
        <w:spacing w:line="276" w:lineRule="auto"/>
        <w:ind w:left="709" w:hanging="709"/>
        <w:rPr>
          <w:rFonts w:cs="Arial"/>
          <w:szCs w:val="24"/>
        </w:rPr>
      </w:pPr>
      <w:r w:rsidRPr="007C2D1F">
        <w:rPr>
          <w:rFonts w:cs="Arial"/>
          <w:szCs w:val="24"/>
        </w:rPr>
        <w:t>[22]</w:t>
      </w:r>
      <w:r w:rsidRPr="007C2D1F">
        <w:rPr>
          <w:rFonts w:cs="Arial"/>
          <w:szCs w:val="24"/>
        </w:rPr>
        <w:tab/>
      </w:r>
      <w:r w:rsidR="00CA6BC0" w:rsidRPr="007C2D1F">
        <w:rPr>
          <w:rFonts w:cs="Arial"/>
          <w:szCs w:val="24"/>
        </w:rPr>
        <w:t>For the same reason as given in paragraph 16 of the merits judgment, Absa is entitled to costs, in the application for leave to appeal, on the attorney-client scale.</w:t>
      </w:r>
    </w:p>
    <w:p w14:paraId="7A5A59F2" w14:textId="7C5DCBA3" w:rsidR="0000651B" w:rsidRPr="003578B4" w:rsidRDefault="003578B4" w:rsidP="003578B4">
      <w:pPr>
        <w:spacing w:after="0" w:line="276" w:lineRule="auto"/>
        <w:ind w:left="709" w:hanging="709"/>
        <w:rPr>
          <w:rFonts w:ascii="Arial" w:hAnsi="Arial" w:cs="Arial"/>
          <w:bCs/>
          <w:w w:val="104"/>
          <w:szCs w:val="24"/>
        </w:rPr>
      </w:pPr>
      <w:r w:rsidRPr="007C2D1F">
        <w:rPr>
          <w:rFonts w:ascii="Arial" w:hAnsi="Arial" w:cs="Arial"/>
          <w:bCs/>
          <w:w w:val="104"/>
          <w:szCs w:val="24"/>
        </w:rPr>
        <w:t>[23]</w:t>
      </w:r>
      <w:r w:rsidRPr="007C2D1F">
        <w:rPr>
          <w:rFonts w:ascii="Arial" w:hAnsi="Arial" w:cs="Arial"/>
          <w:bCs/>
          <w:w w:val="104"/>
          <w:szCs w:val="24"/>
        </w:rPr>
        <w:tab/>
      </w:r>
      <w:r w:rsidR="00CA6BC0" w:rsidRPr="003578B4">
        <w:rPr>
          <w:rFonts w:ascii="Arial" w:hAnsi="Arial" w:cs="Arial"/>
          <w:szCs w:val="24"/>
        </w:rPr>
        <w:t>I accordingly make the following order:</w:t>
      </w:r>
    </w:p>
    <w:p w14:paraId="77398721" w14:textId="77777777" w:rsidR="0000651B" w:rsidRPr="007C2D1F" w:rsidRDefault="0000651B" w:rsidP="001B09CE">
      <w:pPr>
        <w:pStyle w:val="ListParagraph"/>
        <w:spacing w:line="276" w:lineRule="auto"/>
        <w:ind w:left="709" w:hanging="709"/>
        <w:rPr>
          <w:rFonts w:ascii="Arial" w:hAnsi="Arial" w:cs="Arial"/>
          <w:bCs/>
          <w:w w:val="104"/>
          <w:szCs w:val="24"/>
        </w:rPr>
      </w:pPr>
    </w:p>
    <w:p w14:paraId="3E7DC565" w14:textId="72AD20D2" w:rsidR="0000651B" w:rsidRPr="003578B4" w:rsidRDefault="003578B4" w:rsidP="003578B4">
      <w:pPr>
        <w:spacing w:after="0" w:line="276" w:lineRule="auto"/>
        <w:ind w:left="709" w:hanging="709"/>
        <w:rPr>
          <w:rFonts w:ascii="Arial" w:hAnsi="Arial" w:cs="Arial"/>
          <w:bCs/>
          <w:w w:val="104"/>
          <w:szCs w:val="24"/>
        </w:rPr>
      </w:pPr>
      <w:r w:rsidRPr="007C2D1F">
        <w:rPr>
          <w:rFonts w:ascii="Arial" w:hAnsi="Arial" w:cs="Arial"/>
          <w:bCs/>
          <w:w w:val="104"/>
          <w:szCs w:val="24"/>
        </w:rPr>
        <w:t>1.</w:t>
      </w:r>
      <w:r w:rsidRPr="007C2D1F">
        <w:rPr>
          <w:rFonts w:ascii="Arial" w:hAnsi="Arial" w:cs="Arial"/>
          <w:bCs/>
          <w:w w:val="104"/>
          <w:szCs w:val="24"/>
        </w:rPr>
        <w:tab/>
      </w:r>
      <w:r w:rsidR="0009125D" w:rsidRPr="003578B4">
        <w:rPr>
          <w:rFonts w:ascii="Arial" w:hAnsi="Arial" w:cs="Arial"/>
          <w:bCs/>
          <w:w w:val="104"/>
          <w:szCs w:val="24"/>
        </w:rPr>
        <w:t>The application for leave to appeal under the above-mentioned case number is dismissed</w:t>
      </w:r>
      <w:r w:rsidR="009A2335" w:rsidRPr="003578B4">
        <w:rPr>
          <w:rFonts w:ascii="Arial" w:hAnsi="Arial" w:cs="Arial"/>
          <w:bCs/>
          <w:w w:val="104"/>
          <w:szCs w:val="24"/>
        </w:rPr>
        <w:t>.</w:t>
      </w:r>
    </w:p>
    <w:p w14:paraId="03ECB4AD" w14:textId="77777777" w:rsidR="0000651B" w:rsidRPr="007C2D1F" w:rsidRDefault="0000651B" w:rsidP="001B09CE">
      <w:pPr>
        <w:pStyle w:val="ListParagraph"/>
        <w:spacing w:after="0" w:line="276" w:lineRule="auto"/>
        <w:ind w:left="709" w:hanging="709"/>
        <w:rPr>
          <w:rFonts w:ascii="Arial" w:hAnsi="Arial" w:cs="Arial"/>
          <w:bCs/>
          <w:w w:val="104"/>
          <w:szCs w:val="24"/>
        </w:rPr>
      </w:pPr>
    </w:p>
    <w:p w14:paraId="68395B11" w14:textId="5E01CC24" w:rsidR="009A2335" w:rsidRPr="003578B4" w:rsidRDefault="003578B4" w:rsidP="003578B4">
      <w:pPr>
        <w:spacing w:after="0" w:line="276" w:lineRule="auto"/>
        <w:ind w:left="709" w:hanging="709"/>
        <w:rPr>
          <w:rFonts w:ascii="Arial" w:hAnsi="Arial" w:cs="Arial"/>
          <w:bCs/>
          <w:w w:val="104"/>
          <w:szCs w:val="24"/>
        </w:rPr>
      </w:pPr>
      <w:r w:rsidRPr="007C2D1F">
        <w:rPr>
          <w:rFonts w:ascii="Arial" w:hAnsi="Arial" w:cs="Arial"/>
          <w:bCs/>
          <w:w w:val="104"/>
          <w:szCs w:val="24"/>
        </w:rPr>
        <w:t>2.</w:t>
      </w:r>
      <w:r w:rsidRPr="007C2D1F">
        <w:rPr>
          <w:rFonts w:ascii="Arial" w:hAnsi="Arial" w:cs="Arial"/>
          <w:bCs/>
          <w:w w:val="104"/>
          <w:szCs w:val="24"/>
        </w:rPr>
        <w:tab/>
      </w:r>
      <w:r w:rsidR="009A2335" w:rsidRPr="003578B4">
        <w:rPr>
          <w:rFonts w:ascii="Arial" w:hAnsi="Arial" w:cs="Arial"/>
          <w:bCs/>
          <w:w w:val="104"/>
          <w:szCs w:val="24"/>
        </w:rPr>
        <w:t xml:space="preserve">The </w:t>
      </w:r>
      <w:r w:rsidR="0009125D" w:rsidRPr="003578B4">
        <w:rPr>
          <w:rFonts w:ascii="Arial" w:hAnsi="Arial" w:cs="Arial"/>
          <w:bCs/>
          <w:w w:val="104"/>
          <w:szCs w:val="24"/>
        </w:rPr>
        <w:t>applicants for leave to appeal</w:t>
      </w:r>
      <w:r w:rsidR="00C20DA6" w:rsidRPr="003578B4">
        <w:rPr>
          <w:rFonts w:ascii="Arial" w:hAnsi="Arial" w:cs="Arial"/>
          <w:bCs/>
          <w:w w:val="104"/>
          <w:szCs w:val="24"/>
        </w:rPr>
        <w:t xml:space="preserve"> (respondents in the main proceedings)</w:t>
      </w:r>
      <w:r w:rsidR="0009125D" w:rsidRPr="003578B4">
        <w:rPr>
          <w:rFonts w:ascii="Arial" w:hAnsi="Arial" w:cs="Arial"/>
          <w:bCs/>
          <w:w w:val="104"/>
          <w:szCs w:val="24"/>
        </w:rPr>
        <w:t xml:space="preserve"> are to pay the </w:t>
      </w:r>
      <w:r w:rsidR="009A2335" w:rsidRPr="003578B4">
        <w:rPr>
          <w:rFonts w:ascii="Arial" w:hAnsi="Arial" w:cs="Arial"/>
          <w:bCs/>
          <w:w w:val="104"/>
          <w:szCs w:val="24"/>
        </w:rPr>
        <w:t xml:space="preserve">costs of the application for leave to appeal </w:t>
      </w:r>
      <w:r w:rsidR="0009125D" w:rsidRPr="003578B4">
        <w:rPr>
          <w:rFonts w:ascii="Arial" w:hAnsi="Arial" w:cs="Arial"/>
          <w:bCs/>
          <w:w w:val="104"/>
          <w:szCs w:val="24"/>
        </w:rPr>
        <w:t>on the attorney-client scale</w:t>
      </w:r>
      <w:r w:rsidR="009A2335" w:rsidRPr="003578B4">
        <w:rPr>
          <w:rFonts w:ascii="Arial" w:hAnsi="Arial" w:cs="Arial"/>
          <w:bCs/>
          <w:w w:val="104"/>
          <w:szCs w:val="24"/>
        </w:rPr>
        <w:t>.</w:t>
      </w:r>
    </w:p>
    <w:p w14:paraId="6C3203AA" w14:textId="77777777" w:rsidR="004C60CE" w:rsidRPr="007C2D1F" w:rsidRDefault="004C60CE" w:rsidP="009A2335">
      <w:pPr>
        <w:spacing w:after="0" w:line="276" w:lineRule="auto"/>
        <w:rPr>
          <w:rFonts w:ascii="Arial" w:hAnsi="Arial" w:cs="Arial"/>
          <w:bCs/>
          <w:w w:val="104"/>
          <w:szCs w:val="24"/>
          <w:lang w:val="en-US"/>
        </w:rPr>
      </w:pPr>
    </w:p>
    <w:p w14:paraId="6F13D601" w14:textId="77777777" w:rsidR="006E5E01" w:rsidRPr="007C2D1F" w:rsidRDefault="006E5E01" w:rsidP="006E5E01">
      <w:pPr>
        <w:spacing w:after="0" w:line="276" w:lineRule="auto"/>
        <w:rPr>
          <w:rFonts w:ascii="Arial" w:hAnsi="Arial" w:cs="Arial"/>
          <w:bCs/>
          <w:w w:val="104"/>
          <w:szCs w:val="24"/>
          <w:lang w:val="en-GB"/>
        </w:rPr>
      </w:pPr>
    </w:p>
    <w:p w14:paraId="36A464AE" w14:textId="7A7F6F9B" w:rsidR="00330920" w:rsidRPr="007C2D1F" w:rsidRDefault="00330920" w:rsidP="001A4766">
      <w:pPr>
        <w:spacing w:after="0" w:line="276" w:lineRule="auto"/>
        <w:rPr>
          <w:rFonts w:ascii="Arial" w:hAnsi="Arial" w:cs="Arial"/>
          <w:szCs w:val="24"/>
        </w:rPr>
      </w:pPr>
    </w:p>
    <w:p w14:paraId="1C9E4B8F" w14:textId="77777777" w:rsidR="00BC453B" w:rsidRPr="007C2D1F" w:rsidRDefault="00BC453B" w:rsidP="004E1A18">
      <w:pPr>
        <w:spacing w:after="0" w:line="240" w:lineRule="auto"/>
        <w:ind w:left="0"/>
        <w:rPr>
          <w:rFonts w:ascii="Arial" w:hAnsi="Arial" w:cs="Arial"/>
          <w:szCs w:val="24"/>
        </w:rPr>
      </w:pPr>
    </w:p>
    <w:p w14:paraId="7FC560B9" w14:textId="77777777" w:rsidR="00323DDE" w:rsidRPr="007C2D1F" w:rsidRDefault="00BC453B" w:rsidP="004E1A18">
      <w:pPr>
        <w:spacing w:after="0" w:line="240" w:lineRule="auto"/>
        <w:jc w:val="right"/>
        <w:rPr>
          <w:rFonts w:ascii="Arial" w:hAnsi="Arial" w:cs="Arial"/>
          <w:szCs w:val="24"/>
        </w:rPr>
      </w:pPr>
      <w:r w:rsidRPr="007C2D1F">
        <w:rPr>
          <w:rFonts w:ascii="Arial" w:hAnsi="Arial" w:cs="Arial"/>
          <w:szCs w:val="24"/>
        </w:rPr>
        <w:t>______________________________</w:t>
      </w:r>
    </w:p>
    <w:p w14:paraId="521C86C0" w14:textId="67B5FBF0" w:rsidR="00330920" w:rsidRPr="007C2D1F" w:rsidRDefault="009A2335" w:rsidP="004E1A18">
      <w:pPr>
        <w:spacing w:after="0" w:line="240" w:lineRule="auto"/>
        <w:jc w:val="right"/>
        <w:rPr>
          <w:rFonts w:ascii="Arial" w:hAnsi="Arial" w:cs="Arial"/>
          <w:b/>
          <w:szCs w:val="24"/>
        </w:rPr>
      </w:pPr>
      <w:r w:rsidRPr="007C2D1F">
        <w:rPr>
          <w:rFonts w:ascii="Arial" w:hAnsi="Arial" w:cs="Arial"/>
          <w:b/>
          <w:szCs w:val="24"/>
        </w:rPr>
        <w:t>A.</w:t>
      </w:r>
      <w:r w:rsidR="00F8457D" w:rsidRPr="007C2D1F">
        <w:rPr>
          <w:rFonts w:ascii="Arial" w:hAnsi="Arial" w:cs="Arial"/>
          <w:b/>
          <w:szCs w:val="24"/>
        </w:rPr>
        <w:t xml:space="preserve"> </w:t>
      </w:r>
      <w:r w:rsidRPr="007C2D1F">
        <w:rPr>
          <w:rFonts w:ascii="Arial" w:hAnsi="Arial" w:cs="Arial"/>
          <w:b/>
          <w:szCs w:val="24"/>
        </w:rPr>
        <w:t>FRIEDMAN</w:t>
      </w:r>
    </w:p>
    <w:p w14:paraId="2B6A632C" w14:textId="77777777" w:rsidR="00330920" w:rsidRPr="007C2D1F" w:rsidRDefault="00330920" w:rsidP="004E1A18">
      <w:pPr>
        <w:spacing w:after="0" w:line="240" w:lineRule="auto"/>
        <w:jc w:val="right"/>
        <w:rPr>
          <w:rFonts w:ascii="Arial" w:hAnsi="Arial" w:cs="Arial"/>
          <w:szCs w:val="24"/>
        </w:rPr>
      </w:pPr>
      <w:r w:rsidRPr="007C2D1F">
        <w:rPr>
          <w:rFonts w:ascii="Arial" w:hAnsi="Arial" w:cs="Arial"/>
          <w:szCs w:val="24"/>
        </w:rPr>
        <w:t>Acting Judge of the High Court</w:t>
      </w:r>
    </w:p>
    <w:p w14:paraId="2B6B4648" w14:textId="77777777" w:rsidR="00330920" w:rsidRPr="007C2D1F" w:rsidRDefault="00F8457D" w:rsidP="004E1A18">
      <w:pPr>
        <w:spacing w:after="0" w:line="240" w:lineRule="auto"/>
        <w:jc w:val="right"/>
        <w:rPr>
          <w:rFonts w:ascii="Arial" w:hAnsi="Arial" w:cs="Arial"/>
          <w:szCs w:val="24"/>
        </w:rPr>
      </w:pPr>
      <w:r w:rsidRPr="007C2D1F">
        <w:rPr>
          <w:rFonts w:ascii="Arial" w:hAnsi="Arial" w:cs="Arial"/>
          <w:szCs w:val="24"/>
        </w:rPr>
        <w:tab/>
      </w:r>
      <w:r w:rsidRPr="007C2D1F">
        <w:rPr>
          <w:rFonts w:ascii="Arial" w:hAnsi="Arial" w:cs="Arial"/>
          <w:szCs w:val="24"/>
        </w:rPr>
        <w:tab/>
      </w:r>
      <w:r w:rsidRPr="007C2D1F">
        <w:rPr>
          <w:rFonts w:ascii="Arial" w:hAnsi="Arial" w:cs="Arial"/>
          <w:szCs w:val="24"/>
        </w:rPr>
        <w:tab/>
        <w:t>Gauteng Division, Johannesburg</w:t>
      </w:r>
    </w:p>
    <w:p w14:paraId="4D7413F1" w14:textId="77777777" w:rsidR="00330920" w:rsidRPr="007C2D1F" w:rsidRDefault="00330920" w:rsidP="004E1A18">
      <w:pPr>
        <w:spacing w:after="0" w:line="240" w:lineRule="auto"/>
        <w:rPr>
          <w:rFonts w:ascii="Arial" w:hAnsi="Arial" w:cs="Arial"/>
          <w:szCs w:val="24"/>
        </w:rPr>
      </w:pPr>
    </w:p>
    <w:p w14:paraId="07FDB717" w14:textId="77777777" w:rsidR="0000651B" w:rsidRPr="007C2D1F" w:rsidRDefault="0000651B" w:rsidP="0000651B">
      <w:pPr>
        <w:spacing w:after="0" w:line="240" w:lineRule="auto"/>
        <w:ind w:left="0"/>
        <w:rPr>
          <w:rFonts w:ascii="Arial" w:hAnsi="Arial" w:cs="Arial"/>
          <w:szCs w:val="24"/>
        </w:rPr>
      </w:pPr>
    </w:p>
    <w:p w14:paraId="2850B784" w14:textId="23388E93" w:rsidR="0000651B" w:rsidRPr="007C2D1F" w:rsidRDefault="0000651B" w:rsidP="0000651B">
      <w:pPr>
        <w:spacing w:after="0" w:line="240" w:lineRule="auto"/>
        <w:ind w:left="0"/>
        <w:rPr>
          <w:rFonts w:ascii="Arial" w:hAnsi="Arial" w:cs="Arial"/>
          <w:szCs w:val="24"/>
        </w:rPr>
      </w:pPr>
      <w:r w:rsidRPr="007C2D1F">
        <w:rPr>
          <w:rFonts w:ascii="Arial" w:hAnsi="Arial" w:cs="Arial"/>
          <w:szCs w:val="24"/>
        </w:rPr>
        <w:t xml:space="preserve">Delivered: This judgment was prepared and authored by the Judge whose name is reflected above and is handed down electronically by circulation to the parties/their legal representatives by email and by uploading it to the electronic file of this matter. The date for hand down is deemed to be </w:t>
      </w:r>
      <w:r w:rsidR="0009125D" w:rsidRPr="007C2D1F">
        <w:rPr>
          <w:rFonts w:ascii="Arial" w:hAnsi="Arial" w:cs="Arial"/>
          <w:b/>
          <w:szCs w:val="24"/>
        </w:rPr>
        <w:t>9 April 2024</w:t>
      </w:r>
      <w:r w:rsidRPr="007C2D1F">
        <w:rPr>
          <w:rFonts w:ascii="Arial" w:hAnsi="Arial" w:cs="Arial"/>
          <w:szCs w:val="24"/>
        </w:rPr>
        <w:t>.</w:t>
      </w:r>
    </w:p>
    <w:p w14:paraId="3B9D1261" w14:textId="77777777" w:rsidR="0000651B" w:rsidRPr="007C2D1F" w:rsidRDefault="0000651B" w:rsidP="0000651B">
      <w:pPr>
        <w:spacing w:after="0" w:line="240" w:lineRule="auto"/>
        <w:ind w:left="0"/>
        <w:rPr>
          <w:rFonts w:ascii="Arial" w:hAnsi="Arial" w:cs="Arial"/>
          <w:b/>
          <w:szCs w:val="24"/>
        </w:rPr>
      </w:pPr>
    </w:p>
    <w:p w14:paraId="7D0895ED" w14:textId="77777777" w:rsidR="0000651B" w:rsidRPr="007C2D1F" w:rsidRDefault="0000651B" w:rsidP="0000651B">
      <w:pPr>
        <w:spacing w:after="0" w:line="240" w:lineRule="auto"/>
        <w:ind w:left="0"/>
        <w:rPr>
          <w:rFonts w:ascii="Arial" w:hAnsi="Arial" w:cs="Arial"/>
          <w:b/>
          <w:szCs w:val="24"/>
        </w:rPr>
      </w:pPr>
    </w:p>
    <w:p w14:paraId="280699A4" w14:textId="77777777" w:rsidR="0000651B" w:rsidRPr="007C2D1F" w:rsidRDefault="0000651B" w:rsidP="0000651B">
      <w:pPr>
        <w:spacing w:after="0" w:line="240" w:lineRule="auto"/>
        <w:ind w:left="0"/>
        <w:rPr>
          <w:rFonts w:ascii="Arial" w:hAnsi="Arial" w:cs="Arial"/>
          <w:b/>
          <w:szCs w:val="24"/>
        </w:rPr>
      </w:pPr>
    </w:p>
    <w:p w14:paraId="784BBCF2" w14:textId="77777777" w:rsidR="0000651B" w:rsidRPr="007C2D1F" w:rsidRDefault="0000651B" w:rsidP="0000651B">
      <w:pPr>
        <w:spacing w:after="0" w:line="240" w:lineRule="auto"/>
        <w:ind w:left="0"/>
        <w:rPr>
          <w:rFonts w:ascii="Arial" w:hAnsi="Arial" w:cs="Arial"/>
          <w:b/>
          <w:szCs w:val="24"/>
        </w:rPr>
      </w:pPr>
    </w:p>
    <w:p w14:paraId="0296E67B" w14:textId="77777777" w:rsidR="0000651B" w:rsidRPr="007C2D1F" w:rsidRDefault="0000651B" w:rsidP="0000651B">
      <w:pPr>
        <w:spacing w:after="0" w:line="240" w:lineRule="auto"/>
        <w:ind w:left="0"/>
        <w:rPr>
          <w:rFonts w:ascii="Arial" w:hAnsi="Arial" w:cs="Arial"/>
          <w:b/>
          <w:szCs w:val="24"/>
        </w:rPr>
      </w:pPr>
    </w:p>
    <w:p w14:paraId="1D0D79B6" w14:textId="77777777" w:rsidR="0000651B" w:rsidRPr="007C2D1F" w:rsidRDefault="0000651B" w:rsidP="0000651B">
      <w:pPr>
        <w:spacing w:after="0" w:line="240" w:lineRule="auto"/>
        <w:ind w:left="0"/>
        <w:rPr>
          <w:rFonts w:ascii="Arial" w:hAnsi="Arial" w:cs="Arial"/>
          <w:b/>
          <w:szCs w:val="24"/>
        </w:rPr>
      </w:pPr>
    </w:p>
    <w:p w14:paraId="59EF053C" w14:textId="024FBAB4" w:rsidR="0000651B" w:rsidRPr="007C2D1F" w:rsidRDefault="0000651B" w:rsidP="0000651B">
      <w:pPr>
        <w:spacing w:after="0" w:line="240" w:lineRule="auto"/>
        <w:ind w:left="0"/>
        <w:rPr>
          <w:rFonts w:ascii="Arial" w:hAnsi="Arial" w:cs="Arial"/>
          <w:b/>
          <w:szCs w:val="24"/>
        </w:rPr>
      </w:pPr>
      <w:r w:rsidRPr="007C2D1F">
        <w:rPr>
          <w:rFonts w:ascii="Arial" w:hAnsi="Arial" w:cs="Arial"/>
          <w:b/>
          <w:szCs w:val="24"/>
        </w:rPr>
        <w:t>Heard:</w:t>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00241F89" w:rsidRPr="007C2D1F">
        <w:rPr>
          <w:rFonts w:ascii="Arial" w:hAnsi="Arial" w:cs="Arial"/>
          <w:b/>
          <w:szCs w:val="24"/>
        </w:rPr>
        <w:tab/>
      </w:r>
      <w:r w:rsidR="00BF0FD1" w:rsidRPr="007C2D1F">
        <w:rPr>
          <w:rFonts w:ascii="Arial" w:hAnsi="Arial" w:cs="Arial"/>
          <w:szCs w:val="24"/>
        </w:rPr>
        <w:t>8 April 2024</w:t>
      </w:r>
    </w:p>
    <w:p w14:paraId="7ABC5724" w14:textId="72CF35B8" w:rsidR="0000651B" w:rsidRPr="007C2D1F" w:rsidRDefault="0000651B" w:rsidP="0000651B">
      <w:pPr>
        <w:spacing w:after="0" w:line="240" w:lineRule="auto"/>
        <w:ind w:left="0"/>
        <w:rPr>
          <w:rFonts w:ascii="Arial" w:hAnsi="Arial" w:cs="Arial"/>
          <w:b/>
          <w:szCs w:val="24"/>
        </w:rPr>
      </w:pPr>
      <w:r w:rsidRPr="007C2D1F">
        <w:rPr>
          <w:rFonts w:ascii="Arial" w:hAnsi="Arial" w:cs="Arial"/>
          <w:b/>
          <w:szCs w:val="24"/>
        </w:rPr>
        <w:t xml:space="preserve">Judgment: </w:t>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00BF0FD1" w:rsidRPr="007C2D1F">
        <w:rPr>
          <w:rFonts w:ascii="Arial" w:hAnsi="Arial" w:cs="Arial"/>
          <w:bCs/>
          <w:szCs w:val="24"/>
        </w:rPr>
        <w:t>9 April 2024</w:t>
      </w:r>
    </w:p>
    <w:p w14:paraId="7EEDFB2E" w14:textId="77777777" w:rsidR="0000651B" w:rsidRPr="007C2D1F" w:rsidRDefault="0000651B" w:rsidP="0000651B">
      <w:pPr>
        <w:spacing w:after="0" w:line="240" w:lineRule="auto"/>
        <w:ind w:left="0"/>
        <w:rPr>
          <w:rFonts w:ascii="Arial" w:hAnsi="Arial" w:cs="Arial"/>
          <w:b/>
          <w:szCs w:val="24"/>
        </w:rPr>
      </w:pPr>
    </w:p>
    <w:p w14:paraId="339ED762" w14:textId="338C253A" w:rsidR="0000651B" w:rsidRPr="007C2D1F" w:rsidRDefault="00F61AE3" w:rsidP="0000651B">
      <w:pPr>
        <w:spacing w:after="0" w:line="240" w:lineRule="auto"/>
        <w:ind w:left="0"/>
        <w:rPr>
          <w:rFonts w:ascii="Arial" w:hAnsi="Arial" w:cs="Arial"/>
          <w:szCs w:val="24"/>
        </w:rPr>
      </w:pPr>
      <w:r w:rsidRPr="007C2D1F">
        <w:rPr>
          <w:rFonts w:ascii="Arial" w:hAnsi="Arial" w:cs="Arial"/>
          <w:szCs w:val="24"/>
          <w:u w:val="single"/>
        </w:rPr>
        <w:t>Appearances</w:t>
      </w:r>
      <w:r w:rsidR="0000651B" w:rsidRPr="007C2D1F">
        <w:rPr>
          <w:rFonts w:ascii="Arial" w:hAnsi="Arial" w:cs="Arial"/>
          <w:szCs w:val="24"/>
        </w:rPr>
        <w:t>:</w:t>
      </w:r>
    </w:p>
    <w:p w14:paraId="3CDD1D6D" w14:textId="77777777" w:rsidR="00F61AE3" w:rsidRPr="007C2D1F" w:rsidRDefault="00F61AE3" w:rsidP="0000651B">
      <w:pPr>
        <w:spacing w:after="0" w:line="240" w:lineRule="auto"/>
        <w:ind w:left="0"/>
        <w:rPr>
          <w:rFonts w:ascii="Arial" w:hAnsi="Arial" w:cs="Arial"/>
          <w:b/>
          <w:szCs w:val="24"/>
        </w:rPr>
      </w:pPr>
    </w:p>
    <w:p w14:paraId="38F01D20" w14:textId="5FE28C94" w:rsidR="00F61AE3" w:rsidRPr="007C2D1F" w:rsidRDefault="00F61AE3" w:rsidP="00F61AE3">
      <w:pPr>
        <w:spacing w:after="0" w:line="240" w:lineRule="auto"/>
        <w:ind w:left="0"/>
        <w:rPr>
          <w:rFonts w:ascii="Arial" w:hAnsi="Arial" w:cs="Arial"/>
          <w:b/>
          <w:szCs w:val="24"/>
        </w:rPr>
      </w:pPr>
      <w:r w:rsidRPr="007C2D1F">
        <w:rPr>
          <w:rFonts w:ascii="Arial" w:hAnsi="Arial" w:cs="Arial"/>
          <w:b/>
          <w:szCs w:val="24"/>
        </w:rPr>
        <w:t>For Applicant</w:t>
      </w:r>
      <w:r w:rsidR="00404482" w:rsidRPr="007C2D1F">
        <w:rPr>
          <w:rFonts w:ascii="Arial" w:hAnsi="Arial" w:cs="Arial"/>
          <w:b/>
          <w:szCs w:val="24"/>
        </w:rPr>
        <w:t>s for leave to appeal</w:t>
      </w:r>
      <w:r w:rsidRPr="007C2D1F">
        <w:rPr>
          <w:rFonts w:ascii="Arial" w:hAnsi="Arial" w:cs="Arial"/>
          <w:b/>
          <w:szCs w:val="24"/>
        </w:rPr>
        <w:t>:</w:t>
      </w:r>
      <w:r w:rsidRPr="007C2D1F">
        <w:rPr>
          <w:rFonts w:ascii="Arial" w:hAnsi="Arial" w:cs="Arial"/>
          <w:b/>
          <w:szCs w:val="24"/>
        </w:rPr>
        <w:tab/>
      </w:r>
      <w:r w:rsidRPr="007C2D1F">
        <w:rPr>
          <w:rFonts w:ascii="Arial" w:hAnsi="Arial" w:cs="Arial"/>
          <w:b/>
          <w:szCs w:val="24"/>
        </w:rPr>
        <w:tab/>
      </w:r>
      <w:r w:rsidR="00404482" w:rsidRPr="007C2D1F">
        <w:rPr>
          <w:rFonts w:ascii="Arial" w:hAnsi="Arial" w:cs="Arial"/>
          <w:szCs w:val="24"/>
        </w:rPr>
        <w:t xml:space="preserve">Mr </w:t>
      </w:r>
      <w:r w:rsidR="0094653F" w:rsidRPr="007C2D1F">
        <w:rPr>
          <w:rFonts w:ascii="Arial" w:hAnsi="Arial" w:cs="Arial"/>
          <w:szCs w:val="24"/>
        </w:rPr>
        <w:t xml:space="preserve">NI </w:t>
      </w:r>
      <w:r w:rsidR="00404482" w:rsidRPr="007C2D1F">
        <w:rPr>
          <w:rFonts w:ascii="Arial" w:hAnsi="Arial" w:cs="Arial"/>
          <w:szCs w:val="24"/>
        </w:rPr>
        <w:t>Rap</w:t>
      </w:r>
      <w:r w:rsidR="00670B00" w:rsidRPr="007C2D1F">
        <w:rPr>
          <w:rFonts w:ascii="Arial" w:hAnsi="Arial" w:cs="Arial"/>
          <w:szCs w:val="24"/>
        </w:rPr>
        <w:t>h</w:t>
      </w:r>
      <w:r w:rsidR="00404482" w:rsidRPr="007C2D1F">
        <w:rPr>
          <w:rFonts w:ascii="Arial" w:hAnsi="Arial" w:cs="Arial"/>
          <w:szCs w:val="24"/>
        </w:rPr>
        <w:t>ela (attorney)</w:t>
      </w:r>
    </w:p>
    <w:p w14:paraId="2C097C00" w14:textId="352F42DE" w:rsidR="00F61AE3" w:rsidRPr="007C2D1F" w:rsidRDefault="00F61AE3" w:rsidP="00F61AE3">
      <w:pPr>
        <w:spacing w:after="0" w:line="240" w:lineRule="auto"/>
        <w:ind w:left="0"/>
        <w:rPr>
          <w:rFonts w:ascii="Arial" w:hAnsi="Arial" w:cs="Arial"/>
          <w:szCs w:val="24"/>
        </w:rPr>
      </w:pPr>
      <w:r w:rsidRPr="007C2D1F">
        <w:rPr>
          <w:rFonts w:ascii="Arial" w:hAnsi="Arial" w:cs="Arial"/>
          <w:b/>
          <w:szCs w:val="24"/>
        </w:rPr>
        <w:t>Attorneys for the Applicant:</w:t>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006C65A7" w:rsidRPr="007C2D1F">
        <w:rPr>
          <w:rFonts w:ascii="Arial" w:hAnsi="Arial" w:cs="Arial"/>
          <w:szCs w:val="24"/>
        </w:rPr>
        <w:t>Raphela Attorneys Inc</w:t>
      </w:r>
    </w:p>
    <w:p w14:paraId="7357C222" w14:textId="77777777" w:rsidR="00F61AE3" w:rsidRPr="007C2D1F" w:rsidRDefault="00F61AE3" w:rsidP="0000651B">
      <w:pPr>
        <w:spacing w:after="0" w:line="240" w:lineRule="auto"/>
        <w:ind w:left="0"/>
        <w:rPr>
          <w:rFonts w:ascii="Arial" w:hAnsi="Arial" w:cs="Arial"/>
          <w:b/>
          <w:szCs w:val="24"/>
        </w:rPr>
      </w:pPr>
    </w:p>
    <w:p w14:paraId="32AAA984" w14:textId="682FBA8E" w:rsidR="0000651B" w:rsidRPr="007C2D1F" w:rsidRDefault="0000651B" w:rsidP="0000651B">
      <w:pPr>
        <w:spacing w:after="0" w:line="240" w:lineRule="auto"/>
        <w:ind w:left="0"/>
        <w:rPr>
          <w:rFonts w:ascii="Arial" w:hAnsi="Arial" w:cs="Arial"/>
          <w:szCs w:val="24"/>
        </w:rPr>
      </w:pPr>
      <w:r w:rsidRPr="007C2D1F">
        <w:rPr>
          <w:rFonts w:ascii="Arial" w:hAnsi="Arial" w:cs="Arial"/>
          <w:b/>
          <w:szCs w:val="24"/>
        </w:rPr>
        <w:t xml:space="preserve">For </w:t>
      </w:r>
      <w:r w:rsidR="00F61AE3" w:rsidRPr="007C2D1F">
        <w:rPr>
          <w:rFonts w:ascii="Arial" w:hAnsi="Arial" w:cs="Arial"/>
          <w:b/>
          <w:szCs w:val="24"/>
        </w:rPr>
        <w:t>Respondent</w:t>
      </w:r>
      <w:r w:rsidRPr="007C2D1F">
        <w:rPr>
          <w:rFonts w:ascii="Arial" w:hAnsi="Arial" w:cs="Arial"/>
          <w:b/>
          <w:szCs w:val="24"/>
        </w:rPr>
        <w:t>:</w:t>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Pr="007C2D1F">
        <w:rPr>
          <w:rFonts w:ascii="Arial" w:hAnsi="Arial" w:cs="Arial"/>
          <w:b/>
          <w:szCs w:val="24"/>
        </w:rPr>
        <w:tab/>
      </w:r>
      <w:r w:rsidR="006C65A7" w:rsidRPr="007C2D1F">
        <w:rPr>
          <w:rFonts w:ascii="Arial" w:hAnsi="Arial" w:cs="Arial"/>
          <w:szCs w:val="24"/>
        </w:rPr>
        <w:t>Ms L Acker</w:t>
      </w:r>
    </w:p>
    <w:p w14:paraId="3BE4C601" w14:textId="02B70BE4" w:rsidR="00517414" w:rsidRPr="007C2D1F" w:rsidRDefault="0000651B" w:rsidP="00B80C1B">
      <w:pPr>
        <w:spacing w:after="0" w:line="240" w:lineRule="auto"/>
        <w:ind w:left="0"/>
        <w:rPr>
          <w:rFonts w:ascii="Arial" w:hAnsi="Arial" w:cs="Arial"/>
          <w:szCs w:val="24"/>
        </w:rPr>
      </w:pPr>
      <w:r w:rsidRPr="007C2D1F">
        <w:rPr>
          <w:rFonts w:ascii="Arial" w:hAnsi="Arial" w:cs="Arial"/>
          <w:b/>
          <w:szCs w:val="24"/>
        </w:rPr>
        <w:t xml:space="preserve">Attorneys for </w:t>
      </w:r>
      <w:r w:rsidR="00F61AE3" w:rsidRPr="007C2D1F">
        <w:rPr>
          <w:rFonts w:ascii="Arial" w:hAnsi="Arial" w:cs="Arial"/>
          <w:b/>
          <w:szCs w:val="24"/>
        </w:rPr>
        <w:t>Respondent:</w:t>
      </w:r>
      <w:r w:rsidRPr="007C2D1F">
        <w:rPr>
          <w:rFonts w:ascii="Arial" w:hAnsi="Arial" w:cs="Arial"/>
          <w:b/>
          <w:szCs w:val="24"/>
        </w:rPr>
        <w:tab/>
      </w:r>
      <w:r w:rsidR="00F61AE3" w:rsidRPr="007C2D1F">
        <w:rPr>
          <w:rFonts w:ascii="Arial" w:hAnsi="Arial" w:cs="Arial"/>
          <w:b/>
          <w:szCs w:val="24"/>
        </w:rPr>
        <w:tab/>
      </w:r>
      <w:r w:rsidRPr="007C2D1F">
        <w:rPr>
          <w:rFonts w:ascii="Arial" w:hAnsi="Arial" w:cs="Arial"/>
          <w:b/>
          <w:szCs w:val="24"/>
        </w:rPr>
        <w:tab/>
      </w:r>
      <w:r w:rsidR="00135F39" w:rsidRPr="007C2D1F">
        <w:rPr>
          <w:rFonts w:ascii="Arial" w:hAnsi="Arial" w:cs="Arial"/>
          <w:szCs w:val="24"/>
        </w:rPr>
        <w:t>Bowman Gilfillan Inc</w:t>
      </w:r>
    </w:p>
    <w:sectPr w:rsidR="00517414" w:rsidRPr="007C2D1F" w:rsidSect="006962B1">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0B200" w14:textId="77777777" w:rsidR="006962B1" w:rsidRDefault="006962B1" w:rsidP="002F5930">
      <w:pPr>
        <w:spacing w:after="0" w:line="240" w:lineRule="auto"/>
      </w:pPr>
      <w:r>
        <w:separator/>
      </w:r>
    </w:p>
  </w:endnote>
  <w:endnote w:type="continuationSeparator" w:id="0">
    <w:p w14:paraId="7789C631" w14:textId="77777777" w:rsidR="006962B1" w:rsidRDefault="006962B1" w:rsidP="002F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22201190"/>
      <w:docPartObj>
        <w:docPartGallery w:val="Page Numbers (Bottom of Page)"/>
        <w:docPartUnique/>
      </w:docPartObj>
    </w:sdtPr>
    <w:sdtContent>
      <w:p w14:paraId="1BE8D03D" w14:textId="77777777" w:rsidR="00A00741" w:rsidRDefault="00A00741" w:rsidP="00261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96922" w14:textId="77777777" w:rsidR="00A00741" w:rsidRDefault="00A00741" w:rsidP="00A007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86725956"/>
      <w:docPartObj>
        <w:docPartGallery w:val="Page Numbers (Bottom of Page)"/>
        <w:docPartUnique/>
      </w:docPartObj>
    </w:sdtPr>
    <w:sdtContent>
      <w:p w14:paraId="475788AB" w14:textId="303D6A46" w:rsidR="00A00741" w:rsidRDefault="00A00741" w:rsidP="00261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1049">
          <w:rPr>
            <w:rStyle w:val="PageNumber"/>
            <w:noProof/>
          </w:rPr>
          <w:t>1</w:t>
        </w:r>
        <w:r>
          <w:rPr>
            <w:rStyle w:val="PageNumber"/>
          </w:rPr>
          <w:fldChar w:fldCharType="end"/>
        </w:r>
      </w:p>
    </w:sdtContent>
  </w:sdt>
  <w:p w14:paraId="0422DDD8" w14:textId="77777777" w:rsidR="00A00741" w:rsidRDefault="00A00741" w:rsidP="00A007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09F0A" w14:textId="77777777" w:rsidR="006962B1" w:rsidRDefault="006962B1" w:rsidP="002F5930">
      <w:pPr>
        <w:spacing w:after="0" w:line="240" w:lineRule="auto"/>
      </w:pPr>
      <w:r>
        <w:separator/>
      </w:r>
    </w:p>
  </w:footnote>
  <w:footnote w:type="continuationSeparator" w:id="0">
    <w:p w14:paraId="313704F0" w14:textId="77777777" w:rsidR="006962B1" w:rsidRDefault="006962B1" w:rsidP="002F5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2DD6"/>
    <w:multiLevelType w:val="hybridMultilevel"/>
    <w:tmpl w:val="2C2268D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15:restartNumberingAfterBreak="0">
    <w:nsid w:val="06761273"/>
    <w:multiLevelType w:val="hybridMultilevel"/>
    <w:tmpl w:val="0E4CF6F0"/>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6901FE"/>
    <w:multiLevelType w:val="hybridMultilevel"/>
    <w:tmpl w:val="41C6A0E2"/>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0CEC7517"/>
    <w:multiLevelType w:val="hybridMultilevel"/>
    <w:tmpl w:val="AE96618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0D081353"/>
    <w:multiLevelType w:val="hybridMultilevel"/>
    <w:tmpl w:val="2D2AEB9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129F0C0C"/>
    <w:multiLevelType w:val="hybridMultilevel"/>
    <w:tmpl w:val="BE6819B8"/>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131E16DE"/>
    <w:multiLevelType w:val="hybridMultilevel"/>
    <w:tmpl w:val="D2F2427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143320E0"/>
    <w:multiLevelType w:val="hybridMultilevel"/>
    <w:tmpl w:val="3FD4FDC2"/>
    <w:lvl w:ilvl="0" w:tplc="10D0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D6E90"/>
    <w:multiLevelType w:val="hybridMultilevel"/>
    <w:tmpl w:val="85C09D8C"/>
    <w:lvl w:ilvl="0" w:tplc="D6421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9F4CC9"/>
    <w:multiLevelType w:val="multilevel"/>
    <w:tmpl w:val="1ACC44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C2F6A8E"/>
    <w:multiLevelType w:val="hybridMultilevel"/>
    <w:tmpl w:val="4E2C4A54"/>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225A117E"/>
    <w:multiLevelType w:val="hybridMultilevel"/>
    <w:tmpl w:val="979CC564"/>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23180E1B"/>
    <w:multiLevelType w:val="hybridMultilevel"/>
    <w:tmpl w:val="C8201C7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 w15:restartNumberingAfterBreak="0">
    <w:nsid w:val="28190CC0"/>
    <w:multiLevelType w:val="multilevel"/>
    <w:tmpl w:val="8C4CC8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FE804E9"/>
    <w:multiLevelType w:val="hybridMultilevel"/>
    <w:tmpl w:val="413268FA"/>
    <w:lvl w:ilvl="0" w:tplc="5CD860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0125FB0"/>
    <w:multiLevelType w:val="multilevel"/>
    <w:tmpl w:val="56F216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0562310"/>
    <w:multiLevelType w:val="hybridMultilevel"/>
    <w:tmpl w:val="B83EC2EE"/>
    <w:lvl w:ilvl="0" w:tplc="BFFA744E">
      <w:start w:val="1"/>
      <w:numFmt w:val="decimal"/>
      <w:lvlText w:val="[%1]"/>
      <w:lvlJc w:val="left"/>
      <w:pPr>
        <w:ind w:left="428" w:hanging="360"/>
      </w:pPr>
      <w:rPr>
        <w:rFonts w:hint="default"/>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15:restartNumberingAfterBreak="0">
    <w:nsid w:val="3901124B"/>
    <w:multiLevelType w:val="hybridMultilevel"/>
    <w:tmpl w:val="0C24FCE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3B13166B"/>
    <w:multiLevelType w:val="hybridMultilevel"/>
    <w:tmpl w:val="620A731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3B9D2816"/>
    <w:multiLevelType w:val="hybridMultilevel"/>
    <w:tmpl w:val="2FB6A1B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3C124493"/>
    <w:multiLevelType w:val="hybridMultilevel"/>
    <w:tmpl w:val="11123C8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42503A64"/>
    <w:multiLevelType w:val="multilevel"/>
    <w:tmpl w:val="A760B4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CF262B"/>
    <w:multiLevelType w:val="multilevel"/>
    <w:tmpl w:val="074E7B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7EE4202"/>
    <w:multiLevelType w:val="hybridMultilevel"/>
    <w:tmpl w:val="FB6882A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15:restartNumberingAfterBreak="0">
    <w:nsid w:val="488F4ACB"/>
    <w:multiLevelType w:val="hybridMultilevel"/>
    <w:tmpl w:val="04EAFB4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15:restartNumberingAfterBreak="0">
    <w:nsid w:val="5AAF396F"/>
    <w:multiLevelType w:val="multilevel"/>
    <w:tmpl w:val="1E308A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BDC551E"/>
    <w:multiLevelType w:val="hybridMultilevel"/>
    <w:tmpl w:val="1ADE3754"/>
    <w:lvl w:ilvl="0" w:tplc="BFFA744E">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15:restartNumberingAfterBreak="0">
    <w:nsid w:val="64304B4C"/>
    <w:multiLevelType w:val="hybridMultilevel"/>
    <w:tmpl w:val="C5562B9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0" w15:restartNumberingAfterBreak="0">
    <w:nsid w:val="685B4260"/>
    <w:multiLevelType w:val="multilevel"/>
    <w:tmpl w:val="EC8C58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B92CAD"/>
    <w:multiLevelType w:val="hybridMultilevel"/>
    <w:tmpl w:val="393ACA2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2" w15:restartNumberingAfterBreak="0">
    <w:nsid w:val="6C8A2B1B"/>
    <w:multiLevelType w:val="hybridMultilevel"/>
    <w:tmpl w:val="DB5AAA1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B74E9"/>
    <w:multiLevelType w:val="hybridMultilevel"/>
    <w:tmpl w:val="89A2A87E"/>
    <w:lvl w:ilvl="0" w:tplc="11F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103A12"/>
    <w:multiLevelType w:val="hybridMultilevel"/>
    <w:tmpl w:val="26F87516"/>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15:restartNumberingAfterBreak="0">
    <w:nsid w:val="7B0C607C"/>
    <w:multiLevelType w:val="hybridMultilevel"/>
    <w:tmpl w:val="9CC6F302"/>
    <w:lvl w:ilvl="0" w:tplc="D49A9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053E31"/>
    <w:multiLevelType w:val="multilevel"/>
    <w:tmpl w:val="1E0C19AC"/>
    <w:lvl w:ilvl="0">
      <w:start w:val="1"/>
      <w:numFmt w:val="decimal"/>
      <w:lvlText w:val="[%1]"/>
      <w:lvlJc w:val="left"/>
      <w:pPr>
        <w:ind w:left="360" w:hanging="360"/>
      </w:pPr>
      <w:rPr>
        <w:rFonts w:hint="default"/>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101224">
    <w:abstractNumId w:val="2"/>
  </w:num>
  <w:num w:numId="2" w16cid:durableId="888029017">
    <w:abstractNumId w:val="19"/>
  </w:num>
  <w:num w:numId="3" w16cid:durableId="1136684997">
    <w:abstractNumId w:val="27"/>
  </w:num>
  <w:num w:numId="4" w16cid:durableId="568921604">
    <w:abstractNumId w:val="0"/>
  </w:num>
  <w:num w:numId="5" w16cid:durableId="1510755619">
    <w:abstractNumId w:val="34"/>
  </w:num>
  <w:num w:numId="6" w16cid:durableId="728648676">
    <w:abstractNumId w:val="13"/>
  </w:num>
  <w:num w:numId="7" w16cid:durableId="1723750095">
    <w:abstractNumId w:val="20"/>
  </w:num>
  <w:num w:numId="8" w16cid:durableId="2048334224">
    <w:abstractNumId w:val="24"/>
  </w:num>
  <w:num w:numId="9" w16cid:durableId="1942030428">
    <w:abstractNumId w:val="5"/>
  </w:num>
  <w:num w:numId="10" w16cid:durableId="166940673">
    <w:abstractNumId w:val="4"/>
  </w:num>
  <w:num w:numId="11" w16cid:durableId="871306304">
    <w:abstractNumId w:val="1"/>
  </w:num>
  <w:num w:numId="12" w16cid:durableId="1043409817">
    <w:abstractNumId w:val="6"/>
  </w:num>
  <w:num w:numId="13" w16cid:durableId="833496080">
    <w:abstractNumId w:val="12"/>
  </w:num>
  <w:num w:numId="14" w16cid:durableId="1006782224">
    <w:abstractNumId w:val="17"/>
  </w:num>
  <w:num w:numId="15" w16cid:durableId="374545127">
    <w:abstractNumId w:val="21"/>
  </w:num>
  <w:num w:numId="16" w16cid:durableId="218444802">
    <w:abstractNumId w:val="32"/>
  </w:num>
  <w:num w:numId="17" w16cid:durableId="1319726216">
    <w:abstractNumId w:val="9"/>
  </w:num>
  <w:num w:numId="18" w16cid:durableId="700981731">
    <w:abstractNumId w:val="26"/>
  </w:num>
  <w:num w:numId="19" w16cid:durableId="840196674">
    <w:abstractNumId w:val="23"/>
  </w:num>
  <w:num w:numId="20" w16cid:durableId="1949658457">
    <w:abstractNumId w:val="36"/>
  </w:num>
  <w:num w:numId="21" w16cid:durableId="731661607">
    <w:abstractNumId w:val="33"/>
  </w:num>
  <w:num w:numId="22" w16cid:durableId="1992783315">
    <w:abstractNumId w:val="22"/>
  </w:num>
  <w:num w:numId="23" w16cid:durableId="680005863">
    <w:abstractNumId w:val="18"/>
  </w:num>
  <w:num w:numId="24" w16cid:durableId="1911647786">
    <w:abstractNumId w:val="25"/>
  </w:num>
  <w:num w:numId="25" w16cid:durableId="1858157728">
    <w:abstractNumId w:val="31"/>
  </w:num>
  <w:num w:numId="26" w16cid:durableId="1825781804">
    <w:abstractNumId w:val="28"/>
  </w:num>
  <w:num w:numId="27" w16cid:durableId="935869762">
    <w:abstractNumId w:val="3"/>
  </w:num>
  <w:num w:numId="28" w16cid:durableId="1918200947">
    <w:abstractNumId w:val="8"/>
  </w:num>
  <w:num w:numId="29" w16cid:durableId="1691836535">
    <w:abstractNumId w:val="14"/>
  </w:num>
  <w:num w:numId="30" w16cid:durableId="773206624">
    <w:abstractNumId w:val="35"/>
  </w:num>
  <w:num w:numId="31" w16cid:durableId="1369603980">
    <w:abstractNumId w:val="15"/>
  </w:num>
  <w:num w:numId="32" w16cid:durableId="798650033">
    <w:abstractNumId w:val="30"/>
  </w:num>
  <w:num w:numId="33" w16cid:durableId="2039625982">
    <w:abstractNumId w:val="10"/>
  </w:num>
  <w:num w:numId="34" w16cid:durableId="1300384066">
    <w:abstractNumId w:val="7"/>
  </w:num>
  <w:num w:numId="35" w16cid:durableId="830028456">
    <w:abstractNumId w:val="16"/>
  </w:num>
  <w:num w:numId="36" w16cid:durableId="223832760">
    <w:abstractNumId w:val="11"/>
  </w:num>
  <w:num w:numId="37" w16cid:durableId="4458497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eyNABCMxNzUyUdpeDU4uLM/DyQAsNaANMd9AwsAAAA"/>
  </w:docVars>
  <w:rsids>
    <w:rsidRoot w:val="00273DF4"/>
    <w:rsid w:val="00001DDD"/>
    <w:rsid w:val="0000479C"/>
    <w:rsid w:val="0000651B"/>
    <w:rsid w:val="000118F6"/>
    <w:rsid w:val="00012E73"/>
    <w:rsid w:val="00022D09"/>
    <w:rsid w:val="00027A1A"/>
    <w:rsid w:val="00027C0E"/>
    <w:rsid w:val="00034CA9"/>
    <w:rsid w:val="00041049"/>
    <w:rsid w:val="00054B3B"/>
    <w:rsid w:val="00066C25"/>
    <w:rsid w:val="0009125D"/>
    <w:rsid w:val="000A01BD"/>
    <w:rsid w:val="000A1ED2"/>
    <w:rsid w:val="000A3F8D"/>
    <w:rsid w:val="000B1797"/>
    <w:rsid w:val="000C3C64"/>
    <w:rsid w:val="000C4614"/>
    <w:rsid w:val="000E0FB0"/>
    <w:rsid w:val="000E4790"/>
    <w:rsid w:val="000F27F5"/>
    <w:rsid w:val="001019B3"/>
    <w:rsid w:val="00107889"/>
    <w:rsid w:val="00135F39"/>
    <w:rsid w:val="001378C3"/>
    <w:rsid w:val="0014697F"/>
    <w:rsid w:val="0015602C"/>
    <w:rsid w:val="00164B4D"/>
    <w:rsid w:val="00171395"/>
    <w:rsid w:val="00181067"/>
    <w:rsid w:val="001811D6"/>
    <w:rsid w:val="001812A2"/>
    <w:rsid w:val="00183A2E"/>
    <w:rsid w:val="001A099B"/>
    <w:rsid w:val="001A0CF8"/>
    <w:rsid w:val="001A4766"/>
    <w:rsid w:val="001B09CE"/>
    <w:rsid w:val="001C5FD9"/>
    <w:rsid w:val="001C7306"/>
    <w:rsid w:val="001E13CA"/>
    <w:rsid w:val="001E5B55"/>
    <w:rsid w:val="001F0045"/>
    <w:rsid w:val="002056ED"/>
    <w:rsid w:val="00210B03"/>
    <w:rsid w:val="0021342B"/>
    <w:rsid w:val="0021693C"/>
    <w:rsid w:val="0022297D"/>
    <w:rsid w:val="00241F89"/>
    <w:rsid w:val="00242805"/>
    <w:rsid w:val="00256CA4"/>
    <w:rsid w:val="00260112"/>
    <w:rsid w:val="00273DF4"/>
    <w:rsid w:val="00274FF1"/>
    <w:rsid w:val="002752AA"/>
    <w:rsid w:val="00282F4A"/>
    <w:rsid w:val="00293EEE"/>
    <w:rsid w:val="002A02B2"/>
    <w:rsid w:val="002A63C2"/>
    <w:rsid w:val="002B0CED"/>
    <w:rsid w:val="002B7AF3"/>
    <w:rsid w:val="002C04F9"/>
    <w:rsid w:val="002D49EF"/>
    <w:rsid w:val="002E297A"/>
    <w:rsid w:val="002E6E48"/>
    <w:rsid w:val="002E74BB"/>
    <w:rsid w:val="002F5930"/>
    <w:rsid w:val="002F699A"/>
    <w:rsid w:val="00306571"/>
    <w:rsid w:val="003209FF"/>
    <w:rsid w:val="00322695"/>
    <w:rsid w:val="00323DDE"/>
    <w:rsid w:val="00326A4D"/>
    <w:rsid w:val="00330920"/>
    <w:rsid w:val="003414A9"/>
    <w:rsid w:val="003415A1"/>
    <w:rsid w:val="00352FDF"/>
    <w:rsid w:val="003534D7"/>
    <w:rsid w:val="0035477F"/>
    <w:rsid w:val="003578B4"/>
    <w:rsid w:val="003619B1"/>
    <w:rsid w:val="00374808"/>
    <w:rsid w:val="003818E1"/>
    <w:rsid w:val="00381AA2"/>
    <w:rsid w:val="00392C9F"/>
    <w:rsid w:val="003A193A"/>
    <w:rsid w:val="003A6CF2"/>
    <w:rsid w:val="003C2632"/>
    <w:rsid w:val="003C2C45"/>
    <w:rsid w:val="003D2D61"/>
    <w:rsid w:val="003E60AF"/>
    <w:rsid w:val="003E669A"/>
    <w:rsid w:val="003F2D55"/>
    <w:rsid w:val="0040091A"/>
    <w:rsid w:val="00403366"/>
    <w:rsid w:val="00404482"/>
    <w:rsid w:val="00411353"/>
    <w:rsid w:val="00412715"/>
    <w:rsid w:val="004127A3"/>
    <w:rsid w:val="00413429"/>
    <w:rsid w:val="0041673F"/>
    <w:rsid w:val="00423762"/>
    <w:rsid w:val="00432EAD"/>
    <w:rsid w:val="00437CFE"/>
    <w:rsid w:val="00445B78"/>
    <w:rsid w:val="00451424"/>
    <w:rsid w:val="00451FB6"/>
    <w:rsid w:val="00466886"/>
    <w:rsid w:val="00466D8F"/>
    <w:rsid w:val="00477717"/>
    <w:rsid w:val="00477D86"/>
    <w:rsid w:val="00482BD5"/>
    <w:rsid w:val="0048467C"/>
    <w:rsid w:val="0049161A"/>
    <w:rsid w:val="004930B0"/>
    <w:rsid w:val="00496A29"/>
    <w:rsid w:val="004B3483"/>
    <w:rsid w:val="004C60CE"/>
    <w:rsid w:val="004C6CC0"/>
    <w:rsid w:val="004E1A18"/>
    <w:rsid w:val="004E4892"/>
    <w:rsid w:val="004E7908"/>
    <w:rsid w:val="004F1400"/>
    <w:rsid w:val="004F5B1B"/>
    <w:rsid w:val="004F62AB"/>
    <w:rsid w:val="004F75DA"/>
    <w:rsid w:val="005026E3"/>
    <w:rsid w:val="005049EA"/>
    <w:rsid w:val="00511B53"/>
    <w:rsid w:val="00517414"/>
    <w:rsid w:val="00525642"/>
    <w:rsid w:val="005677FF"/>
    <w:rsid w:val="00571B7D"/>
    <w:rsid w:val="00576366"/>
    <w:rsid w:val="005845F5"/>
    <w:rsid w:val="00586C03"/>
    <w:rsid w:val="005A47D3"/>
    <w:rsid w:val="005A63A0"/>
    <w:rsid w:val="005B2366"/>
    <w:rsid w:val="005D135B"/>
    <w:rsid w:val="005E1A81"/>
    <w:rsid w:val="00604294"/>
    <w:rsid w:val="0060496E"/>
    <w:rsid w:val="00616F25"/>
    <w:rsid w:val="00620502"/>
    <w:rsid w:val="006418B0"/>
    <w:rsid w:val="00644649"/>
    <w:rsid w:val="006674E2"/>
    <w:rsid w:val="00670B00"/>
    <w:rsid w:val="00671489"/>
    <w:rsid w:val="00677DD5"/>
    <w:rsid w:val="006962B1"/>
    <w:rsid w:val="006A42A1"/>
    <w:rsid w:val="006B788B"/>
    <w:rsid w:val="006C0B18"/>
    <w:rsid w:val="006C61D2"/>
    <w:rsid w:val="006C65A7"/>
    <w:rsid w:val="006C65FF"/>
    <w:rsid w:val="006D2FA1"/>
    <w:rsid w:val="006D5430"/>
    <w:rsid w:val="006D63E4"/>
    <w:rsid w:val="006E3A8F"/>
    <w:rsid w:val="006E5C90"/>
    <w:rsid w:val="006E5E01"/>
    <w:rsid w:val="006F2B40"/>
    <w:rsid w:val="006F575B"/>
    <w:rsid w:val="006F5E64"/>
    <w:rsid w:val="0070222B"/>
    <w:rsid w:val="00730A5E"/>
    <w:rsid w:val="00740141"/>
    <w:rsid w:val="00744E57"/>
    <w:rsid w:val="00746FA6"/>
    <w:rsid w:val="00753C25"/>
    <w:rsid w:val="00756468"/>
    <w:rsid w:val="00763C41"/>
    <w:rsid w:val="00765733"/>
    <w:rsid w:val="007713B3"/>
    <w:rsid w:val="00771A9A"/>
    <w:rsid w:val="00775E98"/>
    <w:rsid w:val="007804E5"/>
    <w:rsid w:val="007B1C6F"/>
    <w:rsid w:val="007B3D1F"/>
    <w:rsid w:val="007B7023"/>
    <w:rsid w:val="007B7916"/>
    <w:rsid w:val="007C2D1F"/>
    <w:rsid w:val="007C4BF5"/>
    <w:rsid w:val="007D0EF9"/>
    <w:rsid w:val="007D359A"/>
    <w:rsid w:val="007E0EAD"/>
    <w:rsid w:val="007E5A59"/>
    <w:rsid w:val="007F24DF"/>
    <w:rsid w:val="00810431"/>
    <w:rsid w:val="00812905"/>
    <w:rsid w:val="00820338"/>
    <w:rsid w:val="00821F7B"/>
    <w:rsid w:val="0082396C"/>
    <w:rsid w:val="00826B5B"/>
    <w:rsid w:val="00841E77"/>
    <w:rsid w:val="00842075"/>
    <w:rsid w:val="008637FF"/>
    <w:rsid w:val="00867353"/>
    <w:rsid w:val="0087258C"/>
    <w:rsid w:val="00875208"/>
    <w:rsid w:val="00876B28"/>
    <w:rsid w:val="00880097"/>
    <w:rsid w:val="0089167C"/>
    <w:rsid w:val="00897771"/>
    <w:rsid w:val="008A2DF7"/>
    <w:rsid w:val="008A5AA3"/>
    <w:rsid w:val="008A7BE9"/>
    <w:rsid w:val="008B0224"/>
    <w:rsid w:val="008B0E26"/>
    <w:rsid w:val="008B6266"/>
    <w:rsid w:val="008B7823"/>
    <w:rsid w:val="008D5964"/>
    <w:rsid w:val="008E074E"/>
    <w:rsid w:val="008E489F"/>
    <w:rsid w:val="008E5337"/>
    <w:rsid w:val="008F03BC"/>
    <w:rsid w:val="0091392B"/>
    <w:rsid w:val="00917508"/>
    <w:rsid w:val="00923384"/>
    <w:rsid w:val="00923402"/>
    <w:rsid w:val="0092571F"/>
    <w:rsid w:val="00926722"/>
    <w:rsid w:val="00926989"/>
    <w:rsid w:val="009322BC"/>
    <w:rsid w:val="0094235B"/>
    <w:rsid w:val="0094653F"/>
    <w:rsid w:val="009474CD"/>
    <w:rsid w:val="00950B41"/>
    <w:rsid w:val="00954F67"/>
    <w:rsid w:val="0095616C"/>
    <w:rsid w:val="00957316"/>
    <w:rsid w:val="00967F1F"/>
    <w:rsid w:val="00974E8B"/>
    <w:rsid w:val="00984B31"/>
    <w:rsid w:val="009A2335"/>
    <w:rsid w:val="009B42D4"/>
    <w:rsid w:val="009B7C9B"/>
    <w:rsid w:val="009C6D79"/>
    <w:rsid w:val="009D40E5"/>
    <w:rsid w:val="009D736E"/>
    <w:rsid w:val="009E407E"/>
    <w:rsid w:val="00A00741"/>
    <w:rsid w:val="00A04357"/>
    <w:rsid w:val="00A04F83"/>
    <w:rsid w:val="00A05803"/>
    <w:rsid w:val="00A05CD0"/>
    <w:rsid w:val="00A15545"/>
    <w:rsid w:val="00A17C4C"/>
    <w:rsid w:val="00A21306"/>
    <w:rsid w:val="00A33545"/>
    <w:rsid w:val="00A33776"/>
    <w:rsid w:val="00A37459"/>
    <w:rsid w:val="00A37E59"/>
    <w:rsid w:val="00A4352C"/>
    <w:rsid w:val="00A46B38"/>
    <w:rsid w:val="00A50515"/>
    <w:rsid w:val="00A65A72"/>
    <w:rsid w:val="00A669CA"/>
    <w:rsid w:val="00A66F13"/>
    <w:rsid w:val="00A80D2E"/>
    <w:rsid w:val="00A97AD8"/>
    <w:rsid w:val="00AA0AE2"/>
    <w:rsid w:val="00AA56E5"/>
    <w:rsid w:val="00AD45C4"/>
    <w:rsid w:val="00AD5894"/>
    <w:rsid w:val="00AE3012"/>
    <w:rsid w:val="00AE5712"/>
    <w:rsid w:val="00AE70F6"/>
    <w:rsid w:val="00AF039B"/>
    <w:rsid w:val="00AF417C"/>
    <w:rsid w:val="00AF7851"/>
    <w:rsid w:val="00B01863"/>
    <w:rsid w:val="00B03635"/>
    <w:rsid w:val="00B17C5D"/>
    <w:rsid w:val="00B2356F"/>
    <w:rsid w:val="00B24297"/>
    <w:rsid w:val="00B255AC"/>
    <w:rsid w:val="00B25C69"/>
    <w:rsid w:val="00B343BC"/>
    <w:rsid w:val="00B37725"/>
    <w:rsid w:val="00B41216"/>
    <w:rsid w:val="00B46D3C"/>
    <w:rsid w:val="00B5028B"/>
    <w:rsid w:val="00B727A7"/>
    <w:rsid w:val="00B80C1B"/>
    <w:rsid w:val="00B856D0"/>
    <w:rsid w:val="00B872C6"/>
    <w:rsid w:val="00B91CE2"/>
    <w:rsid w:val="00B92E1C"/>
    <w:rsid w:val="00B975A6"/>
    <w:rsid w:val="00BA1612"/>
    <w:rsid w:val="00BA1986"/>
    <w:rsid w:val="00BA3028"/>
    <w:rsid w:val="00BB284B"/>
    <w:rsid w:val="00BB389E"/>
    <w:rsid w:val="00BB6381"/>
    <w:rsid w:val="00BC022B"/>
    <w:rsid w:val="00BC2394"/>
    <w:rsid w:val="00BC453B"/>
    <w:rsid w:val="00BC4C88"/>
    <w:rsid w:val="00BC4DEE"/>
    <w:rsid w:val="00BC63A3"/>
    <w:rsid w:val="00BC6B20"/>
    <w:rsid w:val="00BF0FD1"/>
    <w:rsid w:val="00BF611A"/>
    <w:rsid w:val="00C061B5"/>
    <w:rsid w:val="00C06E27"/>
    <w:rsid w:val="00C16CD3"/>
    <w:rsid w:val="00C20DA6"/>
    <w:rsid w:val="00C32EE1"/>
    <w:rsid w:val="00C332F4"/>
    <w:rsid w:val="00C35236"/>
    <w:rsid w:val="00C357A1"/>
    <w:rsid w:val="00C40780"/>
    <w:rsid w:val="00C4306B"/>
    <w:rsid w:val="00C45BC1"/>
    <w:rsid w:val="00C45C44"/>
    <w:rsid w:val="00C514BB"/>
    <w:rsid w:val="00C52984"/>
    <w:rsid w:val="00C60F4B"/>
    <w:rsid w:val="00C6462D"/>
    <w:rsid w:val="00C8091B"/>
    <w:rsid w:val="00C96170"/>
    <w:rsid w:val="00CA0E67"/>
    <w:rsid w:val="00CA5753"/>
    <w:rsid w:val="00CA6066"/>
    <w:rsid w:val="00CA6BC0"/>
    <w:rsid w:val="00CB73CF"/>
    <w:rsid w:val="00CC57FC"/>
    <w:rsid w:val="00CD4B75"/>
    <w:rsid w:val="00CD7054"/>
    <w:rsid w:val="00CF2D0E"/>
    <w:rsid w:val="00CF5165"/>
    <w:rsid w:val="00D10B8A"/>
    <w:rsid w:val="00D163B5"/>
    <w:rsid w:val="00D4705A"/>
    <w:rsid w:val="00D53581"/>
    <w:rsid w:val="00D64BAE"/>
    <w:rsid w:val="00D65388"/>
    <w:rsid w:val="00D659FA"/>
    <w:rsid w:val="00D7481B"/>
    <w:rsid w:val="00D76876"/>
    <w:rsid w:val="00D93696"/>
    <w:rsid w:val="00DA3AA2"/>
    <w:rsid w:val="00DA78D7"/>
    <w:rsid w:val="00DB147E"/>
    <w:rsid w:val="00DB5820"/>
    <w:rsid w:val="00DB7F46"/>
    <w:rsid w:val="00DC2DCF"/>
    <w:rsid w:val="00DE4B33"/>
    <w:rsid w:val="00DF077A"/>
    <w:rsid w:val="00DF193B"/>
    <w:rsid w:val="00DF2058"/>
    <w:rsid w:val="00DF4769"/>
    <w:rsid w:val="00DF5E92"/>
    <w:rsid w:val="00DF7069"/>
    <w:rsid w:val="00E150BA"/>
    <w:rsid w:val="00E16203"/>
    <w:rsid w:val="00E31C22"/>
    <w:rsid w:val="00E32E40"/>
    <w:rsid w:val="00E43391"/>
    <w:rsid w:val="00E70CAE"/>
    <w:rsid w:val="00E91930"/>
    <w:rsid w:val="00E93023"/>
    <w:rsid w:val="00EA149E"/>
    <w:rsid w:val="00EB2C2E"/>
    <w:rsid w:val="00EB2F71"/>
    <w:rsid w:val="00EB3043"/>
    <w:rsid w:val="00ED06AF"/>
    <w:rsid w:val="00ED63AB"/>
    <w:rsid w:val="00EF7604"/>
    <w:rsid w:val="00F0109B"/>
    <w:rsid w:val="00F01674"/>
    <w:rsid w:val="00F06A80"/>
    <w:rsid w:val="00F144B8"/>
    <w:rsid w:val="00F255C1"/>
    <w:rsid w:val="00F3436D"/>
    <w:rsid w:val="00F343AE"/>
    <w:rsid w:val="00F37217"/>
    <w:rsid w:val="00F42E3D"/>
    <w:rsid w:val="00F47934"/>
    <w:rsid w:val="00F50908"/>
    <w:rsid w:val="00F55CB9"/>
    <w:rsid w:val="00F61AE3"/>
    <w:rsid w:val="00F70672"/>
    <w:rsid w:val="00F71366"/>
    <w:rsid w:val="00F72F83"/>
    <w:rsid w:val="00F739FC"/>
    <w:rsid w:val="00F75B1F"/>
    <w:rsid w:val="00F77F37"/>
    <w:rsid w:val="00F8457D"/>
    <w:rsid w:val="00F84F2A"/>
    <w:rsid w:val="00F85CEE"/>
    <w:rsid w:val="00F871CC"/>
    <w:rsid w:val="00F93F2B"/>
    <w:rsid w:val="00FB5282"/>
    <w:rsid w:val="00FC3A2C"/>
    <w:rsid w:val="00FC3E46"/>
    <w:rsid w:val="00FD4952"/>
    <w:rsid w:val="00FD6209"/>
    <w:rsid w:val="00FE1D30"/>
    <w:rsid w:val="00FE2F80"/>
    <w:rsid w:val="00FE66E8"/>
    <w:rsid w:val="00FF06E7"/>
    <w:rsid w:val="00FF0CD7"/>
    <w:rsid w:val="00FF0E0C"/>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8EAF"/>
  <w14:defaultImageDpi w14:val="32767"/>
  <w15:chartTrackingRefBased/>
  <w15:docId w15:val="{2D8DE6B7-D742-374B-80B0-38ECCB7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F4"/>
    <w:pPr>
      <w:spacing w:after="5" w:line="264" w:lineRule="auto"/>
      <w:ind w:left="34"/>
      <w:jc w:val="both"/>
    </w:pPr>
    <w:rPr>
      <w:rFonts w:ascii="Calibri" w:eastAsia="Calibri" w:hAnsi="Calibri" w:cs="Calibri"/>
      <w:color w:val="000000"/>
      <w:szCs w:val="22"/>
      <w:lang w:val="en-ZA" w:eastAsia="en-ZA"/>
    </w:rPr>
  </w:style>
  <w:style w:type="paragraph" w:styleId="Heading1">
    <w:name w:val="heading 1"/>
    <w:basedOn w:val="Normal"/>
    <w:link w:val="Heading1Char"/>
    <w:qFormat/>
    <w:rsid w:val="00CA6BC0"/>
    <w:pPr>
      <w:suppressAutoHyphens/>
      <w:spacing w:after="320" w:line="480" w:lineRule="auto"/>
      <w:ind w:left="0"/>
      <w:outlineLvl w:val="0"/>
    </w:pPr>
    <w:rPr>
      <w:rFonts w:ascii="Arial" w:eastAsia="Times New Roman" w:hAnsi="Arial" w:cs="Times New Roman"/>
      <w:b/>
      <w:color w:val="aut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F4"/>
    <w:pPr>
      <w:ind w:left="720"/>
      <w:contextualSpacing/>
    </w:pPr>
  </w:style>
  <w:style w:type="paragraph" w:styleId="FootnoteText">
    <w:name w:val="footnote text"/>
    <w:basedOn w:val="Normal"/>
    <w:link w:val="FootnoteTextChar"/>
    <w:uiPriority w:val="99"/>
    <w:semiHidden/>
    <w:unhideWhenUsed/>
    <w:rsid w:val="002F5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930"/>
    <w:rPr>
      <w:rFonts w:ascii="Calibri" w:eastAsia="Calibri" w:hAnsi="Calibri" w:cs="Calibri"/>
      <w:color w:val="000000"/>
      <w:sz w:val="20"/>
      <w:szCs w:val="20"/>
      <w:lang w:val="en-ZA" w:eastAsia="en-ZA"/>
    </w:rPr>
  </w:style>
  <w:style w:type="character" w:styleId="FootnoteReference">
    <w:name w:val="footnote reference"/>
    <w:basedOn w:val="DefaultParagraphFont"/>
    <w:unhideWhenUsed/>
    <w:rsid w:val="002F5930"/>
    <w:rPr>
      <w:vertAlign w:val="superscript"/>
    </w:rPr>
  </w:style>
  <w:style w:type="paragraph" w:styleId="Footer">
    <w:name w:val="footer"/>
    <w:basedOn w:val="Normal"/>
    <w:link w:val="FooterChar"/>
    <w:uiPriority w:val="99"/>
    <w:unhideWhenUsed/>
    <w:rsid w:val="00A0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41"/>
    <w:rPr>
      <w:rFonts w:ascii="Calibri" w:eastAsia="Calibri" w:hAnsi="Calibri" w:cs="Calibri"/>
      <w:color w:val="000000"/>
      <w:szCs w:val="22"/>
      <w:lang w:val="en-ZA" w:eastAsia="en-ZA"/>
    </w:rPr>
  </w:style>
  <w:style w:type="character" w:styleId="PageNumber">
    <w:name w:val="page number"/>
    <w:basedOn w:val="DefaultParagraphFont"/>
    <w:uiPriority w:val="99"/>
    <w:semiHidden/>
    <w:unhideWhenUsed/>
    <w:rsid w:val="00A00741"/>
  </w:style>
  <w:style w:type="character" w:customStyle="1" w:styleId="Heading1Char">
    <w:name w:val="Heading 1 Char"/>
    <w:basedOn w:val="DefaultParagraphFont"/>
    <w:link w:val="Heading1"/>
    <w:rsid w:val="00CA6BC0"/>
    <w:rPr>
      <w:rFonts w:ascii="Arial" w:eastAsia="Times New Roman" w:hAnsi="Arial" w:cs="Times New Roman"/>
      <w:b/>
      <w:szCs w:val="20"/>
      <w:lang w:val="en-ZA"/>
    </w:rPr>
  </w:style>
  <w:style w:type="paragraph" w:styleId="BodyTextIndent">
    <w:name w:val="Body Text Indent"/>
    <w:basedOn w:val="Normal"/>
    <w:link w:val="BodyTextIndentChar"/>
    <w:qFormat/>
    <w:rsid w:val="00CA6BC0"/>
    <w:pPr>
      <w:suppressAutoHyphens/>
      <w:spacing w:after="320" w:line="480" w:lineRule="auto"/>
      <w:ind w:left="567"/>
    </w:pPr>
    <w:rPr>
      <w:rFonts w:ascii="Arial" w:eastAsia="Times New Roman" w:hAnsi="Arial" w:cs="Times New Roman"/>
      <w:color w:val="auto"/>
      <w:szCs w:val="20"/>
      <w:lang w:eastAsia="en-US"/>
    </w:rPr>
  </w:style>
  <w:style w:type="character" w:customStyle="1" w:styleId="BodyTextIndentChar">
    <w:name w:val="Body Text Indent Char"/>
    <w:basedOn w:val="DefaultParagraphFont"/>
    <w:link w:val="BodyTextIndent"/>
    <w:rsid w:val="00CA6BC0"/>
    <w:rPr>
      <w:rFonts w:ascii="Arial" w:eastAsia="Times New Roman" w:hAnsi="Arial" w:cs="Times New Roman"/>
      <w:szCs w:val="20"/>
      <w:lang w:val="en-ZA"/>
    </w:rPr>
  </w:style>
  <w:style w:type="paragraph" w:customStyle="1" w:styleId="WLGLevel1">
    <w:name w:val="WLGLevel1"/>
    <w:basedOn w:val="Normal"/>
    <w:qFormat/>
    <w:rsid w:val="00CA6BC0"/>
    <w:pPr>
      <w:numPr>
        <w:numId w:val="37"/>
      </w:numPr>
      <w:suppressAutoHyphens/>
      <w:spacing w:before="320" w:after="320" w:line="480" w:lineRule="auto"/>
      <w:ind w:left="562" w:hanging="562"/>
      <w:outlineLvl w:val="0"/>
    </w:pPr>
    <w:rPr>
      <w:rFonts w:ascii="Arial" w:eastAsia="Times New Roman" w:hAnsi="Arial" w:cs="Times New Roman"/>
      <w:color w:val="auto"/>
      <w:szCs w:val="20"/>
      <w:lang w:eastAsia="en-US"/>
    </w:rPr>
  </w:style>
  <w:style w:type="paragraph" w:customStyle="1" w:styleId="WLGLevel2">
    <w:name w:val="WLGLevel2"/>
    <w:basedOn w:val="Normal"/>
    <w:qFormat/>
    <w:rsid w:val="00CA6BC0"/>
    <w:pPr>
      <w:numPr>
        <w:ilvl w:val="1"/>
        <w:numId w:val="37"/>
      </w:numPr>
      <w:suppressAutoHyphens/>
      <w:spacing w:after="320" w:line="480" w:lineRule="auto"/>
      <w:outlineLvl w:val="1"/>
    </w:pPr>
    <w:rPr>
      <w:rFonts w:ascii="Arial" w:eastAsia="Times New Roman" w:hAnsi="Arial" w:cs="Times New Roman"/>
      <w:color w:val="auto"/>
      <w:szCs w:val="20"/>
      <w:lang w:eastAsia="en-US"/>
    </w:rPr>
  </w:style>
  <w:style w:type="paragraph" w:customStyle="1" w:styleId="WLGLevel3">
    <w:name w:val="WLGLevel3"/>
    <w:basedOn w:val="Normal"/>
    <w:qFormat/>
    <w:rsid w:val="00CA6BC0"/>
    <w:pPr>
      <w:numPr>
        <w:ilvl w:val="2"/>
        <w:numId w:val="37"/>
      </w:numPr>
      <w:suppressAutoHyphens/>
      <w:spacing w:after="320" w:line="480" w:lineRule="auto"/>
      <w:ind w:left="2382" w:hanging="1021"/>
      <w:outlineLvl w:val="2"/>
    </w:pPr>
    <w:rPr>
      <w:rFonts w:ascii="Arial" w:eastAsia="Times New Roman" w:hAnsi="Arial" w:cs="Times New Roman"/>
      <w:color w:val="auto"/>
      <w:szCs w:val="20"/>
      <w:lang w:eastAsia="en-US"/>
    </w:rPr>
  </w:style>
  <w:style w:type="paragraph" w:customStyle="1" w:styleId="WLGLevel4">
    <w:name w:val="WLGLevel4"/>
    <w:basedOn w:val="Normal"/>
    <w:qFormat/>
    <w:rsid w:val="00CA6BC0"/>
    <w:pPr>
      <w:numPr>
        <w:ilvl w:val="3"/>
        <w:numId w:val="37"/>
      </w:numPr>
      <w:suppressAutoHyphens/>
      <w:spacing w:after="320" w:line="480" w:lineRule="auto"/>
      <w:outlineLvl w:val="3"/>
    </w:pPr>
    <w:rPr>
      <w:rFonts w:ascii="Arial" w:eastAsia="Times New Roman" w:hAnsi="Arial" w:cs="Times New Roman"/>
      <w:color w:val="auto"/>
      <w:szCs w:val="20"/>
      <w:lang w:eastAsia="en-US"/>
    </w:rPr>
  </w:style>
  <w:style w:type="paragraph" w:customStyle="1" w:styleId="WLGLevel5">
    <w:name w:val="WLGLevel5"/>
    <w:basedOn w:val="Normal"/>
    <w:qFormat/>
    <w:rsid w:val="00CA6BC0"/>
    <w:pPr>
      <w:numPr>
        <w:ilvl w:val="4"/>
        <w:numId w:val="37"/>
      </w:numPr>
      <w:suppressAutoHyphens/>
      <w:spacing w:after="320" w:line="480" w:lineRule="auto"/>
      <w:outlineLvl w:val="4"/>
    </w:pPr>
    <w:rPr>
      <w:rFonts w:ascii="Arial" w:eastAsia="Times New Roman" w:hAnsi="Arial" w:cs="Times New Roman"/>
      <w:color w:val="auto"/>
      <w:szCs w:val="20"/>
      <w:lang w:eastAsia="en-US"/>
    </w:rPr>
  </w:style>
  <w:style w:type="paragraph" w:customStyle="1" w:styleId="Parties">
    <w:name w:val="Parties"/>
    <w:basedOn w:val="Normal"/>
    <w:qFormat/>
    <w:rsid w:val="007B7916"/>
    <w:pPr>
      <w:tabs>
        <w:tab w:val="right" w:pos="9072"/>
      </w:tabs>
      <w:suppressAutoHyphens/>
      <w:spacing w:after="0" w:line="240" w:lineRule="auto"/>
      <w:ind w:left="0"/>
    </w:pPr>
    <w:rPr>
      <w:rFonts w:ascii="Arial" w:eastAsia="Times New Roman" w:hAnsi="Arial"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6A4864-3A48-4586-8F5C-BC7C8F31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 sarshan  mohan</cp:lastModifiedBy>
  <cp:revision>3</cp:revision>
  <dcterms:created xsi:type="dcterms:W3CDTF">2024-04-12T06:39:00Z</dcterms:created>
  <dcterms:modified xsi:type="dcterms:W3CDTF">2024-04-20T12:12:00Z</dcterms:modified>
</cp:coreProperties>
</file>