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1891F" w14:textId="77777777" w:rsidR="00072515" w:rsidRPr="00072515" w:rsidRDefault="00072515" w:rsidP="00072515">
      <w:pPr>
        <w:spacing w:line="480" w:lineRule="auto"/>
        <w:ind w:left="720" w:hanging="720"/>
        <w:jc w:val="center"/>
        <w:rPr>
          <w:rFonts w:eastAsia="Calibri"/>
          <w:b/>
          <w:iCs w:val="0"/>
          <w:kern w:val="0"/>
          <w:szCs w:val="22"/>
          <w14:ligatures w14:val="none"/>
        </w:rPr>
      </w:pPr>
      <w:r w:rsidRPr="00072515">
        <w:rPr>
          <w:rFonts w:eastAsia="Calibri"/>
          <w:b/>
          <w:iCs w:val="0"/>
          <w:kern w:val="0"/>
          <w:szCs w:val="22"/>
          <w14:ligatures w14:val="none"/>
        </w:rPr>
        <w:t>REPUBLIC OF SOUTH AFRICA</w:t>
      </w:r>
    </w:p>
    <w:p w14:paraId="10964407" w14:textId="77777777" w:rsidR="00072515" w:rsidRPr="00072515" w:rsidRDefault="00072515" w:rsidP="00072515">
      <w:pPr>
        <w:spacing w:line="480" w:lineRule="auto"/>
        <w:ind w:left="720" w:hanging="720"/>
        <w:jc w:val="center"/>
        <w:rPr>
          <w:rFonts w:eastAsia="Calibri"/>
          <w:b/>
          <w:iCs w:val="0"/>
          <w:kern w:val="0"/>
          <w:szCs w:val="22"/>
          <w14:ligatures w14:val="none"/>
        </w:rPr>
      </w:pPr>
      <w:r w:rsidRPr="00072515">
        <w:rPr>
          <w:rFonts w:eastAsia="Calibri"/>
          <w:b/>
          <w:iCs w:val="0"/>
          <w:noProof/>
          <w:kern w:val="0"/>
          <w:szCs w:val="22"/>
          <w14:ligatures w14:val="none"/>
        </w:rPr>
        <w:drawing>
          <wp:inline distT="0" distB="0" distL="0" distR="0" wp14:anchorId="2310AD1A" wp14:editId="51CD8EEB">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6FBC8B3E" w14:textId="77777777" w:rsidR="00072515" w:rsidRPr="00072515" w:rsidRDefault="00072515" w:rsidP="00072515">
      <w:pPr>
        <w:spacing w:after="0" w:line="240" w:lineRule="auto"/>
        <w:ind w:left="720" w:hanging="720"/>
        <w:jc w:val="center"/>
        <w:rPr>
          <w:rFonts w:eastAsia="Calibri"/>
          <w:b/>
          <w:iCs w:val="0"/>
          <w:kern w:val="0"/>
          <w:szCs w:val="22"/>
          <w14:ligatures w14:val="none"/>
        </w:rPr>
      </w:pPr>
      <w:r w:rsidRPr="00072515">
        <w:rPr>
          <w:rFonts w:eastAsia="Calibri"/>
          <w:b/>
          <w:iCs w:val="0"/>
          <w:kern w:val="0"/>
          <w:szCs w:val="22"/>
          <w14:ligatures w14:val="none"/>
        </w:rPr>
        <w:t>IN THE HIGH COURT OF SOUTH AFRICA</w:t>
      </w:r>
    </w:p>
    <w:p w14:paraId="2F36CD66" w14:textId="77777777" w:rsidR="00072515" w:rsidRPr="00072515" w:rsidRDefault="00072515" w:rsidP="00072515">
      <w:pPr>
        <w:spacing w:line="480" w:lineRule="auto"/>
        <w:ind w:left="720" w:hanging="720"/>
        <w:jc w:val="center"/>
        <w:rPr>
          <w:rFonts w:eastAsia="Calibri"/>
          <w:b/>
          <w:iCs w:val="0"/>
          <w:kern w:val="0"/>
          <w:szCs w:val="22"/>
          <w14:ligatures w14:val="none"/>
        </w:rPr>
      </w:pPr>
      <w:r w:rsidRPr="00072515">
        <w:rPr>
          <w:rFonts w:eastAsia="Calibri"/>
          <w:b/>
          <w:iCs w:val="0"/>
          <w:kern w:val="0"/>
          <w:szCs w:val="22"/>
          <w14:ligatures w14:val="none"/>
        </w:rPr>
        <w:t>GAUTENG LOCAL DIVISION, JOHANNESBURG</w:t>
      </w:r>
    </w:p>
    <w:p w14:paraId="64728FE7" w14:textId="77777777" w:rsidR="00072515" w:rsidRPr="00072515" w:rsidRDefault="00072515" w:rsidP="00072515">
      <w:pPr>
        <w:spacing w:line="600" w:lineRule="auto"/>
        <w:ind w:left="720" w:hanging="720"/>
        <w:jc w:val="right"/>
        <w:rPr>
          <w:rFonts w:eastAsia="Calibri"/>
          <w:b/>
          <w:iCs w:val="0"/>
          <w:kern w:val="0"/>
          <w:szCs w:val="22"/>
          <w:lang w:val="en-GB"/>
          <w14:ligatures w14:val="none"/>
        </w:rPr>
      </w:pPr>
      <w:r w:rsidRPr="00072515">
        <w:rPr>
          <w:rFonts w:eastAsia="Calibri"/>
          <w:b/>
          <w:iCs w:val="0"/>
          <w:noProof/>
          <w:kern w:val="0"/>
          <w:szCs w:val="22"/>
          <w14:ligatures w14:val="none"/>
        </w:rPr>
        <mc:AlternateContent>
          <mc:Choice Requires="wps">
            <w:drawing>
              <wp:anchor distT="0" distB="0" distL="114300" distR="114300" simplePos="0" relativeHeight="251659264" behindDoc="0" locked="0" layoutInCell="1" allowOverlap="1" wp14:anchorId="55F0AA5B" wp14:editId="0CC44EDC">
                <wp:simplePos x="0" y="0"/>
                <wp:positionH relativeFrom="margin">
                  <wp:align>left</wp:align>
                </wp:positionH>
                <wp:positionV relativeFrom="paragraph">
                  <wp:posOffset>168909</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082007E9" w14:textId="77777777" w:rsidR="00072515" w:rsidRPr="004120A8" w:rsidRDefault="00072515" w:rsidP="00072515">
                            <w:pPr>
                              <w:jc w:val="center"/>
                              <w:rPr>
                                <w:rFonts w:ascii="Century Gothic" w:hAnsi="Century Gothic"/>
                                <w:b/>
                                <w:sz w:val="2"/>
                                <w:szCs w:val="18"/>
                              </w:rPr>
                            </w:pPr>
                          </w:p>
                          <w:p w14:paraId="4FDC3DCD" w14:textId="77777777" w:rsidR="00072515" w:rsidRPr="004120A8" w:rsidRDefault="00072515" w:rsidP="00072515">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F3BB83D" w14:textId="77777777" w:rsidR="00072515" w:rsidRPr="004120A8" w:rsidRDefault="00072515" w:rsidP="00072515">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117E309" w14:textId="77777777" w:rsidR="00072515" w:rsidRDefault="00072515" w:rsidP="00072515">
                            <w:pPr>
                              <w:numPr>
                                <w:ilvl w:val="0"/>
                                <w:numId w:val="3"/>
                              </w:numPr>
                              <w:spacing w:after="0" w:line="240" w:lineRule="auto"/>
                              <w:rPr>
                                <w:rFonts w:ascii="Century Gothic" w:hAnsi="Century Gothic"/>
                                <w:sz w:val="18"/>
                                <w:szCs w:val="18"/>
                              </w:rPr>
                            </w:pPr>
                            <w:r>
                              <w:rPr>
                                <w:rFonts w:ascii="Century Gothic" w:hAnsi="Century Gothic"/>
                                <w:sz w:val="18"/>
                                <w:szCs w:val="18"/>
                              </w:rPr>
                              <w:t>REVISED: YES</w:t>
                            </w:r>
                          </w:p>
                          <w:p w14:paraId="4C6DB92B" w14:textId="77777777" w:rsidR="00072515" w:rsidRDefault="00072515" w:rsidP="00072515">
                            <w:pPr>
                              <w:spacing w:after="0"/>
                              <w:ind w:left="900"/>
                              <w:rPr>
                                <w:rFonts w:ascii="Century Gothic" w:hAnsi="Century Gothic"/>
                                <w:sz w:val="18"/>
                                <w:szCs w:val="18"/>
                              </w:rPr>
                            </w:pPr>
                          </w:p>
                          <w:p w14:paraId="28658BDA" w14:textId="77777777" w:rsidR="00072515" w:rsidRPr="00CE3BCB" w:rsidRDefault="00072515" w:rsidP="00072515">
                            <w:pPr>
                              <w:spacing w:after="0"/>
                              <w:ind w:left="900"/>
                              <w:rPr>
                                <w:rFonts w:ascii="Century Gothic" w:hAnsi="Century Gothic"/>
                                <w:sz w:val="18"/>
                                <w:szCs w:val="18"/>
                              </w:rPr>
                            </w:pPr>
                          </w:p>
                          <w:p w14:paraId="5AB2ECE1" w14:textId="3FC330B8" w:rsidR="00072515" w:rsidRPr="004120A8" w:rsidRDefault="00072515" w:rsidP="0007251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17/04/2024</w:t>
                            </w:r>
                            <w:r w:rsidRPr="004120A8">
                              <w:rPr>
                                <w:rFonts w:ascii="Century Gothic" w:hAnsi="Century Gothic"/>
                                <w:b/>
                                <w:sz w:val="18"/>
                                <w:szCs w:val="18"/>
                              </w:rPr>
                              <w:t>…</w:t>
                            </w:r>
                          </w:p>
                          <w:p w14:paraId="1D3666E8" w14:textId="77777777" w:rsidR="00072515" w:rsidRPr="004120A8" w:rsidRDefault="00072515" w:rsidP="0007251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B168CBA" w14:textId="77777777" w:rsidR="00072515" w:rsidRPr="004120A8" w:rsidRDefault="00072515" w:rsidP="00072515">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AA5B" id="_x0000_t202" coordsize="21600,21600" o:spt="202" path="m,l,21600r21600,l21600,xe">
                <v:stroke joinstyle="miter"/>
                <v:path gradientshapeok="t" o:connecttype="rect"/>
              </v:shapetype>
              <v:shape id="Text Box 9" o:spid="_x0000_s1026" type="#_x0000_t202" style="position:absolute;left:0;text-align:left;margin-left:0;margin-top:13.3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">
                <v:textbox>
                  <w:txbxContent>
                    <w:p w14:paraId="082007E9" w14:textId="77777777" w:rsidR="00072515" w:rsidRPr="004120A8" w:rsidRDefault="00072515" w:rsidP="00072515">
                      <w:pPr>
                        <w:jc w:val="center"/>
                        <w:rPr>
                          <w:rFonts w:ascii="Century Gothic" w:hAnsi="Century Gothic"/>
                          <w:b/>
                          <w:sz w:val="2"/>
                          <w:szCs w:val="18"/>
                        </w:rPr>
                      </w:pPr>
                    </w:p>
                    <w:p w14:paraId="4FDC3DCD" w14:textId="77777777" w:rsidR="00072515" w:rsidRPr="004120A8" w:rsidRDefault="00072515" w:rsidP="00072515">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F3BB83D" w14:textId="77777777" w:rsidR="00072515" w:rsidRPr="004120A8" w:rsidRDefault="00072515" w:rsidP="00072515">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117E309" w14:textId="77777777" w:rsidR="00072515" w:rsidRDefault="00072515" w:rsidP="00072515">
                      <w:pPr>
                        <w:numPr>
                          <w:ilvl w:val="0"/>
                          <w:numId w:val="3"/>
                        </w:numPr>
                        <w:spacing w:after="0" w:line="240" w:lineRule="auto"/>
                        <w:rPr>
                          <w:rFonts w:ascii="Century Gothic" w:hAnsi="Century Gothic"/>
                          <w:sz w:val="18"/>
                          <w:szCs w:val="18"/>
                        </w:rPr>
                      </w:pPr>
                      <w:r>
                        <w:rPr>
                          <w:rFonts w:ascii="Century Gothic" w:hAnsi="Century Gothic"/>
                          <w:sz w:val="18"/>
                          <w:szCs w:val="18"/>
                        </w:rPr>
                        <w:t>REVISED: YES</w:t>
                      </w:r>
                    </w:p>
                    <w:p w14:paraId="4C6DB92B" w14:textId="77777777" w:rsidR="00072515" w:rsidRDefault="00072515" w:rsidP="00072515">
                      <w:pPr>
                        <w:spacing w:after="0"/>
                        <w:ind w:left="900"/>
                        <w:rPr>
                          <w:rFonts w:ascii="Century Gothic" w:hAnsi="Century Gothic"/>
                          <w:sz w:val="18"/>
                          <w:szCs w:val="18"/>
                        </w:rPr>
                      </w:pPr>
                    </w:p>
                    <w:p w14:paraId="28658BDA" w14:textId="77777777" w:rsidR="00072515" w:rsidRPr="00CE3BCB" w:rsidRDefault="00072515" w:rsidP="00072515">
                      <w:pPr>
                        <w:spacing w:after="0"/>
                        <w:ind w:left="900"/>
                        <w:rPr>
                          <w:rFonts w:ascii="Century Gothic" w:hAnsi="Century Gothic"/>
                          <w:sz w:val="18"/>
                          <w:szCs w:val="18"/>
                        </w:rPr>
                      </w:pPr>
                    </w:p>
                    <w:p w14:paraId="5AB2ECE1" w14:textId="3FC330B8" w:rsidR="00072515" w:rsidRPr="004120A8" w:rsidRDefault="00072515" w:rsidP="00072515">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Pr>
                          <w:rFonts w:ascii="Century Gothic" w:hAnsi="Century Gothic"/>
                          <w:b/>
                          <w:sz w:val="18"/>
                          <w:szCs w:val="18"/>
                        </w:rPr>
                        <w:t>17/04/2024</w:t>
                      </w:r>
                      <w:r w:rsidRPr="004120A8">
                        <w:rPr>
                          <w:rFonts w:ascii="Century Gothic" w:hAnsi="Century Gothic"/>
                          <w:b/>
                          <w:sz w:val="18"/>
                          <w:szCs w:val="18"/>
                        </w:rPr>
                        <w:t>…</w:t>
                      </w:r>
                    </w:p>
                    <w:p w14:paraId="1D3666E8" w14:textId="77777777" w:rsidR="00072515" w:rsidRPr="004120A8" w:rsidRDefault="00072515" w:rsidP="00072515">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4B168CBA" w14:textId="77777777" w:rsidR="00072515" w:rsidRPr="004120A8" w:rsidRDefault="00072515" w:rsidP="00072515">
                      <w:pPr>
                        <w:rPr>
                          <w:rFonts w:ascii="Century Gothic" w:hAnsi="Century Gothic"/>
                          <w:b/>
                          <w:sz w:val="2"/>
                          <w:szCs w:val="18"/>
                        </w:rPr>
                      </w:pPr>
                    </w:p>
                  </w:txbxContent>
                </v:textbox>
                <w10:wrap anchorx="margin"/>
              </v:shape>
            </w:pict>
          </mc:Fallback>
        </mc:AlternateContent>
      </w:r>
      <w:r w:rsidRPr="00072515">
        <w:rPr>
          <w:rFonts w:eastAsia="Calibri"/>
          <w:b/>
          <w:iCs w:val="0"/>
          <w:kern w:val="0"/>
          <w:szCs w:val="22"/>
          <w14:ligatures w14:val="none"/>
        </w:rPr>
        <w:t>CASE NO:</w:t>
      </w:r>
      <w:r w:rsidRPr="00072515">
        <w:rPr>
          <w:rFonts w:eastAsia="Calibri"/>
          <w:b/>
          <w:iCs w:val="0"/>
          <w:kern w:val="0"/>
          <w:szCs w:val="22"/>
          <w:lang w:val="en-GB"/>
          <w14:ligatures w14:val="none"/>
        </w:rPr>
        <w:t xml:space="preserve"> 20232/2020</w:t>
      </w:r>
    </w:p>
    <w:p w14:paraId="1A07868F" w14:textId="77777777" w:rsidR="00072515" w:rsidRPr="00072515" w:rsidRDefault="00072515" w:rsidP="00072515">
      <w:pPr>
        <w:spacing w:line="480" w:lineRule="auto"/>
        <w:ind w:left="720" w:hanging="720"/>
        <w:jc w:val="both"/>
        <w:rPr>
          <w:rFonts w:eastAsia="Calibri"/>
          <w:b/>
          <w:iCs w:val="0"/>
          <w:kern w:val="0"/>
          <w:szCs w:val="22"/>
          <w:u w:val="single"/>
          <w:lang w:val="en-GB"/>
          <w14:ligatures w14:val="none"/>
        </w:rPr>
      </w:pPr>
    </w:p>
    <w:p w14:paraId="2DC1D62C" w14:textId="77777777" w:rsidR="00072515" w:rsidRPr="00072515" w:rsidRDefault="00072515" w:rsidP="00072515">
      <w:pPr>
        <w:spacing w:line="720" w:lineRule="auto"/>
        <w:jc w:val="both"/>
        <w:rPr>
          <w:rFonts w:eastAsia="Calibri"/>
          <w:b/>
          <w:iCs w:val="0"/>
          <w:kern w:val="0"/>
          <w:szCs w:val="22"/>
          <w:u w:val="single"/>
          <w:lang w:val="en-GB"/>
          <w14:ligatures w14:val="none"/>
        </w:rPr>
      </w:pPr>
    </w:p>
    <w:p w14:paraId="00420EA2" w14:textId="77777777"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In the matter between:</w:t>
      </w:r>
    </w:p>
    <w:p w14:paraId="4EF52BE9" w14:textId="77777777" w:rsidR="00072515" w:rsidRDefault="00072515" w:rsidP="00072515">
      <w:pPr>
        <w:spacing w:after="0" w:line="276" w:lineRule="auto"/>
        <w:ind w:left="720" w:hanging="720"/>
        <w:jc w:val="both"/>
        <w:rPr>
          <w:rFonts w:eastAsia="Calibri"/>
          <w:b/>
          <w:bCs/>
          <w:iCs w:val="0"/>
          <w:kern w:val="0"/>
          <w:szCs w:val="22"/>
          <w:lang w:val="en-GB"/>
          <w14:ligatures w14:val="none"/>
        </w:rPr>
      </w:pPr>
      <w:r w:rsidRPr="00072515">
        <w:rPr>
          <w:rFonts w:eastAsia="Calibri"/>
          <w:b/>
          <w:bCs/>
          <w:iCs w:val="0"/>
          <w:kern w:val="0"/>
          <w:szCs w:val="22"/>
          <w:lang w:val="en-GB"/>
          <w14:ligatures w14:val="none"/>
        </w:rPr>
        <w:t xml:space="preserve">RAM TRANSPORT (SOUTH AFRICA) PROPRIETARY </w:t>
      </w:r>
    </w:p>
    <w:p w14:paraId="60AEA2FA" w14:textId="1C36A7BA" w:rsidR="00072515" w:rsidRPr="00072515" w:rsidRDefault="00072515" w:rsidP="00072515">
      <w:pPr>
        <w:spacing w:after="0" w:line="276" w:lineRule="auto"/>
        <w:ind w:left="720" w:hanging="720"/>
        <w:jc w:val="both"/>
        <w:rPr>
          <w:rFonts w:eastAsia="Calibri"/>
          <w:b/>
          <w:iCs w:val="0"/>
          <w:kern w:val="0"/>
          <w:szCs w:val="22"/>
          <w:lang w:val="en-GB"/>
          <w14:ligatures w14:val="none"/>
        </w:rPr>
      </w:pPr>
      <w:r w:rsidRPr="00072515">
        <w:rPr>
          <w:rFonts w:eastAsia="Calibri"/>
          <w:b/>
          <w:bCs/>
          <w:iCs w:val="0"/>
          <w:kern w:val="0"/>
          <w:szCs w:val="22"/>
          <w:lang w:val="en-GB"/>
          <w14:ligatures w14:val="none"/>
        </w:rPr>
        <w:t>LIMITED</w:t>
      </w:r>
      <w:r w:rsidRPr="00072515">
        <w:rPr>
          <w:rFonts w:eastAsia="Calibri"/>
          <w:b/>
          <w:iCs w:val="0"/>
          <w:kern w:val="0"/>
          <w:szCs w:val="22"/>
          <w:lang w:val="en-GB"/>
          <w14:ligatures w14:val="none"/>
        </w:rPr>
        <w:t xml:space="preserve"> t/a RAM HAND-TO-HAND COURIERS </w:t>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sidR="000E7EA5">
        <w:rPr>
          <w:rFonts w:eastAsia="Calibri"/>
          <w:b/>
          <w:iCs w:val="0"/>
          <w:kern w:val="0"/>
          <w:szCs w:val="22"/>
          <w:lang w:val="en-GB"/>
          <w14:ligatures w14:val="none"/>
        </w:rPr>
        <w:t xml:space="preserve">Applicant </w:t>
      </w:r>
      <w:r w:rsidRPr="00072515">
        <w:rPr>
          <w:rFonts w:eastAsia="Calibri"/>
          <w:b/>
          <w:bCs/>
          <w:iCs w:val="0"/>
          <w:kern w:val="0"/>
          <w:szCs w:val="22"/>
          <w:lang w:val="en-GB"/>
          <w14:ligatures w14:val="none"/>
        </w:rPr>
        <w:tab/>
        <w:t xml:space="preserve">        </w:t>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t xml:space="preserve"> </w:t>
      </w:r>
    </w:p>
    <w:p w14:paraId="26AF4745" w14:textId="0D33D098" w:rsidR="00072515" w:rsidRPr="00072515" w:rsidRDefault="00072515" w:rsidP="00EB7A73">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and</w:t>
      </w:r>
      <w:r w:rsidR="0068193B">
        <w:rPr>
          <w:rFonts w:eastAsia="Calibri"/>
          <w:iCs w:val="0"/>
          <w:kern w:val="0"/>
          <w:szCs w:val="22"/>
          <w:lang w:val="en-GB"/>
          <w14:ligatures w14:val="none"/>
        </w:rPr>
        <w:t xml:space="preserve"> </w:t>
      </w:r>
    </w:p>
    <w:p w14:paraId="713ED1E2" w14:textId="77777777" w:rsidR="00072515" w:rsidRDefault="00072515" w:rsidP="00072515">
      <w:pPr>
        <w:spacing w:after="0" w:line="276" w:lineRule="auto"/>
        <w:rPr>
          <w:rFonts w:eastAsia="Calibri"/>
          <w:b/>
          <w:iCs w:val="0"/>
          <w:kern w:val="0"/>
          <w:szCs w:val="22"/>
          <w:lang w:val="en-GB"/>
          <w14:ligatures w14:val="none"/>
        </w:rPr>
      </w:pPr>
      <w:r w:rsidRPr="00072515">
        <w:rPr>
          <w:rFonts w:eastAsia="Calibri"/>
          <w:b/>
          <w:iCs w:val="0"/>
          <w:kern w:val="0"/>
          <w:szCs w:val="22"/>
          <w:lang w:val="en-GB"/>
          <w14:ligatures w14:val="none"/>
        </w:rPr>
        <w:t xml:space="preserve">DHL SUPPLY CHAIN (SOUTH AFRICA) </w:t>
      </w:r>
    </w:p>
    <w:p w14:paraId="77378BF0" w14:textId="2EADC717" w:rsidR="00AA3748" w:rsidRDefault="00072515" w:rsidP="00072515">
      <w:pPr>
        <w:spacing w:after="0" w:line="276" w:lineRule="auto"/>
        <w:rPr>
          <w:b/>
          <w:bCs/>
        </w:rPr>
      </w:pPr>
      <w:r w:rsidRPr="00072515">
        <w:rPr>
          <w:rFonts w:eastAsia="Calibri"/>
          <w:b/>
          <w:iCs w:val="0"/>
          <w:kern w:val="0"/>
          <w:szCs w:val="22"/>
          <w:lang w:val="en-GB"/>
          <w14:ligatures w14:val="none"/>
        </w:rPr>
        <w:t>PROPRIETARY LIMITED</w:t>
      </w:r>
      <w:r w:rsidRPr="00072515">
        <w:rPr>
          <w:rFonts w:eastAsia="Calibri"/>
          <w:b/>
          <w:iCs w:val="0"/>
          <w:kern w:val="0"/>
          <w:szCs w:val="22"/>
          <w:lang w:val="en-GB"/>
          <w14:ligatures w14:val="none"/>
        </w:rPr>
        <w:tab/>
        <w:t xml:space="preserve">   </w:t>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Pr>
          <w:rFonts w:eastAsia="Calibri"/>
          <w:b/>
          <w:iCs w:val="0"/>
          <w:kern w:val="0"/>
          <w:szCs w:val="22"/>
          <w:lang w:val="en-GB"/>
          <w14:ligatures w14:val="none"/>
        </w:rPr>
        <w:tab/>
      </w:r>
      <w:r w:rsidR="00950984">
        <w:rPr>
          <w:rFonts w:eastAsia="Calibri"/>
          <w:b/>
          <w:iCs w:val="0"/>
          <w:kern w:val="0"/>
          <w:szCs w:val="22"/>
          <w:lang w:val="en-GB"/>
          <w14:ligatures w14:val="none"/>
        </w:rPr>
        <w:t xml:space="preserve">Respondent </w:t>
      </w:r>
    </w:p>
    <w:p w14:paraId="19E5C899" w14:textId="4E303555" w:rsidR="00072515" w:rsidRPr="00072515" w:rsidRDefault="00072515" w:rsidP="00072515">
      <w:pPr>
        <w:spacing w:after="0" w:line="480" w:lineRule="auto"/>
        <w:ind w:left="720" w:hanging="720"/>
        <w:jc w:val="both"/>
        <w:rPr>
          <w:rFonts w:eastAsia="Calibri"/>
          <w:b/>
          <w:iCs w:val="0"/>
          <w:kern w:val="0"/>
          <w:szCs w:val="22"/>
          <w:u w:val="single"/>
          <w14:ligatures w14:val="none"/>
        </w:rPr>
      </w:pP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p>
    <w:p w14:paraId="1F4D5B7E" w14:textId="265FC33F" w:rsidR="00072515" w:rsidRPr="00072515" w:rsidRDefault="00072515" w:rsidP="00072515">
      <w:pPr>
        <w:spacing w:after="0" w:line="240" w:lineRule="auto"/>
        <w:ind w:left="720" w:hanging="720"/>
        <w:jc w:val="center"/>
        <w:rPr>
          <w:rFonts w:eastAsia="Calibri"/>
          <w:b/>
          <w:iCs w:val="0"/>
          <w:kern w:val="0"/>
          <w:szCs w:val="22"/>
          <w14:ligatures w14:val="none"/>
        </w:rPr>
      </w:pPr>
      <w:r>
        <w:rPr>
          <w:rFonts w:eastAsia="Calibri"/>
          <w:b/>
          <w:iCs w:val="0"/>
          <w:kern w:val="0"/>
          <w:szCs w:val="22"/>
          <w14:ligatures w14:val="none"/>
        </w:rPr>
        <w:t xml:space="preserve">LEAVE TO APPEAL - </w:t>
      </w:r>
      <w:r w:rsidRPr="00072515">
        <w:rPr>
          <w:rFonts w:eastAsia="Calibri"/>
          <w:b/>
          <w:iCs w:val="0"/>
          <w:kern w:val="0"/>
          <w:szCs w:val="22"/>
          <w14:ligatures w14:val="none"/>
        </w:rPr>
        <w:t xml:space="preserve">JUDGMENT </w:t>
      </w:r>
    </w:p>
    <w:p w14:paraId="75BBB64E" w14:textId="2A7ADD1D" w:rsidR="00072515" w:rsidRPr="00072515" w:rsidRDefault="00072515" w:rsidP="00072515">
      <w:pPr>
        <w:spacing w:after="0" w:line="480" w:lineRule="auto"/>
        <w:ind w:left="720" w:hanging="720"/>
        <w:jc w:val="both"/>
        <w:rPr>
          <w:rFonts w:eastAsia="Calibri"/>
          <w:b/>
          <w:iCs w:val="0"/>
          <w:kern w:val="0"/>
          <w:szCs w:val="22"/>
          <w:u w:val="single"/>
          <w14:ligatures w14:val="none"/>
        </w:rPr>
      </w:pP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r w:rsidRPr="00072515">
        <w:rPr>
          <w:rFonts w:eastAsia="Calibri"/>
          <w:b/>
          <w:iCs w:val="0"/>
          <w:kern w:val="0"/>
          <w:szCs w:val="22"/>
          <w:u w:val="single"/>
          <w14:ligatures w14:val="none"/>
        </w:rPr>
        <w:tab/>
      </w:r>
    </w:p>
    <w:p w14:paraId="571BFA12" w14:textId="46817634" w:rsidR="00AA3748" w:rsidRPr="00072515" w:rsidRDefault="00072515" w:rsidP="00072515">
      <w:pPr>
        <w:spacing w:line="480" w:lineRule="auto"/>
        <w:ind w:left="720" w:hanging="720"/>
        <w:jc w:val="both"/>
        <w:rPr>
          <w:rFonts w:eastAsia="Calibri"/>
          <w:iCs w:val="0"/>
          <w:kern w:val="0"/>
          <w:szCs w:val="22"/>
          <w14:ligatures w14:val="none"/>
        </w:rPr>
      </w:pPr>
      <w:r w:rsidRPr="00072515">
        <w:rPr>
          <w:rFonts w:eastAsia="Calibri"/>
          <w:b/>
          <w:iCs w:val="0"/>
          <w:kern w:val="0"/>
          <w:szCs w:val="22"/>
          <w:lang w:val="en-GB"/>
          <w14:ligatures w14:val="none"/>
        </w:rPr>
        <w:t>MANOIM J:</w:t>
      </w:r>
    </w:p>
    <w:p w14:paraId="06956516" w14:textId="7FC004B9" w:rsidR="000937B7" w:rsidRDefault="00AA3748" w:rsidP="00AA3748">
      <w:pPr>
        <w:spacing w:after="360" w:line="480" w:lineRule="auto"/>
        <w:ind w:left="720" w:hanging="720"/>
        <w:jc w:val="both"/>
      </w:pPr>
      <w:r>
        <w:t>[1]</w:t>
      </w:r>
      <w:r>
        <w:tab/>
      </w:r>
      <w:r w:rsidR="004074A3">
        <w:t xml:space="preserve">This is an application for leave to appeal. The applicant is the plaintiff in this matter. It seeks leave to appeal my decision to dismiss its </w:t>
      </w:r>
      <w:r w:rsidR="00F91DB0">
        <w:t xml:space="preserve">matter. The matter </w:t>
      </w:r>
      <w:r w:rsidR="00F91DB0">
        <w:lastRenderedPageBreak/>
        <w:t xml:space="preserve">concerns a breach of contract and a </w:t>
      </w:r>
      <w:r w:rsidR="00521DBB">
        <w:t>claim for damages consequent on the alleged breach.</w:t>
      </w:r>
    </w:p>
    <w:p w14:paraId="70292DBE" w14:textId="4705A04E" w:rsidR="00FB2B81" w:rsidRDefault="00AA3748" w:rsidP="00AA3748">
      <w:pPr>
        <w:spacing w:after="360" w:line="480" w:lineRule="auto"/>
        <w:ind w:left="720" w:hanging="720"/>
        <w:jc w:val="both"/>
      </w:pPr>
      <w:r>
        <w:t>[2]</w:t>
      </w:r>
      <w:r>
        <w:tab/>
      </w:r>
      <w:r w:rsidR="00FB2B81">
        <w:t xml:space="preserve">I had separated the issue of damages from the merits. The appeal concerns my finding on the merits. </w:t>
      </w:r>
      <w:r w:rsidR="006E3362">
        <w:t xml:space="preserve"> There is no dispute that </w:t>
      </w:r>
      <w:r w:rsidR="00D05F18">
        <w:t xml:space="preserve">some form of </w:t>
      </w:r>
      <w:r w:rsidR="006E3362">
        <w:t xml:space="preserve">contract existed between the plaintiff and the defendant </w:t>
      </w:r>
      <w:r w:rsidR="00E46CCA">
        <w:t>(</w:t>
      </w:r>
      <w:r w:rsidR="002A2440">
        <w:t>“</w:t>
      </w:r>
      <w:r w:rsidR="00E46CCA">
        <w:t>the</w:t>
      </w:r>
      <w:r w:rsidR="006E3362">
        <w:t xml:space="preserve"> respondent in the </w:t>
      </w:r>
      <w:r w:rsidR="008F0F55">
        <w:t>application</w:t>
      </w:r>
      <w:r w:rsidR="006E3362">
        <w:t xml:space="preserve"> </w:t>
      </w:r>
      <w:r w:rsidR="00D05F18">
        <w:t>f</w:t>
      </w:r>
      <w:r w:rsidR="006E3362">
        <w:t>or leave to appeal</w:t>
      </w:r>
      <w:r w:rsidR="002A2440">
        <w:t>”</w:t>
      </w:r>
      <w:r w:rsidR="00A61D94">
        <w:t>). To</w:t>
      </w:r>
      <w:r w:rsidR="00FB2B81">
        <w:t xml:space="preserve"> succeed with a cl</w:t>
      </w:r>
      <w:r w:rsidR="00415B50">
        <w:t xml:space="preserve">aim for damages the plaintiff had to prove </w:t>
      </w:r>
      <w:r w:rsidR="006E3362">
        <w:t>that</w:t>
      </w:r>
      <w:r w:rsidR="008F0F55">
        <w:t xml:space="preserve"> the terms of the contract it contended for</w:t>
      </w:r>
      <w:r w:rsidR="005525B4">
        <w:t>,</w:t>
      </w:r>
      <w:r w:rsidR="008F0F55">
        <w:t xml:space="preserve"> contained the following three terms:</w:t>
      </w:r>
    </w:p>
    <w:p w14:paraId="3CFF19D4" w14:textId="7B4C0DC9" w:rsidR="008F0F55" w:rsidRDefault="00940FDB" w:rsidP="00AA3748">
      <w:pPr>
        <w:pStyle w:val="ListParagraph"/>
        <w:numPr>
          <w:ilvl w:val="1"/>
          <w:numId w:val="1"/>
        </w:numPr>
        <w:spacing w:after="360" w:line="480" w:lineRule="auto"/>
        <w:jc w:val="both"/>
      </w:pPr>
      <w:r>
        <w:t>T</w:t>
      </w:r>
      <w:r w:rsidR="0067473D">
        <w:t>he contract’s duration</w:t>
      </w:r>
      <w:r w:rsidR="002F19E4">
        <w:t xml:space="preserve"> was for a minimum of two years (</w:t>
      </w:r>
      <w:r w:rsidR="00F84CDB">
        <w:t>“</w:t>
      </w:r>
      <w:r w:rsidR="002F19E4">
        <w:t>the contract period</w:t>
      </w:r>
      <w:r w:rsidR="00F84CDB">
        <w:t>”</w:t>
      </w:r>
      <w:proofErr w:type="gramStart"/>
      <w:r w:rsidR="002F19E4">
        <w:t>)</w:t>
      </w:r>
      <w:r w:rsidR="00F54A44">
        <w:t>;</w:t>
      </w:r>
      <w:proofErr w:type="gramEnd"/>
    </w:p>
    <w:p w14:paraId="396782BB" w14:textId="58211AAB" w:rsidR="0067473D" w:rsidRDefault="0067473D" w:rsidP="00AA3748">
      <w:pPr>
        <w:pStyle w:val="ListParagraph"/>
        <w:numPr>
          <w:ilvl w:val="1"/>
          <w:numId w:val="1"/>
        </w:numPr>
        <w:spacing w:after="360" w:line="480" w:lineRule="auto"/>
        <w:jc w:val="both"/>
      </w:pPr>
      <w:r>
        <w:t xml:space="preserve">The </w:t>
      </w:r>
      <w:r w:rsidR="00131132">
        <w:t>contract was exclusive</w:t>
      </w:r>
      <w:r w:rsidR="00F54A44">
        <w:t>; and</w:t>
      </w:r>
      <w:r w:rsidR="00131132">
        <w:t xml:space="preserve"> </w:t>
      </w:r>
    </w:p>
    <w:p w14:paraId="2CB8B81C" w14:textId="0BF915AD" w:rsidR="00131132" w:rsidRDefault="00131132" w:rsidP="00AA3748">
      <w:pPr>
        <w:pStyle w:val="ListParagraph"/>
        <w:numPr>
          <w:ilvl w:val="1"/>
          <w:numId w:val="1"/>
        </w:numPr>
        <w:spacing w:after="360" w:line="480" w:lineRule="auto"/>
        <w:jc w:val="both"/>
      </w:pPr>
      <w:r>
        <w:t>That the contract was only terminable for cause</w:t>
      </w:r>
      <w:r w:rsidR="00F54A44">
        <w:t xml:space="preserve"> during the contract period</w:t>
      </w:r>
      <w:r>
        <w:t>.</w:t>
      </w:r>
    </w:p>
    <w:p w14:paraId="3F29D594" w14:textId="02B64758" w:rsidR="00C62A55" w:rsidRDefault="00AA3748" w:rsidP="00AA3748">
      <w:pPr>
        <w:spacing w:after="360" w:line="480" w:lineRule="auto"/>
        <w:ind w:left="720" w:hanging="720"/>
        <w:jc w:val="both"/>
      </w:pPr>
      <w:r>
        <w:t>[3]</w:t>
      </w:r>
      <w:r>
        <w:tab/>
      </w:r>
      <w:r w:rsidR="00C62A55">
        <w:t>The plaintiff alleged that the contract w</w:t>
      </w:r>
      <w:r w:rsidR="0092377E">
        <w:t xml:space="preserve">as to endure for a minimum period of two years. It is common cause that the parties had implemented </w:t>
      </w:r>
      <w:r w:rsidR="000649FE">
        <w:t>some form of contract</w:t>
      </w:r>
      <w:r w:rsidR="0092377E">
        <w:t xml:space="preserve"> for a period of six months</w:t>
      </w:r>
      <w:r w:rsidR="000649FE">
        <w:t>,</w:t>
      </w:r>
      <w:r w:rsidR="0092377E">
        <w:t xml:space="preserve"> before the defendant terminated it on one month</w:t>
      </w:r>
      <w:r w:rsidR="003B29AF">
        <w:t>’</w:t>
      </w:r>
      <w:r w:rsidR="0092377E">
        <w:t>s notice.</w:t>
      </w:r>
      <w:r w:rsidR="002A770F">
        <w:t xml:space="preserve"> As a finding of fact</w:t>
      </w:r>
      <w:r w:rsidR="003B29AF">
        <w:t>,</w:t>
      </w:r>
      <w:r w:rsidR="002A770F">
        <w:t xml:space="preserve"> I did not find that it was terminated for cause.</w:t>
      </w:r>
    </w:p>
    <w:p w14:paraId="34BC480E" w14:textId="12540FCC" w:rsidR="002A770F" w:rsidRDefault="00AA3748" w:rsidP="00AA3748">
      <w:pPr>
        <w:spacing w:after="360" w:line="480" w:lineRule="auto"/>
        <w:ind w:left="720" w:hanging="720"/>
        <w:jc w:val="both"/>
      </w:pPr>
      <w:r>
        <w:t>[4]</w:t>
      </w:r>
      <w:r>
        <w:tab/>
      </w:r>
      <w:r w:rsidR="002A770F">
        <w:t xml:space="preserve">The defendant denies that the contract had a </w:t>
      </w:r>
      <w:r w:rsidR="008D1144">
        <w:t>two-year</w:t>
      </w:r>
      <w:r w:rsidR="002A770F">
        <w:t xml:space="preserve"> duration but was an </w:t>
      </w:r>
      <w:r w:rsidR="002A770F" w:rsidRPr="00AA3748">
        <w:rPr>
          <w:i/>
          <w:iCs w:val="0"/>
        </w:rPr>
        <w:t>ad hoc</w:t>
      </w:r>
      <w:r w:rsidR="002A770F">
        <w:t xml:space="preserve"> contract which could be cancelled in the manner that it did without cause.</w:t>
      </w:r>
      <w:r w:rsidR="008D1144">
        <w:t xml:space="preserve"> </w:t>
      </w:r>
      <w:r w:rsidR="00077F5E">
        <w:t>(</w:t>
      </w:r>
      <w:r w:rsidR="008D1144">
        <w:t>A</w:t>
      </w:r>
      <w:r w:rsidR="00077F5E">
        <w:t>n alternative plea that it had been terminated for cause was not persisted with.)</w:t>
      </w:r>
    </w:p>
    <w:p w14:paraId="59F48773" w14:textId="323790E7" w:rsidR="00D27B98" w:rsidRDefault="00AA3748" w:rsidP="00AA3748">
      <w:pPr>
        <w:spacing w:after="360" w:line="480" w:lineRule="auto"/>
        <w:ind w:left="720" w:hanging="720"/>
        <w:jc w:val="both"/>
      </w:pPr>
      <w:r>
        <w:lastRenderedPageBreak/>
        <w:t>[5]</w:t>
      </w:r>
      <w:r>
        <w:tab/>
      </w:r>
      <w:r w:rsidR="0012112D">
        <w:t xml:space="preserve">The basis for the plaintiff’s claim </w:t>
      </w:r>
      <w:r w:rsidR="00B83A2A">
        <w:t xml:space="preserve">of a </w:t>
      </w:r>
      <w:r w:rsidR="00173048">
        <w:t>two-year</w:t>
      </w:r>
      <w:r w:rsidR="00B83A2A">
        <w:t xml:space="preserve"> contract was a letter of intent </w:t>
      </w:r>
      <w:r w:rsidR="00A75A15">
        <w:t>(</w:t>
      </w:r>
      <w:r>
        <w:t>“</w:t>
      </w:r>
      <w:r w:rsidR="00A75A15">
        <w:t>LOI</w:t>
      </w:r>
      <w:r>
        <w:t>”</w:t>
      </w:r>
      <w:r w:rsidR="00A75A15">
        <w:t xml:space="preserve">) </w:t>
      </w:r>
      <w:r w:rsidR="00B83A2A">
        <w:t xml:space="preserve">that the defendant wrote to it on </w:t>
      </w:r>
      <w:r w:rsidR="00863CA5">
        <w:t>30 November 2017</w:t>
      </w:r>
      <w:r w:rsidR="00380B49">
        <w:t xml:space="preserve">. In that letter the defendant stated its intention to </w:t>
      </w:r>
      <w:proofErr w:type="gramStart"/>
      <w:r w:rsidR="00380B49">
        <w:t>enter into</w:t>
      </w:r>
      <w:proofErr w:type="gramEnd"/>
      <w:r w:rsidR="00380B49">
        <w:t xml:space="preserve"> a contract with the plaintiff</w:t>
      </w:r>
      <w:r w:rsidR="00201438">
        <w:t>. It mentions that this would be for</w:t>
      </w:r>
      <w:r w:rsidR="00671997">
        <w:t xml:space="preserve"> an </w:t>
      </w:r>
      <w:r w:rsidR="00671997" w:rsidRPr="00AA3748">
        <w:rPr>
          <w:i/>
          <w:iCs w:val="0"/>
        </w:rPr>
        <w:t>“</w:t>
      </w:r>
      <w:r w:rsidR="004C5BA5" w:rsidRPr="00AA3748">
        <w:rPr>
          <w:i/>
          <w:iCs w:val="0"/>
        </w:rPr>
        <w:t>…</w:t>
      </w:r>
      <w:r w:rsidR="00671997" w:rsidRPr="00AA3748">
        <w:rPr>
          <w:i/>
          <w:iCs w:val="0"/>
        </w:rPr>
        <w:t xml:space="preserve"> initial </w:t>
      </w:r>
      <w:r w:rsidR="00201438" w:rsidRPr="00AA3748">
        <w:rPr>
          <w:i/>
          <w:iCs w:val="0"/>
        </w:rPr>
        <w:t>period of</w:t>
      </w:r>
      <w:r w:rsidR="004C5BA5" w:rsidRPr="00AA3748">
        <w:rPr>
          <w:i/>
          <w:iCs w:val="0"/>
        </w:rPr>
        <w:t xml:space="preserve"> 24 </w:t>
      </w:r>
      <w:r w:rsidR="000605B9" w:rsidRPr="00AA3748">
        <w:rPr>
          <w:i/>
          <w:iCs w:val="0"/>
        </w:rPr>
        <w:t>months...</w:t>
      </w:r>
      <w:r w:rsidR="004C5BA5" w:rsidRPr="00AA3748">
        <w:rPr>
          <w:i/>
          <w:iCs w:val="0"/>
        </w:rPr>
        <w:t>”</w:t>
      </w:r>
      <w:r w:rsidR="00201438" w:rsidRPr="00AA3748">
        <w:rPr>
          <w:i/>
          <w:iCs w:val="0"/>
        </w:rPr>
        <w:t>.</w:t>
      </w:r>
      <w:r w:rsidR="00F81BA6">
        <w:t xml:space="preserve"> This sentence is what the plaintiff relies on to </w:t>
      </w:r>
      <w:r w:rsidR="005B1A5B">
        <w:t xml:space="preserve">prove the </w:t>
      </w:r>
      <w:r w:rsidR="006A68D3">
        <w:t xml:space="preserve">alleged </w:t>
      </w:r>
      <w:r w:rsidR="002562E2">
        <w:t>duration</w:t>
      </w:r>
      <w:r w:rsidR="00DF3AB6">
        <w:t>.</w:t>
      </w:r>
      <w:r w:rsidR="006A68D3">
        <w:t xml:space="preserve"> </w:t>
      </w:r>
      <w:r w:rsidR="00AE28FE">
        <w:t>(</w:t>
      </w:r>
      <w:r w:rsidR="00D27B98">
        <w:t>The two other provisions, exclusivity and cancellation for cause are pleaded as tacit terms.</w:t>
      </w:r>
      <w:r w:rsidR="00AE28FE">
        <w:t>)</w:t>
      </w:r>
    </w:p>
    <w:p w14:paraId="47B58A4D" w14:textId="79896091" w:rsidR="00F32E58" w:rsidRDefault="00AA3748" w:rsidP="00AA3748">
      <w:pPr>
        <w:spacing w:after="360" w:line="480" w:lineRule="auto"/>
        <w:jc w:val="both"/>
      </w:pPr>
      <w:r>
        <w:t>[6]</w:t>
      </w:r>
      <w:r>
        <w:tab/>
      </w:r>
      <w:r w:rsidR="00201438">
        <w:t>But the LOI also stated in a concluding sentence that</w:t>
      </w:r>
      <w:r w:rsidR="00F32E58">
        <w:t>:</w:t>
      </w:r>
    </w:p>
    <w:p w14:paraId="14233CA6" w14:textId="40D4359D" w:rsidR="00077F5E" w:rsidRPr="00345FBF" w:rsidRDefault="00345FBF" w:rsidP="00AA3748">
      <w:pPr>
        <w:pStyle w:val="ListParagraph"/>
        <w:spacing w:after="360" w:line="480" w:lineRule="auto"/>
        <w:jc w:val="both"/>
        <w:rPr>
          <w:i/>
          <w:iCs w:val="0"/>
        </w:rPr>
      </w:pPr>
      <w:r w:rsidRPr="00345FBF">
        <w:rPr>
          <w:i/>
          <w:iCs w:val="0"/>
        </w:rPr>
        <w:t>“The</w:t>
      </w:r>
      <w:r w:rsidR="00F32E58" w:rsidRPr="00345FBF">
        <w:rPr>
          <w:i/>
          <w:iCs w:val="0"/>
        </w:rPr>
        <w:t xml:space="preserve"> final award will be subject </w:t>
      </w:r>
      <w:r w:rsidRPr="00345FBF">
        <w:rPr>
          <w:i/>
          <w:iCs w:val="0"/>
        </w:rPr>
        <w:t>to the successful conclusion of the contract accordingly.”</w:t>
      </w:r>
      <w:r w:rsidR="002562E2" w:rsidRPr="00345FBF">
        <w:rPr>
          <w:i/>
          <w:iCs w:val="0"/>
        </w:rPr>
        <w:t xml:space="preserve"> </w:t>
      </w:r>
    </w:p>
    <w:p w14:paraId="1D66D68A" w14:textId="21458BDE" w:rsidR="002562E2" w:rsidRDefault="00AA3748" w:rsidP="00AA3748">
      <w:pPr>
        <w:spacing w:after="360" w:line="480" w:lineRule="auto"/>
        <w:ind w:left="720" w:hanging="720"/>
        <w:jc w:val="both"/>
      </w:pPr>
      <w:r>
        <w:t>[7]</w:t>
      </w:r>
      <w:r>
        <w:tab/>
      </w:r>
      <w:r w:rsidR="007D093C">
        <w:t xml:space="preserve">The case largely turns on what that </w:t>
      </w:r>
      <w:r w:rsidR="008F4243">
        <w:t xml:space="preserve">sentence </w:t>
      </w:r>
      <w:r w:rsidR="007D093C">
        <w:t xml:space="preserve">meant. </w:t>
      </w:r>
      <w:r w:rsidR="008F4243">
        <w:t xml:space="preserve">It is common cause that no further contract was entered into. </w:t>
      </w:r>
      <w:r w:rsidR="00567F3A">
        <w:t xml:space="preserve">That might suggest that this </w:t>
      </w:r>
      <w:r w:rsidR="00A75A15">
        <w:t>was a</w:t>
      </w:r>
      <w:r w:rsidR="00567F3A">
        <w:t xml:space="preserve"> condition </w:t>
      </w:r>
      <w:r w:rsidR="00CF4784">
        <w:t>that had to be fulfilled prior to the contract being entered into. But the parties</w:t>
      </w:r>
      <w:r w:rsidR="00206354">
        <w:t>,</w:t>
      </w:r>
      <w:r w:rsidR="00CF4784">
        <w:t xml:space="preserve"> notwithstanding this</w:t>
      </w:r>
      <w:r w:rsidR="00206354">
        <w:t>,</w:t>
      </w:r>
      <w:r w:rsidR="00CF4784">
        <w:t xml:space="preserve"> proceeded to take </w:t>
      </w:r>
      <w:proofErr w:type="gramStart"/>
      <w:r w:rsidR="00CF4784">
        <w:t>a number of</w:t>
      </w:r>
      <w:proofErr w:type="gramEnd"/>
      <w:r w:rsidR="00CF4784">
        <w:t xml:space="preserve"> steps </w:t>
      </w:r>
      <w:r w:rsidR="00D60F48">
        <w:t xml:space="preserve">which </w:t>
      </w:r>
      <w:r w:rsidR="002F1CAA">
        <w:t>the plaintiff alleges meant that the contract had been entered into</w:t>
      </w:r>
      <w:r w:rsidR="00206354">
        <w:t xml:space="preserve">. </w:t>
      </w:r>
      <w:r w:rsidR="00206354" w:rsidRPr="00C61F37">
        <w:rPr>
          <w:i/>
          <w:iCs w:val="0"/>
        </w:rPr>
        <w:t>Inter alia</w:t>
      </w:r>
      <w:r w:rsidR="00102CAE">
        <w:t>,</w:t>
      </w:r>
      <w:r w:rsidR="00206354">
        <w:t xml:space="preserve"> the plaintiff relied on the fact that the defendant had taken steps to terminate its existing </w:t>
      </w:r>
      <w:r w:rsidR="00B25386">
        <w:t>service provider</w:t>
      </w:r>
      <w:r w:rsidR="00206354">
        <w:t>, verified that the plaintiff was compliant with its service standards</w:t>
      </w:r>
      <w:r w:rsidR="00E04240">
        <w:t>,</w:t>
      </w:r>
      <w:r w:rsidR="00206354">
        <w:t xml:space="preserve"> and advised its clients </w:t>
      </w:r>
      <w:r w:rsidR="00D84355">
        <w:t>(amongst</w:t>
      </w:r>
      <w:r w:rsidR="00E04240">
        <w:t xml:space="preserve"> whom was major hospital group) </w:t>
      </w:r>
      <w:r w:rsidR="00F1202F">
        <w:t xml:space="preserve">that the plaintiff was now its service provider. </w:t>
      </w:r>
      <w:r w:rsidR="002F1CAA">
        <w:t xml:space="preserve"> </w:t>
      </w:r>
    </w:p>
    <w:p w14:paraId="42F1D8A5" w14:textId="62A277C3" w:rsidR="00AE146D" w:rsidRDefault="00AA3748" w:rsidP="00AA3748">
      <w:pPr>
        <w:spacing w:after="360" w:line="480" w:lineRule="auto"/>
        <w:ind w:left="720" w:hanging="720"/>
        <w:jc w:val="both"/>
      </w:pPr>
      <w:r>
        <w:t>[8]</w:t>
      </w:r>
      <w:r>
        <w:tab/>
      </w:r>
      <w:r w:rsidR="00AE146D">
        <w:t xml:space="preserve">It is also common cause that the plaintiff commenced providing the services contemplated in the contract on an exclusive basis </w:t>
      </w:r>
      <w:r w:rsidR="00C80446">
        <w:t xml:space="preserve">from </w:t>
      </w:r>
      <w:r w:rsidR="00E10667">
        <w:t>26 March 2018 to 30 September 2018</w:t>
      </w:r>
      <w:r w:rsidR="00433601">
        <w:t>.</w:t>
      </w:r>
      <w:r w:rsidR="00AE146D">
        <w:t xml:space="preserve"> </w:t>
      </w:r>
      <w:r w:rsidR="00964C5A">
        <w:t xml:space="preserve">The duration of the service provision was six months. </w:t>
      </w:r>
    </w:p>
    <w:p w14:paraId="3297D95F" w14:textId="0A52B8C6" w:rsidR="00173048" w:rsidRDefault="00AA3748" w:rsidP="00AA3748">
      <w:pPr>
        <w:spacing w:after="360" w:line="480" w:lineRule="auto"/>
        <w:ind w:left="720" w:hanging="720"/>
        <w:jc w:val="both"/>
      </w:pPr>
      <w:r>
        <w:lastRenderedPageBreak/>
        <w:t>[9]</w:t>
      </w:r>
      <w:r>
        <w:tab/>
      </w:r>
      <w:r w:rsidR="00263589">
        <w:t xml:space="preserve">What then does the plaintiff make of the </w:t>
      </w:r>
      <w:r w:rsidR="00173534">
        <w:t>condition</w:t>
      </w:r>
      <w:r w:rsidR="006832BB">
        <w:t xml:space="preserve">? The </w:t>
      </w:r>
      <w:r w:rsidR="00173534">
        <w:t>plaintiff suggests</w:t>
      </w:r>
      <w:r w:rsidR="006832BB">
        <w:t xml:space="preserve"> various possibilities. The first was that the </w:t>
      </w:r>
      <w:r w:rsidR="00173534">
        <w:t xml:space="preserve">condition </w:t>
      </w:r>
      <w:r w:rsidR="006B01F6">
        <w:t xml:space="preserve">contemplated </w:t>
      </w:r>
      <w:r w:rsidR="00173534">
        <w:t xml:space="preserve">no more than a </w:t>
      </w:r>
      <w:r w:rsidR="00195236">
        <w:t>nuts-and-bolts</w:t>
      </w:r>
      <w:r w:rsidR="004E3841">
        <w:t xml:space="preserve"> agreement that detailed the minutiae but had no effect on the major terms in</w:t>
      </w:r>
      <w:r w:rsidR="0019698A">
        <w:t xml:space="preserve">cluding price and duration which the LOI had regulated. In the alternative this condition was waived or by virtue of quasi mutual assent the clause was no longer operative. </w:t>
      </w:r>
    </w:p>
    <w:p w14:paraId="4CF38701" w14:textId="1821B3BC" w:rsidR="00076704" w:rsidRDefault="00AA3748" w:rsidP="00AA3748">
      <w:pPr>
        <w:spacing w:after="360" w:line="480" w:lineRule="auto"/>
        <w:ind w:left="720" w:hanging="720"/>
        <w:jc w:val="both"/>
      </w:pPr>
      <w:r>
        <w:t>[10]</w:t>
      </w:r>
      <w:r>
        <w:tab/>
      </w:r>
      <w:r w:rsidR="00087E3F">
        <w:t>The plaintiff</w:t>
      </w:r>
      <w:r w:rsidR="00195236">
        <w:t>,</w:t>
      </w:r>
      <w:r w:rsidR="00087E3F">
        <w:t xml:space="preserve"> I found</w:t>
      </w:r>
      <w:r w:rsidR="00195236">
        <w:t>,</w:t>
      </w:r>
      <w:r w:rsidR="00087E3F">
        <w:t xml:space="preserve"> had difficulties getting around the plain language of the agreement. But the plaintiff sought to rely on context to establish its primary argument that the condition was of the </w:t>
      </w:r>
      <w:r w:rsidR="00195236">
        <w:t>nuts-and-bolts</w:t>
      </w:r>
      <w:r w:rsidR="00087E3F">
        <w:t xml:space="preserve"> variety.</w:t>
      </w:r>
      <w:r w:rsidR="00087E3F">
        <w:br/>
        <w:t xml:space="preserve">What the plaintiff was seeking to rely on as a matter of law was a decision by Corbett JA in </w:t>
      </w:r>
      <w:r w:rsidR="00087E3F" w:rsidRPr="00AA3748">
        <w:rPr>
          <w:i/>
          <w:iCs w:val="0"/>
        </w:rPr>
        <w:t>Alsthom</w:t>
      </w:r>
      <w:r w:rsidR="00A23CE0">
        <w:rPr>
          <w:rStyle w:val="FootnoteReference"/>
          <w:i/>
          <w:iCs w:val="0"/>
        </w:rPr>
        <w:footnoteReference w:id="1"/>
      </w:r>
      <w:r w:rsidR="00087E3F">
        <w:t xml:space="preserve"> where he held that</w:t>
      </w:r>
      <w:r w:rsidR="00F84063">
        <w:t xml:space="preserve"> the existence of outstanding matters may not deprive </w:t>
      </w:r>
      <w:r w:rsidR="0072122E">
        <w:t>an agreement of contractual force</w:t>
      </w:r>
      <w:r w:rsidR="00A27259">
        <w:t>.</w:t>
      </w:r>
      <w:r w:rsidR="00C90180">
        <w:t xml:space="preserve"> </w:t>
      </w:r>
      <w:r w:rsidR="009477ED">
        <w:t>The matter concerned like this one with a</w:t>
      </w:r>
      <w:r w:rsidR="00D3063A">
        <w:t xml:space="preserve">n acceptance of a </w:t>
      </w:r>
      <w:r w:rsidR="00027CE2">
        <w:t>contract,</w:t>
      </w:r>
      <w:r w:rsidR="00D3063A">
        <w:t xml:space="preserve"> but which was subject to further negotiations which </w:t>
      </w:r>
      <w:r w:rsidR="00E04AAA">
        <w:t>were never completed.</w:t>
      </w:r>
    </w:p>
    <w:p w14:paraId="11915C96" w14:textId="4354AFB2" w:rsidR="0019698A" w:rsidRDefault="00AA3748" w:rsidP="00AA3748">
      <w:pPr>
        <w:spacing w:after="360" w:line="480" w:lineRule="auto"/>
        <w:ind w:left="720" w:hanging="720"/>
        <w:jc w:val="both"/>
      </w:pPr>
      <w:r>
        <w:t>[11]</w:t>
      </w:r>
      <w:r>
        <w:tab/>
      </w:r>
      <w:r w:rsidR="00076704">
        <w:t>Corbett JA held that t</w:t>
      </w:r>
      <w:r w:rsidR="00C90180">
        <w:t>he parties might well have agreed expressly or by implication</w:t>
      </w:r>
      <w:r w:rsidR="00076704">
        <w:t xml:space="preserve">, to </w:t>
      </w:r>
      <w:r w:rsidR="00C90180">
        <w:t>have left the outstanding matters to later negotiation. Where these outstanding ma</w:t>
      </w:r>
      <w:r w:rsidR="00C06080">
        <w:t xml:space="preserve">tters do not get resolved then the original contract </w:t>
      </w:r>
      <w:r w:rsidR="00124379">
        <w:t>might nevertheless still</w:t>
      </w:r>
      <w:r w:rsidR="00C06080">
        <w:t xml:space="preserve"> stand. </w:t>
      </w:r>
      <w:r w:rsidR="00576F60">
        <w:t>When might this apply? Corbett J</w:t>
      </w:r>
      <w:r w:rsidR="00393819">
        <w:t xml:space="preserve">A held that this would depend </w:t>
      </w:r>
      <w:r w:rsidR="00393819" w:rsidRPr="00AA3748">
        <w:rPr>
          <w:i/>
          <w:iCs w:val="0"/>
        </w:rPr>
        <w:t xml:space="preserve">on “…their conduct, the terms of the agreement, </w:t>
      </w:r>
      <w:r w:rsidR="00345E12" w:rsidRPr="00AA3748">
        <w:rPr>
          <w:i/>
          <w:iCs w:val="0"/>
        </w:rPr>
        <w:t>and the surrounding circumstances.</w:t>
      </w:r>
      <w:r w:rsidR="004E4EAE" w:rsidRPr="00AA3748">
        <w:rPr>
          <w:i/>
          <w:iCs w:val="0"/>
        </w:rPr>
        <w:t>”</w:t>
      </w:r>
      <w:r w:rsidR="00D556A4" w:rsidRPr="00E90482">
        <w:rPr>
          <w:rStyle w:val="FootnoteReference"/>
        </w:rPr>
        <w:footnoteReference w:id="2"/>
      </w:r>
      <w:r w:rsidR="00124379">
        <w:t xml:space="preserve"> On the facts of the case Corbett JA held </w:t>
      </w:r>
      <w:r w:rsidR="000D748B">
        <w:t>that there had been a binding contract.</w:t>
      </w:r>
    </w:p>
    <w:p w14:paraId="400451C0" w14:textId="28B19613" w:rsidR="00283B25" w:rsidRDefault="00AA3748" w:rsidP="00AA3748">
      <w:pPr>
        <w:spacing w:after="360" w:line="480" w:lineRule="auto"/>
        <w:ind w:left="720" w:hanging="720"/>
        <w:jc w:val="both"/>
      </w:pPr>
      <w:r>
        <w:lastRenderedPageBreak/>
        <w:t>[12]</w:t>
      </w:r>
      <w:r>
        <w:tab/>
      </w:r>
      <w:r w:rsidR="0023333B">
        <w:t>But at the other end of the spectrum was the case also from the SCA which the defendant relied on</w:t>
      </w:r>
      <w:r w:rsidR="00420773">
        <w:t>,</w:t>
      </w:r>
      <w:r w:rsidR="00283B25" w:rsidRPr="00AA3748">
        <w:rPr>
          <w:i/>
          <w:iCs w:val="0"/>
        </w:rPr>
        <w:t xml:space="preserve"> </w:t>
      </w:r>
      <w:r w:rsidR="00420773" w:rsidRPr="00AA3748">
        <w:rPr>
          <w:i/>
          <w:iCs w:val="0"/>
        </w:rPr>
        <w:t>Command Protection Services</w:t>
      </w:r>
      <w:r w:rsidR="0023333B">
        <w:t>.</w:t>
      </w:r>
      <w:r w:rsidR="005C3DC6">
        <w:rPr>
          <w:rStyle w:val="FootnoteReference"/>
        </w:rPr>
        <w:footnoteReference w:id="3"/>
      </w:r>
      <w:r w:rsidR="0023333B">
        <w:t xml:space="preserve"> </w:t>
      </w:r>
      <w:r w:rsidR="00283B25">
        <w:t xml:space="preserve">That case like this one dealt with a tender that had been awarded subject to a condition. In that case as well the contract had been implemented before the defendant had terminated it. </w:t>
      </w:r>
      <w:r w:rsidR="00F560BC" w:rsidRPr="00AA3748">
        <w:rPr>
          <w:i/>
          <w:iCs w:val="0"/>
        </w:rPr>
        <w:t>Command Protection Services</w:t>
      </w:r>
      <w:r w:rsidR="00F560BC">
        <w:t xml:space="preserve"> was decided after </w:t>
      </w:r>
      <w:r w:rsidR="00F560BC" w:rsidRPr="00AA3748">
        <w:rPr>
          <w:i/>
          <w:iCs w:val="0"/>
        </w:rPr>
        <w:t>Als</w:t>
      </w:r>
      <w:r w:rsidR="009F6BA9" w:rsidRPr="00AA3748">
        <w:rPr>
          <w:i/>
          <w:iCs w:val="0"/>
        </w:rPr>
        <w:t>thom</w:t>
      </w:r>
      <w:r w:rsidR="009F6BA9">
        <w:t xml:space="preserve"> and the court refers to it. Brand JA explains that </w:t>
      </w:r>
      <w:r w:rsidR="00DC5F9E">
        <w:t>disputes of</w:t>
      </w:r>
      <w:r w:rsidR="009F6BA9">
        <w:t xml:space="preserve"> this kind are not novel</w:t>
      </w:r>
      <w:r w:rsidR="00DF5B3E">
        <w:t>.</w:t>
      </w:r>
      <w:r w:rsidR="009F6BA9">
        <w:t xml:space="preserve"> </w:t>
      </w:r>
      <w:r w:rsidR="00DF5B3E">
        <w:t>H</w:t>
      </w:r>
      <w:r w:rsidR="009F6BA9">
        <w:t xml:space="preserve">e </w:t>
      </w:r>
      <w:r w:rsidR="001E3EA0">
        <w:t xml:space="preserve">goes on to say that the case law recognises two possibilities. The first is that the parties lacked </w:t>
      </w:r>
      <w:r w:rsidR="001E3EA0" w:rsidRPr="00AA3748">
        <w:rPr>
          <w:i/>
          <w:iCs w:val="0"/>
        </w:rPr>
        <w:t xml:space="preserve">animus </w:t>
      </w:r>
      <w:r w:rsidR="00411617" w:rsidRPr="00AA3748">
        <w:rPr>
          <w:i/>
          <w:iCs w:val="0"/>
        </w:rPr>
        <w:t>contrahendi</w:t>
      </w:r>
      <w:r w:rsidR="00411617">
        <w:t xml:space="preserve"> because there was no consensus on the outstanding issue. </w:t>
      </w:r>
      <w:r w:rsidR="00867D87">
        <w:t xml:space="preserve">In that case there is no contract to be recognised. The second is that </w:t>
      </w:r>
      <w:r w:rsidR="003B67E0">
        <w:t xml:space="preserve">of the </w:t>
      </w:r>
      <w:r w:rsidR="003B67E0" w:rsidRPr="00AA3748">
        <w:rPr>
          <w:i/>
          <w:iCs w:val="0"/>
        </w:rPr>
        <w:t>Alsthom</w:t>
      </w:r>
      <w:r w:rsidR="003B67E0">
        <w:t xml:space="preserve"> situation. Even if they fail to agree on the outstanding issues the </w:t>
      </w:r>
      <w:r w:rsidR="00230B33">
        <w:t>original contact prevails.</w:t>
      </w:r>
      <w:r w:rsidR="00296593">
        <w:rPr>
          <w:rStyle w:val="FootnoteReference"/>
        </w:rPr>
        <w:footnoteReference w:id="4"/>
      </w:r>
    </w:p>
    <w:p w14:paraId="066E4937" w14:textId="10FDE1A2" w:rsidR="000320DC" w:rsidRDefault="00AA3748" w:rsidP="00AA3748">
      <w:pPr>
        <w:spacing w:after="360" w:line="480" w:lineRule="auto"/>
        <w:ind w:left="720" w:hanging="720"/>
        <w:jc w:val="both"/>
      </w:pPr>
      <w:r>
        <w:t>[13]</w:t>
      </w:r>
      <w:r>
        <w:tab/>
      </w:r>
      <w:r w:rsidR="007148D8">
        <w:t>Both parties regard these two cases as authoritative.</w:t>
      </w:r>
      <w:r w:rsidR="008F5C17">
        <w:t xml:space="preserve"> The issue was whether on the spectrum of possibilities b</w:t>
      </w:r>
      <w:r w:rsidR="0077525F">
        <w:t>etween them, the case more closely resemble</w:t>
      </w:r>
      <w:r w:rsidR="007E264C">
        <w:t>d</w:t>
      </w:r>
      <w:r w:rsidR="0077525F">
        <w:t xml:space="preserve"> the one</w:t>
      </w:r>
      <w:r w:rsidR="0053085B">
        <w:t>,</w:t>
      </w:r>
      <w:r w:rsidR="0077525F">
        <w:t xml:space="preserve"> not the other.</w:t>
      </w:r>
      <w:r w:rsidR="00722F54">
        <w:t xml:space="preserve"> Th</w:t>
      </w:r>
      <w:r w:rsidR="00EE6D01">
        <w:t>e</w:t>
      </w:r>
      <w:r w:rsidR="00722F54">
        <w:t xml:space="preserve"> plaintiff in its leave to appeal has devoted an entire table to setting out the differences in fact between the </w:t>
      </w:r>
      <w:r w:rsidR="000320DC">
        <w:t>facts in the present case and that in</w:t>
      </w:r>
      <w:r w:rsidR="000320DC" w:rsidRPr="00AA3748">
        <w:rPr>
          <w:i/>
          <w:iCs w:val="0"/>
        </w:rPr>
        <w:t xml:space="preserve"> Command Services</w:t>
      </w:r>
      <w:r w:rsidR="000320DC">
        <w:t xml:space="preserve">. </w:t>
      </w:r>
      <w:r w:rsidR="0077525F">
        <w:t xml:space="preserve"> </w:t>
      </w:r>
      <w:r w:rsidR="000320DC">
        <w:t>I make no comment on whether all the differences are as significant as the plaintiff suggests.</w:t>
      </w:r>
    </w:p>
    <w:p w14:paraId="6BE9685B" w14:textId="67041DF1" w:rsidR="000B33F4" w:rsidRDefault="00AA3748" w:rsidP="00AA3748">
      <w:pPr>
        <w:spacing w:after="360" w:line="480" w:lineRule="auto"/>
        <w:ind w:left="720" w:hanging="720"/>
        <w:jc w:val="both"/>
      </w:pPr>
      <w:r>
        <w:t>[14]</w:t>
      </w:r>
      <w:r>
        <w:tab/>
      </w:r>
      <w:r w:rsidR="007326DC">
        <w:t xml:space="preserve">The problem </w:t>
      </w:r>
      <w:r w:rsidR="00776BDB">
        <w:t xml:space="preserve">faced </w:t>
      </w:r>
      <w:r w:rsidR="007326DC">
        <w:t>both parties</w:t>
      </w:r>
      <w:r w:rsidR="00C610FF">
        <w:t>, in a case</w:t>
      </w:r>
      <w:r w:rsidR="007326DC">
        <w:t xml:space="preserve"> </w:t>
      </w:r>
      <w:r w:rsidR="00C610FF">
        <w:t xml:space="preserve">where the conduct of the parties was a central issue, </w:t>
      </w:r>
      <w:r w:rsidR="007326DC">
        <w:t xml:space="preserve">was the number of </w:t>
      </w:r>
      <w:r w:rsidR="007326DC" w:rsidRPr="00AA3748">
        <w:rPr>
          <w:i/>
          <w:iCs w:val="0"/>
        </w:rPr>
        <w:t>dramatis personae</w:t>
      </w:r>
      <w:r w:rsidR="007326DC">
        <w:t xml:space="preserve"> who had been players in the dispute</w:t>
      </w:r>
      <w:r w:rsidR="000B33F4">
        <w:t>. Each placed more reliance on the testimony or absence thereof of the other side</w:t>
      </w:r>
      <w:r w:rsidR="002C4C41">
        <w:t>’</w:t>
      </w:r>
      <w:r w:rsidR="000B33F4">
        <w:t>s witnesses</w:t>
      </w:r>
      <w:r>
        <w:t>.</w:t>
      </w:r>
    </w:p>
    <w:p w14:paraId="42C61906" w14:textId="352BA921" w:rsidR="00ED5A6B" w:rsidRDefault="00AA3748" w:rsidP="00AA3748">
      <w:pPr>
        <w:spacing w:after="360" w:line="480" w:lineRule="auto"/>
        <w:ind w:left="720" w:hanging="720"/>
        <w:jc w:val="both"/>
      </w:pPr>
      <w:r>
        <w:lastRenderedPageBreak/>
        <w:t>[15]</w:t>
      </w:r>
      <w:r>
        <w:tab/>
      </w:r>
      <w:r w:rsidR="007326DC">
        <w:t xml:space="preserve">The plaintiff </w:t>
      </w:r>
      <w:r w:rsidR="005E4F5D">
        <w:t>seeks to rely on the fact that the defendant had failed to call two available witnesses. One was</w:t>
      </w:r>
      <w:r w:rsidR="00A52C2A" w:rsidRPr="00A52C2A">
        <w:t xml:space="preserve"> </w:t>
      </w:r>
      <w:r w:rsidR="00A52C2A" w:rsidRPr="00AD6901">
        <w:t>Margareutte Van Der Merw</w:t>
      </w:r>
      <w:r w:rsidR="003C56A6">
        <w:t>e</w:t>
      </w:r>
      <w:r w:rsidR="00B25386">
        <w:t>,</w:t>
      </w:r>
      <w:r w:rsidR="003C56A6">
        <w:t xml:space="preserve"> who at </w:t>
      </w:r>
      <w:r w:rsidR="006D256F">
        <w:t>the relevant</w:t>
      </w:r>
      <w:r w:rsidR="006D233A">
        <w:t xml:space="preserve"> time </w:t>
      </w:r>
      <w:r w:rsidR="003C56A6">
        <w:t>was the general manager of DHL</w:t>
      </w:r>
      <w:r w:rsidR="00A42A98">
        <w:t xml:space="preserve"> Supply Chain in South Africa</w:t>
      </w:r>
      <w:r w:rsidR="005E4F5D">
        <w:t xml:space="preserve">. She was the author of the LOI </w:t>
      </w:r>
      <w:r w:rsidR="008D4266">
        <w:t xml:space="preserve">and the person who had authorised the termination of the other </w:t>
      </w:r>
      <w:r w:rsidR="006D1806">
        <w:t xml:space="preserve">service </w:t>
      </w:r>
      <w:r w:rsidR="000605B9">
        <w:t>provider and</w:t>
      </w:r>
      <w:r w:rsidR="008D4266">
        <w:t xml:space="preserve"> </w:t>
      </w:r>
      <w:r w:rsidR="006D256F">
        <w:t xml:space="preserve">gave </w:t>
      </w:r>
      <w:r w:rsidR="005700C8">
        <w:t>a</w:t>
      </w:r>
      <w:r w:rsidR="006D256F">
        <w:t xml:space="preserve">n instruction that the change in service provider be communicated to the </w:t>
      </w:r>
      <w:r w:rsidR="0005254D">
        <w:t>hospital group</w:t>
      </w:r>
      <w:r w:rsidR="006D1806">
        <w:t xml:space="preserve"> </w:t>
      </w:r>
      <w:r w:rsidR="00171C95">
        <w:t>client.</w:t>
      </w:r>
      <w:r w:rsidR="00266367">
        <w:t xml:space="preserve"> A lesser player</w:t>
      </w:r>
      <w:r w:rsidR="00181F48">
        <w:t xml:space="preserve"> who was also not called although available </w:t>
      </w:r>
      <w:r w:rsidR="00AD0EFD">
        <w:t>was Lindi Smith</w:t>
      </w:r>
      <w:r w:rsidR="00181F48">
        <w:t>. She</w:t>
      </w:r>
      <w:r w:rsidR="00266367">
        <w:t xml:space="preserve"> </w:t>
      </w:r>
      <w:r w:rsidR="007F533C">
        <w:t>was the client liaison person who had authored the email to the hospital group</w:t>
      </w:r>
      <w:r w:rsidR="00181F48">
        <w:t xml:space="preserve"> on the instruction of Van der Merwe.</w:t>
      </w:r>
      <w:r w:rsidR="00E20570">
        <w:t xml:space="preserve"> </w:t>
      </w:r>
    </w:p>
    <w:p w14:paraId="4A701D3E" w14:textId="4739CC32" w:rsidR="006A2DF3" w:rsidRPr="00AA3748" w:rsidRDefault="00AA3748" w:rsidP="00AA3748">
      <w:pPr>
        <w:spacing w:after="360" w:line="480" w:lineRule="auto"/>
        <w:ind w:left="720" w:hanging="720"/>
        <w:jc w:val="both"/>
        <w:rPr>
          <w:i/>
          <w:iCs w:val="0"/>
        </w:rPr>
      </w:pPr>
      <w:r>
        <w:t>[16]</w:t>
      </w:r>
      <w:r>
        <w:tab/>
      </w:r>
      <w:r w:rsidR="006A2DF3">
        <w:t xml:space="preserve">The plaintiff </w:t>
      </w:r>
      <w:r w:rsidR="00835F7E">
        <w:t>urged me</w:t>
      </w:r>
      <w:r w:rsidR="006A2DF3">
        <w:t xml:space="preserve"> to draw an adverse inference from the failure to call these witnesses when they were known to be available to testify.</w:t>
      </w:r>
      <w:r w:rsidR="00DD7C21">
        <w:t xml:space="preserve"> Although </w:t>
      </w:r>
      <w:r w:rsidR="004B5CE3">
        <w:t xml:space="preserve">I did so in my </w:t>
      </w:r>
      <w:r w:rsidR="00835F7E">
        <w:t>decision,</w:t>
      </w:r>
      <w:r w:rsidR="004B5CE3">
        <w:t xml:space="preserve"> </w:t>
      </w:r>
      <w:proofErr w:type="gramStart"/>
      <w:r w:rsidR="004B5CE3">
        <w:t>it would appear that the</w:t>
      </w:r>
      <w:proofErr w:type="gramEnd"/>
      <w:r w:rsidR="004B5CE3">
        <w:t xml:space="preserve"> plaintiff considers that this </w:t>
      </w:r>
      <w:r w:rsidR="00126607">
        <w:t xml:space="preserve">inference </w:t>
      </w:r>
      <w:r w:rsidR="00E20570">
        <w:t>should</w:t>
      </w:r>
      <w:r w:rsidR="004B5CE3">
        <w:t xml:space="preserve"> have gone fur</w:t>
      </w:r>
      <w:r w:rsidR="0004091C">
        <w:t>ther. In the view of plaintiff</w:t>
      </w:r>
      <w:r w:rsidR="009B7A68">
        <w:t>’</w:t>
      </w:r>
      <w:r w:rsidR="0004091C">
        <w:t xml:space="preserve">s counsel during argument </w:t>
      </w:r>
      <w:r w:rsidR="0004091C" w:rsidRPr="00AA3748">
        <w:rPr>
          <w:i/>
          <w:iCs w:val="0"/>
        </w:rPr>
        <w:t>“</w:t>
      </w:r>
      <w:r w:rsidR="00126607" w:rsidRPr="00AA3748">
        <w:rPr>
          <w:i/>
          <w:iCs w:val="0"/>
        </w:rPr>
        <w:t>…</w:t>
      </w:r>
      <w:r w:rsidR="0004091C" w:rsidRPr="00AA3748">
        <w:rPr>
          <w:i/>
          <w:iCs w:val="0"/>
        </w:rPr>
        <w:t xml:space="preserve"> had they been called they would have sunk the defendant’s case”. </w:t>
      </w:r>
    </w:p>
    <w:p w14:paraId="195DDBB7" w14:textId="40FCED5D" w:rsidR="001737C7" w:rsidRDefault="00AA3748" w:rsidP="00AA3748">
      <w:pPr>
        <w:spacing w:after="360" w:line="480" w:lineRule="auto"/>
        <w:ind w:left="720" w:hanging="720"/>
        <w:jc w:val="both"/>
      </w:pPr>
      <w:r>
        <w:t>[17]</w:t>
      </w:r>
      <w:r>
        <w:tab/>
      </w:r>
      <w:r w:rsidR="00D92CC1">
        <w:t xml:space="preserve">I noted in my decision that up until this point in the narration the context favoured the plaintiff’s </w:t>
      </w:r>
      <w:r w:rsidR="007D78BA">
        <w:t>version.</w:t>
      </w:r>
      <w:r w:rsidR="00D92CC1">
        <w:t xml:space="preserve"> What changed was when during the implementation stage</w:t>
      </w:r>
      <w:r w:rsidR="00975EE4">
        <w:t>,</w:t>
      </w:r>
      <w:r w:rsidR="00D92CC1">
        <w:t xml:space="preserve"> </w:t>
      </w:r>
      <w:r w:rsidR="00CA5591">
        <w:t>the plaintiff’s in</w:t>
      </w:r>
      <w:r w:rsidR="00DD7C21">
        <w:t>-</w:t>
      </w:r>
      <w:r w:rsidR="00CA5591">
        <w:t>house legal counsel</w:t>
      </w:r>
      <w:r w:rsidR="001737C7">
        <w:t>,</w:t>
      </w:r>
      <w:r w:rsidR="00CA5591">
        <w:t xml:space="preserve"> </w:t>
      </w:r>
      <w:r w:rsidR="00CF2293">
        <w:t xml:space="preserve">Alan Da Costa, </w:t>
      </w:r>
      <w:r w:rsidR="00CA5591">
        <w:t>who was also one of its directors</w:t>
      </w:r>
      <w:r w:rsidR="00CF2293">
        <w:t>,</w:t>
      </w:r>
      <w:r w:rsidR="00CA5591">
        <w:t xml:space="preserve"> sought to taken up the pen and </w:t>
      </w:r>
      <w:r w:rsidR="00C42B7E">
        <w:t xml:space="preserve">draft </w:t>
      </w:r>
      <w:r w:rsidR="00975EE4">
        <w:t>a</w:t>
      </w:r>
      <w:r w:rsidR="00C42B7E">
        <w:t xml:space="preserve"> contract between the parties.</w:t>
      </w:r>
      <w:r w:rsidR="001737C7">
        <w:t xml:space="preserve"> He is the plaintiff’s witness whose conduct the defendant seeks to rely on to make its case.</w:t>
      </w:r>
    </w:p>
    <w:p w14:paraId="2908440F" w14:textId="7FCF0192" w:rsidR="00942496" w:rsidRDefault="00AA3748" w:rsidP="00AA3748">
      <w:pPr>
        <w:spacing w:after="360" w:line="480" w:lineRule="auto"/>
        <w:ind w:left="720" w:hanging="720"/>
        <w:jc w:val="both"/>
      </w:pPr>
      <w:r>
        <w:t>[18]</w:t>
      </w:r>
      <w:r>
        <w:tab/>
      </w:r>
      <w:r w:rsidR="001737C7">
        <w:t xml:space="preserve">Da Costa’s </w:t>
      </w:r>
      <w:r w:rsidR="00F71F94">
        <w:t xml:space="preserve">attempt to conclude a contract </w:t>
      </w:r>
      <w:r w:rsidR="00C42B7E">
        <w:t>went through several iterati</w:t>
      </w:r>
      <w:r w:rsidR="004A5DEE">
        <w:t xml:space="preserve">ons </w:t>
      </w:r>
      <w:r w:rsidR="00DD7C21">
        <w:t>but</w:t>
      </w:r>
      <w:r w:rsidR="004A5DEE">
        <w:t xml:space="preserve"> ultimately was never </w:t>
      </w:r>
      <w:r w:rsidR="00DD7C21">
        <w:t>finalised</w:t>
      </w:r>
      <w:r w:rsidR="004A5DEE">
        <w:t xml:space="preserve">. During the drafting process </w:t>
      </w:r>
      <w:r w:rsidR="00F71F94">
        <w:t xml:space="preserve">Da Costa </w:t>
      </w:r>
      <w:r w:rsidR="004A5DEE">
        <w:t xml:space="preserve">had not confined himself to </w:t>
      </w:r>
      <w:r w:rsidR="00745731">
        <w:t>‘</w:t>
      </w:r>
      <w:r w:rsidR="004A5DEE">
        <w:t>nuts and bolts</w:t>
      </w:r>
      <w:r w:rsidR="00745731">
        <w:t>’</w:t>
      </w:r>
      <w:r w:rsidR="004A5DEE">
        <w:t xml:space="preserve"> but had dealt with the three key issues the </w:t>
      </w:r>
      <w:r w:rsidR="004A5DEE">
        <w:lastRenderedPageBreak/>
        <w:t xml:space="preserve">plaintiff now seeks to rely </w:t>
      </w:r>
      <w:r w:rsidR="00DD7C21">
        <w:t>on:</w:t>
      </w:r>
      <w:r w:rsidR="004A5DEE">
        <w:t xml:space="preserve"> duration, </w:t>
      </w:r>
      <w:r w:rsidR="00554150">
        <w:t>exclusivity,</w:t>
      </w:r>
      <w:r w:rsidR="004A5DEE">
        <w:t xml:space="preserve"> and </w:t>
      </w:r>
      <w:r w:rsidR="007D3EE1">
        <w:t>termination for cause. What was perplexing was that in various drafts he never sought to rely on the LOI</w:t>
      </w:r>
      <w:r w:rsidR="00972326">
        <w:t>,</w:t>
      </w:r>
      <w:r w:rsidR="007D3EE1">
        <w:t xml:space="preserve"> but even proposed terms at variance </w:t>
      </w:r>
      <w:r w:rsidR="008852DD">
        <w:t xml:space="preserve">with it. </w:t>
      </w:r>
      <w:r w:rsidR="005965CA">
        <w:t>Also</w:t>
      </w:r>
      <w:r w:rsidR="00745731">
        <w:t>,</w:t>
      </w:r>
      <w:r w:rsidR="005965CA">
        <w:t xml:space="preserve"> during this period</w:t>
      </w:r>
      <w:r w:rsidR="00745731">
        <w:t>,</w:t>
      </w:r>
      <w:r w:rsidR="005965CA">
        <w:t xml:space="preserve"> a collateral dispute over insurance of goods in transit had led the plaintiff’s managing director to assert that until this was resolved the plaintiff would operate in terms of is standard terms and con</w:t>
      </w:r>
      <w:r w:rsidR="0055341F">
        <w:t>ditions.</w:t>
      </w:r>
      <w:r w:rsidR="00DC17BE">
        <w:t xml:space="preserve"> Th</w:t>
      </w:r>
      <w:r w:rsidR="00A35C5C">
        <w:t xml:space="preserve">is did not include any of the terms that the plaintiff now relies on. </w:t>
      </w:r>
    </w:p>
    <w:p w14:paraId="3FF4B4E5" w14:textId="7619DA36" w:rsidR="003F048B" w:rsidRDefault="00AA3748" w:rsidP="00AA3748">
      <w:pPr>
        <w:spacing w:after="360" w:line="480" w:lineRule="auto"/>
        <w:ind w:left="720" w:hanging="720"/>
        <w:jc w:val="both"/>
      </w:pPr>
      <w:r>
        <w:t>[19]</w:t>
      </w:r>
      <w:r>
        <w:tab/>
      </w:r>
      <w:r w:rsidR="003F048B">
        <w:t xml:space="preserve">It was based on </w:t>
      </w:r>
      <w:r w:rsidR="00956CDD">
        <w:t>Da Costa’s</w:t>
      </w:r>
      <w:r w:rsidR="003F048B">
        <w:t xml:space="preserve"> </w:t>
      </w:r>
      <w:r w:rsidR="00D24B1C">
        <w:t xml:space="preserve">conduct </w:t>
      </w:r>
      <w:r w:rsidR="003F048B">
        <w:t>that I considered that the context had changed and that it now favoured the version of the defendant.</w:t>
      </w:r>
      <w:r w:rsidR="00CE5780">
        <w:t xml:space="preserve"> While</w:t>
      </w:r>
      <w:r w:rsidR="003F048B">
        <w:t xml:space="preserve"> I agreed at least with the plaintiff</w:t>
      </w:r>
      <w:r w:rsidR="00CE5780">
        <w:t>,</w:t>
      </w:r>
      <w:r w:rsidR="003F048B">
        <w:t xml:space="preserve"> that the defendant had not succeeded </w:t>
      </w:r>
      <w:r w:rsidR="001A40E3">
        <w:t>in proving its version of an alternative contract</w:t>
      </w:r>
      <w:r w:rsidR="00B53E77">
        <w:t>,</w:t>
      </w:r>
      <w:r w:rsidR="001A40E3">
        <w:t xml:space="preserve"> I </w:t>
      </w:r>
      <w:r w:rsidR="00B53E77">
        <w:t xml:space="preserve">nevertheless </w:t>
      </w:r>
      <w:r w:rsidR="001A40E3">
        <w:t xml:space="preserve">agreed with defendant’s counsel’s </w:t>
      </w:r>
      <w:r w:rsidR="00B073BF">
        <w:t>proposition</w:t>
      </w:r>
      <w:r w:rsidR="00B53E77">
        <w:t>,</w:t>
      </w:r>
      <w:r w:rsidR="00B073BF">
        <w:t xml:space="preserve"> that</w:t>
      </w:r>
      <w:r w:rsidR="003D73A8">
        <w:t xml:space="preserve"> it was not for the defendant to prove its </w:t>
      </w:r>
      <w:r w:rsidR="00983233">
        <w:t xml:space="preserve">candidate for the </w:t>
      </w:r>
      <w:r w:rsidR="003D73A8">
        <w:t>contract</w:t>
      </w:r>
      <w:r w:rsidR="00983233">
        <w:t>. It only had to establish that the plaintiff had not established its candidate.</w:t>
      </w:r>
    </w:p>
    <w:p w14:paraId="529AE30A" w14:textId="1F7926D5" w:rsidR="00F12037" w:rsidRDefault="00AA3748" w:rsidP="00AA3748">
      <w:pPr>
        <w:spacing w:after="360" w:line="480" w:lineRule="auto"/>
        <w:ind w:left="720" w:hanging="720"/>
        <w:jc w:val="both"/>
      </w:pPr>
      <w:r>
        <w:t>[20]</w:t>
      </w:r>
      <w:r>
        <w:tab/>
      </w:r>
      <w:r w:rsidR="00F12037">
        <w:t>What the plaintiff seeks to argue in the leave to appeal turns on two aspects that another court might consider differently. First</w:t>
      </w:r>
      <w:r w:rsidR="00490F16">
        <w:t>,</w:t>
      </w:r>
      <w:r w:rsidR="00F12037">
        <w:t xml:space="preserve"> is the adverse inference</w:t>
      </w:r>
      <w:r w:rsidR="000A5BED">
        <w:t xml:space="preserve"> to be drawn</w:t>
      </w:r>
      <w:r w:rsidR="00F12037">
        <w:t xml:space="preserve"> from the failure to testify being </w:t>
      </w:r>
      <w:r w:rsidR="00C92EF1">
        <w:t xml:space="preserve">more consequential than I had regarded it. The second is that the evidence of </w:t>
      </w:r>
      <w:r w:rsidR="008879D1">
        <w:t xml:space="preserve">Da Costa </w:t>
      </w:r>
      <w:r w:rsidR="00C92EF1">
        <w:t xml:space="preserve">should have not been </w:t>
      </w:r>
      <w:r w:rsidR="00B55DB1">
        <w:t>considered</w:t>
      </w:r>
      <w:r w:rsidR="00C92EF1">
        <w:t xml:space="preserve"> in the treatment of subsequent context</w:t>
      </w:r>
      <w:r w:rsidR="002D2D02">
        <w:t xml:space="preserve">. The argument here was that he was not involved in the initial contract negotiations leading to the LOI and had arrived late </w:t>
      </w:r>
      <w:r w:rsidR="000A6345">
        <w:t xml:space="preserve">when the contract implementation had already taken place. </w:t>
      </w:r>
      <w:r w:rsidR="00490F16">
        <w:t>The plaintiff argues that h</w:t>
      </w:r>
      <w:r w:rsidR="000A6345">
        <w:t xml:space="preserve">is views of the contract were subjective not </w:t>
      </w:r>
      <w:r w:rsidR="008879D1">
        <w:t>objective,</w:t>
      </w:r>
      <w:r w:rsidR="000A6345">
        <w:t xml:space="preserve"> and I erred in having </w:t>
      </w:r>
      <w:r w:rsidR="00915BCB">
        <w:t>regard to them. Whilst I do not agree with this view</w:t>
      </w:r>
      <w:r w:rsidR="008879D1">
        <w:t>,</w:t>
      </w:r>
      <w:r w:rsidR="00915BCB">
        <w:t xml:space="preserve"> I accept that these two issues are of sufficient probative value</w:t>
      </w:r>
      <w:r w:rsidR="0042510F">
        <w:t>,</w:t>
      </w:r>
      <w:r w:rsidR="00915BCB">
        <w:t xml:space="preserve"> that another court might </w:t>
      </w:r>
      <w:r w:rsidR="00915BCB">
        <w:lastRenderedPageBreak/>
        <w:t xml:space="preserve">consider the issues differently. </w:t>
      </w:r>
      <w:r w:rsidR="00CB4F2D">
        <w:t>Thus,</w:t>
      </w:r>
      <w:r w:rsidR="00915BCB">
        <w:t xml:space="preserve"> if </w:t>
      </w:r>
      <w:r w:rsidR="0053361D">
        <w:t xml:space="preserve">another court </w:t>
      </w:r>
      <w:r w:rsidR="00915BCB">
        <w:t xml:space="preserve">made more of the adverse inference in respect of the </w:t>
      </w:r>
      <w:r w:rsidR="0042510F">
        <w:t>defendant’s</w:t>
      </w:r>
      <w:r w:rsidR="00915BCB">
        <w:t xml:space="preserve"> witnesses who did not testify</w:t>
      </w:r>
      <w:r w:rsidR="0042510F">
        <w:t>,</w:t>
      </w:r>
      <w:r w:rsidR="00915BCB">
        <w:t xml:space="preserve"> and made nothing of the </w:t>
      </w:r>
      <w:r w:rsidR="0042510F">
        <w:t xml:space="preserve">conduct </w:t>
      </w:r>
      <w:r w:rsidR="005F7D2D">
        <w:t>of Da</w:t>
      </w:r>
      <w:r w:rsidR="00CB4F2D">
        <w:t xml:space="preserve"> Costa</w:t>
      </w:r>
      <w:r w:rsidR="005F7D2D">
        <w:t xml:space="preserve">, because </w:t>
      </w:r>
      <w:r w:rsidR="00DD7C21">
        <w:t>it</w:t>
      </w:r>
      <w:r w:rsidR="005F7D2D">
        <w:t xml:space="preserve"> would be considered no more than </w:t>
      </w:r>
      <w:r w:rsidR="00B63FBB">
        <w:t xml:space="preserve">manifestations of </w:t>
      </w:r>
      <w:r w:rsidR="005F7D2D">
        <w:t>his subjective intent,</w:t>
      </w:r>
      <w:r w:rsidR="00CB4F2D">
        <w:t xml:space="preserve"> </w:t>
      </w:r>
      <w:r w:rsidR="00915BCB">
        <w:t xml:space="preserve">the outcome of the case would have been </w:t>
      </w:r>
      <w:r w:rsidR="004E46CB">
        <w:t>different,</w:t>
      </w:r>
      <w:r w:rsidR="00915BCB">
        <w:t xml:space="preserve"> and the plaintiff would have prevailed. </w:t>
      </w:r>
    </w:p>
    <w:p w14:paraId="22DE0394" w14:textId="1ECF7385" w:rsidR="0044292F" w:rsidRDefault="00AA3748" w:rsidP="00AA3748">
      <w:pPr>
        <w:spacing w:after="360" w:line="480" w:lineRule="auto"/>
        <w:ind w:left="720" w:hanging="720"/>
        <w:jc w:val="both"/>
      </w:pPr>
      <w:r>
        <w:t>[21]</w:t>
      </w:r>
      <w:r>
        <w:tab/>
      </w:r>
      <w:r w:rsidR="0044292F">
        <w:t>I therefore consider the pla</w:t>
      </w:r>
      <w:r w:rsidR="006251EC">
        <w:t>intiff should be give</w:t>
      </w:r>
      <w:r w:rsidR="00DD7C21">
        <w:t>n</w:t>
      </w:r>
      <w:r w:rsidR="006251EC">
        <w:t xml:space="preserve"> leave to appeal. I do not </w:t>
      </w:r>
      <w:r w:rsidR="001B7065">
        <w:t>consider the case should be appealed to the Supreme Court of Appeal as the plaintiff sought in its notice of appeal. There is</w:t>
      </w:r>
      <w:r w:rsidR="006820C1">
        <w:t>,</w:t>
      </w:r>
      <w:r w:rsidR="001B7065">
        <w:t xml:space="preserve"> as</w:t>
      </w:r>
      <w:r w:rsidR="006820C1">
        <w:t xml:space="preserve"> I earlier</w:t>
      </w:r>
      <w:r w:rsidR="001B7065">
        <w:t xml:space="preserve"> noted</w:t>
      </w:r>
      <w:r w:rsidR="006820C1">
        <w:t>,</w:t>
      </w:r>
      <w:r w:rsidR="001B7065">
        <w:t xml:space="preserve"> no legal dispute on the principles to be applied. Rather what the case turns on is the</w:t>
      </w:r>
      <w:r w:rsidR="00DD7C21">
        <w:t>ir</w:t>
      </w:r>
      <w:r w:rsidR="001B7065">
        <w:t xml:space="preserve"> application. For this reason</w:t>
      </w:r>
      <w:r w:rsidR="005F7D2D">
        <w:t>,</w:t>
      </w:r>
      <w:r w:rsidR="001B7065">
        <w:t xml:space="preserve"> an appeal to a full bench of this division would suffice. </w:t>
      </w:r>
    </w:p>
    <w:p w14:paraId="76EAEE51" w14:textId="231B0E7B" w:rsidR="007501E5" w:rsidRDefault="00AA3748" w:rsidP="00AA3748">
      <w:pPr>
        <w:spacing w:after="360" w:line="480" w:lineRule="auto"/>
        <w:ind w:left="720" w:hanging="720"/>
        <w:jc w:val="both"/>
      </w:pPr>
      <w:r>
        <w:t>[22]</w:t>
      </w:r>
      <w:r>
        <w:tab/>
      </w:r>
      <w:r w:rsidR="007501E5">
        <w:t>The plaintiff sought to rely on several other issues for the appeal.</w:t>
      </w:r>
      <w:r w:rsidR="00581D3D">
        <w:t xml:space="preserve"> I did not</w:t>
      </w:r>
      <w:r w:rsidR="00C0250E">
        <w:t>,</w:t>
      </w:r>
      <w:r w:rsidR="00581D3D">
        <w:t xml:space="preserve"> it argued</w:t>
      </w:r>
      <w:r w:rsidR="00C0250E">
        <w:t>,</w:t>
      </w:r>
      <w:r w:rsidR="00581D3D">
        <w:t xml:space="preserve"> consider its alternatives</w:t>
      </w:r>
      <w:r w:rsidR="00C0250E">
        <w:t>,</w:t>
      </w:r>
      <w:r w:rsidR="00581D3D">
        <w:t xml:space="preserve"> namely waiver and </w:t>
      </w:r>
      <w:r w:rsidR="000A6C33">
        <w:t xml:space="preserve">quasi mutual assent. </w:t>
      </w:r>
      <w:r w:rsidR="00DD7C21">
        <w:t xml:space="preserve">It is correct that I did not. </w:t>
      </w:r>
      <w:r w:rsidR="000A6C33">
        <w:t xml:space="preserve">But as the factual underpinning for these cases is the same as the </w:t>
      </w:r>
      <w:r w:rsidR="008969E9">
        <w:t>plaintiff’s</w:t>
      </w:r>
      <w:r w:rsidR="000A6C33">
        <w:t xml:space="preserve"> principal argument based on </w:t>
      </w:r>
      <w:r w:rsidR="000A6C33" w:rsidRPr="00AA3748">
        <w:rPr>
          <w:i/>
          <w:iCs w:val="0"/>
        </w:rPr>
        <w:t>Alsthom</w:t>
      </w:r>
      <w:r w:rsidR="00554EA8" w:rsidRPr="00AA3748">
        <w:rPr>
          <w:i/>
          <w:iCs w:val="0"/>
        </w:rPr>
        <w:t>,</w:t>
      </w:r>
      <w:r w:rsidR="000A6C33">
        <w:t xml:space="preserve"> </w:t>
      </w:r>
      <w:r w:rsidR="00090DB1">
        <w:t xml:space="preserve">I did not consider they took the case any further. </w:t>
      </w:r>
      <w:r w:rsidR="007501E5">
        <w:t xml:space="preserve"> I do not consider they had any merit and I have therefore not needed to consider them given my conclusion on the </w:t>
      </w:r>
      <w:r w:rsidR="000F7508">
        <w:t xml:space="preserve">two main issues. </w:t>
      </w:r>
    </w:p>
    <w:p w14:paraId="5EC3C002" w14:textId="77777777" w:rsidR="00072515" w:rsidRPr="00072515" w:rsidRDefault="00072515" w:rsidP="00072515">
      <w:pPr>
        <w:spacing w:line="480" w:lineRule="auto"/>
        <w:ind w:firstLine="720"/>
        <w:jc w:val="both"/>
        <w:rPr>
          <w:rFonts w:eastAsia="Calibri"/>
          <w:b/>
          <w:iCs w:val="0"/>
          <w:kern w:val="0"/>
          <w:szCs w:val="22"/>
          <w:u w:val="single"/>
          <w:lang w:val="en-GB"/>
          <w14:ligatures w14:val="none"/>
        </w:rPr>
      </w:pPr>
      <w:proofErr w:type="gramStart"/>
      <w:r w:rsidRPr="00072515">
        <w:rPr>
          <w:rFonts w:eastAsia="Calibri"/>
          <w:b/>
          <w:iCs w:val="0"/>
          <w:kern w:val="0"/>
          <w:szCs w:val="22"/>
          <w:u w:val="single"/>
          <w:lang w:val="en-GB"/>
          <w14:ligatures w14:val="none"/>
        </w:rPr>
        <w:t>ORDER:-</w:t>
      </w:r>
      <w:proofErr w:type="gramEnd"/>
    </w:p>
    <w:p w14:paraId="756A18C7" w14:textId="59382729" w:rsidR="00AD601B"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w:t>
      </w:r>
      <w:r>
        <w:rPr>
          <w:rFonts w:eastAsia="Calibri"/>
          <w:iCs w:val="0"/>
          <w:kern w:val="0"/>
          <w:szCs w:val="22"/>
          <w:lang w:val="en-GB"/>
          <w14:ligatures w14:val="none"/>
        </w:rPr>
        <w:t>23</w:t>
      </w:r>
      <w:r w:rsidRPr="00072515">
        <w:rPr>
          <w:rFonts w:eastAsia="Calibri"/>
          <w:iCs w:val="0"/>
          <w:kern w:val="0"/>
          <w:szCs w:val="22"/>
          <w:lang w:val="en-GB"/>
          <w14:ligatures w14:val="none"/>
        </w:rPr>
        <w:t xml:space="preserve">] </w:t>
      </w:r>
      <w:r w:rsidRPr="00072515">
        <w:rPr>
          <w:rFonts w:eastAsia="Calibri"/>
          <w:iCs w:val="0"/>
          <w:kern w:val="0"/>
          <w:szCs w:val="22"/>
          <w:lang w:val="en-GB"/>
          <w14:ligatures w14:val="none"/>
        </w:rPr>
        <w:tab/>
        <w:t>In the result the following order is made:</w:t>
      </w:r>
    </w:p>
    <w:p w14:paraId="60C770F6" w14:textId="1B58F42C" w:rsidR="00AD601B" w:rsidRDefault="00AD601B" w:rsidP="00072515">
      <w:pPr>
        <w:pStyle w:val="ListParagraph"/>
        <w:numPr>
          <w:ilvl w:val="0"/>
          <w:numId w:val="2"/>
        </w:numPr>
        <w:spacing w:after="360" w:line="480" w:lineRule="auto"/>
        <w:jc w:val="both"/>
      </w:pPr>
      <w:r>
        <w:t>Leave to appeal to a full bench of this division is granted.</w:t>
      </w:r>
    </w:p>
    <w:p w14:paraId="26859B5F" w14:textId="39C533B8" w:rsidR="00AD601B" w:rsidRDefault="00AD601B" w:rsidP="00AA3748">
      <w:pPr>
        <w:pStyle w:val="ListParagraph"/>
        <w:numPr>
          <w:ilvl w:val="0"/>
          <w:numId w:val="2"/>
        </w:numPr>
        <w:spacing w:after="360" w:line="480" w:lineRule="auto"/>
        <w:jc w:val="both"/>
      </w:pPr>
      <w:r>
        <w:t>Costs to be costs in the appeal</w:t>
      </w:r>
      <w:r w:rsidR="00553183">
        <w:t>.</w:t>
      </w:r>
    </w:p>
    <w:p w14:paraId="407A5CDB" w14:textId="77777777" w:rsidR="00072515" w:rsidRDefault="00072515" w:rsidP="00072515">
      <w:pPr>
        <w:pStyle w:val="ListParagraph"/>
        <w:spacing w:after="360" w:line="480" w:lineRule="auto"/>
        <w:ind w:left="1069"/>
        <w:jc w:val="both"/>
      </w:pPr>
    </w:p>
    <w:p w14:paraId="07DE8BE5" w14:textId="77777777" w:rsidR="00072515" w:rsidRDefault="00072515" w:rsidP="00072515">
      <w:pPr>
        <w:pStyle w:val="ListParagraph"/>
        <w:spacing w:after="360" w:line="480" w:lineRule="auto"/>
        <w:ind w:left="1069"/>
        <w:jc w:val="both"/>
      </w:pPr>
    </w:p>
    <w:p w14:paraId="3F6F97B4" w14:textId="77777777" w:rsidR="002F7C84" w:rsidRDefault="002F7C84" w:rsidP="00233F72">
      <w:pPr>
        <w:spacing w:after="360" w:line="480" w:lineRule="auto"/>
        <w:jc w:val="both"/>
      </w:pPr>
    </w:p>
    <w:p w14:paraId="212821A2" w14:textId="77777777" w:rsidR="00072515" w:rsidRPr="00072515" w:rsidRDefault="00283B25" w:rsidP="00072515">
      <w:pPr>
        <w:spacing w:after="0" w:line="276" w:lineRule="auto"/>
        <w:jc w:val="right"/>
        <w:rPr>
          <w:rFonts w:eastAsia="Calibri"/>
          <w:b/>
          <w:iCs w:val="0"/>
          <w:kern w:val="0"/>
          <w:szCs w:val="22"/>
          <w:lang w:val="en-GB"/>
          <w14:ligatures w14:val="none"/>
        </w:rPr>
      </w:pPr>
      <w:r>
        <w:t xml:space="preserve"> </w:t>
      </w:r>
      <w:r w:rsidR="00072515" w:rsidRPr="00072515">
        <w:rPr>
          <w:rFonts w:eastAsia="Calibri"/>
          <w:b/>
          <w:iCs w:val="0"/>
          <w:kern w:val="0"/>
          <w:szCs w:val="22"/>
          <w:lang w:val="en-GB"/>
          <w14:ligatures w14:val="none"/>
        </w:rPr>
        <w:t>_____________________________</w:t>
      </w:r>
    </w:p>
    <w:p w14:paraId="1B9F1168" w14:textId="77777777" w:rsidR="00072515" w:rsidRPr="00072515" w:rsidRDefault="00072515" w:rsidP="00072515">
      <w:pPr>
        <w:spacing w:line="276" w:lineRule="auto"/>
        <w:jc w:val="right"/>
        <w:rPr>
          <w:rFonts w:eastAsia="Calibri"/>
          <w:b/>
          <w:iCs w:val="0"/>
          <w:kern w:val="0"/>
          <w:szCs w:val="22"/>
          <w:lang w:val="en-GB"/>
          <w14:ligatures w14:val="none"/>
        </w:rPr>
      </w:pPr>
      <w:r w:rsidRPr="00072515">
        <w:rPr>
          <w:rFonts w:eastAsia="Calibri"/>
          <w:b/>
          <w:iCs w:val="0"/>
          <w:kern w:val="0"/>
          <w:szCs w:val="22"/>
          <w:lang w:val="en-GB"/>
          <w14:ligatures w14:val="none"/>
        </w:rPr>
        <w:t>N.  MANOIM</w:t>
      </w:r>
    </w:p>
    <w:p w14:paraId="406B762F" w14:textId="77777777" w:rsidR="00072515" w:rsidRPr="00072515" w:rsidRDefault="00072515" w:rsidP="00072515">
      <w:pPr>
        <w:spacing w:line="276" w:lineRule="auto"/>
        <w:jc w:val="right"/>
        <w:rPr>
          <w:rFonts w:eastAsia="Calibri"/>
          <w:b/>
          <w:iCs w:val="0"/>
          <w:kern w:val="0"/>
          <w:szCs w:val="22"/>
          <w:lang w:val="en-GB"/>
          <w14:ligatures w14:val="none"/>
        </w:rPr>
      </w:pPr>
      <w:r w:rsidRPr="00072515">
        <w:rPr>
          <w:rFonts w:eastAsia="Calibri"/>
          <w:b/>
          <w:iCs w:val="0"/>
          <w:kern w:val="0"/>
          <w:szCs w:val="22"/>
          <w:lang w:val="en-GB"/>
          <w14:ligatures w14:val="none"/>
        </w:rPr>
        <w:t>JUDGE OF THE HIGH COURT</w:t>
      </w:r>
    </w:p>
    <w:p w14:paraId="75A1B3C6" w14:textId="77777777" w:rsidR="00072515" w:rsidRPr="00072515" w:rsidRDefault="00072515" w:rsidP="00072515">
      <w:pPr>
        <w:spacing w:line="276" w:lineRule="auto"/>
        <w:jc w:val="right"/>
        <w:rPr>
          <w:rFonts w:eastAsia="Calibri"/>
          <w:b/>
          <w:iCs w:val="0"/>
          <w:kern w:val="0"/>
          <w:szCs w:val="22"/>
          <w:lang w:val="en-GB"/>
          <w14:ligatures w14:val="none"/>
        </w:rPr>
      </w:pPr>
      <w:r w:rsidRPr="00072515">
        <w:rPr>
          <w:rFonts w:eastAsia="Calibri"/>
          <w:b/>
          <w:iCs w:val="0"/>
          <w:kern w:val="0"/>
          <w:szCs w:val="22"/>
          <w:lang w:val="en-GB"/>
          <w14:ligatures w14:val="none"/>
        </w:rPr>
        <w:t xml:space="preserve">GAUTENG DIVISION </w:t>
      </w:r>
    </w:p>
    <w:p w14:paraId="577AB6CD" w14:textId="77777777" w:rsidR="00072515" w:rsidRPr="00072515" w:rsidRDefault="00072515" w:rsidP="00072515">
      <w:pPr>
        <w:spacing w:line="480" w:lineRule="auto"/>
        <w:jc w:val="right"/>
        <w:rPr>
          <w:rFonts w:eastAsia="Calibri"/>
          <w:b/>
          <w:iCs w:val="0"/>
          <w:kern w:val="0"/>
          <w:szCs w:val="22"/>
          <w:lang w:val="en-GB"/>
          <w14:ligatures w14:val="none"/>
        </w:rPr>
      </w:pPr>
      <w:r w:rsidRPr="00072515">
        <w:rPr>
          <w:rFonts w:eastAsia="Calibri"/>
          <w:b/>
          <w:iCs w:val="0"/>
          <w:kern w:val="0"/>
          <w:szCs w:val="22"/>
          <w:lang w:val="en-GB"/>
          <w14:ligatures w14:val="none"/>
        </w:rPr>
        <w:t>JOHNANNESBURG</w:t>
      </w:r>
    </w:p>
    <w:p w14:paraId="539C7489" w14:textId="16A3B14C" w:rsidR="00072515" w:rsidRPr="00072515" w:rsidRDefault="00072515" w:rsidP="00072515">
      <w:pPr>
        <w:spacing w:after="0"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 xml:space="preserve">Date of hearing: </w:t>
      </w:r>
      <w:r>
        <w:rPr>
          <w:rFonts w:eastAsia="Calibri"/>
          <w:iCs w:val="0"/>
          <w:kern w:val="0"/>
          <w:szCs w:val="22"/>
          <w:lang w:val="en-GB"/>
          <w14:ligatures w14:val="none"/>
        </w:rPr>
        <w:t>08 March</w:t>
      </w:r>
      <w:r w:rsidRPr="00072515">
        <w:rPr>
          <w:rFonts w:eastAsia="Calibri"/>
          <w:iCs w:val="0"/>
          <w:kern w:val="0"/>
          <w:szCs w:val="22"/>
          <w:lang w:val="en-GB"/>
          <w14:ligatures w14:val="none"/>
        </w:rPr>
        <w:t xml:space="preserve"> 202</w:t>
      </w:r>
      <w:r>
        <w:rPr>
          <w:rFonts w:eastAsia="Calibri"/>
          <w:iCs w:val="0"/>
          <w:kern w:val="0"/>
          <w:szCs w:val="22"/>
          <w:lang w:val="en-GB"/>
          <w14:ligatures w14:val="none"/>
        </w:rPr>
        <w:t>4</w:t>
      </w:r>
      <w:r w:rsidRPr="00072515">
        <w:rPr>
          <w:rFonts w:eastAsia="Calibri"/>
          <w:iCs w:val="0"/>
          <w:kern w:val="0"/>
          <w:szCs w:val="22"/>
          <w:lang w:val="en-GB"/>
          <w14:ligatures w14:val="none"/>
        </w:rPr>
        <w:t xml:space="preserve"> </w:t>
      </w:r>
    </w:p>
    <w:p w14:paraId="342F91E6" w14:textId="0412F101"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Date of Judgment: 1</w:t>
      </w:r>
      <w:r>
        <w:rPr>
          <w:rFonts w:eastAsia="Calibri"/>
          <w:iCs w:val="0"/>
          <w:kern w:val="0"/>
          <w:szCs w:val="22"/>
          <w:lang w:val="en-GB"/>
          <w14:ligatures w14:val="none"/>
        </w:rPr>
        <w:t>7</w:t>
      </w:r>
      <w:r w:rsidRPr="00072515">
        <w:rPr>
          <w:rFonts w:eastAsia="Calibri"/>
          <w:iCs w:val="0"/>
          <w:kern w:val="0"/>
          <w:szCs w:val="22"/>
          <w:lang w:val="en-GB"/>
          <w14:ligatures w14:val="none"/>
        </w:rPr>
        <w:t xml:space="preserve"> </w:t>
      </w:r>
      <w:r>
        <w:rPr>
          <w:rFonts w:eastAsia="Calibri"/>
          <w:iCs w:val="0"/>
          <w:kern w:val="0"/>
          <w:szCs w:val="22"/>
          <w:lang w:val="en-GB"/>
          <w14:ligatures w14:val="none"/>
        </w:rPr>
        <w:t xml:space="preserve">April </w:t>
      </w:r>
      <w:r w:rsidRPr="00072515">
        <w:rPr>
          <w:rFonts w:eastAsia="Calibri"/>
          <w:iCs w:val="0"/>
          <w:kern w:val="0"/>
          <w:szCs w:val="22"/>
          <w:lang w:val="en-GB"/>
          <w14:ligatures w14:val="none"/>
        </w:rPr>
        <w:t>202</w:t>
      </w:r>
      <w:r>
        <w:rPr>
          <w:rFonts w:eastAsia="Calibri"/>
          <w:iCs w:val="0"/>
          <w:kern w:val="0"/>
          <w:szCs w:val="22"/>
          <w:lang w:val="en-GB"/>
          <w14:ligatures w14:val="none"/>
        </w:rPr>
        <w:t>4</w:t>
      </w:r>
    </w:p>
    <w:p w14:paraId="1FFCEE23" w14:textId="77777777"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Appearances:</w:t>
      </w:r>
    </w:p>
    <w:p w14:paraId="4548766D" w14:textId="4F51291F"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 xml:space="preserve">Counsel for the </w:t>
      </w:r>
      <w:r w:rsidR="00B65C60">
        <w:rPr>
          <w:rFonts w:eastAsia="Calibri"/>
          <w:iCs w:val="0"/>
          <w:kern w:val="0"/>
          <w:szCs w:val="22"/>
          <w:lang w:val="en-GB"/>
          <w14:ligatures w14:val="none"/>
        </w:rPr>
        <w:t>Applicant</w:t>
      </w:r>
      <w:r w:rsidRPr="00072515">
        <w:rPr>
          <w:rFonts w:eastAsia="Calibri"/>
          <w:iCs w:val="0"/>
          <w:kern w:val="0"/>
          <w:szCs w:val="22"/>
          <w:lang w:val="en-GB"/>
          <w14:ligatures w14:val="none"/>
        </w:rPr>
        <w:t xml:space="preserve">:                 </w:t>
      </w:r>
      <w:r w:rsidRPr="00072515">
        <w:rPr>
          <w:rFonts w:eastAsia="Calibri"/>
          <w:iCs w:val="0"/>
          <w:kern w:val="0"/>
          <w:szCs w:val="22"/>
          <w:lang w:val="en-GB"/>
          <w14:ligatures w14:val="none"/>
        </w:rPr>
        <w:tab/>
        <w:t xml:space="preserve"> </w:t>
      </w:r>
      <w:r w:rsidRPr="00072515">
        <w:rPr>
          <w:rFonts w:eastAsia="Calibri"/>
          <w:iCs w:val="0"/>
          <w:kern w:val="0"/>
          <w:szCs w:val="22"/>
          <w:lang w:val="en-GB"/>
          <w14:ligatures w14:val="none"/>
        </w:rPr>
        <w:tab/>
        <w:t>Adv MM Antonie SC</w:t>
      </w:r>
    </w:p>
    <w:p w14:paraId="07F418E8" w14:textId="77777777"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t>Adv AB Berkowitz</w:t>
      </w:r>
    </w:p>
    <w:p w14:paraId="3A6C1F93" w14:textId="77777777"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 xml:space="preserve">Instructed by.                                      </w:t>
      </w:r>
      <w:r w:rsidRPr="00072515">
        <w:rPr>
          <w:rFonts w:eastAsia="Calibri"/>
          <w:iCs w:val="0"/>
          <w:kern w:val="0"/>
          <w:szCs w:val="22"/>
          <w:lang w:val="en-GB"/>
          <w14:ligatures w14:val="none"/>
        </w:rPr>
        <w:tab/>
      </w:r>
      <w:r w:rsidRPr="00072515">
        <w:rPr>
          <w:rFonts w:eastAsia="Calibri"/>
          <w:iCs w:val="0"/>
          <w:kern w:val="0"/>
          <w:szCs w:val="22"/>
          <w:lang w:val="en-GB"/>
          <w14:ligatures w14:val="none"/>
        </w:rPr>
        <w:tab/>
        <w:t>Werksman Attorneys</w:t>
      </w:r>
    </w:p>
    <w:p w14:paraId="61041315" w14:textId="77777777"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 xml:space="preserve"> </w:t>
      </w:r>
    </w:p>
    <w:p w14:paraId="745CEDCF" w14:textId="10349FFC"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 xml:space="preserve">Counsel for the </w:t>
      </w:r>
      <w:r w:rsidR="00B65C60">
        <w:rPr>
          <w:rFonts w:eastAsia="Calibri"/>
          <w:iCs w:val="0"/>
          <w:kern w:val="0"/>
          <w:szCs w:val="22"/>
          <w:lang w:val="en-GB"/>
          <w14:ligatures w14:val="none"/>
        </w:rPr>
        <w:t>Respondent</w:t>
      </w:r>
      <w:r w:rsidRPr="00072515">
        <w:rPr>
          <w:rFonts w:eastAsia="Calibri"/>
          <w:iCs w:val="0"/>
          <w:kern w:val="0"/>
          <w:szCs w:val="22"/>
          <w:lang w:val="en-GB"/>
          <w14:ligatures w14:val="none"/>
        </w:rPr>
        <w:t xml:space="preserve">:                           </w:t>
      </w:r>
      <w:r w:rsidRPr="00072515">
        <w:rPr>
          <w:rFonts w:eastAsia="Calibri"/>
          <w:iCs w:val="0"/>
          <w:kern w:val="0"/>
          <w:szCs w:val="22"/>
          <w:lang w:val="en-GB"/>
          <w14:ligatures w14:val="none"/>
        </w:rPr>
        <w:tab/>
        <w:t>Adv JPV Mc Nally SC</w:t>
      </w:r>
    </w:p>
    <w:p w14:paraId="2C1C0E98" w14:textId="77777777"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r>
      <w:r w:rsidRPr="00072515">
        <w:rPr>
          <w:rFonts w:eastAsia="Calibri"/>
          <w:iCs w:val="0"/>
          <w:kern w:val="0"/>
          <w:szCs w:val="22"/>
          <w:lang w:val="en-GB"/>
          <w14:ligatures w14:val="none"/>
        </w:rPr>
        <w:tab/>
        <w:t>Adv JM Heher</w:t>
      </w:r>
    </w:p>
    <w:p w14:paraId="4B68A261" w14:textId="77777777" w:rsidR="00072515" w:rsidRPr="00072515" w:rsidRDefault="00072515" w:rsidP="00072515">
      <w:pPr>
        <w:spacing w:line="480" w:lineRule="auto"/>
        <w:jc w:val="both"/>
        <w:rPr>
          <w:rFonts w:eastAsia="Calibri"/>
          <w:iCs w:val="0"/>
          <w:kern w:val="0"/>
          <w:szCs w:val="22"/>
          <w:lang w:val="en-GB"/>
          <w14:ligatures w14:val="none"/>
        </w:rPr>
      </w:pPr>
      <w:r w:rsidRPr="00072515">
        <w:rPr>
          <w:rFonts w:eastAsia="Calibri"/>
          <w:iCs w:val="0"/>
          <w:kern w:val="0"/>
          <w:szCs w:val="22"/>
          <w:lang w:val="en-GB"/>
          <w14:ligatures w14:val="none"/>
        </w:rPr>
        <w:t xml:space="preserve">Instructed by:                                  </w:t>
      </w:r>
      <w:r w:rsidRPr="00072515">
        <w:rPr>
          <w:rFonts w:eastAsia="Calibri"/>
          <w:iCs w:val="0"/>
          <w:kern w:val="0"/>
          <w:szCs w:val="22"/>
          <w:lang w:val="en-GB"/>
          <w14:ligatures w14:val="none"/>
        </w:rPr>
        <w:tab/>
      </w:r>
      <w:r w:rsidRPr="00072515">
        <w:rPr>
          <w:rFonts w:eastAsia="Calibri"/>
          <w:iCs w:val="0"/>
          <w:kern w:val="0"/>
          <w:szCs w:val="22"/>
          <w:lang w:val="en-GB"/>
          <w14:ligatures w14:val="none"/>
        </w:rPr>
        <w:tab/>
        <w:t>Eversheds Sutherland</w:t>
      </w:r>
    </w:p>
    <w:p w14:paraId="25F35F8C" w14:textId="082A2FD2" w:rsidR="00A27259" w:rsidRDefault="00A27259" w:rsidP="00072515">
      <w:pPr>
        <w:spacing w:after="360" w:line="480" w:lineRule="auto"/>
        <w:jc w:val="both"/>
      </w:pPr>
    </w:p>
    <w:sectPr w:rsidR="00A27259" w:rsidSect="002D2B1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4005D" w14:textId="77777777" w:rsidR="002D2B14" w:rsidRDefault="002D2B14" w:rsidP="007501E5">
      <w:pPr>
        <w:spacing w:after="0" w:line="240" w:lineRule="auto"/>
      </w:pPr>
      <w:r>
        <w:separator/>
      </w:r>
    </w:p>
  </w:endnote>
  <w:endnote w:type="continuationSeparator" w:id="0">
    <w:p w14:paraId="478C5565" w14:textId="77777777" w:rsidR="002D2B14" w:rsidRDefault="002D2B14" w:rsidP="0075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8ABD0" w14:textId="77777777" w:rsidR="002D2B14" w:rsidRDefault="002D2B14" w:rsidP="007501E5">
      <w:pPr>
        <w:spacing w:after="0" w:line="240" w:lineRule="auto"/>
      </w:pPr>
      <w:r>
        <w:separator/>
      </w:r>
    </w:p>
  </w:footnote>
  <w:footnote w:type="continuationSeparator" w:id="0">
    <w:p w14:paraId="034D722D" w14:textId="77777777" w:rsidR="002D2B14" w:rsidRDefault="002D2B14" w:rsidP="007501E5">
      <w:pPr>
        <w:spacing w:after="0" w:line="240" w:lineRule="auto"/>
      </w:pPr>
      <w:r>
        <w:continuationSeparator/>
      </w:r>
    </w:p>
  </w:footnote>
  <w:footnote w:id="1">
    <w:p w14:paraId="3897A34F" w14:textId="1A8A2AFD" w:rsidR="00A23CE0" w:rsidRPr="00E92208" w:rsidRDefault="00A23CE0" w:rsidP="00AA3748">
      <w:pPr>
        <w:pStyle w:val="FootnoteText"/>
        <w:jc w:val="both"/>
        <w:rPr>
          <w:i/>
          <w:iCs w:val="0"/>
        </w:rPr>
      </w:pPr>
      <w:r>
        <w:rPr>
          <w:rStyle w:val="FootnoteReference"/>
        </w:rPr>
        <w:footnoteRef/>
      </w:r>
      <w:r>
        <w:t xml:space="preserve"> </w:t>
      </w:r>
      <w:r w:rsidRPr="002108B9">
        <w:rPr>
          <w:i/>
        </w:rPr>
        <w:t>Cgee Alsthom Equipments et Enterprises Electriques, South African</w:t>
      </w:r>
      <w:r>
        <w:rPr>
          <w:i/>
        </w:rPr>
        <w:t xml:space="preserve"> </w:t>
      </w:r>
      <w:r w:rsidRPr="002108B9">
        <w:rPr>
          <w:i/>
        </w:rPr>
        <w:t xml:space="preserve">Division v GKN Sankey (Pty) Ltd </w:t>
      </w:r>
      <w:r>
        <w:t>1987 (1) SA 81 (A).</w:t>
      </w:r>
    </w:p>
  </w:footnote>
  <w:footnote w:id="2">
    <w:p w14:paraId="6BBA6B8F" w14:textId="18CC05BB" w:rsidR="00D556A4" w:rsidRDefault="00D556A4">
      <w:pPr>
        <w:pStyle w:val="FootnoteText"/>
      </w:pPr>
      <w:r>
        <w:rPr>
          <w:rStyle w:val="FootnoteReference"/>
        </w:rPr>
        <w:footnoteRef/>
      </w:r>
      <w:r>
        <w:t xml:space="preserve"> </w:t>
      </w:r>
      <w:r w:rsidR="001F2FF0">
        <w:t xml:space="preserve">Supra, </w:t>
      </w:r>
      <w:r w:rsidR="00B3364D">
        <w:t>92</w:t>
      </w:r>
      <w:r w:rsidR="001F2FF0">
        <w:t xml:space="preserve"> E-F.</w:t>
      </w:r>
    </w:p>
  </w:footnote>
  <w:footnote w:id="3">
    <w:p w14:paraId="0E23FAE2" w14:textId="0BFE2F65" w:rsidR="005C3DC6" w:rsidRDefault="005C3DC6" w:rsidP="00D7067D">
      <w:pPr>
        <w:pStyle w:val="FootnoteText"/>
        <w:jc w:val="both"/>
      </w:pPr>
      <w:r>
        <w:rPr>
          <w:rStyle w:val="FootnoteReference"/>
        </w:rPr>
        <w:footnoteRef/>
      </w:r>
      <w:r>
        <w:t xml:space="preserve"> </w:t>
      </w:r>
      <w:r w:rsidR="00B114B4" w:rsidRPr="00DD18FC">
        <w:rPr>
          <w:i/>
          <w:lang w:val="en-US"/>
        </w:rPr>
        <w:t>Command Services (Gauteng) v SA Post Office Ltd</w:t>
      </w:r>
      <w:r w:rsidR="00B114B4">
        <w:rPr>
          <w:lang w:val="en-US"/>
        </w:rPr>
        <w:t xml:space="preserve"> 2013(2) SA 133.</w:t>
      </w:r>
    </w:p>
  </w:footnote>
  <w:footnote w:id="4">
    <w:p w14:paraId="28802824" w14:textId="5343E5C6" w:rsidR="00296593" w:rsidRDefault="00296593" w:rsidP="00D7067D">
      <w:pPr>
        <w:pStyle w:val="FootnoteText"/>
        <w:jc w:val="both"/>
      </w:pPr>
      <w:r>
        <w:rPr>
          <w:rStyle w:val="FootnoteReference"/>
        </w:rPr>
        <w:footnoteRef/>
      </w:r>
      <w:r>
        <w:t xml:space="preserve"> </w:t>
      </w:r>
      <w:r w:rsidR="0053085B">
        <w:t>Supra, at paragraph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287624"/>
      <w:docPartObj>
        <w:docPartGallery w:val="Page Numbers (Top of Page)"/>
        <w:docPartUnique/>
      </w:docPartObj>
    </w:sdtPr>
    <w:sdtEndPr>
      <w:rPr>
        <w:noProof/>
      </w:rPr>
    </w:sdtEndPr>
    <w:sdtContent>
      <w:p w14:paraId="54036307" w14:textId="54E9C2FE" w:rsidR="007501E5" w:rsidRDefault="007501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1839FA" w14:textId="77777777" w:rsidR="007501E5" w:rsidRDefault="00750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BD46804"/>
    <w:multiLevelType w:val="hybridMultilevel"/>
    <w:tmpl w:val="54E0AE82"/>
    <w:lvl w:ilvl="0" w:tplc="7E9CA09C">
      <w:start w:val="1"/>
      <w:numFmt w:val="decimal"/>
      <w:lvlText w:val="[%1]"/>
      <w:lvlJc w:val="left"/>
      <w:pPr>
        <w:ind w:left="720" w:hanging="360"/>
      </w:pPr>
      <w:rPr>
        <w:rFonts w:ascii="Arial" w:hAnsi="Aria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BB66D7"/>
    <w:multiLevelType w:val="hybridMultilevel"/>
    <w:tmpl w:val="61961D48"/>
    <w:lvl w:ilvl="0" w:tplc="D82A61DE">
      <w:start w:val="1"/>
      <w:numFmt w:val="decimal"/>
      <w:lvlText w:val="%1."/>
      <w:lvlJc w:val="left"/>
      <w:pPr>
        <w:ind w:left="1069" w:hanging="360"/>
      </w:pPr>
      <w:rPr>
        <w:rFonts w:ascii="Arial" w:eastAsiaTheme="minorHAnsi" w:hAnsi="Arial" w:cs="Arial"/>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73165684">
    <w:abstractNumId w:val="1"/>
  </w:num>
  <w:num w:numId="2" w16cid:durableId="185290528">
    <w:abstractNumId w:val="2"/>
  </w:num>
  <w:num w:numId="3" w16cid:durableId="133722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B7"/>
    <w:rsid w:val="00027CE2"/>
    <w:rsid w:val="000320DC"/>
    <w:rsid w:val="0004091C"/>
    <w:rsid w:val="0005254D"/>
    <w:rsid w:val="000605B9"/>
    <w:rsid w:val="000649FE"/>
    <w:rsid w:val="00072515"/>
    <w:rsid w:val="00076704"/>
    <w:rsid w:val="00077F5E"/>
    <w:rsid w:val="00087E3F"/>
    <w:rsid w:val="00090DB1"/>
    <w:rsid w:val="000937B7"/>
    <w:rsid w:val="000A5BED"/>
    <w:rsid w:val="000A6345"/>
    <w:rsid w:val="000A6C33"/>
    <w:rsid w:val="000B33F4"/>
    <w:rsid w:val="000D748B"/>
    <w:rsid w:val="000E7EA5"/>
    <w:rsid w:val="000F7508"/>
    <w:rsid w:val="00102CAE"/>
    <w:rsid w:val="0012112D"/>
    <w:rsid w:val="00124379"/>
    <w:rsid w:val="00126607"/>
    <w:rsid w:val="00131132"/>
    <w:rsid w:val="00153056"/>
    <w:rsid w:val="00171C95"/>
    <w:rsid w:val="00173048"/>
    <w:rsid w:val="00173534"/>
    <w:rsid w:val="001737C7"/>
    <w:rsid w:val="00181F48"/>
    <w:rsid w:val="00195236"/>
    <w:rsid w:val="0019698A"/>
    <w:rsid w:val="001A2A22"/>
    <w:rsid w:val="001A40E3"/>
    <w:rsid w:val="001B7065"/>
    <w:rsid w:val="001E3EA0"/>
    <w:rsid w:val="001F2FF0"/>
    <w:rsid w:val="00201438"/>
    <w:rsid w:val="00206354"/>
    <w:rsid w:val="00225038"/>
    <w:rsid w:val="00230B33"/>
    <w:rsid w:val="0023333B"/>
    <w:rsid w:val="00233F72"/>
    <w:rsid w:val="002562E2"/>
    <w:rsid w:val="00263589"/>
    <w:rsid w:val="00266367"/>
    <w:rsid w:val="00283B25"/>
    <w:rsid w:val="00296593"/>
    <w:rsid w:val="002A2440"/>
    <w:rsid w:val="002A770F"/>
    <w:rsid w:val="002C4C41"/>
    <w:rsid w:val="002D2B14"/>
    <w:rsid w:val="002D2D02"/>
    <w:rsid w:val="002E557C"/>
    <w:rsid w:val="002F19E4"/>
    <w:rsid w:val="002F1CAA"/>
    <w:rsid w:val="002F7C84"/>
    <w:rsid w:val="00345E12"/>
    <w:rsid w:val="00345FBF"/>
    <w:rsid w:val="00380B49"/>
    <w:rsid w:val="00393819"/>
    <w:rsid w:val="003B29AF"/>
    <w:rsid w:val="003B67E0"/>
    <w:rsid w:val="003C56A6"/>
    <w:rsid w:val="003D30D0"/>
    <w:rsid w:val="003D73A8"/>
    <w:rsid w:val="003F048B"/>
    <w:rsid w:val="004074A3"/>
    <w:rsid w:val="00411617"/>
    <w:rsid w:val="00415B50"/>
    <w:rsid w:val="00420773"/>
    <w:rsid w:val="0042510F"/>
    <w:rsid w:val="00433601"/>
    <w:rsid w:val="0044292F"/>
    <w:rsid w:val="00490F16"/>
    <w:rsid w:val="004A5DEE"/>
    <w:rsid w:val="004B5CE3"/>
    <w:rsid w:val="004C4805"/>
    <w:rsid w:val="004C5BA5"/>
    <w:rsid w:val="004E3841"/>
    <w:rsid w:val="004E46CB"/>
    <w:rsid w:val="004E4EAE"/>
    <w:rsid w:val="00521DBB"/>
    <w:rsid w:val="0053085B"/>
    <w:rsid w:val="0053361D"/>
    <w:rsid w:val="005525B4"/>
    <w:rsid w:val="00553183"/>
    <w:rsid w:val="0055341F"/>
    <w:rsid w:val="00554150"/>
    <w:rsid w:val="00554EA8"/>
    <w:rsid w:val="00567F3A"/>
    <w:rsid w:val="005700C8"/>
    <w:rsid w:val="00576F60"/>
    <w:rsid w:val="00581D3D"/>
    <w:rsid w:val="005965CA"/>
    <w:rsid w:val="005A1C2E"/>
    <w:rsid w:val="005B1A5B"/>
    <w:rsid w:val="005C24AA"/>
    <w:rsid w:val="005C3DC6"/>
    <w:rsid w:val="005E4F5D"/>
    <w:rsid w:val="005F7D2D"/>
    <w:rsid w:val="006251EC"/>
    <w:rsid w:val="00671997"/>
    <w:rsid w:val="0067473D"/>
    <w:rsid w:val="0068193B"/>
    <w:rsid w:val="006820C1"/>
    <w:rsid w:val="006832BB"/>
    <w:rsid w:val="006A2DF3"/>
    <w:rsid w:val="006A68D3"/>
    <w:rsid w:val="006B01F6"/>
    <w:rsid w:val="006D1806"/>
    <w:rsid w:val="006D233A"/>
    <w:rsid w:val="006D256F"/>
    <w:rsid w:val="006E3362"/>
    <w:rsid w:val="007148D8"/>
    <w:rsid w:val="0072122E"/>
    <w:rsid w:val="00722F54"/>
    <w:rsid w:val="00727012"/>
    <w:rsid w:val="007326DC"/>
    <w:rsid w:val="00745731"/>
    <w:rsid w:val="007501E5"/>
    <w:rsid w:val="0077525F"/>
    <w:rsid w:val="00776BDB"/>
    <w:rsid w:val="007D093C"/>
    <w:rsid w:val="007D3EE1"/>
    <w:rsid w:val="007D78BA"/>
    <w:rsid w:val="007E264C"/>
    <w:rsid w:val="007F533C"/>
    <w:rsid w:val="00830B05"/>
    <w:rsid w:val="00835F7E"/>
    <w:rsid w:val="00863CA5"/>
    <w:rsid w:val="00867D87"/>
    <w:rsid w:val="008852DD"/>
    <w:rsid w:val="008879D1"/>
    <w:rsid w:val="008969E9"/>
    <w:rsid w:val="008B3923"/>
    <w:rsid w:val="008D1144"/>
    <w:rsid w:val="008D4266"/>
    <w:rsid w:val="008F0F55"/>
    <w:rsid w:val="008F4243"/>
    <w:rsid w:val="008F5C17"/>
    <w:rsid w:val="009142DC"/>
    <w:rsid w:val="00915BCB"/>
    <w:rsid w:val="0092377E"/>
    <w:rsid w:val="00940FDB"/>
    <w:rsid w:val="00942496"/>
    <w:rsid w:val="009477ED"/>
    <w:rsid w:val="00950984"/>
    <w:rsid w:val="00956CDD"/>
    <w:rsid w:val="00964C5A"/>
    <w:rsid w:val="00972326"/>
    <w:rsid w:val="00975EE4"/>
    <w:rsid w:val="00983233"/>
    <w:rsid w:val="009B7A68"/>
    <w:rsid w:val="009F6BA9"/>
    <w:rsid w:val="00A23CE0"/>
    <w:rsid w:val="00A27259"/>
    <w:rsid w:val="00A35C5C"/>
    <w:rsid w:val="00A42A98"/>
    <w:rsid w:val="00A52C2A"/>
    <w:rsid w:val="00A61D94"/>
    <w:rsid w:val="00A75A15"/>
    <w:rsid w:val="00AA3748"/>
    <w:rsid w:val="00AD0EFD"/>
    <w:rsid w:val="00AD601B"/>
    <w:rsid w:val="00AE146D"/>
    <w:rsid w:val="00AE28FE"/>
    <w:rsid w:val="00B073BF"/>
    <w:rsid w:val="00B114B4"/>
    <w:rsid w:val="00B25386"/>
    <w:rsid w:val="00B3364D"/>
    <w:rsid w:val="00B53E77"/>
    <w:rsid w:val="00B55DB1"/>
    <w:rsid w:val="00B63FBB"/>
    <w:rsid w:val="00B65C60"/>
    <w:rsid w:val="00B83A2A"/>
    <w:rsid w:val="00C0250E"/>
    <w:rsid w:val="00C06080"/>
    <w:rsid w:val="00C42B7E"/>
    <w:rsid w:val="00C610FF"/>
    <w:rsid w:val="00C61F37"/>
    <w:rsid w:val="00C62A55"/>
    <w:rsid w:val="00C80446"/>
    <w:rsid w:val="00C90180"/>
    <w:rsid w:val="00C92EF1"/>
    <w:rsid w:val="00CA5591"/>
    <w:rsid w:val="00CB4F2D"/>
    <w:rsid w:val="00CD337C"/>
    <w:rsid w:val="00CE5780"/>
    <w:rsid w:val="00CF2293"/>
    <w:rsid w:val="00CF4784"/>
    <w:rsid w:val="00D05F18"/>
    <w:rsid w:val="00D213A7"/>
    <w:rsid w:val="00D24B1C"/>
    <w:rsid w:val="00D27B98"/>
    <w:rsid w:val="00D3063A"/>
    <w:rsid w:val="00D556A4"/>
    <w:rsid w:val="00D60F48"/>
    <w:rsid w:val="00D7067D"/>
    <w:rsid w:val="00D84355"/>
    <w:rsid w:val="00D92CC1"/>
    <w:rsid w:val="00DC17BE"/>
    <w:rsid w:val="00DC5F9E"/>
    <w:rsid w:val="00DD7C21"/>
    <w:rsid w:val="00DE00E5"/>
    <w:rsid w:val="00DF3AB6"/>
    <w:rsid w:val="00DF5B3E"/>
    <w:rsid w:val="00E04240"/>
    <w:rsid w:val="00E04AAA"/>
    <w:rsid w:val="00E10667"/>
    <w:rsid w:val="00E20570"/>
    <w:rsid w:val="00E46CCA"/>
    <w:rsid w:val="00E90482"/>
    <w:rsid w:val="00E92208"/>
    <w:rsid w:val="00EB7A73"/>
    <w:rsid w:val="00ED5A6B"/>
    <w:rsid w:val="00EE6D01"/>
    <w:rsid w:val="00F03A9D"/>
    <w:rsid w:val="00F1202F"/>
    <w:rsid w:val="00F12037"/>
    <w:rsid w:val="00F32E58"/>
    <w:rsid w:val="00F54A44"/>
    <w:rsid w:val="00F560BC"/>
    <w:rsid w:val="00F71F94"/>
    <w:rsid w:val="00F81BA6"/>
    <w:rsid w:val="00F84063"/>
    <w:rsid w:val="00F84CDB"/>
    <w:rsid w:val="00F91DB0"/>
    <w:rsid w:val="00FB2B81"/>
    <w:rsid w:val="00FC40E0"/>
    <w:rsid w:val="00FE14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4F6B"/>
  <w15:chartTrackingRefBased/>
  <w15:docId w15:val="{1F1D7B63-7E3E-43C7-B0B1-95F991DA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iCs/>
        <w:kern w:val="2"/>
        <w:sz w:val="24"/>
        <w:szCs w:val="24"/>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7B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937B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937B7"/>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937B7"/>
    <w:pPr>
      <w:keepNext/>
      <w:keepLines/>
      <w:spacing w:before="80" w:after="40"/>
      <w:outlineLvl w:val="3"/>
    </w:pPr>
    <w:rPr>
      <w:rFonts w:asciiTheme="minorHAnsi" w:eastAsiaTheme="majorEastAsia" w:hAnsiTheme="min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0937B7"/>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0937B7"/>
    <w:pPr>
      <w:keepNext/>
      <w:keepLines/>
      <w:spacing w:before="40" w:after="0"/>
      <w:outlineLvl w:val="5"/>
    </w:pPr>
    <w:rPr>
      <w:rFonts w:asciiTheme="minorHAnsi" w:eastAsiaTheme="majorEastAsia" w:hAnsiTheme="minorHAnsi" w:cstheme="majorBidi"/>
      <w:i/>
      <w:iCs w:val="0"/>
      <w:color w:val="595959" w:themeColor="text1" w:themeTint="A6"/>
    </w:rPr>
  </w:style>
  <w:style w:type="paragraph" w:styleId="Heading7">
    <w:name w:val="heading 7"/>
    <w:basedOn w:val="Normal"/>
    <w:next w:val="Normal"/>
    <w:link w:val="Heading7Char"/>
    <w:uiPriority w:val="9"/>
    <w:semiHidden/>
    <w:unhideWhenUsed/>
    <w:qFormat/>
    <w:rsid w:val="000937B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937B7"/>
    <w:pPr>
      <w:keepNext/>
      <w:keepLines/>
      <w:spacing w:after="0"/>
      <w:outlineLvl w:val="7"/>
    </w:pPr>
    <w:rPr>
      <w:rFonts w:asciiTheme="minorHAnsi" w:eastAsiaTheme="majorEastAsia" w:hAnsiTheme="minorHAnsi" w:cstheme="majorBidi"/>
      <w:i/>
      <w:iCs w:val="0"/>
      <w:color w:val="272727" w:themeColor="text1" w:themeTint="D8"/>
    </w:rPr>
  </w:style>
  <w:style w:type="paragraph" w:styleId="Heading9">
    <w:name w:val="heading 9"/>
    <w:basedOn w:val="Normal"/>
    <w:next w:val="Normal"/>
    <w:link w:val="Heading9Char"/>
    <w:uiPriority w:val="9"/>
    <w:semiHidden/>
    <w:unhideWhenUsed/>
    <w:qFormat/>
    <w:rsid w:val="000937B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7B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937B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937B7"/>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937B7"/>
    <w:rPr>
      <w:rFonts w:asciiTheme="minorHAnsi" w:eastAsiaTheme="majorEastAsia" w:hAnsiTheme="minorHAnsi" w:cstheme="majorBidi"/>
      <w:i/>
      <w:iCs w:val="0"/>
      <w:color w:val="2E74B5" w:themeColor="accent1" w:themeShade="BF"/>
    </w:rPr>
  </w:style>
  <w:style w:type="character" w:customStyle="1" w:styleId="Heading5Char">
    <w:name w:val="Heading 5 Char"/>
    <w:basedOn w:val="DefaultParagraphFont"/>
    <w:link w:val="Heading5"/>
    <w:uiPriority w:val="9"/>
    <w:semiHidden/>
    <w:rsid w:val="000937B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0937B7"/>
    <w:rPr>
      <w:rFonts w:asciiTheme="minorHAnsi" w:eastAsiaTheme="majorEastAsia" w:hAnsiTheme="minorHAnsi" w:cstheme="majorBidi"/>
      <w:i/>
      <w:iCs w:val="0"/>
      <w:color w:val="595959" w:themeColor="text1" w:themeTint="A6"/>
    </w:rPr>
  </w:style>
  <w:style w:type="character" w:customStyle="1" w:styleId="Heading7Char">
    <w:name w:val="Heading 7 Char"/>
    <w:basedOn w:val="DefaultParagraphFont"/>
    <w:link w:val="Heading7"/>
    <w:uiPriority w:val="9"/>
    <w:semiHidden/>
    <w:rsid w:val="000937B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937B7"/>
    <w:rPr>
      <w:rFonts w:asciiTheme="minorHAnsi" w:eastAsiaTheme="majorEastAsia" w:hAnsiTheme="minorHAnsi" w:cstheme="majorBidi"/>
      <w:i/>
      <w:iCs w:val="0"/>
      <w:color w:val="272727" w:themeColor="text1" w:themeTint="D8"/>
    </w:rPr>
  </w:style>
  <w:style w:type="character" w:customStyle="1" w:styleId="Heading9Char">
    <w:name w:val="Heading 9 Char"/>
    <w:basedOn w:val="DefaultParagraphFont"/>
    <w:link w:val="Heading9"/>
    <w:uiPriority w:val="9"/>
    <w:semiHidden/>
    <w:rsid w:val="000937B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937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7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37B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37B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937B7"/>
    <w:pPr>
      <w:spacing w:before="160"/>
      <w:jc w:val="center"/>
    </w:pPr>
    <w:rPr>
      <w:i/>
      <w:iCs w:val="0"/>
      <w:color w:val="404040" w:themeColor="text1" w:themeTint="BF"/>
    </w:rPr>
  </w:style>
  <w:style w:type="character" w:customStyle="1" w:styleId="QuoteChar">
    <w:name w:val="Quote Char"/>
    <w:basedOn w:val="DefaultParagraphFont"/>
    <w:link w:val="Quote"/>
    <w:uiPriority w:val="29"/>
    <w:rsid w:val="000937B7"/>
    <w:rPr>
      <w:i/>
      <w:iCs w:val="0"/>
      <w:color w:val="404040" w:themeColor="text1" w:themeTint="BF"/>
    </w:rPr>
  </w:style>
  <w:style w:type="paragraph" w:styleId="ListParagraph">
    <w:name w:val="List Paragraph"/>
    <w:basedOn w:val="Normal"/>
    <w:uiPriority w:val="34"/>
    <w:qFormat/>
    <w:rsid w:val="000937B7"/>
    <w:pPr>
      <w:ind w:left="720"/>
      <w:contextualSpacing/>
    </w:pPr>
  </w:style>
  <w:style w:type="character" w:styleId="IntenseEmphasis">
    <w:name w:val="Intense Emphasis"/>
    <w:basedOn w:val="DefaultParagraphFont"/>
    <w:uiPriority w:val="21"/>
    <w:qFormat/>
    <w:rsid w:val="000937B7"/>
    <w:rPr>
      <w:i/>
      <w:iCs w:val="0"/>
      <w:color w:val="2E74B5" w:themeColor="accent1" w:themeShade="BF"/>
    </w:rPr>
  </w:style>
  <w:style w:type="paragraph" w:styleId="IntenseQuote">
    <w:name w:val="Intense Quote"/>
    <w:basedOn w:val="Normal"/>
    <w:next w:val="Normal"/>
    <w:link w:val="IntenseQuoteChar"/>
    <w:uiPriority w:val="30"/>
    <w:qFormat/>
    <w:rsid w:val="000937B7"/>
    <w:pPr>
      <w:pBdr>
        <w:top w:val="single" w:sz="4" w:space="10" w:color="2E74B5" w:themeColor="accent1" w:themeShade="BF"/>
        <w:bottom w:val="single" w:sz="4" w:space="10" w:color="2E74B5" w:themeColor="accent1" w:themeShade="BF"/>
      </w:pBdr>
      <w:spacing w:before="360" w:after="360"/>
      <w:ind w:left="864" w:right="864"/>
      <w:jc w:val="center"/>
    </w:pPr>
    <w:rPr>
      <w:i/>
      <w:iCs w:val="0"/>
      <w:color w:val="2E74B5" w:themeColor="accent1" w:themeShade="BF"/>
    </w:rPr>
  </w:style>
  <w:style w:type="character" w:customStyle="1" w:styleId="IntenseQuoteChar">
    <w:name w:val="Intense Quote Char"/>
    <w:basedOn w:val="DefaultParagraphFont"/>
    <w:link w:val="IntenseQuote"/>
    <w:uiPriority w:val="30"/>
    <w:rsid w:val="000937B7"/>
    <w:rPr>
      <w:i/>
      <w:iCs w:val="0"/>
      <w:color w:val="2E74B5" w:themeColor="accent1" w:themeShade="BF"/>
    </w:rPr>
  </w:style>
  <w:style w:type="character" w:styleId="IntenseReference">
    <w:name w:val="Intense Reference"/>
    <w:basedOn w:val="DefaultParagraphFont"/>
    <w:uiPriority w:val="32"/>
    <w:qFormat/>
    <w:rsid w:val="000937B7"/>
    <w:rPr>
      <w:b/>
      <w:bCs/>
      <w:smallCaps/>
      <w:color w:val="2E74B5" w:themeColor="accent1" w:themeShade="BF"/>
      <w:spacing w:val="5"/>
    </w:rPr>
  </w:style>
  <w:style w:type="paragraph" w:styleId="Header">
    <w:name w:val="header"/>
    <w:basedOn w:val="Normal"/>
    <w:link w:val="HeaderChar"/>
    <w:uiPriority w:val="99"/>
    <w:unhideWhenUsed/>
    <w:rsid w:val="00750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E5"/>
  </w:style>
  <w:style w:type="paragraph" w:styleId="Footer">
    <w:name w:val="footer"/>
    <w:basedOn w:val="Normal"/>
    <w:link w:val="FooterChar"/>
    <w:uiPriority w:val="99"/>
    <w:unhideWhenUsed/>
    <w:rsid w:val="0075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E5"/>
  </w:style>
  <w:style w:type="paragraph" w:styleId="FootnoteText">
    <w:name w:val="footnote text"/>
    <w:basedOn w:val="Normal"/>
    <w:link w:val="FootnoteTextChar"/>
    <w:uiPriority w:val="99"/>
    <w:unhideWhenUsed/>
    <w:rsid w:val="002E557C"/>
    <w:pPr>
      <w:spacing w:after="0" w:line="240" w:lineRule="auto"/>
    </w:pPr>
    <w:rPr>
      <w:sz w:val="20"/>
      <w:szCs w:val="20"/>
    </w:rPr>
  </w:style>
  <w:style w:type="character" w:customStyle="1" w:styleId="FootnoteTextChar">
    <w:name w:val="Footnote Text Char"/>
    <w:basedOn w:val="DefaultParagraphFont"/>
    <w:link w:val="FootnoteText"/>
    <w:uiPriority w:val="99"/>
    <w:rsid w:val="002E557C"/>
    <w:rPr>
      <w:sz w:val="20"/>
      <w:szCs w:val="20"/>
    </w:rPr>
  </w:style>
  <w:style w:type="character" w:styleId="FootnoteReference">
    <w:name w:val="footnote reference"/>
    <w:basedOn w:val="DefaultParagraphFont"/>
    <w:uiPriority w:val="99"/>
    <w:semiHidden/>
    <w:unhideWhenUsed/>
    <w:rsid w:val="002E5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1768</Words>
  <Characters>10083</Characters>
  <Application>Microsoft Office Word</Application>
  <DocSecurity>0</DocSecurity>
  <Lines>84</Lines>
  <Paragraphs>23</Paragraphs>
  <ScaleCrop>false</ScaleCrop>
  <Company>HP Inc.</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Manoim</dc:creator>
  <cp:keywords/>
  <dc:description/>
  <cp:lastModifiedBy>Bongiwe Mhlongo</cp:lastModifiedBy>
  <cp:revision>2</cp:revision>
  <dcterms:created xsi:type="dcterms:W3CDTF">2024-04-18T09:40:00Z</dcterms:created>
  <dcterms:modified xsi:type="dcterms:W3CDTF">2024-04-18T09:40:00Z</dcterms:modified>
</cp:coreProperties>
</file>