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E0C2F" w14:textId="77777777" w:rsidR="00DF3EA8" w:rsidRPr="0068653E" w:rsidRDefault="00DF3EA8" w:rsidP="00DF3EA8">
      <w:pPr>
        <w:spacing w:line="360" w:lineRule="auto"/>
        <w:jc w:val="center"/>
        <w:rPr>
          <w:b/>
          <w:bCs/>
          <w:u w:val="single"/>
        </w:rPr>
      </w:pPr>
      <w:r w:rsidRPr="0068653E">
        <w:rPr>
          <w:b/>
          <w:bCs/>
          <w:u w:val="single"/>
        </w:rPr>
        <w:t>IN THE HIGH COURT OF SOUTH AFRICA</w:t>
      </w:r>
    </w:p>
    <w:p w14:paraId="15365034" w14:textId="77777777" w:rsidR="00DF3EA8" w:rsidRPr="00FC24F4" w:rsidRDefault="00DF3EA8" w:rsidP="00DF3EA8">
      <w:pPr>
        <w:spacing w:line="360" w:lineRule="auto"/>
        <w:jc w:val="center"/>
        <w:rPr>
          <w:b/>
          <w:bCs/>
          <w:lang w:val="en-GB"/>
        </w:rPr>
      </w:pPr>
      <w:r w:rsidRPr="0068653E">
        <w:rPr>
          <w:b/>
          <w:bCs/>
          <w:u w:val="single"/>
        </w:rPr>
        <w:t>GAUTENG DIVISION, JOHANNESBURG</w:t>
      </w:r>
    </w:p>
    <w:p w14:paraId="5FAF884C" w14:textId="77777777" w:rsidR="00DF3EA8" w:rsidRDefault="00DF3EA8" w:rsidP="00DF3EA8">
      <w:pPr>
        <w:spacing w:line="360" w:lineRule="auto"/>
        <w:jc w:val="center"/>
      </w:pPr>
    </w:p>
    <w:p w14:paraId="6C0CA84B" w14:textId="33267978" w:rsidR="00EC4349" w:rsidRPr="004646C4" w:rsidRDefault="00DF3EA8" w:rsidP="00EC4349">
      <w:pPr>
        <w:spacing w:line="360" w:lineRule="auto"/>
        <w:jc w:val="right"/>
      </w:pPr>
      <w:r>
        <w:rPr>
          <w:rFonts w:ascii="Times New Roman" w:eastAsiaTheme="minorHAnsi" w:hAnsi="Times New Roman" w:cs="Times New Roman"/>
          <w:noProof/>
          <w:lang w:eastAsia="en-ZA"/>
        </w:rPr>
        <mc:AlternateContent>
          <mc:Choice Requires="wps">
            <w:drawing>
              <wp:anchor distT="0" distB="0" distL="114300" distR="114300" simplePos="0" relativeHeight="251659264" behindDoc="0" locked="0" layoutInCell="1" allowOverlap="1" wp14:anchorId="47AE8BB9" wp14:editId="0E3302B0">
                <wp:simplePos x="0" y="0"/>
                <wp:positionH relativeFrom="margin">
                  <wp:posOffset>0</wp:posOffset>
                </wp:positionH>
                <wp:positionV relativeFrom="paragraph">
                  <wp:posOffset>69141</wp:posOffset>
                </wp:positionV>
                <wp:extent cx="3314700" cy="1488558"/>
                <wp:effectExtent l="0" t="0" r="1905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8558"/>
                        </a:xfrm>
                        <a:prstGeom prst="rect">
                          <a:avLst/>
                        </a:prstGeom>
                        <a:solidFill>
                          <a:srgbClr val="FFFFFF"/>
                        </a:solidFill>
                        <a:ln w="9525">
                          <a:solidFill>
                            <a:srgbClr val="000000"/>
                          </a:solidFill>
                          <a:miter lim="800000"/>
                          <a:headEnd/>
                          <a:tailEnd/>
                        </a:ln>
                      </wps:spPr>
                      <wps:txbx>
                        <w:txbxContent>
                          <w:p w14:paraId="2A04433F" w14:textId="77777777" w:rsidR="00DF3EA8" w:rsidRDefault="00DF3EA8" w:rsidP="00DF3EA8">
                            <w:pPr>
                              <w:jc w:val="center"/>
                              <w:rPr>
                                <w:rFonts w:ascii="Century Gothic" w:hAnsi="Century Gothic"/>
                                <w:b/>
                                <w:sz w:val="2"/>
                                <w:szCs w:val="18"/>
                              </w:rPr>
                            </w:pPr>
                          </w:p>
                          <w:p w14:paraId="00948029" w14:textId="7061B7F6" w:rsidR="00DF3EA8" w:rsidRPr="00DF3EA8" w:rsidRDefault="00DF3EA8" w:rsidP="00DF3EA8">
                            <w:pPr>
                              <w:spacing w:after="60" w:line="240" w:lineRule="auto"/>
                              <w:ind w:left="181"/>
                              <w:jc w:val="left"/>
                              <w:rPr>
                                <w:sz w:val="18"/>
                                <w:szCs w:val="18"/>
                              </w:rPr>
                            </w:pPr>
                            <w:r>
                              <w:rPr>
                                <w:sz w:val="18"/>
                                <w:szCs w:val="18"/>
                              </w:rPr>
                              <w:t>[1]</w:t>
                            </w:r>
                            <w:r>
                              <w:rPr>
                                <w:sz w:val="18"/>
                                <w:szCs w:val="18"/>
                              </w:rPr>
                              <w:tab/>
                            </w:r>
                            <w:r w:rsidRPr="00DF3EA8">
                              <w:rPr>
                                <w:sz w:val="18"/>
                                <w:szCs w:val="18"/>
                              </w:rPr>
                              <w:t xml:space="preserve">REPORTABLE: </w:t>
                            </w:r>
                            <w:r w:rsidR="00585B9E">
                              <w:rPr>
                                <w:sz w:val="18"/>
                                <w:szCs w:val="18"/>
                              </w:rPr>
                              <w:t>NO</w:t>
                            </w:r>
                          </w:p>
                          <w:p w14:paraId="5C05682E" w14:textId="2913E6FE" w:rsidR="00DF3EA8" w:rsidRPr="00DF3EA8" w:rsidRDefault="00DF3EA8" w:rsidP="00DF3EA8">
                            <w:pPr>
                              <w:spacing w:after="60" w:line="240" w:lineRule="auto"/>
                              <w:ind w:left="181"/>
                              <w:jc w:val="left"/>
                              <w:rPr>
                                <w:sz w:val="18"/>
                                <w:szCs w:val="18"/>
                              </w:rPr>
                            </w:pPr>
                            <w:r>
                              <w:rPr>
                                <w:sz w:val="18"/>
                                <w:szCs w:val="18"/>
                              </w:rPr>
                              <w:t>[2]</w:t>
                            </w:r>
                            <w:r>
                              <w:rPr>
                                <w:sz w:val="18"/>
                                <w:szCs w:val="18"/>
                              </w:rPr>
                              <w:tab/>
                            </w:r>
                            <w:r w:rsidRPr="00DF3EA8">
                              <w:rPr>
                                <w:sz w:val="18"/>
                                <w:szCs w:val="18"/>
                              </w:rPr>
                              <w:t xml:space="preserve">OF INTEREST TO OTHER JUDGES: </w:t>
                            </w:r>
                            <w:r w:rsidR="00585B9E">
                              <w:rPr>
                                <w:sz w:val="18"/>
                                <w:szCs w:val="18"/>
                              </w:rPr>
                              <w:t>NO</w:t>
                            </w:r>
                          </w:p>
                          <w:p w14:paraId="567A8AE5" w14:textId="4CDB6F56" w:rsidR="00DF3EA8" w:rsidRPr="00DF3EA8" w:rsidRDefault="00DF3EA8" w:rsidP="00DF3EA8">
                            <w:pPr>
                              <w:spacing w:line="240" w:lineRule="auto"/>
                              <w:ind w:left="180"/>
                              <w:jc w:val="left"/>
                              <w:rPr>
                                <w:sz w:val="18"/>
                                <w:szCs w:val="18"/>
                              </w:rPr>
                            </w:pPr>
                            <w:r>
                              <w:rPr>
                                <w:sz w:val="18"/>
                                <w:szCs w:val="18"/>
                              </w:rPr>
                              <w:t>[3]</w:t>
                            </w:r>
                            <w:r>
                              <w:rPr>
                                <w:sz w:val="18"/>
                                <w:szCs w:val="18"/>
                              </w:rPr>
                              <w:tab/>
                            </w:r>
                            <w:r w:rsidRPr="00DF3EA8">
                              <w:rPr>
                                <w:sz w:val="18"/>
                                <w:szCs w:val="18"/>
                              </w:rPr>
                              <w:t xml:space="preserve">REVISED: </w:t>
                            </w:r>
                            <w:r w:rsidR="00585B9E">
                              <w:rPr>
                                <w:sz w:val="18"/>
                                <w:szCs w:val="18"/>
                              </w:rPr>
                              <w:t>NO</w:t>
                            </w:r>
                          </w:p>
                          <w:p w14:paraId="362F64DC" w14:textId="77777777" w:rsidR="00DF3EA8" w:rsidRDefault="00DF3EA8" w:rsidP="00DF3EA8">
                            <w:pPr>
                              <w:spacing w:line="240" w:lineRule="auto"/>
                              <w:jc w:val="left"/>
                              <w:rPr>
                                <w:rFonts w:ascii="Century Gothic" w:hAnsi="Century Gothic"/>
                                <w:sz w:val="18"/>
                                <w:szCs w:val="18"/>
                              </w:rPr>
                            </w:pPr>
                          </w:p>
                          <w:p w14:paraId="533D1474" w14:textId="2277E9C9" w:rsidR="00DF3EA8" w:rsidRDefault="00DF3EA8" w:rsidP="00DF3EA8">
                            <w:pPr>
                              <w:spacing w:line="240" w:lineRule="auto"/>
                              <w:jc w:val="left"/>
                              <w:rPr>
                                <w:noProof/>
                                <w:color w:val="242121"/>
                                <w:lang w:eastAsia="en-ZA"/>
                              </w:rPr>
                            </w:pPr>
                          </w:p>
                          <w:p w14:paraId="6D507B9D" w14:textId="77777777" w:rsidR="00C75C23" w:rsidRDefault="00C75C23" w:rsidP="00DF3EA8">
                            <w:pPr>
                              <w:spacing w:line="240" w:lineRule="auto"/>
                              <w:jc w:val="left"/>
                              <w:rPr>
                                <w:rFonts w:ascii="Century Gothic" w:hAnsi="Century Gothic"/>
                                <w:sz w:val="18"/>
                                <w:szCs w:val="18"/>
                              </w:rPr>
                            </w:pPr>
                          </w:p>
                          <w:p w14:paraId="69467962" w14:textId="77777777" w:rsidR="00DF3EA8" w:rsidRDefault="00DF3EA8" w:rsidP="00DF3EA8">
                            <w:pPr>
                              <w:spacing w:line="240" w:lineRule="auto"/>
                              <w:jc w:val="left"/>
                              <w:rPr>
                                <w:rFonts w:ascii="Century Gothic" w:hAnsi="Century Gothic"/>
                                <w:sz w:val="18"/>
                                <w:szCs w:val="18"/>
                              </w:rPr>
                            </w:pPr>
                          </w:p>
                          <w:p w14:paraId="4FAB9D3C" w14:textId="60CBF659" w:rsidR="00DF3EA8" w:rsidRDefault="00DF3EA8" w:rsidP="00DF3EA8">
                            <w:pPr>
                              <w:tabs>
                                <w:tab w:val="left" w:pos="2835"/>
                              </w:tabs>
                              <w:ind w:right="-43"/>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t xml:space="preserve">DATE: </w:t>
                            </w:r>
                            <w:r w:rsidR="004411F8">
                              <w:rPr>
                                <w:sz w:val="18"/>
                                <w:szCs w:val="18"/>
                              </w:rPr>
                              <w:t>10</w:t>
                            </w:r>
                            <w:r w:rsidR="00585B9E">
                              <w:rPr>
                                <w:sz w:val="18"/>
                                <w:szCs w:val="18"/>
                              </w:rPr>
                              <w:t xml:space="preserve"> April 2024</w:t>
                            </w:r>
                          </w:p>
                          <w:p w14:paraId="05BBF193" w14:textId="77777777" w:rsidR="00DF3EA8" w:rsidRDefault="00DF3EA8" w:rsidP="00DF3EA8">
                            <w:pPr>
                              <w:rPr>
                                <w:rFonts w:ascii="Century Gothic" w:hAnsi="Century Gothic"/>
                                <w:b/>
                                <w:sz w:val="2"/>
                                <w:szCs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E8BB9" id="_x0000_t202" coordsize="21600,21600" o:spt="202" path="m,l,21600r21600,l21600,xe">
                <v:stroke joinstyle="miter"/>
                <v:path gradientshapeok="t" o:connecttype="rect"/>
              </v:shapetype>
              <v:shape id="Text Box 4" o:spid="_x0000_s1026" type="#_x0000_t202" style="position:absolute;left:0;text-align:left;margin-left:0;margin-top:5.45pt;width:261pt;height:11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">
                <v:textbox>
                  <w:txbxContent>
                    <w:p w14:paraId="2A04433F" w14:textId="77777777" w:rsidR="00DF3EA8" w:rsidRDefault="00DF3EA8" w:rsidP="00DF3EA8">
                      <w:pPr>
                        <w:jc w:val="center"/>
                        <w:rPr>
                          <w:rFonts w:ascii="Century Gothic" w:hAnsi="Century Gothic"/>
                          <w:b/>
                          <w:sz w:val="2"/>
                          <w:szCs w:val="18"/>
                        </w:rPr>
                      </w:pPr>
                    </w:p>
                    <w:p w14:paraId="00948029" w14:textId="7061B7F6" w:rsidR="00DF3EA8" w:rsidRPr="00DF3EA8" w:rsidRDefault="00DF3EA8" w:rsidP="00DF3EA8">
                      <w:pPr>
                        <w:spacing w:after="60" w:line="240" w:lineRule="auto"/>
                        <w:ind w:left="181"/>
                        <w:jc w:val="left"/>
                        <w:rPr>
                          <w:sz w:val="18"/>
                          <w:szCs w:val="18"/>
                        </w:rPr>
                      </w:pPr>
                      <w:r>
                        <w:rPr>
                          <w:sz w:val="18"/>
                          <w:szCs w:val="18"/>
                        </w:rPr>
                        <w:t>[1]</w:t>
                      </w:r>
                      <w:r>
                        <w:rPr>
                          <w:sz w:val="18"/>
                          <w:szCs w:val="18"/>
                        </w:rPr>
                        <w:tab/>
                      </w:r>
                      <w:r w:rsidRPr="00DF3EA8">
                        <w:rPr>
                          <w:sz w:val="18"/>
                          <w:szCs w:val="18"/>
                        </w:rPr>
                        <w:t xml:space="preserve">REPORTABLE: </w:t>
                      </w:r>
                      <w:r w:rsidR="00585B9E">
                        <w:rPr>
                          <w:sz w:val="18"/>
                          <w:szCs w:val="18"/>
                        </w:rPr>
                        <w:t>NO</w:t>
                      </w:r>
                    </w:p>
                    <w:p w14:paraId="5C05682E" w14:textId="2913E6FE" w:rsidR="00DF3EA8" w:rsidRPr="00DF3EA8" w:rsidRDefault="00DF3EA8" w:rsidP="00DF3EA8">
                      <w:pPr>
                        <w:spacing w:after="60" w:line="240" w:lineRule="auto"/>
                        <w:ind w:left="181"/>
                        <w:jc w:val="left"/>
                        <w:rPr>
                          <w:sz w:val="18"/>
                          <w:szCs w:val="18"/>
                        </w:rPr>
                      </w:pPr>
                      <w:r>
                        <w:rPr>
                          <w:sz w:val="18"/>
                          <w:szCs w:val="18"/>
                        </w:rPr>
                        <w:t>[2]</w:t>
                      </w:r>
                      <w:r>
                        <w:rPr>
                          <w:sz w:val="18"/>
                          <w:szCs w:val="18"/>
                        </w:rPr>
                        <w:tab/>
                      </w:r>
                      <w:r w:rsidRPr="00DF3EA8">
                        <w:rPr>
                          <w:sz w:val="18"/>
                          <w:szCs w:val="18"/>
                        </w:rPr>
                        <w:t xml:space="preserve">OF INTEREST TO OTHER JUDGES: </w:t>
                      </w:r>
                      <w:r w:rsidR="00585B9E">
                        <w:rPr>
                          <w:sz w:val="18"/>
                          <w:szCs w:val="18"/>
                        </w:rPr>
                        <w:t>NO</w:t>
                      </w:r>
                    </w:p>
                    <w:p w14:paraId="567A8AE5" w14:textId="4CDB6F56" w:rsidR="00DF3EA8" w:rsidRPr="00DF3EA8" w:rsidRDefault="00DF3EA8" w:rsidP="00DF3EA8">
                      <w:pPr>
                        <w:spacing w:line="240" w:lineRule="auto"/>
                        <w:ind w:left="180"/>
                        <w:jc w:val="left"/>
                        <w:rPr>
                          <w:sz w:val="18"/>
                          <w:szCs w:val="18"/>
                        </w:rPr>
                      </w:pPr>
                      <w:r>
                        <w:rPr>
                          <w:sz w:val="18"/>
                          <w:szCs w:val="18"/>
                        </w:rPr>
                        <w:t>[3]</w:t>
                      </w:r>
                      <w:r>
                        <w:rPr>
                          <w:sz w:val="18"/>
                          <w:szCs w:val="18"/>
                        </w:rPr>
                        <w:tab/>
                      </w:r>
                      <w:r w:rsidRPr="00DF3EA8">
                        <w:rPr>
                          <w:sz w:val="18"/>
                          <w:szCs w:val="18"/>
                        </w:rPr>
                        <w:t xml:space="preserve">REVISED: </w:t>
                      </w:r>
                      <w:r w:rsidR="00585B9E">
                        <w:rPr>
                          <w:sz w:val="18"/>
                          <w:szCs w:val="18"/>
                        </w:rPr>
                        <w:t>NO</w:t>
                      </w:r>
                    </w:p>
                    <w:p w14:paraId="362F64DC" w14:textId="77777777" w:rsidR="00DF3EA8" w:rsidRDefault="00DF3EA8" w:rsidP="00DF3EA8">
                      <w:pPr>
                        <w:spacing w:line="240" w:lineRule="auto"/>
                        <w:jc w:val="left"/>
                        <w:rPr>
                          <w:rFonts w:ascii="Century Gothic" w:hAnsi="Century Gothic"/>
                          <w:sz w:val="18"/>
                          <w:szCs w:val="18"/>
                        </w:rPr>
                      </w:pPr>
                    </w:p>
                    <w:p w14:paraId="533D1474" w14:textId="2277E9C9" w:rsidR="00DF3EA8" w:rsidRDefault="00DF3EA8" w:rsidP="00DF3EA8">
                      <w:pPr>
                        <w:spacing w:line="240" w:lineRule="auto"/>
                        <w:jc w:val="left"/>
                        <w:rPr>
                          <w:noProof/>
                          <w:color w:val="242121"/>
                          <w:lang w:eastAsia="en-ZA"/>
                        </w:rPr>
                      </w:pPr>
                    </w:p>
                    <w:p w14:paraId="6D507B9D" w14:textId="77777777" w:rsidR="00C75C23" w:rsidRDefault="00C75C23" w:rsidP="00DF3EA8">
                      <w:pPr>
                        <w:spacing w:line="240" w:lineRule="auto"/>
                        <w:jc w:val="left"/>
                        <w:rPr>
                          <w:rFonts w:ascii="Century Gothic" w:hAnsi="Century Gothic"/>
                          <w:sz w:val="18"/>
                          <w:szCs w:val="18"/>
                        </w:rPr>
                      </w:pPr>
                    </w:p>
                    <w:p w14:paraId="69467962" w14:textId="77777777" w:rsidR="00DF3EA8" w:rsidRDefault="00DF3EA8" w:rsidP="00DF3EA8">
                      <w:pPr>
                        <w:spacing w:line="240" w:lineRule="auto"/>
                        <w:jc w:val="left"/>
                        <w:rPr>
                          <w:rFonts w:ascii="Century Gothic" w:hAnsi="Century Gothic"/>
                          <w:sz w:val="18"/>
                          <w:szCs w:val="18"/>
                        </w:rPr>
                      </w:pPr>
                    </w:p>
                    <w:p w14:paraId="4FAB9D3C" w14:textId="60CBF659" w:rsidR="00DF3EA8" w:rsidRDefault="00DF3EA8" w:rsidP="00DF3EA8">
                      <w:pPr>
                        <w:tabs>
                          <w:tab w:val="left" w:pos="2835"/>
                        </w:tabs>
                        <w:ind w:right="-43"/>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t xml:space="preserve">DATE: </w:t>
                      </w:r>
                      <w:r w:rsidR="004411F8">
                        <w:rPr>
                          <w:sz w:val="18"/>
                          <w:szCs w:val="18"/>
                        </w:rPr>
                        <w:t>10</w:t>
                      </w:r>
                      <w:r w:rsidR="00585B9E">
                        <w:rPr>
                          <w:sz w:val="18"/>
                          <w:szCs w:val="18"/>
                        </w:rPr>
                        <w:t xml:space="preserve"> April 2024</w:t>
                      </w:r>
                    </w:p>
                    <w:p w14:paraId="05BBF193" w14:textId="77777777" w:rsidR="00DF3EA8" w:rsidRDefault="00DF3EA8" w:rsidP="00DF3EA8">
                      <w:pPr>
                        <w:rPr>
                          <w:rFonts w:ascii="Century Gothic" w:hAnsi="Century Gothic"/>
                          <w:b/>
                          <w:sz w:val="2"/>
                          <w:szCs w:val="18"/>
                        </w:rPr>
                      </w:pPr>
                    </w:p>
                  </w:txbxContent>
                </v:textbox>
                <w10:wrap anchorx="margin"/>
              </v:shape>
            </w:pict>
          </mc:Fallback>
        </mc:AlternateContent>
      </w:r>
      <w:r w:rsidR="00EC4349" w:rsidRPr="004646C4">
        <w:t>Case number:</w:t>
      </w:r>
      <w:r w:rsidR="00EC4349">
        <w:t xml:space="preserve"> </w:t>
      </w:r>
      <w:r w:rsidR="00BB3672">
        <w:t>2024-012921</w:t>
      </w:r>
    </w:p>
    <w:p w14:paraId="3CA13989" w14:textId="77777777" w:rsidR="00EC4349" w:rsidRPr="004646C4" w:rsidRDefault="00EC4349" w:rsidP="00DF3EA8">
      <w:pPr>
        <w:spacing w:line="360" w:lineRule="auto"/>
        <w:jc w:val="left"/>
        <w:rPr>
          <w:b/>
        </w:rPr>
      </w:pPr>
    </w:p>
    <w:p w14:paraId="10291304" w14:textId="77777777" w:rsidR="00EC4349" w:rsidRDefault="00EC4349" w:rsidP="00EC4349"/>
    <w:p w14:paraId="12CB368E" w14:textId="77777777" w:rsidR="00DF3EA8" w:rsidRDefault="00DF3EA8" w:rsidP="00EC4349"/>
    <w:p w14:paraId="18F89E9C" w14:textId="77777777" w:rsidR="00DF3EA8" w:rsidRDefault="00DF3EA8" w:rsidP="00EC4349"/>
    <w:p w14:paraId="14E982EB" w14:textId="77777777" w:rsidR="00DF3EA8" w:rsidRDefault="00DF3EA8" w:rsidP="00EC4349"/>
    <w:p w14:paraId="5D502658" w14:textId="77777777" w:rsidR="00F67D61" w:rsidRDefault="00F67D61" w:rsidP="00F67D61">
      <w:pPr>
        <w:tabs>
          <w:tab w:val="right" w:pos="8931"/>
        </w:tabs>
        <w:spacing w:line="360" w:lineRule="auto"/>
      </w:pPr>
      <w:r>
        <w:t xml:space="preserve">In the matter between: </w:t>
      </w:r>
    </w:p>
    <w:p w14:paraId="66DBE7EA" w14:textId="77777777" w:rsidR="00F67D61" w:rsidRDefault="00F67D61" w:rsidP="00F67D61">
      <w:pPr>
        <w:tabs>
          <w:tab w:val="right" w:pos="8931"/>
        </w:tabs>
        <w:spacing w:line="360" w:lineRule="auto"/>
      </w:pPr>
    </w:p>
    <w:p w14:paraId="1258BFE6" w14:textId="21A1B76A" w:rsidR="00F67D61" w:rsidRDefault="009C0D87" w:rsidP="00F67D61">
      <w:pPr>
        <w:tabs>
          <w:tab w:val="right" w:pos="8931"/>
        </w:tabs>
        <w:spacing w:line="240" w:lineRule="auto"/>
        <w:rPr>
          <w:b/>
          <w:spacing w:val="-3"/>
        </w:rPr>
      </w:pPr>
      <w:r>
        <w:rPr>
          <w:b/>
          <w:spacing w:val="-3"/>
        </w:rPr>
        <w:t>THULANI MAKHUBELA</w:t>
      </w:r>
      <w:r w:rsidR="00F67D61">
        <w:rPr>
          <w:b/>
          <w:spacing w:val="-3"/>
        </w:rPr>
        <w:tab/>
      </w:r>
      <w:r w:rsidR="00BB3672">
        <w:rPr>
          <w:bCs/>
          <w:spacing w:val="-3"/>
        </w:rPr>
        <w:t>Applicant</w:t>
      </w:r>
    </w:p>
    <w:p w14:paraId="71C6863C" w14:textId="77777777" w:rsidR="00F67D61" w:rsidRDefault="00F67D61" w:rsidP="00F67D61">
      <w:pPr>
        <w:tabs>
          <w:tab w:val="right" w:pos="8931"/>
        </w:tabs>
        <w:spacing w:line="360" w:lineRule="auto"/>
        <w:rPr>
          <w:bCs/>
          <w:spacing w:val="-3"/>
        </w:rPr>
      </w:pPr>
    </w:p>
    <w:p w14:paraId="6818A807" w14:textId="77777777" w:rsidR="00F67D61" w:rsidRDefault="00F67D61" w:rsidP="00F67D61">
      <w:pPr>
        <w:tabs>
          <w:tab w:val="right" w:pos="8931"/>
        </w:tabs>
        <w:spacing w:line="360" w:lineRule="auto"/>
        <w:rPr>
          <w:bCs/>
          <w:spacing w:val="-3"/>
        </w:rPr>
      </w:pPr>
      <w:r>
        <w:rPr>
          <w:bCs/>
          <w:spacing w:val="-3"/>
        </w:rPr>
        <w:t>and</w:t>
      </w:r>
    </w:p>
    <w:p w14:paraId="14F2F4AE" w14:textId="77777777" w:rsidR="00F67D61" w:rsidRDefault="00F67D61" w:rsidP="00F67D61">
      <w:pPr>
        <w:tabs>
          <w:tab w:val="right" w:pos="8931"/>
        </w:tabs>
        <w:spacing w:line="360" w:lineRule="auto"/>
        <w:rPr>
          <w:bCs/>
          <w:spacing w:val="-3"/>
        </w:rPr>
      </w:pPr>
    </w:p>
    <w:p w14:paraId="16C8D0A3" w14:textId="5BB3F3D6" w:rsidR="00F67D61" w:rsidRDefault="00BB3672" w:rsidP="00F67D61">
      <w:pPr>
        <w:tabs>
          <w:tab w:val="right" w:pos="8931"/>
        </w:tabs>
        <w:spacing w:line="240" w:lineRule="auto"/>
        <w:rPr>
          <w:bCs/>
          <w:spacing w:val="-3"/>
        </w:rPr>
      </w:pPr>
      <w:r>
        <w:rPr>
          <w:b/>
          <w:spacing w:val="-3"/>
        </w:rPr>
        <w:t xml:space="preserve">RETIRED JUSTICE </w:t>
      </w:r>
      <w:r w:rsidRPr="00BB3672">
        <w:rPr>
          <w:b/>
          <w:spacing w:val="-3"/>
        </w:rPr>
        <w:t>SISI</w:t>
      </w:r>
      <w:r>
        <w:rPr>
          <w:b/>
          <w:spacing w:val="-3"/>
        </w:rPr>
        <w:t xml:space="preserve"> VIRGINIA</w:t>
      </w:r>
      <w:r w:rsidRPr="00BB3672">
        <w:rPr>
          <w:b/>
          <w:spacing w:val="-3"/>
        </w:rPr>
        <w:t xml:space="preserve"> KHAMPEPE</w:t>
      </w:r>
      <w:r w:rsidR="00F67D61">
        <w:rPr>
          <w:bCs/>
          <w:spacing w:val="-3"/>
        </w:rPr>
        <w:tab/>
      </w:r>
      <w:r>
        <w:rPr>
          <w:bCs/>
          <w:spacing w:val="-3"/>
        </w:rPr>
        <w:t>First Respondent</w:t>
      </w:r>
    </w:p>
    <w:p w14:paraId="219E46AA" w14:textId="5009AD24" w:rsidR="00BB3672" w:rsidRDefault="00BB3672" w:rsidP="00F67D61">
      <w:pPr>
        <w:tabs>
          <w:tab w:val="right" w:pos="8931"/>
        </w:tabs>
        <w:spacing w:line="240" w:lineRule="auto"/>
        <w:rPr>
          <w:bCs/>
          <w:spacing w:val="-3"/>
        </w:rPr>
      </w:pPr>
    </w:p>
    <w:p w14:paraId="5A56E187" w14:textId="77777777" w:rsidR="00BB3672" w:rsidRPr="00BB3672" w:rsidRDefault="00BB3672" w:rsidP="00F67D61">
      <w:pPr>
        <w:tabs>
          <w:tab w:val="right" w:pos="8931"/>
        </w:tabs>
        <w:spacing w:line="240" w:lineRule="auto"/>
        <w:rPr>
          <w:b/>
          <w:spacing w:val="-3"/>
        </w:rPr>
      </w:pPr>
      <w:r w:rsidRPr="00BB3672">
        <w:rPr>
          <w:b/>
          <w:spacing w:val="-3"/>
        </w:rPr>
        <w:t xml:space="preserve">THE COMMISSION OF ENQUIRY INTO THE </w:t>
      </w:r>
    </w:p>
    <w:p w14:paraId="1E441F90" w14:textId="72F13AFF" w:rsidR="00BB3672" w:rsidRDefault="009C0D87" w:rsidP="00F67D61">
      <w:pPr>
        <w:tabs>
          <w:tab w:val="right" w:pos="8931"/>
        </w:tabs>
        <w:spacing w:line="240" w:lineRule="auto"/>
        <w:rPr>
          <w:bCs/>
          <w:spacing w:val="-3"/>
        </w:rPr>
      </w:pPr>
      <w:r w:rsidRPr="00BB3672">
        <w:rPr>
          <w:b/>
          <w:spacing w:val="-3"/>
        </w:rPr>
        <w:t>USINDISO BUILDING</w:t>
      </w:r>
      <w:r w:rsidR="00BB3672">
        <w:rPr>
          <w:bCs/>
          <w:spacing w:val="-3"/>
        </w:rPr>
        <w:tab/>
        <w:t>Second Respondent</w:t>
      </w:r>
    </w:p>
    <w:p w14:paraId="50873C62" w14:textId="6F246EFD" w:rsidR="00BB3672" w:rsidRDefault="00BB3672" w:rsidP="00F67D61">
      <w:pPr>
        <w:tabs>
          <w:tab w:val="right" w:pos="8931"/>
        </w:tabs>
        <w:spacing w:line="240" w:lineRule="auto"/>
        <w:rPr>
          <w:bCs/>
          <w:spacing w:val="-3"/>
        </w:rPr>
      </w:pPr>
    </w:p>
    <w:p w14:paraId="2522A44D" w14:textId="77777777" w:rsidR="00BB3672" w:rsidRPr="00BB3672" w:rsidRDefault="00BB3672" w:rsidP="00F67D61">
      <w:pPr>
        <w:tabs>
          <w:tab w:val="right" w:pos="8931"/>
        </w:tabs>
        <w:spacing w:line="240" w:lineRule="auto"/>
        <w:rPr>
          <w:b/>
          <w:spacing w:val="-3"/>
        </w:rPr>
      </w:pPr>
      <w:r w:rsidRPr="00BB3672">
        <w:rPr>
          <w:b/>
          <w:spacing w:val="-3"/>
        </w:rPr>
        <w:t>THE PREMIER OF THE GAUTENG PROVINCE,</w:t>
      </w:r>
    </w:p>
    <w:p w14:paraId="63C2D59F" w14:textId="7B16073D" w:rsidR="00BB3672" w:rsidRDefault="00BB3672" w:rsidP="00F67D61">
      <w:pPr>
        <w:tabs>
          <w:tab w:val="right" w:pos="8931"/>
        </w:tabs>
        <w:spacing w:line="240" w:lineRule="auto"/>
        <w:rPr>
          <w:bCs/>
          <w:spacing w:val="-3"/>
        </w:rPr>
      </w:pPr>
      <w:r w:rsidRPr="00BB3672">
        <w:rPr>
          <w:b/>
          <w:spacing w:val="-3"/>
        </w:rPr>
        <w:t>MR ANDREK (PANYAZA) LESUFI</w:t>
      </w:r>
      <w:r>
        <w:rPr>
          <w:bCs/>
          <w:spacing w:val="-3"/>
        </w:rPr>
        <w:tab/>
        <w:t>Third Respondent</w:t>
      </w:r>
    </w:p>
    <w:p w14:paraId="30F8C48C" w14:textId="77777777" w:rsidR="007B154B" w:rsidRDefault="007B154B" w:rsidP="00F67D61">
      <w:pPr>
        <w:tabs>
          <w:tab w:val="right" w:pos="8931"/>
        </w:tabs>
        <w:spacing w:line="360" w:lineRule="auto"/>
        <w:rPr>
          <w:lang w:val="en-GB"/>
        </w:rPr>
      </w:pPr>
    </w:p>
    <w:p w14:paraId="529905B3" w14:textId="77777777" w:rsidR="0049440F" w:rsidRPr="001B1F9D" w:rsidRDefault="0049440F" w:rsidP="00F67D61">
      <w:pPr>
        <w:pBdr>
          <w:top w:val="single" w:sz="4" w:space="1" w:color="auto"/>
        </w:pBdr>
        <w:spacing w:line="240" w:lineRule="auto"/>
      </w:pPr>
    </w:p>
    <w:p w14:paraId="537C91DF" w14:textId="66792D91" w:rsidR="0049440F" w:rsidRPr="003D1D1F" w:rsidRDefault="00334206" w:rsidP="00F67D61">
      <w:pPr>
        <w:spacing w:line="240" w:lineRule="auto"/>
        <w:jc w:val="center"/>
      </w:pPr>
      <w:r>
        <w:rPr>
          <w:b/>
        </w:rPr>
        <w:t>JUDGMENT</w:t>
      </w:r>
    </w:p>
    <w:p w14:paraId="6CF4FCCA" w14:textId="77777777" w:rsidR="0049440F" w:rsidRPr="001B1F9D" w:rsidRDefault="0049440F" w:rsidP="00F67D61">
      <w:pPr>
        <w:pBdr>
          <w:bottom w:val="single" w:sz="4" w:space="1" w:color="auto"/>
        </w:pBdr>
        <w:spacing w:line="240" w:lineRule="auto"/>
      </w:pPr>
    </w:p>
    <w:p w14:paraId="0D92B6FD" w14:textId="77777777" w:rsidR="0049440F" w:rsidRDefault="0049440F" w:rsidP="0049440F"/>
    <w:p w14:paraId="5082C713" w14:textId="77777777" w:rsidR="00334206" w:rsidRPr="00EC4349" w:rsidRDefault="00EC4349" w:rsidP="00870A5A">
      <w:pPr>
        <w:rPr>
          <w:b/>
          <w:bCs/>
          <w:u w:val="single"/>
        </w:rPr>
      </w:pPr>
      <w:r w:rsidRPr="00EC4349">
        <w:rPr>
          <w:b/>
          <w:bCs/>
          <w:u w:val="single"/>
        </w:rPr>
        <w:t>PULLINGER AJ</w:t>
      </w:r>
    </w:p>
    <w:p w14:paraId="441C0276" w14:textId="77777777" w:rsidR="00A54613" w:rsidRDefault="00A54613" w:rsidP="00870A5A"/>
    <w:p w14:paraId="64575D16" w14:textId="4FFC7471" w:rsidR="00F67D61" w:rsidRDefault="00D17347" w:rsidP="00D17347">
      <w:pPr>
        <w:pStyle w:val="NUM1"/>
        <w:numPr>
          <w:ilvl w:val="0"/>
          <w:numId w:val="0"/>
        </w:numPr>
        <w:tabs>
          <w:tab w:val="left" w:pos="720"/>
        </w:tabs>
        <w:spacing w:before="360" w:after="360"/>
        <w:ind w:left="720" w:hanging="720"/>
      </w:pPr>
      <w:r>
        <w:rPr>
          <w:caps/>
        </w:rPr>
        <w:lastRenderedPageBreak/>
        <w:t>[1]</w:t>
      </w:r>
      <w:r>
        <w:rPr>
          <w:caps/>
        </w:rPr>
        <w:tab/>
      </w:r>
      <w:r w:rsidR="00BB3672">
        <w:t>On 13 September 2023 the third respondent, acting in terms of section 2(1) of the Provincial Commissioners Act, 1997 read together with section 127(2)(e) of the Constitution</w:t>
      </w:r>
      <w:r w:rsidR="00361706">
        <w:t>,</w:t>
      </w:r>
      <w:r w:rsidR="00BB3672">
        <w:t xml:space="preserve"> </w:t>
      </w:r>
      <w:r w:rsidR="002B0DB5">
        <w:t xml:space="preserve">promulgated a notice </w:t>
      </w:r>
      <w:r w:rsidR="00BB3672">
        <w:t>establish</w:t>
      </w:r>
      <w:r w:rsidR="004A09AA">
        <w:t xml:space="preserve">ing </w:t>
      </w:r>
      <w:r w:rsidR="00BB3672">
        <w:t xml:space="preserve">a </w:t>
      </w:r>
      <w:r w:rsidR="00361706">
        <w:t>c</w:t>
      </w:r>
      <w:r w:rsidR="00BB3672">
        <w:t xml:space="preserve">ommission of </w:t>
      </w:r>
      <w:r w:rsidR="00361706">
        <w:t>e</w:t>
      </w:r>
      <w:r w:rsidR="00BB3672">
        <w:t>nquiry</w:t>
      </w:r>
      <w:r w:rsidR="00544314">
        <w:t xml:space="preserve"> (“</w:t>
      </w:r>
      <w:r w:rsidR="00544314" w:rsidRPr="00544314">
        <w:rPr>
          <w:b/>
          <w:bCs/>
        </w:rPr>
        <w:t>the Commission</w:t>
      </w:r>
      <w:r w:rsidR="00544314">
        <w:t>”)</w:t>
      </w:r>
      <w:r w:rsidR="00BB3672">
        <w:t xml:space="preserve"> into the circumstances of the deaths of various people at the </w:t>
      </w:r>
      <w:r w:rsidR="00BB3672" w:rsidRPr="00BB3672">
        <w:t>Usindiso Building</w:t>
      </w:r>
      <w:r w:rsidR="00BB3672">
        <w:t xml:space="preserve"> in Johannesburg.</w:t>
      </w:r>
    </w:p>
    <w:p w14:paraId="53A67202" w14:textId="75A4D7EC" w:rsidR="00BB3672" w:rsidRDefault="00D17347" w:rsidP="00D17347">
      <w:pPr>
        <w:pStyle w:val="NUM1"/>
        <w:numPr>
          <w:ilvl w:val="0"/>
          <w:numId w:val="0"/>
        </w:numPr>
        <w:tabs>
          <w:tab w:val="left" w:pos="720"/>
        </w:tabs>
        <w:spacing w:before="360" w:after="360"/>
        <w:ind w:left="720" w:hanging="720"/>
      </w:pPr>
      <w:r>
        <w:rPr>
          <w:caps/>
        </w:rPr>
        <w:t>[2]</w:t>
      </w:r>
      <w:r>
        <w:rPr>
          <w:caps/>
        </w:rPr>
        <w:tab/>
      </w:r>
      <w:r w:rsidR="00BB3672">
        <w:t>The first respondent was appointed by the third respondent as the Chairperson of the Commission</w:t>
      </w:r>
      <w:r w:rsidR="003F23FE">
        <w:t xml:space="preserve"> and the</w:t>
      </w:r>
      <w:r w:rsidR="00BB3672">
        <w:t xml:space="preserve"> applicant and Ms B</w:t>
      </w:r>
      <w:r w:rsidR="00091A74">
        <w:t>.</w:t>
      </w:r>
      <w:r w:rsidR="00BB3672">
        <w:t>M</w:t>
      </w:r>
      <w:r w:rsidR="00091A74">
        <w:t>.</w:t>
      </w:r>
      <w:r w:rsidR="00BB3672">
        <w:t> Mabena were appointed</w:t>
      </w:r>
      <w:r w:rsidR="00091A74">
        <w:t xml:space="preserve"> as</w:t>
      </w:r>
      <w:r w:rsidR="00BB3672">
        <w:t xml:space="preserve"> additional members.</w:t>
      </w:r>
    </w:p>
    <w:p w14:paraId="50A70B8E" w14:textId="182C46CD" w:rsidR="00BB3672" w:rsidRDefault="00D17347" w:rsidP="00D17347">
      <w:pPr>
        <w:pStyle w:val="NUM1"/>
        <w:numPr>
          <w:ilvl w:val="0"/>
          <w:numId w:val="0"/>
        </w:numPr>
        <w:tabs>
          <w:tab w:val="left" w:pos="720"/>
        </w:tabs>
        <w:spacing w:before="360" w:after="360"/>
        <w:ind w:left="720" w:hanging="720"/>
      </w:pPr>
      <w:r>
        <w:rPr>
          <w:caps/>
        </w:rPr>
        <w:t>[3]</w:t>
      </w:r>
      <w:r>
        <w:rPr>
          <w:caps/>
        </w:rPr>
        <w:tab/>
      </w:r>
      <w:r w:rsidR="00BB3672">
        <w:t>In or about October 2023, the Socio</w:t>
      </w:r>
      <w:r w:rsidR="00BB3672">
        <w:noBreakHyphen/>
        <w:t>Economic</w:t>
      </w:r>
      <w:r w:rsidR="002F494F">
        <w:t xml:space="preserve"> Rights Institute of South Africa (</w:t>
      </w:r>
      <w:r w:rsidR="00840992">
        <w:t>"</w:t>
      </w:r>
      <w:r w:rsidR="002F494F" w:rsidRPr="002F494F">
        <w:rPr>
          <w:b/>
          <w:bCs/>
        </w:rPr>
        <w:t>SERI</w:t>
      </w:r>
      <w:r w:rsidR="00840992">
        <w:t>"</w:t>
      </w:r>
      <w:r w:rsidR="002F494F">
        <w:t xml:space="preserve">) </w:t>
      </w:r>
      <w:r w:rsidR="00020976">
        <w:t xml:space="preserve">and the Inner City </w:t>
      </w:r>
      <w:r w:rsidR="00361706">
        <w:t>F</w:t>
      </w:r>
      <w:r w:rsidR="00020976">
        <w:t>ederation (</w:t>
      </w:r>
      <w:r w:rsidR="00840992">
        <w:t>"</w:t>
      </w:r>
      <w:r w:rsidR="00020976" w:rsidRPr="00020976">
        <w:rPr>
          <w:b/>
          <w:bCs/>
        </w:rPr>
        <w:t>ICF</w:t>
      </w:r>
      <w:r w:rsidR="00840992">
        <w:t>"</w:t>
      </w:r>
      <w:r w:rsidR="00020976">
        <w:t xml:space="preserve">) </w:t>
      </w:r>
      <w:r w:rsidR="002F494F">
        <w:t xml:space="preserve">applied for the recusal of the applicant as an additional member of the Commission. The grounds upon which the applicant's recusal was sought is not material to this </w:t>
      </w:r>
      <w:r w:rsidR="00585B9E">
        <w:t>judgment</w:t>
      </w:r>
      <w:r w:rsidR="002F494F">
        <w:t>.</w:t>
      </w:r>
    </w:p>
    <w:p w14:paraId="4FEDBC88" w14:textId="2A9B056F" w:rsidR="00361706" w:rsidRDefault="00D17347" w:rsidP="00D17347">
      <w:pPr>
        <w:pStyle w:val="NUM1"/>
        <w:numPr>
          <w:ilvl w:val="0"/>
          <w:numId w:val="0"/>
        </w:numPr>
        <w:tabs>
          <w:tab w:val="left" w:pos="720"/>
        </w:tabs>
        <w:spacing w:before="360" w:after="360"/>
        <w:ind w:left="720" w:hanging="720"/>
      </w:pPr>
      <w:r>
        <w:rPr>
          <w:caps/>
        </w:rPr>
        <w:t>[4]</w:t>
      </w:r>
      <w:r>
        <w:rPr>
          <w:caps/>
        </w:rPr>
        <w:tab/>
      </w:r>
      <w:r w:rsidR="002F494F">
        <w:t xml:space="preserve">On 20 December 2023 the first respondent </w:t>
      </w:r>
      <w:r w:rsidR="00585B9E">
        <w:t>granted</w:t>
      </w:r>
      <w:r w:rsidR="002F494F">
        <w:t xml:space="preserve"> the application for the applicant's recusal.</w:t>
      </w:r>
      <w:r w:rsidR="00585B9E">
        <w:t xml:space="preserve"> </w:t>
      </w:r>
    </w:p>
    <w:p w14:paraId="79C0DADA" w14:textId="033886E1" w:rsidR="002F494F" w:rsidRDefault="00D17347" w:rsidP="00D17347">
      <w:pPr>
        <w:pStyle w:val="NUM1"/>
        <w:numPr>
          <w:ilvl w:val="0"/>
          <w:numId w:val="0"/>
        </w:numPr>
        <w:tabs>
          <w:tab w:val="left" w:pos="720"/>
        </w:tabs>
        <w:spacing w:before="360" w:after="360"/>
        <w:ind w:left="720" w:hanging="720"/>
      </w:pPr>
      <w:r>
        <w:rPr>
          <w:caps/>
        </w:rPr>
        <w:t>[5]</w:t>
      </w:r>
      <w:r>
        <w:rPr>
          <w:caps/>
        </w:rPr>
        <w:tab/>
      </w:r>
      <w:r w:rsidR="00585B9E">
        <w:t>The applicant now applies to review and set aside that decision</w:t>
      </w:r>
      <w:r w:rsidR="00020976">
        <w:t xml:space="preserve"> and seeks the removal of Mr Semenya SC as evidence leader</w:t>
      </w:r>
      <w:r w:rsidR="00585B9E">
        <w:t>. Again, the grounds upon which this relief is claimed</w:t>
      </w:r>
      <w:r w:rsidR="008B55F7">
        <w:t>,</w:t>
      </w:r>
      <w:r w:rsidR="00585B9E">
        <w:t xml:space="preserve"> is not material to this judgment.</w:t>
      </w:r>
    </w:p>
    <w:p w14:paraId="06F4638F" w14:textId="78878CFC" w:rsidR="00020976" w:rsidRDefault="00D17347" w:rsidP="00D17347">
      <w:pPr>
        <w:pStyle w:val="NUM1"/>
        <w:numPr>
          <w:ilvl w:val="0"/>
          <w:numId w:val="0"/>
        </w:numPr>
        <w:tabs>
          <w:tab w:val="left" w:pos="720"/>
        </w:tabs>
        <w:spacing w:before="360" w:after="360"/>
        <w:ind w:left="720" w:hanging="720"/>
      </w:pPr>
      <w:r>
        <w:rPr>
          <w:caps/>
        </w:rPr>
        <w:t>[6]</w:t>
      </w:r>
      <w:r>
        <w:rPr>
          <w:caps/>
        </w:rPr>
        <w:tab/>
      </w:r>
      <w:r w:rsidR="007E3FD8">
        <w:t>Mr Semenya was not cited in t</w:t>
      </w:r>
      <w:r w:rsidR="00020976">
        <w:t>h</w:t>
      </w:r>
      <w:r w:rsidR="0019509D">
        <w:t>is</w:t>
      </w:r>
      <w:r w:rsidR="00020976">
        <w:t xml:space="preserve"> application </w:t>
      </w:r>
      <w:r w:rsidR="007E3FD8">
        <w:t>and the prayer for his removal</w:t>
      </w:r>
      <w:r w:rsidR="00020976">
        <w:t xml:space="preserve"> was </w:t>
      </w:r>
      <w:r w:rsidR="007E3FD8">
        <w:t xml:space="preserve">correctly </w:t>
      </w:r>
      <w:r w:rsidR="00020976">
        <w:t>abandoned</w:t>
      </w:r>
      <w:r w:rsidR="007E3FD8">
        <w:t xml:space="preserve"> prior to the hearing of this matter</w:t>
      </w:r>
      <w:r w:rsidR="00020976">
        <w:t>.</w:t>
      </w:r>
    </w:p>
    <w:p w14:paraId="3FA1B2D0" w14:textId="07F26133" w:rsidR="00020976" w:rsidRDefault="00D17347" w:rsidP="00D17347">
      <w:pPr>
        <w:pStyle w:val="NUM1"/>
        <w:numPr>
          <w:ilvl w:val="0"/>
          <w:numId w:val="0"/>
        </w:numPr>
        <w:tabs>
          <w:tab w:val="left" w:pos="720"/>
        </w:tabs>
        <w:spacing w:before="360" w:after="360"/>
        <w:ind w:left="720" w:hanging="720"/>
      </w:pPr>
      <w:r>
        <w:rPr>
          <w:caps/>
        </w:rPr>
        <w:t>[7]</w:t>
      </w:r>
      <w:r>
        <w:rPr>
          <w:caps/>
        </w:rPr>
        <w:tab/>
      </w:r>
      <w:r w:rsidR="002F494F">
        <w:t xml:space="preserve">The </w:t>
      </w:r>
      <w:r w:rsidR="00020976">
        <w:t xml:space="preserve">main </w:t>
      </w:r>
      <w:r w:rsidR="002F494F">
        <w:t>point of contention</w:t>
      </w:r>
      <w:r w:rsidR="00585B9E">
        <w:t xml:space="preserve"> before me</w:t>
      </w:r>
      <w:r w:rsidR="002F494F">
        <w:t xml:space="preserve"> </w:t>
      </w:r>
      <w:r w:rsidR="00020976">
        <w:t>wa</w:t>
      </w:r>
      <w:r w:rsidR="002F494F">
        <w:t xml:space="preserve">s </w:t>
      </w:r>
      <w:r w:rsidR="007E3FD8">
        <w:t>that</w:t>
      </w:r>
      <w:r w:rsidR="00585B9E">
        <w:t xml:space="preserve"> of</w:t>
      </w:r>
      <w:r w:rsidR="007E3FD8">
        <w:t xml:space="preserve"> the</w:t>
      </w:r>
      <w:r w:rsidR="00585B9E">
        <w:t xml:space="preserve"> </w:t>
      </w:r>
      <w:r w:rsidR="00361706">
        <w:t>non-</w:t>
      </w:r>
      <w:r w:rsidR="00585B9E">
        <w:t xml:space="preserve">joinder of SERI </w:t>
      </w:r>
      <w:r w:rsidR="00020976">
        <w:t xml:space="preserve">and ICF </w:t>
      </w:r>
      <w:r w:rsidR="00585B9E">
        <w:t>as necessary part</w:t>
      </w:r>
      <w:r w:rsidR="00020976">
        <w:t>ies</w:t>
      </w:r>
      <w:r w:rsidR="00585B9E">
        <w:t>.</w:t>
      </w:r>
      <w:r w:rsidR="00020976">
        <w:t xml:space="preserve"> </w:t>
      </w:r>
    </w:p>
    <w:p w14:paraId="12AF8FFD" w14:textId="1BD2FAF6" w:rsidR="007E3FD8" w:rsidRDefault="00D17347" w:rsidP="00D17347">
      <w:pPr>
        <w:pStyle w:val="NUM1"/>
        <w:numPr>
          <w:ilvl w:val="0"/>
          <w:numId w:val="0"/>
        </w:numPr>
        <w:tabs>
          <w:tab w:val="left" w:pos="720"/>
        </w:tabs>
        <w:spacing w:before="360" w:after="360"/>
        <w:ind w:left="720" w:hanging="720"/>
      </w:pPr>
      <w:r>
        <w:rPr>
          <w:caps/>
        </w:rPr>
        <w:lastRenderedPageBreak/>
        <w:t>[8]</w:t>
      </w:r>
      <w:r>
        <w:rPr>
          <w:caps/>
        </w:rPr>
        <w:tab/>
      </w:r>
      <w:r w:rsidR="007E3FD8">
        <w:t xml:space="preserve">It was argued by Ms Qofa, on behalf of the applicant, that SERI </w:t>
      </w:r>
      <w:r w:rsidR="00E338E5">
        <w:t xml:space="preserve">and ICF </w:t>
      </w:r>
      <w:r w:rsidR="007E3FD8">
        <w:t>only sought the recusal of the applicant in respect of Part A of the Commission's work whereas the first respondent's ruling has the effect of recusing the applicant for the entirety of the Commission. It was thus contended that neither SERI nor ICF have an</w:t>
      </w:r>
      <w:r w:rsidR="002046A6">
        <w:t>y</w:t>
      </w:r>
      <w:r w:rsidR="007E3FD8">
        <w:t xml:space="preserve"> interest in the outcome of the applicant’s review. I am unable to agree with this proposition.</w:t>
      </w:r>
      <w:r w:rsidR="00E338E5">
        <w:t xml:space="preserve"> SERI and ICF</w:t>
      </w:r>
      <w:r w:rsidR="000A709F">
        <w:t>, as representatives</w:t>
      </w:r>
      <w:r w:rsidR="005B74FB">
        <w:t xml:space="preserve"> before the Commission</w:t>
      </w:r>
      <w:r w:rsidR="000A709F">
        <w:t>,</w:t>
      </w:r>
      <w:r w:rsidR="00E338E5">
        <w:t xml:space="preserve"> obtained an order, rightly or wrongly, </w:t>
      </w:r>
      <w:r w:rsidR="008F4C03">
        <w:t>in the interests of th</w:t>
      </w:r>
      <w:r w:rsidR="005B74FB">
        <w:t xml:space="preserve">eir members, however, </w:t>
      </w:r>
      <w:r w:rsidR="008F4C03">
        <w:t>they are not before th</w:t>
      </w:r>
      <w:r w:rsidR="00361706">
        <w:t>e</w:t>
      </w:r>
      <w:r w:rsidR="008F4C03">
        <w:t xml:space="preserve"> Court</w:t>
      </w:r>
      <w:r w:rsidR="00361706">
        <w:t xml:space="preserve"> in the review</w:t>
      </w:r>
      <w:r w:rsidR="008F4C03">
        <w:t xml:space="preserve">. </w:t>
      </w:r>
    </w:p>
    <w:p w14:paraId="76EE727A" w14:textId="6DA987FE" w:rsidR="007E3FD8" w:rsidRDefault="00D17347" w:rsidP="00D17347">
      <w:pPr>
        <w:pStyle w:val="NUM1"/>
        <w:numPr>
          <w:ilvl w:val="0"/>
          <w:numId w:val="0"/>
        </w:numPr>
        <w:tabs>
          <w:tab w:val="left" w:pos="720"/>
        </w:tabs>
        <w:spacing w:before="360" w:after="360"/>
        <w:ind w:left="720" w:hanging="720"/>
      </w:pPr>
      <w:r>
        <w:rPr>
          <w:caps/>
        </w:rPr>
        <w:t>[9]</w:t>
      </w:r>
      <w:r>
        <w:rPr>
          <w:caps/>
        </w:rPr>
        <w:tab/>
      </w:r>
      <w:r w:rsidR="007E3FD8">
        <w:t>It is the most fundamental principle of our rules of natural justice that a p</w:t>
      </w:r>
      <w:r w:rsidR="008F4C03">
        <w:t>erson or entity</w:t>
      </w:r>
      <w:r w:rsidR="007E3FD8">
        <w:t xml:space="preserve"> against whom a decision may be given, or whose interests stand to be detrimentally affected by a decision, must be afforded notice</w:t>
      </w:r>
      <w:r w:rsidR="00680512">
        <w:t xml:space="preserve"> thereof </w:t>
      </w:r>
      <w:r w:rsidR="007E3FD8">
        <w:t>and an opportunity to state its case.</w:t>
      </w:r>
      <w:r w:rsidR="008F4C03">
        <w:t xml:space="preserve">  This is </w:t>
      </w:r>
      <w:r w:rsidR="00361706">
        <w:t>the</w:t>
      </w:r>
      <w:r w:rsidR="008F4C03">
        <w:t xml:space="preserve"> </w:t>
      </w:r>
      <w:r w:rsidR="008F4C03" w:rsidRPr="008F4C03">
        <w:rPr>
          <w:i/>
          <w:iCs/>
        </w:rPr>
        <w:t>audi alteram partem</w:t>
      </w:r>
      <w:r w:rsidR="00361706">
        <w:rPr>
          <w:i/>
          <w:iCs/>
        </w:rPr>
        <w:t xml:space="preserve"> </w:t>
      </w:r>
      <w:r w:rsidR="00361706">
        <w:t>doctrine</w:t>
      </w:r>
      <w:r w:rsidR="008F4C03">
        <w:t>.</w:t>
      </w:r>
    </w:p>
    <w:p w14:paraId="08110E7F" w14:textId="373454E4" w:rsidR="007E3FD8" w:rsidRDefault="00D17347" w:rsidP="00D17347">
      <w:pPr>
        <w:pStyle w:val="NUM1"/>
        <w:numPr>
          <w:ilvl w:val="0"/>
          <w:numId w:val="0"/>
        </w:numPr>
        <w:tabs>
          <w:tab w:val="left" w:pos="720"/>
        </w:tabs>
        <w:spacing w:before="360" w:after="360"/>
        <w:ind w:left="720" w:hanging="720"/>
      </w:pPr>
      <w:r>
        <w:rPr>
          <w:caps/>
        </w:rPr>
        <w:t>[10]</w:t>
      </w:r>
      <w:r>
        <w:rPr>
          <w:caps/>
        </w:rPr>
        <w:tab/>
      </w:r>
      <w:r w:rsidR="007E3FD8">
        <w:t xml:space="preserve">The origins of this salutary rule are </w:t>
      </w:r>
      <w:r w:rsidR="00C850D9">
        <w:t xml:space="preserve">well established. </w:t>
      </w:r>
      <w:r w:rsidR="007E3FD8">
        <w:t xml:space="preserve">In </w:t>
      </w:r>
      <w:r w:rsidR="007E3FD8" w:rsidRPr="00292498">
        <w:rPr>
          <w:b/>
          <w:bCs/>
        </w:rPr>
        <w:t>Blom</w:t>
      </w:r>
      <w:r w:rsidR="007E3FD8">
        <w:rPr>
          <w:rStyle w:val="FootnoteReference"/>
        </w:rPr>
        <w:footnoteReference w:id="1"/>
      </w:r>
      <w:r w:rsidR="007E3FD8">
        <w:t xml:space="preserve"> </w:t>
      </w:r>
      <w:r w:rsidR="007E3FD8" w:rsidRPr="00292498">
        <w:t>Corbett JA</w:t>
      </w:r>
      <w:r w:rsidR="007E3FD8">
        <w:t xml:space="preserve">, as he then was, </w:t>
      </w:r>
      <w:r w:rsidR="002E142C">
        <w:t xml:space="preserve">while </w:t>
      </w:r>
      <w:r w:rsidR="007E3FD8">
        <w:t xml:space="preserve">dealing with the right to </w:t>
      </w:r>
      <w:r w:rsidR="007E3FD8" w:rsidRPr="00020976">
        <w:rPr>
          <w:i/>
          <w:iCs/>
        </w:rPr>
        <w:t>audi alteram partem</w:t>
      </w:r>
      <w:r w:rsidR="007E3FD8">
        <w:t xml:space="preserve"> in the context of a statute that vested a public official with the power to give a decision adverse to the property or liberty of an individual, said:</w:t>
      </w:r>
    </w:p>
    <w:p w14:paraId="0A2185F8" w14:textId="53E8F3AF" w:rsidR="007E3FD8" w:rsidRDefault="00840992" w:rsidP="0061020E">
      <w:pPr>
        <w:spacing w:before="360" w:after="360" w:line="360" w:lineRule="auto"/>
        <w:ind w:left="1134"/>
        <w:rPr>
          <w:sz w:val="20"/>
          <w:szCs w:val="20"/>
        </w:rPr>
      </w:pPr>
      <w:r>
        <w:rPr>
          <w:sz w:val="20"/>
          <w:szCs w:val="20"/>
        </w:rPr>
        <w:t>"</w:t>
      </w:r>
      <w:r w:rsidR="007E3FD8" w:rsidRPr="00020976">
        <w:rPr>
          <w:sz w:val="20"/>
          <w:szCs w:val="20"/>
        </w:rPr>
        <w:t>The maxim</w:t>
      </w:r>
      <w:r w:rsidR="007E3FD8" w:rsidRPr="00020976">
        <w:rPr>
          <w:rStyle w:val="apple-converted-space"/>
          <w:sz w:val="20"/>
          <w:szCs w:val="20"/>
        </w:rPr>
        <w:t> </w:t>
      </w:r>
      <w:r w:rsidR="007E3FD8" w:rsidRPr="00020976">
        <w:rPr>
          <w:i/>
          <w:iCs/>
          <w:sz w:val="20"/>
          <w:szCs w:val="20"/>
        </w:rPr>
        <w:t>audi alteram partem</w:t>
      </w:r>
      <w:r w:rsidR="007E3FD8" w:rsidRPr="00020976">
        <w:rPr>
          <w:rStyle w:val="apple-converted-space"/>
          <w:sz w:val="20"/>
          <w:szCs w:val="20"/>
        </w:rPr>
        <w:t> </w:t>
      </w:r>
      <w:r w:rsidR="007E3FD8" w:rsidRPr="00020976">
        <w:rPr>
          <w:sz w:val="20"/>
          <w:szCs w:val="20"/>
        </w:rPr>
        <w:t>pithily expresses a principle of natural justice which is part of our law (see</w:t>
      </w:r>
      <w:r w:rsidR="007E3FD8" w:rsidRPr="00020976">
        <w:rPr>
          <w:rStyle w:val="apple-converted-space"/>
          <w:sz w:val="20"/>
          <w:szCs w:val="20"/>
        </w:rPr>
        <w:t> </w:t>
      </w:r>
      <w:r w:rsidR="007E3FD8" w:rsidRPr="00020976">
        <w:rPr>
          <w:i/>
          <w:iCs/>
          <w:sz w:val="20"/>
          <w:szCs w:val="20"/>
        </w:rPr>
        <w:t>Perumal and Another v Minister of Public Health and Others</w:t>
      </w:r>
      <w:r w:rsidR="007E3FD8" w:rsidRPr="00020976">
        <w:rPr>
          <w:sz w:val="20"/>
          <w:szCs w:val="20"/>
        </w:rPr>
        <w:t> </w:t>
      </w:r>
      <w:r w:rsidR="007E3FD8" w:rsidRPr="00840992">
        <w:rPr>
          <w:sz w:val="20"/>
          <w:szCs w:val="20"/>
          <w:bdr w:val="none" w:sz="0" w:space="0" w:color="auto" w:frame="1"/>
        </w:rPr>
        <w:t>1950 (1) SA 631 (A)</w:t>
      </w:r>
      <w:r w:rsidR="007E3FD8" w:rsidRPr="00020976">
        <w:rPr>
          <w:rStyle w:val="apple-converted-space"/>
          <w:sz w:val="20"/>
          <w:szCs w:val="20"/>
        </w:rPr>
        <w:t> </w:t>
      </w:r>
      <w:r w:rsidR="007E3FD8" w:rsidRPr="00020976">
        <w:rPr>
          <w:sz w:val="20"/>
          <w:szCs w:val="20"/>
        </w:rPr>
        <w:t>at 640;</w:t>
      </w:r>
      <w:r w:rsidR="007E3FD8" w:rsidRPr="00020976">
        <w:rPr>
          <w:rStyle w:val="apple-converted-space"/>
          <w:sz w:val="20"/>
          <w:szCs w:val="20"/>
        </w:rPr>
        <w:t> </w:t>
      </w:r>
      <w:r w:rsidR="007E3FD8" w:rsidRPr="00020976">
        <w:rPr>
          <w:i/>
          <w:iCs/>
          <w:sz w:val="20"/>
          <w:szCs w:val="20"/>
        </w:rPr>
        <w:t>Pretoria City Council v Modimola</w:t>
      </w:r>
      <w:r w:rsidR="007E3FD8" w:rsidRPr="00020976">
        <w:rPr>
          <w:sz w:val="20"/>
          <w:szCs w:val="20"/>
        </w:rPr>
        <w:t> </w:t>
      </w:r>
      <w:r w:rsidR="007E3FD8" w:rsidRPr="00840992">
        <w:rPr>
          <w:sz w:val="20"/>
          <w:szCs w:val="20"/>
          <w:bdr w:val="none" w:sz="0" w:space="0" w:color="auto" w:frame="1"/>
        </w:rPr>
        <w:t>1966 (3) SA 250 (A)</w:t>
      </w:r>
      <w:r w:rsidR="007E3FD8" w:rsidRPr="00020976">
        <w:rPr>
          <w:rStyle w:val="apple-converted-space"/>
          <w:sz w:val="20"/>
          <w:szCs w:val="20"/>
        </w:rPr>
        <w:t> </w:t>
      </w:r>
      <w:r w:rsidR="007E3FD8" w:rsidRPr="00020976">
        <w:rPr>
          <w:sz w:val="20"/>
          <w:szCs w:val="20"/>
        </w:rPr>
        <w:t>at 261C;</w:t>
      </w:r>
      <w:r w:rsidR="007E3FD8" w:rsidRPr="00020976">
        <w:rPr>
          <w:rStyle w:val="apple-converted-space"/>
          <w:sz w:val="20"/>
          <w:szCs w:val="20"/>
        </w:rPr>
        <w:t> </w:t>
      </w:r>
      <w:r w:rsidR="007E3FD8" w:rsidRPr="00020976">
        <w:rPr>
          <w:i/>
          <w:iCs/>
          <w:sz w:val="20"/>
          <w:szCs w:val="20"/>
        </w:rPr>
        <w:t>S v Moroka en Andere</w:t>
      </w:r>
      <w:r w:rsidR="007E3FD8" w:rsidRPr="00020976">
        <w:rPr>
          <w:sz w:val="20"/>
          <w:szCs w:val="20"/>
        </w:rPr>
        <w:t> </w:t>
      </w:r>
      <w:r w:rsidR="007E3FD8" w:rsidRPr="00840992">
        <w:rPr>
          <w:sz w:val="20"/>
          <w:szCs w:val="20"/>
          <w:bdr w:val="none" w:sz="0" w:space="0" w:color="auto" w:frame="1"/>
        </w:rPr>
        <w:t>1969 (2) SA 394 (A)</w:t>
      </w:r>
      <w:r w:rsidR="007E3FD8" w:rsidRPr="00020976">
        <w:rPr>
          <w:rStyle w:val="apple-converted-space"/>
          <w:sz w:val="20"/>
          <w:szCs w:val="20"/>
        </w:rPr>
        <w:t> </w:t>
      </w:r>
      <w:r w:rsidR="007E3FD8" w:rsidRPr="00020976">
        <w:rPr>
          <w:sz w:val="20"/>
          <w:szCs w:val="20"/>
        </w:rPr>
        <w:t xml:space="preserve">at 398B). It has ancient origins. When </w:t>
      </w:r>
      <w:r w:rsidR="009B437E" w:rsidRPr="00020976">
        <w:rPr>
          <w:sz w:val="20"/>
          <w:szCs w:val="20"/>
        </w:rPr>
        <w:t>Nicodemus, the</w:t>
      </w:r>
      <w:r w:rsidR="007E3FD8" w:rsidRPr="00020976">
        <w:rPr>
          <w:sz w:val="20"/>
          <w:szCs w:val="20"/>
        </w:rPr>
        <w:t xml:space="preserve"> Pharisee, asked:</w:t>
      </w:r>
    </w:p>
    <w:p w14:paraId="52BB5B43" w14:textId="38A7E205" w:rsidR="007E3FD8" w:rsidRDefault="007E3FD8" w:rsidP="0061020E">
      <w:pPr>
        <w:spacing w:before="360" w:after="360" w:line="360" w:lineRule="auto"/>
        <w:ind w:left="1418"/>
        <w:rPr>
          <w:sz w:val="20"/>
          <w:szCs w:val="20"/>
        </w:rPr>
      </w:pPr>
      <w:r w:rsidRPr="00020976">
        <w:rPr>
          <w:sz w:val="20"/>
          <w:szCs w:val="20"/>
        </w:rPr>
        <w:t>'Does our law permit us to pass judgment on a man unless we have first given him a hearing and learned the facts?'</w:t>
      </w:r>
    </w:p>
    <w:p w14:paraId="0377C98B" w14:textId="5EE46A64" w:rsidR="007E3FD8" w:rsidRPr="00020976" w:rsidRDefault="007E3FD8" w:rsidP="0061020E">
      <w:pPr>
        <w:spacing w:before="360" w:after="360" w:line="360" w:lineRule="auto"/>
        <w:ind w:left="1134"/>
        <w:rPr>
          <w:sz w:val="20"/>
          <w:szCs w:val="20"/>
        </w:rPr>
      </w:pPr>
      <w:r w:rsidRPr="00020976">
        <w:rPr>
          <w:sz w:val="20"/>
          <w:szCs w:val="20"/>
        </w:rPr>
        <w:lastRenderedPageBreak/>
        <w:t>he was obviously speaking rhetorically. (See</w:t>
      </w:r>
      <w:r w:rsidRPr="00020976">
        <w:rPr>
          <w:rStyle w:val="apple-converted-space"/>
          <w:sz w:val="20"/>
          <w:szCs w:val="20"/>
        </w:rPr>
        <w:t> </w:t>
      </w:r>
      <w:r w:rsidRPr="00020976">
        <w:rPr>
          <w:i/>
          <w:iCs/>
          <w:sz w:val="20"/>
          <w:szCs w:val="20"/>
        </w:rPr>
        <w:t>New English Bible</w:t>
      </w:r>
      <w:r w:rsidRPr="00020976">
        <w:rPr>
          <w:sz w:val="20"/>
          <w:szCs w:val="20"/>
        </w:rPr>
        <w:t>, John vii.51.) The principle (which for the sake of brevity I shall call 'the audi principle') has been variously formulated by this Court. In</w:t>
      </w:r>
      <w:r w:rsidRPr="00020976">
        <w:rPr>
          <w:rStyle w:val="apple-converted-space"/>
          <w:sz w:val="20"/>
          <w:szCs w:val="20"/>
        </w:rPr>
        <w:t> </w:t>
      </w:r>
      <w:r w:rsidRPr="00020976">
        <w:rPr>
          <w:i/>
          <w:iCs/>
          <w:sz w:val="20"/>
          <w:szCs w:val="20"/>
        </w:rPr>
        <w:t>R v Ngwevela</w:t>
      </w:r>
      <w:r w:rsidRPr="00020976">
        <w:rPr>
          <w:sz w:val="20"/>
          <w:szCs w:val="20"/>
        </w:rPr>
        <w:t> </w:t>
      </w:r>
      <w:r w:rsidRPr="00840992">
        <w:rPr>
          <w:sz w:val="20"/>
          <w:szCs w:val="20"/>
          <w:bdr w:val="none" w:sz="0" w:space="0" w:color="auto" w:frame="1"/>
        </w:rPr>
        <w:t>1954 (1) SA 123 (A)</w:t>
      </w:r>
      <w:r w:rsidRPr="00020976">
        <w:rPr>
          <w:rStyle w:val="apple-converted-space"/>
          <w:sz w:val="20"/>
          <w:szCs w:val="20"/>
        </w:rPr>
        <w:t> </w:t>
      </w:r>
      <w:r w:rsidRPr="00020976">
        <w:rPr>
          <w:sz w:val="20"/>
          <w:szCs w:val="20"/>
        </w:rPr>
        <w:t>Centlivres CJ referred (at 127F) to</w:t>
      </w:r>
    </w:p>
    <w:p w14:paraId="105A7871" w14:textId="3CA8BC48" w:rsidR="007E3FD8" w:rsidRPr="00020976" w:rsidRDefault="007E3FD8" w:rsidP="0061020E">
      <w:pPr>
        <w:spacing w:before="360" w:after="360" w:line="360" w:lineRule="auto"/>
        <w:ind w:left="1418"/>
        <w:rPr>
          <w:sz w:val="20"/>
          <w:szCs w:val="20"/>
        </w:rPr>
      </w:pPr>
      <w:r w:rsidRPr="00020976">
        <w:rPr>
          <w:sz w:val="20"/>
          <w:szCs w:val="20"/>
        </w:rPr>
        <w:t>'... the numerous judicial decisions in which it has been held that, when a statute empowers a public official to give a decision prejudicially affecting the property or liberty of an individual, that individual has a right to be heard before action is taken against him,... unless the statute expressly or by necessary implication indicates the contrary'.</w:t>
      </w:r>
      <w:r w:rsidR="00840992">
        <w:rPr>
          <w:sz w:val="20"/>
          <w:szCs w:val="20"/>
        </w:rPr>
        <w:t>"</w:t>
      </w:r>
    </w:p>
    <w:p w14:paraId="779C0AE5" w14:textId="20D219CB" w:rsidR="003C3EA1" w:rsidRDefault="00D17347" w:rsidP="00D17347">
      <w:pPr>
        <w:pStyle w:val="NUM1"/>
        <w:keepNext/>
        <w:numPr>
          <w:ilvl w:val="0"/>
          <w:numId w:val="0"/>
        </w:numPr>
        <w:tabs>
          <w:tab w:val="left" w:pos="720"/>
        </w:tabs>
        <w:spacing w:before="360" w:after="360"/>
        <w:ind w:left="720" w:hanging="720"/>
      </w:pPr>
      <w:r>
        <w:rPr>
          <w:caps/>
        </w:rPr>
        <w:t>[11]</w:t>
      </w:r>
      <w:r>
        <w:rPr>
          <w:caps/>
        </w:rPr>
        <w:tab/>
      </w:r>
      <w:r w:rsidR="007E3FD8">
        <w:t xml:space="preserve">This is undoubtedly why our law of civil procedure requires </w:t>
      </w:r>
      <w:r w:rsidR="00785667">
        <w:t>that an affected party</w:t>
      </w:r>
      <w:r w:rsidR="003C3EA1">
        <w:t>(ies)</w:t>
      </w:r>
      <w:r w:rsidR="00785667">
        <w:t xml:space="preserve"> receive </w:t>
      </w:r>
      <w:r w:rsidR="00F14528">
        <w:t xml:space="preserve">adequate </w:t>
      </w:r>
      <w:r w:rsidR="007E3FD8">
        <w:t>notice</w:t>
      </w:r>
      <w:r w:rsidR="00A4232D">
        <w:t xml:space="preserve"> of</w:t>
      </w:r>
      <w:r w:rsidR="00785667">
        <w:t xml:space="preserve"> the relief being sought against</w:t>
      </w:r>
      <w:r w:rsidR="00F14528">
        <w:t xml:space="preserve"> it</w:t>
      </w:r>
      <w:r w:rsidR="0032406F">
        <w:t xml:space="preserve"> in the form of process being served on it</w:t>
      </w:r>
      <w:r w:rsidR="003C3EA1">
        <w:t>.</w:t>
      </w:r>
    </w:p>
    <w:p w14:paraId="79773D14" w14:textId="27D7E753" w:rsidR="004A57A7" w:rsidRDefault="00D17347" w:rsidP="00D17347">
      <w:pPr>
        <w:pStyle w:val="NUM1"/>
        <w:keepNext/>
        <w:numPr>
          <w:ilvl w:val="0"/>
          <w:numId w:val="0"/>
        </w:numPr>
        <w:tabs>
          <w:tab w:val="left" w:pos="720"/>
        </w:tabs>
        <w:spacing w:before="360" w:after="360"/>
        <w:ind w:left="720" w:hanging="720"/>
      </w:pPr>
      <w:r>
        <w:rPr>
          <w:caps/>
        </w:rPr>
        <w:t>[12]</w:t>
      </w:r>
      <w:r>
        <w:rPr>
          <w:caps/>
        </w:rPr>
        <w:tab/>
      </w:r>
      <w:r w:rsidR="003C3EA1">
        <w:t>In</w:t>
      </w:r>
      <w:r w:rsidR="00C7636A">
        <w:t xml:space="preserve"> </w:t>
      </w:r>
      <w:r w:rsidR="00C7636A" w:rsidRPr="00C7636A">
        <w:rPr>
          <w:b/>
          <w:bCs/>
        </w:rPr>
        <w:t>Steinberg</w:t>
      </w:r>
      <w:r w:rsidR="00C7636A">
        <w:rPr>
          <w:rStyle w:val="FootnoteReference"/>
          <w:b/>
          <w:bCs/>
        </w:rPr>
        <w:footnoteReference w:id="2"/>
      </w:r>
      <w:r w:rsidR="00C7636A">
        <w:rPr>
          <w:b/>
          <w:bCs/>
        </w:rPr>
        <w:t xml:space="preserve"> </w:t>
      </w:r>
      <w:r w:rsidR="00C7636A" w:rsidRPr="00C7636A">
        <w:t>the</w:t>
      </w:r>
      <w:r w:rsidR="00C7636A">
        <w:t xml:space="preserve"> </w:t>
      </w:r>
      <w:r w:rsidR="009C1117">
        <w:t>Rhodesian Appellate Division considered an appeal in a matter concerning the enforcement of a foreign judgment. The Court held, citing English precedent, that failure to give notice to the party against whom relief is sought (notwithstanding the American applicable law)</w:t>
      </w:r>
      <w:r w:rsidR="00C7636A">
        <w:t xml:space="preserve"> </w:t>
      </w:r>
      <w:r w:rsidR="009C1117">
        <w:t xml:space="preserve">is a breach of the </w:t>
      </w:r>
      <w:r w:rsidR="009C1117" w:rsidRPr="009C1117">
        <w:rPr>
          <w:i/>
          <w:iCs/>
        </w:rPr>
        <w:t>audi alteram partem</w:t>
      </w:r>
      <w:r w:rsidR="009C1117">
        <w:t xml:space="preserve"> doctrine. Similarly, in </w:t>
      </w:r>
      <w:r w:rsidR="009C1117" w:rsidRPr="009C1117">
        <w:rPr>
          <w:b/>
          <w:bCs/>
        </w:rPr>
        <w:t>Clegg</w:t>
      </w:r>
      <w:r w:rsidR="009C1117">
        <w:rPr>
          <w:rStyle w:val="FootnoteReference"/>
          <w:b/>
          <w:bCs/>
        </w:rPr>
        <w:footnoteReference w:id="3"/>
      </w:r>
      <w:r w:rsidR="009C1117">
        <w:rPr>
          <w:b/>
          <w:bCs/>
        </w:rPr>
        <w:t xml:space="preserve"> </w:t>
      </w:r>
      <w:r w:rsidR="009C1117">
        <w:t>this Court held, with reference to the Appellate Division decision in</w:t>
      </w:r>
      <w:r w:rsidR="009C1117" w:rsidRPr="009C1117">
        <w:rPr>
          <w:b/>
          <w:bCs/>
        </w:rPr>
        <w:t xml:space="preserve"> Amalgamated Engineering</w:t>
      </w:r>
      <w:r w:rsidR="004A57A7">
        <w:rPr>
          <w:b/>
          <w:bCs/>
        </w:rPr>
        <w:t>,</w:t>
      </w:r>
      <w:r w:rsidR="009C1117" w:rsidRPr="004A57A7">
        <w:rPr>
          <w:rStyle w:val="FootnoteReference"/>
        </w:rPr>
        <w:footnoteReference w:id="4"/>
      </w:r>
      <w:r w:rsidR="004A57A7">
        <w:rPr>
          <w:b/>
          <w:bCs/>
        </w:rPr>
        <w:t xml:space="preserve">  </w:t>
      </w:r>
      <w:r w:rsidR="004A57A7" w:rsidRPr="004A57A7">
        <w:t>and</w:t>
      </w:r>
      <w:r w:rsidR="004A57A7">
        <w:t xml:space="preserve"> in the context of an application for rescission predicated on a want of effective service or notice, </w:t>
      </w:r>
      <w:r w:rsidR="004A57A7" w:rsidRPr="004A57A7">
        <w:t>that</w:t>
      </w:r>
      <w:r w:rsidR="00840992">
        <w:t>:</w:t>
      </w:r>
    </w:p>
    <w:p w14:paraId="711BE4DD" w14:textId="74D91647" w:rsidR="007E3FD8" w:rsidRPr="004A57A7" w:rsidRDefault="00840992" w:rsidP="0061020E">
      <w:pPr>
        <w:pStyle w:val="NUM1"/>
        <w:numPr>
          <w:ilvl w:val="0"/>
          <w:numId w:val="0"/>
        </w:numPr>
        <w:spacing w:before="360" w:after="360" w:line="360" w:lineRule="auto"/>
        <w:ind w:left="1134"/>
        <w:rPr>
          <w:sz w:val="20"/>
          <w:szCs w:val="20"/>
        </w:rPr>
      </w:pPr>
      <w:r>
        <w:rPr>
          <w:sz w:val="20"/>
          <w:szCs w:val="20"/>
        </w:rPr>
        <w:t>"</w:t>
      </w:r>
      <w:r w:rsidR="004A57A7" w:rsidRPr="004A57A7">
        <w:rPr>
          <w:sz w:val="20"/>
          <w:szCs w:val="20"/>
        </w:rPr>
        <w:t>There are, it is true, cases in which the Court has, on an application without notice and without the issue of a rule</w:t>
      </w:r>
      <w:r w:rsidR="004A57A7" w:rsidRPr="004A57A7">
        <w:rPr>
          <w:rStyle w:val="apple-converted-space"/>
          <w:sz w:val="20"/>
          <w:szCs w:val="20"/>
        </w:rPr>
        <w:t> </w:t>
      </w:r>
      <w:r w:rsidR="004A57A7" w:rsidRPr="004A57A7">
        <w:rPr>
          <w:i/>
          <w:iCs/>
          <w:sz w:val="20"/>
          <w:szCs w:val="20"/>
        </w:rPr>
        <w:t>nisi</w:t>
      </w:r>
      <w:r w:rsidR="004A57A7" w:rsidRPr="004A57A7">
        <w:rPr>
          <w:sz w:val="20"/>
          <w:szCs w:val="20"/>
        </w:rPr>
        <w:t>, granted a final order recognising a foreign trustee. They are collected in</w:t>
      </w:r>
      <w:r w:rsidR="004A57A7" w:rsidRPr="004A57A7">
        <w:rPr>
          <w:rStyle w:val="apple-converted-space"/>
          <w:sz w:val="20"/>
          <w:szCs w:val="20"/>
        </w:rPr>
        <w:t> </w:t>
      </w:r>
      <w:r w:rsidR="004A57A7" w:rsidRPr="004A57A7">
        <w:rPr>
          <w:i/>
          <w:iCs/>
          <w:sz w:val="20"/>
          <w:szCs w:val="20"/>
        </w:rPr>
        <w:t>Mars (supra</w:t>
      </w:r>
      <w:r w:rsidR="004A57A7" w:rsidRPr="004A57A7">
        <w:rPr>
          <w:rStyle w:val="apple-converted-space"/>
          <w:sz w:val="20"/>
          <w:szCs w:val="20"/>
        </w:rPr>
        <w:t> </w:t>
      </w:r>
      <w:r w:rsidR="004A57A7" w:rsidRPr="004A57A7">
        <w:rPr>
          <w:sz w:val="20"/>
          <w:szCs w:val="20"/>
        </w:rPr>
        <w:t>at 256). It does not appear, however, that in any of those cases the point was argued, and no reasons were given. In</w:t>
      </w:r>
      <w:r w:rsidR="004A57A7" w:rsidRPr="004A57A7">
        <w:rPr>
          <w:rStyle w:val="apple-converted-space"/>
          <w:sz w:val="20"/>
          <w:szCs w:val="20"/>
        </w:rPr>
        <w:t> </w:t>
      </w:r>
      <w:r w:rsidR="004A57A7" w:rsidRPr="004A57A7">
        <w:rPr>
          <w:i/>
          <w:iCs/>
          <w:sz w:val="20"/>
          <w:szCs w:val="20"/>
        </w:rPr>
        <w:t>Ex parte Steyn</w:t>
      </w:r>
      <w:r w:rsidR="004A57A7" w:rsidRPr="004A57A7">
        <w:rPr>
          <w:sz w:val="20"/>
          <w:szCs w:val="20"/>
        </w:rPr>
        <w:t> </w:t>
      </w:r>
      <w:r w:rsidR="004A57A7" w:rsidRPr="00840992">
        <w:rPr>
          <w:rFonts w:eastAsiaTheme="majorEastAsia"/>
          <w:sz w:val="20"/>
          <w:szCs w:val="20"/>
          <w:bdr w:val="none" w:sz="0" w:space="0" w:color="auto" w:frame="1"/>
        </w:rPr>
        <w:t>1979 (2) SA 309 (O)</w:t>
      </w:r>
      <w:r>
        <w:rPr>
          <w:rFonts w:eastAsiaTheme="majorEastAsia"/>
          <w:sz w:val="20"/>
          <w:szCs w:val="20"/>
          <w:bdr w:val="none" w:sz="0" w:space="0" w:color="auto" w:frame="1"/>
        </w:rPr>
        <w:t xml:space="preserve"> </w:t>
      </w:r>
      <w:r w:rsidR="004A57A7" w:rsidRPr="004A57A7">
        <w:rPr>
          <w:sz w:val="20"/>
          <w:szCs w:val="20"/>
        </w:rPr>
        <w:t xml:space="preserve">the Court granted a final order for the recognition of a foreign trustee, but the principle regarding notice was not referred to. I do not regard any of these cases as being authority for a departure from the fundamental principle of our law that the Court will not make a </w:t>
      </w:r>
      <w:r w:rsidR="004A57A7" w:rsidRPr="004A57A7">
        <w:rPr>
          <w:sz w:val="20"/>
          <w:szCs w:val="20"/>
        </w:rPr>
        <w:lastRenderedPageBreak/>
        <w:t>final order that may prejudice the rights of a person without notice to him. Cf</w:t>
      </w:r>
      <w:r w:rsidR="004A57A7" w:rsidRPr="004A57A7">
        <w:rPr>
          <w:rStyle w:val="apple-converted-space"/>
          <w:sz w:val="20"/>
          <w:szCs w:val="20"/>
        </w:rPr>
        <w:t> </w:t>
      </w:r>
      <w:r w:rsidR="004A57A7" w:rsidRPr="004A57A7">
        <w:rPr>
          <w:i/>
          <w:iCs/>
          <w:sz w:val="20"/>
          <w:szCs w:val="20"/>
        </w:rPr>
        <w:t>Network Video (Pty) Ltd v Universal City Studios Inc and Others</w:t>
      </w:r>
      <w:r w:rsidR="004A57A7" w:rsidRPr="004A57A7">
        <w:rPr>
          <w:sz w:val="20"/>
          <w:szCs w:val="20"/>
        </w:rPr>
        <w:t> </w:t>
      </w:r>
      <w:r w:rsidR="004A57A7" w:rsidRPr="00840992">
        <w:rPr>
          <w:rFonts w:eastAsiaTheme="majorEastAsia"/>
          <w:sz w:val="20"/>
          <w:szCs w:val="20"/>
          <w:bdr w:val="none" w:sz="0" w:space="0" w:color="auto" w:frame="1"/>
        </w:rPr>
        <w:t>1984 (4) SA 379 (C)</w:t>
      </w:r>
      <w:r w:rsidR="004A57A7" w:rsidRPr="004A57A7">
        <w:rPr>
          <w:sz w:val="20"/>
          <w:szCs w:val="20"/>
        </w:rPr>
        <w:t>.</w:t>
      </w:r>
      <w:r>
        <w:rPr>
          <w:sz w:val="20"/>
          <w:szCs w:val="20"/>
        </w:rPr>
        <w:t>"</w:t>
      </w:r>
      <w:r w:rsidR="004A57A7" w:rsidRPr="004A57A7">
        <w:rPr>
          <w:sz w:val="20"/>
          <w:szCs w:val="20"/>
        </w:rPr>
        <w:t xml:space="preserve"> </w:t>
      </w:r>
    </w:p>
    <w:p w14:paraId="2170F80A" w14:textId="3356E690" w:rsidR="00DE0E82" w:rsidRDefault="00D17347" w:rsidP="00D17347">
      <w:pPr>
        <w:pStyle w:val="NUM1"/>
        <w:numPr>
          <w:ilvl w:val="0"/>
          <w:numId w:val="0"/>
        </w:numPr>
        <w:tabs>
          <w:tab w:val="left" w:pos="720"/>
        </w:tabs>
        <w:spacing w:before="360" w:after="360" w:line="360" w:lineRule="auto"/>
        <w:ind w:left="720" w:hanging="720"/>
        <w:rPr>
          <w:b/>
          <w:bCs/>
        </w:rPr>
      </w:pPr>
      <w:r>
        <w:rPr>
          <w:bCs/>
          <w:caps/>
        </w:rPr>
        <w:t>[13]</w:t>
      </w:r>
      <w:r>
        <w:rPr>
          <w:bCs/>
          <w:caps/>
        </w:rPr>
        <w:tab/>
      </w:r>
      <w:r w:rsidR="00DE0E82">
        <w:t xml:space="preserve">In </w:t>
      </w:r>
      <w:r w:rsidR="00DE0E82" w:rsidRPr="00DE0E82">
        <w:rPr>
          <w:b/>
          <w:bCs/>
        </w:rPr>
        <w:t>Fraind</w:t>
      </w:r>
      <w:r w:rsidR="00DE0E82">
        <w:rPr>
          <w:rStyle w:val="FootnoteReference"/>
        </w:rPr>
        <w:footnoteReference w:id="5"/>
      </w:r>
      <w:r w:rsidR="00DE0E82">
        <w:rPr>
          <w:b/>
          <w:bCs/>
        </w:rPr>
        <w:t xml:space="preserve"> </w:t>
      </w:r>
      <w:r w:rsidR="00DE0E82" w:rsidRPr="00DE0E82">
        <w:t>th</w:t>
      </w:r>
      <w:r w:rsidR="00DE0E82">
        <w:t xml:space="preserve">is Court, again citing English precedent, held that even where a defendant is a fugitive from justice, such a defendant has a right to </w:t>
      </w:r>
      <w:r w:rsidR="00361706">
        <w:t xml:space="preserve">effective </w:t>
      </w:r>
      <w:r w:rsidR="00DE0E82">
        <w:t>service</w:t>
      </w:r>
      <w:r w:rsidR="00361706">
        <w:t xml:space="preserve"> of process</w:t>
      </w:r>
      <w:r w:rsidR="00DE0E82">
        <w:t xml:space="preserve"> and to defend himself against proceedings brought against him. </w:t>
      </w:r>
    </w:p>
    <w:p w14:paraId="67BBA26A" w14:textId="1EC2D44A" w:rsidR="00DE0E82" w:rsidRDefault="00D17347" w:rsidP="00D17347">
      <w:pPr>
        <w:pStyle w:val="NUM1"/>
        <w:numPr>
          <w:ilvl w:val="0"/>
          <w:numId w:val="0"/>
        </w:numPr>
        <w:tabs>
          <w:tab w:val="left" w:pos="720"/>
        </w:tabs>
        <w:spacing w:before="360" w:after="360" w:line="360" w:lineRule="auto"/>
        <w:ind w:left="720" w:hanging="720"/>
      </w:pPr>
      <w:r>
        <w:rPr>
          <w:caps/>
        </w:rPr>
        <w:t>[14]</w:t>
      </w:r>
      <w:r>
        <w:rPr>
          <w:caps/>
        </w:rPr>
        <w:tab/>
      </w:r>
      <w:r w:rsidR="00DE0E82">
        <w:t xml:space="preserve">In all of the above cited judgments, the </w:t>
      </w:r>
      <w:r w:rsidR="00DE0E82" w:rsidRPr="00E338E5">
        <w:rPr>
          <w:i/>
          <w:iCs/>
        </w:rPr>
        <w:t xml:space="preserve">audi alteram </w:t>
      </w:r>
      <w:r w:rsidR="00361706">
        <w:rPr>
          <w:i/>
          <w:iCs/>
        </w:rPr>
        <w:t xml:space="preserve">partem </w:t>
      </w:r>
      <w:r w:rsidR="00361706">
        <w:t>doctrine</w:t>
      </w:r>
      <w:r w:rsidR="00DE0E82">
        <w:t xml:space="preserve"> underpinned the rationale.</w:t>
      </w:r>
    </w:p>
    <w:p w14:paraId="7F16B0DF" w14:textId="1155AC62" w:rsidR="004A57A7" w:rsidRDefault="00D17347" w:rsidP="00D17347">
      <w:pPr>
        <w:pStyle w:val="NUM1"/>
        <w:numPr>
          <w:ilvl w:val="0"/>
          <w:numId w:val="0"/>
        </w:numPr>
        <w:tabs>
          <w:tab w:val="left" w:pos="720"/>
        </w:tabs>
        <w:spacing w:before="360" w:after="360"/>
        <w:ind w:left="720" w:hanging="720"/>
      </w:pPr>
      <w:r>
        <w:rPr>
          <w:caps/>
        </w:rPr>
        <w:t>[15]</w:t>
      </w:r>
      <w:r>
        <w:rPr>
          <w:caps/>
        </w:rPr>
        <w:tab/>
      </w:r>
      <w:r w:rsidR="004A57A7">
        <w:t xml:space="preserve">It thus our law that </w:t>
      </w:r>
      <w:r w:rsidR="00E338E5">
        <w:t xml:space="preserve">the </w:t>
      </w:r>
      <w:r w:rsidR="00E338E5" w:rsidRPr="00E338E5">
        <w:rPr>
          <w:i/>
          <w:iCs/>
        </w:rPr>
        <w:t>audi alteram partem</w:t>
      </w:r>
      <w:r w:rsidR="00E338E5">
        <w:t xml:space="preserve"> doctrine underpins both the requirement of joinder and service, since without joinder and service, </w:t>
      </w:r>
      <w:r w:rsidR="00A22628">
        <w:t xml:space="preserve">any rights that party may have had in the </w:t>
      </w:r>
      <w:r w:rsidR="00F55284">
        <w:t>proceedings</w:t>
      </w:r>
      <w:r w:rsidR="00A22628">
        <w:t xml:space="preserve"> </w:t>
      </w:r>
      <w:r w:rsidR="00F55284">
        <w:t>could</w:t>
      </w:r>
      <w:r w:rsidR="00A22628">
        <w:t xml:space="preserve"> be </w:t>
      </w:r>
      <w:r w:rsidR="00F55284">
        <w:t>defeated</w:t>
      </w:r>
      <w:r w:rsidR="00A22628">
        <w:t xml:space="preserve">. </w:t>
      </w:r>
    </w:p>
    <w:p w14:paraId="20F040A1" w14:textId="0C00AF67" w:rsidR="008F4C03" w:rsidRDefault="00D17347" w:rsidP="00D17347">
      <w:pPr>
        <w:pStyle w:val="NUM1"/>
        <w:numPr>
          <w:ilvl w:val="0"/>
          <w:numId w:val="0"/>
        </w:numPr>
        <w:tabs>
          <w:tab w:val="left" w:pos="720"/>
        </w:tabs>
        <w:spacing w:before="360" w:after="360"/>
        <w:ind w:left="720" w:hanging="720"/>
      </w:pPr>
      <w:r>
        <w:rPr>
          <w:caps/>
        </w:rPr>
        <w:t>[16]</w:t>
      </w:r>
      <w:r>
        <w:rPr>
          <w:caps/>
        </w:rPr>
        <w:tab/>
      </w:r>
      <w:r w:rsidR="008F4C03">
        <w:t>It goes without saying that in the absence of SERI and ICF be</w:t>
      </w:r>
      <w:r w:rsidR="00A22628">
        <w:t>ing</w:t>
      </w:r>
      <w:r w:rsidR="008F4C03">
        <w:t xml:space="preserve"> joined to these proceedings, they are deprived of an opportunity to defend a decision given in their favour</w:t>
      </w:r>
      <w:r w:rsidR="00DA62E6">
        <w:t>, whether that decision is given correctly or not</w:t>
      </w:r>
      <w:r w:rsidR="008F4C03">
        <w:t>.</w:t>
      </w:r>
      <w:r w:rsidR="008E1F43">
        <w:t xml:space="preserve"> The position is amply explained by way of analogy. In an application for the review of a tender, an aggrieved tenderer will cite the decision</w:t>
      </w:r>
      <w:r w:rsidR="00AF1430">
        <w:t>-</w:t>
      </w:r>
      <w:r w:rsidR="008E1F43">
        <w:t>maker and all other tender</w:t>
      </w:r>
      <w:r w:rsidR="00AF1430">
        <w:t>er</w:t>
      </w:r>
      <w:r w:rsidR="008E1F43">
        <w:t xml:space="preserve">s, especially the successful party. It cannot be said that because the successful tenderer was awarded more than it tendered for, that it has no interest, in the legal sense, in an application to set aside </w:t>
      </w:r>
      <w:r w:rsidR="0039425B">
        <w:t xml:space="preserve">that part of the award which it did not tender for. </w:t>
      </w:r>
      <w:r w:rsidR="008E1F43">
        <w:t xml:space="preserve"> </w:t>
      </w:r>
    </w:p>
    <w:p w14:paraId="0E8D8426" w14:textId="2F73E40E" w:rsidR="00647AD9" w:rsidRDefault="00D17347" w:rsidP="00D17347">
      <w:pPr>
        <w:pStyle w:val="NUM1"/>
        <w:numPr>
          <w:ilvl w:val="0"/>
          <w:numId w:val="0"/>
        </w:numPr>
        <w:tabs>
          <w:tab w:val="left" w:pos="720"/>
        </w:tabs>
        <w:spacing w:before="360" w:after="360"/>
        <w:ind w:left="720" w:hanging="720"/>
      </w:pPr>
      <w:r>
        <w:rPr>
          <w:caps/>
        </w:rPr>
        <w:lastRenderedPageBreak/>
        <w:t>[17]</w:t>
      </w:r>
      <w:r>
        <w:rPr>
          <w:caps/>
        </w:rPr>
        <w:tab/>
      </w:r>
      <w:r w:rsidR="00B9553D">
        <w:t>Now, i</w:t>
      </w:r>
      <w:r w:rsidR="00020976">
        <w:t>t is trite that a Court cannot proceed to hear a matter</w:t>
      </w:r>
      <w:r w:rsidR="00020976">
        <w:rPr>
          <w:rStyle w:val="FootnoteReference"/>
        </w:rPr>
        <w:footnoteReference w:id="6"/>
      </w:r>
      <w:r w:rsidR="00020976">
        <w:t xml:space="preserve"> </w:t>
      </w:r>
      <w:r w:rsidR="00C856FD">
        <w:t xml:space="preserve">in the absence of a </w:t>
      </w:r>
      <w:r w:rsidR="00020976">
        <w:t>p</w:t>
      </w:r>
      <w:r w:rsidR="00B9553D">
        <w:t>erson or entity</w:t>
      </w:r>
      <w:r w:rsidR="00020976">
        <w:t xml:space="preserve"> that has rights which stand to be affected by the decision of the Court.</w:t>
      </w:r>
      <w:r w:rsidR="00020976">
        <w:rPr>
          <w:rStyle w:val="FootnoteReference"/>
        </w:rPr>
        <w:footnoteReference w:id="7"/>
      </w:r>
      <w:r w:rsidR="00B9553D">
        <w:t xml:space="preserve">  </w:t>
      </w:r>
    </w:p>
    <w:p w14:paraId="5FE1A7C8" w14:textId="7E056155" w:rsidR="00647AD9" w:rsidRDefault="00D17347" w:rsidP="00D17347">
      <w:pPr>
        <w:pStyle w:val="NUM1"/>
        <w:numPr>
          <w:ilvl w:val="0"/>
          <w:numId w:val="0"/>
        </w:numPr>
        <w:tabs>
          <w:tab w:val="left" w:pos="720"/>
        </w:tabs>
        <w:spacing w:before="360" w:after="360"/>
        <w:ind w:left="720" w:hanging="720"/>
      </w:pPr>
      <w:r>
        <w:rPr>
          <w:caps/>
        </w:rPr>
        <w:t>[18]</w:t>
      </w:r>
      <w:r>
        <w:rPr>
          <w:caps/>
        </w:rPr>
        <w:tab/>
      </w:r>
      <w:r w:rsidR="00647AD9">
        <w:t>It is for this reason that I uphold the point on non</w:t>
      </w:r>
      <w:r w:rsidR="00647AD9">
        <w:noBreakHyphen/>
        <w:t>joiner</w:t>
      </w:r>
      <w:r w:rsidR="008F4C03">
        <w:t xml:space="preserve"> and decline to entertain the merits of the review.</w:t>
      </w:r>
    </w:p>
    <w:p w14:paraId="0F5A2C87" w14:textId="1F2232D9" w:rsidR="00503FF7" w:rsidRDefault="00D17347" w:rsidP="00D17347">
      <w:pPr>
        <w:pStyle w:val="NUM1"/>
        <w:numPr>
          <w:ilvl w:val="0"/>
          <w:numId w:val="0"/>
        </w:numPr>
        <w:tabs>
          <w:tab w:val="left" w:pos="720"/>
        </w:tabs>
        <w:spacing w:before="360" w:after="360"/>
        <w:ind w:left="720" w:hanging="720"/>
      </w:pPr>
      <w:r>
        <w:rPr>
          <w:caps/>
        </w:rPr>
        <w:t>[19]</w:t>
      </w:r>
      <w:r>
        <w:rPr>
          <w:caps/>
        </w:rPr>
        <w:tab/>
      </w:r>
      <w:r w:rsidR="00647AD9">
        <w:t>Mr Son</w:t>
      </w:r>
      <w:r w:rsidR="00C22F8E">
        <w:t>i</w:t>
      </w:r>
      <w:r w:rsidR="008F4C03">
        <w:t xml:space="preserve"> SC</w:t>
      </w:r>
      <w:r w:rsidR="00647AD9">
        <w:t xml:space="preserve">, on behalf of the second and third respondents, proposed a draft order. </w:t>
      </w:r>
      <w:r w:rsidR="008E1F43">
        <w:t xml:space="preserve">In my view, the proposed draft </w:t>
      </w:r>
      <w:r w:rsidR="003C4213">
        <w:t xml:space="preserve">order </w:t>
      </w:r>
      <w:r w:rsidR="008E1F43">
        <w:t>does not resolve the issue herein</w:t>
      </w:r>
      <w:r w:rsidR="00647AD9">
        <w:t xml:space="preserve">. </w:t>
      </w:r>
      <w:r w:rsidR="008E1F43">
        <w:t xml:space="preserve">I intend to order the joinder of SERI and ICF and </w:t>
      </w:r>
      <w:r w:rsidR="003C4213">
        <w:t xml:space="preserve">simultaneously </w:t>
      </w:r>
      <w:r w:rsidR="008E1F43">
        <w:t xml:space="preserve">provide a framework for the further conduct of this matter. </w:t>
      </w:r>
    </w:p>
    <w:p w14:paraId="48C8A8F4" w14:textId="12DF6494" w:rsidR="00647AD9" w:rsidRDefault="00D17347" w:rsidP="00D17347">
      <w:pPr>
        <w:pStyle w:val="NUM1"/>
        <w:numPr>
          <w:ilvl w:val="0"/>
          <w:numId w:val="0"/>
        </w:numPr>
        <w:tabs>
          <w:tab w:val="left" w:pos="720"/>
        </w:tabs>
        <w:spacing w:before="360" w:after="360"/>
        <w:ind w:left="720" w:hanging="720"/>
      </w:pPr>
      <w:r>
        <w:rPr>
          <w:caps/>
        </w:rPr>
        <w:t>[20]</w:t>
      </w:r>
      <w:r>
        <w:rPr>
          <w:caps/>
        </w:rPr>
        <w:tab/>
      </w:r>
      <w:r w:rsidR="00503FF7">
        <w:t xml:space="preserve">I will </w:t>
      </w:r>
      <w:r w:rsidR="000801F8">
        <w:t>however</w:t>
      </w:r>
      <w:r w:rsidR="00503FF7">
        <w:t xml:space="preserve"> </w:t>
      </w:r>
      <w:r w:rsidR="000801F8">
        <w:t xml:space="preserve">caution the parties about the manner in which this application was brought. It is noted that: </w:t>
      </w:r>
    </w:p>
    <w:p w14:paraId="19896137" w14:textId="651C89CD" w:rsidR="008F4C03" w:rsidRDefault="00D17347" w:rsidP="00D17347">
      <w:pPr>
        <w:pStyle w:val="NUM2"/>
        <w:numPr>
          <w:ilvl w:val="0"/>
          <w:numId w:val="0"/>
        </w:numPr>
        <w:tabs>
          <w:tab w:val="left" w:pos="1701"/>
        </w:tabs>
        <w:spacing w:before="360" w:after="360"/>
        <w:ind w:left="1701" w:hanging="981"/>
      </w:pPr>
      <w:r>
        <w:t>[20.1]</w:t>
      </w:r>
      <w:r>
        <w:tab/>
      </w:r>
      <w:r w:rsidR="00647AD9">
        <w:t xml:space="preserve">This application was brought by way of urgency. The threshold </w:t>
      </w:r>
      <w:r w:rsidR="00E71639">
        <w:t xml:space="preserve">for urgency is that </w:t>
      </w:r>
      <w:r w:rsidR="00840992">
        <w:t>"</w:t>
      </w:r>
      <w:r w:rsidR="00647AD9" w:rsidRPr="00647AD9">
        <w:rPr>
          <w:i/>
          <w:iCs/>
        </w:rPr>
        <w:t>absence of redress in the ordinary course</w:t>
      </w:r>
      <w:r w:rsidR="00840992">
        <w:t>"</w:t>
      </w:r>
      <w:r w:rsidR="008F4C03">
        <w:rPr>
          <w:rStyle w:val="FootnoteReference"/>
        </w:rPr>
        <w:footnoteReference w:id="8"/>
      </w:r>
      <w:r w:rsidR="00E71639">
        <w:t xml:space="preserve"> exists for the applicant. </w:t>
      </w:r>
    </w:p>
    <w:p w14:paraId="0FB43FDC" w14:textId="1DFBEF6A" w:rsidR="00C22F8E" w:rsidRDefault="00D17347" w:rsidP="00D17347">
      <w:pPr>
        <w:pStyle w:val="NUM2"/>
        <w:numPr>
          <w:ilvl w:val="0"/>
          <w:numId w:val="0"/>
        </w:numPr>
        <w:tabs>
          <w:tab w:val="left" w:pos="1701"/>
        </w:tabs>
        <w:spacing w:before="360" w:after="360"/>
        <w:ind w:left="1701" w:hanging="981"/>
      </w:pPr>
      <w:r>
        <w:t>[20.2]</w:t>
      </w:r>
      <w:r>
        <w:tab/>
      </w:r>
      <w:r w:rsidR="00647AD9">
        <w:t xml:space="preserve">Ms Qofa attempted to demonstrate, with regard to correspondence, the content of which was not pleaded and the inference to be drawn therefrom not stated, that the abridgement of time periods was commensurate with a degree of urgency. That may well be, and I </w:t>
      </w:r>
      <w:r w:rsidR="00647AD9">
        <w:lastRenderedPageBreak/>
        <w:t>express no view thereo</w:t>
      </w:r>
      <w:r w:rsidR="00E71639">
        <w:t>n</w:t>
      </w:r>
      <w:r w:rsidR="00647AD9">
        <w:t>, but aside from this being impermissible</w:t>
      </w:r>
      <w:r w:rsidR="00034CDA">
        <w:t>,</w:t>
      </w:r>
      <w:r w:rsidR="008F4C03">
        <w:rPr>
          <w:rStyle w:val="FootnoteReference"/>
        </w:rPr>
        <w:footnoteReference w:id="9"/>
      </w:r>
      <w:r w:rsidR="00647AD9">
        <w:t xml:space="preserve"> the threshold </w:t>
      </w:r>
      <w:r w:rsidR="008E1F43">
        <w:t xml:space="preserve">in Rule 6(12) of the Uniform Rules </w:t>
      </w:r>
      <w:r w:rsidR="00647AD9">
        <w:t xml:space="preserve">has not been passed. No case was made out by the applicant as to why this matter ought to have been enrolled before the </w:t>
      </w:r>
      <w:r w:rsidR="008F4C03">
        <w:t>u</w:t>
      </w:r>
      <w:r w:rsidR="00647AD9">
        <w:t xml:space="preserve">rgent </w:t>
      </w:r>
      <w:r w:rsidR="008F4C03">
        <w:t>c</w:t>
      </w:r>
      <w:r w:rsidR="00647AD9">
        <w:t>ourt</w:t>
      </w:r>
      <w:r w:rsidR="008F4C03">
        <w:t xml:space="preserve"> at all</w:t>
      </w:r>
      <w:r w:rsidR="00647AD9">
        <w:t xml:space="preserve">. </w:t>
      </w:r>
    </w:p>
    <w:p w14:paraId="0A28A751" w14:textId="08542B9F" w:rsidR="00647AD9" w:rsidRDefault="00D17347" w:rsidP="00D17347">
      <w:pPr>
        <w:pStyle w:val="NUM2"/>
        <w:numPr>
          <w:ilvl w:val="0"/>
          <w:numId w:val="0"/>
        </w:numPr>
        <w:tabs>
          <w:tab w:val="left" w:pos="1701"/>
        </w:tabs>
        <w:spacing w:before="360" w:after="360"/>
        <w:ind w:left="1701" w:hanging="981"/>
      </w:pPr>
      <w:r>
        <w:t>[20.3]</w:t>
      </w:r>
      <w:r>
        <w:tab/>
      </w:r>
      <w:r w:rsidR="0061020E">
        <w:t>This should not be seen as the manner in which an applicant, regardless of the circumstances, ought to approach the Court. Ordinarily an application brought in this manner would be struck from the roll with costs in accordance with the Practice Directives and authorities in this Division.</w:t>
      </w:r>
      <w:r w:rsidR="00C43D27">
        <w:t xml:space="preserve"> However, </w:t>
      </w:r>
      <w:r w:rsidR="00647AD9">
        <w:t xml:space="preserve">given the import of this matter, the public interest in the conclusion of the work of the Commission and the resolution of this impasse which stands in the way thereof, I </w:t>
      </w:r>
      <w:r w:rsidR="00872D20">
        <w:t xml:space="preserve">will make a </w:t>
      </w:r>
      <w:r w:rsidR="005D205F">
        <w:t>determin</w:t>
      </w:r>
      <w:r w:rsidR="00872D20">
        <w:t xml:space="preserve">ation on </w:t>
      </w:r>
      <w:r w:rsidR="008F4C03">
        <w:t>the joinder point, and if that fail</w:t>
      </w:r>
      <w:r w:rsidR="00872D20">
        <w:t>s</w:t>
      </w:r>
      <w:r w:rsidR="008F4C03">
        <w:t>, determine the merits of the review</w:t>
      </w:r>
      <w:r w:rsidR="00647AD9">
        <w:t xml:space="preserve">. </w:t>
      </w:r>
    </w:p>
    <w:p w14:paraId="03AA79CA" w14:textId="673C1DE8" w:rsidR="009C0D87" w:rsidRDefault="00D17347" w:rsidP="00D17347">
      <w:pPr>
        <w:pStyle w:val="NUM1"/>
        <w:numPr>
          <w:ilvl w:val="0"/>
          <w:numId w:val="0"/>
        </w:numPr>
        <w:tabs>
          <w:tab w:val="left" w:pos="720"/>
        </w:tabs>
        <w:spacing w:before="360" w:after="360"/>
        <w:ind w:left="720" w:hanging="720"/>
      </w:pPr>
      <w:r>
        <w:rPr>
          <w:caps/>
        </w:rPr>
        <w:t>[21]</w:t>
      </w:r>
      <w:r>
        <w:rPr>
          <w:caps/>
        </w:rPr>
        <w:tab/>
      </w:r>
      <w:r w:rsidR="008E1F43">
        <w:t>In the result, the costs of this application are to be costs in the cause</w:t>
      </w:r>
      <w:r w:rsidR="009C0D87">
        <w:t>.</w:t>
      </w:r>
    </w:p>
    <w:p w14:paraId="4CEBDB11" w14:textId="439FDF08" w:rsidR="008C5DC6" w:rsidRPr="008C5DC6" w:rsidRDefault="00D17347" w:rsidP="00D17347">
      <w:pPr>
        <w:pStyle w:val="NUM1"/>
        <w:keepNext/>
        <w:numPr>
          <w:ilvl w:val="0"/>
          <w:numId w:val="0"/>
        </w:numPr>
        <w:tabs>
          <w:tab w:val="left" w:pos="720"/>
        </w:tabs>
        <w:spacing w:before="360" w:after="360"/>
        <w:ind w:left="720" w:hanging="720"/>
      </w:pPr>
      <w:r w:rsidRPr="008C5DC6">
        <w:rPr>
          <w:caps/>
        </w:rPr>
        <w:t>[22]</w:t>
      </w:r>
      <w:r w:rsidRPr="008C5DC6">
        <w:rPr>
          <w:caps/>
        </w:rPr>
        <w:tab/>
      </w:r>
      <w:r w:rsidR="008C5DC6">
        <w:t xml:space="preserve">In the </w:t>
      </w:r>
      <w:r w:rsidR="00F55284">
        <w:t>result</w:t>
      </w:r>
      <w:r w:rsidR="008C5DC6">
        <w:t>, I make the following order:</w:t>
      </w:r>
    </w:p>
    <w:p w14:paraId="6DFA0B06" w14:textId="2D6472ED" w:rsidR="00840992" w:rsidRDefault="00840992" w:rsidP="0061020E">
      <w:pPr>
        <w:tabs>
          <w:tab w:val="left" w:pos="1701"/>
        </w:tabs>
        <w:spacing w:before="360" w:after="360"/>
        <w:ind w:left="1701" w:hanging="708"/>
      </w:pPr>
      <w:r>
        <w:t>1.</w:t>
      </w:r>
      <w:r>
        <w:tab/>
        <w:t>The Socio-Economic Rights Institute of South Africa ("</w:t>
      </w:r>
      <w:r w:rsidRPr="004411F8">
        <w:rPr>
          <w:b/>
          <w:bCs/>
        </w:rPr>
        <w:t>SERI</w:t>
      </w:r>
      <w:r>
        <w:t xml:space="preserve">") and the Inner </w:t>
      </w:r>
      <w:r w:rsidR="00067BDB">
        <w:t>C</w:t>
      </w:r>
      <w:r>
        <w:t>ity Federation ("</w:t>
      </w:r>
      <w:r w:rsidRPr="004411F8">
        <w:rPr>
          <w:b/>
          <w:bCs/>
        </w:rPr>
        <w:t>ICF</w:t>
      </w:r>
      <w:r>
        <w:t>") are joined as the 4th and 5th respondents respectively.</w:t>
      </w:r>
    </w:p>
    <w:p w14:paraId="245C795A" w14:textId="77777777" w:rsidR="00840992" w:rsidRDefault="00840992" w:rsidP="0061020E">
      <w:pPr>
        <w:tabs>
          <w:tab w:val="left" w:pos="1701"/>
        </w:tabs>
        <w:spacing w:before="360" w:after="360"/>
        <w:ind w:left="1701" w:hanging="708"/>
      </w:pPr>
      <w:r>
        <w:lastRenderedPageBreak/>
        <w:t>2.</w:t>
      </w:r>
      <w:r>
        <w:tab/>
        <w:t xml:space="preserve">The applicant’s attorneys are directed to forthwith cause a copy of the papers in this application and a copy of this judgment to be served on SERI and ICF; </w:t>
      </w:r>
    </w:p>
    <w:p w14:paraId="21AA680C" w14:textId="77777777" w:rsidR="00840992" w:rsidRDefault="00840992" w:rsidP="0061020E">
      <w:pPr>
        <w:tabs>
          <w:tab w:val="left" w:pos="1701"/>
        </w:tabs>
        <w:spacing w:before="360" w:after="360"/>
        <w:ind w:left="1701" w:hanging="708"/>
      </w:pPr>
      <w:r>
        <w:t>3.</w:t>
      </w:r>
      <w:r>
        <w:tab/>
        <w:t>SERI and ICF are called upon to:</w:t>
      </w:r>
    </w:p>
    <w:p w14:paraId="6C96A623" w14:textId="73B86F47" w:rsidR="00840992" w:rsidRDefault="00840992" w:rsidP="0061020E">
      <w:pPr>
        <w:tabs>
          <w:tab w:val="left" w:pos="1701"/>
          <w:tab w:val="left" w:pos="2410"/>
        </w:tabs>
        <w:spacing w:before="360" w:after="360"/>
        <w:ind w:left="2410" w:hanging="709"/>
      </w:pPr>
      <w:r>
        <w:t>(i)</w:t>
      </w:r>
      <w:r>
        <w:tab/>
        <w:t xml:space="preserve">deliver a notice of intention to oppose this application within </w:t>
      </w:r>
      <w:r w:rsidR="0082578B">
        <w:t>one (</w:t>
      </w:r>
      <w:r>
        <w:t>1</w:t>
      </w:r>
      <w:r w:rsidR="0082578B">
        <w:t>)</w:t>
      </w:r>
      <w:r>
        <w:t xml:space="preserve"> week of service of this application upon them; and</w:t>
      </w:r>
    </w:p>
    <w:p w14:paraId="75C1DFD4" w14:textId="0F257374" w:rsidR="00840992" w:rsidRDefault="00840992" w:rsidP="0061020E">
      <w:pPr>
        <w:tabs>
          <w:tab w:val="left" w:pos="1701"/>
          <w:tab w:val="left" w:pos="2410"/>
        </w:tabs>
        <w:spacing w:before="360" w:after="360"/>
        <w:ind w:left="2410" w:hanging="709"/>
      </w:pPr>
      <w:r>
        <w:t>(ii)</w:t>
      </w:r>
      <w:r>
        <w:tab/>
        <w:t>should a notice of intention to oppose be delivered, to deliver their answering affidavit, if any, within a further two</w:t>
      </w:r>
      <w:r w:rsidR="0082578B">
        <w:t xml:space="preserve"> (2)</w:t>
      </w:r>
      <w:r>
        <w:t xml:space="preserve"> weeks. </w:t>
      </w:r>
    </w:p>
    <w:p w14:paraId="5D003406" w14:textId="460E72CE" w:rsidR="0082578B" w:rsidRDefault="00840992" w:rsidP="00F55284">
      <w:pPr>
        <w:keepNext/>
        <w:tabs>
          <w:tab w:val="left" w:pos="1701"/>
        </w:tabs>
        <w:spacing w:before="360" w:after="360"/>
        <w:ind w:left="1701" w:hanging="708"/>
      </w:pPr>
      <w:r>
        <w:t>4.</w:t>
      </w:r>
      <w:r>
        <w:tab/>
        <w:t>The costs of this application are to be costs in the cause.</w:t>
      </w:r>
    </w:p>
    <w:p w14:paraId="73D6BF19" w14:textId="77777777" w:rsidR="008C5DC6" w:rsidRDefault="008C5DC6" w:rsidP="00F55284">
      <w:pPr>
        <w:keepNext/>
        <w:jc w:val="right"/>
      </w:pPr>
    </w:p>
    <w:p w14:paraId="106E0DC2" w14:textId="77777777" w:rsidR="00797C7C" w:rsidRPr="00A737DA" w:rsidRDefault="00797C7C" w:rsidP="00B618A9">
      <w:pPr>
        <w:keepNext/>
        <w:shd w:val="clear" w:color="auto" w:fill="FFFFFF"/>
        <w:spacing w:line="240" w:lineRule="auto"/>
        <w:jc w:val="right"/>
        <w:rPr>
          <w:rFonts w:ascii="Verdana" w:hAnsi="Verdana" w:cs="Times New Roman"/>
          <w:color w:val="242121"/>
          <w:sz w:val="27"/>
          <w:szCs w:val="27"/>
          <w:lang w:eastAsia="en-ZA"/>
        </w:rPr>
      </w:pPr>
      <w:r w:rsidRPr="00A737DA">
        <w:rPr>
          <w:color w:val="242121"/>
          <w:lang w:eastAsia="en-ZA"/>
        </w:rPr>
        <w:t>_____________________________</w:t>
      </w:r>
    </w:p>
    <w:p w14:paraId="69127FB3" w14:textId="77777777" w:rsidR="00797C7C" w:rsidRPr="00A737DA" w:rsidRDefault="00797C7C" w:rsidP="00DF3EA8">
      <w:pPr>
        <w:keepNext/>
        <w:shd w:val="clear" w:color="auto" w:fill="FFFFFF"/>
        <w:spacing w:line="360" w:lineRule="auto"/>
        <w:jc w:val="right"/>
        <w:rPr>
          <w:rFonts w:ascii="Verdana" w:hAnsi="Verdana" w:cs="Times New Roman"/>
          <w:color w:val="242121"/>
          <w:sz w:val="27"/>
          <w:szCs w:val="27"/>
          <w:lang w:eastAsia="en-ZA"/>
        </w:rPr>
      </w:pPr>
      <w:r>
        <w:rPr>
          <w:b/>
          <w:bCs/>
          <w:color w:val="242121"/>
          <w:lang w:eastAsia="en-ZA"/>
        </w:rPr>
        <w:t>A W PULLINGER</w:t>
      </w:r>
    </w:p>
    <w:p w14:paraId="05B9E706" w14:textId="77777777" w:rsidR="00797C7C" w:rsidRPr="00A737DA" w:rsidRDefault="00797C7C" w:rsidP="00DF3EA8">
      <w:pPr>
        <w:keepNext/>
        <w:shd w:val="clear" w:color="auto" w:fill="FFFFFF"/>
        <w:spacing w:line="360" w:lineRule="auto"/>
        <w:jc w:val="right"/>
        <w:rPr>
          <w:rFonts w:ascii="Verdana" w:hAnsi="Verdana" w:cs="Times New Roman"/>
          <w:color w:val="242121"/>
          <w:sz w:val="27"/>
          <w:szCs w:val="27"/>
          <w:lang w:eastAsia="en-ZA"/>
        </w:rPr>
      </w:pPr>
      <w:r>
        <w:rPr>
          <w:color w:val="242121"/>
          <w:lang w:eastAsia="en-ZA"/>
        </w:rPr>
        <w:t xml:space="preserve">ACTING </w:t>
      </w:r>
      <w:r w:rsidRPr="00A737DA">
        <w:rPr>
          <w:color w:val="242121"/>
          <w:lang w:eastAsia="en-ZA"/>
        </w:rPr>
        <w:t>JUDGE OF THE HIGH COURT</w:t>
      </w:r>
    </w:p>
    <w:p w14:paraId="47E0815C" w14:textId="77777777" w:rsidR="00797C7C" w:rsidRPr="00B618A9" w:rsidRDefault="00797C7C" w:rsidP="00DF3EA8">
      <w:pPr>
        <w:keepNext/>
        <w:shd w:val="clear" w:color="auto" w:fill="FFFFFF"/>
        <w:spacing w:line="360" w:lineRule="auto"/>
        <w:jc w:val="right"/>
        <w:rPr>
          <w:color w:val="242121"/>
          <w:lang w:eastAsia="en-ZA"/>
        </w:rPr>
      </w:pPr>
      <w:r w:rsidRPr="00A737DA">
        <w:rPr>
          <w:color w:val="242121"/>
          <w:lang w:eastAsia="en-ZA"/>
        </w:rPr>
        <w:t>GAUTENG DIVISION, JOHANNESBURG</w:t>
      </w:r>
    </w:p>
    <w:p w14:paraId="0ACF7866" w14:textId="77777777" w:rsidR="00797C7C" w:rsidRPr="00A737DA" w:rsidRDefault="00797C7C" w:rsidP="00797C7C">
      <w:pPr>
        <w:rPr>
          <w:lang w:eastAsia="en-ZA"/>
        </w:rPr>
      </w:pPr>
    </w:p>
    <w:p w14:paraId="544A8997" w14:textId="4510B362" w:rsidR="00797C7C" w:rsidRPr="00A737DA" w:rsidRDefault="00797C7C" w:rsidP="00797C7C">
      <w:pPr>
        <w:spacing w:line="240" w:lineRule="auto"/>
        <w:rPr>
          <w:rFonts w:ascii="Verdana" w:hAnsi="Verdana" w:cs="Times New Roman"/>
          <w:color w:val="242121"/>
          <w:sz w:val="27"/>
          <w:szCs w:val="27"/>
          <w:lang w:eastAsia="en-ZA"/>
        </w:rPr>
      </w:pPr>
      <w:r w:rsidRPr="00A737DA">
        <w:rPr>
          <w:i/>
          <w:iCs/>
          <w:color w:val="242121"/>
          <w:lang w:eastAsia="en-ZA"/>
        </w:rPr>
        <w:t xml:space="preserve">This judgment was handed down electronically by circulation to the parties’ and/or parties’ representatives by email and by being uploaded to CaseLines. The date and time for hand-down is deemed to </w:t>
      </w:r>
      <w:r w:rsidRPr="009D7E4D">
        <w:rPr>
          <w:i/>
          <w:iCs/>
          <w:color w:val="242121"/>
          <w:lang w:eastAsia="en-ZA"/>
        </w:rPr>
        <w:t xml:space="preserve">be </w:t>
      </w:r>
      <w:r w:rsidR="0039425B">
        <w:rPr>
          <w:i/>
          <w:iCs/>
        </w:rPr>
        <w:t>12h00</w:t>
      </w:r>
      <w:r w:rsidRPr="009D7E4D">
        <w:rPr>
          <w:i/>
          <w:iCs/>
          <w:color w:val="242121"/>
          <w:lang w:eastAsia="en-ZA"/>
        </w:rPr>
        <w:t xml:space="preserve"> on </w:t>
      </w:r>
      <w:r w:rsidR="0039425B">
        <w:rPr>
          <w:i/>
          <w:iCs/>
        </w:rPr>
        <w:t>10 April 2024</w:t>
      </w:r>
      <w:r w:rsidRPr="009D7E4D">
        <w:rPr>
          <w:i/>
          <w:iCs/>
          <w:color w:val="242121"/>
          <w:lang w:eastAsia="en-ZA"/>
        </w:rPr>
        <w:t>.</w:t>
      </w:r>
    </w:p>
    <w:p w14:paraId="4A8D49F6" w14:textId="77777777" w:rsidR="00797C7C" w:rsidRPr="009D7E4D" w:rsidRDefault="00797C7C" w:rsidP="00797C7C">
      <w:pPr>
        <w:rPr>
          <w:lang w:eastAsia="en-ZA"/>
        </w:rPr>
      </w:pPr>
    </w:p>
    <w:p w14:paraId="295B2F9F" w14:textId="54DD64F6" w:rsidR="00797C7C" w:rsidRPr="008C5DC6" w:rsidRDefault="008C5DC6" w:rsidP="00797C7C">
      <w:pPr>
        <w:rPr>
          <w:rFonts w:ascii="Verdana" w:hAnsi="Verdana" w:cs="Times New Roman"/>
          <w:b/>
          <w:bCs/>
          <w:color w:val="242121"/>
          <w:sz w:val="27"/>
          <w:szCs w:val="27"/>
          <w:lang w:eastAsia="en-ZA"/>
        </w:rPr>
      </w:pPr>
      <w:r w:rsidRPr="008C5DC6">
        <w:rPr>
          <w:b/>
          <w:bCs/>
          <w:color w:val="242121"/>
          <w:lang w:eastAsia="en-ZA"/>
        </w:rPr>
        <w:t>DATE OF HEARING:</w:t>
      </w:r>
      <w:r w:rsidRPr="008C5DC6">
        <w:rPr>
          <w:b/>
          <w:bCs/>
          <w:color w:val="242121"/>
          <w:lang w:eastAsia="en-ZA"/>
        </w:rPr>
        <w:tab/>
      </w:r>
      <w:r w:rsidR="004411F8">
        <w:rPr>
          <w:b/>
          <w:bCs/>
        </w:rPr>
        <w:t>27 MARCH 2024</w:t>
      </w:r>
    </w:p>
    <w:p w14:paraId="2A3EA4A7" w14:textId="0306EECA" w:rsidR="00797C7C" w:rsidRPr="008C5DC6" w:rsidRDefault="008C5DC6" w:rsidP="00797C7C">
      <w:pPr>
        <w:rPr>
          <w:rFonts w:ascii="Verdana" w:hAnsi="Verdana" w:cs="Times New Roman"/>
          <w:b/>
          <w:bCs/>
          <w:color w:val="242121"/>
          <w:sz w:val="27"/>
          <w:szCs w:val="27"/>
          <w:lang w:eastAsia="en-ZA"/>
        </w:rPr>
      </w:pPr>
      <w:r w:rsidRPr="008C5DC6">
        <w:rPr>
          <w:b/>
          <w:bCs/>
          <w:color w:val="242121"/>
          <w:lang w:eastAsia="en-ZA"/>
        </w:rPr>
        <w:t>DATE OF JUDGMENT:</w:t>
      </w:r>
      <w:r w:rsidRPr="008C5DC6">
        <w:rPr>
          <w:b/>
          <w:bCs/>
          <w:color w:val="242121"/>
          <w:lang w:eastAsia="en-ZA"/>
        </w:rPr>
        <w:tab/>
      </w:r>
      <w:r w:rsidR="0039425B">
        <w:rPr>
          <w:b/>
          <w:bCs/>
        </w:rPr>
        <w:t>10 APRIL 2024</w:t>
      </w:r>
    </w:p>
    <w:p w14:paraId="403F75DB" w14:textId="77777777" w:rsidR="00797C7C" w:rsidRDefault="00797C7C" w:rsidP="00797C7C">
      <w:pPr>
        <w:rPr>
          <w:lang w:eastAsia="en-ZA"/>
        </w:rPr>
      </w:pPr>
    </w:p>
    <w:p w14:paraId="481224A8" w14:textId="77777777" w:rsidR="00F55284" w:rsidRPr="009D7E4D" w:rsidRDefault="00F55284" w:rsidP="00797C7C">
      <w:pPr>
        <w:rPr>
          <w:lang w:eastAsia="en-ZA"/>
        </w:rPr>
      </w:pPr>
    </w:p>
    <w:p w14:paraId="5D992E92" w14:textId="77777777" w:rsidR="00797C7C" w:rsidRPr="008C5DC6" w:rsidRDefault="008C5DC6" w:rsidP="008C5DC6">
      <w:pPr>
        <w:tabs>
          <w:tab w:val="left" w:pos="4253"/>
        </w:tabs>
        <w:rPr>
          <w:rFonts w:ascii="Verdana" w:hAnsi="Verdana" w:cs="Times New Roman"/>
          <w:b/>
          <w:bCs/>
          <w:color w:val="242121"/>
          <w:sz w:val="27"/>
          <w:szCs w:val="27"/>
          <w:lang w:eastAsia="en-ZA"/>
        </w:rPr>
      </w:pPr>
      <w:r w:rsidRPr="008C5DC6">
        <w:rPr>
          <w:b/>
          <w:bCs/>
          <w:color w:val="242121"/>
          <w:lang w:eastAsia="en-ZA"/>
        </w:rPr>
        <w:t>APPEARANCES:</w:t>
      </w:r>
    </w:p>
    <w:p w14:paraId="589C72FA" w14:textId="42332F81" w:rsidR="00797C7C" w:rsidRDefault="008C5DC6" w:rsidP="00CC1BF6">
      <w:pPr>
        <w:tabs>
          <w:tab w:val="left" w:pos="5670"/>
        </w:tabs>
        <w:rPr>
          <w:b/>
          <w:bCs/>
        </w:rPr>
      </w:pPr>
      <w:r w:rsidRPr="008C5DC6">
        <w:rPr>
          <w:b/>
          <w:bCs/>
          <w:color w:val="242121"/>
          <w:lang w:eastAsia="en-ZA"/>
        </w:rPr>
        <w:lastRenderedPageBreak/>
        <w:t xml:space="preserve">COUNSEL FOR THE </w:t>
      </w:r>
      <w:r w:rsidR="0039425B">
        <w:rPr>
          <w:b/>
          <w:bCs/>
          <w:color w:val="242121"/>
          <w:lang w:eastAsia="en-ZA"/>
        </w:rPr>
        <w:t>APPLICANT</w:t>
      </w:r>
      <w:r w:rsidRPr="008C5DC6">
        <w:rPr>
          <w:b/>
          <w:bCs/>
          <w:color w:val="242121"/>
          <w:lang w:eastAsia="en-ZA"/>
        </w:rPr>
        <w:t>:</w:t>
      </w:r>
      <w:r w:rsidRPr="008C5DC6">
        <w:rPr>
          <w:b/>
          <w:bCs/>
          <w:color w:val="242121"/>
          <w:lang w:eastAsia="en-ZA"/>
        </w:rPr>
        <w:tab/>
      </w:r>
      <w:r w:rsidR="004411F8">
        <w:rPr>
          <w:b/>
          <w:bCs/>
        </w:rPr>
        <w:t>D B NTSEBEZA SC</w:t>
      </w:r>
    </w:p>
    <w:p w14:paraId="10420E12" w14:textId="18AA01CC" w:rsidR="004411F8" w:rsidRDefault="004411F8" w:rsidP="00CC1BF6">
      <w:pPr>
        <w:tabs>
          <w:tab w:val="left" w:pos="5670"/>
        </w:tabs>
        <w:rPr>
          <w:b/>
          <w:bCs/>
        </w:rPr>
      </w:pPr>
      <w:r>
        <w:rPr>
          <w:b/>
          <w:bCs/>
        </w:rPr>
        <w:tab/>
        <w:t>M QOFA</w:t>
      </w:r>
    </w:p>
    <w:p w14:paraId="05C700DE" w14:textId="6D8544D3" w:rsidR="004411F8" w:rsidRPr="008C5DC6" w:rsidRDefault="004411F8" w:rsidP="00CC1BF6">
      <w:pPr>
        <w:tabs>
          <w:tab w:val="left" w:pos="5670"/>
        </w:tabs>
        <w:rPr>
          <w:rFonts w:ascii="Verdana" w:hAnsi="Verdana" w:cs="Times New Roman"/>
          <w:b/>
          <w:bCs/>
          <w:color w:val="242121"/>
          <w:sz w:val="27"/>
          <w:szCs w:val="27"/>
          <w:lang w:eastAsia="en-ZA"/>
        </w:rPr>
      </w:pPr>
      <w:r>
        <w:rPr>
          <w:b/>
          <w:bCs/>
        </w:rPr>
        <w:tab/>
        <w:t>A MABENTSELA</w:t>
      </w:r>
    </w:p>
    <w:p w14:paraId="04F3B5CB" w14:textId="3242ED29" w:rsidR="00797C7C" w:rsidRPr="008C5DC6" w:rsidRDefault="008C5DC6" w:rsidP="004411F8">
      <w:pPr>
        <w:tabs>
          <w:tab w:val="left" w:pos="5670"/>
        </w:tabs>
        <w:ind w:left="5670" w:hanging="5670"/>
        <w:rPr>
          <w:rFonts w:ascii="Verdana" w:hAnsi="Verdana" w:cs="Times New Roman"/>
          <w:b/>
          <w:bCs/>
          <w:color w:val="242121"/>
          <w:sz w:val="27"/>
          <w:szCs w:val="27"/>
          <w:lang w:eastAsia="en-ZA"/>
        </w:rPr>
      </w:pPr>
      <w:r w:rsidRPr="008C5DC6">
        <w:rPr>
          <w:b/>
          <w:bCs/>
          <w:color w:val="242121"/>
          <w:lang w:eastAsia="en-ZA"/>
        </w:rPr>
        <w:t xml:space="preserve">ATTORNEY FOR THE </w:t>
      </w:r>
      <w:r w:rsidR="0039425B">
        <w:rPr>
          <w:b/>
          <w:bCs/>
          <w:color w:val="242121"/>
          <w:lang w:eastAsia="en-ZA"/>
        </w:rPr>
        <w:t>APPLICANT</w:t>
      </w:r>
      <w:r w:rsidRPr="008C5DC6">
        <w:rPr>
          <w:b/>
          <w:bCs/>
          <w:color w:val="242121"/>
          <w:lang w:eastAsia="en-ZA"/>
        </w:rPr>
        <w:t>:</w:t>
      </w:r>
      <w:r w:rsidRPr="008C5DC6">
        <w:rPr>
          <w:b/>
          <w:bCs/>
          <w:color w:val="242121"/>
          <w:lang w:eastAsia="en-ZA"/>
        </w:rPr>
        <w:tab/>
      </w:r>
      <w:r w:rsidR="004411F8">
        <w:rPr>
          <w:b/>
          <w:bCs/>
        </w:rPr>
        <w:t>NYAPOSTE INCORPORATED ATTORNEYS</w:t>
      </w:r>
    </w:p>
    <w:p w14:paraId="1491DF7A" w14:textId="182EE85D" w:rsidR="00797C7C" w:rsidRDefault="008C5DC6" w:rsidP="00CC1BF6">
      <w:pPr>
        <w:tabs>
          <w:tab w:val="left" w:pos="5670"/>
        </w:tabs>
        <w:rPr>
          <w:b/>
          <w:bCs/>
        </w:rPr>
      </w:pPr>
      <w:r w:rsidRPr="008C5DC6">
        <w:rPr>
          <w:b/>
          <w:bCs/>
          <w:color w:val="242121"/>
          <w:lang w:eastAsia="en-ZA"/>
        </w:rPr>
        <w:t xml:space="preserve">COUNSEL FOR THE </w:t>
      </w:r>
      <w:r w:rsidR="0039425B">
        <w:rPr>
          <w:b/>
          <w:bCs/>
          <w:color w:val="242121"/>
          <w:lang w:eastAsia="en-ZA"/>
        </w:rPr>
        <w:t>1</w:t>
      </w:r>
      <w:r w:rsidR="0039425B" w:rsidRPr="0039425B">
        <w:rPr>
          <w:b/>
          <w:bCs/>
          <w:color w:val="242121"/>
          <w:vertAlign w:val="superscript"/>
          <w:lang w:eastAsia="en-ZA"/>
        </w:rPr>
        <w:t>st</w:t>
      </w:r>
      <w:r w:rsidR="0039425B">
        <w:rPr>
          <w:b/>
          <w:bCs/>
          <w:color w:val="242121"/>
          <w:lang w:eastAsia="en-ZA"/>
        </w:rPr>
        <w:t xml:space="preserve"> AND 2</w:t>
      </w:r>
      <w:r w:rsidR="0039425B" w:rsidRPr="0039425B">
        <w:rPr>
          <w:b/>
          <w:bCs/>
          <w:color w:val="242121"/>
          <w:vertAlign w:val="superscript"/>
          <w:lang w:eastAsia="en-ZA"/>
        </w:rPr>
        <w:t>nd</w:t>
      </w:r>
      <w:r w:rsidR="0039425B">
        <w:rPr>
          <w:b/>
          <w:bCs/>
          <w:color w:val="242121"/>
          <w:lang w:eastAsia="en-ZA"/>
        </w:rPr>
        <w:t xml:space="preserve"> RESPONDENTS</w:t>
      </w:r>
      <w:r w:rsidRPr="008C5DC6">
        <w:rPr>
          <w:b/>
          <w:bCs/>
          <w:color w:val="242121"/>
          <w:lang w:eastAsia="en-ZA"/>
        </w:rPr>
        <w:t>:</w:t>
      </w:r>
      <w:r w:rsidRPr="008C5DC6">
        <w:rPr>
          <w:b/>
          <w:bCs/>
          <w:color w:val="242121"/>
          <w:lang w:eastAsia="en-ZA"/>
        </w:rPr>
        <w:tab/>
      </w:r>
      <w:r w:rsidR="004411F8">
        <w:rPr>
          <w:b/>
          <w:bCs/>
        </w:rPr>
        <w:t>V SONI SC</w:t>
      </w:r>
    </w:p>
    <w:p w14:paraId="1D8B2118" w14:textId="5ABAA78B" w:rsidR="004411F8" w:rsidRPr="008C5DC6" w:rsidRDefault="004411F8" w:rsidP="00CC1BF6">
      <w:pPr>
        <w:tabs>
          <w:tab w:val="left" w:pos="5670"/>
        </w:tabs>
        <w:rPr>
          <w:rFonts w:ascii="Verdana" w:hAnsi="Verdana" w:cs="Times New Roman"/>
          <w:b/>
          <w:bCs/>
          <w:color w:val="242121"/>
          <w:sz w:val="27"/>
          <w:szCs w:val="27"/>
          <w:lang w:eastAsia="en-ZA"/>
        </w:rPr>
      </w:pPr>
      <w:r>
        <w:rPr>
          <w:b/>
          <w:bCs/>
        </w:rPr>
        <w:tab/>
        <w:t>B SOCKIWA</w:t>
      </w:r>
    </w:p>
    <w:p w14:paraId="3B36FDAC" w14:textId="529A6898" w:rsidR="00A737DA" w:rsidRDefault="008C5DC6" w:rsidP="00CC1BF6">
      <w:pPr>
        <w:tabs>
          <w:tab w:val="left" w:pos="5670"/>
        </w:tabs>
        <w:rPr>
          <w:b/>
          <w:bCs/>
        </w:rPr>
      </w:pPr>
      <w:r w:rsidRPr="008C5DC6">
        <w:rPr>
          <w:b/>
          <w:bCs/>
          <w:color w:val="242121"/>
          <w:lang w:eastAsia="en-ZA"/>
        </w:rPr>
        <w:t xml:space="preserve">ATTORNEY FOR THE </w:t>
      </w:r>
      <w:r w:rsidR="0039425B">
        <w:rPr>
          <w:b/>
          <w:bCs/>
          <w:color w:val="242121"/>
          <w:lang w:eastAsia="en-ZA"/>
        </w:rPr>
        <w:t>1</w:t>
      </w:r>
      <w:r w:rsidR="0039425B" w:rsidRPr="0039425B">
        <w:rPr>
          <w:b/>
          <w:bCs/>
          <w:color w:val="242121"/>
          <w:vertAlign w:val="superscript"/>
          <w:lang w:eastAsia="en-ZA"/>
        </w:rPr>
        <w:t>st</w:t>
      </w:r>
      <w:r w:rsidR="0039425B">
        <w:rPr>
          <w:b/>
          <w:bCs/>
          <w:color w:val="242121"/>
          <w:lang w:eastAsia="en-ZA"/>
        </w:rPr>
        <w:t xml:space="preserve"> AND 2</w:t>
      </w:r>
      <w:r w:rsidR="0039425B" w:rsidRPr="0039425B">
        <w:rPr>
          <w:b/>
          <w:bCs/>
          <w:color w:val="242121"/>
          <w:vertAlign w:val="superscript"/>
          <w:lang w:eastAsia="en-ZA"/>
        </w:rPr>
        <w:t>nd</w:t>
      </w:r>
      <w:r w:rsidR="0039425B">
        <w:rPr>
          <w:b/>
          <w:bCs/>
          <w:color w:val="242121"/>
          <w:lang w:eastAsia="en-ZA"/>
        </w:rPr>
        <w:t xml:space="preserve"> RESPONDENTS</w:t>
      </w:r>
      <w:r w:rsidRPr="008C5DC6">
        <w:rPr>
          <w:b/>
          <w:bCs/>
          <w:color w:val="242121"/>
          <w:lang w:eastAsia="en-ZA"/>
        </w:rPr>
        <w:t>:</w:t>
      </w:r>
      <w:r>
        <w:rPr>
          <w:b/>
          <w:bCs/>
          <w:color w:val="242121"/>
          <w:lang w:eastAsia="en-ZA"/>
        </w:rPr>
        <w:tab/>
      </w:r>
      <w:r w:rsidR="004411F8">
        <w:rPr>
          <w:b/>
          <w:bCs/>
        </w:rPr>
        <w:t>P H ATTORNEYS</w:t>
      </w:r>
    </w:p>
    <w:p w14:paraId="5BEC2301" w14:textId="6C196531" w:rsidR="0039425B" w:rsidRPr="008C5DC6" w:rsidRDefault="0039425B" w:rsidP="0039425B">
      <w:pPr>
        <w:tabs>
          <w:tab w:val="left" w:pos="5670"/>
        </w:tabs>
        <w:rPr>
          <w:rFonts w:ascii="Verdana" w:hAnsi="Verdana" w:cs="Times New Roman"/>
          <w:b/>
          <w:bCs/>
          <w:color w:val="242121"/>
          <w:sz w:val="27"/>
          <w:szCs w:val="27"/>
          <w:lang w:eastAsia="en-ZA"/>
        </w:rPr>
      </w:pPr>
      <w:r w:rsidRPr="008C5DC6">
        <w:rPr>
          <w:b/>
          <w:bCs/>
          <w:color w:val="242121"/>
          <w:lang w:eastAsia="en-ZA"/>
        </w:rPr>
        <w:t xml:space="preserve">COUNSEL FOR THE </w:t>
      </w:r>
      <w:r>
        <w:rPr>
          <w:b/>
          <w:bCs/>
          <w:color w:val="242121"/>
          <w:lang w:eastAsia="en-ZA"/>
        </w:rPr>
        <w:t>3</w:t>
      </w:r>
      <w:r w:rsidRPr="0039425B">
        <w:rPr>
          <w:b/>
          <w:bCs/>
          <w:color w:val="242121"/>
          <w:vertAlign w:val="superscript"/>
          <w:lang w:eastAsia="en-ZA"/>
        </w:rPr>
        <w:t>rd</w:t>
      </w:r>
      <w:r>
        <w:rPr>
          <w:b/>
          <w:bCs/>
          <w:color w:val="242121"/>
          <w:lang w:eastAsia="en-ZA"/>
        </w:rPr>
        <w:t xml:space="preserve"> RESPONDENT</w:t>
      </w:r>
      <w:r w:rsidRPr="008C5DC6">
        <w:rPr>
          <w:b/>
          <w:bCs/>
          <w:color w:val="242121"/>
          <w:lang w:eastAsia="en-ZA"/>
        </w:rPr>
        <w:t>:</w:t>
      </w:r>
      <w:r w:rsidRPr="008C5DC6">
        <w:rPr>
          <w:b/>
          <w:bCs/>
          <w:color w:val="242121"/>
          <w:lang w:eastAsia="en-ZA"/>
        </w:rPr>
        <w:tab/>
      </w:r>
      <w:r w:rsidR="004411F8">
        <w:rPr>
          <w:b/>
          <w:bCs/>
        </w:rPr>
        <w:t>T MASEVHE</w:t>
      </w:r>
    </w:p>
    <w:p w14:paraId="0D07D69A" w14:textId="2ECACC3F" w:rsidR="0039425B" w:rsidRDefault="0039425B" w:rsidP="0039425B">
      <w:pPr>
        <w:tabs>
          <w:tab w:val="left" w:pos="5670"/>
        </w:tabs>
        <w:rPr>
          <w:b/>
          <w:bCs/>
        </w:rPr>
      </w:pPr>
      <w:r w:rsidRPr="008C5DC6">
        <w:rPr>
          <w:b/>
          <w:bCs/>
          <w:color w:val="242121"/>
          <w:lang w:eastAsia="en-ZA"/>
        </w:rPr>
        <w:t xml:space="preserve">ATTORNEY FOR THE </w:t>
      </w:r>
      <w:r>
        <w:rPr>
          <w:b/>
          <w:bCs/>
          <w:color w:val="242121"/>
          <w:lang w:eastAsia="en-ZA"/>
        </w:rPr>
        <w:t>3</w:t>
      </w:r>
      <w:r w:rsidRPr="0039425B">
        <w:rPr>
          <w:b/>
          <w:bCs/>
          <w:color w:val="242121"/>
          <w:vertAlign w:val="superscript"/>
          <w:lang w:eastAsia="en-ZA"/>
        </w:rPr>
        <w:t>rd</w:t>
      </w:r>
      <w:r>
        <w:rPr>
          <w:b/>
          <w:bCs/>
          <w:color w:val="242121"/>
          <w:lang w:eastAsia="en-ZA"/>
        </w:rPr>
        <w:t xml:space="preserve"> RESPONDENT</w:t>
      </w:r>
      <w:r w:rsidRPr="008C5DC6">
        <w:rPr>
          <w:b/>
          <w:bCs/>
          <w:color w:val="242121"/>
          <w:lang w:eastAsia="en-ZA"/>
        </w:rPr>
        <w:t>:</w:t>
      </w:r>
      <w:r>
        <w:rPr>
          <w:b/>
          <w:bCs/>
          <w:color w:val="242121"/>
          <w:lang w:eastAsia="en-ZA"/>
        </w:rPr>
        <w:tab/>
      </w:r>
      <w:r w:rsidR="004411F8">
        <w:rPr>
          <w:b/>
          <w:bCs/>
        </w:rPr>
        <w:t>STATE ATTORNEY</w:t>
      </w:r>
    </w:p>
    <w:p w14:paraId="4A453417" w14:textId="77777777" w:rsidR="0039425B" w:rsidRDefault="0039425B" w:rsidP="00CC1BF6">
      <w:pPr>
        <w:tabs>
          <w:tab w:val="left" w:pos="5670"/>
        </w:tabs>
        <w:rPr>
          <w:b/>
          <w:bCs/>
        </w:rPr>
      </w:pPr>
    </w:p>
    <w:p w14:paraId="6EE6B956" w14:textId="77777777" w:rsidR="0039425B" w:rsidRPr="008C5DC6" w:rsidRDefault="0039425B" w:rsidP="00CC1BF6">
      <w:pPr>
        <w:tabs>
          <w:tab w:val="left" w:pos="5670"/>
        </w:tabs>
        <w:rPr>
          <w:b/>
          <w:bCs/>
        </w:rPr>
      </w:pPr>
    </w:p>
    <w:sectPr w:rsidR="0039425B" w:rsidRPr="008C5DC6" w:rsidSect="00A64656">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A5F9E" w14:textId="77777777" w:rsidR="00A64656" w:rsidRDefault="00A64656" w:rsidP="00AA34D9">
      <w:pPr>
        <w:spacing w:line="240" w:lineRule="auto"/>
      </w:pPr>
      <w:r>
        <w:separator/>
      </w:r>
    </w:p>
  </w:endnote>
  <w:endnote w:type="continuationSeparator" w:id="0">
    <w:p w14:paraId="6B73B7E7" w14:textId="77777777" w:rsidR="00A64656" w:rsidRDefault="00A64656" w:rsidP="00AA3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E42DD5" w14:textId="77777777" w:rsidR="00A64656" w:rsidRDefault="00A64656" w:rsidP="00AA34D9">
      <w:pPr>
        <w:spacing w:line="240" w:lineRule="auto"/>
      </w:pPr>
      <w:r>
        <w:separator/>
      </w:r>
    </w:p>
  </w:footnote>
  <w:footnote w:type="continuationSeparator" w:id="0">
    <w:p w14:paraId="0B05D264" w14:textId="77777777" w:rsidR="00A64656" w:rsidRDefault="00A64656" w:rsidP="00AA34D9">
      <w:pPr>
        <w:spacing w:line="240" w:lineRule="auto"/>
      </w:pPr>
      <w:r>
        <w:continuationSeparator/>
      </w:r>
    </w:p>
  </w:footnote>
  <w:footnote w:id="1">
    <w:p w14:paraId="79CB4490" w14:textId="77777777" w:rsidR="007E3FD8" w:rsidRPr="00292498" w:rsidRDefault="007E3FD8" w:rsidP="007E3FD8">
      <w:pPr>
        <w:pStyle w:val="FootnoteText"/>
        <w:rPr>
          <w:lang w:val="en-ZA"/>
        </w:rPr>
      </w:pPr>
      <w:r>
        <w:rPr>
          <w:rStyle w:val="FootnoteReference"/>
        </w:rPr>
        <w:footnoteRef/>
      </w:r>
      <w:r>
        <w:t xml:space="preserve"> </w:t>
      </w:r>
      <w:r>
        <w:rPr>
          <w:lang w:val="en-ZA"/>
        </w:rPr>
        <w:tab/>
      </w:r>
      <w:r w:rsidRPr="00292498">
        <w:rPr>
          <w:b/>
          <w:bCs/>
          <w:lang w:val="en-ZA"/>
        </w:rPr>
        <w:t>Attorney-General</w:t>
      </w:r>
      <w:r>
        <w:rPr>
          <w:b/>
          <w:bCs/>
          <w:lang w:val="en-ZA"/>
        </w:rPr>
        <w:t>,</w:t>
      </w:r>
      <w:r w:rsidRPr="00292498">
        <w:rPr>
          <w:b/>
          <w:bCs/>
          <w:lang w:val="en-ZA"/>
        </w:rPr>
        <w:t xml:space="preserve"> Eastern Cape v Blom and Others</w:t>
      </w:r>
      <w:r>
        <w:rPr>
          <w:lang w:val="en-ZA"/>
        </w:rPr>
        <w:t xml:space="preserve"> 1988 (4) SA 645 (A) at 460 F to I</w:t>
      </w:r>
    </w:p>
  </w:footnote>
  <w:footnote w:id="2">
    <w:p w14:paraId="2C3E6823" w14:textId="6FF1B811" w:rsidR="00C7636A" w:rsidRDefault="00C7636A">
      <w:pPr>
        <w:pStyle w:val="FootnoteText"/>
      </w:pPr>
      <w:r>
        <w:rPr>
          <w:rStyle w:val="FootnoteReference"/>
        </w:rPr>
        <w:footnoteRef/>
      </w:r>
      <w:r>
        <w:t xml:space="preserve"> </w:t>
      </w:r>
      <w:r>
        <w:tab/>
      </w:r>
      <w:r w:rsidRPr="00C7636A">
        <w:rPr>
          <w:b/>
          <w:bCs/>
        </w:rPr>
        <w:t>Steinberg v Cosmopolitan National Bank of Chicago</w:t>
      </w:r>
      <w:r>
        <w:t xml:space="preserve"> 1973 (3) SA 885 (RA)</w:t>
      </w:r>
      <w:r w:rsidR="009C1117">
        <w:t xml:space="preserve"> at </w:t>
      </w:r>
    </w:p>
  </w:footnote>
  <w:footnote w:id="3">
    <w:p w14:paraId="57C33DD4" w14:textId="49B1E4C3" w:rsidR="009C1117" w:rsidRDefault="009C1117">
      <w:pPr>
        <w:pStyle w:val="FootnoteText"/>
      </w:pPr>
      <w:r>
        <w:rPr>
          <w:rStyle w:val="FootnoteReference"/>
        </w:rPr>
        <w:footnoteRef/>
      </w:r>
      <w:r>
        <w:t xml:space="preserve"> </w:t>
      </w:r>
      <w:r>
        <w:tab/>
      </w:r>
      <w:r w:rsidRPr="009C1117">
        <w:rPr>
          <w:b/>
          <w:bCs/>
        </w:rPr>
        <w:t>Clegg v Priestly</w:t>
      </w:r>
      <w:r>
        <w:t xml:space="preserve"> 1985 (3) SA 950 (W) at 945 F</w:t>
      </w:r>
      <w:r w:rsidR="00DE0E82">
        <w:t xml:space="preserve">; </w:t>
      </w:r>
      <w:r w:rsidR="00DE0E82" w:rsidRPr="00DE0E82">
        <w:rPr>
          <w:b/>
          <w:bCs/>
        </w:rPr>
        <w:t xml:space="preserve">Interactive Trading 115 CC and Another v South African Securitisation Programme and Others </w:t>
      </w:r>
      <w:r w:rsidR="00DE0E82">
        <w:t>2019 (5) SA 174 (LP) at [7]</w:t>
      </w:r>
    </w:p>
  </w:footnote>
  <w:footnote w:id="4">
    <w:p w14:paraId="3516D040" w14:textId="7AA7A080" w:rsidR="009C1117" w:rsidRDefault="009C1117">
      <w:pPr>
        <w:pStyle w:val="FootnoteText"/>
      </w:pPr>
      <w:r>
        <w:rPr>
          <w:rStyle w:val="FootnoteReference"/>
        </w:rPr>
        <w:footnoteRef/>
      </w:r>
      <w:r>
        <w:t xml:space="preserve"> </w:t>
      </w:r>
      <w:r>
        <w:tab/>
      </w:r>
      <w:r w:rsidRPr="004A57A7">
        <w:rPr>
          <w:b/>
          <w:bCs/>
        </w:rPr>
        <w:t>Amalgamated Engineering Union v Minister of Labour</w:t>
      </w:r>
      <w:r w:rsidR="004A57A7">
        <w:t xml:space="preserve"> 1949 (3) SA 637 (A) at 651 </w:t>
      </w:r>
    </w:p>
  </w:footnote>
  <w:footnote w:id="5">
    <w:p w14:paraId="777C00EE" w14:textId="46EEDA5F" w:rsidR="00DE0E82" w:rsidRDefault="00DE0E82">
      <w:pPr>
        <w:pStyle w:val="FootnoteText"/>
      </w:pPr>
      <w:r>
        <w:rPr>
          <w:rStyle w:val="FootnoteReference"/>
        </w:rPr>
        <w:footnoteRef/>
      </w:r>
      <w:r>
        <w:t xml:space="preserve"> </w:t>
      </w:r>
      <w:r>
        <w:tab/>
      </w:r>
      <w:r w:rsidRPr="00DE0E82">
        <w:rPr>
          <w:b/>
          <w:bCs/>
        </w:rPr>
        <w:t>Fraind v Nothman</w:t>
      </w:r>
      <w:r>
        <w:t xml:space="preserve"> 1991 (3) SA 837 (W) at 841 G - I</w:t>
      </w:r>
    </w:p>
  </w:footnote>
  <w:footnote w:id="6">
    <w:p w14:paraId="1D55F059" w14:textId="7FB46091" w:rsidR="00020976" w:rsidRDefault="00020976">
      <w:pPr>
        <w:pStyle w:val="FootnoteText"/>
      </w:pPr>
      <w:r>
        <w:rPr>
          <w:rStyle w:val="FootnoteReference"/>
        </w:rPr>
        <w:footnoteRef/>
      </w:r>
      <w:r>
        <w:t xml:space="preserve"> </w:t>
      </w:r>
      <w:r>
        <w:tab/>
      </w:r>
      <w:r w:rsidRPr="00020976">
        <w:rPr>
          <w:b/>
          <w:bCs/>
        </w:rPr>
        <w:t>Bekker v Meyring, Bekker’s Executor</w:t>
      </w:r>
      <w:r>
        <w:t xml:space="preserve"> (1828 – 1849) 2 Menz 436 approved and applied in </w:t>
      </w:r>
      <w:r w:rsidRPr="00020976">
        <w:rPr>
          <w:b/>
          <w:bCs/>
        </w:rPr>
        <w:t>Gordon v Department of health, KwaZulu Natal</w:t>
      </w:r>
      <w:r>
        <w:t xml:space="preserve"> 2008 (6) SA 522 (SCA) at [9] </w:t>
      </w:r>
    </w:p>
  </w:footnote>
  <w:footnote w:id="7">
    <w:p w14:paraId="15BD3198" w14:textId="18655219" w:rsidR="00020976" w:rsidRDefault="00020976">
      <w:pPr>
        <w:pStyle w:val="FootnoteText"/>
      </w:pPr>
      <w:r>
        <w:rPr>
          <w:rStyle w:val="FootnoteReference"/>
        </w:rPr>
        <w:footnoteRef/>
      </w:r>
      <w:r>
        <w:t xml:space="preserve"> </w:t>
      </w:r>
      <w:r>
        <w:tab/>
      </w:r>
      <w:r w:rsidRPr="00020976">
        <w:rPr>
          <w:b/>
          <w:bCs/>
        </w:rPr>
        <w:t>Henri Viljoen (Pty) Ltd v Awerbach Bros</w:t>
      </w:r>
      <w:r>
        <w:t xml:space="preserve"> 1953 (2) SA 151 (O) at 168 </w:t>
      </w:r>
      <w:r w:rsidR="004A57A7">
        <w:t>–</w:t>
      </w:r>
      <w:r>
        <w:t xml:space="preserve"> 70</w:t>
      </w:r>
      <w:r w:rsidR="004A57A7">
        <w:t xml:space="preserve">; </w:t>
      </w:r>
      <w:r w:rsidR="004A57A7" w:rsidRPr="004A57A7">
        <w:rPr>
          <w:b/>
          <w:bCs/>
        </w:rPr>
        <w:t>Amalgamated Engineering</w:t>
      </w:r>
      <w:r w:rsidR="004A57A7">
        <w:t xml:space="preserve"> (</w:t>
      </w:r>
      <w:r w:rsidR="004A57A7" w:rsidRPr="004A57A7">
        <w:rPr>
          <w:i/>
          <w:iCs/>
        </w:rPr>
        <w:t>supra</w:t>
      </w:r>
      <w:r w:rsidR="004A57A7">
        <w:t>)</w:t>
      </w:r>
    </w:p>
  </w:footnote>
  <w:footnote w:id="8">
    <w:p w14:paraId="1A27A6CC" w14:textId="2D249BC0" w:rsidR="008F4C03" w:rsidRDefault="008F4C03">
      <w:pPr>
        <w:pStyle w:val="FootnoteText"/>
      </w:pPr>
      <w:r>
        <w:rPr>
          <w:rStyle w:val="FootnoteReference"/>
        </w:rPr>
        <w:footnoteRef/>
      </w:r>
      <w:r>
        <w:t xml:space="preserve"> </w:t>
      </w:r>
      <w:r>
        <w:tab/>
      </w:r>
      <w:r w:rsidR="00034CDA">
        <w:rPr>
          <w:rFonts w:ascii="Aptos" w:hAnsi="Aptos"/>
          <w:b/>
          <w:bCs/>
          <w:color w:val="000000"/>
          <w:sz w:val="22"/>
          <w:szCs w:val="22"/>
        </w:rPr>
        <w:t>Chung-Fung (Pty) Ltd and Another v Mayfair Residents Association and Others</w:t>
      </w:r>
      <w:r w:rsidR="00034CDA">
        <w:rPr>
          <w:rStyle w:val="apple-converted-space"/>
          <w:rFonts w:ascii="Aptos" w:hAnsi="Aptos"/>
          <w:color w:val="000000"/>
          <w:sz w:val="22"/>
          <w:szCs w:val="22"/>
        </w:rPr>
        <w:t> </w:t>
      </w:r>
      <w:r w:rsidR="00034CDA">
        <w:rPr>
          <w:rFonts w:ascii="Aptos" w:hAnsi="Aptos"/>
          <w:color w:val="000000"/>
          <w:sz w:val="22"/>
          <w:szCs w:val="22"/>
        </w:rPr>
        <w:t>[2023] ZAGPJHC 1162 at [19]</w:t>
      </w:r>
    </w:p>
  </w:footnote>
  <w:footnote w:id="9">
    <w:p w14:paraId="1348A0D2" w14:textId="0648C419" w:rsidR="008F4C03" w:rsidRPr="00034CDA" w:rsidRDefault="008F4C03">
      <w:pPr>
        <w:pStyle w:val="FootnoteText"/>
      </w:pPr>
      <w:r>
        <w:rPr>
          <w:rStyle w:val="FootnoteReference"/>
        </w:rPr>
        <w:footnoteRef/>
      </w:r>
      <w:r>
        <w:t xml:space="preserve"> </w:t>
      </w:r>
      <w:r>
        <w:tab/>
      </w:r>
      <w:r w:rsidR="00034CDA" w:rsidRPr="00034CDA">
        <w:rPr>
          <w:b/>
          <w:bCs/>
        </w:rPr>
        <w:t>Lipschitz and Swartz, NNO v Markowitz</w:t>
      </w:r>
      <w:r w:rsidR="00034CDA">
        <w:t xml:space="preserve"> 1976 (3) SA 772 (W) at 775 H; </w:t>
      </w:r>
      <w:r w:rsidR="00034CDA">
        <w:rPr>
          <w:b/>
          <w:bCs/>
        </w:rPr>
        <w:t xml:space="preserve">Swissborough Diamond Mines (Pty) Ltd and Others v Government of the Republic of South Africa and Others </w:t>
      </w:r>
      <w:r w:rsidR="00034CDA">
        <w:t xml:space="preserve">1999 (2) SA 279 (T) at 324 F – H; </w:t>
      </w:r>
      <w:r w:rsidR="00034CDA" w:rsidRPr="008E1F43">
        <w:rPr>
          <w:b/>
          <w:bCs/>
        </w:rPr>
        <w:t>Hunter v Financial Sector Conduct Authority and Others</w:t>
      </w:r>
      <w:r w:rsidR="00034CDA">
        <w:t xml:space="preserve"> 2018 (6) SA 348 (CC) at </w:t>
      </w:r>
      <w:r w:rsidR="008E1F43">
        <w:t>[172]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966F3" w14:textId="74353473" w:rsidR="00645AF1" w:rsidRPr="00427437" w:rsidRDefault="00000000" w:rsidP="00701D37">
    <w:pPr>
      <w:pStyle w:val="Header"/>
      <w:spacing w:after="600" w:line="240" w:lineRule="auto"/>
      <w:jc w:val="center"/>
      <w:rPr>
        <w:b w:val="0"/>
      </w:rPr>
    </w:pPr>
    <w:sdt>
      <w:sdtPr>
        <w:id w:val="1227956365"/>
        <w:docPartObj>
          <w:docPartGallery w:val="Page Numbers (Top of Page)"/>
          <w:docPartUnique/>
        </w:docPartObj>
      </w:sdtPr>
      <w:sdtEndPr>
        <w:rPr>
          <w:b w:val="0"/>
          <w:noProof/>
        </w:rPr>
      </w:sdtEndPr>
      <w:sdtContent>
        <w:r w:rsidR="00645AF1" w:rsidRPr="00427437">
          <w:rPr>
            <w:b w:val="0"/>
          </w:rPr>
          <w:fldChar w:fldCharType="begin"/>
        </w:r>
        <w:r w:rsidR="00645AF1" w:rsidRPr="00427437">
          <w:rPr>
            <w:b w:val="0"/>
          </w:rPr>
          <w:instrText xml:space="preserve"> PAGE   \* MERGEFORMAT </w:instrText>
        </w:r>
        <w:r w:rsidR="00645AF1" w:rsidRPr="00427437">
          <w:rPr>
            <w:b w:val="0"/>
          </w:rPr>
          <w:fldChar w:fldCharType="separate"/>
        </w:r>
        <w:r w:rsidR="00C75C23">
          <w:rPr>
            <w:b w:val="0"/>
            <w:noProof/>
          </w:rPr>
          <w:t>2</w:t>
        </w:r>
        <w:r w:rsidR="00645AF1" w:rsidRPr="00427437">
          <w:rPr>
            <w:b w:val="0"/>
            <w:noProof/>
          </w:rPr>
          <w:fldChar w:fldCharType="end"/>
        </w:r>
      </w:sdtContent>
    </w:sdt>
  </w:p>
  <w:p w14:paraId="7EFF3963" w14:textId="77777777" w:rsidR="00645AF1" w:rsidRPr="00A441B2" w:rsidRDefault="00645AF1" w:rsidP="00391BBA">
    <w:pPr>
      <w:pStyle w:val="Header"/>
      <w:spacing w:line="240" w:lineRule="auto"/>
      <w:jc w:val="righ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9AC83" w14:textId="77777777" w:rsidR="00DF3EA8" w:rsidRDefault="00DF3EA8" w:rsidP="00DF3EA8">
    <w:pPr>
      <w:pStyle w:val="Header"/>
      <w:jc w:val="center"/>
    </w:pPr>
    <w:r w:rsidRPr="00073955">
      <w:rPr>
        <w:rFonts w:eastAsia="MS Mincho"/>
        <w:b w:val="0"/>
        <w:noProof/>
        <w:lang w:eastAsia="en-ZA"/>
      </w:rPr>
      <w:drawing>
        <wp:inline distT="0" distB="0" distL="0" distR="0" wp14:anchorId="0A9AC3A8" wp14:editId="6E50BA34">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FB003F7"/>
    <w:multiLevelType w:val="multilevel"/>
    <w:tmpl w:val="10AAB652"/>
    <w:lvl w:ilvl="0">
      <w:start w:val="1"/>
      <w:numFmt w:val="decimal"/>
      <w:lvlRestart w:val="0"/>
      <w:lvlText w:val="%1"/>
      <w:lvlJc w:val="left"/>
      <w:pPr>
        <w:tabs>
          <w:tab w:val="num" w:pos="850"/>
        </w:tabs>
        <w:ind w:left="850" w:hanging="850"/>
      </w:pPr>
      <w:rPr>
        <w:rFonts w:hint="default"/>
        <w:b w:val="0"/>
      </w:rPr>
    </w:lvl>
    <w:lvl w:ilvl="1">
      <w:start w:val="1"/>
      <w:numFmt w:val="decimal"/>
      <w:lvlText w:val="%1.%2"/>
      <w:lvlJc w:val="left"/>
      <w:pPr>
        <w:tabs>
          <w:tab w:val="num" w:pos="1701"/>
        </w:tabs>
        <w:ind w:left="1701" w:hanging="851"/>
      </w:pPr>
      <w:rPr>
        <w:rFonts w:hint="default"/>
        <w:b w:val="0"/>
      </w:rPr>
    </w:lvl>
    <w:lvl w:ilvl="2">
      <w:start w:val="1"/>
      <w:numFmt w:val="decimal"/>
      <w:lvlText w:val="%1.%2.%3"/>
      <w:lvlJc w:val="left"/>
      <w:pPr>
        <w:tabs>
          <w:tab w:val="num" w:pos="2551"/>
        </w:tabs>
        <w:ind w:left="2551" w:hanging="850"/>
      </w:pPr>
      <w:rPr>
        <w:rFonts w:hint="default"/>
      </w:rPr>
    </w:lvl>
    <w:lvl w:ilvl="3">
      <w:start w:val="1"/>
      <w:numFmt w:val="decimal"/>
      <w:lvlText w:val="%1.%2.%3.%4"/>
      <w:lvlJc w:val="left"/>
      <w:pPr>
        <w:tabs>
          <w:tab w:val="num" w:pos="3402"/>
        </w:tabs>
        <w:ind w:left="3402" w:hanging="851"/>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 w15:restartNumberingAfterBreak="0">
    <w:nsid w:val="156E4DBB"/>
    <w:multiLevelType w:val="hybridMultilevel"/>
    <w:tmpl w:val="FE38433C"/>
    <w:lvl w:ilvl="0" w:tplc="CBA4FB6C">
      <w:start w:val="1"/>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7875539"/>
    <w:multiLevelType w:val="hybridMultilevel"/>
    <w:tmpl w:val="CCEE46F0"/>
    <w:lvl w:ilvl="0" w:tplc="DF16DA6A">
      <w:start w:val="1"/>
      <w:numFmt w:val="decimal"/>
      <w:lvlText w:val="%1."/>
      <w:lvlJc w:val="left"/>
      <w:pPr>
        <w:ind w:left="720" w:hanging="360"/>
      </w:pPr>
      <w:rPr>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32D97258"/>
    <w:multiLevelType w:val="hybridMultilevel"/>
    <w:tmpl w:val="670E1F6A"/>
    <w:lvl w:ilvl="0" w:tplc="9C58597C">
      <w:start w:val="1"/>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4933571"/>
    <w:multiLevelType w:val="hybridMultilevel"/>
    <w:tmpl w:val="C0E82F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E037EEF"/>
    <w:multiLevelType w:val="multilevel"/>
    <w:tmpl w:val="BB36774E"/>
    <w:lvl w:ilvl="0">
      <w:start w:val="1"/>
      <w:numFmt w:val="decimal"/>
      <w:pStyle w:val="NUM1"/>
      <w:isLgl/>
      <w:lvlText w:val="[%1]"/>
      <w:lvlJc w:val="left"/>
      <w:pPr>
        <w:tabs>
          <w:tab w:val="num" w:pos="720"/>
        </w:tabs>
        <w:ind w:left="72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pPr>
        <w:tabs>
          <w:tab w:val="num" w:pos="1701"/>
        </w:tabs>
        <w:ind w:left="1701" w:hanging="981"/>
      </w:pPr>
      <w:rPr>
        <w:rFonts w:hint="default"/>
        <w:b w:val="0"/>
        <w:i w:val="0"/>
      </w:rPr>
    </w:lvl>
    <w:lvl w:ilvl="2">
      <w:start w:val="1"/>
      <w:numFmt w:val="decimal"/>
      <w:pStyle w:val="NUM3"/>
      <w:lvlText w:val="[%1.%2.%3]"/>
      <w:lvlJc w:val="left"/>
      <w:pPr>
        <w:tabs>
          <w:tab w:val="num" w:pos="2835"/>
        </w:tabs>
        <w:ind w:left="2835" w:hanging="1134"/>
      </w:pPr>
      <w:rPr>
        <w:rFonts w:hint="default"/>
      </w:rPr>
    </w:lvl>
    <w:lvl w:ilvl="3">
      <w:start w:val="1"/>
      <w:numFmt w:val="decimal"/>
      <w:pStyle w:val="NU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6D0BCA"/>
    <w:multiLevelType w:val="hybridMultilevel"/>
    <w:tmpl w:val="CD746FA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num w:numId="1" w16cid:durableId="654995675">
    <w:abstractNumId w:val="6"/>
  </w:num>
  <w:num w:numId="2" w16cid:durableId="6617360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6585732">
    <w:abstractNumId w:val="7"/>
  </w:num>
  <w:num w:numId="4" w16cid:durableId="2084062924">
    <w:abstractNumId w:val="1"/>
  </w:num>
  <w:num w:numId="5" w16cid:durableId="2143225696">
    <w:abstractNumId w:val="6"/>
  </w:num>
  <w:num w:numId="6" w16cid:durableId="1134173252">
    <w:abstractNumId w:val="5"/>
  </w:num>
  <w:num w:numId="7" w16cid:durableId="490684550">
    <w:abstractNumId w:val="6"/>
  </w:num>
  <w:num w:numId="8" w16cid:durableId="1758987603">
    <w:abstractNumId w:val="6"/>
  </w:num>
  <w:num w:numId="9" w16cid:durableId="1353803842">
    <w:abstractNumId w:val="0"/>
  </w:num>
  <w:num w:numId="10" w16cid:durableId="449983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9847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708403">
    <w:abstractNumId w:val="2"/>
  </w:num>
  <w:num w:numId="13" w16cid:durableId="203430908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2MDYwMjQwMzWyNDJX0lEKTi0uzszPAykwrAUAeBKqfiwAAAA="/>
  </w:docVars>
  <w:rsids>
    <w:rsidRoot w:val="00BB3672"/>
    <w:rsid w:val="00004382"/>
    <w:rsid w:val="0000717C"/>
    <w:rsid w:val="000108B1"/>
    <w:rsid w:val="00010B6C"/>
    <w:rsid w:val="00012668"/>
    <w:rsid w:val="0001309B"/>
    <w:rsid w:val="000137EE"/>
    <w:rsid w:val="00014402"/>
    <w:rsid w:val="000158B2"/>
    <w:rsid w:val="00016F06"/>
    <w:rsid w:val="00017D19"/>
    <w:rsid w:val="0002084A"/>
    <w:rsid w:val="00020976"/>
    <w:rsid w:val="00020E0A"/>
    <w:rsid w:val="000217F5"/>
    <w:rsid w:val="00024AAC"/>
    <w:rsid w:val="000322BE"/>
    <w:rsid w:val="00034CDA"/>
    <w:rsid w:val="0003519C"/>
    <w:rsid w:val="000376BD"/>
    <w:rsid w:val="00041D3F"/>
    <w:rsid w:val="000422F3"/>
    <w:rsid w:val="00043CBF"/>
    <w:rsid w:val="00045022"/>
    <w:rsid w:val="00045486"/>
    <w:rsid w:val="00051893"/>
    <w:rsid w:val="00057133"/>
    <w:rsid w:val="00057D22"/>
    <w:rsid w:val="00061515"/>
    <w:rsid w:val="0006213B"/>
    <w:rsid w:val="00063384"/>
    <w:rsid w:val="00064D3F"/>
    <w:rsid w:val="00067BDB"/>
    <w:rsid w:val="00067F98"/>
    <w:rsid w:val="0007238B"/>
    <w:rsid w:val="0007593F"/>
    <w:rsid w:val="000801F8"/>
    <w:rsid w:val="000824F2"/>
    <w:rsid w:val="00083A12"/>
    <w:rsid w:val="00084015"/>
    <w:rsid w:val="00084671"/>
    <w:rsid w:val="0008540E"/>
    <w:rsid w:val="000913B2"/>
    <w:rsid w:val="00091A74"/>
    <w:rsid w:val="000932D7"/>
    <w:rsid w:val="00093C96"/>
    <w:rsid w:val="000A709F"/>
    <w:rsid w:val="000B03B8"/>
    <w:rsid w:val="000B18B8"/>
    <w:rsid w:val="000B23EE"/>
    <w:rsid w:val="000B2E91"/>
    <w:rsid w:val="000B49CA"/>
    <w:rsid w:val="000B70CA"/>
    <w:rsid w:val="000B720E"/>
    <w:rsid w:val="000C2254"/>
    <w:rsid w:val="000C2810"/>
    <w:rsid w:val="000D0C94"/>
    <w:rsid w:val="000D5890"/>
    <w:rsid w:val="000E0DCC"/>
    <w:rsid w:val="000E1DE7"/>
    <w:rsid w:val="000E228E"/>
    <w:rsid w:val="000E339C"/>
    <w:rsid w:val="000E3E31"/>
    <w:rsid w:val="000F3132"/>
    <w:rsid w:val="000F5DDB"/>
    <w:rsid w:val="000F7588"/>
    <w:rsid w:val="001035AD"/>
    <w:rsid w:val="001056ED"/>
    <w:rsid w:val="00106D1E"/>
    <w:rsid w:val="00113FB5"/>
    <w:rsid w:val="001148A5"/>
    <w:rsid w:val="00115721"/>
    <w:rsid w:val="001159FC"/>
    <w:rsid w:val="00115FD1"/>
    <w:rsid w:val="00116E54"/>
    <w:rsid w:val="00123489"/>
    <w:rsid w:val="00123890"/>
    <w:rsid w:val="00125E01"/>
    <w:rsid w:val="001264D8"/>
    <w:rsid w:val="00127864"/>
    <w:rsid w:val="00130CD4"/>
    <w:rsid w:val="00130ED0"/>
    <w:rsid w:val="00132677"/>
    <w:rsid w:val="00134D0E"/>
    <w:rsid w:val="001355DF"/>
    <w:rsid w:val="00142EE1"/>
    <w:rsid w:val="00147FB6"/>
    <w:rsid w:val="0015180E"/>
    <w:rsid w:val="00151966"/>
    <w:rsid w:val="00152B72"/>
    <w:rsid w:val="001579AC"/>
    <w:rsid w:val="0016008C"/>
    <w:rsid w:val="00160E39"/>
    <w:rsid w:val="001616D0"/>
    <w:rsid w:val="00171C51"/>
    <w:rsid w:val="00176F60"/>
    <w:rsid w:val="00177F30"/>
    <w:rsid w:val="001804ED"/>
    <w:rsid w:val="00180FB2"/>
    <w:rsid w:val="001816E6"/>
    <w:rsid w:val="0018328E"/>
    <w:rsid w:val="001856D3"/>
    <w:rsid w:val="00192E51"/>
    <w:rsid w:val="001933B2"/>
    <w:rsid w:val="0019388E"/>
    <w:rsid w:val="00194F89"/>
    <w:rsid w:val="0019509D"/>
    <w:rsid w:val="00196357"/>
    <w:rsid w:val="001A2118"/>
    <w:rsid w:val="001A40B3"/>
    <w:rsid w:val="001A41C3"/>
    <w:rsid w:val="001A480C"/>
    <w:rsid w:val="001B00C8"/>
    <w:rsid w:val="001B174C"/>
    <w:rsid w:val="001B1F9D"/>
    <w:rsid w:val="001B1FD2"/>
    <w:rsid w:val="001B6E1C"/>
    <w:rsid w:val="001B6F4B"/>
    <w:rsid w:val="001C73A2"/>
    <w:rsid w:val="001C7A55"/>
    <w:rsid w:val="001E4A33"/>
    <w:rsid w:val="001E5998"/>
    <w:rsid w:val="001E7F67"/>
    <w:rsid w:val="001F72BA"/>
    <w:rsid w:val="001F72DA"/>
    <w:rsid w:val="001F7C7D"/>
    <w:rsid w:val="002046A6"/>
    <w:rsid w:val="00214A1C"/>
    <w:rsid w:val="0021742E"/>
    <w:rsid w:val="00217FC3"/>
    <w:rsid w:val="00221452"/>
    <w:rsid w:val="00225A4A"/>
    <w:rsid w:val="00230289"/>
    <w:rsid w:val="0023039E"/>
    <w:rsid w:val="00231F84"/>
    <w:rsid w:val="00232EF7"/>
    <w:rsid w:val="0023455B"/>
    <w:rsid w:val="00237F6E"/>
    <w:rsid w:val="00241084"/>
    <w:rsid w:val="00246E20"/>
    <w:rsid w:val="00252665"/>
    <w:rsid w:val="002537CD"/>
    <w:rsid w:val="00255244"/>
    <w:rsid w:val="002555DF"/>
    <w:rsid w:val="002560A3"/>
    <w:rsid w:val="00256D6F"/>
    <w:rsid w:val="002609A5"/>
    <w:rsid w:val="0026537A"/>
    <w:rsid w:val="00267695"/>
    <w:rsid w:val="00272DD5"/>
    <w:rsid w:val="00277A39"/>
    <w:rsid w:val="002806E3"/>
    <w:rsid w:val="00280B90"/>
    <w:rsid w:val="00286B9D"/>
    <w:rsid w:val="0029248A"/>
    <w:rsid w:val="00292498"/>
    <w:rsid w:val="0029300B"/>
    <w:rsid w:val="00294EB4"/>
    <w:rsid w:val="00295F2A"/>
    <w:rsid w:val="00296D2A"/>
    <w:rsid w:val="002A17FC"/>
    <w:rsid w:val="002A2DB0"/>
    <w:rsid w:val="002A4765"/>
    <w:rsid w:val="002A54B1"/>
    <w:rsid w:val="002A5B96"/>
    <w:rsid w:val="002A668F"/>
    <w:rsid w:val="002B0DB5"/>
    <w:rsid w:val="002B2004"/>
    <w:rsid w:val="002B412C"/>
    <w:rsid w:val="002B5439"/>
    <w:rsid w:val="002B7634"/>
    <w:rsid w:val="002C105D"/>
    <w:rsid w:val="002C49A3"/>
    <w:rsid w:val="002D0D34"/>
    <w:rsid w:val="002D30CE"/>
    <w:rsid w:val="002D3CB4"/>
    <w:rsid w:val="002D6963"/>
    <w:rsid w:val="002D7CF4"/>
    <w:rsid w:val="002E142C"/>
    <w:rsid w:val="002E25E7"/>
    <w:rsid w:val="002E2D25"/>
    <w:rsid w:val="002E41F1"/>
    <w:rsid w:val="002E4272"/>
    <w:rsid w:val="002E4308"/>
    <w:rsid w:val="002F004F"/>
    <w:rsid w:val="002F494F"/>
    <w:rsid w:val="002F68D6"/>
    <w:rsid w:val="002F6B54"/>
    <w:rsid w:val="00301C24"/>
    <w:rsid w:val="00302976"/>
    <w:rsid w:val="003046A0"/>
    <w:rsid w:val="00305208"/>
    <w:rsid w:val="00305E38"/>
    <w:rsid w:val="0031090F"/>
    <w:rsid w:val="00312187"/>
    <w:rsid w:val="00312EF1"/>
    <w:rsid w:val="003159AC"/>
    <w:rsid w:val="0032406F"/>
    <w:rsid w:val="00325172"/>
    <w:rsid w:val="00325D06"/>
    <w:rsid w:val="00334206"/>
    <w:rsid w:val="00336AAB"/>
    <w:rsid w:val="00341688"/>
    <w:rsid w:val="003421EC"/>
    <w:rsid w:val="00346379"/>
    <w:rsid w:val="003469F1"/>
    <w:rsid w:val="00347777"/>
    <w:rsid w:val="0035021C"/>
    <w:rsid w:val="003530D9"/>
    <w:rsid w:val="00353D7B"/>
    <w:rsid w:val="00354755"/>
    <w:rsid w:val="003547DA"/>
    <w:rsid w:val="00357221"/>
    <w:rsid w:val="00361706"/>
    <w:rsid w:val="00361CF3"/>
    <w:rsid w:val="0036596D"/>
    <w:rsid w:val="0036768B"/>
    <w:rsid w:val="003712EA"/>
    <w:rsid w:val="00371D8A"/>
    <w:rsid w:val="00374344"/>
    <w:rsid w:val="003760C9"/>
    <w:rsid w:val="003777E2"/>
    <w:rsid w:val="003808EE"/>
    <w:rsid w:val="0038133B"/>
    <w:rsid w:val="00381B61"/>
    <w:rsid w:val="00382A47"/>
    <w:rsid w:val="0038564A"/>
    <w:rsid w:val="0038738E"/>
    <w:rsid w:val="003907E4"/>
    <w:rsid w:val="003910F0"/>
    <w:rsid w:val="00391BBA"/>
    <w:rsid w:val="00392325"/>
    <w:rsid w:val="0039425B"/>
    <w:rsid w:val="0039689D"/>
    <w:rsid w:val="003974EC"/>
    <w:rsid w:val="003979CE"/>
    <w:rsid w:val="00397FF0"/>
    <w:rsid w:val="003A20CF"/>
    <w:rsid w:val="003A430F"/>
    <w:rsid w:val="003A46A4"/>
    <w:rsid w:val="003A4DE5"/>
    <w:rsid w:val="003A52E7"/>
    <w:rsid w:val="003A6288"/>
    <w:rsid w:val="003B1636"/>
    <w:rsid w:val="003B38E3"/>
    <w:rsid w:val="003B4B1B"/>
    <w:rsid w:val="003B523F"/>
    <w:rsid w:val="003B5659"/>
    <w:rsid w:val="003B574F"/>
    <w:rsid w:val="003B65D6"/>
    <w:rsid w:val="003C35EA"/>
    <w:rsid w:val="003C3D1F"/>
    <w:rsid w:val="003C3EA1"/>
    <w:rsid w:val="003C4213"/>
    <w:rsid w:val="003C5402"/>
    <w:rsid w:val="003C5F0B"/>
    <w:rsid w:val="003D0CA4"/>
    <w:rsid w:val="003D0E86"/>
    <w:rsid w:val="003D134D"/>
    <w:rsid w:val="003D1D1F"/>
    <w:rsid w:val="003D6338"/>
    <w:rsid w:val="003D6933"/>
    <w:rsid w:val="003D6BD7"/>
    <w:rsid w:val="003D6E52"/>
    <w:rsid w:val="003E09F0"/>
    <w:rsid w:val="003E0DDC"/>
    <w:rsid w:val="003E2088"/>
    <w:rsid w:val="003E5DFA"/>
    <w:rsid w:val="003F098C"/>
    <w:rsid w:val="003F23FE"/>
    <w:rsid w:val="003F2B0A"/>
    <w:rsid w:val="003F2C85"/>
    <w:rsid w:val="00400951"/>
    <w:rsid w:val="00403C41"/>
    <w:rsid w:val="00405028"/>
    <w:rsid w:val="00405C24"/>
    <w:rsid w:val="00405E60"/>
    <w:rsid w:val="004065F7"/>
    <w:rsid w:val="004132F8"/>
    <w:rsid w:val="00413658"/>
    <w:rsid w:val="004139B4"/>
    <w:rsid w:val="00414DB8"/>
    <w:rsid w:val="00417305"/>
    <w:rsid w:val="00420711"/>
    <w:rsid w:val="00422C4A"/>
    <w:rsid w:val="00426682"/>
    <w:rsid w:val="00427437"/>
    <w:rsid w:val="0042787C"/>
    <w:rsid w:val="00430701"/>
    <w:rsid w:val="00433703"/>
    <w:rsid w:val="0043572B"/>
    <w:rsid w:val="00435C12"/>
    <w:rsid w:val="004407C6"/>
    <w:rsid w:val="004411F8"/>
    <w:rsid w:val="00441E5B"/>
    <w:rsid w:val="00443C59"/>
    <w:rsid w:val="00445C40"/>
    <w:rsid w:val="00454576"/>
    <w:rsid w:val="00461D1B"/>
    <w:rsid w:val="00462598"/>
    <w:rsid w:val="004651ED"/>
    <w:rsid w:val="00467DBE"/>
    <w:rsid w:val="00467DFB"/>
    <w:rsid w:val="00470BE0"/>
    <w:rsid w:val="0047194E"/>
    <w:rsid w:val="004725CF"/>
    <w:rsid w:val="00472CED"/>
    <w:rsid w:val="004742CA"/>
    <w:rsid w:val="00474815"/>
    <w:rsid w:val="00475E08"/>
    <w:rsid w:val="00476B43"/>
    <w:rsid w:val="00481133"/>
    <w:rsid w:val="00484042"/>
    <w:rsid w:val="004842EC"/>
    <w:rsid w:val="0049440F"/>
    <w:rsid w:val="004A09AA"/>
    <w:rsid w:val="004A136C"/>
    <w:rsid w:val="004A27AE"/>
    <w:rsid w:val="004A3DCE"/>
    <w:rsid w:val="004A4DD7"/>
    <w:rsid w:val="004A57A7"/>
    <w:rsid w:val="004A602F"/>
    <w:rsid w:val="004A63BD"/>
    <w:rsid w:val="004B0FB9"/>
    <w:rsid w:val="004B1B5E"/>
    <w:rsid w:val="004B53A9"/>
    <w:rsid w:val="004C24C6"/>
    <w:rsid w:val="004C45E9"/>
    <w:rsid w:val="004C7D2F"/>
    <w:rsid w:val="004D0937"/>
    <w:rsid w:val="004D1117"/>
    <w:rsid w:val="004D1E79"/>
    <w:rsid w:val="004D2610"/>
    <w:rsid w:val="004D2D89"/>
    <w:rsid w:val="004D429B"/>
    <w:rsid w:val="004D6E6A"/>
    <w:rsid w:val="004D723A"/>
    <w:rsid w:val="004E215C"/>
    <w:rsid w:val="004E2BCB"/>
    <w:rsid w:val="004E48A2"/>
    <w:rsid w:val="004E7A8C"/>
    <w:rsid w:val="004F0B6A"/>
    <w:rsid w:val="004F1906"/>
    <w:rsid w:val="004F2F7A"/>
    <w:rsid w:val="004F4B64"/>
    <w:rsid w:val="00502685"/>
    <w:rsid w:val="00503414"/>
    <w:rsid w:val="00503FF7"/>
    <w:rsid w:val="005061B7"/>
    <w:rsid w:val="005076C7"/>
    <w:rsid w:val="00514487"/>
    <w:rsid w:val="0051495F"/>
    <w:rsid w:val="00517606"/>
    <w:rsid w:val="005178E8"/>
    <w:rsid w:val="00517962"/>
    <w:rsid w:val="00520ECE"/>
    <w:rsid w:val="00522DC0"/>
    <w:rsid w:val="00524EED"/>
    <w:rsid w:val="00526252"/>
    <w:rsid w:val="0053158D"/>
    <w:rsid w:val="00533084"/>
    <w:rsid w:val="00537C30"/>
    <w:rsid w:val="005404E9"/>
    <w:rsid w:val="00540E59"/>
    <w:rsid w:val="00544314"/>
    <w:rsid w:val="005471A8"/>
    <w:rsid w:val="0055439E"/>
    <w:rsid w:val="00557C17"/>
    <w:rsid w:val="005611C6"/>
    <w:rsid w:val="00562C90"/>
    <w:rsid w:val="00564CB0"/>
    <w:rsid w:val="00565A25"/>
    <w:rsid w:val="00567FEB"/>
    <w:rsid w:val="00571FA4"/>
    <w:rsid w:val="005727DB"/>
    <w:rsid w:val="00574363"/>
    <w:rsid w:val="00575611"/>
    <w:rsid w:val="00576547"/>
    <w:rsid w:val="0058433D"/>
    <w:rsid w:val="00585B9E"/>
    <w:rsid w:val="0058658A"/>
    <w:rsid w:val="00587A87"/>
    <w:rsid w:val="005949F9"/>
    <w:rsid w:val="00594A91"/>
    <w:rsid w:val="00596A83"/>
    <w:rsid w:val="00596F06"/>
    <w:rsid w:val="005B2A70"/>
    <w:rsid w:val="005B3B95"/>
    <w:rsid w:val="005B74FB"/>
    <w:rsid w:val="005C0338"/>
    <w:rsid w:val="005C10C8"/>
    <w:rsid w:val="005C4167"/>
    <w:rsid w:val="005C721F"/>
    <w:rsid w:val="005D205F"/>
    <w:rsid w:val="005D6D12"/>
    <w:rsid w:val="005E1924"/>
    <w:rsid w:val="005E1D81"/>
    <w:rsid w:val="005E3FCD"/>
    <w:rsid w:val="005E57B7"/>
    <w:rsid w:val="005F228B"/>
    <w:rsid w:val="005F4A3F"/>
    <w:rsid w:val="005F6826"/>
    <w:rsid w:val="00600744"/>
    <w:rsid w:val="006051F1"/>
    <w:rsid w:val="00605914"/>
    <w:rsid w:val="00606F99"/>
    <w:rsid w:val="0061020E"/>
    <w:rsid w:val="00610A05"/>
    <w:rsid w:val="00611CD7"/>
    <w:rsid w:val="0061374E"/>
    <w:rsid w:val="006175C2"/>
    <w:rsid w:val="00620D1D"/>
    <w:rsid w:val="00621903"/>
    <w:rsid w:val="00622331"/>
    <w:rsid w:val="00626126"/>
    <w:rsid w:val="00627123"/>
    <w:rsid w:val="00627A33"/>
    <w:rsid w:val="00627D74"/>
    <w:rsid w:val="00627E0A"/>
    <w:rsid w:val="006314C1"/>
    <w:rsid w:val="00636360"/>
    <w:rsid w:val="006365CA"/>
    <w:rsid w:val="0064034A"/>
    <w:rsid w:val="00640E4A"/>
    <w:rsid w:val="00641BF8"/>
    <w:rsid w:val="00645AF1"/>
    <w:rsid w:val="00647AD9"/>
    <w:rsid w:val="006552C4"/>
    <w:rsid w:val="00664D99"/>
    <w:rsid w:val="00665411"/>
    <w:rsid w:val="00665602"/>
    <w:rsid w:val="00666508"/>
    <w:rsid w:val="00672369"/>
    <w:rsid w:val="0067472C"/>
    <w:rsid w:val="00680512"/>
    <w:rsid w:val="00683BFE"/>
    <w:rsid w:val="00685CB4"/>
    <w:rsid w:val="0068653E"/>
    <w:rsid w:val="006922A9"/>
    <w:rsid w:val="00693033"/>
    <w:rsid w:val="006930A9"/>
    <w:rsid w:val="00693144"/>
    <w:rsid w:val="00696BAA"/>
    <w:rsid w:val="00697781"/>
    <w:rsid w:val="006A1287"/>
    <w:rsid w:val="006A440A"/>
    <w:rsid w:val="006A557C"/>
    <w:rsid w:val="006B0505"/>
    <w:rsid w:val="006B4F86"/>
    <w:rsid w:val="006C12A3"/>
    <w:rsid w:val="006C2A21"/>
    <w:rsid w:val="006C2A58"/>
    <w:rsid w:val="006C7759"/>
    <w:rsid w:val="006D0418"/>
    <w:rsid w:val="006D390A"/>
    <w:rsid w:val="006D4BBA"/>
    <w:rsid w:val="006D5815"/>
    <w:rsid w:val="006D7319"/>
    <w:rsid w:val="006D7BFF"/>
    <w:rsid w:val="006E110E"/>
    <w:rsid w:val="006E20F4"/>
    <w:rsid w:val="006E29FF"/>
    <w:rsid w:val="006E2C87"/>
    <w:rsid w:val="006E5E4B"/>
    <w:rsid w:val="006E6DF6"/>
    <w:rsid w:val="006F0C96"/>
    <w:rsid w:val="006F10B5"/>
    <w:rsid w:val="006F3F8D"/>
    <w:rsid w:val="006F5B7B"/>
    <w:rsid w:val="00701D37"/>
    <w:rsid w:val="00702914"/>
    <w:rsid w:val="0070338D"/>
    <w:rsid w:val="007048C1"/>
    <w:rsid w:val="00704FD0"/>
    <w:rsid w:val="007051FD"/>
    <w:rsid w:val="00705274"/>
    <w:rsid w:val="00710E7C"/>
    <w:rsid w:val="007142C2"/>
    <w:rsid w:val="00722014"/>
    <w:rsid w:val="00722473"/>
    <w:rsid w:val="00723753"/>
    <w:rsid w:val="00726A8C"/>
    <w:rsid w:val="00732251"/>
    <w:rsid w:val="00733F47"/>
    <w:rsid w:val="007342C6"/>
    <w:rsid w:val="00741690"/>
    <w:rsid w:val="00743B13"/>
    <w:rsid w:val="007447B0"/>
    <w:rsid w:val="007474B8"/>
    <w:rsid w:val="00750B6D"/>
    <w:rsid w:val="007525B5"/>
    <w:rsid w:val="00752A37"/>
    <w:rsid w:val="00752F7B"/>
    <w:rsid w:val="00753779"/>
    <w:rsid w:val="00753FCF"/>
    <w:rsid w:val="00757F7C"/>
    <w:rsid w:val="00760590"/>
    <w:rsid w:val="00760DD2"/>
    <w:rsid w:val="007616C5"/>
    <w:rsid w:val="00762FBB"/>
    <w:rsid w:val="00764EDA"/>
    <w:rsid w:val="00772C5F"/>
    <w:rsid w:val="00773CD1"/>
    <w:rsid w:val="00773D09"/>
    <w:rsid w:val="00776E8F"/>
    <w:rsid w:val="00777AF8"/>
    <w:rsid w:val="00785667"/>
    <w:rsid w:val="00785D20"/>
    <w:rsid w:val="00787CC2"/>
    <w:rsid w:val="007915A4"/>
    <w:rsid w:val="00792C12"/>
    <w:rsid w:val="00793BB8"/>
    <w:rsid w:val="00793FC1"/>
    <w:rsid w:val="00797C7C"/>
    <w:rsid w:val="007A0BD9"/>
    <w:rsid w:val="007A73DD"/>
    <w:rsid w:val="007B154B"/>
    <w:rsid w:val="007B15FC"/>
    <w:rsid w:val="007B4047"/>
    <w:rsid w:val="007B5A47"/>
    <w:rsid w:val="007C2BC5"/>
    <w:rsid w:val="007C3283"/>
    <w:rsid w:val="007C5B4C"/>
    <w:rsid w:val="007D46BD"/>
    <w:rsid w:val="007D5078"/>
    <w:rsid w:val="007D6C2F"/>
    <w:rsid w:val="007E0146"/>
    <w:rsid w:val="007E1F7C"/>
    <w:rsid w:val="007E21FC"/>
    <w:rsid w:val="007E2942"/>
    <w:rsid w:val="007E365F"/>
    <w:rsid w:val="007E3FD8"/>
    <w:rsid w:val="007E544C"/>
    <w:rsid w:val="007F050F"/>
    <w:rsid w:val="007F254E"/>
    <w:rsid w:val="007F3734"/>
    <w:rsid w:val="0080185E"/>
    <w:rsid w:val="00805E82"/>
    <w:rsid w:val="008070A0"/>
    <w:rsid w:val="00811137"/>
    <w:rsid w:val="00814CD2"/>
    <w:rsid w:val="008173A1"/>
    <w:rsid w:val="0082578B"/>
    <w:rsid w:val="00827FAC"/>
    <w:rsid w:val="0083289C"/>
    <w:rsid w:val="00833B60"/>
    <w:rsid w:val="00835E30"/>
    <w:rsid w:val="0083606B"/>
    <w:rsid w:val="00840992"/>
    <w:rsid w:val="00847639"/>
    <w:rsid w:val="00866880"/>
    <w:rsid w:val="00870A5A"/>
    <w:rsid w:val="00872D20"/>
    <w:rsid w:val="00873DA0"/>
    <w:rsid w:val="00874AFB"/>
    <w:rsid w:val="00875EB2"/>
    <w:rsid w:val="0088033E"/>
    <w:rsid w:val="00880F68"/>
    <w:rsid w:val="00881BA6"/>
    <w:rsid w:val="0088235B"/>
    <w:rsid w:val="00882379"/>
    <w:rsid w:val="00883179"/>
    <w:rsid w:val="00883B75"/>
    <w:rsid w:val="00885016"/>
    <w:rsid w:val="00885BD4"/>
    <w:rsid w:val="0088659F"/>
    <w:rsid w:val="008B1136"/>
    <w:rsid w:val="008B1B46"/>
    <w:rsid w:val="008B55F7"/>
    <w:rsid w:val="008B5FA1"/>
    <w:rsid w:val="008B7680"/>
    <w:rsid w:val="008C294E"/>
    <w:rsid w:val="008C2B55"/>
    <w:rsid w:val="008C2F3A"/>
    <w:rsid w:val="008C59CF"/>
    <w:rsid w:val="008C5DC6"/>
    <w:rsid w:val="008D0BB5"/>
    <w:rsid w:val="008D2A40"/>
    <w:rsid w:val="008D689A"/>
    <w:rsid w:val="008D787A"/>
    <w:rsid w:val="008E1F43"/>
    <w:rsid w:val="008E6555"/>
    <w:rsid w:val="008E7403"/>
    <w:rsid w:val="008F156E"/>
    <w:rsid w:val="008F244F"/>
    <w:rsid w:val="008F286B"/>
    <w:rsid w:val="008F4C03"/>
    <w:rsid w:val="008F5817"/>
    <w:rsid w:val="008F6858"/>
    <w:rsid w:val="00901DB5"/>
    <w:rsid w:val="009043E7"/>
    <w:rsid w:val="0091103A"/>
    <w:rsid w:val="009123D7"/>
    <w:rsid w:val="00912574"/>
    <w:rsid w:val="00913F3D"/>
    <w:rsid w:val="009237BA"/>
    <w:rsid w:val="00927F64"/>
    <w:rsid w:val="00930F38"/>
    <w:rsid w:val="0093106D"/>
    <w:rsid w:val="00937EF3"/>
    <w:rsid w:val="00941525"/>
    <w:rsid w:val="00943839"/>
    <w:rsid w:val="0094464F"/>
    <w:rsid w:val="00944DB9"/>
    <w:rsid w:val="00954A85"/>
    <w:rsid w:val="00954C3B"/>
    <w:rsid w:val="0096339F"/>
    <w:rsid w:val="0096537E"/>
    <w:rsid w:val="00965F11"/>
    <w:rsid w:val="0097177C"/>
    <w:rsid w:val="009755C2"/>
    <w:rsid w:val="00977C04"/>
    <w:rsid w:val="0098127D"/>
    <w:rsid w:val="0098147E"/>
    <w:rsid w:val="009821F4"/>
    <w:rsid w:val="0099584D"/>
    <w:rsid w:val="009A2344"/>
    <w:rsid w:val="009B1D57"/>
    <w:rsid w:val="009B22AA"/>
    <w:rsid w:val="009B262E"/>
    <w:rsid w:val="009B437E"/>
    <w:rsid w:val="009C0ADE"/>
    <w:rsid w:val="009C0D87"/>
    <w:rsid w:val="009C1117"/>
    <w:rsid w:val="009C3782"/>
    <w:rsid w:val="009C4BE9"/>
    <w:rsid w:val="009D2896"/>
    <w:rsid w:val="009D2BE6"/>
    <w:rsid w:val="009D7E4D"/>
    <w:rsid w:val="009E0C58"/>
    <w:rsid w:val="009E14A5"/>
    <w:rsid w:val="009E5528"/>
    <w:rsid w:val="009E69D4"/>
    <w:rsid w:val="009E79B4"/>
    <w:rsid w:val="009E7E60"/>
    <w:rsid w:val="009F1E4D"/>
    <w:rsid w:val="009F7DD9"/>
    <w:rsid w:val="009F7F90"/>
    <w:rsid w:val="00A00020"/>
    <w:rsid w:val="00A148DC"/>
    <w:rsid w:val="00A14A36"/>
    <w:rsid w:val="00A21C1C"/>
    <w:rsid w:val="00A22628"/>
    <w:rsid w:val="00A26A47"/>
    <w:rsid w:val="00A33B49"/>
    <w:rsid w:val="00A40886"/>
    <w:rsid w:val="00A415AB"/>
    <w:rsid w:val="00A422FD"/>
    <w:rsid w:val="00A4232D"/>
    <w:rsid w:val="00A43554"/>
    <w:rsid w:val="00A43B5A"/>
    <w:rsid w:val="00A43C40"/>
    <w:rsid w:val="00A441B2"/>
    <w:rsid w:val="00A44855"/>
    <w:rsid w:val="00A51D96"/>
    <w:rsid w:val="00A54613"/>
    <w:rsid w:val="00A61035"/>
    <w:rsid w:val="00A64656"/>
    <w:rsid w:val="00A65FD3"/>
    <w:rsid w:val="00A665EB"/>
    <w:rsid w:val="00A66D3D"/>
    <w:rsid w:val="00A67EB3"/>
    <w:rsid w:val="00A67F38"/>
    <w:rsid w:val="00A737DA"/>
    <w:rsid w:val="00A74C3B"/>
    <w:rsid w:val="00A74F93"/>
    <w:rsid w:val="00A76412"/>
    <w:rsid w:val="00A82BEB"/>
    <w:rsid w:val="00A87438"/>
    <w:rsid w:val="00A9184E"/>
    <w:rsid w:val="00A91ACD"/>
    <w:rsid w:val="00A91CE9"/>
    <w:rsid w:val="00A94AC0"/>
    <w:rsid w:val="00A95A49"/>
    <w:rsid w:val="00AA34D9"/>
    <w:rsid w:val="00AA3FB8"/>
    <w:rsid w:val="00AA51EA"/>
    <w:rsid w:val="00AA6656"/>
    <w:rsid w:val="00AC0008"/>
    <w:rsid w:val="00AC1DDA"/>
    <w:rsid w:val="00AC1FA0"/>
    <w:rsid w:val="00AC41F0"/>
    <w:rsid w:val="00AC5393"/>
    <w:rsid w:val="00AD213F"/>
    <w:rsid w:val="00AD387F"/>
    <w:rsid w:val="00AD55AB"/>
    <w:rsid w:val="00AD59E7"/>
    <w:rsid w:val="00AD6B56"/>
    <w:rsid w:val="00AD7731"/>
    <w:rsid w:val="00AD7E45"/>
    <w:rsid w:val="00AE1452"/>
    <w:rsid w:val="00AE24FA"/>
    <w:rsid w:val="00AE372A"/>
    <w:rsid w:val="00AE65AB"/>
    <w:rsid w:val="00AF10D2"/>
    <w:rsid w:val="00AF1430"/>
    <w:rsid w:val="00AF45FE"/>
    <w:rsid w:val="00AF5039"/>
    <w:rsid w:val="00AF5867"/>
    <w:rsid w:val="00AF5C72"/>
    <w:rsid w:val="00AF5F30"/>
    <w:rsid w:val="00AF7461"/>
    <w:rsid w:val="00AF78B1"/>
    <w:rsid w:val="00B00B1A"/>
    <w:rsid w:val="00B010CD"/>
    <w:rsid w:val="00B01B63"/>
    <w:rsid w:val="00B048FF"/>
    <w:rsid w:val="00B04D12"/>
    <w:rsid w:val="00B05021"/>
    <w:rsid w:val="00B05BE6"/>
    <w:rsid w:val="00B10A1D"/>
    <w:rsid w:val="00B10A98"/>
    <w:rsid w:val="00B10E50"/>
    <w:rsid w:val="00B12DE0"/>
    <w:rsid w:val="00B13AFF"/>
    <w:rsid w:val="00B14318"/>
    <w:rsid w:val="00B14DC5"/>
    <w:rsid w:val="00B213B7"/>
    <w:rsid w:val="00B23846"/>
    <w:rsid w:val="00B23CE7"/>
    <w:rsid w:val="00B27ECC"/>
    <w:rsid w:val="00B32840"/>
    <w:rsid w:val="00B32A0C"/>
    <w:rsid w:val="00B3502E"/>
    <w:rsid w:val="00B35F47"/>
    <w:rsid w:val="00B370D2"/>
    <w:rsid w:val="00B41AE1"/>
    <w:rsid w:val="00B43E59"/>
    <w:rsid w:val="00B44BAA"/>
    <w:rsid w:val="00B509B0"/>
    <w:rsid w:val="00B57418"/>
    <w:rsid w:val="00B618A9"/>
    <w:rsid w:val="00B619AA"/>
    <w:rsid w:val="00B66164"/>
    <w:rsid w:val="00B72549"/>
    <w:rsid w:val="00B7286C"/>
    <w:rsid w:val="00B72E8A"/>
    <w:rsid w:val="00B73C51"/>
    <w:rsid w:val="00B77C62"/>
    <w:rsid w:val="00B80201"/>
    <w:rsid w:val="00B8161E"/>
    <w:rsid w:val="00B836EB"/>
    <w:rsid w:val="00B84F6F"/>
    <w:rsid w:val="00B85C7F"/>
    <w:rsid w:val="00B90C58"/>
    <w:rsid w:val="00B93810"/>
    <w:rsid w:val="00B942CC"/>
    <w:rsid w:val="00B9553D"/>
    <w:rsid w:val="00BA171D"/>
    <w:rsid w:val="00BA66D1"/>
    <w:rsid w:val="00BA6C4F"/>
    <w:rsid w:val="00BA7DA5"/>
    <w:rsid w:val="00BB02F7"/>
    <w:rsid w:val="00BB3672"/>
    <w:rsid w:val="00BB4A33"/>
    <w:rsid w:val="00BB5F1E"/>
    <w:rsid w:val="00BC10C4"/>
    <w:rsid w:val="00BC746B"/>
    <w:rsid w:val="00BC7B3A"/>
    <w:rsid w:val="00BD1DDF"/>
    <w:rsid w:val="00BD2CB5"/>
    <w:rsid w:val="00BE07B2"/>
    <w:rsid w:val="00BE07CD"/>
    <w:rsid w:val="00BE0936"/>
    <w:rsid w:val="00BE3115"/>
    <w:rsid w:val="00BE461A"/>
    <w:rsid w:val="00BE570D"/>
    <w:rsid w:val="00BE5F62"/>
    <w:rsid w:val="00BF6FCF"/>
    <w:rsid w:val="00BF744F"/>
    <w:rsid w:val="00C00736"/>
    <w:rsid w:val="00C06BDE"/>
    <w:rsid w:val="00C1441A"/>
    <w:rsid w:val="00C14FFC"/>
    <w:rsid w:val="00C164FD"/>
    <w:rsid w:val="00C16B5C"/>
    <w:rsid w:val="00C16FC7"/>
    <w:rsid w:val="00C20F4A"/>
    <w:rsid w:val="00C210A2"/>
    <w:rsid w:val="00C21BF2"/>
    <w:rsid w:val="00C22F8E"/>
    <w:rsid w:val="00C2515D"/>
    <w:rsid w:val="00C35775"/>
    <w:rsid w:val="00C36A6A"/>
    <w:rsid w:val="00C37E59"/>
    <w:rsid w:val="00C41BFF"/>
    <w:rsid w:val="00C430F3"/>
    <w:rsid w:val="00C43AE5"/>
    <w:rsid w:val="00C43D27"/>
    <w:rsid w:val="00C6106C"/>
    <w:rsid w:val="00C61E61"/>
    <w:rsid w:val="00C7242B"/>
    <w:rsid w:val="00C73444"/>
    <w:rsid w:val="00C75C23"/>
    <w:rsid w:val="00C76104"/>
    <w:rsid w:val="00C7636A"/>
    <w:rsid w:val="00C7772E"/>
    <w:rsid w:val="00C80EDE"/>
    <w:rsid w:val="00C81700"/>
    <w:rsid w:val="00C850D9"/>
    <w:rsid w:val="00C856FD"/>
    <w:rsid w:val="00C9477D"/>
    <w:rsid w:val="00C94DCC"/>
    <w:rsid w:val="00C95401"/>
    <w:rsid w:val="00C9687D"/>
    <w:rsid w:val="00C97449"/>
    <w:rsid w:val="00C97D37"/>
    <w:rsid w:val="00CA3EC8"/>
    <w:rsid w:val="00CA49A0"/>
    <w:rsid w:val="00CA55AF"/>
    <w:rsid w:val="00CA756A"/>
    <w:rsid w:val="00CB3C3F"/>
    <w:rsid w:val="00CB3EF7"/>
    <w:rsid w:val="00CB54CE"/>
    <w:rsid w:val="00CC1BF6"/>
    <w:rsid w:val="00CC3BBB"/>
    <w:rsid w:val="00CC3DDA"/>
    <w:rsid w:val="00CC4C09"/>
    <w:rsid w:val="00CC4CF6"/>
    <w:rsid w:val="00CC4D8C"/>
    <w:rsid w:val="00CC6632"/>
    <w:rsid w:val="00CD5EAF"/>
    <w:rsid w:val="00CE16B7"/>
    <w:rsid w:val="00CE7877"/>
    <w:rsid w:val="00CF0D17"/>
    <w:rsid w:val="00CF187E"/>
    <w:rsid w:val="00CF3551"/>
    <w:rsid w:val="00CF4542"/>
    <w:rsid w:val="00CF65DF"/>
    <w:rsid w:val="00D011AE"/>
    <w:rsid w:val="00D0571C"/>
    <w:rsid w:val="00D06995"/>
    <w:rsid w:val="00D13F8E"/>
    <w:rsid w:val="00D15F87"/>
    <w:rsid w:val="00D17011"/>
    <w:rsid w:val="00D17347"/>
    <w:rsid w:val="00D17469"/>
    <w:rsid w:val="00D2199C"/>
    <w:rsid w:val="00D21FF6"/>
    <w:rsid w:val="00D258DD"/>
    <w:rsid w:val="00D3393D"/>
    <w:rsid w:val="00D361A6"/>
    <w:rsid w:val="00D420D6"/>
    <w:rsid w:val="00D422FD"/>
    <w:rsid w:val="00D42C1F"/>
    <w:rsid w:val="00D45096"/>
    <w:rsid w:val="00D45BAE"/>
    <w:rsid w:val="00D45C77"/>
    <w:rsid w:val="00D47CF2"/>
    <w:rsid w:val="00D57FF0"/>
    <w:rsid w:val="00D60AE1"/>
    <w:rsid w:val="00D61FD4"/>
    <w:rsid w:val="00D623E1"/>
    <w:rsid w:val="00D649FF"/>
    <w:rsid w:val="00D64FB3"/>
    <w:rsid w:val="00D71D9A"/>
    <w:rsid w:val="00D72648"/>
    <w:rsid w:val="00D7395C"/>
    <w:rsid w:val="00D74B8C"/>
    <w:rsid w:val="00D77D59"/>
    <w:rsid w:val="00D84F0A"/>
    <w:rsid w:val="00D86657"/>
    <w:rsid w:val="00D87EBD"/>
    <w:rsid w:val="00D90C67"/>
    <w:rsid w:val="00D9151F"/>
    <w:rsid w:val="00D91FE0"/>
    <w:rsid w:val="00D924E8"/>
    <w:rsid w:val="00DA21D3"/>
    <w:rsid w:val="00DA21DC"/>
    <w:rsid w:val="00DA4229"/>
    <w:rsid w:val="00DA5D50"/>
    <w:rsid w:val="00DA62E6"/>
    <w:rsid w:val="00DA74F4"/>
    <w:rsid w:val="00DB1591"/>
    <w:rsid w:val="00DB2A2F"/>
    <w:rsid w:val="00DB4B99"/>
    <w:rsid w:val="00DB73E3"/>
    <w:rsid w:val="00DC0490"/>
    <w:rsid w:val="00DC19A2"/>
    <w:rsid w:val="00DC1F8D"/>
    <w:rsid w:val="00DC3770"/>
    <w:rsid w:val="00DC42DE"/>
    <w:rsid w:val="00DD336D"/>
    <w:rsid w:val="00DD3D5D"/>
    <w:rsid w:val="00DD5E8A"/>
    <w:rsid w:val="00DE0E82"/>
    <w:rsid w:val="00DE27C8"/>
    <w:rsid w:val="00DE3501"/>
    <w:rsid w:val="00DE51BD"/>
    <w:rsid w:val="00DE5FF8"/>
    <w:rsid w:val="00DF00B4"/>
    <w:rsid w:val="00DF1D6A"/>
    <w:rsid w:val="00DF3564"/>
    <w:rsid w:val="00DF3EA8"/>
    <w:rsid w:val="00DF5941"/>
    <w:rsid w:val="00DF6238"/>
    <w:rsid w:val="00DF6827"/>
    <w:rsid w:val="00E0111E"/>
    <w:rsid w:val="00E047D4"/>
    <w:rsid w:val="00E0570F"/>
    <w:rsid w:val="00E10642"/>
    <w:rsid w:val="00E10E2B"/>
    <w:rsid w:val="00E13364"/>
    <w:rsid w:val="00E1396A"/>
    <w:rsid w:val="00E15955"/>
    <w:rsid w:val="00E178F2"/>
    <w:rsid w:val="00E179A5"/>
    <w:rsid w:val="00E22C75"/>
    <w:rsid w:val="00E24269"/>
    <w:rsid w:val="00E24EAD"/>
    <w:rsid w:val="00E32133"/>
    <w:rsid w:val="00E32E33"/>
    <w:rsid w:val="00E33563"/>
    <w:rsid w:val="00E338E5"/>
    <w:rsid w:val="00E33991"/>
    <w:rsid w:val="00E346C6"/>
    <w:rsid w:val="00E37247"/>
    <w:rsid w:val="00E400E6"/>
    <w:rsid w:val="00E41A0D"/>
    <w:rsid w:val="00E44350"/>
    <w:rsid w:val="00E45E84"/>
    <w:rsid w:val="00E53B14"/>
    <w:rsid w:val="00E55AAB"/>
    <w:rsid w:val="00E56F78"/>
    <w:rsid w:val="00E57AC0"/>
    <w:rsid w:val="00E60D95"/>
    <w:rsid w:val="00E61A27"/>
    <w:rsid w:val="00E62E21"/>
    <w:rsid w:val="00E63B96"/>
    <w:rsid w:val="00E64807"/>
    <w:rsid w:val="00E67697"/>
    <w:rsid w:val="00E7047F"/>
    <w:rsid w:val="00E70F9A"/>
    <w:rsid w:val="00E71639"/>
    <w:rsid w:val="00E73066"/>
    <w:rsid w:val="00E737AA"/>
    <w:rsid w:val="00E74E4A"/>
    <w:rsid w:val="00E7549B"/>
    <w:rsid w:val="00E80FE8"/>
    <w:rsid w:val="00E82AD8"/>
    <w:rsid w:val="00E91639"/>
    <w:rsid w:val="00E94583"/>
    <w:rsid w:val="00E954BC"/>
    <w:rsid w:val="00E9779A"/>
    <w:rsid w:val="00EA09D3"/>
    <w:rsid w:val="00EA0FE5"/>
    <w:rsid w:val="00EA289E"/>
    <w:rsid w:val="00EA4B57"/>
    <w:rsid w:val="00EA63BF"/>
    <w:rsid w:val="00EB15FB"/>
    <w:rsid w:val="00EB2B58"/>
    <w:rsid w:val="00EB39C7"/>
    <w:rsid w:val="00EB59CD"/>
    <w:rsid w:val="00EB6C2B"/>
    <w:rsid w:val="00EB731A"/>
    <w:rsid w:val="00EB76DD"/>
    <w:rsid w:val="00EC041D"/>
    <w:rsid w:val="00EC28B8"/>
    <w:rsid w:val="00EC3AB1"/>
    <w:rsid w:val="00EC4349"/>
    <w:rsid w:val="00EC4E32"/>
    <w:rsid w:val="00ED0110"/>
    <w:rsid w:val="00ED2111"/>
    <w:rsid w:val="00ED5098"/>
    <w:rsid w:val="00ED7BD1"/>
    <w:rsid w:val="00EE12EB"/>
    <w:rsid w:val="00EE1E16"/>
    <w:rsid w:val="00EE3262"/>
    <w:rsid w:val="00EE477A"/>
    <w:rsid w:val="00EE4CD5"/>
    <w:rsid w:val="00EE509C"/>
    <w:rsid w:val="00EE5B83"/>
    <w:rsid w:val="00EE734E"/>
    <w:rsid w:val="00EE7C4E"/>
    <w:rsid w:val="00EF1A9F"/>
    <w:rsid w:val="00EF2207"/>
    <w:rsid w:val="00F033D0"/>
    <w:rsid w:val="00F0457B"/>
    <w:rsid w:val="00F14528"/>
    <w:rsid w:val="00F17989"/>
    <w:rsid w:val="00F21BCA"/>
    <w:rsid w:val="00F2525D"/>
    <w:rsid w:val="00F3000B"/>
    <w:rsid w:val="00F30BE9"/>
    <w:rsid w:val="00F312B2"/>
    <w:rsid w:val="00F378DA"/>
    <w:rsid w:val="00F41351"/>
    <w:rsid w:val="00F500D5"/>
    <w:rsid w:val="00F50288"/>
    <w:rsid w:val="00F526C6"/>
    <w:rsid w:val="00F53007"/>
    <w:rsid w:val="00F53B76"/>
    <w:rsid w:val="00F5433A"/>
    <w:rsid w:val="00F5460F"/>
    <w:rsid w:val="00F55284"/>
    <w:rsid w:val="00F563E7"/>
    <w:rsid w:val="00F56E56"/>
    <w:rsid w:val="00F672E8"/>
    <w:rsid w:val="00F67D61"/>
    <w:rsid w:val="00F701C0"/>
    <w:rsid w:val="00F80C6C"/>
    <w:rsid w:val="00F9178E"/>
    <w:rsid w:val="00F941C6"/>
    <w:rsid w:val="00F96E24"/>
    <w:rsid w:val="00FA2D56"/>
    <w:rsid w:val="00FA3B22"/>
    <w:rsid w:val="00FA5015"/>
    <w:rsid w:val="00FA5F41"/>
    <w:rsid w:val="00FB0EA2"/>
    <w:rsid w:val="00FB437E"/>
    <w:rsid w:val="00FB4802"/>
    <w:rsid w:val="00FC09B8"/>
    <w:rsid w:val="00FC24F4"/>
    <w:rsid w:val="00FC78C3"/>
    <w:rsid w:val="00FC7D70"/>
    <w:rsid w:val="00FD066A"/>
    <w:rsid w:val="00FD7DE7"/>
    <w:rsid w:val="00FE28E3"/>
    <w:rsid w:val="00FE3F62"/>
    <w:rsid w:val="00FE4C85"/>
    <w:rsid w:val="00FE671F"/>
    <w:rsid w:val="00FF51C6"/>
    <w:rsid w:val="00FF59B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3EB05"/>
  <w15:docId w15:val="{B536A965-752F-48C7-9857-C7C2C19E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96A"/>
    <w:pPr>
      <w:spacing w:line="480" w:lineRule="auto"/>
      <w:jc w:val="both"/>
    </w:pPr>
    <w:rPr>
      <w:rFonts w:ascii="Arial" w:eastAsia="Times New Roman" w:hAnsi="Arial" w:cs="Arial"/>
      <w:sz w:val="24"/>
      <w:szCs w:val="24"/>
    </w:rPr>
  </w:style>
  <w:style w:type="paragraph" w:styleId="Heading1">
    <w:name w:val="heading 1"/>
    <w:basedOn w:val="Normal"/>
    <w:next w:val="Normal"/>
    <w:link w:val="Heading1Char"/>
    <w:uiPriority w:val="1"/>
    <w:qFormat/>
    <w:rsid w:val="00BE07B2"/>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F500D5"/>
    <w:pPr>
      <w:keepNext/>
      <w:outlineLvl w:val="1"/>
    </w:pPr>
    <w:rPr>
      <w:rFonts w:cs="Times New Roman"/>
      <w:b/>
      <w:bCs/>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5208"/>
    <w:pPr>
      <w:ind w:left="720"/>
      <w:contextualSpacing/>
    </w:pPr>
  </w:style>
  <w:style w:type="paragraph" w:customStyle="1" w:styleId="NUM1">
    <w:name w:val="NUM1"/>
    <w:basedOn w:val="ListParagraph"/>
    <w:next w:val="Normal"/>
    <w:qFormat/>
    <w:rsid w:val="00A665EB"/>
    <w:pPr>
      <w:numPr>
        <w:numId w:val="5"/>
      </w:numPr>
      <w:contextualSpacing w:val="0"/>
    </w:pPr>
  </w:style>
  <w:style w:type="paragraph" w:customStyle="1" w:styleId="NUM2">
    <w:name w:val="NUM2"/>
    <w:basedOn w:val="ListParagraph"/>
    <w:next w:val="Normal"/>
    <w:qFormat/>
    <w:rsid w:val="00A665EB"/>
    <w:pPr>
      <w:numPr>
        <w:ilvl w:val="1"/>
        <w:numId w:val="5"/>
      </w:numPr>
      <w:contextualSpacing w:val="0"/>
    </w:pPr>
  </w:style>
  <w:style w:type="character" w:customStyle="1" w:styleId="Heading1Char">
    <w:name w:val="Heading 1 Char"/>
    <w:basedOn w:val="DefaultParagraphFont"/>
    <w:link w:val="Heading1"/>
    <w:uiPriority w:val="9"/>
    <w:rsid w:val="00BE07B2"/>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rsid w:val="00F500D5"/>
    <w:rPr>
      <w:rFonts w:ascii="Arial" w:eastAsia="Times New Roman" w:hAnsi="Arial" w:cs="Times New Roman"/>
      <w:b/>
      <w:bCs/>
      <w:sz w:val="24"/>
      <w:szCs w:val="24"/>
      <w:lang w:eastAsia="en-ZA"/>
    </w:rPr>
  </w:style>
  <w:style w:type="paragraph" w:styleId="BodyText">
    <w:name w:val="Body Text"/>
    <w:basedOn w:val="Normal"/>
    <w:link w:val="BodyTextChar"/>
    <w:uiPriority w:val="1"/>
    <w:unhideWhenUsed/>
    <w:qFormat/>
    <w:rsid w:val="00BA7DA5"/>
    <w:rPr>
      <w:rFonts w:ascii="Times New Roman" w:hAnsi="Times New Roman" w:cs="Times New Roman"/>
      <w:b/>
      <w:bCs/>
      <w:lang w:eastAsia="en-ZA"/>
    </w:rPr>
  </w:style>
  <w:style w:type="character" w:customStyle="1" w:styleId="BodyTextChar">
    <w:name w:val="Body Text Char"/>
    <w:basedOn w:val="DefaultParagraphFont"/>
    <w:link w:val="BodyText"/>
    <w:uiPriority w:val="99"/>
    <w:semiHidden/>
    <w:rsid w:val="00BA7DA5"/>
    <w:rPr>
      <w:rFonts w:ascii="Times New Roman" w:eastAsia="Times New Roman" w:hAnsi="Times New Roman" w:cs="Times New Roman"/>
      <w:b/>
      <w:bCs/>
      <w:sz w:val="24"/>
      <w:szCs w:val="20"/>
      <w:lang w:eastAsia="en-ZA"/>
    </w:rPr>
  </w:style>
  <w:style w:type="paragraph" w:styleId="BodyText3">
    <w:name w:val="Body Text 3"/>
    <w:basedOn w:val="Normal"/>
    <w:link w:val="BodyText3Char"/>
    <w:uiPriority w:val="99"/>
    <w:semiHidden/>
    <w:unhideWhenUsed/>
    <w:rsid w:val="00BA7DA5"/>
    <w:pPr>
      <w:overflowPunct w:val="0"/>
      <w:autoSpaceDE w:val="0"/>
      <w:autoSpaceDN w:val="0"/>
      <w:adjustRightInd w:val="0"/>
      <w:jc w:val="center"/>
    </w:pPr>
    <w:rPr>
      <w:rFonts w:ascii="Times New Roman" w:hAnsi="Times New Roman" w:cs="Times New Roman"/>
      <w:b/>
      <w:bCs/>
      <w:lang w:eastAsia="en-ZA"/>
    </w:rPr>
  </w:style>
  <w:style w:type="character" w:customStyle="1" w:styleId="BodyText3Char">
    <w:name w:val="Body Text 3 Char"/>
    <w:basedOn w:val="DefaultParagraphFont"/>
    <w:link w:val="BodyText3"/>
    <w:uiPriority w:val="99"/>
    <w:semiHidden/>
    <w:rsid w:val="00BA7DA5"/>
    <w:rPr>
      <w:rFonts w:ascii="Times New Roman" w:eastAsia="Times New Roman" w:hAnsi="Times New Roman" w:cs="Times New Roman"/>
      <w:b/>
      <w:bCs/>
      <w:sz w:val="24"/>
      <w:szCs w:val="20"/>
      <w:lang w:eastAsia="en-ZA"/>
    </w:rPr>
  </w:style>
  <w:style w:type="character" w:styleId="FootnoteReference">
    <w:name w:val="footnote reference"/>
    <w:basedOn w:val="DefaultParagraphFont"/>
    <w:uiPriority w:val="99"/>
    <w:unhideWhenUsed/>
    <w:rsid w:val="00461D1B"/>
    <w:rPr>
      <w:rFonts w:ascii="Arial" w:hAnsi="Arial"/>
      <w:sz w:val="16"/>
      <w:vertAlign w:val="superscript"/>
    </w:rPr>
  </w:style>
  <w:style w:type="paragraph" w:styleId="FootnoteText">
    <w:name w:val="footnote text"/>
    <w:basedOn w:val="Normal"/>
    <w:link w:val="FootnoteTextChar"/>
    <w:uiPriority w:val="99"/>
    <w:unhideWhenUsed/>
    <w:rsid w:val="00004382"/>
    <w:pPr>
      <w:tabs>
        <w:tab w:val="left" w:pos="284"/>
      </w:tabs>
      <w:spacing w:line="240" w:lineRule="auto"/>
      <w:ind w:left="284" w:hanging="284"/>
    </w:pPr>
    <w:rPr>
      <w:sz w:val="20"/>
      <w:szCs w:val="20"/>
      <w:lang w:val="en-US"/>
    </w:rPr>
  </w:style>
  <w:style w:type="character" w:customStyle="1" w:styleId="FootnoteTextChar">
    <w:name w:val="Footnote Text Char"/>
    <w:basedOn w:val="DefaultParagraphFont"/>
    <w:link w:val="FootnoteText"/>
    <w:uiPriority w:val="99"/>
    <w:rsid w:val="00004382"/>
    <w:rPr>
      <w:rFonts w:ascii="Arial" w:eastAsia="Times New Roman" w:hAnsi="Arial" w:cs="Arial"/>
      <w:lang w:val="en-US"/>
    </w:rPr>
  </w:style>
  <w:style w:type="character" w:styleId="Hyperlink">
    <w:name w:val="Hyperlink"/>
    <w:basedOn w:val="DefaultParagraphFont"/>
    <w:uiPriority w:val="99"/>
    <w:semiHidden/>
    <w:unhideWhenUsed/>
    <w:rsid w:val="004A602F"/>
    <w:rPr>
      <w:color w:val="1A69AB"/>
      <w:u w:val="single"/>
      <w:bdr w:val="none" w:sz="0" w:space="0" w:color="auto" w:frame="1"/>
    </w:rPr>
  </w:style>
  <w:style w:type="paragraph" w:styleId="NormalWeb">
    <w:name w:val="Normal (Web)"/>
    <w:basedOn w:val="Normal"/>
    <w:uiPriority w:val="99"/>
    <w:semiHidden/>
    <w:unhideWhenUsed/>
    <w:rsid w:val="00BB4A33"/>
    <w:pPr>
      <w:spacing w:before="144" w:after="288" w:line="240" w:lineRule="auto"/>
      <w:jc w:val="left"/>
    </w:pPr>
    <w:rPr>
      <w:rFonts w:ascii="Times New Roman" w:hAnsi="Times New Roman" w:cs="Times New Roman"/>
      <w:lang w:eastAsia="en-ZA"/>
    </w:rPr>
  </w:style>
  <w:style w:type="character" w:styleId="Emphasis">
    <w:name w:val="Emphasis"/>
    <w:basedOn w:val="DefaultParagraphFont"/>
    <w:uiPriority w:val="20"/>
    <w:qFormat/>
    <w:rsid w:val="006B4F86"/>
    <w:rPr>
      <w:b/>
      <w:bCs/>
      <w:i w:val="0"/>
      <w:iCs w:val="0"/>
    </w:rPr>
  </w:style>
  <w:style w:type="paragraph" w:styleId="Header">
    <w:name w:val="header"/>
    <w:basedOn w:val="Normal"/>
    <w:link w:val="HeaderChar"/>
    <w:qFormat/>
    <w:rsid w:val="00F500D5"/>
    <w:pPr>
      <w:tabs>
        <w:tab w:val="center" w:pos="4320"/>
        <w:tab w:val="right" w:pos="8640"/>
      </w:tabs>
    </w:pPr>
    <w:rPr>
      <w:b/>
    </w:rPr>
  </w:style>
  <w:style w:type="character" w:customStyle="1" w:styleId="HeaderChar">
    <w:name w:val="Header Char"/>
    <w:basedOn w:val="DefaultParagraphFont"/>
    <w:link w:val="Header"/>
    <w:rsid w:val="00F500D5"/>
    <w:rPr>
      <w:rFonts w:ascii="Arial" w:eastAsia="Times New Roman" w:hAnsi="Arial" w:cs="Arial"/>
      <w:b/>
      <w:sz w:val="24"/>
      <w:szCs w:val="24"/>
    </w:rPr>
  </w:style>
  <w:style w:type="paragraph" w:customStyle="1" w:styleId="NUM1TAB">
    <w:name w:val="NUM1 TAB"/>
    <w:basedOn w:val="Normal"/>
    <w:qFormat/>
    <w:rsid w:val="00CB3C3F"/>
    <w:pPr>
      <w:tabs>
        <w:tab w:val="left" w:pos="720"/>
      </w:tabs>
      <w:ind w:left="720"/>
    </w:pPr>
  </w:style>
  <w:style w:type="table" w:customStyle="1" w:styleId="TableNormal1">
    <w:name w:val="Table Normal1"/>
    <w:uiPriority w:val="2"/>
    <w:semiHidden/>
    <w:unhideWhenUsed/>
    <w:qFormat/>
    <w:rsid w:val="00D21FF6"/>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1FF6"/>
    <w:pPr>
      <w:widowControl w:val="0"/>
      <w:spacing w:line="240" w:lineRule="auto"/>
      <w:jc w:val="left"/>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91BBA"/>
    <w:pPr>
      <w:tabs>
        <w:tab w:val="center" w:pos="4513"/>
        <w:tab w:val="right" w:pos="9026"/>
      </w:tabs>
      <w:spacing w:line="240" w:lineRule="auto"/>
    </w:pPr>
  </w:style>
  <w:style w:type="character" w:customStyle="1" w:styleId="FooterChar">
    <w:name w:val="Footer Char"/>
    <w:basedOn w:val="DefaultParagraphFont"/>
    <w:link w:val="Footer"/>
    <w:uiPriority w:val="99"/>
    <w:rsid w:val="00391BBA"/>
    <w:rPr>
      <w:rFonts w:ascii="Arial" w:eastAsia="Times New Roman" w:hAnsi="Arial" w:cs="Arial"/>
      <w:sz w:val="24"/>
      <w:szCs w:val="24"/>
    </w:rPr>
  </w:style>
  <w:style w:type="table" w:styleId="TableGrid">
    <w:name w:val="Table Grid"/>
    <w:basedOn w:val="TableNormal"/>
    <w:uiPriority w:val="39"/>
    <w:rsid w:val="00C97449"/>
    <w:rPr>
      <w:rFonts w:ascii="Arial" w:hAnsi="Arial"/>
      <w:color w:val="000000" w:themeColor="text1"/>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3">
    <w:name w:val="NUM3"/>
    <w:basedOn w:val="NUM2"/>
    <w:next w:val="Normal"/>
    <w:qFormat/>
    <w:rsid w:val="0067472C"/>
    <w:pPr>
      <w:numPr>
        <w:ilvl w:val="2"/>
      </w:numPr>
    </w:pPr>
  </w:style>
  <w:style w:type="paragraph" w:styleId="BalloonText">
    <w:name w:val="Balloon Text"/>
    <w:basedOn w:val="Normal"/>
    <w:link w:val="BalloonTextChar"/>
    <w:uiPriority w:val="99"/>
    <w:semiHidden/>
    <w:unhideWhenUsed/>
    <w:rsid w:val="009B2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2E"/>
    <w:rPr>
      <w:rFonts w:ascii="Segoe UI" w:eastAsia="Times New Roman" w:hAnsi="Segoe UI" w:cs="Segoe UI"/>
      <w:sz w:val="18"/>
      <w:szCs w:val="18"/>
    </w:rPr>
  </w:style>
  <w:style w:type="paragraph" w:customStyle="1" w:styleId="NUM4">
    <w:name w:val="NUM4"/>
    <w:basedOn w:val="NUM3"/>
    <w:next w:val="Normal"/>
    <w:qFormat/>
    <w:rsid w:val="00F500D5"/>
    <w:pPr>
      <w:numPr>
        <w:ilvl w:val="3"/>
      </w:numPr>
      <w:ind w:left="4253" w:hanging="1418"/>
    </w:pPr>
  </w:style>
  <w:style w:type="paragraph" w:customStyle="1" w:styleId="NUM2TAB">
    <w:name w:val="NUM2 TAB"/>
    <w:basedOn w:val="Normal"/>
    <w:next w:val="Normal"/>
    <w:qFormat/>
    <w:rsid w:val="00F500D5"/>
    <w:pPr>
      <w:ind w:left="1701"/>
    </w:pPr>
  </w:style>
  <w:style w:type="paragraph" w:customStyle="1" w:styleId="NUM3TAB">
    <w:name w:val="NUM3 TAB"/>
    <w:basedOn w:val="Normal"/>
    <w:next w:val="Normal"/>
    <w:qFormat/>
    <w:rsid w:val="00F500D5"/>
    <w:pPr>
      <w:ind w:left="2835"/>
    </w:pPr>
  </w:style>
  <w:style w:type="paragraph" w:customStyle="1" w:styleId="NUM4TAB">
    <w:name w:val="NUM4 TAB"/>
    <w:basedOn w:val="Normal"/>
    <w:next w:val="Normal"/>
    <w:qFormat/>
    <w:rsid w:val="00F500D5"/>
    <w:pPr>
      <w:ind w:left="4253"/>
    </w:pPr>
  </w:style>
  <w:style w:type="character" w:customStyle="1" w:styleId="apple-converted-space">
    <w:name w:val="apple-converted-space"/>
    <w:basedOn w:val="DefaultParagraphFont"/>
    <w:rsid w:val="00020976"/>
  </w:style>
  <w:style w:type="character" w:customStyle="1" w:styleId="mc">
    <w:name w:val="mc"/>
    <w:basedOn w:val="DefaultParagraphFont"/>
    <w:rsid w:val="00020976"/>
  </w:style>
  <w:style w:type="character" w:customStyle="1" w:styleId="ListParagraphChar">
    <w:name w:val="List Paragraph Char"/>
    <w:link w:val="ListParagraph"/>
    <w:uiPriority w:val="34"/>
    <w:locked/>
    <w:rsid w:val="008E1F43"/>
    <w:rPr>
      <w:rFonts w:ascii="Arial" w:eastAsia="Times New Roman" w:hAnsi="Arial" w:cs="Arial"/>
      <w:sz w:val="24"/>
      <w:szCs w:val="24"/>
    </w:rPr>
  </w:style>
  <w:style w:type="paragraph" w:styleId="Revision">
    <w:name w:val="Revision"/>
    <w:hidden/>
    <w:uiPriority w:val="99"/>
    <w:semiHidden/>
    <w:rsid w:val="00D90C67"/>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02659">
      <w:bodyDiv w:val="1"/>
      <w:marLeft w:val="0"/>
      <w:marRight w:val="0"/>
      <w:marTop w:val="0"/>
      <w:marBottom w:val="0"/>
      <w:divBdr>
        <w:top w:val="none" w:sz="0" w:space="0" w:color="auto"/>
        <w:left w:val="none" w:sz="0" w:space="0" w:color="auto"/>
        <w:bottom w:val="none" w:sz="0" w:space="0" w:color="auto"/>
        <w:right w:val="none" w:sz="0" w:space="0" w:color="auto"/>
      </w:divBdr>
    </w:div>
    <w:div w:id="172840425">
      <w:bodyDiv w:val="1"/>
      <w:marLeft w:val="0"/>
      <w:marRight w:val="0"/>
      <w:marTop w:val="0"/>
      <w:marBottom w:val="0"/>
      <w:divBdr>
        <w:top w:val="none" w:sz="0" w:space="0" w:color="auto"/>
        <w:left w:val="none" w:sz="0" w:space="0" w:color="auto"/>
        <w:bottom w:val="none" w:sz="0" w:space="0" w:color="auto"/>
        <w:right w:val="none" w:sz="0" w:space="0" w:color="auto"/>
      </w:divBdr>
      <w:divsChild>
        <w:div w:id="642081322">
          <w:marLeft w:val="2"/>
          <w:marRight w:val="0"/>
          <w:marTop w:val="0"/>
          <w:marBottom w:val="0"/>
          <w:divBdr>
            <w:top w:val="none" w:sz="0" w:space="0" w:color="auto"/>
            <w:left w:val="none" w:sz="0" w:space="0" w:color="auto"/>
            <w:bottom w:val="none" w:sz="0" w:space="0" w:color="auto"/>
            <w:right w:val="none" w:sz="0" w:space="0" w:color="auto"/>
          </w:divBdr>
          <w:divsChild>
            <w:div w:id="795180065">
              <w:marLeft w:val="0"/>
              <w:marRight w:val="0"/>
              <w:marTop w:val="0"/>
              <w:marBottom w:val="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246917931">
                      <w:marLeft w:val="0"/>
                      <w:marRight w:val="0"/>
                      <w:marTop w:val="0"/>
                      <w:marBottom w:val="0"/>
                      <w:divBdr>
                        <w:top w:val="none" w:sz="0" w:space="0" w:color="auto"/>
                        <w:left w:val="none" w:sz="0" w:space="0" w:color="auto"/>
                        <w:bottom w:val="none" w:sz="0" w:space="0" w:color="auto"/>
                        <w:right w:val="none" w:sz="0" w:space="0" w:color="auto"/>
                      </w:divBdr>
                      <w:divsChild>
                        <w:div w:id="1312754460">
                          <w:marLeft w:val="0"/>
                          <w:marRight w:val="0"/>
                          <w:marTop w:val="0"/>
                          <w:marBottom w:val="0"/>
                          <w:divBdr>
                            <w:top w:val="none" w:sz="0" w:space="0" w:color="auto"/>
                            <w:left w:val="none" w:sz="0" w:space="0" w:color="auto"/>
                            <w:bottom w:val="none" w:sz="0" w:space="0" w:color="auto"/>
                            <w:right w:val="none" w:sz="0" w:space="0" w:color="auto"/>
                          </w:divBdr>
                          <w:divsChild>
                            <w:div w:id="230116910">
                              <w:marLeft w:val="0"/>
                              <w:marRight w:val="0"/>
                              <w:marTop w:val="0"/>
                              <w:marBottom w:val="0"/>
                              <w:divBdr>
                                <w:top w:val="none" w:sz="0" w:space="0" w:color="auto"/>
                                <w:left w:val="none" w:sz="0" w:space="0" w:color="auto"/>
                                <w:bottom w:val="none" w:sz="0" w:space="0" w:color="auto"/>
                                <w:right w:val="none" w:sz="0" w:space="0" w:color="auto"/>
                              </w:divBdr>
                              <w:divsChild>
                                <w:div w:id="1237201377">
                                  <w:marLeft w:val="0"/>
                                  <w:marRight w:val="0"/>
                                  <w:marTop w:val="0"/>
                                  <w:marBottom w:val="0"/>
                                  <w:divBdr>
                                    <w:top w:val="none" w:sz="0" w:space="0" w:color="auto"/>
                                    <w:left w:val="none" w:sz="0" w:space="0" w:color="auto"/>
                                    <w:bottom w:val="none" w:sz="0" w:space="0" w:color="auto"/>
                                    <w:right w:val="none" w:sz="0" w:space="0" w:color="auto"/>
                                  </w:divBdr>
                                  <w:divsChild>
                                    <w:div w:id="186675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1395">
      <w:bodyDiv w:val="1"/>
      <w:marLeft w:val="0"/>
      <w:marRight w:val="0"/>
      <w:marTop w:val="0"/>
      <w:marBottom w:val="0"/>
      <w:divBdr>
        <w:top w:val="none" w:sz="0" w:space="0" w:color="auto"/>
        <w:left w:val="none" w:sz="0" w:space="0" w:color="auto"/>
        <w:bottom w:val="none" w:sz="0" w:space="0" w:color="auto"/>
        <w:right w:val="none" w:sz="0" w:space="0" w:color="auto"/>
      </w:divBdr>
    </w:div>
    <w:div w:id="269902027">
      <w:bodyDiv w:val="1"/>
      <w:marLeft w:val="0"/>
      <w:marRight w:val="0"/>
      <w:marTop w:val="0"/>
      <w:marBottom w:val="0"/>
      <w:divBdr>
        <w:top w:val="none" w:sz="0" w:space="0" w:color="auto"/>
        <w:left w:val="none" w:sz="0" w:space="0" w:color="auto"/>
        <w:bottom w:val="none" w:sz="0" w:space="0" w:color="auto"/>
        <w:right w:val="none" w:sz="0" w:space="0" w:color="auto"/>
      </w:divBdr>
    </w:div>
    <w:div w:id="278269911">
      <w:bodyDiv w:val="1"/>
      <w:marLeft w:val="0"/>
      <w:marRight w:val="0"/>
      <w:marTop w:val="0"/>
      <w:marBottom w:val="0"/>
      <w:divBdr>
        <w:top w:val="none" w:sz="0" w:space="0" w:color="auto"/>
        <w:left w:val="none" w:sz="0" w:space="0" w:color="auto"/>
        <w:bottom w:val="none" w:sz="0" w:space="0" w:color="auto"/>
        <w:right w:val="none" w:sz="0" w:space="0" w:color="auto"/>
      </w:divBdr>
    </w:div>
    <w:div w:id="384062290">
      <w:bodyDiv w:val="1"/>
      <w:marLeft w:val="0"/>
      <w:marRight w:val="0"/>
      <w:marTop w:val="0"/>
      <w:marBottom w:val="0"/>
      <w:divBdr>
        <w:top w:val="none" w:sz="0" w:space="0" w:color="auto"/>
        <w:left w:val="none" w:sz="0" w:space="0" w:color="auto"/>
        <w:bottom w:val="none" w:sz="0" w:space="0" w:color="auto"/>
        <w:right w:val="none" w:sz="0" w:space="0" w:color="auto"/>
      </w:divBdr>
    </w:div>
    <w:div w:id="426266922">
      <w:bodyDiv w:val="1"/>
      <w:marLeft w:val="0"/>
      <w:marRight w:val="0"/>
      <w:marTop w:val="0"/>
      <w:marBottom w:val="0"/>
      <w:divBdr>
        <w:top w:val="none" w:sz="0" w:space="0" w:color="auto"/>
        <w:left w:val="none" w:sz="0" w:space="0" w:color="auto"/>
        <w:bottom w:val="none" w:sz="0" w:space="0" w:color="auto"/>
        <w:right w:val="none" w:sz="0" w:space="0" w:color="auto"/>
      </w:divBdr>
    </w:div>
    <w:div w:id="449277467">
      <w:bodyDiv w:val="1"/>
      <w:marLeft w:val="0"/>
      <w:marRight w:val="0"/>
      <w:marTop w:val="0"/>
      <w:marBottom w:val="0"/>
      <w:divBdr>
        <w:top w:val="none" w:sz="0" w:space="0" w:color="auto"/>
        <w:left w:val="none" w:sz="0" w:space="0" w:color="auto"/>
        <w:bottom w:val="none" w:sz="0" w:space="0" w:color="auto"/>
        <w:right w:val="none" w:sz="0" w:space="0" w:color="auto"/>
      </w:divBdr>
    </w:div>
    <w:div w:id="481309391">
      <w:bodyDiv w:val="1"/>
      <w:marLeft w:val="0"/>
      <w:marRight w:val="0"/>
      <w:marTop w:val="0"/>
      <w:marBottom w:val="0"/>
      <w:divBdr>
        <w:top w:val="none" w:sz="0" w:space="0" w:color="auto"/>
        <w:left w:val="none" w:sz="0" w:space="0" w:color="auto"/>
        <w:bottom w:val="none" w:sz="0" w:space="0" w:color="auto"/>
        <w:right w:val="none" w:sz="0" w:space="0" w:color="auto"/>
      </w:divBdr>
    </w:div>
    <w:div w:id="485245772">
      <w:bodyDiv w:val="1"/>
      <w:marLeft w:val="0"/>
      <w:marRight w:val="0"/>
      <w:marTop w:val="0"/>
      <w:marBottom w:val="0"/>
      <w:divBdr>
        <w:top w:val="none" w:sz="0" w:space="0" w:color="auto"/>
        <w:left w:val="none" w:sz="0" w:space="0" w:color="auto"/>
        <w:bottom w:val="none" w:sz="0" w:space="0" w:color="auto"/>
        <w:right w:val="none" w:sz="0" w:space="0" w:color="auto"/>
      </w:divBdr>
    </w:div>
    <w:div w:id="489322657">
      <w:bodyDiv w:val="1"/>
      <w:marLeft w:val="0"/>
      <w:marRight w:val="0"/>
      <w:marTop w:val="0"/>
      <w:marBottom w:val="0"/>
      <w:divBdr>
        <w:top w:val="none" w:sz="0" w:space="0" w:color="auto"/>
        <w:left w:val="none" w:sz="0" w:space="0" w:color="auto"/>
        <w:bottom w:val="none" w:sz="0" w:space="0" w:color="auto"/>
        <w:right w:val="none" w:sz="0" w:space="0" w:color="auto"/>
      </w:divBdr>
      <w:divsChild>
        <w:div w:id="1124694600">
          <w:marLeft w:val="0"/>
          <w:marRight w:val="0"/>
          <w:marTop w:val="120"/>
          <w:marBottom w:val="0"/>
          <w:divBdr>
            <w:top w:val="none" w:sz="0" w:space="0" w:color="auto"/>
            <w:left w:val="none" w:sz="0" w:space="0" w:color="auto"/>
            <w:bottom w:val="none" w:sz="0" w:space="0" w:color="auto"/>
            <w:right w:val="none" w:sz="0" w:space="0" w:color="auto"/>
          </w:divBdr>
        </w:div>
        <w:div w:id="1360816995">
          <w:marLeft w:val="567"/>
          <w:marRight w:val="0"/>
          <w:marTop w:val="60"/>
          <w:marBottom w:val="0"/>
          <w:divBdr>
            <w:top w:val="none" w:sz="0" w:space="0" w:color="auto"/>
            <w:left w:val="none" w:sz="0" w:space="0" w:color="auto"/>
            <w:bottom w:val="none" w:sz="0" w:space="0" w:color="auto"/>
            <w:right w:val="none" w:sz="0" w:space="0" w:color="auto"/>
          </w:divBdr>
        </w:div>
        <w:div w:id="1793478439">
          <w:marLeft w:val="0"/>
          <w:marRight w:val="0"/>
          <w:marTop w:val="120"/>
          <w:marBottom w:val="0"/>
          <w:divBdr>
            <w:top w:val="none" w:sz="0" w:space="0" w:color="auto"/>
            <w:left w:val="none" w:sz="0" w:space="0" w:color="auto"/>
            <w:bottom w:val="none" w:sz="0" w:space="0" w:color="auto"/>
            <w:right w:val="none" w:sz="0" w:space="0" w:color="auto"/>
          </w:divBdr>
        </w:div>
        <w:div w:id="515078607">
          <w:marLeft w:val="567"/>
          <w:marRight w:val="0"/>
          <w:marTop w:val="60"/>
          <w:marBottom w:val="0"/>
          <w:divBdr>
            <w:top w:val="none" w:sz="0" w:space="0" w:color="auto"/>
            <w:left w:val="none" w:sz="0" w:space="0" w:color="auto"/>
            <w:bottom w:val="none" w:sz="0" w:space="0" w:color="auto"/>
            <w:right w:val="none" w:sz="0" w:space="0" w:color="auto"/>
          </w:divBdr>
        </w:div>
      </w:divsChild>
    </w:div>
    <w:div w:id="670985590">
      <w:bodyDiv w:val="1"/>
      <w:marLeft w:val="0"/>
      <w:marRight w:val="0"/>
      <w:marTop w:val="0"/>
      <w:marBottom w:val="0"/>
      <w:divBdr>
        <w:top w:val="none" w:sz="0" w:space="0" w:color="auto"/>
        <w:left w:val="none" w:sz="0" w:space="0" w:color="auto"/>
        <w:bottom w:val="none" w:sz="0" w:space="0" w:color="auto"/>
        <w:right w:val="none" w:sz="0" w:space="0" w:color="auto"/>
      </w:divBdr>
    </w:div>
    <w:div w:id="735592804">
      <w:bodyDiv w:val="1"/>
      <w:marLeft w:val="0"/>
      <w:marRight w:val="0"/>
      <w:marTop w:val="0"/>
      <w:marBottom w:val="0"/>
      <w:divBdr>
        <w:top w:val="none" w:sz="0" w:space="0" w:color="auto"/>
        <w:left w:val="none" w:sz="0" w:space="0" w:color="auto"/>
        <w:bottom w:val="none" w:sz="0" w:space="0" w:color="auto"/>
        <w:right w:val="none" w:sz="0" w:space="0" w:color="auto"/>
      </w:divBdr>
    </w:div>
    <w:div w:id="970213297">
      <w:bodyDiv w:val="1"/>
      <w:marLeft w:val="0"/>
      <w:marRight w:val="0"/>
      <w:marTop w:val="0"/>
      <w:marBottom w:val="0"/>
      <w:divBdr>
        <w:top w:val="none" w:sz="0" w:space="0" w:color="auto"/>
        <w:left w:val="none" w:sz="0" w:space="0" w:color="auto"/>
        <w:bottom w:val="none" w:sz="0" w:space="0" w:color="auto"/>
        <w:right w:val="none" w:sz="0" w:space="0" w:color="auto"/>
      </w:divBdr>
    </w:div>
    <w:div w:id="1103766266">
      <w:bodyDiv w:val="1"/>
      <w:marLeft w:val="0"/>
      <w:marRight w:val="0"/>
      <w:marTop w:val="0"/>
      <w:marBottom w:val="0"/>
      <w:divBdr>
        <w:top w:val="none" w:sz="0" w:space="0" w:color="auto"/>
        <w:left w:val="none" w:sz="0" w:space="0" w:color="auto"/>
        <w:bottom w:val="none" w:sz="0" w:space="0" w:color="auto"/>
        <w:right w:val="none" w:sz="0" w:space="0" w:color="auto"/>
      </w:divBdr>
    </w:div>
    <w:div w:id="1493259040">
      <w:bodyDiv w:val="1"/>
      <w:marLeft w:val="0"/>
      <w:marRight w:val="0"/>
      <w:marTop w:val="0"/>
      <w:marBottom w:val="0"/>
      <w:divBdr>
        <w:top w:val="none" w:sz="0" w:space="0" w:color="auto"/>
        <w:left w:val="none" w:sz="0" w:space="0" w:color="auto"/>
        <w:bottom w:val="none" w:sz="0" w:space="0" w:color="auto"/>
        <w:right w:val="none" w:sz="0" w:space="0" w:color="auto"/>
      </w:divBdr>
    </w:div>
    <w:div w:id="1511947917">
      <w:bodyDiv w:val="1"/>
      <w:marLeft w:val="0"/>
      <w:marRight w:val="0"/>
      <w:marTop w:val="0"/>
      <w:marBottom w:val="0"/>
      <w:divBdr>
        <w:top w:val="none" w:sz="0" w:space="0" w:color="auto"/>
        <w:left w:val="none" w:sz="0" w:space="0" w:color="auto"/>
        <w:bottom w:val="none" w:sz="0" w:space="0" w:color="auto"/>
        <w:right w:val="none" w:sz="0" w:space="0" w:color="auto"/>
      </w:divBdr>
    </w:div>
    <w:div w:id="1514761932">
      <w:bodyDiv w:val="1"/>
      <w:marLeft w:val="0"/>
      <w:marRight w:val="0"/>
      <w:marTop w:val="0"/>
      <w:marBottom w:val="0"/>
      <w:divBdr>
        <w:top w:val="none" w:sz="0" w:space="0" w:color="auto"/>
        <w:left w:val="none" w:sz="0" w:space="0" w:color="auto"/>
        <w:bottom w:val="none" w:sz="0" w:space="0" w:color="auto"/>
        <w:right w:val="none" w:sz="0" w:space="0" w:color="auto"/>
      </w:divBdr>
    </w:div>
    <w:div w:id="1623655009">
      <w:bodyDiv w:val="1"/>
      <w:marLeft w:val="0"/>
      <w:marRight w:val="0"/>
      <w:marTop w:val="0"/>
      <w:marBottom w:val="0"/>
      <w:divBdr>
        <w:top w:val="none" w:sz="0" w:space="0" w:color="auto"/>
        <w:left w:val="none" w:sz="0" w:space="0" w:color="auto"/>
        <w:bottom w:val="none" w:sz="0" w:space="0" w:color="auto"/>
        <w:right w:val="none" w:sz="0" w:space="0" w:color="auto"/>
      </w:divBdr>
    </w:div>
    <w:div w:id="1736707281">
      <w:bodyDiv w:val="1"/>
      <w:marLeft w:val="0"/>
      <w:marRight w:val="0"/>
      <w:marTop w:val="0"/>
      <w:marBottom w:val="0"/>
      <w:divBdr>
        <w:top w:val="none" w:sz="0" w:space="0" w:color="auto"/>
        <w:left w:val="none" w:sz="0" w:space="0" w:color="auto"/>
        <w:bottom w:val="none" w:sz="0" w:space="0" w:color="auto"/>
        <w:right w:val="none" w:sz="0" w:space="0" w:color="auto"/>
      </w:divBdr>
    </w:div>
    <w:div w:id="1792086149">
      <w:bodyDiv w:val="1"/>
      <w:marLeft w:val="0"/>
      <w:marRight w:val="0"/>
      <w:marTop w:val="0"/>
      <w:marBottom w:val="0"/>
      <w:divBdr>
        <w:top w:val="none" w:sz="0" w:space="0" w:color="auto"/>
        <w:left w:val="none" w:sz="0" w:space="0" w:color="auto"/>
        <w:bottom w:val="none" w:sz="0" w:space="0" w:color="auto"/>
        <w:right w:val="none" w:sz="0" w:space="0" w:color="auto"/>
      </w:divBdr>
    </w:div>
    <w:div w:id="1964263769">
      <w:bodyDiv w:val="1"/>
      <w:marLeft w:val="0"/>
      <w:marRight w:val="0"/>
      <w:marTop w:val="0"/>
      <w:marBottom w:val="0"/>
      <w:divBdr>
        <w:top w:val="none" w:sz="0" w:space="0" w:color="auto"/>
        <w:left w:val="none" w:sz="0" w:space="0" w:color="auto"/>
        <w:bottom w:val="none" w:sz="0" w:space="0" w:color="auto"/>
        <w:right w:val="none" w:sz="0" w:space="0" w:color="auto"/>
      </w:divBdr>
    </w:div>
    <w:div w:id="2076856648">
      <w:bodyDiv w:val="1"/>
      <w:marLeft w:val="0"/>
      <w:marRight w:val="0"/>
      <w:marTop w:val="0"/>
      <w:marBottom w:val="0"/>
      <w:divBdr>
        <w:top w:val="none" w:sz="0" w:space="0" w:color="auto"/>
        <w:left w:val="none" w:sz="0" w:space="0" w:color="auto"/>
        <w:bottom w:val="none" w:sz="0" w:space="0" w:color="auto"/>
        <w:right w:val="none" w:sz="0" w:space="0" w:color="auto"/>
      </w:divBdr>
    </w:div>
    <w:div w:id="2079353508">
      <w:bodyDiv w:val="1"/>
      <w:marLeft w:val="0"/>
      <w:marRight w:val="0"/>
      <w:marTop w:val="0"/>
      <w:marBottom w:val="0"/>
      <w:divBdr>
        <w:top w:val="none" w:sz="0" w:space="0" w:color="auto"/>
        <w:left w:val="none" w:sz="0" w:space="0" w:color="auto"/>
        <w:bottom w:val="none" w:sz="0" w:space="0" w:color="auto"/>
        <w:right w:val="none" w:sz="0" w:space="0" w:color="auto"/>
      </w:divBdr>
    </w:div>
    <w:div w:id="21258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Desktop\RK%20-%20Pvt%20Documents\ADVOCATES\Adv%20-%20Precedents\a%20NEW%20PRECEDENTS\Judg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0A420C994E814BA1C35AC06495B87A" ma:contentTypeVersion="12" ma:contentTypeDescription="Create a new document." ma:contentTypeScope="" ma:versionID="0051167eb182034f7b91f7d7a2705ecd">
  <xsd:schema xmlns:xsd="http://www.w3.org/2001/XMLSchema" xmlns:xs="http://www.w3.org/2001/XMLSchema" xmlns:p="http://schemas.microsoft.com/office/2006/metadata/properties" xmlns:ns3="b03779ab-8f9e-444a-a0a6-3a6c36ceaffe" xmlns:ns4="4d9ecb02-87b4-42b5-9369-1d1c79930345" targetNamespace="http://schemas.microsoft.com/office/2006/metadata/properties" ma:root="true" ma:fieldsID="209e167331ffe69df9c71f81a79919b8" ns3:_="" ns4:_="">
    <xsd:import namespace="b03779ab-8f9e-444a-a0a6-3a6c36ceaffe"/>
    <xsd:import namespace="4d9ecb02-87b4-42b5-9369-1d1c799303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779ab-8f9e-444a-a0a6-3a6c36cea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ecb02-87b4-42b5-9369-1d1c799303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82855-2508-4A50-A9CB-B34E67C0E5BA}">
  <ds:schemaRefs>
    <ds:schemaRef ds:uri="http://schemas.openxmlformats.org/officeDocument/2006/bibliography"/>
  </ds:schemaRefs>
</ds:datastoreItem>
</file>

<file path=customXml/itemProps2.xml><?xml version="1.0" encoding="utf-8"?>
<ds:datastoreItem xmlns:ds="http://schemas.openxmlformats.org/officeDocument/2006/customXml" ds:itemID="{049D6992-55DE-4848-A016-7CCB3885F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779ab-8f9e-444a-a0a6-3a6c36ceaffe"/>
    <ds:schemaRef ds:uri="4d9ecb02-87b4-42b5-9369-1d1c79930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80ABE-D6BB-496A-BF0E-9B3DEF231B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A7EA70-44AF-4392-B4ED-2EEF1DA61B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Judgement.dotx</Template>
  <TotalTime>8</TotalTime>
  <Pages>9</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Werksmans</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Werksmans</dc:creator>
  <cp:lastModifiedBy>sathish sarshan  mohan</cp:lastModifiedBy>
  <cp:revision>3</cp:revision>
  <cp:lastPrinted>2024-04-10T09:14:00Z</cp:lastPrinted>
  <dcterms:created xsi:type="dcterms:W3CDTF">2024-04-12T08:16:00Z</dcterms:created>
  <dcterms:modified xsi:type="dcterms:W3CDTF">2024-04-20T20:43:00Z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0x010100A40A420C994E814BA1C35AC06495B87A</vt:lpwstr>
  </property>
</Properties>
</file>