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CDA52" w14:textId="33CB93FA" w:rsidR="0079348E" w:rsidRDefault="0079348E" w:rsidP="00B373B9">
      <w:pPr>
        <w:rPr>
          <w:rFonts w:eastAsia="Aptos"/>
          <w:noProof/>
        </w:rPr>
      </w:pPr>
      <w:r>
        <w:rPr>
          <w:rFonts w:eastAsia="Aptos"/>
          <w:noProof/>
        </w:rPr>
        <w:drawing>
          <wp:inline distT="0" distB="0" distL="0" distR="0" wp14:anchorId="48366A62" wp14:editId="6A9C05F8">
            <wp:extent cx="4286250" cy="466725"/>
            <wp:effectExtent l="0" t="0" r="0" b="9525"/>
            <wp:docPr id="79372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24FB4DE" w14:textId="2BEC5BDC" w:rsidR="000C0BEC" w:rsidRPr="00760ADF" w:rsidRDefault="000C0BEC" w:rsidP="00871CB5">
      <w:pPr>
        <w:jc w:val="center"/>
        <w:rPr>
          <w:rFonts w:eastAsia="Aptos"/>
          <w:noProof/>
        </w:rPr>
      </w:pPr>
      <w:r w:rsidRPr="00760ADF">
        <w:rPr>
          <w:rFonts w:eastAsia="Aptos"/>
          <w:noProof/>
          <w:lang w:eastAsia="en-ZA"/>
        </w:rPr>
        <w:drawing>
          <wp:inline distT="0" distB="0" distL="0" distR="0" wp14:anchorId="3170C1BE" wp14:editId="4DC57615">
            <wp:extent cx="1137138" cy="1137138"/>
            <wp:effectExtent l="0" t="0" r="6350" b="635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871" cy="1145871"/>
                    </a:xfrm>
                    <a:prstGeom prst="rect">
                      <a:avLst/>
                    </a:prstGeom>
                    <a:noFill/>
                    <a:ln>
                      <a:noFill/>
                    </a:ln>
                  </pic:spPr>
                </pic:pic>
              </a:graphicData>
            </a:graphic>
          </wp:inline>
        </w:drawing>
      </w:r>
    </w:p>
    <w:p w14:paraId="16DA59BB" w14:textId="77777777" w:rsidR="000C0BEC" w:rsidRPr="00760ADF" w:rsidRDefault="000C0BEC" w:rsidP="00871CB5">
      <w:pPr>
        <w:jc w:val="center"/>
        <w:rPr>
          <w:rFonts w:eastAsia="Aptos"/>
        </w:rPr>
      </w:pPr>
      <w:r w:rsidRPr="00760ADF">
        <w:rPr>
          <w:rFonts w:eastAsia="Aptos"/>
        </w:rPr>
        <w:t>IN THE HIGH COURT OF SOUTH AFRICA</w:t>
      </w:r>
    </w:p>
    <w:p w14:paraId="51B10D6F" w14:textId="27A8B8BF" w:rsidR="000C0BEC" w:rsidRPr="00760ADF" w:rsidRDefault="000C0BEC" w:rsidP="00871CB5">
      <w:pPr>
        <w:jc w:val="center"/>
        <w:rPr>
          <w:rFonts w:eastAsia="Aptos"/>
        </w:rPr>
      </w:pPr>
      <w:r w:rsidRPr="00760ADF">
        <w:rPr>
          <w:rFonts w:eastAsia="Aptos"/>
        </w:rPr>
        <w:t>GAUTENG LOCAL DIVISION, JOHANNESBURG</w:t>
      </w:r>
    </w:p>
    <w:p w14:paraId="654001BC" w14:textId="6B6A98E8" w:rsidR="000C0BEC" w:rsidRPr="00760ADF" w:rsidRDefault="000C0BEC" w:rsidP="00871CB5">
      <w:pPr>
        <w:jc w:val="right"/>
        <w:rPr>
          <w:rFonts w:eastAsia="Aptos"/>
          <w:szCs w:val="28"/>
        </w:rPr>
      </w:pPr>
      <w:r w:rsidRPr="00760ADF">
        <w:rPr>
          <w:rFonts w:eastAsia="Aptos"/>
          <w:noProof/>
          <w:lang w:eastAsia="en-ZA"/>
        </w:rPr>
        <mc:AlternateContent>
          <mc:Choice Requires="wps">
            <w:drawing>
              <wp:anchor distT="0" distB="0" distL="114300" distR="114300" simplePos="0" relativeHeight="251659264" behindDoc="0" locked="0" layoutInCell="1" allowOverlap="1" wp14:anchorId="2B4FD839" wp14:editId="35F752CF">
                <wp:simplePos x="0" y="0"/>
                <wp:positionH relativeFrom="column">
                  <wp:posOffset>-212725</wp:posOffset>
                </wp:positionH>
                <wp:positionV relativeFrom="paragraph">
                  <wp:posOffset>118110</wp:posOffset>
                </wp:positionV>
                <wp:extent cx="3205480" cy="1727200"/>
                <wp:effectExtent l="0" t="0" r="1397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727200"/>
                        </a:xfrm>
                        <a:prstGeom prst="rect">
                          <a:avLst/>
                        </a:prstGeom>
                        <a:solidFill>
                          <a:srgbClr val="FFFFFF"/>
                        </a:solidFill>
                        <a:ln w="9525">
                          <a:solidFill>
                            <a:srgbClr val="000000"/>
                          </a:solidFill>
                          <a:miter lim="800000"/>
                          <a:headEnd/>
                          <a:tailEnd/>
                        </a:ln>
                      </wps:spPr>
                      <wps:txbx>
                        <w:txbxContent>
                          <w:p w14:paraId="080976E7" w14:textId="77777777" w:rsidR="000C0BEC" w:rsidRDefault="000C0BEC" w:rsidP="000C0BEC">
                            <w:pPr>
                              <w:spacing w:line="240" w:lineRule="auto"/>
                              <w:rPr>
                                <w:rFonts w:cs="Arial"/>
                                <w:sz w:val="18"/>
                                <w:szCs w:val="18"/>
                              </w:rPr>
                            </w:pPr>
                            <w:r w:rsidRPr="00760ADF">
                              <w:rPr>
                                <w:rFonts w:cs="Arial"/>
                                <w:sz w:val="18"/>
                                <w:szCs w:val="18"/>
                              </w:rPr>
                              <w:t xml:space="preserve">(1)  REPORTABLE:   </w:t>
                            </w:r>
                          </w:p>
                          <w:p w14:paraId="4042549E" w14:textId="49E241F7" w:rsidR="000C0BEC" w:rsidRDefault="000C0BEC" w:rsidP="000C0BEC">
                            <w:pPr>
                              <w:spacing w:line="240" w:lineRule="auto"/>
                              <w:rPr>
                                <w:rFonts w:cs="Arial"/>
                                <w:sz w:val="18"/>
                                <w:szCs w:val="18"/>
                              </w:rPr>
                            </w:pPr>
                            <w:r w:rsidRPr="00760ADF">
                              <w:rPr>
                                <w:rFonts w:cs="Arial"/>
                                <w:sz w:val="18"/>
                                <w:szCs w:val="18"/>
                              </w:rPr>
                              <w:t xml:space="preserve">(2)  OF INTEREST TO OTHER JUDGES:  </w:t>
                            </w:r>
                          </w:p>
                          <w:p w14:paraId="639A35FA" w14:textId="449FC481" w:rsidR="000C0BEC" w:rsidRPr="00760ADF" w:rsidRDefault="000C0BEC" w:rsidP="000C0BEC">
                            <w:pPr>
                              <w:spacing w:line="240" w:lineRule="auto"/>
                              <w:rPr>
                                <w:rFonts w:cs="Arial"/>
                                <w:sz w:val="18"/>
                                <w:szCs w:val="18"/>
                              </w:rPr>
                            </w:pPr>
                            <w:r w:rsidRPr="00760ADF">
                              <w:rPr>
                                <w:rFonts w:cs="Arial"/>
                                <w:sz w:val="18"/>
                                <w:szCs w:val="18"/>
                              </w:rPr>
                              <w:t xml:space="preserve">(3)  REVISED: </w:t>
                            </w:r>
                          </w:p>
                          <w:p w14:paraId="12D19097" w14:textId="77777777" w:rsidR="000C0BEC" w:rsidRPr="00760ADF" w:rsidRDefault="000C0BEC" w:rsidP="000C0BEC">
                            <w:pPr>
                              <w:rPr>
                                <w:rFonts w:cs="Arial"/>
                                <w:sz w:val="18"/>
                                <w:szCs w:val="18"/>
                              </w:rPr>
                            </w:pPr>
                            <w:r w:rsidRPr="00760ADF">
                              <w:rPr>
                                <w:rFonts w:cs="Arial"/>
                                <w:sz w:val="18"/>
                                <w:szCs w:val="18"/>
                              </w:rPr>
                              <w:t>...................................</w:t>
                            </w:r>
                            <w:r w:rsidRPr="00760ADF">
                              <w:rPr>
                                <w:rFonts w:cs="Arial"/>
                                <w:sz w:val="18"/>
                                <w:szCs w:val="18"/>
                              </w:rPr>
                              <w:tab/>
                            </w:r>
                            <w:r w:rsidRPr="00760ADF">
                              <w:rPr>
                                <w:rFonts w:cs="Arial"/>
                                <w:sz w:val="18"/>
                                <w:szCs w:val="18"/>
                              </w:rPr>
                              <w:tab/>
                              <w:t>……………………</w:t>
                            </w:r>
                          </w:p>
                          <w:p w14:paraId="0CA4A89B" w14:textId="77777777" w:rsidR="000C0BEC" w:rsidRPr="00760ADF" w:rsidRDefault="000C0BEC" w:rsidP="000C0BEC">
                            <w:pPr>
                              <w:rPr>
                                <w:rFonts w:cs="Arial"/>
                                <w:sz w:val="18"/>
                                <w:szCs w:val="18"/>
                              </w:rPr>
                            </w:pPr>
                            <w:r w:rsidRPr="00760ADF">
                              <w:rPr>
                                <w:rFonts w:cs="Arial"/>
                                <w:sz w:val="18"/>
                                <w:szCs w:val="18"/>
                              </w:rPr>
                              <w:t xml:space="preserve">  SIGNATURE</w:t>
                            </w:r>
                            <w:r w:rsidRPr="00760ADF">
                              <w:rPr>
                                <w:rFonts w:cs="Arial"/>
                                <w:sz w:val="18"/>
                                <w:szCs w:val="18"/>
                              </w:rPr>
                              <w:tab/>
                            </w:r>
                            <w:r w:rsidRPr="00760ADF">
                              <w:rPr>
                                <w:rFonts w:cs="Arial"/>
                                <w:sz w:val="18"/>
                                <w:szCs w:val="18"/>
                              </w:rPr>
                              <w:tab/>
                            </w:r>
                            <w:r w:rsidRPr="00760ADF">
                              <w:rPr>
                                <w:rFonts w:cs="Arial"/>
                                <w:sz w:val="18"/>
                                <w:szCs w:val="18"/>
                              </w:rPr>
                              <w:tab/>
                              <w:t>DATE</w:t>
                            </w:r>
                          </w:p>
                          <w:p w14:paraId="2E15B494" w14:textId="77777777" w:rsidR="000C0BEC" w:rsidRPr="00760ADF" w:rsidRDefault="000C0BEC" w:rsidP="000C0BEC">
                            <w:pPr>
                              <w:rPr>
                                <w:rFonts w:cs="Arial"/>
                                <w:sz w:val="18"/>
                                <w:szCs w:val="18"/>
                              </w:rPr>
                            </w:pPr>
                          </w:p>
                          <w:p w14:paraId="11BD55CE" w14:textId="69FF9B05" w:rsidR="000C0BEC" w:rsidRPr="00760ADF" w:rsidRDefault="000C0BEC" w:rsidP="000C0BEC">
                            <w:pPr>
                              <w:rPr>
                                <w:rFonts w:cs="Arial"/>
                                <w:sz w:val="18"/>
                                <w:szCs w:val="18"/>
                              </w:rPr>
                            </w:pPr>
                            <w:r w:rsidRPr="00760ADF">
                              <w:rPr>
                                <w:rFonts w:cs="Arial"/>
                                <w:sz w:val="18"/>
                                <w:szCs w:val="18"/>
                              </w:rPr>
                              <w:tab/>
                              <w:t xml:space="preserve">           </w:t>
                            </w:r>
                            <w:r>
                              <w:rPr>
                                <w:rFonts w:cs="Arial"/>
                                <w:sz w:val="18"/>
                                <w:szCs w:val="18"/>
                              </w:rPr>
                              <w:t xml:space="preserve">                             </w:t>
                            </w:r>
                          </w:p>
                          <w:p w14:paraId="2791709E" w14:textId="77777777" w:rsidR="000C0BEC" w:rsidRPr="00760ADF" w:rsidRDefault="000C0BEC" w:rsidP="000C0BEC">
                            <w:pPr>
                              <w:rPr>
                                <w:rFonts w:cs="Arial"/>
                                <w:sz w:val="18"/>
                                <w:szCs w:val="18"/>
                              </w:rPr>
                            </w:pPr>
                            <w:r w:rsidRPr="00760ADF">
                              <w:rPr>
                                <w:rFonts w:cs="Arial"/>
                                <w:sz w:val="18"/>
                                <w:szCs w:val="18"/>
                              </w:rPr>
                              <w:t xml:space="preserve">  ...................................</w:t>
                            </w:r>
                            <w:r w:rsidRPr="00760ADF">
                              <w:rPr>
                                <w:rFonts w:cs="Arial"/>
                                <w:sz w:val="18"/>
                                <w:szCs w:val="18"/>
                              </w:rPr>
                              <w:tab/>
                            </w:r>
                            <w:r w:rsidRPr="00760ADF">
                              <w:rPr>
                                <w:rFonts w:cs="Arial"/>
                                <w:sz w:val="18"/>
                                <w:szCs w:val="18"/>
                              </w:rPr>
                              <w:tab/>
                              <w:t>……………………</w:t>
                            </w:r>
                          </w:p>
                          <w:p w14:paraId="119A1A65" w14:textId="77777777" w:rsidR="000C0BEC" w:rsidRPr="00760ADF" w:rsidRDefault="000C0BEC" w:rsidP="000C0BEC">
                            <w:pPr>
                              <w:rPr>
                                <w:rFonts w:cs="Arial"/>
                                <w:sz w:val="18"/>
                                <w:szCs w:val="18"/>
                              </w:rPr>
                            </w:pPr>
                            <w:r w:rsidRPr="00760ADF">
                              <w:rPr>
                                <w:rFonts w:cs="Arial"/>
                                <w:sz w:val="18"/>
                                <w:szCs w:val="18"/>
                              </w:rPr>
                              <w:t xml:space="preserve">  SIGNATURE</w:t>
                            </w:r>
                            <w:r w:rsidRPr="00760ADF">
                              <w:rPr>
                                <w:rFonts w:cs="Arial"/>
                                <w:sz w:val="18"/>
                                <w:szCs w:val="18"/>
                              </w:rPr>
                              <w:tab/>
                            </w:r>
                            <w:r w:rsidRPr="00760ADF">
                              <w:rPr>
                                <w:rFonts w:cs="Arial"/>
                                <w:sz w:val="18"/>
                                <w:szCs w:val="18"/>
                              </w:rPr>
                              <w:tab/>
                            </w:r>
                            <w:r w:rsidRPr="00760ADF">
                              <w:rPr>
                                <w:rFonts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FD839" id="_x0000_t202" coordsize="21600,21600" o:spt="202" path="m,l,21600r21600,l21600,xe">
                <v:stroke joinstyle="miter"/>
                <v:path gradientshapeok="t" o:connecttype="rect"/>
              </v:shapetype>
              <v:shape id="Text Box 4" o:spid="_x0000_s1026" type="#_x0000_t202" style="position:absolute;left:0;text-align:left;margin-left:-16.75pt;margin-top:9.3pt;width:252.4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QUFgIAACwEAAAOAAAAZHJzL2Uyb0RvYy54bWysU9tu2zAMfR+wfxD0vjjJkjU14hRdugwD&#10;ugvQ7QNkWbaFyaJGKbGzrx8lp2l2exmmB0EUqUPy8Gh9M3SGHRR6Dbbgs8mUM2UlVNo2Bf/yefdi&#10;xZkPwlbCgFUFPyrPbzbPn617l6s5tGAqhYxArM97V/A2BJdnmZet6oSfgFOWnDVgJwKZ2GQVip7Q&#10;O5PNp9NXWQ9YOQSpvKfbu9HJNwm/rpUMH+vaq8BMwam2kHZMexn3bLMWeYPCtVqeyhD/UEUntKWk&#10;Z6g7EQTbo/4NqtMSwUMdJhK6DOpaS5V6oG5m01+6eWiFU6kXIse7M03+/8HKD4cH9wlZGF7DQANM&#10;TXh3D/KrZxa2rbCNukWEvlWiosSzSFnWO5+fnkaqfe4jSNm/h4qGLPYBEtBQYxdZoT4ZodMAjmfS&#10;1RCYpMuX8+lysSKXJN/san5FY005RP743KEPbxV0LB4KjjTVBC8O9z7EckT+GBKzeTC62mljkoFN&#10;uTXIDoIUsEvrhP5TmLGsL/j1cr4cGfgrxDStP0F0OpCUje4KvjoHiTzy9sZWSWhBaDOeqWRjT0RG&#10;7kYWw1AOFBgJLaE6EqUIo2Tpi9GhBfzOWU9yLbj/theoODPvLI3lerZYRH0nY7EkEjnDS0956RFW&#10;ElTBA2fjcRvGP7F3qJuWMo1CsHBLo6x1IvmpqlPdJMnE/en7RM1f2inq6ZNvfgAAAP//AwBQSwME&#10;FAAGAAgAAAAhAFtXBsvgAAAACgEAAA8AAABkcnMvZG93bnJldi54bWxMj8FOwzAQRO9I/IO1SFxQ&#10;67QpaRriVAgJBDcoCK5usk0i7HWw3TT8PcsJjqt5mnlbbidrxIg+9I4ULOYJCKTaNT21Ct5e72c5&#10;iBA1Ndo4QgXfGGBbnZ+VumjciV5w3MVWcAmFQivoYhwKKUPdodVh7gYkzg7OWx359K1svD5xuTVy&#10;mSSZtLonXuj0gHcd1p+7o1WQrx7Hj/CUPr/X2cFs4tV6fPjySl1eTLc3ICJO8Q+GX31Wh4qd9u5I&#10;TRBGwSxNrxnlIM9AMLBaL1IQewXLTZKBrEr5/4XqBwAA//8DAFBLAQItABQABgAIAAAAIQC2gziS&#10;/gAAAOEBAAATAAAAAAAAAAAAAAAAAAAAAABbQ29udGVudF9UeXBlc10ueG1sUEsBAi0AFAAGAAgA&#10;AAAhADj9If/WAAAAlAEAAAsAAAAAAAAAAAAAAAAALwEAAF9yZWxzLy5yZWxzUEsBAi0AFAAGAAgA&#10;AAAhAKOdRBQWAgAALAQAAA4AAAAAAAAAAAAAAAAALgIAAGRycy9lMm9Eb2MueG1sUEsBAi0AFAAG&#10;AAgAAAAhAFtXBsvgAAAACgEAAA8AAAAAAAAAAAAAAAAAcAQAAGRycy9kb3ducmV2LnhtbFBLBQYA&#10;AAAABAAEAPMAAAB9BQAAAAA=&#10;">
                <v:textbox>
                  <w:txbxContent>
                    <w:p w14:paraId="080976E7" w14:textId="77777777" w:rsidR="000C0BEC" w:rsidRDefault="000C0BEC" w:rsidP="000C0BEC">
                      <w:pPr>
                        <w:spacing w:line="240" w:lineRule="auto"/>
                        <w:rPr>
                          <w:rFonts w:cs="Arial"/>
                          <w:sz w:val="18"/>
                          <w:szCs w:val="18"/>
                        </w:rPr>
                      </w:pPr>
                      <w:r w:rsidRPr="00760ADF">
                        <w:rPr>
                          <w:rFonts w:cs="Arial"/>
                          <w:sz w:val="18"/>
                          <w:szCs w:val="18"/>
                        </w:rPr>
                        <w:t xml:space="preserve">(1)  REPORTABLE:   </w:t>
                      </w:r>
                    </w:p>
                    <w:p w14:paraId="4042549E" w14:textId="49E241F7" w:rsidR="000C0BEC" w:rsidRDefault="000C0BEC" w:rsidP="000C0BEC">
                      <w:pPr>
                        <w:spacing w:line="240" w:lineRule="auto"/>
                        <w:rPr>
                          <w:rFonts w:cs="Arial"/>
                          <w:sz w:val="18"/>
                          <w:szCs w:val="18"/>
                        </w:rPr>
                      </w:pPr>
                      <w:r w:rsidRPr="00760ADF">
                        <w:rPr>
                          <w:rFonts w:cs="Arial"/>
                          <w:sz w:val="18"/>
                          <w:szCs w:val="18"/>
                        </w:rPr>
                        <w:t xml:space="preserve">(2)  OF INTEREST TO OTHER JUDGES:  </w:t>
                      </w:r>
                    </w:p>
                    <w:p w14:paraId="639A35FA" w14:textId="449FC481" w:rsidR="000C0BEC" w:rsidRPr="00760ADF" w:rsidRDefault="000C0BEC" w:rsidP="000C0BEC">
                      <w:pPr>
                        <w:spacing w:line="240" w:lineRule="auto"/>
                        <w:rPr>
                          <w:rFonts w:cs="Arial"/>
                          <w:sz w:val="18"/>
                          <w:szCs w:val="18"/>
                        </w:rPr>
                      </w:pPr>
                      <w:r w:rsidRPr="00760ADF">
                        <w:rPr>
                          <w:rFonts w:cs="Arial"/>
                          <w:sz w:val="18"/>
                          <w:szCs w:val="18"/>
                        </w:rPr>
                        <w:t xml:space="preserve">(3)  REVISED: </w:t>
                      </w:r>
                    </w:p>
                    <w:p w14:paraId="12D19097" w14:textId="77777777" w:rsidR="000C0BEC" w:rsidRPr="00760ADF" w:rsidRDefault="000C0BEC" w:rsidP="000C0BEC">
                      <w:pPr>
                        <w:rPr>
                          <w:rFonts w:cs="Arial"/>
                          <w:sz w:val="18"/>
                          <w:szCs w:val="18"/>
                        </w:rPr>
                      </w:pPr>
                      <w:r w:rsidRPr="00760ADF">
                        <w:rPr>
                          <w:rFonts w:cs="Arial"/>
                          <w:sz w:val="18"/>
                          <w:szCs w:val="18"/>
                        </w:rPr>
                        <w:t>...................................</w:t>
                      </w:r>
                      <w:r w:rsidRPr="00760ADF">
                        <w:rPr>
                          <w:rFonts w:cs="Arial"/>
                          <w:sz w:val="18"/>
                          <w:szCs w:val="18"/>
                        </w:rPr>
                        <w:tab/>
                      </w:r>
                      <w:r w:rsidRPr="00760ADF">
                        <w:rPr>
                          <w:rFonts w:cs="Arial"/>
                          <w:sz w:val="18"/>
                          <w:szCs w:val="18"/>
                        </w:rPr>
                        <w:tab/>
                        <w:t>……………………</w:t>
                      </w:r>
                    </w:p>
                    <w:p w14:paraId="0CA4A89B" w14:textId="77777777" w:rsidR="000C0BEC" w:rsidRPr="00760ADF" w:rsidRDefault="000C0BEC" w:rsidP="000C0BEC">
                      <w:pPr>
                        <w:rPr>
                          <w:rFonts w:cs="Arial"/>
                          <w:sz w:val="18"/>
                          <w:szCs w:val="18"/>
                        </w:rPr>
                      </w:pPr>
                      <w:r w:rsidRPr="00760ADF">
                        <w:rPr>
                          <w:rFonts w:cs="Arial"/>
                          <w:sz w:val="18"/>
                          <w:szCs w:val="18"/>
                        </w:rPr>
                        <w:t xml:space="preserve">  SIGNATURE</w:t>
                      </w:r>
                      <w:r w:rsidRPr="00760ADF">
                        <w:rPr>
                          <w:rFonts w:cs="Arial"/>
                          <w:sz w:val="18"/>
                          <w:szCs w:val="18"/>
                        </w:rPr>
                        <w:tab/>
                      </w:r>
                      <w:r w:rsidRPr="00760ADF">
                        <w:rPr>
                          <w:rFonts w:cs="Arial"/>
                          <w:sz w:val="18"/>
                          <w:szCs w:val="18"/>
                        </w:rPr>
                        <w:tab/>
                      </w:r>
                      <w:r w:rsidRPr="00760ADF">
                        <w:rPr>
                          <w:rFonts w:cs="Arial"/>
                          <w:sz w:val="18"/>
                          <w:szCs w:val="18"/>
                        </w:rPr>
                        <w:tab/>
                        <w:t>DATE</w:t>
                      </w:r>
                    </w:p>
                    <w:p w14:paraId="2E15B494" w14:textId="77777777" w:rsidR="000C0BEC" w:rsidRPr="00760ADF" w:rsidRDefault="000C0BEC" w:rsidP="000C0BEC">
                      <w:pPr>
                        <w:rPr>
                          <w:rFonts w:cs="Arial"/>
                          <w:sz w:val="18"/>
                          <w:szCs w:val="18"/>
                        </w:rPr>
                      </w:pPr>
                    </w:p>
                    <w:p w14:paraId="11BD55CE" w14:textId="69FF9B05" w:rsidR="000C0BEC" w:rsidRPr="00760ADF" w:rsidRDefault="000C0BEC" w:rsidP="000C0BEC">
                      <w:pPr>
                        <w:rPr>
                          <w:rFonts w:cs="Arial"/>
                          <w:sz w:val="18"/>
                          <w:szCs w:val="18"/>
                        </w:rPr>
                      </w:pPr>
                      <w:r w:rsidRPr="00760ADF">
                        <w:rPr>
                          <w:rFonts w:cs="Arial"/>
                          <w:sz w:val="18"/>
                          <w:szCs w:val="18"/>
                        </w:rPr>
                        <w:tab/>
                        <w:t xml:space="preserve">           </w:t>
                      </w:r>
                      <w:r>
                        <w:rPr>
                          <w:rFonts w:cs="Arial"/>
                          <w:sz w:val="18"/>
                          <w:szCs w:val="18"/>
                        </w:rPr>
                        <w:t xml:space="preserve">                             </w:t>
                      </w:r>
                    </w:p>
                    <w:p w14:paraId="2791709E" w14:textId="77777777" w:rsidR="000C0BEC" w:rsidRPr="00760ADF" w:rsidRDefault="000C0BEC" w:rsidP="000C0BEC">
                      <w:pPr>
                        <w:rPr>
                          <w:rFonts w:cs="Arial"/>
                          <w:sz w:val="18"/>
                          <w:szCs w:val="18"/>
                        </w:rPr>
                      </w:pPr>
                      <w:r w:rsidRPr="00760ADF">
                        <w:rPr>
                          <w:rFonts w:cs="Arial"/>
                          <w:sz w:val="18"/>
                          <w:szCs w:val="18"/>
                        </w:rPr>
                        <w:t xml:space="preserve">  ...................................</w:t>
                      </w:r>
                      <w:r w:rsidRPr="00760ADF">
                        <w:rPr>
                          <w:rFonts w:cs="Arial"/>
                          <w:sz w:val="18"/>
                          <w:szCs w:val="18"/>
                        </w:rPr>
                        <w:tab/>
                      </w:r>
                      <w:r w:rsidRPr="00760ADF">
                        <w:rPr>
                          <w:rFonts w:cs="Arial"/>
                          <w:sz w:val="18"/>
                          <w:szCs w:val="18"/>
                        </w:rPr>
                        <w:tab/>
                        <w:t>……………………</w:t>
                      </w:r>
                    </w:p>
                    <w:p w14:paraId="119A1A65" w14:textId="77777777" w:rsidR="000C0BEC" w:rsidRPr="00760ADF" w:rsidRDefault="000C0BEC" w:rsidP="000C0BEC">
                      <w:pPr>
                        <w:rPr>
                          <w:rFonts w:cs="Arial"/>
                          <w:sz w:val="18"/>
                          <w:szCs w:val="18"/>
                        </w:rPr>
                      </w:pPr>
                      <w:r w:rsidRPr="00760ADF">
                        <w:rPr>
                          <w:rFonts w:cs="Arial"/>
                          <w:sz w:val="18"/>
                          <w:szCs w:val="18"/>
                        </w:rPr>
                        <w:t xml:space="preserve">  SIGNATURE</w:t>
                      </w:r>
                      <w:r w:rsidRPr="00760ADF">
                        <w:rPr>
                          <w:rFonts w:cs="Arial"/>
                          <w:sz w:val="18"/>
                          <w:szCs w:val="18"/>
                        </w:rPr>
                        <w:tab/>
                      </w:r>
                      <w:r w:rsidRPr="00760ADF">
                        <w:rPr>
                          <w:rFonts w:cs="Arial"/>
                          <w:sz w:val="18"/>
                          <w:szCs w:val="18"/>
                        </w:rPr>
                        <w:tab/>
                      </w:r>
                      <w:r w:rsidRPr="00760ADF">
                        <w:rPr>
                          <w:rFonts w:cs="Arial"/>
                          <w:sz w:val="18"/>
                          <w:szCs w:val="18"/>
                        </w:rPr>
                        <w:tab/>
                        <w:t>DATE</w:t>
                      </w:r>
                    </w:p>
                  </w:txbxContent>
                </v:textbox>
              </v:shape>
            </w:pict>
          </mc:Fallback>
        </mc:AlternateContent>
      </w:r>
      <w:r w:rsidRPr="00760ADF">
        <w:rPr>
          <w:rFonts w:eastAsia="Aptos"/>
          <w:szCs w:val="28"/>
        </w:rPr>
        <w:tab/>
      </w:r>
      <w:r w:rsidRPr="00760ADF">
        <w:rPr>
          <w:rFonts w:eastAsia="Aptos"/>
          <w:szCs w:val="28"/>
        </w:rPr>
        <w:tab/>
      </w:r>
      <w:r w:rsidRPr="00760ADF">
        <w:rPr>
          <w:rFonts w:eastAsia="Aptos"/>
          <w:szCs w:val="28"/>
        </w:rPr>
        <w:tab/>
      </w:r>
      <w:r w:rsidRPr="00760ADF">
        <w:rPr>
          <w:rFonts w:eastAsia="Aptos"/>
          <w:szCs w:val="28"/>
        </w:rPr>
        <w:tab/>
      </w:r>
      <w:r w:rsidRPr="00760ADF">
        <w:rPr>
          <w:rFonts w:eastAsia="Aptos"/>
          <w:szCs w:val="28"/>
        </w:rPr>
        <w:tab/>
      </w:r>
      <w:r w:rsidRPr="00760ADF">
        <w:rPr>
          <w:rFonts w:eastAsia="Aptos"/>
          <w:szCs w:val="28"/>
        </w:rPr>
        <w:tab/>
      </w:r>
      <w:r w:rsidRPr="00760ADF">
        <w:rPr>
          <w:rFonts w:eastAsia="Aptos"/>
          <w:szCs w:val="28"/>
        </w:rPr>
        <w:tab/>
        <w:t xml:space="preserve">Case Number: </w:t>
      </w:r>
      <w:r w:rsidRPr="000C0BEC">
        <w:rPr>
          <w:rFonts w:eastAsia="Aptos"/>
          <w:szCs w:val="28"/>
        </w:rPr>
        <w:t>2021/23816</w:t>
      </w:r>
    </w:p>
    <w:p w14:paraId="638F7903" w14:textId="62009737" w:rsidR="000C0BEC" w:rsidRPr="00760ADF" w:rsidRDefault="000C0BEC" w:rsidP="00B373B9">
      <w:pPr>
        <w:rPr>
          <w:rFonts w:eastAsia="Aptos"/>
        </w:rPr>
      </w:pPr>
      <w:r w:rsidRPr="00760ADF">
        <w:rPr>
          <w:rFonts w:eastAsia="Aptos"/>
        </w:rPr>
        <w:tab/>
      </w:r>
      <w:r w:rsidRPr="00760ADF">
        <w:rPr>
          <w:rFonts w:eastAsia="Aptos"/>
        </w:rPr>
        <w:tab/>
      </w:r>
      <w:r w:rsidRPr="00760ADF">
        <w:rPr>
          <w:rFonts w:eastAsia="Aptos"/>
        </w:rPr>
        <w:tab/>
      </w:r>
    </w:p>
    <w:p w14:paraId="122261A0" w14:textId="77777777" w:rsidR="000C0BEC" w:rsidRPr="00760ADF" w:rsidRDefault="000C0BEC" w:rsidP="00B373B9">
      <w:pPr>
        <w:rPr>
          <w:rFonts w:eastAsia="Aptos"/>
        </w:rPr>
      </w:pPr>
    </w:p>
    <w:p w14:paraId="4C08026D" w14:textId="77777777" w:rsidR="000C0BEC" w:rsidRPr="00760ADF" w:rsidRDefault="000C0BEC" w:rsidP="00B373B9">
      <w:pPr>
        <w:rPr>
          <w:rFonts w:eastAsia="Aptos"/>
        </w:rPr>
      </w:pPr>
    </w:p>
    <w:p w14:paraId="669CFB04" w14:textId="64CDE79A" w:rsidR="000C0BEC" w:rsidRDefault="000C0BEC" w:rsidP="00B373B9">
      <w:pPr>
        <w:rPr>
          <w:rFonts w:eastAsia="Aptos"/>
        </w:rPr>
      </w:pPr>
      <w:r w:rsidRPr="00760ADF">
        <w:rPr>
          <w:rFonts w:eastAsia="Aptos"/>
        </w:rPr>
        <w:t>In the matter between:</w:t>
      </w:r>
    </w:p>
    <w:p w14:paraId="46AA62C8" w14:textId="21DA8F46" w:rsidR="000C0BEC" w:rsidRPr="000C0BEC" w:rsidRDefault="00EC515E" w:rsidP="00B373B9">
      <w:pPr>
        <w:rPr>
          <w:rFonts w:eastAsia="Aptos"/>
        </w:rPr>
      </w:pPr>
      <w:r>
        <w:rPr>
          <w:rFonts w:eastAsia="Aptos"/>
        </w:rPr>
        <w:t>D[...]</w:t>
      </w:r>
      <w:r w:rsidR="000C0BEC" w:rsidRPr="000C0BEC">
        <w:rPr>
          <w:rFonts w:eastAsia="Aptos"/>
        </w:rPr>
        <w:t xml:space="preserve">, </w:t>
      </w:r>
      <w:proofErr w:type="gramStart"/>
      <w:r w:rsidR="000C0BEC" w:rsidRPr="000C0BEC">
        <w:rPr>
          <w:rFonts w:eastAsia="Aptos"/>
        </w:rPr>
        <w:t>A</w:t>
      </w:r>
      <w:r>
        <w:rPr>
          <w:rFonts w:eastAsia="Aptos"/>
        </w:rPr>
        <w:t>[</w:t>
      </w:r>
      <w:proofErr w:type="gramEnd"/>
      <w:r>
        <w:rPr>
          <w:rFonts w:eastAsia="Aptos"/>
        </w:rPr>
        <w:t>…]</w:t>
      </w:r>
      <w:r w:rsidR="000C0BEC" w:rsidRPr="000C0BEC">
        <w:rPr>
          <w:rFonts w:eastAsia="Aptos"/>
        </w:rPr>
        <w:t xml:space="preserve"> </w:t>
      </w:r>
      <w:r w:rsidR="000C0BEC">
        <w:rPr>
          <w:rFonts w:eastAsia="Aptos"/>
        </w:rPr>
        <w:tab/>
      </w:r>
      <w:r w:rsidR="000C0BEC">
        <w:rPr>
          <w:rFonts w:eastAsia="Aptos"/>
        </w:rPr>
        <w:tab/>
      </w:r>
      <w:r w:rsidR="000C0BEC">
        <w:rPr>
          <w:rFonts w:eastAsia="Aptos"/>
        </w:rPr>
        <w:tab/>
      </w:r>
      <w:r w:rsidR="000C0BEC">
        <w:rPr>
          <w:rFonts w:eastAsia="Aptos"/>
        </w:rPr>
        <w:tab/>
      </w:r>
      <w:r w:rsidR="000C0BEC">
        <w:rPr>
          <w:rFonts w:eastAsia="Aptos"/>
        </w:rPr>
        <w:tab/>
      </w:r>
      <w:r w:rsidR="000C0BEC">
        <w:rPr>
          <w:rFonts w:eastAsia="Aptos"/>
        </w:rPr>
        <w:tab/>
      </w:r>
      <w:r w:rsidR="000C0BEC">
        <w:rPr>
          <w:rFonts w:eastAsia="Aptos"/>
        </w:rPr>
        <w:tab/>
      </w:r>
      <w:r w:rsidR="000C0BEC">
        <w:rPr>
          <w:rFonts w:eastAsia="Aptos"/>
        </w:rPr>
        <w:tab/>
        <w:t xml:space="preserve">       </w:t>
      </w:r>
      <w:r w:rsidR="000C0BEC" w:rsidRPr="000C0BEC">
        <w:rPr>
          <w:rFonts w:eastAsia="Aptos"/>
        </w:rPr>
        <w:t>Applicant</w:t>
      </w:r>
    </w:p>
    <w:p w14:paraId="119C77BD" w14:textId="77777777" w:rsidR="000C0BEC" w:rsidRPr="000C0BEC" w:rsidRDefault="000C0BEC" w:rsidP="00B373B9">
      <w:pPr>
        <w:rPr>
          <w:rFonts w:eastAsia="Aptos"/>
        </w:rPr>
      </w:pPr>
      <w:r w:rsidRPr="000C0BEC">
        <w:rPr>
          <w:rFonts w:eastAsia="Aptos"/>
        </w:rPr>
        <w:t>AND</w:t>
      </w:r>
    </w:p>
    <w:p w14:paraId="4A3ADACF" w14:textId="410EF036" w:rsidR="000C0BEC" w:rsidRPr="00760ADF" w:rsidRDefault="00EC515E" w:rsidP="00B373B9">
      <w:pPr>
        <w:rPr>
          <w:rFonts w:eastAsia="Aptos"/>
        </w:rPr>
      </w:pPr>
      <w:r>
        <w:rPr>
          <w:rFonts w:eastAsia="Aptos"/>
        </w:rPr>
        <w:t>D[...]</w:t>
      </w:r>
      <w:r w:rsidR="000C0BEC" w:rsidRPr="000C0BEC">
        <w:rPr>
          <w:rFonts w:eastAsia="Aptos"/>
        </w:rPr>
        <w:t xml:space="preserve">: </w:t>
      </w:r>
      <w:proofErr w:type="gramStart"/>
      <w:r w:rsidR="000C0BEC" w:rsidRPr="000C0BEC">
        <w:rPr>
          <w:rFonts w:eastAsia="Aptos"/>
        </w:rPr>
        <w:t>T</w:t>
      </w:r>
      <w:r>
        <w:rPr>
          <w:rFonts w:eastAsia="Aptos"/>
        </w:rPr>
        <w:t>[</w:t>
      </w:r>
      <w:proofErr w:type="gramEnd"/>
      <w:r>
        <w:rPr>
          <w:rFonts w:eastAsia="Aptos"/>
        </w:rPr>
        <w:t>…]</w:t>
      </w:r>
      <w:r w:rsidR="000C0BEC" w:rsidRPr="000C0BEC">
        <w:rPr>
          <w:rFonts w:eastAsia="Aptos"/>
        </w:rPr>
        <w:t xml:space="preserve"> M</w:t>
      </w:r>
      <w:r>
        <w:rPr>
          <w:rFonts w:eastAsia="Aptos"/>
        </w:rPr>
        <w:t>[…]</w:t>
      </w:r>
      <w:r w:rsidR="000C0BEC" w:rsidRPr="000C0BEC">
        <w:rPr>
          <w:rFonts w:eastAsia="Aptos"/>
        </w:rPr>
        <w:t xml:space="preserve"> </w:t>
      </w:r>
      <w:r>
        <w:rPr>
          <w:rFonts w:eastAsia="Aptos"/>
        </w:rPr>
        <w:tab/>
      </w:r>
      <w:r>
        <w:rPr>
          <w:rFonts w:eastAsia="Aptos"/>
        </w:rPr>
        <w:tab/>
      </w:r>
      <w:r w:rsidR="000C0BEC">
        <w:rPr>
          <w:rFonts w:eastAsia="Aptos"/>
        </w:rPr>
        <w:tab/>
      </w:r>
      <w:r w:rsidR="000C0BEC">
        <w:rPr>
          <w:rFonts w:eastAsia="Aptos"/>
        </w:rPr>
        <w:tab/>
      </w:r>
      <w:r w:rsidR="000C0BEC">
        <w:rPr>
          <w:rFonts w:eastAsia="Aptos"/>
        </w:rPr>
        <w:tab/>
      </w:r>
      <w:r w:rsidR="000C0BEC">
        <w:rPr>
          <w:rFonts w:eastAsia="Aptos"/>
        </w:rPr>
        <w:tab/>
      </w:r>
      <w:r w:rsidR="000C0BEC">
        <w:rPr>
          <w:rFonts w:eastAsia="Aptos"/>
        </w:rPr>
        <w:tab/>
        <w:t xml:space="preserve">   </w:t>
      </w:r>
      <w:r w:rsidR="000C0BEC" w:rsidRPr="000C0BEC">
        <w:rPr>
          <w:rFonts w:eastAsia="Aptos"/>
        </w:rPr>
        <w:t>Respondent</w:t>
      </w:r>
    </w:p>
    <w:tbl>
      <w:tblPr>
        <w:tblStyle w:val="TableGrid1"/>
        <w:tblW w:w="9072" w:type="dxa"/>
        <w:tblLook w:val="04A0" w:firstRow="1" w:lastRow="0" w:firstColumn="1" w:lastColumn="0" w:noHBand="0" w:noVBand="1"/>
      </w:tblPr>
      <w:tblGrid>
        <w:gridCol w:w="9072"/>
      </w:tblGrid>
      <w:tr w:rsidR="000C0BEC" w:rsidRPr="00760ADF" w14:paraId="15FECA7F" w14:textId="77777777" w:rsidTr="002D2B4F">
        <w:trPr>
          <w:trHeight w:val="930"/>
        </w:trPr>
        <w:tc>
          <w:tcPr>
            <w:tcW w:w="9072" w:type="dxa"/>
            <w:tcBorders>
              <w:left w:val="nil"/>
              <w:right w:val="nil"/>
            </w:tcBorders>
          </w:tcPr>
          <w:p w14:paraId="676C518B" w14:textId="77777777" w:rsidR="000C0BEC" w:rsidRPr="00760ADF" w:rsidRDefault="000C0BEC" w:rsidP="00B373B9">
            <w:pPr>
              <w:rPr>
                <w:rFonts w:eastAsia="Times New Roman"/>
                <w:sz w:val="8"/>
                <w:szCs w:val="8"/>
                <w:lang w:eastAsia="en-GB"/>
              </w:rPr>
            </w:pPr>
          </w:p>
          <w:p w14:paraId="41813C9A" w14:textId="77777777" w:rsidR="000C0BEC" w:rsidRPr="00760ADF" w:rsidRDefault="000C0BEC" w:rsidP="00B373B9">
            <w:pPr>
              <w:rPr>
                <w:rFonts w:eastAsia="Times New Roman"/>
                <w:lang w:eastAsia="en-GB"/>
              </w:rPr>
            </w:pPr>
            <w:r w:rsidRPr="00760ADF">
              <w:rPr>
                <w:rFonts w:eastAsia="Times New Roman"/>
                <w:lang w:eastAsia="en-GB"/>
              </w:rPr>
              <w:t>JUDGMENT</w:t>
            </w:r>
          </w:p>
        </w:tc>
      </w:tr>
    </w:tbl>
    <w:p w14:paraId="434B0E4F" w14:textId="77777777" w:rsidR="000C0BEC" w:rsidRPr="00760ADF" w:rsidRDefault="000C0BEC" w:rsidP="00B373B9">
      <w:pPr>
        <w:rPr>
          <w:lang w:eastAsia="en-GB"/>
        </w:rPr>
      </w:pPr>
      <w:r>
        <w:rPr>
          <w:lang w:eastAsia="en-GB"/>
        </w:rPr>
        <w:t>GREEN</w:t>
      </w:r>
      <w:r w:rsidRPr="00760ADF">
        <w:rPr>
          <w:lang w:eastAsia="en-GB"/>
        </w:rPr>
        <w:t>, AJ</w:t>
      </w:r>
    </w:p>
    <w:p w14:paraId="66BF1841" w14:textId="7A1F98B0" w:rsidR="007A454B" w:rsidRDefault="005816A4" w:rsidP="00B373B9">
      <w:r>
        <w:lastRenderedPageBreak/>
        <w:t>1</w:t>
      </w:r>
      <w:r>
        <w:tab/>
      </w:r>
      <w:r w:rsidR="004C22BA">
        <w:t>The Applicant and Respondent were previously married to each other.  The order of divorce incorporates an Agreement of Settlement which provides for, amongst other things, maintenance to be paid in respect of the child born of the marriage.</w:t>
      </w:r>
    </w:p>
    <w:p w14:paraId="6868BA70" w14:textId="1BA3E89D" w:rsidR="004C22BA" w:rsidRDefault="005816A4" w:rsidP="00B373B9">
      <w:r>
        <w:t>2</w:t>
      </w:r>
      <w:r>
        <w:tab/>
      </w:r>
      <w:r w:rsidR="004C22BA">
        <w:t>The papers reveal that the interactions between the Applicant and the Respondent in res</w:t>
      </w:r>
      <w:r w:rsidR="001300EE">
        <w:t>pect of the maintenance for the child have been fractious.  Matters came to a head when the Respondent issued a writ of execution against the Applicant for maintenance which she alleged was</w:t>
      </w:r>
      <w:r w:rsidR="00614103">
        <w:t xml:space="preserve"> due.  The Applicant applies to set aside the writ on </w:t>
      </w:r>
      <w:r w:rsidR="0073726E">
        <w:t>two grounds:</w:t>
      </w:r>
    </w:p>
    <w:p w14:paraId="1B686050" w14:textId="73D05D9B" w:rsidR="0073726E" w:rsidRDefault="005816A4" w:rsidP="00B373B9">
      <w:r>
        <w:t>2.1</w:t>
      </w:r>
      <w:r>
        <w:tab/>
      </w:r>
      <w:r w:rsidR="00DC13A1">
        <w:t>f</w:t>
      </w:r>
      <w:r w:rsidR="00FF35F4">
        <w:t>irstly</w:t>
      </w:r>
      <w:r w:rsidR="00DC13A1">
        <w:t>,</w:t>
      </w:r>
      <w:r w:rsidR="00FF35F4">
        <w:t xml:space="preserve"> the Applicant says that he has complied with his obligations in terms of the Settlement Agreement</w:t>
      </w:r>
      <w:r w:rsidR="00910B33">
        <w:t>;</w:t>
      </w:r>
      <w:r w:rsidR="00FF35F4">
        <w:t xml:space="preserve"> and</w:t>
      </w:r>
      <w:r w:rsidR="00DC13A1">
        <w:t xml:space="preserve"> </w:t>
      </w:r>
    </w:p>
    <w:p w14:paraId="3EE2A2F3" w14:textId="140DE329" w:rsidR="00FF35F4" w:rsidRDefault="005816A4" w:rsidP="00B373B9">
      <w:r>
        <w:t>2.2</w:t>
      </w:r>
      <w:r>
        <w:tab/>
      </w:r>
      <w:r w:rsidR="00D420B3">
        <w:t xml:space="preserve">secondly, </w:t>
      </w:r>
      <w:r w:rsidR="00DC13A1">
        <w:t>he says that the amount claimed in the writ is incorrect.</w:t>
      </w:r>
    </w:p>
    <w:p w14:paraId="03D9FD10" w14:textId="38363EA4" w:rsidR="00DC13A1" w:rsidRDefault="005816A4" w:rsidP="00B373B9">
      <w:r>
        <w:t>3</w:t>
      </w:r>
      <w:r>
        <w:tab/>
      </w:r>
      <w:r w:rsidR="00DC13A1">
        <w:t>It is necessary to say something about the papers that ha</w:t>
      </w:r>
      <w:r w:rsidR="0060294E">
        <w:t>ve</w:t>
      </w:r>
      <w:r w:rsidR="00DC13A1">
        <w:t xml:space="preserve"> been filed in this matter.  The issue ought to have been a simple one – was there a basis for the issuing of the writ</w:t>
      </w:r>
      <w:r w:rsidR="004B537D">
        <w:t xml:space="preserve"> and is the amount correct</w:t>
      </w:r>
      <w:r w:rsidR="00DC13A1">
        <w:t xml:space="preserve">?  However, the issues that are canvassed in the papers range far and wide dealing with all </w:t>
      </w:r>
      <w:r w:rsidR="00E26DEA">
        <w:t xml:space="preserve">manner of disputes between the Applicant and the Respondent, some going back to whether an amount relating to the sale of the immovable property should be paid by the Applicant to the Respondent.  There are also multiple issues raised in respect of various aspects relating to the maintenance of the child.  These issues ought not to </w:t>
      </w:r>
      <w:r w:rsidR="00CF5E2C">
        <w:t>have been raised in this application</w:t>
      </w:r>
      <w:r w:rsidR="006B1784">
        <w:t>,</w:t>
      </w:r>
      <w:r w:rsidR="00CF5E2C">
        <w:t xml:space="preserve"> and those responsible for preparing the papers, who were not the counsel that appeared before me, should in future endeavour to deal only with the issues that are relevant to an application and not unnecessarily expand the matter.</w:t>
      </w:r>
    </w:p>
    <w:p w14:paraId="78F6F19D" w14:textId="5E1DCC5F" w:rsidR="00CF5E2C" w:rsidRDefault="005816A4" w:rsidP="00B373B9">
      <w:r>
        <w:lastRenderedPageBreak/>
        <w:t>4</w:t>
      </w:r>
      <w:r>
        <w:tab/>
      </w:r>
      <w:r w:rsidR="00CF5E2C">
        <w:t xml:space="preserve">A further issue that requires comment is the tone that is adopted in the papers and the correspondence that was exchanged.  Whilst parties who were previously married to each other have lost their love and affection for each other, and may even harbour animosity to each other, that ought </w:t>
      </w:r>
      <w:r w:rsidR="0073244E">
        <w:t>to be put to one side when the interests of a child born of the marriage are considered.</w:t>
      </w:r>
      <w:r w:rsidR="00CF7B0F">
        <w:t xml:space="preserve">  Resort to allegations of ulterior motives, </w:t>
      </w:r>
      <w:r w:rsidR="00CF7B0F">
        <w:rPr>
          <w:i/>
          <w:iCs/>
        </w:rPr>
        <w:t>m</w:t>
      </w:r>
      <w:r w:rsidR="00B95B9A">
        <w:rPr>
          <w:i/>
          <w:iCs/>
        </w:rPr>
        <w:t>a</w:t>
      </w:r>
      <w:r w:rsidR="00CF7B0F">
        <w:rPr>
          <w:i/>
          <w:iCs/>
        </w:rPr>
        <w:t>la fides</w:t>
      </w:r>
      <w:r w:rsidR="00CF7B0F">
        <w:t xml:space="preserve"> and the employment</w:t>
      </w:r>
      <w:r w:rsidR="00917C11">
        <w:t xml:space="preserve"> of emotive and adjectival language in correspondence and affidavits does little to progress issues and reach a sensible resolution.</w:t>
      </w:r>
    </w:p>
    <w:p w14:paraId="77145353" w14:textId="6EAF8212" w:rsidR="00917C11" w:rsidRDefault="005816A4" w:rsidP="00B373B9">
      <w:r>
        <w:t>5</w:t>
      </w:r>
      <w:r>
        <w:tab/>
      </w:r>
      <w:r w:rsidR="00917C11">
        <w:t>I make the observations, which I have set out above, in the hope that they will provide guidance to both the parties and those responsible for preparing the papers in this matter in future.</w:t>
      </w:r>
    </w:p>
    <w:p w14:paraId="0449DC13" w14:textId="3D6BE150" w:rsidR="00917C11" w:rsidRDefault="005816A4" w:rsidP="00B373B9">
      <w:r>
        <w:t>6</w:t>
      </w:r>
      <w:r>
        <w:tab/>
      </w:r>
      <w:r w:rsidR="00917C11">
        <w:t>I turn now to the merits of this application.</w:t>
      </w:r>
    </w:p>
    <w:p w14:paraId="5D6FE12E" w14:textId="029C3362" w:rsidR="00917C11" w:rsidRDefault="005816A4" w:rsidP="00B373B9">
      <w:r>
        <w:t>7</w:t>
      </w:r>
      <w:r>
        <w:tab/>
      </w:r>
      <w:r w:rsidR="00917C11">
        <w:t xml:space="preserve">When the Respondent issued the </w:t>
      </w:r>
      <w:r w:rsidR="00937CF0">
        <w:t>writ,</w:t>
      </w:r>
      <w:r w:rsidR="00917C11">
        <w:t xml:space="preserve"> she, as is customary, deposed to an affidavit and attached a schedule setting out how the amount claimed in the writ was made up</w:t>
      </w:r>
      <w:r w:rsidR="000D68AA">
        <w:t xml:space="preserve"> (“the Schedule”)</w:t>
      </w:r>
      <w:r w:rsidR="00917C11">
        <w:t xml:space="preserve">.  </w:t>
      </w:r>
    </w:p>
    <w:p w14:paraId="488919D4" w14:textId="33774B9A" w:rsidR="00C37730" w:rsidRDefault="005816A4" w:rsidP="00B373B9">
      <w:r>
        <w:t>8</w:t>
      </w:r>
      <w:r>
        <w:tab/>
      </w:r>
      <w:r w:rsidR="00C37730">
        <w:t>The</w:t>
      </w:r>
      <w:r w:rsidR="00680E1C">
        <w:t xml:space="preserve"> Schedule commences</w:t>
      </w:r>
      <w:r w:rsidR="00C37730">
        <w:t xml:space="preserve"> with an opening balance. No explanation is provided as how that opening balance is made up</w:t>
      </w:r>
      <w:r w:rsidR="000D68AA">
        <w:t>,</w:t>
      </w:r>
      <w:r w:rsidR="00C37730">
        <w:t xml:space="preserve"> or what it represents.  During argument, the Respondent’s counsel informed me that over time the Applicant and Respondent had exchanged a spreadsheet representing amounts due and amounts that had been paid</w:t>
      </w:r>
      <w:r w:rsidR="00534DFC">
        <w:t>,</w:t>
      </w:r>
      <w:r w:rsidR="00304313">
        <w:t xml:space="preserve"> and that the opening balance follows from that spreadsheet.  That may be so</w:t>
      </w:r>
      <w:r w:rsidR="006B0DEC">
        <w:t>,</w:t>
      </w:r>
      <w:r w:rsidR="00304313">
        <w:t xml:space="preserve"> but there is still no explanation on the papers </w:t>
      </w:r>
      <w:r w:rsidR="005F1E41">
        <w:t>of</w:t>
      </w:r>
      <w:r w:rsidR="00304313">
        <w:t xml:space="preserve"> what the opening balance is.</w:t>
      </w:r>
    </w:p>
    <w:p w14:paraId="25E5694A" w14:textId="06BD9E87" w:rsidR="00304313" w:rsidRDefault="005816A4" w:rsidP="00B373B9">
      <w:r>
        <w:lastRenderedPageBreak/>
        <w:t>9</w:t>
      </w:r>
      <w:r>
        <w:tab/>
      </w:r>
      <w:r w:rsidR="00304313">
        <w:t xml:space="preserve">By far the largest amount set out in the </w:t>
      </w:r>
      <w:r w:rsidR="005F1E41">
        <w:t>Schedule</w:t>
      </w:r>
      <w:r w:rsidR="00304313">
        <w:t xml:space="preserve"> is said to be in respect of “</w:t>
      </w:r>
      <w:r w:rsidR="00534DFC">
        <w:t>S</w:t>
      </w:r>
      <w:r w:rsidR="00304313">
        <w:t xml:space="preserve">tabling”.  The papers include </w:t>
      </w:r>
      <w:proofErr w:type="gramStart"/>
      <w:r w:rsidR="00304313">
        <w:t>a number of</w:t>
      </w:r>
      <w:proofErr w:type="gramEnd"/>
      <w:r w:rsidR="00304313">
        <w:t xml:space="preserve"> invoices issued by various horse stables and it seems that the description of “</w:t>
      </w:r>
      <w:r w:rsidR="00534DFC">
        <w:t>S</w:t>
      </w:r>
      <w:r w:rsidR="00304313">
        <w:t xml:space="preserve">tabling” in the </w:t>
      </w:r>
      <w:r w:rsidR="00534DFC">
        <w:t xml:space="preserve">Schedule </w:t>
      </w:r>
      <w:r w:rsidR="00304313">
        <w:t xml:space="preserve">is the shorthand </w:t>
      </w:r>
      <w:r w:rsidR="00DE2996">
        <w:t xml:space="preserve">that </w:t>
      </w:r>
      <w:r w:rsidR="00304313">
        <w:t xml:space="preserve">was used for that which </w:t>
      </w:r>
      <w:r w:rsidR="00DE2996">
        <w:t xml:space="preserve">is </w:t>
      </w:r>
      <w:r w:rsidR="00304313">
        <w:t xml:space="preserve">set out </w:t>
      </w:r>
      <w:r w:rsidR="00DE2996">
        <w:t>in the invoices issued by the stables.  The invoices issued by the stables reveal that the amounts claimed are in respect of the stabling and feeding costs of a horse, the medical costs of a horse and dressage lessons</w:t>
      </w:r>
      <w:r w:rsidR="007F6317">
        <w:t xml:space="preserve"> </w:t>
      </w:r>
      <w:r w:rsidR="001F5269">
        <w:t xml:space="preserve">either </w:t>
      </w:r>
      <w:r w:rsidR="007F6317">
        <w:t>on a group basis or a private basis.</w:t>
      </w:r>
    </w:p>
    <w:p w14:paraId="315CB31F" w14:textId="6522E525" w:rsidR="007F6317" w:rsidRDefault="005816A4" w:rsidP="00B373B9">
      <w:r>
        <w:t>10</w:t>
      </w:r>
      <w:r>
        <w:tab/>
      </w:r>
      <w:r w:rsidR="007F6317">
        <w:t xml:space="preserve">The latter part of the </w:t>
      </w:r>
      <w:r w:rsidR="001F5269">
        <w:t xml:space="preserve">Schedule </w:t>
      </w:r>
      <w:r w:rsidR="007F6317">
        <w:t>sets about adding and deducting various amounts to arrive at the total that is claimed in the writ.  The</w:t>
      </w:r>
      <w:r w:rsidR="001F5269">
        <w:t xml:space="preserve"> Schedule</w:t>
      </w:r>
      <w:r w:rsidR="007F6317">
        <w:t xml:space="preserve"> provides no explanation for these amounts, they </w:t>
      </w:r>
      <w:r w:rsidR="00D350BD">
        <w:t xml:space="preserve">are not </w:t>
      </w:r>
      <w:r w:rsidR="007F6317">
        <w:t>explained in the affidavit in support of the writ</w:t>
      </w:r>
      <w:r w:rsidR="00D350BD">
        <w:t>, and t</w:t>
      </w:r>
      <w:r w:rsidR="007F6317">
        <w:t>he papers filed in this application did not explain these amounts.  During argument the Respondent’s counsel pointed out that if one has regard to some of the emails that the parti</w:t>
      </w:r>
      <w:r w:rsidR="00BD5AE0">
        <w:t xml:space="preserve">es exchanged then it is possible to work out that one of the additional amounts claimed is in respect of what is alleged to be shortfall owed by the Applicant in respect of the </w:t>
      </w:r>
      <w:r w:rsidR="000C6983">
        <w:t xml:space="preserve">costs of the divorce.  That is seemingly correct.  However, </w:t>
      </w:r>
      <w:r w:rsidR="00D350BD">
        <w:t>o</w:t>
      </w:r>
      <w:r w:rsidR="000C6983">
        <w:t>n my reading, it is not possible to work out what the other amounts are for.</w:t>
      </w:r>
    </w:p>
    <w:p w14:paraId="77942D03" w14:textId="3D4A4416" w:rsidR="006E4930" w:rsidRPr="006E4930" w:rsidRDefault="005816A4" w:rsidP="00B373B9">
      <w:r w:rsidRPr="006E4930">
        <w:t>11</w:t>
      </w:r>
      <w:r w:rsidRPr="006E4930">
        <w:tab/>
      </w:r>
      <w:r w:rsidR="000C6983">
        <w:t>A further issue which emerges from the papers is that after the writ had been issued</w:t>
      </w:r>
      <w:r w:rsidR="00E25698">
        <w:t xml:space="preserve"> the Applicant paid certain amounts in respect of maths lessons and school fees.  Although the writ purports to be issue</w:t>
      </w:r>
      <w:r w:rsidR="002E2311">
        <w:t>d primarily for stabling costs, both parties sought to deduct the payments made for the maths lessons and the school fees from the amount claimed in the writ.  I raised this with counsel during the argument and asked why, what are seemingly disp</w:t>
      </w:r>
      <w:r w:rsidR="00314F18">
        <w:t>a</w:t>
      </w:r>
      <w:r w:rsidR="002E2311">
        <w:t>r</w:t>
      </w:r>
      <w:r w:rsidR="00314F18">
        <w:t>a</w:t>
      </w:r>
      <w:r w:rsidR="002E2311">
        <w:t>t</w:t>
      </w:r>
      <w:r w:rsidR="00314F18">
        <w:t>e</w:t>
      </w:r>
      <w:r w:rsidR="002E2311">
        <w:t xml:space="preserve"> amounts, are being set off</w:t>
      </w:r>
      <w:r w:rsidR="001C25D7">
        <w:t xml:space="preserve">?   </w:t>
      </w:r>
      <w:r w:rsidR="00B52670">
        <w:t>I</w:t>
      </w:r>
      <w:r w:rsidR="001C25D7">
        <w:t>f stabling costs are owed, then those remain owing notwithstanding that payments are made for maths lessons and school fees</w:t>
      </w:r>
      <w:r w:rsidR="0067786B">
        <w:t>.</w:t>
      </w:r>
    </w:p>
    <w:p w14:paraId="4DC649EF" w14:textId="4E76C401" w:rsidR="0067786B" w:rsidRDefault="005816A4" w:rsidP="00B373B9">
      <w:r>
        <w:lastRenderedPageBreak/>
        <w:t>12</w:t>
      </w:r>
      <w:r>
        <w:tab/>
      </w:r>
      <w:r w:rsidR="0067786B">
        <w:t>An issue that looms large in this matter is whether the Applicant is liable for the stabling costs that are claimed in the writ.  In the papers the Respondent has relied on the terms of the Settlement Agreement concluded between the parties as being the basis upon which she alleges the Applicant is liable for those costs.  It is therefore necessary to consider the terms of the Settlement Agreement.</w:t>
      </w:r>
    </w:p>
    <w:p w14:paraId="12DBBBC9" w14:textId="280477DB" w:rsidR="00187180" w:rsidRDefault="005816A4" w:rsidP="00B373B9">
      <w:r>
        <w:t>13</w:t>
      </w:r>
      <w:r>
        <w:tab/>
      </w:r>
      <w:r w:rsidR="00187180">
        <w:t xml:space="preserve">Any enquiry into the interpretation of a contract must adhere to the </w:t>
      </w:r>
      <w:r w:rsidR="00187180" w:rsidRPr="0041737D">
        <w:t xml:space="preserve">now settled approach to interpretation.  </w:t>
      </w:r>
      <w:r w:rsidR="00187180">
        <w:t xml:space="preserve">This </w:t>
      </w:r>
      <w:r w:rsidR="00187180" w:rsidRPr="005B0BEF">
        <w:t xml:space="preserve">approach </w:t>
      </w:r>
      <w:r w:rsidR="00187180">
        <w:t xml:space="preserve">is </w:t>
      </w:r>
      <w:r w:rsidR="00187180" w:rsidRPr="005B0BEF">
        <w:t xml:space="preserve">well established by cases like </w:t>
      </w:r>
      <w:r w:rsidR="00187180" w:rsidRPr="00BE4D77">
        <w:rPr>
          <w:i/>
          <w:iCs/>
        </w:rPr>
        <w:t>Endumeni</w:t>
      </w:r>
      <w:r w:rsidR="00187180">
        <w:rPr>
          <w:rStyle w:val="FootnoteReference"/>
        </w:rPr>
        <w:footnoteReference w:id="1"/>
      </w:r>
      <w:r w:rsidR="00187180">
        <w:t xml:space="preserve"> and </w:t>
      </w:r>
      <w:r w:rsidR="00187180" w:rsidRPr="00BE4D77">
        <w:rPr>
          <w:i/>
          <w:iCs/>
        </w:rPr>
        <w:t>Blaire Athol.</w:t>
      </w:r>
      <w:r w:rsidR="00187180" w:rsidRPr="00BE4D77">
        <w:rPr>
          <w:rStyle w:val="FootnoteReference"/>
        </w:rPr>
        <w:footnoteReference w:id="2"/>
      </w:r>
      <w:r w:rsidR="00187180">
        <w:t xml:space="preserve">  </w:t>
      </w:r>
    </w:p>
    <w:p w14:paraId="12BFD55B" w14:textId="4690471A" w:rsidR="00187180" w:rsidRPr="005E35CC" w:rsidRDefault="005816A4" w:rsidP="00B373B9">
      <w:r w:rsidRPr="005E35CC">
        <w:t>14</w:t>
      </w:r>
      <w:r w:rsidRPr="005E35CC">
        <w:tab/>
      </w:r>
      <w:r w:rsidR="00187180">
        <w:t xml:space="preserve">In the recent Constitutional Court judgment in </w:t>
      </w:r>
      <w:r w:rsidR="00187180" w:rsidRPr="00862721">
        <w:rPr>
          <w:i/>
          <w:iCs/>
        </w:rPr>
        <w:t>University of Johannesburg</w:t>
      </w:r>
      <w:r w:rsidR="00187180" w:rsidRPr="005E35CC">
        <w:t>,</w:t>
      </w:r>
      <w:r w:rsidR="00187180">
        <w:rPr>
          <w:rStyle w:val="FootnoteReference"/>
        </w:rPr>
        <w:footnoteReference w:id="3"/>
      </w:r>
      <w:r w:rsidR="00187180" w:rsidRPr="005E35CC">
        <w:t xml:space="preserve"> the</w:t>
      </w:r>
      <w:r w:rsidR="00187180">
        <w:t xml:space="preserve"> present position was captured as follows:</w:t>
      </w:r>
    </w:p>
    <w:p w14:paraId="6468B489" w14:textId="77777777" w:rsidR="00187180" w:rsidRDefault="00187180" w:rsidP="00B373B9">
      <w:r>
        <w:t>“</w:t>
      </w:r>
      <w:r w:rsidRPr="00012B35">
        <w:t xml:space="preserve">This approach to interpretation requires that </w:t>
      </w:r>
      <w:r>
        <w:t>‘</w:t>
      </w:r>
      <w:r w:rsidRPr="00012B35">
        <w:t>from the outset one considers the context and the language together, with neither predominating over the other</w:t>
      </w:r>
      <w:r>
        <w:t>’</w:t>
      </w:r>
      <w:r w:rsidRPr="004B5760">
        <w:t xml:space="preserve">. </w:t>
      </w:r>
      <w:r>
        <w:t xml:space="preserve"> </w:t>
      </w:r>
      <w:r w:rsidRPr="004B5760">
        <w:t xml:space="preserve">In Chisuse, although speaking in the context of statutory interpretation, this Court held that this </w:t>
      </w:r>
      <w:r>
        <w:t>‘</w:t>
      </w:r>
      <w:r w:rsidRPr="004B5760">
        <w:t>now settled</w:t>
      </w:r>
      <w:r>
        <w:t>’</w:t>
      </w:r>
      <w:r w:rsidRPr="004B5760">
        <w:t xml:space="preserve"> approach to interpretation, is a </w:t>
      </w:r>
      <w:r>
        <w:t>‘</w:t>
      </w:r>
      <w:r w:rsidRPr="004B5760">
        <w:t>unitary</w:t>
      </w:r>
      <w:r>
        <w:t>’</w:t>
      </w:r>
      <w:r w:rsidRPr="004B5760">
        <w:t xml:space="preserve"> exercise.  </w:t>
      </w:r>
      <w:r w:rsidRPr="00012B35">
        <w:t xml:space="preserve">This means that interpretation is to be approached holistically: simultaneously considering the text, </w:t>
      </w:r>
      <w:proofErr w:type="gramStart"/>
      <w:r w:rsidRPr="00012B35">
        <w:t>context</w:t>
      </w:r>
      <w:proofErr w:type="gramEnd"/>
      <w:r w:rsidRPr="00012B35">
        <w:t xml:space="preserve"> and purpose</w:t>
      </w:r>
      <w:r>
        <w:t>.”</w:t>
      </w:r>
    </w:p>
    <w:p w14:paraId="1FE2D99E" w14:textId="77777777" w:rsidR="00187180" w:rsidRDefault="00187180" w:rsidP="00B373B9">
      <w:r w:rsidRPr="00927ADA">
        <w:t xml:space="preserve">The approach in Endumeni </w:t>
      </w:r>
      <w:r>
        <w:t>‘</w:t>
      </w:r>
      <w:r w:rsidRPr="00927ADA">
        <w:t>updated</w:t>
      </w:r>
      <w:r>
        <w:t>’</w:t>
      </w:r>
      <w:r w:rsidRPr="00927ADA">
        <w:t xml:space="preserve"> the previous position, which was that context could be resorted to if there was ambiguity or lack of clarity in the text.  </w:t>
      </w:r>
      <w:r w:rsidRPr="0034005B">
        <w:rPr>
          <w:u w:val="single"/>
        </w:rPr>
        <w:t xml:space="preserve">The Supreme Court of Appeal has explicitly pointed out in cases </w:t>
      </w:r>
      <w:proofErr w:type="gramStart"/>
      <w:r w:rsidRPr="0034005B">
        <w:rPr>
          <w:u w:val="single"/>
        </w:rPr>
        <w:t>subsequent to</w:t>
      </w:r>
      <w:proofErr w:type="gramEnd"/>
      <w:r w:rsidRPr="0034005B">
        <w:rPr>
          <w:u w:val="single"/>
        </w:rPr>
        <w:t xml:space="preserve"> Endumeni that context and purpose must be taken into account as a matter of </w:t>
      </w:r>
      <w:r w:rsidRPr="0034005B">
        <w:rPr>
          <w:u w:val="single"/>
        </w:rPr>
        <w:lastRenderedPageBreak/>
        <w:t>course, whether or not the words used in the contract are ambiguous</w:t>
      </w:r>
      <w:r w:rsidRPr="00927ADA">
        <w:t xml:space="preserve">.  </w:t>
      </w:r>
      <w:r w:rsidRPr="0034005B">
        <w:rPr>
          <w:u w:val="single"/>
        </w:rPr>
        <w:t xml:space="preserve">A court interpreting a contract </w:t>
      </w:r>
      <w:proofErr w:type="gramStart"/>
      <w:r w:rsidRPr="0034005B">
        <w:rPr>
          <w:u w:val="single"/>
        </w:rPr>
        <w:t>has to</w:t>
      </w:r>
      <w:proofErr w:type="gramEnd"/>
      <w:r w:rsidRPr="0034005B">
        <w:rPr>
          <w:u w:val="single"/>
        </w:rPr>
        <w:t>, from the onset, consider the contract</w:t>
      </w:r>
      <w:r>
        <w:rPr>
          <w:u w:val="single"/>
        </w:rPr>
        <w:t>’</w:t>
      </w:r>
      <w:r w:rsidRPr="0034005B">
        <w:rPr>
          <w:u w:val="single"/>
        </w:rPr>
        <w:t>s factual matrix, its purpose, the circumstances leading up to its conclusion, and the knowledge at the time of those who negotiated and produced the contract</w:t>
      </w:r>
      <w:r>
        <w:t>.”</w:t>
      </w:r>
      <w:r>
        <w:rPr>
          <w:rStyle w:val="FootnoteReference"/>
        </w:rPr>
        <w:footnoteReference w:id="4"/>
      </w:r>
      <w:r>
        <w:t xml:space="preserve"> (emphasis added)</w:t>
      </w:r>
    </w:p>
    <w:p w14:paraId="5CC340D0" w14:textId="098B783C" w:rsidR="00187180" w:rsidRDefault="005816A4" w:rsidP="00B373B9">
      <w:r>
        <w:t>15</w:t>
      </w:r>
      <w:r>
        <w:tab/>
      </w:r>
      <w:r w:rsidR="00187180">
        <w:t>The general approach to interpreting contracts may be summarized as follows:</w:t>
      </w:r>
    </w:p>
    <w:p w14:paraId="499A512A" w14:textId="2CE93463" w:rsidR="00187180" w:rsidRDefault="005816A4" w:rsidP="00B373B9">
      <w:r>
        <w:t>15.1</w:t>
      </w:r>
      <w:r>
        <w:tab/>
      </w:r>
      <w:r w:rsidR="00187180">
        <w:t>Interpretation is objective, not subjective.</w:t>
      </w:r>
      <w:r w:rsidR="00187180">
        <w:rPr>
          <w:rStyle w:val="FootnoteReference"/>
        </w:rPr>
        <w:footnoteReference w:id="5"/>
      </w:r>
      <w:r w:rsidR="00187180">
        <w:t xml:space="preserve">  It does not involve a search for the intention of the contracting parties.</w:t>
      </w:r>
    </w:p>
    <w:p w14:paraId="40289DC9" w14:textId="37AAC235" w:rsidR="00187180" w:rsidRDefault="005816A4" w:rsidP="00B373B9">
      <w:r>
        <w:t>15.2</w:t>
      </w:r>
      <w:r>
        <w:tab/>
      </w:r>
      <w:r w:rsidR="00187180" w:rsidRPr="00B56DCA">
        <w:t xml:space="preserve">A document must be considered by always having regard to the text, </w:t>
      </w:r>
      <w:proofErr w:type="gramStart"/>
      <w:r w:rsidR="00187180" w:rsidRPr="00B56DCA">
        <w:t>context</w:t>
      </w:r>
      <w:proofErr w:type="gramEnd"/>
      <w:r w:rsidR="00187180" w:rsidRPr="00B56DCA">
        <w:t xml:space="preserve"> and purpose at the same time (a unitary interpretation exercise).</w:t>
      </w:r>
      <w:r w:rsidR="00187180" w:rsidRPr="00B56DCA">
        <w:rPr>
          <w:vertAlign w:val="superscript"/>
        </w:rPr>
        <w:footnoteReference w:id="6"/>
      </w:r>
    </w:p>
    <w:p w14:paraId="713A0694" w14:textId="40A93D8B" w:rsidR="00187180" w:rsidRDefault="005816A4" w:rsidP="00B373B9">
      <w:r>
        <w:t>15.3</w:t>
      </w:r>
      <w:r>
        <w:tab/>
      </w:r>
      <w:r w:rsidR="00187180">
        <w:t xml:space="preserve">Context and purpose are informed by </w:t>
      </w:r>
      <w:r w:rsidR="00187180" w:rsidRPr="00A54ABA">
        <w:rPr>
          <w:i/>
        </w:rPr>
        <w:t>“material known to those responsible”</w:t>
      </w:r>
      <w:r w:rsidR="00187180">
        <w:t xml:space="preserve"> </w:t>
      </w:r>
      <w:proofErr w:type="gramStart"/>
      <w:r w:rsidR="00187180">
        <w:t>for the production of</w:t>
      </w:r>
      <w:proofErr w:type="gramEnd"/>
      <w:r w:rsidR="00187180">
        <w:t xml:space="preserve"> the contract.</w:t>
      </w:r>
      <w:r w:rsidR="00187180">
        <w:rPr>
          <w:rStyle w:val="FootnoteReference"/>
        </w:rPr>
        <w:footnoteReference w:id="7"/>
      </w:r>
    </w:p>
    <w:p w14:paraId="5A1B3E72" w14:textId="3A99FDC5" w:rsidR="00187180" w:rsidRDefault="005816A4" w:rsidP="00B373B9">
      <w:r>
        <w:t>15.4</w:t>
      </w:r>
      <w:r>
        <w:tab/>
      </w:r>
      <w:r w:rsidR="00187180">
        <w:t>“</w:t>
      </w:r>
      <w:r w:rsidR="00187180" w:rsidRPr="006D3FE8">
        <w:rPr>
          <w:i/>
        </w:rPr>
        <w:t>Context</w:t>
      </w:r>
      <w:r w:rsidR="00187180">
        <w:t>” is not an open invitation for evidence that adds to, or modifies, words in a contract.</w:t>
      </w:r>
      <w:r w:rsidR="00187180">
        <w:rPr>
          <w:rStyle w:val="FootnoteReference"/>
        </w:rPr>
        <w:footnoteReference w:id="8"/>
      </w:r>
    </w:p>
    <w:p w14:paraId="62377DCB" w14:textId="565FF72B" w:rsidR="00187180" w:rsidRDefault="005816A4" w:rsidP="00B373B9">
      <w:r>
        <w:t>15.5</w:t>
      </w:r>
      <w:r>
        <w:tab/>
      </w:r>
      <w:r w:rsidR="00187180">
        <w:t>Insensible and unbusinesslike results should be avoided, where the text allows.</w:t>
      </w:r>
      <w:r w:rsidR="00187180">
        <w:rPr>
          <w:rStyle w:val="FootnoteReference"/>
        </w:rPr>
        <w:footnoteReference w:id="9"/>
      </w:r>
    </w:p>
    <w:p w14:paraId="735D30B3" w14:textId="138AFEDC" w:rsidR="00187180" w:rsidRDefault="005816A4" w:rsidP="00B373B9">
      <w:r>
        <w:lastRenderedPageBreak/>
        <w:t>15.6</w:t>
      </w:r>
      <w:r>
        <w:tab/>
      </w:r>
      <w:r w:rsidR="00187180" w:rsidRPr="00713376">
        <w:t>The way in which the parties to a contract carried out their agreement may be considered as part of the contextual setting to ascertain the meaning of a disputed term</w:t>
      </w:r>
      <w:r w:rsidR="00187180">
        <w:t>.</w:t>
      </w:r>
      <w:r w:rsidR="00187180">
        <w:rPr>
          <w:rStyle w:val="FootnoteReference"/>
        </w:rPr>
        <w:footnoteReference w:id="10"/>
      </w:r>
      <w:r w:rsidR="00187180">
        <w:t xml:space="preserve"> </w:t>
      </w:r>
    </w:p>
    <w:p w14:paraId="54FAEA31" w14:textId="265E76DB" w:rsidR="00660CD5" w:rsidRDefault="005816A4" w:rsidP="00B373B9">
      <w:r>
        <w:t>16</w:t>
      </w:r>
      <w:r>
        <w:tab/>
      </w:r>
      <w:r w:rsidR="00660CD5">
        <w:t>The relevant clauses of the Settlement Agreement are to be found in clause 4 which</w:t>
      </w:r>
      <w:r w:rsidR="004D27E2">
        <w:t xml:space="preserve"> in relevant part provides:</w:t>
      </w:r>
    </w:p>
    <w:p w14:paraId="3E9083B9" w14:textId="0643BF03" w:rsidR="004D27E2" w:rsidRDefault="004D27E2" w:rsidP="00B373B9">
      <w:pPr>
        <w:rPr>
          <w:i/>
          <w:iCs/>
        </w:rPr>
      </w:pPr>
      <w:proofErr w:type="gramStart"/>
      <w:r>
        <w:t>“</w:t>
      </w:r>
      <w:r>
        <w:rPr>
          <w:i/>
          <w:iCs/>
        </w:rPr>
        <w:t xml:space="preserve"> 4</w:t>
      </w:r>
      <w:proofErr w:type="gramEnd"/>
      <w:r w:rsidR="00E000DB">
        <w:rPr>
          <w:i/>
          <w:iCs/>
        </w:rPr>
        <w:t xml:space="preserve">  </w:t>
      </w:r>
      <w:r w:rsidR="00E000DB">
        <w:rPr>
          <w:bCs/>
          <w:i/>
          <w:iCs/>
          <w:u w:val="single"/>
        </w:rPr>
        <w:t>Maintenance for the minor child</w:t>
      </w:r>
    </w:p>
    <w:p w14:paraId="4973D6B5" w14:textId="4801ABAF" w:rsidR="00E000DB" w:rsidRDefault="00E000DB" w:rsidP="00B373B9">
      <w:pPr>
        <w:rPr>
          <w:i/>
          <w:iCs/>
        </w:rPr>
      </w:pPr>
      <w:r>
        <w:rPr>
          <w:i/>
          <w:iCs/>
        </w:rPr>
        <w:t>4.1</w:t>
      </w:r>
      <w:r>
        <w:rPr>
          <w:i/>
          <w:iCs/>
        </w:rPr>
        <w:tab/>
        <w:t>The Defendant shall, in respect of the minor child,</w:t>
      </w:r>
      <w:r w:rsidR="001059BA">
        <w:rPr>
          <w:i/>
          <w:iCs/>
        </w:rPr>
        <w:t xml:space="preserve"> make payment of the following costs:</w:t>
      </w:r>
    </w:p>
    <w:p w14:paraId="2060EAA7" w14:textId="72E764D4" w:rsidR="001059BA" w:rsidRDefault="001059BA" w:rsidP="00B373B9">
      <w:pPr>
        <w:rPr>
          <w:i/>
          <w:iCs/>
        </w:rPr>
      </w:pPr>
      <w:r>
        <w:rPr>
          <w:i/>
          <w:iCs/>
        </w:rPr>
        <w:t>4.1.1</w:t>
      </w:r>
      <w:r>
        <w:rPr>
          <w:i/>
          <w:iCs/>
        </w:rPr>
        <w:tab/>
        <w:t xml:space="preserve">such costs in connection with a secondary education </w:t>
      </w:r>
      <w:r w:rsidR="009268A1">
        <w:rPr>
          <w:i/>
          <w:iCs/>
        </w:rPr>
        <w:t>at schools agreed upon between the parties as set out herein:</w:t>
      </w:r>
    </w:p>
    <w:p w14:paraId="4794110A" w14:textId="69987439" w:rsidR="009268A1" w:rsidRDefault="007805DA" w:rsidP="00B373B9">
      <w:pPr>
        <w:rPr>
          <w:i/>
          <w:iCs/>
        </w:rPr>
      </w:pPr>
      <w:r>
        <w:rPr>
          <w:i/>
          <w:iCs/>
        </w:rPr>
        <w:t>…</w:t>
      </w:r>
    </w:p>
    <w:p w14:paraId="3D6189AC" w14:textId="007A0661" w:rsidR="007805DA" w:rsidRDefault="007805DA" w:rsidP="00B373B9">
      <w:pPr>
        <w:rPr>
          <w:i/>
          <w:iCs/>
        </w:rPr>
      </w:pPr>
      <w:r>
        <w:rPr>
          <w:i/>
          <w:iCs/>
        </w:rPr>
        <w:t>4.1</w:t>
      </w:r>
      <w:r w:rsidR="00187180">
        <w:rPr>
          <w:i/>
          <w:iCs/>
        </w:rPr>
        <w:t>.1</w:t>
      </w:r>
      <w:r>
        <w:rPr>
          <w:i/>
          <w:iCs/>
        </w:rPr>
        <w:t>.4</w:t>
      </w:r>
      <w:r>
        <w:rPr>
          <w:i/>
          <w:iCs/>
        </w:rPr>
        <w:tab/>
        <w:t>66.6% (</w:t>
      </w:r>
      <w:proofErr w:type="gramStart"/>
      <w:r>
        <w:rPr>
          <w:i/>
          <w:iCs/>
        </w:rPr>
        <w:t>SIXTY SIX</w:t>
      </w:r>
      <w:proofErr w:type="gramEnd"/>
      <w:r>
        <w:rPr>
          <w:i/>
          <w:iCs/>
        </w:rPr>
        <w:t xml:space="preserve">, SIX PERENTUM) of all </w:t>
      </w:r>
      <w:r w:rsidR="005217E5">
        <w:rPr>
          <w:i/>
          <w:iCs/>
        </w:rPr>
        <w:t xml:space="preserve">or any extra murals (sic) activities, hobbies and any associated costs relating to the minor child’s extra mural activities or extra-curricular activities which the minor child might wish to undertake, provided that the </w:t>
      </w:r>
      <w:r w:rsidR="00007139">
        <w:rPr>
          <w:i/>
          <w:iCs/>
        </w:rPr>
        <w:t>Defendant has been consulted in connection therewith.</w:t>
      </w:r>
    </w:p>
    <w:p w14:paraId="2660179F" w14:textId="036CFD28" w:rsidR="00007139" w:rsidRDefault="006876E0" w:rsidP="00B373B9">
      <w:pPr>
        <w:rPr>
          <w:i/>
          <w:iCs/>
        </w:rPr>
      </w:pPr>
      <w:r>
        <w:rPr>
          <w:i/>
          <w:iCs/>
        </w:rPr>
        <w:t>…</w:t>
      </w:r>
    </w:p>
    <w:p w14:paraId="2303DD5D" w14:textId="0CD268CB" w:rsidR="006876E0" w:rsidRDefault="006876E0" w:rsidP="00B373B9">
      <w:r>
        <w:rPr>
          <w:i/>
          <w:iCs/>
        </w:rPr>
        <w:t>4.2</w:t>
      </w:r>
      <w:r>
        <w:rPr>
          <w:i/>
          <w:iCs/>
        </w:rPr>
        <w:tab/>
        <w:t>The parties agree that any tertiary educational costs of the minor child will be shared equally between the parties</w:t>
      </w:r>
      <w:r w:rsidR="00AE0B9F">
        <w:rPr>
          <w:i/>
          <w:iCs/>
        </w:rPr>
        <w:t xml:space="preserve">. The choice of tertiary education, location of the institution, choice of field of study and the accommodation during the </w:t>
      </w:r>
      <w:r w:rsidR="00AE0B9F">
        <w:rPr>
          <w:i/>
          <w:iCs/>
        </w:rPr>
        <w:lastRenderedPageBreak/>
        <w:t>attendance at such institution shall be agreed to by all parties concerned before any costs are incurred.</w:t>
      </w:r>
      <w:r w:rsidR="00EA573E">
        <w:rPr>
          <w:i/>
          <w:iCs/>
        </w:rPr>
        <w:t>”</w:t>
      </w:r>
    </w:p>
    <w:p w14:paraId="2A025145" w14:textId="22EAD79D" w:rsidR="00EA573E" w:rsidRDefault="005816A4" w:rsidP="00B373B9">
      <w:r>
        <w:t>17</w:t>
      </w:r>
      <w:r>
        <w:tab/>
      </w:r>
      <w:r w:rsidR="00EA573E">
        <w:t xml:space="preserve">The </w:t>
      </w:r>
      <w:r w:rsidR="00187180">
        <w:t>Settle</w:t>
      </w:r>
      <w:r w:rsidR="00C84301">
        <w:t>ment</w:t>
      </w:r>
      <w:r w:rsidR="00187180">
        <w:t xml:space="preserve"> </w:t>
      </w:r>
      <w:r w:rsidR="00EA573E">
        <w:t>Agreement goes on to provide that the Applicant will pay R12,500 per month towards the maintenance of the child and that</w:t>
      </w:r>
      <w:r w:rsidR="00236192">
        <w:t>:</w:t>
      </w:r>
    </w:p>
    <w:p w14:paraId="672CA5B8" w14:textId="675812BB" w:rsidR="00236192" w:rsidRDefault="00236192" w:rsidP="00B373B9">
      <w:r>
        <w:rPr>
          <w:i/>
          <w:iCs/>
        </w:rPr>
        <w:t>“Such maintenance shall cease when the minor child reaches the age of 18 years or becomes self-supporting.”</w:t>
      </w:r>
    </w:p>
    <w:p w14:paraId="51093739" w14:textId="2D6F53B3" w:rsidR="00007139" w:rsidRDefault="005816A4" w:rsidP="00B373B9">
      <w:r>
        <w:t>18</w:t>
      </w:r>
      <w:r>
        <w:tab/>
      </w:r>
      <w:r w:rsidR="00733453">
        <w:t>The Respondent’s counsel urged me to find that the stabling costs are included under clause 4.1.1.4 of the Settlement Agreement.  That clause</w:t>
      </w:r>
      <w:r w:rsidR="009F5AC6">
        <w:t xml:space="preserve"> is not the model of clarity.  It starts off by saying that an amount </w:t>
      </w:r>
      <w:proofErr w:type="gramStart"/>
      <w:r w:rsidR="009F5AC6">
        <w:t>has to</w:t>
      </w:r>
      <w:proofErr w:type="gramEnd"/>
      <w:r w:rsidR="009F5AC6">
        <w:t xml:space="preserve"> be paid “</w:t>
      </w:r>
      <w:r w:rsidR="009F5AC6">
        <w:rPr>
          <w:i/>
          <w:iCs/>
        </w:rPr>
        <w:t>in respect of all or any extra mural</w:t>
      </w:r>
      <w:r w:rsidR="001F56DC">
        <w:rPr>
          <w:i/>
          <w:iCs/>
        </w:rPr>
        <w:t>s</w:t>
      </w:r>
      <w:r w:rsidR="009F5AC6">
        <w:rPr>
          <w:i/>
          <w:iCs/>
        </w:rPr>
        <w:t xml:space="preserve"> (sic) activities, hobbies and any associated costs</w:t>
      </w:r>
      <w:r w:rsidR="001861BF">
        <w:t>”</w:t>
      </w:r>
      <w:r w:rsidR="00420AB6">
        <w:t>,</w:t>
      </w:r>
      <w:r w:rsidR="001861BF">
        <w:t xml:space="preserve"> but goes on to refer to the child’s “</w:t>
      </w:r>
      <w:r w:rsidR="001861BF">
        <w:rPr>
          <w:i/>
          <w:iCs/>
        </w:rPr>
        <w:t>extra mural activities or extra-curricular activities</w:t>
      </w:r>
      <w:r w:rsidR="001861BF">
        <w:t>”.  So, in the first part, the clause relates to hobbies but does not do so in the second part</w:t>
      </w:r>
      <w:r w:rsidR="00942B44">
        <w:t>, and in the second part it relates to extra-curricular activities but does not do so in the first part.</w:t>
      </w:r>
    </w:p>
    <w:p w14:paraId="4BA477A3" w14:textId="60DA2FF9" w:rsidR="00942B44" w:rsidRDefault="005816A4" w:rsidP="00B373B9">
      <w:r>
        <w:t>19</w:t>
      </w:r>
      <w:r>
        <w:tab/>
      </w:r>
      <w:r w:rsidR="00942B44">
        <w:t xml:space="preserve">What is clear </w:t>
      </w:r>
      <w:r w:rsidR="0019624D">
        <w:t xml:space="preserve">is that </w:t>
      </w:r>
      <w:r w:rsidR="00942B44">
        <w:t xml:space="preserve">clause 4.1.1.4 </w:t>
      </w:r>
      <w:r w:rsidR="00F736AC">
        <w:t xml:space="preserve">operates in respect of costs in connection with the child’s education at </w:t>
      </w:r>
      <w:r w:rsidR="00497B0E">
        <w:t xml:space="preserve">secondary </w:t>
      </w:r>
      <w:r w:rsidR="00F736AC">
        <w:t>school</w:t>
      </w:r>
      <w:r w:rsidR="00147BE6">
        <w:t>,</w:t>
      </w:r>
      <w:r w:rsidR="00497B0E">
        <w:t xml:space="preserve"> and that anchors the clause to school activities</w:t>
      </w:r>
      <w:r w:rsidR="00F736AC">
        <w:t>.</w:t>
      </w:r>
    </w:p>
    <w:p w14:paraId="7D08B5AA" w14:textId="5598C569" w:rsidR="008A225F" w:rsidRDefault="005816A4" w:rsidP="00B373B9">
      <w:r>
        <w:t>20</w:t>
      </w:r>
      <w:r>
        <w:tab/>
      </w:r>
      <w:r w:rsidR="00F736AC">
        <w:t xml:space="preserve">In my </w:t>
      </w:r>
      <w:proofErr w:type="gramStart"/>
      <w:r w:rsidR="00F736AC">
        <w:t>view, and</w:t>
      </w:r>
      <w:proofErr w:type="gramEnd"/>
      <w:r w:rsidR="00F736AC">
        <w:t xml:space="preserve"> applying the text context and purpose approach</w:t>
      </w:r>
      <w:r w:rsidR="004865D1">
        <w:t xml:space="preserve"> to the interpretation of the Settlement Agreement, stabling fees do not </w:t>
      </w:r>
      <w:r w:rsidR="00C126CC">
        <w:t>fall</w:t>
      </w:r>
      <w:r w:rsidR="004865D1">
        <w:t xml:space="preserve"> within the ambit of cl</w:t>
      </w:r>
      <w:r w:rsidR="00C126CC">
        <w:t xml:space="preserve">ause 4.1.1.4.  I say this because in context that which is contemplated in clause 4.1.1.4 are extra mural or extra-curricular activities that are </w:t>
      </w:r>
      <w:r w:rsidR="00147BE6">
        <w:t>linked to th</w:t>
      </w:r>
      <w:r w:rsidR="00E42ECF">
        <w:t xml:space="preserve">e child’s </w:t>
      </w:r>
      <w:r w:rsidR="00C126CC">
        <w:t xml:space="preserve">school.  Dressage </w:t>
      </w:r>
      <w:r w:rsidR="00A94F14">
        <w:t xml:space="preserve">from which the stabling fees arise </w:t>
      </w:r>
      <w:r w:rsidR="00C126CC">
        <w:t>does not</w:t>
      </w:r>
      <w:r w:rsidR="00552DF4">
        <w:t xml:space="preserve">, in my view, </w:t>
      </w:r>
      <w:r w:rsidR="00E42ECF">
        <w:t xml:space="preserve">typically </w:t>
      </w:r>
      <w:r w:rsidR="00552DF4">
        <w:t xml:space="preserve">fall within </w:t>
      </w:r>
      <w:r w:rsidR="00E42ECF">
        <w:t xml:space="preserve">the </w:t>
      </w:r>
      <w:r w:rsidR="00552DF4">
        <w:t>ambit</w:t>
      </w:r>
      <w:r w:rsidR="00E42ECF">
        <w:t xml:space="preserve"> of extra mural or extra-curricular activities that are linked to the </w:t>
      </w:r>
      <w:r w:rsidR="00E42ECF">
        <w:lastRenderedPageBreak/>
        <w:t xml:space="preserve">child’s school, and the papers do not provide </w:t>
      </w:r>
      <w:r w:rsidR="00CD5B79">
        <w:t>facts to suggest that this may be so</w:t>
      </w:r>
      <w:r w:rsidR="00552DF4">
        <w:t>. I am mindful that the reference to “</w:t>
      </w:r>
      <w:r w:rsidR="00552DF4" w:rsidRPr="00CD5B79">
        <w:rPr>
          <w:i/>
          <w:iCs/>
        </w:rPr>
        <w:t>hobbies</w:t>
      </w:r>
      <w:r w:rsidR="00552DF4">
        <w:t>” may be wider than extra mural or extra-curricular activities, but again</w:t>
      </w:r>
      <w:r w:rsidR="00CD5B79">
        <w:t xml:space="preserve"> the hobby is linked the child’s school, and the papers do not </w:t>
      </w:r>
      <w:r w:rsidR="00515F42">
        <w:t>provide facts to demonstrate that dressage is a school linked hobby.</w:t>
      </w:r>
      <w:r w:rsidR="00552DF4">
        <w:t xml:space="preserve"> </w:t>
      </w:r>
    </w:p>
    <w:p w14:paraId="0CAA3900" w14:textId="281C0281" w:rsidR="00F736AC" w:rsidRDefault="005816A4" w:rsidP="00B373B9">
      <w:r>
        <w:t>21</w:t>
      </w:r>
      <w:r>
        <w:tab/>
      </w:r>
      <w:r w:rsidR="008A225F">
        <w:t>On a textual approach to the Settlement Agreement the stabling costs do not fall within clause 4.1.1.4 of the Settlement Agreement.</w:t>
      </w:r>
    </w:p>
    <w:p w14:paraId="1B24A822" w14:textId="37B7FAC4" w:rsidR="00CA3BED" w:rsidRDefault="005816A4" w:rsidP="00B373B9">
      <w:r>
        <w:t>22</w:t>
      </w:r>
      <w:r>
        <w:tab/>
      </w:r>
      <w:r w:rsidR="00CA3BED">
        <w:t xml:space="preserve">A further point of relevance is that for </w:t>
      </w:r>
      <w:r w:rsidR="000F0EB9">
        <w:t>some time</w:t>
      </w:r>
      <w:r w:rsidR="00CA3BED">
        <w:t xml:space="preserve"> the stabling fees were not claimed by the </w:t>
      </w:r>
      <w:r w:rsidR="000F0EB9">
        <w:t xml:space="preserve">Applicant as part of the maintenance that was due in terms of the </w:t>
      </w:r>
      <w:r w:rsidR="009A4D84">
        <w:t>S</w:t>
      </w:r>
      <w:r w:rsidR="000F0EB9">
        <w:t xml:space="preserve">ettlement </w:t>
      </w:r>
      <w:r w:rsidR="009A4D84">
        <w:t>A</w:t>
      </w:r>
      <w:r w:rsidR="000F0EB9">
        <w:t>greement.</w:t>
      </w:r>
      <w:r w:rsidR="00CA3BED">
        <w:t xml:space="preserve"> </w:t>
      </w:r>
      <w:r w:rsidR="009A4D84">
        <w:t xml:space="preserve">If the stabling fees had consistently been claimed as </w:t>
      </w:r>
      <w:r w:rsidR="00895CF2">
        <w:t>being due in terms of the Settlement Agreement than they would presumably have been included in the spreadsheet that the parties kept recording amounts due and payments made, and the opening balance of the Sc</w:t>
      </w:r>
      <w:r w:rsidR="00911AE9">
        <w:t>hedule would have included the stabling fees. This is subsequent conduct of the parties that is relevant to the interpretation of the Settlement Agreement.</w:t>
      </w:r>
    </w:p>
    <w:p w14:paraId="3B3F8D26" w14:textId="42AE6726" w:rsidR="00CA3BED" w:rsidRDefault="005816A4" w:rsidP="00B373B9">
      <w:r>
        <w:t>23</w:t>
      </w:r>
      <w:r>
        <w:tab/>
      </w:r>
      <w:r w:rsidR="00CA3BED">
        <w:t>I therefore find that the stabling costs which are claimed in the writ do not fall within the ambit of the Settlement Agreement.</w:t>
      </w:r>
      <w:r w:rsidR="00911AE9">
        <w:t xml:space="preserve"> It follows from this finding that the amount of the writ is wrong.</w:t>
      </w:r>
    </w:p>
    <w:p w14:paraId="2B2B6EBD" w14:textId="3AE6C8B4" w:rsidR="00880DB3" w:rsidRDefault="005816A4" w:rsidP="00B373B9">
      <w:r>
        <w:t>24</w:t>
      </w:r>
      <w:r>
        <w:tab/>
      </w:r>
      <w:r w:rsidR="00880DB3">
        <w:t>My finding that the stabling fees d</w:t>
      </w:r>
      <w:r w:rsidR="003D3F02">
        <w:t xml:space="preserve">o not fall within the ambit of the Settlement Agreement is </w:t>
      </w:r>
      <w:r w:rsidR="00911AE9">
        <w:t xml:space="preserve">expressly </w:t>
      </w:r>
      <w:r w:rsidR="003D3F02">
        <w:t xml:space="preserve">not a finding that the Applicant is not liable for those </w:t>
      </w:r>
      <w:r w:rsidR="00911AE9">
        <w:t>expenses</w:t>
      </w:r>
      <w:r w:rsidR="003D3F02">
        <w:t>. Whether the Applicant is liable for the stabling fees is a separate question to whether they are included in the Settlement Agreement.  Stated differently, the Settlement Agreement does not define</w:t>
      </w:r>
      <w:r w:rsidR="00C02270">
        <w:t>,</w:t>
      </w:r>
      <w:r w:rsidR="003D3F02">
        <w:t xml:space="preserve"> by limitation</w:t>
      </w:r>
      <w:r w:rsidR="00C02270">
        <w:t>,</w:t>
      </w:r>
      <w:r w:rsidR="00201720">
        <w:t xml:space="preserve"> the Applicant’s maintenance obligations to the child. Whether the Applicant ought to pay for the stabling fees will depend on an assessment of the lifestyle to which the child has </w:t>
      </w:r>
      <w:r w:rsidR="00201720">
        <w:lastRenderedPageBreak/>
        <w:t xml:space="preserve">become accustomed and the Applicant and Respondent’s financial </w:t>
      </w:r>
      <w:r w:rsidR="00C02270">
        <w:t>means</w:t>
      </w:r>
      <w:r w:rsidR="0081738E">
        <w:t xml:space="preserve">. </w:t>
      </w:r>
      <w:r w:rsidR="003A41D1">
        <w:t xml:space="preserve">When this enquiry is undertaken the fact that the child has for </w:t>
      </w:r>
      <w:r w:rsidR="00F92DEB">
        <w:t xml:space="preserve">several years participated in dressage will have to be </w:t>
      </w:r>
      <w:proofErr w:type="gramStart"/>
      <w:r w:rsidR="00F92DEB">
        <w:t>taken into account</w:t>
      </w:r>
      <w:proofErr w:type="gramEnd"/>
      <w:r w:rsidR="00F92DEB">
        <w:t xml:space="preserve"> when assessing what </w:t>
      </w:r>
      <w:r w:rsidR="00F94361">
        <w:t>the child has become accustomed to.</w:t>
      </w:r>
      <w:r w:rsidR="0081738E">
        <w:t xml:space="preserve"> That is an enquiry which is beyond the scope of this application and the papers before me do not deal with it.</w:t>
      </w:r>
    </w:p>
    <w:p w14:paraId="78DA3B29" w14:textId="5EF6BE13" w:rsidR="0081738E" w:rsidRDefault="005816A4" w:rsidP="00B373B9">
      <w:r>
        <w:t>25</w:t>
      </w:r>
      <w:r>
        <w:tab/>
      </w:r>
      <w:r w:rsidR="0081738E">
        <w:t>During argument the Res</w:t>
      </w:r>
      <w:r w:rsidR="00190DB3">
        <w:t>pondent’s counsel urged me not to set aside the writ but to instead suspend its operation.  There was a</w:t>
      </w:r>
      <w:r w:rsidR="00C02270">
        <w:t xml:space="preserve"> debate</w:t>
      </w:r>
      <w:r w:rsidR="00190DB3">
        <w:t xml:space="preserve"> with counsel for both the Applicant and the Respondent on what would become of the matter if I were to suspend the operation of the writ.  Both </w:t>
      </w:r>
      <w:proofErr w:type="gramStart"/>
      <w:r w:rsidR="00190DB3">
        <w:t>counsel</w:t>
      </w:r>
      <w:proofErr w:type="gramEnd"/>
      <w:r w:rsidR="00190DB3">
        <w:t xml:space="preserve"> were asked to submit a note setting out what options would be available to the parties in the event of the writ being suspended as opposed to being set aside.</w:t>
      </w:r>
      <w:r w:rsidR="000C35C0">
        <w:t xml:space="preserve"> </w:t>
      </w:r>
      <w:r w:rsidR="00B51FEF">
        <w:t>The note was provided</w:t>
      </w:r>
      <w:r w:rsidR="00F6394E">
        <w:t>,</w:t>
      </w:r>
      <w:r w:rsidR="00B51FEF">
        <w:t xml:space="preserve"> and I am grateful to counsel for their assistance. </w:t>
      </w:r>
    </w:p>
    <w:p w14:paraId="3C0595C7" w14:textId="305C4603" w:rsidR="009B4220" w:rsidRDefault="005816A4" w:rsidP="00B373B9">
      <w:r>
        <w:t>26</w:t>
      </w:r>
      <w:r>
        <w:tab/>
      </w:r>
      <w:r w:rsidR="009B4220">
        <w:t>I have carefully considered whether I should accede to the Respondent’s request that the writ should be suspended as opposed to being set aside.  It seems to me that, given my finding</w:t>
      </w:r>
      <w:r w:rsidR="00A772A6">
        <w:t xml:space="preserve"> that stabling fees do not fall within the scope of the Settlement Agreement, </w:t>
      </w:r>
      <w:r w:rsidR="00827C6E">
        <w:t xml:space="preserve">and that the amount of the writ is wrong, </w:t>
      </w:r>
      <w:r w:rsidR="00A772A6">
        <w:t>there is little point in suspending the writ instead of setting it aside.  This is so because the writ ought not to have been issued and nothing that might occur following the suspension of the writ would cure that defect.  I will therefore order that the writ should be set aside</w:t>
      </w:r>
      <w:r w:rsidR="00ED2711">
        <w:t>.</w:t>
      </w:r>
    </w:p>
    <w:p w14:paraId="2AC51BE9" w14:textId="09CD9F13" w:rsidR="00C02126" w:rsidRDefault="005816A4" w:rsidP="00B373B9">
      <w:r>
        <w:t>27</w:t>
      </w:r>
      <w:r>
        <w:tab/>
      </w:r>
      <w:r w:rsidR="00C02126">
        <w:t xml:space="preserve">That leaves the question of costs.  Both parties urged that costs should be granted in their favour.  In my view, </w:t>
      </w:r>
      <w:r w:rsidR="004E2F73">
        <w:t>the issuing of the writ and the bringing of this application ought not to have been necessary. T</w:t>
      </w:r>
      <w:r w:rsidR="00C02126">
        <w:t xml:space="preserve">he parties ought to have engaged each other to resolve the issue in the best interests of the child.  On my assessment </w:t>
      </w:r>
      <w:r w:rsidR="00C02126">
        <w:lastRenderedPageBreak/>
        <w:t>of the papers, both parties are at fault in allowing circumstances to develop</w:t>
      </w:r>
      <w:r w:rsidR="00A722BD">
        <w:t xml:space="preserve"> that precipitated this application</w:t>
      </w:r>
      <w:r w:rsidR="0050770A">
        <w:t xml:space="preserve"> and both parties are at fault in preparing the papers in the manner they were presented</w:t>
      </w:r>
      <w:r w:rsidR="00A722BD">
        <w:t>.  For that reason, and in the exercise of my discretion, I will make no order as to costs.</w:t>
      </w:r>
    </w:p>
    <w:p w14:paraId="20CD4457" w14:textId="2FFCA188" w:rsidR="00A722BD" w:rsidRPr="00A722BD" w:rsidRDefault="005816A4" w:rsidP="00B373B9">
      <w:r w:rsidRPr="00A722BD">
        <w:t>28</w:t>
      </w:r>
      <w:r w:rsidRPr="00A722BD">
        <w:tab/>
      </w:r>
      <w:r w:rsidR="00A722BD">
        <w:t>For the reasons set out above, I make the following order:</w:t>
      </w:r>
    </w:p>
    <w:p w14:paraId="53E31680" w14:textId="79EA639E" w:rsidR="00661AC1" w:rsidRDefault="005816A4" w:rsidP="00B373B9">
      <w:r>
        <w:t>1.</w:t>
      </w:r>
      <w:r>
        <w:tab/>
      </w:r>
      <w:r w:rsidR="00A722BD">
        <w:t xml:space="preserve">The writ of execution issued by this court on 20 September 2022 </w:t>
      </w:r>
      <w:r w:rsidR="00080E40">
        <w:t>under Case No. 2021/23816 for payment of the amount of R101</w:t>
      </w:r>
      <w:r w:rsidR="00476A40">
        <w:t xml:space="preserve"> </w:t>
      </w:r>
      <w:r w:rsidR="00080E40">
        <w:t>082</w:t>
      </w:r>
      <w:r w:rsidR="00661AC1">
        <w:t>.</w:t>
      </w:r>
      <w:r w:rsidR="00476A40">
        <w:t>22 by the Applicant is set aside.</w:t>
      </w:r>
    </w:p>
    <w:p w14:paraId="39EFECB0" w14:textId="51E283E2" w:rsidR="00661AC1" w:rsidRPr="00D45BDA" w:rsidRDefault="005816A4" w:rsidP="00B373B9">
      <w:r w:rsidRPr="00D45BDA">
        <w:t>2.</w:t>
      </w:r>
      <w:r w:rsidRPr="00D45BDA">
        <w:tab/>
      </w:r>
      <w:r w:rsidR="00476A40">
        <w:t>There is no order as to costs</w:t>
      </w:r>
      <w:r w:rsidR="00661AC1">
        <w:t>.</w:t>
      </w:r>
    </w:p>
    <w:p w14:paraId="4F367BC2" w14:textId="77777777" w:rsidR="0050770A" w:rsidRDefault="000C0BEC" w:rsidP="00B373B9">
      <w:pPr>
        <w:rPr>
          <w:lang w:val="en-GB"/>
        </w:rPr>
      </w:pPr>
      <w:r w:rsidRPr="00897878">
        <w:rPr>
          <w:lang w:val="en-GB"/>
        </w:rPr>
        <w:t xml:space="preserve">                                                         </w:t>
      </w:r>
    </w:p>
    <w:p w14:paraId="59AFB799" w14:textId="43AC9755" w:rsidR="000C0BEC" w:rsidRPr="00897878" w:rsidRDefault="000C0BEC" w:rsidP="00B373B9">
      <w:pPr>
        <w:rPr>
          <w:lang w:val="en-GB"/>
        </w:rPr>
      </w:pPr>
      <w:r w:rsidRPr="00897878">
        <w:rPr>
          <w:lang w:val="en-GB"/>
        </w:rPr>
        <w:t>_____________________</w:t>
      </w:r>
    </w:p>
    <w:p w14:paraId="45234FC2" w14:textId="77777777" w:rsidR="000C0BEC" w:rsidRPr="00897878" w:rsidRDefault="000C0BEC" w:rsidP="00B373B9">
      <w:pPr>
        <w:rPr>
          <w:lang w:val="en-GB"/>
        </w:rPr>
      </w:pPr>
      <w:r>
        <w:rPr>
          <w:lang w:val="en-GB"/>
        </w:rPr>
        <w:t>I. GREEN</w:t>
      </w:r>
    </w:p>
    <w:p w14:paraId="76B7A3E2" w14:textId="77777777" w:rsidR="000C0BEC" w:rsidRPr="00897878" w:rsidRDefault="000C0BEC" w:rsidP="00B373B9">
      <w:pPr>
        <w:rPr>
          <w:lang w:val="en-GB"/>
        </w:rPr>
      </w:pPr>
      <w:r w:rsidRPr="00897878">
        <w:rPr>
          <w:lang w:val="en-GB"/>
        </w:rPr>
        <w:t>Acting Judge of the High Court</w:t>
      </w:r>
    </w:p>
    <w:p w14:paraId="7E171035" w14:textId="77777777" w:rsidR="000C0BEC" w:rsidRPr="00897878" w:rsidRDefault="000C0BEC" w:rsidP="00B373B9">
      <w:pPr>
        <w:rPr>
          <w:lang w:val="en-GB"/>
        </w:rPr>
      </w:pPr>
      <w:r w:rsidRPr="00897878">
        <w:rPr>
          <w:lang w:val="en-GB"/>
        </w:rPr>
        <w:t>Gauteng Division of the High Court, Johannesburg</w:t>
      </w:r>
    </w:p>
    <w:p w14:paraId="55D5ABE0" w14:textId="77777777" w:rsidR="000C0BEC" w:rsidRPr="00897878" w:rsidRDefault="000C0BEC" w:rsidP="00B373B9">
      <w:pPr>
        <w:rPr>
          <w:lang w:val="en-GB"/>
        </w:rPr>
      </w:pPr>
    </w:p>
    <w:p w14:paraId="012F9C80" w14:textId="27C540D7" w:rsidR="000C0BEC" w:rsidRPr="00897878" w:rsidRDefault="000C0BEC" w:rsidP="00B373B9">
      <w:pPr>
        <w:rPr>
          <w:lang w:val="en-GB"/>
        </w:rPr>
      </w:pPr>
      <w:r>
        <w:rPr>
          <w:lang w:val="en-GB"/>
        </w:rPr>
        <w:t>Delivered:</w:t>
      </w:r>
      <w:r>
        <w:rPr>
          <w:lang w:val="en-GB"/>
        </w:rPr>
        <w:tab/>
      </w:r>
      <w:r w:rsidRPr="00897878">
        <w:rPr>
          <w:lang w:val="en-GB"/>
        </w:rPr>
        <w:t xml:space="preserve">This judgment was prepared and authored by the Judge whose name </w:t>
      </w:r>
      <w:r>
        <w:rPr>
          <w:lang w:val="en-GB"/>
        </w:rPr>
        <w:t xml:space="preserve">  </w:t>
      </w:r>
      <w:r w:rsidRPr="00897878">
        <w:rPr>
          <w:lang w:val="en-GB"/>
        </w:rPr>
        <w:t xml:space="preserve">is reflected on </w:t>
      </w:r>
      <w:r>
        <w:rPr>
          <w:lang w:val="en-GB"/>
        </w:rPr>
        <w:t>26 April</w:t>
      </w:r>
      <w:r w:rsidRPr="00897878">
        <w:rPr>
          <w:lang w:val="en-GB"/>
        </w:rPr>
        <w:t xml:space="preserve"> 2024 and is handed down electronically by circulation to the parties/their legal representatives by e mail and by uploading it to the electronic file of this matter on CaseLines.  The date for hand-down is deemed to be </w:t>
      </w:r>
      <w:r>
        <w:rPr>
          <w:lang w:val="en-GB"/>
        </w:rPr>
        <w:t>26</w:t>
      </w:r>
      <w:r w:rsidRPr="00897878">
        <w:rPr>
          <w:lang w:val="en-GB"/>
        </w:rPr>
        <w:t xml:space="preserve"> </w:t>
      </w:r>
      <w:r>
        <w:rPr>
          <w:lang w:val="en-GB"/>
        </w:rPr>
        <w:t>April</w:t>
      </w:r>
      <w:r w:rsidRPr="00897878">
        <w:rPr>
          <w:lang w:val="en-GB"/>
        </w:rPr>
        <w:t xml:space="preserve"> 2024.</w:t>
      </w:r>
    </w:p>
    <w:p w14:paraId="1A939219" w14:textId="77777777" w:rsidR="000C0BEC" w:rsidRPr="00897878" w:rsidRDefault="000C0BEC" w:rsidP="00B373B9">
      <w:pPr>
        <w:rPr>
          <w:lang w:val="en-GB"/>
        </w:rPr>
      </w:pPr>
    </w:p>
    <w:p w14:paraId="2A589A62" w14:textId="3D405DA4" w:rsidR="000C0BEC" w:rsidRPr="00897878" w:rsidRDefault="000C0BEC" w:rsidP="00B373B9">
      <w:pPr>
        <w:rPr>
          <w:lang w:val="en-GB"/>
        </w:rPr>
      </w:pPr>
      <w:r>
        <w:rPr>
          <w:lang w:val="en-GB"/>
        </w:rPr>
        <w:lastRenderedPageBreak/>
        <w:t>Date of hearing:</w:t>
      </w:r>
      <w:r>
        <w:rPr>
          <w:lang w:val="en-GB"/>
        </w:rPr>
        <w:tab/>
      </w:r>
      <w:r>
        <w:rPr>
          <w:lang w:val="en-GB"/>
        </w:rPr>
        <w:tab/>
      </w:r>
      <w:r>
        <w:rPr>
          <w:lang w:val="en-GB"/>
        </w:rPr>
        <w:tab/>
        <w:t>18 April</w:t>
      </w:r>
      <w:r w:rsidRPr="00897878">
        <w:rPr>
          <w:lang w:val="en-GB"/>
        </w:rPr>
        <w:t xml:space="preserve"> 2024</w:t>
      </w:r>
    </w:p>
    <w:p w14:paraId="242763A7" w14:textId="2ABC7CDB" w:rsidR="000C0BEC" w:rsidRPr="00897878" w:rsidRDefault="000C0BEC" w:rsidP="00B373B9">
      <w:pPr>
        <w:rPr>
          <w:lang w:val="en-GB"/>
        </w:rPr>
      </w:pPr>
      <w:r w:rsidRPr="00897878">
        <w:rPr>
          <w:lang w:val="en-GB"/>
        </w:rPr>
        <w:t xml:space="preserve">Date of </w:t>
      </w:r>
      <w:r>
        <w:rPr>
          <w:lang w:val="en-GB"/>
        </w:rPr>
        <w:t>delivery of judgment</w:t>
      </w:r>
      <w:r w:rsidRPr="00897878">
        <w:rPr>
          <w:lang w:val="en-GB"/>
        </w:rPr>
        <w:t>:</w:t>
      </w:r>
      <w:r w:rsidRPr="00897878">
        <w:rPr>
          <w:lang w:val="en-GB"/>
        </w:rPr>
        <w:tab/>
      </w:r>
      <w:r>
        <w:rPr>
          <w:lang w:val="en-GB"/>
        </w:rPr>
        <w:t>26 April 2024</w:t>
      </w:r>
    </w:p>
    <w:p w14:paraId="1626C8C9" w14:textId="77777777" w:rsidR="000C0BEC" w:rsidRPr="00897878" w:rsidRDefault="000C0BEC" w:rsidP="00B373B9">
      <w:pPr>
        <w:rPr>
          <w:lang w:val="en-GB"/>
        </w:rPr>
      </w:pPr>
    </w:p>
    <w:p w14:paraId="68F1914F" w14:textId="77777777" w:rsidR="000C0BEC" w:rsidRPr="00897878" w:rsidRDefault="000C0BEC" w:rsidP="00B373B9">
      <w:pPr>
        <w:rPr>
          <w:lang w:val="en-GB"/>
        </w:rPr>
      </w:pPr>
      <w:r w:rsidRPr="00897878">
        <w:rPr>
          <w:lang w:val="en-GB"/>
        </w:rPr>
        <w:t>Appearances:</w:t>
      </w:r>
    </w:p>
    <w:p w14:paraId="1660746F" w14:textId="00C59C9D" w:rsidR="000C0BEC" w:rsidRPr="00897878" w:rsidRDefault="000C0BEC" w:rsidP="00B373B9">
      <w:pPr>
        <w:rPr>
          <w:lang w:val="en-GB"/>
        </w:rPr>
      </w:pPr>
      <w:r w:rsidRPr="00897878">
        <w:rPr>
          <w:lang w:val="en-GB"/>
        </w:rPr>
        <w:t>For the plaintiff:</w:t>
      </w:r>
      <w:r w:rsidRPr="00897878">
        <w:rPr>
          <w:lang w:val="en-GB"/>
        </w:rPr>
        <w:tab/>
      </w:r>
      <w:r w:rsidRPr="00897878">
        <w:rPr>
          <w:lang w:val="en-GB"/>
        </w:rPr>
        <w:tab/>
      </w:r>
      <w:r>
        <w:rPr>
          <w:lang w:val="en-GB"/>
        </w:rPr>
        <w:tab/>
      </w:r>
      <w:r w:rsidRPr="00C2551D">
        <w:rPr>
          <w:lang w:val="en-GB"/>
        </w:rPr>
        <w:t xml:space="preserve">Adv </w:t>
      </w:r>
      <w:r>
        <w:rPr>
          <w:lang w:val="en-GB"/>
        </w:rPr>
        <w:t>T. Cartens</w:t>
      </w:r>
    </w:p>
    <w:p w14:paraId="218BADC3" w14:textId="4CEF5746" w:rsidR="000C0BEC" w:rsidRPr="00897878" w:rsidRDefault="000C0BEC" w:rsidP="00B373B9">
      <w:pPr>
        <w:rPr>
          <w:lang w:val="en-GB"/>
        </w:rPr>
      </w:pPr>
      <w:r w:rsidRPr="00897878">
        <w:rPr>
          <w:lang w:val="en-GB"/>
        </w:rPr>
        <w:t>Instructed by:</w:t>
      </w:r>
      <w:r w:rsidRPr="00897878">
        <w:rPr>
          <w:lang w:val="en-GB"/>
        </w:rPr>
        <w:tab/>
      </w:r>
      <w:r w:rsidRPr="00897878">
        <w:rPr>
          <w:lang w:val="en-GB"/>
        </w:rPr>
        <w:tab/>
      </w:r>
      <w:r>
        <w:rPr>
          <w:lang w:val="en-GB"/>
        </w:rPr>
        <w:tab/>
        <w:t>Boela Van Der Merwe Attorneys Inc</w:t>
      </w:r>
    </w:p>
    <w:p w14:paraId="0695CA31" w14:textId="4DE57A0C" w:rsidR="000C0BEC" w:rsidRPr="00897878" w:rsidRDefault="000C0BEC" w:rsidP="00B373B9">
      <w:pPr>
        <w:rPr>
          <w:lang w:val="en-GB"/>
        </w:rPr>
      </w:pPr>
      <w:r w:rsidRPr="00897878">
        <w:rPr>
          <w:lang w:val="en-GB"/>
        </w:rPr>
        <w:t>For the defendant:</w:t>
      </w:r>
      <w:r w:rsidRPr="00897878">
        <w:rPr>
          <w:lang w:val="en-GB"/>
        </w:rPr>
        <w:tab/>
      </w:r>
      <w:r w:rsidRPr="00897878">
        <w:rPr>
          <w:lang w:val="en-GB"/>
        </w:rPr>
        <w:tab/>
      </w:r>
      <w:r>
        <w:rPr>
          <w:lang w:val="en-GB"/>
        </w:rPr>
        <w:tab/>
      </w:r>
      <w:r w:rsidRPr="00E51078">
        <w:rPr>
          <w:lang w:val="en-GB"/>
        </w:rPr>
        <w:t xml:space="preserve">Adv </w:t>
      </w:r>
      <w:r>
        <w:rPr>
          <w:lang w:val="en-GB"/>
        </w:rPr>
        <w:t>B.</w:t>
      </w:r>
      <w:r w:rsidRPr="00E51078">
        <w:rPr>
          <w:lang w:val="en-GB"/>
        </w:rPr>
        <w:t xml:space="preserve"> </w:t>
      </w:r>
      <w:r>
        <w:rPr>
          <w:lang w:val="en-GB"/>
        </w:rPr>
        <w:t>Smith</w:t>
      </w:r>
    </w:p>
    <w:p w14:paraId="3B7A5DB1" w14:textId="6DA0CBE6" w:rsidR="000C0BEC" w:rsidRPr="00897878" w:rsidRDefault="000C0BEC" w:rsidP="00B373B9">
      <w:pPr>
        <w:rPr>
          <w:lang w:val="en-GB"/>
        </w:rPr>
      </w:pPr>
      <w:r w:rsidRPr="00897878">
        <w:rPr>
          <w:lang w:val="en-GB"/>
        </w:rPr>
        <w:t>Instructed by:</w:t>
      </w:r>
      <w:r w:rsidRPr="00897878">
        <w:rPr>
          <w:lang w:val="en-GB"/>
        </w:rPr>
        <w:tab/>
      </w:r>
      <w:r w:rsidRPr="00897878">
        <w:rPr>
          <w:lang w:val="en-GB"/>
        </w:rPr>
        <w:tab/>
      </w:r>
      <w:r>
        <w:rPr>
          <w:lang w:val="en-GB"/>
        </w:rPr>
        <w:tab/>
        <w:t>Ross Munro</w:t>
      </w:r>
      <w:r w:rsidRPr="00E51078">
        <w:rPr>
          <w:lang w:val="en-GB"/>
        </w:rPr>
        <w:t xml:space="preserve"> Attorneys</w:t>
      </w:r>
    </w:p>
    <w:p w14:paraId="21C53AB7" w14:textId="77777777" w:rsidR="00661AC1" w:rsidRDefault="00661AC1" w:rsidP="00B373B9">
      <w:pPr>
        <w:rPr>
          <w:bCs/>
        </w:rPr>
      </w:pPr>
    </w:p>
    <w:sectPr w:rsidR="00661AC1" w:rsidSect="00F90228">
      <w:headerReference w:type="even" r:id="rId10"/>
      <w:headerReference w:type="default" r:id="rId11"/>
      <w:pgSz w:w="11907" w:h="16840" w:code="9"/>
      <w:pgMar w:top="1418" w:right="1275" w:bottom="1134" w:left="1985"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5E230" w14:textId="77777777" w:rsidR="00F90228" w:rsidRDefault="00F90228">
      <w:r>
        <w:separator/>
      </w:r>
    </w:p>
  </w:endnote>
  <w:endnote w:type="continuationSeparator" w:id="0">
    <w:p w14:paraId="1FB50EEE" w14:textId="77777777" w:rsidR="00F90228" w:rsidRDefault="00F9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A09" w14:textId="77777777" w:rsidR="00F90228" w:rsidRDefault="00F90228">
      <w:r>
        <w:separator/>
      </w:r>
    </w:p>
  </w:footnote>
  <w:footnote w:type="continuationSeparator" w:id="0">
    <w:p w14:paraId="52544B75" w14:textId="77777777" w:rsidR="00F90228" w:rsidRDefault="00F90228">
      <w:r>
        <w:continuationSeparator/>
      </w:r>
    </w:p>
  </w:footnote>
  <w:footnote w:id="1">
    <w:p w14:paraId="40CAC172" w14:textId="77777777" w:rsidR="00187180" w:rsidRPr="009C629F" w:rsidRDefault="00187180" w:rsidP="00187180">
      <w:pPr>
        <w:spacing w:before="0" w:after="0" w:line="240" w:lineRule="auto"/>
        <w:ind w:left="720" w:hanging="720"/>
        <w:rPr>
          <w:rFonts w:cs="Arial"/>
          <w:sz w:val="20"/>
        </w:rPr>
      </w:pPr>
      <w:r w:rsidRPr="00693844">
        <w:rPr>
          <w:rStyle w:val="FootnoteReference"/>
          <w:rFonts w:cs="Arial"/>
          <w:sz w:val="20"/>
        </w:rPr>
        <w:footnoteRef/>
      </w:r>
      <w:r w:rsidRPr="00693844">
        <w:rPr>
          <w:rFonts w:cs="Arial"/>
          <w:sz w:val="20"/>
        </w:rPr>
        <w:t xml:space="preserve"> </w:t>
      </w:r>
      <w:r w:rsidRPr="009256B5">
        <w:rPr>
          <w:rFonts w:cs="Arial"/>
          <w:i/>
          <w:iCs/>
          <w:color w:val="000000"/>
          <w:sz w:val="20"/>
          <w:shd w:val="clear" w:color="auto" w:fill="FFFFFF"/>
        </w:rPr>
        <w:t>Natal Joint Municipal Pension Fund v Endumeni Municipality</w:t>
      </w:r>
      <w:r w:rsidRPr="009C629F">
        <w:rPr>
          <w:rFonts w:cs="Arial"/>
          <w:color w:val="000000"/>
          <w:sz w:val="20"/>
        </w:rPr>
        <w:t xml:space="preserve"> </w:t>
      </w:r>
      <w:r w:rsidRPr="005248A6">
        <w:rPr>
          <w:rFonts w:cs="Arial"/>
          <w:color w:val="000000"/>
          <w:sz w:val="20"/>
          <w:shd w:val="clear" w:color="auto" w:fill="FFFFFF"/>
        </w:rPr>
        <w:t xml:space="preserve">2012 (4) SA 593 </w:t>
      </w:r>
      <w:r w:rsidRPr="009C629F">
        <w:rPr>
          <w:rFonts w:cs="Arial"/>
          <w:color w:val="000000"/>
          <w:sz w:val="20"/>
          <w:shd w:val="clear" w:color="auto" w:fill="FFFFFF"/>
        </w:rPr>
        <w:t>(SCA).</w:t>
      </w:r>
    </w:p>
  </w:footnote>
  <w:footnote w:id="2">
    <w:p w14:paraId="3D6C04FC" w14:textId="77777777" w:rsidR="00187180" w:rsidRPr="009C629F" w:rsidRDefault="00187180" w:rsidP="00187180">
      <w:pPr>
        <w:spacing w:before="0" w:after="0" w:line="240" w:lineRule="auto"/>
        <w:ind w:left="720" w:hanging="720"/>
        <w:rPr>
          <w:rFonts w:cs="Arial"/>
          <w:color w:val="000000"/>
          <w:sz w:val="20"/>
          <w:shd w:val="clear" w:color="auto" w:fill="FFFFFF"/>
        </w:rPr>
      </w:pPr>
      <w:r w:rsidRPr="009C629F">
        <w:rPr>
          <w:rFonts w:cs="Arial"/>
          <w:color w:val="000000"/>
          <w:sz w:val="20"/>
          <w:shd w:val="clear" w:color="auto" w:fill="FFFFFF"/>
          <w:vertAlign w:val="superscript"/>
        </w:rPr>
        <w:footnoteRef/>
      </w:r>
      <w:r w:rsidRPr="009C629F">
        <w:rPr>
          <w:rFonts w:cs="Arial"/>
          <w:color w:val="000000"/>
          <w:sz w:val="20"/>
          <w:shd w:val="clear" w:color="auto" w:fill="FFFFFF"/>
        </w:rPr>
        <w:t xml:space="preserve"> </w:t>
      </w:r>
      <w:r w:rsidRPr="009256B5">
        <w:rPr>
          <w:rFonts w:cs="Arial"/>
          <w:i/>
          <w:iCs/>
          <w:color w:val="000000"/>
          <w:sz w:val="20"/>
          <w:shd w:val="clear" w:color="auto" w:fill="FFFFFF"/>
        </w:rPr>
        <w:t>City of Tshwane Metropolitan v Blair Atholl Homeowners Association</w:t>
      </w:r>
      <w:r w:rsidRPr="009C629F">
        <w:rPr>
          <w:rFonts w:cs="Arial"/>
          <w:color w:val="000000"/>
          <w:sz w:val="20"/>
          <w:shd w:val="clear" w:color="auto" w:fill="FFFFFF"/>
        </w:rPr>
        <w:t xml:space="preserve"> </w:t>
      </w:r>
      <w:r w:rsidRPr="005248A6">
        <w:rPr>
          <w:rFonts w:cs="Arial"/>
          <w:color w:val="000000"/>
          <w:sz w:val="20"/>
          <w:shd w:val="clear" w:color="auto" w:fill="FFFFFF"/>
        </w:rPr>
        <w:t xml:space="preserve">2019 (3) SA 398 </w:t>
      </w:r>
      <w:r w:rsidRPr="009C629F">
        <w:rPr>
          <w:rFonts w:cs="Arial"/>
          <w:color w:val="000000"/>
          <w:sz w:val="20"/>
          <w:shd w:val="clear" w:color="auto" w:fill="FFFFFF"/>
        </w:rPr>
        <w:t>(SCA).</w:t>
      </w:r>
    </w:p>
  </w:footnote>
  <w:footnote w:id="3">
    <w:p w14:paraId="740817D4" w14:textId="77777777" w:rsidR="00187180" w:rsidRDefault="00187180" w:rsidP="00187180">
      <w:pPr>
        <w:pStyle w:val="FootnoteText"/>
      </w:pPr>
      <w:r>
        <w:rPr>
          <w:rStyle w:val="FootnoteReference"/>
        </w:rPr>
        <w:footnoteRef/>
      </w:r>
      <w:r>
        <w:t xml:space="preserve"> </w:t>
      </w:r>
      <w:r w:rsidRPr="009256B5">
        <w:rPr>
          <w:i/>
          <w:iCs/>
        </w:rPr>
        <w:t>University of Johannesburg v Auckland Park Theological Seminary</w:t>
      </w:r>
      <w:r w:rsidRPr="001D7793">
        <w:rPr>
          <w:rFonts w:cs="Arial"/>
        </w:rPr>
        <w:t xml:space="preserve"> </w:t>
      </w:r>
      <w:r w:rsidRPr="001D7793">
        <w:rPr>
          <w:rFonts w:cs="Arial"/>
          <w:shd w:val="clear" w:color="auto" w:fill="FFFFFF"/>
        </w:rPr>
        <w:t xml:space="preserve"> 2021 (6) SA 1 (CC)</w:t>
      </w:r>
      <w:r w:rsidRPr="001D7793">
        <w:rPr>
          <w:rFonts w:cs="Arial"/>
        </w:rPr>
        <w:t>.</w:t>
      </w:r>
    </w:p>
  </w:footnote>
  <w:footnote w:id="4">
    <w:p w14:paraId="75870983" w14:textId="77777777" w:rsidR="00187180" w:rsidRDefault="00187180" w:rsidP="00187180">
      <w:pPr>
        <w:pStyle w:val="FootnoteText"/>
      </w:pPr>
      <w:r>
        <w:rPr>
          <w:rStyle w:val="FootnoteReference"/>
        </w:rPr>
        <w:footnoteRef/>
      </w:r>
      <w:r>
        <w:t xml:space="preserve"> At paras 65 to 67.</w:t>
      </w:r>
    </w:p>
  </w:footnote>
  <w:footnote w:id="5">
    <w:p w14:paraId="5884DD33" w14:textId="77777777" w:rsidR="00187180" w:rsidRPr="001D7793" w:rsidRDefault="00187180" w:rsidP="00187180">
      <w:pPr>
        <w:shd w:val="clear" w:color="auto" w:fill="FFFFFF"/>
        <w:spacing w:before="0" w:after="0" w:line="240" w:lineRule="auto"/>
        <w:rPr>
          <w:snapToGrid w:val="0"/>
          <w:sz w:val="20"/>
          <w:lang w:val="en-GB" w:bidi="en-US"/>
        </w:rPr>
      </w:pPr>
      <w:r>
        <w:rPr>
          <w:rStyle w:val="FootnoteReference"/>
        </w:rPr>
        <w:footnoteRef/>
      </w:r>
      <w:r>
        <w:t xml:space="preserve"> </w:t>
      </w:r>
      <w:r w:rsidRPr="009256B5">
        <w:rPr>
          <w:i/>
          <w:iCs/>
          <w:snapToGrid w:val="0"/>
          <w:sz w:val="20"/>
          <w:lang w:val="en-GB" w:bidi="en-US"/>
        </w:rPr>
        <w:t>Endumeni</w:t>
      </w:r>
      <w:r w:rsidRPr="001D7793">
        <w:rPr>
          <w:snapToGrid w:val="0"/>
          <w:sz w:val="20"/>
          <w:lang w:val="en-GB" w:bidi="en-US"/>
        </w:rPr>
        <w:t xml:space="preserve"> at para 18, fn 21; See also </w:t>
      </w:r>
      <w:r w:rsidRPr="009256B5">
        <w:rPr>
          <w:i/>
          <w:iCs/>
          <w:snapToGrid w:val="0"/>
          <w:sz w:val="20"/>
          <w:lang w:val="en-GB" w:bidi="en-US"/>
        </w:rPr>
        <w:t>Bothma-Batho Transport (Edms) Bpk v S Bothma and Seun Transport (Edms) Bpk</w:t>
      </w:r>
      <w:r w:rsidRPr="001D7793">
        <w:rPr>
          <w:snapToGrid w:val="0"/>
          <w:lang w:val="en-GB" w:bidi="en-US"/>
        </w:rPr>
        <w:t> </w:t>
      </w:r>
      <w:r w:rsidRPr="001D7793">
        <w:rPr>
          <w:snapToGrid w:val="0"/>
          <w:sz w:val="20"/>
          <w:lang w:val="en-GB" w:bidi="en-US"/>
        </w:rPr>
        <w:t>2014 (2) SA 494 (SCA); para 18.</w:t>
      </w:r>
    </w:p>
  </w:footnote>
  <w:footnote w:id="6">
    <w:p w14:paraId="7C26DC0B" w14:textId="77777777" w:rsidR="00187180" w:rsidRPr="00CC3201" w:rsidRDefault="00187180" w:rsidP="00187180">
      <w:pPr>
        <w:pStyle w:val="FootnoteText"/>
      </w:pPr>
      <w:r>
        <w:rPr>
          <w:rStyle w:val="FootnoteReference"/>
        </w:rPr>
        <w:footnoteRef/>
      </w:r>
      <w:r>
        <w:t xml:space="preserve"> </w:t>
      </w:r>
      <w:r w:rsidRPr="009256B5">
        <w:rPr>
          <w:i/>
          <w:iCs/>
        </w:rPr>
        <w:t>University of Johannesburg</w:t>
      </w:r>
      <w:r>
        <w:t xml:space="preserve"> at para 65.</w:t>
      </w:r>
    </w:p>
  </w:footnote>
  <w:footnote w:id="7">
    <w:p w14:paraId="79D48F20" w14:textId="77777777" w:rsidR="00187180" w:rsidRDefault="00187180" w:rsidP="00187180">
      <w:pPr>
        <w:pStyle w:val="FootnoteText"/>
      </w:pPr>
      <w:r>
        <w:rPr>
          <w:rStyle w:val="FootnoteReference"/>
        </w:rPr>
        <w:footnoteRef/>
      </w:r>
      <w:r>
        <w:t xml:space="preserve"> </w:t>
      </w:r>
      <w:r w:rsidRPr="009256B5">
        <w:rPr>
          <w:i/>
          <w:iCs/>
        </w:rPr>
        <w:t>Endumeni</w:t>
      </w:r>
      <w:r>
        <w:t xml:space="preserve"> at para 18, fn 21.</w:t>
      </w:r>
    </w:p>
  </w:footnote>
  <w:footnote w:id="8">
    <w:p w14:paraId="6A83A580" w14:textId="77777777" w:rsidR="00187180" w:rsidRDefault="00187180" w:rsidP="00187180">
      <w:pPr>
        <w:pStyle w:val="FootnoteText"/>
      </w:pPr>
      <w:r>
        <w:rPr>
          <w:rStyle w:val="FootnoteReference"/>
        </w:rPr>
        <w:footnoteRef/>
      </w:r>
      <w:r>
        <w:t xml:space="preserve"> </w:t>
      </w:r>
      <w:r w:rsidRPr="009256B5">
        <w:rPr>
          <w:i/>
          <w:iCs/>
        </w:rPr>
        <w:t>University of Johannesburg</w:t>
      </w:r>
      <w:r>
        <w:t xml:space="preserve"> supra,  </w:t>
      </w:r>
      <w:r w:rsidRPr="009256B5">
        <w:rPr>
          <w:i/>
          <w:iCs/>
        </w:rPr>
        <w:t>Capitec Bank Holdings Limited and another v Coral Lagoon Investments</w:t>
      </w:r>
      <w:r w:rsidRPr="00C620F2">
        <w:t xml:space="preserve"> 194 (Pty) Ltd and others 2022 (1) SA 100 (SCA)</w:t>
      </w:r>
      <w:r>
        <w:t>.</w:t>
      </w:r>
    </w:p>
  </w:footnote>
  <w:footnote w:id="9">
    <w:p w14:paraId="57710879" w14:textId="77777777" w:rsidR="00187180" w:rsidRDefault="00187180" w:rsidP="00187180">
      <w:pPr>
        <w:pStyle w:val="FootnoteText"/>
      </w:pPr>
      <w:r>
        <w:rPr>
          <w:rStyle w:val="FootnoteReference"/>
        </w:rPr>
        <w:footnoteRef/>
      </w:r>
      <w:r>
        <w:t xml:space="preserve"> </w:t>
      </w:r>
      <w:r w:rsidRPr="009256B5">
        <w:rPr>
          <w:i/>
          <w:iCs/>
        </w:rPr>
        <w:t>Endumeni</w:t>
      </w:r>
      <w:r w:rsidRPr="00CA4EB4">
        <w:t xml:space="preserve"> at para 18, fn 21</w:t>
      </w:r>
    </w:p>
  </w:footnote>
  <w:footnote w:id="10">
    <w:p w14:paraId="265EF628" w14:textId="77777777" w:rsidR="00187180" w:rsidRDefault="00187180" w:rsidP="00187180">
      <w:pPr>
        <w:pStyle w:val="FootnoteText"/>
      </w:pPr>
      <w:r>
        <w:rPr>
          <w:rStyle w:val="FootnoteReference"/>
        </w:rPr>
        <w:footnoteRef/>
      </w:r>
      <w:r>
        <w:t xml:space="preserve"> </w:t>
      </w:r>
      <w:r w:rsidRPr="000B18FD">
        <w:t>Comwezi Security Services (Pty) Ltd v Cape Empowerment Trust Limited</w:t>
      </w:r>
      <w:r>
        <w:t xml:space="preserve"> </w:t>
      </w:r>
      <w:r w:rsidRPr="000B18FD">
        <w:t>2012 JDR 1734 (SCA)</w:t>
      </w:r>
      <w:r>
        <w:t xml:space="preserve"> at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59305" w14:textId="795D6631" w:rsidR="00302C02" w:rsidRDefault="00302C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B65">
      <w:rPr>
        <w:rStyle w:val="PageNumber"/>
        <w:noProof/>
      </w:rPr>
      <w:t>2</w:t>
    </w:r>
    <w:r>
      <w:rPr>
        <w:rStyle w:val="PageNumber"/>
      </w:rPr>
      <w:fldChar w:fldCharType="end"/>
    </w:r>
  </w:p>
  <w:p w14:paraId="13C605FA" w14:textId="77777777" w:rsidR="00302C02" w:rsidRDefault="00302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67704" w14:textId="0F2743C9" w:rsidR="00302C02" w:rsidRDefault="00302C02">
    <w:pPr>
      <w:pStyle w:val="Header"/>
      <w:framePr w:wrap="around" w:vAnchor="text" w:hAnchor="margin" w:xAlign="right" w:y="1"/>
      <w:rPr>
        <w:rStyle w:val="PageNumber"/>
        <w:rFonts w:ascii="Arial" w:hAnsi="Arial"/>
        <w:i w:val="0"/>
        <w:sz w:val="24"/>
      </w:rPr>
    </w:pPr>
    <w:r>
      <w:rPr>
        <w:rStyle w:val="PageNumber"/>
        <w:rFonts w:ascii="Arial" w:hAnsi="Arial"/>
        <w:i w:val="0"/>
        <w:sz w:val="24"/>
      </w:rPr>
      <w:fldChar w:fldCharType="begin"/>
    </w:r>
    <w:r>
      <w:rPr>
        <w:rStyle w:val="PageNumber"/>
        <w:rFonts w:ascii="Arial" w:hAnsi="Arial"/>
        <w:i w:val="0"/>
        <w:sz w:val="24"/>
      </w:rPr>
      <w:instrText xml:space="preserve">PAGE  </w:instrText>
    </w:r>
    <w:r>
      <w:rPr>
        <w:rStyle w:val="PageNumber"/>
        <w:rFonts w:ascii="Arial" w:hAnsi="Arial"/>
        <w:i w:val="0"/>
        <w:sz w:val="24"/>
      </w:rPr>
      <w:fldChar w:fldCharType="separate"/>
    </w:r>
    <w:r w:rsidR="000C0BEC">
      <w:rPr>
        <w:rStyle w:val="PageNumber"/>
        <w:rFonts w:ascii="Arial" w:hAnsi="Arial"/>
        <w:i w:val="0"/>
        <w:noProof/>
        <w:sz w:val="24"/>
      </w:rPr>
      <w:t>12</w:t>
    </w:r>
    <w:r>
      <w:rPr>
        <w:rStyle w:val="PageNumber"/>
        <w:rFonts w:ascii="Arial" w:hAnsi="Arial"/>
        <w:i w:val="0"/>
        <w:sz w:val="24"/>
      </w:rPr>
      <w:fldChar w:fldCharType="end"/>
    </w:r>
  </w:p>
  <w:p w14:paraId="42B27EE5" w14:textId="77777777" w:rsidR="00302C02" w:rsidRDefault="00302C02">
    <w:pPr>
      <w:pStyle w:val="Header"/>
      <w:spacing w:before="0" w:after="0" w:line="240" w:lineRule="auto"/>
      <w:ind w:right="357"/>
      <w:rPr>
        <w:snapToGrid w:val="0"/>
        <w:sz w:val="28"/>
      </w:rPr>
    </w:pPr>
  </w:p>
  <w:p w14:paraId="54BAE3B1" w14:textId="77777777" w:rsidR="00302C02" w:rsidRDefault="00302C02">
    <w:pPr>
      <w:pStyle w:val="Header"/>
      <w:spacing w:before="0" w:after="0" w:line="240" w:lineRule="auto"/>
      <w:ind w:right="357"/>
      <w:rPr>
        <w:sz w:val="28"/>
      </w:rPr>
    </w:pPr>
  </w:p>
  <w:p w14:paraId="20BDE89A" w14:textId="77777777" w:rsidR="00302C02" w:rsidRDefault="00302C02">
    <w:pPr>
      <w:pStyle w:val="Header"/>
      <w:spacing w:before="0" w:after="0" w:line="240" w:lineRule="auto"/>
      <w:ind w:right="357"/>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2528DD90"/>
    <w:lvl w:ilvl="0">
      <w:start w:val="1"/>
      <w:numFmt w:val="decimal"/>
      <w:pStyle w:val="Heading1"/>
      <w:lvlText w:val="%1"/>
      <w:lvlJc w:val="left"/>
      <w:pPr>
        <w:tabs>
          <w:tab w:val="num" w:pos="709"/>
        </w:tabs>
        <w:ind w:left="709" w:hanging="709"/>
      </w:pPr>
      <w:rPr>
        <w:rFonts w:ascii="Arial" w:hAnsi="Arial" w:hint="default"/>
        <w:b w:val="0"/>
        <w:i w:val="0"/>
        <w:sz w:val="24"/>
      </w:rPr>
    </w:lvl>
    <w:lvl w:ilvl="1">
      <w:start w:val="1"/>
      <w:numFmt w:val="decimal"/>
      <w:pStyle w:val="Heading2"/>
      <w:lvlText w:val="%1.%2"/>
      <w:lvlJc w:val="left"/>
      <w:pPr>
        <w:tabs>
          <w:tab w:val="num" w:pos="1418"/>
        </w:tabs>
        <w:ind w:left="1418" w:hanging="709"/>
      </w:pPr>
      <w:rPr>
        <w:rFonts w:ascii="Arial" w:hAnsi="Arial" w:hint="default"/>
        <w:b w:val="0"/>
        <w:i w:val="0"/>
        <w:sz w:val="24"/>
      </w:rPr>
    </w:lvl>
    <w:lvl w:ilvl="2">
      <w:start w:val="1"/>
      <w:numFmt w:val="decimal"/>
      <w:pStyle w:val="Heading3"/>
      <w:lvlText w:val="%1.%2.%3"/>
      <w:lvlJc w:val="left"/>
      <w:pPr>
        <w:tabs>
          <w:tab w:val="num" w:pos="2127"/>
        </w:tabs>
        <w:ind w:left="2127" w:hanging="709"/>
      </w:pPr>
      <w:rPr>
        <w:rFonts w:ascii="Arial" w:hAnsi="Arial" w:hint="default"/>
        <w:b w:val="0"/>
        <w:i w:val="0"/>
        <w:sz w:val="24"/>
      </w:rPr>
    </w:lvl>
    <w:lvl w:ilvl="3">
      <w:start w:val="1"/>
      <w:numFmt w:val="lowerLetter"/>
      <w:pStyle w:val="Heading4"/>
      <w:lvlText w:val="(%4)"/>
      <w:lvlJc w:val="left"/>
      <w:pPr>
        <w:tabs>
          <w:tab w:val="num" w:pos="2835"/>
        </w:tabs>
        <w:ind w:left="2835" w:hanging="709"/>
      </w:pPr>
      <w:rPr>
        <w:rFonts w:ascii="Arial" w:hAnsi="Arial" w:hint="default"/>
        <w:b w:val="0"/>
        <w:i w:val="0"/>
        <w:sz w:val="24"/>
      </w:rPr>
    </w:lvl>
    <w:lvl w:ilvl="4">
      <w:start w:val="1"/>
      <w:numFmt w:val="lowerRoman"/>
      <w:pStyle w:val="Heading5"/>
      <w:lvlText w:val="(%5)"/>
      <w:lvlJc w:val="left"/>
      <w:pPr>
        <w:tabs>
          <w:tab w:val="num" w:pos="3544"/>
        </w:tabs>
        <w:ind w:left="3544" w:hanging="709"/>
      </w:pPr>
      <w:rPr>
        <w:rFonts w:ascii="Arial" w:hAnsi="Arial" w:hint="default"/>
        <w:b w:val="0"/>
        <w:i w:val="0"/>
        <w:sz w:val="24"/>
      </w:rPr>
    </w:lvl>
    <w:lvl w:ilvl="5">
      <w:start w:val="1"/>
      <w:numFmt w:val="lowerLetter"/>
      <w:pStyle w:val="Heading6"/>
      <w:lvlText w:val="(a%6)"/>
      <w:lvlJc w:val="left"/>
      <w:pPr>
        <w:tabs>
          <w:tab w:val="num" w:pos="4254"/>
        </w:tabs>
        <w:ind w:left="4254" w:hanging="709"/>
      </w:pPr>
      <w:rPr>
        <w:rFonts w:ascii="Arial" w:hAnsi="Arial" w:hint="default"/>
        <w:b w:val="0"/>
        <w:i w:val="0"/>
        <w:sz w:val="24"/>
      </w:rPr>
    </w:lvl>
    <w:lvl w:ilvl="6">
      <w:start w:val="1"/>
      <w:numFmt w:val="lowerLetter"/>
      <w:pStyle w:val="Heading7"/>
      <w:lvlText w:val="(b%7)"/>
      <w:lvlJc w:val="left"/>
      <w:pPr>
        <w:tabs>
          <w:tab w:val="num" w:pos="0"/>
        </w:tabs>
        <w:ind w:left="4963" w:hanging="709"/>
      </w:pPr>
      <w:rPr>
        <w:rFonts w:hint="default"/>
      </w:rPr>
    </w:lvl>
    <w:lvl w:ilvl="7">
      <w:start w:val="1"/>
      <w:numFmt w:val="lowerLetter"/>
      <w:pStyle w:val="Heading8"/>
      <w:lvlText w:val="(c%8)"/>
      <w:lvlJc w:val="left"/>
      <w:pPr>
        <w:tabs>
          <w:tab w:val="num" w:pos="0"/>
        </w:tabs>
        <w:ind w:left="5672" w:hanging="709"/>
      </w:pPr>
      <w:rPr>
        <w:rFonts w:hint="default"/>
      </w:rPr>
    </w:lvl>
    <w:lvl w:ilvl="8">
      <w:start w:val="1"/>
      <w:numFmt w:val="decimal"/>
      <w:pStyle w:val="Heading9"/>
      <w:lvlText w:val="(c%8)%9."/>
      <w:lvlJc w:val="left"/>
      <w:pPr>
        <w:tabs>
          <w:tab w:val="num" w:pos="0"/>
        </w:tabs>
        <w:ind w:left="6392" w:hanging="720"/>
      </w:pPr>
      <w:rPr>
        <w:rFonts w:hint="default"/>
      </w:rPr>
    </w:lvl>
  </w:abstractNum>
  <w:abstractNum w:abstractNumId="1" w15:restartNumberingAfterBreak="0">
    <w:nsid w:val="029C53F1"/>
    <w:multiLevelType w:val="multilevel"/>
    <w:tmpl w:val="4646710E"/>
    <w:lvl w:ilvl="0">
      <w:start w:val="1"/>
      <w:numFmt w:val="decimal"/>
      <w:lvlText w:val="%1."/>
      <w:lvlJc w:val="left"/>
      <w:pPr>
        <w:tabs>
          <w:tab w:val="num" w:pos="1021"/>
        </w:tabs>
        <w:ind w:left="1021" w:hanging="1021"/>
      </w:pPr>
      <w:rPr>
        <w:rFonts w:ascii="Arial" w:hAnsi="Arial" w:hint="default"/>
        <w:b w:val="0"/>
      </w:rPr>
    </w:lvl>
    <w:lvl w:ilvl="1">
      <w:start w:val="1"/>
      <w:numFmt w:val="decimal"/>
      <w:lvlText w:val="%1.%2."/>
      <w:lvlJc w:val="left"/>
      <w:pPr>
        <w:tabs>
          <w:tab w:val="num" w:pos="1928"/>
        </w:tabs>
        <w:ind w:left="1928" w:hanging="907"/>
      </w:pPr>
      <w:rPr>
        <w:rFonts w:ascii="Arial" w:hAnsi="Arial" w:hint="default"/>
        <w:i w:val="0"/>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EE3BC2"/>
    <w:multiLevelType w:val="hybridMultilevel"/>
    <w:tmpl w:val="8674A9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610FB4"/>
    <w:multiLevelType w:val="hybridMultilevel"/>
    <w:tmpl w:val="1BF8554C"/>
    <w:lvl w:ilvl="0" w:tplc="CBDC4B5A">
      <w:start w:val="1"/>
      <w:numFmt w:val="decimal"/>
      <w:lvlText w:val="%1"/>
      <w:lvlJc w:val="left"/>
      <w:pPr>
        <w:tabs>
          <w:tab w:val="num" w:pos="3556"/>
        </w:tabs>
        <w:ind w:left="3556" w:hanging="720"/>
      </w:pPr>
      <w:rPr>
        <w:rFonts w:hint="default"/>
      </w:rPr>
    </w:lvl>
    <w:lvl w:ilvl="1" w:tplc="04090019" w:tentative="1">
      <w:start w:val="1"/>
      <w:numFmt w:val="lowerLetter"/>
      <w:lvlText w:val="%2."/>
      <w:lvlJc w:val="left"/>
      <w:pPr>
        <w:tabs>
          <w:tab w:val="num" w:pos="3916"/>
        </w:tabs>
        <w:ind w:left="3916" w:hanging="360"/>
      </w:p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4"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5" w15:restartNumberingAfterBreak="0">
    <w:nsid w:val="64A61304"/>
    <w:multiLevelType w:val="multilevel"/>
    <w:tmpl w:val="9D2ADB9E"/>
    <w:lvl w:ilvl="0">
      <w:start w:val="1"/>
      <w:numFmt w:val="decimal"/>
      <w:pStyle w:val="WLGLevel1"/>
      <w:lvlText w:val="%1"/>
      <w:lvlJc w:val="left"/>
      <w:pPr>
        <w:tabs>
          <w:tab w:val="num" w:pos="1134"/>
        </w:tabs>
        <w:ind w:left="1134" w:hanging="567"/>
      </w:pPr>
      <w:rPr>
        <w:rFonts w:hint="default"/>
        <w:i w:val="0"/>
        <w:iCs w:val="0"/>
      </w:rPr>
    </w:lvl>
    <w:lvl w:ilvl="1">
      <w:start w:val="1"/>
      <w:numFmt w:val="decimal"/>
      <w:pStyle w:val="WLGLevel2"/>
      <w:lvlText w:val="%1.%2"/>
      <w:lvlJc w:val="left"/>
      <w:pPr>
        <w:tabs>
          <w:tab w:val="num" w:pos="1928"/>
        </w:tabs>
        <w:ind w:left="1928" w:hanging="794"/>
      </w:pPr>
      <w:rPr>
        <w:rFonts w:hint="default"/>
        <w:b w:val="0"/>
        <w:i w:val="0"/>
        <w:iCs w:val="0"/>
      </w:rPr>
    </w:lvl>
    <w:lvl w:ilvl="2">
      <w:start w:val="1"/>
      <w:numFmt w:val="decimal"/>
      <w:pStyle w:val="WLGLevel3"/>
      <w:lvlText w:val="%1.%2.%3"/>
      <w:lvlJc w:val="left"/>
      <w:pPr>
        <w:tabs>
          <w:tab w:val="num" w:pos="2948"/>
        </w:tabs>
        <w:ind w:left="2948" w:hanging="1020"/>
      </w:pPr>
      <w:rPr>
        <w:rFonts w:hint="default"/>
      </w:rPr>
    </w:lvl>
    <w:lvl w:ilvl="3">
      <w:start w:val="1"/>
      <w:numFmt w:val="decimal"/>
      <w:pStyle w:val="WLGLevel4"/>
      <w:lvlText w:val="%1.%2.%3.%4"/>
      <w:lvlJc w:val="left"/>
      <w:pPr>
        <w:tabs>
          <w:tab w:val="num" w:pos="4139"/>
        </w:tabs>
        <w:ind w:left="4139" w:hanging="1191"/>
      </w:pPr>
      <w:rPr>
        <w:rFonts w:hint="default"/>
      </w:rPr>
    </w:lvl>
    <w:lvl w:ilvl="4">
      <w:start w:val="1"/>
      <w:numFmt w:val="decimal"/>
      <w:pStyle w:val="WLGLevel5"/>
      <w:lvlText w:val="%1.%2.%3.%4.%5"/>
      <w:lvlJc w:val="left"/>
      <w:pPr>
        <w:tabs>
          <w:tab w:val="num" w:pos="5500"/>
        </w:tabs>
        <w:ind w:left="5500" w:hanging="1361"/>
      </w:pPr>
      <w:rPr>
        <w:rFonts w:hint="default"/>
      </w:rPr>
    </w:lvl>
    <w:lvl w:ilvl="5">
      <w:start w:val="1"/>
      <w:numFmt w:val="decimal"/>
      <w:lvlText w:val="%1.%2.%3.%4.%5.%6"/>
      <w:lvlJc w:val="left"/>
      <w:pPr>
        <w:tabs>
          <w:tab w:val="num" w:pos="4196"/>
        </w:tabs>
        <w:ind w:left="4196" w:hanging="3062"/>
      </w:pPr>
      <w:rPr>
        <w:rFonts w:hint="default"/>
      </w:rPr>
    </w:lvl>
    <w:lvl w:ilvl="6">
      <w:start w:val="1"/>
      <w:numFmt w:val="decimal"/>
      <w:lvlText w:val="%1.%2.%3.%4.%5.%6.%7"/>
      <w:lvlJc w:val="left"/>
      <w:pPr>
        <w:tabs>
          <w:tab w:val="num" w:pos="4706"/>
        </w:tabs>
        <w:ind w:left="4706" w:hanging="3572"/>
      </w:pPr>
      <w:rPr>
        <w:rFonts w:hint="default"/>
      </w:rPr>
    </w:lvl>
    <w:lvl w:ilvl="7">
      <w:start w:val="1"/>
      <w:numFmt w:val="decimal"/>
      <w:lvlText w:val="%1.%2.%3.%4.%5.%6.%7.%8"/>
      <w:lvlJc w:val="left"/>
      <w:pPr>
        <w:tabs>
          <w:tab w:val="num" w:pos="5216"/>
        </w:tabs>
        <w:ind w:left="5216" w:hanging="4082"/>
      </w:pPr>
      <w:rPr>
        <w:rFonts w:hint="default"/>
      </w:rPr>
    </w:lvl>
    <w:lvl w:ilvl="8">
      <w:start w:val="1"/>
      <w:numFmt w:val="decimal"/>
      <w:lvlText w:val="%1.%2.%3.%4.%5.%6.%7.%8.%9"/>
      <w:lvlJc w:val="left"/>
      <w:pPr>
        <w:tabs>
          <w:tab w:val="num" w:pos="5727"/>
        </w:tabs>
        <w:ind w:left="5727" w:hanging="4593"/>
      </w:pPr>
      <w:rPr>
        <w:rFonts w:hint="default"/>
      </w:rPr>
    </w:lvl>
  </w:abstractNum>
  <w:abstractNum w:abstractNumId="6" w15:restartNumberingAfterBreak="0">
    <w:nsid w:val="699B36F6"/>
    <w:multiLevelType w:val="multilevel"/>
    <w:tmpl w:val="1C09001F"/>
    <w:lvl w:ilvl="0">
      <w:start w:val="1"/>
      <w:numFmt w:val="decimal"/>
      <w:lvlText w:val="%1."/>
      <w:lvlJc w:val="left"/>
      <w:pPr>
        <w:ind w:left="360" w:hanging="360"/>
      </w:pPr>
    </w:lvl>
    <w:lvl w:ilvl="1">
      <w:start w:val="1"/>
      <w:numFmt w:val="decimal"/>
      <w:pStyle w:val="diffus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FE4817"/>
    <w:multiLevelType w:val="multilevel"/>
    <w:tmpl w:val="A4587430"/>
    <w:lvl w:ilvl="0">
      <w:start w:val="1"/>
      <w:numFmt w:val="decimal"/>
      <w:pStyle w:val="LitStyleMain"/>
      <w:isLgl/>
      <w:lvlText w:val="%1."/>
      <w:lvlJc w:val="left"/>
      <w:pPr>
        <w:tabs>
          <w:tab w:val="num" w:pos="720"/>
        </w:tabs>
        <w:ind w:left="720" w:hanging="720"/>
      </w:pPr>
      <w:rPr>
        <w:rFonts w:ascii="Arial" w:hAnsi="Arial" w:cs="Times New Roman" w:hint="default"/>
        <w:b w:val="0"/>
        <w:i w:val="0"/>
        <w:sz w:val="22"/>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8" w15:restartNumberingAfterBreak="0">
    <w:nsid w:val="6D1F0DEF"/>
    <w:multiLevelType w:val="hybridMultilevel"/>
    <w:tmpl w:val="3C666120"/>
    <w:lvl w:ilvl="0" w:tplc="77C06D06">
      <w:start w:val="1"/>
      <w:numFmt w:val="decimal"/>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50007315">
    <w:abstractNumId w:val="0"/>
  </w:num>
  <w:num w:numId="2" w16cid:durableId="260527994">
    <w:abstractNumId w:val="0"/>
  </w:num>
  <w:num w:numId="3" w16cid:durableId="1747845155">
    <w:abstractNumId w:val="0"/>
  </w:num>
  <w:num w:numId="4" w16cid:durableId="1878397522">
    <w:abstractNumId w:val="4"/>
  </w:num>
  <w:num w:numId="5" w16cid:durableId="715931007">
    <w:abstractNumId w:val="3"/>
  </w:num>
  <w:num w:numId="6" w16cid:durableId="1824734547">
    <w:abstractNumId w:val="0"/>
  </w:num>
  <w:num w:numId="7" w16cid:durableId="1850833215">
    <w:abstractNumId w:val="2"/>
  </w:num>
  <w:num w:numId="8" w16cid:durableId="296881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388395">
    <w:abstractNumId w:val="6"/>
  </w:num>
  <w:num w:numId="10" w16cid:durableId="1735423164">
    <w:abstractNumId w:val="0"/>
  </w:num>
  <w:num w:numId="11" w16cid:durableId="1005474459">
    <w:abstractNumId w:val="0"/>
  </w:num>
  <w:num w:numId="12" w16cid:durableId="1517186258">
    <w:abstractNumId w:val="0"/>
  </w:num>
  <w:num w:numId="13" w16cid:durableId="373425728">
    <w:abstractNumId w:val="0"/>
  </w:num>
  <w:num w:numId="14" w16cid:durableId="935015235">
    <w:abstractNumId w:val="0"/>
  </w:num>
  <w:num w:numId="15" w16cid:durableId="2134709757">
    <w:abstractNumId w:val="0"/>
  </w:num>
  <w:num w:numId="16" w16cid:durableId="1931698350">
    <w:abstractNumId w:val="1"/>
  </w:num>
  <w:num w:numId="17" w16cid:durableId="2140757992">
    <w:abstractNumId w:val="0"/>
  </w:num>
  <w:num w:numId="18" w16cid:durableId="448548787">
    <w:abstractNumId w:val="0"/>
  </w:num>
  <w:num w:numId="19" w16cid:durableId="1235356708">
    <w:abstractNumId w:val="0"/>
  </w:num>
  <w:num w:numId="20" w16cid:durableId="30736514">
    <w:abstractNumId w:val="0"/>
  </w:num>
  <w:num w:numId="21" w16cid:durableId="1828593228">
    <w:abstractNumId w:val="0"/>
  </w:num>
  <w:num w:numId="22" w16cid:durableId="1241259660">
    <w:abstractNumId w:val="8"/>
  </w:num>
  <w:num w:numId="23" w16cid:durableId="481192572">
    <w:abstractNumId w:val="0"/>
  </w:num>
  <w:num w:numId="24" w16cid:durableId="1618297552">
    <w:abstractNumId w:val="0"/>
  </w:num>
  <w:num w:numId="25" w16cid:durableId="584653362">
    <w:abstractNumId w:val="5"/>
  </w:num>
  <w:num w:numId="26" w16cid:durableId="1178080754">
    <w:abstractNumId w:val="7"/>
  </w:num>
  <w:num w:numId="27" w16cid:durableId="1084380228">
    <w:abstractNumId w:val="0"/>
  </w:num>
  <w:num w:numId="28" w16cid:durableId="194774178">
    <w:abstractNumId w:val="0"/>
  </w:num>
  <w:num w:numId="29" w16cid:durableId="385833524">
    <w:abstractNumId w:val="0"/>
  </w:num>
  <w:num w:numId="30" w16cid:durableId="150100475">
    <w:abstractNumId w:val="0"/>
  </w:num>
  <w:num w:numId="31" w16cid:durableId="1723168230">
    <w:abstractNumId w:val="0"/>
  </w:num>
  <w:num w:numId="32" w16cid:durableId="1761561094">
    <w:abstractNumId w:val="0"/>
  </w:num>
  <w:num w:numId="33" w16cid:durableId="705912720">
    <w:abstractNumId w:val="0"/>
  </w:num>
  <w:num w:numId="34" w16cid:durableId="374932457">
    <w:abstractNumId w:val="0"/>
  </w:num>
  <w:num w:numId="35" w16cid:durableId="1085029333">
    <w:abstractNumId w:val="0"/>
  </w:num>
  <w:num w:numId="36" w16cid:durableId="1174300674">
    <w:abstractNumId w:val="0"/>
  </w:num>
  <w:num w:numId="37" w16cid:durableId="1524787638">
    <w:abstractNumId w:val="0"/>
  </w:num>
  <w:num w:numId="38" w16cid:durableId="657729844">
    <w:abstractNumId w:val="0"/>
  </w:num>
  <w:num w:numId="39" w16cid:durableId="162827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E1"/>
    <w:rsid w:val="00003DDB"/>
    <w:rsid w:val="00007139"/>
    <w:rsid w:val="000301A3"/>
    <w:rsid w:val="000430E3"/>
    <w:rsid w:val="000546CD"/>
    <w:rsid w:val="00062A88"/>
    <w:rsid w:val="00080E40"/>
    <w:rsid w:val="00096D4F"/>
    <w:rsid w:val="00097778"/>
    <w:rsid w:val="000A73EE"/>
    <w:rsid w:val="000B166B"/>
    <w:rsid w:val="000B43D6"/>
    <w:rsid w:val="000B71A4"/>
    <w:rsid w:val="000C0BEC"/>
    <w:rsid w:val="000C1417"/>
    <w:rsid w:val="000C2819"/>
    <w:rsid w:val="000C35C0"/>
    <w:rsid w:val="000C6983"/>
    <w:rsid w:val="000D5143"/>
    <w:rsid w:val="000D68AA"/>
    <w:rsid w:val="000E000D"/>
    <w:rsid w:val="000E1C0B"/>
    <w:rsid w:val="000E6E7C"/>
    <w:rsid w:val="000F0EB9"/>
    <w:rsid w:val="00102F67"/>
    <w:rsid w:val="001059BA"/>
    <w:rsid w:val="001111CF"/>
    <w:rsid w:val="00116350"/>
    <w:rsid w:val="001300EE"/>
    <w:rsid w:val="00133AD8"/>
    <w:rsid w:val="00143432"/>
    <w:rsid w:val="00145FB6"/>
    <w:rsid w:val="00147BE6"/>
    <w:rsid w:val="00173501"/>
    <w:rsid w:val="00174822"/>
    <w:rsid w:val="00182CBA"/>
    <w:rsid w:val="001861BF"/>
    <w:rsid w:val="00187180"/>
    <w:rsid w:val="00190DB3"/>
    <w:rsid w:val="001928FE"/>
    <w:rsid w:val="001941ED"/>
    <w:rsid w:val="0019624D"/>
    <w:rsid w:val="001973EA"/>
    <w:rsid w:val="001A1F63"/>
    <w:rsid w:val="001A5C18"/>
    <w:rsid w:val="001C0EAA"/>
    <w:rsid w:val="001C2299"/>
    <w:rsid w:val="001C25D7"/>
    <w:rsid w:val="001D7EA0"/>
    <w:rsid w:val="001E2AF7"/>
    <w:rsid w:val="001F5269"/>
    <w:rsid w:val="001F56DC"/>
    <w:rsid w:val="00201720"/>
    <w:rsid w:val="00203FC8"/>
    <w:rsid w:val="00205994"/>
    <w:rsid w:val="00212890"/>
    <w:rsid w:val="00236192"/>
    <w:rsid w:val="00246E30"/>
    <w:rsid w:val="00271462"/>
    <w:rsid w:val="00273392"/>
    <w:rsid w:val="00292292"/>
    <w:rsid w:val="00293919"/>
    <w:rsid w:val="002A0AB7"/>
    <w:rsid w:val="002C185A"/>
    <w:rsid w:val="002D0CC2"/>
    <w:rsid w:val="002E2311"/>
    <w:rsid w:val="002E56CA"/>
    <w:rsid w:val="002F3AAB"/>
    <w:rsid w:val="002F488E"/>
    <w:rsid w:val="00302C02"/>
    <w:rsid w:val="00304313"/>
    <w:rsid w:val="00314F18"/>
    <w:rsid w:val="003426D8"/>
    <w:rsid w:val="003427E8"/>
    <w:rsid w:val="00360964"/>
    <w:rsid w:val="003741AC"/>
    <w:rsid w:val="00374D2F"/>
    <w:rsid w:val="003770FF"/>
    <w:rsid w:val="00395522"/>
    <w:rsid w:val="003A41D1"/>
    <w:rsid w:val="003A69FC"/>
    <w:rsid w:val="003D3F02"/>
    <w:rsid w:val="003D3FBA"/>
    <w:rsid w:val="003F66F6"/>
    <w:rsid w:val="003F7041"/>
    <w:rsid w:val="004074CC"/>
    <w:rsid w:val="004109DC"/>
    <w:rsid w:val="00415708"/>
    <w:rsid w:val="00420AB6"/>
    <w:rsid w:val="00423855"/>
    <w:rsid w:val="00423938"/>
    <w:rsid w:val="0044060C"/>
    <w:rsid w:val="004475AF"/>
    <w:rsid w:val="004534D5"/>
    <w:rsid w:val="00462D9C"/>
    <w:rsid w:val="00476A40"/>
    <w:rsid w:val="004813B9"/>
    <w:rsid w:val="00483DC8"/>
    <w:rsid w:val="004865D1"/>
    <w:rsid w:val="00487DBF"/>
    <w:rsid w:val="00497B0E"/>
    <w:rsid w:val="004A5672"/>
    <w:rsid w:val="004A65CF"/>
    <w:rsid w:val="004B1DF7"/>
    <w:rsid w:val="004B537D"/>
    <w:rsid w:val="004C0865"/>
    <w:rsid w:val="004C22BA"/>
    <w:rsid w:val="004C4FE1"/>
    <w:rsid w:val="004C76B8"/>
    <w:rsid w:val="004D27E2"/>
    <w:rsid w:val="004E2F73"/>
    <w:rsid w:val="004F2F50"/>
    <w:rsid w:val="0050770A"/>
    <w:rsid w:val="00512F82"/>
    <w:rsid w:val="00515597"/>
    <w:rsid w:val="00515F42"/>
    <w:rsid w:val="00516827"/>
    <w:rsid w:val="005217E5"/>
    <w:rsid w:val="00534DFC"/>
    <w:rsid w:val="00540CE2"/>
    <w:rsid w:val="00547DC9"/>
    <w:rsid w:val="00552DF4"/>
    <w:rsid w:val="0055636B"/>
    <w:rsid w:val="005630FD"/>
    <w:rsid w:val="00576D37"/>
    <w:rsid w:val="00577AE1"/>
    <w:rsid w:val="005816A4"/>
    <w:rsid w:val="005908CE"/>
    <w:rsid w:val="0059698E"/>
    <w:rsid w:val="00597D70"/>
    <w:rsid w:val="005A5705"/>
    <w:rsid w:val="005B793C"/>
    <w:rsid w:val="005C40FD"/>
    <w:rsid w:val="005C4A48"/>
    <w:rsid w:val="005D1388"/>
    <w:rsid w:val="005D2920"/>
    <w:rsid w:val="005F1E41"/>
    <w:rsid w:val="005F503D"/>
    <w:rsid w:val="0060086D"/>
    <w:rsid w:val="0060294E"/>
    <w:rsid w:val="00614103"/>
    <w:rsid w:val="00623C04"/>
    <w:rsid w:val="00624571"/>
    <w:rsid w:val="00634BE1"/>
    <w:rsid w:val="0066039B"/>
    <w:rsid w:val="00660CD5"/>
    <w:rsid w:val="00661AC1"/>
    <w:rsid w:val="00675B23"/>
    <w:rsid w:val="0067786B"/>
    <w:rsid w:val="00680080"/>
    <w:rsid w:val="00680E1C"/>
    <w:rsid w:val="006876E0"/>
    <w:rsid w:val="0069741A"/>
    <w:rsid w:val="006A11A3"/>
    <w:rsid w:val="006B0DEC"/>
    <w:rsid w:val="006B1784"/>
    <w:rsid w:val="006C3DC7"/>
    <w:rsid w:val="006D6AD0"/>
    <w:rsid w:val="006E1903"/>
    <w:rsid w:val="006E39A5"/>
    <w:rsid w:val="006E4930"/>
    <w:rsid w:val="006E5D08"/>
    <w:rsid w:val="00705234"/>
    <w:rsid w:val="007226EB"/>
    <w:rsid w:val="0073244E"/>
    <w:rsid w:val="00733453"/>
    <w:rsid w:val="00735B11"/>
    <w:rsid w:val="0073726E"/>
    <w:rsid w:val="00737C3B"/>
    <w:rsid w:val="00744ACB"/>
    <w:rsid w:val="00744D8F"/>
    <w:rsid w:val="0075491F"/>
    <w:rsid w:val="00760498"/>
    <w:rsid w:val="007654A0"/>
    <w:rsid w:val="007805DA"/>
    <w:rsid w:val="00784781"/>
    <w:rsid w:val="0079348E"/>
    <w:rsid w:val="00793B8B"/>
    <w:rsid w:val="007957E6"/>
    <w:rsid w:val="007A454B"/>
    <w:rsid w:val="007C1B14"/>
    <w:rsid w:val="007C220F"/>
    <w:rsid w:val="007C5633"/>
    <w:rsid w:val="007E075E"/>
    <w:rsid w:val="007E5294"/>
    <w:rsid w:val="007F4F7B"/>
    <w:rsid w:val="007F6317"/>
    <w:rsid w:val="008037CA"/>
    <w:rsid w:val="00812530"/>
    <w:rsid w:val="0081738E"/>
    <w:rsid w:val="00820449"/>
    <w:rsid w:val="0082270D"/>
    <w:rsid w:val="00827C6E"/>
    <w:rsid w:val="00830D02"/>
    <w:rsid w:val="00842F2B"/>
    <w:rsid w:val="00871CB5"/>
    <w:rsid w:val="00880DB3"/>
    <w:rsid w:val="0089009B"/>
    <w:rsid w:val="00894F85"/>
    <w:rsid w:val="00895CF2"/>
    <w:rsid w:val="00896CFF"/>
    <w:rsid w:val="00897229"/>
    <w:rsid w:val="008A0EB3"/>
    <w:rsid w:val="008A225F"/>
    <w:rsid w:val="008A44BD"/>
    <w:rsid w:val="008B0941"/>
    <w:rsid w:val="008B1C82"/>
    <w:rsid w:val="008B5A24"/>
    <w:rsid w:val="008C0633"/>
    <w:rsid w:val="008C1975"/>
    <w:rsid w:val="008E0405"/>
    <w:rsid w:val="008E59FF"/>
    <w:rsid w:val="008F62B3"/>
    <w:rsid w:val="00901000"/>
    <w:rsid w:val="00910B33"/>
    <w:rsid w:val="00911AE9"/>
    <w:rsid w:val="00916227"/>
    <w:rsid w:val="00917C11"/>
    <w:rsid w:val="009268A1"/>
    <w:rsid w:val="009304D7"/>
    <w:rsid w:val="009322FF"/>
    <w:rsid w:val="00937CF0"/>
    <w:rsid w:val="0094143C"/>
    <w:rsid w:val="0094281A"/>
    <w:rsid w:val="00942B44"/>
    <w:rsid w:val="009437B6"/>
    <w:rsid w:val="00943D1E"/>
    <w:rsid w:val="00944630"/>
    <w:rsid w:val="00947C36"/>
    <w:rsid w:val="009545D9"/>
    <w:rsid w:val="00962BF1"/>
    <w:rsid w:val="009742F4"/>
    <w:rsid w:val="00987A83"/>
    <w:rsid w:val="009905F3"/>
    <w:rsid w:val="00991167"/>
    <w:rsid w:val="00996236"/>
    <w:rsid w:val="009A4D84"/>
    <w:rsid w:val="009B4220"/>
    <w:rsid w:val="009E544E"/>
    <w:rsid w:val="009F25CB"/>
    <w:rsid w:val="009F3A55"/>
    <w:rsid w:val="009F5AC6"/>
    <w:rsid w:val="00A10E3E"/>
    <w:rsid w:val="00A31308"/>
    <w:rsid w:val="00A32682"/>
    <w:rsid w:val="00A3621B"/>
    <w:rsid w:val="00A37EE9"/>
    <w:rsid w:val="00A4604B"/>
    <w:rsid w:val="00A506A0"/>
    <w:rsid w:val="00A56901"/>
    <w:rsid w:val="00A570AF"/>
    <w:rsid w:val="00A57DE9"/>
    <w:rsid w:val="00A6509B"/>
    <w:rsid w:val="00A66AD4"/>
    <w:rsid w:val="00A722BD"/>
    <w:rsid w:val="00A74173"/>
    <w:rsid w:val="00A772A6"/>
    <w:rsid w:val="00A772DE"/>
    <w:rsid w:val="00A863C3"/>
    <w:rsid w:val="00A94F14"/>
    <w:rsid w:val="00A95AF7"/>
    <w:rsid w:val="00AC32DF"/>
    <w:rsid w:val="00AC65D9"/>
    <w:rsid w:val="00AE0B9F"/>
    <w:rsid w:val="00AE1CBB"/>
    <w:rsid w:val="00AF4D7B"/>
    <w:rsid w:val="00AF6041"/>
    <w:rsid w:val="00B21A1A"/>
    <w:rsid w:val="00B25C5F"/>
    <w:rsid w:val="00B35DEB"/>
    <w:rsid w:val="00B373B9"/>
    <w:rsid w:val="00B45C99"/>
    <w:rsid w:val="00B51FEF"/>
    <w:rsid w:val="00B52670"/>
    <w:rsid w:val="00B55C89"/>
    <w:rsid w:val="00B56017"/>
    <w:rsid w:val="00B61B43"/>
    <w:rsid w:val="00B7218D"/>
    <w:rsid w:val="00B73B78"/>
    <w:rsid w:val="00B77DA1"/>
    <w:rsid w:val="00B81014"/>
    <w:rsid w:val="00B90732"/>
    <w:rsid w:val="00B95B9A"/>
    <w:rsid w:val="00BC4077"/>
    <w:rsid w:val="00BD5AE0"/>
    <w:rsid w:val="00BE59ED"/>
    <w:rsid w:val="00BE758F"/>
    <w:rsid w:val="00BF5DD7"/>
    <w:rsid w:val="00BF7161"/>
    <w:rsid w:val="00C02126"/>
    <w:rsid w:val="00C02270"/>
    <w:rsid w:val="00C126CC"/>
    <w:rsid w:val="00C37730"/>
    <w:rsid w:val="00C43AF4"/>
    <w:rsid w:val="00C67598"/>
    <w:rsid w:val="00C67DFD"/>
    <w:rsid w:val="00C722F2"/>
    <w:rsid w:val="00C84301"/>
    <w:rsid w:val="00C84D9E"/>
    <w:rsid w:val="00CA04D8"/>
    <w:rsid w:val="00CA3BED"/>
    <w:rsid w:val="00CB2E55"/>
    <w:rsid w:val="00CB30BE"/>
    <w:rsid w:val="00CB3954"/>
    <w:rsid w:val="00CD5B79"/>
    <w:rsid w:val="00CE1BB6"/>
    <w:rsid w:val="00CE2F62"/>
    <w:rsid w:val="00CE4402"/>
    <w:rsid w:val="00CE5299"/>
    <w:rsid w:val="00CF5E2C"/>
    <w:rsid w:val="00CF7B0F"/>
    <w:rsid w:val="00D03EF3"/>
    <w:rsid w:val="00D078BB"/>
    <w:rsid w:val="00D1756B"/>
    <w:rsid w:val="00D2278D"/>
    <w:rsid w:val="00D24B6C"/>
    <w:rsid w:val="00D24F06"/>
    <w:rsid w:val="00D263F8"/>
    <w:rsid w:val="00D267F5"/>
    <w:rsid w:val="00D350BD"/>
    <w:rsid w:val="00D371C1"/>
    <w:rsid w:val="00D4075A"/>
    <w:rsid w:val="00D420B3"/>
    <w:rsid w:val="00D45BDA"/>
    <w:rsid w:val="00D46422"/>
    <w:rsid w:val="00D5192E"/>
    <w:rsid w:val="00D72721"/>
    <w:rsid w:val="00D72FD8"/>
    <w:rsid w:val="00D772E1"/>
    <w:rsid w:val="00D77318"/>
    <w:rsid w:val="00D8773D"/>
    <w:rsid w:val="00D9648E"/>
    <w:rsid w:val="00D9675A"/>
    <w:rsid w:val="00DC13A1"/>
    <w:rsid w:val="00DC29A6"/>
    <w:rsid w:val="00DD6A7C"/>
    <w:rsid w:val="00DE2996"/>
    <w:rsid w:val="00E000DB"/>
    <w:rsid w:val="00E16C3D"/>
    <w:rsid w:val="00E25698"/>
    <w:rsid w:val="00E26DEA"/>
    <w:rsid w:val="00E42ECF"/>
    <w:rsid w:val="00E46975"/>
    <w:rsid w:val="00E65EEE"/>
    <w:rsid w:val="00E74099"/>
    <w:rsid w:val="00E74DC3"/>
    <w:rsid w:val="00E7538B"/>
    <w:rsid w:val="00E760DA"/>
    <w:rsid w:val="00E77E57"/>
    <w:rsid w:val="00E81F18"/>
    <w:rsid w:val="00E94CE3"/>
    <w:rsid w:val="00EA53FB"/>
    <w:rsid w:val="00EA573E"/>
    <w:rsid w:val="00EB219B"/>
    <w:rsid w:val="00EC14FB"/>
    <w:rsid w:val="00EC515E"/>
    <w:rsid w:val="00ED2711"/>
    <w:rsid w:val="00ED52BA"/>
    <w:rsid w:val="00EE3B65"/>
    <w:rsid w:val="00EF196D"/>
    <w:rsid w:val="00F00BFD"/>
    <w:rsid w:val="00F20CCB"/>
    <w:rsid w:val="00F26CAD"/>
    <w:rsid w:val="00F279E3"/>
    <w:rsid w:val="00F4048D"/>
    <w:rsid w:val="00F436DE"/>
    <w:rsid w:val="00F454EF"/>
    <w:rsid w:val="00F55789"/>
    <w:rsid w:val="00F63581"/>
    <w:rsid w:val="00F6394E"/>
    <w:rsid w:val="00F736AC"/>
    <w:rsid w:val="00F74897"/>
    <w:rsid w:val="00F90228"/>
    <w:rsid w:val="00F92DEB"/>
    <w:rsid w:val="00F94361"/>
    <w:rsid w:val="00FB7488"/>
    <w:rsid w:val="00FD46AB"/>
    <w:rsid w:val="00FF35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47411"/>
  <w15:docId w15:val="{D7EA4102-1488-403D-9136-89924A57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after="240" w:line="480" w:lineRule="auto"/>
      <w:jc w:val="both"/>
    </w:pPr>
    <w:rPr>
      <w:rFonts w:ascii="Arial" w:hAnsi="Arial"/>
      <w:sz w:val="24"/>
      <w:lang w:eastAsia="en-US"/>
    </w:rPr>
  </w:style>
  <w:style w:type="paragraph" w:styleId="Heading1">
    <w:name w:val="heading 1"/>
    <w:basedOn w:val="Normal"/>
    <w:next w:val="Heading2"/>
    <w:link w:val="Heading1Char"/>
    <w:qFormat/>
    <w:pPr>
      <w:numPr>
        <w:numId w:val="3"/>
      </w:numPr>
      <w:outlineLvl w:val="0"/>
    </w:pPr>
    <w:rPr>
      <w:kern w:val="28"/>
    </w:rPr>
  </w:style>
  <w:style w:type="paragraph" w:styleId="Heading2">
    <w:name w:val="heading 2"/>
    <w:basedOn w:val="Normal"/>
    <w:link w:val="Heading2Char"/>
    <w:qFormat/>
    <w:pPr>
      <w:numPr>
        <w:ilvl w:val="1"/>
        <w:numId w:val="3"/>
      </w:numPr>
      <w:outlineLvl w:val="1"/>
    </w:pPr>
  </w:style>
  <w:style w:type="paragraph" w:styleId="Heading3">
    <w:name w:val="heading 3"/>
    <w:basedOn w:val="Normal"/>
    <w:link w:val="Heading3Char"/>
    <w:qFormat/>
    <w:pPr>
      <w:numPr>
        <w:ilvl w:val="2"/>
        <w:numId w:val="3"/>
      </w:numPr>
      <w:outlineLvl w:val="2"/>
    </w:pPr>
  </w:style>
  <w:style w:type="paragraph" w:styleId="Heading4">
    <w:name w:val="heading 4"/>
    <w:basedOn w:val="Normal"/>
    <w:qFormat/>
    <w:pPr>
      <w:numPr>
        <w:ilvl w:val="3"/>
        <w:numId w:val="3"/>
      </w:numPr>
      <w:outlineLvl w:val="3"/>
    </w:pPr>
  </w:style>
  <w:style w:type="paragraph" w:styleId="Heading5">
    <w:name w:val="heading 5"/>
    <w:basedOn w:val="Normal"/>
    <w:qFormat/>
    <w:pPr>
      <w:numPr>
        <w:ilvl w:val="4"/>
        <w:numId w:val="3"/>
      </w:numPr>
      <w:outlineLvl w:val="4"/>
    </w:pPr>
  </w:style>
  <w:style w:type="paragraph" w:styleId="Heading6">
    <w:name w:val="heading 6"/>
    <w:basedOn w:val="Normal"/>
    <w:qFormat/>
    <w:pPr>
      <w:numPr>
        <w:ilvl w:val="5"/>
        <w:numId w:val="3"/>
      </w:numPr>
      <w:spacing w:after="60"/>
      <w:outlineLvl w:val="5"/>
    </w:pPr>
    <w:rPr>
      <w:i/>
    </w:rPr>
  </w:style>
  <w:style w:type="paragraph" w:styleId="Heading7">
    <w:name w:val="heading 7"/>
    <w:basedOn w:val="Normal"/>
    <w:qFormat/>
    <w:pPr>
      <w:numPr>
        <w:ilvl w:val="6"/>
        <w:numId w:val="3"/>
      </w:numPr>
      <w:spacing w:after="60"/>
      <w:outlineLvl w:val="6"/>
    </w:pPr>
  </w:style>
  <w:style w:type="paragraph" w:styleId="Heading8">
    <w:name w:val="heading 8"/>
    <w:basedOn w:val="Normal"/>
    <w:qFormat/>
    <w:pPr>
      <w:numPr>
        <w:ilvl w:val="7"/>
        <w:numId w:val="3"/>
      </w:numPr>
      <w:spacing w:after="60"/>
      <w:outlineLvl w:val="7"/>
    </w:pPr>
    <w:rPr>
      <w:i/>
    </w:rPr>
  </w:style>
  <w:style w:type="paragraph" w:styleId="Heading9">
    <w:name w:val="heading 9"/>
    <w:basedOn w:val="Normal"/>
    <w:next w:val="Normal"/>
    <w:qFormat/>
    <w:pPr>
      <w:numPr>
        <w:ilvl w:val="8"/>
        <w:numId w:val="3"/>
      </w:numPr>
      <w:spacing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next w:val="Normal"/>
    <w:pPr>
      <w:jc w:val="center"/>
    </w:pPr>
    <w:rPr>
      <w:b/>
      <w:caps/>
      <w:u w:val="single"/>
    </w:rPr>
  </w:style>
  <w:style w:type="paragraph" w:customStyle="1" w:styleId="TramHead">
    <w:name w:val="Tram Head"/>
    <w:basedOn w:val="Normal"/>
    <w:pPr>
      <w:keepNext/>
      <w:pBdr>
        <w:top w:val="single" w:sz="6" w:space="18" w:color="auto"/>
        <w:bottom w:val="single" w:sz="6" w:space="18" w:color="auto"/>
      </w:pBdr>
      <w:spacing w:after="480" w:line="240" w:lineRule="auto"/>
      <w:jc w:val="center"/>
    </w:pPr>
    <w:rPr>
      <w:b/>
      <w:caps/>
      <w:kern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i/>
      <w:smallCaps/>
      <w:sz w:val="22"/>
    </w:rPr>
  </w:style>
  <w:style w:type="paragraph" w:customStyle="1" w:styleId="Normal1">
    <w:name w:val="Normal1"/>
    <w:basedOn w:val="Normal"/>
    <w:pPr>
      <w:spacing w:before="720"/>
      <w:jc w:val="left"/>
    </w:pPr>
  </w:style>
  <w:style w:type="paragraph" w:styleId="BodyTextIndent">
    <w:name w:val="Body Text Indent"/>
    <w:basedOn w:val="Normal"/>
    <w:pPr>
      <w:pBdr>
        <w:top w:val="single" w:sz="4" w:space="1" w:color="auto"/>
      </w:pBdr>
      <w:ind w:left="4254"/>
      <w:jc w:val="left"/>
    </w:pPr>
    <w:rPr>
      <w:b/>
    </w:rPr>
  </w:style>
  <w:style w:type="paragraph" w:customStyle="1" w:styleId="Style1">
    <w:name w:val="Style1"/>
    <w:basedOn w:val="Normal"/>
  </w:style>
  <w:style w:type="paragraph" w:styleId="Title">
    <w:name w:val="Title"/>
    <w:basedOn w:val="Normal"/>
    <w:qFormat/>
    <w:pPr>
      <w:spacing w:before="0" w:after="0" w:line="240" w:lineRule="auto"/>
      <w:jc w:val="center"/>
    </w:pPr>
    <w:rPr>
      <w:rFonts w:ascii="Univers" w:hAnsi="Univers"/>
      <w:b/>
      <w:bCs/>
      <w:sz w:val="28"/>
      <w:szCs w:val="24"/>
    </w:rPr>
  </w:style>
  <w:style w:type="paragraph" w:customStyle="1" w:styleId="Myown">
    <w:name w:val="My own"/>
    <w:basedOn w:val="Normal"/>
    <w:pPr>
      <w:numPr>
        <w:numId w:val="4"/>
      </w:numPr>
      <w:ind w:left="706" w:hanging="706"/>
    </w:pPr>
    <w:rPr>
      <w:szCs w:val="24"/>
    </w:rPr>
  </w:style>
  <w:style w:type="paragraph" w:styleId="BalloonText">
    <w:name w:val="Balloon Text"/>
    <w:basedOn w:val="Normal"/>
    <w:link w:val="BalloonTextChar"/>
    <w:rsid w:val="007E5294"/>
    <w:pPr>
      <w:spacing w:before="0" w:after="0" w:line="240" w:lineRule="auto"/>
    </w:pPr>
    <w:rPr>
      <w:rFonts w:ascii="Tahoma" w:hAnsi="Tahoma" w:cs="Tahoma"/>
      <w:sz w:val="16"/>
      <w:szCs w:val="16"/>
    </w:rPr>
  </w:style>
  <w:style w:type="character" w:customStyle="1" w:styleId="BalloonTextChar">
    <w:name w:val="Balloon Text Char"/>
    <w:link w:val="BalloonText"/>
    <w:rsid w:val="007E5294"/>
    <w:rPr>
      <w:rFonts w:ascii="Tahoma" w:hAnsi="Tahoma" w:cs="Tahoma"/>
      <w:sz w:val="16"/>
      <w:szCs w:val="16"/>
      <w:lang w:eastAsia="en-US"/>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C"/>
    <w:basedOn w:val="Normal"/>
    <w:link w:val="FootnoteTextChar"/>
    <w:unhideWhenUsed/>
    <w:qFormat/>
    <w:rsid w:val="004B1DF7"/>
    <w:pPr>
      <w:spacing w:before="0" w:after="0" w:line="240" w:lineRule="auto"/>
    </w:pPr>
    <w:rPr>
      <w:sz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rsid w:val="004B1DF7"/>
    <w:rPr>
      <w:rFonts w:ascii="Arial" w:hAnsi="Arial"/>
      <w:lang w:eastAsia="en-US"/>
    </w:rPr>
  </w:style>
  <w:style w:type="character" w:styleId="FootnoteReference">
    <w:name w:val="footnote reference"/>
    <w:aliases w:val="(NECG) Footnote Reference,Ref,de nota al pie,註腳內容,Footnote anchor,Footnotes refss"/>
    <w:basedOn w:val="DefaultParagraphFont"/>
    <w:unhideWhenUsed/>
    <w:rsid w:val="004B1DF7"/>
    <w:rPr>
      <w:vertAlign w:val="superscript"/>
    </w:rPr>
  </w:style>
  <w:style w:type="paragraph" w:styleId="ListParagraph">
    <w:name w:val="List Paragraph"/>
    <w:basedOn w:val="Normal"/>
    <w:uiPriority w:val="34"/>
    <w:qFormat/>
    <w:rsid w:val="00B77DA1"/>
    <w:pPr>
      <w:ind w:left="720"/>
      <w:contextualSpacing/>
    </w:pPr>
  </w:style>
  <w:style w:type="table" w:styleId="TableGrid">
    <w:name w:val="Table Grid"/>
    <w:basedOn w:val="TableNormal"/>
    <w:uiPriority w:val="39"/>
    <w:rsid w:val="003426D8"/>
    <w:pPr>
      <w:spacing w:before="240"/>
      <w:ind w:left="1134" w:hanging="1134"/>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760DA"/>
    <w:rPr>
      <w:rFonts w:ascii="Arial" w:hAnsi="Arial"/>
      <w:sz w:val="24"/>
      <w:lang w:eastAsia="en-US"/>
    </w:rPr>
  </w:style>
  <w:style w:type="character" w:styleId="Hyperlink">
    <w:name w:val="Hyperlink"/>
    <w:basedOn w:val="DefaultParagraphFont"/>
    <w:unhideWhenUsed/>
    <w:rsid w:val="00E760DA"/>
    <w:rPr>
      <w:color w:val="0000FF" w:themeColor="hyperlink"/>
      <w:u w:val="single"/>
    </w:rPr>
  </w:style>
  <w:style w:type="character" w:customStyle="1" w:styleId="Heading1Char">
    <w:name w:val="Heading 1 Char"/>
    <w:basedOn w:val="DefaultParagraphFont"/>
    <w:link w:val="Heading1"/>
    <w:rsid w:val="00C67598"/>
    <w:rPr>
      <w:rFonts w:ascii="Arial" w:hAnsi="Arial"/>
      <w:kern w:val="28"/>
      <w:sz w:val="24"/>
      <w:lang w:eastAsia="en-US"/>
    </w:rPr>
  </w:style>
  <w:style w:type="paragraph" w:customStyle="1" w:styleId="diffuse">
    <w:name w:val="diffuse"/>
    <w:rsid w:val="00C67598"/>
    <w:pPr>
      <w:numPr>
        <w:ilvl w:val="1"/>
        <w:numId w:val="9"/>
      </w:numPr>
      <w:tabs>
        <w:tab w:val="num" w:pos="1418"/>
      </w:tabs>
      <w:spacing w:before="240" w:after="240" w:line="480" w:lineRule="auto"/>
      <w:ind w:left="1418" w:hanging="709"/>
      <w:jc w:val="both"/>
      <w:outlineLvl w:val="1"/>
    </w:pPr>
    <w:rPr>
      <w:rFonts w:ascii="Arial" w:hAnsi="Arial"/>
      <w:sz w:val="24"/>
      <w:lang w:eastAsia="en-US"/>
    </w:rPr>
  </w:style>
  <w:style w:type="character" w:customStyle="1" w:styleId="Heading3Char">
    <w:name w:val="Heading 3 Char"/>
    <w:basedOn w:val="DefaultParagraphFont"/>
    <w:link w:val="Heading3"/>
    <w:rsid w:val="00916227"/>
    <w:rPr>
      <w:rFonts w:ascii="Arial" w:hAnsi="Arial"/>
      <w:sz w:val="24"/>
      <w:lang w:eastAsia="en-US"/>
    </w:rPr>
  </w:style>
  <w:style w:type="character" w:customStyle="1" w:styleId="UnresolvedMention1">
    <w:name w:val="Unresolved Mention1"/>
    <w:basedOn w:val="DefaultParagraphFont"/>
    <w:uiPriority w:val="99"/>
    <w:semiHidden/>
    <w:unhideWhenUsed/>
    <w:rsid w:val="0060086D"/>
    <w:rPr>
      <w:color w:val="605E5C"/>
      <w:shd w:val="clear" w:color="auto" w:fill="E1DFDD"/>
    </w:rPr>
  </w:style>
  <w:style w:type="paragraph" w:styleId="BodyText">
    <w:name w:val="Body Text"/>
    <w:basedOn w:val="Normal"/>
    <w:link w:val="BodyTextChar"/>
    <w:semiHidden/>
    <w:unhideWhenUsed/>
    <w:rsid w:val="00EE3B65"/>
    <w:pPr>
      <w:spacing w:after="120"/>
    </w:pPr>
  </w:style>
  <w:style w:type="character" w:customStyle="1" w:styleId="BodyTextChar">
    <w:name w:val="Body Text Char"/>
    <w:basedOn w:val="DefaultParagraphFont"/>
    <w:link w:val="BodyText"/>
    <w:semiHidden/>
    <w:rsid w:val="00EE3B65"/>
    <w:rPr>
      <w:rFonts w:ascii="Arial" w:hAnsi="Arial"/>
      <w:sz w:val="24"/>
      <w:lang w:eastAsia="en-US"/>
    </w:rPr>
  </w:style>
  <w:style w:type="paragraph" w:styleId="NormalWeb">
    <w:name w:val="Normal (Web)"/>
    <w:basedOn w:val="Normal"/>
    <w:uiPriority w:val="99"/>
    <w:semiHidden/>
    <w:unhideWhenUsed/>
    <w:rsid w:val="004C0865"/>
    <w:pPr>
      <w:spacing w:before="100" w:beforeAutospacing="1" w:after="100" w:afterAutospacing="1" w:line="240" w:lineRule="auto"/>
      <w:jc w:val="left"/>
    </w:pPr>
    <w:rPr>
      <w:rFonts w:ascii="Times New Roman" w:hAnsi="Times New Roman"/>
      <w:szCs w:val="24"/>
      <w:lang w:eastAsia="en-GB"/>
    </w:rPr>
  </w:style>
  <w:style w:type="paragraph" w:customStyle="1" w:styleId="WLGLevel1">
    <w:name w:val="WLGLevel1"/>
    <w:basedOn w:val="Normal"/>
    <w:qFormat/>
    <w:rsid w:val="00187180"/>
    <w:pPr>
      <w:numPr>
        <w:numId w:val="25"/>
      </w:numPr>
      <w:tabs>
        <w:tab w:val="clear" w:pos="1134"/>
        <w:tab w:val="left" w:pos="851"/>
      </w:tabs>
      <w:suppressAutoHyphens/>
      <w:ind w:left="851" w:hanging="851"/>
    </w:pPr>
    <w:rPr>
      <w:snapToGrid w:val="0"/>
      <w:lang w:val="en-GB"/>
    </w:rPr>
  </w:style>
  <w:style w:type="paragraph" w:customStyle="1" w:styleId="WLGLevel2">
    <w:name w:val="WLGLevel2"/>
    <w:basedOn w:val="Normal"/>
    <w:qFormat/>
    <w:rsid w:val="00187180"/>
    <w:pPr>
      <w:numPr>
        <w:ilvl w:val="1"/>
        <w:numId w:val="25"/>
      </w:numPr>
      <w:tabs>
        <w:tab w:val="clear" w:pos="1928"/>
        <w:tab w:val="left" w:pos="1701"/>
      </w:tabs>
      <w:suppressAutoHyphens/>
      <w:ind w:left="1702" w:hanging="851"/>
    </w:pPr>
    <w:rPr>
      <w:snapToGrid w:val="0"/>
      <w:lang w:val="en-GB"/>
    </w:rPr>
  </w:style>
  <w:style w:type="paragraph" w:customStyle="1" w:styleId="WLGLevel3">
    <w:name w:val="WLGLevel3"/>
    <w:basedOn w:val="Normal"/>
    <w:qFormat/>
    <w:rsid w:val="00187180"/>
    <w:pPr>
      <w:numPr>
        <w:ilvl w:val="2"/>
        <w:numId w:val="25"/>
      </w:numPr>
      <w:suppressAutoHyphens/>
      <w:spacing w:before="0" w:after="320"/>
    </w:pPr>
    <w:rPr>
      <w:snapToGrid w:val="0"/>
      <w:lang w:val="en-GB"/>
    </w:rPr>
  </w:style>
  <w:style w:type="paragraph" w:customStyle="1" w:styleId="WLGLevel4">
    <w:name w:val="WLGLevel4"/>
    <w:basedOn w:val="Normal"/>
    <w:qFormat/>
    <w:rsid w:val="00187180"/>
    <w:pPr>
      <w:numPr>
        <w:ilvl w:val="3"/>
        <w:numId w:val="25"/>
      </w:numPr>
      <w:suppressAutoHyphens/>
      <w:spacing w:before="0" w:after="320"/>
    </w:pPr>
    <w:rPr>
      <w:snapToGrid w:val="0"/>
      <w:lang w:val="en-GB"/>
    </w:rPr>
  </w:style>
  <w:style w:type="paragraph" w:customStyle="1" w:styleId="WLGLevel5">
    <w:name w:val="WLGLevel5"/>
    <w:basedOn w:val="Normal"/>
    <w:qFormat/>
    <w:rsid w:val="00187180"/>
    <w:pPr>
      <w:numPr>
        <w:ilvl w:val="4"/>
        <w:numId w:val="25"/>
      </w:numPr>
      <w:suppressAutoHyphens/>
      <w:spacing w:before="0" w:after="320"/>
      <w:outlineLvl w:val="4"/>
    </w:pPr>
    <w:rPr>
      <w:snapToGrid w:val="0"/>
      <w:lang w:val="en-GB"/>
    </w:rPr>
  </w:style>
  <w:style w:type="paragraph" w:customStyle="1" w:styleId="LitStyleMain">
    <w:name w:val="LitStyleMain"/>
    <w:next w:val="Normal"/>
    <w:rsid w:val="00187180"/>
    <w:pPr>
      <w:numPr>
        <w:numId w:val="26"/>
      </w:numPr>
      <w:spacing w:line="360" w:lineRule="auto"/>
      <w:jc w:val="both"/>
    </w:pPr>
    <w:rPr>
      <w:rFonts w:ascii="Arial" w:hAnsi="Arial"/>
      <w:sz w:val="22"/>
      <w:lang w:val="en-GB" w:eastAsia="en-US"/>
    </w:rPr>
  </w:style>
  <w:style w:type="paragraph" w:customStyle="1" w:styleId="LitStyle2">
    <w:name w:val="LitStyle2"/>
    <w:basedOn w:val="LitStyleMain"/>
    <w:next w:val="Normal"/>
    <w:rsid w:val="00187180"/>
    <w:pPr>
      <w:numPr>
        <w:ilvl w:val="1"/>
      </w:numPr>
      <w:outlineLvl w:val="1"/>
    </w:pPr>
  </w:style>
  <w:style w:type="paragraph" w:customStyle="1" w:styleId="LitStyle3">
    <w:name w:val="LitStyle3"/>
    <w:basedOn w:val="LitStyleMain"/>
    <w:next w:val="Normal"/>
    <w:rsid w:val="00187180"/>
    <w:pPr>
      <w:numPr>
        <w:ilvl w:val="2"/>
      </w:numPr>
      <w:outlineLvl w:val="2"/>
    </w:pPr>
  </w:style>
  <w:style w:type="paragraph" w:customStyle="1" w:styleId="LitStyle4">
    <w:name w:val="LitStyle4"/>
    <w:basedOn w:val="LitStyleMain"/>
    <w:next w:val="Normal"/>
    <w:rsid w:val="00187180"/>
    <w:pPr>
      <w:numPr>
        <w:ilvl w:val="3"/>
      </w:numPr>
      <w:outlineLvl w:val="3"/>
    </w:pPr>
  </w:style>
  <w:style w:type="paragraph" w:customStyle="1" w:styleId="LitStyle5">
    <w:name w:val="LitStyle5"/>
    <w:basedOn w:val="LitStyleMain"/>
    <w:next w:val="Normal"/>
    <w:rsid w:val="00187180"/>
    <w:pPr>
      <w:numPr>
        <w:ilvl w:val="4"/>
      </w:numPr>
      <w:outlineLvl w:val="4"/>
    </w:pPr>
  </w:style>
  <w:style w:type="paragraph" w:customStyle="1" w:styleId="LitStyle6">
    <w:name w:val="LitStyle6"/>
    <w:basedOn w:val="LitStyleMain"/>
    <w:next w:val="Normal"/>
    <w:rsid w:val="00187180"/>
    <w:pPr>
      <w:numPr>
        <w:ilvl w:val="5"/>
      </w:numPr>
      <w:outlineLvl w:val="5"/>
    </w:pPr>
  </w:style>
  <w:style w:type="paragraph" w:customStyle="1" w:styleId="LitStyle7">
    <w:name w:val="LitStyle7"/>
    <w:basedOn w:val="LitStyleMain"/>
    <w:next w:val="Normal"/>
    <w:rsid w:val="00187180"/>
    <w:pPr>
      <w:numPr>
        <w:ilvl w:val="6"/>
      </w:numPr>
      <w:outlineLvl w:val="6"/>
    </w:pPr>
  </w:style>
  <w:style w:type="paragraph" w:customStyle="1" w:styleId="LitStyle8">
    <w:name w:val="LitStyle8"/>
    <w:basedOn w:val="LitStyleMain"/>
    <w:next w:val="Normal"/>
    <w:rsid w:val="00187180"/>
    <w:pPr>
      <w:numPr>
        <w:ilvl w:val="7"/>
      </w:numPr>
      <w:outlineLvl w:val="7"/>
    </w:pPr>
  </w:style>
  <w:style w:type="paragraph" w:customStyle="1" w:styleId="LitStyle9">
    <w:name w:val="LitStyle9"/>
    <w:basedOn w:val="LitStyleMain"/>
    <w:next w:val="Normal"/>
    <w:rsid w:val="00187180"/>
    <w:pPr>
      <w:numPr>
        <w:ilvl w:val="8"/>
      </w:numPr>
      <w:outlineLvl w:val="8"/>
    </w:pPr>
  </w:style>
  <w:style w:type="paragraph" w:customStyle="1" w:styleId="Quotation">
    <w:name w:val="Quotation"/>
    <w:basedOn w:val="Heading2"/>
    <w:link w:val="QuotationChar"/>
    <w:qFormat/>
    <w:rsid w:val="00187180"/>
    <w:pPr>
      <w:widowControl w:val="0"/>
      <w:numPr>
        <w:ilvl w:val="0"/>
        <w:numId w:val="0"/>
      </w:numPr>
      <w:spacing w:before="0" w:line="240" w:lineRule="auto"/>
      <w:ind w:left="1440"/>
    </w:pPr>
    <w:rPr>
      <w:rFonts w:eastAsiaTheme="minorHAnsi" w:cstheme="minorBidi"/>
      <w:i/>
      <w:iCs/>
      <w:lang w:val="en-GB" w:eastAsia="en-GB"/>
    </w:rPr>
  </w:style>
  <w:style w:type="character" w:customStyle="1" w:styleId="QuotationChar">
    <w:name w:val="Quotation Char"/>
    <w:basedOn w:val="DefaultParagraphFont"/>
    <w:link w:val="Quotation"/>
    <w:rsid w:val="00187180"/>
    <w:rPr>
      <w:rFonts w:ascii="Arial" w:eastAsiaTheme="minorHAnsi" w:hAnsi="Arial" w:cstheme="minorBidi"/>
      <w:i/>
      <w:iCs/>
      <w:sz w:val="24"/>
      <w:lang w:val="en-GB" w:eastAsia="en-GB"/>
    </w:rPr>
  </w:style>
  <w:style w:type="paragraph" w:styleId="Revision">
    <w:name w:val="Revision"/>
    <w:hidden/>
    <w:uiPriority w:val="99"/>
    <w:semiHidden/>
    <w:rsid w:val="006B0DEC"/>
    <w:rPr>
      <w:rFonts w:ascii="Arial" w:hAnsi="Arial"/>
      <w:sz w:val="24"/>
      <w:lang w:eastAsia="en-US"/>
    </w:rPr>
  </w:style>
  <w:style w:type="character" w:styleId="CommentReference">
    <w:name w:val="annotation reference"/>
    <w:basedOn w:val="DefaultParagraphFont"/>
    <w:semiHidden/>
    <w:unhideWhenUsed/>
    <w:rsid w:val="006B0DEC"/>
    <w:rPr>
      <w:sz w:val="16"/>
      <w:szCs w:val="16"/>
    </w:rPr>
  </w:style>
  <w:style w:type="paragraph" w:styleId="CommentText">
    <w:name w:val="annotation text"/>
    <w:basedOn w:val="Normal"/>
    <w:link w:val="CommentTextChar"/>
    <w:unhideWhenUsed/>
    <w:rsid w:val="006B0DEC"/>
    <w:pPr>
      <w:spacing w:line="240" w:lineRule="auto"/>
    </w:pPr>
    <w:rPr>
      <w:sz w:val="20"/>
    </w:rPr>
  </w:style>
  <w:style w:type="character" w:customStyle="1" w:styleId="CommentTextChar">
    <w:name w:val="Comment Text Char"/>
    <w:basedOn w:val="DefaultParagraphFont"/>
    <w:link w:val="CommentText"/>
    <w:rsid w:val="006B0DEC"/>
    <w:rPr>
      <w:rFonts w:ascii="Arial" w:hAnsi="Arial"/>
      <w:lang w:eastAsia="en-US"/>
    </w:rPr>
  </w:style>
  <w:style w:type="paragraph" w:styleId="CommentSubject">
    <w:name w:val="annotation subject"/>
    <w:basedOn w:val="CommentText"/>
    <w:next w:val="CommentText"/>
    <w:link w:val="CommentSubjectChar"/>
    <w:semiHidden/>
    <w:unhideWhenUsed/>
    <w:rsid w:val="006B0DEC"/>
    <w:rPr>
      <w:b/>
      <w:bCs/>
    </w:rPr>
  </w:style>
  <w:style w:type="character" w:customStyle="1" w:styleId="CommentSubjectChar">
    <w:name w:val="Comment Subject Char"/>
    <w:basedOn w:val="CommentTextChar"/>
    <w:link w:val="CommentSubject"/>
    <w:semiHidden/>
    <w:rsid w:val="006B0DEC"/>
    <w:rPr>
      <w:rFonts w:ascii="Arial" w:hAnsi="Arial"/>
      <w:b/>
      <w:bCs/>
      <w:lang w:eastAsia="en-US"/>
    </w:rPr>
  </w:style>
  <w:style w:type="table" w:customStyle="1" w:styleId="TableGrid1">
    <w:name w:val="Table Grid1"/>
    <w:basedOn w:val="TableNormal"/>
    <w:next w:val="TableGrid"/>
    <w:uiPriority w:val="59"/>
    <w:rsid w:val="000C0BEC"/>
    <w:rPr>
      <w:rFonts w:ascii="Arial" w:eastAsiaTheme="minorHAnsi" w:hAnsi="Arial" w:cs="Arial"/>
      <w:color w:val="24212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45448">
      <w:bodyDiv w:val="1"/>
      <w:marLeft w:val="0"/>
      <w:marRight w:val="0"/>
      <w:marTop w:val="0"/>
      <w:marBottom w:val="0"/>
      <w:divBdr>
        <w:top w:val="none" w:sz="0" w:space="0" w:color="auto"/>
        <w:left w:val="none" w:sz="0" w:space="0" w:color="auto"/>
        <w:bottom w:val="none" w:sz="0" w:space="0" w:color="auto"/>
        <w:right w:val="none" w:sz="0" w:space="0" w:color="auto"/>
      </w:divBdr>
    </w:div>
    <w:div w:id="1697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CBEE8-ABAD-4F70-A3F0-160741A5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Pleading</vt:lpstr>
    </vt:vector>
  </TitlesOfParts>
  <Company>B BERMAN</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Linda Bucher</dc:creator>
  <cp:keywords/>
  <dc:description/>
  <cp:lastModifiedBy>sathish sarshan  mohan</cp:lastModifiedBy>
  <cp:revision>30</cp:revision>
  <cp:lastPrinted>2020-02-04T09:06:00Z</cp:lastPrinted>
  <dcterms:created xsi:type="dcterms:W3CDTF">2024-04-26T13:42:00Z</dcterms:created>
  <dcterms:modified xsi:type="dcterms:W3CDTF">2024-04-30T11:48:00Z</dcterms:modified>
</cp:coreProperties>
</file>