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4E93A" w14:textId="77777777" w:rsidR="00F5632D" w:rsidRPr="00CE6C98" w:rsidRDefault="00F5632D" w:rsidP="00F5632D">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CE6C98">
        <w:rPr>
          <w:rFonts w:ascii="Arial" w:eastAsia="Times New Roman" w:hAnsi="Arial" w:cs="Arial"/>
          <w:b/>
          <w:noProof/>
          <w:sz w:val="24"/>
          <w:szCs w:val="24"/>
          <w:lang w:eastAsia="en-ZA"/>
        </w:rPr>
        <w:t>REPUBLIC OF SOUTH AFRICA</w:t>
      </w:r>
    </w:p>
    <w:p w14:paraId="604457B2" w14:textId="77777777" w:rsidR="00F5632D" w:rsidRPr="00CE6C98" w:rsidRDefault="00F5632D" w:rsidP="00F5632D">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38E52ACC" w14:textId="77777777" w:rsidR="00F5632D" w:rsidRPr="00CE6C98" w:rsidRDefault="00F5632D" w:rsidP="00F5632D">
      <w:pPr>
        <w:tabs>
          <w:tab w:val="left" w:pos="2342"/>
          <w:tab w:val="center" w:pos="4513"/>
        </w:tabs>
        <w:spacing w:after="0" w:line="240" w:lineRule="auto"/>
        <w:jc w:val="center"/>
        <w:outlineLvl w:val="0"/>
        <w:rPr>
          <w:rFonts w:ascii="Arial" w:eastAsia="Times New Roman" w:hAnsi="Arial" w:cs="Arial"/>
          <w:sz w:val="24"/>
          <w:szCs w:val="24"/>
        </w:rPr>
      </w:pPr>
      <w:r w:rsidRPr="00CE6C98">
        <w:rPr>
          <w:rFonts w:ascii="Arial" w:eastAsia="Times New Roman" w:hAnsi="Arial" w:cs="Arial"/>
          <w:noProof/>
          <w:sz w:val="24"/>
          <w:szCs w:val="24"/>
          <w:lang w:eastAsia="en-ZA"/>
        </w:rPr>
        <w:drawing>
          <wp:inline distT="0" distB="0" distL="0" distR="0" wp14:anchorId="570405B2" wp14:editId="505B58DA">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AA79380" w14:textId="77777777" w:rsidR="00F5632D" w:rsidRPr="00CE6C98" w:rsidRDefault="00F5632D" w:rsidP="00F5632D">
      <w:pPr>
        <w:spacing w:after="0" w:line="240" w:lineRule="auto"/>
        <w:jc w:val="center"/>
        <w:outlineLvl w:val="0"/>
        <w:rPr>
          <w:rFonts w:ascii="Arial" w:eastAsia="Times New Roman" w:hAnsi="Arial" w:cs="Arial"/>
          <w:b/>
          <w:sz w:val="24"/>
          <w:szCs w:val="24"/>
        </w:rPr>
      </w:pPr>
    </w:p>
    <w:p w14:paraId="19D2629B" w14:textId="77777777" w:rsidR="00F5632D" w:rsidRPr="00CE6C98" w:rsidRDefault="00F5632D" w:rsidP="00F5632D">
      <w:pPr>
        <w:spacing w:after="0" w:line="240" w:lineRule="auto"/>
        <w:jc w:val="center"/>
        <w:outlineLvl w:val="0"/>
        <w:rPr>
          <w:rFonts w:ascii="Arial" w:eastAsia="Times New Roman" w:hAnsi="Arial" w:cs="Arial"/>
          <w:b/>
          <w:sz w:val="24"/>
          <w:szCs w:val="24"/>
        </w:rPr>
      </w:pPr>
      <w:r w:rsidRPr="00CE6C98">
        <w:rPr>
          <w:rFonts w:ascii="Arial" w:eastAsia="Times New Roman" w:hAnsi="Arial" w:cs="Arial"/>
          <w:b/>
          <w:sz w:val="24"/>
          <w:szCs w:val="24"/>
        </w:rPr>
        <w:t>IN THE HIGH COURT OF SOUTH AFRICA</w:t>
      </w:r>
    </w:p>
    <w:p w14:paraId="371D8443" w14:textId="77777777" w:rsidR="00F5632D" w:rsidRPr="00CE6C98" w:rsidRDefault="00F5632D" w:rsidP="00F5632D">
      <w:pPr>
        <w:spacing w:after="0" w:line="240" w:lineRule="auto"/>
        <w:jc w:val="center"/>
        <w:outlineLvl w:val="0"/>
        <w:rPr>
          <w:rFonts w:ascii="Arial" w:eastAsia="Times New Roman" w:hAnsi="Arial" w:cs="Arial"/>
          <w:b/>
          <w:sz w:val="24"/>
          <w:szCs w:val="24"/>
        </w:rPr>
      </w:pPr>
      <w:r w:rsidRPr="00CE6C98">
        <w:rPr>
          <w:rFonts w:ascii="Arial" w:eastAsia="Times New Roman" w:hAnsi="Arial" w:cs="Arial"/>
          <w:b/>
          <w:sz w:val="24"/>
          <w:szCs w:val="24"/>
        </w:rPr>
        <w:t>GAUTENG LOCAL DIVISION, JOHANNESBURG</w:t>
      </w:r>
    </w:p>
    <w:p w14:paraId="0267E1C6" w14:textId="77777777" w:rsidR="00F5632D" w:rsidRPr="00CE6C98" w:rsidRDefault="00F5632D" w:rsidP="00F5632D">
      <w:pPr>
        <w:spacing w:after="0" w:line="240" w:lineRule="auto"/>
        <w:rPr>
          <w:rFonts w:ascii="Arial" w:eastAsia="Times New Roman" w:hAnsi="Arial" w:cs="Arial"/>
          <w:sz w:val="24"/>
          <w:szCs w:val="24"/>
        </w:rPr>
      </w:pPr>
    </w:p>
    <w:p w14:paraId="664D1DD4" w14:textId="77777777" w:rsidR="00F5632D" w:rsidRPr="00C35E2B" w:rsidRDefault="00F5632D" w:rsidP="00F5632D">
      <w:pPr>
        <w:spacing w:after="0" w:line="240" w:lineRule="auto"/>
        <w:rPr>
          <w:rFonts w:ascii="Times New Roman" w:eastAsia="Times New Roman" w:hAnsi="Times New Roman" w:cs="Times New Roman"/>
          <w:sz w:val="28"/>
          <w:szCs w:val="28"/>
        </w:rPr>
      </w:pPr>
    </w:p>
    <w:p w14:paraId="377E3100" w14:textId="1B743D97" w:rsidR="00F5632D" w:rsidRDefault="00F5632D" w:rsidP="00F5632D">
      <w:pPr>
        <w:tabs>
          <w:tab w:val="right" w:pos="9029"/>
        </w:tabs>
        <w:spacing w:after="0" w:line="240" w:lineRule="auto"/>
        <w:rPr>
          <w:rFonts w:ascii="Times New Roman" w:eastAsia="Times New Roman" w:hAnsi="Times New Roman" w:cs="Times New Roman"/>
          <w:bCs/>
          <w:sz w:val="28"/>
          <w:szCs w:val="28"/>
        </w:rPr>
      </w:pPr>
      <w:r w:rsidRPr="00C35E2B">
        <w:rPr>
          <w:rFonts w:ascii="Times New Roman" w:eastAsia="Times New Roman" w:hAnsi="Times New Roman" w:cs="Times New Roman"/>
          <w:sz w:val="28"/>
          <w:szCs w:val="28"/>
        </w:rPr>
        <w:tab/>
      </w:r>
    </w:p>
    <w:p w14:paraId="1C16564C" w14:textId="75BEED4D" w:rsidR="00F5632D" w:rsidRPr="00F5632D" w:rsidRDefault="00F5632D" w:rsidP="00F5632D">
      <w:pPr>
        <w:jc w:val="both"/>
        <w:rPr>
          <w:rFonts w:ascii="Arial" w:hAnsi="Arial" w:cs="Arial"/>
          <w:b/>
          <w:bCs/>
          <w:sz w:val="24"/>
          <w:szCs w:val="24"/>
          <w:lang w:val="en-US"/>
        </w:rPr>
      </w:pPr>
      <w:r>
        <w:rPr>
          <w:rFonts w:ascii="Times New Roman" w:eastAsia="Times New Roman" w:hAnsi="Times New Roman" w:cs="Times New Roman"/>
          <w:bCs/>
          <w:sz w:val="28"/>
          <w:szCs w:val="28"/>
        </w:rPr>
        <w:t xml:space="preserve">                                                                                      </w:t>
      </w:r>
      <w:r w:rsidRPr="00F90E3E">
        <w:rPr>
          <w:rFonts w:ascii="Arial" w:hAnsi="Arial" w:cs="Arial"/>
          <w:b/>
          <w:bCs/>
          <w:sz w:val="24"/>
          <w:szCs w:val="24"/>
          <w:lang w:val="en-US"/>
        </w:rPr>
        <w:t>Case</w:t>
      </w:r>
      <w:r w:rsidR="000F0073">
        <w:rPr>
          <w:rFonts w:ascii="Arial" w:hAnsi="Arial" w:cs="Arial"/>
          <w:b/>
          <w:bCs/>
          <w:sz w:val="24"/>
          <w:szCs w:val="24"/>
          <w:lang w:val="en-US"/>
        </w:rPr>
        <w:t xml:space="preserve"> </w:t>
      </w:r>
      <w:r w:rsidRPr="00F90E3E">
        <w:rPr>
          <w:rFonts w:ascii="Arial" w:hAnsi="Arial" w:cs="Arial"/>
          <w:b/>
          <w:bCs/>
          <w:sz w:val="24"/>
          <w:szCs w:val="24"/>
          <w:lang w:val="en-US"/>
        </w:rPr>
        <w:t>no: A2023-080029</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&amp;       2017/2774      </w:t>
      </w:r>
    </w:p>
    <w:p w14:paraId="3E2D5D0A" w14:textId="77777777" w:rsidR="00F5632D" w:rsidRPr="00C35E2B" w:rsidRDefault="00F5632D" w:rsidP="00F5632D">
      <w:pPr>
        <w:tabs>
          <w:tab w:val="right" w:pos="9029"/>
        </w:tabs>
        <w:spacing w:after="0" w:line="240" w:lineRule="auto"/>
        <w:rPr>
          <w:rFonts w:ascii="Times New Roman" w:eastAsia="Times New Roman" w:hAnsi="Times New Roman" w:cs="Times New Roman"/>
          <w:bCs/>
          <w:sz w:val="28"/>
          <w:szCs w:val="28"/>
        </w:rPr>
      </w:pPr>
    </w:p>
    <w:p w14:paraId="7F2A9574" w14:textId="77777777" w:rsidR="00F5632D" w:rsidRPr="00C35E2B" w:rsidRDefault="00F5632D" w:rsidP="00F5632D">
      <w:pPr>
        <w:tabs>
          <w:tab w:val="right" w:pos="9029"/>
        </w:tabs>
        <w:spacing w:after="0" w:line="240" w:lineRule="auto"/>
        <w:rPr>
          <w:rFonts w:ascii="Times New Roman" w:eastAsia="Times New Roman" w:hAnsi="Times New Roman" w:cs="Times New Roman"/>
          <w:sz w:val="28"/>
          <w:szCs w:val="28"/>
        </w:rPr>
      </w:pPr>
      <w:r w:rsidRPr="00C35E2B">
        <w:rPr>
          <w:rFonts w:ascii="Times New Roman" w:hAnsi="Times New Roman" w:cs="Times New Roman"/>
          <w:noProof/>
          <w:sz w:val="28"/>
          <w:szCs w:val="28"/>
          <w:lang w:eastAsia="en-ZA"/>
        </w:rPr>
        <mc:AlternateContent>
          <mc:Choice Requires="wps">
            <w:drawing>
              <wp:anchor distT="0" distB="0" distL="114300" distR="114300" simplePos="0" relativeHeight="251659264" behindDoc="0" locked="0" layoutInCell="1" allowOverlap="1" wp14:anchorId="5B6C7F35" wp14:editId="6C58F030">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6E21940F" w14:textId="27B10FBF" w:rsidR="00F5632D" w:rsidRPr="003B746C" w:rsidRDefault="000F0073" w:rsidP="000F0073">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F5632D" w:rsidRPr="003B746C">
                              <w:rPr>
                                <w:rFonts w:cs="Arial"/>
                                <w:sz w:val="18"/>
                                <w:szCs w:val="20"/>
                              </w:rPr>
                              <w:t xml:space="preserve">REPORTABLE: </w:t>
                            </w:r>
                            <w:r w:rsidR="00F5632D" w:rsidRPr="0054161A">
                              <w:rPr>
                                <w:rFonts w:cs="Arial"/>
                                <w:sz w:val="18"/>
                                <w:szCs w:val="20"/>
                              </w:rPr>
                              <w:t>YES / NO</w:t>
                            </w:r>
                          </w:p>
                          <w:p w14:paraId="193A0441" w14:textId="35981D84" w:rsidR="00F5632D" w:rsidRPr="003B746C" w:rsidRDefault="000F0073" w:rsidP="000F0073">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F5632D" w:rsidRPr="003B746C">
                              <w:rPr>
                                <w:rFonts w:cs="Arial"/>
                                <w:sz w:val="18"/>
                                <w:szCs w:val="20"/>
                              </w:rPr>
                              <w:t xml:space="preserve">OF INTEREST TO OTHER JUDGES: </w:t>
                            </w:r>
                            <w:r w:rsidR="00F5632D" w:rsidRPr="0054161A">
                              <w:rPr>
                                <w:rFonts w:cs="Arial"/>
                                <w:sz w:val="18"/>
                                <w:szCs w:val="20"/>
                              </w:rPr>
                              <w:t>YES/NO</w:t>
                            </w:r>
                          </w:p>
                          <w:p w14:paraId="61C1EE61" w14:textId="1577F253" w:rsidR="00F5632D" w:rsidRDefault="000F0073" w:rsidP="000F0073">
                            <w:pPr>
                              <w:tabs>
                                <w:tab w:val="left" w:pos="900"/>
                              </w:tabs>
                              <w:spacing w:after="0" w:line="240" w:lineRule="auto"/>
                              <w:ind w:left="900" w:hanging="720"/>
                              <w:rPr>
                                <w:rFonts w:cs="Arial"/>
                                <w:sz w:val="18"/>
                                <w:szCs w:val="20"/>
                              </w:rPr>
                            </w:pPr>
                            <w:r>
                              <w:rPr>
                                <w:rFonts w:cs="Arial"/>
                                <w:sz w:val="18"/>
                                <w:szCs w:val="20"/>
                              </w:rPr>
                              <w:t>(3)</w:t>
                            </w:r>
                            <w:r>
                              <w:rPr>
                                <w:rFonts w:cs="Arial"/>
                                <w:sz w:val="18"/>
                                <w:szCs w:val="20"/>
                              </w:rPr>
                              <w:tab/>
                            </w:r>
                            <w:r w:rsidR="00F5632D" w:rsidRPr="003B746C">
                              <w:rPr>
                                <w:rFonts w:cs="Arial"/>
                                <w:sz w:val="18"/>
                                <w:szCs w:val="20"/>
                              </w:rPr>
                              <w:t xml:space="preserve">REVISED: </w:t>
                            </w:r>
                            <w:r w:rsidR="00F5632D" w:rsidRPr="0054161A">
                              <w:rPr>
                                <w:rFonts w:cs="Arial"/>
                                <w:sz w:val="18"/>
                                <w:szCs w:val="20"/>
                              </w:rPr>
                              <w:t>YES/NO</w:t>
                            </w:r>
                          </w:p>
                          <w:p w14:paraId="67E2E4FD" w14:textId="77777777" w:rsidR="00F5632D" w:rsidRPr="003B746C" w:rsidRDefault="00F5632D" w:rsidP="00F5632D">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0677B161" w14:textId="77777777" w:rsidR="00F5632D" w:rsidRPr="003B746C" w:rsidRDefault="00F5632D" w:rsidP="00F5632D">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C7F35" id="_x0000_t202" coordsize="21600,21600" o:spt="202" path="m,l,21600r21600,l21600,xe">
                <v:stroke joinstyle="miter"/>
                <v:path gradientshapeok="t" o:connecttype="rect"/>
              </v:shapetype>
              <v:shape id="Text Box 2" o:spid="_x0000_s1026" type="#_x0000_t202" style="position:absolute;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6E21940F" w14:textId="27B10FBF" w:rsidR="00F5632D" w:rsidRPr="003B746C" w:rsidRDefault="000F0073" w:rsidP="000F0073">
                      <w:pPr>
                        <w:tabs>
                          <w:tab w:val="left" w:pos="900"/>
                        </w:tabs>
                        <w:spacing w:after="0" w:line="240" w:lineRule="auto"/>
                        <w:ind w:left="900" w:hanging="720"/>
                        <w:rPr>
                          <w:rFonts w:cs="Arial"/>
                          <w:sz w:val="18"/>
                          <w:szCs w:val="20"/>
                        </w:rPr>
                      </w:pPr>
                      <w:r w:rsidRPr="003B746C">
                        <w:rPr>
                          <w:rFonts w:cs="Arial"/>
                          <w:sz w:val="18"/>
                          <w:szCs w:val="20"/>
                        </w:rPr>
                        <w:t>(1)</w:t>
                      </w:r>
                      <w:r w:rsidRPr="003B746C">
                        <w:rPr>
                          <w:rFonts w:cs="Arial"/>
                          <w:sz w:val="18"/>
                          <w:szCs w:val="20"/>
                        </w:rPr>
                        <w:tab/>
                      </w:r>
                      <w:r w:rsidR="00F5632D" w:rsidRPr="003B746C">
                        <w:rPr>
                          <w:rFonts w:cs="Arial"/>
                          <w:sz w:val="18"/>
                          <w:szCs w:val="20"/>
                        </w:rPr>
                        <w:t xml:space="preserve">REPORTABLE: </w:t>
                      </w:r>
                      <w:r w:rsidR="00F5632D" w:rsidRPr="0054161A">
                        <w:rPr>
                          <w:rFonts w:cs="Arial"/>
                          <w:sz w:val="18"/>
                          <w:szCs w:val="20"/>
                        </w:rPr>
                        <w:t>YES / NO</w:t>
                      </w:r>
                    </w:p>
                    <w:p w14:paraId="193A0441" w14:textId="35981D84" w:rsidR="00F5632D" w:rsidRPr="003B746C" w:rsidRDefault="000F0073" w:rsidP="000F0073">
                      <w:pPr>
                        <w:tabs>
                          <w:tab w:val="left" w:pos="900"/>
                        </w:tabs>
                        <w:spacing w:after="0" w:line="240" w:lineRule="auto"/>
                        <w:ind w:left="900" w:hanging="720"/>
                        <w:rPr>
                          <w:rFonts w:cs="Arial"/>
                          <w:sz w:val="18"/>
                          <w:szCs w:val="20"/>
                        </w:rPr>
                      </w:pPr>
                      <w:r w:rsidRPr="003B746C">
                        <w:rPr>
                          <w:rFonts w:cs="Arial"/>
                          <w:sz w:val="18"/>
                          <w:szCs w:val="20"/>
                        </w:rPr>
                        <w:t>(2)</w:t>
                      </w:r>
                      <w:r w:rsidRPr="003B746C">
                        <w:rPr>
                          <w:rFonts w:cs="Arial"/>
                          <w:sz w:val="18"/>
                          <w:szCs w:val="20"/>
                        </w:rPr>
                        <w:tab/>
                      </w:r>
                      <w:r w:rsidR="00F5632D" w:rsidRPr="003B746C">
                        <w:rPr>
                          <w:rFonts w:cs="Arial"/>
                          <w:sz w:val="18"/>
                          <w:szCs w:val="20"/>
                        </w:rPr>
                        <w:t xml:space="preserve">OF INTEREST TO OTHER JUDGES: </w:t>
                      </w:r>
                      <w:r w:rsidR="00F5632D" w:rsidRPr="0054161A">
                        <w:rPr>
                          <w:rFonts w:cs="Arial"/>
                          <w:sz w:val="18"/>
                          <w:szCs w:val="20"/>
                        </w:rPr>
                        <w:t>YES/NO</w:t>
                      </w:r>
                    </w:p>
                    <w:p w14:paraId="61C1EE61" w14:textId="1577F253" w:rsidR="00F5632D" w:rsidRDefault="000F0073" w:rsidP="000F0073">
                      <w:pPr>
                        <w:tabs>
                          <w:tab w:val="left" w:pos="900"/>
                        </w:tabs>
                        <w:spacing w:after="0" w:line="240" w:lineRule="auto"/>
                        <w:ind w:left="900" w:hanging="720"/>
                        <w:rPr>
                          <w:rFonts w:cs="Arial"/>
                          <w:sz w:val="18"/>
                          <w:szCs w:val="20"/>
                        </w:rPr>
                      </w:pPr>
                      <w:r>
                        <w:rPr>
                          <w:rFonts w:cs="Arial"/>
                          <w:sz w:val="18"/>
                          <w:szCs w:val="20"/>
                        </w:rPr>
                        <w:t>(3)</w:t>
                      </w:r>
                      <w:r>
                        <w:rPr>
                          <w:rFonts w:cs="Arial"/>
                          <w:sz w:val="18"/>
                          <w:szCs w:val="20"/>
                        </w:rPr>
                        <w:tab/>
                      </w:r>
                      <w:r w:rsidR="00F5632D" w:rsidRPr="003B746C">
                        <w:rPr>
                          <w:rFonts w:cs="Arial"/>
                          <w:sz w:val="18"/>
                          <w:szCs w:val="20"/>
                        </w:rPr>
                        <w:t xml:space="preserve">REVISED: </w:t>
                      </w:r>
                      <w:r w:rsidR="00F5632D" w:rsidRPr="0054161A">
                        <w:rPr>
                          <w:rFonts w:cs="Arial"/>
                          <w:sz w:val="18"/>
                          <w:szCs w:val="20"/>
                        </w:rPr>
                        <w:t>YES/NO</w:t>
                      </w:r>
                    </w:p>
                    <w:p w14:paraId="67E2E4FD" w14:textId="77777777" w:rsidR="00F5632D" w:rsidRPr="003B746C" w:rsidRDefault="00F5632D" w:rsidP="00F5632D">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0677B161" w14:textId="77777777" w:rsidR="00F5632D" w:rsidRPr="003B746C" w:rsidRDefault="00F5632D" w:rsidP="00F5632D">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r w:rsidRPr="00C35E2B">
        <w:rPr>
          <w:rFonts w:ascii="Times New Roman" w:eastAsia="Times New Roman" w:hAnsi="Times New Roman" w:cs="Times New Roman"/>
          <w:sz w:val="28"/>
          <w:szCs w:val="28"/>
        </w:rPr>
        <w:t>45</w:t>
      </w:r>
    </w:p>
    <w:p w14:paraId="1FB475C9" w14:textId="77777777" w:rsidR="00F5632D" w:rsidRPr="00C35E2B" w:rsidRDefault="00F5632D" w:rsidP="00F5632D">
      <w:pPr>
        <w:tabs>
          <w:tab w:val="left" w:pos="8998"/>
        </w:tabs>
        <w:spacing w:after="0" w:line="240" w:lineRule="auto"/>
        <w:rPr>
          <w:rFonts w:ascii="Times New Roman" w:eastAsia="Times New Roman" w:hAnsi="Times New Roman" w:cs="Times New Roman"/>
          <w:sz w:val="28"/>
          <w:szCs w:val="28"/>
        </w:rPr>
      </w:pPr>
    </w:p>
    <w:p w14:paraId="69175032" w14:textId="77777777" w:rsidR="00F5632D" w:rsidRPr="00C35E2B" w:rsidRDefault="00F5632D" w:rsidP="00F5632D">
      <w:pPr>
        <w:tabs>
          <w:tab w:val="left" w:pos="8998"/>
        </w:tabs>
        <w:spacing w:after="0" w:line="240" w:lineRule="auto"/>
        <w:rPr>
          <w:rFonts w:ascii="Times New Roman" w:eastAsia="Times New Roman" w:hAnsi="Times New Roman" w:cs="Times New Roman"/>
          <w:sz w:val="28"/>
          <w:szCs w:val="28"/>
        </w:rPr>
      </w:pPr>
    </w:p>
    <w:p w14:paraId="3E6C8680" w14:textId="77777777" w:rsidR="00F5632D" w:rsidRPr="00C35E2B" w:rsidRDefault="00F5632D" w:rsidP="00F5632D">
      <w:pPr>
        <w:tabs>
          <w:tab w:val="left" w:pos="8998"/>
        </w:tabs>
        <w:spacing w:after="0" w:line="240" w:lineRule="auto"/>
        <w:rPr>
          <w:rFonts w:ascii="Times New Roman" w:eastAsia="Times New Roman" w:hAnsi="Times New Roman" w:cs="Times New Roman"/>
          <w:sz w:val="28"/>
          <w:szCs w:val="28"/>
        </w:rPr>
      </w:pPr>
      <w:r w:rsidRPr="00C35E2B">
        <w:rPr>
          <w:rFonts w:ascii="Times New Roman" w:eastAsia="Times New Roman" w:hAnsi="Times New Roman" w:cs="Times New Roman"/>
          <w:sz w:val="28"/>
          <w:szCs w:val="28"/>
        </w:rPr>
        <w:t>In the matter between:</w:t>
      </w:r>
    </w:p>
    <w:p w14:paraId="6470AB66" w14:textId="77777777" w:rsidR="00F5632D" w:rsidRPr="00C35E2B" w:rsidRDefault="00F5632D" w:rsidP="00F5632D">
      <w:pPr>
        <w:tabs>
          <w:tab w:val="right" w:pos="9029"/>
        </w:tabs>
        <w:spacing w:after="0" w:line="240" w:lineRule="auto"/>
        <w:rPr>
          <w:rFonts w:ascii="Times New Roman" w:eastAsia="Times New Roman" w:hAnsi="Times New Roman" w:cs="Times New Roman"/>
          <w:sz w:val="28"/>
          <w:szCs w:val="28"/>
        </w:rPr>
      </w:pPr>
    </w:p>
    <w:p w14:paraId="516C4C28" w14:textId="77777777" w:rsidR="00F5632D" w:rsidRPr="00C35E2B" w:rsidRDefault="00F5632D" w:rsidP="00F5632D">
      <w:pPr>
        <w:tabs>
          <w:tab w:val="right" w:pos="9029"/>
        </w:tabs>
        <w:spacing w:after="0" w:line="240" w:lineRule="auto"/>
        <w:rPr>
          <w:rFonts w:ascii="Times New Roman" w:eastAsia="Times New Roman" w:hAnsi="Times New Roman" w:cs="Times New Roman"/>
          <w:sz w:val="28"/>
          <w:szCs w:val="28"/>
        </w:rPr>
      </w:pPr>
    </w:p>
    <w:p w14:paraId="42B28E25" w14:textId="77777777" w:rsidR="00F5632D" w:rsidRPr="00C35E2B" w:rsidRDefault="00F5632D" w:rsidP="00F5632D">
      <w:pPr>
        <w:tabs>
          <w:tab w:val="right" w:pos="9029"/>
        </w:tabs>
        <w:spacing w:after="0" w:line="240" w:lineRule="auto"/>
        <w:contextualSpacing/>
        <w:rPr>
          <w:rFonts w:ascii="Times New Roman" w:eastAsia="Times New Roman" w:hAnsi="Times New Roman" w:cs="Times New Roman"/>
          <w:b/>
          <w:sz w:val="28"/>
          <w:szCs w:val="28"/>
        </w:rPr>
      </w:pPr>
    </w:p>
    <w:p w14:paraId="1AD8BF49" w14:textId="7E001C90" w:rsidR="00F5632D" w:rsidRDefault="002A4EF7" w:rsidP="00F5632D">
      <w:pPr>
        <w:jc w:val="both"/>
        <w:rPr>
          <w:rFonts w:ascii="Arial" w:hAnsi="Arial" w:cs="Arial"/>
          <w:b/>
          <w:bCs/>
          <w:sz w:val="24"/>
          <w:szCs w:val="24"/>
          <w:lang w:val="en-US"/>
        </w:rPr>
      </w:pP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r>
    </w:p>
    <w:p w14:paraId="58AE82AF" w14:textId="7A889E35" w:rsidR="00F90E3E" w:rsidRPr="00F90E3E" w:rsidRDefault="00F90E3E" w:rsidP="002A4EF7">
      <w:pPr>
        <w:jc w:val="both"/>
        <w:rPr>
          <w:rFonts w:ascii="Arial" w:hAnsi="Arial" w:cs="Arial"/>
          <w:b/>
          <w:bCs/>
          <w:sz w:val="24"/>
          <w:szCs w:val="24"/>
          <w:lang w:val="en-US"/>
        </w:rPr>
      </w:pPr>
      <w:r>
        <w:rPr>
          <w:rFonts w:ascii="Arial" w:hAnsi="Arial" w:cs="Arial"/>
          <w:b/>
          <w:bCs/>
          <w:sz w:val="24"/>
          <w:szCs w:val="24"/>
          <w:lang w:val="en-US"/>
        </w:rPr>
        <w:t xml:space="preserve"> </w:t>
      </w:r>
    </w:p>
    <w:p w14:paraId="2D571A87" w14:textId="0906640B" w:rsidR="002A4EF7" w:rsidRPr="00CE6C98" w:rsidRDefault="002A4EF7" w:rsidP="002A4EF7">
      <w:pPr>
        <w:jc w:val="both"/>
        <w:rPr>
          <w:rFonts w:ascii="Arial" w:hAnsi="Arial" w:cs="Arial"/>
          <w:sz w:val="24"/>
          <w:szCs w:val="24"/>
          <w:lang w:val="en-US"/>
        </w:rPr>
      </w:pPr>
      <w:r w:rsidRPr="00CE6C98">
        <w:rPr>
          <w:rFonts w:ascii="Arial" w:hAnsi="Arial" w:cs="Arial"/>
          <w:sz w:val="24"/>
          <w:szCs w:val="24"/>
          <w:lang w:val="en-US"/>
        </w:rPr>
        <w:t>In the matter between:</w:t>
      </w:r>
    </w:p>
    <w:p w14:paraId="79D8B035" w14:textId="3B356B69" w:rsidR="002A4EF7" w:rsidRPr="00F90E3E" w:rsidRDefault="002A4EF7" w:rsidP="002A4EF7">
      <w:pPr>
        <w:jc w:val="both"/>
        <w:rPr>
          <w:rFonts w:ascii="Arial" w:hAnsi="Arial" w:cs="Arial"/>
          <w:b/>
          <w:bCs/>
          <w:sz w:val="24"/>
          <w:szCs w:val="24"/>
          <w:lang w:val="en-US"/>
        </w:rPr>
      </w:pPr>
      <w:r w:rsidRPr="00F90E3E">
        <w:rPr>
          <w:rFonts w:ascii="Arial" w:hAnsi="Arial" w:cs="Arial"/>
          <w:b/>
          <w:bCs/>
          <w:sz w:val="24"/>
          <w:szCs w:val="24"/>
          <w:lang w:val="en-US"/>
        </w:rPr>
        <w:t>RAND WATER BOARD</w:t>
      </w: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r>
      <w:r w:rsidRPr="00F90E3E">
        <w:rPr>
          <w:rFonts w:ascii="Arial" w:hAnsi="Arial" w:cs="Arial"/>
          <w:b/>
          <w:bCs/>
          <w:sz w:val="24"/>
          <w:szCs w:val="24"/>
          <w:lang w:val="en-US"/>
        </w:rPr>
        <w:tab/>
        <w:t>First Applicant</w:t>
      </w:r>
    </w:p>
    <w:p w14:paraId="74831AA3" w14:textId="68B2D4E8" w:rsidR="002A4EF7" w:rsidRPr="00F90E3E" w:rsidRDefault="002A4EF7" w:rsidP="002A4EF7">
      <w:pPr>
        <w:jc w:val="both"/>
        <w:rPr>
          <w:rFonts w:ascii="Arial" w:hAnsi="Arial" w:cs="Arial"/>
          <w:b/>
          <w:bCs/>
          <w:sz w:val="24"/>
          <w:szCs w:val="24"/>
          <w:lang w:val="en-US"/>
        </w:rPr>
      </w:pPr>
      <w:r w:rsidRPr="00F90E3E">
        <w:rPr>
          <w:rFonts w:ascii="Arial" w:hAnsi="Arial" w:cs="Arial"/>
          <w:b/>
          <w:bCs/>
          <w:sz w:val="24"/>
          <w:szCs w:val="24"/>
          <w:lang w:val="en-US"/>
        </w:rPr>
        <w:t>CHIEF EXECUTIVE OFFICER: RAND WATER BOARD</w:t>
      </w:r>
      <w:r w:rsidRPr="00F90E3E">
        <w:rPr>
          <w:rFonts w:ascii="Arial" w:hAnsi="Arial" w:cs="Arial"/>
          <w:b/>
          <w:bCs/>
          <w:sz w:val="24"/>
          <w:szCs w:val="24"/>
          <w:lang w:val="en-US"/>
        </w:rPr>
        <w:tab/>
        <w:t>Second Applicant</w:t>
      </w:r>
    </w:p>
    <w:p w14:paraId="59F25D6C" w14:textId="4B7E722B" w:rsidR="002A4EF7" w:rsidRPr="00CE6C98" w:rsidRDefault="002A4EF7" w:rsidP="002A4EF7">
      <w:pPr>
        <w:jc w:val="both"/>
        <w:rPr>
          <w:rFonts w:ascii="Arial" w:hAnsi="Arial" w:cs="Arial"/>
          <w:sz w:val="24"/>
          <w:szCs w:val="24"/>
          <w:lang w:val="en-US"/>
        </w:rPr>
      </w:pPr>
      <w:r w:rsidRPr="00CE6C98">
        <w:rPr>
          <w:rFonts w:ascii="Arial" w:hAnsi="Arial" w:cs="Arial"/>
          <w:sz w:val="24"/>
          <w:szCs w:val="24"/>
          <w:lang w:val="en-US"/>
        </w:rPr>
        <w:t>and</w:t>
      </w:r>
    </w:p>
    <w:p w14:paraId="788C61D6" w14:textId="2F9EBF92" w:rsidR="002A4EF7" w:rsidRPr="00F90E3E" w:rsidRDefault="002A4EF7" w:rsidP="002A4EF7">
      <w:pPr>
        <w:jc w:val="both"/>
        <w:rPr>
          <w:rFonts w:ascii="Arial" w:hAnsi="Arial" w:cs="Arial"/>
          <w:b/>
          <w:bCs/>
          <w:sz w:val="24"/>
          <w:szCs w:val="24"/>
          <w:lang w:val="en-US"/>
        </w:rPr>
      </w:pPr>
      <w:r w:rsidRPr="00F90E3E">
        <w:rPr>
          <w:rFonts w:ascii="Arial" w:hAnsi="Arial" w:cs="Arial"/>
          <w:b/>
          <w:bCs/>
          <w:sz w:val="24"/>
          <w:szCs w:val="24"/>
          <w:lang w:val="en-US"/>
        </w:rPr>
        <w:t>KARIKI PIPELINE AND WATER PROJECT (PTY) LTD</w:t>
      </w:r>
      <w:r w:rsidRPr="00F90E3E">
        <w:rPr>
          <w:rFonts w:ascii="Arial" w:hAnsi="Arial" w:cs="Arial"/>
          <w:b/>
          <w:bCs/>
          <w:sz w:val="24"/>
          <w:szCs w:val="24"/>
          <w:lang w:val="en-US"/>
        </w:rPr>
        <w:tab/>
        <w:t>Respondent</w:t>
      </w:r>
    </w:p>
    <w:p w14:paraId="7E605081" w14:textId="5105292A" w:rsidR="002A4EF7" w:rsidRPr="00567597" w:rsidRDefault="002A4EF7">
      <w:pPr>
        <w:rPr>
          <w:rFonts w:ascii="Arial" w:hAnsi="Arial" w:cs="Arial"/>
          <w:sz w:val="24"/>
          <w:szCs w:val="24"/>
          <w:lang w:val="en-US"/>
        </w:rPr>
      </w:pPr>
    </w:p>
    <w:p w14:paraId="4DE1ED61" w14:textId="783EFD5C" w:rsidR="002A4EF7" w:rsidRPr="00567597" w:rsidRDefault="002A4EF7">
      <w:pPr>
        <w:rPr>
          <w:rFonts w:ascii="Arial" w:hAnsi="Arial" w:cs="Arial"/>
          <w:sz w:val="24"/>
          <w:szCs w:val="24"/>
          <w:u w:val="single"/>
          <w:lang w:val="en-US"/>
        </w:rPr>
      </w:pP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p>
    <w:p w14:paraId="4ECD8162" w14:textId="57D2931D" w:rsidR="002A4EF7" w:rsidRPr="00567597" w:rsidRDefault="002A4EF7" w:rsidP="002A4EF7">
      <w:pPr>
        <w:jc w:val="center"/>
        <w:rPr>
          <w:rFonts w:ascii="Arial" w:hAnsi="Arial" w:cs="Arial"/>
          <w:b/>
          <w:bCs/>
          <w:sz w:val="24"/>
          <w:szCs w:val="24"/>
          <w:lang w:val="en-US"/>
        </w:rPr>
      </w:pPr>
      <w:r w:rsidRPr="00567597">
        <w:rPr>
          <w:rFonts w:ascii="Arial" w:hAnsi="Arial" w:cs="Arial"/>
          <w:b/>
          <w:bCs/>
          <w:sz w:val="24"/>
          <w:szCs w:val="24"/>
          <w:lang w:val="en-US"/>
        </w:rPr>
        <w:t>JUDGMENT</w:t>
      </w:r>
    </w:p>
    <w:p w14:paraId="61FA63FD" w14:textId="2E3454BF" w:rsidR="002A4EF7" w:rsidRPr="00567597" w:rsidRDefault="002A4EF7">
      <w:pPr>
        <w:rPr>
          <w:rFonts w:ascii="Arial" w:hAnsi="Arial" w:cs="Arial"/>
          <w:sz w:val="24"/>
          <w:szCs w:val="24"/>
          <w:u w:val="single"/>
          <w:lang w:val="en-US"/>
        </w:rPr>
      </w:pP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r w:rsidRPr="00567597">
        <w:rPr>
          <w:rFonts w:ascii="Arial" w:hAnsi="Arial" w:cs="Arial"/>
          <w:sz w:val="24"/>
          <w:szCs w:val="24"/>
          <w:u w:val="single"/>
          <w:lang w:val="en-US"/>
        </w:rPr>
        <w:tab/>
      </w:r>
    </w:p>
    <w:p w14:paraId="36252C85" w14:textId="77777777" w:rsidR="002A4EF7" w:rsidRPr="00567597" w:rsidRDefault="002A4EF7">
      <w:pPr>
        <w:rPr>
          <w:rFonts w:ascii="Arial" w:hAnsi="Arial" w:cs="Arial"/>
          <w:sz w:val="24"/>
          <w:szCs w:val="24"/>
          <w:lang w:val="en-US"/>
        </w:rPr>
      </w:pPr>
    </w:p>
    <w:p w14:paraId="314C493F" w14:textId="6FB4696A" w:rsidR="00F90E3E" w:rsidRPr="00CE6C98" w:rsidRDefault="00F90E3E">
      <w:pPr>
        <w:rPr>
          <w:rFonts w:ascii="Arial" w:hAnsi="Arial" w:cs="Arial"/>
          <w:b/>
          <w:bCs/>
          <w:sz w:val="24"/>
          <w:szCs w:val="24"/>
          <w:lang w:val="en-US"/>
        </w:rPr>
      </w:pPr>
      <w:r w:rsidRPr="00CE6C98">
        <w:rPr>
          <w:rFonts w:ascii="Arial" w:hAnsi="Arial" w:cs="Arial"/>
          <w:b/>
          <w:bCs/>
          <w:sz w:val="24"/>
          <w:szCs w:val="24"/>
          <w:lang w:val="en-US"/>
        </w:rPr>
        <w:t>Wijnbeek</w:t>
      </w:r>
      <w:r w:rsidR="00CE6C98" w:rsidRPr="00CE6C98">
        <w:rPr>
          <w:rFonts w:ascii="Arial" w:hAnsi="Arial" w:cs="Arial"/>
          <w:b/>
          <w:bCs/>
          <w:sz w:val="24"/>
          <w:szCs w:val="24"/>
          <w:lang w:val="en-US"/>
        </w:rPr>
        <w:t>,</w:t>
      </w:r>
      <w:r w:rsidRPr="00CE6C98">
        <w:rPr>
          <w:rFonts w:ascii="Arial" w:hAnsi="Arial" w:cs="Arial"/>
          <w:b/>
          <w:bCs/>
          <w:sz w:val="24"/>
          <w:szCs w:val="24"/>
          <w:lang w:val="en-US"/>
        </w:rPr>
        <w:t xml:space="preserve"> AJ</w:t>
      </w:r>
    </w:p>
    <w:p w14:paraId="255654FA" w14:textId="77777777" w:rsidR="00F90E3E" w:rsidRPr="00567597" w:rsidRDefault="00F90E3E">
      <w:pPr>
        <w:rPr>
          <w:rFonts w:ascii="Arial" w:hAnsi="Arial" w:cs="Arial"/>
          <w:sz w:val="24"/>
          <w:szCs w:val="24"/>
          <w:lang w:val="en-US"/>
        </w:rPr>
      </w:pPr>
    </w:p>
    <w:p w14:paraId="39781E3D" w14:textId="7628C76F" w:rsidR="00F90E3E"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1.</w:t>
      </w:r>
      <w:r w:rsidRPr="00567597">
        <w:rPr>
          <w:rFonts w:ascii="Arial" w:hAnsi="Arial" w:cs="Arial"/>
          <w:sz w:val="24"/>
          <w:szCs w:val="24"/>
          <w:lang w:val="en-US"/>
        </w:rPr>
        <w:tab/>
      </w:r>
      <w:r w:rsidR="00F90E3E" w:rsidRPr="000F0073">
        <w:rPr>
          <w:rFonts w:ascii="Arial" w:hAnsi="Arial" w:cs="Arial"/>
          <w:sz w:val="24"/>
          <w:szCs w:val="24"/>
          <w:lang w:val="en-US"/>
        </w:rPr>
        <w:t xml:space="preserve">The </w:t>
      </w:r>
      <w:r w:rsidR="00F36933" w:rsidRPr="000F0073">
        <w:rPr>
          <w:rFonts w:ascii="Arial" w:hAnsi="Arial" w:cs="Arial"/>
          <w:sz w:val="24"/>
          <w:szCs w:val="24"/>
          <w:lang w:val="en-US"/>
        </w:rPr>
        <w:t>r</w:t>
      </w:r>
      <w:r w:rsidR="00F90E3E" w:rsidRPr="000F0073">
        <w:rPr>
          <w:rFonts w:ascii="Arial" w:hAnsi="Arial" w:cs="Arial"/>
          <w:sz w:val="24"/>
          <w:szCs w:val="24"/>
          <w:lang w:val="en-US"/>
        </w:rPr>
        <w:t xml:space="preserve">espondent filed its appeal record and heads of argument in an appeal before the full bench of this court without </w:t>
      </w:r>
      <w:r w:rsidR="005D04D7" w:rsidRPr="000F0073">
        <w:rPr>
          <w:rFonts w:ascii="Arial" w:hAnsi="Arial" w:cs="Arial"/>
          <w:sz w:val="24"/>
          <w:szCs w:val="24"/>
          <w:lang w:val="en-US"/>
        </w:rPr>
        <w:t>entering</w:t>
      </w:r>
      <w:r w:rsidR="00F90E3E" w:rsidRPr="000F0073">
        <w:rPr>
          <w:rFonts w:ascii="Arial" w:hAnsi="Arial" w:cs="Arial"/>
          <w:sz w:val="24"/>
          <w:szCs w:val="24"/>
          <w:lang w:val="en-US"/>
        </w:rPr>
        <w:t xml:space="preserve"> good and sufficient security for </w:t>
      </w:r>
      <w:r w:rsidR="00F36933" w:rsidRPr="000F0073">
        <w:rPr>
          <w:rFonts w:ascii="Arial" w:hAnsi="Arial" w:cs="Arial"/>
          <w:sz w:val="24"/>
          <w:szCs w:val="24"/>
          <w:lang w:val="en-US"/>
        </w:rPr>
        <w:t>a</w:t>
      </w:r>
      <w:r w:rsidR="00F90E3E" w:rsidRPr="000F0073">
        <w:rPr>
          <w:rFonts w:ascii="Arial" w:hAnsi="Arial" w:cs="Arial"/>
          <w:sz w:val="24"/>
          <w:szCs w:val="24"/>
          <w:lang w:val="en-US"/>
        </w:rPr>
        <w:t>pplicants</w:t>
      </w:r>
      <w:r w:rsidR="00F36933" w:rsidRPr="000F0073">
        <w:rPr>
          <w:rFonts w:ascii="Arial" w:hAnsi="Arial" w:cs="Arial"/>
          <w:sz w:val="24"/>
          <w:szCs w:val="24"/>
          <w:lang w:val="en-US"/>
        </w:rPr>
        <w:t>’</w:t>
      </w:r>
      <w:r w:rsidR="00F90E3E" w:rsidRPr="000F0073">
        <w:rPr>
          <w:rFonts w:ascii="Arial" w:hAnsi="Arial" w:cs="Arial"/>
          <w:sz w:val="24"/>
          <w:szCs w:val="24"/>
          <w:lang w:val="en-US"/>
        </w:rPr>
        <w:t xml:space="preserve"> costs in the appeal.  </w:t>
      </w:r>
    </w:p>
    <w:p w14:paraId="191B25D1" w14:textId="41867547" w:rsidR="00F90E3E" w:rsidRPr="00567597" w:rsidRDefault="00F90E3E" w:rsidP="00F90E3E">
      <w:pPr>
        <w:pStyle w:val="ListParagraph"/>
        <w:spacing w:line="360" w:lineRule="auto"/>
        <w:ind w:left="360"/>
        <w:rPr>
          <w:rFonts w:ascii="Arial" w:hAnsi="Arial" w:cs="Arial"/>
          <w:sz w:val="24"/>
          <w:szCs w:val="24"/>
          <w:lang w:val="en-US"/>
        </w:rPr>
      </w:pPr>
    </w:p>
    <w:p w14:paraId="195D570E" w14:textId="40934669" w:rsidR="00F90E3E"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2.</w:t>
      </w:r>
      <w:r w:rsidRPr="00567597">
        <w:rPr>
          <w:rFonts w:ascii="Arial" w:hAnsi="Arial" w:cs="Arial"/>
          <w:sz w:val="24"/>
          <w:szCs w:val="24"/>
          <w:lang w:val="en-US"/>
        </w:rPr>
        <w:tab/>
      </w:r>
      <w:r w:rsidR="00F90E3E" w:rsidRPr="000F0073">
        <w:rPr>
          <w:rFonts w:ascii="Arial" w:hAnsi="Arial" w:cs="Arial"/>
          <w:sz w:val="24"/>
          <w:szCs w:val="24"/>
          <w:lang w:val="en-US"/>
        </w:rPr>
        <w:t xml:space="preserve">The </w:t>
      </w:r>
      <w:r w:rsidR="00F36933" w:rsidRPr="000F0073">
        <w:rPr>
          <w:rFonts w:ascii="Arial" w:hAnsi="Arial" w:cs="Arial"/>
          <w:sz w:val="24"/>
          <w:szCs w:val="24"/>
          <w:lang w:val="en-US"/>
        </w:rPr>
        <w:t>a</w:t>
      </w:r>
      <w:r w:rsidR="00F90E3E" w:rsidRPr="000F0073">
        <w:rPr>
          <w:rFonts w:ascii="Arial" w:hAnsi="Arial" w:cs="Arial"/>
          <w:sz w:val="24"/>
          <w:szCs w:val="24"/>
          <w:lang w:val="en-US"/>
        </w:rPr>
        <w:t xml:space="preserve">pplicant accordingly applies for an order setting aside the aforesaid as irregular steps.  In argument the </w:t>
      </w:r>
      <w:r w:rsidR="00F36933" w:rsidRPr="000F0073">
        <w:rPr>
          <w:rFonts w:ascii="Arial" w:hAnsi="Arial" w:cs="Arial"/>
          <w:sz w:val="24"/>
          <w:szCs w:val="24"/>
          <w:lang w:val="en-US"/>
        </w:rPr>
        <w:t>r</w:t>
      </w:r>
      <w:r w:rsidR="00F90E3E" w:rsidRPr="000F0073">
        <w:rPr>
          <w:rFonts w:ascii="Arial" w:hAnsi="Arial" w:cs="Arial"/>
          <w:sz w:val="24"/>
          <w:szCs w:val="24"/>
          <w:lang w:val="en-US"/>
        </w:rPr>
        <w:t>espondent also asks that the court declare that the appeal lapsed, yet such relief does not form part of the Notice of Motion.</w:t>
      </w:r>
    </w:p>
    <w:p w14:paraId="2CE16850" w14:textId="77777777" w:rsidR="00F90E3E" w:rsidRPr="00567597" w:rsidRDefault="00F90E3E" w:rsidP="00F90E3E">
      <w:pPr>
        <w:pStyle w:val="ListParagraph"/>
        <w:rPr>
          <w:rFonts w:ascii="Arial" w:hAnsi="Arial" w:cs="Arial"/>
          <w:sz w:val="24"/>
          <w:szCs w:val="24"/>
          <w:lang w:val="en-US"/>
        </w:rPr>
      </w:pPr>
    </w:p>
    <w:p w14:paraId="12271F27" w14:textId="7F81BD8E" w:rsidR="007E5645"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2A4EF7" w:rsidRPr="000F0073">
        <w:rPr>
          <w:rFonts w:ascii="Arial" w:hAnsi="Arial" w:cs="Arial"/>
          <w:sz w:val="24"/>
          <w:szCs w:val="24"/>
          <w:lang w:val="en-US"/>
        </w:rPr>
        <w:t xml:space="preserve">The </w:t>
      </w:r>
      <w:r w:rsidR="00F36933" w:rsidRPr="000F0073">
        <w:rPr>
          <w:rFonts w:ascii="Arial" w:hAnsi="Arial" w:cs="Arial"/>
          <w:sz w:val="24"/>
          <w:szCs w:val="24"/>
          <w:lang w:val="en-US"/>
        </w:rPr>
        <w:t>a</w:t>
      </w:r>
      <w:r w:rsidR="002A4EF7" w:rsidRPr="000F0073">
        <w:rPr>
          <w:rFonts w:ascii="Arial" w:hAnsi="Arial" w:cs="Arial"/>
          <w:sz w:val="24"/>
          <w:szCs w:val="24"/>
          <w:lang w:val="en-US"/>
        </w:rPr>
        <w:t xml:space="preserve">pplicants, represented by Advocates Tsatsawane SC and Loabile-Rantao argues that the </w:t>
      </w:r>
      <w:r w:rsidR="00F36933" w:rsidRPr="000F0073">
        <w:rPr>
          <w:rFonts w:ascii="Arial" w:hAnsi="Arial" w:cs="Arial"/>
          <w:sz w:val="24"/>
          <w:szCs w:val="24"/>
          <w:lang w:val="en-US"/>
        </w:rPr>
        <w:t>r</w:t>
      </w:r>
      <w:r w:rsidR="00F90E3E" w:rsidRPr="000F0073">
        <w:rPr>
          <w:rFonts w:ascii="Arial" w:hAnsi="Arial" w:cs="Arial"/>
          <w:sz w:val="24"/>
          <w:szCs w:val="24"/>
          <w:lang w:val="en-US"/>
        </w:rPr>
        <w:t>espondent failed to comply with Uniform Rule 49(13)</w:t>
      </w:r>
      <w:r w:rsidR="00687410" w:rsidRPr="000F0073">
        <w:rPr>
          <w:rFonts w:ascii="Arial" w:hAnsi="Arial" w:cs="Arial"/>
          <w:sz w:val="24"/>
          <w:szCs w:val="24"/>
          <w:lang w:val="en-US"/>
        </w:rPr>
        <w:t xml:space="preserve"> and that the steps taken in prosecuting the appeal are irregular</w:t>
      </w:r>
      <w:r w:rsidR="00F90E3E" w:rsidRPr="000F0073">
        <w:rPr>
          <w:rFonts w:ascii="Arial" w:hAnsi="Arial" w:cs="Arial"/>
          <w:sz w:val="24"/>
          <w:szCs w:val="24"/>
          <w:lang w:val="en-US"/>
        </w:rPr>
        <w:t>.</w:t>
      </w:r>
      <w:r w:rsidR="002A4EF7" w:rsidRPr="000F0073">
        <w:rPr>
          <w:rFonts w:ascii="Arial" w:hAnsi="Arial" w:cs="Arial"/>
          <w:sz w:val="24"/>
          <w:szCs w:val="24"/>
          <w:lang w:val="en-US"/>
        </w:rPr>
        <w:t xml:space="preserve"> The </w:t>
      </w:r>
      <w:r w:rsidR="00F36933" w:rsidRPr="000F0073">
        <w:rPr>
          <w:rFonts w:ascii="Arial" w:hAnsi="Arial" w:cs="Arial"/>
          <w:sz w:val="24"/>
          <w:szCs w:val="24"/>
          <w:lang w:val="en-US"/>
        </w:rPr>
        <w:t>r</w:t>
      </w:r>
      <w:r w:rsidR="002A4EF7" w:rsidRPr="000F0073">
        <w:rPr>
          <w:rFonts w:ascii="Arial" w:hAnsi="Arial" w:cs="Arial"/>
          <w:sz w:val="24"/>
          <w:szCs w:val="24"/>
          <w:lang w:val="en-US"/>
        </w:rPr>
        <w:t xml:space="preserve">espondent, represented by </w:t>
      </w:r>
      <w:r w:rsidR="00D54193" w:rsidRPr="000F0073">
        <w:rPr>
          <w:rFonts w:ascii="Arial" w:hAnsi="Arial" w:cs="Arial"/>
          <w:sz w:val="24"/>
          <w:szCs w:val="24"/>
          <w:lang w:val="en-US"/>
        </w:rPr>
        <w:t>Mr</w:t>
      </w:r>
      <w:r w:rsidR="002A4EF7" w:rsidRPr="000F0073">
        <w:rPr>
          <w:rFonts w:ascii="Arial" w:hAnsi="Arial" w:cs="Arial"/>
          <w:sz w:val="24"/>
          <w:szCs w:val="24"/>
          <w:lang w:val="en-US"/>
        </w:rPr>
        <w:t xml:space="preserve"> Marumoagae argues that the Respondent is not bound to </w:t>
      </w:r>
      <w:r w:rsidR="005D04D7" w:rsidRPr="000F0073">
        <w:rPr>
          <w:rFonts w:ascii="Arial" w:hAnsi="Arial" w:cs="Arial"/>
          <w:sz w:val="24"/>
          <w:szCs w:val="24"/>
          <w:lang w:val="en-US"/>
        </w:rPr>
        <w:t>enter</w:t>
      </w:r>
      <w:r w:rsidR="002A4EF7" w:rsidRPr="000F0073">
        <w:rPr>
          <w:rFonts w:ascii="Arial" w:hAnsi="Arial" w:cs="Arial"/>
          <w:sz w:val="24"/>
          <w:szCs w:val="24"/>
          <w:lang w:val="en-US"/>
        </w:rPr>
        <w:t xml:space="preserve"> security </w:t>
      </w:r>
      <w:r w:rsidR="00F90E3E" w:rsidRPr="000F0073">
        <w:rPr>
          <w:rFonts w:ascii="Arial" w:hAnsi="Arial" w:cs="Arial"/>
          <w:sz w:val="24"/>
          <w:szCs w:val="24"/>
          <w:lang w:val="en-US"/>
        </w:rPr>
        <w:t xml:space="preserve">for the </w:t>
      </w:r>
      <w:r w:rsidR="00F36933" w:rsidRPr="000F0073">
        <w:rPr>
          <w:rFonts w:ascii="Arial" w:hAnsi="Arial" w:cs="Arial"/>
          <w:sz w:val="24"/>
          <w:szCs w:val="24"/>
          <w:lang w:val="en-US"/>
        </w:rPr>
        <w:t>a</w:t>
      </w:r>
      <w:r w:rsidR="00F90E3E" w:rsidRPr="000F0073">
        <w:rPr>
          <w:rFonts w:ascii="Arial" w:hAnsi="Arial" w:cs="Arial"/>
          <w:sz w:val="24"/>
          <w:szCs w:val="24"/>
          <w:lang w:val="en-US"/>
        </w:rPr>
        <w:t>pplicants</w:t>
      </w:r>
      <w:r w:rsidR="00F36933" w:rsidRPr="000F0073">
        <w:rPr>
          <w:rFonts w:ascii="Arial" w:hAnsi="Arial" w:cs="Arial"/>
          <w:sz w:val="24"/>
          <w:szCs w:val="24"/>
          <w:lang w:val="en-US"/>
        </w:rPr>
        <w:t>’</w:t>
      </w:r>
      <w:r w:rsidR="00F90E3E" w:rsidRPr="000F0073">
        <w:rPr>
          <w:rFonts w:ascii="Arial" w:hAnsi="Arial" w:cs="Arial"/>
          <w:sz w:val="24"/>
          <w:szCs w:val="24"/>
          <w:lang w:val="en-US"/>
        </w:rPr>
        <w:t xml:space="preserve"> costs in the appeal</w:t>
      </w:r>
      <w:r w:rsidR="007E5645" w:rsidRPr="000F0073">
        <w:rPr>
          <w:rFonts w:ascii="Arial" w:hAnsi="Arial" w:cs="Arial"/>
          <w:sz w:val="24"/>
          <w:szCs w:val="24"/>
          <w:lang w:val="en-US"/>
        </w:rPr>
        <w:t xml:space="preserve"> because the Supreme Court of Appeal granted leave to appeal</w:t>
      </w:r>
      <w:r w:rsidR="00F90E3E" w:rsidRPr="000F0073">
        <w:rPr>
          <w:rFonts w:ascii="Arial" w:hAnsi="Arial" w:cs="Arial"/>
          <w:sz w:val="24"/>
          <w:szCs w:val="24"/>
          <w:lang w:val="en-US"/>
        </w:rPr>
        <w:t>.</w:t>
      </w:r>
      <w:r w:rsidR="00D429DA" w:rsidRPr="000F0073">
        <w:rPr>
          <w:rFonts w:ascii="Arial" w:hAnsi="Arial" w:cs="Arial"/>
          <w:sz w:val="24"/>
          <w:szCs w:val="24"/>
          <w:lang w:val="en-US"/>
        </w:rPr>
        <w:t xml:space="preserve">  </w:t>
      </w:r>
    </w:p>
    <w:p w14:paraId="01E2DD55" w14:textId="77777777" w:rsidR="007E5645" w:rsidRPr="007E5645" w:rsidRDefault="007E5645" w:rsidP="007E5645">
      <w:pPr>
        <w:pStyle w:val="ListParagraph"/>
        <w:rPr>
          <w:rFonts w:ascii="Arial" w:hAnsi="Arial" w:cs="Arial"/>
          <w:sz w:val="24"/>
          <w:szCs w:val="24"/>
          <w:lang w:val="en-US"/>
        </w:rPr>
      </w:pPr>
    </w:p>
    <w:p w14:paraId="1A3A9C85" w14:textId="7C924C79" w:rsidR="002A4EF7"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4.</w:t>
      </w:r>
      <w:r w:rsidRPr="00567597">
        <w:rPr>
          <w:rFonts w:ascii="Arial" w:hAnsi="Arial" w:cs="Arial"/>
          <w:sz w:val="24"/>
          <w:szCs w:val="24"/>
          <w:lang w:val="en-US"/>
        </w:rPr>
        <w:tab/>
      </w:r>
      <w:r w:rsidR="00D429DA" w:rsidRPr="000F0073">
        <w:rPr>
          <w:rFonts w:ascii="Arial" w:hAnsi="Arial" w:cs="Arial"/>
          <w:sz w:val="24"/>
          <w:szCs w:val="24"/>
          <w:lang w:val="en-US"/>
        </w:rPr>
        <w:t>To avoid confusion</w:t>
      </w:r>
      <w:r w:rsidR="00F90E3E" w:rsidRPr="000F0073">
        <w:rPr>
          <w:rFonts w:ascii="Arial" w:hAnsi="Arial" w:cs="Arial"/>
          <w:sz w:val="24"/>
          <w:szCs w:val="24"/>
          <w:lang w:val="en-US"/>
        </w:rPr>
        <w:t xml:space="preserve"> in reference to the parties in this application vis-à-vis their description in the appeal</w:t>
      </w:r>
      <w:r w:rsidR="00D429DA" w:rsidRPr="000F0073">
        <w:rPr>
          <w:rFonts w:ascii="Arial" w:hAnsi="Arial" w:cs="Arial"/>
          <w:sz w:val="24"/>
          <w:szCs w:val="24"/>
          <w:lang w:val="en-US"/>
        </w:rPr>
        <w:t xml:space="preserve">, the </w:t>
      </w:r>
      <w:r w:rsidR="00F36933" w:rsidRPr="000F0073">
        <w:rPr>
          <w:rFonts w:ascii="Arial" w:hAnsi="Arial" w:cs="Arial"/>
          <w:sz w:val="24"/>
          <w:szCs w:val="24"/>
          <w:lang w:val="en-US"/>
        </w:rPr>
        <w:t>a</w:t>
      </w:r>
      <w:r w:rsidR="00D429DA" w:rsidRPr="000F0073">
        <w:rPr>
          <w:rFonts w:ascii="Arial" w:hAnsi="Arial" w:cs="Arial"/>
          <w:sz w:val="24"/>
          <w:szCs w:val="24"/>
          <w:lang w:val="en-US"/>
        </w:rPr>
        <w:t xml:space="preserve">pplicants will jointly be referred to as “Rand Water” and the </w:t>
      </w:r>
      <w:r w:rsidR="00F36933" w:rsidRPr="000F0073">
        <w:rPr>
          <w:rFonts w:ascii="Arial" w:hAnsi="Arial" w:cs="Arial"/>
          <w:sz w:val="24"/>
          <w:szCs w:val="24"/>
          <w:lang w:val="en-US"/>
        </w:rPr>
        <w:t>r</w:t>
      </w:r>
      <w:r w:rsidR="00D429DA" w:rsidRPr="000F0073">
        <w:rPr>
          <w:rFonts w:ascii="Arial" w:hAnsi="Arial" w:cs="Arial"/>
          <w:sz w:val="24"/>
          <w:szCs w:val="24"/>
          <w:lang w:val="en-US"/>
        </w:rPr>
        <w:t xml:space="preserve">espondent </w:t>
      </w:r>
      <w:r w:rsidR="007E5645" w:rsidRPr="000F0073">
        <w:rPr>
          <w:rFonts w:ascii="Arial" w:hAnsi="Arial" w:cs="Arial"/>
          <w:sz w:val="24"/>
          <w:szCs w:val="24"/>
          <w:lang w:val="en-US"/>
        </w:rPr>
        <w:t>as</w:t>
      </w:r>
      <w:r w:rsidR="00D429DA" w:rsidRPr="000F0073">
        <w:rPr>
          <w:rFonts w:ascii="Arial" w:hAnsi="Arial" w:cs="Arial"/>
          <w:sz w:val="24"/>
          <w:szCs w:val="24"/>
          <w:lang w:val="en-US"/>
        </w:rPr>
        <w:t xml:space="preserve"> “Kariki”. </w:t>
      </w:r>
    </w:p>
    <w:p w14:paraId="1819B057" w14:textId="0AC01C40" w:rsidR="002A4EF7" w:rsidRPr="00567597" w:rsidRDefault="002A4EF7" w:rsidP="002A4EF7">
      <w:pPr>
        <w:pStyle w:val="ListParagraph"/>
        <w:spacing w:line="360" w:lineRule="auto"/>
        <w:ind w:left="360"/>
        <w:rPr>
          <w:rFonts w:ascii="Arial" w:hAnsi="Arial" w:cs="Arial"/>
          <w:sz w:val="24"/>
          <w:szCs w:val="24"/>
          <w:lang w:val="en-US"/>
        </w:rPr>
      </w:pPr>
    </w:p>
    <w:p w14:paraId="79835846" w14:textId="417F01C1" w:rsidR="00CE6C98" w:rsidRPr="00CE6C98" w:rsidRDefault="00CE6C98" w:rsidP="00F90E3E">
      <w:pPr>
        <w:spacing w:line="360" w:lineRule="auto"/>
        <w:jc w:val="both"/>
        <w:rPr>
          <w:rFonts w:ascii="Arial" w:hAnsi="Arial" w:cs="Arial"/>
          <w:i/>
          <w:iCs/>
          <w:sz w:val="24"/>
          <w:szCs w:val="24"/>
          <w:lang w:val="en-US"/>
        </w:rPr>
      </w:pPr>
      <w:r w:rsidRPr="00CE6C98">
        <w:rPr>
          <w:rFonts w:ascii="Arial" w:hAnsi="Arial" w:cs="Arial"/>
          <w:i/>
          <w:iCs/>
          <w:sz w:val="24"/>
          <w:szCs w:val="24"/>
          <w:lang w:val="en-US"/>
        </w:rPr>
        <w:t>Brief History on the Facts</w:t>
      </w:r>
    </w:p>
    <w:p w14:paraId="73131E7C" w14:textId="7DAAA9CD" w:rsidR="00D429DA"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5.</w:t>
      </w:r>
      <w:r w:rsidRPr="00567597">
        <w:rPr>
          <w:rFonts w:ascii="Arial" w:hAnsi="Arial" w:cs="Arial"/>
          <w:sz w:val="24"/>
          <w:szCs w:val="24"/>
          <w:lang w:val="en-US"/>
        </w:rPr>
        <w:tab/>
      </w:r>
      <w:r w:rsidR="00D429DA" w:rsidRPr="000F0073">
        <w:rPr>
          <w:rFonts w:ascii="Arial" w:hAnsi="Arial" w:cs="Arial"/>
          <w:sz w:val="24"/>
          <w:szCs w:val="24"/>
          <w:lang w:val="en-US"/>
        </w:rPr>
        <w:t>In June 2020, Kariki filed a notice of intention to amend the main application it instituted against Rand Water. The main application deals with allegations of tender irregularity.</w:t>
      </w:r>
    </w:p>
    <w:p w14:paraId="04322A5D" w14:textId="138FE291" w:rsidR="00D429DA" w:rsidRPr="00567597" w:rsidRDefault="00D429DA" w:rsidP="00F90E3E">
      <w:pPr>
        <w:pStyle w:val="ListParagraph"/>
        <w:spacing w:line="360" w:lineRule="auto"/>
        <w:ind w:left="360"/>
        <w:jc w:val="both"/>
        <w:rPr>
          <w:rFonts w:ascii="Arial" w:hAnsi="Arial" w:cs="Arial"/>
          <w:sz w:val="24"/>
          <w:szCs w:val="24"/>
          <w:lang w:val="en-US"/>
        </w:rPr>
      </w:pPr>
    </w:p>
    <w:p w14:paraId="728A4C14" w14:textId="402B1450" w:rsidR="00A874DB"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6.</w:t>
      </w:r>
      <w:r w:rsidRPr="00567597">
        <w:rPr>
          <w:rFonts w:ascii="Arial" w:hAnsi="Arial" w:cs="Arial"/>
          <w:sz w:val="24"/>
          <w:szCs w:val="24"/>
          <w:lang w:val="en-US"/>
        </w:rPr>
        <w:tab/>
      </w:r>
      <w:r w:rsidR="00D429DA" w:rsidRPr="000F0073">
        <w:rPr>
          <w:rFonts w:ascii="Arial" w:hAnsi="Arial" w:cs="Arial"/>
          <w:sz w:val="24"/>
          <w:szCs w:val="24"/>
          <w:lang w:val="en-US"/>
        </w:rPr>
        <w:t xml:space="preserve">Rand Water objected to the notice of intention to amend, and the court subsequently dismissed Kariki’s application for leave to amend its notice of motion.  </w:t>
      </w:r>
      <w:r w:rsidR="00A874DB" w:rsidRPr="000F0073">
        <w:rPr>
          <w:rFonts w:ascii="Arial" w:hAnsi="Arial" w:cs="Arial"/>
          <w:sz w:val="24"/>
          <w:szCs w:val="24"/>
          <w:lang w:val="en-US"/>
        </w:rPr>
        <w:t xml:space="preserve">Kariki thereafter applied for leave to appeal to this court, and upon its dismissal, </w:t>
      </w:r>
      <w:r w:rsidR="007A55F2" w:rsidRPr="000F0073">
        <w:rPr>
          <w:rFonts w:ascii="Arial" w:hAnsi="Arial" w:cs="Arial"/>
          <w:sz w:val="24"/>
          <w:szCs w:val="24"/>
          <w:lang w:val="en-US"/>
        </w:rPr>
        <w:t xml:space="preserve">petitioned </w:t>
      </w:r>
      <w:r w:rsidR="00A874DB" w:rsidRPr="000F0073">
        <w:rPr>
          <w:rFonts w:ascii="Arial" w:hAnsi="Arial" w:cs="Arial"/>
          <w:sz w:val="24"/>
          <w:szCs w:val="24"/>
          <w:lang w:val="en-US"/>
        </w:rPr>
        <w:t xml:space="preserve">for leave to appeal to the Supreme Court of Appeal.  The SCA granted leave to appeal to the Full Bench of this Court.  </w:t>
      </w:r>
    </w:p>
    <w:p w14:paraId="73538B01" w14:textId="77777777" w:rsidR="00F12ADF" w:rsidRPr="00567597" w:rsidRDefault="00F12ADF" w:rsidP="00F90E3E">
      <w:pPr>
        <w:pStyle w:val="ListParagraph"/>
        <w:jc w:val="both"/>
        <w:rPr>
          <w:rFonts w:ascii="Arial" w:hAnsi="Arial" w:cs="Arial"/>
          <w:sz w:val="24"/>
          <w:szCs w:val="24"/>
          <w:lang w:val="en-US"/>
        </w:rPr>
      </w:pPr>
    </w:p>
    <w:p w14:paraId="2598323F" w14:textId="56F23564" w:rsidR="00A874DB"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7.</w:t>
      </w:r>
      <w:r w:rsidRPr="00567597">
        <w:rPr>
          <w:rFonts w:ascii="Arial" w:hAnsi="Arial" w:cs="Arial"/>
          <w:sz w:val="24"/>
          <w:szCs w:val="24"/>
          <w:lang w:val="en-US"/>
        </w:rPr>
        <w:tab/>
      </w:r>
      <w:r w:rsidR="00A874DB" w:rsidRPr="000F0073">
        <w:rPr>
          <w:rFonts w:ascii="Arial" w:hAnsi="Arial" w:cs="Arial"/>
          <w:sz w:val="24"/>
          <w:szCs w:val="24"/>
          <w:lang w:val="en-US"/>
        </w:rPr>
        <w:t xml:space="preserve">In granting leave to appeal, the Supreme Court of Appeal did not speak about security for costs of the appeal.  </w:t>
      </w:r>
    </w:p>
    <w:p w14:paraId="5ACC5AF3" w14:textId="77777777" w:rsidR="00A874DB" w:rsidRPr="00567597" w:rsidRDefault="00A874DB" w:rsidP="00F90E3E">
      <w:pPr>
        <w:pStyle w:val="ListParagraph"/>
        <w:jc w:val="both"/>
        <w:rPr>
          <w:rFonts w:ascii="Arial" w:hAnsi="Arial" w:cs="Arial"/>
          <w:sz w:val="24"/>
          <w:szCs w:val="24"/>
          <w:lang w:val="en-US"/>
        </w:rPr>
      </w:pPr>
    </w:p>
    <w:p w14:paraId="0ACFE9CB" w14:textId="1F5B79CA" w:rsidR="007A55F2"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8.</w:t>
      </w:r>
      <w:r w:rsidRPr="00567597">
        <w:rPr>
          <w:rFonts w:ascii="Arial" w:hAnsi="Arial" w:cs="Arial"/>
          <w:sz w:val="24"/>
          <w:szCs w:val="24"/>
          <w:lang w:val="en-US"/>
        </w:rPr>
        <w:tab/>
      </w:r>
      <w:r w:rsidR="00563F6E" w:rsidRPr="000F0073">
        <w:rPr>
          <w:rFonts w:ascii="Arial" w:hAnsi="Arial" w:cs="Arial"/>
          <w:sz w:val="24"/>
          <w:szCs w:val="24"/>
          <w:lang w:val="en-US"/>
        </w:rPr>
        <w:t xml:space="preserve">Kariki proceeded to </w:t>
      </w:r>
      <w:r w:rsidR="007A55F2" w:rsidRPr="000F0073">
        <w:rPr>
          <w:rFonts w:ascii="Arial" w:hAnsi="Arial" w:cs="Arial"/>
          <w:sz w:val="24"/>
          <w:szCs w:val="24"/>
          <w:lang w:val="en-US"/>
        </w:rPr>
        <w:t>lodge</w:t>
      </w:r>
      <w:r w:rsidR="00563F6E" w:rsidRPr="000F0073">
        <w:rPr>
          <w:rFonts w:ascii="Arial" w:hAnsi="Arial" w:cs="Arial"/>
          <w:sz w:val="24"/>
          <w:szCs w:val="24"/>
          <w:lang w:val="en-US"/>
        </w:rPr>
        <w:t xml:space="preserve"> copies of the </w:t>
      </w:r>
      <w:r w:rsidR="007A55F2" w:rsidRPr="000F0073">
        <w:rPr>
          <w:rFonts w:ascii="Arial" w:hAnsi="Arial" w:cs="Arial"/>
          <w:sz w:val="24"/>
          <w:szCs w:val="24"/>
          <w:lang w:val="en-US"/>
        </w:rPr>
        <w:t xml:space="preserve">appeal </w:t>
      </w:r>
      <w:r w:rsidR="00563F6E" w:rsidRPr="000F0073">
        <w:rPr>
          <w:rFonts w:ascii="Arial" w:hAnsi="Arial" w:cs="Arial"/>
          <w:sz w:val="24"/>
          <w:szCs w:val="24"/>
          <w:lang w:val="en-US"/>
        </w:rPr>
        <w:t xml:space="preserve">record </w:t>
      </w:r>
      <w:r w:rsidR="007A55F2" w:rsidRPr="000F0073">
        <w:rPr>
          <w:rFonts w:ascii="Arial" w:hAnsi="Arial" w:cs="Arial"/>
          <w:sz w:val="24"/>
          <w:szCs w:val="24"/>
          <w:lang w:val="en-US"/>
        </w:rPr>
        <w:t xml:space="preserve">and filed heads of argument </w:t>
      </w:r>
      <w:r w:rsidR="00563F6E" w:rsidRPr="000F0073">
        <w:rPr>
          <w:rFonts w:ascii="Arial" w:hAnsi="Arial" w:cs="Arial"/>
          <w:sz w:val="24"/>
          <w:szCs w:val="24"/>
          <w:lang w:val="en-US"/>
        </w:rPr>
        <w:t xml:space="preserve">without </w:t>
      </w:r>
      <w:r w:rsidR="007E5645" w:rsidRPr="000F0073">
        <w:rPr>
          <w:rFonts w:ascii="Arial" w:hAnsi="Arial" w:cs="Arial"/>
          <w:sz w:val="24"/>
          <w:szCs w:val="24"/>
          <w:lang w:val="en-US"/>
        </w:rPr>
        <w:t xml:space="preserve">providing </w:t>
      </w:r>
      <w:r w:rsidR="00563F6E" w:rsidRPr="000F0073">
        <w:rPr>
          <w:rFonts w:ascii="Arial" w:hAnsi="Arial" w:cs="Arial"/>
          <w:sz w:val="24"/>
          <w:szCs w:val="24"/>
          <w:lang w:val="en-US"/>
        </w:rPr>
        <w:t>security</w:t>
      </w:r>
      <w:r w:rsidR="007E5645" w:rsidRPr="000F0073">
        <w:rPr>
          <w:rFonts w:ascii="Arial" w:hAnsi="Arial" w:cs="Arial"/>
          <w:sz w:val="24"/>
          <w:szCs w:val="24"/>
          <w:lang w:val="en-US"/>
        </w:rPr>
        <w:t xml:space="preserve"> for the pending appeal</w:t>
      </w:r>
      <w:r w:rsidR="00563F6E" w:rsidRPr="000F0073">
        <w:rPr>
          <w:rFonts w:ascii="Arial" w:hAnsi="Arial" w:cs="Arial"/>
          <w:sz w:val="24"/>
          <w:szCs w:val="24"/>
          <w:lang w:val="en-US"/>
        </w:rPr>
        <w:t xml:space="preserve">. </w:t>
      </w:r>
    </w:p>
    <w:p w14:paraId="0A8AE4BF" w14:textId="77777777" w:rsidR="007A55F2" w:rsidRPr="00567597" w:rsidRDefault="007A55F2" w:rsidP="007A55F2">
      <w:pPr>
        <w:pStyle w:val="ListParagraph"/>
        <w:spacing w:line="360" w:lineRule="auto"/>
        <w:ind w:left="360"/>
        <w:jc w:val="both"/>
        <w:rPr>
          <w:rFonts w:ascii="Arial" w:hAnsi="Arial" w:cs="Arial"/>
          <w:sz w:val="24"/>
          <w:szCs w:val="24"/>
          <w:lang w:val="en-US"/>
        </w:rPr>
      </w:pPr>
    </w:p>
    <w:p w14:paraId="6EA7BD11" w14:textId="262E982A" w:rsidR="007A55F2"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9.</w:t>
      </w:r>
      <w:r w:rsidRPr="00567597">
        <w:rPr>
          <w:rFonts w:ascii="Arial" w:hAnsi="Arial" w:cs="Arial"/>
          <w:sz w:val="24"/>
          <w:szCs w:val="24"/>
          <w:lang w:val="en-US"/>
        </w:rPr>
        <w:tab/>
      </w:r>
      <w:r w:rsidR="007E5645" w:rsidRPr="000F0073">
        <w:rPr>
          <w:rFonts w:ascii="Arial" w:hAnsi="Arial" w:cs="Arial"/>
          <w:sz w:val="24"/>
          <w:szCs w:val="24"/>
          <w:lang w:val="en-US"/>
        </w:rPr>
        <w:t>Rand Water says that Kariki had to provide security for its costs:  R</w:t>
      </w:r>
      <w:r w:rsidR="007A55F2" w:rsidRPr="000F0073">
        <w:rPr>
          <w:rFonts w:ascii="Arial" w:hAnsi="Arial" w:cs="Arial"/>
          <w:sz w:val="24"/>
          <w:szCs w:val="24"/>
          <w:lang w:val="en-US"/>
        </w:rPr>
        <w:t>and Water argues that the Supreme Court of Appeal did not release Kariki from the obligation to provide security for costs as required by Rule 48(13)(a), Kariki did not ask for such an exemption from the Supreme Court of Appeal, and Rand Water has not waived its right to security for costs.</w:t>
      </w:r>
    </w:p>
    <w:p w14:paraId="202AE9A7" w14:textId="77777777" w:rsidR="007A55F2" w:rsidRPr="00567597" w:rsidRDefault="007A55F2" w:rsidP="007A55F2">
      <w:pPr>
        <w:pStyle w:val="ListParagraph"/>
        <w:spacing w:line="360" w:lineRule="auto"/>
        <w:ind w:left="792"/>
        <w:jc w:val="both"/>
        <w:rPr>
          <w:rFonts w:ascii="Arial" w:hAnsi="Arial" w:cs="Arial"/>
          <w:sz w:val="24"/>
          <w:szCs w:val="24"/>
          <w:lang w:val="en-US"/>
        </w:rPr>
      </w:pPr>
    </w:p>
    <w:p w14:paraId="6C86E2FD" w14:textId="4FA654EE" w:rsidR="00CE6C98"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7A55F2" w:rsidRPr="000F0073">
        <w:rPr>
          <w:rFonts w:ascii="Arial" w:hAnsi="Arial" w:cs="Arial"/>
          <w:sz w:val="24"/>
          <w:szCs w:val="24"/>
          <w:lang w:val="en-US"/>
        </w:rPr>
        <w:t>Kariki</w:t>
      </w:r>
      <w:r w:rsidR="00F50400" w:rsidRPr="000F0073">
        <w:rPr>
          <w:rFonts w:ascii="Arial" w:hAnsi="Arial" w:cs="Arial"/>
          <w:sz w:val="24"/>
          <w:szCs w:val="24"/>
          <w:lang w:val="en-US"/>
        </w:rPr>
        <w:t>, on the other hand,</w:t>
      </w:r>
      <w:r w:rsidR="007A55F2" w:rsidRPr="000F0073">
        <w:rPr>
          <w:rFonts w:ascii="Arial" w:hAnsi="Arial" w:cs="Arial"/>
          <w:sz w:val="24"/>
          <w:szCs w:val="24"/>
          <w:lang w:val="en-US"/>
        </w:rPr>
        <w:t xml:space="preserve"> argues that section 17(2)(b) of the Superior Courts Act </w:t>
      </w:r>
      <w:r w:rsidR="007E5645" w:rsidRPr="000F0073">
        <w:rPr>
          <w:rFonts w:ascii="Arial" w:hAnsi="Arial" w:cs="Arial"/>
          <w:sz w:val="24"/>
          <w:szCs w:val="24"/>
          <w:lang w:val="en-US"/>
        </w:rPr>
        <w:t xml:space="preserve">read with Supreme Court Rule 9 </w:t>
      </w:r>
      <w:r w:rsidR="007A55F2" w:rsidRPr="000F0073">
        <w:rPr>
          <w:rFonts w:ascii="Arial" w:hAnsi="Arial" w:cs="Arial"/>
          <w:sz w:val="24"/>
          <w:szCs w:val="24"/>
          <w:lang w:val="en-US"/>
        </w:rPr>
        <w:t>find</w:t>
      </w:r>
      <w:r w:rsidR="00F50400" w:rsidRPr="000F0073">
        <w:rPr>
          <w:rFonts w:ascii="Arial" w:hAnsi="Arial" w:cs="Arial"/>
          <w:sz w:val="24"/>
          <w:szCs w:val="24"/>
          <w:lang w:val="en-US"/>
        </w:rPr>
        <w:t>s</w:t>
      </w:r>
      <w:r w:rsidR="007A55F2" w:rsidRPr="000F0073">
        <w:rPr>
          <w:rFonts w:ascii="Arial" w:hAnsi="Arial" w:cs="Arial"/>
          <w:sz w:val="24"/>
          <w:szCs w:val="24"/>
          <w:lang w:val="en-US"/>
        </w:rPr>
        <w:t xml:space="preserve"> application and that it was accordingly not obliged to render security for costs</w:t>
      </w:r>
      <w:r w:rsidR="00F50400" w:rsidRPr="000F0073">
        <w:rPr>
          <w:rFonts w:ascii="Arial" w:hAnsi="Arial" w:cs="Arial"/>
          <w:sz w:val="24"/>
          <w:szCs w:val="24"/>
          <w:lang w:val="en-US"/>
        </w:rPr>
        <w:t xml:space="preserve"> in an instance where the SCA granted leave to appeal to the full bench of this court.</w:t>
      </w:r>
      <w:r w:rsidR="007A55F2" w:rsidRPr="000F0073">
        <w:rPr>
          <w:rFonts w:ascii="Arial" w:hAnsi="Arial" w:cs="Arial"/>
          <w:sz w:val="24"/>
          <w:szCs w:val="24"/>
          <w:lang w:val="en-US"/>
        </w:rPr>
        <w:t xml:space="preserve"> </w:t>
      </w:r>
    </w:p>
    <w:p w14:paraId="0DBF0025" w14:textId="77777777" w:rsidR="00CE6C98" w:rsidRPr="00CE6C98" w:rsidRDefault="00CE6C98" w:rsidP="00CE6C98">
      <w:pPr>
        <w:pStyle w:val="ListParagraph"/>
        <w:rPr>
          <w:rFonts w:ascii="Arial" w:hAnsi="Arial" w:cs="Arial"/>
          <w:sz w:val="24"/>
          <w:szCs w:val="24"/>
          <w:lang w:val="en-US"/>
        </w:rPr>
      </w:pPr>
    </w:p>
    <w:p w14:paraId="340D3109" w14:textId="3525219A" w:rsidR="007A55F2" w:rsidRPr="00567597" w:rsidRDefault="007A55F2" w:rsidP="00CE6C98">
      <w:pPr>
        <w:pStyle w:val="ListParagraph"/>
        <w:spacing w:line="360" w:lineRule="auto"/>
        <w:ind w:left="360"/>
        <w:jc w:val="both"/>
        <w:rPr>
          <w:rFonts w:ascii="Arial" w:hAnsi="Arial" w:cs="Arial"/>
          <w:sz w:val="24"/>
          <w:szCs w:val="24"/>
          <w:lang w:val="en-US"/>
        </w:rPr>
      </w:pPr>
      <w:r w:rsidRPr="00567597">
        <w:rPr>
          <w:rFonts w:ascii="Arial" w:hAnsi="Arial" w:cs="Arial"/>
          <w:sz w:val="24"/>
          <w:szCs w:val="24"/>
          <w:lang w:val="en-US"/>
        </w:rPr>
        <w:t xml:space="preserve"> </w:t>
      </w:r>
    </w:p>
    <w:p w14:paraId="2B378552" w14:textId="6A64B949" w:rsidR="00CE6C98" w:rsidRPr="00CE6C98" w:rsidRDefault="00CE6C98" w:rsidP="00F90E3E">
      <w:pPr>
        <w:spacing w:line="360" w:lineRule="auto"/>
        <w:jc w:val="both"/>
        <w:rPr>
          <w:rFonts w:ascii="Arial" w:hAnsi="Arial" w:cs="Arial"/>
          <w:i/>
          <w:iCs/>
          <w:sz w:val="24"/>
          <w:szCs w:val="24"/>
          <w:lang w:val="en-US"/>
        </w:rPr>
      </w:pPr>
      <w:r w:rsidRPr="00CE6C98">
        <w:rPr>
          <w:rFonts w:ascii="Arial" w:hAnsi="Arial" w:cs="Arial"/>
          <w:i/>
          <w:iCs/>
          <w:sz w:val="24"/>
          <w:szCs w:val="24"/>
          <w:lang w:val="en-US"/>
        </w:rPr>
        <w:t>Consideration</w:t>
      </w:r>
    </w:p>
    <w:p w14:paraId="5457D89D" w14:textId="38A035BA" w:rsidR="00F50400" w:rsidRPr="000F0073" w:rsidRDefault="000F0073" w:rsidP="000F0073">
      <w:pPr>
        <w:spacing w:line="360" w:lineRule="auto"/>
        <w:ind w:left="360" w:hanging="360"/>
        <w:rPr>
          <w:rFonts w:ascii="Arial" w:hAnsi="Arial" w:cs="Arial"/>
          <w:sz w:val="24"/>
          <w:szCs w:val="24"/>
          <w:lang w:val="en-US"/>
        </w:rPr>
      </w:pPr>
      <w:r w:rsidRPr="00567597">
        <w:rPr>
          <w:rFonts w:ascii="Arial" w:hAnsi="Arial" w:cs="Arial"/>
          <w:sz w:val="24"/>
          <w:szCs w:val="24"/>
          <w:lang w:val="en-US"/>
        </w:rPr>
        <w:t>11.</w:t>
      </w:r>
      <w:r w:rsidRPr="00567597">
        <w:rPr>
          <w:rFonts w:ascii="Arial" w:hAnsi="Arial" w:cs="Arial"/>
          <w:sz w:val="24"/>
          <w:szCs w:val="24"/>
          <w:lang w:val="en-US"/>
        </w:rPr>
        <w:tab/>
      </w:r>
      <w:r w:rsidR="00F50400" w:rsidRPr="000F0073">
        <w:rPr>
          <w:rFonts w:ascii="Arial" w:hAnsi="Arial" w:cs="Arial"/>
          <w:sz w:val="24"/>
          <w:szCs w:val="24"/>
          <w:lang w:val="en-US"/>
        </w:rPr>
        <w:t>Uniform Rule of Court 49(13) reads as follows:</w:t>
      </w:r>
    </w:p>
    <w:p w14:paraId="491DD760" w14:textId="77777777" w:rsidR="00F50400" w:rsidRPr="00567597" w:rsidRDefault="00F50400" w:rsidP="00F50400">
      <w:pPr>
        <w:pStyle w:val="ListParagraph"/>
        <w:rPr>
          <w:rFonts w:ascii="Arial" w:hAnsi="Arial" w:cs="Arial"/>
          <w:sz w:val="24"/>
          <w:szCs w:val="24"/>
          <w:lang w:val="en-US"/>
        </w:rPr>
      </w:pPr>
    </w:p>
    <w:p w14:paraId="18DC5DA3" w14:textId="68489872" w:rsidR="00F50400" w:rsidRPr="000F0073" w:rsidRDefault="000F0073" w:rsidP="000F0073">
      <w:pPr>
        <w:spacing w:line="360" w:lineRule="auto"/>
        <w:ind w:left="720" w:hanging="360"/>
        <w:jc w:val="both"/>
        <w:rPr>
          <w:rFonts w:ascii="Arial" w:hAnsi="Arial" w:cs="Arial"/>
          <w:i/>
          <w:iCs/>
          <w:sz w:val="24"/>
          <w:szCs w:val="24"/>
          <w:lang w:val="en-US"/>
        </w:rPr>
      </w:pPr>
      <w:r w:rsidRPr="00F50400">
        <w:rPr>
          <w:rFonts w:ascii="Arial" w:hAnsi="Arial" w:cs="Arial"/>
          <w:i/>
          <w:iCs/>
          <w:sz w:val="24"/>
          <w:szCs w:val="24"/>
          <w:lang w:val="en-US"/>
        </w:rPr>
        <w:t>(a)</w:t>
      </w:r>
      <w:r w:rsidRPr="00F50400">
        <w:rPr>
          <w:rFonts w:ascii="Arial" w:hAnsi="Arial" w:cs="Arial"/>
          <w:i/>
          <w:iCs/>
          <w:sz w:val="24"/>
          <w:szCs w:val="24"/>
          <w:lang w:val="en-US"/>
        </w:rPr>
        <w:tab/>
      </w:r>
      <w:r w:rsidR="00F50400" w:rsidRPr="000F0073">
        <w:rPr>
          <w:rFonts w:ascii="Arial" w:hAnsi="Arial" w:cs="Arial"/>
          <w:i/>
          <w:iCs/>
          <w:sz w:val="24"/>
          <w:szCs w:val="24"/>
          <w:lang w:val="en-US"/>
        </w:rPr>
        <w:t>Unless the respondent waives his or her right to security or the court in granting leave to appeal or subsequently on application to it, has released the appellant wholly or partially from that obligation, the appellant shall, before lodging copies of the record on appeal with the registrar, enter into good and sufficient security for the respondent’s costs of appeal.</w:t>
      </w:r>
    </w:p>
    <w:p w14:paraId="5900EEEF" w14:textId="6C7B1CA2" w:rsidR="00F50400" w:rsidRPr="000F0073" w:rsidRDefault="000F0073" w:rsidP="000F0073">
      <w:pPr>
        <w:spacing w:line="360" w:lineRule="auto"/>
        <w:ind w:left="720" w:hanging="360"/>
        <w:jc w:val="both"/>
        <w:rPr>
          <w:rFonts w:ascii="Arial" w:hAnsi="Arial" w:cs="Arial"/>
          <w:i/>
          <w:iCs/>
          <w:sz w:val="24"/>
          <w:szCs w:val="24"/>
          <w:lang w:val="en-US"/>
        </w:rPr>
      </w:pPr>
      <w:r w:rsidRPr="00F50400">
        <w:rPr>
          <w:rFonts w:ascii="Arial" w:hAnsi="Arial" w:cs="Arial"/>
          <w:i/>
          <w:iCs/>
          <w:sz w:val="24"/>
          <w:szCs w:val="24"/>
          <w:lang w:val="en-US"/>
        </w:rPr>
        <w:t>(b)</w:t>
      </w:r>
      <w:r w:rsidRPr="00F50400">
        <w:rPr>
          <w:rFonts w:ascii="Arial" w:hAnsi="Arial" w:cs="Arial"/>
          <w:i/>
          <w:iCs/>
          <w:sz w:val="24"/>
          <w:szCs w:val="24"/>
          <w:lang w:val="en-US"/>
        </w:rPr>
        <w:tab/>
      </w:r>
      <w:r w:rsidR="00F50400" w:rsidRPr="000F0073">
        <w:rPr>
          <w:rFonts w:ascii="Arial" w:hAnsi="Arial" w:cs="Arial"/>
          <w:i/>
          <w:iCs/>
          <w:sz w:val="24"/>
          <w:szCs w:val="24"/>
          <w:lang w:val="en-US"/>
        </w:rPr>
        <w:t xml:space="preserve">In the event of failure by the parties to agree on the amount of security, the registrar shall fix the amount and the appellant shall enter into security in the </w:t>
      </w:r>
      <w:r w:rsidR="00F50400" w:rsidRPr="000F0073">
        <w:rPr>
          <w:rFonts w:ascii="Arial" w:hAnsi="Arial" w:cs="Arial"/>
          <w:i/>
          <w:iCs/>
          <w:sz w:val="24"/>
          <w:szCs w:val="24"/>
          <w:lang w:val="en-US"/>
        </w:rPr>
        <w:lastRenderedPageBreak/>
        <w:t xml:space="preserve">amount so fixed or such percentage thereof as the court has determined, as the case may be.  </w:t>
      </w:r>
    </w:p>
    <w:p w14:paraId="4D2D5148" w14:textId="77777777" w:rsidR="00F50400" w:rsidRDefault="00F50400" w:rsidP="00F50400">
      <w:pPr>
        <w:pStyle w:val="ListParagraph"/>
        <w:spacing w:line="360" w:lineRule="auto"/>
        <w:ind w:left="360"/>
        <w:jc w:val="both"/>
        <w:rPr>
          <w:rFonts w:ascii="Arial" w:hAnsi="Arial" w:cs="Arial"/>
          <w:sz w:val="24"/>
          <w:szCs w:val="24"/>
          <w:lang w:val="en-US"/>
        </w:rPr>
      </w:pPr>
    </w:p>
    <w:p w14:paraId="7580CA6A" w14:textId="41EA7FEF" w:rsidR="00877843"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12.</w:t>
      </w:r>
      <w:r w:rsidRPr="00567597">
        <w:rPr>
          <w:rFonts w:ascii="Arial" w:hAnsi="Arial" w:cs="Arial"/>
          <w:sz w:val="24"/>
          <w:szCs w:val="24"/>
          <w:lang w:val="en-US"/>
        </w:rPr>
        <w:tab/>
      </w:r>
      <w:r w:rsidR="00877843" w:rsidRPr="000F0073">
        <w:rPr>
          <w:rFonts w:ascii="Arial" w:hAnsi="Arial" w:cs="Arial"/>
          <w:sz w:val="24"/>
          <w:szCs w:val="24"/>
          <w:lang w:val="en-US"/>
        </w:rPr>
        <w:t>Section 17(2)(b) of the Superior Courts Act, 10 of 2013</w:t>
      </w:r>
      <w:r w:rsidR="005D3907" w:rsidRPr="000F0073">
        <w:rPr>
          <w:rFonts w:ascii="Arial" w:hAnsi="Arial" w:cs="Arial"/>
          <w:sz w:val="24"/>
          <w:szCs w:val="24"/>
          <w:lang w:val="en-US"/>
        </w:rPr>
        <w:t xml:space="preserve"> provides for the application for leave to appeal to the Supreme Court of appeal </w:t>
      </w:r>
      <w:r w:rsidR="00F50400" w:rsidRPr="000F0073">
        <w:rPr>
          <w:rFonts w:ascii="Arial" w:hAnsi="Arial" w:cs="Arial"/>
          <w:sz w:val="24"/>
          <w:szCs w:val="24"/>
          <w:lang w:val="en-US"/>
        </w:rPr>
        <w:t>if</w:t>
      </w:r>
      <w:r w:rsidR="005D3907" w:rsidRPr="000F0073">
        <w:rPr>
          <w:rFonts w:ascii="Arial" w:hAnsi="Arial" w:cs="Arial"/>
          <w:sz w:val="24"/>
          <w:szCs w:val="24"/>
          <w:lang w:val="en-US"/>
        </w:rPr>
        <w:t xml:space="preserve"> the High Court refused leave and</w:t>
      </w:r>
      <w:r w:rsidR="00877843" w:rsidRPr="000F0073">
        <w:rPr>
          <w:rFonts w:ascii="Arial" w:hAnsi="Arial" w:cs="Arial"/>
          <w:sz w:val="24"/>
          <w:szCs w:val="24"/>
          <w:lang w:val="en-US"/>
        </w:rPr>
        <w:t xml:space="preserve"> reads as follows:</w:t>
      </w:r>
    </w:p>
    <w:p w14:paraId="08CBF850" w14:textId="78F4509A" w:rsidR="00877843" w:rsidRPr="00567597" w:rsidRDefault="00877843" w:rsidP="00F90E3E">
      <w:pPr>
        <w:pStyle w:val="ListParagraph"/>
        <w:spacing w:line="360" w:lineRule="auto"/>
        <w:ind w:left="360"/>
        <w:jc w:val="both"/>
        <w:rPr>
          <w:rFonts w:ascii="Arial" w:hAnsi="Arial" w:cs="Arial"/>
          <w:i/>
          <w:iCs/>
          <w:sz w:val="24"/>
          <w:szCs w:val="24"/>
          <w:lang w:val="en-US"/>
        </w:rPr>
      </w:pPr>
      <w:r w:rsidRPr="00567597">
        <w:rPr>
          <w:rFonts w:ascii="Arial" w:hAnsi="Arial" w:cs="Arial"/>
          <w:i/>
          <w:iCs/>
          <w:sz w:val="24"/>
          <w:szCs w:val="24"/>
          <w:lang w:val="en-US"/>
        </w:rPr>
        <w:t>If leave to appeal in terms of paragraph (a</w:t>
      </w:r>
      <w:r w:rsidRPr="00567597">
        <w:rPr>
          <w:rStyle w:val="FootnoteReference"/>
          <w:rFonts w:ascii="Arial" w:hAnsi="Arial" w:cs="Arial"/>
          <w:i/>
          <w:iCs/>
          <w:sz w:val="24"/>
          <w:szCs w:val="24"/>
          <w:lang w:val="en-US"/>
        </w:rPr>
        <w:footnoteReference w:id="1"/>
      </w:r>
      <w:r w:rsidRPr="00567597">
        <w:rPr>
          <w:rFonts w:ascii="Arial" w:hAnsi="Arial" w:cs="Arial"/>
          <w:i/>
          <w:iCs/>
          <w:sz w:val="24"/>
          <w:szCs w:val="24"/>
          <w:lang w:val="en-US"/>
        </w:rPr>
        <w:t>) is refused, it may be granted by the Supreme Court of Appeal on application filed with the registrar of that court within one month after such refusal, or such longer period as may on good cause be allowed, and the Supreme Court of Appeal may vary any order as to costs made by the judge or judges concerned in refusing leave.</w:t>
      </w:r>
    </w:p>
    <w:p w14:paraId="3CB6A865" w14:textId="77777777" w:rsidR="005D3907" w:rsidRPr="00567597" w:rsidRDefault="005D3907" w:rsidP="00F90E3E">
      <w:pPr>
        <w:pStyle w:val="ListParagraph"/>
        <w:spacing w:line="360" w:lineRule="auto"/>
        <w:ind w:left="360"/>
        <w:jc w:val="both"/>
        <w:rPr>
          <w:rFonts w:ascii="Arial" w:hAnsi="Arial" w:cs="Arial"/>
          <w:sz w:val="24"/>
          <w:szCs w:val="24"/>
          <w:lang w:val="en-US"/>
        </w:rPr>
      </w:pPr>
    </w:p>
    <w:p w14:paraId="780913E1" w14:textId="39DD91C8" w:rsidR="005D3907"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13.</w:t>
      </w:r>
      <w:r w:rsidRPr="00567597">
        <w:rPr>
          <w:rFonts w:ascii="Arial" w:hAnsi="Arial" w:cs="Arial"/>
          <w:sz w:val="24"/>
          <w:szCs w:val="24"/>
          <w:lang w:val="en-US"/>
        </w:rPr>
        <w:tab/>
      </w:r>
      <w:r w:rsidR="00F50400" w:rsidRPr="000F0073">
        <w:rPr>
          <w:rFonts w:ascii="Arial" w:hAnsi="Arial" w:cs="Arial"/>
          <w:sz w:val="24"/>
          <w:szCs w:val="24"/>
          <w:lang w:val="en-US"/>
        </w:rPr>
        <w:t xml:space="preserve">Supreme Court </w:t>
      </w:r>
      <w:r w:rsidR="005D3907" w:rsidRPr="000F0073">
        <w:rPr>
          <w:rFonts w:ascii="Arial" w:hAnsi="Arial" w:cs="Arial"/>
          <w:sz w:val="24"/>
          <w:szCs w:val="24"/>
          <w:lang w:val="en-US"/>
        </w:rPr>
        <w:t>Rule 9 deals with security, stating the following:</w:t>
      </w:r>
    </w:p>
    <w:p w14:paraId="3C981820" w14:textId="4FC51A1B" w:rsidR="005D3907" w:rsidRPr="00F50400" w:rsidRDefault="005D3907" w:rsidP="00F90E3E">
      <w:pPr>
        <w:pStyle w:val="ListParagraph"/>
        <w:spacing w:line="360" w:lineRule="auto"/>
        <w:jc w:val="both"/>
        <w:rPr>
          <w:rFonts w:ascii="Arial" w:hAnsi="Arial" w:cs="Arial"/>
          <w:i/>
          <w:iCs/>
          <w:sz w:val="24"/>
          <w:szCs w:val="24"/>
          <w:lang w:val="en-US"/>
        </w:rPr>
      </w:pPr>
      <w:r w:rsidRPr="00F50400">
        <w:rPr>
          <w:rFonts w:ascii="Arial" w:hAnsi="Arial" w:cs="Arial"/>
          <w:i/>
          <w:iCs/>
          <w:sz w:val="24"/>
          <w:szCs w:val="24"/>
          <w:lang w:val="en-US"/>
        </w:rPr>
        <w:t>When required</w:t>
      </w:r>
    </w:p>
    <w:p w14:paraId="42ED6F3E" w14:textId="40BE9BDC" w:rsidR="005D3907" w:rsidRPr="000F0073" w:rsidRDefault="000F0073" w:rsidP="000F0073">
      <w:pPr>
        <w:spacing w:line="360" w:lineRule="auto"/>
        <w:ind w:left="1080" w:hanging="360"/>
        <w:jc w:val="both"/>
        <w:rPr>
          <w:rFonts w:ascii="Arial" w:hAnsi="Arial" w:cs="Arial"/>
          <w:i/>
          <w:iCs/>
          <w:sz w:val="24"/>
          <w:szCs w:val="24"/>
          <w:lang w:val="en-US"/>
        </w:rPr>
      </w:pPr>
      <w:r w:rsidRPr="00F50400">
        <w:rPr>
          <w:rFonts w:ascii="Arial" w:hAnsi="Arial" w:cs="Arial"/>
          <w:i/>
          <w:iCs/>
          <w:sz w:val="24"/>
          <w:szCs w:val="24"/>
          <w:lang w:val="en-US"/>
        </w:rPr>
        <w:t>(1)</w:t>
      </w:r>
      <w:r w:rsidRPr="00F50400">
        <w:rPr>
          <w:rFonts w:ascii="Arial" w:hAnsi="Arial" w:cs="Arial"/>
          <w:i/>
          <w:iCs/>
          <w:sz w:val="24"/>
          <w:szCs w:val="24"/>
          <w:lang w:val="en-US"/>
        </w:rPr>
        <w:tab/>
      </w:r>
      <w:r w:rsidR="005D3907" w:rsidRPr="000F0073">
        <w:rPr>
          <w:rFonts w:ascii="Arial" w:hAnsi="Arial" w:cs="Arial"/>
          <w:i/>
          <w:iCs/>
          <w:sz w:val="24"/>
          <w:szCs w:val="24"/>
          <w:lang w:val="en-US"/>
        </w:rPr>
        <w:t xml:space="preserve">If the court which grants leave to appeal orders the appellant to provide security for the respondent’s costs of appeal, the appellant shall, before </w:t>
      </w:r>
      <w:r w:rsidR="00F50400" w:rsidRPr="000F0073">
        <w:rPr>
          <w:rFonts w:ascii="Arial" w:hAnsi="Arial" w:cs="Arial"/>
          <w:i/>
          <w:iCs/>
          <w:sz w:val="24"/>
          <w:szCs w:val="24"/>
          <w:lang w:val="en-US"/>
        </w:rPr>
        <w:t>lodging</w:t>
      </w:r>
      <w:r w:rsidR="005D3907" w:rsidRPr="000F0073">
        <w:rPr>
          <w:rFonts w:ascii="Arial" w:hAnsi="Arial" w:cs="Arial"/>
          <w:i/>
          <w:iCs/>
          <w:sz w:val="24"/>
          <w:szCs w:val="24"/>
          <w:lang w:val="en-US"/>
        </w:rPr>
        <w:t xml:space="preserve"> the record with the registrar, enter into sufficient security for the respondent’s costs of appeal and shall inform the registrar accordingly.</w:t>
      </w:r>
    </w:p>
    <w:p w14:paraId="3AFAD7CD" w14:textId="766D0EF8" w:rsidR="005D3907" w:rsidRPr="00F50400" w:rsidRDefault="005D3907" w:rsidP="00F90E3E">
      <w:pPr>
        <w:spacing w:line="360" w:lineRule="auto"/>
        <w:ind w:left="720"/>
        <w:jc w:val="both"/>
        <w:rPr>
          <w:rFonts w:ascii="Arial" w:hAnsi="Arial" w:cs="Arial"/>
          <w:i/>
          <w:iCs/>
          <w:sz w:val="24"/>
          <w:szCs w:val="24"/>
          <w:lang w:val="en-US"/>
        </w:rPr>
      </w:pPr>
      <w:r w:rsidRPr="00F50400">
        <w:rPr>
          <w:rFonts w:ascii="Arial" w:hAnsi="Arial" w:cs="Arial"/>
          <w:i/>
          <w:iCs/>
          <w:sz w:val="24"/>
          <w:szCs w:val="24"/>
          <w:lang w:val="en-US"/>
        </w:rPr>
        <w:t xml:space="preserve"> Form or amount of security</w:t>
      </w:r>
    </w:p>
    <w:p w14:paraId="0EEAA761" w14:textId="3BBA4238" w:rsidR="005D3907" w:rsidRPr="000F0073" w:rsidRDefault="000F0073" w:rsidP="000F0073">
      <w:pPr>
        <w:spacing w:line="360" w:lineRule="auto"/>
        <w:ind w:left="1080" w:hanging="360"/>
        <w:jc w:val="both"/>
        <w:rPr>
          <w:rFonts w:ascii="Arial" w:hAnsi="Arial" w:cs="Arial"/>
          <w:sz w:val="24"/>
          <w:szCs w:val="24"/>
          <w:lang w:val="en-US"/>
        </w:rPr>
      </w:pPr>
      <w:r w:rsidRPr="00567597">
        <w:rPr>
          <w:rFonts w:ascii="Arial" w:hAnsi="Arial" w:cs="Arial"/>
          <w:sz w:val="24"/>
          <w:szCs w:val="24"/>
          <w:lang w:val="en-US"/>
        </w:rPr>
        <w:t>(2)</w:t>
      </w:r>
      <w:r w:rsidRPr="00567597">
        <w:rPr>
          <w:rFonts w:ascii="Arial" w:hAnsi="Arial" w:cs="Arial"/>
          <w:sz w:val="24"/>
          <w:szCs w:val="24"/>
          <w:lang w:val="en-US"/>
        </w:rPr>
        <w:tab/>
      </w:r>
      <w:r w:rsidR="005D3907" w:rsidRPr="000F0073">
        <w:rPr>
          <w:rFonts w:ascii="Arial" w:hAnsi="Arial" w:cs="Arial"/>
          <w:i/>
          <w:iCs/>
          <w:sz w:val="24"/>
          <w:szCs w:val="24"/>
          <w:lang w:val="en-US"/>
        </w:rPr>
        <w:t>If the form or amount of security is contested, the registrar of the court a quo shall determine the issue and this decision shall be final.</w:t>
      </w:r>
      <w:r w:rsidR="005D3907" w:rsidRPr="000F0073">
        <w:rPr>
          <w:rFonts w:ascii="Arial" w:hAnsi="Arial" w:cs="Arial"/>
          <w:sz w:val="24"/>
          <w:szCs w:val="24"/>
          <w:lang w:val="en-US"/>
        </w:rPr>
        <w:t xml:space="preserve">  </w:t>
      </w:r>
    </w:p>
    <w:p w14:paraId="3A077476" w14:textId="77777777" w:rsidR="005D3907" w:rsidRPr="00567597" w:rsidRDefault="005D3907" w:rsidP="00F90E3E">
      <w:pPr>
        <w:pStyle w:val="ListParagraph"/>
        <w:spacing w:line="360" w:lineRule="auto"/>
        <w:ind w:left="360"/>
        <w:jc w:val="both"/>
        <w:rPr>
          <w:rFonts w:ascii="Arial" w:hAnsi="Arial" w:cs="Arial"/>
          <w:sz w:val="24"/>
          <w:szCs w:val="24"/>
          <w:lang w:val="en-US"/>
        </w:rPr>
      </w:pPr>
    </w:p>
    <w:p w14:paraId="2A82D8FB" w14:textId="652A0E84" w:rsidR="007A55F2"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14.</w:t>
      </w:r>
      <w:r w:rsidRPr="00567597">
        <w:rPr>
          <w:rFonts w:ascii="Arial" w:hAnsi="Arial" w:cs="Arial"/>
          <w:sz w:val="24"/>
          <w:szCs w:val="24"/>
          <w:lang w:val="en-US"/>
        </w:rPr>
        <w:tab/>
      </w:r>
      <w:r w:rsidR="007A55F2" w:rsidRPr="000F0073">
        <w:rPr>
          <w:rFonts w:ascii="Arial" w:hAnsi="Arial" w:cs="Arial"/>
          <w:sz w:val="24"/>
          <w:szCs w:val="24"/>
          <w:lang w:val="en-US"/>
        </w:rPr>
        <w:t>Kariki argues that</w:t>
      </w:r>
      <w:r w:rsidR="00326267" w:rsidRPr="000F0073">
        <w:rPr>
          <w:rFonts w:ascii="Arial" w:hAnsi="Arial" w:cs="Arial"/>
          <w:sz w:val="24"/>
          <w:szCs w:val="24"/>
          <w:lang w:val="en-US"/>
        </w:rPr>
        <w:t xml:space="preserve"> the decision in</w:t>
      </w:r>
      <w:r w:rsidR="007A55F2" w:rsidRPr="000F0073">
        <w:rPr>
          <w:rFonts w:ascii="Arial" w:hAnsi="Arial" w:cs="Arial"/>
          <w:sz w:val="24"/>
          <w:szCs w:val="24"/>
          <w:lang w:val="en-US"/>
        </w:rPr>
        <w:t xml:space="preserve"> </w:t>
      </w:r>
      <w:r w:rsidR="007A55F2" w:rsidRPr="000F0073">
        <w:rPr>
          <w:rFonts w:ascii="Arial" w:hAnsi="Arial" w:cs="Arial"/>
          <w:b/>
          <w:bCs/>
          <w:i/>
          <w:iCs/>
          <w:sz w:val="24"/>
          <w:szCs w:val="24"/>
          <w:lang w:val="en-US"/>
        </w:rPr>
        <w:t>Allem</w:t>
      </w:r>
      <w:r w:rsidR="007A55F2" w:rsidRPr="00567597">
        <w:rPr>
          <w:rStyle w:val="FootnoteReference"/>
          <w:rFonts w:ascii="Arial" w:hAnsi="Arial" w:cs="Arial"/>
          <w:b/>
          <w:bCs/>
          <w:i/>
          <w:iCs/>
          <w:sz w:val="24"/>
          <w:szCs w:val="24"/>
          <w:lang w:val="en-US"/>
        </w:rPr>
        <w:footnoteReference w:id="2"/>
      </w:r>
      <w:r w:rsidR="007A55F2" w:rsidRPr="000F0073">
        <w:rPr>
          <w:rFonts w:ascii="Arial" w:hAnsi="Arial" w:cs="Arial"/>
          <w:sz w:val="24"/>
          <w:szCs w:val="24"/>
          <w:lang w:val="en-US"/>
        </w:rPr>
        <w:t xml:space="preserve"> is dispositive of the argument and that the Court ought not to follow the decision in </w:t>
      </w:r>
      <w:r w:rsidR="007A55F2" w:rsidRPr="000F0073">
        <w:rPr>
          <w:rFonts w:ascii="Arial" w:hAnsi="Arial" w:cs="Arial"/>
          <w:b/>
          <w:bCs/>
          <w:i/>
          <w:iCs/>
          <w:sz w:val="24"/>
          <w:szCs w:val="24"/>
          <w:lang w:val="en-US"/>
        </w:rPr>
        <w:t>Strouthos</w:t>
      </w:r>
      <w:r w:rsidR="007A55F2" w:rsidRPr="00567597">
        <w:rPr>
          <w:rStyle w:val="FootnoteReference"/>
          <w:rFonts w:ascii="Arial" w:hAnsi="Arial" w:cs="Arial"/>
          <w:b/>
          <w:bCs/>
          <w:i/>
          <w:iCs/>
          <w:sz w:val="24"/>
          <w:szCs w:val="24"/>
          <w:lang w:val="en-US"/>
        </w:rPr>
        <w:footnoteReference w:id="3"/>
      </w:r>
      <w:r w:rsidR="007A55F2" w:rsidRPr="000F0073">
        <w:rPr>
          <w:rFonts w:ascii="Arial" w:hAnsi="Arial" w:cs="Arial"/>
          <w:sz w:val="24"/>
          <w:szCs w:val="24"/>
          <w:lang w:val="en-US"/>
        </w:rPr>
        <w:t>.</w:t>
      </w:r>
    </w:p>
    <w:p w14:paraId="41840BC8" w14:textId="77777777" w:rsidR="00567597" w:rsidRPr="00567597" w:rsidRDefault="00567597" w:rsidP="00567597">
      <w:pPr>
        <w:pStyle w:val="ListParagraph"/>
        <w:spacing w:line="360" w:lineRule="auto"/>
        <w:ind w:left="360"/>
        <w:jc w:val="both"/>
        <w:rPr>
          <w:rFonts w:ascii="Arial" w:hAnsi="Arial" w:cs="Arial"/>
          <w:sz w:val="24"/>
          <w:szCs w:val="24"/>
          <w:lang w:val="en-US"/>
        </w:rPr>
      </w:pPr>
    </w:p>
    <w:p w14:paraId="77386036" w14:textId="5C639EFC" w:rsidR="00567597" w:rsidRPr="000F0073" w:rsidRDefault="000F0073" w:rsidP="000F0073">
      <w:pPr>
        <w:spacing w:line="360" w:lineRule="auto"/>
        <w:ind w:left="1418" w:hanging="1058"/>
        <w:jc w:val="both"/>
        <w:rPr>
          <w:rFonts w:ascii="Arial" w:hAnsi="Arial" w:cs="Arial"/>
          <w:sz w:val="24"/>
          <w:szCs w:val="24"/>
          <w:lang w:val="en-US"/>
        </w:rPr>
      </w:pPr>
      <w:r w:rsidRPr="00567597">
        <w:rPr>
          <w:rFonts w:ascii="Arial" w:hAnsi="Arial" w:cs="Arial"/>
          <w:sz w:val="24"/>
          <w:szCs w:val="24"/>
          <w:lang w:val="en-US"/>
        </w:rPr>
        <w:lastRenderedPageBreak/>
        <w:t>14.1.</w:t>
      </w:r>
      <w:r w:rsidRPr="00567597">
        <w:rPr>
          <w:rFonts w:ascii="Arial" w:hAnsi="Arial" w:cs="Arial"/>
          <w:sz w:val="24"/>
          <w:szCs w:val="24"/>
          <w:lang w:val="en-US"/>
        </w:rPr>
        <w:tab/>
      </w:r>
      <w:r w:rsidR="00E11033" w:rsidRPr="000F0073">
        <w:rPr>
          <w:rFonts w:ascii="Arial" w:hAnsi="Arial" w:cs="Arial"/>
          <w:sz w:val="24"/>
          <w:szCs w:val="24"/>
          <w:lang w:val="en-US"/>
        </w:rPr>
        <w:t xml:space="preserve">The Court in </w:t>
      </w:r>
      <w:r w:rsidR="00E11033" w:rsidRPr="000F0073">
        <w:rPr>
          <w:rFonts w:ascii="Arial" w:hAnsi="Arial" w:cs="Arial"/>
          <w:i/>
          <w:iCs/>
          <w:sz w:val="24"/>
          <w:szCs w:val="24"/>
          <w:lang w:val="en-US"/>
        </w:rPr>
        <w:t>Allem</w:t>
      </w:r>
      <w:r w:rsidR="00E11033" w:rsidRPr="000F0073">
        <w:rPr>
          <w:rFonts w:ascii="Arial" w:hAnsi="Arial" w:cs="Arial"/>
          <w:sz w:val="24"/>
          <w:szCs w:val="24"/>
          <w:lang w:val="en-US"/>
        </w:rPr>
        <w:t xml:space="preserve"> per paragraph 60 held that “</w:t>
      </w:r>
      <w:r w:rsidR="00E11033" w:rsidRPr="000F0073">
        <w:rPr>
          <w:rFonts w:ascii="Arial" w:hAnsi="Arial" w:cs="Arial"/>
          <w:i/>
          <w:iCs/>
          <w:sz w:val="24"/>
          <w:szCs w:val="24"/>
          <w:lang w:val="en-US"/>
        </w:rPr>
        <w:t>in this instance, we are concerned with a matter where the SCA, under its powers in terms of section 17(2)(b), was approached for and granted leave to appeal.  As indicated, section 17(5) empowers the court in such circumstances to set conditions to attach to a leave to appeal. Logically, it would seem to me that, since the SCA was the court that considered the application for leave to appeal, its adjudication of the application would have to be regulated by the rules applicable to process in that court</w:t>
      </w:r>
      <w:r w:rsidR="00E11033" w:rsidRPr="000F0073">
        <w:rPr>
          <w:rFonts w:ascii="Arial" w:hAnsi="Arial" w:cs="Arial"/>
          <w:sz w:val="24"/>
          <w:szCs w:val="24"/>
          <w:lang w:val="en-US"/>
        </w:rPr>
        <w:t xml:space="preserve">”.  </w:t>
      </w:r>
    </w:p>
    <w:p w14:paraId="103506B6" w14:textId="77777777" w:rsidR="00326267" w:rsidRDefault="00326267" w:rsidP="00326267">
      <w:pPr>
        <w:pStyle w:val="ListParagraph"/>
        <w:spacing w:line="360" w:lineRule="auto"/>
        <w:ind w:left="1418"/>
        <w:jc w:val="both"/>
        <w:rPr>
          <w:rFonts w:ascii="Arial" w:hAnsi="Arial" w:cs="Arial"/>
          <w:sz w:val="24"/>
          <w:szCs w:val="24"/>
          <w:lang w:val="en-US"/>
        </w:rPr>
      </w:pPr>
    </w:p>
    <w:p w14:paraId="2C53C923" w14:textId="7FA11FE0" w:rsidR="005D3907" w:rsidRPr="000F0073" w:rsidRDefault="000F0073" w:rsidP="000F0073">
      <w:pPr>
        <w:spacing w:line="360" w:lineRule="auto"/>
        <w:ind w:left="1418" w:hanging="1058"/>
        <w:jc w:val="both"/>
        <w:rPr>
          <w:rFonts w:ascii="Arial" w:hAnsi="Arial" w:cs="Arial"/>
          <w:sz w:val="24"/>
          <w:szCs w:val="24"/>
          <w:lang w:val="en-US"/>
        </w:rPr>
      </w:pPr>
      <w:r w:rsidRPr="00567597">
        <w:rPr>
          <w:rFonts w:ascii="Arial" w:hAnsi="Arial" w:cs="Arial"/>
          <w:sz w:val="24"/>
          <w:szCs w:val="24"/>
          <w:lang w:val="en-US"/>
        </w:rPr>
        <w:t>14.2.</w:t>
      </w:r>
      <w:r w:rsidRPr="00567597">
        <w:rPr>
          <w:rFonts w:ascii="Arial" w:hAnsi="Arial" w:cs="Arial"/>
          <w:sz w:val="24"/>
          <w:szCs w:val="24"/>
          <w:lang w:val="en-US"/>
        </w:rPr>
        <w:tab/>
      </w:r>
      <w:r w:rsidR="00567597" w:rsidRPr="000F0073">
        <w:rPr>
          <w:rFonts w:ascii="Arial" w:hAnsi="Arial" w:cs="Arial"/>
          <w:sz w:val="24"/>
          <w:szCs w:val="24"/>
          <w:lang w:val="en-US"/>
        </w:rPr>
        <w:t>I</w:t>
      </w:r>
      <w:r w:rsidR="00E11033" w:rsidRPr="000F0073">
        <w:rPr>
          <w:rFonts w:ascii="Arial" w:hAnsi="Arial" w:cs="Arial"/>
          <w:sz w:val="24"/>
          <w:szCs w:val="24"/>
          <w:lang w:val="en-US"/>
        </w:rPr>
        <w:t xml:space="preserve">n dealing with Rule 9, the court in </w:t>
      </w:r>
      <w:r w:rsidR="00E11033" w:rsidRPr="000F0073">
        <w:rPr>
          <w:rFonts w:ascii="Arial" w:hAnsi="Arial" w:cs="Arial"/>
          <w:i/>
          <w:iCs/>
          <w:sz w:val="24"/>
          <w:szCs w:val="24"/>
          <w:lang w:val="en-US"/>
        </w:rPr>
        <w:t>Allem</w:t>
      </w:r>
      <w:r w:rsidR="00E11033" w:rsidRPr="000F0073">
        <w:rPr>
          <w:rFonts w:ascii="Arial" w:hAnsi="Arial" w:cs="Arial"/>
          <w:sz w:val="24"/>
          <w:szCs w:val="24"/>
          <w:lang w:val="en-US"/>
        </w:rPr>
        <w:t xml:space="preserve"> held in paragraph 61 that “</w:t>
      </w:r>
      <w:r w:rsidR="00E11033" w:rsidRPr="000F0073">
        <w:rPr>
          <w:rFonts w:ascii="Arial" w:hAnsi="Arial" w:cs="Arial"/>
          <w:i/>
          <w:iCs/>
          <w:sz w:val="24"/>
          <w:szCs w:val="24"/>
          <w:lang w:val="en-US"/>
        </w:rPr>
        <w:t>in cases where leave to appeal is granted by the SCA under its rules, the precondition for a demand that security be given must be an order by the SCA that it be done.  I am of the view that Rule 49(13) does not find application, because the order is one made by the SCA.  And under that order there is no entitlement that must be waived and the order granting leave to appeal by implication absolved the respondent form any duty to furnish costs.</w:t>
      </w:r>
      <w:r w:rsidR="00E11033" w:rsidRPr="000F0073">
        <w:rPr>
          <w:rFonts w:ascii="Arial" w:hAnsi="Arial" w:cs="Arial"/>
          <w:sz w:val="24"/>
          <w:szCs w:val="24"/>
          <w:lang w:val="en-US"/>
        </w:rPr>
        <w:t>”</w:t>
      </w:r>
    </w:p>
    <w:p w14:paraId="074F8E56" w14:textId="77777777" w:rsidR="005D3907" w:rsidRPr="00567597" w:rsidRDefault="005D3907" w:rsidP="00F90E3E">
      <w:pPr>
        <w:pStyle w:val="ListParagraph"/>
        <w:spacing w:line="360" w:lineRule="auto"/>
        <w:ind w:left="360"/>
        <w:jc w:val="both"/>
        <w:rPr>
          <w:rFonts w:ascii="Arial" w:hAnsi="Arial" w:cs="Arial"/>
          <w:sz w:val="24"/>
          <w:szCs w:val="24"/>
          <w:lang w:val="en-US"/>
        </w:rPr>
      </w:pPr>
    </w:p>
    <w:p w14:paraId="3312AC86" w14:textId="59BE81F7" w:rsidR="00877843" w:rsidRPr="000F0073" w:rsidRDefault="000F0073" w:rsidP="000F0073">
      <w:pPr>
        <w:spacing w:line="360" w:lineRule="auto"/>
        <w:ind w:left="360" w:hanging="360"/>
        <w:jc w:val="both"/>
        <w:rPr>
          <w:rFonts w:ascii="Arial" w:hAnsi="Arial" w:cs="Arial"/>
          <w:sz w:val="24"/>
          <w:szCs w:val="24"/>
          <w:lang w:val="en-US"/>
        </w:rPr>
      </w:pPr>
      <w:r w:rsidRPr="00567597">
        <w:rPr>
          <w:rFonts w:ascii="Arial" w:hAnsi="Arial" w:cs="Arial"/>
          <w:sz w:val="24"/>
          <w:szCs w:val="24"/>
          <w:lang w:val="en-US"/>
        </w:rPr>
        <w:t>15.</w:t>
      </w:r>
      <w:r w:rsidRPr="00567597">
        <w:rPr>
          <w:rFonts w:ascii="Arial" w:hAnsi="Arial" w:cs="Arial"/>
          <w:sz w:val="24"/>
          <w:szCs w:val="24"/>
          <w:lang w:val="en-US"/>
        </w:rPr>
        <w:tab/>
      </w:r>
      <w:r w:rsidR="00567597" w:rsidRPr="000F0073">
        <w:rPr>
          <w:rFonts w:ascii="Arial" w:hAnsi="Arial" w:cs="Arial"/>
          <w:sz w:val="24"/>
          <w:szCs w:val="24"/>
          <w:lang w:val="en-US"/>
        </w:rPr>
        <w:t>In</w:t>
      </w:r>
      <w:r w:rsidR="00877843" w:rsidRPr="000F0073">
        <w:rPr>
          <w:rFonts w:ascii="Arial" w:hAnsi="Arial" w:cs="Arial"/>
          <w:sz w:val="24"/>
          <w:szCs w:val="24"/>
          <w:lang w:val="en-US"/>
        </w:rPr>
        <w:t xml:space="preserve"> </w:t>
      </w:r>
      <w:r w:rsidR="00877843" w:rsidRPr="000F0073">
        <w:rPr>
          <w:rFonts w:ascii="Arial" w:hAnsi="Arial" w:cs="Arial"/>
          <w:b/>
          <w:bCs/>
          <w:i/>
          <w:iCs/>
          <w:sz w:val="24"/>
          <w:szCs w:val="24"/>
          <w:lang w:val="en-US"/>
        </w:rPr>
        <w:t>Strouthos</w:t>
      </w:r>
      <w:r w:rsidR="00877843" w:rsidRPr="00567597">
        <w:rPr>
          <w:rStyle w:val="FootnoteReference"/>
          <w:rFonts w:ascii="Arial" w:hAnsi="Arial" w:cs="Arial"/>
          <w:b/>
          <w:bCs/>
          <w:i/>
          <w:iCs/>
          <w:sz w:val="24"/>
          <w:szCs w:val="24"/>
          <w:lang w:val="en-US"/>
        </w:rPr>
        <w:footnoteReference w:id="4"/>
      </w:r>
      <w:r w:rsidR="00567597" w:rsidRPr="000F0073">
        <w:rPr>
          <w:rFonts w:ascii="Arial" w:hAnsi="Arial" w:cs="Arial"/>
          <w:sz w:val="24"/>
          <w:szCs w:val="24"/>
          <w:lang w:val="en-US"/>
        </w:rPr>
        <w:t xml:space="preserve"> Daniels J held that the Court in granting leave to appeal as opposed to the court in which the appeal is made or the court hearing the appeal, is the court designated to order </w:t>
      </w:r>
      <w:r w:rsidR="00567597" w:rsidRPr="000F0073">
        <w:rPr>
          <w:rFonts w:ascii="Arial" w:hAnsi="Arial" w:cs="Arial"/>
          <w:sz w:val="24"/>
          <w:szCs w:val="24"/>
          <w:u w:val="single"/>
          <w:lang w:val="en-US"/>
        </w:rPr>
        <w:t>the release</w:t>
      </w:r>
      <w:r w:rsidR="00567597" w:rsidRPr="000F0073">
        <w:rPr>
          <w:rFonts w:ascii="Arial" w:hAnsi="Arial" w:cs="Arial"/>
          <w:sz w:val="24"/>
          <w:szCs w:val="24"/>
          <w:lang w:val="en-US"/>
        </w:rPr>
        <w:t xml:space="preserve"> of the appellant from his or her obligation to lodge security.</w:t>
      </w:r>
      <w:r w:rsidR="0061270E" w:rsidRPr="000F0073">
        <w:rPr>
          <w:rFonts w:ascii="Arial" w:hAnsi="Arial" w:cs="Arial"/>
          <w:sz w:val="24"/>
          <w:szCs w:val="24"/>
          <w:lang w:val="en-US"/>
        </w:rPr>
        <w:t xml:space="preserve"> (my emphasis)</w:t>
      </w:r>
    </w:p>
    <w:p w14:paraId="706D8013" w14:textId="77777777" w:rsidR="00F12ADF" w:rsidRPr="00567597" w:rsidRDefault="00F12ADF" w:rsidP="00F90E3E">
      <w:pPr>
        <w:pStyle w:val="ListParagraph"/>
        <w:jc w:val="both"/>
        <w:rPr>
          <w:rFonts w:ascii="Arial" w:hAnsi="Arial" w:cs="Arial"/>
          <w:sz w:val="24"/>
          <w:szCs w:val="24"/>
          <w:lang w:val="en-US"/>
        </w:rPr>
      </w:pPr>
    </w:p>
    <w:p w14:paraId="2671A256" w14:textId="00320824" w:rsidR="00F12ADF"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567597" w:rsidRPr="000F0073">
        <w:rPr>
          <w:rFonts w:ascii="Arial" w:hAnsi="Arial" w:cs="Arial"/>
          <w:sz w:val="24"/>
          <w:szCs w:val="24"/>
          <w:lang w:val="en-US"/>
        </w:rPr>
        <w:t xml:space="preserve">Rand Water argues that </w:t>
      </w:r>
      <w:r w:rsidR="00567597" w:rsidRPr="000F0073">
        <w:rPr>
          <w:rFonts w:ascii="Arial" w:hAnsi="Arial" w:cs="Arial"/>
          <w:i/>
          <w:iCs/>
          <w:sz w:val="24"/>
          <w:szCs w:val="24"/>
          <w:lang w:val="en-US"/>
        </w:rPr>
        <w:t>Strouthos</w:t>
      </w:r>
      <w:r w:rsidR="00567597" w:rsidRPr="000F0073">
        <w:rPr>
          <w:rFonts w:ascii="Arial" w:hAnsi="Arial" w:cs="Arial"/>
          <w:sz w:val="24"/>
          <w:szCs w:val="24"/>
          <w:lang w:val="en-US"/>
        </w:rPr>
        <w:t xml:space="preserve"> was correctly decided.  </w:t>
      </w:r>
      <w:r w:rsidR="0061270E" w:rsidRPr="000F0073">
        <w:rPr>
          <w:rFonts w:ascii="Arial" w:hAnsi="Arial" w:cs="Arial"/>
          <w:sz w:val="24"/>
          <w:szCs w:val="24"/>
          <w:lang w:val="en-US"/>
        </w:rPr>
        <w:t>Rand Water</w:t>
      </w:r>
      <w:r w:rsidR="00283339" w:rsidRPr="000F0073">
        <w:rPr>
          <w:rFonts w:ascii="Arial" w:hAnsi="Arial" w:cs="Arial"/>
          <w:sz w:val="24"/>
          <w:szCs w:val="24"/>
          <w:lang w:val="en-US"/>
        </w:rPr>
        <w:t xml:space="preserve"> also places reliance on the judgments of </w:t>
      </w:r>
      <w:r w:rsidR="00567597" w:rsidRPr="000F0073">
        <w:rPr>
          <w:rFonts w:ascii="Arial" w:hAnsi="Arial" w:cs="Arial"/>
          <w:b/>
          <w:bCs/>
          <w:sz w:val="24"/>
          <w:szCs w:val="24"/>
          <w:lang w:val="en-US"/>
        </w:rPr>
        <w:t>Boland Konstruksie</w:t>
      </w:r>
      <w:r w:rsidR="00567597">
        <w:rPr>
          <w:rStyle w:val="FootnoteReference"/>
          <w:rFonts w:ascii="Arial" w:hAnsi="Arial" w:cs="Arial"/>
          <w:sz w:val="24"/>
          <w:szCs w:val="24"/>
          <w:lang w:val="en-US"/>
        </w:rPr>
        <w:footnoteReference w:id="5"/>
      </w:r>
      <w:r w:rsidR="00283339" w:rsidRPr="000F0073">
        <w:rPr>
          <w:rFonts w:ascii="Arial" w:hAnsi="Arial" w:cs="Arial"/>
          <w:b/>
          <w:bCs/>
          <w:sz w:val="24"/>
          <w:szCs w:val="24"/>
          <w:lang w:val="en-US"/>
        </w:rPr>
        <w:t xml:space="preserve">, </w:t>
      </w:r>
      <w:r w:rsidR="00824F3D" w:rsidRPr="000F0073">
        <w:rPr>
          <w:rFonts w:ascii="Arial" w:hAnsi="Arial" w:cs="Arial"/>
          <w:b/>
          <w:bCs/>
          <w:i/>
          <w:iCs/>
          <w:sz w:val="24"/>
          <w:szCs w:val="24"/>
          <w:lang w:val="en-US"/>
        </w:rPr>
        <w:t>Eagle Creek Investments</w:t>
      </w:r>
      <w:r w:rsidR="00824F3D">
        <w:rPr>
          <w:rStyle w:val="FootnoteReference"/>
          <w:rFonts w:ascii="Arial" w:hAnsi="Arial" w:cs="Arial"/>
          <w:b/>
          <w:bCs/>
          <w:i/>
          <w:iCs/>
          <w:sz w:val="24"/>
          <w:szCs w:val="24"/>
          <w:lang w:val="en-US"/>
        </w:rPr>
        <w:footnoteReference w:id="6"/>
      </w:r>
      <w:r w:rsidR="00824F3D" w:rsidRPr="000F0073">
        <w:rPr>
          <w:rFonts w:ascii="Arial" w:hAnsi="Arial" w:cs="Arial"/>
          <w:sz w:val="24"/>
          <w:szCs w:val="24"/>
          <w:lang w:val="en-US"/>
        </w:rPr>
        <w:t xml:space="preserve"> </w:t>
      </w:r>
      <w:r w:rsidR="00283339" w:rsidRPr="000F0073">
        <w:rPr>
          <w:rFonts w:ascii="Arial" w:hAnsi="Arial" w:cs="Arial"/>
          <w:sz w:val="24"/>
          <w:szCs w:val="24"/>
          <w:lang w:val="en-US"/>
        </w:rPr>
        <w:t xml:space="preserve">and </w:t>
      </w:r>
      <w:r w:rsidR="00283339" w:rsidRPr="000F0073">
        <w:rPr>
          <w:rFonts w:ascii="Arial" w:hAnsi="Arial" w:cs="Arial"/>
          <w:b/>
          <w:bCs/>
          <w:i/>
          <w:iCs/>
          <w:sz w:val="24"/>
          <w:szCs w:val="24"/>
          <w:lang w:val="en-US"/>
        </w:rPr>
        <w:t>Panayiotou</w:t>
      </w:r>
      <w:r w:rsidR="00283339">
        <w:rPr>
          <w:rStyle w:val="FootnoteReference"/>
          <w:rFonts w:ascii="Arial" w:hAnsi="Arial" w:cs="Arial"/>
          <w:b/>
          <w:bCs/>
          <w:i/>
          <w:iCs/>
          <w:sz w:val="24"/>
          <w:szCs w:val="24"/>
          <w:lang w:val="en-US"/>
        </w:rPr>
        <w:footnoteReference w:id="7"/>
      </w:r>
      <w:r w:rsidR="00283339" w:rsidRPr="000F0073">
        <w:rPr>
          <w:rFonts w:ascii="Arial" w:hAnsi="Arial" w:cs="Arial"/>
          <w:sz w:val="24"/>
          <w:szCs w:val="24"/>
          <w:lang w:val="en-US"/>
        </w:rPr>
        <w:t xml:space="preserve">.  </w:t>
      </w:r>
      <w:r w:rsidR="00824F3D" w:rsidRPr="000F0073">
        <w:rPr>
          <w:rFonts w:ascii="Arial" w:hAnsi="Arial" w:cs="Arial"/>
          <w:i/>
          <w:iCs/>
          <w:sz w:val="24"/>
          <w:szCs w:val="24"/>
          <w:lang w:val="en-US"/>
        </w:rPr>
        <w:t>Strouthos, Boland Konstruksie</w:t>
      </w:r>
      <w:r w:rsidR="00283339" w:rsidRPr="000F0073">
        <w:rPr>
          <w:rFonts w:ascii="Arial" w:hAnsi="Arial" w:cs="Arial"/>
          <w:i/>
          <w:iCs/>
          <w:sz w:val="24"/>
          <w:szCs w:val="24"/>
          <w:lang w:val="en-US"/>
        </w:rPr>
        <w:t>,</w:t>
      </w:r>
      <w:r w:rsidR="00824F3D" w:rsidRPr="000F0073">
        <w:rPr>
          <w:rFonts w:ascii="Arial" w:hAnsi="Arial" w:cs="Arial"/>
          <w:i/>
          <w:iCs/>
          <w:sz w:val="24"/>
          <w:szCs w:val="24"/>
          <w:lang w:val="en-US"/>
        </w:rPr>
        <w:t xml:space="preserve"> Eagle </w:t>
      </w:r>
      <w:r w:rsidR="005D04D7" w:rsidRPr="000F0073">
        <w:rPr>
          <w:rFonts w:ascii="Arial" w:hAnsi="Arial" w:cs="Arial"/>
          <w:i/>
          <w:iCs/>
          <w:sz w:val="24"/>
          <w:szCs w:val="24"/>
          <w:lang w:val="en-US"/>
        </w:rPr>
        <w:t>Creek,</w:t>
      </w:r>
      <w:r w:rsidR="00824F3D" w:rsidRPr="000F0073">
        <w:rPr>
          <w:rFonts w:ascii="Arial" w:hAnsi="Arial" w:cs="Arial"/>
          <w:sz w:val="24"/>
          <w:szCs w:val="24"/>
          <w:lang w:val="en-US"/>
        </w:rPr>
        <w:t xml:space="preserve"> </w:t>
      </w:r>
      <w:r w:rsidR="00283339" w:rsidRPr="000F0073">
        <w:rPr>
          <w:rFonts w:ascii="Arial" w:hAnsi="Arial" w:cs="Arial"/>
          <w:sz w:val="24"/>
          <w:szCs w:val="24"/>
          <w:lang w:val="en-US"/>
        </w:rPr>
        <w:t xml:space="preserve">and </w:t>
      </w:r>
      <w:r w:rsidR="00283339" w:rsidRPr="000F0073">
        <w:rPr>
          <w:rFonts w:ascii="Arial" w:hAnsi="Arial" w:cs="Arial"/>
          <w:i/>
          <w:iCs/>
          <w:sz w:val="24"/>
          <w:szCs w:val="24"/>
          <w:lang w:val="en-US"/>
        </w:rPr>
        <w:t>Panayiotou</w:t>
      </w:r>
      <w:r w:rsidR="00283339" w:rsidRPr="000F0073">
        <w:rPr>
          <w:rFonts w:ascii="Arial" w:hAnsi="Arial" w:cs="Arial"/>
          <w:sz w:val="24"/>
          <w:szCs w:val="24"/>
          <w:lang w:val="en-US"/>
        </w:rPr>
        <w:t xml:space="preserve"> </w:t>
      </w:r>
      <w:r w:rsidR="00824F3D" w:rsidRPr="000F0073">
        <w:rPr>
          <w:rFonts w:ascii="Arial" w:hAnsi="Arial" w:cs="Arial"/>
          <w:sz w:val="24"/>
          <w:szCs w:val="24"/>
          <w:lang w:val="en-US"/>
        </w:rPr>
        <w:lastRenderedPageBreak/>
        <w:t>deal with applications where the SCA granted leave to appeal to the full bench of the High Court.</w:t>
      </w:r>
    </w:p>
    <w:p w14:paraId="66349913" w14:textId="77777777" w:rsidR="00824F3D" w:rsidRPr="00824F3D" w:rsidRDefault="00824F3D" w:rsidP="00824F3D">
      <w:pPr>
        <w:pStyle w:val="ListParagraph"/>
        <w:rPr>
          <w:rFonts w:ascii="Arial" w:hAnsi="Arial" w:cs="Arial"/>
          <w:sz w:val="24"/>
          <w:szCs w:val="24"/>
          <w:lang w:val="en-US"/>
        </w:rPr>
      </w:pPr>
    </w:p>
    <w:p w14:paraId="7065A32A" w14:textId="10D8723E" w:rsidR="00283339" w:rsidRPr="000F0073" w:rsidRDefault="000F0073" w:rsidP="000F0073">
      <w:pPr>
        <w:spacing w:line="360" w:lineRule="auto"/>
        <w:ind w:left="1134" w:hanging="774"/>
        <w:jc w:val="both"/>
        <w:rPr>
          <w:rFonts w:ascii="Arial" w:hAnsi="Arial" w:cs="Arial"/>
          <w:sz w:val="24"/>
          <w:szCs w:val="24"/>
          <w:lang w:val="en-US"/>
        </w:rPr>
      </w:pPr>
      <w:r w:rsidRPr="00283339">
        <w:rPr>
          <w:rFonts w:ascii="Arial" w:hAnsi="Arial" w:cs="Arial"/>
          <w:sz w:val="24"/>
          <w:szCs w:val="24"/>
          <w:lang w:val="en-US"/>
        </w:rPr>
        <w:t>16.1.</w:t>
      </w:r>
      <w:r w:rsidRPr="00283339">
        <w:rPr>
          <w:rFonts w:ascii="Arial" w:hAnsi="Arial" w:cs="Arial"/>
          <w:sz w:val="24"/>
          <w:szCs w:val="24"/>
          <w:lang w:val="en-US"/>
        </w:rPr>
        <w:tab/>
      </w:r>
      <w:r w:rsidR="00F12ADF" w:rsidRPr="000F0073">
        <w:rPr>
          <w:rFonts w:ascii="Arial" w:hAnsi="Arial" w:cs="Arial"/>
          <w:color w:val="000000"/>
          <w:sz w:val="24"/>
          <w:szCs w:val="24"/>
          <w:shd w:val="clear" w:color="auto" w:fill="FFFFFF"/>
        </w:rPr>
        <w:t xml:space="preserve">It was held in </w:t>
      </w:r>
      <w:r w:rsidR="00F12ADF" w:rsidRPr="000F0073">
        <w:rPr>
          <w:rFonts w:ascii="Arial" w:hAnsi="Arial" w:cs="Arial"/>
          <w:i/>
          <w:iCs/>
          <w:color w:val="000000"/>
          <w:sz w:val="24"/>
          <w:szCs w:val="24"/>
          <w:shd w:val="clear" w:color="auto" w:fill="FFFFFF"/>
        </w:rPr>
        <w:t xml:space="preserve">Boland Konstruksie </w:t>
      </w:r>
      <w:r w:rsidR="00F12ADF" w:rsidRPr="000F0073">
        <w:rPr>
          <w:rFonts w:ascii="Arial" w:hAnsi="Arial" w:cs="Arial"/>
          <w:color w:val="000000"/>
          <w:sz w:val="24"/>
          <w:szCs w:val="24"/>
          <w:shd w:val="clear" w:color="auto" w:fill="FFFFFF"/>
        </w:rPr>
        <w:t xml:space="preserve">that </w:t>
      </w:r>
      <w:r w:rsidR="00326267" w:rsidRPr="000F0073">
        <w:rPr>
          <w:rFonts w:ascii="Arial" w:hAnsi="Arial" w:cs="Arial"/>
          <w:color w:val="000000"/>
          <w:sz w:val="24"/>
          <w:szCs w:val="24"/>
          <w:shd w:val="clear" w:color="auto" w:fill="FFFFFF"/>
        </w:rPr>
        <w:t>where</w:t>
      </w:r>
      <w:r w:rsidR="00F12ADF" w:rsidRPr="000F0073">
        <w:rPr>
          <w:rFonts w:ascii="Arial" w:hAnsi="Arial" w:cs="Arial"/>
          <w:color w:val="000000"/>
          <w:sz w:val="24"/>
          <w:szCs w:val="24"/>
          <w:shd w:val="clear" w:color="auto" w:fill="FFFFFF"/>
        </w:rPr>
        <w:t xml:space="preserve"> security is not provided as stipulated in Rule</w:t>
      </w:r>
      <w:r w:rsidR="0061270E" w:rsidRPr="000F0073">
        <w:rPr>
          <w:rFonts w:ascii="Arial" w:hAnsi="Arial" w:cs="Arial"/>
          <w:color w:val="000000"/>
          <w:sz w:val="24"/>
          <w:szCs w:val="24"/>
          <w:shd w:val="clear" w:color="auto" w:fill="FFFFFF"/>
        </w:rPr>
        <w:t xml:space="preserve"> 49(13)</w:t>
      </w:r>
      <w:r w:rsidR="00F12ADF" w:rsidRPr="000F0073">
        <w:rPr>
          <w:rFonts w:ascii="Arial" w:hAnsi="Arial" w:cs="Arial"/>
          <w:color w:val="000000"/>
          <w:sz w:val="24"/>
          <w:szCs w:val="24"/>
          <w:shd w:val="clear" w:color="auto" w:fill="FFFFFF"/>
        </w:rPr>
        <w:t xml:space="preserve"> an appeal may be struck off the roll.  The Court has a discretion to condone such </w:t>
      </w:r>
      <w:r w:rsidR="00F70121" w:rsidRPr="000F0073">
        <w:rPr>
          <w:rFonts w:ascii="Arial" w:hAnsi="Arial" w:cs="Arial"/>
          <w:color w:val="000000"/>
          <w:sz w:val="24"/>
          <w:szCs w:val="24"/>
          <w:shd w:val="clear" w:color="auto" w:fill="FFFFFF"/>
        </w:rPr>
        <w:t>non-compliance</w:t>
      </w:r>
      <w:r w:rsidR="00F12ADF" w:rsidRPr="000F0073">
        <w:rPr>
          <w:rFonts w:ascii="Arial" w:hAnsi="Arial" w:cs="Arial"/>
          <w:color w:val="000000"/>
          <w:sz w:val="24"/>
          <w:szCs w:val="24"/>
          <w:shd w:val="clear" w:color="auto" w:fill="FFFFFF"/>
        </w:rPr>
        <w:t>.</w:t>
      </w:r>
      <w:r w:rsidR="00283339">
        <w:rPr>
          <w:rStyle w:val="FootnoteReference"/>
          <w:rFonts w:ascii="Arial" w:hAnsi="Arial" w:cs="Arial"/>
          <w:color w:val="000000"/>
          <w:sz w:val="24"/>
          <w:szCs w:val="24"/>
          <w:shd w:val="clear" w:color="auto" w:fill="FFFFFF"/>
        </w:rPr>
        <w:footnoteReference w:id="8"/>
      </w:r>
    </w:p>
    <w:p w14:paraId="3784A679" w14:textId="77777777" w:rsidR="0061270E" w:rsidRDefault="0061270E" w:rsidP="0061270E">
      <w:pPr>
        <w:pStyle w:val="ListParagraph"/>
        <w:spacing w:line="360" w:lineRule="auto"/>
        <w:ind w:left="1134"/>
        <w:jc w:val="both"/>
        <w:rPr>
          <w:rFonts w:ascii="Arial" w:hAnsi="Arial" w:cs="Arial"/>
          <w:sz w:val="24"/>
          <w:szCs w:val="24"/>
          <w:lang w:val="en-US"/>
        </w:rPr>
      </w:pPr>
    </w:p>
    <w:p w14:paraId="37B53B39" w14:textId="22601ED2" w:rsidR="0061270E" w:rsidRPr="000F0073" w:rsidRDefault="000F0073" w:rsidP="000F0073">
      <w:pPr>
        <w:spacing w:line="360" w:lineRule="auto"/>
        <w:ind w:left="1134" w:hanging="774"/>
        <w:jc w:val="both"/>
        <w:rPr>
          <w:rFonts w:ascii="Arial" w:hAnsi="Arial" w:cs="Arial"/>
          <w:sz w:val="24"/>
          <w:szCs w:val="24"/>
          <w:lang w:val="en-US"/>
        </w:rPr>
      </w:pPr>
      <w:r>
        <w:rPr>
          <w:rFonts w:ascii="Arial" w:hAnsi="Arial" w:cs="Arial"/>
          <w:sz w:val="24"/>
          <w:szCs w:val="24"/>
          <w:lang w:val="en-US"/>
        </w:rPr>
        <w:t>16.2.</w:t>
      </w:r>
      <w:r>
        <w:rPr>
          <w:rFonts w:ascii="Arial" w:hAnsi="Arial" w:cs="Arial"/>
          <w:sz w:val="24"/>
          <w:szCs w:val="24"/>
          <w:lang w:val="en-US"/>
        </w:rPr>
        <w:tab/>
      </w:r>
      <w:r w:rsidR="0061270E" w:rsidRPr="000F0073">
        <w:rPr>
          <w:rFonts w:ascii="Arial" w:hAnsi="Arial" w:cs="Arial"/>
          <w:sz w:val="24"/>
          <w:szCs w:val="24"/>
          <w:lang w:val="en-US"/>
        </w:rPr>
        <w:t xml:space="preserve">The relief sought in </w:t>
      </w:r>
      <w:r w:rsidR="0061270E" w:rsidRPr="000F0073">
        <w:rPr>
          <w:rFonts w:ascii="Arial" w:hAnsi="Arial" w:cs="Arial"/>
          <w:i/>
          <w:iCs/>
          <w:sz w:val="24"/>
          <w:szCs w:val="24"/>
          <w:lang w:val="en-US"/>
        </w:rPr>
        <w:t>Eagle Creek</w:t>
      </w:r>
      <w:r w:rsidR="0061270E" w:rsidRPr="000F0073">
        <w:rPr>
          <w:rFonts w:ascii="Arial" w:hAnsi="Arial" w:cs="Arial"/>
          <w:sz w:val="24"/>
          <w:szCs w:val="24"/>
          <w:lang w:val="en-US"/>
        </w:rPr>
        <w:t xml:space="preserve"> was that certain steps taken by the respondents, such as filing of the record, applying for an appeal date, and filing of heads of argument be set aside as irregular steps </w:t>
      </w:r>
      <w:r w:rsidR="0061270E" w:rsidRPr="000F0073">
        <w:rPr>
          <w:rFonts w:ascii="Arial" w:hAnsi="Arial" w:cs="Arial"/>
          <w:sz w:val="24"/>
          <w:szCs w:val="24"/>
          <w:u w:val="single"/>
          <w:lang w:val="en-US"/>
        </w:rPr>
        <w:t>plus</w:t>
      </w:r>
      <w:r w:rsidR="0061270E" w:rsidRPr="000F0073">
        <w:rPr>
          <w:rFonts w:ascii="Arial" w:hAnsi="Arial" w:cs="Arial"/>
          <w:sz w:val="24"/>
          <w:szCs w:val="24"/>
          <w:lang w:val="en-US"/>
        </w:rPr>
        <w:t xml:space="preserve"> a declaratory order that the appeal lapsed.</w:t>
      </w:r>
      <w:r w:rsidR="0061270E">
        <w:rPr>
          <w:rStyle w:val="FootnoteReference"/>
          <w:rFonts w:ascii="Arial" w:hAnsi="Arial" w:cs="Arial"/>
          <w:sz w:val="24"/>
          <w:szCs w:val="24"/>
          <w:lang w:val="en-US"/>
        </w:rPr>
        <w:footnoteReference w:id="9"/>
      </w:r>
    </w:p>
    <w:p w14:paraId="3EADC217" w14:textId="77777777" w:rsidR="0061270E" w:rsidRPr="0061270E" w:rsidRDefault="0061270E" w:rsidP="0061270E">
      <w:pPr>
        <w:pStyle w:val="ListParagraph"/>
        <w:rPr>
          <w:rFonts w:ascii="Arial" w:hAnsi="Arial" w:cs="Arial"/>
          <w:sz w:val="24"/>
          <w:szCs w:val="24"/>
          <w:lang w:val="en-US"/>
        </w:rPr>
      </w:pPr>
    </w:p>
    <w:p w14:paraId="2A6CC42D" w14:textId="3E9306BD" w:rsidR="00F12ADF" w:rsidRPr="000F0073" w:rsidRDefault="000F0073" w:rsidP="000F0073">
      <w:pPr>
        <w:spacing w:line="360" w:lineRule="auto"/>
        <w:ind w:left="1134" w:hanging="774"/>
        <w:jc w:val="both"/>
        <w:rPr>
          <w:rFonts w:ascii="Arial" w:hAnsi="Arial" w:cs="Arial"/>
          <w:sz w:val="24"/>
          <w:szCs w:val="24"/>
          <w:lang w:val="en-US"/>
        </w:rPr>
      </w:pPr>
      <w:r>
        <w:rPr>
          <w:rFonts w:ascii="Arial" w:hAnsi="Arial" w:cs="Arial"/>
          <w:sz w:val="24"/>
          <w:szCs w:val="24"/>
          <w:lang w:val="en-US"/>
        </w:rPr>
        <w:t>16.3.</w:t>
      </w:r>
      <w:r>
        <w:rPr>
          <w:rFonts w:ascii="Arial" w:hAnsi="Arial" w:cs="Arial"/>
          <w:sz w:val="24"/>
          <w:szCs w:val="24"/>
          <w:lang w:val="en-US"/>
        </w:rPr>
        <w:tab/>
      </w:r>
      <w:r w:rsidR="00824F3D" w:rsidRPr="000F0073">
        <w:rPr>
          <w:rFonts w:ascii="Arial" w:hAnsi="Arial" w:cs="Arial"/>
          <w:sz w:val="24"/>
          <w:szCs w:val="24"/>
          <w:lang w:val="en-US"/>
        </w:rPr>
        <w:t xml:space="preserve">The court in </w:t>
      </w:r>
      <w:r w:rsidR="00824F3D" w:rsidRPr="000F0073">
        <w:rPr>
          <w:rFonts w:ascii="Arial" w:hAnsi="Arial" w:cs="Arial"/>
          <w:i/>
          <w:iCs/>
          <w:sz w:val="24"/>
          <w:szCs w:val="24"/>
          <w:lang w:val="en-US"/>
        </w:rPr>
        <w:t>Eagle Creek</w:t>
      </w:r>
      <w:r w:rsidR="00283339">
        <w:rPr>
          <w:rStyle w:val="FootnoteReference"/>
          <w:rFonts w:ascii="Arial" w:hAnsi="Arial" w:cs="Arial"/>
          <w:i/>
          <w:iCs/>
          <w:sz w:val="24"/>
          <w:szCs w:val="24"/>
          <w:lang w:val="en-US"/>
        </w:rPr>
        <w:footnoteReference w:id="10"/>
      </w:r>
      <w:r w:rsidR="00824F3D" w:rsidRPr="000F0073">
        <w:rPr>
          <w:rFonts w:ascii="Arial" w:hAnsi="Arial" w:cs="Arial"/>
          <w:sz w:val="24"/>
          <w:szCs w:val="24"/>
          <w:lang w:val="en-US"/>
        </w:rPr>
        <w:t xml:space="preserve"> referred to </w:t>
      </w:r>
      <w:r w:rsidR="00824F3D" w:rsidRPr="000F0073">
        <w:rPr>
          <w:rFonts w:ascii="Arial" w:hAnsi="Arial" w:cs="Arial"/>
          <w:b/>
          <w:bCs/>
          <w:i/>
          <w:iCs/>
          <w:sz w:val="24"/>
          <w:szCs w:val="24"/>
          <w:lang w:val="en-US"/>
        </w:rPr>
        <w:t>Jyoti Structures Africa</w:t>
      </w:r>
      <w:r w:rsidR="00283339">
        <w:rPr>
          <w:rStyle w:val="FootnoteReference"/>
          <w:rFonts w:ascii="Arial" w:hAnsi="Arial" w:cs="Arial"/>
          <w:i/>
          <w:iCs/>
          <w:sz w:val="24"/>
          <w:szCs w:val="24"/>
          <w:lang w:val="en-US"/>
        </w:rPr>
        <w:footnoteReference w:id="11"/>
      </w:r>
      <w:r w:rsidR="00824F3D" w:rsidRPr="000F0073">
        <w:rPr>
          <w:rFonts w:ascii="Arial" w:hAnsi="Arial" w:cs="Arial"/>
          <w:sz w:val="24"/>
          <w:szCs w:val="24"/>
          <w:lang w:val="en-US"/>
        </w:rPr>
        <w:t xml:space="preserve"> concluding that the lodging of the record with the Registrar prior to the provision of security constitutes an irregularity as </w:t>
      </w:r>
      <w:r w:rsidR="00283339" w:rsidRPr="000F0073">
        <w:rPr>
          <w:rFonts w:ascii="Arial" w:hAnsi="Arial" w:cs="Arial"/>
          <w:sz w:val="24"/>
          <w:szCs w:val="24"/>
          <w:lang w:val="en-US"/>
        </w:rPr>
        <w:t>envisaged</w:t>
      </w:r>
      <w:r w:rsidR="00824F3D" w:rsidRPr="000F0073">
        <w:rPr>
          <w:rFonts w:ascii="Arial" w:hAnsi="Arial" w:cs="Arial"/>
          <w:sz w:val="24"/>
          <w:szCs w:val="24"/>
          <w:lang w:val="en-US"/>
        </w:rPr>
        <w:t xml:space="preserve"> in Uniform Rule of Court 30A.  </w:t>
      </w:r>
    </w:p>
    <w:p w14:paraId="6E79E7BE" w14:textId="77777777" w:rsidR="0061270E" w:rsidRDefault="0061270E" w:rsidP="0061270E">
      <w:pPr>
        <w:pStyle w:val="ListParagraph"/>
        <w:spacing w:line="360" w:lineRule="auto"/>
        <w:ind w:left="1134"/>
        <w:jc w:val="both"/>
        <w:rPr>
          <w:rFonts w:ascii="Arial" w:hAnsi="Arial" w:cs="Arial"/>
          <w:sz w:val="24"/>
          <w:szCs w:val="24"/>
          <w:lang w:val="en-US"/>
        </w:rPr>
      </w:pPr>
    </w:p>
    <w:p w14:paraId="020B7BD7" w14:textId="3FEAD176" w:rsidR="00283339" w:rsidRPr="000F0073" w:rsidRDefault="000F0073" w:rsidP="000F0073">
      <w:pPr>
        <w:spacing w:line="360" w:lineRule="auto"/>
        <w:ind w:left="1134" w:hanging="774"/>
        <w:jc w:val="both"/>
        <w:rPr>
          <w:rFonts w:ascii="Arial" w:hAnsi="Arial" w:cs="Arial"/>
          <w:sz w:val="24"/>
          <w:szCs w:val="24"/>
          <w:lang w:val="en-US"/>
        </w:rPr>
      </w:pPr>
      <w:r>
        <w:rPr>
          <w:rFonts w:ascii="Arial" w:hAnsi="Arial" w:cs="Arial"/>
          <w:sz w:val="24"/>
          <w:szCs w:val="24"/>
          <w:lang w:val="en-US"/>
        </w:rPr>
        <w:t>16.4.</w:t>
      </w:r>
      <w:r>
        <w:rPr>
          <w:rFonts w:ascii="Arial" w:hAnsi="Arial" w:cs="Arial"/>
          <w:sz w:val="24"/>
          <w:szCs w:val="24"/>
          <w:lang w:val="en-US"/>
        </w:rPr>
        <w:tab/>
      </w:r>
      <w:r w:rsidR="00283339" w:rsidRPr="000F0073">
        <w:rPr>
          <w:rFonts w:ascii="Arial" w:hAnsi="Arial" w:cs="Arial"/>
          <w:sz w:val="24"/>
          <w:szCs w:val="24"/>
          <w:lang w:val="en-US"/>
        </w:rPr>
        <w:t xml:space="preserve">In </w:t>
      </w:r>
      <w:r w:rsidR="00283339" w:rsidRPr="000F0073">
        <w:rPr>
          <w:rFonts w:ascii="Arial" w:hAnsi="Arial" w:cs="Arial"/>
          <w:i/>
          <w:iCs/>
          <w:sz w:val="24"/>
          <w:szCs w:val="24"/>
          <w:lang w:val="en-US"/>
        </w:rPr>
        <w:t xml:space="preserve">Panayiotou </w:t>
      </w:r>
      <w:r w:rsidR="00283339" w:rsidRPr="000F0073">
        <w:rPr>
          <w:rFonts w:ascii="Arial" w:hAnsi="Arial" w:cs="Arial"/>
          <w:sz w:val="24"/>
          <w:szCs w:val="24"/>
          <w:lang w:val="en-US"/>
        </w:rPr>
        <w:t>the court held that the failure to serve an application for leave to appeal within the prescribed time resulted in the lapsing of the right to apply for leave to appeal, and only on the granting of condonation would it be revived.</w:t>
      </w:r>
      <w:r w:rsidR="00283339">
        <w:rPr>
          <w:rStyle w:val="FootnoteReference"/>
          <w:rFonts w:ascii="Arial" w:hAnsi="Arial" w:cs="Arial"/>
          <w:sz w:val="24"/>
          <w:szCs w:val="24"/>
          <w:lang w:val="en-US"/>
        </w:rPr>
        <w:footnoteReference w:id="12"/>
      </w:r>
    </w:p>
    <w:p w14:paraId="29F507A3" w14:textId="37C17C0D" w:rsidR="00F70121" w:rsidRDefault="00F70121" w:rsidP="00F70121">
      <w:pPr>
        <w:pStyle w:val="ListParagraph"/>
        <w:spacing w:line="360" w:lineRule="auto"/>
        <w:ind w:left="360"/>
        <w:jc w:val="both"/>
        <w:rPr>
          <w:rFonts w:ascii="Arial" w:hAnsi="Arial" w:cs="Arial"/>
          <w:sz w:val="24"/>
          <w:szCs w:val="24"/>
          <w:lang w:val="en-US"/>
        </w:rPr>
      </w:pPr>
    </w:p>
    <w:p w14:paraId="334C499B" w14:textId="6779C41D" w:rsidR="006E222F"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6E222F" w:rsidRPr="000F0073">
        <w:rPr>
          <w:rFonts w:ascii="Arial" w:hAnsi="Arial" w:cs="Arial"/>
          <w:sz w:val="24"/>
          <w:szCs w:val="24"/>
          <w:lang w:val="en-US"/>
        </w:rPr>
        <w:t xml:space="preserve"> Two recent judgments, namely that of </w:t>
      </w:r>
      <w:r w:rsidR="006E222F" w:rsidRPr="000F0073">
        <w:rPr>
          <w:rFonts w:ascii="Arial" w:hAnsi="Arial" w:cs="Arial"/>
          <w:b/>
          <w:bCs/>
          <w:i/>
          <w:iCs/>
          <w:sz w:val="24"/>
          <w:szCs w:val="24"/>
          <w:lang w:val="en-US"/>
        </w:rPr>
        <w:t>Jeanru</w:t>
      </w:r>
      <w:r w:rsidR="006E222F">
        <w:rPr>
          <w:rStyle w:val="FootnoteReference"/>
          <w:rFonts w:ascii="Arial" w:hAnsi="Arial" w:cs="Arial"/>
          <w:b/>
          <w:bCs/>
          <w:i/>
          <w:iCs/>
          <w:sz w:val="24"/>
          <w:szCs w:val="24"/>
          <w:lang w:val="en-US"/>
        </w:rPr>
        <w:footnoteReference w:id="13"/>
      </w:r>
      <w:r w:rsidR="006E222F" w:rsidRPr="000F0073">
        <w:rPr>
          <w:rFonts w:ascii="Arial" w:hAnsi="Arial" w:cs="Arial"/>
          <w:sz w:val="24"/>
          <w:szCs w:val="24"/>
          <w:lang w:val="en-US"/>
        </w:rPr>
        <w:t xml:space="preserve"> and </w:t>
      </w:r>
      <w:r w:rsidR="006E222F" w:rsidRPr="000F0073">
        <w:rPr>
          <w:rFonts w:ascii="Arial" w:hAnsi="Arial" w:cs="Arial"/>
          <w:b/>
          <w:bCs/>
          <w:i/>
          <w:iCs/>
          <w:sz w:val="24"/>
          <w:szCs w:val="24"/>
          <w:lang w:val="en-US"/>
        </w:rPr>
        <w:t>Gruskin</w:t>
      </w:r>
      <w:r w:rsidR="006E222F">
        <w:rPr>
          <w:rStyle w:val="FootnoteReference"/>
          <w:rFonts w:ascii="Arial" w:hAnsi="Arial" w:cs="Arial"/>
          <w:b/>
          <w:bCs/>
          <w:i/>
          <w:iCs/>
          <w:sz w:val="24"/>
          <w:szCs w:val="24"/>
          <w:lang w:val="en-US"/>
        </w:rPr>
        <w:footnoteReference w:id="14"/>
      </w:r>
      <w:r w:rsidR="006E222F" w:rsidRPr="000F0073">
        <w:rPr>
          <w:rFonts w:ascii="Arial" w:hAnsi="Arial" w:cs="Arial"/>
          <w:sz w:val="24"/>
          <w:szCs w:val="24"/>
          <w:lang w:val="en-US"/>
        </w:rPr>
        <w:t xml:space="preserve"> are informative of </w:t>
      </w:r>
      <w:r w:rsidR="00E263D2" w:rsidRPr="000F0073">
        <w:rPr>
          <w:rFonts w:ascii="Arial" w:hAnsi="Arial" w:cs="Arial"/>
          <w:sz w:val="24"/>
          <w:szCs w:val="24"/>
          <w:lang w:val="en-US"/>
        </w:rPr>
        <w:t xml:space="preserve">   </w:t>
      </w:r>
      <w:r w:rsidR="006E222F" w:rsidRPr="000F0073">
        <w:rPr>
          <w:rFonts w:ascii="Arial" w:hAnsi="Arial" w:cs="Arial"/>
          <w:sz w:val="24"/>
          <w:szCs w:val="24"/>
          <w:lang w:val="en-US"/>
        </w:rPr>
        <w:t>the decision that th</w:t>
      </w:r>
      <w:r w:rsidR="0061270E" w:rsidRPr="000F0073">
        <w:rPr>
          <w:rFonts w:ascii="Arial" w:hAnsi="Arial" w:cs="Arial"/>
          <w:sz w:val="24"/>
          <w:szCs w:val="24"/>
          <w:lang w:val="en-US"/>
        </w:rPr>
        <w:t>is</w:t>
      </w:r>
      <w:r w:rsidR="006E222F" w:rsidRPr="000F0073">
        <w:rPr>
          <w:rFonts w:ascii="Arial" w:hAnsi="Arial" w:cs="Arial"/>
          <w:sz w:val="24"/>
          <w:szCs w:val="24"/>
          <w:lang w:val="en-US"/>
        </w:rPr>
        <w:t xml:space="preserve"> court is bound to make.  </w:t>
      </w:r>
    </w:p>
    <w:p w14:paraId="06BBEAB0" w14:textId="0204039D" w:rsidR="006E222F" w:rsidRDefault="006E222F" w:rsidP="006E222F">
      <w:pPr>
        <w:pStyle w:val="ListParagraph"/>
        <w:spacing w:line="360" w:lineRule="auto"/>
        <w:ind w:left="360"/>
        <w:jc w:val="both"/>
        <w:rPr>
          <w:rFonts w:ascii="Arial" w:hAnsi="Arial" w:cs="Arial"/>
          <w:sz w:val="24"/>
          <w:szCs w:val="24"/>
          <w:lang w:val="en-US"/>
        </w:rPr>
      </w:pPr>
    </w:p>
    <w:p w14:paraId="5F8EBD60" w14:textId="411E13E4" w:rsidR="006E222F"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6E222F" w:rsidRPr="000F0073">
        <w:rPr>
          <w:rFonts w:ascii="Arial" w:hAnsi="Arial" w:cs="Arial"/>
          <w:sz w:val="24"/>
          <w:szCs w:val="24"/>
          <w:lang w:val="en-US"/>
        </w:rPr>
        <w:t xml:space="preserve"> In both </w:t>
      </w:r>
      <w:r w:rsidR="006E222F" w:rsidRPr="000F0073">
        <w:rPr>
          <w:rFonts w:ascii="Arial" w:hAnsi="Arial" w:cs="Arial"/>
          <w:i/>
          <w:iCs/>
          <w:sz w:val="24"/>
          <w:szCs w:val="24"/>
          <w:lang w:val="en-US"/>
        </w:rPr>
        <w:t>Jeanru</w:t>
      </w:r>
      <w:r w:rsidR="006E222F" w:rsidRPr="000F0073">
        <w:rPr>
          <w:rFonts w:ascii="Arial" w:hAnsi="Arial" w:cs="Arial"/>
          <w:sz w:val="24"/>
          <w:szCs w:val="24"/>
          <w:lang w:val="en-US"/>
        </w:rPr>
        <w:t xml:space="preserve"> and </w:t>
      </w:r>
      <w:r w:rsidR="006E222F" w:rsidRPr="000F0073">
        <w:rPr>
          <w:rFonts w:ascii="Arial" w:hAnsi="Arial" w:cs="Arial"/>
          <w:i/>
          <w:iCs/>
          <w:sz w:val="24"/>
          <w:szCs w:val="24"/>
          <w:lang w:val="en-US"/>
        </w:rPr>
        <w:t>Gruskin</w:t>
      </w:r>
      <w:r w:rsidR="006E222F" w:rsidRPr="000F0073">
        <w:rPr>
          <w:rFonts w:ascii="Arial" w:hAnsi="Arial" w:cs="Arial"/>
          <w:sz w:val="24"/>
          <w:szCs w:val="24"/>
          <w:lang w:val="en-US"/>
        </w:rPr>
        <w:t>, the SCA granted the parties leave to appeal</w:t>
      </w:r>
      <w:r w:rsidR="009039CA" w:rsidRPr="000F0073">
        <w:rPr>
          <w:rFonts w:ascii="Arial" w:hAnsi="Arial" w:cs="Arial"/>
          <w:sz w:val="24"/>
          <w:szCs w:val="24"/>
          <w:lang w:val="en-US"/>
        </w:rPr>
        <w:t xml:space="preserve"> whereafter the appellants did not enter security for costs.  I</w:t>
      </w:r>
      <w:r w:rsidR="006E222F" w:rsidRPr="000F0073">
        <w:rPr>
          <w:rFonts w:ascii="Arial" w:hAnsi="Arial" w:cs="Arial"/>
          <w:sz w:val="24"/>
          <w:szCs w:val="24"/>
          <w:lang w:val="en-US"/>
        </w:rPr>
        <w:t>ssues arose on whether the appellants were obliged to enter into security for the respondents’ costs in terms of Uniform Rule 49(13).</w:t>
      </w:r>
    </w:p>
    <w:p w14:paraId="01E27E4C" w14:textId="77777777" w:rsidR="006E222F" w:rsidRPr="006E222F" w:rsidRDefault="006E222F" w:rsidP="006E222F">
      <w:pPr>
        <w:pStyle w:val="ListParagraph"/>
        <w:rPr>
          <w:rFonts w:ascii="Arial" w:hAnsi="Arial" w:cs="Arial"/>
          <w:sz w:val="24"/>
          <w:szCs w:val="24"/>
          <w:lang w:val="en-US"/>
        </w:rPr>
      </w:pPr>
    </w:p>
    <w:p w14:paraId="7500363D" w14:textId="2A6A2F2F" w:rsidR="0061270E"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6E222F" w:rsidRPr="000F0073">
        <w:rPr>
          <w:rFonts w:ascii="Arial" w:hAnsi="Arial" w:cs="Arial"/>
          <w:sz w:val="24"/>
          <w:szCs w:val="24"/>
          <w:lang w:val="en-US"/>
        </w:rPr>
        <w:t xml:space="preserve">In </w:t>
      </w:r>
      <w:r w:rsidR="006E222F" w:rsidRPr="000F0073">
        <w:rPr>
          <w:rFonts w:ascii="Arial" w:hAnsi="Arial" w:cs="Arial"/>
          <w:i/>
          <w:iCs/>
          <w:sz w:val="24"/>
          <w:szCs w:val="24"/>
          <w:lang w:val="en-US"/>
        </w:rPr>
        <w:t>Jeanru</w:t>
      </w:r>
      <w:r w:rsidR="006E222F" w:rsidRPr="000F0073">
        <w:rPr>
          <w:rFonts w:ascii="Arial" w:hAnsi="Arial" w:cs="Arial"/>
          <w:sz w:val="24"/>
          <w:szCs w:val="24"/>
          <w:lang w:val="en-US"/>
        </w:rPr>
        <w:t xml:space="preserve">, the </w:t>
      </w:r>
      <w:r w:rsidR="0061270E" w:rsidRPr="000F0073">
        <w:rPr>
          <w:rFonts w:ascii="Arial" w:hAnsi="Arial" w:cs="Arial"/>
          <w:sz w:val="24"/>
          <w:szCs w:val="24"/>
          <w:lang w:val="en-US"/>
        </w:rPr>
        <w:t>a</w:t>
      </w:r>
      <w:r w:rsidR="006E222F" w:rsidRPr="000F0073">
        <w:rPr>
          <w:rFonts w:ascii="Arial" w:hAnsi="Arial" w:cs="Arial"/>
          <w:sz w:val="24"/>
          <w:szCs w:val="24"/>
          <w:lang w:val="en-US"/>
        </w:rPr>
        <w:t xml:space="preserve">ppellant </w:t>
      </w:r>
      <w:r w:rsidR="0061270E" w:rsidRPr="000F0073">
        <w:rPr>
          <w:rFonts w:ascii="Arial" w:hAnsi="Arial" w:cs="Arial"/>
          <w:sz w:val="24"/>
          <w:szCs w:val="24"/>
          <w:lang w:val="en-US"/>
        </w:rPr>
        <w:t>‘</w:t>
      </w:r>
      <w:r w:rsidR="006E222F" w:rsidRPr="000F0073">
        <w:rPr>
          <w:rFonts w:ascii="Arial" w:hAnsi="Arial" w:cs="Arial"/>
          <w:sz w:val="24"/>
          <w:szCs w:val="24"/>
          <w:lang w:val="en-US"/>
        </w:rPr>
        <w:t xml:space="preserve">accepted </w:t>
      </w:r>
      <w:r w:rsidR="009039CA" w:rsidRPr="000F0073">
        <w:rPr>
          <w:rFonts w:ascii="Arial" w:hAnsi="Arial" w:cs="Arial"/>
          <w:sz w:val="24"/>
          <w:szCs w:val="24"/>
          <w:lang w:val="en-US"/>
        </w:rPr>
        <w:t>the legal position</w:t>
      </w:r>
      <w:r w:rsidR="0061270E" w:rsidRPr="000F0073">
        <w:rPr>
          <w:rFonts w:ascii="Arial" w:hAnsi="Arial" w:cs="Arial"/>
          <w:sz w:val="24"/>
          <w:szCs w:val="24"/>
          <w:lang w:val="en-US"/>
        </w:rPr>
        <w:t>’</w:t>
      </w:r>
      <w:r w:rsidR="009039CA" w:rsidRPr="000F0073">
        <w:rPr>
          <w:rFonts w:ascii="Arial" w:hAnsi="Arial" w:cs="Arial"/>
          <w:sz w:val="24"/>
          <w:szCs w:val="24"/>
          <w:lang w:val="en-US"/>
        </w:rPr>
        <w:t xml:space="preserve"> to be </w:t>
      </w:r>
      <w:r w:rsidR="006E222F" w:rsidRPr="000F0073">
        <w:rPr>
          <w:rFonts w:ascii="Arial" w:hAnsi="Arial" w:cs="Arial"/>
          <w:sz w:val="24"/>
          <w:szCs w:val="24"/>
          <w:lang w:val="en-US"/>
        </w:rPr>
        <w:t xml:space="preserve">that it was obliged to enter security, unless it was released from such obligation by court or </w:t>
      </w:r>
      <w:r w:rsidR="0061270E" w:rsidRPr="000F0073">
        <w:rPr>
          <w:rFonts w:ascii="Arial" w:hAnsi="Arial" w:cs="Arial"/>
          <w:sz w:val="24"/>
          <w:szCs w:val="24"/>
          <w:lang w:val="en-US"/>
        </w:rPr>
        <w:t xml:space="preserve">by </w:t>
      </w:r>
      <w:r w:rsidR="006E222F" w:rsidRPr="000F0073">
        <w:rPr>
          <w:rFonts w:ascii="Arial" w:hAnsi="Arial" w:cs="Arial"/>
          <w:sz w:val="24"/>
          <w:szCs w:val="24"/>
          <w:lang w:val="en-US"/>
        </w:rPr>
        <w:t>the respondent waiving its right.</w:t>
      </w:r>
      <w:r w:rsidR="006E222F">
        <w:rPr>
          <w:rStyle w:val="FootnoteReference"/>
          <w:rFonts w:ascii="Arial" w:hAnsi="Arial" w:cs="Arial"/>
          <w:sz w:val="24"/>
          <w:szCs w:val="24"/>
          <w:lang w:val="en-US"/>
        </w:rPr>
        <w:footnoteReference w:id="15"/>
      </w:r>
      <w:r w:rsidR="006E222F" w:rsidRPr="000F0073">
        <w:rPr>
          <w:rFonts w:ascii="Arial" w:hAnsi="Arial" w:cs="Arial"/>
          <w:sz w:val="24"/>
          <w:szCs w:val="24"/>
          <w:lang w:val="en-US"/>
        </w:rPr>
        <w:t xml:space="preserve">  </w:t>
      </w:r>
      <w:r w:rsidR="009039CA" w:rsidRPr="000F0073">
        <w:rPr>
          <w:rFonts w:ascii="Arial" w:hAnsi="Arial" w:cs="Arial"/>
          <w:sz w:val="24"/>
          <w:szCs w:val="24"/>
          <w:lang w:val="en-US"/>
        </w:rPr>
        <w:t xml:space="preserve">The court said that </w:t>
      </w:r>
      <w:r w:rsidR="005D04D7" w:rsidRPr="000F0073">
        <w:rPr>
          <w:rFonts w:ascii="Arial" w:hAnsi="Arial" w:cs="Arial"/>
          <w:sz w:val="24"/>
          <w:szCs w:val="24"/>
          <w:lang w:val="en-US"/>
        </w:rPr>
        <w:t xml:space="preserve">the </w:t>
      </w:r>
      <w:r w:rsidR="009039CA" w:rsidRPr="000F0073">
        <w:rPr>
          <w:rFonts w:ascii="Arial" w:hAnsi="Arial" w:cs="Arial"/>
          <w:sz w:val="24"/>
          <w:szCs w:val="24"/>
          <w:lang w:val="en-US"/>
        </w:rPr>
        <w:t xml:space="preserve">consequence of a finding of irregularity would be that the appeal </w:t>
      </w:r>
      <w:r w:rsidR="00E263D2" w:rsidRPr="000F0073">
        <w:rPr>
          <w:rFonts w:ascii="Arial" w:hAnsi="Arial" w:cs="Arial"/>
          <w:sz w:val="24"/>
          <w:szCs w:val="24"/>
          <w:lang w:val="en-US"/>
        </w:rPr>
        <w:t xml:space="preserve">would </w:t>
      </w:r>
      <w:r w:rsidR="009039CA" w:rsidRPr="000F0073">
        <w:rPr>
          <w:rFonts w:ascii="Arial" w:hAnsi="Arial" w:cs="Arial"/>
          <w:sz w:val="24"/>
          <w:szCs w:val="24"/>
          <w:lang w:val="en-US"/>
        </w:rPr>
        <w:t xml:space="preserve">have to be removed from the roll or </w:t>
      </w:r>
      <w:r w:rsidR="0061270E" w:rsidRPr="000F0073">
        <w:rPr>
          <w:rFonts w:ascii="Arial" w:hAnsi="Arial" w:cs="Arial"/>
          <w:sz w:val="24"/>
          <w:szCs w:val="24"/>
          <w:lang w:val="en-US"/>
        </w:rPr>
        <w:t xml:space="preserve">that the appeal </w:t>
      </w:r>
      <w:r w:rsidR="009039CA" w:rsidRPr="000F0073">
        <w:rPr>
          <w:rFonts w:ascii="Arial" w:hAnsi="Arial" w:cs="Arial"/>
          <w:sz w:val="24"/>
          <w:szCs w:val="24"/>
          <w:lang w:val="en-US"/>
        </w:rPr>
        <w:t>run the risk of being struck off.</w:t>
      </w:r>
      <w:r w:rsidR="009039CA">
        <w:rPr>
          <w:rStyle w:val="FootnoteReference"/>
          <w:rFonts w:ascii="Arial" w:hAnsi="Arial" w:cs="Arial"/>
          <w:sz w:val="24"/>
          <w:szCs w:val="24"/>
          <w:lang w:val="en-US"/>
        </w:rPr>
        <w:footnoteReference w:id="16"/>
      </w:r>
      <w:r w:rsidR="009039CA" w:rsidRPr="000F0073">
        <w:rPr>
          <w:rFonts w:ascii="Arial" w:hAnsi="Arial" w:cs="Arial"/>
          <w:sz w:val="24"/>
          <w:szCs w:val="24"/>
          <w:lang w:val="en-US"/>
        </w:rPr>
        <w:t xml:space="preserve">  </w:t>
      </w:r>
    </w:p>
    <w:p w14:paraId="242DC13E" w14:textId="77777777" w:rsidR="0061270E" w:rsidRPr="0061270E" w:rsidRDefault="0061270E" w:rsidP="0061270E">
      <w:pPr>
        <w:pStyle w:val="ListParagraph"/>
        <w:rPr>
          <w:rFonts w:ascii="Arial" w:hAnsi="Arial" w:cs="Arial"/>
          <w:sz w:val="24"/>
          <w:szCs w:val="24"/>
          <w:lang w:val="en-US"/>
        </w:rPr>
      </w:pPr>
    </w:p>
    <w:p w14:paraId="75596772" w14:textId="749EADF8" w:rsidR="006E222F"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9039CA" w:rsidRPr="000F0073">
        <w:rPr>
          <w:rFonts w:ascii="Arial" w:hAnsi="Arial" w:cs="Arial"/>
          <w:sz w:val="24"/>
          <w:szCs w:val="24"/>
          <w:lang w:val="en-US"/>
        </w:rPr>
        <w:t>The appellant</w:t>
      </w:r>
      <w:r w:rsidR="0061270E" w:rsidRPr="000F0073">
        <w:rPr>
          <w:rFonts w:ascii="Arial" w:hAnsi="Arial" w:cs="Arial"/>
          <w:sz w:val="24"/>
          <w:szCs w:val="24"/>
          <w:lang w:val="en-US"/>
        </w:rPr>
        <w:t xml:space="preserve"> in </w:t>
      </w:r>
      <w:r w:rsidR="0061270E" w:rsidRPr="000F0073">
        <w:rPr>
          <w:rFonts w:ascii="Arial" w:hAnsi="Arial" w:cs="Arial"/>
          <w:i/>
          <w:iCs/>
          <w:sz w:val="24"/>
          <w:szCs w:val="24"/>
          <w:lang w:val="en-US"/>
        </w:rPr>
        <w:t>Jeanru</w:t>
      </w:r>
      <w:r w:rsidR="009039CA" w:rsidRPr="000F0073">
        <w:rPr>
          <w:rFonts w:ascii="Arial" w:hAnsi="Arial" w:cs="Arial"/>
          <w:sz w:val="24"/>
          <w:szCs w:val="24"/>
          <w:lang w:val="en-US"/>
        </w:rPr>
        <w:t>’s argument was that Rule 47(13) was promulgated outside the powers of the Rules Board.  This argument was dismissed.</w:t>
      </w:r>
      <w:r w:rsidR="009039CA">
        <w:rPr>
          <w:rStyle w:val="FootnoteReference"/>
          <w:rFonts w:ascii="Arial" w:hAnsi="Arial" w:cs="Arial"/>
          <w:sz w:val="24"/>
          <w:szCs w:val="24"/>
          <w:lang w:val="en-US"/>
        </w:rPr>
        <w:footnoteReference w:id="17"/>
      </w:r>
      <w:r w:rsidR="009039CA" w:rsidRPr="000F0073">
        <w:rPr>
          <w:rFonts w:ascii="Arial" w:hAnsi="Arial" w:cs="Arial"/>
          <w:sz w:val="24"/>
          <w:szCs w:val="24"/>
          <w:lang w:val="en-US"/>
        </w:rPr>
        <w:t xml:space="preserve">  Consequently the application for a date for hearing of the appeal, was set aside as </w:t>
      </w:r>
      <w:r w:rsidR="00326267" w:rsidRPr="000F0073">
        <w:rPr>
          <w:rFonts w:ascii="Arial" w:hAnsi="Arial" w:cs="Arial"/>
          <w:sz w:val="24"/>
          <w:szCs w:val="24"/>
          <w:lang w:val="en-US"/>
        </w:rPr>
        <w:t xml:space="preserve">constituting an </w:t>
      </w:r>
      <w:r w:rsidR="009039CA" w:rsidRPr="000F0073">
        <w:rPr>
          <w:rFonts w:ascii="Arial" w:hAnsi="Arial" w:cs="Arial"/>
          <w:sz w:val="24"/>
          <w:szCs w:val="24"/>
          <w:lang w:val="en-US"/>
        </w:rPr>
        <w:t>irregular</w:t>
      </w:r>
      <w:r w:rsidR="00326267" w:rsidRPr="000F0073">
        <w:rPr>
          <w:rFonts w:ascii="Arial" w:hAnsi="Arial" w:cs="Arial"/>
          <w:sz w:val="24"/>
          <w:szCs w:val="24"/>
          <w:lang w:val="en-US"/>
        </w:rPr>
        <w:t xml:space="preserve"> step</w:t>
      </w:r>
      <w:r w:rsidR="009039CA" w:rsidRPr="000F0073">
        <w:rPr>
          <w:rFonts w:ascii="Arial" w:hAnsi="Arial" w:cs="Arial"/>
          <w:sz w:val="24"/>
          <w:szCs w:val="24"/>
          <w:lang w:val="en-US"/>
        </w:rPr>
        <w:t>.</w:t>
      </w:r>
    </w:p>
    <w:p w14:paraId="5F224AFC" w14:textId="482D0C89" w:rsidR="009039CA" w:rsidRDefault="009039CA" w:rsidP="009039CA">
      <w:pPr>
        <w:pStyle w:val="ListParagraph"/>
        <w:spacing w:line="360" w:lineRule="auto"/>
        <w:ind w:left="1276"/>
        <w:jc w:val="both"/>
        <w:rPr>
          <w:rFonts w:ascii="Arial" w:hAnsi="Arial" w:cs="Arial"/>
          <w:sz w:val="24"/>
          <w:szCs w:val="24"/>
          <w:lang w:val="en-US"/>
        </w:rPr>
      </w:pPr>
    </w:p>
    <w:p w14:paraId="07CC6AE2" w14:textId="1CDF1D06" w:rsidR="009039CA"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9039CA" w:rsidRPr="000F0073">
        <w:rPr>
          <w:rFonts w:ascii="Arial" w:hAnsi="Arial" w:cs="Arial"/>
          <w:sz w:val="24"/>
          <w:szCs w:val="24"/>
          <w:lang w:val="en-US"/>
        </w:rPr>
        <w:t xml:space="preserve">In </w:t>
      </w:r>
      <w:r w:rsidR="009039CA" w:rsidRPr="000F0073">
        <w:rPr>
          <w:rFonts w:ascii="Arial" w:hAnsi="Arial" w:cs="Arial"/>
          <w:i/>
          <w:iCs/>
          <w:sz w:val="24"/>
          <w:szCs w:val="24"/>
          <w:lang w:val="en-US"/>
        </w:rPr>
        <w:t>Gruskin</w:t>
      </w:r>
      <w:r w:rsidR="00326267" w:rsidRPr="000F0073">
        <w:rPr>
          <w:rFonts w:ascii="Arial" w:hAnsi="Arial" w:cs="Arial"/>
          <w:i/>
          <w:iCs/>
          <w:sz w:val="24"/>
          <w:szCs w:val="24"/>
          <w:lang w:val="en-US"/>
        </w:rPr>
        <w:t>,</w:t>
      </w:r>
      <w:r w:rsidR="009039CA" w:rsidRPr="000F0073">
        <w:rPr>
          <w:rFonts w:ascii="Arial" w:hAnsi="Arial" w:cs="Arial"/>
          <w:sz w:val="24"/>
          <w:szCs w:val="24"/>
          <w:lang w:val="en-US"/>
        </w:rPr>
        <w:t xml:space="preserve"> </w:t>
      </w:r>
      <w:r w:rsidR="00326267" w:rsidRPr="000F0073">
        <w:rPr>
          <w:rFonts w:ascii="Arial" w:hAnsi="Arial" w:cs="Arial"/>
          <w:sz w:val="24"/>
          <w:szCs w:val="24"/>
          <w:lang w:val="en-US"/>
        </w:rPr>
        <w:t>the appellant</w:t>
      </w:r>
      <w:r w:rsidR="009039CA" w:rsidRPr="000F0073">
        <w:rPr>
          <w:rFonts w:ascii="Arial" w:hAnsi="Arial" w:cs="Arial"/>
          <w:sz w:val="24"/>
          <w:szCs w:val="24"/>
          <w:lang w:val="en-US"/>
        </w:rPr>
        <w:t xml:space="preserve"> argued that </w:t>
      </w:r>
      <w:r w:rsidR="00326267" w:rsidRPr="000F0073">
        <w:rPr>
          <w:rFonts w:ascii="Arial" w:hAnsi="Arial" w:cs="Arial"/>
          <w:sz w:val="24"/>
          <w:szCs w:val="24"/>
          <w:lang w:val="en-US"/>
        </w:rPr>
        <w:t>because</w:t>
      </w:r>
      <w:r w:rsidR="009039CA" w:rsidRPr="000F0073">
        <w:rPr>
          <w:rFonts w:ascii="Arial" w:hAnsi="Arial" w:cs="Arial"/>
          <w:sz w:val="24"/>
          <w:szCs w:val="24"/>
          <w:lang w:val="en-US"/>
        </w:rPr>
        <w:t xml:space="preserve"> the SCA granted leave to appeal and not the </w:t>
      </w:r>
      <w:r w:rsidR="00326267" w:rsidRPr="000F0073">
        <w:rPr>
          <w:rFonts w:ascii="Arial" w:hAnsi="Arial" w:cs="Arial"/>
          <w:sz w:val="24"/>
          <w:szCs w:val="24"/>
          <w:lang w:val="en-US"/>
        </w:rPr>
        <w:t>H</w:t>
      </w:r>
      <w:r w:rsidR="009039CA" w:rsidRPr="000F0073">
        <w:rPr>
          <w:rFonts w:ascii="Arial" w:hAnsi="Arial" w:cs="Arial"/>
          <w:sz w:val="24"/>
          <w:szCs w:val="24"/>
          <w:lang w:val="en-US"/>
        </w:rPr>
        <w:t xml:space="preserve">igh </w:t>
      </w:r>
      <w:r w:rsidR="00326267" w:rsidRPr="000F0073">
        <w:rPr>
          <w:rFonts w:ascii="Arial" w:hAnsi="Arial" w:cs="Arial"/>
          <w:sz w:val="24"/>
          <w:szCs w:val="24"/>
          <w:lang w:val="en-US"/>
        </w:rPr>
        <w:t>C</w:t>
      </w:r>
      <w:r w:rsidR="009039CA" w:rsidRPr="000F0073">
        <w:rPr>
          <w:rFonts w:ascii="Arial" w:hAnsi="Arial" w:cs="Arial"/>
          <w:sz w:val="24"/>
          <w:szCs w:val="24"/>
          <w:lang w:val="en-US"/>
        </w:rPr>
        <w:t>ourt, it was only the SCA that could order the respondent to provide security.  Accordingly, in the absence of an order pursuant to SCA rule 9(1), the respondent was under no legal duty to furnish security for costs in the pending appeal.</w:t>
      </w:r>
      <w:r w:rsidR="00E263D2" w:rsidRPr="000F0073">
        <w:rPr>
          <w:rFonts w:ascii="Arial" w:hAnsi="Arial" w:cs="Arial"/>
          <w:sz w:val="24"/>
          <w:szCs w:val="24"/>
          <w:lang w:val="en-US"/>
        </w:rPr>
        <w:t xml:space="preserve"> </w:t>
      </w:r>
      <w:r w:rsidR="009039CA" w:rsidRPr="000F0073">
        <w:rPr>
          <w:rFonts w:ascii="Arial" w:hAnsi="Arial" w:cs="Arial"/>
          <w:sz w:val="24"/>
          <w:szCs w:val="24"/>
          <w:lang w:val="en-US"/>
        </w:rPr>
        <w:t xml:space="preserve">The court dismissed the argument and ordered the </w:t>
      </w:r>
      <w:r w:rsidR="00326267" w:rsidRPr="000F0073">
        <w:rPr>
          <w:rFonts w:ascii="Arial" w:hAnsi="Arial" w:cs="Arial"/>
          <w:sz w:val="24"/>
          <w:szCs w:val="24"/>
          <w:lang w:val="en-US"/>
        </w:rPr>
        <w:t>appellant (as respondent in the application before that court)</w:t>
      </w:r>
      <w:r w:rsidR="009039CA" w:rsidRPr="000F0073">
        <w:rPr>
          <w:rFonts w:ascii="Arial" w:hAnsi="Arial" w:cs="Arial"/>
          <w:sz w:val="24"/>
          <w:szCs w:val="24"/>
          <w:lang w:val="en-US"/>
        </w:rPr>
        <w:t xml:space="preserve"> to provide security.</w:t>
      </w:r>
      <w:r w:rsidR="009039CA">
        <w:rPr>
          <w:rStyle w:val="FootnoteReference"/>
          <w:rFonts w:ascii="Arial" w:hAnsi="Arial" w:cs="Arial"/>
          <w:sz w:val="24"/>
          <w:szCs w:val="24"/>
          <w:lang w:val="en-US"/>
        </w:rPr>
        <w:footnoteReference w:id="18"/>
      </w:r>
      <w:r w:rsidR="00363EEB" w:rsidRPr="000F0073">
        <w:rPr>
          <w:rFonts w:ascii="Arial" w:hAnsi="Arial" w:cs="Arial"/>
          <w:sz w:val="24"/>
          <w:szCs w:val="24"/>
          <w:lang w:val="en-US"/>
        </w:rPr>
        <w:t xml:space="preserve">  The facts in </w:t>
      </w:r>
      <w:r w:rsidR="00363EEB" w:rsidRPr="000F0073">
        <w:rPr>
          <w:rFonts w:ascii="Arial" w:hAnsi="Arial" w:cs="Arial"/>
          <w:i/>
          <w:iCs/>
          <w:sz w:val="24"/>
          <w:szCs w:val="24"/>
          <w:lang w:val="en-US"/>
        </w:rPr>
        <w:t>Gruskin</w:t>
      </w:r>
      <w:r w:rsidR="00363EEB" w:rsidRPr="000F0073">
        <w:rPr>
          <w:rFonts w:ascii="Arial" w:hAnsi="Arial" w:cs="Arial"/>
          <w:sz w:val="24"/>
          <w:szCs w:val="24"/>
          <w:lang w:val="en-US"/>
        </w:rPr>
        <w:t xml:space="preserve"> are on all fours with the application that this court </w:t>
      </w:r>
      <w:r w:rsidR="00326267" w:rsidRPr="000F0073">
        <w:rPr>
          <w:rFonts w:ascii="Arial" w:hAnsi="Arial" w:cs="Arial"/>
          <w:sz w:val="24"/>
          <w:szCs w:val="24"/>
          <w:lang w:val="en-US"/>
        </w:rPr>
        <w:t>must</w:t>
      </w:r>
      <w:r w:rsidR="00363EEB" w:rsidRPr="000F0073">
        <w:rPr>
          <w:rFonts w:ascii="Arial" w:hAnsi="Arial" w:cs="Arial"/>
          <w:sz w:val="24"/>
          <w:szCs w:val="24"/>
          <w:lang w:val="en-US"/>
        </w:rPr>
        <w:t xml:space="preserve"> decide.</w:t>
      </w:r>
    </w:p>
    <w:p w14:paraId="0F9711F2" w14:textId="77777777" w:rsidR="009039CA" w:rsidRPr="009039CA" w:rsidRDefault="009039CA" w:rsidP="009039CA">
      <w:pPr>
        <w:pStyle w:val="ListParagraph"/>
        <w:rPr>
          <w:rFonts w:ascii="Arial" w:hAnsi="Arial" w:cs="Arial"/>
          <w:sz w:val="24"/>
          <w:szCs w:val="24"/>
          <w:lang w:val="en-US"/>
        </w:rPr>
      </w:pPr>
    </w:p>
    <w:p w14:paraId="7DB2A1C5" w14:textId="3B857D06" w:rsidR="00363EEB"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lastRenderedPageBreak/>
        <w:t>22.</w:t>
      </w:r>
      <w:r>
        <w:rPr>
          <w:rFonts w:ascii="Arial" w:hAnsi="Arial" w:cs="Arial"/>
          <w:sz w:val="24"/>
          <w:szCs w:val="24"/>
          <w:lang w:val="en-US"/>
        </w:rPr>
        <w:tab/>
      </w:r>
      <w:r w:rsidR="005C524C" w:rsidRPr="000F0073">
        <w:rPr>
          <w:rFonts w:ascii="Arial" w:hAnsi="Arial" w:cs="Arial"/>
          <w:sz w:val="24"/>
          <w:szCs w:val="24"/>
          <w:lang w:val="en-US"/>
        </w:rPr>
        <w:t xml:space="preserve"> Windel J holds the view in </w:t>
      </w:r>
      <w:r w:rsidR="005C524C" w:rsidRPr="000F0073">
        <w:rPr>
          <w:rFonts w:ascii="Arial" w:hAnsi="Arial" w:cs="Arial"/>
          <w:i/>
          <w:iCs/>
          <w:sz w:val="24"/>
          <w:szCs w:val="24"/>
          <w:lang w:val="en-US"/>
        </w:rPr>
        <w:t>Gruskin</w:t>
      </w:r>
      <w:r w:rsidR="005C524C" w:rsidRPr="000F0073">
        <w:rPr>
          <w:rFonts w:ascii="Arial" w:hAnsi="Arial" w:cs="Arial"/>
          <w:sz w:val="24"/>
          <w:szCs w:val="24"/>
          <w:lang w:val="en-US"/>
        </w:rPr>
        <w:t xml:space="preserve"> that Rule 49(13) and SCA Rule 9 deal with the same subject matter and that the respective rules are to be construed together and harmoniously.  Accordingly, she concludes that –</w:t>
      </w:r>
    </w:p>
    <w:p w14:paraId="48F50DC8" w14:textId="77777777" w:rsidR="00363EEB" w:rsidRPr="00363EEB" w:rsidRDefault="00363EEB" w:rsidP="00363EEB">
      <w:pPr>
        <w:pStyle w:val="ListParagraph"/>
        <w:rPr>
          <w:rFonts w:ascii="Arial" w:hAnsi="Arial" w:cs="Arial"/>
          <w:sz w:val="24"/>
          <w:szCs w:val="24"/>
          <w:lang w:val="en-US"/>
        </w:rPr>
      </w:pPr>
    </w:p>
    <w:p w14:paraId="18BDF3F2" w14:textId="3AF5AB1F" w:rsidR="005C524C" w:rsidRDefault="005C524C" w:rsidP="00363EEB">
      <w:pPr>
        <w:pStyle w:val="ListParagraph"/>
        <w:spacing w:line="360" w:lineRule="auto"/>
        <w:ind w:left="360"/>
        <w:jc w:val="both"/>
        <w:rPr>
          <w:rFonts w:ascii="Arial" w:hAnsi="Arial" w:cs="Arial"/>
          <w:sz w:val="24"/>
          <w:szCs w:val="24"/>
          <w:lang w:val="en-US"/>
        </w:rPr>
      </w:pPr>
      <w:r>
        <w:rPr>
          <w:rFonts w:ascii="Arial" w:hAnsi="Arial" w:cs="Arial"/>
          <w:sz w:val="24"/>
          <w:szCs w:val="24"/>
          <w:lang w:val="en-US"/>
        </w:rPr>
        <w:t xml:space="preserve"> </w:t>
      </w:r>
    </w:p>
    <w:p w14:paraId="79D23062" w14:textId="207F4086" w:rsidR="009039CA" w:rsidRPr="000F0073" w:rsidRDefault="000F0073" w:rsidP="000F0073">
      <w:pPr>
        <w:spacing w:line="360" w:lineRule="auto"/>
        <w:ind w:left="1276" w:hanging="916"/>
        <w:jc w:val="both"/>
        <w:rPr>
          <w:rFonts w:ascii="Arial" w:hAnsi="Arial" w:cs="Arial"/>
          <w:sz w:val="24"/>
          <w:szCs w:val="24"/>
          <w:lang w:val="en-US"/>
        </w:rPr>
      </w:pPr>
      <w:r>
        <w:rPr>
          <w:rFonts w:ascii="Arial" w:hAnsi="Arial" w:cs="Arial"/>
          <w:sz w:val="24"/>
          <w:szCs w:val="24"/>
          <w:lang w:val="en-US"/>
        </w:rPr>
        <w:t>22.1.</w:t>
      </w:r>
      <w:r>
        <w:rPr>
          <w:rFonts w:ascii="Arial" w:hAnsi="Arial" w:cs="Arial"/>
          <w:sz w:val="24"/>
          <w:szCs w:val="24"/>
          <w:lang w:val="en-US"/>
        </w:rPr>
        <w:tab/>
      </w:r>
      <w:r w:rsidR="005C524C" w:rsidRPr="000F0073">
        <w:rPr>
          <w:rFonts w:ascii="Arial" w:hAnsi="Arial" w:cs="Arial"/>
          <w:sz w:val="24"/>
          <w:szCs w:val="24"/>
          <w:lang w:val="en-US"/>
        </w:rPr>
        <w:t>SCA Rule 9 only finds application in cases where leave to appeal was granted by the High Court to the SCA, and not to cases where leave to appeal was granted by the SCA to the Full Court.</w:t>
      </w:r>
      <w:r w:rsidR="005C524C">
        <w:rPr>
          <w:rStyle w:val="FootnoteReference"/>
          <w:rFonts w:ascii="Arial" w:hAnsi="Arial" w:cs="Arial"/>
          <w:sz w:val="24"/>
          <w:szCs w:val="24"/>
          <w:lang w:val="en-US"/>
        </w:rPr>
        <w:footnoteReference w:id="19"/>
      </w:r>
    </w:p>
    <w:p w14:paraId="06D12EAB" w14:textId="77777777" w:rsidR="00363EEB" w:rsidRDefault="00363EEB" w:rsidP="00363EEB">
      <w:pPr>
        <w:pStyle w:val="ListParagraph"/>
        <w:spacing w:line="360" w:lineRule="auto"/>
        <w:ind w:left="1276"/>
        <w:jc w:val="both"/>
        <w:rPr>
          <w:rFonts w:ascii="Arial" w:hAnsi="Arial" w:cs="Arial"/>
          <w:sz w:val="24"/>
          <w:szCs w:val="24"/>
          <w:lang w:val="en-US"/>
        </w:rPr>
      </w:pPr>
    </w:p>
    <w:p w14:paraId="498779E7" w14:textId="0A879975" w:rsidR="005C524C" w:rsidRPr="000F0073" w:rsidRDefault="000F0073" w:rsidP="000F0073">
      <w:pPr>
        <w:spacing w:line="360" w:lineRule="auto"/>
        <w:ind w:left="1276" w:hanging="916"/>
        <w:jc w:val="both"/>
        <w:rPr>
          <w:rFonts w:ascii="Arial" w:hAnsi="Arial" w:cs="Arial"/>
          <w:sz w:val="24"/>
          <w:szCs w:val="24"/>
          <w:lang w:val="en-US"/>
        </w:rPr>
      </w:pPr>
      <w:r>
        <w:rPr>
          <w:rFonts w:ascii="Arial" w:hAnsi="Arial" w:cs="Arial"/>
          <w:sz w:val="24"/>
          <w:szCs w:val="24"/>
          <w:lang w:val="en-US"/>
        </w:rPr>
        <w:t>22.2.</w:t>
      </w:r>
      <w:r>
        <w:rPr>
          <w:rFonts w:ascii="Arial" w:hAnsi="Arial" w:cs="Arial"/>
          <w:sz w:val="24"/>
          <w:szCs w:val="24"/>
          <w:lang w:val="en-US"/>
        </w:rPr>
        <w:tab/>
      </w:r>
      <w:r w:rsidR="005C524C" w:rsidRPr="000F0073">
        <w:rPr>
          <w:rFonts w:ascii="Arial" w:hAnsi="Arial" w:cs="Arial"/>
          <w:sz w:val="24"/>
          <w:szCs w:val="24"/>
          <w:lang w:val="en-US"/>
        </w:rPr>
        <w:t xml:space="preserve">SCA Rule 9(1) must, to make sense, </w:t>
      </w:r>
      <w:r w:rsidR="00363EEB" w:rsidRPr="000F0073">
        <w:rPr>
          <w:rFonts w:ascii="Arial" w:hAnsi="Arial" w:cs="Arial"/>
          <w:sz w:val="24"/>
          <w:szCs w:val="24"/>
          <w:lang w:val="en-US"/>
        </w:rPr>
        <w:t xml:space="preserve">be </w:t>
      </w:r>
      <w:r w:rsidR="005C524C" w:rsidRPr="000F0073">
        <w:rPr>
          <w:rFonts w:ascii="Arial" w:hAnsi="Arial" w:cs="Arial"/>
          <w:sz w:val="24"/>
          <w:szCs w:val="24"/>
          <w:lang w:val="en-US"/>
        </w:rPr>
        <w:t xml:space="preserve">read to </w:t>
      </w:r>
      <w:r w:rsidR="00363EEB" w:rsidRPr="000F0073">
        <w:rPr>
          <w:rFonts w:ascii="Arial" w:hAnsi="Arial" w:cs="Arial"/>
          <w:sz w:val="24"/>
          <w:szCs w:val="24"/>
          <w:lang w:val="en-US"/>
        </w:rPr>
        <w:t>apply to</w:t>
      </w:r>
      <w:r w:rsidR="005C524C" w:rsidRPr="000F0073">
        <w:rPr>
          <w:rFonts w:ascii="Arial" w:hAnsi="Arial" w:cs="Arial"/>
          <w:sz w:val="24"/>
          <w:szCs w:val="24"/>
          <w:lang w:val="en-US"/>
        </w:rPr>
        <w:t xml:space="preserve"> instances where the High Court did not release the appellant from providing security for costs</w:t>
      </w:r>
      <w:r w:rsidR="00326267" w:rsidRPr="000F0073">
        <w:rPr>
          <w:rFonts w:ascii="Arial" w:hAnsi="Arial" w:cs="Arial"/>
          <w:sz w:val="24"/>
          <w:szCs w:val="24"/>
          <w:lang w:val="en-US"/>
        </w:rPr>
        <w:t xml:space="preserve">.  When not released from the obligation, </w:t>
      </w:r>
      <w:r w:rsidR="005C524C" w:rsidRPr="000F0073">
        <w:rPr>
          <w:rFonts w:ascii="Arial" w:hAnsi="Arial" w:cs="Arial"/>
          <w:sz w:val="24"/>
          <w:szCs w:val="24"/>
          <w:lang w:val="en-US"/>
        </w:rPr>
        <w:t>an appellant cannot lodge its record with the Registrar at the SCA before security for costs has been provided. This interpretation</w:t>
      </w:r>
      <w:r w:rsidR="00377C72" w:rsidRPr="000F0073">
        <w:rPr>
          <w:rFonts w:ascii="Arial" w:hAnsi="Arial" w:cs="Arial"/>
          <w:sz w:val="24"/>
          <w:szCs w:val="24"/>
          <w:lang w:val="en-US"/>
        </w:rPr>
        <w:t xml:space="preserve"> explains </w:t>
      </w:r>
      <w:r w:rsidR="00363EEB" w:rsidRPr="000F0073">
        <w:rPr>
          <w:rFonts w:ascii="Arial" w:hAnsi="Arial" w:cs="Arial"/>
          <w:sz w:val="24"/>
          <w:szCs w:val="24"/>
          <w:lang w:val="en-US"/>
        </w:rPr>
        <w:t xml:space="preserve">the logic of </w:t>
      </w:r>
      <w:r w:rsidR="00377C72" w:rsidRPr="000F0073">
        <w:rPr>
          <w:rFonts w:ascii="Arial" w:hAnsi="Arial" w:cs="Arial"/>
          <w:sz w:val="24"/>
          <w:szCs w:val="24"/>
          <w:lang w:val="en-US"/>
        </w:rPr>
        <w:t xml:space="preserve">SCA Rule 9(2) </w:t>
      </w:r>
      <w:r w:rsidR="00363EEB" w:rsidRPr="000F0073">
        <w:rPr>
          <w:rFonts w:ascii="Arial" w:hAnsi="Arial" w:cs="Arial"/>
          <w:sz w:val="24"/>
          <w:szCs w:val="24"/>
          <w:lang w:val="en-US"/>
        </w:rPr>
        <w:t xml:space="preserve">that </w:t>
      </w:r>
      <w:r w:rsidR="00377C72" w:rsidRPr="000F0073">
        <w:rPr>
          <w:rFonts w:ascii="Arial" w:hAnsi="Arial" w:cs="Arial"/>
          <w:sz w:val="24"/>
          <w:szCs w:val="24"/>
          <w:lang w:val="en-US"/>
        </w:rPr>
        <w:t xml:space="preserve">provides </w:t>
      </w:r>
      <w:r w:rsidR="00363EEB" w:rsidRPr="000F0073">
        <w:rPr>
          <w:rFonts w:ascii="Arial" w:hAnsi="Arial" w:cs="Arial"/>
          <w:sz w:val="24"/>
          <w:szCs w:val="24"/>
          <w:lang w:val="en-US"/>
        </w:rPr>
        <w:t xml:space="preserve">for the Registrar of the court </w:t>
      </w:r>
      <w:r w:rsidR="00326267" w:rsidRPr="000F0073">
        <w:rPr>
          <w:rFonts w:ascii="Arial" w:hAnsi="Arial" w:cs="Arial"/>
          <w:sz w:val="24"/>
          <w:szCs w:val="24"/>
          <w:lang w:val="en-US"/>
        </w:rPr>
        <w:t>of first instance</w:t>
      </w:r>
      <w:r w:rsidR="00363EEB" w:rsidRPr="000F0073">
        <w:rPr>
          <w:rFonts w:ascii="Arial" w:hAnsi="Arial" w:cs="Arial"/>
          <w:sz w:val="24"/>
          <w:szCs w:val="24"/>
          <w:lang w:val="en-US"/>
        </w:rPr>
        <w:t xml:space="preserve"> that shall determine the form or amount of security </w:t>
      </w:r>
      <w:r w:rsidR="00377C72" w:rsidRPr="000F0073">
        <w:rPr>
          <w:rFonts w:ascii="Arial" w:hAnsi="Arial" w:cs="Arial"/>
          <w:sz w:val="24"/>
          <w:szCs w:val="24"/>
          <w:lang w:val="en-US"/>
        </w:rPr>
        <w:t>if the form of security is contested.</w:t>
      </w:r>
      <w:r w:rsidR="00377C72">
        <w:rPr>
          <w:rStyle w:val="FootnoteReference"/>
          <w:rFonts w:ascii="Arial" w:hAnsi="Arial" w:cs="Arial"/>
          <w:sz w:val="24"/>
          <w:szCs w:val="24"/>
          <w:lang w:val="en-US"/>
        </w:rPr>
        <w:footnoteReference w:id="20"/>
      </w:r>
    </w:p>
    <w:p w14:paraId="362A82EE" w14:textId="77777777" w:rsidR="00363EEB" w:rsidRPr="00363EEB" w:rsidRDefault="00363EEB" w:rsidP="00363EEB">
      <w:pPr>
        <w:pStyle w:val="ListParagraph"/>
        <w:rPr>
          <w:rFonts w:ascii="Arial" w:hAnsi="Arial" w:cs="Arial"/>
          <w:sz w:val="24"/>
          <w:szCs w:val="24"/>
          <w:lang w:val="en-US"/>
        </w:rPr>
      </w:pPr>
    </w:p>
    <w:p w14:paraId="2944D8B6" w14:textId="2F3D7FE9" w:rsidR="005C524C" w:rsidRPr="000F0073" w:rsidRDefault="000F0073" w:rsidP="000F0073">
      <w:pPr>
        <w:spacing w:line="360" w:lineRule="auto"/>
        <w:ind w:left="1276" w:hanging="916"/>
        <w:jc w:val="both"/>
        <w:rPr>
          <w:rFonts w:ascii="Arial" w:hAnsi="Arial" w:cs="Arial"/>
          <w:sz w:val="24"/>
          <w:szCs w:val="24"/>
          <w:lang w:val="en-US"/>
        </w:rPr>
      </w:pPr>
      <w:r>
        <w:rPr>
          <w:rFonts w:ascii="Arial" w:hAnsi="Arial" w:cs="Arial"/>
          <w:sz w:val="24"/>
          <w:szCs w:val="24"/>
          <w:lang w:val="en-US"/>
        </w:rPr>
        <w:t>22.3.</w:t>
      </w:r>
      <w:r>
        <w:rPr>
          <w:rFonts w:ascii="Arial" w:hAnsi="Arial" w:cs="Arial"/>
          <w:sz w:val="24"/>
          <w:szCs w:val="24"/>
          <w:lang w:val="en-US"/>
        </w:rPr>
        <w:tab/>
      </w:r>
      <w:r w:rsidR="005C524C" w:rsidRPr="000F0073">
        <w:rPr>
          <w:rFonts w:ascii="Arial" w:hAnsi="Arial" w:cs="Arial"/>
          <w:sz w:val="24"/>
          <w:szCs w:val="24"/>
          <w:lang w:val="en-US"/>
        </w:rPr>
        <w:t>Rule 49 governs all Full Court appeals in the High Court and Rule 49(13) must therefore be given effect to when the SCA grants leave to appeal to the Full Court.</w:t>
      </w:r>
      <w:r w:rsidR="005C524C">
        <w:rPr>
          <w:rStyle w:val="FootnoteReference"/>
          <w:rFonts w:ascii="Arial" w:hAnsi="Arial" w:cs="Arial"/>
          <w:sz w:val="24"/>
          <w:szCs w:val="24"/>
          <w:lang w:val="en-US"/>
        </w:rPr>
        <w:footnoteReference w:id="21"/>
      </w:r>
    </w:p>
    <w:p w14:paraId="485BFDF6" w14:textId="77777777" w:rsidR="006E222F" w:rsidRDefault="006E222F" w:rsidP="006E222F">
      <w:pPr>
        <w:pStyle w:val="ListParagraph"/>
        <w:spacing w:line="360" w:lineRule="auto"/>
        <w:ind w:left="360"/>
        <w:jc w:val="both"/>
        <w:rPr>
          <w:rFonts w:ascii="Arial" w:hAnsi="Arial" w:cs="Arial"/>
          <w:sz w:val="24"/>
          <w:szCs w:val="24"/>
          <w:lang w:val="en-US"/>
        </w:rPr>
      </w:pPr>
    </w:p>
    <w:p w14:paraId="2568924E" w14:textId="2A83677E" w:rsidR="00F70121"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F70121" w:rsidRPr="000F0073">
        <w:rPr>
          <w:rFonts w:ascii="Arial" w:hAnsi="Arial" w:cs="Arial"/>
          <w:sz w:val="24"/>
          <w:szCs w:val="24"/>
          <w:lang w:val="en-US"/>
        </w:rPr>
        <w:t xml:space="preserve"> Although Rand Water presented a compelling argument that the appeal lapsed, inviting the court to make such finding, the court is not willing to make such finding where the notice of motion does not </w:t>
      </w:r>
      <w:r w:rsidR="00687410" w:rsidRPr="000F0073">
        <w:rPr>
          <w:rFonts w:ascii="Arial" w:hAnsi="Arial" w:cs="Arial"/>
          <w:sz w:val="24"/>
          <w:szCs w:val="24"/>
          <w:lang w:val="en-US"/>
        </w:rPr>
        <w:t xml:space="preserve">expressly seek </w:t>
      </w:r>
      <w:r w:rsidR="00F70121" w:rsidRPr="000F0073">
        <w:rPr>
          <w:rFonts w:ascii="Arial" w:hAnsi="Arial" w:cs="Arial"/>
          <w:sz w:val="24"/>
          <w:szCs w:val="24"/>
          <w:lang w:val="en-US"/>
        </w:rPr>
        <w:t xml:space="preserve">such relief.  </w:t>
      </w:r>
    </w:p>
    <w:p w14:paraId="77C65C00" w14:textId="721497EC" w:rsidR="00F36933" w:rsidRDefault="00F36933" w:rsidP="00687410">
      <w:pPr>
        <w:spacing w:line="360" w:lineRule="auto"/>
        <w:jc w:val="both"/>
        <w:rPr>
          <w:rFonts w:ascii="Arial" w:hAnsi="Arial" w:cs="Arial"/>
          <w:sz w:val="24"/>
          <w:szCs w:val="24"/>
          <w:lang w:val="en-US"/>
        </w:rPr>
      </w:pPr>
    </w:p>
    <w:p w14:paraId="588C84DD" w14:textId="2BBD6F1D" w:rsidR="00E263D2" w:rsidRPr="00E263D2" w:rsidRDefault="00E263D2" w:rsidP="00687410">
      <w:pPr>
        <w:spacing w:line="360" w:lineRule="auto"/>
        <w:jc w:val="both"/>
        <w:rPr>
          <w:rFonts w:ascii="Arial" w:hAnsi="Arial" w:cs="Arial"/>
          <w:i/>
          <w:iCs/>
          <w:sz w:val="24"/>
          <w:szCs w:val="24"/>
          <w:lang w:val="en-US"/>
        </w:rPr>
      </w:pPr>
      <w:r w:rsidRPr="00E263D2">
        <w:rPr>
          <w:rFonts w:ascii="Arial" w:hAnsi="Arial" w:cs="Arial"/>
          <w:i/>
          <w:iCs/>
          <w:sz w:val="24"/>
          <w:szCs w:val="24"/>
          <w:lang w:val="en-US"/>
        </w:rPr>
        <w:t>Findings</w:t>
      </w:r>
    </w:p>
    <w:p w14:paraId="49BAFB0C" w14:textId="4D979DAF" w:rsidR="00687410"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687410" w:rsidRPr="000F0073">
        <w:rPr>
          <w:rFonts w:ascii="Arial" w:hAnsi="Arial" w:cs="Arial"/>
          <w:sz w:val="24"/>
          <w:szCs w:val="24"/>
          <w:lang w:val="en-US"/>
        </w:rPr>
        <w:t xml:space="preserve"> This </w:t>
      </w:r>
      <w:r w:rsidR="00326267" w:rsidRPr="000F0073">
        <w:rPr>
          <w:rFonts w:ascii="Arial" w:hAnsi="Arial" w:cs="Arial"/>
          <w:sz w:val="24"/>
          <w:szCs w:val="24"/>
          <w:lang w:val="en-US"/>
        </w:rPr>
        <w:t>C</w:t>
      </w:r>
      <w:r w:rsidR="00687410" w:rsidRPr="000F0073">
        <w:rPr>
          <w:rFonts w:ascii="Arial" w:hAnsi="Arial" w:cs="Arial"/>
          <w:sz w:val="24"/>
          <w:szCs w:val="24"/>
          <w:lang w:val="en-US"/>
        </w:rPr>
        <w:t>ourt forms the view that it cannot follow</w:t>
      </w:r>
      <w:r w:rsidR="005D04D7" w:rsidRPr="000F0073">
        <w:rPr>
          <w:rFonts w:ascii="Arial" w:hAnsi="Arial" w:cs="Arial"/>
          <w:sz w:val="24"/>
          <w:szCs w:val="24"/>
          <w:lang w:val="en-US"/>
        </w:rPr>
        <w:t xml:space="preserve"> the </w:t>
      </w:r>
      <w:r w:rsidR="005D04D7" w:rsidRPr="000F0073">
        <w:rPr>
          <w:rFonts w:ascii="Arial" w:hAnsi="Arial" w:cs="Arial"/>
          <w:i/>
          <w:iCs/>
          <w:sz w:val="24"/>
          <w:szCs w:val="24"/>
          <w:lang w:val="en-US"/>
        </w:rPr>
        <w:t>dicta</w:t>
      </w:r>
      <w:r w:rsidR="005D04D7" w:rsidRPr="000F0073">
        <w:rPr>
          <w:rFonts w:ascii="Arial" w:hAnsi="Arial" w:cs="Arial"/>
          <w:sz w:val="24"/>
          <w:szCs w:val="24"/>
          <w:lang w:val="en-US"/>
        </w:rPr>
        <w:t xml:space="preserve"> in</w:t>
      </w:r>
      <w:r w:rsidR="00687410" w:rsidRPr="000F0073">
        <w:rPr>
          <w:rFonts w:ascii="Arial" w:hAnsi="Arial" w:cs="Arial"/>
          <w:sz w:val="24"/>
          <w:szCs w:val="24"/>
          <w:lang w:val="en-US"/>
        </w:rPr>
        <w:t xml:space="preserve"> </w:t>
      </w:r>
      <w:r w:rsidR="00687410" w:rsidRPr="000F0073">
        <w:rPr>
          <w:rFonts w:ascii="Arial" w:hAnsi="Arial" w:cs="Arial"/>
          <w:i/>
          <w:iCs/>
          <w:sz w:val="24"/>
          <w:szCs w:val="24"/>
          <w:lang w:val="en-US"/>
        </w:rPr>
        <w:t>Allem</w:t>
      </w:r>
      <w:r w:rsidR="00687410" w:rsidRPr="000F0073">
        <w:rPr>
          <w:rFonts w:ascii="Arial" w:hAnsi="Arial" w:cs="Arial"/>
          <w:sz w:val="24"/>
          <w:szCs w:val="24"/>
          <w:lang w:val="en-US"/>
        </w:rPr>
        <w:t xml:space="preserve">; </w:t>
      </w:r>
      <w:r w:rsidR="00687410" w:rsidRPr="000F0073">
        <w:rPr>
          <w:rFonts w:ascii="Arial" w:hAnsi="Arial" w:cs="Arial"/>
          <w:i/>
          <w:iCs/>
          <w:sz w:val="24"/>
          <w:szCs w:val="24"/>
          <w:lang w:val="en-US"/>
        </w:rPr>
        <w:t>Gruskin</w:t>
      </w:r>
      <w:r w:rsidR="00687410" w:rsidRPr="000F0073">
        <w:rPr>
          <w:rFonts w:ascii="Arial" w:hAnsi="Arial" w:cs="Arial"/>
          <w:sz w:val="24"/>
          <w:szCs w:val="24"/>
          <w:lang w:val="en-US"/>
        </w:rPr>
        <w:t xml:space="preserve"> is correct.</w:t>
      </w:r>
      <w:r w:rsidR="00F36933" w:rsidRPr="000F0073">
        <w:rPr>
          <w:rFonts w:ascii="Arial" w:hAnsi="Arial" w:cs="Arial"/>
          <w:sz w:val="24"/>
          <w:szCs w:val="24"/>
          <w:lang w:val="en-US"/>
        </w:rPr>
        <w:t xml:space="preserve"> </w:t>
      </w:r>
    </w:p>
    <w:p w14:paraId="70132F19" w14:textId="77777777" w:rsidR="00687410" w:rsidRDefault="00687410" w:rsidP="00687410">
      <w:pPr>
        <w:pStyle w:val="ListParagraph"/>
        <w:spacing w:line="360" w:lineRule="auto"/>
        <w:ind w:left="360"/>
        <w:jc w:val="both"/>
        <w:rPr>
          <w:rFonts w:ascii="Arial" w:hAnsi="Arial" w:cs="Arial"/>
          <w:sz w:val="24"/>
          <w:szCs w:val="24"/>
          <w:lang w:val="en-US"/>
        </w:rPr>
      </w:pPr>
    </w:p>
    <w:p w14:paraId="49FFF71C" w14:textId="21F877EC" w:rsidR="00773740" w:rsidRPr="000F0073" w:rsidRDefault="000F0073" w:rsidP="000F0073">
      <w:pPr>
        <w:spacing w:line="360" w:lineRule="auto"/>
        <w:ind w:left="360" w:hanging="360"/>
        <w:jc w:val="both"/>
        <w:rPr>
          <w:rFonts w:ascii="Arial" w:hAnsi="Arial" w:cs="Arial"/>
          <w:sz w:val="24"/>
          <w:szCs w:val="24"/>
          <w:lang w:val="en-US"/>
        </w:rPr>
      </w:pPr>
      <w:r w:rsidRPr="00E263D2">
        <w:rPr>
          <w:rFonts w:ascii="Arial" w:hAnsi="Arial" w:cs="Arial"/>
          <w:sz w:val="24"/>
          <w:szCs w:val="24"/>
          <w:lang w:val="en-US"/>
        </w:rPr>
        <w:t>25.</w:t>
      </w:r>
      <w:r w:rsidRPr="00E263D2">
        <w:rPr>
          <w:rFonts w:ascii="Arial" w:hAnsi="Arial" w:cs="Arial"/>
          <w:sz w:val="24"/>
          <w:szCs w:val="24"/>
          <w:lang w:val="en-US"/>
        </w:rPr>
        <w:tab/>
      </w:r>
      <w:r w:rsidR="00F36933" w:rsidRPr="000F0073">
        <w:rPr>
          <w:rFonts w:ascii="Arial" w:hAnsi="Arial" w:cs="Arial"/>
          <w:sz w:val="24"/>
          <w:szCs w:val="24"/>
          <w:lang w:val="en-US"/>
        </w:rPr>
        <w:t xml:space="preserve">I accordingly find that Kariki is bound to comply with Rule 49(13) where the SCA granted leave to appeal. The steps taken by Kariki to file the appeal record and heads of argument are irregular.  There is no reason why costs ought not to follow the result, albeit that the Court cannot sustain the claim that costs be on the attorney and client scale.  Rand Water </w:t>
      </w:r>
      <w:r w:rsidR="00687410" w:rsidRPr="000F0073">
        <w:rPr>
          <w:rFonts w:ascii="Arial" w:hAnsi="Arial" w:cs="Arial"/>
          <w:sz w:val="24"/>
          <w:szCs w:val="24"/>
          <w:lang w:val="en-US"/>
        </w:rPr>
        <w:t xml:space="preserve">accordingly </w:t>
      </w:r>
      <w:r w:rsidR="00F36933" w:rsidRPr="000F0073">
        <w:rPr>
          <w:rFonts w:ascii="Arial" w:hAnsi="Arial" w:cs="Arial"/>
          <w:sz w:val="24"/>
          <w:szCs w:val="24"/>
          <w:lang w:val="en-US"/>
        </w:rPr>
        <w:t>succeeds with the relief sought in prayer 1 of its Notice of Motion dated 5 October 2023, with costs on the ordinary scale.</w:t>
      </w:r>
    </w:p>
    <w:p w14:paraId="54495089" w14:textId="77777777" w:rsidR="00773740" w:rsidRPr="00F36933" w:rsidRDefault="00773740" w:rsidP="00F36933">
      <w:pPr>
        <w:pStyle w:val="ListParagraph"/>
        <w:rPr>
          <w:rFonts w:ascii="Arial" w:hAnsi="Arial" w:cs="Arial"/>
          <w:sz w:val="24"/>
          <w:szCs w:val="24"/>
          <w:lang w:val="en-US"/>
        </w:rPr>
      </w:pPr>
    </w:p>
    <w:p w14:paraId="30E9400F" w14:textId="3A9AB0FE" w:rsidR="00F36933" w:rsidRPr="000F0073" w:rsidRDefault="000F0073" w:rsidP="000F0073">
      <w:pPr>
        <w:spacing w:line="360" w:lineRule="auto"/>
        <w:ind w:left="360" w:hanging="36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F36933" w:rsidRPr="000F0073">
        <w:rPr>
          <w:rFonts w:ascii="Arial" w:hAnsi="Arial" w:cs="Arial"/>
          <w:sz w:val="24"/>
          <w:szCs w:val="24"/>
          <w:lang w:val="en-US"/>
        </w:rPr>
        <w:t>In the result, the following order is made:</w:t>
      </w:r>
    </w:p>
    <w:p w14:paraId="239A34B4" w14:textId="77777777" w:rsidR="00F36933" w:rsidRPr="00F36933" w:rsidRDefault="00F36933" w:rsidP="00F36933">
      <w:pPr>
        <w:pStyle w:val="ListParagraph"/>
        <w:rPr>
          <w:rFonts w:ascii="Arial" w:hAnsi="Arial" w:cs="Arial"/>
          <w:sz w:val="24"/>
          <w:szCs w:val="24"/>
          <w:lang w:val="en-US"/>
        </w:rPr>
      </w:pPr>
    </w:p>
    <w:p w14:paraId="63007520" w14:textId="56525B62" w:rsidR="00F36933" w:rsidRPr="000F0073" w:rsidRDefault="000F0073" w:rsidP="000F0073">
      <w:pPr>
        <w:spacing w:line="360" w:lineRule="auto"/>
        <w:ind w:left="1418" w:hanging="1058"/>
        <w:jc w:val="both"/>
        <w:rPr>
          <w:rFonts w:ascii="Arial" w:hAnsi="Arial" w:cs="Arial"/>
          <w:sz w:val="24"/>
          <w:szCs w:val="24"/>
          <w:lang w:val="en-US"/>
        </w:rPr>
      </w:pPr>
      <w:r>
        <w:rPr>
          <w:rFonts w:ascii="Arial" w:hAnsi="Arial" w:cs="Arial"/>
          <w:sz w:val="24"/>
          <w:szCs w:val="24"/>
          <w:lang w:val="en-US"/>
        </w:rPr>
        <w:t>26.1.</w:t>
      </w:r>
      <w:r>
        <w:rPr>
          <w:rFonts w:ascii="Arial" w:hAnsi="Arial" w:cs="Arial"/>
          <w:sz w:val="24"/>
          <w:szCs w:val="24"/>
          <w:lang w:val="en-US"/>
        </w:rPr>
        <w:tab/>
      </w:r>
      <w:r w:rsidR="00F36933" w:rsidRPr="000F0073">
        <w:rPr>
          <w:rFonts w:ascii="Arial" w:hAnsi="Arial" w:cs="Arial"/>
          <w:sz w:val="24"/>
          <w:szCs w:val="24"/>
          <w:lang w:val="en-US"/>
        </w:rPr>
        <w:t>The filing of the respondent’s appeal record and the filing of the respondent’s heads of argument in the appeal under case number A2023/080029 are declared irregular steps.</w:t>
      </w:r>
    </w:p>
    <w:p w14:paraId="71008A52" w14:textId="34504DF3" w:rsidR="00F36933" w:rsidRPr="000F0073" w:rsidRDefault="000F0073" w:rsidP="000F0073">
      <w:pPr>
        <w:spacing w:line="360" w:lineRule="auto"/>
        <w:ind w:left="792" w:hanging="432"/>
        <w:jc w:val="both"/>
        <w:rPr>
          <w:rFonts w:ascii="Arial" w:hAnsi="Arial" w:cs="Arial"/>
          <w:sz w:val="24"/>
          <w:szCs w:val="24"/>
          <w:lang w:val="en-US"/>
        </w:rPr>
      </w:pPr>
      <w:r>
        <w:rPr>
          <w:rFonts w:ascii="Arial" w:hAnsi="Arial" w:cs="Arial"/>
          <w:sz w:val="24"/>
          <w:szCs w:val="24"/>
          <w:lang w:val="en-US"/>
        </w:rPr>
        <w:t>26.2.</w:t>
      </w:r>
      <w:r>
        <w:rPr>
          <w:rFonts w:ascii="Arial" w:hAnsi="Arial" w:cs="Arial"/>
          <w:sz w:val="24"/>
          <w:szCs w:val="24"/>
          <w:lang w:val="en-US"/>
        </w:rPr>
        <w:tab/>
      </w:r>
      <w:r w:rsidR="00F36933" w:rsidRPr="000F0073">
        <w:rPr>
          <w:rFonts w:ascii="Arial" w:hAnsi="Arial" w:cs="Arial"/>
          <w:sz w:val="24"/>
          <w:szCs w:val="24"/>
          <w:lang w:val="en-US"/>
        </w:rPr>
        <w:t>The respondent is to pay the applicant’s costs on a party and party scale.</w:t>
      </w:r>
    </w:p>
    <w:p w14:paraId="7DBCF7B6" w14:textId="77777777" w:rsidR="00687410" w:rsidRDefault="00687410" w:rsidP="00687410">
      <w:pPr>
        <w:spacing w:line="360" w:lineRule="auto"/>
        <w:ind w:left="360"/>
        <w:jc w:val="both"/>
        <w:rPr>
          <w:rFonts w:ascii="Arial" w:hAnsi="Arial" w:cs="Arial"/>
          <w:sz w:val="24"/>
          <w:szCs w:val="24"/>
          <w:lang w:val="en-US"/>
        </w:rPr>
      </w:pPr>
    </w:p>
    <w:p w14:paraId="370A7D30" w14:textId="77777777" w:rsidR="00956E8C" w:rsidRDefault="00956E8C" w:rsidP="00687410">
      <w:pPr>
        <w:spacing w:line="360" w:lineRule="auto"/>
        <w:ind w:left="360"/>
        <w:jc w:val="both"/>
        <w:rPr>
          <w:rFonts w:ascii="Arial" w:hAnsi="Arial" w:cs="Arial"/>
          <w:sz w:val="24"/>
          <w:szCs w:val="24"/>
          <w:lang w:val="en-US"/>
        </w:rPr>
      </w:pPr>
    </w:p>
    <w:p w14:paraId="1F71FF55" w14:textId="77777777" w:rsidR="00687410" w:rsidRPr="00CE6C98" w:rsidRDefault="00687410" w:rsidP="00687410">
      <w:pPr>
        <w:spacing w:line="360" w:lineRule="auto"/>
        <w:ind w:left="360"/>
        <w:jc w:val="both"/>
        <w:rPr>
          <w:rFonts w:ascii="Arial" w:hAnsi="Arial" w:cs="Arial"/>
          <w:sz w:val="24"/>
          <w:szCs w:val="24"/>
          <w:lang w:val="en-US"/>
        </w:rPr>
      </w:pPr>
    </w:p>
    <w:p w14:paraId="4C23FEDC" w14:textId="77777777" w:rsidR="00F5632D" w:rsidRPr="00CE6C98" w:rsidRDefault="00F5632D" w:rsidP="00F5632D">
      <w:pPr>
        <w:spacing w:after="0"/>
        <w:ind w:hanging="567"/>
        <w:jc w:val="right"/>
        <w:rPr>
          <w:rFonts w:ascii="Arial" w:hAnsi="Arial" w:cs="Arial"/>
          <w:sz w:val="24"/>
          <w:szCs w:val="24"/>
        </w:rPr>
      </w:pPr>
      <w:r w:rsidRPr="00CE6C98">
        <w:rPr>
          <w:rFonts w:ascii="Arial" w:hAnsi="Arial" w:cs="Arial"/>
          <w:sz w:val="24"/>
          <w:szCs w:val="24"/>
        </w:rPr>
        <w:t>__________________________</w:t>
      </w:r>
    </w:p>
    <w:p w14:paraId="1BF528FF" w14:textId="2EBA68B3" w:rsidR="00F5632D" w:rsidRPr="00CE6C98" w:rsidRDefault="00F5632D" w:rsidP="00F5632D">
      <w:pPr>
        <w:spacing w:after="0"/>
        <w:ind w:hanging="567"/>
        <w:jc w:val="right"/>
        <w:rPr>
          <w:rFonts w:ascii="Arial" w:hAnsi="Arial" w:cs="Arial"/>
          <w:b/>
          <w:sz w:val="24"/>
          <w:szCs w:val="24"/>
        </w:rPr>
      </w:pPr>
      <w:r w:rsidRPr="00CE6C98">
        <w:rPr>
          <w:rFonts w:ascii="Arial" w:hAnsi="Arial" w:cs="Arial"/>
          <w:b/>
          <w:sz w:val="24"/>
          <w:szCs w:val="24"/>
        </w:rPr>
        <w:t xml:space="preserve"> WIJNBEEK</w:t>
      </w:r>
      <w:r w:rsidR="004A7A34">
        <w:rPr>
          <w:rFonts w:ascii="Arial" w:hAnsi="Arial" w:cs="Arial"/>
          <w:b/>
          <w:sz w:val="24"/>
          <w:szCs w:val="24"/>
        </w:rPr>
        <w:t xml:space="preserve"> AJ </w:t>
      </w:r>
      <w:r w:rsidRPr="00CE6C98">
        <w:rPr>
          <w:rFonts w:ascii="Arial" w:hAnsi="Arial" w:cs="Arial"/>
          <w:b/>
          <w:sz w:val="24"/>
          <w:szCs w:val="24"/>
        </w:rPr>
        <w:t xml:space="preserve"> </w:t>
      </w:r>
    </w:p>
    <w:p w14:paraId="273287C5" w14:textId="52A65705" w:rsidR="00F5632D" w:rsidRPr="00CE6C98" w:rsidRDefault="00F5632D" w:rsidP="00F5632D">
      <w:pPr>
        <w:spacing w:after="0"/>
        <w:ind w:hanging="567"/>
        <w:jc w:val="right"/>
        <w:rPr>
          <w:rFonts w:ascii="Arial" w:hAnsi="Arial" w:cs="Arial"/>
          <w:b/>
          <w:sz w:val="24"/>
          <w:szCs w:val="24"/>
        </w:rPr>
      </w:pPr>
      <w:r w:rsidRPr="00CE6C98">
        <w:rPr>
          <w:rFonts w:ascii="Arial" w:hAnsi="Arial" w:cs="Arial"/>
          <w:b/>
          <w:sz w:val="24"/>
          <w:szCs w:val="24"/>
        </w:rPr>
        <w:t>ACTING JUDGE OF THE HIGH COURT</w:t>
      </w:r>
    </w:p>
    <w:p w14:paraId="588F4ED5" w14:textId="77777777" w:rsidR="00F5632D" w:rsidRPr="00CE6C98" w:rsidRDefault="00F5632D" w:rsidP="00F5632D">
      <w:pPr>
        <w:spacing w:after="0"/>
        <w:ind w:hanging="567"/>
        <w:jc w:val="right"/>
        <w:rPr>
          <w:rFonts w:ascii="Arial" w:hAnsi="Arial" w:cs="Arial"/>
          <w:b/>
          <w:sz w:val="24"/>
          <w:szCs w:val="24"/>
        </w:rPr>
      </w:pPr>
      <w:r w:rsidRPr="00CE6C98">
        <w:rPr>
          <w:rFonts w:ascii="Arial" w:hAnsi="Arial" w:cs="Arial"/>
          <w:b/>
          <w:sz w:val="24"/>
          <w:szCs w:val="24"/>
        </w:rPr>
        <w:t>GAUTENG DIVISION, JOHANNESBURG</w:t>
      </w:r>
    </w:p>
    <w:p w14:paraId="0CD0190C" w14:textId="77777777" w:rsidR="00F5632D" w:rsidRPr="00CE6C98" w:rsidRDefault="00F5632D" w:rsidP="00F5632D">
      <w:pPr>
        <w:spacing w:after="0"/>
        <w:rPr>
          <w:rFonts w:ascii="Arial" w:hAnsi="Arial" w:cs="Arial"/>
          <w:sz w:val="24"/>
          <w:szCs w:val="24"/>
        </w:rPr>
      </w:pPr>
    </w:p>
    <w:p w14:paraId="265DA8C5" w14:textId="77777777" w:rsidR="00F5632D" w:rsidRPr="00CE6C98" w:rsidRDefault="00F5632D" w:rsidP="00F5632D">
      <w:pPr>
        <w:spacing w:after="0"/>
        <w:rPr>
          <w:rFonts w:ascii="Arial" w:hAnsi="Arial" w:cs="Arial"/>
          <w:sz w:val="24"/>
          <w:szCs w:val="24"/>
        </w:rPr>
      </w:pPr>
    </w:p>
    <w:p w14:paraId="72204503" w14:textId="77777777" w:rsidR="00F5632D" w:rsidRPr="00CE6C98" w:rsidRDefault="00F5632D" w:rsidP="00F5632D">
      <w:pPr>
        <w:spacing w:after="0"/>
        <w:rPr>
          <w:rFonts w:ascii="Arial" w:hAnsi="Arial" w:cs="Arial"/>
          <w:sz w:val="24"/>
          <w:szCs w:val="24"/>
        </w:rPr>
      </w:pPr>
    </w:p>
    <w:p w14:paraId="5B046DD0" w14:textId="7BF223D1" w:rsidR="00F5632D" w:rsidRPr="00CE6C98" w:rsidRDefault="00F5632D" w:rsidP="00F5632D">
      <w:pPr>
        <w:suppressAutoHyphens/>
        <w:spacing w:before="120" w:after="120"/>
        <w:rPr>
          <w:rFonts w:ascii="Arial" w:eastAsia="Arial Unicode MS" w:hAnsi="Arial" w:cs="Arial"/>
          <w:bCs/>
          <w:sz w:val="24"/>
          <w:szCs w:val="24"/>
        </w:rPr>
      </w:pPr>
      <w:r w:rsidRPr="00CE6C98">
        <w:rPr>
          <w:rFonts w:ascii="Arial" w:eastAsia="Arial Unicode MS" w:hAnsi="Arial" w:cs="Arial"/>
          <w:bCs/>
          <w:sz w:val="24"/>
          <w:szCs w:val="24"/>
        </w:rPr>
        <w:t>Delivered: This Judgment was handed down electronically by circulation to the parties/ their legal representatives by email and by uploading to the electronic file on Case Lines. The date for hand-down is deemed to be</w:t>
      </w:r>
      <w:r w:rsidR="007827C5">
        <w:rPr>
          <w:rFonts w:ascii="Arial" w:eastAsia="Arial Unicode MS" w:hAnsi="Arial" w:cs="Arial"/>
          <w:bCs/>
          <w:sz w:val="24"/>
          <w:szCs w:val="24"/>
        </w:rPr>
        <w:t xml:space="preserve"> 22</w:t>
      </w:r>
      <w:r w:rsidRPr="00CE6C98">
        <w:rPr>
          <w:rFonts w:ascii="Arial" w:eastAsia="Arial Unicode MS" w:hAnsi="Arial" w:cs="Arial"/>
          <w:bCs/>
          <w:sz w:val="24"/>
          <w:szCs w:val="24"/>
        </w:rPr>
        <w:t xml:space="preserve"> April 2024.</w:t>
      </w:r>
    </w:p>
    <w:p w14:paraId="1998F416" w14:textId="2B1A55AC" w:rsidR="00CE6C98" w:rsidRPr="00CE6C98" w:rsidRDefault="00F5632D" w:rsidP="00CE6C98">
      <w:pPr>
        <w:keepNext/>
        <w:widowControl w:val="0"/>
        <w:spacing w:before="240" w:after="120"/>
        <w:rPr>
          <w:rFonts w:ascii="Arial" w:eastAsia="Times New Roman" w:hAnsi="Arial" w:cs="Arial"/>
          <w:sz w:val="24"/>
          <w:szCs w:val="24"/>
          <w:u w:val="single"/>
          <w:lang w:eastAsia="en-ZA"/>
        </w:rPr>
      </w:pPr>
      <w:r w:rsidRPr="00CE6C98">
        <w:rPr>
          <w:rFonts w:ascii="Arial" w:eastAsia="Times New Roman" w:hAnsi="Arial" w:cs="Arial"/>
          <w:sz w:val="24"/>
          <w:szCs w:val="24"/>
          <w:u w:val="single"/>
          <w:lang w:eastAsia="en-ZA"/>
        </w:rPr>
        <w:lastRenderedPageBreak/>
        <w:t>Appearances</w:t>
      </w:r>
    </w:p>
    <w:p w14:paraId="1BD89F33" w14:textId="77777777" w:rsidR="00CE6C98" w:rsidRPr="00CE6C98" w:rsidRDefault="00CE6C98" w:rsidP="00CE6C98">
      <w:pPr>
        <w:spacing w:line="360" w:lineRule="auto"/>
        <w:jc w:val="both"/>
        <w:rPr>
          <w:rFonts w:ascii="Arial" w:hAnsi="Arial" w:cs="Arial"/>
          <w:sz w:val="24"/>
          <w:szCs w:val="24"/>
          <w:lang w:val="en-US"/>
        </w:rPr>
      </w:pPr>
      <w:r w:rsidRPr="00CE6C98">
        <w:rPr>
          <w:rFonts w:ascii="Arial" w:hAnsi="Arial" w:cs="Arial"/>
          <w:sz w:val="24"/>
          <w:szCs w:val="24"/>
          <w:lang w:val="en-US"/>
        </w:rPr>
        <w:t>For the applicants:</w:t>
      </w:r>
      <w:r w:rsidRPr="00CE6C98">
        <w:rPr>
          <w:rFonts w:ascii="Arial" w:hAnsi="Arial" w:cs="Arial"/>
          <w:sz w:val="24"/>
          <w:szCs w:val="24"/>
          <w:lang w:val="en-US"/>
        </w:rPr>
        <w:tab/>
        <w:t xml:space="preserve">Adv Tsatsawane SC with Adv Loabile Rantao </w:t>
      </w:r>
    </w:p>
    <w:p w14:paraId="60602BA3" w14:textId="2C5576AF" w:rsidR="00CE6C98" w:rsidRPr="00CE6C98" w:rsidRDefault="00CE6C98" w:rsidP="00CE6C98">
      <w:pPr>
        <w:spacing w:line="360" w:lineRule="auto"/>
        <w:ind w:left="360"/>
        <w:jc w:val="both"/>
        <w:rPr>
          <w:rFonts w:ascii="Arial" w:hAnsi="Arial" w:cs="Arial"/>
          <w:sz w:val="24"/>
          <w:szCs w:val="24"/>
          <w:lang w:val="en-US"/>
        </w:rPr>
      </w:pPr>
      <w:r w:rsidRPr="00CE6C98">
        <w:rPr>
          <w:rFonts w:ascii="Arial" w:hAnsi="Arial" w:cs="Arial"/>
          <w:sz w:val="24"/>
          <w:szCs w:val="24"/>
          <w:lang w:val="en-US"/>
        </w:rPr>
        <w:tab/>
      </w:r>
      <w:r w:rsidRPr="00CE6C98">
        <w:rPr>
          <w:rFonts w:ascii="Arial" w:hAnsi="Arial" w:cs="Arial"/>
          <w:sz w:val="24"/>
          <w:szCs w:val="24"/>
          <w:lang w:val="en-US"/>
        </w:rPr>
        <w:tab/>
      </w:r>
      <w:r w:rsidRPr="00CE6C98">
        <w:rPr>
          <w:rFonts w:ascii="Arial" w:hAnsi="Arial" w:cs="Arial"/>
          <w:sz w:val="24"/>
          <w:szCs w:val="24"/>
          <w:lang w:val="en-US"/>
        </w:rPr>
        <w:tab/>
        <w:t>Raborifi R Inc Attorneys</w:t>
      </w:r>
    </w:p>
    <w:p w14:paraId="6476EA53" w14:textId="77777777" w:rsidR="00CE6C98" w:rsidRPr="00CE6C98" w:rsidRDefault="00CE6C98" w:rsidP="00CE6C98">
      <w:pPr>
        <w:spacing w:line="360" w:lineRule="auto"/>
        <w:ind w:left="360"/>
        <w:jc w:val="both"/>
        <w:rPr>
          <w:rFonts w:ascii="Arial" w:hAnsi="Arial" w:cs="Arial"/>
          <w:sz w:val="24"/>
          <w:szCs w:val="24"/>
          <w:lang w:val="en-US"/>
        </w:rPr>
      </w:pPr>
    </w:p>
    <w:p w14:paraId="41085163" w14:textId="339104FF" w:rsidR="00CE6C98" w:rsidRPr="00CE6C98" w:rsidRDefault="00CE6C98" w:rsidP="00CE6C98">
      <w:pPr>
        <w:spacing w:line="360" w:lineRule="auto"/>
        <w:jc w:val="both"/>
        <w:rPr>
          <w:rFonts w:ascii="Arial" w:hAnsi="Arial" w:cs="Arial"/>
          <w:sz w:val="24"/>
          <w:szCs w:val="24"/>
          <w:lang w:val="en-US"/>
        </w:rPr>
      </w:pPr>
      <w:r w:rsidRPr="00CE6C98">
        <w:rPr>
          <w:rFonts w:ascii="Arial" w:hAnsi="Arial" w:cs="Arial"/>
          <w:sz w:val="24"/>
          <w:szCs w:val="24"/>
          <w:lang w:val="en-US"/>
        </w:rPr>
        <w:t>For the respondent:</w:t>
      </w:r>
      <w:r w:rsidRPr="00CE6C98">
        <w:rPr>
          <w:rFonts w:ascii="Arial" w:hAnsi="Arial" w:cs="Arial"/>
          <w:sz w:val="24"/>
          <w:szCs w:val="24"/>
          <w:lang w:val="en-US"/>
        </w:rPr>
        <w:tab/>
      </w:r>
      <w:r w:rsidR="007827C5">
        <w:rPr>
          <w:rFonts w:ascii="Arial" w:hAnsi="Arial" w:cs="Arial"/>
          <w:sz w:val="24"/>
          <w:szCs w:val="24"/>
          <w:lang w:val="en-US"/>
        </w:rPr>
        <w:t>Mr C</w:t>
      </w:r>
      <w:r w:rsidRPr="00CE6C98">
        <w:rPr>
          <w:rFonts w:ascii="Arial" w:hAnsi="Arial" w:cs="Arial"/>
          <w:sz w:val="24"/>
          <w:szCs w:val="24"/>
          <w:lang w:val="en-US"/>
        </w:rPr>
        <w:t>Marumoagae</w:t>
      </w:r>
    </w:p>
    <w:p w14:paraId="2208E012" w14:textId="364FA192" w:rsidR="00F5632D" w:rsidRPr="00CE6C98" w:rsidRDefault="00CE6C98" w:rsidP="00CE6C98">
      <w:pPr>
        <w:spacing w:line="360" w:lineRule="auto"/>
        <w:jc w:val="both"/>
        <w:rPr>
          <w:rFonts w:ascii="Arial" w:hAnsi="Arial" w:cs="Arial"/>
          <w:sz w:val="24"/>
          <w:szCs w:val="24"/>
          <w:lang w:val="en-US"/>
        </w:rPr>
      </w:pPr>
      <w:r w:rsidRPr="00CE6C98">
        <w:rPr>
          <w:rFonts w:ascii="Arial" w:hAnsi="Arial" w:cs="Arial"/>
          <w:sz w:val="24"/>
          <w:szCs w:val="24"/>
          <w:lang w:val="en-US"/>
        </w:rPr>
        <w:t>Instructed by:</w:t>
      </w:r>
      <w:r w:rsidRPr="00CE6C98">
        <w:rPr>
          <w:rFonts w:ascii="Arial" w:hAnsi="Arial" w:cs="Arial"/>
          <w:sz w:val="24"/>
          <w:szCs w:val="24"/>
          <w:lang w:val="en-US"/>
        </w:rPr>
        <w:tab/>
        <w:t>Marumoagae Attorneys Inc.</w:t>
      </w:r>
    </w:p>
    <w:p w14:paraId="224634EA" w14:textId="77777777" w:rsidR="00F5632D" w:rsidRPr="00CE6C98" w:rsidRDefault="00F5632D" w:rsidP="00F5632D">
      <w:pPr>
        <w:tabs>
          <w:tab w:val="left" w:pos="3686"/>
        </w:tabs>
        <w:spacing w:after="120"/>
        <w:ind w:left="3686" w:hanging="3686"/>
        <w:rPr>
          <w:rFonts w:ascii="Arial" w:hAnsi="Arial" w:cs="Arial"/>
          <w:sz w:val="24"/>
          <w:szCs w:val="24"/>
          <w:lang w:eastAsia="en-ZA"/>
        </w:rPr>
      </w:pPr>
    </w:p>
    <w:p w14:paraId="2658ED2F" w14:textId="7A68CB66" w:rsidR="00F5632D" w:rsidRPr="00CE6C98" w:rsidRDefault="00F5632D" w:rsidP="00F5632D">
      <w:pPr>
        <w:spacing w:line="360" w:lineRule="auto"/>
        <w:jc w:val="both"/>
        <w:rPr>
          <w:rFonts w:ascii="Arial" w:hAnsi="Arial" w:cs="Arial"/>
          <w:sz w:val="24"/>
          <w:szCs w:val="24"/>
          <w:lang w:val="en-US"/>
        </w:rPr>
      </w:pPr>
      <w:r w:rsidRPr="00CE6C98">
        <w:rPr>
          <w:rFonts w:ascii="Arial" w:hAnsi="Arial" w:cs="Arial"/>
          <w:sz w:val="24"/>
          <w:szCs w:val="24"/>
          <w:lang w:val="en-US"/>
        </w:rPr>
        <w:t xml:space="preserve">Date of hearing: </w:t>
      </w:r>
      <w:r w:rsidRPr="00CE6C98">
        <w:rPr>
          <w:rFonts w:ascii="Arial" w:hAnsi="Arial" w:cs="Arial"/>
          <w:sz w:val="24"/>
          <w:szCs w:val="24"/>
          <w:lang w:val="en-US"/>
        </w:rPr>
        <w:tab/>
        <w:t>15 April 2024</w:t>
      </w:r>
    </w:p>
    <w:p w14:paraId="3C8FDE12" w14:textId="1A895171" w:rsidR="00F5632D" w:rsidRPr="00CE6C98" w:rsidRDefault="00F5632D" w:rsidP="00F5632D">
      <w:pPr>
        <w:spacing w:line="360" w:lineRule="auto"/>
        <w:jc w:val="both"/>
        <w:rPr>
          <w:rFonts w:ascii="Arial" w:hAnsi="Arial" w:cs="Arial"/>
          <w:sz w:val="24"/>
          <w:szCs w:val="24"/>
          <w:lang w:val="en-US"/>
        </w:rPr>
      </w:pPr>
      <w:r w:rsidRPr="00CE6C98">
        <w:rPr>
          <w:rFonts w:ascii="Arial" w:hAnsi="Arial" w:cs="Arial"/>
          <w:sz w:val="24"/>
          <w:szCs w:val="24"/>
          <w:lang w:val="en-US"/>
        </w:rPr>
        <w:t>Date of judgment:</w:t>
      </w:r>
      <w:r w:rsidRPr="00CE6C98">
        <w:rPr>
          <w:rFonts w:ascii="Arial" w:hAnsi="Arial" w:cs="Arial"/>
          <w:sz w:val="24"/>
          <w:szCs w:val="24"/>
          <w:lang w:val="en-US"/>
        </w:rPr>
        <w:tab/>
      </w:r>
      <w:r w:rsidR="00CE6C98" w:rsidRPr="00CE6C98">
        <w:rPr>
          <w:rFonts w:ascii="Arial" w:hAnsi="Arial" w:cs="Arial"/>
          <w:sz w:val="24"/>
          <w:szCs w:val="24"/>
          <w:lang w:val="en-US"/>
        </w:rPr>
        <w:t xml:space="preserve"> 22</w:t>
      </w:r>
      <w:r w:rsidRPr="00CE6C98">
        <w:rPr>
          <w:rFonts w:ascii="Arial" w:hAnsi="Arial" w:cs="Arial"/>
          <w:sz w:val="24"/>
          <w:szCs w:val="24"/>
          <w:lang w:val="en-US"/>
        </w:rPr>
        <w:t xml:space="preserve"> April 2024</w:t>
      </w:r>
    </w:p>
    <w:p w14:paraId="0EC0E13F" w14:textId="77777777" w:rsidR="00F5632D" w:rsidRPr="00CE6C98" w:rsidRDefault="00F5632D" w:rsidP="00687410">
      <w:pPr>
        <w:spacing w:line="360" w:lineRule="auto"/>
        <w:ind w:left="360"/>
        <w:jc w:val="both"/>
        <w:rPr>
          <w:rFonts w:ascii="Arial" w:hAnsi="Arial" w:cs="Arial"/>
          <w:sz w:val="24"/>
          <w:szCs w:val="24"/>
          <w:lang w:val="en-US"/>
        </w:rPr>
      </w:pPr>
    </w:p>
    <w:sectPr w:rsidR="00F5632D" w:rsidRPr="00CE6C9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B865A" w14:textId="77777777" w:rsidR="000F6D21" w:rsidRDefault="000F6D21" w:rsidP="00877843">
      <w:pPr>
        <w:spacing w:after="0" w:line="240" w:lineRule="auto"/>
      </w:pPr>
      <w:r>
        <w:separator/>
      </w:r>
    </w:p>
  </w:endnote>
  <w:endnote w:type="continuationSeparator" w:id="0">
    <w:p w14:paraId="27C87A73" w14:textId="77777777" w:rsidR="000F6D21" w:rsidRDefault="000F6D21" w:rsidP="0087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618750"/>
      <w:docPartObj>
        <w:docPartGallery w:val="Page Numbers (Bottom of Page)"/>
        <w:docPartUnique/>
      </w:docPartObj>
    </w:sdtPr>
    <w:sdtEndPr>
      <w:rPr>
        <w:noProof/>
      </w:rPr>
    </w:sdtEndPr>
    <w:sdtContent>
      <w:p w14:paraId="5056A9C6" w14:textId="2AAA7F35" w:rsidR="00F5632D" w:rsidRDefault="00F5632D" w:rsidP="00E469E1">
        <w:pPr>
          <w:pStyle w:val="Footer"/>
          <w:jc w:val="right"/>
        </w:pPr>
        <w:r>
          <w:fldChar w:fldCharType="begin"/>
        </w:r>
        <w:r>
          <w:instrText xml:space="preserve"> PAGE   \* MERGEFORMAT </w:instrText>
        </w:r>
        <w:r>
          <w:fldChar w:fldCharType="separate"/>
        </w:r>
        <w:r w:rsidR="0064151D">
          <w:rPr>
            <w:noProof/>
          </w:rPr>
          <w:t>9</w:t>
        </w:r>
        <w:r>
          <w:rPr>
            <w:noProof/>
          </w:rPr>
          <w:fldChar w:fldCharType="end"/>
        </w:r>
      </w:p>
    </w:sdtContent>
  </w:sdt>
  <w:p w14:paraId="27BC01A0" w14:textId="77777777" w:rsidR="00F5632D" w:rsidRDefault="00F5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FEF9D" w14:textId="77777777" w:rsidR="000F6D21" w:rsidRDefault="000F6D21" w:rsidP="00877843">
      <w:pPr>
        <w:spacing w:after="0" w:line="240" w:lineRule="auto"/>
      </w:pPr>
      <w:r>
        <w:separator/>
      </w:r>
    </w:p>
  </w:footnote>
  <w:footnote w:type="continuationSeparator" w:id="0">
    <w:p w14:paraId="618EBC86" w14:textId="77777777" w:rsidR="000F6D21" w:rsidRDefault="000F6D21" w:rsidP="00877843">
      <w:pPr>
        <w:spacing w:after="0" w:line="240" w:lineRule="auto"/>
      </w:pPr>
      <w:r>
        <w:continuationSeparator/>
      </w:r>
    </w:p>
  </w:footnote>
  <w:footnote w:id="1">
    <w:p w14:paraId="3AE944ED" w14:textId="50657282" w:rsidR="00877843" w:rsidRPr="00877843" w:rsidRDefault="00877843">
      <w:pPr>
        <w:pStyle w:val="FootnoteText"/>
        <w:rPr>
          <w:lang w:val="en-US"/>
        </w:rPr>
      </w:pPr>
      <w:r>
        <w:rPr>
          <w:rStyle w:val="FootnoteReference"/>
        </w:rPr>
        <w:footnoteRef/>
      </w:r>
      <w:r>
        <w:t xml:space="preserve"> </w:t>
      </w:r>
      <w:r>
        <w:rPr>
          <w:lang w:val="en-US"/>
        </w:rPr>
        <w:t xml:space="preserve">Subsection 2(a) reads: </w:t>
      </w:r>
      <w:r w:rsidRPr="00877843">
        <w:rPr>
          <w:i/>
          <w:iCs/>
          <w:lang w:val="en-US"/>
        </w:rPr>
        <w:t>Leave to appeal may be granted by the judge or judges against whose decision an appeal is to be made or, if not readily available, by any other judge or judges of the same court or Division.</w:t>
      </w:r>
    </w:p>
  </w:footnote>
  <w:footnote w:id="2">
    <w:p w14:paraId="184F983F" w14:textId="219849F5" w:rsidR="007A55F2" w:rsidRPr="00567597" w:rsidRDefault="007A55F2" w:rsidP="007A55F2">
      <w:pPr>
        <w:pStyle w:val="FootnoteText"/>
        <w:rPr>
          <w:lang w:val="nl-NL"/>
        </w:rPr>
      </w:pPr>
      <w:r>
        <w:rPr>
          <w:rStyle w:val="FootnoteReference"/>
        </w:rPr>
        <w:footnoteRef/>
      </w:r>
      <w:r w:rsidRPr="00567597">
        <w:rPr>
          <w:lang w:val="nl-NL"/>
        </w:rPr>
        <w:t xml:space="preserve"> </w:t>
      </w:r>
      <w:r w:rsidR="00567597" w:rsidRPr="007A55F2">
        <w:rPr>
          <w:lang w:val="nl-NL"/>
        </w:rPr>
        <w:t>Dr Maureen Allem Inc v Baar</w:t>
      </w:r>
      <w:r w:rsidR="00567597">
        <w:rPr>
          <w:lang w:val="nl-NL"/>
        </w:rPr>
        <w:t>d 2022 (3) SA 207 (GJ)  (“Allem”)</w:t>
      </w:r>
    </w:p>
  </w:footnote>
  <w:footnote w:id="3">
    <w:p w14:paraId="4090770A" w14:textId="3A89B3AF" w:rsidR="007A55F2" w:rsidRPr="00877843" w:rsidRDefault="007A55F2" w:rsidP="007A55F2">
      <w:pPr>
        <w:pStyle w:val="FootnoteText"/>
        <w:rPr>
          <w:lang w:val="en-US"/>
        </w:rPr>
      </w:pPr>
      <w:r>
        <w:rPr>
          <w:rStyle w:val="FootnoteReference"/>
        </w:rPr>
        <w:footnoteRef/>
      </w:r>
      <w:r>
        <w:t xml:space="preserve"> </w:t>
      </w:r>
      <w:r>
        <w:rPr>
          <w:lang w:val="en-US"/>
        </w:rPr>
        <w:t>Strouthos v Shear 2003 (4) SA 137 (</w:t>
      </w:r>
      <w:r w:rsidR="005D04D7">
        <w:rPr>
          <w:lang w:val="en-US"/>
        </w:rPr>
        <w:t>T) (</w:t>
      </w:r>
      <w:r w:rsidR="00567597">
        <w:rPr>
          <w:lang w:val="en-US"/>
        </w:rPr>
        <w:t>“Strouthos”)</w:t>
      </w:r>
      <w:r w:rsidR="000219CC">
        <w:rPr>
          <w:lang w:val="en-US"/>
        </w:rPr>
        <w:t xml:space="preserve"> at 140G</w:t>
      </w:r>
    </w:p>
  </w:footnote>
  <w:footnote w:id="4">
    <w:p w14:paraId="3C38E5BD" w14:textId="15CE4338" w:rsidR="00877843" w:rsidRPr="000219CC" w:rsidRDefault="00877843">
      <w:pPr>
        <w:pStyle w:val="FootnoteText"/>
      </w:pPr>
      <w:r>
        <w:rPr>
          <w:rStyle w:val="FootnoteReference"/>
        </w:rPr>
        <w:footnoteRef/>
      </w:r>
      <w:r w:rsidRPr="000219CC">
        <w:t xml:space="preserve"> Strouthos </w:t>
      </w:r>
      <w:r w:rsidR="00567597" w:rsidRPr="000219CC">
        <w:t>supra</w:t>
      </w:r>
      <w:r w:rsidR="000219CC" w:rsidRPr="000219CC">
        <w:t xml:space="preserve"> also with r</w:t>
      </w:r>
      <w:r w:rsidR="000219CC">
        <w:t>eference to 140H-I</w:t>
      </w:r>
    </w:p>
  </w:footnote>
  <w:footnote w:id="5">
    <w:p w14:paraId="2C583010" w14:textId="44342785" w:rsidR="00567597" w:rsidRPr="00773740" w:rsidRDefault="00567597">
      <w:pPr>
        <w:pStyle w:val="FootnoteText"/>
        <w:rPr>
          <w:lang w:val="nl-NL"/>
        </w:rPr>
      </w:pPr>
      <w:r w:rsidRPr="00F70121">
        <w:rPr>
          <w:lang w:val="en-US"/>
        </w:rPr>
        <w:footnoteRef/>
      </w:r>
      <w:r w:rsidRPr="00773740">
        <w:rPr>
          <w:lang w:val="nl-NL"/>
        </w:rPr>
        <w:t xml:space="preserve"> Boland Konstruksie </w:t>
      </w:r>
      <w:r w:rsidR="000219CC" w:rsidRPr="00773740">
        <w:rPr>
          <w:lang w:val="nl-NL"/>
        </w:rPr>
        <w:t>Maatskappy (Edms) Bpk v Petlen Properties (Edms) Bpk 1974 (4) SA 291 (C</w:t>
      </w:r>
      <w:r w:rsidR="005D04D7" w:rsidRPr="00773740">
        <w:rPr>
          <w:lang w:val="nl-NL"/>
        </w:rPr>
        <w:t>) (</w:t>
      </w:r>
      <w:r w:rsidR="00F70121" w:rsidRPr="00773740">
        <w:rPr>
          <w:lang w:val="nl-NL"/>
        </w:rPr>
        <w:t>“Boland Konstruksie”)</w:t>
      </w:r>
    </w:p>
  </w:footnote>
  <w:footnote w:id="6">
    <w:p w14:paraId="1792CF22" w14:textId="1BEBF6B9" w:rsidR="00824F3D" w:rsidRPr="00F70121" w:rsidRDefault="00824F3D" w:rsidP="00F70121">
      <w:pPr>
        <w:pStyle w:val="FootnoteText"/>
        <w:rPr>
          <w:lang w:val="en-US"/>
        </w:rPr>
      </w:pPr>
      <w:r w:rsidRPr="00F70121">
        <w:rPr>
          <w:lang w:val="en-US"/>
        </w:rPr>
        <w:footnoteRef/>
      </w:r>
      <w:r w:rsidRPr="00F70121">
        <w:rPr>
          <w:lang w:val="en-US"/>
        </w:rPr>
        <w:t xml:space="preserve">   Eagle Creek Investments 472 (Pty) Ltd v Focus Connection (Pty) Ltd and Another [2018] JOL 40609 (</w:t>
      </w:r>
      <w:r w:rsidR="005D04D7" w:rsidRPr="00F70121">
        <w:rPr>
          <w:lang w:val="en-US"/>
        </w:rPr>
        <w:t>GJ) (</w:t>
      </w:r>
      <w:r w:rsidR="00F70121" w:rsidRPr="00F70121">
        <w:rPr>
          <w:lang w:val="en-US"/>
        </w:rPr>
        <w:t>“Eagle Creek”)</w:t>
      </w:r>
    </w:p>
  </w:footnote>
  <w:footnote w:id="7">
    <w:p w14:paraId="10AE52E1" w14:textId="5EE23259" w:rsidR="00283339" w:rsidRPr="00283339" w:rsidRDefault="00283339">
      <w:pPr>
        <w:pStyle w:val="FootnoteText"/>
        <w:rPr>
          <w:lang w:val="en-US"/>
        </w:rPr>
      </w:pPr>
      <w:r>
        <w:rPr>
          <w:rStyle w:val="FootnoteReference"/>
        </w:rPr>
        <w:footnoteRef/>
      </w:r>
      <w:r>
        <w:t xml:space="preserve"> </w:t>
      </w:r>
      <w:r>
        <w:rPr>
          <w:lang w:val="en-US"/>
        </w:rPr>
        <w:t>Panayiotou v Shoprite Checkers 2016 (3) SA 110 (</w:t>
      </w:r>
      <w:r w:rsidR="005D04D7">
        <w:rPr>
          <w:lang w:val="en-US"/>
        </w:rPr>
        <w:t>GJ) (</w:t>
      </w:r>
      <w:r w:rsidR="00F70121">
        <w:rPr>
          <w:lang w:val="en-US"/>
        </w:rPr>
        <w:t>“Panayiotou”)</w:t>
      </w:r>
    </w:p>
  </w:footnote>
  <w:footnote w:id="8">
    <w:p w14:paraId="14248C0D" w14:textId="386A238E" w:rsidR="00283339" w:rsidRPr="00283339" w:rsidRDefault="00283339">
      <w:pPr>
        <w:pStyle w:val="FootnoteText"/>
        <w:rPr>
          <w:lang w:val="en-US"/>
        </w:rPr>
      </w:pPr>
      <w:r>
        <w:rPr>
          <w:rStyle w:val="FootnoteReference"/>
        </w:rPr>
        <w:footnoteRef/>
      </w:r>
      <w:r w:rsidR="00F70121">
        <w:t xml:space="preserve">Boland Konstruksie supra </w:t>
      </w:r>
      <w:r w:rsidRPr="00283339">
        <w:rPr>
          <w:lang w:val="en-US"/>
        </w:rPr>
        <w:t>at 293D-H</w:t>
      </w:r>
    </w:p>
  </w:footnote>
  <w:footnote w:id="9">
    <w:p w14:paraId="56F9C8A7" w14:textId="77777777" w:rsidR="0061270E" w:rsidRPr="00F70121" w:rsidRDefault="0061270E" w:rsidP="0061270E">
      <w:pPr>
        <w:pStyle w:val="FootnoteText"/>
        <w:rPr>
          <w:lang w:val="en-US"/>
        </w:rPr>
      </w:pPr>
      <w:r>
        <w:rPr>
          <w:rStyle w:val="FootnoteReference"/>
        </w:rPr>
        <w:footnoteRef/>
      </w:r>
      <w:r>
        <w:t xml:space="preserve"> </w:t>
      </w:r>
      <w:r>
        <w:rPr>
          <w:lang w:val="en-US"/>
        </w:rPr>
        <w:t>Eagle Creek supra paragraph 1</w:t>
      </w:r>
    </w:p>
  </w:footnote>
  <w:footnote w:id="10">
    <w:p w14:paraId="74052E43" w14:textId="452FA50B" w:rsidR="00283339" w:rsidRPr="00283339" w:rsidRDefault="00283339">
      <w:pPr>
        <w:pStyle w:val="FootnoteText"/>
      </w:pPr>
      <w:r>
        <w:rPr>
          <w:rStyle w:val="FootnoteReference"/>
        </w:rPr>
        <w:footnoteRef/>
      </w:r>
      <w:r>
        <w:t xml:space="preserve"> </w:t>
      </w:r>
      <w:r w:rsidR="00F70121">
        <w:t xml:space="preserve">Eagle Creek supra </w:t>
      </w:r>
      <w:r>
        <w:t>paragraph 12</w:t>
      </w:r>
    </w:p>
  </w:footnote>
  <w:footnote w:id="11">
    <w:p w14:paraId="0115DC8A" w14:textId="38426D46" w:rsidR="00283339" w:rsidRPr="00283339" w:rsidRDefault="00283339">
      <w:pPr>
        <w:pStyle w:val="FootnoteText"/>
        <w:rPr>
          <w:lang w:val="en-US"/>
        </w:rPr>
      </w:pPr>
      <w:r>
        <w:rPr>
          <w:rStyle w:val="FootnoteReference"/>
        </w:rPr>
        <w:footnoteRef/>
      </w:r>
      <w:r>
        <w:t xml:space="preserve"> </w:t>
      </w:r>
      <w:r>
        <w:rPr>
          <w:lang w:val="en-US"/>
        </w:rPr>
        <w:t>Jyoti Structures Africa v KRB/Masana 2011 (3) SA 231 (GSJ)</w:t>
      </w:r>
    </w:p>
  </w:footnote>
  <w:footnote w:id="12">
    <w:p w14:paraId="1571FEA6" w14:textId="197FB17C" w:rsidR="00283339" w:rsidRPr="00283339" w:rsidRDefault="00283339">
      <w:pPr>
        <w:pStyle w:val="FootnoteText"/>
        <w:rPr>
          <w:lang w:val="en-US"/>
        </w:rPr>
      </w:pPr>
      <w:r>
        <w:rPr>
          <w:rStyle w:val="FootnoteReference"/>
        </w:rPr>
        <w:footnoteRef/>
      </w:r>
      <w:r>
        <w:t xml:space="preserve"> </w:t>
      </w:r>
      <w:r w:rsidR="00F70121">
        <w:t xml:space="preserve">Panayiotou </w:t>
      </w:r>
      <w:r>
        <w:rPr>
          <w:lang w:val="en-US"/>
        </w:rPr>
        <w:t>paragraphs 11 and 13-15</w:t>
      </w:r>
    </w:p>
  </w:footnote>
  <w:footnote w:id="13">
    <w:p w14:paraId="08E9DCC1" w14:textId="3233282A" w:rsidR="006E222F" w:rsidRPr="00773740" w:rsidRDefault="006E222F">
      <w:pPr>
        <w:pStyle w:val="FootnoteText"/>
        <w:rPr>
          <w:lang w:val="en-US"/>
        </w:rPr>
      </w:pPr>
      <w:r>
        <w:rPr>
          <w:rStyle w:val="FootnoteReference"/>
        </w:rPr>
        <w:footnoteRef/>
      </w:r>
      <w:r w:rsidRPr="00773740">
        <w:rPr>
          <w:lang w:val="en-US"/>
        </w:rPr>
        <w:t xml:space="preserve"> Jeanru Konstruksie (Pty) Ltd v Botes [2023] JOL 59475 (GP)  (“Jeanru”)</w:t>
      </w:r>
    </w:p>
  </w:footnote>
  <w:footnote w:id="14">
    <w:p w14:paraId="4DE23904" w14:textId="570A16BD" w:rsidR="006E222F" w:rsidRPr="006E222F" w:rsidRDefault="006E222F">
      <w:pPr>
        <w:pStyle w:val="FootnoteText"/>
        <w:rPr>
          <w:lang w:val="en-US"/>
        </w:rPr>
      </w:pPr>
      <w:r>
        <w:rPr>
          <w:rStyle w:val="FootnoteReference"/>
        </w:rPr>
        <w:footnoteRef/>
      </w:r>
      <w:r>
        <w:t xml:space="preserve"> </w:t>
      </w:r>
      <w:r>
        <w:rPr>
          <w:lang w:val="en-US"/>
        </w:rPr>
        <w:t>Gruskin v Gruskin [2023] JOL 58986 (GJ) (“Gruskin”)</w:t>
      </w:r>
    </w:p>
  </w:footnote>
  <w:footnote w:id="15">
    <w:p w14:paraId="2EC5FBB1" w14:textId="355C4A7F" w:rsidR="006E222F" w:rsidRPr="006E222F" w:rsidRDefault="006E222F">
      <w:pPr>
        <w:pStyle w:val="FootnoteText"/>
        <w:rPr>
          <w:lang w:val="en-US"/>
        </w:rPr>
      </w:pPr>
      <w:r>
        <w:rPr>
          <w:rStyle w:val="FootnoteReference"/>
        </w:rPr>
        <w:footnoteRef/>
      </w:r>
      <w:r>
        <w:t xml:space="preserve"> </w:t>
      </w:r>
      <w:r>
        <w:rPr>
          <w:lang w:val="en-US"/>
        </w:rPr>
        <w:t>Jeanru supra paragraph 15</w:t>
      </w:r>
    </w:p>
  </w:footnote>
  <w:footnote w:id="16">
    <w:p w14:paraId="092B79BE" w14:textId="0221FF51" w:rsidR="009039CA" w:rsidRPr="009039CA" w:rsidRDefault="009039CA">
      <w:pPr>
        <w:pStyle w:val="FootnoteText"/>
        <w:rPr>
          <w:lang w:val="en-US"/>
        </w:rPr>
      </w:pPr>
      <w:r>
        <w:rPr>
          <w:rStyle w:val="FootnoteReference"/>
        </w:rPr>
        <w:footnoteRef/>
      </w:r>
      <w:r>
        <w:t xml:space="preserve"> </w:t>
      </w:r>
      <w:r>
        <w:rPr>
          <w:lang w:val="en-US"/>
        </w:rPr>
        <w:t>Jeanru supra paragraph 10</w:t>
      </w:r>
    </w:p>
  </w:footnote>
  <w:footnote w:id="17">
    <w:p w14:paraId="489A90CC" w14:textId="31BD7165" w:rsidR="009039CA" w:rsidRPr="009039CA" w:rsidRDefault="009039CA">
      <w:pPr>
        <w:pStyle w:val="FootnoteText"/>
        <w:rPr>
          <w:lang w:val="en-US"/>
        </w:rPr>
      </w:pPr>
      <w:r>
        <w:rPr>
          <w:rStyle w:val="FootnoteReference"/>
        </w:rPr>
        <w:footnoteRef/>
      </w:r>
      <w:r>
        <w:t xml:space="preserve"> </w:t>
      </w:r>
      <w:r>
        <w:rPr>
          <w:lang w:val="en-US"/>
        </w:rPr>
        <w:t>Jeanru supra paragraph 29</w:t>
      </w:r>
    </w:p>
  </w:footnote>
  <w:footnote w:id="18">
    <w:p w14:paraId="4E783D78" w14:textId="3C21A057" w:rsidR="009039CA" w:rsidRPr="009039CA" w:rsidRDefault="009039CA">
      <w:pPr>
        <w:pStyle w:val="FootnoteText"/>
        <w:rPr>
          <w:lang w:val="en-US"/>
        </w:rPr>
      </w:pPr>
      <w:r>
        <w:rPr>
          <w:rStyle w:val="FootnoteReference"/>
        </w:rPr>
        <w:footnoteRef/>
      </w:r>
      <w:r>
        <w:t xml:space="preserve"> </w:t>
      </w:r>
      <w:r>
        <w:rPr>
          <w:lang w:val="en-US"/>
        </w:rPr>
        <w:t>Gruskin supra paragraph 30</w:t>
      </w:r>
    </w:p>
  </w:footnote>
  <w:footnote w:id="19">
    <w:p w14:paraId="0FF20A02" w14:textId="508D4B8E" w:rsidR="005C524C" w:rsidRPr="005C524C" w:rsidRDefault="005C524C">
      <w:pPr>
        <w:pStyle w:val="FootnoteText"/>
        <w:rPr>
          <w:lang w:val="en-US"/>
        </w:rPr>
      </w:pPr>
      <w:r>
        <w:rPr>
          <w:rStyle w:val="FootnoteReference"/>
        </w:rPr>
        <w:footnoteRef/>
      </w:r>
      <w:r>
        <w:t xml:space="preserve"> </w:t>
      </w:r>
      <w:r>
        <w:rPr>
          <w:lang w:val="en-US"/>
        </w:rPr>
        <w:t>Gruskin supra paragraph 15</w:t>
      </w:r>
    </w:p>
  </w:footnote>
  <w:footnote w:id="20">
    <w:p w14:paraId="69BA17C3" w14:textId="37A9A6EF" w:rsidR="00377C72" w:rsidRPr="00377C72" w:rsidRDefault="00377C72">
      <w:pPr>
        <w:pStyle w:val="FootnoteText"/>
        <w:rPr>
          <w:lang w:val="en-US"/>
        </w:rPr>
      </w:pPr>
      <w:r>
        <w:rPr>
          <w:rStyle w:val="FootnoteReference"/>
        </w:rPr>
        <w:footnoteRef/>
      </w:r>
      <w:r>
        <w:t xml:space="preserve"> </w:t>
      </w:r>
      <w:r>
        <w:rPr>
          <w:lang w:val="en-US"/>
        </w:rPr>
        <w:t>Gruskin supra paragraph 18</w:t>
      </w:r>
    </w:p>
  </w:footnote>
  <w:footnote w:id="21">
    <w:p w14:paraId="2F71085E" w14:textId="5910A7B7" w:rsidR="005C524C" w:rsidRPr="005C524C" w:rsidRDefault="005C524C">
      <w:pPr>
        <w:pStyle w:val="FootnoteText"/>
        <w:rPr>
          <w:lang w:val="en-US"/>
        </w:rPr>
      </w:pPr>
      <w:r>
        <w:rPr>
          <w:rStyle w:val="FootnoteReference"/>
        </w:rPr>
        <w:footnoteRef/>
      </w:r>
      <w:r>
        <w:t xml:space="preserve"> </w:t>
      </w:r>
      <w:r>
        <w:rPr>
          <w:lang w:val="en-US"/>
        </w:rPr>
        <w:t>Gruskin supra paragraph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AF2CCC"/>
    <w:multiLevelType w:val="hybridMultilevel"/>
    <w:tmpl w:val="B3148C08"/>
    <w:lvl w:ilvl="0" w:tplc="4CF85E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45473B"/>
    <w:multiLevelType w:val="multilevel"/>
    <w:tmpl w:val="CA1AC400"/>
    <w:lvl w:ilvl="0">
      <w:start w:val="1"/>
      <w:numFmt w:val="decimal"/>
      <w:pStyle w:val="JudgmentNumbered"/>
      <w:lvlText w:val="[%1]"/>
      <w:lvlJc w:val="left"/>
      <w:pPr>
        <w:ind w:left="567" w:hanging="567"/>
      </w:pPr>
      <w:rPr>
        <w:rFonts w:ascii="Times New Roman" w:hAnsi="Times New Roman" w:cs="Times New Roman" w:hint="default"/>
        <w:i w:val="0"/>
        <w:iCs w:val="0"/>
        <w:sz w:val="28"/>
        <w:szCs w:val="28"/>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40787270"/>
    <w:multiLevelType w:val="hybridMultilevel"/>
    <w:tmpl w:val="1668EE46"/>
    <w:lvl w:ilvl="0" w:tplc="6ECE6C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AE254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2520765">
    <w:abstractNumId w:val="4"/>
  </w:num>
  <w:num w:numId="2" w16cid:durableId="1756706049">
    <w:abstractNumId w:val="3"/>
  </w:num>
  <w:num w:numId="3" w16cid:durableId="1266111752">
    <w:abstractNumId w:val="1"/>
  </w:num>
  <w:num w:numId="4" w16cid:durableId="371616369">
    <w:abstractNumId w:val="0"/>
  </w:num>
  <w:num w:numId="5" w16cid:durableId="406197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AwNzCwMDUxNDWwNDRR0lEKTi0uzszPAykwrAUA+3kkgSwAAAA="/>
  </w:docVars>
  <w:rsids>
    <w:rsidRoot w:val="002A4EF7"/>
    <w:rsid w:val="000219CC"/>
    <w:rsid w:val="000F0073"/>
    <w:rsid w:val="000F62E2"/>
    <w:rsid w:val="000F6D21"/>
    <w:rsid w:val="00283339"/>
    <w:rsid w:val="002A4EF7"/>
    <w:rsid w:val="00326267"/>
    <w:rsid w:val="00363EEB"/>
    <w:rsid w:val="00377C72"/>
    <w:rsid w:val="004A7A34"/>
    <w:rsid w:val="00563F6E"/>
    <w:rsid w:val="00567597"/>
    <w:rsid w:val="005C524C"/>
    <w:rsid w:val="005D04D7"/>
    <w:rsid w:val="005D3907"/>
    <w:rsid w:val="0061270E"/>
    <w:rsid w:val="00632A6D"/>
    <w:rsid w:val="0064151D"/>
    <w:rsid w:val="00687410"/>
    <w:rsid w:val="006E222F"/>
    <w:rsid w:val="00773740"/>
    <w:rsid w:val="007827C5"/>
    <w:rsid w:val="007A55F2"/>
    <w:rsid w:val="007E5645"/>
    <w:rsid w:val="00824F3D"/>
    <w:rsid w:val="00877843"/>
    <w:rsid w:val="009039CA"/>
    <w:rsid w:val="0091265E"/>
    <w:rsid w:val="00950764"/>
    <w:rsid w:val="00956E8C"/>
    <w:rsid w:val="00963EC3"/>
    <w:rsid w:val="00A53025"/>
    <w:rsid w:val="00A874DB"/>
    <w:rsid w:val="00B20B01"/>
    <w:rsid w:val="00C46D55"/>
    <w:rsid w:val="00CE6C98"/>
    <w:rsid w:val="00D07815"/>
    <w:rsid w:val="00D429DA"/>
    <w:rsid w:val="00D54193"/>
    <w:rsid w:val="00E11033"/>
    <w:rsid w:val="00E263D2"/>
    <w:rsid w:val="00E55419"/>
    <w:rsid w:val="00F12ADF"/>
    <w:rsid w:val="00F36933"/>
    <w:rsid w:val="00F50400"/>
    <w:rsid w:val="00F5632D"/>
    <w:rsid w:val="00F70121"/>
    <w:rsid w:val="00F90E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1130"/>
  <w15:chartTrackingRefBased/>
  <w15:docId w15:val="{FB804A69-A798-4A57-99BE-FD7AE3FE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E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4E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4E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4E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4E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4E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4E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4E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4E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E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4E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4E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4E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4E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4E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4E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4E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4EF7"/>
    <w:rPr>
      <w:rFonts w:eastAsiaTheme="majorEastAsia" w:cstheme="majorBidi"/>
      <w:color w:val="272727" w:themeColor="text1" w:themeTint="D8"/>
    </w:rPr>
  </w:style>
  <w:style w:type="paragraph" w:styleId="Title">
    <w:name w:val="Title"/>
    <w:basedOn w:val="Normal"/>
    <w:next w:val="Normal"/>
    <w:link w:val="TitleChar"/>
    <w:uiPriority w:val="10"/>
    <w:qFormat/>
    <w:rsid w:val="002A4E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E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4E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4E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4EF7"/>
    <w:pPr>
      <w:spacing w:before="160"/>
      <w:jc w:val="center"/>
    </w:pPr>
    <w:rPr>
      <w:i/>
      <w:iCs/>
      <w:color w:val="404040" w:themeColor="text1" w:themeTint="BF"/>
    </w:rPr>
  </w:style>
  <w:style w:type="character" w:customStyle="1" w:styleId="QuoteChar">
    <w:name w:val="Quote Char"/>
    <w:basedOn w:val="DefaultParagraphFont"/>
    <w:link w:val="Quote"/>
    <w:uiPriority w:val="29"/>
    <w:rsid w:val="002A4EF7"/>
    <w:rPr>
      <w:i/>
      <w:iCs/>
      <w:color w:val="404040" w:themeColor="text1" w:themeTint="BF"/>
    </w:rPr>
  </w:style>
  <w:style w:type="paragraph" w:styleId="ListParagraph">
    <w:name w:val="List Paragraph"/>
    <w:basedOn w:val="Normal"/>
    <w:uiPriority w:val="34"/>
    <w:qFormat/>
    <w:rsid w:val="002A4EF7"/>
    <w:pPr>
      <w:ind w:left="720"/>
      <w:contextualSpacing/>
    </w:pPr>
  </w:style>
  <w:style w:type="character" w:styleId="IntenseEmphasis">
    <w:name w:val="Intense Emphasis"/>
    <w:basedOn w:val="DefaultParagraphFont"/>
    <w:uiPriority w:val="21"/>
    <w:qFormat/>
    <w:rsid w:val="002A4EF7"/>
    <w:rPr>
      <w:i/>
      <w:iCs/>
      <w:color w:val="0F4761" w:themeColor="accent1" w:themeShade="BF"/>
    </w:rPr>
  </w:style>
  <w:style w:type="paragraph" w:styleId="IntenseQuote">
    <w:name w:val="Intense Quote"/>
    <w:basedOn w:val="Normal"/>
    <w:next w:val="Normal"/>
    <w:link w:val="IntenseQuoteChar"/>
    <w:uiPriority w:val="30"/>
    <w:qFormat/>
    <w:rsid w:val="002A4E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4EF7"/>
    <w:rPr>
      <w:i/>
      <w:iCs/>
      <w:color w:val="0F4761" w:themeColor="accent1" w:themeShade="BF"/>
    </w:rPr>
  </w:style>
  <w:style w:type="character" w:styleId="IntenseReference">
    <w:name w:val="Intense Reference"/>
    <w:basedOn w:val="DefaultParagraphFont"/>
    <w:uiPriority w:val="32"/>
    <w:qFormat/>
    <w:rsid w:val="002A4EF7"/>
    <w:rPr>
      <w:b/>
      <w:bCs/>
      <w:smallCaps/>
      <w:color w:val="0F4761" w:themeColor="accent1" w:themeShade="BF"/>
      <w:spacing w:val="5"/>
    </w:rPr>
  </w:style>
  <w:style w:type="paragraph" w:styleId="FootnoteText">
    <w:name w:val="footnote text"/>
    <w:basedOn w:val="Normal"/>
    <w:link w:val="FootnoteTextChar"/>
    <w:uiPriority w:val="99"/>
    <w:semiHidden/>
    <w:unhideWhenUsed/>
    <w:rsid w:val="00877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843"/>
    <w:rPr>
      <w:sz w:val="20"/>
      <w:szCs w:val="20"/>
    </w:rPr>
  </w:style>
  <w:style w:type="character" w:styleId="FootnoteReference">
    <w:name w:val="footnote reference"/>
    <w:basedOn w:val="DefaultParagraphFont"/>
    <w:uiPriority w:val="99"/>
    <w:semiHidden/>
    <w:unhideWhenUsed/>
    <w:rsid w:val="00877843"/>
    <w:rPr>
      <w:vertAlign w:val="superscript"/>
    </w:rPr>
  </w:style>
  <w:style w:type="character" w:styleId="Hyperlink">
    <w:name w:val="Hyperlink"/>
    <w:basedOn w:val="DefaultParagraphFont"/>
    <w:uiPriority w:val="99"/>
    <w:semiHidden/>
    <w:unhideWhenUsed/>
    <w:rsid w:val="00F12ADF"/>
    <w:rPr>
      <w:color w:val="0000FF"/>
      <w:u w:val="single"/>
    </w:rPr>
  </w:style>
  <w:style w:type="paragraph" w:customStyle="1" w:styleId="JudgmentNumbered">
    <w:name w:val="Judgment Numbered"/>
    <w:basedOn w:val="Normal"/>
    <w:link w:val="JudgmentNumberedChar"/>
    <w:qFormat/>
    <w:rsid w:val="00F5632D"/>
    <w:pPr>
      <w:numPr>
        <w:numId w:val="5"/>
      </w:numPr>
      <w:spacing w:after="240" w:line="360" w:lineRule="auto"/>
      <w:jc w:val="both"/>
    </w:pPr>
    <w:rPr>
      <w:rFonts w:ascii="Arial" w:hAnsi="Arial" w:cs="Arial"/>
      <w:kern w:val="0"/>
      <w:sz w:val="24"/>
      <w:lang w:val="en-GB"/>
      <w14:ligatures w14:val="none"/>
    </w:rPr>
  </w:style>
  <w:style w:type="character" w:customStyle="1" w:styleId="JudgmentNumberedChar">
    <w:name w:val="Judgment Numbered Char"/>
    <w:basedOn w:val="DefaultParagraphFont"/>
    <w:link w:val="JudgmentNumbered"/>
    <w:rsid w:val="00F5632D"/>
    <w:rPr>
      <w:rFonts w:ascii="Arial" w:hAnsi="Arial" w:cs="Arial"/>
      <w:kern w:val="0"/>
      <w:sz w:val="24"/>
      <w:lang w:val="en-GB"/>
      <w14:ligatures w14:val="none"/>
    </w:rPr>
  </w:style>
  <w:style w:type="paragraph" w:styleId="Footer">
    <w:name w:val="footer"/>
    <w:basedOn w:val="Normal"/>
    <w:link w:val="FooterChar"/>
    <w:uiPriority w:val="99"/>
    <w:unhideWhenUsed/>
    <w:rsid w:val="00F5632D"/>
    <w:pPr>
      <w:tabs>
        <w:tab w:val="center" w:pos="4513"/>
        <w:tab w:val="right" w:pos="9026"/>
      </w:tabs>
      <w:spacing w:after="0" w:line="240" w:lineRule="auto"/>
      <w:ind w:left="567"/>
      <w:jc w:val="both"/>
    </w:pPr>
    <w:rPr>
      <w:rFonts w:ascii="Arial" w:hAnsi="Arial"/>
      <w:kern w:val="0"/>
      <w:sz w:val="24"/>
      <w:lang w:val="en-GB"/>
      <w14:ligatures w14:val="none"/>
    </w:rPr>
  </w:style>
  <w:style w:type="character" w:customStyle="1" w:styleId="FooterChar">
    <w:name w:val="Footer Char"/>
    <w:basedOn w:val="DefaultParagraphFont"/>
    <w:link w:val="Footer"/>
    <w:uiPriority w:val="99"/>
    <w:rsid w:val="00F5632D"/>
    <w:rPr>
      <w:rFonts w:ascii="Arial" w:hAnsi="Arial"/>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55B0-1815-4E3A-9F40-321457AF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Wijnbeek</dc:creator>
  <cp:keywords/>
  <dc:description/>
  <cp:lastModifiedBy>sathish sarshan  mohan</cp:lastModifiedBy>
  <cp:revision>3</cp:revision>
  <cp:lastPrinted>2024-04-22T10:28:00Z</cp:lastPrinted>
  <dcterms:created xsi:type="dcterms:W3CDTF">2024-04-29T13:43:00Z</dcterms:created>
  <dcterms:modified xsi:type="dcterms:W3CDTF">2024-04-30T11:58:00Z</dcterms:modified>
</cp:coreProperties>
</file>