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95B1B" w14:textId="77777777" w:rsidR="009927A9" w:rsidRPr="007A5967" w:rsidRDefault="009927A9" w:rsidP="009927A9">
      <w:pPr>
        <w:tabs>
          <w:tab w:val="left" w:pos="2342"/>
          <w:tab w:val="center" w:pos="4513"/>
        </w:tabs>
        <w:spacing w:after="0" w:line="240" w:lineRule="auto"/>
        <w:rPr>
          <w:rFonts w:ascii="Arial" w:eastAsia="Times New Roman" w:hAnsi="Arial" w:cs="Arial"/>
          <w:sz w:val="24"/>
          <w:szCs w:val="24"/>
        </w:rPr>
      </w:pPr>
      <w:r w:rsidRPr="007A5967">
        <w:rPr>
          <w:rFonts w:ascii="Arial" w:eastAsia="Times New Roman" w:hAnsi="Arial" w:cs="Arial"/>
          <w:noProof/>
          <w:sz w:val="24"/>
          <w:szCs w:val="24"/>
          <w:lang w:eastAsia="en-ZA"/>
        </w:rPr>
        <w:drawing>
          <wp:anchor distT="0" distB="0" distL="114300" distR="114300" simplePos="0" relativeHeight="251658240" behindDoc="1" locked="0" layoutInCell="1" allowOverlap="1" wp14:anchorId="7E997E7F" wp14:editId="6196C4BF">
            <wp:simplePos x="0" y="0"/>
            <wp:positionH relativeFrom="column">
              <wp:posOffset>2286000</wp:posOffset>
            </wp:positionH>
            <wp:positionV relativeFrom="paragraph">
              <wp:posOffset>-116958</wp:posOffset>
            </wp:positionV>
            <wp:extent cx="1350645" cy="13506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50645" cy="1350645"/>
                    </a:xfrm>
                    <a:prstGeom prst="rect">
                      <a:avLst/>
                    </a:prstGeom>
                    <a:noFill/>
                    <a:ln>
                      <a:noFill/>
                    </a:ln>
                  </pic:spPr>
                </pic:pic>
              </a:graphicData>
            </a:graphic>
          </wp:anchor>
        </w:drawing>
      </w:r>
    </w:p>
    <w:p w14:paraId="79A921D4" w14:textId="77777777" w:rsidR="009927A9" w:rsidRPr="007A5967" w:rsidRDefault="009927A9" w:rsidP="009927A9">
      <w:pPr>
        <w:spacing w:after="0" w:line="240" w:lineRule="auto"/>
        <w:jc w:val="center"/>
        <w:rPr>
          <w:rFonts w:ascii="Arial" w:eastAsia="Times New Roman" w:hAnsi="Arial" w:cs="Arial"/>
          <w:b/>
          <w:sz w:val="24"/>
          <w:szCs w:val="24"/>
        </w:rPr>
      </w:pPr>
    </w:p>
    <w:p w14:paraId="6883A824" w14:textId="77777777" w:rsidR="009927A9" w:rsidRPr="007A5967" w:rsidRDefault="009927A9" w:rsidP="009927A9">
      <w:pPr>
        <w:spacing w:after="240"/>
        <w:jc w:val="center"/>
        <w:rPr>
          <w:rFonts w:ascii="Arial" w:hAnsi="Arial" w:cs="Arial"/>
          <w:b/>
          <w:sz w:val="24"/>
          <w:szCs w:val="24"/>
        </w:rPr>
      </w:pPr>
    </w:p>
    <w:p w14:paraId="1DD65D19" w14:textId="77777777" w:rsidR="009927A9" w:rsidRPr="007A5967" w:rsidRDefault="009927A9" w:rsidP="009927A9">
      <w:pPr>
        <w:spacing w:after="240"/>
        <w:jc w:val="center"/>
        <w:rPr>
          <w:rFonts w:ascii="Arial" w:hAnsi="Arial" w:cs="Arial"/>
          <w:b/>
          <w:sz w:val="24"/>
          <w:szCs w:val="24"/>
        </w:rPr>
      </w:pPr>
    </w:p>
    <w:p w14:paraId="43BE50C3" w14:textId="77777777" w:rsidR="009927A9" w:rsidRPr="007A5967" w:rsidRDefault="009927A9" w:rsidP="009927A9">
      <w:pPr>
        <w:spacing w:before="240" w:after="240"/>
        <w:rPr>
          <w:rFonts w:ascii="Arial" w:hAnsi="Arial" w:cs="Arial"/>
          <w:b/>
          <w:sz w:val="24"/>
          <w:szCs w:val="24"/>
        </w:rPr>
      </w:pPr>
    </w:p>
    <w:p w14:paraId="772D2A05" w14:textId="77777777" w:rsidR="009927A9" w:rsidRPr="007A5967" w:rsidRDefault="009927A9" w:rsidP="009927A9">
      <w:pPr>
        <w:spacing w:after="0" w:line="240" w:lineRule="auto"/>
        <w:jc w:val="center"/>
        <w:rPr>
          <w:rFonts w:ascii="Arial" w:eastAsia="Times New Roman" w:hAnsi="Arial" w:cs="Arial"/>
          <w:b/>
          <w:sz w:val="24"/>
          <w:szCs w:val="24"/>
        </w:rPr>
      </w:pPr>
      <w:r w:rsidRPr="007A5967">
        <w:rPr>
          <w:rFonts w:ascii="Arial" w:eastAsia="Times New Roman" w:hAnsi="Arial" w:cs="Arial"/>
          <w:b/>
          <w:sz w:val="24"/>
          <w:szCs w:val="24"/>
        </w:rPr>
        <w:t>IN THE HIGH COURT OF SOUTH AFRICA</w:t>
      </w:r>
    </w:p>
    <w:p w14:paraId="1AB1F236" w14:textId="7644229D" w:rsidR="009927A9" w:rsidRPr="007A5967" w:rsidRDefault="009927A9" w:rsidP="009927A9">
      <w:pPr>
        <w:spacing w:after="0" w:line="240" w:lineRule="auto"/>
        <w:jc w:val="center"/>
        <w:rPr>
          <w:rFonts w:ascii="Arial" w:eastAsia="Times New Roman" w:hAnsi="Arial" w:cs="Arial"/>
          <w:b/>
          <w:sz w:val="24"/>
          <w:szCs w:val="24"/>
        </w:rPr>
      </w:pPr>
      <w:r w:rsidRPr="007A5967">
        <w:rPr>
          <w:rFonts w:ascii="Arial" w:eastAsia="Times New Roman" w:hAnsi="Arial" w:cs="Arial"/>
          <w:b/>
          <w:sz w:val="24"/>
          <w:szCs w:val="24"/>
        </w:rPr>
        <w:t xml:space="preserve">GAUTENG DIVISION, </w:t>
      </w:r>
      <w:r w:rsidR="00D6746A" w:rsidRPr="007A5967">
        <w:rPr>
          <w:rFonts w:ascii="Arial" w:eastAsia="Times New Roman" w:hAnsi="Arial" w:cs="Arial"/>
          <w:b/>
          <w:sz w:val="24"/>
          <w:szCs w:val="24"/>
        </w:rPr>
        <w:t>PRETORIA</w:t>
      </w:r>
    </w:p>
    <w:p w14:paraId="37A5C6C7" w14:textId="77777777" w:rsidR="009927A9" w:rsidRPr="007A5967" w:rsidRDefault="009927A9" w:rsidP="009927A9">
      <w:pPr>
        <w:spacing w:after="0" w:line="240" w:lineRule="auto"/>
        <w:rPr>
          <w:rFonts w:ascii="Arial" w:eastAsia="Times New Roman" w:hAnsi="Arial" w:cs="Arial"/>
          <w:sz w:val="24"/>
          <w:szCs w:val="24"/>
        </w:rPr>
      </w:pPr>
    </w:p>
    <w:p w14:paraId="45C33A3F" w14:textId="7522F251" w:rsidR="009927A9" w:rsidRPr="007A5967" w:rsidRDefault="009927A9" w:rsidP="00273963">
      <w:pPr>
        <w:tabs>
          <w:tab w:val="right" w:pos="9072"/>
        </w:tabs>
        <w:spacing w:after="0" w:line="240" w:lineRule="auto"/>
        <w:ind w:left="6663" w:right="6"/>
        <w:rPr>
          <w:rFonts w:ascii="Arial" w:eastAsia="Times New Roman" w:hAnsi="Arial" w:cs="Arial"/>
          <w:sz w:val="24"/>
          <w:szCs w:val="24"/>
        </w:rPr>
      </w:pPr>
      <w:r w:rsidRPr="007A5967">
        <w:rPr>
          <w:rFonts w:ascii="Arial" w:eastAsia="Times New Roman" w:hAnsi="Arial" w:cs="Arial"/>
          <w:b/>
          <w:bCs/>
          <w:sz w:val="24"/>
          <w:szCs w:val="24"/>
        </w:rPr>
        <w:t>CASE NO:</w:t>
      </w:r>
      <w:r w:rsidR="00273963" w:rsidRPr="007A5967">
        <w:rPr>
          <w:rFonts w:ascii="Arial" w:eastAsia="Times New Roman" w:hAnsi="Arial" w:cs="Arial"/>
          <w:bCs/>
          <w:sz w:val="24"/>
          <w:szCs w:val="24"/>
        </w:rPr>
        <w:tab/>
        <w:t>70192/17</w:t>
      </w:r>
    </w:p>
    <w:p w14:paraId="6D9E5408" w14:textId="53C08129" w:rsidR="009927A9" w:rsidRPr="007A5967" w:rsidRDefault="009927A9" w:rsidP="009927A9">
      <w:pPr>
        <w:tabs>
          <w:tab w:val="right" w:pos="9029"/>
        </w:tabs>
        <w:spacing w:after="0" w:line="240" w:lineRule="auto"/>
        <w:rPr>
          <w:rFonts w:ascii="Arial" w:eastAsia="Times New Roman" w:hAnsi="Arial" w:cs="Arial"/>
          <w:sz w:val="24"/>
          <w:szCs w:val="24"/>
        </w:rPr>
      </w:pPr>
      <w:r w:rsidRPr="007A5967">
        <w:rPr>
          <w:noProof/>
        </w:rPr>
        <mc:AlternateContent>
          <mc:Choice Requires="wps">
            <w:drawing>
              <wp:anchor distT="0" distB="0" distL="114300" distR="114300" simplePos="0" relativeHeight="251658241" behindDoc="0" locked="0" layoutInCell="1" allowOverlap="1" wp14:anchorId="2C147F93" wp14:editId="73CF6775">
                <wp:simplePos x="0" y="0"/>
                <wp:positionH relativeFrom="margin">
                  <wp:posOffset>-1</wp:posOffset>
                </wp:positionH>
                <wp:positionV relativeFrom="paragraph">
                  <wp:posOffset>19685</wp:posOffset>
                </wp:positionV>
                <wp:extent cx="3190875" cy="1228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28725"/>
                        </a:xfrm>
                        <a:prstGeom prst="rect">
                          <a:avLst/>
                        </a:prstGeom>
                        <a:solidFill>
                          <a:srgbClr val="FFFFFF"/>
                        </a:solidFill>
                        <a:ln w="12700">
                          <a:solidFill>
                            <a:schemeClr val="tx1"/>
                          </a:solidFill>
                          <a:miter lim="800000"/>
                          <a:headEnd/>
                          <a:tailEnd/>
                        </a:ln>
                      </wps:spPr>
                      <wps:txbx>
                        <w:txbxContent>
                          <w:p w14:paraId="3F671E01" w14:textId="429764AC" w:rsidR="009927A9" w:rsidRPr="00DE4ADE" w:rsidRDefault="00715A2A" w:rsidP="00715A2A">
                            <w:pPr>
                              <w:tabs>
                                <w:tab w:val="left" w:pos="720"/>
                              </w:tabs>
                              <w:spacing w:after="0" w:line="240" w:lineRule="auto"/>
                              <w:ind w:left="567" w:hanging="567"/>
                              <w:rPr>
                                <w:rFonts w:ascii="Arial" w:hAnsi="Arial" w:cs="Arial"/>
                                <w:sz w:val="20"/>
                              </w:rPr>
                            </w:pPr>
                            <w:r w:rsidRPr="00DE4ADE">
                              <w:rPr>
                                <w:rFonts w:ascii="Arial" w:hAnsi="Arial" w:cs="Arial"/>
                                <w:sz w:val="20"/>
                              </w:rPr>
                              <w:t>(1)</w:t>
                            </w:r>
                            <w:r w:rsidRPr="00DE4ADE">
                              <w:rPr>
                                <w:rFonts w:ascii="Arial" w:hAnsi="Arial" w:cs="Arial"/>
                                <w:sz w:val="20"/>
                              </w:rPr>
                              <w:tab/>
                            </w:r>
                            <w:r w:rsidR="009927A9" w:rsidRPr="00DE4ADE">
                              <w:rPr>
                                <w:rFonts w:ascii="Arial" w:hAnsi="Arial" w:cs="Arial"/>
                                <w:sz w:val="20"/>
                              </w:rPr>
                              <w:t xml:space="preserve">REPORTABLE: </w:t>
                            </w:r>
                            <w:r w:rsidR="00C30D2F">
                              <w:rPr>
                                <w:rFonts w:ascii="Arial" w:hAnsi="Arial" w:cs="Arial"/>
                                <w:sz w:val="20"/>
                              </w:rPr>
                              <w:t>YES</w:t>
                            </w:r>
                          </w:p>
                          <w:p w14:paraId="71F6F1BD" w14:textId="058E63CD" w:rsidR="009927A9" w:rsidRPr="00DE4ADE" w:rsidRDefault="00715A2A" w:rsidP="00715A2A">
                            <w:pPr>
                              <w:tabs>
                                <w:tab w:val="left" w:pos="720"/>
                              </w:tabs>
                              <w:spacing w:after="0" w:line="240" w:lineRule="auto"/>
                              <w:ind w:left="567" w:hanging="567"/>
                              <w:rPr>
                                <w:rFonts w:ascii="Arial" w:hAnsi="Arial" w:cs="Arial"/>
                                <w:sz w:val="20"/>
                              </w:rPr>
                            </w:pPr>
                            <w:r w:rsidRPr="00DE4ADE">
                              <w:rPr>
                                <w:rFonts w:ascii="Arial" w:hAnsi="Arial" w:cs="Arial"/>
                                <w:sz w:val="20"/>
                              </w:rPr>
                              <w:t>(2)</w:t>
                            </w:r>
                            <w:r w:rsidRPr="00DE4ADE">
                              <w:rPr>
                                <w:rFonts w:ascii="Arial" w:hAnsi="Arial" w:cs="Arial"/>
                                <w:sz w:val="20"/>
                              </w:rPr>
                              <w:tab/>
                            </w:r>
                            <w:r w:rsidR="009927A9" w:rsidRPr="00DE4ADE">
                              <w:rPr>
                                <w:rFonts w:ascii="Arial" w:hAnsi="Arial" w:cs="Arial"/>
                                <w:sz w:val="20"/>
                              </w:rPr>
                              <w:t xml:space="preserve">OF INTEREST TO OTHER JUDGES: </w:t>
                            </w:r>
                            <w:r w:rsidR="00C30D2F">
                              <w:rPr>
                                <w:rFonts w:ascii="Arial" w:hAnsi="Arial" w:cs="Arial"/>
                                <w:sz w:val="20"/>
                              </w:rPr>
                              <w:t>YES</w:t>
                            </w:r>
                          </w:p>
                          <w:p w14:paraId="33CB62DD" w14:textId="1306C3B3" w:rsidR="009927A9" w:rsidRPr="004047F6" w:rsidRDefault="00715A2A" w:rsidP="00715A2A">
                            <w:pPr>
                              <w:tabs>
                                <w:tab w:val="left" w:pos="720"/>
                              </w:tabs>
                              <w:spacing w:line="240" w:lineRule="auto"/>
                              <w:ind w:left="567" w:hanging="567"/>
                              <w:rPr>
                                <w:rFonts w:ascii="Arial" w:hAnsi="Arial" w:cs="Arial"/>
                                <w:sz w:val="20"/>
                              </w:rPr>
                            </w:pPr>
                            <w:r w:rsidRPr="004047F6">
                              <w:rPr>
                                <w:rFonts w:ascii="Arial" w:hAnsi="Arial" w:cs="Arial"/>
                                <w:sz w:val="20"/>
                              </w:rPr>
                              <w:t>(3)</w:t>
                            </w:r>
                            <w:r w:rsidRPr="004047F6">
                              <w:rPr>
                                <w:rFonts w:ascii="Arial" w:hAnsi="Arial" w:cs="Arial"/>
                                <w:sz w:val="20"/>
                              </w:rPr>
                              <w:tab/>
                            </w:r>
                            <w:r w:rsidR="009927A9" w:rsidRPr="00DE4ADE">
                              <w:rPr>
                                <w:rFonts w:ascii="Arial" w:hAnsi="Arial" w:cs="Arial"/>
                                <w:sz w:val="20"/>
                              </w:rPr>
                              <w:t xml:space="preserve">REVISED: </w:t>
                            </w:r>
                            <w:r w:rsidR="009927A9">
                              <w:rPr>
                                <w:rFonts w:ascii="Arial" w:hAnsi="Arial" w:cs="Arial"/>
                                <w:sz w:val="20"/>
                              </w:rPr>
                              <w:t>NO</w:t>
                            </w:r>
                          </w:p>
                          <w:p w14:paraId="1C9C99D8" w14:textId="0C7E297B" w:rsidR="009927A9" w:rsidRPr="002163D8" w:rsidRDefault="001C1F71" w:rsidP="00E8239A">
                            <w:pPr>
                              <w:tabs>
                                <w:tab w:val="left" w:pos="1985"/>
                              </w:tabs>
                              <w:spacing w:before="480" w:after="0"/>
                              <w:rPr>
                                <w:rFonts w:ascii="Arial" w:hAnsi="Arial" w:cs="Arial"/>
                                <w:bCs/>
                                <w:sz w:val="20"/>
                              </w:rPr>
                            </w:pPr>
                            <w:r w:rsidRPr="001C1F71">
                              <w:rPr>
                                <w:rFonts w:ascii="Arial" w:hAnsi="Arial" w:cs="Arial"/>
                                <w:bCs/>
                                <w:sz w:val="20"/>
                                <w:u w:val="single"/>
                              </w:rPr>
                              <w:t>15</w:t>
                            </w:r>
                            <w:r w:rsidR="00AE3CA9" w:rsidRPr="00ED25D1">
                              <w:rPr>
                                <w:rFonts w:ascii="Arial" w:hAnsi="Arial" w:cs="Arial"/>
                                <w:bCs/>
                                <w:sz w:val="20"/>
                                <w:u w:val="single"/>
                              </w:rPr>
                              <w:t xml:space="preserve"> </w:t>
                            </w:r>
                            <w:r w:rsidR="00E83BE4">
                              <w:rPr>
                                <w:rFonts w:ascii="Arial" w:hAnsi="Arial" w:cs="Arial"/>
                                <w:bCs/>
                                <w:sz w:val="20"/>
                                <w:u w:val="single"/>
                              </w:rPr>
                              <w:t>April</w:t>
                            </w:r>
                            <w:r w:rsidR="00E8239A">
                              <w:rPr>
                                <w:rFonts w:ascii="Arial" w:hAnsi="Arial" w:cs="Arial"/>
                                <w:bCs/>
                                <w:sz w:val="20"/>
                                <w:u w:val="single"/>
                              </w:rPr>
                              <w:t xml:space="preserve"> </w:t>
                            </w:r>
                            <w:r w:rsidR="00AE3CA9" w:rsidRPr="00AE3CA9">
                              <w:rPr>
                                <w:rFonts w:ascii="Arial" w:hAnsi="Arial" w:cs="Arial"/>
                                <w:bCs/>
                                <w:sz w:val="20"/>
                                <w:u w:val="single"/>
                              </w:rPr>
                              <w:t>2024</w:t>
                            </w:r>
                            <w:r w:rsidR="00AE3CA9" w:rsidRPr="00AE3CA9">
                              <w:rPr>
                                <w:rFonts w:ascii="Arial" w:hAnsi="Arial" w:cs="Arial"/>
                                <w:bCs/>
                                <w:sz w:val="20"/>
                                <w:u w:val="single"/>
                              </w:rPr>
                              <w:tab/>
                            </w:r>
                            <w:r w:rsidR="009927A9" w:rsidRPr="002163D8">
                              <w:rPr>
                                <w:rFonts w:ascii="Arial" w:hAnsi="Arial" w:cs="Arial"/>
                                <w:bCs/>
                                <w:sz w:val="20"/>
                              </w:rPr>
                              <w:tab/>
                              <w:t xml:space="preserve"> </w:t>
                            </w:r>
                            <w:r w:rsidR="00E8239A" w:rsidRPr="00E8239A">
                              <w:rPr>
                                <w:rFonts w:ascii="Arial" w:hAnsi="Arial" w:cs="Arial"/>
                                <w:bCs/>
                                <w:sz w:val="20"/>
                                <w:u w:val="single"/>
                              </w:rPr>
                              <w:tab/>
                            </w:r>
                            <w:r w:rsidR="00E8239A" w:rsidRPr="00E8239A">
                              <w:rPr>
                                <w:rFonts w:ascii="Arial" w:hAnsi="Arial" w:cs="Arial"/>
                                <w:bCs/>
                                <w:sz w:val="20"/>
                                <w:u w:val="single"/>
                              </w:rPr>
                              <w:tab/>
                            </w:r>
                            <w:r w:rsidR="00E8239A" w:rsidRPr="00E8239A">
                              <w:rPr>
                                <w:rFonts w:ascii="Arial" w:hAnsi="Arial" w:cs="Arial"/>
                                <w:bCs/>
                                <w:sz w:val="20"/>
                                <w:u w:val="single"/>
                              </w:rPr>
                              <w:tab/>
                            </w:r>
                          </w:p>
                          <w:p w14:paraId="3EC6B9FA" w14:textId="77777777" w:rsidR="009927A9" w:rsidRPr="00DE4ADE" w:rsidRDefault="009927A9" w:rsidP="009927A9">
                            <w:pPr>
                              <w:rPr>
                                <w:rFonts w:ascii="Arial" w:hAnsi="Arial" w:cs="Arial"/>
                                <w:sz w:val="20"/>
                              </w:rPr>
                            </w:pPr>
                            <w:r w:rsidRPr="00DE4ADE">
                              <w:rPr>
                                <w:rFonts w:ascii="Arial" w:hAnsi="Arial" w:cs="Arial"/>
                                <w:sz w:val="20"/>
                              </w:rPr>
                              <w:t>DATE</w:t>
                            </w:r>
                            <w:r w:rsidRPr="00DE4ADE">
                              <w:rPr>
                                <w:rFonts w:ascii="Arial" w:hAnsi="Arial" w:cs="Arial"/>
                                <w:sz w:val="20"/>
                              </w:rPr>
                              <w:tab/>
                            </w:r>
                            <w:r w:rsidRPr="00DE4ADE">
                              <w:rPr>
                                <w:rFonts w:ascii="Arial" w:hAnsi="Arial" w:cs="Arial"/>
                                <w:sz w:val="20"/>
                              </w:rPr>
                              <w:tab/>
                              <w:t xml:space="preserve"> </w:t>
                            </w:r>
                            <w:r>
                              <w:rPr>
                                <w:rFonts w:ascii="Arial" w:hAnsi="Arial" w:cs="Arial"/>
                                <w:sz w:val="20"/>
                              </w:rPr>
                              <w:t xml:space="preserve">             </w:t>
                            </w:r>
                            <w:r w:rsidRPr="00DE4ADE">
                              <w:rPr>
                                <w:rFonts w:ascii="Arial" w:hAnsi="Arial" w:cs="Arial"/>
                                <w:sz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47F93" id="_x0000_t202" coordsize="21600,21600" o:spt="202" path="m,l,21600r21600,l21600,xe">
                <v:stroke joinstyle="miter"/>
                <v:path gradientshapeok="t" o:connecttype="rect"/>
              </v:shapetype>
              <v:shape id="Text Box 2" o:spid="_x0000_s1026" type="#_x0000_t202" style="position:absolute;margin-left:0;margin-top:1.55pt;width:251.25pt;height:9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" strokecolor="black [3213]" strokeweight="1pt">
                <v:textbox>
                  <w:txbxContent>
                    <w:p w14:paraId="3F671E01" w14:textId="429764AC" w:rsidR="009927A9" w:rsidRPr="00DE4ADE" w:rsidRDefault="00715A2A" w:rsidP="00715A2A">
                      <w:pPr>
                        <w:tabs>
                          <w:tab w:val="left" w:pos="720"/>
                        </w:tabs>
                        <w:spacing w:after="0" w:line="240" w:lineRule="auto"/>
                        <w:ind w:left="567" w:hanging="567"/>
                        <w:rPr>
                          <w:rFonts w:ascii="Arial" w:hAnsi="Arial" w:cs="Arial"/>
                          <w:sz w:val="20"/>
                        </w:rPr>
                      </w:pPr>
                      <w:r w:rsidRPr="00DE4ADE">
                        <w:rPr>
                          <w:rFonts w:ascii="Arial" w:hAnsi="Arial" w:cs="Arial"/>
                          <w:sz w:val="20"/>
                        </w:rPr>
                        <w:t>(1)</w:t>
                      </w:r>
                      <w:r w:rsidRPr="00DE4ADE">
                        <w:rPr>
                          <w:rFonts w:ascii="Arial" w:hAnsi="Arial" w:cs="Arial"/>
                          <w:sz w:val="20"/>
                        </w:rPr>
                        <w:tab/>
                      </w:r>
                      <w:r w:rsidR="009927A9" w:rsidRPr="00DE4ADE">
                        <w:rPr>
                          <w:rFonts w:ascii="Arial" w:hAnsi="Arial" w:cs="Arial"/>
                          <w:sz w:val="20"/>
                        </w:rPr>
                        <w:t xml:space="preserve">REPORTABLE: </w:t>
                      </w:r>
                      <w:r w:rsidR="00C30D2F">
                        <w:rPr>
                          <w:rFonts w:ascii="Arial" w:hAnsi="Arial" w:cs="Arial"/>
                          <w:sz w:val="20"/>
                        </w:rPr>
                        <w:t>YES</w:t>
                      </w:r>
                    </w:p>
                    <w:p w14:paraId="71F6F1BD" w14:textId="058E63CD" w:rsidR="009927A9" w:rsidRPr="00DE4ADE" w:rsidRDefault="00715A2A" w:rsidP="00715A2A">
                      <w:pPr>
                        <w:tabs>
                          <w:tab w:val="left" w:pos="720"/>
                        </w:tabs>
                        <w:spacing w:after="0" w:line="240" w:lineRule="auto"/>
                        <w:ind w:left="567" w:hanging="567"/>
                        <w:rPr>
                          <w:rFonts w:ascii="Arial" w:hAnsi="Arial" w:cs="Arial"/>
                          <w:sz w:val="20"/>
                        </w:rPr>
                      </w:pPr>
                      <w:r w:rsidRPr="00DE4ADE">
                        <w:rPr>
                          <w:rFonts w:ascii="Arial" w:hAnsi="Arial" w:cs="Arial"/>
                          <w:sz w:val="20"/>
                        </w:rPr>
                        <w:t>(2)</w:t>
                      </w:r>
                      <w:r w:rsidRPr="00DE4ADE">
                        <w:rPr>
                          <w:rFonts w:ascii="Arial" w:hAnsi="Arial" w:cs="Arial"/>
                          <w:sz w:val="20"/>
                        </w:rPr>
                        <w:tab/>
                      </w:r>
                      <w:r w:rsidR="009927A9" w:rsidRPr="00DE4ADE">
                        <w:rPr>
                          <w:rFonts w:ascii="Arial" w:hAnsi="Arial" w:cs="Arial"/>
                          <w:sz w:val="20"/>
                        </w:rPr>
                        <w:t xml:space="preserve">OF INTEREST TO OTHER JUDGES: </w:t>
                      </w:r>
                      <w:r w:rsidR="00C30D2F">
                        <w:rPr>
                          <w:rFonts w:ascii="Arial" w:hAnsi="Arial" w:cs="Arial"/>
                          <w:sz w:val="20"/>
                        </w:rPr>
                        <w:t>YES</w:t>
                      </w:r>
                    </w:p>
                    <w:p w14:paraId="33CB62DD" w14:textId="1306C3B3" w:rsidR="009927A9" w:rsidRPr="004047F6" w:rsidRDefault="00715A2A" w:rsidP="00715A2A">
                      <w:pPr>
                        <w:tabs>
                          <w:tab w:val="left" w:pos="720"/>
                        </w:tabs>
                        <w:spacing w:line="240" w:lineRule="auto"/>
                        <w:ind w:left="567" w:hanging="567"/>
                        <w:rPr>
                          <w:rFonts w:ascii="Arial" w:hAnsi="Arial" w:cs="Arial"/>
                          <w:sz w:val="20"/>
                        </w:rPr>
                      </w:pPr>
                      <w:r w:rsidRPr="004047F6">
                        <w:rPr>
                          <w:rFonts w:ascii="Arial" w:hAnsi="Arial" w:cs="Arial"/>
                          <w:sz w:val="20"/>
                        </w:rPr>
                        <w:t>(3)</w:t>
                      </w:r>
                      <w:r w:rsidRPr="004047F6">
                        <w:rPr>
                          <w:rFonts w:ascii="Arial" w:hAnsi="Arial" w:cs="Arial"/>
                          <w:sz w:val="20"/>
                        </w:rPr>
                        <w:tab/>
                      </w:r>
                      <w:r w:rsidR="009927A9" w:rsidRPr="00DE4ADE">
                        <w:rPr>
                          <w:rFonts w:ascii="Arial" w:hAnsi="Arial" w:cs="Arial"/>
                          <w:sz w:val="20"/>
                        </w:rPr>
                        <w:t xml:space="preserve">REVISED: </w:t>
                      </w:r>
                      <w:r w:rsidR="009927A9">
                        <w:rPr>
                          <w:rFonts w:ascii="Arial" w:hAnsi="Arial" w:cs="Arial"/>
                          <w:sz w:val="20"/>
                        </w:rPr>
                        <w:t>NO</w:t>
                      </w:r>
                    </w:p>
                    <w:p w14:paraId="1C9C99D8" w14:textId="0C7E297B" w:rsidR="009927A9" w:rsidRPr="002163D8" w:rsidRDefault="001C1F71" w:rsidP="00E8239A">
                      <w:pPr>
                        <w:tabs>
                          <w:tab w:val="left" w:pos="1985"/>
                        </w:tabs>
                        <w:spacing w:before="480" w:after="0"/>
                        <w:rPr>
                          <w:rFonts w:ascii="Arial" w:hAnsi="Arial" w:cs="Arial"/>
                          <w:bCs/>
                          <w:sz w:val="20"/>
                        </w:rPr>
                      </w:pPr>
                      <w:r w:rsidRPr="001C1F71">
                        <w:rPr>
                          <w:rFonts w:ascii="Arial" w:hAnsi="Arial" w:cs="Arial"/>
                          <w:bCs/>
                          <w:sz w:val="20"/>
                          <w:u w:val="single"/>
                        </w:rPr>
                        <w:t>15</w:t>
                      </w:r>
                      <w:r w:rsidR="00AE3CA9" w:rsidRPr="00ED25D1">
                        <w:rPr>
                          <w:rFonts w:ascii="Arial" w:hAnsi="Arial" w:cs="Arial"/>
                          <w:bCs/>
                          <w:sz w:val="20"/>
                          <w:u w:val="single"/>
                        </w:rPr>
                        <w:t xml:space="preserve"> </w:t>
                      </w:r>
                      <w:r w:rsidR="00E83BE4">
                        <w:rPr>
                          <w:rFonts w:ascii="Arial" w:hAnsi="Arial" w:cs="Arial"/>
                          <w:bCs/>
                          <w:sz w:val="20"/>
                          <w:u w:val="single"/>
                        </w:rPr>
                        <w:t>April</w:t>
                      </w:r>
                      <w:r w:rsidR="00E8239A">
                        <w:rPr>
                          <w:rFonts w:ascii="Arial" w:hAnsi="Arial" w:cs="Arial"/>
                          <w:bCs/>
                          <w:sz w:val="20"/>
                          <w:u w:val="single"/>
                        </w:rPr>
                        <w:t xml:space="preserve"> </w:t>
                      </w:r>
                      <w:r w:rsidR="00AE3CA9" w:rsidRPr="00AE3CA9">
                        <w:rPr>
                          <w:rFonts w:ascii="Arial" w:hAnsi="Arial" w:cs="Arial"/>
                          <w:bCs/>
                          <w:sz w:val="20"/>
                          <w:u w:val="single"/>
                        </w:rPr>
                        <w:t>2024</w:t>
                      </w:r>
                      <w:r w:rsidR="00AE3CA9" w:rsidRPr="00AE3CA9">
                        <w:rPr>
                          <w:rFonts w:ascii="Arial" w:hAnsi="Arial" w:cs="Arial"/>
                          <w:bCs/>
                          <w:sz w:val="20"/>
                          <w:u w:val="single"/>
                        </w:rPr>
                        <w:tab/>
                      </w:r>
                      <w:r w:rsidR="009927A9" w:rsidRPr="002163D8">
                        <w:rPr>
                          <w:rFonts w:ascii="Arial" w:hAnsi="Arial" w:cs="Arial"/>
                          <w:bCs/>
                          <w:sz w:val="20"/>
                        </w:rPr>
                        <w:tab/>
                        <w:t xml:space="preserve"> </w:t>
                      </w:r>
                      <w:r w:rsidR="00E8239A" w:rsidRPr="00E8239A">
                        <w:rPr>
                          <w:rFonts w:ascii="Arial" w:hAnsi="Arial" w:cs="Arial"/>
                          <w:bCs/>
                          <w:sz w:val="20"/>
                          <w:u w:val="single"/>
                        </w:rPr>
                        <w:tab/>
                      </w:r>
                      <w:r w:rsidR="00E8239A" w:rsidRPr="00E8239A">
                        <w:rPr>
                          <w:rFonts w:ascii="Arial" w:hAnsi="Arial" w:cs="Arial"/>
                          <w:bCs/>
                          <w:sz w:val="20"/>
                          <w:u w:val="single"/>
                        </w:rPr>
                        <w:tab/>
                      </w:r>
                      <w:r w:rsidR="00E8239A" w:rsidRPr="00E8239A">
                        <w:rPr>
                          <w:rFonts w:ascii="Arial" w:hAnsi="Arial" w:cs="Arial"/>
                          <w:bCs/>
                          <w:sz w:val="20"/>
                          <w:u w:val="single"/>
                        </w:rPr>
                        <w:tab/>
                      </w:r>
                    </w:p>
                    <w:p w14:paraId="3EC6B9FA" w14:textId="77777777" w:rsidR="009927A9" w:rsidRPr="00DE4ADE" w:rsidRDefault="009927A9" w:rsidP="009927A9">
                      <w:pPr>
                        <w:rPr>
                          <w:rFonts w:ascii="Arial" w:hAnsi="Arial" w:cs="Arial"/>
                          <w:sz w:val="20"/>
                        </w:rPr>
                      </w:pPr>
                      <w:r w:rsidRPr="00DE4ADE">
                        <w:rPr>
                          <w:rFonts w:ascii="Arial" w:hAnsi="Arial" w:cs="Arial"/>
                          <w:sz w:val="20"/>
                        </w:rPr>
                        <w:t>DATE</w:t>
                      </w:r>
                      <w:r w:rsidRPr="00DE4ADE">
                        <w:rPr>
                          <w:rFonts w:ascii="Arial" w:hAnsi="Arial" w:cs="Arial"/>
                          <w:sz w:val="20"/>
                        </w:rPr>
                        <w:tab/>
                      </w:r>
                      <w:r w:rsidRPr="00DE4ADE">
                        <w:rPr>
                          <w:rFonts w:ascii="Arial" w:hAnsi="Arial" w:cs="Arial"/>
                          <w:sz w:val="20"/>
                        </w:rPr>
                        <w:tab/>
                        <w:t xml:space="preserve"> </w:t>
                      </w:r>
                      <w:r>
                        <w:rPr>
                          <w:rFonts w:ascii="Arial" w:hAnsi="Arial" w:cs="Arial"/>
                          <w:sz w:val="20"/>
                        </w:rPr>
                        <w:t xml:space="preserve">             </w:t>
                      </w:r>
                      <w:r w:rsidRPr="00DE4ADE">
                        <w:rPr>
                          <w:rFonts w:ascii="Arial" w:hAnsi="Arial" w:cs="Arial"/>
                          <w:sz w:val="20"/>
                        </w:rPr>
                        <w:t>SIGNATURE</w:t>
                      </w:r>
                    </w:p>
                  </w:txbxContent>
                </v:textbox>
                <w10:wrap anchorx="margin"/>
              </v:shape>
            </w:pict>
          </mc:Fallback>
        </mc:AlternateContent>
      </w:r>
    </w:p>
    <w:p w14:paraId="6E0AAC3E" w14:textId="77777777" w:rsidR="009927A9" w:rsidRPr="007A5967" w:rsidRDefault="009927A9" w:rsidP="009927A9">
      <w:pPr>
        <w:tabs>
          <w:tab w:val="left" w:pos="8998"/>
        </w:tabs>
        <w:spacing w:after="0" w:line="240" w:lineRule="auto"/>
        <w:rPr>
          <w:rFonts w:ascii="Arial" w:eastAsia="Times New Roman" w:hAnsi="Arial" w:cs="Arial"/>
          <w:sz w:val="24"/>
          <w:szCs w:val="24"/>
        </w:rPr>
      </w:pPr>
    </w:p>
    <w:p w14:paraId="2A7EB1BF" w14:textId="77777777" w:rsidR="009927A9" w:rsidRPr="007A5967" w:rsidRDefault="009927A9" w:rsidP="009927A9">
      <w:pPr>
        <w:tabs>
          <w:tab w:val="left" w:pos="8998"/>
        </w:tabs>
        <w:spacing w:after="0" w:line="240" w:lineRule="auto"/>
        <w:rPr>
          <w:rFonts w:ascii="Arial" w:eastAsia="Times New Roman" w:hAnsi="Arial" w:cs="Arial"/>
          <w:sz w:val="24"/>
          <w:szCs w:val="24"/>
        </w:rPr>
      </w:pPr>
    </w:p>
    <w:p w14:paraId="5975C387" w14:textId="77777777" w:rsidR="009927A9" w:rsidRPr="007A5967" w:rsidRDefault="009927A9" w:rsidP="009927A9">
      <w:pPr>
        <w:tabs>
          <w:tab w:val="left" w:pos="8998"/>
        </w:tabs>
        <w:spacing w:after="0" w:line="240" w:lineRule="auto"/>
        <w:rPr>
          <w:rFonts w:ascii="Arial" w:eastAsia="Times New Roman" w:hAnsi="Arial" w:cs="Arial"/>
          <w:sz w:val="24"/>
          <w:szCs w:val="24"/>
        </w:rPr>
      </w:pPr>
      <w:r w:rsidRPr="007A5967">
        <w:rPr>
          <w:rFonts w:ascii="Arial" w:eastAsia="Times New Roman" w:hAnsi="Arial" w:cs="Arial"/>
          <w:sz w:val="24"/>
          <w:szCs w:val="24"/>
        </w:rPr>
        <w:t>In the matter between:</w:t>
      </w:r>
    </w:p>
    <w:p w14:paraId="15DAF567" w14:textId="77777777" w:rsidR="009927A9" w:rsidRPr="007A5967" w:rsidRDefault="009927A9" w:rsidP="009927A9">
      <w:pPr>
        <w:tabs>
          <w:tab w:val="right" w:pos="9029"/>
        </w:tabs>
        <w:spacing w:after="0" w:line="240" w:lineRule="auto"/>
        <w:rPr>
          <w:rFonts w:ascii="Arial" w:eastAsia="Times New Roman" w:hAnsi="Arial" w:cs="Arial"/>
          <w:sz w:val="24"/>
          <w:szCs w:val="24"/>
        </w:rPr>
      </w:pPr>
    </w:p>
    <w:p w14:paraId="0C051E5A" w14:textId="77777777" w:rsidR="009927A9" w:rsidRPr="007A5967" w:rsidRDefault="009927A9" w:rsidP="009927A9">
      <w:pPr>
        <w:tabs>
          <w:tab w:val="right" w:pos="9029"/>
        </w:tabs>
        <w:spacing w:after="0" w:line="240" w:lineRule="auto"/>
        <w:rPr>
          <w:rFonts w:ascii="Arial" w:eastAsia="Times New Roman" w:hAnsi="Arial" w:cs="Arial"/>
          <w:sz w:val="24"/>
          <w:szCs w:val="24"/>
        </w:rPr>
      </w:pPr>
    </w:p>
    <w:p w14:paraId="3B6A236F" w14:textId="77777777" w:rsidR="009927A9" w:rsidRPr="007A5967" w:rsidRDefault="009927A9" w:rsidP="009927A9">
      <w:pPr>
        <w:tabs>
          <w:tab w:val="right" w:pos="9029"/>
        </w:tabs>
        <w:spacing w:after="0" w:line="240" w:lineRule="auto"/>
        <w:contextualSpacing/>
        <w:rPr>
          <w:rFonts w:ascii="Arial" w:eastAsia="Times New Roman" w:hAnsi="Arial" w:cs="Arial"/>
          <w:b/>
          <w:sz w:val="24"/>
          <w:szCs w:val="24"/>
        </w:rPr>
      </w:pPr>
    </w:p>
    <w:p w14:paraId="71DE30C3" w14:textId="77777777" w:rsidR="009927A9" w:rsidRPr="007A5967" w:rsidRDefault="009927A9" w:rsidP="009927A9">
      <w:pPr>
        <w:tabs>
          <w:tab w:val="right" w:pos="9029"/>
        </w:tabs>
        <w:spacing w:after="0" w:line="240" w:lineRule="auto"/>
        <w:contextualSpacing/>
        <w:rPr>
          <w:rFonts w:ascii="Arial" w:eastAsia="Times New Roman" w:hAnsi="Arial" w:cs="Arial"/>
          <w:b/>
          <w:sz w:val="24"/>
          <w:szCs w:val="24"/>
        </w:rPr>
      </w:pPr>
    </w:p>
    <w:p w14:paraId="7401A811" w14:textId="77777777" w:rsidR="009927A9" w:rsidRPr="007A5967" w:rsidRDefault="009927A9" w:rsidP="003D7D14">
      <w:pPr>
        <w:tabs>
          <w:tab w:val="right" w:pos="9029"/>
        </w:tabs>
        <w:spacing w:after="0" w:line="240" w:lineRule="auto"/>
        <w:contextualSpacing/>
        <w:rPr>
          <w:rFonts w:ascii="Arial" w:hAnsi="Arial" w:cs="Arial"/>
          <w:sz w:val="24"/>
          <w:szCs w:val="24"/>
        </w:rPr>
      </w:pPr>
      <w:r w:rsidRPr="007A5967">
        <w:rPr>
          <w:rFonts w:ascii="Arial" w:hAnsi="Arial" w:cs="Arial"/>
          <w:sz w:val="24"/>
          <w:szCs w:val="24"/>
        </w:rPr>
        <w:t>In the matter between:</w:t>
      </w:r>
    </w:p>
    <w:p w14:paraId="3E9ABFAF" w14:textId="77777777" w:rsidR="00273963" w:rsidRPr="007A5967" w:rsidRDefault="00273963" w:rsidP="00273963">
      <w:pPr>
        <w:tabs>
          <w:tab w:val="right" w:pos="9029"/>
        </w:tabs>
        <w:spacing w:before="240" w:after="0" w:line="240" w:lineRule="auto"/>
        <w:rPr>
          <w:rFonts w:ascii="Arial" w:hAnsi="Arial" w:cs="Arial"/>
          <w:sz w:val="24"/>
          <w:szCs w:val="24"/>
        </w:rPr>
      </w:pPr>
      <w:r w:rsidRPr="007A5967">
        <w:rPr>
          <w:rFonts w:ascii="Arial" w:hAnsi="Arial" w:cs="Arial"/>
          <w:b/>
          <w:bCs/>
          <w:sz w:val="24"/>
          <w:szCs w:val="24"/>
        </w:rPr>
        <w:t>XOLANI NZUZA</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First </w:t>
      </w:r>
      <w:r w:rsidRPr="007A5967">
        <w:rPr>
          <w:rFonts w:ascii="Arial" w:hAnsi="Arial" w:cs="Arial"/>
          <w:sz w:val="24"/>
          <w:szCs w:val="24"/>
        </w:rPr>
        <w:t>Applicant</w:t>
      </w:r>
    </w:p>
    <w:p w14:paraId="51B860E8" w14:textId="77777777" w:rsidR="00273963" w:rsidRPr="007A5967" w:rsidRDefault="00273963" w:rsidP="003952B2">
      <w:pPr>
        <w:pStyle w:val="Judgmentbetweenparagraphs"/>
      </w:pPr>
    </w:p>
    <w:p w14:paraId="296A974C"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ANELE ZONKE</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Second </w:t>
      </w:r>
      <w:r w:rsidRPr="007A5967">
        <w:rPr>
          <w:rFonts w:ascii="Arial" w:hAnsi="Arial" w:cs="Arial"/>
          <w:sz w:val="24"/>
          <w:szCs w:val="24"/>
        </w:rPr>
        <w:t>Applicant</w:t>
      </w:r>
    </w:p>
    <w:p w14:paraId="793B117A" w14:textId="77777777" w:rsidR="00273963" w:rsidRPr="007A5967" w:rsidRDefault="00273963" w:rsidP="003952B2">
      <w:pPr>
        <w:pStyle w:val="Judgmentbetweenparagraphs"/>
      </w:pPr>
    </w:p>
    <w:p w14:paraId="6A1A7179"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SIMPHIWE BOOI</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Third </w:t>
      </w:r>
      <w:r w:rsidRPr="007A5967">
        <w:rPr>
          <w:rFonts w:ascii="Arial" w:hAnsi="Arial" w:cs="Arial"/>
          <w:sz w:val="24"/>
          <w:szCs w:val="24"/>
        </w:rPr>
        <w:t>Applicant</w:t>
      </w:r>
    </w:p>
    <w:p w14:paraId="13802E6A" w14:textId="69A93E8F" w:rsidR="00273963" w:rsidRPr="007A5967" w:rsidRDefault="00273963" w:rsidP="003952B2">
      <w:pPr>
        <w:pStyle w:val="Judgmentbetweenparagraphs"/>
      </w:pPr>
    </w:p>
    <w:p w14:paraId="37814ADC"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KHANYILE KAHYISE</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Fourth </w:t>
      </w:r>
      <w:r w:rsidRPr="007A5967">
        <w:rPr>
          <w:rFonts w:ascii="Arial" w:hAnsi="Arial" w:cs="Arial"/>
          <w:sz w:val="24"/>
          <w:szCs w:val="24"/>
        </w:rPr>
        <w:t>Applicant</w:t>
      </w:r>
    </w:p>
    <w:p w14:paraId="7621B628" w14:textId="77777777" w:rsidR="00273963" w:rsidRPr="007A5967" w:rsidRDefault="00273963" w:rsidP="003952B2">
      <w:pPr>
        <w:pStyle w:val="Judgmentbetweenparagraphs"/>
      </w:pPr>
    </w:p>
    <w:p w14:paraId="06560D61"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MZOXOLO MAGIDIWANA</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Fifth </w:t>
      </w:r>
      <w:r w:rsidRPr="007A5967">
        <w:rPr>
          <w:rFonts w:ascii="Arial" w:hAnsi="Arial" w:cs="Arial"/>
          <w:sz w:val="24"/>
          <w:szCs w:val="24"/>
        </w:rPr>
        <w:t>Applicant</w:t>
      </w:r>
    </w:p>
    <w:p w14:paraId="2E4BE4A2" w14:textId="77777777" w:rsidR="00273963" w:rsidRPr="007A5967" w:rsidRDefault="00273963" w:rsidP="003952B2">
      <w:pPr>
        <w:pStyle w:val="Judgmentbetweenparagraphs"/>
      </w:pPr>
    </w:p>
    <w:p w14:paraId="308EDCA4"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THOLAKELE DLUNGA</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Sixth </w:t>
      </w:r>
      <w:r w:rsidRPr="007A5967">
        <w:rPr>
          <w:rFonts w:ascii="Arial" w:hAnsi="Arial" w:cs="Arial"/>
          <w:sz w:val="24"/>
          <w:szCs w:val="24"/>
        </w:rPr>
        <w:t>Applicant</w:t>
      </w:r>
    </w:p>
    <w:p w14:paraId="73B3457C" w14:textId="77777777" w:rsidR="00273963" w:rsidRPr="007A5967" w:rsidRDefault="00273963" w:rsidP="003952B2">
      <w:pPr>
        <w:pStyle w:val="Judgmentbetweenparagraphs"/>
      </w:pPr>
    </w:p>
    <w:p w14:paraId="3F7D91F2"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SAMKELO MKHIZE</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Seventh </w:t>
      </w:r>
      <w:r w:rsidRPr="007A5967">
        <w:rPr>
          <w:rFonts w:ascii="Arial" w:hAnsi="Arial" w:cs="Arial"/>
          <w:sz w:val="24"/>
          <w:szCs w:val="24"/>
        </w:rPr>
        <w:t>Applicant</w:t>
      </w:r>
    </w:p>
    <w:p w14:paraId="4F54B9F8" w14:textId="77777777" w:rsidR="00273963" w:rsidRPr="007A5967" w:rsidRDefault="00273963" w:rsidP="003952B2">
      <w:pPr>
        <w:pStyle w:val="Judgmentbetweenparagraphs"/>
      </w:pPr>
    </w:p>
    <w:p w14:paraId="006F3CC2"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AMANDA NOGWAZA</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Eighth </w:t>
      </w:r>
      <w:r w:rsidRPr="007A5967">
        <w:rPr>
          <w:rFonts w:ascii="Arial" w:hAnsi="Arial" w:cs="Arial"/>
          <w:sz w:val="24"/>
          <w:szCs w:val="24"/>
        </w:rPr>
        <w:t>Applicant</w:t>
      </w:r>
    </w:p>
    <w:p w14:paraId="467A93E6" w14:textId="77777777" w:rsidR="00273963" w:rsidRPr="007A5967" w:rsidRDefault="00273963" w:rsidP="003952B2">
      <w:pPr>
        <w:pStyle w:val="Judgmentbetweenparagraphs"/>
      </w:pPr>
    </w:p>
    <w:p w14:paraId="6788CBF3"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THOBILE TYOBENI</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Ninth </w:t>
      </w:r>
      <w:r w:rsidRPr="007A5967">
        <w:rPr>
          <w:rFonts w:ascii="Arial" w:hAnsi="Arial" w:cs="Arial"/>
          <w:sz w:val="24"/>
          <w:szCs w:val="24"/>
        </w:rPr>
        <w:t>Applicant</w:t>
      </w:r>
    </w:p>
    <w:p w14:paraId="06051614" w14:textId="77777777" w:rsidR="00273963" w:rsidRPr="007A5967" w:rsidRDefault="00273963" w:rsidP="003952B2">
      <w:pPr>
        <w:pStyle w:val="Judgmentbetweenparagraphs"/>
      </w:pPr>
    </w:p>
    <w:p w14:paraId="0C2CA6DB"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MAJEKE NONKONYANA</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Tenth </w:t>
      </w:r>
      <w:r w:rsidRPr="007A5967">
        <w:rPr>
          <w:rFonts w:ascii="Arial" w:hAnsi="Arial" w:cs="Arial"/>
          <w:sz w:val="24"/>
          <w:szCs w:val="24"/>
        </w:rPr>
        <w:t>Applicant</w:t>
      </w:r>
    </w:p>
    <w:p w14:paraId="2809CBC5" w14:textId="77777777" w:rsidR="00273963" w:rsidRPr="007A5967" w:rsidRDefault="00273963" w:rsidP="003952B2">
      <w:pPr>
        <w:pStyle w:val="Judgmentbetweenparagraphs"/>
      </w:pPr>
    </w:p>
    <w:p w14:paraId="1ADAFE7D"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MZUKISI SOYINI</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Eleventh </w:t>
      </w:r>
      <w:r w:rsidRPr="007A5967">
        <w:rPr>
          <w:rFonts w:ascii="Arial" w:hAnsi="Arial" w:cs="Arial"/>
          <w:sz w:val="24"/>
          <w:szCs w:val="24"/>
        </w:rPr>
        <w:t>Applicant</w:t>
      </w:r>
    </w:p>
    <w:p w14:paraId="5E61C48B" w14:textId="77777777" w:rsidR="00273963" w:rsidRPr="007A5967" w:rsidRDefault="00273963" w:rsidP="003952B2">
      <w:pPr>
        <w:pStyle w:val="Judgmentbetweenparagraphs"/>
      </w:pPr>
    </w:p>
    <w:p w14:paraId="67BDFF1B"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BONGILE MPOTYE</w:t>
      </w:r>
      <w:r w:rsidRPr="007A5967">
        <w:rPr>
          <w:rFonts w:ascii="Arial" w:eastAsia="Times New Roman" w:hAnsi="Arial" w:cs="Arial"/>
          <w:b/>
          <w:sz w:val="24"/>
          <w:szCs w:val="24"/>
        </w:rPr>
        <w:tab/>
      </w:r>
      <w:r w:rsidRPr="007A5967">
        <w:rPr>
          <w:rFonts w:ascii="Arial" w:eastAsia="Times New Roman" w:hAnsi="Arial" w:cs="Arial"/>
          <w:bCs/>
          <w:sz w:val="24"/>
          <w:szCs w:val="24"/>
        </w:rPr>
        <w:t xml:space="preserve">Twelfth </w:t>
      </w:r>
      <w:r w:rsidRPr="007A5967">
        <w:rPr>
          <w:rFonts w:ascii="Arial" w:hAnsi="Arial" w:cs="Arial"/>
          <w:sz w:val="24"/>
          <w:szCs w:val="24"/>
        </w:rPr>
        <w:t>Applicant</w:t>
      </w:r>
    </w:p>
    <w:p w14:paraId="7EF09D40" w14:textId="77777777" w:rsidR="00273963" w:rsidRPr="007A5967" w:rsidRDefault="00273963" w:rsidP="003952B2">
      <w:pPr>
        <w:pStyle w:val="Judgmentbetweenparagraphs"/>
      </w:pPr>
    </w:p>
    <w:p w14:paraId="6FCD9669" w14:textId="23286F3C" w:rsidR="00273963" w:rsidRPr="007A5967" w:rsidRDefault="00AC154C"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ZAM</w:t>
      </w:r>
      <w:r>
        <w:rPr>
          <w:rFonts w:ascii="Arial" w:hAnsi="Arial" w:cs="Arial"/>
          <w:b/>
          <w:bCs/>
          <w:sz w:val="24"/>
          <w:szCs w:val="24"/>
        </w:rPr>
        <w:t>I</w:t>
      </w:r>
      <w:r w:rsidRPr="007A5967">
        <w:rPr>
          <w:rFonts w:ascii="Arial" w:hAnsi="Arial" w:cs="Arial"/>
          <w:b/>
          <w:bCs/>
          <w:sz w:val="24"/>
          <w:szCs w:val="24"/>
        </w:rPr>
        <w:t xml:space="preserve">KAYA </w:t>
      </w:r>
      <w:r w:rsidR="00273963" w:rsidRPr="007A5967">
        <w:rPr>
          <w:rFonts w:ascii="Arial" w:hAnsi="Arial" w:cs="Arial"/>
          <w:b/>
          <w:bCs/>
          <w:sz w:val="24"/>
          <w:szCs w:val="24"/>
        </w:rPr>
        <w:t>NDUDE</w:t>
      </w:r>
      <w:r w:rsidR="00273963" w:rsidRPr="007A5967">
        <w:rPr>
          <w:rFonts w:ascii="Arial" w:eastAsia="Times New Roman" w:hAnsi="Arial" w:cs="Arial"/>
          <w:b/>
          <w:sz w:val="24"/>
          <w:szCs w:val="24"/>
        </w:rPr>
        <w:tab/>
      </w:r>
      <w:r w:rsidR="00273963" w:rsidRPr="007A5967">
        <w:rPr>
          <w:rFonts w:ascii="Arial" w:eastAsia="Times New Roman" w:hAnsi="Arial" w:cs="Arial"/>
          <w:bCs/>
          <w:sz w:val="24"/>
          <w:szCs w:val="24"/>
        </w:rPr>
        <w:t xml:space="preserve">Thirteenth </w:t>
      </w:r>
      <w:r w:rsidR="00273963" w:rsidRPr="007A5967">
        <w:rPr>
          <w:rFonts w:ascii="Arial" w:hAnsi="Arial" w:cs="Arial"/>
          <w:sz w:val="24"/>
          <w:szCs w:val="24"/>
        </w:rPr>
        <w:t>Applicant</w:t>
      </w:r>
    </w:p>
    <w:p w14:paraId="3D102538" w14:textId="77777777" w:rsidR="00273963" w:rsidRPr="007A5967" w:rsidRDefault="00273963" w:rsidP="003952B2">
      <w:pPr>
        <w:pStyle w:val="Judgmentbetweenparagraphs"/>
      </w:pPr>
    </w:p>
    <w:p w14:paraId="2F709E8D" w14:textId="12413122"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STHEMBILE SOHADI</w:t>
      </w:r>
      <w:r w:rsidRPr="007A5967">
        <w:rPr>
          <w:rFonts w:ascii="Arial" w:eastAsia="Times New Roman" w:hAnsi="Arial" w:cs="Arial"/>
          <w:b/>
          <w:sz w:val="24"/>
          <w:szCs w:val="24"/>
        </w:rPr>
        <w:tab/>
      </w:r>
      <w:r w:rsidR="00306E28">
        <w:rPr>
          <w:rFonts w:ascii="Arial" w:eastAsia="Times New Roman" w:hAnsi="Arial" w:cs="Arial"/>
          <w:bCs/>
          <w:sz w:val="24"/>
          <w:szCs w:val="24"/>
        </w:rPr>
        <w:t xml:space="preserve">Fourteenth </w:t>
      </w:r>
      <w:r w:rsidRPr="007A5967">
        <w:rPr>
          <w:rFonts w:ascii="Arial" w:hAnsi="Arial" w:cs="Arial"/>
          <w:sz w:val="24"/>
          <w:szCs w:val="24"/>
        </w:rPr>
        <w:t>Applicant</w:t>
      </w:r>
    </w:p>
    <w:p w14:paraId="0E7F4C76" w14:textId="77777777" w:rsidR="00273963" w:rsidRPr="007A5967" w:rsidRDefault="00273963" w:rsidP="003952B2">
      <w:pPr>
        <w:pStyle w:val="Judgmentbetweenparagraphs"/>
      </w:pPr>
    </w:p>
    <w:p w14:paraId="44A4F80D" w14:textId="1A4FCC9F"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lastRenderedPageBreak/>
        <w:t>LOYISO MTSHEKETHSE</w:t>
      </w:r>
      <w:r w:rsidRPr="007A5967">
        <w:rPr>
          <w:rFonts w:ascii="Arial" w:eastAsia="Times New Roman" w:hAnsi="Arial" w:cs="Arial"/>
          <w:b/>
          <w:sz w:val="24"/>
          <w:szCs w:val="24"/>
        </w:rPr>
        <w:tab/>
      </w:r>
      <w:r w:rsidR="00306E28" w:rsidRPr="007A5967">
        <w:rPr>
          <w:rFonts w:ascii="Arial" w:eastAsia="Times New Roman" w:hAnsi="Arial" w:cs="Arial"/>
          <w:bCs/>
          <w:sz w:val="24"/>
          <w:szCs w:val="24"/>
        </w:rPr>
        <w:t xml:space="preserve">Fifteenth </w:t>
      </w:r>
      <w:r w:rsidRPr="007A5967">
        <w:rPr>
          <w:rFonts w:ascii="Arial" w:hAnsi="Arial" w:cs="Arial"/>
          <w:sz w:val="24"/>
          <w:szCs w:val="24"/>
        </w:rPr>
        <w:t>Applicant</w:t>
      </w:r>
    </w:p>
    <w:p w14:paraId="07CCD282" w14:textId="77777777" w:rsidR="00273963" w:rsidRPr="007A5967" w:rsidRDefault="00273963" w:rsidP="003952B2">
      <w:pPr>
        <w:pStyle w:val="Judgmentbetweenparagraphs"/>
      </w:pPr>
    </w:p>
    <w:p w14:paraId="57B47927" w14:textId="0269AD95"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ZOLILE HONXO</w:t>
      </w:r>
      <w:r w:rsidRPr="007A5967">
        <w:rPr>
          <w:rFonts w:ascii="Arial" w:eastAsia="Times New Roman" w:hAnsi="Arial" w:cs="Arial"/>
          <w:b/>
          <w:sz w:val="24"/>
          <w:szCs w:val="24"/>
        </w:rPr>
        <w:tab/>
      </w:r>
      <w:r w:rsidR="00320CEA" w:rsidRPr="007A5967">
        <w:rPr>
          <w:rFonts w:ascii="Arial" w:eastAsia="Times New Roman" w:hAnsi="Arial" w:cs="Arial"/>
          <w:bCs/>
          <w:sz w:val="24"/>
          <w:szCs w:val="24"/>
        </w:rPr>
        <w:t xml:space="preserve">Sixteenth </w:t>
      </w:r>
      <w:r w:rsidRPr="007A5967">
        <w:rPr>
          <w:rFonts w:ascii="Arial" w:hAnsi="Arial" w:cs="Arial"/>
          <w:sz w:val="24"/>
          <w:szCs w:val="24"/>
        </w:rPr>
        <w:t>Applicant</w:t>
      </w:r>
    </w:p>
    <w:p w14:paraId="4198A249" w14:textId="77777777" w:rsidR="00273963" w:rsidRPr="007A5967" w:rsidRDefault="00273963" w:rsidP="003952B2">
      <w:pPr>
        <w:pStyle w:val="Judgmentbetweenparagraphs"/>
      </w:pPr>
    </w:p>
    <w:p w14:paraId="1796B18C" w14:textId="2B34DAFD"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ZWELITSHA MTSHENA</w:t>
      </w:r>
      <w:r w:rsidRPr="007A5967">
        <w:rPr>
          <w:rFonts w:ascii="Arial" w:eastAsia="Times New Roman" w:hAnsi="Arial" w:cs="Arial"/>
          <w:b/>
          <w:sz w:val="24"/>
          <w:szCs w:val="24"/>
        </w:rPr>
        <w:tab/>
      </w:r>
      <w:r w:rsidR="00320CEA" w:rsidRPr="007A5967">
        <w:rPr>
          <w:rFonts w:ascii="Arial" w:eastAsia="Times New Roman" w:hAnsi="Arial" w:cs="Arial"/>
          <w:bCs/>
          <w:sz w:val="24"/>
          <w:szCs w:val="24"/>
        </w:rPr>
        <w:t xml:space="preserve">Seventeenth </w:t>
      </w:r>
      <w:r w:rsidRPr="007A5967">
        <w:rPr>
          <w:rFonts w:ascii="Arial" w:hAnsi="Arial" w:cs="Arial"/>
          <w:sz w:val="24"/>
          <w:szCs w:val="24"/>
        </w:rPr>
        <w:t>Applicant</w:t>
      </w:r>
    </w:p>
    <w:p w14:paraId="0B261856" w14:textId="77777777" w:rsidR="00273963" w:rsidRPr="007A5967" w:rsidRDefault="00273963" w:rsidP="003952B2">
      <w:pPr>
        <w:pStyle w:val="Judgmentbetweenparagraphs"/>
      </w:pPr>
    </w:p>
    <w:p w14:paraId="4F8051DD" w14:textId="25C1D5AF"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MZIWANELE MXINWA</w:t>
      </w:r>
      <w:r w:rsidRPr="007A5967">
        <w:rPr>
          <w:rFonts w:ascii="Arial" w:eastAsia="Times New Roman" w:hAnsi="Arial" w:cs="Arial"/>
          <w:b/>
          <w:sz w:val="24"/>
          <w:szCs w:val="24"/>
        </w:rPr>
        <w:tab/>
      </w:r>
      <w:r w:rsidR="00320CEA" w:rsidRPr="007A5967">
        <w:rPr>
          <w:rFonts w:ascii="Arial" w:eastAsia="Times New Roman" w:hAnsi="Arial" w:cs="Arial"/>
          <w:bCs/>
          <w:sz w:val="24"/>
          <w:szCs w:val="24"/>
        </w:rPr>
        <w:t xml:space="preserve">Eighteenth </w:t>
      </w:r>
      <w:r w:rsidRPr="007A5967">
        <w:rPr>
          <w:rFonts w:ascii="Arial" w:hAnsi="Arial" w:cs="Arial"/>
          <w:sz w:val="24"/>
          <w:szCs w:val="24"/>
        </w:rPr>
        <w:t>Applicant</w:t>
      </w:r>
    </w:p>
    <w:p w14:paraId="08D17516" w14:textId="77777777" w:rsidR="00273963" w:rsidRPr="007A5967" w:rsidRDefault="00273963" w:rsidP="003952B2">
      <w:pPr>
        <w:pStyle w:val="Judgmentbetweenparagraphs"/>
      </w:pPr>
    </w:p>
    <w:p w14:paraId="668592C0" w14:textId="72D2C1F3"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MZOKOLO ZUKULU</w:t>
      </w:r>
      <w:r w:rsidRPr="007A5967">
        <w:rPr>
          <w:rFonts w:ascii="Arial" w:eastAsia="Times New Roman" w:hAnsi="Arial" w:cs="Arial"/>
          <w:b/>
          <w:sz w:val="24"/>
          <w:szCs w:val="24"/>
        </w:rPr>
        <w:tab/>
      </w:r>
      <w:r w:rsidR="00320CEA" w:rsidRPr="007A5967">
        <w:rPr>
          <w:rFonts w:ascii="Arial" w:eastAsia="Times New Roman" w:hAnsi="Arial" w:cs="Arial"/>
          <w:bCs/>
          <w:sz w:val="24"/>
          <w:szCs w:val="24"/>
        </w:rPr>
        <w:t xml:space="preserve">Nineteenth </w:t>
      </w:r>
      <w:r w:rsidRPr="007A5967">
        <w:rPr>
          <w:rFonts w:ascii="Arial" w:hAnsi="Arial" w:cs="Arial"/>
          <w:sz w:val="24"/>
          <w:szCs w:val="24"/>
        </w:rPr>
        <w:t>Applicant</w:t>
      </w:r>
    </w:p>
    <w:p w14:paraId="2D5BADB6" w14:textId="77777777" w:rsidR="00273963" w:rsidRPr="007A5967" w:rsidRDefault="00273963" w:rsidP="003952B2">
      <w:pPr>
        <w:pStyle w:val="Judgmentbetweenparagraphs"/>
      </w:pPr>
    </w:p>
    <w:p w14:paraId="3123F06A" w14:textId="77777777" w:rsidR="00273963" w:rsidRPr="007A5967" w:rsidRDefault="00273963" w:rsidP="00273963">
      <w:pPr>
        <w:tabs>
          <w:tab w:val="right" w:pos="9029"/>
        </w:tabs>
        <w:spacing w:after="0" w:line="240" w:lineRule="auto"/>
        <w:contextualSpacing/>
        <w:rPr>
          <w:rFonts w:cs="Arial"/>
          <w:b/>
          <w:bCs/>
          <w:szCs w:val="24"/>
        </w:rPr>
      </w:pPr>
      <w:r w:rsidRPr="007A5967">
        <w:rPr>
          <w:rFonts w:ascii="Arial" w:hAnsi="Arial" w:cs="Arial"/>
          <w:b/>
          <w:bCs/>
          <w:sz w:val="24"/>
          <w:szCs w:val="24"/>
        </w:rPr>
        <w:t xml:space="preserve">ASSOCIATION OF MINEWORKERS </w:t>
      </w:r>
      <w:r w:rsidRPr="007A5967">
        <w:rPr>
          <w:rFonts w:ascii="Arial" w:hAnsi="Arial" w:cs="Arial"/>
          <w:b/>
          <w:bCs/>
          <w:sz w:val="24"/>
          <w:szCs w:val="28"/>
        </w:rPr>
        <w:t>AND</w:t>
      </w:r>
      <w:r w:rsidRPr="007A5967">
        <w:rPr>
          <w:rFonts w:ascii="Arial" w:hAnsi="Arial" w:cs="Arial"/>
          <w:b/>
          <w:bCs/>
          <w:sz w:val="28"/>
          <w:szCs w:val="28"/>
        </w:rPr>
        <w:t xml:space="preserve"> </w:t>
      </w:r>
    </w:p>
    <w:p w14:paraId="4ACAEF6B" w14:textId="1A676C35"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CONSTRUCTION UNION</w:t>
      </w:r>
      <w:r w:rsidRPr="007A5967">
        <w:rPr>
          <w:rFonts w:ascii="Arial" w:eastAsia="Times New Roman" w:hAnsi="Arial" w:cs="Arial"/>
          <w:b/>
          <w:sz w:val="24"/>
          <w:szCs w:val="24"/>
        </w:rPr>
        <w:tab/>
      </w:r>
      <w:r w:rsidR="00320CEA" w:rsidRPr="007A5967">
        <w:rPr>
          <w:rFonts w:ascii="Arial" w:eastAsia="Times New Roman" w:hAnsi="Arial" w:cs="Arial"/>
          <w:bCs/>
          <w:sz w:val="24"/>
          <w:szCs w:val="24"/>
        </w:rPr>
        <w:t xml:space="preserve">Twentieth </w:t>
      </w:r>
      <w:r w:rsidRPr="007A5967">
        <w:rPr>
          <w:rFonts w:ascii="Arial" w:hAnsi="Arial" w:cs="Arial"/>
          <w:sz w:val="24"/>
          <w:szCs w:val="24"/>
        </w:rPr>
        <w:t>Applicant</w:t>
      </w:r>
    </w:p>
    <w:p w14:paraId="664FBEB3" w14:textId="77777777" w:rsidR="00273963" w:rsidRPr="007A5967" w:rsidRDefault="00273963" w:rsidP="003952B2">
      <w:pPr>
        <w:pStyle w:val="Judgmentbetweenparagraphs"/>
      </w:pPr>
    </w:p>
    <w:p w14:paraId="1C53C946" w14:textId="77777777" w:rsidR="00273963" w:rsidRPr="007A5967" w:rsidRDefault="00273963" w:rsidP="00273963">
      <w:pPr>
        <w:tabs>
          <w:tab w:val="right" w:pos="9029"/>
        </w:tabs>
        <w:spacing w:after="0" w:line="240" w:lineRule="auto"/>
        <w:contextualSpacing/>
        <w:rPr>
          <w:rFonts w:ascii="Arial" w:hAnsi="Arial" w:cs="Arial"/>
          <w:sz w:val="24"/>
          <w:szCs w:val="24"/>
          <w14:ligatures w14:val="none"/>
        </w:rPr>
      </w:pPr>
      <w:r w:rsidRPr="007A5967">
        <w:rPr>
          <w:rFonts w:ascii="Arial" w:hAnsi="Arial" w:cs="Arial"/>
          <w:sz w:val="24"/>
          <w:szCs w:val="24"/>
        </w:rPr>
        <w:t>and</w:t>
      </w:r>
    </w:p>
    <w:p w14:paraId="555D39A7" w14:textId="77777777" w:rsidR="00273963" w:rsidRPr="007A5967" w:rsidRDefault="00273963" w:rsidP="003952B2">
      <w:pPr>
        <w:pStyle w:val="Judgmentbetweenparagraphs"/>
      </w:pPr>
    </w:p>
    <w:p w14:paraId="7479907C" w14:textId="77777777" w:rsidR="00273963" w:rsidRPr="007A5967" w:rsidRDefault="00273963" w:rsidP="00273963">
      <w:pPr>
        <w:tabs>
          <w:tab w:val="right" w:pos="9029"/>
        </w:tabs>
        <w:spacing w:after="0" w:line="240" w:lineRule="auto"/>
        <w:contextualSpacing/>
        <w:rPr>
          <w:rFonts w:ascii="Arial" w:hAnsi="Arial" w:cs="Arial"/>
          <w:sz w:val="24"/>
          <w:szCs w:val="24"/>
        </w:rPr>
      </w:pPr>
      <w:r w:rsidRPr="007A5967">
        <w:rPr>
          <w:rFonts w:ascii="Arial" w:hAnsi="Arial" w:cs="Arial"/>
          <w:b/>
          <w:bCs/>
          <w:sz w:val="24"/>
          <w:szCs w:val="24"/>
        </w:rPr>
        <w:t>THE NATIONAL DIRECTOR OF PUBLIC PROSECUTIONS</w:t>
      </w:r>
      <w:r w:rsidRPr="007A5967">
        <w:rPr>
          <w:rFonts w:ascii="Arial" w:hAnsi="Arial" w:cs="Arial"/>
          <w:b/>
          <w:sz w:val="24"/>
          <w:szCs w:val="24"/>
        </w:rPr>
        <w:tab/>
      </w:r>
      <w:r w:rsidRPr="007A5967">
        <w:rPr>
          <w:rFonts w:ascii="Arial" w:hAnsi="Arial" w:cs="Arial"/>
          <w:sz w:val="24"/>
          <w:szCs w:val="24"/>
        </w:rPr>
        <w:t>First Respondent</w:t>
      </w:r>
    </w:p>
    <w:p w14:paraId="76A8D68F" w14:textId="77777777" w:rsidR="00273963" w:rsidRPr="007A5967" w:rsidRDefault="00273963" w:rsidP="003952B2">
      <w:pPr>
        <w:pStyle w:val="Judgmentbetweenparagraphs"/>
      </w:pPr>
    </w:p>
    <w:p w14:paraId="463C3358" w14:textId="77777777" w:rsidR="00273963" w:rsidRPr="007A5967" w:rsidRDefault="00273963" w:rsidP="00273963">
      <w:pPr>
        <w:tabs>
          <w:tab w:val="right" w:pos="9029"/>
        </w:tabs>
        <w:spacing w:after="0" w:line="240" w:lineRule="auto"/>
        <w:contextualSpacing/>
        <w:rPr>
          <w:rFonts w:ascii="Arial" w:hAnsi="Arial" w:cs="Arial"/>
          <w:b/>
          <w:bCs/>
          <w:sz w:val="24"/>
          <w:szCs w:val="24"/>
        </w:rPr>
      </w:pPr>
      <w:r w:rsidRPr="007A5967">
        <w:rPr>
          <w:rFonts w:ascii="Arial" w:hAnsi="Arial" w:cs="Arial"/>
          <w:b/>
          <w:bCs/>
          <w:sz w:val="24"/>
          <w:szCs w:val="24"/>
        </w:rPr>
        <w:t>THE NATIONAL PROSECUTING AUTHORITY</w:t>
      </w:r>
      <w:r w:rsidRPr="007A5967">
        <w:rPr>
          <w:rFonts w:ascii="Arial" w:hAnsi="Arial" w:cs="Arial"/>
          <w:sz w:val="24"/>
          <w:szCs w:val="24"/>
        </w:rPr>
        <w:tab/>
        <w:t>Second Respondent</w:t>
      </w:r>
    </w:p>
    <w:p w14:paraId="0E8A9981" w14:textId="77777777" w:rsidR="00273963" w:rsidRPr="007A5967" w:rsidRDefault="00273963" w:rsidP="003952B2">
      <w:pPr>
        <w:pStyle w:val="Judgmentbetweenparagraphs"/>
      </w:pPr>
    </w:p>
    <w:p w14:paraId="762F97DE" w14:textId="77777777" w:rsidR="00273963" w:rsidRPr="007A5967" w:rsidRDefault="00273963" w:rsidP="00273963">
      <w:pPr>
        <w:tabs>
          <w:tab w:val="right" w:pos="9029"/>
        </w:tabs>
        <w:spacing w:after="0" w:line="240" w:lineRule="auto"/>
        <w:contextualSpacing/>
        <w:rPr>
          <w:rFonts w:ascii="Arial" w:hAnsi="Arial" w:cs="Arial"/>
          <w:b/>
          <w:bCs/>
          <w:sz w:val="24"/>
          <w:szCs w:val="24"/>
        </w:rPr>
      </w:pPr>
      <w:r w:rsidRPr="007A5967">
        <w:rPr>
          <w:rFonts w:ascii="Arial" w:hAnsi="Arial" w:cs="Arial"/>
          <w:b/>
          <w:bCs/>
          <w:sz w:val="24"/>
          <w:szCs w:val="24"/>
        </w:rPr>
        <w:t>MINISTER OF JUSTICE AND CONSTITUTIONAL</w:t>
      </w:r>
    </w:p>
    <w:p w14:paraId="1AE20DB8" w14:textId="77777777" w:rsidR="00273963" w:rsidRPr="007A5967" w:rsidRDefault="00273963" w:rsidP="00273963">
      <w:pPr>
        <w:tabs>
          <w:tab w:val="right" w:pos="9029"/>
        </w:tabs>
        <w:spacing w:after="0" w:line="240" w:lineRule="auto"/>
        <w:contextualSpacing/>
        <w:rPr>
          <w:rFonts w:ascii="Arial" w:hAnsi="Arial" w:cs="Arial"/>
          <w:b/>
          <w:bCs/>
          <w:sz w:val="24"/>
          <w:szCs w:val="24"/>
        </w:rPr>
      </w:pPr>
      <w:r w:rsidRPr="007A5967">
        <w:rPr>
          <w:rFonts w:ascii="Arial" w:hAnsi="Arial" w:cs="Arial"/>
          <w:b/>
          <w:bCs/>
          <w:sz w:val="24"/>
          <w:szCs w:val="24"/>
        </w:rPr>
        <w:t>DEVELOPMENT</w:t>
      </w:r>
      <w:r w:rsidRPr="007A5967">
        <w:rPr>
          <w:rFonts w:ascii="Arial" w:hAnsi="Arial" w:cs="Arial"/>
          <w:b/>
          <w:sz w:val="24"/>
          <w:szCs w:val="24"/>
        </w:rPr>
        <w:tab/>
      </w:r>
      <w:r w:rsidRPr="007A5967">
        <w:rPr>
          <w:rFonts w:ascii="Arial" w:eastAsia="Times New Roman" w:hAnsi="Arial" w:cs="Arial"/>
          <w:sz w:val="24"/>
          <w:szCs w:val="24"/>
        </w:rPr>
        <w:t>Third Respondent</w:t>
      </w:r>
    </w:p>
    <w:p w14:paraId="6D351F3D" w14:textId="0E7C287F" w:rsidR="00273963" w:rsidRPr="007A5967" w:rsidRDefault="00273963" w:rsidP="003952B2">
      <w:pPr>
        <w:pStyle w:val="Judgmentbetweenparagraphs"/>
      </w:pPr>
    </w:p>
    <w:p w14:paraId="29FC475F" w14:textId="77777777" w:rsidR="00273963" w:rsidRPr="007A5967" w:rsidRDefault="00273963" w:rsidP="00273963">
      <w:pPr>
        <w:tabs>
          <w:tab w:val="right" w:pos="9029"/>
        </w:tabs>
        <w:spacing w:after="0" w:line="240" w:lineRule="auto"/>
        <w:contextualSpacing/>
        <w:rPr>
          <w:rFonts w:ascii="Arial" w:eastAsia="Times New Roman" w:hAnsi="Arial" w:cs="Arial"/>
          <w:sz w:val="24"/>
          <w:szCs w:val="24"/>
        </w:rPr>
      </w:pPr>
      <w:r w:rsidRPr="007A5967">
        <w:rPr>
          <w:rFonts w:ascii="Arial" w:hAnsi="Arial" w:cs="Arial"/>
          <w:b/>
          <w:bCs/>
          <w:sz w:val="24"/>
          <w:szCs w:val="24"/>
        </w:rPr>
        <w:t>MINISTER OF POLICE</w:t>
      </w:r>
      <w:r w:rsidRPr="007A5967">
        <w:rPr>
          <w:rFonts w:ascii="Arial" w:eastAsia="Times New Roman" w:hAnsi="Arial" w:cs="Arial"/>
          <w:sz w:val="24"/>
          <w:szCs w:val="24"/>
        </w:rPr>
        <w:tab/>
        <w:t>Fourth Respondent</w:t>
      </w:r>
    </w:p>
    <w:p w14:paraId="4E4AC3AE" w14:textId="77777777" w:rsidR="00273963" w:rsidRPr="007A5967" w:rsidRDefault="00273963" w:rsidP="003952B2">
      <w:pPr>
        <w:pStyle w:val="Judgmentbetweenparagraphs"/>
      </w:pPr>
    </w:p>
    <w:p w14:paraId="2541BE95" w14:textId="77777777" w:rsidR="00273963" w:rsidRPr="007A5967" w:rsidRDefault="00273963" w:rsidP="00273963">
      <w:pPr>
        <w:tabs>
          <w:tab w:val="right" w:pos="9029"/>
        </w:tabs>
        <w:spacing w:after="0" w:line="240" w:lineRule="auto"/>
        <w:contextualSpacing/>
        <w:rPr>
          <w:rFonts w:eastAsia="Times New Roman" w:cs="Arial"/>
          <w:szCs w:val="24"/>
        </w:rPr>
      </w:pPr>
      <w:r w:rsidRPr="007A5967">
        <w:rPr>
          <w:rFonts w:ascii="Arial" w:hAnsi="Arial" w:cs="Arial"/>
          <w:b/>
          <w:bCs/>
          <w:sz w:val="24"/>
          <w:szCs w:val="24"/>
        </w:rPr>
        <w:t>PRESIDENT OF THE REPUBLIC OF SOUTH AFRICA</w:t>
      </w:r>
      <w:r w:rsidRPr="007A5967">
        <w:rPr>
          <w:rFonts w:ascii="Arial" w:hAnsi="Arial" w:cs="Arial"/>
          <w:b/>
          <w:sz w:val="24"/>
          <w:szCs w:val="24"/>
        </w:rPr>
        <w:tab/>
      </w:r>
      <w:r w:rsidRPr="007A5967">
        <w:rPr>
          <w:rFonts w:ascii="Arial" w:eastAsia="Times New Roman" w:hAnsi="Arial" w:cs="Arial"/>
          <w:sz w:val="24"/>
          <w:szCs w:val="24"/>
        </w:rPr>
        <w:t>Fifth Respondent</w:t>
      </w:r>
    </w:p>
    <w:p w14:paraId="663921D5" w14:textId="77777777" w:rsidR="00273963" w:rsidRDefault="00273963" w:rsidP="003952B2">
      <w:pPr>
        <w:pStyle w:val="Judgmentbetweenparagraphs"/>
      </w:pPr>
    </w:p>
    <w:p w14:paraId="7F56266C" w14:textId="77777777" w:rsidR="00734B7F" w:rsidRPr="007A5967" w:rsidRDefault="00734B7F" w:rsidP="003952B2">
      <w:pPr>
        <w:pStyle w:val="Judgmentbetweenparagraphs"/>
      </w:pPr>
    </w:p>
    <w:p w14:paraId="38D3E210" w14:textId="296D9227" w:rsidR="00273963" w:rsidRPr="007A5967" w:rsidRDefault="00273963" w:rsidP="00273963">
      <w:pPr>
        <w:spacing w:after="0" w:line="240" w:lineRule="auto"/>
        <w:jc w:val="both"/>
        <w:rPr>
          <w:rFonts w:ascii="Arial" w:eastAsia="Times New Roman" w:hAnsi="Arial" w:cs="Arial"/>
          <w:b/>
          <w:sz w:val="24"/>
          <w:szCs w:val="24"/>
        </w:rPr>
      </w:pPr>
      <w:r w:rsidRPr="007A5967">
        <w:rPr>
          <w:rFonts w:ascii="Arial" w:eastAsia="Times New Roman" w:hAnsi="Arial" w:cs="Arial"/>
          <w:b/>
          <w:sz w:val="24"/>
          <w:szCs w:val="24"/>
        </w:rPr>
        <w:t xml:space="preserve">Heard: </w:t>
      </w:r>
      <w:r w:rsidR="00DB4538" w:rsidRPr="00DB4538">
        <w:rPr>
          <w:rFonts w:ascii="Arial" w:eastAsia="Times New Roman" w:hAnsi="Arial" w:cs="Arial"/>
          <w:b/>
          <w:sz w:val="24"/>
          <w:szCs w:val="24"/>
        </w:rPr>
        <w:t xml:space="preserve">10 October </w:t>
      </w:r>
      <w:r w:rsidRPr="00DB4538">
        <w:rPr>
          <w:rFonts w:ascii="Arial" w:eastAsia="Times New Roman" w:hAnsi="Arial" w:cs="Arial"/>
          <w:b/>
          <w:sz w:val="24"/>
          <w:szCs w:val="24"/>
        </w:rPr>
        <w:t>2023</w:t>
      </w:r>
    </w:p>
    <w:p w14:paraId="3394590E" w14:textId="77777777" w:rsidR="00273963" w:rsidRPr="007A5967" w:rsidRDefault="00273963" w:rsidP="003952B2">
      <w:pPr>
        <w:pStyle w:val="Judgmentbetweenparagraphs"/>
      </w:pPr>
    </w:p>
    <w:p w14:paraId="5D292E5F" w14:textId="1CD8AC4F" w:rsidR="00273963" w:rsidRPr="007A5967" w:rsidRDefault="00273963" w:rsidP="00273963">
      <w:pPr>
        <w:spacing w:after="0" w:line="240" w:lineRule="auto"/>
        <w:ind w:right="-46"/>
        <w:jc w:val="both"/>
        <w:rPr>
          <w:rFonts w:ascii="Arial" w:eastAsia="Times New Roman" w:hAnsi="Arial" w:cs="Arial"/>
          <w:b/>
          <w:sz w:val="24"/>
          <w:szCs w:val="24"/>
        </w:rPr>
      </w:pPr>
      <w:r w:rsidRPr="007A5967">
        <w:rPr>
          <w:rFonts w:ascii="Arial" w:eastAsia="Times New Roman" w:hAnsi="Arial" w:cs="Arial"/>
          <w:b/>
          <w:sz w:val="24"/>
          <w:szCs w:val="24"/>
        </w:rPr>
        <w:t>Delivered: This Judgement was handed down electronically by circulation to the parties’ legal representatives by email and by uploading to Caselines and release to SAFLII.</w:t>
      </w:r>
      <w:r w:rsidR="000C0BB9">
        <w:rPr>
          <w:rFonts w:ascii="Arial" w:eastAsia="Times New Roman" w:hAnsi="Arial" w:cs="Arial"/>
          <w:b/>
          <w:sz w:val="24"/>
          <w:szCs w:val="24"/>
        </w:rPr>
        <w:t xml:space="preserve"> </w:t>
      </w:r>
      <w:r w:rsidRPr="007A5967">
        <w:rPr>
          <w:rFonts w:ascii="Arial" w:eastAsia="Times New Roman" w:hAnsi="Arial" w:cs="Arial"/>
          <w:b/>
          <w:sz w:val="24"/>
          <w:szCs w:val="24"/>
        </w:rPr>
        <w:t xml:space="preserve">The date and time for hand down is deemed to be 10:00 am on </w:t>
      </w:r>
      <w:r w:rsidR="001C1F71" w:rsidRPr="001C1F71">
        <w:rPr>
          <w:rFonts w:ascii="Arial" w:eastAsia="Times New Roman" w:hAnsi="Arial" w:cs="Arial"/>
          <w:b/>
          <w:sz w:val="24"/>
          <w:szCs w:val="24"/>
        </w:rPr>
        <w:t>15</w:t>
      </w:r>
      <w:r w:rsidRPr="007A5967">
        <w:rPr>
          <w:rFonts w:ascii="Arial" w:eastAsia="Times New Roman" w:hAnsi="Arial" w:cs="Arial"/>
          <w:b/>
          <w:sz w:val="24"/>
          <w:szCs w:val="24"/>
        </w:rPr>
        <w:t xml:space="preserve"> </w:t>
      </w:r>
      <w:r w:rsidR="002545B4">
        <w:rPr>
          <w:rFonts w:ascii="Arial" w:eastAsia="Times New Roman" w:hAnsi="Arial" w:cs="Arial"/>
          <w:b/>
          <w:sz w:val="24"/>
          <w:szCs w:val="24"/>
        </w:rPr>
        <w:t>April</w:t>
      </w:r>
      <w:r w:rsidRPr="007A5967">
        <w:rPr>
          <w:rFonts w:ascii="Arial" w:eastAsia="Times New Roman" w:hAnsi="Arial" w:cs="Arial"/>
          <w:b/>
          <w:sz w:val="24"/>
          <w:szCs w:val="24"/>
        </w:rPr>
        <w:t xml:space="preserve"> 2024.</w:t>
      </w:r>
    </w:p>
    <w:p w14:paraId="5A9F8C22" w14:textId="77777777" w:rsidR="00782575" w:rsidRDefault="00782575" w:rsidP="003952B2">
      <w:pPr>
        <w:pStyle w:val="Judgmentbetweenparagraphs"/>
      </w:pPr>
    </w:p>
    <w:p w14:paraId="7D8DEF2C" w14:textId="77777777" w:rsidR="00970AFE" w:rsidRPr="007A5967" w:rsidRDefault="00970AFE" w:rsidP="003952B2">
      <w:pPr>
        <w:pStyle w:val="Judgmentbetweenparagraphs"/>
      </w:pPr>
    </w:p>
    <w:p w14:paraId="6BB034A6" w14:textId="5B017422" w:rsidR="00856833" w:rsidRPr="00E832C6" w:rsidRDefault="00782575" w:rsidP="003E59C9">
      <w:pPr>
        <w:tabs>
          <w:tab w:val="left" w:pos="9072"/>
        </w:tabs>
        <w:spacing w:after="0" w:line="240" w:lineRule="auto"/>
        <w:ind w:right="-46"/>
        <w:jc w:val="both"/>
        <w:rPr>
          <w:rFonts w:ascii="Arial" w:eastAsia="Times New Roman" w:hAnsi="Arial" w:cs="Arial"/>
          <w:bCs/>
          <w:i/>
          <w:iCs/>
          <w:sz w:val="24"/>
          <w:szCs w:val="24"/>
        </w:rPr>
      </w:pPr>
      <w:r w:rsidRPr="007A5967">
        <w:rPr>
          <w:rFonts w:ascii="Arial" w:eastAsia="Times New Roman" w:hAnsi="Arial" w:cs="Arial"/>
          <w:b/>
          <w:sz w:val="24"/>
          <w:szCs w:val="24"/>
        </w:rPr>
        <w:t>Summary:</w:t>
      </w:r>
      <w:r w:rsidR="00114C17" w:rsidRPr="007A5967">
        <w:rPr>
          <w:rFonts w:ascii="Arial" w:eastAsia="Times New Roman" w:hAnsi="Arial" w:cs="Arial"/>
          <w:b/>
          <w:sz w:val="24"/>
          <w:szCs w:val="24"/>
        </w:rPr>
        <w:t xml:space="preserve"> </w:t>
      </w:r>
      <w:r w:rsidR="00856833" w:rsidRPr="00E832C6">
        <w:rPr>
          <w:rFonts w:ascii="Arial" w:eastAsia="Times New Roman" w:hAnsi="Arial" w:cs="Arial"/>
          <w:bCs/>
          <w:i/>
          <w:iCs/>
          <w:sz w:val="24"/>
          <w:szCs w:val="24"/>
        </w:rPr>
        <w:t xml:space="preserve">Jurisdiction </w:t>
      </w:r>
      <w:r w:rsidR="00B47162" w:rsidRPr="00E832C6">
        <w:rPr>
          <w:rFonts w:ascii="Arial" w:eastAsia="Times New Roman" w:hAnsi="Arial" w:cs="Arial"/>
          <w:bCs/>
          <w:i/>
          <w:iCs/>
          <w:sz w:val="24"/>
          <w:szCs w:val="24"/>
        </w:rPr>
        <w:t>–</w:t>
      </w:r>
      <w:r w:rsidR="00856833" w:rsidRPr="00E832C6">
        <w:rPr>
          <w:rFonts w:ascii="Arial" w:eastAsia="Times New Roman" w:hAnsi="Arial" w:cs="Arial"/>
          <w:bCs/>
          <w:i/>
          <w:iCs/>
          <w:sz w:val="24"/>
          <w:szCs w:val="24"/>
        </w:rPr>
        <w:t xml:space="preserve"> </w:t>
      </w:r>
      <w:r w:rsidR="00BE54CC">
        <w:rPr>
          <w:rFonts w:ascii="Arial" w:eastAsia="Times New Roman" w:hAnsi="Arial" w:cs="Arial"/>
          <w:bCs/>
          <w:i/>
          <w:iCs/>
          <w:sz w:val="24"/>
          <w:szCs w:val="24"/>
        </w:rPr>
        <w:t>s</w:t>
      </w:r>
      <w:r w:rsidR="00B47162" w:rsidRPr="00E832C6">
        <w:rPr>
          <w:rFonts w:ascii="Arial" w:eastAsia="Times New Roman" w:hAnsi="Arial" w:cs="Arial"/>
          <w:bCs/>
          <w:i/>
          <w:iCs/>
          <w:sz w:val="24"/>
          <w:szCs w:val="24"/>
        </w:rPr>
        <w:t xml:space="preserve">ection 21 of the Superior Courts Act </w:t>
      </w:r>
      <w:r w:rsidR="0046452E" w:rsidRPr="00E832C6">
        <w:rPr>
          <w:rFonts w:ascii="Arial" w:eastAsia="Times New Roman" w:hAnsi="Arial" w:cs="Arial"/>
          <w:bCs/>
          <w:i/>
          <w:iCs/>
          <w:sz w:val="24"/>
          <w:szCs w:val="24"/>
        </w:rPr>
        <w:t xml:space="preserve">10 of 2013 – </w:t>
      </w:r>
      <w:r w:rsidR="00BE54CC">
        <w:rPr>
          <w:rFonts w:ascii="Arial" w:eastAsia="Times New Roman" w:hAnsi="Arial" w:cs="Arial"/>
          <w:bCs/>
          <w:i/>
          <w:iCs/>
          <w:sz w:val="24"/>
          <w:szCs w:val="24"/>
        </w:rPr>
        <w:t>h</w:t>
      </w:r>
      <w:r w:rsidR="00355AB1" w:rsidRPr="00E832C6">
        <w:rPr>
          <w:rFonts w:ascii="Arial" w:eastAsia="Times New Roman" w:hAnsi="Arial" w:cs="Arial"/>
          <w:bCs/>
          <w:i/>
          <w:iCs/>
          <w:sz w:val="24"/>
          <w:szCs w:val="24"/>
        </w:rPr>
        <w:t xml:space="preserve">igh </w:t>
      </w:r>
      <w:r w:rsidR="00BE54CC">
        <w:rPr>
          <w:rFonts w:ascii="Arial" w:eastAsia="Times New Roman" w:hAnsi="Arial" w:cs="Arial"/>
          <w:bCs/>
          <w:i/>
          <w:iCs/>
          <w:sz w:val="24"/>
          <w:szCs w:val="24"/>
        </w:rPr>
        <w:t>c</w:t>
      </w:r>
      <w:r w:rsidR="0046452E" w:rsidRPr="00E832C6">
        <w:rPr>
          <w:rFonts w:ascii="Arial" w:eastAsia="Times New Roman" w:hAnsi="Arial" w:cs="Arial"/>
          <w:bCs/>
          <w:i/>
          <w:iCs/>
          <w:sz w:val="24"/>
          <w:szCs w:val="24"/>
        </w:rPr>
        <w:t>ourt has jurisdiction over litigant residing in its jurisdiction</w:t>
      </w:r>
      <w:r w:rsidR="00C80348" w:rsidRPr="00E832C6">
        <w:rPr>
          <w:rFonts w:ascii="Arial" w:eastAsia="Times New Roman" w:hAnsi="Arial" w:cs="Arial"/>
          <w:bCs/>
          <w:i/>
          <w:iCs/>
          <w:sz w:val="24"/>
          <w:szCs w:val="24"/>
        </w:rPr>
        <w:t>.</w:t>
      </w:r>
    </w:p>
    <w:p w14:paraId="6C9A561E" w14:textId="483C382C" w:rsidR="00B35DC3" w:rsidRPr="00E832C6" w:rsidRDefault="002713DF" w:rsidP="003E59C9">
      <w:pPr>
        <w:tabs>
          <w:tab w:val="left" w:pos="9072"/>
        </w:tabs>
        <w:spacing w:before="240" w:after="0" w:line="240" w:lineRule="auto"/>
        <w:ind w:right="-46"/>
        <w:jc w:val="both"/>
        <w:rPr>
          <w:rFonts w:ascii="Arial" w:eastAsia="Times New Roman" w:hAnsi="Arial" w:cs="Arial"/>
          <w:bCs/>
          <w:i/>
          <w:iCs/>
          <w:sz w:val="24"/>
          <w:szCs w:val="24"/>
        </w:rPr>
      </w:pPr>
      <w:r w:rsidRPr="00E832C6">
        <w:rPr>
          <w:rFonts w:ascii="Arial" w:eastAsia="Times New Roman" w:hAnsi="Arial" w:cs="Arial"/>
          <w:bCs/>
          <w:i/>
          <w:iCs/>
          <w:sz w:val="24"/>
          <w:szCs w:val="24"/>
        </w:rPr>
        <w:t xml:space="preserve">Review – principle of legality – </w:t>
      </w:r>
      <w:r w:rsidR="00DB2CD6" w:rsidRPr="00E832C6">
        <w:rPr>
          <w:rFonts w:ascii="Arial" w:eastAsia="Times New Roman" w:hAnsi="Arial" w:cs="Arial"/>
          <w:bCs/>
          <w:i/>
          <w:iCs/>
          <w:sz w:val="24"/>
          <w:szCs w:val="24"/>
        </w:rPr>
        <w:t xml:space="preserve">review launched within reasonable time but not prosecuted to finality </w:t>
      </w:r>
      <w:r w:rsidR="00AF610A">
        <w:rPr>
          <w:rFonts w:ascii="Arial" w:eastAsia="Times New Roman" w:hAnsi="Arial" w:cs="Arial"/>
          <w:bCs/>
          <w:i/>
          <w:iCs/>
          <w:sz w:val="24"/>
          <w:szCs w:val="24"/>
        </w:rPr>
        <w:t>expeditiously</w:t>
      </w:r>
      <w:r w:rsidR="00DB2CD6" w:rsidRPr="00E832C6">
        <w:rPr>
          <w:rFonts w:ascii="Arial" w:eastAsia="Times New Roman" w:hAnsi="Arial" w:cs="Arial"/>
          <w:bCs/>
          <w:i/>
          <w:iCs/>
          <w:sz w:val="24"/>
          <w:szCs w:val="24"/>
        </w:rPr>
        <w:t xml:space="preserve"> – abuse of </w:t>
      </w:r>
      <w:r w:rsidR="00AF610A">
        <w:rPr>
          <w:rFonts w:ascii="Arial" w:eastAsia="Times New Roman" w:hAnsi="Arial" w:cs="Arial"/>
          <w:bCs/>
          <w:i/>
          <w:iCs/>
          <w:sz w:val="24"/>
          <w:szCs w:val="24"/>
        </w:rPr>
        <w:t>C</w:t>
      </w:r>
      <w:r w:rsidR="00DB2CD6" w:rsidRPr="00E832C6">
        <w:rPr>
          <w:rFonts w:ascii="Arial" w:eastAsia="Times New Roman" w:hAnsi="Arial" w:cs="Arial"/>
          <w:bCs/>
          <w:i/>
          <w:iCs/>
          <w:sz w:val="24"/>
          <w:szCs w:val="24"/>
        </w:rPr>
        <w:t>ourt process – failure to prosecute appl</w:t>
      </w:r>
      <w:r w:rsidR="00AF610A">
        <w:rPr>
          <w:rFonts w:ascii="Arial" w:eastAsia="Times New Roman" w:hAnsi="Arial" w:cs="Arial"/>
          <w:bCs/>
          <w:i/>
          <w:iCs/>
          <w:sz w:val="24"/>
          <w:szCs w:val="24"/>
        </w:rPr>
        <w:t>ication</w:t>
      </w:r>
      <w:r w:rsidR="00DB2CD6" w:rsidRPr="00E832C6">
        <w:rPr>
          <w:rFonts w:ascii="Arial" w:eastAsia="Times New Roman" w:hAnsi="Arial" w:cs="Arial"/>
          <w:bCs/>
          <w:i/>
          <w:iCs/>
          <w:sz w:val="24"/>
          <w:szCs w:val="24"/>
        </w:rPr>
        <w:t xml:space="preserve"> </w:t>
      </w:r>
      <w:r w:rsidR="00AF610A">
        <w:rPr>
          <w:rFonts w:ascii="Arial" w:eastAsia="Times New Roman" w:hAnsi="Arial" w:cs="Arial"/>
          <w:bCs/>
          <w:i/>
          <w:iCs/>
          <w:sz w:val="24"/>
          <w:szCs w:val="24"/>
        </w:rPr>
        <w:t xml:space="preserve">expeditiously for six years </w:t>
      </w:r>
      <w:r w:rsidR="002627DF" w:rsidRPr="00E832C6">
        <w:rPr>
          <w:rFonts w:ascii="Arial" w:eastAsia="Times New Roman" w:hAnsi="Arial" w:cs="Arial"/>
          <w:bCs/>
          <w:i/>
          <w:iCs/>
          <w:sz w:val="24"/>
          <w:szCs w:val="24"/>
        </w:rPr>
        <w:t xml:space="preserve">without </w:t>
      </w:r>
      <w:r w:rsidR="00F16595" w:rsidRPr="00E832C6">
        <w:rPr>
          <w:rFonts w:ascii="Arial" w:eastAsia="Times New Roman" w:hAnsi="Arial" w:cs="Arial"/>
          <w:bCs/>
          <w:i/>
          <w:iCs/>
          <w:sz w:val="24"/>
          <w:szCs w:val="24"/>
        </w:rPr>
        <w:t>explanation for delay</w:t>
      </w:r>
      <w:r w:rsidR="00461797" w:rsidRPr="00E832C6">
        <w:rPr>
          <w:rFonts w:ascii="Arial" w:eastAsia="Times New Roman" w:hAnsi="Arial" w:cs="Arial"/>
          <w:bCs/>
          <w:i/>
          <w:iCs/>
          <w:sz w:val="24"/>
          <w:szCs w:val="24"/>
        </w:rPr>
        <w:t xml:space="preserve"> amounts to abuse of </w:t>
      </w:r>
      <w:r w:rsidR="00AF610A">
        <w:rPr>
          <w:rFonts w:ascii="Arial" w:eastAsia="Times New Roman" w:hAnsi="Arial" w:cs="Arial"/>
          <w:bCs/>
          <w:i/>
          <w:iCs/>
          <w:sz w:val="24"/>
          <w:szCs w:val="24"/>
        </w:rPr>
        <w:t>C</w:t>
      </w:r>
      <w:r w:rsidR="00461797" w:rsidRPr="00E832C6">
        <w:rPr>
          <w:rFonts w:ascii="Arial" w:eastAsia="Times New Roman" w:hAnsi="Arial" w:cs="Arial"/>
          <w:bCs/>
          <w:i/>
          <w:iCs/>
          <w:sz w:val="24"/>
          <w:szCs w:val="24"/>
        </w:rPr>
        <w:t>ourt process</w:t>
      </w:r>
      <w:r w:rsidR="00C80348" w:rsidRPr="00E832C6">
        <w:rPr>
          <w:rFonts w:ascii="Arial" w:eastAsia="Times New Roman" w:hAnsi="Arial" w:cs="Arial"/>
          <w:bCs/>
          <w:i/>
          <w:iCs/>
          <w:sz w:val="24"/>
          <w:szCs w:val="24"/>
        </w:rPr>
        <w:t>.</w:t>
      </w:r>
    </w:p>
    <w:p w14:paraId="565988B5" w14:textId="27ACB16C" w:rsidR="003952B2" w:rsidRDefault="0087522D" w:rsidP="003E59C9">
      <w:pPr>
        <w:tabs>
          <w:tab w:val="left" w:pos="9072"/>
        </w:tabs>
        <w:spacing w:before="240" w:after="0" w:line="240" w:lineRule="auto"/>
        <w:ind w:right="-46"/>
        <w:jc w:val="both"/>
        <w:rPr>
          <w:rFonts w:ascii="Arial" w:eastAsia="Times New Roman" w:hAnsi="Arial" w:cs="Arial"/>
          <w:bCs/>
          <w:i/>
          <w:iCs/>
          <w:sz w:val="24"/>
          <w:szCs w:val="24"/>
        </w:rPr>
      </w:pPr>
      <w:r w:rsidRPr="00E832C6">
        <w:rPr>
          <w:rFonts w:ascii="Arial" w:eastAsia="Times New Roman" w:hAnsi="Arial" w:cs="Arial"/>
          <w:bCs/>
          <w:i/>
          <w:iCs/>
          <w:sz w:val="24"/>
          <w:szCs w:val="24"/>
        </w:rPr>
        <w:t>Review</w:t>
      </w:r>
      <w:r w:rsidR="002B6035" w:rsidRPr="00E832C6">
        <w:rPr>
          <w:rFonts w:ascii="Arial" w:eastAsia="Times New Roman" w:hAnsi="Arial" w:cs="Arial"/>
          <w:bCs/>
          <w:i/>
          <w:iCs/>
          <w:sz w:val="24"/>
          <w:szCs w:val="24"/>
        </w:rPr>
        <w:t xml:space="preserve"> </w:t>
      </w:r>
      <w:r w:rsidR="00F039E4" w:rsidRPr="00E832C6">
        <w:rPr>
          <w:rFonts w:ascii="Arial" w:eastAsia="Times New Roman" w:hAnsi="Arial" w:cs="Arial"/>
          <w:bCs/>
          <w:i/>
          <w:iCs/>
          <w:sz w:val="24"/>
          <w:szCs w:val="24"/>
        </w:rPr>
        <w:t>–</w:t>
      </w:r>
      <w:r w:rsidR="00AF610A">
        <w:rPr>
          <w:rFonts w:ascii="Arial" w:eastAsia="Times New Roman" w:hAnsi="Arial" w:cs="Arial"/>
          <w:bCs/>
          <w:i/>
          <w:iCs/>
          <w:sz w:val="24"/>
          <w:szCs w:val="24"/>
        </w:rPr>
        <w:t xml:space="preserve"> </w:t>
      </w:r>
      <w:r w:rsidR="00F039E4" w:rsidRPr="00E832C6">
        <w:rPr>
          <w:rFonts w:ascii="Arial" w:eastAsia="Times New Roman" w:hAnsi="Arial" w:cs="Arial"/>
          <w:bCs/>
          <w:i/>
          <w:iCs/>
          <w:sz w:val="24"/>
          <w:szCs w:val="24"/>
        </w:rPr>
        <w:t xml:space="preserve">Principle of legality </w:t>
      </w:r>
      <w:r w:rsidR="00136C7D" w:rsidRPr="00E832C6">
        <w:rPr>
          <w:rFonts w:ascii="Arial" w:eastAsia="Times New Roman" w:hAnsi="Arial" w:cs="Arial"/>
          <w:bCs/>
          <w:i/>
          <w:iCs/>
          <w:sz w:val="24"/>
          <w:szCs w:val="24"/>
        </w:rPr>
        <w:t xml:space="preserve">– </w:t>
      </w:r>
      <w:r w:rsidR="00BE54CC">
        <w:rPr>
          <w:rFonts w:ascii="Arial" w:eastAsia="Times New Roman" w:hAnsi="Arial" w:cs="Arial"/>
          <w:bCs/>
          <w:i/>
          <w:iCs/>
          <w:sz w:val="24"/>
          <w:szCs w:val="24"/>
        </w:rPr>
        <w:t>d</w:t>
      </w:r>
      <w:r w:rsidR="00136C7D" w:rsidRPr="00E832C6">
        <w:rPr>
          <w:rFonts w:ascii="Arial" w:eastAsia="Times New Roman" w:hAnsi="Arial" w:cs="Arial"/>
          <w:bCs/>
          <w:i/>
          <w:iCs/>
          <w:sz w:val="24"/>
          <w:szCs w:val="24"/>
        </w:rPr>
        <w:t xml:space="preserve">ecision to institute </w:t>
      </w:r>
      <w:r w:rsidR="00BF7AC1" w:rsidRPr="00E832C6">
        <w:rPr>
          <w:rFonts w:ascii="Arial" w:eastAsia="Times New Roman" w:hAnsi="Arial" w:cs="Arial"/>
          <w:bCs/>
          <w:i/>
          <w:iCs/>
          <w:sz w:val="24"/>
          <w:szCs w:val="24"/>
        </w:rPr>
        <w:t xml:space="preserve">prosecution only reviewable under principle of legality – </w:t>
      </w:r>
      <w:r w:rsidR="00206AB8">
        <w:rPr>
          <w:rFonts w:ascii="Arial" w:eastAsia="Times New Roman" w:hAnsi="Arial" w:cs="Arial"/>
          <w:bCs/>
          <w:i/>
          <w:iCs/>
          <w:sz w:val="24"/>
          <w:szCs w:val="24"/>
        </w:rPr>
        <w:t>s</w:t>
      </w:r>
      <w:r w:rsidR="00BF7AC1" w:rsidRPr="00E832C6">
        <w:rPr>
          <w:rFonts w:ascii="Arial" w:eastAsia="Times New Roman" w:hAnsi="Arial" w:cs="Arial"/>
          <w:bCs/>
          <w:i/>
          <w:iCs/>
          <w:sz w:val="24"/>
          <w:szCs w:val="24"/>
        </w:rPr>
        <w:t xml:space="preserve">eparation of powers – </w:t>
      </w:r>
      <w:r w:rsidR="00AF610A" w:rsidRPr="00AF610A">
        <w:rPr>
          <w:rFonts w:ascii="Arial" w:eastAsia="Times New Roman" w:hAnsi="Arial" w:cs="Arial"/>
          <w:bCs/>
          <w:i/>
          <w:iCs/>
          <w:sz w:val="24"/>
          <w:szCs w:val="24"/>
        </w:rPr>
        <w:t xml:space="preserve">section 179(5) of the Constitution of the Republic of South Africa </w:t>
      </w:r>
      <w:r w:rsidR="00AF610A">
        <w:rPr>
          <w:rFonts w:ascii="Arial" w:eastAsia="Times New Roman" w:hAnsi="Arial" w:cs="Arial"/>
          <w:bCs/>
          <w:i/>
          <w:iCs/>
          <w:sz w:val="24"/>
          <w:szCs w:val="24"/>
        </w:rPr>
        <w:t>C</w:t>
      </w:r>
      <w:r w:rsidR="00BF7AC1" w:rsidRPr="00E832C6">
        <w:rPr>
          <w:rFonts w:ascii="Arial" w:eastAsia="Times New Roman" w:hAnsi="Arial" w:cs="Arial"/>
          <w:bCs/>
          <w:i/>
          <w:iCs/>
          <w:sz w:val="24"/>
          <w:szCs w:val="24"/>
        </w:rPr>
        <w:t xml:space="preserve">ourts will not easily review decision to prosecute </w:t>
      </w:r>
      <w:r w:rsidR="00085AEE" w:rsidRPr="00E832C6">
        <w:rPr>
          <w:rFonts w:ascii="Arial" w:eastAsia="Times New Roman" w:hAnsi="Arial" w:cs="Arial"/>
          <w:bCs/>
          <w:i/>
          <w:iCs/>
          <w:sz w:val="24"/>
          <w:szCs w:val="24"/>
        </w:rPr>
        <w:t>–</w:t>
      </w:r>
      <w:r w:rsidR="00895E22" w:rsidRPr="00E832C6">
        <w:rPr>
          <w:rFonts w:ascii="Arial" w:eastAsia="Times New Roman" w:hAnsi="Arial" w:cs="Arial"/>
          <w:bCs/>
          <w:i/>
          <w:iCs/>
          <w:sz w:val="24"/>
          <w:szCs w:val="24"/>
        </w:rPr>
        <w:t xml:space="preserve">– </w:t>
      </w:r>
      <w:r w:rsidR="00206AB8">
        <w:rPr>
          <w:rFonts w:ascii="Arial" w:eastAsia="Times New Roman" w:hAnsi="Arial" w:cs="Arial"/>
          <w:bCs/>
          <w:i/>
          <w:iCs/>
          <w:sz w:val="24"/>
          <w:szCs w:val="24"/>
        </w:rPr>
        <w:t>s</w:t>
      </w:r>
      <w:r w:rsidR="00355AB1" w:rsidRPr="00E832C6">
        <w:rPr>
          <w:rFonts w:ascii="Arial" w:eastAsia="Times New Roman" w:hAnsi="Arial" w:cs="Arial"/>
          <w:bCs/>
          <w:i/>
          <w:iCs/>
          <w:sz w:val="24"/>
          <w:szCs w:val="24"/>
        </w:rPr>
        <w:t>ection 22 of the National Prosecuting Authority Act</w:t>
      </w:r>
      <w:r w:rsidR="00085AEE" w:rsidRPr="00E832C6">
        <w:rPr>
          <w:rFonts w:ascii="Arial" w:eastAsia="Times New Roman" w:hAnsi="Arial" w:cs="Arial"/>
          <w:bCs/>
          <w:i/>
          <w:iCs/>
          <w:sz w:val="24"/>
          <w:szCs w:val="24"/>
        </w:rPr>
        <w:t xml:space="preserve"> </w:t>
      </w:r>
      <w:r w:rsidR="000A45AE" w:rsidRPr="00E832C6">
        <w:rPr>
          <w:rFonts w:ascii="Arial" w:eastAsia="Times New Roman" w:hAnsi="Arial" w:cs="Arial"/>
          <w:bCs/>
          <w:i/>
          <w:iCs/>
          <w:sz w:val="24"/>
          <w:szCs w:val="24"/>
        </w:rPr>
        <w:t xml:space="preserve">32 of 1998 – National Director of Public Prosecutions </w:t>
      </w:r>
      <w:r w:rsidR="00AB6F5C" w:rsidRPr="00E832C6">
        <w:rPr>
          <w:rFonts w:ascii="Arial" w:eastAsia="Times New Roman" w:hAnsi="Arial" w:cs="Arial"/>
          <w:bCs/>
          <w:i/>
          <w:iCs/>
          <w:sz w:val="24"/>
          <w:szCs w:val="24"/>
        </w:rPr>
        <w:t>–</w:t>
      </w:r>
      <w:r w:rsidR="009E7935">
        <w:rPr>
          <w:rFonts w:ascii="Arial" w:eastAsia="Times New Roman" w:hAnsi="Arial" w:cs="Arial"/>
          <w:bCs/>
          <w:i/>
          <w:iCs/>
          <w:sz w:val="24"/>
          <w:szCs w:val="24"/>
        </w:rPr>
        <w:t xml:space="preserve"> </w:t>
      </w:r>
      <w:r w:rsidR="00206AB8">
        <w:rPr>
          <w:rFonts w:ascii="Arial" w:eastAsia="Times New Roman" w:hAnsi="Arial" w:cs="Arial"/>
          <w:bCs/>
          <w:i/>
          <w:iCs/>
          <w:sz w:val="24"/>
          <w:szCs w:val="24"/>
        </w:rPr>
        <w:t>r</w:t>
      </w:r>
      <w:r w:rsidR="009E7935">
        <w:rPr>
          <w:rFonts w:ascii="Arial" w:eastAsia="Times New Roman" w:hAnsi="Arial" w:cs="Arial"/>
          <w:bCs/>
          <w:i/>
          <w:iCs/>
          <w:sz w:val="24"/>
          <w:szCs w:val="24"/>
        </w:rPr>
        <w:t>efusal to review decision</w:t>
      </w:r>
      <w:r w:rsidR="00EE2F58">
        <w:rPr>
          <w:rFonts w:ascii="Arial" w:eastAsia="Times New Roman" w:hAnsi="Arial" w:cs="Arial"/>
          <w:bCs/>
          <w:i/>
          <w:iCs/>
          <w:sz w:val="24"/>
          <w:szCs w:val="24"/>
        </w:rPr>
        <w:t xml:space="preserve"> by Director of Public Prosecutions</w:t>
      </w:r>
      <w:r w:rsidR="009E7935">
        <w:rPr>
          <w:rFonts w:ascii="Arial" w:eastAsia="Times New Roman" w:hAnsi="Arial" w:cs="Arial"/>
          <w:bCs/>
          <w:i/>
          <w:iCs/>
          <w:sz w:val="24"/>
          <w:szCs w:val="24"/>
        </w:rPr>
        <w:t xml:space="preserve"> to </w:t>
      </w:r>
      <w:r w:rsidR="00EE2F58">
        <w:rPr>
          <w:rFonts w:ascii="Arial" w:eastAsia="Times New Roman" w:hAnsi="Arial" w:cs="Arial"/>
          <w:bCs/>
          <w:i/>
          <w:iCs/>
          <w:sz w:val="24"/>
          <w:szCs w:val="24"/>
        </w:rPr>
        <w:t xml:space="preserve">institute prosecution </w:t>
      </w:r>
      <w:r w:rsidR="009E7935">
        <w:rPr>
          <w:rFonts w:ascii="Arial" w:eastAsia="Times New Roman" w:hAnsi="Arial" w:cs="Arial"/>
          <w:bCs/>
          <w:i/>
          <w:iCs/>
          <w:sz w:val="24"/>
          <w:szCs w:val="24"/>
        </w:rPr>
        <w:t xml:space="preserve">– </w:t>
      </w:r>
      <w:r w:rsidR="00206AB8">
        <w:rPr>
          <w:rFonts w:ascii="Arial" w:eastAsia="Times New Roman" w:hAnsi="Arial" w:cs="Arial"/>
          <w:bCs/>
          <w:i/>
          <w:iCs/>
          <w:sz w:val="24"/>
          <w:szCs w:val="24"/>
        </w:rPr>
        <w:t>p</w:t>
      </w:r>
      <w:r w:rsidR="00AB6F5C" w:rsidRPr="00E832C6">
        <w:rPr>
          <w:rFonts w:ascii="Arial" w:eastAsia="Times New Roman" w:hAnsi="Arial" w:cs="Arial"/>
          <w:bCs/>
          <w:i/>
          <w:iCs/>
          <w:sz w:val="24"/>
          <w:szCs w:val="24"/>
        </w:rPr>
        <w:t xml:space="preserve">rosecutorial independence – </w:t>
      </w:r>
      <w:r w:rsidR="00206AB8">
        <w:rPr>
          <w:rFonts w:ascii="Arial" w:eastAsia="Times New Roman" w:hAnsi="Arial" w:cs="Arial"/>
          <w:bCs/>
          <w:i/>
          <w:iCs/>
          <w:sz w:val="24"/>
          <w:szCs w:val="24"/>
        </w:rPr>
        <w:t>d</w:t>
      </w:r>
      <w:r w:rsidR="00AB6F5C" w:rsidRPr="00E832C6">
        <w:rPr>
          <w:rFonts w:ascii="Arial" w:eastAsia="Times New Roman" w:hAnsi="Arial" w:cs="Arial"/>
          <w:bCs/>
          <w:i/>
          <w:iCs/>
          <w:sz w:val="24"/>
          <w:szCs w:val="24"/>
        </w:rPr>
        <w:t xml:space="preserve">ecision </w:t>
      </w:r>
      <w:r w:rsidR="002A7C52">
        <w:rPr>
          <w:rFonts w:ascii="Arial" w:eastAsia="Times New Roman" w:hAnsi="Arial" w:cs="Arial"/>
          <w:bCs/>
          <w:i/>
          <w:iCs/>
          <w:sz w:val="24"/>
          <w:szCs w:val="24"/>
        </w:rPr>
        <w:t>rationally connected to information placed before National Director of Public Prosecutions</w:t>
      </w:r>
      <w:r w:rsidR="008877CA" w:rsidRPr="00E832C6">
        <w:rPr>
          <w:rFonts w:ascii="Arial" w:eastAsia="Times New Roman" w:hAnsi="Arial" w:cs="Arial"/>
          <w:bCs/>
          <w:i/>
          <w:iCs/>
          <w:sz w:val="24"/>
          <w:szCs w:val="24"/>
        </w:rPr>
        <w:t>.</w:t>
      </w:r>
    </w:p>
    <w:p w14:paraId="42C2C93A" w14:textId="77777777" w:rsidR="003952B2" w:rsidRPr="00707F06" w:rsidRDefault="003952B2" w:rsidP="003952B2">
      <w:pPr>
        <w:pStyle w:val="Judgmentbetweenparagraphs"/>
        <w:rPr>
          <w:sz w:val="2"/>
          <w:szCs w:val="2"/>
        </w:rPr>
      </w:pPr>
    </w:p>
    <w:p w14:paraId="43DE6EDB" w14:textId="77777777" w:rsidR="003952B2" w:rsidRPr="007A5967" w:rsidRDefault="003952B2" w:rsidP="003952B2">
      <w:pPr>
        <w:pBdr>
          <w:top w:val="single" w:sz="18" w:space="1" w:color="auto"/>
        </w:pBdr>
        <w:spacing w:after="0" w:line="240" w:lineRule="auto"/>
        <w:jc w:val="center"/>
        <w:rPr>
          <w:rFonts w:ascii="Arial" w:eastAsia="Times New Roman" w:hAnsi="Arial" w:cs="Arial"/>
          <w:b/>
          <w:sz w:val="24"/>
          <w:szCs w:val="24"/>
        </w:rPr>
      </w:pPr>
    </w:p>
    <w:p w14:paraId="474F9F00" w14:textId="7A6B553C" w:rsidR="003952B2" w:rsidRPr="007A5967" w:rsidRDefault="003952B2" w:rsidP="003952B2">
      <w:pPr>
        <w:spacing w:after="0" w:line="240" w:lineRule="auto"/>
        <w:jc w:val="center"/>
        <w:rPr>
          <w:rFonts w:ascii="Arial" w:eastAsia="Times New Roman" w:hAnsi="Arial" w:cs="Arial"/>
          <w:b/>
          <w:sz w:val="24"/>
          <w:szCs w:val="24"/>
        </w:rPr>
      </w:pPr>
      <w:r>
        <w:rPr>
          <w:rFonts w:ascii="Arial" w:eastAsia="Times New Roman" w:hAnsi="Arial" w:cs="Arial"/>
          <w:b/>
          <w:sz w:val="24"/>
          <w:szCs w:val="24"/>
        </w:rPr>
        <w:t>ORDER</w:t>
      </w:r>
    </w:p>
    <w:p w14:paraId="54939BDD" w14:textId="77777777" w:rsidR="003952B2" w:rsidRPr="007A5967" w:rsidRDefault="003952B2" w:rsidP="003952B2">
      <w:pPr>
        <w:pBdr>
          <w:bottom w:val="single" w:sz="18" w:space="1" w:color="auto"/>
        </w:pBdr>
        <w:spacing w:line="240" w:lineRule="auto"/>
        <w:jc w:val="center"/>
        <w:rPr>
          <w:rFonts w:ascii="Arial" w:eastAsia="Times New Roman" w:hAnsi="Arial" w:cs="Arial"/>
          <w:b/>
          <w:sz w:val="24"/>
          <w:szCs w:val="24"/>
        </w:rPr>
      </w:pPr>
    </w:p>
    <w:p w14:paraId="10BE984D" w14:textId="7AFE90D2" w:rsidR="003952B2" w:rsidRDefault="00715A2A" w:rsidP="00715A2A">
      <w:pPr>
        <w:pStyle w:val="JudgmentNumbering"/>
        <w:numPr>
          <w:ilvl w:val="0"/>
          <w:numId w:val="0"/>
        </w:numPr>
        <w:spacing w:before="240"/>
        <w:ind w:left="1276" w:hanging="567"/>
      </w:pPr>
      <w:r>
        <w:t>1.</w:t>
      </w:r>
      <w:r>
        <w:tab/>
      </w:r>
      <w:r w:rsidR="003952B2" w:rsidRPr="007A5967">
        <w:t>The application is dismissed</w:t>
      </w:r>
      <w:r w:rsidR="003952B2">
        <w:t xml:space="preserve">.  </w:t>
      </w:r>
    </w:p>
    <w:p w14:paraId="39B3457A" w14:textId="6CD3234F" w:rsidR="003952B2" w:rsidRPr="003952B2" w:rsidRDefault="00715A2A" w:rsidP="00715A2A">
      <w:pPr>
        <w:pStyle w:val="JudgmentNumbering"/>
        <w:numPr>
          <w:ilvl w:val="0"/>
          <w:numId w:val="0"/>
        </w:numPr>
        <w:spacing w:before="240" w:after="240"/>
        <w:ind w:left="1276" w:hanging="567"/>
      </w:pPr>
      <w:r w:rsidRPr="003952B2">
        <w:t>2.</w:t>
      </w:r>
      <w:r w:rsidRPr="003952B2">
        <w:tab/>
      </w:r>
      <w:r w:rsidR="003952B2">
        <w:t xml:space="preserve">Each party is ordered to pay their own costs.  </w:t>
      </w:r>
    </w:p>
    <w:p w14:paraId="5C8705C5" w14:textId="77777777" w:rsidR="00B35DC3" w:rsidRPr="007A5967" w:rsidRDefault="00B35DC3" w:rsidP="00D6746A">
      <w:pPr>
        <w:pBdr>
          <w:top w:val="single" w:sz="18" w:space="1" w:color="auto"/>
        </w:pBdr>
        <w:spacing w:after="0" w:line="240" w:lineRule="auto"/>
        <w:jc w:val="center"/>
        <w:rPr>
          <w:rFonts w:ascii="Arial" w:eastAsia="Times New Roman" w:hAnsi="Arial" w:cs="Arial"/>
          <w:b/>
          <w:sz w:val="24"/>
          <w:szCs w:val="24"/>
        </w:rPr>
      </w:pPr>
    </w:p>
    <w:p w14:paraId="378E7D6F" w14:textId="05670713" w:rsidR="007A38A8" w:rsidRPr="007A5967" w:rsidRDefault="007A38A8" w:rsidP="00D6746A">
      <w:pPr>
        <w:spacing w:after="0" w:line="240" w:lineRule="auto"/>
        <w:jc w:val="center"/>
        <w:rPr>
          <w:rFonts w:ascii="Arial" w:eastAsia="Times New Roman" w:hAnsi="Arial" w:cs="Arial"/>
          <w:b/>
          <w:sz w:val="24"/>
          <w:szCs w:val="24"/>
        </w:rPr>
      </w:pPr>
      <w:r w:rsidRPr="007A5967">
        <w:rPr>
          <w:rFonts w:ascii="Arial" w:eastAsia="Times New Roman" w:hAnsi="Arial" w:cs="Arial"/>
          <w:b/>
          <w:sz w:val="24"/>
          <w:szCs w:val="24"/>
        </w:rPr>
        <w:t>JUDGMENT</w:t>
      </w:r>
    </w:p>
    <w:p w14:paraId="53E450BA" w14:textId="77777777" w:rsidR="00B35DC3" w:rsidRPr="007A5967" w:rsidRDefault="00B35DC3" w:rsidP="00D6746A">
      <w:pPr>
        <w:pBdr>
          <w:bottom w:val="single" w:sz="18" w:space="1" w:color="auto"/>
        </w:pBdr>
        <w:spacing w:after="0" w:line="240" w:lineRule="auto"/>
        <w:jc w:val="center"/>
        <w:rPr>
          <w:rFonts w:ascii="Arial" w:eastAsia="Times New Roman" w:hAnsi="Arial" w:cs="Arial"/>
          <w:b/>
          <w:sz w:val="24"/>
          <w:szCs w:val="24"/>
        </w:rPr>
      </w:pPr>
    </w:p>
    <w:p w14:paraId="06FB422A" w14:textId="55C5B51C" w:rsidR="008177E5" w:rsidRPr="007A5967" w:rsidRDefault="008177E5" w:rsidP="00D36E2A">
      <w:pPr>
        <w:spacing w:before="120" w:after="0" w:line="240" w:lineRule="auto"/>
        <w:rPr>
          <w:rFonts w:ascii="Arial" w:hAnsi="Arial" w:cs="Arial"/>
          <w:i/>
          <w:iCs/>
          <w:sz w:val="24"/>
          <w:szCs w:val="24"/>
        </w:rPr>
      </w:pPr>
      <w:bookmarkStart w:id="0" w:name="_Hlk153654713"/>
      <w:r w:rsidRPr="007A5967">
        <w:rPr>
          <w:rFonts w:ascii="Arial" w:hAnsi="Arial" w:cs="Arial"/>
          <w:sz w:val="24"/>
          <w:szCs w:val="24"/>
        </w:rPr>
        <w:t>MLAMBO, JP</w:t>
      </w:r>
    </w:p>
    <w:p w14:paraId="7025FB21" w14:textId="77777777" w:rsidR="008177E5" w:rsidRPr="007A5967" w:rsidRDefault="008177E5" w:rsidP="00114EB5">
      <w:pPr>
        <w:pStyle w:val="JudgmentHeading"/>
        <w:spacing w:before="0" w:beforeAutospacing="0" w:line="240" w:lineRule="auto"/>
        <w:rPr>
          <w:i w:val="0"/>
          <w:iCs/>
        </w:rPr>
      </w:pPr>
    </w:p>
    <w:p w14:paraId="7C2011D4" w14:textId="77777777" w:rsidR="008177E5" w:rsidRPr="007A5967" w:rsidRDefault="008177E5" w:rsidP="00114EB5">
      <w:pPr>
        <w:pStyle w:val="JudgmentNumbering"/>
        <w:numPr>
          <w:ilvl w:val="0"/>
          <w:numId w:val="0"/>
        </w:numPr>
        <w:spacing w:line="240" w:lineRule="auto"/>
      </w:pPr>
    </w:p>
    <w:p w14:paraId="7558E122" w14:textId="77777777" w:rsidR="008177E5" w:rsidRPr="007A5967" w:rsidRDefault="008177E5" w:rsidP="00114EB5">
      <w:pPr>
        <w:pStyle w:val="JudgmentHeading"/>
        <w:spacing w:before="0" w:beforeAutospacing="0"/>
      </w:pPr>
      <w:r w:rsidRPr="007A5967">
        <w:t>Introduction</w:t>
      </w:r>
    </w:p>
    <w:bookmarkEnd w:id="0"/>
    <w:p w14:paraId="2AC811F6" w14:textId="12CA0FF7" w:rsidR="00273963" w:rsidRPr="007A5967" w:rsidRDefault="00715A2A" w:rsidP="00715A2A">
      <w:pPr>
        <w:pStyle w:val="JudgmentNumbered"/>
        <w:numPr>
          <w:ilvl w:val="0"/>
          <w:numId w:val="0"/>
        </w:numPr>
        <w:rPr>
          <w:lang w:val="en-ZA"/>
        </w:rPr>
      </w:pPr>
      <w:r w:rsidRPr="007A5967">
        <w:rPr>
          <w:lang w:val="en-ZA"/>
        </w:rPr>
        <w:t>[1]</w:t>
      </w:r>
      <w:r w:rsidRPr="007A5967">
        <w:rPr>
          <w:lang w:val="en-ZA"/>
        </w:rPr>
        <w:tab/>
      </w:r>
      <w:r w:rsidR="00273963" w:rsidRPr="007A5967">
        <w:rPr>
          <w:lang w:val="en-ZA"/>
        </w:rPr>
        <w:t xml:space="preserve">This </w:t>
      </w:r>
      <w:r w:rsidR="001F59F5">
        <w:rPr>
          <w:lang w:val="en-ZA"/>
        </w:rPr>
        <w:t>is a review application that</w:t>
      </w:r>
      <w:r w:rsidR="005F4BBE">
        <w:rPr>
          <w:lang w:val="en-ZA"/>
        </w:rPr>
        <w:t xml:space="preserve"> </w:t>
      </w:r>
      <w:r w:rsidR="001F59F5">
        <w:rPr>
          <w:lang w:val="en-ZA"/>
        </w:rPr>
        <w:t xml:space="preserve">has its origins </w:t>
      </w:r>
      <w:r w:rsidR="00DB7D82">
        <w:rPr>
          <w:lang w:val="en-ZA"/>
        </w:rPr>
        <w:t>in</w:t>
      </w:r>
      <w:r w:rsidR="00273963" w:rsidRPr="007A5967">
        <w:rPr>
          <w:lang w:val="en-ZA"/>
        </w:rPr>
        <w:t xml:space="preserve"> the events that took place in Marikana, near Rustenburg, during 9 to 16 August 2012. </w:t>
      </w:r>
      <w:r w:rsidR="00462B25">
        <w:rPr>
          <w:lang w:val="en-ZA"/>
        </w:rPr>
        <w:t xml:space="preserve"> </w:t>
      </w:r>
      <w:r w:rsidR="00273963" w:rsidRPr="007A5967">
        <w:rPr>
          <w:lang w:val="en-ZA"/>
        </w:rPr>
        <w:t xml:space="preserve">The applicants, who were all miners on strike at the time, </w:t>
      </w:r>
      <w:r w:rsidR="001F59F5">
        <w:rPr>
          <w:lang w:val="en-ZA"/>
        </w:rPr>
        <w:t xml:space="preserve">were indicted in the </w:t>
      </w:r>
      <w:r w:rsidR="00151011">
        <w:rPr>
          <w:lang w:val="en-ZA"/>
        </w:rPr>
        <w:t>Mahikeng</w:t>
      </w:r>
      <w:r w:rsidR="0092253A" w:rsidRPr="007A5967">
        <w:rPr>
          <w:lang w:val="en-ZA"/>
        </w:rPr>
        <w:t xml:space="preserve"> High Court</w:t>
      </w:r>
      <w:r w:rsidR="0092253A">
        <w:rPr>
          <w:rStyle w:val="FootnoteReference"/>
          <w:lang w:val="en-ZA"/>
        </w:rPr>
        <w:footnoteReference w:id="2"/>
      </w:r>
      <w:r w:rsidR="0092253A" w:rsidRPr="007A5967">
        <w:rPr>
          <w:lang w:val="en-ZA"/>
        </w:rPr>
        <w:t xml:space="preserve"> </w:t>
      </w:r>
      <w:r w:rsidR="001F59F5">
        <w:rPr>
          <w:lang w:val="en-ZA"/>
        </w:rPr>
        <w:t>on a number of counts related to some of those events</w:t>
      </w:r>
      <w:r w:rsidR="00273963" w:rsidRPr="007A5967">
        <w:rPr>
          <w:lang w:val="en-ZA"/>
        </w:rPr>
        <w:t xml:space="preserve">. </w:t>
      </w:r>
      <w:r w:rsidR="00462B25">
        <w:rPr>
          <w:lang w:val="en-ZA"/>
        </w:rPr>
        <w:t xml:space="preserve"> </w:t>
      </w:r>
      <w:r w:rsidR="00273963" w:rsidRPr="007A5967">
        <w:rPr>
          <w:lang w:val="en-ZA"/>
        </w:rPr>
        <w:t xml:space="preserve">In this application, they want this </w:t>
      </w:r>
      <w:r w:rsidR="00CD70E9">
        <w:rPr>
          <w:lang w:val="en-ZA"/>
        </w:rPr>
        <w:t>C</w:t>
      </w:r>
      <w:r w:rsidR="00273963" w:rsidRPr="007A5967">
        <w:rPr>
          <w:lang w:val="en-ZA"/>
        </w:rPr>
        <w:t xml:space="preserve">ourt to declare the continuation of their prosecution as unlawful and to review and set aside the first respondent’s decision not to intervene and stop </w:t>
      </w:r>
      <w:r w:rsidR="00EA1C4F">
        <w:rPr>
          <w:lang w:val="en-ZA"/>
        </w:rPr>
        <w:t>it</w:t>
      </w:r>
      <w:r w:rsidR="00273963" w:rsidRPr="007A5967">
        <w:rPr>
          <w:lang w:val="en-ZA"/>
        </w:rPr>
        <w:t>.</w:t>
      </w:r>
      <w:r w:rsidR="00462B25">
        <w:rPr>
          <w:lang w:val="en-ZA"/>
        </w:rPr>
        <w:t xml:space="preserve">  </w:t>
      </w:r>
    </w:p>
    <w:p w14:paraId="5EBD6805" w14:textId="63D58E89" w:rsidR="00462B25" w:rsidRDefault="00715A2A" w:rsidP="00715A2A">
      <w:pPr>
        <w:pStyle w:val="JudgmentNumbered"/>
        <w:numPr>
          <w:ilvl w:val="0"/>
          <w:numId w:val="0"/>
        </w:numPr>
        <w:rPr>
          <w:lang w:val="en-ZA"/>
        </w:rPr>
      </w:pPr>
      <w:r>
        <w:rPr>
          <w:lang w:val="en-ZA"/>
        </w:rPr>
        <w:t>[2]</w:t>
      </w:r>
      <w:r>
        <w:rPr>
          <w:lang w:val="en-ZA"/>
        </w:rPr>
        <w:tab/>
      </w:r>
      <w:r w:rsidR="00273963" w:rsidRPr="007A5967">
        <w:rPr>
          <w:lang w:val="en-ZA"/>
        </w:rPr>
        <w:t xml:space="preserve">The review application was instituted </w:t>
      </w:r>
      <w:r w:rsidR="008D1B2A">
        <w:rPr>
          <w:lang w:val="en-ZA"/>
        </w:rPr>
        <w:t>o</w:t>
      </w:r>
      <w:r w:rsidR="008D1B2A" w:rsidRPr="007A5967">
        <w:rPr>
          <w:lang w:val="en-ZA"/>
        </w:rPr>
        <w:t xml:space="preserve">n </w:t>
      </w:r>
      <w:r w:rsidR="008D1B2A">
        <w:rPr>
          <w:lang w:val="en-ZA"/>
        </w:rPr>
        <w:t xml:space="preserve">10 October </w:t>
      </w:r>
      <w:r w:rsidR="00273963" w:rsidRPr="007A5967">
        <w:rPr>
          <w:lang w:val="en-ZA"/>
        </w:rPr>
        <w:t>2017</w:t>
      </w:r>
      <w:r w:rsidR="00E04BB4">
        <w:rPr>
          <w:lang w:val="en-ZA"/>
        </w:rPr>
        <w:t xml:space="preserve"> and </w:t>
      </w:r>
      <w:r w:rsidR="00273963" w:rsidRPr="007A5967">
        <w:rPr>
          <w:lang w:val="en-ZA"/>
        </w:rPr>
        <w:t>was set down to be heard before me on 10 October 2023</w:t>
      </w:r>
      <w:r w:rsidR="004D0901">
        <w:rPr>
          <w:lang w:val="en-ZA"/>
        </w:rPr>
        <w:t xml:space="preserve">, </w:t>
      </w:r>
      <w:r w:rsidR="00C26EFA">
        <w:rPr>
          <w:lang w:val="en-ZA"/>
        </w:rPr>
        <w:t>i.e.,</w:t>
      </w:r>
      <w:r w:rsidR="004D0901">
        <w:rPr>
          <w:lang w:val="en-ZA"/>
        </w:rPr>
        <w:t xml:space="preserve"> some 6 years </w:t>
      </w:r>
      <w:r w:rsidR="00721A91">
        <w:rPr>
          <w:lang w:val="en-ZA"/>
        </w:rPr>
        <w:t>later</w:t>
      </w:r>
      <w:r w:rsidR="00462B25">
        <w:rPr>
          <w:lang w:val="en-ZA"/>
        </w:rPr>
        <w:t xml:space="preserve">.  </w:t>
      </w:r>
      <w:r w:rsidR="00273963" w:rsidRPr="007A5967">
        <w:rPr>
          <w:lang w:val="en-ZA"/>
        </w:rPr>
        <w:t xml:space="preserve">The </w:t>
      </w:r>
      <w:r w:rsidR="001D68CB" w:rsidRPr="007A5967">
        <w:rPr>
          <w:lang w:val="en-ZA"/>
        </w:rPr>
        <w:t>f</w:t>
      </w:r>
      <w:r w:rsidR="00273963" w:rsidRPr="007A5967">
        <w:rPr>
          <w:lang w:val="en-ZA"/>
        </w:rPr>
        <w:t>irst</w:t>
      </w:r>
      <w:r w:rsidR="001D68CB" w:rsidRPr="007A5967">
        <w:rPr>
          <w:lang w:val="en-ZA"/>
        </w:rPr>
        <w:t xml:space="preserve"> to third respondents </w:t>
      </w:r>
      <w:r w:rsidR="00273963" w:rsidRPr="007A5967">
        <w:rPr>
          <w:lang w:val="en-ZA"/>
        </w:rPr>
        <w:t>oppose th</w:t>
      </w:r>
      <w:r w:rsidR="00721A91">
        <w:rPr>
          <w:lang w:val="en-ZA"/>
        </w:rPr>
        <w:t>e application</w:t>
      </w:r>
      <w:r w:rsidR="004436F5">
        <w:rPr>
          <w:lang w:val="en-ZA"/>
        </w:rPr>
        <w:t xml:space="preserve">. Their primary basis is that </w:t>
      </w:r>
      <w:r w:rsidR="00273963" w:rsidRPr="007A5967">
        <w:rPr>
          <w:lang w:val="en-ZA"/>
        </w:rPr>
        <w:t>the prosecutions are lawful and rational.</w:t>
      </w:r>
      <w:r w:rsidR="00273963" w:rsidRPr="007A5967">
        <w:rPr>
          <w:vertAlign w:val="superscript"/>
          <w:lang w:val="en-ZA"/>
        </w:rPr>
        <w:footnoteReference w:id="3"/>
      </w:r>
      <w:r w:rsidR="00273963" w:rsidRPr="007A5967">
        <w:rPr>
          <w:lang w:val="en-ZA"/>
        </w:rPr>
        <w:t xml:space="preserve"> Beyond the merits, they raise two </w:t>
      </w:r>
      <w:r w:rsidR="001F59F5">
        <w:rPr>
          <w:lang w:val="en-ZA"/>
        </w:rPr>
        <w:t xml:space="preserve">legal </w:t>
      </w:r>
      <w:r w:rsidR="00273963" w:rsidRPr="007A5967">
        <w:rPr>
          <w:lang w:val="en-ZA"/>
        </w:rPr>
        <w:t xml:space="preserve">points: that there was undue delay in </w:t>
      </w:r>
      <w:r w:rsidR="004436F5">
        <w:rPr>
          <w:lang w:val="en-ZA"/>
        </w:rPr>
        <w:t xml:space="preserve">prosecuting </w:t>
      </w:r>
      <w:r w:rsidR="00FE37D2">
        <w:rPr>
          <w:lang w:val="en-ZA"/>
        </w:rPr>
        <w:t xml:space="preserve">the </w:t>
      </w:r>
      <w:r w:rsidR="00273963" w:rsidRPr="007A5967">
        <w:rPr>
          <w:lang w:val="en-ZA"/>
        </w:rPr>
        <w:t>application; and that this court lacks jurisdiction to hear it</w:t>
      </w:r>
      <w:r w:rsidR="00462B25">
        <w:rPr>
          <w:lang w:val="en-ZA"/>
        </w:rPr>
        <w:t xml:space="preserve">.  </w:t>
      </w:r>
    </w:p>
    <w:p w14:paraId="560ACCC8" w14:textId="45656AC2" w:rsidR="00273963" w:rsidRPr="007A5967" w:rsidRDefault="00273963" w:rsidP="00273963">
      <w:pPr>
        <w:pStyle w:val="JudgmentHeading"/>
      </w:pPr>
      <w:r w:rsidRPr="007A5967">
        <w:t xml:space="preserve">The Parties </w:t>
      </w:r>
    </w:p>
    <w:p w14:paraId="775EF3F6" w14:textId="0F9F0D80" w:rsidR="00273963" w:rsidRPr="007A5967" w:rsidRDefault="00715A2A" w:rsidP="00715A2A">
      <w:pPr>
        <w:pStyle w:val="JudgmentNumbered"/>
        <w:numPr>
          <w:ilvl w:val="0"/>
          <w:numId w:val="0"/>
        </w:numPr>
        <w:rPr>
          <w:lang w:val="en-ZA"/>
        </w:rPr>
      </w:pPr>
      <w:r w:rsidRPr="007A5967">
        <w:rPr>
          <w:lang w:val="en-ZA"/>
        </w:rPr>
        <w:t>[3]</w:t>
      </w:r>
      <w:r w:rsidRPr="007A5967">
        <w:rPr>
          <w:lang w:val="en-ZA"/>
        </w:rPr>
        <w:tab/>
      </w:r>
      <w:r w:rsidR="00273963" w:rsidRPr="007A5967">
        <w:rPr>
          <w:lang w:val="en-ZA"/>
        </w:rPr>
        <w:t xml:space="preserve">The first to nineteenth applicants are all former miners employed in the Platinum mining area, in Marikana, North West. </w:t>
      </w:r>
      <w:r w:rsidR="00462B25">
        <w:rPr>
          <w:lang w:val="en-ZA"/>
        </w:rPr>
        <w:t xml:space="preserve"> </w:t>
      </w:r>
      <w:r w:rsidR="00273963" w:rsidRPr="007A5967">
        <w:rPr>
          <w:lang w:val="en-ZA"/>
        </w:rPr>
        <w:t>The twentieth applicant is the Association of Mineworkers and Construction Union (AMCU), a trade union, duly registered in terms of the provisions of the Labour Relations Act.</w:t>
      </w:r>
      <w:r w:rsidR="00273963" w:rsidRPr="007A5967">
        <w:rPr>
          <w:vertAlign w:val="superscript"/>
          <w:lang w:val="en-ZA"/>
        </w:rPr>
        <w:footnoteReference w:id="4"/>
      </w:r>
      <w:r w:rsidR="00273963" w:rsidRPr="007A5967">
        <w:rPr>
          <w:lang w:val="en-ZA"/>
        </w:rPr>
        <w:t xml:space="preserve">  </w:t>
      </w:r>
    </w:p>
    <w:p w14:paraId="0E374AD6" w14:textId="50D4D292" w:rsidR="00462B25" w:rsidRDefault="00715A2A" w:rsidP="00715A2A">
      <w:pPr>
        <w:pStyle w:val="JudgmentNumbered"/>
        <w:numPr>
          <w:ilvl w:val="0"/>
          <w:numId w:val="0"/>
        </w:numPr>
        <w:rPr>
          <w:lang w:val="en-ZA"/>
        </w:rPr>
      </w:pPr>
      <w:r>
        <w:rPr>
          <w:lang w:val="en-ZA"/>
        </w:rPr>
        <w:lastRenderedPageBreak/>
        <w:t>[4]</w:t>
      </w:r>
      <w:r>
        <w:rPr>
          <w:lang w:val="en-ZA"/>
        </w:rPr>
        <w:tab/>
      </w:r>
      <w:r w:rsidR="00273963" w:rsidRPr="007A5967">
        <w:rPr>
          <w:lang w:val="en-ZA"/>
        </w:rPr>
        <w:t xml:space="preserve">The first respondent is the National Director of </w:t>
      </w:r>
      <w:r w:rsidR="001D68CB" w:rsidRPr="007A5967">
        <w:rPr>
          <w:lang w:val="en-ZA"/>
        </w:rPr>
        <w:t>P</w:t>
      </w:r>
      <w:r w:rsidR="00273963" w:rsidRPr="007A5967">
        <w:rPr>
          <w:lang w:val="en-ZA"/>
        </w:rPr>
        <w:t>ublic Prosecutions (NDPP), at the time of this application being Advocate Shawn Abrahams</w:t>
      </w:r>
      <w:r w:rsidR="00462B25">
        <w:rPr>
          <w:lang w:val="en-ZA"/>
        </w:rPr>
        <w:t xml:space="preserve">.  </w:t>
      </w:r>
      <w:r w:rsidR="00273963" w:rsidRPr="007A5967">
        <w:rPr>
          <w:lang w:val="en-ZA"/>
        </w:rPr>
        <w:t>The NDPP is the head of the National Prosecuting Authority (NPA) and has the power “to institute criminal proceedings on behalf of the State</w:t>
      </w:r>
      <w:r w:rsidR="00164908">
        <w:rPr>
          <w:lang w:val="en-ZA"/>
        </w:rPr>
        <w:t>”</w:t>
      </w:r>
      <w:r w:rsidR="00273963" w:rsidRPr="007A5967">
        <w:rPr>
          <w:lang w:val="en-ZA"/>
        </w:rPr>
        <w:t>,</w:t>
      </w:r>
      <w:r w:rsidR="0078053C">
        <w:rPr>
          <w:rStyle w:val="FootnoteReference"/>
          <w:lang w:val="en-ZA"/>
        </w:rPr>
        <w:footnoteReference w:id="5"/>
      </w:r>
      <w:r w:rsidR="00273963" w:rsidRPr="007A5967">
        <w:rPr>
          <w:lang w:val="en-ZA"/>
        </w:rPr>
        <w:t xml:space="preserve"> and to </w:t>
      </w:r>
      <w:r w:rsidR="0078053C">
        <w:rPr>
          <w:lang w:val="en-ZA"/>
        </w:rPr>
        <w:t>“</w:t>
      </w:r>
      <w:r w:rsidR="00273963" w:rsidRPr="007A5967">
        <w:rPr>
          <w:lang w:val="en-ZA"/>
        </w:rPr>
        <w:t>carry out any necessary functions incidental to instituting criminal proceedings”.</w:t>
      </w:r>
      <w:r w:rsidR="00273963" w:rsidRPr="007A5967">
        <w:rPr>
          <w:rStyle w:val="FootnoteReference"/>
          <w:lang w:val="en-ZA"/>
        </w:rPr>
        <w:footnoteReference w:id="6"/>
      </w:r>
      <w:r w:rsidR="00273963" w:rsidRPr="007A5967">
        <w:rPr>
          <w:lang w:val="en-ZA"/>
        </w:rPr>
        <w:t xml:space="preserve"> </w:t>
      </w:r>
      <w:r w:rsidR="000412FE">
        <w:rPr>
          <w:lang w:val="en-ZA"/>
        </w:rPr>
        <w:t xml:space="preserve"> </w:t>
      </w:r>
      <w:r w:rsidR="00273963" w:rsidRPr="007A5967">
        <w:rPr>
          <w:lang w:val="en-ZA"/>
        </w:rPr>
        <w:t>The second respondent is the NPA, the entity created by statute</w:t>
      </w:r>
      <w:r w:rsidR="007C7B5C">
        <w:rPr>
          <w:rStyle w:val="FootnoteReference"/>
          <w:lang w:val="en-ZA"/>
        </w:rPr>
        <w:footnoteReference w:id="7"/>
      </w:r>
      <w:r w:rsidR="00542CB0">
        <w:rPr>
          <w:vertAlign w:val="superscript"/>
          <w:lang w:val="en-ZA"/>
        </w:rPr>
        <w:t xml:space="preserve"> </w:t>
      </w:r>
      <w:r w:rsidR="00273963" w:rsidRPr="007A5967">
        <w:rPr>
          <w:lang w:val="en-ZA"/>
        </w:rPr>
        <w:t>to undertake the prosecutorial responsibility and function of the State</w:t>
      </w:r>
      <w:r w:rsidR="00462B25">
        <w:rPr>
          <w:lang w:val="en-ZA"/>
        </w:rPr>
        <w:t xml:space="preserve">.  </w:t>
      </w:r>
      <w:r w:rsidR="00273963" w:rsidRPr="007A5967">
        <w:rPr>
          <w:lang w:val="en-ZA"/>
        </w:rPr>
        <w:t xml:space="preserve">The third respondent is the Minister of Justice and Constitutional Development, the </w:t>
      </w:r>
      <w:r w:rsidR="00AF6770">
        <w:rPr>
          <w:lang w:val="en-ZA"/>
        </w:rPr>
        <w:t xml:space="preserve">Cabinet and National </w:t>
      </w:r>
      <w:r w:rsidR="00273963" w:rsidRPr="007A5967">
        <w:rPr>
          <w:lang w:val="en-ZA"/>
        </w:rPr>
        <w:t xml:space="preserve">Member of the Executive responsible for </w:t>
      </w:r>
      <w:r w:rsidR="00273963" w:rsidRPr="001642B1">
        <w:rPr>
          <w:lang w:val="en-ZA"/>
        </w:rPr>
        <w:t>the Department of Justice and Constitutional Development and</w:t>
      </w:r>
      <w:r w:rsidR="00273963" w:rsidRPr="007A5967">
        <w:rPr>
          <w:lang w:val="en-ZA"/>
        </w:rPr>
        <w:t xml:space="preserve"> the NPA</w:t>
      </w:r>
      <w:r w:rsidR="00462B25">
        <w:rPr>
          <w:lang w:val="en-ZA"/>
        </w:rPr>
        <w:t xml:space="preserve">.  </w:t>
      </w:r>
      <w:r w:rsidR="00273963" w:rsidRPr="007A5967">
        <w:rPr>
          <w:lang w:val="en-ZA"/>
        </w:rPr>
        <w:t>The fourth respondent is the</w:t>
      </w:r>
      <w:r w:rsidR="008B4BA1">
        <w:rPr>
          <w:lang w:val="en-ZA"/>
        </w:rPr>
        <w:t xml:space="preserve"> </w:t>
      </w:r>
      <w:r w:rsidR="00273963" w:rsidRPr="007A5967">
        <w:rPr>
          <w:lang w:val="en-ZA"/>
        </w:rPr>
        <w:t xml:space="preserve">Minister of </w:t>
      </w:r>
      <w:r w:rsidR="003252CF">
        <w:rPr>
          <w:lang w:val="en-ZA"/>
        </w:rPr>
        <w:t>P</w:t>
      </w:r>
      <w:r w:rsidR="003252CF" w:rsidRPr="007A5967">
        <w:rPr>
          <w:lang w:val="en-ZA"/>
        </w:rPr>
        <w:t>olice</w:t>
      </w:r>
      <w:r w:rsidR="00273963" w:rsidRPr="007A5967">
        <w:rPr>
          <w:lang w:val="en-ZA"/>
        </w:rPr>
        <w:t xml:space="preserve">, the </w:t>
      </w:r>
      <w:r w:rsidR="008B4BA1">
        <w:rPr>
          <w:lang w:val="en-ZA"/>
        </w:rPr>
        <w:t xml:space="preserve">Cabinet and National </w:t>
      </w:r>
      <w:r w:rsidR="0072291A">
        <w:rPr>
          <w:lang w:val="en-ZA"/>
        </w:rPr>
        <w:t>M</w:t>
      </w:r>
      <w:r w:rsidR="00273963" w:rsidRPr="007A5967">
        <w:rPr>
          <w:lang w:val="en-ZA"/>
        </w:rPr>
        <w:t>ember of the Executive</w:t>
      </w:r>
      <w:r w:rsidR="0072291A">
        <w:rPr>
          <w:lang w:val="en-ZA"/>
        </w:rPr>
        <w:t>,</w:t>
      </w:r>
      <w:r w:rsidR="00273963" w:rsidRPr="007A5967">
        <w:rPr>
          <w:lang w:val="en-ZA"/>
        </w:rPr>
        <w:t xml:space="preserve"> in charge of the South African Police Services</w:t>
      </w:r>
      <w:r w:rsidR="00530906">
        <w:rPr>
          <w:lang w:val="en-ZA"/>
        </w:rPr>
        <w:t xml:space="preserve"> (SAPS)</w:t>
      </w:r>
      <w:r w:rsidR="00462B25">
        <w:rPr>
          <w:lang w:val="en-ZA"/>
        </w:rPr>
        <w:t xml:space="preserve">.  </w:t>
      </w:r>
      <w:r w:rsidR="00273963" w:rsidRPr="007A5967">
        <w:rPr>
          <w:lang w:val="en-ZA"/>
        </w:rPr>
        <w:t>The fifth respondent is the President of th</w:t>
      </w:r>
      <w:r w:rsidR="006D08F9">
        <w:rPr>
          <w:lang w:val="en-ZA"/>
        </w:rPr>
        <w:t>e</w:t>
      </w:r>
      <w:r w:rsidR="00273963" w:rsidRPr="007A5967">
        <w:rPr>
          <w:lang w:val="en-ZA"/>
        </w:rPr>
        <w:t xml:space="preserve"> country and is the head of the National Executive</w:t>
      </w:r>
      <w:r w:rsidR="00462B25">
        <w:rPr>
          <w:lang w:val="en-ZA"/>
        </w:rPr>
        <w:t xml:space="preserve">.  </w:t>
      </w:r>
      <w:r w:rsidR="00273963" w:rsidRPr="007A5967">
        <w:rPr>
          <w:lang w:val="en-ZA"/>
        </w:rPr>
        <w:t xml:space="preserve">The </w:t>
      </w:r>
      <w:r w:rsidR="00055B08">
        <w:rPr>
          <w:lang w:val="en-ZA"/>
        </w:rPr>
        <w:t>fourth</w:t>
      </w:r>
      <w:r w:rsidR="00055B08" w:rsidRPr="007A5967">
        <w:rPr>
          <w:lang w:val="en-ZA"/>
        </w:rPr>
        <w:t xml:space="preserve"> </w:t>
      </w:r>
      <w:r w:rsidR="00055B08">
        <w:rPr>
          <w:lang w:val="en-ZA"/>
        </w:rPr>
        <w:t xml:space="preserve">and </w:t>
      </w:r>
      <w:r w:rsidR="00273963" w:rsidRPr="007A5967">
        <w:rPr>
          <w:lang w:val="en-ZA"/>
        </w:rPr>
        <w:t>fifth respondents did not participate in these proceedings</w:t>
      </w:r>
      <w:r w:rsidR="00462B25">
        <w:rPr>
          <w:lang w:val="en-ZA"/>
        </w:rPr>
        <w:t xml:space="preserve">.  </w:t>
      </w:r>
    </w:p>
    <w:p w14:paraId="0346C3B0" w14:textId="51C85A26" w:rsidR="00273963" w:rsidRPr="007A5967" w:rsidRDefault="00273963" w:rsidP="00273963">
      <w:pPr>
        <w:pStyle w:val="JudgmentHeading"/>
      </w:pPr>
      <w:r w:rsidRPr="007A5967">
        <w:t>Background</w:t>
      </w:r>
    </w:p>
    <w:p w14:paraId="02F1F639" w14:textId="1C284B13" w:rsidR="00462B25" w:rsidRDefault="00715A2A" w:rsidP="00715A2A">
      <w:pPr>
        <w:pStyle w:val="JudgmentNumbered"/>
        <w:numPr>
          <w:ilvl w:val="0"/>
          <w:numId w:val="0"/>
        </w:numPr>
        <w:rPr>
          <w:lang w:val="en-ZA"/>
        </w:rPr>
      </w:pPr>
      <w:r>
        <w:rPr>
          <w:lang w:val="en-ZA"/>
        </w:rPr>
        <w:t>[5]</w:t>
      </w:r>
      <w:r>
        <w:rPr>
          <w:lang w:val="en-ZA"/>
        </w:rPr>
        <w:tab/>
      </w:r>
      <w:r w:rsidR="00273963" w:rsidRPr="007A5967">
        <w:rPr>
          <w:lang w:val="en-ZA"/>
        </w:rPr>
        <w:t>The background facts to the events that occurred in Marikana are well documented</w:t>
      </w:r>
      <w:r w:rsidR="008D6BF1">
        <w:rPr>
          <w:lang w:val="en-ZA"/>
        </w:rPr>
        <w:t xml:space="preserve"> in the report of the </w:t>
      </w:r>
      <w:r w:rsidR="00971D0B">
        <w:rPr>
          <w:lang w:val="en-ZA"/>
        </w:rPr>
        <w:t>much-publicised</w:t>
      </w:r>
      <w:r w:rsidR="008D6BF1">
        <w:rPr>
          <w:lang w:val="en-ZA"/>
        </w:rPr>
        <w:t xml:space="preserve"> </w:t>
      </w:r>
      <w:r w:rsidR="00971D0B" w:rsidRPr="00971D0B">
        <w:rPr>
          <w:lang w:val="en-ZA"/>
        </w:rPr>
        <w:t>investigation colloquially known as the Farlam Commission of Inquiry</w:t>
      </w:r>
      <w:r w:rsidR="00971D0B">
        <w:rPr>
          <w:lang w:val="en-ZA"/>
        </w:rPr>
        <w:t>.</w:t>
      </w:r>
      <w:r w:rsidR="00F1195E" w:rsidRPr="007A5967">
        <w:rPr>
          <w:vertAlign w:val="superscript"/>
          <w:lang w:val="en-ZA"/>
        </w:rPr>
        <w:footnoteReference w:id="8"/>
      </w:r>
      <w:r w:rsidR="00462B25">
        <w:rPr>
          <w:lang w:val="en-ZA"/>
        </w:rPr>
        <w:t xml:space="preserve"> </w:t>
      </w:r>
      <w:r w:rsidR="000412FE">
        <w:rPr>
          <w:lang w:val="en-ZA"/>
        </w:rPr>
        <w:t xml:space="preserve"> </w:t>
      </w:r>
      <w:r w:rsidR="00273963" w:rsidRPr="007A5967">
        <w:rPr>
          <w:lang w:val="en-ZA"/>
        </w:rPr>
        <w:t>Leading up to August 2012, miners at the Lonmin platinum mine were unhappy with the wages they received, alleging that these were low, especially in light of the dangerous work they were engaged in and the profits their labour generated for the mine owners</w:t>
      </w:r>
      <w:r w:rsidR="00462B25">
        <w:rPr>
          <w:lang w:val="en-ZA"/>
        </w:rPr>
        <w:t xml:space="preserve">.  </w:t>
      </w:r>
      <w:r w:rsidR="00273963" w:rsidRPr="007A5967">
        <w:rPr>
          <w:lang w:val="en-ZA"/>
        </w:rPr>
        <w:t>They eventually embarked on an unprotected strike the finer details of which are of no relevance in this matter</w:t>
      </w:r>
      <w:r w:rsidR="00462B25">
        <w:rPr>
          <w:lang w:val="en-ZA"/>
        </w:rPr>
        <w:t xml:space="preserve">.  </w:t>
      </w:r>
    </w:p>
    <w:p w14:paraId="6FDF78D0" w14:textId="0E743BD6" w:rsidR="00462B25" w:rsidRDefault="00715A2A" w:rsidP="00715A2A">
      <w:pPr>
        <w:pStyle w:val="JudgmentNumbered"/>
        <w:numPr>
          <w:ilvl w:val="0"/>
          <w:numId w:val="0"/>
        </w:numPr>
        <w:rPr>
          <w:lang w:val="en-ZA"/>
        </w:rPr>
      </w:pPr>
      <w:r>
        <w:rPr>
          <w:lang w:val="en-ZA"/>
        </w:rPr>
        <w:t>[6]</w:t>
      </w:r>
      <w:r>
        <w:rPr>
          <w:lang w:val="en-ZA"/>
        </w:rPr>
        <w:tab/>
      </w:r>
      <w:r w:rsidR="00273963" w:rsidRPr="007A5967">
        <w:rPr>
          <w:lang w:val="en-ZA"/>
        </w:rPr>
        <w:t xml:space="preserve">The strike lasted roughly eight days from 9 to 16 August, and </w:t>
      </w:r>
      <w:r w:rsidR="00833C0C">
        <w:rPr>
          <w:lang w:val="en-ZA"/>
        </w:rPr>
        <w:t>dur</w:t>
      </w:r>
      <w:r w:rsidR="00273963" w:rsidRPr="007A5967">
        <w:rPr>
          <w:lang w:val="en-ZA"/>
        </w:rPr>
        <w:t>in</w:t>
      </w:r>
      <w:r w:rsidR="007D658B">
        <w:rPr>
          <w:lang w:val="en-ZA"/>
        </w:rPr>
        <w:t>g</w:t>
      </w:r>
      <w:r w:rsidR="00273963" w:rsidRPr="007A5967">
        <w:rPr>
          <w:lang w:val="en-ZA"/>
        </w:rPr>
        <w:t xml:space="preserve"> th</w:t>
      </w:r>
      <w:r w:rsidR="007D658B">
        <w:rPr>
          <w:lang w:val="en-ZA"/>
        </w:rPr>
        <w:t>at</w:t>
      </w:r>
      <w:r w:rsidR="00273963" w:rsidRPr="007A5967">
        <w:rPr>
          <w:lang w:val="en-ZA"/>
        </w:rPr>
        <w:t xml:space="preserve"> </w:t>
      </w:r>
      <w:r w:rsidR="00E41A7D" w:rsidRPr="007A5967">
        <w:rPr>
          <w:lang w:val="en-ZA"/>
        </w:rPr>
        <w:t>p</w:t>
      </w:r>
      <w:r w:rsidR="00E41A7D">
        <w:rPr>
          <w:lang w:val="en-ZA"/>
        </w:rPr>
        <w:t>eriod,</w:t>
      </w:r>
      <w:r w:rsidR="00E41A7D" w:rsidRPr="007A5967">
        <w:rPr>
          <w:lang w:val="en-ZA"/>
        </w:rPr>
        <w:t xml:space="preserve"> 44</w:t>
      </w:r>
      <w:r w:rsidR="00273963" w:rsidRPr="007A5967">
        <w:rPr>
          <w:lang w:val="en-ZA"/>
        </w:rPr>
        <w:t xml:space="preserve"> persons were killed, with many more injured</w:t>
      </w:r>
      <w:r w:rsidR="00462B25">
        <w:rPr>
          <w:lang w:val="en-ZA"/>
        </w:rPr>
        <w:t xml:space="preserve">.  </w:t>
      </w:r>
      <w:r w:rsidR="00273963" w:rsidRPr="007A5967">
        <w:rPr>
          <w:lang w:val="en-ZA"/>
        </w:rPr>
        <w:t>The highest number of miners killed was 34</w:t>
      </w:r>
      <w:r w:rsidR="00ED7B78">
        <w:rPr>
          <w:lang w:val="en-ZA"/>
        </w:rPr>
        <w:t>,</w:t>
      </w:r>
      <w:r w:rsidR="00273963" w:rsidRPr="007A5967">
        <w:rPr>
          <w:lang w:val="en-ZA"/>
        </w:rPr>
        <w:t xml:space="preserve"> </w:t>
      </w:r>
      <w:r w:rsidR="00642CBC">
        <w:rPr>
          <w:lang w:val="en-ZA"/>
        </w:rPr>
        <w:t xml:space="preserve">and that was </w:t>
      </w:r>
      <w:r w:rsidR="00273963" w:rsidRPr="007A5967">
        <w:rPr>
          <w:lang w:val="en-ZA"/>
        </w:rPr>
        <w:t>on 16 August</w:t>
      </w:r>
      <w:r w:rsidR="00462B25">
        <w:rPr>
          <w:lang w:val="en-ZA"/>
        </w:rPr>
        <w:t xml:space="preserve">. </w:t>
      </w:r>
      <w:r w:rsidR="000412FE">
        <w:rPr>
          <w:lang w:val="en-ZA"/>
        </w:rPr>
        <w:t xml:space="preserve"> </w:t>
      </w:r>
      <w:r w:rsidR="00273963" w:rsidRPr="007A5967">
        <w:rPr>
          <w:lang w:val="en-ZA"/>
        </w:rPr>
        <w:t xml:space="preserve">In the period following these incidents of violence, the </w:t>
      </w:r>
      <w:r w:rsidR="00530906">
        <w:rPr>
          <w:lang w:val="en-ZA"/>
        </w:rPr>
        <w:t>SAPS</w:t>
      </w:r>
      <w:r w:rsidR="00273963" w:rsidRPr="007A5967">
        <w:rPr>
          <w:lang w:val="en-ZA"/>
        </w:rPr>
        <w:t xml:space="preserve"> arrested hundreds of miners, and </w:t>
      </w:r>
      <w:r w:rsidR="00273196">
        <w:rPr>
          <w:lang w:val="en-ZA"/>
        </w:rPr>
        <w:t xml:space="preserve">the NPA </w:t>
      </w:r>
      <w:r w:rsidR="00273963" w:rsidRPr="007A5967">
        <w:rPr>
          <w:lang w:val="en-ZA"/>
        </w:rPr>
        <w:t>charged them, with amongst others, murder, for the deaths of their fellow miners</w:t>
      </w:r>
      <w:r w:rsidR="00462B25">
        <w:rPr>
          <w:lang w:val="en-ZA"/>
        </w:rPr>
        <w:t xml:space="preserve">.  </w:t>
      </w:r>
      <w:r w:rsidR="00273963" w:rsidRPr="007A5967">
        <w:rPr>
          <w:lang w:val="en-ZA"/>
        </w:rPr>
        <w:t>However, these charges were later withdrawn</w:t>
      </w:r>
      <w:r w:rsidR="00462B25">
        <w:rPr>
          <w:lang w:val="en-ZA"/>
        </w:rPr>
        <w:t xml:space="preserve">.  </w:t>
      </w:r>
      <w:r w:rsidR="00273963" w:rsidRPr="007A5967">
        <w:rPr>
          <w:lang w:val="en-ZA"/>
        </w:rPr>
        <w:t xml:space="preserve">The SAPS then turned their attention to some of the murders that </w:t>
      </w:r>
      <w:r w:rsidR="00273963" w:rsidRPr="007A5967">
        <w:rPr>
          <w:lang w:val="en-ZA"/>
        </w:rPr>
        <w:lastRenderedPageBreak/>
        <w:t>had occurred in the early days of the strike i.e</w:t>
      </w:r>
      <w:r w:rsidR="00462B25">
        <w:rPr>
          <w:lang w:val="en-ZA"/>
        </w:rPr>
        <w:t xml:space="preserve">.  </w:t>
      </w:r>
      <w:r w:rsidR="00273963" w:rsidRPr="007A5967">
        <w:rPr>
          <w:lang w:val="en-ZA"/>
        </w:rPr>
        <w:t>before 16</w:t>
      </w:r>
      <w:r w:rsidR="0023248F">
        <w:rPr>
          <w:lang w:val="en-ZA"/>
        </w:rPr>
        <w:t xml:space="preserve"> August</w:t>
      </w:r>
      <w:r w:rsidR="00462B25">
        <w:rPr>
          <w:lang w:val="en-ZA"/>
        </w:rPr>
        <w:t xml:space="preserve">.  </w:t>
      </w:r>
      <w:r w:rsidR="00273963" w:rsidRPr="007A5967">
        <w:rPr>
          <w:lang w:val="en-ZA"/>
        </w:rPr>
        <w:t xml:space="preserve">In respect of these, SAPS arrested the current </w:t>
      </w:r>
      <w:r w:rsidR="00362409">
        <w:rPr>
          <w:lang w:val="en-ZA"/>
        </w:rPr>
        <w:t xml:space="preserve">individual </w:t>
      </w:r>
      <w:r w:rsidR="00273963" w:rsidRPr="007A5967">
        <w:rPr>
          <w:lang w:val="en-ZA"/>
        </w:rPr>
        <w:t>applicants</w:t>
      </w:r>
      <w:r w:rsidR="00462B25">
        <w:rPr>
          <w:lang w:val="en-ZA"/>
        </w:rPr>
        <w:t xml:space="preserve">. </w:t>
      </w:r>
      <w:r w:rsidR="00946582" w:rsidRPr="00946582">
        <w:rPr>
          <w:lang w:val="en-ZA"/>
        </w:rPr>
        <w:t xml:space="preserve">The resultant prosecutions were instituted in </w:t>
      </w:r>
      <w:r w:rsidR="00332A5A">
        <w:rPr>
          <w:lang w:val="en-ZA"/>
        </w:rPr>
        <w:t>the Lower</w:t>
      </w:r>
      <w:r w:rsidR="00946582" w:rsidRPr="00946582">
        <w:rPr>
          <w:lang w:val="en-ZA"/>
        </w:rPr>
        <w:t xml:space="preserve"> Courts in the </w:t>
      </w:r>
      <w:r w:rsidR="00332A5A" w:rsidRPr="00946582">
        <w:rPr>
          <w:lang w:val="en-ZA"/>
        </w:rPr>
        <w:t>North</w:t>
      </w:r>
      <w:r w:rsidR="00A5610E">
        <w:rPr>
          <w:lang w:val="en-ZA"/>
        </w:rPr>
        <w:t xml:space="preserve"> W</w:t>
      </w:r>
      <w:r w:rsidR="00332A5A" w:rsidRPr="00946582">
        <w:rPr>
          <w:lang w:val="en-ZA"/>
        </w:rPr>
        <w:t>est</w:t>
      </w:r>
      <w:r w:rsidR="00946582" w:rsidRPr="00946582">
        <w:rPr>
          <w:lang w:val="en-ZA"/>
        </w:rPr>
        <w:t xml:space="preserve"> Province and </w:t>
      </w:r>
      <w:r w:rsidR="00332A5A">
        <w:rPr>
          <w:lang w:val="en-ZA"/>
        </w:rPr>
        <w:t xml:space="preserve">were </w:t>
      </w:r>
      <w:r w:rsidR="00946582" w:rsidRPr="00946582">
        <w:rPr>
          <w:lang w:val="en-ZA"/>
        </w:rPr>
        <w:t>ultimately consolidated into a single matter where all the applicants are the accused persons.</w:t>
      </w:r>
      <w:r w:rsidR="00332A5A">
        <w:rPr>
          <w:lang w:val="en-ZA"/>
        </w:rPr>
        <w:t xml:space="preserve"> </w:t>
      </w:r>
      <w:r w:rsidR="00273963" w:rsidRPr="007A5967">
        <w:rPr>
          <w:lang w:val="en-ZA"/>
        </w:rPr>
        <w:t xml:space="preserve">They </w:t>
      </w:r>
      <w:r w:rsidR="00302B11">
        <w:rPr>
          <w:lang w:val="en-ZA"/>
        </w:rPr>
        <w:t>stand</w:t>
      </w:r>
      <w:r w:rsidR="00273963" w:rsidRPr="007A5967">
        <w:rPr>
          <w:lang w:val="en-ZA"/>
        </w:rPr>
        <w:t xml:space="preserve"> </w:t>
      </w:r>
      <w:r w:rsidR="009F07AE">
        <w:rPr>
          <w:lang w:val="en-ZA"/>
        </w:rPr>
        <w:t xml:space="preserve">indicted on </w:t>
      </w:r>
      <w:r w:rsidR="00273963" w:rsidRPr="007A5967">
        <w:rPr>
          <w:lang w:val="en-ZA"/>
        </w:rPr>
        <w:t xml:space="preserve">seven counts of murder, five of attempted murder, four each </w:t>
      </w:r>
      <w:r w:rsidR="00336F23">
        <w:rPr>
          <w:lang w:val="en-ZA"/>
        </w:rPr>
        <w:t>o</w:t>
      </w:r>
      <w:r w:rsidR="00273963" w:rsidRPr="007A5967">
        <w:rPr>
          <w:lang w:val="en-ZA"/>
        </w:rPr>
        <w:t>f robbery and malicious injury to property and three each for unlawful possession of firearms and ammunition</w:t>
      </w:r>
      <w:r w:rsidR="00462B25">
        <w:rPr>
          <w:lang w:val="en-ZA"/>
        </w:rPr>
        <w:t xml:space="preserve">.  </w:t>
      </w:r>
    </w:p>
    <w:p w14:paraId="32E4F81F" w14:textId="099AB090" w:rsidR="00292DF8" w:rsidRDefault="00715A2A" w:rsidP="00715A2A">
      <w:pPr>
        <w:pStyle w:val="JudgmentNumbered"/>
        <w:numPr>
          <w:ilvl w:val="0"/>
          <w:numId w:val="0"/>
        </w:numPr>
        <w:spacing w:after="0"/>
        <w:rPr>
          <w:lang w:val="en-ZA"/>
        </w:rPr>
      </w:pPr>
      <w:r>
        <w:rPr>
          <w:lang w:val="en-ZA"/>
        </w:rPr>
        <w:t>[7]</w:t>
      </w:r>
      <w:r>
        <w:rPr>
          <w:lang w:val="en-ZA"/>
        </w:rPr>
        <w:tab/>
      </w:r>
      <w:r w:rsidR="00273963" w:rsidRPr="007A5967">
        <w:rPr>
          <w:lang w:val="en-ZA"/>
        </w:rPr>
        <w:t xml:space="preserve"> </w:t>
      </w:r>
      <w:r w:rsidR="00462B25">
        <w:rPr>
          <w:lang w:val="en-ZA"/>
        </w:rPr>
        <w:t xml:space="preserve"> </w:t>
      </w:r>
      <w:r w:rsidR="00B22DFE">
        <w:rPr>
          <w:lang w:val="en-ZA"/>
        </w:rPr>
        <w:t>T</w:t>
      </w:r>
      <w:r w:rsidR="00273963" w:rsidRPr="007A5967">
        <w:rPr>
          <w:lang w:val="en-ZA"/>
        </w:rPr>
        <w:t xml:space="preserve">he </w:t>
      </w:r>
      <w:r w:rsidR="001D68CB" w:rsidRPr="007A5967">
        <w:rPr>
          <w:lang w:val="en-ZA"/>
        </w:rPr>
        <w:t>a</w:t>
      </w:r>
      <w:r w:rsidR="00273963" w:rsidRPr="007A5967">
        <w:rPr>
          <w:lang w:val="en-ZA"/>
        </w:rPr>
        <w:t>pplicants</w:t>
      </w:r>
      <w:r w:rsidR="00B22DFE">
        <w:rPr>
          <w:lang w:val="en-ZA"/>
        </w:rPr>
        <w:t xml:space="preserve">, through their </w:t>
      </w:r>
      <w:r w:rsidR="00A5610E">
        <w:rPr>
          <w:lang w:val="en-ZA"/>
        </w:rPr>
        <w:t>lawyers</w:t>
      </w:r>
      <w:r w:rsidR="00273963" w:rsidRPr="007A5967">
        <w:rPr>
          <w:lang w:val="en-ZA"/>
        </w:rPr>
        <w:t xml:space="preserve"> made </w:t>
      </w:r>
      <w:r w:rsidR="000B34A7">
        <w:rPr>
          <w:lang w:val="en-ZA"/>
        </w:rPr>
        <w:t>representat</w:t>
      </w:r>
      <w:r w:rsidR="00273963" w:rsidRPr="007A5967">
        <w:rPr>
          <w:lang w:val="en-ZA"/>
        </w:rPr>
        <w:t>ions</w:t>
      </w:r>
      <w:r w:rsidR="00A5610E">
        <w:rPr>
          <w:lang w:val="en-ZA"/>
        </w:rPr>
        <w:t>, by letter dated</w:t>
      </w:r>
      <w:r w:rsidR="007154B4">
        <w:rPr>
          <w:lang w:val="en-ZA"/>
        </w:rPr>
        <w:t xml:space="preserve"> 26 August </w:t>
      </w:r>
      <w:r w:rsidR="004E57B1">
        <w:rPr>
          <w:lang w:val="en-ZA"/>
        </w:rPr>
        <w:t xml:space="preserve">2016 </w:t>
      </w:r>
      <w:r w:rsidR="004E57B1" w:rsidRPr="007A5967">
        <w:rPr>
          <w:lang w:val="en-ZA"/>
        </w:rPr>
        <w:t>to</w:t>
      </w:r>
      <w:r w:rsidR="00273963" w:rsidRPr="007A5967">
        <w:rPr>
          <w:lang w:val="en-ZA"/>
        </w:rPr>
        <w:t xml:space="preserve"> the NDPP </w:t>
      </w:r>
      <w:r w:rsidR="00A5610E">
        <w:rPr>
          <w:lang w:val="en-ZA"/>
        </w:rPr>
        <w:t xml:space="preserve">requesting him </w:t>
      </w:r>
      <w:r w:rsidR="00273963" w:rsidRPr="007A5967">
        <w:rPr>
          <w:lang w:val="en-ZA"/>
        </w:rPr>
        <w:t xml:space="preserve">to review the decision </w:t>
      </w:r>
      <w:r w:rsidR="00E560B3">
        <w:rPr>
          <w:lang w:val="en-ZA"/>
        </w:rPr>
        <w:t xml:space="preserve">to prosecute them taken </w:t>
      </w:r>
      <w:r w:rsidR="0063283B">
        <w:rPr>
          <w:lang w:val="en-ZA"/>
        </w:rPr>
        <w:t xml:space="preserve">by the Director of Public Prosecutions </w:t>
      </w:r>
      <w:r w:rsidR="00FC66D3">
        <w:rPr>
          <w:lang w:val="en-ZA"/>
        </w:rPr>
        <w:t xml:space="preserve">(DPP) </w:t>
      </w:r>
      <w:r w:rsidR="0063283B">
        <w:rPr>
          <w:lang w:val="en-ZA"/>
        </w:rPr>
        <w:t>in the North West</w:t>
      </w:r>
      <w:r w:rsidR="00E560B3">
        <w:rPr>
          <w:lang w:val="en-ZA"/>
        </w:rPr>
        <w:t xml:space="preserve"> province</w:t>
      </w:r>
      <w:r w:rsidR="00273963" w:rsidRPr="007A5967">
        <w:rPr>
          <w:lang w:val="en-ZA"/>
        </w:rPr>
        <w:t>.</w:t>
      </w:r>
      <w:r w:rsidR="000B34A7">
        <w:rPr>
          <w:lang w:val="en-ZA"/>
        </w:rPr>
        <w:t xml:space="preserve"> </w:t>
      </w:r>
      <w:r w:rsidR="00462B25">
        <w:rPr>
          <w:lang w:val="en-ZA"/>
        </w:rPr>
        <w:t xml:space="preserve"> </w:t>
      </w:r>
      <w:r w:rsidR="000B34A7">
        <w:rPr>
          <w:lang w:val="en-ZA"/>
        </w:rPr>
        <w:t>In that letter from their attorney</w:t>
      </w:r>
      <w:r w:rsidR="006F31AD">
        <w:rPr>
          <w:lang w:val="en-ZA"/>
        </w:rPr>
        <w:t>’</w:t>
      </w:r>
      <w:r w:rsidR="000B34A7">
        <w:rPr>
          <w:lang w:val="en-ZA"/>
        </w:rPr>
        <w:t>s, the applicants stated</w:t>
      </w:r>
      <w:r w:rsidR="00A43366">
        <w:rPr>
          <w:lang w:val="en-ZA"/>
        </w:rPr>
        <w:t>:</w:t>
      </w:r>
      <w:r w:rsidR="000B34A7">
        <w:rPr>
          <w:lang w:val="en-ZA"/>
        </w:rPr>
        <w:t xml:space="preserve"> </w:t>
      </w:r>
    </w:p>
    <w:p w14:paraId="756201CB" w14:textId="77777777" w:rsidR="00B66F8D" w:rsidRDefault="00B66F8D" w:rsidP="00B66F8D">
      <w:pPr>
        <w:pStyle w:val="JudgmentNumbered"/>
        <w:numPr>
          <w:ilvl w:val="0"/>
          <w:numId w:val="0"/>
        </w:numPr>
        <w:spacing w:after="0"/>
        <w:rPr>
          <w:lang w:val="en-ZA"/>
        </w:rPr>
      </w:pPr>
    </w:p>
    <w:p w14:paraId="775060EF" w14:textId="19C00140" w:rsidR="00E54F22" w:rsidRDefault="006B5601" w:rsidP="007D1C6A">
      <w:pPr>
        <w:pStyle w:val="Quotes"/>
      </w:pPr>
      <w:r>
        <w:t xml:space="preserve"> </w:t>
      </w:r>
      <w:r w:rsidR="00292DF8">
        <w:t>“</w:t>
      </w:r>
      <w:r w:rsidR="004E57B1">
        <w:t xml:space="preserve">In light </w:t>
      </w:r>
      <w:r w:rsidR="00266444">
        <w:t>of a foregoing, w</w:t>
      </w:r>
      <w:r w:rsidR="00292DF8">
        <w:t xml:space="preserve">e </w:t>
      </w:r>
      <w:r w:rsidR="00266444">
        <w:t xml:space="preserve">have been instructed </w:t>
      </w:r>
      <w:r w:rsidR="00D7259B">
        <w:t>to demand, as we hereby do that as</w:t>
      </w:r>
      <w:r>
        <w:t xml:space="preserve"> </w:t>
      </w:r>
      <w:r w:rsidR="00D7259B">
        <w:t xml:space="preserve">a matter of </w:t>
      </w:r>
      <w:r w:rsidR="00627C96">
        <w:t>urgency and on or before the next court appearance:</w:t>
      </w:r>
    </w:p>
    <w:p w14:paraId="67948A94" w14:textId="56822500" w:rsidR="00E54F22" w:rsidRPr="00E54F22" w:rsidRDefault="000B34A7" w:rsidP="007D1C6A">
      <w:pPr>
        <w:pStyle w:val="Quotes"/>
        <w:ind w:left="1134" w:hanging="283"/>
      </w:pPr>
      <w:r>
        <w:t>1.</w:t>
      </w:r>
      <w:r w:rsidR="00462B25">
        <w:t xml:space="preserve"> </w:t>
      </w:r>
      <w:r w:rsidR="004519B0">
        <w:tab/>
      </w:r>
      <w:r w:rsidR="00FD0BCA">
        <w:t>y</w:t>
      </w:r>
      <w:r>
        <w:t xml:space="preserve">our office should take all the steps necessary to take and duly transmit the decision to withdraw the charges against our clients; </w:t>
      </w:r>
    </w:p>
    <w:p w14:paraId="5A30F817" w14:textId="757C5588" w:rsidR="000B34A7" w:rsidRDefault="000B34A7" w:rsidP="007D1C6A">
      <w:pPr>
        <w:pStyle w:val="Quotes"/>
        <w:ind w:left="1134" w:hanging="283"/>
      </w:pPr>
      <w:r>
        <w:t>2.</w:t>
      </w:r>
      <w:r w:rsidR="00462B25">
        <w:t xml:space="preserve"> </w:t>
      </w:r>
      <w:r w:rsidR="004519B0">
        <w:tab/>
      </w:r>
      <w:r>
        <w:t xml:space="preserve">alternatively, to furnish us reasons why such a decision cannot be taken; and </w:t>
      </w:r>
    </w:p>
    <w:p w14:paraId="1A7205B6" w14:textId="3DEA2FE0" w:rsidR="000B34A7" w:rsidRDefault="000B34A7" w:rsidP="007D1C6A">
      <w:pPr>
        <w:pStyle w:val="Quotes"/>
        <w:ind w:left="1134" w:hanging="283"/>
      </w:pPr>
      <w:r>
        <w:t xml:space="preserve">3. </w:t>
      </w:r>
      <w:r w:rsidR="00462B25">
        <w:t xml:space="preserve"> </w:t>
      </w:r>
      <w:r>
        <w:t>...</w:t>
      </w:r>
      <w:r w:rsidR="004519B0">
        <w:t>.</w:t>
      </w:r>
      <w:r>
        <w:t>"</w:t>
      </w:r>
      <w:r w:rsidR="00462B25">
        <w:t xml:space="preserve">  </w:t>
      </w:r>
    </w:p>
    <w:p w14:paraId="0274BA4E" w14:textId="77777777" w:rsidR="00E54F22" w:rsidRPr="00E54F22" w:rsidRDefault="00E54F22" w:rsidP="009052BB">
      <w:pPr>
        <w:pStyle w:val="Judgmentbetweenparagraphs"/>
      </w:pPr>
    </w:p>
    <w:p w14:paraId="3755438F" w14:textId="0387BE43" w:rsidR="003543DA" w:rsidRDefault="00715A2A" w:rsidP="00715A2A">
      <w:pPr>
        <w:pStyle w:val="JudgmentNumbered"/>
        <w:numPr>
          <w:ilvl w:val="0"/>
          <w:numId w:val="0"/>
        </w:numPr>
        <w:spacing w:after="0"/>
        <w:rPr>
          <w:lang w:val="en-ZA"/>
        </w:rPr>
      </w:pPr>
      <w:r>
        <w:rPr>
          <w:lang w:val="en-ZA"/>
        </w:rPr>
        <w:t>[8]</w:t>
      </w:r>
      <w:r>
        <w:rPr>
          <w:lang w:val="en-ZA"/>
        </w:rPr>
        <w:tab/>
      </w:r>
      <w:r w:rsidR="00CA0BD1">
        <w:rPr>
          <w:lang w:val="en-ZA"/>
        </w:rPr>
        <w:t>The DPP</w:t>
      </w:r>
      <w:r w:rsidR="00085F93">
        <w:rPr>
          <w:lang w:val="en-ZA"/>
        </w:rPr>
        <w:t xml:space="preserve"> of the North West, who also had possession of the </w:t>
      </w:r>
      <w:r w:rsidR="0011327E">
        <w:rPr>
          <w:lang w:val="en-ZA"/>
        </w:rPr>
        <w:t xml:space="preserve">letter from the </w:t>
      </w:r>
      <w:r w:rsidR="00343886">
        <w:rPr>
          <w:lang w:val="en-ZA"/>
        </w:rPr>
        <w:t>applicants’</w:t>
      </w:r>
      <w:r w:rsidR="0011327E">
        <w:rPr>
          <w:lang w:val="en-ZA"/>
        </w:rPr>
        <w:t xml:space="preserve"> lawyers, </w:t>
      </w:r>
      <w:r w:rsidR="002E1AF7">
        <w:rPr>
          <w:lang w:val="en-ZA"/>
        </w:rPr>
        <w:t>sent communication to the NDPP, amongst others</w:t>
      </w:r>
      <w:r w:rsidR="00FF7E6B">
        <w:rPr>
          <w:lang w:val="en-ZA"/>
        </w:rPr>
        <w:t xml:space="preserve">, </w:t>
      </w:r>
      <w:r w:rsidR="00845E66">
        <w:rPr>
          <w:lang w:val="en-ZA"/>
        </w:rPr>
        <w:t xml:space="preserve">stating that in his opinion there was a </w:t>
      </w:r>
      <w:r w:rsidR="00845E66" w:rsidRPr="007D1C6A">
        <w:rPr>
          <w:i/>
          <w:iCs/>
          <w:lang w:val="en-ZA"/>
        </w:rPr>
        <w:t>prima facie</w:t>
      </w:r>
      <w:r w:rsidR="004519B0">
        <w:rPr>
          <w:lang w:val="en-ZA"/>
        </w:rPr>
        <w:t xml:space="preserve"> case</w:t>
      </w:r>
      <w:r w:rsidR="00845E66">
        <w:rPr>
          <w:lang w:val="en-ZA"/>
        </w:rPr>
        <w:t xml:space="preserve"> against the applicants. On receipt of this communication, the </w:t>
      </w:r>
      <w:r w:rsidR="008925F8" w:rsidRPr="008925F8">
        <w:rPr>
          <w:lang w:val="en-ZA"/>
        </w:rPr>
        <w:t>Acting Deputy National Director</w:t>
      </w:r>
      <w:r w:rsidR="00F20290">
        <w:rPr>
          <w:lang w:val="en-ZA"/>
        </w:rPr>
        <w:t xml:space="preserve">, sent communication to the DPP North West </w:t>
      </w:r>
      <w:r w:rsidR="000D0490">
        <w:rPr>
          <w:lang w:val="en-ZA"/>
        </w:rPr>
        <w:t xml:space="preserve">stating </w:t>
      </w:r>
      <w:r w:rsidR="000D0490" w:rsidRPr="006B5601">
        <w:rPr>
          <w:lang w:val="en-ZA"/>
        </w:rPr>
        <w:t>inter alia</w:t>
      </w:r>
      <w:r w:rsidR="00066F6C">
        <w:rPr>
          <w:lang w:val="en-ZA"/>
        </w:rPr>
        <w:t>:</w:t>
      </w:r>
    </w:p>
    <w:p w14:paraId="0906AE50" w14:textId="77777777" w:rsidR="00B74302" w:rsidRDefault="00B74302" w:rsidP="007D1C6A">
      <w:pPr>
        <w:pStyle w:val="Judgmentbetweenparagraphs"/>
      </w:pPr>
    </w:p>
    <w:p w14:paraId="6EA80AC7" w14:textId="220E63D4" w:rsidR="00A44199" w:rsidRPr="00A44199" w:rsidRDefault="006B5601" w:rsidP="007D1C6A">
      <w:pPr>
        <w:pStyle w:val="Quotes"/>
      </w:pPr>
      <w:r>
        <w:t xml:space="preserve"> </w:t>
      </w:r>
      <w:r w:rsidR="0059472A">
        <w:t>“In</w:t>
      </w:r>
      <w:r w:rsidR="003543DA">
        <w:t xml:space="preserve"> order to enable the NDPP</w:t>
      </w:r>
      <w:r w:rsidR="00E34C2F">
        <w:t xml:space="preserve"> to make an informed decision on the representations </w:t>
      </w:r>
      <w:r w:rsidR="002C7033">
        <w:t xml:space="preserve">received from Nkome Incorporated </w:t>
      </w:r>
      <w:r w:rsidR="00A943AB">
        <w:t>attorneys</w:t>
      </w:r>
      <w:r w:rsidR="002C7033">
        <w:t xml:space="preserve">, </w:t>
      </w:r>
      <w:r w:rsidR="00A51064">
        <w:t xml:space="preserve">you are kindly requested to provide this </w:t>
      </w:r>
      <w:r w:rsidR="00A943AB">
        <w:t xml:space="preserve">Office </w:t>
      </w:r>
      <w:r w:rsidR="00A51064">
        <w:t>with copies of the relevant dockets</w:t>
      </w:r>
      <w:r w:rsidR="00CD6941">
        <w:t>, together with accurate summaries of the evidence contained therein</w:t>
      </w:r>
      <w:r w:rsidR="006F1159">
        <w:t>. If you intend to rely</w:t>
      </w:r>
      <w:r w:rsidR="005A7574">
        <w:t xml:space="preserve"> on</w:t>
      </w:r>
      <w:r w:rsidR="006F1159">
        <w:t xml:space="preserve"> any video footage as part of the accumulated </w:t>
      </w:r>
      <w:r w:rsidR="0059472A">
        <w:t>evidence</w:t>
      </w:r>
      <w:r w:rsidR="00433CAF">
        <w:t xml:space="preserve"> against the accused, you are accordingly requested to provide this </w:t>
      </w:r>
      <w:r w:rsidR="00A943AB">
        <w:t xml:space="preserve">Office </w:t>
      </w:r>
      <w:r w:rsidR="0059472A">
        <w:t>with copies of the same.</w:t>
      </w:r>
    </w:p>
    <w:p w14:paraId="0CAB1258" w14:textId="771C239A" w:rsidR="000948AC" w:rsidRDefault="00E83BE4" w:rsidP="007D1C6A">
      <w:pPr>
        <w:pStyle w:val="Quotes"/>
      </w:pPr>
      <w:r>
        <w:tab/>
      </w:r>
      <w:r w:rsidR="0059472A">
        <w:t xml:space="preserve">You are further </w:t>
      </w:r>
      <w:r w:rsidR="00927564">
        <w:t xml:space="preserve">requested to provide this </w:t>
      </w:r>
      <w:r w:rsidR="001506F1">
        <w:t xml:space="preserve">Office </w:t>
      </w:r>
      <w:r w:rsidR="00927564">
        <w:t xml:space="preserve">with a comprehensive report </w:t>
      </w:r>
      <w:r w:rsidR="00D062F4">
        <w:t xml:space="preserve">that sets out </w:t>
      </w:r>
      <w:r w:rsidR="00736734">
        <w:t xml:space="preserve">the reliable and credible </w:t>
      </w:r>
      <w:r w:rsidR="00DA4044">
        <w:t xml:space="preserve">evidence </w:t>
      </w:r>
      <w:r w:rsidR="00736734">
        <w:t xml:space="preserve">that link the 19 accused </w:t>
      </w:r>
      <w:r w:rsidR="0091766B">
        <w:t xml:space="preserve">to the </w:t>
      </w:r>
      <w:r w:rsidR="002D56DD">
        <w:t xml:space="preserve">various </w:t>
      </w:r>
      <w:r w:rsidR="0091766B">
        <w:t xml:space="preserve">charges and why it is argued </w:t>
      </w:r>
      <w:r w:rsidR="002D56DD">
        <w:t xml:space="preserve">that </w:t>
      </w:r>
      <w:r w:rsidR="0091766B">
        <w:t xml:space="preserve">they acted in common purpose </w:t>
      </w:r>
      <w:r w:rsidR="002B1C01">
        <w:t xml:space="preserve">in committing </w:t>
      </w:r>
      <w:r w:rsidR="001506F1">
        <w:t xml:space="preserve">all </w:t>
      </w:r>
      <w:r w:rsidR="002B1C01">
        <w:t>these offences.</w:t>
      </w:r>
    </w:p>
    <w:p w14:paraId="7ED551C6" w14:textId="61CEBEA2" w:rsidR="000E2FE4" w:rsidRDefault="00E83BE4" w:rsidP="007D1C6A">
      <w:pPr>
        <w:pStyle w:val="Quotes"/>
      </w:pPr>
      <w:r>
        <w:lastRenderedPageBreak/>
        <w:tab/>
      </w:r>
      <w:r w:rsidR="000948AC">
        <w:t xml:space="preserve">Your report </w:t>
      </w:r>
      <w:r w:rsidR="000460CB">
        <w:t xml:space="preserve">should also comprehensively address the criticism levelled against </w:t>
      </w:r>
      <w:r w:rsidR="00A41FBF">
        <w:t xml:space="preserve">Mr X’s evidence during the Farlam Commission and what impact </w:t>
      </w:r>
      <w:r w:rsidR="00D92BBC">
        <w:t>his evidence has in respect of the intended charges against the accused</w:t>
      </w:r>
      <w:r w:rsidR="00275800">
        <w:t xml:space="preserve">. This </w:t>
      </w:r>
      <w:r w:rsidR="007A449E">
        <w:t xml:space="preserve">Office </w:t>
      </w:r>
      <w:r w:rsidR="00351890">
        <w:t xml:space="preserve">would also like to know why you opine that it is not correct </w:t>
      </w:r>
      <w:r w:rsidR="00AB29ED">
        <w:t xml:space="preserve">to state that Mr X </w:t>
      </w:r>
      <w:r w:rsidR="007A449E">
        <w:t xml:space="preserve">was </w:t>
      </w:r>
      <w:r w:rsidR="00AB29ED">
        <w:t>irretrievably discredited.</w:t>
      </w:r>
      <w:r w:rsidR="00D920B4">
        <w:t>”</w:t>
      </w:r>
    </w:p>
    <w:p w14:paraId="52218B21" w14:textId="77777777" w:rsidR="000E2FE4" w:rsidRDefault="000E2FE4" w:rsidP="003543DA">
      <w:pPr>
        <w:pStyle w:val="JudgmentNumbered"/>
        <w:numPr>
          <w:ilvl w:val="0"/>
          <w:numId w:val="0"/>
        </w:numPr>
        <w:spacing w:after="0"/>
        <w:rPr>
          <w:lang w:val="en-ZA"/>
        </w:rPr>
      </w:pPr>
    </w:p>
    <w:p w14:paraId="175ED97F" w14:textId="3398AF3E" w:rsidR="00C75417" w:rsidRDefault="00715A2A" w:rsidP="00715A2A">
      <w:pPr>
        <w:pStyle w:val="JudgmentNumbered"/>
        <w:numPr>
          <w:ilvl w:val="0"/>
          <w:numId w:val="0"/>
        </w:numPr>
        <w:spacing w:after="0"/>
        <w:rPr>
          <w:lang w:val="en-ZA"/>
        </w:rPr>
      </w:pPr>
      <w:r>
        <w:rPr>
          <w:lang w:val="en-ZA"/>
        </w:rPr>
        <w:t>[9]</w:t>
      </w:r>
      <w:r>
        <w:rPr>
          <w:lang w:val="en-ZA"/>
        </w:rPr>
        <w:tab/>
      </w:r>
      <w:r w:rsidR="000E2FE4">
        <w:rPr>
          <w:lang w:val="en-ZA"/>
        </w:rPr>
        <w:t xml:space="preserve">The DPP North West responded to the </w:t>
      </w:r>
      <w:r w:rsidR="007A449E" w:rsidRPr="008925F8">
        <w:rPr>
          <w:lang w:val="en-ZA"/>
        </w:rPr>
        <w:t>Acting Deputy National Director</w:t>
      </w:r>
      <w:r w:rsidR="007A449E">
        <w:rPr>
          <w:lang w:val="en-ZA"/>
        </w:rPr>
        <w:t>’s</w:t>
      </w:r>
      <w:r w:rsidR="00B1189F">
        <w:rPr>
          <w:lang w:val="en-ZA"/>
        </w:rPr>
        <w:t xml:space="preserve"> </w:t>
      </w:r>
      <w:r w:rsidR="000E2FE4">
        <w:rPr>
          <w:lang w:val="en-ZA"/>
        </w:rPr>
        <w:t>request</w:t>
      </w:r>
      <w:r w:rsidR="00B1189F">
        <w:rPr>
          <w:lang w:val="en-ZA"/>
        </w:rPr>
        <w:t>, with all the requested material a</w:t>
      </w:r>
      <w:r w:rsidR="00CA50CC">
        <w:rPr>
          <w:lang w:val="en-ZA"/>
        </w:rPr>
        <w:t>nd also furnished his reasons for his opinion</w:t>
      </w:r>
      <w:r w:rsidR="008C0438">
        <w:rPr>
          <w:lang w:val="en-ZA"/>
        </w:rPr>
        <w:t>. He also attached an extract from the</w:t>
      </w:r>
      <w:r w:rsidR="004C4E6E">
        <w:rPr>
          <w:lang w:val="en-ZA"/>
        </w:rPr>
        <w:t xml:space="preserve"> transcript of the</w:t>
      </w:r>
      <w:r w:rsidR="008C0438">
        <w:rPr>
          <w:lang w:val="en-ZA"/>
        </w:rPr>
        <w:t xml:space="preserve"> Farlam Commission </w:t>
      </w:r>
      <w:r w:rsidR="004C4E6E">
        <w:rPr>
          <w:lang w:val="en-ZA"/>
        </w:rPr>
        <w:t>which contained</w:t>
      </w:r>
      <w:r w:rsidR="004F70BD">
        <w:rPr>
          <w:lang w:val="en-ZA"/>
        </w:rPr>
        <w:t xml:space="preserve"> the Commission’s finding on the evidence of Mr X.”</w:t>
      </w:r>
    </w:p>
    <w:p w14:paraId="762B39E3" w14:textId="77777777" w:rsidR="00C75417" w:rsidRDefault="00C75417" w:rsidP="003543DA">
      <w:pPr>
        <w:pStyle w:val="JudgmentNumbered"/>
        <w:numPr>
          <w:ilvl w:val="0"/>
          <w:numId w:val="0"/>
        </w:numPr>
        <w:spacing w:after="0"/>
        <w:rPr>
          <w:lang w:val="en-ZA"/>
        </w:rPr>
      </w:pPr>
    </w:p>
    <w:p w14:paraId="192B7FF5" w14:textId="7F2E7057" w:rsidR="00273963" w:rsidRPr="007A5967" w:rsidRDefault="00715A2A" w:rsidP="00715A2A">
      <w:pPr>
        <w:pStyle w:val="JudgmentNumbered"/>
        <w:numPr>
          <w:ilvl w:val="0"/>
          <w:numId w:val="0"/>
        </w:numPr>
        <w:spacing w:after="0"/>
        <w:rPr>
          <w:rStyle w:val="QuotesChar"/>
          <w:sz w:val="22"/>
        </w:rPr>
      </w:pPr>
      <w:r w:rsidRPr="007A5967">
        <w:rPr>
          <w:rStyle w:val="QuotesChar"/>
          <w:sz w:val="22"/>
        </w:rPr>
        <w:t>[10]</w:t>
      </w:r>
      <w:r w:rsidRPr="007A5967">
        <w:rPr>
          <w:rStyle w:val="QuotesChar"/>
          <w:sz w:val="22"/>
        </w:rPr>
        <w:tab/>
      </w:r>
      <w:r w:rsidR="00E4403A">
        <w:rPr>
          <w:lang w:val="en-ZA"/>
        </w:rPr>
        <w:t>Thereafter</w:t>
      </w:r>
      <w:r w:rsidR="00DE6A2C">
        <w:rPr>
          <w:lang w:val="en-ZA"/>
        </w:rPr>
        <w:t xml:space="preserve">, </w:t>
      </w:r>
      <w:r w:rsidR="00273963" w:rsidRPr="007A5967">
        <w:rPr>
          <w:lang w:val="en-ZA"/>
        </w:rPr>
        <w:t>the NDPP responded</w:t>
      </w:r>
      <w:r w:rsidR="00DE6A2C">
        <w:rPr>
          <w:lang w:val="en-ZA"/>
        </w:rPr>
        <w:t xml:space="preserve"> to the applicant’s lawyers</w:t>
      </w:r>
      <w:r w:rsidR="00273963" w:rsidRPr="007A5967">
        <w:rPr>
          <w:lang w:val="en-ZA"/>
        </w:rPr>
        <w:t xml:space="preserve">, per letter dated 30 June 2017, refusing to accede to their demands that he </w:t>
      </w:r>
      <w:r w:rsidR="00343886" w:rsidRPr="007A5967">
        <w:rPr>
          <w:lang w:val="en-ZA"/>
        </w:rPr>
        <w:t>reviews</w:t>
      </w:r>
      <w:r w:rsidR="00273963" w:rsidRPr="007A5967">
        <w:rPr>
          <w:lang w:val="en-ZA"/>
        </w:rPr>
        <w:t xml:space="preserve"> the DPP</w:t>
      </w:r>
      <w:r w:rsidR="00CD16BA">
        <w:rPr>
          <w:lang w:val="en-ZA"/>
        </w:rPr>
        <w:t>’</w:t>
      </w:r>
      <w:r w:rsidR="00273963" w:rsidRPr="007A5967">
        <w:rPr>
          <w:lang w:val="en-ZA"/>
        </w:rPr>
        <w:t xml:space="preserve">s decision. </w:t>
      </w:r>
      <w:r w:rsidR="00462B25">
        <w:rPr>
          <w:lang w:val="en-ZA"/>
        </w:rPr>
        <w:t xml:space="preserve"> </w:t>
      </w:r>
      <w:r w:rsidR="007D72AC">
        <w:rPr>
          <w:lang w:val="en-ZA"/>
        </w:rPr>
        <w:t>He also briefly stated his reasons for refusing to intervene.</w:t>
      </w:r>
    </w:p>
    <w:p w14:paraId="3B656655" w14:textId="77777777" w:rsidR="001D68CB" w:rsidRPr="007A5967" w:rsidRDefault="001D68CB" w:rsidP="001D68CB">
      <w:pPr>
        <w:pStyle w:val="Judgmentbetweenparagraphs"/>
      </w:pPr>
    </w:p>
    <w:p w14:paraId="34D89D97" w14:textId="08354897" w:rsidR="00273963" w:rsidRDefault="00715A2A" w:rsidP="00715A2A">
      <w:pPr>
        <w:pStyle w:val="JudgmentNumbered"/>
        <w:numPr>
          <w:ilvl w:val="0"/>
          <w:numId w:val="0"/>
        </w:numPr>
        <w:spacing w:after="0"/>
        <w:rPr>
          <w:lang w:val="en-ZA"/>
        </w:rPr>
      </w:pPr>
      <w:r>
        <w:rPr>
          <w:lang w:val="en-ZA"/>
        </w:rPr>
        <w:t>[11]</w:t>
      </w:r>
      <w:r>
        <w:rPr>
          <w:lang w:val="en-ZA"/>
        </w:rPr>
        <w:tab/>
      </w:r>
      <w:r w:rsidR="00273963" w:rsidRPr="007A5967">
        <w:rPr>
          <w:lang w:val="en-ZA"/>
        </w:rPr>
        <w:t xml:space="preserve">The applicants then attempted once more to have the </w:t>
      </w:r>
      <w:r w:rsidR="00A96CEF">
        <w:rPr>
          <w:lang w:val="en-ZA"/>
        </w:rPr>
        <w:t>NDPP intervene and halt the prosecution. This was</w:t>
      </w:r>
      <w:r w:rsidR="00273963" w:rsidRPr="007A5967">
        <w:rPr>
          <w:lang w:val="en-ZA"/>
        </w:rPr>
        <w:t xml:space="preserve"> a</w:t>
      </w:r>
      <w:r w:rsidR="00EB74C6">
        <w:rPr>
          <w:lang w:val="en-ZA"/>
        </w:rPr>
        <w:t>t a</w:t>
      </w:r>
      <w:r w:rsidR="00273963" w:rsidRPr="007A5967">
        <w:rPr>
          <w:lang w:val="en-ZA"/>
        </w:rPr>
        <w:t xml:space="preserve"> meeting with the NDPP and other members of the NPA on 12 September 2017. </w:t>
      </w:r>
      <w:r w:rsidR="00462B25">
        <w:rPr>
          <w:lang w:val="en-ZA"/>
        </w:rPr>
        <w:t xml:space="preserve"> </w:t>
      </w:r>
      <w:r w:rsidR="00273963" w:rsidRPr="007A5967">
        <w:rPr>
          <w:lang w:val="en-ZA"/>
        </w:rPr>
        <w:t>The</w:t>
      </w:r>
      <w:r w:rsidR="00B30F2F">
        <w:rPr>
          <w:lang w:val="en-ZA"/>
        </w:rPr>
        <w:t xml:space="preserve"> applicant</w:t>
      </w:r>
      <w:r w:rsidR="00D10FA6">
        <w:rPr>
          <w:lang w:val="en-ZA"/>
        </w:rPr>
        <w:t>s’ attorneys</w:t>
      </w:r>
      <w:r w:rsidR="00273963" w:rsidRPr="007A5967">
        <w:rPr>
          <w:lang w:val="en-ZA"/>
        </w:rPr>
        <w:t xml:space="preserve"> persisted with their quest to have the NDPP </w:t>
      </w:r>
      <w:r w:rsidR="00C36663">
        <w:rPr>
          <w:lang w:val="en-ZA"/>
        </w:rPr>
        <w:t xml:space="preserve">review the </w:t>
      </w:r>
      <w:r w:rsidR="00D33849">
        <w:rPr>
          <w:lang w:val="en-ZA"/>
        </w:rPr>
        <w:t>N</w:t>
      </w:r>
      <w:r w:rsidR="00C36663">
        <w:rPr>
          <w:lang w:val="en-ZA"/>
        </w:rPr>
        <w:t>orth West DPP’s decision to prosecute</w:t>
      </w:r>
      <w:r w:rsidR="007A449E">
        <w:rPr>
          <w:lang w:val="en-ZA"/>
        </w:rPr>
        <w:t>,</w:t>
      </w:r>
      <w:r w:rsidR="007F619F">
        <w:rPr>
          <w:lang w:val="en-ZA"/>
        </w:rPr>
        <w:t xml:space="preserve"> and set it aside.</w:t>
      </w:r>
      <w:r w:rsidR="00273963" w:rsidRPr="007A5967">
        <w:rPr>
          <w:lang w:val="en-ZA"/>
        </w:rPr>
        <w:t xml:space="preserve"> </w:t>
      </w:r>
      <w:r w:rsidR="00462B25">
        <w:rPr>
          <w:lang w:val="en-ZA"/>
        </w:rPr>
        <w:t xml:space="preserve"> </w:t>
      </w:r>
      <w:r w:rsidR="00273963" w:rsidRPr="007A5967">
        <w:rPr>
          <w:lang w:val="en-ZA"/>
        </w:rPr>
        <w:t xml:space="preserve">When this proved futile, they </w:t>
      </w:r>
      <w:r w:rsidR="00D10FA6">
        <w:rPr>
          <w:lang w:val="en-ZA"/>
        </w:rPr>
        <w:t xml:space="preserve">again </w:t>
      </w:r>
      <w:r w:rsidR="00273963" w:rsidRPr="007A5967">
        <w:rPr>
          <w:lang w:val="en-ZA"/>
        </w:rPr>
        <w:t xml:space="preserve">sought reasons from the NDPP for his decision </w:t>
      </w:r>
      <w:r w:rsidR="00D10FA6">
        <w:rPr>
          <w:lang w:val="en-ZA"/>
        </w:rPr>
        <w:t xml:space="preserve">refusing to intervene </w:t>
      </w:r>
      <w:r w:rsidR="00D068CF">
        <w:rPr>
          <w:lang w:val="en-ZA"/>
        </w:rPr>
        <w:t xml:space="preserve">to halt </w:t>
      </w:r>
      <w:r w:rsidR="00C57D7C">
        <w:rPr>
          <w:lang w:val="en-ZA"/>
        </w:rPr>
        <w:t xml:space="preserve">the prosecution </w:t>
      </w:r>
      <w:r w:rsidR="00D068CF">
        <w:rPr>
          <w:lang w:val="en-ZA"/>
        </w:rPr>
        <w:t xml:space="preserve">and </w:t>
      </w:r>
      <w:r w:rsidR="00273963" w:rsidRPr="007A5967">
        <w:rPr>
          <w:lang w:val="en-ZA"/>
        </w:rPr>
        <w:t xml:space="preserve">not review the continuation of their prosecutions. </w:t>
      </w:r>
      <w:r w:rsidR="00462B25">
        <w:rPr>
          <w:lang w:val="en-ZA"/>
        </w:rPr>
        <w:t xml:space="preserve"> </w:t>
      </w:r>
      <w:r w:rsidR="00273963" w:rsidRPr="007A5967">
        <w:rPr>
          <w:lang w:val="en-ZA"/>
        </w:rPr>
        <w:t>The minutes of that meeting record the NDPP’s reiteration that he was satisfied by the DPP</w:t>
      </w:r>
      <w:r w:rsidR="001D68CB" w:rsidRPr="007A5967">
        <w:rPr>
          <w:lang w:val="en-ZA"/>
        </w:rPr>
        <w:t>’</w:t>
      </w:r>
      <w:r w:rsidR="00273963" w:rsidRPr="007A5967">
        <w:rPr>
          <w:lang w:val="en-ZA"/>
        </w:rPr>
        <w:t xml:space="preserve">s reasons to proceed with the prosecution. </w:t>
      </w:r>
      <w:r w:rsidR="00462B25">
        <w:rPr>
          <w:lang w:val="en-ZA"/>
        </w:rPr>
        <w:t xml:space="preserve"> </w:t>
      </w:r>
      <w:r w:rsidR="00273963" w:rsidRPr="007A5967">
        <w:rPr>
          <w:lang w:val="en-ZA"/>
        </w:rPr>
        <w:t xml:space="preserve">The minutes also record the NDPP’s undertaking to provide reasons for his refusal to intervene and discontinue the prosecutions, should these be sought. </w:t>
      </w:r>
      <w:r w:rsidR="00462B25">
        <w:rPr>
          <w:lang w:val="en-ZA"/>
        </w:rPr>
        <w:t xml:space="preserve"> </w:t>
      </w:r>
      <w:r w:rsidR="00336F23">
        <w:rPr>
          <w:lang w:val="en-ZA"/>
        </w:rPr>
        <w:t xml:space="preserve">The </w:t>
      </w:r>
      <w:r w:rsidR="00273963" w:rsidRPr="007A5967">
        <w:rPr>
          <w:lang w:val="en-ZA"/>
        </w:rPr>
        <w:t>request for reasons</w:t>
      </w:r>
      <w:r w:rsidR="00D32ACB">
        <w:rPr>
          <w:lang w:val="en-ZA"/>
        </w:rPr>
        <w:t>, basically not dissimilar to their earlier letter</w:t>
      </w:r>
      <w:r w:rsidR="00722B40">
        <w:rPr>
          <w:lang w:val="en-ZA"/>
        </w:rPr>
        <w:t>,</w:t>
      </w:r>
      <w:r w:rsidR="00273963" w:rsidRPr="007A5967">
        <w:rPr>
          <w:lang w:val="en-ZA"/>
        </w:rPr>
        <w:t xml:space="preserve"> was </w:t>
      </w:r>
      <w:r w:rsidR="00336F23">
        <w:rPr>
          <w:lang w:val="en-ZA"/>
        </w:rPr>
        <w:t xml:space="preserve">subsequently </w:t>
      </w:r>
      <w:r w:rsidR="00273963" w:rsidRPr="007A5967">
        <w:rPr>
          <w:lang w:val="en-ZA"/>
        </w:rPr>
        <w:t xml:space="preserve">sent to his office to which there was no response. </w:t>
      </w:r>
      <w:r w:rsidR="00462B25">
        <w:rPr>
          <w:lang w:val="en-ZA"/>
        </w:rPr>
        <w:t xml:space="preserve"> </w:t>
      </w:r>
      <w:r w:rsidR="00273963" w:rsidRPr="007A5967">
        <w:rPr>
          <w:lang w:val="en-ZA"/>
        </w:rPr>
        <w:t xml:space="preserve">The applicants thereafter launched this application on </w:t>
      </w:r>
      <w:r w:rsidR="008D1B2A" w:rsidRPr="007A5967">
        <w:rPr>
          <w:lang w:val="en-ZA"/>
        </w:rPr>
        <w:t>1</w:t>
      </w:r>
      <w:r w:rsidR="008D1B2A">
        <w:rPr>
          <w:lang w:val="en-ZA"/>
        </w:rPr>
        <w:t>0</w:t>
      </w:r>
      <w:r w:rsidR="008D1B2A" w:rsidRPr="007A5967">
        <w:rPr>
          <w:lang w:val="en-ZA"/>
        </w:rPr>
        <w:t xml:space="preserve"> </w:t>
      </w:r>
      <w:r w:rsidR="00273963" w:rsidRPr="007A5967">
        <w:rPr>
          <w:lang w:val="en-ZA"/>
        </w:rPr>
        <w:t xml:space="preserve">October 2017. </w:t>
      </w:r>
      <w:r w:rsidR="00462B25">
        <w:rPr>
          <w:lang w:val="en-ZA"/>
        </w:rPr>
        <w:t xml:space="preserve"> </w:t>
      </w:r>
    </w:p>
    <w:p w14:paraId="7D4952D2" w14:textId="77777777" w:rsidR="00E83BE4" w:rsidRPr="007A5967" w:rsidRDefault="00E83BE4" w:rsidP="007D1C6A">
      <w:pPr>
        <w:pStyle w:val="JudgmentNumbered"/>
        <w:numPr>
          <w:ilvl w:val="0"/>
          <w:numId w:val="0"/>
        </w:numPr>
        <w:spacing w:after="0"/>
        <w:rPr>
          <w:lang w:val="en-ZA"/>
        </w:rPr>
      </w:pPr>
    </w:p>
    <w:p w14:paraId="0B525482" w14:textId="7DA6EF3F" w:rsidR="00462B25" w:rsidRDefault="00715A2A" w:rsidP="00715A2A">
      <w:pPr>
        <w:pStyle w:val="JudgmentNumbered"/>
        <w:numPr>
          <w:ilvl w:val="0"/>
          <w:numId w:val="0"/>
        </w:numPr>
        <w:spacing w:after="0"/>
        <w:rPr>
          <w:lang w:val="en-ZA"/>
        </w:rPr>
      </w:pPr>
      <w:r>
        <w:rPr>
          <w:lang w:val="en-ZA"/>
        </w:rPr>
        <w:t>[12]</w:t>
      </w:r>
      <w:r>
        <w:rPr>
          <w:lang w:val="en-ZA"/>
        </w:rPr>
        <w:tab/>
      </w:r>
      <w:r w:rsidR="00273963" w:rsidRPr="007A5967">
        <w:rPr>
          <w:lang w:val="en-ZA"/>
        </w:rPr>
        <w:t xml:space="preserve">The </w:t>
      </w:r>
      <w:r w:rsidR="001D68CB" w:rsidRPr="007A5967">
        <w:rPr>
          <w:lang w:val="en-ZA"/>
        </w:rPr>
        <w:t>f</w:t>
      </w:r>
      <w:r w:rsidR="00273963" w:rsidRPr="007A5967">
        <w:rPr>
          <w:lang w:val="en-ZA"/>
        </w:rPr>
        <w:t xml:space="preserve">irst to </w:t>
      </w:r>
      <w:r w:rsidR="001D68CB" w:rsidRPr="007A5967">
        <w:rPr>
          <w:lang w:val="en-ZA"/>
        </w:rPr>
        <w:t>t</w:t>
      </w:r>
      <w:r w:rsidR="00273963" w:rsidRPr="007A5967">
        <w:rPr>
          <w:lang w:val="en-ZA"/>
        </w:rPr>
        <w:t xml:space="preserve">hird </w:t>
      </w:r>
      <w:r w:rsidR="001D68CB" w:rsidRPr="007A5967">
        <w:rPr>
          <w:lang w:val="en-ZA"/>
        </w:rPr>
        <w:t>r</w:t>
      </w:r>
      <w:r w:rsidR="00273963" w:rsidRPr="007A5967">
        <w:rPr>
          <w:lang w:val="en-ZA"/>
        </w:rPr>
        <w:t>espondents opposed the application, filing the record on 28 February 2018</w:t>
      </w:r>
      <w:r w:rsidR="00462B25">
        <w:rPr>
          <w:lang w:val="en-ZA"/>
        </w:rPr>
        <w:t xml:space="preserve">.  </w:t>
      </w:r>
      <w:r w:rsidR="00273963" w:rsidRPr="007A5967">
        <w:rPr>
          <w:lang w:val="en-ZA"/>
        </w:rPr>
        <w:t>The applicants did not file any supplementary founding affidavit and, three years later, the respondents filed their answering affidavit on 13 April 2021</w:t>
      </w:r>
      <w:r w:rsidR="00462B25">
        <w:rPr>
          <w:lang w:val="en-ZA"/>
        </w:rPr>
        <w:t xml:space="preserve">.  </w:t>
      </w:r>
      <w:r w:rsidR="00273963" w:rsidRPr="007A5967">
        <w:rPr>
          <w:lang w:val="en-ZA"/>
        </w:rPr>
        <w:t xml:space="preserve">Two years later, the </w:t>
      </w:r>
      <w:r w:rsidR="00794A68">
        <w:rPr>
          <w:lang w:val="en-ZA"/>
        </w:rPr>
        <w:t>r</w:t>
      </w:r>
      <w:r w:rsidR="00794A68" w:rsidRPr="007A5967">
        <w:rPr>
          <w:lang w:val="en-ZA"/>
        </w:rPr>
        <w:t xml:space="preserve">espondents </w:t>
      </w:r>
      <w:r w:rsidR="003B27D6" w:rsidRPr="003B27D6">
        <w:rPr>
          <w:lang w:val="en-ZA"/>
        </w:rPr>
        <w:t>applied for a hearing date on 7 June 2023</w:t>
      </w:r>
      <w:r w:rsidR="00A33563">
        <w:rPr>
          <w:lang w:val="en-ZA"/>
        </w:rPr>
        <w:t xml:space="preserve"> and then </w:t>
      </w:r>
      <w:r w:rsidR="00273963" w:rsidRPr="007A5967">
        <w:rPr>
          <w:lang w:val="en-ZA"/>
        </w:rPr>
        <w:t>filed their heads of argument on 11 June 2023</w:t>
      </w:r>
      <w:r w:rsidR="00462B25">
        <w:rPr>
          <w:lang w:val="en-ZA"/>
        </w:rPr>
        <w:t xml:space="preserve">.  </w:t>
      </w:r>
      <w:r w:rsidR="00A33563">
        <w:rPr>
          <w:lang w:val="en-ZA"/>
        </w:rPr>
        <w:t xml:space="preserve">The </w:t>
      </w:r>
      <w:r w:rsidR="00414D3C">
        <w:rPr>
          <w:lang w:val="en-ZA"/>
        </w:rPr>
        <w:t>a</w:t>
      </w:r>
      <w:r w:rsidR="00414D3C" w:rsidRPr="007A5967">
        <w:rPr>
          <w:lang w:val="en-ZA"/>
        </w:rPr>
        <w:t xml:space="preserve">pplicants </w:t>
      </w:r>
      <w:r w:rsidR="00273963" w:rsidRPr="007A5967">
        <w:rPr>
          <w:lang w:val="en-ZA"/>
        </w:rPr>
        <w:t>filed theirs on 19 June 2023</w:t>
      </w:r>
      <w:r w:rsidR="00462B25">
        <w:rPr>
          <w:lang w:val="en-ZA"/>
        </w:rPr>
        <w:t xml:space="preserve">.  </w:t>
      </w:r>
    </w:p>
    <w:p w14:paraId="47375FF1" w14:textId="1FC608F5" w:rsidR="00273963" w:rsidRPr="007A5967" w:rsidRDefault="00273963" w:rsidP="00273963">
      <w:pPr>
        <w:pStyle w:val="JudgmentHeading"/>
      </w:pPr>
      <w:r w:rsidRPr="007A5967">
        <w:t>The applicant</w:t>
      </w:r>
      <w:r w:rsidR="001D68CB" w:rsidRPr="007A5967">
        <w:t>’</w:t>
      </w:r>
      <w:r w:rsidRPr="007A5967">
        <w:t>s case</w:t>
      </w:r>
    </w:p>
    <w:p w14:paraId="31CD0C04" w14:textId="74EB3040" w:rsidR="00685504" w:rsidRDefault="00715A2A" w:rsidP="00715A2A">
      <w:pPr>
        <w:pStyle w:val="JudgmentNumbered"/>
        <w:numPr>
          <w:ilvl w:val="0"/>
          <w:numId w:val="0"/>
        </w:numPr>
        <w:spacing w:after="0"/>
        <w:rPr>
          <w:lang w:val="en-ZA"/>
        </w:rPr>
      </w:pPr>
      <w:r>
        <w:rPr>
          <w:lang w:val="en-ZA"/>
        </w:rPr>
        <w:lastRenderedPageBreak/>
        <w:t>[13]</w:t>
      </w:r>
      <w:r>
        <w:rPr>
          <w:lang w:val="en-ZA"/>
        </w:rPr>
        <w:tab/>
      </w:r>
      <w:r w:rsidR="00273963" w:rsidRPr="007A5967">
        <w:rPr>
          <w:lang w:val="en-ZA"/>
        </w:rPr>
        <w:t>The applicants want this Court to direct and compel the NDPP to discontinue their prosecution, to declare the continuation of their prosecution to be invalid, unlawful and unconstitutional and to review and set aside the decision to continue with the prosecution</w:t>
      </w:r>
      <w:r w:rsidR="001D68CB" w:rsidRPr="007A5967">
        <w:rPr>
          <w:lang w:val="en-ZA"/>
        </w:rPr>
        <w:t xml:space="preserve">, </w:t>
      </w:r>
      <w:r w:rsidR="00273963" w:rsidRPr="007A5967">
        <w:rPr>
          <w:lang w:val="en-ZA"/>
        </w:rPr>
        <w:t xml:space="preserve">as well as costs of suit. </w:t>
      </w:r>
      <w:r w:rsidR="00462B25">
        <w:rPr>
          <w:lang w:val="en-ZA"/>
        </w:rPr>
        <w:t xml:space="preserve"> </w:t>
      </w:r>
      <w:r w:rsidR="00273963" w:rsidRPr="007A5967">
        <w:rPr>
          <w:lang w:val="en-ZA"/>
        </w:rPr>
        <w:t>Their basis for seeking such relief is, amongst others, that their prosecution has no reasonable prospect</w:t>
      </w:r>
      <w:r w:rsidR="00F3454B">
        <w:rPr>
          <w:lang w:val="en-ZA"/>
        </w:rPr>
        <w:t>s</w:t>
      </w:r>
      <w:r w:rsidR="00273963" w:rsidRPr="007A5967">
        <w:rPr>
          <w:lang w:val="en-ZA"/>
        </w:rPr>
        <w:t xml:space="preserve"> of success. </w:t>
      </w:r>
      <w:r w:rsidR="00462B25">
        <w:rPr>
          <w:lang w:val="en-ZA"/>
        </w:rPr>
        <w:t xml:space="preserve"> </w:t>
      </w:r>
      <w:r w:rsidR="00273963" w:rsidRPr="00707F06">
        <w:rPr>
          <w:lang w:val="en-ZA"/>
        </w:rPr>
        <w:t>Their second ground is that their prosecution has led to emotional and financial toll on their part because their legal bills have run into millions of rands, while the serious charges against them have caused a lingering stigma against them</w:t>
      </w:r>
      <w:r w:rsidR="00462B25" w:rsidRPr="00707F06">
        <w:rPr>
          <w:lang w:val="en-ZA"/>
        </w:rPr>
        <w:t xml:space="preserve">.  </w:t>
      </w:r>
      <w:r w:rsidR="00273963" w:rsidRPr="00707F06">
        <w:rPr>
          <w:lang w:val="en-ZA"/>
        </w:rPr>
        <w:t>They also allege that their freedom of movement has been limited, as for some time while out on bail, they had to report to the SAPS whenever they wished to travel outside the North West Province</w:t>
      </w:r>
      <w:r w:rsidR="00462B25" w:rsidRPr="00707F06">
        <w:rPr>
          <w:lang w:val="en-ZA"/>
        </w:rPr>
        <w:t xml:space="preserve">.  </w:t>
      </w:r>
    </w:p>
    <w:p w14:paraId="2CB20088" w14:textId="77777777" w:rsidR="00685504" w:rsidRDefault="00685504" w:rsidP="007D1C6A">
      <w:pPr>
        <w:pStyle w:val="Judgmentbetweenparagraphs"/>
      </w:pPr>
    </w:p>
    <w:p w14:paraId="2C9048BB" w14:textId="5E7CCDAC" w:rsidR="00462B25" w:rsidRDefault="00715A2A" w:rsidP="00715A2A">
      <w:pPr>
        <w:pStyle w:val="JudgmentNumbered"/>
        <w:numPr>
          <w:ilvl w:val="0"/>
          <w:numId w:val="0"/>
        </w:numPr>
        <w:spacing w:after="0"/>
        <w:rPr>
          <w:lang w:val="en-ZA"/>
        </w:rPr>
      </w:pPr>
      <w:r>
        <w:rPr>
          <w:lang w:val="en-ZA"/>
        </w:rPr>
        <w:t>[14]</w:t>
      </w:r>
      <w:r>
        <w:rPr>
          <w:lang w:val="en-ZA"/>
        </w:rPr>
        <w:tab/>
      </w:r>
      <w:r w:rsidR="00273963" w:rsidRPr="007A5967">
        <w:rPr>
          <w:lang w:val="en-ZA"/>
        </w:rPr>
        <w:t>Thirdly, they say that their prosecution is tainted by bias as members of the SAPS who were caught on video and implicated by other evidence in the killings on 16</w:t>
      </w:r>
      <w:r w:rsidR="0023248F">
        <w:rPr>
          <w:vertAlign w:val="superscript"/>
          <w:lang w:val="en-ZA"/>
        </w:rPr>
        <w:t xml:space="preserve"> </w:t>
      </w:r>
      <w:r w:rsidR="00273963" w:rsidRPr="007A5967">
        <w:rPr>
          <w:lang w:val="en-ZA"/>
        </w:rPr>
        <w:t>August 2012, have not been charged, despite the recommendations of the Farlam Commission</w:t>
      </w:r>
      <w:r w:rsidR="00462B25">
        <w:rPr>
          <w:lang w:val="en-ZA"/>
        </w:rPr>
        <w:t xml:space="preserve">.  </w:t>
      </w:r>
      <w:r w:rsidR="00273963" w:rsidRPr="007A5967">
        <w:rPr>
          <w:lang w:val="en-ZA"/>
        </w:rPr>
        <w:t xml:space="preserve">They also assert that it is absurd that they are charged with the murders of their fellow strikers, in circumstances </w:t>
      </w:r>
      <w:r w:rsidR="001642B1" w:rsidRPr="007A5967">
        <w:rPr>
          <w:lang w:val="en-ZA"/>
        </w:rPr>
        <w:t>whe</w:t>
      </w:r>
      <w:r w:rsidR="001642B1">
        <w:rPr>
          <w:lang w:val="en-ZA"/>
        </w:rPr>
        <w:t>re</w:t>
      </w:r>
      <w:r w:rsidR="001642B1" w:rsidRPr="007A5967">
        <w:rPr>
          <w:lang w:val="en-ZA"/>
        </w:rPr>
        <w:t xml:space="preserve"> </w:t>
      </w:r>
      <w:r w:rsidR="00273963" w:rsidRPr="007A5967">
        <w:rPr>
          <w:lang w:val="en-ZA"/>
        </w:rPr>
        <w:t>it was the police who indiscriminately massacred their fellow strikers</w:t>
      </w:r>
      <w:r w:rsidR="00462B25">
        <w:rPr>
          <w:lang w:val="en-ZA"/>
        </w:rPr>
        <w:t xml:space="preserve">.  </w:t>
      </w:r>
      <w:r w:rsidR="00273963" w:rsidRPr="007A5967">
        <w:rPr>
          <w:lang w:val="en-ZA"/>
        </w:rPr>
        <w:t>This they contend has added even more grief and trauma for them</w:t>
      </w:r>
      <w:r w:rsidR="00462B25">
        <w:rPr>
          <w:lang w:val="en-ZA"/>
        </w:rPr>
        <w:t xml:space="preserve">.  </w:t>
      </w:r>
      <w:r w:rsidR="00273963" w:rsidRPr="007A5967">
        <w:rPr>
          <w:lang w:val="en-ZA"/>
        </w:rPr>
        <w:t xml:space="preserve">Lastly, they point out that the </w:t>
      </w:r>
      <w:r w:rsidR="001D68CB" w:rsidRPr="007A5967">
        <w:rPr>
          <w:lang w:val="en-ZA"/>
        </w:rPr>
        <w:t>r</w:t>
      </w:r>
      <w:r w:rsidR="00273963" w:rsidRPr="007A5967">
        <w:rPr>
          <w:lang w:val="en-ZA"/>
        </w:rPr>
        <w:t>espondents have admitted liability for the deaths of the miners on 16 August 2012</w:t>
      </w:r>
      <w:r w:rsidR="00462B25">
        <w:rPr>
          <w:lang w:val="en-ZA"/>
        </w:rPr>
        <w:t xml:space="preserve">.  </w:t>
      </w:r>
      <w:r w:rsidR="00273963" w:rsidRPr="007A5967">
        <w:rPr>
          <w:lang w:val="en-ZA"/>
        </w:rPr>
        <w:t>They further state that a civil claim against SAPS for their unlawful arrest and malicious prosecution is ongoing regarding quantum of damages, merits having been settled</w:t>
      </w:r>
      <w:r w:rsidR="00462B25">
        <w:rPr>
          <w:lang w:val="en-ZA"/>
        </w:rPr>
        <w:t xml:space="preserve">.  </w:t>
      </w:r>
      <w:r w:rsidR="00273963" w:rsidRPr="007A5967">
        <w:rPr>
          <w:lang w:val="en-ZA"/>
        </w:rPr>
        <w:t>From all this, they argue that there is no rational connection between the evidence before the NDPP and his decision to refuse to review and discontinue their prosecution</w:t>
      </w:r>
      <w:r w:rsidR="00462B25">
        <w:rPr>
          <w:lang w:val="en-ZA"/>
        </w:rPr>
        <w:t xml:space="preserve">.  </w:t>
      </w:r>
    </w:p>
    <w:p w14:paraId="2B412A8B" w14:textId="66D8F733" w:rsidR="00273963" w:rsidRPr="007A5967" w:rsidRDefault="00273963" w:rsidP="00273963">
      <w:pPr>
        <w:pStyle w:val="JudgmentHeading"/>
      </w:pPr>
      <w:r w:rsidRPr="007A5967">
        <w:t xml:space="preserve">The </w:t>
      </w:r>
      <w:r w:rsidR="001D68CB" w:rsidRPr="007A5967">
        <w:t>r</w:t>
      </w:r>
      <w:r w:rsidRPr="007A5967">
        <w:t>espondent</w:t>
      </w:r>
      <w:r w:rsidR="001D68CB" w:rsidRPr="007A5967">
        <w:t>’</w:t>
      </w:r>
      <w:r w:rsidRPr="007A5967">
        <w:t>s case</w:t>
      </w:r>
    </w:p>
    <w:p w14:paraId="77389B55" w14:textId="0DD5CF42" w:rsidR="00462B25" w:rsidRDefault="00715A2A" w:rsidP="00715A2A">
      <w:pPr>
        <w:pStyle w:val="JudgmentNumbered"/>
        <w:numPr>
          <w:ilvl w:val="0"/>
          <w:numId w:val="0"/>
        </w:numPr>
        <w:spacing w:after="0"/>
        <w:rPr>
          <w:lang w:val="en-ZA"/>
        </w:rPr>
      </w:pPr>
      <w:r>
        <w:rPr>
          <w:lang w:val="en-ZA"/>
        </w:rPr>
        <w:t>[15]</w:t>
      </w:r>
      <w:r>
        <w:rPr>
          <w:lang w:val="en-ZA"/>
        </w:rPr>
        <w:tab/>
      </w:r>
      <w:r w:rsidR="00273963" w:rsidRPr="007A5967">
        <w:rPr>
          <w:lang w:val="en-ZA"/>
        </w:rPr>
        <w:t xml:space="preserve">The </w:t>
      </w:r>
      <w:r w:rsidR="001D68CB" w:rsidRPr="007A5967">
        <w:rPr>
          <w:lang w:val="en-ZA"/>
        </w:rPr>
        <w:t>r</w:t>
      </w:r>
      <w:r w:rsidR="00273963" w:rsidRPr="007A5967">
        <w:rPr>
          <w:lang w:val="en-ZA"/>
        </w:rPr>
        <w:t xml:space="preserve">espondents deny that the applicants’ prosecution is invalid, unlawful and unconstitutional </w:t>
      </w:r>
      <w:r w:rsidR="000044FE">
        <w:rPr>
          <w:lang w:val="en-ZA"/>
        </w:rPr>
        <w:t xml:space="preserve">and </w:t>
      </w:r>
      <w:r w:rsidR="00273963" w:rsidRPr="007A5967">
        <w:rPr>
          <w:lang w:val="en-ZA"/>
        </w:rPr>
        <w:t xml:space="preserve">liable to be set aside. </w:t>
      </w:r>
      <w:r w:rsidR="00462B25">
        <w:rPr>
          <w:lang w:val="en-ZA"/>
        </w:rPr>
        <w:t xml:space="preserve"> </w:t>
      </w:r>
      <w:r w:rsidR="00273963" w:rsidRPr="007A5967">
        <w:rPr>
          <w:lang w:val="en-ZA"/>
        </w:rPr>
        <w:t xml:space="preserve">As stated above, they raise two preliminary points. </w:t>
      </w:r>
      <w:r w:rsidR="00462B25">
        <w:rPr>
          <w:lang w:val="en-ZA"/>
        </w:rPr>
        <w:t xml:space="preserve"> </w:t>
      </w:r>
      <w:r w:rsidR="00273963" w:rsidRPr="007A5967">
        <w:rPr>
          <w:lang w:val="en-ZA"/>
        </w:rPr>
        <w:t xml:space="preserve">Firstly, that there was an undue delay in the prosecution of this matter. </w:t>
      </w:r>
      <w:r w:rsidR="00462B25">
        <w:rPr>
          <w:lang w:val="en-ZA"/>
        </w:rPr>
        <w:t xml:space="preserve"> </w:t>
      </w:r>
      <w:r w:rsidR="00273963" w:rsidRPr="007A5967">
        <w:rPr>
          <w:lang w:val="en-ZA"/>
        </w:rPr>
        <w:t xml:space="preserve">They say the </w:t>
      </w:r>
      <w:r w:rsidR="00BB51B3" w:rsidRPr="007A5967">
        <w:rPr>
          <w:lang w:val="en-ZA"/>
        </w:rPr>
        <w:t>a</w:t>
      </w:r>
      <w:r w:rsidR="00273963" w:rsidRPr="007A5967">
        <w:rPr>
          <w:lang w:val="en-ZA"/>
        </w:rPr>
        <w:t>pplicants not only failed to serve a supplementary founding affidavit after the record</w:t>
      </w:r>
      <w:r w:rsidR="00BB51B3" w:rsidRPr="007A5967">
        <w:rPr>
          <w:lang w:val="en-ZA"/>
        </w:rPr>
        <w:t xml:space="preserve"> was filed, </w:t>
      </w:r>
      <w:r w:rsidR="00273963" w:rsidRPr="007A5967">
        <w:rPr>
          <w:lang w:val="en-ZA"/>
        </w:rPr>
        <w:t xml:space="preserve">despite reserving their rights to </w:t>
      </w:r>
      <w:r w:rsidR="00561ED0">
        <w:rPr>
          <w:lang w:val="en-ZA"/>
        </w:rPr>
        <w:t>do so</w:t>
      </w:r>
      <w:r w:rsidR="00BB51B3" w:rsidRPr="007A5967">
        <w:rPr>
          <w:lang w:val="en-ZA"/>
        </w:rPr>
        <w:t xml:space="preserve">, </w:t>
      </w:r>
      <w:r w:rsidR="00273963" w:rsidRPr="007A5967">
        <w:rPr>
          <w:lang w:val="en-ZA"/>
        </w:rPr>
        <w:t xml:space="preserve">but </w:t>
      </w:r>
      <w:r w:rsidR="00BB51B3" w:rsidRPr="007A5967">
        <w:rPr>
          <w:lang w:val="en-ZA"/>
        </w:rPr>
        <w:t xml:space="preserve">that they </w:t>
      </w:r>
      <w:r w:rsidR="00273963" w:rsidRPr="007A5967">
        <w:rPr>
          <w:lang w:val="en-ZA"/>
        </w:rPr>
        <w:t xml:space="preserve">also failed to serve and file a replying affidavit, after </w:t>
      </w:r>
      <w:r w:rsidR="00BB51B3" w:rsidRPr="007A5967">
        <w:rPr>
          <w:lang w:val="en-ZA"/>
        </w:rPr>
        <w:t xml:space="preserve">the </w:t>
      </w:r>
      <w:r w:rsidR="00273963" w:rsidRPr="007A5967">
        <w:rPr>
          <w:lang w:val="en-ZA"/>
        </w:rPr>
        <w:t>answering affidavit</w:t>
      </w:r>
      <w:r w:rsidR="00BB51B3" w:rsidRPr="007A5967">
        <w:rPr>
          <w:lang w:val="en-ZA"/>
        </w:rPr>
        <w:t xml:space="preserve"> was filed</w:t>
      </w:r>
      <w:r w:rsidR="00273963" w:rsidRPr="007A5967">
        <w:rPr>
          <w:lang w:val="en-ZA"/>
        </w:rPr>
        <w:t xml:space="preserve">. </w:t>
      </w:r>
      <w:r w:rsidR="00462B25">
        <w:rPr>
          <w:lang w:val="en-ZA"/>
        </w:rPr>
        <w:t xml:space="preserve"> </w:t>
      </w:r>
      <w:r w:rsidR="00273963" w:rsidRPr="00764DE2">
        <w:rPr>
          <w:lang w:val="en-ZA"/>
        </w:rPr>
        <w:t>The</w:t>
      </w:r>
      <w:r w:rsidR="00BB51B3" w:rsidRPr="00764DE2">
        <w:rPr>
          <w:lang w:val="en-ZA"/>
        </w:rPr>
        <w:t>y</w:t>
      </w:r>
      <w:r w:rsidR="00273963" w:rsidRPr="00764DE2">
        <w:rPr>
          <w:lang w:val="en-ZA"/>
        </w:rPr>
        <w:t xml:space="preserve"> argue that this is evidence of delaying tactics that have no purpose but to delay the applicants’ prosecution. </w:t>
      </w:r>
      <w:r w:rsidR="00462B25">
        <w:rPr>
          <w:lang w:val="en-ZA"/>
        </w:rPr>
        <w:t xml:space="preserve"> </w:t>
      </w:r>
      <w:r w:rsidR="00273963" w:rsidRPr="00707F06">
        <w:rPr>
          <w:lang w:val="en-ZA"/>
        </w:rPr>
        <w:t>The</w:t>
      </w:r>
      <w:r w:rsidR="00BB51B3" w:rsidRPr="00707F06">
        <w:rPr>
          <w:lang w:val="en-ZA"/>
        </w:rPr>
        <w:t xml:space="preserve"> </w:t>
      </w:r>
      <w:r w:rsidR="00764DE2" w:rsidRPr="00707F06">
        <w:rPr>
          <w:lang w:val="en-ZA"/>
        </w:rPr>
        <w:t xml:space="preserve">second ground is </w:t>
      </w:r>
      <w:r w:rsidR="00273963" w:rsidRPr="00707F06">
        <w:rPr>
          <w:lang w:val="en-ZA"/>
        </w:rPr>
        <w:t xml:space="preserve">that this </w:t>
      </w:r>
      <w:r w:rsidR="005A2C8A" w:rsidRPr="00707F06">
        <w:rPr>
          <w:lang w:val="en-ZA"/>
        </w:rPr>
        <w:t>C</w:t>
      </w:r>
      <w:r w:rsidR="00273963" w:rsidRPr="00707F06">
        <w:rPr>
          <w:lang w:val="en-ZA"/>
        </w:rPr>
        <w:t>ourt lacks jurisdiction to hear the matter</w:t>
      </w:r>
      <w:r w:rsidR="00462B25" w:rsidRPr="00707F06">
        <w:rPr>
          <w:lang w:val="en-ZA"/>
        </w:rPr>
        <w:t xml:space="preserve">.  </w:t>
      </w:r>
      <w:r w:rsidR="00273963" w:rsidRPr="00707F06">
        <w:rPr>
          <w:lang w:val="en-ZA"/>
        </w:rPr>
        <w:t xml:space="preserve">The basis advanced for this point is that all the </w:t>
      </w:r>
      <w:r w:rsidR="00BB51B3" w:rsidRPr="00707F06">
        <w:rPr>
          <w:lang w:val="en-ZA"/>
        </w:rPr>
        <w:t>a</w:t>
      </w:r>
      <w:r w:rsidR="00273963" w:rsidRPr="00707F06">
        <w:rPr>
          <w:lang w:val="en-ZA"/>
        </w:rPr>
        <w:t xml:space="preserve">pplicants were arrested </w:t>
      </w:r>
      <w:r w:rsidR="00273963" w:rsidRPr="00707F06">
        <w:rPr>
          <w:lang w:val="en-ZA"/>
        </w:rPr>
        <w:lastRenderedPageBreak/>
        <w:t>and charged in the North West Province, and the events that are at the core of this matter took place in that province</w:t>
      </w:r>
      <w:r w:rsidR="00462B25" w:rsidRPr="00707F06">
        <w:rPr>
          <w:lang w:val="en-ZA"/>
        </w:rPr>
        <w:t xml:space="preserve">.  </w:t>
      </w:r>
      <w:r w:rsidR="00273963" w:rsidRPr="00707F06">
        <w:rPr>
          <w:lang w:val="en-ZA"/>
        </w:rPr>
        <w:t>Based on this, the</w:t>
      </w:r>
      <w:r w:rsidR="00BB51B3" w:rsidRPr="00707F06">
        <w:rPr>
          <w:lang w:val="en-ZA"/>
        </w:rPr>
        <w:t xml:space="preserve">y </w:t>
      </w:r>
      <w:r w:rsidR="00273963" w:rsidRPr="00707F06">
        <w:rPr>
          <w:lang w:val="en-ZA"/>
        </w:rPr>
        <w:t xml:space="preserve">argue that it is the </w:t>
      </w:r>
      <w:r w:rsidR="002F689C" w:rsidRPr="00707F06">
        <w:rPr>
          <w:lang w:val="en-ZA"/>
        </w:rPr>
        <w:t xml:space="preserve">Mahikeng </w:t>
      </w:r>
      <w:r w:rsidR="00273963" w:rsidRPr="00707F06">
        <w:rPr>
          <w:lang w:val="en-ZA"/>
        </w:rPr>
        <w:t>High Court</w:t>
      </w:r>
      <w:r w:rsidR="002F689C" w:rsidRPr="00707F06">
        <w:rPr>
          <w:lang w:val="en-ZA"/>
        </w:rPr>
        <w:t xml:space="preserve"> </w:t>
      </w:r>
      <w:r w:rsidR="00273963" w:rsidRPr="00707F06">
        <w:rPr>
          <w:lang w:val="en-ZA"/>
        </w:rPr>
        <w:t>that has jurisdiction to deal with this matter</w:t>
      </w:r>
      <w:r w:rsidR="00462B25" w:rsidRPr="00707F06">
        <w:rPr>
          <w:lang w:val="en-ZA"/>
        </w:rPr>
        <w:t xml:space="preserve">.  </w:t>
      </w:r>
    </w:p>
    <w:p w14:paraId="0255FA0C" w14:textId="77777777" w:rsidR="00685504" w:rsidRPr="00685504" w:rsidRDefault="00685504" w:rsidP="007D1C6A">
      <w:pPr>
        <w:pStyle w:val="Judgmentbetweenparagraphs"/>
      </w:pPr>
    </w:p>
    <w:p w14:paraId="70974694" w14:textId="47406E57" w:rsidR="00462B25" w:rsidRDefault="00715A2A" w:rsidP="00715A2A">
      <w:pPr>
        <w:pStyle w:val="JudgmentNumbered"/>
        <w:numPr>
          <w:ilvl w:val="0"/>
          <w:numId w:val="0"/>
        </w:numPr>
        <w:rPr>
          <w:lang w:val="en-ZA"/>
        </w:rPr>
      </w:pPr>
      <w:r>
        <w:rPr>
          <w:lang w:val="en-ZA"/>
        </w:rPr>
        <w:t>[16]</w:t>
      </w:r>
      <w:r>
        <w:rPr>
          <w:lang w:val="en-ZA"/>
        </w:rPr>
        <w:tab/>
      </w:r>
      <w:r w:rsidR="00273963" w:rsidRPr="007A5967">
        <w:rPr>
          <w:lang w:val="en-ZA"/>
        </w:rPr>
        <w:t xml:space="preserve">As to the merits, they say the </w:t>
      </w:r>
      <w:r w:rsidR="00BB51B3" w:rsidRPr="007A5967">
        <w:rPr>
          <w:lang w:val="en-ZA"/>
        </w:rPr>
        <w:t>a</w:t>
      </w:r>
      <w:r w:rsidR="00273963" w:rsidRPr="007A5967">
        <w:rPr>
          <w:lang w:val="en-ZA"/>
        </w:rPr>
        <w:t>pplicants are confusing matters because they were not charged with the events of 16</w:t>
      </w:r>
      <w:r w:rsidR="0023248F">
        <w:rPr>
          <w:vertAlign w:val="superscript"/>
          <w:lang w:val="en-ZA"/>
        </w:rPr>
        <w:t xml:space="preserve"> </w:t>
      </w:r>
      <w:r w:rsidR="0023248F">
        <w:rPr>
          <w:lang w:val="en-ZA"/>
        </w:rPr>
        <w:t>August</w:t>
      </w:r>
      <w:r w:rsidR="00273963" w:rsidRPr="007A5967">
        <w:rPr>
          <w:lang w:val="en-ZA"/>
        </w:rPr>
        <w:t xml:space="preserve"> (i.e</w:t>
      </w:r>
      <w:r w:rsidR="00462B25">
        <w:rPr>
          <w:lang w:val="en-ZA"/>
        </w:rPr>
        <w:t xml:space="preserve">.  </w:t>
      </w:r>
      <w:r w:rsidR="00273963" w:rsidRPr="007A5967">
        <w:rPr>
          <w:lang w:val="en-ZA"/>
        </w:rPr>
        <w:t>the day of the massacre), but rather for the events that occurred between 10 and 15 August</w:t>
      </w:r>
      <w:r w:rsidR="00462B25">
        <w:rPr>
          <w:lang w:val="en-ZA"/>
        </w:rPr>
        <w:t xml:space="preserve">.  </w:t>
      </w:r>
      <w:r w:rsidR="00273963" w:rsidRPr="007A5967">
        <w:rPr>
          <w:lang w:val="en-ZA"/>
        </w:rPr>
        <w:t>The</w:t>
      </w:r>
      <w:r w:rsidR="00BB51B3" w:rsidRPr="007A5967">
        <w:rPr>
          <w:lang w:val="en-ZA"/>
        </w:rPr>
        <w:t>y</w:t>
      </w:r>
      <w:r w:rsidR="00273963" w:rsidRPr="007A5967">
        <w:rPr>
          <w:lang w:val="en-ZA"/>
        </w:rPr>
        <w:t xml:space="preserve"> refute the assertions that the prosecution has no prospects of success</w:t>
      </w:r>
      <w:r w:rsidR="00462B25">
        <w:rPr>
          <w:lang w:val="en-ZA"/>
        </w:rPr>
        <w:t xml:space="preserve">.  </w:t>
      </w:r>
      <w:r w:rsidR="00273963" w:rsidRPr="007A5967">
        <w:rPr>
          <w:lang w:val="en-ZA"/>
        </w:rPr>
        <w:t xml:space="preserve">They argue that the NDPP’s decision to refuse to intervene and discontinue the prosecution is rationally connected to the information placed before him because, based on all the evidence collected, there is a </w:t>
      </w:r>
      <w:r w:rsidR="00273963" w:rsidRPr="007A5967">
        <w:rPr>
          <w:i/>
          <w:iCs/>
          <w:lang w:val="en-ZA"/>
        </w:rPr>
        <w:t>prima facie</w:t>
      </w:r>
      <w:r w:rsidR="00273963" w:rsidRPr="007A5967">
        <w:rPr>
          <w:lang w:val="en-ZA"/>
        </w:rPr>
        <w:t xml:space="preserve"> case made out by the North West DPP</w:t>
      </w:r>
      <w:r w:rsidR="00462B25">
        <w:rPr>
          <w:lang w:val="en-ZA"/>
        </w:rPr>
        <w:t xml:space="preserve">.  </w:t>
      </w:r>
    </w:p>
    <w:p w14:paraId="444A7C3A" w14:textId="64321688" w:rsidR="00273963" w:rsidRPr="007A5967" w:rsidRDefault="00273963" w:rsidP="00273963">
      <w:pPr>
        <w:pStyle w:val="JudgmentHeading"/>
      </w:pPr>
      <w:r w:rsidRPr="007A5967">
        <w:t>Issues</w:t>
      </w:r>
    </w:p>
    <w:p w14:paraId="788C8AD8" w14:textId="23A3354C" w:rsidR="00273963" w:rsidRPr="007A5967" w:rsidRDefault="00715A2A" w:rsidP="00715A2A">
      <w:pPr>
        <w:pStyle w:val="JudgmentNumbered"/>
        <w:numPr>
          <w:ilvl w:val="0"/>
          <w:numId w:val="0"/>
        </w:numPr>
        <w:rPr>
          <w:lang w:val="en-ZA"/>
        </w:rPr>
      </w:pPr>
      <w:r w:rsidRPr="007A5967">
        <w:rPr>
          <w:lang w:val="en-ZA"/>
        </w:rPr>
        <w:t>[17]</w:t>
      </w:r>
      <w:r w:rsidRPr="007A5967">
        <w:rPr>
          <w:lang w:val="en-ZA"/>
        </w:rPr>
        <w:tab/>
      </w:r>
      <w:r w:rsidR="00923EDE">
        <w:rPr>
          <w:lang w:val="en-ZA"/>
        </w:rPr>
        <w:t>I have already mentioned that t</w:t>
      </w:r>
      <w:r w:rsidR="00273963" w:rsidRPr="007A5967">
        <w:rPr>
          <w:lang w:val="en-ZA"/>
        </w:rPr>
        <w:t>he issues requiring determination are whether this Court has jurisdiction to hear this matter</w:t>
      </w:r>
      <w:r w:rsidR="00BB51B3" w:rsidRPr="007A5967">
        <w:rPr>
          <w:lang w:val="en-ZA"/>
        </w:rPr>
        <w:t>;</w:t>
      </w:r>
      <w:r w:rsidR="000C0BB9">
        <w:rPr>
          <w:lang w:val="en-ZA"/>
        </w:rPr>
        <w:t xml:space="preserve"> </w:t>
      </w:r>
      <w:r w:rsidR="00273963" w:rsidRPr="007A5967">
        <w:rPr>
          <w:lang w:val="en-ZA"/>
        </w:rPr>
        <w:t>whether there was undue delay in bringing and prosecuting this matte</w:t>
      </w:r>
      <w:r w:rsidR="00BB51B3" w:rsidRPr="007A5967">
        <w:rPr>
          <w:lang w:val="en-ZA"/>
        </w:rPr>
        <w:t xml:space="preserve">r; </w:t>
      </w:r>
      <w:r w:rsidR="00273963" w:rsidRPr="007A5967">
        <w:rPr>
          <w:lang w:val="en-ZA"/>
        </w:rPr>
        <w:t>and last</w:t>
      </w:r>
      <w:r w:rsidR="00BB51B3" w:rsidRPr="007A5967">
        <w:rPr>
          <w:lang w:val="en-ZA"/>
        </w:rPr>
        <w:t>ly</w:t>
      </w:r>
      <w:r w:rsidR="00273963" w:rsidRPr="007A5967">
        <w:rPr>
          <w:lang w:val="en-ZA"/>
        </w:rPr>
        <w:t xml:space="preserve"> whether a case has been made out for the review and setting aside of the NDPP’s decision refusing the request to discontinue </w:t>
      </w:r>
      <w:r w:rsidR="00F710C9" w:rsidRPr="007A5967">
        <w:rPr>
          <w:lang w:val="en-ZA"/>
        </w:rPr>
        <w:t>the</w:t>
      </w:r>
      <w:r w:rsidR="00F710C9">
        <w:rPr>
          <w:lang w:val="en-ZA"/>
        </w:rPr>
        <w:t xml:space="preserve"> </w:t>
      </w:r>
      <w:r w:rsidR="00273963" w:rsidRPr="007A5967">
        <w:rPr>
          <w:lang w:val="en-ZA"/>
        </w:rPr>
        <w:t>prosecution of the individual applicants.</w:t>
      </w:r>
      <w:r w:rsidR="000C0BB9">
        <w:rPr>
          <w:lang w:val="en-ZA"/>
        </w:rPr>
        <w:t xml:space="preserve"> </w:t>
      </w:r>
      <w:r w:rsidR="00462B25">
        <w:rPr>
          <w:lang w:val="en-ZA"/>
        </w:rPr>
        <w:t xml:space="preserve"> </w:t>
      </w:r>
    </w:p>
    <w:p w14:paraId="52ED864C" w14:textId="4650C505" w:rsidR="00D67135" w:rsidRPr="007A5967" w:rsidRDefault="00715A2A" w:rsidP="00715A2A">
      <w:pPr>
        <w:pStyle w:val="JudgmentNumbered"/>
        <w:numPr>
          <w:ilvl w:val="0"/>
          <w:numId w:val="0"/>
        </w:numPr>
        <w:rPr>
          <w:lang w:val="en-ZA"/>
        </w:rPr>
      </w:pPr>
      <w:r w:rsidRPr="007A5967">
        <w:rPr>
          <w:lang w:val="en-ZA"/>
        </w:rPr>
        <w:t>[18]</w:t>
      </w:r>
      <w:r w:rsidRPr="007A5967">
        <w:rPr>
          <w:lang w:val="en-ZA"/>
        </w:rPr>
        <w:tab/>
      </w:r>
      <w:r w:rsidR="00273963" w:rsidRPr="007A5967">
        <w:rPr>
          <w:lang w:val="en-ZA"/>
        </w:rPr>
        <w:t xml:space="preserve">I must however first dispose of a matter raised in the </w:t>
      </w:r>
      <w:r w:rsidR="00BB51B3" w:rsidRPr="007A5967">
        <w:rPr>
          <w:lang w:val="en-ZA"/>
        </w:rPr>
        <w:t>a</w:t>
      </w:r>
      <w:r w:rsidR="00273963" w:rsidRPr="007A5967">
        <w:rPr>
          <w:lang w:val="en-ZA"/>
        </w:rPr>
        <w:t>pplicants</w:t>
      </w:r>
      <w:r w:rsidR="00BB51B3" w:rsidRPr="007A5967">
        <w:rPr>
          <w:lang w:val="en-ZA"/>
        </w:rPr>
        <w:t>’</w:t>
      </w:r>
      <w:r w:rsidR="00273963" w:rsidRPr="007A5967">
        <w:rPr>
          <w:lang w:val="en-ZA"/>
        </w:rPr>
        <w:t xml:space="preserve"> written argument and also argued briefly in Court. </w:t>
      </w:r>
      <w:r w:rsidR="00462B25">
        <w:rPr>
          <w:lang w:val="en-ZA"/>
        </w:rPr>
        <w:t xml:space="preserve"> </w:t>
      </w:r>
      <w:r w:rsidR="00273963" w:rsidRPr="007A5967">
        <w:rPr>
          <w:lang w:val="en-ZA"/>
        </w:rPr>
        <w:t xml:space="preserve">The submission made was that the applicants also seek mandatory relief, directing the respondents to implement the recommendations of the Farlam Commission to initiate the prosecution of the police and members of the Executive who were identified as responsible for the massacre of miners on 16 October 2012. </w:t>
      </w:r>
      <w:r w:rsidR="00462B25">
        <w:rPr>
          <w:lang w:val="en-ZA"/>
        </w:rPr>
        <w:t xml:space="preserve"> </w:t>
      </w:r>
      <w:r w:rsidR="00273963" w:rsidRPr="007A5967">
        <w:rPr>
          <w:lang w:val="en-ZA"/>
        </w:rPr>
        <w:t xml:space="preserve">This issue was mentioned not in so many words, by the applicants in their founding affidavit, the basis </w:t>
      </w:r>
      <w:r w:rsidR="00632CB1">
        <w:rPr>
          <w:lang w:val="en-ZA"/>
        </w:rPr>
        <w:t>being</w:t>
      </w:r>
      <w:r w:rsidR="00273963" w:rsidRPr="007A5967">
        <w:rPr>
          <w:lang w:val="en-ZA"/>
        </w:rPr>
        <w:t xml:space="preserve"> to make the point that the decision to prosecute them was biased as the members of SAPS who were involved in the massacre have not been charged. </w:t>
      </w:r>
      <w:r w:rsidR="00462B25">
        <w:rPr>
          <w:lang w:val="en-ZA"/>
        </w:rPr>
        <w:t xml:space="preserve"> </w:t>
      </w:r>
    </w:p>
    <w:p w14:paraId="42B76F23" w14:textId="7E6A1266" w:rsidR="00273963" w:rsidRPr="007A5967" w:rsidRDefault="00715A2A" w:rsidP="00715A2A">
      <w:pPr>
        <w:pStyle w:val="JudgmentNumbered"/>
        <w:numPr>
          <w:ilvl w:val="0"/>
          <w:numId w:val="0"/>
        </w:numPr>
        <w:rPr>
          <w:lang w:val="en-ZA"/>
        </w:rPr>
      </w:pPr>
      <w:r w:rsidRPr="007A5967">
        <w:rPr>
          <w:lang w:val="en-ZA"/>
        </w:rPr>
        <w:t>[19]</w:t>
      </w:r>
      <w:r w:rsidRPr="007A5967">
        <w:rPr>
          <w:lang w:val="en-ZA"/>
        </w:rPr>
        <w:tab/>
      </w:r>
      <w:r w:rsidR="00273963" w:rsidRPr="007A5967">
        <w:rPr>
          <w:lang w:val="en-ZA"/>
        </w:rPr>
        <w:t xml:space="preserve">However, nowhere in the founding affidavit do the applicants make out a case that this Court should issue an order that the SAPS members and members of the Executive allegedly found, by the Farlam Commission, to have been culpable for the massacre, should be prosecuted. </w:t>
      </w:r>
      <w:r w:rsidR="00462B25">
        <w:rPr>
          <w:lang w:val="en-ZA"/>
        </w:rPr>
        <w:t xml:space="preserve"> </w:t>
      </w:r>
      <w:r w:rsidR="00273963" w:rsidRPr="007A5967">
        <w:rPr>
          <w:lang w:val="en-ZA"/>
        </w:rPr>
        <w:t xml:space="preserve">Notably, no specific relief, premised on this basis, is foreshadowed in the notice of motion. </w:t>
      </w:r>
      <w:r w:rsidR="00462B25">
        <w:rPr>
          <w:lang w:val="en-ZA"/>
        </w:rPr>
        <w:t xml:space="preserve"> </w:t>
      </w:r>
    </w:p>
    <w:p w14:paraId="2F0B03C2" w14:textId="58563632" w:rsidR="00462B25" w:rsidRDefault="00715A2A" w:rsidP="00715A2A">
      <w:pPr>
        <w:pStyle w:val="JudgmentNumbered"/>
        <w:numPr>
          <w:ilvl w:val="0"/>
          <w:numId w:val="0"/>
        </w:numPr>
        <w:rPr>
          <w:lang w:val="en-ZA"/>
        </w:rPr>
      </w:pPr>
      <w:r>
        <w:rPr>
          <w:lang w:val="en-ZA"/>
        </w:rPr>
        <w:lastRenderedPageBreak/>
        <w:t>[20]</w:t>
      </w:r>
      <w:r>
        <w:rPr>
          <w:lang w:val="en-ZA"/>
        </w:rPr>
        <w:tab/>
      </w:r>
      <w:r w:rsidR="00273963" w:rsidRPr="007A5967">
        <w:rPr>
          <w:lang w:val="en-ZA"/>
        </w:rPr>
        <w:t xml:space="preserve">Our law is clear that substantive relief of this nature may only be considered and </w:t>
      </w:r>
      <w:r w:rsidR="008F7F9E">
        <w:rPr>
          <w:lang w:val="en-ZA"/>
        </w:rPr>
        <w:t xml:space="preserve">possibly </w:t>
      </w:r>
      <w:r w:rsidR="00273963" w:rsidRPr="007A5967">
        <w:rPr>
          <w:lang w:val="en-ZA"/>
        </w:rPr>
        <w:t>granted when a proper foundation has been laid out in the papers.</w:t>
      </w:r>
      <w:r w:rsidR="00D67135" w:rsidRPr="007A5967">
        <w:rPr>
          <w:rStyle w:val="FootnoteReference"/>
          <w:lang w:val="en-ZA"/>
        </w:rPr>
        <w:footnoteReference w:id="9"/>
      </w:r>
      <w:r w:rsidR="00273963" w:rsidRPr="007A5967">
        <w:rPr>
          <w:lang w:val="en-ZA"/>
        </w:rPr>
        <w:t xml:space="preserve"> The only substantive case advanced in the applicants</w:t>
      </w:r>
      <w:r w:rsidR="00D67135" w:rsidRPr="007A5967">
        <w:rPr>
          <w:lang w:val="en-ZA"/>
        </w:rPr>
        <w:t>’</w:t>
      </w:r>
      <w:r w:rsidR="00273963" w:rsidRPr="007A5967">
        <w:rPr>
          <w:lang w:val="en-ZA"/>
        </w:rPr>
        <w:t xml:space="preserve"> founding affidavit is that the NDPP’s decision refusing to intervene and discontinue their prosecution should be reviewed and set aside</w:t>
      </w:r>
      <w:r w:rsidR="00462B25">
        <w:rPr>
          <w:lang w:val="en-ZA"/>
        </w:rPr>
        <w:t xml:space="preserve">.  </w:t>
      </w:r>
      <w:r w:rsidR="00273963" w:rsidRPr="007A5967">
        <w:rPr>
          <w:lang w:val="en-ZA"/>
        </w:rPr>
        <w:t>This is also the relief foreshadowed in the notice of motion</w:t>
      </w:r>
      <w:r w:rsidR="00462B25">
        <w:rPr>
          <w:lang w:val="en-ZA"/>
        </w:rPr>
        <w:t xml:space="preserve">.  </w:t>
      </w:r>
      <w:r w:rsidR="00273963" w:rsidRPr="007A5967">
        <w:rPr>
          <w:lang w:val="en-ZA"/>
        </w:rPr>
        <w:t xml:space="preserve">In fact, the Farlam Commission’s report or the relevant part thereof, evincing the recommendations relied on, was not substantively canvassed in the founding affidavit nor was </w:t>
      </w:r>
      <w:r w:rsidR="00D67135" w:rsidRPr="007A5967">
        <w:rPr>
          <w:lang w:val="en-ZA"/>
        </w:rPr>
        <w:t>it</w:t>
      </w:r>
      <w:r w:rsidR="00273963" w:rsidRPr="007A5967">
        <w:rPr>
          <w:lang w:val="en-ZA"/>
        </w:rPr>
        <w:t xml:space="preserve"> attached to the papers</w:t>
      </w:r>
      <w:r w:rsidR="00462B25">
        <w:rPr>
          <w:lang w:val="en-ZA"/>
        </w:rPr>
        <w:t xml:space="preserve">.  </w:t>
      </w:r>
      <w:r w:rsidR="00B87467">
        <w:rPr>
          <w:lang w:val="en-ZA"/>
        </w:rPr>
        <w:t xml:space="preserve">It must follow that this point is ill-fated and </w:t>
      </w:r>
      <w:r w:rsidR="0068090C">
        <w:rPr>
          <w:lang w:val="en-ZA"/>
        </w:rPr>
        <w:t xml:space="preserve">falls to </w:t>
      </w:r>
      <w:r w:rsidR="00B93EFC">
        <w:rPr>
          <w:lang w:val="en-ZA"/>
        </w:rPr>
        <w:t xml:space="preserve">be </w:t>
      </w:r>
      <w:r w:rsidR="0068090C">
        <w:rPr>
          <w:lang w:val="en-ZA"/>
        </w:rPr>
        <w:t>rejected</w:t>
      </w:r>
      <w:r w:rsidR="00462B25">
        <w:rPr>
          <w:lang w:val="en-ZA"/>
        </w:rPr>
        <w:t xml:space="preserve">.  </w:t>
      </w:r>
    </w:p>
    <w:p w14:paraId="41E1A560" w14:textId="1BD75600" w:rsidR="00273963" w:rsidRPr="007A5967" w:rsidRDefault="00273963" w:rsidP="00273963">
      <w:pPr>
        <w:pStyle w:val="JudgmentHeading"/>
      </w:pPr>
      <w:r w:rsidRPr="007A5967">
        <w:t xml:space="preserve">Does this </w:t>
      </w:r>
      <w:r w:rsidR="001C5326">
        <w:t>C</w:t>
      </w:r>
      <w:r w:rsidR="001C5326" w:rsidRPr="007A5967">
        <w:t xml:space="preserve">ourt </w:t>
      </w:r>
      <w:r w:rsidRPr="007A5967">
        <w:t>have jurisdiction to hear the matter?</w:t>
      </w:r>
    </w:p>
    <w:p w14:paraId="08923968" w14:textId="30DE39A5" w:rsidR="00273963" w:rsidRPr="007A5967" w:rsidRDefault="00715A2A" w:rsidP="00715A2A">
      <w:pPr>
        <w:pStyle w:val="JudgmentNumbered"/>
        <w:numPr>
          <w:ilvl w:val="0"/>
          <w:numId w:val="0"/>
        </w:numPr>
        <w:spacing w:after="0"/>
        <w:rPr>
          <w:lang w:val="en-ZA"/>
        </w:rPr>
      </w:pPr>
      <w:r w:rsidRPr="007A5967">
        <w:rPr>
          <w:lang w:val="en-ZA"/>
        </w:rPr>
        <w:t>[21]</w:t>
      </w:r>
      <w:r w:rsidRPr="007A5967">
        <w:rPr>
          <w:lang w:val="en-ZA"/>
        </w:rPr>
        <w:tab/>
      </w:r>
      <w:r w:rsidR="00273963" w:rsidRPr="007A5967">
        <w:rPr>
          <w:lang w:val="en-ZA"/>
        </w:rPr>
        <w:t>With the background set out above</w:t>
      </w:r>
      <w:r w:rsidR="001C5326">
        <w:rPr>
          <w:lang w:val="en-ZA"/>
        </w:rPr>
        <w:t>,</w:t>
      </w:r>
      <w:r w:rsidR="00273963" w:rsidRPr="007A5967">
        <w:rPr>
          <w:lang w:val="en-ZA"/>
        </w:rPr>
        <w:t xml:space="preserve"> the convenient starting point is to consider the argument that this Court lack</w:t>
      </w:r>
      <w:r w:rsidR="00457C7A">
        <w:rPr>
          <w:lang w:val="en-ZA"/>
        </w:rPr>
        <w:t>s</w:t>
      </w:r>
      <w:r w:rsidR="00273963" w:rsidRPr="007A5967">
        <w:rPr>
          <w:lang w:val="en-ZA"/>
        </w:rPr>
        <w:t xml:space="preserve"> jurisdiction to hear th</w:t>
      </w:r>
      <w:r w:rsidR="009D3A3B">
        <w:rPr>
          <w:lang w:val="en-ZA"/>
        </w:rPr>
        <w:t>e</w:t>
      </w:r>
      <w:r w:rsidR="00273963" w:rsidRPr="007A5967">
        <w:rPr>
          <w:lang w:val="en-ZA"/>
        </w:rPr>
        <w:t xml:space="preserve"> matter. </w:t>
      </w:r>
      <w:r w:rsidR="00462B25">
        <w:rPr>
          <w:lang w:val="en-ZA"/>
        </w:rPr>
        <w:t xml:space="preserve"> </w:t>
      </w:r>
      <w:r w:rsidR="00273963" w:rsidRPr="007A5967">
        <w:rPr>
          <w:lang w:val="en-ZA"/>
        </w:rPr>
        <w:t xml:space="preserve">The basis of the argument is that the offences were allegedly committed in the North West and that it is the North West DPP that has indicted the applicants. </w:t>
      </w:r>
      <w:r w:rsidR="00462B25">
        <w:rPr>
          <w:lang w:val="en-ZA"/>
        </w:rPr>
        <w:t xml:space="preserve"> </w:t>
      </w:r>
      <w:r w:rsidR="00273963" w:rsidRPr="007A5967">
        <w:rPr>
          <w:lang w:val="en-ZA"/>
        </w:rPr>
        <w:t xml:space="preserve">In view of this, so the argument goes, it is the </w:t>
      </w:r>
      <w:r w:rsidR="008538D9">
        <w:rPr>
          <w:lang w:val="en-ZA"/>
        </w:rPr>
        <w:t>Mahikeng</w:t>
      </w:r>
      <w:r w:rsidR="00457C7A">
        <w:rPr>
          <w:lang w:val="en-ZA"/>
        </w:rPr>
        <w:t xml:space="preserve"> </w:t>
      </w:r>
      <w:r w:rsidR="008C5F83">
        <w:rPr>
          <w:lang w:val="en-ZA"/>
        </w:rPr>
        <w:t>High Court</w:t>
      </w:r>
      <w:r w:rsidR="00273963" w:rsidRPr="007A5967">
        <w:rPr>
          <w:lang w:val="en-ZA"/>
        </w:rPr>
        <w:t xml:space="preserve"> that has jurisdiction over th</w:t>
      </w:r>
      <w:r w:rsidR="00457C7A">
        <w:rPr>
          <w:lang w:val="en-ZA"/>
        </w:rPr>
        <w:t>e</w:t>
      </w:r>
      <w:r w:rsidR="00273963" w:rsidRPr="007A5967">
        <w:rPr>
          <w:lang w:val="en-ZA"/>
        </w:rPr>
        <w:t xml:space="preserve"> matter and not this Court. </w:t>
      </w:r>
      <w:r w:rsidR="00462B25">
        <w:rPr>
          <w:lang w:val="en-ZA"/>
        </w:rPr>
        <w:t xml:space="preserve"> </w:t>
      </w:r>
      <w:r w:rsidR="00273963" w:rsidRPr="007A5967">
        <w:rPr>
          <w:lang w:val="en-ZA"/>
        </w:rPr>
        <w:t xml:space="preserve">This argument is </w:t>
      </w:r>
      <w:r w:rsidR="00273725">
        <w:rPr>
          <w:lang w:val="en-ZA"/>
        </w:rPr>
        <w:t xml:space="preserve">clearly </w:t>
      </w:r>
      <w:r w:rsidR="00273963" w:rsidRPr="007A5967">
        <w:rPr>
          <w:lang w:val="en-ZA"/>
        </w:rPr>
        <w:t xml:space="preserve">misconceived and must be </w:t>
      </w:r>
      <w:r w:rsidR="005556BB">
        <w:rPr>
          <w:lang w:val="en-ZA"/>
        </w:rPr>
        <w:t>rejected</w:t>
      </w:r>
      <w:r w:rsidR="00273963" w:rsidRPr="007A5967">
        <w:rPr>
          <w:lang w:val="en-ZA"/>
        </w:rPr>
        <w:t xml:space="preserve"> forthwith. </w:t>
      </w:r>
      <w:r w:rsidR="00462B25">
        <w:rPr>
          <w:lang w:val="en-ZA"/>
        </w:rPr>
        <w:t xml:space="preserve"> </w:t>
      </w:r>
      <w:r w:rsidR="00273963" w:rsidRPr="007A5967">
        <w:rPr>
          <w:lang w:val="en-ZA"/>
        </w:rPr>
        <w:t>The main respondents against who</w:t>
      </w:r>
      <w:r w:rsidR="00273725">
        <w:rPr>
          <w:lang w:val="en-ZA"/>
        </w:rPr>
        <w:t>m</w:t>
      </w:r>
      <w:r w:rsidR="00273963" w:rsidRPr="007A5967">
        <w:rPr>
          <w:lang w:val="en-ZA"/>
        </w:rPr>
        <w:t xml:space="preserve"> relief is sought, the NDPP and the offices in which he or she is based fall under the jurisdiction of this Court. </w:t>
      </w:r>
      <w:r w:rsidR="00462B25">
        <w:rPr>
          <w:lang w:val="en-ZA"/>
        </w:rPr>
        <w:t xml:space="preserve"> </w:t>
      </w:r>
      <w:r w:rsidR="00273963" w:rsidRPr="007A5967">
        <w:rPr>
          <w:lang w:val="en-ZA"/>
        </w:rPr>
        <w:t xml:space="preserve">For what it is worth, I refer to the provisions of </w:t>
      </w:r>
      <w:r w:rsidR="00400B0D">
        <w:rPr>
          <w:lang w:val="en-ZA"/>
        </w:rPr>
        <w:t>s</w:t>
      </w:r>
      <w:r w:rsidR="00400B0D" w:rsidRPr="007A5967">
        <w:rPr>
          <w:lang w:val="en-ZA"/>
        </w:rPr>
        <w:t xml:space="preserve">ection </w:t>
      </w:r>
      <w:r w:rsidR="00273963" w:rsidRPr="007A5967">
        <w:rPr>
          <w:lang w:val="en-ZA"/>
        </w:rPr>
        <w:t>21 of the Superior Courts Act,</w:t>
      </w:r>
      <w:r w:rsidR="00273963" w:rsidRPr="007A5967">
        <w:rPr>
          <w:vertAlign w:val="superscript"/>
          <w:lang w:val="en-ZA"/>
        </w:rPr>
        <w:footnoteReference w:id="10"/>
      </w:r>
      <w:r w:rsidR="00273963" w:rsidRPr="007A5967">
        <w:rPr>
          <w:lang w:val="en-ZA"/>
        </w:rPr>
        <w:t xml:space="preserve"> which deal with the jurisdiction of the High Courts. </w:t>
      </w:r>
      <w:r w:rsidR="00462B25">
        <w:rPr>
          <w:lang w:val="en-ZA"/>
        </w:rPr>
        <w:t xml:space="preserve"> </w:t>
      </w:r>
      <w:r w:rsidR="00273963" w:rsidRPr="007A5967">
        <w:rPr>
          <w:lang w:val="en-ZA"/>
        </w:rPr>
        <w:t>The relevant parts provide that:</w:t>
      </w:r>
      <w:r w:rsidR="00462B25">
        <w:rPr>
          <w:lang w:val="en-ZA"/>
        </w:rPr>
        <w:t xml:space="preserve">  </w:t>
      </w:r>
    </w:p>
    <w:p w14:paraId="105AF0C3" w14:textId="77777777" w:rsidR="00273963" w:rsidRPr="007A5967" w:rsidRDefault="00273963" w:rsidP="00273963">
      <w:pPr>
        <w:pStyle w:val="Judgmentbetweenparagraphs"/>
      </w:pPr>
    </w:p>
    <w:p w14:paraId="1F41A855" w14:textId="3F0B68D8" w:rsidR="0032022D" w:rsidRDefault="00273963" w:rsidP="00B4359B">
      <w:pPr>
        <w:pStyle w:val="Quotes"/>
        <w:ind w:left="1418" w:hanging="567"/>
      </w:pPr>
      <w:r w:rsidRPr="007A5967">
        <w:t xml:space="preserve">“(1) </w:t>
      </w:r>
      <w:r w:rsidR="00C12C95">
        <w:tab/>
      </w:r>
      <w:r w:rsidRPr="007A5967">
        <w:t xml:space="preserve">A Division has jurisdiction over all persons residing or being in, and in relation to all causes arising and all offences triable within, its area of jurisdiction and all other matters of which it may according to law take cognisance </w:t>
      </w:r>
      <w:r w:rsidR="00CB0B81">
        <w:t>…</w:t>
      </w:r>
      <w:r w:rsidR="00E825FA">
        <w:t xml:space="preserve">  </w:t>
      </w:r>
    </w:p>
    <w:p w14:paraId="1CF8CF57" w14:textId="19F3EC3E" w:rsidR="00462B25" w:rsidRDefault="00CB0B81" w:rsidP="009052BB">
      <w:pPr>
        <w:pStyle w:val="Quotes"/>
        <w:ind w:left="1418" w:hanging="567"/>
      </w:pPr>
      <w:r>
        <w:tab/>
      </w:r>
      <w:r w:rsidR="00273963" w:rsidRPr="007A5967">
        <w:t>..</w:t>
      </w:r>
      <w:r w:rsidR="00462B25">
        <w:t xml:space="preserve">. </w:t>
      </w:r>
      <w:r w:rsidR="00E825FA">
        <w:t xml:space="preserve"> </w:t>
      </w:r>
    </w:p>
    <w:p w14:paraId="19ACFBA1" w14:textId="636CA9AF" w:rsidR="00273963" w:rsidRPr="007A5967" w:rsidRDefault="00273963" w:rsidP="009052BB">
      <w:pPr>
        <w:pStyle w:val="Quotes"/>
        <w:ind w:left="1418" w:hanging="567"/>
      </w:pPr>
      <w:r w:rsidRPr="007A5967">
        <w:t xml:space="preserve"> (2) </w:t>
      </w:r>
      <w:r w:rsidR="00B4359B">
        <w:tab/>
      </w:r>
      <w:r w:rsidRPr="007A5967">
        <w:t>A division also has jurisdiction over any person residing or being outside its area of jurisdiction who is joined as a party to any cause in relation to which such court has jurisdiction or who in terms of a third party notice becomes a party to such a cause, if the said person resides or is within the area of jurisdiction of any other Division.”</w:t>
      </w:r>
      <w:r w:rsidR="00462B25">
        <w:t xml:space="preserve">  </w:t>
      </w:r>
    </w:p>
    <w:p w14:paraId="31097672" w14:textId="77777777" w:rsidR="00273963" w:rsidRPr="007A5967" w:rsidRDefault="00273963" w:rsidP="00273963">
      <w:pPr>
        <w:pStyle w:val="Judgmentbetweenparagraphs"/>
      </w:pPr>
    </w:p>
    <w:p w14:paraId="3C3BDAB8" w14:textId="77777777" w:rsidR="00273963" w:rsidRPr="007A5967" w:rsidRDefault="00273963" w:rsidP="00273963">
      <w:pPr>
        <w:pStyle w:val="JudgmentHeading"/>
        <w:spacing w:before="0" w:beforeAutospacing="0"/>
      </w:pPr>
      <w:r w:rsidRPr="007A5967">
        <w:t>Was there undue delay in prosecuting this application?</w:t>
      </w:r>
    </w:p>
    <w:p w14:paraId="234E123F" w14:textId="075DB465" w:rsidR="00072BFE" w:rsidRPr="007A5967" w:rsidRDefault="00715A2A" w:rsidP="00715A2A">
      <w:pPr>
        <w:pStyle w:val="JudgmentNumbered"/>
        <w:numPr>
          <w:ilvl w:val="0"/>
          <w:numId w:val="0"/>
        </w:numPr>
        <w:rPr>
          <w:lang w:val="en-ZA"/>
        </w:rPr>
      </w:pPr>
      <w:r w:rsidRPr="007A5967">
        <w:rPr>
          <w:lang w:val="en-ZA"/>
        </w:rPr>
        <w:lastRenderedPageBreak/>
        <w:t>[22]</w:t>
      </w:r>
      <w:r w:rsidRPr="007A5967">
        <w:rPr>
          <w:lang w:val="en-ZA"/>
        </w:rPr>
        <w:tab/>
      </w:r>
      <w:r w:rsidR="00273963" w:rsidRPr="007A5967">
        <w:rPr>
          <w:lang w:val="en-ZA"/>
        </w:rPr>
        <w:t xml:space="preserve">The </w:t>
      </w:r>
      <w:r w:rsidR="00EB6D95" w:rsidRPr="003F26CA">
        <w:rPr>
          <w:lang w:val="en-ZA"/>
        </w:rPr>
        <w:t>r</w:t>
      </w:r>
      <w:r w:rsidR="00273963" w:rsidRPr="003F26CA">
        <w:rPr>
          <w:lang w:val="en-ZA"/>
        </w:rPr>
        <w:t>espondents</w:t>
      </w:r>
      <w:r w:rsidR="00273963" w:rsidRPr="007A5967">
        <w:rPr>
          <w:lang w:val="en-ZA"/>
        </w:rPr>
        <w:t xml:space="preserve"> argue that the </w:t>
      </w:r>
      <w:r w:rsidR="00EB6D95" w:rsidRPr="007A5967">
        <w:rPr>
          <w:lang w:val="en-ZA"/>
        </w:rPr>
        <w:t>a</w:t>
      </w:r>
      <w:r w:rsidR="00273963" w:rsidRPr="007A5967">
        <w:rPr>
          <w:lang w:val="en-ZA"/>
        </w:rPr>
        <w:t xml:space="preserve">pplicants have caused </w:t>
      </w:r>
      <w:r w:rsidR="00D51CF2">
        <w:rPr>
          <w:lang w:val="en-ZA"/>
        </w:rPr>
        <w:t xml:space="preserve">an </w:t>
      </w:r>
      <w:r w:rsidR="00273963" w:rsidRPr="007A5967">
        <w:rPr>
          <w:lang w:val="en-ZA"/>
        </w:rPr>
        <w:t xml:space="preserve">undue delay </w:t>
      </w:r>
      <w:r w:rsidR="00D51CF2">
        <w:rPr>
          <w:lang w:val="en-ZA"/>
        </w:rPr>
        <w:t>in the prosec</w:t>
      </w:r>
      <w:r w:rsidR="00F5465F">
        <w:rPr>
          <w:lang w:val="en-ZA"/>
        </w:rPr>
        <w:t xml:space="preserve">ution of the matter </w:t>
      </w:r>
      <w:r w:rsidR="00273963" w:rsidRPr="007A5967">
        <w:rPr>
          <w:lang w:val="en-ZA"/>
        </w:rPr>
        <w:t xml:space="preserve">by failing to take timeous and necessary steps to prosecute </w:t>
      </w:r>
      <w:r w:rsidR="00F5465F">
        <w:rPr>
          <w:lang w:val="en-ZA"/>
        </w:rPr>
        <w:t>i</w:t>
      </w:r>
      <w:r w:rsidR="00273963" w:rsidRPr="007A5967">
        <w:rPr>
          <w:lang w:val="en-ZA"/>
        </w:rPr>
        <w:t>t</w:t>
      </w:r>
      <w:r w:rsidR="00F916C0">
        <w:rPr>
          <w:lang w:val="en-ZA"/>
        </w:rPr>
        <w:t>,</w:t>
      </w:r>
      <w:r w:rsidR="00273963" w:rsidRPr="007A5967">
        <w:rPr>
          <w:lang w:val="en-ZA"/>
        </w:rPr>
        <w:t xml:space="preserve"> which has occasioned a delay of some </w:t>
      </w:r>
      <w:r w:rsidR="009C7D75">
        <w:rPr>
          <w:lang w:val="en-ZA"/>
        </w:rPr>
        <w:t>six</w:t>
      </w:r>
      <w:r w:rsidR="00273963" w:rsidRPr="007A5967">
        <w:rPr>
          <w:lang w:val="en-ZA"/>
        </w:rPr>
        <w:t xml:space="preserve"> (</w:t>
      </w:r>
      <w:r w:rsidR="009C7D75">
        <w:rPr>
          <w:lang w:val="en-ZA"/>
        </w:rPr>
        <w:t>6</w:t>
      </w:r>
      <w:r w:rsidR="00273963" w:rsidRPr="007A5967">
        <w:rPr>
          <w:lang w:val="en-ZA"/>
        </w:rPr>
        <w:t xml:space="preserve">) years. </w:t>
      </w:r>
      <w:r w:rsidR="00462B25">
        <w:rPr>
          <w:lang w:val="en-ZA"/>
        </w:rPr>
        <w:t xml:space="preserve"> </w:t>
      </w:r>
      <w:r w:rsidR="00273963" w:rsidRPr="007A5967">
        <w:rPr>
          <w:lang w:val="en-ZA"/>
        </w:rPr>
        <w:t>The facts on which this argument is based are common cause</w:t>
      </w:r>
      <w:r w:rsidR="00A536F9">
        <w:rPr>
          <w:lang w:val="en-ZA"/>
        </w:rPr>
        <w:t xml:space="preserve"> and I deal with them in the following paragraphs</w:t>
      </w:r>
      <w:r w:rsidR="00273963" w:rsidRPr="007A5967">
        <w:rPr>
          <w:lang w:val="en-ZA"/>
        </w:rPr>
        <w:t xml:space="preserve">. </w:t>
      </w:r>
      <w:r w:rsidR="00462B25">
        <w:rPr>
          <w:lang w:val="en-ZA"/>
        </w:rPr>
        <w:t xml:space="preserve"> </w:t>
      </w:r>
    </w:p>
    <w:p w14:paraId="300258E2" w14:textId="45AFE129" w:rsidR="00462B25" w:rsidRDefault="00715A2A" w:rsidP="00715A2A">
      <w:pPr>
        <w:pStyle w:val="JudgmentNumbered"/>
        <w:numPr>
          <w:ilvl w:val="0"/>
          <w:numId w:val="0"/>
        </w:numPr>
        <w:rPr>
          <w:lang w:val="en-ZA"/>
        </w:rPr>
      </w:pPr>
      <w:r>
        <w:rPr>
          <w:lang w:val="en-ZA"/>
        </w:rPr>
        <w:t>[23]</w:t>
      </w:r>
      <w:r>
        <w:rPr>
          <w:lang w:val="en-ZA"/>
        </w:rPr>
        <w:tab/>
      </w:r>
      <w:r w:rsidR="00AB52D0" w:rsidRPr="007A5967">
        <w:rPr>
          <w:lang w:val="en-ZA"/>
        </w:rPr>
        <w:t xml:space="preserve">The first relevant date relating to the </w:t>
      </w:r>
      <w:r w:rsidR="00F65AAD">
        <w:rPr>
          <w:lang w:val="en-ZA"/>
        </w:rPr>
        <w:t>applicants’</w:t>
      </w:r>
      <w:r w:rsidR="00CB1380">
        <w:rPr>
          <w:lang w:val="en-ZA"/>
        </w:rPr>
        <w:t xml:space="preserve"> </w:t>
      </w:r>
      <w:r w:rsidR="008C5456">
        <w:rPr>
          <w:lang w:val="en-ZA"/>
        </w:rPr>
        <w:t>prosecution</w:t>
      </w:r>
      <w:r w:rsidR="00F65AAD">
        <w:rPr>
          <w:lang w:val="en-ZA"/>
        </w:rPr>
        <w:t xml:space="preserve"> </w:t>
      </w:r>
      <w:r w:rsidR="00CB1380">
        <w:rPr>
          <w:lang w:val="en-ZA"/>
        </w:rPr>
        <w:t>i</w:t>
      </w:r>
      <w:r w:rsidR="00AB52D0" w:rsidRPr="007A5967">
        <w:rPr>
          <w:lang w:val="en-ZA"/>
        </w:rPr>
        <w:t>s 1</w:t>
      </w:r>
      <w:r w:rsidR="00072BFE" w:rsidRPr="007A5967">
        <w:rPr>
          <w:lang w:val="en-ZA"/>
        </w:rPr>
        <w:t xml:space="preserve">8 April 2016 </w:t>
      </w:r>
      <w:r w:rsidR="00AB52D0" w:rsidRPr="007A5967">
        <w:rPr>
          <w:lang w:val="en-ZA"/>
        </w:rPr>
        <w:t xml:space="preserve">when </w:t>
      </w:r>
      <w:r w:rsidR="00CB1380">
        <w:rPr>
          <w:lang w:val="en-ZA"/>
        </w:rPr>
        <w:t>they</w:t>
      </w:r>
      <w:r w:rsidR="00072BFE" w:rsidRPr="007A5967">
        <w:rPr>
          <w:lang w:val="en-ZA"/>
        </w:rPr>
        <w:t xml:space="preserve"> appeared in </w:t>
      </w:r>
      <w:r w:rsidR="0081206D">
        <w:rPr>
          <w:lang w:val="en-ZA"/>
        </w:rPr>
        <w:t xml:space="preserve">the </w:t>
      </w:r>
      <w:r w:rsidR="008538D9">
        <w:rPr>
          <w:lang w:val="en-ZA"/>
        </w:rPr>
        <w:t>Mahikeng</w:t>
      </w:r>
      <w:r w:rsidR="00400B0D">
        <w:rPr>
          <w:lang w:val="en-ZA"/>
        </w:rPr>
        <w:t xml:space="preserve"> </w:t>
      </w:r>
      <w:r w:rsidR="0081206D">
        <w:rPr>
          <w:lang w:val="en-ZA"/>
        </w:rPr>
        <w:t xml:space="preserve">High </w:t>
      </w:r>
      <w:r w:rsidR="00CB1380">
        <w:rPr>
          <w:lang w:val="en-ZA"/>
        </w:rPr>
        <w:t>C</w:t>
      </w:r>
      <w:r w:rsidR="00072BFE" w:rsidRPr="007A5967">
        <w:rPr>
          <w:lang w:val="en-ZA"/>
        </w:rPr>
        <w:t xml:space="preserve">ourt </w:t>
      </w:r>
      <w:r w:rsidR="00CB1380">
        <w:rPr>
          <w:lang w:val="en-ZA"/>
        </w:rPr>
        <w:t xml:space="preserve">and </w:t>
      </w:r>
      <w:r w:rsidR="007B3B3A">
        <w:rPr>
          <w:lang w:val="en-ZA"/>
        </w:rPr>
        <w:t xml:space="preserve">stated </w:t>
      </w:r>
      <w:r w:rsidR="00072BFE" w:rsidRPr="007A5967">
        <w:rPr>
          <w:lang w:val="en-ZA"/>
        </w:rPr>
        <w:t xml:space="preserve">that </w:t>
      </w:r>
      <w:r w:rsidR="00D25A9F" w:rsidRPr="007A5967">
        <w:rPr>
          <w:lang w:val="en-ZA"/>
        </w:rPr>
        <w:t>the</w:t>
      </w:r>
      <w:r w:rsidR="007B3B3A">
        <w:rPr>
          <w:lang w:val="en-ZA"/>
        </w:rPr>
        <w:t>y</w:t>
      </w:r>
      <w:r w:rsidR="00D25A9F" w:rsidRPr="007A5967">
        <w:rPr>
          <w:lang w:val="en-ZA"/>
        </w:rPr>
        <w:t xml:space="preserve"> </w:t>
      </w:r>
      <w:r w:rsidR="00072BFE" w:rsidRPr="007A5967">
        <w:rPr>
          <w:lang w:val="en-ZA"/>
        </w:rPr>
        <w:t>had not yet made representations to the NDPP</w:t>
      </w:r>
      <w:r w:rsidR="00462B25">
        <w:rPr>
          <w:lang w:val="en-ZA"/>
        </w:rPr>
        <w:t xml:space="preserve">.  </w:t>
      </w:r>
      <w:r w:rsidR="00072BFE" w:rsidRPr="007A5967">
        <w:rPr>
          <w:lang w:val="en-ZA"/>
        </w:rPr>
        <w:t>The</w:t>
      </w:r>
      <w:r w:rsidR="00AB52D0" w:rsidRPr="007A5967">
        <w:rPr>
          <w:lang w:val="en-ZA"/>
        </w:rPr>
        <w:t>ir</w:t>
      </w:r>
      <w:r w:rsidR="00072BFE" w:rsidRPr="007A5967">
        <w:rPr>
          <w:lang w:val="en-ZA"/>
        </w:rPr>
        <w:t xml:space="preserve"> matter was </w:t>
      </w:r>
      <w:r w:rsidR="00AB52D0" w:rsidRPr="007A5967">
        <w:rPr>
          <w:lang w:val="en-ZA"/>
        </w:rPr>
        <w:t xml:space="preserve">then </w:t>
      </w:r>
      <w:r w:rsidR="00072BFE" w:rsidRPr="007A5967">
        <w:rPr>
          <w:lang w:val="en-ZA"/>
        </w:rPr>
        <w:t>remanded to 29 August 2016</w:t>
      </w:r>
      <w:r w:rsidR="00462B25">
        <w:rPr>
          <w:lang w:val="en-ZA"/>
        </w:rPr>
        <w:t xml:space="preserve">.  </w:t>
      </w:r>
      <w:r w:rsidR="00AB52D0" w:rsidRPr="007A5967">
        <w:rPr>
          <w:lang w:val="en-ZA"/>
        </w:rPr>
        <w:t xml:space="preserve">On </w:t>
      </w:r>
      <w:r w:rsidR="00072BFE" w:rsidRPr="007A5967">
        <w:rPr>
          <w:lang w:val="en-ZA"/>
        </w:rPr>
        <w:t xml:space="preserve">24 August 2016, the applicants </w:t>
      </w:r>
      <w:r w:rsidR="00AB52D0" w:rsidRPr="007A5967">
        <w:rPr>
          <w:lang w:val="en-ZA"/>
        </w:rPr>
        <w:t xml:space="preserve">made </w:t>
      </w:r>
      <w:r w:rsidR="00072BFE" w:rsidRPr="007A5967">
        <w:rPr>
          <w:lang w:val="en-ZA"/>
        </w:rPr>
        <w:t>representations to the NDPP to have their prosecutions set aside</w:t>
      </w:r>
      <w:r w:rsidR="00462B25">
        <w:rPr>
          <w:lang w:val="en-ZA"/>
        </w:rPr>
        <w:t xml:space="preserve">.  </w:t>
      </w:r>
      <w:r w:rsidR="00AB52D0" w:rsidRPr="007A5967">
        <w:rPr>
          <w:lang w:val="en-ZA"/>
        </w:rPr>
        <w:t>On the return date of 2</w:t>
      </w:r>
      <w:r w:rsidR="00072BFE" w:rsidRPr="007A5967">
        <w:rPr>
          <w:lang w:val="en-ZA"/>
        </w:rPr>
        <w:t xml:space="preserve">9 August 2016, it </w:t>
      </w:r>
      <w:r w:rsidR="00AB52D0" w:rsidRPr="007A5967">
        <w:rPr>
          <w:lang w:val="en-ZA"/>
        </w:rPr>
        <w:t>then</w:t>
      </w:r>
      <w:r w:rsidR="00072BFE" w:rsidRPr="007A5967">
        <w:rPr>
          <w:lang w:val="en-ZA"/>
        </w:rPr>
        <w:t xml:space="preserve"> </w:t>
      </w:r>
      <w:r w:rsidR="008B3E70" w:rsidRPr="007A5967">
        <w:rPr>
          <w:lang w:val="en-ZA"/>
        </w:rPr>
        <w:t>emerged</w:t>
      </w:r>
      <w:r w:rsidR="00072BFE" w:rsidRPr="007A5967">
        <w:rPr>
          <w:lang w:val="en-ZA"/>
        </w:rPr>
        <w:t xml:space="preserve"> that the NDPP had not received the representations</w:t>
      </w:r>
      <w:r w:rsidR="00462B25">
        <w:rPr>
          <w:lang w:val="en-ZA"/>
        </w:rPr>
        <w:t xml:space="preserve">.  </w:t>
      </w:r>
    </w:p>
    <w:p w14:paraId="1EF09F1C" w14:textId="700D34CF" w:rsidR="00462B25" w:rsidRDefault="00715A2A" w:rsidP="00715A2A">
      <w:pPr>
        <w:pStyle w:val="JudgmentNumbered"/>
        <w:numPr>
          <w:ilvl w:val="0"/>
          <w:numId w:val="0"/>
        </w:numPr>
        <w:rPr>
          <w:lang w:val="en-ZA"/>
        </w:rPr>
      </w:pPr>
      <w:r>
        <w:rPr>
          <w:lang w:val="en-ZA"/>
        </w:rPr>
        <w:t>[24]</w:t>
      </w:r>
      <w:r>
        <w:rPr>
          <w:lang w:val="en-ZA"/>
        </w:rPr>
        <w:tab/>
      </w:r>
      <w:r w:rsidR="008B3E70" w:rsidRPr="007A5967">
        <w:rPr>
          <w:lang w:val="en-ZA"/>
        </w:rPr>
        <w:t xml:space="preserve">On </w:t>
      </w:r>
      <w:r w:rsidR="00072BFE" w:rsidRPr="007A5967">
        <w:rPr>
          <w:lang w:val="en-ZA"/>
        </w:rPr>
        <w:t xml:space="preserve">13 September 2016, the DPP North West </w:t>
      </w:r>
      <w:r w:rsidR="008B3E70" w:rsidRPr="007A5967">
        <w:rPr>
          <w:lang w:val="en-ZA"/>
        </w:rPr>
        <w:t xml:space="preserve">wrote </w:t>
      </w:r>
      <w:r w:rsidR="00072BFE" w:rsidRPr="007A5967">
        <w:rPr>
          <w:lang w:val="en-ZA"/>
        </w:rPr>
        <w:t>to the</w:t>
      </w:r>
      <w:r w:rsidR="00990B2E">
        <w:rPr>
          <w:lang w:val="en-ZA"/>
        </w:rPr>
        <w:t xml:space="preserve"> </w:t>
      </w:r>
      <w:r w:rsidR="00072BFE" w:rsidRPr="007A5967">
        <w:rPr>
          <w:lang w:val="en-ZA"/>
        </w:rPr>
        <w:t>NDPP informing him of the representations his office received from the applicants</w:t>
      </w:r>
      <w:r w:rsidR="00462B25">
        <w:rPr>
          <w:lang w:val="en-ZA"/>
        </w:rPr>
        <w:t xml:space="preserve">.  </w:t>
      </w:r>
      <w:r w:rsidR="00DC092D">
        <w:rPr>
          <w:lang w:val="en-ZA"/>
        </w:rPr>
        <w:t>T</w:t>
      </w:r>
      <w:r w:rsidR="00072BFE" w:rsidRPr="007A5967">
        <w:rPr>
          <w:lang w:val="en-ZA"/>
        </w:rPr>
        <w:t xml:space="preserve">he Acting Deputy National Director </w:t>
      </w:r>
      <w:r w:rsidR="009B275A">
        <w:rPr>
          <w:lang w:val="en-ZA"/>
        </w:rPr>
        <w:t xml:space="preserve">thereafter </w:t>
      </w:r>
      <w:r w:rsidR="0073209C" w:rsidRPr="007A5967">
        <w:rPr>
          <w:lang w:val="en-ZA"/>
        </w:rPr>
        <w:t>wrote</w:t>
      </w:r>
      <w:r w:rsidR="00072BFE" w:rsidRPr="007A5967">
        <w:rPr>
          <w:lang w:val="en-ZA"/>
        </w:rPr>
        <w:t xml:space="preserve"> to the applicants</w:t>
      </w:r>
      <w:r w:rsidR="0073209C" w:rsidRPr="007A5967">
        <w:rPr>
          <w:lang w:val="en-ZA"/>
        </w:rPr>
        <w:t>’</w:t>
      </w:r>
      <w:r w:rsidR="00072BFE" w:rsidRPr="007A5967">
        <w:rPr>
          <w:lang w:val="en-ZA"/>
        </w:rPr>
        <w:t xml:space="preserve"> attorneys, informing them that </w:t>
      </w:r>
      <w:r w:rsidR="00DC092D">
        <w:rPr>
          <w:lang w:val="en-ZA"/>
        </w:rPr>
        <w:t>his</w:t>
      </w:r>
      <w:r w:rsidR="00072BFE" w:rsidRPr="007A5967">
        <w:rPr>
          <w:lang w:val="en-ZA"/>
        </w:rPr>
        <w:t xml:space="preserve"> office ha</w:t>
      </w:r>
      <w:r w:rsidR="00473ED2">
        <w:rPr>
          <w:lang w:val="en-ZA"/>
        </w:rPr>
        <w:t>d</w:t>
      </w:r>
      <w:r w:rsidR="00072BFE" w:rsidRPr="007A5967">
        <w:rPr>
          <w:lang w:val="en-ZA"/>
        </w:rPr>
        <w:t xml:space="preserve"> received their representations and that further information was requested from the DPP North West, before a decision would be communicated to them</w:t>
      </w:r>
      <w:r w:rsidR="00462B25">
        <w:rPr>
          <w:lang w:val="en-ZA"/>
        </w:rPr>
        <w:t xml:space="preserve">.  </w:t>
      </w:r>
      <w:r w:rsidR="004900DC" w:rsidRPr="007A5967">
        <w:rPr>
          <w:lang w:val="en-ZA"/>
        </w:rPr>
        <w:t xml:space="preserve">The </w:t>
      </w:r>
      <w:r w:rsidR="002E5A82">
        <w:rPr>
          <w:lang w:val="en-ZA"/>
        </w:rPr>
        <w:t>N</w:t>
      </w:r>
      <w:r w:rsidR="004900DC" w:rsidRPr="007A5967">
        <w:rPr>
          <w:lang w:val="en-ZA"/>
        </w:rPr>
        <w:t xml:space="preserve">DPP </w:t>
      </w:r>
      <w:r w:rsidR="002E5A82">
        <w:rPr>
          <w:lang w:val="en-ZA"/>
        </w:rPr>
        <w:t xml:space="preserve">finally wrote </w:t>
      </w:r>
      <w:r w:rsidR="00916FA0">
        <w:rPr>
          <w:lang w:val="en-ZA"/>
        </w:rPr>
        <w:t xml:space="preserve">to the </w:t>
      </w:r>
      <w:r w:rsidR="00473ED2">
        <w:rPr>
          <w:lang w:val="en-ZA"/>
        </w:rPr>
        <w:t>applicants</w:t>
      </w:r>
      <w:r w:rsidR="007222A2">
        <w:rPr>
          <w:lang w:val="en-ZA"/>
        </w:rPr>
        <w:t>’</w:t>
      </w:r>
      <w:r w:rsidR="00473ED2">
        <w:rPr>
          <w:lang w:val="en-ZA"/>
        </w:rPr>
        <w:t xml:space="preserve"> attorneys</w:t>
      </w:r>
      <w:r w:rsidR="00916FA0">
        <w:rPr>
          <w:lang w:val="en-ZA"/>
        </w:rPr>
        <w:t xml:space="preserve"> </w:t>
      </w:r>
      <w:r w:rsidR="00D25A9F" w:rsidRPr="007A5967">
        <w:rPr>
          <w:lang w:val="en-ZA"/>
        </w:rPr>
        <w:t>on</w:t>
      </w:r>
      <w:r w:rsidR="004900DC" w:rsidRPr="007A5967">
        <w:rPr>
          <w:lang w:val="en-ZA"/>
        </w:rPr>
        <w:t xml:space="preserve"> </w:t>
      </w:r>
      <w:r w:rsidR="00072BFE" w:rsidRPr="007A5967">
        <w:rPr>
          <w:lang w:val="en-ZA"/>
        </w:rPr>
        <w:t xml:space="preserve">30 June 2017 </w:t>
      </w:r>
      <w:r w:rsidR="004900DC" w:rsidRPr="007A5967">
        <w:rPr>
          <w:lang w:val="en-ZA"/>
        </w:rPr>
        <w:t xml:space="preserve">where he </w:t>
      </w:r>
      <w:r w:rsidR="00072BFE" w:rsidRPr="007A5967">
        <w:rPr>
          <w:lang w:val="en-ZA"/>
        </w:rPr>
        <w:t>refuse</w:t>
      </w:r>
      <w:r w:rsidR="004900DC" w:rsidRPr="007A5967">
        <w:rPr>
          <w:lang w:val="en-ZA"/>
        </w:rPr>
        <w:t>d</w:t>
      </w:r>
      <w:r w:rsidR="00072BFE" w:rsidRPr="007A5967">
        <w:rPr>
          <w:lang w:val="en-ZA"/>
        </w:rPr>
        <w:t xml:space="preserve"> to review the decision to prosecute</w:t>
      </w:r>
      <w:r w:rsidR="00462B25">
        <w:rPr>
          <w:lang w:val="en-ZA"/>
        </w:rPr>
        <w:t xml:space="preserve">.  </w:t>
      </w:r>
    </w:p>
    <w:p w14:paraId="0943463D" w14:textId="348F145E" w:rsidR="00462B25" w:rsidRDefault="00715A2A" w:rsidP="00715A2A">
      <w:pPr>
        <w:pStyle w:val="JudgmentNumbered"/>
        <w:numPr>
          <w:ilvl w:val="0"/>
          <w:numId w:val="0"/>
        </w:numPr>
        <w:rPr>
          <w:lang w:val="en-ZA"/>
        </w:rPr>
      </w:pPr>
      <w:r>
        <w:rPr>
          <w:lang w:val="en-ZA"/>
        </w:rPr>
        <w:t>[25]</w:t>
      </w:r>
      <w:r>
        <w:rPr>
          <w:lang w:val="en-ZA"/>
        </w:rPr>
        <w:tab/>
      </w:r>
      <w:r w:rsidR="00140E57" w:rsidRPr="007A5967">
        <w:rPr>
          <w:lang w:val="en-ZA"/>
        </w:rPr>
        <w:t xml:space="preserve">On </w:t>
      </w:r>
      <w:r w:rsidR="00072BFE" w:rsidRPr="007A5967">
        <w:rPr>
          <w:lang w:val="en-ZA"/>
        </w:rPr>
        <w:t xml:space="preserve">31 August 2017, the applicants </w:t>
      </w:r>
      <w:r w:rsidR="00916FA0">
        <w:rPr>
          <w:lang w:val="en-ZA"/>
        </w:rPr>
        <w:t xml:space="preserve">appeared in </w:t>
      </w:r>
      <w:r w:rsidR="00072BFE" w:rsidRPr="007A5967">
        <w:rPr>
          <w:lang w:val="en-ZA"/>
        </w:rPr>
        <w:t xml:space="preserve">the </w:t>
      </w:r>
      <w:r w:rsidR="008538D9">
        <w:rPr>
          <w:lang w:val="en-ZA"/>
        </w:rPr>
        <w:t>Mahikeng</w:t>
      </w:r>
      <w:r w:rsidR="00400B0D">
        <w:rPr>
          <w:lang w:val="en-ZA"/>
        </w:rPr>
        <w:t xml:space="preserve"> </w:t>
      </w:r>
      <w:r w:rsidR="008C5F83">
        <w:rPr>
          <w:lang w:val="en-ZA"/>
        </w:rPr>
        <w:t>High Court</w:t>
      </w:r>
      <w:r w:rsidR="00072BFE" w:rsidRPr="007A5967">
        <w:rPr>
          <w:lang w:val="en-ZA"/>
        </w:rPr>
        <w:t xml:space="preserve"> and </w:t>
      </w:r>
      <w:r w:rsidR="00140E57" w:rsidRPr="007A5967">
        <w:rPr>
          <w:lang w:val="en-ZA"/>
        </w:rPr>
        <w:t xml:space="preserve">were </w:t>
      </w:r>
      <w:r w:rsidR="00072BFE" w:rsidRPr="007A5967">
        <w:rPr>
          <w:lang w:val="en-ZA"/>
        </w:rPr>
        <w:t>granted an opportunity to launch these proceedings</w:t>
      </w:r>
      <w:r w:rsidR="00462B25">
        <w:rPr>
          <w:lang w:val="en-ZA"/>
        </w:rPr>
        <w:t xml:space="preserve">.  </w:t>
      </w:r>
      <w:r w:rsidR="00140E57" w:rsidRPr="007A5967">
        <w:rPr>
          <w:lang w:val="en-ZA"/>
        </w:rPr>
        <w:t xml:space="preserve">They were given a deadline of </w:t>
      </w:r>
      <w:r w:rsidR="00072BFE" w:rsidRPr="007A5967">
        <w:rPr>
          <w:lang w:val="en-ZA"/>
        </w:rPr>
        <w:t>29 September 2017</w:t>
      </w:r>
      <w:r w:rsidR="00140E57" w:rsidRPr="007A5967">
        <w:rPr>
          <w:lang w:val="en-ZA"/>
        </w:rPr>
        <w:t xml:space="preserve"> and </w:t>
      </w:r>
      <w:r w:rsidR="00072BFE" w:rsidRPr="007A5967">
        <w:rPr>
          <w:lang w:val="en-ZA"/>
        </w:rPr>
        <w:t xml:space="preserve">to report back </w:t>
      </w:r>
      <w:r w:rsidR="000133B8" w:rsidRPr="007A5967">
        <w:rPr>
          <w:lang w:val="en-ZA"/>
        </w:rPr>
        <w:t xml:space="preserve">to the </w:t>
      </w:r>
      <w:r w:rsidR="00AB54B3">
        <w:rPr>
          <w:lang w:val="en-ZA"/>
        </w:rPr>
        <w:t>C</w:t>
      </w:r>
      <w:r w:rsidR="000133B8" w:rsidRPr="007A5967">
        <w:rPr>
          <w:lang w:val="en-ZA"/>
        </w:rPr>
        <w:t xml:space="preserve">ourt on </w:t>
      </w:r>
      <w:r w:rsidR="00072BFE" w:rsidRPr="007A5967">
        <w:rPr>
          <w:lang w:val="en-ZA"/>
        </w:rPr>
        <w:t>13 October 2017</w:t>
      </w:r>
      <w:r w:rsidR="00462B25">
        <w:rPr>
          <w:lang w:val="en-ZA"/>
        </w:rPr>
        <w:t xml:space="preserve">.  </w:t>
      </w:r>
    </w:p>
    <w:p w14:paraId="16CA8676" w14:textId="07787E39" w:rsidR="00462B25" w:rsidRDefault="00715A2A" w:rsidP="00715A2A">
      <w:pPr>
        <w:pStyle w:val="JudgmentNumbered"/>
        <w:numPr>
          <w:ilvl w:val="0"/>
          <w:numId w:val="0"/>
        </w:numPr>
        <w:rPr>
          <w:lang w:val="en-ZA"/>
        </w:rPr>
      </w:pPr>
      <w:r>
        <w:rPr>
          <w:lang w:val="en-ZA"/>
        </w:rPr>
        <w:t>[26]</w:t>
      </w:r>
      <w:r>
        <w:rPr>
          <w:lang w:val="en-ZA"/>
        </w:rPr>
        <w:tab/>
      </w:r>
      <w:r w:rsidR="000133B8" w:rsidRPr="007A5967">
        <w:rPr>
          <w:lang w:val="en-ZA"/>
        </w:rPr>
        <w:t xml:space="preserve">During that time, on </w:t>
      </w:r>
      <w:r w:rsidR="00072BFE" w:rsidRPr="007A5967">
        <w:rPr>
          <w:lang w:val="en-ZA"/>
        </w:rPr>
        <w:t xml:space="preserve">12 September 2017, a meeting between the applicants and the NPA respondents </w:t>
      </w:r>
      <w:r w:rsidR="000133B8" w:rsidRPr="007A5967">
        <w:rPr>
          <w:lang w:val="en-ZA"/>
        </w:rPr>
        <w:t xml:space="preserve">took </w:t>
      </w:r>
      <w:r w:rsidR="00072BFE" w:rsidRPr="007A5967">
        <w:rPr>
          <w:lang w:val="en-ZA"/>
        </w:rPr>
        <w:t xml:space="preserve">place in Tshwane, with </w:t>
      </w:r>
      <w:r w:rsidR="004D6532">
        <w:rPr>
          <w:lang w:val="en-ZA"/>
        </w:rPr>
        <w:t>a</w:t>
      </w:r>
      <w:r w:rsidR="00072BFE" w:rsidRPr="007A5967">
        <w:rPr>
          <w:lang w:val="en-ZA"/>
        </w:rPr>
        <w:t xml:space="preserve"> view of reaching an amicable settlement of the </w:t>
      </w:r>
      <w:r w:rsidR="00B14563">
        <w:rPr>
          <w:lang w:val="en-ZA"/>
        </w:rPr>
        <w:t>matter</w:t>
      </w:r>
      <w:r w:rsidR="00462B25">
        <w:rPr>
          <w:lang w:val="en-ZA"/>
        </w:rPr>
        <w:t xml:space="preserve">.  </w:t>
      </w:r>
      <w:r w:rsidR="000133B8" w:rsidRPr="007A5967">
        <w:rPr>
          <w:lang w:val="en-ZA"/>
        </w:rPr>
        <w:t xml:space="preserve">The following day, on </w:t>
      </w:r>
      <w:r w:rsidR="00072BFE" w:rsidRPr="007A5967">
        <w:rPr>
          <w:lang w:val="en-ZA"/>
        </w:rPr>
        <w:t>13 September 2017, the applicants wrote a letter to the NDPP</w:t>
      </w:r>
      <w:r w:rsidR="000C0BB9">
        <w:rPr>
          <w:lang w:val="en-ZA"/>
        </w:rPr>
        <w:t xml:space="preserve"> </w:t>
      </w:r>
      <w:r w:rsidR="00072BFE" w:rsidRPr="007A5967">
        <w:rPr>
          <w:lang w:val="en-ZA"/>
        </w:rPr>
        <w:t xml:space="preserve">asking for </w:t>
      </w:r>
      <w:r w:rsidR="004D6532">
        <w:rPr>
          <w:lang w:val="en-ZA"/>
        </w:rPr>
        <w:t xml:space="preserve">his </w:t>
      </w:r>
      <w:r w:rsidR="00072BFE" w:rsidRPr="007A5967">
        <w:rPr>
          <w:lang w:val="en-ZA"/>
        </w:rPr>
        <w:t>reasons</w:t>
      </w:r>
      <w:r w:rsidR="004D6532">
        <w:rPr>
          <w:lang w:val="en-ZA"/>
        </w:rPr>
        <w:t xml:space="preserve"> for refusing to review the DPP’s decision to prosecute them</w:t>
      </w:r>
      <w:r w:rsidR="00462B25">
        <w:rPr>
          <w:lang w:val="en-ZA"/>
        </w:rPr>
        <w:t xml:space="preserve">.  </w:t>
      </w:r>
      <w:r w:rsidR="00AF0E83">
        <w:rPr>
          <w:lang w:val="en-ZA"/>
        </w:rPr>
        <w:t>The NDPP did not respond</w:t>
      </w:r>
      <w:r w:rsidR="00462B25">
        <w:rPr>
          <w:lang w:val="en-ZA"/>
        </w:rPr>
        <w:t xml:space="preserve">.  </w:t>
      </w:r>
    </w:p>
    <w:p w14:paraId="2C541E51" w14:textId="406BED39" w:rsidR="00462B25" w:rsidRDefault="00715A2A" w:rsidP="00715A2A">
      <w:pPr>
        <w:pStyle w:val="JudgmentNumbered"/>
        <w:numPr>
          <w:ilvl w:val="0"/>
          <w:numId w:val="0"/>
        </w:numPr>
        <w:rPr>
          <w:lang w:val="en-ZA"/>
        </w:rPr>
      </w:pPr>
      <w:r>
        <w:rPr>
          <w:lang w:val="en-ZA"/>
        </w:rPr>
        <w:t>[27]</w:t>
      </w:r>
      <w:r>
        <w:rPr>
          <w:lang w:val="en-ZA"/>
        </w:rPr>
        <w:tab/>
      </w:r>
      <w:r w:rsidR="00121680" w:rsidRPr="007A5967">
        <w:rPr>
          <w:lang w:val="en-ZA"/>
        </w:rPr>
        <w:t xml:space="preserve">On </w:t>
      </w:r>
      <w:r w:rsidR="00072BFE" w:rsidRPr="007A5967">
        <w:rPr>
          <w:lang w:val="en-ZA"/>
        </w:rPr>
        <w:t>10 October 2017</w:t>
      </w:r>
      <w:r w:rsidR="000C0BB9">
        <w:rPr>
          <w:lang w:val="en-ZA"/>
        </w:rPr>
        <w:t xml:space="preserve"> </w:t>
      </w:r>
      <w:r w:rsidR="00072BFE" w:rsidRPr="007A5967">
        <w:rPr>
          <w:lang w:val="en-ZA"/>
        </w:rPr>
        <w:t xml:space="preserve">this application </w:t>
      </w:r>
      <w:r w:rsidR="00121680" w:rsidRPr="007A5967">
        <w:rPr>
          <w:lang w:val="en-ZA"/>
        </w:rPr>
        <w:t>was</w:t>
      </w:r>
      <w:r w:rsidR="00072BFE" w:rsidRPr="007A5967">
        <w:rPr>
          <w:lang w:val="en-ZA"/>
        </w:rPr>
        <w:t xml:space="preserve"> launched</w:t>
      </w:r>
      <w:r w:rsidR="00462B25">
        <w:rPr>
          <w:lang w:val="en-ZA"/>
        </w:rPr>
        <w:t xml:space="preserve">.  </w:t>
      </w:r>
      <w:r w:rsidR="003110BD" w:rsidRPr="007A5967">
        <w:rPr>
          <w:lang w:val="en-ZA"/>
        </w:rPr>
        <w:t xml:space="preserve">On </w:t>
      </w:r>
      <w:r w:rsidR="00072BFE" w:rsidRPr="007A5967">
        <w:rPr>
          <w:lang w:val="en-ZA"/>
        </w:rPr>
        <w:t xml:space="preserve">30 October 2017, the NPA respondents filed a notice of intention to oppose </w:t>
      </w:r>
      <w:r w:rsidR="004A4897">
        <w:rPr>
          <w:lang w:val="en-ZA"/>
        </w:rPr>
        <w:t>and o</w:t>
      </w:r>
      <w:r w:rsidR="003110BD" w:rsidRPr="007A5967">
        <w:rPr>
          <w:lang w:val="en-ZA"/>
        </w:rPr>
        <w:t xml:space="preserve">n </w:t>
      </w:r>
      <w:r w:rsidR="00072BFE" w:rsidRPr="007A5967">
        <w:rPr>
          <w:lang w:val="en-ZA"/>
        </w:rPr>
        <w:t>28 February 2018, the</w:t>
      </w:r>
      <w:r w:rsidR="004A4897">
        <w:rPr>
          <w:lang w:val="en-ZA"/>
        </w:rPr>
        <w:t>y</w:t>
      </w:r>
      <w:r w:rsidR="00072BFE" w:rsidRPr="007A5967">
        <w:rPr>
          <w:lang w:val="en-ZA"/>
        </w:rPr>
        <w:t xml:space="preserve"> filed the record</w:t>
      </w:r>
      <w:r w:rsidR="00462B25">
        <w:rPr>
          <w:lang w:val="en-ZA"/>
        </w:rPr>
        <w:t xml:space="preserve">.  </w:t>
      </w:r>
      <w:r w:rsidR="00BE10DE" w:rsidRPr="007A5967">
        <w:rPr>
          <w:lang w:val="en-ZA"/>
        </w:rPr>
        <w:t xml:space="preserve">Following the filing of this record, no further steps were taken by the </w:t>
      </w:r>
      <w:r w:rsidR="00BE10DE" w:rsidRPr="007A5967">
        <w:rPr>
          <w:lang w:val="en-ZA"/>
        </w:rPr>
        <w:lastRenderedPageBreak/>
        <w:t>applicants</w:t>
      </w:r>
      <w:r w:rsidR="00462B25">
        <w:rPr>
          <w:lang w:val="en-ZA"/>
        </w:rPr>
        <w:t xml:space="preserve">.  </w:t>
      </w:r>
      <w:r w:rsidR="00BE10DE" w:rsidRPr="007A5967">
        <w:rPr>
          <w:lang w:val="en-ZA"/>
        </w:rPr>
        <w:t xml:space="preserve">This caused the NPA respondents to </w:t>
      </w:r>
      <w:r w:rsidR="00072BFE" w:rsidRPr="007A5967">
        <w:rPr>
          <w:lang w:val="en-ZA"/>
        </w:rPr>
        <w:t xml:space="preserve">file their answering affidavit </w:t>
      </w:r>
      <w:r w:rsidR="00BE10DE" w:rsidRPr="007A5967">
        <w:rPr>
          <w:lang w:val="en-ZA"/>
        </w:rPr>
        <w:t xml:space="preserve">on 12 April 2021, </w:t>
      </w:r>
      <w:r w:rsidR="00072BFE" w:rsidRPr="007A5967">
        <w:rPr>
          <w:lang w:val="en-ZA"/>
        </w:rPr>
        <w:t xml:space="preserve">having waited for an indication from the applicants since February 2018 on </w:t>
      </w:r>
      <w:r w:rsidR="008538D9" w:rsidRPr="007A5967">
        <w:rPr>
          <w:lang w:val="en-ZA"/>
        </w:rPr>
        <w:t>whether</w:t>
      </w:r>
      <w:r w:rsidR="00072BFE" w:rsidRPr="007A5967">
        <w:rPr>
          <w:lang w:val="en-ZA"/>
        </w:rPr>
        <w:t xml:space="preserve"> their papers would be supplemented</w:t>
      </w:r>
      <w:r w:rsidR="00462B25">
        <w:rPr>
          <w:lang w:val="en-ZA"/>
        </w:rPr>
        <w:t xml:space="preserve">.  </w:t>
      </w:r>
    </w:p>
    <w:p w14:paraId="51ADB064" w14:textId="5C3034F1" w:rsidR="00462B25" w:rsidRDefault="00715A2A" w:rsidP="00715A2A">
      <w:pPr>
        <w:pStyle w:val="JudgmentNumbered"/>
        <w:numPr>
          <w:ilvl w:val="0"/>
          <w:numId w:val="0"/>
        </w:numPr>
        <w:rPr>
          <w:lang w:val="en-ZA"/>
        </w:rPr>
      </w:pPr>
      <w:r>
        <w:rPr>
          <w:lang w:val="en-ZA"/>
        </w:rPr>
        <w:t>[28]</w:t>
      </w:r>
      <w:r>
        <w:rPr>
          <w:lang w:val="en-ZA"/>
        </w:rPr>
        <w:tab/>
      </w:r>
      <w:r w:rsidR="008538D9">
        <w:rPr>
          <w:lang w:val="en-ZA"/>
        </w:rPr>
        <w:t>After</w:t>
      </w:r>
      <w:r w:rsidR="00FB112D">
        <w:rPr>
          <w:lang w:val="en-ZA"/>
        </w:rPr>
        <w:t xml:space="preserve"> the filing of the answering affidavit</w:t>
      </w:r>
      <w:r w:rsidR="00BE10DE" w:rsidRPr="007A5967">
        <w:rPr>
          <w:lang w:val="en-ZA"/>
        </w:rPr>
        <w:t>, t</w:t>
      </w:r>
      <w:r w:rsidR="00072BFE" w:rsidRPr="007A5967">
        <w:rPr>
          <w:lang w:val="en-ZA"/>
        </w:rPr>
        <w:t>he applicant</w:t>
      </w:r>
      <w:r w:rsidR="00BE10DE" w:rsidRPr="007A5967">
        <w:rPr>
          <w:lang w:val="en-ZA"/>
        </w:rPr>
        <w:t>s</w:t>
      </w:r>
      <w:r w:rsidR="00072BFE" w:rsidRPr="007A5967">
        <w:rPr>
          <w:lang w:val="en-ZA"/>
        </w:rPr>
        <w:t xml:space="preserve"> </w:t>
      </w:r>
      <w:r w:rsidR="00BE10DE" w:rsidRPr="007A5967">
        <w:rPr>
          <w:lang w:val="en-ZA"/>
        </w:rPr>
        <w:t xml:space="preserve">did </w:t>
      </w:r>
      <w:r w:rsidR="00072BFE" w:rsidRPr="007A5967">
        <w:rPr>
          <w:lang w:val="en-ZA"/>
        </w:rPr>
        <w:t>not file a replying affidavit</w:t>
      </w:r>
      <w:r w:rsidR="00462B25">
        <w:rPr>
          <w:lang w:val="en-ZA"/>
        </w:rPr>
        <w:t xml:space="preserve">.  </w:t>
      </w:r>
      <w:r w:rsidR="007A7660" w:rsidRPr="007A5967">
        <w:rPr>
          <w:lang w:val="en-ZA"/>
        </w:rPr>
        <w:t xml:space="preserve">Then on 16 </w:t>
      </w:r>
      <w:r w:rsidR="00072BFE" w:rsidRPr="007A5967">
        <w:rPr>
          <w:lang w:val="en-ZA"/>
        </w:rPr>
        <w:t xml:space="preserve">February 2023, the parties </w:t>
      </w:r>
      <w:r w:rsidR="00B1092C">
        <w:rPr>
          <w:lang w:val="en-ZA"/>
        </w:rPr>
        <w:t>were</w:t>
      </w:r>
      <w:r w:rsidR="00072BFE" w:rsidRPr="007A5967">
        <w:rPr>
          <w:lang w:val="en-ZA"/>
        </w:rPr>
        <w:t xml:space="preserve"> invited by </w:t>
      </w:r>
      <w:r w:rsidR="00B1092C">
        <w:rPr>
          <w:lang w:val="en-ZA"/>
        </w:rPr>
        <w:t xml:space="preserve">the </w:t>
      </w:r>
      <w:r w:rsidR="00072BFE" w:rsidRPr="007A5967">
        <w:rPr>
          <w:lang w:val="en-ZA"/>
        </w:rPr>
        <w:t>D</w:t>
      </w:r>
      <w:r w:rsidR="007A7660" w:rsidRPr="007A5967">
        <w:rPr>
          <w:lang w:val="en-ZA"/>
        </w:rPr>
        <w:t xml:space="preserve">eputy </w:t>
      </w:r>
      <w:r w:rsidR="00072BFE" w:rsidRPr="007A5967">
        <w:rPr>
          <w:lang w:val="en-ZA"/>
        </w:rPr>
        <w:t>J</w:t>
      </w:r>
      <w:r w:rsidR="007A7660" w:rsidRPr="007A5967">
        <w:rPr>
          <w:lang w:val="en-ZA"/>
        </w:rPr>
        <w:t xml:space="preserve">udge </w:t>
      </w:r>
      <w:r w:rsidR="00072BFE" w:rsidRPr="007A5967">
        <w:rPr>
          <w:lang w:val="en-ZA"/>
        </w:rPr>
        <w:t>P</w:t>
      </w:r>
      <w:r w:rsidR="007A7660" w:rsidRPr="007A5967">
        <w:rPr>
          <w:lang w:val="en-ZA"/>
        </w:rPr>
        <w:t>resident</w:t>
      </w:r>
      <w:r w:rsidR="00072BFE" w:rsidRPr="007A5967">
        <w:rPr>
          <w:lang w:val="en-ZA"/>
        </w:rPr>
        <w:t xml:space="preserve"> </w:t>
      </w:r>
      <w:r w:rsidR="00B1092C">
        <w:rPr>
          <w:lang w:val="en-ZA"/>
        </w:rPr>
        <w:t>of this Division</w:t>
      </w:r>
      <w:r w:rsidR="00EA0C09">
        <w:rPr>
          <w:lang w:val="en-ZA"/>
        </w:rPr>
        <w:t xml:space="preserve"> </w:t>
      </w:r>
      <w:r w:rsidR="00072BFE" w:rsidRPr="007A5967">
        <w:rPr>
          <w:lang w:val="en-ZA"/>
        </w:rPr>
        <w:t xml:space="preserve">to a pre-trial conference but it was postponed because </w:t>
      </w:r>
      <w:r w:rsidR="007A7660" w:rsidRPr="007A5967">
        <w:rPr>
          <w:lang w:val="en-ZA"/>
        </w:rPr>
        <w:t xml:space="preserve">there was </w:t>
      </w:r>
      <w:r w:rsidR="007A631B" w:rsidRPr="007A5967">
        <w:rPr>
          <w:lang w:val="en-ZA"/>
        </w:rPr>
        <w:t xml:space="preserve">no </w:t>
      </w:r>
      <w:r w:rsidR="00072BFE" w:rsidRPr="007A5967">
        <w:rPr>
          <w:lang w:val="en-ZA"/>
        </w:rPr>
        <w:t xml:space="preserve">appearance </w:t>
      </w:r>
      <w:r w:rsidR="007A631B" w:rsidRPr="007A5967">
        <w:rPr>
          <w:lang w:val="en-ZA"/>
        </w:rPr>
        <w:t xml:space="preserve">on behalf of </w:t>
      </w:r>
      <w:r w:rsidR="00072BFE" w:rsidRPr="007A5967">
        <w:rPr>
          <w:lang w:val="en-ZA"/>
        </w:rPr>
        <w:t>the applicants</w:t>
      </w:r>
      <w:r w:rsidR="00462B25">
        <w:rPr>
          <w:lang w:val="en-ZA"/>
        </w:rPr>
        <w:t xml:space="preserve">.  </w:t>
      </w:r>
      <w:r w:rsidR="007A7660" w:rsidRPr="007A5967">
        <w:rPr>
          <w:lang w:val="en-ZA"/>
        </w:rPr>
        <w:t>T</w:t>
      </w:r>
      <w:r w:rsidR="00072BFE" w:rsidRPr="007A5967">
        <w:rPr>
          <w:lang w:val="en-ZA"/>
        </w:rPr>
        <w:t xml:space="preserve">he meeting </w:t>
      </w:r>
      <w:r w:rsidR="007A631B" w:rsidRPr="007A5967">
        <w:rPr>
          <w:lang w:val="en-ZA"/>
        </w:rPr>
        <w:t>was</w:t>
      </w:r>
      <w:r w:rsidR="00072BFE" w:rsidRPr="007A5967">
        <w:rPr>
          <w:lang w:val="en-ZA"/>
        </w:rPr>
        <w:t xml:space="preserve"> reconvened</w:t>
      </w:r>
      <w:r w:rsidR="00AC5D72">
        <w:rPr>
          <w:lang w:val="en-ZA"/>
        </w:rPr>
        <w:t xml:space="preserve"> to</w:t>
      </w:r>
      <w:r w:rsidR="00D0198B" w:rsidRPr="007A5967">
        <w:rPr>
          <w:lang w:val="en-ZA"/>
        </w:rPr>
        <w:t xml:space="preserve"> a later date </w:t>
      </w:r>
      <w:r w:rsidR="00072BFE" w:rsidRPr="007A5967">
        <w:rPr>
          <w:lang w:val="en-ZA"/>
        </w:rPr>
        <w:t>and the applicants request</w:t>
      </w:r>
      <w:r w:rsidR="00D0198B" w:rsidRPr="007A5967">
        <w:rPr>
          <w:lang w:val="en-ZA"/>
        </w:rPr>
        <w:t>ed</w:t>
      </w:r>
      <w:r w:rsidR="00072BFE" w:rsidRPr="007A5967">
        <w:rPr>
          <w:lang w:val="en-ZA"/>
        </w:rPr>
        <w:t xml:space="preserve"> certain documents which the respondent </w:t>
      </w:r>
      <w:r w:rsidR="00696C82">
        <w:rPr>
          <w:lang w:val="en-ZA"/>
        </w:rPr>
        <w:t>furnished even though these were</w:t>
      </w:r>
      <w:r w:rsidR="00072BFE" w:rsidRPr="007A5967">
        <w:rPr>
          <w:lang w:val="en-ZA"/>
        </w:rPr>
        <w:t xml:space="preserve"> already in the </w:t>
      </w:r>
      <w:r w:rsidR="0020638A">
        <w:rPr>
          <w:lang w:val="en-ZA"/>
        </w:rPr>
        <w:t xml:space="preserve">Rule 53 </w:t>
      </w:r>
      <w:r w:rsidR="00072BFE" w:rsidRPr="007A5967">
        <w:rPr>
          <w:lang w:val="en-ZA"/>
        </w:rPr>
        <w:t>record</w:t>
      </w:r>
      <w:r w:rsidR="00462B25">
        <w:rPr>
          <w:lang w:val="en-ZA"/>
        </w:rPr>
        <w:t xml:space="preserve">.  </w:t>
      </w:r>
      <w:r w:rsidR="00920296" w:rsidRPr="007A5967">
        <w:rPr>
          <w:lang w:val="en-ZA"/>
        </w:rPr>
        <w:t xml:space="preserve">Citing further delays from the applicants, the respondents </w:t>
      </w:r>
      <w:r w:rsidR="00072BFE" w:rsidRPr="007A5967">
        <w:rPr>
          <w:lang w:val="en-ZA"/>
        </w:rPr>
        <w:t>file</w:t>
      </w:r>
      <w:r w:rsidR="00920296" w:rsidRPr="007A5967">
        <w:rPr>
          <w:lang w:val="en-ZA"/>
        </w:rPr>
        <w:t>d</w:t>
      </w:r>
      <w:r w:rsidR="00072BFE" w:rsidRPr="007A5967">
        <w:rPr>
          <w:lang w:val="en-ZA"/>
        </w:rPr>
        <w:t xml:space="preserve"> their heads of argument</w:t>
      </w:r>
      <w:r w:rsidR="00920296" w:rsidRPr="007A5967">
        <w:rPr>
          <w:lang w:val="en-ZA"/>
        </w:rPr>
        <w:t xml:space="preserve"> on 11 June 2023, </w:t>
      </w:r>
      <w:r w:rsidR="00525863">
        <w:rPr>
          <w:lang w:val="en-ZA"/>
        </w:rPr>
        <w:t xml:space="preserve">and </w:t>
      </w:r>
      <w:r w:rsidR="00072BFE" w:rsidRPr="007A5967">
        <w:rPr>
          <w:lang w:val="en-ZA"/>
        </w:rPr>
        <w:t>the applicants file</w:t>
      </w:r>
      <w:r w:rsidR="00920296" w:rsidRPr="007A5967">
        <w:rPr>
          <w:lang w:val="en-ZA"/>
        </w:rPr>
        <w:t>d</w:t>
      </w:r>
      <w:r w:rsidR="00072BFE" w:rsidRPr="007A5967">
        <w:rPr>
          <w:lang w:val="en-ZA"/>
        </w:rPr>
        <w:t xml:space="preserve"> their</w:t>
      </w:r>
      <w:r w:rsidR="00920296" w:rsidRPr="007A5967">
        <w:rPr>
          <w:lang w:val="en-ZA"/>
        </w:rPr>
        <w:t>s</w:t>
      </w:r>
      <w:r w:rsidR="00072BFE" w:rsidRPr="007A5967">
        <w:rPr>
          <w:lang w:val="en-ZA"/>
        </w:rPr>
        <w:t xml:space="preserve"> </w:t>
      </w:r>
      <w:r w:rsidR="00920296" w:rsidRPr="007A5967">
        <w:rPr>
          <w:lang w:val="en-ZA"/>
        </w:rPr>
        <w:t>on 19 June 2023</w:t>
      </w:r>
      <w:r w:rsidR="00462B25">
        <w:rPr>
          <w:lang w:val="en-ZA"/>
        </w:rPr>
        <w:t xml:space="preserve">.  </w:t>
      </w:r>
      <w:r w:rsidR="00920296" w:rsidRPr="007A5967">
        <w:rPr>
          <w:lang w:val="en-ZA"/>
        </w:rPr>
        <w:t xml:space="preserve">On 26 June 2023, the matter was then </w:t>
      </w:r>
      <w:r w:rsidR="002F4945" w:rsidRPr="007A5967">
        <w:rPr>
          <w:lang w:val="en-ZA"/>
        </w:rPr>
        <w:t>set down</w:t>
      </w:r>
      <w:r w:rsidR="00072BFE" w:rsidRPr="007A5967">
        <w:rPr>
          <w:lang w:val="en-ZA"/>
        </w:rPr>
        <w:t xml:space="preserve"> for </w:t>
      </w:r>
      <w:r w:rsidR="00920296" w:rsidRPr="007A5967">
        <w:rPr>
          <w:lang w:val="en-ZA"/>
        </w:rPr>
        <w:t xml:space="preserve">hearing on </w:t>
      </w:r>
      <w:r w:rsidR="00072BFE" w:rsidRPr="007A5967">
        <w:rPr>
          <w:lang w:val="en-ZA"/>
        </w:rPr>
        <w:t>10 October 2023</w:t>
      </w:r>
      <w:r w:rsidR="00462B25">
        <w:rPr>
          <w:lang w:val="en-ZA"/>
        </w:rPr>
        <w:t xml:space="preserve">.  </w:t>
      </w:r>
    </w:p>
    <w:p w14:paraId="69FC0DF5" w14:textId="062F35D1" w:rsidR="00462B25" w:rsidRDefault="00715A2A" w:rsidP="00715A2A">
      <w:pPr>
        <w:pStyle w:val="JudgmentNumbered"/>
        <w:numPr>
          <w:ilvl w:val="0"/>
          <w:numId w:val="0"/>
        </w:numPr>
        <w:rPr>
          <w:lang w:val="en-ZA"/>
        </w:rPr>
      </w:pPr>
      <w:r>
        <w:rPr>
          <w:lang w:val="en-ZA"/>
        </w:rPr>
        <w:t>[29]</w:t>
      </w:r>
      <w:r>
        <w:rPr>
          <w:lang w:val="en-ZA"/>
        </w:rPr>
        <w:tab/>
      </w:r>
      <w:r w:rsidR="00273963" w:rsidRPr="007A5967">
        <w:rPr>
          <w:lang w:val="en-ZA"/>
        </w:rPr>
        <w:t>I have already mentioned that th</w:t>
      </w:r>
      <w:r w:rsidR="002F4945">
        <w:rPr>
          <w:lang w:val="en-ZA"/>
        </w:rPr>
        <w:t>e</w:t>
      </w:r>
      <w:r w:rsidR="00273963" w:rsidRPr="007A5967">
        <w:rPr>
          <w:lang w:val="en-ZA"/>
        </w:rPr>
        <w:t xml:space="preserve"> point regarding the delay in the prosecution of this matter was only raised by the respondents in their written argument</w:t>
      </w:r>
      <w:r w:rsidR="00462B25">
        <w:rPr>
          <w:lang w:val="en-ZA"/>
        </w:rPr>
        <w:t xml:space="preserve">.  </w:t>
      </w:r>
      <w:r w:rsidR="00273963" w:rsidRPr="007A5967">
        <w:rPr>
          <w:lang w:val="en-ZA"/>
        </w:rPr>
        <w:t>The applicants were therefore aware of this point when they subsequently filed their own written argument</w:t>
      </w:r>
      <w:r w:rsidR="00462B25">
        <w:rPr>
          <w:lang w:val="en-ZA"/>
        </w:rPr>
        <w:t xml:space="preserve">.  </w:t>
      </w:r>
      <w:r w:rsidR="00273963" w:rsidRPr="007A5967">
        <w:rPr>
          <w:lang w:val="en-ZA"/>
        </w:rPr>
        <w:t>The applicants did not deal in any way with th</w:t>
      </w:r>
      <w:r w:rsidR="00DD7BBC">
        <w:rPr>
          <w:lang w:val="en-ZA"/>
        </w:rPr>
        <w:t>is</w:t>
      </w:r>
      <w:r w:rsidR="00273963" w:rsidRPr="007A5967">
        <w:rPr>
          <w:lang w:val="en-ZA"/>
        </w:rPr>
        <w:t xml:space="preserve"> point</w:t>
      </w:r>
      <w:r w:rsidR="006700CD">
        <w:rPr>
          <w:lang w:val="en-ZA"/>
        </w:rPr>
        <w:t xml:space="preserve"> in their written argument</w:t>
      </w:r>
      <w:r w:rsidR="00462B25">
        <w:rPr>
          <w:lang w:val="en-ZA"/>
        </w:rPr>
        <w:t xml:space="preserve">.  </w:t>
      </w:r>
      <w:r w:rsidR="00273963" w:rsidRPr="007A5967">
        <w:rPr>
          <w:lang w:val="en-ZA"/>
        </w:rPr>
        <w:t>It would be futile of course to look for any indication of what their attitude is to the point in the founding affidavit as this was filed years before this point was raised by the respondents</w:t>
      </w:r>
      <w:r w:rsidR="00462B25">
        <w:rPr>
          <w:lang w:val="en-ZA"/>
        </w:rPr>
        <w:t xml:space="preserve">.  </w:t>
      </w:r>
      <w:r w:rsidR="00273963" w:rsidRPr="007A5967">
        <w:rPr>
          <w:lang w:val="en-ZA"/>
        </w:rPr>
        <w:t xml:space="preserve">It was only during oral argument that the applicants counsel sought to respond to that </w:t>
      </w:r>
      <w:r w:rsidR="00980972">
        <w:rPr>
          <w:lang w:val="en-ZA"/>
        </w:rPr>
        <w:t>point</w:t>
      </w:r>
      <w:r w:rsidR="00462B25">
        <w:rPr>
          <w:lang w:val="en-ZA"/>
        </w:rPr>
        <w:t xml:space="preserve">.  </w:t>
      </w:r>
      <w:r w:rsidR="00273963" w:rsidRPr="007A5967">
        <w:rPr>
          <w:lang w:val="en-ZA"/>
        </w:rPr>
        <w:t>The applicants</w:t>
      </w:r>
      <w:r w:rsidR="009F589E">
        <w:rPr>
          <w:lang w:val="en-ZA"/>
        </w:rPr>
        <w:t>’</w:t>
      </w:r>
      <w:r w:rsidR="00273963" w:rsidRPr="007A5967">
        <w:rPr>
          <w:lang w:val="en-ZA"/>
        </w:rPr>
        <w:t xml:space="preserve"> counsel initially argued that the explanation for the delay in the prosecution of this matter was to be found in their founding affidavit</w:t>
      </w:r>
      <w:r w:rsidR="00462B25">
        <w:rPr>
          <w:lang w:val="en-ZA"/>
        </w:rPr>
        <w:t xml:space="preserve">.  </w:t>
      </w:r>
      <w:r w:rsidR="00273963" w:rsidRPr="007A5967">
        <w:rPr>
          <w:lang w:val="en-ZA"/>
        </w:rPr>
        <w:t xml:space="preserve">This was however abandoned as </w:t>
      </w:r>
      <w:r w:rsidR="008209B9">
        <w:rPr>
          <w:lang w:val="en-ZA"/>
        </w:rPr>
        <w:t xml:space="preserve">this </w:t>
      </w:r>
      <w:r w:rsidR="00273963" w:rsidRPr="007A5967">
        <w:rPr>
          <w:lang w:val="en-ZA"/>
        </w:rPr>
        <w:t xml:space="preserve">was </w:t>
      </w:r>
      <w:r w:rsidR="00B7185B">
        <w:rPr>
          <w:lang w:val="en-ZA"/>
        </w:rPr>
        <w:t xml:space="preserve">not </w:t>
      </w:r>
      <w:r w:rsidR="00273963" w:rsidRPr="007A5967">
        <w:rPr>
          <w:lang w:val="en-ZA"/>
        </w:rPr>
        <w:t>dealt with in the founding affidavit</w:t>
      </w:r>
      <w:r w:rsidR="00462B25">
        <w:rPr>
          <w:lang w:val="en-ZA"/>
        </w:rPr>
        <w:t xml:space="preserve">.  </w:t>
      </w:r>
    </w:p>
    <w:p w14:paraId="7CC5A959" w14:textId="39D0468C" w:rsidR="00273963" w:rsidRPr="007A5967" w:rsidRDefault="00715A2A" w:rsidP="00715A2A">
      <w:pPr>
        <w:pStyle w:val="JudgmentNumbered"/>
        <w:numPr>
          <w:ilvl w:val="0"/>
          <w:numId w:val="0"/>
        </w:numPr>
        <w:rPr>
          <w:lang w:val="en-ZA"/>
        </w:rPr>
      </w:pPr>
      <w:r w:rsidRPr="007A5967">
        <w:rPr>
          <w:lang w:val="en-ZA"/>
        </w:rPr>
        <w:t>[30]</w:t>
      </w:r>
      <w:r w:rsidRPr="007A5967">
        <w:rPr>
          <w:lang w:val="en-ZA"/>
        </w:rPr>
        <w:tab/>
      </w:r>
      <w:r w:rsidR="00273963" w:rsidRPr="007A5967">
        <w:rPr>
          <w:lang w:val="en-ZA"/>
        </w:rPr>
        <w:t>The applicants</w:t>
      </w:r>
      <w:r w:rsidR="001D32BC">
        <w:rPr>
          <w:lang w:val="en-ZA"/>
        </w:rPr>
        <w:t>’</w:t>
      </w:r>
      <w:r w:rsidR="00273963" w:rsidRPr="007A5967">
        <w:rPr>
          <w:lang w:val="en-ZA"/>
        </w:rPr>
        <w:t xml:space="preserve"> counsel then argued that there was no undue delay as the applicants initiated these proceedings not long after they were granted this indulgence by the </w:t>
      </w:r>
      <w:r w:rsidR="008538D9">
        <w:rPr>
          <w:lang w:val="en-ZA"/>
        </w:rPr>
        <w:t>Mahikeng</w:t>
      </w:r>
      <w:r w:rsidR="000C0BB9">
        <w:rPr>
          <w:lang w:val="en-ZA"/>
        </w:rPr>
        <w:t xml:space="preserve"> </w:t>
      </w:r>
      <w:r w:rsidR="008C5F83">
        <w:rPr>
          <w:lang w:val="en-ZA"/>
        </w:rPr>
        <w:t>High Court</w:t>
      </w:r>
      <w:r w:rsidR="00273963" w:rsidRPr="007A5967">
        <w:rPr>
          <w:lang w:val="en-ZA"/>
        </w:rPr>
        <w:t xml:space="preserve">. </w:t>
      </w:r>
      <w:r w:rsidR="00462B25">
        <w:rPr>
          <w:lang w:val="en-ZA"/>
        </w:rPr>
        <w:t xml:space="preserve"> </w:t>
      </w:r>
      <w:r w:rsidR="00273963" w:rsidRPr="007A5967">
        <w:rPr>
          <w:lang w:val="en-ZA"/>
        </w:rPr>
        <w:t xml:space="preserve">Counsel for the </w:t>
      </w:r>
      <w:r w:rsidR="00604F55">
        <w:rPr>
          <w:lang w:val="en-ZA"/>
        </w:rPr>
        <w:t>a</w:t>
      </w:r>
      <w:r w:rsidR="00604F55" w:rsidRPr="007A5967">
        <w:rPr>
          <w:lang w:val="en-ZA"/>
        </w:rPr>
        <w:t xml:space="preserve">pplicants </w:t>
      </w:r>
      <w:r w:rsidR="00273963" w:rsidRPr="007A5967">
        <w:rPr>
          <w:lang w:val="en-ZA"/>
        </w:rPr>
        <w:t>advanced the argument that what was before this court was dilatoriness in prosecuting the matter and at worst an abuse of process which is not the same as an undue delay.</w:t>
      </w:r>
      <w:r w:rsidR="000971B8">
        <w:rPr>
          <w:lang w:val="en-ZA"/>
        </w:rPr>
        <w:t xml:space="preserve"> </w:t>
      </w:r>
      <w:r w:rsidR="00462B25">
        <w:rPr>
          <w:lang w:val="en-ZA"/>
        </w:rPr>
        <w:t xml:space="preserve"> </w:t>
      </w:r>
    </w:p>
    <w:p w14:paraId="45FEA9C7" w14:textId="38A1FF6A" w:rsidR="00273963" w:rsidRPr="007A5967" w:rsidRDefault="00715A2A" w:rsidP="00715A2A">
      <w:pPr>
        <w:pStyle w:val="JudgmentNumbered"/>
        <w:numPr>
          <w:ilvl w:val="0"/>
          <w:numId w:val="0"/>
        </w:numPr>
        <w:rPr>
          <w:lang w:val="en-ZA"/>
        </w:rPr>
      </w:pPr>
      <w:r w:rsidRPr="007A5967">
        <w:rPr>
          <w:lang w:val="en-ZA"/>
        </w:rPr>
        <w:lastRenderedPageBreak/>
        <w:t>[31]</w:t>
      </w:r>
      <w:r w:rsidRPr="007A5967">
        <w:rPr>
          <w:lang w:val="en-ZA"/>
        </w:rPr>
        <w:tab/>
      </w:r>
      <w:r w:rsidR="00273963" w:rsidRPr="007A5967">
        <w:rPr>
          <w:lang w:val="en-ZA"/>
        </w:rPr>
        <w:t>He contrasted this to reviews under the Promotion of Administrative Justice Act</w:t>
      </w:r>
      <w:r w:rsidR="00273963" w:rsidRPr="007A5967">
        <w:rPr>
          <w:vertAlign w:val="superscript"/>
          <w:lang w:val="en-ZA"/>
        </w:rPr>
        <w:footnoteReference w:id="11"/>
      </w:r>
      <w:r w:rsidR="00273963" w:rsidRPr="007A5967">
        <w:rPr>
          <w:lang w:val="en-ZA"/>
        </w:rPr>
        <w:t xml:space="preserve"> and those under the principle of legality. </w:t>
      </w:r>
      <w:r w:rsidR="00462B25">
        <w:rPr>
          <w:lang w:val="en-ZA"/>
        </w:rPr>
        <w:t xml:space="preserve"> </w:t>
      </w:r>
      <w:r w:rsidR="00273963" w:rsidRPr="007A5967">
        <w:rPr>
          <w:lang w:val="en-ZA"/>
        </w:rPr>
        <w:t>He argued that, under PAJA, once an applicant becomes aware of the reasons for a decision or he or she</w:t>
      </w:r>
      <w:r w:rsidR="000C0BB9">
        <w:rPr>
          <w:lang w:val="en-ZA"/>
        </w:rPr>
        <w:t xml:space="preserve"> </w:t>
      </w:r>
      <w:r w:rsidR="00273963" w:rsidRPr="007A5967">
        <w:rPr>
          <w:lang w:val="en-ZA"/>
        </w:rPr>
        <w:t>is reasonably expected to have been aware of</w:t>
      </w:r>
      <w:r w:rsidR="008D3AD3">
        <w:rPr>
          <w:lang w:val="en-ZA"/>
        </w:rPr>
        <w:t xml:space="preserve"> them</w:t>
      </w:r>
      <w:r w:rsidR="00273963" w:rsidRPr="007A5967">
        <w:rPr>
          <w:lang w:val="en-ZA"/>
        </w:rPr>
        <w:t xml:space="preserve">, he or </w:t>
      </w:r>
      <w:r w:rsidR="00E0247D" w:rsidRPr="007A5967">
        <w:rPr>
          <w:lang w:val="en-ZA"/>
        </w:rPr>
        <w:t>s</w:t>
      </w:r>
      <w:r w:rsidR="00273963" w:rsidRPr="007A5967">
        <w:rPr>
          <w:lang w:val="en-ZA"/>
        </w:rPr>
        <w:t>he has 180 days in which to institute their review.</w:t>
      </w:r>
      <w:r w:rsidR="009D6B35" w:rsidRPr="007A5967">
        <w:rPr>
          <w:rStyle w:val="FootnoteReference"/>
          <w:lang w:val="en-ZA"/>
        </w:rPr>
        <w:footnoteReference w:id="12"/>
      </w:r>
      <w:r w:rsidR="00273963" w:rsidRPr="007A5967">
        <w:rPr>
          <w:lang w:val="en-ZA"/>
        </w:rPr>
        <w:t xml:space="preserve"> Under the principle of legality, such a review should be instituted within a reasonable time.</w:t>
      </w:r>
      <w:r w:rsidR="009D6B35" w:rsidRPr="007A5967">
        <w:rPr>
          <w:rStyle w:val="FootnoteReference"/>
          <w:lang w:val="en-ZA"/>
        </w:rPr>
        <w:footnoteReference w:id="13"/>
      </w:r>
      <w:r w:rsidR="00273963" w:rsidRPr="007A5967">
        <w:rPr>
          <w:lang w:val="en-ZA"/>
        </w:rPr>
        <w:t xml:space="preserve"> In this instance, he argued that the </w:t>
      </w:r>
      <w:r w:rsidR="008D3AD3">
        <w:rPr>
          <w:lang w:val="en-ZA"/>
        </w:rPr>
        <w:t>a</w:t>
      </w:r>
      <w:r w:rsidR="008D3AD3" w:rsidRPr="007A5967">
        <w:rPr>
          <w:lang w:val="en-ZA"/>
        </w:rPr>
        <w:t xml:space="preserve">pplicants </w:t>
      </w:r>
      <w:r w:rsidR="00273963" w:rsidRPr="007A5967">
        <w:rPr>
          <w:lang w:val="en-ZA"/>
        </w:rPr>
        <w:t>did institute the review within a reasonable time</w:t>
      </w:r>
      <w:r w:rsidR="00273963" w:rsidRPr="007A5967">
        <w:rPr>
          <w:vertAlign w:val="superscript"/>
          <w:lang w:val="en-ZA"/>
        </w:rPr>
        <w:footnoteReference w:id="14"/>
      </w:r>
      <w:r w:rsidR="00273963" w:rsidRPr="007A5967">
        <w:rPr>
          <w:lang w:val="en-ZA"/>
        </w:rPr>
        <w:t xml:space="preserve"> </w:t>
      </w:r>
      <w:r w:rsidR="00EB544A">
        <w:rPr>
          <w:lang w:val="en-ZA"/>
        </w:rPr>
        <w:t xml:space="preserve">and </w:t>
      </w:r>
      <w:r w:rsidR="00AF4C72">
        <w:rPr>
          <w:lang w:val="en-ZA"/>
        </w:rPr>
        <w:t>in his view,</w:t>
      </w:r>
      <w:r w:rsidR="00273963" w:rsidRPr="007A5967">
        <w:rPr>
          <w:lang w:val="en-ZA"/>
        </w:rPr>
        <w:t xml:space="preserve"> the principles relating to undue delay do not apply. </w:t>
      </w:r>
      <w:r w:rsidR="00462B25">
        <w:rPr>
          <w:lang w:val="en-ZA"/>
        </w:rPr>
        <w:t xml:space="preserve"> </w:t>
      </w:r>
      <w:r w:rsidR="00273963" w:rsidRPr="007A5967">
        <w:rPr>
          <w:lang w:val="en-ZA"/>
        </w:rPr>
        <w:t xml:space="preserve">He argued that as no undue delay is at issue, the only aspect that the court need to concern itself with is whether the applicants are guilty of being dilatory in prosecuting this matter </w:t>
      </w:r>
      <w:r w:rsidR="009E592E" w:rsidRPr="007A5967">
        <w:rPr>
          <w:lang w:val="en-ZA"/>
        </w:rPr>
        <w:t>and</w:t>
      </w:r>
      <w:r w:rsidR="00273963" w:rsidRPr="007A5967">
        <w:rPr>
          <w:lang w:val="en-ZA"/>
        </w:rPr>
        <w:t xml:space="preserve"> whether there's any case made out that there was any abuse of process on their part. </w:t>
      </w:r>
      <w:r w:rsidR="00462B25">
        <w:rPr>
          <w:lang w:val="en-ZA"/>
        </w:rPr>
        <w:t xml:space="preserve"> </w:t>
      </w:r>
      <w:r w:rsidR="00273963" w:rsidRPr="007A5967">
        <w:rPr>
          <w:lang w:val="en-ZA"/>
        </w:rPr>
        <w:t>He argued that no such case had been made out and that the respondents point based on undue delay should be dismissed.</w:t>
      </w:r>
      <w:r w:rsidR="00FE1662">
        <w:rPr>
          <w:lang w:val="en-ZA"/>
        </w:rPr>
        <w:t xml:space="preserve"> </w:t>
      </w:r>
      <w:r w:rsidR="00462B25">
        <w:rPr>
          <w:lang w:val="en-ZA"/>
        </w:rPr>
        <w:t xml:space="preserve"> </w:t>
      </w:r>
    </w:p>
    <w:p w14:paraId="205C7AB4" w14:textId="4200ED72" w:rsidR="00462B25" w:rsidRDefault="00715A2A" w:rsidP="00715A2A">
      <w:pPr>
        <w:pStyle w:val="JudgmentNumbered"/>
        <w:numPr>
          <w:ilvl w:val="0"/>
          <w:numId w:val="0"/>
        </w:numPr>
        <w:rPr>
          <w:lang w:val="en-ZA"/>
        </w:rPr>
      </w:pPr>
      <w:r>
        <w:rPr>
          <w:lang w:val="en-ZA"/>
        </w:rPr>
        <w:t>[32]</w:t>
      </w:r>
      <w:r>
        <w:rPr>
          <w:lang w:val="en-ZA"/>
        </w:rPr>
        <w:tab/>
      </w:r>
      <w:r w:rsidR="00273963" w:rsidRPr="007A5967">
        <w:rPr>
          <w:lang w:val="en-ZA"/>
        </w:rPr>
        <w:t xml:space="preserve">The </w:t>
      </w:r>
      <w:r w:rsidR="00102763">
        <w:rPr>
          <w:lang w:val="en-ZA"/>
        </w:rPr>
        <w:t>r</w:t>
      </w:r>
      <w:r w:rsidR="00102763" w:rsidRPr="007A5967">
        <w:rPr>
          <w:lang w:val="en-ZA"/>
        </w:rPr>
        <w:t>espondents</w:t>
      </w:r>
      <w:r w:rsidR="00400B0D">
        <w:rPr>
          <w:lang w:val="en-ZA"/>
        </w:rPr>
        <w:t>’</w:t>
      </w:r>
      <w:r w:rsidR="00102763" w:rsidRPr="007A5967">
        <w:rPr>
          <w:lang w:val="en-ZA"/>
        </w:rPr>
        <w:t xml:space="preserve"> </w:t>
      </w:r>
      <w:r w:rsidR="00273963" w:rsidRPr="007A5967">
        <w:rPr>
          <w:lang w:val="en-ZA"/>
        </w:rPr>
        <w:t>counsel countered by arguing that the proposition advanced by the applicants’ counsel amounted to “different sides of the same coin” and that at the very least, there should have been a condonation application</w:t>
      </w:r>
      <w:r w:rsidR="00462B25">
        <w:rPr>
          <w:lang w:val="en-ZA"/>
        </w:rPr>
        <w:t xml:space="preserve">.  </w:t>
      </w:r>
      <w:r w:rsidR="00273963" w:rsidRPr="007A5967">
        <w:rPr>
          <w:lang w:val="en-ZA"/>
        </w:rPr>
        <w:t xml:space="preserve">As this was not present, he </w:t>
      </w:r>
      <w:r w:rsidR="00D02D43">
        <w:rPr>
          <w:lang w:val="en-ZA"/>
        </w:rPr>
        <w:t>persisted that the applicants</w:t>
      </w:r>
      <w:r w:rsidR="001D32BC">
        <w:rPr>
          <w:lang w:val="en-ZA"/>
        </w:rPr>
        <w:t>’</w:t>
      </w:r>
      <w:r w:rsidR="00D02D43">
        <w:rPr>
          <w:lang w:val="en-ZA"/>
        </w:rPr>
        <w:t xml:space="preserve"> conduct </w:t>
      </w:r>
      <w:r w:rsidR="001A0A77">
        <w:rPr>
          <w:lang w:val="en-ZA"/>
        </w:rPr>
        <w:t xml:space="preserve">cried out for a definitive view </w:t>
      </w:r>
      <w:r w:rsidR="002D2F7B">
        <w:rPr>
          <w:lang w:val="en-ZA"/>
        </w:rPr>
        <w:t xml:space="preserve">by </w:t>
      </w:r>
      <w:r w:rsidR="00273963" w:rsidRPr="007A5967">
        <w:rPr>
          <w:lang w:val="en-ZA"/>
        </w:rPr>
        <w:t xml:space="preserve">this court </w:t>
      </w:r>
      <w:r w:rsidR="00EA3379">
        <w:rPr>
          <w:lang w:val="en-ZA"/>
        </w:rPr>
        <w:t xml:space="preserve">frowning on such </w:t>
      </w:r>
      <w:r w:rsidR="00BD1C73">
        <w:rPr>
          <w:lang w:val="en-ZA"/>
        </w:rPr>
        <w:t>conduct</w:t>
      </w:r>
      <w:r w:rsidR="00EA3379">
        <w:rPr>
          <w:lang w:val="en-ZA"/>
        </w:rPr>
        <w:t xml:space="preserve"> and </w:t>
      </w:r>
      <w:r w:rsidR="00273963" w:rsidRPr="007A5967">
        <w:rPr>
          <w:lang w:val="en-ZA"/>
        </w:rPr>
        <w:t>to dismiss the application on that basis</w:t>
      </w:r>
      <w:r w:rsidR="00462B25">
        <w:rPr>
          <w:lang w:val="en-ZA"/>
        </w:rPr>
        <w:t xml:space="preserve">.  </w:t>
      </w:r>
    </w:p>
    <w:p w14:paraId="5C56A818" w14:textId="354482D8" w:rsidR="00273963" w:rsidRPr="007A5967" w:rsidRDefault="00273963" w:rsidP="00273963">
      <w:pPr>
        <w:pStyle w:val="JudgmentHeading"/>
      </w:pPr>
      <w:r w:rsidRPr="007A5967">
        <w:t>Discussion</w:t>
      </w:r>
    </w:p>
    <w:p w14:paraId="037B8101" w14:textId="3C4519F0" w:rsidR="00273963" w:rsidRPr="007A5967" w:rsidRDefault="00715A2A" w:rsidP="00715A2A">
      <w:pPr>
        <w:pStyle w:val="JudgmentNumbered"/>
        <w:numPr>
          <w:ilvl w:val="0"/>
          <w:numId w:val="0"/>
        </w:numPr>
        <w:rPr>
          <w:lang w:val="en-ZA"/>
        </w:rPr>
      </w:pPr>
      <w:r w:rsidRPr="007A5967">
        <w:rPr>
          <w:lang w:val="en-ZA"/>
        </w:rPr>
        <w:t>[33]</w:t>
      </w:r>
      <w:r w:rsidRPr="007A5967">
        <w:rPr>
          <w:lang w:val="en-ZA"/>
        </w:rPr>
        <w:tab/>
      </w:r>
      <w:r w:rsidR="00273963" w:rsidRPr="007A5967">
        <w:rPr>
          <w:lang w:val="en-ZA"/>
        </w:rPr>
        <w:t xml:space="preserve">Unquestionably, the point raised by the respondents has nothing to do with delaying the institution of legal proceedings. </w:t>
      </w:r>
      <w:r w:rsidR="00462B25">
        <w:rPr>
          <w:lang w:val="en-ZA"/>
        </w:rPr>
        <w:t xml:space="preserve"> </w:t>
      </w:r>
      <w:r w:rsidR="00273963" w:rsidRPr="007A5967">
        <w:rPr>
          <w:lang w:val="en-ZA"/>
        </w:rPr>
        <w:t xml:space="preserve">It has much to do with delay in the prosecution of the application after its institution. </w:t>
      </w:r>
      <w:r w:rsidR="00462B25">
        <w:rPr>
          <w:lang w:val="en-ZA"/>
        </w:rPr>
        <w:t xml:space="preserve"> </w:t>
      </w:r>
      <w:r w:rsidR="00273963" w:rsidRPr="007A5967">
        <w:rPr>
          <w:lang w:val="en-ZA"/>
        </w:rPr>
        <w:t xml:space="preserve">The </w:t>
      </w:r>
      <w:r w:rsidR="002D5192">
        <w:rPr>
          <w:lang w:val="en-ZA"/>
        </w:rPr>
        <w:t>SCA</w:t>
      </w:r>
      <w:r w:rsidR="00273963" w:rsidRPr="007A5967">
        <w:rPr>
          <w:lang w:val="en-ZA"/>
        </w:rPr>
        <w:t xml:space="preserve"> has considered this proposition and found that such conduct is an abuse of the </w:t>
      </w:r>
      <w:r w:rsidR="00233B8A">
        <w:rPr>
          <w:lang w:val="en-ZA"/>
        </w:rPr>
        <w:t>C</w:t>
      </w:r>
      <w:r w:rsidR="00273963" w:rsidRPr="007A5967">
        <w:rPr>
          <w:lang w:val="en-ZA"/>
        </w:rPr>
        <w:t>ourts</w:t>
      </w:r>
      <w:r w:rsidR="001D32BC">
        <w:rPr>
          <w:lang w:val="en-ZA"/>
        </w:rPr>
        <w:t>’</w:t>
      </w:r>
      <w:r w:rsidR="00273963" w:rsidRPr="007A5967">
        <w:rPr>
          <w:lang w:val="en-ZA"/>
        </w:rPr>
        <w:t xml:space="preserve"> process that the Constitution in section 173 gives </w:t>
      </w:r>
      <w:r w:rsidR="00233B8A">
        <w:rPr>
          <w:lang w:val="en-ZA"/>
        </w:rPr>
        <w:t xml:space="preserve">Courts the </w:t>
      </w:r>
      <w:r w:rsidR="00273963" w:rsidRPr="007A5967">
        <w:rPr>
          <w:lang w:val="en-ZA"/>
        </w:rPr>
        <w:t>power to regulate</w:t>
      </w:r>
      <w:r w:rsidR="00233B8A">
        <w:rPr>
          <w:lang w:val="en-ZA"/>
        </w:rPr>
        <w:t xml:space="preserve"> their processes</w:t>
      </w:r>
      <w:r w:rsidR="00273963" w:rsidRPr="007A5967">
        <w:rPr>
          <w:lang w:val="en-ZA"/>
        </w:rPr>
        <w:t xml:space="preserve"> in a way that does not infringe section 34 of the Constitution.</w:t>
      </w:r>
      <w:r w:rsidR="000C0BB9">
        <w:rPr>
          <w:lang w:val="en-ZA"/>
        </w:rPr>
        <w:t xml:space="preserve"> </w:t>
      </w:r>
      <w:r w:rsidR="00462B25">
        <w:rPr>
          <w:lang w:val="en-ZA"/>
        </w:rPr>
        <w:t xml:space="preserve"> </w:t>
      </w:r>
      <w:r w:rsidR="00273963" w:rsidRPr="007A5967">
        <w:rPr>
          <w:lang w:val="en-ZA"/>
        </w:rPr>
        <w:t>It said:</w:t>
      </w:r>
      <w:r w:rsidR="00462B25">
        <w:rPr>
          <w:lang w:val="en-ZA"/>
        </w:rPr>
        <w:t xml:space="preserve">  </w:t>
      </w:r>
    </w:p>
    <w:p w14:paraId="3410C680" w14:textId="58083AD5" w:rsidR="00273963" w:rsidRPr="007A5967" w:rsidRDefault="00273963" w:rsidP="0026045D">
      <w:pPr>
        <w:pStyle w:val="Quotes"/>
      </w:pPr>
      <w:r w:rsidRPr="007A5967">
        <w:t xml:space="preserve"> “The high court has the inherent power, both at common law and in terms of the Constitution (s 173), to regulate its own process. </w:t>
      </w:r>
      <w:r w:rsidR="00462B25">
        <w:t xml:space="preserve"> </w:t>
      </w:r>
      <w:r w:rsidRPr="007A5967">
        <w:t xml:space="preserve">This includes the right to prevent an abuse of its process in the form of frivolous or vexatious litigation. </w:t>
      </w:r>
      <w:r w:rsidR="00462B25">
        <w:t xml:space="preserve"> </w:t>
      </w:r>
      <w:r w:rsidRPr="007A5967">
        <w:t xml:space="preserve">Section 34 of the Constitution provides that everyone has the right </w:t>
      </w:r>
      <w:r w:rsidRPr="007A5967">
        <w:lastRenderedPageBreak/>
        <w:t>to have a dispute that can be resolved by the application of law decided by a court or tribunal in a fair public hearing, but a limitation of the protected right is permissible provided that such limitation is reasonable and justifiable.”</w:t>
      </w:r>
      <w:r w:rsidR="001A2B71" w:rsidRPr="007A5967">
        <w:rPr>
          <w:rStyle w:val="FootnoteReference"/>
        </w:rPr>
        <w:footnoteReference w:id="15"/>
      </w:r>
    </w:p>
    <w:p w14:paraId="0D6BC638" w14:textId="77777777" w:rsidR="00273963" w:rsidRPr="007A5967" w:rsidRDefault="00273963" w:rsidP="00273963">
      <w:pPr>
        <w:pStyle w:val="Judgmentbetweenparagraphs"/>
      </w:pPr>
    </w:p>
    <w:p w14:paraId="029BECC1" w14:textId="5D37AF18" w:rsidR="00273963" w:rsidRPr="007A5967" w:rsidRDefault="00715A2A" w:rsidP="00715A2A">
      <w:pPr>
        <w:pStyle w:val="JudgmentNumbered"/>
        <w:numPr>
          <w:ilvl w:val="0"/>
          <w:numId w:val="0"/>
        </w:numPr>
        <w:rPr>
          <w:lang w:val="en-ZA"/>
        </w:rPr>
      </w:pPr>
      <w:r w:rsidRPr="007A5967">
        <w:rPr>
          <w:lang w:val="en-ZA"/>
        </w:rPr>
        <w:t>[34]</w:t>
      </w:r>
      <w:r w:rsidRPr="007A5967">
        <w:rPr>
          <w:lang w:val="en-ZA"/>
        </w:rPr>
        <w:tab/>
      </w:r>
      <w:r w:rsidR="00273963" w:rsidRPr="007A5967">
        <w:rPr>
          <w:lang w:val="en-ZA"/>
        </w:rPr>
        <w:t xml:space="preserve">The Court then went on to consider the type of discretion available to a Court in whether to allow a matter with an inordinate delay to proceed, or to be dismissed. </w:t>
      </w:r>
      <w:r w:rsidR="00462B25">
        <w:rPr>
          <w:lang w:val="en-ZA"/>
        </w:rPr>
        <w:t xml:space="preserve"> </w:t>
      </w:r>
      <w:r w:rsidR="00273963" w:rsidRPr="007A5967">
        <w:rPr>
          <w:lang w:val="en-ZA"/>
        </w:rPr>
        <w:t>It said:</w:t>
      </w:r>
      <w:r w:rsidR="00462B25">
        <w:rPr>
          <w:lang w:val="en-ZA"/>
        </w:rPr>
        <w:t xml:space="preserve">  </w:t>
      </w:r>
    </w:p>
    <w:p w14:paraId="32D649D5" w14:textId="460D6135" w:rsidR="00273963" w:rsidRPr="007A5967" w:rsidRDefault="00273963" w:rsidP="0026045D">
      <w:pPr>
        <w:pStyle w:val="Quotes"/>
      </w:pPr>
      <w:r w:rsidRPr="007A5967">
        <w:t xml:space="preserve"> “An inordinate or unreasonable delay in prosecuting an action may constitute an abuse of process and warrant the dismissal of an action. </w:t>
      </w:r>
      <w:r w:rsidR="00462B25">
        <w:t xml:space="preserve"> </w:t>
      </w:r>
      <w:r w:rsidRPr="007A5967">
        <w:t xml:space="preserve">There are no hard and fast rules as to the manner in which the discretion to dismiss an action for want of prosecution is to be exercised. </w:t>
      </w:r>
      <w:r w:rsidR="00462B25">
        <w:t xml:space="preserve"> </w:t>
      </w:r>
      <w:r w:rsidRPr="007A5967">
        <w:t xml:space="preserve">But the following requirements have been recognised. </w:t>
      </w:r>
      <w:r w:rsidR="00462B25">
        <w:t xml:space="preserve"> </w:t>
      </w:r>
      <w:r w:rsidRPr="007A5967">
        <w:t xml:space="preserve">First, there should be a delay in the prosecution of the action; second, the delay must be inexcusable and, third, the defendant must be seriously prejudiced thereby. </w:t>
      </w:r>
      <w:r w:rsidR="00462B25">
        <w:t xml:space="preserve"> </w:t>
      </w:r>
      <w:r w:rsidRPr="007A5967">
        <w:t xml:space="preserve">Ultimately the enquiry will involve a close and careful examination of all the relevant circumstances, including, the period of the delay, the reasons therefore and the prejudice, if any, caused to the defendant. </w:t>
      </w:r>
      <w:r w:rsidR="00462B25">
        <w:t xml:space="preserve"> </w:t>
      </w:r>
      <w:r w:rsidRPr="007A5967">
        <w:t xml:space="preserve">There may be instances in which the delay is relatively slight but serious prejudice is caused to the defendant, and in other cases the delay may be inordinate but prejudice to the defendant is slight. </w:t>
      </w:r>
      <w:r w:rsidR="00462B25">
        <w:t xml:space="preserve"> </w:t>
      </w:r>
      <w:r w:rsidRPr="007A5967">
        <w:t>The court should also have regard to the reasons, if any, for the defendant’s inactivity and failure to avail itself of remedies which it might reasonably have been expected to do in order to bring the action expeditiously to trial.”</w:t>
      </w:r>
      <w:r w:rsidR="008A34F7">
        <w:rPr>
          <w:rStyle w:val="FootnoteReference"/>
        </w:rPr>
        <w:footnoteReference w:id="16"/>
      </w:r>
      <w:r w:rsidR="00AB0DF1">
        <w:t xml:space="preserve"> (Citations omitted.)</w:t>
      </w:r>
    </w:p>
    <w:p w14:paraId="2597C46C" w14:textId="77777777" w:rsidR="00273963" w:rsidRPr="007A5967" w:rsidRDefault="00273963" w:rsidP="00273963">
      <w:pPr>
        <w:pStyle w:val="Judgmentbetweenparagraphs"/>
      </w:pPr>
    </w:p>
    <w:p w14:paraId="61DB402E" w14:textId="23A3C7E0" w:rsidR="00273963" w:rsidRPr="007A5967" w:rsidRDefault="00715A2A" w:rsidP="00715A2A">
      <w:pPr>
        <w:pStyle w:val="JudgmentNumbered"/>
        <w:numPr>
          <w:ilvl w:val="0"/>
          <w:numId w:val="0"/>
        </w:numPr>
        <w:rPr>
          <w:lang w:val="en-ZA"/>
        </w:rPr>
      </w:pPr>
      <w:r w:rsidRPr="007A5967">
        <w:rPr>
          <w:lang w:val="en-ZA"/>
        </w:rPr>
        <w:t>[35]</w:t>
      </w:r>
      <w:r w:rsidRPr="007A5967">
        <w:rPr>
          <w:lang w:val="en-ZA"/>
        </w:rPr>
        <w:tab/>
      </w:r>
      <w:r w:rsidR="00273963" w:rsidRPr="007A5967">
        <w:rPr>
          <w:lang w:val="en-ZA"/>
        </w:rPr>
        <w:t xml:space="preserve">In considering whether a dismissal of the application would violate the section 34 rights of a party, this Court in </w:t>
      </w:r>
      <w:r w:rsidR="00273963" w:rsidRPr="007A5967">
        <w:rPr>
          <w:i/>
          <w:iCs/>
          <w:lang w:val="en-ZA"/>
        </w:rPr>
        <w:t>Naude v Breda N.O and Others</w:t>
      </w:r>
      <w:r w:rsidR="00273963" w:rsidRPr="007A5967">
        <w:rPr>
          <w:lang w:val="en-ZA"/>
        </w:rPr>
        <w:t>,</w:t>
      </w:r>
      <w:r w:rsidR="00C274C5">
        <w:rPr>
          <w:rStyle w:val="FootnoteReference"/>
          <w:lang w:val="en-ZA"/>
        </w:rPr>
        <w:footnoteReference w:id="17"/>
      </w:r>
      <w:r w:rsidR="000C0BB9">
        <w:rPr>
          <w:lang w:val="en-ZA"/>
        </w:rPr>
        <w:t xml:space="preserve"> </w:t>
      </w:r>
      <w:r w:rsidR="00273963" w:rsidRPr="007A5967">
        <w:rPr>
          <w:lang w:val="en-ZA"/>
        </w:rPr>
        <w:t>emphasised the need for a full explanation when it said:</w:t>
      </w:r>
      <w:r w:rsidR="00462B25">
        <w:rPr>
          <w:lang w:val="en-ZA"/>
        </w:rPr>
        <w:t xml:space="preserve">  </w:t>
      </w:r>
    </w:p>
    <w:p w14:paraId="333A0059" w14:textId="31C2BB33" w:rsidR="00273963" w:rsidRPr="007A5967" w:rsidRDefault="00273963" w:rsidP="0026045D">
      <w:pPr>
        <w:pStyle w:val="Quotes"/>
      </w:pPr>
      <w:r w:rsidRPr="007A5967">
        <w:t xml:space="preserve"> “In exercising </w:t>
      </w:r>
      <w:r w:rsidR="00400B0D">
        <w:t>[the]</w:t>
      </w:r>
      <w:r w:rsidR="00400B0D" w:rsidRPr="007A5967">
        <w:t xml:space="preserve"> </w:t>
      </w:r>
      <w:r w:rsidRPr="007A5967">
        <w:t>discretion in terms of S173 of the Constitution, a consideration of the interest of justice also plays a vital role.   This court has an inherent jurisdiction to control its own proceedings and as such has power to dismiss a summons or an action on a</w:t>
      </w:r>
      <w:r w:rsidR="007202EF">
        <w:t>c</w:t>
      </w:r>
      <w:r w:rsidRPr="007A5967">
        <w:t xml:space="preserve">count of the delay or want of prosecution. </w:t>
      </w:r>
      <w:r w:rsidR="00462B25">
        <w:t xml:space="preserve"> </w:t>
      </w:r>
      <w:r w:rsidRPr="007A5967">
        <w:t xml:space="preserve">The dismissal of a matter, in this instance, the action proceedings against Naude, should be ordered in clear circumstances as it has an impact on the constitutional right of the plaintiff to have the dispute adjudicated in a court of law by means of a fair trial.   The court will exercise such power in circumstances where there has been a clear abuse of the process of court. </w:t>
      </w:r>
      <w:r w:rsidR="00462B25">
        <w:t xml:space="preserve"> </w:t>
      </w:r>
      <w:r w:rsidRPr="007A5967">
        <w:t xml:space="preserve">It is common cause that there has been an inordinate delay on the part of the respondents. </w:t>
      </w:r>
      <w:r w:rsidR="00462B25">
        <w:t xml:space="preserve"> </w:t>
      </w:r>
      <w:r w:rsidRPr="007A5967">
        <w:t>The respondents are well aware that condonation is not granted merely at a request of a party.   A full detailed and accurate account of the reasons for the delay is required.”</w:t>
      </w:r>
      <w:r w:rsidR="0060296C" w:rsidRPr="007A5967">
        <w:rPr>
          <w:rStyle w:val="FootnoteReference"/>
        </w:rPr>
        <w:footnoteReference w:id="18"/>
      </w:r>
      <w:r w:rsidR="00462B25">
        <w:t xml:space="preserve">  </w:t>
      </w:r>
    </w:p>
    <w:p w14:paraId="4A30592D" w14:textId="77777777" w:rsidR="00273963" w:rsidRPr="007A5967" w:rsidRDefault="00273963" w:rsidP="00273963">
      <w:pPr>
        <w:pStyle w:val="Judgmentbetweenparagraphs"/>
      </w:pPr>
    </w:p>
    <w:p w14:paraId="532C35CA" w14:textId="1123C0B0" w:rsidR="00273963" w:rsidRPr="007A5967" w:rsidRDefault="00715A2A" w:rsidP="00715A2A">
      <w:pPr>
        <w:pStyle w:val="JudgmentNumbered"/>
        <w:numPr>
          <w:ilvl w:val="0"/>
          <w:numId w:val="0"/>
        </w:numPr>
        <w:rPr>
          <w:lang w:val="en-ZA"/>
        </w:rPr>
      </w:pPr>
      <w:r w:rsidRPr="007A5967">
        <w:rPr>
          <w:lang w:val="en-ZA"/>
        </w:rPr>
        <w:lastRenderedPageBreak/>
        <w:t>[36]</w:t>
      </w:r>
      <w:r w:rsidRPr="007A5967">
        <w:rPr>
          <w:lang w:val="en-ZA"/>
        </w:rPr>
        <w:tab/>
      </w:r>
      <w:r w:rsidR="00273963" w:rsidRPr="007A5967">
        <w:rPr>
          <w:lang w:val="en-ZA"/>
        </w:rPr>
        <w:t xml:space="preserve">In </w:t>
      </w:r>
      <w:r w:rsidR="005515D3" w:rsidRPr="007A5967">
        <w:rPr>
          <w:i/>
          <w:iCs/>
          <w:lang w:val="en-ZA"/>
        </w:rPr>
        <w:t>Buffalo City Metropolitan Municipality v Asla Construction (Pty) Limited</w:t>
      </w:r>
      <w:r w:rsidR="00273963" w:rsidRPr="007A5967">
        <w:rPr>
          <w:lang w:val="en-ZA"/>
        </w:rPr>
        <w:t>,</w:t>
      </w:r>
      <w:r w:rsidR="00141555" w:rsidRPr="007A5967">
        <w:rPr>
          <w:rStyle w:val="FootnoteReference"/>
          <w:lang w:val="en-ZA"/>
        </w:rPr>
        <w:footnoteReference w:id="19"/>
      </w:r>
      <w:r w:rsidR="00273963" w:rsidRPr="007A5967">
        <w:rPr>
          <w:lang w:val="en-ZA"/>
        </w:rPr>
        <w:t xml:space="preserve"> the </w:t>
      </w:r>
      <w:r w:rsidR="00141555" w:rsidRPr="007A5967">
        <w:rPr>
          <w:lang w:val="en-ZA"/>
        </w:rPr>
        <w:t xml:space="preserve">majority of the </w:t>
      </w:r>
      <w:r w:rsidR="00273963" w:rsidRPr="007A5967">
        <w:rPr>
          <w:lang w:val="en-ZA"/>
        </w:rPr>
        <w:t xml:space="preserve">Constitutional Court laid out a number of principles that a </w:t>
      </w:r>
      <w:r w:rsidR="00EA0189">
        <w:rPr>
          <w:lang w:val="en-ZA"/>
        </w:rPr>
        <w:t>C</w:t>
      </w:r>
      <w:r w:rsidR="00273963" w:rsidRPr="007A5967">
        <w:rPr>
          <w:lang w:val="en-ZA"/>
        </w:rPr>
        <w:t xml:space="preserve">ourt should consider in condoning a delay. </w:t>
      </w:r>
      <w:r w:rsidR="00462B25">
        <w:rPr>
          <w:lang w:val="en-ZA"/>
        </w:rPr>
        <w:t xml:space="preserve"> </w:t>
      </w:r>
      <w:r w:rsidR="00273963" w:rsidRPr="007A5967">
        <w:rPr>
          <w:lang w:val="en-ZA"/>
        </w:rPr>
        <w:t>While some of these relate to state organs instituting self-reviews, the following apply more generally to all litigants:</w:t>
      </w:r>
      <w:r w:rsidR="00462B25">
        <w:rPr>
          <w:lang w:val="en-ZA"/>
        </w:rPr>
        <w:t xml:space="preserve">  </w:t>
      </w:r>
    </w:p>
    <w:p w14:paraId="62186FF4" w14:textId="2803AC69" w:rsidR="00273963" w:rsidRPr="007A5967" w:rsidRDefault="00273963" w:rsidP="0026045D">
      <w:pPr>
        <w:pStyle w:val="Quotes"/>
      </w:pPr>
      <w:r w:rsidRPr="007A5967">
        <w:t xml:space="preserve"> “[T]he first step in the </w:t>
      </w:r>
      <w:r w:rsidRPr="0073069C">
        <w:rPr>
          <w:i/>
          <w:iCs/>
        </w:rPr>
        <w:t>Khumalo</w:t>
      </w:r>
      <w:r w:rsidRPr="007A5967">
        <w:t xml:space="preserve"> test, the reasonableness of the delay, must be assessed on, among others, the explanation offered for the delay. </w:t>
      </w:r>
      <w:r w:rsidR="00462B25">
        <w:t xml:space="preserve"> </w:t>
      </w:r>
      <w:r w:rsidRPr="007A5967">
        <w:t xml:space="preserve">Where the delay can be explained and justified, then it is reasonable, and the merits of the review can be considered. </w:t>
      </w:r>
      <w:r w:rsidR="00462B25">
        <w:t xml:space="preserve"> </w:t>
      </w:r>
      <w:r w:rsidRPr="007A5967">
        <w:t xml:space="preserve">If there is an explanation for the delay, the explanation must cover the entirety of the delay. </w:t>
      </w:r>
      <w:r w:rsidR="00462B25">
        <w:t xml:space="preserve"> </w:t>
      </w:r>
      <w:r w:rsidRPr="007A5967">
        <w:t xml:space="preserve">But, as was held in </w:t>
      </w:r>
      <w:r w:rsidRPr="0073069C">
        <w:rPr>
          <w:i/>
          <w:iCs/>
        </w:rPr>
        <w:t>Gijima</w:t>
      </w:r>
      <w:r w:rsidRPr="007A5967">
        <w:t>, where there is no explanation for the delay, the delay will necessarily be unreasonable.”</w:t>
      </w:r>
      <w:r w:rsidR="002706CD">
        <w:rPr>
          <w:rStyle w:val="FootnoteReference"/>
        </w:rPr>
        <w:footnoteReference w:id="20"/>
      </w:r>
      <w:r w:rsidR="00462B25">
        <w:t xml:space="preserve">  </w:t>
      </w:r>
    </w:p>
    <w:p w14:paraId="072A6936" w14:textId="77777777" w:rsidR="0060296C" w:rsidRPr="007A5967" w:rsidRDefault="0060296C" w:rsidP="0060296C">
      <w:pPr>
        <w:pStyle w:val="Judgmentbetweenparagraphs"/>
      </w:pPr>
    </w:p>
    <w:p w14:paraId="5E8BE138" w14:textId="06AC0AB7" w:rsidR="00273963" w:rsidRPr="007A5967" w:rsidRDefault="00715A2A" w:rsidP="00715A2A">
      <w:pPr>
        <w:pStyle w:val="JudgmentNumbered"/>
        <w:numPr>
          <w:ilvl w:val="0"/>
          <w:numId w:val="0"/>
        </w:numPr>
        <w:rPr>
          <w:lang w:val="en-ZA"/>
        </w:rPr>
      </w:pPr>
      <w:r w:rsidRPr="007A5967">
        <w:rPr>
          <w:lang w:val="en-ZA"/>
        </w:rPr>
        <w:t>[37]</w:t>
      </w:r>
      <w:r w:rsidRPr="007A5967">
        <w:rPr>
          <w:lang w:val="en-ZA"/>
        </w:rPr>
        <w:tab/>
      </w:r>
      <w:r w:rsidR="00291C3F" w:rsidRPr="007A5967">
        <w:rPr>
          <w:lang w:val="en-ZA"/>
        </w:rPr>
        <w:t>T</w:t>
      </w:r>
      <w:r w:rsidR="00273963" w:rsidRPr="007A5967">
        <w:rPr>
          <w:lang w:val="en-ZA"/>
        </w:rPr>
        <w:t xml:space="preserve">he </w:t>
      </w:r>
      <w:r w:rsidR="00291C3F" w:rsidRPr="007A5967">
        <w:rPr>
          <w:lang w:val="en-ZA"/>
        </w:rPr>
        <w:t xml:space="preserve">majority </w:t>
      </w:r>
      <w:r w:rsidR="00273963" w:rsidRPr="007A5967">
        <w:rPr>
          <w:lang w:val="en-ZA"/>
        </w:rPr>
        <w:t xml:space="preserve">went on to say that the discretion in deciding whether the explanation was reasonable was a flexible one </w:t>
      </w:r>
      <w:r w:rsidR="00CA609A">
        <w:rPr>
          <w:lang w:val="en-ZA"/>
        </w:rPr>
        <w:t xml:space="preserve">and </w:t>
      </w:r>
      <w:r w:rsidR="00273963" w:rsidRPr="007A5967">
        <w:rPr>
          <w:lang w:val="en-ZA"/>
        </w:rPr>
        <w:t xml:space="preserve">depended on the nature of the decision sought to be challenged. </w:t>
      </w:r>
      <w:r w:rsidR="00462B25">
        <w:rPr>
          <w:lang w:val="en-ZA"/>
        </w:rPr>
        <w:t xml:space="preserve"> </w:t>
      </w:r>
      <w:r w:rsidR="00273963" w:rsidRPr="007A5967">
        <w:rPr>
          <w:lang w:val="en-ZA"/>
        </w:rPr>
        <w:t>It said:</w:t>
      </w:r>
      <w:r w:rsidR="00462B25">
        <w:rPr>
          <w:lang w:val="en-ZA"/>
        </w:rPr>
        <w:t xml:space="preserve">  </w:t>
      </w:r>
    </w:p>
    <w:p w14:paraId="374C0BAB" w14:textId="504066E3" w:rsidR="00273963" w:rsidRPr="007A5967" w:rsidRDefault="00273963" w:rsidP="0026045D">
      <w:pPr>
        <w:pStyle w:val="Quotes"/>
      </w:pPr>
      <w:r w:rsidRPr="007A5967">
        <w:t xml:space="preserve"> “Even if the unreasonableness of the delay has been established, it cannot be “evaluated in a vacuum” and the next leg of the test is whether the delay ought to be overlooked. </w:t>
      </w:r>
      <w:r w:rsidR="00462B25">
        <w:t xml:space="preserve"> </w:t>
      </w:r>
      <w:r w:rsidRPr="007A5967">
        <w:t xml:space="preserve">This is the third principle applicable to assessing delay under legality. </w:t>
      </w:r>
      <w:r w:rsidR="00462B25">
        <w:t xml:space="preserve"> </w:t>
      </w:r>
      <w:r w:rsidRPr="007A5967">
        <w:t xml:space="preserve">Courts have the power in a legality review to refuse an application where there is an undue delay in initiating proceedings or discretion to overlook the delay. </w:t>
      </w:r>
      <w:r w:rsidR="00462B25">
        <w:t xml:space="preserve"> </w:t>
      </w:r>
      <w:r w:rsidRPr="007A5967">
        <w:t xml:space="preserve">There must however be a basis for a court to exercise its discretion to overlook the delay. </w:t>
      </w:r>
      <w:r w:rsidR="00462B25">
        <w:t xml:space="preserve"> </w:t>
      </w:r>
      <w:r w:rsidRPr="007A5967">
        <w:t>That basis must be gleaned from the facts made available or objectively available factors.”</w:t>
      </w:r>
      <w:r w:rsidR="00291C3F" w:rsidRPr="007A5967">
        <w:rPr>
          <w:rStyle w:val="FootnoteReference"/>
        </w:rPr>
        <w:footnoteReference w:id="21"/>
      </w:r>
      <w:r w:rsidR="00462B25">
        <w:t xml:space="preserve">  </w:t>
      </w:r>
    </w:p>
    <w:p w14:paraId="52F366A8" w14:textId="77777777" w:rsidR="00273963" w:rsidRPr="007A5967" w:rsidRDefault="00273963" w:rsidP="00273963">
      <w:pPr>
        <w:pStyle w:val="Judgmentbetweenparagraphs"/>
      </w:pPr>
    </w:p>
    <w:p w14:paraId="4E2FE214" w14:textId="509BDE4D" w:rsidR="00B7418C" w:rsidRDefault="00715A2A" w:rsidP="00715A2A">
      <w:pPr>
        <w:pStyle w:val="JudgmentNumbered"/>
        <w:numPr>
          <w:ilvl w:val="0"/>
          <w:numId w:val="0"/>
        </w:numPr>
        <w:rPr>
          <w:lang w:val="en-ZA"/>
        </w:rPr>
      </w:pPr>
      <w:r>
        <w:rPr>
          <w:lang w:val="en-ZA"/>
        </w:rPr>
        <w:t>[38]</w:t>
      </w:r>
      <w:r>
        <w:rPr>
          <w:lang w:val="en-ZA"/>
        </w:rPr>
        <w:tab/>
      </w:r>
      <w:r w:rsidR="00273963" w:rsidRPr="007A5967">
        <w:rPr>
          <w:lang w:val="en-ZA"/>
        </w:rPr>
        <w:t xml:space="preserve">The issue is therefore whether it can be found that the </w:t>
      </w:r>
      <w:r w:rsidR="00B07194">
        <w:rPr>
          <w:lang w:val="en-ZA"/>
        </w:rPr>
        <w:t>delay in</w:t>
      </w:r>
      <w:r w:rsidR="00BC5D24">
        <w:rPr>
          <w:lang w:val="en-ZA"/>
        </w:rPr>
        <w:t xml:space="preserve"> the </w:t>
      </w:r>
      <w:r w:rsidR="00273963" w:rsidRPr="007A5967">
        <w:rPr>
          <w:lang w:val="en-ZA"/>
        </w:rPr>
        <w:t xml:space="preserve">prosecution of this application by the applicants was so unreasonable as to invite </w:t>
      </w:r>
      <w:r w:rsidR="00BC5D24">
        <w:rPr>
          <w:lang w:val="en-ZA"/>
        </w:rPr>
        <w:t xml:space="preserve">its </w:t>
      </w:r>
      <w:r w:rsidR="00273963" w:rsidRPr="007A5967">
        <w:rPr>
          <w:lang w:val="en-ZA"/>
        </w:rPr>
        <w:t xml:space="preserve">dismissal on that basis. </w:t>
      </w:r>
      <w:r w:rsidR="00462B25">
        <w:rPr>
          <w:lang w:val="en-ZA"/>
        </w:rPr>
        <w:t xml:space="preserve"> </w:t>
      </w:r>
      <w:r w:rsidR="00273963" w:rsidRPr="007A5967">
        <w:rPr>
          <w:lang w:val="en-ZA"/>
        </w:rPr>
        <w:t xml:space="preserve">In motion proceedings, as we have here, the applicants are </w:t>
      </w:r>
      <w:r w:rsidR="00273963" w:rsidRPr="007A5967">
        <w:rPr>
          <w:i/>
          <w:iCs/>
          <w:lang w:val="en-ZA"/>
        </w:rPr>
        <w:t>dominus litis</w:t>
      </w:r>
      <w:r w:rsidR="00273963" w:rsidRPr="007A5967">
        <w:rPr>
          <w:lang w:val="en-ZA"/>
        </w:rPr>
        <w:t xml:space="preserve">, and it is their responsibility to move the process along. </w:t>
      </w:r>
      <w:r w:rsidR="00462B25">
        <w:rPr>
          <w:lang w:val="en-ZA"/>
        </w:rPr>
        <w:t xml:space="preserve"> </w:t>
      </w:r>
      <w:r w:rsidR="00273963" w:rsidRPr="007A5967">
        <w:rPr>
          <w:lang w:val="en-ZA"/>
        </w:rPr>
        <w:t xml:space="preserve">As </w:t>
      </w:r>
      <w:r w:rsidR="00273963" w:rsidRPr="007A5967">
        <w:rPr>
          <w:i/>
          <w:iCs/>
          <w:lang w:val="en-ZA"/>
        </w:rPr>
        <w:t>dominus litis</w:t>
      </w:r>
      <w:r w:rsidR="00273963" w:rsidRPr="007A5967">
        <w:rPr>
          <w:lang w:val="en-ZA"/>
        </w:rPr>
        <w:t>, nothing was done by the</w:t>
      </w:r>
      <w:r w:rsidR="00CC20E7">
        <w:rPr>
          <w:lang w:val="en-ZA"/>
        </w:rPr>
        <w:t>m</w:t>
      </w:r>
      <w:r w:rsidR="00273963" w:rsidRPr="007A5967">
        <w:rPr>
          <w:lang w:val="en-ZA"/>
        </w:rPr>
        <w:t xml:space="preserve"> to ensure that the matter is prosecuted expeditiously. </w:t>
      </w:r>
      <w:r w:rsidR="00462B25">
        <w:rPr>
          <w:lang w:val="en-ZA"/>
        </w:rPr>
        <w:t xml:space="preserve"> </w:t>
      </w:r>
      <w:r w:rsidR="00273963" w:rsidRPr="007A5967">
        <w:rPr>
          <w:lang w:val="en-ZA"/>
        </w:rPr>
        <w:t xml:space="preserve">It is correct that the respondents also did nothing to move the matter along. </w:t>
      </w:r>
      <w:r w:rsidR="00462B25">
        <w:rPr>
          <w:lang w:val="en-ZA"/>
        </w:rPr>
        <w:t xml:space="preserve"> </w:t>
      </w:r>
      <w:r w:rsidR="00273963" w:rsidRPr="007A5967">
        <w:rPr>
          <w:lang w:val="en-ZA"/>
        </w:rPr>
        <w:t xml:space="preserve">In </w:t>
      </w:r>
      <w:r w:rsidR="00C427BB" w:rsidRPr="007A5967">
        <w:rPr>
          <w:lang w:val="en-ZA"/>
        </w:rPr>
        <w:t>fact,</w:t>
      </w:r>
      <w:r w:rsidR="00273963" w:rsidRPr="007A5967">
        <w:rPr>
          <w:lang w:val="en-ZA"/>
        </w:rPr>
        <w:t xml:space="preserve"> they filed their answering affidavit three years after filing the record. </w:t>
      </w:r>
      <w:r w:rsidR="00462B25">
        <w:rPr>
          <w:lang w:val="en-ZA"/>
        </w:rPr>
        <w:t xml:space="preserve"> </w:t>
      </w:r>
    </w:p>
    <w:p w14:paraId="7D89A385" w14:textId="054203E3" w:rsidR="00462B25" w:rsidRDefault="00715A2A" w:rsidP="00715A2A">
      <w:pPr>
        <w:pStyle w:val="JudgmentNumbered"/>
        <w:numPr>
          <w:ilvl w:val="0"/>
          <w:numId w:val="0"/>
        </w:numPr>
        <w:rPr>
          <w:lang w:val="en-ZA"/>
        </w:rPr>
      </w:pPr>
      <w:r>
        <w:rPr>
          <w:lang w:val="en-ZA"/>
        </w:rPr>
        <w:t>[39]</w:t>
      </w:r>
      <w:r>
        <w:rPr>
          <w:lang w:val="en-ZA"/>
        </w:rPr>
        <w:tab/>
      </w:r>
      <w:r w:rsidR="00273963" w:rsidRPr="007A5967">
        <w:rPr>
          <w:lang w:val="en-ZA"/>
        </w:rPr>
        <w:t>The issue, however, is not that it was the respondents</w:t>
      </w:r>
      <w:r w:rsidR="00400B0D">
        <w:rPr>
          <w:lang w:val="en-ZA"/>
        </w:rPr>
        <w:t>’</w:t>
      </w:r>
      <w:r w:rsidR="00273963" w:rsidRPr="007A5967">
        <w:rPr>
          <w:lang w:val="en-ZA"/>
        </w:rPr>
        <w:t xml:space="preserve"> responsibility to move this matter along</w:t>
      </w:r>
      <w:r w:rsidR="00462B25">
        <w:rPr>
          <w:lang w:val="en-ZA"/>
        </w:rPr>
        <w:t xml:space="preserve">.  </w:t>
      </w:r>
      <w:r w:rsidR="00273963" w:rsidRPr="007A5967">
        <w:rPr>
          <w:lang w:val="en-ZA"/>
        </w:rPr>
        <w:t xml:space="preserve">It was actually the applicants who prevailed on the </w:t>
      </w:r>
      <w:r w:rsidR="00506C41">
        <w:rPr>
          <w:lang w:val="en-ZA"/>
        </w:rPr>
        <w:t>Mahikeng</w:t>
      </w:r>
      <w:r w:rsidR="00400B0D">
        <w:rPr>
          <w:lang w:val="en-ZA"/>
        </w:rPr>
        <w:t xml:space="preserve"> </w:t>
      </w:r>
      <w:r w:rsidR="008C5F83">
        <w:rPr>
          <w:lang w:val="en-ZA"/>
        </w:rPr>
        <w:t>High Court</w:t>
      </w:r>
      <w:r w:rsidR="00273963" w:rsidRPr="007A5967">
        <w:rPr>
          <w:lang w:val="en-ZA"/>
        </w:rPr>
        <w:t xml:space="preserve"> not to prosecute their criminal trial until they have had a chance at persuading </w:t>
      </w:r>
      <w:r w:rsidR="00273963" w:rsidRPr="007A5967">
        <w:rPr>
          <w:lang w:val="en-ZA"/>
        </w:rPr>
        <w:lastRenderedPageBreak/>
        <w:t>the NDPP to intervene and discontinue their prosecution and failing that to initiate proceedings to review and set aside the decision not to intervene</w:t>
      </w:r>
      <w:r w:rsidR="00462B25">
        <w:rPr>
          <w:lang w:val="en-ZA"/>
        </w:rPr>
        <w:t xml:space="preserve">.  </w:t>
      </w:r>
      <w:r w:rsidR="00273963" w:rsidRPr="007A5967">
        <w:rPr>
          <w:lang w:val="en-ZA"/>
        </w:rPr>
        <w:t>Whichever way one considers the matter, the initiators of this litigation are the applicants, and the proverbial buck stops with them</w:t>
      </w:r>
      <w:r w:rsidR="00462B25">
        <w:rPr>
          <w:lang w:val="en-ZA"/>
        </w:rPr>
        <w:t xml:space="preserve">.  </w:t>
      </w:r>
    </w:p>
    <w:p w14:paraId="2D70FB09" w14:textId="304940A7" w:rsidR="00E31F61" w:rsidRDefault="00715A2A" w:rsidP="00715A2A">
      <w:pPr>
        <w:pStyle w:val="JudgmentNumbered"/>
        <w:numPr>
          <w:ilvl w:val="0"/>
          <w:numId w:val="0"/>
        </w:numPr>
        <w:rPr>
          <w:lang w:val="en-ZA"/>
        </w:rPr>
      </w:pPr>
      <w:r>
        <w:rPr>
          <w:lang w:val="en-ZA"/>
        </w:rPr>
        <w:t>[40]</w:t>
      </w:r>
      <w:r>
        <w:rPr>
          <w:lang w:val="en-ZA"/>
        </w:rPr>
        <w:tab/>
      </w:r>
      <w:r w:rsidR="00273963" w:rsidRPr="007A5967">
        <w:rPr>
          <w:lang w:val="en-ZA"/>
        </w:rPr>
        <w:t xml:space="preserve">The applicants launched the review proceedings but lay supine for </w:t>
      </w:r>
      <w:r w:rsidR="00506C41">
        <w:rPr>
          <w:lang w:val="en-ZA"/>
        </w:rPr>
        <w:t>six</w:t>
      </w:r>
      <w:r w:rsidR="00273963" w:rsidRPr="007A5967">
        <w:rPr>
          <w:lang w:val="en-ZA"/>
        </w:rPr>
        <w:t xml:space="preserve"> years. </w:t>
      </w:r>
      <w:r w:rsidR="00462B25">
        <w:rPr>
          <w:lang w:val="en-ZA"/>
        </w:rPr>
        <w:t xml:space="preserve"> </w:t>
      </w:r>
      <w:r w:rsidR="00273963" w:rsidRPr="007A5967">
        <w:rPr>
          <w:lang w:val="en-ZA"/>
        </w:rPr>
        <w:t xml:space="preserve">If they were serious about this matter proceeding expeditiously one asks the question, why, after the filing of the record by the respondents, they did nothing by way of filing a supplementary founding affidavit as they intimated in their founding affidavit. </w:t>
      </w:r>
      <w:r w:rsidR="00462B25">
        <w:rPr>
          <w:lang w:val="en-ZA"/>
        </w:rPr>
        <w:t xml:space="preserve"> </w:t>
      </w:r>
      <w:r w:rsidR="00273963" w:rsidRPr="007A5967">
        <w:rPr>
          <w:lang w:val="en-ZA"/>
        </w:rPr>
        <w:t xml:space="preserve">Of course, there’s no compulsion on them to do so but the respondents </w:t>
      </w:r>
      <w:r w:rsidR="00F13B5B">
        <w:rPr>
          <w:lang w:val="en-ZA"/>
        </w:rPr>
        <w:t>state th</w:t>
      </w:r>
      <w:r w:rsidR="000A34AE">
        <w:rPr>
          <w:lang w:val="en-ZA"/>
        </w:rPr>
        <w:t xml:space="preserve">at they </w:t>
      </w:r>
      <w:r w:rsidR="00273963" w:rsidRPr="007A5967">
        <w:rPr>
          <w:lang w:val="en-ZA"/>
        </w:rPr>
        <w:t>wrote to them to indicate if they intended supplementing</w:t>
      </w:r>
      <w:r w:rsidR="00400B0D">
        <w:rPr>
          <w:lang w:val="en-ZA"/>
        </w:rPr>
        <w:t>,</w:t>
      </w:r>
      <w:r w:rsidR="00273963" w:rsidRPr="007A5967">
        <w:rPr>
          <w:lang w:val="en-ZA"/>
        </w:rPr>
        <w:t xml:space="preserve"> but they did not respond. </w:t>
      </w:r>
      <w:r w:rsidR="00462B25">
        <w:rPr>
          <w:lang w:val="en-ZA"/>
        </w:rPr>
        <w:t xml:space="preserve"> </w:t>
      </w:r>
      <w:r w:rsidR="00273963" w:rsidRPr="007A5967">
        <w:rPr>
          <w:lang w:val="en-ZA"/>
        </w:rPr>
        <w:t xml:space="preserve">The matter did not end there. </w:t>
      </w:r>
      <w:r w:rsidR="00462B25">
        <w:rPr>
          <w:lang w:val="en-ZA"/>
        </w:rPr>
        <w:t xml:space="preserve"> </w:t>
      </w:r>
      <w:r w:rsidR="00273963" w:rsidRPr="007A5967">
        <w:rPr>
          <w:lang w:val="en-ZA"/>
        </w:rPr>
        <w:t xml:space="preserve">After the filing of the record the applicants simply remained supine for the next three years, which was interrupted by the respondents when they filed their answering affidavit. </w:t>
      </w:r>
      <w:r w:rsidR="00462B25">
        <w:rPr>
          <w:lang w:val="en-ZA"/>
        </w:rPr>
        <w:t xml:space="preserve"> </w:t>
      </w:r>
      <w:r w:rsidR="000A34AE">
        <w:rPr>
          <w:lang w:val="en-ZA"/>
        </w:rPr>
        <w:t xml:space="preserve">A litigant in the position of the applicants, who was </w:t>
      </w:r>
      <w:r w:rsidR="00DF6F61">
        <w:rPr>
          <w:lang w:val="en-ZA"/>
        </w:rPr>
        <w:t>desirous</w:t>
      </w:r>
      <w:r w:rsidR="000A34AE">
        <w:rPr>
          <w:lang w:val="en-ZA"/>
        </w:rPr>
        <w:t xml:space="preserve"> of an expeditious </w:t>
      </w:r>
      <w:r w:rsidR="00DF6F61">
        <w:rPr>
          <w:lang w:val="en-ZA"/>
        </w:rPr>
        <w:t xml:space="preserve">prosecution of their matter, would and should have </w:t>
      </w:r>
      <w:r w:rsidR="007D4B44">
        <w:rPr>
          <w:lang w:val="en-ZA"/>
        </w:rPr>
        <w:t xml:space="preserve">called for the answering affidavit to </w:t>
      </w:r>
      <w:r w:rsidR="00966E57">
        <w:rPr>
          <w:lang w:val="en-ZA"/>
        </w:rPr>
        <w:t xml:space="preserve">be </w:t>
      </w:r>
      <w:r w:rsidR="007D4B44">
        <w:rPr>
          <w:lang w:val="en-ZA"/>
        </w:rPr>
        <w:t xml:space="preserve">filed timeously or alternatively to set the matter down for an expedited hearing. </w:t>
      </w:r>
      <w:r w:rsidR="00462B25">
        <w:rPr>
          <w:lang w:val="en-ZA"/>
        </w:rPr>
        <w:t xml:space="preserve"> </w:t>
      </w:r>
      <w:r w:rsidR="006F213D">
        <w:rPr>
          <w:lang w:val="en-ZA"/>
        </w:rPr>
        <w:t>In any event</w:t>
      </w:r>
      <w:r w:rsidR="00745030">
        <w:rPr>
          <w:lang w:val="en-ZA"/>
        </w:rPr>
        <w:t xml:space="preserve">, </w:t>
      </w:r>
      <w:r w:rsidR="00273963" w:rsidRPr="007A5967">
        <w:rPr>
          <w:lang w:val="en-ZA"/>
        </w:rPr>
        <w:t xml:space="preserve">the applicants simply did nothing further, either by way of filing a replying affidavit or seeking the enrolment of the matter. </w:t>
      </w:r>
      <w:r w:rsidR="00462B25">
        <w:rPr>
          <w:lang w:val="en-ZA"/>
        </w:rPr>
        <w:t xml:space="preserve"> </w:t>
      </w:r>
      <w:r w:rsidR="00273963" w:rsidRPr="007A5967">
        <w:rPr>
          <w:lang w:val="en-ZA"/>
        </w:rPr>
        <w:t xml:space="preserve">The matter remained </w:t>
      </w:r>
      <w:r w:rsidR="00273963" w:rsidRPr="007A5967">
        <w:rPr>
          <w:i/>
          <w:iCs/>
          <w:lang w:val="en-ZA"/>
        </w:rPr>
        <w:t>in limbo</w:t>
      </w:r>
      <w:r w:rsidR="00273963" w:rsidRPr="007A5967">
        <w:rPr>
          <w:lang w:val="en-ZA"/>
        </w:rPr>
        <w:t xml:space="preserve"> until the Deputy Judge President of this Court intervened out of his own accord and convened a </w:t>
      </w:r>
      <w:r w:rsidR="001D32BC" w:rsidRPr="007A5967">
        <w:rPr>
          <w:lang w:val="en-ZA"/>
        </w:rPr>
        <w:t>pre</w:t>
      </w:r>
      <w:r w:rsidR="001D32BC">
        <w:rPr>
          <w:lang w:val="en-ZA"/>
        </w:rPr>
        <w:t>-</w:t>
      </w:r>
      <w:r w:rsidR="00273963" w:rsidRPr="007A5967">
        <w:rPr>
          <w:lang w:val="en-ZA"/>
        </w:rPr>
        <w:t xml:space="preserve">hearing engagement with </w:t>
      </w:r>
      <w:r w:rsidR="00745030">
        <w:rPr>
          <w:lang w:val="en-ZA"/>
        </w:rPr>
        <w:t xml:space="preserve">the </w:t>
      </w:r>
      <w:r w:rsidR="00273963" w:rsidRPr="007A5967">
        <w:rPr>
          <w:lang w:val="en-ZA"/>
        </w:rPr>
        <w:t>parties to ensure that the matter bec</w:t>
      </w:r>
      <w:r w:rsidR="00745030">
        <w:rPr>
          <w:lang w:val="en-ZA"/>
        </w:rPr>
        <w:t>a</w:t>
      </w:r>
      <w:r w:rsidR="00273963" w:rsidRPr="007A5967">
        <w:rPr>
          <w:lang w:val="en-ZA"/>
        </w:rPr>
        <w:t xml:space="preserve">me hearing ready. </w:t>
      </w:r>
      <w:r w:rsidR="00462B25">
        <w:rPr>
          <w:lang w:val="en-ZA"/>
        </w:rPr>
        <w:t xml:space="preserve"> </w:t>
      </w:r>
    </w:p>
    <w:p w14:paraId="708277B8" w14:textId="44A60637" w:rsidR="00273963" w:rsidRPr="007A5967" w:rsidRDefault="00715A2A" w:rsidP="00715A2A">
      <w:pPr>
        <w:pStyle w:val="JudgmentNumbered"/>
        <w:numPr>
          <w:ilvl w:val="0"/>
          <w:numId w:val="0"/>
        </w:numPr>
        <w:rPr>
          <w:lang w:val="en-ZA"/>
        </w:rPr>
      </w:pPr>
      <w:r w:rsidRPr="007A5967">
        <w:rPr>
          <w:lang w:val="en-ZA"/>
        </w:rPr>
        <w:t>[41]</w:t>
      </w:r>
      <w:r w:rsidRPr="007A5967">
        <w:rPr>
          <w:lang w:val="en-ZA"/>
        </w:rPr>
        <w:tab/>
      </w:r>
      <w:r w:rsidR="00273963" w:rsidRPr="007A5967">
        <w:rPr>
          <w:lang w:val="en-ZA"/>
        </w:rPr>
        <w:t xml:space="preserve">It is not disputed </w:t>
      </w:r>
      <w:r w:rsidR="005C559B">
        <w:rPr>
          <w:lang w:val="en-ZA"/>
        </w:rPr>
        <w:t xml:space="preserve">that </w:t>
      </w:r>
      <w:r w:rsidR="00273963" w:rsidRPr="007A5967">
        <w:rPr>
          <w:lang w:val="en-ZA"/>
        </w:rPr>
        <w:t xml:space="preserve">the first meeting initiated by the Deputy Judge President did not take place in that the applicants’ legal representatives did not show up. </w:t>
      </w:r>
      <w:r w:rsidR="00462B25">
        <w:rPr>
          <w:lang w:val="en-ZA"/>
        </w:rPr>
        <w:t xml:space="preserve"> </w:t>
      </w:r>
      <w:r w:rsidR="00273963" w:rsidRPr="007A5967">
        <w:rPr>
          <w:lang w:val="en-ZA"/>
        </w:rPr>
        <w:t xml:space="preserve">They only showed up in the second meeting and that's when the parties </w:t>
      </w:r>
      <w:r w:rsidR="009E592E" w:rsidRPr="007A5967">
        <w:rPr>
          <w:lang w:val="en-ZA"/>
        </w:rPr>
        <w:t>took</w:t>
      </w:r>
      <w:r w:rsidR="00291C3F" w:rsidRPr="007A5967">
        <w:rPr>
          <w:lang w:val="en-ZA"/>
        </w:rPr>
        <w:t xml:space="preserve"> steps</w:t>
      </w:r>
      <w:r w:rsidR="00273963" w:rsidRPr="007A5967">
        <w:rPr>
          <w:lang w:val="en-ZA"/>
        </w:rPr>
        <w:t xml:space="preserve"> leading to this matter being provided with a hearing date in October 2023. </w:t>
      </w:r>
      <w:r w:rsidR="00462B25">
        <w:rPr>
          <w:lang w:val="en-ZA"/>
        </w:rPr>
        <w:t xml:space="preserve"> </w:t>
      </w:r>
      <w:r w:rsidR="00273963" w:rsidRPr="007A5967">
        <w:rPr>
          <w:lang w:val="en-ZA"/>
        </w:rPr>
        <w:t xml:space="preserve">In </w:t>
      </w:r>
      <w:r w:rsidR="00C427BB" w:rsidRPr="007A5967">
        <w:rPr>
          <w:lang w:val="en-ZA"/>
        </w:rPr>
        <w:t>fact,</w:t>
      </w:r>
      <w:r w:rsidR="00273963" w:rsidRPr="007A5967">
        <w:rPr>
          <w:lang w:val="en-ZA"/>
        </w:rPr>
        <w:t xml:space="preserve"> it was the respondents who filed their written argument first. </w:t>
      </w:r>
      <w:r w:rsidR="00462B25">
        <w:rPr>
          <w:lang w:val="en-ZA"/>
        </w:rPr>
        <w:t xml:space="preserve"> </w:t>
      </w:r>
      <w:r w:rsidR="00273963" w:rsidRPr="007A5967">
        <w:rPr>
          <w:lang w:val="en-ZA"/>
        </w:rPr>
        <w:t xml:space="preserve">In the normal course it is the applicants who should have filed first but this did not happen in this matter. </w:t>
      </w:r>
      <w:r w:rsidR="00462B25">
        <w:rPr>
          <w:lang w:val="en-ZA"/>
        </w:rPr>
        <w:t xml:space="preserve"> </w:t>
      </w:r>
    </w:p>
    <w:p w14:paraId="5837C833" w14:textId="29D3FD38" w:rsidR="00273963" w:rsidRPr="007A5967" w:rsidRDefault="00715A2A" w:rsidP="00715A2A">
      <w:pPr>
        <w:pStyle w:val="JudgmentNumbered"/>
        <w:numPr>
          <w:ilvl w:val="0"/>
          <w:numId w:val="0"/>
        </w:numPr>
        <w:rPr>
          <w:lang w:val="en-ZA"/>
        </w:rPr>
      </w:pPr>
      <w:r w:rsidRPr="007A5967">
        <w:rPr>
          <w:lang w:val="en-ZA"/>
        </w:rPr>
        <w:t>[42]</w:t>
      </w:r>
      <w:r w:rsidRPr="007A5967">
        <w:rPr>
          <w:lang w:val="en-ZA"/>
        </w:rPr>
        <w:tab/>
      </w:r>
      <w:r w:rsidR="00273963" w:rsidRPr="007A5967">
        <w:rPr>
          <w:lang w:val="en-ZA"/>
        </w:rPr>
        <w:t>The upshot of all of this is that the last interaction that the applicant had with this matter was on 10 October 2017 when they launched th</w:t>
      </w:r>
      <w:r w:rsidR="00703EF8">
        <w:rPr>
          <w:lang w:val="en-ZA"/>
        </w:rPr>
        <w:t>e</w:t>
      </w:r>
      <w:r w:rsidR="00273963" w:rsidRPr="007A5967">
        <w:rPr>
          <w:lang w:val="en-ZA"/>
        </w:rPr>
        <w:t xml:space="preserve"> application. </w:t>
      </w:r>
      <w:r w:rsidR="00462B25">
        <w:rPr>
          <w:lang w:val="en-ZA"/>
        </w:rPr>
        <w:t xml:space="preserve"> </w:t>
      </w:r>
      <w:r w:rsidR="00273963" w:rsidRPr="007A5967">
        <w:rPr>
          <w:lang w:val="en-ZA"/>
        </w:rPr>
        <w:t xml:space="preserve">They did nothing else thereafter until June 2023 when they filed their written argument. </w:t>
      </w:r>
      <w:r w:rsidR="00462B25">
        <w:rPr>
          <w:lang w:val="en-ZA"/>
        </w:rPr>
        <w:t xml:space="preserve"> </w:t>
      </w:r>
      <w:r w:rsidR="00273963" w:rsidRPr="007A5967">
        <w:rPr>
          <w:lang w:val="en-ZA"/>
        </w:rPr>
        <w:t xml:space="preserve">That was, as I pointed earlier, some </w:t>
      </w:r>
      <w:r w:rsidR="007A36DB">
        <w:rPr>
          <w:lang w:val="en-ZA"/>
        </w:rPr>
        <w:t>six</w:t>
      </w:r>
      <w:r w:rsidR="00273963" w:rsidRPr="007A5967">
        <w:rPr>
          <w:lang w:val="en-ZA"/>
        </w:rPr>
        <w:t xml:space="preserve"> years later. </w:t>
      </w:r>
      <w:r w:rsidR="00462B25">
        <w:rPr>
          <w:lang w:val="en-ZA"/>
        </w:rPr>
        <w:t xml:space="preserve"> </w:t>
      </w:r>
      <w:r w:rsidR="00273963" w:rsidRPr="007A5967">
        <w:rPr>
          <w:lang w:val="en-ZA"/>
        </w:rPr>
        <w:t xml:space="preserve">It is the respondents that have raised the argument that this application should be dismissed on this basis as the applicants </w:t>
      </w:r>
      <w:r w:rsidR="00273963" w:rsidRPr="007A5967">
        <w:rPr>
          <w:lang w:val="en-ZA"/>
        </w:rPr>
        <w:lastRenderedPageBreak/>
        <w:t xml:space="preserve">showed no seriousness in expediting its prosecution. </w:t>
      </w:r>
      <w:r w:rsidR="00462B25">
        <w:rPr>
          <w:lang w:val="en-ZA"/>
        </w:rPr>
        <w:t xml:space="preserve"> </w:t>
      </w:r>
      <w:r w:rsidR="00273963" w:rsidRPr="007A5967">
        <w:rPr>
          <w:lang w:val="en-ZA"/>
        </w:rPr>
        <w:t xml:space="preserve">This is not a case where one should also find culpability on the side of the respondents to move the case along. </w:t>
      </w:r>
      <w:r w:rsidR="00462B25">
        <w:rPr>
          <w:lang w:val="en-ZA"/>
        </w:rPr>
        <w:t xml:space="preserve"> </w:t>
      </w:r>
      <w:r w:rsidR="00273963" w:rsidRPr="007A5967">
        <w:rPr>
          <w:lang w:val="en-ZA"/>
        </w:rPr>
        <w:t xml:space="preserve">They have been brought to this Court by the applicants who seek the discontinuation of their prosecution. </w:t>
      </w:r>
      <w:r w:rsidR="00462B25">
        <w:rPr>
          <w:lang w:val="en-ZA"/>
        </w:rPr>
        <w:t xml:space="preserve"> </w:t>
      </w:r>
      <w:r w:rsidR="00273963" w:rsidRPr="007A5967">
        <w:rPr>
          <w:lang w:val="en-ZA"/>
        </w:rPr>
        <w:t xml:space="preserve">In my view the applicants had the responsibility to ensure that this matter is prosecuted expeditiously. </w:t>
      </w:r>
      <w:r w:rsidR="00462B25">
        <w:rPr>
          <w:lang w:val="en-ZA"/>
        </w:rPr>
        <w:t xml:space="preserve"> </w:t>
      </w:r>
      <w:r w:rsidR="00273963" w:rsidRPr="007A5967">
        <w:rPr>
          <w:lang w:val="en-ZA"/>
        </w:rPr>
        <w:t xml:space="preserve">This did not happen. </w:t>
      </w:r>
      <w:r w:rsidR="00462B25">
        <w:rPr>
          <w:lang w:val="en-ZA"/>
        </w:rPr>
        <w:t xml:space="preserve"> </w:t>
      </w:r>
      <w:r w:rsidR="00273963" w:rsidRPr="007A5967">
        <w:rPr>
          <w:lang w:val="en-ZA"/>
        </w:rPr>
        <w:t>I</w:t>
      </w:r>
      <w:r w:rsidR="007A36DB">
        <w:rPr>
          <w:lang w:val="en-ZA"/>
        </w:rPr>
        <w:t xml:space="preserve"> must also</w:t>
      </w:r>
      <w:r w:rsidR="00273963" w:rsidRPr="007A5967">
        <w:rPr>
          <w:lang w:val="en-ZA"/>
        </w:rPr>
        <w:t xml:space="preserve"> mention that their criminal trial, after being postponed several times in the </w:t>
      </w:r>
      <w:r w:rsidR="00400B0D">
        <w:rPr>
          <w:lang w:val="en-ZA"/>
        </w:rPr>
        <w:t xml:space="preserve">Mahikeng </w:t>
      </w:r>
      <w:r w:rsidR="008C5F83">
        <w:rPr>
          <w:lang w:val="en-ZA"/>
        </w:rPr>
        <w:t>High Court</w:t>
      </w:r>
      <w:r w:rsidR="00273963" w:rsidRPr="007A5967">
        <w:rPr>
          <w:lang w:val="en-ZA"/>
        </w:rPr>
        <w:t>,</w:t>
      </w:r>
      <w:r w:rsidR="000C0BB9">
        <w:rPr>
          <w:lang w:val="en-ZA"/>
        </w:rPr>
        <w:t xml:space="preserve"> </w:t>
      </w:r>
      <w:r w:rsidR="00273963" w:rsidRPr="007A5967">
        <w:rPr>
          <w:lang w:val="en-ZA"/>
        </w:rPr>
        <w:t>was eventually struck off the roll as nothing was happening in these proceedings.</w:t>
      </w:r>
      <w:r w:rsidR="00F477A6">
        <w:rPr>
          <w:rStyle w:val="FootnoteReference"/>
          <w:lang w:val="en-ZA"/>
        </w:rPr>
        <w:footnoteReference w:id="22"/>
      </w:r>
      <w:r w:rsidR="00273963" w:rsidRPr="007A5967">
        <w:rPr>
          <w:lang w:val="en-ZA"/>
        </w:rPr>
        <w:t xml:space="preserve"> </w:t>
      </w:r>
      <w:r w:rsidR="00462B25">
        <w:rPr>
          <w:lang w:val="en-ZA"/>
        </w:rPr>
        <w:t xml:space="preserve"> </w:t>
      </w:r>
    </w:p>
    <w:p w14:paraId="6F083E31" w14:textId="222613D8" w:rsidR="00273963" w:rsidRPr="007A5967" w:rsidRDefault="00715A2A" w:rsidP="00715A2A">
      <w:pPr>
        <w:pStyle w:val="JudgmentNumbered"/>
        <w:numPr>
          <w:ilvl w:val="0"/>
          <w:numId w:val="0"/>
        </w:numPr>
        <w:rPr>
          <w:lang w:val="en-ZA"/>
        </w:rPr>
      </w:pPr>
      <w:r w:rsidRPr="007A5967">
        <w:rPr>
          <w:lang w:val="en-ZA"/>
        </w:rPr>
        <w:t>[43]</w:t>
      </w:r>
      <w:r w:rsidRPr="007A5967">
        <w:rPr>
          <w:lang w:val="en-ZA"/>
        </w:rPr>
        <w:tab/>
      </w:r>
      <w:r w:rsidR="00273963" w:rsidRPr="007A5967">
        <w:rPr>
          <w:lang w:val="en-ZA"/>
        </w:rPr>
        <w:t>The ineluctable consequence of failing to prosecute this review was the striking off</w:t>
      </w:r>
      <w:r w:rsidR="00F816B0">
        <w:rPr>
          <w:lang w:val="en-ZA"/>
        </w:rPr>
        <w:t>,</w:t>
      </w:r>
      <w:r w:rsidR="00273963" w:rsidRPr="007A5967">
        <w:rPr>
          <w:lang w:val="en-ZA"/>
        </w:rPr>
        <w:t xml:space="preserve"> of the criminal trial from the roll in the </w:t>
      </w:r>
      <w:r w:rsidR="00400B0D">
        <w:rPr>
          <w:lang w:val="en-ZA"/>
        </w:rPr>
        <w:t xml:space="preserve">Mahikeng </w:t>
      </w:r>
      <w:r w:rsidR="008C5F83">
        <w:rPr>
          <w:lang w:val="en-ZA"/>
        </w:rPr>
        <w:t>High Court</w:t>
      </w:r>
      <w:r w:rsidR="00273963" w:rsidRPr="007A5967">
        <w:rPr>
          <w:lang w:val="en-ZA"/>
        </w:rPr>
        <w:t xml:space="preserve">. </w:t>
      </w:r>
      <w:r w:rsidR="00462B25">
        <w:rPr>
          <w:lang w:val="en-ZA"/>
        </w:rPr>
        <w:t xml:space="preserve"> </w:t>
      </w:r>
      <w:r w:rsidR="00273963" w:rsidRPr="007A5967">
        <w:rPr>
          <w:lang w:val="en-ZA"/>
        </w:rPr>
        <w:t>The applicants’ inactivity amounts to abuse of process when considered fr</w:t>
      </w:r>
      <w:r w:rsidR="00400B0D">
        <w:rPr>
          <w:lang w:val="en-ZA"/>
        </w:rPr>
        <w:t>o</w:t>
      </w:r>
      <w:r w:rsidR="00273963" w:rsidRPr="007A5967">
        <w:rPr>
          <w:lang w:val="en-ZA"/>
        </w:rPr>
        <w:t xml:space="preserve">m all conceivable angles. </w:t>
      </w:r>
      <w:r w:rsidR="00462B25">
        <w:rPr>
          <w:lang w:val="en-ZA"/>
        </w:rPr>
        <w:t xml:space="preserve"> </w:t>
      </w:r>
      <w:r w:rsidR="00AB30A8" w:rsidRPr="00AB30A8">
        <w:rPr>
          <w:lang w:val="en-ZA"/>
        </w:rPr>
        <w:t>An important consideration is that nowhere do the applicants explain their dilatory treatment or rather their failure to ensure that the matter was expeditiously prosecuted.</w:t>
      </w:r>
      <w:r w:rsidR="00ED7A92">
        <w:rPr>
          <w:lang w:val="en-ZA"/>
        </w:rPr>
        <w:t xml:space="preserve"> </w:t>
      </w:r>
      <w:r w:rsidR="00462B25">
        <w:rPr>
          <w:lang w:val="en-ZA"/>
        </w:rPr>
        <w:t xml:space="preserve"> </w:t>
      </w:r>
      <w:r w:rsidR="00144E41">
        <w:rPr>
          <w:lang w:val="en-ZA"/>
        </w:rPr>
        <w:t>Clearly their conduct is unreasonable</w:t>
      </w:r>
      <w:r w:rsidR="00223AD2">
        <w:rPr>
          <w:lang w:val="en-ZA"/>
        </w:rPr>
        <w:t xml:space="preserve">. </w:t>
      </w:r>
      <w:r w:rsidR="00462B25">
        <w:rPr>
          <w:lang w:val="en-ZA"/>
        </w:rPr>
        <w:t xml:space="preserve"> </w:t>
      </w:r>
      <w:r w:rsidR="00273963" w:rsidRPr="007A5967">
        <w:rPr>
          <w:lang w:val="en-ZA"/>
        </w:rPr>
        <w:t xml:space="preserve">Failing to take any action to move this application along put brakes on everything that hinged on this application for over </w:t>
      </w:r>
      <w:r w:rsidR="00F64C06">
        <w:rPr>
          <w:lang w:val="en-ZA"/>
        </w:rPr>
        <w:t>six</w:t>
      </w:r>
      <w:r w:rsidR="00273963" w:rsidRPr="007A5967">
        <w:rPr>
          <w:lang w:val="en-ZA"/>
        </w:rPr>
        <w:t xml:space="preserve"> years. </w:t>
      </w:r>
      <w:r w:rsidR="00462B25">
        <w:rPr>
          <w:lang w:val="en-ZA"/>
        </w:rPr>
        <w:t xml:space="preserve"> </w:t>
      </w:r>
      <w:r w:rsidR="00273963" w:rsidRPr="007A5967">
        <w:rPr>
          <w:lang w:val="en-ZA"/>
        </w:rPr>
        <w:t>The one major casualty of the dilatoriness by the applicants was the criminal trial in which they are facing various serious charges</w:t>
      </w:r>
      <w:r w:rsidR="00267AE6">
        <w:rPr>
          <w:lang w:val="en-ZA"/>
        </w:rPr>
        <w:t>, which are at the centre of this review application</w:t>
      </w:r>
      <w:r w:rsidR="00273963" w:rsidRPr="007A5967">
        <w:rPr>
          <w:lang w:val="en-ZA"/>
        </w:rPr>
        <w:t xml:space="preserve">. </w:t>
      </w:r>
      <w:r w:rsidR="00462B25">
        <w:rPr>
          <w:lang w:val="en-ZA"/>
        </w:rPr>
        <w:t xml:space="preserve"> </w:t>
      </w:r>
      <w:r w:rsidR="00273963" w:rsidRPr="007A5967">
        <w:rPr>
          <w:lang w:val="en-ZA"/>
        </w:rPr>
        <w:t xml:space="preserve">The other casualty must be the administration of justice which has been prejudiced markedly. </w:t>
      </w:r>
      <w:r w:rsidR="00462B25">
        <w:rPr>
          <w:lang w:val="en-ZA"/>
        </w:rPr>
        <w:t xml:space="preserve"> </w:t>
      </w:r>
      <w:r w:rsidR="00273963" w:rsidRPr="007A5967">
        <w:rPr>
          <w:lang w:val="en-ZA"/>
        </w:rPr>
        <w:t xml:space="preserve">It is not a factor that can easily be ignored, that </w:t>
      </w:r>
      <w:r w:rsidR="00326F79">
        <w:rPr>
          <w:lang w:val="en-ZA"/>
        </w:rPr>
        <w:t xml:space="preserve">there must be consequences </w:t>
      </w:r>
      <w:r w:rsidR="00E02BE9">
        <w:rPr>
          <w:lang w:val="en-ZA"/>
        </w:rPr>
        <w:t xml:space="preserve">for </w:t>
      </w:r>
      <w:r w:rsidR="00273963" w:rsidRPr="007A5967">
        <w:rPr>
          <w:lang w:val="en-ZA"/>
        </w:rPr>
        <w:t xml:space="preserve">litigants </w:t>
      </w:r>
      <w:r w:rsidR="00272B49">
        <w:rPr>
          <w:lang w:val="en-ZA"/>
        </w:rPr>
        <w:t>who</w:t>
      </w:r>
      <w:r w:rsidR="00272B49" w:rsidRPr="007A5967">
        <w:rPr>
          <w:lang w:val="en-ZA"/>
        </w:rPr>
        <w:t xml:space="preserve"> simply</w:t>
      </w:r>
      <w:r w:rsidR="00273963" w:rsidRPr="007A5967">
        <w:rPr>
          <w:lang w:val="en-ZA"/>
        </w:rPr>
        <w:t xml:space="preserve"> file papers and then forget about the</w:t>
      </w:r>
      <w:r w:rsidR="0026566C">
        <w:rPr>
          <w:lang w:val="en-ZA"/>
        </w:rPr>
        <w:t xml:space="preserve"> </w:t>
      </w:r>
      <w:r w:rsidR="00273963" w:rsidRPr="007A5967">
        <w:rPr>
          <w:lang w:val="en-ZA"/>
        </w:rPr>
        <w:t>m</w:t>
      </w:r>
      <w:r w:rsidR="0026566C">
        <w:rPr>
          <w:lang w:val="en-ZA"/>
        </w:rPr>
        <w:t>atter</w:t>
      </w:r>
      <w:r w:rsidR="00273963" w:rsidRPr="007A5967">
        <w:rPr>
          <w:lang w:val="en-ZA"/>
        </w:rPr>
        <w:t xml:space="preserve">. </w:t>
      </w:r>
      <w:r w:rsidR="00462B25">
        <w:rPr>
          <w:lang w:val="en-ZA"/>
        </w:rPr>
        <w:t xml:space="preserve"> </w:t>
      </w:r>
      <w:r w:rsidR="00273963" w:rsidRPr="007A5967">
        <w:rPr>
          <w:lang w:val="en-ZA"/>
        </w:rPr>
        <w:t>As I have sought to point out above</w:t>
      </w:r>
      <w:r w:rsidR="00EE1E4F">
        <w:rPr>
          <w:lang w:val="en-ZA"/>
        </w:rPr>
        <w:t>,</w:t>
      </w:r>
      <w:r w:rsidR="00273963" w:rsidRPr="007A5967">
        <w:rPr>
          <w:lang w:val="en-ZA"/>
        </w:rPr>
        <w:t xml:space="preserve"> it is</w:t>
      </w:r>
      <w:r w:rsidR="00856640">
        <w:rPr>
          <w:lang w:val="en-ZA"/>
        </w:rPr>
        <w:t xml:space="preserve"> not</w:t>
      </w:r>
      <w:r w:rsidR="00273963" w:rsidRPr="007A5967">
        <w:rPr>
          <w:lang w:val="en-ZA"/>
        </w:rPr>
        <w:t xml:space="preserve"> in the interests of the administration of justice that Court proceedings</w:t>
      </w:r>
      <w:r w:rsidR="00EE1E4F">
        <w:rPr>
          <w:lang w:val="en-ZA"/>
        </w:rPr>
        <w:t>,</w:t>
      </w:r>
      <w:r w:rsidR="00273963" w:rsidRPr="007A5967">
        <w:rPr>
          <w:lang w:val="en-ZA"/>
        </w:rPr>
        <w:t xml:space="preserve"> especially criminal </w:t>
      </w:r>
      <w:r w:rsidR="0026566C">
        <w:rPr>
          <w:lang w:val="en-ZA"/>
        </w:rPr>
        <w:t>cas</w:t>
      </w:r>
      <w:r w:rsidR="00EE1E4F">
        <w:rPr>
          <w:lang w:val="en-ZA"/>
        </w:rPr>
        <w:t>es,</w:t>
      </w:r>
      <w:r w:rsidR="00273963" w:rsidRPr="007A5967">
        <w:rPr>
          <w:lang w:val="en-ZA"/>
        </w:rPr>
        <w:t xml:space="preserve"> should end up being sacrificed and abandoned simply because the accused in </w:t>
      </w:r>
      <w:r w:rsidR="00EE1E4F">
        <w:rPr>
          <w:lang w:val="en-ZA"/>
        </w:rPr>
        <w:t>those</w:t>
      </w:r>
      <w:r w:rsidR="00273963" w:rsidRPr="007A5967">
        <w:rPr>
          <w:lang w:val="en-ZA"/>
        </w:rPr>
        <w:t xml:space="preserve"> matter</w:t>
      </w:r>
      <w:r w:rsidR="00EE1E4F">
        <w:rPr>
          <w:lang w:val="en-ZA"/>
        </w:rPr>
        <w:t>s</w:t>
      </w:r>
      <w:r w:rsidR="00856640">
        <w:rPr>
          <w:lang w:val="en-ZA"/>
        </w:rPr>
        <w:t>,</w:t>
      </w:r>
      <w:r w:rsidR="00273963" w:rsidRPr="007A5967">
        <w:rPr>
          <w:lang w:val="en-ZA"/>
        </w:rPr>
        <w:t xml:space="preserve"> who were given an indulgence to challenge their prosecution</w:t>
      </w:r>
      <w:r w:rsidR="00EE1E4F">
        <w:rPr>
          <w:lang w:val="en-ZA"/>
        </w:rPr>
        <w:t>s</w:t>
      </w:r>
      <w:r w:rsidR="00273963" w:rsidRPr="007A5967">
        <w:rPr>
          <w:lang w:val="en-ZA"/>
        </w:rPr>
        <w:t xml:space="preserve"> with a view to setting aside their indictments</w:t>
      </w:r>
      <w:r w:rsidR="00EE1E4F">
        <w:rPr>
          <w:lang w:val="en-ZA"/>
        </w:rPr>
        <w:t>,</w:t>
      </w:r>
      <w:r w:rsidR="00273963" w:rsidRPr="007A5967">
        <w:rPr>
          <w:lang w:val="en-ZA"/>
        </w:rPr>
        <w:t xml:space="preserve"> simply did nothing to pursue their challenge. </w:t>
      </w:r>
      <w:r w:rsidR="00462B25">
        <w:rPr>
          <w:lang w:val="en-ZA"/>
        </w:rPr>
        <w:t xml:space="preserve"> </w:t>
      </w:r>
      <w:r w:rsidR="00273963" w:rsidRPr="007A5967">
        <w:rPr>
          <w:lang w:val="en-ZA"/>
        </w:rPr>
        <w:t xml:space="preserve">It is inimical to the administration of justice that litigants can stymie </w:t>
      </w:r>
      <w:r w:rsidR="0069583F">
        <w:rPr>
          <w:lang w:val="en-ZA"/>
        </w:rPr>
        <w:t>C</w:t>
      </w:r>
      <w:r w:rsidR="00273963" w:rsidRPr="007A5967">
        <w:rPr>
          <w:lang w:val="en-ZA"/>
        </w:rPr>
        <w:t xml:space="preserve">ourt proceedings by simply issuing </w:t>
      </w:r>
      <w:r w:rsidR="0069583F">
        <w:rPr>
          <w:lang w:val="en-ZA"/>
        </w:rPr>
        <w:t xml:space="preserve">proceedings </w:t>
      </w:r>
      <w:r w:rsidR="00273963" w:rsidRPr="007A5967">
        <w:rPr>
          <w:lang w:val="en-ZA"/>
        </w:rPr>
        <w:t xml:space="preserve">and then doing nothing further. </w:t>
      </w:r>
      <w:r w:rsidR="00462B25">
        <w:rPr>
          <w:lang w:val="en-ZA"/>
        </w:rPr>
        <w:t xml:space="preserve"> </w:t>
      </w:r>
    </w:p>
    <w:p w14:paraId="2A46CCB2" w14:textId="5968BCF6" w:rsidR="00273963" w:rsidRPr="007A5967" w:rsidRDefault="00715A2A" w:rsidP="00715A2A">
      <w:pPr>
        <w:pStyle w:val="JudgmentNumbered"/>
        <w:numPr>
          <w:ilvl w:val="0"/>
          <w:numId w:val="0"/>
        </w:numPr>
        <w:rPr>
          <w:lang w:val="en-ZA"/>
        </w:rPr>
      </w:pPr>
      <w:r w:rsidRPr="007A5967">
        <w:rPr>
          <w:lang w:val="en-ZA"/>
        </w:rPr>
        <w:t>[44]</w:t>
      </w:r>
      <w:r w:rsidRPr="007A5967">
        <w:rPr>
          <w:lang w:val="en-ZA"/>
        </w:rPr>
        <w:tab/>
      </w:r>
      <w:r w:rsidR="00273963" w:rsidRPr="007A5967">
        <w:rPr>
          <w:lang w:val="en-ZA"/>
        </w:rPr>
        <w:t xml:space="preserve">My view is that the conduct of the applicants indicates that they did nothing to prosecute their review because they were not interested in seeing these proceedings through to their </w:t>
      </w:r>
      <w:r w:rsidR="00C9490F">
        <w:rPr>
          <w:lang w:val="en-ZA"/>
        </w:rPr>
        <w:t xml:space="preserve">ultimate </w:t>
      </w:r>
      <w:r w:rsidR="00273963" w:rsidRPr="007A5967">
        <w:rPr>
          <w:lang w:val="en-ZA"/>
        </w:rPr>
        <w:t xml:space="preserve">conclusion. </w:t>
      </w:r>
      <w:r w:rsidR="00462B25">
        <w:rPr>
          <w:lang w:val="en-ZA"/>
        </w:rPr>
        <w:t xml:space="preserve"> </w:t>
      </w:r>
      <w:r w:rsidR="00273963" w:rsidRPr="007A5967">
        <w:rPr>
          <w:lang w:val="en-ZA"/>
        </w:rPr>
        <w:t>This</w:t>
      </w:r>
      <w:r w:rsidR="00C9490F">
        <w:rPr>
          <w:lang w:val="en-ZA"/>
        </w:rPr>
        <w:t>,</w:t>
      </w:r>
      <w:r w:rsidR="00273963" w:rsidRPr="007A5967">
        <w:rPr>
          <w:lang w:val="en-ZA"/>
        </w:rPr>
        <w:t xml:space="preserve"> in my view is abuse of </w:t>
      </w:r>
      <w:r w:rsidR="00C9490F">
        <w:rPr>
          <w:lang w:val="en-ZA"/>
        </w:rPr>
        <w:t>C</w:t>
      </w:r>
      <w:r w:rsidR="00273963" w:rsidRPr="007A5967">
        <w:rPr>
          <w:lang w:val="en-ZA"/>
        </w:rPr>
        <w:t xml:space="preserve">ourt process. </w:t>
      </w:r>
      <w:r w:rsidR="00462B25">
        <w:rPr>
          <w:lang w:val="en-ZA"/>
        </w:rPr>
        <w:t xml:space="preserve"> </w:t>
      </w:r>
      <w:r w:rsidR="00273963" w:rsidRPr="007A5967">
        <w:rPr>
          <w:lang w:val="en-ZA"/>
        </w:rPr>
        <w:t>As the judiciary</w:t>
      </w:r>
      <w:r w:rsidR="00203836">
        <w:rPr>
          <w:lang w:val="en-ZA"/>
        </w:rPr>
        <w:t>,</w:t>
      </w:r>
      <w:r w:rsidR="00273963" w:rsidRPr="007A5967">
        <w:rPr>
          <w:lang w:val="en-ZA"/>
        </w:rPr>
        <w:t xml:space="preserve"> it is </w:t>
      </w:r>
      <w:r w:rsidR="00DD03F2">
        <w:rPr>
          <w:lang w:val="en-ZA"/>
        </w:rPr>
        <w:t xml:space="preserve">in </w:t>
      </w:r>
      <w:r w:rsidR="00273963" w:rsidRPr="007A5967">
        <w:rPr>
          <w:lang w:val="en-ZA"/>
        </w:rPr>
        <w:t xml:space="preserve">our interest to protect our processes and to guard against conduct </w:t>
      </w:r>
      <w:r w:rsidR="00273963" w:rsidRPr="007A5967">
        <w:rPr>
          <w:lang w:val="en-ZA"/>
        </w:rPr>
        <w:lastRenderedPageBreak/>
        <w:t xml:space="preserve">by litigants such as we have here. </w:t>
      </w:r>
      <w:r w:rsidR="00462B25">
        <w:rPr>
          <w:lang w:val="en-ZA"/>
        </w:rPr>
        <w:t xml:space="preserve"> </w:t>
      </w:r>
      <w:r w:rsidR="00273963" w:rsidRPr="007A5967">
        <w:rPr>
          <w:lang w:val="en-ZA"/>
        </w:rPr>
        <w:t>The length of time that has elapsed since the applicant</w:t>
      </w:r>
      <w:r w:rsidR="00F17A7A">
        <w:rPr>
          <w:lang w:val="en-ZA"/>
        </w:rPr>
        <w:t>s</w:t>
      </w:r>
      <w:r w:rsidR="00273963" w:rsidRPr="007A5967">
        <w:rPr>
          <w:lang w:val="en-ZA"/>
        </w:rPr>
        <w:t xml:space="preserve"> launched the application is a period of over </w:t>
      </w:r>
      <w:r w:rsidR="00DD03F2">
        <w:rPr>
          <w:lang w:val="en-ZA"/>
        </w:rPr>
        <w:t>six</w:t>
      </w:r>
      <w:r w:rsidR="00273963" w:rsidRPr="007A5967">
        <w:rPr>
          <w:lang w:val="en-ZA"/>
        </w:rPr>
        <w:t xml:space="preserve"> years and this to me is so unreasonable as to warrant the strongest censure from this Court. </w:t>
      </w:r>
      <w:r w:rsidR="00462B25">
        <w:rPr>
          <w:lang w:val="en-ZA"/>
        </w:rPr>
        <w:t xml:space="preserve"> </w:t>
      </w:r>
      <w:r w:rsidR="00273963" w:rsidRPr="007A5967">
        <w:rPr>
          <w:lang w:val="en-ZA"/>
        </w:rPr>
        <w:t>To make matters worse</w:t>
      </w:r>
      <w:r w:rsidR="00F17A7A">
        <w:rPr>
          <w:lang w:val="en-ZA"/>
        </w:rPr>
        <w:t>,</w:t>
      </w:r>
      <w:r w:rsidR="00273963" w:rsidRPr="007A5967">
        <w:rPr>
          <w:lang w:val="en-ZA"/>
        </w:rPr>
        <w:t xml:space="preserve"> the applicants have proffered no explanation whatsoever for their dilatory conduct in their prosecution of this matter. </w:t>
      </w:r>
      <w:r w:rsidR="00462B25">
        <w:rPr>
          <w:lang w:val="en-ZA"/>
        </w:rPr>
        <w:t xml:space="preserve"> </w:t>
      </w:r>
    </w:p>
    <w:p w14:paraId="13F6FAEF" w14:textId="237BA4A9" w:rsidR="00273963" w:rsidRPr="007A5967" w:rsidRDefault="00715A2A" w:rsidP="00715A2A">
      <w:pPr>
        <w:pStyle w:val="JudgmentNumbered"/>
        <w:numPr>
          <w:ilvl w:val="0"/>
          <w:numId w:val="0"/>
        </w:numPr>
        <w:rPr>
          <w:lang w:val="en-ZA"/>
        </w:rPr>
      </w:pPr>
      <w:r w:rsidRPr="007A5967">
        <w:rPr>
          <w:lang w:val="en-ZA"/>
        </w:rPr>
        <w:t>[45]</w:t>
      </w:r>
      <w:r w:rsidRPr="007A5967">
        <w:rPr>
          <w:lang w:val="en-ZA"/>
        </w:rPr>
        <w:tab/>
      </w:r>
      <w:r w:rsidR="00B00555" w:rsidRPr="00B00555">
        <w:rPr>
          <w:lang w:val="en-ZA"/>
        </w:rPr>
        <w:t>I can find no mitigation for the conduct of the applicants</w:t>
      </w:r>
      <w:r w:rsidR="00B00555">
        <w:rPr>
          <w:lang w:val="en-ZA"/>
        </w:rPr>
        <w:t>.</w:t>
      </w:r>
      <w:r w:rsidR="00B00555" w:rsidRPr="00B00555">
        <w:rPr>
          <w:lang w:val="en-ZA"/>
        </w:rPr>
        <w:t xml:space="preserve"> </w:t>
      </w:r>
      <w:r w:rsidR="00462B25">
        <w:rPr>
          <w:lang w:val="en-ZA"/>
        </w:rPr>
        <w:t xml:space="preserve"> </w:t>
      </w:r>
      <w:r w:rsidR="00273963" w:rsidRPr="007A5967">
        <w:rPr>
          <w:lang w:val="en-ZA"/>
        </w:rPr>
        <w:t>The sanction that I can fathom is that the application be dismissed on th</w:t>
      </w:r>
      <w:r w:rsidR="00D17947">
        <w:rPr>
          <w:lang w:val="en-ZA"/>
        </w:rPr>
        <w:t>is</w:t>
      </w:r>
      <w:r w:rsidR="00273963" w:rsidRPr="007A5967">
        <w:rPr>
          <w:lang w:val="en-ZA"/>
        </w:rPr>
        <w:t xml:space="preserve"> basis. </w:t>
      </w:r>
      <w:r w:rsidR="00462B25">
        <w:rPr>
          <w:lang w:val="en-ZA"/>
        </w:rPr>
        <w:t xml:space="preserve"> </w:t>
      </w:r>
      <w:r w:rsidR="00273963" w:rsidRPr="007A5967">
        <w:rPr>
          <w:lang w:val="en-ZA"/>
        </w:rPr>
        <w:t>In fact</w:t>
      </w:r>
      <w:r w:rsidR="00F17A7A">
        <w:rPr>
          <w:lang w:val="en-ZA"/>
        </w:rPr>
        <w:t>,</w:t>
      </w:r>
      <w:r w:rsidR="00273963" w:rsidRPr="007A5967">
        <w:rPr>
          <w:lang w:val="en-ZA"/>
        </w:rPr>
        <w:t xml:space="preserve"> to condone this kind of behaviour is to imperil Court processes in general. </w:t>
      </w:r>
      <w:r w:rsidR="00462B25">
        <w:rPr>
          <w:lang w:val="en-ZA"/>
        </w:rPr>
        <w:t xml:space="preserve"> </w:t>
      </w:r>
      <w:r w:rsidR="00273963" w:rsidRPr="007A5967">
        <w:rPr>
          <w:lang w:val="en-ZA"/>
        </w:rPr>
        <w:t xml:space="preserve">Section 173 of the Constitution grants us the latitude to protect our processes especially against abusive conduct of the nature we have here. </w:t>
      </w:r>
      <w:r w:rsidR="00462B25">
        <w:rPr>
          <w:lang w:val="en-ZA"/>
        </w:rPr>
        <w:t xml:space="preserve"> </w:t>
      </w:r>
    </w:p>
    <w:p w14:paraId="05055E19" w14:textId="34365585" w:rsidR="00273963" w:rsidRPr="007A5967" w:rsidRDefault="00715A2A" w:rsidP="00715A2A">
      <w:pPr>
        <w:pStyle w:val="JudgmentNumbered"/>
        <w:numPr>
          <w:ilvl w:val="0"/>
          <w:numId w:val="0"/>
        </w:numPr>
        <w:rPr>
          <w:b/>
          <w:bCs/>
          <w:lang w:val="en-ZA"/>
        </w:rPr>
      </w:pPr>
      <w:r w:rsidRPr="007A5967">
        <w:rPr>
          <w:lang w:val="en-ZA"/>
        </w:rPr>
        <w:t>[46]</w:t>
      </w:r>
      <w:r w:rsidRPr="007A5967">
        <w:rPr>
          <w:lang w:val="en-ZA"/>
        </w:rPr>
        <w:tab/>
      </w:r>
      <w:r w:rsidR="00273963" w:rsidRPr="007A5967">
        <w:rPr>
          <w:lang w:val="en-ZA"/>
        </w:rPr>
        <w:t>Despite my finding on the abuse of process point, I deem it important that I also consider the other point raised by the applicants, regarding the NDPP’s refusal to review and set aside the DPP</w:t>
      </w:r>
      <w:r w:rsidR="001D32BC">
        <w:rPr>
          <w:lang w:val="en-ZA"/>
        </w:rPr>
        <w:t>’</w:t>
      </w:r>
      <w:r w:rsidR="00273963" w:rsidRPr="007A5967">
        <w:rPr>
          <w:lang w:val="en-ZA"/>
        </w:rPr>
        <w:t>s decision to prosecute them.</w:t>
      </w:r>
      <w:r w:rsidR="007E52A5">
        <w:rPr>
          <w:lang w:val="en-ZA"/>
        </w:rPr>
        <w:t xml:space="preserve"> </w:t>
      </w:r>
      <w:r w:rsidR="00462B25">
        <w:rPr>
          <w:lang w:val="en-ZA"/>
        </w:rPr>
        <w:t xml:space="preserve"> </w:t>
      </w:r>
      <w:r w:rsidR="007E52A5">
        <w:rPr>
          <w:lang w:val="en-ZA"/>
        </w:rPr>
        <w:t xml:space="preserve">This is to avoid </w:t>
      </w:r>
      <w:r w:rsidR="00BB0DE2">
        <w:rPr>
          <w:lang w:val="en-ZA"/>
        </w:rPr>
        <w:t>determining</w:t>
      </w:r>
      <w:r w:rsidR="00B7655E">
        <w:rPr>
          <w:lang w:val="en-ZA"/>
        </w:rPr>
        <w:t xml:space="preserve"> the matter in pie</w:t>
      </w:r>
      <w:r w:rsidR="00BB0DE2">
        <w:rPr>
          <w:lang w:val="en-ZA"/>
        </w:rPr>
        <w:t xml:space="preserve">ce </w:t>
      </w:r>
      <w:r w:rsidR="00B7655E">
        <w:rPr>
          <w:lang w:val="en-ZA"/>
        </w:rPr>
        <w:t>meal fashion.</w:t>
      </w:r>
      <w:r w:rsidR="001D32BC">
        <w:rPr>
          <w:rStyle w:val="FootnoteReference"/>
          <w:lang w:val="en-ZA"/>
        </w:rPr>
        <w:footnoteReference w:id="23"/>
      </w:r>
      <w:r w:rsidR="00273963" w:rsidRPr="007A5967">
        <w:rPr>
          <w:lang w:val="en-ZA"/>
        </w:rPr>
        <w:t xml:space="preserve"> Before I consider the parties arguments in this regard </w:t>
      </w:r>
      <w:r w:rsidR="009039CA">
        <w:rPr>
          <w:lang w:val="en-ZA"/>
        </w:rPr>
        <w:t xml:space="preserve">it is necessary </w:t>
      </w:r>
      <w:r w:rsidR="005D0220">
        <w:rPr>
          <w:lang w:val="en-ZA"/>
        </w:rPr>
        <w:t xml:space="preserve">that </w:t>
      </w:r>
      <w:r w:rsidR="00DD5C62">
        <w:rPr>
          <w:lang w:val="en-ZA"/>
        </w:rPr>
        <w:t xml:space="preserve">I </w:t>
      </w:r>
      <w:r w:rsidR="00273963" w:rsidRPr="007A5967">
        <w:rPr>
          <w:lang w:val="en-ZA"/>
        </w:rPr>
        <w:t xml:space="preserve">briefly set out the regulatory framework governing prosecutions in this country. </w:t>
      </w:r>
      <w:r w:rsidR="00462B25">
        <w:rPr>
          <w:lang w:val="en-ZA"/>
        </w:rPr>
        <w:t xml:space="preserve"> </w:t>
      </w:r>
    </w:p>
    <w:p w14:paraId="39F78C32" w14:textId="7719CF65" w:rsidR="00273963" w:rsidRPr="007A5967" w:rsidRDefault="00715A2A" w:rsidP="00715A2A">
      <w:pPr>
        <w:pStyle w:val="JudgmentNumbered"/>
        <w:numPr>
          <w:ilvl w:val="0"/>
          <w:numId w:val="0"/>
        </w:numPr>
        <w:rPr>
          <w:lang w:val="en-ZA"/>
        </w:rPr>
      </w:pPr>
      <w:r w:rsidRPr="007A5967">
        <w:rPr>
          <w:lang w:val="en-ZA"/>
        </w:rPr>
        <w:t>[47]</w:t>
      </w:r>
      <w:r w:rsidRPr="007A5967">
        <w:rPr>
          <w:lang w:val="en-ZA"/>
        </w:rPr>
        <w:tab/>
      </w:r>
      <w:r w:rsidR="00273963" w:rsidRPr="007A5967">
        <w:rPr>
          <w:lang w:val="en-ZA"/>
        </w:rPr>
        <w:t>Pursuant to section 21 of the NPA Act, a National Prosecution Policy document is in place, and it has the purpose of “set[ting] out, with due regard to the law, the way in which the Prosecuting Authority and individual prosecutors should exercise their discretion.”</w:t>
      </w:r>
      <w:r w:rsidR="00462B25">
        <w:rPr>
          <w:lang w:val="en-ZA"/>
        </w:rPr>
        <w:t xml:space="preserve">  </w:t>
      </w:r>
    </w:p>
    <w:p w14:paraId="1C49AD40" w14:textId="411C55F1" w:rsidR="00462B25" w:rsidRDefault="00715A2A" w:rsidP="00715A2A">
      <w:pPr>
        <w:pStyle w:val="JudgmentNumbered"/>
        <w:numPr>
          <w:ilvl w:val="0"/>
          <w:numId w:val="0"/>
        </w:numPr>
        <w:rPr>
          <w:lang w:val="en-ZA"/>
        </w:rPr>
      </w:pPr>
      <w:r>
        <w:rPr>
          <w:lang w:val="en-ZA"/>
        </w:rPr>
        <w:t>[48]</w:t>
      </w:r>
      <w:r>
        <w:rPr>
          <w:lang w:val="en-ZA"/>
        </w:rPr>
        <w:tab/>
      </w:r>
      <w:r w:rsidR="00273963" w:rsidRPr="007A5967">
        <w:rPr>
          <w:lang w:val="en-ZA"/>
        </w:rPr>
        <w:t>Chapter 4 of the Policy covers the criteria governing a decision to prosecute</w:t>
      </w:r>
      <w:r w:rsidR="00462B25">
        <w:rPr>
          <w:lang w:val="en-ZA"/>
        </w:rPr>
        <w:t xml:space="preserve">.  </w:t>
      </w:r>
      <w:r w:rsidR="00273963" w:rsidRPr="007A5967">
        <w:rPr>
          <w:lang w:val="en-ZA"/>
        </w:rPr>
        <w:t>It emphasises the “profound consequences” a decision whether or not to prosecute can have on society at large, from victims to accused persons</w:t>
      </w:r>
      <w:r w:rsidR="00462B25">
        <w:rPr>
          <w:lang w:val="en-ZA"/>
        </w:rPr>
        <w:t xml:space="preserve">.  </w:t>
      </w:r>
      <w:r w:rsidR="00273963" w:rsidRPr="007A5967">
        <w:rPr>
          <w:lang w:val="en-ZA"/>
        </w:rPr>
        <w:t>The overarching decision should be based on whether there is “sufficient and admissible evidence to provide a reasonable prospect of a successful prosecution”</w:t>
      </w:r>
      <w:r w:rsidR="00462B25">
        <w:rPr>
          <w:lang w:val="en-ZA"/>
        </w:rPr>
        <w:t xml:space="preserve">.  </w:t>
      </w:r>
      <w:r w:rsidR="00273963" w:rsidRPr="007A5967">
        <w:rPr>
          <w:lang w:val="en-ZA"/>
        </w:rPr>
        <w:t xml:space="preserve">It also notes that this is a question that should continuously be asked as the trial goes on because </w:t>
      </w:r>
      <w:r w:rsidR="00C70C52">
        <w:rPr>
          <w:lang w:val="en-ZA"/>
        </w:rPr>
        <w:t xml:space="preserve">of </w:t>
      </w:r>
      <w:r w:rsidR="00273963" w:rsidRPr="007A5967">
        <w:rPr>
          <w:lang w:val="en-ZA"/>
        </w:rPr>
        <w:t>different facts coming to light which may provide a different answer to it</w:t>
      </w:r>
      <w:r w:rsidR="00462B25">
        <w:rPr>
          <w:lang w:val="en-ZA"/>
        </w:rPr>
        <w:t xml:space="preserve">.  </w:t>
      </w:r>
      <w:r w:rsidR="00273963" w:rsidRPr="007A5967">
        <w:rPr>
          <w:lang w:val="en-ZA"/>
        </w:rPr>
        <w:t xml:space="preserve">Importantly, despite all this, it states that where a prosecution would not be in the public interest, it should not be continued with because a rule requiring all cases to be prosecuted “would be too harsh </w:t>
      </w:r>
      <w:r w:rsidR="00273963" w:rsidRPr="007A5967">
        <w:rPr>
          <w:lang w:val="en-ZA"/>
        </w:rPr>
        <w:lastRenderedPageBreak/>
        <w:t>and impose an impossible burden on the prosecutor and on a society interested in the fair administration of justice”</w:t>
      </w:r>
      <w:r w:rsidR="00462B25">
        <w:rPr>
          <w:lang w:val="en-ZA"/>
        </w:rPr>
        <w:t xml:space="preserve">.  </w:t>
      </w:r>
    </w:p>
    <w:p w14:paraId="4FC5CC27" w14:textId="7A8AFD17" w:rsidR="00462B25" w:rsidRDefault="00715A2A" w:rsidP="00715A2A">
      <w:pPr>
        <w:pStyle w:val="JudgmentNumbered"/>
        <w:numPr>
          <w:ilvl w:val="0"/>
          <w:numId w:val="0"/>
        </w:numPr>
        <w:rPr>
          <w:lang w:val="en-ZA"/>
        </w:rPr>
      </w:pPr>
      <w:r>
        <w:rPr>
          <w:lang w:val="en-ZA"/>
        </w:rPr>
        <w:t>[49]</w:t>
      </w:r>
      <w:r>
        <w:rPr>
          <w:lang w:val="en-ZA"/>
        </w:rPr>
        <w:tab/>
      </w:r>
      <w:r w:rsidR="00273963" w:rsidRPr="007A5967">
        <w:rPr>
          <w:lang w:val="en-ZA"/>
        </w:rPr>
        <w:t>The effect of all these provisions goes to the central issue in this case, prosecutorial independence and the discretion to institute or discontinue prosecution</w:t>
      </w:r>
      <w:r w:rsidR="00C55CD3">
        <w:rPr>
          <w:lang w:val="en-ZA"/>
        </w:rPr>
        <w:t>s</w:t>
      </w:r>
      <w:r w:rsidR="00462B25">
        <w:rPr>
          <w:lang w:val="en-ZA"/>
        </w:rPr>
        <w:t xml:space="preserve">.  </w:t>
      </w:r>
    </w:p>
    <w:p w14:paraId="38E03CF0" w14:textId="02D9D9F3" w:rsidR="00273963" w:rsidRPr="007A5967" w:rsidRDefault="00715A2A" w:rsidP="00715A2A">
      <w:pPr>
        <w:pStyle w:val="JudgmentNumbered"/>
        <w:numPr>
          <w:ilvl w:val="0"/>
          <w:numId w:val="0"/>
        </w:numPr>
        <w:rPr>
          <w:lang w:val="en-ZA"/>
        </w:rPr>
      </w:pPr>
      <w:r w:rsidRPr="007A5967">
        <w:rPr>
          <w:lang w:val="en-ZA"/>
        </w:rPr>
        <w:t>[50]</w:t>
      </w:r>
      <w:r w:rsidRPr="007A5967">
        <w:rPr>
          <w:lang w:val="en-ZA"/>
        </w:rPr>
        <w:tab/>
      </w:r>
      <w:r w:rsidR="00273963" w:rsidRPr="007A5967">
        <w:rPr>
          <w:lang w:val="en-ZA"/>
        </w:rPr>
        <w:t xml:space="preserve">Section 22(c) of the NPA Act read with section 179(5) of the Constitution gives the NDPP the power to review a decision to institute a prosecution. </w:t>
      </w:r>
      <w:r w:rsidR="00462B25">
        <w:rPr>
          <w:lang w:val="en-ZA"/>
        </w:rPr>
        <w:t xml:space="preserve"> </w:t>
      </w:r>
      <w:r w:rsidR="00273963" w:rsidRPr="007A5967">
        <w:rPr>
          <w:lang w:val="en-ZA"/>
        </w:rPr>
        <w:t>This is a public power that must be exercised rationally and lawfully.</w:t>
      </w:r>
      <w:r w:rsidR="00F53635">
        <w:rPr>
          <w:rStyle w:val="FootnoteReference"/>
          <w:lang w:val="en-ZA"/>
        </w:rPr>
        <w:footnoteReference w:id="24"/>
      </w:r>
      <w:r w:rsidR="00273963" w:rsidRPr="007A5967">
        <w:rPr>
          <w:lang w:val="en-ZA"/>
        </w:rPr>
        <w:t xml:space="preserve"> An improper exercise of the discretion in reaching the decision can be reviewed and set aside by a </w:t>
      </w:r>
      <w:r w:rsidR="00704AEB">
        <w:rPr>
          <w:lang w:val="en-ZA"/>
        </w:rPr>
        <w:t>C</w:t>
      </w:r>
      <w:r w:rsidR="00273963" w:rsidRPr="007A5967">
        <w:rPr>
          <w:lang w:val="en-ZA"/>
        </w:rPr>
        <w:t>ourt if it is irrational,</w:t>
      </w:r>
      <w:r w:rsidR="004C1028">
        <w:rPr>
          <w:rStyle w:val="FootnoteReference"/>
          <w:lang w:val="en-ZA"/>
        </w:rPr>
        <w:footnoteReference w:id="25"/>
      </w:r>
      <w:r w:rsidR="00273963" w:rsidRPr="007A5967">
        <w:rPr>
          <w:lang w:val="en-ZA"/>
        </w:rPr>
        <w:t xml:space="preserve"> taken for ulterior purposes,</w:t>
      </w:r>
      <w:r w:rsidR="004C1028">
        <w:rPr>
          <w:rStyle w:val="FootnoteReference"/>
          <w:lang w:val="en-ZA"/>
        </w:rPr>
        <w:footnoteReference w:id="26"/>
      </w:r>
      <w:r w:rsidR="00273963" w:rsidRPr="007A5967">
        <w:rPr>
          <w:lang w:val="en-ZA"/>
        </w:rPr>
        <w:t xml:space="preserve"> </w:t>
      </w:r>
      <w:r w:rsidR="00273963" w:rsidRPr="004C1028">
        <w:rPr>
          <w:i/>
          <w:iCs/>
          <w:lang w:val="en-ZA"/>
        </w:rPr>
        <w:t>mala fide</w:t>
      </w:r>
      <w:r w:rsidR="004C1028" w:rsidRPr="004C1028">
        <w:rPr>
          <w:rStyle w:val="FootnoteReference"/>
          <w:lang w:val="en-ZA"/>
        </w:rPr>
        <w:footnoteReference w:id="27"/>
      </w:r>
      <w:r w:rsidR="00273963" w:rsidRPr="007A5967">
        <w:rPr>
          <w:lang w:val="en-ZA"/>
        </w:rPr>
        <w:t xml:space="preserve"> or otherwise unlawful.</w:t>
      </w:r>
      <w:r w:rsidR="004C1028">
        <w:rPr>
          <w:rStyle w:val="FootnoteReference"/>
          <w:lang w:val="en-ZA"/>
        </w:rPr>
        <w:footnoteReference w:id="28"/>
      </w:r>
      <w:r w:rsidR="00273963" w:rsidRPr="007A5967">
        <w:rPr>
          <w:lang w:val="en-ZA"/>
        </w:rPr>
        <w:t xml:space="preserve"> This similarly applies to the decision itself.</w:t>
      </w:r>
      <w:r w:rsidR="006F798A">
        <w:rPr>
          <w:rStyle w:val="FootnoteReference"/>
          <w:lang w:val="en-ZA"/>
        </w:rPr>
        <w:footnoteReference w:id="29"/>
      </w:r>
      <w:r w:rsidR="00273963" w:rsidRPr="007A5967">
        <w:rPr>
          <w:lang w:val="en-ZA"/>
        </w:rPr>
        <w:t xml:space="preserve"> </w:t>
      </w:r>
      <w:r w:rsidR="00462B25">
        <w:rPr>
          <w:lang w:val="en-ZA"/>
        </w:rPr>
        <w:t xml:space="preserve"> </w:t>
      </w:r>
    </w:p>
    <w:p w14:paraId="0D8E9490" w14:textId="167ADF6B" w:rsidR="00273963" w:rsidRPr="007A5967" w:rsidRDefault="00715A2A" w:rsidP="00715A2A">
      <w:pPr>
        <w:pStyle w:val="JudgmentNumbered"/>
        <w:numPr>
          <w:ilvl w:val="0"/>
          <w:numId w:val="0"/>
        </w:numPr>
        <w:rPr>
          <w:lang w:val="en-ZA"/>
        </w:rPr>
      </w:pPr>
      <w:r w:rsidRPr="007A5967">
        <w:rPr>
          <w:lang w:val="en-ZA"/>
        </w:rPr>
        <w:t>[51]</w:t>
      </w:r>
      <w:r w:rsidRPr="007A5967">
        <w:rPr>
          <w:lang w:val="en-ZA"/>
        </w:rPr>
        <w:tab/>
      </w:r>
      <w:r w:rsidR="00273963" w:rsidRPr="007A5967">
        <w:rPr>
          <w:lang w:val="en-ZA"/>
        </w:rPr>
        <w:t>The procedural requirements to be met are that the NDPP should first consult the relevant DPP, in this case, the North West Province DPP, secondly, they should take representations from the accused person(s), the complainant</w:t>
      </w:r>
      <w:r w:rsidR="009D7E9A">
        <w:rPr>
          <w:lang w:val="en-ZA"/>
        </w:rPr>
        <w:t>s</w:t>
      </w:r>
      <w:r w:rsidR="00273963" w:rsidRPr="007A5967">
        <w:rPr>
          <w:lang w:val="en-ZA"/>
        </w:rPr>
        <w:t xml:space="preserve"> and any other persons or party the NDPP considers to be relevant. </w:t>
      </w:r>
      <w:r w:rsidR="00462B25">
        <w:rPr>
          <w:lang w:val="en-ZA"/>
        </w:rPr>
        <w:t xml:space="preserve"> </w:t>
      </w:r>
      <w:r w:rsidR="00273963" w:rsidRPr="007A5967">
        <w:rPr>
          <w:lang w:val="en-ZA"/>
        </w:rPr>
        <w:t>If these are not met, the decision will fail the rationality test for failure to comply with mandatory provisions.</w:t>
      </w:r>
      <w:r w:rsidR="003672F5">
        <w:rPr>
          <w:rStyle w:val="FootnoteReference"/>
          <w:lang w:val="en-ZA"/>
        </w:rPr>
        <w:footnoteReference w:id="30"/>
      </w:r>
      <w:r w:rsidR="000C0BB9">
        <w:rPr>
          <w:lang w:val="en-ZA"/>
        </w:rPr>
        <w:t xml:space="preserve"> </w:t>
      </w:r>
      <w:r w:rsidR="00273963" w:rsidRPr="007A5967">
        <w:rPr>
          <w:lang w:val="en-ZA"/>
        </w:rPr>
        <w:t xml:space="preserve">If these are met, then the next step is to consider whether the decision reached by the NDPP was a rational one. </w:t>
      </w:r>
      <w:r w:rsidR="00462B25">
        <w:rPr>
          <w:lang w:val="en-ZA"/>
        </w:rPr>
        <w:t xml:space="preserve"> </w:t>
      </w:r>
      <w:r w:rsidR="00273963" w:rsidRPr="007A5967">
        <w:rPr>
          <w:lang w:val="en-ZA"/>
        </w:rPr>
        <w:t>The test for this is now trite and requires the decision maker to take into consideration all relevant factors and to reach a decision that is objectively justifiable from the information before them.</w:t>
      </w:r>
      <w:r w:rsidR="004F0B83">
        <w:rPr>
          <w:rStyle w:val="FootnoteReference"/>
          <w:lang w:val="en-ZA"/>
        </w:rPr>
        <w:footnoteReference w:id="31"/>
      </w:r>
      <w:r w:rsidR="00462B25">
        <w:rPr>
          <w:lang w:val="en-ZA"/>
        </w:rPr>
        <w:t xml:space="preserve">  </w:t>
      </w:r>
    </w:p>
    <w:p w14:paraId="07B9A21F" w14:textId="6652EDD5" w:rsidR="00462B25" w:rsidRDefault="00715A2A" w:rsidP="00715A2A">
      <w:pPr>
        <w:pStyle w:val="JudgmentNumbered"/>
        <w:numPr>
          <w:ilvl w:val="0"/>
          <w:numId w:val="0"/>
        </w:numPr>
        <w:rPr>
          <w:lang w:val="en-ZA"/>
        </w:rPr>
      </w:pPr>
      <w:r>
        <w:rPr>
          <w:lang w:val="en-ZA"/>
        </w:rPr>
        <w:t>[52]</w:t>
      </w:r>
      <w:r>
        <w:rPr>
          <w:lang w:val="en-ZA"/>
        </w:rPr>
        <w:tab/>
      </w:r>
      <w:r w:rsidR="00273963" w:rsidRPr="007A5967">
        <w:rPr>
          <w:lang w:val="en-ZA"/>
        </w:rPr>
        <w:t xml:space="preserve">The applicants challenge to the rationality of the decision </w:t>
      </w:r>
      <w:r w:rsidR="00477BD5">
        <w:rPr>
          <w:lang w:val="en-ZA"/>
        </w:rPr>
        <w:t xml:space="preserve">by </w:t>
      </w:r>
      <w:r w:rsidR="00C233F0">
        <w:rPr>
          <w:lang w:val="en-ZA"/>
        </w:rPr>
        <w:t xml:space="preserve">saying it has </w:t>
      </w:r>
      <w:r w:rsidR="00273963" w:rsidRPr="007A5967">
        <w:rPr>
          <w:lang w:val="en-ZA"/>
        </w:rPr>
        <w:t xml:space="preserve">no reasonable prospects of success, not being related to the overarching legal framework </w:t>
      </w:r>
      <w:r w:rsidR="00273963" w:rsidRPr="007A5967">
        <w:rPr>
          <w:lang w:val="en-ZA"/>
        </w:rPr>
        <w:lastRenderedPageBreak/>
        <w:t>while tainted by bias as the police have not been prosecuted</w:t>
      </w:r>
      <w:r w:rsidR="00585DA4">
        <w:rPr>
          <w:lang w:val="en-ZA"/>
        </w:rPr>
        <w:t xml:space="preserve">, </w:t>
      </w:r>
      <w:r w:rsidR="00273963" w:rsidRPr="007A5967">
        <w:rPr>
          <w:lang w:val="en-ZA"/>
        </w:rPr>
        <w:t>that the NDPP did not apply his mind to the facts before him,</w:t>
      </w:r>
      <w:r w:rsidR="00016690">
        <w:rPr>
          <w:lang w:val="en-ZA"/>
        </w:rPr>
        <w:t xml:space="preserve"> and lastly </w:t>
      </w:r>
      <w:r w:rsidR="00273963" w:rsidRPr="007A5967">
        <w:rPr>
          <w:lang w:val="en-ZA"/>
        </w:rPr>
        <w:t>that the prosecution is not in the public interest</w:t>
      </w:r>
      <w:r w:rsidR="00462B25">
        <w:rPr>
          <w:lang w:val="en-ZA"/>
        </w:rPr>
        <w:t xml:space="preserve">.  </w:t>
      </w:r>
    </w:p>
    <w:p w14:paraId="4F87BAFD" w14:textId="210C0CC7" w:rsidR="00462B25" w:rsidRDefault="00715A2A" w:rsidP="00715A2A">
      <w:pPr>
        <w:pStyle w:val="JudgmentNumbered"/>
        <w:numPr>
          <w:ilvl w:val="0"/>
          <w:numId w:val="0"/>
        </w:numPr>
        <w:rPr>
          <w:lang w:val="en-ZA"/>
        </w:rPr>
      </w:pPr>
      <w:r>
        <w:rPr>
          <w:lang w:val="en-ZA"/>
        </w:rPr>
        <w:t>[53]</w:t>
      </w:r>
      <w:r>
        <w:rPr>
          <w:lang w:val="en-ZA"/>
        </w:rPr>
        <w:tab/>
      </w:r>
      <w:r w:rsidR="00273963" w:rsidRPr="007A5967">
        <w:rPr>
          <w:lang w:val="en-ZA"/>
        </w:rPr>
        <w:t xml:space="preserve">Due </w:t>
      </w:r>
      <w:r w:rsidR="00243C33">
        <w:rPr>
          <w:lang w:val="en-ZA"/>
        </w:rPr>
        <w:t xml:space="preserve">to </w:t>
      </w:r>
      <w:r w:rsidR="00273963" w:rsidRPr="007A5967">
        <w:rPr>
          <w:lang w:val="en-ZA"/>
        </w:rPr>
        <w:t>the separation of powers</w:t>
      </w:r>
      <w:r w:rsidR="00B91EC9">
        <w:rPr>
          <w:lang w:val="en-ZA"/>
        </w:rPr>
        <w:t xml:space="preserve"> doctrine</w:t>
      </w:r>
      <w:r w:rsidR="00273963" w:rsidRPr="007A5967">
        <w:rPr>
          <w:lang w:val="en-ZA"/>
        </w:rPr>
        <w:t>, a Court will not lightly interfere with a decision made by the NPA to institute a prosecution</w:t>
      </w:r>
      <w:r w:rsidR="00462B25">
        <w:rPr>
          <w:lang w:val="en-ZA"/>
        </w:rPr>
        <w:t xml:space="preserve">.  </w:t>
      </w:r>
      <w:r w:rsidR="00273963" w:rsidRPr="007A5967">
        <w:rPr>
          <w:lang w:val="en-ZA"/>
        </w:rPr>
        <w:t>The circumstances in which this will happen are limited</w:t>
      </w:r>
      <w:r w:rsidR="00462B25">
        <w:rPr>
          <w:lang w:val="en-ZA"/>
        </w:rPr>
        <w:t xml:space="preserve">.  </w:t>
      </w:r>
      <w:r w:rsidR="00273963" w:rsidRPr="007A5967">
        <w:rPr>
          <w:lang w:val="en-ZA"/>
        </w:rPr>
        <w:t>A non-exhaustive list include</w:t>
      </w:r>
      <w:r w:rsidR="003D7267">
        <w:rPr>
          <w:lang w:val="en-ZA"/>
        </w:rPr>
        <w:t>s</w:t>
      </w:r>
      <w:r w:rsidR="00462B25">
        <w:rPr>
          <w:lang w:val="en-ZA"/>
        </w:rPr>
        <w:t xml:space="preserve">:  </w:t>
      </w:r>
      <w:r w:rsidR="00273963" w:rsidRPr="007A5967">
        <w:rPr>
          <w:lang w:val="en-ZA"/>
        </w:rPr>
        <w:t>prosecutions for ulterior purposes; where the prosecutors gave an undertaking not to prosecute;</w:t>
      </w:r>
      <w:r w:rsidR="000C0BB9">
        <w:rPr>
          <w:lang w:val="en-ZA"/>
        </w:rPr>
        <w:t xml:space="preserve"> </w:t>
      </w:r>
      <w:r w:rsidR="00273963" w:rsidRPr="007A5967">
        <w:rPr>
          <w:lang w:val="en-ZA"/>
        </w:rPr>
        <w:t>where there were representations made for a plea in exchange for co-operation;</w:t>
      </w:r>
      <w:r w:rsidR="000C0BB9">
        <w:rPr>
          <w:lang w:val="en-ZA"/>
        </w:rPr>
        <w:t xml:space="preserve"> </w:t>
      </w:r>
      <w:r w:rsidR="00273963" w:rsidRPr="007A5967">
        <w:rPr>
          <w:lang w:val="en-ZA"/>
        </w:rPr>
        <w:t>and otherwise unlawful prosecutions</w:t>
      </w:r>
      <w:r w:rsidR="00462B25">
        <w:rPr>
          <w:lang w:val="en-ZA"/>
        </w:rPr>
        <w:t xml:space="preserve">.  </w:t>
      </w:r>
    </w:p>
    <w:p w14:paraId="708CCCE2" w14:textId="637F2DC7" w:rsidR="00462B25" w:rsidRDefault="00715A2A" w:rsidP="00715A2A">
      <w:pPr>
        <w:pStyle w:val="JudgmentNumbered"/>
        <w:numPr>
          <w:ilvl w:val="0"/>
          <w:numId w:val="0"/>
        </w:numPr>
        <w:rPr>
          <w:lang w:val="en-ZA"/>
        </w:rPr>
      </w:pPr>
      <w:r>
        <w:rPr>
          <w:lang w:val="en-ZA"/>
        </w:rPr>
        <w:t>[54]</w:t>
      </w:r>
      <w:r>
        <w:rPr>
          <w:lang w:val="en-ZA"/>
        </w:rPr>
        <w:tab/>
      </w:r>
      <w:r w:rsidR="00273963" w:rsidRPr="007A5967">
        <w:rPr>
          <w:lang w:val="en-ZA"/>
        </w:rPr>
        <w:t>The first step in this process is to identify the material placed before the NDPP</w:t>
      </w:r>
      <w:r w:rsidR="00462B25">
        <w:rPr>
          <w:lang w:val="en-ZA"/>
        </w:rPr>
        <w:t xml:space="preserve">.  </w:t>
      </w:r>
      <w:r w:rsidR="00273963" w:rsidRPr="007A5967">
        <w:rPr>
          <w:lang w:val="en-ZA"/>
        </w:rPr>
        <w:t>On 24 August 2016, the Applicants made a demand with representations as to why the charges should be withdrawn</w:t>
      </w:r>
      <w:r w:rsidR="00462B25">
        <w:rPr>
          <w:lang w:val="en-ZA"/>
        </w:rPr>
        <w:t xml:space="preserve">.  </w:t>
      </w:r>
      <w:r w:rsidR="00273963" w:rsidRPr="007A5967">
        <w:rPr>
          <w:lang w:val="en-ZA"/>
        </w:rPr>
        <w:t xml:space="preserve">They were received by the DPP in the North West, who then sent a letter to the NDPP with the representations as well as his response as to why he believed there was a </w:t>
      </w:r>
      <w:r w:rsidR="00273963" w:rsidRPr="00A7686A">
        <w:rPr>
          <w:i/>
          <w:iCs/>
          <w:lang w:val="en-ZA"/>
        </w:rPr>
        <w:t xml:space="preserve">prima facie </w:t>
      </w:r>
      <w:r w:rsidR="00273963" w:rsidRPr="007A5967">
        <w:rPr>
          <w:lang w:val="en-ZA"/>
        </w:rPr>
        <w:t>case against the</w:t>
      </w:r>
      <w:r w:rsidR="00C50337">
        <w:rPr>
          <w:lang w:val="en-ZA"/>
        </w:rPr>
        <w:t xml:space="preserve"> applicants</w:t>
      </w:r>
      <w:r w:rsidR="00273963" w:rsidRPr="007A5967">
        <w:rPr>
          <w:lang w:val="en-ZA"/>
        </w:rPr>
        <w:t xml:space="preserve">, </w:t>
      </w:r>
      <w:r w:rsidR="00D45DA5">
        <w:rPr>
          <w:lang w:val="en-ZA"/>
        </w:rPr>
        <w:t xml:space="preserve">and </w:t>
      </w:r>
      <w:r w:rsidR="00273963" w:rsidRPr="007A5967">
        <w:rPr>
          <w:lang w:val="en-ZA"/>
        </w:rPr>
        <w:t xml:space="preserve">refuting claims that </w:t>
      </w:r>
      <w:r w:rsidR="00887B6D">
        <w:rPr>
          <w:lang w:val="en-ZA"/>
        </w:rPr>
        <w:t xml:space="preserve">a certain </w:t>
      </w:r>
      <w:r w:rsidR="00273963" w:rsidRPr="007A5967">
        <w:rPr>
          <w:lang w:val="en-ZA"/>
        </w:rPr>
        <w:t>Mr X was not a credible witness</w:t>
      </w:r>
      <w:r w:rsidR="00462B25">
        <w:rPr>
          <w:lang w:val="en-ZA"/>
        </w:rPr>
        <w:t xml:space="preserve">.  </w:t>
      </w:r>
      <w:r w:rsidR="00273963" w:rsidRPr="007A5967">
        <w:rPr>
          <w:lang w:val="en-ZA"/>
        </w:rPr>
        <w:t xml:space="preserve">The Acting </w:t>
      </w:r>
      <w:r w:rsidR="00B20AF9">
        <w:rPr>
          <w:lang w:val="en-ZA"/>
        </w:rPr>
        <w:t xml:space="preserve">Deputy National Director </w:t>
      </w:r>
      <w:r w:rsidR="00273963" w:rsidRPr="007A5967">
        <w:rPr>
          <w:lang w:val="en-ZA"/>
        </w:rPr>
        <w:t xml:space="preserve">responded and requested more information with credible evidence linking the Applicants under </w:t>
      </w:r>
      <w:r w:rsidR="00F26BDD">
        <w:rPr>
          <w:lang w:val="en-ZA"/>
        </w:rPr>
        <w:t xml:space="preserve">the </w:t>
      </w:r>
      <w:r w:rsidR="00273963" w:rsidRPr="007A5967">
        <w:rPr>
          <w:lang w:val="en-ZA"/>
        </w:rPr>
        <w:t xml:space="preserve">common purpose </w:t>
      </w:r>
      <w:r w:rsidR="00D37DE3">
        <w:rPr>
          <w:lang w:val="en-ZA"/>
        </w:rPr>
        <w:t xml:space="preserve">doctrine, </w:t>
      </w:r>
      <w:r w:rsidR="00273963" w:rsidRPr="007A5967">
        <w:rPr>
          <w:lang w:val="en-ZA"/>
        </w:rPr>
        <w:t>in the commission of the crimes</w:t>
      </w:r>
      <w:r w:rsidR="00462B25">
        <w:rPr>
          <w:lang w:val="en-ZA"/>
        </w:rPr>
        <w:t xml:space="preserve">.  </w:t>
      </w:r>
      <w:r w:rsidR="00273963" w:rsidRPr="007A5967">
        <w:rPr>
          <w:lang w:val="en-ZA"/>
        </w:rPr>
        <w:t>Additionally, he wanted a response to the criticisms against Mr X’s evidence</w:t>
      </w:r>
      <w:r w:rsidR="00462B25">
        <w:rPr>
          <w:lang w:val="en-ZA"/>
        </w:rPr>
        <w:t xml:space="preserve">.  </w:t>
      </w:r>
      <w:r w:rsidR="00273963" w:rsidRPr="007A5967">
        <w:rPr>
          <w:lang w:val="en-ZA"/>
        </w:rPr>
        <w:t>The DPP then sent copies of the docket, video footage, reasons for his opinion and a copy of an extract from the Farlam Commission containing its finding</w:t>
      </w:r>
      <w:r w:rsidR="00C40C93">
        <w:rPr>
          <w:lang w:val="en-ZA"/>
        </w:rPr>
        <w:t>s</w:t>
      </w:r>
      <w:r w:rsidR="00273963" w:rsidRPr="007A5967">
        <w:rPr>
          <w:lang w:val="en-ZA"/>
        </w:rPr>
        <w:t xml:space="preserve"> </w:t>
      </w:r>
      <w:r w:rsidR="00C40C93">
        <w:rPr>
          <w:lang w:val="en-ZA"/>
        </w:rPr>
        <w:t xml:space="preserve">regarding </w:t>
      </w:r>
      <w:r w:rsidR="00273963" w:rsidRPr="007A5967">
        <w:rPr>
          <w:lang w:val="en-ZA"/>
        </w:rPr>
        <w:t>the evidence</w:t>
      </w:r>
      <w:r w:rsidR="000C0BB9">
        <w:rPr>
          <w:lang w:val="en-ZA"/>
        </w:rPr>
        <w:t xml:space="preserve"> </w:t>
      </w:r>
      <w:r w:rsidR="00273963" w:rsidRPr="007A5967">
        <w:rPr>
          <w:lang w:val="en-ZA"/>
        </w:rPr>
        <w:t>of Mr X</w:t>
      </w:r>
      <w:r w:rsidR="00462B25">
        <w:rPr>
          <w:lang w:val="en-ZA"/>
        </w:rPr>
        <w:t xml:space="preserve">.  </w:t>
      </w:r>
    </w:p>
    <w:p w14:paraId="6954FDC3" w14:textId="196219A9" w:rsidR="00462B25" w:rsidRDefault="00715A2A" w:rsidP="00715A2A">
      <w:pPr>
        <w:pStyle w:val="JudgmentNumbered"/>
        <w:numPr>
          <w:ilvl w:val="0"/>
          <w:numId w:val="0"/>
        </w:numPr>
        <w:rPr>
          <w:lang w:val="en-ZA"/>
        </w:rPr>
      </w:pPr>
      <w:r>
        <w:rPr>
          <w:lang w:val="en-ZA"/>
        </w:rPr>
        <w:t>[55]</w:t>
      </w:r>
      <w:r>
        <w:rPr>
          <w:lang w:val="en-ZA"/>
        </w:rPr>
        <w:tab/>
      </w:r>
      <w:r w:rsidR="00C40C93">
        <w:rPr>
          <w:lang w:val="en-ZA"/>
        </w:rPr>
        <w:t xml:space="preserve">All this </w:t>
      </w:r>
      <w:r w:rsidR="00273963" w:rsidRPr="007A5967">
        <w:rPr>
          <w:lang w:val="en-ZA"/>
        </w:rPr>
        <w:t xml:space="preserve">was presented before the NDPP, who, on 30 June 2017 decided that he would not review the decision to </w:t>
      </w:r>
      <w:r w:rsidR="009E592E" w:rsidRPr="007A5967">
        <w:rPr>
          <w:lang w:val="en-ZA"/>
        </w:rPr>
        <w:t>prosecute and</w:t>
      </w:r>
      <w:r w:rsidR="007A2837">
        <w:rPr>
          <w:lang w:val="en-ZA"/>
        </w:rPr>
        <w:t xml:space="preserve"> communicated his</w:t>
      </w:r>
      <w:r w:rsidR="00B20AF9">
        <w:rPr>
          <w:lang w:val="en-ZA"/>
        </w:rPr>
        <w:t xml:space="preserve"> </w:t>
      </w:r>
      <w:r w:rsidR="00273963" w:rsidRPr="007A5967">
        <w:rPr>
          <w:lang w:val="en-ZA"/>
        </w:rPr>
        <w:t xml:space="preserve">decision to the </w:t>
      </w:r>
      <w:r w:rsidR="00B20AF9">
        <w:rPr>
          <w:lang w:val="en-ZA"/>
        </w:rPr>
        <w:t>a</w:t>
      </w:r>
      <w:r w:rsidR="00B20AF9" w:rsidRPr="007A5967">
        <w:rPr>
          <w:lang w:val="en-ZA"/>
        </w:rPr>
        <w:t>pplicants</w:t>
      </w:r>
      <w:r w:rsidR="00462B25">
        <w:rPr>
          <w:lang w:val="en-ZA"/>
        </w:rPr>
        <w:t xml:space="preserve">.  </w:t>
      </w:r>
      <w:r w:rsidR="00077EC5">
        <w:rPr>
          <w:lang w:val="en-ZA"/>
        </w:rPr>
        <w:t xml:space="preserve">In </w:t>
      </w:r>
      <w:r w:rsidR="00C427BB">
        <w:rPr>
          <w:lang w:val="en-ZA"/>
        </w:rPr>
        <w:t>fact,</w:t>
      </w:r>
      <w:r w:rsidR="00273963" w:rsidRPr="007A5967">
        <w:rPr>
          <w:lang w:val="en-ZA"/>
        </w:rPr>
        <w:t xml:space="preserve"> the separation of powers</w:t>
      </w:r>
      <w:r w:rsidR="006C0584">
        <w:rPr>
          <w:lang w:val="en-ZA"/>
        </w:rPr>
        <w:t xml:space="preserve"> principle</w:t>
      </w:r>
      <w:r w:rsidR="00273963" w:rsidRPr="007A5967">
        <w:rPr>
          <w:lang w:val="en-ZA"/>
        </w:rPr>
        <w:t xml:space="preserve"> prevents </w:t>
      </w:r>
      <w:r w:rsidR="00301905">
        <w:rPr>
          <w:lang w:val="en-ZA"/>
        </w:rPr>
        <w:t>this Court</w:t>
      </w:r>
      <w:r w:rsidR="006500AD">
        <w:rPr>
          <w:lang w:val="en-ZA"/>
        </w:rPr>
        <w:t>, in the context of these proceedings</w:t>
      </w:r>
      <w:r w:rsidR="00180284">
        <w:rPr>
          <w:lang w:val="en-ZA"/>
        </w:rPr>
        <w:t>,</w:t>
      </w:r>
      <w:r w:rsidR="00301905">
        <w:rPr>
          <w:lang w:val="en-ZA"/>
        </w:rPr>
        <w:t xml:space="preserve"> </w:t>
      </w:r>
      <w:r w:rsidR="00273963" w:rsidRPr="007A5967">
        <w:rPr>
          <w:lang w:val="en-ZA"/>
        </w:rPr>
        <w:t>from second guessing the veracity of that evidence</w:t>
      </w:r>
      <w:r w:rsidR="00462B25">
        <w:rPr>
          <w:lang w:val="en-ZA"/>
        </w:rPr>
        <w:t xml:space="preserve">.  </w:t>
      </w:r>
      <w:r w:rsidR="00273963" w:rsidRPr="007A5967">
        <w:rPr>
          <w:lang w:val="en-ZA"/>
        </w:rPr>
        <w:t xml:space="preserve">This does not however, preclude </w:t>
      </w:r>
      <w:r w:rsidR="00180284">
        <w:rPr>
          <w:lang w:val="en-ZA"/>
        </w:rPr>
        <w:t xml:space="preserve">this Court </w:t>
      </w:r>
      <w:r w:rsidR="00273963" w:rsidRPr="007A5967">
        <w:rPr>
          <w:lang w:val="en-ZA"/>
        </w:rPr>
        <w:t xml:space="preserve">from </w:t>
      </w:r>
      <w:r w:rsidR="009617D7">
        <w:rPr>
          <w:lang w:val="en-ZA"/>
        </w:rPr>
        <w:t>determin</w:t>
      </w:r>
      <w:r w:rsidR="00273963" w:rsidRPr="007A5967">
        <w:rPr>
          <w:lang w:val="en-ZA"/>
        </w:rPr>
        <w:t xml:space="preserve">ing </w:t>
      </w:r>
      <w:r w:rsidR="002A7B43">
        <w:rPr>
          <w:lang w:val="en-ZA"/>
        </w:rPr>
        <w:t xml:space="preserve">whether </w:t>
      </w:r>
      <w:r w:rsidR="00273963" w:rsidRPr="007A5967">
        <w:rPr>
          <w:lang w:val="en-ZA"/>
        </w:rPr>
        <w:t>there is a rational connection between the evidence and the decision reached</w:t>
      </w:r>
      <w:r w:rsidR="00462B25">
        <w:rPr>
          <w:lang w:val="en-ZA"/>
        </w:rPr>
        <w:t xml:space="preserve">.  </w:t>
      </w:r>
      <w:r w:rsidR="00273963" w:rsidRPr="007A5967">
        <w:rPr>
          <w:lang w:val="en-ZA"/>
        </w:rPr>
        <w:t>At face value, the information before the NDPP was enough for him to make an informed decision</w:t>
      </w:r>
      <w:r w:rsidR="00462B25">
        <w:rPr>
          <w:lang w:val="en-ZA"/>
        </w:rPr>
        <w:t xml:space="preserve">.  </w:t>
      </w:r>
    </w:p>
    <w:p w14:paraId="3252F00F" w14:textId="266204E2" w:rsidR="00273963" w:rsidRPr="007A5967" w:rsidRDefault="00715A2A" w:rsidP="00715A2A">
      <w:pPr>
        <w:pStyle w:val="JudgmentNumbered"/>
        <w:numPr>
          <w:ilvl w:val="0"/>
          <w:numId w:val="0"/>
        </w:numPr>
        <w:rPr>
          <w:b/>
          <w:bCs/>
          <w:lang w:val="en-ZA"/>
        </w:rPr>
      </w:pPr>
      <w:r w:rsidRPr="007A5967">
        <w:rPr>
          <w:lang w:val="en-ZA"/>
        </w:rPr>
        <w:t>[56]</w:t>
      </w:r>
      <w:r w:rsidRPr="007A5967">
        <w:rPr>
          <w:lang w:val="en-ZA"/>
        </w:rPr>
        <w:tab/>
      </w:r>
      <w:r w:rsidR="00273963" w:rsidRPr="007A5967">
        <w:rPr>
          <w:lang w:val="en-ZA"/>
        </w:rPr>
        <w:t xml:space="preserve">The applicants’ basis for seeking that relief hinges on two bases. </w:t>
      </w:r>
      <w:r w:rsidR="00462B25">
        <w:rPr>
          <w:lang w:val="en-ZA"/>
        </w:rPr>
        <w:t xml:space="preserve"> </w:t>
      </w:r>
      <w:r w:rsidR="00273963" w:rsidRPr="007A5967">
        <w:rPr>
          <w:lang w:val="en-ZA"/>
        </w:rPr>
        <w:t xml:space="preserve">The one basis is that the prosecution has no prospects of success as it is reliant on the evidence </w:t>
      </w:r>
      <w:r w:rsidR="004008EF">
        <w:rPr>
          <w:lang w:val="en-ZA"/>
        </w:rPr>
        <w:t xml:space="preserve">of </w:t>
      </w:r>
      <w:r w:rsidR="00273963" w:rsidRPr="007A5967">
        <w:rPr>
          <w:lang w:val="en-ZA"/>
        </w:rPr>
        <w:lastRenderedPageBreak/>
        <w:t xml:space="preserve">one witness known as Mr X. </w:t>
      </w:r>
      <w:r w:rsidR="00462B25">
        <w:rPr>
          <w:lang w:val="en-ZA"/>
        </w:rPr>
        <w:t xml:space="preserve"> </w:t>
      </w:r>
      <w:r w:rsidR="00273963" w:rsidRPr="007A5967">
        <w:rPr>
          <w:lang w:val="en-ZA"/>
        </w:rPr>
        <w:t xml:space="preserve">The applicants state that Mr X’s testimony was totally discredited during the Farlam Commission. </w:t>
      </w:r>
      <w:r w:rsidR="00462B25">
        <w:rPr>
          <w:lang w:val="en-ZA"/>
        </w:rPr>
        <w:t xml:space="preserve"> </w:t>
      </w:r>
      <w:r w:rsidR="00273963" w:rsidRPr="007A5967">
        <w:rPr>
          <w:lang w:val="en-ZA"/>
        </w:rPr>
        <w:t xml:space="preserve">This assertion is disputed by the respondents, who point out that they have attached a list </w:t>
      </w:r>
      <w:r w:rsidR="000F78D1">
        <w:rPr>
          <w:lang w:val="en-ZA"/>
        </w:rPr>
        <w:t xml:space="preserve">with </w:t>
      </w:r>
      <w:r w:rsidR="00273963" w:rsidRPr="007A5967">
        <w:rPr>
          <w:lang w:val="en-ZA"/>
        </w:rPr>
        <w:t>many witnesses</w:t>
      </w:r>
      <w:r w:rsidR="00D972EF">
        <w:rPr>
          <w:lang w:val="en-ZA"/>
        </w:rPr>
        <w:t>, who will testify in the trial</w:t>
      </w:r>
      <w:r w:rsidR="00273963" w:rsidRPr="007A5967">
        <w:rPr>
          <w:lang w:val="en-ZA"/>
        </w:rPr>
        <w:t xml:space="preserve">. </w:t>
      </w:r>
      <w:r w:rsidR="00462B25">
        <w:rPr>
          <w:lang w:val="en-ZA"/>
        </w:rPr>
        <w:t xml:space="preserve"> </w:t>
      </w:r>
      <w:r w:rsidR="00273963" w:rsidRPr="007A5967">
        <w:rPr>
          <w:lang w:val="en-ZA"/>
        </w:rPr>
        <w:t>They have also included this list and the statements obtained from these witnesses who they</w:t>
      </w:r>
      <w:r w:rsidR="00CD12A3">
        <w:rPr>
          <w:lang w:val="en-ZA"/>
        </w:rPr>
        <w:t xml:space="preserve"> intend to</w:t>
      </w:r>
      <w:r w:rsidR="00273963" w:rsidRPr="007A5967">
        <w:rPr>
          <w:lang w:val="en-ZA"/>
        </w:rPr>
        <w:t xml:space="preserve"> call in the criminal trial. </w:t>
      </w:r>
      <w:r w:rsidR="00462B25">
        <w:rPr>
          <w:lang w:val="en-ZA"/>
        </w:rPr>
        <w:t xml:space="preserve"> </w:t>
      </w:r>
      <w:r w:rsidR="00273963" w:rsidRPr="007A5967">
        <w:rPr>
          <w:lang w:val="en-ZA"/>
        </w:rPr>
        <w:t>Our Courts have stated that prosecutorial independence is important and should not be trifled with.</w:t>
      </w:r>
      <w:r w:rsidR="00B20AF9">
        <w:rPr>
          <w:rStyle w:val="FootnoteReference"/>
          <w:lang w:val="en-ZA"/>
        </w:rPr>
        <w:footnoteReference w:id="32"/>
      </w:r>
      <w:r w:rsidR="00273963" w:rsidRPr="007A5967">
        <w:rPr>
          <w:lang w:val="en-ZA"/>
        </w:rPr>
        <w:t xml:space="preserve"> </w:t>
      </w:r>
      <w:r w:rsidR="003754B4">
        <w:rPr>
          <w:lang w:val="en-ZA"/>
        </w:rPr>
        <w:t xml:space="preserve">The </w:t>
      </w:r>
      <w:r w:rsidR="006C662F">
        <w:rPr>
          <w:lang w:val="en-ZA"/>
        </w:rPr>
        <w:t xml:space="preserve">material placed before the </w:t>
      </w:r>
      <w:r w:rsidR="00B20AF9">
        <w:rPr>
          <w:lang w:val="en-ZA"/>
        </w:rPr>
        <w:t xml:space="preserve">NDPP </w:t>
      </w:r>
      <w:r w:rsidR="006C662F">
        <w:rPr>
          <w:lang w:val="en-ZA"/>
        </w:rPr>
        <w:t>and p</w:t>
      </w:r>
      <w:r w:rsidR="00273963" w:rsidRPr="007A5967">
        <w:rPr>
          <w:lang w:val="en-ZA"/>
        </w:rPr>
        <w:t>urely considering the respondents answering affidavit as well as the material included in the rule 53 record, I fin</w:t>
      </w:r>
      <w:r w:rsidR="00A71A0F">
        <w:rPr>
          <w:lang w:val="en-ZA"/>
        </w:rPr>
        <w:t>d</w:t>
      </w:r>
      <w:r w:rsidR="00273963" w:rsidRPr="007A5967">
        <w:rPr>
          <w:lang w:val="en-ZA"/>
        </w:rPr>
        <w:t xml:space="preserve"> </w:t>
      </w:r>
      <w:r w:rsidR="00A71A0F">
        <w:rPr>
          <w:lang w:val="en-ZA"/>
        </w:rPr>
        <w:t>n</w:t>
      </w:r>
      <w:r w:rsidR="00273963" w:rsidRPr="007A5967">
        <w:rPr>
          <w:lang w:val="en-ZA"/>
        </w:rPr>
        <w:t xml:space="preserve">o basis </w:t>
      </w:r>
      <w:r w:rsidR="00C90E5D">
        <w:rPr>
          <w:lang w:val="en-ZA"/>
        </w:rPr>
        <w:t>for this Court</w:t>
      </w:r>
      <w:r w:rsidR="00FC5083">
        <w:rPr>
          <w:lang w:val="en-ZA"/>
        </w:rPr>
        <w:t xml:space="preserve"> to review the decision to prosecute and set it aside. </w:t>
      </w:r>
    </w:p>
    <w:p w14:paraId="0C9A904F" w14:textId="375BBB1D" w:rsidR="0010397A" w:rsidRPr="00573F6D" w:rsidRDefault="00715A2A" w:rsidP="00715A2A">
      <w:pPr>
        <w:pStyle w:val="JudgmentNumbered"/>
        <w:numPr>
          <w:ilvl w:val="0"/>
          <w:numId w:val="0"/>
        </w:numPr>
        <w:spacing w:after="0"/>
        <w:rPr>
          <w:b/>
          <w:bCs/>
          <w:lang w:val="en-ZA"/>
        </w:rPr>
      </w:pPr>
      <w:r w:rsidRPr="00573F6D">
        <w:rPr>
          <w:lang w:val="en-ZA"/>
        </w:rPr>
        <w:t>[57]</w:t>
      </w:r>
      <w:r w:rsidRPr="00573F6D">
        <w:rPr>
          <w:lang w:val="en-ZA"/>
        </w:rPr>
        <w:tab/>
      </w:r>
      <w:r w:rsidR="00273963" w:rsidRPr="007A5967">
        <w:rPr>
          <w:lang w:val="en-ZA"/>
        </w:rPr>
        <w:t xml:space="preserve">The other basis on which the review is premised is the </w:t>
      </w:r>
      <w:r w:rsidR="0010397A">
        <w:rPr>
          <w:lang w:val="en-ZA"/>
        </w:rPr>
        <w:t>NDPP’s</w:t>
      </w:r>
      <w:r w:rsidR="00273963" w:rsidRPr="007A5967">
        <w:rPr>
          <w:lang w:val="en-ZA"/>
        </w:rPr>
        <w:t xml:space="preserve"> failure to provide reasons for his decision.</w:t>
      </w:r>
      <w:r w:rsidR="000C0BB9">
        <w:rPr>
          <w:lang w:val="en-ZA"/>
        </w:rPr>
        <w:t xml:space="preserve"> </w:t>
      </w:r>
      <w:r w:rsidR="00462B25">
        <w:rPr>
          <w:lang w:val="en-ZA"/>
        </w:rPr>
        <w:t xml:space="preserve"> </w:t>
      </w:r>
      <w:r w:rsidR="00273963" w:rsidRPr="007A5967">
        <w:rPr>
          <w:lang w:val="en-ZA"/>
        </w:rPr>
        <w:t xml:space="preserve">The applicants base this challenge on the </w:t>
      </w:r>
      <w:r w:rsidR="0010397A">
        <w:rPr>
          <w:lang w:val="en-ZA"/>
        </w:rPr>
        <w:t>NDPP’s</w:t>
      </w:r>
      <w:r w:rsidR="00273963" w:rsidRPr="007A5967">
        <w:rPr>
          <w:lang w:val="en-ZA"/>
        </w:rPr>
        <w:t xml:space="preserve"> failure to respond to the request for reasons after the 12 September 2017 meeting with him. </w:t>
      </w:r>
      <w:r w:rsidR="00462B25">
        <w:rPr>
          <w:lang w:val="en-ZA"/>
        </w:rPr>
        <w:t xml:space="preserve"> </w:t>
      </w:r>
      <w:r w:rsidR="00273963" w:rsidRPr="007A5967">
        <w:rPr>
          <w:lang w:val="en-ZA"/>
        </w:rPr>
        <w:t xml:space="preserve">The simple fact of the matter is that whilst the NDPP failed to respond to that request, it was actually the second such request. </w:t>
      </w:r>
      <w:r w:rsidR="00462B25">
        <w:rPr>
          <w:lang w:val="en-ZA"/>
        </w:rPr>
        <w:t xml:space="preserve"> </w:t>
      </w:r>
      <w:r w:rsidR="00273963" w:rsidRPr="007A5967">
        <w:rPr>
          <w:lang w:val="en-ZA"/>
        </w:rPr>
        <w:t xml:space="preserve">The NDPP responded and provided his reasons for his decision after he received the first request, sent to him in August 2017. </w:t>
      </w:r>
      <w:r w:rsidR="00462B25">
        <w:rPr>
          <w:lang w:val="en-ZA"/>
        </w:rPr>
        <w:t xml:space="preserve"> </w:t>
      </w:r>
      <w:r w:rsidR="00273963" w:rsidRPr="007A5967">
        <w:rPr>
          <w:lang w:val="en-ZA"/>
        </w:rPr>
        <w:t>The second request sent to the NDPP traverse the same ground and in my view</w:t>
      </w:r>
      <w:r w:rsidR="0010397A">
        <w:rPr>
          <w:lang w:val="en-ZA"/>
        </w:rPr>
        <w:t>,</w:t>
      </w:r>
      <w:r w:rsidR="00273963" w:rsidRPr="007A5967">
        <w:rPr>
          <w:lang w:val="en-ZA"/>
        </w:rPr>
        <w:t xml:space="preserve"> was actually the same request sent twice. </w:t>
      </w:r>
      <w:r w:rsidR="00462B25">
        <w:rPr>
          <w:lang w:val="en-ZA"/>
        </w:rPr>
        <w:t xml:space="preserve"> </w:t>
      </w:r>
      <w:r w:rsidR="00273963" w:rsidRPr="007A5967">
        <w:rPr>
          <w:lang w:val="en-ZA"/>
        </w:rPr>
        <w:t xml:space="preserve">For completeness’ sake I repeat the </w:t>
      </w:r>
      <w:r w:rsidR="0010397A">
        <w:rPr>
          <w:lang w:val="en-ZA"/>
        </w:rPr>
        <w:t>NDPP’s</w:t>
      </w:r>
      <w:r w:rsidR="00273963" w:rsidRPr="007A5967">
        <w:rPr>
          <w:lang w:val="en-ZA"/>
        </w:rPr>
        <w:t xml:space="preserve"> reasons in respon</w:t>
      </w:r>
      <w:r w:rsidR="0010397A">
        <w:rPr>
          <w:lang w:val="en-ZA"/>
        </w:rPr>
        <w:t>se</w:t>
      </w:r>
      <w:r w:rsidR="00273963" w:rsidRPr="007A5967">
        <w:rPr>
          <w:lang w:val="en-ZA"/>
        </w:rPr>
        <w:t xml:space="preserve"> to the first request</w:t>
      </w:r>
      <w:r w:rsidR="00573F6D">
        <w:rPr>
          <w:lang w:val="en-ZA"/>
        </w:rPr>
        <w:t>:</w:t>
      </w:r>
      <w:r w:rsidR="00462B25">
        <w:rPr>
          <w:lang w:val="en-ZA"/>
        </w:rPr>
        <w:t xml:space="preserve">  </w:t>
      </w:r>
    </w:p>
    <w:p w14:paraId="5AC38AE8" w14:textId="77777777" w:rsidR="00573F6D" w:rsidRPr="0010397A" w:rsidRDefault="00573F6D" w:rsidP="00573F6D">
      <w:pPr>
        <w:pStyle w:val="Judgmentbetweenparagraphs"/>
      </w:pPr>
    </w:p>
    <w:p w14:paraId="299957A0" w14:textId="6E094BF6" w:rsidR="00573F6D" w:rsidRPr="008A242F" w:rsidRDefault="00573F6D" w:rsidP="00573F6D">
      <w:pPr>
        <w:pStyle w:val="Quotes"/>
      </w:pPr>
      <w:r>
        <w:t xml:space="preserve"> </w:t>
      </w:r>
      <w:r w:rsidR="00273963" w:rsidRPr="007A5967">
        <w:t>“</w:t>
      </w:r>
      <w:r w:rsidRPr="008A242F">
        <w:t xml:space="preserve">REPRESENTATIONS: </w:t>
      </w:r>
      <w:r w:rsidR="00462B25">
        <w:t xml:space="preserve"> </w:t>
      </w:r>
      <w:r w:rsidRPr="008A242F">
        <w:t>THE STATE v ANELE ZONKE AND 18 OTHERS</w:t>
      </w:r>
    </w:p>
    <w:p w14:paraId="313DC830" w14:textId="537747F6" w:rsidR="00573F6D" w:rsidRDefault="00573F6D" w:rsidP="00573F6D">
      <w:pPr>
        <w:pStyle w:val="Quotes"/>
        <w:spacing w:after="0"/>
      </w:pPr>
      <w:r>
        <w:tab/>
      </w:r>
      <w:r w:rsidRPr="008A242F">
        <w:t>Your correspondence dated 24 August 2016 that was e-mailed to our Ms H Zwart on 25 August 2016 has reference</w:t>
      </w:r>
      <w:r w:rsidR="00462B25">
        <w:t xml:space="preserve">  </w:t>
      </w:r>
    </w:p>
    <w:p w14:paraId="37BC8FE6" w14:textId="77777777" w:rsidR="00573F6D" w:rsidRPr="00573F6D" w:rsidRDefault="00573F6D" w:rsidP="00573F6D">
      <w:pPr>
        <w:pStyle w:val="Judgmentbetweenparagraphs"/>
      </w:pPr>
    </w:p>
    <w:p w14:paraId="6B0EE9DE" w14:textId="77777777" w:rsidR="00462B25" w:rsidRDefault="00573F6D" w:rsidP="00573F6D">
      <w:pPr>
        <w:pStyle w:val="Quotes"/>
        <w:spacing w:after="0"/>
      </w:pPr>
      <w:r>
        <w:tab/>
      </w:r>
      <w:r w:rsidRPr="008A242F">
        <w:t>Please be advised that, having considered your representations, I remain unpersuaded that the Director of Public Prosecutions Mmabatho, has acted outside the scope of permitted by the law and the Prosecution Policy with the said prosecution against the 19 accused persons</w:t>
      </w:r>
      <w:r w:rsidR="00462B25">
        <w:t xml:space="preserve">.  </w:t>
      </w:r>
    </w:p>
    <w:p w14:paraId="297079B2" w14:textId="58EF2FF0" w:rsidR="00573F6D" w:rsidRPr="00573F6D" w:rsidRDefault="00573F6D" w:rsidP="00573F6D">
      <w:pPr>
        <w:pStyle w:val="Judgmentbetweenparagraphs"/>
      </w:pPr>
    </w:p>
    <w:p w14:paraId="40EA3DA5" w14:textId="362D38EF" w:rsidR="00573F6D" w:rsidRDefault="00573F6D" w:rsidP="00573F6D">
      <w:pPr>
        <w:pStyle w:val="Quotes"/>
        <w:spacing w:after="0"/>
      </w:pPr>
      <w:r>
        <w:tab/>
      </w:r>
      <w:r w:rsidRPr="008A242F">
        <w:t xml:space="preserve">I am further confident that if your concerns are raised in court, the court would in its consideration of the matter make an appropriate decision in the normal course. </w:t>
      </w:r>
      <w:r w:rsidR="00462B25">
        <w:t xml:space="preserve"> </w:t>
      </w:r>
    </w:p>
    <w:p w14:paraId="2C777E67" w14:textId="77777777" w:rsidR="00573F6D" w:rsidRPr="00573F6D" w:rsidRDefault="00573F6D" w:rsidP="00573F6D">
      <w:pPr>
        <w:pStyle w:val="Judgmentbetweenparagraphs"/>
      </w:pPr>
    </w:p>
    <w:p w14:paraId="76EF06CE" w14:textId="66092689" w:rsidR="00573F6D" w:rsidRDefault="00573F6D" w:rsidP="00573F6D">
      <w:pPr>
        <w:pStyle w:val="Quotes"/>
        <w:spacing w:after="0"/>
      </w:pPr>
      <w:r>
        <w:tab/>
      </w:r>
      <w:r w:rsidRPr="008A242F">
        <w:t xml:space="preserve">I trust you find this to be in order. </w:t>
      </w:r>
      <w:r w:rsidR="00462B25">
        <w:t xml:space="preserve"> </w:t>
      </w:r>
    </w:p>
    <w:p w14:paraId="4AA96D0C" w14:textId="77777777" w:rsidR="00573F6D" w:rsidRPr="00573F6D" w:rsidRDefault="00573F6D" w:rsidP="00573F6D">
      <w:pPr>
        <w:pStyle w:val="Judgmentbetweenparagraphs"/>
      </w:pPr>
    </w:p>
    <w:p w14:paraId="50C783A7" w14:textId="22108654" w:rsidR="00573F6D" w:rsidRPr="008A242F" w:rsidRDefault="00573F6D" w:rsidP="00573F6D">
      <w:pPr>
        <w:pStyle w:val="Quotes"/>
        <w:spacing w:after="0"/>
      </w:pPr>
      <w:r>
        <w:tab/>
      </w:r>
      <w:r w:rsidRPr="008A242F">
        <w:t xml:space="preserve">Yours faithfully </w:t>
      </w:r>
      <w:r w:rsidR="00462B25">
        <w:t xml:space="preserve"> </w:t>
      </w:r>
    </w:p>
    <w:p w14:paraId="7DA0381E" w14:textId="2497A97A" w:rsidR="00573F6D" w:rsidRDefault="00573F6D" w:rsidP="00573F6D">
      <w:pPr>
        <w:pStyle w:val="Quotes"/>
        <w:spacing w:after="0"/>
      </w:pPr>
      <w:r>
        <w:tab/>
      </w:r>
      <w:r w:rsidRPr="008A242F">
        <w:t>Adv S K Abrahams</w:t>
      </w:r>
      <w:r w:rsidR="00462B25">
        <w:t xml:space="preserve">  </w:t>
      </w:r>
    </w:p>
    <w:p w14:paraId="3FB3B6C3" w14:textId="694D69C9" w:rsidR="00573F6D" w:rsidRDefault="00573F6D" w:rsidP="00573F6D">
      <w:pPr>
        <w:pStyle w:val="Quotes"/>
        <w:spacing w:after="0"/>
      </w:pPr>
      <w:r>
        <w:lastRenderedPageBreak/>
        <w:tab/>
      </w:r>
      <w:r w:rsidRPr="008A242F">
        <w:t xml:space="preserve">NATIONAL DIRECTOR OF PUBLIC PROSECUTIONS </w:t>
      </w:r>
      <w:r w:rsidR="00462B25">
        <w:t xml:space="preserve"> </w:t>
      </w:r>
    </w:p>
    <w:p w14:paraId="090DC30F" w14:textId="59E03443" w:rsidR="0010397A" w:rsidRDefault="00573F6D" w:rsidP="00573F6D">
      <w:pPr>
        <w:pStyle w:val="Quotes"/>
      </w:pPr>
      <w:r>
        <w:tab/>
      </w:r>
      <w:r w:rsidRPr="008A242F">
        <w:t xml:space="preserve">Date: </w:t>
      </w:r>
      <w:r w:rsidR="00462B25">
        <w:t xml:space="preserve"> </w:t>
      </w:r>
      <w:r w:rsidRPr="008A242F">
        <w:t>30-6-2017</w:t>
      </w:r>
      <w:r w:rsidR="00273963" w:rsidRPr="007A5967">
        <w:t>.</w:t>
      </w:r>
      <w:r>
        <w:t>”</w:t>
      </w:r>
      <w:r w:rsidR="00273963" w:rsidRPr="007A5967">
        <w:t xml:space="preserve"> </w:t>
      </w:r>
      <w:r w:rsidR="00462B25">
        <w:t xml:space="preserve"> </w:t>
      </w:r>
    </w:p>
    <w:p w14:paraId="2153A071" w14:textId="77777777" w:rsidR="00573F6D" w:rsidRPr="00573F6D" w:rsidRDefault="00573F6D" w:rsidP="00573F6D">
      <w:pPr>
        <w:pStyle w:val="Judgmentbetweenparagraphs"/>
      </w:pPr>
    </w:p>
    <w:p w14:paraId="32D03C8D" w14:textId="02349C45" w:rsidR="00273963" w:rsidRPr="007A5967" w:rsidRDefault="00715A2A" w:rsidP="00715A2A">
      <w:pPr>
        <w:pStyle w:val="JudgmentNumbered"/>
        <w:numPr>
          <w:ilvl w:val="0"/>
          <w:numId w:val="0"/>
        </w:numPr>
        <w:rPr>
          <w:b/>
          <w:bCs/>
          <w:lang w:val="en-ZA"/>
        </w:rPr>
      </w:pPr>
      <w:r w:rsidRPr="007A5967">
        <w:rPr>
          <w:lang w:val="en-ZA"/>
        </w:rPr>
        <w:t>[58]</w:t>
      </w:r>
      <w:r w:rsidRPr="007A5967">
        <w:rPr>
          <w:lang w:val="en-ZA"/>
        </w:rPr>
        <w:tab/>
      </w:r>
      <w:r w:rsidR="00273963" w:rsidRPr="007A5967">
        <w:rPr>
          <w:lang w:val="en-ZA"/>
        </w:rPr>
        <w:t xml:space="preserve">It is therefore misleading to follow the applicants’ argument that no reasons were ever provided. </w:t>
      </w:r>
      <w:r w:rsidR="00462B25">
        <w:rPr>
          <w:lang w:val="en-ZA"/>
        </w:rPr>
        <w:t xml:space="preserve"> </w:t>
      </w:r>
      <w:r w:rsidR="00273963" w:rsidRPr="007A5967">
        <w:rPr>
          <w:lang w:val="en-ZA"/>
        </w:rPr>
        <w:t xml:space="preserve">The question is what had changed if anything from the first request for reasons to the second. </w:t>
      </w:r>
      <w:r w:rsidR="00462B25">
        <w:rPr>
          <w:lang w:val="en-ZA"/>
        </w:rPr>
        <w:t xml:space="preserve"> </w:t>
      </w:r>
      <w:r w:rsidR="00273963" w:rsidRPr="007A5967">
        <w:rPr>
          <w:lang w:val="en-ZA"/>
        </w:rPr>
        <w:t xml:space="preserve">The answer must be nothing, as the only notable occurrence after the first request, was the meeting between the applicants’ legal representatives and the NDPP and his staffers. </w:t>
      </w:r>
      <w:r w:rsidR="00462B25">
        <w:rPr>
          <w:lang w:val="en-ZA"/>
        </w:rPr>
        <w:t xml:space="preserve"> </w:t>
      </w:r>
    </w:p>
    <w:p w14:paraId="79AFC389" w14:textId="1E8C2A04" w:rsidR="00273963" w:rsidRPr="007A5967" w:rsidRDefault="00715A2A" w:rsidP="00715A2A">
      <w:pPr>
        <w:pStyle w:val="JudgmentNumbered"/>
        <w:numPr>
          <w:ilvl w:val="0"/>
          <w:numId w:val="0"/>
        </w:numPr>
        <w:rPr>
          <w:b/>
          <w:bCs/>
          <w:lang w:val="en-ZA"/>
        </w:rPr>
      </w:pPr>
      <w:r w:rsidRPr="007A5967">
        <w:rPr>
          <w:lang w:val="en-ZA"/>
        </w:rPr>
        <w:t>[59]</w:t>
      </w:r>
      <w:r w:rsidRPr="007A5967">
        <w:rPr>
          <w:lang w:val="en-ZA"/>
        </w:rPr>
        <w:tab/>
      </w:r>
      <w:r w:rsidR="00273963" w:rsidRPr="007A5967">
        <w:rPr>
          <w:lang w:val="en-ZA"/>
        </w:rPr>
        <w:t xml:space="preserve">The failure to respond to the second request cannot be understood to mean that </w:t>
      </w:r>
      <w:r w:rsidR="00DB2D5E">
        <w:rPr>
          <w:lang w:val="en-ZA"/>
        </w:rPr>
        <w:t xml:space="preserve">no </w:t>
      </w:r>
      <w:r w:rsidR="00273963" w:rsidRPr="007A5967">
        <w:rPr>
          <w:lang w:val="en-ZA"/>
        </w:rPr>
        <w:t xml:space="preserve">reasons </w:t>
      </w:r>
      <w:r w:rsidR="00DB2D5E">
        <w:rPr>
          <w:lang w:val="en-ZA"/>
        </w:rPr>
        <w:t xml:space="preserve">were ever </w:t>
      </w:r>
      <w:r w:rsidR="00273963" w:rsidRPr="007A5967">
        <w:rPr>
          <w:lang w:val="en-ZA"/>
        </w:rPr>
        <w:t>provided by the NDPP for his decision to refuse to review and set aside the North West DPP</w:t>
      </w:r>
      <w:r w:rsidR="00C56DBE">
        <w:rPr>
          <w:lang w:val="en-ZA"/>
        </w:rPr>
        <w:t>’</w:t>
      </w:r>
      <w:r w:rsidR="00273963" w:rsidRPr="007A5967">
        <w:rPr>
          <w:lang w:val="en-ZA"/>
        </w:rPr>
        <w:t xml:space="preserve">s decision to prosecute. </w:t>
      </w:r>
      <w:r w:rsidR="00462B25">
        <w:rPr>
          <w:lang w:val="en-ZA"/>
        </w:rPr>
        <w:t xml:space="preserve"> </w:t>
      </w:r>
      <w:r w:rsidR="00273963" w:rsidRPr="007A5967">
        <w:rPr>
          <w:lang w:val="en-ZA"/>
        </w:rPr>
        <w:t xml:space="preserve">The applicants have not referred to the reasons provided in response to the first request. </w:t>
      </w:r>
      <w:r w:rsidR="00462B25">
        <w:rPr>
          <w:lang w:val="en-ZA"/>
        </w:rPr>
        <w:t xml:space="preserve"> </w:t>
      </w:r>
      <w:r w:rsidR="00273963" w:rsidRPr="007A5967">
        <w:rPr>
          <w:lang w:val="en-ZA"/>
        </w:rPr>
        <w:t xml:space="preserve">Those reasons actually explain, even though somewhat terse, that the NDPP had considered the documents that served before the North West DPP before he decided to continue with the applicants’ prosecution. </w:t>
      </w:r>
      <w:r w:rsidR="00462B25">
        <w:rPr>
          <w:lang w:val="en-ZA"/>
        </w:rPr>
        <w:t xml:space="preserve"> </w:t>
      </w:r>
      <w:r w:rsidR="008F5518">
        <w:rPr>
          <w:lang w:val="en-ZA"/>
        </w:rPr>
        <w:t>In any event, the NDPP has, in the answering affidavit, fully substantiated his reason</w:t>
      </w:r>
      <w:r w:rsidR="002D54BA">
        <w:rPr>
          <w:lang w:val="en-ZA"/>
        </w:rPr>
        <w:t>s</w:t>
      </w:r>
      <w:r w:rsidR="008F5518">
        <w:rPr>
          <w:lang w:val="en-ZA"/>
        </w:rPr>
        <w:t xml:space="preserve"> for refusing to</w:t>
      </w:r>
      <w:r w:rsidR="002D54BA">
        <w:rPr>
          <w:lang w:val="en-ZA"/>
        </w:rPr>
        <w:t xml:space="preserve"> review and discontinue the prosecution.</w:t>
      </w:r>
      <w:r w:rsidR="00EB7059">
        <w:rPr>
          <w:lang w:val="en-ZA"/>
        </w:rPr>
        <w:t xml:space="preserve"> </w:t>
      </w:r>
      <w:r w:rsidR="00462B25">
        <w:rPr>
          <w:lang w:val="en-ZA"/>
        </w:rPr>
        <w:t xml:space="preserve"> </w:t>
      </w:r>
      <w:r w:rsidR="00EB7059">
        <w:rPr>
          <w:lang w:val="en-ZA"/>
        </w:rPr>
        <w:t>The applicants have had sight of the answering affidavit and chose not to file a reply</w:t>
      </w:r>
      <w:r w:rsidR="00B512D6">
        <w:rPr>
          <w:lang w:val="en-ZA"/>
        </w:rPr>
        <w:t>ing</w:t>
      </w:r>
      <w:r w:rsidR="00EB7059">
        <w:rPr>
          <w:lang w:val="en-ZA"/>
        </w:rPr>
        <w:t xml:space="preserve"> </w:t>
      </w:r>
      <w:r w:rsidR="003D6C7D">
        <w:rPr>
          <w:lang w:val="en-ZA"/>
        </w:rPr>
        <w:t xml:space="preserve">affidavit </w:t>
      </w:r>
      <w:r w:rsidR="00EB7059">
        <w:rPr>
          <w:lang w:val="en-ZA"/>
        </w:rPr>
        <w:t>and</w:t>
      </w:r>
      <w:r w:rsidR="003D6C7D">
        <w:rPr>
          <w:lang w:val="en-ZA"/>
        </w:rPr>
        <w:t xml:space="preserve"> respond to </w:t>
      </w:r>
      <w:r w:rsidR="00B512D6">
        <w:rPr>
          <w:lang w:val="en-ZA"/>
        </w:rPr>
        <w:t xml:space="preserve">the case </w:t>
      </w:r>
      <w:r w:rsidR="00C324F3">
        <w:rPr>
          <w:lang w:val="en-ZA"/>
        </w:rPr>
        <w:t>made out.</w:t>
      </w:r>
      <w:r w:rsidR="000C0BB9">
        <w:rPr>
          <w:lang w:val="en-ZA"/>
        </w:rPr>
        <w:t xml:space="preserve"> </w:t>
      </w:r>
      <w:r w:rsidR="00462B25">
        <w:rPr>
          <w:lang w:val="en-ZA"/>
        </w:rPr>
        <w:t xml:space="preserve"> </w:t>
      </w:r>
    </w:p>
    <w:p w14:paraId="66ED6890" w14:textId="67BED206" w:rsidR="00273963" w:rsidRPr="007A5967" w:rsidRDefault="00715A2A" w:rsidP="00715A2A">
      <w:pPr>
        <w:pStyle w:val="JudgmentNumbered"/>
        <w:numPr>
          <w:ilvl w:val="0"/>
          <w:numId w:val="0"/>
        </w:numPr>
        <w:rPr>
          <w:b/>
          <w:bCs/>
          <w:lang w:val="en-ZA"/>
        </w:rPr>
      </w:pPr>
      <w:r w:rsidRPr="007A5967">
        <w:rPr>
          <w:lang w:val="en-ZA"/>
        </w:rPr>
        <w:t>[60]</w:t>
      </w:r>
      <w:r w:rsidRPr="007A5967">
        <w:rPr>
          <w:lang w:val="en-ZA"/>
        </w:rPr>
        <w:tab/>
      </w:r>
      <w:r w:rsidR="00273963" w:rsidRPr="007A5967">
        <w:rPr>
          <w:lang w:val="en-ZA"/>
        </w:rPr>
        <w:t xml:space="preserve">It is therefore my conclusion that even on this basis, the applicants have failed to make out a case that the NDPP’s decision falls to be reviewed and set aside and that their prosecution should </w:t>
      </w:r>
      <w:r w:rsidR="007A478A" w:rsidRPr="007A5967">
        <w:rPr>
          <w:lang w:val="en-ZA"/>
        </w:rPr>
        <w:t>consequently</w:t>
      </w:r>
      <w:r w:rsidR="00273963" w:rsidRPr="007A5967">
        <w:rPr>
          <w:lang w:val="en-ZA"/>
        </w:rPr>
        <w:t xml:space="preserve"> be set aside as being invalid, unlawful and unconstitutional. </w:t>
      </w:r>
      <w:r w:rsidR="00462B25">
        <w:rPr>
          <w:lang w:val="en-ZA"/>
        </w:rPr>
        <w:t xml:space="preserve"> </w:t>
      </w:r>
    </w:p>
    <w:p w14:paraId="4150C541" w14:textId="07B28C58" w:rsidR="00273963" w:rsidRPr="007A5967" w:rsidRDefault="00715A2A" w:rsidP="00715A2A">
      <w:pPr>
        <w:pStyle w:val="JudgmentNumbered"/>
        <w:numPr>
          <w:ilvl w:val="0"/>
          <w:numId w:val="0"/>
        </w:numPr>
        <w:rPr>
          <w:b/>
          <w:bCs/>
          <w:lang w:val="en-ZA"/>
        </w:rPr>
      </w:pPr>
      <w:r w:rsidRPr="007A5967">
        <w:rPr>
          <w:lang w:val="en-ZA"/>
        </w:rPr>
        <w:t>[61]</w:t>
      </w:r>
      <w:r w:rsidRPr="007A5967">
        <w:rPr>
          <w:lang w:val="en-ZA"/>
        </w:rPr>
        <w:tab/>
      </w:r>
      <w:r w:rsidR="00E81087">
        <w:rPr>
          <w:lang w:val="en-ZA"/>
        </w:rPr>
        <w:t>With regards to costs</w:t>
      </w:r>
      <w:r w:rsidR="003E6EE2">
        <w:rPr>
          <w:lang w:val="en-ZA"/>
        </w:rPr>
        <w:t xml:space="preserve">, the </w:t>
      </w:r>
      <w:r w:rsidR="003675FF">
        <w:rPr>
          <w:lang w:val="en-ZA"/>
        </w:rPr>
        <w:t xml:space="preserve">appropriate </w:t>
      </w:r>
      <w:r w:rsidR="003E6EE2">
        <w:rPr>
          <w:lang w:val="en-ZA"/>
        </w:rPr>
        <w:t xml:space="preserve">order </w:t>
      </w:r>
      <w:r w:rsidR="003675FF">
        <w:rPr>
          <w:lang w:val="en-ZA"/>
        </w:rPr>
        <w:t>under the circumstances is that each party is to pay their own costs.</w:t>
      </w:r>
      <w:r w:rsidR="000C0BB9">
        <w:rPr>
          <w:lang w:val="en-ZA"/>
        </w:rPr>
        <w:t xml:space="preserve"> </w:t>
      </w:r>
      <w:r w:rsidR="00462B25">
        <w:rPr>
          <w:lang w:val="en-ZA"/>
        </w:rPr>
        <w:t xml:space="preserve"> </w:t>
      </w:r>
    </w:p>
    <w:p w14:paraId="30AD066B" w14:textId="71A951C3" w:rsidR="00273963" w:rsidRPr="007A5967" w:rsidRDefault="00715A2A" w:rsidP="00715A2A">
      <w:pPr>
        <w:pStyle w:val="JudgmentNumbered"/>
        <w:numPr>
          <w:ilvl w:val="0"/>
          <w:numId w:val="0"/>
        </w:numPr>
        <w:rPr>
          <w:b/>
          <w:bCs/>
          <w:lang w:val="en-ZA"/>
        </w:rPr>
      </w:pPr>
      <w:r w:rsidRPr="007A5967">
        <w:rPr>
          <w:lang w:val="en-ZA"/>
        </w:rPr>
        <w:t>[62]</w:t>
      </w:r>
      <w:r w:rsidRPr="007A5967">
        <w:rPr>
          <w:lang w:val="en-ZA"/>
        </w:rPr>
        <w:tab/>
      </w:r>
      <w:r w:rsidR="00273963" w:rsidRPr="007A5967">
        <w:rPr>
          <w:lang w:val="en-ZA"/>
        </w:rPr>
        <w:t>In the result the following order is made:</w:t>
      </w:r>
      <w:r w:rsidR="00462B25">
        <w:rPr>
          <w:lang w:val="en-ZA"/>
        </w:rPr>
        <w:t xml:space="preserve">  </w:t>
      </w:r>
    </w:p>
    <w:p w14:paraId="3701F47F" w14:textId="10B60A24" w:rsidR="00C52B9D" w:rsidRPr="007A5967" w:rsidRDefault="00C52B9D" w:rsidP="00C52B9D">
      <w:pPr>
        <w:pStyle w:val="JudgmentHeading"/>
      </w:pPr>
      <w:r w:rsidRPr="007A5967">
        <w:t>Order</w:t>
      </w:r>
    </w:p>
    <w:p w14:paraId="369CE832" w14:textId="113D2461" w:rsidR="00462B25" w:rsidRDefault="00715A2A" w:rsidP="00715A2A">
      <w:pPr>
        <w:pStyle w:val="JudgmentNumbering"/>
        <w:numPr>
          <w:ilvl w:val="0"/>
          <w:numId w:val="0"/>
        </w:numPr>
        <w:tabs>
          <w:tab w:val="left" w:pos="1276"/>
        </w:tabs>
        <w:ind w:left="1276" w:hanging="567"/>
      </w:pPr>
      <w:r>
        <w:t>1.</w:t>
      </w:r>
      <w:r>
        <w:tab/>
      </w:r>
      <w:r w:rsidR="00C42491" w:rsidRPr="007A5967">
        <w:t xml:space="preserve">The application is </w:t>
      </w:r>
      <w:r w:rsidR="00273963" w:rsidRPr="007A5967">
        <w:t>dismissed</w:t>
      </w:r>
      <w:r w:rsidR="00462B25">
        <w:t xml:space="preserve">.  </w:t>
      </w:r>
    </w:p>
    <w:p w14:paraId="5E8B190E" w14:textId="7BF56C00" w:rsidR="00462B25" w:rsidRDefault="00715A2A" w:rsidP="00715A2A">
      <w:pPr>
        <w:pStyle w:val="JudgmentNumbering"/>
        <w:numPr>
          <w:ilvl w:val="0"/>
          <w:numId w:val="0"/>
        </w:numPr>
        <w:spacing w:before="240"/>
        <w:ind w:left="1276" w:hanging="567"/>
      </w:pPr>
      <w:r>
        <w:t>2.</w:t>
      </w:r>
      <w:r>
        <w:tab/>
      </w:r>
      <w:r w:rsidR="003675FF">
        <w:t xml:space="preserve">Each party is </w:t>
      </w:r>
      <w:r w:rsidR="005236A2">
        <w:t>ordered</w:t>
      </w:r>
      <w:r w:rsidR="003675FF">
        <w:t xml:space="preserve"> to </w:t>
      </w:r>
      <w:r w:rsidR="00B96DD1">
        <w:t>pay their own</w:t>
      </w:r>
      <w:r w:rsidR="007A2709">
        <w:t xml:space="preserve"> costs</w:t>
      </w:r>
      <w:r w:rsidR="00462B25">
        <w:t xml:space="preserve">.  </w:t>
      </w:r>
    </w:p>
    <w:p w14:paraId="672EE78C" w14:textId="3BCDBAFC" w:rsidR="00273963" w:rsidRPr="007A5967" w:rsidRDefault="00273963" w:rsidP="00273963">
      <w:pPr>
        <w:pStyle w:val="Judgmentbetweenparagraphs"/>
      </w:pPr>
    </w:p>
    <w:p w14:paraId="454B6697" w14:textId="77777777" w:rsidR="00273963" w:rsidRPr="007A5967" w:rsidRDefault="00273963" w:rsidP="00273963">
      <w:pPr>
        <w:pStyle w:val="Judgmentbetweenparagraphs"/>
      </w:pPr>
    </w:p>
    <w:p w14:paraId="188BFD0E" w14:textId="417E17E0" w:rsidR="00C54F55" w:rsidRPr="007A5967" w:rsidRDefault="00C54F55" w:rsidP="00C56DBE">
      <w:pPr>
        <w:pStyle w:val="JudgmentNumbering"/>
        <w:numPr>
          <w:ilvl w:val="0"/>
          <w:numId w:val="0"/>
        </w:numPr>
        <w:spacing w:line="240" w:lineRule="auto"/>
        <w:jc w:val="right"/>
        <w:rPr>
          <w:szCs w:val="24"/>
        </w:rPr>
      </w:pPr>
      <w:r w:rsidRPr="007A5967">
        <w:rPr>
          <w:szCs w:val="24"/>
        </w:rPr>
        <w:lastRenderedPageBreak/>
        <w:t>___________________________</w:t>
      </w:r>
    </w:p>
    <w:p w14:paraId="04B6C7F1" w14:textId="7E829BBD" w:rsidR="00BB0E69" w:rsidRPr="00A7686A" w:rsidRDefault="00381513" w:rsidP="008A7BDA">
      <w:pPr>
        <w:pStyle w:val="JudgmentNumbering"/>
        <w:numPr>
          <w:ilvl w:val="0"/>
          <w:numId w:val="0"/>
        </w:numPr>
        <w:spacing w:line="240" w:lineRule="auto"/>
        <w:jc w:val="right"/>
        <w:rPr>
          <w:b/>
          <w:bCs/>
          <w:szCs w:val="24"/>
        </w:rPr>
      </w:pPr>
      <w:r w:rsidRPr="00A7686A">
        <w:rPr>
          <w:b/>
          <w:bCs/>
          <w:szCs w:val="24"/>
        </w:rPr>
        <w:t>D MLAMBO</w:t>
      </w:r>
    </w:p>
    <w:p w14:paraId="1702E25D" w14:textId="1D66B848" w:rsidR="008A7BDA" w:rsidRPr="007A5967" w:rsidRDefault="00BB0E69" w:rsidP="00BB0E69">
      <w:pPr>
        <w:pStyle w:val="Judgmentbetweenparagraphs"/>
        <w:jc w:val="right"/>
        <w:rPr>
          <w:szCs w:val="24"/>
        </w:rPr>
      </w:pPr>
      <w:r w:rsidRPr="007A5967">
        <w:rPr>
          <w:szCs w:val="24"/>
        </w:rPr>
        <w:t>Judge President</w:t>
      </w:r>
    </w:p>
    <w:p w14:paraId="04783E71" w14:textId="1965C2CA" w:rsidR="00D4233F" w:rsidRPr="007A5967" w:rsidRDefault="00BB0E69" w:rsidP="007D1C6A">
      <w:pPr>
        <w:pStyle w:val="Judgmentbetweenparagraphs"/>
        <w:jc w:val="right"/>
        <w:sectPr w:rsidR="00D4233F" w:rsidRPr="007A5967" w:rsidSect="000978DC">
          <w:footerReference w:type="default" r:id="rId12"/>
          <w:footerReference w:type="first" r:id="rId13"/>
          <w:pgSz w:w="11906" w:h="16838" w:code="9"/>
          <w:pgMar w:top="1440" w:right="1440" w:bottom="1440" w:left="1440" w:header="720" w:footer="720" w:gutter="0"/>
          <w:cols w:space="720"/>
          <w:titlePg/>
          <w:docGrid w:linePitch="360"/>
        </w:sectPr>
      </w:pPr>
      <w:r w:rsidRPr="007A5967">
        <w:rPr>
          <w:szCs w:val="24"/>
        </w:rPr>
        <w:t>Gauteng Division</w:t>
      </w:r>
      <w:r w:rsidR="00E377B7">
        <w:rPr>
          <w:szCs w:val="24"/>
        </w:rPr>
        <w:t xml:space="preserve"> of the High Court</w:t>
      </w:r>
    </w:p>
    <w:p w14:paraId="5461A0BB" w14:textId="77777777" w:rsidR="00D4233F" w:rsidRPr="007A5967" w:rsidRDefault="00D4233F" w:rsidP="008815A6">
      <w:pPr>
        <w:pStyle w:val="Default"/>
        <w:tabs>
          <w:tab w:val="right" w:pos="9072"/>
        </w:tabs>
        <w:rPr>
          <w:u w:val="single"/>
        </w:rPr>
      </w:pPr>
      <w:r w:rsidRPr="007A5967">
        <w:rPr>
          <w:u w:val="single"/>
        </w:rPr>
        <w:lastRenderedPageBreak/>
        <w:t xml:space="preserve">Appearances </w:t>
      </w:r>
    </w:p>
    <w:p w14:paraId="1EE3276A" w14:textId="77777777" w:rsidR="001C1F71" w:rsidRDefault="001C1F71" w:rsidP="00387916">
      <w:pPr>
        <w:pStyle w:val="Counseldetails"/>
      </w:pPr>
    </w:p>
    <w:p w14:paraId="2D0528C0" w14:textId="5A80EBCE" w:rsidR="001E089D" w:rsidRPr="007A5967" w:rsidRDefault="00D4233F" w:rsidP="00387916">
      <w:pPr>
        <w:pStyle w:val="Counseldetails"/>
      </w:pPr>
      <w:r w:rsidRPr="007A5967">
        <w:t>For the Applicant:</w:t>
      </w:r>
      <w:r w:rsidR="008815A6" w:rsidRPr="007A5967">
        <w:tab/>
      </w:r>
      <w:r w:rsidR="00980871">
        <w:t>D Mpofu SC</w:t>
      </w:r>
      <w:r w:rsidRPr="007A5967">
        <w:t xml:space="preserve">; </w:t>
      </w:r>
      <w:r w:rsidR="00AE044A" w:rsidRPr="00AE044A">
        <w:t>T Seboko</w:t>
      </w:r>
      <w:r w:rsidR="001E089D">
        <w:t xml:space="preserve"> and</w:t>
      </w:r>
      <w:r w:rsidR="00AE044A" w:rsidRPr="00AE044A">
        <w:t xml:space="preserve"> M Qofa Lebakeng</w:t>
      </w:r>
      <w:r w:rsidRPr="007A5967">
        <w:t xml:space="preserve"> instructed by </w:t>
      </w:r>
      <w:r w:rsidR="005B6E84">
        <w:t>Nkome Inc</w:t>
      </w:r>
    </w:p>
    <w:p w14:paraId="444423E4" w14:textId="77777777" w:rsidR="00A10DDA" w:rsidRPr="007A5967" w:rsidRDefault="00A10DDA" w:rsidP="008815A6">
      <w:pPr>
        <w:pStyle w:val="Default"/>
        <w:tabs>
          <w:tab w:val="right" w:pos="9072"/>
        </w:tabs>
      </w:pPr>
    </w:p>
    <w:p w14:paraId="41313A94" w14:textId="1F86E0A8" w:rsidR="00D4233F" w:rsidRPr="007A5967" w:rsidRDefault="00D4233F" w:rsidP="008E446D">
      <w:pPr>
        <w:pStyle w:val="Counseldetails"/>
      </w:pPr>
      <w:r w:rsidRPr="007A5967">
        <w:t>For the Respondent:</w:t>
      </w:r>
      <w:r w:rsidR="00A10DDA" w:rsidRPr="007A5967">
        <w:tab/>
      </w:r>
      <w:r w:rsidR="006F5305" w:rsidRPr="006F5305">
        <w:t>Z Matebese</w:t>
      </w:r>
      <w:r w:rsidR="00310EB8">
        <w:t xml:space="preserve"> SC</w:t>
      </w:r>
      <w:r w:rsidR="00C920F5">
        <w:t xml:space="preserve"> and </w:t>
      </w:r>
      <w:r w:rsidR="00C920F5" w:rsidRPr="006F5305">
        <w:t>V</w:t>
      </w:r>
      <w:r w:rsidR="00C920F5" w:rsidRPr="007A5967">
        <w:t xml:space="preserve"> </w:t>
      </w:r>
      <w:r w:rsidR="00C920F5" w:rsidRPr="006F5305">
        <w:t xml:space="preserve">Mashele </w:t>
      </w:r>
      <w:r w:rsidR="00ED25D1" w:rsidRPr="007A5967">
        <w:t xml:space="preserve">instructed by </w:t>
      </w:r>
      <w:r w:rsidR="00C920F5">
        <w:t>State Attorney</w:t>
      </w:r>
      <w:r w:rsidR="00ED25D1" w:rsidRPr="007A5967">
        <w:t xml:space="preserve">, </w:t>
      </w:r>
      <w:r w:rsidR="00C920F5">
        <w:t>Pretoria</w:t>
      </w:r>
    </w:p>
    <w:p w14:paraId="7A97F17B" w14:textId="77777777" w:rsidR="00B628BF" w:rsidRPr="007A5967" w:rsidRDefault="00B628BF" w:rsidP="00A10DDA">
      <w:pPr>
        <w:pStyle w:val="Default"/>
        <w:tabs>
          <w:tab w:val="left" w:pos="4253"/>
        </w:tabs>
        <w:ind w:left="4260" w:right="804" w:hanging="4260"/>
        <w:jc w:val="both"/>
      </w:pPr>
    </w:p>
    <w:p w14:paraId="5BA016CC" w14:textId="77777777" w:rsidR="00B628BF" w:rsidRPr="007A5967" w:rsidRDefault="00B628BF" w:rsidP="00A10DDA">
      <w:pPr>
        <w:pStyle w:val="Default"/>
        <w:tabs>
          <w:tab w:val="left" w:pos="4253"/>
        </w:tabs>
        <w:ind w:left="4260" w:right="804" w:hanging="4260"/>
        <w:jc w:val="both"/>
      </w:pPr>
    </w:p>
    <w:p w14:paraId="18A12931" w14:textId="0DC431BE" w:rsidR="00D4233F" w:rsidRPr="007A5967" w:rsidRDefault="00D4233F" w:rsidP="00B628BF">
      <w:pPr>
        <w:pStyle w:val="Default"/>
        <w:ind w:left="1985" w:hanging="1985"/>
      </w:pPr>
      <w:r w:rsidRPr="007A5967">
        <w:t>Date of hearing:</w:t>
      </w:r>
      <w:r w:rsidR="00B628BF" w:rsidRPr="007A5967">
        <w:tab/>
      </w:r>
      <w:r w:rsidR="00FB712C">
        <w:t>10 October</w:t>
      </w:r>
      <w:r w:rsidRPr="007A5967">
        <w:t xml:space="preserve"> 20</w:t>
      </w:r>
      <w:r w:rsidR="00B628BF" w:rsidRPr="007A5967">
        <w:t>2</w:t>
      </w:r>
      <w:r w:rsidR="00FB712C">
        <w:t>3</w:t>
      </w:r>
    </w:p>
    <w:p w14:paraId="4FB5BC21" w14:textId="1DF1A62E" w:rsidR="009E2BA2" w:rsidRPr="007A5967" w:rsidRDefault="00D4233F" w:rsidP="00B628BF">
      <w:pPr>
        <w:pStyle w:val="Default"/>
        <w:spacing w:before="240"/>
        <w:ind w:left="1985" w:hanging="1985"/>
      </w:pPr>
      <w:r w:rsidRPr="007A5967">
        <w:t>Date of judgment:</w:t>
      </w:r>
      <w:r w:rsidR="00B628BF" w:rsidRPr="007A5967">
        <w:tab/>
      </w:r>
      <w:r w:rsidR="001C1F71" w:rsidRPr="001C1F71">
        <w:t>15</w:t>
      </w:r>
      <w:r w:rsidR="004053FD">
        <w:t xml:space="preserve"> April</w:t>
      </w:r>
      <w:r w:rsidR="00B628BF" w:rsidRPr="007A5967">
        <w:t xml:space="preserve"> </w:t>
      </w:r>
      <w:r w:rsidRPr="007A5967">
        <w:t>2024</w:t>
      </w:r>
    </w:p>
    <w:sectPr w:rsidR="009E2BA2" w:rsidRPr="007A5967" w:rsidSect="000978DC">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0BBB4" w14:textId="77777777" w:rsidR="000978DC" w:rsidRDefault="000978DC" w:rsidP="008177E5">
      <w:pPr>
        <w:spacing w:after="0" w:line="240" w:lineRule="auto"/>
      </w:pPr>
      <w:r>
        <w:separator/>
      </w:r>
    </w:p>
  </w:endnote>
  <w:endnote w:type="continuationSeparator" w:id="0">
    <w:p w14:paraId="1D490E9B" w14:textId="77777777" w:rsidR="000978DC" w:rsidRDefault="000978DC" w:rsidP="008177E5">
      <w:pPr>
        <w:spacing w:after="0" w:line="240" w:lineRule="auto"/>
      </w:pPr>
      <w:r>
        <w:continuationSeparator/>
      </w:r>
    </w:p>
  </w:endnote>
  <w:endnote w:type="continuationNotice" w:id="1">
    <w:p w14:paraId="2B9C6D41" w14:textId="77777777" w:rsidR="000978DC" w:rsidRDefault="00097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5489378"/>
      <w:docPartObj>
        <w:docPartGallery w:val="Page Numbers (Bottom of Page)"/>
        <w:docPartUnique/>
      </w:docPartObj>
    </w:sdtPr>
    <w:sdtEndPr>
      <w:rPr>
        <w:rFonts w:ascii="Arial" w:hAnsi="Arial" w:cs="Arial"/>
        <w:noProof/>
        <w:sz w:val="24"/>
        <w:szCs w:val="24"/>
      </w:rPr>
    </w:sdtEndPr>
    <w:sdtContent>
      <w:p w14:paraId="6F87240E" w14:textId="2CFE2CF5" w:rsidR="00FE6769" w:rsidRPr="00FE6769" w:rsidRDefault="00FE6769">
        <w:pPr>
          <w:pStyle w:val="Footer"/>
          <w:jc w:val="right"/>
          <w:rPr>
            <w:rFonts w:ascii="Arial" w:hAnsi="Arial" w:cs="Arial"/>
            <w:sz w:val="24"/>
            <w:szCs w:val="24"/>
          </w:rPr>
        </w:pPr>
        <w:r w:rsidRPr="00FE6769">
          <w:rPr>
            <w:rFonts w:ascii="Arial" w:hAnsi="Arial" w:cs="Arial"/>
            <w:sz w:val="24"/>
            <w:szCs w:val="24"/>
          </w:rPr>
          <w:fldChar w:fldCharType="begin"/>
        </w:r>
        <w:r w:rsidRPr="00FE6769">
          <w:rPr>
            <w:rFonts w:ascii="Arial" w:hAnsi="Arial" w:cs="Arial"/>
            <w:sz w:val="24"/>
            <w:szCs w:val="24"/>
          </w:rPr>
          <w:instrText xml:space="preserve"> PAGE   \* MERGEFORMAT </w:instrText>
        </w:r>
        <w:r w:rsidRPr="00FE6769">
          <w:rPr>
            <w:rFonts w:ascii="Arial" w:hAnsi="Arial" w:cs="Arial"/>
            <w:sz w:val="24"/>
            <w:szCs w:val="24"/>
          </w:rPr>
          <w:fldChar w:fldCharType="separate"/>
        </w:r>
        <w:r w:rsidRPr="00FE6769">
          <w:rPr>
            <w:rFonts w:ascii="Arial" w:hAnsi="Arial" w:cs="Arial"/>
            <w:noProof/>
            <w:sz w:val="24"/>
            <w:szCs w:val="24"/>
          </w:rPr>
          <w:t>2</w:t>
        </w:r>
        <w:r w:rsidRPr="00FE6769">
          <w:rPr>
            <w:rFonts w:ascii="Arial" w:hAnsi="Arial" w:cs="Arial"/>
            <w:noProof/>
            <w:sz w:val="24"/>
            <w:szCs w:val="24"/>
          </w:rPr>
          <w:fldChar w:fldCharType="end"/>
        </w:r>
      </w:p>
    </w:sdtContent>
  </w:sdt>
  <w:p w14:paraId="0C628FAB" w14:textId="77777777" w:rsidR="00FE6769" w:rsidRDefault="00FE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8037456"/>
      <w:docPartObj>
        <w:docPartGallery w:val="Page Numbers (Bottom of Page)"/>
        <w:docPartUnique/>
      </w:docPartObj>
    </w:sdtPr>
    <w:sdtEndPr>
      <w:rPr>
        <w:rFonts w:ascii="Arial" w:hAnsi="Arial" w:cs="Arial"/>
        <w:noProof/>
        <w:sz w:val="24"/>
        <w:szCs w:val="24"/>
      </w:rPr>
    </w:sdtEndPr>
    <w:sdtContent>
      <w:p w14:paraId="3C4742A5" w14:textId="7AAD11AE" w:rsidR="0049126E" w:rsidRPr="00FE6769" w:rsidRDefault="00000000">
        <w:pPr>
          <w:pStyle w:val="Footer"/>
          <w:jc w:val="right"/>
          <w:rPr>
            <w:rFonts w:ascii="Arial" w:hAnsi="Arial" w:cs="Arial"/>
            <w:sz w:val="24"/>
            <w:szCs w:val="24"/>
          </w:rPr>
        </w:pPr>
      </w:p>
    </w:sdtContent>
  </w:sdt>
  <w:p w14:paraId="046AF5ED" w14:textId="77777777" w:rsidR="0049126E" w:rsidRDefault="0049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D9A34" w14:textId="77777777" w:rsidR="000978DC" w:rsidRDefault="000978DC" w:rsidP="008177E5">
      <w:pPr>
        <w:spacing w:after="0" w:line="240" w:lineRule="auto"/>
      </w:pPr>
      <w:r>
        <w:separator/>
      </w:r>
    </w:p>
  </w:footnote>
  <w:footnote w:type="continuationSeparator" w:id="0">
    <w:p w14:paraId="559A1DBC" w14:textId="77777777" w:rsidR="000978DC" w:rsidRDefault="000978DC" w:rsidP="008177E5">
      <w:pPr>
        <w:spacing w:after="0" w:line="240" w:lineRule="auto"/>
      </w:pPr>
      <w:r>
        <w:continuationSeparator/>
      </w:r>
    </w:p>
  </w:footnote>
  <w:footnote w:type="continuationNotice" w:id="1">
    <w:p w14:paraId="339F9CD9" w14:textId="77777777" w:rsidR="000978DC" w:rsidRDefault="000978DC">
      <w:pPr>
        <w:spacing w:after="0" w:line="240" w:lineRule="auto"/>
      </w:pPr>
    </w:p>
  </w:footnote>
  <w:footnote w:id="2">
    <w:p w14:paraId="288B91AB" w14:textId="77777777" w:rsidR="0092253A" w:rsidRPr="00951E7B" w:rsidRDefault="0092253A" w:rsidP="0092253A">
      <w:pPr>
        <w:pStyle w:val="FootnoteText"/>
        <w:rPr>
          <w:sz w:val="18"/>
          <w:szCs w:val="18"/>
        </w:rPr>
      </w:pPr>
      <w:r w:rsidRPr="00951E7B">
        <w:rPr>
          <w:rStyle w:val="FootnoteReference"/>
          <w:sz w:val="18"/>
          <w:szCs w:val="18"/>
        </w:rPr>
        <w:footnoteRef/>
      </w:r>
      <w:r w:rsidRPr="00951E7B">
        <w:rPr>
          <w:sz w:val="18"/>
          <w:szCs w:val="18"/>
        </w:rPr>
        <w:t xml:space="preserve"> Hereafter, “Mahikeng High Court”.</w:t>
      </w:r>
    </w:p>
  </w:footnote>
  <w:footnote w:id="3">
    <w:p w14:paraId="03AC82D8" w14:textId="035C07E5" w:rsidR="00273963" w:rsidRPr="00951E7B" w:rsidRDefault="00273963"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The </w:t>
      </w:r>
      <w:r w:rsidR="00172453" w:rsidRPr="00951E7B">
        <w:rPr>
          <w:rFonts w:cs="Arial"/>
          <w:sz w:val="18"/>
          <w:szCs w:val="18"/>
        </w:rPr>
        <w:t>f</w:t>
      </w:r>
      <w:r w:rsidRPr="00951E7B">
        <w:rPr>
          <w:rFonts w:cs="Arial"/>
          <w:sz w:val="18"/>
          <w:szCs w:val="18"/>
        </w:rPr>
        <w:t xml:space="preserve">ourth and </w:t>
      </w:r>
      <w:r w:rsidR="00172453" w:rsidRPr="00951E7B">
        <w:rPr>
          <w:rFonts w:cs="Arial"/>
          <w:sz w:val="18"/>
          <w:szCs w:val="18"/>
        </w:rPr>
        <w:t>f</w:t>
      </w:r>
      <w:r w:rsidRPr="00951E7B">
        <w:rPr>
          <w:rFonts w:cs="Arial"/>
          <w:sz w:val="18"/>
          <w:szCs w:val="18"/>
        </w:rPr>
        <w:t xml:space="preserve">ifth </w:t>
      </w:r>
      <w:r w:rsidR="00172453" w:rsidRPr="00951E7B">
        <w:rPr>
          <w:rFonts w:cs="Arial"/>
          <w:sz w:val="18"/>
          <w:szCs w:val="18"/>
        </w:rPr>
        <w:t>r</w:t>
      </w:r>
      <w:r w:rsidRPr="00951E7B">
        <w:rPr>
          <w:rFonts w:cs="Arial"/>
          <w:sz w:val="18"/>
          <w:szCs w:val="18"/>
        </w:rPr>
        <w:t>espondents do not participate in th</w:t>
      </w:r>
      <w:r w:rsidR="00172453" w:rsidRPr="00951E7B">
        <w:rPr>
          <w:rFonts w:cs="Arial"/>
          <w:sz w:val="18"/>
          <w:szCs w:val="18"/>
        </w:rPr>
        <w:t>is matter</w:t>
      </w:r>
      <w:r w:rsidRPr="00951E7B">
        <w:rPr>
          <w:rFonts w:cs="Arial"/>
          <w:sz w:val="18"/>
          <w:szCs w:val="18"/>
        </w:rPr>
        <w:t>.</w:t>
      </w:r>
      <w:r w:rsidR="003F7AE6" w:rsidRPr="00951E7B">
        <w:rPr>
          <w:rFonts w:cs="Arial"/>
          <w:sz w:val="18"/>
          <w:szCs w:val="18"/>
        </w:rPr>
        <w:t xml:space="preserve">  </w:t>
      </w:r>
    </w:p>
  </w:footnote>
  <w:footnote w:id="4">
    <w:p w14:paraId="0C244761" w14:textId="42B28B21" w:rsidR="00273963" w:rsidRPr="00951E7B" w:rsidRDefault="00273963"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172453" w:rsidRPr="00951E7B">
        <w:rPr>
          <w:rFonts w:cs="Arial"/>
          <w:sz w:val="18"/>
          <w:szCs w:val="18"/>
        </w:rPr>
        <w:t>66 of 1995.</w:t>
      </w:r>
      <w:r w:rsidR="003F7AE6" w:rsidRPr="00951E7B">
        <w:rPr>
          <w:rFonts w:cs="Arial"/>
          <w:sz w:val="18"/>
          <w:szCs w:val="18"/>
        </w:rPr>
        <w:t xml:space="preserve">  </w:t>
      </w:r>
    </w:p>
  </w:footnote>
  <w:footnote w:id="5">
    <w:p w14:paraId="26FA09EB" w14:textId="7A0927DF" w:rsidR="0078053C" w:rsidRPr="00951E7B" w:rsidRDefault="0078053C"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E54E55" w:rsidRPr="00951E7B">
        <w:rPr>
          <w:rFonts w:cs="Arial"/>
          <w:sz w:val="18"/>
          <w:szCs w:val="18"/>
        </w:rPr>
        <w:t xml:space="preserve">Section 20(1)(a) of the </w:t>
      </w:r>
      <w:bookmarkStart w:id="1" w:name="NPA_Act"/>
      <w:r w:rsidR="0084679B" w:rsidRPr="00951E7B">
        <w:rPr>
          <w:rFonts w:cs="Arial"/>
          <w:sz w:val="18"/>
          <w:szCs w:val="18"/>
        </w:rPr>
        <w:t>National Prosecuting Authority Act 32 of 1998 (NPA Act)</w:t>
      </w:r>
      <w:bookmarkEnd w:id="1"/>
      <w:r w:rsidR="0084679B" w:rsidRPr="00951E7B">
        <w:rPr>
          <w:rFonts w:cs="Arial"/>
          <w:sz w:val="18"/>
          <w:szCs w:val="18"/>
        </w:rPr>
        <w:t>.</w:t>
      </w:r>
      <w:r w:rsidR="003F7AE6" w:rsidRPr="00951E7B">
        <w:rPr>
          <w:rFonts w:cs="Arial"/>
          <w:sz w:val="18"/>
          <w:szCs w:val="18"/>
        </w:rPr>
        <w:t xml:space="preserve">  </w:t>
      </w:r>
    </w:p>
  </w:footnote>
  <w:footnote w:id="6">
    <w:p w14:paraId="6E9D3E0B" w14:textId="0AF10C2E" w:rsidR="00273963" w:rsidRPr="00951E7B" w:rsidRDefault="00273963" w:rsidP="00C12C95">
      <w:pPr>
        <w:pStyle w:val="FootnoteText"/>
        <w:jc w:val="both"/>
        <w:rPr>
          <w:rFonts w:cs="Arial"/>
          <w:sz w:val="18"/>
          <w:szCs w:val="18"/>
          <w:lang w:val="en-US"/>
        </w:rPr>
      </w:pPr>
      <w:r w:rsidRPr="00951E7B">
        <w:rPr>
          <w:rStyle w:val="FootnoteReference"/>
          <w:rFonts w:cs="Arial"/>
          <w:sz w:val="18"/>
          <w:szCs w:val="18"/>
        </w:rPr>
        <w:footnoteRef/>
      </w:r>
      <w:r w:rsidRPr="00951E7B">
        <w:rPr>
          <w:rFonts w:cs="Arial"/>
          <w:sz w:val="18"/>
          <w:szCs w:val="18"/>
        </w:rPr>
        <w:t xml:space="preserve"> </w:t>
      </w:r>
      <w:r w:rsidR="004B3CDE" w:rsidRPr="00951E7B">
        <w:rPr>
          <w:rFonts w:cs="Arial"/>
          <w:sz w:val="18"/>
          <w:szCs w:val="18"/>
        </w:rPr>
        <w:t>Id section 20(1)(b).</w:t>
      </w:r>
      <w:r w:rsidR="003F7AE6" w:rsidRPr="00951E7B">
        <w:rPr>
          <w:rFonts w:cs="Arial"/>
          <w:sz w:val="18"/>
          <w:szCs w:val="18"/>
        </w:rPr>
        <w:t xml:space="preserve">  </w:t>
      </w:r>
    </w:p>
  </w:footnote>
  <w:footnote w:id="7">
    <w:p w14:paraId="0CDDF254" w14:textId="5A314EFF" w:rsidR="007C7B5C" w:rsidRPr="00951E7B" w:rsidRDefault="007C7B5C"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w:t>
      </w:r>
      <w:hyperlink w:anchor="NPA_Act" w:history="1">
        <w:r w:rsidRPr="00951E7B">
          <w:rPr>
            <w:rStyle w:val="Hyperlink"/>
            <w:rFonts w:cs="Arial"/>
            <w:color w:val="auto"/>
            <w:sz w:val="18"/>
            <w:szCs w:val="18"/>
            <w:u w:val="none"/>
          </w:rPr>
          <w:t xml:space="preserve">NPA Act above n </w:t>
        </w:r>
        <w:r w:rsidR="00B05FB2" w:rsidRPr="00951E7B">
          <w:rPr>
            <w:rStyle w:val="Hyperlink"/>
            <w:rFonts w:cs="Arial"/>
            <w:color w:val="auto"/>
            <w:sz w:val="18"/>
            <w:szCs w:val="18"/>
            <w:u w:val="none"/>
          </w:rPr>
          <w:t>4</w:t>
        </w:r>
      </w:hyperlink>
      <w:r w:rsidRPr="00951E7B">
        <w:rPr>
          <w:rFonts w:cs="Arial"/>
          <w:sz w:val="18"/>
          <w:szCs w:val="18"/>
        </w:rPr>
        <w:t>.</w:t>
      </w:r>
      <w:r w:rsidR="003F7AE6" w:rsidRPr="00951E7B">
        <w:rPr>
          <w:rFonts w:cs="Arial"/>
          <w:sz w:val="18"/>
          <w:szCs w:val="18"/>
        </w:rPr>
        <w:t xml:space="preserve">  </w:t>
      </w:r>
    </w:p>
  </w:footnote>
  <w:footnote w:id="8">
    <w:p w14:paraId="73EF1365" w14:textId="77777777" w:rsidR="00F1195E" w:rsidRPr="00951E7B" w:rsidRDefault="00F1195E" w:rsidP="00F1195E">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The full details are comprehensively covered in the report of a Commission of Inquiry enacted in terms of Proclamation No. 50 of 2012 published in Government Gazette No. 35680 of 12 September 2012. The report is titled </w:t>
      </w:r>
      <w:r w:rsidRPr="00951E7B">
        <w:rPr>
          <w:rFonts w:cs="Arial"/>
          <w:i/>
          <w:iCs/>
          <w:sz w:val="18"/>
          <w:szCs w:val="18"/>
        </w:rPr>
        <w:t xml:space="preserve">Marikana Commission of Inquiry: Report on Matters of Public, National and International Concern Arising Out of the Tragic Incidents At The Lonmin Mine In Marikana, In The North West Province </w:t>
      </w:r>
      <w:r w:rsidRPr="00951E7B">
        <w:rPr>
          <w:rFonts w:cs="Arial"/>
          <w:sz w:val="18"/>
          <w:szCs w:val="18"/>
        </w:rPr>
        <w:t xml:space="preserve">(Farlam Commission), available at: </w:t>
      </w:r>
      <w:hyperlink r:id="rId1" w:history="1">
        <w:r w:rsidRPr="00951E7B">
          <w:rPr>
            <w:rStyle w:val="Hyperlink"/>
            <w:rFonts w:cs="Arial"/>
            <w:color w:val="auto"/>
            <w:sz w:val="18"/>
            <w:szCs w:val="18"/>
            <w:u w:val="none"/>
          </w:rPr>
          <w:t>https://www.thepresidency.gov.za/download/file/fid/110</w:t>
        </w:r>
      </w:hyperlink>
      <w:r w:rsidRPr="00951E7B">
        <w:rPr>
          <w:rFonts w:cs="Arial"/>
          <w:sz w:val="18"/>
          <w:szCs w:val="18"/>
        </w:rPr>
        <w:t>.</w:t>
      </w:r>
      <w:r w:rsidR="003F7AE6" w:rsidRPr="00951E7B">
        <w:rPr>
          <w:rFonts w:cs="Arial"/>
          <w:sz w:val="18"/>
          <w:szCs w:val="18"/>
        </w:rPr>
        <w:t xml:space="preserve">  </w:t>
      </w:r>
    </w:p>
  </w:footnote>
  <w:footnote w:id="9">
    <w:p w14:paraId="7CCB5EF0" w14:textId="583A5A70" w:rsidR="00D67135" w:rsidRPr="00951E7B" w:rsidRDefault="00D67135"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3C5169" w:rsidRPr="00951E7B">
        <w:rPr>
          <w:rFonts w:cs="Arial"/>
          <w:i/>
          <w:iCs/>
          <w:sz w:val="18"/>
          <w:szCs w:val="18"/>
        </w:rPr>
        <w:t>Damons v City of Cape Town</w:t>
      </w:r>
      <w:r w:rsidR="003C5169" w:rsidRPr="00951E7B">
        <w:rPr>
          <w:rFonts w:cs="Arial"/>
          <w:sz w:val="18"/>
          <w:szCs w:val="18"/>
        </w:rPr>
        <w:t xml:space="preserve"> [2022] ZACC 13</w:t>
      </w:r>
      <w:r w:rsidR="00F15029" w:rsidRPr="00951E7B">
        <w:rPr>
          <w:rFonts w:cs="Arial"/>
          <w:sz w:val="18"/>
          <w:szCs w:val="18"/>
        </w:rPr>
        <w:t xml:space="preserve"> at paras 117-118</w:t>
      </w:r>
      <w:r w:rsidR="003C5169" w:rsidRPr="00951E7B">
        <w:rPr>
          <w:rFonts w:cs="Arial"/>
          <w:sz w:val="18"/>
          <w:szCs w:val="18"/>
        </w:rPr>
        <w:t xml:space="preserve">; [2022] 7 BLLR 585 (CC); (2022) 43 ILJ 1549 (CC); 2022 (10) BCLR 1202 (CC) </w:t>
      </w:r>
      <w:r w:rsidR="00C40F60" w:rsidRPr="00951E7B">
        <w:rPr>
          <w:rFonts w:cs="Arial"/>
          <w:i/>
          <w:iCs/>
          <w:sz w:val="18"/>
          <w:szCs w:val="18"/>
        </w:rPr>
        <w:t>Strohmenger v Victor</w:t>
      </w:r>
      <w:r w:rsidR="00C40F60" w:rsidRPr="00951E7B">
        <w:rPr>
          <w:rFonts w:cs="Arial"/>
          <w:sz w:val="18"/>
          <w:szCs w:val="18"/>
        </w:rPr>
        <w:t xml:space="preserve"> [2022] ZASCA 45 at para 10; </w:t>
      </w:r>
      <w:r w:rsidR="00C475A3" w:rsidRPr="00951E7B">
        <w:rPr>
          <w:rFonts w:cs="Arial"/>
          <w:i/>
          <w:iCs/>
          <w:sz w:val="18"/>
          <w:szCs w:val="18"/>
        </w:rPr>
        <w:t>Ras v Road Accident Fund</w:t>
      </w:r>
      <w:r w:rsidR="00C475A3" w:rsidRPr="00951E7B">
        <w:rPr>
          <w:rFonts w:cs="Arial"/>
          <w:sz w:val="18"/>
          <w:szCs w:val="18"/>
        </w:rPr>
        <w:t xml:space="preserve"> [2022] ZAGPPHC 383 </w:t>
      </w:r>
      <w:r w:rsidR="00F15029" w:rsidRPr="00951E7B">
        <w:rPr>
          <w:rFonts w:cs="Arial"/>
          <w:sz w:val="18"/>
          <w:szCs w:val="18"/>
        </w:rPr>
        <w:t>at paras 14-16.</w:t>
      </w:r>
      <w:r w:rsidR="003F7AE6" w:rsidRPr="00951E7B">
        <w:rPr>
          <w:rFonts w:cs="Arial"/>
          <w:sz w:val="18"/>
          <w:szCs w:val="18"/>
        </w:rPr>
        <w:t xml:space="preserve">  </w:t>
      </w:r>
    </w:p>
  </w:footnote>
  <w:footnote w:id="10">
    <w:p w14:paraId="157EAAF6" w14:textId="2A8555D1" w:rsidR="00273963" w:rsidRPr="00951E7B" w:rsidRDefault="00273963"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10 of 2013.</w:t>
      </w:r>
      <w:r w:rsidR="003F7AE6" w:rsidRPr="00951E7B">
        <w:rPr>
          <w:rFonts w:cs="Arial"/>
          <w:sz w:val="18"/>
          <w:szCs w:val="18"/>
        </w:rPr>
        <w:t xml:space="preserve">  </w:t>
      </w:r>
    </w:p>
  </w:footnote>
  <w:footnote w:id="11">
    <w:p w14:paraId="37715BC3" w14:textId="5C71393B" w:rsidR="00273963" w:rsidRPr="00951E7B" w:rsidRDefault="00273963"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2 of 2000 as amended (PAJA).</w:t>
      </w:r>
      <w:r w:rsidR="003F7AE6" w:rsidRPr="00951E7B">
        <w:rPr>
          <w:rFonts w:cs="Arial"/>
          <w:sz w:val="18"/>
          <w:szCs w:val="18"/>
        </w:rPr>
        <w:t xml:space="preserve">  </w:t>
      </w:r>
    </w:p>
  </w:footnote>
  <w:footnote w:id="12">
    <w:p w14:paraId="1CBA35B6" w14:textId="6D342857" w:rsidR="009D6B35" w:rsidRPr="00951E7B" w:rsidRDefault="009D6B35"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8D4743" w:rsidRPr="00951E7B">
        <w:rPr>
          <w:rFonts w:cs="Arial"/>
          <w:sz w:val="18"/>
          <w:szCs w:val="18"/>
        </w:rPr>
        <w:t>Section 7(1) of the PAJA.</w:t>
      </w:r>
      <w:r w:rsidR="003F7AE6" w:rsidRPr="00951E7B">
        <w:rPr>
          <w:rFonts w:cs="Arial"/>
          <w:sz w:val="18"/>
          <w:szCs w:val="18"/>
        </w:rPr>
        <w:t xml:space="preserve">  </w:t>
      </w:r>
    </w:p>
  </w:footnote>
  <w:footnote w:id="13">
    <w:p w14:paraId="189CE266" w14:textId="0D34C27C" w:rsidR="009D6B35" w:rsidRPr="00951E7B" w:rsidRDefault="009D6B35"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5B4008" w:rsidRPr="00951E7B">
        <w:rPr>
          <w:rFonts w:cs="Arial"/>
          <w:i/>
          <w:iCs/>
          <w:sz w:val="18"/>
          <w:szCs w:val="18"/>
        </w:rPr>
        <w:t xml:space="preserve">Transnet SOC Ltd v Tipp-Con (Pty) Ltd and Others </w:t>
      </w:r>
      <w:r w:rsidR="005B4008" w:rsidRPr="00951E7B">
        <w:rPr>
          <w:rFonts w:cs="Arial"/>
          <w:sz w:val="18"/>
          <w:szCs w:val="18"/>
        </w:rPr>
        <w:t>[2024] ZASCA 12 at para 40</w:t>
      </w:r>
      <w:r w:rsidR="00F334C0" w:rsidRPr="00951E7B">
        <w:rPr>
          <w:rFonts w:cs="Arial"/>
          <w:sz w:val="18"/>
          <w:szCs w:val="18"/>
        </w:rPr>
        <w:t>.</w:t>
      </w:r>
      <w:r w:rsidR="003F7AE6" w:rsidRPr="00951E7B">
        <w:rPr>
          <w:rFonts w:cs="Arial"/>
          <w:sz w:val="18"/>
          <w:szCs w:val="18"/>
        </w:rPr>
        <w:t xml:space="preserve">  </w:t>
      </w:r>
    </w:p>
  </w:footnote>
  <w:footnote w:id="14">
    <w:p w14:paraId="12DA0AC1" w14:textId="283312F3" w:rsidR="00273963" w:rsidRPr="00951E7B" w:rsidRDefault="00273963"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This is a legality review as section 1</w:t>
      </w:r>
      <w:r w:rsidRPr="00951E7B">
        <w:rPr>
          <w:rFonts w:cs="Arial"/>
          <w:i/>
          <w:iCs/>
          <w:sz w:val="18"/>
          <w:szCs w:val="18"/>
        </w:rPr>
        <w:t>(b)(ff)</w:t>
      </w:r>
      <w:r w:rsidRPr="00951E7B">
        <w:rPr>
          <w:rFonts w:cs="Arial"/>
          <w:sz w:val="18"/>
          <w:szCs w:val="18"/>
        </w:rPr>
        <w:t xml:space="preserve"> of</w:t>
      </w:r>
      <w:r w:rsidRPr="00951E7B">
        <w:rPr>
          <w:rFonts w:cs="Arial"/>
          <w:i/>
          <w:iCs/>
          <w:sz w:val="18"/>
          <w:szCs w:val="18"/>
        </w:rPr>
        <w:t xml:space="preserve"> </w:t>
      </w:r>
      <w:r w:rsidRPr="00951E7B">
        <w:rPr>
          <w:rFonts w:cs="Arial"/>
          <w:sz w:val="18"/>
          <w:szCs w:val="18"/>
        </w:rPr>
        <w:t xml:space="preserve">the PAJA excludes decisions to institute or continue prosecutions from the definition of administrative action, see in this regard </w:t>
      </w:r>
      <w:r w:rsidRPr="00951E7B">
        <w:rPr>
          <w:rFonts w:cs="Arial"/>
          <w:i/>
          <w:iCs/>
          <w:sz w:val="18"/>
          <w:szCs w:val="18"/>
        </w:rPr>
        <w:t>Sampson v Department of Justice and Constitutional Development and Others</w:t>
      </w:r>
      <w:r w:rsidRPr="00951E7B">
        <w:rPr>
          <w:rFonts w:cs="Arial"/>
          <w:sz w:val="18"/>
          <w:szCs w:val="18"/>
        </w:rPr>
        <w:t xml:space="preserve"> [2023] ZAGPPHC 654 at para 145; </w:t>
      </w:r>
      <w:r w:rsidRPr="00951E7B">
        <w:rPr>
          <w:rFonts w:cs="Arial"/>
          <w:i/>
          <w:iCs/>
          <w:sz w:val="18"/>
          <w:szCs w:val="18"/>
        </w:rPr>
        <w:t>Stanfield and Others v National Director of Public Prosecutions Advocate Abrahams N.O and Another</w:t>
      </w:r>
      <w:r w:rsidRPr="00951E7B">
        <w:rPr>
          <w:rFonts w:cs="Arial"/>
          <w:sz w:val="18"/>
          <w:szCs w:val="18"/>
        </w:rPr>
        <w:t xml:space="preserve"> [2019] ZAGPPHC 429; 2020 (1) SACR 232 (GP) at para 10.</w:t>
      </w:r>
      <w:r w:rsidR="003F7AE6" w:rsidRPr="00951E7B">
        <w:rPr>
          <w:rFonts w:cs="Arial"/>
          <w:sz w:val="18"/>
          <w:szCs w:val="18"/>
        </w:rPr>
        <w:t xml:space="preserve">  </w:t>
      </w:r>
    </w:p>
  </w:footnote>
  <w:footnote w:id="15">
    <w:p w14:paraId="17E2D6DC" w14:textId="1BEF5A96" w:rsidR="001A2B71" w:rsidRPr="00951E7B" w:rsidRDefault="001A2B71"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Pr="00951E7B">
        <w:rPr>
          <w:rFonts w:cs="Arial"/>
          <w:i/>
          <w:iCs/>
          <w:sz w:val="18"/>
          <w:szCs w:val="18"/>
        </w:rPr>
        <w:t>Cassimjee v Minister of Finance</w:t>
      </w:r>
      <w:r w:rsidRPr="00951E7B">
        <w:rPr>
          <w:rFonts w:cs="Arial"/>
          <w:sz w:val="18"/>
          <w:szCs w:val="18"/>
        </w:rPr>
        <w:t xml:space="preserve"> [2012] ZASCA 101; 2014 (3) SA 198 (SCA) at para 9.</w:t>
      </w:r>
      <w:r w:rsidR="003F7AE6" w:rsidRPr="00951E7B">
        <w:rPr>
          <w:rFonts w:cs="Arial"/>
          <w:sz w:val="18"/>
          <w:szCs w:val="18"/>
        </w:rPr>
        <w:t xml:space="preserve">  </w:t>
      </w:r>
    </w:p>
  </w:footnote>
  <w:footnote w:id="16">
    <w:p w14:paraId="02943A68" w14:textId="748F14AF" w:rsidR="008A34F7" w:rsidRPr="00951E7B" w:rsidRDefault="008A34F7">
      <w:pPr>
        <w:pStyle w:val="FootnoteText"/>
        <w:rPr>
          <w:sz w:val="18"/>
          <w:szCs w:val="18"/>
          <w:lang w:val="en-US"/>
        </w:rPr>
      </w:pPr>
      <w:r w:rsidRPr="00951E7B">
        <w:rPr>
          <w:rStyle w:val="FootnoteReference"/>
          <w:sz w:val="18"/>
          <w:szCs w:val="18"/>
        </w:rPr>
        <w:footnoteRef/>
      </w:r>
      <w:r w:rsidRPr="00951E7B">
        <w:rPr>
          <w:sz w:val="18"/>
          <w:szCs w:val="18"/>
        </w:rPr>
        <w:t xml:space="preserve"> </w:t>
      </w:r>
      <w:r w:rsidRPr="00951E7B">
        <w:rPr>
          <w:sz w:val="18"/>
          <w:szCs w:val="18"/>
          <w:lang w:val="en-US"/>
        </w:rPr>
        <w:t xml:space="preserve">Id at </w:t>
      </w:r>
      <w:r w:rsidR="00B24413" w:rsidRPr="00951E7B">
        <w:rPr>
          <w:sz w:val="18"/>
          <w:szCs w:val="18"/>
          <w:lang w:val="en-US"/>
        </w:rPr>
        <w:t>para</w:t>
      </w:r>
      <w:r w:rsidR="00726247" w:rsidRPr="00951E7B">
        <w:rPr>
          <w:sz w:val="18"/>
          <w:szCs w:val="18"/>
          <w:lang w:val="en-US"/>
        </w:rPr>
        <w:t>s</w:t>
      </w:r>
      <w:r w:rsidR="00B24413" w:rsidRPr="00951E7B">
        <w:rPr>
          <w:sz w:val="18"/>
          <w:szCs w:val="18"/>
          <w:lang w:val="en-US"/>
        </w:rPr>
        <w:t xml:space="preserve"> 10</w:t>
      </w:r>
      <w:r w:rsidR="00726247" w:rsidRPr="00951E7B">
        <w:rPr>
          <w:sz w:val="18"/>
          <w:szCs w:val="18"/>
          <w:lang w:val="en-US"/>
        </w:rPr>
        <w:t>-11</w:t>
      </w:r>
      <w:r w:rsidR="00B24413" w:rsidRPr="00951E7B">
        <w:rPr>
          <w:sz w:val="18"/>
          <w:szCs w:val="18"/>
          <w:lang w:val="en-US"/>
        </w:rPr>
        <w:t>.</w:t>
      </w:r>
      <w:r w:rsidR="003F7AE6" w:rsidRPr="00951E7B">
        <w:rPr>
          <w:rFonts w:cs="Arial"/>
          <w:sz w:val="18"/>
          <w:szCs w:val="18"/>
        </w:rPr>
        <w:t xml:space="preserve">  </w:t>
      </w:r>
    </w:p>
  </w:footnote>
  <w:footnote w:id="17">
    <w:p w14:paraId="5A714BFF" w14:textId="6D74FAF9" w:rsidR="00C274C5" w:rsidRPr="00951E7B" w:rsidRDefault="00C274C5">
      <w:pPr>
        <w:pStyle w:val="FootnoteText"/>
        <w:rPr>
          <w:sz w:val="18"/>
          <w:szCs w:val="18"/>
        </w:rPr>
      </w:pPr>
      <w:r w:rsidRPr="00951E7B">
        <w:rPr>
          <w:rStyle w:val="FootnoteReference"/>
          <w:sz w:val="18"/>
          <w:szCs w:val="18"/>
        </w:rPr>
        <w:footnoteRef/>
      </w:r>
      <w:r w:rsidRPr="00951E7B">
        <w:rPr>
          <w:sz w:val="18"/>
          <w:szCs w:val="18"/>
        </w:rPr>
        <w:t xml:space="preserve"> </w:t>
      </w:r>
      <w:r w:rsidR="00AF29C2" w:rsidRPr="00951E7B">
        <w:rPr>
          <w:sz w:val="18"/>
          <w:szCs w:val="18"/>
        </w:rPr>
        <w:t>[2022] ZAGPPHC 855.</w:t>
      </w:r>
      <w:r w:rsidR="003F7AE6" w:rsidRPr="00951E7B">
        <w:rPr>
          <w:rFonts w:cs="Arial"/>
          <w:sz w:val="18"/>
          <w:szCs w:val="18"/>
        </w:rPr>
        <w:t xml:space="preserve">  </w:t>
      </w:r>
    </w:p>
  </w:footnote>
  <w:footnote w:id="18">
    <w:p w14:paraId="7FB06613" w14:textId="2BDFB7A8" w:rsidR="0060296C" w:rsidRPr="00951E7B" w:rsidRDefault="0060296C"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Id at para</w:t>
      </w:r>
      <w:r w:rsidR="00836294" w:rsidRPr="00951E7B">
        <w:rPr>
          <w:rFonts w:cs="Arial"/>
          <w:sz w:val="18"/>
          <w:szCs w:val="18"/>
        </w:rPr>
        <w:t>s</w:t>
      </w:r>
      <w:r w:rsidRPr="00951E7B">
        <w:rPr>
          <w:rFonts w:cs="Arial"/>
          <w:sz w:val="18"/>
          <w:szCs w:val="18"/>
        </w:rPr>
        <w:t xml:space="preserve"> </w:t>
      </w:r>
      <w:r w:rsidR="00836294" w:rsidRPr="00951E7B">
        <w:rPr>
          <w:rFonts w:cs="Arial"/>
          <w:sz w:val="18"/>
          <w:szCs w:val="18"/>
        </w:rPr>
        <w:t>22-24</w:t>
      </w:r>
      <w:r w:rsidRPr="00951E7B">
        <w:rPr>
          <w:rFonts w:cs="Arial"/>
          <w:sz w:val="18"/>
          <w:szCs w:val="18"/>
        </w:rPr>
        <w:t>.</w:t>
      </w:r>
      <w:r w:rsidR="003F7AE6" w:rsidRPr="00951E7B">
        <w:rPr>
          <w:rFonts w:cs="Arial"/>
          <w:sz w:val="18"/>
          <w:szCs w:val="18"/>
        </w:rPr>
        <w:t xml:space="preserve">  </w:t>
      </w:r>
    </w:p>
  </w:footnote>
  <w:footnote w:id="19">
    <w:p w14:paraId="3AEDCD37" w14:textId="1E745A40" w:rsidR="00141555" w:rsidRPr="00951E7B" w:rsidRDefault="00141555"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[2019] ZACC 15; 2019 (6) BCLR 661 (CC); 2019 (4) SA 331 (CC).</w:t>
      </w:r>
      <w:r w:rsidR="003F7AE6" w:rsidRPr="00951E7B">
        <w:rPr>
          <w:rFonts w:cs="Arial"/>
          <w:sz w:val="18"/>
          <w:szCs w:val="18"/>
        </w:rPr>
        <w:t xml:space="preserve">  </w:t>
      </w:r>
    </w:p>
  </w:footnote>
  <w:footnote w:id="20">
    <w:p w14:paraId="10102B6E" w14:textId="07504838" w:rsidR="002706CD" w:rsidRPr="00951E7B" w:rsidRDefault="002706CD">
      <w:pPr>
        <w:pStyle w:val="FootnoteText"/>
        <w:rPr>
          <w:sz w:val="18"/>
          <w:szCs w:val="18"/>
          <w:lang w:val="en-US"/>
        </w:rPr>
      </w:pPr>
      <w:r w:rsidRPr="00951E7B">
        <w:rPr>
          <w:rStyle w:val="FootnoteReference"/>
          <w:sz w:val="18"/>
          <w:szCs w:val="18"/>
        </w:rPr>
        <w:footnoteRef/>
      </w:r>
      <w:r w:rsidRPr="00951E7B">
        <w:rPr>
          <w:sz w:val="18"/>
          <w:szCs w:val="18"/>
        </w:rPr>
        <w:t xml:space="preserve"> </w:t>
      </w:r>
      <w:r w:rsidR="00C64608" w:rsidRPr="00951E7B">
        <w:rPr>
          <w:sz w:val="18"/>
          <w:szCs w:val="18"/>
        </w:rPr>
        <w:t>Id at para 52.</w:t>
      </w:r>
      <w:r w:rsidR="003F7AE6" w:rsidRPr="00951E7B">
        <w:rPr>
          <w:rFonts w:cs="Arial"/>
          <w:sz w:val="18"/>
          <w:szCs w:val="18"/>
        </w:rPr>
        <w:t xml:space="preserve">  </w:t>
      </w:r>
    </w:p>
  </w:footnote>
  <w:footnote w:id="21">
    <w:p w14:paraId="318B38DE" w14:textId="042AF478" w:rsidR="00291C3F" w:rsidRPr="00951E7B" w:rsidRDefault="00291C3F" w:rsidP="00C12C95">
      <w:pPr>
        <w:pStyle w:val="FootnoteText"/>
        <w:jc w:val="both"/>
        <w:rPr>
          <w:rFonts w:cs="Arial"/>
          <w:sz w:val="18"/>
          <w:szCs w:val="18"/>
        </w:rPr>
      </w:pPr>
      <w:r w:rsidRPr="00951E7B">
        <w:rPr>
          <w:rStyle w:val="FootnoteReference"/>
          <w:rFonts w:cs="Arial"/>
          <w:sz w:val="18"/>
          <w:szCs w:val="18"/>
        </w:rPr>
        <w:footnoteRef/>
      </w:r>
      <w:r w:rsidRPr="00951E7B">
        <w:rPr>
          <w:rFonts w:cs="Arial"/>
          <w:sz w:val="18"/>
          <w:szCs w:val="18"/>
        </w:rPr>
        <w:t xml:space="preserve"> Id at para 53.</w:t>
      </w:r>
      <w:r w:rsidR="003F7AE6" w:rsidRPr="00951E7B">
        <w:rPr>
          <w:rFonts w:cs="Arial"/>
          <w:sz w:val="18"/>
          <w:szCs w:val="18"/>
        </w:rPr>
        <w:t xml:space="preserve">  </w:t>
      </w:r>
    </w:p>
  </w:footnote>
  <w:footnote w:id="22">
    <w:p w14:paraId="7B9C4CC0" w14:textId="1A54601A" w:rsidR="00F477A6" w:rsidRPr="00951E7B" w:rsidRDefault="00F477A6">
      <w:pPr>
        <w:pStyle w:val="FootnoteText"/>
        <w:rPr>
          <w:sz w:val="18"/>
          <w:szCs w:val="18"/>
        </w:rPr>
      </w:pPr>
      <w:r w:rsidRPr="00951E7B">
        <w:rPr>
          <w:rStyle w:val="FootnoteReference"/>
          <w:sz w:val="18"/>
          <w:szCs w:val="18"/>
        </w:rPr>
        <w:footnoteRef/>
      </w:r>
      <w:r w:rsidRPr="00951E7B">
        <w:rPr>
          <w:sz w:val="18"/>
          <w:szCs w:val="18"/>
        </w:rPr>
        <w:t xml:space="preserve"> </w:t>
      </w:r>
      <w:r w:rsidRPr="00951E7B">
        <w:rPr>
          <w:i/>
          <w:iCs/>
          <w:sz w:val="18"/>
          <w:szCs w:val="18"/>
        </w:rPr>
        <w:t>S v Zonke and Others</w:t>
      </w:r>
      <w:r w:rsidRPr="00951E7B">
        <w:rPr>
          <w:sz w:val="18"/>
          <w:szCs w:val="18"/>
        </w:rPr>
        <w:t xml:space="preserve"> [2023] ZANWHC 31.</w:t>
      </w:r>
      <w:r w:rsidR="003F7AE6" w:rsidRPr="00951E7B">
        <w:rPr>
          <w:rFonts w:cs="Arial"/>
          <w:sz w:val="18"/>
          <w:szCs w:val="18"/>
        </w:rPr>
        <w:t xml:space="preserve">  </w:t>
      </w:r>
    </w:p>
  </w:footnote>
  <w:footnote w:id="23">
    <w:p w14:paraId="5B9F3A0C" w14:textId="5355708E" w:rsidR="001D32BC" w:rsidRPr="007D1C6A" w:rsidRDefault="001D32BC">
      <w:pPr>
        <w:pStyle w:val="FootnoteText"/>
        <w:rPr>
          <w:lang w:val="en-US"/>
        </w:rPr>
      </w:pPr>
      <w:r>
        <w:rPr>
          <w:rStyle w:val="FootnoteReference"/>
        </w:rPr>
        <w:footnoteRef/>
      </w:r>
      <w:r>
        <w:t xml:space="preserve"> </w:t>
      </w:r>
      <w:r w:rsidR="00CD623F" w:rsidRPr="00951E7B">
        <w:rPr>
          <w:rFonts w:cs="Arial"/>
          <w:i/>
          <w:iCs/>
          <w:sz w:val="18"/>
          <w:szCs w:val="18"/>
        </w:rPr>
        <w:t xml:space="preserve">African National Congress v Electoral Commission of South Africa and Others </w:t>
      </w:r>
      <w:r w:rsidR="00CD623F" w:rsidRPr="00951E7B">
        <w:rPr>
          <w:rFonts w:cs="Arial"/>
          <w:sz w:val="18"/>
          <w:szCs w:val="18"/>
        </w:rPr>
        <w:t>[2024] ZAEC 3 at para 11</w:t>
      </w:r>
      <w:r w:rsidR="00CD623F">
        <w:rPr>
          <w:rFonts w:cs="Arial"/>
          <w:sz w:val="18"/>
          <w:szCs w:val="18"/>
        </w:rPr>
        <w:t>.</w:t>
      </w:r>
    </w:p>
  </w:footnote>
  <w:footnote w:id="24">
    <w:p w14:paraId="1F23D068" w14:textId="090A385F" w:rsidR="00F53635" w:rsidRPr="00951E7B" w:rsidRDefault="00F53635">
      <w:pPr>
        <w:pStyle w:val="FootnoteText"/>
        <w:rPr>
          <w:sz w:val="18"/>
          <w:szCs w:val="18"/>
        </w:rPr>
      </w:pPr>
      <w:r w:rsidRPr="00951E7B">
        <w:rPr>
          <w:rStyle w:val="FootnoteReference"/>
          <w:sz w:val="18"/>
          <w:szCs w:val="18"/>
        </w:rPr>
        <w:footnoteRef/>
      </w:r>
      <w:r w:rsidRPr="00951E7B">
        <w:rPr>
          <w:sz w:val="18"/>
          <w:szCs w:val="18"/>
        </w:rPr>
        <w:t xml:space="preserve"> </w:t>
      </w:r>
      <w:r w:rsidR="00B00833" w:rsidRPr="00951E7B">
        <w:rPr>
          <w:i/>
          <w:iCs/>
          <w:sz w:val="18"/>
          <w:szCs w:val="18"/>
        </w:rPr>
        <w:t>Panday v National Director of Public Prosecutions</w:t>
      </w:r>
      <w:r w:rsidR="00B00833" w:rsidRPr="00951E7B">
        <w:rPr>
          <w:sz w:val="18"/>
          <w:szCs w:val="18"/>
        </w:rPr>
        <w:t xml:space="preserve"> [2020] ZAKZPHC 52; [2020] 4 All SA 544 (KZP); 2021 (1) SACR 18 (KZP)</w:t>
      </w:r>
      <w:r w:rsidR="00B223C1" w:rsidRPr="00951E7B">
        <w:rPr>
          <w:sz w:val="18"/>
          <w:szCs w:val="18"/>
        </w:rPr>
        <w:t xml:space="preserve"> at para 11</w:t>
      </w:r>
      <w:r w:rsidR="003036A5" w:rsidRPr="00951E7B">
        <w:rPr>
          <w:sz w:val="18"/>
          <w:szCs w:val="18"/>
        </w:rPr>
        <w:t xml:space="preserve"> (“</w:t>
      </w:r>
      <w:r w:rsidR="003036A5" w:rsidRPr="00951E7B">
        <w:rPr>
          <w:i/>
          <w:iCs/>
          <w:sz w:val="18"/>
          <w:szCs w:val="18"/>
        </w:rPr>
        <w:t>Panday</w:t>
      </w:r>
      <w:r w:rsidR="003036A5" w:rsidRPr="00951E7B">
        <w:rPr>
          <w:sz w:val="18"/>
          <w:szCs w:val="18"/>
        </w:rPr>
        <w:t>”)</w:t>
      </w:r>
      <w:r w:rsidR="00B00833" w:rsidRPr="00951E7B">
        <w:rPr>
          <w:sz w:val="18"/>
          <w:szCs w:val="18"/>
        </w:rPr>
        <w:t>.</w:t>
      </w:r>
      <w:r w:rsidR="003F7AE6" w:rsidRPr="00951E7B">
        <w:rPr>
          <w:rFonts w:cs="Arial"/>
          <w:sz w:val="18"/>
          <w:szCs w:val="18"/>
        </w:rPr>
        <w:t xml:space="preserve">  </w:t>
      </w:r>
    </w:p>
  </w:footnote>
  <w:footnote w:id="25">
    <w:p w14:paraId="637EB51C" w14:textId="0EB61AD9" w:rsidR="004C1028" w:rsidRPr="00951E7B" w:rsidRDefault="004C1028">
      <w:pPr>
        <w:pStyle w:val="FootnoteText"/>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4172F9" w:rsidRPr="00951E7B">
        <w:rPr>
          <w:rFonts w:cs="Arial"/>
          <w:i/>
          <w:iCs/>
          <w:sz w:val="18"/>
          <w:szCs w:val="18"/>
        </w:rPr>
        <w:t>S v Zuma and Another</w:t>
      </w:r>
      <w:r w:rsidR="004172F9" w:rsidRPr="00951E7B">
        <w:rPr>
          <w:rFonts w:cs="Arial"/>
          <w:sz w:val="18"/>
          <w:szCs w:val="18"/>
        </w:rPr>
        <w:t xml:space="preserve"> [2019] ZAKZDHC 19; [2019] 4 All SA 845 (KZD); 2020 (2) BCLR 153 (KZD) at paras 176-180; </w:t>
      </w:r>
      <w:r w:rsidRPr="00951E7B">
        <w:rPr>
          <w:rFonts w:cs="Arial"/>
          <w:i/>
          <w:iCs/>
          <w:sz w:val="18"/>
          <w:szCs w:val="18"/>
        </w:rPr>
        <w:t>Pharmaceutical Manufacturers Association of South Africa: In re Ex parte President of the Republic of South Africa</w:t>
      </w:r>
      <w:r w:rsidRPr="00951E7B">
        <w:rPr>
          <w:rFonts w:cs="Arial"/>
          <w:sz w:val="18"/>
          <w:szCs w:val="18"/>
        </w:rPr>
        <w:t xml:space="preserve"> [2000] ZACC 1; 2000 (2) SA 674 (CC); 2000 (3) BCLR 241 (CC).</w:t>
      </w:r>
      <w:r w:rsidR="003F7AE6" w:rsidRPr="00951E7B">
        <w:rPr>
          <w:rFonts w:cs="Arial"/>
          <w:sz w:val="18"/>
          <w:szCs w:val="18"/>
        </w:rPr>
        <w:t xml:space="preserve">  </w:t>
      </w:r>
    </w:p>
  </w:footnote>
  <w:footnote w:id="26">
    <w:p w14:paraId="2AE5BE02" w14:textId="083D792D" w:rsidR="004C1028" w:rsidRPr="00951E7B" w:rsidRDefault="004C1028">
      <w:pPr>
        <w:pStyle w:val="FootnoteText"/>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947B91" w:rsidRPr="00951E7B">
        <w:rPr>
          <w:rFonts w:cs="Arial"/>
          <w:i/>
          <w:iCs/>
          <w:sz w:val="18"/>
          <w:szCs w:val="18"/>
        </w:rPr>
        <w:t>Becker v Minister of Mineral Resources and Energy and Others</w:t>
      </w:r>
      <w:r w:rsidR="00947B91" w:rsidRPr="00951E7B">
        <w:rPr>
          <w:rFonts w:cs="Arial"/>
          <w:sz w:val="18"/>
          <w:szCs w:val="18"/>
        </w:rPr>
        <w:t xml:space="preserve"> [2023] ZAWCHC 5; [2023] 2 All SA 73 (WCC); [2023] 4 BLLR 329 (WCC).</w:t>
      </w:r>
      <w:r w:rsidR="003F7AE6" w:rsidRPr="00951E7B">
        <w:rPr>
          <w:rFonts w:cs="Arial"/>
          <w:sz w:val="18"/>
          <w:szCs w:val="18"/>
        </w:rPr>
        <w:t xml:space="preserve">  </w:t>
      </w:r>
    </w:p>
  </w:footnote>
  <w:footnote w:id="27">
    <w:p w14:paraId="609A5B30" w14:textId="0CA203D6" w:rsidR="004C1028" w:rsidRPr="00951E7B" w:rsidRDefault="004C1028">
      <w:pPr>
        <w:pStyle w:val="FootnoteText"/>
        <w:rPr>
          <w:rFonts w:cs="Arial"/>
          <w:sz w:val="18"/>
          <w:szCs w:val="18"/>
        </w:rPr>
      </w:pPr>
      <w:r w:rsidRPr="00951E7B">
        <w:rPr>
          <w:rStyle w:val="FootnoteReference"/>
          <w:rFonts w:cs="Arial"/>
          <w:sz w:val="18"/>
          <w:szCs w:val="18"/>
        </w:rPr>
        <w:footnoteRef/>
      </w:r>
      <w:r w:rsidRPr="00951E7B">
        <w:rPr>
          <w:rFonts w:cs="Arial"/>
          <w:sz w:val="18"/>
          <w:szCs w:val="18"/>
        </w:rPr>
        <w:t xml:space="preserve"> </w:t>
      </w:r>
      <w:r w:rsidR="00B42A77" w:rsidRPr="00951E7B">
        <w:rPr>
          <w:rFonts w:cs="Arial"/>
          <w:i/>
          <w:iCs/>
          <w:sz w:val="18"/>
          <w:szCs w:val="18"/>
        </w:rPr>
        <w:t xml:space="preserve">Masetlha v President of the Republic of South Africa and Another </w:t>
      </w:r>
      <w:r w:rsidR="00B42A77" w:rsidRPr="00951E7B">
        <w:rPr>
          <w:rFonts w:cs="Arial"/>
          <w:sz w:val="18"/>
          <w:szCs w:val="18"/>
        </w:rPr>
        <w:t>[2007] ZACC 20; 2008 (1) SA 566 (CC); 2008 (1) BCLR 1</w:t>
      </w:r>
      <w:r w:rsidR="005A19BF" w:rsidRPr="00951E7B">
        <w:rPr>
          <w:rFonts w:cs="Arial"/>
          <w:sz w:val="18"/>
          <w:szCs w:val="18"/>
        </w:rPr>
        <w:t xml:space="preserve"> at para 82</w:t>
      </w:r>
      <w:r w:rsidR="00E8634F" w:rsidRPr="00951E7B">
        <w:rPr>
          <w:rFonts w:cs="Arial"/>
          <w:sz w:val="18"/>
          <w:szCs w:val="18"/>
        </w:rPr>
        <w:t>.</w:t>
      </w:r>
      <w:r w:rsidR="003F7AE6" w:rsidRPr="00951E7B">
        <w:rPr>
          <w:rFonts w:cs="Arial"/>
          <w:sz w:val="18"/>
          <w:szCs w:val="18"/>
        </w:rPr>
        <w:t xml:space="preserve">  </w:t>
      </w:r>
    </w:p>
  </w:footnote>
  <w:footnote w:id="28">
    <w:p w14:paraId="3115212F" w14:textId="48F8E6C6" w:rsidR="004C1028" w:rsidRPr="00951E7B" w:rsidRDefault="004C1028">
      <w:pPr>
        <w:pStyle w:val="FootnoteText"/>
        <w:rPr>
          <w:rFonts w:cs="Arial"/>
          <w:sz w:val="18"/>
          <w:szCs w:val="18"/>
        </w:rPr>
      </w:pPr>
      <w:r w:rsidRPr="00951E7B">
        <w:rPr>
          <w:rStyle w:val="FootnoteReference"/>
          <w:rFonts w:cs="Arial"/>
          <w:sz w:val="18"/>
          <w:szCs w:val="18"/>
        </w:rPr>
        <w:footnoteRef/>
      </w:r>
      <w:r w:rsidR="00CD4BBE" w:rsidRPr="00951E7B">
        <w:rPr>
          <w:rFonts w:cs="Arial"/>
          <w:sz w:val="18"/>
          <w:szCs w:val="18"/>
        </w:rPr>
        <w:t xml:space="preserve"> </w:t>
      </w:r>
      <w:r w:rsidR="00CD4BBE" w:rsidRPr="00951E7B">
        <w:rPr>
          <w:rFonts w:cs="Arial"/>
          <w:i/>
          <w:iCs/>
          <w:sz w:val="18"/>
          <w:szCs w:val="18"/>
        </w:rPr>
        <w:t>Minister of International Relations and Co-operation and Others v Simeka Group (Pty) Ltd and Others</w:t>
      </w:r>
      <w:r w:rsidR="00CD4BBE" w:rsidRPr="00951E7B">
        <w:rPr>
          <w:rFonts w:cs="Arial"/>
          <w:sz w:val="18"/>
          <w:szCs w:val="18"/>
        </w:rPr>
        <w:t xml:space="preserve"> [2023] ZASCA 98; [2023] 3 All SA 323 (SCA).</w:t>
      </w:r>
      <w:r w:rsidR="003F7AE6" w:rsidRPr="00951E7B">
        <w:rPr>
          <w:rFonts w:cs="Arial"/>
          <w:sz w:val="18"/>
          <w:szCs w:val="18"/>
        </w:rPr>
        <w:t xml:space="preserve">  </w:t>
      </w:r>
    </w:p>
  </w:footnote>
  <w:footnote w:id="29">
    <w:p w14:paraId="3742EDD7" w14:textId="6280783C" w:rsidR="006F798A" w:rsidRPr="00951E7B" w:rsidRDefault="006F798A">
      <w:pPr>
        <w:pStyle w:val="FootnoteText"/>
        <w:rPr>
          <w:sz w:val="18"/>
          <w:szCs w:val="18"/>
        </w:rPr>
      </w:pPr>
      <w:r w:rsidRPr="00951E7B">
        <w:rPr>
          <w:rStyle w:val="FootnoteReference"/>
          <w:sz w:val="18"/>
          <w:szCs w:val="18"/>
        </w:rPr>
        <w:footnoteRef/>
      </w:r>
      <w:r w:rsidRPr="00951E7B">
        <w:rPr>
          <w:sz w:val="18"/>
          <w:szCs w:val="18"/>
        </w:rPr>
        <w:t xml:space="preserve"> </w:t>
      </w:r>
      <w:r w:rsidRPr="00951E7B">
        <w:rPr>
          <w:i/>
          <w:iCs/>
          <w:sz w:val="18"/>
          <w:szCs w:val="18"/>
        </w:rPr>
        <w:t>e.tv (Pty) Limited v Minister of Communications and Digital Technologies and Others; Media Monitoring Africa and Another v e.tv (Pty) Limited and Others</w:t>
      </w:r>
      <w:r w:rsidRPr="00951E7B">
        <w:rPr>
          <w:sz w:val="18"/>
          <w:szCs w:val="18"/>
        </w:rPr>
        <w:t xml:space="preserve"> [2022] ZACC 22; 2022 (9) BCLR 1055 (CC); 2023 (3) SA 1 (CC)</w:t>
      </w:r>
      <w:r w:rsidR="004444BE" w:rsidRPr="00951E7B">
        <w:rPr>
          <w:sz w:val="18"/>
          <w:szCs w:val="18"/>
        </w:rPr>
        <w:t xml:space="preserve"> at para 61</w:t>
      </w:r>
      <w:r w:rsidRPr="00951E7B">
        <w:rPr>
          <w:sz w:val="18"/>
          <w:szCs w:val="18"/>
        </w:rPr>
        <w:t>.</w:t>
      </w:r>
      <w:r w:rsidR="003F7AE6" w:rsidRPr="00951E7B">
        <w:rPr>
          <w:rFonts w:cs="Arial"/>
          <w:sz w:val="18"/>
          <w:szCs w:val="18"/>
        </w:rPr>
        <w:t xml:space="preserve">  </w:t>
      </w:r>
    </w:p>
  </w:footnote>
  <w:footnote w:id="30">
    <w:p w14:paraId="4CE20C44" w14:textId="6C3360E6" w:rsidR="003672F5" w:rsidRPr="00951E7B" w:rsidRDefault="003672F5">
      <w:pPr>
        <w:pStyle w:val="FootnoteText"/>
        <w:rPr>
          <w:sz w:val="18"/>
          <w:szCs w:val="18"/>
        </w:rPr>
      </w:pPr>
      <w:r w:rsidRPr="00951E7B">
        <w:rPr>
          <w:rStyle w:val="FootnoteReference"/>
          <w:sz w:val="18"/>
          <w:szCs w:val="18"/>
        </w:rPr>
        <w:footnoteRef/>
      </w:r>
      <w:r w:rsidRPr="00951E7B">
        <w:rPr>
          <w:sz w:val="18"/>
          <w:szCs w:val="18"/>
        </w:rPr>
        <w:t xml:space="preserve"> </w:t>
      </w:r>
      <w:r w:rsidRPr="00951E7B">
        <w:rPr>
          <w:rFonts w:cs="Arial"/>
          <w:i/>
          <w:iCs/>
          <w:sz w:val="18"/>
          <w:szCs w:val="18"/>
        </w:rPr>
        <w:t>Afriforum NPC v Minister of International Relations and Co-operation and Others</w:t>
      </w:r>
      <w:r w:rsidRPr="00951E7B">
        <w:rPr>
          <w:rFonts w:cs="Arial"/>
          <w:sz w:val="18"/>
          <w:szCs w:val="18"/>
        </w:rPr>
        <w:t xml:space="preserve"> [2023] ZAGPPHC 1797</w:t>
      </w:r>
      <w:r w:rsidR="005B7996" w:rsidRPr="00951E7B">
        <w:rPr>
          <w:rFonts w:cs="Arial"/>
          <w:sz w:val="18"/>
          <w:szCs w:val="18"/>
        </w:rPr>
        <w:t>.</w:t>
      </w:r>
      <w:r w:rsidR="003F7AE6" w:rsidRPr="00951E7B">
        <w:rPr>
          <w:rFonts w:cs="Arial"/>
          <w:sz w:val="18"/>
          <w:szCs w:val="18"/>
        </w:rPr>
        <w:t xml:space="preserve">  </w:t>
      </w:r>
    </w:p>
  </w:footnote>
  <w:footnote w:id="31">
    <w:p w14:paraId="53D4020A" w14:textId="636131DB" w:rsidR="004F0B83" w:rsidRPr="00951E7B" w:rsidRDefault="004F0B83">
      <w:pPr>
        <w:pStyle w:val="FootnoteText"/>
        <w:rPr>
          <w:sz w:val="18"/>
          <w:szCs w:val="18"/>
        </w:rPr>
      </w:pPr>
      <w:r w:rsidRPr="00951E7B">
        <w:rPr>
          <w:rStyle w:val="FootnoteReference"/>
          <w:sz w:val="18"/>
          <w:szCs w:val="18"/>
        </w:rPr>
        <w:footnoteRef/>
      </w:r>
      <w:r w:rsidRPr="00951E7B">
        <w:rPr>
          <w:sz w:val="18"/>
          <w:szCs w:val="18"/>
        </w:rPr>
        <w:t xml:space="preserve"> </w:t>
      </w:r>
      <w:r w:rsidR="006D205B" w:rsidRPr="00951E7B">
        <w:rPr>
          <w:i/>
          <w:iCs/>
          <w:sz w:val="18"/>
          <w:szCs w:val="18"/>
        </w:rPr>
        <w:t>Democratic Alliance v President of South Africa and Others</w:t>
      </w:r>
      <w:r w:rsidR="006D205B" w:rsidRPr="00951E7B">
        <w:rPr>
          <w:sz w:val="18"/>
          <w:szCs w:val="18"/>
        </w:rPr>
        <w:t xml:space="preserve"> [2012] ZACC 24; 2012 (12) BCLR 1297 (CC); 2013 (1) SA 248 (CC) at para </w:t>
      </w:r>
      <w:r w:rsidR="004444BE" w:rsidRPr="00951E7B">
        <w:rPr>
          <w:sz w:val="18"/>
          <w:szCs w:val="18"/>
        </w:rPr>
        <w:t>39</w:t>
      </w:r>
      <w:r w:rsidR="006D205B" w:rsidRPr="00951E7B">
        <w:rPr>
          <w:sz w:val="18"/>
          <w:szCs w:val="18"/>
        </w:rPr>
        <w:t>.</w:t>
      </w:r>
      <w:r w:rsidR="003F7AE6" w:rsidRPr="00951E7B">
        <w:rPr>
          <w:rFonts w:cs="Arial"/>
          <w:sz w:val="18"/>
          <w:szCs w:val="18"/>
        </w:rPr>
        <w:t xml:space="preserve">  </w:t>
      </w:r>
    </w:p>
  </w:footnote>
  <w:footnote w:id="32">
    <w:p w14:paraId="43D086E5" w14:textId="459F539F" w:rsidR="00B20AF9" w:rsidRPr="00951E7B" w:rsidRDefault="00B20AF9">
      <w:pPr>
        <w:pStyle w:val="FootnoteText"/>
        <w:rPr>
          <w:sz w:val="18"/>
          <w:szCs w:val="18"/>
        </w:rPr>
      </w:pPr>
      <w:r w:rsidRPr="00951E7B">
        <w:rPr>
          <w:rStyle w:val="FootnoteReference"/>
          <w:sz w:val="18"/>
          <w:szCs w:val="18"/>
        </w:rPr>
        <w:footnoteRef/>
      </w:r>
      <w:r w:rsidRPr="00951E7B">
        <w:rPr>
          <w:sz w:val="18"/>
          <w:szCs w:val="18"/>
        </w:rPr>
        <w:t xml:space="preserve"> </w:t>
      </w:r>
      <w:hyperlink w:anchor="Panday" w:history="1">
        <w:r w:rsidR="003036A5" w:rsidRPr="00951E7B">
          <w:rPr>
            <w:rStyle w:val="Hyperlink"/>
            <w:i/>
            <w:iCs/>
            <w:color w:val="auto"/>
            <w:sz w:val="18"/>
            <w:szCs w:val="18"/>
            <w:u w:val="none"/>
          </w:rPr>
          <w:t xml:space="preserve">Panday </w:t>
        </w:r>
        <w:r w:rsidR="003036A5" w:rsidRPr="00951E7B">
          <w:rPr>
            <w:rStyle w:val="Hyperlink"/>
            <w:color w:val="auto"/>
            <w:sz w:val="18"/>
            <w:szCs w:val="18"/>
            <w:u w:val="none"/>
          </w:rPr>
          <w:t>above n 2</w:t>
        </w:r>
        <w:r w:rsidR="00FA6890" w:rsidRPr="00951E7B">
          <w:rPr>
            <w:rStyle w:val="Hyperlink"/>
            <w:color w:val="auto"/>
            <w:sz w:val="18"/>
            <w:szCs w:val="18"/>
            <w:u w:val="none"/>
          </w:rPr>
          <w:t>3</w:t>
        </w:r>
      </w:hyperlink>
      <w:r w:rsidR="003036A5" w:rsidRPr="00951E7B">
        <w:rPr>
          <w:sz w:val="18"/>
          <w:szCs w:val="18"/>
        </w:rPr>
        <w:t xml:space="preserve"> at para 32; </w:t>
      </w:r>
      <w:r w:rsidR="00492261" w:rsidRPr="00951E7B">
        <w:rPr>
          <w:i/>
          <w:iCs/>
          <w:sz w:val="18"/>
          <w:szCs w:val="18"/>
        </w:rPr>
        <w:t>Patel v National Director of Public Prosecutions and Others</w:t>
      </w:r>
      <w:r w:rsidR="00492261" w:rsidRPr="00951E7B">
        <w:rPr>
          <w:sz w:val="18"/>
          <w:szCs w:val="18"/>
        </w:rPr>
        <w:t xml:space="preserve"> [2018] ZAKZDHC 17; 2018 (2) SACR 420 (KZD) at paras 22-24</w:t>
      </w:r>
      <w:r w:rsidR="008D241A" w:rsidRPr="00951E7B">
        <w:rPr>
          <w:sz w:val="18"/>
          <w:szCs w:val="18"/>
        </w:rPr>
        <w:t xml:space="preserve">; </w:t>
      </w:r>
      <w:r w:rsidR="008D241A" w:rsidRPr="00951E7B">
        <w:rPr>
          <w:i/>
          <w:iCs/>
          <w:sz w:val="18"/>
          <w:szCs w:val="18"/>
        </w:rPr>
        <w:t>Corruption Watch NPC and Others v President of the Republic of South Africa and Others; Nxasana v Corruption Watch NPC and Others</w:t>
      </w:r>
      <w:r w:rsidR="008D241A" w:rsidRPr="00951E7B">
        <w:rPr>
          <w:sz w:val="18"/>
          <w:szCs w:val="18"/>
        </w:rPr>
        <w:t xml:space="preserve"> [2018] ZACC 23; 2018 (10) BCLR 1179 (CC); 2018 (2) SACR 442 (CC)</w:t>
      </w:r>
      <w:r w:rsidR="00492261" w:rsidRPr="00951E7B">
        <w:rPr>
          <w:sz w:val="18"/>
          <w:szCs w:val="18"/>
        </w:rPr>
        <w:t>.</w:t>
      </w:r>
      <w:r w:rsidR="003F7AE6" w:rsidRPr="00951E7B">
        <w:rPr>
          <w:rFonts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B2AAC99E"/>
    <w:lvl w:ilvl="0" w:tplc="59C8CCC0">
      <w:start w:val="1"/>
      <w:numFmt w:val="decimal"/>
      <w:lvlText w:val="(%1)"/>
      <w:lvlJc w:val="left"/>
      <w:pPr>
        <w:tabs>
          <w:tab w:val="num" w:pos="720"/>
        </w:tabs>
        <w:ind w:left="720" w:hanging="720"/>
      </w:pPr>
      <w:rPr>
        <w:rFonts w:ascii="Arial" w:hAnsi="Arial" w:cs="Aria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8BA5A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5473B"/>
    <w:multiLevelType w:val="multilevel"/>
    <w:tmpl w:val="6BEA5822"/>
    <w:lvl w:ilvl="0">
      <w:start w:val="1"/>
      <w:numFmt w:val="decimal"/>
      <w:pStyle w:val="JudgmentNumbering"/>
      <w:lvlText w:val="[%1]"/>
      <w:lvlJc w:val="left"/>
      <w:pPr>
        <w:ind w:left="720" w:hanging="720"/>
      </w:pPr>
      <w:rPr>
        <w:rFonts w:hint="default"/>
        <w:i w:val="0"/>
        <w:iCs w:val="0"/>
      </w:rPr>
    </w:lvl>
    <w:lvl w:ilvl="1">
      <w:start w:val="1"/>
      <w:numFmt w:val="decimal"/>
      <w:lvlText w:val="%1.%2"/>
      <w:lvlJc w:val="left"/>
      <w:pPr>
        <w:ind w:left="1418" w:hanging="698"/>
      </w:pPr>
      <w:rPr>
        <w:rFonts w:hint="default"/>
      </w:rPr>
    </w:lvl>
    <w:lvl w:ilvl="2">
      <w:start w:val="1"/>
      <w:numFmt w:val="decimal"/>
      <w:lvlText w:val="%1.%2.%3"/>
      <w:lvlJc w:val="left"/>
      <w:pPr>
        <w:tabs>
          <w:tab w:val="num" w:pos="6741"/>
        </w:tabs>
        <w:ind w:left="1843" w:hanging="425"/>
      </w:pPr>
      <w:rPr>
        <w:rFonts w:hint="default"/>
      </w:rPr>
    </w:lvl>
    <w:lvl w:ilvl="3">
      <w:start w:val="1"/>
      <w:numFmt w:val="decimal"/>
      <w:lvlText w:val="%4."/>
      <w:lvlJc w:val="left"/>
      <w:pPr>
        <w:ind w:left="8487" w:hanging="360"/>
      </w:pPr>
      <w:rPr>
        <w:rFonts w:ascii="Arial" w:hAnsi="Arial" w:cs="Arial" w:hint="default"/>
        <w:sz w:val="24"/>
        <w:szCs w:val="24"/>
      </w:rPr>
    </w:lvl>
    <w:lvl w:ilvl="4">
      <w:start w:val="1"/>
      <w:numFmt w:val="lowerLetter"/>
      <w:lvlText w:val="%5."/>
      <w:lvlJc w:val="left"/>
      <w:pPr>
        <w:ind w:left="9207" w:hanging="360"/>
      </w:pPr>
      <w:rPr>
        <w:rFonts w:hint="default"/>
      </w:rPr>
    </w:lvl>
    <w:lvl w:ilvl="5">
      <w:start w:val="1"/>
      <w:numFmt w:val="lowerRoman"/>
      <w:lvlText w:val="%6."/>
      <w:lvlJc w:val="right"/>
      <w:pPr>
        <w:ind w:left="9927" w:hanging="180"/>
      </w:pPr>
      <w:rPr>
        <w:rFonts w:hint="default"/>
      </w:rPr>
    </w:lvl>
    <w:lvl w:ilvl="6">
      <w:start w:val="1"/>
      <w:numFmt w:val="decimal"/>
      <w:lvlText w:val="%7."/>
      <w:lvlJc w:val="left"/>
      <w:pPr>
        <w:ind w:left="10647" w:hanging="360"/>
      </w:pPr>
      <w:rPr>
        <w:rFonts w:hint="default"/>
      </w:rPr>
    </w:lvl>
    <w:lvl w:ilvl="7">
      <w:start w:val="1"/>
      <w:numFmt w:val="lowerLetter"/>
      <w:lvlText w:val="%8."/>
      <w:lvlJc w:val="left"/>
      <w:pPr>
        <w:ind w:left="11367" w:hanging="360"/>
      </w:pPr>
      <w:rPr>
        <w:rFonts w:hint="default"/>
      </w:rPr>
    </w:lvl>
    <w:lvl w:ilvl="8">
      <w:start w:val="1"/>
      <w:numFmt w:val="lowerRoman"/>
      <w:lvlText w:val="%9."/>
      <w:lvlJc w:val="right"/>
      <w:pPr>
        <w:ind w:left="12087" w:hanging="180"/>
      </w:pPr>
      <w:rPr>
        <w:rFonts w:hint="default"/>
      </w:rPr>
    </w:lvl>
  </w:abstractNum>
  <w:abstractNum w:abstractNumId="3" w15:restartNumberingAfterBreak="0">
    <w:nsid w:val="28D35056"/>
    <w:multiLevelType w:val="hybridMultilevel"/>
    <w:tmpl w:val="A1D051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321B6F"/>
    <w:multiLevelType w:val="multilevel"/>
    <w:tmpl w:val="E98AF5D0"/>
    <w:lvl w:ilvl="0">
      <w:start w:val="1"/>
      <w:numFmt w:val="decimal"/>
      <w:pStyle w:val="JudgmentNumbered"/>
      <w:lvlText w:val="[%1]"/>
      <w:lvlJc w:val="left"/>
      <w:pPr>
        <w:ind w:left="360" w:hanging="360"/>
      </w:pPr>
      <w:rPr>
        <w:rFonts w:hint="default"/>
        <w:b w:val="0"/>
        <w:bCs w:val="0"/>
        <w:i w:val="0"/>
        <w:iCs w:val="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C302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D9381A"/>
    <w:multiLevelType w:val="multilevel"/>
    <w:tmpl w:val="0409001F"/>
    <w:lvl w:ilvl="0">
      <w:start w:val="1"/>
      <w:numFmt w:val="decimal"/>
      <w:lvlText w:val="%1."/>
      <w:lvlJc w:val="left"/>
      <w:pPr>
        <w:ind w:left="382" w:hanging="360"/>
      </w:pPr>
    </w:lvl>
    <w:lvl w:ilvl="1">
      <w:start w:val="1"/>
      <w:numFmt w:val="decimal"/>
      <w:lvlText w:val="%1.%2."/>
      <w:lvlJc w:val="left"/>
      <w:pPr>
        <w:ind w:left="814" w:hanging="432"/>
      </w:pPr>
    </w:lvl>
    <w:lvl w:ilvl="2">
      <w:start w:val="1"/>
      <w:numFmt w:val="decimal"/>
      <w:lvlText w:val="%1.%2.%3."/>
      <w:lvlJc w:val="left"/>
      <w:pPr>
        <w:ind w:left="1246" w:hanging="504"/>
      </w:pPr>
    </w:lvl>
    <w:lvl w:ilvl="3">
      <w:start w:val="1"/>
      <w:numFmt w:val="decimal"/>
      <w:lvlText w:val="%1.%2.%3.%4."/>
      <w:lvlJc w:val="left"/>
      <w:pPr>
        <w:ind w:left="1750" w:hanging="648"/>
      </w:pPr>
    </w:lvl>
    <w:lvl w:ilvl="4">
      <w:start w:val="1"/>
      <w:numFmt w:val="decimal"/>
      <w:lvlText w:val="%1.%2.%3.%4.%5."/>
      <w:lvlJc w:val="left"/>
      <w:pPr>
        <w:ind w:left="2254" w:hanging="792"/>
      </w:pPr>
    </w:lvl>
    <w:lvl w:ilvl="5">
      <w:start w:val="1"/>
      <w:numFmt w:val="decimal"/>
      <w:lvlText w:val="%1.%2.%3.%4.%5.%6."/>
      <w:lvlJc w:val="left"/>
      <w:pPr>
        <w:ind w:left="2758" w:hanging="936"/>
      </w:pPr>
    </w:lvl>
    <w:lvl w:ilvl="6">
      <w:start w:val="1"/>
      <w:numFmt w:val="decimal"/>
      <w:lvlText w:val="%1.%2.%3.%4.%5.%6.%7."/>
      <w:lvlJc w:val="left"/>
      <w:pPr>
        <w:ind w:left="3262" w:hanging="1080"/>
      </w:pPr>
    </w:lvl>
    <w:lvl w:ilvl="7">
      <w:start w:val="1"/>
      <w:numFmt w:val="decimal"/>
      <w:lvlText w:val="%1.%2.%3.%4.%5.%6.%7.%8."/>
      <w:lvlJc w:val="left"/>
      <w:pPr>
        <w:ind w:left="3766" w:hanging="1224"/>
      </w:pPr>
    </w:lvl>
    <w:lvl w:ilvl="8">
      <w:start w:val="1"/>
      <w:numFmt w:val="decimal"/>
      <w:lvlText w:val="%1.%2.%3.%4.%5.%6.%7.%8.%9."/>
      <w:lvlJc w:val="left"/>
      <w:pPr>
        <w:ind w:left="4342" w:hanging="1440"/>
      </w:pPr>
    </w:lvl>
  </w:abstractNum>
  <w:num w:numId="1" w16cid:durableId="445856472">
    <w:abstractNumId w:val="0"/>
  </w:num>
  <w:num w:numId="2" w16cid:durableId="370230649">
    <w:abstractNumId w:val="2"/>
  </w:num>
  <w:num w:numId="3" w16cid:durableId="689574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9822331">
    <w:abstractNumId w:val="1"/>
  </w:num>
  <w:num w:numId="5" w16cid:durableId="1014040515">
    <w:abstractNumId w:val="4"/>
  </w:num>
  <w:num w:numId="6" w16cid:durableId="1242837947">
    <w:abstractNumId w:val="3"/>
  </w:num>
  <w:num w:numId="7" w16cid:durableId="1780181831">
    <w:abstractNumId w:val="5"/>
  </w:num>
  <w:num w:numId="8" w16cid:durableId="1528253247">
    <w:abstractNumId w:val="6"/>
  </w:num>
  <w:num w:numId="9" w16cid:durableId="742263499">
    <w:abstractNumId w:val="4"/>
  </w:num>
  <w:num w:numId="10" w16cid:durableId="738097703">
    <w:abstractNumId w:val="4"/>
  </w:num>
  <w:num w:numId="11" w16cid:durableId="85807165">
    <w:abstractNumId w:val="4"/>
  </w:num>
  <w:num w:numId="12" w16cid:durableId="1226643991">
    <w:abstractNumId w:val="4"/>
  </w:num>
  <w:num w:numId="13" w16cid:durableId="1907033615">
    <w:abstractNumId w:val="4"/>
  </w:num>
  <w:num w:numId="14" w16cid:durableId="653410956">
    <w:abstractNumId w:val="4"/>
  </w:num>
  <w:num w:numId="15" w16cid:durableId="198712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A9"/>
    <w:rsid w:val="000044FE"/>
    <w:rsid w:val="000047E4"/>
    <w:rsid w:val="00004954"/>
    <w:rsid w:val="00004F4B"/>
    <w:rsid w:val="000133B8"/>
    <w:rsid w:val="00016690"/>
    <w:rsid w:val="00021F6D"/>
    <w:rsid w:val="000273B5"/>
    <w:rsid w:val="000412FE"/>
    <w:rsid w:val="000460CB"/>
    <w:rsid w:val="00052726"/>
    <w:rsid w:val="0005537B"/>
    <w:rsid w:val="00055B08"/>
    <w:rsid w:val="00056CBA"/>
    <w:rsid w:val="00063392"/>
    <w:rsid w:val="000643EC"/>
    <w:rsid w:val="000648AE"/>
    <w:rsid w:val="000650A5"/>
    <w:rsid w:val="00066F6C"/>
    <w:rsid w:val="000714D3"/>
    <w:rsid w:val="00072BFE"/>
    <w:rsid w:val="00077EC5"/>
    <w:rsid w:val="00084CF2"/>
    <w:rsid w:val="00085AEE"/>
    <w:rsid w:val="00085F93"/>
    <w:rsid w:val="00092BE3"/>
    <w:rsid w:val="000948AC"/>
    <w:rsid w:val="000971B8"/>
    <w:rsid w:val="000978DC"/>
    <w:rsid w:val="000A34AE"/>
    <w:rsid w:val="000A45AE"/>
    <w:rsid w:val="000B34A7"/>
    <w:rsid w:val="000C0BB9"/>
    <w:rsid w:val="000D0490"/>
    <w:rsid w:val="000D23A0"/>
    <w:rsid w:val="000D29DC"/>
    <w:rsid w:val="000D404A"/>
    <w:rsid w:val="000D5913"/>
    <w:rsid w:val="000E2FE4"/>
    <w:rsid w:val="000F36F0"/>
    <w:rsid w:val="000F78D1"/>
    <w:rsid w:val="00102763"/>
    <w:rsid w:val="00103639"/>
    <w:rsid w:val="0010397A"/>
    <w:rsid w:val="0011327E"/>
    <w:rsid w:val="00114C17"/>
    <w:rsid w:val="00114EB5"/>
    <w:rsid w:val="00120BB6"/>
    <w:rsid w:val="00121680"/>
    <w:rsid w:val="0013478F"/>
    <w:rsid w:val="00136C7D"/>
    <w:rsid w:val="00140E57"/>
    <w:rsid w:val="00141555"/>
    <w:rsid w:val="00141E69"/>
    <w:rsid w:val="00144E41"/>
    <w:rsid w:val="001506F1"/>
    <w:rsid w:val="00151011"/>
    <w:rsid w:val="001519C3"/>
    <w:rsid w:val="0016072E"/>
    <w:rsid w:val="001642B1"/>
    <w:rsid w:val="00164908"/>
    <w:rsid w:val="00172453"/>
    <w:rsid w:val="00180284"/>
    <w:rsid w:val="00183BF0"/>
    <w:rsid w:val="00194291"/>
    <w:rsid w:val="001A0A77"/>
    <w:rsid w:val="001A2B71"/>
    <w:rsid w:val="001C1F71"/>
    <w:rsid w:val="001C5326"/>
    <w:rsid w:val="001C6F17"/>
    <w:rsid w:val="001D32BC"/>
    <w:rsid w:val="001D68CB"/>
    <w:rsid w:val="001D6AAF"/>
    <w:rsid w:val="001E089D"/>
    <w:rsid w:val="001F59F5"/>
    <w:rsid w:val="00203297"/>
    <w:rsid w:val="00203836"/>
    <w:rsid w:val="0020638A"/>
    <w:rsid w:val="00206AB8"/>
    <w:rsid w:val="00207DAD"/>
    <w:rsid w:val="00210A05"/>
    <w:rsid w:val="0021474E"/>
    <w:rsid w:val="0021498E"/>
    <w:rsid w:val="002163D8"/>
    <w:rsid w:val="00221901"/>
    <w:rsid w:val="00223AD2"/>
    <w:rsid w:val="002265AB"/>
    <w:rsid w:val="0023248F"/>
    <w:rsid w:val="00233B8A"/>
    <w:rsid w:val="0023529D"/>
    <w:rsid w:val="00237EA2"/>
    <w:rsid w:val="00243C33"/>
    <w:rsid w:val="002545B4"/>
    <w:rsid w:val="00257BCC"/>
    <w:rsid w:val="0026045D"/>
    <w:rsid w:val="00262274"/>
    <w:rsid w:val="002627DF"/>
    <w:rsid w:val="0026566C"/>
    <w:rsid w:val="00266444"/>
    <w:rsid w:val="00267AE6"/>
    <w:rsid w:val="002706CD"/>
    <w:rsid w:val="002713DF"/>
    <w:rsid w:val="00272B49"/>
    <w:rsid w:val="00273196"/>
    <w:rsid w:val="00273725"/>
    <w:rsid w:val="00273963"/>
    <w:rsid w:val="00275800"/>
    <w:rsid w:val="00281BD4"/>
    <w:rsid w:val="00285AEA"/>
    <w:rsid w:val="00291C3F"/>
    <w:rsid w:val="00292DF8"/>
    <w:rsid w:val="002A7B43"/>
    <w:rsid w:val="002A7C52"/>
    <w:rsid w:val="002B1C01"/>
    <w:rsid w:val="002B6035"/>
    <w:rsid w:val="002C7033"/>
    <w:rsid w:val="002C70C2"/>
    <w:rsid w:val="002D2F7B"/>
    <w:rsid w:val="002D5192"/>
    <w:rsid w:val="002D54BA"/>
    <w:rsid w:val="002D56DD"/>
    <w:rsid w:val="002E1AF7"/>
    <w:rsid w:val="002E5A82"/>
    <w:rsid w:val="002F4945"/>
    <w:rsid w:val="002F5667"/>
    <w:rsid w:val="002F689C"/>
    <w:rsid w:val="00301905"/>
    <w:rsid w:val="00302B11"/>
    <w:rsid w:val="003036A5"/>
    <w:rsid w:val="00306E28"/>
    <w:rsid w:val="00310EB8"/>
    <w:rsid w:val="003110BD"/>
    <w:rsid w:val="003175E5"/>
    <w:rsid w:val="0032022D"/>
    <w:rsid w:val="00320CEA"/>
    <w:rsid w:val="003252CF"/>
    <w:rsid w:val="00326F79"/>
    <w:rsid w:val="00332A5A"/>
    <w:rsid w:val="00336F23"/>
    <w:rsid w:val="00343886"/>
    <w:rsid w:val="00351767"/>
    <w:rsid w:val="00351890"/>
    <w:rsid w:val="00351F66"/>
    <w:rsid w:val="0035328F"/>
    <w:rsid w:val="003543DA"/>
    <w:rsid w:val="00355246"/>
    <w:rsid w:val="00355AB1"/>
    <w:rsid w:val="00356F7C"/>
    <w:rsid w:val="00360816"/>
    <w:rsid w:val="00360EEE"/>
    <w:rsid w:val="00362409"/>
    <w:rsid w:val="00364071"/>
    <w:rsid w:val="003672F5"/>
    <w:rsid w:val="003675FF"/>
    <w:rsid w:val="003679D1"/>
    <w:rsid w:val="003754B4"/>
    <w:rsid w:val="00381513"/>
    <w:rsid w:val="00382637"/>
    <w:rsid w:val="00387916"/>
    <w:rsid w:val="003952B2"/>
    <w:rsid w:val="0039706A"/>
    <w:rsid w:val="003B27D6"/>
    <w:rsid w:val="003C5169"/>
    <w:rsid w:val="003C51E7"/>
    <w:rsid w:val="003C5378"/>
    <w:rsid w:val="003D6C7D"/>
    <w:rsid w:val="003D7267"/>
    <w:rsid w:val="003D7D14"/>
    <w:rsid w:val="003E4244"/>
    <w:rsid w:val="003E59C9"/>
    <w:rsid w:val="003E6EE2"/>
    <w:rsid w:val="003E7FD0"/>
    <w:rsid w:val="003F26CA"/>
    <w:rsid w:val="003F508F"/>
    <w:rsid w:val="003F7AE6"/>
    <w:rsid w:val="004008EF"/>
    <w:rsid w:val="00400B0D"/>
    <w:rsid w:val="004047F6"/>
    <w:rsid w:val="004053FD"/>
    <w:rsid w:val="004062F7"/>
    <w:rsid w:val="00414D3C"/>
    <w:rsid w:val="004172F9"/>
    <w:rsid w:val="00421A03"/>
    <w:rsid w:val="00433CAF"/>
    <w:rsid w:val="00434A90"/>
    <w:rsid w:val="00436ABF"/>
    <w:rsid w:val="004436F5"/>
    <w:rsid w:val="004444BE"/>
    <w:rsid w:val="004519B0"/>
    <w:rsid w:val="004556F4"/>
    <w:rsid w:val="00457279"/>
    <w:rsid w:val="00457C7A"/>
    <w:rsid w:val="00461797"/>
    <w:rsid w:val="00462B25"/>
    <w:rsid w:val="0046452E"/>
    <w:rsid w:val="00473ED2"/>
    <w:rsid w:val="00477BD5"/>
    <w:rsid w:val="00486D04"/>
    <w:rsid w:val="004900DC"/>
    <w:rsid w:val="0049126E"/>
    <w:rsid w:val="004915E4"/>
    <w:rsid w:val="00492261"/>
    <w:rsid w:val="004A4897"/>
    <w:rsid w:val="004B3CDE"/>
    <w:rsid w:val="004C1028"/>
    <w:rsid w:val="004C4E6E"/>
    <w:rsid w:val="004D0901"/>
    <w:rsid w:val="004D3297"/>
    <w:rsid w:val="004D6459"/>
    <w:rsid w:val="004D6532"/>
    <w:rsid w:val="004E1E15"/>
    <w:rsid w:val="004E34AF"/>
    <w:rsid w:val="004E57B1"/>
    <w:rsid w:val="004F0B83"/>
    <w:rsid w:val="004F0BFA"/>
    <w:rsid w:val="004F70BD"/>
    <w:rsid w:val="00506C41"/>
    <w:rsid w:val="005236A2"/>
    <w:rsid w:val="00525863"/>
    <w:rsid w:val="00530906"/>
    <w:rsid w:val="0053167F"/>
    <w:rsid w:val="00534D28"/>
    <w:rsid w:val="00542830"/>
    <w:rsid w:val="00542CB0"/>
    <w:rsid w:val="0055093C"/>
    <w:rsid w:val="005515D3"/>
    <w:rsid w:val="00555199"/>
    <w:rsid w:val="005556BB"/>
    <w:rsid w:val="00561ED0"/>
    <w:rsid w:val="00570098"/>
    <w:rsid w:val="00573F6D"/>
    <w:rsid w:val="0058023B"/>
    <w:rsid w:val="0058035E"/>
    <w:rsid w:val="00585DA4"/>
    <w:rsid w:val="0059472A"/>
    <w:rsid w:val="00595BB4"/>
    <w:rsid w:val="00597692"/>
    <w:rsid w:val="005A0BE3"/>
    <w:rsid w:val="005A19BF"/>
    <w:rsid w:val="005A21BB"/>
    <w:rsid w:val="005A2C8A"/>
    <w:rsid w:val="005A7574"/>
    <w:rsid w:val="005B4008"/>
    <w:rsid w:val="005B6E84"/>
    <w:rsid w:val="005B74D9"/>
    <w:rsid w:val="005B77D4"/>
    <w:rsid w:val="005B7996"/>
    <w:rsid w:val="005C0B25"/>
    <w:rsid w:val="005C559B"/>
    <w:rsid w:val="005D0220"/>
    <w:rsid w:val="005D51A5"/>
    <w:rsid w:val="005D624F"/>
    <w:rsid w:val="005E4B03"/>
    <w:rsid w:val="005F4BBE"/>
    <w:rsid w:val="0060296C"/>
    <w:rsid w:val="00604F55"/>
    <w:rsid w:val="0061546E"/>
    <w:rsid w:val="00622A0F"/>
    <w:rsid w:val="00627C96"/>
    <w:rsid w:val="0063283B"/>
    <w:rsid w:val="00632CB1"/>
    <w:rsid w:val="00637119"/>
    <w:rsid w:val="00642CBC"/>
    <w:rsid w:val="006500AD"/>
    <w:rsid w:val="006700CD"/>
    <w:rsid w:val="00671C3B"/>
    <w:rsid w:val="0068090C"/>
    <w:rsid w:val="006815E4"/>
    <w:rsid w:val="00685504"/>
    <w:rsid w:val="0069583F"/>
    <w:rsid w:val="00696005"/>
    <w:rsid w:val="00696C82"/>
    <w:rsid w:val="006A3AEF"/>
    <w:rsid w:val="006A5A18"/>
    <w:rsid w:val="006B5601"/>
    <w:rsid w:val="006C0584"/>
    <w:rsid w:val="006C5DFB"/>
    <w:rsid w:val="006C662F"/>
    <w:rsid w:val="006C7FAC"/>
    <w:rsid w:val="006D08F9"/>
    <w:rsid w:val="006D205B"/>
    <w:rsid w:val="006D3031"/>
    <w:rsid w:val="006F1159"/>
    <w:rsid w:val="006F213D"/>
    <w:rsid w:val="006F31AD"/>
    <w:rsid w:val="006F5305"/>
    <w:rsid w:val="006F798A"/>
    <w:rsid w:val="007001F0"/>
    <w:rsid w:val="00703EF8"/>
    <w:rsid w:val="00704AEB"/>
    <w:rsid w:val="00707F06"/>
    <w:rsid w:val="007154B4"/>
    <w:rsid w:val="00715A2A"/>
    <w:rsid w:val="0071659F"/>
    <w:rsid w:val="007202EF"/>
    <w:rsid w:val="00721A91"/>
    <w:rsid w:val="007222A2"/>
    <w:rsid w:val="0072291A"/>
    <w:rsid w:val="00722B40"/>
    <w:rsid w:val="0072582B"/>
    <w:rsid w:val="00726247"/>
    <w:rsid w:val="007305F0"/>
    <w:rsid w:val="0073069C"/>
    <w:rsid w:val="0073209C"/>
    <w:rsid w:val="00734B7F"/>
    <w:rsid w:val="00736734"/>
    <w:rsid w:val="007377FB"/>
    <w:rsid w:val="00744B3B"/>
    <w:rsid w:val="00745030"/>
    <w:rsid w:val="007525D4"/>
    <w:rsid w:val="00764DE2"/>
    <w:rsid w:val="00772708"/>
    <w:rsid w:val="0077363D"/>
    <w:rsid w:val="0078053C"/>
    <w:rsid w:val="00781DA6"/>
    <w:rsid w:val="00782575"/>
    <w:rsid w:val="0079419E"/>
    <w:rsid w:val="00794A68"/>
    <w:rsid w:val="007A1232"/>
    <w:rsid w:val="007A2709"/>
    <w:rsid w:val="007A2837"/>
    <w:rsid w:val="007A2B71"/>
    <w:rsid w:val="007A36DB"/>
    <w:rsid w:val="007A38A8"/>
    <w:rsid w:val="007A449E"/>
    <w:rsid w:val="007A478A"/>
    <w:rsid w:val="007A5967"/>
    <w:rsid w:val="007A611E"/>
    <w:rsid w:val="007A631B"/>
    <w:rsid w:val="007A68A7"/>
    <w:rsid w:val="007A7660"/>
    <w:rsid w:val="007B3B3A"/>
    <w:rsid w:val="007C7B5C"/>
    <w:rsid w:val="007C7FA0"/>
    <w:rsid w:val="007D1C6A"/>
    <w:rsid w:val="007D4B44"/>
    <w:rsid w:val="007D658B"/>
    <w:rsid w:val="007D72AC"/>
    <w:rsid w:val="007E043D"/>
    <w:rsid w:val="007E52A5"/>
    <w:rsid w:val="007E7FAB"/>
    <w:rsid w:val="007F3872"/>
    <w:rsid w:val="007F5BFB"/>
    <w:rsid w:val="007F619F"/>
    <w:rsid w:val="00804623"/>
    <w:rsid w:val="00811D2F"/>
    <w:rsid w:val="0081206D"/>
    <w:rsid w:val="008177E5"/>
    <w:rsid w:val="008209B9"/>
    <w:rsid w:val="00822259"/>
    <w:rsid w:val="00825EE4"/>
    <w:rsid w:val="008265EE"/>
    <w:rsid w:val="00833C0C"/>
    <w:rsid w:val="00835EE9"/>
    <w:rsid w:val="00836294"/>
    <w:rsid w:val="008428A3"/>
    <w:rsid w:val="00843F1E"/>
    <w:rsid w:val="00845E66"/>
    <w:rsid w:val="0084679B"/>
    <w:rsid w:val="00852A76"/>
    <w:rsid w:val="008538D9"/>
    <w:rsid w:val="00856065"/>
    <w:rsid w:val="00856640"/>
    <w:rsid w:val="00856833"/>
    <w:rsid w:val="0087522D"/>
    <w:rsid w:val="008815A6"/>
    <w:rsid w:val="008877CA"/>
    <w:rsid w:val="00887B6D"/>
    <w:rsid w:val="00887C21"/>
    <w:rsid w:val="008925F8"/>
    <w:rsid w:val="00895E22"/>
    <w:rsid w:val="008A34F7"/>
    <w:rsid w:val="008A7BDA"/>
    <w:rsid w:val="008B3E70"/>
    <w:rsid w:val="008B4BA1"/>
    <w:rsid w:val="008B687F"/>
    <w:rsid w:val="008C0438"/>
    <w:rsid w:val="008C5456"/>
    <w:rsid w:val="008C5F83"/>
    <w:rsid w:val="008D1B2A"/>
    <w:rsid w:val="008D241A"/>
    <w:rsid w:val="008D3AD3"/>
    <w:rsid w:val="008D4743"/>
    <w:rsid w:val="008D6BF1"/>
    <w:rsid w:val="008E446D"/>
    <w:rsid w:val="008F076A"/>
    <w:rsid w:val="008F2683"/>
    <w:rsid w:val="008F5518"/>
    <w:rsid w:val="008F7F9E"/>
    <w:rsid w:val="009039CA"/>
    <w:rsid w:val="00903B14"/>
    <w:rsid w:val="009052BB"/>
    <w:rsid w:val="00913923"/>
    <w:rsid w:val="00916FA0"/>
    <w:rsid w:val="0091766B"/>
    <w:rsid w:val="00920296"/>
    <w:rsid w:val="0092253A"/>
    <w:rsid w:val="00923EDE"/>
    <w:rsid w:val="00927564"/>
    <w:rsid w:val="00946582"/>
    <w:rsid w:val="00947B91"/>
    <w:rsid w:val="00947FE8"/>
    <w:rsid w:val="00951E7B"/>
    <w:rsid w:val="00953619"/>
    <w:rsid w:val="0095390E"/>
    <w:rsid w:val="009617D7"/>
    <w:rsid w:val="00966E57"/>
    <w:rsid w:val="00970AFE"/>
    <w:rsid w:val="00971D0B"/>
    <w:rsid w:val="00972024"/>
    <w:rsid w:val="009748FE"/>
    <w:rsid w:val="009754FC"/>
    <w:rsid w:val="009765A7"/>
    <w:rsid w:val="00980215"/>
    <w:rsid w:val="00980871"/>
    <w:rsid w:val="00980972"/>
    <w:rsid w:val="00987BA6"/>
    <w:rsid w:val="00990B2E"/>
    <w:rsid w:val="009919F0"/>
    <w:rsid w:val="009927A9"/>
    <w:rsid w:val="009A0AF5"/>
    <w:rsid w:val="009A4D2B"/>
    <w:rsid w:val="009A578B"/>
    <w:rsid w:val="009B275A"/>
    <w:rsid w:val="009B7390"/>
    <w:rsid w:val="009C37BA"/>
    <w:rsid w:val="009C7D75"/>
    <w:rsid w:val="009D0CAF"/>
    <w:rsid w:val="009D120B"/>
    <w:rsid w:val="009D3A3B"/>
    <w:rsid w:val="009D6B35"/>
    <w:rsid w:val="009D7E9A"/>
    <w:rsid w:val="009E2BA2"/>
    <w:rsid w:val="009E592E"/>
    <w:rsid w:val="009E7935"/>
    <w:rsid w:val="009F07AE"/>
    <w:rsid w:val="009F1F72"/>
    <w:rsid w:val="009F589E"/>
    <w:rsid w:val="009F710F"/>
    <w:rsid w:val="00A10DDA"/>
    <w:rsid w:val="00A2270A"/>
    <w:rsid w:val="00A26D8B"/>
    <w:rsid w:val="00A33563"/>
    <w:rsid w:val="00A41FBF"/>
    <w:rsid w:val="00A43366"/>
    <w:rsid w:val="00A43957"/>
    <w:rsid w:val="00A44199"/>
    <w:rsid w:val="00A51064"/>
    <w:rsid w:val="00A5326C"/>
    <w:rsid w:val="00A536F9"/>
    <w:rsid w:val="00A5610E"/>
    <w:rsid w:val="00A62EF0"/>
    <w:rsid w:val="00A71A0F"/>
    <w:rsid w:val="00A72665"/>
    <w:rsid w:val="00A73210"/>
    <w:rsid w:val="00A7686A"/>
    <w:rsid w:val="00A81036"/>
    <w:rsid w:val="00A87D3B"/>
    <w:rsid w:val="00A943AB"/>
    <w:rsid w:val="00A96CEF"/>
    <w:rsid w:val="00AA130C"/>
    <w:rsid w:val="00AA58F4"/>
    <w:rsid w:val="00AA6F90"/>
    <w:rsid w:val="00AB0DF1"/>
    <w:rsid w:val="00AB29ED"/>
    <w:rsid w:val="00AB30A8"/>
    <w:rsid w:val="00AB52D0"/>
    <w:rsid w:val="00AB54B3"/>
    <w:rsid w:val="00AB6F5C"/>
    <w:rsid w:val="00AC154C"/>
    <w:rsid w:val="00AC5D72"/>
    <w:rsid w:val="00AC7281"/>
    <w:rsid w:val="00AD20E3"/>
    <w:rsid w:val="00AD424B"/>
    <w:rsid w:val="00AD6158"/>
    <w:rsid w:val="00AE044A"/>
    <w:rsid w:val="00AE3CA9"/>
    <w:rsid w:val="00AE57DF"/>
    <w:rsid w:val="00AF0E83"/>
    <w:rsid w:val="00AF29C2"/>
    <w:rsid w:val="00AF4C72"/>
    <w:rsid w:val="00AF610A"/>
    <w:rsid w:val="00AF6770"/>
    <w:rsid w:val="00AF6F0C"/>
    <w:rsid w:val="00B00555"/>
    <w:rsid w:val="00B00833"/>
    <w:rsid w:val="00B05FB2"/>
    <w:rsid w:val="00B06079"/>
    <w:rsid w:val="00B065C2"/>
    <w:rsid w:val="00B07194"/>
    <w:rsid w:val="00B1092C"/>
    <w:rsid w:val="00B1189F"/>
    <w:rsid w:val="00B14563"/>
    <w:rsid w:val="00B205E8"/>
    <w:rsid w:val="00B20AF9"/>
    <w:rsid w:val="00B21ADF"/>
    <w:rsid w:val="00B223C1"/>
    <w:rsid w:val="00B22DFE"/>
    <w:rsid w:val="00B24413"/>
    <w:rsid w:val="00B27F25"/>
    <w:rsid w:val="00B30F2F"/>
    <w:rsid w:val="00B35DC3"/>
    <w:rsid w:val="00B42A77"/>
    <w:rsid w:val="00B4359B"/>
    <w:rsid w:val="00B45CC2"/>
    <w:rsid w:val="00B47162"/>
    <w:rsid w:val="00B512D6"/>
    <w:rsid w:val="00B61658"/>
    <w:rsid w:val="00B628BF"/>
    <w:rsid w:val="00B66F8D"/>
    <w:rsid w:val="00B677B2"/>
    <w:rsid w:val="00B7185B"/>
    <w:rsid w:val="00B7418C"/>
    <w:rsid w:val="00B74302"/>
    <w:rsid w:val="00B7655E"/>
    <w:rsid w:val="00B81A86"/>
    <w:rsid w:val="00B81CBC"/>
    <w:rsid w:val="00B87467"/>
    <w:rsid w:val="00B91EC9"/>
    <w:rsid w:val="00B93EFC"/>
    <w:rsid w:val="00B96DD1"/>
    <w:rsid w:val="00BA0FE1"/>
    <w:rsid w:val="00BB0DE2"/>
    <w:rsid w:val="00BB0E69"/>
    <w:rsid w:val="00BB3044"/>
    <w:rsid w:val="00BB51B3"/>
    <w:rsid w:val="00BC3222"/>
    <w:rsid w:val="00BC5D24"/>
    <w:rsid w:val="00BD1C73"/>
    <w:rsid w:val="00BE10DE"/>
    <w:rsid w:val="00BE29AA"/>
    <w:rsid w:val="00BE54CC"/>
    <w:rsid w:val="00BE7E1F"/>
    <w:rsid w:val="00BF7AC1"/>
    <w:rsid w:val="00C00340"/>
    <w:rsid w:val="00C12C95"/>
    <w:rsid w:val="00C20424"/>
    <w:rsid w:val="00C233F0"/>
    <w:rsid w:val="00C2483B"/>
    <w:rsid w:val="00C24FEB"/>
    <w:rsid w:val="00C26EFA"/>
    <w:rsid w:val="00C274C5"/>
    <w:rsid w:val="00C30D2F"/>
    <w:rsid w:val="00C324F3"/>
    <w:rsid w:val="00C33E72"/>
    <w:rsid w:val="00C36663"/>
    <w:rsid w:val="00C40C93"/>
    <w:rsid w:val="00C40F60"/>
    <w:rsid w:val="00C42491"/>
    <w:rsid w:val="00C427BB"/>
    <w:rsid w:val="00C475A3"/>
    <w:rsid w:val="00C50337"/>
    <w:rsid w:val="00C52B9D"/>
    <w:rsid w:val="00C54F55"/>
    <w:rsid w:val="00C55CD3"/>
    <w:rsid w:val="00C56DBE"/>
    <w:rsid w:val="00C57D7C"/>
    <w:rsid w:val="00C631AD"/>
    <w:rsid w:val="00C64608"/>
    <w:rsid w:val="00C6699E"/>
    <w:rsid w:val="00C6703E"/>
    <w:rsid w:val="00C70C52"/>
    <w:rsid w:val="00C75417"/>
    <w:rsid w:val="00C80348"/>
    <w:rsid w:val="00C857AC"/>
    <w:rsid w:val="00C90E5D"/>
    <w:rsid w:val="00C920F5"/>
    <w:rsid w:val="00C9490F"/>
    <w:rsid w:val="00CA0BD1"/>
    <w:rsid w:val="00CA4856"/>
    <w:rsid w:val="00CA50CC"/>
    <w:rsid w:val="00CA609A"/>
    <w:rsid w:val="00CB0B81"/>
    <w:rsid w:val="00CB1380"/>
    <w:rsid w:val="00CC20E7"/>
    <w:rsid w:val="00CC2528"/>
    <w:rsid w:val="00CD12A3"/>
    <w:rsid w:val="00CD16BA"/>
    <w:rsid w:val="00CD4BBE"/>
    <w:rsid w:val="00CD5D00"/>
    <w:rsid w:val="00CD623F"/>
    <w:rsid w:val="00CD6941"/>
    <w:rsid w:val="00CD70E9"/>
    <w:rsid w:val="00CE5A63"/>
    <w:rsid w:val="00CE7ED1"/>
    <w:rsid w:val="00CF168F"/>
    <w:rsid w:val="00CF5AC3"/>
    <w:rsid w:val="00D00281"/>
    <w:rsid w:val="00D0198B"/>
    <w:rsid w:val="00D02D43"/>
    <w:rsid w:val="00D062F4"/>
    <w:rsid w:val="00D068CF"/>
    <w:rsid w:val="00D06C4B"/>
    <w:rsid w:val="00D10FA6"/>
    <w:rsid w:val="00D17947"/>
    <w:rsid w:val="00D25A9F"/>
    <w:rsid w:val="00D32ACB"/>
    <w:rsid w:val="00D33327"/>
    <w:rsid w:val="00D33849"/>
    <w:rsid w:val="00D36E2A"/>
    <w:rsid w:val="00D37DE3"/>
    <w:rsid w:val="00D4233F"/>
    <w:rsid w:val="00D45DA5"/>
    <w:rsid w:val="00D463AA"/>
    <w:rsid w:val="00D505BC"/>
    <w:rsid w:val="00D51CF2"/>
    <w:rsid w:val="00D67135"/>
    <w:rsid w:val="00D6746A"/>
    <w:rsid w:val="00D700CE"/>
    <w:rsid w:val="00D71C79"/>
    <w:rsid w:val="00D7259B"/>
    <w:rsid w:val="00D762B2"/>
    <w:rsid w:val="00D8721A"/>
    <w:rsid w:val="00D920B4"/>
    <w:rsid w:val="00D92BBC"/>
    <w:rsid w:val="00D972EF"/>
    <w:rsid w:val="00DA4044"/>
    <w:rsid w:val="00DB2CD6"/>
    <w:rsid w:val="00DB2D5E"/>
    <w:rsid w:val="00DB4538"/>
    <w:rsid w:val="00DB7D82"/>
    <w:rsid w:val="00DC092D"/>
    <w:rsid w:val="00DC627B"/>
    <w:rsid w:val="00DD03F2"/>
    <w:rsid w:val="00DD4917"/>
    <w:rsid w:val="00DD4D4D"/>
    <w:rsid w:val="00DD4D9A"/>
    <w:rsid w:val="00DD5C62"/>
    <w:rsid w:val="00DD7BBC"/>
    <w:rsid w:val="00DE1553"/>
    <w:rsid w:val="00DE30FE"/>
    <w:rsid w:val="00DE6A2C"/>
    <w:rsid w:val="00DF6F61"/>
    <w:rsid w:val="00E01EB2"/>
    <w:rsid w:val="00E0247D"/>
    <w:rsid w:val="00E02BE9"/>
    <w:rsid w:val="00E04BB4"/>
    <w:rsid w:val="00E111E6"/>
    <w:rsid w:val="00E17402"/>
    <w:rsid w:val="00E31F61"/>
    <w:rsid w:val="00E34C2F"/>
    <w:rsid w:val="00E377B7"/>
    <w:rsid w:val="00E41A7D"/>
    <w:rsid w:val="00E4403A"/>
    <w:rsid w:val="00E54E55"/>
    <w:rsid w:val="00E54EDD"/>
    <w:rsid w:val="00E54F22"/>
    <w:rsid w:val="00E560B3"/>
    <w:rsid w:val="00E6015E"/>
    <w:rsid w:val="00E62B06"/>
    <w:rsid w:val="00E777D5"/>
    <w:rsid w:val="00E81087"/>
    <w:rsid w:val="00E8239A"/>
    <w:rsid w:val="00E825FA"/>
    <w:rsid w:val="00E832C6"/>
    <w:rsid w:val="00E83BE4"/>
    <w:rsid w:val="00E85037"/>
    <w:rsid w:val="00E8634F"/>
    <w:rsid w:val="00E93727"/>
    <w:rsid w:val="00EA005A"/>
    <w:rsid w:val="00EA0189"/>
    <w:rsid w:val="00EA0C09"/>
    <w:rsid w:val="00EA1C4F"/>
    <w:rsid w:val="00EA3379"/>
    <w:rsid w:val="00EA38DF"/>
    <w:rsid w:val="00EB34BE"/>
    <w:rsid w:val="00EB544A"/>
    <w:rsid w:val="00EB5503"/>
    <w:rsid w:val="00EB6D95"/>
    <w:rsid w:val="00EB7059"/>
    <w:rsid w:val="00EB74C6"/>
    <w:rsid w:val="00ED25D1"/>
    <w:rsid w:val="00ED6641"/>
    <w:rsid w:val="00ED7A92"/>
    <w:rsid w:val="00ED7B78"/>
    <w:rsid w:val="00EE1E4F"/>
    <w:rsid w:val="00EE2F58"/>
    <w:rsid w:val="00EE3C12"/>
    <w:rsid w:val="00EF7260"/>
    <w:rsid w:val="00F039E4"/>
    <w:rsid w:val="00F03ADB"/>
    <w:rsid w:val="00F06054"/>
    <w:rsid w:val="00F10600"/>
    <w:rsid w:val="00F1195E"/>
    <w:rsid w:val="00F128F3"/>
    <w:rsid w:val="00F13B5B"/>
    <w:rsid w:val="00F15029"/>
    <w:rsid w:val="00F16595"/>
    <w:rsid w:val="00F175DF"/>
    <w:rsid w:val="00F17A7A"/>
    <w:rsid w:val="00F20290"/>
    <w:rsid w:val="00F26BDD"/>
    <w:rsid w:val="00F312CD"/>
    <w:rsid w:val="00F31BA0"/>
    <w:rsid w:val="00F334C0"/>
    <w:rsid w:val="00F3454B"/>
    <w:rsid w:val="00F37CD8"/>
    <w:rsid w:val="00F444C3"/>
    <w:rsid w:val="00F477A6"/>
    <w:rsid w:val="00F52DAD"/>
    <w:rsid w:val="00F53635"/>
    <w:rsid w:val="00F5465F"/>
    <w:rsid w:val="00F613E7"/>
    <w:rsid w:val="00F64C06"/>
    <w:rsid w:val="00F65AAD"/>
    <w:rsid w:val="00F710C9"/>
    <w:rsid w:val="00F7335B"/>
    <w:rsid w:val="00F7465B"/>
    <w:rsid w:val="00F816B0"/>
    <w:rsid w:val="00F905CC"/>
    <w:rsid w:val="00F916C0"/>
    <w:rsid w:val="00FA40F7"/>
    <w:rsid w:val="00FA638E"/>
    <w:rsid w:val="00FA6890"/>
    <w:rsid w:val="00FB112D"/>
    <w:rsid w:val="00FB242F"/>
    <w:rsid w:val="00FB6E3A"/>
    <w:rsid w:val="00FB712C"/>
    <w:rsid w:val="00FC5083"/>
    <w:rsid w:val="00FC66D3"/>
    <w:rsid w:val="00FD0BCA"/>
    <w:rsid w:val="00FE1662"/>
    <w:rsid w:val="00FE37D2"/>
    <w:rsid w:val="00FE6769"/>
    <w:rsid w:val="00FE67CB"/>
    <w:rsid w:val="00FE6E98"/>
    <w:rsid w:val="00FE7695"/>
    <w:rsid w:val="00FF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0E30"/>
  <w15:chartTrackingRefBased/>
  <w15:docId w15:val="{F350B25B-5349-4719-AB97-025DBEA5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A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Heading">
    <w:name w:val="Judgment: Heading"/>
    <w:basedOn w:val="Normal"/>
    <w:next w:val="JudgmentNumbering"/>
    <w:link w:val="JudgmentHeadingChar"/>
    <w:qFormat/>
    <w:rsid w:val="00457279"/>
    <w:pPr>
      <w:spacing w:before="100" w:beforeAutospacing="1" w:after="0" w:line="360" w:lineRule="auto"/>
    </w:pPr>
    <w:rPr>
      <w:rFonts w:ascii="Arial" w:hAnsi="Arial" w:cs="Arial"/>
      <w:i/>
      <w:sz w:val="24"/>
      <w14:ligatures w14:val="none"/>
    </w:rPr>
  </w:style>
  <w:style w:type="character" w:customStyle="1" w:styleId="JudgmentHeadingChar">
    <w:name w:val="Judgment: Heading Char"/>
    <w:basedOn w:val="DefaultParagraphFont"/>
    <w:link w:val="JudgmentHeading"/>
    <w:rsid w:val="00457279"/>
    <w:rPr>
      <w:rFonts w:ascii="Arial" w:hAnsi="Arial" w:cs="Arial"/>
      <w:i/>
      <w:kern w:val="0"/>
      <w:sz w:val="24"/>
      <w14:ligatures w14:val="none"/>
    </w:rPr>
  </w:style>
  <w:style w:type="paragraph" w:customStyle="1" w:styleId="JudgmentNumbering">
    <w:name w:val="Judgment: Numbering"/>
    <w:basedOn w:val="Normal"/>
    <w:next w:val="Judgmentbetweenparagraphs"/>
    <w:link w:val="JudgmentNumberingChar"/>
    <w:qFormat/>
    <w:rsid w:val="009E2BA2"/>
    <w:pPr>
      <w:numPr>
        <w:numId w:val="2"/>
      </w:numPr>
      <w:spacing w:after="0" w:line="360" w:lineRule="auto"/>
      <w:jc w:val="both"/>
    </w:pPr>
    <w:rPr>
      <w:rFonts w:ascii="Arial" w:hAnsi="Arial" w:cs="Arial"/>
      <w:sz w:val="24"/>
      <w14:ligatures w14:val="none"/>
    </w:rPr>
  </w:style>
  <w:style w:type="character" w:customStyle="1" w:styleId="JudgmentNumberingChar">
    <w:name w:val="Judgment: Numbering Char"/>
    <w:basedOn w:val="DefaultParagraphFont"/>
    <w:link w:val="JudgmentNumbering"/>
    <w:rsid w:val="009E2BA2"/>
    <w:rPr>
      <w:rFonts w:ascii="Arial" w:hAnsi="Arial" w:cs="Arial"/>
      <w:kern w:val="0"/>
      <w:sz w:val="24"/>
      <w14:ligatures w14:val="none"/>
    </w:rPr>
  </w:style>
  <w:style w:type="paragraph" w:styleId="FootnoteText">
    <w:name w:val="footnote text"/>
    <w:basedOn w:val="Normal"/>
    <w:link w:val="FootnoteTextChar"/>
    <w:uiPriority w:val="99"/>
    <w:unhideWhenUsed/>
    <w:rsid w:val="008177E5"/>
    <w:pPr>
      <w:spacing w:after="0" w:line="240" w:lineRule="auto"/>
    </w:pPr>
    <w:rPr>
      <w:rFonts w:ascii="Arial" w:hAnsi="Arial"/>
      <w:sz w:val="20"/>
      <w:szCs w:val="20"/>
      <w14:ligatures w14:val="none"/>
    </w:rPr>
  </w:style>
  <w:style w:type="character" w:customStyle="1" w:styleId="FootnoteTextChar">
    <w:name w:val="Footnote Text Char"/>
    <w:basedOn w:val="DefaultParagraphFont"/>
    <w:link w:val="FootnoteText"/>
    <w:uiPriority w:val="99"/>
    <w:rsid w:val="008177E5"/>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8177E5"/>
    <w:rPr>
      <w:vertAlign w:val="superscript"/>
    </w:rPr>
  </w:style>
  <w:style w:type="paragraph" w:customStyle="1" w:styleId="HeaderNamesofParty">
    <w:name w:val="Header: Names of Party"/>
    <w:basedOn w:val="Normal"/>
    <w:link w:val="HeaderNamesofPartyChar"/>
    <w:qFormat/>
    <w:rsid w:val="003D7D14"/>
    <w:pPr>
      <w:tabs>
        <w:tab w:val="right" w:pos="9072"/>
      </w:tabs>
      <w:spacing w:before="240" w:after="0" w:line="240" w:lineRule="auto"/>
    </w:pPr>
    <w:rPr>
      <w:rFonts w:ascii="Arial" w:hAnsi="Arial" w:cs="Arial"/>
      <w:b/>
      <w:bCs/>
      <w:sz w:val="24"/>
      <w:szCs w:val="24"/>
    </w:rPr>
  </w:style>
  <w:style w:type="character" w:customStyle="1" w:styleId="HeaderNamesofPartyChar">
    <w:name w:val="Header: Names of Party Char"/>
    <w:basedOn w:val="DefaultParagraphFont"/>
    <w:link w:val="HeaderNamesofParty"/>
    <w:rsid w:val="003D7D14"/>
    <w:rPr>
      <w:rFonts w:ascii="Arial" w:hAnsi="Arial" w:cs="Arial"/>
      <w:b/>
      <w:bCs/>
      <w:kern w:val="0"/>
      <w:sz w:val="24"/>
      <w:szCs w:val="24"/>
    </w:rPr>
  </w:style>
  <w:style w:type="paragraph" w:styleId="Header">
    <w:name w:val="header"/>
    <w:basedOn w:val="Normal"/>
    <w:link w:val="HeaderChar"/>
    <w:uiPriority w:val="99"/>
    <w:unhideWhenUsed/>
    <w:rsid w:val="00491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6E"/>
    <w:rPr>
      <w:kern w:val="0"/>
    </w:rPr>
  </w:style>
  <w:style w:type="paragraph" w:styleId="Footer">
    <w:name w:val="footer"/>
    <w:basedOn w:val="Normal"/>
    <w:link w:val="FooterChar"/>
    <w:uiPriority w:val="99"/>
    <w:unhideWhenUsed/>
    <w:rsid w:val="00491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6E"/>
    <w:rPr>
      <w:kern w:val="0"/>
    </w:rPr>
  </w:style>
  <w:style w:type="paragraph" w:customStyle="1" w:styleId="Judgmentbetweenparagraphs">
    <w:name w:val="Judgment: between paragraphs"/>
    <w:basedOn w:val="JudgmentNumbering"/>
    <w:next w:val="JudgmentNumbering"/>
    <w:link w:val="JudgmentbetweenparagraphsChar"/>
    <w:qFormat/>
    <w:rsid w:val="009E2BA2"/>
    <w:pPr>
      <w:numPr>
        <w:numId w:val="0"/>
      </w:numPr>
      <w:spacing w:line="240" w:lineRule="auto"/>
    </w:pPr>
  </w:style>
  <w:style w:type="character" w:customStyle="1" w:styleId="JudgmentbetweenparagraphsChar">
    <w:name w:val="Judgment: between paragraphs Char"/>
    <w:basedOn w:val="JudgmentNumberingChar"/>
    <w:link w:val="Judgmentbetweenparagraphs"/>
    <w:rsid w:val="009E2BA2"/>
    <w:rPr>
      <w:rFonts w:ascii="Arial" w:hAnsi="Arial" w:cs="Arial"/>
      <w:kern w:val="0"/>
      <w:sz w:val="24"/>
      <w14:ligatures w14:val="none"/>
    </w:rPr>
  </w:style>
  <w:style w:type="paragraph" w:customStyle="1" w:styleId="Default">
    <w:name w:val="Default"/>
    <w:link w:val="DefaultChar"/>
    <w:rsid w:val="00D4233F"/>
    <w:pPr>
      <w:autoSpaceDE w:val="0"/>
      <w:autoSpaceDN w:val="0"/>
      <w:adjustRightInd w:val="0"/>
      <w:spacing w:after="0" w:line="240" w:lineRule="auto"/>
    </w:pPr>
    <w:rPr>
      <w:rFonts w:ascii="Arial" w:hAnsi="Arial" w:cs="Arial"/>
      <w:color w:val="000000"/>
      <w:kern w:val="0"/>
      <w:sz w:val="24"/>
      <w:szCs w:val="24"/>
    </w:rPr>
  </w:style>
  <w:style w:type="paragraph" w:customStyle="1" w:styleId="Counseldetails">
    <w:name w:val="Counsel details"/>
    <w:basedOn w:val="Normal"/>
    <w:link w:val="CounseldetailsChar"/>
    <w:qFormat/>
    <w:rsid w:val="008E446D"/>
    <w:pPr>
      <w:tabs>
        <w:tab w:val="right" w:pos="9072"/>
      </w:tabs>
      <w:spacing w:line="240" w:lineRule="auto"/>
      <w:ind w:left="4536" w:hanging="4536"/>
      <w:jc w:val="both"/>
    </w:pPr>
    <w:rPr>
      <w:rFonts w:ascii="Arial" w:hAnsi="Arial" w:cs="Arial"/>
      <w:sz w:val="24"/>
      <w:szCs w:val="24"/>
    </w:rPr>
  </w:style>
  <w:style w:type="character" w:customStyle="1" w:styleId="DefaultChar">
    <w:name w:val="Default Char"/>
    <w:basedOn w:val="DefaultParagraphFont"/>
    <w:link w:val="Default"/>
    <w:rsid w:val="00B628BF"/>
    <w:rPr>
      <w:rFonts w:ascii="Arial" w:hAnsi="Arial" w:cs="Arial"/>
      <w:color w:val="000000"/>
      <w:kern w:val="0"/>
      <w:sz w:val="24"/>
      <w:szCs w:val="24"/>
    </w:rPr>
  </w:style>
  <w:style w:type="character" w:customStyle="1" w:styleId="CounseldetailsChar">
    <w:name w:val="Counsel details Char"/>
    <w:basedOn w:val="DefaultChar"/>
    <w:link w:val="Counseldetails"/>
    <w:rsid w:val="008E446D"/>
    <w:rPr>
      <w:rFonts w:ascii="Arial" w:hAnsi="Arial" w:cs="Arial"/>
      <w:color w:val="000000"/>
      <w:kern w:val="0"/>
      <w:sz w:val="24"/>
      <w:szCs w:val="24"/>
    </w:rPr>
  </w:style>
  <w:style w:type="paragraph" w:customStyle="1" w:styleId="Quotes">
    <w:name w:val="Quotes"/>
    <w:next w:val="Judgmentbetweenparagraphs"/>
    <w:link w:val="QuotesChar"/>
    <w:qFormat/>
    <w:rsid w:val="00D700CE"/>
    <w:pPr>
      <w:tabs>
        <w:tab w:val="left" w:pos="8222"/>
      </w:tabs>
      <w:spacing w:line="240" w:lineRule="auto"/>
      <w:ind w:left="862" w:right="720" w:hanging="142"/>
      <w:jc w:val="both"/>
    </w:pPr>
    <w:rPr>
      <w:rFonts w:ascii="Arial" w:hAnsi="Arial" w:cs="Arial"/>
      <w:kern w:val="0"/>
      <w:szCs w:val="18"/>
      <w14:ligatures w14:val="none"/>
    </w:rPr>
  </w:style>
  <w:style w:type="character" w:customStyle="1" w:styleId="QuotesChar">
    <w:name w:val="Quotes Char"/>
    <w:basedOn w:val="JudgmentbetweenparagraphsChar"/>
    <w:link w:val="Quotes"/>
    <w:rsid w:val="00D700CE"/>
    <w:rPr>
      <w:rFonts w:ascii="Arial" w:hAnsi="Arial" w:cs="Arial"/>
      <w:kern w:val="0"/>
      <w:sz w:val="24"/>
      <w:szCs w:val="18"/>
      <w14:ligatures w14:val="none"/>
    </w:rPr>
  </w:style>
  <w:style w:type="character" w:styleId="CommentReference">
    <w:name w:val="annotation reference"/>
    <w:basedOn w:val="DefaultParagraphFont"/>
    <w:uiPriority w:val="99"/>
    <w:semiHidden/>
    <w:unhideWhenUsed/>
    <w:rsid w:val="00273963"/>
    <w:rPr>
      <w:sz w:val="16"/>
      <w:szCs w:val="16"/>
    </w:rPr>
  </w:style>
  <w:style w:type="paragraph" w:styleId="CommentText">
    <w:name w:val="annotation text"/>
    <w:basedOn w:val="Normal"/>
    <w:link w:val="CommentTextChar"/>
    <w:uiPriority w:val="99"/>
    <w:unhideWhenUsed/>
    <w:rsid w:val="00273963"/>
    <w:pPr>
      <w:spacing w:after="240" w:line="240" w:lineRule="auto"/>
      <w:ind w:left="567"/>
      <w:jc w:val="both"/>
    </w:pPr>
    <w:rPr>
      <w:rFonts w:ascii="Arial" w:hAnsi="Arial"/>
      <w:sz w:val="20"/>
      <w:szCs w:val="20"/>
      <w:lang w:val="en-GB"/>
    </w:rPr>
  </w:style>
  <w:style w:type="character" w:customStyle="1" w:styleId="CommentTextChar">
    <w:name w:val="Comment Text Char"/>
    <w:basedOn w:val="DefaultParagraphFont"/>
    <w:link w:val="CommentText"/>
    <w:uiPriority w:val="99"/>
    <w:rsid w:val="00273963"/>
    <w:rPr>
      <w:rFonts w:ascii="Arial" w:hAnsi="Arial"/>
      <w:kern w:val="0"/>
      <w:sz w:val="20"/>
      <w:szCs w:val="20"/>
      <w:lang w:val="en-GB"/>
    </w:rPr>
  </w:style>
  <w:style w:type="character" w:styleId="Hyperlink">
    <w:name w:val="Hyperlink"/>
    <w:basedOn w:val="DefaultParagraphFont"/>
    <w:uiPriority w:val="99"/>
    <w:unhideWhenUsed/>
    <w:rsid w:val="00273963"/>
    <w:rPr>
      <w:color w:val="0563C1" w:themeColor="hyperlink"/>
      <w:u w:val="single"/>
    </w:rPr>
  </w:style>
  <w:style w:type="paragraph" w:customStyle="1" w:styleId="JudgmentNumbered">
    <w:name w:val="Judgment Numbered"/>
    <w:basedOn w:val="ListParagraph"/>
    <w:next w:val="Judgmentbetweenparagraphs"/>
    <w:link w:val="JudgmentNumberedChar"/>
    <w:qFormat/>
    <w:rsid w:val="00273963"/>
    <w:pPr>
      <w:numPr>
        <w:numId w:val="5"/>
      </w:numPr>
      <w:spacing w:after="360" w:line="360" w:lineRule="auto"/>
      <w:contextualSpacing w:val="0"/>
      <w:jc w:val="both"/>
    </w:pPr>
    <w:rPr>
      <w:rFonts w:ascii="Arial" w:hAnsi="Arial"/>
      <w:sz w:val="24"/>
      <w:lang w:val="en-GB"/>
    </w:rPr>
  </w:style>
  <w:style w:type="paragraph" w:styleId="ListParagraph">
    <w:name w:val="List Paragraph"/>
    <w:basedOn w:val="Normal"/>
    <w:uiPriority w:val="34"/>
    <w:qFormat/>
    <w:rsid w:val="00273963"/>
    <w:pPr>
      <w:ind w:left="720"/>
      <w:contextualSpacing/>
    </w:pPr>
  </w:style>
  <w:style w:type="paragraph" w:customStyle="1" w:styleId="JudgmentHeading0">
    <w:name w:val="Judgment Heading"/>
    <w:basedOn w:val="Normal"/>
    <w:next w:val="JudgmentNumbered"/>
    <w:link w:val="JudgmentHeadingChar0"/>
    <w:qFormat/>
    <w:rsid w:val="00072BFE"/>
    <w:pPr>
      <w:spacing w:before="240" w:after="0" w:line="360" w:lineRule="auto"/>
      <w:jc w:val="both"/>
      <w:outlineLvl w:val="0"/>
    </w:pPr>
    <w:rPr>
      <w:rFonts w:ascii="Arial" w:hAnsi="Arial" w:cs="Arial"/>
      <w:i/>
      <w:sz w:val="24"/>
    </w:rPr>
  </w:style>
  <w:style w:type="character" w:customStyle="1" w:styleId="JudgmentHeadingChar0">
    <w:name w:val="Judgment Heading Char"/>
    <w:basedOn w:val="DefaultParagraphFont"/>
    <w:link w:val="JudgmentHeading0"/>
    <w:rsid w:val="00072BFE"/>
    <w:rPr>
      <w:rFonts w:ascii="Arial" w:hAnsi="Arial" w:cs="Arial"/>
      <w:i/>
      <w:kern w:val="0"/>
      <w:sz w:val="24"/>
    </w:rPr>
  </w:style>
  <w:style w:type="character" w:customStyle="1" w:styleId="JudgmentNumberedChar">
    <w:name w:val="Judgment Numbered Char"/>
    <w:basedOn w:val="DefaultParagraphFont"/>
    <w:link w:val="JudgmentNumbered"/>
    <w:rsid w:val="00072BFE"/>
    <w:rPr>
      <w:rFonts w:ascii="Arial" w:hAnsi="Arial"/>
      <w:kern w:val="0"/>
      <w:sz w:val="24"/>
      <w:lang w:val="en-GB"/>
    </w:rPr>
  </w:style>
  <w:style w:type="paragraph" w:styleId="CommentSubject">
    <w:name w:val="annotation subject"/>
    <w:basedOn w:val="CommentText"/>
    <w:next w:val="CommentText"/>
    <w:link w:val="CommentSubjectChar"/>
    <w:uiPriority w:val="99"/>
    <w:semiHidden/>
    <w:unhideWhenUsed/>
    <w:rsid w:val="00E93727"/>
    <w:pPr>
      <w:spacing w:after="160"/>
      <w:ind w:left="0"/>
      <w:jc w:val="left"/>
    </w:pPr>
    <w:rPr>
      <w:rFonts w:asciiTheme="minorHAnsi" w:hAnsiTheme="minorHAnsi"/>
      <w:b/>
      <w:bCs/>
      <w:lang w:val="en-ZA"/>
    </w:rPr>
  </w:style>
  <w:style w:type="character" w:customStyle="1" w:styleId="CommentSubjectChar">
    <w:name w:val="Comment Subject Char"/>
    <w:basedOn w:val="CommentTextChar"/>
    <w:link w:val="CommentSubject"/>
    <w:uiPriority w:val="99"/>
    <w:semiHidden/>
    <w:rsid w:val="00E93727"/>
    <w:rPr>
      <w:rFonts w:ascii="Arial" w:hAnsi="Arial"/>
      <w:b/>
      <w:bCs/>
      <w:kern w:val="0"/>
      <w:sz w:val="20"/>
      <w:szCs w:val="20"/>
      <w:lang w:val="en-GB"/>
    </w:rPr>
  </w:style>
  <w:style w:type="paragraph" w:styleId="Revision">
    <w:name w:val="Revision"/>
    <w:hidden/>
    <w:uiPriority w:val="99"/>
    <w:semiHidden/>
    <w:rsid w:val="001F59F5"/>
    <w:pPr>
      <w:spacing w:after="0" w:line="240" w:lineRule="auto"/>
    </w:pPr>
    <w:rPr>
      <w:kern w:val="0"/>
    </w:rPr>
  </w:style>
  <w:style w:type="character" w:styleId="UnresolvedMention">
    <w:name w:val="Unresolved Mention"/>
    <w:basedOn w:val="DefaultParagraphFont"/>
    <w:uiPriority w:val="99"/>
    <w:semiHidden/>
    <w:unhideWhenUsed/>
    <w:rsid w:val="00FA6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790838">
      <w:bodyDiv w:val="1"/>
      <w:marLeft w:val="0"/>
      <w:marRight w:val="0"/>
      <w:marTop w:val="0"/>
      <w:marBottom w:val="0"/>
      <w:divBdr>
        <w:top w:val="none" w:sz="0" w:space="0" w:color="auto"/>
        <w:left w:val="none" w:sz="0" w:space="0" w:color="auto"/>
        <w:bottom w:val="none" w:sz="0" w:space="0" w:color="auto"/>
        <w:right w:val="none" w:sz="0" w:space="0" w:color="auto"/>
      </w:divBdr>
    </w:div>
    <w:div w:id="881359105">
      <w:bodyDiv w:val="1"/>
      <w:marLeft w:val="0"/>
      <w:marRight w:val="0"/>
      <w:marTop w:val="0"/>
      <w:marBottom w:val="0"/>
      <w:divBdr>
        <w:top w:val="none" w:sz="0" w:space="0" w:color="auto"/>
        <w:left w:val="none" w:sz="0" w:space="0" w:color="auto"/>
        <w:bottom w:val="none" w:sz="0" w:space="0" w:color="auto"/>
        <w:right w:val="none" w:sz="0" w:space="0" w:color="auto"/>
      </w:divBdr>
    </w:div>
    <w:div w:id="1352533511">
      <w:bodyDiv w:val="1"/>
      <w:marLeft w:val="0"/>
      <w:marRight w:val="0"/>
      <w:marTop w:val="0"/>
      <w:marBottom w:val="0"/>
      <w:divBdr>
        <w:top w:val="none" w:sz="0" w:space="0" w:color="auto"/>
        <w:left w:val="none" w:sz="0" w:space="0" w:color="auto"/>
        <w:bottom w:val="none" w:sz="0" w:space="0" w:color="auto"/>
        <w:right w:val="none" w:sz="0" w:space="0" w:color="auto"/>
      </w:divBdr>
    </w:div>
    <w:div w:id="1910654285">
      <w:bodyDiv w:val="1"/>
      <w:marLeft w:val="0"/>
      <w:marRight w:val="0"/>
      <w:marTop w:val="0"/>
      <w:marBottom w:val="0"/>
      <w:divBdr>
        <w:top w:val="none" w:sz="0" w:space="0" w:color="auto"/>
        <w:left w:val="none" w:sz="0" w:space="0" w:color="auto"/>
        <w:bottom w:val="none" w:sz="0" w:space="0" w:color="auto"/>
        <w:right w:val="none" w:sz="0" w:space="0" w:color="auto"/>
      </w:divBdr>
    </w:div>
    <w:div w:id="20972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presidency.gov.za/download/file/fid/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6" ma:contentTypeDescription="Create a new document." ma:contentTypeScope="" ma:versionID="a1fcbc28ab59d70f50e72ab1e1422cf8">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494557a91061c622d208cee6401f5042"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Props1.xml><?xml version="1.0" encoding="utf-8"?>
<ds:datastoreItem xmlns:ds="http://schemas.openxmlformats.org/officeDocument/2006/customXml" ds:itemID="{76245AEF-7365-4177-B735-5CF8C80A5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4FBC0-F34B-4A12-A757-20BA8B73E101}">
  <ds:schemaRefs>
    <ds:schemaRef ds:uri="http://schemas.microsoft.com/sharepoint/v3/contenttype/forms"/>
  </ds:schemaRefs>
</ds:datastoreItem>
</file>

<file path=customXml/itemProps3.xml><?xml version="1.0" encoding="utf-8"?>
<ds:datastoreItem xmlns:ds="http://schemas.openxmlformats.org/officeDocument/2006/customXml" ds:itemID="{30D0EADD-C61F-4B45-A1AF-5BA473134136}">
  <ds:schemaRefs>
    <ds:schemaRef ds:uri="http://schemas.openxmlformats.org/officeDocument/2006/bibliography"/>
  </ds:schemaRefs>
</ds:datastoreItem>
</file>

<file path=customXml/itemProps4.xml><?xml version="1.0" encoding="utf-8"?>
<ds:datastoreItem xmlns:ds="http://schemas.openxmlformats.org/officeDocument/2006/customXml" ds:itemID="{91A89C75-F56C-4DF9-98FA-7091D0581C24}">
  <ds:schemaRefs>
    <ds:schemaRef ds:uri="http://schemas.microsoft.com/office/2006/metadata/properties"/>
    <ds:schemaRef ds:uri="http://schemas.microsoft.com/office/infopath/2007/PartnerControls"/>
    <ds:schemaRef ds:uri="5652ad7a-feb6-4809-a38f-6dfd0bb9763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6769</Words>
  <Characters>38584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45263</CharactersWithSpaces>
  <SharedDoc>false</SharedDoc>
  <HLinks>
    <vt:vector size="18" baseType="variant">
      <vt:variant>
        <vt:i4>8126591</vt:i4>
      </vt:variant>
      <vt:variant>
        <vt:i4>6</vt:i4>
      </vt:variant>
      <vt:variant>
        <vt:i4>0</vt:i4>
      </vt:variant>
      <vt:variant>
        <vt:i4>5</vt:i4>
      </vt:variant>
      <vt:variant>
        <vt:lpwstr/>
      </vt:variant>
      <vt:variant>
        <vt:lpwstr>Panday</vt:lpwstr>
      </vt:variant>
      <vt:variant>
        <vt:i4>6946879</vt:i4>
      </vt:variant>
      <vt:variant>
        <vt:i4>3</vt:i4>
      </vt:variant>
      <vt:variant>
        <vt:i4>0</vt:i4>
      </vt:variant>
      <vt:variant>
        <vt:i4>5</vt:i4>
      </vt:variant>
      <vt:variant>
        <vt:lpwstr>https://www.thepresidency.gov.za/download/file/fid/110</vt:lpwstr>
      </vt:variant>
      <vt:variant>
        <vt:lpwstr/>
      </vt:variant>
      <vt:variant>
        <vt:i4>4980846</vt:i4>
      </vt:variant>
      <vt:variant>
        <vt:i4>0</vt:i4>
      </vt:variant>
      <vt:variant>
        <vt:i4>0</vt:i4>
      </vt:variant>
      <vt:variant>
        <vt:i4>5</vt:i4>
      </vt:variant>
      <vt:variant>
        <vt:lpwstr/>
      </vt:variant>
      <vt:variant>
        <vt:lpwstr>NPA_Act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Canham</dc:creator>
  <cp:keywords/>
  <dc:description/>
  <cp:lastModifiedBy>sathish sarshan  mohan</cp:lastModifiedBy>
  <cp:revision>4</cp:revision>
  <cp:lastPrinted>2024-04-10T09:34:00Z</cp:lastPrinted>
  <dcterms:created xsi:type="dcterms:W3CDTF">2024-04-15T12:08:00Z</dcterms:created>
  <dcterms:modified xsi:type="dcterms:W3CDTF">2024-04-25T21:09:00Z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