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BE8B3" w14:textId="2F77B49B" w:rsidR="004C1468" w:rsidRDefault="004C1468" w:rsidP="004C1468">
      <w:pPr>
        <w:spacing w:line="256" w:lineRule="auto"/>
        <w:rPr>
          <w:rFonts w:ascii="Calibri" w:eastAsia="Calibri" w:hAnsi="Calibri" w:cs="Times New Roman"/>
          <w:b/>
          <w:sz w:val="28"/>
          <w:szCs w:val="28"/>
        </w:rPr>
      </w:pPr>
      <w:r>
        <w:rPr>
          <w:noProof/>
        </w:rPr>
        <w:drawing>
          <wp:inline distT="0" distB="0" distL="0" distR="0" wp14:anchorId="07D8545C" wp14:editId="5575C93B">
            <wp:extent cx="4286250" cy="466725"/>
            <wp:effectExtent l="0" t="0" r="0" b="9525"/>
            <wp:docPr id="880513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DA92634" w14:textId="6A2C2532" w:rsidR="00805433" w:rsidRPr="00A325DD" w:rsidRDefault="00805433" w:rsidP="00805433">
      <w:pPr>
        <w:spacing w:line="256" w:lineRule="auto"/>
        <w:jc w:val="center"/>
        <w:rPr>
          <w:rFonts w:ascii="Calibri" w:eastAsia="Calibri" w:hAnsi="Calibri" w:cs="Times New Roman"/>
          <w:b/>
          <w:sz w:val="28"/>
          <w:szCs w:val="28"/>
        </w:rPr>
      </w:pPr>
      <w:r w:rsidRPr="00A325DD">
        <w:rPr>
          <w:rFonts w:ascii="Calibri" w:eastAsia="Calibri" w:hAnsi="Calibri" w:cs="Times New Roman"/>
          <w:b/>
          <w:noProof/>
          <w:sz w:val="20"/>
          <w:szCs w:val="20"/>
          <w:lang w:eastAsia="en-ZA"/>
        </w:rPr>
        <w:drawing>
          <wp:inline distT="0" distB="0" distL="0" distR="0" wp14:anchorId="7DA70E56" wp14:editId="0CDDE2D2">
            <wp:extent cx="1365250" cy="1365250"/>
            <wp:effectExtent l="0" t="0" r="6350" b="6350"/>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94F.39E12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6D2B877B"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IN THE HIGH COURT OF SOUTH AFRICA</w:t>
      </w:r>
    </w:p>
    <w:p w14:paraId="39F97DC8"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GAUTENG DIVISION, PRETORIA</w:t>
      </w:r>
    </w:p>
    <w:p w14:paraId="4F5F394A" w14:textId="19DD1370" w:rsidR="00805433" w:rsidRPr="00734531" w:rsidRDefault="00805433" w:rsidP="00805433">
      <w:pPr>
        <w:rPr>
          <w:rFonts w:ascii="Arial" w:hAnsi="Arial" w:cs="Arial"/>
          <w:b/>
          <w:sz w:val="24"/>
          <w:szCs w:val="24"/>
        </w:rPr>
      </w:pPr>
      <w:r w:rsidRPr="00A325DD">
        <w:rPr>
          <w:rFonts w:ascii="Arial" w:eastAsia="Calibri" w:hAnsi="Arial" w:cs="Arial"/>
          <w:b/>
          <w:sz w:val="24"/>
          <w:szCs w:val="24"/>
        </w:rPr>
        <w:t xml:space="preserve">                                                                                                </w:t>
      </w:r>
      <w:r>
        <w:rPr>
          <w:rFonts w:ascii="Arial" w:hAnsi="Arial" w:cs="Arial"/>
          <w:b/>
          <w:sz w:val="24"/>
          <w:szCs w:val="24"/>
        </w:rPr>
        <w:t>CASE NO:</w:t>
      </w:r>
      <w:r w:rsidR="005C277B">
        <w:rPr>
          <w:rFonts w:ascii="Arial" w:hAnsi="Arial" w:cs="Arial"/>
          <w:b/>
          <w:sz w:val="24"/>
          <w:szCs w:val="24"/>
        </w:rPr>
        <w:t xml:space="preserve"> </w:t>
      </w:r>
      <w:r w:rsidR="00B32413">
        <w:rPr>
          <w:rFonts w:ascii="Arial" w:hAnsi="Arial" w:cs="Arial"/>
          <w:b/>
          <w:sz w:val="24"/>
          <w:szCs w:val="24"/>
        </w:rPr>
        <w:t>17766/20</w:t>
      </w:r>
      <w:r w:rsidR="001C4578">
        <w:rPr>
          <w:rFonts w:ascii="Arial" w:hAnsi="Arial" w:cs="Arial"/>
          <w:b/>
          <w:sz w:val="24"/>
          <w:szCs w:val="24"/>
        </w:rPr>
        <w:t>23</w:t>
      </w:r>
    </w:p>
    <w:p w14:paraId="1325A979" w14:textId="77777777" w:rsidR="00805433" w:rsidRPr="00A325DD" w:rsidRDefault="00805433" w:rsidP="00805433">
      <w:pPr>
        <w:spacing w:line="360" w:lineRule="auto"/>
        <w:jc w:val="both"/>
        <w:rPr>
          <w:rFonts w:ascii="Arial" w:eastAsia="Calibri" w:hAnsi="Arial" w:cs="Arial"/>
          <w:b/>
          <w:sz w:val="24"/>
          <w:szCs w:val="24"/>
        </w:rPr>
      </w:pPr>
    </w:p>
    <w:p w14:paraId="26E3356A" w14:textId="77777777" w:rsidR="00805433" w:rsidRPr="00A325DD" w:rsidRDefault="00805433" w:rsidP="00805433">
      <w:pPr>
        <w:spacing w:line="256" w:lineRule="auto"/>
        <w:rPr>
          <w:rFonts w:ascii="Calibri" w:eastAsia="Calibri" w:hAnsi="Calibri" w:cs="Times New Roman"/>
          <w:b/>
          <w:sz w:val="28"/>
          <w:szCs w:val="28"/>
        </w:rPr>
      </w:pPr>
      <w:r w:rsidRPr="00A325DD">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37534338" wp14:editId="10468646">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3A9A192A" w14:textId="77777777" w:rsid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4C53AE0B" w:rsidR="00805433" w:rsidRPr="00BA0AC6" w:rsidRDefault="00CF7BBB" w:rsidP="00CF7BBB">
                            <w:pPr>
                              <w:ind w:left="900"/>
                              <w:rPr>
                                <w:rFonts w:ascii="Century Gothic" w:hAnsi="Century Gothic"/>
                                <w:b/>
                                <w:sz w:val="19"/>
                                <w:szCs w:val="19"/>
                              </w:rPr>
                            </w:pPr>
                            <w:r>
                              <w:rPr>
                                <w:rFonts w:ascii="Century Gothic" w:hAnsi="Century Gothic"/>
                                <w:b/>
                                <w:bCs/>
                                <w:sz w:val="19"/>
                                <w:szCs w:val="19"/>
                                <w:u w:val="single"/>
                              </w:rPr>
                              <w:t xml:space="preserve">17 </w:t>
                            </w:r>
                            <w:r w:rsidR="00B32413">
                              <w:rPr>
                                <w:rFonts w:ascii="Century Gothic" w:hAnsi="Century Gothic"/>
                                <w:b/>
                                <w:bCs/>
                                <w:sz w:val="19"/>
                                <w:szCs w:val="19"/>
                                <w:u w:val="single"/>
                              </w:rPr>
                              <w:t>APRIL</w:t>
                            </w:r>
                            <w:r w:rsidR="00D674EC">
                              <w:rPr>
                                <w:rFonts w:ascii="Century Gothic" w:hAnsi="Century Gothic"/>
                                <w:b/>
                                <w:bCs/>
                                <w:sz w:val="19"/>
                                <w:szCs w:val="19"/>
                                <w:u w:val="single"/>
                              </w:rPr>
                              <w:t xml:space="preserve"> 2024</w:t>
                            </w:r>
                            <w:r w:rsidR="00BA0AC6">
                              <w:rPr>
                                <w:rFonts w:ascii="Century Gothic" w:hAnsi="Century Gothic"/>
                                <w:sz w:val="19"/>
                                <w:szCs w:val="19"/>
                                <w:u w:val="single"/>
                              </w:rPr>
                              <w:t xml:space="preserve"> </w:t>
                            </w:r>
                            <w:r w:rsidR="00BA0AC6">
                              <w:rPr>
                                <w:rFonts w:ascii="Century Gothic" w:hAnsi="Century Gothic"/>
                                <w:sz w:val="19"/>
                                <w:szCs w:val="19"/>
                              </w:rPr>
                              <w:tab/>
                            </w:r>
                            <w:r w:rsidR="00217487">
                              <w:rPr>
                                <w:rFonts w:ascii="Century Gothic" w:hAnsi="Century Gothic"/>
                                <w:sz w:val="19"/>
                                <w:szCs w:val="19"/>
                              </w:rPr>
                              <w:t xml:space="preserve">     </w:t>
                            </w:r>
                            <w:r>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4338"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2q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">
                <v:textbox>
                  <w:txbxContent>
                    <w:p w14:paraId="3A9A192A" w14:textId="77777777" w:rsid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4C53AE0B" w:rsidR="00805433" w:rsidRPr="00BA0AC6" w:rsidRDefault="00CF7BBB" w:rsidP="00CF7BBB">
                      <w:pPr>
                        <w:ind w:left="900"/>
                        <w:rPr>
                          <w:rFonts w:ascii="Century Gothic" w:hAnsi="Century Gothic"/>
                          <w:b/>
                          <w:sz w:val="19"/>
                          <w:szCs w:val="19"/>
                        </w:rPr>
                      </w:pPr>
                      <w:r>
                        <w:rPr>
                          <w:rFonts w:ascii="Century Gothic" w:hAnsi="Century Gothic"/>
                          <w:b/>
                          <w:bCs/>
                          <w:sz w:val="19"/>
                          <w:szCs w:val="19"/>
                          <w:u w:val="single"/>
                        </w:rPr>
                        <w:t xml:space="preserve">17 </w:t>
                      </w:r>
                      <w:r w:rsidR="00B32413">
                        <w:rPr>
                          <w:rFonts w:ascii="Century Gothic" w:hAnsi="Century Gothic"/>
                          <w:b/>
                          <w:bCs/>
                          <w:sz w:val="19"/>
                          <w:szCs w:val="19"/>
                          <w:u w:val="single"/>
                        </w:rPr>
                        <w:t>APRIL</w:t>
                      </w:r>
                      <w:r w:rsidR="00D674EC">
                        <w:rPr>
                          <w:rFonts w:ascii="Century Gothic" w:hAnsi="Century Gothic"/>
                          <w:b/>
                          <w:bCs/>
                          <w:sz w:val="19"/>
                          <w:szCs w:val="19"/>
                          <w:u w:val="single"/>
                        </w:rPr>
                        <w:t xml:space="preserve"> 2024</w:t>
                      </w:r>
                      <w:r w:rsidR="00BA0AC6">
                        <w:rPr>
                          <w:rFonts w:ascii="Century Gothic" w:hAnsi="Century Gothic"/>
                          <w:sz w:val="19"/>
                          <w:szCs w:val="19"/>
                          <w:u w:val="single"/>
                        </w:rPr>
                        <w:t xml:space="preserve"> </w:t>
                      </w:r>
                      <w:r w:rsidR="00BA0AC6">
                        <w:rPr>
                          <w:rFonts w:ascii="Century Gothic" w:hAnsi="Century Gothic"/>
                          <w:sz w:val="19"/>
                          <w:szCs w:val="19"/>
                        </w:rPr>
                        <w:tab/>
                      </w:r>
                      <w:r w:rsidR="00217487">
                        <w:rPr>
                          <w:rFonts w:ascii="Century Gothic" w:hAnsi="Century Gothic"/>
                          <w:sz w:val="19"/>
                          <w:szCs w:val="19"/>
                        </w:rPr>
                        <w:t xml:space="preserve">     </w:t>
                      </w:r>
                      <w:r>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7584EEA8" w14:textId="77777777" w:rsidR="00805433" w:rsidRPr="00A325DD" w:rsidRDefault="00805433" w:rsidP="00805433">
      <w:pPr>
        <w:spacing w:line="256" w:lineRule="auto"/>
        <w:rPr>
          <w:rFonts w:ascii="Calibri" w:eastAsia="Calibri" w:hAnsi="Calibri" w:cs="Times New Roman"/>
          <w:b/>
          <w:sz w:val="28"/>
          <w:szCs w:val="28"/>
        </w:rPr>
      </w:pPr>
    </w:p>
    <w:p w14:paraId="07C4AA5B" w14:textId="77777777" w:rsidR="00805433" w:rsidRDefault="00805433" w:rsidP="00805433">
      <w:pPr>
        <w:jc w:val="center"/>
        <w:rPr>
          <w:b/>
        </w:rPr>
      </w:pPr>
    </w:p>
    <w:p w14:paraId="1EC81A56" w14:textId="0C598A33" w:rsidR="00805433" w:rsidRDefault="00805433" w:rsidP="00805433">
      <w:pPr>
        <w:rPr>
          <w:b/>
        </w:rPr>
      </w:pPr>
    </w:p>
    <w:p w14:paraId="6217714F" w14:textId="0C271F06" w:rsidR="005C277B" w:rsidRDefault="005C277B" w:rsidP="00805433">
      <w:pPr>
        <w:rPr>
          <w:b/>
        </w:rPr>
      </w:pPr>
    </w:p>
    <w:p w14:paraId="029A4436" w14:textId="77777777" w:rsidR="007A19C3" w:rsidRDefault="007A19C3" w:rsidP="003E719B">
      <w:pPr>
        <w:jc w:val="right"/>
        <w:rPr>
          <w:b/>
        </w:rPr>
      </w:pPr>
    </w:p>
    <w:p w14:paraId="53DDD2D7" w14:textId="38A621BD" w:rsidR="005C277B" w:rsidRDefault="005C277B" w:rsidP="00805433">
      <w:pPr>
        <w:rPr>
          <w:bCs/>
        </w:rPr>
      </w:pPr>
      <w:r>
        <w:rPr>
          <w:bCs/>
        </w:rPr>
        <w:t>In the matter between:</w:t>
      </w:r>
    </w:p>
    <w:p w14:paraId="58690ED3" w14:textId="1281A9DE" w:rsidR="005C277B" w:rsidRPr="005C277B" w:rsidRDefault="005C277B" w:rsidP="00805433">
      <w:pPr>
        <w:rPr>
          <w:bCs/>
        </w:rPr>
      </w:pPr>
    </w:p>
    <w:p w14:paraId="432D1958" w14:textId="5DF97482" w:rsidR="005C277B" w:rsidRDefault="00B32413" w:rsidP="00805433">
      <w:pPr>
        <w:rPr>
          <w:b/>
        </w:rPr>
      </w:pPr>
      <w:r>
        <w:rPr>
          <w:b/>
        </w:rPr>
        <w:t>MINISTER OF WATER AND SANITATION</w:t>
      </w:r>
      <w:r w:rsidR="005C277B">
        <w:rPr>
          <w:b/>
        </w:rPr>
        <w:tab/>
      </w:r>
      <w:r w:rsidR="005C277B">
        <w:rPr>
          <w:b/>
        </w:rPr>
        <w:tab/>
      </w:r>
      <w:r w:rsidR="005C277B">
        <w:rPr>
          <w:b/>
        </w:rPr>
        <w:tab/>
      </w:r>
      <w:r w:rsidR="00D674EC">
        <w:rPr>
          <w:b/>
        </w:rPr>
        <w:t xml:space="preserve">                      </w:t>
      </w:r>
      <w:r>
        <w:rPr>
          <w:b/>
        </w:rPr>
        <w:t xml:space="preserve">        </w:t>
      </w:r>
      <w:r w:rsidR="005C277B">
        <w:rPr>
          <w:b/>
        </w:rPr>
        <w:t>APPLICANT</w:t>
      </w:r>
      <w:r w:rsidR="001222FD">
        <w:rPr>
          <w:b/>
        </w:rPr>
        <w:t>/</w:t>
      </w:r>
      <w:r>
        <w:rPr>
          <w:b/>
        </w:rPr>
        <w:t>DEFENDANT</w:t>
      </w:r>
    </w:p>
    <w:p w14:paraId="2728A58C" w14:textId="77777777" w:rsidR="00D674EC" w:rsidRDefault="00D674EC" w:rsidP="00805433">
      <w:pPr>
        <w:rPr>
          <w:b/>
        </w:rPr>
      </w:pPr>
    </w:p>
    <w:p w14:paraId="38B58336" w14:textId="739A72BB" w:rsidR="00D674EC" w:rsidRDefault="001222FD" w:rsidP="00805433">
      <w:pPr>
        <w:rPr>
          <w:b/>
        </w:rPr>
      </w:pPr>
      <w:r>
        <w:rPr>
          <w:b/>
        </w:rPr>
        <w:t>a</w:t>
      </w:r>
      <w:r w:rsidR="00D674EC">
        <w:rPr>
          <w:b/>
        </w:rPr>
        <w:t>nd</w:t>
      </w:r>
    </w:p>
    <w:p w14:paraId="43A23EAE" w14:textId="77777777" w:rsidR="001222FD" w:rsidRDefault="001222FD" w:rsidP="00805433">
      <w:pPr>
        <w:rPr>
          <w:b/>
        </w:rPr>
      </w:pPr>
    </w:p>
    <w:p w14:paraId="015271AD" w14:textId="6E7128B1" w:rsidR="001C4578" w:rsidRDefault="00B32413" w:rsidP="00805433">
      <w:pPr>
        <w:rPr>
          <w:b/>
        </w:rPr>
      </w:pPr>
      <w:r>
        <w:rPr>
          <w:b/>
        </w:rPr>
        <w:t>LIMPHOTA HOUSING CC</w:t>
      </w:r>
      <w:r w:rsidR="001222FD">
        <w:rPr>
          <w:b/>
        </w:rPr>
        <w:tab/>
      </w:r>
      <w:r w:rsidR="001222FD">
        <w:rPr>
          <w:b/>
        </w:rPr>
        <w:tab/>
      </w:r>
      <w:r w:rsidR="001222FD">
        <w:rPr>
          <w:b/>
        </w:rPr>
        <w:tab/>
      </w:r>
      <w:r w:rsidR="001222FD">
        <w:rPr>
          <w:b/>
        </w:rPr>
        <w:tab/>
      </w:r>
      <w:r w:rsidR="001222FD">
        <w:rPr>
          <w:b/>
        </w:rPr>
        <w:tab/>
      </w:r>
      <w:r w:rsidR="001222FD">
        <w:rPr>
          <w:b/>
        </w:rPr>
        <w:tab/>
        <w:t>RESPONDENT/</w:t>
      </w:r>
      <w:r>
        <w:rPr>
          <w:b/>
        </w:rPr>
        <w:t>PLAINTIFF</w:t>
      </w:r>
    </w:p>
    <w:p w14:paraId="6F47820A" w14:textId="734BEBA6" w:rsidR="001C4578" w:rsidRDefault="001C4578" w:rsidP="00805433">
      <w:pPr>
        <w:rPr>
          <w:b/>
        </w:rPr>
      </w:pPr>
      <w:r>
        <w:rPr>
          <w:b/>
        </w:rPr>
        <w:t>[REG NO: 2008/020875/23]</w:t>
      </w:r>
    </w:p>
    <w:p w14:paraId="626BEB9C" w14:textId="77777777" w:rsidR="00B32413" w:rsidRDefault="00B32413" w:rsidP="00805433">
      <w:pPr>
        <w:rPr>
          <w:b/>
        </w:rPr>
      </w:pPr>
    </w:p>
    <w:p w14:paraId="57A4C03B" w14:textId="4015F009" w:rsidR="005C277B" w:rsidRDefault="005C277B" w:rsidP="00805433">
      <w:pPr>
        <w:rPr>
          <w:b/>
        </w:rPr>
      </w:pPr>
      <w:r>
        <w:rPr>
          <w:b/>
        </w:rPr>
        <w:t>________________________________________________________________________________</w:t>
      </w:r>
    </w:p>
    <w:p w14:paraId="5A2831EE" w14:textId="77777777" w:rsidR="005C277B" w:rsidRDefault="005C277B" w:rsidP="005C277B">
      <w:pPr>
        <w:jc w:val="center"/>
        <w:rPr>
          <w:b/>
        </w:rPr>
      </w:pPr>
    </w:p>
    <w:p w14:paraId="33DDCAB7" w14:textId="1B84AFF9" w:rsidR="005C277B" w:rsidRDefault="005C277B" w:rsidP="005C277B">
      <w:pPr>
        <w:pBdr>
          <w:bottom w:val="single" w:sz="12" w:space="1" w:color="auto"/>
        </w:pBdr>
        <w:jc w:val="center"/>
        <w:rPr>
          <w:b/>
        </w:rPr>
      </w:pPr>
      <w:r>
        <w:rPr>
          <w:b/>
        </w:rPr>
        <w:t>JUDGMENT</w:t>
      </w:r>
    </w:p>
    <w:p w14:paraId="4C5FA2EC" w14:textId="77777777" w:rsidR="005C277B" w:rsidRDefault="005C277B" w:rsidP="005C277B">
      <w:pPr>
        <w:pBdr>
          <w:bottom w:val="single" w:sz="12" w:space="1" w:color="auto"/>
        </w:pBdr>
        <w:jc w:val="center"/>
        <w:rPr>
          <w:b/>
        </w:rPr>
      </w:pPr>
    </w:p>
    <w:p w14:paraId="4C25B700" w14:textId="77777777" w:rsidR="007A19C3" w:rsidRDefault="007A19C3" w:rsidP="00F337D0">
      <w:pPr>
        <w:spacing w:line="360" w:lineRule="auto"/>
        <w:rPr>
          <w:b/>
          <w:sz w:val="24"/>
          <w:szCs w:val="24"/>
        </w:rPr>
      </w:pPr>
    </w:p>
    <w:p w14:paraId="5C2AE086" w14:textId="42BC4812" w:rsidR="002269EE" w:rsidRPr="002269EE" w:rsidRDefault="005C277B" w:rsidP="00F337D0">
      <w:pPr>
        <w:spacing w:line="360" w:lineRule="auto"/>
        <w:rPr>
          <w:b/>
          <w:sz w:val="24"/>
          <w:szCs w:val="24"/>
        </w:rPr>
      </w:pPr>
      <w:r w:rsidRPr="00F337D0">
        <w:rPr>
          <w:b/>
          <w:sz w:val="24"/>
          <w:szCs w:val="24"/>
        </w:rPr>
        <w:t>MARITZ AJ</w:t>
      </w:r>
    </w:p>
    <w:p w14:paraId="6A12A0C8" w14:textId="72CD8A0F" w:rsidR="0025057C" w:rsidRPr="0025057C" w:rsidRDefault="0025057C" w:rsidP="0025057C">
      <w:pPr>
        <w:spacing w:after="0" w:line="360" w:lineRule="auto"/>
        <w:jc w:val="both"/>
        <w:rPr>
          <w:bCs/>
          <w:i/>
          <w:iCs/>
          <w:u w:val="single"/>
        </w:rPr>
      </w:pPr>
      <w:r w:rsidRPr="0025057C">
        <w:rPr>
          <w:bCs/>
          <w:i/>
          <w:iCs/>
          <w:u w:val="single"/>
        </w:rPr>
        <w:t>Introduction</w:t>
      </w:r>
    </w:p>
    <w:p w14:paraId="40E3FDEB" w14:textId="77777777" w:rsidR="0025057C" w:rsidRDefault="0025057C" w:rsidP="0025057C">
      <w:pPr>
        <w:spacing w:after="0" w:line="360" w:lineRule="auto"/>
        <w:jc w:val="both"/>
        <w:rPr>
          <w:bCs/>
        </w:rPr>
      </w:pPr>
    </w:p>
    <w:p w14:paraId="3F6433D3" w14:textId="08C24BEA" w:rsidR="00401AA6" w:rsidRDefault="00584592" w:rsidP="00401AA6">
      <w:pPr>
        <w:spacing w:after="0" w:line="360" w:lineRule="auto"/>
        <w:ind w:left="720" w:hanging="720"/>
        <w:jc w:val="both"/>
        <w:rPr>
          <w:bCs/>
        </w:rPr>
      </w:pPr>
      <w:r w:rsidRPr="009E4F79">
        <w:rPr>
          <w:bCs/>
        </w:rPr>
        <w:t>[</w:t>
      </w:r>
      <w:r w:rsidR="005C277B" w:rsidRPr="009E4F79">
        <w:rPr>
          <w:bCs/>
        </w:rPr>
        <w:t>1</w:t>
      </w:r>
      <w:r w:rsidRPr="009E4F79">
        <w:rPr>
          <w:bCs/>
        </w:rPr>
        <w:t>]</w:t>
      </w:r>
      <w:r w:rsidR="005C277B" w:rsidRPr="009E4F79">
        <w:rPr>
          <w:bCs/>
        </w:rPr>
        <w:tab/>
      </w:r>
      <w:r w:rsidR="008849A2">
        <w:rPr>
          <w:bCs/>
        </w:rPr>
        <w:t>The Applicant, the Minister of Water and Sanitation, brought an application for condonation to uplift the bar which prevent</w:t>
      </w:r>
      <w:r w:rsidR="00EF4783">
        <w:rPr>
          <w:bCs/>
        </w:rPr>
        <w:t>s</w:t>
      </w:r>
      <w:r w:rsidR="008849A2">
        <w:rPr>
          <w:bCs/>
        </w:rPr>
        <w:t xml:space="preserve"> it </w:t>
      </w:r>
      <w:r w:rsidR="00EF4783">
        <w:rPr>
          <w:bCs/>
        </w:rPr>
        <w:t xml:space="preserve">from </w:t>
      </w:r>
      <w:r w:rsidR="007D2F31">
        <w:rPr>
          <w:bCs/>
        </w:rPr>
        <w:t>delivering</w:t>
      </w:r>
      <w:r w:rsidR="00EF4783">
        <w:rPr>
          <w:bCs/>
        </w:rPr>
        <w:t xml:space="preserve"> a</w:t>
      </w:r>
      <w:r w:rsidR="008849A2">
        <w:rPr>
          <w:bCs/>
        </w:rPr>
        <w:t xml:space="preserve"> plea.  The Respondent, </w:t>
      </w:r>
      <w:proofErr w:type="spellStart"/>
      <w:r w:rsidR="008849A2">
        <w:rPr>
          <w:bCs/>
        </w:rPr>
        <w:t>Limphota</w:t>
      </w:r>
      <w:proofErr w:type="spellEnd"/>
      <w:r w:rsidR="008849A2">
        <w:rPr>
          <w:bCs/>
        </w:rPr>
        <w:t xml:space="preserve"> Housing CC, opposed this application.  The Applicant is the Defendant in the </w:t>
      </w:r>
      <w:r w:rsidR="00717811">
        <w:rPr>
          <w:bCs/>
        </w:rPr>
        <w:t xml:space="preserve">summons </w:t>
      </w:r>
      <w:r w:rsidR="008849A2">
        <w:rPr>
          <w:bCs/>
        </w:rPr>
        <w:t xml:space="preserve">and the Respondent is the Plaintiff in the </w:t>
      </w:r>
      <w:r w:rsidR="00BE4C5C">
        <w:rPr>
          <w:bCs/>
        </w:rPr>
        <w:t xml:space="preserve">summons.  </w:t>
      </w:r>
      <w:r w:rsidR="008849A2">
        <w:rPr>
          <w:bCs/>
        </w:rPr>
        <w:t xml:space="preserve">For ease of reference the Court will refer to the parties as in the </w:t>
      </w:r>
      <w:r w:rsidR="00717811">
        <w:rPr>
          <w:bCs/>
        </w:rPr>
        <w:t>summons</w:t>
      </w:r>
      <w:r w:rsidR="007D2F31">
        <w:rPr>
          <w:bCs/>
        </w:rPr>
        <w:t>.</w:t>
      </w:r>
    </w:p>
    <w:p w14:paraId="5073E946" w14:textId="77777777" w:rsidR="009F35C8" w:rsidRDefault="009F35C8" w:rsidP="00401AA6">
      <w:pPr>
        <w:spacing w:after="0" w:line="360" w:lineRule="auto"/>
        <w:ind w:left="720" w:hanging="720"/>
        <w:jc w:val="both"/>
        <w:rPr>
          <w:bCs/>
        </w:rPr>
      </w:pPr>
    </w:p>
    <w:p w14:paraId="1D449825" w14:textId="789FAA73" w:rsidR="00B7007A" w:rsidRDefault="009F35C8" w:rsidP="006C3AC6">
      <w:pPr>
        <w:spacing w:after="0" w:line="360" w:lineRule="auto"/>
        <w:ind w:left="720" w:hanging="720"/>
        <w:jc w:val="both"/>
        <w:rPr>
          <w:bCs/>
        </w:rPr>
      </w:pPr>
      <w:r>
        <w:rPr>
          <w:bCs/>
        </w:rPr>
        <w:t>[2]</w:t>
      </w:r>
      <w:r>
        <w:rPr>
          <w:bCs/>
        </w:rPr>
        <w:tab/>
        <w:t>The Plaintiff issued</w:t>
      </w:r>
      <w:r w:rsidR="006C3AC6">
        <w:rPr>
          <w:bCs/>
        </w:rPr>
        <w:t xml:space="preserve"> and served a</w:t>
      </w:r>
      <w:r>
        <w:rPr>
          <w:bCs/>
        </w:rPr>
        <w:t xml:space="preserve"> summons against the Defendant </w:t>
      </w:r>
      <w:r w:rsidR="007D2F31">
        <w:rPr>
          <w:bCs/>
        </w:rPr>
        <w:t>on or about</w:t>
      </w:r>
      <w:r w:rsidR="006C3AC6">
        <w:rPr>
          <w:bCs/>
        </w:rPr>
        <w:t xml:space="preserve"> 21 </w:t>
      </w:r>
      <w:r w:rsidR="007D2F31">
        <w:rPr>
          <w:bCs/>
        </w:rPr>
        <w:t xml:space="preserve">February </w:t>
      </w:r>
      <w:r w:rsidR="006C3AC6">
        <w:rPr>
          <w:bCs/>
        </w:rPr>
        <w:t xml:space="preserve">2023 </w:t>
      </w:r>
      <w:r w:rsidR="005D5FF0">
        <w:rPr>
          <w:bCs/>
        </w:rPr>
        <w:t>based</w:t>
      </w:r>
      <w:r w:rsidR="00AF28DD">
        <w:rPr>
          <w:bCs/>
        </w:rPr>
        <w:t xml:space="preserve"> on</w:t>
      </w:r>
      <w:r w:rsidR="005D5FF0">
        <w:rPr>
          <w:bCs/>
        </w:rPr>
        <w:t xml:space="preserve"> </w:t>
      </w:r>
      <w:r w:rsidR="004A27DE">
        <w:rPr>
          <w:bCs/>
        </w:rPr>
        <w:t xml:space="preserve">specific performance </w:t>
      </w:r>
      <w:r w:rsidR="005B5815">
        <w:rPr>
          <w:bCs/>
        </w:rPr>
        <w:t xml:space="preserve">for payment </w:t>
      </w:r>
      <w:r w:rsidR="00AF28DD">
        <w:rPr>
          <w:bCs/>
        </w:rPr>
        <w:t xml:space="preserve">by the Defendant </w:t>
      </w:r>
      <w:r w:rsidR="005B5815">
        <w:rPr>
          <w:bCs/>
        </w:rPr>
        <w:t xml:space="preserve">in terms of </w:t>
      </w:r>
      <w:r w:rsidR="00AF28DD">
        <w:rPr>
          <w:bCs/>
        </w:rPr>
        <w:t>a</w:t>
      </w:r>
      <w:r w:rsidR="001C4578">
        <w:rPr>
          <w:bCs/>
        </w:rPr>
        <w:t xml:space="preserve"> written </w:t>
      </w:r>
      <w:r w:rsidR="00AF28DD">
        <w:rPr>
          <w:bCs/>
        </w:rPr>
        <w:t xml:space="preserve"> agreement (CONTRACT DEV001WT) FOR EMERGENCY WORKS</w:t>
      </w:r>
      <w:r w:rsidR="001C4578">
        <w:rPr>
          <w:bCs/>
        </w:rPr>
        <w:t xml:space="preserve"> -</w:t>
      </w:r>
      <w:r w:rsidR="00AF28DD">
        <w:rPr>
          <w:bCs/>
        </w:rPr>
        <w:t xml:space="preserve"> PROCEDURE, UNDER EMERGENCY DELEGATION A SUITABLE CONTRACTOR TO GET GROBLERSDAL AREA OFFICE SCHEMES INTO A FUNCTIONAL CONDITION (“the agreement”)</w:t>
      </w:r>
      <w:r w:rsidR="005B5815">
        <w:rPr>
          <w:bCs/>
        </w:rPr>
        <w:t>, in respect</w:t>
      </w:r>
      <w:r w:rsidR="00FE0CF5">
        <w:rPr>
          <w:bCs/>
        </w:rPr>
        <w:t xml:space="preserve"> of</w:t>
      </w:r>
      <w:r w:rsidR="0058428A">
        <w:rPr>
          <w:bCs/>
        </w:rPr>
        <w:t xml:space="preserve"> work performed</w:t>
      </w:r>
      <w:r w:rsidR="005B5815">
        <w:rPr>
          <w:bCs/>
        </w:rPr>
        <w:t xml:space="preserve"> </w:t>
      </w:r>
      <w:r w:rsidR="0058428A">
        <w:rPr>
          <w:bCs/>
        </w:rPr>
        <w:t>for</w:t>
      </w:r>
      <w:r w:rsidR="005B5815">
        <w:rPr>
          <w:bCs/>
        </w:rPr>
        <w:t xml:space="preserve"> 9 projects </w:t>
      </w:r>
      <w:r w:rsidR="006C3AC6">
        <w:rPr>
          <w:bCs/>
        </w:rPr>
        <w:t>at various</w:t>
      </w:r>
      <w:r w:rsidR="0066683D">
        <w:rPr>
          <w:bCs/>
        </w:rPr>
        <w:t xml:space="preserve"> locations</w:t>
      </w:r>
      <w:r w:rsidR="006C3AC6">
        <w:rPr>
          <w:bCs/>
        </w:rPr>
        <w:t xml:space="preserve"> being </w:t>
      </w:r>
      <w:proofErr w:type="spellStart"/>
      <w:r w:rsidR="005B5815">
        <w:rPr>
          <w:bCs/>
        </w:rPr>
        <w:t>Buffelskloof</w:t>
      </w:r>
      <w:proofErr w:type="spellEnd"/>
      <w:r w:rsidR="005B5815">
        <w:rPr>
          <w:bCs/>
        </w:rPr>
        <w:t xml:space="preserve"> Dam, De Hoop, Flag </w:t>
      </w:r>
      <w:proofErr w:type="spellStart"/>
      <w:r w:rsidR="005B5815">
        <w:rPr>
          <w:bCs/>
        </w:rPr>
        <w:t>Bashielo</w:t>
      </w:r>
      <w:proofErr w:type="spellEnd"/>
      <w:r w:rsidR="005B5815">
        <w:rPr>
          <w:bCs/>
        </w:rPr>
        <w:t xml:space="preserve">, </w:t>
      </w:r>
      <w:proofErr w:type="spellStart"/>
      <w:r w:rsidR="005B5815">
        <w:rPr>
          <w:bCs/>
        </w:rPr>
        <w:t>Injaka</w:t>
      </w:r>
      <w:proofErr w:type="spellEnd"/>
      <w:r w:rsidR="005B5815">
        <w:rPr>
          <w:bCs/>
        </w:rPr>
        <w:t xml:space="preserve">, Loskop, </w:t>
      </w:r>
      <w:proofErr w:type="spellStart"/>
      <w:r w:rsidR="005B5815">
        <w:rPr>
          <w:bCs/>
        </w:rPr>
        <w:t>Mkhombo</w:t>
      </w:r>
      <w:proofErr w:type="spellEnd"/>
      <w:r w:rsidR="005B5815">
        <w:rPr>
          <w:bCs/>
        </w:rPr>
        <w:t xml:space="preserve">, </w:t>
      </w:r>
      <w:proofErr w:type="spellStart"/>
      <w:r w:rsidR="005B5815">
        <w:rPr>
          <w:bCs/>
        </w:rPr>
        <w:t>Ohrigstad</w:t>
      </w:r>
      <w:proofErr w:type="spellEnd"/>
      <w:r w:rsidR="005B5815">
        <w:rPr>
          <w:bCs/>
        </w:rPr>
        <w:t xml:space="preserve">, </w:t>
      </w:r>
      <w:proofErr w:type="spellStart"/>
      <w:r w:rsidR="005B5815">
        <w:rPr>
          <w:bCs/>
        </w:rPr>
        <w:t>Vlugskraal</w:t>
      </w:r>
      <w:proofErr w:type="spellEnd"/>
      <w:r w:rsidR="005B5815">
        <w:rPr>
          <w:bCs/>
        </w:rPr>
        <w:t xml:space="preserve"> and </w:t>
      </w:r>
      <w:proofErr w:type="spellStart"/>
      <w:r w:rsidR="005B5815">
        <w:rPr>
          <w:bCs/>
        </w:rPr>
        <w:t>Brugspruit</w:t>
      </w:r>
      <w:proofErr w:type="spellEnd"/>
      <w:r w:rsidR="005B5815">
        <w:rPr>
          <w:bCs/>
        </w:rPr>
        <w:t xml:space="preserve"> concluded between the parties on 29 September 2021</w:t>
      </w:r>
      <w:r w:rsidR="0058428A">
        <w:rPr>
          <w:bCs/>
        </w:rPr>
        <w:t xml:space="preserve">, </w:t>
      </w:r>
      <w:r w:rsidR="0066683D">
        <w:rPr>
          <w:bCs/>
        </w:rPr>
        <w:t xml:space="preserve">totalling </w:t>
      </w:r>
      <w:r w:rsidR="0058428A">
        <w:rPr>
          <w:bCs/>
        </w:rPr>
        <w:t>R 24 </w:t>
      </w:r>
      <w:r w:rsidR="001C4578">
        <w:rPr>
          <w:bCs/>
        </w:rPr>
        <w:t>276</w:t>
      </w:r>
      <w:r w:rsidR="0058428A">
        <w:rPr>
          <w:bCs/>
        </w:rPr>
        <w:t> 8</w:t>
      </w:r>
      <w:r w:rsidR="001C4578">
        <w:rPr>
          <w:bCs/>
        </w:rPr>
        <w:t>35</w:t>
      </w:r>
      <w:r w:rsidR="0058428A">
        <w:rPr>
          <w:bCs/>
        </w:rPr>
        <w:t>.</w:t>
      </w:r>
      <w:r w:rsidR="00012D15">
        <w:rPr>
          <w:bCs/>
        </w:rPr>
        <w:t>73</w:t>
      </w:r>
      <w:r w:rsidR="0058428A">
        <w:rPr>
          <w:bCs/>
        </w:rPr>
        <w:t>.</w:t>
      </w:r>
    </w:p>
    <w:p w14:paraId="31C6E17A" w14:textId="77777777" w:rsidR="005B5815" w:rsidRDefault="005B5815" w:rsidP="00401AA6">
      <w:pPr>
        <w:spacing w:after="0" w:line="360" w:lineRule="auto"/>
        <w:ind w:left="720" w:hanging="720"/>
        <w:jc w:val="both"/>
        <w:rPr>
          <w:bCs/>
        </w:rPr>
      </w:pPr>
    </w:p>
    <w:p w14:paraId="5D6CD129" w14:textId="5B565BCC" w:rsidR="005B5815" w:rsidRDefault="005B5815" w:rsidP="00401AA6">
      <w:pPr>
        <w:spacing w:after="0" w:line="360" w:lineRule="auto"/>
        <w:ind w:left="720" w:hanging="720"/>
        <w:jc w:val="both"/>
        <w:rPr>
          <w:bCs/>
        </w:rPr>
      </w:pPr>
      <w:r>
        <w:rPr>
          <w:bCs/>
        </w:rPr>
        <w:t>[</w:t>
      </w:r>
      <w:r w:rsidR="006C3AC6">
        <w:rPr>
          <w:bCs/>
        </w:rPr>
        <w:t>3</w:t>
      </w:r>
      <w:r>
        <w:rPr>
          <w:bCs/>
        </w:rPr>
        <w:t>]</w:t>
      </w:r>
      <w:r>
        <w:rPr>
          <w:bCs/>
        </w:rPr>
        <w:tab/>
        <w:t xml:space="preserve">Prior to conclusion of the agreement </w:t>
      </w:r>
      <w:r w:rsidR="0058428A">
        <w:rPr>
          <w:bCs/>
        </w:rPr>
        <w:t>the Defendant invited interested parties to bid for DEV001WTE: EMERGENCY WORKS: PROCURE, UNDER EMERGENCY DELEGATIN, A SUITABLE CONTRACTOR(S) TO GET GROBLERSDAL AREA OFFICE SCHEMES INTO A FUNCTIONAL CONDITION.  On or about 21 April 2021 the Plaintiff submitted its bid, which bid was accepted on 31 May 2021 by the Defendant and the Plaintiff was appointed</w:t>
      </w:r>
      <w:r w:rsidR="002E5BDF">
        <w:rPr>
          <w:bCs/>
        </w:rPr>
        <w:t xml:space="preserve"> with a letter of appointment</w:t>
      </w:r>
      <w:r w:rsidR="0058428A">
        <w:rPr>
          <w:bCs/>
        </w:rPr>
        <w:t xml:space="preserve"> for </w:t>
      </w:r>
      <w:r>
        <w:rPr>
          <w:bCs/>
        </w:rPr>
        <w:t>emergency works under DEV001WTE</w:t>
      </w:r>
      <w:r w:rsidR="002E5BDF">
        <w:rPr>
          <w:bCs/>
        </w:rPr>
        <w:t>.</w:t>
      </w:r>
      <w:r w:rsidR="00804180">
        <w:rPr>
          <w:bCs/>
        </w:rPr>
        <w:t xml:space="preserve">  </w:t>
      </w:r>
      <w:r w:rsidR="00621FC7">
        <w:rPr>
          <w:bCs/>
        </w:rPr>
        <w:t xml:space="preserve">It </w:t>
      </w:r>
      <w:r w:rsidR="0027370E">
        <w:rPr>
          <w:bCs/>
        </w:rPr>
        <w:t>is</w:t>
      </w:r>
      <w:r w:rsidR="00621FC7">
        <w:rPr>
          <w:bCs/>
        </w:rPr>
        <w:t xml:space="preserve"> submitted that </w:t>
      </w:r>
      <w:r w:rsidR="00B63FC5">
        <w:rPr>
          <w:bCs/>
        </w:rPr>
        <w:t>after</w:t>
      </w:r>
      <w:r w:rsidR="00621FC7">
        <w:rPr>
          <w:bCs/>
        </w:rPr>
        <w:t xml:space="preserve"> the appointment of the Plaintiff</w:t>
      </w:r>
      <w:r w:rsidR="008E4CB1">
        <w:rPr>
          <w:bCs/>
        </w:rPr>
        <w:t xml:space="preserve"> and before the above agreement was concluded</w:t>
      </w:r>
      <w:r w:rsidR="00621FC7">
        <w:rPr>
          <w:bCs/>
        </w:rPr>
        <w:t xml:space="preserve">, </w:t>
      </w:r>
      <w:r w:rsidR="0027370E">
        <w:rPr>
          <w:bCs/>
        </w:rPr>
        <w:t>the Plaintiff</w:t>
      </w:r>
      <w:r w:rsidR="00621FC7">
        <w:rPr>
          <w:bCs/>
        </w:rPr>
        <w:t xml:space="preserve"> was instructed to immediately attend to emergency works as a matter of urgency, as demanded by the Defendant.</w:t>
      </w:r>
      <w:r w:rsidR="00D41D9A">
        <w:rPr>
          <w:bCs/>
        </w:rPr>
        <w:t xml:space="preserve">  The emergency works were performed between </w:t>
      </w:r>
      <w:r w:rsidR="00711A81">
        <w:rPr>
          <w:bCs/>
        </w:rPr>
        <w:t xml:space="preserve">1 </w:t>
      </w:r>
      <w:r w:rsidR="00D41D9A">
        <w:rPr>
          <w:bCs/>
        </w:rPr>
        <w:t>June 2021 and 26 September 2021 prior to conclusion of the agreement.</w:t>
      </w:r>
    </w:p>
    <w:p w14:paraId="614CD156" w14:textId="77777777" w:rsidR="0058428A" w:rsidRDefault="0058428A" w:rsidP="00401AA6">
      <w:pPr>
        <w:spacing w:after="0" w:line="360" w:lineRule="auto"/>
        <w:ind w:left="720" w:hanging="720"/>
        <w:jc w:val="both"/>
        <w:rPr>
          <w:bCs/>
        </w:rPr>
      </w:pPr>
    </w:p>
    <w:p w14:paraId="2A3E6E7F" w14:textId="42D51943" w:rsidR="008849A2" w:rsidRDefault="0058428A" w:rsidP="002012C5">
      <w:pPr>
        <w:spacing w:after="0" w:line="360" w:lineRule="auto"/>
        <w:ind w:left="720" w:hanging="720"/>
        <w:jc w:val="both"/>
        <w:rPr>
          <w:bCs/>
        </w:rPr>
      </w:pPr>
      <w:r>
        <w:rPr>
          <w:bCs/>
        </w:rPr>
        <w:t>[</w:t>
      </w:r>
      <w:r w:rsidR="006C3AC6">
        <w:rPr>
          <w:bCs/>
        </w:rPr>
        <w:t>4</w:t>
      </w:r>
      <w:r>
        <w:rPr>
          <w:bCs/>
        </w:rPr>
        <w:t>]</w:t>
      </w:r>
      <w:r>
        <w:rPr>
          <w:bCs/>
        </w:rPr>
        <w:tab/>
      </w:r>
      <w:r w:rsidR="006C3AC6">
        <w:rPr>
          <w:bCs/>
        </w:rPr>
        <w:t xml:space="preserve">The </w:t>
      </w:r>
      <w:r w:rsidR="00D251F6">
        <w:rPr>
          <w:bCs/>
        </w:rPr>
        <w:t xml:space="preserve">Plaintiff </w:t>
      </w:r>
      <w:r w:rsidR="0066683D">
        <w:rPr>
          <w:bCs/>
        </w:rPr>
        <w:t>contends</w:t>
      </w:r>
      <w:r w:rsidR="00D251F6">
        <w:rPr>
          <w:bCs/>
        </w:rPr>
        <w:t xml:space="preserve"> that it </w:t>
      </w:r>
      <w:r w:rsidR="0066683D">
        <w:rPr>
          <w:bCs/>
        </w:rPr>
        <w:t>fulfilled all</w:t>
      </w:r>
      <w:r w:rsidR="00D251F6">
        <w:rPr>
          <w:bCs/>
        </w:rPr>
        <w:t xml:space="preserve"> its obligations in terms of the </w:t>
      </w:r>
      <w:r w:rsidR="009F35C8">
        <w:rPr>
          <w:bCs/>
        </w:rPr>
        <w:t xml:space="preserve">letter of appointment and the </w:t>
      </w:r>
      <w:r w:rsidR="00D251F6">
        <w:rPr>
          <w:bCs/>
        </w:rPr>
        <w:t xml:space="preserve">agreement by rendering the services, performing the works as stipulated in the </w:t>
      </w:r>
      <w:r w:rsidR="00D251F6">
        <w:rPr>
          <w:bCs/>
        </w:rPr>
        <w:lastRenderedPageBreak/>
        <w:t xml:space="preserve">agreement and by the Project Manager and furnishing the Defendant with all necessary documentation including </w:t>
      </w:r>
      <w:r w:rsidR="00D251F6">
        <w:rPr>
          <w:bCs/>
          <w:i/>
          <w:iCs/>
        </w:rPr>
        <w:t xml:space="preserve">inter alia </w:t>
      </w:r>
      <w:r w:rsidR="00D251F6">
        <w:rPr>
          <w:bCs/>
        </w:rPr>
        <w:t>invoices in the Defendant’s</w:t>
      </w:r>
      <w:r w:rsidR="006C3AC6">
        <w:rPr>
          <w:bCs/>
        </w:rPr>
        <w:t xml:space="preserve"> prescribed</w:t>
      </w:r>
      <w:r w:rsidR="00D251F6">
        <w:rPr>
          <w:bCs/>
        </w:rPr>
        <w:t xml:space="preserve"> format.  </w:t>
      </w:r>
      <w:r w:rsidR="0066683D">
        <w:rPr>
          <w:bCs/>
        </w:rPr>
        <w:t xml:space="preserve">However, </w:t>
      </w:r>
      <w:r w:rsidR="00D251F6">
        <w:rPr>
          <w:bCs/>
        </w:rPr>
        <w:t xml:space="preserve">the Defendant breached the agreement </w:t>
      </w:r>
      <w:r w:rsidR="0066683D">
        <w:rPr>
          <w:bCs/>
        </w:rPr>
        <w:t xml:space="preserve">by failing to make payment despite demand.  The </w:t>
      </w:r>
      <w:r w:rsidR="007A19C3">
        <w:rPr>
          <w:bCs/>
        </w:rPr>
        <w:t>Plaintiff</w:t>
      </w:r>
      <w:r w:rsidR="0066683D">
        <w:rPr>
          <w:bCs/>
        </w:rPr>
        <w:t xml:space="preserve"> seeks payment</w:t>
      </w:r>
      <w:r w:rsidR="00012D15">
        <w:rPr>
          <w:bCs/>
        </w:rPr>
        <w:t xml:space="preserve"> of</w:t>
      </w:r>
      <w:r w:rsidR="007A19C3">
        <w:rPr>
          <w:bCs/>
        </w:rPr>
        <w:t xml:space="preserve"> R 20 230 696.45</w:t>
      </w:r>
      <w:r w:rsidR="0066683D">
        <w:rPr>
          <w:bCs/>
        </w:rPr>
        <w:t xml:space="preserve"> </w:t>
      </w:r>
      <w:r w:rsidR="00CB1172">
        <w:rPr>
          <w:bCs/>
        </w:rPr>
        <w:t>together</w:t>
      </w:r>
      <w:r w:rsidR="0066683D">
        <w:rPr>
          <w:bCs/>
        </w:rPr>
        <w:t xml:space="preserve"> with an additional amount of </w:t>
      </w:r>
      <w:r w:rsidR="007A19C3">
        <w:rPr>
          <w:bCs/>
        </w:rPr>
        <w:t>R 4 061 </w:t>
      </w:r>
      <w:r w:rsidR="00B63FC5">
        <w:rPr>
          <w:bCs/>
        </w:rPr>
        <w:t>139.28 being</w:t>
      </w:r>
      <w:r w:rsidR="00BE4C5C">
        <w:rPr>
          <w:bCs/>
        </w:rPr>
        <w:t xml:space="preserve"> a</w:t>
      </w:r>
      <w:r w:rsidR="0066683D">
        <w:rPr>
          <w:bCs/>
        </w:rPr>
        <w:t xml:space="preserve"> </w:t>
      </w:r>
      <w:r w:rsidR="007A19C3">
        <w:rPr>
          <w:bCs/>
        </w:rPr>
        <w:t xml:space="preserve">20% management fee.  The Plaintiff </w:t>
      </w:r>
      <w:r w:rsidR="00F91569">
        <w:rPr>
          <w:bCs/>
        </w:rPr>
        <w:t>submits</w:t>
      </w:r>
      <w:r w:rsidR="007A19C3">
        <w:rPr>
          <w:bCs/>
        </w:rPr>
        <w:t xml:space="preserve"> that it suffered damages in the total amount of R 24 276 835.73, together with interest</w:t>
      </w:r>
      <w:r w:rsidR="002012C5">
        <w:rPr>
          <w:bCs/>
        </w:rPr>
        <w:t>.</w:t>
      </w:r>
    </w:p>
    <w:p w14:paraId="6079588D" w14:textId="77777777" w:rsidR="006C3AC6" w:rsidRDefault="006C3AC6" w:rsidP="002012C5">
      <w:pPr>
        <w:spacing w:after="0" w:line="360" w:lineRule="auto"/>
        <w:ind w:left="720" w:hanging="720"/>
        <w:jc w:val="both"/>
        <w:rPr>
          <w:bCs/>
        </w:rPr>
      </w:pPr>
    </w:p>
    <w:p w14:paraId="77E2E892" w14:textId="5B6CD043" w:rsidR="009F35C8" w:rsidRDefault="006C3AC6" w:rsidP="00804180">
      <w:pPr>
        <w:spacing w:after="0" w:line="360" w:lineRule="auto"/>
        <w:ind w:left="720" w:hanging="720"/>
        <w:jc w:val="both"/>
        <w:rPr>
          <w:bCs/>
        </w:rPr>
      </w:pPr>
      <w:r>
        <w:rPr>
          <w:bCs/>
        </w:rPr>
        <w:t>[5]</w:t>
      </w:r>
      <w:r>
        <w:rPr>
          <w:bCs/>
        </w:rPr>
        <w:tab/>
        <w:t>The Defendant filed its notice of intention to defend on 13 April 2023</w:t>
      </w:r>
      <w:r w:rsidR="00035EE5">
        <w:rPr>
          <w:bCs/>
        </w:rPr>
        <w:t xml:space="preserve"> (12 court days out of time).</w:t>
      </w:r>
    </w:p>
    <w:p w14:paraId="20E2CCC7" w14:textId="77777777" w:rsidR="00BE4C5C" w:rsidRDefault="00BE4C5C" w:rsidP="00804180">
      <w:pPr>
        <w:spacing w:after="0" w:line="360" w:lineRule="auto"/>
        <w:ind w:left="720" w:hanging="720"/>
        <w:jc w:val="both"/>
        <w:rPr>
          <w:bCs/>
        </w:rPr>
      </w:pPr>
    </w:p>
    <w:p w14:paraId="432AD028" w14:textId="4E0D53D8" w:rsidR="00BE4C5C" w:rsidRDefault="00BE4C5C" w:rsidP="00804180">
      <w:pPr>
        <w:spacing w:after="0" w:line="360" w:lineRule="auto"/>
        <w:ind w:left="720" w:hanging="720"/>
        <w:jc w:val="both"/>
        <w:rPr>
          <w:bCs/>
        </w:rPr>
      </w:pPr>
      <w:r>
        <w:rPr>
          <w:bCs/>
        </w:rPr>
        <w:t>[6]</w:t>
      </w:r>
      <w:r>
        <w:rPr>
          <w:bCs/>
        </w:rPr>
        <w:tab/>
      </w:r>
      <w:r w:rsidR="00747CBD">
        <w:rPr>
          <w:bCs/>
        </w:rPr>
        <w:t xml:space="preserve">The Defendant had until </w:t>
      </w:r>
      <w:r w:rsidR="00806016">
        <w:rPr>
          <w:bCs/>
        </w:rPr>
        <w:t xml:space="preserve">15 May 2023 </w:t>
      </w:r>
      <w:r w:rsidR="00747CBD">
        <w:rPr>
          <w:bCs/>
        </w:rPr>
        <w:t xml:space="preserve">to file its </w:t>
      </w:r>
      <w:r w:rsidR="00B63FC5">
        <w:rPr>
          <w:bCs/>
        </w:rPr>
        <w:t>plea but</w:t>
      </w:r>
      <w:r w:rsidR="00747CBD">
        <w:rPr>
          <w:bCs/>
        </w:rPr>
        <w:t xml:space="preserve"> neglected and/or failed to file same.  On 22 May 2023 the Plaintiff served a notice of bar on the Defendant per email, which was the agreed method of service.  A copy of the notice of bar, together with the e-mail confirmation of service, is attached to the Plaintiff’s answering affidavit as annexure “AA2”.</w:t>
      </w:r>
    </w:p>
    <w:p w14:paraId="5C871322" w14:textId="77777777" w:rsidR="00183E74" w:rsidRDefault="00183E74" w:rsidP="00804180">
      <w:pPr>
        <w:spacing w:after="0" w:line="360" w:lineRule="auto"/>
        <w:ind w:left="720" w:hanging="720"/>
        <w:jc w:val="both"/>
        <w:rPr>
          <w:bCs/>
        </w:rPr>
      </w:pPr>
    </w:p>
    <w:p w14:paraId="37E9BD22" w14:textId="446CF6B8" w:rsidR="002012C5" w:rsidRDefault="002012C5" w:rsidP="002012C5">
      <w:pPr>
        <w:spacing w:after="0" w:line="360" w:lineRule="auto"/>
        <w:ind w:left="720" w:hanging="720"/>
        <w:jc w:val="both"/>
        <w:rPr>
          <w:bCs/>
        </w:rPr>
      </w:pPr>
      <w:r>
        <w:rPr>
          <w:bCs/>
        </w:rPr>
        <w:t>[</w:t>
      </w:r>
      <w:r w:rsidR="00410237">
        <w:rPr>
          <w:bCs/>
        </w:rPr>
        <w:t>7</w:t>
      </w:r>
      <w:r>
        <w:rPr>
          <w:bCs/>
        </w:rPr>
        <w:t>]</w:t>
      </w:r>
      <w:r>
        <w:rPr>
          <w:bCs/>
        </w:rPr>
        <w:tab/>
      </w:r>
      <w:r w:rsidR="00747CBD">
        <w:rPr>
          <w:bCs/>
        </w:rPr>
        <w:t xml:space="preserve">Despite </w:t>
      </w:r>
      <w:r w:rsidR="00B6526F">
        <w:rPr>
          <w:bCs/>
        </w:rPr>
        <w:t>a</w:t>
      </w:r>
      <w:r w:rsidR="00747CBD">
        <w:rPr>
          <w:bCs/>
        </w:rPr>
        <w:t xml:space="preserve"> further period of FIVE (5) days from date of delivery</w:t>
      </w:r>
      <w:r w:rsidR="00012D15">
        <w:rPr>
          <w:bCs/>
        </w:rPr>
        <w:t xml:space="preserve"> of</w:t>
      </w:r>
      <w:r w:rsidR="00747CBD">
        <w:rPr>
          <w:bCs/>
        </w:rPr>
        <w:t xml:space="preserve"> the notice of bar (22 May 2023) granted to the Defendant</w:t>
      </w:r>
      <w:r w:rsidR="00806016">
        <w:rPr>
          <w:bCs/>
        </w:rPr>
        <w:t xml:space="preserve"> to file a plea</w:t>
      </w:r>
      <w:r w:rsidR="00EB629D">
        <w:rPr>
          <w:bCs/>
        </w:rPr>
        <w:t xml:space="preserve">, </w:t>
      </w:r>
      <w:r w:rsidR="00747CBD">
        <w:rPr>
          <w:bCs/>
        </w:rPr>
        <w:t>it has failed to deliver its plea.  As a result of thereof</w:t>
      </w:r>
      <w:r w:rsidR="00EB629D">
        <w:rPr>
          <w:bCs/>
        </w:rPr>
        <w:t xml:space="preserve"> </w:t>
      </w:r>
      <w:r w:rsidR="00747CBD">
        <w:rPr>
          <w:bCs/>
        </w:rPr>
        <w:t xml:space="preserve">the Defendant was </w:t>
      </w:r>
      <w:r w:rsidR="00747CBD">
        <w:rPr>
          <w:bCs/>
          <w:i/>
          <w:iCs/>
        </w:rPr>
        <w:t xml:space="preserve">ipso facto </w:t>
      </w:r>
      <w:r w:rsidR="00747CBD">
        <w:rPr>
          <w:bCs/>
        </w:rPr>
        <w:t>barred from deliver</w:t>
      </w:r>
      <w:r w:rsidR="00806016">
        <w:rPr>
          <w:bCs/>
        </w:rPr>
        <w:t>ing</w:t>
      </w:r>
      <w:r w:rsidR="00747CBD">
        <w:rPr>
          <w:bCs/>
        </w:rPr>
        <w:t xml:space="preserve"> its plea.  </w:t>
      </w:r>
    </w:p>
    <w:p w14:paraId="6BC22962" w14:textId="77777777" w:rsidR="00747CBD" w:rsidRDefault="00747CBD" w:rsidP="002012C5">
      <w:pPr>
        <w:spacing w:after="0" w:line="360" w:lineRule="auto"/>
        <w:ind w:left="720" w:hanging="720"/>
        <w:jc w:val="both"/>
        <w:rPr>
          <w:bCs/>
        </w:rPr>
      </w:pPr>
    </w:p>
    <w:p w14:paraId="171460D1" w14:textId="30485362" w:rsidR="00747CBD" w:rsidRDefault="00747CBD" w:rsidP="002012C5">
      <w:pPr>
        <w:spacing w:after="0" w:line="360" w:lineRule="auto"/>
        <w:ind w:left="720" w:hanging="720"/>
        <w:jc w:val="both"/>
        <w:rPr>
          <w:bCs/>
        </w:rPr>
      </w:pPr>
      <w:r>
        <w:rPr>
          <w:bCs/>
        </w:rPr>
        <w:t>[</w:t>
      </w:r>
      <w:r w:rsidR="00410237">
        <w:rPr>
          <w:bCs/>
        </w:rPr>
        <w:t>8</w:t>
      </w:r>
      <w:r>
        <w:rPr>
          <w:bCs/>
        </w:rPr>
        <w:t>]</w:t>
      </w:r>
      <w:r>
        <w:rPr>
          <w:bCs/>
        </w:rPr>
        <w:tab/>
        <w:t xml:space="preserve">On 7 June 2023, the Defendant served its application </w:t>
      </w:r>
      <w:r w:rsidR="00B6526F">
        <w:rPr>
          <w:bCs/>
        </w:rPr>
        <w:t>for upliftment of the bar on the Plaintiff’s Attorneys of Record.</w:t>
      </w:r>
    </w:p>
    <w:p w14:paraId="09EF9D9B" w14:textId="77777777" w:rsidR="001F6F95" w:rsidRDefault="001F6F95" w:rsidP="002012C5">
      <w:pPr>
        <w:spacing w:after="0" w:line="360" w:lineRule="auto"/>
        <w:ind w:left="720" w:hanging="720"/>
        <w:jc w:val="both"/>
        <w:rPr>
          <w:bCs/>
        </w:rPr>
      </w:pPr>
    </w:p>
    <w:p w14:paraId="5C676431" w14:textId="42AA9192" w:rsidR="00E5681D" w:rsidRDefault="008849A2" w:rsidP="00B70995">
      <w:pPr>
        <w:tabs>
          <w:tab w:val="left" w:pos="709"/>
        </w:tabs>
        <w:spacing w:after="0" w:line="360" w:lineRule="auto"/>
        <w:ind w:left="700" w:hanging="700"/>
        <w:jc w:val="both"/>
        <w:rPr>
          <w:bCs/>
        </w:rPr>
      </w:pPr>
      <w:r>
        <w:rPr>
          <w:bCs/>
        </w:rPr>
        <w:t>[</w:t>
      </w:r>
      <w:r w:rsidR="00410237">
        <w:rPr>
          <w:bCs/>
        </w:rPr>
        <w:t>9</w:t>
      </w:r>
      <w:r>
        <w:rPr>
          <w:bCs/>
        </w:rPr>
        <w:t>]</w:t>
      </w:r>
      <w:r>
        <w:rPr>
          <w:bCs/>
        </w:rPr>
        <w:tab/>
      </w:r>
      <w:r w:rsidR="00B6526F">
        <w:rPr>
          <w:bCs/>
        </w:rPr>
        <w:t>In terms of the Notice of Motion t</w:t>
      </w:r>
      <w:r>
        <w:rPr>
          <w:bCs/>
        </w:rPr>
        <w:t xml:space="preserve">he </w:t>
      </w:r>
      <w:r w:rsidR="001F41AC">
        <w:rPr>
          <w:bCs/>
        </w:rPr>
        <w:t>Defendant</w:t>
      </w:r>
      <w:r w:rsidR="001F6F95">
        <w:rPr>
          <w:bCs/>
        </w:rPr>
        <w:t xml:space="preserve"> </w:t>
      </w:r>
      <w:r>
        <w:rPr>
          <w:bCs/>
        </w:rPr>
        <w:t>s</w:t>
      </w:r>
      <w:r w:rsidR="00FD447E">
        <w:rPr>
          <w:bCs/>
        </w:rPr>
        <w:t>eeks</w:t>
      </w:r>
      <w:r>
        <w:rPr>
          <w:bCs/>
        </w:rPr>
        <w:t xml:space="preserve"> the following relief</w:t>
      </w:r>
      <w:r w:rsidR="00B6526F">
        <w:rPr>
          <w:bCs/>
        </w:rPr>
        <w:t>:</w:t>
      </w:r>
    </w:p>
    <w:p w14:paraId="0AF58512" w14:textId="77777777" w:rsidR="008849A2" w:rsidRDefault="008849A2" w:rsidP="00B70995">
      <w:pPr>
        <w:tabs>
          <w:tab w:val="left" w:pos="709"/>
        </w:tabs>
        <w:spacing w:after="0" w:line="360" w:lineRule="auto"/>
        <w:ind w:left="700" w:hanging="700"/>
        <w:jc w:val="both"/>
        <w:rPr>
          <w:bCs/>
        </w:rPr>
      </w:pPr>
    </w:p>
    <w:p w14:paraId="540D2B9D" w14:textId="13F3624F" w:rsidR="008849A2" w:rsidRDefault="008849A2" w:rsidP="008849A2">
      <w:pPr>
        <w:tabs>
          <w:tab w:val="left" w:pos="709"/>
        </w:tabs>
        <w:spacing w:after="0" w:line="360" w:lineRule="auto"/>
        <w:ind w:left="1440" w:hanging="1440"/>
        <w:jc w:val="both"/>
        <w:rPr>
          <w:bCs/>
        </w:rPr>
      </w:pPr>
      <w:r>
        <w:rPr>
          <w:bCs/>
        </w:rPr>
        <w:tab/>
      </w:r>
      <w:r w:rsidR="00410237">
        <w:rPr>
          <w:bCs/>
        </w:rPr>
        <w:t>9</w:t>
      </w:r>
      <w:r>
        <w:rPr>
          <w:bCs/>
        </w:rPr>
        <w:t>.1</w:t>
      </w:r>
      <w:r>
        <w:rPr>
          <w:bCs/>
        </w:rPr>
        <w:tab/>
        <w:t xml:space="preserve">That the Defendant, having been </w:t>
      </w:r>
      <w:r>
        <w:rPr>
          <w:bCs/>
          <w:i/>
          <w:iCs/>
        </w:rPr>
        <w:t>ipso facto</w:t>
      </w:r>
      <w:r>
        <w:rPr>
          <w:bCs/>
        </w:rPr>
        <w:t xml:space="preserve"> barred from delivering a plea, such bar be and is hereby uplifted; and</w:t>
      </w:r>
    </w:p>
    <w:p w14:paraId="4AA4710A" w14:textId="77777777" w:rsidR="008849A2" w:rsidRDefault="008849A2" w:rsidP="00B70995">
      <w:pPr>
        <w:tabs>
          <w:tab w:val="left" w:pos="709"/>
        </w:tabs>
        <w:spacing w:after="0" w:line="360" w:lineRule="auto"/>
        <w:ind w:left="700" w:hanging="700"/>
        <w:jc w:val="both"/>
        <w:rPr>
          <w:bCs/>
        </w:rPr>
      </w:pPr>
    </w:p>
    <w:p w14:paraId="62629E23" w14:textId="0EA0E763" w:rsidR="008849A2" w:rsidRDefault="008849A2" w:rsidP="00A42C8D">
      <w:pPr>
        <w:tabs>
          <w:tab w:val="left" w:pos="709"/>
        </w:tabs>
        <w:spacing w:after="0" w:line="360" w:lineRule="auto"/>
        <w:ind w:left="1440" w:hanging="1440"/>
        <w:jc w:val="both"/>
        <w:rPr>
          <w:bCs/>
        </w:rPr>
      </w:pPr>
      <w:r>
        <w:rPr>
          <w:bCs/>
        </w:rPr>
        <w:tab/>
      </w:r>
      <w:r w:rsidR="00410237">
        <w:rPr>
          <w:bCs/>
        </w:rPr>
        <w:t>9</w:t>
      </w:r>
      <w:r>
        <w:rPr>
          <w:bCs/>
        </w:rPr>
        <w:t>.2</w:t>
      </w:r>
      <w:r>
        <w:rPr>
          <w:bCs/>
        </w:rPr>
        <w:tab/>
      </w:r>
      <w:r w:rsidR="00A42C8D">
        <w:rPr>
          <w:bCs/>
        </w:rPr>
        <w:t>That the costs of this application be paid by the Plaintiff, alternatively be costs in the cause.</w:t>
      </w:r>
    </w:p>
    <w:p w14:paraId="394433F6" w14:textId="77777777" w:rsidR="00A42C8D" w:rsidRDefault="00A42C8D" w:rsidP="00A42C8D">
      <w:pPr>
        <w:tabs>
          <w:tab w:val="left" w:pos="709"/>
        </w:tabs>
        <w:spacing w:after="0" w:line="360" w:lineRule="auto"/>
        <w:ind w:left="1440" w:hanging="1440"/>
        <w:jc w:val="both"/>
        <w:rPr>
          <w:bCs/>
        </w:rPr>
      </w:pPr>
    </w:p>
    <w:p w14:paraId="37F7A627" w14:textId="570912D7" w:rsidR="00A42C8D" w:rsidRDefault="00A42C8D" w:rsidP="00A42C8D">
      <w:pPr>
        <w:tabs>
          <w:tab w:val="left" w:pos="709"/>
        </w:tabs>
        <w:spacing w:after="0" w:line="360" w:lineRule="auto"/>
        <w:ind w:left="1440" w:hanging="1440"/>
        <w:jc w:val="both"/>
        <w:rPr>
          <w:bCs/>
        </w:rPr>
      </w:pPr>
      <w:r>
        <w:rPr>
          <w:bCs/>
        </w:rPr>
        <w:t>[</w:t>
      </w:r>
      <w:r w:rsidR="00410237">
        <w:rPr>
          <w:bCs/>
        </w:rPr>
        <w:t>10</w:t>
      </w:r>
      <w:r>
        <w:rPr>
          <w:bCs/>
        </w:rPr>
        <w:t>]</w:t>
      </w:r>
      <w:r>
        <w:rPr>
          <w:bCs/>
        </w:rPr>
        <w:tab/>
        <w:t xml:space="preserve">The </w:t>
      </w:r>
      <w:r w:rsidR="001F41AC">
        <w:rPr>
          <w:bCs/>
        </w:rPr>
        <w:t>Plaintiff</w:t>
      </w:r>
      <w:r>
        <w:rPr>
          <w:bCs/>
        </w:rPr>
        <w:t xml:space="preserve"> s</w:t>
      </w:r>
      <w:r w:rsidR="00FD447E">
        <w:rPr>
          <w:bCs/>
        </w:rPr>
        <w:t xml:space="preserve">eeks </w:t>
      </w:r>
      <w:r>
        <w:rPr>
          <w:bCs/>
        </w:rPr>
        <w:t>the following relief:</w:t>
      </w:r>
    </w:p>
    <w:p w14:paraId="6C3968B2" w14:textId="77777777" w:rsidR="00A42C8D" w:rsidRDefault="00A42C8D" w:rsidP="00A42C8D">
      <w:pPr>
        <w:tabs>
          <w:tab w:val="left" w:pos="709"/>
        </w:tabs>
        <w:spacing w:after="0" w:line="360" w:lineRule="auto"/>
        <w:ind w:left="1440" w:hanging="1440"/>
        <w:jc w:val="both"/>
        <w:rPr>
          <w:bCs/>
        </w:rPr>
      </w:pPr>
    </w:p>
    <w:p w14:paraId="4D005128" w14:textId="4A407819" w:rsidR="00A42C8D" w:rsidRDefault="00A42C8D" w:rsidP="00A42C8D">
      <w:pPr>
        <w:tabs>
          <w:tab w:val="left" w:pos="709"/>
        </w:tabs>
        <w:spacing w:after="0" w:line="360" w:lineRule="auto"/>
        <w:ind w:left="1440" w:hanging="1440"/>
        <w:jc w:val="both"/>
        <w:rPr>
          <w:bCs/>
        </w:rPr>
      </w:pPr>
      <w:r>
        <w:rPr>
          <w:bCs/>
        </w:rPr>
        <w:tab/>
      </w:r>
      <w:r w:rsidR="00410237">
        <w:rPr>
          <w:bCs/>
        </w:rPr>
        <w:t>10</w:t>
      </w:r>
      <w:r>
        <w:rPr>
          <w:bCs/>
        </w:rPr>
        <w:t>.1</w:t>
      </w:r>
      <w:r>
        <w:rPr>
          <w:bCs/>
        </w:rPr>
        <w:tab/>
        <w:t>That the application for uplift</w:t>
      </w:r>
      <w:r w:rsidR="001F41AC">
        <w:rPr>
          <w:bCs/>
        </w:rPr>
        <w:t>ment of</w:t>
      </w:r>
      <w:r>
        <w:rPr>
          <w:bCs/>
        </w:rPr>
        <w:t xml:space="preserve"> the bar be dismissed with costs, such costs to include the costs of two </w:t>
      </w:r>
      <w:r w:rsidR="00B6526F">
        <w:rPr>
          <w:bCs/>
        </w:rPr>
        <w:t>C</w:t>
      </w:r>
      <w:r>
        <w:rPr>
          <w:bCs/>
        </w:rPr>
        <w:t>ounsel.</w:t>
      </w:r>
    </w:p>
    <w:p w14:paraId="3A856CA4" w14:textId="77777777" w:rsidR="00A42C8D" w:rsidRDefault="00A42C8D" w:rsidP="00A42C8D">
      <w:pPr>
        <w:tabs>
          <w:tab w:val="left" w:pos="709"/>
        </w:tabs>
        <w:spacing w:after="0" w:line="360" w:lineRule="auto"/>
        <w:ind w:left="1440" w:hanging="1440"/>
        <w:jc w:val="both"/>
        <w:rPr>
          <w:bCs/>
        </w:rPr>
      </w:pPr>
    </w:p>
    <w:p w14:paraId="0B561715" w14:textId="5259F249" w:rsidR="00A42C8D" w:rsidRDefault="00A42C8D" w:rsidP="00A42C8D">
      <w:pPr>
        <w:tabs>
          <w:tab w:val="left" w:pos="709"/>
        </w:tabs>
        <w:spacing w:after="0" w:line="360" w:lineRule="auto"/>
        <w:ind w:left="1440" w:hanging="1440"/>
        <w:jc w:val="both"/>
        <w:rPr>
          <w:bCs/>
        </w:rPr>
      </w:pPr>
      <w:r>
        <w:rPr>
          <w:bCs/>
        </w:rPr>
        <w:t>[</w:t>
      </w:r>
      <w:r w:rsidR="009F35C8">
        <w:rPr>
          <w:bCs/>
        </w:rPr>
        <w:t>1</w:t>
      </w:r>
      <w:r w:rsidR="00410237">
        <w:rPr>
          <w:bCs/>
        </w:rPr>
        <w:t>1</w:t>
      </w:r>
      <w:r>
        <w:rPr>
          <w:bCs/>
        </w:rPr>
        <w:t>]</w:t>
      </w:r>
      <w:r>
        <w:rPr>
          <w:bCs/>
        </w:rPr>
        <w:tab/>
      </w:r>
      <w:r w:rsidR="00FD447E">
        <w:rPr>
          <w:bCs/>
        </w:rPr>
        <w:t>The issues for determination</w:t>
      </w:r>
      <w:r w:rsidR="001F6F95">
        <w:rPr>
          <w:bCs/>
        </w:rPr>
        <w:t>, as set out in the affidavits,</w:t>
      </w:r>
      <w:r w:rsidR="00FD447E">
        <w:rPr>
          <w:bCs/>
        </w:rPr>
        <w:t xml:space="preserve"> are</w:t>
      </w:r>
      <w:r w:rsidR="001F6F95">
        <w:rPr>
          <w:bCs/>
        </w:rPr>
        <w:t xml:space="preserve"> two folded, being:</w:t>
      </w:r>
    </w:p>
    <w:p w14:paraId="353010B4" w14:textId="77777777" w:rsidR="00FD447E" w:rsidRDefault="00FD447E" w:rsidP="00A42C8D">
      <w:pPr>
        <w:tabs>
          <w:tab w:val="left" w:pos="709"/>
        </w:tabs>
        <w:spacing w:after="0" w:line="360" w:lineRule="auto"/>
        <w:ind w:left="1440" w:hanging="1440"/>
        <w:jc w:val="both"/>
        <w:rPr>
          <w:bCs/>
        </w:rPr>
      </w:pPr>
    </w:p>
    <w:p w14:paraId="100D0460" w14:textId="72905C8F" w:rsidR="00FD447E" w:rsidRDefault="00FD447E" w:rsidP="00A42C8D">
      <w:pPr>
        <w:tabs>
          <w:tab w:val="left" w:pos="709"/>
        </w:tabs>
        <w:spacing w:after="0" w:line="360" w:lineRule="auto"/>
        <w:ind w:left="1440" w:hanging="1440"/>
        <w:jc w:val="both"/>
        <w:rPr>
          <w:bCs/>
        </w:rPr>
      </w:pPr>
      <w:r>
        <w:rPr>
          <w:bCs/>
        </w:rPr>
        <w:tab/>
      </w:r>
      <w:r w:rsidR="009F35C8">
        <w:rPr>
          <w:bCs/>
        </w:rPr>
        <w:t>1</w:t>
      </w:r>
      <w:r w:rsidR="00410237">
        <w:rPr>
          <w:bCs/>
        </w:rPr>
        <w:t>1</w:t>
      </w:r>
      <w:r>
        <w:rPr>
          <w:bCs/>
        </w:rPr>
        <w:t>.1</w:t>
      </w:r>
      <w:r>
        <w:rPr>
          <w:bCs/>
        </w:rPr>
        <w:tab/>
        <w:t>Whether the deponent to the</w:t>
      </w:r>
      <w:r w:rsidR="00B6526F">
        <w:rPr>
          <w:bCs/>
        </w:rPr>
        <w:t xml:space="preserve"> Defendant’s</w:t>
      </w:r>
      <w:r>
        <w:rPr>
          <w:bCs/>
        </w:rPr>
        <w:t xml:space="preserve"> founding affidavit has any personal knowledge of the facts of the claim instituted by the Plaintiff and</w:t>
      </w:r>
      <w:r w:rsidR="00EF4783">
        <w:rPr>
          <w:bCs/>
        </w:rPr>
        <w:t>/or</w:t>
      </w:r>
      <w:r>
        <w:rPr>
          <w:bCs/>
        </w:rPr>
        <w:t xml:space="preserve"> whether the entire application is based on hearsay evidence as contained in the founding affidavit</w:t>
      </w:r>
      <w:r w:rsidR="001F6F95">
        <w:rPr>
          <w:bCs/>
        </w:rPr>
        <w:t xml:space="preserve">.  If the Court </w:t>
      </w:r>
      <w:r w:rsidR="001F41AC">
        <w:rPr>
          <w:bCs/>
        </w:rPr>
        <w:t xml:space="preserve">finds in favour of the </w:t>
      </w:r>
      <w:r w:rsidR="00B63FC5">
        <w:rPr>
          <w:bCs/>
        </w:rPr>
        <w:t>Plaintiff,</w:t>
      </w:r>
      <w:r w:rsidR="001F41AC">
        <w:rPr>
          <w:bCs/>
        </w:rPr>
        <w:t xml:space="preserve"> it will be the end of the</w:t>
      </w:r>
      <w:r w:rsidR="00B6526F">
        <w:rPr>
          <w:bCs/>
        </w:rPr>
        <w:t xml:space="preserve"> upliftment</w:t>
      </w:r>
      <w:r w:rsidR="001F41AC">
        <w:rPr>
          <w:bCs/>
        </w:rPr>
        <w:t xml:space="preserve"> application and there is </w:t>
      </w:r>
      <w:r w:rsidR="001F6F95">
        <w:rPr>
          <w:bCs/>
        </w:rPr>
        <w:t xml:space="preserve">no need to further deal with </w:t>
      </w:r>
      <w:r w:rsidR="00B6526F">
        <w:rPr>
          <w:bCs/>
        </w:rPr>
        <w:t>the merits thereof.</w:t>
      </w:r>
    </w:p>
    <w:p w14:paraId="136BB51A" w14:textId="77777777" w:rsidR="00FD447E" w:rsidRDefault="00FD447E" w:rsidP="00A42C8D">
      <w:pPr>
        <w:tabs>
          <w:tab w:val="left" w:pos="709"/>
        </w:tabs>
        <w:spacing w:after="0" w:line="360" w:lineRule="auto"/>
        <w:ind w:left="1440" w:hanging="1440"/>
        <w:jc w:val="both"/>
        <w:rPr>
          <w:bCs/>
        </w:rPr>
      </w:pPr>
    </w:p>
    <w:p w14:paraId="36FC38C5" w14:textId="27E86727" w:rsidR="00FD447E" w:rsidRDefault="00FD447E" w:rsidP="00A42C8D">
      <w:pPr>
        <w:tabs>
          <w:tab w:val="left" w:pos="709"/>
        </w:tabs>
        <w:spacing w:after="0" w:line="360" w:lineRule="auto"/>
        <w:ind w:left="1440" w:hanging="1440"/>
        <w:jc w:val="both"/>
        <w:rPr>
          <w:bCs/>
        </w:rPr>
      </w:pPr>
      <w:r>
        <w:rPr>
          <w:bCs/>
        </w:rPr>
        <w:tab/>
      </w:r>
      <w:r w:rsidR="009F35C8">
        <w:rPr>
          <w:bCs/>
        </w:rPr>
        <w:t>1</w:t>
      </w:r>
      <w:r w:rsidR="00410237">
        <w:rPr>
          <w:bCs/>
        </w:rPr>
        <w:t>1</w:t>
      </w:r>
      <w:r>
        <w:rPr>
          <w:bCs/>
        </w:rPr>
        <w:t>.2</w:t>
      </w:r>
      <w:r>
        <w:rPr>
          <w:bCs/>
        </w:rPr>
        <w:tab/>
        <w:t xml:space="preserve">Whether the Defendant has </w:t>
      </w:r>
      <w:r w:rsidR="00806016">
        <w:rPr>
          <w:bCs/>
        </w:rPr>
        <w:t xml:space="preserve">shown good cause and </w:t>
      </w:r>
      <w:r>
        <w:rPr>
          <w:bCs/>
        </w:rPr>
        <w:t>made out a proper case for condonation for the upliftment of the bar.</w:t>
      </w:r>
    </w:p>
    <w:p w14:paraId="3C95647D" w14:textId="77777777" w:rsidR="00FD447E" w:rsidRDefault="00FD447E" w:rsidP="00A42C8D">
      <w:pPr>
        <w:tabs>
          <w:tab w:val="left" w:pos="709"/>
        </w:tabs>
        <w:spacing w:after="0" w:line="360" w:lineRule="auto"/>
        <w:ind w:left="1440" w:hanging="1440"/>
        <w:jc w:val="both"/>
        <w:rPr>
          <w:bCs/>
        </w:rPr>
      </w:pPr>
    </w:p>
    <w:p w14:paraId="3C050C67" w14:textId="39DA2DC8" w:rsidR="00E4053F" w:rsidRDefault="00FD447E" w:rsidP="00E4053F">
      <w:pPr>
        <w:tabs>
          <w:tab w:val="left" w:pos="709"/>
        </w:tabs>
        <w:spacing w:after="0" w:line="360" w:lineRule="auto"/>
        <w:ind w:left="709" w:hanging="709"/>
        <w:jc w:val="both"/>
        <w:rPr>
          <w:bCs/>
        </w:rPr>
      </w:pPr>
      <w:r>
        <w:rPr>
          <w:bCs/>
        </w:rPr>
        <w:t>[</w:t>
      </w:r>
      <w:r w:rsidR="009F35C8">
        <w:rPr>
          <w:bCs/>
        </w:rPr>
        <w:t>1</w:t>
      </w:r>
      <w:r w:rsidR="00410237">
        <w:rPr>
          <w:bCs/>
        </w:rPr>
        <w:t>2</w:t>
      </w:r>
      <w:r>
        <w:rPr>
          <w:bCs/>
        </w:rPr>
        <w:t>]</w:t>
      </w:r>
      <w:r w:rsidR="00E4053F">
        <w:rPr>
          <w:bCs/>
        </w:rPr>
        <w:tab/>
        <w:t xml:space="preserve">The Court will first deal with the issue pertaining to whether the deponent to the Defendant’s founding affidavit has personal knowledge of the facts of the claim instituted by the Plaintiff and/or whether the entire application is based on hearsay evidence as contained in the founding affidavit.  If needed, the Court will thereafter </w:t>
      </w:r>
      <w:r w:rsidR="00B63FC5">
        <w:rPr>
          <w:bCs/>
        </w:rPr>
        <w:t>deal</w:t>
      </w:r>
      <w:r w:rsidR="00E4053F">
        <w:rPr>
          <w:bCs/>
        </w:rPr>
        <w:t xml:space="preserve"> with the merits of the upliftment application.</w:t>
      </w:r>
    </w:p>
    <w:p w14:paraId="734DDA6F" w14:textId="77777777" w:rsidR="00E4053F" w:rsidRDefault="00E4053F" w:rsidP="00E4053F">
      <w:pPr>
        <w:tabs>
          <w:tab w:val="left" w:pos="709"/>
        </w:tabs>
        <w:spacing w:after="0" w:line="360" w:lineRule="auto"/>
        <w:ind w:left="709" w:hanging="709"/>
        <w:jc w:val="both"/>
        <w:rPr>
          <w:bCs/>
        </w:rPr>
      </w:pPr>
    </w:p>
    <w:p w14:paraId="45C47EC1" w14:textId="17C53EB9" w:rsidR="00E4053F" w:rsidRDefault="00E4053F" w:rsidP="00E4053F">
      <w:pPr>
        <w:tabs>
          <w:tab w:val="left" w:pos="709"/>
        </w:tabs>
        <w:spacing w:after="0" w:line="360" w:lineRule="auto"/>
        <w:ind w:left="709" w:hanging="709"/>
        <w:jc w:val="both"/>
        <w:rPr>
          <w:bCs/>
          <w:i/>
          <w:iCs/>
          <w:u w:val="single"/>
        </w:rPr>
      </w:pPr>
      <w:r w:rsidRPr="00E4053F">
        <w:rPr>
          <w:bCs/>
          <w:i/>
          <w:iCs/>
          <w:u w:val="single"/>
        </w:rPr>
        <w:t xml:space="preserve">Personal Knowledge of </w:t>
      </w:r>
      <w:r w:rsidR="00D276D1">
        <w:rPr>
          <w:bCs/>
          <w:i/>
          <w:iCs/>
          <w:u w:val="single"/>
        </w:rPr>
        <w:t>D</w:t>
      </w:r>
      <w:r w:rsidRPr="00E4053F">
        <w:rPr>
          <w:bCs/>
          <w:i/>
          <w:iCs/>
          <w:u w:val="single"/>
        </w:rPr>
        <w:t>eponent to Founding Affidavit</w:t>
      </w:r>
    </w:p>
    <w:p w14:paraId="02BB1C8B" w14:textId="77777777" w:rsidR="00954B03" w:rsidRDefault="00954B03" w:rsidP="00E4053F">
      <w:pPr>
        <w:tabs>
          <w:tab w:val="left" w:pos="709"/>
        </w:tabs>
        <w:spacing w:after="0" w:line="360" w:lineRule="auto"/>
        <w:ind w:left="709" w:hanging="709"/>
        <w:jc w:val="both"/>
        <w:rPr>
          <w:bCs/>
          <w:i/>
          <w:iCs/>
          <w:u w:val="single"/>
        </w:rPr>
      </w:pPr>
    </w:p>
    <w:p w14:paraId="1A1F4A3E" w14:textId="0227BA94" w:rsidR="00954B03" w:rsidRDefault="00954B03" w:rsidP="00E4053F">
      <w:pPr>
        <w:tabs>
          <w:tab w:val="left" w:pos="709"/>
        </w:tabs>
        <w:spacing w:after="0" w:line="360" w:lineRule="auto"/>
        <w:ind w:left="709" w:hanging="709"/>
        <w:jc w:val="both"/>
        <w:rPr>
          <w:bCs/>
        </w:rPr>
      </w:pPr>
      <w:r>
        <w:rPr>
          <w:bCs/>
        </w:rPr>
        <w:t>[1</w:t>
      </w:r>
      <w:r w:rsidR="00410237">
        <w:rPr>
          <w:bCs/>
        </w:rPr>
        <w:t>3</w:t>
      </w:r>
      <w:r>
        <w:rPr>
          <w:bCs/>
        </w:rPr>
        <w:t>]</w:t>
      </w:r>
      <w:r>
        <w:rPr>
          <w:bCs/>
        </w:rPr>
        <w:tab/>
        <w:t>Before dealing with the submission</w:t>
      </w:r>
      <w:r w:rsidR="00470887">
        <w:rPr>
          <w:bCs/>
        </w:rPr>
        <w:t>s</w:t>
      </w:r>
      <w:r>
        <w:rPr>
          <w:bCs/>
        </w:rPr>
        <w:t xml:space="preserve"> made by the Plaintiff re</w:t>
      </w:r>
      <w:r w:rsidR="00470887">
        <w:rPr>
          <w:bCs/>
        </w:rPr>
        <w:t>lating to</w:t>
      </w:r>
      <w:r>
        <w:rPr>
          <w:bCs/>
        </w:rPr>
        <w:t xml:space="preserve"> whether the deponent to the founding affidavit</w:t>
      </w:r>
      <w:r w:rsidR="007C5DEB">
        <w:rPr>
          <w:bCs/>
        </w:rPr>
        <w:t xml:space="preserve">, </w:t>
      </w:r>
      <w:proofErr w:type="spellStart"/>
      <w:r w:rsidR="007C5DEB">
        <w:rPr>
          <w:bCs/>
        </w:rPr>
        <w:t>Mihloti</w:t>
      </w:r>
      <w:proofErr w:type="spellEnd"/>
      <w:r w:rsidR="007C5DEB">
        <w:rPr>
          <w:bCs/>
        </w:rPr>
        <w:t xml:space="preserve"> </w:t>
      </w:r>
      <w:proofErr w:type="spellStart"/>
      <w:r w:rsidR="007C5DEB">
        <w:rPr>
          <w:bCs/>
        </w:rPr>
        <w:t>Malandula</w:t>
      </w:r>
      <w:proofErr w:type="spellEnd"/>
      <w:r w:rsidR="007C5DEB">
        <w:rPr>
          <w:bCs/>
        </w:rPr>
        <w:t>,</w:t>
      </w:r>
      <w:r>
        <w:rPr>
          <w:bCs/>
        </w:rPr>
        <w:t xml:space="preserve"> has personal knowledge of the facts of the matter, it is necessary to quote the averments made by the deponent in the founding affidavit</w:t>
      </w:r>
      <w:r w:rsidR="007C5DEB">
        <w:rPr>
          <w:bCs/>
        </w:rPr>
        <w:t xml:space="preserve"> in this regard</w:t>
      </w:r>
      <w:r>
        <w:rPr>
          <w:bCs/>
        </w:rPr>
        <w:t>, which are as follows:</w:t>
      </w:r>
    </w:p>
    <w:p w14:paraId="39728330" w14:textId="77777777" w:rsidR="00954B03" w:rsidRDefault="00954B03" w:rsidP="00E4053F">
      <w:pPr>
        <w:tabs>
          <w:tab w:val="left" w:pos="709"/>
        </w:tabs>
        <w:spacing w:after="0" w:line="360" w:lineRule="auto"/>
        <w:ind w:left="709" w:hanging="709"/>
        <w:jc w:val="both"/>
        <w:rPr>
          <w:bCs/>
        </w:rPr>
      </w:pPr>
    </w:p>
    <w:p w14:paraId="49ECBA24" w14:textId="420926D0" w:rsidR="00954B03" w:rsidRDefault="00954B03" w:rsidP="00470887">
      <w:pPr>
        <w:tabs>
          <w:tab w:val="left" w:pos="709"/>
        </w:tabs>
        <w:spacing w:after="0" w:line="360" w:lineRule="auto"/>
        <w:ind w:left="1440" w:hanging="1440"/>
        <w:jc w:val="both"/>
        <w:rPr>
          <w:bCs/>
          <w:i/>
          <w:iCs/>
        </w:rPr>
      </w:pPr>
      <w:r>
        <w:rPr>
          <w:bCs/>
        </w:rPr>
        <w:tab/>
        <w:t>“</w:t>
      </w:r>
      <w:r>
        <w:rPr>
          <w:bCs/>
          <w:i/>
          <w:iCs/>
        </w:rPr>
        <w:t>1.</w:t>
      </w:r>
      <w:r>
        <w:rPr>
          <w:bCs/>
          <w:i/>
          <w:iCs/>
        </w:rPr>
        <w:tab/>
        <w:t>The facts contained herein are, unless the context indicates otherwise, within my personal knowledge and are to the best of my belief both true and correct.</w:t>
      </w:r>
    </w:p>
    <w:p w14:paraId="746E869C" w14:textId="77777777" w:rsidR="00954B03" w:rsidRDefault="00954B03" w:rsidP="00E4053F">
      <w:pPr>
        <w:tabs>
          <w:tab w:val="left" w:pos="709"/>
        </w:tabs>
        <w:spacing w:after="0" w:line="360" w:lineRule="auto"/>
        <w:ind w:left="709" w:hanging="709"/>
        <w:jc w:val="both"/>
        <w:rPr>
          <w:bCs/>
          <w:i/>
          <w:iCs/>
        </w:rPr>
      </w:pPr>
    </w:p>
    <w:p w14:paraId="5794A493" w14:textId="2445C8E7" w:rsidR="00954B03" w:rsidRDefault="00954B03" w:rsidP="00470887">
      <w:pPr>
        <w:tabs>
          <w:tab w:val="left" w:pos="709"/>
        </w:tabs>
        <w:spacing w:after="0" w:line="360" w:lineRule="auto"/>
        <w:ind w:left="1440" w:hanging="1440"/>
        <w:jc w:val="both"/>
        <w:rPr>
          <w:bCs/>
          <w:i/>
          <w:iCs/>
        </w:rPr>
      </w:pPr>
      <w:r>
        <w:rPr>
          <w:bCs/>
          <w:i/>
          <w:iCs/>
        </w:rPr>
        <w:tab/>
        <w:t>2.</w:t>
      </w:r>
      <w:r>
        <w:rPr>
          <w:bCs/>
          <w:i/>
          <w:iCs/>
        </w:rPr>
        <w:tab/>
        <w:t>I am a female Director Legal service</w:t>
      </w:r>
      <w:r w:rsidR="00470887">
        <w:rPr>
          <w:bCs/>
          <w:i/>
          <w:iCs/>
        </w:rPr>
        <w:t xml:space="preserve"> (sic) employed as such by the Department of Water and Sanitation (“the department”) with our offices situated at 185 Francis Baard Streets (sic), Pretoria.</w:t>
      </w:r>
    </w:p>
    <w:p w14:paraId="4882A977" w14:textId="06F742FC" w:rsidR="00470887" w:rsidRDefault="00470887" w:rsidP="00470887">
      <w:pPr>
        <w:tabs>
          <w:tab w:val="left" w:pos="709"/>
        </w:tabs>
        <w:spacing w:after="0" w:line="360" w:lineRule="auto"/>
        <w:ind w:left="1440" w:hanging="1440"/>
        <w:jc w:val="both"/>
        <w:rPr>
          <w:bCs/>
          <w:i/>
          <w:iCs/>
        </w:rPr>
      </w:pPr>
      <w:r>
        <w:rPr>
          <w:bCs/>
          <w:i/>
          <w:iCs/>
        </w:rPr>
        <w:tab/>
      </w:r>
    </w:p>
    <w:p w14:paraId="3AB072F3" w14:textId="6AB3E8F1" w:rsidR="00470887" w:rsidRDefault="00470887" w:rsidP="00470887">
      <w:pPr>
        <w:tabs>
          <w:tab w:val="left" w:pos="709"/>
        </w:tabs>
        <w:spacing w:after="0" w:line="360" w:lineRule="auto"/>
        <w:ind w:left="1440" w:hanging="1440"/>
        <w:jc w:val="both"/>
        <w:rPr>
          <w:bCs/>
          <w:i/>
          <w:iCs/>
        </w:rPr>
      </w:pPr>
      <w:r>
        <w:rPr>
          <w:bCs/>
          <w:i/>
          <w:iCs/>
        </w:rPr>
        <w:tab/>
        <w:t>3.</w:t>
      </w:r>
      <w:r>
        <w:rPr>
          <w:bCs/>
          <w:i/>
          <w:iCs/>
        </w:rPr>
        <w:tab/>
        <w:t>Where I make submission of a legal nature, I do so on the advice of the legal representative of the applicant.</w:t>
      </w:r>
    </w:p>
    <w:p w14:paraId="76D89A4B" w14:textId="77777777" w:rsidR="00470887" w:rsidRDefault="00470887" w:rsidP="00470887">
      <w:pPr>
        <w:tabs>
          <w:tab w:val="left" w:pos="709"/>
        </w:tabs>
        <w:spacing w:after="0" w:line="360" w:lineRule="auto"/>
        <w:ind w:left="1440" w:hanging="1440"/>
        <w:jc w:val="both"/>
        <w:rPr>
          <w:bCs/>
          <w:i/>
          <w:iCs/>
        </w:rPr>
      </w:pPr>
    </w:p>
    <w:p w14:paraId="7819F791" w14:textId="1344CB88" w:rsidR="00470887" w:rsidRPr="00954B03" w:rsidRDefault="00470887" w:rsidP="00470887">
      <w:pPr>
        <w:tabs>
          <w:tab w:val="left" w:pos="709"/>
        </w:tabs>
        <w:spacing w:after="0" w:line="360" w:lineRule="auto"/>
        <w:ind w:left="1440" w:hanging="1440"/>
        <w:jc w:val="both"/>
        <w:rPr>
          <w:bCs/>
          <w:i/>
          <w:iCs/>
        </w:rPr>
      </w:pPr>
      <w:r>
        <w:rPr>
          <w:bCs/>
          <w:i/>
          <w:iCs/>
        </w:rPr>
        <w:tab/>
        <w:t>4.</w:t>
      </w:r>
      <w:r>
        <w:rPr>
          <w:bCs/>
          <w:i/>
          <w:iCs/>
        </w:rPr>
        <w:tab/>
        <w:t>I depose to this affidavit on behalf of the applicant, in that as a Director Legal service (sic) of the applicant, I am responsible for this legal matter and therefore conversant with the facts thereof and have unlimited access to the documentation relating thereto.”</w:t>
      </w:r>
    </w:p>
    <w:p w14:paraId="09C5E057" w14:textId="77777777" w:rsidR="00E4053F" w:rsidRDefault="00E4053F" w:rsidP="00E4053F">
      <w:pPr>
        <w:tabs>
          <w:tab w:val="left" w:pos="709"/>
        </w:tabs>
        <w:spacing w:after="0" w:line="360" w:lineRule="auto"/>
        <w:ind w:left="709" w:hanging="709"/>
        <w:jc w:val="both"/>
        <w:rPr>
          <w:bCs/>
          <w:i/>
          <w:iCs/>
        </w:rPr>
      </w:pPr>
    </w:p>
    <w:p w14:paraId="0F14CB32" w14:textId="1E1A45C2" w:rsidR="001A269E" w:rsidRDefault="00E4053F" w:rsidP="00E4053F">
      <w:pPr>
        <w:tabs>
          <w:tab w:val="left" w:pos="709"/>
        </w:tabs>
        <w:spacing w:after="0" w:line="360" w:lineRule="auto"/>
        <w:ind w:left="709" w:hanging="709"/>
        <w:jc w:val="both"/>
        <w:rPr>
          <w:bCs/>
        </w:rPr>
      </w:pPr>
      <w:r>
        <w:rPr>
          <w:bCs/>
        </w:rPr>
        <w:t>[1</w:t>
      </w:r>
      <w:r w:rsidR="00410237">
        <w:rPr>
          <w:bCs/>
        </w:rPr>
        <w:t>4</w:t>
      </w:r>
      <w:r>
        <w:rPr>
          <w:bCs/>
        </w:rPr>
        <w:t>]</w:t>
      </w:r>
      <w:r>
        <w:rPr>
          <w:bCs/>
        </w:rPr>
        <w:tab/>
      </w:r>
      <w:r w:rsidR="00470887">
        <w:rPr>
          <w:bCs/>
        </w:rPr>
        <w:t xml:space="preserve">Based on the above averments made by the deponent to the founding affidavit as well as further averments made by the deponent </w:t>
      </w:r>
      <w:r w:rsidR="002E6CE2">
        <w:rPr>
          <w:bCs/>
        </w:rPr>
        <w:t>in</w:t>
      </w:r>
      <w:r w:rsidR="00470887">
        <w:rPr>
          <w:bCs/>
        </w:rPr>
        <w:t xml:space="preserve"> the founding affidavit, t</w:t>
      </w:r>
      <w:r w:rsidR="001A269E">
        <w:rPr>
          <w:bCs/>
        </w:rPr>
        <w:t xml:space="preserve">he Plaintiff questioned whether the deponent to the founding affidavit has personal knowledge of the facts of the matter or the ambit and nature of the Plaintiff’s bid that was accepted by the Department of Water and Sanitation (“the Department”).  In addition, </w:t>
      </w:r>
      <w:r w:rsidR="00470887">
        <w:rPr>
          <w:bCs/>
        </w:rPr>
        <w:t>the Plaintiff</w:t>
      </w:r>
      <w:r w:rsidR="001A269E">
        <w:rPr>
          <w:bCs/>
        </w:rPr>
        <w:t xml:space="preserve"> asserted that from the content of the founding affidavit, </w:t>
      </w:r>
      <w:r w:rsidR="00B63FC5">
        <w:rPr>
          <w:bCs/>
        </w:rPr>
        <w:t>the</w:t>
      </w:r>
      <w:r w:rsidR="001A269E">
        <w:rPr>
          <w:bCs/>
        </w:rPr>
        <w:t xml:space="preserve"> deponent fails to appreciate the facts surrounding the Plaintiff’s appointment as contractor to attend to emergency works when the Department desperately needed the Plaintiff to do the required emergency works.  The Plaintiff further submitted that the Defendant fails to appreciate and deal</w:t>
      </w:r>
      <w:r w:rsidR="00410237">
        <w:rPr>
          <w:bCs/>
        </w:rPr>
        <w:t>s</w:t>
      </w:r>
      <w:r w:rsidR="001A269E">
        <w:rPr>
          <w:bCs/>
        </w:rPr>
        <w:t xml:space="preserve"> with the undisputed fact that the parties only entered into the written agreement, </w:t>
      </w:r>
      <w:r w:rsidR="00B63FC5">
        <w:rPr>
          <w:bCs/>
        </w:rPr>
        <w:t>after</w:t>
      </w:r>
      <w:r w:rsidR="001A269E">
        <w:rPr>
          <w:bCs/>
        </w:rPr>
        <w:t xml:space="preserve"> the Plaintiff being appointed to immediately attend to the emergency works as a matter of urgency, as demanded by the Defendant.</w:t>
      </w:r>
    </w:p>
    <w:p w14:paraId="17669014" w14:textId="77777777" w:rsidR="001A269E" w:rsidRDefault="001A269E" w:rsidP="00E4053F">
      <w:pPr>
        <w:tabs>
          <w:tab w:val="left" w:pos="709"/>
        </w:tabs>
        <w:spacing w:after="0" w:line="360" w:lineRule="auto"/>
        <w:ind w:left="709" w:hanging="709"/>
        <w:jc w:val="both"/>
        <w:rPr>
          <w:bCs/>
        </w:rPr>
      </w:pPr>
    </w:p>
    <w:p w14:paraId="4D904739" w14:textId="002E12FD" w:rsidR="00E304A7" w:rsidRDefault="001A269E" w:rsidP="00E4053F">
      <w:pPr>
        <w:tabs>
          <w:tab w:val="left" w:pos="709"/>
        </w:tabs>
        <w:spacing w:after="0" w:line="360" w:lineRule="auto"/>
        <w:ind w:left="709" w:hanging="709"/>
        <w:jc w:val="both"/>
        <w:rPr>
          <w:bCs/>
        </w:rPr>
      </w:pPr>
      <w:r>
        <w:rPr>
          <w:bCs/>
        </w:rPr>
        <w:t>[1</w:t>
      </w:r>
      <w:r w:rsidR="00410237">
        <w:rPr>
          <w:bCs/>
        </w:rPr>
        <w:t>5</w:t>
      </w:r>
      <w:r>
        <w:rPr>
          <w:bCs/>
        </w:rPr>
        <w:t>]</w:t>
      </w:r>
      <w:r>
        <w:rPr>
          <w:bCs/>
        </w:rPr>
        <w:tab/>
      </w:r>
      <w:r w:rsidR="00E304A7">
        <w:rPr>
          <w:bCs/>
        </w:rPr>
        <w:t xml:space="preserve">In addition, the Plaintiff denied that the content of the founding affidavit falls within the personal knowledge of the deponent as </w:t>
      </w:r>
      <w:r w:rsidR="002E6CE2">
        <w:rPr>
          <w:bCs/>
        </w:rPr>
        <w:t>she</w:t>
      </w:r>
      <w:r w:rsidR="00E304A7">
        <w:rPr>
          <w:bCs/>
        </w:rPr>
        <w:t xml:space="preserve"> was not involved in any of the projects or events and there is no confirmatory affidavit by anyone in the Department who has first-hand knowledge of the emergency works done, or the projects involved or any of the events that led to the Plaintiff’s claim.  As a </w:t>
      </w:r>
      <w:proofErr w:type="gramStart"/>
      <w:r w:rsidR="00E304A7">
        <w:rPr>
          <w:bCs/>
        </w:rPr>
        <w:t>result</w:t>
      </w:r>
      <w:proofErr w:type="gramEnd"/>
      <w:r w:rsidR="00E304A7">
        <w:rPr>
          <w:bCs/>
        </w:rPr>
        <w:t xml:space="preserve"> thereof, the Plaintiff denied that the entire content of the founding affidavit is true and correct.</w:t>
      </w:r>
    </w:p>
    <w:p w14:paraId="00B173B6" w14:textId="77777777" w:rsidR="00E304A7" w:rsidRDefault="00E304A7" w:rsidP="00E4053F">
      <w:pPr>
        <w:tabs>
          <w:tab w:val="left" w:pos="709"/>
        </w:tabs>
        <w:spacing w:after="0" w:line="360" w:lineRule="auto"/>
        <w:ind w:left="709" w:hanging="709"/>
        <w:jc w:val="both"/>
        <w:rPr>
          <w:bCs/>
        </w:rPr>
      </w:pPr>
    </w:p>
    <w:p w14:paraId="7BCBE9FE" w14:textId="13CD2374" w:rsidR="00E304A7" w:rsidRDefault="00E304A7" w:rsidP="00E4053F">
      <w:pPr>
        <w:tabs>
          <w:tab w:val="left" w:pos="709"/>
        </w:tabs>
        <w:spacing w:after="0" w:line="360" w:lineRule="auto"/>
        <w:ind w:left="709" w:hanging="709"/>
        <w:jc w:val="both"/>
        <w:rPr>
          <w:bCs/>
        </w:rPr>
      </w:pPr>
      <w:r>
        <w:rPr>
          <w:bCs/>
        </w:rPr>
        <w:t>[1</w:t>
      </w:r>
      <w:r w:rsidR="00410237">
        <w:rPr>
          <w:bCs/>
        </w:rPr>
        <w:t>6</w:t>
      </w:r>
      <w:r>
        <w:rPr>
          <w:bCs/>
        </w:rPr>
        <w:t>]</w:t>
      </w:r>
      <w:r>
        <w:rPr>
          <w:bCs/>
        </w:rPr>
        <w:tab/>
        <w:t>The Plaintiff further submitted that the fact that the deponent to the founding affidavit is the Director of Legal Services of the Department, illustrates clearly that sh</w:t>
      </w:r>
      <w:r w:rsidR="00165A99">
        <w:rPr>
          <w:bCs/>
        </w:rPr>
        <w:t>e</w:t>
      </w:r>
      <w:r>
        <w:rPr>
          <w:bCs/>
        </w:rPr>
        <w:t xml:space="preserve"> was never involved in the appointment of the Plaintiff to perform the emergency works and what it entailed.</w:t>
      </w:r>
    </w:p>
    <w:p w14:paraId="26DA331B" w14:textId="77777777" w:rsidR="00E304A7" w:rsidRDefault="00E304A7" w:rsidP="00E4053F">
      <w:pPr>
        <w:tabs>
          <w:tab w:val="left" w:pos="709"/>
        </w:tabs>
        <w:spacing w:after="0" w:line="360" w:lineRule="auto"/>
        <w:ind w:left="709" w:hanging="709"/>
        <w:jc w:val="both"/>
        <w:rPr>
          <w:bCs/>
        </w:rPr>
      </w:pPr>
    </w:p>
    <w:p w14:paraId="5E57EE9A" w14:textId="336BAF6E" w:rsidR="00746BF8" w:rsidRDefault="00746BF8" w:rsidP="00E4053F">
      <w:pPr>
        <w:tabs>
          <w:tab w:val="left" w:pos="709"/>
        </w:tabs>
        <w:spacing w:after="0" w:line="360" w:lineRule="auto"/>
        <w:ind w:left="709" w:hanging="709"/>
        <w:jc w:val="both"/>
        <w:rPr>
          <w:bCs/>
          <w:i/>
          <w:iCs/>
        </w:rPr>
      </w:pPr>
      <w:r>
        <w:rPr>
          <w:bCs/>
        </w:rPr>
        <w:t>[1</w:t>
      </w:r>
      <w:r w:rsidR="00410237">
        <w:rPr>
          <w:bCs/>
        </w:rPr>
        <w:t>7</w:t>
      </w:r>
      <w:r>
        <w:rPr>
          <w:bCs/>
        </w:rPr>
        <w:t>]</w:t>
      </w:r>
      <w:r>
        <w:rPr>
          <w:bCs/>
        </w:rPr>
        <w:tab/>
        <w:t xml:space="preserve">Further, it was contested by the Plaintiff, that the deponent to the founding affidavit was never involved in the subsequent written agreement </w:t>
      </w:r>
      <w:r w:rsidR="00B63FC5">
        <w:rPr>
          <w:bCs/>
        </w:rPr>
        <w:t>entered</w:t>
      </w:r>
      <w:r>
        <w:rPr>
          <w:bCs/>
        </w:rPr>
        <w:t xml:space="preserve"> between the parties or with the emergency services rendered by the Plaintiff to the Defendant on any of the projects claimed </w:t>
      </w:r>
      <w:r>
        <w:rPr>
          <w:bCs/>
        </w:rPr>
        <w:lastRenderedPageBreak/>
        <w:t>for in the particulars of claim.  It was asserted th</w:t>
      </w:r>
      <w:r w:rsidR="00410237">
        <w:rPr>
          <w:bCs/>
        </w:rPr>
        <w:t>at</w:t>
      </w:r>
      <w:r>
        <w:rPr>
          <w:bCs/>
        </w:rPr>
        <w:t xml:space="preserve"> “</w:t>
      </w:r>
      <w:r>
        <w:rPr>
          <w:bCs/>
          <w:i/>
          <w:iCs/>
        </w:rPr>
        <w:t>She simply know</w:t>
      </w:r>
      <w:r w:rsidR="00410237">
        <w:rPr>
          <w:bCs/>
          <w:i/>
          <w:iCs/>
        </w:rPr>
        <w:t>s</w:t>
      </w:r>
      <w:r>
        <w:rPr>
          <w:bCs/>
          <w:i/>
          <w:iCs/>
        </w:rPr>
        <w:t xml:space="preserve"> nothing about the matter”.</w:t>
      </w:r>
    </w:p>
    <w:p w14:paraId="5F3F43FF" w14:textId="77777777" w:rsidR="00746BF8" w:rsidRDefault="00746BF8" w:rsidP="00E4053F">
      <w:pPr>
        <w:tabs>
          <w:tab w:val="left" w:pos="709"/>
        </w:tabs>
        <w:spacing w:after="0" w:line="360" w:lineRule="auto"/>
        <w:ind w:left="709" w:hanging="709"/>
        <w:jc w:val="both"/>
        <w:rPr>
          <w:bCs/>
          <w:i/>
          <w:iCs/>
        </w:rPr>
      </w:pPr>
    </w:p>
    <w:p w14:paraId="6B15E133" w14:textId="07D344FC" w:rsidR="00165A99" w:rsidRDefault="00746BF8" w:rsidP="00E4053F">
      <w:pPr>
        <w:tabs>
          <w:tab w:val="left" w:pos="709"/>
        </w:tabs>
        <w:spacing w:after="0" w:line="360" w:lineRule="auto"/>
        <w:ind w:left="709" w:hanging="709"/>
        <w:jc w:val="both"/>
        <w:rPr>
          <w:bCs/>
        </w:rPr>
      </w:pPr>
      <w:r>
        <w:rPr>
          <w:bCs/>
        </w:rPr>
        <w:t>[1</w:t>
      </w:r>
      <w:r w:rsidR="00410237">
        <w:rPr>
          <w:bCs/>
        </w:rPr>
        <w:t>8</w:t>
      </w:r>
      <w:r>
        <w:rPr>
          <w:bCs/>
        </w:rPr>
        <w:t>]</w:t>
      </w:r>
      <w:r>
        <w:rPr>
          <w:bCs/>
        </w:rPr>
        <w:tab/>
      </w:r>
      <w:r w:rsidR="00470887">
        <w:rPr>
          <w:bCs/>
        </w:rPr>
        <w:t xml:space="preserve">The Plaintiff </w:t>
      </w:r>
      <w:r>
        <w:rPr>
          <w:bCs/>
        </w:rPr>
        <w:t>denied that the deponent to the founding affidavit has any personal knowledge of any of the emergency services rendered or the work done, or the nature of the claims for the works and services rendered by the Plaintiff</w:t>
      </w:r>
      <w:r w:rsidR="00165A99">
        <w:rPr>
          <w:bCs/>
        </w:rPr>
        <w:t>.  It was asserted that the deponent to the founding affidavit relies on unsubstantiated hearsay allegations.</w:t>
      </w:r>
    </w:p>
    <w:p w14:paraId="18FDFAB4" w14:textId="77777777" w:rsidR="00165A99" w:rsidRDefault="00165A99" w:rsidP="00E4053F">
      <w:pPr>
        <w:tabs>
          <w:tab w:val="left" w:pos="709"/>
        </w:tabs>
        <w:spacing w:after="0" w:line="360" w:lineRule="auto"/>
        <w:ind w:left="709" w:hanging="709"/>
        <w:jc w:val="both"/>
        <w:rPr>
          <w:bCs/>
        </w:rPr>
      </w:pPr>
    </w:p>
    <w:p w14:paraId="40B5D421" w14:textId="68E10041" w:rsidR="00FD447E" w:rsidRDefault="00165A99" w:rsidP="00E4053F">
      <w:pPr>
        <w:tabs>
          <w:tab w:val="left" w:pos="709"/>
        </w:tabs>
        <w:spacing w:after="0" w:line="360" w:lineRule="auto"/>
        <w:ind w:left="709" w:hanging="709"/>
        <w:jc w:val="both"/>
        <w:rPr>
          <w:bCs/>
        </w:rPr>
      </w:pPr>
      <w:r>
        <w:rPr>
          <w:bCs/>
        </w:rPr>
        <w:t>[1</w:t>
      </w:r>
      <w:r w:rsidR="00410237">
        <w:rPr>
          <w:bCs/>
        </w:rPr>
        <w:t>9</w:t>
      </w:r>
      <w:r>
        <w:rPr>
          <w:bCs/>
        </w:rPr>
        <w:t>]</w:t>
      </w:r>
      <w:r>
        <w:rPr>
          <w:bCs/>
        </w:rPr>
        <w:tab/>
        <w:t>In addition, the Plaintiff submitted that the fact that the deponent to the founding affidavit aver</w:t>
      </w:r>
      <w:r w:rsidR="00E9259F">
        <w:rPr>
          <w:bCs/>
        </w:rPr>
        <w:t>r</w:t>
      </w:r>
      <w:r w:rsidR="00321FCA">
        <w:rPr>
          <w:bCs/>
        </w:rPr>
        <w:t>ed</w:t>
      </w:r>
      <w:r>
        <w:rPr>
          <w:bCs/>
        </w:rPr>
        <w:t xml:space="preserve"> that she is responsible </w:t>
      </w:r>
      <w:r w:rsidR="00FC5094">
        <w:rPr>
          <w:bCs/>
        </w:rPr>
        <w:t>for</w:t>
      </w:r>
      <w:r w:rsidR="00E9259F">
        <w:rPr>
          <w:bCs/>
        </w:rPr>
        <w:t xml:space="preserve"> legal matters and </w:t>
      </w:r>
      <w:r w:rsidR="00FC5094">
        <w:rPr>
          <w:bCs/>
        </w:rPr>
        <w:t xml:space="preserve"> “</w:t>
      </w:r>
      <w:r w:rsidR="00E9259F">
        <w:rPr>
          <w:bCs/>
          <w:i/>
          <w:iCs/>
        </w:rPr>
        <w:t>therefore conversant with the facts thereof</w:t>
      </w:r>
      <w:r w:rsidR="00FC5094">
        <w:rPr>
          <w:bCs/>
          <w:i/>
          <w:iCs/>
        </w:rPr>
        <w:t xml:space="preserve">”, </w:t>
      </w:r>
      <w:r w:rsidR="00FC5094">
        <w:rPr>
          <w:bCs/>
        </w:rPr>
        <w:t>is non-sensical and does not indicate that the deponent to the founding affidavit has any personal knowledge of the merits of the claim instituted by the Plaintiff against the Defendant, nor can she aver</w:t>
      </w:r>
      <w:r w:rsidR="00410237">
        <w:rPr>
          <w:bCs/>
        </w:rPr>
        <w:t>s</w:t>
      </w:r>
      <w:r w:rsidR="00FC5094">
        <w:rPr>
          <w:bCs/>
        </w:rPr>
        <w:t xml:space="preserve"> that the claim is indeed honestly and </w:t>
      </w:r>
      <w:r w:rsidR="00FC5094">
        <w:rPr>
          <w:bCs/>
          <w:i/>
          <w:iCs/>
        </w:rPr>
        <w:t>bona fide</w:t>
      </w:r>
      <w:r w:rsidR="00FC5094">
        <w:rPr>
          <w:bCs/>
        </w:rPr>
        <w:t xml:space="preserve"> defendable by the Defendant, as she simply does not have any direct knowledge.</w:t>
      </w:r>
    </w:p>
    <w:p w14:paraId="5C72B166" w14:textId="77777777" w:rsidR="00FC5094" w:rsidRDefault="00FC5094" w:rsidP="00E4053F">
      <w:pPr>
        <w:tabs>
          <w:tab w:val="left" w:pos="709"/>
        </w:tabs>
        <w:spacing w:after="0" w:line="360" w:lineRule="auto"/>
        <w:ind w:left="709" w:hanging="709"/>
        <w:jc w:val="both"/>
        <w:rPr>
          <w:bCs/>
        </w:rPr>
      </w:pPr>
    </w:p>
    <w:p w14:paraId="77214856" w14:textId="4C0BD4E2" w:rsidR="00FC5094" w:rsidRDefault="00FC5094" w:rsidP="00E4053F">
      <w:pPr>
        <w:tabs>
          <w:tab w:val="left" w:pos="709"/>
        </w:tabs>
        <w:spacing w:after="0" w:line="360" w:lineRule="auto"/>
        <w:ind w:left="709" w:hanging="709"/>
        <w:jc w:val="both"/>
        <w:rPr>
          <w:bCs/>
        </w:rPr>
      </w:pPr>
      <w:r>
        <w:rPr>
          <w:bCs/>
        </w:rPr>
        <w:t>[</w:t>
      </w:r>
      <w:r w:rsidR="00410237">
        <w:rPr>
          <w:bCs/>
        </w:rPr>
        <w:t>20</w:t>
      </w:r>
      <w:r>
        <w:rPr>
          <w:bCs/>
        </w:rPr>
        <w:t>]</w:t>
      </w:r>
      <w:r>
        <w:rPr>
          <w:bCs/>
        </w:rPr>
        <w:tab/>
        <w:t>It was further submitted by the Plaintiff that the Defendant has failed to identify  the so-called “</w:t>
      </w:r>
      <w:r>
        <w:rPr>
          <w:bCs/>
          <w:i/>
          <w:iCs/>
        </w:rPr>
        <w:t>technical team members of the Department</w:t>
      </w:r>
      <w:r>
        <w:rPr>
          <w:bCs/>
        </w:rPr>
        <w:t>”</w:t>
      </w:r>
      <w:r w:rsidR="00796B8B">
        <w:rPr>
          <w:bCs/>
        </w:rPr>
        <w:t xml:space="preserve"> (para 11.1 of founding affidavit)</w:t>
      </w:r>
      <w:r>
        <w:rPr>
          <w:bCs/>
        </w:rPr>
        <w:t xml:space="preserve"> who allegedly, very belatedly, all of a sudden visited the sites of the projects to verify the work done by the Plaintiff and further that there are no confirmatory affidavits annexed to the founding affidavit from anyone who allegedly visited the sites or allegedly verified the work done by the Plaintiff.  It was submitted that these allegations are vague and sketchy and that it </w:t>
      </w:r>
      <w:r w:rsidR="00B63FC5">
        <w:rPr>
          <w:bCs/>
        </w:rPr>
        <w:t>does</w:t>
      </w:r>
      <w:r>
        <w:rPr>
          <w:bCs/>
        </w:rPr>
        <w:t xml:space="preserve"> not assist the Defendant in its application to uplift the bar</w:t>
      </w:r>
      <w:r w:rsidR="009C34DA">
        <w:rPr>
          <w:bCs/>
        </w:rPr>
        <w:t>.  However, it is indicative of the Defendant’s delaying tactics.</w:t>
      </w:r>
    </w:p>
    <w:p w14:paraId="2C82CE52" w14:textId="77777777" w:rsidR="009C34DA" w:rsidRDefault="009C34DA" w:rsidP="00E4053F">
      <w:pPr>
        <w:tabs>
          <w:tab w:val="left" w:pos="709"/>
        </w:tabs>
        <w:spacing w:after="0" w:line="360" w:lineRule="auto"/>
        <w:ind w:left="709" w:hanging="709"/>
        <w:jc w:val="both"/>
        <w:rPr>
          <w:bCs/>
        </w:rPr>
      </w:pPr>
    </w:p>
    <w:p w14:paraId="60E43977" w14:textId="38DEEF88" w:rsidR="009C34DA" w:rsidRDefault="009C34DA" w:rsidP="00E4053F">
      <w:pPr>
        <w:tabs>
          <w:tab w:val="left" w:pos="709"/>
        </w:tabs>
        <w:spacing w:after="0" w:line="360" w:lineRule="auto"/>
        <w:ind w:left="709" w:hanging="709"/>
        <w:jc w:val="both"/>
        <w:rPr>
          <w:bCs/>
        </w:rPr>
      </w:pPr>
      <w:r>
        <w:rPr>
          <w:bCs/>
        </w:rPr>
        <w:t>[</w:t>
      </w:r>
      <w:r w:rsidR="00840911">
        <w:rPr>
          <w:bCs/>
        </w:rPr>
        <w:t>2</w:t>
      </w:r>
      <w:r w:rsidR="00410237">
        <w:rPr>
          <w:bCs/>
        </w:rPr>
        <w:t>1</w:t>
      </w:r>
      <w:r>
        <w:rPr>
          <w:bCs/>
        </w:rPr>
        <w:t>]</w:t>
      </w:r>
      <w:r>
        <w:rPr>
          <w:bCs/>
        </w:rPr>
        <w:tab/>
      </w:r>
      <w:r w:rsidR="00796B8B">
        <w:rPr>
          <w:bCs/>
        </w:rPr>
        <w:t xml:space="preserve">The Plaintiff further submitted that </w:t>
      </w:r>
      <w:r w:rsidR="00B63FC5">
        <w:rPr>
          <w:bCs/>
        </w:rPr>
        <w:t>the</w:t>
      </w:r>
      <w:r w:rsidR="00796B8B">
        <w:rPr>
          <w:bCs/>
        </w:rPr>
        <w:t xml:space="preserve"> deponent to the founding affidavit does not have personal knowledge of the facts of the matter when she averred in the founding affidavit (para 11.2) that the work was not done in accordance with the </w:t>
      </w:r>
      <w:r w:rsidR="009B49FE">
        <w:rPr>
          <w:bCs/>
        </w:rPr>
        <w:t xml:space="preserve">work </w:t>
      </w:r>
      <w:r w:rsidR="00796B8B">
        <w:rPr>
          <w:bCs/>
        </w:rPr>
        <w:t>requirements as contained in the Service Level Agreement (“the SLA</w:t>
      </w:r>
      <w:r w:rsidR="002E6CE2">
        <w:rPr>
          <w:bCs/>
        </w:rPr>
        <w:t xml:space="preserve"> or the agreement</w:t>
      </w:r>
      <w:r w:rsidR="00796B8B">
        <w:rPr>
          <w:bCs/>
        </w:rPr>
        <w:t xml:space="preserve">”).  It is asserted by the Plaintiff that the work was done in terms of the letter of appointment and the instructions received by the Project Manager, as set out in the particulars of claim, </w:t>
      </w:r>
      <w:r w:rsidR="00B63FC5">
        <w:rPr>
          <w:bCs/>
        </w:rPr>
        <w:t>since</w:t>
      </w:r>
      <w:r w:rsidR="00796B8B">
        <w:rPr>
          <w:bCs/>
        </w:rPr>
        <w:t xml:space="preserve"> the works were emergency works, to be performed prior</w:t>
      </w:r>
      <w:r w:rsidR="009B49FE">
        <w:rPr>
          <w:bCs/>
        </w:rPr>
        <w:t xml:space="preserve"> to the parties </w:t>
      </w:r>
      <w:proofErr w:type="gramStart"/>
      <w:r w:rsidR="009B49FE">
        <w:rPr>
          <w:bCs/>
        </w:rPr>
        <w:t>entering into</w:t>
      </w:r>
      <w:proofErr w:type="gramEnd"/>
      <w:r w:rsidR="009B49FE">
        <w:rPr>
          <w:bCs/>
        </w:rPr>
        <w:t xml:space="preserve"> the SLA.  As proof of the fact that the Plaintiff was required to start the emergency works prior to the signing of the SLA, the Plaintiff referred the Court to a copy of the minutes of a meeting held on 7 June 2021 between the respective parties (annexure “AA1” to answering affidavit).</w:t>
      </w:r>
      <w:r w:rsidR="00796B8B">
        <w:rPr>
          <w:bCs/>
        </w:rPr>
        <w:t xml:space="preserve"> </w:t>
      </w:r>
    </w:p>
    <w:p w14:paraId="490E0344" w14:textId="77777777" w:rsidR="009B49FE" w:rsidRDefault="009B49FE" w:rsidP="00E4053F">
      <w:pPr>
        <w:tabs>
          <w:tab w:val="left" w:pos="709"/>
        </w:tabs>
        <w:spacing w:after="0" w:line="360" w:lineRule="auto"/>
        <w:ind w:left="709" w:hanging="709"/>
        <w:jc w:val="both"/>
        <w:rPr>
          <w:bCs/>
        </w:rPr>
      </w:pPr>
    </w:p>
    <w:p w14:paraId="165B0B02" w14:textId="537AFCF5" w:rsidR="00711A81" w:rsidRPr="00711A81" w:rsidRDefault="009B49FE" w:rsidP="00257A01">
      <w:pPr>
        <w:tabs>
          <w:tab w:val="left" w:pos="709"/>
        </w:tabs>
        <w:spacing w:after="0" w:line="360" w:lineRule="auto"/>
        <w:ind w:left="709" w:hanging="709"/>
        <w:jc w:val="both"/>
        <w:rPr>
          <w:b/>
          <w:bCs/>
        </w:rPr>
      </w:pPr>
      <w:r>
        <w:rPr>
          <w:bCs/>
        </w:rPr>
        <w:t>[2</w:t>
      </w:r>
      <w:r w:rsidR="00410237">
        <w:rPr>
          <w:bCs/>
        </w:rPr>
        <w:t>2</w:t>
      </w:r>
      <w:r>
        <w:rPr>
          <w:bCs/>
        </w:rPr>
        <w:t>]</w:t>
      </w:r>
      <w:r>
        <w:rPr>
          <w:bCs/>
        </w:rPr>
        <w:tab/>
      </w:r>
      <w:r w:rsidR="00157283">
        <w:rPr>
          <w:bCs/>
        </w:rPr>
        <w:t>T</w:t>
      </w:r>
      <w:r w:rsidR="005B0FD7">
        <w:rPr>
          <w:bCs/>
        </w:rPr>
        <w:t xml:space="preserve">he Plaintiff </w:t>
      </w:r>
      <w:r w:rsidR="00157283">
        <w:rPr>
          <w:bCs/>
        </w:rPr>
        <w:t xml:space="preserve">submitted that the allegations of the deponent in the founding affidavit, regarding why the Defendant was unaware of the notice of bar, are vague and unsubstantiated.  For instance, mentioning the State Attorney’s email server being down during the period the notice was sent lacks specifics, such as the exact timeframe of the server issue.  These assertions, without substantiating facts, do not fall within the deponent’s personal knowledge.  Additionally, there is no </w:t>
      </w:r>
      <w:r w:rsidR="00257A01">
        <w:rPr>
          <w:bCs/>
        </w:rPr>
        <w:t>confirmatory affidavit</w:t>
      </w:r>
      <w:r w:rsidR="00410237">
        <w:rPr>
          <w:bCs/>
        </w:rPr>
        <w:t xml:space="preserve"> of</w:t>
      </w:r>
      <w:r w:rsidR="00257A01">
        <w:rPr>
          <w:bCs/>
        </w:rPr>
        <w:t xml:space="preserve"> an IT official confirming the server outage, its cause or duration.  Moreover, the Defendant failed to provide the alleged transmission report to support the claim of non-delivery confirmation from the destination server.</w:t>
      </w:r>
    </w:p>
    <w:p w14:paraId="2C506F1F" w14:textId="77777777" w:rsidR="00FA5B3A" w:rsidRDefault="00FA5B3A" w:rsidP="00E4053F">
      <w:pPr>
        <w:tabs>
          <w:tab w:val="left" w:pos="709"/>
        </w:tabs>
        <w:spacing w:after="0" w:line="360" w:lineRule="auto"/>
        <w:ind w:left="709" w:hanging="709"/>
        <w:jc w:val="both"/>
        <w:rPr>
          <w:bCs/>
        </w:rPr>
      </w:pPr>
    </w:p>
    <w:p w14:paraId="052C9A78" w14:textId="3051FDEB" w:rsidR="00FA5B3A" w:rsidRDefault="00FA5B3A" w:rsidP="00E4053F">
      <w:pPr>
        <w:tabs>
          <w:tab w:val="left" w:pos="709"/>
        </w:tabs>
        <w:spacing w:after="0" w:line="360" w:lineRule="auto"/>
        <w:ind w:left="709" w:hanging="709"/>
        <w:jc w:val="both"/>
        <w:rPr>
          <w:bCs/>
        </w:rPr>
      </w:pPr>
      <w:r>
        <w:rPr>
          <w:bCs/>
        </w:rPr>
        <w:t>[2</w:t>
      </w:r>
      <w:r w:rsidR="00A746FA">
        <w:rPr>
          <w:bCs/>
        </w:rPr>
        <w:t>3</w:t>
      </w:r>
      <w:r>
        <w:rPr>
          <w:bCs/>
        </w:rPr>
        <w:t>]</w:t>
      </w:r>
      <w:r>
        <w:rPr>
          <w:bCs/>
        </w:rPr>
        <w:tab/>
      </w:r>
      <w:r w:rsidR="002D252F">
        <w:rPr>
          <w:bCs/>
        </w:rPr>
        <w:t>The Plaintiff submitted that the deponent to the founding affidavit simply quantum leaps to the conclusion that there is no prejudice of a substantial nature to be suffered by the Plaintiff, without any factual support of such a conclusion or that the Plaintiff will not suffer any prejudice if the bar is uplifted.  It was submitted by the Plaintiff that it has already incurred major financial expenses when it duly rendered the emergency services during the period May</w:t>
      </w:r>
      <w:r w:rsidR="00A746FA">
        <w:rPr>
          <w:bCs/>
        </w:rPr>
        <w:t>/June</w:t>
      </w:r>
      <w:r w:rsidR="002D252F">
        <w:rPr>
          <w:bCs/>
        </w:rPr>
        <w:t xml:space="preserve"> 2021 to September 2021.  The Plaintiff further denied that</w:t>
      </w:r>
      <w:r w:rsidR="00711A81">
        <w:rPr>
          <w:bCs/>
        </w:rPr>
        <w:t xml:space="preserve"> the</w:t>
      </w:r>
      <w:r w:rsidR="002D252F">
        <w:rPr>
          <w:bCs/>
        </w:rPr>
        <w:t xml:space="preserve"> Defendant’s proposed plea established any and/or </w:t>
      </w:r>
      <w:r w:rsidR="002D252F">
        <w:rPr>
          <w:bCs/>
          <w:i/>
          <w:iCs/>
        </w:rPr>
        <w:t xml:space="preserve">bona fide </w:t>
      </w:r>
      <w:r w:rsidR="002D252F">
        <w:rPr>
          <w:bCs/>
        </w:rPr>
        <w:t>prospects of success as these allegations are unsubstantiated.</w:t>
      </w:r>
    </w:p>
    <w:p w14:paraId="071F747D" w14:textId="77777777" w:rsidR="007C5DEB" w:rsidRDefault="007C5DEB" w:rsidP="00E4053F">
      <w:pPr>
        <w:tabs>
          <w:tab w:val="left" w:pos="709"/>
        </w:tabs>
        <w:spacing w:after="0" w:line="360" w:lineRule="auto"/>
        <w:ind w:left="709" w:hanging="709"/>
        <w:jc w:val="both"/>
        <w:rPr>
          <w:bCs/>
        </w:rPr>
      </w:pPr>
    </w:p>
    <w:p w14:paraId="7F34FE40" w14:textId="59FA529F" w:rsidR="007C5DEB" w:rsidRDefault="007C5DEB" w:rsidP="00E4053F">
      <w:pPr>
        <w:tabs>
          <w:tab w:val="left" w:pos="709"/>
        </w:tabs>
        <w:spacing w:after="0" w:line="360" w:lineRule="auto"/>
        <w:ind w:left="709" w:hanging="709"/>
        <w:jc w:val="both"/>
        <w:rPr>
          <w:bCs/>
        </w:rPr>
      </w:pPr>
      <w:r>
        <w:rPr>
          <w:bCs/>
        </w:rPr>
        <w:t>[2</w:t>
      </w:r>
      <w:r w:rsidR="00A746FA">
        <w:rPr>
          <w:bCs/>
        </w:rPr>
        <w:t>4</w:t>
      </w:r>
      <w:r>
        <w:rPr>
          <w:bCs/>
        </w:rPr>
        <w:t>]</w:t>
      </w:r>
      <w:r>
        <w:rPr>
          <w:bCs/>
        </w:rPr>
        <w:tab/>
        <w:t xml:space="preserve">It was further submitted </w:t>
      </w:r>
      <w:r w:rsidR="00EC53F2">
        <w:rPr>
          <w:bCs/>
        </w:rPr>
        <w:t xml:space="preserve">by the Plaintiff </w:t>
      </w:r>
      <w:r>
        <w:rPr>
          <w:bCs/>
        </w:rPr>
        <w:t>that the deponent to the founding affidavit does not understand or have personal knowledge of the nature of this project.</w:t>
      </w:r>
    </w:p>
    <w:p w14:paraId="3DED8098" w14:textId="77777777" w:rsidR="007C5DEB" w:rsidRDefault="007C5DEB" w:rsidP="00E4053F">
      <w:pPr>
        <w:tabs>
          <w:tab w:val="left" w:pos="709"/>
        </w:tabs>
        <w:spacing w:after="0" w:line="360" w:lineRule="auto"/>
        <w:ind w:left="709" w:hanging="709"/>
        <w:jc w:val="both"/>
        <w:rPr>
          <w:bCs/>
        </w:rPr>
      </w:pPr>
    </w:p>
    <w:p w14:paraId="392A9F40" w14:textId="2EB28907" w:rsidR="007C5DEB" w:rsidRDefault="007C5DEB" w:rsidP="00E4053F">
      <w:pPr>
        <w:tabs>
          <w:tab w:val="left" w:pos="709"/>
        </w:tabs>
        <w:spacing w:after="0" w:line="360" w:lineRule="auto"/>
        <w:ind w:left="709" w:hanging="709"/>
        <w:jc w:val="both"/>
        <w:rPr>
          <w:bCs/>
        </w:rPr>
      </w:pPr>
      <w:r>
        <w:rPr>
          <w:bCs/>
        </w:rPr>
        <w:t>[2</w:t>
      </w:r>
      <w:r w:rsidR="00A746FA">
        <w:rPr>
          <w:bCs/>
        </w:rPr>
        <w:t>5</w:t>
      </w:r>
      <w:r>
        <w:rPr>
          <w:bCs/>
        </w:rPr>
        <w:t>]</w:t>
      </w:r>
      <w:r>
        <w:rPr>
          <w:bCs/>
        </w:rPr>
        <w:tab/>
      </w:r>
      <w:r w:rsidR="004848CB">
        <w:rPr>
          <w:bCs/>
        </w:rPr>
        <w:t xml:space="preserve">The Plaintiff further submitted that the relief sought by the Defendant is based on hearsay evidence in its entirety, which is </w:t>
      </w:r>
      <w:r w:rsidR="00B63FC5">
        <w:rPr>
          <w:bCs/>
        </w:rPr>
        <w:t>inadmissible,</w:t>
      </w:r>
      <w:r w:rsidR="004848CB">
        <w:rPr>
          <w:bCs/>
        </w:rPr>
        <w:t xml:space="preserve"> and the relief sought should not be granted.</w:t>
      </w:r>
    </w:p>
    <w:p w14:paraId="305DD9AC" w14:textId="77777777" w:rsidR="004848CB" w:rsidRDefault="004848CB" w:rsidP="00E4053F">
      <w:pPr>
        <w:tabs>
          <w:tab w:val="left" w:pos="709"/>
        </w:tabs>
        <w:spacing w:after="0" w:line="360" w:lineRule="auto"/>
        <w:ind w:left="709" w:hanging="709"/>
        <w:jc w:val="both"/>
        <w:rPr>
          <w:bCs/>
        </w:rPr>
      </w:pPr>
    </w:p>
    <w:p w14:paraId="5E60FBD7" w14:textId="778BA399" w:rsidR="004848CB" w:rsidRDefault="004848CB" w:rsidP="00E4053F">
      <w:pPr>
        <w:tabs>
          <w:tab w:val="left" w:pos="709"/>
        </w:tabs>
        <w:spacing w:after="0" w:line="360" w:lineRule="auto"/>
        <w:ind w:left="709" w:hanging="709"/>
        <w:jc w:val="both"/>
        <w:rPr>
          <w:bCs/>
        </w:rPr>
      </w:pPr>
      <w:r>
        <w:rPr>
          <w:bCs/>
        </w:rPr>
        <w:t>[2</w:t>
      </w:r>
      <w:r w:rsidR="00A746FA">
        <w:rPr>
          <w:bCs/>
        </w:rPr>
        <w:t>6</w:t>
      </w:r>
      <w:r>
        <w:rPr>
          <w:bCs/>
        </w:rPr>
        <w:t>]</w:t>
      </w:r>
      <w:r>
        <w:rPr>
          <w:bCs/>
        </w:rPr>
        <w:tab/>
        <w:t>In addition, the Plaintiff submitted that the Defendant’s inadmissible hearsay evidence should not be allowed because the Defendant has failed to demonstrate why the Court should admit it as an exception under the hearsay evidence rule.</w:t>
      </w:r>
    </w:p>
    <w:p w14:paraId="2D1D721A" w14:textId="77777777" w:rsidR="000A108C" w:rsidRDefault="000A108C" w:rsidP="00E4053F">
      <w:pPr>
        <w:tabs>
          <w:tab w:val="left" w:pos="709"/>
        </w:tabs>
        <w:spacing w:after="0" w:line="360" w:lineRule="auto"/>
        <w:ind w:left="709" w:hanging="709"/>
        <w:jc w:val="both"/>
        <w:rPr>
          <w:bCs/>
        </w:rPr>
      </w:pPr>
    </w:p>
    <w:p w14:paraId="23654BFA" w14:textId="20FB5D1C" w:rsidR="000A108C" w:rsidRDefault="000A108C" w:rsidP="00E4053F">
      <w:pPr>
        <w:tabs>
          <w:tab w:val="left" w:pos="709"/>
        </w:tabs>
        <w:spacing w:after="0" w:line="360" w:lineRule="auto"/>
        <w:ind w:left="709" w:hanging="709"/>
        <w:jc w:val="both"/>
        <w:rPr>
          <w:bCs/>
        </w:rPr>
      </w:pPr>
      <w:r>
        <w:rPr>
          <w:bCs/>
        </w:rPr>
        <w:t>[2</w:t>
      </w:r>
      <w:r w:rsidR="00A746FA">
        <w:rPr>
          <w:bCs/>
        </w:rPr>
        <w:t>7</w:t>
      </w:r>
      <w:r>
        <w:rPr>
          <w:bCs/>
        </w:rPr>
        <w:t>]</w:t>
      </w:r>
      <w:r>
        <w:rPr>
          <w:bCs/>
        </w:rPr>
        <w:tab/>
        <w:t>It was further submitted by the Plaintiff that the rationale behind the vague and sketchy allegations</w:t>
      </w:r>
      <w:r w:rsidR="00DB2F35">
        <w:rPr>
          <w:bCs/>
        </w:rPr>
        <w:t xml:space="preserve"> of the deponent</w:t>
      </w:r>
      <w:r>
        <w:rPr>
          <w:bCs/>
        </w:rPr>
        <w:t xml:space="preserve"> in the founding affidavit is the fact that the deponent thereto does not really have any knowledge of the history of the matter and the correct sequence of events.</w:t>
      </w:r>
      <w:r w:rsidR="00DB2F35">
        <w:rPr>
          <w:bCs/>
        </w:rPr>
        <w:t xml:space="preserve">  It was further submitted by the Plaintiff that the deponent’s allegation are unsubstantiated </w:t>
      </w:r>
      <w:r w:rsidR="00DB2F35">
        <w:rPr>
          <w:bCs/>
        </w:rPr>
        <w:lastRenderedPageBreak/>
        <w:t>hearsay allegations, which is not supported by any evidence.</w:t>
      </w:r>
      <w:r w:rsidR="009D5233">
        <w:rPr>
          <w:bCs/>
        </w:rPr>
        <w:t xml:space="preserve">   It was further submitted by the Plaintiff that there is no basis in fact or in law for the Defendant and/or the deponent to dispute that the emergency services were correctly, </w:t>
      </w:r>
      <w:r w:rsidR="00B63FC5">
        <w:rPr>
          <w:bCs/>
        </w:rPr>
        <w:t>timeously,</w:t>
      </w:r>
      <w:r w:rsidR="009D5233">
        <w:rPr>
          <w:bCs/>
        </w:rPr>
        <w:t xml:space="preserve"> and duly rendered in terms of the letter of appointment and the invoices rendered in respect thereof.  Further that it </w:t>
      </w:r>
      <w:r w:rsidR="00B63FC5">
        <w:rPr>
          <w:bCs/>
        </w:rPr>
        <w:t>is evident</w:t>
      </w:r>
      <w:r w:rsidR="009D5233">
        <w:rPr>
          <w:bCs/>
        </w:rPr>
        <w:t xml:space="preserve"> from the founding affidavit that the Defendant and/or the deponent do not refer to a single instance in which the Defendant disputed the Plaintiff’s invoices duly rendered, despite receiving them.</w:t>
      </w:r>
    </w:p>
    <w:p w14:paraId="4A89C4ED" w14:textId="77777777" w:rsidR="00EB629D" w:rsidRDefault="00EB629D" w:rsidP="00E4053F">
      <w:pPr>
        <w:tabs>
          <w:tab w:val="left" w:pos="709"/>
        </w:tabs>
        <w:spacing w:after="0" w:line="360" w:lineRule="auto"/>
        <w:ind w:left="709" w:hanging="709"/>
        <w:jc w:val="both"/>
        <w:rPr>
          <w:bCs/>
        </w:rPr>
      </w:pPr>
    </w:p>
    <w:p w14:paraId="237D7E32" w14:textId="7156705A" w:rsidR="00EB629D" w:rsidRDefault="00EB629D" w:rsidP="00E4053F">
      <w:pPr>
        <w:tabs>
          <w:tab w:val="left" w:pos="709"/>
        </w:tabs>
        <w:spacing w:after="0" w:line="360" w:lineRule="auto"/>
        <w:ind w:left="709" w:hanging="709"/>
        <w:jc w:val="both"/>
        <w:rPr>
          <w:bCs/>
        </w:rPr>
      </w:pPr>
      <w:r>
        <w:rPr>
          <w:bCs/>
        </w:rPr>
        <w:t>[2</w:t>
      </w:r>
      <w:r w:rsidR="00A746FA">
        <w:rPr>
          <w:bCs/>
        </w:rPr>
        <w:t>8</w:t>
      </w:r>
      <w:r>
        <w:rPr>
          <w:bCs/>
        </w:rPr>
        <w:t>]</w:t>
      </w:r>
      <w:r>
        <w:rPr>
          <w:bCs/>
        </w:rPr>
        <w:tab/>
        <w:t xml:space="preserve">In the Plaintiff’s heads of argument </w:t>
      </w:r>
      <w:r w:rsidR="00B63FC5">
        <w:rPr>
          <w:bCs/>
        </w:rPr>
        <w:t>it</w:t>
      </w:r>
      <w:r>
        <w:rPr>
          <w:bCs/>
        </w:rPr>
        <w:t xml:space="preserve"> was submitted that the deponent to the founding affidavit is the Director Legal Services employed by the Department and that this job description </w:t>
      </w:r>
      <w:r w:rsidR="00B63FC5">
        <w:rPr>
          <w:bCs/>
        </w:rPr>
        <w:t>demonstrates</w:t>
      </w:r>
      <w:r>
        <w:rPr>
          <w:bCs/>
        </w:rPr>
        <w:t xml:space="preserve"> that the deponent does not have any personal knowledge of the facts of the claim instituted by the Plaintiff.  There is no confirmatory affidavit by anybody who indeed has any knowledge or personal knowledge of the matter.</w:t>
      </w:r>
    </w:p>
    <w:p w14:paraId="0C30FD1E" w14:textId="77777777" w:rsidR="00DB2F35" w:rsidRDefault="00DB2F35" w:rsidP="00E4053F">
      <w:pPr>
        <w:tabs>
          <w:tab w:val="left" w:pos="709"/>
        </w:tabs>
        <w:spacing w:after="0" w:line="360" w:lineRule="auto"/>
        <w:ind w:left="709" w:hanging="709"/>
        <w:jc w:val="both"/>
        <w:rPr>
          <w:bCs/>
        </w:rPr>
      </w:pPr>
    </w:p>
    <w:p w14:paraId="7FA3F0EC" w14:textId="73DA2BC3" w:rsidR="00DB2F35" w:rsidRDefault="00DB2F35" w:rsidP="00E4053F">
      <w:pPr>
        <w:tabs>
          <w:tab w:val="left" w:pos="709"/>
        </w:tabs>
        <w:spacing w:after="0" w:line="360" w:lineRule="auto"/>
        <w:ind w:left="709" w:hanging="709"/>
        <w:jc w:val="both"/>
        <w:rPr>
          <w:bCs/>
        </w:rPr>
      </w:pPr>
      <w:r>
        <w:rPr>
          <w:bCs/>
        </w:rPr>
        <w:t>[2</w:t>
      </w:r>
      <w:r w:rsidR="00A746FA">
        <w:rPr>
          <w:bCs/>
        </w:rPr>
        <w:t>9</w:t>
      </w:r>
      <w:r>
        <w:rPr>
          <w:bCs/>
        </w:rPr>
        <w:t>]</w:t>
      </w:r>
      <w:r>
        <w:rPr>
          <w:bCs/>
        </w:rPr>
        <w:tab/>
      </w:r>
      <w:r w:rsidR="00F55385">
        <w:rPr>
          <w:bCs/>
        </w:rPr>
        <w:t xml:space="preserve">The Defendant denied that she does not have personal knowledge of the facts of the matter and stated in her replying affidavit that she has full knowledge of the service level agreement, the specifications and the services rendered as she worked closely with the functionaries involved.  Further, that they have continuous engagements with role players where some engagement </w:t>
      </w:r>
      <w:r w:rsidR="00B63FC5">
        <w:rPr>
          <w:bCs/>
        </w:rPr>
        <w:t>occurs</w:t>
      </w:r>
      <w:r w:rsidR="00F55385">
        <w:rPr>
          <w:bCs/>
        </w:rPr>
        <w:t xml:space="preserve"> at the sites.  </w:t>
      </w:r>
    </w:p>
    <w:p w14:paraId="58EB52CA" w14:textId="77777777" w:rsidR="00F55385" w:rsidRDefault="00F55385" w:rsidP="00E4053F">
      <w:pPr>
        <w:tabs>
          <w:tab w:val="left" w:pos="709"/>
        </w:tabs>
        <w:spacing w:after="0" w:line="360" w:lineRule="auto"/>
        <w:ind w:left="709" w:hanging="709"/>
        <w:jc w:val="both"/>
        <w:rPr>
          <w:bCs/>
        </w:rPr>
      </w:pPr>
    </w:p>
    <w:p w14:paraId="1CCC08AE" w14:textId="3ED2C1FB" w:rsidR="00F55385" w:rsidRDefault="00F55385" w:rsidP="00E4053F">
      <w:pPr>
        <w:tabs>
          <w:tab w:val="left" w:pos="709"/>
        </w:tabs>
        <w:spacing w:after="0" w:line="360" w:lineRule="auto"/>
        <w:ind w:left="709" w:hanging="709"/>
        <w:jc w:val="both"/>
        <w:rPr>
          <w:bCs/>
        </w:rPr>
      </w:pPr>
      <w:r>
        <w:rPr>
          <w:bCs/>
        </w:rPr>
        <w:t>[</w:t>
      </w:r>
      <w:r w:rsidR="00A746FA">
        <w:rPr>
          <w:bCs/>
        </w:rPr>
        <w:t>30</w:t>
      </w:r>
      <w:r>
        <w:rPr>
          <w:bCs/>
        </w:rPr>
        <w:t>]</w:t>
      </w:r>
      <w:r>
        <w:rPr>
          <w:bCs/>
        </w:rPr>
        <w:tab/>
        <w:t>It was submitted</w:t>
      </w:r>
      <w:r w:rsidR="001E67F6">
        <w:rPr>
          <w:bCs/>
        </w:rPr>
        <w:t xml:space="preserve"> by the deponent in </w:t>
      </w:r>
      <w:r>
        <w:rPr>
          <w:bCs/>
        </w:rPr>
        <w:t>the replying affidavit that the Plaintiff barely denied the correctness of the affidavit with any factual basis to support such deni</w:t>
      </w:r>
      <w:r w:rsidR="001E67F6">
        <w:rPr>
          <w:bCs/>
        </w:rPr>
        <w:t>al</w:t>
      </w:r>
      <w:r w:rsidR="00806016">
        <w:rPr>
          <w:bCs/>
        </w:rPr>
        <w:t>(s)</w:t>
      </w:r>
      <w:r w:rsidR="001E67F6">
        <w:rPr>
          <w:bCs/>
        </w:rPr>
        <w:t xml:space="preserve"> and failed to appreciate the internal workings of the Department which is all inclusive of employees playing various roles.</w:t>
      </w:r>
    </w:p>
    <w:p w14:paraId="770696D2" w14:textId="77777777" w:rsidR="001E67F6" w:rsidRDefault="001E67F6" w:rsidP="00E4053F">
      <w:pPr>
        <w:tabs>
          <w:tab w:val="left" w:pos="709"/>
        </w:tabs>
        <w:spacing w:after="0" w:line="360" w:lineRule="auto"/>
        <w:ind w:left="709" w:hanging="709"/>
        <w:jc w:val="both"/>
        <w:rPr>
          <w:bCs/>
        </w:rPr>
      </w:pPr>
    </w:p>
    <w:p w14:paraId="4DA2614C" w14:textId="5A86D20A" w:rsidR="001E67F6" w:rsidRDefault="001E67F6" w:rsidP="00E4053F">
      <w:pPr>
        <w:tabs>
          <w:tab w:val="left" w:pos="709"/>
        </w:tabs>
        <w:spacing w:after="0" w:line="360" w:lineRule="auto"/>
        <w:ind w:left="709" w:hanging="709"/>
        <w:jc w:val="both"/>
        <w:rPr>
          <w:bCs/>
        </w:rPr>
      </w:pPr>
      <w:r>
        <w:rPr>
          <w:bCs/>
        </w:rPr>
        <w:t>[</w:t>
      </w:r>
      <w:r w:rsidR="00806016">
        <w:rPr>
          <w:bCs/>
        </w:rPr>
        <w:t>3</w:t>
      </w:r>
      <w:r w:rsidR="00A746FA">
        <w:rPr>
          <w:bCs/>
        </w:rPr>
        <w:t>1</w:t>
      </w:r>
      <w:r>
        <w:rPr>
          <w:bCs/>
        </w:rPr>
        <w:t>]</w:t>
      </w:r>
      <w:r>
        <w:rPr>
          <w:bCs/>
        </w:rPr>
        <w:tab/>
        <w:t>In the replying affidavit the deponent stated that the verification of the invoices rendered involved several officials of the Defendant and that she has been part of the team working on this matter ever since the dispute on</w:t>
      </w:r>
      <w:r w:rsidR="00A746FA">
        <w:rPr>
          <w:bCs/>
        </w:rPr>
        <w:t xml:space="preserve"> the</w:t>
      </w:r>
      <w:r>
        <w:rPr>
          <w:bCs/>
        </w:rPr>
        <w:t xml:space="preserve"> invoices started.  She (deponent) stated that she worked with </w:t>
      </w:r>
      <w:r w:rsidR="00711A81">
        <w:rPr>
          <w:bCs/>
        </w:rPr>
        <w:t xml:space="preserve">the </w:t>
      </w:r>
      <w:r>
        <w:rPr>
          <w:bCs/>
        </w:rPr>
        <w:t>relevant technical officials on a regular and continuous basis.</w:t>
      </w:r>
    </w:p>
    <w:p w14:paraId="72973F4C" w14:textId="77777777" w:rsidR="001E67F6" w:rsidRDefault="001E67F6" w:rsidP="00E4053F">
      <w:pPr>
        <w:tabs>
          <w:tab w:val="left" w:pos="709"/>
        </w:tabs>
        <w:spacing w:after="0" w:line="360" w:lineRule="auto"/>
        <w:ind w:left="709" w:hanging="709"/>
        <w:jc w:val="both"/>
        <w:rPr>
          <w:bCs/>
        </w:rPr>
      </w:pPr>
    </w:p>
    <w:p w14:paraId="75368592" w14:textId="56230FD3" w:rsidR="000025CA" w:rsidRPr="000025CA" w:rsidRDefault="001E67F6" w:rsidP="000025CA">
      <w:pPr>
        <w:tabs>
          <w:tab w:val="left" w:pos="709"/>
        </w:tabs>
        <w:spacing w:after="0" w:line="360" w:lineRule="auto"/>
        <w:ind w:left="709" w:hanging="709"/>
        <w:jc w:val="both"/>
        <w:rPr>
          <w:bCs/>
        </w:rPr>
      </w:pPr>
      <w:r>
        <w:rPr>
          <w:bCs/>
        </w:rPr>
        <w:t>[3</w:t>
      </w:r>
      <w:r w:rsidR="00A746FA">
        <w:rPr>
          <w:bCs/>
        </w:rPr>
        <w:t>2</w:t>
      </w:r>
      <w:r>
        <w:rPr>
          <w:bCs/>
        </w:rPr>
        <w:t>]</w:t>
      </w:r>
      <w:r>
        <w:rPr>
          <w:bCs/>
        </w:rPr>
        <w:tab/>
        <w:t>It was submitted in the Defendant’s supplementary heads of argument that the deponent, as a Director Legal Services, was responsible for the matter, was conversant with the facts and has unlimited access to documentation relating thereto.  It was submitted that in an institution such as the Defendant, such evidence should be regarded as adequate and satisfactory.</w:t>
      </w:r>
    </w:p>
    <w:p w14:paraId="66CD91F2" w14:textId="77777777" w:rsidR="00806016" w:rsidRDefault="00806016" w:rsidP="00806016">
      <w:pPr>
        <w:tabs>
          <w:tab w:val="left" w:pos="709"/>
        </w:tabs>
        <w:spacing w:after="0" w:line="360" w:lineRule="auto"/>
        <w:ind w:left="709" w:hanging="709"/>
        <w:jc w:val="both"/>
        <w:rPr>
          <w:bCs/>
        </w:rPr>
      </w:pPr>
    </w:p>
    <w:p w14:paraId="7699DC88" w14:textId="517C571E" w:rsidR="00806016" w:rsidRDefault="00F63786" w:rsidP="00806016">
      <w:pPr>
        <w:tabs>
          <w:tab w:val="left" w:pos="709"/>
        </w:tabs>
        <w:spacing w:after="0" w:line="360" w:lineRule="auto"/>
        <w:ind w:left="709" w:hanging="709"/>
        <w:jc w:val="both"/>
        <w:rPr>
          <w:bCs/>
        </w:rPr>
      </w:pPr>
      <w:r>
        <w:rPr>
          <w:bCs/>
        </w:rPr>
        <w:t>[3</w:t>
      </w:r>
      <w:r w:rsidR="00A746FA">
        <w:rPr>
          <w:bCs/>
        </w:rPr>
        <w:t>3</w:t>
      </w:r>
      <w:r>
        <w:rPr>
          <w:bCs/>
        </w:rPr>
        <w:t>]</w:t>
      </w:r>
      <w:r>
        <w:rPr>
          <w:bCs/>
        </w:rPr>
        <w:tab/>
      </w:r>
      <w:r w:rsidR="009D5233">
        <w:rPr>
          <w:bCs/>
        </w:rPr>
        <w:t>In application proceedings, the affidavits take the place not only of the pleadings in action proceedings, but also of the essential evidence which would be led at trial.  The deponent thus “testifies” in motion proceedings.  From this it follows that generally relief may only be granted in motion proceedings if it is supported by admissible evidence in the affidavits.  Whether the deponent’s evidence is admissible depends on whether he/she has personal knowledge of the facts.   The hearsay evidence rule applies to all proceedings, including motion proceedings.  According</w:t>
      </w:r>
      <w:r w:rsidR="00565331">
        <w:rPr>
          <w:bCs/>
        </w:rPr>
        <w:t xml:space="preserve"> to section 3(4) of the Law of Evidence Amendment Act, 45 of 2988, hearsay evidence is “</w:t>
      </w:r>
      <w:r w:rsidR="00565331" w:rsidRPr="00565331">
        <w:rPr>
          <w:bCs/>
          <w:i/>
          <w:iCs/>
        </w:rPr>
        <w:t>evidence, whether oral or in writing, the probative value of which depends upon the credibility of any person other than the person giving such evidence</w:t>
      </w:r>
      <w:r w:rsidR="00565331">
        <w:rPr>
          <w:bCs/>
        </w:rPr>
        <w:t>.”</w:t>
      </w:r>
    </w:p>
    <w:p w14:paraId="1EC9A138" w14:textId="77777777" w:rsidR="00565331" w:rsidRDefault="00565331" w:rsidP="00806016">
      <w:pPr>
        <w:tabs>
          <w:tab w:val="left" w:pos="709"/>
        </w:tabs>
        <w:spacing w:after="0" w:line="360" w:lineRule="auto"/>
        <w:ind w:left="709" w:hanging="709"/>
        <w:jc w:val="both"/>
        <w:rPr>
          <w:bCs/>
        </w:rPr>
      </w:pPr>
    </w:p>
    <w:p w14:paraId="3EEF99F9" w14:textId="6B5304CA" w:rsidR="00565331" w:rsidRDefault="00565331" w:rsidP="00806016">
      <w:pPr>
        <w:tabs>
          <w:tab w:val="left" w:pos="709"/>
        </w:tabs>
        <w:spacing w:after="0" w:line="360" w:lineRule="auto"/>
        <w:ind w:left="709" w:hanging="709"/>
        <w:jc w:val="both"/>
        <w:rPr>
          <w:bCs/>
        </w:rPr>
      </w:pPr>
      <w:r>
        <w:rPr>
          <w:bCs/>
        </w:rPr>
        <w:t>[3</w:t>
      </w:r>
      <w:r w:rsidR="00A746FA">
        <w:rPr>
          <w:bCs/>
        </w:rPr>
        <w:t>4</w:t>
      </w:r>
      <w:r>
        <w:rPr>
          <w:bCs/>
        </w:rPr>
        <w:t>]</w:t>
      </w:r>
      <w:r>
        <w:rPr>
          <w:bCs/>
        </w:rPr>
        <w:tab/>
      </w:r>
      <w:r w:rsidR="00B60270">
        <w:rPr>
          <w:bCs/>
        </w:rPr>
        <w:t xml:space="preserve">In </w:t>
      </w:r>
      <w:r w:rsidR="00B60270">
        <w:rPr>
          <w:bCs/>
          <w:i/>
          <w:iCs/>
        </w:rPr>
        <w:t>Maharaj v Barclays National Bank Ltd 1976 (1) SA 418 (A) at 423D-</w:t>
      </w:r>
      <w:r w:rsidR="00B63FC5">
        <w:rPr>
          <w:bCs/>
          <w:i/>
          <w:iCs/>
        </w:rPr>
        <w:t>E the</w:t>
      </w:r>
      <w:r w:rsidR="00B60270">
        <w:rPr>
          <w:bCs/>
        </w:rPr>
        <w:t xml:space="preserve"> Court held that the mere assertion by a deponent that he/she can swear positively to the facts is not regarded as being sufficient, unless these are good grounds for believing that the deponent fully appreciated the meaning of these words.</w:t>
      </w:r>
    </w:p>
    <w:p w14:paraId="096D7856" w14:textId="77777777" w:rsidR="00B60270" w:rsidRDefault="00B60270" w:rsidP="00806016">
      <w:pPr>
        <w:tabs>
          <w:tab w:val="left" w:pos="709"/>
        </w:tabs>
        <w:spacing w:after="0" w:line="360" w:lineRule="auto"/>
        <w:ind w:left="709" w:hanging="709"/>
        <w:jc w:val="both"/>
        <w:rPr>
          <w:bCs/>
        </w:rPr>
      </w:pPr>
    </w:p>
    <w:p w14:paraId="7EF5A984" w14:textId="7259EF3F" w:rsidR="00B60270" w:rsidRDefault="00B60270" w:rsidP="00806016">
      <w:pPr>
        <w:tabs>
          <w:tab w:val="left" w:pos="709"/>
        </w:tabs>
        <w:spacing w:after="0" w:line="360" w:lineRule="auto"/>
        <w:ind w:left="709" w:hanging="709"/>
        <w:jc w:val="both"/>
        <w:rPr>
          <w:bCs/>
        </w:rPr>
      </w:pPr>
      <w:r>
        <w:rPr>
          <w:bCs/>
        </w:rPr>
        <w:t>[3</w:t>
      </w:r>
      <w:r w:rsidR="00A746FA">
        <w:rPr>
          <w:bCs/>
        </w:rPr>
        <w:t>5</w:t>
      </w:r>
      <w:r>
        <w:rPr>
          <w:bCs/>
        </w:rPr>
        <w:t>]</w:t>
      </w:r>
      <w:r>
        <w:rPr>
          <w:bCs/>
        </w:rPr>
        <w:tab/>
      </w:r>
      <w:r w:rsidR="00E432DD">
        <w:rPr>
          <w:bCs/>
        </w:rPr>
        <w:t xml:space="preserve">In </w:t>
      </w:r>
      <w:r w:rsidR="00E432DD">
        <w:rPr>
          <w:bCs/>
          <w:i/>
          <w:iCs/>
        </w:rPr>
        <w:t>President of the Republic of South Africa and Others v M&amp;G Media Ltd 2011(2) SA 1 (SCA)</w:t>
      </w:r>
      <w:r w:rsidR="00823729">
        <w:rPr>
          <w:bCs/>
          <w:i/>
          <w:iCs/>
        </w:rPr>
        <w:t xml:space="preserve"> at para 38</w:t>
      </w:r>
      <w:r w:rsidR="00823729">
        <w:rPr>
          <w:bCs/>
        </w:rPr>
        <w:t xml:space="preserve"> the Supreme Court of Appeal remarked as follows on the meaning of personal knowledge:</w:t>
      </w:r>
    </w:p>
    <w:p w14:paraId="607474D0" w14:textId="77777777" w:rsidR="00823729" w:rsidRDefault="00823729" w:rsidP="00806016">
      <w:pPr>
        <w:tabs>
          <w:tab w:val="left" w:pos="709"/>
        </w:tabs>
        <w:spacing w:after="0" w:line="360" w:lineRule="auto"/>
        <w:ind w:left="709" w:hanging="709"/>
        <w:jc w:val="both"/>
        <w:rPr>
          <w:bCs/>
        </w:rPr>
      </w:pPr>
    </w:p>
    <w:p w14:paraId="437B0B22" w14:textId="062E48F0" w:rsidR="00823729" w:rsidRDefault="00823729" w:rsidP="00806016">
      <w:pPr>
        <w:tabs>
          <w:tab w:val="left" w:pos="709"/>
        </w:tabs>
        <w:spacing w:after="0" w:line="360" w:lineRule="auto"/>
        <w:ind w:left="709" w:hanging="709"/>
        <w:jc w:val="both"/>
        <w:rPr>
          <w:bCs/>
          <w:i/>
          <w:iCs/>
        </w:rPr>
      </w:pPr>
      <w:r>
        <w:rPr>
          <w:bCs/>
        </w:rPr>
        <w:tab/>
        <w:t>“</w:t>
      </w:r>
      <w:r>
        <w:rPr>
          <w:bCs/>
          <w:i/>
          <w:iCs/>
        </w:rPr>
        <w:t xml:space="preserve">A court is not bound to accept the ipse dixit of a witness that his or her evidence is admissible...  Merely to allege that that information is within the ‘personal knowledge’ of a deponent is of little value without some indication, at least from the context, of how that knowledge was acquired, </w:t>
      </w:r>
      <w:proofErr w:type="gramStart"/>
      <w:r>
        <w:rPr>
          <w:bCs/>
          <w:i/>
          <w:iCs/>
        </w:rPr>
        <w:t>so as to</w:t>
      </w:r>
      <w:proofErr w:type="gramEnd"/>
      <w:r>
        <w:rPr>
          <w:bCs/>
          <w:i/>
          <w:iCs/>
        </w:rPr>
        <w:t xml:space="preserve"> establish that the information is admissible, and if it is hearsay, to enable </w:t>
      </w:r>
      <w:r w:rsidR="001543DE">
        <w:rPr>
          <w:bCs/>
          <w:i/>
          <w:iCs/>
        </w:rPr>
        <w:t xml:space="preserve">its </w:t>
      </w:r>
      <w:r>
        <w:rPr>
          <w:bCs/>
          <w:i/>
          <w:iCs/>
        </w:rPr>
        <w:t>weight to be evaluated.  In this case there is no indication that the facts to which</w:t>
      </w:r>
      <w:r w:rsidR="001543DE">
        <w:rPr>
          <w:bCs/>
          <w:i/>
          <w:iCs/>
        </w:rPr>
        <w:t xml:space="preserve"> Mr </w:t>
      </w:r>
      <w:proofErr w:type="spellStart"/>
      <w:r w:rsidR="001543DE">
        <w:rPr>
          <w:bCs/>
          <w:i/>
          <w:iCs/>
        </w:rPr>
        <w:t>Chikane</w:t>
      </w:r>
      <w:proofErr w:type="spellEnd"/>
      <w:r>
        <w:rPr>
          <w:bCs/>
          <w:i/>
          <w:iCs/>
        </w:rPr>
        <w:t xml:space="preserve"> </w:t>
      </w:r>
      <w:r w:rsidR="00347CBB">
        <w:rPr>
          <w:bCs/>
          <w:i/>
          <w:iCs/>
        </w:rPr>
        <w:t xml:space="preserve">  </w:t>
      </w:r>
      <w:r>
        <w:rPr>
          <w:bCs/>
          <w:i/>
          <w:iCs/>
        </w:rPr>
        <w:t xml:space="preserve">purports to attest came to his knowledge directly, and no other basis for its admission has been laid.  Indeed, the statement of Mr </w:t>
      </w:r>
      <w:proofErr w:type="spellStart"/>
      <w:r>
        <w:rPr>
          <w:bCs/>
          <w:i/>
          <w:iCs/>
        </w:rPr>
        <w:t>Chikane</w:t>
      </w:r>
      <w:proofErr w:type="spellEnd"/>
      <w:r>
        <w:rPr>
          <w:bCs/>
          <w:i/>
          <w:iCs/>
        </w:rPr>
        <w:t xml:space="preserve"> that I have referred to is not evidence at all: it is no more than bald assertion.”</w:t>
      </w:r>
    </w:p>
    <w:p w14:paraId="64AB77F5" w14:textId="77777777" w:rsidR="00823729" w:rsidRDefault="00823729" w:rsidP="00806016">
      <w:pPr>
        <w:tabs>
          <w:tab w:val="left" w:pos="709"/>
        </w:tabs>
        <w:spacing w:after="0" w:line="360" w:lineRule="auto"/>
        <w:ind w:left="709" w:hanging="709"/>
        <w:jc w:val="both"/>
        <w:rPr>
          <w:bCs/>
          <w:i/>
          <w:iCs/>
        </w:rPr>
      </w:pPr>
    </w:p>
    <w:p w14:paraId="45936667" w14:textId="7B36C862" w:rsidR="00823729" w:rsidRDefault="00823729" w:rsidP="00806016">
      <w:pPr>
        <w:tabs>
          <w:tab w:val="left" w:pos="709"/>
        </w:tabs>
        <w:spacing w:after="0" w:line="360" w:lineRule="auto"/>
        <w:ind w:left="709" w:hanging="709"/>
        <w:jc w:val="both"/>
        <w:rPr>
          <w:bCs/>
        </w:rPr>
      </w:pPr>
      <w:r>
        <w:rPr>
          <w:bCs/>
        </w:rPr>
        <w:t>[3</w:t>
      </w:r>
      <w:r w:rsidR="001543DE">
        <w:rPr>
          <w:bCs/>
        </w:rPr>
        <w:t>6</w:t>
      </w:r>
      <w:r>
        <w:rPr>
          <w:bCs/>
        </w:rPr>
        <w:t>]</w:t>
      </w:r>
      <w:r>
        <w:rPr>
          <w:bCs/>
        </w:rPr>
        <w:tab/>
      </w:r>
      <w:r w:rsidR="0011220C">
        <w:rPr>
          <w:bCs/>
        </w:rPr>
        <w:t>If the deponent to a founding affidavit lacks personal knowledge of the material facts, the integrity and veracity of the “</w:t>
      </w:r>
      <w:r w:rsidR="0011220C" w:rsidRPr="0011220C">
        <w:rPr>
          <w:bCs/>
          <w:i/>
          <w:iCs/>
        </w:rPr>
        <w:t>evidence</w:t>
      </w:r>
      <w:r w:rsidR="0011220C">
        <w:rPr>
          <w:bCs/>
        </w:rPr>
        <w:t>” placed before the Court is compromised.  In any trial, a Court should be vigilant to manage how witnesses testify, ensuring that the rules of evidence are observed scrupulously.  Similar vigilance should be displayed in motion proceedings – however, Courts must be mindful not to adopt an over-formalistic approach.</w:t>
      </w:r>
    </w:p>
    <w:p w14:paraId="3DC614C6" w14:textId="77777777" w:rsidR="0011220C" w:rsidRDefault="0011220C" w:rsidP="00806016">
      <w:pPr>
        <w:tabs>
          <w:tab w:val="left" w:pos="709"/>
        </w:tabs>
        <w:spacing w:after="0" w:line="360" w:lineRule="auto"/>
        <w:ind w:left="709" w:hanging="709"/>
        <w:jc w:val="both"/>
        <w:rPr>
          <w:bCs/>
        </w:rPr>
      </w:pPr>
    </w:p>
    <w:p w14:paraId="0428DC0D" w14:textId="48ABD3B8" w:rsidR="005904C9" w:rsidRDefault="0011220C" w:rsidP="00AF05F1">
      <w:pPr>
        <w:tabs>
          <w:tab w:val="left" w:pos="709"/>
        </w:tabs>
        <w:spacing w:after="0" w:line="360" w:lineRule="auto"/>
        <w:ind w:left="709" w:hanging="709"/>
        <w:jc w:val="both"/>
        <w:rPr>
          <w:bCs/>
        </w:rPr>
      </w:pPr>
      <w:r>
        <w:rPr>
          <w:bCs/>
        </w:rPr>
        <w:t>[</w:t>
      </w:r>
      <w:r w:rsidR="00B63FC5">
        <w:rPr>
          <w:bCs/>
        </w:rPr>
        <w:t>37]</w:t>
      </w:r>
      <w:r>
        <w:rPr>
          <w:bCs/>
        </w:rPr>
        <w:tab/>
      </w:r>
      <w:r w:rsidR="00AF05F1">
        <w:rPr>
          <w:bCs/>
        </w:rPr>
        <w:t>In the present application the deponent</w:t>
      </w:r>
      <w:r w:rsidR="00A92BB6">
        <w:rPr>
          <w:bCs/>
        </w:rPr>
        <w:t xml:space="preserve"> of the founding affidavit</w:t>
      </w:r>
      <w:r w:rsidR="00AF05F1">
        <w:rPr>
          <w:bCs/>
        </w:rPr>
        <w:t xml:space="preserve"> </w:t>
      </w:r>
      <w:r w:rsidR="00A92BB6">
        <w:rPr>
          <w:bCs/>
        </w:rPr>
        <w:t xml:space="preserve">claims personal </w:t>
      </w:r>
      <w:r w:rsidR="00B63FC5">
        <w:rPr>
          <w:bCs/>
        </w:rPr>
        <w:t>knowledge of</w:t>
      </w:r>
      <w:r w:rsidR="00A92BB6">
        <w:rPr>
          <w:bCs/>
        </w:rPr>
        <w:t xml:space="preserve"> the Plaintiff’s claim based primarily on her role </w:t>
      </w:r>
      <w:r w:rsidR="00AF05F1">
        <w:rPr>
          <w:bCs/>
        </w:rPr>
        <w:t>a</w:t>
      </w:r>
      <w:r w:rsidR="00A92BB6">
        <w:rPr>
          <w:bCs/>
        </w:rPr>
        <w:t>s the</w:t>
      </w:r>
      <w:r w:rsidR="00AF05F1">
        <w:rPr>
          <w:bCs/>
        </w:rPr>
        <w:t xml:space="preserve"> Director Legal Services of the Defendant</w:t>
      </w:r>
      <w:r w:rsidR="00A92BB6">
        <w:rPr>
          <w:bCs/>
        </w:rPr>
        <w:t>.  She asse</w:t>
      </w:r>
      <w:r w:rsidR="00745223">
        <w:rPr>
          <w:bCs/>
        </w:rPr>
        <w:t>r</w:t>
      </w:r>
      <w:r w:rsidR="00A92BB6">
        <w:rPr>
          <w:bCs/>
        </w:rPr>
        <w:t xml:space="preserve">ts responsibility for the </w:t>
      </w:r>
      <w:r w:rsidR="00B63FC5">
        <w:rPr>
          <w:bCs/>
        </w:rPr>
        <w:t>matter, familiarity</w:t>
      </w:r>
      <w:r w:rsidR="00A92BB6">
        <w:rPr>
          <w:bCs/>
        </w:rPr>
        <w:t xml:space="preserve"> for the facts, and unrestricted access to related documentation.  Additionally, she claims a thorough understanding of the service level agreement, and services provided, due to close collaboration with the involved personnel.  However, she does not specify the extent to which she relied on these personnel or how they informed her understanding of the facts.  There is no understanding of when and how she acquired this knowledge, nor which documents she accessed.  No confirmatory affidavits from these personnel are provided, and their identities and relevance to the Plaintiff’s claim remain undisclosed.</w:t>
      </w:r>
      <w:r w:rsidR="005904C9">
        <w:rPr>
          <w:bCs/>
        </w:rPr>
        <w:t xml:space="preserve">  The deponent mentioned engagements with unspecified “</w:t>
      </w:r>
      <w:r w:rsidR="005904C9" w:rsidRPr="005904C9">
        <w:rPr>
          <w:bCs/>
          <w:i/>
          <w:iCs/>
        </w:rPr>
        <w:t>role players</w:t>
      </w:r>
      <w:r w:rsidR="005904C9">
        <w:rPr>
          <w:bCs/>
        </w:rPr>
        <w:t>” and/or “</w:t>
      </w:r>
      <w:r w:rsidR="00B63FC5" w:rsidRPr="005904C9">
        <w:rPr>
          <w:bCs/>
          <w:i/>
          <w:iCs/>
        </w:rPr>
        <w:t>functionaries</w:t>
      </w:r>
      <w:r w:rsidR="00B63FC5">
        <w:rPr>
          <w:bCs/>
        </w:rPr>
        <w:t>” but</w:t>
      </w:r>
      <w:r w:rsidR="005904C9">
        <w:rPr>
          <w:bCs/>
        </w:rPr>
        <w:t xml:space="preserve"> fails to identify them or</w:t>
      </w:r>
      <w:r w:rsidR="00347CBB">
        <w:rPr>
          <w:bCs/>
        </w:rPr>
        <w:t xml:space="preserve"> to</w:t>
      </w:r>
      <w:r w:rsidR="005904C9">
        <w:rPr>
          <w:bCs/>
        </w:rPr>
        <w:t xml:space="preserve"> provide supporting affidavits.  Furthermore, she does not disclose the locations, timing or parties involved in these engagements.</w:t>
      </w:r>
    </w:p>
    <w:p w14:paraId="20B14181" w14:textId="77777777" w:rsidR="00334C12" w:rsidRDefault="00334C12" w:rsidP="005904C9">
      <w:pPr>
        <w:tabs>
          <w:tab w:val="left" w:pos="709"/>
        </w:tabs>
        <w:spacing w:after="0" w:line="360" w:lineRule="auto"/>
        <w:jc w:val="both"/>
        <w:rPr>
          <w:bCs/>
        </w:rPr>
      </w:pPr>
    </w:p>
    <w:p w14:paraId="409F6F0D" w14:textId="523295F3" w:rsidR="00334C12" w:rsidRDefault="008756C4" w:rsidP="00AF05F1">
      <w:pPr>
        <w:tabs>
          <w:tab w:val="left" w:pos="709"/>
        </w:tabs>
        <w:spacing w:after="0" w:line="360" w:lineRule="auto"/>
        <w:ind w:left="709" w:hanging="709"/>
        <w:jc w:val="both"/>
        <w:rPr>
          <w:bCs/>
        </w:rPr>
      </w:pPr>
      <w:r>
        <w:rPr>
          <w:bCs/>
        </w:rPr>
        <w:t>[3</w:t>
      </w:r>
      <w:r w:rsidR="00FC1B66">
        <w:rPr>
          <w:bCs/>
        </w:rPr>
        <w:t>8</w:t>
      </w:r>
      <w:r>
        <w:rPr>
          <w:bCs/>
        </w:rPr>
        <w:t>]</w:t>
      </w:r>
      <w:r>
        <w:rPr>
          <w:bCs/>
        </w:rPr>
        <w:tab/>
      </w:r>
      <w:r w:rsidR="00FC317C">
        <w:rPr>
          <w:bCs/>
        </w:rPr>
        <w:t xml:space="preserve">No </w:t>
      </w:r>
      <w:r>
        <w:rPr>
          <w:bCs/>
        </w:rPr>
        <w:t xml:space="preserve">explanation </w:t>
      </w:r>
      <w:r w:rsidR="00FC317C">
        <w:rPr>
          <w:bCs/>
        </w:rPr>
        <w:t xml:space="preserve">was </w:t>
      </w:r>
      <w:r>
        <w:rPr>
          <w:bCs/>
        </w:rPr>
        <w:t xml:space="preserve">given why confirmatory affidavits </w:t>
      </w:r>
      <w:r w:rsidR="00C37523">
        <w:rPr>
          <w:bCs/>
        </w:rPr>
        <w:t>were not obtained from any of the functionaries and/or role players.</w:t>
      </w:r>
    </w:p>
    <w:p w14:paraId="398C5DA6" w14:textId="77777777" w:rsidR="00905287" w:rsidRDefault="00905287" w:rsidP="00AF05F1">
      <w:pPr>
        <w:tabs>
          <w:tab w:val="left" w:pos="709"/>
        </w:tabs>
        <w:spacing w:after="0" w:line="360" w:lineRule="auto"/>
        <w:ind w:left="709" w:hanging="709"/>
        <w:jc w:val="both"/>
        <w:rPr>
          <w:bCs/>
        </w:rPr>
      </w:pPr>
    </w:p>
    <w:p w14:paraId="4EAF78AB" w14:textId="09742E70" w:rsidR="005904C9" w:rsidRDefault="00905287" w:rsidP="00AF05F1">
      <w:pPr>
        <w:tabs>
          <w:tab w:val="left" w:pos="709"/>
        </w:tabs>
        <w:spacing w:after="0" w:line="360" w:lineRule="auto"/>
        <w:ind w:left="709" w:hanging="709"/>
        <w:jc w:val="both"/>
        <w:rPr>
          <w:bCs/>
        </w:rPr>
      </w:pPr>
      <w:r>
        <w:rPr>
          <w:bCs/>
        </w:rPr>
        <w:t>[3</w:t>
      </w:r>
      <w:r w:rsidR="00FC1B66">
        <w:rPr>
          <w:bCs/>
        </w:rPr>
        <w:t>9</w:t>
      </w:r>
      <w:r>
        <w:rPr>
          <w:bCs/>
        </w:rPr>
        <w:t>]</w:t>
      </w:r>
      <w:r>
        <w:rPr>
          <w:bCs/>
        </w:rPr>
        <w:tab/>
        <w:t>In the replying affidavit</w:t>
      </w:r>
      <w:r w:rsidR="005904C9">
        <w:rPr>
          <w:bCs/>
        </w:rPr>
        <w:t xml:space="preserve">, </w:t>
      </w:r>
      <w:r>
        <w:rPr>
          <w:bCs/>
        </w:rPr>
        <w:t xml:space="preserve">the deponent </w:t>
      </w:r>
      <w:r w:rsidR="005904C9">
        <w:rPr>
          <w:bCs/>
        </w:rPr>
        <w:t xml:space="preserve">mentioned that verifying the invoices involved numerous officials from the Defendant, and she has been involved in this matter since the invoice dispute arose.  She indicated collaborating regularly with pertinent technical officials.  However, there is a lack of specifics regarding these Defendant officials, the composition of her work team, and the identity of the technical officials mentioned.  The affidavit does not detail the nature of their discussions, the extent of their work relationship, or provide information for the Court to ascertain the details from the founding affidavit </w:t>
      </w:r>
      <w:r w:rsidR="00B63FC5">
        <w:rPr>
          <w:bCs/>
        </w:rPr>
        <w:t>for</w:t>
      </w:r>
      <w:r w:rsidR="005904C9">
        <w:rPr>
          <w:bCs/>
        </w:rPr>
        <w:t xml:space="preserve"> the Court to ascertain whether the deponent has personal knowledge of the facts of the matter.</w:t>
      </w:r>
    </w:p>
    <w:p w14:paraId="72A7A554" w14:textId="77777777" w:rsidR="00FC317C" w:rsidRDefault="00FC317C" w:rsidP="00AF05F1">
      <w:pPr>
        <w:tabs>
          <w:tab w:val="left" w:pos="709"/>
        </w:tabs>
        <w:spacing w:after="0" w:line="360" w:lineRule="auto"/>
        <w:ind w:left="709" w:hanging="709"/>
        <w:jc w:val="both"/>
        <w:rPr>
          <w:bCs/>
        </w:rPr>
      </w:pPr>
    </w:p>
    <w:p w14:paraId="68D35192" w14:textId="256A6564" w:rsidR="00D547FF" w:rsidRPr="00D547FF" w:rsidRDefault="00FC317C" w:rsidP="005904C9">
      <w:pPr>
        <w:tabs>
          <w:tab w:val="left" w:pos="709"/>
        </w:tabs>
        <w:spacing w:after="0" w:line="360" w:lineRule="auto"/>
        <w:ind w:left="709" w:hanging="709"/>
        <w:jc w:val="both"/>
        <w:rPr>
          <w:b/>
          <w:bCs/>
        </w:rPr>
      </w:pPr>
      <w:r>
        <w:rPr>
          <w:bCs/>
        </w:rPr>
        <w:t>[</w:t>
      </w:r>
      <w:r w:rsidR="000201AD">
        <w:rPr>
          <w:bCs/>
        </w:rPr>
        <w:t>40</w:t>
      </w:r>
      <w:r>
        <w:rPr>
          <w:bCs/>
        </w:rPr>
        <w:t>]</w:t>
      </w:r>
      <w:r>
        <w:rPr>
          <w:bCs/>
        </w:rPr>
        <w:tab/>
      </w:r>
      <w:r w:rsidR="00555626">
        <w:rPr>
          <w:bCs/>
        </w:rPr>
        <w:t>The Court agrees with the Plaintiff’s submission that the Defendant</w:t>
      </w:r>
      <w:r w:rsidR="005904C9">
        <w:rPr>
          <w:bCs/>
        </w:rPr>
        <w:t xml:space="preserve">’s claims regarding </w:t>
      </w:r>
      <w:r w:rsidR="00B63FC5">
        <w:rPr>
          <w:bCs/>
        </w:rPr>
        <w:t>the “</w:t>
      </w:r>
      <w:r w:rsidR="00555626">
        <w:rPr>
          <w:bCs/>
          <w:i/>
          <w:iCs/>
        </w:rPr>
        <w:t>technical team members of the Department</w:t>
      </w:r>
      <w:r w:rsidR="00555626">
        <w:rPr>
          <w:bCs/>
        </w:rPr>
        <w:t>” (para 11.1 of founding affidavit)</w:t>
      </w:r>
      <w:r w:rsidR="005904C9">
        <w:rPr>
          <w:bCs/>
        </w:rPr>
        <w:t xml:space="preserve"> are unclear and lacking in detail.  Allegations that these team members supposedly visited the project sites much later and unexpectedly to verify the Plaintiff’s work are unsupported by any confirmatory affidavit from these team members.</w:t>
      </w:r>
      <w:r w:rsidR="00555626">
        <w:rPr>
          <w:bCs/>
        </w:rPr>
        <w:t xml:space="preserve"> </w:t>
      </w:r>
    </w:p>
    <w:p w14:paraId="136C8DF1" w14:textId="77777777" w:rsidR="00555626" w:rsidRDefault="00555626" w:rsidP="00AF05F1">
      <w:pPr>
        <w:tabs>
          <w:tab w:val="left" w:pos="709"/>
        </w:tabs>
        <w:spacing w:after="0" w:line="360" w:lineRule="auto"/>
        <w:ind w:left="709" w:hanging="709"/>
        <w:jc w:val="both"/>
        <w:rPr>
          <w:bCs/>
        </w:rPr>
      </w:pPr>
    </w:p>
    <w:p w14:paraId="6EDE144F" w14:textId="101A5317" w:rsidR="009D0FB9" w:rsidRDefault="00555626" w:rsidP="009D0FB9">
      <w:pPr>
        <w:tabs>
          <w:tab w:val="left" w:pos="709"/>
        </w:tabs>
        <w:spacing w:after="0" w:line="360" w:lineRule="auto"/>
        <w:ind w:left="709" w:hanging="709"/>
        <w:jc w:val="both"/>
        <w:rPr>
          <w:bCs/>
          <w:i/>
          <w:iCs/>
        </w:rPr>
      </w:pPr>
      <w:r>
        <w:rPr>
          <w:bCs/>
        </w:rPr>
        <w:lastRenderedPageBreak/>
        <w:t>[</w:t>
      </w:r>
      <w:r w:rsidR="00656555">
        <w:rPr>
          <w:bCs/>
        </w:rPr>
        <w:t>4</w:t>
      </w:r>
      <w:r w:rsidR="000201AD">
        <w:rPr>
          <w:bCs/>
        </w:rPr>
        <w:t>1</w:t>
      </w:r>
      <w:r>
        <w:rPr>
          <w:bCs/>
        </w:rPr>
        <w:t>]</w:t>
      </w:r>
      <w:r>
        <w:rPr>
          <w:bCs/>
        </w:rPr>
        <w:tab/>
      </w:r>
      <w:r w:rsidR="00222D9B">
        <w:rPr>
          <w:bCs/>
        </w:rPr>
        <w:t>The Court has considered the submissions made by the Plaintiff, as set out in paragraphs 1</w:t>
      </w:r>
      <w:r w:rsidR="000201AD">
        <w:rPr>
          <w:bCs/>
        </w:rPr>
        <w:t>4</w:t>
      </w:r>
      <w:r w:rsidR="00222D9B">
        <w:rPr>
          <w:bCs/>
        </w:rPr>
        <w:t xml:space="preserve"> to 2</w:t>
      </w:r>
      <w:r w:rsidR="000201AD">
        <w:rPr>
          <w:bCs/>
        </w:rPr>
        <w:t>8</w:t>
      </w:r>
      <w:r w:rsidR="00222D9B">
        <w:rPr>
          <w:bCs/>
        </w:rPr>
        <w:t xml:space="preserve"> above, and agrees with t</w:t>
      </w:r>
      <w:r w:rsidR="00330AED">
        <w:rPr>
          <w:bCs/>
        </w:rPr>
        <w:t>hem concerning the deponent’s lack of first-hand/personal knowledge when drafting and deposing to the founding affidavit.  Simply holding a position within the Defendant’s Legal Department does not establish that the facts presented were within her</w:t>
      </w:r>
      <w:r w:rsidR="000201AD">
        <w:rPr>
          <w:bCs/>
        </w:rPr>
        <w:t xml:space="preserve"> (the deponent’s)</w:t>
      </w:r>
      <w:r w:rsidR="00330AED">
        <w:rPr>
          <w:bCs/>
        </w:rPr>
        <w:t xml:space="preserve"> personal knowledge.  Additionally, reference to specific individuals (third parties) as source</w:t>
      </w:r>
      <w:r w:rsidR="00965F75">
        <w:rPr>
          <w:bCs/>
        </w:rPr>
        <w:t xml:space="preserve"> of</w:t>
      </w:r>
      <w:r w:rsidR="00330AED">
        <w:rPr>
          <w:bCs/>
        </w:rPr>
        <w:t xml:space="preserve"> the deponent’s information were not substantiated by any supporting affidavits or documents to validate the origin of her knowledge.</w:t>
      </w:r>
      <w:r w:rsidR="000025CA">
        <w:rPr>
          <w:bCs/>
        </w:rPr>
        <w:t xml:space="preserve">  There is no evidence that the deponent was directly involved or engaged in the bid procedure, the appointment of the Plaintiff as a contractor,</w:t>
      </w:r>
      <w:r w:rsidR="00701298">
        <w:rPr>
          <w:bCs/>
        </w:rPr>
        <w:t xml:space="preserve"> the scope, extent</w:t>
      </w:r>
      <w:r w:rsidR="000025CA">
        <w:rPr>
          <w:bCs/>
        </w:rPr>
        <w:t xml:space="preserve"> and</w:t>
      </w:r>
      <w:r w:rsidR="00701298">
        <w:rPr>
          <w:bCs/>
        </w:rPr>
        <w:t xml:space="preserve"> timing of the emergency works, and</w:t>
      </w:r>
      <w:r w:rsidR="000025CA">
        <w:rPr>
          <w:bCs/>
        </w:rPr>
        <w:t xml:space="preserve"> the subsequent conclusion of the agreement.  No supporting/confirmatory affidavits are attached to confirm and/or verify the source of the deponent’s personal knowledge.</w:t>
      </w:r>
      <w:r w:rsidR="000201AD">
        <w:rPr>
          <w:bCs/>
        </w:rPr>
        <w:t xml:space="preserve"> </w:t>
      </w:r>
    </w:p>
    <w:p w14:paraId="41702FD8" w14:textId="77777777" w:rsidR="009D0FB9" w:rsidRDefault="009D0FB9" w:rsidP="00330AED">
      <w:pPr>
        <w:tabs>
          <w:tab w:val="left" w:pos="709"/>
        </w:tabs>
        <w:spacing w:after="0" w:line="360" w:lineRule="auto"/>
        <w:jc w:val="both"/>
        <w:rPr>
          <w:bCs/>
        </w:rPr>
      </w:pPr>
    </w:p>
    <w:p w14:paraId="06117DC4" w14:textId="6A4A90EE" w:rsidR="009D0FB9" w:rsidRDefault="00762261" w:rsidP="009D0FB9">
      <w:pPr>
        <w:tabs>
          <w:tab w:val="left" w:pos="709"/>
        </w:tabs>
        <w:spacing w:after="0" w:line="360" w:lineRule="auto"/>
        <w:ind w:left="709" w:hanging="709"/>
        <w:jc w:val="both"/>
        <w:rPr>
          <w:bCs/>
          <w:i/>
          <w:iCs/>
        </w:rPr>
      </w:pPr>
      <w:r>
        <w:rPr>
          <w:bCs/>
        </w:rPr>
        <w:t>[</w:t>
      </w:r>
      <w:r w:rsidR="00257A01">
        <w:rPr>
          <w:bCs/>
        </w:rPr>
        <w:t>4</w:t>
      </w:r>
      <w:r w:rsidR="009D0FB9">
        <w:rPr>
          <w:bCs/>
        </w:rPr>
        <w:t>2</w:t>
      </w:r>
      <w:r>
        <w:rPr>
          <w:bCs/>
        </w:rPr>
        <w:t>]</w:t>
      </w:r>
      <w:r>
        <w:rPr>
          <w:bCs/>
        </w:rPr>
        <w:tab/>
        <w:t>I</w:t>
      </w:r>
      <w:r w:rsidR="00BF022C">
        <w:rPr>
          <w:bCs/>
        </w:rPr>
        <w:t xml:space="preserve">t is trite that where a deponent to the founding affidavit or any affidavit relies on the evidence of </w:t>
      </w:r>
      <w:r>
        <w:rPr>
          <w:bCs/>
        </w:rPr>
        <w:t>a</w:t>
      </w:r>
      <w:r w:rsidR="00BF022C">
        <w:rPr>
          <w:bCs/>
        </w:rPr>
        <w:t xml:space="preserve"> third party, that evidence should be confirmed in a confirmatory affidavit.  </w:t>
      </w:r>
      <w:r w:rsidR="00BF022C" w:rsidRPr="00BF022C">
        <w:rPr>
          <w:bCs/>
        </w:rPr>
        <w:t>In this case there is no indication that the facts to which</w:t>
      </w:r>
      <w:r w:rsidR="00BF022C">
        <w:rPr>
          <w:bCs/>
        </w:rPr>
        <w:t xml:space="preserve"> the deponent to the founding affidavit</w:t>
      </w:r>
      <w:r w:rsidR="00BF022C" w:rsidRPr="00BF022C">
        <w:rPr>
          <w:bCs/>
        </w:rPr>
        <w:t xml:space="preserve"> purport</w:t>
      </w:r>
      <w:r w:rsidR="009D0FB9">
        <w:rPr>
          <w:bCs/>
        </w:rPr>
        <w:t xml:space="preserve">s </w:t>
      </w:r>
      <w:r w:rsidR="00BF022C" w:rsidRPr="00BF022C">
        <w:rPr>
          <w:bCs/>
        </w:rPr>
        <w:t xml:space="preserve">to attest came </w:t>
      </w:r>
      <w:r w:rsidR="00BF022C">
        <w:rPr>
          <w:bCs/>
        </w:rPr>
        <w:t>from</w:t>
      </w:r>
      <w:r w:rsidR="00BF022C" w:rsidRPr="00BF022C">
        <w:rPr>
          <w:bCs/>
        </w:rPr>
        <w:t xml:space="preserve"> h</w:t>
      </w:r>
      <w:r w:rsidR="00BF022C">
        <w:rPr>
          <w:bCs/>
        </w:rPr>
        <w:t>er direct personal</w:t>
      </w:r>
      <w:r w:rsidR="00BF022C" w:rsidRPr="00BF022C">
        <w:rPr>
          <w:bCs/>
        </w:rPr>
        <w:t xml:space="preserve"> knowledge, and no other basis for </w:t>
      </w:r>
      <w:r w:rsidR="00CD5A0E">
        <w:rPr>
          <w:bCs/>
        </w:rPr>
        <w:t>her</w:t>
      </w:r>
      <w:r w:rsidR="00BF022C" w:rsidRPr="00BF022C">
        <w:rPr>
          <w:bCs/>
        </w:rPr>
        <w:t xml:space="preserve"> admission</w:t>
      </w:r>
      <w:r w:rsidR="00CD5A0E">
        <w:rPr>
          <w:bCs/>
        </w:rPr>
        <w:t>s</w:t>
      </w:r>
      <w:r w:rsidR="00BF022C" w:rsidRPr="00BF022C">
        <w:rPr>
          <w:bCs/>
        </w:rPr>
        <w:t xml:space="preserve"> ha</w:t>
      </w:r>
      <w:r w:rsidR="00CD5A0E">
        <w:rPr>
          <w:bCs/>
        </w:rPr>
        <w:t>ve</w:t>
      </w:r>
      <w:r w:rsidR="00BF022C" w:rsidRPr="00BF022C">
        <w:rPr>
          <w:bCs/>
        </w:rPr>
        <w:t xml:space="preserve"> been laid</w:t>
      </w:r>
      <w:r w:rsidR="00BF022C">
        <w:rPr>
          <w:bCs/>
          <w:i/>
          <w:iCs/>
        </w:rPr>
        <w:t>.</w:t>
      </w:r>
      <w:r w:rsidR="009D0FB9">
        <w:rPr>
          <w:bCs/>
          <w:i/>
          <w:iCs/>
        </w:rPr>
        <w:t xml:space="preserve">  </w:t>
      </w:r>
      <w:r w:rsidR="009D0FB9" w:rsidRPr="009D0FB9">
        <w:rPr>
          <w:bCs/>
        </w:rPr>
        <w:t>Thus, the statement (founding affidavit) of the deponent is not evidence at all, but no more than bald assertions.</w:t>
      </w:r>
      <w:r w:rsidR="009D0FB9">
        <w:rPr>
          <w:rStyle w:val="FootnoteReference"/>
          <w:bCs/>
        </w:rPr>
        <w:footnoteReference w:id="1"/>
      </w:r>
    </w:p>
    <w:p w14:paraId="366BB86B" w14:textId="77777777" w:rsidR="00EF20A7" w:rsidRDefault="00EF20A7" w:rsidP="000025CA">
      <w:pPr>
        <w:tabs>
          <w:tab w:val="left" w:pos="709"/>
        </w:tabs>
        <w:spacing w:after="0" w:line="360" w:lineRule="auto"/>
        <w:jc w:val="both"/>
        <w:rPr>
          <w:bCs/>
          <w:i/>
          <w:iCs/>
        </w:rPr>
      </w:pPr>
    </w:p>
    <w:p w14:paraId="44337518" w14:textId="28CFFE85" w:rsidR="00EF20A7" w:rsidRPr="00EF20A7" w:rsidRDefault="00EF20A7" w:rsidP="00E4016A">
      <w:pPr>
        <w:tabs>
          <w:tab w:val="left" w:pos="709"/>
        </w:tabs>
        <w:spacing w:after="0" w:line="360" w:lineRule="auto"/>
        <w:ind w:left="709" w:hanging="709"/>
        <w:jc w:val="both"/>
        <w:rPr>
          <w:bCs/>
          <w:i/>
          <w:iCs/>
        </w:rPr>
      </w:pPr>
      <w:r>
        <w:rPr>
          <w:bCs/>
        </w:rPr>
        <w:t>[4</w:t>
      </w:r>
      <w:r w:rsidR="009D0FB9">
        <w:rPr>
          <w:bCs/>
        </w:rPr>
        <w:t>3</w:t>
      </w:r>
      <w:r>
        <w:rPr>
          <w:bCs/>
        </w:rPr>
        <w:t>]</w:t>
      </w:r>
      <w:r>
        <w:rPr>
          <w:bCs/>
        </w:rPr>
        <w:tab/>
        <w:t>The present application is not akin to that of a manager in the collections department of a credit provider, who deposes to affidavits in summary judgment applications as a matter of course.  In such cases the deponent exercises overall control of the relevant accounts and all the necessary information can be found in the relevant files.  All necessary documents are attached to the founding affidavit.  No reliance is placed on unspecified ‘</w:t>
      </w:r>
      <w:r w:rsidRPr="00EF20A7">
        <w:rPr>
          <w:bCs/>
          <w:i/>
          <w:iCs/>
        </w:rPr>
        <w:t>extensive</w:t>
      </w:r>
      <w:r>
        <w:rPr>
          <w:bCs/>
        </w:rPr>
        <w:t xml:space="preserve">’ consultation with another person to gain personal knowledge (See: </w:t>
      </w:r>
      <w:r>
        <w:rPr>
          <w:bCs/>
          <w:i/>
          <w:iCs/>
        </w:rPr>
        <w:t>Sibani Group (Pty) Ltd v Doves Group (Pty) Ltd [2022] JOL</w:t>
      </w:r>
      <w:r w:rsidR="009D0FB9">
        <w:rPr>
          <w:bCs/>
          <w:i/>
          <w:iCs/>
        </w:rPr>
        <w:t xml:space="preserve"> </w:t>
      </w:r>
      <w:r>
        <w:rPr>
          <w:bCs/>
          <w:i/>
          <w:iCs/>
        </w:rPr>
        <w:t>55868 GJ).</w:t>
      </w:r>
    </w:p>
    <w:p w14:paraId="13F11BFA" w14:textId="77777777" w:rsidR="00762261" w:rsidRDefault="00762261" w:rsidP="00E4016A">
      <w:pPr>
        <w:tabs>
          <w:tab w:val="left" w:pos="709"/>
        </w:tabs>
        <w:spacing w:after="0" w:line="360" w:lineRule="auto"/>
        <w:ind w:left="709" w:hanging="709"/>
        <w:jc w:val="both"/>
        <w:rPr>
          <w:bCs/>
          <w:i/>
          <w:iCs/>
        </w:rPr>
      </w:pPr>
    </w:p>
    <w:p w14:paraId="5657C987" w14:textId="7B0BF636" w:rsidR="007B1702" w:rsidRPr="00330AED" w:rsidRDefault="00762261" w:rsidP="00330AED">
      <w:pPr>
        <w:tabs>
          <w:tab w:val="left" w:pos="709"/>
        </w:tabs>
        <w:spacing w:after="0" w:line="360" w:lineRule="auto"/>
        <w:ind w:left="709" w:hanging="709"/>
        <w:jc w:val="both"/>
        <w:rPr>
          <w:bCs/>
        </w:rPr>
      </w:pPr>
      <w:r>
        <w:rPr>
          <w:bCs/>
        </w:rPr>
        <w:t>[4</w:t>
      </w:r>
      <w:r w:rsidR="0063714C">
        <w:rPr>
          <w:bCs/>
        </w:rPr>
        <w:t>4</w:t>
      </w:r>
      <w:r>
        <w:rPr>
          <w:bCs/>
        </w:rPr>
        <w:t>]</w:t>
      </w:r>
      <w:r w:rsidR="00330AED">
        <w:rPr>
          <w:bCs/>
        </w:rPr>
        <w:tab/>
      </w:r>
      <w:r>
        <w:rPr>
          <w:bCs/>
        </w:rPr>
        <w:t>The Court has duly considered the exceptions to the hearsay evidence rule</w:t>
      </w:r>
      <w:r w:rsidR="00330AED">
        <w:rPr>
          <w:bCs/>
        </w:rPr>
        <w:t>,</w:t>
      </w:r>
      <w:r>
        <w:rPr>
          <w:bCs/>
        </w:rPr>
        <w:t xml:space="preserve"> as provided for in section 3(1) of the Law of Evidence Amendment Act, 45 of 1988</w:t>
      </w:r>
      <w:r w:rsidR="00330AED">
        <w:rPr>
          <w:bCs/>
        </w:rPr>
        <w:t>,</w:t>
      </w:r>
      <w:r>
        <w:rPr>
          <w:bCs/>
          <w:i/>
          <w:iCs/>
        </w:rPr>
        <w:t xml:space="preserve"> </w:t>
      </w:r>
      <w:r>
        <w:rPr>
          <w:bCs/>
        </w:rPr>
        <w:t xml:space="preserve">and finds no </w:t>
      </w:r>
      <w:r w:rsidR="00330AED">
        <w:rPr>
          <w:bCs/>
        </w:rPr>
        <w:t>justification for admitting such evidence.  Additionally, the deponent of the founding affidavit has not provided reasons for the Court to consider admitting it under any exception to the hearsay evidence rule.</w:t>
      </w:r>
    </w:p>
    <w:p w14:paraId="10E9D418" w14:textId="77777777" w:rsidR="00311B9F" w:rsidRDefault="00311B9F" w:rsidP="00E4016A">
      <w:pPr>
        <w:tabs>
          <w:tab w:val="left" w:pos="709"/>
        </w:tabs>
        <w:spacing w:after="0" w:line="360" w:lineRule="auto"/>
        <w:ind w:left="709" w:hanging="709"/>
        <w:jc w:val="both"/>
        <w:rPr>
          <w:bCs/>
        </w:rPr>
      </w:pPr>
    </w:p>
    <w:p w14:paraId="7AE1302E" w14:textId="4AC91FB4" w:rsidR="00896CFE" w:rsidRDefault="00311B9F" w:rsidP="000025CA">
      <w:pPr>
        <w:tabs>
          <w:tab w:val="left" w:pos="709"/>
        </w:tabs>
        <w:spacing w:after="0" w:line="360" w:lineRule="auto"/>
        <w:ind w:left="709" w:hanging="709"/>
        <w:jc w:val="both"/>
        <w:rPr>
          <w:bCs/>
        </w:rPr>
      </w:pPr>
      <w:r>
        <w:rPr>
          <w:bCs/>
        </w:rPr>
        <w:t>[4</w:t>
      </w:r>
      <w:r w:rsidR="0063714C">
        <w:rPr>
          <w:bCs/>
        </w:rPr>
        <w:t>5</w:t>
      </w:r>
      <w:r>
        <w:rPr>
          <w:bCs/>
        </w:rPr>
        <w:t>]</w:t>
      </w:r>
      <w:r>
        <w:rPr>
          <w:bCs/>
        </w:rPr>
        <w:tab/>
      </w:r>
      <w:r w:rsidR="00FC4305">
        <w:rPr>
          <w:bCs/>
        </w:rPr>
        <w:t>Thus</w:t>
      </w:r>
      <w:r w:rsidR="00222D9B">
        <w:rPr>
          <w:bCs/>
        </w:rPr>
        <w:t>, the Court finds that the deponent to the Defendant’s founding affidavit lacks personal knowledge of the material facts</w:t>
      </w:r>
      <w:r w:rsidR="00330AED">
        <w:rPr>
          <w:bCs/>
        </w:rPr>
        <w:t xml:space="preserve">, rendering it hearsay evidence, which is not admissible.  Consequently, there is no need to further consider the merits of the application </w:t>
      </w:r>
      <w:r w:rsidR="00B63FC5">
        <w:rPr>
          <w:bCs/>
        </w:rPr>
        <w:t>for upliftment</w:t>
      </w:r>
      <w:r w:rsidR="00330AED">
        <w:rPr>
          <w:bCs/>
        </w:rPr>
        <w:t>.</w:t>
      </w:r>
      <w:r w:rsidR="00453A79">
        <w:rPr>
          <w:bCs/>
        </w:rPr>
        <w:t xml:space="preserve"> </w:t>
      </w:r>
    </w:p>
    <w:p w14:paraId="4EE0621E" w14:textId="77777777" w:rsidR="00592785" w:rsidRDefault="00592785" w:rsidP="000025CA">
      <w:pPr>
        <w:tabs>
          <w:tab w:val="left" w:pos="709"/>
        </w:tabs>
        <w:spacing w:after="0" w:line="360" w:lineRule="auto"/>
        <w:ind w:left="709" w:hanging="709"/>
        <w:jc w:val="both"/>
        <w:rPr>
          <w:bCs/>
        </w:rPr>
      </w:pPr>
    </w:p>
    <w:p w14:paraId="6CC331E5" w14:textId="0747B15F" w:rsidR="00896CFE" w:rsidRDefault="00896CFE" w:rsidP="00311B9F">
      <w:pPr>
        <w:tabs>
          <w:tab w:val="left" w:pos="709"/>
        </w:tabs>
        <w:spacing w:after="0" w:line="360" w:lineRule="auto"/>
        <w:ind w:left="709" w:hanging="709"/>
        <w:jc w:val="both"/>
        <w:rPr>
          <w:bCs/>
        </w:rPr>
      </w:pPr>
      <w:r>
        <w:rPr>
          <w:bCs/>
        </w:rPr>
        <w:t>[4</w:t>
      </w:r>
      <w:r w:rsidR="0063714C">
        <w:rPr>
          <w:bCs/>
        </w:rPr>
        <w:t>6</w:t>
      </w:r>
      <w:r>
        <w:rPr>
          <w:bCs/>
        </w:rPr>
        <w:t>]</w:t>
      </w:r>
      <w:r>
        <w:rPr>
          <w:bCs/>
        </w:rPr>
        <w:tab/>
        <w:t>The Plaintiff, as the successful party, is entitled to the costs.</w:t>
      </w:r>
    </w:p>
    <w:p w14:paraId="2409F50F" w14:textId="77777777" w:rsidR="00896CFE" w:rsidRDefault="00896CFE" w:rsidP="00311B9F">
      <w:pPr>
        <w:tabs>
          <w:tab w:val="left" w:pos="709"/>
        </w:tabs>
        <w:spacing w:after="0" w:line="360" w:lineRule="auto"/>
        <w:ind w:left="709" w:hanging="709"/>
        <w:jc w:val="both"/>
        <w:rPr>
          <w:bCs/>
        </w:rPr>
      </w:pPr>
    </w:p>
    <w:p w14:paraId="1CC028C8" w14:textId="54CC287B" w:rsidR="00896CFE" w:rsidRDefault="00896CFE" w:rsidP="00311B9F">
      <w:pPr>
        <w:tabs>
          <w:tab w:val="left" w:pos="709"/>
        </w:tabs>
        <w:spacing w:after="0" w:line="360" w:lineRule="auto"/>
        <w:ind w:left="709" w:hanging="709"/>
        <w:jc w:val="both"/>
        <w:rPr>
          <w:bCs/>
          <w:i/>
          <w:iCs/>
          <w:u w:val="single"/>
        </w:rPr>
      </w:pPr>
      <w:r w:rsidRPr="00896CFE">
        <w:rPr>
          <w:bCs/>
          <w:i/>
          <w:iCs/>
          <w:u w:val="single"/>
        </w:rPr>
        <w:t>Order</w:t>
      </w:r>
    </w:p>
    <w:p w14:paraId="04F8BF2C" w14:textId="77777777" w:rsidR="00896CFE" w:rsidRDefault="00896CFE" w:rsidP="00311B9F">
      <w:pPr>
        <w:tabs>
          <w:tab w:val="left" w:pos="709"/>
        </w:tabs>
        <w:spacing w:after="0" w:line="360" w:lineRule="auto"/>
        <w:ind w:left="709" w:hanging="709"/>
        <w:jc w:val="both"/>
        <w:rPr>
          <w:bCs/>
          <w:i/>
          <w:iCs/>
          <w:u w:val="single"/>
        </w:rPr>
      </w:pPr>
    </w:p>
    <w:p w14:paraId="58B6B784" w14:textId="68D7EA4E" w:rsidR="00896CFE" w:rsidRDefault="00B63FC5" w:rsidP="00311B9F">
      <w:pPr>
        <w:tabs>
          <w:tab w:val="left" w:pos="709"/>
        </w:tabs>
        <w:spacing w:after="0" w:line="360" w:lineRule="auto"/>
        <w:ind w:left="709" w:hanging="709"/>
        <w:jc w:val="both"/>
        <w:rPr>
          <w:bCs/>
        </w:rPr>
      </w:pPr>
      <w:r w:rsidRPr="00CE4484">
        <w:rPr>
          <w:b/>
        </w:rPr>
        <w:t>THEREFORE,</w:t>
      </w:r>
      <w:r w:rsidR="00896CFE">
        <w:rPr>
          <w:bCs/>
        </w:rPr>
        <w:t xml:space="preserve"> </w:t>
      </w:r>
      <w:r w:rsidR="00257A01">
        <w:rPr>
          <w:bCs/>
        </w:rPr>
        <w:t xml:space="preserve">the </w:t>
      </w:r>
      <w:r w:rsidR="00896CFE">
        <w:rPr>
          <w:bCs/>
        </w:rPr>
        <w:t>following order is granted:</w:t>
      </w:r>
    </w:p>
    <w:p w14:paraId="68300AAF" w14:textId="77777777" w:rsidR="00896CFE" w:rsidRDefault="00896CFE" w:rsidP="00311B9F">
      <w:pPr>
        <w:tabs>
          <w:tab w:val="left" w:pos="709"/>
        </w:tabs>
        <w:spacing w:after="0" w:line="360" w:lineRule="auto"/>
        <w:ind w:left="709" w:hanging="709"/>
        <w:jc w:val="both"/>
        <w:rPr>
          <w:bCs/>
        </w:rPr>
      </w:pPr>
    </w:p>
    <w:p w14:paraId="2EE5832D" w14:textId="21CBDDEC" w:rsidR="00896CFE" w:rsidRDefault="00896CFE" w:rsidP="00896CFE">
      <w:pPr>
        <w:tabs>
          <w:tab w:val="left" w:pos="709"/>
        </w:tabs>
        <w:spacing w:after="0" w:line="360" w:lineRule="auto"/>
        <w:ind w:left="1440" w:hanging="1440"/>
        <w:jc w:val="both"/>
        <w:rPr>
          <w:bCs/>
        </w:rPr>
      </w:pPr>
      <w:r>
        <w:rPr>
          <w:bCs/>
        </w:rPr>
        <w:t>1.</w:t>
      </w:r>
      <w:r>
        <w:rPr>
          <w:bCs/>
        </w:rPr>
        <w:tab/>
      </w:r>
      <w:r w:rsidR="00CE4484">
        <w:rPr>
          <w:bCs/>
        </w:rPr>
        <w:t>T</w:t>
      </w:r>
      <w:r>
        <w:rPr>
          <w:bCs/>
        </w:rPr>
        <w:t>he application for upliftment of the bar is dismissed</w:t>
      </w:r>
      <w:r w:rsidR="00157283">
        <w:rPr>
          <w:bCs/>
        </w:rPr>
        <w:t>.</w:t>
      </w:r>
    </w:p>
    <w:p w14:paraId="568865D4" w14:textId="77777777" w:rsidR="00896CFE" w:rsidRDefault="00896CFE" w:rsidP="00896CFE">
      <w:pPr>
        <w:tabs>
          <w:tab w:val="left" w:pos="709"/>
        </w:tabs>
        <w:spacing w:after="0" w:line="360" w:lineRule="auto"/>
        <w:ind w:left="1440" w:hanging="1440"/>
        <w:jc w:val="both"/>
        <w:rPr>
          <w:bCs/>
        </w:rPr>
      </w:pPr>
    </w:p>
    <w:p w14:paraId="37FF7E88" w14:textId="36D3C202" w:rsidR="00896CFE" w:rsidRDefault="00896CFE" w:rsidP="00896CFE">
      <w:pPr>
        <w:tabs>
          <w:tab w:val="left" w:pos="709"/>
        </w:tabs>
        <w:spacing w:after="0" w:line="360" w:lineRule="auto"/>
        <w:ind w:left="709" w:hanging="709"/>
        <w:jc w:val="both"/>
        <w:rPr>
          <w:bCs/>
        </w:rPr>
      </w:pPr>
      <w:r>
        <w:rPr>
          <w:bCs/>
        </w:rPr>
        <w:t>2.</w:t>
      </w:r>
      <w:r>
        <w:rPr>
          <w:bCs/>
        </w:rPr>
        <w:tab/>
      </w:r>
      <w:r w:rsidR="00CE4484">
        <w:rPr>
          <w:bCs/>
        </w:rPr>
        <w:t>T</w:t>
      </w:r>
      <w:r>
        <w:rPr>
          <w:bCs/>
        </w:rPr>
        <w:t>he Defendant/Applicant is ordered to pay the Plaintiff’s/Respondent’s costs, such costs to include the costs of two Counsel.</w:t>
      </w:r>
    </w:p>
    <w:p w14:paraId="0575F8EB" w14:textId="5FA6031E" w:rsidR="00896CFE" w:rsidRPr="00896CFE" w:rsidRDefault="00896CFE" w:rsidP="00311B9F">
      <w:pPr>
        <w:tabs>
          <w:tab w:val="left" w:pos="709"/>
        </w:tabs>
        <w:spacing w:after="0" w:line="360" w:lineRule="auto"/>
        <w:ind w:left="709" w:hanging="709"/>
        <w:jc w:val="both"/>
        <w:rPr>
          <w:bCs/>
        </w:rPr>
      </w:pPr>
    </w:p>
    <w:p w14:paraId="75DA512F" w14:textId="0D07A1BF" w:rsidR="00175BBE" w:rsidRDefault="005E33C7" w:rsidP="005E33C7">
      <w:pPr>
        <w:tabs>
          <w:tab w:val="left" w:pos="709"/>
        </w:tabs>
        <w:spacing w:after="0" w:line="360" w:lineRule="auto"/>
        <w:ind w:left="700" w:hanging="700"/>
        <w:jc w:val="both"/>
        <w:rPr>
          <w:b/>
        </w:rPr>
      </w:pPr>
      <w:r w:rsidRPr="005E33C7">
        <w:rPr>
          <w:b/>
        </w:rPr>
        <w:t>SIGNED ON THIS</w:t>
      </w:r>
      <w:r w:rsidR="00157283">
        <w:rPr>
          <w:b/>
        </w:rPr>
        <w:t xml:space="preserve"> 17</w:t>
      </w:r>
      <w:r w:rsidR="00157283" w:rsidRPr="00157283">
        <w:rPr>
          <w:b/>
          <w:vertAlign w:val="superscript"/>
        </w:rPr>
        <w:t>th</w:t>
      </w:r>
      <w:r w:rsidR="00157283">
        <w:rPr>
          <w:b/>
        </w:rPr>
        <w:t xml:space="preserve"> </w:t>
      </w:r>
      <w:r w:rsidRPr="005E33C7">
        <w:rPr>
          <w:b/>
        </w:rPr>
        <w:t xml:space="preserve">DAY OF </w:t>
      </w:r>
      <w:r w:rsidR="00896CFE">
        <w:rPr>
          <w:b/>
        </w:rPr>
        <w:t xml:space="preserve">APRIL </w:t>
      </w:r>
      <w:r w:rsidRPr="005E33C7">
        <w:rPr>
          <w:b/>
        </w:rPr>
        <w:t>2024.</w:t>
      </w:r>
    </w:p>
    <w:p w14:paraId="6373F9DE" w14:textId="77777777" w:rsidR="00CA3257" w:rsidRPr="005E33C7" w:rsidRDefault="00CA3257" w:rsidP="005E33C7">
      <w:pPr>
        <w:tabs>
          <w:tab w:val="left" w:pos="709"/>
        </w:tabs>
        <w:spacing w:after="0" w:line="360" w:lineRule="auto"/>
        <w:ind w:left="700" w:hanging="700"/>
        <w:jc w:val="both"/>
        <w:rPr>
          <w:b/>
        </w:rPr>
      </w:pPr>
    </w:p>
    <w:p w14:paraId="22FFDB21" w14:textId="0A4D002F" w:rsidR="00175BBE" w:rsidRPr="00827698" w:rsidRDefault="00175BBE" w:rsidP="00827698">
      <w:pPr>
        <w:tabs>
          <w:tab w:val="left" w:pos="709"/>
        </w:tabs>
        <w:spacing w:after="0" w:line="360" w:lineRule="auto"/>
        <w:ind w:left="700" w:hanging="700"/>
        <w:jc w:val="both"/>
        <w:rPr>
          <w:b/>
        </w:rPr>
      </w:pPr>
      <w:r w:rsidRPr="005E33C7">
        <w:rPr>
          <w:b/>
        </w:rPr>
        <w:t>BY ORDER</w:t>
      </w:r>
    </w:p>
    <w:p w14:paraId="293F87EB" w14:textId="5AF19CEF" w:rsidR="005E33C7" w:rsidRDefault="00BE342C" w:rsidP="00827698">
      <w:pPr>
        <w:tabs>
          <w:tab w:val="left" w:pos="709"/>
        </w:tabs>
        <w:spacing w:after="0" w:line="360" w:lineRule="auto"/>
        <w:ind w:left="700" w:hanging="700"/>
        <w:jc w:val="both"/>
        <w:rPr>
          <w:bCs/>
        </w:rPr>
      </w:pPr>
      <w:r>
        <w:rPr>
          <w:bCs/>
          <w:noProof/>
          <w:lang w:eastAsia="en-ZA"/>
        </w:rPr>
        <w:t>[…]</w:t>
      </w:r>
    </w:p>
    <w:p w14:paraId="69DD3FA8" w14:textId="142D64DA" w:rsidR="00175BBE" w:rsidRPr="005E33C7" w:rsidRDefault="00175BBE" w:rsidP="007A6CDE">
      <w:pPr>
        <w:tabs>
          <w:tab w:val="left" w:pos="709"/>
        </w:tabs>
        <w:spacing w:after="0" w:line="360" w:lineRule="auto"/>
        <w:ind w:left="700" w:hanging="700"/>
        <w:jc w:val="both"/>
        <w:rPr>
          <w:b/>
        </w:rPr>
      </w:pPr>
      <w:r w:rsidRPr="005E33C7">
        <w:rPr>
          <w:b/>
        </w:rPr>
        <w:t>SM MARITZ AJ</w:t>
      </w:r>
    </w:p>
    <w:p w14:paraId="30A518C6" w14:textId="77777777" w:rsidR="00175BBE" w:rsidRDefault="00175BBE" w:rsidP="007A6CDE">
      <w:pPr>
        <w:tabs>
          <w:tab w:val="left" w:pos="709"/>
        </w:tabs>
        <w:spacing w:after="0" w:line="360" w:lineRule="auto"/>
        <w:ind w:left="700" w:hanging="700"/>
        <w:jc w:val="both"/>
        <w:rPr>
          <w:bCs/>
        </w:rPr>
      </w:pPr>
    </w:p>
    <w:p w14:paraId="2F804E59" w14:textId="77777777" w:rsidR="00175BBE" w:rsidRDefault="00175BBE" w:rsidP="007A6CDE">
      <w:pPr>
        <w:tabs>
          <w:tab w:val="left" w:pos="709"/>
        </w:tabs>
        <w:spacing w:after="0" w:line="360" w:lineRule="auto"/>
        <w:ind w:left="700" w:hanging="700"/>
        <w:jc w:val="both"/>
        <w:rPr>
          <w:bCs/>
        </w:rPr>
      </w:pPr>
    </w:p>
    <w:p w14:paraId="2A4D504D" w14:textId="1E2BA0E2" w:rsidR="00175BBE" w:rsidRPr="00175BBE" w:rsidRDefault="00175BBE" w:rsidP="007A6CDE">
      <w:pPr>
        <w:tabs>
          <w:tab w:val="left" w:pos="709"/>
        </w:tabs>
        <w:spacing w:after="0" w:line="360" w:lineRule="auto"/>
        <w:ind w:left="700" w:hanging="700"/>
        <w:jc w:val="both"/>
        <w:rPr>
          <w:bCs/>
          <w:u w:val="single"/>
        </w:rPr>
      </w:pPr>
      <w:r w:rsidRPr="00175BBE">
        <w:rPr>
          <w:bCs/>
          <w:u w:val="single"/>
        </w:rPr>
        <w:t>Appearances on behalf of the parties:</w:t>
      </w:r>
    </w:p>
    <w:p w14:paraId="2BF9B529" w14:textId="77777777" w:rsidR="00175BBE" w:rsidRDefault="00175BBE" w:rsidP="007A6CDE">
      <w:pPr>
        <w:tabs>
          <w:tab w:val="left" w:pos="709"/>
        </w:tabs>
        <w:spacing w:after="0" w:line="360" w:lineRule="auto"/>
        <w:ind w:left="700" w:hanging="700"/>
        <w:jc w:val="both"/>
        <w:rPr>
          <w:bCs/>
        </w:rPr>
      </w:pPr>
    </w:p>
    <w:p w14:paraId="2D73B7FD" w14:textId="78FDAED0" w:rsidR="00175BBE" w:rsidRDefault="00175BBE" w:rsidP="007A6CDE">
      <w:pPr>
        <w:tabs>
          <w:tab w:val="left" w:pos="709"/>
        </w:tabs>
        <w:spacing w:after="0" w:line="360" w:lineRule="auto"/>
        <w:ind w:left="700" w:hanging="700"/>
        <w:jc w:val="both"/>
        <w:rPr>
          <w:bCs/>
        </w:rPr>
      </w:pPr>
      <w:r>
        <w:rPr>
          <w:bCs/>
        </w:rPr>
        <w:t>Counsel for Applicant/</w:t>
      </w:r>
      <w:r w:rsidR="00B32413">
        <w:rPr>
          <w:bCs/>
        </w:rPr>
        <w:t>Defendant</w:t>
      </w:r>
      <w:r>
        <w:rPr>
          <w:bCs/>
        </w:rPr>
        <w:t>:</w:t>
      </w:r>
      <w:r w:rsidR="005E33C7">
        <w:rPr>
          <w:bCs/>
        </w:rPr>
        <w:tab/>
      </w:r>
      <w:r w:rsidR="005E33C7">
        <w:rPr>
          <w:bCs/>
        </w:rPr>
        <w:tab/>
      </w:r>
      <w:r w:rsidR="005E33C7">
        <w:rPr>
          <w:bCs/>
        </w:rPr>
        <w:tab/>
        <w:t xml:space="preserve">Adv </w:t>
      </w:r>
      <w:r w:rsidR="00B32413">
        <w:rPr>
          <w:bCs/>
        </w:rPr>
        <w:t xml:space="preserve">DT Skosana SC &amp; Adv MC </w:t>
      </w:r>
      <w:proofErr w:type="spellStart"/>
      <w:r w:rsidR="00B32413">
        <w:rPr>
          <w:bCs/>
        </w:rPr>
        <w:t>Phathela</w:t>
      </w:r>
      <w:proofErr w:type="spellEnd"/>
    </w:p>
    <w:p w14:paraId="11F0B461" w14:textId="126966AE" w:rsidR="00175BBE" w:rsidRDefault="00175BBE" w:rsidP="007A6CDE">
      <w:pPr>
        <w:tabs>
          <w:tab w:val="left" w:pos="709"/>
        </w:tabs>
        <w:spacing w:after="0" w:line="360" w:lineRule="auto"/>
        <w:ind w:left="700" w:hanging="700"/>
        <w:jc w:val="both"/>
        <w:rPr>
          <w:bCs/>
        </w:rPr>
      </w:pPr>
      <w:r>
        <w:rPr>
          <w:bCs/>
        </w:rPr>
        <w:t>Instructing Attorneys for Applicant/</w:t>
      </w:r>
      <w:r w:rsidR="00B32413">
        <w:rPr>
          <w:bCs/>
        </w:rPr>
        <w:t>Defendant</w:t>
      </w:r>
      <w:r>
        <w:rPr>
          <w:bCs/>
        </w:rPr>
        <w:t>:</w:t>
      </w:r>
      <w:r w:rsidR="005E33C7">
        <w:rPr>
          <w:bCs/>
        </w:rPr>
        <w:tab/>
      </w:r>
      <w:r w:rsidR="005E33C7">
        <w:rPr>
          <w:bCs/>
        </w:rPr>
        <w:tab/>
      </w:r>
      <w:r w:rsidR="00B32413">
        <w:rPr>
          <w:bCs/>
        </w:rPr>
        <w:t xml:space="preserve">The State </w:t>
      </w:r>
      <w:proofErr w:type="gramStart"/>
      <w:r w:rsidR="00B32413">
        <w:rPr>
          <w:bCs/>
        </w:rPr>
        <w:t>Attorney :</w:t>
      </w:r>
      <w:proofErr w:type="gramEnd"/>
      <w:r w:rsidR="00B32413">
        <w:rPr>
          <w:bCs/>
        </w:rPr>
        <w:t xml:space="preserve"> Pretoria</w:t>
      </w:r>
    </w:p>
    <w:p w14:paraId="09E04853" w14:textId="77777777" w:rsidR="00175BBE" w:rsidRDefault="00175BBE" w:rsidP="007A6CDE">
      <w:pPr>
        <w:tabs>
          <w:tab w:val="left" w:pos="709"/>
        </w:tabs>
        <w:spacing w:after="0" w:line="360" w:lineRule="auto"/>
        <w:ind w:left="700" w:hanging="700"/>
        <w:jc w:val="both"/>
        <w:rPr>
          <w:bCs/>
        </w:rPr>
      </w:pPr>
    </w:p>
    <w:p w14:paraId="3FC14E3E" w14:textId="61568185" w:rsidR="00175BBE" w:rsidRDefault="00175BBE" w:rsidP="007A6CDE">
      <w:pPr>
        <w:tabs>
          <w:tab w:val="left" w:pos="709"/>
        </w:tabs>
        <w:spacing w:after="0" w:line="360" w:lineRule="auto"/>
        <w:ind w:left="700" w:hanging="700"/>
        <w:jc w:val="both"/>
        <w:rPr>
          <w:bCs/>
        </w:rPr>
      </w:pPr>
      <w:r>
        <w:rPr>
          <w:bCs/>
        </w:rPr>
        <w:t>Counsel for Respondent/</w:t>
      </w:r>
      <w:r w:rsidR="00B32413">
        <w:rPr>
          <w:bCs/>
        </w:rPr>
        <w:t>Plaintiff</w:t>
      </w:r>
      <w:r>
        <w:rPr>
          <w:bCs/>
        </w:rPr>
        <w:t>:</w:t>
      </w:r>
      <w:r w:rsidR="005E33C7">
        <w:rPr>
          <w:bCs/>
        </w:rPr>
        <w:tab/>
      </w:r>
      <w:r w:rsidR="005E33C7">
        <w:rPr>
          <w:bCs/>
        </w:rPr>
        <w:tab/>
      </w:r>
      <w:r w:rsidR="005E33C7">
        <w:rPr>
          <w:bCs/>
        </w:rPr>
        <w:tab/>
      </w:r>
      <w:r w:rsidR="00B32413">
        <w:rPr>
          <w:bCs/>
        </w:rPr>
        <w:t>Adv DJ Joubert SC &amp; Adv GVR Fouché</w:t>
      </w:r>
    </w:p>
    <w:p w14:paraId="4CD6DC33" w14:textId="503F52C2" w:rsidR="00175BBE" w:rsidRDefault="00175BBE" w:rsidP="00B32413">
      <w:pPr>
        <w:tabs>
          <w:tab w:val="left" w:pos="709"/>
        </w:tabs>
        <w:spacing w:after="0" w:line="360" w:lineRule="auto"/>
        <w:ind w:left="5040" w:hanging="5040"/>
        <w:jc w:val="both"/>
        <w:rPr>
          <w:bCs/>
        </w:rPr>
      </w:pPr>
      <w:r>
        <w:rPr>
          <w:bCs/>
        </w:rPr>
        <w:t>Instructing Attorneys for Respondent/</w:t>
      </w:r>
      <w:r w:rsidR="00B32413">
        <w:rPr>
          <w:bCs/>
        </w:rPr>
        <w:t>Plaintiff</w:t>
      </w:r>
      <w:r>
        <w:rPr>
          <w:bCs/>
        </w:rPr>
        <w:t>:</w:t>
      </w:r>
      <w:r w:rsidR="00B32413">
        <w:rPr>
          <w:bCs/>
        </w:rPr>
        <w:tab/>
        <w:t>Bekker Brink &amp; Brink Attorneys c/o VDT Attorneys Inc</w:t>
      </w:r>
    </w:p>
    <w:p w14:paraId="0521193C" w14:textId="77777777" w:rsidR="00175BBE" w:rsidRDefault="00175BBE" w:rsidP="007A6CDE">
      <w:pPr>
        <w:tabs>
          <w:tab w:val="left" w:pos="709"/>
        </w:tabs>
        <w:spacing w:after="0" w:line="360" w:lineRule="auto"/>
        <w:ind w:left="700" w:hanging="700"/>
        <w:jc w:val="both"/>
        <w:rPr>
          <w:bCs/>
        </w:rPr>
      </w:pPr>
    </w:p>
    <w:p w14:paraId="496AE92F" w14:textId="5FFC0A52" w:rsidR="00175BBE" w:rsidRDefault="00175BBE" w:rsidP="007A6CDE">
      <w:pPr>
        <w:tabs>
          <w:tab w:val="left" w:pos="709"/>
        </w:tabs>
        <w:spacing w:after="0" w:line="360" w:lineRule="auto"/>
        <w:ind w:left="700" w:hanging="700"/>
        <w:jc w:val="both"/>
        <w:rPr>
          <w:bCs/>
        </w:rPr>
      </w:pPr>
      <w:r>
        <w:rPr>
          <w:bCs/>
        </w:rPr>
        <w:t xml:space="preserve">Date of Hearing: </w:t>
      </w:r>
      <w:r w:rsidR="005E33C7">
        <w:rPr>
          <w:bCs/>
        </w:rPr>
        <w:tab/>
      </w:r>
      <w:r w:rsidR="006D5D36">
        <w:rPr>
          <w:bCs/>
        </w:rPr>
        <w:t xml:space="preserve">6 </w:t>
      </w:r>
      <w:r w:rsidR="005E33C7">
        <w:rPr>
          <w:bCs/>
        </w:rPr>
        <w:t>February 2024</w:t>
      </w:r>
    </w:p>
    <w:p w14:paraId="348EDBF3" w14:textId="3883485E" w:rsidR="00175BBE" w:rsidRDefault="00175BBE" w:rsidP="007A6CDE">
      <w:pPr>
        <w:tabs>
          <w:tab w:val="left" w:pos="709"/>
        </w:tabs>
        <w:spacing w:after="0" w:line="360" w:lineRule="auto"/>
        <w:ind w:left="700" w:hanging="700"/>
        <w:jc w:val="both"/>
        <w:rPr>
          <w:bCs/>
        </w:rPr>
      </w:pPr>
      <w:r>
        <w:rPr>
          <w:bCs/>
        </w:rPr>
        <w:t>Date of Judgment:</w:t>
      </w:r>
      <w:r w:rsidR="0025786E">
        <w:rPr>
          <w:bCs/>
        </w:rPr>
        <w:tab/>
      </w:r>
      <w:r w:rsidR="00157283">
        <w:rPr>
          <w:bCs/>
        </w:rPr>
        <w:t xml:space="preserve">17 </w:t>
      </w:r>
      <w:r w:rsidR="0025786E">
        <w:rPr>
          <w:bCs/>
        </w:rPr>
        <w:t>April 2024</w:t>
      </w:r>
    </w:p>
    <w:p w14:paraId="45585962" w14:textId="77777777" w:rsidR="00175BBE" w:rsidRDefault="00175BBE" w:rsidP="007A6CDE">
      <w:pPr>
        <w:tabs>
          <w:tab w:val="left" w:pos="709"/>
        </w:tabs>
        <w:spacing w:after="0" w:line="360" w:lineRule="auto"/>
        <w:ind w:left="700" w:hanging="700"/>
        <w:jc w:val="both"/>
        <w:rPr>
          <w:bCs/>
        </w:rPr>
      </w:pPr>
    </w:p>
    <w:p w14:paraId="0AA36898" w14:textId="4CDF0939" w:rsidR="00647DCC" w:rsidRPr="00397FBF" w:rsidRDefault="00647DCC" w:rsidP="0063714C">
      <w:pPr>
        <w:tabs>
          <w:tab w:val="left" w:pos="709"/>
        </w:tabs>
        <w:spacing w:after="0" w:line="360" w:lineRule="auto"/>
        <w:jc w:val="both"/>
        <w:rPr>
          <w:bCs/>
        </w:rPr>
      </w:pPr>
    </w:p>
    <w:sectPr w:rsidR="00647DCC" w:rsidRPr="00397FBF" w:rsidSect="00F55443">
      <w:headerReference w:type="even" r:id="rId1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62577" w14:textId="77777777" w:rsidR="00F55443" w:rsidRDefault="00F55443" w:rsidP="00805433">
      <w:pPr>
        <w:spacing w:after="0" w:line="240" w:lineRule="auto"/>
      </w:pPr>
      <w:r>
        <w:separator/>
      </w:r>
    </w:p>
  </w:endnote>
  <w:endnote w:type="continuationSeparator" w:id="0">
    <w:p w14:paraId="2F40BAA5" w14:textId="77777777" w:rsidR="00F55443" w:rsidRDefault="00F55443" w:rsidP="008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8232" w14:textId="7DBE469D" w:rsidR="00805433" w:rsidRDefault="00805433" w:rsidP="00D4025A">
    <w:pPr>
      <w:pStyle w:val="Footer"/>
      <w:jc w:val="center"/>
    </w:pPr>
  </w:p>
  <w:p w14:paraId="4195ABA1" w14:textId="77777777" w:rsidR="00805433" w:rsidRDefault="0080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8B868" w14:textId="77777777" w:rsidR="00F55443" w:rsidRDefault="00F55443" w:rsidP="00805433">
      <w:pPr>
        <w:spacing w:after="0" w:line="240" w:lineRule="auto"/>
      </w:pPr>
      <w:r>
        <w:separator/>
      </w:r>
    </w:p>
  </w:footnote>
  <w:footnote w:type="continuationSeparator" w:id="0">
    <w:p w14:paraId="6EB36A48" w14:textId="77777777" w:rsidR="00F55443" w:rsidRDefault="00F55443" w:rsidP="00805433">
      <w:pPr>
        <w:spacing w:after="0" w:line="240" w:lineRule="auto"/>
      </w:pPr>
      <w:r>
        <w:continuationSeparator/>
      </w:r>
    </w:p>
  </w:footnote>
  <w:footnote w:id="1">
    <w:p w14:paraId="2567F32E" w14:textId="77777777" w:rsidR="009D0FB9" w:rsidRPr="009D0FB9" w:rsidRDefault="009D0FB9" w:rsidP="009D0FB9">
      <w:pPr>
        <w:pStyle w:val="FootnoteText"/>
        <w:rPr>
          <w:lang w:val="en-US"/>
        </w:rPr>
      </w:pPr>
      <w:r>
        <w:rPr>
          <w:rStyle w:val="FootnoteReference"/>
        </w:rPr>
        <w:footnoteRef/>
      </w:r>
      <w:r>
        <w:t xml:space="preserve">  </w:t>
      </w:r>
      <w:r>
        <w:rPr>
          <w:bCs/>
          <w:i/>
          <w:iCs/>
        </w:rPr>
        <w:t>President of the Republic of South Africa and Others v M&amp;G Media Ltd 2011(2) SA 1 (SCA) at para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1374126"/>
      <w:docPartObj>
        <w:docPartGallery w:val="Page Numbers (Top of Page)"/>
        <w:docPartUnique/>
      </w:docPartObj>
    </w:sdtPr>
    <w:sdtContent>
      <w:p w14:paraId="36B5BE6A" w14:textId="1865904E"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35E4E" w14:textId="77777777" w:rsidR="00BA0A14" w:rsidRDefault="00BA0A14" w:rsidP="00BA0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7281671"/>
      <w:docPartObj>
        <w:docPartGallery w:val="Page Numbers (Top of Page)"/>
        <w:docPartUnique/>
      </w:docPartObj>
    </w:sdtPr>
    <w:sdtContent>
      <w:p w14:paraId="646C9BA4" w14:textId="5CE22B75"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4027">
          <w:rPr>
            <w:rStyle w:val="PageNumber"/>
            <w:noProof/>
          </w:rPr>
          <w:t>12</w:t>
        </w:r>
        <w:r>
          <w:rPr>
            <w:rStyle w:val="PageNumber"/>
          </w:rPr>
          <w:fldChar w:fldCharType="end"/>
        </w:r>
      </w:p>
    </w:sdtContent>
  </w:sdt>
  <w:p w14:paraId="27E3ACE5" w14:textId="77777777" w:rsidR="00BA0A14" w:rsidRDefault="00BA0A14" w:rsidP="00BA0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AC32BD"/>
    <w:multiLevelType w:val="multilevel"/>
    <w:tmpl w:val="66FEB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87EAC"/>
    <w:multiLevelType w:val="hybridMultilevel"/>
    <w:tmpl w:val="0A30438C"/>
    <w:lvl w:ilvl="0" w:tplc="B7DC0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956211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0196">
    <w:abstractNumId w:val="2"/>
  </w:num>
  <w:num w:numId="3" w16cid:durableId="2008315749">
    <w:abstractNumId w:val="1"/>
  </w:num>
  <w:num w:numId="4" w16cid:durableId="115765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0"/>
    <w:rsid w:val="00000C2D"/>
    <w:rsid w:val="00001A5A"/>
    <w:rsid w:val="000025CA"/>
    <w:rsid w:val="00002E48"/>
    <w:rsid w:val="00002F79"/>
    <w:rsid w:val="0000504C"/>
    <w:rsid w:val="0000514D"/>
    <w:rsid w:val="00005E7C"/>
    <w:rsid w:val="00012D15"/>
    <w:rsid w:val="00013002"/>
    <w:rsid w:val="000135DC"/>
    <w:rsid w:val="000157CA"/>
    <w:rsid w:val="000201AD"/>
    <w:rsid w:val="000202B7"/>
    <w:rsid w:val="000229C8"/>
    <w:rsid w:val="000317B0"/>
    <w:rsid w:val="00032016"/>
    <w:rsid w:val="00033F65"/>
    <w:rsid w:val="00034C39"/>
    <w:rsid w:val="00034F66"/>
    <w:rsid w:val="00035EE5"/>
    <w:rsid w:val="00037266"/>
    <w:rsid w:val="00042A36"/>
    <w:rsid w:val="00044F31"/>
    <w:rsid w:val="0004601A"/>
    <w:rsid w:val="00046477"/>
    <w:rsid w:val="00050F34"/>
    <w:rsid w:val="00051134"/>
    <w:rsid w:val="00051B01"/>
    <w:rsid w:val="00052FE1"/>
    <w:rsid w:val="00056719"/>
    <w:rsid w:val="00056BD0"/>
    <w:rsid w:val="00056CE5"/>
    <w:rsid w:val="00057964"/>
    <w:rsid w:val="000620CC"/>
    <w:rsid w:val="0006215D"/>
    <w:rsid w:val="0006313E"/>
    <w:rsid w:val="00063F92"/>
    <w:rsid w:val="000779F3"/>
    <w:rsid w:val="00087304"/>
    <w:rsid w:val="0009123F"/>
    <w:rsid w:val="0009266B"/>
    <w:rsid w:val="00093EA9"/>
    <w:rsid w:val="00096BB4"/>
    <w:rsid w:val="000973FE"/>
    <w:rsid w:val="00097640"/>
    <w:rsid w:val="000A108C"/>
    <w:rsid w:val="000A17CF"/>
    <w:rsid w:val="000A1B04"/>
    <w:rsid w:val="000B4515"/>
    <w:rsid w:val="000B6738"/>
    <w:rsid w:val="000B7312"/>
    <w:rsid w:val="000B7724"/>
    <w:rsid w:val="000B796D"/>
    <w:rsid w:val="000B7F5B"/>
    <w:rsid w:val="000B7FDC"/>
    <w:rsid w:val="000C03F2"/>
    <w:rsid w:val="000C132E"/>
    <w:rsid w:val="000C1CBF"/>
    <w:rsid w:val="000C2099"/>
    <w:rsid w:val="000C26E6"/>
    <w:rsid w:val="000C4DD4"/>
    <w:rsid w:val="000C544E"/>
    <w:rsid w:val="000C71D7"/>
    <w:rsid w:val="000D3F38"/>
    <w:rsid w:val="000E05CF"/>
    <w:rsid w:val="000E2282"/>
    <w:rsid w:val="000E359E"/>
    <w:rsid w:val="000E3F36"/>
    <w:rsid w:val="000E45BF"/>
    <w:rsid w:val="000E4737"/>
    <w:rsid w:val="000F0408"/>
    <w:rsid w:val="000F3E80"/>
    <w:rsid w:val="000F4108"/>
    <w:rsid w:val="00100B03"/>
    <w:rsid w:val="00101407"/>
    <w:rsid w:val="0010265D"/>
    <w:rsid w:val="00102BEA"/>
    <w:rsid w:val="00102C00"/>
    <w:rsid w:val="00105521"/>
    <w:rsid w:val="00107F23"/>
    <w:rsid w:val="00110F7C"/>
    <w:rsid w:val="0011220C"/>
    <w:rsid w:val="0011237F"/>
    <w:rsid w:val="00112A82"/>
    <w:rsid w:val="001171C6"/>
    <w:rsid w:val="00117683"/>
    <w:rsid w:val="00121BDD"/>
    <w:rsid w:val="001222FD"/>
    <w:rsid w:val="00122F13"/>
    <w:rsid w:val="00127E2A"/>
    <w:rsid w:val="00130327"/>
    <w:rsid w:val="001307C9"/>
    <w:rsid w:val="001313A5"/>
    <w:rsid w:val="0013223C"/>
    <w:rsid w:val="001365EC"/>
    <w:rsid w:val="001412BF"/>
    <w:rsid w:val="0014437F"/>
    <w:rsid w:val="00147D59"/>
    <w:rsid w:val="001543DE"/>
    <w:rsid w:val="00157283"/>
    <w:rsid w:val="00160357"/>
    <w:rsid w:val="00161403"/>
    <w:rsid w:val="00163983"/>
    <w:rsid w:val="0016409E"/>
    <w:rsid w:val="00165A99"/>
    <w:rsid w:val="00166D79"/>
    <w:rsid w:val="00166F09"/>
    <w:rsid w:val="00166F9D"/>
    <w:rsid w:val="0016792D"/>
    <w:rsid w:val="00167C6F"/>
    <w:rsid w:val="001728D7"/>
    <w:rsid w:val="00173503"/>
    <w:rsid w:val="001754B2"/>
    <w:rsid w:val="00175BBE"/>
    <w:rsid w:val="00175F8A"/>
    <w:rsid w:val="00176170"/>
    <w:rsid w:val="001834DD"/>
    <w:rsid w:val="00183E74"/>
    <w:rsid w:val="0018518B"/>
    <w:rsid w:val="0019012F"/>
    <w:rsid w:val="00190953"/>
    <w:rsid w:val="00190A41"/>
    <w:rsid w:val="00193688"/>
    <w:rsid w:val="001968E9"/>
    <w:rsid w:val="00196F38"/>
    <w:rsid w:val="001A1E43"/>
    <w:rsid w:val="001A269E"/>
    <w:rsid w:val="001A28A4"/>
    <w:rsid w:val="001A2AF9"/>
    <w:rsid w:val="001A360D"/>
    <w:rsid w:val="001A5459"/>
    <w:rsid w:val="001A666A"/>
    <w:rsid w:val="001A7448"/>
    <w:rsid w:val="001B1574"/>
    <w:rsid w:val="001B3442"/>
    <w:rsid w:val="001B5A23"/>
    <w:rsid w:val="001B6E87"/>
    <w:rsid w:val="001B72DF"/>
    <w:rsid w:val="001C0C24"/>
    <w:rsid w:val="001C4578"/>
    <w:rsid w:val="001C4B15"/>
    <w:rsid w:val="001C59FD"/>
    <w:rsid w:val="001D52CA"/>
    <w:rsid w:val="001E2605"/>
    <w:rsid w:val="001E2A90"/>
    <w:rsid w:val="001E4A61"/>
    <w:rsid w:val="001E67F6"/>
    <w:rsid w:val="001F0662"/>
    <w:rsid w:val="001F41AC"/>
    <w:rsid w:val="001F62C0"/>
    <w:rsid w:val="001F6AE6"/>
    <w:rsid w:val="001F6F95"/>
    <w:rsid w:val="001F71E6"/>
    <w:rsid w:val="00200FFD"/>
    <w:rsid w:val="002012C5"/>
    <w:rsid w:val="0020199E"/>
    <w:rsid w:val="00201DC7"/>
    <w:rsid w:val="00202153"/>
    <w:rsid w:val="00206CE0"/>
    <w:rsid w:val="00212AD2"/>
    <w:rsid w:val="002164A7"/>
    <w:rsid w:val="00217487"/>
    <w:rsid w:val="00221E68"/>
    <w:rsid w:val="00221E9E"/>
    <w:rsid w:val="00222D9B"/>
    <w:rsid w:val="00224B76"/>
    <w:rsid w:val="00224CD5"/>
    <w:rsid w:val="002269EE"/>
    <w:rsid w:val="0022740B"/>
    <w:rsid w:val="002313CE"/>
    <w:rsid w:val="002328FE"/>
    <w:rsid w:val="00232EC7"/>
    <w:rsid w:val="00237C12"/>
    <w:rsid w:val="00237DB8"/>
    <w:rsid w:val="002400A0"/>
    <w:rsid w:val="00241B19"/>
    <w:rsid w:val="00244027"/>
    <w:rsid w:val="002452D0"/>
    <w:rsid w:val="0024787C"/>
    <w:rsid w:val="0025057C"/>
    <w:rsid w:val="002516CD"/>
    <w:rsid w:val="00252CAC"/>
    <w:rsid w:val="00253132"/>
    <w:rsid w:val="0025368C"/>
    <w:rsid w:val="002567FE"/>
    <w:rsid w:val="00257115"/>
    <w:rsid w:val="0025786E"/>
    <w:rsid w:val="00257A01"/>
    <w:rsid w:val="002609D3"/>
    <w:rsid w:val="002663B8"/>
    <w:rsid w:val="002710AB"/>
    <w:rsid w:val="0027315D"/>
    <w:rsid w:val="0027366D"/>
    <w:rsid w:val="0027370E"/>
    <w:rsid w:val="00283B3F"/>
    <w:rsid w:val="002862DD"/>
    <w:rsid w:val="00292767"/>
    <w:rsid w:val="00294E7E"/>
    <w:rsid w:val="00295E3B"/>
    <w:rsid w:val="00296131"/>
    <w:rsid w:val="002A010D"/>
    <w:rsid w:val="002A0D62"/>
    <w:rsid w:val="002A260C"/>
    <w:rsid w:val="002B151C"/>
    <w:rsid w:val="002B21AA"/>
    <w:rsid w:val="002B2EAC"/>
    <w:rsid w:val="002B4EF5"/>
    <w:rsid w:val="002B702C"/>
    <w:rsid w:val="002C11B6"/>
    <w:rsid w:val="002C77D3"/>
    <w:rsid w:val="002D252F"/>
    <w:rsid w:val="002E490F"/>
    <w:rsid w:val="002E5BDF"/>
    <w:rsid w:val="002E6560"/>
    <w:rsid w:val="002E6B10"/>
    <w:rsid w:val="002E6CE2"/>
    <w:rsid w:val="002E7166"/>
    <w:rsid w:val="002F2F0B"/>
    <w:rsid w:val="002F5204"/>
    <w:rsid w:val="002F56F9"/>
    <w:rsid w:val="002F7CAA"/>
    <w:rsid w:val="003002CC"/>
    <w:rsid w:val="00304E19"/>
    <w:rsid w:val="00307C1F"/>
    <w:rsid w:val="00310694"/>
    <w:rsid w:val="00311B9F"/>
    <w:rsid w:val="00312A57"/>
    <w:rsid w:val="003145C6"/>
    <w:rsid w:val="00314689"/>
    <w:rsid w:val="003147E9"/>
    <w:rsid w:val="00321099"/>
    <w:rsid w:val="00321FCA"/>
    <w:rsid w:val="00322C73"/>
    <w:rsid w:val="00324041"/>
    <w:rsid w:val="00324E0E"/>
    <w:rsid w:val="0032514F"/>
    <w:rsid w:val="0032546E"/>
    <w:rsid w:val="0032626C"/>
    <w:rsid w:val="003266C0"/>
    <w:rsid w:val="0033009A"/>
    <w:rsid w:val="00330154"/>
    <w:rsid w:val="00330AED"/>
    <w:rsid w:val="00334A87"/>
    <w:rsid w:val="00334C12"/>
    <w:rsid w:val="003361EB"/>
    <w:rsid w:val="003363F2"/>
    <w:rsid w:val="00336621"/>
    <w:rsid w:val="0033711D"/>
    <w:rsid w:val="00347005"/>
    <w:rsid w:val="00347037"/>
    <w:rsid w:val="003470C8"/>
    <w:rsid w:val="00347CBB"/>
    <w:rsid w:val="00350416"/>
    <w:rsid w:val="0035291B"/>
    <w:rsid w:val="0035482A"/>
    <w:rsid w:val="003555F4"/>
    <w:rsid w:val="00356D18"/>
    <w:rsid w:val="0035700C"/>
    <w:rsid w:val="003608AE"/>
    <w:rsid w:val="00361A4A"/>
    <w:rsid w:val="0036266E"/>
    <w:rsid w:val="00363FE6"/>
    <w:rsid w:val="003663F5"/>
    <w:rsid w:val="0036680C"/>
    <w:rsid w:val="003707F7"/>
    <w:rsid w:val="00374AB4"/>
    <w:rsid w:val="00377FD2"/>
    <w:rsid w:val="00380DE3"/>
    <w:rsid w:val="00381D55"/>
    <w:rsid w:val="003866A8"/>
    <w:rsid w:val="00393666"/>
    <w:rsid w:val="003937BD"/>
    <w:rsid w:val="003939B2"/>
    <w:rsid w:val="00394A9A"/>
    <w:rsid w:val="003957E9"/>
    <w:rsid w:val="003979AF"/>
    <w:rsid w:val="00397FBF"/>
    <w:rsid w:val="003A0BC9"/>
    <w:rsid w:val="003A3561"/>
    <w:rsid w:val="003B16AE"/>
    <w:rsid w:val="003B2D19"/>
    <w:rsid w:val="003B46D9"/>
    <w:rsid w:val="003B7475"/>
    <w:rsid w:val="003C1454"/>
    <w:rsid w:val="003C3FBF"/>
    <w:rsid w:val="003D0A90"/>
    <w:rsid w:val="003D1DD3"/>
    <w:rsid w:val="003D211E"/>
    <w:rsid w:val="003D3D0A"/>
    <w:rsid w:val="003E0856"/>
    <w:rsid w:val="003E0C24"/>
    <w:rsid w:val="003E6E83"/>
    <w:rsid w:val="003E719B"/>
    <w:rsid w:val="003E758B"/>
    <w:rsid w:val="003F33DF"/>
    <w:rsid w:val="003F429C"/>
    <w:rsid w:val="00401AA6"/>
    <w:rsid w:val="004033A6"/>
    <w:rsid w:val="00410237"/>
    <w:rsid w:val="00410CF0"/>
    <w:rsid w:val="00411C32"/>
    <w:rsid w:val="00414544"/>
    <w:rsid w:val="00414A0E"/>
    <w:rsid w:val="00415995"/>
    <w:rsid w:val="00416E81"/>
    <w:rsid w:val="00417058"/>
    <w:rsid w:val="00417AF5"/>
    <w:rsid w:val="004237FC"/>
    <w:rsid w:val="00423BD1"/>
    <w:rsid w:val="00426ED4"/>
    <w:rsid w:val="00430043"/>
    <w:rsid w:val="00433A1B"/>
    <w:rsid w:val="00433EFF"/>
    <w:rsid w:val="00434B7D"/>
    <w:rsid w:val="00434DE3"/>
    <w:rsid w:val="00436323"/>
    <w:rsid w:val="00436C98"/>
    <w:rsid w:val="00436D06"/>
    <w:rsid w:val="00437642"/>
    <w:rsid w:val="00440FD6"/>
    <w:rsid w:val="00441324"/>
    <w:rsid w:val="004418D4"/>
    <w:rsid w:val="004423FE"/>
    <w:rsid w:val="004460EC"/>
    <w:rsid w:val="00446233"/>
    <w:rsid w:val="00453A79"/>
    <w:rsid w:val="00456032"/>
    <w:rsid w:val="00457B19"/>
    <w:rsid w:val="004612A4"/>
    <w:rsid w:val="00461F6A"/>
    <w:rsid w:val="00463017"/>
    <w:rsid w:val="00463770"/>
    <w:rsid w:val="00464FD4"/>
    <w:rsid w:val="00466E47"/>
    <w:rsid w:val="004677A2"/>
    <w:rsid w:val="00467937"/>
    <w:rsid w:val="00470887"/>
    <w:rsid w:val="00473510"/>
    <w:rsid w:val="004737D0"/>
    <w:rsid w:val="00475E6D"/>
    <w:rsid w:val="004776CF"/>
    <w:rsid w:val="004816F7"/>
    <w:rsid w:val="004818E3"/>
    <w:rsid w:val="00483032"/>
    <w:rsid w:val="00483500"/>
    <w:rsid w:val="004836DF"/>
    <w:rsid w:val="00483FE5"/>
    <w:rsid w:val="004848CB"/>
    <w:rsid w:val="0048548A"/>
    <w:rsid w:val="0048614B"/>
    <w:rsid w:val="00486E97"/>
    <w:rsid w:val="004903FD"/>
    <w:rsid w:val="0049347C"/>
    <w:rsid w:val="0049435A"/>
    <w:rsid w:val="0049747C"/>
    <w:rsid w:val="00497BC4"/>
    <w:rsid w:val="004A1958"/>
    <w:rsid w:val="004A2491"/>
    <w:rsid w:val="004A27DE"/>
    <w:rsid w:val="004A2E53"/>
    <w:rsid w:val="004A2ED8"/>
    <w:rsid w:val="004A33EA"/>
    <w:rsid w:val="004A426A"/>
    <w:rsid w:val="004A42CD"/>
    <w:rsid w:val="004A4B01"/>
    <w:rsid w:val="004B07B1"/>
    <w:rsid w:val="004B3A3B"/>
    <w:rsid w:val="004B5ACD"/>
    <w:rsid w:val="004B61A4"/>
    <w:rsid w:val="004C053F"/>
    <w:rsid w:val="004C1468"/>
    <w:rsid w:val="004C1638"/>
    <w:rsid w:val="004C7D35"/>
    <w:rsid w:val="004D1226"/>
    <w:rsid w:val="004D1678"/>
    <w:rsid w:val="004D1A07"/>
    <w:rsid w:val="004D4052"/>
    <w:rsid w:val="004D4483"/>
    <w:rsid w:val="004D55E3"/>
    <w:rsid w:val="004D7B9F"/>
    <w:rsid w:val="004E189B"/>
    <w:rsid w:val="004E5297"/>
    <w:rsid w:val="004E70EA"/>
    <w:rsid w:val="004F7C7B"/>
    <w:rsid w:val="00503413"/>
    <w:rsid w:val="0050349B"/>
    <w:rsid w:val="00507FA7"/>
    <w:rsid w:val="00510860"/>
    <w:rsid w:val="00511FC1"/>
    <w:rsid w:val="0051424E"/>
    <w:rsid w:val="005168E7"/>
    <w:rsid w:val="0052020F"/>
    <w:rsid w:val="005219EB"/>
    <w:rsid w:val="00524973"/>
    <w:rsid w:val="005251B3"/>
    <w:rsid w:val="005274D1"/>
    <w:rsid w:val="00527B09"/>
    <w:rsid w:val="00531A10"/>
    <w:rsid w:val="00531D16"/>
    <w:rsid w:val="00533D95"/>
    <w:rsid w:val="005364F7"/>
    <w:rsid w:val="005379EB"/>
    <w:rsid w:val="00540137"/>
    <w:rsid w:val="0054081F"/>
    <w:rsid w:val="0054334B"/>
    <w:rsid w:val="00545A7E"/>
    <w:rsid w:val="00546D9E"/>
    <w:rsid w:val="00552F26"/>
    <w:rsid w:val="005553F1"/>
    <w:rsid w:val="00555626"/>
    <w:rsid w:val="00560DBB"/>
    <w:rsid w:val="005613B4"/>
    <w:rsid w:val="005616EA"/>
    <w:rsid w:val="00565331"/>
    <w:rsid w:val="00571678"/>
    <w:rsid w:val="00583D03"/>
    <w:rsid w:val="0058428A"/>
    <w:rsid w:val="00584592"/>
    <w:rsid w:val="00590065"/>
    <w:rsid w:val="005904C9"/>
    <w:rsid w:val="00590550"/>
    <w:rsid w:val="00592785"/>
    <w:rsid w:val="00594C07"/>
    <w:rsid w:val="00597A67"/>
    <w:rsid w:val="005A0E99"/>
    <w:rsid w:val="005A1C29"/>
    <w:rsid w:val="005A2046"/>
    <w:rsid w:val="005B0FD7"/>
    <w:rsid w:val="005B4903"/>
    <w:rsid w:val="005B5815"/>
    <w:rsid w:val="005B6698"/>
    <w:rsid w:val="005B6B27"/>
    <w:rsid w:val="005C277B"/>
    <w:rsid w:val="005D058C"/>
    <w:rsid w:val="005D2C27"/>
    <w:rsid w:val="005D5FF0"/>
    <w:rsid w:val="005E190F"/>
    <w:rsid w:val="005E33C7"/>
    <w:rsid w:val="005E418D"/>
    <w:rsid w:val="005F6998"/>
    <w:rsid w:val="005F6F85"/>
    <w:rsid w:val="006020A0"/>
    <w:rsid w:val="00602917"/>
    <w:rsid w:val="0061165F"/>
    <w:rsid w:val="00611B36"/>
    <w:rsid w:val="00617421"/>
    <w:rsid w:val="00621FC7"/>
    <w:rsid w:val="0062449C"/>
    <w:rsid w:val="00624E51"/>
    <w:rsid w:val="00633884"/>
    <w:rsid w:val="00634F9D"/>
    <w:rsid w:val="0063578F"/>
    <w:rsid w:val="0063714C"/>
    <w:rsid w:val="006436BC"/>
    <w:rsid w:val="00643960"/>
    <w:rsid w:val="00645E4B"/>
    <w:rsid w:val="00647DCC"/>
    <w:rsid w:val="00656555"/>
    <w:rsid w:val="00657F93"/>
    <w:rsid w:val="006614A0"/>
    <w:rsid w:val="00661C9F"/>
    <w:rsid w:val="00663D17"/>
    <w:rsid w:val="00664029"/>
    <w:rsid w:val="006657AE"/>
    <w:rsid w:val="00665ED4"/>
    <w:rsid w:val="0066683D"/>
    <w:rsid w:val="0067338E"/>
    <w:rsid w:val="00676823"/>
    <w:rsid w:val="00676D7E"/>
    <w:rsid w:val="00681EB6"/>
    <w:rsid w:val="00694E39"/>
    <w:rsid w:val="0069561F"/>
    <w:rsid w:val="006A556A"/>
    <w:rsid w:val="006A5664"/>
    <w:rsid w:val="006A5FDB"/>
    <w:rsid w:val="006A7174"/>
    <w:rsid w:val="006A7233"/>
    <w:rsid w:val="006A78C0"/>
    <w:rsid w:val="006C2830"/>
    <w:rsid w:val="006C3AC6"/>
    <w:rsid w:val="006C4E7B"/>
    <w:rsid w:val="006C7197"/>
    <w:rsid w:val="006D2DD5"/>
    <w:rsid w:val="006D2E88"/>
    <w:rsid w:val="006D3517"/>
    <w:rsid w:val="006D4E93"/>
    <w:rsid w:val="006D5D36"/>
    <w:rsid w:val="006D778B"/>
    <w:rsid w:val="006E06ED"/>
    <w:rsid w:val="006E0833"/>
    <w:rsid w:val="006E395C"/>
    <w:rsid w:val="006E499C"/>
    <w:rsid w:val="006E7112"/>
    <w:rsid w:val="006F051B"/>
    <w:rsid w:val="006F16B0"/>
    <w:rsid w:val="006F423E"/>
    <w:rsid w:val="00701298"/>
    <w:rsid w:val="00701E13"/>
    <w:rsid w:val="00703855"/>
    <w:rsid w:val="007066D0"/>
    <w:rsid w:val="007072F5"/>
    <w:rsid w:val="00711A81"/>
    <w:rsid w:val="00712723"/>
    <w:rsid w:val="00717811"/>
    <w:rsid w:val="00725DA9"/>
    <w:rsid w:val="00734531"/>
    <w:rsid w:val="00734CA1"/>
    <w:rsid w:val="00745223"/>
    <w:rsid w:val="007463B6"/>
    <w:rsid w:val="00746BF8"/>
    <w:rsid w:val="00747CBD"/>
    <w:rsid w:val="00750CC5"/>
    <w:rsid w:val="00756CB1"/>
    <w:rsid w:val="007609F5"/>
    <w:rsid w:val="00761828"/>
    <w:rsid w:val="00761AC7"/>
    <w:rsid w:val="00761EA2"/>
    <w:rsid w:val="00762261"/>
    <w:rsid w:val="00762674"/>
    <w:rsid w:val="007661E7"/>
    <w:rsid w:val="00767DF6"/>
    <w:rsid w:val="00770297"/>
    <w:rsid w:val="007728A6"/>
    <w:rsid w:val="0077352F"/>
    <w:rsid w:val="00773EA0"/>
    <w:rsid w:val="007747D0"/>
    <w:rsid w:val="00775451"/>
    <w:rsid w:val="00782094"/>
    <w:rsid w:val="007820F4"/>
    <w:rsid w:val="00782C55"/>
    <w:rsid w:val="00785D11"/>
    <w:rsid w:val="00786EE2"/>
    <w:rsid w:val="00794C82"/>
    <w:rsid w:val="00794C91"/>
    <w:rsid w:val="00796B8B"/>
    <w:rsid w:val="007A19C3"/>
    <w:rsid w:val="007A291D"/>
    <w:rsid w:val="007A38EF"/>
    <w:rsid w:val="007A4FCA"/>
    <w:rsid w:val="007A55D2"/>
    <w:rsid w:val="007A6B98"/>
    <w:rsid w:val="007A6CDE"/>
    <w:rsid w:val="007A7F9E"/>
    <w:rsid w:val="007B1702"/>
    <w:rsid w:val="007B27B9"/>
    <w:rsid w:val="007B2A64"/>
    <w:rsid w:val="007B2C78"/>
    <w:rsid w:val="007B4471"/>
    <w:rsid w:val="007B4600"/>
    <w:rsid w:val="007C3A14"/>
    <w:rsid w:val="007C453F"/>
    <w:rsid w:val="007C5DEB"/>
    <w:rsid w:val="007C63AE"/>
    <w:rsid w:val="007C7022"/>
    <w:rsid w:val="007D1BD4"/>
    <w:rsid w:val="007D2F31"/>
    <w:rsid w:val="007D3124"/>
    <w:rsid w:val="007D6E09"/>
    <w:rsid w:val="007E003E"/>
    <w:rsid w:val="007E6303"/>
    <w:rsid w:val="007E7C18"/>
    <w:rsid w:val="007F0895"/>
    <w:rsid w:val="007F566D"/>
    <w:rsid w:val="00802E32"/>
    <w:rsid w:val="0080352D"/>
    <w:rsid w:val="00804180"/>
    <w:rsid w:val="00804407"/>
    <w:rsid w:val="0080448E"/>
    <w:rsid w:val="00805267"/>
    <w:rsid w:val="00805433"/>
    <w:rsid w:val="00806016"/>
    <w:rsid w:val="00806919"/>
    <w:rsid w:val="00807EEB"/>
    <w:rsid w:val="00810A38"/>
    <w:rsid w:val="00814F88"/>
    <w:rsid w:val="00817851"/>
    <w:rsid w:val="00817E5A"/>
    <w:rsid w:val="00822702"/>
    <w:rsid w:val="00823729"/>
    <w:rsid w:val="0082397F"/>
    <w:rsid w:val="00826193"/>
    <w:rsid w:val="00827698"/>
    <w:rsid w:val="00831C56"/>
    <w:rsid w:val="00837E09"/>
    <w:rsid w:val="00840911"/>
    <w:rsid w:val="00840D9F"/>
    <w:rsid w:val="00841DAE"/>
    <w:rsid w:val="00843EB6"/>
    <w:rsid w:val="00844907"/>
    <w:rsid w:val="008455D1"/>
    <w:rsid w:val="00847180"/>
    <w:rsid w:val="00847DA8"/>
    <w:rsid w:val="00847FD6"/>
    <w:rsid w:val="00855E79"/>
    <w:rsid w:val="008568E7"/>
    <w:rsid w:val="00856A41"/>
    <w:rsid w:val="00856F4A"/>
    <w:rsid w:val="008602E7"/>
    <w:rsid w:val="0086482C"/>
    <w:rsid w:val="00866A6A"/>
    <w:rsid w:val="008702D9"/>
    <w:rsid w:val="008708A3"/>
    <w:rsid w:val="00873983"/>
    <w:rsid w:val="008756C4"/>
    <w:rsid w:val="008801D7"/>
    <w:rsid w:val="0088303F"/>
    <w:rsid w:val="008849A2"/>
    <w:rsid w:val="00890BAB"/>
    <w:rsid w:val="0089350E"/>
    <w:rsid w:val="00896CFE"/>
    <w:rsid w:val="00897C43"/>
    <w:rsid w:val="008A0E4C"/>
    <w:rsid w:val="008A124C"/>
    <w:rsid w:val="008A2BF9"/>
    <w:rsid w:val="008A4788"/>
    <w:rsid w:val="008A496E"/>
    <w:rsid w:val="008A550C"/>
    <w:rsid w:val="008A555B"/>
    <w:rsid w:val="008B1B6F"/>
    <w:rsid w:val="008B4AED"/>
    <w:rsid w:val="008B587A"/>
    <w:rsid w:val="008B5ED5"/>
    <w:rsid w:val="008C1016"/>
    <w:rsid w:val="008C27B0"/>
    <w:rsid w:val="008C2F16"/>
    <w:rsid w:val="008C65B0"/>
    <w:rsid w:val="008C675B"/>
    <w:rsid w:val="008D3A7C"/>
    <w:rsid w:val="008D5F38"/>
    <w:rsid w:val="008D6031"/>
    <w:rsid w:val="008D748A"/>
    <w:rsid w:val="008E1269"/>
    <w:rsid w:val="008E4CB1"/>
    <w:rsid w:val="008E74FC"/>
    <w:rsid w:val="008E7FF4"/>
    <w:rsid w:val="008F1040"/>
    <w:rsid w:val="008F4690"/>
    <w:rsid w:val="008F7A82"/>
    <w:rsid w:val="008F7D25"/>
    <w:rsid w:val="009004C8"/>
    <w:rsid w:val="00903704"/>
    <w:rsid w:val="00904012"/>
    <w:rsid w:val="009050DC"/>
    <w:rsid w:val="00905287"/>
    <w:rsid w:val="009059D6"/>
    <w:rsid w:val="00905ABF"/>
    <w:rsid w:val="00911B4B"/>
    <w:rsid w:val="00913A9D"/>
    <w:rsid w:val="00914C7B"/>
    <w:rsid w:val="009171EE"/>
    <w:rsid w:val="00921AAC"/>
    <w:rsid w:val="00923A94"/>
    <w:rsid w:val="00923D7C"/>
    <w:rsid w:val="00925618"/>
    <w:rsid w:val="00931DA1"/>
    <w:rsid w:val="00933583"/>
    <w:rsid w:val="009337D4"/>
    <w:rsid w:val="009339F8"/>
    <w:rsid w:val="009367F7"/>
    <w:rsid w:val="0094051F"/>
    <w:rsid w:val="00940E8F"/>
    <w:rsid w:val="00942F1A"/>
    <w:rsid w:val="00950C1D"/>
    <w:rsid w:val="00954B03"/>
    <w:rsid w:val="00954D6E"/>
    <w:rsid w:val="00961F82"/>
    <w:rsid w:val="0096228C"/>
    <w:rsid w:val="009632BE"/>
    <w:rsid w:val="009648DE"/>
    <w:rsid w:val="009659C4"/>
    <w:rsid w:val="00965EEB"/>
    <w:rsid w:val="00965F75"/>
    <w:rsid w:val="00966E1E"/>
    <w:rsid w:val="0097421A"/>
    <w:rsid w:val="00975CAB"/>
    <w:rsid w:val="0097623C"/>
    <w:rsid w:val="00980121"/>
    <w:rsid w:val="00980D67"/>
    <w:rsid w:val="00982E69"/>
    <w:rsid w:val="0098306D"/>
    <w:rsid w:val="009834D2"/>
    <w:rsid w:val="00983CF4"/>
    <w:rsid w:val="00987BEF"/>
    <w:rsid w:val="009915E2"/>
    <w:rsid w:val="00991CD0"/>
    <w:rsid w:val="00992396"/>
    <w:rsid w:val="009940EC"/>
    <w:rsid w:val="009A2507"/>
    <w:rsid w:val="009A4715"/>
    <w:rsid w:val="009B1827"/>
    <w:rsid w:val="009B2E2A"/>
    <w:rsid w:val="009B30C0"/>
    <w:rsid w:val="009B37E8"/>
    <w:rsid w:val="009B49FE"/>
    <w:rsid w:val="009B5C58"/>
    <w:rsid w:val="009C047B"/>
    <w:rsid w:val="009C10C3"/>
    <w:rsid w:val="009C34DA"/>
    <w:rsid w:val="009C5B33"/>
    <w:rsid w:val="009C5EAD"/>
    <w:rsid w:val="009C6738"/>
    <w:rsid w:val="009C6B98"/>
    <w:rsid w:val="009C78F0"/>
    <w:rsid w:val="009D001D"/>
    <w:rsid w:val="009D088A"/>
    <w:rsid w:val="009D0FB9"/>
    <w:rsid w:val="009D28CA"/>
    <w:rsid w:val="009D3082"/>
    <w:rsid w:val="009D5233"/>
    <w:rsid w:val="009E4F79"/>
    <w:rsid w:val="009E75EB"/>
    <w:rsid w:val="009F046D"/>
    <w:rsid w:val="009F2909"/>
    <w:rsid w:val="009F35C8"/>
    <w:rsid w:val="009F78FB"/>
    <w:rsid w:val="009F7E8A"/>
    <w:rsid w:val="00A01C8B"/>
    <w:rsid w:val="00A03275"/>
    <w:rsid w:val="00A034A4"/>
    <w:rsid w:val="00A07216"/>
    <w:rsid w:val="00A12466"/>
    <w:rsid w:val="00A22FD9"/>
    <w:rsid w:val="00A247DE"/>
    <w:rsid w:val="00A25459"/>
    <w:rsid w:val="00A267B9"/>
    <w:rsid w:val="00A27E73"/>
    <w:rsid w:val="00A27F7D"/>
    <w:rsid w:val="00A30968"/>
    <w:rsid w:val="00A30BA8"/>
    <w:rsid w:val="00A313A3"/>
    <w:rsid w:val="00A31542"/>
    <w:rsid w:val="00A35416"/>
    <w:rsid w:val="00A40598"/>
    <w:rsid w:val="00A408EC"/>
    <w:rsid w:val="00A415B2"/>
    <w:rsid w:val="00A42C8D"/>
    <w:rsid w:val="00A447A2"/>
    <w:rsid w:val="00A45134"/>
    <w:rsid w:val="00A4684C"/>
    <w:rsid w:val="00A47E6A"/>
    <w:rsid w:val="00A50F81"/>
    <w:rsid w:val="00A5167E"/>
    <w:rsid w:val="00A5572E"/>
    <w:rsid w:val="00A56009"/>
    <w:rsid w:val="00A563EE"/>
    <w:rsid w:val="00A57882"/>
    <w:rsid w:val="00A66B18"/>
    <w:rsid w:val="00A66D30"/>
    <w:rsid w:val="00A66EA5"/>
    <w:rsid w:val="00A6735E"/>
    <w:rsid w:val="00A7080C"/>
    <w:rsid w:val="00A7209B"/>
    <w:rsid w:val="00A738C5"/>
    <w:rsid w:val="00A746FA"/>
    <w:rsid w:val="00A77AA0"/>
    <w:rsid w:val="00A83CA0"/>
    <w:rsid w:val="00A8475D"/>
    <w:rsid w:val="00A90692"/>
    <w:rsid w:val="00A90F3F"/>
    <w:rsid w:val="00A92B43"/>
    <w:rsid w:val="00A92BB6"/>
    <w:rsid w:val="00AA2565"/>
    <w:rsid w:val="00AA2CAB"/>
    <w:rsid w:val="00AA3A82"/>
    <w:rsid w:val="00AB3074"/>
    <w:rsid w:val="00AB7C34"/>
    <w:rsid w:val="00AC0283"/>
    <w:rsid w:val="00AC0A28"/>
    <w:rsid w:val="00AC4286"/>
    <w:rsid w:val="00AC696D"/>
    <w:rsid w:val="00AE512F"/>
    <w:rsid w:val="00AE6D47"/>
    <w:rsid w:val="00AF05F1"/>
    <w:rsid w:val="00AF0CE7"/>
    <w:rsid w:val="00AF28DD"/>
    <w:rsid w:val="00AF3399"/>
    <w:rsid w:val="00AF42C5"/>
    <w:rsid w:val="00AF4793"/>
    <w:rsid w:val="00AF5C1F"/>
    <w:rsid w:val="00AF5CAA"/>
    <w:rsid w:val="00AF5D13"/>
    <w:rsid w:val="00B00912"/>
    <w:rsid w:val="00B00A50"/>
    <w:rsid w:val="00B03C12"/>
    <w:rsid w:val="00B03EA8"/>
    <w:rsid w:val="00B0584B"/>
    <w:rsid w:val="00B1410D"/>
    <w:rsid w:val="00B174AD"/>
    <w:rsid w:val="00B17FB2"/>
    <w:rsid w:val="00B22FD0"/>
    <w:rsid w:val="00B26164"/>
    <w:rsid w:val="00B306EF"/>
    <w:rsid w:val="00B307ED"/>
    <w:rsid w:val="00B312EE"/>
    <w:rsid w:val="00B32413"/>
    <w:rsid w:val="00B336C4"/>
    <w:rsid w:val="00B33B54"/>
    <w:rsid w:val="00B356CD"/>
    <w:rsid w:val="00B404BC"/>
    <w:rsid w:val="00B42FB9"/>
    <w:rsid w:val="00B468A4"/>
    <w:rsid w:val="00B47E50"/>
    <w:rsid w:val="00B51DF2"/>
    <w:rsid w:val="00B522EE"/>
    <w:rsid w:val="00B529CE"/>
    <w:rsid w:val="00B56BD7"/>
    <w:rsid w:val="00B57683"/>
    <w:rsid w:val="00B60270"/>
    <w:rsid w:val="00B604FB"/>
    <w:rsid w:val="00B62197"/>
    <w:rsid w:val="00B63FC5"/>
    <w:rsid w:val="00B6526F"/>
    <w:rsid w:val="00B658D9"/>
    <w:rsid w:val="00B67134"/>
    <w:rsid w:val="00B67579"/>
    <w:rsid w:val="00B7007A"/>
    <w:rsid w:val="00B70995"/>
    <w:rsid w:val="00B75093"/>
    <w:rsid w:val="00B75C56"/>
    <w:rsid w:val="00B76928"/>
    <w:rsid w:val="00B76C14"/>
    <w:rsid w:val="00B8652B"/>
    <w:rsid w:val="00B86F41"/>
    <w:rsid w:val="00B87566"/>
    <w:rsid w:val="00B909F7"/>
    <w:rsid w:val="00B92A67"/>
    <w:rsid w:val="00B93D2D"/>
    <w:rsid w:val="00B95FE3"/>
    <w:rsid w:val="00B96A0C"/>
    <w:rsid w:val="00BA0A14"/>
    <w:rsid w:val="00BA0AC6"/>
    <w:rsid w:val="00BA0BE7"/>
    <w:rsid w:val="00BA50AE"/>
    <w:rsid w:val="00BA5CD5"/>
    <w:rsid w:val="00BA7C5A"/>
    <w:rsid w:val="00BB4745"/>
    <w:rsid w:val="00BC1311"/>
    <w:rsid w:val="00BC1BC9"/>
    <w:rsid w:val="00BC7DD1"/>
    <w:rsid w:val="00BD169D"/>
    <w:rsid w:val="00BD6C64"/>
    <w:rsid w:val="00BE342C"/>
    <w:rsid w:val="00BE4C5C"/>
    <w:rsid w:val="00BE4CFD"/>
    <w:rsid w:val="00BE59D4"/>
    <w:rsid w:val="00BE6428"/>
    <w:rsid w:val="00BE65E9"/>
    <w:rsid w:val="00BE7532"/>
    <w:rsid w:val="00BF022C"/>
    <w:rsid w:val="00BF192B"/>
    <w:rsid w:val="00BF25E0"/>
    <w:rsid w:val="00BF402D"/>
    <w:rsid w:val="00BF4E60"/>
    <w:rsid w:val="00BF55A0"/>
    <w:rsid w:val="00C00214"/>
    <w:rsid w:val="00C00D4E"/>
    <w:rsid w:val="00C01E68"/>
    <w:rsid w:val="00C02B08"/>
    <w:rsid w:val="00C04D06"/>
    <w:rsid w:val="00C0574C"/>
    <w:rsid w:val="00C06E63"/>
    <w:rsid w:val="00C13041"/>
    <w:rsid w:val="00C14865"/>
    <w:rsid w:val="00C1675D"/>
    <w:rsid w:val="00C22210"/>
    <w:rsid w:val="00C23CA1"/>
    <w:rsid w:val="00C27673"/>
    <w:rsid w:val="00C30716"/>
    <w:rsid w:val="00C32285"/>
    <w:rsid w:val="00C323F9"/>
    <w:rsid w:val="00C32DA8"/>
    <w:rsid w:val="00C33765"/>
    <w:rsid w:val="00C34271"/>
    <w:rsid w:val="00C34FF0"/>
    <w:rsid w:val="00C37523"/>
    <w:rsid w:val="00C40002"/>
    <w:rsid w:val="00C40FDE"/>
    <w:rsid w:val="00C42309"/>
    <w:rsid w:val="00C43317"/>
    <w:rsid w:val="00C43A1A"/>
    <w:rsid w:val="00C44D8B"/>
    <w:rsid w:val="00C454EF"/>
    <w:rsid w:val="00C45502"/>
    <w:rsid w:val="00C51D61"/>
    <w:rsid w:val="00C534DC"/>
    <w:rsid w:val="00C5436C"/>
    <w:rsid w:val="00C55861"/>
    <w:rsid w:val="00C559E4"/>
    <w:rsid w:val="00C64033"/>
    <w:rsid w:val="00C653F9"/>
    <w:rsid w:val="00C703E0"/>
    <w:rsid w:val="00C72E7A"/>
    <w:rsid w:val="00C74B52"/>
    <w:rsid w:val="00C75375"/>
    <w:rsid w:val="00C77604"/>
    <w:rsid w:val="00C82035"/>
    <w:rsid w:val="00C82C57"/>
    <w:rsid w:val="00C83717"/>
    <w:rsid w:val="00C864DB"/>
    <w:rsid w:val="00C868B1"/>
    <w:rsid w:val="00C875D3"/>
    <w:rsid w:val="00C87F7E"/>
    <w:rsid w:val="00C92093"/>
    <w:rsid w:val="00C96D39"/>
    <w:rsid w:val="00C97B51"/>
    <w:rsid w:val="00CA0B01"/>
    <w:rsid w:val="00CA2664"/>
    <w:rsid w:val="00CA3257"/>
    <w:rsid w:val="00CA372E"/>
    <w:rsid w:val="00CA3FCB"/>
    <w:rsid w:val="00CA4152"/>
    <w:rsid w:val="00CA763E"/>
    <w:rsid w:val="00CB1172"/>
    <w:rsid w:val="00CB397F"/>
    <w:rsid w:val="00CB6B0A"/>
    <w:rsid w:val="00CC07A8"/>
    <w:rsid w:val="00CC1678"/>
    <w:rsid w:val="00CC5958"/>
    <w:rsid w:val="00CC7230"/>
    <w:rsid w:val="00CD173E"/>
    <w:rsid w:val="00CD4E21"/>
    <w:rsid w:val="00CD5A0E"/>
    <w:rsid w:val="00CD6B5F"/>
    <w:rsid w:val="00CD7E4E"/>
    <w:rsid w:val="00CE3303"/>
    <w:rsid w:val="00CE4401"/>
    <w:rsid w:val="00CE4484"/>
    <w:rsid w:val="00CE75AB"/>
    <w:rsid w:val="00CF12F1"/>
    <w:rsid w:val="00CF1A6A"/>
    <w:rsid w:val="00CF6205"/>
    <w:rsid w:val="00CF7BBB"/>
    <w:rsid w:val="00D0313F"/>
    <w:rsid w:val="00D11143"/>
    <w:rsid w:val="00D127AE"/>
    <w:rsid w:val="00D13C45"/>
    <w:rsid w:val="00D13E69"/>
    <w:rsid w:val="00D15206"/>
    <w:rsid w:val="00D157F1"/>
    <w:rsid w:val="00D20A55"/>
    <w:rsid w:val="00D20F79"/>
    <w:rsid w:val="00D24765"/>
    <w:rsid w:val="00D2499D"/>
    <w:rsid w:val="00D24C25"/>
    <w:rsid w:val="00D24DFB"/>
    <w:rsid w:val="00D251F6"/>
    <w:rsid w:val="00D276D1"/>
    <w:rsid w:val="00D32022"/>
    <w:rsid w:val="00D34A59"/>
    <w:rsid w:val="00D4025A"/>
    <w:rsid w:val="00D41D9A"/>
    <w:rsid w:val="00D45BB0"/>
    <w:rsid w:val="00D461AC"/>
    <w:rsid w:val="00D466D9"/>
    <w:rsid w:val="00D47A1D"/>
    <w:rsid w:val="00D547FF"/>
    <w:rsid w:val="00D60629"/>
    <w:rsid w:val="00D6091F"/>
    <w:rsid w:val="00D61BCF"/>
    <w:rsid w:val="00D65770"/>
    <w:rsid w:val="00D6679C"/>
    <w:rsid w:val="00D674EC"/>
    <w:rsid w:val="00D8380D"/>
    <w:rsid w:val="00D8619C"/>
    <w:rsid w:val="00D86DF1"/>
    <w:rsid w:val="00D87D7B"/>
    <w:rsid w:val="00D87F03"/>
    <w:rsid w:val="00D9088C"/>
    <w:rsid w:val="00D92365"/>
    <w:rsid w:val="00D955F3"/>
    <w:rsid w:val="00D95C58"/>
    <w:rsid w:val="00D95D9B"/>
    <w:rsid w:val="00D96D72"/>
    <w:rsid w:val="00D97CBA"/>
    <w:rsid w:val="00DA1D08"/>
    <w:rsid w:val="00DA1F98"/>
    <w:rsid w:val="00DA282B"/>
    <w:rsid w:val="00DA400F"/>
    <w:rsid w:val="00DA4903"/>
    <w:rsid w:val="00DA61B6"/>
    <w:rsid w:val="00DA64BD"/>
    <w:rsid w:val="00DB0819"/>
    <w:rsid w:val="00DB09C8"/>
    <w:rsid w:val="00DB1F77"/>
    <w:rsid w:val="00DB2F35"/>
    <w:rsid w:val="00DB41B8"/>
    <w:rsid w:val="00DB796F"/>
    <w:rsid w:val="00DC2515"/>
    <w:rsid w:val="00DC4E37"/>
    <w:rsid w:val="00DD0518"/>
    <w:rsid w:val="00DD0635"/>
    <w:rsid w:val="00DD138D"/>
    <w:rsid w:val="00DD143E"/>
    <w:rsid w:val="00DD19CC"/>
    <w:rsid w:val="00DD4B0D"/>
    <w:rsid w:val="00DD6B6B"/>
    <w:rsid w:val="00DD71E4"/>
    <w:rsid w:val="00DE5C8D"/>
    <w:rsid w:val="00DF567E"/>
    <w:rsid w:val="00E00181"/>
    <w:rsid w:val="00E03B48"/>
    <w:rsid w:val="00E03C4C"/>
    <w:rsid w:val="00E1007E"/>
    <w:rsid w:val="00E10FCD"/>
    <w:rsid w:val="00E1145F"/>
    <w:rsid w:val="00E12FF3"/>
    <w:rsid w:val="00E14A16"/>
    <w:rsid w:val="00E1582A"/>
    <w:rsid w:val="00E161B1"/>
    <w:rsid w:val="00E20540"/>
    <w:rsid w:val="00E215E0"/>
    <w:rsid w:val="00E222C8"/>
    <w:rsid w:val="00E26540"/>
    <w:rsid w:val="00E304A7"/>
    <w:rsid w:val="00E33451"/>
    <w:rsid w:val="00E338D1"/>
    <w:rsid w:val="00E34ECE"/>
    <w:rsid w:val="00E350D4"/>
    <w:rsid w:val="00E36DC1"/>
    <w:rsid w:val="00E37327"/>
    <w:rsid w:val="00E4016A"/>
    <w:rsid w:val="00E4053F"/>
    <w:rsid w:val="00E41C83"/>
    <w:rsid w:val="00E432DD"/>
    <w:rsid w:val="00E51678"/>
    <w:rsid w:val="00E552CE"/>
    <w:rsid w:val="00E5681D"/>
    <w:rsid w:val="00E56E04"/>
    <w:rsid w:val="00E6319E"/>
    <w:rsid w:val="00E74730"/>
    <w:rsid w:val="00E74754"/>
    <w:rsid w:val="00E75E19"/>
    <w:rsid w:val="00E76A07"/>
    <w:rsid w:val="00E80E37"/>
    <w:rsid w:val="00E8118D"/>
    <w:rsid w:val="00E9201E"/>
    <w:rsid w:val="00E9259F"/>
    <w:rsid w:val="00E92817"/>
    <w:rsid w:val="00E93546"/>
    <w:rsid w:val="00E964D9"/>
    <w:rsid w:val="00EA1424"/>
    <w:rsid w:val="00EA20F7"/>
    <w:rsid w:val="00EA707B"/>
    <w:rsid w:val="00EA7480"/>
    <w:rsid w:val="00EB4660"/>
    <w:rsid w:val="00EB629D"/>
    <w:rsid w:val="00EB764C"/>
    <w:rsid w:val="00EC12E5"/>
    <w:rsid w:val="00EC167A"/>
    <w:rsid w:val="00EC1C62"/>
    <w:rsid w:val="00EC2E05"/>
    <w:rsid w:val="00EC31CF"/>
    <w:rsid w:val="00EC53F2"/>
    <w:rsid w:val="00EC6F08"/>
    <w:rsid w:val="00EC7177"/>
    <w:rsid w:val="00ED2786"/>
    <w:rsid w:val="00ED2DA8"/>
    <w:rsid w:val="00ED54B5"/>
    <w:rsid w:val="00EE2CCE"/>
    <w:rsid w:val="00EF1F9C"/>
    <w:rsid w:val="00EF20A7"/>
    <w:rsid w:val="00EF4783"/>
    <w:rsid w:val="00EF49F6"/>
    <w:rsid w:val="00EF5409"/>
    <w:rsid w:val="00EF5B11"/>
    <w:rsid w:val="00F00A3A"/>
    <w:rsid w:val="00F01FB7"/>
    <w:rsid w:val="00F03461"/>
    <w:rsid w:val="00F06877"/>
    <w:rsid w:val="00F10B41"/>
    <w:rsid w:val="00F137D7"/>
    <w:rsid w:val="00F15009"/>
    <w:rsid w:val="00F16A12"/>
    <w:rsid w:val="00F1762D"/>
    <w:rsid w:val="00F20630"/>
    <w:rsid w:val="00F21BFC"/>
    <w:rsid w:val="00F23621"/>
    <w:rsid w:val="00F236EE"/>
    <w:rsid w:val="00F3042B"/>
    <w:rsid w:val="00F319A0"/>
    <w:rsid w:val="00F337D0"/>
    <w:rsid w:val="00F359F9"/>
    <w:rsid w:val="00F3673B"/>
    <w:rsid w:val="00F372CC"/>
    <w:rsid w:val="00F41E31"/>
    <w:rsid w:val="00F42A60"/>
    <w:rsid w:val="00F5163D"/>
    <w:rsid w:val="00F55385"/>
    <w:rsid w:val="00F55443"/>
    <w:rsid w:val="00F566A4"/>
    <w:rsid w:val="00F61570"/>
    <w:rsid w:val="00F61DCA"/>
    <w:rsid w:val="00F63786"/>
    <w:rsid w:val="00F654BE"/>
    <w:rsid w:val="00F67228"/>
    <w:rsid w:val="00F73351"/>
    <w:rsid w:val="00F73562"/>
    <w:rsid w:val="00F75903"/>
    <w:rsid w:val="00F76FEB"/>
    <w:rsid w:val="00F8076E"/>
    <w:rsid w:val="00F91569"/>
    <w:rsid w:val="00F918B0"/>
    <w:rsid w:val="00F95638"/>
    <w:rsid w:val="00F9670D"/>
    <w:rsid w:val="00F972E4"/>
    <w:rsid w:val="00FA04A1"/>
    <w:rsid w:val="00FA12B9"/>
    <w:rsid w:val="00FA5B3A"/>
    <w:rsid w:val="00FB0F71"/>
    <w:rsid w:val="00FB4EA7"/>
    <w:rsid w:val="00FB7877"/>
    <w:rsid w:val="00FC1B66"/>
    <w:rsid w:val="00FC24C2"/>
    <w:rsid w:val="00FC317C"/>
    <w:rsid w:val="00FC4305"/>
    <w:rsid w:val="00FC5049"/>
    <w:rsid w:val="00FC5094"/>
    <w:rsid w:val="00FC525E"/>
    <w:rsid w:val="00FC5EF1"/>
    <w:rsid w:val="00FD447E"/>
    <w:rsid w:val="00FD5A66"/>
    <w:rsid w:val="00FE0450"/>
    <w:rsid w:val="00FE0CF5"/>
    <w:rsid w:val="00FE23E5"/>
    <w:rsid w:val="00FE6E93"/>
    <w:rsid w:val="00FE71C2"/>
    <w:rsid w:val="00FF4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CA95"/>
  <w15:chartTrackingRefBased/>
  <w15:docId w15:val="{AEFEB324-693D-4CA8-9EC5-BB0B155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33"/>
  </w:style>
  <w:style w:type="paragraph" w:styleId="Footer">
    <w:name w:val="footer"/>
    <w:basedOn w:val="Normal"/>
    <w:link w:val="FooterChar"/>
    <w:uiPriority w:val="99"/>
    <w:unhideWhenUsed/>
    <w:rsid w:val="0080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33"/>
  </w:style>
  <w:style w:type="paragraph" w:styleId="ListParagraph">
    <w:name w:val="List Paragraph"/>
    <w:basedOn w:val="Normal"/>
    <w:uiPriority w:val="34"/>
    <w:qFormat/>
    <w:rsid w:val="009940EC"/>
    <w:pPr>
      <w:ind w:left="720"/>
      <w:contextualSpacing/>
    </w:pPr>
  </w:style>
  <w:style w:type="paragraph" w:styleId="BalloonText">
    <w:name w:val="Balloon Text"/>
    <w:basedOn w:val="Normal"/>
    <w:link w:val="BalloonTextChar"/>
    <w:uiPriority w:val="99"/>
    <w:semiHidden/>
    <w:unhideWhenUsed/>
    <w:rsid w:val="0016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2D"/>
    <w:rPr>
      <w:rFonts w:ascii="Segoe UI" w:hAnsi="Segoe UI" w:cs="Segoe UI"/>
      <w:sz w:val="18"/>
      <w:szCs w:val="18"/>
    </w:rPr>
  </w:style>
  <w:style w:type="paragraph" w:styleId="FootnoteText">
    <w:name w:val="footnote text"/>
    <w:basedOn w:val="Normal"/>
    <w:link w:val="FootnoteTextChar"/>
    <w:uiPriority w:val="99"/>
    <w:unhideWhenUsed/>
    <w:rsid w:val="00AF0CE7"/>
    <w:pPr>
      <w:spacing w:after="0" w:line="240" w:lineRule="auto"/>
    </w:pPr>
    <w:rPr>
      <w:sz w:val="20"/>
      <w:szCs w:val="20"/>
    </w:rPr>
  </w:style>
  <w:style w:type="character" w:customStyle="1" w:styleId="FootnoteTextChar">
    <w:name w:val="Footnote Text Char"/>
    <w:basedOn w:val="DefaultParagraphFont"/>
    <w:link w:val="FootnoteText"/>
    <w:uiPriority w:val="99"/>
    <w:rsid w:val="00AF0CE7"/>
    <w:rPr>
      <w:sz w:val="20"/>
      <w:szCs w:val="20"/>
    </w:rPr>
  </w:style>
  <w:style w:type="character" w:styleId="FootnoteReference">
    <w:name w:val="footnote reference"/>
    <w:basedOn w:val="DefaultParagraphFont"/>
    <w:uiPriority w:val="99"/>
    <w:semiHidden/>
    <w:unhideWhenUsed/>
    <w:rsid w:val="00AF0CE7"/>
    <w:rPr>
      <w:vertAlign w:val="superscript"/>
    </w:rPr>
  </w:style>
  <w:style w:type="paragraph" w:styleId="NormalWeb">
    <w:name w:val="Normal (Web)"/>
    <w:basedOn w:val="Normal"/>
    <w:uiPriority w:val="99"/>
    <w:unhideWhenUsed/>
    <w:rsid w:val="00CE4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0416"/>
    <w:rPr>
      <w:color w:val="0563C1" w:themeColor="hyperlink"/>
      <w:u w:val="single"/>
    </w:rPr>
  </w:style>
  <w:style w:type="character" w:customStyle="1" w:styleId="UnresolvedMention1">
    <w:name w:val="Unresolved Mention1"/>
    <w:basedOn w:val="DefaultParagraphFont"/>
    <w:uiPriority w:val="99"/>
    <w:semiHidden/>
    <w:unhideWhenUsed/>
    <w:rsid w:val="00350416"/>
    <w:rPr>
      <w:color w:val="605E5C"/>
      <w:shd w:val="clear" w:color="auto" w:fill="E1DFDD"/>
    </w:rPr>
  </w:style>
  <w:style w:type="character" w:styleId="PageNumber">
    <w:name w:val="page number"/>
    <w:basedOn w:val="DefaultParagraphFont"/>
    <w:uiPriority w:val="99"/>
    <w:semiHidden/>
    <w:unhideWhenUsed/>
    <w:rsid w:val="00BA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234160">
      <w:bodyDiv w:val="1"/>
      <w:marLeft w:val="0"/>
      <w:marRight w:val="0"/>
      <w:marTop w:val="0"/>
      <w:marBottom w:val="0"/>
      <w:divBdr>
        <w:top w:val="none" w:sz="0" w:space="0" w:color="auto"/>
        <w:left w:val="none" w:sz="0" w:space="0" w:color="auto"/>
        <w:bottom w:val="none" w:sz="0" w:space="0" w:color="auto"/>
        <w:right w:val="none" w:sz="0" w:space="0" w:color="auto"/>
      </w:divBdr>
      <w:divsChild>
        <w:div w:id="89863526">
          <w:marLeft w:val="0"/>
          <w:marRight w:val="0"/>
          <w:marTop w:val="0"/>
          <w:marBottom w:val="0"/>
          <w:divBdr>
            <w:top w:val="single" w:sz="2" w:space="0" w:color="E3E3E3"/>
            <w:left w:val="single" w:sz="2" w:space="0" w:color="E3E3E3"/>
            <w:bottom w:val="single" w:sz="2" w:space="0" w:color="E3E3E3"/>
            <w:right w:val="single" w:sz="2" w:space="0" w:color="E3E3E3"/>
          </w:divBdr>
          <w:divsChild>
            <w:div w:id="1569222724">
              <w:marLeft w:val="0"/>
              <w:marRight w:val="0"/>
              <w:marTop w:val="0"/>
              <w:marBottom w:val="0"/>
              <w:divBdr>
                <w:top w:val="single" w:sz="2" w:space="0" w:color="E3E3E3"/>
                <w:left w:val="single" w:sz="2" w:space="0" w:color="E3E3E3"/>
                <w:bottom w:val="single" w:sz="2" w:space="0" w:color="E3E3E3"/>
                <w:right w:val="single" w:sz="2" w:space="0" w:color="E3E3E3"/>
              </w:divBdr>
              <w:divsChild>
                <w:div w:id="487214938">
                  <w:marLeft w:val="0"/>
                  <w:marRight w:val="0"/>
                  <w:marTop w:val="0"/>
                  <w:marBottom w:val="0"/>
                  <w:divBdr>
                    <w:top w:val="single" w:sz="2" w:space="0" w:color="E3E3E3"/>
                    <w:left w:val="single" w:sz="2" w:space="0" w:color="E3E3E3"/>
                    <w:bottom w:val="single" w:sz="2" w:space="0" w:color="E3E3E3"/>
                    <w:right w:val="single" w:sz="2" w:space="0" w:color="E3E3E3"/>
                  </w:divBdr>
                  <w:divsChild>
                    <w:div w:id="335159779">
                      <w:marLeft w:val="0"/>
                      <w:marRight w:val="0"/>
                      <w:marTop w:val="0"/>
                      <w:marBottom w:val="0"/>
                      <w:divBdr>
                        <w:top w:val="single" w:sz="2" w:space="0" w:color="E3E3E3"/>
                        <w:left w:val="single" w:sz="2" w:space="0" w:color="E3E3E3"/>
                        <w:bottom w:val="single" w:sz="2" w:space="0" w:color="E3E3E3"/>
                        <w:right w:val="single" w:sz="2" w:space="0" w:color="E3E3E3"/>
                      </w:divBdr>
                      <w:divsChild>
                        <w:div w:id="563226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0087302">
          <w:marLeft w:val="0"/>
          <w:marRight w:val="0"/>
          <w:marTop w:val="0"/>
          <w:marBottom w:val="0"/>
          <w:divBdr>
            <w:top w:val="single" w:sz="2" w:space="0" w:color="E3E3E3"/>
            <w:left w:val="single" w:sz="2" w:space="0" w:color="E3E3E3"/>
            <w:bottom w:val="single" w:sz="2" w:space="0" w:color="E3E3E3"/>
            <w:right w:val="single" w:sz="2" w:space="0" w:color="E3E3E3"/>
          </w:divBdr>
          <w:divsChild>
            <w:div w:id="1658992590">
              <w:marLeft w:val="0"/>
              <w:marRight w:val="0"/>
              <w:marTop w:val="0"/>
              <w:marBottom w:val="0"/>
              <w:divBdr>
                <w:top w:val="single" w:sz="2" w:space="0" w:color="E3E3E3"/>
                <w:left w:val="single" w:sz="2" w:space="0" w:color="E3E3E3"/>
                <w:bottom w:val="single" w:sz="2" w:space="0" w:color="E3E3E3"/>
                <w:right w:val="single" w:sz="2" w:space="0" w:color="E3E3E3"/>
              </w:divBdr>
              <w:divsChild>
                <w:div w:id="1076976412">
                  <w:marLeft w:val="0"/>
                  <w:marRight w:val="0"/>
                  <w:marTop w:val="0"/>
                  <w:marBottom w:val="0"/>
                  <w:divBdr>
                    <w:top w:val="single" w:sz="2" w:space="0" w:color="E3E3E3"/>
                    <w:left w:val="single" w:sz="2" w:space="0" w:color="E3E3E3"/>
                    <w:bottom w:val="single" w:sz="2" w:space="0" w:color="E3E3E3"/>
                    <w:right w:val="single" w:sz="2" w:space="0" w:color="E3E3E3"/>
                  </w:divBdr>
                  <w:divsChild>
                    <w:div w:id="71390739">
                      <w:marLeft w:val="0"/>
                      <w:marRight w:val="0"/>
                      <w:marTop w:val="0"/>
                      <w:marBottom w:val="0"/>
                      <w:divBdr>
                        <w:top w:val="single" w:sz="2" w:space="0" w:color="E3E3E3"/>
                        <w:left w:val="single" w:sz="2" w:space="0" w:color="E3E3E3"/>
                        <w:bottom w:val="single" w:sz="2" w:space="0" w:color="E3E3E3"/>
                        <w:right w:val="single" w:sz="2" w:space="0" w:color="E3E3E3"/>
                      </w:divBdr>
                      <w:divsChild>
                        <w:div w:id="6349158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68781617">
      <w:bodyDiv w:val="1"/>
      <w:marLeft w:val="0"/>
      <w:marRight w:val="0"/>
      <w:marTop w:val="0"/>
      <w:marBottom w:val="0"/>
      <w:divBdr>
        <w:top w:val="none" w:sz="0" w:space="0" w:color="auto"/>
        <w:left w:val="none" w:sz="0" w:space="0" w:color="auto"/>
        <w:bottom w:val="none" w:sz="0" w:space="0" w:color="auto"/>
        <w:right w:val="none" w:sz="0" w:space="0" w:color="auto"/>
      </w:divBdr>
    </w:div>
    <w:div w:id="419182637">
      <w:bodyDiv w:val="1"/>
      <w:marLeft w:val="0"/>
      <w:marRight w:val="0"/>
      <w:marTop w:val="0"/>
      <w:marBottom w:val="0"/>
      <w:divBdr>
        <w:top w:val="none" w:sz="0" w:space="0" w:color="auto"/>
        <w:left w:val="none" w:sz="0" w:space="0" w:color="auto"/>
        <w:bottom w:val="none" w:sz="0" w:space="0" w:color="auto"/>
        <w:right w:val="none" w:sz="0" w:space="0" w:color="auto"/>
      </w:divBdr>
    </w:div>
    <w:div w:id="849491006">
      <w:bodyDiv w:val="1"/>
      <w:marLeft w:val="0"/>
      <w:marRight w:val="0"/>
      <w:marTop w:val="0"/>
      <w:marBottom w:val="0"/>
      <w:divBdr>
        <w:top w:val="none" w:sz="0" w:space="0" w:color="auto"/>
        <w:left w:val="none" w:sz="0" w:space="0" w:color="auto"/>
        <w:bottom w:val="none" w:sz="0" w:space="0" w:color="auto"/>
        <w:right w:val="none" w:sz="0" w:space="0" w:color="auto"/>
      </w:divBdr>
      <w:divsChild>
        <w:div w:id="1296328924">
          <w:marLeft w:val="0"/>
          <w:marRight w:val="0"/>
          <w:marTop w:val="0"/>
          <w:marBottom w:val="0"/>
          <w:divBdr>
            <w:top w:val="single" w:sz="2" w:space="0" w:color="E3E3E3"/>
            <w:left w:val="single" w:sz="2" w:space="0" w:color="E3E3E3"/>
            <w:bottom w:val="single" w:sz="2" w:space="0" w:color="E3E3E3"/>
            <w:right w:val="single" w:sz="2" w:space="0" w:color="E3E3E3"/>
          </w:divBdr>
          <w:divsChild>
            <w:div w:id="1136605834">
              <w:marLeft w:val="0"/>
              <w:marRight w:val="0"/>
              <w:marTop w:val="0"/>
              <w:marBottom w:val="0"/>
              <w:divBdr>
                <w:top w:val="single" w:sz="2" w:space="0" w:color="E3E3E3"/>
                <w:left w:val="single" w:sz="2" w:space="0" w:color="E3E3E3"/>
                <w:bottom w:val="single" w:sz="2" w:space="0" w:color="E3E3E3"/>
                <w:right w:val="single" w:sz="2" w:space="0" w:color="E3E3E3"/>
              </w:divBdr>
              <w:divsChild>
                <w:div w:id="864902102">
                  <w:marLeft w:val="0"/>
                  <w:marRight w:val="0"/>
                  <w:marTop w:val="0"/>
                  <w:marBottom w:val="0"/>
                  <w:divBdr>
                    <w:top w:val="single" w:sz="2" w:space="0" w:color="E3E3E3"/>
                    <w:left w:val="single" w:sz="2" w:space="0" w:color="E3E3E3"/>
                    <w:bottom w:val="single" w:sz="2" w:space="0" w:color="E3E3E3"/>
                    <w:right w:val="single" w:sz="2" w:space="0" w:color="E3E3E3"/>
                  </w:divBdr>
                  <w:divsChild>
                    <w:div w:id="4869096">
                      <w:marLeft w:val="0"/>
                      <w:marRight w:val="0"/>
                      <w:marTop w:val="0"/>
                      <w:marBottom w:val="0"/>
                      <w:divBdr>
                        <w:top w:val="single" w:sz="2" w:space="0" w:color="E3E3E3"/>
                        <w:left w:val="single" w:sz="2" w:space="0" w:color="E3E3E3"/>
                        <w:bottom w:val="single" w:sz="2" w:space="0" w:color="E3E3E3"/>
                        <w:right w:val="single" w:sz="2" w:space="0" w:color="E3E3E3"/>
                      </w:divBdr>
                      <w:divsChild>
                        <w:div w:id="2115126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6128825">
          <w:marLeft w:val="0"/>
          <w:marRight w:val="0"/>
          <w:marTop w:val="0"/>
          <w:marBottom w:val="0"/>
          <w:divBdr>
            <w:top w:val="single" w:sz="2" w:space="0" w:color="E3E3E3"/>
            <w:left w:val="single" w:sz="2" w:space="0" w:color="E3E3E3"/>
            <w:bottom w:val="single" w:sz="2" w:space="0" w:color="E3E3E3"/>
            <w:right w:val="single" w:sz="2" w:space="0" w:color="E3E3E3"/>
          </w:divBdr>
          <w:divsChild>
            <w:div w:id="1794210331">
              <w:marLeft w:val="0"/>
              <w:marRight w:val="0"/>
              <w:marTop w:val="0"/>
              <w:marBottom w:val="0"/>
              <w:divBdr>
                <w:top w:val="single" w:sz="2" w:space="0" w:color="E3E3E3"/>
                <w:left w:val="single" w:sz="2" w:space="0" w:color="E3E3E3"/>
                <w:bottom w:val="single" w:sz="2" w:space="0" w:color="E3E3E3"/>
                <w:right w:val="single" w:sz="2" w:space="0" w:color="E3E3E3"/>
              </w:divBdr>
              <w:divsChild>
                <w:div w:id="772629147">
                  <w:marLeft w:val="0"/>
                  <w:marRight w:val="0"/>
                  <w:marTop w:val="0"/>
                  <w:marBottom w:val="0"/>
                  <w:divBdr>
                    <w:top w:val="single" w:sz="2" w:space="0" w:color="E3E3E3"/>
                    <w:left w:val="single" w:sz="2" w:space="0" w:color="E3E3E3"/>
                    <w:bottom w:val="single" w:sz="2" w:space="0" w:color="E3E3E3"/>
                    <w:right w:val="single" w:sz="2" w:space="0" w:color="E3E3E3"/>
                  </w:divBdr>
                  <w:divsChild>
                    <w:div w:id="2133744894">
                      <w:marLeft w:val="0"/>
                      <w:marRight w:val="0"/>
                      <w:marTop w:val="0"/>
                      <w:marBottom w:val="0"/>
                      <w:divBdr>
                        <w:top w:val="single" w:sz="2" w:space="0" w:color="E3E3E3"/>
                        <w:left w:val="single" w:sz="2" w:space="0" w:color="E3E3E3"/>
                        <w:bottom w:val="single" w:sz="2" w:space="0" w:color="E3E3E3"/>
                        <w:right w:val="single" w:sz="2" w:space="0" w:color="E3E3E3"/>
                      </w:divBdr>
                      <w:divsChild>
                        <w:div w:id="1822044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958686825">
      <w:bodyDiv w:val="1"/>
      <w:marLeft w:val="0"/>
      <w:marRight w:val="0"/>
      <w:marTop w:val="0"/>
      <w:marBottom w:val="0"/>
      <w:divBdr>
        <w:top w:val="none" w:sz="0" w:space="0" w:color="auto"/>
        <w:left w:val="none" w:sz="0" w:space="0" w:color="auto"/>
        <w:bottom w:val="none" w:sz="0" w:space="0" w:color="auto"/>
        <w:right w:val="none" w:sz="0" w:space="0" w:color="auto"/>
      </w:divBdr>
    </w:div>
    <w:div w:id="2011176463">
      <w:bodyDiv w:val="1"/>
      <w:marLeft w:val="0"/>
      <w:marRight w:val="0"/>
      <w:marTop w:val="0"/>
      <w:marBottom w:val="0"/>
      <w:divBdr>
        <w:top w:val="none" w:sz="0" w:space="0" w:color="auto"/>
        <w:left w:val="none" w:sz="0" w:space="0" w:color="auto"/>
        <w:bottom w:val="none" w:sz="0" w:space="0" w:color="auto"/>
        <w:right w:val="none" w:sz="0" w:space="0" w:color="auto"/>
      </w:divBdr>
      <w:divsChild>
        <w:div w:id="1230338705">
          <w:marLeft w:val="0"/>
          <w:marRight w:val="0"/>
          <w:marTop w:val="0"/>
          <w:marBottom w:val="0"/>
          <w:divBdr>
            <w:top w:val="none" w:sz="0" w:space="0" w:color="auto"/>
            <w:left w:val="none" w:sz="0" w:space="0" w:color="auto"/>
            <w:bottom w:val="none" w:sz="0" w:space="0" w:color="auto"/>
            <w:right w:val="none" w:sz="0" w:space="0" w:color="auto"/>
          </w:divBdr>
          <w:divsChild>
            <w:div w:id="651952242">
              <w:marLeft w:val="0"/>
              <w:marRight w:val="0"/>
              <w:marTop w:val="0"/>
              <w:marBottom w:val="0"/>
              <w:divBdr>
                <w:top w:val="none" w:sz="0" w:space="0" w:color="auto"/>
                <w:left w:val="none" w:sz="0" w:space="0" w:color="auto"/>
                <w:bottom w:val="none" w:sz="0" w:space="0" w:color="auto"/>
                <w:right w:val="none" w:sz="0" w:space="0" w:color="auto"/>
              </w:divBdr>
              <w:divsChild>
                <w:div w:id="332682494">
                  <w:marLeft w:val="0"/>
                  <w:marRight w:val="0"/>
                  <w:marTop w:val="0"/>
                  <w:marBottom w:val="0"/>
                  <w:divBdr>
                    <w:top w:val="none" w:sz="0" w:space="0" w:color="auto"/>
                    <w:left w:val="none" w:sz="0" w:space="0" w:color="auto"/>
                    <w:bottom w:val="none" w:sz="0" w:space="0" w:color="auto"/>
                    <w:right w:val="none" w:sz="0" w:space="0" w:color="auto"/>
                  </w:divBdr>
                </w:div>
              </w:divsChild>
            </w:div>
            <w:div w:id="284390784">
              <w:marLeft w:val="0"/>
              <w:marRight w:val="0"/>
              <w:marTop w:val="0"/>
              <w:marBottom w:val="0"/>
              <w:divBdr>
                <w:top w:val="none" w:sz="0" w:space="0" w:color="auto"/>
                <w:left w:val="none" w:sz="0" w:space="0" w:color="auto"/>
                <w:bottom w:val="none" w:sz="0" w:space="0" w:color="auto"/>
                <w:right w:val="none" w:sz="0" w:space="0" w:color="auto"/>
              </w:divBdr>
              <w:divsChild>
                <w:div w:id="20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184">
          <w:marLeft w:val="0"/>
          <w:marRight w:val="0"/>
          <w:marTop w:val="0"/>
          <w:marBottom w:val="0"/>
          <w:divBdr>
            <w:top w:val="none" w:sz="0" w:space="0" w:color="auto"/>
            <w:left w:val="none" w:sz="0" w:space="0" w:color="auto"/>
            <w:bottom w:val="none" w:sz="0" w:space="0" w:color="auto"/>
            <w:right w:val="none" w:sz="0" w:space="0" w:color="auto"/>
          </w:divBdr>
          <w:divsChild>
            <w:div w:id="1092238229">
              <w:marLeft w:val="0"/>
              <w:marRight w:val="0"/>
              <w:marTop w:val="0"/>
              <w:marBottom w:val="0"/>
              <w:divBdr>
                <w:top w:val="none" w:sz="0" w:space="0" w:color="auto"/>
                <w:left w:val="none" w:sz="0" w:space="0" w:color="auto"/>
                <w:bottom w:val="none" w:sz="0" w:space="0" w:color="auto"/>
                <w:right w:val="none" w:sz="0" w:space="0" w:color="auto"/>
              </w:divBdr>
              <w:divsChild>
                <w:div w:id="206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1994F.39E12E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6</cp:revision>
  <cp:lastPrinted>2024-04-17T09:10:00Z</cp:lastPrinted>
  <dcterms:created xsi:type="dcterms:W3CDTF">2024-04-17T12:40:00Z</dcterms:created>
  <dcterms:modified xsi:type="dcterms:W3CDTF">2024-05-03T09:55:00Z</dcterms:modified>
</cp:coreProperties>
</file>