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82"/>
        <w:ind w:left="3324" w:right="2932" w:hanging="985"/>
      </w:pPr>
      <w:r>
        <w:rPr/>
        <w:t>IN THE NATIONAL CONSUMER TRIBUNAL HELD IN CENTURION</w:t>
      </w:r>
    </w:p>
    <w:p>
      <w:pPr>
        <w:pStyle w:val="BodyText"/>
        <w:spacing w:before="11"/>
        <w:rPr>
          <w:b/>
          <w:sz w:val="35"/>
        </w:rPr>
      </w:pPr>
    </w:p>
    <w:p>
      <w:pPr>
        <w:pStyle w:val="BodyText"/>
        <w:ind w:left="5573"/>
      </w:pPr>
      <w:r>
        <w:rPr/>
        <w:t>Case Number: NCT/158492/2020/140(1)</w:t>
      </w:r>
    </w:p>
    <w:p>
      <w:pPr>
        <w:pStyle w:val="BodyText"/>
        <w:rPr>
          <w:sz w:val="20"/>
        </w:rPr>
      </w:pPr>
    </w:p>
    <w:p>
      <w:pPr>
        <w:pStyle w:val="BodyText"/>
        <w:spacing w:before="5"/>
        <w:rPr>
          <w:sz w:val="19"/>
        </w:rPr>
      </w:pPr>
    </w:p>
    <w:p>
      <w:pPr>
        <w:pStyle w:val="BodyText"/>
        <w:spacing w:before="100"/>
        <w:ind w:left="100"/>
      </w:pPr>
      <w:r>
        <w:rPr/>
        <w:t>In the matter between:</w:t>
      </w:r>
    </w:p>
    <w:p>
      <w:pPr>
        <w:pStyle w:val="BodyText"/>
        <w:rPr>
          <w:sz w:val="28"/>
        </w:rPr>
      </w:pPr>
    </w:p>
    <w:p>
      <w:pPr>
        <w:pStyle w:val="Heading1"/>
        <w:tabs>
          <w:tab w:pos="6600" w:val="left" w:leader="none"/>
        </w:tabs>
        <w:spacing w:before="229"/>
      </w:pPr>
      <w:r>
        <w:rPr/>
        <w:t>NATIONAL</w:t>
      </w:r>
      <w:r>
        <w:rPr>
          <w:spacing w:val="-1"/>
        </w:rPr>
        <w:t> </w:t>
      </w:r>
      <w:r>
        <w:rPr/>
        <w:t>CREDIT</w:t>
      </w:r>
      <w:r>
        <w:rPr>
          <w:spacing w:val="-1"/>
        </w:rPr>
        <w:t> </w:t>
      </w:r>
      <w:r>
        <w:rPr/>
        <w:t>REGULATOR</w:t>
        <w:tab/>
        <w:t>APPLICANT</w:t>
      </w:r>
    </w:p>
    <w:p>
      <w:pPr>
        <w:pStyle w:val="BodyText"/>
        <w:rPr>
          <w:b/>
          <w:sz w:val="28"/>
        </w:rPr>
      </w:pPr>
    </w:p>
    <w:p>
      <w:pPr>
        <w:pStyle w:val="BodyText"/>
        <w:spacing w:before="229"/>
        <w:ind w:left="100"/>
      </w:pPr>
      <w:r>
        <w:rPr/>
        <w:t>AND</w:t>
      </w:r>
    </w:p>
    <w:p>
      <w:pPr>
        <w:pStyle w:val="BodyText"/>
        <w:rPr>
          <w:sz w:val="28"/>
        </w:rPr>
      </w:pPr>
    </w:p>
    <w:p>
      <w:pPr>
        <w:pStyle w:val="Heading1"/>
        <w:tabs>
          <w:tab w:pos="6581" w:val="left" w:leader="none"/>
        </w:tabs>
        <w:spacing w:before="229"/>
      </w:pPr>
      <w:r>
        <w:rPr/>
        <w:t>YON XING SUPERMARKET</w:t>
      </w:r>
      <w:r>
        <w:rPr>
          <w:spacing w:val="-6"/>
        </w:rPr>
        <w:t> </w:t>
      </w:r>
      <w:r>
        <w:rPr/>
        <w:t>(PTY)</w:t>
      </w:r>
      <w:r>
        <w:rPr>
          <w:spacing w:val="-2"/>
        </w:rPr>
        <w:t> </w:t>
      </w:r>
      <w:r>
        <w:rPr/>
        <w:t>LTD</w:t>
        <w:tab/>
        <w:t>RESPONDENT</w:t>
      </w:r>
    </w:p>
    <w:p>
      <w:pPr>
        <w:pStyle w:val="BodyText"/>
        <w:rPr>
          <w:b/>
          <w:sz w:val="28"/>
        </w:rPr>
      </w:pPr>
    </w:p>
    <w:p>
      <w:pPr>
        <w:spacing w:before="232"/>
        <w:ind w:left="100" w:right="0" w:firstLine="0"/>
        <w:jc w:val="left"/>
        <w:rPr>
          <w:i/>
          <w:sz w:val="24"/>
        </w:rPr>
      </w:pPr>
      <w:r>
        <w:rPr>
          <w:i/>
          <w:sz w:val="24"/>
          <w:u w:val="single"/>
        </w:rPr>
        <w:t>Coram:</w:t>
      </w:r>
    </w:p>
    <w:p>
      <w:pPr>
        <w:pStyle w:val="BodyText"/>
        <w:rPr>
          <w:i/>
          <w:sz w:val="20"/>
        </w:rPr>
      </w:pPr>
    </w:p>
    <w:p>
      <w:pPr>
        <w:pStyle w:val="BodyText"/>
        <w:spacing w:before="3"/>
        <w:rPr>
          <w:i/>
          <w:sz w:val="19"/>
        </w:rPr>
      </w:pPr>
    </w:p>
    <w:p>
      <w:pPr>
        <w:pStyle w:val="BodyText"/>
        <w:spacing w:before="100"/>
        <w:ind w:left="100"/>
      </w:pPr>
      <w:r>
        <w:rPr/>
        <w:t>Ms H Alwar - Presiding Tribunal member</w:t>
      </w:r>
    </w:p>
    <w:p>
      <w:pPr>
        <w:pStyle w:val="BodyText"/>
        <w:rPr>
          <w:sz w:val="28"/>
        </w:rPr>
      </w:pPr>
    </w:p>
    <w:p>
      <w:pPr>
        <w:pStyle w:val="BodyText"/>
        <w:spacing w:line="360" w:lineRule="auto" w:before="228"/>
        <w:ind w:left="100" w:right="4335"/>
      </w:pPr>
      <w:r>
        <w:rPr/>
        <w:t>Date of adjudication in chambers – 12 September 2022 Date of judgment and order- 13 September 2022</w:t>
      </w:r>
    </w:p>
    <w:p>
      <w:pPr>
        <w:pStyle w:val="BodyText"/>
        <w:spacing w:before="9"/>
        <w:rPr>
          <w:sz w:val="17"/>
        </w:rPr>
      </w:pPr>
      <w:r>
        <w:rPr/>
        <w:pict>
          <v:group style="position:absolute;margin-left:72.024002pt;margin-top:12.172272pt;width:448.75pt;height:1.3pt;mso-position-horizontal-relative:page;mso-position-vertical-relative:paragraph;z-index:-251658240;mso-wrap-distance-left:0;mso-wrap-distance-right:0" coordorigin="1440,243" coordsize="8975,26">
            <v:line style="position:absolute" from="1440,249" to="10404,249" stroked="true" strokeweight=".6pt" strokecolor="#000000">
              <v:stroke dashstyle="solid"/>
            </v:line>
            <v:line style="position:absolute" from="1440,260" to="10415,260" stroked="true" strokeweight=".84003pt" strokecolor="#000000">
              <v:stroke dashstyle="solid"/>
            </v:line>
            <w10:wrap type="topAndBottom"/>
          </v:group>
        </w:pict>
      </w:r>
    </w:p>
    <w:p>
      <w:pPr>
        <w:pStyle w:val="BodyText"/>
        <w:spacing w:before="5"/>
        <w:rPr>
          <w:sz w:val="13"/>
        </w:rPr>
      </w:pPr>
    </w:p>
    <w:p>
      <w:pPr>
        <w:pStyle w:val="Heading1"/>
        <w:spacing w:before="100"/>
        <w:ind w:left="3138" w:right="3741"/>
        <w:jc w:val="center"/>
      </w:pPr>
      <w:r>
        <w:rPr/>
        <w:t>JUDGMENT AND ORDER</w:t>
      </w:r>
    </w:p>
    <w:p>
      <w:pPr>
        <w:pStyle w:val="BodyText"/>
        <w:spacing w:before="7"/>
        <w:rPr>
          <w:b/>
          <w:sz w:val="17"/>
        </w:rPr>
      </w:pPr>
      <w:r>
        <w:rPr/>
        <w:pict>
          <v:group style="position:absolute;margin-left:72.024002pt;margin-top:12.061973pt;width:448.75pt;height:1.3pt;mso-position-horizontal-relative:page;mso-position-vertical-relative:paragraph;z-index:-251657216;mso-wrap-distance-left:0;mso-wrap-distance-right:0" coordorigin="1440,241" coordsize="8975,26">
            <v:line style="position:absolute" from="1440,247" to="10404,247" stroked="true" strokeweight=".6pt" strokecolor="#000000">
              <v:stroke dashstyle="solid"/>
            </v:line>
            <v:line style="position:absolute" from="1440,258" to="10415,258" stroked="true" strokeweight=".84003pt" strokecolor="#000000">
              <v:stroke dashstyle="solid"/>
            </v:line>
            <w10:wrap type="topAndBottom"/>
          </v:group>
        </w:pict>
      </w:r>
    </w:p>
    <w:p>
      <w:pPr>
        <w:pStyle w:val="BodyText"/>
        <w:spacing w:before="4"/>
        <w:rPr>
          <w:b/>
          <w:sz w:val="25"/>
        </w:rPr>
      </w:pPr>
    </w:p>
    <w:p>
      <w:pPr>
        <w:spacing w:before="100"/>
        <w:ind w:left="100" w:right="0" w:firstLine="0"/>
        <w:jc w:val="left"/>
        <w:rPr>
          <w:b/>
          <w:sz w:val="24"/>
        </w:rPr>
      </w:pPr>
      <w:r>
        <w:rPr>
          <w:b/>
          <w:sz w:val="24"/>
        </w:rPr>
        <w:t>APPLICANT</w:t>
      </w:r>
    </w:p>
    <w:p>
      <w:pPr>
        <w:pStyle w:val="BodyText"/>
        <w:rPr>
          <w:b/>
          <w:sz w:val="28"/>
        </w:rPr>
      </w:pPr>
    </w:p>
    <w:p>
      <w:pPr>
        <w:pStyle w:val="ListParagraph"/>
        <w:numPr>
          <w:ilvl w:val="0"/>
          <w:numId w:val="1"/>
        </w:numPr>
        <w:tabs>
          <w:tab w:pos="667" w:val="left" w:leader="none"/>
        </w:tabs>
        <w:spacing w:line="360" w:lineRule="auto" w:before="231" w:after="0"/>
        <w:ind w:left="666" w:right="134" w:hanging="567"/>
        <w:jc w:val="both"/>
        <w:rPr>
          <w:sz w:val="24"/>
        </w:rPr>
      </w:pPr>
      <w:r>
        <w:rPr>
          <w:sz w:val="24"/>
        </w:rPr>
        <w:t>The Applicant is the National Credit Regulator (the Applicant), a juristic person established by section 12 of the National Credit Act, 2005 (the Act) with its physical address at 127 15</w:t>
      </w:r>
      <w:r>
        <w:rPr>
          <w:position w:val="6"/>
          <w:sz w:val="16"/>
        </w:rPr>
        <w:t>th </w:t>
      </w:r>
      <w:r>
        <w:rPr>
          <w:sz w:val="24"/>
        </w:rPr>
        <w:t>Road, Randjiespark, Midrand, Johannesburg,</w:t>
      </w:r>
      <w:r>
        <w:rPr>
          <w:spacing w:val="3"/>
          <w:sz w:val="24"/>
        </w:rPr>
        <w:t> </w:t>
      </w:r>
      <w:r>
        <w:rPr>
          <w:sz w:val="24"/>
        </w:rPr>
        <w:t>Gauteng.</w:t>
      </w:r>
    </w:p>
    <w:p>
      <w:pPr>
        <w:pStyle w:val="BodyText"/>
        <w:rPr>
          <w:sz w:val="36"/>
        </w:rPr>
      </w:pPr>
    </w:p>
    <w:p>
      <w:pPr>
        <w:pStyle w:val="Heading1"/>
      </w:pPr>
      <w:r>
        <w:rPr/>
        <w:t>RESPONDENT</w:t>
      </w:r>
    </w:p>
    <w:p>
      <w:pPr>
        <w:pStyle w:val="BodyText"/>
        <w:rPr>
          <w:b/>
          <w:sz w:val="28"/>
        </w:rPr>
      </w:pPr>
    </w:p>
    <w:p>
      <w:pPr>
        <w:pStyle w:val="ListParagraph"/>
        <w:numPr>
          <w:ilvl w:val="0"/>
          <w:numId w:val="1"/>
        </w:numPr>
        <w:tabs>
          <w:tab w:pos="667" w:val="left" w:leader="none"/>
        </w:tabs>
        <w:spacing w:line="360" w:lineRule="auto" w:before="229" w:after="0"/>
        <w:ind w:left="666" w:right="137" w:hanging="567"/>
        <w:jc w:val="both"/>
        <w:rPr>
          <w:sz w:val="24"/>
        </w:rPr>
      </w:pPr>
      <w:r>
        <w:rPr>
          <w:sz w:val="24"/>
        </w:rPr>
        <w:t>The</w:t>
      </w:r>
      <w:r>
        <w:rPr>
          <w:spacing w:val="-14"/>
          <w:sz w:val="24"/>
        </w:rPr>
        <w:t> </w:t>
      </w:r>
      <w:r>
        <w:rPr>
          <w:sz w:val="24"/>
        </w:rPr>
        <w:t>Respondent</w:t>
      </w:r>
      <w:r>
        <w:rPr>
          <w:spacing w:val="-15"/>
          <w:sz w:val="24"/>
        </w:rPr>
        <w:t> </w:t>
      </w:r>
      <w:r>
        <w:rPr>
          <w:sz w:val="24"/>
        </w:rPr>
        <w:t>is</w:t>
      </w:r>
      <w:r>
        <w:rPr>
          <w:spacing w:val="-14"/>
          <w:sz w:val="24"/>
        </w:rPr>
        <w:t> </w:t>
      </w:r>
      <w:r>
        <w:rPr>
          <w:sz w:val="24"/>
        </w:rPr>
        <w:t>Yon</w:t>
      </w:r>
      <w:r>
        <w:rPr>
          <w:spacing w:val="-16"/>
          <w:sz w:val="24"/>
        </w:rPr>
        <w:t> </w:t>
      </w:r>
      <w:r>
        <w:rPr>
          <w:sz w:val="24"/>
        </w:rPr>
        <w:t>Xing</w:t>
      </w:r>
      <w:r>
        <w:rPr>
          <w:spacing w:val="-12"/>
          <w:sz w:val="24"/>
        </w:rPr>
        <w:t> </w:t>
      </w:r>
      <w:r>
        <w:rPr>
          <w:sz w:val="24"/>
        </w:rPr>
        <w:t>Supermarket</w:t>
      </w:r>
      <w:r>
        <w:rPr>
          <w:spacing w:val="-17"/>
          <w:sz w:val="24"/>
        </w:rPr>
        <w:t> </w:t>
      </w:r>
      <w:r>
        <w:rPr>
          <w:sz w:val="24"/>
        </w:rPr>
        <w:t>(Pty)</w:t>
      </w:r>
      <w:r>
        <w:rPr>
          <w:spacing w:val="-14"/>
          <w:sz w:val="24"/>
        </w:rPr>
        <w:t> </w:t>
      </w:r>
      <w:r>
        <w:rPr>
          <w:sz w:val="24"/>
        </w:rPr>
        <w:t>Ltd</w:t>
      </w:r>
      <w:r>
        <w:rPr>
          <w:spacing w:val="-13"/>
          <w:sz w:val="24"/>
        </w:rPr>
        <w:t> </w:t>
      </w:r>
      <w:r>
        <w:rPr>
          <w:sz w:val="24"/>
        </w:rPr>
        <w:t>(</w:t>
      </w:r>
      <w:r>
        <w:rPr>
          <w:spacing w:val="-15"/>
          <w:sz w:val="24"/>
        </w:rPr>
        <w:t> </w:t>
      </w:r>
      <w:r>
        <w:rPr>
          <w:sz w:val="24"/>
        </w:rPr>
        <w:t>the</w:t>
      </w:r>
      <w:r>
        <w:rPr>
          <w:spacing w:val="-14"/>
          <w:sz w:val="24"/>
        </w:rPr>
        <w:t> </w:t>
      </w:r>
      <w:r>
        <w:rPr>
          <w:sz w:val="24"/>
        </w:rPr>
        <w:t>Respondent),</w:t>
      </w:r>
      <w:r>
        <w:rPr>
          <w:spacing w:val="-16"/>
          <w:sz w:val="24"/>
        </w:rPr>
        <w:t> </w:t>
      </w:r>
      <w:r>
        <w:rPr>
          <w:sz w:val="24"/>
        </w:rPr>
        <w:t>a</w:t>
      </w:r>
      <w:r>
        <w:rPr>
          <w:spacing w:val="-14"/>
          <w:sz w:val="24"/>
        </w:rPr>
        <w:t> </w:t>
      </w:r>
      <w:r>
        <w:rPr>
          <w:sz w:val="24"/>
        </w:rPr>
        <w:t>registered</w:t>
      </w:r>
      <w:r>
        <w:rPr>
          <w:spacing w:val="-16"/>
          <w:sz w:val="24"/>
        </w:rPr>
        <w:t> </w:t>
      </w:r>
      <w:r>
        <w:rPr>
          <w:sz w:val="24"/>
        </w:rPr>
        <w:t>Credit</w:t>
      </w:r>
      <w:r>
        <w:rPr>
          <w:spacing w:val="-15"/>
          <w:sz w:val="24"/>
        </w:rPr>
        <w:t> </w:t>
      </w:r>
      <w:r>
        <w:rPr>
          <w:sz w:val="24"/>
        </w:rPr>
        <w:t>Provider with registration number NCRCP8198, with its business address at 40 Scott Street,</w:t>
      </w:r>
      <w:r>
        <w:rPr>
          <w:spacing w:val="-26"/>
          <w:sz w:val="24"/>
        </w:rPr>
        <w:t> </w:t>
      </w:r>
      <w:r>
        <w:rPr>
          <w:sz w:val="24"/>
        </w:rPr>
        <w:t>Upington.</w:t>
      </w:r>
    </w:p>
    <w:p>
      <w:pPr>
        <w:spacing w:after="0" w:line="360" w:lineRule="auto"/>
        <w:jc w:val="both"/>
        <w:rPr>
          <w:sz w:val="24"/>
        </w:rPr>
        <w:sectPr>
          <w:type w:val="continuous"/>
          <w:pgSz w:w="11910" w:h="16840"/>
          <w:pgMar w:top="1340" w:bottom="280" w:left="1340" w:right="1300"/>
        </w:sectPr>
      </w:pPr>
    </w:p>
    <w:p>
      <w:pPr>
        <w:pStyle w:val="Heading1"/>
        <w:spacing w:before="82"/>
      </w:pPr>
      <w:r>
        <w:rPr/>
        <w:t>APPLICATION TYPE</w:t>
      </w:r>
    </w:p>
    <w:p>
      <w:pPr>
        <w:pStyle w:val="BodyText"/>
        <w:rPr>
          <w:b/>
          <w:sz w:val="28"/>
        </w:rPr>
      </w:pPr>
    </w:p>
    <w:p>
      <w:pPr>
        <w:pStyle w:val="ListParagraph"/>
        <w:numPr>
          <w:ilvl w:val="0"/>
          <w:numId w:val="1"/>
        </w:numPr>
        <w:tabs>
          <w:tab w:pos="667" w:val="left" w:leader="none"/>
        </w:tabs>
        <w:spacing w:line="360" w:lineRule="auto" w:before="229" w:after="0"/>
        <w:ind w:left="666" w:right="138" w:hanging="567"/>
        <w:jc w:val="both"/>
        <w:rPr>
          <w:sz w:val="24"/>
        </w:rPr>
      </w:pPr>
      <w:r>
        <w:rPr>
          <w:sz w:val="24"/>
        </w:rPr>
        <w:t>This is an application in terms of section 138 (1) (b)</w:t>
      </w:r>
      <w:r>
        <w:rPr>
          <w:position w:val="6"/>
          <w:sz w:val="16"/>
        </w:rPr>
        <w:t>1 </w:t>
      </w:r>
      <w:r>
        <w:rPr>
          <w:sz w:val="24"/>
        </w:rPr>
        <w:t>of the Act for the Tribunal to confirm a settlement agreement as a consent</w:t>
      </w:r>
      <w:r>
        <w:rPr>
          <w:spacing w:val="-5"/>
          <w:sz w:val="24"/>
        </w:rPr>
        <w:t> </w:t>
      </w:r>
      <w:r>
        <w:rPr>
          <w:sz w:val="24"/>
        </w:rPr>
        <w:t>order.</w:t>
      </w:r>
    </w:p>
    <w:p>
      <w:pPr>
        <w:pStyle w:val="BodyText"/>
        <w:spacing w:before="2"/>
        <w:rPr>
          <w:sz w:val="36"/>
        </w:rPr>
      </w:pPr>
    </w:p>
    <w:p>
      <w:pPr>
        <w:pStyle w:val="ListParagraph"/>
        <w:numPr>
          <w:ilvl w:val="0"/>
          <w:numId w:val="1"/>
        </w:numPr>
        <w:tabs>
          <w:tab w:pos="603" w:val="left" w:leader="none"/>
        </w:tabs>
        <w:spacing w:line="360" w:lineRule="auto" w:before="0" w:after="0"/>
        <w:ind w:left="602" w:right="134" w:hanging="502"/>
        <w:jc w:val="both"/>
        <w:rPr>
          <w:sz w:val="24"/>
        </w:rPr>
      </w:pPr>
      <w:r>
        <w:rPr>
          <w:sz w:val="24"/>
        </w:rPr>
        <w:t>The Applicant has submitted a Settlement Agreement that the parties wish to be confirmed as a consent</w:t>
      </w:r>
      <w:r>
        <w:rPr>
          <w:spacing w:val="-7"/>
          <w:sz w:val="24"/>
        </w:rPr>
        <w:t> </w:t>
      </w:r>
      <w:r>
        <w:rPr>
          <w:sz w:val="24"/>
        </w:rPr>
        <w:t>order</w:t>
      </w:r>
      <w:r>
        <w:rPr>
          <w:spacing w:val="-5"/>
          <w:sz w:val="24"/>
        </w:rPr>
        <w:t> </w:t>
      </w:r>
      <w:r>
        <w:rPr>
          <w:sz w:val="24"/>
        </w:rPr>
        <w:t>(the</w:t>
      </w:r>
      <w:r>
        <w:rPr>
          <w:spacing w:val="-6"/>
          <w:sz w:val="24"/>
        </w:rPr>
        <w:t> </w:t>
      </w:r>
      <w:r>
        <w:rPr>
          <w:sz w:val="24"/>
        </w:rPr>
        <w:t>settlement</w:t>
      </w:r>
      <w:r>
        <w:rPr>
          <w:spacing w:val="-6"/>
          <w:sz w:val="24"/>
        </w:rPr>
        <w:t> </w:t>
      </w:r>
      <w:r>
        <w:rPr>
          <w:sz w:val="24"/>
        </w:rPr>
        <w:t>agreement).</w:t>
      </w:r>
      <w:r>
        <w:rPr>
          <w:spacing w:val="-3"/>
          <w:sz w:val="24"/>
        </w:rPr>
        <w:t> </w:t>
      </w:r>
      <w:r>
        <w:rPr>
          <w:sz w:val="24"/>
        </w:rPr>
        <w:t>A</w:t>
      </w:r>
      <w:r>
        <w:rPr>
          <w:spacing w:val="-6"/>
          <w:sz w:val="24"/>
        </w:rPr>
        <w:t> </w:t>
      </w:r>
      <w:r>
        <w:rPr>
          <w:sz w:val="24"/>
        </w:rPr>
        <w:t>reference</w:t>
      </w:r>
      <w:r>
        <w:rPr>
          <w:spacing w:val="-6"/>
          <w:sz w:val="24"/>
        </w:rPr>
        <w:t> </w:t>
      </w:r>
      <w:r>
        <w:rPr>
          <w:sz w:val="24"/>
        </w:rPr>
        <w:t>to</w:t>
      </w:r>
      <w:r>
        <w:rPr>
          <w:spacing w:val="-5"/>
          <w:sz w:val="24"/>
        </w:rPr>
        <w:t> </w:t>
      </w:r>
      <w:r>
        <w:rPr>
          <w:sz w:val="24"/>
        </w:rPr>
        <w:t>a</w:t>
      </w:r>
      <w:r>
        <w:rPr>
          <w:spacing w:val="-6"/>
          <w:sz w:val="24"/>
        </w:rPr>
        <w:t> </w:t>
      </w:r>
      <w:r>
        <w:rPr>
          <w:sz w:val="24"/>
        </w:rPr>
        <w:t>section</w:t>
      </w:r>
      <w:r>
        <w:rPr>
          <w:spacing w:val="-6"/>
          <w:sz w:val="24"/>
        </w:rPr>
        <w:t> </w:t>
      </w:r>
      <w:r>
        <w:rPr>
          <w:sz w:val="24"/>
        </w:rPr>
        <w:t>in</w:t>
      </w:r>
      <w:r>
        <w:rPr>
          <w:spacing w:val="-6"/>
          <w:sz w:val="24"/>
        </w:rPr>
        <w:t> </w:t>
      </w:r>
      <w:r>
        <w:rPr>
          <w:sz w:val="24"/>
        </w:rPr>
        <w:t>this</w:t>
      </w:r>
      <w:r>
        <w:rPr>
          <w:spacing w:val="-3"/>
          <w:sz w:val="24"/>
        </w:rPr>
        <w:t> </w:t>
      </w:r>
      <w:r>
        <w:rPr>
          <w:sz w:val="24"/>
        </w:rPr>
        <w:t>consent</w:t>
      </w:r>
      <w:r>
        <w:rPr>
          <w:spacing w:val="-6"/>
          <w:sz w:val="24"/>
        </w:rPr>
        <w:t> </w:t>
      </w:r>
      <w:r>
        <w:rPr>
          <w:sz w:val="24"/>
        </w:rPr>
        <w:t>order</w:t>
      </w:r>
      <w:r>
        <w:rPr>
          <w:spacing w:val="-3"/>
          <w:sz w:val="24"/>
        </w:rPr>
        <w:t> </w:t>
      </w:r>
      <w:r>
        <w:rPr>
          <w:sz w:val="24"/>
        </w:rPr>
        <w:t>refers</w:t>
      </w:r>
      <w:r>
        <w:rPr>
          <w:spacing w:val="-8"/>
          <w:sz w:val="24"/>
        </w:rPr>
        <w:t> </w:t>
      </w:r>
      <w:r>
        <w:rPr>
          <w:sz w:val="24"/>
        </w:rPr>
        <w:t>to</w:t>
      </w:r>
      <w:r>
        <w:rPr>
          <w:spacing w:val="-6"/>
          <w:sz w:val="24"/>
        </w:rPr>
        <w:t> </w:t>
      </w:r>
      <w:r>
        <w:rPr>
          <w:sz w:val="24"/>
        </w:rPr>
        <w:t>a section in the</w:t>
      </w:r>
      <w:r>
        <w:rPr>
          <w:spacing w:val="-3"/>
          <w:sz w:val="24"/>
        </w:rPr>
        <w:t> </w:t>
      </w:r>
      <w:r>
        <w:rPr>
          <w:sz w:val="24"/>
        </w:rPr>
        <w:t>Act.</w:t>
      </w:r>
    </w:p>
    <w:p>
      <w:pPr>
        <w:pStyle w:val="BodyText"/>
        <w:spacing w:before="9"/>
        <w:rPr>
          <w:sz w:val="23"/>
        </w:rPr>
      </w:pPr>
    </w:p>
    <w:p>
      <w:pPr>
        <w:pStyle w:val="Heading1"/>
      </w:pPr>
      <w:r>
        <w:rPr/>
        <w:t>BACKGROUND</w:t>
      </w:r>
    </w:p>
    <w:p>
      <w:pPr>
        <w:pStyle w:val="BodyText"/>
        <w:rPr>
          <w:b/>
          <w:sz w:val="28"/>
        </w:rPr>
      </w:pPr>
    </w:p>
    <w:p>
      <w:pPr>
        <w:pStyle w:val="ListParagraph"/>
        <w:numPr>
          <w:ilvl w:val="0"/>
          <w:numId w:val="1"/>
        </w:numPr>
        <w:tabs>
          <w:tab w:pos="667" w:val="left" w:leader="none"/>
        </w:tabs>
        <w:spacing w:line="360" w:lineRule="auto" w:before="232" w:after="0"/>
        <w:ind w:left="666" w:right="131" w:hanging="567"/>
        <w:jc w:val="both"/>
        <w:rPr>
          <w:sz w:val="24"/>
        </w:rPr>
      </w:pPr>
      <w:r>
        <w:rPr>
          <w:sz w:val="24"/>
        </w:rPr>
        <w:t>The application arises out of a complaint initiated by the Applicant. The Applicant conducted an investigation</w:t>
      </w:r>
      <w:r>
        <w:rPr>
          <w:spacing w:val="-14"/>
          <w:sz w:val="24"/>
        </w:rPr>
        <w:t> </w:t>
      </w:r>
      <w:r>
        <w:rPr>
          <w:sz w:val="24"/>
        </w:rPr>
        <w:t>into</w:t>
      </w:r>
      <w:r>
        <w:rPr>
          <w:spacing w:val="-13"/>
          <w:sz w:val="24"/>
        </w:rPr>
        <w:t> </w:t>
      </w:r>
      <w:r>
        <w:rPr>
          <w:sz w:val="24"/>
        </w:rPr>
        <w:t>the</w:t>
      </w:r>
      <w:r>
        <w:rPr>
          <w:spacing w:val="-15"/>
          <w:sz w:val="24"/>
        </w:rPr>
        <w:t> </w:t>
      </w:r>
      <w:r>
        <w:rPr>
          <w:sz w:val="24"/>
        </w:rPr>
        <w:t>business</w:t>
      </w:r>
      <w:r>
        <w:rPr>
          <w:spacing w:val="-14"/>
          <w:sz w:val="24"/>
        </w:rPr>
        <w:t> </w:t>
      </w:r>
      <w:r>
        <w:rPr>
          <w:sz w:val="24"/>
        </w:rPr>
        <w:t>practices</w:t>
      </w:r>
      <w:r>
        <w:rPr>
          <w:spacing w:val="-17"/>
          <w:sz w:val="24"/>
        </w:rPr>
        <w:t> </w:t>
      </w:r>
      <w:r>
        <w:rPr>
          <w:sz w:val="24"/>
        </w:rPr>
        <w:t>of</w:t>
      </w:r>
      <w:r>
        <w:rPr>
          <w:spacing w:val="-14"/>
          <w:sz w:val="24"/>
        </w:rPr>
        <w:t> </w:t>
      </w:r>
      <w:r>
        <w:rPr>
          <w:sz w:val="24"/>
        </w:rPr>
        <w:t>the</w:t>
      </w:r>
      <w:r>
        <w:rPr>
          <w:spacing w:val="-13"/>
          <w:sz w:val="24"/>
        </w:rPr>
        <w:t> </w:t>
      </w:r>
      <w:r>
        <w:rPr>
          <w:sz w:val="24"/>
        </w:rPr>
        <w:t>Respondent.</w:t>
      </w:r>
      <w:r>
        <w:rPr>
          <w:spacing w:val="30"/>
          <w:sz w:val="24"/>
        </w:rPr>
        <w:t> </w:t>
      </w:r>
      <w:r>
        <w:rPr>
          <w:sz w:val="24"/>
        </w:rPr>
        <w:t>The</w:t>
      </w:r>
      <w:r>
        <w:rPr>
          <w:spacing w:val="-15"/>
          <w:sz w:val="24"/>
        </w:rPr>
        <w:t> </w:t>
      </w:r>
      <w:r>
        <w:rPr>
          <w:sz w:val="24"/>
        </w:rPr>
        <w:t>matter</w:t>
      </w:r>
      <w:r>
        <w:rPr>
          <w:spacing w:val="-15"/>
          <w:sz w:val="24"/>
        </w:rPr>
        <w:t> </w:t>
      </w:r>
      <w:r>
        <w:rPr>
          <w:sz w:val="24"/>
        </w:rPr>
        <w:t>was</w:t>
      </w:r>
      <w:r>
        <w:rPr>
          <w:spacing w:val="-14"/>
          <w:sz w:val="24"/>
        </w:rPr>
        <w:t> </w:t>
      </w:r>
      <w:r>
        <w:rPr>
          <w:sz w:val="24"/>
        </w:rPr>
        <w:t>set</w:t>
      </w:r>
      <w:r>
        <w:rPr>
          <w:spacing w:val="-14"/>
          <w:sz w:val="24"/>
        </w:rPr>
        <w:t> </w:t>
      </w:r>
      <w:r>
        <w:rPr>
          <w:sz w:val="24"/>
        </w:rPr>
        <w:t>down</w:t>
      </w:r>
      <w:r>
        <w:rPr>
          <w:spacing w:val="-13"/>
          <w:sz w:val="24"/>
        </w:rPr>
        <w:t> </w:t>
      </w:r>
      <w:r>
        <w:rPr>
          <w:sz w:val="24"/>
        </w:rPr>
        <w:t>for</w:t>
      </w:r>
      <w:r>
        <w:rPr>
          <w:spacing w:val="-16"/>
          <w:sz w:val="24"/>
        </w:rPr>
        <w:t> </w:t>
      </w:r>
      <w:r>
        <w:rPr>
          <w:sz w:val="24"/>
        </w:rPr>
        <w:t>15</w:t>
      </w:r>
      <w:r>
        <w:rPr>
          <w:spacing w:val="-13"/>
          <w:sz w:val="24"/>
        </w:rPr>
        <w:t> </w:t>
      </w:r>
      <w:r>
        <w:rPr>
          <w:sz w:val="24"/>
        </w:rPr>
        <w:t>March 2022. However, the parties requested that the matter be removed from the roll, as the parties intended to file a settlement</w:t>
      </w:r>
      <w:r>
        <w:rPr>
          <w:spacing w:val="-3"/>
          <w:sz w:val="24"/>
        </w:rPr>
        <w:t> </w:t>
      </w:r>
      <w:r>
        <w:rPr>
          <w:sz w:val="24"/>
        </w:rPr>
        <w:t>agreement.</w:t>
      </w:r>
    </w:p>
    <w:p>
      <w:pPr>
        <w:pStyle w:val="BodyText"/>
        <w:rPr>
          <w:sz w:val="36"/>
        </w:rPr>
      </w:pPr>
    </w:p>
    <w:p>
      <w:pPr>
        <w:pStyle w:val="ListParagraph"/>
        <w:numPr>
          <w:ilvl w:val="0"/>
          <w:numId w:val="1"/>
        </w:numPr>
        <w:tabs>
          <w:tab w:pos="667" w:val="left" w:leader="none"/>
        </w:tabs>
        <w:spacing w:line="360" w:lineRule="auto" w:before="1" w:after="0"/>
        <w:ind w:left="666" w:right="137" w:hanging="567"/>
        <w:jc w:val="both"/>
        <w:rPr>
          <w:sz w:val="24"/>
        </w:rPr>
      </w:pPr>
      <w:r>
        <w:rPr>
          <w:sz w:val="24"/>
        </w:rPr>
        <w:t>In summary, the settlement agreement records the Respondent’s failure to take reasonable steps to conduct affordability assessments, entering into reckless credit agreements with consumers, and non-compliance with statutory</w:t>
      </w:r>
      <w:r>
        <w:rPr>
          <w:spacing w:val="-4"/>
          <w:sz w:val="24"/>
        </w:rPr>
        <w:t> </w:t>
      </w:r>
      <w:r>
        <w:rPr>
          <w:sz w:val="24"/>
        </w:rPr>
        <w:t>reporting.</w:t>
      </w:r>
    </w:p>
    <w:p>
      <w:pPr>
        <w:pStyle w:val="BodyText"/>
        <w:spacing w:before="10"/>
        <w:rPr>
          <w:sz w:val="35"/>
        </w:rPr>
      </w:pPr>
    </w:p>
    <w:p>
      <w:pPr>
        <w:pStyle w:val="ListParagraph"/>
        <w:numPr>
          <w:ilvl w:val="0"/>
          <w:numId w:val="1"/>
        </w:numPr>
        <w:tabs>
          <w:tab w:pos="667" w:val="left" w:leader="none"/>
        </w:tabs>
        <w:spacing w:line="360" w:lineRule="auto" w:before="0" w:after="0"/>
        <w:ind w:left="666" w:right="133" w:hanging="567"/>
        <w:jc w:val="both"/>
        <w:rPr>
          <w:sz w:val="24"/>
        </w:rPr>
      </w:pPr>
      <w:r>
        <w:rPr>
          <w:sz w:val="24"/>
        </w:rPr>
        <w:t>The</w:t>
      </w:r>
      <w:r>
        <w:rPr>
          <w:spacing w:val="-12"/>
          <w:sz w:val="24"/>
        </w:rPr>
        <w:t> </w:t>
      </w:r>
      <w:r>
        <w:rPr>
          <w:sz w:val="24"/>
        </w:rPr>
        <w:t>settlement</w:t>
      </w:r>
      <w:r>
        <w:rPr>
          <w:spacing w:val="-11"/>
          <w:sz w:val="24"/>
        </w:rPr>
        <w:t> </w:t>
      </w:r>
      <w:r>
        <w:rPr>
          <w:sz w:val="24"/>
        </w:rPr>
        <w:t>agreement</w:t>
      </w:r>
      <w:r>
        <w:rPr>
          <w:spacing w:val="-12"/>
          <w:sz w:val="24"/>
        </w:rPr>
        <w:t> </w:t>
      </w:r>
      <w:r>
        <w:rPr>
          <w:sz w:val="24"/>
        </w:rPr>
        <w:t>also</w:t>
      </w:r>
      <w:r>
        <w:rPr>
          <w:spacing w:val="-11"/>
          <w:sz w:val="24"/>
        </w:rPr>
        <w:t> </w:t>
      </w:r>
      <w:r>
        <w:rPr>
          <w:sz w:val="24"/>
        </w:rPr>
        <w:t>records</w:t>
      </w:r>
      <w:r>
        <w:rPr>
          <w:spacing w:val="-10"/>
          <w:sz w:val="24"/>
        </w:rPr>
        <w:t> </w:t>
      </w:r>
      <w:r>
        <w:rPr>
          <w:sz w:val="24"/>
        </w:rPr>
        <w:t>that</w:t>
      </w:r>
      <w:r>
        <w:rPr>
          <w:spacing w:val="-11"/>
          <w:sz w:val="24"/>
        </w:rPr>
        <w:t> </w:t>
      </w:r>
      <w:r>
        <w:rPr>
          <w:sz w:val="24"/>
        </w:rPr>
        <w:t>the</w:t>
      </w:r>
      <w:r>
        <w:rPr>
          <w:spacing w:val="-10"/>
          <w:sz w:val="24"/>
        </w:rPr>
        <w:t> </w:t>
      </w:r>
      <w:r>
        <w:rPr>
          <w:sz w:val="24"/>
        </w:rPr>
        <w:t>Respondent</w:t>
      </w:r>
      <w:r>
        <w:rPr>
          <w:spacing w:val="-12"/>
          <w:sz w:val="24"/>
        </w:rPr>
        <w:t> </w:t>
      </w:r>
      <w:r>
        <w:rPr>
          <w:sz w:val="24"/>
        </w:rPr>
        <w:t>will</w:t>
      </w:r>
      <w:r>
        <w:rPr>
          <w:spacing w:val="-13"/>
          <w:sz w:val="24"/>
        </w:rPr>
        <w:t> </w:t>
      </w:r>
      <w:r>
        <w:rPr>
          <w:sz w:val="24"/>
        </w:rPr>
        <w:t>carry</w:t>
      </w:r>
      <w:r>
        <w:rPr>
          <w:spacing w:val="-13"/>
          <w:sz w:val="24"/>
        </w:rPr>
        <w:t> </w:t>
      </w:r>
      <w:r>
        <w:rPr>
          <w:sz w:val="24"/>
        </w:rPr>
        <w:t>out</w:t>
      </w:r>
      <w:r>
        <w:rPr>
          <w:spacing w:val="-11"/>
          <w:sz w:val="24"/>
        </w:rPr>
        <w:t> </w:t>
      </w:r>
      <w:r>
        <w:rPr>
          <w:sz w:val="24"/>
        </w:rPr>
        <w:t>an</w:t>
      </w:r>
      <w:r>
        <w:rPr>
          <w:spacing w:val="-11"/>
          <w:sz w:val="24"/>
        </w:rPr>
        <w:t> </w:t>
      </w:r>
      <w:r>
        <w:rPr>
          <w:sz w:val="24"/>
        </w:rPr>
        <w:t>audit</w:t>
      </w:r>
      <w:r>
        <w:rPr>
          <w:spacing w:val="-9"/>
          <w:sz w:val="24"/>
        </w:rPr>
        <w:t> </w:t>
      </w:r>
      <w:r>
        <w:rPr>
          <w:sz w:val="24"/>
        </w:rPr>
        <w:t>to</w:t>
      </w:r>
      <w:r>
        <w:rPr>
          <w:spacing w:val="-13"/>
          <w:sz w:val="24"/>
        </w:rPr>
        <w:t> </w:t>
      </w:r>
      <w:r>
        <w:rPr>
          <w:sz w:val="24"/>
        </w:rPr>
        <w:t>identify</w:t>
      </w:r>
      <w:r>
        <w:rPr>
          <w:spacing w:val="-11"/>
          <w:sz w:val="24"/>
        </w:rPr>
        <w:t> </w:t>
      </w:r>
      <w:r>
        <w:rPr>
          <w:sz w:val="24"/>
        </w:rPr>
        <w:t>credit agreements entered into with consumers without first taking reasonable steps to assess such consumers’ financial means, prospects, obligations, and existing debt obligations. The Respondent will take necessary steps to remove adverse listings of consumers, take reasonable steps to have the judgments against consumers rescinded or abandoned, and refund consumers' cost of credit charges. The Respondent will also pay an administrative</w:t>
      </w:r>
      <w:r>
        <w:rPr>
          <w:spacing w:val="-15"/>
          <w:sz w:val="24"/>
        </w:rPr>
        <w:t> </w:t>
      </w:r>
      <w:r>
        <w:rPr>
          <w:sz w:val="24"/>
        </w:rPr>
        <w:t>fine.</w:t>
      </w:r>
    </w:p>
    <w:p>
      <w:pPr>
        <w:pStyle w:val="BodyText"/>
        <w:spacing w:before="1"/>
        <w:rPr>
          <w:sz w:val="36"/>
        </w:rPr>
      </w:pPr>
    </w:p>
    <w:p>
      <w:pPr>
        <w:pStyle w:val="ListParagraph"/>
        <w:numPr>
          <w:ilvl w:val="0"/>
          <w:numId w:val="1"/>
        </w:numPr>
        <w:tabs>
          <w:tab w:pos="667" w:val="left" w:leader="none"/>
        </w:tabs>
        <w:spacing w:line="360" w:lineRule="auto" w:before="0" w:after="0"/>
        <w:ind w:left="666" w:right="142" w:hanging="567"/>
        <w:jc w:val="both"/>
        <w:rPr>
          <w:sz w:val="24"/>
        </w:rPr>
      </w:pPr>
      <w:r>
        <w:rPr>
          <w:sz w:val="24"/>
        </w:rPr>
        <w:t>The Applicant and the Respondent agree that the settlement agreement may be confirmed as a consent order in terms of section 138 (1)</w:t>
      </w:r>
      <w:r>
        <w:rPr>
          <w:spacing w:val="1"/>
          <w:sz w:val="24"/>
        </w:rPr>
        <w:t> </w:t>
      </w:r>
      <w:r>
        <w:rPr>
          <w:sz w:val="24"/>
        </w:rPr>
        <w:t>(b).</w:t>
      </w:r>
    </w:p>
    <w:p>
      <w:pPr>
        <w:pStyle w:val="BodyText"/>
      </w:pPr>
    </w:p>
    <w:p>
      <w:pPr>
        <w:pStyle w:val="Heading1"/>
      </w:pPr>
      <w:r>
        <w:rPr/>
        <w:t>ANALYSIS</w:t>
      </w:r>
    </w:p>
    <w:p>
      <w:pPr>
        <w:pStyle w:val="BodyText"/>
        <w:rPr>
          <w:b/>
          <w:sz w:val="20"/>
        </w:rPr>
      </w:pPr>
    </w:p>
    <w:p>
      <w:pPr>
        <w:pStyle w:val="BodyText"/>
        <w:rPr>
          <w:b/>
          <w:sz w:val="20"/>
        </w:rPr>
      </w:pPr>
    </w:p>
    <w:p>
      <w:pPr>
        <w:pStyle w:val="BodyText"/>
        <w:spacing w:before="10"/>
        <w:rPr>
          <w:b/>
          <w:sz w:val="22"/>
        </w:rPr>
      </w:pPr>
      <w:r>
        <w:rPr/>
        <w:pict>
          <v:shape style="position:absolute;margin-left:72.024002pt;margin-top:15.478539pt;width:144.050pt;height:.1pt;mso-position-horizontal-relative:page;mso-position-vertical-relative:paragraph;z-index:-251656192;mso-wrap-distance-left:0;mso-wrap-distance-right:0" coordorigin="1440,310" coordsize="2881,0" path="m1440,310l4321,310e" filled="false" stroked="true" strokeweight=".72003pt" strokecolor="#000000">
            <v:path arrowok="t"/>
            <v:stroke dashstyle="solid"/>
            <w10:wrap type="topAndBottom"/>
          </v:shape>
        </w:pict>
      </w:r>
    </w:p>
    <w:p>
      <w:pPr>
        <w:spacing w:before="70"/>
        <w:ind w:left="100" w:right="136" w:firstLine="0"/>
        <w:jc w:val="both"/>
        <w:rPr>
          <w:sz w:val="20"/>
        </w:rPr>
      </w:pPr>
      <w:r>
        <w:rPr>
          <w:position w:val="5"/>
          <w:sz w:val="13"/>
        </w:rPr>
        <w:t>1 </w:t>
      </w:r>
      <w:r>
        <w:rPr>
          <w:sz w:val="20"/>
        </w:rPr>
        <w:t>Section 138 (1) (b) provides that if a matter has been investigated by the National Credit Regulator, and the National Credit Regulator</w:t>
      </w:r>
      <w:r>
        <w:rPr>
          <w:spacing w:val="-14"/>
          <w:sz w:val="20"/>
        </w:rPr>
        <w:t> </w:t>
      </w:r>
      <w:r>
        <w:rPr>
          <w:sz w:val="20"/>
        </w:rPr>
        <w:t>and</w:t>
      </w:r>
      <w:r>
        <w:rPr>
          <w:spacing w:val="-14"/>
          <w:sz w:val="20"/>
        </w:rPr>
        <w:t> </w:t>
      </w:r>
      <w:r>
        <w:rPr>
          <w:sz w:val="20"/>
        </w:rPr>
        <w:t>the</w:t>
      </w:r>
      <w:r>
        <w:rPr>
          <w:spacing w:val="-13"/>
          <w:sz w:val="20"/>
        </w:rPr>
        <w:t> </w:t>
      </w:r>
      <w:r>
        <w:rPr>
          <w:sz w:val="20"/>
        </w:rPr>
        <w:t>respondent</w:t>
      </w:r>
      <w:r>
        <w:rPr>
          <w:spacing w:val="-14"/>
          <w:sz w:val="20"/>
        </w:rPr>
        <w:t> </w:t>
      </w:r>
      <w:r>
        <w:rPr>
          <w:sz w:val="20"/>
        </w:rPr>
        <w:t>agree</w:t>
      </w:r>
      <w:r>
        <w:rPr>
          <w:spacing w:val="-13"/>
          <w:sz w:val="20"/>
        </w:rPr>
        <w:t> </w:t>
      </w:r>
      <w:r>
        <w:rPr>
          <w:sz w:val="20"/>
        </w:rPr>
        <w:t>to</w:t>
      </w:r>
      <w:r>
        <w:rPr>
          <w:spacing w:val="-14"/>
          <w:sz w:val="20"/>
        </w:rPr>
        <w:t> </w:t>
      </w:r>
      <w:r>
        <w:rPr>
          <w:sz w:val="20"/>
        </w:rPr>
        <w:t>the</w:t>
      </w:r>
      <w:r>
        <w:rPr>
          <w:spacing w:val="-13"/>
          <w:sz w:val="20"/>
        </w:rPr>
        <w:t> </w:t>
      </w:r>
      <w:r>
        <w:rPr>
          <w:sz w:val="20"/>
        </w:rPr>
        <w:t>proposed</w:t>
      </w:r>
      <w:r>
        <w:rPr>
          <w:spacing w:val="-14"/>
          <w:sz w:val="20"/>
        </w:rPr>
        <w:t> </w:t>
      </w:r>
      <w:r>
        <w:rPr>
          <w:sz w:val="20"/>
        </w:rPr>
        <w:t>terms</w:t>
      </w:r>
      <w:r>
        <w:rPr>
          <w:spacing w:val="-14"/>
          <w:sz w:val="20"/>
        </w:rPr>
        <w:t> </w:t>
      </w:r>
      <w:r>
        <w:rPr>
          <w:sz w:val="20"/>
        </w:rPr>
        <w:t>of</w:t>
      </w:r>
      <w:r>
        <w:rPr>
          <w:spacing w:val="-15"/>
          <w:sz w:val="20"/>
        </w:rPr>
        <w:t> </w:t>
      </w:r>
      <w:r>
        <w:rPr>
          <w:sz w:val="20"/>
        </w:rPr>
        <w:t>an</w:t>
      </w:r>
      <w:r>
        <w:rPr>
          <w:spacing w:val="-13"/>
          <w:sz w:val="20"/>
        </w:rPr>
        <w:t> </w:t>
      </w:r>
      <w:r>
        <w:rPr>
          <w:sz w:val="20"/>
        </w:rPr>
        <w:t>appropriate</w:t>
      </w:r>
      <w:r>
        <w:rPr>
          <w:spacing w:val="-14"/>
          <w:sz w:val="20"/>
        </w:rPr>
        <w:t> </w:t>
      </w:r>
      <w:r>
        <w:rPr>
          <w:sz w:val="20"/>
        </w:rPr>
        <w:t>order,</w:t>
      </w:r>
      <w:r>
        <w:rPr>
          <w:spacing w:val="-16"/>
          <w:sz w:val="20"/>
        </w:rPr>
        <w:t> </w:t>
      </w:r>
      <w:r>
        <w:rPr>
          <w:sz w:val="20"/>
        </w:rPr>
        <w:t>then</w:t>
      </w:r>
      <w:r>
        <w:rPr>
          <w:spacing w:val="-14"/>
          <w:sz w:val="20"/>
        </w:rPr>
        <w:t> </w:t>
      </w:r>
      <w:r>
        <w:rPr>
          <w:sz w:val="20"/>
        </w:rPr>
        <w:t>the</w:t>
      </w:r>
      <w:r>
        <w:rPr>
          <w:spacing w:val="-15"/>
          <w:sz w:val="20"/>
        </w:rPr>
        <w:t> </w:t>
      </w:r>
      <w:r>
        <w:rPr>
          <w:sz w:val="20"/>
        </w:rPr>
        <w:t>Tribunal</w:t>
      </w:r>
      <w:r>
        <w:rPr>
          <w:spacing w:val="-16"/>
          <w:sz w:val="20"/>
        </w:rPr>
        <w:t> </w:t>
      </w:r>
      <w:r>
        <w:rPr>
          <w:sz w:val="20"/>
        </w:rPr>
        <w:t>without</w:t>
      </w:r>
      <w:r>
        <w:rPr>
          <w:spacing w:val="-14"/>
          <w:sz w:val="20"/>
        </w:rPr>
        <w:t> </w:t>
      </w:r>
      <w:r>
        <w:rPr>
          <w:sz w:val="20"/>
        </w:rPr>
        <w:t>hearing</w:t>
      </w:r>
      <w:r>
        <w:rPr>
          <w:spacing w:val="-14"/>
          <w:sz w:val="20"/>
        </w:rPr>
        <w:t> </w:t>
      </w:r>
      <w:r>
        <w:rPr>
          <w:sz w:val="20"/>
        </w:rPr>
        <w:t>evidence, may confirm the resolution or agreement as a consent</w:t>
      </w:r>
      <w:r>
        <w:rPr>
          <w:spacing w:val="-6"/>
          <w:sz w:val="20"/>
        </w:rPr>
        <w:t> </w:t>
      </w:r>
      <w:r>
        <w:rPr>
          <w:sz w:val="20"/>
        </w:rPr>
        <w:t>order.</w:t>
      </w:r>
    </w:p>
    <w:p>
      <w:pPr>
        <w:spacing w:after="0"/>
        <w:jc w:val="both"/>
        <w:rPr>
          <w:sz w:val="20"/>
        </w:rPr>
        <w:sectPr>
          <w:footerReference w:type="default" r:id="rId5"/>
          <w:pgSz w:w="11910" w:h="16840"/>
          <w:pgMar w:footer="544" w:header="0" w:top="1340" w:bottom="740" w:left="1340" w:right="1300"/>
          <w:pgNumType w:start="2"/>
        </w:sectPr>
      </w:pPr>
    </w:p>
    <w:p>
      <w:pPr>
        <w:pStyle w:val="ListParagraph"/>
        <w:numPr>
          <w:ilvl w:val="0"/>
          <w:numId w:val="1"/>
        </w:numPr>
        <w:tabs>
          <w:tab w:pos="603" w:val="left" w:leader="none"/>
        </w:tabs>
        <w:spacing w:line="360" w:lineRule="auto" w:before="82" w:after="0"/>
        <w:ind w:left="602" w:right="133" w:hanging="502"/>
        <w:jc w:val="both"/>
        <w:rPr>
          <w:sz w:val="24"/>
        </w:rPr>
      </w:pPr>
      <w:r>
        <w:rPr>
          <w:sz w:val="24"/>
        </w:rPr>
        <w:t>Section 138 (1) (b) must be read with section 150, which empowers the Tribunal to make an appropriate order in relation to prohibited or required conduct, and in subsection (d) includes confirming a “consent agreement” as an order of the</w:t>
      </w:r>
      <w:r>
        <w:rPr>
          <w:spacing w:val="-3"/>
          <w:sz w:val="24"/>
        </w:rPr>
        <w:t> </w:t>
      </w:r>
      <w:r>
        <w:rPr>
          <w:sz w:val="24"/>
        </w:rPr>
        <w:t>Tribunal.</w:t>
      </w:r>
    </w:p>
    <w:p>
      <w:pPr>
        <w:pStyle w:val="BodyText"/>
        <w:spacing w:before="11"/>
        <w:rPr>
          <w:sz w:val="35"/>
        </w:rPr>
      </w:pPr>
    </w:p>
    <w:p>
      <w:pPr>
        <w:pStyle w:val="ListParagraph"/>
        <w:numPr>
          <w:ilvl w:val="0"/>
          <w:numId w:val="1"/>
        </w:numPr>
        <w:tabs>
          <w:tab w:pos="603" w:val="left" w:leader="none"/>
        </w:tabs>
        <w:spacing w:line="360" w:lineRule="auto" w:before="0" w:after="0"/>
        <w:ind w:left="602" w:right="136" w:hanging="502"/>
        <w:jc w:val="both"/>
        <w:rPr>
          <w:sz w:val="24"/>
        </w:rPr>
      </w:pPr>
      <w:r>
        <w:rPr>
          <w:sz w:val="24"/>
        </w:rPr>
        <w:t>The Tribunal is satisfied that the settlement agreement correctly records the Respondent’s prohibited conduct; and that the Respondent has undertaken to perform a range of remedial actions. The Tribunal has considered that the Applicant and the Respondent have agreed that the settlement may be confirmed as a consent order in terms of section</w:t>
      </w:r>
      <w:r>
        <w:rPr>
          <w:spacing w:val="-17"/>
          <w:sz w:val="24"/>
        </w:rPr>
        <w:t> </w:t>
      </w:r>
      <w:r>
        <w:rPr>
          <w:sz w:val="24"/>
        </w:rPr>
        <w:t>138(1)(b).</w:t>
      </w:r>
    </w:p>
    <w:p>
      <w:pPr>
        <w:pStyle w:val="BodyText"/>
        <w:spacing w:before="1"/>
        <w:rPr>
          <w:sz w:val="36"/>
        </w:rPr>
      </w:pPr>
    </w:p>
    <w:p>
      <w:pPr>
        <w:pStyle w:val="Heading1"/>
      </w:pPr>
      <w:r>
        <w:rPr/>
        <w:t>CONCLUSION</w:t>
      </w:r>
    </w:p>
    <w:p>
      <w:pPr>
        <w:pStyle w:val="BodyText"/>
        <w:rPr>
          <w:b/>
          <w:sz w:val="28"/>
        </w:rPr>
      </w:pPr>
    </w:p>
    <w:p>
      <w:pPr>
        <w:pStyle w:val="ListParagraph"/>
        <w:numPr>
          <w:ilvl w:val="0"/>
          <w:numId w:val="1"/>
        </w:numPr>
        <w:tabs>
          <w:tab w:pos="667" w:val="left" w:leader="none"/>
        </w:tabs>
        <w:spacing w:line="360" w:lineRule="auto" w:before="229" w:after="0"/>
        <w:ind w:left="666" w:right="98" w:hanging="567"/>
        <w:jc w:val="both"/>
        <w:rPr>
          <w:sz w:val="24"/>
        </w:rPr>
      </w:pPr>
      <w:r>
        <w:rPr>
          <w:sz w:val="24"/>
        </w:rPr>
        <w:t>Consequently, the Tribunal is persuaded that it is appropriate to grant the application and confirm the settlement agreement as a consent</w:t>
      </w:r>
      <w:r>
        <w:rPr>
          <w:spacing w:val="-4"/>
          <w:sz w:val="24"/>
        </w:rPr>
        <w:t> </w:t>
      </w:r>
      <w:r>
        <w:rPr>
          <w:sz w:val="24"/>
        </w:rPr>
        <w:t>order.</w:t>
      </w:r>
    </w:p>
    <w:p>
      <w:pPr>
        <w:pStyle w:val="BodyText"/>
        <w:spacing w:before="11"/>
        <w:rPr>
          <w:sz w:val="35"/>
        </w:rPr>
      </w:pPr>
    </w:p>
    <w:p>
      <w:pPr>
        <w:pStyle w:val="Heading1"/>
      </w:pPr>
      <w:r>
        <w:rPr/>
        <w:t>ORDER</w:t>
      </w:r>
    </w:p>
    <w:p>
      <w:pPr>
        <w:pStyle w:val="BodyText"/>
        <w:spacing w:before="2"/>
        <w:rPr>
          <w:b/>
          <w:sz w:val="36"/>
        </w:rPr>
      </w:pPr>
    </w:p>
    <w:p>
      <w:pPr>
        <w:pStyle w:val="ListParagraph"/>
        <w:numPr>
          <w:ilvl w:val="0"/>
          <w:numId w:val="1"/>
        </w:numPr>
        <w:tabs>
          <w:tab w:pos="666" w:val="left" w:leader="none"/>
          <w:tab w:pos="667" w:val="left" w:leader="none"/>
        </w:tabs>
        <w:spacing w:line="240" w:lineRule="auto" w:before="1" w:after="0"/>
        <w:ind w:left="666" w:right="0" w:hanging="567"/>
        <w:jc w:val="left"/>
        <w:rPr>
          <w:sz w:val="24"/>
        </w:rPr>
      </w:pPr>
      <w:r>
        <w:rPr>
          <w:sz w:val="24"/>
        </w:rPr>
        <w:t>Accordingly, the Tribunal makes the following</w:t>
      </w:r>
      <w:r>
        <w:rPr>
          <w:spacing w:val="-10"/>
          <w:sz w:val="24"/>
        </w:rPr>
        <w:t> </w:t>
      </w:r>
      <w:r>
        <w:rPr>
          <w:sz w:val="24"/>
        </w:rPr>
        <w:t>order:</w:t>
      </w:r>
    </w:p>
    <w:p>
      <w:pPr>
        <w:pStyle w:val="BodyText"/>
        <w:rPr>
          <w:sz w:val="28"/>
        </w:rPr>
      </w:pPr>
    </w:p>
    <w:p>
      <w:pPr>
        <w:pStyle w:val="ListParagraph"/>
        <w:numPr>
          <w:ilvl w:val="1"/>
          <w:numId w:val="1"/>
        </w:numPr>
        <w:tabs>
          <w:tab w:pos="667" w:val="left" w:leader="none"/>
        </w:tabs>
        <w:spacing w:line="360" w:lineRule="auto" w:before="228" w:after="0"/>
        <w:ind w:left="666" w:right="134" w:hanging="567"/>
        <w:jc w:val="both"/>
        <w:rPr>
          <w:sz w:val="24"/>
        </w:rPr>
      </w:pPr>
      <w:r>
        <w:rPr>
          <w:sz w:val="24"/>
        </w:rPr>
        <w:t>The settlement agreement that the Applicant and the Respondent concluded on 3 August 2022; which is annexed to this consent order as “Annexure A to NCR v Yon Xing Supermarket (Pty) Ltd NCT/158492/2020/140(1)”, is confirmed and made an order of the National Consumer Tribunal in terms of section 138(1)(b) of the National Credit Act, 2005;</w:t>
      </w:r>
      <w:r>
        <w:rPr>
          <w:spacing w:val="-12"/>
          <w:sz w:val="24"/>
        </w:rPr>
        <w:t> </w:t>
      </w:r>
      <w:r>
        <w:rPr>
          <w:sz w:val="24"/>
        </w:rPr>
        <w:t>and</w:t>
      </w:r>
    </w:p>
    <w:p>
      <w:pPr>
        <w:pStyle w:val="BodyText"/>
        <w:spacing w:before="11"/>
        <w:rPr>
          <w:sz w:val="35"/>
        </w:rPr>
      </w:pPr>
    </w:p>
    <w:p>
      <w:pPr>
        <w:pStyle w:val="ListParagraph"/>
        <w:numPr>
          <w:ilvl w:val="1"/>
          <w:numId w:val="1"/>
        </w:numPr>
        <w:tabs>
          <w:tab w:pos="667" w:val="left" w:leader="none"/>
        </w:tabs>
        <w:spacing w:line="240" w:lineRule="auto" w:before="0" w:after="0"/>
        <w:ind w:left="666" w:right="0" w:hanging="567"/>
        <w:jc w:val="left"/>
        <w:rPr>
          <w:sz w:val="24"/>
        </w:rPr>
      </w:pPr>
      <w:r>
        <w:rPr>
          <w:sz w:val="24"/>
        </w:rPr>
        <w:t>There is no order as to</w:t>
      </w:r>
      <w:r>
        <w:rPr>
          <w:spacing w:val="-3"/>
          <w:sz w:val="24"/>
        </w:rPr>
        <w:t> </w:t>
      </w:r>
      <w:r>
        <w:rPr>
          <w:sz w:val="24"/>
        </w:rPr>
        <w:t>costs.</w:t>
      </w:r>
    </w:p>
    <w:p>
      <w:pPr>
        <w:pStyle w:val="BodyText"/>
        <w:rPr>
          <w:sz w:val="28"/>
        </w:rPr>
      </w:pPr>
    </w:p>
    <w:p>
      <w:pPr>
        <w:pStyle w:val="BodyText"/>
        <w:spacing w:before="231"/>
        <w:ind w:left="100"/>
      </w:pPr>
      <w:r>
        <w:rPr/>
        <w:t>DATED ON THIS 13TH DAY OF SEPTEMBER 2022</w:t>
      </w:r>
    </w:p>
    <w:p>
      <w:pPr>
        <w:pStyle w:val="BodyText"/>
        <w:rPr>
          <w:sz w:val="20"/>
        </w:rPr>
      </w:pPr>
    </w:p>
    <w:p>
      <w:pPr>
        <w:pStyle w:val="BodyText"/>
        <w:rPr>
          <w:sz w:val="20"/>
        </w:rPr>
      </w:pPr>
    </w:p>
    <w:p>
      <w:pPr>
        <w:pStyle w:val="BodyText"/>
        <w:spacing w:before="8"/>
        <w:rPr>
          <w:sz w:val="25"/>
        </w:rPr>
      </w:pPr>
      <w:r>
        <w:rPr/>
        <w:pict>
          <v:shape style="position:absolute;margin-left:72.024002pt;margin-top:17.033609pt;width:65.650pt;height:.1pt;mso-position-horizontal-relative:page;mso-position-vertical-relative:paragraph;z-index:-251655168;mso-wrap-distance-left:0;mso-wrap-distance-right:0" coordorigin="1440,341" coordsize="1313,0" path="m1440,341l2753,341e" filled="false" stroked="true" strokeweight=".6pt" strokecolor="#000000">
            <v:path arrowok="t"/>
            <v:stroke dashstyle="solid"/>
            <w10:wrap type="topAndBottom"/>
          </v:shape>
        </w:pict>
      </w:r>
    </w:p>
    <w:p>
      <w:pPr>
        <w:pStyle w:val="Heading1"/>
        <w:ind w:right="7138"/>
      </w:pPr>
      <w:r>
        <w:rPr/>
        <w:t>MS H ALWAR PRESIDING MEMBER</w:t>
      </w:r>
    </w:p>
    <w:p>
      <w:pPr>
        <w:spacing w:after="0"/>
        <w:sectPr>
          <w:pgSz w:w="11910" w:h="16840"/>
          <w:pgMar w:header="0" w:footer="544" w:top="1340" w:bottom="820" w:left="1340" w:right="1300"/>
        </w:sectPr>
      </w:pPr>
    </w:p>
    <w:p>
      <w:pPr>
        <w:pStyle w:val="BodyText"/>
        <w:spacing w:before="7"/>
        <w:rPr>
          <w:b/>
          <w:sz w:val="13"/>
        </w:rPr>
      </w:pPr>
    </w:p>
    <w:p>
      <w:pPr>
        <w:pStyle w:val="BodyText"/>
        <w:ind w:left="220"/>
        <w:rPr>
          <w:sz w:val="20"/>
        </w:rPr>
      </w:pPr>
      <w:r>
        <w:rPr>
          <w:sz w:val="20"/>
        </w:rPr>
        <w:drawing>
          <wp:inline distT="0" distB="0" distL="0" distR="0">
            <wp:extent cx="3371850" cy="17430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371850" cy="1743075"/>
                    </a:xfrm>
                    <a:prstGeom prst="rect">
                      <a:avLst/>
                    </a:prstGeom>
                  </pic:spPr>
                </pic:pic>
              </a:graphicData>
            </a:graphic>
          </wp:inline>
        </w:drawing>
      </w:r>
      <w:r>
        <w:rPr>
          <w:sz w:val="20"/>
        </w:rPr>
      </w:r>
    </w:p>
    <w:sectPr>
      <w:pgSz w:w="11910" w:h="16840"/>
      <w:pgMar w:header="0" w:footer="544" w:top="1580" w:bottom="74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type id="_x0000_t202" o:spt="202" coordsize="21600,21600" path="m,l,21600r21600,l21600,xe">
          <v:stroke joinstyle="miter"/>
          <v:path gradientshapeok="t" o:connecttype="rect"/>
        </v:shapetype>
        <v:shape style="position:absolute;margin-left:277.809998pt;margin-top:799.716064pt;width:39.75pt;height:12.35pt;mso-position-horizontal-relative:page;mso-position-vertical-relative:page;z-index:-251787264"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4</w:t>
                </w:r>
                <w:r>
                  <w:rPr/>
                  <w:fldChar w:fldCharType="end"/>
                </w:r>
                <w:r>
                  <w:rPr>
                    <w:b/>
                    <w:sz w:val="18"/>
                  </w:rPr>
                  <w:t> </w:t>
                </w:r>
                <w:r>
                  <w:rPr>
                    <w:sz w:val="18"/>
                  </w:rPr>
                  <w:t>of </w:t>
                </w:r>
                <w:r>
                  <w:rPr>
                    <w:b/>
                    <w:sz w:val="18"/>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66" w:hanging="567"/>
        <w:jc w:val="left"/>
      </w:pPr>
      <w:rPr>
        <w:rFonts w:hint="default" w:ascii="Arial Narrow" w:hAnsi="Arial Narrow" w:eastAsia="Arial Narrow" w:cs="Arial Narrow"/>
        <w:spacing w:val="-25"/>
        <w:w w:val="100"/>
        <w:sz w:val="24"/>
        <w:szCs w:val="24"/>
        <w:lang w:val="en-us" w:eastAsia="en-us" w:bidi="en-us"/>
      </w:rPr>
    </w:lvl>
    <w:lvl w:ilvl="1">
      <w:start w:val="1"/>
      <w:numFmt w:val="decimal"/>
      <w:lvlText w:val="%1.%2"/>
      <w:lvlJc w:val="left"/>
      <w:pPr>
        <w:ind w:left="666" w:hanging="567"/>
        <w:jc w:val="left"/>
      </w:pPr>
      <w:rPr>
        <w:rFonts w:hint="default" w:ascii="Arial Narrow" w:hAnsi="Arial Narrow" w:eastAsia="Arial Narrow" w:cs="Arial Narrow"/>
        <w:spacing w:val="-4"/>
        <w:w w:val="100"/>
        <w:sz w:val="24"/>
        <w:szCs w:val="24"/>
        <w:lang w:val="en-us" w:eastAsia="en-us" w:bidi="en-us"/>
      </w:rPr>
    </w:lvl>
    <w:lvl w:ilvl="2">
      <w:start w:val="0"/>
      <w:numFmt w:val="bullet"/>
      <w:lvlText w:val="•"/>
      <w:lvlJc w:val="left"/>
      <w:pPr>
        <w:ind w:left="2381" w:hanging="567"/>
      </w:pPr>
      <w:rPr>
        <w:rFonts w:hint="default"/>
        <w:lang w:val="en-us" w:eastAsia="en-us" w:bidi="en-us"/>
      </w:rPr>
    </w:lvl>
    <w:lvl w:ilvl="3">
      <w:start w:val="0"/>
      <w:numFmt w:val="bullet"/>
      <w:lvlText w:val="•"/>
      <w:lvlJc w:val="left"/>
      <w:pPr>
        <w:ind w:left="3241" w:hanging="567"/>
      </w:pPr>
      <w:rPr>
        <w:rFonts w:hint="default"/>
        <w:lang w:val="en-us" w:eastAsia="en-us" w:bidi="en-us"/>
      </w:rPr>
    </w:lvl>
    <w:lvl w:ilvl="4">
      <w:start w:val="0"/>
      <w:numFmt w:val="bullet"/>
      <w:lvlText w:val="•"/>
      <w:lvlJc w:val="left"/>
      <w:pPr>
        <w:ind w:left="4102" w:hanging="567"/>
      </w:pPr>
      <w:rPr>
        <w:rFonts w:hint="default"/>
        <w:lang w:val="en-us" w:eastAsia="en-us" w:bidi="en-us"/>
      </w:rPr>
    </w:lvl>
    <w:lvl w:ilvl="5">
      <w:start w:val="0"/>
      <w:numFmt w:val="bullet"/>
      <w:lvlText w:val="•"/>
      <w:lvlJc w:val="left"/>
      <w:pPr>
        <w:ind w:left="4963" w:hanging="567"/>
      </w:pPr>
      <w:rPr>
        <w:rFonts w:hint="default"/>
        <w:lang w:val="en-us" w:eastAsia="en-us" w:bidi="en-us"/>
      </w:rPr>
    </w:lvl>
    <w:lvl w:ilvl="6">
      <w:start w:val="0"/>
      <w:numFmt w:val="bullet"/>
      <w:lvlText w:val="•"/>
      <w:lvlJc w:val="left"/>
      <w:pPr>
        <w:ind w:left="5823" w:hanging="567"/>
      </w:pPr>
      <w:rPr>
        <w:rFonts w:hint="default"/>
        <w:lang w:val="en-us" w:eastAsia="en-us" w:bidi="en-us"/>
      </w:rPr>
    </w:lvl>
    <w:lvl w:ilvl="7">
      <w:start w:val="0"/>
      <w:numFmt w:val="bullet"/>
      <w:lvlText w:val="•"/>
      <w:lvlJc w:val="left"/>
      <w:pPr>
        <w:ind w:left="6684" w:hanging="567"/>
      </w:pPr>
      <w:rPr>
        <w:rFonts w:hint="default"/>
        <w:lang w:val="en-us" w:eastAsia="en-us" w:bidi="en-us"/>
      </w:rPr>
    </w:lvl>
    <w:lvl w:ilvl="8">
      <w:start w:val="0"/>
      <w:numFmt w:val="bullet"/>
      <w:lvlText w:val="•"/>
      <w:lvlJc w:val="left"/>
      <w:pPr>
        <w:ind w:left="7545" w:hanging="56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Narrow" w:hAnsi="Arial Narrow" w:eastAsia="Arial Narrow" w:cs="Arial Narrow"/>
      <w:sz w:val="24"/>
      <w:szCs w:val="24"/>
      <w:lang w:val="en-us" w:eastAsia="en-us" w:bidi="en-us"/>
    </w:rPr>
  </w:style>
  <w:style w:styleId="Heading1" w:type="paragraph">
    <w:name w:val="Heading 1"/>
    <w:basedOn w:val="Normal"/>
    <w:uiPriority w:val="1"/>
    <w:qFormat/>
    <w:pPr>
      <w:ind w:left="100"/>
      <w:outlineLvl w:val="1"/>
    </w:pPr>
    <w:rPr>
      <w:rFonts w:ascii="Arial Narrow" w:hAnsi="Arial Narrow" w:eastAsia="Arial Narrow" w:cs="Arial Narrow"/>
      <w:b/>
      <w:bCs/>
      <w:sz w:val="24"/>
      <w:szCs w:val="24"/>
      <w:lang w:val="en-us" w:eastAsia="en-us" w:bidi="en-us"/>
    </w:rPr>
  </w:style>
  <w:style w:styleId="ListParagraph" w:type="paragraph">
    <w:name w:val="List Paragraph"/>
    <w:basedOn w:val="Normal"/>
    <w:uiPriority w:val="1"/>
    <w:qFormat/>
    <w:pPr>
      <w:ind w:left="666" w:right="134" w:hanging="567"/>
      <w:jc w:val="both"/>
    </w:pPr>
    <w:rPr>
      <w:rFonts w:ascii="Arial Narrow" w:hAnsi="Arial Narrow" w:eastAsia="Arial Narrow" w:cs="Arial Narro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subject>agreement made consent order of the NCT</dc:subject>
  <dcterms:created xsi:type="dcterms:W3CDTF">2023-04-13T08:17:41Z</dcterms:created>
  <dcterms:modified xsi:type="dcterms:W3CDTF">2023-04-13T08:17:41Z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for Microsoft 365</vt:lpwstr>
  </property>
  <property fmtid="{D5CDD505-2E9C-101B-9397-08002B2CF9AE}" pid="4" name="LastSaved">
    <vt:filetime>2023-04-13T00:00:00Z</vt:filetime>
  </property>
</Properties>
</file>