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7C" w:rsidRDefault="00794A40">
      <w:pPr>
        <w:pStyle w:val="Heading2"/>
        <w:spacing w:before="78" w:line="360" w:lineRule="auto"/>
        <w:ind w:left="3649" w:right="2416" w:hanging="1220"/>
      </w:pPr>
      <w:bookmarkStart w:id="0" w:name="_GoBack"/>
      <w:bookmarkEnd w:id="0"/>
      <w:r>
        <w:t>IN THE NATIONAL CONSUMER TRIBUNAL HELD IN CENTURION</w:t>
      </w:r>
    </w:p>
    <w:p w:rsidR="00AB407C" w:rsidRDefault="00AB407C">
      <w:pPr>
        <w:pStyle w:val="BodyText"/>
        <w:rPr>
          <w:b/>
          <w:sz w:val="36"/>
        </w:rPr>
      </w:pPr>
    </w:p>
    <w:p w:rsidR="00AB407C" w:rsidRDefault="00794A40">
      <w:pPr>
        <w:ind w:left="4534"/>
        <w:rPr>
          <w:b/>
          <w:sz w:val="24"/>
        </w:rPr>
      </w:pPr>
      <w:r>
        <w:rPr>
          <w:b/>
          <w:sz w:val="24"/>
        </w:rPr>
        <w:t>Case number: NCT/220990/2022/75(1)(b)</w:t>
      </w:r>
    </w:p>
    <w:p w:rsidR="00AB407C" w:rsidRDefault="00AB407C">
      <w:pPr>
        <w:pStyle w:val="BodyText"/>
        <w:rPr>
          <w:b/>
          <w:sz w:val="28"/>
        </w:rPr>
      </w:pPr>
    </w:p>
    <w:p w:rsidR="00AB407C" w:rsidRDefault="00AB407C">
      <w:pPr>
        <w:pStyle w:val="BodyText"/>
        <w:spacing w:before="6"/>
        <w:rPr>
          <w:b/>
          <w:sz w:val="36"/>
        </w:rPr>
      </w:pPr>
    </w:p>
    <w:p w:rsidR="00AB407C" w:rsidRDefault="00794A40">
      <w:pPr>
        <w:pStyle w:val="BodyText"/>
        <w:ind w:left="112"/>
      </w:pPr>
      <w:r>
        <w:t>In the matter between:</w:t>
      </w:r>
    </w:p>
    <w:p w:rsidR="00AB407C" w:rsidRDefault="00AB407C">
      <w:pPr>
        <w:pStyle w:val="BodyText"/>
        <w:rPr>
          <w:sz w:val="28"/>
        </w:rPr>
      </w:pPr>
    </w:p>
    <w:p w:rsidR="00AB407C" w:rsidRDefault="00794A40">
      <w:pPr>
        <w:pStyle w:val="Heading2"/>
        <w:tabs>
          <w:tab w:val="left" w:pos="7314"/>
        </w:tabs>
        <w:spacing w:before="241"/>
      </w:pPr>
      <w:r>
        <w:t>TATUM</w:t>
      </w:r>
      <w:r>
        <w:rPr>
          <w:spacing w:val="-3"/>
        </w:rPr>
        <w:t xml:space="preserve"> </w:t>
      </w:r>
      <w:r>
        <w:t>SHEPHERD</w:t>
      </w:r>
      <w:r>
        <w:tab/>
        <w:t>APPLICANT</w:t>
      </w:r>
    </w:p>
    <w:p w:rsidR="00AB407C" w:rsidRDefault="00AB407C">
      <w:pPr>
        <w:pStyle w:val="BodyText"/>
        <w:rPr>
          <w:b/>
          <w:sz w:val="28"/>
        </w:rPr>
      </w:pPr>
    </w:p>
    <w:p w:rsidR="00AB407C" w:rsidRDefault="00794A40">
      <w:pPr>
        <w:pStyle w:val="BodyText"/>
        <w:spacing w:before="241"/>
        <w:ind w:left="112"/>
      </w:pPr>
      <w:r>
        <w:t>And</w:t>
      </w:r>
    </w:p>
    <w:p w:rsidR="00AB407C" w:rsidRDefault="00AB407C">
      <w:pPr>
        <w:pStyle w:val="BodyText"/>
        <w:rPr>
          <w:sz w:val="28"/>
        </w:rPr>
      </w:pPr>
    </w:p>
    <w:p w:rsidR="00AB407C" w:rsidRDefault="00794A40">
      <w:pPr>
        <w:pStyle w:val="Heading2"/>
        <w:tabs>
          <w:tab w:val="left" w:pos="7314"/>
        </w:tabs>
        <w:spacing w:before="244"/>
      </w:pPr>
      <w:r>
        <w:t>CLAREMONT HOLDINGS</w:t>
      </w:r>
      <w:r>
        <w:rPr>
          <w:spacing w:val="-8"/>
        </w:rPr>
        <w:t xml:space="preserve"> </w:t>
      </w:r>
      <w:r>
        <w:t>(PTY) LTD</w:t>
      </w:r>
      <w:r>
        <w:tab/>
        <w:t>RESPONDENT</w:t>
      </w:r>
    </w:p>
    <w:p w:rsidR="00AB407C" w:rsidRDefault="00AB407C">
      <w:pPr>
        <w:pStyle w:val="BodyText"/>
        <w:rPr>
          <w:b/>
          <w:sz w:val="28"/>
        </w:rPr>
      </w:pPr>
    </w:p>
    <w:p w:rsidR="00AB407C" w:rsidRDefault="00794A40">
      <w:pPr>
        <w:spacing w:before="231"/>
        <w:ind w:left="112"/>
        <w:rPr>
          <w:i/>
          <w:sz w:val="25"/>
        </w:rPr>
      </w:pPr>
      <w:r>
        <w:rPr>
          <w:i/>
          <w:sz w:val="25"/>
          <w:u w:val="single"/>
        </w:rPr>
        <w:t>Coram:</w:t>
      </w:r>
    </w:p>
    <w:p w:rsidR="00AB407C" w:rsidRDefault="00794A40">
      <w:pPr>
        <w:pStyle w:val="BodyText"/>
        <w:tabs>
          <w:tab w:val="left" w:pos="2993"/>
        </w:tabs>
        <w:spacing w:before="143"/>
        <w:ind w:left="112"/>
      </w:pPr>
      <w:r>
        <w:t>Adv</w:t>
      </w:r>
      <w:r>
        <w:rPr>
          <w:spacing w:val="-2"/>
        </w:rPr>
        <w:t xml:space="preserve"> </w:t>
      </w:r>
      <w:r>
        <w:t>C</w:t>
      </w:r>
      <w:r>
        <w:rPr>
          <w:spacing w:val="-2"/>
        </w:rPr>
        <w:t xml:space="preserve"> </w:t>
      </w:r>
      <w:r>
        <w:t>Sassman</w:t>
      </w:r>
      <w:r>
        <w:tab/>
        <w:t>- Presiding Tribunal</w:t>
      </w:r>
      <w:r>
        <w:rPr>
          <w:spacing w:val="-4"/>
        </w:rPr>
        <w:t xml:space="preserve"> </w:t>
      </w:r>
      <w:r>
        <w:t>Member</w:t>
      </w:r>
    </w:p>
    <w:p w:rsidR="00AB407C" w:rsidRDefault="00794A40">
      <w:pPr>
        <w:pStyle w:val="BodyText"/>
        <w:tabs>
          <w:tab w:val="left" w:pos="2993"/>
        </w:tabs>
        <w:spacing w:before="145"/>
        <w:ind w:left="112"/>
      </w:pPr>
      <w:r>
        <w:t>Prof</w:t>
      </w:r>
      <w:r>
        <w:rPr>
          <w:spacing w:val="-3"/>
        </w:rPr>
        <w:t xml:space="preserve"> </w:t>
      </w:r>
      <w:r>
        <w:t>K</w:t>
      </w:r>
      <w:r>
        <w:rPr>
          <w:spacing w:val="-1"/>
        </w:rPr>
        <w:t xml:space="preserve"> </w:t>
      </w:r>
      <w:r>
        <w:t>Moodaliyar</w:t>
      </w:r>
      <w:r>
        <w:tab/>
        <w:t>- Tribunal</w:t>
      </w:r>
      <w:r>
        <w:rPr>
          <w:spacing w:val="-7"/>
        </w:rPr>
        <w:t xml:space="preserve"> </w:t>
      </w:r>
      <w:r>
        <w:t>Member</w:t>
      </w:r>
    </w:p>
    <w:p w:rsidR="00AB407C" w:rsidRDefault="00794A40">
      <w:pPr>
        <w:pStyle w:val="BodyText"/>
        <w:tabs>
          <w:tab w:val="left" w:pos="2993"/>
        </w:tabs>
        <w:spacing w:before="144"/>
        <w:ind w:left="112"/>
      </w:pPr>
      <w:r>
        <w:t>Mr</w:t>
      </w:r>
      <w:r>
        <w:rPr>
          <w:spacing w:val="-2"/>
        </w:rPr>
        <w:t xml:space="preserve"> </w:t>
      </w:r>
      <w:r>
        <w:t>CJ</w:t>
      </w:r>
      <w:r>
        <w:rPr>
          <w:spacing w:val="-2"/>
        </w:rPr>
        <w:t xml:space="preserve"> </w:t>
      </w:r>
      <w:r>
        <w:t>Ntsoane</w:t>
      </w:r>
      <w:r>
        <w:tab/>
        <w:t>- Tribunal</w:t>
      </w:r>
      <w:r>
        <w:rPr>
          <w:spacing w:val="-7"/>
        </w:rPr>
        <w:t xml:space="preserve"> </w:t>
      </w:r>
      <w:r>
        <w:t>Member</w:t>
      </w:r>
    </w:p>
    <w:p w:rsidR="00AB407C" w:rsidRDefault="00AB407C">
      <w:pPr>
        <w:pStyle w:val="BodyText"/>
        <w:rPr>
          <w:sz w:val="28"/>
        </w:rPr>
      </w:pPr>
    </w:p>
    <w:p w:rsidR="00AB407C" w:rsidRDefault="00794A40">
      <w:pPr>
        <w:pStyle w:val="BodyText"/>
        <w:tabs>
          <w:tab w:val="left" w:pos="2993"/>
        </w:tabs>
        <w:spacing w:before="242" w:line="360" w:lineRule="auto"/>
        <w:ind w:left="112" w:right="4687"/>
      </w:pPr>
      <w:r>
        <w:t>Date</w:t>
      </w:r>
      <w:r>
        <w:rPr>
          <w:spacing w:val="-3"/>
        </w:rPr>
        <w:t xml:space="preserve"> </w:t>
      </w:r>
      <w:r>
        <w:t>of</w:t>
      </w:r>
      <w:r>
        <w:rPr>
          <w:spacing w:val="-3"/>
        </w:rPr>
        <w:t xml:space="preserve"> </w:t>
      </w:r>
      <w:r>
        <w:t>Hearing</w:t>
      </w:r>
      <w:r>
        <w:tab/>
        <w:t>- 23 November 2022 Date</w:t>
      </w:r>
      <w:r>
        <w:rPr>
          <w:spacing w:val="-2"/>
        </w:rPr>
        <w:t xml:space="preserve"> </w:t>
      </w:r>
      <w:r>
        <w:t>of</w:t>
      </w:r>
      <w:r>
        <w:rPr>
          <w:spacing w:val="-3"/>
        </w:rPr>
        <w:t xml:space="preserve"> </w:t>
      </w:r>
      <w:r>
        <w:t>Judgment</w:t>
      </w:r>
      <w:r>
        <w:tab/>
        <w:t>- 06 December</w:t>
      </w:r>
      <w:r>
        <w:rPr>
          <w:spacing w:val="-4"/>
        </w:rPr>
        <w:t xml:space="preserve"> </w:t>
      </w:r>
      <w:r>
        <w:t>2022</w:t>
      </w:r>
    </w:p>
    <w:p w:rsidR="00AB407C" w:rsidRDefault="00794A40">
      <w:pPr>
        <w:pStyle w:val="BodyText"/>
        <w:rPr>
          <w:sz w:val="18"/>
        </w:rPr>
      </w:pPr>
      <w:r>
        <w:pict>
          <v:group id="_x0000_s1030" style="position:absolute;margin-left:56.65pt;margin-top:12.85pt;width:481.6pt;height:1.2pt;z-index:-251658240;mso-wrap-distance-left:0;mso-wrap-distance-right:0;mso-position-horizontal-relative:page" coordorigin="1133,257" coordsize="9632,24">
            <v:line id="_x0000_s1032" style="position:absolute" from="1133,269" to="9684,269" strokeweight=".41486mm"/>
            <v:line id="_x0000_s1031" style="position:absolute" from="9696,269" to="10764,269" strokeweight=".41486mm"/>
            <w10:wrap type="topAndBottom" anchorx="page"/>
          </v:group>
        </w:pict>
      </w:r>
    </w:p>
    <w:p w:rsidR="00AB407C" w:rsidRDefault="00794A40">
      <w:pPr>
        <w:pStyle w:val="Heading2"/>
        <w:spacing w:before="124"/>
        <w:ind w:left="3248" w:right="3249"/>
        <w:jc w:val="center"/>
      </w:pPr>
      <w:r>
        <w:t>JUDGEMENT AND REASONS</w:t>
      </w:r>
    </w:p>
    <w:p w:rsidR="00AB407C" w:rsidRDefault="00794A40">
      <w:pPr>
        <w:pStyle w:val="BodyText"/>
        <w:spacing w:before="1"/>
        <w:rPr>
          <w:b/>
          <w:sz w:val="18"/>
        </w:rPr>
      </w:pPr>
      <w:r>
        <w:pict>
          <v:group id="_x0000_s1026" style="position:absolute;margin-left:56.65pt;margin-top:12.9pt;width:481.55pt;height:1.2pt;z-index:-251657216;mso-wrap-distance-left:0;mso-wrap-distance-right:0;mso-position-horizontal-relative:page" coordorigin="1133,258" coordsize="9631,24">
            <v:line id="_x0000_s1029" style="position:absolute" from="1133,270" to="4647,270" strokeweight=".41486mm"/>
            <v:line id="_x0000_s1028" style="position:absolute" from="4650,270" to="9231,270" strokeweight=".41486mm"/>
            <v:line id="_x0000_s1027" style="position:absolute" from="9237,270" to="10763,270" strokeweight=".41486mm"/>
            <w10:wrap type="topAndBottom" anchorx="page"/>
          </v:group>
        </w:pict>
      </w:r>
    </w:p>
    <w:p w:rsidR="00AB407C" w:rsidRDefault="00AB407C">
      <w:pPr>
        <w:pStyle w:val="BodyText"/>
        <w:spacing w:before="11"/>
        <w:rPr>
          <w:b/>
          <w:sz w:val="21"/>
        </w:rPr>
      </w:pPr>
    </w:p>
    <w:p w:rsidR="00AB407C" w:rsidRDefault="00794A40">
      <w:pPr>
        <w:spacing w:before="100"/>
        <w:ind w:left="112"/>
        <w:rPr>
          <w:b/>
          <w:sz w:val="24"/>
        </w:rPr>
      </w:pPr>
      <w:r>
        <w:rPr>
          <w:b/>
          <w:sz w:val="24"/>
        </w:rPr>
        <w:t>PARTIES</w:t>
      </w:r>
    </w:p>
    <w:p w:rsidR="00AB407C" w:rsidRDefault="00AB407C">
      <w:pPr>
        <w:pStyle w:val="BodyText"/>
        <w:spacing w:before="10"/>
        <w:rPr>
          <w:b/>
          <w:sz w:val="31"/>
        </w:rPr>
      </w:pPr>
    </w:p>
    <w:p w:rsidR="00AB407C" w:rsidRPr="00DE6405" w:rsidRDefault="00DE6405" w:rsidP="00DE6405">
      <w:pPr>
        <w:tabs>
          <w:tab w:val="left" w:pos="675"/>
        </w:tabs>
        <w:spacing w:line="360" w:lineRule="auto"/>
        <w:ind w:left="674" w:right="114" w:hanging="563"/>
        <w:jc w:val="both"/>
        <w:rPr>
          <w:sz w:val="24"/>
        </w:rPr>
      </w:pPr>
      <w:r>
        <w:rPr>
          <w:spacing w:val="-37"/>
          <w:sz w:val="24"/>
          <w:szCs w:val="24"/>
        </w:rPr>
        <w:t>1.</w:t>
      </w:r>
      <w:r>
        <w:rPr>
          <w:spacing w:val="-37"/>
          <w:sz w:val="24"/>
          <w:szCs w:val="24"/>
        </w:rPr>
        <w:tab/>
      </w:r>
      <w:r w:rsidR="00794A40" w:rsidRPr="00DE6405">
        <w:rPr>
          <w:sz w:val="24"/>
        </w:rPr>
        <w:t>The Applicant is Tatum Shepherd, an adult female consumer. At the hearing, the Applicant represented</w:t>
      </w:r>
      <w:r w:rsidR="00794A40" w:rsidRPr="00DE6405">
        <w:rPr>
          <w:spacing w:val="-4"/>
          <w:sz w:val="24"/>
        </w:rPr>
        <w:t xml:space="preserve"> </w:t>
      </w:r>
      <w:r w:rsidR="00794A40" w:rsidRPr="00DE6405">
        <w:rPr>
          <w:sz w:val="24"/>
        </w:rPr>
        <w:t>herself.</w:t>
      </w:r>
    </w:p>
    <w:p w:rsidR="00AB407C" w:rsidRPr="00DE6405" w:rsidRDefault="00DE6405" w:rsidP="00DE6405">
      <w:pPr>
        <w:tabs>
          <w:tab w:val="left" w:pos="675"/>
        </w:tabs>
        <w:spacing w:before="241" w:line="360" w:lineRule="auto"/>
        <w:ind w:left="674" w:right="110" w:hanging="563"/>
        <w:jc w:val="both"/>
        <w:rPr>
          <w:sz w:val="24"/>
        </w:rPr>
      </w:pPr>
      <w:r>
        <w:rPr>
          <w:spacing w:val="-37"/>
          <w:sz w:val="24"/>
          <w:szCs w:val="24"/>
        </w:rPr>
        <w:t>2.</w:t>
      </w:r>
      <w:r>
        <w:rPr>
          <w:spacing w:val="-37"/>
          <w:sz w:val="24"/>
          <w:szCs w:val="24"/>
        </w:rPr>
        <w:tab/>
      </w:r>
      <w:r w:rsidR="00794A40" w:rsidRPr="00DE6405">
        <w:rPr>
          <w:sz w:val="24"/>
        </w:rPr>
        <w:t>The Respondent is Claremont Holdings (Pty) Ltd trading as Volkswagen Claremont, a company duly incorporated and registered in terms of the company</w:t>
      </w:r>
      <w:r w:rsidR="00794A40" w:rsidRPr="00DE6405">
        <w:rPr>
          <w:sz w:val="24"/>
        </w:rPr>
        <w:t xml:space="preserve"> laws of the Republic of South</w:t>
      </w:r>
      <w:r w:rsidR="00794A40" w:rsidRPr="00DE6405">
        <w:rPr>
          <w:spacing w:val="-2"/>
          <w:sz w:val="24"/>
        </w:rPr>
        <w:t xml:space="preserve"> </w:t>
      </w:r>
      <w:r w:rsidR="00794A40" w:rsidRPr="00DE6405">
        <w:rPr>
          <w:sz w:val="24"/>
        </w:rPr>
        <w:t>Africa.</w:t>
      </w:r>
    </w:p>
    <w:p w:rsidR="00AB407C" w:rsidRPr="00DE6405" w:rsidRDefault="00DE6405" w:rsidP="00DE6405">
      <w:pPr>
        <w:tabs>
          <w:tab w:val="left" w:pos="675"/>
        </w:tabs>
        <w:spacing w:before="239" w:line="360" w:lineRule="auto"/>
        <w:ind w:left="674" w:right="110" w:hanging="563"/>
        <w:jc w:val="both"/>
        <w:rPr>
          <w:sz w:val="24"/>
        </w:rPr>
      </w:pPr>
      <w:r>
        <w:rPr>
          <w:spacing w:val="-37"/>
          <w:sz w:val="24"/>
          <w:szCs w:val="24"/>
        </w:rPr>
        <w:t>3.</w:t>
      </w:r>
      <w:r>
        <w:rPr>
          <w:spacing w:val="-37"/>
          <w:sz w:val="24"/>
          <w:szCs w:val="24"/>
        </w:rPr>
        <w:tab/>
      </w:r>
      <w:r w:rsidR="00794A40" w:rsidRPr="00DE6405">
        <w:rPr>
          <w:sz w:val="24"/>
        </w:rPr>
        <w:t>At the hearing, the Respondent was represented by Ms. Rene Blom, a legal advisor employed by the</w:t>
      </w:r>
      <w:r w:rsidR="00794A40" w:rsidRPr="00DE6405">
        <w:rPr>
          <w:spacing w:val="-3"/>
          <w:sz w:val="24"/>
        </w:rPr>
        <w:t xml:space="preserve"> </w:t>
      </w:r>
      <w:r w:rsidR="00794A40" w:rsidRPr="00DE6405">
        <w:rPr>
          <w:sz w:val="24"/>
        </w:rPr>
        <w:t>Respondent.</w:t>
      </w:r>
    </w:p>
    <w:p w:rsidR="00AB407C" w:rsidRPr="00DE6405" w:rsidRDefault="00DE6405" w:rsidP="00DE6405">
      <w:pPr>
        <w:tabs>
          <w:tab w:val="left" w:pos="679"/>
          <w:tab w:val="left" w:pos="680"/>
        </w:tabs>
        <w:spacing w:before="240"/>
        <w:ind w:left="679" w:hanging="568"/>
        <w:rPr>
          <w:sz w:val="24"/>
        </w:rPr>
      </w:pPr>
      <w:r>
        <w:rPr>
          <w:spacing w:val="-2"/>
          <w:sz w:val="24"/>
          <w:szCs w:val="24"/>
        </w:rPr>
        <w:t>3.</w:t>
      </w:r>
      <w:r>
        <w:rPr>
          <w:spacing w:val="-2"/>
          <w:sz w:val="24"/>
          <w:szCs w:val="24"/>
        </w:rPr>
        <w:tab/>
      </w:r>
      <w:r w:rsidR="00794A40" w:rsidRPr="00DE6405">
        <w:rPr>
          <w:sz w:val="24"/>
        </w:rPr>
        <w:t>Mr. Shawn Peach, the dealership principal, testified on behalf of the</w:t>
      </w:r>
      <w:r w:rsidR="00794A40" w:rsidRPr="00DE6405">
        <w:rPr>
          <w:spacing w:val="-24"/>
          <w:sz w:val="24"/>
        </w:rPr>
        <w:t xml:space="preserve"> </w:t>
      </w:r>
      <w:r w:rsidR="00794A40" w:rsidRPr="00DE6405">
        <w:rPr>
          <w:sz w:val="24"/>
        </w:rPr>
        <w:t>Respondent.</w:t>
      </w:r>
    </w:p>
    <w:p w:rsidR="00AB407C" w:rsidRDefault="00AB407C">
      <w:pPr>
        <w:rPr>
          <w:sz w:val="24"/>
        </w:rPr>
        <w:sectPr w:rsidR="00AB407C">
          <w:type w:val="continuous"/>
          <w:pgSz w:w="11910" w:h="16840"/>
          <w:pgMar w:top="760" w:right="1020" w:bottom="280" w:left="1020" w:header="720" w:footer="720" w:gutter="0"/>
          <w:cols w:space="720"/>
        </w:sectPr>
      </w:pPr>
    </w:p>
    <w:p w:rsidR="00AB407C" w:rsidRDefault="00AB407C">
      <w:pPr>
        <w:pStyle w:val="BodyText"/>
        <w:spacing w:before="3"/>
        <w:rPr>
          <w:sz w:val="19"/>
        </w:rPr>
      </w:pPr>
    </w:p>
    <w:p w:rsidR="00AB407C" w:rsidRDefault="00794A40">
      <w:pPr>
        <w:pStyle w:val="Heading2"/>
        <w:spacing w:before="100"/>
      </w:pPr>
      <w:r>
        <w:t>APPLICATION TYPE</w:t>
      </w:r>
    </w:p>
    <w:p w:rsidR="00AB407C" w:rsidRDefault="00AB407C">
      <w:pPr>
        <w:pStyle w:val="BodyText"/>
        <w:spacing w:before="11"/>
        <w:rPr>
          <w:b/>
          <w:sz w:val="31"/>
        </w:rPr>
      </w:pPr>
    </w:p>
    <w:p w:rsidR="00AB407C" w:rsidRPr="00DE6405" w:rsidRDefault="00DE6405" w:rsidP="00DE6405">
      <w:pPr>
        <w:tabs>
          <w:tab w:val="left" w:pos="680"/>
        </w:tabs>
        <w:spacing w:line="360" w:lineRule="auto"/>
        <w:ind w:left="679" w:right="108" w:hanging="567"/>
        <w:jc w:val="both"/>
        <w:rPr>
          <w:sz w:val="24"/>
        </w:rPr>
      </w:pPr>
      <w:r>
        <w:rPr>
          <w:spacing w:val="-2"/>
          <w:sz w:val="24"/>
          <w:szCs w:val="24"/>
        </w:rPr>
        <w:t>4.</w:t>
      </w:r>
      <w:r>
        <w:rPr>
          <w:spacing w:val="-2"/>
          <w:sz w:val="24"/>
          <w:szCs w:val="24"/>
        </w:rPr>
        <w:tab/>
      </w:r>
      <w:r w:rsidR="00794A40" w:rsidRPr="00DE6405">
        <w:rPr>
          <w:sz w:val="24"/>
        </w:rPr>
        <w:t>This</w:t>
      </w:r>
      <w:r w:rsidR="00794A40" w:rsidRPr="00DE6405">
        <w:rPr>
          <w:spacing w:val="-19"/>
          <w:sz w:val="24"/>
        </w:rPr>
        <w:t xml:space="preserve"> </w:t>
      </w:r>
      <w:r w:rsidR="00794A40" w:rsidRPr="00DE6405">
        <w:rPr>
          <w:sz w:val="24"/>
        </w:rPr>
        <w:t>application</w:t>
      </w:r>
      <w:r w:rsidR="00794A40" w:rsidRPr="00DE6405">
        <w:rPr>
          <w:spacing w:val="-20"/>
          <w:sz w:val="24"/>
        </w:rPr>
        <w:t xml:space="preserve"> </w:t>
      </w:r>
      <w:r w:rsidR="00794A40" w:rsidRPr="00DE6405">
        <w:rPr>
          <w:sz w:val="24"/>
        </w:rPr>
        <w:t>is</w:t>
      </w:r>
      <w:r w:rsidR="00794A40" w:rsidRPr="00DE6405">
        <w:rPr>
          <w:spacing w:val="-19"/>
          <w:sz w:val="24"/>
        </w:rPr>
        <w:t xml:space="preserve"> </w:t>
      </w:r>
      <w:r w:rsidR="00794A40" w:rsidRPr="00DE6405">
        <w:rPr>
          <w:sz w:val="24"/>
        </w:rPr>
        <w:t>referred</w:t>
      </w:r>
      <w:r w:rsidR="00794A40" w:rsidRPr="00DE6405">
        <w:rPr>
          <w:spacing w:val="-20"/>
          <w:sz w:val="24"/>
        </w:rPr>
        <w:t xml:space="preserve"> </w:t>
      </w:r>
      <w:r w:rsidR="00794A40" w:rsidRPr="00DE6405">
        <w:rPr>
          <w:sz w:val="24"/>
        </w:rPr>
        <w:t>to</w:t>
      </w:r>
      <w:r w:rsidR="00794A40" w:rsidRPr="00DE6405">
        <w:rPr>
          <w:spacing w:val="-21"/>
          <w:sz w:val="24"/>
        </w:rPr>
        <w:t xml:space="preserve"> </w:t>
      </w:r>
      <w:r w:rsidR="00794A40" w:rsidRPr="00DE6405">
        <w:rPr>
          <w:sz w:val="24"/>
        </w:rPr>
        <w:t>the</w:t>
      </w:r>
      <w:r w:rsidR="00794A40" w:rsidRPr="00DE6405">
        <w:rPr>
          <w:spacing w:val="-20"/>
          <w:sz w:val="24"/>
        </w:rPr>
        <w:t xml:space="preserve"> </w:t>
      </w:r>
      <w:r w:rsidR="00794A40" w:rsidRPr="00DE6405">
        <w:rPr>
          <w:sz w:val="24"/>
        </w:rPr>
        <w:t>Tribunal</w:t>
      </w:r>
      <w:r w:rsidR="00794A40" w:rsidRPr="00DE6405">
        <w:rPr>
          <w:spacing w:val="-17"/>
          <w:sz w:val="24"/>
        </w:rPr>
        <w:t xml:space="preserve"> </w:t>
      </w:r>
      <w:r w:rsidR="00794A40" w:rsidRPr="00DE6405">
        <w:rPr>
          <w:sz w:val="24"/>
        </w:rPr>
        <w:t>in</w:t>
      </w:r>
      <w:r w:rsidR="00794A40" w:rsidRPr="00DE6405">
        <w:rPr>
          <w:spacing w:val="-19"/>
          <w:sz w:val="24"/>
        </w:rPr>
        <w:t xml:space="preserve"> </w:t>
      </w:r>
      <w:r w:rsidR="00794A40" w:rsidRPr="00DE6405">
        <w:rPr>
          <w:sz w:val="24"/>
        </w:rPr>
        <w:t>terms</w:t>
      </w:r>
      <w:r w:rsidR="00794A40" w:rsidRPr="00DE6405">
        <w:rPr>
          <w:spacing w:val="-19"/>
          <w:sz w:val="24"/>
        </w:rPr>
        <w:t xml:space="preserve"> </w:t>
      </w:r>
      <w:r w:rsidR="00794A40" w:rsidRPr="00DE6405">
        <w:rPr>
          <w:sz w:val="24"/>
        </w:rPr>
        <w:t>of</w:t>
      </w:r>
      <w:r w:rsidR="00794A40" w:rsidRPr="00DE6405">
        <w:rPr>
          <w:spacing w:val="-20"/>
          <w:sz w:val="24"/>
        </w:rPr>
        <w:t xml:space="preserve"> </w:t>
      </w:r>
      <w:r w:rsidR="00794A40" w:rsidRPr="00DE6405">
        <w:rPr>
          <w:sz w:val="24"/>
        </w:rPr>
        <w:t>Section</w:t>
      </w:r>
      <w:r w:rsidR="00794A40" w:rsidRPr="00DE6405">
        <w:rPr>
          <w:spacing w:val="-20"/>
          <w:sz w:val="24"/>
        </w:rPr>
        <w:t xml:space="preserve"> </w:t>
      </w:r>
      <w:r w:rsidR="00794A40" w:rsidRPr="00DE6405">
        <w:rPr>
          <w:sz w:val="24"/>
        </w:rPr>
        <w:t>75(1)(b)</w:t>
      </w:r>
      <w:r w:rsidR="00794A40" w:rsidRPr="00DE6405">
        <w:rPr>
          <w:spacing w:val="-21"/>
          <w:sz w:val="24"/>
        </w:rPr>
        <w:t xml:space="preserve"> </w:t>
      </w:r>
      <w:r w:rsidR="00794A40" w:rsidRPr="00DE6405">
        <w:rPr>
          <w:sz w:val="24"/>
        </w:rPr>
        <w:t>of</w:t>
      </w:r>
      <w:r w:rsidR="00794A40" w:rsidRPr="00DE6405">
        <w:rPr>
          <w:spacing w:val="-20"/>
          <w:sz w:val="24"/>
        </w:rPr>
        <w:t xml:space="preserve"> </w:t>
      </w:r>
      <w:r w:rsidR="00794A40" w:rsidRPr="00DE6405">
        <w:rPr>
          <w:sz w:val="24"/>
        </w:rPr>
        <w:t>the</w:t>
      </w:r>
      <w:r w:rsidR="00794A40" w:rsidRPr="00DE6405">
        <w:rPr>
          <w:spacing w:val="-18"/>
          <w:sz w:val="24"/>
        </w:rPr>
        <w:t xml:space="preserve"> </w:t>
      </w:r>
      <w:r w:rsidR="00794A40" w:rsidRPr="00DE6405">
        <w:rPr>
          <w:sz w:val="24"/>
        </w:rPr>
        <w:t>Consumer Protection Act, 2008 (“the CPA”). That section provides that if the National Consumer Commission (“the NCC”) issues a notice of non-referral in resp</w:t>
      </w:r>
      <w:r w:rsidR="00794A40" w:rsidRPr="00DE6405">
        <w:rPr>
          <w:sz w:val="24"/>
        </w:rPr>
        <w:t>onse to a complaint, other than on the grounds contemplated in section 116, the complainant concerned may refer the matter directly to the Tribunal, with leave of the</w:t>
      </w:r>
      <w:r w:rsidR="00794A40" w:rsidRPr="00DE6405">
        <w:rPr>
          <w:spacing w:val="-13"/>
          <w:sz w:val="24"/>
        </w:rPr>
        <w:t xml:space="preserve"> </w:t>
      </w:r>
      <w:r w:rsidR="00794A40" w:rsidRPr="00DE6405">
        <w:rPr>
          <w:sz w:val="24"/>
        </w:rPr>
        <w:t>Tribunal.</w:t>
      </w:r>
    </w:p>
    <w:p w:rsidR="00AB407C" w:rsidRPr="00DE6405" w:rsidRDefault="00DE6405" w:rsidP="00DE6405">
      <w:pPr>
        <w:tabs>
          <w:tab w:val="left" w:pos="680"/>
        </w:tabs>
        <w:spacing w:before="239" w:line="360" w:lineRule="auto"/>
        <w:ind w:left="679" w:right="112" w:hanging="567"/>
        <w:jc w:val="both"/>
        <w:rPr>
          <w:sz w:val="24"/>
        </w:rPr>
      </w:pPr>
      <w:r>
        <w:rPr>
          <w:spacing w:val="-2"/>
          <w:sz w:val="24"/>
          <w:szCs w:val="24"/>
        </w:rPr>
        <w:t>5.</w:t>
      </w:r>
      <w:r>
        <w:rPr>
          <w:spacing w:val="-2"/>
          <w:sz w:val="24"/>
          <w:szCs w:val="24"/>
        </w:rPr>
        <w:tab/>
      </w:r>
      <w:r w:rsidR="00794A40" w:rsidRPr="00DE6405">
        <w:rPr>
          <w:sz w:val="24"/>
        </w:rPr>
        <w:t>The Applicant obtained leave of the Tribunal. Consequently, the Tribunal has jurisdiction to hear this</w:t>
      </w:r>
      <w:r w:rsidR="00794A40" w:rsidRPr="00DE6405">
        <w:rPr>
          <w:spacing w:val="-3"/>
          <w:sz w:val="24"/>
        </w:rPr>
        <w:t xml:space="preserve"> </w:t>
      </w:r>
      <w:r w:rsidR="00794A40" w:rsidRPr="00DE6405">
        <w:rPr>
          <w:sz w:val="24"/>
        </w:rPr>
        <w:t>application.</w:t>
      </w:r>
    </w:p>
    <w:p w:rsidR="00AB407C" w:rsidRDefault="00794A40">
      <w:pPr>
        <w:pStyle w:val="Heading2"/>
        <w:spacing w:before="241"/>
      </w:pPr>
      <w:r>
        <w:t>I</w:t>
      </w:r>
      <w:r>
        <w:t>SSUES TO BE DECIDED</w:t>
      </w:r>
    </w:p>
    <w:p w:rsidR="00AB407C" w:rsidRDefault="00AB407C">
      <w:pPr>
        <w:pStyle w:val="BodyText"/>
        <w:spacing w:before="10"/>
        <w:rPr>
          <w:b/>
          <w:sz w:val="31"/>
        </w:rPr>
      </w:pPr>
    </w:p>
    <w:p w:rsidR="00AB407C" w:rsidRPr="00DE6405" w:rsidRDefault="00DE6405" w:rsidP="00DE6405">
      <w:pPr>
        <w:tabs>
          <w:tab w:val="left" w:pos="680"/>
        </w:tabs>
        <w:spacing w:line="360" w:lineRule="auto"/>
        <w:ind w:left="679" w:right="112" w:hanging="567"/>
        <w:jc w:val="both"/>
        <w:rPr>
          <w:sz w:val="24"/>
        </w:rPr>
      </w:pPr>
      <w:r>
        <w:rPr>
          <w:spacing w:val="-2"/>
          <w:sz w:val="24"/>
          <w:szCs w:val="24"/>
        </w:rPr>
        <w:t>6.</w:t>
      </w:r>
      <w:r>
        <w:rPr>
          <w:spacing w:val="-2"/>
          <w:sz w:val="24"/>
          <w:szCs w:val="24"/>
        </w:rPr>
        <w:tab/>
      </w:r>
      <w:r w:rsidR="00794A40" w:rsidRPr="00DE6405">
        <w:rPr>
          <w:sz w:val="24"/>
        </w:rPr>
        <w:t>The Tribunal must decide whether the Respondent engaged in prohibited conduct by selling a defective vehicle to the Ap</w:t>
      </w:r>
      <w:r w:rsidR="00794A40" w:rsidRPr="00DE6405">
        <w:rPr>
          <w:sz w:val="24"/>
        </w:rPr>
        <w:t>plicant in contravention of section 55 of the CPA and if so, whether to grant the relief the Applicant seeks. Section 55 concerns the consumer’s rights to safe, good quality</w:t>
      </w:r>
      <w:r w:rsidR="00794A40" w:rsidRPr="00DE6405">
        <w:rPr>
          <w:spacing w:val="-7"/>
          <w:sz w:val="24"/>
        </w:rPr>
        <w:t xml:space="preserve"> </w:t>
      </w:r>
      <w:r w:rsidR="00794A40" w:rsidRPr="00DE6405">
        <w:rPr>
          <w:sz w:val="24"/>
        </w:rPr>
        <w:t>goods.</w:t>
      </w:r>
    </w:p>
    <w:p w:rsidR="00AB407C" w:rsidRPr="00DE6405" w:rsidRDefault="00DE6405" w:rsidP="00DE6405">
      <w:pPr>
        <w:tabs>
          <w:tab w:val="left" w:pos="679"/>
          <w:tab w:val="left" w:pos="680"/>
        </w:tabs>
        <w:spacing w:before="240"/>
        <w:ind w:left="679" w:hanging="568"/>
        <w:rPr>
          <w:sz w:val="24"/>
        </w:rPr>
      </w:pPr>
      <w:r>
        <w:rPr>
          <w:spacing w:val="-2"/>
          <w:sz w:val="24"/>
          <w:szCs w:val="24"/>
        </w:rPr>
        <w:t>7.</w:t>
      </w:r>
      <w:r>
        <w:rPr>
          <w:spacing w:val="-2"/>
          <w:sz w:val="24"/>
          <w:szCs w:val="24"/>
        </w:rPr>
        <w:tab/>
      </w:r>
      <w:r w:rsidR="00794A40" w:rsidRPr="00DE6405">
        <w:rPr>
          <w:sz w:val="24"/>
        </w:rPr>
        <w:t>The Respondent opposes the</w:t>
      </w:r>
      <w:r w:rsidR="00794A40" w:rsidRPr="00DE6405">
        <w:rPr>
          <w:spacing w:val="-1"/>
          <w:sz w:val="24"/>
        </w:rPr>
        <w:t xml:space="preserve"> </w:t>
      </w:r>
      <w:r w:rsidR="00794A40" w:rsidRPr="00DE6405">
        <w:rPr>
          <w:sz w:val="24"/>
        </w:rPr>
        <w:t>application.</w:t>
      </w:r>
    </w:p>
    <w:p w:rsidR="00AB407C" w:rsidRDefault="00AB407C">
      <w:pPr>
        <w:pStyle w:val="BodyText"/>
        <w:spacing w:before="10"/>
        <w:rPr>
          <w:sz w:val="31"/>
        </w:rPr>
      </w:pPr>
    </w:p>
    <w:p w:rsidR="00AB407C" w:rsidRDefault="00794A40">
      <w:pPr>
        <w:pStyle w:val="Heading2"/>
      </w:pPr>
      <w:r>
        <w:t>BACKGROUND</w:t>
      </w:r>
    </w:p>
    <w:p w:rsidR="00AB407C" w:rsidRDefault="00AB407C">
      <w:pPr>
        <w:pStyle w:val="BodyText"/>
        <w:spacing w:before="11"/>
        <w:rPr>
          <w:b/>
          <w:sz w:val="31"/>
        </w:rPr>
      </w:pPr>
    </w:p>
    <w:p w:rsidR="00AB407C" w:rsidRPr="00DE6405" w:rsidRDefault="00DE6405" w:rsidP="00DE6405">
      <w:pPr>
        <w:tabs>
          <w:tab w:val="left" w:pos="680"/>
        </w:tabs>
        <w:spacing w:line="360" w:lineRule="auto"/>
        <w:ind w:left="679" w:right="115" w:hanging="567"/>
        <w:jc w:val="both"/>
        <w:rPr>
          <w:sz w:val="24"/>
        </w:rPr>
      </w:pPr>
      <w:r>
        <w:rPr>
          <w:spacing w:val="-2"/>
          <w:sz w:val="24"/>
          <w:szCs w:val="24"/>
        </w:rPr>
        <w:t>8.</w:t>
      </w:r>
      <w:r>
        <w:rPr>
          <w:spacing w:val="-2"/>
          <w:sz w:val="24"/>
          <w:szCs w:val="24"/>
        </w:rPr>
        <w:tab/>
      </w:r>
      <w:r w:rsidR="00794A40" w:rsidRPr="00DE6405">
        <w:rPr>
          <w:sz w:val="24"/>
        </w:rPr>
        <w:t>On or about 16 April 2</w:t>
      </w:r>
      <w:r w:rsidR="00794A40" w:rsidRPr="00DE6405">
        <w:rPr>
          <w:sz w:val="24"/>
        </w:rPr>
        <w:t>021, the Applicant purchased a VW Polo TSI DSG 1.2 Highline 2018 model motor vehicle (“the vehicle”) from the</w:t>
      </w:r>
      <w:r w:rsidR="00794A40" w:rsidRPr="00DE6405">
        <w:rPr>
          <w:spacing w:val="-8"/>
          <w:sz w:val="24"/>
        </w:rPr>
        <w:t xml:space="preserve"> </w:t>
      </w:r>
      <w:r w:rsidR="00794A40" w:rsidRPr="00DE6405">
        <w:rPr>
          <w:sz w:val="24"/>
        </w:rPr>
        <w:t>Respondent.</w:t>
      </w:r>
    </w:p>
    <w:p w:rsidR="00AB407C" w:rsidRPr="00DE6405" w:rsidRDefault="00DE6405" w:rsidP="00DE6405">
      <w:pPr>
        <w:tabs>
          <w:tab w:val="left" w:pos="680"/>
        </w:tabs>
        <w:spacing w:before="242" w:line="360" w:lineRule="auto"/>
        <w:ind w:left="679" w:hanging="567"/>
        <w:jc w:val="both"/>
        <w:rPr>
          <w:sz w:val="24"/>
        </w:rPr>
      </w:pPr>
      <w:r>
        <w:rPr>
          <w:spacing w:val="-2"/>
          <w:sz w:val="24"/>
          <w:szCs w:val="24"/>
        </w:rPr>
        <w:t>9.</w:t>
      </w:r>
      <w:r>
        <w:rPr>
          <w:spacing w:val="-2"/>
          <w:sz w:val="24"/>
          <w:szCs w:val="24"/>
        </w:rPr>
        <w:tab/>
      </w:r>
      <w:r w:rsidR="00794A40" w:rsidRPr="00DE6405">
        <w:rPr>
          <w:sz w:val="24"/>
        </w:rPr>
        <w:t>On or before 15 May 2021, a month after the purchase of the vehicle, the Applicant noticed a leak on the front passenger floor of the</w:t>
      </w:r>
      <w:r w:rsidR="00794A40" w:rsidRPr="00DE6405">
        <w:rPr>
          <w:spacing w:val="-5"/>
          <w:sz w:val="24"/>
        </w:rPr>
        <w:t xml:space="preserve"> </w:t>
      </w:r>
      <w:r w:rsidR="00794A40" w:rsidRPr="00DE6405">
        <w:rPr>
          <w:sz w:val="24"/>
        </w:rPr>
        <w:t>vehicle.</w:t>
      </w:r>
    </w:p>
    <w:p w:rsidR="00AB407C" w:rsidRPr="00DE6405" w:rsidRDefault="00DE6405" w:rsidP="00DE6405">
      <w:pPr>
        <w:tabs>
          <w:tab w:val="left" w:pos="680"/>
        </w:tabs>
        <w:spacing w:before="240" w:line="360" w:lineRule="auto"/>
        <w:ind w:left="679" w:right="114" w:hanging="567"/>
        <w:jc w:val="both"/>
        <w:rPr>
          <w:sz w:val="24"/>
        </w:rPr>
      </w:pPr>
      <w:r>
        <w:rPr>
          <w:spacing w:val="-2"/>
          <w:sz w:val="24"/>
          <w:szCs w:val="24"/>
        </w:rPr>
        <w:t>10.</w:t>
      </w:r>
      <w:r>
        <w:rPr>
          <w:spacing w:val="-2"/>
          <w:sz w:val="24"/>
          <w:szCs w:val="24"/>
        </w:rPr>
        <w:tab/>
      </w:r>
      <w:r w:rsidR="00794A40" w:rsidRPr="00DE6405">
        <w:rPr>
          <w:sz w:val="24"/>
        </w:rPr>
        <w:t>On 17 May 2021, the vehicle was referred to the Respondent for repairs. The Respondent could not detect the leak and subsequently returned the vehicle to the Applicant.</w:t>
      </w:r>
    </w:p>
    <w:p w:rsidR="00AB407C" w:rsidRPr="00DE6405" w:rsidRDefault="00DE6405" w:rsidP="00DE6405">
      <w:pPr>
        <w:tabs>
          <w:tab w:val="left" w:pos="680"/>
        </w:tabs>
        <w:spacing w:before="240" w:line="360" w:lineRule="auto"/>
        <w:ind w:left="679" w:hanging="579"/>
        <w:jc w:val="both"/>
        <w:rPr>
          <w:sz w:val="24"/>
        </w:rPr>
      </w:pPr>
      <w:r>
        <w:rPr>
          <w:spacing w:val="-2"/>
          <w:sz w:val="24"/>
          <w:szCs w:val="24"/>
        </w:rPr>
        <w:t>11.</w:t>
      </w:r>
      <w:r>
        <w:rPr>
          <w:spacing w:val="-2"/>
          <w:sz w:val="24"/>
          <w:szCs w:val="24"/>
        </w:rPr>
        <w:tab/>
      </w:r>
      <w:r w:rsidR="00794A40" w:rsidRPr="00DE6405">
        <w:rPr>
          <w:sz w:val="24"/>
        </w:rPr>
        <w:t>The Applicant complained to the Motor Industry Ombudsman of South Africa (“MIO</w:t>
      </w:r>
      <w:r w:rsidR="00794A40" w:rsidRPr="00DE6405">
        <w:rPr>
          <w:sz w:val="24"/>
        </w:rPr>
        <w:t>SA”) and subsequently to the NCC. She received a notice of non-referral from the</w:t>
      </w:r>
      <w:r w:rsidR="00794A40" w:rsidRPr="00DE6405">
        <w:rPr>
          <w:spacing w:val="-1"/>
          <w:sz w:val="24"/>
        </w:rPr>
        <w:t xml:space="preserve"> </w:t>
      </w:r>
      <w:r w:rsidR="00794A40" w:rsidRPr="00DE6405">
        <w:rPr>
          <w:sz w:val="24"/>
        </w:rPr>
        <w:t>NCC.</w:t>
      </w:r>
    </w:p>
    <w:p w:rsidR="00AB407C" w:rsidRPr="00DE6405" w:rsidRDefault="00DE6405" w:rsidP="00DE6405">
      <w:pPr>
        <w:tabs>
          <w:tab w:val="left" w:pos="680"/>
        </w:tabs>
        <w:spacing w:before="240" w:line="360" w:lineRule="auto"/>
        <w:ind w:left="679" w:right="112" w:hanging="579"/>
        <w:jc w:val="both"/>
        <w:rPr>
          <w:sz w:val="24"/>
        </w:rPr>
      </w:pPr>
      <w:r>
        <w:rPr>
          <w:spacing w:val="-2"/>
          <w:sz w:val="24"/>
          <w:szCs w:val="24"/>
        </w:rPr>
        <w:t>12.</w:t>
      </w:r>
      <w:r>
        <w:rPr>
          <w:spacing w:val="-2"/>
          <w:sz w:val="24"/>
          <w:szCs w:val="24"/>
        </w:rPr>
        <w:tab/>
      </w:r>
      <w:r w:rsidR="00794A40" w:rsidRPr="00DE6405">
        <w:rPr>
          <w:sz w:val="24"/>
        </w:rPr>
        <w:t>The</w:t>
      </w:r>
      <w:r w:rsidR="00794A40" w:rsidRPr="00DE6405">
        <w:rPr>
          <w:spacing w:val="-14"/>
          <w:sz w:val="24"/>
        </w:rPr>
        <w:t xml:space="preserve"> </w:t>
      </w:r>
      <w:r w:rsidR="00794A40" w:rsidRPr="00DE6405">
        <w:rPr>
          <w:sz w:val="24"/>
        </w:rPr>
        <w:t>Respondent</w:t>
      </w:r>
      <w:r w:rsidR="00794A40" w:rsidRPr="00DE6405">
        <w:rPr>
          <w:spacing w:val="-15"/>
          <w:sz w:val="24"/>
        </w:rPr>
        <w:t xml:space="preserve"> </w:t>
      </w:r>
      <w:r w:rsidR="00794A40" w:rsidRPr="00DE6405">
        <w:rPr>
          <w:sz w:val="24"/>
        </w:rPr>
        <w:t>submitted</w:t>
      </w:r>
      <w:r w:rsidR="00794A40" w:rsidRPr="00DE6405">
        <w:rPr>
          <w:spacing w:val="-12"/>
          <w:sz w:val="24"/>
        </w:rPr>
        <w:t xml:space="preserve"> </w:t>
      </w:r>
      <w:r w:rsidR="00794A40" w:rsidRPr="00DE6405">
        <w:rPr>
          <w:sz w:val="24"/>
        </w:rPr>
        <w:t>that</w:t>
      </w:r>
      <w:r w:rsidR="00794A40" w:rsidRPr="00DE6405">
        <w:rPr>
          <w:spacing w:val="-16"/>
          <w:sz w:val="24"/>
        </w:rPr>
        <w:t xml:space="preserve"> </w:t>
      </w:r>
      <w:r w:rsidR="00794A40" w:rsidRPr="00DE6405">
        <w:rPr>
          <w:sz w:val="24"/>
        </w:rPr>
        <w:t>if</w:t>
      </w:r>
      <w:r w:rsidR="00794A40" w:rsidRPr="00DE6405">
        <w:rPr>
          <w:spacing w:val="-11"/>
          <w:sz w:val="24"/>
        </w:rPr>
        <w:t xml:space="preserve"> </w:t>
      </w:r>
      <w:r w:rsidR="00794A40" w:rsidRPr="00DE6405">
        <w:rPr>
          <w:sz w:val="24"/>
        </w:rPr>
        <w:t>the</w:t>
      </w:r>
      <w:r w:rsidR="00794A40" w:rsidRPr="00DE6405">
        <w:rPr>
          <w:spacing w:val="-13"/>
          <w:sz w:val="24"/>
        </w:rPr>
        <w:t xml:space="preserve"> </w:t>
      </w:r>
      <w:r w:rsidR="00794A40" w:rsidRPr="00DE6405">
        <w:rPr>
          <w:sz w:val="24"/>
        </w:rPr>
        <w:t>leak</w:t>
      </w:r>
      <w:r w:rsidR="00794A40" w:rsidRPr="00DE6405">
        <w:rPr>
          <w:spacing w:val="-15"/>
          <w:sz w:val="24"/>
        </w:rPr>
        <w:t xml:space="preserve"> </w:t>
      </w:r>
      <w:r w:rsidR="00794A40" w:rsidRPr="00DE6405">
        <w:rPr>
          <w:sz w:val="24"/>
        </w:rPr>
        <w:t>was</w:t>
      </w:r>
      <w:r w:rsidR="00794A40" w:rsidRPr="00DE6405">
        <w:rPr>
          <w:spacing w:val="-13"/>
          <w:sz w:val="24"/>
        </w:rPr>
        <w:t xml:space="preserve"> </w:t>
      </w:r>
      <w:r w:rsidR="00794A40" w:rsidRPr="00DE6405">
        <w:rPr>
          <w:sz w:val="24"/>
        </w:rPr>
        <w:t>detected,</w:t>
      </w:r>
      <w:r w:rsidR="00794A40" w:rsidRPr="00DE6405">
        <w:rPr>
          <w:spacing w:val="-12"/>
          <w:sz w:val="24"/>
        </w:rPr>
        <w:t xml:space="preserve"> </w:t>
      </w:r>
      <w:r w:rsidR="00794A40" w:rsidRPr="00DE6405">
        <w:rPr>
          <w:sz w:val="24"/>
        </w:rPr>
        <w:t>the</w:t>
      </w:r>
      <w:r w:rsidR="00794A40" w:rsidRPr="00DE6405">
        <w:rPr>
          <w:spacing w:val="-14"/>
          <w:sz w:val="24"/>
        </w:rPr>
        <w:t xml:space="preserve"> </w:t>
      </w:r>
      <w:r w:rsidR="00794A40" w:rsidRPr="00DE6405">
        <w:rPr>
          <w:sz w:val="24"/>
        </w:rPr>
        <w:t>vehicle</w:t>
      </w:r>
      <w:r w:rsidR="00794A40" w:rsidRPr="00DE6405">
        <w:rPr>
          <w:spacing w:val="-11"/>
          <w:sz w:val="24"/>
        </w:rPr>
        <w:t xml:space="preserve"> </w:t>
      </w:r>
      <w:r w:rsidR="00794A40" w:rsidRPr="00DE6405">
        <w:rPr>
          <w:sz w:val="24"/>
        </w:rPr>
        <w:t>was</w:t>
      </w:r>
      <w:r w:rsidR="00794A40" w:rsidRPr="00DE6405">
        <w:rPr>
          <w:spacing w:val="-13"/>
          <w:sz w:val="24"/>
        </w:rPr>
        <w:t xml:space="preserve"> </w:t>
      </w:r>
      <w:r w:rsidR="00794A40" w:rsidRPr="00DE6405">
        <w:rPr>
          <w:sz w:val="24"/>
        </w:rPr>
        <w:t>under</w:t>
      </w:r>
      <w:r w:rsidR="00794A40" w:rsidRPr="00DE6405">
        <w:rPr>
          <w:spacing w:val="-15"/>
          <w:sz w:val="24"/>
        </w:rPr>
        <w:t xml:space="preserve"> </w:t>
      </w:r>
      <w:r w:rsidR="00794A40" w:rsidRPr="00DE6405">
        <w:rPr>
          <w:sz w:val="24"/>
        </w:rPr>
        <w:t>factory warranty, and therefore, the warranty would be</w:t>
      </w:r>
      <w:r w:rsidR="00794A40" w:rsidRPr="00DE6405">
        <w:rPr>
          <w:spacing w:val="-6"/>
          <w:sz w:val="24"/>
        </w:rPr>
        <w:t xml:space="preserve"> </w:t>
      </w:r>
      <w:r w:rsidR="00794A40" w:rsidRPr="00DE6405">
        <w:rPr>
          <w:sz w:val="24"/>
        </w:rPr>
        <w:t>invoked.</w:t>
      </w:r>
    </w:p>
    <w:p w:rsidR="00AB407C" w:rsidRDefault="00AB407C">
      <w:pPr>
        <w:spacing w:line="360" w:lineRule="auto"/>
        <w:jc w:val="both"/>
        <w:rPr>
          <w:sz w:val="24"/>
        </w:rPr>
        <w:sectPr w:rsidR="00AB407C">
          <w:headerReference w:type="default" r:id="rId7"/>
          <w:footerReference w:type="default" r:id="rId8"/>
          <w:pgSz w:w="11910" w:h="16840"/>
          <w:pgMar w:top="760" w:right="1020" w:bottom="680" w:left="1020" w:header="282" w:footer="485" w:gutter="0"/>
          <w:pgNumType w:start="2"/>
          <w:cols w:space="720"/>
        </w:sectPr>
      </w:pPr>
    </w:p>
    <w:p w:rsidR="00AB407C" w:rsidRDefault="00AB407C">
      <w:pPr>
        <w:pStyle w:val="BodyText"/>
        <w:spacing w:before="3"/>
        <w:rPr>
          <w:sz w:val="19"/>
        </w:rPr>
      </w:pPr>
    </w:p>
    <w:p w:rsidR="00AB407C" w:rsidRPr="00DE6405" w:rsidRDefault="00DE6405" w:rsidP="00DE6405">
      <w:pPr>
        <w:tabs>
          <w:tab w:val="left" w:pos="680"/>
        </w:tabs>
        <w:spacing w:before="100" w:line="360" w:lineRule="auto"/>
        <w:ind w:left="679" w:hanging="579"/>
        <w:jc w:val="both"/>
        <w:rPr>
          <w:sz w:val="24"/>
        </w:rPr>
      </w:pPr>
      <w:r>
        <w:rPr>
          <w:spacing w:val="-2"/>
          <w:sz w:val="24"/>
          <w:szCs w:val="24"/>
        </w:rPr>
        <w:t>13.</w:t>
      </w:r>
      <w:r>
        <w:rPr>
          <w:spacing w:val="-2"/>
          <w:sz w:val="24"/>
          <w:szCs w:val="24"/>
        </w:rPr>
        <w:tab/>
      </w:r>
      <w:r w:rsidR="00794A40" w:rsidRPr="00DE6405">
        <w:rPr>
          <w:sz w:val="24"/>
        </w:rPr>
        <w:t>The parties entered into a settlement agreement wherein the Respondent agreed to buy the vehicle back from the Applicant and settle the balance owed to the bank.</w:t>
      </w:r>
      <w:r w:rsidR="00794A40" w:rsidRPr="00DE6405">
        <w:rPr>
          <w:spacing w:val="-46"/>
          <w:sz w:val="24"/>
        </w:rPr>
        <w:t xml:space="preserve"> </w:t>
      </w:r>
      <w:r w:rsidR="00794A40" w:rsidRPr="00DE6405">
        <w:rPr>
          <w:sz w:val="24"/>
        </w:rPr>
        <w:t>The Respondent subsequently sold the vehicle to a new owner, who never complained about the</w:t>
      </w:r>
      <w:r w:rsidR="00794A40" w:rsidRPr="00DE6405">
        <w:rPr>
          <w:spacing w:val="-3"/>
          <w:sz w:val="24"/>
        </w:rPr>
        <w:t xml:space="preserve"> </w:t>
      </w:r>
      <w:r w:rsidR="00794A40" w:rsidRPr="00DE6405">
        <w:rPr>
          <w:sz w:val="24"/>
        </w:rPr>
        <w:t>le</w:t>
      </w:r>
      <w:r w:rsidR="00794A40" w:rsidRPr="00DE6405">
        <w:rPr>
          <w:sz w:val="24"/>
        </w:rPr>
        <w:t>ak.</w:t>
      </w:r>
    </w:p>
    <w:p w:rsidR="00AB407C" w:rsidRDefault="00794A40">
      <w:pPr>
        <w:pStyle w:val="Heading2"/>
        <w:spacing w:before="240"/>
      </w:pPr>
      <w:r>
        <w:t>A</w:t>
      </w:r>
      <w:r>
        <w:t>NALYSIS</w:t>
      </w:r>
    </w:p>
    <w:p w:rsidR="00AB407C" w:rsidRDefault="00AB407C">
      <w:pPr>
        <w:pStyle w:val="BodyText"/>
        <w:spacing w:before="10"/>
        <w:rPr>
          <w:b/>
          <w:sz w:val="31"/>
        </w:rPr>
      </w:pPr>
    </w:p>
    <w:p w:rsidR="00AB407C" w:rsidRPr="00DE6405" w:rsidRDefault="00DE6405" w:rsidP="00DE6405">
      <w:pPr>
        <w:tabs>
          <w:tab w:val="left" w:pos="680"/>
        </w:tabs>
        <w:spacing w:line="360" w:lineRule="auto"/>
        <w:ind w:left="679" w:right="110" w:hanging="567"/>
        <w:jc w:val="both"/>
        <w:rPr>
          <w:sz w:val="24"/>
        </w:rPr>
      </w:pPr>
      <w:r>
        <w:rPr>
          <w:spacing w:val="-2"/>
          <w:sz w:val="24"/>
          <w:szCs w:val="24"/>
        </w:rPr>
        <w:t>14.</w:t>
      </w:r>
      <w:r>
        <w:rPr>
          <w:spacing w:val="-2"/>
          <w:sz w:val="24"/>
          <w:szCs w:val="24"/>
        </w:rPr>
        <w:tab/>
      </w:r>
      <w:r w:rsidR="00794A40" w:rsidRPr="00DE6405">
        <w:rPr>
          <w:sz w:val="24"/>
        </w:rPr>
        <w:t>The</w:t>
      </w:r>
      <w:r w:rsidR="00794A40" w:rsidRPr="00DE6405">
        <w:rPr>
          <w:spacing w:val="-19"/>
          <w:sz w:val="24"/>
        </w:rPr>
        <w:t xml:space="preserve"> </w:t>
      </w:r>
      <w:r w:rsidR="00794A40" w:rsidRPr="00DE6405">
        <w:rPr>
          <w:sz w:val="24"/>
        </w:rPr>
        <w:t>crisp</w:t>
      </w:r>
      <w:r w:rsidR="00794A40" w:rsidRPr="00DE6405">
        <w:rPr>
          <w:spacing w:val="-19"/>
          <w:sz w:val="24"/>
        </w:rPr>
        <w:t xml:space="preserve"> </w:t>
      </w:r>
      <w:r w:rsidR="00794A40" w:rsidRPr="00DE6405">
        <w:rPr>
          <w:sz w:val="24"/>
        </w:rPr>
        <w:t>question</w:t>
      </w:r>
      <w:r w:rsidR="00794A40" w:rsidRPr="00DE6405">
        <w:rPr>
          <w:spacing w:val="-19"/>
          <w:sz w:val="24"/>
        </w:rPr>
        <w:t xml:space="preserve"> </w:t>
      </w:r>
      <w:r w:rsidR="00794A40" w:rsidRPr="00DE6405">
        <w:rPr>
          <w:sz w:val="24"/>
        </w:rPr>
        <w:t>the</w:t>
      </w:r>
      <w:r w:rsidR="00794A40" w:rsidRPr="00DE6405">
        <w:rPr>
          <w:spacing w:val="-16"/>
          <w:sz w:val="24"/>
        </w:rPr>
        <w:t xml:space="preserve"> </w:t>
      </w:r>
      <w:r w:rsidR="00794A40" w:rsidRPr="00DE6405">
        <w:rPr>
          <w:sz w:val="24"/>
        </w:rPr>
        <w:t>Tribunal</w:t>
      </w:r>
      <w:r w:rsidR="00794A40" w:rsidRPr="00DE6405">
        <w:rPr>
          <w:spacing w:val="-18"/>
          <w:sz w:val="24"/>
        </w:rPr>
        <w:t xml:space="preserve"> </w:t>
      </w:r>
      <w:r w:rsidR="00794A40" w:rsidRPr="00DE6405">
        <w:rPr>
          <w:sz w:val="24"/>
        </w:rPr>
        <w:t>must</w:t>
      </w:r>
      <w:r w:rsidR="00794A40" w:rsidRPr="00DE6405">
        <w:rPr>
          <w:spacing w:val="-20"/>
          <w:sz w:val="24"/>
        </w:rPr>
        <w:t xml:space="preserve"> </w:t>
      </w:r>
      <w:r w:rsidR="00794A40" w:rsidRPr="00DE6405">
        <w:rPr>
          <w:sz w:val="24"/>
        </w:rPr>
        <w:t>decide</w:t>
      </w:r>
      <w:r w:rsidR="00794A40" w:rsidRPr="00DE6405">
        <w:rPr>
          <w:spacing w:val="-18"/>
          <w:sz w:val="24"/>
        </w:rPr>
        <w:t xml:space="preserve"> </w:t>
      </w:r>
      <w:r w:rsidR="00794A40" w:rsidRPr="00DE6405">
        <w:rPr>
          <w:sz w:val="24"/>
        </w:rPr>
        <w:t>is</w:t>
      </w:r>
      <w:r w:rsidR="00794A40" w:rsidRPr="00DE6405">
        <w:rPr>
          <w:spacing w:val="-18"/>
          <w:sz w:val="24"/>
        </w:rPr>
        <w:t xml:space="preserve"> </w:t>
      </w:r>
      <w:r w:rsidR="00794A40" w:rsidRPr="00DE6405">
        <w:rPr>
          <w:sz w:val="24"/>
        </w:rPr>
        <w:t>whether</w:t>
      </w:r>
      <w:r w:rsidR="00794A40" w:rsidRPr="00DE6405">
        <w:rPr>
          <w:spacing w:val="-19"/>
          <w:sz w:val="24"/>
        </w:rPr>
        <w:t xml:space="preserve"> </w:t>
      </w:r>
      <w:r w:rsidR="00794A40" w:rsidRPr="00DE6405">
        <w:rPr>
          <w:sz w:val="24"/>
        </w:rPr>
        <w:t>the</w:t>
      </w:r>
      <w:r w:rsidR="00794A40" w:rsidRPr="00DE6405">
        <w:rPr>
          <w:spacing w:val="-18"/>
          <w:sz w:val="24"/>
        </w:rPr>
        <w:t xml:space="preserve"> </w:t>
      </w:r>
      <w:r w:rsidR="00794A40" w:rsidRPr="00DE6405">
        <w:rPr>
          <w:sz w:val="24"/>
        </w:rPr>
        <w:t>Respondent</w:t>
      </w:r>
      <w:r w:rsidR="00794A40" w:rsidRPr="00DE6405">
        <w:rPr>
          <w:spacing w:val="-20"/>
          <w:sz w:val="24"/>
        </w:rPr>
        <w:t xml:space="preserve"> </w:t>
      </w:r>
      <w:r w:rsidR="00794A40" w:rsidRPr="00DE6405">
        <w:rPr>
          <w:sz w:val="24"/>
        </w:rPr>
        <w:t>sold</w:t>
      </w:r>
      <w:r w:rsidR="00794A40" w:rsidRPr="00DE6405">
        <w:rPr>
          <w:spacing w:val="-20"/>
          <w:sz w:val="24"/>
        </w:rPr>
        <w:t xml:space="preserve"> </w:t>
      </w:r>
      <w:r w:rsidR="00794A40" w:rsidRPr="00DE6405">
        <w:rPr>
          <w:sz w:val="24"/>
        </w:rPr>
        <w:t>the</w:t>
      </w:r>
      <w:r w:rsidR="00794A40" w:rsidRPr="00DE6405">
        <w:rPr>
          <w:spacing w:val="-19"/>
          <w:sz w:val="24"/>
        </w:rPr>
        <w:t xml:space="preserve"> </w:t>
      </w:r>
      <w:r w:rsidR="00794A40" w:rsidRPr="00DE6405">
        <w:rPr>
          <w:sz w:val="24"/>
        </w:rPr>
        <w:t>vehicle to the Applicant with an oil leak, and if so whether the leak amounted to a material defect entitling the Applicant to a</w:t>
      </w:r>
      <w:r w:rsidR="00794A40" w:rsidRPr="00DE6405">
        <w:rPr>
          <w:spacing w:val="-7"/>
          <w:sz w:val="24"/>
        </w:rPr>
        <w:t xml:space="preserve"> </w:t>
      </w:r>
      <w:r w:rsidR="00794A40" w:rsidRPr="00DE6405">
        <w:rPr>
          <w:sz w:val="24"/>
        </w:rPr>
        <w:t>refund.</w:t>
      </w:r>
    </w:p>
    <w:p w:rsidR="00AB407C" w:rsidRPr="00DE6405" w:rsidRDefault="00DE6405" w:rsidP="00DE6405">
      <w:pPr>
        <w:tabs>
          <w:tab w:val="left" w:pos="680"/>
        </w:tabs>
        <w:spacing w:before="241" w:line="360" w:lineRule="auto"/>
        <w:ind w:left="679" w:right="111" w:hanging="567"/>
        <w:jc w:val="both"/>
        <w:rPr>
          <w:sz w:val="24"/>
        </w:rPr>
      </w:pPr>
      <w:r>
        <w:rPr>
          <w:spacing w:val="-2"/>
          <w:sz w:val="24"/>
          <w:szCs w:val="24"/>
        </w:rPr>
        <w:t>15.</w:t>
      </w:r>
      <w:r>
        <w:rPr>
          <w:spacing w:val="-2"/>
          <w:sz w:val="24"/>
          <w:szCs w:val="24"/>
        </w:rPr>
        <w:tab/>
      </w:r>
      <w:r w:rsidR="00794A40" w:rsidRPr="00DE6405">
        <w:rPr>
          <w:sz w:val="24"/>
        </w:rPr>
        <w:t>The evidence before the Tribunal is that the Applicant entered into a purchase and sale agreement for the vehicle with the Respondent and a credit agreement with the Motor Finance Corporation, which is a division of Nedbank, to finance the purchase price o</w:t>
      </w:r>
      <w:r w:rsidR="00794A40" w:rsidRPr="00DE6405">
        <w:rPr>
          <w:sz w:val="24"/>
        </w:rPr>
        <w:t>f the</w:t>
      </w:r>
      <w:r w:rsidR="00794A40" w:rsidRPr="00DE6405">
        <w:rPr>
          <w:spacing w:val="-1"/>
          <w:sz w:val="24"/>
        </w:rPr>
        <w:t xml:space="preserve"> </w:t>
      </w:r>
      <w:r w:rsidR="00794A40" w:rsidRPr="00DE6405">
        <w:rPr>
          <w:sz w:val="24"/>
        </w:rPr>
        <w:t>vehicle.</w:t>
      </w:r>
    </w:p>
    <w:p w:rsidR="00AB407C" w:rsidRPr="00DE6405" w:rsidRDefault="00DE6405" w:rsidP="00DE6405">
      <w:pPr>
        <w:tabs>
          <w:tab w:val="left" w:pos="680"/>
        </w:tabs>
        <w:spacing w:before="239" w:line="360" w:lineRule="auto"/>
        <w:ind w:left="679" w:hanging="567"/>
        <w:jc w:val="both"/>
        <w:rPr>
          <w:sz w:val="24"/>
        </w:rPr>
      </w:pPr>
      <w:r>
        <w:rPr>
          <w:spacing w:val="-2"/>
          <w:sz w:val="24"/>
          <w:szCs w:val="24"/>
        </w:rPr>
        <w:t>16.</w:t>
      </w:r>
      <w:r>
        <w:rPr>
          <w:spacing w:val="-2"/>
          <w:sz w:val="24"/>
          <w:szCs w:val="24"/>
        </w:rPr>
        <w:tab/>
      </w:r>
      <w:r w:rsidR="00794A40" w:rsidRPr="00DE6405">
        <w:rPr>
          <w:sz w:val="24"/>
        </w:rPr>
        <w:t>Section</w:t>
      </w:r>
      <w:r w:rsidR="00794A40" w:rsidRPr="00DE6405">
        <w:rPr>
          <w:spacing w:val="-10"/>
          <w:sz w:val="24"/>
        </w:rPr>
        <w:t xml:space="preserve"> </w:t>
      </w:r>
      <w:r w:rsidR="00794A40" w:rsidRPr="00DE6405">
        <w:rPr>
          <w:sz w:val="24"/>
        </w:rPr>
        <w:t>5</w:t>
      </w:r>
      <w:r w:rsidR="00794A40" w:rsidRPr="00DE6405">
        <w:rPr>
          <w:spacing w:val="-9"/>
          <w:sz w:val="24"/>
        </w:rPr>
        <w:t xml:space="preserve"> </w:t>
      </w:r>
      <w:r w:rsidR="00794A40" w:rsidRPr="00DE6405">
        <w:rPr>
          <w:sz w:val="24"/>
        </w:rPr>
        <w:t>(2)</w:t>
      </w:r>
      <w:r w:rsidR="00794A40" w:rsidRPr="00DE6405">
        <w:rPr>
          <w:spacing w:val="-7"/>
          <w:sz w:val="24"/>
        </w:rPr>
        <w:t xml:space="preserve"> </w:t>
      </w:r>
      <w:r w:rsidR="00794A40" w:rsidRPr="00DE6405">
        <w:rPr>
          <w:sz w:val="24"/>
        </w:rPr>
        <w:t>(d)</w:t>
      </w:r>
      <w:r w:rsidR="00794A40" w:rsidRPr="00DE6405">
        <w:rPr>
          <w:spacing w:val="-8"/>
          <w:sz w:val="24"/>
        </w:rPr>
        <w:t xml:space="preserve"> </w:t>
      </w:r>
      <w:r w:rsidR="00794A40" w:rsidRPr="00DE6405">
        <w:rPr>
          <w:sz w:val="24"/>
        </w:rPr>
        <w:t>of</w:t>
      </w:r>
      <w:r w:rsidR="00794A40" w:rsidRPr="00DE6405">
        <w:rPr>
          <w:spacing w:val="-7"/>
          <w:sz w:val="24"/>
        </w:rPr>
        <w:t xml:space="preserve"> </w:t>
      </w:r>
      <w:r w:rsidR="00794A40" w:rsidRPr="00DE6405">
        <w:rPr>
          <w:sz w:val="24"/>
        </w:rPr>
        <w:t>the</w:t>
      </w:r>
      <w:r w:rsidR="00794A40" w:rsidRPr="00DE6405">
        <w:rPr>
          <w:spacing w:val="-5"/>
          <w:sz w:val="24"/>
        </w:rPr>
        <w:t xml:space="preserve"> </w:t>
      </w:r>
      <w:r w:rsidR="00794A40" w:rsidRPr="00DE6405">
        <w:rPr>
          <w:sz w:val="24"/>
        </w:rPr>
        <w:t>CPA</w:t>
      </w:r>
      <w:r w:rsidR="00794A40" w:rsidRPr="00DE6405">
        <w:rPr>
          <w:spacing w:val="-7"/>
          <w:sz w:val="24"/>
        </w:rPr>
        <w:t xml:space="preserve"> </w:t>
      </w:r>
      <w:r w:rsidR="00794A40" w:rsidRPr="00DE6405">
        <w:rPr>
          <w:sz w:val="24"/>
        </w:rPr>
        <w:t>provides</w:t>
      </w:r>
      <w:r w:rsidR="00794A40" w:rsidRPr="00DE6405">
        <w:rPr>
          <w:spacing w:val="-9"/>
          <w:sz w:val="24"/>
        </w:rPr>
        <w:t xml:space="preserve"> </w:t>
      </w:r>
      <w:r w:rsidR="00794A40" w:rsidRPr="00DE6405">
        <w:rPr>
          <w:sz w:val="24"/>
        </w:rPr>
        <w:t>that</w:t>
      </w:r>
      <w:r w:rsidR="00794A40" w:rsidRPr="00DE6405">
        <w:rPr>
          <w:spacing w:val="-8"/>
          <w:sz w:val="24"/>
        </w:rPr>
        <w:t xml:space="preserve"> </w:t>
      </w:r>
      <w:r w:rsidR="00794A40" w:rsidRPr="00DE6405">
        <w:rPr>
          <w:sz w:val="24"/>
        </w:rPr>
        <w:t>the</w:t>
      </w:r>
      <w:r w:rsidR="00794A40" w:rsidRPr="00DE6405">
        <w:rPr>
          <w:spacing w:val="-6"/>
          <w:sz w:val="24"/>
        </w:rPr>
        <w:t xml:space="preserve"> </w:t>
      </w:r>
      <w:r w:rsidR="00794A40" w:rsidRPr="00DE6405">
        <w:rPr>
          <w:sz w:val="24"/>
        </w:rPr>
        <w:t>CPA</w:t>
      </w:r>
      <w:r w:rsidR="00794A40" w:rsidRPr="00DE6405">
        <w:rPr>
          <w:spacing w:val="-10"/>
          <w:sz w:val="24"/>
        </w:rPr>
        <w:t xml:space="preserve"> </w:t>
      </w:r>
      <w:r w:rsidR="00794A40" w:rsidRPr="00DE6405">
        <w:rPr>
          <w:sz w:val="24"/>
        </w:rPr>
        <w:t>does</w:t>
      </w:r>
      <w:r w:rsidR="00794A40" w:rsidRPr="00DE6405">
        <w:rPr>
          <w:spacing w:val="-9"/>
          <w:sz w:val="24"/>
        </w:rPr>
        <w:t xml:space="preserve"> </w:t>
      </w:r>
      <w:r w:rsidR="00794A40" w:rsidRPr="00DE6405">
        <w:rPr>
          <w:sz w:val="24"/>
        </w:rPr>
        <w:t>not</w:t>
      </w:r>
      <w:r w:rsidR="00794A40" w:rsidRPr="00DE6405">
        <w:rPr>
          <w:spacing w:val="-11"/>
          <w:sz w:val="24"/>
        </w:rPr>
        <w:t xml:space="preserve"> </w:t>
      </w:r>
      <w:r w:rsidR="00794A40" w:rsidRPr="00DE6405">
        <w:rPr>
          <w:sz w:val="24"/>
        </w:rPr>
        <w:t>apply</w:t>
      </w:r>
      <w:r w:rsidR="00794A40" w:rsidRPr="00DE6405">
        <w:rPr>
          <w:spacing w:val="-6"/>
          <w:sz w:val="24"/>
        </w:rPr>
        <w:t xml:space="preserve"> </w:t>
      </w:r>
      <w:r w:rsidR="00794A40" w:rsidRPr="00DE6405">
        <w:rPr>
          <w:sz w:val="24"/>
        </w:rPr>
        <w:t>to</w:t>
      </w:r>
      <w:r w:rsidR="00794A40" w:rsidRPr="00DE6405">
        <w:rPr>
          <w:spacing w:val="-8"/>
          <w:sz w:val="24"/>
        </w:rPr>
        <w:t xml:space="preserve"> </w:t>
      </w:r>
      <w:r w:rsidR="00794A40" w:rsidRPr="00DE6405">
        <w:rPr>
          <w:sz w:val="24"/>
        </w:rPr>
        <w:t>a</w:t>
      </w:r>
      <w:r w:rsidR="00794A40" w:rsidRPr="00DE6405">
        <w:rPr>
          <w:spacing w:val="-6"/>
          <w:sz w:val="24"/>
        </w:rPr>
        <w:t xml:space="preserve"> </w:t>
      </w:r>
      <w:r w:rsidR="00794A40" w:rsidRPr="00DE6405">
        <w:rPr>
          <w:sz w:val="24"/>
        </w:rPr>
        <w:t>transaction</w:t>
      </w:r>
      <w:r w:rsidR="00794A40" w:rsidRPr="00DE6405">
        <w:rPr>
          <w:spacing w:val="-8"/>
          <w:sz w:val="24"/>
        </w:rPr>
        <w:t xml:space="preserve"> </w:t>
      </w:r>
      <w:r w:rsidR="00794A40" w:rsidRPr="00DE6405">
        <w:rPr>
          <w:sz w:val="24"/>
        </w:rPr>
        <w:t>that constitutes a credit agreement under the National Credit Act, 2005 but the CPA does not exclude goods or services subject to credit agreements from its</w:t>
      </w:r>
      <w:r w:rsidR="00794A40" w:rsidRPr="00DE6405">
        <w:rPr>
          <w:spacing w:val="-23"/>
          <w:sz w:val="24"/>
        </w:rPr>
        <w:t xml:space="preserve"> </w:t>
      </w:r>
      <w:r w:rsidR="00794A40" w:rsidRPr="00DE6405">
        <w:rPr>
          <w:sz w:val="24"/>
        </w:rPr>
        <w:t>a</w:t>
      </w:r>
      <w:r w:rsidR="00794A40" w:rsidRPr="00DE6405">
        <w:rPr>
          <w:sz w:val="24"/>
        </w:rPr>
        <w:t>pplication.</w:t>
      </w:r>
    </w:p>
    <w:p w:rsidR="00AB407C" w:rsidRPr="00DE6405" w:rsidRDefault="00DE6405" w:rsidP="00DE6405">
      <w:pPr>
        <w:tabs>
          <w:tab w:val="left" w:pos="680"/>
        </w:tabs>
        <w:spacing w:before="240" w:line="360" w:lineRule="auto"/>
        <w:ind w:left="679" w:right="108" w:hanging="567"/>
        <w:jc w:val="both"/>
        <w:rPr>
          <w:sz w:val="24"/>
        </w:rPr>
      </w:pPr>
      <w:r>
        <w:rPr>
          <w:spacing w:val="-2"/>
          <w:sz w:val="24"/>
          <w:szCs w:val="24"/>
        </w:rPr>
        <w:t>17.</w:t>
      </w:r>
      <w:r>
        <w:rPr>
          <w:spacing w:val="-2"/>
          <w:sz w:val="24"/>
          <w:szCs w:val="24"/>
        </w:rPr>
        <w:tab/>
      </w:r>
      <w:r w:rsidR="00794A40" w:rsidRPr="00DE6405">
        <w:rPr>
          <w:sz w:val="24"/>
        </w:rPr>
        <w:t>T pain he Tribunal is not empowered to order the Respondent to refund the</w:t>
      </w:r>
      <w:r w:rsidR="00794A40" w:rsidRPr="00DE6405">
        <w:rPr>
          <w:spacing w:val="-40"/>
          <w:sz w:val="24"/>
        </w:rPr>
        <w:t xml:space="preserve"> </w:t>
      </w:r>
      <w:r w:rsidR="00794A40" w:rsidRPr="00DE6405">
        <w:rPr>
          <w:sz w:val="24"/>
        </w:rPr>
        <w:t>Applicant any portion of the instalments the Applicant paid towards the vehicle when she had possession of</w:t>
      </w:r>
      <w:r w:rsidR="00794A40" w:rsidRPr="00DE6405">
        <w:rPr>
          <w:spacing w:val="-2"/>
          <w:sz w:val="24"/>
        </w:rPr>
        <w:t xml:space="preserve"> </w:t>
      </w:r>
      <w:r w:rsidR="00794A40" w:rsidRPr="00DE6405">
        <w:rPr>
          <w:sz w:val="24"/>
        </w:rPr>
        <w:t>it.</w:t>
      </w:r>
    </w:p>
    <w:p w:rsidR="00AB407C" w:rsidRPr="00DE6405" w:rsidRDefault="00DE6405" w:rsidP="00DE6405">
      <w:pPr>
        <w:tabs>
          <w:tab w:val="left" w:pos="680"/>
        </w:tabs>
        <w:spacing w:before="242" w:line="360" w:lineRule="auto"/>
        <w:ind w:left="679" w:right="111" w:hanging="567"/>
        <w:jc w:val="both"/>
        <w:rPr>
          <w:sz w:val="24"/>
        </w:rPr>
      </w:pPr>
      <w:r>
        <w:rPr>
          <w:spacing w:val="-2"/>
          <w:sz w:val="24"/>
          <w:szCs w:val="24"/>
        </w:rPr>
        <w:t>18.</w:t>
      </w:r>
      <w:r>
        <w:rPr>
          <w:spacing w:val="-2"/>
          <w:sz w:val="24"/>
          <w:szCs w:val="24"/>
        </w:rPr>
        <w:tab/>
      </w:r>
      <w:r w:rsidR="00794A40" w:rsidRPr="00DE6405">
        <w:rPr>
          <w:sz w:val="24"/>
        </w:rPr>
        <w:t>The Respondent had to ensure the consumer receives safe goods of good quality and free</w:t>
      </w:r>
      <w:r w:rsidR="00794A40" w:rsidRPr="00DE6405">
        <w:rPr>
          <w:spacing w:val="-18"/>
          <w:sz w:val="24"/>
        </w:rPr>
        <w:t xml:space="preserve"> </w:t>
      </w:r>
      <w:r w:rsidR="00794A40" w:rsidRPr="00DE6405">
        <w:rPr>
          <w:sz w:val="24"/>
        </w:rPr>
        <w:t>of</w:t>
      </w:r>
      <w:r w:rsidR="00794A40" w:rsidRPr="00DE6405">
        <w:rPr>
          <w:spacing w:val="-18"/>
          <w:sz w:val="24"/>
        </w:rPr>
        <w:t xml:space="preserve"> </w:t>
      </w:r>
      <w:r w:rsidR="00794A40" w:rsidRPr="00DE6405">
        <w:rPr>
          <w:sz w:val="24"/>
        </w:rPr>
        <w:t>defects.</w:t>
      </w:r>
      <w:r w:rsidR="00794A40" w:rsidRPr="00DE6405">
        <w:rPr>
          <w:spacing w:val="-17"/>
          <w:sz w:val="24"/>
        </w:rPr>
        <w:t xml:space="preserve"> </w:t>
      </w:r>
      <w:r w:rsidR="00794A40" w:rsidRPr="00DE6405">
        <w:rPr>
          <w:sz w:val="24"/>
        </w:rPr>
        <w:t>Similarly,</w:t>
      </w:r>
      <w:r w:rsidR="00794A40" w:rsidRPr="00DE6405">
        <w:rPr>
          <w:spacing w:val="-16"/>
          <w:sz w:val="24"/>
        </w:rPr>
        <w:t xml:space="preserve"> </w:t>
      </w:r>
      <w:r w:rsidR="00794A40" w:rsidRPr="00DE6405">
        <w:rPr>
          <w:sz w:val="24"/>
        </w:rPr>
        <w:t>the</w:t>
      </w:r>
      <w:r w:rsidR="00794A40" w:rsidRPr="00DE6405">
        <w:rPr>
          <w:spacing w:val="-16"/>
          <w:sz w:val="24"/>
        </w:rPr>
        <w:t xml:space="preserve"> </w:t>
      </w:r>
      <w:r w:rsidR="00794A40" w:rsidRPr="00DE6405">
        <w:rPr>
          <w:sz w:val="24"/>
        </w:rPr>
        <w:t>obligation</w:t>
      </w:r>
      <w:r w:rsidR="00794A40" w:rsidRPr="00DE6405">
        <w:rPr>
          <w:spacing w:val="-17"/>
          <w:sz w:val="24"/>
        </w:rPr>
        <w:t xml:space="preserve"> </w:t>
      </w:r>
      <w:r w:rsidR="00794A40" w:rsidRPr="00DE6405">
        <w:rPr>
          <w:sz w:val="24"/>
        </w:rPr>
        <w:t>to</w:t>
      </w:r>
      <w:r w:rsidR="00794A40" w:rsidRPr="00DE6405">
        <w:rPr>
          <w:spacing w:val="-18"/>
          <w:sz w:val="24"/>
        </w:rPr>
        <w:t xml:space="preserve"> </w:t>
      </w:r>
      <w:r w:rsidR="00794A40" w:rsidRPr="00DE6405">
        <w:rPr>
          <w:sz w:val="24"/>
        </w:rPr>
        <w:t>effect</w:t>
      </w:r>
      <w:r w:rsidR="00794A40" w:rsidRPr="00DE6405">
        <w:rPr>
          <w:spacing w:val="-19"/>
          <w:sz w:val="24"/>
        </w:rPr>
        <w:t xml:space="preserve"> </w:t>
      </w:r>
      <w:r w:rsidR="00794A40" w:rsidRPr="00DE6405">
        <w:rPr>
          <w:sz w:val="24"/>
        </w:rPr>
        <w:t>repairs</w:t>
      </w:r>
      <w:r w:rsidR="00794A40" w:rsidRPr="00DE6405">
        <w:rPr>
          <w:spacing w:val="-17"/>
          <w:sz w:val="24"/>
        </w:rPr>
        <w:t xml:space="preserve"> </w:t>
      </w:r>
      <w:r w:rsidR="00794A40" w:rsidRPr="00DE6405">
        <w:rPr>
          <w:sz w:val="24"/>
        </w:rPr>
        <w:t>at</w:t>
      </w:r>
      <w:r w:rsidR="00794A40" w:rsidRPr="00DE6405">
        <w:rPr>
          <w:spacing w:val="-17"/>
          <w:sz w:val="24"/>
        </w:rPr>
        <w:t xml:space="preserve"> </w:t>
      </w:r>
      <w:r w:rsidR="00794A40" w:rsidRPr="00DE6405">
        <w:rPr>
          <w:sz w:val="24"/>
        </w:rPr>
        <w:t>the</w:t>
      </w:r>
      <w:r w:rsidR="00794A40" w:rsidRPr="00DE6405">
        <w:rPr>
          <w:spacing w:val="-16"/>
          <w:sz w:val="24"/>
        </w:rPr>
        <w:t xml:space="preserve"> </w:t>
      </w:r>
      <w:r w:rsidR="00794A40" w:rsidRPr="00DE6405">
        <w:rPr>
          <w:sz w:val="24"/>
        </w:rPr>
        <w:t>request</w:t>
      </w:r>
      <w:r w:rsidR="00794A40" w:rsidRPr="00DE6405">
        <w:rPr>
          <w:spacing w:val="-19"/>
          <w:sz w:val="24"/>
        </w:rPr>
        <w:t xml:space="preserve"> </w:t>
      </w:r>
      <w:r w:rsidR="00794A40" w:rsidRPr="00DE6405">
        <w:rPr>
          <w:sz w:val="24"/>
        </w:rPr>
        <w:t>of</w:t>
      </w:r>
      <w:r w:rsidR="00794A40" w:rsidRPr="00DE6405">
        <w:rPr>
          <w:spacing w:val="-18"/>
          <w:sz w:val="24"/>
        </w:rPr>
        <w:t xml:space="preserve"> </w:t>
      </w:r>
      <w:r w:rsidR="00794A40" w:rsidRPr="00DE6405">
        <w:rPr>
          <w:sz w:val="24"/>
        </w:rPr>
        <w:t>the</w:t>
      </w:r>
      <w:r w:rsidR="00794A40" w:rsidRPr="00DE6405">
        <w:rPr>
          <w:spacing w:val="-16"/>
          <w:sz w:val="24"/>
        </w:rPr>
        <w:t xml:space="preserve"> </w:t>
      </w:r>
      <w:r w:rsidR="00794A40" w:rsidRPr="00DE6405">
        <w:rPr>
          <w:sz w:val="24"/>
        </w:rPr>
        <w:t>consumer rests on the Respondent as the supplier of the</w:t>
      </w:r>
      <w:r w:rsidR="00794A40" w:rsidRPr="00DE6405">
        <w:rPr>
          <w:spacing w:val="-2"/>
          <w:sz w:val="24"/>
        </w:rPr>
        <w:t xml:space="preserve"> </w:t>
      </w:r>
      <w:r w:rsidR="00794A40" w:rsidRPr="00DE6405">
        <w:rPr>
          <w:sz w:val="24"/>
        </w:rPr>
        <w:t>goods.</w:t>
      </w:r>
    </w:p>
    <w:p w:rsidR="00AB407C" w:rsidRPr="00DE6405" w:rsidRDefault="00DE6405" w:rsidP="00DE6405">
      <w:pPr>
        <w:tabs>
          <w:tab w:val="left" w:pos="679"/>
          <w:tab w:val="left" w:pos="680"/>
        </w:tabs>
        <w:spacing w:before="240"/>
        <w:ind w:left="679" w:hanging="568"/>
        <w:rPr>
          <w:sz w:val="24"/>
        </w:rPr>
      </w:pPr>
      <w:r>
        <w:rPr>
          <w:spacing w:val="-2"/>
          <w:sz w:val="24"/>
          <w:szCs w:val="24"/>
        </w:rPr>
        <w:t>19.</w:t>
      </w:r>
      <w:r>
        <w:rPr>
          <w:spacing w:val="-2"/>
          <w:sz w:val="24"/>
          <w:szCs w:val="24"/>
        </w:rPr>
        <w:tab/>
      </w:r>
      <w:r w:rsidR="00794A40" w:rsidRPr="00DE6405">
        <w:rPr>
          <w:sz w:val="24"/>
        </w:rPr>
        <w:t>In terms of Section 53(1)(a) of the CPA a defect is defined</w:t>
      </w:r>
      <w:r w:rsidR="00794A40" w:rsidRPr="00DE6405">
        <w:rPr>
          <w:spacing w:val="-12"/>
          <w:sz w:val="24"/>
        </w:rPr>
        <w:t xml:space="preserve"> </w:t>
      </w:r>
      <w:r w:rsidR="00794A40" w:rsidRPr="00DE6405">
        <w:rPr>
          <w:sz w:val="24"/>
        </w:rPr>
        <w:t>as:</w:t>
      </w:r>
    </w:p>
    <w:p w:rsidR="00AB407C" w:rsidRDefault="00AB407C">
      <w:pPr>
        <w:pStyle w:val="BodyText"/>
        <w:rPr>
          <w:sz w:val="31"/>
        </w:rPr>
      </w:pPr>
    </w:p>
    <w:p w:rsidR="00AB407C" w:rsidRDefault="00794A40">
      <w:pPr>
        <w:pStyle w:val="Heading1"/>
        <w:spacing w:line="345" w:lineRule="auto"/>
        <w:ind w:right="112"/>
      </w:pPr>
      <w:r>
        <w:t>“(i)</w:t>
      </w:r>
      <w:r>
        <w:rPr>
          <w:spacing w:val="-33"/>
        </w:rPr>
        <w:t xml:space="preserve"> </w:t>
      </w:r>
      <w:r>
        <w:t>any</w:t>
      </w:r>
      <w:r>
        <w:rPr>
          <w:spacing w:val="-32"/>
        </w:rPr>
        <w:t xml:space="preserve"> </w:t>
      </w:r>
      <w:r>
        <w:t>material</w:t>
      </w:r>
      <w:r>
        <w:rPr>
          <w:spacing w:val="-31"/>
        </w:rPr>
        <w:t xml:space="preserve"> </w:t>
      </w:r>
      <w:r>
        <w:t>imperfection</w:t>
      </w:r>
      <w:r>
        <w:rPr>
          <w:spacing w:val="-31"/>
        </w:rPr>
        <w:t xml:space="preserve"> </w:t>
      </w:r>
      <w:r>
        <w:t>in</w:t>
      </w:r>
      <w:r>
        <w:rPr>
          <w:spacing w:val="-32"/>
        </w:rPr>
        <w:t xml:space="preserve"> </w:t>
      </w:r>
      <w:r>
        <w:t>the</w:t>
      </w:r>
      <w:r>
        <w:rPr>
          <w:spacing w:val="-31"/>
        </w:rPr>
        <w:t xml:space="preserve"> </w:t>
      </w:r>
      <w:r>
        <w:t>manufacture</w:t>
      </w:r>
      <w:r>
        <w:rPr>
          <w:spacing w:val="-30"/>
        </w:rPr>
        <w:t xml:space="preserve"> </w:t>
      </w:r>
      <w:r>
        <w:t>of</w:t>
      </w:r>
      <w:r>
        <w:rPr>
          <w:spacing w:val="-33"/>
        </w:rPr>
        <w:t xml:space="preserve"> </w:t>
      </w:r>
      <w:r>
        <w:t>the</w:t>
      </w:r>
      <w:r>
        <w:rPr>
          <w:spacing w:val="-30"/>
        </w:rPr>
        <w:t xml:space="preserve"> </w:t>
      </w:r>
      <w:r>
        <w:t>goods</w:t>
      </w:r>
      <w:r>
        <w:rPr>
          <w:spacing w:val="-32"/>
        </w:rPr>
        <w:t xml:space="preserve"> </w:t>
      </w:r>
      <w:r>
        <w:t>or</w:t>
      </w:r>
      <w:r>
        <w:rPr>
          <w:spacing w:val="-31"/>
        </w:rPr>
        <w:t xml:space="preserve"> </w:t>
      </w:r>
      <w:r>
        <w:t>components</w:t>
      </w:r>
      <w:r>
        <w:rPr>
          <w:spacing w:val="-31"/>
        </w:rPr>
        <w:t xml:space="preserve"> </w:t>
      </w:r>
      <w:r>
        <w:t>or</w:t>
      </w:r>
      <w:r>
        <w:rPr>
          <w:spacing w:val="-32"/>
        </w:rPr>
        <w:t xml:space="preserve"> </w:t>
      </w:r>
      <w:r>
        <w:t>in preference of the services, which renders the goods or result of the service less accepted</w:t>
      </w:r>
      <w:r>
        <w:rPr>
          <w:spacing w:val="-26"/>
        </w:rPr>
        <w:t xml:space="preserve"> </w:t>
      </w:r>
      <w:r>
        <w:t>able</w:t>
      </w:r>
      <w:r>
        <w:rPr>
          <w:spacing w:val="-24"/>
        </w:rPr>
        <w:t xml:space="preserve"> </w:t>
      </w:r>
      <w:r>
        <w:t>than</w:t>
      </w:r>
      <w:r>
        <w:rPr>
          <w:spacing w:val="-23"/>
        </w:rPr>
        <w:t xml:space="preserve"> </w:t>
      </w:r>
      <w:r>
        <w:t>persons</w:t>
      </w:r>
      <w:r>
        <w:rPr>
          <w:spacing w:val="-23"/>
        </w:rPr>
        <w:t xml:space="preserve"> </w:t>
      </w:r>
      <w:r>
        <w:t>would</w:t>
      </w:r>
      <w:r>
        <w:rPr>
          <w:spacing w:val="-25"/>
        </w:rPr>
        <w:t xml:space="preserve"> </w:t>
      </w:r>
      <w:r>
        <w:t>be</w:t>
      </w:r>
      <w:r>
        <w:rPr>
          <w:spacing w:val="-24"/>
        </w:rPr>
        <w:t xml:space="preserve"> </w:t>
      </w:r>
      <w:r>
        <w:t>entitled</w:t>
      </w:r>
      <w:r>
        <w:rPr>
          <w:spacing w:val="-26"/>
        </w:rPr>
        <w:t xml:space="preserve"> </w:t>
      </w:r>
      <w:r>
        <w:t>to</w:t>
      </w:r>
      <w:r>
        <w:rPr>
          <w:spacing w:val="-25"/>
        </w:rPr>
        <w:t xml:space="preserve"> </w:t>
      </w:r>
      <w:r>
        <w:t>expect</w:t>
      </w:r>
      <w:r>
        <w:rPr>
          <w:spacing w:val="-24"/>
        </w:rPr>
        <w:t xml:space="preserve"> </w:t>
      </w:r>
      <w:r>
        <w:t>in</w:t>
      </w:r>
      <w:r>
        <w:rPr>
          <w:spacing w:val="-23"/>
        </w:rPr>
        <w:t xml:space="preserve"> </w:t>
      </w:r>
      <w:r>
        <w:t>the</w:t>
      </w:r>
      <w:r>
        <w:rPr>
          <w:spacing w:val="-24"/>
        </w:rPr>
        <w:t xml:space="preserve"> </w:t>
      </w:r>
      <w:r>
        <w:t>circumstances;</w:t>
      </w:r>
      <w:r>
        <w:rPr>
          <w:spacing w:val="-25"/>
        </w:rPr>
        <w:t xml:space="preserve"> </w:t>
      </w:r>
      <w:r>
        <w:t>or</w:t>
      </w:r>
    </w:p>
    <w:p w:rsidR="00AB407C" w:rsidRDefault="00794A40">
      <w:pPr>
        <w:spacing w:before="240" w:line="345" w:lineRule="auto"/>
        <w:ind w:left="965" w:right="110"/>
        <w:jc w:val="both"/>
        <w:rPr>
          <w:i/>
          <w:sz w:val="25"/>
        </w:rPr>
      </w:pPr>
      <w:r>
        <w:rPr>
          <w:i/>
          <w:sz w:val="25"/>
        </w:rPr>
        <w:t>(ii) any characteristic of the goods or components that renders the goods or components</w:t>
      </w:r>
      <w:r>
        <w:rPr>
          <w:i/>
          <w:spacing w:val="-47"/>
          <w:sz w:val="25"/>
        </w:rPr>
        <w:t xml:space="preserve"> </w:t>
      </w:r>
      <w:r>
        <w:rPr>
          <w:i/>
          <w:sz w:val="25"/>
        </w:rPr>
        <w:t>less</w:t>
      </w:r>
      <w:r>
        <w:rPr>
          <w:i/>
          <w:spacing w:val="-46"/>
          <w:sz w:val="25"/>
        </w:rPr>
        <w:t xml:space="preserve"> </w:t>
      </w:r>
      <w:r>
        <w:rPr>
          <w:i/>
          <w:sz w:val="25"/>
        </w:rPr>
        <w:t>useful,</w:t>
      </w:r>
      <w:r>
        <w:rPr>
          <w:i/>
          <w:spacing w:val="-47"/>
          <w:sz w:val="25"/>
        </w:rPr>
        <w:t xml:space="preserve"> </w:t>
      </w:r>
      <w:r>
        <w:rPr>
          <w:i/>
          <w:sz w:val="25"/>
        </w:rPr>
        <w:t>practicable</w:t>
      </w:r>
      <w:r>
        <w:rPr>
          <w:i/>
          <w:spacing w:val="-47"/>
          <w:sz w:val="25"/>
        </w:rPr>
        <w:t xml:space="preserve"> </w:t>
      </w:r>
      <w:r>
        <w:rPr>
          <w:i/>
          <w:sz w:val="25"/>
        </w:rPr>
        <w:t>or</w:t>
      </w:r>
      <w:r>
        <w:rPr>
          <w:i/>
          <w:spacing w:val="-47"/>
          <w:sz w:val="25"/>
        </w:rPr>
        <w:t xml:space="preserve"> </w:t>
      </w:r>
      <w:r>
        <w:rPr>
          <w:i/>
          <w:sz w:val="25"/>
        </w:rPr>
        <w:t>safe</w:t>
      </w:r>
      <w:r>
        <w:rPr>
          <w:i/>
          <w:spacing w:val="-46"/>
          <w:sz w:val="25"/>
        </w:rPr>
        <w:t xml:space="preserve"> </w:t>
      </w:r>
      <w:r>
        <w:rPr>
          <w:i/>
          <w:sz w:val="25"/>
        </w:rPr>
        <w:t>than</w:t>
      </w:r>
      <w:r>
        <w:rPr>
          <w:i/>
          <w:spacing w:val="-47"/>
          <w:sz w:val="25"/>
        </w:rPr>
        <w:t xml:space="preserve"> </w:t>
      </w:r>
      <w:r>
        <w:rPr>
          <w:i/>
          <w:sz w:val="25"/>
        </w:rPr>
        <w:t>persons</w:t>
      </w:r>
      <w:r>
        <w:rPr>
          <w:i/>
          <w:spacing w:val="-45"/>
          <w:sz w:val="25"/>
        </w:rPr>
        <w:t xml:space="preserve"> </w:t>
      </w:r>
      <w:r>
        <w:rPr>
          <w:i/>
          <w:sz w:val="25"/>
        </w:rPr>
        <w:t>would</w:t>
      </w:r>
      <w:r>
        <w:rPr>
          <w:i/>
          <w:spacing w:val="-47"/>
          <w:sz w:val="25"/>
        </w:rPr>
        <w:t xml:space="preserve"> </w:t>
      </w:r>
      <w:r>
        <w:rPr>
          <w:i/>
          <w:sz w:val="25"/>
        </w:rPr>
        <w:t>be</w:t>
      </w:r>
      <w:r>
        <w:rPr>
          <w:i/>
          <w:spacing w:val="-47"/>
          <w:sz w:val="25"/>
        </w:rPr>
        <w:t xml:space="preserve"> </w:t>
      </w:r>
      <w:r>
        <w:rPr>
          <w:i/>
          <w:sz w:val="25"/>
        </w:rPr>
        <w:t>entitled</w:t>
      </w:r>
      <w:r>
        <w:rPr>
          <w:i/>
          <w:spacing w:val="-47"/>
          <w:sz w:val="25"/>
        </w:rPr>
        <w:t xml:space="preserve"> </w:t>
      </w:r>
      <w:r>
        <w:rPr>
          <w:i/>
          <w:sz w:val="25"/>
        </w:rPr>
        <w:t>to</w:t>
      </w:r>
      <w:r>
        <w:rPr>
          <w:i/>
          <w:spacing w:val="-47"/>
          <w:sz w:val="25"/>
        </w:rPr>
        <w:t xml:space="preserve"> </w:t>
      </w:r>
      <w:r>
        <w:rPr>
          <w:i/>
          <w:sz w:val="25"/>
        </w:rPr>
        <w:t>expect in the</w:t>
      </w:r>
      <w:r>
        <w:rPr>
          <w:i/>
          <w:spacing w:val="-9"/>
          <w:sz w:val="25"/>
        </w:rPr>
        <w:t xml:space="preserve"> </w:t>
      </w:r>
      <w:r>
        <w:rPr>
          <w:i/>
          <w:sz w:val="25"/>
        </w:rPr>
        <w:t>circumstances.”</w:t>
      </w:r>
    </w:p>
    <w:p w:rsidR="00AB407C" w:rsidRDefault="00AB407C">
      <w:pPr>
        <w:spacing w:line="345" w:lineRule="auto"/>
        <w:jc w:val="both"/>
        <w:rPr>
          <w:sz w:val="25"/>
        </w:rPr>
        <w:sectPr w:rsidR="00AB407C">
          <w:pgSz w:w="11910" w:h="16840"/>
          <w:pgMar w:top="760" w:right="1020" w:bottom="680" w:left="1020" w:header="282" w:footer="485" w:gutter="0"/>
          <w:cols w:space="720"/>
        </w:sectPr>
      </w:pPr>
    </w:p>
    <w:p w:rsidR="00AB407C" w:rsidRDefault="00AB407C">
      <w:pPr>
        <w:pStyle w:val="BodyText"/>
        <w:spacing w:before="3"/>
        <w:rPr>
          <w:i/>
          <w:sz w:val="19"/>
        </w:rPr>
      </w:pPr>
    </w:p>
    <w:p w:rsidR="00AB407C" w:rsidRPr="00DE6405" w:rsidRDefault="00DE6405" w:rsidP="00DE6405">
      <w:pPr>
        <w:tabs>
          <w:tab w:val="left" w:pos="680"/>
        </w:tabs>
        <w:spacing w:before="100" w:line="360" w:lineRule="auto"/>
        <w:ind w:left="679" w:hanging="567"/>
        <w:jc w:val="both"/>
        <w:rPr>
          <w:sz w:val="24"/>
        </w:rPr>
      </w:pPr>
      <w:r>
        <w:rPr>
          <w:spacing w:val="-2"/>
          <w:sz w:val="24"/>
          <w:szCs w:val="24"/>
        </w:rPr>
        <w:t>20.</w:t>
      </w:r>
      <w:r>
        <w:rPr>
          <w:spacing w:val="-2"/>
          <w:sz w:val="24"/>
          <w:szCs w:val="24"/>
        </w:rPr>
        <w:tab/>
      </w:r>
      <w:r w:rsidR="00794A40" w:rsidRPr="00DE6405">
        <w:rPr>
          <w:sz w:val="24"/>
        </w:rPr>
        <w:t xml:space="preserve">In the Tribunal’s view, the evidence reveals that the vehicle had no material defects as outlined in section 53(1)(a) of the CPA. The Applicant returned the vehicle to the Respondent to detect a leak that was ultimately never detected. If the Respondent </w:t>
      </w:r>
      <w:r w:rsidR="00794A40" w:rsidRPr="00DE6405">
        <w:rPr>
          <w:sz w:val="24"/>
        </w:rPr>
        <w:t>had detected the leak, then the Tribunal has no reason to gainsay the Respondent’s evidence that the leak would have been repaired under the warranty in place at the time.</w:t>
      </w:r>
    </w:p>
    <w:p w:rsidR="00AB407C" w:rsidRPr="00DE6405" w:rsidRDefault="00DE6405" w:rsidP="00DE6405">
      <w:pPr>
        <w:tabs>
          <w:tab w:val="left" w:pos="680"/>
        </w:tabs>
        <w:spacing w:before="240" w:line="360" w:lineRule="auto"/>
        <w:ind w:left="679" w:hanging="567"/>
        <w:jc w:val="both"/>
        <w:rPr>
          <w:sz w:val="24"/>
        </w:rPr>
      </w:pPr>
      <w:r>
        <w:rPr>
          <w:spacing w:val="-2"/>
          <w:sz w:val="24"/>
          <w:szCs w:val="24"/>
        </w:rPr>
        <w:t>21.</w:t>
      </w:r>
      <w:r>
        <w:rPr>
          <w:spacing w:val="-2"/>
          <w:sz w:val="24"/>
          <w:szCs w:val="24"/>
        </w:rPr>
        <w:tab/>
      </w:r>
      <w:r w:rsidR="00794A40" w:rsidRPr="00DE6405">
        <w:rPr>
          <w:sz w:val="24"/>
        </w:rPr>
        <w:t>Moreover, the MIOSA recommended that the Applicant have the vehicle assessed by an</w:t>
      </w:r>
      <w:r w:rsidR="00794A40" w:rsidRPr="00DE6405">
        <w:rPr>
          <w:spacing w:val="-17"/>
          <w:sz w:val="24"/>
        </w:rPr>
        <w:t xml:space="preserve"> </w:t>
      </w:r>
      <w:r w:rsidR="00794A40" w:rsidRPr="00DE6405">
        <w:rPr>
          <w:sz w:val="24"/>
        </w:rPr>
        <w:t>i</w:t>
      </w:r>
      <w:r w:rsidR="00794A40" w:rsidRPr="00DE6405">
        <w:rPr>
          <w:sz w:val="24"/>
        </w:rPr>
        <w:t>ndependent</w:t>
      </w:r>
      <w:r w:rsidR="00794A40" w:rsidRPr="00DE6405">
        <w:rPr>
          <w:spacing w:val="-19"/>
          <w:sz w:val="24"/>
        </w:rPr>
        <w:t xml:space="preserve"> </w:t>
      </w:r>
      <w:r w:rsidR="00794A40" w:rsidRPr="00DE6405">
        <w:rPr>
          <w:sz w:val="24"/>
        </w:rPr>
        <w:t>assessor</w:t>
      </w:r>
      <w:r w:rsidR="00794A40" w:rsidRPr="00DE6405">
        <w:rPr>
          <w:spacing w:val="-18"/>
          <w:sz w:val="24"/>
        </w:rPr>
        <w:t xml:space="preserve"> </w:t>
      </w:r>
      <w:r w:rsidR="00794A40" w:rsidRPr="00DE6405">
        <w:rPr>
          <w:sz w:val="24"/>
        </w:rPr>
        <w:t>or</w:t>
      </w:r>
      <w:r w:rsidR="00794A40" w:rsidRPr="00DE6405">
        <w:rPr>
          <w:spacing w:val="-18"/>
          <w:sz w:val="24"/>
        </w:rPr>
        <w:t xml:space="preserve"> </w:t>
      </w:r>
      <w:r w:rsidR="00794A40" w:rsidRPr="00DE6405">
        <w:rPr>
          <w:sz w:val="24"/>
        </w:rPr>
        <w:t>another</w:t>
      </w:r>
      <w:r w:rsidR="00794A40" w:rsidRPr="00DE6405">
        <w:rPr>
          <w:spacing w:val="-17"/>
          <w:sz w:val="24"/>
        </w:rPr>
        <w:t xml:space="preserve"> </w:t>
      </w:r>
      <w:r w:rsidR="00794A40" w:rsidRPr="00DE6405">
        <w:rPr>
          <w:sz w:val="24"/>
        </w:rPr>
        <w:t>VW</w:t>
      </w:r>
      <w:r w:rsidR="00794A40" w:rsidRPr="00DE6405">
        <w:rPr>
          <w:spacing w:val="-18"/>
          <w:sz w:val="24"/>
        </w:rPr>
        <w:t xml:space="preserve"> </w:t>
      </w:r>
      <w:r w:rsidR="00794A40" w:rsidRPr="00DE6405">
        <w:rPr>
          <w:sz w:val="24"/>
        </w:rPr>
        <w:t>agent.</w:t>
      </w:r>
      <w:r w:rsidR="00794A40" w:rsidRPr="00DE6405">
        <w:rPr>
          <w:spacing w:val="40"/>
          <w:sz w:val="24"/>
        </w:rPr>
        <w:t xml:space="preserve"> </w:t>
      </w:r>
      <w:r w:rsidR="00794A40" w:rsidRPr="00DE6405">
        <w:rPr>
          <w:sz w:val="24"/>
        </w:rPr>
        <w:t>However,</w:t>
      </w:r>
      <w:r w:rsidR="00794A40" w:rsidRPr="00DE6405">
        <w:rPr>
          <w:spacing w:val="-18"/>
          <w:sz w:val="24"/>
        </w:rPr>
        <w:t xml:space="preserve"> </w:t>
      </w:r>
      <w:r w:rsidR="00794A40" w:rsidRPr="00DE6405">
        <w:rPr>
          <w:sz w:val="24"/>
        </w:rPr>
        <w:t>the</w:t>
      </w:r>
      <w:r w:rsidR="00794A40" w:rsidRPr="00DE6405">
        <w:rPr>
          <w:spacing w:val="-16"/>
          <w:sz w:val="24"/>
        </w:rPr>
        <w:t xml:space="preserve"> </w:t>
      </w:r>
      <w:r w:rsidR="00794A40" w:rsidRPr="00DE6405">
        <w:rPr>
          <w:sz w:val="24"/>
        </w:rPr>
        <w:t>Applicant</w:t>
      </w:r>
      <w:r w:rsidR="00794A40" w:rsidRPr="00DE6405">
        <w:rPr>
          <w:spacing w:val="-17"/>
          <w:sz w:val="24"/>
        </w:rPr>
        <w:t xml:space="preserve"> </w:t>
      </w:r>
      <w:r w:rsidR="00794A40" w:rsidRPr="00DE6405">
        <w:rPr>
          <w:sz w:val="24"/>
        </w:rPr>
        <w:t>never</w:t>
      </w:r>
      <w:r w:rsidR="00794A40" w:rsidRPr="00DE6405">
        <w:rPr>
          <w:spacing w:val="-18"/>
          <w:sz w:val="24"/>
        </w:rPr>
        <w:t xml:space="preserve"> </w:t>
      </w:r>
      <w:r w:rsidR="00794A40" w:rsidRPr="00DE6405">
        <w:rPr>
          <w:sz w:val="24"/>
        </w:rPr>
        <w:t>obtained the</w:t>
      </w:r>
      <w:r w:rsidR="00794A40" w:rsidRPr="00DE6405">
        <w:rPr>
          <w:spacing w:val="-10"/>
          <w:sz w:val="24"/>
        </w:rPr>
        <w:t xml:space="preserve"> </w:t>
      </w:r>
      <w:r w:rsidR="00794A40" w:rsidRPr="00DE6405">
        <w:rPr>
          <w:sz w:val="24"/>
        </w:rPr>
        <w:t>independent</w:t>
      </w:r>
      <w:r w:rsidR="00794A40" w:rsidRPr="00DE6405">
        <w:rPr>
          <w:spacing w:val="-14"/>
          <w:sz w:val="24"/>
        </w:rPr>
        <w:t xml:space="preserve"> </w:t>
      </w:r>
      <w:r w:rsidR="00794A40" w:rsidRPr="00DE6405">
        <w:rPr>
          <w:sz w:val="24"/>
        </w:rPr>
        <w:t>assessment</w:t>
      </w:r>
      <w:r w:rsidR="00794A40" w:rsidRPr="00DE6405">
        <w:rPr>
          <w:spacing w:val="-11"/>
          <w:sz w:val="24"/>
        </w:rPr>
        <w:t xml:space="preserve"> </w:t>
      </w:r>
      <w:r w:rsidR="00794A40" w:rsidRPr="00DE6405">
        <w:rPr>
          <w:sz w:val="24"/>
        </w:rPr>
        <w:t>which</w:t>
      </w:r>
      <w:r w:rsidR="00794A40" w:rsidRPr="00DE6405">
        <w:rPr>
          <w:spacing w:val="-10"/>
          <w:sz w:val="24"/>
        </w:rPr>
        <w:t xml:space="preserve"> </w:t>
      </w:r>
      <w:r w:rsidR="00794A40" w:rsidRPr="00DE6405">
        <w:rPr>
          <w:sz w:val="24"/>
        </w:rPr>
        <w:t>would</w:t>
      </w:r>
      <w:r w:rsidR="00794A40" w:rsidRPr="00DE6405">
        <w:rPr>
          <w:spacing w:val="-11"/>
          <w:sz w:val="24"/>
        </w:rPr>
        <w:t xml:space="preserve"> </w:t>
      </w:r>
      <w:r w:rsidR="00794A40" w:rsidRPr="00DE6405">
        <w:rPr>
          <w:sz w:val="24"/>
        </w:rPr>
        <w:t>have</w:t>
      </w:r>
      <w:r w:rsidR="00794A40" w:rsidRPr="00DE6405">
        <w:rPr>
          <w:spacing w:val="-10"/>
          <w:sz w:val="24"/>
        </w:rPr>
        <w:t xml:space="preserve"> </w:t>
      </w:r>
      <w:r w:rsidR="00794A40" w:rsidRPr="00DE6405">
        <w:rPr>
          <w:sz w:val="24"/>
        </w:rPr>
        <w:t>assisted</w:t>
      </w:r>
      <w:r w:rsidR="00794A40" w:rsidRPr="00DE6405">
        <w:rPr>
          <w:spacing w:val="-12"/>
          <w:sz w:val="24"/>
        </w:rPr>
        <w:t xml:space="preserve"> </w:t>
      </w:r>
      <w:r w:rsidR="00794A40" w:rsidRPr="00DE6405">
        <w:rPr>
          <w:sz w:val="24"/>
        </w:rPr>
        <w:t>the</w:t>
      </w:r>
      <w:r w:rsidR="00794A40" w:rsidRPr="00DE6405">
        <w:rPr>
          <w:spacing w:val="-11"/>
          <w:sz w:val="24"/>
        </w:rPr>
        <w:t xml:space="preserve"> </w:t>
      </w:r>
      <w:r w:rsidR="00794A40" w:rsidRPr="00DE6405">
        <w:rPr>
          <w:sz w:val="24"/>
        </w:rPr>
        <w:t>Applicant</w:t>
      </w:r>
      <w:r w:rsidR="00794A40" w:rsidRPr="00DE6405">
        <w:rPr>
          <w:spacing w:val="-12"/>
          <w:sz w:val="24"/>
        </w:rPr>
        <w:t xml:space="preserve"> </w:t>
      </w:r>
      <w:r w:rsidR="00794A40" w:rsidRPr="00DE6405">
        <w:rPr>
          <w:sz w:val="24"/>
        </w:rPr>
        <w:t>to</w:t>
      </w:r>
      <w:r w:rsidR="00794A40" w:rsidRPr="00DE6405">
        <w:rPr>
          <w:spacing w:val="-12"/>
          <w:sz w:val="24"/>
        </w:rPr>
        <w:t xml:space="preserve"> </w:t>
      </w:r>
      <w:r w:rsidR="00794A40" w:rsidRPr="00DE6405">
        <w:rPr>
          <w:sz w:val="24"/>
        </w:rPr>
        <w:t>discharge</w:t>
      </w:r>
      <w:r w:rsidR="00794A40" w:rsidRPr="00DE6405">
        <w:rPr>
          <w:spacing w:val="-11"/>
          <w:sz w:val="24"/>
        </w:rPr>
        <w:t xml:space="preserve"> </w:t>
      </w:r>
      <w:r w:rsidR="00794A40" w:rsidRPr="00DE6405">
        <w:rPr>
          <w:sz w:val="24"/>
        </w:rPr>
        <w:t>the onus borne by her that the leak existed and amounted to a material effect. The Applicant’s failure to do so is fatal to her</w:t>
      </w:r>
      <w:r w:rsidR="00794A40" w:rsidRPr="00DE6405">
        <w:rPr>
          <w:spacing w:val="-10"/>
          <w:sz w:val="24"/>
        </w:rPr>
        <w:t xml:space="preserve"> </w:t>
      </w:r>
      <w:r w:rsidR="00794A40" w:rsidRPr="00DE6405">
        <w:rPr>
          <w:sz w:val="24"/>
        </w:rPr>
        <w:t>case.</w:t>
      </w:r>
    </w:p>
    <w:p w:rsidR="00AB407C" w:rsidRDefault="00794A40">
      <w:pPr>
        <w:pStyle w:val="Heading2"/>
        <w:spacing w:before="240"/>
      </w:pPr>
      <w:r>
        <w:t>C</w:t>
      </w:r>
      <w:r>
        <w:t>ONCLUSION</w:t>
      </w:r>
    </w:p>
    <w:p w:rsidR="00AB407C" w:rsidRDefault="00AB407C">
      <w:pPr>
        <w:pStyle w:val="BodyText"/>
        <w:spacing w:before="10"/>
        <w:rPr>
          <w:b/>
          <w:sz w:val="31"/>
        </w:rPr>
      </w:pPr>
    </w:p>
    <w:p w:rsidR="00AB407C" w:rsidRPr="00DE6405" w:rsidRDefault="00DE6405" w:rsidP="00DE6405">
      <w:pPr>
        <w:tabs>
          <w:tab w:val="left" w:pos="680"/>
        </w:tabs>
        <w:spacing w:line="360" w:lineRule="auto"/>
        <w:ind w:left="679" w:hanging="567"/>
        <w:jc w:val="both"/>
        <w:rPr>
          <w:sz w:val="24"/>
        </w:rPr>
      </w:pPr>
      <w:r>
        <w:rPr>
          <w:spacing w:val="-2"/>
          <w:sz w:val="24"/>
          <w:szCs w:val="24"/>
        </w:rPr>
        <w:t>22.</w:t>
      </w:r>
      <w:r>
        <w:rPr>
          <w:spacing w:val="-2"/>
          <w:sz w:val="24"/>
          <w:szCs w:val="24"/>
        </w:rPr>
        <w:tab/>
      </w:r>
      <w:r w:rsidR="00794A40" w:rsidRPr="00DE6405">
        <w:rPr>
          <w:sz w:val="24"/>
        </w:rPr>
        <w:t>The</w:t>
      </w:r>
      <w:r w:rsidR="00794A40" w:rsidRPr="00DE6405">
        <w:rPr>
          <w:spacing w:val="-3"/>
          <w:sz w:val="24"/>
        </w:rPr>
        <w:t xml:space="preserve"> </w:t>
      </w:r>
      <w:r w:rsidR="00794A40" w:rsidRPr="00DE6405">
        <w:rPr>
          <w:sz w:val="24"/>
        </w:rPr>
        <w:t>Applicant</w:t>
      </w:r>
      <w:r w:rsidR="00794A40" w:rsidRPr="00DE6405">
        <w:rPr>
          <w:spacing w:val="-5"/>
          <w:sz w:val="24"/>
        </w:rPr>
        <w:t xml:space="preserve"> </w:t>
      </w:r>
      <w:r w:rsidR="00794A40" w:rsidRPr="00DE6405">
        <w:rPr>
          <w:sz w:val="24"/>
        </w:rPr>
        <w:t>has</w:t>
      </w:r>
      <w:r w:rsidR="00794A40" w:rsidRPr="00DE6405">
        <w:rPr>
          <w:spacing w:val="-4"/>
          <w:sz w:val="24"/>
        </w:rPr>
        <w:t xml:space="preserve"> </w:t>
      </w:r>
      <w:r w:rsidR="00794A40" w:rsidRPr="00DE6405">
        <w:rPr>
          <w:sz w:val="24"/>
        </w:rPr>
        <w:t>failed</w:t>
      </w:r>
      <w:r w:rsidR="00794A40" w:rsidRPr="00DE6405">
        <w:rPr>
          <w:spacing w:val="-5"/>
          <w:sz w:val="24"/>
        </w:rPr>
        <w:t xml:space="preserve"> </w:t>
      </w:r>
      <w:r w:rsidR="00794A40" w:rsidRPr="00DE6405">
        <w:rPr>
          <w:sz w:val="24"/>
        </w:rPr>
        <w:t>to</w:t>
      </w:r>
      <w:r w:rsidR="00794A40" w:rsidRPr="00DE6405">
        <w:rPr>
          <w:spacing w:val="-3"/>
          <w:sz w:val="24"/>
        </w:rPr>
        <w:t xml:space="preserve"> </w:t>
      </w:r>
      <w:r w:rsidR="00794A40" w:rsidRPr="00DE6405">
        <w:rPr>
          <w:sz w:val="24"/>
        </w:rPr>
        <w:t>show</w:t>
      </w:r>
      <w:r w:rsidR="00794A40" w:rsidRPr="00DE6405">
        <w:rPr>
          <w:spacing w:val="-2"/>
          <w:sz w:val="24"/>
        </w:rPr>
        <w:t xml:space="preserve"> </w:t>
      </w:r>
      <w:r w:rsidR="00794A40" w:rsidRPr="00DE6405">
        <w:rPr>
          <w:sz w:val="24"/>
        </w:rPr>
        <w:t>that</w:t>
      </w:r>
      <w:r w:rsidR="00794A40" w:rsidRPr="00DE6405">
        <w:rPr>
          <w:spacing w:val="-6"/>
          <w:sz w:val="24"/>
        </w:rPr>
        <w:t xml:space="preserve"> </w:t>
      </w:r>
      <w:r w:rsidR="00794A40" w:rsidRPr="00DE6405">
        <w:rPr>
          <w:sz w:val="24"/>
        </w:rPr>
        <w:t>there</w:t>
      </w:r>
      <w:r w:rsidR="00794A40" w:rsidRPr="00DE6405">
        <w:rPr>
          <w:spacing w:val="-4"/>
          <w:sz w:val="24"/>
        </w:rPr>
        <w:t xml:space="preserve"> </w:t>
      </w:r>
      <w:r w:rsidR="00794A40" w:rsidRPr="00DE6405">
        <w:rPr>
          <w:sz w:val="24"/>
        </w:rPr>
        <w:t>was</w:t>
      </w:r>
      <w:r w:rsidR="00794A40" w:rsidRPr="00DE6405">
        <w:rPr>
          <w:spacing w:val="-4"/>
          <w:sz w:val="24"/>
        </w:rPr>
        <w:t xml:space="preserve"> </w:t>
      </w:r>
      <w:r w:rsidR="00794A40" w:rsidRPr="00DE6405">
        <w:rPr>
          <w:sz w:val="24"/>
        </w:rPr>
        <w:t>a</w:t>
      </w:r>
      <w:r w:rsidR="00794A40" w:rsidRPr="00DE6405">
        <w:rPr>
          <w:spacing w:val="-1"/>
          <w:sz w:val="24"/>
        </w:rPr>
        <w:t xml:space="preserve"> </w:t>
      </w:r>
      <w:r w:rsidR="00794A40" w:rsidRPr="00DE6405">
        <w:rPr>
          <w:sz w:val="24"/>
        </w:rPr>
        <w:t>leak</w:t>
      </w:r>
      <w:r w:rsidR="00794A40" w:rsidRPr="00DE6405">
        <w:rPr>
          <w:spacing w:val="-4"/>
          <w:sz w:val="24"/>
        </w:rPr>
        <w:t xml:space="preserve"> </w:t>
      </w:r>
      <w:r w:rsidR="00794A40" w:rsidRPr="00DE6405">
        <w:rPr>
          <w:sz w:val="24"/>
        </w:rPr>
        <w:t>amounting</w:t>
      </w:r>
      <w:r w:rsidR="00794A40" w:rsidRPr="00DE6405">
        <w:rPr>
          <w:spacing w:val="-4"/>
          <w:sz w:val="24"/>
        </w:rPr>
        <w:t xml:space="preserve"> </w:t>
      </w:r>
      <w:r w:rsidR="00794A40" w:rsidRPr="00DE6405">
        <w:rPr>
          <w:sz w:val="24"/>
        </w:rPr>
        <w:t>to</w:t>
      </w:r>
      <w:r w:rsidR="00794A40" w:rsidRPr="00DE6405">
        <w:rPr>
          <w:spacing w:val="-5"/>
          <w:sz w:val="24"/>
        </w:rPr>
        <w:t xml:space="preserve"> </w:t>
      </w:r>
      <w:r w:rsidR="00794A40" w:rsidRPr="00DE6405">
        <w:rPr>
          <w:sz w:val="24"/>
        </w:rPr>
        <w:t>a</w:t>
      </w:r>
      <w:r w:rsidR="00794A40" w:rsidRPr="00DE6405">
        <w:rPr>
          <w:spacing w:val="-3"/>
          <w:sz w:val="24"/>
        </w:rPr>
        <w:t xml:space="preserve"> </w:t>
      </w:r>
      <w:r w:rsidR="00794A40" w:rsidRPr="00DE6405">
        <w:rPr>
          <w:sz w:val="24"/>
        </w:rPr>
        <w:t>material</w:t>
      </w:r>
      <w:r w:rsidR="00794A40" w:rsidRPr="00DE6405">
        <w:rPr>
          <w:spacing w:val="-4"/>
          <w:sz w:val="24"/>
        </w:rPr>
        <w:t xml:space="preserve"> </w:t>
      </w:r>
      <w:r w:rsidR="00794A40" w:rsidRPr="00DE6405">
        <w:rPr>
          <w:sz w:val="24"/>
        </w:rPr>
        <w:t xml:space="preserve">defect and that the Respondent </w:t>
      </w:r>
      <w:r w:rsidR="00794A40" w:rsidRPr="00DE6405">
        <w:rPr>
          <w:sz w:val="24"/>
        </w:rPr>
        <w:t>contravened the</w:t>
      </w:r>
      <w:r w:rsidR="00794A40" w:rsidRPr="00DE6405">
        <w:rPr>
          <w:spacing w:val="-7"/>
          <w:sz w:val="24"/>
        </w:rPr>
        <w:t xml:space="preserve"> </w:t>
      </w:r>
      <w:r w:rsidR="00794A40" w:rsidRPr="00DE6405">
        <w:rPr>
          <w:sz w:val="24"/>
        </w:rPr>
        <w:t>CPA.</w:t>
      </w:r>
    </w:p>
    <w:p w:rsidR="00AB407C" w:rsidRDefault="00794A40">
      <w:pPr>
        <w:pStyle w:val="Heading2"/>
        <w:spacing w:before="240"/>
      </w:pPr>
      <w:r>
        <w:t>O</w:t>
      </w:r>
      <w:r>
        <w:t>RDER</w:t>
      </w:r>
    </w:p>
    <w:p w:rsidR="00AB407C" w:rsidRDefault="00AB407C">
      <w:pPr>
        <w:pStyle w:val="BodyText"/>
        <w:spacing w:before="10"/>
        <w:rPr>
          <w:b/>
          <w:sz w:val="31"/>
        </w:rPr>
      </w:pPr>
    </w:p>
    <w:p w:rsidR="00AB407C" w:rsidRPr="00DE6405" w:rsidRDefault="00DE6405" w:rsidP="00DE6405">
      <w:pPr>
        <w:tabs>
          <w:tab w:val="left" w:pos="679"/>
          <w:tab w:val="left" w:pos="680"/>
        </w:tabs>
        <w:ind w:left="679" w:hanging="568"/>
        <w:rPr>
          <w:sz w:val="24"/>
        </w:rPr>
      </w:pPr>
      <w:r>
        <w:rPr>
          <w:spacing w:val="-2"/>
          <w:sz w:val="24"/>
          <w:szCs w:val="24"/>
        </w:rPr>
        <w:t>23.</w:t>
      </w:r>
      <w:r>
        <w:rPr>
          <w:spacing w:val="-2"/>
          <w:sz w:val="24"/>
          <w:szCs w:val="24"/>
        </w:rPr>
        <w:tab/>
      </w:r>
      <w:r w:rsidR="00794A40" w:rsidRPr="00DE6405">
        <w:rPr>
          <w:sz w:val="24"/>
        </w:rPr>
        <w:t>Accordingly, the Tribunal makes the following</w:t>
      </w:r>
      <w:r w:rsidR="00794A40" w:rsidRPr="00DE6405">
        <w:rPr>
          <w:spacing w:val="-5"/>
          <w:sz w:val="24"/>
        </w:rPr>
        <w:t xml:space="preserve"> </w:t>
      </w:r>
      <w:r w:rsidR="00794A40" w:rsidRPr="00DE6405">
        <w:rPr>
          <w:sz w:val="24"/>
        </w:rPr>
        <w:t>order:</w:t>
      </w:r>
    </w:p>
    <w:p w:rsidR="00AB407C" w:rsidRDefault="00AB407C">
      <w:pPr>
        <w:pStyle w:val="BodyText"/>
        <w:spacing w:before="11"/>
        <w:rPr>
          <w:sz w:val="31"/>
        </w:rPr>
      </w:pPr>
    </w:p>
    <w:p w:rsidR="00AB407C" w:rsidRPr="00DE6405" w:rsidRDefault="00DE6405" w:rsidP="00DE6405">
      <w:pPr>
        <w:tabs>
          <w:tab w:val="left" w:pos="834"/>
        </w:tabs>
        <w:ind w:left="833" w:hanging="722"/>
        <w:rPr>
          <w:sz w:val="24"/>
        </w:rPr>
      </w:pPr>
      <w:r>
        <w:rPr>
          <w:spacing w:val="-3"/>
          <w:sz w:val="24"/>
          <w:szCs w:val="24"/>
        </w:rPr>
        <w:t>23.1.</w:t>
      </w:r>
      <w:r>
        <w:rPr>
          <w:spacing w:val="-3"/>
          <w:sz w:val="24"/>
          <w:szCs w:val="24"/>
        </w:rPr>
        <w:tab/>
      </w:r>
      <w:r w:rsidR="00794A40" w:rsidRPr="00DE6405">
        <w:rPr>
          <w:sz w:val="24"/>
        </w:rPr>
        <w:t>the application is dismissed;</w:t>
      </w:r>
      <w:r w:rsidR="00794A40" w:rsidRPr="00DE6405">
        <w:rPr>
          <w:spacing w:val="-2"/>
          <w:sz w:val="24"/>
        </w:rPr>
        <w:t xml:space="preserve"> </w:t>
      </w:r>
      <w:r w:rsidR="00794A40" w:rsidRPr="00DE6405">
        <w:rPr>
          <w:sz w:val="24"/>
        </w:rPr>
        <w:t>and</w:t>
      </w:r>
    </w:p>
    <w:p w:rsidR="00AB407C" w:rsidRDefault="00AB407C">
      <w:pPr>
        <w:pStyle w:val="BodyText"/>
        <w:spacing w:before="1"/>
        <w:rPr>
          <w:sz w:val="32"/>
        </w:rPr>
      </w:pPr>
    </w:p>
    <w:p w:rsidR="00AB407C" w:rsidRPr="00DE6405" w:rsidRDefault="00DE6405" w:rsidP="00DE6405">
      <w:pPr>
        <w:tabs>
          <w:tab w:val="left" w:pos="905"/>
          <w:tab w:val="left" w:pos="906"/>
        </w:tabs>
        <w:ind w:left="905" w:hanging="794"/>
        <w:rPr>
          <w:sz w:val="24"/>
        </w:rPr>
      </w:pPr>
      <w:r>
        <w:rPr>
          <w:spacing w:val="-3"/>
          <w:sz w:val="24"/>
          <w:szCs w:val="24"/>
        </w:rPr>
        <w:t>23.2.</w:t>
      </w:r>
      <w:r>
        <w:rPr>
          <w:spacing w:val="-3"/>
          <w:sz w:val="24"/>
          <w:szCs w:val="24"/>
        </w:rPr>
        <w:tab/>
      </w:r>
      <w:r w:rsidR="00794A40" w:rsidRPr="00DE6405">
        <w:rPr>
          <w:sz w:val="24"/>
        </w:rPr>
        <w:t>there is no costs</w:t>
      </w:r>
      <w:r w:rsidR="00794A40" w:rsidRPr="00DE6405">
        <w:rPr>
          <w:spacing w:val="-3"/>
          <w:sz w:val="24"/>
        </w:rPr>
        <w:t xml:space="preserve"> </w:t>
      </w:r>
      <w:r w:rsidR="00794A40" w:rsidRPr="00DE6405">
        <w:rPr>
          <w:sz w:val="24"/>
        </w:rPr>
        <w:t>order.</w:t>
      </w:r>
    </w:p>
    <w:p w:rsidR="00AB407C" w:rsidRDefault="00AB407C">
      <w:pPr>
        <w:pStyle w:val="BodyText"/>
        <w:spacing w:before="11"/>
        <w:rPr>
          <w:sz w:val="31"/>
        </w:rPr>
      </w:pPr>
    </w:p>
    <w:p w:rsidR="00AB407C" w:rsidRDefault="00794A40">
      <w:pPr>
        <w:pStyle w:val="Heading2"/>
      </w:pPr>
      <w:r>
        <w:t>DATED AT CENTURION ON 6 DECEMBER 2022.</w:t>
      </w:r>
    </w:p>
    <w:p w:rsidR="00AB407C" w:rsidRDefault="00AB407C">
      <w:pPr>
        <w:pStyle w:val="BodyText"/>
        <w:rPr>
          <w:b/>
          <w:sz w:val="28"/>
        </w:rPr>
      </w:pPr>
    </w:p>
    <w:p w:rsidR="00AB407C" w:rsidRDefault="00AB407C">
      <w:pPr>
        <w:pStyle w:val="BodyText"/>
        <w:rPr>
          <w:b/>
          <w:sz w:val="28"/>
        </w:rPr>
      </w:pPr>
    </w:p>
    <w:p w:rsidR="00AB407C" w:rsidRDefault="00AB407C">
      <w:pPr>
        <w:pStyle w:val="BodyText"/>
        <w:spacing w:before="9"/>
        <w:rPr>
          <w:b/>
          <w:sz w:val="31"/>
        </w:rPr>
      </w:pPr>
    </w:p>
    <w:p w:rsidR="00AB407C" w:rsidRDefault="00794A40">
      <w:pPr>
        <w:spacing w:line="436" w:lineRule="auto"/>
        <w:ind w:left="112" w:right="7685"/>
        <w:rPr>
          <w:b/>
          <w:sz w:val="24"/>
        </w:rPr>
      </w:pPr>
      <w:r>
        <w:rPr>
          <w:b/>
          <w:sz w:val="24"/>
        </w:rPr>
        <w:t>Mr. CJ Ntsoane Tribunal Member</w:t>
      </w:r>
    </w:p>
    <w:p w:rsidR="00AB407C" w:rsidRDefault="00794A40">
      <w:pPr>
        <w:pStyle w:val="BodyText"/>
        <w:spacing w:before="4" w:line="360" w:lineRule="auto"/>
        <w:ind w:left="112"/>
      </w:pPr>
      <w:r>
        <w:t>Adv C Sassman (Presiding Tribunal Member) and Prof K Moodaliyar (Tribunal Member) concur.</w:t>
      </w:r>
    </w:p>
    <w:p w:rsidR="00AB407C" w:rsidRDefault="00AB407C">
      <w:pPr>
        <w:spacing w:line="360" w:lineRule="auto"/>
        <w:sectPr w:rsidR="00AB407C">
          <w:pgSz w:w="11910" w:h="16840"/>
          <w:pgMar w:top="760" w:right="1020" w:bottom="680" w:left="1020" w:header="282" w:footer="485" w:gutter="0"/>
          <w:cols w:space="720"/>
        </w:sectPr>
      </w:pPr>
    </w:p>
    <w:p w:rsidR="00AB407C" w:rsidRDefault="00AB407C">
      <w:pPr>
        <w:pStyle w:val="BodyText"/>
        <w:rPr>
          <w:sz w:val="20"/>
        </w:rPr>
      </w:pPr>
    </w:p>
    <w:p w:rsidR="00AB407C" w:rsidRDefault="00AB407C">
      <w:pPr>
        <w:pStyle w:val="BodyText"/>
        <w:spacing w:before="9"/>
        <w:rPr>
          <w:sz w:val="29"/>
        </w:rPr>
      </w:pPr>
    </w:p>
    <w:p w:rsidR="00AB407C" w:rsidRDefault="00794A40">
      <w:pPr>
        <w:pStyle w:val="BodyText"/>
        <w:ind w:left="216"/>
        <w:rPr>
          <w:sz w:val="20"/>
        </w:rPr>
      </w:pPr>
      <w:r>
        <w:rPr>
          <w:noProof/>
          <w:sz w:val="20"/>
          <w:lang w:bidi="ar-SA"/>
        </w:rPr>
        <w:drawing>
          <wp:inline distT="0" distB="0" distL="0" distR="0">
            <wp:extent cx="2867151" cy="14816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867151" cy="1481613"/>
                    </a:xfrm>
                    <a:prstGeom prst="rect">
                      <a:avLst/>
                    </a:prstGeom>
                  </pic:spPr>
                </pic:pic>
              </a:graphicData>
            </a:graphic>
          </wp:inline>
        </w:drawing>
      </w:r>
    </w:p>
    <w:sectPr w:rsidR="00AB407C">
      <w:pgSz w:w="11910" w:h="16840"/>
      <w:pgMar w:top="760" w:right="1020" w:bottom="680" w:left="1020" w:header="282" w:footer="4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A40" w:rsidRDefault="00794A40">
      <w:r>
        <w:separator/>
      </w:r>
    </w:p>
  </w:endnote>
  <w:endnote w:type="continuationSeparator" w:id="0">
    <w:p w:rsidR="00794A40" w:rsidRDefault="0079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7C" w:rsidRDefault="00794A4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25pt;margin-top:806.7pt;width:39.75pt;height:12.35pt;z-index:-251805696;mso-position-horizontal-relative:page;mso-position-vertical-relative:page" filled="f" stroked="f">
          <v:textbox inset="0,0,0,0">
            <w:txbxContent>
              <w:p w:rsidR="00AB407C" w:rsidRDefault="00794A40">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DE6405">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A40" w:rsidRDefault="00794A40">
      <w:r>
        <w:separator/>
      </w:r>
    </w:p>
  </w:footnote>
  <w:footnote w:type="continuationSeparator" w:id="0">
    <w:p w:rsidR="00794A40" w:rsidRDefault="00794A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7C" w:rsidRDefault="00794A40">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12.25pt;margin-top:13.1pt;width:227.55pt;height:20.5pt;z-index:-251806720;mso-position-horizontal-relative:page;mso-position-vertical-relative:page" filled="f" stroked="f">
          <v:textbox inset="0,0,0,0">
            <w:txbxContent>
              <w:p w:rsidR="00AB407C" w:rsidRDefault="00794A40">
                <w:pPr>
                  <w:spacing w:before="20"/>
                  <w:ind w:left="20" w:right="2" w:firstLine="3932"/>
                  <w:rPr>
                    <w:rFonts w:ascii="Arial Narrow"/>
                    <w:sz w:val="16"/>
                  </w:rPr>
                </w:pPr>
                <w:r>
                  <w:rPr>
                    <w:rFonts w:ascii="Arial Narrow"/>
                    <w:sz w:val="16"/>
                  </w:rPr>
                  <w:t>Judgment Tatum Sheperd v Claremont Holdings (PTY) LTD NCT/220990/2022/75(1) (b)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5F93"/>
    <w:multiLevelType w:val="hybridMultilevel"/>
    <w:tmpl w:val="8ED03292"/>
    <w:lvl w:ilvl="0" w:tplc="9290232A">
      <w:start w:val="1"/>
      <w:numFmt w:val="decimal"/>
      <w:lvlText w:val="%1."/>
      <w:lvlJc w:val="left"/>
      <w:pPr>
        <w:ind w:left="674" w:hanging="563"/>
        <w:jc w:val="left"/>
      </w:pPr>
      <w:rPr>
        <w:rFonts w:ascii="Tahoma" w:eastAsia="Tahoma" w:hAnsi="Tahoma" w:cs="Tahoma" w:hint="default"/>
        <w:spacing w:val="-37"/>
        <w:w w:val="100"/>
        <w:sz w:val="24"/>
        <w:szCs w:val="24"/>
        <w:lang w:val="en-ZA" w:eastAsia="en-ZA" w:bidi="en-ZA"/>
      </w:rPr>
    </w:lvl>
    <w:lvl w:ilvl="1" w:tplc="56848138">
      <w:numFmt w:val="bullet"/>
      <w:lvlText w:val="•"/>
      <w:lvlJc w:val="left"/>
      <w:pPr>
        <w:ind w:left="1598" w:hanging="563"/>
      </w:pPr>
      <w:rPr>
        <w:rFonts w:hint="default"/>
        <w:lang w:val="en-ZA" w:eastAsia="en-ZA" w:bidi="en-ZA"/>
      </w:rPr>
    </w:lvl>
    <w:lvl w:ilvl="2" w:tplc="DE3C650E">
      <w:numFmt w:val="bullet"/>
      <w:lvlText w:val="•"/>
      <w:lvlJc w:val="left"/>
      <w:pPr>
        <w:ind w:left="2517" w:hanging="563"/>
      </w:pPr>
      <w:rPr>
        <w:rFonts w:hint="default"/>
        <w:lang w:val="en-ZA" w:eastAsia="en-ZA" w:bidi="en-ZA"/>
      </w:rPr>
    </w:lvl>
    <w:lvl w:ilvl="3" w:tplc="48126288">
      <w:numFmt w:val="bullet"/>
      <w:lvlText w:val="•"/>
      <w:lvlJc w:val="left"/>
      <w:pPr>
        <w:ind w:left="3435" w:hanging="563"/>
      </w:pPr>
      <w:rPr>
        <w:rFonts w:hint="default"/>
        <w:lang w:val="en-ZA" w:eastAsia="en-ZA" w:bidi="en-ZA"/>
      </w:rPr>
    </w:lvl>
    <w:lvl w:ilvl="4" w:tplc="759C56E8">
      <w:numFmt w:val="bullet"/>
      <w:lvlText w:val="•"/>
      <w:lvlJc w:val="left"/>
      <w:pPr>
        <w:ind w:left="4354" w:hanging="563"/>
      </w:pPr>
      <w:rPr>
        <w:rFonts w:hint="default"/>
        <w:lang w:val="en-ZA" w:eastAsia="en-ZA" w:bidi="en-ZA"/>
      </w:rPr>
    </w:lvl>
    <w:lvl w:ilvl="5" w:tplc="5A40A278">
      <w:numFmt w:val="bullet"/>
      <w:lvlText w:val="•"/>
      <w:lvlJc w:val="left"/>
      <w:pPr>
        <w:ind w:left="5273" w:hanging="563"/>
      </w:pPr>
      <w:rPr>
        <w:rFonts w:hint="default"/>
        <w:lang w:val="en-ZA" w:eastAsia="en-ZA" w:bidi="en-ZA"/>
      </w:rPr>
    </w:lvl>
    <w:lvl w:ilvl="6" w:tplc="62A0EB78">
      <w:numFmt w:val="bullet"/>
      <w:lvlText w:val="•"/>
      <w:lvlJc w:val="left"/>
      <w:pPr>
        <w:ind w:left="6191" w:hanging="563"/>
      </w:pPr>
      <w:rPr>
        <w:rFonts w:hint="default"/>
        <w:lang w:val="en-ZA" w:eastAsia="en-ZA" w:bidi="en-ZA"/>
      </w:rPr>
    </w:lvl>
    <w:lvl w:ilvl="7" w:tplc="DABACB08">
      <w:numFmt w:val="bullet"/>
      <w:lvlText w:val="•"/>
      <w:lvlJc w:val="left"/>
      <w:pPr>
        <w:ind w:left="7110" w:hanging="563"/>
      </w:pPr>
      <w:rPr>
        <w:rFonts w:hint="default"/>
        <w:lang w:val="en-ZA" w:eastAsia="en-ZA" w:bidi="en-ZA"/>
      </w:rPr>
    </w:lvl>
    <w:lvl w:ilvl="8" w:tplc="7E6C8DD4">
      <w:numFmt w:val="bullet"/>
      <w:lvlText w:val="•"/>
      <w:lvlJc w:val="left"/>
      <w:pPr>
        <w:ind w:left="8029" w:hanging="563"/>
      </w:pPr>
      <w:rPr>
        <w:rFonts w:hint="default"/>
        <w:lang w:val="en-ZA" w:eastAsia="en-ZA" w:bidi="en-ZA"/>
      </w:rPr>
    </w:lvl>
  </w:abstractNum>
  <w:abstractNum w:abstractNumId="1" w15:restartNumberingAfterBreak="0">
    <w:nsid w:val="6BD64F8F"/>
    <w:multiLevelType w:val="multilevel"/>
    <w:tmpl w:val="83B67738"/>
    <w:lvl w:ilvl="0">
      <w:start w:val="3"/>
      <w:numFmt w:val="decimal"/>
      <w:lvlText w:val="%1."/>
      <w:lvlJc w:val="left"/>
      <w:pPr>
        <w:ind w:left="679" w:hanging="567"/>
        <w:jc w:val="left"/>
      </w:pPr>
      <w:rPr>
        <w:rFonts w:ascii="Tahoma" w:eastAsia="Tahoma" w:hAnsi="Tahoma" w:cs="Tahoma" w:hint="default"/>
        <w:spacing w:val="-2"/>
        <w:w w:val="100"/>
        <w:sz w:val="24"/>
        <w:szCs w:val="24"/>
        <w:lang w:val="en-ZA" w:eastAsia="en-ZA" w:bidi="en-ZA"/>
      </w:rPr>
    </w:lvl>
    <w:lvl w:ilvl="1">
      <w:start w:val="1"/>
      <w:numFmt w:val="decimal"/>
      <w:lvlText w:val="%1.%2."/>
      <w:lvlJc w:val="left"/>
      <w:pPr>
        <w:ind w:left="833" w:hanging="721"/>
        <w:jc w:val="left"/>
      </w:pPr>
      <w:rPr>
        <w:rFonts w:ascii="Tahoma" w:eastAsia="Tahoma" w:hAnsi="Tahoma" w:cs="Tahoma" w:hint="default"/>
        <w:spacing w:val="-3"/>
        <w:w w:val="100"/>
        <w:sz w:val="24"/>
        <w:szCs w:val="24"/>
        <w:lang w:val="en-ZA" w:eastAsia="en-ZA" w:bidi="en-ZA"/>
      </w:rPr>
    </w:lvl>
    <w:lvl w:ilvl="2">
      <w:numFmt w:val="bullet"/>
      <w:lvlText w:val="•"/>
      <w:lvlJc w:val="left"/>
      <w:pPr>
        <w:ind w:left="960" w:hanging="721"/>
      </w:pPr>
      <w:rPr>
        <w:rFonts w:hint="default"/>
        <w:lang w:val="en-ZA" w:eastAsia="en-ZA" w:bidi="en-ZA"/>
      </w:rPr>
    </w:lvl>
    <w:lvl w:ilvl="3">
      <w:numFmt w:val="bullet"/>
      <w:lvlText w:val="•"/>
      <w:lvlJc w:val="left"/>
      <w:pPr>
        <w:ind w:left="2073" w:hanging="721"/>
      </w:pPr>
      <w:rPr>
        <w:rFonts w:hint="default"/>
        <w:lang w:val="en-ZA" w:eastAsia="en-ZA" w:bidi="en-ZA"/>
      </w:rPr>
    </w:lvl>
    <w:lvl w:ilvl="4">
      <w:numFmt w:val="bullet"/>
      <w:lvlText w:val="•"/>
      <w:lvlJc w:val="left"/>
      <w:pPr>
        <w:ind w:left="3186" w:hanging="721"/>
      </w:pPr>
      <w:rPr>
        <w:rFonts w:hint="default"/>
        <w:lang w:val="en-ZA" w:eastAsia="en-ZA" w:bidi="en-ZA"/>
      </w:rPr>
    </w:lvl>
    <w:lvl w:ilvl="5">
      <w:numFmt w:val="bullet"/>
      <w:lvlText w:val="•"/>
      <w:lvlJc w:val="left"/>
      <w:pPr>
        <w:ind w:left="4299" w:hanging="721"/>
      </w:pPr>
      <w:rPr>
        <w:rFonts w:hint="default"/>
        <w:lang w:val="en-ZA" w:eastAsia="en-ZA" w:bidi="en-ZA"/>
      </w:rPr>
    </w:lvl>
    <w:lvl w:ilvl="6">
      <w:numFmt w:val="bullet"/>
      <w:lvlText w:val="•"/>
      <w:lvlJc w:val="left"/>
      <w:pPr>
        <w:ind w:left="5413" w:hanging="721"/>
      </w:pPr>
      <w:rPr>
        <w:rFonts w:hint="default"/>
        <w:lang w:val="en-ZA" w:eastAsia="en-ZA" w:bidi="en-ZA"/>
      </w:rPr>
    </w:lvl>
    <w:lvl w:ilvl="7">
      <w:numFmt w:val="bullet"/>
      <w:lvlText w:val="•"/>
      <w:lvlJc w:val="left"/>
      <w:pPr>
        <w:ind w:left="6526" w:hanging="721"/>
      </w:pPr>
      <w:rPr>
        <w:rFonts w:hint="default"/>
        <w:lang w:val="en-ZA" w:eastAsia="en-ZA" w:bidi="en-ZA"/>
      </w:rPr>
    </w:lvl>
    <w:lvl w:ilvl="8">
      <w:numFmt w:val="bullet"/>
      <w:lvlText w:val="•"/>
      <w:lvlJc w:val="left"/>
      <w:pPr>
        <w:ind w:left="7639" w:hanging="721"/>
      </w:pPr>
      <w:rPr>
        <w:rFonts w:hint="default"/>
        <w:lang w:val="en-ZA" w:eastAsia="en-ZA" w:bidi="en-Z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B407C"/>
    <w:rsid w:val="00794A40"/>
    <w:rsid w:val="00AB407C"/>
    <w:rsid w:val="00DE64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07411B4-0FAE-4296-AB92-BE1BA4E3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n-ZA" w:eastAsia="en-ZA" w:bidi="en-ZA"/>
    </w:rPr>
  </w:style>
  <w:style w:type="paragraph" w:styleId="Heading1">
    <w:name w:val="heading 1"/>
    <w:basedOn w:val="Normal"/>
    <w:uiPriority w:val="1"/>
    <w:qFormat/>
    <w:pPr>
      <w:ind w:left="965"/>
      <w:jc w:val="both"/>
      <w:outlineLvl w:val="0"/>
    </w:pPr>
    <w:rPr>
      <w:i/>
      <w:sz w:val="25"/>
      <w:szCs w:val="25"/>
    </w:rPr>
  </w:style>
  <w:style w:type="paragraph" w:styleId="Heading2">
    <w:name w:val="heading 2"/>
    <w:basedOn w:val="Normal"/>
    <w:uiPriority w:val="1"/>
    <w:qFormat/>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9" w:right="10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Bruce</cp:lastModifiedBy>
  <cp:revision>2</cp:revision>
  <dcterms:created xsi:type="dcterms:W3CDTF">2023-04-13T08:12:00Z</dcterms:created>
  <dcterms:modified xsi:type="dcterms:W3CDTF">2023-04-13T12:27:00Z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for Microsoft 365</vt:lpwstr>
  </property>
  <property fmtid="{D5CDD505-2E9C-101B-9397-08002B2CF9AE}" pid="4" name="LastSaved">
    <vt:filetime>2023-04-13T00:00:00Z</vt:filetime>
  </property>
</Properties>
</file>