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F3" w:rsidRDefault="00472E58">
      <w:pPr>
        <w:pStyle w:val="Heading1"/>
        <w:spacing w:before="79" w:line="360" w:lineRule="auto"/>
        <w:ind w:left="3826" w:right="2611" w:hanging="1201"/>
      </w:pPr>
      <w:bookmarkStart w:id="0" w:name="_GoBack"/>
      <w:bookmarkEnd w:id="0"/>
      <w:r>
        <w:t>IN THE NATIONAL CONSUMER TRIBUNAL HELD IN CENTURION</w:t>
      </w:r>
    </w:p>
    <w:p w:rsidR="005873F3" w:rsidRDefault="005873F3">
      <w:pPr>
        <w:pStyle w:val="BodyText"/>
        <w:spacing w:before="10"/>
        <w:rPr>
          <w:b/>
          <w:sz w:val="35"/>
        </w:rPr>
      </w:pPr>
    </w:p>
    <w:p w:rsidR="005873F3" w:rsidRDefault="00472E58">
      <w:pPr>
        <w:ind w:left="5403"/>
        <w:rPr>
          <w:b/>
          <w:sz w:val="24"/>
        </w:rPr>
      </w:pPr>
      <w:r>
        <w:rPr>
          <w:sz w:val="24"/>
        </w:rPr>
        <w:t xml:space="preserve">Case number: </w:t>
      </w:r>
      <w:r>
        <w:rPr>
          <w:b/>
          <w:sz w:val="24"/>
        </w:rPr>
        <w:t>NCT/233738/2022/75(1)(b)</w:t>
      </w:r>
    </w:p>
    <w:p w:rsidR="005873F3" w:rsidRDefault="005873F3">
      <w:pPr>
        <w:pStyle w:val="BodyText"/>
        <w:rPr>
          <w:b/>
          <w:sz w:val="20"/>
        </w:rPr>
      </w:pPr>
    </w:p>
    <w:p w:rsidR="005873F3" w:rsidRDefault="005873F3">
      <w:pPr>
        <w:pStyle w:val="BodyText"/>
        <w:rPr>
          <w:b/>
          <w:sz w:val="20"/>
        </w:rPr>
      </w:pPr>
    </w:p>
    <w:p w:rsidR="005873F3" w:rsidRDefault="005873F3">
      <w:pPr>
        <w:pStyle w:val="BodyText"/>
        <w:spacing w:before="4"/>
        <w:rPr>
          <w:b/>
          <w:sz w:val="17"/>
        </w:rPr>
      </w:pPr>
    </w:p>
    <w:p w:rsidR="005873F3" w:rsidRDefault="00472E58">
      <w:pPr>
        <w:pStyle w:val="BodyText"/>
        <w:spacing w:before="92"/>
        <w:ind w:left="232"/>
      </w:pPr>
      <w:r>
        <w:t>In the matter between:</w:t>
      </w:r>
    </w:p>
    <w:p w:rsidR="005873F3" w:rsidRDefault="005873F3">
      <w:pPr>
        <w:pStyle w:val="BodyText"/>
        <w:rPr>
          <w:sz w:val="33"/>
        </w:rPr>
      </w:pPr>
    </w:p>
    <w:p w:rsidR="005873F3" w:rsidRDefault="00472E58">
      <w:pPr>
        <w:pStyle w:val="Heading1"/>
        <w:tabs>
          <w:tab w:val="left" w:pos="8490"/>
        </w:tabs>
        <w:rPr>
          <w:b w:val="0"/>
        </w:rPr>
      </w:pPr>
      <w:r>
        <w:t>JACOBUS JOHANNES STEPHANUS</w:t>
      </w:r>
      <w:r>
        <w:rPr>
          <w:spacing w:val="-4"/>
        </w:rPr>
        <w:t xml:space="preserve"> </w:t>
      </w:r>
      <w:r>
        <w:t>DU</w:t>
      </w:r>
      <w:r>
        <w:rPr>
          <w:spacing w:val="-1"/>
        </w:rPr>
        <w:t xml:space="preserve"> </w:t>
      </w:r>
      <w:r>
        <w:t>PLOOY</w:t>
      </w:r>
      <w:r>
        <w:tab/>
      </w:r>
      <w:r>
        <w:rPr>
          <w:b w:val="0"/>
        </w:rPr>
        <w:t>APPLICANT</w:t>
      </w:r>
    </w:p>
    <w:p w:rsidR="005873F3" w:rsidRDefault="005873F3">
      <w:pPr>
        <w:pStyle w:val="BodyText"/>
        <w:spacing w:before="9"/>
        <w:rPr>
          <w:sz w:val="32"/>
        </w:rPr>
      </w:pPr>
    </w:p>
    <w:p w:rsidR="005873F3" w:rsidRDefault="00472E58">
      <w:pPr>
        <w:pStyle w:val="BodyText"/>
        <w:ind w:left="232"/>
      </w:pPr>
      <w:r>
        <w:t>And</w:t>
      </w:r>
    </w:p>
    <w:p w:rsidR="005873F3" w:rsidRDefault="005873F3">
      <w:pPr>
        <w:pStyle w:val="BodyText"/>
        <w:spacing w:before="11"/>
        <w:rPr>
          <w:sz w:val="32"/>
        </w:rPr>
      </w:pPr>
    </w:p>
    <w:p w:rsidR="005873F3" w:rsidRDefault="00472E58">
      <w:pPr>
        <w:pStyle w:val="Heading1"/>
        <w:tabs>
          <w:tab w:val="left" w:pos="8202"/>
        </w:tabs>
        <w:rPr>
          <w:b w:val="0"/>
        </w:rPr>
      </w:pPr>
      <w:r>
        <w:t>PRETORIA BOSCH SERVICE CITTON SERVICE CENTRE</w:t>
      </w:r>
      <w:r>
        <w:rPr>
          <w:spacing w:val="-8"/>
        </w:rPr>
        <w:t xml:space="preserve"> </w:t>
      </w:r>
      <w:r>
        <w:t>(PTY)</w:t>
      </w:r>
      <w:r>
        <w:rPr>
          <w:spacing w:val="-4"/>
        </w:rPr>
        <w:t xml:space="preserve"> </w:t>
      </w:r>
      <w:r>
        <w:t>LTD</w:t>
      </w:r>
      <w:r>
        <w:tab/>
      </w:r>
      <w:r>
        <w:rPr>
          <w:b w:val="0"/>
        </w:rPr>
        <w:t>RESPONDENT</w:t>
      </w:r>
    </w:p>
    <w:p w:rsidR="005873F3" w:rsidRDefault="005873F3">
      <w:pPr>
        <w:pStyle w:val="BodyText"/>
        <w:rPr>
          <w:sz w:val="26"/>
        </w:rPr>
      </w:pPr>
    </w:p>
    <w:p w:rsidR="005873F3" w:rsidRDefault="005873F3">
      <w:pPr>
        <w:pStyle w:val="BodyText"/>
        <w:spacing w:before="1"/>
        <w:rPr>
          <w:sz w:val="22"/>
        </w:rPr>
      </w:pPr>
    </w:p>
    <w:p w:rsidR="005873F3" w:rsidRDefault="00472E58">
      <w:pPr>
        <w:pStyle w:val="BodyText"/>
        <w:ind w:left="232"/>
      </w:pPr>
      <w:r>
        <w:rPr>
          <w:u w:val="single"/>
        </w:rPr>
        <w:t>Coram:</w:t>
      </w:r>
    </w:p>
    <w:p w:rsidR="005873F3" w:rsidRDefault="00472E58">
      <w:pPr>
        <w:pStyle w:val="BodyText"/>
        <w:tabs>
          <w:tab w:val="left" w:pos="3180"/>
        </w:tabs>
        <w:spacing w:before="137" w:line="360" w:lineRule="auto"/>
        <w:ind w:left="232" w:right="3882"/>
      </w:pPr>
      <w:r>
        <w:t>Adv C</w:t>
      </w:r>
      <w:r>
        <w:rPr>
          <w:spacing w:val="-1"/>
        </w:rPr>
        <w:t xml:space="preserve"> </w:t>
      </w:r>
      <w:r>
        <w:t>Sassman</w:t>
      </w:r>
      <w:r>
        <w:tab/>
        <w:t>- Presiding Tribunal Member Ms</w:t>
      </w:r>
      <w:r>
        <w:rPr>
          <w:spacing w:val="-1"/>
        </w:rPr>
        <w:t xml:space="preserve"> </w:t>
      </w:r>
      <w:r>
        <w:t>P Manzi-Ntshingila</w:t>
      </w:r>
      <w:r>
        <w:tab/>
        <w:t>- Tribunal</w:t>
      </w:r>
      <w:r>
        <w:rPr>
          <w:spacing w:val="-1"/>
        </w:rPr>
        <w:t xml:space="preserve"> </w:t>
      </w:r>
      <w:r>
        <w:t>Member</w:t>
      </w:r>
    </w:p>
    <w:p w:rsidR="005873F3" w:rsidRDefault="00472E58">
      <w:pPr>
        <w:pStyle w:val="BodyText"/>
        <w:tabs>
          <w:tab w:val="left" w:pos="3180"/>
        </w:tabs>
        <w:ind w:left="232"/>
      </w:pPr>
      <w:r>
        <w:t>Mr</w:t>
      </w:r>
      <w:r>
        <w:rPr>
          <w:spacing w:val="-1"/>
        </w:rPr>
        <w:t xml:space="preserve"> </w:t>
      </w:r>
      <w:r>
        <w:t>C</w:t>
      </w:r>
      <w:r>
        <w:rPr>
          <w:spacing w:val="-1"/>
        </w:rPr>
        <w:t xml:space="preserve"> </w:t>
      </w:r>
      <w:r>
        <w:t>Ntsoane</w:t>
      </w:r>
      <w:r>
        <w:tab/>
        <w:t>- Tribunal</w:t>
      </w:r>
      <w:r>
        <w:rPr>
          <w:spacing w:val="-5"/>
        </w:rPr>
        <w:t xml:space="preserve"> </w:t>
      </w:r>
      <w:r>
        <w:t>Member</w:t>
      </w:r>
    </w:p>
    <w:p w:rsidR="005873F3" w:rsidRDefault="005873F3">
      <w:pPr>
        <w:pStyle w:val="BodyText"/>
        <w:rPr>
          <w:sz w:val="26"/>
        </w:rPr>
      </w:pPr>
    </w:p>
    <w:p w:rsidR="005873F3" w:rsidRDefault="005873F3">
      <w:pPr>
        <w:pStyle w:val="BodyText"/>
        <w:spacing w:before="11"/>
        <w:rPr>
          <w:sz w:val="21"/>
        </w:rPr>
      </w:pPr>
    </w:p>
    <w:p w:rsidR="005873F3" w:rsidRDefault="00472E58">
      <w:pPr>
        <w:pStyle w:val="BodyText"/>
        <w:tabs>
          <w:tab w:val="left" w:pos="3195"/>
        </w:tabs>
        <w:ind w:left="232"/>
      </w:pPr>
      <w:r>
        <w:t>Date</w:t>
      </w:r>
      <w:r>
        <w:rPr>
          <w:spacing w:val="-2"/>
        </w:rPr>
        <w:t xml:space="preserve"> </w:t>
      </w:r>
      <w:r>
        <w:t>of</w:t>
      </w:r>
      <w:r>
        <w:rPr>
          <w:spacing w:val="-1"/>
        </w:rPr>
        <w:t xml:space="preserve"> </w:t>
      </w:r>
      <w:r>
        <w:t>Hearing</w:t>
      </w:r>
      <w:r>
        <w:tab/>
        <w:t>- 23 February</w:t>
      </w:r>
      <w:r>
        <w:rPr>
          <w:spacing w:val="-7"/>
        </w:rPr>
        <w:t xml:space="preserve"> </w:t>
      </w:r>
      <w:r>
        <w:t>2023</w:t>
      </w:r>
    </w:p>
    <w:p w:rsidR="005873F3" w:rsidRDefault="00472E58">
      <w:pPr>
        <w:pStyle w:val="BodyText"/>
        <w:tabs>
          <w:tab w:val="left" w:pos="3195"/>
        </w:tabs>
        <w:spacing w:before="139"/>
        <w:ind w:left="232"/>
      </w:pPr>
      <w:r>
        <w:t>Date</w:t>
      </w:r>
      <w:r>
        <w:rPr>
          <w:spacing w:val="-2"/>
        </w:rPr>
        <w:t xml:space="preserve"> </w:t>
      </w:r>
      <w:r>
        <w:t>of</w:t>
      </w:r>
      <w:r>
        <w:rPr>
          <w:spacing w:val="-2"/>
        </w:rPr>
        <w:t xml:space="preserve"> </w:t>
      </w:r>
      <w:r>
        <w:t>Judgment</w:t>
      </w:r>
      <w:r>
        <w:tab/>
        <w:t>- 24 February</w:t>
      </w:r>
      <w:r>
        <w:rPr>
          <w:spacing w:val="-7"/>
        </w:rPr>
        <w:t xml:space="preserve"> </w:t>
      </w:r>
      <w:r>
        <w:t>2023</w:t>
      </w:r>
    </w:p>
    <w:p w:rsidR="005873F3" w:rsidRDefault="005873F3">
      <w:pPr>
        <w:pStyle w:val="BodyText"/>
        <w:rPr>
          <w:sz w:val="20"/>
        </w:rPr>
      </w:pPr>
    </w:p>
    <w:p w:rsidR="005873F3" w:rsidRDefault="00472E58">
      <w:pPr>
        <w:pStyle w:val="BodyText"/>
        <w:spacing w:before="9"/>
      </w:pPr>
      <w:r>
        <w:pict>
          <v:shapetype id="_x0000_t202" coordsize="21600,21600" o:spt="202" path="m,l,21600r21600,l21600,xe">
            <v:stroke joinstyle="miter"/>
            <v:path gradientshapeok="t" o:connecttype="rect"/>
          </v:shapetype>
          <v:shape id="_x0000_s1027" type="#_x0000_t202" style="position:absolute;margin-left:50.5pt;margin-top:16.95pt;width:494.3pt;height:44.7pt;z-index:-251658240;mso-wrap-distance-left:0;mso-wrap-distance-right:0;mso-position-horizontal-relative:page" filled="f" strokeweight="1.44pt">
            <v:textbox inset="0,0,0,0">
              <w:txbxContent>
                <w:p w:rsidR="005873F3" w:rsidRDefault="005873F3">
                  <w:pPr>
                    <w:pStyle w:val="BodyText"/>
                    <w:spacing w:before="8"/>
                    <w:rPr>
                      <w:sz w:val="25"/>
                    </w:rPr>
                  </w:pPr>
                </w:p>
                <w:p w:rsidR="005873F3" w:rsidRDefault="00472E58">
                  <w:pPr>
                    <w:ind w:left="3315" w:right="3315"/>
                    <w:jc w:val="center"/>
                    <w:rPr>
                      <w:b/>
                      <w:sz w:val="24"/>
                    </w:rPr>
                  </w:pPr>
                  <w:r>
                    <w:rPr>
                      <w:b/>
                      <w:sz w:val="24"/>
                    </w:rPr>
                    <w:t>JUDGMENT AND REASONS</w:t>
                  </w:r>
                </w:p>
              </w:txbxContent>
            </v:textbox>
            <w10:wrap type="topAndBottom" anchorx="page"/>
          </v:shape>
        </w:pict>
      </w:r>
    </w:p>
    <w:p w:rsidR="005873F3" w:rsidRDefault="005873F3">
      <w:pPr>
        <w:pStyle w:val="BodyText"/>
        <w:rPr>
          <w:sz w:val="20"/>
        </w:rPr>
      </w:pPr>
    </w:p>
    <w:p w:rsidR="005873F3" w:rsidRDefault="005873F3">
      <w:pPr>
        <w:pStyle w:val="BodyText"/>
        <w:rPr>
          <w:sz w:val="20"/>
        </w:rPr>
      </w:pPr>
    </w:p>
    <w:p w:rsidR="005873F3" w:rsidRDefault="005873F3">
      <w:pPr>
        <w:pStyle w:val="BodyText"/>
        <w:spacing w:before="4"/>
        <w:rPr>
          <w:sz w:val="23"/>
        </w:rPr>
      </w:pPr>
    </w:p>
    <w:p w:rsidR="005873F3" w:rsidRDefault="00472E58">
      <w:pPr>
        <w:pStyle w:val="Heading1"/>
        <w:spacing w:before="1"/>
      </w:pPr>
      <w:r>
        <w:t>THE PARTIES</w:t>
      </w:r>
    </w:p>
    <w:p w:rsidR="005873F3" w:rsidRDefault="005873F3">
      <w:pPr>
        <w:pStyle w:val="BodyText"/>
        <w:spacing w:before="11"/>
        <w:rPr>
          <w:b/>
          <w:sz w:val="32"/>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1.</w:t>
      </w:r>
      <w:r>
        <w:rPr>
          <w:spacing w:val="-32"/>
          <w:w w:val="99"/>
          <w:sz w:val="24"/>
          <w:szCs w:val="24"/>
        </w:rPr>
        <w:tab/>
      </w:r>
      <w:r w:rsidR="00472E58" w:rsidRPr="00C75354">
        <w:rPr>
          <w:sz w:val="24"/>
        </w:rPr>
        <w:t>The Applicant in this matter is Jacobus Johannes Stephanus Du Plooy (“the Applicant”). The Applicant is a consumer, as defined in section 1 of the Consumer Protection Act 68 of 2008 (“the CPA” or “the Act”). At the hearing, the Applicant represented</w:t>
      </w:r>
      <w:r w:rsidR="00472E58" w:rsidRPr="00C75354">
        <w:rPr>
          <w:spacing w:val="-3"/>
          <w:sz w:val="24"/>
        </w:rPr>
        <w:t xml:space="preserve"> </w:t>
      </w:r>
      <w:r w:rsidR="00472E58" w:rsidRPr="00C75354">
        <w:rPr>
          <w:sz w:val="24"/>
        </w:rPr>
        <w:t>himsel</w:t>
      </w:r>
      <w:r w:rsidR="00472E58" w:rsidRPr="00C75354">
        <w:rPr>
          <w:sz w:val="24"/>
        </w:rPr>
        <w:t>f.</w:t>
      </w:r>
    </w:p>
    <w:p w:rsidR="005873F3" w:rsidRDefault="005873F3">
      <w:pPr>
        <w:pStyle w:val="BodyText"/>
        <w:spacing w:before="11"/>
        <w:rPr>
          <w:sz w:val="35"/>
        </w:rPr>
      </w:pPr>
    </w:p>
    <w:p w:rsidR="005873F3" w:rsidRPr="00C75354" w:rsidRDefault="00C75354" w:rsidP="00C75354">
      <w:pPr>
        <w:tabs>
          <w:tab w:val="left" w:pos="661"/>
        </w:tabs>
        <w:spacing w:line="360" w:lineRule="auto"/>
        <w:ind w:left="660" w:right="227" w:hanging="428"/>
        <w:jc w:val="both"/>
        <w:rPr>
          <w:sz w:val="24"/>
        </w:rPr>
      </w:pPr>
      <w:r>
        <w:rPr>
          <w:spacing w:val="-32"/>
          <w:w w:val="99"/>
          <w:sz w:val="24"/>
          <w:szCs w:val="24"/>
        </w:rPr>
        <w:t>2.</w:t>
      </w:r>
      <w:r>
        <w:rPr>
          <w:spacing w:val="-32"/>
          <w:w w:val="99"/>
          <w:sz w:val="24"/>
          <w:szCs w:val="24"/>
        </w:rPr>
        <w:tab/>
      </w:r>
      <w:r w:rsidR="00472E58" w:rsidRPr="00C75354">
        <w:rPr>
          <w:sz w:val="24"/>
        </w:rPr>
        <w:t>The Respondent is Pretoria Bosch Service Citton Service Centre (Pty) Ltd (“the Respondent”). The Respondent is a supplier, as defined in section 1 of the CPA. The Respondent did not file an answering affidavit within the prescribed time. However, at the he</w:t>
      </w:r>
      <w:r w:rsidR="00472E58" w:rsidRPr="00C75354">
        <w:rPr>
          <w:sz w:val="24"/>
        </w:rPr>
        <w:t>aring, the Respondent’s representative, Danie Van Zyl, an attorney with Danie Van Zyl Attorneys, appeared and requested an indulgence to be</w:t>
      </w:r>
      <w:r w:rsidR="00472E58" w:rsidRPr="00C75354">
        <w:rPr>
          <w:spacing w:val="-9"/>
          <w:sz w:val="24"/>
        </w:rPr>
        <w:t xml:space="preserve"> </w:t>
      </w:r>
      <w:r w:rsidR="00472E58" w:rsidRPr="00C75354">
        <w:rPr>
          <w:sz w:val="24"/>
        </w:rPr>
        <w:t>heard.</w:t>
      </w:r>
    </w:p>
    <w:p w:rsidR="005873F3" w:rsidRDefault="005873F3">
      <w:pPr>
        <w:spacing w:line="360" w:lineRule="auto"/>
        <w:jc w:val="both"/>
        <w:rPr>
          <w:sz w:val="24"/>
        </w:rPr>
        <w:sectPr w:rsidR="005873F3">
          <w:type w:val="continuous"/>
          <w:pgSz w:w="11910" w:h="16840"/>
          <w:pgMar w:top="760" w:right="900" w:bottom="280" w:left="900" w:header="720" w:footer="720" w:gutter="0"/>
          <w:cols w:space="720"/>
        </w:sectPr>
      </w:pPr>
    </w:p>
    <w:p w:rsidR="005873F3" w:rsidRDefault="00472E58">
      <w:pPr>
        <w:pStyle w:val="Heading1"/>
        <w:spacing w:before="79"/>
      </w:pPr>
      <w:r>
        <w:lastRenderedPageBreak/>
        <w:t>TERMINOLOGY</w:t>
      </w:r>
    </w:p>
    <w:p w:rsidR="005873F3" w:rsidRDefault="005873F3">
      <w:pPr>
        <w:pStyle w:val="BodyText"/>
        <w:spacing w:before="8"/>
        <w:rPr>
          <w:b/>
          <w:sz w:val="32"/>
        </w:rPr>
      </w:pPr>
    </w:p>
    <w:p w:rsidR="005873F3" w:rsidRPr="00C75354" w:rsidRDefault="00C75354" w:rsidP="00C75354">
      <w:pPr>
        <w:tabs>
          <w:tab w:val="left" w:pos="660"/>
          <w:tab w:val="left" w:pos="661"/>
        </w:tabs>
        <w:ind w:left="660" w:hanging="429"/>
        <w:rPr>
          <w:sz w:val="24"/>
        </w:rPr>
      </w:pPr>
      <w:r>
        <w:rPr>
          <w:spacing w:val="-32"/>
          <w:w w:val="99"/>
          <w:sz w:val="24"/>
          <w:szCs w:val="24"/>
        </w:rPr>
        <w:t>3.</w:t>
      </w:r>
      <w:r>
        <w:rPr>
          <w:spacing w:val="-32"/>
          <w:w w:val="99"/>
          <w:sz w:val="24"/>
          <w:szCs w:val="24"/>
        </w:rPr>
        <w:tab/>
      </w:r>
      <w:r w:rsidR="00472E58" w:rsidRPr="00C75354">
        <w:rPr>
          <w:sz w:val="24"/>
        </w:rPr>
        <w:t>A reference to a section in this judgment refers to a section of the</w:t>
      </w:r>
      <w:r w:rsidR="00472E58" w:rsidRPr="00C75354">
        <w:rPr>
          <w:spacing w:val="-3"/>
          <w:sz w:val="24"/>
        </w:rPr>
        <w:t xml:space="preserve"> </w:t>
      </w:r>
      <w:r w:rsidR="00472E58" w:rsidRPr="00C75354">
        <w:rPr>
          <w:sz w:val="24"/>
        </w:rPr>
        <w:t>CPA.</w:t>
      </w:r>
    </w:p>
    <w:p w:rsidR="005873F3" w:rsidRDefault="005873F3">
      <w:pPr>
        <w:pStyle w:val="BodyText"/>
        <w:spacing w:before="7"/>
        <w:rPr>
          <w:sz w:val="32"/>
        </w:rPr>
      </w:pPr>
    </w:p>
    <w:p w:rsidR="005873F3" w:rsidRPr="00C75354" w:rsidRDefault="00C75354" w:rsidP="00C75354">
      <w:pPr>
        <w:tabs>
          <w:tab w:val="left" w:pos="650"/>
          <w:tab w:val="left" w:pos="651"/>
        </w:tabs>
        <w:ind w:left="650" w:hanging="419"/>
        <w:rPr>
          <w:sz w:val="24"/>
        </w:rPr>
      </w:pPr>
      <w:r>
        <w:rPr>
          <w:spacing w:val="-32"/>
          <w:w w:val="99"/>
          <w:sz w:val="24"/>
          <w:szCs w:val="24"/>
        </w:rPr>
        <w:t>4.</w:t>
      </w:r>
      <w:r>
        <w:rPr>
          <w:spacing w:val="-32"/>
          <w:w w:val="99"/>
          <w:sz w:val="24"/>
          <w:szCs w:val="24"/>
        </w:rPr>
        <w:tab/>
      </w:r>
      <w:r w:rsidR="00472E58" w:rsidRPr="00C75354">
        <w:rPr>
          <w:sz w:val="24"/>
        </w:rPr>
        <w:t>A ref</w:t>
      </w:r>
      <w:r w:rsidR="00472E58" w:rsidRPr="00C75354">
        <w:rPr>
          <w:sz w:val="24"/>
        </w:rPr>
        <w:t>erence to a rule in this judgment refers to the Rules of the</w:t>
      </w:r>
      <w:r w:rsidR="00472E58" w:rsidRPr="00C75354">
        <w:rPr>
          <w:spacing w:val="-14"/>
          <w:sz w:val="24"/>
        </w:rPr>
        <w:t xml:space="preserve"> </w:t>
      </w:r>
      <w:r w:rsidR="00472E58" w:rsidRPr="00C75354">
        <w:rPr>
          <w:sz w:val="24"/>
        </w:rPr>
        <w:t>Tribunal</w:t>
      </w:r>
      <w:r w:rsidR="00472E58" w:rsidRPr="00C75354">
        <w:rPr>
          <w:position w:val="8"/>
          <w:sz w:val="16"/>
        </w:rPr>
        <w:t>1</w:t>
      </w:r>
      <w:r w:rsidR="00472E58" w:rsidRPr="00C75354">
        <w:rPr>
          <w:sz w:val="24"/>
        </w:rPr>
        <w:t>.</w:t>
      </w:r>
    </w:p>
    <w:p w:rsidR="005873F3" w:rsidRDefault="005873F3">
      <w:pPr>
        <w:pStyle w:val="BodyText"/>
        <w:spacing w:before="9"/>
        <w:rPr>
          <w:sz w:val="32"/>
        </w:rPr>
      </w:pPr>
    </w:p>
    <w:p w:rsidR="005873F3" w:rsidRDefault="00472E58">
      <w:pPr>
        <w:pStyle w:val="Heading1"/>
      </w:pPr>
      <w:r>
        <w:t>APPLICATION TYPE</w:t>
      </w:r>
    </w:p>
    <w:p w:rsidR="005873F3" w:rsidRDefault="005873F3">
      <w:pPr>
        <w:pStyle w:val="BodyText"/>
        <w:rPr>
          <w:b/>
          <w:sz w:val="33"/>
        </w:rPr>
      </w:pPr>
    </w:p>
    <w:p w:rsidR="005873F3" w:rsidRPr="00C75354" w:rsidRDefault="00C75354" w:rsidP="00C75354">
      <w:pPr>
        <w:tabs>
          <w:tab w:val="left" w:pos="661"/>
        </w:tabs>
        <w:spacing w:line="360" w:lineRule="auto"/>
        <w:ind w:left="660" w:right="235" w:hanging="428"/>
        <w:jc w:val="both"/>
        <w:rPr>
          <w:sz w:val="24"/>
        </w:rPr>
      </w:pPr>
      <w:r>
        <w:rPr>
          <w:spacing w:val="-32"/>
          <w:w w:val="99"/>
          <w:sz w:val="24"/>
          <w:szCs w:val="24"/>
        </w:rPr>
        <w:t>5.</w:t>
      </w:r>
      <w:r>
        <w:rPr>
          <w:spacing w:val="-32"/>
          <w:w w:val="99"/>
          <w:sz w:val="24"/>
          <w:szCs w:val="24"/>
        </w:rPr>
        <w:tab/>
      </w:r>
      <w:r w:rsidR="00472E58" w:rsidRPr="00C75354">
        <w:rPr>
          <w:sz w:val="24"/>
        </w:rPr>
        <w:t>This is an application in terms of section 75(1)(b). In this application, the Applicant, with leave granted by the Tribunal, seeks redress against the</w:t>
      </w:r>
      <w:r w:rsidR="00472E58" w:rsidRPr="00C75354">
        <w:rPr>
          <w:spacing w:val="-12"/>
          <w:sz w:val="24"/>
        </w:rPr>
        <w:t xml:space="preserve"> </w:t>
      </w:r>
      <w:r w:rsidR="00472E58" w:rsidRPr="00C75354">
        <w:rPr>
          <w:sz w:val="24"/>
        </w:rPr>
        <w:t>Respondent.</w:t>
      </w:r>
    </w:p>
    <w:p w:rsidR="005873F3" w:rsidRDefault="005873F3">
      <w:pPr>
        <w:pStyle w:val="BodyText"/>
        <w:spacing w:before="10"/>
        <w:rPr>
          <w:sz w:val="35"/>
        </w:rPr>
      </w:pPr>
    </w:p>
    <w:p w:rsidR="005873F3" w:rsidRPr="00C75354" w:rsidRDefault="00C75354" w:rsidP="00C75354">
      <w:pPr>
        <w:tabs>
          <w:tab w:val="left" w:pos="661"/>
        </w:tabs>
        <w:spacing w:line="360" w:lineRule="auto"/>
        <w:ind w:left="660" w:right="228" w:hanging="428"/>
        <w:jc w:val="both"/>
        <w:rPr>
          <w:sz w:val="24"/>
        </w:rPr>
      </w:pPr>
      <w:r>
        <w:rPr>
          <w:spacing w:val="-32"/>
          <w:w w:val="99"/>
          <w:sz w:val="24"/>
          <w:szCs w:val="24"/>
        </w:rPr>
        <w:t>6.</w:t>
      </w:r>
      <w:r>
        <w:rPr>
          <w:spacing w:val="-32"/>
          <w:w w:val="99"/>
          <w:sz w:val="24"/>
          <w:szCs w:val="24"/>
        </w:rPr>
        <w:tab/>
      </w:r>
      <w:r w:rsidR="00472E58" w:rsidRPr="00C75354">
        <w:rPr>
          <w:sz w:val="24"/>
        </w:rPr>
        <w:t>T</w:t>
      </w:r>
      <w:r w:rsidR="00472E58" w:rsidRPr="00C75354">
        <w:rPr>
          <w:sz w:val="24"/>
        </w:rPr>
        <w:t>he Applicant alleges that the Respondent contravened section 54(1) by failing to repair a vehicle as required in terms of the</w:t>
      </w:r>
      <w:r w:rsidR="00472E58" w:rsidRPr="00C75354">
        <w:rPr>
          <w:spacing w:val="-8"/>
          <w:sz w:val="24"/>
        </w:rPr>
        <w:t xml:space="preserve"> </w:t>
      </w:r>
      <w:r w:rsidR="00472E58" w:rsidRPr="00C75354">
        <w:rPr>
          <w:sz w:val="24"/>
        </w:rPr>
        <w:t>Act.</w:t>
      </w:r>
    </w:p>
    <w:p w:rsidR="005873F3" w:rsidRDefault="005873F3">
      <w:pPr>
        <w:pStyle w:val="BodyText"/>
        <w:rPr>
          <w:sz w:val="26"/>
        </w:rPr>
      </w:pPr>
    </w:p>
    <w:p w:rsidR="005873F3" w:rsidRDefault="00472E58">
      <w:pPr>
        <w:pStyle w:val="Heading1"/>
        <w:spacing w:before="155"/>
      </w:pPr>
      <w:r>
        <w:t>PROCEEDING ON A DEFAULT BASIS</w:t>
      </w:r>
    </w:p>
    <w:p w:rsidR="005873F3" w:rsidRDefault="005873F3">
      <w:pPr>
        <w:pStyle w:val="BodyText"/>
        <w:spacing w:before="9"/>
        <w:rPr>
          <w:b/>
          <w:sz w:val="32"/>
        </w:rPr>
      </w:pPr>
    </w:p>
    <w:p w:rsidR="005873F3" w:rsidRPr="00C75354" w:rsidRDefault="00C75354" w:rsidP="00C75354">
      <w:pPr>
        <w:tabs>
          <w:tab w:val="left" w:pos="661"/>
        </w:tabs>
        <w:spacing w:line="360" w:lineRule="auto"/>
        <w:ind w:left="660" w:right="238" w:hanging="428"/>
        <w:jc w:val="both"/>
        <w:rPr>
          <w:sz w:val="24"/>
        </w:rPr>
      </w:pPr>
      <w:r>
        <w:rPr>
          <w:spacing w:val="-32"/>
          <w:w w:val="99"/>
          <w:sz w:val="24"/>
          <w:szCs w:val="24"/>
        </w:rPr>
        <w:t>7.</w:t>
      </w:r>
      <w:r>
        <w:rPr>
          <w:spacing w:val="-32"/>
          <w:w w:val="99"/>
          <w:sz w:val="24"/>
          <w:szCs w:val="24"/>
        </w:rPr>
        <w:tab/>
      </w:r>
      <w:r w:rsidR="00472E58" w:rsidRPr="00C75354">
        <w:rPr>
          <w:sz w:val="24"/>
        </w:rPr>
        <w:t>On 20 June 2022, the Applicant filed the application with the Tribunal and served a copy of the application on the Respondent in person. The Tribunal’s Registrar (“the Registrar”) issued a notice of filing to all the parties on 15 August</w:t>
      </w:r>
      <w:r w:rsidR="00472E58" w:rsidRPr="00C75354">
        <w:rPr>
          <w:spacing w:val="-17"/>
          <w:sz w:val="24"/>
        </w:rPr>
        <w:t xml:space="preserve"> </w:t>
      </w:r>
      <w:r w:rsidR="00472E58" w:rsidRPr="00C75354">
        <w:rPr>
          <w:sz w:val="24"/>
        </w:rPr>
        <w:t>2022.</w:t>
      </w:r>
    </w:p>
    <w:p w:rsidR="005873F3" w:rsidRDefault="005873F3">
      <w:pPr>
        <w:pStyle w:val="BodyText"/>
        <w:spacing w:before="9"/>
        <w:rPr>
          <w:sz w:val="20"/>
        </w:rPr>
      </w:pPr>
    </w:p>
    <w:p w:rsidR="005873F3" w:rsidRPr="00C75354" w:rsidRDefault="00C75354" w:rsidP="00C75354">
      <w:pPr>
        <w:tabs>
          <w:tab w:val="left" w:pos="661"/>
        </w:tabs>
        <w:spacing w:line="360" w:lineRule="auto"/>
        <w:ind w:left="660" w:right="230" w:hanging="428"/>
        <w:jc w:val="both"/>
        <w:rPr>
          <w:sz w:val="24"/>
        </w:rPr>
      </w:pPr>
      <w:r>
        <w:rPr>
          <w:spacing w:val="-32"/>
          <w:w w:val="99"/>
          <w:sz w:val="24"/>
          <w:szCs w:val="24"/>
        </w:rPr>
        <w:t>8.</w:t>
      </w:r>
      <w:r>
        <w:rPr>
          <w:spacing w:val="-32"/>
          <w:w w:val="99"/>
          <w:sz w:val="24"/>
          <w:szCs w:val="24"/>
        </w:rPr>
        <w:tab/>
      </w:r>
      <w:r w:rsidR="00472E58" w:rsidRPr="00C75354">
        <w:rPr>
          <w:sz w:val="24"/>
        </w:rPr>
        <w:t>In terms of</w:t>
      </w:r>
      <w:r w:rsidR="00472E58" w:rsidRPr="00C75354">
        <w:rPr>
          <w:sz w:val="24"/>
        </w:rPr>
        <w:t xml:space="preserve"> Rule 13(2), the Respondent had 15 business days to serve an answering affidavit and file it with the Registrar. However, the Respondent failed to do so in the prescribed</w:t>
      </w:r>
      <w:r w:rsidR="00472E58" w:rsidRPr="00C75354">
        <w:rPr>
          <w:spacing w:val="-1"/>
          <w:sz w:val="24"/>
        </w:rPr>
        <w:t xml:space="preserve"> </w:t>
      </w:r>
      <w:r w:rsidR="00472E58" w:rsidRPr="00C75354">
        <w:rPr>
          <w:sz w:val="24"/>
        </w:rPr>
        <w:t>time.</w:t>
      </w:r>
    </w:p>
    <w:p w:rsidR="005873F3" w:rsidRDefault="005873F3">
      <w:pPr>
        <w:pStyle w:val="BodyText"/>
        <w:rPr>
          <w:sz w:val="21"/>
        </w:rPr>
      </w:pPr>
    </w:p>
    <w:p w:rsidR="005873F3" w:rsidRPr="00C75354" w:rsidRDefault="00C75354" w:rsidP="00C75354">
      <w:pPr>
        <w:tabs>
          <w:tab w:val="left" w:pos="660"/>
          <w:tab w:val="left" w:pos="661"/>
        </w:tabs>
        <w:ind w:left="660" w:hanging="429"/>
        <w:rPr>
          <w:sz w:val="24"/>
        </w:rPr>
      </w:pPr>
      <w:r>
        <w:rPr>
          <w:spacing w:val="-32"/>
          <w:w w:val="99"/>
          <w:sz w:val="24"/>
          <w:szCs w:val="24"/>
        </w:rPr>
        <w:t>9.</w:t>
      </w:r>
      <w:r>
        <w:rPr>
          <w:spacing w:val="-32"/>
          <w:w w:val="99"/>
          <w:sz w:val="24"/>
          <w:szCs w:val="24"/>
        </w:rPr>
        <w:tab/>
      </w:r>
      <w:r w:rsidR="00472E58" w:rsidRPr="00C75354">
        <w:rPr>
          <w:sz w:val="24"/>
        </w:rPr>
        <w:t>The Applicant did not file an application for a default order in terms of Rule</w:t>
      </w:r>
      <w:r w:rsidR="00472E58" w:rsidRPr="00C75354">
        <w:rPr>
          <w:spacing w:val="-17"/>
          <w:sz w:val="24"/>
        </w:rPr>
        <w:t xml:space="preserve"> </w:t>
      </w:r>
      <w:r w:rsidR="00472E58" w:rsidRPr="00C75354">
        <w:rPr>
          <w:sz w:val="24"/>
        </w:rPr>
        <w:t>25(2).</w:t>
      </w:r>
    </w:p>
    <w:p w:rsidR="005873F3" w:rsidRDefault="005873F3">
      <w:pPr>
        <w:pStyle w:val="BodyText"/>
        <w:spacing w:before="9"/>
        <w:rPr>
          <w:sz w:val="32"/>
        </w:rPr>
      </w:pPr>
    </w:p>
    <w:p w:rsidR="005873F3" w:rsidRPr="00C75354" w:rsidRDefault="00C75354" w:rsidP="00C75354">
      <w:pPr>
        <w:tabs>
          <w:tab w:val="left" w:pos="661"/>
        </w:tabs>
        <w:spacing w:line="360" w:lineRule="auto"/>
        <w:ind w:left="660" w:right="238" w:hanging="428"/>
        <w:jc w:val="both"/>
        <w:rPr>
          <w:sz w:val="24"/>
        </w:rPr>
      </w:pPr>
      <w:r>
        <w:rPr>
          <w:spacing w:val="-32"/>
          <w:w w:val="99"/>
          <w:sz w:val="24"/>
          <w:szCs w:val="24"/>
        </w:rPr>
        <w:t>10.</w:t>
      </w:r>
      <w:r>
        <w:rPr>
          <w:spacing w:val="-32"/>
          <w:w w:val="99"/>
          <w:sz w:val="24"/>
          <w:szCs w:val="24"/>
        </w:rPr>
        <w:tab/>
      </w:r>
      <w:r w:rsidR="00472E58" w:rsidRPr="00C75354">
        <w:rPr>
          <w:sz w:val="24"/>
        </w:rPr>
        <w:t>Due to the pleadings being closed, the Registrar issued a notice of set down to all parties on 15 December 2022, setting the matter down for 23 February</w:t>
      </w:r>
      <w:r w:rsidR="00472E58" w:rsidRPr="00C75354">
        <w:rPr>
          <w:spacing w:val="-19"/>
          <w:sz w:val="24"/>
        </w:rPr>
        <w:t xml:space="preserve"> </w:t>
      </w:r>
      <w:r w:rsidR="00472E58" w:rsidRPr="00C75354">
        <w:rPr>
          <w:sz w:val="24"/>
        </w:rPr>
        <w:t>2023.</w:t>
      </w:r>
    </w:p>
    <w:p w:rsidR="005873F3" w:rsidRDefault="005873F3">
      <w:pPr>
        <w:pStyle w:val="BodyText"/>
        <w:spacing w:before="10"/>
        <w:rPr>
          <w:sz w:val="20"/>
        </w:rPr>
      </w:pPr>
    </w:p>
    <w:p w:rsidR="005873F3" w:rsidRPr="00C75354" w:rsidRDefault="00C75354" w:rsidP="00C75354">
      <w:pPr>
        <w:tabs>
          <w:tab w:val="left" w:pos="661"/>
        </w:tabs>
        <w:spacing w:line="360" w:lineRule="auto"/>
        <w:ind w:left="660" w:right="230" w:hanging="428"/>
        <w:jc w:val="both"/>
        <w:rPr>
          <w:sz w:val="24"/>
        </w:rPr>
      </w:pPr>
      <w:r>
        <w:rPr>
          <w:spacing w:val="-32"/>
          <w:w w:val="99"/>
          <w:sz w:val="24"/>
          <w:szCs w:val="24"/>
        </w:rPr>
        <w:t>11.</w:t>
      </w:r>
      <w:r>
        <w:rPr>
          <w:spacing w:val="-32"/>
          <w:w w:val="99"/>
          <w:sz w:val="24"/>
          <w:szCs w:val="24"/>
        </w:rPr>
        <w:tab/>
      </w:r>
      <w:r w:rsidR="00472E58" w:rsidRPr="00C75354">
        <w:rPr>
          <w:sz w:val="24"/>
        </w:rPr>
        <w:t xml:space="preserve">At the hearing, the Respondent’s representative requested an indulgence to be heard by </w:t>
      </w:r>
      <w:r w:rsidR="00472E58" w:rsidRPr="00C75354">
        <w:rPr>
          <w:sz w:val="24"/>
        </w:rPr>
        <w:t>the Tribunal. Mr Van Zyl indicated that he had filed a condonation application for  the late filing of the Respondent’s answering affidavit with the Registrar a day before the hearing. He served a copy on the Applicant by email. He requested that the heari</w:t>
      </w:r>
      <w:r w:rsidR="00472E58" w:rsidRPr="00C75354">
        <w:rPr>
          <w:sz w:val="24"/>
        </w:rPr>
        <w:t>ng be postponed to a later date to allow the Respondent to reply to the allegations.</w:t>
      </w:r>
    </w:p>
    <w:p w:rsidR="005873F3" w:rsidRDefault="005873F3">
      <w:pPr>
        <w:pStyle w:val="BodyText"/>
        <w:rPr>
          <w:sz w:val="21"/>
        </w:rPr>
      </w:pPr>
    </w:p>
    <w:p w:rsidR="005873F3" w:rsidRPr="00C75354" w:rsidRDefault="00C75354" w:rsidP="00C75354">
      <w:pPr>
        <w:tabs>
          <w:tab w:val="left" w:pos="661"/>
        </w:tabs>
        <w:spacing w:line="360" w:lineRule="auto"/>
        <w:ind w:left="660" w:right="227" w:hanging="428"/>
        <w:jc w:val="both"/>
        <w:rPr>
          <w:sz w:val="24"/>
        </w:rPr>
      </w:pPr>
      <w:r>
        <w:rPr>
          <w:spacing w:val="-32"/>
          <w:w w:val="99"/>
          <w:sz w:val="24"/>
          <w:szCs w:val="24"/>
        </w:rPr>
        <w:t>12.</w:t>
      </w:r>
      <w:r>
        <w:rPr>
          <w:spacing w:val="-32"/>
          <w:w w:val="99"/>
          <w:sz w:val="24"/>
          <w:szCs w:val="24"/>
        </w:rPr>
        <w:tab/>
      </w:r>
      <w:r w:rsidR="00472E58" w:rsidRPr="00C75354">
        <w:rPr>
          <w:sz w:val="24"/>
        </w:rPr>
        <w:t xml:space="preserve">The Respondent vehemently objected to any postponement and indicated that he </w:t>
      </w:r>
      <w:r w:rsidR="00472E58" w:rsidRPr="00C75354">
        <w:rPr>
          <w:spacing w:val="-2"/>
          <w:sz w:val="24"/>
        </w:rPr>
        <w:t xml:space="preserve">had </w:t>
      </w:r>
      <w:r w:rsidR="00472E58" w:rsidRPr="00C75354">
        <w:rPr>
          <w:sz w:val="24"/>
        </w:rPr>
        <w:t>gone to considerable lengths to arrange for two expert witnesses to testify and that Mr V</w:t>
      </w:r>
      <w:r w:rsidR="00472E58" w:rsidRPr="00C75354">
        <w:rPr>
          <w:sz w:val="24"/>
        </w:rPr>
        <w:t>an</w:t>
      </w:r>
      <w:r w:rsidR="00472E58" w:rsidRPr="00C75354">
        <w:rPr>
          <w:spacing w:val="20"/>
          <w:sz w:val="24"/>
        </w:rPr>
        <w:t xml:space="preserve"> </w:t>
      </w:r>
      <w:r w:rsidR="00472E58" w:rsidRPr="00C75354">
        <w:rPr>
          <w:sz w:val="24"/>
        </w:rPr>
        <w:t>Zyl</w:t>
      </w:r>
      <w:r w:rsidR="00472E58" w:rsidRPr="00C75354">
        <w:rPr>
          <w:spacing w:val="21"/>
          <w:sz w:val="24"/>
        </w:rPr>
        <w:t xml:space="preserve"> </w:t>
      </w:r>
      <w:r w:rsidR="00472E58" w:rsidRPr="00C75354">
        <w:rPr>
          <w:sz w:val="24"/>
        </w:rPr>
        <w:t>had</w:t>
      </w:r>
      <w:r w:rsidR="00472E58" w:rsidRPr="00C75354">
        <w:rPr>
          <w:spacing w:val="21"/>
          <w:sz w:val="24"/>
        </w:rPr>
        <w:t xml:space="preserve"> </w:t>
      </w:r>
      <w:r w:rsidR="00472E58" w:rsidRPr="00C75354">
        <w:rPr>
          <w:sz w:val="24"/>
        </w:rPr>
        <w:t>been</w:t>
      </w:r>
      <w:r w:rsidR="00472E58" w:rsidRPr="00C75354">
        <w:rPr>
          <w:spacing w:val="20"/>
          <w:sz w:val="24"/>
        </w:rPr>
        <w:t xml:space="preserve"> </w:t>
      </w:r>
      <w:r w:rsidR="00472E58" w:rsidRPr="00C75354">
        <w:rPr>
          <w:sz w:val="24"/>
        </w:rPr>
        <w:t>the</w:t>
      </w:r>
      <w:r w:rsidR="00472E58" w:rsidRPr="00C75354">
        <w:rPr>
          <w:spacing w:val="21"/>
          <w:sz w:val="24"/>
        </w:rPr>
        <w:t xml:space="preserve"> </w:t>
      </w:r>
      <w:r w:rsidR="00472E58" w:rsidRPr="00C75354">
        <w:rPr>
          <w:sz w:val="24"/>
        </w:rPr>
        <w:t>attorney</w:t>
      </w:r>
      <w:r w:rsidR="00472E58" w:rsidRPr="00C75354">
        <w:rPr>
          <w:spacing w:val="19"/>
          <w:sz w:val="24"/>
        </w:rPr>
        <w:t xml:space="preserve"> </w:t>
      </w:r>
      <w:r w:rsidR="00472E58" w:rsidRPr="00C75354">
        <w:rPr>
          <w:sz w:val="24"/>
        </w:rPr>
        <w:t>on</w:t>
      </w:r>
      <w:r w:rsidR="00472E58" w:rsidRPr="00C75354">
        <w:rPr>
          <w:spacing w:val="20"/>
          <w:sz w:val="24"/>
        </w:rPr>
        <w:t xml:space="preserve"> </w:t>
      </w:r>
      <w:r w:rsidR="00472E58" w:rsidRPr="00C75354">
        <w:rPr>
          <w:sz w:val="24"/>
        </w:rPr>
        <w:t>record</w:t>
      </w:r>
      <w:r w:rsidR="00472E58" w:rsidRPr="00C75354">
        <w:rPr>
          <w:spacing w:val="21"/>
          <w:sz w:val="24"/>
        </w:rPr>
        <w:t xml:space="preserve"> </w:t>
      </w:r>
      <w:r w:rsidR="00472E58" w:rsidRPr="00C75354">
        <w:rPr>
          <w:sz w:val="24"/>
        </w:rPr>
        <w:t>for</w:t>
      </w:r>
      <w:r w:rsidR="00472E58" w:rsidRPr="00C75354">
        <w:rPr>
          <w:spacing w:val="19"/>
          <w:sz w:val="24"/>
        </w:rPr>
        <w:t xml:space="preserve"> </w:t>
      </w:r>
      <w:r w:rsidR="00472E58" w:rsidRPr="00C75354">
        <w:rPr>
          <w:sz w:val="24"/>
        </w:rPr>
        <w:t>the</w:t>
      </w:r>
      <w:r w:rsidR="00472E58" w:rsidRPr="00C75354">
        <w:rPr>
          <w:spacing w:val="21"/>
          <w:sz w:val="24"/>
        </w:rPr>
        <w:t xml:space="preserve"> </w:t>
      </w:r>
      <w:r w:rsidR="00472E58" w:rsidRPr="00C75354">
        <w:rPr>
          <w:sz w:val="24"/>
        </w:rPr>
        <w:t>Respondent</w:t>
      </w:r>
      <w:r w:rsidR="00472E58" w:rsidRPr="00C75354">
        <w:rPr>
          <w:spacing w:val="22"/>
          <w:sz w:val="24"/>
        </w:rPr>
        <w:t xml:space="preserve"> </w:t>
      </w:r>
      <w:r w:rsidR="00472E58" w:rsidRPr="00C75354">
        <w:rPr>
          <w:sz w:val="24"/>
        </w:rPr>
        <w:t>since</w:t>
      </w:r>
      <w:r w:rsidR="00472E58" w:rsidRPr="00C75354">
        <w:rPr>
          <w:spacing w:val="23"/>
          <w:sz w:val="24"/>
        </w:rPr>
        <w:t xml:space="preserve"> </w:t>
      </w:r>
      <w:r w:rsidR="00472E58" w:rsidRPr="00C75354">
        <w:rPr>
          <w:sz w:val="24"/>
        </w:rPr>
        <w:t>August</w:t>
      </w:r>
      <w:r w:rsidR="00472E58" w:rsidRPr="00C75354">
        <w:rPr>
          <w:spacing w:val="23"/>
          <w:sz w:val="24"/>
        </w:rPr>
        <w:t xml:space="preserve"> </w:t>
      </w:r>
      <w:r w:rsidR="00472E58" w:rsidRPr="00C75354">
        <w:rPr>
          <w:sz w:val="24"/>
        </w:rPr>
        <w:t>2021.</w:t>
      </w:r>
      <w:r w:rsidR="00472E58" w:rsidRPr="00C75354">
        <w:rPr>
          <w:spacing w:val="33"/>
          <w:sz w:val="24"/>
        </w:rPr>
        <w:t xml:space="preserve"> </w:t>
      </w:r>
      <w:r w:rsidR="00472E58" w:rsidRPr="00C75354">
        <w:rPr>
          <w:sz w:val="24"/>
        </w:rPr>
        <w:t>He</w:t>
      </w:r>
    </w:p>
    <w:p w:rsidR="005873F3" w:rsidRDefault="00472E58">
      <w:pPr>
        <w:pStyle w:val="BodyText"/>
        <w:spacing w:before="9"/>
        <w:rPr>
          <w:sz w:val="20"/>
        </w:rPr>
      </w:pPr>
      <w:r>
        <w:pict>
          <v:shape id="_x0000_s1026" style="position:absolute;margin-left:56.65pt;margin-top:14.3pt;width:144.05pt;height:.1pt;z-index:-251657216;mso-wrap-distance-left:0;mso-wrap-distance-right:0;mso-position-horizontal-relative:page" coordorigin="1133,286" coordsize="2881,0" path="m1133,286r2881,e" filled="f" strokeweight=".72pt">
            <v:path arrowok="t"/>
            <w10:wrap type="topAndBottom" anchorx="page"/>
          </v:shape>
        </w:pict>
      </w:r>
    </w:p>
    <w:p w:rsidR="005873F3" w:rsidRDefault="00472E58">
      <w:pPr>
        <w:spacing w:before="70"/>
        <w:ind w:left="374" w:right="245" w:hanging="143"/>
        <w:rPr>
          <w:sz w:val="20"/>
        </w:rPr>
      </w:pPr>
      <w:r>
        <w:rPr>
          <w:position w:val="6"/>
          <w:sz w:val="13"/>
        </w:rPr>
        <w:t xml:space="preserve">1 </w:t>
      </w:r>
      <w:r>
        <w:rPr>
          <w:sz w:val="20"/>
        </w:rPr>
        <w:t>GN 789 of 28 August 2007: Regulations for matters relating to the functions of the Tribunal and Rules for the conduct of matters before the National Consumer Tribunal, 2007 (Government Gazette No. 30225).</w:t>
      </w:r>
    </w:p>
    <w:p w:rsidR="005873F3" w:rsidRDefault="005873F3">
      <w:pPr>
        <w:rPr>
          <w:sz w:val="20"/>
        </w:rPr>
        <w:sectPr w:rsidR="005873F3">
          <w:footerReference w:type="default" r:id="rId7"/>
          <w:pgSz w:w="11910" w:h="16840"/>
          <w:pgMar w:top="760" w:right="900" w:bottom="600" w:left="900" w:header="0" w:footer="405" w:gutter="0"/>
          <w:pgNumType w:start="2"/>
          <w:cols w:space="720"/>
        </w:sectPr>
      </w:pPr>
    </w:p>
    <w:p w:rsidR="005873F3" w:rsidRDefault="00472E58">
      <w:pPr>
        <w:pStyle w:val="BodyText"/>
        <w:spacing w:before="79" w:line="360" w:lineRule="auto"/>
        <w:ind w:left="660" w:right="232"/>
        <w:jc w:val="both"/>
      </w:pPr>
      <w:r>
        <w:lastRenderedPageBreak/>
        <w:t>also stated that he had never given any consent for documents to be served on him by email and that there was no valid reason for the Respondent not to file an answering affidavit within the prescribed time.</w:t>
      </w:r>
    </w:p>
    <w:p w:rsidR="005873F3" w:rsidRDefault="005873F3">
      <w:pPr>
        <w:pStyle w:val="BodyText"/>
        <w:spacing w:before="9"/>
        <w:rPr>
          <w:sz w:val="20"/>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13.</w:t>
      </w:r>
      <w:r>
        <w:rPr>
          <w:spacing w:val="-32"/>
          <w:w w:val="99"/>
          <w:sz w:val="24"/>
          <w:szCs w:val="24"/>
        </w:rPr>
        <w:tab/>
      </w:r>
      <w:r w:rsidR="00472E58" w:rsidRPr="00C75354">
        <w:rPr>
          <w:sz w:val="24"/>
        </w:rPr>
        <w:t>The Tribunal considered the Respondent’s reques</w:t>
      </w:r>
      <w:r w:rsidR="00472E58" w:rsidRPr="00C75354">
        <w:rPr>
          <w:sz w:val="24"/>
        </w:rPr>
        <w:t>t and the objections raised by the Applicant. The Tribunal was satisfied that the application was adequately served on the Respondent. The Respondent provided no reason for failing to file its answering affidavit within the prescribed time, and the Applica</w:t>
      </w:r>
      <w:r w:rsidR="00472E58" w:rsidRPr="00C75354">
        <w:rPr>
          <w:sz w:val="24"/>
        </w:rPr>
        <w:t>nt did not consent to service by email. The Tribunal decided that a postponement would not be in the interest of justice. The Respondent’s request for a postponement was refused, and the matter proceeded on a default</w:t>
      </w:r>
      <w:r w:rsidR="00472E58" w:rsidRPr="00C75354">
        <w:rPr>
          <w:spacing w:val="-8"/>
          <w:sz w:val="24"/>
        </w:rPr>
        <w:t xml:space="preserve"> </w:t>
      </w:r>
      <w:r w:rsidR="00472E58" w:rsidRPr="00C75354">
        <w:rPr>
          <w:sz w:val="24"/>
        </w:rPr>
        <w:t>basis.</w:t>
      </w:r>
    </w:p>
    <w:p w:rsidR="005873F3" w:rsidRDefault="005873F3">
      <w:pPr>
        <w:pStyle w:val="BodyText"/>
        <w:rPr>
          <w:sz w:val="21"/>
        </w:rPr>
      </w:pPr>
    </w:p>
    <w:p w:rsidR="005873F3" w:rsidRPr="00C75354" w:rsidRDefault="00C75354" w:rsidP="00C75354">
      <w:pPr>
        <w:tabs>
          <w:tab w:val="left" w:pos="661"/>
        </w:tabs>
        <w:spacing w:line="360" w:lineRule="auto"/>
        <w:ind w:left="660" w:right="227" w:hanging="428"/>
        <w:jc w:val="both"/>
        <w:rPr>
          <w:sz w:val="24"/>
        </w:rPr>
      </w:pPr>
      <w:r>
        <w:rPr>
          <w:spacing w:val="-32"/>
          <w:w w:val="99"/>
          <w:sz w:val="24"/>
          <w:szCs w:val="24"/>
        </w:rPr>
        <w:t>14.</w:t>
      </w:r>
      <w:r>
        <w:rPr>
          <w:spacing w:val="-32"/>
          <w:w w:val="99"/>
          <w:sz w:val="24"/>
          <w:szCs w:val="24"/>
        </w:rPr>
        <w:tab/>
      </w:r>
      <w:r w:rsidR="00472E58" w:rsidRPr="00C75354">
        <w:rPr>
          <w:sz w:val="24"/>
        </w:rPr>
        <w:t>Rule 13(5) provides that any fa</w:t>
      </w:r>
      <w:r w:rsidR="00472E58" w:rsidRPr="00C75354">
        <w:rPr>
          <w:sz w:val="24"/>
        </w:rPr>
        <w:t>ct or allegation made by the Applicant, which is not specifically denied or admitted by the Respondent, will be deemed to have been admitted by the</w:t>
      </w:r>
      <w:r w:rsidR="00472E58" w:rsidRPr="00C75354">
        <w:rPr>
          <w:spacing w:val="-2"/>
          <w:sz w:val="24"/>
        </w:rPr>
        <w:t xml:space="preserve"> </w:t>
      </w:r>
      <w:r w:rsidR="00472E58" w:rsidRPr="00C75354">
        <w:rPr>
          <w:sz w:val="24"/>
        </w:rPr>
        <w:t>Respondent.</w:t>
      </w:r>
    </w:p>
    <w:p w:rsidR="005873F3" w:rsidRDefault="005873F3">
      <w:pPr>
        <w:pStyle w:val="BodyText"/>
        <w:spacing w:before="9"/>
        <w:rPr>
          <w:sz w:val="20"/>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15.</w:t>
      </w:r>
      <w:r>
        <w:rPr>
          <w:spacing w:val="-32"/>
          <w:w w:val="99"/>
          <w:sz w:val="24"/>
          <w:szCs w:val="24"/>
        </w:rPr>
        <w:tab/>
      </w:r>
      <w:r w:rsidR="00472E58" w:rsidRPr="00C75354">
        <w:rPr>
          <w:sz w:val="24"/>
        </w:rPr>
        <w:t>Therefore, in the absence of an answering affidavit before the Tribunal, the Applicant’s applic</w:t>
      </w:r>
      <w:r w:rsidR="00472E58" w:rsidRPr="00C75354">
        <w:rPr>
          <w:sz w:val="24"/>
        </w:rPr>
        <w:t>ation and all of the allegations contained therein are deemed to be admitted by the</w:t>
      </w:r>
      <w:r w:rsidR="00472E58" w:rsidRPr="00C75354">
        <w:rPr>
          <w:spacing w:val="-1"/>
          <w:sz w:val="24"/>
        </w:rPr>
        <w:t xml:space="preserve"> </w:t>
      </w:r>
      <w:r w:rsidR="00472E58" w:rsidRPr="00C75354">
        <w:rPr>
          <w:sz w:val="24"/>
        </w:rPr>
        <w:t>Respondent.</w:t>
      </w:r>
    </w:p>
    <w:p w:rsidR="005873F3" w:rsidRDefault="005873F3">
      <w:pPr>
        <w:pStyle w:val="BodyText"/>
        <w:spacing w:before="9"/>
        <w:rPr>
          <w:sz w:val="20"/>
        </w:rPr>
      </w:pPr>
    </w:p>
    <w:p w:rsidR="005873F3" w:rsidRDefault="00472E58">
      <w:pPr>
        <w:pStyle w:val="Heading1"/>
      </w:pPr>
      <w:r>
        <w:t>BACKGROUND</w:t>
      </w:r>
    </w:p>
    <w:p w:rsidR="005873F3" w:rsidRDefault="005873F3">
      <w:pPr>
        <w:pStyle w:val="BodyText"/>
        <w:rPr>
          <w:b/>
          <w:sz w:val="33"/>
        </w:rPr>
      </w:pPr>
    </w:p>
    <w:p w:rsidR="005873F3" w:rsidRPr="00C75354" w:rsidRDefault="00C75354" w:rsidP="00C75354">
      <w:pPr>
        <w:tabs>
          <w:tab w:val="left" w:pos="661"/>
        </w:tabs>
        <w:spacing w:line="360" w:lineRule="auto"/>
        <w:ind w:left="660" w:right="231" w:hanging="428"/>
        <w:jc w:val="both"/>
        <w:rPr>
          <w:sz w:val="24"/>
        </w:rPr>
      </w:pPr>
      <w:r>
        <w:rPr>
          <w:spacing w:val="-32"/>
          <w:w w:val="99"/>
          <w:sz w:val="24"/>
          <w:szCs w:val="24"/>
        </w:rPr>
        <w:t>16.</w:t>
      </w:r>
      <w:r>
        <w:rPr>
          <w:spacing w:val="-32"/>
          <w:w w:val="99"/>
          <w:sz w:val="24"/>
          <w:szCs w:val="24"/>
        </w:rPr>
        <w:tab/>
      </w:r>
      <w:r w:rsidR="00472E58" w:rsidRPr="00C75354">
        <w:rPr>
          <w:sz w:val="24"/>
        </w:rPr>
        <w:t xml:space="preserve">In March of 2021, the Applicant took a vehicle belonging to Mr and Mrs Van Niekerk (“the Van Niekerks”) to the Respondent for repairs. The Applicant did so as a favour </w:t>
      </w:r>
      <w:r w:rsidR="00472E58" w:rsidRPr="00C75354">
        <w:rPr>
          <w:spacing w:val="-3"/>
          <w:sz w:val="24"/>
        </w:rPr>
        <w:t xml:space="preserve">to </w:t>
      </w:r>
      <w:r w:rsidR="00472E58" w:rsidRPr="00C75354">
        <w:rPr>
          <w:sz w:val="24"/>
        </w:rPr>
        <w:t>the Van Niekerks since Mr Van Niekerk works abroad and was not in the country at  the</w:t>
      </w:r>
      <w:r w:rsidR="00472E58" w:rsidRPr="00C75354">
        <w:rPr>
          <w:sz w:val="24"/>
        </w:rPr>
        <w:t xml:space="preserve"> time. The vehicle is described as a Corsa Utility 1.7D, with registration number CCV957L. The vehicle had difficulty starting and was booked for a diagnostic assessment and</w:t>
      </w:r>
      <w:r w:rsidR="00472E58" w:rsidRPr="00C75354">
        <w:rPr>
          <w:spacing w:val="-3"/>
          <w:sz w:val="24"/>
        </w:rPr>
        <w:t xml:space="preserve"> </w:t>
      </w:r>
      <w:r w:rsidR="00472E58" w:rsidRPr="00C75354">
        <w:rPr>
          <w:sz w:val="24"/>
        </w:rPr>
        <w:t>repair.</w:t>
      </w:r>
    </w:p>
    <w:p w:rsidR="005873F3" w:rsidRDefault="005873F3">
      <w:pPr>
        <w:pStyle w:val="BodyText"/>
        <w:spacing w:before="11"/>
        <w:rPr>
          <w:sz w:val="35"/>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17.</w:t>
      </w:r>
      <w:r>
        <w:rPr>
          <w:spacing w:val="-32"/>
          <w:w w:val="99"/>
          <w:sz w:val="24"/>
          <w:szCs w:val="24"/>
        </w:rPr>
        <w:tab/>
      </w:r>
      <w:r w:rsidR="00472E58" w:rsidRPr="00C75354">
        <w:rPr>
          <w:sz w:val="24"/>
        </w:rPr>
        <w:t>Approximately two days later, the Applicant received a telephone call fro</w:t>
      </w:r>
      <w:r w:rsidR="00472E58" w:rsidRPr="00C75354">
        <w:rPr>
          <w:sz w:val="24"/>
        </w:rPr>
        <w:t>m Andre Botha, an employee of the Respondent. Mr Botha indicated that the diagnostic assessment had been done and that the vehicle had a fuel-related problem. He said that he would have the vehicle’s fuel injectors independently tested to confirm that it w</w:t>
      </w:r>
      <w:r w:rsidR="00472E58" w:rsidRPr="00C75354">
        <w:rPr>
          <w:sz w:val="24"/>
        </w:rPr>
        <w:t xml:space="preserve">as indeed the cause of the problem. He later contacted the Applicant and confirmed that the fuel injectors were in standard condition and within the required specifications. He said they would remove the fuel pump to assess and repair it. The repairs were </w:t>
      </w:r>
      <w:r w:rsidR="00472E58" w:rsidRPr="00C75354">
        <w:rPr>
          <w:sz w:val="24"/>
        </w:rPr>
        <w:t>quoted at R30 134.69, which amount the Applicant</w:t>
      </w:r>
      <w:r w:rsidR="00472E58" w:rsidRPr="00C75354">
        <w:rPr>
          <w:spacing w:val="-4"/>
          <w:sz w:val="24"/>
        </w:rPr>
        <w:t xml:space="preserve"> </w:t>
      </w:r>
      <w:r w:rsidR="00472E58" w:rsidRPr="00C75354">
        <w:rPr>
          <w:sz w:val="24"/>
        </w:rPr>
        <w:t>accepted.</w:t>
      </w:r>
    </w:p>
    <w:p w:rsidR="005873F3" w:rsidRDefault="005873F3">
      <w:pPr>
        <w:spacing w:line="360" w:lineRule="auto"/>
        <w:jc w:val="both"/>
        <w:rPr>
          <w:sz w:val="24"/>
        </w:rPr>
        <w:sectPr w:rsidR="005873F3">
          <w:pgSz w:w="11910" w:h="16840"/>
          <w:pgMar w:top="760" w:right="900" w:bottom="680" w:left="900" w:header="0" w:footer="405" w:gutter="0"/>
          <w:cols w:space="720"/>
        </w:sectPr>
      </w:pPr>
    </w:p>
    <w:p w:rsidR="005873F3" w:rsidRPr="00C75354" w:rsidRDefault="00C75354" w:rsidP="00C75354">
      <w:pPr>
        <w:tabs>
          <w:tab w:val="left" w:pos="661"/>
        </w:tabs>
        <w:spacing w:before="79" w:line="360" w:lineRule="auto"/>
        <w:ind w:left="660" w:hanging="428"/>
        <w:jc w:val="both"/>
        <w:rPr>
          <w:sz w:val="24"/>
        </w:rPr>
      </w:pPr>
      <w:r>
        <w:rPr>
          <w:spacing w:val="-32"/>
          <w:w w:val="99"/>
          <w:sz w:val="24"/>
          <w:szCs w:val="24"/>
        </w:rPr>
        <w:lastRenderedPageBreak/>
        <w:t>18.</w:t>
      </w:r>
      <w:r>
        <w:rPr>
          <w:spacing w:val="-32"/>
          <w:w w:val="99"/>
          <w:sz w:val="24"/>
          <w:szCs w:val="24"/>
        </w:rPr>
        <w:tab/>
      </w:r>
      <w:r w:rsidR="00472E58" w:rsidRPr="00C75354">
        <w:rPr>
          <w:sz w:val="24"/>
        </w:rPr>
        <w:t>When the Applicant arrived at the Respondent’s premises to collect the vehicle, it would not start. The Applicant noticed the Respondent’s employees using a product called Quickstart, which is an aerosol spray used in assisting to start engines quickly. Th</w:t>
      </w:r>
      <w:r w:rsidR="00472E58" w:rsidRPr="00C75354">
        <w:rPr>
          <w:sz w:val="24"/>
        </w:rPr>
        <w:t>e vehicle eventually started and was smoking excessively. Mr Botha informed the Applicant that he suspected the vehicle had a more severe problem since the engine had very little compression. He said they would need to open the engine to perform a new diag</w:t>
      </w:r>
      <w:r w:rsidR="00472E58" w:rsidRPr="00C75354">
        <w:rPr>
          <w:sz w:val="24"/>
        </w:rPr>
        <w:t>nostic assessment. When the Applicant enquired about the cost of doing so, he was told that the new cost of repairs could only be determined once the diagnostic assessment was</w:t>
      </w:r>
      <w:r w:rsidR="00472E58" w:rsidRPr="00C75354">
        <w:rPr>
          <w:spacing w:val="-3"/>
          <w:sz w:val="24"/>
        </w:rPr>
        <w:t xml:space="preserve"> </w:t>
      </w:r>
      <w:r w:rsidR="00472E58" w:rsidRPr="00C75354">
        <w:rPr>
          <w:sz w:val="24"/>
        </w:rPr>
        <w:t>completed.</w:t>
      </w:r>
    </w:p>
    <w:p w:rsidR="005873F3" w:rsidRDefault="005873F3">
      <w:pPr>
        <w:pStyle w:val="BodyText"/>
        <w:spacing w:before="9"/>
        <w:rPr>
          <w:sz w:val="35"/>
        </w:rPr>
      </w:pPr>
    </w:p>
    <w:p w:rsidR="005873F3" w:rsidRPr="00C75354" w:rsidRDefault="00C75354" w:rsidP="00C75354">
      <w:pPr>
        <w:tabs>
          <w:tab w:val="left" w:pos="661"/>
        </w:tabs>
        <w:spacing w:line="360" w:lineRule="auto"/>
        <w:ind w:left="660" w:right="227" w:hanging="428"/>
        <w:jc w:val="both"/>
        <w:rPr>
          <w:sz w:val="24"/>
        </w:rPr>
      </w:pPr>
      <w:r>
        <w:rPr>
          <w:spacing w:val="-32"/>
          <w:w w:val="99"/>
          <w:sz w:val="24"/>
          <w:szCs w:val="24"/>
        </w:rPr>
        <w:t>19.</w:t>
      </w:r>
      <w:r>
        <w:rPr>
          <w:spacing w:val="-32"/>
          <w:w w:val="99"/>
          <w:sz w:val="24"/>
          <w:szCs w:val="24"/>
        </w:rPr>
        <w:tab/>
      </w:r>
      <w:r w:rsidR="00472E58" w:rsidRPr="00C75354">
        <w:rPr>
          <w:sz w:val="24"/>
        </w:rPr>
        <w:t xml:space="preserve">Dissatisfied with the service of the Respondent, the Applicant then </w:t>
      </w:r>
      <w:r w:rsidR="00472E58" w:rsidRPr="00C75354">
        <w:rPr>
          <w:sz w:val="24"/>
        </w:rPr>
        <w:t>lodged complaints with Bosch South Africa, the Motor Industry Ombudsman of South Africa, and the National Consumer Commission (“the NCC”). None of his attempts to resolve the matter have been successful. On 28 April 2022, the NCC issued a notice of non- re</w:t>
      </w:r>
      <w:r w:rsidR="00472E58" w:rsidRPr="00C75354">
        <w:rPr>
          <w:sz w:val="24"/>
        </w:rPr>
        <w:t>ferral.</w:t>
      </w:r>
    </w:p>
    <w:p w:rsidR="005873F3" w:rsidRDefault="005873F3">
      <w:pPr>
        <w:pStyle w:val="BodyText"/>
        <w:spacing w:before="10"/>
        <w:rPr>
          <w:sz w:val="20"/>
        </w:rPr>
      </w:pPr>
    </w:p>
    <w:p w:rsidR="005873F3" w:rsidRDefault="00472E58">
      <w:pPr>
        <w:pStyle w:val="Heading1"/>
      </w:pPr>
      <w:r>
        <w:t>THE APPLICANT’S SUBMISSIONS</w:t>
      </w:r>
    </w:p>
    <w:p w:rsidR="005873F3" w:rsidRDefault="005873F3">
      <w:pPr>
        <w:pStyle w:val="BodyText"/>
        <w:spacing w:before="9"/>
        <w:rPr>
          <w:b/>
          <w:sz w:val="32"/>
        </w:rPr>
      </w:pPr>
    </w:p>
    <w:p w:rsidR="005873F3" w:rsidRPr="00C75354" w:rsidRDefault="00C75354" w:rsidP="00C75354">
      <w:pPr>
        <w:tabs>
          <w:tab w:val="left" w:pos="661"/>
        </w:tabs>
        <w:spacing w:line="360" w:lineRule="auto"/>
        <w:ind w:left="660" w:right="231" w:hanging="428"/>
        <w:jc w:val="both"/>
        <w:rPr>
          <w:sz w:val="24"/>
        </w:rPr>
      </w:pPr>
      <w:r>
        <w:rPr>
          <w:spacing w:val="-32"/>
          <w:w w:val="99"/>
          <w:sz w:val="24"/>
          <w:szCs w:val="24"/>
        </w:rPr>
        <w:t>20.</w:t>
      </w:r>
      <w:r>
        <w:rPr>
          <w:spacing w:val="-32"/>
          <w:w w:val="99"/>
          <w:sz w:val="24"/>
          <w:szCs w:val="24"/>
        </w:rPr>
        <w:tab/>
      </w:r>
      <w:r w:rsidR="00472E58" w:rsidRPr="00C75354">
        <w:rPr>
          <w:sz w:val="24"/>
        </w:rPr>
        <w:t>At the hearing and in his papers, the Applicant submitted that the vehicle is in a worse condition than it was before, as there is a knocking noise coming from the engine and that the vehicle is smoking excessively. He</w:t>
      </w:r>
      <w:r w:rsidR="00472E58" w:rsidRPr="00C75354">
        <w:rPr>
          <w:sz w:val="24"/>
        </w:rPr>
        <w:t xml:space="preserve"> submitted that the diagnostic test was  done incorrectly by first assessing the fuel injectors, instead of the engine’s compression. He further submitted that he observed too much Quickstart being used to start the</w:t>
      </w:r>
      <w:r w:rsidR="00472E58" w:rsidRPr="00C75354">
        <w:rPr>
          <w:spacing w:val="-3"/>
          <w:sz w:val="24"/>
        </w:rPr>
        <w:t xml:space="preserve"> </w:t>
      </w:r>
      <w:r w:rsidR="00472E58" w:rsidRPr="00C75354">
        <w:rPr>
          <w:sz w:val="24"/>
        </w:rPr>
        <w:t>engine.</w:t>
      </w:r>
    </w:p>
    <w:p w:rsidR="005873F3" w:rsidRDefault="005873F3">
      <w:pPr>
        <w:pStyle w:val="BodyText"/>
        <w:spacing w:before="2"/>
        <w:rPr>
          <w:sz w:val="36"/>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21.</w:t>
      </w:r>
      <w:r>
        <w:rPr>
          <w:spacing w:val="-32"/>
          <w:w w:val="99"/>
          <w:sz w:val="24"/>
          <w:szCs w:val="24"/>
        </w:rPr>
        <w:tab/>
      </w:r>
      <w:r w:rsidR="00472E58" w:rsidRPr="00C75354">
        <w:rPr>
          <w:sz w:val="24"/>
        </w:rPr>
        <w:t>The Respondent claims in its ad</w:t>
      </w:r>
      <w:r w:rsidR="00472E58" w:rsidRPr="00C75354">
        <w:rPr>
          <w:sz w:val="24"/>
        </w:rPr>
        <w:t>vertising to have state-of-the-art diagnostic equipment, which was part of the reason why the vehicle was taken to them. The Applicant provided a video clip as part of his evidence. The video clip was filmed on the day the vehicle was supposed to be collec</w:t>
      </w:r>
      <w:r w:rsidR="00472E58" w:rsidRPr="00C75354">
        <w:rPr>
          <w:sz w:val="24"/>
        </w:rPr>
        <w:t xml:space="preserve">ted and showed a compression test being  performed on the vehicle. He indicated that the test was not being done incorrectly. Other influencing factors should have been taken into account, which would likely affect the test result. These factors include a </w:t>
      </w:r>
      <w:r w:rsidR="00472E58" w:rsidRPr="00C75354">
        <w:rPr>
          <w:sz w:val="24"/>
        </w:rPr>
        <w:t>run-down battery or a worn starter. The Respondent is, therefore, incorrect in saying that the engine lacks compression and must be opened and</w:t>
      </w:r>
      <w:r w:rsidR="00472E58" w:rsidRPr="00C75354">
        <w:rPr>
          <w:spacing w:val="-7"/>
          <w:sz w:val="24"/>
        </w:rPr>
        <w:t xml:space="preserve"> </w:t>
      </w:r>
      <w:r w:rsidR="00472E58" w:rsidRPr="00C75354">
        <w:rPr>
          <w:sz w:val="24"/>
        </w:rPr>
        <w:t>diagnosed.</w:t>
      </w:r>
    </w:p>
    <w:p w:rsidR="005873F3" w:rsidRDefault="005873F3">
      <w:pPr>
        <w:pStyle w:val="BodyText"/>
        <w:spacing w:before="10"/>
        <w:rPr>
          <w:sz w:val="35"/>
        </w:rPr>
      </w:pPr>
    </w:p>
    <w:p w:rsidR="005873F3" w:rsidRPr="00C75354" w:rsidRDefault="00C75354" w:rsidP="00C75354">
      <w:pPr>
        <w:tabs>
          <w:tab w:val="left" w:pos="661"/>
        </w:tabs>
        <w:spacing w:line="360" w:lineRule="auto"/>
        <w:ind w:left="660" w:right="231" w:hanging="428"/>
        <w:jc w:val="both"/>
        <w:rPr>
          <w:sz w:val="24"/>
        </w:rPr>
      </w:pPr>
      <w:r>
        <w:rPr>
          <w:spacing w:val="-32"/>
          <w:w w:val="99"/>
          <w:sz w:val="24"/>
          <w:szCs w:val="24"/>
        </w:rPr>
        <w:t>22.</w:t>
      </w:r>
      <w:r>
        <w:rPr>
          <w:spacing w:val="-32"/>
          <w:w w:val="99"/>
          <w:sz w:val="24"/>
          <w:szCs w:val="24"/>
        </w:rPr>
        <w:tab/>
      </w:r>
      <w:r w:rsidR="00472E58" w:rsidRPr="00C75354">
        <w:rPr>
          <w:sz w:val="24"/>
        </w:rPr>
        <w:t>The Applicant requested a report from the Respondent to indicate what work has been done on the vehic</w:t>
      </w:r>
      <w:r w:rsidR="00472E58" w:rsidRPr="00C75354">
        <w:rPr>
          <w:sz w:val="24"/>
        </w:rPr>
        <w:t>le, but none was received. In August 2021, he received a letter from the</w:t>
      </w:r>
      <w:r w:rsidR="00472E58" w:rsidRPr="00C75354">
        <w:rPr>
          <w:spacing w:val="18"/>
          <w:sz w:val="24"/>
        </w:rPr>
        <w:t xml:space="preserve"> </w:t>
      </w:r>
      <w:r w:rsidR="00472E58" w:rsidRPr="00C75354">
        <w:rPr>
          <w:sz w:val="24"/>
        </w:rPr>
        <w:t>Respondent’s</w:t>
      </w:r>
      <w:r w:rsidR="00472E58" w:rsidRPr="00C75354">
        <w:rPr>
          <w:spacing w:val="15"/>
          <w:sz w:val="24"/>
        </w:rPr>
        <w:t xml:space="preserve"> </w:t>
      </w:r>
      <w:r w:rsidR="00472E58" w:rsidRPr="00C75354">
        <w:rPr>
          <w:sz w:val="24"/>
        </w:rPr>
        <w:t>attorney</w:t>
      </w:r>
      <w:r w:rsidR="00472E58" w:rsidRPr="00C75354">
        <w:rPr>
          <w:spacing w:val="17"/>
          <w:sz w:val="24"/>
        </w:rPr>
        <w:t xml:space="preserve"> </w:t>
      </w:r>
      <w:r w:rsidR="00472E58" w:rsidRPr="00C75354">
        <w:rPr>
          <w:sz w:val="24"/>
        </w:rPr>
        <w:t>requesting</w:t>
      </w:r>
      <w:r w:rsidR="00472E58" w:rsidRPr="00C75354">
        <w:rPr>
          <w:spacing w:val="18"/>
          <w:sz w:val="24"/>
        </w:rPr>
        <w:t xml:space="preserve"> </w:t>
      </w:r>
      <w:r w:rsidR="00472E58" w:rsidRPr="00C75354">
        <w:rPr>
          <w:sz w:val="24"/>
        </w:rPr>
        <w:t>that</w:t>
      </w:r>
      <w:r w:rsidR="00472E58" w:rsidRPr="00C75354">
        <w:rPr>
          <w:spacing w:val="21"/>
          <w:sz w:val="24"/>
        </w:rPr>
        <w:t xml:space="preserve"> </w:t>
      </w:r>
      <w:r w:rsidR="00472E58" w:rsidRPr="00C75354">
        <w:rPr>
          <w:sz w:val="24"/>
        </w:rPr>
        <w:t>the</w:t>
      </w:r>
      <w:r w:rsidR="00472E58" w:rsidRPr="00C75354">
        <w:rPr>
          <w:spacing w:val="19"/>
          <w:sz w:val="24"/>
        </w:rPr>
        <w:t xml:space="preserve"> </w:t>
      </w:r>
      <w:r w:rsidR="00472E58" w:rsidRPr="00C75354">
        <w:rPr>
          <w:sz w:val="24"/>
        </w:rPr>
        <w:t>vehicle</w:t>
      </w:r>
      <w:r w:rsidR="00472E58" w:rsidRPr="00C75354">
        <w:rPr>
          <w:spacing w:val="19"/>
          <w:sz w:val="24"/>
        </w:rPr>
        <w:t xml:space="preserve"> </w:t>
      </w:r>
      <w:r w:rsidR="00472E58" w:rsidRPr="00C75354">
        <w:rPr>
          <w:sz w:val="24"/>
        </w:rPr>
        <w:t>be</w:t>
      </w:r>
      <w:r w:rsidR="00472E58" w:rsidRPr="00C75354">
        <w:rPr>
          <w:spacing w:val="18"/>
          <w:sz w:val="24"/>
        </w:rPr>
        <w:t xml:space="preserve"> </w:t>
      </w:r>
      <w:r w:rsidR="00472E58" w:rsidRPr="00C75354">
        <w:rPr>
          <w:sz w:val="24"/>
        </w:rPr>
        <w:t>removed</w:t>
      </w:r>
      <w:r w:rsidR="00472E58" w:rsidRPr="00C75354">
        <w:rPr>
          <w:spacing w:val="17"/>
          <w:sz w:val="24"/>
        </w:rPr>
        <w:t xml:space="preserve"> </w:t>
      </w:r>
      <w:r w:rsidR="00472E58" w:rsidRPr="00C75354">
        <w:rPr>
          <w:sz w:val="24"/>
        </w:rPr>
        <w:t>from</w:t>
      </w:r>
      <w:r w:rsidR="00472E58" w:rsidRPr="00C75354">
        <w:rPr>
          <w:spacing w:val="18"/>
          <w:sz w:val="24"/>
        </w:rPr>
        <w:t xml:space="preserve"> </w:t>
      </w:r>
      <w:r w:rsidR="00472E58" w:rsidRPr="00C75354">
        <w:rPr>
          <w:sz w:val="24"/>
        </w:rPr>
        <w:t>the</w:t>
      </w:r>
      <w:r w:rsidR="00472E58" w:rsidRPr="00C75354">
        <w:rPr>
          <w:spacing w:val="18"/>
          <w:sz w:val="24"/>
        </w:rPr>
        <w:t xml:space="preserve"> </w:t>
      </w:r>
      <w:r w:rsidR="00472E58" w:rsidRPr="00C75354">
        <w:rPr>
          <w:sz w:val="24"/>
        </w:rPr>
        <w:t>premises</w:t>
      </w:r>
    </w:p>
    <w:p w:rsidR="005873F3" w:rsidRDefault="005873F3">
      <w:pPr>
        <w:spacing w:line="360" w:lineRule="auto"/>
        <w:jc w:val="both"/>
        <w:rPr>
          <w:sz w:val="24"/>
        </w:rPr>
        <w:sectPr w:rsidR="005873F3">
          <w:pgSz w:w="11910" w:h="16840"/>
          <w:pgMar w:top="760" w:right="900" w:bottom="640" w:left="900" w:header="0" w:footer="405" w:gutter="0"/>
          <w:cols w:space="720"/>
        </w:sectPr>
      </w:pPr>
    </w:p>
    <w:p w:rsidR="005873F3" w:rsidRDefault="00472E58">
      <w:pPr>
        <w:pStyle w:val="BodyText"/>
        <w:spacing w:before="79" w:line="360" w:lineRule="auto"/>
        <w:ind w:left="660" w:right="231"/>
        <w:jc w:val="both"/>
      </w:pPr>
      <w:r>
        <w:lastRenderedPageBreak/>
        <w:t>and that he pays for storage costs. The Applicant has made no payment to the Respondent to date and seeks to have the vehicle released so that it can be properly diagnosed and repaired elsewhere. The vehicle is still in the Respondent’s possession and is i</w:t>
      </w:r>
      <w:r>
        <w:t>noperable.</w:t>
      </w:r>
    </w:p>
    <w:p w:rsidR="005873F3" w:rsidRDefault="005873F3">
      <w:pPr>
        <w:pStyle w:val="BodyText"/>
        <w:spacing w:before="10"/>
        <w:rPr>
          <w:sz w:val="20"/>
        </w:rPr>
      </w:pPr>
    </w:p>
    <w:p w:rsidR="005873F3" w:rsidRDefault="00472E58">
      <w:pPr>
        <w:pStyle w:val="Heading1"/>
      </w:pPr>
      <w:r>
        <w:t>THE WITNESSES’ TESTIMONY</w:t>
      </w:r>
    </w:p>
    <w:p w:rsidR="005873F3" w:rsidRDefault="005873F3">
      <w:pPr>
        <w:pStyle w:val="BodyText"/>
        <w:spacing w:before="9"/>
        <w:rPr>
          <w:b/>
          <w:sz w:val="32"/>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23.</w:t>
      </w:r>
      <w:r>
        <w:rPr>
          <w:spacing w:val="-32"/>
          <w:w w:val="99"/>
          <w:sz w:val="24"/>
          <w:szCs w:val="24"/>
        </w:rPr>
        <w:tab/>
      </w:r>
      <w:r w:rsidR="00472E58" w:rsidRPr="00C75354">
        <w:rPr>
          <w:sz w:val="24"/>
        </w:rPr>
        <w:t xml:space="preserve">The Applicant called the following two witnesses to testify: Mr Pieter Cornelius Van Niekerk and Mr Paul Joubert. Both witnesses are qualified mechanics with experience in working with diesel engines. It must be noted </w:t>
      </w:r>
      <w:r w:rsidR="00472E58" w:rsidRPr="00C75354">
        <w:rPr>
          <w:sz w:val="24"/>
        </w:rPr>
        <w:t>that Mr Van Niekerk is the owner of the vehicle in question. The Applicant submitted that Mr Van Niekerk travelled from the United States of America to testify in this matter and would be returning in March of this year.</w:t>
      </w:r>
    </w:p>
    <w:p w:rsidR="005873F3" w:rsidRDefault="005873F3">
      <w:pPr>
        <w:pStyle w:val="BodyText"/>
        <w:spacing w:before="11"/>
        <w:rPr>
          <w:sz w:val="35"/>
        </w:rPr>
      </w:pPr>
    </w:p>
    <w:p w:rsidR="005873F3" w:rsidRPr="00C75354" w:rsidRDefault="00C75354" w:rsidP="00C75354">
      <w:pPr>
        <w:tabs>
          <w:tab w:val="left" w:pos="661"/>
        </w:tabs>
        <w:spacing w:line="360" w:lineRule="auto"/>
        <w:ind w:left="660" w:right="230" w:hanging="428"/>
        <w:jc w:val="both"/>
        <w:rPr>
          <w:sz w:val="24"/>
        </w:rPr>
      </w:pPr>
      <w:r>
        <w:rPr>
          <w:spacing w:val="-32"/>
          <w:w w:val="99"/>
          <w:sz w:val="24"/>
          <w:szCs w:val="24"/>
        </w:rPr>
        <w:t>24.</w:t>
      </w:r>
      <w:r>
        <w:rPr>
          <w:spacing w:val="-32"/>
          <w:w w:val="99"/>
          <w:sz w:val="24"/>
          <w:szCs w:val="24"/>
        </w:rPr>
        <w:tab/>
      </w:r>
      <w:r w:rsidR="00472E58" w:rsidRPr="00C75354">
        <w:rPr>
          <w:sz w:val="24"/>
        </w:rPr>
        <w:t>Both witnesses testified that usin</w:t>
      </w:r>
      <w:r w:rsidR="00472E58" w:rsidRPr="00C75354">
        <w:rPr>
          <w:sz w:val="24"/>
        </w:rPr>
        <w:t>g too much Quickstart to start an engine can damage a vehicle’s engine. They also confirmed that the correct sequence for performing a diagnostic test would be to check the engine’s compression on each cylinder first and then check the fueling system and e</w:t>
      </w:r>
      <w:r w:rsidR="00472E58" w:rsidRPr="00C75354">
        <w:rPr>
          <w:sz w:val="24"/>
        </w:rPr>
        <w:t>lectronics. To reach an accurate result when testing an engine’s compression, the engine needs to be cranked for 5 – 8 seconds, and there should be no other influencing factors that could lead to an inaccurate</w:t>
      </w:r>
      <w:r w:rsidR="00472E58" w:rsidRPr="00C75354">
        <w:rPr>
          <w:spacing w:val="-36"/>
          <w:sz w:val="24"/>
        </w:rPr>
        <w:t xml:space="preserve"> </w:t>
      </w:r>
      <w:r w:rsidR="00472E58" w:rsidRPr="00C75354">
        <w:rPr>
          <w:sz w:val="24"/>
        </w:rPr>
        <w:t>result.</w:t>
      </w:r>
    </w:p>
    <w:p w:rsidR="005873F3" w:rsidRDefault="005873F3">
      <w:pPr>
        <w:pStyle w:val="BodyText"/>
        <w:rPr>
          <w:sz w:val="26"/>
        </w:rPr>
      </w:pPr>
    </w:p>
    <w:p w:rsidR="005873F3" w:rsidRPr="00C75354" w:rsidRDefault="00C75354" w:rsidP="00C75354">
      <w:pPr>
        <w:tabs>
          <w:tab w:val="left" w:pos="661"/>
        </w:tabs>
        <w:spacing w:before="220" w:line="360" w:lineRule="auto"/>
        <w:ind w:left="660" w:right="230" w:hanging="428"/>
        <w:jc w:val="both"/>
        <w:rPr>
          <w:sz w:val="24"/>
        </w:rPr>
      </w:pPr>
      <w:r>
        <w:rPr>
          <w:spacing w:val="-32"/>
          <w:w w:val="99"/>
          <w:sz w:val="24"/>
          <w:szCs w:val="24"/>
        </w:rPr>
        <w:t>25.</w:t>
      </w:r>
      <w:r>
        <w:rPr>
          <w:spacing w:val="-32"/>
          <w:w w:val="99"/>
          <w:sz w:val="24"/>
          <w:szCs w:val="24"/>
        </w:rPr>
        <w:tab/>
      </w:r>
      <w:r w:rsidR="00472E58" w:rsidRPr="00C75354">
        <w:rPr>
          <w:sz w:val="24"/>
        </w:rPr>
        <w:t>Both witnesses watched the video clip</w:t>
      </w:r>
      <w:r w:rsidR="00472E58" w:rsidRPr="00C75354">
        <w:rPr>
          <w:sz w:val="24"/>
        </w:rPr>
        <w:t xml:space="preserve"> presented by the Applicant and confirmed that the way the Respondent’s employee performed the compression test was inconsistent with basic mechanical training as the engine was only cranked for short periods each time and not the required 5 – 8</w:t>
      </w:r>
      <w:r w:rsidR="00472E58" w:rsidRPr="00C75354">
        <w:rPr>
          <w:spacing w:val="-2"/>
          <w:sz w:val="24"/>
        </w:rPr>
        <w:t xml:space="preserve"> </w:t>
      </w:r>
      <w:r w:rsidR="00472E58" w:rsidRPr="00C75354">
        <w:rPr>
          <w:sz w:val="24"/>
        </w:rPr>
        <w:t>seconds.</w:t>
      </w:r>
    </w:p>
    <w:p w:rsidR="005873F3" w:rsidRDefault="005873F3">
      <w:pPr>
        <w:pStyle w:val="BodyText"/>
        <w:spacing w:before="10"/>
        <w:rPr>
          <w:sz w:val="20"/>
        </w:rPr>
      </w:pPr>
    </w:p>
    <w:p w:rsidR="005873F3" w:rsidRDefault="00472E58">
      <w:pPr>
        <w:pStyle w:val="Heading1"/>
      </w:pPr>
      <w:r>
        <w:t>APPLICABLE SECTIONS OF THE ACT</w:t>
      </w:r>
    </w:p>
    <w:p w:rsidR="005873F3" w:rsidRDefault="005873F3">
      <w:pPr>
        <w:pStyle w:val="BodyText"/>
        <w:spacing w:before="9"/>
        <w:rPr>
          <w:b/>
          <w:sz w:val="32"/>
        </w:rPr>
      </w:pPr>
    </w:p>
    <w:p w:rsidR="005873F3" w:rsidRPr="00C75354" w:rsidRDefault="00C75354" w:rsidP="00C75354">
      <w:pPr>
        <w:tabs>
          <w:tab w:val="left" w:pos="661"/>
        </w:tabs>
        <w:spacing w:line="360" w:lineRule="auto"/>
        <w:ind w:left="660" w:right="232" w:hanging="428"/>
        <w:jc w:val="both"/>
        <w:rPr>
          <w:sz w:val="24"/>
        </w:rPr>
      </w:pPr>
      <w:r>
        <w:rPr>
          <w:spacing w:val="-32"/>
          <w:w w:val="99"/>
          <w:sz w:val="24"/>
          <w:szCs w:val="24"/>
        </w:rPr>
        <w:t>26.</w:t>
      </w:r>
      <w:r>
        <w:rPr>
          <w:spacing w:val="-32"/>
          <w:w w:val="99"/>
          <w:sz w:val="24"/>
          <w:szCs w:val="24"/>
        </w:rPr>
        <w:tab/>
      </w:r>
      <w:r w:rsidR="00472E58" w:rsidRPr="00C75354">
        <w:rPr>
          <w:sz w:val="24"/>
        </w:rPr>
        <w:t>Section 75(1)(b) states that if the NCC issues a notice of non-referral in response to a complaint, other than on grounds contemplated in section 116, the complainant concerned may refer the matter directly to the Tribunal, with leave of the</w:t>
      </w:r>
      <w:r w:rsidR="00472E58" w:rsidRPr="00C75354">
        <w:rPr>
          <w:spacing w:val="-17"/>
          <w:sz w:val="24"/>
        </w:rPr>
        <w:t xml:space="preserve"> </w:t>
      </w:r>
      <w:r w:rsidR="00472E58" w:rsidRPr="00C75354">
        <w:rPr>
          <w:sz w:val="24"/>
        </w:rPr>
        <w:t>Tribunal.</w:t>
      </w:r>
    </w:p>
    <w:p w:rsidR="005873F3" w:rsidRDefault="005873F3">
      <w:pPr>
        <w:pStyle w:val="BodyText"/>
        <w:spacing w:before="1"/>
        <w:rPr>
          <w:sz w:val="36"/>
        </w:rPr>
      </w:pPr>
    </w:p>
    <w:p w:rsidR="005873F3" w:rsidRPr="00C75354" w:rsidRDefault="00C75354" w:rsidP="00C75354">
      <w:pPr>
        <w:tabs>
          <w:tab w:val="left" w:pos="661"/>
        </w:tabs>
        <w:spacing w:line="360" w:lineRule="auto"/>
        <w:ind w:left="660" w:right="226" w:hanging="428"/>
        <w:jc w:val="both"/>
        <w:rPr>
          <w:sz w:val="24"/>
        </w:rPr>
      </w:pPr>
      <w:r>
        <w:rPr>
          <w:spacing w:val="-32"/>
          <w:w w:val="99"/>
          <w:sz w:val="24"/>
          <w:szCs w:val="24"/>
        </w:rPr>
        <w:t>27.</w:t>
      </w:r>
      <w:r>
        <w:rPr>
          <w:spacing w:val="-32"/>
          <w:w w:val="99"/>
          <w:sz w:val="24"/>
          <w:szCs w:val="24"/>
        </w:rPr>
        <w:tab/>
      </w:r>
      <w:r w:rsidR="00472E58" w:rsidRPr="00C75354">
        <w:rPr>
          <w:sz w:val="24"/>
        </w:rPr>
        <w:t>Section 54(1) (a-d) states that when a supplier undertakes to perform any services for a consumer, the consumer has the right to the timely performance and completion of those services, in a manner and quality that persons are generally entitled to expect.</w:t>
      </w:r>
      <w:r w:rsidR="00472E58" w:rsidRPr="00C75354">
        <w:rPr>
          <w:sz w:val="24"/>
        </w:rPr>
        <w:t xml:space="preserve">  In addition, the goods used by the supplier must be free of defects and of a quality that persons</w:t>
      </w:r>
      <w:r w:rsidR="00472E58" w:rsidRPr="00C75354">
        <w:rPr>
          <w:spacing w:val="11"/>
          <w:sz w:val="24"/>
        </w:rPr>
        <w:t xml:space="preserve"> </w:t>
      </w:r>
      <w:r w:rsidR="00472E58" w:rsidRPr="00C75354">
        <w:rPr>
          <w:sz w:val="24"/>
        </w:rPr>
        <w:t>are</w:t>
      </w:r>
      <w:r w:rsidR="00472E58" w:rsidRPr="00C75354">
        <w:rPr>
          <w:spacing w:val="13"/>
          <w:sz w:val="24"/>
        </w:rPr>
        <w:t xml:space="preserve"> </w:t>
      </w:r>
      <w:r w:rsidR="00472E58" w:rsidRPr="00C75354">
        <w:rPr>
          <w:sz w:val="24"/>
        </w:rPr>
        <w:t>generally</w:t>
      </w:r>
      <w:r w:rsidR="00472E58" w:rsidRPr="00C75354">
        <w:rPr>
          <w:spacing w:val="11"/>
          <w:sz w:val="24"/>
        </w:rPr>
        <w:t xml:space="preserve"> </w:t>
      </w:r>
      <w:r w:rsidR="00472E58" w:rsidRPr="00C75354">
        <w:rPr>
          <w:sz w:val="24"/>
        </w:rPr>
        <w:t>entitled</w:t>
      </w:r>
      <w:r w:rsidR="00472E58" w:rsidRPr="00C75354">
        <w:rPr>
          <w:spacing w:val="14"/>
          <w:sz w:val="24"/>
        </w:rPr>
        <w:t xml:space="preserve"> </w:t>
      </w:r>
      <w:r w:rsidR="00472E58" w:rsidRPr="00C75354">
        <w:rPr>
          <w:sz w:val="24"/>
        </w:rPr>
        <w:t>to</w:t>
      </w:r>
      <w:r w:rsidR="00472E58" w:rsidRPr="00C75354">
        <w:rPr>
          <w:spacing w:val="15"/>
          <w:sz w:val="24"/>
        </w:rPr>
        <w:t xml:space="preserve"> </w:t>
      </w:r>
      <w:r w:rsidR="00472E58" w:rsidRPr="00C75354">
        <w:rPr>
          <w:sz w:val="24"/>
        </w:rPr>
        <w:t>expect.</w:t>
      </w:r>
      <w:r w:rsidR="00472E58" w:rsidRPr="00C75354">
        <w:rPr>
          <w:spacing w:val="14"/>
          <w:sz w:val="24"/>
        </w:rPr>
        <w:t xml:space="preserve"> </w:t>
      </w:r>
      <w:r w:rsidR="00472E58" w:rsidRPr="00C75354">
        <w:rPr>
          <w:sz w:val="24"/>
        </w:rPr>
        <w:t>It</w:t>
      </w:r>
      <w:r w:rsidR="00472E58" w:rsidRPr="00C75354">
        <w:rPr>
          <w:spacing w:val="14"/>
          <w:sz w:val="24"/>
        </w:rPr>
        <w:t xml:space="preserve"> </w:t>
      </w:r>
      <w:r w:rsidR="00472E58" w:rsidRPr="00C75354">
        <w:rPr>
          <w:sz w:val="24"/>
        </w:rPr>
        <w:t>further</w:t>
      </w:r>
      <w:r w:rsidR="00472E58" w:rsidRPr="00C75354">
        <w:rPr>
          <w:spacing w:val="12"/>
          <w:sz w:val="24"/>
        </w:rPr>
        <w:t xml:space="preserve"> </w:t>
      </w:r>
      <w:r w:rsidR="00472E58" w:rsidRPr="00C75354">
        <w:rPr>
          <w:sz w:val="24"/>
        </w:rPr>
        <w:t>states</w:t>
      </w:r>
      <w:r w:rsidR="00472E58" w:rsidRPr="00C75354">
        <w:rPr>
          <w:spacing w:val="12"/>
          <w:sz w:val="24"/>
        </w:rPr>
        <w:t xml:space="preserve"> </w:t>
      </w:r>
      <w:r w:rsidR="00472E58" w:rsidRPr="00C75354">
        <w:rPr>
          <w:sz w:val="24"/>
        </w:rPr>
        <w:t>that</w:t>
      </w:r>
      <w:r w:rsidR="00472E58" w:rsidRPr="00C75354">
        <w:rPr>
          <w:spacing w:val="14"/>
          <w:sz w:val="24"/>
        </w:rPr>
        <w:t xml:space="preserve"> </w:t>
      </w:r>
      <w:r w:rsidR="00472E58" w:rsidRPr="00C75354">
        <w:rPr>
          <w:sz w:val="24"/>
        </w:rPr>
        <w:t>the</w:t>
      </w:r>
      <w:r w:rsidR="00472E58" w:rsidRPr="00C75354">
        <w:rPr>
          <w:spacing w:val="14"/>
          <w:sz w:val="24"/>
        </w:rPr>
        <w:t xml:space="preserve"> </w:t>
      </w:r>
      <w:r w:rsidR="00472E58" w:rsidRPr="00C75354">
        <w:rPr>
          <w:sz w:val="24"/>
        </w:rPr>
        <w:t>consumer’s</w:t>
      </w:r>
      <w:r w:rsidR="00472E58" w:rsidRPr="00C75354">
        <w:rPr>
          <w:spacing w:val="13"/>
          <w:sz w:val="24"/>
        </w:rPr>
        <w:t xml:space="preserve"> </w:t>
      </w:r>
      <w:r w:rsidR="00472E58" w:rsidRPr="00C75354">
        <w:rPr>
          <w:sz w:val="24"/>
        </w:rPr>
        <w:t>property</w:t>
      </w:r>
    </w:p>
    <w:p w:rsidR="005873F3" w:rsidRDefault="005873F3">
      <w:pPr>
        <w:spacing w:line="360" w:lineRule="auto"/>
        <w:jc w:val="both"/>
        <w:rPr>
          <w:sz w:val="24"/>
        </w:rPr>
        <w:sectPr w:rsidR="005873F3">
          <w:pgSz w:w="11910" w:h="16840"/>
          <w:pgMar w:top="760" w:right="900" w:bottom="680" w:left="900" w:header="0" w:footer="405" w:gutter="0"/>
          <w:cols w:space="720"/>
        </w:sectPr>
      </w:pPr>
    </w:p>
    <w:p w:rsidR="005873F3" w:rsidRDefault="00472E58">
      <w:pPr>
        <w:pStyle w:val="BodyText"/>
        <w:spacing w:before="79" w:line="360" w:lineRule="auto"/>
        <w:ind w:left="660"/>
      </w:pPr>
      <w:r>
        <w:lastRenderedPageBreak/>
        <w:t>must be returned in at least as good a condition as it wa</w:t>
      </w:r>
      <w:r>
        <w:t>s when the consumer made it available to the supplier.</w:t>
      </w:r>
    </w:p>
    <w:p w:rsidR="005873F3" w:rsidRDefault="005873F3">
      <w:pPr>
        <w:pStyle w:val="BodyText"/>
        <w:spacing w:before="8"/>
        <w:rPr>
          <w:sz w:val="35"/>
        </w:rPr>
      </w:pPr>
    </w:p>
    <w:p w:rsidR="005873F3" w:rsidRPr="00C75354" w:rsidRDefault="00C75354" w:rsidP="00C75354">
      <w:pPr>
        <w:tabs>
          <w:tab w:val="left" w:pos="661"/>
        </w:tabs>
        <w:spacing w:line="360" w:lineRule="auto"/>
        <w:ind w:left="660" w:right="236" w:hanging="428"/>
        <w:jc w:val="both"/>
        <w:rPr>
          <w:sz w:val="24"/>
        </w:rPr>
      </w:pPr>
      <w:r>
        <w:rPr>
          <w:spacing w:val="-32"/>
          <w:w w:val="99"/>
          <w:sz w:val="24"/>
          <w:szCs w:val="24"/>
        </w:rPr>
        <w:t>28.</w:t>
      </w:r>
      <w:r>
        <w:rPr>
          <w:spacing w:val="-32"/>
          <w:w w:val="99"/>
          <w:sz w:val="24"/>
          <w:szCs w:val="24"/>
        </w:rPr>
        <w:tab/>
      </w:r>
      <w:r w:rsidR="00472E58" w:rsidRPr="00C75354">
        <w:rPr>
          <w:sz w:val="24"/>
        </w:rPr>
        <w:t>Section 54(2) (a-b) states that if a supplier fails to perform a service to the standards contemplated in subsection (1), the consumer may require the supplier to remedy the defect in quality or refun</w:t>
      </w:r>
      <w:r w:rsidR="00472E58" w:rsidRPr="00C75354">
        <w:rPr>
          <w:sz w:val="24"/>
        </w:rPr>
        <w:t>d the consumer a reasonable portion of the price paid for the services</w:t>
      </w:r>
      <w:r w:rsidR="00472E58" w:rsidRPr="00C75354">
        <w:rPr>
          <w:spacing w:val="-1"/>
          <w:sz w:val="24"/>
        </w:rPr>
        <w:t xml:space="preserve"> </w:t>
      </w:r>
      <w:r w:rsidR="00472E58" w:rsidRPr="00C75354">
        <w:rPr>
          <w:sz w:val="24"/>
        </w:rPr>
        <w:t>performed.</w:t>
      </w:r>
    </w:p>
    <w:p w:rsidR="005873F3" w:rsidRDefault="005873F3">
      <w:pPr>
        <w:pStyle w:val="BodyText"/>
        <w:spacing w:before="10"/>
        <w:rPr>
          <w:sz w:val="20"/>
        </w:rPr>
      </w:pPr>
    </w:p>
    <w:p w:rsidR="005873F3" w:rsidRDefault="00472E58">
      <w:pPr>
        <w:pStyle w:val="Heading1"/>
      </w:pPr>
      <w:r>
        <w:t>CONSIDERATION OF THE EVIDENCE</w:t>
      </w:r>
    </w:p>
    <w:p w:rsidR="005873F3" w:rsidRDefault="005873F3">
      <w:pPr>
        <w:pStyle w:val="BodyText"/>
        <w:rPr>
          <w:b/>
          <w:sz w:val="33"/>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29.</w:t>
      </w:r>
      <w:r>
        <w:rPr>
          <w:spacing w:val="-32"/>
          <w:w w:val="99"/>
          <w:sz w:val="24"/>
          <w:szCs w:val="24"/>
        </w:rPr>
        <w:tab/>
      </w:r>
      <w:r w:rsidR="00472E58" w:rsidRPr="00C75354">
        <w:rPr>
          <w:sz w:val="24"/>
        </w:rPr>
        <w:t>Both witnesses appeared knowledgeable and credible, but their testimony only confirmed general mechanical processes and procedures. Neither ha</w:t>
      </w:r>
      <w:r w:rsidR="00472E58" w:rsidRPr="00C75354">
        <w:rPr>
          <w:sz w:val="24"/>
        </w:rPr>
        <w:t>d examined the vehicle in question or performed any diagnostic assessment on it. They were unable to confirm whether the vehicle is in a worse condition now, as alleged by the Applicant. Without a recent diagnostic report, the Tribunal is unable to determi</w:t>
      </w:r>
      <w:r w:rsidR="00472E58" w:rsidRPr="00C75354">
        <w:rPr>
          <w:sz w:val="24"/>
        </w:rPr>
        <w:t>ne the current condition of the vehicle or whether any attempted repairs made by the Respondent have worsened the condition of the</w:t>
      </w:r>
      <w:r w:rsidR="00472E58" w:rsidRPr="00C75354">
        <w:rPr>
          <w:spacing w:val="-6"/>
          <w:sz w:val="24"/>
        </w:rPr>
        <w:t xml:space="preserve"> </w:t>
      </w:r>
      <w:r w:rsidR="00472E58" w:rsidRPr="00C75354">
        <w:rPr>
          <w:sz w:val="24"/>
        </w:rPr>
        <w:t>vehicle.</w:t>
      </w:r>
    </w:p>
    <w:p w:rsidR="005873F3" w:rsidRDefault="005873F3">
      <w:pPr>
        <w:pStyle w:val="BodyText"/>
        <w:spacing w:before="9"/>
        <w:rPr>
          <w:sz w:val="20"/>
        </w:rPr>
      </w:pPr>
    </w:p>
    <w:p w:rsidR="005873F3" w:rsidRPr="00C75354" w:rsidRDefault="00C75354" w:rsidP="00C75354">
      <w:pPr>
        <w:tabs>
          <w:tab w:val="left" w:pos="661"/>
        </w:tabs>
        <w:spacing w:before="1" w:line="360" w:lineRule="auto"/>
        <w:ind w:left="660" w:hanging="428"/>
        <w:jc w:val="both"/>
        <w:rPr>
          <w:sz w:val="24"/>
        </w:rPr>
      </w:pPr>
      <w:r>
        <w:rPr>
          <w:spacing w:val="-32"/>
          <w:w w:val="99"/>
          <w:sz w:val="24"/>
          <w:szCs w:val="24"/>
        </w:rPr>
        <w:t>30.</w:t>
      </w:r>
      <w:r>
        <w:rPr>
          <w:spacing w:val="-32"/>
          <w:w w:val="99"/>
          <w:sz w:val="24"/>
          <w:szCs w:val="24"/>
        </w:rPr>
        <w:tab/>
      </w:r>
      <w:r w:rsidR="00472E58" w:rsidRPr="00C75354">
        <w:rPr>
          <w:sz w:val="24"/>
        </w:rPr>
        <w:t>Since the matter was heard on an unopposed basis, the reasons why the Respondent chose to follow an unusual sequenc</w:t>
      </w:r>
      <w:r w:rsidR="00472E58" w:rsidRPr="00C75354">
        <w:rPr>
          <w:sz w:val="24"/>
        </w:rPr>
        <w:t>e for performing the diagnostic test remain unknown.</w:t>
      </w:r>
    </w:p>
    <w:p w:rsidR="005873F3" w:rsidRDefault="005873F3">
      <w:pPr>
        <w:pStyle w:val="BodyText"/>
        <w:spacing w:before="9"/>
        <w:rPr>
          <w:sz w:val="20"/>
        </w:rPr>
      </w:pPr>
    </w:p>
    <w:p w:rsidR="005873F3" w:rsidRPr="00C75354" w:rsidRDefault="00C75354" w:rsidP="00C75354">
      <w:pPr>
        <w:tabs>
          <w:tab w:val="left" w:pos="661"/>
        </w:tabs>
        <w:spacing w:line="360" w:lineRule="auto"/>
        <w:ind w:left="660" w:right="234" w:hanging="428"/>
        <w:jc w:val="both"/>
        <w:rPr>
          <w:sz w:val="24"/>
        </w:rPr>
      </w:pPr>
      <w:r>
        <w:rPr>
          <w:spacing w:val="-32"/>
          <w:w w:val="99"/>
          <w:sz w:val="24"/>
          <w:szCs w:val="24"/>
        </w:rPr>
        <w:t>31.</w:t>
      </w:r>
      <w:r>
        <w:rPr>
          <w:spacing w:val="-32"/>
          <w:w w:val="99"/>
          <w:sz w:val="24"/>
          <w:szCs w:val="24"/>
        </w:rPr>
        <w:tab/>
      </w:r>
      <w:r w:rsidR="00472E58" w:rsidRPr="00C75354">
        <w:rPr>
          <w:sz w:val="24"/>
        </w:rPr>
        <w:t>The Applicant failed to prove that too much Quickstart was used on the engine and that this caused the alleged knocking noise coming from the</w:t>
      </w:r>
      <w:r w:rsidR="00472E58" w:rsidRPr="00C75354">
        <w:rPr>
          <w:spacing w:val="-10"/>
          <w:sz w:val="24"/>
        </w:rPr>
        <w:t xml:space="preserve"> </w:t>
      </w:r>
      <w:r w:rsidR="00472E58" w:rsidRPr="00C75354">
        <w:rPr>
          <w:sz w:val="24"/>
        </w:rPr>
        <w:t>engine.</w:t>
      </w:r>
    </w:p>
    <w:p w:rsidR="005873F3" w:rsidRDefault="005873F3">
      <w:pPr>
        <w:pStyle w:val="BodyText"/>
        <w:spacing w:before="10"/>
        <w:rPr>
          <w:sz w:val="20"/>
        </w:rPr>
      </w:pPr>
    </w:p>
    <w:p w:rsidR="005873F3" w:rsidRPr="00C75354" w:rsidRDefault="00C75354" w:rsidP="00C75354">
      <w:pPr>
        <w:tabs>
          <w:tab w:val="left" w:pos="661"/>
        </w:tabs>
        <w:spacing w:line="360" w:lineRule="auto"/>
        <w:ind w:left="660" w:hanging="428"/>
        <w:jc w:val="both"/>
        <w:rPr>
          <w:sz w:val="24"/>
        </w:rPr>
      </w:pPr>
      <w:r>
        <w:rPr>
          <w:spacing w:val="-32"/>
          <w:w w:val="99"/>
          <w:sz w:val="24"/>
          <w:szCs w:val="24"/>
        </w:rPr>
        <w:t>32.</w:t>
      </w:r>
      <w:r>
        <w:rPr>
          <w:spacing w:val="-32"/>
          <w:w w:val="99"/>
          <w:sz w:val="24"/>
          <w:szCs w:val="24"/>
        </w:rPr>
        <w:tab/>
      </w:r>
      <w:r w:rsidR="00472E58" w:rsidRPr="00C75354">
        <w:rPr>
          <w:sz w:val="24"/>
        </w:rPr>
        <w:t>Although it is unclear what the specific fault of t</w:t>
      </w:r>
      <w:r w:rsidR="00472E58" w:rsidRPr="00C75354">
        <w:rPr>
          <w:sz w:val="24"/>
        </w:rPr>
        <w:t>he vehicle is, it is apparent that the repairs were not carried out as requested by the Applicant. The vehicle remains inoperable some two years later. The vehicle is still unable to start instantly and emits excessive smoke when the engine</w:t>
      </w:r>
      <w:r w:rsidR="00472E58" w:rsidRPr="00C75354">
        <w:rPr>
          <w:spacing w:val="-2"/>
          <w:sz w:val="24"/>
        </w:rPr>
        <w:t xml:space="preserve"> </w:t>
      </w:r>
      <w:r w:rsidR="00472E58" w:rsidRPr="00C75354">
        <w:rPr>
          <w:sz w:val="24"/>
        </w:rPr>
        <w:t>runs.</w:t>
      </w:r>
    </w:p>
    <w:p w:rsidR="005873F3" w:rsidRDefault="005873F3">
      <w:pPr>
        <w:pStyle w:val="BodyText"/>
        <w:spacing w:before="10"/>
        <w:rPr>
          <w:sz w:val="20"/>
        </w:rPr>
      </w:pPr>
    </w:p>
    <w:p w:rsidR="005873F3" w:rsidRPr="00C75354" w:rsidRDefault="00C75354" w:rsidP="00C75354">
      <w:pPr>
        <w:tabs>
          <w:tab w:val="left" w:pos="661"/>
        </w:tabs>
        <w:spacing w:line="360" w:lineRule="auto"/>
        <w:ind w:left="660" w:right="235" w:hanging="428"/>
        <w:jc w:val="both"/>
        <w:rPr>
          <w:sz w:val="24"/>
        </w:rPr>
      </w:pPr>
      <w:r>
        <w:rPr>
          <w:spacing w:val="-32"/>
          <w:w w:val="99"/>
          <w:sz w:val="24"/>
          <w:szCs w:val="24"/>
        </w:rPr>
        <w:t>33.</w:t>
      </w:r>
      <w:r>
        <w:rPr>
          <w:spacing w:val="-32"/>
          <w:w w:val="99"/>
          <w:sz w:val="24"/>
          <w:szCs w:val="24"/>
        </w:rPr>
        <w:tab/>
      </w:r>
      <w:r w:rsidR="00472E58" w:rsidRPr="00C75354">
        <w:rPr>
          <w:sz w:val="24"/>
        </w:rPr>
        <w:t>Since the Applicant has not paid any money to the Respondent, he is not requesting a refund but simply for the vehicle to be released and to be absolved of any claim for repairs from the Respondent since they were not performed</w:t>
      </w:r>
      <w:r w:rsidR="00472E58" w:rsidRPr="00C75354">
        <w:rPr>
          <w:spacing w:val="-12"/>
          <w:sz w:val="24"/>
        </w:rPr>
        <w:t xml:space="preserve"> </w:t>
      </w:r>
      <w:r w:rsidR="00472E58" w:rsidRPr="00C75354">
        <w:rPr>
          <w:sz w:val="24"/>
        </w:rPr>
        <w:t>correctly.</w:t>
      </w:r>
    </w:p>
    <w:p w:rsidR="005873F3" w:rsidRDefault="005873F3">
      <w:pPr>
        <w:pStyle w:val="BodyText"/>
        <w:rPr>
          <w:sz w:val="21"/>
        </w:rPr>
      </w:pPr>
    </w:p>
    <w:p w:rsidR="005873F3" w:rsidRDefault="00472E58">
      <w:pPr>
        <w:pStyle w:val="Heading1"/>
        <w:spacing w:before="1"/>
      </w:pPr>
      <w:r>
        <w:t>CONCLUSION</w:t>
      </w:r>
    </w:p>
    <w:p w:rsidR="005873F3" w:rsidRDefault="005873F3">
      <w:pPr>
        <w:pStyle w:val="BodyText"/>
        <w:spacing w:before="8"/>
        <w:rPr>
          <w:b/>
          <w:sz w:val="32"/>
        </w:rPr>
      </w:pPr>
    </w:p>
    <w:p w:rsidR="005873F3" w:rsidRPr="00C75354" w:rsidRDefault="00C75354" w:rsidP="00C75354">
      <w:pPr>
        <w:tabs>
          <w:tab w:val="left" w:pos="661"/>
        </w:tabs>
        <w:spacing w:line="360" w:lineRule="auto"/>
        <w:ind w:left="660" w:right="228" w:hanging="428"/>
        <w:jc w:val="both"/>
        <w:rPr>
          <w:sz w:val="24"/>
        </w:rPr>
      </w:pPr>
      <w:r>
        <w:rPr>
          <w:spacing w:val="-32"/>
          <w:w w:val="99"/>
          <w:sz w:val="24"/>
          <w:szCs w:val="24"/>
        </w:rPr>
        <w:t>34.</w:t>
      </w:r>
      <w:r>
        <w:rPr>
          <w:spacing w:val="-32"/>
          <w:w w:val="99"/>
          <w:sz w:val="24"/>
          <w:szCs w:val="24"/>
        </w:rPr>
        <w:tab/>
      </w:r>
      <w:r w:rsidR="00472E58" w:rsidRPr="00C75354">
        <w:rPr>
          <w:sz w:val="24"/>
        </w:rPr>
        <w:t xml:space="preserve">The </w:t>
      </w:r>
      <w:r w:rsidR="00472E58" w:rsidRPr="00C75354">
        <w:rPr>
          <w:sz w:val="24"/>
        </w:rPr>
        <w:t>Tribunal is convinced that the Respondent failed to carry out the repairs to the vehicle in a timely manner and with the level of quality that persons are generally entitled to</w:t>
      </w:r>
      <w:r w:rsidR="00472E58" w:rsidRPr="00C75354">
        <w:rPr>
          <w:spacing w:val="-3"/>
          <w:sz w:val="24"/>
        </w:rPr>
        <w:t xml:space="preserve"> </w:t>
      </w:r>
      <w:r w:rsidR="00472E58" w:rsidRPr="00C75354">
        <w:rPr>
          <w:sz w:val="24"/>
        </w:rPr>
        <w:t>expect.</w:t>
      </w:r>
    </w:p>
    <w:p w:rsidR="005873F3" w:rsidRDefault="005873F3">
      <w:pPr>
        <w:spacing w:line="360" w:lineRule="auto"/>
        <w:jc w:val="both"/>
        <w:rPr>
          <w:sz w:val="24"/>
        </w:rPr>
        <w:sectPr w:rsidR="005873F3">
          <w:pgSz w:w="11910" w:h="16840"/>
          <w:pgMar w:top="760" w:right="900" w:bottom="680" w:left="900" w:header="0" w:footer="405" w:gutter="0"/>
          <w:cols w:space="720"/>
        </w:sectPr>
      </w:pPr>
    </w:p>
    <w:p w:rsidR="005873F3" w:rsidRPr="00C75354" w:rsidRDefault="00C75354" w:rsidP="00C75354">
      <w:pPr>
        <w:tabs>
          <w:tab w:val="left" w:pos="661"/>
        </w:tabs>
        <w:spacing w:before="79" w:line="360" w:lineRule="auto"/>
        <w:ind w:left="660" w:right="233" w:hanging="428"/>
        <w:rPr>
          <w:sz w:val="24"/>
        </w:rPr>
      </w:pPr>
      <w:r>
        <w:rPr>
          <w:spacing w:val="-32"/>
          <w:w w:val="99"/>
          <w:sz w:val="24"/>
          <w:szCs w:val="24"/>
        </w:rPr>
        <w:lastRenderedPageBreak/>
        <w:t>35.</w:t>
      </w:r>
      <w:r>
        <w:rPr>
          <w:spacing w:val="-32"/>
          <w:w w:val="99"/>
          <w:sz w:val="24"/>
          <w:szCs w:val="24"/>
        </w:rPr>
        <w:tab/>
      </w:r>
      <w:r w:rsidR="00472E58" w:rsidRPr="00C75354">
        <w:rPr>
          <w:sz w:val="24"/>
        </w:rPr>
        <w:t>On this basis, the Respondent is found to have failed</w:t>
      </w:r>
      <w:r w:rsidR="00472E58" w:rsidRPr="00C75354">
        <w:rPr>
          <w:sz w:val="24"/>
        </w:rPr>
        <w:t xml:space="preserve"> in its statutory duty in terms of section</w:t>
      </w:r>
      <w:r w:rsidR="00472E58" w:rsidRPr="00C75354">
        <w:rPr>
          <w:spacing w:val="-2"/>
          <w:sz w:val="24"/>
        </w:rPr>
        <w:t xml:space="preserve"> </w:t>
      </w:r>
      <w:r w:rsidR="00472E58" w:rsidRPr="00C75354">
        <w:rPr>
          <w:sz w:val="24"/>
        </w:rPr>
        <w:t>54(1).</w:t>
      </w:r>
    </w:p>
    <w:p w:rsidR="005873F3" w:rsidRDefault="005873F3">
      <w:pPr>
        <w:pStyle w:val="BodyText"/>
        <w:spacing w:before="10"/>
        <w:rPr>
          <w:sz w:val="20"/>
        </w:rPr>
      </w:pPr>
    </w:p>
    <w:p w:rsidR="005873F3" w:rsidRDefault="00472E58">
      <w:pPr>
        <w:pStyle w:val="Heading1"/>
      </w:pPr>
      <w:r>
        <w:t>ORDER</w:t>
      </w:r>
    </w:p>
    <w:p w:rsidR="005873F3" w:rsidRDefault="005873F3">
      <w:pPr>
        <w:pStyle w:val="BodyText"/>
        <w:spacing w:before="9"/>
        <w:rPr>
          <w:b/>
          <w:sz w:val="32"/>
        </w:rPr>
      </w:pPr>
    </w:p>
    <w:p w:rsidR="005873F3" w:rsidRPr="00C75354" w:rsidRDefault="00C75354" w:rsidP="00C75354">
      <w:pPr>
        <w:tabs>
          <w:tab w:val="left" w:pos="661"/>
        </w:tabs>
        <w:ind w:left="660" w:hanging="429"/>
        <w:rPr>
          <w:sz w:val="24"/>
        </w:rPr>
      </w:pPr>
      <w:r>
        <w:rPr>
          <w:spacing w:val="-32"/>
          <w:w w:val="99"/>
          <w:sz w:val="24"/>
          <w:szCs w:val="24"/>
        </w:rPr>
        <w:t>36.</w:t>
      </w:r>
      <w:r>
        <w:rPr>
          <w:spacing w:val="-32"/>
          <w:w w:val="99"/>
          <w:sz w:val="24"/>
          <w:szCs w:val="24"/>
        </w:rPr>
        <w:tab/>
      </w:r>
      <w:r w:rsidR="00472E58" w:rsidRPr="00C75354">
        <w:rPr>
          <w:sz w:val="24"/>
        </w:rPr>
        <w:t>Accordingly, the Tribunal makes the following</w:t>
      </w:r>
      <w:r w:rsidR="00472E58" w:rsidRPr="00C75354">
        <w:rPr>
          <w:spacing w:val="-3"/>
          <w:sz w:val="24"/>
        </w:rPr>
        <w:t xml:space="preserve"> </w:t>
      </w:r>
      <w:r w:rsidR="00472E58" w:rsidRPr="00C75354">
        <w:rPr>
          <w:sz w:val="24"/>
        </w:rPr>
        <w:t>order:</w:t>
      </w:r>
    </w:p>
    <w:p w:rsidR="005873F3" w:rsidRDefault="005873F3">
      <w:pPr>
        <w:pStyle w:val="BodyText"/>
        <w:spacing w:before="11"/>
        <w:rPr>
          <w:sz w:val="32"/>
        </w:rPr>
      </w:pPr>
    </w:p>
    <w:p w:rsidR="005873F3" w:rsidRPr="00C75354" w:rsidRDefault="00C75354" w:rsidP="00C75354">
      <w:pPr>
        <w:tabs>
          <w:tab w:val="left" w:pos="1194"/>
        </w:tabs>
        <w:ind w:left="1193" w:hanging="536"/>
        <w:rPr>
          <w:sz w:val="24"/>
        </w:rPr>
      </w:pPr>
      <w:r>
        <w:rPr>
          <w:w w:val="99"/>
          <w:sz w:val="24"/>
          <w:szCs w:val="24"/>
        </w:rPr>
        <w:t>36.1</w:t>
      </w:r>
      <w:r>
        <w:rPr>
          <w:w w:val="99"/>
          <w:sz w:val="24"/>
          <w:szCs w:val="24"/>
        </w:rPr>
        <w:tab/>
      </w:r>
      <w:r w:rsidR="00472E58" w:rsidRPr="00C75354">
        <w:rPr>
          <w:sz w:val="24"/>
        </w:rPr>
        <w:t>The Respondent contravened section 54(1) of the</w:t>
      </w:r>
      <w:r w:rsidR="00472E58" w:rsidRPr="00C75354">
        <w:rPr>
          <w:spacing w:val="-2"/>
          <w:sz w:val="24"/>
        </w:rPr>
        <w:t xml:space="preserve"> </w:t>
      </w:r>
      <w:r w:rsidR="00472E58" w:rsidRPr="00C75354">
        <w:rPr>
          <w:sz w:val="24"/>
        </w:rPr>
        <w:t>CPA;</w:t>
      </w:r>
    </w:p>
    <w:p w:rsidR="005873F3" w:rsidRDefault="005873F3">
      <w:pPr>
        <w:pStyle w:val="BodyText"/>
        <w:rPr>
          <w:sz w:val="26"/>
        </w:rPr>
      </w:pPr>
    </w:p>
    <w:p w:rsidR="005873F3" w:rsidRDefault="005873F3">
      <w:pPr>
        <w:pStyle w:val="BodyText"/>
        <w:rPr>
          <w:sz w:val="22"/>
        </w:rPr>
      </w:pPr>
    </w:p>
    <w:p w:rsidR="005873F3" w:rsidRPr="00C75354" w:rsidRDefault="00C75354" w:rsidP="00C75354">
      <w:pPr>
        <w:tabs>
          <w:tab w:val="left" w:pos="1194"/>
        </w:tabs>
        <w:spacing w:line="360" w:lineRule="auto"/>
        <w:ind w:left="1226" w:right="558" w:hanging="569"/>
        <w:rPr>
          <w:sz w:val="24"/>
        </w:rPr>
      </w:pPr>
      <w:r>
        <w:rPr>
          <w:w w:val="99"/>
          <w:sz w:val="24"/>
          <w:szCs w:val="24"/>
        </w:rPr>
        <w:t>36.2</w:t>
      </w:r>
      <w:r>
        <w:rPr>
          <w:w w:val="99"/>
          <w:sz w:val="24"/>
          <w:szCs w:val="24"/>
        </w:rPr>
        <w:tab/>
      </w:r>
      <w:r w:rsidR="00472E58" w:rsidRPr="00C75354">
        <w:rPr>
          <w:sz w:val="24"/>
        </w:rPr>
        <w:t>The Respondent must release the vehicle in question, with registration number CCV957L, to the Applicant</w:t>
      </w:r>
      <w:r w:rsidR="00472E58" w:rsidRPr="00C75354">
        <w:rPr>
          <w:spacing w:val="2"/>
          <w:sz w:val="24"/>
        </w:rPr>
        <w:t xml:space="preserve"> </w:t>
      </w:r>
      <w:r w:rsidR="00472E58" w:rsidRPr="00C75354">
        <w:rPr>
          <w:sz w:val="24"/>
        </w:rPr>
        <w:t>immediately;</w:t>
      </w:r>
    </w:p>
    <w:p w:rsidR="005873F3" w:rsidRDefault="005873F3">
      <w:pPr>
        <w:pStyle w:val="BodyText"/>
        <w:spacing w:before="10"/>
        <w:rPr>
          <w:sz w:val="35"/>
        </w:rPr>
      </w:pPr>
    </w:p>
    <w:p w:rsidR="005873F3" w:rsidRPr="00C75354" w:rsidRDefault="00C75354" w:rsidP="00C75354">
      <w:pPr>
        <w:tabs>
          <w:tab w:val="left" w:pos="1194"/>
        </w:tabs>
        <w:spacing w:before="1" w:line="362" w:lineRule="auto"/>
        <w:ind w:left="1226" w:right="291" w:hanging="569"/>
        <w:rPr>
          <w:sz w:val="24"/>
        </w:rPr>
      </w:pPr>
      <w:r>
        <w:rPr>
          <w:w w:val="99"/>
          <w:sz w:val="24"/>
          <w:szCs w:val="24"/>
        </w:rPr>
        <w:t>36.3</w:t>
      </w:r>
      <w:r>
        <w:rPr>
          <w:w w:val="99"/>
          <w:sz w:val="24"/>
          <w:szCs w:val="24"/>
        </w:rPr>
        <w:tab/>
      </w:r>
      <w:r w:rsidR="00472E58" w:rsidRPr="00C75354">
        <w:rPr>
          <w:sz w:val="24"/>
        </w:rPr>
        <w:t>The Applicant is not liable to pay the Respondent any fees for the repair, storage, or release of the vehicle;</w:t>
      </w:r>
      <w:r w:rsidR="00472E58" w:rsidRPr="00C75354">
        <w:rPr>
          <w:spacing w:val="-6"/>
          <w:sz w:val="24"/>
        </w:rPr>
        <w:t xml:space="preserve"> </w:t>
      </w:r>
      <w:r w:rsidR="00472E58" w:rsidRPr="00C75354">
        <w:rPr>
          <w:sz w:val="24"/>
        </w:rPr>
        <w:t>and</w:t>
      </w:r>
    </w:p>
    <w:p w:rsidR="005873F3" w:rsidRDefault="005873F3">
      <w:pPr>
        <w:pStyle w:val="BodyText"/>
        <w:spacing w:before="5"/>
        <w:rPr>
          <w:sz w:val="35"/>
        </w:rPr>
      </w:pPr>
    </w:p>
    <w:p w:rsidR="005873F3" w:rsidRPr="00C75354" w:rsidRDefault="00C75354" w:rsidP="00C75354">
      <w:pPr>
        <w:tabs>
          <w:tab w:val="left" w:pos="1227"/>
        </w:tabs>
        <w:ind w:left="1226" w:hanging="567"/>
        <w:rPr>
          <w:sz w:val="24"/>
        </w:rPr>
      </w:pPr>
      <w:r>
        <w:rPr>
          <w:w w:val="99"/>
          <w:sz w:val="24"/>
          <w:szCs w:val="24"/>
        </w:rPr>
        <w:t>36.4</w:t>
      </w:r>
      <w:r>
        <w:rPr>
          <w:w w:val="99"/>
          <w:sz w:val="24"/>
          <w:szCs w:val="24"/>
        </w:rPr>
        <w:tab/>
      </w:r>
      <w:r w:rsidR="00472E58" w:rsidRPr="00C75354">
        <w:rPr>
          <w:sz w:val="24"/>
        </w:rPr>
        <w:t>There is no cost order</w:t>
      </w:r>
      <w:r w:rsidR="00472E58" w:rsidRPr="00C75354">
        <w:rPr>
          <w:sz w:val="24"/>
        </w:rPr>
        <w:t>.</w:t>
      </w:r>
    </w:p>
    <w:p w:rsidR="005873F3" w:rsidRDefault="005873F3">
      <w:pPr>
        <w:pStyle w:val="BodyText"/>
        <w:spacing w:before="9"/>
        <w:rPr>
          <w:sz w:val="36"/>
        </w:rPr>
      </w:pPr>
    </w:p>
    <w:p w:rsidR="005873F3" w:rsidRDefault="00472E58">
      <w:pPr>
        <w:pStyle w:val="BodyText"/>
        <w:spacing w:line="820" w:lineRule="atLeast"/>
        <w:ind w:left="232" w:right="3882"/>
      </w:pPr>
      <w:r>
        <w:t>DATED ON THIS 24</w:t>
      </w:r>
      <w:r>
        <w:rPr>
          <w:position w:val="8"/>
          <w:sz w:val="16"/>
        </w:rPr>
        <w:t xml:space="preserve">TH </w:t>
      </w:r>
      <w:r>
        <w:t>DAY OF FEBRUARY 2023. [SIGNED]</w:t>
      </w:r>
    </w:p>
    <w:p w:rsidR="005873F3" w:rsidRDefault="00472E58">
      <w:pPr>
        <w:pStyle w:val="BodyText"/>
        <w:spacing w:before="145"/>
        <w:ind w:left="232"/>
      </w:pPr>
      <w:r>
        <w:t>Adv C Sassman</w:t>
      </w:r>
    </w:p>
    <w:p w:rsidR="005873F3" w:rsidRDefault="00472E58">
      <w:pPr>
        <w:pStyle w:val="BodyText"/>
        <w:spacing w:before="140"/>
        <w:ind w:left="232"/>
      </w:pPr>
      <w:r>
        <w:rPr>
          <w:u w:val="single"/>
        </w:rPr>
        <w:t>Presiding Tribunal Member</w:t>
      </w:r>
    </w:p>
    <w:p w:rsidR="005873F3" w:rsidRDefault="005873F3">
      <w:pPr>
        <w:pStyle w:val="BodyText"/>
        <w:rPr>
          <w:sz w:val="20"/>
        </w:rPr>
      </w:pPr>
    </w:p>
    <w:p w:rsidR="005873F3" w:rsidRDefault="005873F3">
      <w:pPr>
        <w:pStyle w:val="BodyText"/>
        <w:rPr>
          <w:sz w:val="20"/>
        </w:rPr>
      </w:pPr>
    </w:p>
    <w:p w:rsidR="005873F3" w:rsidRDefault="00472E58">
      <w:pPr>
        <w:pStyle w:val="BodyText"/>
        <w:spacing w:before="92"/>
        <w:ind w:left="232"/>
      </w:pPr>
      <w:r>
        <w:t>Tribunal Members Ms P Manzi-Ntshingila and Mr C Ntsoane concur.</w:t>
      </w:r>
    </w:p>
    <w:p w:rsidR="005873F3" w:rsidRDefault="005873F3">
      <w:pPr>
        <w:pStyle w:val="BodyText"/>
        <w:rPr>
          <w:sz w:val="20"/>
        </w:rPr>
      </w:pPr>
    </w:p>
    <w:p w:rsidR="005873F3" w:rsidRDefault="005873F3">
      <w:pPr>
        <w:pStyle w:val="BodyText"/>
        <w:rPr>
          <w:sz w:val="20"/>
        </w:rPr>
      </w:pPr>
    </w:p>
    <w:p w:rsidR="005873F3" w:rsidRDefault="005873F3">
      <w:pPr>
        <w:pStyle w:val="BodyText"/>
        <w:rPr>
          <w:sz w:val="20"/>
        </w:rPr>
      </w:pPr>
    </w:p>
    <w:p w:rsidR="005873F3" w:rsidRDefault="00472E58">
      <w:pPr>
        <w:pStyle w:val="BodyText"/>
        <w:spacing w:before="5"/>
        <w:rPr>
          <w:sz w:val="10"/>
        </w:rPr>
      </w:pPr>
      <w:r>
        <w:rPr>
          <w:noProof/>
          <w:lang w:bidi="ar-SA"/>
        </w:rPr>
        <w:drawing>
          <wp:anchor distT="0" distB="0" distL="0" distR="0" simplePos="0" relativeHeight="2" behindDoc="0" locked="0" layoutInCell="1" allowOverlap="1">
            <wp:simplePos x="0" y="0"/>
            <wp:positionH relativeFrom="page">
              <wp:posOffset>791192</wp:posOffset>
            </wp:positionH>
            <wp:positionV relativeFrom="paragraph">
              <wp:posOffset>101178</wp:posOffset>
            </wp:positionV>
            <wp:extent cx="3169567" cy="16384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69567" cy="1638490"/>
                    </a:xfrm>
                    <a:prstGeom prst="rect">
                      <a:avLst/>
                    </a:prstGeom>
                  </pic:spPr>
                </pic:pic>
              </a:graphicData>
            </a:graphic>
          </wp:anchor>
        </w:drawing>
      </w:r>
    </w:p>
    <w:sectPr w:rsidR="005873F3">
      <w:pgSz w:w="11910" w:h="16840"/>
      <w:pgMar w:top="760" w:right="900" w:bottom="680" w:left="900" w:header="0" w:footer="4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58" w:rsidRDefault="00472E58">
      <w:r>
        <w:separator/>
      </w:r>
    </w:p>
  </w:endnote>
  <w:endnote w:type="continuationSeparator" w:id="0">
    <w:p w:rsidR="00472E58" w:rsidRDefault="0047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F3" w:rsidRDefault="00472E5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806.7pt;width:39.75pt;height:12.35pt;z-index:-251658752;mso-position-horizontal-relative:page;mso-position-vertical-relative:page" filled="f" stroked="f">
          <v:textbox inset="0,0,0,0">
            <w:txbxContent>
              <w:p w:rsidR="005873F3" w:rsidRDefault="00472E58">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C75354">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58" w:rsidRDefault="00472E58">
      <w:r>
        <w:separator/>
      </w:r>
    </w:p>
  </w:footnote>
  <w:footnote w:type="continuationSeparator" w:id="0">
    <w:p w:rsidR="00472E58" w:rsidRDefault="00472E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F5623"/>
    <w:multiLevelType w:val="multilevel"/>
    <w:tmpl w:val="33521EC2"/>
    <w:lvl w:ilvl="0">
      <w:start w:val="1"/>
      <w:numFmt w:val="decimal"/>
      <w:lvlText w:val="%1."/>
      <w:lvlJc w:val="left"/>
      <w:pPr>
        <w:ind w:left="660" w:hanging="428"/>
        <w:jc w:val="left"/>
      </w:pPr>
      <w:rPr>
        <w:rFonts w:ascii="Arial" w:eastAsia="Arial" w:hAnsi="Arial" w:cs="Arial" w:hint="default"/>
        <w:spacing w:val="-32"/>
        <w:w w:val="99"/>
        <w:sz w:val="24"/>
        <w:szCs w:val="24"/>
        <w:lang w:val="en-ZA" w:eastAsia="en-ZA" w:bidi="en-ZA"/>
      </w:rPr>
    </w:lvl>
    <w:lvl w:ilvl="1">
      <w:start w:val="1"/>
      <w:numFmt w:val="decimal"/>
      <w:lvlText w:val="%1.%2"/>
      <w:lvlJc w:val="left"/>
      <w:pPr>
        <w:ind w:left="1193" w:hanging="536"/>
        <w:jc w:val="left"/>
      </w:pPr>
      <w:rPr>
        <w:rFonts w:ascii="Arial" w:eastAsia="Arial" w:hAnsi="Arial" w:cs="Arial" w:hint="default"/>
        <w:w w:val="99"/>
        <w:sz w:val="24"/>
        <w:szCs w:val="24"/>
        <w:lang w:val="en-ZA" w:eastAsia="en-ZA" w:bidi="en-ZA"/>
      </w:rPr>
    </w:lvl>
    <w:lvl w:ilvl="2">
      <w:numFmt w:val="bullet"/>
      <w:lvlText w:val="•"/>
      <w:lvlJc w:val="left"/>
      <w:pPr>
        <w:ind w:left="2189" w:hanging="536"/>
      </w:pPr>
      <w:rPr>
        <w:rFonts w:hint="default"/>
        <w:lang w:val="en-ZA" w:eastAsia="en-ZA" w:bidi="en-ZA"/>
      </w:rPr>
    </w:lvl>
    <w:lvl w:ilvl="3">
      <w:numFmt w:val="bullet"/>
      <w:lvlText w:val="•"/>
      <w:lvlJc w:val="left"/>
      <w:pPr>
        <w:ind w:left="3179" w:hanging="536"/>
      </w:pPr>
      <w:rPr>
        <w:rFonts w:hint="default"/>
        <w:lang w:val="en-ZA" w:eastAsia="en-ZA" w:bidi="en-ZA"/>
      </w:rPr>
    </w:lvl>
    <w:lvl w:ilvl="4">
      <w:numFmt w:val="bullet"/>
      <w:lvlText w:val="•"/>
      <w:lvlJc w:val="left"/>
      <w:pPr>
        <w:ind w:left="4168" w:hanging="536"/>
      </w:pPr>
      <w:rPr>
        <w:rFonts w:hint="default"/>
        <w:lang w:val="en-ZA" w:eastAsia="en-ZA" w:bidi="en-ZA"/>
      </w:rPr>
    </w:lvl>
    <w:lvl w:ilvl="5">
      <w:numFmt w:val="bullet"/>
      <w:lvlText w:val="•"/>
      <w:lvlJc w:val="left"/>
      <w:pPr>
        <w:ind w:left="5158" w:hanging="536"/>
      </w:pPr>
      <w:rPr>
        <w:rFonts w:hint="default"/>
        <w:lang w:val="en-ZA" w:eastAsia="en-ZA" w:bidi="en-ZA"/>
      </w:rPr>
    </w:lvl>
    <w:lvl w:ilvl="6">
      <w:numFmt w:val="bullet"/>
      <w:lvlText w:val="•"/>
      <w:lvlJc w:val="left"/>
      <w:pPr>
        <w:ind w:left="6148" w:hanging="536"/>
      </w:pPr>
      <w:rPr>
        <w:rFonts w:hint="default"/>
        <w:lang w:val="en-ZA" w:eastAsia="en-ZA" w:bidi="en-ZA"/>
      </w:rPr>
    </w:lvl>
    <w:lvl w:ilvl="7">
      <w:numFmt w:val="bullet"/>
      <w:lvlText w:val="•"/>
      <w:lvlJc w:val="left"/>
      <w:pPr>
        <w:ind w:left="7137" w:hanging="536"/>
      </w:pPr>
      <w:rPr>
        <w:rFonts w:hint="default"/>
        <w:lang w:val="en-ZA" w:eastAsia="en-ZA" w:bidi="en-ZA"/>
      </w:rPr>
    </w:lvl>
    <w:lvl w:ilvl="8">
      <w:numFmt w:val="bullet"/>
      <w:lvlText w:val="•"/>
      <w:lvlJc w:val="left"/>
      <w:pPr>
        <w:ind w:left="8127" w:hanging="536"/>
      </w:pPr>
      <w:rPr>
        <w:rFonts w:hint="default"/>
        <w:lang w:val="en-ZA" w:eastAsia="en-ZA" w:bidi="en-Z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873F3"/>
    <w:rsid w:val="00472E58"/>
    <w:rsid w:val="005873F3"/>
    <w:rsid w:val="00C753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BA1D56-8057-49C4-8689-31960645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right="229"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11019</Characters>
  <Application>Microsoft Office Word</Application>
  <DocSecurity>0</DocSecurity>
  <Lines>91</Lines>
  <Paragraphs>25</Paragraphs>
  <ScaleCrop>false</ScaleCrop>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Burger</dc:creator>
  <cp:lastModifiedBy>Mary Bruce</cp:lastModifiedBy>
  <cp:revision>2</cp:revision>
  <dcterms:created xsi:type="dcterms:W3CDTF">2023-04-12T11:18:00Z</dcterms:created>
  <dcterms:modified xsi:type="dcterms:W3CDTF">2023-04-12T11:19:00Z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for Microsoft 365</vt:lpwstr>
  </property>
  <property fmtid="{D5CDD505-2E9C-101B-9397-08002B2CF9AE}" pid="4" name="LastSaved">
    <vt:filetime>2023-04-12T00:00:00Z</vt:filetime>
  </property>
</Properties>
</file>