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CFACCD" w14:textId="77777777" w:rsidR="008D3273" w:rsidRPr="007B0DD3" w:rsidRDefault="008D3273" w:rsidP="008D3273">
      <w:pPr>
        <w:spacing w:line="360" w:lineRule="auto"/>
        <w:contextualSpacing/>
        <w:jc w:val="center"/>
        <w:rPr>
          <w:rFonts w:asciiTheme="minorBidi" w:hAnsiTheme="minorBidi"/>
          <w:b/>
        </w:rPr>
      </w:pPr>
      <w:r w:rsidRPr="007B0DD3">
        <w:rPr>
          <w:rFonts w:asciiTheme="minorBidi" w:eastAsia="Calibri" w:hAnsiTheme="minorBidi"/>
          <w:noProof/>
          <w:sz w:val="28"/>
          <w:lang w:val="en-US" w:eastAsia="en-US" w:bidi="ar-SA"/>
        </w:rPr>
        <w:drawing>
          <wp:inline distT="0" distB="0" distL="0" distR="0" wp14:anchorId="49BF268E" wp14:editId="4536FC8A">
            <wp:extent cx="1027209" cy="1009650"/>
            <wp:effectExtent l="0" t="0" r="1905"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0179" cy="1012569"/>
                    </a:xfrm>
                    <a:prstGeom prst="rect">
                      <a:avLst/>
                    </a:prstGeom>
                    <a:noFill/>
                    <a:ln>
                      <a:noFill/>
                    </a:ln>
                  </pic:spPr>
                </pic:pic>
              </a:graphicData>
            </a:graphic>
          </wp:inline>
        </w:drawing>
      </w:r>
    </w:p>
    <w:p w14:paraId="19251462" w14:textId="77777777" w:rsidR="008D3273" w:rsidRPr="007B0DD3" w:rsidRDefault="008D3273" w:rsidP="008D3273">
      <w:pPr>
        <w:spacing w:line="360" w:lineRule="auto"/>
        <w:contextualSpacing/>
        <w:jc w:val="both"/>
        <w:rPr>
          <w:rFonts w:asciiTheme="minorBidi" w:hAnsiTheme="minorBidi"/>
          <w:b/>
          <w:sz w:val="16"/>
          <w:szCs w:val="16"/>
        </w:rPr>
      </w:pPr>
    </w:p>
    <w:p w14:paraId="3E8BBA42" w14:textId="77777777" w:rsidR="008D3273" w:rsidRPr="007B0DD3" w:rsidRDefault="008D3273" w:rsidP="008D3273">
      <w:pPr>
        <w:spacing w:line="360" w:lineRule="auto"/>
        <w:contextualSpacing/>
        <w:jc w:val="center"/>
        <w:rPr>
          <w:rFonts w:asciiTheme="minorBidi" w:hAnsiTheme="minorBidi"/>
          <w:b/>
        </w:rPr>
      </w:pPr>
      <w:r w:rsidRPr="007B0DD3">
        <w:rPr>
          <w:rFonts w:asciiTheme="minorBidi" w:hAnsiTheme="minorBidi"/>
          <w:b/>
        </w:rPr>
        <w:t>IN THE HIGH COURT OF SOUTH AFRICA</w:t>
      </w:r>
    </w:p>
    <w:p w14:paraId="11755AD5" w14:textId="77777777" w:rsidR="008D3273" w:rsidRPr="007B0DD3" w:rsidRDefault="008D3273" w:rsidP="008D3273">
      <w:pPr>
        <w:spacing w:line="360" w:lineRule="auto"/>
        <w:contextualSpacing/>
        <w:jc w:val="center"/>
        <w:rPr>
          <w:rFonts w:asciiTheme="minorBidi" w:hAnsiTheme="minorBidi"/>
          <w:b/>
        </w:rPr>
      </w:pPr>
      <w:r w:rsidRPr="007B0DD3">
        <w:rPr>
          <w:rFonts w:asciiTheme="minorBidi" w:hAnsiTheme="minorBidi"/>
          <w:b/>
        </w:rPr>
        <w:t xml:space="preserve">KWAZULU-NATAL </w:t>
      </w:r>
      <w:r w:rsidR="00C607A3">
        <w:rPr>
          <w:rFonts w:asciiTheme="minorBidi" w:hAnsiTheme="minorBidi"/>
          <w:b/>
        </w:rPr>
        <w:t xml:space="preserve">LOCAL </w:t>
      </w:r>
      <w:r w:rsidRPr="007B0DD3">
        <w:rPr>
          <w:rFonts w:asciiTheme="minorBidi" w:hAnsiTheme="minorBidi"/>
          <w:b/>
        </w:rPr>
        <w:t xml:space="preserve">DIVISION, </w:t>
      </w:r>
      <w:r w:rsidR="00C607A3">
        <w:rPr>
          <w:rFonts w:asciiTheme="minorBidi" w:hAnsiTheme="minorBidi"/>
          <w:b/>
        </w:rPr>
        <w:t>DURBAN</w:t>
      </w:r>
    </w:p>
    <w:p w14:paraId="5E2A6396" w14:textId="77777777" w:rsidR="008D3273" w:rsidRPr="007B0DD3" w:rsidRDefault="008D3273" w:rsidP="008D3273">
      <w:pPr>
        <w:spacing w:line="360" w:lineRule="auto"/>
        <w:contextualSpacing/>
        <w:jc w:val="center"/>
        <w:rPr>
          <w:rFonts w:asciiTheme="minorBidi" w:hAnsiTheme="minorBidi"/>
        </w:rPr>
      </w:pPr>
    </w:p>
    <w:p w14:paraId="1B3B52E7" w14:textId="77777777" w:rsidR="008D3273" w:rsidRPr="007B0DD3" w:rsidRDefault="008D3273" w:rsidP="008D3273">
      <w:pPr>
        <w:spacing w:line="360" w:lineRule="auto"/>
        <w:contextualSpacing/>
        <w:jc w:val="right"/>
        <w:rPr>
          <w:rFonts w:asciiTheme="minorBidi" w:hAnsiTheme="minorBidi"/>
        </w:rPr>
      </w:pPr>
      <w:r w:rsidRPr="007B0DD3">
        <w:rPr>
          <w:rFonts w:asciiTheme="minorBidi" w:hAnsiTheme="minorBidi"/>
        </w:rPr>
        <w:t xml:space="preserve">Case no: </w:t>
      </w:r>
      <w:r w:rsidR="00C607A3">
        <w:rPr>
          <w:rFonts w:asciiTheme="minorBidi" w:hAnsiTheme="minorBidi"/>
          <w:b/>
        </w:rPr>
        <w:t>1340</w:t>
      </w:r>
      <w:r w:rsidR="004C2560">
        <w:rPr>
          <w:rFonts w:asciiTheme="minorBidi" w:hAnsiTheme="minorBidi"/>
          <w:b/>
        </w:rPr>
        <w:t>/20</w:t>
      </w:r>
      <w:r w:rsidR="00C607A3">
        <w:rPr>
          <w:rFonts w:asciiTheme="minorBidi" w:hAnsiTheme="minorBidi"/>
          <w:b/>
        </w:rPr>
        <w:t>11</w:t>
      </w:r>
    </w:p>
    <w:p w14:paraId="4DE8207D" w14:textId="77777777" w:rsidR="008D3273" w:rsidRPr="007B0DD3" w:rsidRDefault="008D3273" w:rsidP="008D3273">
      <w:pPr>
        <w:tabs>
          <w:tab w:val="right" w:pos="8789"/>
        </w:tabs>
        <w:spacing w:line="360" w:lineRule="auto"/>
        <w:contextualSpacing/>
        <w:jc w:val="both"/>
        <w:rPr>
          <w:rFonts w:asciiTheme="minorBidi" w:hAnsiTheme="minorBidi"/>
        </w:rPr>
      </w:pPr>
      <w:r w:rsidRPr="007B0DD3">
        <w:rPr>
          <w:rFonts w:asciiTheme="minorBidi" w:hAnsiTheme="minorBidi"/>
        </w:rPr>
        <w:t>In the matter between:</w:t>
      </w:r>
    </w:p>
    <w:p w14:paraId="5D333A91" w14:textId="77777777" w:rsidR="008D3273" w:rsidRDefault="008D3273" w:rsidP="008D3273">
      <w:pPr>
        <w:tabs>
          <w:tab w:val="right" w:pos="9072"/>
        </w:tabs>
        <w:spacing w:line="360" w:lineRule="auto"/>
        <w:contextualSpacing/>
        <w:jc w:val="both"/>
        <w:rPr>
          <w:rFonts w:asciiTheme="minorBidi" w:hAnsiTheme="minorBidi"/>
          <w:b/>
          <w:bCs/>
        </w:rPr>
      </w:pPr>
    </w:p>
    <w:p w14:paraId="115AC0BE" w14:textId="77777777" w:rsidR="008D3273" w:rsidRDefault="00C607A3" w:rsidP="008D3273">
      <w:pPr>
        <w:tabs>
          <w:tab w:val="right" w:pos="9072"/>
        </w:tabs>
        <w:spacing w:line="360" w:lineRule="auto"/>
        <w:contextualSpacing/>
        <w:jc w:val="both"/>
        <w:rPr>
          <w:rFonts w:asciiTheme="minorBidi" w:hAnsiTheme="minorBidi"/>
          <w:b/>
          <w:bCs/>
        </w:rPr>
      </w:pPr>
      <w:r>
        <w:rPr>
          <w:rFonts w:asciiTheme="minorBidi" w:hAnsiTheme="minorBidi"/>
          <w:b/>
          <w:bCs/>
        </w:rPr>
        <w:t>LIZELLE JACOBS</w:t>
      </w:r>
      <w:r w:rsidR="00775F0D">
        <w:rPr>
          <w:rFonts w:asciiTheme="minorBidi" w:hAnsiTheme="minorBidi"/>
          <w:b/>
          <w:bCs/>
        </w:rPr>
        <w:t xml:space="preserve"> </w:t>
      </w:r>
      <w:r w:rsidR="008D3273">
        <w:rPr>
          <w:rFonts w:asciiTheme="minorBidi" w:hAnsiTheme="minorBidi"/>
          <w:b/>
          <w:bCs/>
        </w:rPr>
        <w:tab/>
      </w:r>
      <w:r>
        <w:rPr>
          <w:rFonts w:asciiTheme="minorBidi" w:hAnsiTheme="minorBidi"/>
          <w:b/>
          <w:bCs/>
        </w:rPr>
        <w:t>APPLICANT</w:t>
      </w:r>
    </w:p>
    <w:p w14:paraId="61A0FA5C" w14:textId="77777777" w:rsidR="00C607A3" w:rsidRDefault="00C607A3" w:rsidP="008D3273">
      <w:pPr>
        <w:tabs>
          <w:tab w:val="right" w:pos="9072"/>
        </w:tabs>
        <w:spacing w:line="360" w:lineRule="auto"/>
        <w:contextualSpacing/>
        <w:jc w:val="both"/>
        <w:rPr>
          <w:rFonts w:asciiTheme="minorBidi" w:hAnsiTheme="minorBidi"/>
          <w:b/>
          <w:bCs/>
        </w:rPr>
      </w:pPr>
      <w:r>
        <w:rPr>
          <w:rFonts w:asciiTheme="minorBidi" w:hAnsiTheme="minorBidi"/>
          <w:b/>
          <w:bCs/>
        </w:rPr>
        <w:t>COTTON KING MANUFACTURING (PTY) LIMITED</w:t>
      </w:r>
      <w:r>
        <w:rPr>
          <w:rFonts w:asciiTheme="minorBidi" w:hAnsiTheme="minorBidi"/>
          <w:b/>
          <w:bCs/>
        </w:rPr>
        <w:tab/>
        <w:t>PLAINTIFF</w:t>
      </w:r>
    </w:p>
    <w:p w14:paraId="77B1843E" w14:textId="77777777" w:rsidR="00C607A3" w:rsidRDefault="00C607A3" w:rsidP="008D3273">
      <w:pPr>
        <w:tabs>
          <w:tab w:val="right" w:pos="9072"/>
        </w:tabs>
        <w:spacing w:line="360" w:lineRule="auto"/>
        <w:contextualSpacing/>
        <w:jc w:val="both"/>
        <w:rPr>
          <w:rFonts w:asciiTheme="minorBidi" w:hAnsiTheme="minorBidi"/>
          <w:b/>
          <w:bCs/>
        </w:rPr>
      </w:pPr>
      <w:r>
        <w:rPr>
          <w:rFonts w:asciiTheme="minorBidi" w:hAnsiTheme="minorBidi"/>
          <w:b/>
          <w:bCs/>
        </w:rPr>
        <w:t>(in liquidation)</w:t>
      </w:r>
    </w:p>
    <w:p w14:paraId="702B4325" w14:textId="77777777" w:rsidR="00C607A3" w:rsidRDefault="00C607A3" w:rsidP="008D3273">
      <w:pPr>
        <w:tabs>
          <w:tab w:val="right" w:pos="9072"/>
        </w:tabs>
        <w:spacing w:line="360" w:lineRule="auto"/>
        <w:contextualSpacing/>
        <w:jc w:val="both"/>
        <w:rPr>
          <w:rFonts w:asciiTheme="minorBidi" w:hAnsiTheme="minorBidi"/>
          <w:b/>
          <w:bCs/>
        </w:rPr>
      </w:pPr>
      <w:r>
        <w:rPr>
          <w:rFonts w:asciiTheme="minorBidi" w:hAnsiTheme="minorBidi"/>
          <w:b/>
          <w:bCs/>
        </w:rPr>
        <w:t>(Registration number: 1962/00738/06)</w:t>
      </w:r>
    </w:p>
    <w:p w14:paraId="46BBCFC3" w14:textId="77777777" w:rsidR="008D3273" w:rsidRDefault="008D3273" w:rsidP="008D3273">
      <w:pPr>
        <w:tabs>
          <w:tab w:val="right" w:pos="9072"/>
        </w:tabs>
        <w:spacing w:line="360" w:lineRule="auto"/>
        <w:contextualSpacing/>
        <w:jc w:val="both"/>
        <w:rPr>
          <w:rFonts w:asciiTheme="minorBidi" w:hAnsiTheme="minorBidi"/>
          <w:bCs/>
        </w:rPr>
      </w:pPr>
    </w:p>
    <w:p w14:paraId="2E1E4648" w14:textId="77777777" w:rsidR="008D3273" w:rsidRPr="0069043E" w:rsidRDefault="008D3273" w:rsidP="008D3273">
      <w:pPr>
        <w:tabs>
          <w:tab w:val="right" w:pos="9072"/>
        </w:tabs>
        <w:spacing w:line="360" w:lineRule="auto"/>
        <w:contextualSpacing/>
        <w:jc w:val="both"/>
        <w:rPr>
          <w:rFonts w:asciiTheme="minorBidi" w:hAnsiTheme="minorBidi"/>
          <w:bCs/>
        </w:rPr>
      </w:pPr>
      <w:r>
        <w:rPr>
          <w:rFonts w:asciiTheme="minorBidi" w:hAnsiTheme="minorBidi"/>
          <w:bCs/>
        </w:rPr>
        <w:t>and</w:t>
      </w:r>
    </w:p>
    <w:p w14:paraId="5A7AF4D9" w14:textId="77777777" w:rsidR="008D3273" w:rsidRDefault="008D3273" w:rsidP="008D3273">
      <w:pPr>
        <w:tabs>
          <w:tab w:val="right" w:pos="9072"/>
        </w:tabs>
        <w:spacing w:line="360" w:lineRule="auto"/>
        <w:contextualSpacing/>
        <w:jc w:val="both"/>
        <w:rPr>
          <w:rFonts w:asciiTheme="minorBidi" w:hAnsiTheme="minorBidi"/>
          <w:b/>
        </w:rPr>
      </w:pPr>
    </w:p>
    <w:p w14:paraId="3A10079E" w14:textId="77777777" w:rsidR="00462F1C" w:rsidRDefault="00C607A3" w:rsidP="00476BD7">
      <w:pPr>
        <w:tabs>
          <w:tab w:val="right" w:pos="9072"/>
        </w:tabs>
        <w:spacing w:line="360" w:lineRule="auto"/>
        <w:contextualSpacing/>
        <w:jc w:val="both"/>
        <w:rPr>
          <w:rFonts w:asciiTheme="minorBidi" w:hAnsiTheme="minorBidi"/>
          <w:b/>
        </w:rPr>
      </w:pPr>
      <w:r>
        <w:rPr>
          <w:rFonts w:asciiTheme="minorBidi" w:hAnsiTheme="minorBidi"/>
          <w:b/>
        </w:rPr>
        <w:t>GARLICKE AND BOUSFIELD INC</w:t>
      </w:r>
      <w:r w:rsidR="00476BD7">
        <w:rPr>
          <w:rFonts w:asciiTheme="minorBidi" w:hAnsiTheme="minorBidi"/>
          <w:b/>
        </w:rPr>
        <w:tab/>
      </w:r>
      <w:r>
        <w:rPr>
          <w:rFonts w:asciiTheme="minorBidi" w:hAnsiTheme="minorBidi"/>
          <w:b/>
        </w:rPr>
        <w:t>DEFENDANT/</w:t>
      </w:r>
      <w:r w:rsidR="00950920">
        <w:rPr>
          <w:rFonts w:asciiTheme="minorBidi" w:hAnsiTheme="minorBidi"/>
          <w:b/>
        </w:rPr>
        <w:t>RESPONDENT</w:t>
      </w:r>
    </w:p>
    <w:p w14:paraId="140109A0" w14:textId="77777777" w:rsidR="00C607A3" w:rsidRDefault="00C607A3" w:rsidP="00476BD7">
      <w:pPr>
        <w:tabs>
          <w:tab w:val="right" w:pos="9072"/>
        </w:tabs>
        <w:spacing w:line="360" w:lineRule="auto"/>
        <w:contextualSpacing/>
        <w:jc w:val="both"/>
        <w:rPr>
          <w:rFonts w:asciiTheme="minorBidi" w:hAnsiTheme="minorBidi"/>
          <w:b/>
        </w:rPr>
      </w:pPr>
    </w:p>
    <w:p w14:paraId="06DAEEB5" w14:textId="77777777" w:rsidR="00C607A3" w:rsidRPr="00C607A3" w:rsidRDefault="00C607A3" w:rsidP="00476BD7">
      <w:pPr>
        <w:tabs>
          <w:tab w:val="right" w:pos="9072"/>
        </w:tabs>
        <w:spacing w:line="360" w:lineRule="auto"/>
        <w:contextualSpacing/>
        <w:jc w:val="both"/>
        <w:rPr>
          <w:rFonts w:asciiTheme="minorBidi" w:hAnsiTheme="minorBidi"/>
          <w:bCs/>
        </w:rPr>
      </w:pPr>
      <w:r w:rsidRPr="00C607A3">
        <w:rPr>
          <w:rFonts w:asciiTheme="minorBidi" w:hAnsiTheme="minorBidi"/>
          <w:bCs/>
        </w:rPr>
        <w:t>and</w:t>
      </w:r>
    </w:p>
    <w:p w14:paraId="18045658" w14:textId="77777777" w:rsidR="00C607A3" w:rsidRDefault="00C607A3" w:rsidP="00476BD7">
      <w:pPr>
        <w:tabs>
          <w:tab w:val="right" w:pos="9072"/>
        </w:tabs>
        <w:spacing w:line="360" w:lineRule="auto"/>
        <w:contextualSpacing/>
        <w:jc w:val="both"/>
        <w:rPr>
          <w:rFonts w:asciiTheme="minorBidi" w:hAnsiTheme="minorBidi"/>
          <w:b/>
        </w:rPr>
      </w:pPr>
    </w:p>
    <w:p w14:paraId="79713778" w14:textId="77777777" w:rsidR="00C607A3" w:rsidRDefault="00C607A3" w:rsidP="00476BD7">
      <w:pPr>
        <w:tabs>
          <w:tab w:val="right" w:pos="9072"/>
        </w:tabs>
        <w:spacing w:line="360" w:lineRule="auto"/>
        <w:contextualSpacing/>
        <w:jc w:val="both"/>
        <w:rPr>
          <w:rFonts w:asciiTheme="minorBidi" w:hAnsiTheme="minorBidi"/>
          <w:b/>
        </w:rPr>
      </w:pPr>
      <w:r>
        <w:rPr>
          <w:rFonts w:asciiTheme="minorBidi" w:hAnsiTheme="minorBidi"/>
          <w:b/>
        </w:rPr>
        <w:t>PKF (DURBAN) INCORPORATED</w:t>
      </w:r>
      <w:r>
        <w:rPr>
          <w:rFonts w:asciiTheme="minorBidi" w:hAnsiTheme="minorBidi"/>
          <w:b/>
        </w:rPr>
        <w:tab/>
        <w:t>FIRST THIRD PARTY</w:t>
      </w:r>
    </w:p>
    <w:p w14:paraId="0769FE11" w14:textId="77777777" w:rsidR="00C607A3" w:rsidRDefault="00C607A3" w:rsidP="00476BD7">
      <w:pPr>
        <w:tabs>
          <w:tab w:val="right" w:pos="9072"/>
        </w:tabs>
        <w:spacing w:line="360" w:lineRule="auto"/>
        <w:contextualSpacing/>
        <w:jc w:val="both"/>
        <w:rPr>
          <w:rFonts w:asciiTheme="minorBidi" w:hAnsiTheme="minorBidi"/>
          <w:b/>
        </w:rPr>
      </w:pPr>
      <w:r>
        <w:rPr>
          <w:rFonts w:asciiTheme="minorBidi" w:hAnsiTheme="minorBidi"/>
          <w:b/>
        </w:rPr>
        <w:t>PATRICK ROBERT</w:t>
      </w:r>
      <w:r>
        <w:rPr>
          <w:rFonts w:asciiTheme="minorBidi" w:hAnsiTheme="minorBidi"/>
          <w:b/>
        </w:rPr>
        <w:tab/>
        <w:t>SECOND THIRD PARTY</w:t>
      </w:r>
    </w:p>
    <w:p w14:paraId="0844953E" w14:textId="77777777" w:rsidR="00C607A3" w:rsidRDefault="00C607A3" w:rsidP="00476BD7">
      <w:pPr>
        <w:tabs>
          <w:tab w:val="right" w:pos="9072"/>
        </w:tabs>
        <w:spacing w:line="360" w:lineRule="auto"/>
        <w:contextualSpacing/>
        <w:jc w:val="both"/>
        <w:rPr>
          <w:rFonts w:asciiTheme="minorBidi" w:hAnsiTheme="minorBidi"/>
          <w:b/>
        </w:rPr>
      </w:pPr>
      <w:r>
        <w:rPr>
          <w:rFonts w:asciiTheme="minorBidi" w:hAnsiTheme="minorBidi"/>
          <w:b/>
        </w:rPr>
        <w:t>NERAK FINANCIAL SERVICES (PTY) LTD</w:t>
      </w:r>
      <w:r>
        <w:rPr>
          <w:rFonts w:asciiTheme="minorBidi" w:hAnsiTheme="minorBidi"/>
          <w:b/>
        </w:rPr>
        <w:tab/>
        <w:t>THIRD THIRD PARTY</w:t>
      </w:r>
    </w:p>
    <w:p w14:paraId="4A1E0E71" w14:textId="77777777" w:rsidR="00C607A3" w:rsidRDefault="00C607A3" w:rsidP="00476BD7">
      <w:pPr>
        <w:tabs>
          <w:tab w:val="right" w:pos="9072"/>
        </w:tabs>
        <w:spacing w:line="360" w:lineRule="auto"/>
        <w:contextualSpacing/>
        <w:jc w:val="both"/>
        <w:rPr>
          <w:rFonts w:asciiTheme="minorBidi" w:hAnsiTheme="minorBidi"/>
          <w:b/>
        </w:rPr>
      </w:pPr>
      <w:r>
        <w:rPr>
          <w:rFonts w:asciiTheme="minorBidi" w:hAnsiTheme="minorBidi"/>
          <w:b/>
        </w:rPr>
        <w:t>SANTAM LIMITED</w:t>
      </w:r>
      <w:r>
        <w:rPr>
          <w:rFonts w:asciiTheme="minorBidi" w:hAnsiTheme="minorBidi"/>
          <w:b/>
        </w:rPr>
        <w:tab/>
        <w:t>FOURTH THIRD PARTY</w:t>
      </w:r>
    </w:p>
    <w:p w14:paraId="7E1CD140" w14:textId="77777777" w:rsidR="00C607A3" w:rsidRDefault="00C607A3" w:rsidP="00476BD7">
      <w:pPr>
        <w:tabs>
          <w:tab w:val="right" w:pos="9072"/>
        </w:tabs>
        <w:spacing w:line="360" w:lineRule="auto"/>
        <w:contextualSpacing/>
        <w:jc w:val="both"/>
        <w:rPr>
          <w:rFonts w:asciiTheme="minorBidi" w:hAnsiTheme="minorBidi"/>
          <w:b/>
        </w:rPr>
      </w:pPr>
      <w:r>
        <w:rPr>
          <w:rFonts w:asciiTheme="minorBidi" w:hAnsiTheme="minorBidi"/>
          <w:b/>
        </w:rPr>
        <w:t xml:space="preserve">LOMBARD INSURANCE COMPANY LIMITED </w:t>
      </w:r>
      <w:r>
        <w:rPr>
          <w:rFonts w:asciiTheme="minorBidi" w:hAnsiTheme="minorBidi"/>
          <w:b/>
        </w:rPr>
        <w:tab/>
        <w:t>FIFTH THIRD PARTY</w:t>
      </w:r>
    </w:p>
    <w:p w14:paraId="32947A0A" w14:textId="77777777" w:rsidR="00C607A3" w:rsidRDefault="00C607A3" w:rsidP="00476BD7">
      <w:pPr>
        <w:tabs>
          <w:tab w:val="right" w:pos="9072"/>
        </w:tabs>
        <w:spacing w:line="360" w:lineRule="auto"/>
        <w:contextualSpacing/>
        <w:jc w:val="both"/>
        <w:rPr>
          <w:rFonts w:asciiTheme="minorBidi" w:hAnsiTheme="minorBidi"/>
          <w:b/>
        </w:rPr>
      </w:pPr>
      <w:r>
        <w:rPr>
          <w:rFonts w:asciiTheme="minorBidi" w:hAnsiTheme="minorBidi"/>
          <w:b/>
        </w:rPr>
        <w:t>UNDERWRITER AT LLOYD’S</w:t>
      </w:r>
      <w:r>
        <w:rPr>
          <w:rFonts w:asciiTheme="minorBidi" w:hAnsiTheme="minorBidi"/>
          <w:b/>
        </w:rPr>
        <w:tab/>
        <w:t>SIXTH THIRD PARTY</w:t>
      </w:r>
    </w:p>
    <w:p w14:paraId="051A99CB" w14:textId="77777777" w:rsidR="008D3273" w:rsidRPr="007B0DD3" w:rsidRDefault="008D3273" w:rsidP="008D3273">
      <w:pPr>
        <w:pBdr>
          <w:bottom w:val="single" w:sz="12" w:space="0" w:color="auto"/>
        </w:pBdr>
        <w:tabs>
          <w:tab w:val="right" w:pos="9026"/>
        </w:tabs>
        <w:spacing w:line="360" w:lineRule="auto"/>
        <w:jc w:val="both"/>
        <w:rPr>
          <w:rFonts w:asciiTheme="minorBidi" w:hAnsiTheme="minorBidi"/>
          <w:b/>
          <w:bCs/>
        </w:rPr>
      </w:pPr>
    </w:p>
    <w:p w14:paraId="688AB126" w14:textId="77777777" w:rsidR="008D3273" w:rsidRPr="007B0DD3" w:rsidRDefault="008D3273" w:rsidP="00E4410F">
      <w:pPr>
        <w:jc w:val="both"/>
        <w:rPr>
          <w:rFonts w:asciiTheme="minorBidi" w:hAnsiTheme="minorBidi"/>
          <w:bCs/>
        </w:rPr>
      </w:pPr>
    </w:p>
    <w:p w14:paraId="2BBAE5AF" w14:textId="77777777" w:rsidR="005D2C20" w:rsidRDefault="008D3273" w:rsidP="0078434F">
      <w:pPr>
        <w:spacing w:line="360" w:lineRule="auto"/>
        <w:jc w:val="both"/>
        <w:rPr>
          <w:rFonts w:asciiTheme="minorBidi" w:hAnsiTheme="minorBidi"/>
          <w:bCs/>
        </w:rPr>
      </w:pPr>
      <w:r w:rsidRPr="00B91D13">
        <w:rPr>
          <w:rFonts w:asciiTheme="minorBidi" w:hAnsiTheme="minorBidi"/>
          <w:b/>
        </w:rPr>
        <w:t>Coram</w:t>
      </w:r>
      <w:r w:rsidRPr="007B0DD3">
        <w:rPr>
          <w:rFonts w:asciiTheme="minorBidi" w:hAnsiTheme="minorBidi"/>
          <w:bCs/>
        </w:rPr>
        <w:t>:</w:t>
      </w:r>
      <w:r w:rsidRPr="007B0DD3">
        <w:rPr>
          <w:rFonts w:asciiTheme="minorBidi" w:hAnsiTheme="minorBidi"/>
          <w:bCs/>
        </w:rPr>
        <w:tab/>
        <w:t>Mossop J</w:t>
      </w:r>
      <w:r w:rsidR="00B91D13">
        <w:rPr>
          <w:rFonts w:asciiTheme="minorBidi" w:hAnsiTheme="minorBidi"/>
          <w:bCs/>
        </w:rPr>
        <w:t xml:space="preserve"> </w:t>
      </w:r>
    </w:p>
    <w:p w14:paraId="3C0A2D1C" w14:textId="77777777" w:rsidR="008D3273" w:rsidRDefault="008D3273" w:rsidP="009353AF">
      <w:pPr>
        <w:spacing w:line="360" w:lineRule="auto"/>
        <w:jc w:val="both"/>
        <w:rPr>
          <w:rFonts w:asciiTheme="minorBidi" w:hAnsiTheme="minorBidi"/>
          <w:bCs/>
        </w:rPr>
      </w:pPr>
      <w:r w:rsidRPr="00B91D13">
        <w:rPr>
          <w:rFonts w:asciiTheme="minorBidi" w:hAnsiTheme="minorBidi"/>
          <w:b/>
        </w:rPr>
        <w:t>Heard</w:t>
      </w:r>
      <w:r w:rsidRPr="007B0DD3">
        <w:rPr>
          <w:rFonts w:asciiTheme="minorBidi" w:hAnsiTheme="minorBidi"/>
          <w:bCs/>
        </w:rPr>
        <w:t>:</w:t>
      </w:r>
      <w:r w:rsidRPr="007B0DD3">
        <w:rPr>
          <w:rFonts w:asciiTheme="minorBidi" w:hAnsiTheme="minorBidi"/>
          <w:bCs/>
        </w:rPr>
        <w:tab/>
      </w:r>
      <w:r w:rsidR="00B91D13">
        <w:rPr>
          <w:rFonts w:asciiTheme="minorBidi" w:hAnsiTheme="minorBidi"/>
          <w:bCs/>
        </w:rPr>
        <w:t>1</w:t>
      </w:r>
      <w:r w:rsidR="0078434F">
        <w:rPr>
          <w:rFonts w:asciiTheme="minorBidi" w:hAnsiTheme="minorBidi"/>
          <w:bCs/>
        </w:rPr>
        <w:t>5</w:t>
      </w:r>
      <w:r w:rsidR="00B91D13">
        <w:rPr>
          <w:rFonts w:asciiTheme="minorBidi" w:hAnsiTheme="minorBidi"/>
          <w:bCs/>
        </w:rPr>
        <w:t xml:space="preserve"> </w:t>
      </w:r>
      <w:r w:rsidR="00000ADA">
        <w:rPr>
          <w:rFonts w:asciiTheme="minorBidi" w:hAnsiTheme="minorBidi"/>
          <w:bCs/>
        </w:rPr>
        <w:t>August</w:t>
      </w:r>
      <w:r w:rsidR="00E4410F">
        <w:rPr>
          <w:rFonts w:asciiTheme="minorBidi" w:hAnsiTheme="minorBidi"/>
          <w:bCs/>
        </w:rPr>
        <w:t xml:space="preserve"> 2023</w:t>
      </w:r>
    </w:p>
    <w:p w14:paraId="6D717066" w14:textId="556C4FEF" w:rsidR="008D3273" w:rsidRDefault="008D3273" w:rsidP="009353AF">
      <w:pPr>
        <w:spacing w:line="360" w:lineRule="auto"/>
        <w:jc w:val="both"/>
        <w:rPr>
          <w:rFonts w:asciiTheme="minorBidi" w:hAnsiTheme="minorBidi"/>
          <w:bCs/>
        </w:rPr>
      </w:pPr>
      <w:r w:rsidRPr="00B91D13">
        <w:rPr>
          <w:rFonts w:asciiTheme="minorBidi" w:hAnsiTheme="minorBidi"/>
          <w:b/>
        </w:rPr>
        <w:t>Delivered</w:t>
      </w:r>
      <w:r w:rsidRPr="007B0DD3">
        <w:rPr>
          <w:rFonts w:asciiTheme="minorBidi" w:hAnsiTheme="minorBidi"/>
          <w:bCs/>
        </w:rPr>
        <w:t>:</w:t>
      </w:r>
      <w:r w:rsidRPr="007B0DD3">
        <w:rPr>
          <w:rFonts w:asciiTheme="minorBidi" w:hAnsiTheme="minorBidi"/>
          <w:bCs/>
        </w:rPr>
        <w:tab/>
      </w:r>
      <w:r w:rsidR="00E434A1">
        <w:rPr>
          <w:rFonts w:asciiTheme="minorBidi" w:hAnsiTheme="minorBidi"/>
          <w:bCs/>
        </w:rPr>
        <w:t xml:space="preserve">13 </w:t>
      </w:r>
      <w:r w:rsidR="00723968">
        <w:rPr>
          <w:rFonts w:asciiTheme="minorBidi" w:hAnsiTheme="minorBidi"/>
          <w:bCs/>
        </w:rPr>
        <w:t>September</w:t>
      </w:r>
      <w:r w:rsidRPr="007B0DD3">
        <w:rPr>
          <w:rFonts w:asciiTheme="minorBidi" w:hAnsiTheme="minorBidi"/>
          <w:bCs/>
        </w:rPr>
        <w:t xml:space="preserve"> 2023</w:t>
      </w:r>
    </w:p>
    <w:p w14:paraId="33F1E21B" w14:textId="77777777" w:rsidR="0078434F" w:rsidRDefault="0078434F" w:rsidP="009353AF">
      <w:pPr>
        <w:spacing w:line="360" w:lineRule="auto"/>
        <w:jc w:val="both"/>
        <w:rPr>
          <w:rFonts w:asciiTheme="minorBidi" w:hAnsiTheme="minorBidi"/>
          <w:bCs/>
        </w:rPr>
      </w:pPr>
    </w:p>
    <w:p w14:paraId="617BF2C2" w14:textId="77777777" w:rsidR="008D3273" w:rsidRPr="007B0DD3" w:rsidRDefault="008D3273" w:rsidP="009353AF">
      <w:pPr>
        <w:pBdr>
          <w:bottom w:val="single" w:sz="12" w:space="1" w:color="auto"/>
        </w:pBdr>
        <w:spacing w:line="360" w:lineRule="auto"/>
        <w:jc w:val="both"/>
        <w:rPr>
          <w:rFonts w:asciiTheme="minorBidi" w:hAnsiTheme="minorBidi"/>
          <w:b/>
          <w:bCs/>
        </w:rPr>
      </w:pPr>
    </w:p>
    <w:p w14:paraId="6B1CEB38" w14:textId="77777777" w:rsidR="008D3273" w:rsidRPr="007B0DD3" w:rsidRDefault="008D3273" w:rsidP="00E4410F">
      <w:pPr>
        <w:jc w:val="both"/>
        <w:rPr>
          <w:rFonts w:asciiTheme="minorBidi" w:hAnsiTheme="minorBidi"/>
          <w:b/>
          <w:bCs/>
        </w:rPr>
      </w:pPr>
    </w:p>
    <w:p w14:paraId="4F78AF04" w14:textId="77777777" w:rsidR="008D3273" w:rsidRPr="007B0DD3" w:rsidRDefault="008D3273" w:rsidP="00E4410F">
      <w:pPr>
        <w:pBdr>
          <w:bottom w:val="single" w:sz="12" w:space="1" w:color="auto"/>
        </w:pBdr>
        <w:jc w:val="center"/>
        <w:rPr>
          <w:rFonts w:asciiTheme="minorBidi" w:hAnsiTheme="minorBidi"/>
          <w:b/>
          <w:bCs/>
        </w:rPr>
      </w:pPr>
      <w:r w:rsidRPr="007B0DD3">
        <w:rPr>
          <w:rFonts w:asciiTheme="minorBidi" w:hAnsiTheme="minorBidi"/>
          <w:b/>
          <w:bCs/>
        </w:rPr>
        <w:t>ORDER</w:t>
      </w:r>
    </w:p>
    <w:p w14:paraId="63DF070A" w14:textId="77777777" w:rsidR="008D3273" w:rsidRPr="007B0DD3" w:rsidRDefault="008D3273" w:rsidP="00E4410F">
      <w:pPr>
        <w:pBdr>
          <w:bottom w:val="single" w:sz="12" w:space="1" w:color="auto"/>
        </w:pBdr>
        <w:jc w:val="both"/>
        <w:rPr>
          <w:rFonts w:asciiTheme="minorBidi" w:hAnsiTheme="minorBidi"/>
          <w:b/>
          <w:bCs/>
        </w:rPr>
      </w:pPr>
    </w:p>
    <w:p w14:paraId="7E1DFB9F" w14:textId="77777777" w:rsidR="008D3273" w:rsidRPr="00466F9B" w:rsidRDefault="008D3273" w:rsidP="00167ADC">
      <w:pPr>
        <w:pStyle w:val="ListParagraph"/>
        <w:tabs>
          <w:tab w:val="left" w:pos="709"/>
          <w:tab w:val="left" w:pos="1418"/>
        </w:tabs>
        <w:spacing w:after="0" w:line="360" w:lineRule="auto"/>
        <w:ind w:left="0"/>
        <w:jc w:val="both"/>
        <w:rPr>
          <w:rFonts w:asciiTheme="minorBidi" w:hAnsiTheme="minorBidi"/>
          <w:bCs/>
        </w:rPr>
      </w:pPr>
    </w:p>
    <w:p w14:paraId="5F4AFFAA" w14:textId="77777777" w:rsidR="00FB4039" w:rsidRPr="00704DF6" w:rsidRDefault="0078434F" w:rsidP="00FB4039">
      <w:pPr>
        <w:spacing w:line="360" w:lineRule="auto"/>
        <w:jc w:val="both"/>
        <w:rPr>
          <w:rFonts w:ascii="Arial" w:hAnsi="Arial" w:cs="Arial"/>
          <w:bCs/>
        </w:rPr>
      </w:pPr>
      <w:r w:rsidRPr="00704DF6">
        <w:rPr>
          <w:rFonts w:ascii="Arial" w:hAnsi="Arial" w:cs="Arial"/>
          <w:bCs/>
        </w:rPr>
        <w:t>The following order is granted</w:t>
      </w:r>
      <w:r w:rsidR="00FB4039" w:rsidRPr="00704DF6">
        <w:rPr>
          <w:rFonts w:ascii="Arial" w:hAnsi="Arial" w:cs="Arial"/>
          <w:bCs/>
        </w:rPr>
        <w:t>:</w:t>
      </w:r>
    </w:p>
    <w:p w14:paraId="5B3F152B" w14:textId="362659D4" w:rsidR="006433D0" w:rsidRPr="006D3AFC" w:rsidRDefault="00704DF6" w:rsidP="006433D0">
      <w:pPr>
        <w:pStyle w:val="ListParagraph"/>
        <w:spacing w:after="0" w:line="360" w:lineRule="auto"/>
        <w:ind w:left="0"/>
        <w:jc w:val="both"/>
        <w:rPr>
          <w:rFonts w:asciiTheme="minorBidi" w:hAnsiTheme="minorBidi"/>
          <w:sz w:val="24"/>
          <w:szCs w:val="24"/>
        </w:rPr>
      </w:pPr>
      <w:r>
        <w:rPr>
          <w:rFonts w:asciiTheme="minorBidi" w:hAnsiTheme="minorBidi"/>
          <w:sz w:val="24"/>
          <w:szCs w:val="24"/>
        </w:rPr>
        <w:t>1.</w:t>
      </w:r>
      <w:r>
        <w:rPr>
          <w:rFonts w:asciiTheme="minorBidi" w:hAnsiTheme="minorBidi"/>
          <w:sz w:val="24"/>
          <w:szCs w:val="24"/>
        </w:rPr>
        <w:tab/>
      </w:r>
      <w:r w:rsidR="006433D0">
        <w:rPr>
          <w:rFonts w:asciiTheme="minorBidi" w:hAnsiTheme="minorBidi"/>
          <w:sz w:val="24"/>
          <w:szCs w:val="24"/>
        </w:rPr>
        <w:t>The application is dismissed with costs.</w:t>
      </w:r>
    </w:p>
    <w:p w14:paraId="1E1BE87E" w14:textId="77777777" w:rsidR="008D3273" w:rsidRPr="007B0DD3" w:rsidRDefault="008D3273" w:rsidP="00FB4039">
      <w:pPr>
        <w:pBdr>
          <w:bottom w:val="single" w:sz="12" w:space="1" w:color="auto"/>
        </w:pBdr>
        <w:spacing w:line="360" w:lineRule="auto"/>
        <w:jc w:val="both"/>
        <w:rPr>
          <w:rFonts w:asciiTheme="minorBidi" w:hAnsiTheme="minorBidi"/>
          <w:b/>
          <w:bCs/>
        </w:rPr>
      </w:pPr>
    </w:p>
    <w:p w14:paraId="2FB2E365" w14:textId="77777777" w:rsidR="008D3273" w:rsidRPr="007B0DD3" w:rsidRDefault="008D3273" w:rsidP="00E4410F">
      <w:pPr>
        <w:jc w:val="both"/>
        <w:rPr>
          <w:rFonts w:asciiTheme="minorBidi" w:hAnsiTheme="minorBidi"/>
          <w:b/>
          <w:bCs/>
        </w:rPr>
      </w:pPr>
    </w:p>
    <w:p w14:paraId="7CCA6750" w14:textId="77777777" w:rsidR="008D3273" w:rsidRPr="007B0DD3" w:rsidRDefault="008D3273" w:rsidP="00E4410F">
      <w:pPr>
        <w:pBdr>
          <w:bottom w:val="single" w:sz="12" w:space="1" w:color="auto"/>
        </w:pBdr>
        <w:jc w:val="center"/>
        <w:rPr>
          <w:rFonts w:asciiTheme="minorBidi" w:hAnsiTheme="minorBidi"/>
          <w:b/>
          <w:bCs/>
        </w:rPr>
      </w:pPr>
      <w:r w:rsidRPr="007B0DD3">
        <w:rPr>
          <w:rFonts w:asciiTheme="minorBidi" w:hAnsiTheme="minorBidi"/>
          <w:b/>
          <w:bCs/>
        </w:rPr>
        <w:t>JUDGMENT</w:t>
      </w:r>
    </w:p>
    <w:p w14:paraId="7BEA6F28" w14:textId="77777777" w:rsidR="008D3273" w:rsidRPr="007B0DD3" w:rsidRDefault="008D3273" w:rsidP="00E4410F">
      <w:pPr>
        <w:pBdr>
          <w:bottom w:val="single" w:sz="12" w:space="1" w:color="auto"/>
        </w:pBdr>
        <w:jc w:val="both"/>
        <w:rPr>
          <w:rFonts w:asciiTheme="minorBidi" w:hAnsiTheme="minorBidi"/>
          <w:b/>
          <w:bCs/>
        </w:rPr>
      </w:pPr>
    </w:p>
    <w:p w14:paraId="6BB73E8D" w14:textId="77777777" w:rsidR="00E35570" w:rsidRDefault="00E35570" w:rsidP="008418D6">
      <w:pPr>
        <w:spacing w:line="360" w:lineRule="auto"/>
        <w:jc w:val="both"/>
        <w:rPr>
          <w:rFonts w:asciiTheme="minorBidi" w:hAnsiTheme="minorBidi"/>
          <w:b/>
        </w:rPr>
      </w:pPr>
    </w:p>
    <w:p w14:paraId="6FE78C26" w14:textId="77777777" w:rsidR="008D3273" w:rsidRDefault="008D3273" w:rsidP="000803FD">
      <w:pPr>
        <w:spacing w:line="360" w:lineRule="auto"/>
        <w:jc w:val="both"/>
        <w:rPr>
          <w:rFonts w:asciiTheme="minorBidi" w:hAnsiTheme="minorBidi"/>
          <w:bCs/>
        </w:rPr>
      </w:pPr>
      <w:r w:rsidRPr="007B0DD3">
        <w:rPr>
          <w:rFonts w:asciiTheme="minorBidi" w:hAnsiTheme="minorBidi"/>
          <w:b/>
        </w:rPr>
        <w:t xml:space="preserve">Mossop </w:t>
      </w:r>
      <w:r>
        <w:rPr>
          <w:rFonts w:asciiTheme="minorBidi" w:hAnsiTheme="minorBidi"/>
          <w:b/>
        </w:rPr>
        <w:t>J</w:t>
      </w:r>
      <w:r>
        <w:rPr>
          <w:rFonts w:asciiTheme="minorBidi" w:hAnsiTheme="minorBidi"/>
          <w:bCs/>
        </w:rPr>
        <w:t>:</w:t>
      </w:r>
    </w:p>
    <w:p w14:paraId="59518045" w14:textId="77777777" w:rsidR="00566200" w:rsidRDefault="00566200" w:rsidP="000803FD">
      <w:pPr>
        <w:spacing w:line="360" w:lineRule="auto"/>
        <w:jc w:val="both"/>
        <w:rPr>
          <w:rFonts w:asciiTheme="minorBidi" w:hAnsiTheme="minorBidi"/>
          <w:b/>
        </w:rPr>
      </w:pPr>
    </w:p>
    <w:p w14:paraId="20F8816C" w14:textId="6AC9C32D" w:rsidR="004E447F" w:rsidRPr="004E447F" w:rsidRDefault="004E447F" w:rsidP="000803FD">
      <w:pPr>
        <w:spacing w:line="360" w:lineRule="auto"/>
        <w:jc w:val="both"/>
        <w:rPr>
          <w:rFonts w:asciiTheme="minorBidi" w:hAnsiTheme="minorBidi"/>
          <w:b/>
        </w:rPr>
      </w:pPr>
      <w:r w:rsidRPr="004E447F">
        <w:rPr>
          <w:rFonts w:asciiTheme="minorBidi" w:hAnsiTheme="minorBidi"/>
          <w:b/>
        </w:rPr>
        <w:t>Introduction</w:t>
      </w:r>
    </w:p>
    <w:p w14:paraId="7889CA32" w14:textId="6C24F43B" w:rsidR="00A17199" w:rsidRPr="006C1485" w:rsidRDefault="006C1485" w:rsidP="006C1485">
      <w:pPr>
        <w:spacing w:line="360" w:lineRule="auto"/>
        <w:jc w:val="both"/>
        <w:rPr>
          <w:rFonts w:asciiTheme="minorBidi" w:hAnsiTheme="minorBidi"/>
        </w:rPr>
      </w:pPr>
      <w:r w:rsidRPr="00A17199">
        <w:rPr>
          <w:rFonts w:ascii="Arial" w:eastAsiaTheme="minorHAnsi" w:hAnsi="Arial" w:cs="Arial"/>
          <w:bCs/>
          <w:lang w:val="en-GB" w:eastAsia="en-US" w:bidi="ar-SA"/>
        </w:rPr>
        <w:t>[</w:t>
      </w:r>
      <w:bookmarkStart w:id="0" w:name="_GoBack"/>
      <w:bookmarkEnd w:id="0"/>
      <w:r w:rsidRPr="00A17199">
        <w:rPr>
          <w:rFonts w:ascii="Arial" w:eastAsiaTheme="minorHAnsi" w:hAnsi="Arial" w:cs="Arial"/>
          <w:bCs/>
          <w:lang w:val="en-GB" w:eastAsia="en-US" w:bidi="ar-SA"/>
        </w:rPr>
        <w:t>1]</w:t>
      </w:r>
      <w:r w:rsidRPr="00A17199">
        <w:rPr>
          <w:rFonts w:ascii="Arial" w:eastAsiaTheme="minorHAnsi" w:hAnsi="Arial" w:cs="Arial"/>
          <w:bCs/>
          <w:lang w:val="en-GB" w:eastAsia="en-US" w:bidi="ar-SA"/>
        </w:rPr>
        <w:tab/>
      </w:r>
      <w:r w:rsidR="00876CE3" w:rsidRPr="006C1485">
        <w:rPr>
          <w:rFonts w:asciiTheme="minorBidi" w:hAnsiTheme="minorBidi"/>
          <w:bCs/>
        </w:rPr>
        <w:t>In a</w:t>
      </w:r>
      <w:r w:rsidR="007A5DC5" w:rsidRPr="006C1485">
        <w:rPr>
          <w:rFonts w:asciiTheme="minorBidi" w:hAnsiTheme="minorBidi"/>
          <w:bCs/>
        </w:rPr>
        <w:t xml:space="preserve"> summons </w:t>
      </w:r>
      <w:r w:rsidR="00876CE3" w:rsidRPr="006C1485">
        <w:rPr>
          <w:rFonts w:asciiTheme="minorBidi" w:hAnsiTheme="minorBidi"/>
          <w:bCs/>
        </w:rPr>
        <w:t xml:space="preserve">that was issued </w:t>
      </w:r>
      <w:r w:rsidR="00FA6674" w:rsidRPr="006C1485">
        <w:rPr>
          <w:rFonts w:asciiTheme="minorBidi" w:hAnsiTheme="minorBidi"/>
          <w:bCs/>
        </w:rPr>
        <w:t xml:space="preserve">on 1 February 2011 </w:t>
      </w:r>
      <w:r w:rsidR="00260C3D" w:rsidRPr="006C1485">
        <w:rPr>
          <w:rFonts w:asciiTheme="minorBidi" w:hAnsiTheme="minorBidi"/>
          <w:bCs/>
        </w:rPr>
        <w:t>under case number 1340/2011</w:t>
      </w:r>
      <w:r w:rsidR="004B6938" w:rsidRPr="006C1485">
        <w:rPr>
          <w:rFonts w:asciiTheme="minorBidi" w:hAnsiTheme="minorBidi"/>
          <w:bCs/>
        </w:rPr>
        <w:t xml:space="preserve"> (the summons)</w:t>
      </w:r>
      <w:r w:rsidR="007A5DC5" w:rsidRPr="006C1485">
        <w:rPr>
          <w:rFonts w:asciiTheme="minorBidi" w:hAnsiTheme="minorBidi"/>
          <w:bCs/>
        </w:rPr>
        <w:t>,</w:t>
      </w:r>
      <w:r w:rsidR="00876CE3" w:rsidRPr="006C1485">
        <w:rPr>
          <w:rFonts w:asciiTheme="minorBidi" w:hAnsiTheme="minorBidi"/>
          <w:bCs/>
        </w:rPr>
        <w:t xml:space="preserve"> the plaintiff is cited as being Cotton King Manufacturing (Pty) Ltd</w:t>
      </w:r>
      <w:r w:rsidR="008A2D53" w:rsidRPr="006C1485">
        <w:rPr>
          <w:rFonts w:asciiTheme="minorBidi" w:hAnsiTheme="minorBidi"/>
          <w:bCs/>
        </w:rPr>
        <w:t xml:space="preserve"> (Cotton King)</w:t>
      </w:r>
      <w:r w:rsidR="00876CE3" w:rsidRPr="006C1485">
        <w:rPr>
          <w:rFonts w:asciiTheme="minorBidi" w:hAnsiTheme="minorBidi"/>
          <w:bCs/>
        </w:rPr>
        <w:t xml:space="preserve"> and the defendant </w:t>
      </w:r>
      <w:r w:rsidR="00C40331" w:rsidRPr="006C1485">
        <w:rPr>
          <w:rFonts w:asciiTheme="minorBidi" w:hAnsiTheme="minorBidi"/>
          <w:bCs/>
        </w:rPr>
        <w:t>is</w:t>
      </w:r>
      <w:r w:rsidR="00876CE3" w:rsidRPr="006C1485">
        <w:rPr>
          <w:rFonts w:asciiTheme="minorBidi" w:hAnsiTheme="minorBidi"/>
          <w:bCs/>
        </w:rPr>
        <w:t xml:space="preserve"> </w:t>
      </w:r>
      <w:r w:rsidR="00EE2077" w:rsidRPr="006C1485">
        <w:rPr>
          <w:rFonts w:asciiTheme="minorBidi" w:hAnsiTheme="minorBidi"/>
          <w:bCs/>
        </w:rPr>
        <w:t xml:space="preserve">identified as being </w:t>
      </w:r>
      <w:r w:rsidR="00876CE3" w:rsidRPr="006C1485">
        <w:rPr>
          <w:rFonts w:asciiTheme="minorBidi" w:hAnsiTheme="minorBidi"/>
          <w:bCs/>
        </w:rPr>
        <w:t>Garlicke and Bousfield Incorporated, a firm of attorneys</w:t>
      </w:r>
      <w:r w:rsidR="00A11329" w:rsidRPr="006C1485">
        <w:rPr>
          <w:rFonts w:asciiTheme="minorBidi" w:hAnsiTheme="minorBidi"/>
          <w:bCs/>
        </w:rPr>
        <w:t xml:space="preserve"> based in Durban</w:t>
      </w:r>
      <w:r w:rsidR="00876CE3" w:rsidRPr="006C1485">
        <w:rPr>
          <w:rFonts w:asciiTheme="minorBidi" w:hAnsiTheme="minorBidi"/>
          <w:bCs/>
        </w:rPr>
        <w:t>.</w:t>
      </w:r>
      <w:r w:rsidR="005E4383" w:rsidRPr="006C1485">
        <w:rPr>
          <w:rFonts w:asciiTheme="minorBidi" w:hAnsiTheme="minorBidi"/>
          <w:bCs/>
        </w:rPr>
        <w:t xml:space="preserve"> </w:t>
      </w:r>
      <w:r w:rsidR="0088535B" w:rsidRPr="006C1485">
        <w:rPr>
          <w:rFonts w:asciiTheme="minorBidi" w:hAnsiTheme="minorBidi"/>
          <w:bCs/>
        </w:rPr>
        <w:t xml:space="preserve">Before me is an application for </w:t>
      </w:r>
      <w:r w:rsidR="009D0CDA" w:rsidRPr="006C1485">
        <w:rPr>
          <w:rFonts w:asciiTheme="minorBidi" w:hAnsiTheme="minorBidi"/>
          <w:bCs/>
        </w:rPr>
        <w:t>substitution</w:t>
      </w:r>
      <w:r w:rsidR="00723968" w:rsidRPr="006C1485">
        <w:rPr>
          <w:rFonts w:asciiTheme="minorBidi" w:hAnsiTheme="minorBidi"/>
          <w:bCs/>
        </w:rPr>
        <w:t xml:space="preserve"> in which the applicant, who is the </w:t>
      </w:r>
      <w:r w:rsidR="009D0CDA" w:rsidRPr="006C1485">
        <w:rPr>
          <w:rFonts w:asciiTheme="minorBidi" w:hAnsiTheme="minorBidi"/>
          <w:bCs/>
        </w:rPr>
        <w:t xml:space="preserve">previous </w:t>
      </w:r>
      <w:r w:rsidR="009D0CDA" w:rsidRPr="006C1485">
        <w:rPr>
          <w:rFonts w:asciiTheme="minorBidi" w:hAnsiTheme="minorBidi"/>
        </w:rPr>
        <w:t>chief financial officer of Cotton King</w:t>
      </w:r>
      <w:r w:rsidR="004B6938" w:rsidRPr="006C1485">
        <w:rPr>
          <w:rFonts w:asciiTheme="minorBidi" w:hAnsiTheme="minorBidi"/>
        </w:rPr>
        <w:t>,</w:t>
      </w:r>
      <w:r w:rsidR="009D0CDA" w:rsidRPr="006C1485">
        <w:rPr>
          <w:rFonts w:asciiTheme="minorBidi" w:hAnsiTheme="minorBidi"/>
        </w:rPr>
        <w:t xml:space="preserve"> seeks an order that she be substituted as the plaintiff in the action </w:t>
      </w:r>
      <w:r w:rsidR="005D6AA7" w:rsidRPr="006C1485">
        <w:rPr>
          <w:rFonts w:asciiTheme="minorBidi" w:hAnsiTheme="minorBidi"/>
          <w:bCs/>
        </w:rPr>
        <w:t>in the place and stead of Cotton King.</w:t>
      </w:r>
    </w:p>
    <w:p w14:paraId="591EE8AF" w14:textId="77777777" w:rsidR="00876CE3" w:rsidRDefault="00876CE3" w:rsidP="00876CE3">
      <w:pPr>
        <w:pStyle w:val="ListParagraph"/>
        <w:spacing w:after="0" w:line="360" w:lineRule="auto"/>
        <w:ind w:left="0"/>
        <w:jc w:val="both"/>
        <w:rPr>
          <w:rFonts w:asciiTheme="minorBidi" w:hAnsiTheme="minorBidi"/>
          <w:sz w:val="24"/>
          <w:szCs w:val="24"/>
        </w:rPr>
      </w:pPr>
    </w:p>
    <w:p w14:paraId="11D1599E" w14:textId="77777777" w:rsidR="004E447F" w:rsidRPr="004E447F" w:rsidRDefault="004E447F" w:rsidP="00876CE3">
      <w:pPr>
        <w:pStyle w:val="ListParagraph"/>
        <w:spacing w:after="0" w:line="360" w:lineRule="auto"/>
        <w:ind w:left="0"/>
        <w:jc w:val="both"/>
        <w:rPr>
          <w:rFonts w:asciiTheme="minorBidi" w:hAnsiTheme="minorBidi"/>
          <w:b/>
          <w:bCs/>
          <w:sz w:val="24"/>
          <w:szCs w:val="24"/>
        </w:rPr>
      </w:pPr>
      <w:r w:rsidRPr="004E447F">
        <w:rPr>
          <w:rFonts w:asciiTheme="minorBidi" w:hAnsiTheme="minorBidi"/>
          <w:b/>
          <w:bCs/>
          <w:sz w:val="24"/>
          <w:szCs w:val="24"/>
        </w:rPr>
        <w:t>Representation</w:t>
      </w:r>
    </w:p>
    <w:p w14:paraId="2767C649" w14:textId="0EA7A684" w:rsidR="00876CE3" w:rsidRPr="006C1485" w:rsidRDefault="006C1485" w:rsidP="006C1485">
      <w:pPr>
        <w:tabs>
          <w:tab w:val="left" w:pos="709"/>
        </w:tabs>
        <w:spacing w:line="360" w:lineRule="auto"/>
        <w:jc w:val="both"/>
        <w:rPr>
          <w:rFonts w:asciiTheme="minorBidi" w:hAnsiTheme="minorBidi"/>
        </w:rPr>
      </w:pPr>
      <w:r w:rsidRPr="00876CE3">
        <w:rPr>
          <w:rFonts w:ascii="Arial" w:eastAsiaTheme="minorHAnsi" w:hAnsi="Arial" w:cs="Arial"/>
          <w:bCs/>
          <w:lang w:val="en-GB" w:eastAsia="en-US" w:bidi="ar-SA"/>
        </w:rPr>
        <w:t>[2]</w:t>
      </w:r>
      <w:r w:rsidRPr="00876CE3">
        <w:rPr>
          <w:rFonts w:ascii="Arial" w:eastAsiaTheme="minorHAnsi" w:hAnsi="Arial" w:cs="Arial"/>
          <w:bCs/>
          <w:lang w:val="en-GB" w:eastAsia="en-US" w:bidi="ar-SA"/>
        </w:rPr>
        <w:tab/>
      </w:r>
      <w:r w:rsidR="00876CE3" w:rsidRPr="006C1485">
        <w:rPr>
          <w:rFonts w:asciiTheme="minorBidi" w:hAnsiTheme="minorBidi"/>
          <w:bCs/>
        </w:rPr>
        <w:t>When the matter was called, Mr Iles appeared for the applicant and Mr Harpur SC appeared for the defendant. Both counsel are thanked for the</w:t>
      </w:r>
      <w:r w:rsidR="00A11329" w:rsidRPr="006C1485">
        <w:rPr>
          <w:rFonts w:asciiTheme="minorBidi" w:hAnsiTheme="minorBidi"/>
          <w:bCs/>
        </w:rPr>
        <w:t xml:space="preserve">ir </w:t>
      </w:r>
      <w:r w:rsidR="00196394" w:rsidRPr="006C1485">
        <w:rPr>
          <w:rFonts w:asciiTheme="minorBidi" w:hAnsiTheme="minorBidi"/>
          <w:bCs/>
        </w:rPr>
        <w:t xml:space="preserve">insightful </w:t>
      </w:r>
      <w:r w:rsidR="00A11329" w:rsidRPr="006C1485">
        <w:rPr>
          <w:rFonts w:asciiTheme="minorBidi" w:hAnsiTheme="minorBidi"/>
          <w:bCs/>
        </w:rPr>
        <w:t>submissions and the other</w:t>
      </w:r>
      <w:r w:rsidR="00876CE3" w:rsidRPr="006C1485">
        <w:rPr>
          <w:rFonts w:asciiTheme="minorBidi" w:hAnsiTheme="minorBidi"/>
          <w:bCs/>
        </w:rPr>
        <w:t xml:space="preserve"> assistance that they have provided to the court.</w:t>
      </w:r>
    </w:p>
    <w:p w14:paraId="532EA7B9" w14:textId="5F5F2DCD" w:rsidR="00876CE3" w:rsidRDefault="00876CE3" w:rsidP="004E447F">
      <w:pPr>
        <w:spacing w:line="360" w:lineRule="auto"/>
        <w:rPr>
          <w:rFonts w:asciiTheme="minorBidi" w:hAnsiTheme="minorBidi"/>
        </w:rPr>
      </w:pPr>
    </w:p>
    <w:p w14:paraId="616D0516" w14:textId="35DFE4BA" w:rsidR="0011203E" w:rsidRPr="00053669" w:rsidRDefault="0011203E" w:rsidP="004E447F">
      <w:pPr>
        <w:spacing w:line="360" w:lineRule="auto"/>
        <w:rPr>
          <w:rFonts w:asciiTheme="minorBidi" w:hAnsiTheme="minorBidi"/>
          <w:b/>
        </w:rPr>
      </w:pPr>
      <w:r>
        <w:rPr>
          <w:rFonts w:asciiTheme="minorBidi" w:hAnsiTheme="minorBidi"/>
          <w:b/>
        </w:rPr>
        <w:t>Background</w:t>
      </w:r>
    </w:p>
    <w:p w14:paraId="3FE54FCE" w14:textId="77777777" w:rsidR="004E447F" w:rsidRPr="00053669" w:rsidRDefault="004E447F" w:rsidP="004E447F">
      <w:pPr>
        <w:spacing w:line="360" w:lineRule="auto"/>
        <w:rPr>
          <w:rFonts w:asciiTheme="minorBidi" w:hAnsiTheme="minorBidi"/>
          <w:b/>
          <w:bCs/>
          <w:i/>
        </w:rPr>
      </w:pPr>
      <w:r w:rsidRPr="00053669">
        <w:rPr>
          <w:rFonts w:asciiTheme="minorBidi" w:hAnsiTheme="minorBidi"/>
          <w:b/>
          <w:bCs/>
          <w:i/>
        </w:rPr>
        <w:t>The particulars of claim</w:t>
      </w:r>
    </w:p>
    <w:p w14:paraId="5B336561" w14:textId="6CBB2F63" w:rsidR="00334C9F" w:rsidRPr="006C1485" w:rsidRDefault="006C1485" w:rsidP="006C1485">
      <w:pPr>
        <w:spacing w:line="360" w:lineRule="auto"/>
        <w:jc w:val="both"/>
        <w:rPr>
          <w:rFonts w:asciiTheme="minorBidi" w:hAnsiTheme="minorBidi"/>
        </w:rPr>
      </w:pPr>
      <w:r w:rsidRPr="00334C9F">
        <w:rPr>
          <w:rFonts w:ascii="Arial" w:eastAsiaTheme="minorHAnsi" w:hAnsi="Arial" w:cs="Arial"/>
          <w:bCs/>
          <w:lang w:val="en-GB" w:eastAsia="en-US" w:bidi="ar-SA"/>
        </w:rPr>
        <w:t>[3]</w:t>
      </w:r>
      <w:r w:rsidRPr="00334C9F">
        <w:rPr>
          <w:rFonts w:ascii="Arial" w:eastAsiaTheme="minorHAnsi" w:hAnsi="Arial" w:cs="Arial"/>
          <w:bCs/>
          <w:lang w:val="en-GB" w:eastAsia="en-US" w:bidi="ar-SA"/>
        </w:rPr>
        <w:tab/>
      </w:r>
      <w:r w:rsidR="002358D1" w:rsidRPr="006C1485">
        <w:rPr>
          <w:rFonts w:asciiTheme="minorBidi" w:hAnsiTheme="minorBidi"/>
          <w:bCs/>
        </w:rPr>
        <w:t>The</w:t>
      </w:r>
      <w:r w:rsidR="008A2D53" w:rsidRPr="006C1485">
        <w:rPr>
          <w:rFonts w:asciiTheme="minorBidi" w:hAnsiTheme="minorBidi"/>
          <w:bCs/>
        </w:rPr>
        <w:t xml:space="preserve"> particulars of claim </w:t>
      </w:r>
      <w:r w:rsidR="005D6AA7" w:rsidRPr="006C1485">
        <w:rPr>
          <w:rFonts w:asciiTheme="minorBidi" w:hAnsiTheme="minorBidi"/>
          <w:bCs/>
        </w:rPr>
        <w:t xml:space="preserve">allege that a representative of Cotton King and </w:t>
      </w:r>
      <w:r w:rsidR="007D0DC8" w:rsidRPr="006C1485">
        <w:rPr>
          <w:rFonts w:asciiTheme="minorBidi" w:hAnsiTheme="minorBidi"/>
          <w:bCs/>
        </w:rPr>
        <w:t xml:space="preserve">a </w:t>
      </w:r>
      <w:r w:rsidR="005D6AA7" w:rsidRPr="006C1485">
        <w:rPr>
          <w:rFonts w:asciiTheme="minorBidi" w:hAnsiTheme="minorBidi"/>
          <w:bCs/>
        </w:rPr>
        <w:t>Mr Colin Cow</w:t>
      </w:r>
      <w:r w:rsidR="00325B0C" w:rsidRPr="006C1485">
        <w:rPr>
          <w:rFonts w:asciiTheme="minorBidi" w:hAnsiTheme="minorBidi"/>
          <w:bCs/>
        </w:rPr>
        <w:t>a</w:t>
      </w:r>
      <w:r w:rsidR="005D6AA7" w:rsidRPr="006C1485">
        <w:rPr>
          <w:rFonts w:asciiTheme="minorBidi" w:hAnsiTheme="minorBidi"/>
          <w:bCs/>
        </w:rPr>
        <w:t>n</w:t>
      </w:r>
      <w:r w:rsidR="00325B0C" w:rsidRPr="006C1485">
        <w:rPr>
          <w:rFonts w:asciiTheme="minorBidi" w:hAnsiTheme="minorBidi"/>
          <w:bCs/>
        </w:rPr>
        <w:t xml:space="preserve"> (Mr Cowa</w:t>
      </w:r>
      <w:r w:rsidR="00196394" w:rsidRPr="006C1485">
        <w:rPr>
          <w:rFonts w:asciiTheme="minorBidi" w:hAnsiTheme="minorBidi"/>
          <w:bCs/>
        </w:rPr>
        <w:t>n)</w:t>
      </w:r>
      <w:r w:rsidR="005D6AA7" w:rsidRPr="006C1485">
        <w:rPr>
          <w:rFonts w:asciiTheme="minorBidi" w:hAnsiTheme="minorBidi"/>
          <w:bCs/>
        </w:rPr>
        <w:t xml:space="preserve">, allegedly representing the defendant, concluded an </w:t>
      </w:r>
      <w:r w:rsidR="005D6AA7" w:rsidRPr="006C1485">
        <w:rPr>
          <w:rFonts w:asciiTheme="minorBidi" w:hAnsiTheme="minorBidi"/>
          <w:bCs/>
        </w:rPr>
        <w:lastRenderedPageBreak/>
        <w:t>agreement on or about 12 October 2010.</w:t>
      </w:r>
      <w:r w:rsidR="005D26D6">
        <w:rPr>
          <w:rStyle w:val="FootnoteReference"/>
          <w:rFonts w:asciiTheme="minorBidi" w:hAnsiTheme="minorBidi"/>
          <w:bCs/>
        </w:rPr>
        <w:footnoteReference w:id="1"/>
      </w:r>
      <w:r w:rsidR="005D6AA7" w:rsidRPr="006C1485">
        <w:rPr>
          <w:rFonts w:asciiTheme="minorBidi" w:hAnsiTheme="minorBidi"/>
          <w:bCs/>
        </w:rPr>
        <w:t xml:space="preserve"> In terms of that agreement, Cotton King agreed to invest R2,5 million with the defendant which </w:t>
      </w:r>
      <w:r w:rsidR="006D41F8" w:rsidRPr="006C1485">
        <w:rPr>
          <w:rFonts w:asciiTheme="minorBidi" w:hAnsiTheme="minorBidi"/>
          <w:bCs/>
        </w:rPr>
        <w:t xml:space="preserve">money </w:t>
      </w:r>
      <w:r w:rsidR="006E3DC9" w:rsidRPr="006C1485">
        <w:rPr>
          <w:rFonts w:asciiTheme="minorBidi" w:hAnsiTheme="minorBidi"/>
          <w:bCs/>
        </w:rPr>
        <w:t>was to be employed</w:t>
      </w:r>
      <w:r w:rsidR="005D6AA7" w:rsidRPr="006C1485">
        <w:rPr>
          <w:rFonts w:asciiTheme="minorBidi" w:hAnsiTheme="minorBidi"/>
          <w:bCs/>
        </w:rPr>
        <w:t xml:space="preserve"> to advance bridging finance to clients of the defendant. The money was to be repaid to </w:t>
      </w:r>
      <w:r w:rsidR="004B6938" w:rsidRPr="006C1485">
        <w:rPr>
          <w:rFonts w:asciiTheme="minorBidi" w:hAnsiTheme="minorBidi"/>
          <w:bCs/>
        </w:rPr>
        <w:t>Cotton King</w:t>
      </w:r>
      <w:r w:rsidR="005D6AA7" w:rsidRPr="006C1485">
        <w:rPr>
          <w:rFonts w:asciiTheme="minorBidi" w:hAnsiTheme="minorBidi"/>
          <w:bCs/>
        </w:rPr>
        <w:t xml:space="preserve"> </w:t>
      </w:r>
      <w:r w:rsidR="00A11329" w:rsidRPr="006C1485">
        <w:rPr>
          <w:rFonts w:asciiTheme="minorBidi" w:hAnsiTheme="minorBidi"/>
          <w:bCs/>
        </w:rPr>
        <w:t xml:space="preserve">by the defendant </w:t>
      </w:r>
      <w:r w:rsidR="00334C9F" w:rsidRPr="006C1485">
        <w:rPr>
          <w:rFonts w:asciiTheme="minorBidi" w:hAnsiTheme="minorBidi"/>
          <w:bCs/>
        </w:rPr>
        <w:t xml:space="preserve">with interest at the rate of </w:t>
      </w:r>
      <w:r w:rsidR="006E3DC9" w:rsidRPr="006C1485">
        <w:rPr>
          <w:rFonts w:asciiTheme="minorBidi" w:hAnsiTheme="minorBidi"/>
          <w:bCs/>
        </w:rPr>
        <w:t>30</w:t>
      </w:r>
      <w:r w:rsidR="00334C9F" w:rsidRPr="006C1485">
        <w:rPr>
          <w:rFonts w:asciiTheme="minorBidi" w:hAnsiTheme="minorBidi"/>
          <w:bCs/>
        </w:rPr>
        <w:t xml:space="preserve"> percent per annum by 31 January 2011. The money was duly </w:t>
      </w:r>
      <w:r w:rsidR="001C6E56" w:rsidRPr="006C1485">
        <w:rPr>
          <w:rFonts w:asciiTheme="minorBidi" w:hAnsiTheme="minorBidi"/>
          <w:bCs/>
        </w:rPr>
        <w:t>paid</w:t>
      </w:r>
      <w:r w:rsidR="00334C9F" w:rsidRPr="006C1485">
        <w:rPr>
          <w:rFonts w:asciiTheme="minorBidi" w:hAnsiTheme="minorBidi"/>
          <w:bCs/>
        </w:rPr>
        <w:t xml:space="preserve"> </w:t>
      </w:r>
      <w:r w:rsidR="006E3DC9" w:rsidRPr="006C1485">
        <w:rPr>
          <w:rFonts w:asciiTheme="minorBidi" w:hAnsiTheme="minorBidi"/>
          <w:bCs/>
        </w:rPr>
        <w:t xml:space="preserve">over </w:t>
      </w:r>
      <w:r w:rsidR="00334C9F" w:rsidRPr="006C1485">
        <w:rPr>
          <w:rFonts w:asciiTheme="minorBidi" w:hAnsiTheme="minorBidi"/>
          <w:bCs/>
        </w:rPr>
        <w:t>to the defendant</w:t>
      </w:r>
      <w:r w:rsidR="00A11329" w:rsidRPr="006C1485">
        <w:rPr>
          <w:rFonts w:asciiTheme="minorBidi" w:hAnsiTheme="minorBidi"/>
          <w:bCs/>
        </w:rPr>
        <w:t xml:space="preserve"> </w:t>
      </w:r>
      <w:r w:rsidR="006D41F8" w:rsidRPr="006C1485">
        <w:rPr>
          <w:rFonts w:asciiTheme="minorBidi" w:hAnsiTheme="minorBidi"/>
          <w:bCs/>
        </w:rPr>
        <w:t xml:space="preserve">by Cotton </w:t>
      </w:r>
      <w:r w:rsidR="00EF0178" w:rsidRPr="006C1485">
        <w:rPr>
          <w:rFonts w:asciiTheme="minorBidi" w:hAnsiTheme="minorBidi"/>
          <w:bCs/>
        </w:rPr>
        <w:t>King,</w:t>
      </w:r>
      <w:r w:rsidR="006D41F8" w:rsidRPr="006C1485">
        <w:rPr>
          <w:rFonts w:asciiTheme="minorBidi" w:hAnsiTheme="minorBidi"/>
          <w:bCs/>
        </w:rPr>
        <w:t xml:space="preserve"> </w:t>
      </w:r>
      <w:r w:rsidR="00A11329" w:rsidRPr="006C1485">
        <w:rPr>
          <w:rFonts w:asciiTheme="minorBidi" w:hAnsiTheme="minorBidi"/>
          <w:bCs/>
        </w:rPr>
        <w:t xml:space="preserve">but it </w:t>
      </w:r>
      <w:r w:rsidR="00334C9F" w:rsidRPr="006C1485">
        <w:rPr>
          <w:rFonts w:asciiTheme="minorBidi" w:hAnsiTheme="minorBidi"/>
          <w:bCs/>
        </w:rPr>
        <w:t xml:space="preserve">was not repaid by </w:t>
      </w:r>
      <w:r w:rsidR="001C6E56" w:rsidRPr="006C1485">
        <w:rPr>
          <w:rFonts w:asciiTheme="minorBidi" w:hAnsiTheme="minorBidi"/>
          <w:bCs/>
        </w:rPr>
        <w:t xml:space="preserve">the defendant by </w:t>
      </w:r>
      <w:r w:rsidR="00334C9F" w:rsidRPr="006C1485">
        <w:rPr>
          <w:rFonts w:asciiTheme="minorBidi" w:hAnsiTheme="minorBidi"/>
          <w:bCs/>
        </w:rPr>
        <w:t>the due date</w:t>
      </w:r>
      <w:r w:rsidR="00A11329" w:rsidRPr="006C1485">
        <w:rPr>
          <w:rFonts w:asciiTheme="minorBidi" w:hAnsiTheme="minorBidi"/>
          <w:bCs/>
        </w:rPr>
        <w:t>. The summons thus</w:t>
      </w:r>
      <w:r w:rsidR="00334C9F" w:rsidRPr="006C1485">
        <w:rPr>
          <w:rFonts w:asciiTheme="minorBidi" w:hAnsiTheme="minorBidi"/>
          <w:bCs/>
        </w:rPr>
        <w:t xml:space="preserve"> sought the repayment of the R2,5 million together with interest and costs.</w:t>
      </w:r>
    </w:p>
    <w:p w14:paraId="5DC52862" w14:textId="77777777" w:rsidR="00334C9F" w:rsidRDefault="00334C9F" w:rsidP="004E447F">
      <w:pPr>
        <w:spacing w:line="360" w:lineRule="auto"/>
        <w:rPr>
          <w:rFonts w:asciiTheme="minorBidi" w:hAnsiTheme="minorBidi"/>
          <w:bCs/>
        </w:rPr>
      </w:pPr>
    </w:p>
    <w:p w14:paraId="6FAB11E3" w14:textId="77777777" w:rsidR="004E447F" w:rsidRPr="00053669" w:rsidRDefault="004E447F" w:rsidP="004E447F">
      <w:pPr>
        <w:spacing w:line="360" w:lineRule="auto"/>
        <w:rPr>
          <w:rFonts w:asciiTheme="minorBidi" w:hAnsiTheme="minorBidi"/>
          <w:b/>
          <w:i/>
        </w:rPr>
      </w:pPr>
      <w:r w:rsidRPr="00053669">
        <w:rPr>
          <w:rFonts w:asciiTheme="minorBidi" w:hAnsiTheme="minorBidi"/>
          <w:b/>
          <w:i/>
        </w:rPr>
        <w:t>The amended plea</w:t>
      </w:r>
    </w:p>
    <w:p w14:paraId="10DA2CF3" w14:textId="26D961B2" w:rsidR="002358D1" w:rsidRPr="006C1485" w:rsidRDefault="006C1485" w:rsidP="006C1485">
      <w:pPr>
        <w:spacing w:line="360" w:lineRule="auto"/>
        <w:jc w:val="both"/>
        <w:rPr>
          <w:rFonts w:asciiTheme="minorBidi" w:hAnsiTheme="minorBidi"/>
        </w:rPr>
      </w:pPr>
      <w:r w:rsidRPr="009123BE">
        <w:rPr>
          <w:rFonts w:ascii="Arial" w:eastAsiaTheme="minorHAnsi" w:hAnsi="Arial" w:cs="Arial"/>
          <w:bCs/>
          <w:lang w:val="en-GB" w:eastAsia="en-US" w:bidi="ar-SA"/>
        </w:rPr>
        <w:t>[4]</w:t>
      </w:r>
      <w:r w:rsidRPr="009123BE">
        <w:rPr>
          <w:rFonts w:ascii="Arial" w:eastAsiaTheme="minorHAnsi" w:hAnsi="Arial" w:cs="Arial"/>
          <w:bCs/>
          <w:lang w:val="en-GB" w:eastAsia="en-US" w:bidi="ar-SA"/>
        </w:rPr>
        <w:tab/>
      </w:r>
      <w:r w:rsidR="00260C3D" w:rsidRPr="006C1485">
        <w:rPr>
          <w:rFonts w:asciiTheme="minorBidi" w:hAnsiTheme="minorBidi"/>
          <w:bCs/>
        </w:rPr>
        <w:t xml:space="preserve">On 10 October 2011, in an amended plea, </w:t>
      </w:r>
      <w:r w:rsidR="00334C9F" w:rsidRPr="006C1485">
        <w:rPr>
          <w:rFonts w:asciiTheme="minorBidi" w:hAnsiTheme="minorBidi"/>
          <w:bCs/>
        </w:rPr>
        <w:t xml:space="preserve">the defendant pleaded that Cotton King had been </w:t>
      </w:r>
      <w:r w:rsidR="00A11329" w:rsidRPr="006C1485">
        <w:rPr>
          <w:rFonts w:asciiTheme="minorBidi" w:hAnsiTheme="minorBidi"/>
          <w:bCs/>
        </w:rPr>
        <w:t xml:space="preserve">placed </w:t>
      </w:r>
      <w:r w:rsidR="00334C9F" w:rsidRPr="006C1485">
        <w:rPr>
          <w:rFonts w:asciiTheme="minorBidi" w:hAnsiTheme="minorBidi"/>
          <w:bCs/>
        </w:rPr>
        <w:t>in voluntary liquidation</w:t>
      </w:r>
      <w:r w:rsidR="005D6AA7" w:rsidRPr="006C1485">
        <w:rPr>
          <w:rFonts w:asciiTheme="minorBidi" w:hAnsiTheme="minorBidi"/>
          <w:bCs/>
        </w:rPr>
        <w:t xml:space="preserve"> </w:t>
      </w:r>
      <w:r w:rsidR="002358D1" w:rsidRPr="006C1485">
        <w:rPr>
          <w:rFonts w:asciiTheme="minorBidi" w:hAnsiTheme="minorBidi"/>
          <w:bCs/>
        </w:rPr>
        <w:t>as from 9 December 2010</w:t>
      </w:r>
      <w:r w:rsidR="004B6938" w:rsidRPr="006C1485">
        <w:rPr>
          <w:rFonts w:asciiTheme="minorBidi" w:hAnsiTheme="minorBidi"/>
          <w:bCs/>
        </w:rPr>
        <w:t>, a date prior</w:t>
      </w:r>
      <w:r w:rsidR="00A11329" w:rsidRPr="006C1485">
        <w:rPr>
          <w:rFonts w:asciiTheme="minorBidi" w:hAnsiTheme="minorBidi"/>
          <w:bCs/>
        </w:rPr>
        <w:t xml:space="preserve"> to the date upon which the summons was issued</w:t>
      </w:r>
      <w:r w:rsidR="004E447F" w:rsidRPr="006C1485">
        <w:rPr>
          <w:rFonts w:asciiTheme="minorBidi" w:hAnsiTheme="minorBidi"/>
          <w:bCs/>
        </w:rPr>
        <w:t>,</w:t>
      </w:r>
      <w:r w:rsidR="00A11329" w:rsidRPr="006C1485">
        <w:rPr>
          <w:rFonts w:asciiTheme="minorBidi" w:hAnsiTheme="minorBidi"/>
          <w:bCs/>
        </w:rPr>
        <w:t xml:space="preserve"> </w:t>
      </w:r>
      <w:r w:rsidR="002358D1" w:rsidRPr="006C1485">
        <w:rPr>
          <w:rFonts w:asciiTheme="minorBidi" w:hAnsiTheme="minorBidi"/>
          <w:bCs/>
        </w:rPr>
        <w:t xml:space="preserve">and that the </w:t>
      </w:r>
      <w:r w:rsidR="00D56DE2" w:rsidRPr="006C1485">
        <w:rPr>
          <w:rFonts w:asciiTheme="minorBidi" w:hAnsiTheme="minorBidi"/>
          <w:bCs/>
        </w:rPr>
        <w:t>investment</w:t>
      </w:r>
      <w:r w:rsidR="002358D1" w:rsidRPr="006C1485">
        <w:rPr>
          <w:rFonts w:asciiTheme="minorBidi" w:hAnsiTheme="minorBidi"/>
          <w:bCs/>
        </w:rPr>
        <w:t xml:space="preserve"> reference</w:t>
      </w:r>
      <w:r w:rsidR="007A5DC5" w:rsidRPr="006C1485">
        <w:rPr>
          <w:rFonts w:asciiTheme="minorBidi" w:hAnsiTheme="minorBidi"/>
          <w:bCs/>
        </w:rPr>
        <w:t>d</w:t>
      </w:r>
      <w:r w:rsidR="002358D1" w:rsidRPr="006C1485">
        <w:rPr>
          <w:rFonts w:asciiTheme="minorBidi" w:hAnsiTheme="minorBidi"/>
          <w:bCs/>
        </w:rPr>
        <w:t xml:space="preserve"> in the particulars of claim had not been between </w:t>
      </w:r>
      <w:r w:rsidR="004E447F" w:rsidRPr="006C1485">
        <w:rPr>
          <w:rFonts w:asciiTheme="minorBidi" w:hAnsiTheme="minorBidi"/>
          <w:bCs/>
        </w:rPr>
        <w:t xml:space="preserve">Cotton King and </w:t>
      </w:r>
      <w:r w:rsidR="002358D1" w:rsidRPr="006C1485">
        <w:rPr>
          <w:rFonts w:asciiTheme="minorBidi" w:hAnsiTheme="minorBidi"/>
          <w:bCs/>
        </w:rPr>
        <w:t xml:space="preserve">the defendant but </w:t>
      </w:r>
      <w:r w:rsidR="007A5DC5" w:rsidRPr="006C1485">
        <w:rPr>
          <w:rFonts w:asciiTheme="minorBidi" w:hAnsiTheme="minorBidi"/>
          <w:bCs/>
        </w:rPr>
        <w:t xml:space="preserve">had been </w:t>
      </w:r>
      <w:r w:rsidR="002358D1" w:rsidRPr="006C1485">
        <w:rPr>
          <w:rFonts w:asciiTheme="minorBidi" w:hAnsiTheme="minorBidi"/>
          <w:bCs/>
        </w:rPr>
        <w:t xml:space="preserve">between the </w:t>
      </w:r>
      <w:r w:rsidR="004E447F" w:rsidRPr="006C1485">
        <w:rPr>
          <w:rFonts w:asciiTheme="minorBidi" w:hAnsiTheme="minorBidi"/>
          <w:bCs/>
        </w:rPr>
        <w:t xml:space="preserve">applicant and </w:t>
      </w:r>
      <w:r w:rsidR="007F3E18" w:rsidRPr="006C1485">
        <w:rPr>
          <w:rFonts w:asciiTheme="minorBidi" w:hAnsiTheme="minorBidi"/>
          <w:bCs/>
        </w:rPr>
        <w:t>Mr Cowan</w:t>
      </w:r>
      <w:r w:rsidR="002358D1" w:rsidRPr="006C1485">
        <w:rPr>
          <w:rFonts w:asciiTheme="minorBidi" w:hAnsiTheme="minorBidi"/>
          <w:bCs/>
        </w:rPr>
        <w:t xml:space="preserve">. Other issues were raised in the amended </w:t>
      </w:r>
      <w:r w:rsidR="00EF0178" w:rsidRPr="006C1485">
        <w:rPr>
          <w:rFonts w:asciiTheme="minorBidi" w:hAnsiTheme="minorBidi"/>
          <w:bCs/>
        </w:rPr>
        <w:t>plea,</w:t>
      </w:r>
      <w:r w:rsidR="002358D1" w:rsidRPr="006C1485">
        <w:rPr>
          <w:rFonts w:asciiTheme="minorBidi" w:hAnsiTheme="minorBidi"/>
          <w:bCs/>
        </w:rPr>
        <w:t xml:space="preserve"> but they need not </w:t>
      </w:r>
      <w:r w:rsidR="00B924C0" w:rsidRPr="006C1485">
        <w:rPr>
          <w:rFonts w:asciiTheme="minorBidi" w:hAnsiTheme="minorBidi"/>
          <w:bCs/>
        </w:rPr>
        <w:t>detain us.</w:t>
      </w:r>
      <w:r w:rsidR="00D953C0" w:rsidRPr="006C1485">
        <w:rPr>
          <w:rFonts w:asciiTheme="minorBidi" w:hAnsiTheme="minorBidi"/>
          <w:bCs/>
        </w:rPr>
        <w:t xml:space="preserve"> No replication was delivered to the amended plea. </w:t>
      </w:r>
    </w:p>
    <w:p w14:paraId="1CFB26F1" w14:textId="77777777" w:rsidR="009123BE" w:rsidRDefault="009123BE" w:rsidP="009123BE">
      <w:pPr>
        <w:spacing w:line="360" w:lineRule="auto"/>
        <w:jc w:val="both"/>
        <w:rPr>
          <w:rFonts w:asciiTheme="minorBidi" w:hAnsiTheme="minorBidi"/>
        </w:rPr>
      </w:pPr>
    </w:p>
    <w:p w14:paraId="6A11BC06" w14:textId="77777777" w:rsidR="00A17199" w:rsidRPr="00053669" w:rsidRDefault="00A17199" w:rsidP="00A17199">
      <w:pPr>
        <w:pStyle w:val="ListParagraph"/>
        <w:tabs>
          <w:tab w:val="left" w:pos="709"/>
        </w:tabs>
        <w:spacing w:after="0" w:line="360" w:lineRule="auto"/>
        <w:ind w:left="0"/>
        <w:jc w:val="both"/>
        <w:rPr>
          <w:rFonts w:asciiTheme="minorBidi" w:hAnsiTheme="minorBidi"/>
          <w:b/>
          <w:bCs/>
          <w:i/>
          <w:sz w:val="24"/>
          <w:szCs w:val="24"/>
        </w:rPr>
      </w:pPr>
      <w:r w:rsidRPr="00053669">
        <w:rPr>
          <w:rFonts w:asciiTheme="minorBidi" w:hAnsiTheme="minorBidi"/>
          <w:b/>
          <w:bCs/>
          <w:i/>
          <w:sz w:val="24"/>
          <w:szCs w:val="24"/>
        </w:rPr>
        <w:t>Security</w:t>
      </w:r>
    </w:p>
    <w:p w14:paraId="45670F2A" w14:textId="11C8D9D9" w:rsidR="00A17199" w:rsidRPr="006C1485" w:rsidRDefault="006C1485" w:rsidP="006C1485">
      <w:pPr>
        <w:tabs>
          <w:tab w:val="left" w:pos="709"/>
        </w:tabs>
        <w:spacing w:line="360" w:lineRule="auto"/>
        <w:jc w:val="both"/>
        <w:rPr>
          <w:rFonts w:asciiTheme="minorBidi" w:hAnsiTheme="minorBidi"/>
        </w:rPr>
      </w:pPr>
      <w:r>
        <w:rPr>
          <w:rFonts w:ascii="Arial" w:eastAsiaTheme="minorHAnsi" w:hAnsi="Arial" w:cs="Arial"/>
          <w:bCs/>
          <w:lang w:val="en-GB" w:eastAsia="en-US" w:bidi="ar-SA"/>
        </w:rPr>
        <w:t>[5]</w:t>
      </w:r>
      <w:r>
        <w:rPr>
          <w:rFonts w:ascii="Arial" w:eastAsiaTheme="minorHAnsi" w:hAnsi="Arial" w:cs="Arial"/>
          <w:bCs/>
          <w:lang w:val="en-GB" w:eastAsia="en-US" w:bidi="ar-SA"/>
        </w:rPr>
        <w:tab/>
      </w:r>
      <w:r w:rsidR="00A17199" w:rsidRPr="006C1485">
        <w:rPr>
          <w:rFonts w:asciiTheme="minorBidi" w:hAnsiTheme="minorBidi"/>
        </w:rPr>
        <w:t xml:space="preserve">On 19 October 2011, the </w:t>
      </w:r>
      <w:r w:rsidR="00021225" w:rsidRPr="006C1485">
        <w:rPr>
          <w:rFonts w:asciiTheme="minorBidi" w:hAnsiTheme="minorBidi"/>
        </w:rPr>
        <w:t>r</w:t>
      </w:r>
      <w:r w:rsidR="00A17199" w:rsidRPr="006C1485">
        <w:rPr>
          <w:rFonts w:asciiTheme="minorBidi" w:hAnsiTheme="minorBidi"/>
        </w:rPr>
        <w:t>egistrar of this court directed Cotton King to put up security in the amount of R400 000 for the defendant’s costs by close of business of 2 November 2011. Cotton King never put up that security.</w:t>
      </w:r>
    </w:p>
    <w:p w14:paraId="1DBDA80F" w14:textId="77777777" w:rsidR="00A17199" w:rsidRDefault="00A17199" w:rsidP="009123BE">
      <w:pPr>
        <w:spacing w:line="360" w:lineRule="auto"/>
        <w:jc w:val="both"/>
        <w:rPr>
          <w:rFonts w:asciiTheme="minorBidi" w:hAnsiTheme="minorBidi"/>
        </w:rPr>
      </w:pPr>
    </w:p>
    <w:p w14:paraId="0FE50D36" w14:textId="77777777" w:rsidR="00A17199" w:rsidRPr="00053669" w:rsidRDefault="00A17199" w:rsidP="00A17199">
      <w:pPr>
        <w:pStyle w:val="ListParagraph"/>
        <w:tabs>
          <w:tab w:val="left" w:pos="709"/>
        </w:tabs>
        <w:spacing w:after="0" w:line="360" w:lineRule="auto"/>
        <w:ind w:left="0"/>
        <w:jc w:val="both"/>
        <w:rPr>
          <w:rFonts w:asciiTheme="minorBidi" w:hAnsiTheme="minorBidi"/>
          <w:b/>
          <w:bCs/>
          <w:i/>
          <w:sz w:val="24"/>
          <w:szCs w:val="24"/>
        </w:rPr>
      </w:pPr>
      <w:r w:rsidRPr="00053669">
        <w:rPr>
          <w:rFonts w:asciiTheme="minorBidi" w:hAnsiTheme="minorBidi"/>
          <w:b/>
          <w:bCs/>
          <w:i/>
          <w:sz w:val="24"/>
          <w:szCs w:val="24"/>
        </w:rPr>
        <w:t>The substitution application</w:t>
      </w:r>
    </w:p>
    <w:p w14:paraId="61388836" w14:textId="5BE9684C" w:rsidR="00A17199" w:rsidRPr="006C1485" w:rsidRDefault="006C1485" w:rsidP="006C1485">
      <w:pPr>
        <w:tabs>
          <w:tab w:val="left" w:pos="709"/>
        </w:tabs>
        <w:spacing w:line="360" w:lineRule="auto"/>
        <w:jc w:val="both"/>
        <w:rPr>
          <w:rFonts w:asciiTheme="minorBidi" w:hAnsiTheme="minorBidi"/>
        </w:rPr>
      </w:pPr>
      <w:r>
        <w:rPr>
          <w:rFonts w:ascii="Arial" w:eastAsiaTheme="minorHAnsi" w:hAnsi="Arial" w:cs="Arial"/>
          <w:bCs/>
          <w:lang w:val="en-GB" w:eastAsia="en-US" w:bidi="ar-SA"/>
        </w:rPr>
        <w:t>[6]</w:t>
      </w:r>
      <w:r>
        <w:rPr>
          <w:rFonts w:ascii="Arial" w:eastAsiaTheme="minorHAnsi" w:hAnsi="Arial" w:cs="Arial"/>
          <w:bCs/>
          <w:lang w:val="en-GB" w:eastAsia="en-US" w:bidi="ar-SA"/>
        </w:rPr>
        <w:tab/>
      </w:r>
      <w:r w:rsidR="00A17199" w:rsidRPr="006C1485">
        <w:rPr>
          <w:rFonts w:asciiTheme="minorBidi" w:hAnsiTheme="minorBidi"/>
        </w:rPr>
        <w:t xml:space="preserve">On </w:t>
      </w:r>
      <w:r w:rsidR="00A17199" w:rsidRPr="006C1485">
        <w:rPr>
          <w:rFonts w:asciiTheme="minorBidi" w:hAnsiTheme="minorBidi"/>
          <w:bCs/>
        </w:rPr>
        <w:t>27 March 2013</w:t>
      </w:r>
      <w:r w:rsidR="00A17199" w:rsidRPr="006C1485">
        <w:rPr>
          <w:rFonts w:asciiTheme="minorBidi" w:hAnsiTheme="minorBidi"/>
        </w:rPr>
        <w:t>, the applicant launched the substitution application. It was met with an answering affidavit from the defendant.</w:t>
      </w:r>
    </w:p>
    <w:p w14:paraId="50CE7747" w14:textId="19CC9A06" w:rsidR="00A17199" w:rsidRDefault="00A17199" w:rsidP="009123BE">
      <w:pPr>
        <w:spacing w:line="360" w:lineRule="auto"/>
        <w:jc w:val="both"/>
        <w:rPr>
          <w:rFonts w:asciiTheme="minorBidi" w:hAnsiTheme="minorBidi"/>
        </w:rPr>
      </w:pPr>
    </w:p>
    <w:p w14:paraId="593D904D" w14:textId="686C1A40" w:rsidR="00EB50F5" w:rsidRDefault="00EB50F5" w:rsidP="009123BE">
      <w:pPr>
        <w:spacing w:line="360" w:lineRule="auto"/>
        <w:jc w:val="both"/>
        <w:rPr>
          <w:rFonts w:asciiTheme="minorBidi" w:hAnsiTheme="minorBidi"/>
        </w:rPr>
      </w:pPr>
    </w:p>
    <w:p w14:paraId="1637F0BB" w14:textId="3A6E9B19" w:rsidR="00EB50F5" w:rsidRDefault="00EB50F5" w:rsidP="009123BE">
      <w:pPr>
        <w:spacing w:line="360" w:lineRule="auto"/>
        <w:jc w:val="both"/>
        <w:rPr>
          <w:rFonts w:asciiTheme="minorBidi" w:hAnsiTheme="minorBidi"/>
        </w:rPr>
      </w:pPr>
    </w:p>
    <w:p w14:paraId="4040D8F0" w14:textId="77777777" w:rsidR="004B43AC" w:rsidRDefault="004B43AC" w:rsidP="009123BE">
      <w:pPr>
        <w:spacing w:line="360" w:lineRule="auto"/>
        <w:jc w:val="both"/>
        <w:rPr>
          <w:rFonts w:asciiTheme="minorBidi" w:hAnsiTheme="minorBidi"/>
        </w:rPr>
      </w:pPr>
    </w:p>
    <w:p w14:paraId="1BC2BBB5" w14:textId="77777777" w:rsidR="004E447F" w:rsidRPr="00EB50F5" w:rsidRDefault="004E447F" w:rsidP="009123BE">
      <w:pPr>
        <w:spacing w:line="360" w:lineRule="auto"/>
        <w:jc w:val="both"/>
        <w:rPr>
          <w:rFonts w:asciiTheme="minorBidi" w:hAnsiTheme="minorBidi"/>
          <w:bCs/>
          <w:i/>
        </w:rPr>
      </w:pPr>
      <w:r w:rsidRPr="00EB50F5">
        <w:rPr>
          <w:rFonts w:asciiTheme="minorBidi" w:hAnsiTheme="minorBidi"/>
          <w:bCs/>
          <w:i/>
        </w:rPr>
        <w:lastRenderedPageBreak/>
        <w:t>The founding affidavit</w:t>
      </w:r>
    </w:p>
    <w:p w14:paraId="18A7CB39" w14:textId="4AA3481F" w:rsidR="008A2D53" w:rsidRPr="006C1485" w:rsidRDefault="006C1485" w:rsidP="006C1485">
      <w:pPr>
        <w:spacing w:line="360" w:lineRule="auto"/>
        <w:jc w:val="both"/>
        <w:rPr>
          <w:rFonts w:asciiTheme="minorBidi" w:hAnsiTheme="minorBidi"/>
        </w:rPr>
      </w:pPr>
      <w:r w:rsidRPr="002358D1">
        <w:rPr>
          <w:rFonts w:ascii="Arial" w:eastAsiaTheme="minorHAnsi" w:hAnsi="Arial" w:cs="Arial"/>
          <w:bCs/>
          <w:lang w:val="en-GB" w:eastAsia="en-US" w:bidi="ar-SA"/>
        </w:rPr>
        <w:t>[7]</w:t>
      </w:r>
      <w:r w:rsidRPr="002358D1">
        <w:rPr>
          <w:rFonts w:ascii="Arial" w:eastAsiaTheme="minorHAnsi" w:hAnsi="Arial" w:cs="Arial"/>
          <w:bCs/>
          <w:lang w:val="en-GB" w:eastAsia="en-US" w:bidi="ar-SA"/>
        </w:rPr>
        <w:tab/>
      </w:r>
      <w:r w:rsidR="007A5DC5" w:rsidRPr="006C1485">
        <w:rPr>
          <w:rFonts w:asciiTheme="minorBidi" w:hAnsiTheme="minorBidi"/>
          <w:bCs/>
        </w:rPr>
        <w:t>In her founding affidavit</w:t>
      </w:r>
      <w:r w:rsidR="0032168F" w:rsidRPr="006C1485">
        <w:rPr>
          <w:rFonts w:asciiTheme="minorBidi" w:hAnsiTheme="minorBidi"/>
          <w:bCs/>
        </w:rPr>
        <w:t xml:space="preserve"> in the substitution application</w:t>
      </w:r>
      <w:r w:rsidR="007A5DC5" w:rsidRPr="006C1485">
        <w:rPr>
          <w:rFonts w:asciiTheme="minorBidi" w:hAnsiTheme="minorBidi"/>
          <w:bCs/>
        </w:rPr>
        <w:t xml:space="preserve">, which is brief and </w:t>
      </w:r>
      <w:r w:rsidR="001C6E56" w:rsidRPr="006C1485">
        <w:rPr>
          <w:rFonts w:asciiTheme="minorBidi" w:hAnsiTheme="minorBidi"/>
          <w:bCs/>
        </w:rPr>
        <w:t>scarcely fills</w:t>
      </w:r>
      <w:r w:rsidR="007A5DC5" w:rsidRPr="006C1485">
        <w:rPr>
          <w:rFonts w:asciiTheme="minorBidi" w:hAnsiTheme="minorBidi"/>
          <w:bCs/>
        </w:rPr>
        <w:t xml:space="preserve"> three pages, </w:t>
      </w:r>
      <w:r w:rsidR="002358D1" w:rsidRPr="006C1485">
        <w:rPr>
          <w:rFonts w:asciiTheme="minorBidi" w:hAnsiTheme="minorBidi"/>
          <w:bCs/>
        </w:rPr>
        <w:t xml:space="preserve">the applicant </w:t>
      </w:r>
      <w:r w:rsidR="008A2D53" w:rsidRPr="006C1485">
        <w:rPr>
          <w:rFonts w:asciiTheme="minorBidi" w:hAnsiTheme="minorBidi"/>
          <w:bCs/>
        </w:rPr>
        <w:t xml:space="preserve">explains that Cotton King sold its business and, acting upon the advice of its accountants, </w:t>
      </w:r>
      <w:r w:rsidR="007A5DC5" w:rsidRPr="006C1485">
        <w:rPr>
          <w:rFonts w:asciiTheme="minorBidi" w:hAnsiTheme="minorBidi"/>
          <w:bCs/>
        </w:rPr>
        <w:t xml:space="preserve">it </w:t>
      </w:r>
      <w:r w:rsidR="008A2D53" w:rsidRPr="006C1485">
        <w:rPr>
          <w:rFonts w:asciiTheme="minorBidi" w:hAnsiTheme="minorBidi"/>
          <w:bCs/>
        </w:rPr>
        <w:t>then placed itself into voluntary liquidation. Two liquidators were appointed to wind</w:t>
      </w:r>
      <w:r w:rsidR="006F12EC" w:rsidRPr="006C1485">
        <w:rPr>
          <w:rFonts w:asciiTheme="minorBidi" w:hAnsiTheme="minorBidi"/>
          <w:bCs/>
        </w:rPr>
        <w:t>-</w:t>
      </w:r>
      <w:r w:rsidR="008A2D53" w:rsidRPr="006C1485">
        <w:rPr>
          <w:rFonts w:asciiTheme="minorBidi" w:hAnsiTheme="minorBidi"/>
          <w:bCs/>
        </w:rPr>
        <w:t>up the plaintiff and, according to the applicant</w:t>
      </w:r>
      <w:r w:rsidR="002358D1" w:rsidRPr="006C1485">
        <w:rPr>
          <w:rFonts w:asciiTheme="minorBidi" w:hAnsiTheme="minorBidi"/>
          <w:bCs/>
        </w:rPr>
        <w:t>,</w:t>
      </w:r>
      <w:r w:rsidR="008A2D53" w:rsidRPr="006C1485">
        <w:rPr>
          <w:rFonts w:asciiTheme="minorBidi" w:hAnsiTheme="minorBidi"/>
          <w:bCs/>
        </w:rPr>
        <w:t xml:space="preserve"> the liquidators:</w:t>
      </w:r>
    </w:p>
    <w:p w14:paraId="782C1395" w14:textId="77777777" w:rsidR="008A2D53" w:rsidRDefault="008A2D53" w:rsidP="008A2D53">
      <w:pPr>
        <w:pStyle w:val="ListParagraph"/>
        <w:spacing w:after="0" w:line="360" w:lineRule="auto"/>
        <w:ind w:left="0"/>
        <w:jc w:val="both"/>
        <w:rPr>
          <w:rFonts w:asciiTheme="minorBidi" w:hAnsiTheme="minorBidi"/>
        </w:rPr>
      </w:pPr>
      <w:r w:rsidRPr="002719D8">
        <w:rPr>
          <w:rFonts w:asciiTheme="minorBidi" w:hAnsiTheme="minorBidi"/>
        </w:rPr>
        <w:t xml:space="preserve">‘… did not wish to become embroiled in long and protracted litigation with the Defendant and accordingly the Plaintiffs (sic) claim in and to the said action against the Defendant was duly sold, transferred and ceded to me. I must point out that I was at all times a minority shareholder in the company </w:t>
      </w:r>
      <w:r>
        <w:rPr>
          <w:rFonts w:asciiTheme="minorBidi" w:hAnsiTheme="minorBidi"/>
        </w:rPr>
        <w:t xml:space="preserve">in </w:t>
      </w:r>
      <w:r w:rsidRPr="002719D8">
        <w:rPr>
          <w:rFonts w:asciiTheme="minorBidi" w:hAnsiTheme="minorBidi"/>
        </w:rPr>
        <w:t>any event.’</w:t>
      </w:r>
    </w:p>
    <w:p w14:paraId="4DF83F14" w14:textId="77777777" w:rsidR="002358D1" w:rsidRPr="002719D8" w:rsidRDefault="002358D1" w:rsidP="008A2D53">
      <w:pPr>
        <w:pStyle w:val="ListParagraph"/>
        <w:spacing w:after="0" w:line="360" w:lineRule="auto"/>
        <w:ind w:left="0"/>
        <w:jc w:val="both"/>
        <w:rPr>
          <w:rFonts w:asciiTheme="minorBidi" w:hAnsiTheme="minorBidi"/>
        </w:rPr>
      </w:pPr>
    </w:p>
    <w:p w14:paraId="4798B729" w14:textId="034655E1" w:rsidR="00EA3A5C" w:rsidRPr="006C1485" w:rsidRDefault="006C1485" w:rsidP="006C1485">
      <w:pPr>
        <w:spacing w:line="360" w:lineRule="auto"/>
        <w:jc w:val="both"/>
        <w:rPr>
          <w:rFonts w:asciiTheme="minorBidi" w:hAnsiTheme="minorBidi"/>
        </w:rPr>
      </w:pPr>
      <w:r>
        <w:rPr>
          <w:rFonts w:ascii="Arial" w:eastAsiaTheme="minorHAnsi" w:hAnsi="Arial" w:cs="Arial"/>
          <w:bCs/>
          <w:lang w:val="en-GB" w:eastAsia="en-US" w:bidi="ar-SA"/>
        </w:rPr>
        <w:t>[8]</w:t>
      </w:r>
      <w:r>
        <w:rPr>
          <w:rFonts w:ascii="Arial" w:eastAsiaTheme="minorHAnsi" w:hAnsi="Arial" w:cs="Arial"/>
          <w:bCs/>
          <w:lang w:val="en-GB" w:eastAsia="en-US" w:bidi="ar-SA"/>
        </w:rPr>
        <w:tab/>
      </w:r>
      <w:r w:rsidR="006E3DC9" w:rsidRPr="006C1485">
        <w:rPr>
          <w:rFonts w:asciiTheme="minorBidi" w:hAnsiTheme="minorBidi"/>
        </w:rPr>
        <w:t>That explanation would seem to be at odds with what the defendant had pleaded, namely that the investment was made by the applicant personally and</w:t>
      </w:r>
      <w:r w:rsidR="007F3E18" w:rsidRPr="006C1485">
        <w:rPr>
          <w:rFonts w:asciiTheme="minorBidi" w:hAnsiTheme="minorBidi"/>
        </w:rPr>
        <w:t xml:space="preserve"> not</w:t>
      </w:r>
      <w:r w:rsidR="006E3DC9" w:rsidRPr="006C1485">
        <w:rPr>
          <w:rFonts w:asciiTheme="minorBidi" w:hAnsiTheme="minorBidi"/>
        </w:rPr>
        <w:t xml:space="preserve"> by Cotton King. The fact th</w:t>
      </w:r>
      <w:r w:rsidR="007F3E18" w:rsidRPr="006C1485">
        <w:rPr>
          <w:rFonts w:asciiTheme="minorBidi" w:hAnsiTheme="minorBidi"/>
        </w:rPr>
        <w:t>at the applicant indicated that Cotton King’s</w:t>
      </w:r>
      <w:r w:rsidR="006E3DC9" w:rsidRPr="006C1485">
        <w:rPr>
          <w:rFonts w:asciiTheme="minorBidi" w:hAnsiTheme="minorBidi"/>
        </w:rPr>
        <w:t xml:space="preserve"> claim</w:t>
      </w:r>
      <w:r w:rsidR="007F3E18" w:rsidRPr="006C1485">
        <w:rPr>
          <w:rFonts w:asciiTheme="minorBidi" w:hAnsiTheme="minorBidi"/>
        </w:rPr>
        <w:t xml:space="preserve"> had been sold to her</w:t>
      </w:r>
      <w:r w:rsidR="006E3DC9" w:rsidRPr="006C1485">
        <w:rPr>
          <w:rFonts w:asciiTheme="minorBidi" w:hAnsiTheme="minorBidi"/>
        </w:rPr>
        <w:t xml:space="preserve"> would tend to indicate that it was not her claim to start with. </w:t>
      </w:r>
    </w:p>
    <w:p w14:paraId="48B77204" w14:textId="77777777" w:rsidR="00EA3A5C" w:rsidRDefault="00EA3A5C" w:rsidP="00EA3A5C">
      <w:pPr>
        <w:pStyle w:val="ListParagraph"/>
        <w:spacing w:after="0" w:line="360" w:lineRule="auto"/>
        <w:ind w:left="0"/>
        <w:jc w:val="both"/>
        <w:rPr>
          <w:rFonts w:asciiTheme="minorBidi" w:hAnsiTheme="minorBidi"/>
          <w:sz w:val="24"/>
          <w:szCs w:val="24"/>
        </w:rPr>
      </w:pPr>
    </w:p>
    <w:p w14:paraId="409DE04A" w14:textId="1251939E" w:rsidR="002358D1" w:rsidRPr="006C1485" w:rsidRDefault="006C1485" w:rsidP="006C1485">
      <w:pPr>
        <w:spacing w:line="360" w:lineRule="auto"/>
        <w:jc w:val="both"/>
        <w:rPr>
          <w:rFonts w:asciiTheme="minorBidi" w:hAnsiTheme="minorBidi"/>
        </w:rPr>
      </w:pPr>
      <w:r w:rsidRPr="00A11329">
        <w:rPr>
          <w:rFonts w:ascii="Arial" w:eastAsiaTheme="minorHAnsi" w:hAnsi="Arial" w:cs="Arial"/>
          <w:bCs/>
          <w:lang w:val="en-GB" w:eastAsia="en-US" w:bidi="ar-SA"/>
        </w:rPr>
        <w:t>[9]</w:t>
      </w:r>
      <w:r w:rsidRPr="00A11329">
        <w:rPr>
          <w:rFonts w:ascii="Arial" w:eastAsiaTheme="minorHAnsi" w:hAnsi="Arial" w:cs="Arial"/>
          <w:bCs/>
          <w:lang w:val="en-GB" w:eastAsia="en-US" w:bidi="ar-SA"/>
        </w:rPr>
        <w:tab/>
      </w:r>
      <w:r w:rsidR="00A11329" w:rsidRPr="006C1485">
        <w:rPr>
          <w:rFonts w:asciiTheme="minorBidi" w:hAnsiTheme="minorBidi"/>
        </w:rPr>
        <w:t>Th</w:t>
      </w:r>
      <w:r w:rsidR="00196394" w:rsidRPr="006C1485">
        <w:rPr>
          <w:rFonts w:asciiTheme="minorBidi" w:hAnsiTheme="minorBidi"/>
        </w:rPr>
        <w:t xml:space="preserve">e cession </w:t>
      </w:r>
      <w:r w:rsidR="00EA3A5C" w:rsidRPr="006C1485">
        <w:rPr>
          <w:rFonts w:asciiTheme="minorBidi" w:hAnsiTheme="minorBidi"/>
        </w:rPr>
        <w:t xml:space="preserve">referred to by the applicant </w:t>
      </w:r>
      <w:r w:rsidR="00196394" w:rsidRPr="006C1485">
        <w:rPr>
          <w:rFonts w:asciiTheme="minorBidi" w:hAnsiTheme="minorBidi"/>
        </w:rPr>
        <w:t>was in writing (the deed of cession) and t</w:t>
      </w:r>
      <w:r w:rsidR="002358D1" w:rsidRPr="006C1485">
        <w:rPr>
          <w:rFonts w:asciiTheme="minorBidi" w:hAnsiTheme="minorBidi"/>
        </w:rPr>
        <w:t>he applicant has attached a copy of th</w:t>
      </w:r>
      <w:r w:rsidR="002D3BFE" w:rsidRPr="006C1485">
        <w:rPr>
          <w:rFonts w:asciiTheme="minorBidi" w:hAnsiTheme="minorBidi"/>
        </w:rPr>
        <w:t xml:space="preserve">at document </w:t>
      </w:r>
      <w:r w:rsidR="002358D1" w:rsidRPr="006C1485">
        <w:rPr>
          <w:rFonts w:asciiTheme="minorBidi" w:hAnsiTheme="minorBidi"/>
        </w:rPr>
        <w:t xml:space="preserve">to her founding affidavit. </w:t>
      </w:r>
      <w:r w:rsidR="00D953C0" w:rsidRPr="006C1485">
        <w:rPr>
          <w:rFonts w:asciiTheme="minorBidi" w:hAnsiTheme="minorBidi"/>
        </w:rPr>
        <w:t xml:space="preserve">It reveals that </w:t>
      </w:r>
      <w:r w:rsidR="00D56DE2" w:rsidRPr="006C1485">
        <w:rPr>
          <w:rFonts w:asciiTheme="minorBidi" w:hAnsiTheme="minorBidi"/>
        </w:rPr>
        <w:t>it</w:t>
      </w:r>
      <w:r w:rsidR="00D953C0" w:rsidRPr="006C1485">
        <w:rPr>
          <w:rFonts w:asciiTheme="minorBidi" w:hAnsiTheme="minorBidi"/>
        </w:rPr>
        <w:t xml:space="preserve"> was concluded on 21 November 2011. </w:t>
      </w:r>
      <w:r w:rsidR="002358D1" w:rsidRPr="006C1485">
        <w:rPr>
          <w:rFonts w:asciiTheme="minorBidi" w:hAnsiTheme="minorBidi"/>
        </w:rPr>
        <w:t>She claims further in her founding affidavit that:</w:t>
      </w:r>
    </w:p>
    <w:p w14:paraId="03B252C0" w14:textId="77777777" w:rsidR="002358D1" w:rsidRDefault="002358D1" w:rsidP="002358D1">
      <w:pPr>
        <w:pStyle w:val="ListParagraph"/>
        <w:spacing w:after="0" w:line="360" w:lineRule="auto"/>
        <w:ind w:left="0"/>
        <w:jc w:val="both"/>
        <w:rPr>
          <w:rFonts w:asciiTheme="minorBidi" w:hAnsiTheme="minorBidi"/>
        </w:rPr>
      </w:pPr>
      <w:r w:rsidRPr="002719D8">
        <w:rPr>
          <w:rFonts w:asciiTheme="minorBidi" w:hAnsiTheme="minorBidi"/>
        </w:rPr>
        <w:t>‘I duly assumed all rights and obligations in and to the said claim. In particular I refer to paragraph 4.1 of the Deed of Cession.’</w:t>
      </w:r>
    </w:p>
    <w:p w14:paraId="6B1D3763" w14:textId="77777777" w:rsidR="002D3BFE" w:rsidRPr="002D3BFE" w:rsidRDefault="002D3BFE" w:rsidP="006D41F8">
      <w:pPr>
        <w:pStyle w:val="ListParagraph"/>
        <w:spacing w:after="0" w:line="360" w:lineRule="auto"/>
        <w:ind w:left="0"/>
        <w:jc w:val="both"/>
        <w:rPr>
          <w:rFonts w:asciiTheme="minorBidi" w:hAnsiTheme="minorBidi"/>
        </w:rPr>
      </w:pPr>
      <w:r>
        <w:rPr>
          <w:rFonts w:asciiTheme="minorBidi" w:hAnsiTheme="minorBidi"/>
          <w:sz w:val="24"/>
          <w:szCs w:val="24"/>
        </w:rPr>
        <w:t xml:space="preserve">Paragraph 4.1 of the deed of cession </w:t>
      </w:r>
      <w:r w:rsidR="006D41F8">
        <w:rPr>
          <w:rFonts w:asciiTheme="minorBidi" w:hAnsiTheme="minorBidi"/>
          <w:sz w:val="24"/>
          <w:szCs w:val="24"/>
        </w:rPr>
        <w:t>provides that the applicant intended to substitute herself as plaintiff in the action.</w:t>
      </w:r>
    </w:p>
    <w:p w14:paraId="5AE2AE2D" w14:textId="77777777" w:rsidR="002358D1" w:rsidRDefault="002358D1" w:rsidP="002358D1">
      <w:pPr>
        <w:pStyle w:val="ListParagraph"/>
        <w:spacing w:after="0" w:line="360" w:lineRule="auto"/>
        <w:ind w:left="0"/>
        <w:jc w:val="both"/>
        <w:rPr>
          <w:rFonts w:asciiTheme="minorBidi" w:hAnsiTheme="minorBidi"/>
        </w:rPr>
      </w:pPr>
    </w:p>
    <w:p w14:paraId="4540CCB0" w14:textId="03F4E7FA" w:rsidR="001F2569" w:rsidRPr="006C1485" w:rsidRDefault="006C1485" w:rsidP="006C1485">
      <w:pPr>
        <w:spacing w:line="360" w:lineRule="auto"/>
        <w:jc w:val="both"/>
        <w:rPr>
          <w:rFonts w:asciiTheme="minorBidi" w:hAnsiTheme="minorBidi"/>
        </w:rPr>
      </w:pPr>
      <w:r w:rsidRPr="001F2569">
        <w:rPr>
          <w:rFonts w:ascii="Arial" w:eastAsiaTheme="minorHAnsi" w:hAnsi="Arial" w:cs="Arial"/>
          <w:bCs/>
          <w:szCs w:val="22"/>
          <w:lang w:val="en-GB" w:eastAsia="en-US" w:bidi="ar-SA"/>
        </w:rPr>
        <w:t>[10]</w:t>
      </w:r>
      <w:r w:rsidRPr="001F2569">
        <w:rPr>
          <w:rFonts w:ascii="Arial" w:eastAsiaTheme="minorHAnsi" w:hAnsi="Arial" w:cs="Arial"/>
          <w:bCs/>
          <w:szCs w:val="22"/>
          <w:lang w:val="en-GB" w:eastAsia="en-US" w:bidi="ar-SA"/>
        </w:rPr>
        <w:tab/>
      </w:r>
      <w:r w:rsidR="002358D1" w:rsidRPr="006C1485">
        <w:rPr>
          <w:rFonts w:asciiTheme="minorBidi" w:hAnsiTheme="minorBidi"/>
        </w:rPr>
        <w:t xml:space="preserve">The deed of cession </w:t>
      </w:r>
      <w:r w:rsidR="00196394" w:rsidRPr="006C1485">
        <w:rPr>
          <w:rFonts w:asciiTheme="minorBidi" w:hAnsiTheme="minorBidi"/>
        </w:rPr>
        <w:t>records</w:t>
      </w:r>
      <w:r w:rsidR="002358D1" w:rsidRPr="006C1485">
        <w:rPr>
          <w:rFonts w:asciiTheme="minorBidi" w:hAnsiTheme="minorBidi"/>
        </w:rPr>
        <w:t xml:space="preserve"> that the liquidators </w:t>
      </w:r>
      <w:r w:rsidR="001F2569" w:rsidRPr="006C1485">
        <w:rPr>
          <w:rFonts w:asciiTheme="minorBidi" w:hAnsiTheme="minorBidi"/>
        </w:rPr>
        <w:t xml:space="preserve">ceded to the applicant: </w:t>
      </w:r>
    </w:p>
    <w:p w14:paraId="61F95BB2" w14:textId="77777777" w:rsidR="002358D1" w:rsidRDefault="002358D1" w:rsidP="001F2569">
      <w:pPr>
        <w:pStyle w:val="ListParagraph"/>
        <w:spacing w:after="0" w:line="360" w:lineRule="auto"/>
        <w:ind w:left="0"/>
        <w:jc w:val="both"/>
        <w:rPr>
          <w:rFonts w:asciiTheme="minorBidi" w:hAnsiTheme="minorBidi"/>
        </w:rPr>
      </w:pPr>
      <w:r w:rsidRPr="001F2569">
        <w:rPr>
          <w:rFonts w:asciiTheme="minorBidi" w:hAnsiTheme="minorBidi"/>
        </w:rPr>
        <w:t xml:space="preserve">‘[t]he claim of Cottonking </w:t>
      </w:r>
      <w:r w:rsidR="001F2569">
        <w:rPr>
          <w:rFonts w:asciiTheme="minorBidi" w:hAnsiTheme="minorBidi"/>
        </w:rPr>
        <w:t xml:space="preserve">(sic) </w:t>
      </w:r>
      <w:r w:rsidRPr="001F2569">
        <w:rPr>
          <w:rFonts w:asciiTheme="minorBidi" w:hAnsiTheme="minorBidi"/>
        </w:rPr>
        <w:t>Manufacturing (Proprietary) Limited against Garlicke and Bousfield Incorporated and others, for an amount of R2 500,000.00 (two million five hundred thousand rand), plus all interest and costs which accrue in respect of such claim, in respect of the recovery of funds invested, and in respect of which action has been instituted under KwaZulu-Natal High Court, Durban, Case Number 1340/2011.’</w:t>
      </w:r>
    </w:p>
    <w:p w14:paraId="363F9AC0" w14:textId="77777777" w:rsidR="00D56DE2" w:rsidRPr="001F2569" w:rsidRDefault="00D56DE2" w:rsidP="001F2569">
      <w:pPr>
        <w:pStyle w:val="ListParagraph"/>
        <w:spacing w:after="0" w:line="360" w:lineRule="auto"/>
        <w:ind w:left="0"/>
        <w:jc w:val="both"/>
        <w:rPr>
          <w:rFonts w:asciiTheme="minorBidi" w:hAnsiTheme="minorBidi"/>
        </w:rPr>
      </w:pPr>
    </w:p>
    <w:p w14:paraId="41207E7C" w14:textId="1766906B" w:rsidR="002358D1" w:rsidRPr="006C1485" w:rsidRDefault="006C1485" w:rsidP="006C1485">
      <w:pPr>
        <w:spacing w:line="360" w:lineRule="auto"/>
        <w:jc w:val="both"/>
        <w:rPr>
          <w:rFonts w:asciiTheme="minorBidi" w:hAnsiTheme="minorBidi"/>
        </w:rPr>
      </w:pPr>
      <w:r>
        <w:rPr>
          <w:rFonts w:ascii="Arial" w:eastAsiaTheme="minorHAnsi" w:hAnsi="Arial" w:cs="Arial"/>
          <w:bCs/>
          <w:lang w:val="en-GB" w:eastAsia="en-US" w:bidi="ar-SA"/>
        </w:rPr>
        <w:t>[11]</w:t>
      </w:r>
      <w:r>
        <w:rPr>
          <w:rFonts w:ascii="Arial" w:eastAsiaTheme="minorHAnsi" w:hAnsi="Arial" w:cs="Arial"/>
          <w:bCs/>
          <w:lang w:val="en-GB" w:eastAsia="en-US" w:bidi="ar-SA"/>
        </w:rPr>
        <w:tab/>
      </w:r>
      <w:r w:rsidR="002358D1" w:rsidRPr="006C1485">
        <w:rPr>
          <w:rFonts w:asciiTheme="minorBidi" w:hAnsiTheme="minorBidi"/>
        </w:rPr>
        <w:t xml:space="preserve">The deed </w:t>
      </w:r>
      <w:r w:rsidR="001F2569" w:rsidRPr="006C1485">
        <w:rPr>
          <w:rFonts w:asciiTheme="minorBidi" w:hAnsiTheme="minorBidi"/>
        </w:rPr>
        <w:t xml:space="preserve">of cession </w:t>
      </w:r>
      <w:r w:rsidR="002358D1" w:rsidRPr="006C1485">
        <w:rPr>
          <w:rFonts w:asciiTheme="minorBidi" w:hAnsiTheme="minorBidi"/>
        </w:rPr>
        <w:t xml:space="preserve">goes on to explain </w:t>
      </w:r>
      <w:r w:rsidR="001F2569" w:rsidRPr="006C1485">
        <w:rPr>
          <w:rFonts w:asciiTheme="minorBidi" w:hAnsiTheme="minorBidi"/>
        </w:rPr>
        <w:t>why the cession occurred:</w:t>
      </w:r>
    </w:p>
    <w:p w14:paraId="16A12082" w14:textId="77777777" w:rsidR="002358D1" w:rsidRPr="007C6CB1" w:rsidRDefault="002358D1" w:rsidP="002358D1">
      <w:pPr>
        <w:pStyle w:val="ListParagraph"/>
        <w:tabs>
          <w:tab w:val="left" w:pos="709"/>
        </w:tabs>
        <w:spacing w:after="0" w:line="360" w:lineRule="auto"/>
        <w:ind w:left="0"/>
        <w:jc w:val="both"/>
        <w:rPr>
          <w:rFonts w:asciiTheme="minorBidi" w:hAnsiTheme="minorBidi"/>
        </w:rPr>
      </w:pPr>
      <w:r w:rsidRPr="007C6CB1">
        <w:rPr>
          <w:rFonts w:asciiTheme="minorBidi" w:hAnsiTheme="minorBidi"/>
        </w:rPr>
        <w:t>‘2.1</w:t>
      </w:r>
      <w:r w:rsidRPr="007C6CB1">
        <w:rPr>
          <w:rFonts w:asciiTheme="minorBidi" w:hAnsiTheme="minorBidi"/>
        </w:rPr>
        <w:tab/>
        <w:t xml:space="preserve">Cottonking </w:t>
      </w:r>
      <w:r w:rsidR="00057D84">
        <w:rPr>
          <w:rFonts w:asciiTheme="minorBidi" w:hAnsiTheme="minorBidi"/>
        </w:rPr>
        <w:t xml:space="preserve">(sic) </w:t>
      </w:r>
      <w:r w:rsidRPr="007C6CB1">
        <w:rPr>
          <w:rFonts w:asciiTheme="minorBidi" w:hAnsiTheme="minorBidi"/>
        </w:rPr>
        <w:t xml:space="preserve">Manufacturing (Proprietary) Ltd has instituted legal proceedings against Garlicke &amp; Bousfield Incorporated and others, under KwaZulu Natal High Court, </w:t>
      </w:r>
      <w:r w:rsidRPr="007C6CB1">
        <w:rPr>
          <w:rFonts w:asciiTheme="minorBidi" w:hAnsiTheme="minorBidi"/>
        </w:rPr>
        <w:lastRenderedPageBreak/>
        <w:t>Durban, Case Number 1340/2011, in respect of the recovery of an investment of R2,500,000 (two million, five hundred thousand rand).</w:t>
      </w:r>
    </w:p>
    <w:p w14:paraId="3E68DD50" w14:textId="77777777" w:rsidR="002358D1" w:rsidRPr="007C6CB1" w:rsidRDefault="002358D1" w:rsidP="002358D1">
      <w:pPr>
        <w:pStyle w:val="ListParagraph"/>
        <w:tabs>
          <w:tab w:val="left" w:pos="709"/>
        </w:tabs>
        <w:spacing w:after="0" w:line="360" w:lineRule="auto"/>
        <w:ind w:left="0"/>
        <w:jc w:val="both"/>
        <w:rPr>
          <w:rFonts w:asciiTheme="minorBidi" w:hAnsiTheme="minorBidi"/>
        </w:rPr>
      </w:pPr>
      <w:r w:rsidRPr="007C6CB1">
        <w:rPr>
          <w:rFonts w:asciiTheme="minorBidi" w:hAnsiTheme="minorBidi"/>
        </w:rPr>
        <w:t>2.2</w:t>
      </w:r>
      <w:r w:rsidRPr="007C6CB1">
        <w:rPr>
          <w:rFonts w:asciiTheme="minorBidi" w:hAnsiTheme="minorBidi"/>
        </w:rPr>
        <w:tab/>
        <w:t>The Cedents</w:t>
      </w:r>
      <w:r w:rsidR="001F2569">
        <w:rPr>
          <w:rStyle w:val="FootnoteReference"/>
          <w:rFonts w:asciiTheme="minorBidi" w:hAnsiTheme="minorBidi"/>
        </w:rPr>
        <w:footnoteReference w:id="2"/>
      </w:r>
      <w:r w:rsidRPr="007C6CB1">
        <w:rPr>
          <w:rFonts w:asciiTheme="minorBidi" w:hAnsiTheme="minorBidi"/>
        </w:rPr>
        <w:t xml:space="preserve"> acknowledge that the investment in 2.1 was in relation to funds paid by the Cessionary</w:t>
      </w:r>
      <w:r w:rsidR="006D41F8">
        <w:rPr>
          <w:rStyle w:val="FootnoteReference"/>
          <w:rFonts w:asciiTheme="minorBidi" w:hAnsiTheme="minorBidi"/>
        </w:rPr>
        <w:footnoteReference w:id="3"/>
      </w:r>
      <w:r w:rsidR="002D3BFE">
        <w:rPr>
          <w:rFonts w:asciiTheme="minorBidi" w:hAnsiTheme="minorBidi"/>
        </w:rPr>
        <w:t xml:space="preserve"> </w:t>
      </w:r>
      <w:r w:rsidRPr="007C6CB1">
        <w:rPr>
          <w:rFonts w:asciiTheme="minorBidi" w:hAnsiTheme="minorBidi"/>
        </w:rPr>
        <w:t>in her personal capacity, and was not an investment by the Company,</w:t>
      </w:r>
      <w:r w:rsidR="001F2569">
        <w:rPr>
          <w:rStyle w:val="FootnoteReference"/>
          <w:rFonts w:asciiTheme="minorBidi" w:hAnsiTheme="minorBidi"/>
        </w:rPr>
        <w:footnoteReference w:id="4"/>
      </w:r>
      <w:r w:rsidRPr="007C6CB1">
        <w:rPr>
          <w:rFonts w:asciiTheme="minorBidi" w:hAnsiTheme="minorBidi"/>
        </w:rPr>
        <w:t xml:space="preserve"> notwithstanding that the investment was paid through the bank account of the Company.</w:t>
      </w:r>
    </w:p>
    <w:p w14:paraId="57FF27D8" w14:textId="77777777" w:rsidR="002358D1" w:rsidRPr="007C6CB1" w:rsidRDefault="002358D1" w:rsidP="002358D1">
      <w:pPr>
        <w:pStyle w:val="ListParagraph"/>
        <w:tabs>
          <w:tab w:val="left" w:pos="709"/>
        </w:tabs>
        <w:spacing w:after="0" w:line="360" w:lineRule="auto"/>
        <w:ind w:left="0"/>
        <w:jc w:val="both"/>
        <w:rPr>
          <w:rFonts w:asciiTheme="minorBidi" w:hAnsiTheme="minorBidi"/>
        </w:rPr>
      </w:pPr>
      <w:r w:rsidRPr="007C6CB1">
        <w:rPr>
          <w:rFonts w:asciiTheme="minorBidi" w:hAnsiTheme="minorBidi"/>
        </w:rPr>
        <w:t xml:space="preserve">2.3 </w:t>
      </w:r>
      <w:r w:rsidRPr="007C6CB1">
        <w:rPr>
          <w:rFonts w:asciiTheme="minorBidi" w:hAnsiTheme="minorBidi"/>
        </w:rPr>
        <w:tab/>
        <w:t>The Plaintiff in the claim has erroneously been cited as Cottonking Manufacturing (Proprietary) Limited and not the Company.</w:t>
      </w:r>
      <w:r w:rsidR="00A548CC">
        <w:rPr>
          <w:rStyle w:val="FootnoteReference"/>
          <w:rFonts w:asciiTheme="minorBidi" w:hAnsiTheme="minorBidi"/>
        </w:rPr>
        <w:footnoteReference w:id="5"/>
      </w:r>
    </w:p>
    <w:p w14:paraId="72A864E1" w14:textId="77777777" w:rsidR="002358D1" w:rsidRDefault="002358D1" w:rsidP="002358D1">
      <w:pPr>
        <w:pStyle w:val="ListParagraph"/>
        <w:tabs>
          <w:tab w:val="left" w:pos="709"/>
        </w:tabs>
        <w:spacing w:after="0" w:line="360" w:lineRule="auto"/>
        <w:ind w:left="0"/>
        <w:jc w:val="both"/>
        <w:rPr>
          <w:rFonts w:asciiTheme="minorBidi" w:hAnsiTheme="minorBidi"/>
        </w:rPr>
      </w:pPr>
      <w:r w:rsidRPr="007C6CB1">
        <w:rPr>
          <w:rFonts w:asciiTheme="minorBidi" w:hAnsiTheme="minorBidi"/>
        </w:rPr>
        <w:t xml:space="preserve">2.4 </w:t>
      </w:r>
      <w:r w:rsidRPr="007C6CB1">
        <w:rPr>
          <w:rFonts w:asciiTheme="minorBidi" w:hAnsiTheme="minorBidi"/>
        </w:rPr>
        <w:tab/>
        <w:t xml:space="preserve">The Plaintiff in the claim is required to be substituted by the Company, alternatively Cessionary, pursuant to the </w:t>
      </w:r>
      <w:r w:rsidR="00B924C0">
        <w:rPr>
          <w:rFonts w:asciiTheme="minorBidi" w:hAnsiTheme="minorBidi"/>
        </w:rPr>
        <w:t>c</w:t>
      </w:r>
      <w:r w:rsidRPr="007C6CB1">
        <w:rPr>
          <w:rFonts w:asciiTheme="minorBidi" w:hAnsiTheme="minorBidi"/>
        </w:rPr>
        <w:t>ession.</w:t>
      </w:r>
    </w:p>
    <w:p w14:paraId="4132FCA8" w14:textId="77777777" w:rsidR="002358D1" w:rsidRDefault="002358D1" w:rsidP="002358D1">
      <w:pPr>
        <w:pStyle w:val="ListParagraph"/>
        <w:tabs>
          <w:tab w:val="left" w:pos="709"/>
        </w:tabs>
        <w:spacing w:after="0" w:line="360" w:lineRule="auto"/>
        <w:ind w:left="0"/>
        <w:jc w:val="both"/>
        <w:rPr>
          <w:rFonts w:asciiTheme="minorBidi" w:hAnsiTheme="minorBidi"/>
        </w:rPr>
      </w:pPr>
      <w:r w:rsidRPr="007C6CB1">
        <w:rPr>
          <w:rFonts w:asciiTheme="minorBidi" w:hAnsiTheme="minorBidi"/>
        </w:rPr>
        <w:t xml:space="preserve">2.5 </w:t>
      </w:r>
      <w:r w:rsidRPr="007C6CB1">
        <w:rPr>
          <w:rFonts w:asciiTheme="minorBidi" w:hAnsiTheme="minorBidi"/>
        </w:rPr>
        <w:tab/>
        <w:t>The Cedents have agreed to cede the claim to the Cessionary on the terms of this agreement.’</w:t>
      </w:r>
    </w:p>
    <w:p w14:paraId="5C1388AE" w14:textId="77777777" w:rsidR="00EA3A5C" w:rsidRDefault="00EA3A5C" w:rsidP="00EA3A5C">
      <w:pPr>
        <w:pStyle w:val="ListParagraph"/>
        <w:spacing w:after="0" w:line="360" w:lineRule="auto"/>
        <w:ind w:left="0"/>
        <w:jc w:val="both"/>
        <w:rPr>
          <w:rFonts w:asciiTheme="minorBidi" w:hAnsiTheme="minorBidi"/>
          <w:sz w:val="24"/>
          <w:szCs w:val="24"/>
        </w:rPr>
      </w:pPr>
    </w:p>
    <w:p w14:paraId="746F5845" w14:textId="18AD2834" w:rsidR="005878A9" w:rsidRPr="006C1485" w:rsidRDefault="006C1485" w:rsidP="006C1485">
      <w:pPr>
        <w:tabs>
          <w:tab w:val="left" w:pos="709"/>
        </w:tabs>
        <w:spacing w:line="360" w:lineRule="auto"/>
        <w:jc w:val="both"/>
        <w:rPr>
          <w:rFonts w:asciiTheme="minorBidi" w:hAnsiTheme="minorBidi"/>
        </w:rPr>
      </w:pPr>
      <w:r w:rsidRPr="001B4804">
        <w:rPr>
          <w:rFonts w:ascii="Arial" w:eastAsiaTheme="minorHAnsi" w:hAnsi="Arial" w:cs="Arial"/>
          <w:bCs/>
          <w:lang w:val="en-GB" w:eastAsia="en-US" w:bidi="ar-SA"/>
        </w:rPr>
        <w:t>[12]</w:t>
      </w:r>
      <w:r w:rsidRPr="001B4804">
        <w:rPr>
          <w:rFonts w:ascii="Arial" w:eastAsiaTheme="minorHAnsi" w:hAnsi="Arial" w:cs="Arial"/>
          <w:bCs/>
          <w:lang w:val="en-GB" w:eastAsia="en-US" w:bidi="ar-SA"/>
        </w:rPr>
        <w:tab/>
      </w:r>
      <w:r w:rsidR="00EA3A5C" w:rsidRPr="006C1485">
        <w:rPr>
          <w:rFonts w:asciiTheme="minorBidi" w:hAnsiTheme="minorBidi"/>
        </w:rPr>
        <w:t>The deed of cession</w:t>
      </w:r>
      <w:r w:rsidR="001B4804" w:rsidRPr="006C1485">
        <w:rPr>
          <w:rFonts w:asciiTheme="minorBidi" w:hAnsiTheme="minorBidi"/>
        </w:rPr>
        <w:t xml:space="preserve">, contrary to what the applicant states in </w:t>
      </w:r>
      <w:r w:rsidR="007F3E18" w:rsidRPr="006C1485">
        <w:rPr>
          <w:rFonts w:asciiTheme="minorBidi" w:hAnsiTheme="minorBidi"/>
        </w:rPr>
        <w:t>her</w:t>
      </w:r>
      <w:r w:rsidR="001B4804" w:rsidRPr="006C1485">
        <w:rPr>
          <w:rFonts w:asciiTheme="minorBidi" w:hAnsiTheme="minorBidi"/>
        </w:rPr>
        <w:t xml:space="preserve"> founding affidavit, </w:t>
      </w:r>
      <w:r w:rsidR="00EA3A5C" w:rsidRPr="006C1485">
        <w:rPr>
          <w:rFonts w:asciiTheme="minorBidi" w:hAnsiTheme="minorBidi"/>
        </w:rPr>
        <w:t>seems to confirm what the defendant pleaded in its amended plea, namely that the investment was the applicant’s all along</w:t>
      </w:r>
      <w:r w:rsidR="00E434A1" w:rsidRPr="006C1485">
        <w:rPr>
          <w:rFonts w:asciiTheme="minorBidi" w:hAnsiTheme="minorBidi"/>
        </w:rPr>
        <w:t>.</w:t>
      </w:r>
      <w:r w:rsidR="00EA3A5C" w:rsidRPr="006C1485">
        <w:rPr>
          <w:rFonts w:asciiTheme="minorBidi" w:hAnsiTheme="minorBidi"/>
        </w:rPr>
        <w:t xml:space="preserve"> </w:t>
      </w:r>
    </w:p>
    <w:p w14:paraId="6E9A3FD5" w14:textId="77777777" w:rsidR="00DC6A23" w:rsidRDefault="00DC6A23" w:rsidP="00DC6A23">
      <w:pPr>
        <w:pStyle w:val="ListParagraph"/>
        <w:tabs>
          <w:tab w:val="left" w:pos="709"/>
        </w:tabs>
        <w:spacing w:after="0" w:line="360" w:lineRule="auto"/>
        <w:ind w:left="0"/>
        <w:jc w:val="both"/>
        <w:rPr>
          <w:rFonts w:asciiTheme="minorBidi" w:hAnsiTheme="minorBidi"/>
          <w:sz w:val="24"/>
          <w:szCs w:val="24"/>
        </w:rPr>
      </w:pPr>
    </w:p>
    <w:p w14:paraId="2E8FB675" w14:textId="77777777" w:rsidR="00DC6A23" w:rsidRPr="00053669" w:rsidRDefault="00DC6A23" w:rsidP="00DC6A23">
      <w:pPr>
        <w:pStyle w:val="ListParagraph"/>
        <w:tabs>
          <w:tab w:val="left" w:pos="709"/>
        </w:tabs>
        <w:spacing w:after="0" w:line="360" w:lineRule="auto"/>
        <w:ind w:left="0"/>
        <w:jc w:val="both"/>
        <w:rPr>
          <w:rFonts w:asciiTheme="minorBidi" w:hAnsiTheme="minorBidi"/>
          <w:bCs/>
          <w:i/>
          <w:sz w:val="24"/>
          <w:szCs w:val="24"/>
        </w:rPr>
      </w:pPr>
      <w:r w:rsidRPr="00053669">
        <w:rPr>
          <w:rFonts w:asciiTheme="minorBidi" w:hAnsiTheme="minorBidi"/>
          <w:bCs/>
          <w:i/>
          <w:sz w:val="24"/>
          <w:szCs w:val="24"/>
        </w:rPr>
        <w:t>The answering affidavit</w:t>
      </w:r>
    </w:p>
    <w:p w14:paraId="5A576584" w14:textId="3C99AD04" w:rsidR="00CB1E14" w:rsidRPr="006C1485" w:rsidRDefault="006C1485" w:rsidP="006C1485">
      <w:pPr>
        <w:tabs>
          <w:tab w:val="left" w:pos="709"/>
        </w:tabs>
        <w:spacing w:line="360" w:lineRule="auto"/>
        <w:jc w:val="both"/>
        <w:rPr>
          <w:rFonts w:asciiTheme="minorBidi" w:hAnsiTheme="minorBidi"/>
        </w:rPr>
      </w:pPr>
      <w:r>
        <w:rPr>
          <w:rFonts w:ascii="Arial" w:eastAsiaTheme="minorHAnsi" w:hAnsi="Arial" w:cs="Arial"/>
          <w:bCs/>
          <w:lang w:val="en-GB" w:eastAsia="en-US" w:bidi="ar-SA"/>
        </w:rPr>
        <w:t>[13]</w:t>
      </w:r>
      <w:r>
        <w:rPr>
          <w:rFonts w:ascii="Arial" w:eastAsiaTheme="minorHAnsi" w:hAnsi="Arial" w:cs="Arial"/>
          <w:bCs/>
          <w:lang w:val="en-GB" w:eastAsia="en-US" w:bidi="ar-SA"/>
        </w:rPr>
        <w:tab/>
      </w:r>
      <w:r w:rsidR="00DC6A23" w:rsidRPr="006C1485">
        <w:rPr>
          <w:rFonts w:asciiTheme="minorBidi" w:hAnsiTheme="minorBidi"/>
        </w:rPr>
        <w:t xml:space="preserve">The answering affidavit </w:t>
      </w:r>
      <w:r w:rsidR="007F3E18" w:rsidRPr="006C1485">
        <w:rPr>
          <w:rFonts w:asciiTheme="minorBidi" w:hAnsiTheme="minorBidi"/>
        </w:rPr>
        <w:t xml:space="preserve">in the substitution application </w:t>
      </w:r>
      <w:r w:rsidR="00DC6A23" w:rsidRPr="006C1485">
        <w:rPr>
          <w:rFonts w:asciiTheme="minorBidi" w:hAnsiTheme="minorBidi"/>
        </w:rPr>
        <w:t>was</w:t>
      </w:r>
      <w:r w:rsidR="005878A9" w:rsidRPr="006C1485">
        <w:rPr>
          <w:rFonts w:asciiTheme="minorBidi" w:hAnsiTheme="minorBidi"/>
        </w:rPr>
        <w:t xml:space="preserve"> </w:t>
      </w:r>
      <w:r w:rsidR="008B2CC4" w:rsidRPr="006C1485">
        <w:rPr>
          <w:rFonts w:asciiTheme="minorBidi" w:hAnsiTheme="minorBidi"/>
        </w:rPr>
        <w:t>delivered on 23 May 2013</w:t>
      </w:r>
      <w:r w:rsidR="00CB1E14" w:rsidRPr="006C1485">
        <w:rPr>
          <w:rFonts w:asciiTheme="minorBidi" w:hAnsiTheme="minorBidi"/>
        </w:rPr>
        <w:t xml:space="preserve">. </w:t>
      </w:r>
      <w:r w:rsidR="001B4804" w:rsidRPr="006C1485">
        <w:rPr>
          <w:rFonts w:asciiTheme="minorBidi" w:hAnsiTheme="minorBidi"/>
        </w:rPr>
        <w:t>Its</w:t>
      </w:r>
      <w:r w:rsidR="00CB1E14" w:rsidRPr="006C1485">
        <w:rPr>
          <w:rFonts w:asciiTheme="minorBidi" w:hAnsiTheme="minorBidi"/>
        </w:rPr>
        <w:t xml:space="preserve"> essential thrust was tha</w:t>
      </w:r>
      <w:r w:rsidR="00234BE3" w:rsidRPr="006C1485">
        <w:rPr>
          <w:rFonts w:asciiTheme="minorBidi" w:hAnsiTheme="minorBidi"/>
        </w:rPr>
        <w:t xml:space="preserve">t the security ordered by the </w:t>
      </w:r>
      <w:r w:rsidR="00021225" w:rsidRPr="006C1485">
        <w:rPr>
          <w:rFonts w:asciiTheme="minorBidi" w:hAnsiTheme="minorBidi"/>
        </w:rPr>
        <w:t>r</w:t>
      </w:r>
      <w:r w:rsidR="00234BE3" w:rsidRPr="006C1485">
        <w:rPr>
          <w:rFonts w:asciiTheme="minorBidi" w:hAnsiTheme="minorBidi"/>
        </w:rPr>
        <w:t>egistrar had not been put up</w:t>
      </w:r>
      <w:r w:rsidR="00DC6A23" w:rsidRPr="006C1485">
        <w:rPr>
          <w:rFonts w:asciiTheme="minorBidi" w:hAnsiTheme="minorBidi"/>
        </w:rPr>
        <w:t xml:space="preserve"> and </w:t>
      </w:r>
      <w:r w:rsidR="00FF7B59" w:rsidRPr="006C1485">
        <w:rPr>
          <w:rFonts w:asciiTheme="minorBidi" w:hAnsiTheme="minorBidi"/>
        </w:rPr>
        <w:t xml:space="preserve">it </w:t>
      </w:r>
      <w:r w:rsidR="00DC6A23" w:rsidRPr="006C1485">
        <w:rPr>
          <w:rFonts w:asciiTheme="minorBidi" w:hAnsiTheme="minorBidi"/>
        </w:rPr>
        <w:t xml:space="preserve">explained why the guarantees </w:t>
      </w:r>
      <w:r w:rsidR="007F3E18" w:rsidRPr="006C1485">
        <w:rPr>
          <w:rFonts w:asciiTheme="minorBidi" w:hAnsiTheme="minorBidi"/>
        </w:rPr>
        <w:t xml:space="preserve">that had been put up consequent upon the </w:t>
      </w:r>
      <w:r w:rsidR="00021225" w:rsidRPr="006C1485">
        <w:rPr>
          <w:rFonts w:asciiTheme="minorBidi" w:hAnsiTheme="minorBidi"/>
        </w:rPr>
        <w:t>r</w:t>
      </w:r>
      <w:r w:rsidR="007F3E18" w:rsidRPr="006C1485">
        <w:rPr>
          <w:rFonts w:asciiTheme="minorBidi" w:hAnsiTheme="minorBidi"/>
        </w:rPr>
        <w:t xml:space="preserve">egistrar’s order </w:t>
      </w:r>
      <w:r w:rsidR="00DC6A23" w:rsidRPr="006C1485">
        <w:rPr>
          <w:rFonts w:asciiTheme="minorBidi" w:hAnsiTheme="minorBidi"/>
        </w:rPr>
        <w:t>were unacceptable to the defendant.</w:t>
      </w:r>
      <w:r w:rsidR="00FF7B59" w:rsidRPr="006C1485">
        <w:rPr>
          <w:rFonts w:asciiTheme="minorBidi" w:hAnsiTheme="minorBidi"/>
        </w:rPr>
        <w:t xml:space="preserve"> </w:t>
      </w:r>
      <w:r w:rsidR="001B4804" w:rsidRPr="006C1485">
        <w:rPr>
          <w:rFonts w:asciiTheme="minorBidi" w:hAnsiTheme="minorBidi"/>
        </w:rPr>
        <w:t>The answering affidavit otherwise</w:t>
      </w:r>
      <w:r w:rsidR="00FF7B59" w:rsidRPr="006C1485">
        <w:rPr>
          <w:rFonts w:asciiTheme="minorBidi" w:hAnsiTheme="minorBidi"/>
        </w:rPr>
        <w:t xml:space="preserve"> generally opposed the substitution of the applicant for Cotton King.</w:t>
      </w:r>
    </w:p>
    <w:p w14:paraId="65DE6FF0" w14:textId="77777777" w:rsidR="00DC6A23" w:rsidRDefault="00DC6A23" w:rsidP="00DC6A23">
      <w:pPr>
        <w:pStyle w:val="ListParagraph"/>
        <w:tabs>
          <w:tab w:val="left" w:pos="709"/>
        </w:tabs>
        <w:spacing w:after="0" w:line="360" w:lineRule="auto"/>
        <w:ind w:left="0"/>
        <w:jc w:val="both"/>
        <w:rPr>
          <w:rFonts w:asciiTheme="minorBidi" w:hAnsiTheme="minorBidi"/>
          <w:sz w:val="24"/>
          <w:szCs w:val="24"/>
        </w:rPr>
      </w:pPr>
    </w:p>
    <w:p w14:paraId="2179351D" w14:textId="77777777" w:rsidR="00DC6A23" w:rsidRPr="00053669" w:rsidRDefault="00DC6A23" w:rsidP="00DC6A23">
      <w:pPr>
        <w:pStyle w:val="ListParagraph"/>
        <w:tabs>
          <w:tab w:val="left" w:pos="709"/>
        </w:tabs>
        <w:spacing w:after="0" w:line="360" w:lineRule="auto"/>
        <w:ind w:left="0"/>
        <w:jc w:val="both"/>
        <w:rPr>
          <w:rFonts w:asciiTheme="minorBidi" w:hAnsiTheme="minorBidi"/>
          <w:bCs/>
          <w:i/>
          <w:sz w:val="24"/>
          <w:szCs w:val="24"/>
        </w:rPr>
      </w:pPr>
      <w:r w:rsidRPr="00053669">
        <w:rPr>
          <w:rFonts w:asciiTheme="minorBidi" w:hAnsiTheme="minorBidi"/>
          <w:bCs/>
          <w:i/>
          <w:sz w:val="24"/>
          <w:szCs w:val="24"/>
        </w:rPr>
        <w:t>The supplementary answering affidavit</w:t>
      </w:r>
    </w:p>
    <w:p w14:paraId="41F754BB" w14:textId="001A0E6A" w:rsidR="00677A8B" w:rsidRPr="006C1485" w:rsidRDefault="006C1485" w:rsidP="006C1485">
      <w:pPr>
        <w:tabs>
          <w:tab w:val="left" w:pos="709"/>
        </w:tabs>
        <w:spacing w:line="360" w:lineRule="auto"/>
        <w:jc w:val="both"/>
        <w:rPr>
          <w:rFonts w:asciiTheme="minorBidi" w:hAnsiTheme="minorBidi"/>
        </w:rPr>
      </w:pPr>
      <w:r>
        <w:rPr>
          <w:rFonts w:ascii="Arial" w:eastAsiaTheme="minorHAnsi" w:hAnsi="Arial" w:cs="Arial"/>
          <w:bCs/>
          <w:lang w:val="en-GB" w:eastAsia="en-US" w:bidi="ar-SA"/>
        </w:rPr>
        <w:t>[14]</w:t>
      </w:r>
      <w:r>
        <w:rPr>
          <w:rFonts w:ascii="Arial" w:eastAsiaTheme="minorHAnsi" w:hAnsi="Arial" w:cs="Arial"/>
          <w:bCs/>
          <w:lang w:val="en-GB" w:eastAsia="en-US" w:bidi="ar-SA"/>
        </w:rPr>
        <w:tab/>
      </w:r>
      <w:r w:rsidR="00FF7B59" w:rsidRPr="006C1485">
        <w:rPr>
          <w:rFonts w:asciiTheme="minorBidi" w:hAnsiTheme="minorBidi"/>
        </w:rPr>
        <w:t>This was delivered by the defendant, without objection from t</w:t>
      </w:r>
      <w:r w:rsidR="005E28F4" w:rsidRPr="006C1485">
        <w:rPr>
          <w:rFonts w:asciiTheme="minorBidi" w:hAnsiTheme="minorBidi"/>
        </w:rPr>
        <w:t>he applicant, on 16 October 2014</w:t>
      </w:r>
      <w:r w:rsidR="00FF7B59" w:rsidRPr="006C1485">
        <w:rPr>
          <w:rFonts w:asciiTheme="minorBidi" w:hAnsiTheme="minorBidi"/>
        </w:rPr>
        <w:t xml:space="preserve">. </w:t>
      </w:r>
      <w:r w:rsidR="007F3E18" w:rsidRPr="006C1485">
        <w:rPr>
          <w:rFonts w:asciiTheme="minorBidi" w:hAnsiTheme="minorBidi"/>
        </w:rPr>
        <w:t>By the time of its delivery</w:t>
      </w:r>
      <w:r w:rsidR="006F12EC" w:rsidRPr="006C1485">
        <w:rPr>
          <w:rFonts w:asciiTheme="minorBidi" w:hAnsiTheme="minorBidi"/>
        </w:rPr>
        <w:t>,</w:t>
      </w:r>
      <w:r w:rsidR="007F3E18" w:rsidRPr="006C1485">
        <w:rPr>
          <w:rFonts w:asciiTheme="minorBidi" w:hAnsiTheme="minorBidi"/>
        </w:rPr>
        <w:t xml:space="preserve"> the applicant had not delivered her replying affidavit. The supplementary answering affidavit</w:t>
      </w:r>
      <w:r w:rsidR="00FF7B59" w:rsidRPr="006C1485">
        <w:rPr>
          <w:rFonts w:asciiTheme="minorBidi" w:hAnsiTheme="minorBidi"/>
        </w:rPr>
        <w:t xml:space="preserve"> suggested that the cession </w:t>
      </w:r>
      <w:r w:rsidR="00FF7B59" w:rsidRPr="006C1485">
        <w:rPr>
          <w:rFonts w:asciiTheme="minorBidi" w:hAnsiTheme="minorBidi"/>
        </w:rPr>
        <w:lastRenderedPageBreak/>
        <w:t xml:space="preserve">had been </w:t>
      </w:r>
      <w:r w:rsidR="00677A8B" w:rsidRPr="006C1485">
        <w:rPr>
          <w:rFonts w:asciiTheme="minorBidi" w:hAnsiTheme="minorBidi"/>
        </w:rPr>
        <w:t>brought into existence to permit</w:t>
      </w:r>
      <w:r w:rsidR="00FF7B59" w:rsidRPr="006C1485">
        <w:rPr>
          <w:rFonts w:asciiTheme="minorBidi" w:hAnsiTheme="minorBidi"/>
        </w:rPr>
        <w:t xml:space="preserve"> Cotton King </w:t>
      </w:r>
      <w:r w:rsidR="00677A8B" w:rsidRPr="006C1485">
        <w:rPr>
          <w:rFonts w:asciiTheme="minorBidi" w:hAnsiTheme="minorBidi"/>
        </w:rPr>
        <w:t>to avoid</w:t>
      </w:r>
      <w:r w:rsidR="00FF7B59" w:rsidRPr="006C1485">
        <w:rPr>
          <w:rFonts w:asciiTheme="minorBidi" w:hAnsiTheme="minorBidi"/>
        </w:rPr>
        <w:t xml:space="preserve"> having to put up the security ordered. </w:t>
      </w:r>
    </w:p>
    <w:p w14:paraId="487A5071" w14:textId="77777777" w:rsidR="00677A8B" w:rsidRDefault="00677A8B" w:rsidP="00677A8B">
      <w:pPr>
        <w:pStyle w:val="ListParagraph"/>
        <w:tabs>
          <w:tab w:val="left" w:pos="709"/>
        </w:tabs>
        <w:spacing w:after="0" w:line="360" w:lineRule="auto"/>
        <w:ind w:left="0"/>
        <w:jc w:val="both"/>
        <w:rPr>
          <w:rFonts w:asciiTheme="minorBidi" w:hAnsiTheme="minorBidi"/>
          <w:sz w:val="24"/>
          <w:szCs w:val="24"/>
        </w:rPr>
      </w:pPr>
    </w:p>
    <w:p w14:paraId="176CD5F8" w14:textId="72C9AD35" w:rsidR="00DC6A23" w:rsidRPr="006C1485" w:rsidRDefault="006C1485" w:rsidP="006C1485">
      <w:pPr>
        <w:tabs>
          <w:tab w:val="left" w:pos="709"/>
        </w:tabs>
        <w:spacing w:line="360" w:lineRule="auto"/>
        <w:jc w:val="both"/>
        <w:rPr>
          <w:rFonts w:asciiTheme="minorBidi" w:hAnsiTheme="minorBidi"/>
        </w:rPr>
      </w:pPr>
      <w:r w:rsidRPr="004E447F">
        <w:rPr>
          <w:rFonts w:ascii="Arial" w:eastAsiaTheme="minorHAnsi" w:hAnsi="Arial" w:cs="Arial"/>
          <w:bCs/>
          <w:lang w:val="en-GB" w:eastAsia="en-US" w:bidi="ar-SA"/>
        </w:rPr>
        <w:t>[15]</w:t>
      </w:r>
      <w:r w:rsidRPr="004E447F">
        <w:rPr>
          <w:rFonts w:ascii="Arial" w:eastAsiaTheme="minorHAnsi" w:hAnsi="Arial" w:cs="Arial"/>
          <w:bCs/>
          <w:lang w:val="en-GB" w:eastAsia="en-US" w:bidi="ar-SA"/>
        </w:rPr>
        <w:tab/>
      </w:r>
      <w:r w:rsidR="00677A8B" w:rsidRPr="006C1485">
        <w:rPr>
          <w:rFonts w:asciiTheme="minorBidi" w:hAnsiTheme="minorBidi"/>
        </w:rPr>
        <w:t>The supplementary answering affidavit</w:t>
      </w:r>
      <w:r w:rsidR="00FF7B59" w:rsidRPr="006C1485">
        <w:rPr>
          <w:rFonts w:asciiTheme="minorBidi" w:hAnsiTheme="minorBidi"/>
        </w:rPr>
        <w:t xml:space="preserve"> went on to raise further grounds upon which the substitution was opposed, namely that the party who invested with Mr Cowan (not with the defendant) was the applicant in her personal capacity</w:t>
      </w:r>
      <w:r w:rsidR="00307D80" w:rsidRPr="006C1485">
        <w:rPr>
          <w:rFonts w:asciiTheme="minorBidi" w:hAnsiTheme="minorBidi"/>
        </w:rPr>
        <w:t xml:space="preserve">, that Cotton King never had a claim against the defendant </w:t>
      </w:r>
      <w:r w:rsidR="00677A8B" w:rsidRPr="006C1485">
        <w:rPr>
          <w:rFonts w:asciiTheme="minorBidi" w:hAnsiTheme="minorBidi"/>
        </w:rPr>
        <w:t>and that the applicant’s personal claim had prescribed.</w:t>
      </w:r>
    </w:p>
    <w:p w14:paraId="4559598B" w14:textId="77777777" w:rsidR="004E447F" w:rsidRDefault="004E447F" w:rsidP="004E447F">
      <w:pPr>
        <w:pStyle w:val="ListParagraph"/>
        <w:tabs>
          <w:tab w:val="left" w:pos="709"/>
        </w:tabs>
        <w:spacing w:after="0" w:line="360" w:lineRule="auto"/>
        <w:ind w:left="0"/>
        <w:jc w:val="both"/>
        <w:rPr>
          <w:rFonts w:asciiTheme="minorBidi" w:hAnsiTheme="minorBidi"/>
          <w:bCs/>
          <w:sz w:val="24"/>
          <w:szCs w:val="24"/>
        </w:rPr>
      </w:pPr>
    </w:p>
    <w:p w14:paraId="0FCD0A28" w14:textId="77777777" w:rsidR="004E447F" w:rsidRPr="00053669" w:rsidRDefault="004E447F" w:rsidP="004E447F">
      <w:pPr>
        <w:pStyle w:val="ListParagraph"/>
        <w:tabs>
          <w:tab w:val="left" w:pos="709"/>
        </w:tabs>
        <w:spacing w:after="0" w:line="360" w:lineRule="auto"/>
        <w:ind w:left="0"/>
        <w:jc w:val="both"/>
        <w:rPr>
          <w:rFonts w:asciiTheme="minorBidi" w:hAnsiTheme="minorBidi"/>
          <w:bCs/>
          <w:i/>
          <w:sz w:val="24"/>
          <w:szCs w:val="24"/>
        </w:rPr>
      </w:pPr>
      <w:r w:rsidRPr="00053669">
        <w:rPr>
          <w:rFonts w:asciiTheme="minorBidi" w:hAnsiTheme="minorBidi"/>
          <w:bCs/>
          <w:i/>
          <w:sz w:val="24"/>
          <w:szCs w:val="24"/>
        </w:rPr>
        <w:t>The replying affidavit</w:t>
      </w:r>
    </w:p>
    <w:p w14:paraId="480B6025" w14:textId="11740C82" w:rsidR="00876D09" w:rsidRPr="006C1485" w:rsidRDefault="006C1485" w:rsidP="006C1485">
      <w:pPr>
        <w:tabs>
          <w:tab w:val="left" w:pos="709"/>
        </w:tabs>
        <w:spacing w:line="360" w:lineRule="auto"/>
        <w:jc w:val="both"/>
        <w:rPr>
          <w:rFonts w:asciiTheme="minorBidi" w:hAnsiTheme="minorBidi"/>
        </w:rPr>
      </w:pPr>
      <w:r w:rsidRPr="004E447F">
        <w:rPr>
          <w:rFonts w:ascii="Arial" w:eastAsiaTheme="minorHAnsi" w:hAnsi="Arial" w:cs="Arial"/>
          <w:bCs/>
          <w:lang w:val="en-GB" w:eastAsia="en-US" w:bidi="ar-SA"/>
        </w:rPr>
        <w:t>[16]</w:t>
      </w:r>
      <w:r w:rsidRPr="004E447F">
        <w:rPr>
          <w:rFonts w:ascii="Arial" w:eastAsiaTheme="minorHAnsi" w:hAnsi="Arial" w:cs="Arial"/>
          <w:bCs/>
          <w:lang w:val="en-GB" w:eastAsia="en-US" w:bidi="ar-SA"/>
        </w:rPr>
        <w:tab/>
      </w:r>
      <w:r w:rsidR="005878A9" w:rsidRPr="006C1485">
        <w:rPr>
          <w:rFonts w:asciiTheme="minorBidi" w:hAnsiTheme="minorBidi"/>
        </w:rPr>
        <w:t>Nea</w:t>
      </w:r>
      <w:r w:rsidR="004E447F" w:rsidRPr="006C1485">
        <w:rPr>
          <w:rFonts w:asciiTheme="minorBidi" w:hAnsiTheme="minorBidi"/>
        </w:rPr>
        <w:t>r</w:t>
      </w:r>
      <w:r w:rsidR="005878A9" w:rsidRPr="006C1485">
        <w:rPr>
          <w:rFonts w:asciiTheme="minorBidi" w:hAnsiTheme="minorBidi"/>
        </w:rPr>
        <w:t>ly six and a half years (or 7</w:t>
      </w:r>
      <w:r w:rsidR="005E28F4" w:rsidRPr="006C1485">
        <w:rPr>
          <w:rFonts w:asciiTheme="minorBidi" w:hAnsiTheme="minorBidi"/>
        </w:rPr>
        <w:t>8</w:t>
      </w:r>
      <w:r w:rsidR="005878A9" w:rsidRPr="006C1485">
        <w:rPr>
          <w:rFonts w:asciiTheme="minorBidi" w:hAnsiTheme="minorBidi"/>
        </w:rPr>
        <w:t xml:space="preserve"> months) </w:t>
      </w:r>
      <w:r w:rsidR="00677A8B" w:rsidRPr="006C1485">
        <w:rPr>
          <w:rFonts w:asciiTheme="minorBidi" w:hAnsiTheme="minorBidi"/>
        </w:rPr>
        <w:t>after the supplementary answering affidavit was delivered by the defendant</w:t>
      </w:r>
      <w:r w:rsidR="008B2CC4" w:rsidRPr="006C1485">
        <w:rPr>
          <w:rFonts w:asciiTheme="minorBidi" w:hAnsiTheme="minorBidi"/>
          <w:bCs/>
        </w:rPr>
        <w:t>,</w:t>
      </w:r>
      <w:r w:rsidR="008B2CC4" w:rsidRPr="006C1485">
        <w:rPr>
          <w:rFonts w:asciiTheme="minorBidi" w:hAnsiTheme="minorBidi"/>
        </w:rPr>
        <w:t xml:space="preserve"> </w:t>
      </w:r>
      <w:r w:rsidR="005878A9" w:rsidRPr="006C1485">
        <w:rPr>
          <w:rFonts w:asciiTheme="minorBidi" w:hAnsiTheme="minorBidi"/>
        </w:rPr>
        <w:t>the applicant delivered her replying affidavit</w:t>
      </w:r>
      <w:r w:rsidR="005E28F4" w:rsidRPr="006C1485">
        <w:rPr>
          <w:rFonts w:asciiTheme="minorBidi" w:hAnsiTheme="minorBidi"/>
        </w:rPr>
        <w:t xml:space="preserve"> on </w:t>
      </w:r>
      <w:r w:rsidR="005E28F4" w:rsidRPr="006C1485">
        <w:rPr>
          <w:rFonts w:asciiTheme="minorBidi" w:hAnsiTheme="minorBidi"/>
          <w:bCs/>
        </w:rPr>
        <w:t>14 May 2021</w:t>
      </w:r>
      <w:r w:rsidR="005878A9" w:rsidRPr="006C1485">
        <w:rPr>
          <w:rFonts w:asciiTheme="minorBidi" w:hAnsiTheme="minorBidi"/>
        </w:rPr>
        <w:t>.</w:t>
      </w:r>
      <w:r w:rsidR="0072109E" w:rsidRPr="006C1485">
        <w:rPr>
          <w:rFonts w:asciiTheme="minorBidi" w:hAnsiTheme="minorBidi"/>
          <w:bCs/>
        </w:rPr>
        <w:t xml:space="preserve"> </w:t>
      </w:r>
    </w:p>
    <w:p w14:paraId="77744D72" w14:textId="77777777" w:rsidR="004E447F" w:rsidRDefault="004E447F" w:rsidP="004E447F">
      <w:pPr>
        <w:pStyle w:val="ListParagraph"/>
        <w:tabs>
          <w:tab w:val="left" w:pos="709"/>
        </w:tabs>
        <w:spacing w:after="0" w:line="360" w:lineRule="auto"/>
        <w:ind w:left="0"/>
        <w:jc w:val="both"/>
        <w:rPr>
          <w:rFonts w:asciiTheme="minorBidi" w:hAnsiTheme="minorBidi"/>
          <w:bCs/>
          <w:sz w:val="24"/>
          <w:szCs w:val="24"/>
        </w:rPr>
      </w:pPr>
    </w:p>
    <w:p w14:paraId="43CBFEBB" w14:textId="77777777" w:rsidR="004E447F" w:rsidRPr="00053669" w:rsidRDefault="004E447F" w:rsidP="004E447F">
      <w:pPr>
        <w:pStyle w:val="ListParagraph"/>
        <w:tabs>
          <w:tab w:val="left" w:pos="709"/>
        </w:tabs>
        <w:spacing w:after="0" w:line="360" w:lineRule="auto"/>
        <w:ind w:left="0"/>
        <w:jc w:val="both"/>
        <w:rPr>
          <w:rFonts w:asciiTheme="minorBidi" w:hAnsiTheme="minorBidi"/>
          <w:i/>
          <w:sz w:val="24"/>
          <w:szCs w:val="24"/>
        </w:rPr>
      </w:pPr>
      <w:r w:rsidRPr="00053669">
        <w:rPr>
          <w:rFonts w:asciiTheme="minorBidi" w:hAnsiTheme="minorBidi"/>
          <w:i/>
          <w:sz w:val="24"/>
          <w:szCs w:val="24"/>
        </w:rPr>
        <w:t xml:space="preserve">The </w:t>
      </w:r>
      <w:r w:rsidR="00463B01" w:rsidRPr="00053669">
        <w:rPr>
          <w:rFonts w:asciiTheme="minorBidi" w:hAnsiTheme="minorBidi"/>
          <w:i/>
          <w:sz w:val="24"/>
          <w:szCs w:val="24"/>
        </w:rPr>
        <w:t xml:space="preserve">applicant’s </w:t>
      </w:r>
      <w:r w:rsidRPr="00053669">
        <w:rPr>
          <w:rFonts w:asciiTheme="minorBidi" w:hAnsiTheme="minorBidi"/>
          <w:i/>
          <w:sz w:val="24"/>
          <w:szCs w:val="24"/>
        </w:rPr>
        <w:t xml:space="preserve">supplementary </w:t>
      </w:r>
      <w:r w:rsidR="00BD0932" w:rsidRPr="00053669">
        <w:rPr>
          <w:rFonts w:asciiTheme="minorBidi" w:hAnsiTheme="minorBidi"/>
          <w:i/>
          <w:sz w:val="24"/>
          <w:szCs w:val="24"/>
        </w:rPr>
        <w:t>affidavit</w:t>
      </w:r>
    </w:p>
    <w:p w14:paraId="03F83091" w14:textId="6F8C70D3" w:rsidR="00876D09" w:rsidRPr="006C1485" w:rsidRDefault="006C1485" w:rsidP="006C1485">
      <w:pPr>
        <w:tabs>
          <w:tab w:val="left" w:pos="709"/>
        </w:tabs>
        <w:spacing w:line="360" w:lineRule="auto"/>
        <w:jc w:val="both"/>
        <w:rPr>
          <w:rFonts w:asciiTheme="minorBidi" w:hAnsiTheme="minorBidi"/>
        </w:rPr>
      </w:pPr>
      <w:r>
        <w:rPr>
          <w:rFonts w:ascii="Arial" w:eastAsiaTheme="minorHAnsi" w:hAnsi="Arial" w:cs="Arial"/>
          <w:bCs/>
          <w:lang w:val="en-GB" w:eastAsia="en-US" w:bidi="ar-SA"/>
        </w:rPr>
        <w:t>[17]</w:t>
      </w:r>
      <w:r>
        <w:rPr>
          <w:rFonts w:ascii="Arial" w:eastAsiaTheme="minorHAnsi" w:hAnsi="Arial" w:cs="Arial"/>
          <w:bCs/>
          <w:lang w:val="en-GB" w:eastAsia="en-US" w:bidi="ar-SA"/>
        </w:rPr>
        <w:tab/>
      </w:r>
      <w:r w:rsidR="00876D09" w:rsidRPr="006C1485">
        <w:rPr>
          <w:rFonts w:asciiTheme="minorBidi" w:hAnsiTheme="minorBidi"/>
        </w:rPr>
        <w:t xml:space="preserve">On </w:t>
      </w:r>
      <w:r w:rsidR="00463B01" w:rsidRPr="006C1485">
        <w:rPr>
          <w:rFonts w:asciiTheme="minorBidi" w:hAnsiTheme="minorBidi"/>
        </w:rPr>
        <w:t>28 July 2023</w:t>
      </w:r>
      <w:r w:rsidR="00876D09" w:rsidRPr="006C1485">
        <w:rPr>
          <w:rFonts w:asciiTheme="minorBidi" w:hAnsiTheme="minorBidi"/>
        </w:rPr>
        <w:t xml:space="preserve">, </w:t>
      </w:r>
      <w:r w:rsidR="005E28F4" w:rsidRPr="006C1485">
        <w:rPr>
          <w:rFonts w:asciiTheme="minorBidi" w:hAnsiTheme="minorBidi"/>
        </w:rPr>
        <w:t xml:space="preserve">just over two years after she delivered her replying affidavit, </w:t>
      </w:r>
      <w:r w:rsidR="00876D09" w:rsidRPr="006C1485">
        <w:rPr>
          <w:rFonts w:asciiTheme="minorBidi" w:hAnsiTheme="minorBidi"/>
        </w:rPr>
        <w:t xml:space="preserve">the applicant </w:t>
      </w:r>
      <w:r w:rsidR="00F34DF9" w:rsidRPr="006C1485">
        <w:rPr>
          <w:rFonts w:asciiTheme="minorBidi" w:hAnsiTheme="minorBidi"/>
        </w:rPr>
        <w:t xml:space="preserve">caused to be </w:t>
      </w:r>
      <w:r w:rsidR="00876D09" w:rsidRPr="006C1485">
        <w:rPr>
          <w:rFonts w:asciiTheme="minorBidi" w:hAnsiTheme="minorBidi"/>
        </w:rPr>
        <w:t xml:space="preserve">delivered a further affidavit </w:t>
      </w:r>
      <w:r w:rsidR="00EA3A5C" w:rsidRPr="006C1485">
        <w:rPr>
          <w:rFonts w:asciiTheme="minorBidi" w:hAnsiTheme="minorBidi"/>
        </w:rPr>
        <w:t xml:space="preserve">(the supplementary affidavit) </w:t>
      </w:r>
      <w:r w:rsidR="00876D09" w:rsidRPr="006C1485">
        <w:rPr>
          <w:rFonts w:asciiTheme="minorBidi" w:hAnsiTheme="minorBidi"/>
        </w:rPr>
        <w:t>in which</w:t>
      </w:r>
      <w:r w:rsidR="00F34DF9" w:rsidRPr="006C1485">
        <w:rPr>
          <w:rFonts w:asciiTheme="minorBidi" w:hAnsiTheme="minorBidi"/>
        </w:rPr>
        <w:t>, through the evidence of her attorney,</w:t>
      </w:r>
      <w:r w:rsidR="00876D09" w:rsidRPr="006C1485">
        <w:rPr>
          <w:rFonts w:asciiTheme="minorBidi" w:hAnsiTheme="minorBidi"/>
        </w:rPr>
        <w:t xml:space="preserve"> she brought</w:t>
      </w:r>
      <w:r w:rsidR="00EA3A5C" w:rsidRPr="006C1485">
        <w:rPr>
          <w:rFonts w:asciiTheme="minorBidi" w:hAnsiTheme="minorBidi"/>
        </w:rPr>
        <w:t xml:space="preserve"> it</w:t>
      </w:r>
      <w:r w:rsidR="00876D09" w:rsidRPr="006C1485">
        <w:rPr>
          <w:rFonts w:asciiTheme="minorBidi" w:hAnsiTheme="minorBidi"/>
        </w:rPr>
        <w:t xml:space="preserve"> to the court’s attention that she had personally put up the security that </w:t>
      </w:r>
      <w:r w:rsidR="005E28F4" w:rsidRPr="006C1485">
        <w:rPr>
          <w:rFonts w:asciiTheme="minorBidi" w:hAnsiTheme="minorBidi"/>
        </w:rPr>
        <w:t xml:space="preserve">Cotton King </w:t>
      </w:r>
      <w:r w:rsidR="00876D09" w:rsidRPr="006C1485">
        <w:rPr>
          <w:rFonts w:asciiTheme="minorBidi" w:hAnsiTheme="minorBidi"/>
        </w:rPr>
        <w:t xml:space="preserve">had been ordered </w:t>
      </w:r>
      <w:r w:rsidR="005E28F4" w:rsidRPr="006C1485">
        <w:rPr>
          <w:rFonts w:asciiTheme="minorBidi" w:hAnsiTheme="minorBidi"/>
        </w:rPr>
        <w:t xml:space="preserve">to put up </w:t>
      </w:r>
      <w:r w:rsidR="00876D09" w:rsidRPr="006C1485">
        <w:rPr>
          <w:rFonts w:asciiTheme="minorBidi" w:hAnsiTheme="minorBidi"/>
        </w:rPr>
        <w:t xml:space="preserve">by the </w:t>
      </w:r>
      <w:r w:rsidR="00144AD8" w:rsidRPr="006C1485">
        <w:rPr>
          <w:rFonts w:asciiTheme="minorBidi" w:hAnsiTheme="minorBidi"/>
        </w:rPr>
        <w:t>r</w:t>
      </w:r>
      <w:r w:rsidR="00876D09" w:rsidRPr="006C1485">
        <w:rPr>
          <w:rFonts w:asciiTheme="minorBidi" w:hAnsiTheme="minorBidi"/>
        </w:rPr>
        <w:t xml:space="preserve">egistrar </w:t>
      </w:r>
      <w:r w:rsidR="00463B01" w:rsidRPr="006C1485">
        <w:rPr>
          <w:rFonts w:asciiTheme="minorBidi" w:hAnsiTheme="minorBidi"/>
        </w:rPr>
        <w:t>nearly 12 years earlier</w:t>
      </w:r>
      <w:r w:rsidR="00876D09" w:rsidRPr="006C1485">
        <w:rPr>
          <w:rFonts w:asciiTheme="minorBidi" w:hAnsiTheme="minorBidi"/>
        </w:rPr>
        <w:t>.</w:t>
      </w:r>
    </w:p>
    <w:p w14:paraId="636BDBFA" w14:textId="77777777" w:rsidR="005878A9" w:rsidRDefault="005878A9" w:rsidP="00BD0932">
      <w:pPr>
        <w:spacing w:line="360" w:lineRule="auto"/>
        <w:rPr>
          <w:rFonts w:asciiTheme="minorBidi" w:hAnsiTheme="minorBidi"/>
        </w:rPr>
      </w:pPr>
    </w:p>
    <w:p w14:paraId="3BE2F397" w14:textId="77777777" w:rsidR="00BD0932" w:rsidRPr="00053669" w:rsidRDefault="00BD0932" w:rsidP="00BD0932">
      <w:pPr>
        <w:spacing w:line="360" w:lineRule="auto"/>
        <w:rPr>
          <w:rFonts w:asciiTheme="minorBidi" w:hAnsiTheme="minorBidi"/>
          <w:b/>
          <w:bCs/>
          <w:i/>
        </w:rPr>
      </w:pPr>
      <w:r w:rsidRPr="00053669">
        <w:rPr>
          <w:rFonts w:asciiTheme="minorBidi" w:hAnsiTheme="minorBidi"/>
          <w:b/>
          <w:bCs/>
          <w:i/>
        </w:rPr>
        <w:t>General observations</w:t>
      </w:r>
    </w:p>
    <w:p w14:paraId="0CA7C5AB" w14:textId="1868A6A4" w:rsidR="00EA3A5C" w:rsidRPr="006C1485" w:rsidRDefault="006C1485" w:rsidP="006C1485">
      <w:pPr>
        <w:tabs>
          <w:tab w:val="left" w:pos="709"/>
        </w:tabs>
        <w:spacing w:line="360" w:lineRule="auto"/>
        <w:jc w:val="both"/>
        <w:rPr>
          <w:rFonts w:asciiTheme="minorBidi" w:hAnsiTheme="minorBidi"/>
        </w:rPr>
      </w:pPr>
      <w:r w:rsidRPr="00EA3A5C">
        <w:rPr>
          <w:rFonts w:ascii="Arial" w:eastAsiaTheme="minorHAnsi" w:hAnsi="Arial" w:cs="Arial"/>
          <w:bCs/>
          <w:lang w:val="en-GB" w:eastAsia="en-US" w:bidi="ar-SA"/>
        </w:rPr>
        <w:t>[18]</w:t>
      </w:r>
      <w:r w:rsidRPr="00EA3A5C">
        <w:rPr>
          <w:rFonts w:ascii="Arial" w:eastAsiaTheme="minorHAnsi" w:hAnsi="Arial" w:cs="Arial"/>
          <w:bCs/>
          <w:lang w:val="en-GB" w:eastAsia="en-US" w:bidi="ar-SA"/>
        </w:rPr>
        <w:tab/>
      </w:r>
      <w:r w:rsidR="005878A9" w:rsidRPr="006C1485">
        <w:rPr>
          <w:rFonts w:asciiTheme="minorBidi" w:hAnsiTheme="minorBidi"/>
        </w:rPr>
        <w:t xml:space="preserve">Those are the essential facts of the matter. </w:t>
      </w:r>
      <w:r w:rsidR="008B2CC4" w:rsidRPr="006C1485">
        <w:rPr>
          <w:rFonts w:asciiTheme="minorBidi" w:hAnsiTheme="minorBidi"/>
          <w:bCs/>
        </w:rPr>
        <w:t xml:space="preserve">Nearly ten and a half years after it initially commenced, the applicant’s substitution application is before me for determination. </w:t>
      </w:r>
    </w:p>
    <w:p w14:paraId="1B56F47C" w14:textId="77777777" w:rsidR="00EA3A5C" w:rsidRPr="00EA3A5C" w:rsidRDefault="00EA3A5C" w:rsidP="00EA3A5C">
      <w:pPr>
        <w:pStyle w:val="ListParagraph"/>
        <w:tabs>
          <w:tab w:val="left" w:pos="709"/>
        </w:tabs>
        <w:spacing w:after="0" w:line="360" w:lineRule="auto"/>
        <w:ind w:left="0"/>
        <w:jc w:val="both"/>
        <w:rPr>
          <w:rFonts w:asciiTheme="minorBidi" w:hAnsiTheme="minorBidi"/>
          <w:sz w:val="24"/>
          <w:szCs w:val="24"/>
        </w:rPr>
      </w:pPr>
    </w:p>
    <w:p w14:paraId="71EDF7D6" w14:textId="269AA2A8" w:rsidR="00463B01" w:rsidRPr="006C1485" w:rsidRDefault="006C1485" w:rsidP="006C1485">
      <w:pPr>
        <w:tabs>
          <w:tab w:val="left" w:pos="709"/>
        </w:tabs>
        <w:spacing w:line="360" w:lineRule="auto"/>
        <w:jc w:val="both"/>
        <w:rPr>
          <w:rFonts w:asciiTheme="minorBidi" w:hAnsiTheme="minorBidi"/>
        </w:rPr>
      </w:pPr>
      <w:r w:rsidRPr="00463B01">
        <w:rPr>
          <w:rFonts w:ascii="Arial" w:eastAsiaTheme="minorHAnsi" w:hAnsi="Arial" w:cs="Arial"/>
          <w:bCs/>
          <w:lang w:val="en-GB" w:eastAsia="en-US" w:bidi="ar-SA"/>
        </w:rPr>
        <w:t>[19]</w:t>
      </w:r>
      <w:r w:rsidRPr="00463B01">
        <w:rPr>
          <w:rFonts w:ascii="Arial" w:eastAsiaTheme="minorHAnsi" w:hAnsi="Arial" w:cs="Arial"/>
          <w:bCs/>
          <w:lang w:val="en-GB" w:eastAsia="en-US" w:bidi="ar-SA"/>
        </w:rPr>
        <w:tab/>
      </w:r>
      <w:r w:rsidR="00F34DF9" w:rsidRPr="006C1485">
        <w:rPr>
          <w:rFonts w:asciiTheme="minorBidi" w:hAnsiTheme="minorBidi"/>
          <w:bCs/>
        </w:rPr>
        <w:t>Before getting to grips with the essence of the matter, I make two observations.</w:t>
      </w:r>
      <w:r w:rsidR="00463B01" w:rsidRPr="006C1485">
        <w:rPr>
          <w:rFonts w:asciiTheme="minorBidi" w:hAnsiTheme="minorBidi"/>
          <w:bCs/>
        </w:rPr>
        <w:t xml:space="preserve"> The first </w:t>
      </w:r>
      <w:r w:rsidR="00F34DF9" w:rsidRPr="006C1485">
        <w:rPr>
          <w:rFonts w:asciiTheme="minorBidi" w:hAnsiTheme="minorBidi"/>
          <w:bCs/>
        </w:rPr>
        <w:t xml:space="preserve">relates to </w:t>
      </w:r>
      <w:r w:rsidR="00463B01" w:rsidRPr="006C1485">
        <w:rPr>
          <w:rFonts w:asciiTheme="minorBidi" w:hAnsiTheme="minorBidi"/>
          <w:bCs/>
        </w:rPr>
        <w:t xml:space="preserve">the inordinately long period of time that the substitution application has taken before it was </w:t>
      </w:r>
      <w:r w:rsidR="00D81DDD" w:rsidRPr="006C1485">
        <w:rPr>
          <w:rFonts w:asciiTheme="minorBidi" w:hAnsiTheme="minorBidi"/>
          <w:bCs/>
        </w:rPr>
        <w:t>sufficiently complete to be argued</w:t>
      </w:r>
      <w:r w:rsidR="00463B01" w:rsidRPr="006C1485">
        <w:rPr>
          <w:rFonts w:asciiTheme="minorBidi" w:hAnsiTheme="minorBidi"/>
          <w:bCs/>
        </w:rPr>
        <w:t xml:space="preserve">. </w:t>
      </w:r>
      <w:r w:rsidR="00F34DF9" w:rsidRPr="006C1485">
        <w:rPr>
          <w:rFonts w:asciiTheme="minorBidi" w:hAnsiTheme="minorBidi"/>
          <w:bCs/>
        </w:rPr>
        <w:t>Such</w:t>
      </w:r>
      <w:r w:rsidR="00463B01" w:rsidRPr="006C1485">
        <w:rPr>
          <w:rFonts w:asciiTheme="minorBidi" w:hAnsiTheme="minorBidi"/>
          <w:bCs/>
        </w:rPr>
        <w:t xml:space="preserve"> </w:t>
      </w:r>
      <w:r w:rsidR="00D81DDD" w:rsidRPr="006C1485">
        <w:rPr>
          <w:rFonts w:asciiTheme="minorBidi" w:hAnsiTheme="minorBidi"/>
          <w:bCs/>
        </w:rPr>
        <w:t xml:space="preserve">an extraordinary </w:t>
      </w:r>
      <w:r w:rsidR="00463B01" w:rsidRPr="006C1485">
        <w:rPr>
          <w:rFonts w:asciiTheme="minorBidi" w:hAnsiTheme="minorBidi"/>
          <w:bCs/>
        </w:rPr>
        <w:t xml:space="preserve">delay generally makes the proper adjudication of the matter more difficult. </w:t>
      </w:r>
      <w:r w:rsidR="005E28F4" w:rsidRPr="006C1485">
        <w:rPr>
          <w:rFonts w:asciiTheme="minorBidi" w:hAnsiTheme="minorBidi"/>
          <w:bCs/>
        </w:rPr>
        <w:t xml:space="preserve">While the defendant has contributed to this delay, delivering its supplementary answering affidavit 16 months after it had delivered its answering affidavit, the fact of the matter is that it was able to do so because the applicant had been inactive and had not </w:t>
      </w:r>
      <w:r w:rsidR="005E28F4" w:rsidRPr="006C1485">
        <w:rPr>
          <w:rFonts w:asciiTheme="minorBidi" w:hAnsiTheme="minorBidi"/>
          <w:bCs/>
        </w:rPr>
        <w:lastRenderedPageBreak/>
        <w:t>delivered her replying affidavit.</w:t>
      </w:r>
      <w:r w:rsidR="00BF1385" w:rsidRPr="006C1485">
        <w:rPr>
          <w:rFonts w:asciiTheme="minorBidi" w:hAnsiTheme="minorBidi"/>
          <w:bCs/>
        </w:rPr>
        <w:t xml:space="preserve"> </w:t>
      </w:r>
      <w:r w:rsidR="005E28F4" w:rsidRPr="006C1485">
        <w:rPr>
          <w:rFonts w:asciiTheme="minorBidi" w:hAnsiTheme="minorBidi"/>
          <w:bCs/>
        </w:rPr>
        <w:t xml:space="preserve">There can be no doubt that the significant delay in the matter </w:t>
      </w:r>
      <w:r w:rsidR="00463B01" w:rsidRPr="006C1485">
        <w:rPr>
          <w:rFonts w:asciiTheme="minorBidi" w:hAnsiTheme="minorBidi"/>
          <w:bCs/>
        </w:rPr>
        <w:t>was occasioned solely by the applicant.</w:t>
      </w:r>
    </w:p>
    <w:p w14:paraId="5149AED3" w14:textId="77777777" w:rsidR="00463B01" w:rsidRPr="00463B01" w:rsidRDefault="00463B01" w:rsidP="00463B01">
      <w:pPr>
        <w:pStyle w:val="ListParagraph"/>
        <w:rPr>
          <w:rFonts w:asciiTheme="minorBidi" w:hAnsiTheme="minorBidi"/>
          <w:bCs/>
          <w:sz w:val="24"/>
          <w:szCs w:val="24"/>
        </w:rPr>
      </w:pPr>
    </w:p>
    <w:p w14:paraId="12C4A5A7" w14:textId="7DB69828" w:rsidR="00A00146" w:rsidRPr="006C1485" w:rsidRDefault="006C1485" w:rsidP="006C1485">
      <w:pPr>
        <w:tabs>
          <w:tab w:val="left" w:pos="709"/>
        </w:tabs>
        <w:spacing w:line="360" w:lineRule="auto"/>
        <w:jc w:val="both"/>
        <w:rPr>
          <w:rFonts w:asciiTheme="minorBidi" w:hAnsiTheme="minorBidi"/>
        </w:rPr>
      </w:pPr>
      <w:r>
        <w:rPr>
          <w:rFonts w:ascii="Arial" w:eastAsiaTheme="minorHAnsi" w:hAnsi="Arial" w:cs="Arial"/>
          <w:bCs/>
          <w:lang w:val="en-GB" w:eastAsia="en-US" w:bidi="ar-SA"/>
        </w:rPr>
        <w:t>[20]</w:t>
      </w:r>
      <w:r>
        <w:rPr>
          <w:rFonts w:ascii="Arial" w:eastAsiaTheme="minorHAnsi" w:hAnsi="Arial" w:cs="Arial"/>
          <w:bCs/>
          <w:lang w:val="en-GB" w:eastAsia="en-US" w:bidi="ar-SA"/>
        </w:rPr>
        <w:tab/>
      </w:r>
      <w:r w:rsidR="00463B01" w:rsidRPr="006C1485">
        <w:rPr>
          <w:rFonts w:asciiTheme="minorBidi" w:hAnsiTheme="minorBidi"/>
          <w:bCs/>
        </w:rPr>
        <w:t xml:space="preserve">The second observation that I make is </w:t>
      </w:r>
      <w:r w:rsidR="00281861" w:rsidRPr="006C1485">
        <w:rPr>
          <w:rFonts w:asciiTheme="minorBidi" w:hAnsiTheme="minorBidi"/>
        </w:rPr>
        <w:t xml:space="preserve">that the applicant has not at any stage attempted to press her own claim as the </w:t>
      </w:r>
      <w:r w:rsidR="005E28F4" w:rsidRPr="006C1485">
        <w:rPr>
          <w:rFonts w:asciiTheme="minorBidi" w:hAnsiTheme="minorBidi"/>
        </w:rPr>
        <w:t>investor</w:t>
      </w:r>
      <w:r w:rsidR="00281861" w:rsidRPr="006C1485">
        <w:rPr>
          <w:rFonts w:asciiTheme="minorBidi" w:hAnsiTheme="minorBidi"/>
        </w:rPr>
        <w:t xml:space="preserve">. She makes it plain that her entire case against the defendant is dependent on the </w:t>
      </w:r>
      <w:r w:rsidR="00F34DF9" w:rsidRPr="006C1485">
        <w:rPr>
          <w:rFonts w:asciiTheme="minorBidi" w:hAnsiTheme="minorBidi"/>
        </w:rPr>
        <w:t xml:space="preserve">rights that she acquired from the </w:t>
      </w:r>
      <w:r w:rsidR="00281861" w:rsidRPr="006C1485">
        <w:rPr>
          <w:rFonts w:asciiTheme="minorBidi" w:hAnsiTheme="minorBidi"/>
        </w:rPr>
        <w:t>deed of cession</w:t>
      </w:r>
      <w:r w:rsidR="00463B01" w:rsidRPr="006C1485">
        <w:rPr>
          <w:rFonts w:asciiTheme="minorBidi" w:hAnsiTheme="minorBidi"/>
        </w:rPr>
        <w:t xml:space="preserve"> and not </w:t>
      </w:r>
      <w:r w:rsidR="005E28F4" w:rsidRPr="006C1485">
        <w:rPr>
          <w:rFonts w:asciiTheme="minorBidi" w:hAnsiTheme="minorBidi"/>
        </w:rPr>
        <w:t xml:space="preserve">from </w:t>
      </w:r>
      <w:r w:rsidR="00463B01" w:rsidRPr="006C1485">
        <w:rPr>
          <w:rFonts w:asciiTheme="minorBidi" w:hAnsiTheme="minorBidi"/>
        </w:rPr>
        <w:t>any original right that she personally possesses</w:t>
      </w:r>
      <w:r w:rsidR="00281861" w:rsidRPr="006C1485">
        <w:rPr>
          <w:rFonts w:asciiTheme="minorBidi" w:hAnsiTheme="minorBidi"/>
        </w:rPr>
        <w:t xml:space="preserve">. </w:t>
      </w:r>
      <w:r w:rsidR="005E28F4" w:rsidRPr="006C1485">
        <w:rPr>
          <w:rFonts w:asciiTheme="minorBidi" w:hAnsiTheme="minorBidi"/>
        </w:rPr>
        <w:t>This in itself is curious but may be explicable if reference is made to the spectre of prescription that presents itself in this matter. That issue will be considered further later in this judgment.</w:t>
      </w:r>
    </w:p>
    <w:p w14:paraId="1D13B8B5" w14:textId="77777777" w:rsidR="00536124" w:rsidRPr="00536124" w:rsidRDefault="00536124" w:rsidP="00536124">
      <w:pPr>
        <w:pStyle w:val="ListParagraph"/>
        <w:tabs>
          <w:tab w:val="left" w:pos="709"/>
        </w:tabs>
        <w:spacing w:after="0" w:line="360" w:lineRule="auto"/>
        <w:ind w:left="0"/>
        <w:jc w:val="both"/>
        <w:rPr>
          <w:rFonts w:asciiTheme="minorBidi" w:hAnsiTheme="minorBidi"/>
          <w:sz w:val="24"/>
          <w:szCs w:val="24"/>
        </w:rPr>
      </w:pPr>
    </w:p>
    <w:p w14:paraId="18A1C4B5" w14:textId="77777777" w:rsidR="00BD0932" w:rsidRPr="00BD0932" w:rsidRDefault="00BD0932" w:rsidP="005878A9">
      <w:pPr>
        <w:pStyle w:val="ListParagraph"/>
        <w:tabs>
          <w:tab w:val="left" w:pos="709"/>
        </w:tabs>
        <w:spacing w:after="0" w:line="360" w:lineRule="auto"/>
        <w:ind w:left="0"/>
        <w:jc w:val="both"/>
        <w:rPr>
          <w:rFonts w:asciiTheme="minorBidi" w:hAnsiTheme="minorBidi"/>
          <w:b/>
          <w:bCs/>
          <w:sz w:val="24"/>
          <w:szCs w:val="24"/>
        </w:rPr>
      </w:pPr>
      <w:r w:rsidRPr="00BD0932">
        <w:rPr>
          <w:rFonts w:asciiTheme="minorBidi" w:hAnsiTheme="minorBidi"/>
          <w:b/>
          <w:bCs/>
          <w:sz w:val="24"/>
          <w:szCs w:val="24"/>
        </w:rPr>
        <w:t>Litis contestatio</w:t>
      </w:r>
    </w:p>
    <w:p w14:paraId="11041C23" w14:textId="22960060" w:rsidR="00DF4673" w:rsidRPr="006C1485" w:rsidRDefault="006C1485" w:rsidP="006C1485">
      <w:pPr>
        <w:tabs>
          <w:tab w:val="left" w:pos="709"/>
        </w:tabs>
        <w:spacing w:line="360" w:lineRule="auto"/>
        <w:jc w:val="both"/>
        <w:rPr>
          <w:rFonts w:asciiTheme="minorBidi" w:hAnsiTheme="minorBidi"/>
        </w:rPr>
      </w:pPr>
      <w:r>
        <w:rPr>
          <w:rFonts w:ascii="Arial" w:eastAsiaTheme="minorHAnsi" w:hAnsi="Arial" w:cs="Arial"/>
          <w:bCs/>
          <w:lang w:val="en-GB" w:eastAsia="en-US" w:bidi="ar-SA"/>
        </w:rPr>
        <w:t>[21]</w:t>
      </w:r>
      <w:r>
        <w:rPr>
          <w:rFonts w:ascii="Arial" w:eastAsiaTheme="minorHAnsi" w:hAnsi="Arial" w:cs="Arial"/>
          <w:bCs/>
          <w:lang w:val="en-GB" w:eastAsia="en-US" w:bidi="ar-SA"/>
        </w:rPr>
        <w:tab/>
      </w:r>
      <w:r w:rsidR="00D953C0" w:rsidRPr="006C1485">
        <w:rPr>
          <w:rFonts w:asciiTheme="minorBidi" w:hAnsiTheme="minorBidi"/>
        </w:rPr>
        <w:t xml:space="preserve">It </w:t>
      </w:r>
      <w:r w:rsidR="006D41F8" w:rsidRPr="006C1485">
        <w:rPr>
          <w:rFonts w:asciiTheme="minorBidi" w:hAnsiTheme="minorBidi"/>
        </w:rPr>
        <w:t>is</w:t>
      </w:r>
      <w:r w:rsidR="00D953C0" w:rsidRPr="006C1485">
        <w:rPr>
          <w:rFonts w:asciiTheme="minorBidi" w:hAnsiTheme="minorBidi"/>
        </w:rPr>
        <w:t xml:space="preserve"> common cause that the deed of cession was concluded after </w:t>
      </w:r>
      <w:r w:rsidR="00D953C0" w:rsidRPr="006C1485">
        <w:rPr>
          <w:rFonts w:asciiTheme="minorBidi" w:hAnsiTheme="minorBidi"/>
          <w:i/>
        </w:rPr>
        <w:t xml:space="preserve">litis </w:t>
      </w:r>
      <w:r w:rsidR="00A16FC5" w:rsidRPr="006C1485">
        <w:rPr>
          <w:rFonts w:asciiTheme="minorBidi" w:hAnsiTheme="minorBidi"/>
          <w:i/>
        </w:rPr>
        <w:t xml:space="preserve">contestatio </w:t>
      </w:r>
      <w:r w:rsidR="00A16FC5" w:rsidRPr="006C1485">
        <w:rPr>
          <w:rFonts w:asciiTheme="minorBidi" w:hAnsiTheme="minorBidi"/>
          <w:iCs/>
        </w:rPr>
        <w:t>had been reached in the action between Cotton King and the defendant</w:t>
      </w:r>
      <w:r w:rsidR="00A00146" w:rsidRPr="006C1485">
        <w:rPr>
          <w:rFonts w:asciiTheme="minorBidi" w:hAnsiTheme="minorBidi"/>
          <w:iCs/>
        </w:rPr>
        <w:t xml:space="preserve">. </w:t>
      </w:r>
      <w:r w:rsidR="00EA3A5C" w:rsidRPr="006C1485">
        <w:rPr>
          <w:rFonts w:asciiTheme="minorBidi" w:hAnsiTheme="minorBidi"/>
          <w:iCs/>
        </w:rPr>
        <w:t>By my calculation</w:t>
      </w:r>
      <w:r w:rsidR="00463B01" w:rsidRPr="006C1485">
        <w:rPr>
          <w:rFonts w:asciiTheme="minorBidi" w:hAnsiTheme="minorBidi"/>
          <w:iCs/>
        </w:rPr>
        <w:t>,</w:t>
      </w:r>
      <w:r w:rsidR="00EA3A5C" w:rsidRPr="006C1485">
        <w:rPr>
          <w:rFonts w:asciiTheme="minorBidi" w:hAnsiTheme="minorBidi"/>
          <w:iCs/>
        </w:rPr>
        <w:t xml:space="preserve"> with n</w:t>
      </w:r>
      <w:r w:rsidR="00A00146" w:rsidRPr="006C1485">
        <w:rPr>
          <w:rFonts w:ascii="Arial" w:hAnsi="Arial" w:cs="Arial"/>
          <w:bCs/>
        </w:rPr>
        <w:t>o replication having been delivered, pleadings closed on 31 October 2011. The deed of cession, as previously stated</w:t>
      </w:r>
      <w:r w:rsidR="00D81DDD" w:rsidRPr="006C1485">
        <w:rPr>
          <w:rFonts w:ascii="Arial" w:hAnsi="Arial" w:cs="Arial"/>
          <w:bCs/>
        </w:rPr>
        <w:t>,</w:t>
      </w:r>
      <w:r w:rsidR="00A00146" w:rsidRPr="006C1485">
        <w:rPr>
          <w:rFonts w:ascii="Arial" w:hAnsi="Arial" w:cs="Arial"/>
          <w:bCs/>
        </w:rPr>
        <w:t xml:space="preserve"> was concluded on 21 November 2011.</w:t>
      </w:r>
      <w:r w:rsidR="00A00146" w:rsidRPr="006C1485">
        <w:rPr>
          <w:rFonts w:asciiTheme="minorBidi" w:hAnsiTheme="minorBidi"/>
        </w:rPr>
        <w:t xml:space="preserve"> I</w:t>
      </w:r>
      <w:r w:rsidR="007D0DC8" w:rsidRPr="006C1485">
        <w:rPr>
          <w:rFonts w:asciiTheme="minorBidi" w:hAnsiTheme="minorBidi"/>
        </w:rPr>
        <w:t xml:space="preserve">t is trite that </w:t>
      </w:r>
      <w:r w:rsidR="007D0DC8" w:rsidRPr="006C1485">
        <w:rPr>
          <w:rFonts w:asciiTheme="minorBidi" w:hAnsiTheme="minorBidi"/>
          <w:i/>
        </w:rPr>
        <w:t>li</w:t>
      </w:r>
      <w:r w:rsidR="00D953C0" w:rsidRPr="006C1485">
        <w:rPr>
          <w:rFonts w:asciiTheme="minorBidi" w:hAnsiTheme="minorBidi"/>
          <w:i/>
        </w:rPr>
        <w:t>tis contestatio</w:t>
      </w:r>
      <w:r w:rsidR="00D953C0" w:rsidRPr="006C1485">
        <w:rPr>
          <w:rFonts w:asciiTheme="minorBidi" w:hAnsiTheme="minorBidi"/>
        </w:rPr>
        <w:t xml:space="preserve"> </w:t>
      </w:r>
      <w:r w:rsidR="007D0DC8" w:rsidRPr="006C1485">
        <w:rPr>
          <w:rFonts w:asciiTheme="minorBidi" w:hAnsiTheme="minorBidi"/>
        </w:rPr>
        <w:t xml:space="preserve">is reached </w:t>
      </w:r>
      <w:r w:rsidR="00D953C0" w:rsidRPr="006C1485">
        <w:rPr>
          <w:rFonts w:asciiTheme="minorBidi" w:hAnsiTheme="minorBidi"/>
        </w:rPr>
        <w:t>when the pleadings are closed.</w:t>
      </w:r>
      <w:r w:rsidR="00D953C0">
        <w:rPr>
          <w:rStyle w:val="FootnoteReference"/>
          <w:rFonts w:asciiTheme="minorBidi" w:hAnsiTheme="minorBidi"/>
        </w:rPr>
        <w:footnoteReference w:id="6"/>
      </w:r>
      <w:r w:rsidR="00D953C0" w:rsidRPr="006C1485">
        <w:rPr>
          <w:rFonts w:asciiTheme="minorBidi" w:hAnsiTheme="minorBidi"/>
        </w:rPr>
        <w:t xml:space="preserve"> </w:t>
      </w:r>
    </w:p>
    <w:p w14:paraId="65B83006" w14:textId="77777777" w:rsidR="00A00146" w:rsidRDefault="00A00146" w:rsidP="00A00146">
      <w:pPr>
        <w:pStyle w:val="ListParagraph"/>
        <w:tabs>
          <w:tab w:val="left" w:pos="709"/>
        </w:tabs>
        <w:spacing w:after="0" w:line="360" w:lineRule="auto"/>
        <w:ind w:left="0"/>
        <w:jc w:val="both"/>
        <w:rPr>
          <w:rFonts w:asciiTheme="minorBidi" w:hAnsiTheme="minorBidi"/>
          <w:sz w:val="24"/>
          <w:szCs w:val="24"/>
        </w:rPr>
      </w:pPr>
    </w:p>
    <w:p w14:paraId="661730B1" w14:textId="77777777" w:rsidR="00BD0932" w:rsidRPr="00BD0932" w:rsidRDefault="00BD0932" w:rsidP="00A00146">
      <w:pPr>
        <w:pStyle w:val="ListParagraph"/>
        <w:tabs>
          <w:tab w:val="left" w:pos="709"/>
        </w:tabs>
        <w:spacing w:after="0" w:line="360" w:lineRule="auto"/>
        <w:ind w:left="0"/>
        <w:jc w:val="both"/>
        <w:rPr>
          <w:rFonts w:asciiTheme="minorBidi" w:hAnsiTheme="minorBidi"/>
          <w:b/>
          <w:bCs/>
          <w:sz w:val="24"/>
          <w:szCs w:val="24"/>
        </w:rPr>
      </w:pPr>
      <w:r w:rsidRPr="00BD0932">
        <w:rPr>
          <w:rFonts w:asciiTheme="minorBidi" w:hAnsiTheme="minorBidi"/>
          <w:b/>
          <w:bCs/>
          <w:sz w:val="24"/>
          <w:szCs w:val="24"/>
        </w:rPr>
        <w:t>Substitution</w:t>
      </w:r>
    </w:p>
    <w:p w14:paraId="22B3E054" w14:textId="15437F8C" w:rsidR="0023193F" w:rsidRPr="006C1485" w:rsidRDefault="006C1485" w:rsidP="006C1485">
      <w:pPr>
        <w:tabs>
          <w:tab w:val="left" w:pos="709"/>
        </w:tabs>
        <w:spacing w:line="360" w:lineRule="auto"/>
        <w:jc w:val="both"/>
        <w:rPr>
          <w:rFonts w:ascii="Arial" w:hAnsi="Arial" w:cs="Arial"/>
        </w:rPr>
      </w:pPr>
      <w:r>
        <w:rPr>
          <w:rFonts w:ascii="Arial" w:eastAsiaTheme="minorHAnsi" w:hAnsi="Arial" w:cs="Arial"/>
          <w:bCs/>
          <w:lang w:val="en-GB" w:eastAsia="en-US" w:bidi="ar-SA"/>
        </w:rPr>
        <w:t>[22]</w:t>
      </w:r>
      <w:r>
        <w:rPr>
          <w:rFonts w:ascii="Arial" w:eastAsiaTheme="minorHAnsi" w:hAnsi="Arial" w:cs="Arial"/>
          <w:bCs/>
          <w:lang w:val="en-GB" w:eastAsia="en-US" w:bidi="ar-SA"/>
        </w:rPr>
        <w:tab/>
      </w:r>
      <w:r w:rsidR="003E1FF2" w:rsidRPr="006C1485">
        <w:rPr>
          <w:rFonts w:ascii="Arial" w:hAnsi="Arial" w:cs="Arial"/>
        </w:rPr>
        <w:t xml:space="preserve">Substituting one party for another </w:t>
      </w:r>
      <w:r w:rsidR="00A87092" w:rsidRPr="006C1485">
        <w:rPr>
          <w:rFonts w:ascii="Arial" w:hAnsi="Arial" w:cs="Arial"/>
        </w:rPr>
        <w:t>is a procedural matter</w:t>
      </w:r>
      <w:r w:rsidR="00ED587D">
        <w:rPr>
          <w:rStyle w:val="FootnoteReference"/>
          <w:rFonts w:ascii="Arial" w:hAnsi="Arial" w:cs="Arial"/>
        </w:rPr>
        <w:footnoteReference w:id="7"/>
      </w:r>
      <w:r w:rsidR="00593D33" w:rsidRPr="006C1485">
        <w:rPr>
          <w:rFonts w:ascii="Arial" w:hAnsi="Arial" w:cs="Arial"/>
        </w:rPr>
        <w:t xml:space="preserve"> and i</w:t>
      </w:r>
      <w:r w:rsidR="00A87092" w:rsidRPr="006C1485">
        <w:rPr>
          <w:rFonts w:ascii="Arial" w:hAnsi="Arial" w:cs="Arial"/>
        </w:rPr>
        <w:t>t can</w:t>
      </w:r>
      <w:r w:rsidR="003E1FF2" w:rsidRPr="006C1485">
        <w:rPr>
          <w:rFonts w:ascii="Arial" w:hAnsi="Arial" w:cs="Arial"/>
        </w:rPr>
        <w:t xml:space="preserve"> occur in either one of three ways: by an amendment of the pleadings, by invoking Uniform </w:t>
      </w:r>
      <w:r w:rsidR="0012157E" w:rsidRPr="006C1485">
        <w:rPr>
          <w:rFonts w:ascii="Arial" w:hAnsi="Arial" w:cs="Arial"/>
        </w:rPr>
        <w:t>r</w:t>
      </w:r>
      <w:r w:rsidR="003E1FF2" w:rsidRPr="006C1485">
        <w:rPr>
          <w:rFonts w:ascii="Arial" w:hAnsi="Arial" w:cs="Arial"/>
        </w:rPr>
        <w:t xml:space="preserve">ule 15 or at common law. Uniform </w:t>
      </w:r>
      <w:r w:rsidR="0012157E" w:rsidRPr="006C1485">
        <w:rPr>
          <w:rFonts w:ascii="Arial" w:hAnsi="Arial" w:cs="Arial"/>
        </w:rPr>
        <w:t>r</w:t>
      </w:r>
      <w:r w:rsidR="00A87092" w:rsidRPr="006C1485">
        <w:rPr>
          <w:rFonts w:ascii="Arial" w:hAnsi="Arial" w:cs="Arial"/>
        </w:rPr>
        <w:t xml:space="preserve">ule 15 applies where the substitution of a party </w:t>
      </w:r>
      <w:r w:rsidR="003E1FF2" w:rsidRPr="006C1485">
        <w:rPr>
          <w:rFonts w:ascii="Arial" w:hAnsi="Arial" w:cs="Arial"/>
        </w:rPr>
        <w:t>is required because of a change in status of a party</w:t>
      </w:r>
      <w:r w:rsidR="009123BE" w:rsidRPr="006C1485">
        <w:rPr>
          <w:rFonts w:ascii="Arial" w:hAnsi="Arial" w:cs="Arial"/>
        </w:rPr>
        <w:t xml:space="preserve"> and t</w:t>
      </w:r>
      <w:r w:rsidR="003E1FF2" w:rsidRPr="006C1485">
        <w:rPr>
          <w:rFonts w:ascii="Arial" w:hAnsi="Arial" w:cs="Arial"/>
        </w:rPr>
        <w:t xml:space="preserve">he common law applies where there is no such change in status. </w:t>
      </w:r>
      <w:r w:rsidR="00463B01" w:rsidRPr="006C1485">
        <w:rPr>
          <w:rFonts w:ascii="Arial" w:hAnsi="Arial" w:cs="Arial"/>
        </w:rPr>
        <w:t xml:space="preserve">While Cotton King may have been liquidated, that fact did not make the cession necessary. </w:t>
      </w:r>
      <w:r w:rsidR="0023193F" w:rsidRPr="006C1485">
        <w:rPr>
          <w:rFonts w:ascii="Arial" w:hAnsi="Arial" w:cs="Arial"/>
        </w:rPr>
        <w:t>This is</w:t>
      </w:r>
      <w:r w:rsidR="00463B01" w:rsidRPr="006C1485">
        <w:rPr>
          <w:rFonts w:ascii="Arial" w:hAnsi="Arial" w:cs="Arial"/>
        </w:rPr>
        <w:t xml:space="preserve"> accordingly</w:t>
      </w:r>
      <w:r w:rsidR="0023193F" w:rsidRPr="006C1485">
        <w:rPr>
          <w:rFonts w:ascii="Arial" w:hAnsi="Arial" w:cs="Arial"/>
        </w:rPr>
        <w:t xml:space="preserve"> not a matter involving a change of status. The common law approach thus applies. </w:t>
      </w:r>
    </w:p>
    <w:p w14:paraId="69B1AAD0" w14:textId="77777777" w:rsidR="0023193F" w:rsidRDefault="0023193F" w:rsidP="0023193F">
      <w:pPr>
        <w:pStyle w:val="ListParagraph"/>
        <w:tabs>
          <w:tab w:val="left" w:pos="709"/>
        </w:tabs>
        <w:spacing w:after="0" w:line="360" w:lineRule="auto"/>
        <w:ind w:left="0"/>
        <w:jc w:val="both"/>
        <w:rPr>
          <w:rFonts w:ascii="Arial" w:hAnsi="Arial" w:cs="Arial"/>
          <w:sz w:val="24"/>
          <w:szCs w:val="24"/>
        </w:rPr>
      </w:pPr>
    </w:p>
    <w:p w14:paraId="5FF2E585" w14:textId="3E2A8CB0" w:rsidR="009123BE" w:rsidRPr="006C1485" w:rsidRDefault="006C1485" w:rsidP="006C1485">
      <w:pPr>
        <w:tabs>
          <w:tab w:val="left" w:pos="709"/>
        </w:tabs>
        <w:spacing w:line="360" w:lineRule="auto"/>
        <w:jc w:val="both"/>
        <w:rPr>
          <w:rFonts w:ascii="Arial" w:hAnsi="Arial" w:cs="Arial"/>
        </w:rPr>
      </w:pPr>
      <w:r>
        <w:rPr>
          <w:rFonts w:ascii="Arial" w:eastAsiaTheme="minorHAnsi" w:hAnsi="Arial" w:cs="Arial"/>
          <w:bCs/>
          <w:lang w:val="en-GB" w:eastAsia="en-US" w:bidi="ar-SA"/>
        </w:rPr>
        <w:t>[23]</w:t>
      </w:r>
      <w:r>
        <w:rPr>
          <w:rFonts w:ascii="Arial" w:eastAsiaTheme="minorHAnsi" w:hAnsi="Arial" w:cs="Arial"/>
          <w:bCs/>
          <w:lang w:val="en-GB" w:eastAsia="en-US" w:bidi="ar-SA"/>
        </w:rPr>
        <w:tab/>
      </w:r>
      <w:r w:rsidR="007272F8" w:rsidRPr="006C1485">
        <w:rPr>
          <w:rFonts w:ascii="Arial" w:hAnsi="Arial" w:cs="Arial"/>
        </w:rPr>
        <w:t>As to how these application</w:t>
      </w:r>
      <w:r w:rsidR="00281861" w:rsidRPr="006C1485">
        <w:rPr>
          <w:rFonts w:ascii="Arial" w:hAnsi="Arial" w:cs="Arial"/>
        </w:rPr>
        <w:t>s</w:t>
      </w:r>
      <w:r w:rsidR="007272F8" w:rsidRPr="006C1485">
        <w:rPr>
          <w:rFonts w:ascii="Arial" w:hAnsi="Arial" w:cs="Arial"/>
        </w:rPr>
        <w:t xml:space="preserve"> should be </w:t>
      </w:r>
      <w:r w:rsidR="00E260AB" w:rsidRPr="006C1485">
        <w:rPr>
          <w:rFonts w:ascii="Arial" w:hAnsi="Arial" w:cs="Arial"/>
        </w:rPr>
        <w:t xml:space="preserve">approached and </w:t>
      </w:r>
      <w:r w:rsidR="007272F8" w:rsidRPr="006C1485">
        <w:rPr>
          <w:rFonts w:ascii="Arial" w:hAnsi="Arial" w:cs="Arial"/>
        </w:rPr>
        <w:t>considered, Brand JA stated in</w:t>
      </w:r>
      <w:r w:rsidR="009123BE" w:rsidRPr="006C1485">
        <w:rPr>
          <w:rFonts w:ascii="Arial" w:hAnsi="Arial" w:cs="Arial"/>
        </w:rPr>
        <w:t xml:space="preserve"> </w:t>
      </w:r>
      <w:r w:rsidR="009123BE" w:rsidRPr="006C1485">
        <w:rPr>
          <w:rFonts w:ascii="Arial" w:hAnsi="Arial" w:cs="Arial"/>
          <w:i/>
        </w:rPr>
        <w:t>Tecmed v Nissho Iwai</w:t>
      </w:r>
      <w:r w:rsidR="009123BE" w:rsidRPr="003E1FF2">
        <w:rPr>
          <w:rStyle w:val="FootnoteReference"/>
          <w:rFonts w:ascii="Arial" w:hAnsi="Arial" w:cs="Arial"/>
        </w:rPr>
        <w:footnoteReference w:id="8"/>
      </w:r>
      <w:r w:rsidR="007272F8" w:rsidRPr="006C1485">
        <w:rPr>
          <w:rFonts w:ascii="Arial" w:hAnsi="Arial" w:cs="Arial"/>
        </w:rPr>
        <w:t xml:space="preserve"> </w:t>
      </w:r>
      <w:r w:rsidR="009123BE" w:rsidRPr="006C1485">
        <w:rPr>
          <w:rFonts w:ascii="Arial" w:hAnsi="Arial" w:cs="Arial"/>
        </w:rPr>
        <w:t>that:</w:t>
      </w:r>
    </w:p>
    <w:p w14:paraId="045C181B" w14:textId="77777777" w:rsidR="003E1FF2" w:rsidRDefault="003E1FF2" w:rsidP="006E5C23">
      <w:pPr>
        <w:pStyle w:val="ListParagraph"/>
        <w:spacing w:line="360" w:lineRule="auto"/>
        <w:ind w:left="0"/>
        <w:jc w:val="both"/>
        <w:rPr>
          <w:rFonts w:ascii="Arial" w:hAnsi="Arial" w:cs="Arial"/>
        </w:rPr>
      </w:pPr>
      <w:r w:rsidRPr="009123BE">
        <w:rPr>
          <w:rFonts w:ascii="Arial" w:hAnsi="Arial" w:cs="Arial"/>
        </w:rPr>
        <w:t>‘</w:t>
      </w:r>
      <w:r w:rsidR="006E5C23" w:rsidRPr="006E5C23">
        <w:rPr>
          <w:rFonts w:ascii="Arial" w:hAnsi="Arial" w:cs="Arial"/>
          <w:lang w:val="en-US"/>
        </w:rPr>
        <w:t xml:space="preserve">The settled approach to matters of this kind follows the considerations in applications for amendments of pleadings. Broadly stated, it means that, in the absence of any prejudice to </w:t>
      </w:r>
      <w:r w:rsidR="006E5C23" w:rsidRPr="006E5C23">
        <w:rPr>
          <w:rFonts w:ascii="Arial" w:hAnsi="Arial" w:cs="Arial"/>
          <w:lang w:val="en-US"/>
        </w:rPr>
        <w:lastRenderedPageBreak/>
        <w:t>the other side, these applications are usually granted . . . As is pointed out in </w:t>
      </w:r>
      <w:r w:rsidR="006E5C23" w:rsidRPr="006E5C23">
        <w:rPr>
          <w:rFonts w:ascii="Arial" w:hAnsi="Arial" w:cs="Arial"/>
          <w:i/>
          <w:iCs/>
          <w:lang w:val="en-US"/>
        </w:rPr>
        <w:t>Devonia Shipping</w:t>
      </w:r>
      <w:r w:rsidR="006E5C23" w:rsidRPr="006E5C23">
        <w:rPr>
          <w:rFonts w:ascii="Arial" w:hAnsi="Arial" w:cs="Arial"/>
          <w:lang w:val="en-US"/>
        </w:rPr>
        <w:t> at 369H, the risk of prejudice will usually be less in the case where the correct party has been incorrectly named and the amendment is sought to correct the misnomer, than in the case where it is sought to substitute a different party. But the criterion remains the same: will the substitution cause prejudice to the other side, which cannot be remedied by an order for costs or some other suitable order, such as a postponement?</w:t>
      </w:r>
      <w:r w:rsidR="001753F7" w:rsidRPr="009123BE">
        <w:rPr>
          <w:rFonts w:ascii="Arial" w:hAnsi="Arial" w:cs="Arial"/>
        </w:rPr>
        <w:t>’</w:t>
      </w:r>
    </w:p>
    <w:p w14:paraId="5C156FCA" w14:textId="77777777" w:rsidR="001753F7" w:rsidRPr="001753F7" w:rsidRDefault="001753F7" w:rsidP="00531894">
      <w:pPr>
        <w:pStyle w:val="ListParagraph"/>
        <w:tabs>
          <w:tab w:val="left" w:pos="709"/>
        </w:tabs>
        <w:spacing w:after="0" w:line="360" w:lineRule="auto"/>
        <w:ind w:left="0"/>
        <w:jc w:val="both"/>
        <w:rPr>
          <w:rFonts w:ascii="Arial" w:hAnsi="Arial" w:cs="Arial"/>
        </w:rPr>
      </w:pPr>
    </w:p>
    <w:p w14:paraId="3D6E8A20" w14:textId="3CA3EBD5" w:rsidR="0023193F" w:rsidRPr="006C1485" w:rsidRDefault="006C1485" w:rsidP="006C1485">
      <w:pPr>
        <w:tabs>
          <w:tab w:val="left" w:pos="709"/>
        </w:tabs>
        <w:spacing w:line="360" w:lineRule="auto"/>
        <w:jc w:val="both"/>
        <w:rPr>
          <w:rFonts w:asciiTheme="minorBidi" w:hAnsiTheme="minorBidi"/>
        </w:rPr>
      </w:pPr>
      <w:r>
        <w:rPr>
          <w:rFonts w:ascii="Arial" w:eastAsiaTheme="minorHAnsi" w:hAnsi="Arial" w:cs="Arial"/>
          <w:bCs/>
          <w:lang w:val="en-GB" w:eastAsia="en-US" w:bidi="ar-SA"/>
        </w:rPr>
        <w:t>[24]</w:t>
      </w:r>
      <w:r>
        <w:rPr>
          <w:rFonts w:ascii="Arial" w:eastAsiaTheme="minorHAnsi" w:hAnsi="Arial" w:cs="Arial"/>
          <w:bCs/>
          <w:lang w:val="en-GB" w:eastAsia="en-US" w:bidi="ar-SA"/>
        </w:rPr>
        <w:tab/>
      </w:r>
      <w:r w:rsidR="0023193F" w:rsidRPr="006C1485">
        <w:rPr>
          <w:rFonts w:asciiTheme="minorBidi" w:hAnsiTheme="minorBidi"/>
        </w:rPr>
        <w:t>Continuing, Brand JA went on to state that:</w:t>
      </w:r>
    </w:p>
    <w:p w14:paraId="54B5BD1F" w14:textId="77777777" w:rsidR="0023193F" w:rsidRDefault="0023193F" w:rsidP="00531894">
      <w:pPr>
        <w:pStyle w:val="ListParagraph"/>
        <w:tabs>
          <w:tab w:val="left" w:pos="709"/>
        </w:tabs>
        <w:spacing w:after="0" w:line="360" w:lineRule="auto"/>
        <w:ind w:left="0"/>
        <w:jc w:val="both"/>
        <w:rPr>
          <w:rFonts w:asciiTheme="minorBidi" w:hAnsiTheme="minorBidi"/>
        </w:rPr>
      </w:pPr>
      <w:r w:rsidRPr="00645445">
        <w:rPr>
          <w:rFonts w:asciiTheme="minorBidi" w:hAnsiTheme="minorBidi"/>
        </w:rPr>
        <w:t xml:space="preserve">‘… the legal effect of a cession after </w:t>
      </w:r>
      <w:r w:rsidRPr="00645445">
        <w:rPr>
          <w:rFonts w:asciiTheme="minorBidi" w:hAnsiTheme="minorBidi"/>
          <w:i/>
        </w:rPr>
        <w:t>litis contestatio</w:t>
      </w:r>
      <w:r w:rsidRPr="00645445">
        <w:rPr>
          <w:rFonts w:asciiTheme="minorBidi" w:hAnsiTheme="minorBidi"/>
        </w:rPr>
        <w:t xml:space="preserve"> is to terminate the proceedings </w:t>
      </w:r>
      <w:r w:rsidR="00645445" w:rsidRPr="00645445">
        <w:rPr>
          <w:rFonts w:asciiTheme="minorBidi" w:hAnsiTheme="minorBidi"/>
        </w:rPr>
        <w:t xml:space="preserve">instituted by the cedent, with the corollary that the substitution of </w:t>
      </w:r>
      <w:r w:rsidR="00340A3B">
        <w:rPr>
          <w:rFonts w:asciiTheme="minorBidi" w:hAnsiTheme="minorBidi"/>
        </w:rPr>
        <w:t xml:space="preserve">the </w:t>
      </w:r>
      <w:r w:rsidR="00645445" w:rsidRPr="00645445">
        <w:rPr>
          <w:rFonts w:asciiTheme="minorBidi" w:hAnsiTheme="minorBidi"/>
        </w:rPr>
        <w:t>cessionary as the plaintiff must be regarded as the institution of new proceedings.’</w:t>
      </w:r>
      <w:r w:rsidR="00645445">
        <w:rPr>
          <w:rStyle w:val="FootnoteReference"/>
          <w:rFonts w:asciiTheme="minorBidi" w:hAnsiTheme="minorBidi"/>
        </w:rPr>
        <w:footnoteReference w:id="9"/>
      </w:r>
    </w:p>
    <w:p w14:paraId="5B2543BF" w14:textId="77777777" w:rsidR="00531894" w:rsidRPr="00531894" w:rsidRDefault="00531894" w:rsidP="00531894">
      <w:pPr>
        <w:pStyle w:val="ListParagraph"/>
        <w:spacing w:after="0" w:line="360" w:lineRule="auto"/>
        <w:rPr>
          <w:rFonts w:ascii="Arial" w:hAnsi="Arial" w:cs="Arial"/>
          <w:sz w:val="24"/>
          <w:szCs w:val="24"/>
        </w:rPr>
      </w:pPr>
    </w:p>
    <w:p w14:paraId="3FA4EF65" w14:textId="6BC24C0A" w:rsidR="00902186" w:rsidRPr="006C1485" w:rsidRDefault="006C1485" w:rsidP="006C1485">
      <w:pPr>
        <w:tabs>
          <w:tab w:val="left" w:pos="709"/>
        </w:tabs>
        <w:spacing w:line="360" w:lineRule="auto"/>
        <w:jc w:val="both"/>
        <w:rPr>
          <w:rStyle w:val="apple-converted-space"/>
        </w:rPr>
      </w:pPr>
      <w:r w:rsidRPr="00BD0932">
        <w:rPr>
          <w:rStyle w:val="apple-converted-space"/>
          <w:rFonts w:ascii="Arial" w:eastAsiaTheme="minorHAnsi" w:hAnsi="Arial" w:cs="Arial"/>
          <w:bCs/>
          <w:szCs w:val="22"/>
          <w:lang w:val="en-GB" w:eastAsia="en-US" w:bidi="ar-SA"/>
        </w:rPr>
        <w:t>[25]</w:t>
      </w:r>
      <w:r w:rsidRPr="00BD0932">
        <w:rPr>
          <w:rStyle w:val="apple-converted-space"/>
          <w:rFonts w:ascii="Arial" w:eastAsiaTheme="minorHAnsi" w:hAnsi="Arial" w:cs="Arial"/>
          <w:bCs/>
          <w:szCs w:val="22"/>
          <w:lang w:val="en-GB" w:eastAsia="en-US" w:bidi="ar-SA"/>
        </w:rPr>
        <w:tab/>
      </w:r>
      <w:r w:rsidR="00531894" w:rsidRPr="006C1485">
        <w:rPr>
          <w:rFonts w:asciiTheme="minorBidi" w:hAnsiTheme="minorBidi"/>
          <w:color w:val="242121"/>
        </w:rPr>
        <w:t xml:space="preserve">The applicant did not deliver a notice in terms of Uniform </w:t>
      </w:r>
      <w:r w:rsidR="006E5C23" w:rsidRPr="006C1485">
        <w:rPr>
          <w:rFonts w:asciiTheme="minorBidi" w:hAnsiTheme="minorBidi"/>
          <w:color w:val="242121"/>
        </w:rPr>
        <w:t>r</w:t>
      </w:r>
      <w:r w:rsidR="00531894" w:rsidRPr="006C1485">
        <w:rPr>
          <w:rFonts w:asciiTheme="minorBidi" w:hAnsiTheme="minorBidi"/>
          <w:color w:val="242121"/>
        </w:rPr>
        <w:t xml:space="preserve">ule 15 but delivered only the application upon which I am required to adjudicate which means, following </w:t>
      </w:r>
      <w:r w:rsidR="00531894" w:rsidRPr="006C1485">
        <w:rPr>
          <w:rFonts w:asciiTheme="minorBidi" w:hAnsiTheme="minorBidi"/>
          <w:i/>
          <w:iCs/>
          <w:color w:val="242121"/>
        </w:rPr>
        <w:t>Tecmed</w:t>
      </w:r>
      <w:r w:rsidR="00531894" w:rsidRPr="006C1485">
        <w:rPr>
          <w:rFonts w:asciiTheme="minorBidi" w:hAnsiTheme="minorBidi"/>
          <w:color w:val="242121"/>
        </w:rPr>
        <w:t>, it</w:t>
      </w:r>
      <w:r w:rsidR="00902186" w:rsidRPr="006C1485">
        <w:rPr>
          <w:rFonts w:asciiTheme="minorBidi" w:hAnsiTheme="minorBidi"/>
          <w:color w:val="242121"/>
          <w:lang w:val="en-US"/>
        </w:rPr>
        <w:t xml:space="preserve"> is to be considered on a wide basis, which includes the grounds mentioned in </w:t>
      </w:r>
      <w:r w:rsidR="006E5C23" w:rsidRPr="006C1485">
        <w:rPr>
          <w:rFonts w:asciiTheme="minorBidi" w:hAnsiTheme="minorBidi"/>
          <w:color w:val="242121"/>
          <w:lang w:val="en-US"/>
        </w:rPr>
        <w:t>r</w:t>
      </w:r>
      <w:r w:rsidR="00902186" w:rsidRPr="006C1485">
        <w:rPr>
          <w:rFonts w:asciiTheme="minorBidi" w:hAnsiTheme="minorBidi"/>
          <w:color w:val="242121"/>
          <w:lang w:val="en-US"/>
        </w:rPr>
        <w:t xml:space="preserve">ule 15(3), and broadly </w:t>
      </w:r>
      <w:r w:rsidR="004F389A" w:rsidRPr="006C1485">
        <w:rPr>
          <w:rFonts w:asciiTheme="minorBidi" w:hAnsiTheme="minorBidi"/>
          <w:color w:val="242121"/>
          <w:lang w:val="en-US"/>
        </w:rPr>
        <w:t>considers</w:t>
      </w:r>
      <w:r w:rsidR="00902186" w:rsidRPr="006C1485">
        <w:rPr>
          <w:rFonts w:asciiTheme="minorBidi" w:hAnsiTheme="minorBidi"/>
          <w:color w:val="242121"/>
          <w:lang w:val="en-US"/>
        </w:rPr>
        <w:t xml:space="preserve"> the presence or otherwise of prejudice.</w:t>
      </w:r>
      <w:r w:rsidR="00531894">
        <w:rPr>
          <w:rStyle w:val="FootnoteReference"/>
          <w:rFonts w:asciiTheme="minorBidi" w:hAnsiTheme="minorBidi"/>
          <w:color w:val="242121"/>
          <w:lang w:val="en-US"/>
        </w:rPr>
        <w:footnoteReference w:id="10"/>
      </w:r>
      <w:r w:rsidR="00902186" w:rsidRPr="006C1485">
        <w:rPr>
          <w:rStyle w:val="apple-converted-space"/>
          <w:rFonts w:asciiTheme="minorBidi" w:hAnsiTheme="minorBidi"/>
          <w:color w:val="242121"/>
        </w:rPr>
        <w:t> </w:t>
      </w:r>
    </w:p>
    <w:p w14:paraId="3580DCF2" w14:textId="77777777" w:rsidR="00BD0932" w:rsidRDefault="00BD0932" w:rsidP="00BD0932">
      <w:pPr>
        <w:pStyle w:val="ListParagraph"/>
        <w:tabs>
          <w:tab w:val="left" w:pos="709"/>
        </w:tabs>
        <w:spacing w:after="0" w:line="360" w:lineRule="auto"/>
        <w:ind w:left="0"/>
        <w:jc w:val="both"/>
        <w:rPr>
          <w:rStyle w:val="apple-converted-space"/>
          <w:rFonts w:asciiTheme="minorBidi" w:hAnsiTheme="minorBidi"/>
          <w:color w:val="242121"/>
          <w:sz w:val="24"/>
          <w:szCs w:val="24"/>
        </w:rPr>
      </w:pPr>
    </w:p>
    <w:p w14:paraId="2BA8EEEE" w14:textId="77777777" w:rsidR="00BD0932" w:rsidRPr="00BD0932" w:rsidRDefault="00BD0932" w:rsidP="00BD0932">
      <w:pPr>
        <w:pStyle w:val="ListParagraph"/>
        <w:tabs>
          <w:tab w:val="left" w:pos="709"/>
        </w:tabs>
        <w:spacing w:after="0" w:line="360" w:lineRule="auto"/>
        <w:ind w:left="0"/>
        <w:jc w:val="both"/>
        <w:rPr>
          <w:rStyle w:val="apple-converted-space"/>
          <w:rFonts w:ascii="Times New Roman" w:hAnsi="Times New Roman"/>
          <w:b/>
          <w:bCs/>
        </w:rPr>
      </w:pPr>
      <w:r w:rsidRPr="00BD0932">
        <w:rPr>
          <w:rStyle w:val="apple-converted-space"/>
          <w:rFonts w:asciiTheme="minorBidi" w:hAnsiTheme="minorBidi"/>
          <w:b/>
          <w:bCs/>
          <w:color w:val="242121"/>
          <w:sz w:val="24"/>
          <w:szCs w:val="24"/>
        </w:rPr>
        <w:t>The issues</w:t>
      </w:r>
    </w:p>
    <w:p w14:paraId="0AE2F116" w14:textId="5EF0BB76" w:rsidR="00BD0932" w:rsidRPr="006C1485" w:rsidRDefault="006C1485" w:rsidP="006C1485">
      <w:pPr>
        <w:tabs>
          <w:tab w:val="left" w:pos="709"/>
        </w:tabs>
        <w:spacing w:line="360" w:lineRule="auto"/>
        <w:jc w:val="both"/>
        <w:rPr>
          <w:rFonts w:asciiTheme="minorBidi" w:hAnsiTheme="minorBidi"/>
        </w:rPr>
      </w:pPr>
      <w:r>
        <w:rPr>
          <w:rFonts w:ascii="Arial" w:eastAsiaTheme="minorHAnsi" w:hAnsi="Arial" w:cs="Arial"/>
          <w:bCs/>
          <w:lang w:val="en-GB" w:eastAsia="en-US" w:bidi="ar-SA"/>
        </w:rPr>
        <w:t>[26]</w:t>
      </w:r>
      <w:r>
        <w:rPr>
          <w:rFonts w:ascii="Arial" w:eastAsiaTheme="minorHAnsi" w:hAnsi="Arial" w:cs="Arial"/>
          <w:bCs/>
          <w:lang w:val="en-GB" w:eastAsia="en-US" w:bidi="ar-SA"/>
        </w:rPr>
        <w:tab/>
      </w:r>
      <w:r w:rsidR="004F389A" w:rsidRPr="006C1485">
        <w:rPr>
          <w:rFonts w:asciiTheme="minorBidi" w:hAnsiTheme="minorBidi"/>
        </w:rPr>
        <w:t xml:space="preserve">I was presented with a joint list of issues shortly before the matter was heard. I </w:t>
      </w:r>
    </w:p>
    <w:p w14:paraId="3F479D8D" w14:textId="77777777" w:rsidR="000F050D" w:rsidRDefault="004F389A" w:rsidP="00E260AB">
      <w:pPr>
        <w:pStyle w:val="ListParagraph"/>
        <w:tabs>
          <w:tab w:val="left" w:pos="709"/>
        </w:tabs>
        <w:spacing w:after="0" w:line="360" w:lineRule="auto"/>
        <w:ind w:left="0"/>
        <w:jc w:val="both"/>
        <w:rPr>
          <w:rFonts w:asciiTheme="minorBidi" w:hAnsiTheme="minorBidi"/>
          <w:sz w:val="24"/>
          <w:szCs w:val="24"/>
        </w:rPr>
      </w:pPr>
      <w:r w:rsidRPr="00281861">
        <w:rPr>
          <w:rFonts w:asciiTheme="minorBidi" w:hAnsiTheme="minorBidi"/>
          <w:sz w:val="24"/>
          <w:szCs w:val="24"/>
        </w:rPr>
        <w:t xml:space="preserve">am indebted to counsel for compiling it. </w:t>
      </w:r>
      <w:r w:rsidR="002F33C2" w:rsidRPr="00281861">
        <w:rPr>
          <w:rFonts w:asciiTheme="minorBidi" w:hAnsiTheme="minorBidi"/>
          <w:sz w:val="24"/>
          <w:szCs w:val="24"/>
        </w:rPr>
        <w:t xml:space="preserve">Six issues are mentioned </w:t>
      </w:r>
      <w:r w:rsidR="000F050D" w:rsidRPr="00281861">
        <w:rPr>
          <w:rFonts w:asciiTheme="minorBidi" w:hAnsiTheme="minorBidi"/>
          <w:sz w:val="24"/>
          <w:szCs w:val="24"/>
        </w:rPr>
        <w:t>in that list as requiring determination</w:t>
      </w:r>
      <w:r w:rsidR="00D81DDD">
        <w:rPr>
          <w:rFonts w:asciiTheme="minorBidi" w:hAnsiTheme="minorBidi"/>
          <w:sz w:val="24"/>
          <w:szCs w:val="24"/>
        </w:rPr>
        <w:t xml:space="preserve"> and</w:t>
      </w:r>
      <w:r w:rsidR="00E260AB">
        <w:rPr>
          <w:rFonts w:asciiTheme="minorBidi" w:hAnsiTheme="minorBidi"/>
          <w:sz w:val="24"/>
          <w:szCs w:val="24"/>
        </w:rPr>
        <w:t xml:space="preserve"> I shall </w:t>
      </w:r>
      <w:r w:rsidR="00463B01">
        <w:rPr>
          <w:rFonts w:asciiTheme="minorBidi" w:hAnsiTheme="minorBidi"/>
          <w:sz w:val="24"/>
          <w:szCs w:val="24"/>
        </w:rPr>
        <w:t xml:space="preserve">now </w:t>
      </w:r>
      <w:r w:rsidR="00E260AB">
        <w:rPr>
          <w:rFonts w:asciiTheme="minorBidi" w:hAnsiTheme="minorBidi"/>
          <w:sz w:val="24"/>
          <w:szCs w:val="24"/>
        </w:rPr>
        <w:t>consider each of th</w:t>
      </w:r>
      <w:r w:rsidR="00463B01">
        <w:rPr>
          <w:rFonts w:asciiTheme="minorBidi" w:hAnsiTheme="minorBidi"/>
          <w:sz w:val="24"/>
          <w:szCs w:val="24"/>
        </w:rPr>
        <w:t>os</w:t>
      </w:r>
      <w:r w:rsidR="00E260AB">
        <w:rPr>
          <w:rFonts w:asciiTheme="minorBidi" w:hAnsiTheme="minorBidi"/>
          <w:sz w:val="24"/>
          <w:szCs w:val="24"/>
        </w:rPr>
        <w:t>e issues.</w:t>
      </w:r>
    </w:p>
    <w:p w14:paraId="39740BC8" w14:textId="77777777" w:rsidR="00281861" w:rsidRDefault="00281861" w:rsidP="00281861">
      <w:pPr>
        <w:pStyle w:val="ListParagraph"/>
        <w:tabs>
          <w:tab w:val="left" w:pos="709"/>
        </w:tabs>
        <w:spacing w:after="0" w:line="360" w:lineRule="auto"/>
        <w:ind w:left="0"/>
        <w:jc w:val="both"/>
        <w:rPr>
          <w:rFonts w:asciiTheme="minorBidi" w:hAnsiTheme="minorBidi"/>
          <w:sz w:val="24"/>
          <w:szCs w:val="24"/>
        </w:rPr>
      </w:pPr>
    </w:p>
    <w:p w14:paraId="33F4BE2A" w14:textId="77777777" w:rsidR="00BD0932" w:rsidRPr="00053669" w:rsidRDefault="00BD0932" w:rsidP="00281861">
      <w:pPr>
        <w:pStyle w:val="ListParagraph"/>
        <w:tabs>
          <w:tab w:val="left" w:pos="709"/>
        </w:tabs>
        <w:spacing w:after="0" w:line="360" w:lineRule="auto"/>
        <w:ind w:left="0"/>
        <w:jc w:val="both"/>
        <w:rPr>
          <w:rFonts w:asciiTheme="minorBidi" w:hAnsiTheme="minorBidi"/>
          <w:b/>
          <w:bCs/>
          <w:i/>
          <w:sz w:val="24"/>
          <w:szCs w:val="24"/>
        </w:rPr>
      </w:pPr>
      <w:r w:rsidRPr="00053669">
        <w:rPr>
          <w:rFonts w:asciiTheme="minorBidi" w:hAnsiTheme="minorBidi"/>
          <w:b/>
          <w:bCs/>
          <w:i/>
          <w:sz w:val="24"/>
          <w:szCs w:val="24"/>
        </w:rPr>
        <w:t>The first issue</w:t>
      </w:r>
      <w:r w:rsidR="00E260AB" w:rsidRPr="00053669">
        <w:rPr>
          <w:rFonts w:asciiTheme="minorBidi" w:hAnsiTheme="minorBidi"/>
          <w:b/>
          <w:bCs/>
          <w:i/>
          <w:sz w:val="24"/>
          <w:szCs w:val="24"/>
        </w:rPr>
        <w:t>: whether the applicant’s supplementary affidavit ought to be admitted into evidence</w:t>
      </w:r>
    </w:p>
    <w:p w14:paraId="4F30282D" w14:textId="7983457A" w:rsidR="00F34DF9" w:rsidRPr="006C1485" w:rsidRDefault="006C1485" w:rsidP="006C1485">
      <w:pPr>
        <w:tabs>
          <w:tab w:val="left" w:pos="709"/>
        </w:tabs>
        <w:spacing w:line="360" w:lineRule="auto"/>
        <w:jc w:val="both"/>
        <w:rPr>
          <w:rFonts w:asciiTheme="minorBidi" w:hAnsiTheme="minorBidi"/>
        </w:rPr>
      </w:pPr>
      <w:r>
        <w:rPr>
          <w:rFonts w:ascii="Arial" w:eastAsiaTheme="minorHAnsi" w:hAnsi="Arial" w:cs="Arial"/>
          <w:bCs/>
          <w:lang w:val="en-GB" w:eastAsia="en-US" w:bidi="ar-SA"/>
        </w:rPr>
        <w:t>[27]</w:t>
      </w:r>
      <w:r>
        <w:rPr>
          <w:rFonts w:ascii="Arial" w:eastAsiaTheme="minorHAnsi" w:hAnsi="Arial" w:cs="Arial"/>
          <w:bCs/>
          <w:lang w:val="en-GB" w:eastAsia="en-US" w:bidi="ar-SA"/>
        </w:rPr>
        <w:tab/>
      </w:r>
      <w:r w:rsidR="0046774F" w:rsidRPr="006C1485">
        <w:rPr>
          <w:rFonts w:asciiTheme="minorBidi" w:hAnsiTheme="minorBidi"/>
        </w:rPr>
        <w:t>Th</w:t>
      </w:r>
      <w:r w:rsidR="000F050D" w:rsidRPr="006C1485">
        <w:rPr>
          <w:rFonts w:asciiTheme="minorBidi" w:hAnsiTheme="minorBidi"/>
        </w:rPr>
        <w:t xml:space="preserve">e </w:t>
      </w:r>
      <w:r w:rsidR="006B27FF" w:rsidRPr="006C1485">
        <w:rPr>
          <w:rFonts w:asciiTheme="minorBidi" w:hAnsiTheme="minorBidi"/>
        </w:rPr>
        <w:t xml:space="preserve">parties seek a ruling on </w:t>
      </w:r>
      <w:r w:rsidR="004F26D9" w:rsidRPr="006C1485">
        <w:rPr>
          <w:rFonts w:asciiTheme="minorBidi" w:hAnsiTheme="minorBidi"/>
        </w:rPr>
        <w:t xml:space="preserve">the admissibility of </w:t>
      </w:r>
      <w:r w:rsidR="00876D09" w:rsidRPr="006C1485">
        <w:rPr>
          <w:rFonts w:asciiTheme="minorBidi" w:hAnsiTheme="minorBidi"/>
        </w:rPr>
        <w:t>the</w:t>
      </w:r>
      <w:r w:rsidR="004F26D9" w:rsidRPr="006C1485">
        <w:rPr>
          <w:rFonts w:asciiTheme="minorBidi" w:hAnsiTheme="minorBidi"/>
        </w:rPr>
        <w:t xml:space="preserve"> supplementary affidavit delivered by the applicant on </w:t>
      </w:r>
      <w:r w:rsidR="00F34DF9" w:rsidRPr="006C1485">
        <w:rPr>
          <w:rFonts w:asciiTheme="minorBidi" w:hAnsiTheme="minorBidi"/>
        </w:rPr>
        <w:t xml:space="preserve">28 July 2023, </w:t>
      </w:r>
      <w:r w:rsidR="00876D09" w:rsidRPr="006C1485">
        <w:rPr>
          <w:rFonts w:asciiTheme="minorBidi" w:hAnsiTheme="minorBidi"/>
        </w:rPr>
        <w:t xml:space="preserve">in which </w:t>
      </w:r>
      <w:r w:rsidR="00F34DF9" w:rsidRPr="006C1485">
        <w:rPr>
          <w:rFonts w:asciiTheme="minorBidi" w:hAnsiTheme="minorBidi"/>
        </w:rPr>
        <w:t>it was</w:t>
      </w:r>
      <w:r w:rsidR="00876D09" w:rsidRPr="006C1485">
        <w:rPr>
          <w:rFonts w:asciiTheme="minorBidi" w:hAnsiTheme="minorBidi"/>
        </w:rPr>
        <w:t xml:space="preserve"> reported that she had put up the security fixed by the </w:t>
      </w:r>
      <w:r w:rsidR="006E5C23" w:rsidRPr="006C1485">
        <w:rPr>
          <w:rFonts w:asciiTheme="minorBidi" w:hAnsiTheme="minorBidi"/>
        </w:rPr>
        <w:t>r</w:t>
      </w:r>
      <w:r w:rsidR="00876D09" w:rsidRPr="006C1485">
        <w:rPr>
          <w:rFonts w:asciiTheme="minorBidi" w:hAnsiTheme="minorBidi"/>
        </w:rPr>
        <w:t>egistrar</w:t>
      </w:r>
      <w:r w:rsidR="00F34DF9" w:rsidRPr="006C1485">
        <w:rPr>
          <w:rFonts w:asciiTheme="minorBidi" w:hAnsiTheme="minorBidi"/>
        </w:rPr>
        <w:t xml:space="preserve"> in 2011</w:t>
      </w:r>
      <w:r w:rsidR="00876D09" w:rsidRPr="006C1485">
        <w:rPr>
          <w:rFonts w:asciiTheme="minorBidi" w:hAnsiTheme="minorBidi"/>
        </w:rPr>
        <w:t>.</w:t>
      </w:r>
      <w:r w:rsidR="004F26D9" w:rsidRPr="006C1485">
        <w:rPr>
          <w:rFonts w:asciiTheme="minorBidi" w:hAnsiTheme="minorBidi"/>
        </w:rPr>
        <w:t xml:space="preserve"> </w:t>
      </w:r>
    </w:p>
    <w:p w14:paraId="058214CD" w14:textId="77777777" w:rsidR="00F34DF9" w:rsidRDefault="00F34DF9" w:rsidP="00F34DF9">
      <w:pPr>
        <w:pStyle w:val="ListParagraph"/>
        <w:tabs>
          <w:tab w:val="left" w:pos="709"/>
        </w:tabs>
        <w:spacing w:after="0" w:line="360" w:lineRule="auto"/>
        <w:ind w:left="0"/>
        <w:jc w:val="both"/>
        <w:rPr>
          <w:rFonts w:asciiTheme="minorBidi" w:hAnsiTheme="minorBidi"/>
          <w:sz w:val="24"/>
          <w:szCs w:val="24"/>
        </w:rPr>
      </w:pPr>
    </w:p>
    <w:p w14:paraId="6A64B6C4" w14:textId="1CF96AD9" w:rsidR="00876D09" w:rsidRPr="006C1485" w:rsidRDefault="006C1485" w:rsidP="006C1485">
      <w:pPr>
        <w:tabs>
          <w:tab w:val="left" w:pos="709"/>
        </w:tabs>
        <w:spacing w:line="360" w:lineRule="auto"/>
        <w:jc w:val="both"/>
        <w:rPr>
          <w:rFonts w:asciiTheme="minorBidi" w:hAnsiTheme="minorBidi"/>
        </w:rPr>
      </w:pPr>
      <w:r>
        <w:rPr>
          <w:rFonts w:ascii="Arial" w:eastAsiaTheme="minorHAnsi" w:hAnsi="Arial" w:cs="Arial"/>
          <w:bCs/>
          <w:lang w:val="en-GB" w:eastAsia="en-US" w:bidi="ar-SA"/>
        </w:rPr>
        <w:t>[28]</w:t>
      </w:r>
      <w:r>
        <w:rPr>
          <w:rFonts w:ascii="Arial" w:eastAsiaTheme="minorHAnsi" w:hAnsi="Arial" w:cs="Arial"/>
          <w:bCs/>
          <w:lang w:val="en-GB" w:eastAsia="en-US" w:bidi="ar-SA"/>
        </w:rPr>
        <w:tab/>
      </w:r>
      <w:r w:rsidR="004F26D9" w:rsidRPr="006C1485">
        <w:rPr>
          <w:rFonts w:asciiTheme="minorBidi" w:hAnsiTheme="minorBidi"/>
        </w:rPr>
        <w:t xml:space="preserve">In that supplementary affidavit, </w:t>
      </w:r>
      <w:r w:rsidR="00D81DDD" w:rsidRPr="006C1485">
        <w:rPr>
          <w:rFonts w:asciiTheme="minorBidi" w:hAnsiTheme="minorBidi"/>
        </w:rPr>
        <w:t xml:space="preserve">deposed to by the applicant’s current attorney, it is </w:t>
      </w:r>
      <w:r w:rsidR="004F26D9" w:rsidRPr="006C1485">
        <w:rPr>
          <w:rFonts w:asciiTheme="minorBidi" w:hAnsiTheme="minorBidi"/>
        </w:rPr>
        <w:t>disclose</w:t>
      </w:r>
      <w:r w:rsidR="00D81DDD" w:rsidRPr="006C1485">
        <w:rPr>
          <w:rFonts w:asciiTheme="minorBidi" w:hAnsiTheme="minorBidi"/>
        </w:rPr>
        <w:t>d</w:t>
      </w:r>
      <w:r w:rsidR="004F26D9" w:rsidRPr="006C1485">
        <w:rPr>
          <w:rFonts w:asciiTheme="minorBidi" w:hAnsiTheme="minorBidi"/>
        </w:rPr>
        <w:t xml:space="preserve"> that she has </w:t>
      </w:r>
      <w:r w:rsidR="006B27FF" w:rsidRPr="006C1485">
        <w:rPr>
          <w:rFonts w:asciiTheme="minorBidi" w:hAnsiTheme="minorBidi"/>
        </w:rPr>
        <w:t xml:space="preserve">paid an amount of </w:t>
      </w:r>
      <w:r w:rsidR="00F34DF9" w:rsidRPr="006C1485">
        <w:rPr>
          <w:rFonts w:asciiTheme="minorBidi" w:hAnsiTheme="minorBidi"/>
        </w:rPr>
        <w:t xml:space="preserve">approximately </w:t>
      </w:r>
      <w:r w:rsidR="006B27FF" w:rsidRPr="006C1485">
        <w:rPr>
          <w:rFonts w:asciiTheme="minorBidi" w:hAnsiTheme="minorBidi"/>
        </w:rPr>
        <w:t>R4</w:t>
      </w:r>
      <w:r w:rsidR="00F34DF9" w:rsidRPr="006C1485">
        <w:rPr>
          <w:rFonts w:asciiTheme="minorBidi" w:hAnsiTheme="minorBidi"/>
        </w:rPr>
        <w:t>2</w:t>
      </w:r>
      <w:r w:rsidR="006B27FF" w:rsidRPr="006C1485">
        <w:rPr>
          <w:rFonts w:asciiTheme="minorBidi" w:hAnsiTheme="minorBidi"/>
        </w:rPr>
        <w:t xml:space="preserve">0 000 into </w:t>
      </w:r>
      <w:r w:rsidR="00D81DDD" w:rsidRPr="006C1485">
        <w:rPr>
          <w:rFonts w:asciiTheme="minorBidi" w:hAnsiTheme="minorBidi"/>
        </w:rPr>
        <w:t>her attorney’s</w:t>
      </w:r>
      <w:r w:rsidR="006B27FF" w:rsidRPr="006C1485">
        <w:rPr>
          <w:rFonts w:asciiTheme="minorBidi" w:hAnsiTheme="minorBidi"/>
        </w:rPr>
        <w:t xml:space="preserve"> trust account</w:t>
      </w:r>
      <w:r w:rsidR="00F34DF9" w:rsidRPr="006C1485">
        <w:rPr>
          <w:rFonts w:asciiTheme="minorBidi" w:hAnsiTheme="minorBidi"/>
        </w:rPr>
        <w:t xml:space="preserve">, of which R400 000 is to be utilised in respect of the security </w:t>
      </w:r>
      <w:r w:rsidR="00D81DDD" w:rsidRPr="006C1485">
        <w:rPr>
          <w:rFonts w:asciiTheme="minorBidi" w:hAnsiTheme="minorBidi"/>
        </w:rPr>
        <w:t xml:space="preserve">previously </w:t>
      </w:r>
      <w:r w:rsidR="00F34DF9" w:rsidRPr="006C1485">
        <w:rPr>
          <w:rFonts w:asciiTheme="minorBidi" w:hAnsiTheme="minorBidi"/>
        </w:rPr>
        <w:t>ordered</w:t>
      </w:r>
      <w:r w:rsidR="006B27FF" w:rsidRPr="006C1485">
        <w:rPr>
          <w:rFonts w:asciiTheme="minorBidi" w:hAnsiTheme="minorBidi"/>
        </w:rPr>
        <w:t xml:space="preserve">. </w:t>
      </w:r>
      <w:r w:rsidR="005C5770" w:rsidRPr="006C1485">
        <w:rPr>
          <w:rFonts w:asciiTheme="minorBidi" w:hAnsiTheme="minorBidi"/>
        </w:rPr>
        <w:t>There is no order in place requiring her to put up that security</w:t>
      </w:r>
      <w:r w:rsidR="00D81DDD" w:rsidRPr="006C1485">
        <w:rPr>
          <w:rFonts w:asciiTheme="minorBidi" w:hAnsiTheme="minorBidi"/>
        </w:rPr>
        <w:t xml:space="preserve">: </w:t>
      </w:r>
      <w:r w:rsidR="00D81DDD" w:rsidRPr="006C1485">
        <w:rPr>
          <w:rFonts w:asciiTheme="minorBidi" w:hAnsiTheme="minorBidi"/>
        </w:rPr>
        <w:lastRenderedPageBreak/>
        <w:t>w</w:t>
      </w:r>
      <w:r w:rsidR="006B27FF" w:rsidRPr="006C1485">
        <w:rPr>
          <w:rFonts w:asciiTheme="minorBidi" w:hAnsiTheme="minorBidi"/>
        </w:rPr>
        <w:t xml:space="preserve">hat is in place is an order by the </w:t>
      </w:r>
      <w:r w:rsidR="006E5C23" w:rsidRPr="006C1485">
        <w:rPr>
          <w:rFonts w:asciiTheme="minorBidi" w:hAnsiTheme="minorBidi"/>
        </w:rPr>
        <w:t>r</w:t>
      </w:r>
      <w:r w:rsidR="006B27FF" w:rsidRPr="006C1485">
        <w:rPr>
          <w:rFonts w:asciiTheme="minorBidi" w:hAnsiTheme="minorBidi"/>
        </w:rPr>
        <w:t xml:space="preserve">egistrar directing Cotton King to deliver security in that amount. </w:t>
      </w:r>
    </w:p>
    <w:p w14:paraId="34C4632E" w14:textId="77777777" w:rsidR="00876D09" w:rsidRPr="00876D09" w:rsidRDefault="00876D09" w:rsidP="00BD0932">
      <w:pPr>
        <w:pStyle w:val="ListParagraph"/>
        <w:spacing w:line="360" w:lineRule="auto"/>
        <w:rPr>
          <w:rFonts w:asciiTheme="minorBidi" w:hAnsiTheme="minorBidi"/>
          <w:sz w:val="24"/>
          <w:szCs w:val="24"/>
        </w:rPr>
      </w:pPr>
    </w:p>
    <w:p w14:paraId="6D1DBDB7" w14:textId="48DAA71A" w:rsidR="00A56654" w:rsidRPr="006C1485" w:rsidRDefault="006C1485" w:rsidP="006C1485">
      <w:pPr>
        <w:tabs>
          <w:tab w:val="left" w:pos="709"/>
        </w:tabs>
        <w:spacing w:line="360" w:lineRule="auto"/>
        <w:jc w:val="both"/>
        <w:rPr>
          <w:rFonts w:asciiTheme="minorBidi" w:hAnsiTheme="minorBidi"/>
        </w:rPr>
      </w:pPr>
      <w:r>
        <w:rPr>
          <w:rFonts w:ascii="Arial" w:eastAsiaTheme="minorHAnsi" w:hAnsi="Arial" w:cs="Arial"/>
          <w:bCs/>
          <w:lang w:val="en-GB" w:eastAsia="en-US" w:bidi="ar-SA"/>
        </w:rPr>
        <w:t>[29]</w:t>
      </w:r>
      <w:r>
        <w:rPr>
          <w:rFonts w:ascii="Arial" w:eastAsiaTheme="minorHAnsi" w:hAnsi="Arial" w:cs="Arial"/>
          <w:bCs/>
          <w:lang w:val="en-GB" w:eastAsia="en-US" w:bidi="ar-SA"/>
        </w:rPr>
        <w:tab/>
      </w:r>
      <w:r w:rsidR="00876D09" w:rsidRPr="006C1485">
        <w:rPr>
          <w:rFonts w:asciiTheme="minorBidi" w:hAnsiTheme="minorBidi"/>
        </w:rPr>
        <w:t>I</w:t>
      </w:r>
      <w:r w:rsidR="00A56654" w:rsidRPr="006C1485">
        <w:rPr>
          <w:rFonts w:asciiTheme="minorBidi" w:hAnsiTheme="minorBidi"/>
        </w:rPr>
        <w:t>t will be</w:t>
      </w:r>
      <w:r w:rsidR="00876D09" w:rsidRPr="006C1485">
        <w:rPr>
          <w:rFonts w:asciiTheme="minorBidi" w:hAnsiTheme="minorBidi"/>
        </w:rPr>
        <w:t xml:space="preserve"> manifestly clear that </w:t>
      </w:r>
      <w:r w:rsidR="00A56654" w:rsidRPr="006C1485">
        <w:rPr>
          <w:rFonts w:asciiTheme="minorBidi" w:hAnsiTheme="minorBidi"/>
        </w:rPr>
        <w:t>t</w:t>
      </w:r>
      <w:r w:rsidR="00D56DE2" w:rsidRPr="006C1485">
        <w:rPr>
          <w:rFonts w:asciiTheme="minorBidi" w:hAnsiTheme="minorBidi"/>
        </w:rPr>
        <w:t xml:space="preserve">his </w:t>
      </w:r>
      <w:r w:rsidR="00F34DF9" w:rsidRPr="006C1485">
        <w:rPr>
          <w:rFonts w:asciiTheme="minorBidi" w:hAnsiTheme="minorBidi"/>
        </w:rPr>
        <w:t>application</w:t>
      </w:r>
      <w:r w:rsidR="00D56DE2" w:rsidRPr="006C1485">
        <w:rPr>
          <w:rFonts w:asciiTheme="minorBidi" w:hAnsiTheme="minorBidi"/>
        </w:rPr>
        <w:t xml:space="preserve"> has an unfortunately long history that has spanned a</w:t>
      </w:r>
      <w:r w:rsidR="001D29DF" w:rsidRPr="006C1485">
        <w:rPr>
          <w:rFonts w:asciiTheme="minorBidi" w:hAnsiTheme="minorBidi"/>
        </w:rPr>
        <w:t>t least a</w:t>
      </w:r>
      <w:r w:rsidR="00D56DE2" w:rsidRPr="006C1485">
        <w:rPr>
          <w:rFonts w:asciiTheme="minorBidi" w:hAnsiTheme="minorBidi"/>
        </w:rPr>
        <w:t xml:space="preserve"> decade. It seems to me likely that in that span of time things will happen of which the court will not be aware</w:t>
      </w:r>
      <w:r w:rsidR="0072109E" w:rsidRPr="006C1485">
        <w:rPr>
          <w:rFonts w:asciiTheme="minorBidi" w:hAnsiTheme="minorBidi"/>
        </w:rPr>
        <w:t xml:space="preserve"> but of which it should</w:t>
      </w:r>
      <w:r w:rsidR="00F34DF9" w:rsidRPr="006C1485">
        <w:rPr>
          <w:rFonts w:asciiTheme="minorBidi" w:hAnsiTheme="minorBidi"/>
        </w:rPr>
        <w:t>, perhaps,</w:t>
      </w:r>
      <w:r w:rsidR="0072109E" w:rsidRPr="006C1485">
        <w:rPr>
          <w:rFonts w:asciiTheme="minorBidi" w:hAnsiTheme="minorBidi"/>
        </w:rPr>
        <w:t xml:space="preserve"> be made aware</w:t>
      </w:r>
      <w:r w:rsidR="00D56DE2" w:rsidRPr="006C1485">
        <w:rPr>
          <w:rFonts w:asciiTheme="minorBidi" w:hAnsiTheme="minorBidi"/>
        </w:rPr>
        <w:t xml:space="preserve">. The supplementary affidavit is intended to </w:t>
      </w:r>
      <w:r w:rsidR="00D81DDD" w:rsidRPr="006C1485">
        <w:rPr>
          <w:rFonts w:asciiTheme="minorBidi" w:hAnsiTheme="minorBidi"/>
        </w:rPr>
        <w:t>fulfil that purpose</w:t>
      </w:r>
      <w:r w:rsidR="007C5CBF" w:rsidRPr="006C1485">
        <w:rPr>
          <w:rFonts w:asciiTheme="minorBidi" w:hAnsiTheme="minorBidi"/>
        </w:rPr>
        <w:t>.</w:t>
      </w:r>
      <w:r w:rsidR="00D56DE2" w:rsidRPr="006C1485">
        <w:rPr>
          <w:rFonts w:asciiTheme="minorBidi" w:hAnsiTheme="minorBidi"/>
        </w:rPr>
        <w:t xml:space="preserve"> </w:t>
      </w:r>
      <w:r w:rsidR="005C5770" w:rsidRPr="006C1485">
        <w:rPr>
          <w:rFonts w:asciiTheme="minorBidi" w:hAnsiTheme="minorBidi"/>
        </w:rPr>
        <w:t xml:space="preserve">Despite </w:t>
      </w:r>
      <w:r w:rsidR="00F34DF9" w:rsidRPr="006C1485">
        <w:rPr>
          <w:rFonts w:asciiTheme="minorBidi" w:hAnsiTheme="minorBidi"/>
        </w:rPr>
        <w:t>an indication in the supplementary affidavit that the applicant would not object to an answering affidavit being delivered by the defendant</w:t>
      </w:r>
      <w:r w:rsidR="007C5CBF" w:rsidRPr="006C1485">
        <w:rPr>
          <w:rFonts w:asciiTheme="minorBidi" w:hAnsiTheme="minorBidi"/>
        </w:rPr>
        <w:t xml:space="preserve"> dealing with </w:t>
      </w:r>
      <w:r w:rsidR="004C3BD6" w:rsidRPr="006C1485">
        <w:rPr>
          <w:rFonts w:asciiTheme="minorBidi" w:hAnsiTheme="minorBidi"/>
        </w:rPr>
        <w:t xml:space="preserve">the </w:t>
      </w:r>
      <w:r w:rsidR="007C5CBF" w:rsidRPr="006C1485">
        <w:rPr>
          <w:rFonts w:asciiTheme="minorBidi" w:hAnsiTheme="minorBidi"/>
        </w:rPr>
        <w:t>allegations raised in that</w:t>
      </w:r>
      <w:r w:rsidR="001D29DF" w:rsidRPr="006C1485">
        <w:rPr>
          <w:rFonts w:asciiTheme="minorBidi" w:hAnsiTheme="minorBidi"/>
        </w:rPr>
        <w:t xml:space="preserve"> supplementary</w:t>
      </w:r>
      <w:r w:rsidR="007C5CBF" w:rsidRPr="006C1485">
        <w:rPr>
          <w:rFonts w:asciiTheme="minorBidi" w:hAnsiTheme="minorBidi"/>
        </w:rPr>
        <w:t xml:space="preserve"> affidavit</w:t>
      </w:r>
      <w:r w:rsidR="00F34DF9" w:rsidRPr="006C1485">
        <w:rPr>
          <w:rFonts w:asciiTheme="minorBidi" w:hAnsiTheme="minorBidi"/>
        </w:rPr>
        <w:t xml:space="preserve">, no such </w:t>
      </w:r>
      <w:r w:rsidR="001B4804" w:rsidRPr="006C1485">
        <w:rPr>
          <w:rFonts w:asciiTheme="minorBidi" w:hAnsiTheme="minorBidi"/>
        </w:rPr>
        <w:t xml:space="preserve">answering </w:t>
      </w:r>
      <w:r w:rsidR="00F34DF9" w:rsidRPr="006C1485">
        <w:rPr>
          <w:rFonts w:asciiTheme="minorBidi" w:hAnsiTheme="minorBidi"/>
        </w:rPr>
        <w:t>affidavit was delivered</w:t>
      </w:r>
      <w:r w:rsidR="007C5CBF" w:rsidRPr="006C1485">
        <w:rPr>
          <w:rFonts w:asciiTheme="minorBidi" w:hAnsiTheme="minorBidi"/>
        </w:rPr>
        <w:t xml:space="preserve"> by the defendant</w:t>
      </w:r>
      <w:r w:rsidR="00F34DF9" w:rsidRPr="006C1485">
        <w:rPr>
          <w:rFonts w:asciiTheme="minorBidi" w:hAnsiTheme="minorBidi"/>
        </w:rPr>
        <w:t>.</w:t>
      </w:r>
      <w:r w:rsidR="00A56654" w:rsidRPr="006C1485">
        <w:rPr>
          <w:rFonts w:asciiTheme="minorBidi" w:hAnsiTheme="minorBidi"/>
        </w:rPr>
        <w:t xml:space="preserve"> </w:t>
      </w:r>
      <w:r w:rsidR="007C5CBF" w:rsidRPr="006C1485">
        <w:rPr>
          <w:rFonts w:asciiTheme="minorBidi" w:hAnsiTheme="minorBidi"/>
        </w:rPr>
        <w:t xml:space="preserve">In truth, there </w:t>
      </w:r>
      <w:r w:rsidR="005C5770" w:rsidRPr="006C1485">
        <w:rPr>
          <w:rFonts w:asciiTheme="minorBidi" w:hAnsiTheme="minorBidi"/>
        </w:rPr>
        <w:t>is not much that could have been said</w:t>
      </w:r>
      <w:r w:rsidR="00F34DF9" w:rsidRPr="006C1485">
        <w:rPr>
          <w:rFonts w:asciiTheme="minorBidi" w:hAnsiTheme="minorBidi"/>
        </w:rPr>
        <w:t xml:space="preserve"> in relation thereto</w:t>
      </w:r>
      <w:r w:rsidR="007C5CBF" w:rsidRPr="006C1485">
        <w:rPr>
          <w:rFonts w:asciiTheme="minorBidi" w:hAnsiTheme="minorBidi"/>
        </w:rPr>
        <w:t xml:space="preserve"> by the defendant</w:t>
      </w:r>
      <w:r w:rsidR="005C5770" w:rsidRPr="006C1485">
        <w:rPr>
          <w:rFonts w:asciiTheme="minorBidi" w:hAnsiTheme="minorBidi"/>
        </w:rPr>
        <w:t xml:space="preserve">: </w:t>
      </w:r>
      <w:r w:rsidR="001B4804" w:rsidRPr="006C1485">
        <w:rPr>
          <w:rFonts w:asciiTheme="minorBidi" w:hAnsiTheme="minorBidi"/>
        </w:rPr>
        <w:t>the applicant was not obligated to put up security but chose to do so</w:t>
      </w:r>
      <w:r w:rsidR="001D29DF" w:rsidRPr="006C1485">
        <w:rPr>
          <w:rFonts w:asciiTheme="minorBidi" w:hAnsiTheme="minorBidi"/>
        </w:rPr>
        <w:t>, a fact that is not really contestable</w:t>
      </w:r>
      <w:r w:rsidR="001B4804" w:rsidRPr="006C1485">
        <w:rPr>
          <w:rFonts w:asciiTheme="minorBidi" w:hAnsiTheme="minorBidi"/>
        </w:rPr>
        <w:t>.</w:t>
      </w:r>
      <w:r w:rsidR="00307D80" w:rsidRPr="006C1485">
        <w:rPr>
          <w:rFonts w:asciiTheme="minorBidi" w:hAnsiTheme="minorBidi"/>
        </w:rPr>
        <w:t xml:space="preserve"> In my view</w:t>
      </w:r>
      <w:r w:rsidR="001D29DF" w:rsidRPr="006C1485">
        <w:rPr>
          <w:rFonts w:asciiTheme="minorBidi" w:hAnsiTheme="minorBidi"/>
        </w:rPr>
        <w:t xml:space="preserve">, given the absence of an order requiring the applicant to provide such security, </w:t>
      </w:r>
      <w:r w:rsidR="00307D80" w:rsidRPr="006C1485">
        <w:rPr>
          <w:rFonts w:asciiTheme="minorBidi" w:hAnsiTheme="minorBidi"/>
        </w:rPr>
        <w:t>the facts that are contained in the supplementary affidavit are neutral in</w:t>
      </w:r>
      <w:r w:rsidR="00B65518" w:rsidRPr="006C1485">
        <w:rPr>
          <w:rFonts w:asciiTheme="minorBidi" w:hAnsiTheme="minorBidi"/>
        </w:rPr>
        <w:t xml:space="preserve"> </w:t>
      </w:r>
      <w:r w:rsidR="00B10AA6" w:rsidRPr="006C1485">
        <w:rPr>
          <w:rFonts w:asciiTheme="minorBidi" w:hAnsiTheme="minorBidi"/>
        </w:rPr>
        <w:t>their</w:t>
      </w:r>
      <w:r w:rsidR="00307D80" w:rsidRPr="006C1485">
        <w:rPr>
          <w:rFonts w:asciiTheme="minorBidi" w:hAnsiTheme="minorBidi"/>
        </w:rPr>
        <w:t xml:space="preserve"> effect and </w:t>
      </w:r>
      <w:r w:rsidR="00A56654" w:rsidRPr="006C1485">
        <w:rPr>
          <w:rFonts w:asciiTheme="minorBidi" w:hAnsiTheme="minorBidi"/>
        </w:rPr>
        <w:t xml:space="preserve">I am inclined </w:t>
      </w:r>
      <w:r w:rsidR="00B65518" w:rsidRPr="006C1485">
        <w:rPr>
          <w:rFonts w:asciiTheme="minorBidi" w:hAnsiTheme="minorBidi"/>
        </w:rPr>
        <w:t xml:space="preserve">therefore </w:t>
      </w:r>
      <w:r w:rsidR="00A56654" w:rsidRPr="006C1485">
        <w:rPr>
          <w:rFonts w:asciiTheme="minorBidi" w:hAnsiTheme="minorBidi"/>
        </w:rPr>
        <w:t xml:space="preserve">to accept </w:t>
      </w:r>
      <w:r w:rsidR="00307D80" w:rsidRPr="006C1485">
        <w:rPr>
          <w:rFonts w:asciiTheme="minorBidi" w:hAnsiTheme="minorBidi"/>
        </w:rPr>
        <w:t>it</w:t>
      </w:r>
      <w:r w:rsidR="00A56654" w:rsidRPr="006C1485">
        <w:rPr>
          <w:rFonts w:asciiTheme="minorBidi" w:hAnsiTheme="minorBidi"/>
        </w:rPr>
        <w:t>.</w:t>
      </w:r>
      <w:r w:rsidR="0072109E" w:rsidRPr="006C1485">
        <w:rPr>
          <w:rFonts w:asciiTheme="minorBidi" w:hAnsiTheme="minorBidi"/>
        </w:rPr>
        <w:t xml:space="preserve"> Condonation is therefore granted.</w:t>
      </w:r>
    </w:p>
    <w:p w14:paraId="290405CD" w14:textId="77777777" w:rsidR="00A56654" w:rsidRDefault="00A56654" w:rsidP="00BD0932">
      <w:pPr>
        <w:spacing w:line="360" w:lineRule="auto"/>
        <w:rPr>
          <w:rFonts w:asciiTheme="minorBidi" w:hAnsiTheme="minorBidi"/>
        </w:rPr>
      </w:pPr>
    </w:p>
    <w:p w14:paraId="1A5F47BE" w14:textId="6C36FFCA" w:rsidR="00BD0932" w:rsidRPr="00053669" w:rsidRDefault="00BD0932" w:rsidP="00F34DF9">
      <w:pPr>
        <w:spacing w:line="360" w:lineRule="auto"/>
        <w:jc w:val="both"/>
        <w:rPr>
          <w:rFonts w:asciiTheme="minorBidi" w:hAnsiTheme="minorBidi"/>
          <w:b/>
          <w:bCs/>
          <w:i/>
        </w:rPr>
      </w:pPr>
      <w:r w:rsidRPr="00053669">
        <w:rPr>
          <w:rFonts w:asciiTheme="minorBidi" w:hAnsiTheme="minorBidi"/>
          <w:b/>
          <w:bCs/>
          <w:i/>
        </w:rPr>
        <w:t>The second issue</w:t>
      </w:r>
      <w:r w:rsidR="00F34DF9" w:rsidRPr="00053669">
        <w:rPr>
          <w:rFonts w:asciiTheme="minorBidi" w:hAnsiTheme="minorBidi"/>
          <w:b/>
          <w:bCs/>
          <w:i/>
        </w:rPr>
        <w:t xml:space="preserve">: whether the late filing of the applicant’s </w:t>
      </w:r>
      <w:r w:rsidR="004C3BD6">
        <w:rPr>
          <w:rFonts w:asciiTheme="minorBidi" w:hAnsiTheme="minorBidi"/>
          <w:b/>
          <w:bCs/>
          <w:i/>
        </w:rPr>
        <w:t>replying affidavit</w:t>
      </w:r>
      <w:r w:rsidR="00F34DF9" w:rsidRPr="00053669">
        <w:rPr>
          <w:rFonts w:asciiTheme="minorBidi" w:hAnsiTheme="minorBidi"/>
          <w:b/>
          <w:bCs/>
          <w:i/>
        </w:rPr>
        <w:t xml:space="preserve"> ought to be condoned</w:t>
      </w:r>
    </w:p>
    <w:p w14:paraId="544FF553" w14:textId="186BF68D" w:rsidR="0004582B" w:rsidRPr="006C1485" w:rsidRDefault="006C1485" w:rsidP="006C1485">
      <w:pPr>
        <w:tabs>
          <w:tab w:val="left" w:pos="709"/>
        </w:tabs>
        <w:spacing w:line="360" w:lineRule="auto"/>
        <w:jc w:val="both"/>
        <w:rPr>
          <w:rFonts w:asciiTheme="minorBidi" w:hAnsiTheme="minorBidi"/>
        </w:rPr>
      </w:pPr>
      <w:r w:rsidRPr="0004582B">
        <w:rPr>
          <w:rFonts w:ascii="Arial" w:eastAsiaTheme="minorHAnsi" w:hAnsi="Arial" w:cs="Arial"/>
          <w:bCs/>
          <w:lang w:val="en-GB" w:eastAsia="en-US" w:bidi="ar-SA"/>
        </w:rPr>
        <w:t>[30]</w:t>
      </w:r>
      <w:r w:rsidRPr="0004582B">
        <w:rPr>
          <w:rFonts w:ascii="Arial" w:eastAsiaTheme="minorHAnsi" w:hAnsi="Arial" w:cs="Arial"/>
          <w:bCs/>
          <w:lang w:val="en-GB" w:eastAsia="en-US" w:bidi="ar-SA"/>
        </w:rPr>
        <w:tab/>
      </w:r>
      <w:r w:rsidR="00A56654" w:rsidRPr="006C1485">
        <w:rPr>
          <w:rFonts w:asciiTheme="minorBidi" w:hAnsiTheme="minorBidi"/>
        </w:rPr>
        <w:t xml:space="preserve">The second issue is whether the court should accept the applicant’s replying affidavit. </w:t>
      </w:r>
      <w:r w:rsidR="0072109E" w:rsidRPr="006C1485">
        <w:rPr>
          <w:rFonts w:asciiTheme="minorBidi" w:hAnsiTheme="minorBidi"/>
        </w:rPr>
        <w:t>As noted earlier, i</w:t>
      </w:r>
      <w:r w:rsidR="00A56654" w:rsidRPr="006C1485">
        <w:rPr>
          <w:rFonts w:asciiTheme="minorBidi" w:hAnsiTheme="minorBidi"/>
        </w:rPr>
        <w:t xml:space="preserve">t was delivered late. Very, very late </w:t>
      </w:r>
      <w:r w:rsidR="006F12EC" w:rsidRPr="006C1485">
        <w:rPr>
          <w:rFonts w:asciiTheme="minorBidi" w:hAnsiTheme="minorBidi"/>
        </w:rPr>
        <w:t>-</w:t>
      </w:r>
      <w:r w:rsidR="00D56DE2" w:rsidRPr="006C1485">
        <w:rPr>
          <w:rFonts w:asciiTheme="minorBidi" w:hAnsiTheme="minorBidi"/>
        </w:rPr>
        <w:t xml:space="preserve"> </w:t>
      </w:r>
      <w:r w:rsidR="006F12EC" w:rsidRPr="006C1485">
        <w:rPr>
          <w:rFonts w:asciiTheme="minorBidi" w:hAnsiTheme="minorBidi"/>
        </w:rPr>
        <w:t>s</w:t>
      </w:r>
      <w:r w:rsidR="008B2CC4" w:rsidRPr="006C1485">
        <w:rPr>
          <w:rFonts w:asciiTheme="minorBidi" w:hAnsiTheme="minorBidi"/>
        </w:rPr>
        <w:t>ome 7</w:t>
      </w:r>
      <w:r w:rsidR="001D29DF" w:rsidRPr="006C1485">
        <w:rPr>
          <w:rFonts w:asciiTheme="minorBidi" w:hAnsiTheme="minorBidi"/>
        </w:rPr>
        <w:t>8</w:t>
      </w:r>
      <w:r w:rsidR="008B2CC4" w:rsidRPr="006C1485">
        <w:rPr>
          <w:rFonts w:asciiTheme="minorBidi" w:hAnsiTheme="minorBidi"/>
        </w:rPr>
        <w:t xml:space="preserve"> months late.</w:t>
      </w:r>
      <w:r w:rsidR="00A56654" w:rsidRPr="006C1485">
        <w:rPr>
          <w:rFonts w:asciiTheme="minorBidi" w:hAnsiTheme="minorBidi"/>
          <w:bCs/>
        </w:rPr>
        <w:t xml:space="preserve"> </w:t>
      </w:r>
    </w:p>
    <w:p w14:paraId="1A835EED" w14:textId="77777777" w:rsidR="0004582B" w:rsidRPr="0004582B" w:rsidRDefault="0004582B" w:rsidP="0004582B">
      <w:pPr>
        <w:pStyle w:val="ListParagraph"/>
        <w:spacing w:line="360" w:lineRule="auto"/>
        <w:rPr>
          <w:rFonts w:asciiTheme="minorBidi" w:hAnsiTheme="minorBidi"/>
          <w:bCs/>
          <w:sz w:val="24"/>
          <w:szCs w:val="24"/>
        </w:rPr>
      </w:pPr>
    </w:p>
    <w:p w14:paraId="3CDD618C" w14:textId="492B02D0" w:rsidR="00F26521" w:rsidRPr="006C1485" w:rsidRDefault="006C1485" w:rsidP="006C1485">
      <w:pPr>
        <w:tabs>
          <w:tab w:val="left" w:pos="709"/>
        </w:tabs>
        <w:spacing w:line="360" w:lineRule="auto"/>
        <w:jc w:val="both"/>
        <w:rPr>
          <w:rFonts w:asciiTheme="minorBidi" w:hAnsiTheme="minorBidi"/>
        </w:rPr>
      </w:pPr>
      <w:r w:rsidRPr="00F26521">
        <w:rPr>
          <w:rFonts w:ascii="Arial" w:eastAsiaTheme="minorHAnsi" w:hAnsi="Arial" w:cs="Arial"/>
          <w:bCs/>
          <w:lang w:val="en-GB" w:eastAsia="en-US" w:bidi="ar-SA"/>
        </w:rPr>
        <w:t>[31]</w:t>
      </w:r>
      <w:r w:rsidRPr="00F26521">
        <w:rPr>
          <w:rFonts w:ascii="Arial" w:eastAsiaTheme="minorHAnsi" w:hAnsi="Arial" w:cs="Arial"/>
          <w:bCs/>
          <w:lang w:val="en-GB" w:eastAsia="en-US" w:bidi="ar-SA"/>
        </w:rPr>
        <w:tab/>
      </w:r>
      <w:r w:rsidR="00F26521" w:rsidRPr="006C1485">
        <w:rPr>
          <w:rFonts w:asciiTheme="minorBidi" w:hAnsiTheme="minorBidi"/>
          <w:bCs/>
        </w:rPr>
        <w:t xml:space="preserve">That being the case, one would have anticipated that the applicant would have </w:t>
      </w:r>
      <w:r w:rsidR="001D29DF" w:rsidRPr="006C1485">
        <w:rPr>
          <w:rFonts w:asciiTheme="minorBidi" w:hAnsiTheme="minorBidi"/>
          <w:bCs/>
        </w:rPr>
        <w:t xml:space="preserve">clearly </w:t>
      </w:r>
      <w:r w:rsidR="00F26521" w:rsidRPr="006C1485">
        <w:rPr>
          <w:rFonts w:asciiTheme="minorBidi" w:hAnsiTheme="minorBidi"/>
          <w:bCs/>
        </w:rPr>
        <w:t>sought condonation for her failure to deliver the replying affidavit within the time frames contemplated by the Uniform Rules of Court. In doing so she would have had to address:</w:t>
      </w:r>
    </w:p>
    <w:p w14:paraId="13F3FB39" w14:textId="77777777" w:rsidR="00F26521" w:rsidRDefault="00F26521" w:rsidP="00F26521">
      <w:pPr>
        <w:spacing w:line="360" w:lineRule="auto"/>
        <w:jc w:val="both"/>
        <w:rPr>
          <w:rFonts w:asciiTheme="minorBidi" w:hAnsiTheme="minorBidi"/>
          <w:color w:val="000000"/>
          <w:sz w:val="22"/>
          <w:szCs w:val="22"/>
          <w:lang w:val="en-US"/>
        </w:rPr>
      </w:pPr>
      <w:r w:rsidRPr="00F26521">
        <w:rPr>
          <w:rFonts w:asciiTheme="minorBidi" w:hAnsiTheme="minorBidi"/>
          <w:color w:val="000000"/>
          <w:sz w:val="22"/>
          <w:szCs w:val="22"/>
          <w:lang w:val="en-US"/>
        </w:rPr>
        <w:t>‘… the extent and cause of the delay, the effect of the delay on the administration of justice and other litigants, the reasonableness of the explanation for the delay, the importance of the issue to be raised in the intended appeal and the prospects of success.’</w:t>
      </w:r>
      <w:r w:rsidRPr="00F26521">
        <w:rPr>
          <w:rStyle w:val="FootnoteReference"/>
          <w:rFonts w:asciiTheme="minorBidi" w:hAnsiTheme="minorBidi"/>
          <w:color w:val="000000"/>
          <w:sz w:val="22"/>
          <w:szCs w:val="22"/>
          <w:lang w:val="en-US"/>
        </w:rPr>
        <w:footnoteReference w:id="11"/>
      </w:r>
    </w:p>
    <w:p w14:paraId="11F97880" w14:textId="77777777" w:rsidR="00307D80" w:rsidRPr="00307D80" w:rsidRDefault="00307D80" w:rsidP="00F26521">
      <w:pPr>
        <w:spacing w:line="360" w:lineRule="auto"/>
        <w:jc w:val="both"/>
        <w:rPr>
          <w:rFonts w:asciiTheme="minorBidi" w:hAnsiTheme="minorBidi"/>
          <w:bCs/>
        </w:rPr>
      </w:pPr>
    </w:p>
    <w:p w14:paraId="2A908238" w14:textId="37EF646C" w:rsidR="00F26521" w:rsidRPr="006C1485" w:rsidRDefault="006C1485" w:rsidP="006C1485">
      <w:pPr>
        <w:tabs>
          <w:tab w:val="left" w:pos="709"/>
        </w:tabs>
        <w:spacing w:line="360" w:lineRule="auto"/>
        <w:jc w:val="both"/>
        <w:rPr>
          <w:rFonts w:asciiTheme="minorBidi" w:hAnsiTheme="minorBidi"/>
        </w:rPr>
      </w:pPr>
      <w:r w:rsidRPr="002435AF">
        <w:rPr>
          <w:rFonts w:ascii="Arial" w:eastAsiaTheme="minorHAnsi" w:hAnsi="Arial" w:cs="Arial"/>
          <w:bCs/>
          <w:lang w:val="en-GB" w:eastAsia="en-US" w:bidi="ar-SA"/>
        </w:rPr>
        <w:lastRenderedPageBreak/>
        <w:t>[32]</w:t>
      </w:r>
      <w:r w:rsidRPr="002435AF">
        <w:rPr>
          <w:rFonts w:ascii="Arial" w:eastAsiaTheme="minorHAnsi" w:hAnsi="Arial" w:cs="Arial"/>
          <w:bCs/>
          <w:lang w:val="en-GB" w:eastAsia="en-US" w:bidi="ar-SA"/>
        </w:rPr>
        <w:tab/>
      </w:r>
      <w:r w:rsidR="00F26521" w:rsidRPr="006C1485">
        <w:rPr>
          <w:rFonts w:asciiTheme="minorBidi" w:hAnsiTheme="minorBidi"/>
          <w:bCs/>
        </w:rPr>
        <w:t xml:space="preserve">Yet, inexplicably, she has brought no such </w:t>
      </w:r>
      <w:r w:rsidR="001D29DF" w:rsidRPr="006C1485">
        <w:rPr>
          <w:rFonts w:asciiTheme="minorBidi" w:hAnsiTheme="minorBidi"/>
          <w:bCs/>
        </w:rPr>
        <w:t xml:space="preserve">clear </w:t>
      </w:r>
      <w:r w:rsidR="00F26521" w:rsidRPr="006C1485">
        <w:rPr>
          <w:rFonts w:asciiTheme="minorBidi" w:hAnsiTheme="minorBidi"/>
          <w:bCs/>
        </w:rPr>
        <w:t xml:space="preserve">application for condonation. All she has done is to provide a general explanation in her replying affidavit of the delays that have beset the substitution application. </w:t>
      </w:r>
    </w:p>
    <w:p w14:paraId="04E06F45" w14:textId="77777777" w:rsidR="00F26521" w:rsidRPr="00F26521" w:rsidRDefault="00F26521" w:rsidP="00F26521">
      <w:pPr>
        <w:pStyle w:val="ListParagraph"/>
        <w:tabs>
          <w:tab w:val="left" w:pos="709"/>
        </w:tabs>
        <w:spacing w:after="0" w:line="360" w:lineRule="auto"/>
        <w:ind w:left="0"/>
        <w:jc w:val="both"/>
        <w:rPr>
          <w:rFonts w:asciiTheme="minorBidi" w:hAnsiTheme="minorBidi"/>
          <w:sz w:val="24"/>
          <w:szCs w:val="24"/>
        </w:rPr>
      </w:pPr>
    </w:p>
    <w:p w14:paraId="31196423" w14:textId="4B666EC6" w:rsidR="00F26521" w:rsidRPr="006C1485" w:rsidRDefault="006C1485" w:rsidP="006C1485">
      <w:pPr>
        <w:tabs>
          <w:tab w:val="left" w:pos="709"/>
        </w:tabs>
        <w:spacing w:line="360" w:lineRule="auto"/>
        <w:jc w:val="both"/>
        <w:rPr>
          <w:rFonts w:asciiTheme="minorBidi" w:hAnsiTheme="minorBidi"/>
        </w:rPr>
      </w:pPr>
      <w:r w:rsidRPr="00A7468E">
        <w:rPr>
          <w:rFonts w:ascii="Arial" w:eastAsiaTheme="minorHAnsi" w:hAnsi="Arial" w:cs="Arial"/>
          <w:bCs/>
          <w:lang w:val="en-GB" w:eastAsia="en-US" w:bidi="ar-SA"/>
        </w:rPr>
        <w:t>[33]</w:t>
      </w:r>
      <w:r w:rsidRPr="00A7468E">
        <w:rPr>
          <w:rFonts w:ascii="Arial" w:eastAsiaTheme="minorHAnsi" w:hAnsi="Arial" w:cs="Arial"/>
          <w:bCs/>
          <w:lang w:val="en-GB" w:eastAsia="en-US" w:bidi="ar-SA"/>
        </w:rPr>
        <w:tab/>
      </w:r>
      <w:r w:rsidR="001D29DF" w:rsidRPr="006C1485">
        <w:rPr>
          <w:rFonts w:asciiTheme="minorBidi" w:hAnsiTheme="minorBidi"/>
          <w:bCs/>
        </w:rPr>
        <w:t>I make reference to the facts disclosed by the applicant. At the outset, she states</w:t>
      </w:r>
      <w:r w:rsidR="00F26521" w:rsidRPr="006C1485">
        <w:rPr>
          <w:rFonts w:asciiTheme="minorBidi" w:hAnsiTheme="minorBidi"/>
          <w:bCs/>
        </w:rPr>
        <w:t xml:space="preserve"> that before finalising the replying affidavit, she left South Africa and emigrated to the United States of America, where she still resides, and states that instructions were given to counsel to draw the replying affidavit in April 2013. She, however, puts up no proof of that instruction nor does she state to which counsel the instruction was given. She proceeds to state that before the replying affidavit could be drawn:</w:t>
      </w:r>
    </w:p>
    <w:p w14:paraId="362363CA" w14:textId="0CA00A7F" w:rsidR="00F26521" w:rsidRDefault="00F26521" w:rsidP="00F26521">
      <w:pPr>
        <w:pStyle w:val="ListParagraph"/>
        <w:spacing w:after="0" w:line="360" w:lineRule="auto"/>
        <w:ind w:left="0"/>
        <w:jc w:val="both"/>
        <w:rPr>
          <w:rFonts w:asciiTheme="minorBidi" w:hAnsiTheme="minorBidi"/>
          <w:bCs/>
        </w:rPr>
      </w:pPr>
      <w:r w:rsidRPr="00A7468E">
        <w:rPr>
          <w:rFonts w:asciiTheme="minorBidi" w:hAnsiTheme="minorBidi"/>
          <w:bCs/>
        </w:rPr>
        <w:t>‘…</w:t>
      </w:r>
      <w:r w:rsidR="00BF1385" w:rsidRPr="00A7468E">
        <w:rPr>
          <w:rFonts w:asciiTheme="minorBidi" w:hAnsiTheme="minorBidi"/>
          <w:bCs/>
        </w:rPr>
        <w:t xml:space="preserve"> </w:t>
      </w:r>
      <w:r w:rsidRPr="00A7468E">
        <w:rPr>
          <w:rFonts w:asciiTheme="minorBidi" w:hAnsiTheme="minorBidi"/>
          <w:bCs/>
        </w:rPr>
        <w:t xml:space="preserve">the security for costs issue had to be addressed, as that formed the crux of the dispute in the substitution application.’ </w:t>
      </w:r>
    </w:p>
    <w:p w14:paraId="06B80465" w14:textId="77777777" w:rsidR="002435AF" w:rsidRPr="002435AF" w:rsidRDefault="002435AF" w:rsidP="002435AF">
      <w:pPr>
        <w:pStyle w:val="ListParagraph"/>
        <w:tabs>
          <w:tab w:val="left" w:pos="709"/>
        </w:tabs>
        <w:spacing w:after="0" w:line="360" w:lineRule="auto"/>
        <w:ind w:left="0"/>
        <w:jc w:val="both"/>
        <w:rPr>
          <w:rFonts w:asciiTheme="minorBidi" w:hAnsiTheme="minorBidi"/>
          <w:sz w:val="24"/>
          <w:szCs w:val="24"/>
        </w:rPr>
      </w:pPr>
    </w:p>
    <w:p w14:paraId="5C8D3928" w14:textId="3DA9659E" w:rsidR="00F26521" w:rsidRPr="006C1485" w:rsidRDefault="006C1485" w:rsidP="006C1485">
      <w:pPr>
        <w:tabs>
          <w:tab w:val="left" w:pos="709"/>
        </w:tabs>
        <w:spacing w:line="360" w:lineRule="auto"/>
        <w:jc w:val="both"/>
        <w:rPr>
          <w:rFonts w:asciiTheme="minorBidi" w:hAnsiTheme="minorBidi"/>
        </w:rPr>
      </w:pPr>
      <w:r w:rsidRPr="002435AF">
        <w:rPr>
          <w:rFonts w:ascii="Arial" w:eastAsiaTheme="minorHAnsi" w:hAnsi="Arial" w:cs="Arial"/>
          <w:bCs/>
          <w:lang w:val="en-GB" w:eastAsia="en-US" w:bidi="ar-SA"/>
        </w:rPr>
        <w:t>[34]</w:t>
      </w:r>
      <w:r w:rsidRPr="002435AF">
        <w:rPr>
          <w:rFonts w:ascii="Arial" w:eastAsiaTheme="minorHAnsi" w:hAnsi="Arial" w:cs="Arial"/>
          <w:bCs/>
          <w:lang w:val="en-GB" w:eastAsia="en-US" w:bidi="ar-SA"/>
        </w:rPr>
        <w:tab/>
      </w:r>
      <w:r w:rsidR="00F26521" w:rsidRPr="006C1485">
        <w:rPr>
          <w:rFonts w:asciiTheme="minorBidi" w:hAnsiTheme="minorBidi"/>
          <w:bCs/>
        </w:rPr>
        <w:t>The applicant is mistaken in suggesting that this was the only impediment to the substitution application</w:t>
      </w:r>
      <w:r w:rsidR="00EB1C5E" w:rsidRPr="006C1485">
        <w:rPr>
          <w:rFonts w:asciiTheme="minorBidi" w:hAnsiTheme="minorBidi"/>
          <w:bCs/>
        </w:rPr>
        <w:t xml:space="preserve"> being granted.</w:t>
      </w:r>
      <w:r w:rsidR="00F26521" w:rsidRPr="006C1485">
        <w:rPr>
          <w:rFonts w:asciiTheme="minorBidi" w:hAnsiTheme="minorBidi"/>
          <w:bCs/>
        </w:rPr>
        <w:t xml:space="preserve"> </w:t>
      </w:r>
      <w:r w:rsidR="00307D80" w:rsidRPr="006C1485">
        <w:rPr>
          <w:rFonts w:asciiTheme="minorBidi" w:hAnsiTheme="minorBidi"/>
          <w:bCs/>
        </w:rPr>
        <w:t xml:space="preserve">She appears not to have addressed the further issues raised in the supplementary answering affidavit, namely </w:t>
      </w:r>
      <w:r w:rsidR="00F26521" w:rsidRPr="006C1485">
        <w:rPr>
          <w:rFonts w:asciiTheme="minorBidi" w:hAnsiTheme="minorBidi"/>
          <w:bCs/>
        </w:rPr>
        <w:t>that the investment was between the applicant in her personal capacity and Mr Cowan and not between Cotton King and the defendant, that Cotton King never had a claim against the defendant and that any claim that the applicant may have had against the defendant had prescribed by no later than 2 February 2014. None of these allegations have ever been addressed by the applicant.</w:t>
      </w:r>
    </w:p>
    <w:p w14:paraId="30D6A2A7" w14:textId="77777777" w:rsidR="00F26521" w:rsidRPr="00DC1EDB" w:rsidRDefault="00F26521" w:rsidP="00F26521">
      <w:pPr>
        <w:pStyle w:val="ListParagraph"/>
        <w:spacing w:after="0" w:line="360" w:lineRule="auto"/>
        <w:ind w:left="0"/>
        <w:jc w:val="both"/>
        <w:rPr>
          <w:rFonts w:asciiTheme="minorBidi" w:hAnsiTheme="minorBidi"/>
          <w:sz w:val="24"/>
          <w:szCs w:val="24"/>
        </w:rPr>
      </w:pPr>
    </w:p>
    <w:p w14:paraId="352AA275" w14:textId="52F3084C" w:rsidR="00F26521" w:rsidRPr="006C1485" w:rsidRDefault="006C1485" w:rsidP="006C1485">
      <w:pPr>
        <w:tabs>
          <w:tab w:val="left" w:pos="709"/>
        </w:tabs>
        <w:spacing w:line="360" w:lineRule="auto"/>
        <w:jc w:val="both"/>
        <w:rPr>
          <w:rFonts w:asciiTheme="minorBidi" w:hAnsiTheme="minorBidi"/>
        </w:rPr>
      </w:pPr>
      <w:r w:rsidRPr="004F5D53">
        <w:rPr>
          <w:rFonts w:ascii="Arial" w:eastAsiaTheme="minorHAnsi" w:hAnsi="Arial" w:cs="Arial"/>
          <w:bCs/>
          <w:lang w:val="en-GB" w:eastAsia="en-US" w:bidi="ar-SA"/>
        </w:rPr>
        <w:t>[35]</w:t>
      </w:r>
      <w:r w:rsidRPr="004F5D53">
        <w:rPr>
          <w:rFonts w:ascii="Arial" w:eastAsiaTheme="minorHAnsi" w:hAnsi="Arial" w:cs="Arial"/>
          <w:bCs/>
          <w:lang w:val="en-GB" w:eastAsia="en-US" w:bidi="ar-SA"/>
        </w:rPr>
        <w:tab/>
      </w:r>
      <w:r w:rsidR="00F26521" w:rsidRPr="006C1485">
        <w:rPr>
          <w:rFonts w:asciiTheme="minorBidi" w:hAnsiTheme="minorBidi"/>
          <w:bCs/>
        </w:rPr>
        <w:t xml:space="preserve">It is difficult to understand what the security for costs issue had to do with the applicant. She had not been ordered to provide it and the effect of the intended substitution was to remove Cotton King, which had been ordered to provide it, as a participant in the action. Nonetheless, the applicant states that she put up the deposit necessary to secure the issuing of a guarantee for the security </w:t>
      </w:r>
      <w:r w:rsidR="006F12EC" w:rsidRPr="006C1485">
        <w:rPr>
          <w:rFonts w:asciiTheme="minorBidi" w:hAnsiTheme="minorBidi"/>
          <w:bCs/>
        </w:rPr>
        <w:t xml:space="preserve">which was </w:t>
      </w:r>
      <w:r w:rsidR="00F26521" w:rsidRPr="006C1485">
        <w:rPr>
          <w:rFonts w:asciiTheme="minorBidi" w:hAnsiTheme="minorBidi"/>
          <w:bCs/>
        </w:rPr>
        <w:t xml:space="preserve">ordered to be put up by </w:t>
      </w:r>
      <w:r w:rsidR="00C80990" w:rsidRPr="006C1485">
        <w:rPr>
          <w:rFonts w:asciiTheme="minorBidi" w:hAnsiTheme="minorBidi"/>
          <w:bCs/>
        </w:rPr>
        <w:t xml:space="preserve">the </w:t>
      </w:r>
      <w:r w:rsidR="00EF7DAB" w:rsidRPr="006C1485">
        <w:rPr>
          <w:rFonts w:asciiTheme="minorBidi" w:hAnsiTheme="minorBidi"/>
          <w:bCs/>
        </w:rPr>
        <w:t>r</w:t>
      </w:r>
      <w:r w:rsidR="00C80990" w:rsidRPr="006C1485">
        <w:rPr>
          <w:rFonts w:asciiTheme="minorBidi" w:hAnsiTheme="minorBidi"/>
          <w:bCs/>
        </w:rPr>
        <w:t>egistrar</w:t>
      </w:r>
      <w:r w:rsidR="00F26521" w:rsidRPr="006C1485">
        <w:rPr>
          <w:rFonts w:asciiTheme="minorBidi" w:hAnsiTheme="minorBidi"/>
          <w:bCs/>
        </w:rPr>
        <w:t xml:space="preserve">. Three different forms of the guarantee were put up, each of which attracted an objection from the defendant. </w:t>
      </w:r>
    </w:p>
    <w:p w14:paraId="3FA7286A" w14:textId="77777777" w:rsidR="00F26521" w:rsidRPr="004F5D53" w:rsidRDefault="00F26521" w:rsidP="00F26521">
      <w:pPr>
        <w:pStyle w:val="ListParagraph"/>
        <w:tabs>
          <w:tab w:val="left" w:pos="709"/>
        </w:tabs>
        <w:spacing w:after="0" w:line="360" w:lineRule="auto"/>
        <w:ind w:left="0"/>
        <w:jc w:val="both"/>
        <w:rPr>
          <w:rFonts w:asciiTheme="minorBidi" w:hAnsiTheme="minorBidi"/>
          <w:sz w:val="24"/>
          <w:szCs w:val="24"/>
        </w:rPr>
      </w:pPr>
    </w:p>
    <w:p w14:paraId="0AC6300B" w14:textId="36525746" w:rsidR="00F26521" w:rsidRPr="006C1485" w:rsidRDefault="006C1485" w:rsidP="006C1485">
      <w:pPr>
        <w:tabs>
          <w:tab w:val="left" w:pos="709"/>
        </w:tabs>
        <w:spacing w:line="360" w:lineRule="auto"/>
        <w:jc w:val="both"/>
        <w:rPr>
          <w:rFonts w:asciiTheme="minorBidi" w:hAnsiTheme="minorBidi"/>
        </w:rPr>
      </w:pPr>
      <w:r w:rsidRPr="00743F98">
        <w:rPr>
          <w:rFonts w:ascii="Arial" w:eastAsiaTheme="minorHAnsi" w:hAnsi="Arial" w:cs="Arial"/>
          <w:bCs/>
          <w:lang w:val="en-GB" w:eastAsia="en-US" w:bidi="ar-SA"/>
        </w:rPr>
        <w:t>[36]</w:t>
      </w:r>
      <w:r w:rsidRPr="00743F98">
        <w:rPr>
          <w:rFonts w:ascii="Arial" w:eastAsiaTheme="minorHAnsi" w:hAnsi="Arial" w:cs="Arial"/>
          <w:bCs/>
          <w:lang w:val="en-GB" w:eastAsia="en-US" w:bidi="ar-SA"/>
        </w:rPr>
        <w:tab/>
      </w:r>
      <w:r w:rsidR="00F26521" w:rsidRPr="006C1485">
        <w:rPr>
          <w:rFonts w:asciiTheme="minorBidi" w:hAnsiTheme="minorBidi"/>
          <w:bCs/>
        </w:rPr>
        <w:t>The applicant goes on to explain that she was then advised by her legal representative that the particulars of claim would have to be amended before the reply in the substitution application could be delivered. The amendment was duly formulated and delivered but was objected to by the defendant</w:t>
      </w:r>
      <w:r w:rsidR="00EB1C5E" w:rsidRPr="006C1485">
        <w:rPr>
          <w:rFonts w:asciiTheme="minorBidi" w:hAnsiTheme="minorBidi"/>
          <w:bCs/>
        </w:rPr>
        <w:t>. The</w:t>
      </w:r>
      <w:r w:rsidR="00F26521" w:rsidRPr="006C1485">
        <w:rPr>
          <w:rFonts w:asciiTheme="minorBidi" w:hAnsiTheme="minorBidi"/>
          <w:bCs/>
        </w:rPr>
        <w:t xml:space="preserve"> applicant </w:t>
      </w:r>
      <w:r w:rsidR="00EB1C5E" w:rsidRPr="006C1485">
        <w:rPr>
          <w:rFonts w:asciiTheme="minorBidi" w:hAnsiTheme="minorBidi"/>
          <w:bCs/>
        </w:rPr>
        <w:t xml:space="preserve">states that she </w:t>
      </w:r>
      <w:r w:rsidR="00F26521" w:rsidRPr="006C1485">
        <w:rPr>
          <w:rFonts w:asciiTheme="minorBidi" w:hAnsiTheme="minorBidi"/>
          <w:bCs/>
        </w:rPr>
        <w:t xml:space="preserve">was </w:t>
      </w:r>
      <w:r w:rsidR="00F26521" w:rsidRPr="006C1485">
        <w:rPr>
          <w:rFonts w:asciiTheme="minorBidi" w:hAnsiTheme="minorBidi"/>
          <w:bCs/>
        </w:rPr>
        <w:lastRenderedPageBreak/>
        <w:t xml:space="preserve">apparently not aware of this objection at the time that it was received. The defendant then amended its plea and </w:t>
      </w:r>
      <w:r w:rsidR="006F12EC" w:rsidRPr="006C1485">
        <w:rPr>
          <w:rFonts w:asciiTheme="minorBidi" w:hAnsiTheme="minorBidi"/>
          <w:bCs/>
        </w:rPr>
        <w:t xml:space="preserve">thereafter </w:t>
      </w:r>
      <w:r w:rsidR="00F26521" w:rsidRPr="006C1485">
        <w:rPr>
          <w:rFonts w:asciiTheme="minorBidi" w:hAnsiTheme="minorBidi"/>
          <w:bCs/>
        </w:rPr>
        <w:t xml:space="preserve">delivered a notice of an irregular step regarding the non-delivery of the security ordered by the </w:t>
      </w:r>
      <w:r w:rsidR="00EF7DAB" w:rsidRPr="006C1485">
        <w:rPr>
          <w:rFonts w:asciiTheme="minorBidi" w:hAnsiTheme="minorBidi"/>
          <w:bCs/>
        </w:rPr>
        <w:t>r</w:t>
      </w:r>
      <w:r w:rsidR="00F26521" w:rsidRPr="006C1485">
        <w:rPr>
          <w:rFonts w:asciiTheme="minorBidi" w:hAnsiTheme="minorBidi"/>
          <w:bCs/>
        </w:rPr>
        <w:t xml:space="preserve">egistrar. </w:t>
      </w:r>
    </w:p>
    <w:p w14:paraId="702DDF0C" w14:textId="77777777" w:rsidR="00F26521" w:rsidRPr="00743F98" w:rsidRDefault="00F26521" w:rsidP="00F26521">
      <w:pPr>
        <w:pStyle w:val="ListParagraph"/>
        <w:tabs>
          <w:tab w:val="left" w:pos="709"/>
        </w:tabs>
        <w:spacing w:after="0" w:line="360" w:lineRule="auto"/>
        <w:ind w:left="0"/>
        <w:jc w:val="both"/>
        <w:rPr>
          <w:rFonts w:asciiTheme="minorBidi" w:hAnsiTheme="minorBidi"/>
          <w:sz w:val="24"/>
          <w:szCs w:val="24"/>
        </w:rPr>
      </w:pPr>
    </w:p>
    <w:p w14:paraId="2AD2D362" w14:textId="5995F4D7" w:rsidR="00F26521" w:rsidRPr="006C1485" w:rsidRDefault="006C1485" w:rsidP="006C1485">
      <w:pPr>
        <w:tabs>
          <w:tab w:val="left" w:pos="709"/>
        </w:tabs>
        <w:spacing w:line="360" w:lineRule="auto"/>
        <w:jc w:val="both"/>
        <w:rPr>
          <w:rFonts w:asciiTheme="minorBidi" w:hAnsiTheme="minorBidi"/>
        </w:rPr>
      </w:pPr>
      <w:r w:rsidRPr="001D29DF">
        <w:rPr>
          <w:rFonts w:ascii="Arial" w:eastAsiaTheme="minorHAnsi" w:hAnsi="Arial" w:cs="Arial"/>
          <w:bCs/>
          <w:lang w:val="en-GB" w:eastAsia="en-US" w:bidi="ar-SA"/>
        </w:rPr>
        <w:t>[37]</w:t>
      </w:r>
      <w:r w:rsidRPr="001D29DF">
        <w:rPr>
          <w:rFonts w:ascii="Arial" w:eastAsiaTheme="minorHAnsi" w:hAnsi="Arial" w:cs="Arial"/>
          <w:bCs/>
          <w:lang w:val="en-GB" w:eastAsia="en-US" w:bidi="ar-SA"/>
        </w:rPr>
        <w:tab/>
      </w:r>
      <w:r w:rsidR="00F26521" w:rsidRPr="006C1485">
        <w:rPr>
          <w:rFonts w:asciiTheme="minorBidi" w:hAnsiTheme="minorBidi"/>
          <w:bCs/>
        </w:rPr>
        <w:t xml:space="preserve">The years 2014 and 2015 slip by in the applicant’s narrative with barely a mention. She apparently sought information from her attorneys in Durban in sporadic emails sent to them. In February 2016, she sent an email to her attorneys and in April 2016 she gave them instructions to try and settle the matter. She followed up on this issue during the remainder of 2016 and in 2017. A number of emails are put up between her and her attorneys. In mid-2018, she instructed her brother-in-law to attend upon her attorney’s offices and ascertain what was going on. She was then told that the money that she had put up for the security that the </w:t>
      </w:r>
      <w:r w:rsidR="00EF7DAB" w:rsidRPr="006C1485">
        <w:rPr>
          <w:rFonts w:asciiTheme="minorBidi" w:hAnsiTheme="minorBidi"/>
          <w:bCs/>
        </w:rPr>
        <w:t>r</w:t>
      </w:r>
      <w:r w:rsidR="00F26521" w:rsidRPr="006C1485">
        <w:rPr>
          <w:rFonts w:asciiTheme="minorBidi" w:hAnsiTheme="minorBidi"/>
          <w:bCs/>
        </w:rPr>
        <w:t xml:space="preserve">egistrar had ordered Cotton King to put up had been stolen by </w:t>
      </w:r>
      <w:r w:rsidR="004B5701" w:rsidRPr="006C1485">
        <w:rPr>
          <w:rFonts w:asciiTheme="minorBidi" w:hAnsiTheme="minorBidi"/>
          <w:bCs/>
        </w:rPr>
        <w:t>an employee of</w:t>
      </w:r>
      <w:r w:rsidR="00F26521" w:rsidRPr="006C1485">
        <w:rPr>
          <w:rFonts w:asciiTheme="minorBidi" w:hAnsiTheme="minorBidi"/>
          <w:bCs/>
        </w:rPr>
        <w:t xml:space="preserve"> her attorneys. </w:t>
      </w:r>
    </w:p>
    <w:p w14:paraId="75043289" w14:textId="77777777" w:rsidR="001D29DF" w:rsidRPr="00666188" w:rsidRDefault="001D29DF" w:rsidP="001D29DF">
      <w:pPr>
        <w:pStyle w:val="ListParagraph"/>
        <w:tabs>
          <w:tab w:val="left" w:pos="709"/>
        </w:tabs>
        <w:spacing w:after="0" w:line="360" w:lineRule="auto"/>
        <w:ind w:left="0"/>
        <w:jc w:val="both"/>
        <w:rPr>
          <w:rFonts w:asciiTheme="minorBidi" w:hAnsiTheme="minorBidi"/>
          <w:sz w:val="24"/>
          <w:szCs w:val="24"/>
        </w:rPr>
      </w:pPr>
    </w:p>
    <w:p w14:paraId="3D13AD1A" w14:textId="3CC4E62F" w:rsidR="00F26521" w:rsidRPr="006C1485" w:rsidRDefault="006C1485" w:rsidP="006C1485">
      <w:pPr>
        <w:tabs>
          <w:tab w:val="left" w:pos="709"/>
        </w:tabs>
        <w:spacing w:line="360" w:lineRule="auto"/>
        <w:jc w:val="both"/>
        <w:rPr>
          <w:rFonts w:asciiTheme="minorBidi" w:hAnsiTheme="minorBidi"/>
        </w:rPr>
      </w:pPr>
      <w:r w:rsidRPr="009D7DE4">
        <w:rPr>
          <w:rFonts w:ascii="Arial" w:eastAsiaTheme="minorHAnsi" w:hAnsi="Arial" w:cs="Arial"/>
          <w:bCs/>
          <w:lang w:val="en-GB" w:eastAsia="en-US" w:bidi="ar-SA"/>
        </w:rPr>
        <w:t>[38]</w:t>
      </w:r>
      <w:r w:rsidRPr="009D7DE4">
        <w:rPr>
          <w:rFonts w:ascii="Arial" w:eastAsiaTheme="minorHAnsi" w:hAnsi="Arial" w:cs="Arial"/>
          <w:bCs/>
          <w:lang w:val="en-GB" w:eastAsia="en-US" w:bidi="ar-SA"/>
        </w:rPr>
        <w:tab/>
      </w:r>
      <w:r w:rsidR="00F26521" w:rsidRPr="006C1485">
        <w:rPr>
          <w:rFonts w:asciiTheme="minorBidi" w:hAnsiTheme="minorBidi"/>
          <w:bCs/>
        </w:rPr>
        <w:t>By the end of July 2018, she states that she had come to the end of her tether with her attorneys</w:t>
      </w:r>
      <w:r w:rsidR="00C80990" w:rsidRPr="006C1485">
        <w:rPr>
          <w:rFonts w:asciiTheme="minorBidi" w:hAnsiTheme="minorBidi"/>
          <w:bCs/>
        </w:rPr>
        <w:t xml:space="preserve"> in Durban</w:t>
      </w:r>
      <w:r w:rsidR="00F26521" w:rsidRPr="006C1485">
        <w:rPr>
          <w:rFonts w:asciiTheme="minorBidi" w:hAnsiTheme="minorBidi"/>
          <w:bCs/>
        </w:rPr>
        <w:t>. She appointed new attorneys. She, fairly, concedes that she ought to have terminated the mandate of the first set of attorneys earlier than she did. She explains as follows:</w:t>
      </w:r>
    </w:p>
    <w:p w14:paraId="36E497B0" w14:textId="77777777" w:rsidR="00F26521" w:rsidRDefault="00F26521" w:rsidP="00F26521">
      <w:pPr>
        <w:pStyle w:val="ListParagraph"/>
        <w:tabs>
          <w:tab w:val="left" w:pos="709"/>
        </w:tabs>
        <w:spacing w:after="0" w:line="360" w:lineRule="auto"/>
        <w:ind w:left="0"/>
        <w:jc w:val="both"/>
        <w:rPr>
          <w:rFonts w:asciiTheme="minorBidi" w:hAnsiTheme="minorBidi"/>
          <w:bCs/>
        </w:rPr>
      </w:pPr>
      <w:r w:rsidRPr="007612DE">
        <w:rPr>
          <w:rFonts w:asciiTheme="minorBidi" w:hAnsiTheme="minorBidi"/>
          <w:bCs/>
        </w:rPr>
        <w:t>‘Apart from setting myself and my businesses up in the United States, I did not have ready or easy means to follow up with my attorneys other than by way of messages. I am not a lawyer and, although I have contacts in South Africa, I did not know another attorney who I could appoint instead of my present attorneys of record.’</w:t>
      </w:r>
    </w:p>
    <w:p w14:paraId="7A9BFB39" w14:textId="77777777" w:rsidR="00F26521" w:rsidRPr="007612DE" w:rsidRDefault="00F26521" w:rsidP="00F26521">
      <w:pPr>
        <w:pStyle w:val="ListParagraph"/>
        <w:tabs>
          <w:tab w:val="left" w:pos="709"/>
        </w:tabs>
        <w:spacing w:after="0" w:line="360" w:lineRule="auto"/>
        <w:ind w:left="0"/>
        <w:jc w:val="both"/>
        <w:rPr>
          <w:rFonts w:asciiTheme="minorBidi" w:hAnsiTheme="minorBidi"/>
        </w:rPr>
      </w:pPr>
    </w:p>
    <w:p w14:paraId="4D01B411" w14:textId="1ACD8D8F" w:rsidR="00F26521" w:rsidRPr="006C1485" w:rsidRDefault="006C1485" w:rsidP="006C1485">
      <w:pPr>
        <w:tabs>
          <w:tab w:val="left" w:pos="709"/>
        </w:tabs>
        <w:spacing w:line="360" w:lineRule="auto"/>
        <w:jc w:val="both"/>
        <w:rPr>
          <w:rFonts w:asciiTheme="minorBidi" w:hAnsiTheme="minorBidi"/>
        </w:rPr>
      </w:pPr>
      <w:r w:rsidRPr="00485224">
        <w:rPr>
          <w:rFonts w:ascii="Arial" w:eastAsiaTheme="minorHAnsi" w:hAnsi="Arial" w:cs="Arial"/>
          <w:bCs/>
          <w:lang w:val="en-GB" w:eastAsia="en-US" w:bidi="ar-SA"/>
        </w:rPr>
        <w:t>[39]</w:t>
      </w:r>
      <w:r w:rsidRPr="00485224">
        <w:rPr>
          <w:rFonts w:ascii="Arial" w:eastAsiaTheme="minorHAnsi" w:hAnsi="Arial" w:cs="Arial"/>
          <w:bCs/>
          <w:lang w:val="en-GB" w:eastAsia="en-US" w:bidi="ar-SA"/>
        </w:rPr>
        <w:tab/>
      </w:r>
      <w:r w:rsidR="00F26521" w:rsidRPr="006C1485">
        <w:rPr>
          <w:rFonts w:asciiTheme="minorBidi" w:hAnsiTheme="minorBidi"/>
          <w:bCs/>
        </w:rPr>
        <w:t xml:space="preserve">She appointed her current attorneys and consulted with them in late November 2018. They provided her with a memorandum on 5 December 2018. She then consulted with her new attorneys ‘in around February or March 2019’. Given the </w:t>
      </w:r>
      <w:r w:rsidR="001D29DF" w:rsidRPr="006C1485">
        <w:rPr>
          <w:rFonts w:asciiTheme="minorBidi" w:hAnsiTheme="minorBidi"/>
          <w:bCs/>
        </w:rPr>
        <w:t xml:space="preserve">ease and </w:t>
      </w:r>
      <w:r w:rsidR="00F26521" w:rsidRPr="006C1485">
        <w:rPr>
          <w:rFonts w:asciiTheme="minorBidi" w:hAnsiTheme="minorBidi"/>
          <w:bCs/>
        </w:rPr>
        <w:t xml:space="preserve">relative immediacy of </w:t>
      </w:r>
      <w:r w:rsidR="00EB1C5E" w:rsidRPr="006C1485">
        <w:rPr>
          <w:rFonts w:asciiTheme="minorBidi" w:hAnsiTheme="minorBidi"/>
          <w:bCs/>
        </w:rPr>
        <w:t>modern digital</w:t>
      </w:r>
      <w:r w:rsidR="00F26521" w:rsidRPr="006C1485">
        <w:rPr>
          <w:rFonts w:asciiTheme="minorBidi" w:hAnsiTheme="minorBidi"/>
          <w:bCs/>
        </w:rPr>
        <w:t xml:space="preserve"> communication</w:t>
      </w:r>
      <w:r w:rsidR="00C80990" w:rsidRPr="006C1485">
        <w:rPr>
          <w:rFonts w:asciiTheme="minorBidi" w:hAnsiTheme="minorBidi"/>
          <w:bCs/>
        </w:rPr>
        <w:t>s</w:t>
      </w:r>
      <w:r w:rsidR="00F26521" w:rsidRPr="006C1485">
        <w:rPr>
          <w:rFonts w:asciiTheme="minorBidi" w:hAnsiTheme="minorBidi"/>
          <w:bCs/>
        </w:rPr>
        <w:t xml:space="preserve"> it is not clear why it took so long for her to consult with her new attorneys. </w:t>
      </w:r>
    </w:p>
    <w:p w14:paraId="5565BB7A" w14:textId="77777777" w:rsidR="00F26521" w:rsidRPr="00485224" w:rsidRDefault="00F26521" w:rsidP="00F26521">
      <w:pPr>
        <w:pStyle w:val="ListParagraph"/>
        <w:tabs>
          <w:tab w:val="left" w:pos="709"/>
        </w:tabs>
        <w:spacing w:after="0" w:line="360" w:lineRule="auto"/>
        <w:ind w:left="0"/>
        <w:jc w:val="both"/>
        <w:rPr>
          <w:rFonts w:asciiTheme="minorBidi" w:hAnsiTheme="minorBidi"/>
          <w:sz w:val="24"/>
          <w:szCs w:val="24"/>
        </w:rPr>
      </w:pPr>
    </w:p>
    <w:p w14:paraId="3AD62637" w14:textId="5559DE18" w:rsidR="00F26521" w:rsidRPr="006C1485" w:rsidRDefault="006C1485" w:rsidP="006C1485">
      <w:pPr>
        <w:tabs>
          <w:tab w:val="left" w:pos="709"/>
        </w:tabs>
        <w:spacing w:line="360" w:lineRule="auto"/>
        <w:jc w:val="both"/>
        <w:rPr>
          <w:rFonts w:asciiTheme="minorBidi" w:hAnsiTheme="minorBidi"/>
        </w:rPr>
      </w:pPr>
      <w:r w:rsidRPr="009E41F4">
        <w:rPr>
          <w:rFonts w:ascii="Arial" w:eastAsiaTheme="minorHAnsi" w:hAnsi="Arial" w:cs="Arial"/>
          <w:bCs/>
          <w:lang w:val="en-GB" w:eastAsia="en-US" w:bidi="ar-SA"/>
        </w:rPr>
        <w:t>[40]</w:t>
      </w:r>
      <w:r w:rsidRPr="009E41F4">
        <w:rPr>
          <w:rFonts w:ascii="Arial" w:eastAsiaTheme="minorHAnsi" w:hAnsi="Arial" w:cs="Arial"/>
          <w:bCs/>
          <w:lang w:val="en-GB" w:eastAsia="en-US" w:bidi="ar-SA"/>
        </w:rPr>
        <w:tab/>
      </w:r>
      <w:r w:rsidR="00F26521" w:rsidRPr="006C1485">
        <w:rPr>
          <w:rFonts w:asciiTheme="minorBidi" w:hAnsiTheme="minorBidi"/>
          <w:bCs/>
        </w:rPr>
        <w:t xml:space="preserve">Acting upon advice received, the applicant then instituted </w:t>
      </w:r>
      <w:r w:rsidR="001D29DF" w:rsidRPr="006C1485">
        <w:rPr>
          <w:rFonts w:asciiTheme="minorBidi" w:hAnsiTheme="minorBidi"/>
          <w:bCs/>
        </w:rPr>
        <w:t>an action</w:t>
      </w:r>
      <w:r w:rsidR="00F26521" w:rsidRPr="006C1485">
        <w:rPr>
          <w:rFonts w:asciiTheme="minorBidi" w:hAnsiTheme="minorBidi"/>
          <w:bCs/>
        </w:rPr>
        <w:t xml:space="preserve"> against her erstwhile attorneys. That action apparently proceeds and appears not yet to have been resolved. In her particulars of claim in the action against her erstwhile attorneys, </w:t>
      </w:r>
      <w:r w:rsidR="00C80990" w:rsidRPr="006C1485">
        <w:rPr>
          <w:rFonts w:asciiTheme="minorBidi" w:hAnsiTheme="minorBidi"/>
          <w:bCs/>
        </w:rPr>
        <w:t>she explains that it was</w:t>
      </w:r>
      <w:r w:rsidR="00F26521" w:rsidRPr="006C1485">
        <w:rPr>
          <w:rFonts w:asciiTheme="minorBidi" w:hAnsiTheme="minorBidi"/>
          <w:bCs/>
        </w:rPr>
        <w:t xml:space="preserve"> pleaded that her claim against the defendant had prescribed. In November 2019, her erstwhile attorneys pleaded to those particulars of claim and </w:t>
      </w:r>
      <w:r w:rsidR="00F26521" w:rsidRPr="006C1485">
        <w:rPr>
          <w:rFonts w:asciiTheme="minorBidi" w:hAnsiTheme="minorBidi"/>
          <w:bCs/>
        </w:rPr>
        <w:lastRenderedPageBreak/>
        <w:t xml:space="preserve">denied that her claim had prescribed. It appears that the applicant has unquestioningly </w:t>
      </w:r>
      <w:r w:rsidR="00EB1C5E" w:rsidRPr="006C1485">
        <w:rPr>
          <w:rFonts w:asciiTheme="minorBidi" w:hAnsiTheme="minorBidi"/>
          <w:bCs/>
        </w:rPr>
        <w:t xml:space="preserve">now </w:t>
      </w:r>
      <w:r w:rsidR="00F26521" w:rsidRPr="006C1485">
        <w:rPr>
          <w:rFonts w:asciiTheme="minorBidi" w:hAnsiTheme="minorBidi"/>
          <w:bCs/>
        </w:rPr>
        <w:t>accepted that to be the case. Not much happened thereafter due to the Covid-19 pandemic but the applicant had a telephone conversation with her new attorney in August 2020.</w:t>
      </w:r>
    </w:p>
    <w:p w14:paraId="4484DF3A" w14:textId="77777777" w:rsidR="00F26521" w:rsidRPr="009E41F4" w:rsidRDefault="00F26521" w:rsidP="00F26521">
      <w:pPr>
        <w:pStyle w:val="ListParagraph"/>
        <w:tabs>
          <w:tab w:val="left" w:pos="709"/>
        </w:tabs>
        <w:spacing w:after="0" w:line="360" w:lineRule="auto"/>
        <w:ind w:left="0"/>
        <w:jc w:val="both"/>
        <w:rPr>
          <w:rFonts w:asciiTheme="minorBidi" w:hAnsiTheme="minorBidi"/>
          <w:sz w:val="24"/>
          <w:szCs w:val="24"/>
        </w:rPr>
      </w:pPr>
    </w:p>
    <w:p w14:paraId="38748658" w14:textId="29EED443" w:rsidR="00F26521" w:rsidRPr="006C1485" w:rsidRDefault="006C1485" w:rsidP="006C1485">
      <w:pPr>
        <w:tabs>
          <w:tab w:val="left" w:pos="709"/>
        </w:tabs>
        <w:spacing w:line="360" w:lineRule="auto"/>
        <w:jc w:val="both"/>
        <w:rPr>
          <w:rFonts w:asciiTheme="minorBidi" w:hAnsiTheme="minorBidi"/>
        </w:rPr>
      </w:pPr>
      <w:r w:rsidRPr="00EF709A">
        <w:rPr>
          <w:rFonts w:ascii="Arial" w:eastAsiaTheme="minorHAnsi" w:hAnsi="Arial" w:cs="Arial"/>
          <w:bCs/>
          <w:lang w:val="en-GB" w:eastAsia="en-US" w:bidi="ar-SA"/>
        </w:rPr>
        <w:t>[41]</w:t>
      </w:r>
      <w:r w:rsidRPr="00EF709A">
        <w:rPr>
          <w:rFonts w:ascii="Arial" w:eastAsiaTheme="minorHAnsi" w:hAnsi="Arial" w:cs="Arial"/>
          <w:bCs/>
          <w:lang w:val="en-GB" w:eastAsia="en-US" w:bidi="ar-SA"/>
        </w:rPr>
        <w:tab/>
      </w:r>
      <w:r w:rsidR="00F26521" w:rsidRPr="006C1485">
        <w:rPr>
          <w:rFonts w:asciiTheme="minorBidi" w:hAnsiTheme="minorBidi"/>
          <w:bCs/>
        </w:rPr>
        <w:t>Despite the acknowledgment that she ought to have changed attorneys much earlier</w:t>
      </w:r>
      <w:r w:rsidR="00C80990" w:rsidRPr="006C1485">
        <w:rPr>
          <w:rFonts w:asciiTheme="minorBidi" w:hAnsiTheme="minorBidi"/>
          <w:bCs/>
        </w:rPr>
        <w:t xml:space="preserve"> </w:t>
      </w:r>
      <w:r w:rsidR="00EB1C5E" w:rsidRPr="006C1485">
        <w:rPr>
          <w:rFonts w:asciiTheme="minorBidi" w:hAnsiTheme="minorBidi"/>
          <w:bCs/>
        </w:rPr>
        <w:t xml:space="preserve">than she did </w:t>
      </w:r>
      <w:r w:rsidR="00C80990" w:rsidRPr="006C1485">
        <w:rPr>
          <w:rFonts w:asciiTheme="minorBidi" w:hAnsiTheme="minorBidi"/>
          <w:bCs/>
        </w:rPr>
        <w:t>and her criticism of the decisions and pace at which her erstwhile attorneys worked,</w:t>
      </w:r>
      <w:r w:rsidR="00F26521" w:rsidRPr="006C1485">
        <w:rPr>
          <w:rFonts w:asciiTheme="minorBidi" w:hAnsiTheme="minorBidi"/>
          <w:bCs/>
        </w:rPr>
        <w:t xml:space="preserve"> it appears that the new attorneys appointed by the applicant displayed no greater haste in progressing the substitution application than the </w:t>
      </w:r>
      <w:r w:rsidR="00C80990" w:rsidRPr="006C1485">
        <w:rPr>
          <w:rFonts w:asciiTheme="minorBidi" w:hAnsiTheme="minorBidi"/>
          <w:bCs/>
        </w:rPr>
        <w:t>erstwhile</w:t>
      </w:r>
      <w:r w:rsidR="00F26521" w:rsidRPr="006C1485">
        <w:rPr>
          <w:rFonts w:asciiTheme="minorBidi" w:hAnsiTheme="minorBidi"/>
          <w:bCs/>
        </w:rPr>
        <w:t xml:space="preserve"> attorneys. </w:t>
      </w:r>
      <w:r w:rsidR="00C80990" w:rsidRPr="006C1485">
        <w:rPr>
          <w:rFonts w:asciiTheme="minorBidi" w:hAnsiTheme="minorBidi"/>
          <w:bCs/>
        </w:rPr>
        <w:t xml:space="preserve">Regard being had to the fact that she first </w:t>
      </w:r>
      <w:r w:rsidR="00B10AA6" w:rsidRPr="006C1485">
        <w:rPr>
          <w:rFonts w:asciiTheme="minorBidi" w:hAnsiTheme="minorBidi"/>
          <w:bCs/>
        </w:rPr>
        <w:t>contacted</w:t>
      </w:r>
      <w:r w:rsidR="00C80990" w:rsidRPr="006C1485">
        <w:rPr>
          <w:rFonts w:asciiTheme="minorBidi" w:hAnsiTheme="minorBidi"/>
          <w:bCs/>
        </w:rPr>
        <w:t xml:space="preserve"> her new attorneys in late November 2018, the replying affidavit </w:t>
      </w:r>
      <w:r w:rsidR="00EB1C5E" w:rsidRPr="006C1485">
        <w:rPr>
          <w:rFonts w:asciiTheme="minorBidi" w:hAnsiTheme="minorBidi"/>
          <w:bCs/>
        </w:rPr>
        <w:t xml:space="preserve">in the substitution application </w:t>
      </w:r>
      <w:r w:rsidR="00C80990" w:rsidRPr="006C1485">
        <w:rPr>
          <w:rFonts w:asciiTheme="minorBidi" w:hAnsiTheme="minorBidi"/>
          <w:bCs/>
        </w:rPr>
        <w:t xml:space="preserve">was </w:t>
      </w:r>
      <w:r w:rsidR="00EB1C5E" w:rsidRPr="006C1485">
        <w:rPr>
          <w:rFonts w:asciiTheme="minorBidi" w:hAnsiTheme="minorBidi"/>
          <w:bCs/>
        </w:rPr>
        <w:t xml:space="preserve">only </w:t>
      </w:r>
      <w:r w:rsidR="00C80990" w:rsidRPr="006C1485">
        <w:rPr>
          <w:rFonts w:asciiTheme="minorBidi" w:hAnsiTheme="minorBidi"/>
          <w:bCs/>
        </w:rPr>
        <w:t>delivered some two and a half years later</w:t>
      </w:r>
      <w:r w:rsidR="00911E0C" w:rsidRPr="006C1485">
        <w:rPr>
          <w:rFonts w:asciiTheme="minorBidi" w:hAnsiTheme="minorBidi"/>
          <w:bCs/>
        </w:rPr>
        <w:t>,</w:t>
      </w:r>
      <w:r w:rsidR="00C80990" w:rsidRPr="006C1485">
        <w:rPr>
          <w:rFonts w:asciiTheme="minorBidi" w:hAnsiTheme="minorBidi"/>
          <w:bCs/>
        </w:rPr>
        <w:t xml:space="preserve"> on 14 May 2021.</w:t>
      </w:r>
    </w:p>
    <w:p w14:paraId="6952A260" w14:textId="77777777" w:rsidR="00F26521" w:rsidRPr="00EF709A" w:rsidRDefault="00F26521" w:rsidP="00F26521">
      <w:pPr>
        <w:pStyle w:val="ListParagraph"/>
        <w:spacing w:line="360" w:lineRule="auto"/>
        <w:rPr>
          <w:rFonts w:asciiTheme="minorBidi" w:hAnsiTheme="minorBidi"/>
          <w:sz w:val="24"/>
          <w:szCs w:val="24"/>
        </w:rPr>
      </w:pPr>
    </w:p>
    <w:p w14:paraId="222C36DC" w14:textId="1C2D9F4D" w:rsidR="00C80990" w:rsidRPr="006C1485" w:rsidRDefault="006C1485" w:rsidP="006C1485">
      <w:pPr>
        <w:tabs>
          <w:tab w:val="left" w:pos="709"/>
        </w:tabs>
        <w:spacing w:line="360" w:lineRule="auto"/>
        <w:jc w:val="both"/>
        <w:rPr>
          <w:rFonts w:asciiTheme="minorBidi" w:hAnsiTheme="minorBidi"/>
        </w:rPr>
      </w:pPr>
      <w:r w:rsidRPr="006D2B31">
        <w:rPr>
          <w:rFonts w:ascii="Arial" w:eastAsiaTheme="minorHAnsi" w:hAnsi="Arial" w:cs="Arial"/>
          <w:bCs/>
          <w:lang w:val="en-GB" w:eastAsia="en-US" w:bidi="ar-SA"/>
        </w:rPr>
        <w:t>[42]</w:t>
      </w:r>
      <w:r w:rsidRPr="006D2B31">
        <w:rPr>
          <w:rFonts w:ascii="Arial" w:eastAsiaTheme="minorHAnsi" w:hAnsi="Arial" w:cs="Arial"/>
          <w:bCs/>
          <w:lang w:val="en-GB" w:eastAsia="en-US" w:bidi="ar-SA"/>
        </w:rPr>
        <w:tab/>
      </w:r>
      <w:r w:rsidR="00F26521" w:rsidRPr="006C1485">
        <w:rPr>
          <w:rFonts w:asciiTheme="minorBidi" w:hAnsiTheme="minorBidi"/>
        </w:rPr>
        <w:t>The law expects litigants to act with all due and necessary haste when litigating. Where there is a prolonged lack of speed</w:t>
      </w:r>
      <w:r w:rsidR="00C80990" w:rsidRPr="006C1485">
        <w:rPr>
          <w:rFonts w:asciiTheme="minorBidi" w:hAnsiTheme="minorBidi"/>
        </w:rPr>
        <w:t xml:space="preserve"> and an ignoring of prescribed time limits</w:t>
      </w:r>
      <w:r w:rsidR="00F26521" w:rsidRPr="006C1485">
        <w:rPr>
          <w:rFonts w:asciiTheme="minorBidi" w:hAnsiTheme="minorBidi"/>
        </w:rPr>
        <w:t>, the defaulting party must provide compelling reasons why their failure to act with the required swiftness should be overlooked.</w:t>
      </w:r>
      <w:r w:rsidR="00EB1C5E" w:rsidRPr="006C1485">
        <w:rPr>
          <w:rFonts w:asciiTheme="minorBidi" w:hAnsiTheme="minorBidi"/>
        </w:rPr>
        <w:t xml:space="preserve"> </w:t>
      </w:r>
      <w:r w:rsidR="00C80990" w:rsidRPr="006C1485">
        <w:rPr>
          <w:rFonts w:asciiTheme="minorBidi" w:hAnsiTheme="minorBidi"/>
        </w:rPr>
        <w:t xml:space="preserve">The applicant does not </w:t>
      </w:r>
      <w:r w:rsidR="001D29DF" w:rsidRPr="006C1485">
        <w:rPr>
          <w:rFonts w:asciiTheme="minorBidi" w:hAnsiTheme="minorBidi"/>
        </w:rPr>
        <w:t xml:space="preserve">explicitly </w:t>
      </w:r>
      <w:r w:rsidR="002B6F5F" w:rsidRPr="006C1485">
        <w:rPr>
          <w:rFonts w:asciiTheme="minorBidi" w:hAnsiTheme="minorBidi"/>
        </w:rPr>
        <w:t>seek that</w:t>
      </w:r>
      <w:r w:rsidR="00C80990" w:rsidRPr="006C1485">
        <w:rPr>
          <w:rFonts w:asciiTheme="minorBidi" w:hAnsiTheme="minorBidi"/>
        </w:rPr>
        <w:t xml:space="preserve"> condonation. I suppose that it is conceivable that her description of what occurred over the past decade could, charitably, be considered as an attempt at seeking condonation, without labelling it as such. But it appears to me that what the applicant has engaged in is what was contemplated in</w:t>
      </w:r>
      <w:r w:rsidR="00C80990" w:rsidRPr="006C1485">
        <w:rPr>
          <w:rFonts w:asciiTheme="minorBidi" w:hAnsiTheme="minorBidi"/>
          <w:color w:val="242121"/>
          <w:lang w:val="en-US"/>
        </w:rPr>
        <w:t> </w:t>
      </w:r>
      <w:r w:rsidR="00C80990" w:rsidRPr="006C1485">
        <w:rPr>
          <w:rFonts w:asciiTheme="minorBidi" w:hAnsiTheme="minorBidi"/>
          <w:i/>
          <w:iCs/>
          <w:color w:val="242121"/>
          <w:lang w:val="en-US"/>
        </w:rPr>
        <w:t>Independent Municipal and Allied Trade Union on behalf of Zungu v SA Local Government Bargaining Council and others</w:t>
      </w:r>
      <w:r w:rsidR="00C80990" w:rsidRPr="006C1485">
        <w:rPr>
          <w:rFonts w:asciiTheme="minorBidi" w:hAnsiTheme="minorBidi"/>
          <w:color w:val="242121"/>
          <w:lang w:val="en-US"/>
        </w:rPr>
        <w:t>,</w:t>
      </w:r>
      <w:r w:rsidR="00C80990" w:rsidRPr="006D2B31">
        <w:rPr>
          <w:rStyle w:val="FootnoteReference"/>
          <w:rFonts w:asciiTheme="minorBidi" w:hAnsiTheme="minorBidi"/>
          <w:color w:val="242121"/>
          <w:lang w:val="en-US"/>
        </w:rPr>
        <w:footnoteReference w:id="12"/>
      </w:r>
      <w:r w:rsidR="00C80990" w:rsidRPr="006C1485">
        <w:rPr>
          <w:rFonts w:asciiTheme="minorBidi" w:hAnsiTheme="minorBidi"/>
          <w:color w:val="242121"/>
          <w:lang w:val="en-US"/>
        </w:rPr>
        <w:t xml:space="preserve"> </w:t>
      </w:r>
      <w:r w:rsidR="002B6F5F" w:rsidRPr="006C1485">
        <w:rPr>
          <w:rFonts w:asciiTheme="minorBidi" w:hAnsiTheme="minorBidi"/>
          <w:color w:val="242121"/>
          <w:lang w:val="en-US"/>
        </w:rPr>
        <w:t xml:space="preserve">where </w:t>
      </w:r>
      <w:r w:rsidR="00C80990" w:rsidRPr="006C1485">
        <w:rPr>
          <w:rFonts w:asciiTheme="minorBidi" w:hAnsiTheme="minorBidi"/>
          <w:color w:val="242121"/>
          <w:lang w:val="en-US"/>
        </w:rPr>
        <w:t>the court held that:</w:t>
      </w:r>
    </w:p>
    <w:p w14:paraId="154164AD" w14:textId="77777777" w:rsidR="00C80990" w:rsidRDefault="00C80990" w:rsidP="00C80990">
      <w:pPr>
        <w:pStyle w:val="NormalWeb"/>
        <w:shd w:val="clear" w:color="auto" w:fill="FFFFFF"/>
        <w:spacing w:before="0" w:beforeAutospacing="0" w:after="0" w:afterAutospacing="0" w:line="360" w:lineRule="auto"/>
        <w:jc w:val="both"/>
        <w:rPr>
          <w:rFonts w:asciiTheme="minorBidi" w:hAnsiTheme="minorBidi" w:cstheme="minorBidi"/>
          <w:color w:val="242121"/>
          <w:sz w:val="22"/>
          <w:szCs w:val="22"/>
          <w:lang w:val="en-US"/>
        </w:rPr>
      </w:pPr>
      <w:r w:rsidRPr="003B01F3">
        <w:rPr>
          <w:rFonts w:asciiTheme="minorBidi" w:hAnsiTheme="minorBidi" w:cstheme="minorBidi"/>
          <w:color w:val="242121"/>
          <w:sz w:val="22"/>
          <w:szCs w:val="22"/>
        </w:rPr>
        <w:t>‘</w:t>
      </w:r>
      <w:r w:rsidRPr="003B01F3">
        <w:rPr>
          <w:rFonts w:asciiTheme="minorBidi" w:hAnsiTheme="minorBidi" w:cstheme="minorBidi"/>
          <w:color w:val="242121"/>
          <w:sz w:val="22"/>
          <w:szCs w:val="22"/>
          <w:lang w:val="en-US"/>
        </w:rPr>
        <w:t>In explaining the reason for the delay it is necessary for the party seeking condonation to fully explain the reason for the delay in order for the court to be in a proper position to assess whether or not the explanation is a good one. This in my view requires an explanation which covers the full length of the delay. The mere listing of significant events which took place during the period in question without an explanation for the time that lapsed between these events does not place a court in a position properly to assess the explanation for the delay. This amounts to nothing more than a recordal of the dates relevant to the processing of a dispute or application, as the case may be.</w:t>
      </w:r>
      <w:r>
        <w:rPr>
          <w:rFonts w:asciiTheme="minorBidi" w:hAnsiTheme="minorBidi" w:cstheme="minorBidi"/>
          <w:color w:val="242121"/>
          <w:sz w:val="22"/>
          <w:szCs w:val="22"/>
          <w:lang w:val="en-US"/>
        </w:rPr>
        <w:t>’</w:t>
      </w:r>
    </w:p>
    <w:p w14:paraId="08BFF0A8" w14:textId="77777777" w:rsidR="002435AF" w:rsidRPr="002435AF" w:rsidRDefault="002435AF" w:rsidP="00C80990">
      <w:pPr>
        <w:pStyle w:val="NormalWeb"/>
        <w:shd w:val="clear" w:color="auto" w:fill="FFFFFF"/>
        <w:spacing w:before="0" w:beforeAutospacing="0" w:after="0" w:afterAutospacing="0" w:line="360" w:lineRule="auto"/>
        <w:jc w:val="both"/>
        <w:rPr>
          <w:rFonts w:asciiTheme="minorBidi" w:hAnsiTheme="minorBidi" w:cstheme="minorBidi"/>
          <w:color w:val="242121"/>
          <w:lang w:val="en-US"/>
        </w:rPr>
      </w:pPr>
    </w:p>
    <w:p w14:paraId="46800C29" w14:textId="57C39C69" w:rsidR="002B6F5F" w:rsidRPr="006C1485" w:rsidRDefault="006C1485" w:rsidP="006C1485">
      <w:pPr>
        <w:shd w:val="clear" w:color="auto" w:fill="FFFFFF"/>
        <w:tabs>
          <w:tab w:val="left" w:pos="709"/>
        </w:tabs>
        <w:spacing w:line="360" w:lineRule="auto"/>
        <w:jc w:val="both"/>
        <w:rPr>
          <w:rFonts w:asciiTheme="minorBidi" w:hAnsiTheme="minorBidi"/>
        </w:rPr>
      </w:pPr>
      <w:r>
        <w:rPr>
          <w:rFonts w:ascii="Arial" w:eastAsiaTheme="minorHAnsi" w:hAnsi="Arial" w:cs="Arial"/>
          <w:bCs/>
          <w:lang w:val="en-GB" w:eastAsia="en-US" w:bidi="ar-SA"/>
        </w:rPr>
        <w:lastRenderedPageBreak/>
        <w:t>[43]</w:t>
      </w:r>
      <w:r>
        <w:rPr>
          <w:rFonts w:ascii="Arial" w:eastAsiaTheme="minorHAnsi" w:hAnsi="Arial" w:cs="Arial"/>
          <w:bCs/>
          <w:lang w:val="en-GB" w:eastAsia="en-US" w:bidi="ar-SA"/>
        </w:rPr>
        <w:tab/>
      </w:r>
      <w:r w:rsidR="001D29DF" w:rsidRPr="006C1485">
        <w:rPr>
          <w:rFonts w:asciiTheme="minorBidi" w:hAnsiTheme="minorBidi"/>
        </w:rPr>
        <w:t>There is no real explanation why there were such prolonged delays between the signal events recounted by the applicant in her replying affidavit</w:t>
      </w:r>
      <w:r w:rsidR="00262CC0" w:rsidRPr="006C1485">
        <w:rPr>
          <w:rFonts w:asciiTheme="minorBidi" w:hAnsiTheme="minorBidi"/>
        </w:rPr>
        <w:t xml:space="preserve">. </w:t>
      </w:r>
      <w:r w:rsidR="002B6F5F" w:rsidRPr="006C1485">
        <w:rPr>
          <w:rFonts w:asciiTheme="minorBidi" w:hAnsiTheme="minorBidi"/>
        </w:rPr>
        <w:t xml:space="preserve">Because she has not sought condonation, the applicant has </w:t>
      </w:r>
      <w:r w:rsidR="00262CC0" w:rsidRPr="006C1485">
        <w:rPr>
          <w:rFonts w:asciiTheme="minorBidi" w:hAnsiTheme="minorBidi"/>
        </w:rPr>
        <w:t xml:space="preserve">also </w:t>
      </w:r>
      <w:r w:rsidR="002B6F5F" w:rsidRPr="006C1485">
        <w:rPr>
          <w:rFonts w:asciiTheme="minorBidi" w:hAnsiTheme="minorBidi"/>
        </w:rPr>
        <w:t xml:space="preserve">not addressed her prospects of success should condonation be granted. Those prospects will come into </w:t>
      </w:r>
      <w:r w:rsidR="00EB1C5E" w:rsidRPr="006C1485">
        <w:rPr>
          <w:rFonts w:asciiTheme="minorBidi" w:hAnsiTheme="minorBidi"/>
        </w:rPr>
        <w:t>focus</w:t>
      </w:r>
      <w:r w:rsidR="002B6F5F" w:rsidRPr="006C1485">
        <w:rPr>
          <w:rFonts w:asciiTheme="minorBidi" w:hAnsiTheme="minorBidi"/>
        </w:rPr>
        <w:t xml:space="preserve"> when some of the remaining issues are addressed.</w:t>
      </w:r>
      <w:r w:rsidR="00F26521" w:rsidRPr="006C1485">
        <w:rPr>
          <w:rFonts w:asciiTheme="minorBidi" w:hAnsiTheme="minorBidi"/>
        </w:rPr>
        <w:t xml:space="preserve"> </w:t>
      </w:r>
    </w:p>
    <w:p w14:paraId="395F6466" w14:textId="77777777" w:rsidR="002B6F5F" w:rsidRDefault="002B6F5F" w:rsidP="002B6F5F">
      <w:pPr>
        <w:pStyle w:val="ListParagraph"/>
        <w:shd w:val="clear" w:color="auto" w:fill="FFFFFF"/>
        <w:tabs>
          <w:tab w:val="left" w:pos="709"/>
        </w:tabs>
        <w:spacing w:after="0" w:line="360" w:lineRule="auto"/>
        <w:ind w:left="0"/>
        <w:jc w:val="both"/>
        <w:rPr>
          <w:rFonts w:asciiTheme="minorBidi" w:hAnsiTheme="minorBidi"/>
          <w:sz w:val="24"/>
          <w:szCs w:val="24"/>
        </w:rPr>
      </w:pPr>
    </w:p>
    <w:p w14:paraId="1B9B7F4A" w14:textId="7FD8271D" w:rsidR="00B65518" w:rsidRPr="006C1485" w:rsidRDefault="006C1485" w:rsidP="006C1485">
      <w:pPr>
        <w:shd w:val="clear" w:color="auto" w:fill="FFFFFF"/>
        <w:tabs>
          <w:tab w:val="left" w:pos="709"/>
        </w:tabs>
        <w:spacing w:line="360" w:lineRule="auto"/>
        <w:jc w:val="both"/>
        <w:rPr>
          <w:rFonts w:asciiTheme="minorBidi" w:hAnsiTheme="minorBidi"/>
        </w:rPr>
      </w:pPr>
      <w:r w:rsidRPr="00DC1EDB">
        <w:rPr>
          <w:rFonts w:ascii="Arial" w:eastAsiaTheme="minorHAnsi" w:hAnsi="Arial" w:cs="Arial"/>
          <w:bCs/>
          <w:lang w:val="en-GB" w:eastAsia="en-US" w:bidi="ar-SA"/>
        </w:rPr>
        <w:t>[44]</w:t>
      </w:r>
      <w:r w:rsidRPr="00DC1EDB">
        <w:rPr>
          <w:rFonts w:ascii="Arial" w:eastAsiaTheme="minorHAnsi" w:hAnsi="Arial" w:cs="Arial"/>
          <w:bCs/>
          <w:lang w:val="en-GB" w:eastAsia="en-US" w:bidi="ar-SA"/>
        </w:rPr>
        <w:tab/>
      </w:r>
      <w:r w:rsidR="00F26521" w:rsidRPr="006C1485">
        <w:rPr>
          <w:rFonts w:asciiTheme="minorBidi" w:hAnsiTheme="minorBidi"/>
        </w:rPr>
        <w:t>I am not satisfied by the</w:t>
      </w:r>
      <w:r w:rsidR="002B6F5F" w:rsidRPr="006C1485">
        <w:rPr>
          <w:rFonts w:asciiTheme="minorBidi" w:hAnsiTheme="minorBidi"/>
        </w:rPr>
        <w:t xml:space="preserve"> partial</w:t>
      </w:r>
      <w:r w:rsidR="00F26521" w:rsidRPr="006C1485">
        <w:rPr>
          <w:rFonts w:asciiTheme="minorBidi" w:hAnsiTheme="minorBidi"/>
        </w:rPr>
        <w:t xml:space="preserve"> explanation provided by the applicant for the prolonged delay in the preparation and delivery of her replying affidavit. </w:t>
      </w:r>
      <w:r w:rsidR="00262CC0" w:rsidRPr="006C1485">
        <w:rPr>
          <w:rFonts w:asciiTheme="minorBidi" w:hAnsiTheme="minorBidi"/>
        </w:rPr>
        <w:t xml:space="preserve">Her explanation is characterised by a lack of concern for the time limits applicable. </w:t>
      </w:r>
      <w:r w:rsidR="002B6F5F" w:rsidRPr="006C1485">
        <w:rPr>
          <w:rFonts w:asciiTheme="minorBidi" w:hAnsiTheme="minorBidi"/>
          <w:bCs/>
        </w:rPr>
        <w:t xml:space="preserve">Large chunks of time are simply glossed over by her. </w:t>
      </w:r>
      <w:r w:rsidR="00262CC0" w:rsidRPr="006C1485">
        <w:rPr>
          <w:rFonts w:asciiTheme="minorBidi" w:hAnsiTheme="minorBidi"/>
          <w:bCs/>
        </w:rPr>
        <w:t xml:space="preserve">Her attitude almost borders on an abandonment of the substitution application in preference to pursuing her erstwhile attorneys. </w:t>
      </w:r>
      <w:r w:rsidR="00F26521" w:rsidRPr="006C1485">
        <w:rPr>
          <w:rFonts w:asciiTheme="minorBidi" w:hAnsiTheme="minorBidi"/>
        </w:rPr>
        <w:t>Her lethargy</w:t>
      </w:r>
      <w:r w:rsidR="002B6F5F" w:rsidRPr="006C1485">
        <w:rPr>
          <w:rFonts w:asciiTheme="minorBidi" w:hAnsiTheme="minorBidi"/>
        </w:rPr>
        <w:t xml:space="preserve"> in advancing the matter</w:t>
      </w:r>
      <w:r w:rsidR="00F26521" w:rsidRPr="006C1485">
        <w:rPr>
          <w:rFonts w:asciiTheme="minorBidi" w:hAnsiTheme="minorBidi"/>
        </w:rPr>
        <w:t xml:space="preserve"> has not been satisfactorily explained</w:t>
      </w:r>
      <w:r w:rsidR="002B6F5F" w:rsidRPr="006C1485">
        <w:rPr>
          <w:rFonts w:asciiTheme="minorBidi" w:hAnsiTheme="minorBidi"/>
        </w:rPr>
        <w:t>. To the extent that condonation was sought for the late filing of the replying affidavit, it is refused.</w:t>
      </w:r>
      <w:r w:rsidR="00BF1385" w:rsidRPr="006C1485">
        <w:rPr>
          <w:rFonts w:asciiTheme="minorBidi" w:hAnsiTheme="minorBidi"/>
        </w:rPr>
        <w:t xml:space="preserve"> </w:t>
      </w:r>
    </w:p>
    <w:p w14:paraId="376EF261" w14:textId="77777777" w:rsidR="006D2B31" w:rsidRDefault="006D2B31" w:rsidP="00D076CD">
      <w:pPr>
        <w:pStyle w:val="ListParagraph"/>
        <w:tabs>
          <w:tab w:val="left" w:pos="709"/>
        </w:tabs>
        <w:spacing w:after="0" w:line="360" w:lineRule="auto"/>
        <w:ind w:left="0"/>
        <w:jc w:val="both"/>
        <w:rPr>
          <w:rFonts w:asciiTheme="minorBidi" w:hAnsiTheme="minorBidi"/>
          <w:sz w:val="24"/>
          <w:szCs w:val="24"/>
        </w:rPr>
      </w:pPr>
    </w:p>
    <w:p w14:paraId="36554B6E" w14:textId="606664FA" w:rsidR="00BD0932" w:rsidRPr="00053669" w:rsidRDefault="00BD0932" w:rsidP="00D076CD">
      <w:pPr>
        <w:pStyle w:val="ListParagraph"/>
        <w:spacing w:after="0" w:line="360" w:lineRule="auto"/>
        <w:ind w:left="0"/>
        <w:jc w:val="both"/>
        <w:rPr>
          <w:rFonts w:asciiTheme="minorBidi" w:hAnsiTheme="minorBidi"/>
          <w:b/>
          <w:bCs/>
          <w:i/>
          <w:sz w:val="24"/>
          <w:szCs w:val="24"/>
        </w:rPr>
      </w:pPr>
      <w:r w:rsidRPr="00053669">
        <w:rPr>
          <w:rFonts w:asciiTheme="minorBidi" w:hAnsiTheme="minorBidi"/>
          <w:b/>
          <w:bCs/>
          <w:i/>
          <w:sz w:val="24"/>
          <w:szCs w:val="24"/>
        </w:rPr>
        <w:t>The third issue</w:t>
      </w:r>
      <w:r w:rsidR="002B6F5F" w:rsidRPr="00053669">
        <w:rPr>
          <w:rFonts w:asciiTheme="minorBidi" w:hAnsiTheme="minorBidi"/>
          <w:b/>
          <w:bCs/>
          <w:i/>
          <w:sz w:val="24"/>
          <w:szCs w:val="24"/>
        </w:rPr>
        <w:t xml:space="preserve">: whether Cotton King has a valid claim against the </w:t>
      </w:r>
      <w:r w:rsidR="00EF7DAB" w:rsidRPr="00053669">
        <w:rPr>
          <w:rFonts w:asciiTheme="minorBidi" w:hAnsiTheme="minorBidi"/>
          <w:b/>
          <w:bCs/>
          <w:i/>
          <w:sz w:val="24"/>
          <w:szCs w:val="24"/>
        </w:rPr>
        <w:t>d</w:t>
      </w:r>
      <w:r w:rsidR="002B6F5F" w:rsidRPr="00053669">
        <w:rPr>
          <w:rFonts w:asciiTheme="minorBidi" w:hAnsiTheme="minorBidi"/>
          <w:b/>
          <w:bCs/>
          <w:i/>
          <w:sz w:val="24"/>
          <w:szCs w:val="24"/>
        </w:rPr>
        <w:t>efendant, and whether it could have ceded such claim to the applicant</w:t>
      </w:r>
    </w:p>
    <w:p w14:paraId="013B8CC9" w14:textId="6ABD0B6B" w:rsidR="00AE4702" w:rsidRPr="006C1485" w:rsidRDefault="006C1485" w:rsidP="006C1485">
      <w:pPr>
        <w:tabs>
          <w:tab w:val="left" w:pos="709"/>
        </w:tabs>
        <w:spacing w:line="360" w:lineRule="auto"/>
        <w:jc w:val="both"/>
        <w:rPr>
          <w:rFonts w:asciiTheme="minorBidi" w:hAnsiTheme="minorBidi"/>
        </w:rPr>
      </w:pPr>
      <w:r w:rsidRPr="00AE4702">
        <w:rPr>
          <w:rFonts w:ascii="Arial" w:eastAsiaTheme="minorHAnsi" w:hAnsi="Arial" w:cs="Arial"/>
          <w:bCs/>
          <w:szCs w:val="22"/>
          <w:lang w:val="en-GB" w:eastAsia="en-US" w:bidi="ar-SA"/>
        </w:rPr>
        <w:t>[45]</w:t>
      </w:r>
      <w:r w:rsidRPr="00AE4702">
        <w:rPr>
          <w:rFonts w:ascii="Arial" w:eastAsiaTheme="minorHAnsi" w:hAnsi="Arial" w:cs="Arial"/>
          <w:bCs/>
          <w:szCs w:val="22"/>
          <w:lang w:val="en-GB" w:eastAsia="en-US" w:bidi="ar-SA"/>
        </w:rPr>
        <w:tab/>
      </w:r>
      <w:r w:rsidR="0004582B" w:rsidRPr="006C1485">
        <w:rPr>
          <w:rFonts w:asciiTheme="minorBidi" w:hAnsiTheme="minorBidi"/>
        </w:rPr>
        <w:t>The</w:t>
      </w:r>
      <w:r w:rsidR="00AE4702" w:rsidRPr="006C1485">
        <w:rPr>
          <w:rFonts w:asciiTheme="minorBidi" w:hAnsiTheme="minorBidi"/>
        </w:rPr>
        <w:t xml:space="preserve"> wording of this issue asks whether Cotton King ‘has’ a claim against the defendant. I shall assume that what was intended was whether Cotton King ‘had’ a claim against the defendant, as it is common cause that Cotton King purported to cede its right</w:t>
      </w:r>
      <w:r w:rsidR="00262CC0" w:rsidRPr="006C1485">
        <w:rPr>
          <w:rFonts w:asciiTheme="minorBidi" w:hAnsiTheme="minorBidi"/>
        </w:rPr>
        <w:t>s</w:t>
      </w:r>
      <w:r w:rsidR="00AE4702" w:rsidRPr="006C1485">
        <w:rPr>
          <w:rFonts w:asciiTheme="minorBidi" w:hAnsiTheme="minorBidi"/>
        </w:rPr>
        <w:t xml:space="preserve"> to the applicant.</w:t>
      </w:r>
      <w:r w:rsidR="00D81523" w:rsidRPr="006C1485">
        <w:rPr>
          <w:rFonts w:asciiTheme="minorBidi" w:hAnsiTheme="minorBidi"/>
        </w:rPr>
        <w:t xml:space="preserve"> Having ceded that claim, it follows that Cotton King no longer has a claim against the defendant.</w:t>
      </w:r>
      <w:r w:rsidR="00D81523">
        <w:rPr>
          <w:rStyle w:val="FootnoteReference"/>
          <w:rFonts w:asciiTheme="minorBidi" w:hAnsiTheme="minorBidi"/>
        </w:rPr>
        <w:footnoteReference w:id="13"/>
      </w:r>
    </w:p>
    <w:p w14:paraId="6494BBFB" w14:textId="77777777" w:rsidR="00AE4702" w:rsidRPr="00AE4702" w:rsidRDefault="00AE4702" w:rsidP="00D076CD">
      <w:pPr>
        <w:pStyle w:val="ListParagraph"/>
        <w:tabs>
          <w:tab w:val="left" w:pos="709"/>
        </w:tabs>
        <w:spacing w:after="0" w:line="360" w:lineRule="auto"/>
        <w:ind w:left="0"/>
        <w:jc w:val="both"/>
        <w:rPr>
          <w:rFonts w:asciiTheme="minorBidi" w:hAnsiTheme="minorBidi"/>
        </w:rPr>
      </w:pPr>
    </w:p>
    <w:p w14:paraId="38FC7888" w14:textId="48D06020" w:rsidR="0004582B" w:rsidRPr="006C1485" w:rsidRDefault="006C1485" w:rsidP="006C1485">
      <w:pPr>
        <w:tabs>
          <w:tab w:val="left" w:pos="709"/>
        </w:tabs>
        <w:spacing w:line="360" w:lineRule="auto"/>
        <w:jc w:val="both"/>
        <w:rPr>
          <w:rFonts w:asciiTheme="minorBidi" w:hAnsiTheme="minorBidi"/>
        </w:rPr>
      </w:pPr>
      <w:r w:rsidRPr="00A60ACA">
        <w:rPr>
          <w:rFonts w:ascii="Arial" w:eastAsiaTheme="minorHAnsi" w:hAnsi="Arial" w:cs="Arial"/>
          <w:bCs/>
          <w:szCs w:val="22"/>
          <w:lang w:val="en-GB" w:eastAsia="en-US" w:bidi="ar-SA"/>
        </w:rPr>
        <w:t>[46]</w:t>
      </w:r>
      <w:r w:rsidRPr="00A60ACA">
        <w:rPr>
          <w:rFonts w:ascii="Arial" w:eastAsiaTheme="minorHAnsi" w:hAnsi="Arial" w:cs="Arial"/>
          <w:bCs/>
          <w:szCs w:val="22"/>
          <w:lang w:val="en-GB" w:eastAsia="en-US" w:bidi="ar-SA"/>
        </w:rPr>
        <w:tab/>
      </w:r>
      <w:r w:rsidR="00BF1385" w:rsidRPr="006C1485">
        <w:rPr>
          <w:rFonts w:asciiTheme="minorBidi" w:hAnsiTheme="minorBidi"/>
        </w:rPr>
        <w:t xml:space="preserve"> </w:t>
      </w:r>
      <w:r w:rsidR="00AE4702" w:rsidRPr="006C1485">
        <w:rPr>
          <w:rFonts w:asciiTheme="minorBidi" w:hAnsiTheme="minorBidi"/>
        </w:rPr>
        <w:t xml:space="preserve">The </w:t>
      </w:r>
      <w:r w:rsidR="002B6F5F" w:rsidRPr="006C1485">
        <w:rPr>
          <w:rFonts w:asciiTheme="minorBidi" w:hAnsiTheme="minorBidi"/>
        </w:rPr>
        <w:t>deed of cession is the fulcrum around which the applicant’s claim rotates. It is essential to the survival of her claim against the defendant. It is also, in my view, explicit in what it states.</w:t>
      </w:r>
    </w:p>
    <w:p w14:paraId="48A8D15F" w14:textId="77777777" w:rsidR="00A60ACA" w:rsidRPr="00A60ACA" w:rsidRDefault="00A60ACA" w:rsidP="00D076CD">
      <w:pPr>
        <w:pStyle w:val="ListParagraph"/>
        <w:tabs>
          <w:tab w:val="left" w:pos="709"/>
        </w:tabs>
        <w:spacing w:after="0" w:line="360" w:lineRule="auto"/>
        <w:ind w:left="0"/>
        <w:jc w:val="both"/>
        <w:rPr>
          <w:rFonts w:asciiTheme="minorBidi" w:hAnsiTheme="minorBidi"/>
        </w:rPr>
      </w:pPr>
    </w:p>
    <w:p w14:paraId="0F750CCC" w14:textId="2CBAA973" w:rsidR="00AE4702" w:rsidRPr="006C1485" w:rsidRDefault="006C1485" w:rsidP="006C1485">
      <w:pPr>
        <w:tabs>
          <w:tab w:val="left" w:pos="709"/>
        </w:tabs>
        <w:spacing w:line="360" w:lineRule="auto"/>
        <w:jc w:val="both"/>
        <w:rPr>
          <w:rFonts w:asciiTheme="minorBidi" w:hAnsiTheme="minorBidi"/>
        </w:rPr>
      </w:pPr>
      <w:r>
        <w:rPr>
          <w:rFonts w:ascii="Arial" w:eastAsiaTheme="minorHAnsi" w:hAnsi="Arial" w:cs="Arial"/>
          <w:bCs/>
          <w:lang w:val="en-GB" w:eastAsia="en-US" w:bidi="ar-SA"/>
        </w:rPr>
        <w:t>[47]</w:t>
      </w:r>
      <w:r>
        <w:rPr>
          <w:rFonts w:ascii="Arial" w:eastAsiaTheme="minorHAnsi" w:hAnsi="Arial" w:cs="Arial"/>
          <w:bCs/>
          <w:lang w:val="en-GB" w:eastAsia="en-US" w:bidi="ar-SA"/>
        </w:rPr>
        <w:tab/>
      </w:r>
      <w:r w:rsidR="00A60ACA" w:rsidRPr="006C1485">
        <w:rPr>
          <w:rFonts w:asciiTheme="minorBidi" w:hAnsiTheme="minorBidi"/>
        </w:rPr>
        <w:t xml:space="preserve">Whilst the deed of cession is generally unremarkable and contains provisions that one would expect to find in such a document, it is remarkable in one particular respect: it acknowledges that Cotton King was not the investor that </w:t>
      </w:r>
      <w:r w:rsidR="00FA3720" w:rsidRPr="006C1485">
        <w:rPr>
          <w:rFonts w:asciiTheme="minorBidi" w:hAnsiTheme="minorBidi"/>
        </w:rPr>
        <w:t xml:space="preserve">had </w:t>
      </w:r>
      <w:r w:rsidR="00A60ACA" w:rsidRPr="006C1485">
        <w:rPr>
          <w:rFonts w:asciiTheme="minorBidi" w:hAnsiTheme="minorBidi"/>
        </w:rPr>
        <w:t xml:space="preserve">paid the money to the defendant. </w:t>
      </w:r>
      <w:r w:rsidR="00262CC0" w:rsidRPr="006C1485">
        <w:rPr>
          <w:rFonts w:asciiTheme="minorBidi" w:hAnsiTheme="minorBidi"/>
        </w:rPr>
        <w:t>According to the two liquidators and the applicant, being the parties to the deed of cession, t</w:t>
      </w:r>
      <w:r w:rsidR="00A60ACA" w:rsidRPr="006C1485">
        <w:rPr>
          <w:rFonts w:asciiTheme="minorBidi" w:hAnsiTheme="minorBidi"/>
        </w:rPr>
        <w:t xml:space="preserve">he investor was the applicant. It follows that the monies </w:t>
      </w:r>
      <w:r w:rsidR="00A60ACA" w:rsidRPr="006C1485">
        <w:rPr>
          <w:rFonts w:asciiTheme="minorBidi" w:hAnsiTheme="minorBidi"/>
        </w:rPr>
        <w:lastRenderedPageBreak/>
        <w:t xml:space="preserve">invested with the defendant were not Cotton King’s but belonged to the applicant. The deed of cession need not have mentioned these details. But it did. </w:t>
      </w:r>
      <w:r w:rsidR="00262CC0" w:rsidRPr="006C1485">
        <w:rPr>
          <w:rFonts w:asciiTheme="minorBidi" w:hAnsiTheme="minorBidi"/>
        </w:rPr>
        <w:t xml:space="preserve">However, </w:t>
      </w:r>
      <w:r w:rsidR="00AE4702" w:rsidRPr="006C1485">
        <w:rPr>
          <w:rFonts w:asciiTheme="minorBidi" w:hAnsiTheme="minorBidi"/>
        </w:rPr>
        <w:t>Cotton King’s particulars of claim, even after they were amended, are entirely predicated on Cotton King being the investor.</w:t>
      </w:r>
    </w:p>
    <w:p w14:paraId="18789513" w14:textId="77777777" w:rsidR="00AE4702" w:rsidRPr="00AE4702" w:rsidRDefault="00AE4702" w:rsidP="00AE4702">
      <w:pPr>
        <w:pStyle w:val="ListParagraph"/>
        <w:spacing w:line="360" w:lineRule="auto"/>
        <w:rPr>
          <w:rFonts w:asciiTheme="minorBidi" w:hAnsiTheme="minorBidi"/>
          <w:sz w:val="24"/>
          <w:szCs w:val="24"/>
        </w:rPr>
      </w:pPr>
    </w:p>
    <w:p w14:paraId="64FBBEC2" w14:textId="397050E6" w:rsidR="00AE4702" w:rsidRPr="006C1485" w:rsidRDefault="006C1485" w:rsidP="006C1485">
      <w:pPr>
        <w:tabs>
          <w:tab w:val="left" w:pos="709"/>
        </w:tabs>
        <w:spacing w:line="360" w:lineRule="auto"/>
        <w:jc w:val="both"/>
        <w:rPr>
          <w:rFonts w:asciiTheme="minorBidi" w:hAnsiTheme="minorBidi"/>
        </w:rPr>
      </w:pPr>
      <w:r>
        <w:rPr>
          <w:rFonts w:ascii="Arial" w:eastAsiaTheme="minorHAnsi" w:hAnsi="Arial" w:cs="Arial"/>
          <w:bCs/>
          <w:lang w:val="en-GB" w:eastAsia="en-US" w:bidi="ar-SA"/>
        </w:rPr>
        <w:t>[48]</w:t>
      </w:r>
      <w:r>
        <w:rPr>
          <w:rFonts w:ascii="Arial" w:eastAsiaTheme="minorHAnsi" w:hAnsi="Arial" w:cs="Arial"/>
          <w:bCs/>
          <w:lang w:val="en-GB" w:eastAsia="en-US" w:bidi="ar-SA"/>
        </w:rPr>
        <w:tab/>
      </w:r>
      <w:r w:rsidR="00A60ACA" w:rsidRPr="006C1485">
        <w:rPr>
          <w:rFonts w:asciiTheme="minorBidi" w:hAnsiTheme="minorBidi"/>
        </w:rPr>
        <w:t>The admission in the deed of cession that it did not advance the investment to the defendant raises a troubling question</w:t>
      </w:r>
      <w:r w:rsidR="00AE4702" w:rsidRPr="006C1485">
        <w:rPr>
          <w:rFonts w:asciiTheme="minorBidi" w:hAnsiTheme="minorBidi"/>
        </w:rPr>
        <w:t xml:space="preserve"> for the applicant</w:t>
      </w:r>
      <w:r w:rsidR="00A60ACA" w:rsidRPr="006C1485">
        <w:rPr>
          <w:rFonts w:asciiTheme="minorBidi" w:hAnsiTheme="minorBidi"/>
        </w:rPr>
        <w:t xml:space="preserve">: what could </w:t>
      </w:r>
      <w:r w:rsidR="00AE4702" w:rsidRPr="006C1485">
        <w:rPr>
          <w:rFonts w:asciiTheme="minorBidi" w:hAnsiTheme="minorBidi"/>
        </w:rPr>
        <w:t>Cotton King</w:t>
      </w:r>
      <w:r w:rsidR="00A60ACA" w:rsidRPr="006C1485">
        <w:rPr>
          <w:rFonts w:asciiTheme="minorBidi" w:hAnsiTheme="minorBidi"/>
        </w:rPr>
        <w:t xml:space="preserve"> then cede to the applicant? </w:t>
      </w:r>
      <w:r w:rsidR="00AE4702" w:rsidRPr="006C1485">
        <w:rPr>
          <w:rFonts w:asciiTheme="minorBidi" w:hAnsiTheme="minorBidi"/>
        </w:rPr>
        <w:t xml:space="preserve">It is a matter of logic that a party </w:t>
      </w:r>
      <w:r w:rsidR="004A5EF4" w:rsidRPr="006C1485">
        <w:rPr>
          <w:rFonts w:asciiTheme="minorBidi" w:hAnsiTheme="minorBidi"/>
        </w:rPr>
        <w:t xml:space="preserve">who </w:t>
      </w:r>
      <w:r w:rsidR="00AE4702" w:rsidRPr="006C1485">
        <w:rPr>
          <w:rFonts w:asciiTheme="minorBidi" w:hAnsiTheme="minorBidi"/>
        </w:rPr>
        <w:t>concedes that it has no claim in law</w:t>
      </w:r>
      <w:r w:rsidR="00262CC0" w:rsidRPr="006C1485">
        <w:rPr>
          <w:rFonts w:asciiTheme="minorBidi" w:hAnsiTheme="minorBidi"/>
        </w:rPr>
        <w:t>, as the liquidators have done on behalf of Cotton King,</w:t>
      </w:r>
      <w:r w:rsidR="00AE4702" w:rsidRPr="006C1485">
        <w:rPr>
          <w:rFonts w:asciiTheme="minorBidi" w:hAnsiTheme="minorBidi"/>
        </w:rPr>
        <w:t xml:space="preserve"> has no legal right to cede.</w:t>
      </w:r>
    </w:p>
    <w:p w14:paraId="28D215E9" w14:textId="77777777" w:rsidR="00D076CD" w:rsidRDefault="00D076CD" w:rsidP="00D076CD">
      <w:pPr>
        <w:pStyle w:val="ListParagraph"/>
        <w:tabs>
          <w:tab w:val="left" w:pos="709"/>
        </w:tabs>
        <w:spacing w:after="0" w:line="360" w:lineRule="auto"/>
        <w:ind w:left="0"/>
        <w:jc w:val="both"/>
        <w:rPr>
          <w:rFonts w:asciiTheme="minorBidi" w:hAnsiTheme="minorBidi"/>
          <w:sz w:val="24"/>
          <w:szCs w:val="24"/>
        </w:rPr>
      </w:pPr>
    </w:p>
    <w:p w14:paraId="1E9F41AC" w14:textId="54B59129" w:rsidR="00AE4702" w:rsidRPr="006C1485" w:rsidRDefault="006C1485" w:rsidP="006C1485">
      <w:pPr>
        <w:spacing w:line="360" w:lineRule="auto"/>
        <w:jc w:val="both"/>
        <w:rPr>
          <w:rFonts w:asciiTheme="minorBidi" w:hAnsiTheme="minorBidi"/>
        </w:rPr>
      </w:pPr>
      <w:r>
        <w:rPr>
          <w:rFonts w:ascii="Arial" w:eastAsiaTheme="minorHAnsi" w:hAnsi="Arial" w:cs="Arial"/>
          <w:bCs/>
          <w:lang w:val="en-GB" w:eastAsia="en-US" w:bidi="ar-SA"/>
        </w:rPr>
        <w:t>[49]</w:t>
      </w:r>
      <w:r>
        <w:rPr>
          <w:rFonts w:ascii="Arial" w:eastAsiaTheme="minorHAnsi" w:hAnsi="Arial" w:cs="Arial"/>
          <w:bCs/>
          <w:lang w:val="en-GB" w:eastAsia="en-US" w:bidi="ar-SA"/>
        </w:rPr>
        <w:tab/>
      </w:r>
      <w:r w:rsidR="00A60ACA" w:rsidRPr="006C1485">
        <w:rPr>
          <w:rFonts w:asciiTheme="minorBidi" w:hAnsiTheme="minorBidi"/>
        </w:rPr>
        <w:t xml:space="preserve">In </w:t>
      </w:r>
      <w:r w:rsidR="00A60ACA" w:rsidRPr="006C1485">
        <w:rPr>
          <w:rFonts w:asciiTheme="minorBidi" w:hAnsiTheme="minorBidi"/>
          <w:i/>
          <w:iCs/>
        </w:rPr>
        <w:t>Grobler v Oosthuizen</w:t>
      </w:r>
      <w:r w:rsidR="00A60ACA" w:rsidRPr="006C1485">
        <w:rPr>
          <w:rFonts w:asciiTheme="minorBidi" w:hAnsiTheme="minorBidi"/>
        </w:rPr>
        <w:t>,</w:t>
      </w:r>
      <w:r w:rsidR="00A60ACA" w:rsidRPr="00FD2A7B">
        <w:rPr>
          <w:rStyle w:val="FootnoteReference"/>
          <w:rFonts w:asciiTheme="minorBidi" w:hAnsiTheme="minorBidi"/>
        </w:rPr>
        <w:footnoteReference w:id="14"/>
      </w:r>
      <w:r w:rsidR="00A60ACA" w:rsidRPr="006C1485">
        <w:rPr>
          <w:rFonts w:asciiTheme="minorBidi" w:hAnsiTheme="minorBidi"/>
        </w:rPr>
        <w:t xml:space="preserve"> Brand JA stated that a cession cannot stand without </w:t>
      </w:r>
    </w:p>
    <w:p w14:paraId="5EA71589" w14:textId="77777777" w:rsidR="00A60ACA" w:rsidRPr="00FD2A7B" w:rsidRDefault="00A60ACA" w:rsidP="00AE4702">
      <w:pPr>
        <w:pStyle w:val="ListParagraph"/>
        <w:spacing w:after="0" w:line="360" w:lineRule="auto"/>
        <w:ind w:left="0"/>
        <w:jc w:val="both"/>
        <w:rPr>
          <w:rFonts w:asciiTheme="minorBidi" w:hAnsiTheme="minorBidi"/>
          <w:sz w:val="24"/>
          <w:szCs w:val="24"/>
        </w:rPr>
      </w:pPr>
      <w:r w:rsidRPr="00FD2A7B">
        <w:rPr>
          <w:rFonts w:asciiTheme="minorBidi" w:hAnsiTheme="minorBidi"/>
          <w:sz w:val="24"/>
          <w:szCs w:val="24"/>
        </w:rPr>
        <w:t>the existence of a principal debt and that:</w:t>
      </w:r>
    </w:p>
    <w:p w14:paraId="4AF20F7F" w14:textId="77777777" w:rsidR="00A60ACA" w:rsidRPr="00FD2A7B" w:rsidRDefault="00A60ACA" w:rsidP="00A60ACA">
      <w:pPr>
        <w:pStyle w:val="ListParagraph"/>
        <w:spacing w:after="0" w:line="360" w:lineRule="auto"/>
        <w:ind w:left="0"/>
        <w:jc w:val="both"/>
        <w:rPr>
          <w:rFonts w:asciiTheme="minorBidi" w:hAnsiTheme="minorBidi"/>
          <w:position w:val="10"/>
        </w:rPr>
      </w:pPr>
      <w:r w:rsidRPr="00FD2A7B">
        <w:rPr>
          <w:rFonts w:asciiTheme="minorBidi" w:hAnsiTheme="minorBidi"/>
        </w:rPr>
        <w:t>‘… it matters not whether the principal debt is extinguished or never existed at all’.</w:t>
      </w:r>
      <w:r w:rsidRPr="00FD2A7B">
        <w:rPr>
          <w:rStyle w:val="FootnoteReference"/>
          <w:rFonts w:asciiTheme="minorBidi" w:hAnsiTheme="minorBidi"/>
        </w:rPr>
        <w:footnoteReference w:id="15"/>
      </w:r>
      <w:r w:rsidRPr="00FD2A7B">
        <w:rPr>
          <w:rFonts w:asciiTheme="minorBidi" w:hAnsiTheme="minorBidi"/>
          <w:position w:val="10"/>
        </w:rPr>
        <w:t xml:space="preserve"> </w:t>
      </w:r>
    </w:p>
    <w:p w14:paraId="4349561A" w14:textId="5B7F76CB" w:rsidR="00A60ACA" w:rsidRPr="00FD2A7B" w:rsidRDefault="00A60ACA" w:rsidP="00A60ACA">
      <w:pPr>
        <w:pStyle w:val="NormalWeb"/>
        <w:spacing w:before="0" w:beforeAutospacing="0" w:after="0" w:afterAutospacing="0" w:line="360" w:lineRule="auto"/>
        <w:jc w:val="both"/>
        <w:rPr>
          <w:rFonts w:asciiTheme="minorBidi" w:hAnsiTheme="minorBidi" w:cstheme="minorBidi"/>
        </w:rPr>
      </w:pPr>
      <w:r w:rsidRPr="00FD2A7B">
        <w:rPr>
          <w:rFonts w:asciiTheme="minorBidi" w:hAnsiTheme="minorBidi" w:cstheme="minorBidi"/>
        </w:rPr>
        <w:t xml:space="preserve">The learned judge </w:t>
      </w:r>
      <w:r>
        <w:rPr>
          <w:rFonts w:asciiTheme="minorBidi" w:hAnsiTheme="minorBidi" w:cstheme="minorBidi"/>
        </w:rPr>
        <w:t>relied for this conclusion upon</w:t>
      </w:r>
      <w:r w:rsidRPr="00FD2A7B">
        <w:rPr>
          <w:rFonts w:asciiTheme="minorBidi" w:hAnsiTheme="minorBidi" w:cstheme="minorBidi"/>
        </w:rPr>
        <w:t xml:space="preserve"> </w:t>
      </w:r>
      <w:r w:rsidRPr="00FD2A7B">
        <w:rPr>
          <w:rFonts w:asciiTheme="minorBidi" w:hAnsiTheme="minorBidi" w:cstheme="minorBidi"/>
          <w:i/>
          <w:iCs/>
        </w:rPr>
        <w:t>Kilburn v Estate Kilburn</w:t>
      </w:r>
      <w:r w:rsidR="00B746D4" w:rsidRPr="00B746D4">
        <w:rPr>
          <w:rFonts w:asciiTheme="minorBidi" w:hAnsiTheme="minorBidi" w:cstheme="minorBidi"/>
          <w:iCs/>
        </w:rPr>
        <w:t>,</w:t>
      </w:r>
      <w:r w:rsidRPr="00B746D4">
        <w:rPr>
          <w:rStyle w:val="FootnoteReference"/>
          <w:rFonts w:asciiTheme="minorBidi" w:hAnsiTheme="minorBidi" w:cstheme="minorBidi"/>
          <w:iCs/>
        </w:rPr>
        <w:footnoteReference w:id="16"/>
      </w:r>
      <w:r w:rsidRPr="00FD2A7B">
        <w:rPr>
          <w:rFonts w:asciiTheme="minorBidi" w:hAnsiTheme="minorBidi" w:cstheme="minorBidi"/>
        </w:rPr>
        <w:t xml:space="preserve"> where Wessels ACJ stated:</w:t>
      </w:r>
    </w:p>
    <w:p w14:paraId="6F78EA8D" w14:textId="43FD3797" w:rsidR="00A60ACA" w:rsidRPr="00FD2A7B" w:rsidRDefault="00A60ACA" w:rsidP="00A60ACA">
      <w:pPr>
        <w:pStyle w:val="NormalWeb"/>
        <w:spacing w:before="0" w:beforeAutospacing="0" w:after="0" w:afterAutospacing="0" w:line="360" w:lineRule="auto"/>
        <w:jc w:val="both"/>
        <w:rPr>
          <w:rFonts w:asciiTheme="minorBidi" w:hAnsiTheme="minorBidi" w:cstheme="minorBidi"/>
          <w:sz w:val="22"/>
          <w:szCs w:val="22"/>
        </w:rPr>
      </w:pPr>
      <w:r w:rsidRPr="00FD2A7B">
        <w:rPr>
          <w:rFonts w:asciiTheme="minorBidi" w:hAnsiTheme="minorBidi" w:cstheme="minorBidi"/>
          <w:sz w:val="22"/>
          <w:szCs w:val="22"/>
        </w:rPr>
        <w:t>‘It is therefore clear that by our law there must be a legal or natural obligation to which the hypothecation is accessory. If there is no obligation whatever there can be no hypothecation giving rise to a substantive claim.’</w:t>
      </w:r>
    </w:p>
    <w:p w14:paraId="0CCB0B87" w14:textId="77777777" w:rsidR="00A60ACA" w:rsidRDefault="00A60ACA" w:rsidP="00A60ACA">
      <w:pPr>
        <w:pStyle w:val="ListParagraph"/>
        <w:spacing w:after="0" w:line="360" w:lineRule="auto"/>
        <w:ind w:left="0"/>
        <w:jc w:val="both"/>
        <w:rPr>
          <w:rFonts w:asciiTheme="minorBidi" w:hAnsiTheme="minorBidi"/>
          <w:sz w:val="24"/>
          <w:szCs w:val="24"/>
        </w:rPr>
      </w:pPr>
    </w:p>
    <w:p w14:paraId="6485E786" w14:textId="1A3C8333" w:rsidR="00A60ACA" w:rsidRPr="006C1485" w:rsidRDefault="006C1485" w:rsidP="006C1485">
      <w:pPr>
        <w:spacing w:line="360" w:lineRule="auto"/>
        <w:jc w:val="both"/>
        <w:rPr>
          <w:rFonts w:asciiTheme="minorBidi" w:hAnsiTheme="minorBidi"/>
        </w:rPr>
      </w:pPr>
      <w:r w:rsidRPr="0026591A">
        <w:rPr>
          <w:rFonts w:ascii="Arial" w:eastAsiaTheme="minorHAnsi" w:hAnsi="Arial" w:cs="Arial"/>
          <w:bCs/>
          <w:lang w:val="en-GB" w:eastAsia="en-US" w:bidi="ar-SA"/>
        </w:rPr>
        <w:t>[50]</w:t>
      </w:r>
      <w:r w:rsidRPr="0026591A">
        <w:rPr>
          <w:rFonts w:ascii="Arial" w:eastAsiaTheme="minorHAnsi" w:hAnsi="Arial" w:cs="Arial"/>
          <w:bCs/>
          <w:lang w:val="en-GB" w:eastAsia="en-US" w:bidi="ar-SA"/>
        </w:rPr>
        <w:tab/>
      </w:r>
      <w:r w:rsidR="006F12EC" w:rsidRPr="006C1485">
        <w:rPr>
          <w:rFonts w:asciiTheme="minorBidi" w:hAnsiTheme="minorBidi"/>
        </w:rPr>
        <w:t>Watermeyer J</w:t>
      </w:r>
      <w:r w:rsidR="00A60ACA" w:rsidRPr="006C1485">
        <w:rPr>
          <w:rFonts w:asciiTheme="minorBidi" w:hAnsiTheme="minorBidi"/>
        </w:rPr>
        <w:t xml:space="preserve"> in </w:t>
      </w:r>
      <w:r w:rsidR="00A60ACA" w:rsidRPr="006C1485">
        <w:rPr>
          <w:rFonts w:asciiTheme="minorBidi" w:hAnsiTheme="minorBidi"/>
          <w:i/>
          <w:iCs/>
        </w:rPr>
        <w:t>Standard Bank of SA Ltd v Neethling NO</w:t>
      </w:r>
      <w:r w:rsidR="00A60ACA" w:rsidRPr="006C1485">
        <w:rPr>
          <w:rFonts w:asciiTheme="minorBidi" w:hAnsiTheme="minorBidi"/>
        </w:rPr>
        <w:t>,</w:t>
      </w:r>
      <w:r w:rsidR="00A60ACA" w:rsidRPr="0026591A">
        <w:rPr>
          <w:rStyle w:val="FootnoteReference"/>
          <w:rFonts w:asciiTheme="minorBidi" w:hAnsiTheme="minorBidi"/>
        </w:rPr>
        <w:footnoteReference w:id="17"/>
      </w:r>
      <w:r w:rsidR="00A60ACA" w:rsidRPr="006C1485">
        <w:rPr>
          <w:rFonts w:asciiTheme="minorBidi" w:hAnsiTheme="minorBidi"/>
        </w:rPr>
        <w:t xml:space="preserve"> </w:t>
      </w:r>
      <w:r w:rsidR="006F12EC" w:rsidRPr="006C1485">
        <w:rPr>
          <w:rFonts w:asciiTheme="minorBidi" w:hAnsiTheme="minorBidi"/>
        </w:rPr>
        <w:t xml:space="preserve">referring to </w:t>
      </w:r>
      <w:r w:rsidR="006F12EC" w:rsidRPr="006C1485">
        <w:rPr>
          <w:rFonts w:asciiTheme="minorBidi" w:hAnsiTheme="minorBidi"/>
          <w:i/>
          <w:iCs/>
        </w:rPr>
        <w:t>Estate Kilburn</w:t>
      </w:r>
      <w:r w:rsidR="006F12EC" w:rsidRPr="006C1485">
        <w:rPr>
          <w:rFonts w:asciiTheme="minorBidi" w:hAnsiTheme="minorBidi"/>
        </w:rPr>
        <w:t xml:space="preserve"> with approval, </w:t>
      </w:r>
      <w:r w:rsidR="00A60ACA" w:rsidRPr="006C1485">
        <w:rPr>
          <w:rFonts w:asciiTheme="minorBidi" w:hAnsiTheme="minorBidi"/>
        </w:rPr>
        <w:t>stated that:</w:t>
      </w:r>
    </w:p>
    <w:p w14:paraId="000FE357" w14:textId="77777777" w:rsidR="00A60ACA" w:rsidRDefault="00A60ACA" w:rsidP="00A60ACA">
      <w:pPr>
        <w:pStyle w:val="ListParagraph"/>
        <w:spacing w:after="0" w:line="360" w:lineRule="auto"/>
        <w:ind w:left="0"/>
        <w:jc w:val="both"/>
        <w:rPr>
          <w:rFonts w:asciiTheme="minorBidi" w:hAnsiTheme="minorBidi"/>
        </w:rPr>
      </w:pPr>
      <w:r w:rsidRPr="0026591A">
        <w:rPr>
          <w:rFonts w:asciiTheme="minorBidi" w:hAnsiTheme="minorBidi"/>
        </w:rPr>
        <w:t>‘</w:t>
      </w:r>
      <w:r w:rsidRPr="0026591A">
        <w:rPr>
          <w:rFonts w:asciiTheme="minorBidi" w:hAnsiTheme="minorBidi"/>
          <w:i/>
          <w:iCs/>
        </w:rPr>
        <w:t xml:space="preserve">Kilburn’s </w:t>
      </w:r>
      <w:r w:rsidRPr="0026591A">
        <w:rPr>
          <w:rFonts w:asciiTheme="minorBidi" w:hAnsiTheme="minorBidi"/>
        </w:rPr>
        <w:t>case was not a case where a principal obligation subsequently became extinguished. It was a case where there never had been a principal obligation. It seems to me however that there is no distinction in principle between the two cases . . . After . . . the principal debt was extinguished . . . there remained no obligation to support the cession by way of security.’</w:t>
      </w:r>
      <w:r>
        <w:rPr>
          <w:rStyle w:val="FootnoteReference"/>
          <w:rFonts w:asciiTheme="minorBidi" w:hAnsiTheme="minorBidi"/>
        </w:rPr>
        <w:footnoteReference w:id="18"/>
      </w:r>
    </w:p>
    <w:p w14:paraId="7C91240B" w14:textId="77777777" w:rsidR="00A60ACA" w:rsidRPr="00A96183" w:rsidRDefault="00A60ACA" w:rsidP="00A60ACA">
      <w:pPr>
        <w:pStyle w:val="ListParagraph"/>
        <w:spacing w:after="0" w:line="360" w:lineRule="auto"/>
        <w:ind w:left="0"/>
        <w:jc w:val="both"/>
        <w:rPr>
          <w:rFonts w:asciiTheme="minorBidi" w:hAnsiTheme="minorBidi"/>
          <w:sz w:val="24"/>
          <w:szCs w:val="24"/>
        </w:rPr>
      </w:pPr>
    </w:p>
    <w:p w14:paraId="6720B6FA" w14:textId="0E260234" w:rsidR="00A60ACA" w:rsidRPr="006C1485" w:rsidRDefault="006C1485" w:rsidP="006C1485">
      <w:pPr>
        <w:spacing w:line="360" w:lineRule="auto"/>
        <w:jc w:val="both"/>
        <w:rPr>
          <w:rFonts w:asciiTheme="minorBidi" w:hAnsiTheme="minorBidi"/>
        </w:rPr>
      </w:pPr>
      <w:r w:rsidRPr="00CE4248">
        <w:rPr>
          <w:rFonts w:ascii="Arial" w:eastAsiaTheme="minorHAnsi" w:hAnsi="Arial" w:cs="Arial"/>
          <w:bCs/>
          <w:lang w:val="en-GB" w:eastAsia="en-US" w:bidi="ar-SA"/>
        </w:rPr>
        <w:lastRenderedPageBreak/>
        <w:t>[51]</w:t>
      </w:r>
      <w:r w:rsidRPr="00CE4248">
        <w:rPr>
          <w:rFonts w:ascii="Arial" w:eastAsiaTheme="minorHAnsi" w:hAnsi="Arial" w:cs="Arial"/>
          <w:bCs/>
          <w:lang w:val="en-GB" w:eastAsia="en-US" w:bidi="ar-SA"/>
        </w:rPr>
        <w:tab/>
      </w:r>
      <w:r w:rsidR="00A60ACA" w:rsidRPr="006C1485">
        <w:rPr>
          <w:rFonts w:asciiTheme="minorBidi" w:hAnsiTheme="minorBidi"/>
        </w:rPr>
        <w:t xml:space="preserve">In </w:t>
      </w:r>
      <w:r w:rsidR="004A5EF4" w:rsidRPr="006C1485">
        <w:rPr>
          <w:rFonts w:asciiTheme="minorBidi" w:hAnsiTheme="minorBidi"/>
        </w:rPr>
        <w:t xml:space="preserve">the </w:t>
      </w:r>
      <w:r w:rsidR="00A60ACA" w:rsidRPr="006C1485">
        <w:rPr>
          <w:rFonts w:asciiTheme="minorBidi" w:hAnsiTheme="minorBidi"/>
        </w:rPr>
        <w:t xml:space="preserve">more recent decision </w:t>
      </w:r>
      <w:r w:rsidR="004A5EF4" w:rsidRPr="006C1485">
        <w:rPr>
          <w:rFonts w:asciiTheme="minorBidi" w:hAnsiTheme="minorBidi"/>
        </w:rPr>
        <w:t xml:space="preserve">of </w:t>
      </w:r>
      <w:r w:rsidR="006F12EC" w:rsidRPr="006C1485">
        <w:rPr>
          <w:rFonts w:asciiTheme="minorBidi" w:hAnsiTheme="minorBidi"/>
          <w:i/>
        </w:rPr>
        <w:t xml:space="preserve">Brayton </w:t>
      </w:r>
      <w:r w:rsidR="00A60ACA" w:rsidRPr="006C1485">
        <w:rPr>
          <w:rFonts w:asciiTheme="minorBidi" w:hAnsiTheme="minorBidi"/>
          <w:i/>
          <w:iCs/>
        </w:rPr>
        <w:t>Carlswald and another v Brews</w:t>
      </w:r>
      <w:r w:rsidR="00A60ACA" w:rsidRPr="006C1485">
        <w:rPr>
          <w:rFonts w:asciiTheme="minorBidi" w:hAnsiTheme="minorBidi"/>
        </w:rPr>
        <w:t>,</w:t>
      </w:r>
      <w:r w:rsidR="00A60ACA" w:rsidRPr="00CE4248">
        <w:rPr>
          <w:rStyle w:val="FootnoteReference"/>
          <w:rFonts w:asciiTheme="minorBidi" w:hAnsiTheme="minorBidi"/>
        </w:rPr>
        <w:footnoteReference w:id="19"/>
      </w:r>
      <w:r w:rsidR="00A60ACA" w:rsidRPr="006C1485">
        <w:rPr>
          <w:rFonts w:asciiTheme="minorBidi" w:hAnsiTheme="minorBidi"/>
        </w:rPr>
        <w:t xml:space="preserve"> Theron JA stated that:</w:t>
      </w:r>
      <w:r w:rsidR="00A60ACA" w:rsidRPr="006C1485">
        <w:rPr>
          <w:rFonts w:asciiTheme="minorBidi" w:hAnsiTheme="minorBidi"/>
          <w:i/>
          <w:iCs/>
        </w:rPr>
        <w:t xml:space="preserve"> </w:t>
      </w:r>
    </w:p>
    <w:p w14:paraId="6D187B8B" w14:textId="77777777" w:rsidR="00A60ACA" w:rsidRDefault="00A60ACA" w:rsidP="00A60ACA">
      <w:pPr>
        <w:pStyle w:val="ListParagraph"/>
        <w:spacing w:after="0" w:line="360" w:lineRule="auto"/>
        <w:ind w:left="0"/>
        <w:jc w:val="both"/>
        <w:rPr>
          <w:rFonts w:asciiTheme="minorBidi" w:hAnsiTheme="minorBidi"/>
          <w:position w:val="10"/>
        </w:rPr>
      </w:pPr>
      <w:r w:rsidRPr="003B298F">
        <w:rPr>
          <w:rFonts w:asciiTheme="minorBidi" w:hAnsiTheme="minorBidi"/>
        </w:rPr>
        <w:t>‘</w:t>
      </w:r>
      <w:r w:rsidR="000F66DA" w:rsidRPr="000F66DA">
        <w:rPr>
          <w:rFonts w:asciiTheme="minorBidi" w:hAnsiTheme="minorBidi"/>
          <w:lang w:val="en-US"/>
        </w:rPr>
        <w:t>Transfer of a “right” which has been extinguished is a nullity as there is nothing which can be transferred. I agree with the principle that as a matter of logic, a non-existent right can never in law be transferred as the subject-matter of a cession</w:t>
      </w:r>
      <w:r w:rsidRPr="003B298F">
        <w:rPr>
          <w:rFonts w:asciiTheme="minorBidi" w:hAnsiTheme="minorBidi"/>
        </w:rPr>
        <w:t>.’</w:t>
      </w:r>
    </w:p>
    <w:p w14:paraId="5F4884D2" w14:textId="77777777" w:rsidR="00A60ACA" w:rsidRDefault="00A60ACA" w:rsidP="00A60ACA">
      <w:pPr>
        <w:pStyle w:val="ListParagraph"/>
        <w:spacing w:after="0" w:line="360" w:lineRule="auto"/>
        <w:ind w:left="0"/>
        <w:jc w:val="both"/>
        <w:rPr>
          <w:rFonts w:asciiTheme="minorBidi" w:hAnsiTheme="minorBidi"/>
          <w:sz w:val="24"/>
          <w:szCs w:val="24"/>
        </w:rPr>
      </w:pPr>
      <w:r>
        <w:rPr>
          <w:rFonts w:asciiTheme="minorBidi" w:hAnsiTheme="minorBidi"/>
          <w:sz w:val="24"/>
          <w:szCs w:val="24"/>
        </w:rPr>
        <w:t xml:space="preserve">Following the reasoning applied in </w:t>
      </w:r>
      <w:r w:rsidR="00262CC0">
        <w:rPr>
          <w:rFonts w:asciiTheme="minorBidi" w:hAnsiTheme="minorBidi"/>
          <w:i/>
          <w:sz w:val="24"/>
          <w:szCs w:val="24"/>
        </w:rPr>
        <w:t>Neethling</w:t>
      </w:r>
      <w:r>
        <w:rPr>
          <w:rFonts w:asciiTheme="minorBidi" w:hAnsiTheme="minorBidi"/>
          <w:sz w:val="24"/>
          <w:szCs w:val="24"/>
        </w:rPr>
        <w:t>, the same principle must apply where the right never existed in the first place.</w:t>
      </w:r>
    </w:p>
    <w:p w14:paraId="7C1C59E8" w14:textId="77777777" w:rsidR="00262CC0" w:rsidRPr="003B298F" w:rsidRDefault="00262CC0" w:rsidP="00A60ACA">
      <w:pPr>
        <w:pStyle w:val="ListParagraph"/>
        <w:spacing w:after="0" w:line="360" w:lineRule="auto"/>
        <w:ind w:left="0"/>
        <w:jc w:val="both"/>
        <w:rPr>
          <w:rFonts w:asciiTheme="minorBidi" w:hAnsiTheme="minorBidi"/>
          <w:sz w:val="24"/>
          <w:szCs w:val="24"/>
        </w:rPr>
      </w:pPr>
    </w:p>
    <w:p w14:paraId="66B20F84" w14:textId="7A6BA01A" w:rsidR="003F00D6" w:rsidRPr="006C1485" w:rsidRDefault="006C1485" w:rsidP="006C1485">
      <w:pPr>
        <w:spacing w:line="360" w:lineRule="auto"/>
        <w:jc w:val="both"/>
        <w:rPr>
          <w:rFonts w:asciiTheme="minorBidi" w:hAnsiTheme="minorBidi"/>
        </w:rPr>
      </w:pPr>
      <w:r>
        <w:rPr>
          <w:rFonts w:ascii="Arial" w:eastAsiaTheme="minorHAnsi" w:hAnsi="Arial" w:cs="Arial"/>
          <w:bCs/>
          <w:lang w:val="en-GB" w:eastAsia="en-US" w:bidi="ar-SA"/>
        </w:rPr>
        <w:t>[52]</w:t>
      </w:r>
      <w:r>
        <w:rPr>
          <w:rFonts w:ascii="Arial" w:eastAsiaTheme="minorHAnsi" w:hAnsi="Arial" w:cs="Arial"/>
          <w:bCs/>
          <w:lang w:val="en-GB" w:eastAsia="en-US" w:bidi="ar-SA"/>
        </w:rPr>
        <w:tab/>
      </w:r>
      <w:r w:rsidR="00A60ACA" w:rsidRPr="006C1485">
        <w:rPr>
          <w:rFonts w:asciiTheme="minorBidi" w:hAnsiTheme="minorBidi"/>
        </w:rPr>
        <w:t xml:space="preserve">It seems to me that the deed of cession acknowledges that Cotton King never had a </w:t>
      </w:r>
      <w:r w:rsidR="00C42A88" w:rsidRPr="006C1485">
        <w:rPr>
          <w:rFonts w:asciiTheme="minorBidi" w:hAnsiTheme="minorBidi"/>
        </w:rPr>
        <w:t xml:space="preserve">valid </w:t>
      </w:r>
      <w:r w:rsidR="00A60ACA" w:rsidRPr="006C1485">
        <w:rPr>
          <w:rFonts w:asciiTheme="minorBidi" w:hAnsiTheme="minorBidi"/>
        </w:rPr>
        <w:t xml:space="preserve">claim against the defendant. The liquidators state clearly that the investment that is referenced in the particulars of claim was not Cotton King’s but was the applicant’s in her personal capacity. It follows therefore that </w:t>
      </w:r>
      <w:r w:rsidR="00AE4702" w:rsidRPr="006C1485">
        <w:rPr>
          <w:rFonts w:asciiTheme="minorBidi" w:hAnsiTheme="minorBidi"/>
        </w:rPr>
        <w:t>Cotton King</w:t>
      </w:r>
      <w:r w:rsidR="00A60ACA" w:rsidRPr="006C1485">
        <w:rPr>
          <w:rFonts w:asciiTheme="minorBidi" w:hAnsiTheme="minorBidi"/>
        </w:rPr>
        <w:t xml:space="preserve"> never had a right to cede to the applicant. </w:t>
      </w:r>
    </w:p>
    <w:p w14:paraId="580A2D11" w14:textId="77777777" w:rsidR="003F00D6" w:rsidRDefault="003F00D6" w:rsidP="003F00D6">
      <w:pPr>
        <w:pStyle w:val="ListParagraph"/>
        <w:spacing w:after="0" w:line="360" w:lineRule="auto"/>
        <w:ind w:left="0"/>
        <w:jc w:val="both"/>
        <w:rPr>
          <w:rFonts w:asciiTheme="minorBidi" w:hAnsiTheme="minorBidi"/>
          <w:sz w:val="24"/>
          <w:szCs w:val="24"/>
        </w:rPr>
      </w:pPr>
    </w:p>
    <w:p w14:paraId="196FD785" w14:textId="73164EC2" w:rsidR="003F00D6" w:rsidRPr="006C1485" w:rsidRDefault="006C1485" w:rsidP="006C1485">
      <w:pPr>
        <w:spacing w:line="360" w:lineRule="auto"/>
        <w:jc w:val="both"/>
        <w:rPr>
          <w:rFonts w:asciiTheme="minorBidi" w:hAnsiTheme="minorBidi"/>
        </w:rPr>
      </w:pPr>
      <w:r>
        <w:rPr>
          <w:rFonts w:ascii="Arial" w:eastAsiaTheme="minorHAnsi" w:hAnsi="Arial" w:cs="Arial"/>
          <w:bCs/>
          <w:lang w:val="en-GB" w:eastAsia="en-US" w:bidi="ar-SA"/>
        </w:rPr>
        <w:t>[53]</w:t>
      </w:r>
      <w:r>
        <w:rPr>
          <w:rFonts w:ascii="Arial" w:eastAsiaTheme="minorHAnsi" w:hAnsi="Arial" w:cs="Arial"/>
          <w:bCs/>
          <w:lang w:val="en-GB" w:eastAsia="en-US" w:bidi="ar-SA"/>
        </w:rPr>
        <w:tab/>
      </w:r>
      <w:r w:rsidR="00C42A88" w:rsidRPr="006C1485">
        <w:rPr>
          <w:rFonts w:asciiTheme="minorBidi" w:hAnsiTheme="minorBidi"/>
        </w:rPr>
        <w:t xml:space="preserve">I appreciate, as Mr Iles drew to my attention, that where a cession occurs after </w:t>
      </w:r>
      <w:r w:rsidR="00C42A88" w:rsidRPr="006C1485">
        <w:rPr>
          <w:rFonts w:asciiTheme="minorBidi" w:hAnsiTheme="minorBidi"/>
          <w:i/>
        </w:rPr>
        <w:t>litis contestatio</w:t>
      </w:r>
      <w:r w:rsidR="00C42A88" w:rsidRPr="006C1485">
        <w:rPr>
          <w:rFonts w:asciiTheme="minorBidi" w:hAnsiTheme="minorBidi"/>
        </w:rPr>
        <w:t xml:space="preserve"> has been reached</w:t>
      </w:r>
      <w:r w:rsidR="00E607EE" w:rsidRPr="006C1485">
        <w:rPr>
          <w:rFonts w:asciiTheme="minorBidi" w:hAnsiTheme="minorBidi"/>
        </w:rPr>
        <w:t>,</w:t>
      </w:r>
      <w:r w:rsidR="00C42A88" w:rsidRPr="006C1485">
        <w:rPr>
          <w:rFonts w:asciiTheme="minorBidi" w:hAnsiTheme="minorBidi"/>
        </w:rPr>
        <w:t xml:space="preserve"> that what is cede</w:t>
      </w:r>
      <w:r w:rsidR="005F7DBB" w:rsidRPr="006C1485">
        <w:rPr>
          <w:rFonts w:asciiTheme="minorBidi" w:hAnsiTheme="minorBidi"/>
        </w:rPr>
        <w:t>d is the ou</w:t>
      </w:r>
      <w:r w:rsidR="00C42A88" w:rsidRPr="006C1485">
        <w:rPr>
          <w:rFonts w:asciiTheme="minorBidi" w:hAnsiTheme="minorBidi"/>
        </w:rPr>
        <w:t>tcome of the litigation</w:t>
      </w:r>
      <w:r w:rsidR="005F7DBB" w:rsidRPr="006C1485">
        <w:rPr>
          <w:rFonts w:asciiTheme="minorBidi" w:hAnsiTheme="minorBidi"/>
        </w:rPr>
        <w:t xml:space="preserve"> and that as the subject-matter of the cession is </w:t>
      </w:r>
      <w:r w:rsidR="005F7DBB" w:rsidRPr="006C1485">
        <w:rPr>
          <w:rFonts w:asciiTheme="minorBidi" w:hAnsiTheme="minorBidi"/>
          <w:i/>
        </w:rPr>
        <w:t>res litigiosa</w:t>
      </w:r>
      <w:r w:rsidR="005F7DBB" w:rsidRPr="006C1485">
        <w:rPr>
          <w:rFonts w:asciiTheme="minorBidi" w:hAnsiTheme="minorBidi"/>
        </w:rPr>
        <w:t>, the cession itself does not transfer the right to prosecute the action to the cessionary. That right only accrues when the court grants an order substituting the cessionary as plaintiff</w:t>
      </w:r>
      <w:r w:rsidR="00C42A88" w:rsidRPr="006C1485">
        <w:rPr>
          <w:rFonts w:asciiTheme="minorBidi" w:hAnsiTheme="minorBidi"/>
        </w:rPr>
        <w:t>.</w:t>
      </w:r>
      <w:r w:rsidR="00C42A88">
        <w:rPr>
          <w:rStyle w:val="FootnoteReference"/>
          <w:rFonts w:asciiTheme="minorBidi" w:hAnsiTheme="minorBidi"/>
        </w:rPr>
        <w:footnoteReference w:id="20"/>
      </w:r>
      <w:r w:rsidR="00C42A88" w:rsidRPr="006C1485">
        <w:rPr>
          <w:rFonts w:asciiTheme="minorBidi" w:hAnsiTheme="minorBidi"/>
        </w:rPr>
        <w:t xml:space="preserve"> </w:t>
      </w:r>
      <w:r w:rsidR="003F00D6" w:rsidRPr="006C1485">
        <w:rPr>
          <w:rFonts w:asciiTheme="minorBidi" w:hAnsiTheme="minorBidi"/>
        </w:rPr>
        <w:t>It is at that juncture that the court will exercise its discretion based upon the facts known to it. The question of such a discretion is dealt with when the fifth issue is considered.</w:t>
      </w:r>
    </w:p>
    <w:p w14:paraId="72ABC3D5" w14:textId="77777777" w:rsidR="003F00D6" w:rsidRPr="003F00D6" w:rsidRDefault="003F00D6" w:rsidP="003F00D6">
      <w:pPr>
        <w:pStyle w:val="ListParagraph"/>
        <w:spacing w:line="360" w:lineRule="auto"/>
        <w:rPr>
          <w:rFonts w:asciiTheme="minorBidi" w:hAnsiTheme="minorBidi"/>
          <w:sz w:val="24"/>
          <w:szCs w:val="24"/>
        </w:rPr>
      </w:pPr>
    </w:p>
    <w:p w14:paraId="4284BD43" w14:textId="6F746801" w:rsidR="00A60ACA" w:rsidRPr="006C1485" w:rsidRDefault="006C1485" w:rsidP="006C1485">
      <w:pPr>
        <w:spacing w:line="360" w:lineRule="auto"/>
        <w:jc w:val="both"/>
        <w:rPr>
          <w:rFonts w:asciiTheme="minorBidi" w:hAnsiTheme="minorBidi"/>
        </w:rPr>
      </w:pPr>
      <w:r>
        <w:rPr>
          <w:rFonts w:ascii="Arial" w:eastAsiaTheme="minorHAnsi" w:hAnsi="Arial" w:cs="Arial"/>
          <w:bCs/>
          <w:lang w:val="en-GB" w:eastAsia="en-US" w:bidi="ar-SA"/>
        </w:rPr>
        <w:t>[54]</w:t>
      </w:r>
      <w:r>
        <w:rPr>
          <w:rFonts w:ascii="Arial" w:eastAsiaTheme="minorHAnsi" w:hAnsi="Arial" w:cs="Arial"/>
          <w:bCs/>
          <w:lang w:val="en-GB" w:eastAsia="en-US" w:bidi="ar-SA"/>
        </w:rPr>
        <w:tab/>
      </w:r>
      <w:r w:rsidR="00A60ACA" w:rsidRPr="006C1485">
        <w:rPr>
          <w:rFonts w:asciiTheme="minorBidi" w:hAnsiTheme="minorBidi"/>
        </w:rPr>
        <w:t>As a cessionary steps into the shoes of the cedent, the cessionary cannot acquire a greater right than the right possessed by the cedent.</w:t>
      </w:r>
      <w:r w:rsidR="00A60ACA">
        <w:rPr>
          <w:rStyle w:val="FootnoteReference"/>
          <w:rFonts w:asciiTheme="minorBidi" w:hAnsiTheme="minorBidi"/>
        </w:rPr>
        <w:footnoteReference w:id="21"/>
      </w:r>
      <w:r w:rsidR="00A60ACA" w:rsidRPr="006C1485">
        <w:rPr>
          <w:rFonts w:asciiTheme="minorBidi" w:hAnsiTheme="minorBidi"/>
        </w:rPr>
        <w:t xml:space="preserve"> The cession therefore could not, and did not, transfer a right to the applicant that would entitle her to be substituted for Cotton King</w:t>
      </w:r>
      <w:r w:rsidR="00EB1C5E" w:rsidRPr="006C1485">
        <w:rPr>
          <w:rFonts w:asciiTheme="minorBidi" w:hAnsiTheme="minorBidi"/>
        </w:rPr>
        <w:t xml:space="preserve"> in the action</w:t>
      </w:r>
      <w:r w:rsidR="00A60ACA" w:rsidRPr="006C1485">
        <w:rPr>
          <w:rFonts w:asciiTheme="minorBidi" w:hAnsiTheme="minorBidi"/>
        </w:rPr>
        <w:t>.</w:t>
      </w:r>
    </w:p>
    <w:p w14:paraId="795D88FB" w14:textId="77777777" w:rsidR="002435AF" w:rsidRDefault="002435AF" w:rsidP="00AE4702">
      <w:pPr>
        <w:spacing w:line="360" w:lineRule="auto"/>
        <w:rPr>
          <w:rFonts w:asciiTheme="minorBidi" w:hAnsiTheme="minorBidi"/>
        </w:rPr>
      </w:pPr>
    </w:p>
    <w:p w14:paraId="145CF6A1" w14:textId="3C6E6229" w:rsidR="00BD0932" w:rsidRPr="00053669" w:rsidRDefault="00BD0932" w:rsidP="00AE4702">
      <w:pPr>
        <w:spacing w:line="360" w:lineRule="auto"/>
        <w:jc w:val="both"/>
        <w:rPr>
          <w:rFonts w:asciiTheme="minorBidi" w:hAnsiTheme="minorBidi"/>
          <w:b/>
          <w:bCs/>
          <w:i/>
        </w:rPr>
      </w:pPr>
      <w:r w:rsidRPr="00053669">
        <w:rPr>
          <w:rFonts w:asciiTheme="minorBidi" w:hAnsiTheme="minorBidi"/>
          <w:b/>
          <w:bCs/>
          <w:i/>
        </w:rPr>
        <w:t>The fourth issue</w:t>
      </w:r>
      <w:r w:rsidR="00AE4702" w:rsidRPr="00053669">
        <w:rPr>
          <w:rFonts w:asciiTheme="minorBidi" w:hAnsiTheme="minorBidi"/>
          <w:b/>
          <w:bCs/>
          <w:i/>
        </w:rPr>
        <w:t xml:space="preserve">: whether </w:t>
      </w:r>
      <w:r w:rsidR="00736341">
        <w:rPr>
          <w:rFonts w:asciiTheme="minorBidi" w:hAnsiTheme="minorBidi"/>
          <w:b/>
          <w:bCs/>
          <w:i/>
        </w:rPr>
        <w:t xml:space="preserve">the </w:t>
      </w:r>
      <w:r w:rsidR="00AE4702" w:rsidRPr="00053669">
        <w:rPr>
          <w:rFonts w:asciiTheme="minorBidi" w:hAnsiTheme="minorBidi"/>
          <w:b/>
          <w:bCs/>
          <w:i/>
        </w:rPr>
        <w:t>substitution of the applicant for the plaintiff would prejudice the respondent</w:t>
      </w:r>
    </w:p>
    <w:p w14:paraId="4D6E3243" w14:textId="3E46ED79" w:rsidR="00722CD2" w:rsidRPr="006C1485" w:rsidRDefault="006C1485" w:rsidP="006C1485">
      <w:pPr>
        <w:tabs>
          <w:tab w:val="left" w:pos="709"/>
        </w:tabs>
        <w:spacing w:line="360" w:lineRule="auto"/>
        <w:jc w:val="both"/>
        <w:rPr>
          <w:rFonts w:asciiTheme="minorBidi" w:hAnsiTheme="minorBidi"/>
        </w:rPr>
      </w:pPr>
      <w:r>
        <w:rPr>
          <w:rFonts w:ascii="Arial" w:eastAsiaTheme="minorHAnsi" w:hAnsi="Arial" w:cs="Arial"/>
          <w:bCs/>
          <w:lang w:val="en-GB" w:eastAsia="en-US" w:bidi="ar-SA"/>
        </w:rPr>
        <w:lastRenderedPageBreak/>
        <w:t>[55]</w:t>
      </w:r>
      <w:r>
        <w:rPr>
          <w:rFonts w:ascii="Arial" w:eastAsiaTheme="minorHAnsi" w:hAnsi="Arial" w:cs="Arial"/>
          <w:bCs/>
          <w:lang w:val="en-GB" w:eastAsia="en-US" w:bidi="ar-SA"/>
        </w:rPr>
        <w:tab/>
      </w:r>
      <w:r w:rsidR="00722CD2" w:rsidRPr="006C1485">
        <w:rPr>
          <w:rFonts w:asciiTheme="minorBidi" w:hAnsiTheme="minorBidi"/>
        </w:rPr>
        <w:t>It is worth repeating that at no stage has the applicant ever proceeded against the defendant on the basis that she was the investor who invested R2,5 million with it. Her right to proceed is strictly confined to her claim that she is the cessionary of Cotton King’s rights against the defendant.</w:t>
      </w:r>
    </w:p>
    <w:p w14:paraId="178B21E3" w14:textId="77777777" w:rsidR="00D076CD" w:rsidRDefault="00D076CD" w:rsidP="00D076CD">
      <w:pPr>
        <w:pStyle w:val="ListParagraph"/>
        <w:tabs>
          <w:tab w:val="left" w:pos="709"/>
        </w:tabs>
        <w:spacing w:after="0" w:line="360" w:lineRule="auto"/>
        <w:ind w:left="0"/>
        <w:jc w:val="both"/>
        <w:rPr>
          <w:rFonts w:asciiTheme="minorBidi" w:hAnsiTheme="minorBidi"/>
          <w:sz w:val="24"/>
          <w:szCs w:val="24"/>
        </w:rPr>
      </w:pPr>
    </w:p>
    <w:p w14:paraId="4F9FCA5F" w14:textId="058E3DB1" w:rsidR="00530CDE" w:rsidRPr="006C1485" w:rsidRDefault="006C1485" w:rsidP="006C1485">
      <w:pPr>
        <w:tabs>
          <w:tab w:val="left" w:pos="709"/>
        </w:tabs>
        <w:spacing w:line="360" w:lineRule="auto"/>
        <w:jc w:val="both"/>
        <w:rPr>
          <w:rFonts w:asciiTheme="minorBidi" w:hAnsiTheme="minorBidi"/>
        </w:rPr>
      </w:pPr>
      <w:r w:rsidRPr="005F4756">
        <w:rPr>
          <w:rFonts w:ascii="Arial" w:eastAsiaTheme="minorHAnsi" w:hAnsi="Arial" w:cs="Arial"/>
          <w:bCs/>
          <w:lang w:val="en-GB" w:eastAsia="en-US" w:bidi="ar-SA"/>
        </w:rPr>
        <w:t>[56]</w:t>
      </w:r>
      <w:r w:rsidRPr="005F4756">
        <w:rPr>
          <w:rFonts w:ascii="Arial" w:eastAsiaTheme="minorHAnsi" w:hAnsi="Arial" w:cs="Arial"/>
          <w:bCs/>
          <w:lang w:val="en-GB" w:eastAsia="en-US" w:bidi="ar-SA"/>
        </w:rPr>
        <w:tab/>
      </w:r>
      <w:r w:rsidR="00722CD2" w:rsidRPr="006C1485">
        <w:rPr>
          <w:rFonts w:asciiTheme="minorBidi" w:hAnsiTheme="minorBidi"/>
        </w:rPr>
        <w:t xml:space="preserve">The action instituted by Cotton King, in its present form, </w:t>
      </w:r>
      <w:r w:rsidR="00530CDE" w:rsidRPr="006C1485">
        <w:rPr>
          <w:rFonts w:asciiTheme="minorBidi" w:hAnsiTheme="minorBidi"/>
        </w:rPr>
        <w:t>appears to have no future</w:t>
      </w:r>
      <w:r w:rsidR="00722CD2" w:rsidRPr="006C1485">
        <w:rPr>
          <w:rFonts w:asciiTheme="minorBidi" w:hAnsiTheme="minorBidi"/>
        </w:rPr>
        <w:t xml:space="preserve">. It cannot succeed as Cotton King invested nothing with the defendant and, </w:t>
      </w:r>
      <w:r w:rsidR="00911E0C" w:rsidRPr="006C1485">
        <w:rPr>
          <w:rFonts w:asciiTheme="minorBidi" w:hAnsiTheme="minorBidi"/>
        </w:rPr>
        <w:t>consequently</w:t>
      </w:r>
      <w:r w:rsidR="00722CD2" w:rsidRPr="006C1485">
        <w:rPr>
          <w:rFonts w:asciiTheme="minorBidi" w:hAnsiTheme="minorBidi"/>
        </w:rPr>
        <w:t xml:space="preserve">, is not due anything back from the defendant. </w:t>
      </w:r>
      <w:r w:rsidR="00530CDE" w:rsidRPr="006C1485">
        <w:rPr>
          <w:rFonts w:asciiTheme="minorBidi" w:hAnsiTheme="minorBidi"/>
        </w:rPr>
        <w:t>There is no suggestion in the particulars of claim</w:t>
      </w:r>
      <w:r w:rsidR="002A2F07" w:rsidRPr="006C1485">
        <w:rPr>
          <w:rFonts w:asciiTheme="minorBidi" w:hAnsiTheme="minorBidi"/>
        </w:rPr>
        <w:t>,</w:t>
      </w:r>
      <w:r w:rsidR="00530CDE" w:rsidRPr="006C1485">
        <w:rPr>
          <w:rFonts w:asciiTheme="minorBidi" w:hAnsiTheme="minorBidi"/>
        </w:rPr>
        <w:t xml:space="preserve"> </w:t>
      </w:r>
      <w:r w:rsidR="00262CC0" w:rsidRPr="006C1485">
        <w:rPr>
          <w:rFonts w:asciiTheme="minorBidi" w:hAnsiTheme="minorBidi"/>
        </w:rPr>
        <w:t>as they are presently framed</w:t>
      </w:r>
      <w:r w:rsidR="002A2F07" w:rsidRPr="006C1485">
        <w:rPr>
          <w:rFonts w:asciiTheme="minorBidi" w:hAnsiTheme="minorBidi"/>
        </w:rPr>
        <w:t>,</w:t>
      </w:r>
      <w:r w:rsidR="00262CC0" w:rsidRPr="006C1485">
        <w:rPr>
          <w:rFonts w:asciiTheme="minorBidi" w:hAnsiTheme="minorBidi"/>
        </w:rPr>
        <w:t xml:space="preserve"> </w:t>
      </w:r>
      <w:r w:rsidR="00530CDE" w:rsidRPr="006C1485">
        <w:rPr>
          <w:rFonts w:asciiTheme="minorBidi" w:hAnsiTheme="minorBidi"/>
        </w:rPr>
        <w:t xml:space="preserve">that the applicant is due anything from the defendant. </w:t>
      </w:r>
      <w:r w:rsidR="00D076CD" w:rsidRPr="006C1485">
        <w:rPr>
          <w:rFonts w:asciiTheme="minorBidi" w:hAnsiTheme="minorBidi"/>
        </w:rPr>
        <w:t xml:space="preserve">As was stated by Majiedt JA in </w:t>
      </w:r>
      <w:r w:rsidR="00D076CD" w:rsidRPr="006C1485">
        <w:rPr>
          <w:rFonts w:ascii="Arial" w:hAnsi="Arial" w:cs="Arial"/>
          <w:i/>
        </w:rPr>
        <w:t>Sentrachem Limited v Terreblanche</w:t>
      </w:r>
      <w:r w:rsidR="00D076CD" w:rsidRPr="006C1485">
        <w:rPr>
          <w:rFonts w:ascii="Arial" w:hAnsi="Arial" w:cs="Arial"/>
        </w:rPr>
        <w:t>:</w:t>
      </w:r>
      <w:r w:rsidR="00D076CD">
        <w:rPr>
          <w:rStyle w:val="FootnoteReference"/>
          <w:rFonts w:ascii="Arial" w:hAnsi="Arial" w:cs="Arial"/>
        </w:rPr>
        <w:footnoteReference w:id="22"/>
      </w:r>
    </w:p>
    <w:p w14:paraId="40236E3C" w14:textId="77777777" w:rsidR="00530CDE" w:rsidRDefault="00530CDE" w:rsidP="00530CDE">
      <w:pPr>
        <w:spacing w:line="360" w:lineRule="auto"/>
        <w:jc w:val="both"/>
        <w:rPr>
          <w:rFonts w:asciiTheme="minorBidi" w:hAnsiTheme="minorBidi"/>
          <w:sz w:val="22"/>
          <w:szCs w:val="22"/>
        </w:rPr>
      </w:pPr>
      <w:r w:rsidRPr="005F4756">
        <w:rPr>
          <w:rFonts w:asciiTheme="minorBidi" w:hAnsiTheme="minorBidi"/>
          <w:sz w:val="22"/>
          <w:szCs w:val="22"/>
        </w:rPr>
        <w:t>‘</w:t>
      </w:r>
      <w:r w:rsidR="00D076CD" w:rsidRPr="005F4756">
        <w:rPr>
          <w:rFonts w:asciiTheme="minorBidi" w:hAnsiTheme="minorBidi"/>
          <w:sz w:val="22"/>
          <w:szCs w:val="22"/>
        </w:rPr>
        <w:t xml:space="preserve">Once a substitution as plaintiff occurs, there can be no dispute concerning the legal standing to sue. A substitution sanctioned by the court is a legal procedural step to formalise the transfer of the claim to the cessionary in terms of the cession. </w:t>
      </w:r>
      <w:r w:rsidRPr="005F4756">
        <w:rPr>
          <w:rFonts w:asciiTheme="minorBidi" w:hAnsiTheme="minorBidi"/>
          <w:sz w:val="22"/>
          <w:szCs w:val="22"/>
        </w:rPr>
        <w:t xml:space="preserve">After substitution the </w:t>
      </w:r>
      <w:r w:rsidR="00D076CD" w:rsidRPr="005F4756">
        <w:rPr>
          <w:rFonts w:asciiTheme="minorBidi" w:hAnsiTheme="minorBidi"/>
          <w:sz w:val="22"/>
          <w:szCs w:val="22"/>
        </w:rPr>
        <w:t xml:space="preserve">cedent [should </w:t>
      </w:r>
      <w:r w:rsidR="00262CC0">
        <w:rPr>
          <w:rFonts w:asciiTheme="minorBidi" w:hAnsiTheme="minorBidi"/>
          <w:sz w:val="22"/>
          <w:szCs w:val="22"/>
        </w:rPr>
        <w:t>read</w:t>
      </w:r>
      <w:r w:rsidR="00D076CD" w:rsidRPr="005F4756">
        <w:rPr>
          <w:rFonts w:asciiTheme="minorBidi" w:hAnsiTheme="minorBidi"/>
          <w:sz w:val="22"/>
          <w:szCs w:val="22"/>
        </w:rPr>
        <w:t xml:space="preserve"> </w:t>
      </w:r>
      <w:r w:rsidRPr="005F4756">
        <w:rPr>
          <w:rFonts w:asciiTheme="minorBidi" w:hAnsiTheme="minorBidi"/>
          <w:sz w:val="22"/>
          <w:szCs w:val="22"/>
        </w:rPr>
        <w:t>cessionary</w:t>
      </w:r>
      <w:r w:rsidR="00D076CD" w:rsidRPr="005F4756">
        <w:rPr>
          <w:rFonts w:asciiTheme="minorBidi" w:hAnsiTheme="minorBidi"/>
          <w:sz w:val="22"/>
          <w:szCs w:val="22"/>
        </w:rPr>
        <w:t>]</w:t>
      </w:r>
      <w:r w:rsidRPr="005F4756">
        <w:rPr>
          <w:rFonts w:asciiTheme="minorBidi" w:hAnsiTheme="minorBidi"/>
          <w:sz w:val="22"/>
          <w:szCs w:val="22"/>
        </w:rPr>
        <w:t xml:space="preserve"> is entitled</w:t>
      </w:r>
      <w:r w:rsidR="005F4756" w:rsidRPr="005F4756">
        <w:rPr>
          <w:rFonts w:asciiTheme="minorBidi" w:hAnsiTheme="minorBidi"/>
          <w:sz w:val="22"/>
          <w:szCs w:val="22"/>
        </w:rPr>
        <w:t>, and is in fact in law obliged, to continue the suit in its own name.’</w:t>
      </w:r>
    </w:p>
    <w:p w14:paraId="2A48D7D4" w14:textId="77777777" w:rsidR="005F4756" w:rsidRPr="005F4756" w:rsidRDefault="005F4756" w:rsidP="00530CDE">
      <w:pPr>
        <w:spacing w:line="360" w:lineRule="auto"/>
        <w:jc w:val="both"/>
        <w:rPr>
          <w:rFonts w:asciiTheme="minorBidi" w:hAnsiTheme="minorBidi"/>
        </w:rPr>
      </w:pPr>
    </w:p>
    <w:p w14:paraId="478CA64C" w14:textId="7DADE4FB" w:rsidR="005F4756" w:rsidRPr="006C1485" w:rsidRDefault="006C1485" w:rsidP="006C1485">
      <w:pPr>
        <w:tabs>
          <w:tab w:val="left" w:pos="709"/>
        </w:tabs>
        <w:spacing w:line="360" w:lineRule="auto"/>
        <w:jc w:val="both"/>
        <w:rPr>
          <w:rFonts w:asciiTheme="minorBidi" w:hAnsiTheme="minorBidi"/>
        </w:rPr>
      </w:pPr>
      <w:r>
        <w:rPr>
          <w:rFonts w:ascii="Arial" w:eastAsiaTheme="minorHAnsi" w:hAnsi="Arial" w:cs="Arial"/>
          <w:bCs/>
          <w:lang w:val="en-GB" w:eastAsia="en-US" w:bidi="ar-SA"/>
        </w:rPr>
        <w:t>[57]</w:t>
      </w:r>
      <w:r>
        <w:rPr>
          <w:rFonts w:ascii="Arial" w:eastAsiaTheme="minorHAnsi" w:hAnsi="Arial" w:cs="Arial"/>
          <w:bCs/>
          <w:lang w:val="en-GB" w:eastAsia="en-US" w:bidi="ar-SA"/>
        </w:rPr>
        <w:tab/>
      </w:r>
      <w:r w:rsidR="00722CD2" w:rsidRPr="006C1485">
        <w:rPr>
          <w:rFonts w:asciiTheme="minorBidi" w:hAnsiTheme="minorBidi"/>
        </w:rPr>
        <w:t xml:space="preserve"> </w:t>
      </w:r>
      <w:r w:rsidR="005F4756" w:rsidRPr="006C1485">
        <w:rPr>
          <w:rFonts w:asciiTheme="minorBidi" w:hAnsiTheme="minorBidi"/>
        </w:rPr>
        <w:t>That being the case, the applicant will be required to continue with Cotton King’s non-existent claim</w:t>
      </w:r>
      <w:r w:rsidR="00262CC0" w:rsidRPr="006C1485">
        <w:rPr>
          <w:rFonts w:asciiTheme="minorBidi" w:hAnsiTheme="minorBidi"/>
        </w:rPr>
        <w:t xml:space="preserve"> against the defendant</w:t>
      </w:r>
      <w:r w:rsidR="005F4756" w:rsidRPr="006C1485">
        <w:rPr>
          <w:rFonts w:asciiTheme="minorBidi" w:hAnsiTheme="minorBidi"/>
        </w:rPr>
        <w:t>. The defendant will be put to the expense of participating in proceedings that have no prospect</w:t>
      </w:r>
      <w:r w:rsidR="003F00D6" w:rsidRPr="006C1485">
        <w:rPr>
          <w:rFonts w:asciiTheme="minorBidi" w:hAnsiTheme="minorBidi"/>
        </w:rPr>
        <w:t>s</w:t>
      </w:r>
      <w:r w:rsidR="005F4756" w:rsidRPr="006C1485">
        <w:rPr>
          <w:rFonts w:asciiTheme="minorBidi" w:hAnsiTheme="minorBidi"/>
        </w:rPr>
        <w:t xml:space="preserve"> of success</w:t>
      </w:r>
      <w:r w:rsidR="00533E77" w:rsidRPr="006C1485">
        <w:rPr>
          <w:rFonts w:asciiTheme="minorBidi" w:hAnsiTheme="minorBidi"/>
        </w:rPr>
        <w:t xml:space="preserve"> and are an exercise in futility</w:t>
      </w:r>
      <w:r w:rsidR="005F4756" w:rsidRPr="006C1485">
        <w:rPr>
          <w:rFonts w:asciiTheme="minorBidi" w:hAnsiTheme="minorBidi"/>
        </w:rPr>
        <w:t xml:space="preserve">. To my mind that </w:t>
      </w:r>
      <w:r w:rsidR="00533E77" w:rsidRPr="006C1485">
        <w:rPr>
          <w:rFonts w:asciiTheme="minorBidi" w:hAnsiTheme="minorBidi"/>
        </w:rPr>
        <w:t>constitutes</w:t>
      </w:r>
      <w:r w:rsidR="005F4756" w:rsidRPr="006C1485">
        <w:rPr>
          <w:rFonts w:asciiTheme="minorBidi" w:hAnsiTheme="minorBidi"/>
        </w:rPr>
        <w:t xml:space="preserve"> prejudice.</w:t>
      </w:r>
    </w:p>
    <w:p w14:paraId="79D499FB" w14:textId="77777777" w:rsidR="002435AF" w:rsidRDefault="002435AF" w:rsidP="002435AF">
      <w:pPr>
        <w:pStyle w:val="ListParagraph"/>
        <w:tabs>
          <w:tab w:val="left" w:pos="709"/>
        </w:tabs>
        <w:spacing w:after="0" w:line="360" w:lineRule="auto"/>
        <w:ind w:left="0"/>
        <w:jc w:val="both"/>
        <w:rPr>
          <w:rFonts w:asciiTheme="minorBidi" w:hAnsiTheme="minorBidi"/>
          <w:sz w:val="24"/>
          <w:szCs w:val="24"/>
        </w:rPr>
      </w:pPr>
    </w:p>
    <w:p w14:paraId="6C24335C" w14:textId="77777777" w:rsidR="00BD0932" w:rsidRPr="00053669" w:rsidRDefault="00BD0932" w:rsidP="002435AF">
      <w:pPr>
        <w:pStyle w:val="ListParagraph"/>
        <w:tabs>
          <w:tab w:val="left" w:pos="709"/>
        </w:tabs>
        <w:spacing w:after="0" w:line="360" w:lineRule="auto"/>
        <w:ind w:left="0"/>
        <w:jc w:val="both"/>
        <w:rPr>
          <w:rFonts w:asciiTheme="minorBidi" w:hAnsiTheme="minorBidi"/>
          <w:b/>
          <w:bCs/>
          <w:i/>
        </w:rPr>
      </w:pPr>
      <w:r w:rsidRPr="00053669">
        <w:rPr>
          <w:rFonts w:asciiTheme="minorBidi" w:hAnsiTheme="minorBidi"/>
          <w:b/>
          <w:bCs/>
          <w:i/>
        </w:rPr>
        <w:t>The fifth issue</w:t>
      </w:r>
      <w:r w:rsidR="00ED008A" w:rsidRPr="00053669">
        <w:rPr>
          <w:rFonts w:asciiTheme="minorBidi" w:hAnsiTheme="minorBidi"/>
          <w:b/>
          <w:bCs/>
          <w:i/>
        </w:rPr>
        <w:t xml:space="preserve">: whether </w:t>
      </w:r>
      <w:r w:rsidR="005F4756" w:rsidRPr="00053669">
        <w:rPr>
          <w:rFonts w:asciiTheme="minorBidi" w:hAnsiTheme="minorBidi"/>
          <w:b/>
          <w:bCs/>
          <w:i/>
        </w:rPr>
        <w:t xml:space="preserve">it is appropriate to determine </w:t>
      </w:r>
      <w:r w:rsidR="00ED008A" w:rsidRPr="00053669">
        <w:rPr>
          <w:rFonts w:asciiTheme="minorBidi" w:hAnsiTheme="minorBidi"/>
          <w:b/>
          <w:bCs/>
          <w:i/>
        </w:rPr>
        <w:t>the prospects of success on the plaintiff’s claim in this substitution application</w:t>
      </w:r>
    </w:p>
    <w:p w14:paraId="43D32FF5" w14:textId="6C733F32" w:rsidR="001748BC" w:rsidRPr="006C1485" w:rsidRDefault="006C1485" w:rsidP="006C1485">
      <w:pPr>
        <w:tabs>
          <w:tab w:val="left" w:pos="709"/>
        </w:tabs>
        <w:spacing w:line="360" w:lineRule="auto"/>
        <w:jc w:val="both"/>
        <w:rPr>
          <w:rFonts w:asciiTheme="minorBidi" w:hAnsiTheme="minorBidi"/>
        </w:rPr>
      </w:pPr>
      <w:r w:rsidRPr="001748BC">
        <w:rPr>
          <w:rFonts w:ascii="Arial" w:eastAsiaTheme="minorHAnsi" w:hAnsi="Arial" w:cs="Arial"/>
          <w:bCs/>
          <w:szCs w:val="22"/>
          <w:lang w:val="en-GB" w:eastAsia="en-US" w:bidi="ar-SA"/>
        </w:rPr>
        <w:t>[58]</w:t>
      </w:r>
      <w:r w:rsidRPr="001748BC">
        <w:rPr>
          <w:rFonts w:ascii="Arial" w:eastAsiaTheme="minorHAnsi" w:hAnsi="Arial" w:cs="Arial"/>
          <w:bCs/>
          <w:szCs w:val="22"/>
          <w:lang w:val="en-GB" w:eastAsia="en-US" w:bidi="ar-SA"/>
        </w:rPr>
        <w:tab/>
      </w:r>
      <w:r w:rsidR="001748BC" w:rsidRPr="006C1485">
        <w:rPr>
          <w:rFonts w:asciiTheme="minorBidi" w:hAnsiTheme="minorBidi"/>
        </w:rPr>
        <w:t xml:space="preserve">In </w:t>
      </w:r>
      <w:r w:rsidR="001748BC" w:rsidRPr="006C1485">
        <w:rPr>
          <w:rFonts w:asciiTheme="minorBidi" w:hAnsiTheme="minorBidi"/>
          <w:i/>
        </w:rPr>
        <w:t>Van Rensburg v Condoprops 42 (Pty) Ltd</w:t>
      </w:r>
      <w:r w:rsidR="001748BC" w:rsidRPr="006C1485">
        <w:rPr>
          <w:rFonts w:asciiTheme="minorBidi" w:hAnsiTheme="minorBidi"/>
        </w:rPr>
        <w:t>,</w:t>
      </w:r>
      <w:r w:rsidR="001748BC">
        <w:rPr>
          <w:rStyle w:val="FootnoteReference"/>
          <w:rFonts w:asciiTheme="minorBidi" w:hAnsiTheme="minorBidi"/>
        </w:rPr>
        <w:footnoteReference w:id="23"/>
      </w:r>
      <w:r w:rsidR="001748BC" w:rsidRPr="006C1485">
        <w:rPr>
          <w:rFonts w:asciiTheme="minorBidi" w:hAnsiTheme="minorBidi"/>
        </w:rPr>
        <w:t xml:space="preserve"> Leach J stated that:</w:t>
      </w:r>
    </w:p>
    <w:p w14:paraId="17E39443" w14:textId="77777777" w:rsidR="001748BC" w:rsidRPr="001748BC" w:rsidRDefault="001748BC" w:rsidP="001748BC">
      <w:pPr>
        <w:tabs>
          <w:tab w:val="left" w:pos="709"/>
        </w:tabs>
        <w:spacing w:line="360" w:lineRule="auto"/>
        <w:jc w:val="both"/>
        <w:rPr>
          <w:rFonts w:asciiTheme="minorBidi" w:hAnsiTheme="minorBidi"/>
          <w:sz w:val="22"/>
          <w:szCs w:val="22"/>
        </w:rPr>
      </w:pPr>
      <w:r w:rsidRPr="001748BC">
        <w:rPr>
          <w:rFonts w:asciiTheme="minorBidi" w:hAnsiTheme="minorBidi"/>
          <w:sz w:val="22"/>
          <w:szCs w:val="22"/>
        </w:rPr>
        <w:t>‘In considering whether to allow such a substitution the court would be called on to exercise discretion …’.</w:t>
      </w:r>
      <w:r w:rsidRPr="001748BC">
        <w:rPr>
          <w:rStyle w:val="FootnoteReference"/>
          <w:rFonts w:asciiTheme="minorBidi" w:hAnsiTheme="minorBidi"/>
          <w:sz w:val="22"/>
          <w:szCs w:val="22"/>
        </w:rPr>
        <w:footnoteReference w:id="24"/>
      </w:r>
    </w:p>
    <w:p w14:paraId="10BB820B" w14:textId="77777777" w:rsidR="001748BC" w:rsidRPr="001748BC" w:rsidRDefault="001748BC" w:rsidP="001748BC">
      <w:pPr>
        <w:pStyle w:val="ListParagraph"/>
        <w:tabs>
          <w:tab w:val="left" w:pos="709"/>
        </w:tabs>
        <w:spacing w:after="0" w:line="360" w:lineRule="auto"/>
        <w:ind w:left="0"/>
        <w:jc w:val="both"/>
        <w:rPr>
          <w:rFonts w:asciiTheme="minorBidi" w:hAnsiTheme="minorBidi"/>
        </w:rPr>
      </w:pPr>
    </w:p>
    <w:p w14:paraId="0478A037" w14:textId="694CC347" w:rsidR="001748BC" w:rsidRPr="006C1485" w:rsidRDefault="006C1485" w:rsidP="006C1485">
      <w:pPr>
        <w:tabs>
          <w:tab w:val="left" w:pos="709"/>
        </w:tabs>
        <w:spacing w:line="360" w:lineRule="auto"/>
        <w:jc w:val="both"/>
        <w:rPr>
          <w:rFonts w:asciiTheme="minorBidi" w:hAnsiTheme="minorBidi"/>
        </w:rPr>
      </w:pPr>
      <w:r w:rsidRPr="00C558EA">
        <w:rPr>
          <w:rFonts w:ascii="Arial" w:eastAsiaTheme="minorHAnsi" w:hAnsi="Arial" w:cs="Arial"/>
          <w:bCs/>
          <w:lang w:val="en-GB" w:eastAsia="en-US" w:bidi="ar-SA"/>
        </w:rPr>
        <w:t>[59]</w:t>
      </w:r>
      <w:r w:rsidRPr="00C558EA">
        <w:rPr>
          <w:rFonts w:ascii="Arial" w:eastAsiaTheme="minorHAnsi" w:hAnsi="Arial" w:cs="Arial"/>
          <w:bCs/>
          <w:lang w:val="en-GB" w:eastAsia="en-US" w:bidi="ar-SA"/>
        </w:rPr>
        <w:tab/>
      </w:r>
      <w:r w:rsidR="001748BC" w:rsidRPr="006C1485">
        <w:rPr>
          <w:rFonts w:asciiTheme="minorBidi" w:hAnsiTheme="minorBidi"/>
        </w:rPr>
        <w:t>In his heads of argument, Mr Iles echoed Leach J’s words and</w:t>
      </w:r>
      <w:r w:rsidR="00533E77" w:rsidRPr="006C1485">
        <w:rPr>
          <w:rFonts w:asciiTheme="minorBidi" w:hAnsiTheme="minorBidi"/>
        </w:rPr>
        <w:t>, in my view,</w:t>
      </w:r>
      <w:r w:rsidR="001748BC" w:rsidRPr="006C1485">
        <w:rPr>
          <w:rFonts w:asciiTheme="minorBidi" w:hAnsiTheme="minorBidi"/>
        </w:rPr>
        <w:t xml:space="preserve"> correctly acknowledged that a court hearing a substitution application exercises a discretion when arriving at its judgment</w:t>
      </w:r>
      <w:r w:rsidR="00262CC0" w:rsidRPr="006C1485">
        <w:rPr>
          <w:rFonts w:asciiTheme="minorBidi" w:hAnsiTheme="minorBidi"/>
        </w:rPr>
        <w:t xml:space="preserve"> on that issue</w:t>
      </w:r>
      <w:r w:rsidR="001748BC" w:rsidRPr="006C1485">
        <w:rPr>
          <w:rFonts w:asciiTheme="minorBidi" w:hAnsiTheme="minorBidi"/>
        </w:rPr>
        <w:t>.</w:t>
      </w:r>
      <w:r w:rsidR="00BF1385" w:rsidRPr="006C1485">
        <w:rPr>
          <w:rFonts w:asciiTheme="minorBidi" w:hAnsiTheme="minorBidi"/>
        </w:rPr>
        <w:t xml:space="preserve"> </w:t>
      </w:r>
      <w:r w:rsidR="001748BC" w:rsidRPr="006C1485">
        <w:rPr>
          <w:rFonts w:asciiTheme="minorBidi" w:hAnsiTheme="minorBidi"/>
          <w:color w:val="333333"/>
          <w:shd w:val="clear" w:color="auto" w:fill="FFFFFF"/>
        </w:rPr>
        <w:t xml:space="preserve">A judicial discretion refers to a judicial officer’s power to make a decision based </w:t>
      </w:r>
      <w:r w:rsidR="00054097" w:rsidRPr="006C1485">
        <w:rPr>
          <w:rFonts w:asciiTheme="minorBidi" w:hAnsiTheme="minorBidi"/>
          <w:color w:val="333333"/>
          <w:shd w:val="clear" w:color="auto" w:fill="FFFFFF"/>
        </w:rPr>
        <w:t>up</w:t>
      </w:r>
      <w:r w:rsidR="001748BC" w:rsidRPr="006C1485">
        <w:rPr>
          <w:rFonts w:asciiTheme="minorBidi" w:hAnsiTheme="minorBidi"/>
          <w:color w:val="333333"/>
          <w:shd w:val="clear" w:color="auto" w:fill="FFFFFF"/>
        </w:rPr>
        <w:t xml:space="preserve">on his or her individualised evaluation of a matter, guided by the principles of the applicable law. The judicial </w:t>
      </w:r>
      <w:r w:rsidR="001748BC" w:rsidRPr="006C1485">
        <w:rPr>
          <w:rFonts w:asciiTheme="minorBidi" w:hAnsiTheme="minorBidi"/>
          <w:color w:val="333333"/>
          <w:shd w:val="clear" w:color="auto" w:fill="FFFFFF"/>
        </w:rPr>
        <w:lastRenderedPageBreak/>
        <w:t>officer will apply reason and judgment to choose from several alternatives that may be acceptable</w:t>
      </w:r>
      <w:r w:rsidR="00054097" w:rsidRPr="006C1485">
        <w:rPr>
          <w:rFonts w:asciiTheme="minorBidi" w:hAnsiTheme="minorBidi"/>
          <w:color w:val="333333"/>
          <w:shd w:val="clear" w:color="auto" w:fill="FFFFFF"/>
        </w:rPr>
        <w:t>,</w:t>
      </w:r>
      <w:r w:rsidR="001748BC" w:rsidRPr="006C1485">
        <w:rPr>
          <w:rFonts w:asciiTheme="minorBidi" w:hAnsiTheme="minorBidi"/>
          <w:color w:val="333333"/>
          <w:shd w:val="clear" w:color="auto" w:fill="FFFFFF"/>
        </w:rPr>
        <w:t xml:space="preserve"> </w:t>
      </w:r>
      <w:r w:rsidR="00871990" w:rsidRPr="006C1485">
        <w:rPr>
          <w:rFonts w:asciiTheme="minorBidi" w:hAnsiTheme="minorBidi"/>
          <w:color w:val="333333"/>
          <w:shd w:val="clear" w:color="auto" w:fill="FFFFFF"/>
        </w:rPr>
        <w:t>due regard being had to all the relevant facts pertaining to the matter.</w:t>
      </w:r>
      <w:r w:rsidR="00C42A88">
        <w:rPr>
          <w:rStyle w:val="FootnoteReference"/>
          <w:rFonts w:asciiTheme="minorBidi" w:hAnsiTheme="minorBidi"/>
          <w:color w:val="333333"/>
          <w:shd w:val="clear" w:color="auto" w:fill="FFFFFF"/>
        </w:rPr>
        <w:footnoteReference w:id="25"/>
      </w:r>
      <w:r w:rsidR="001748BC" w:rsidRPr="006C1485">
        <w:rPr>
          <w:rFonts w:asciiTheme="minorBidi" w:hAnsiTheme="minorBidi"/>
          <w:color w:val="333333"/>
          <w:shd w:val="clear" w:color="auto" w:fill="FFFFFF"/>
        </w:rPr>
        <w:t xml:space="preserve"> Decisions </w:t>
      </w:r>
      <w:r w:rsidR="00871990" w:rsidRPr="006C1485">
        <w:rPr>
          <w:rFonts w:asciiTheme="minorBidi" w:hAnsiTheme="minorBidi"/>
          <w:color w:val="333333"/>
          <w:shd w:val="clear" w:color="auto" w:fill="FFFFFF"/>
        </w:rPr>
        <w:t>taken involving the</w:t>
      </w:r>
      <w:r w:rsidR="001748BC" w:rsidRPr="006C1485">
        <w:rPr>
          <w:rFonts w:asciiTheme="minorBidi" w:hAnsiTheme="minorBidi"/>
          <w:color w:val="333333"/>
          <w:shd w:val="clear" w:color="auto" w:fill="FFFFFF"/>
        </w:rPr>
        <w:t xml:space="preserve"> exercise of a discretion may thus be based on the case's particular circumstances rather than upon a rigid application of law but should not be arbitrary in nature and should be based upon what is right and equitable</w:t>
      </w:r>
      <w:r w:rsidR="001748BC" w:rsidRPr="006C1485">
        <w:rPr>
          <w:rStyle w:val="apple-converted-space"/>
          <w:rFonts w:asciiTheme="minorBidi" w:hAnsiTheme="minorBidi"/>
          <w:color w:val="333333"/>
          <w:shd w:val="clear" w:color="auto" w:fill="FFFFFF"/>
        </w:rPr>
        <w:t> </w:t>
      </w:r>
      <w:r w:rsidR="006F12EC" w:rsidRPr="006C1485">
        <w:rPr>
          <w:rFonts w:asciiTheme="minorBidi" w:hAnsiTheme="minorBidi"/>
          <w:color w:val="333333"/>
          <w:shd w:val="clear" w:color="auto" w:fill="FFFFFF"/>
        </w:rPr>
        <w:t>in the circumstances</w:t>
      </w:r>
      <w:r w:rsidR="001748BC" w:rsidRPr="006C1485">
        <w:rPr>
          <w:rFonts w:asciiTheme="minorBidi" w:hAnsiTheme="minorBidi"/>
          <w:color w:val="333333"/>
          <w:shd w:val="clear" w:color="auto" w:fill="FFFFFF"/>
        </w:rPr>
        <w:t xml:space="preserve"> of the matter.</w:t>
      </w:r>
    </w:p>
    <w:p w14:paraId="22A704A5" w14:textId="77777777" w:rsidR="001748BC" w:rsidRPr="009123BE" w:rsidRDefault="001748BC" w:rsidP="001748BC">
      <w:pPr>
        <w:pStyle w:val="ListParagraph"/>
        <w:tabs>
          <w:tab w:val="left" w:pos="709"/>
        </w:tabs>
        <w:spacing w:after="0" w:line="360" w:lineRule="auto"/>
        <w:ind w:left="0"/>
        <w:jc w:val="both"/>
        <w:rPr>
          <w:rFonts w:asciiTheme="minorBidi" w:hAnsiTheme="minorBidi"/>
          <w:sz w:val="24"/>
          <w:szCs w:val="24"/>
        </w:rPr>
      </w:pPr>
    </w:p>
    <w:p w14:paraId="7C69FD49" w14:textId="28A94024" w:rsidR="00871990" w:rsidRPr="006C1485" w:rsidRDefault="006C1485" w:rsidP="006C1485">
      <w:pPr>
        <w:tabs>
          <w:tab w:val="left" w:pos="709"/>
        </w:tabs>
        <w:spacing w:line="360" w:lineRule="auto"/>
        <w:jc w:val="both"/>
        <w:rPr>
          <w:rFonts w:asciiTheme="minorBidi" w:hAnsiTheme="minorBidi"/>
        </w:rPr>
      </w:pPr>
      <w:r>
        <w:rPr>
          <w:rFonts w:ascii="Arial" w:eastAsiaTheme="minorHAnsi" w:hAnsi="Arial" w:cs="Arial"/>
          <w:bCs/>
          <w:lang w:val="en-GB" w:eastAsia="en-US" w:bidi="ar-SA"/>
        </w:rPr>
        <w:t>[60]</w:t>
      </w:r>
      <w:r>
        <w:rPr>
          <w:rFonts w:ascii="Arial" w:eastAsiaTheme="minorHAnsi" w:hAnsi="Arial" w:cs="Arial"/>
          <w:bCs/>
          <w:lang w:val="en-GB" w:eastAsia="en-US" w:bidi="ar-SA"/>
        </w:rPr>
        <w:tab/>
      </w:r>
      <w:r w:rsidR="001748BC" w:rsidRPr="006C1485">
        <w:rPr>
          <w:rFonts w:asciiTheme="minorBidi" w:hAnsiTheme="minorBidi"/>
        </w:rPr>
        <w:t xml:space="preserve">Mr Iles submitted </w:t>
      </w:r>
      <w:r w:rsidR="00871990" w:rsidRPr="006C1485">
        <w:rPr>
          <w:rFonts w:asciiTheme="minorBidi" w:hAnsiTheme="minorBidi"/>
        </w:rPr>
        <w:t xml:space="preserve">further </w:t>
      </w:r>
      <w:r w:rsidR="001748BC" w:rsidRPr="006C1485">
        <w:rPr>
          <w:rFonts w:asciiTheme="minorBidi" w:hAnsiTheme="minorBidi"/>
        </w:rPr>
        <w:t xml:space="preserve">that if there was a valid cession of a claim to the cessionary that had not yet prescribed, the application for substitution should be granted. He submitted that this </w:t>
      </w:r>
      <w:r w:rsidR="00871990" w:rsidRPr="006C1485">
        <w:rPr>
          <w:rFonts w:asciiTheme="minorBidi" w:hAnsiTheme="minorBidi"/>
        </w:rPr>
        <w:t>was the position in</w:t>
      </w:r>
      <w:r w:rsidR="001748BC" w:rsidRPr="006C1485">
        <w:rPr>
          <w:rFonts w:asciiTheme="minorBidi" w:hAnsiTheme="minorBidi"/>
        </w:rPr>
        <w:t xml:space="preserve"> this case: litigation was properly commenced by Cotton King before its claim had become prescribed, after </w:t>
      </w:r>
      <w:r w:rsidR="001748BC" w:rsidRPr="006C1485">
        <w:rPr>
          <w:rFonts w:asciiTheme="minorBidi" w:hAnsiTheme="minorBidi"/>
          <w:i/>
          <w:iCs/>
        </w:rPr>
        <w:t>litis contest</w:t>
      </w:r>
      <w:r w:rsidR="00C50860" w:rsidRPr="006C1485">
        <w:rPr>
          <w:rFonts w:asciiTheme="minorBidi" w:hAnsiTheme="minorBidi"/>
          <w:i/>
          <w:iCs/>
        </w:rPr>
        <w:t>at</w:t>
      </w:r>
      <w:r w:rsidR="001748BC" w:rsidRPr="006C1485">
        <w:rPr>
          <w:rFonts w:asciiTheme="minorBidi" w:hAnsiTheme="minorBidi"/>
          <w:i/>
          <w:iCs/>
        </w:rPr>
        <w:t>io</w:t>
      </w:r>
      <w:r w:rsidR="001748BC" w:rsidRPr="006C1485">
        <w:rPr>
          <w:rFonts w:asciiTheme="minorBidi" w:hAnsiTheme="minorBidi"/>
        </w:rPr>
        <w:t xml:space="preserve"> </w:t>
      </w:r>
      <w:r w:rsidR="00C42A88" w:rsidRPr="006C1485">
        <w:rPr>
          <w:rFonts w:asciiTheme="minorBidi" w:hAnsiTheme="minorBidi"/>
        </w:rPr>
        <w:t xml:space="preserve">had been reached </w:t>
      </w:r>
      <w:r w:rsidR="001748BC" w:rsidRPr="006C1485">
        <w:rPr>
          <w:rFonts w:asciiTheme="minorBidi" w:hAnsiTheme="minorBidi"/>
        </w:rPr>
        <w:t xml:space="preserve">the claim was ceded to the applicant and the agreement to cede was reduced to writing for ease of proof. The substitution sought should therefore be granted. He submitted that it was of no concern to the court whether the applicant, having been substituted for Cotton King, was ultimately likely to be successful in the action. </w:t>
      </w:r>
    </w:p>
    <w:p w14:paraId="0926E770" w14:textId="77777777" w:rsidR="003F00D6" w:rsidRPr="003F00D6" w:rsidRDefault="003F00D6" w:rsidP="003F00D6">
      <w:pPr>
        <w:pStyle w:val="ListParagraph"/>
        <w:rPr>
          <w:rFonts w:asciiTheme="minorBidi" w:hAnsiTheme="minorBidi"/>
          <w:sz w:val="24"/>
          <w:szCs w:val="24"/>
        </w:rPr>
      </w:pPr>
    </w:p>
    <w:p w14:paraId="3489685D" w14:textId="3EB4472B" w:rsidR="00871990" w:rsidRPr="006C1485" w:rsidRDefault="006C1485" w:rsidP="006C1485">
      <w:pPr>
        <w:tabs>
          <w:tab w:val="left" w:pos="709"/>
        </w:tabs>
        <w:spacing w:line="360" w:lineRule="auto"/>
        <w:jc w:val="both"/>
        <w:rPr>
          <w:rFonts w:asciiTheme="minorBidi" w:hAnsiTheme="minorBidi"/>
        </w:rPr>
      </w:pPr>
      <w:r>
        <w:rPr>
          <w:rFonts w:ascii="Arial" w:eastAsiaTheme="minorHAnsi" w:hAnsi="Arial" w:cs="Arial"/>
          <w:bCs/>
          <w:lang w:val="en-GB" w:eastAsia="en-US" w:bidi="ar-SA"/>
        </w:rPr>
        <w:t>[61]</w:t>
      </w:r>
      <w:r>
        <w:rPr>
          <w:rFonts w:ascii="Arial" w:eastAsiaTheme="minorHAnsi" w:hAnsi="Arial" w:cs="Arial"/>
          <w:bCs/>
          <w:lang w:val="en-GB" w:eastAsia="en-US" w:bidi="ar-SA"/>
        </w:rPr>
        <w:tab/>
      </w:r>
      <w:r w:rsidR="003F00D6" w:rsidRPr="006C1485">
        <w:rPr>
          <w:rFonts w:asciiTheme="minorBidi" w:hAnsiTheme="minorBidi"/>
        </w:rPr>
        <w:t xml:space="preserve">Perhaps the flaw in this reasoning is the premise that Cotton King had entered into a valid cession with the applicant. Cotton King had no right and had made no investment with Mr Cowan. Yet it commenced action against the defendant and then purported to cede its rights to the applicant. </w:t>
      </w:r>
    </w:p>
    <w:p w14:paraId="167585DD" w14:textId="77777777" w:rsidR="003F00D6" w:rsidRPr="003F00D6" w:rsidRDefault="003F00D6" w:rsidP="003F00D6">
      <w:pPr>
        <w:pStyle w:val="ListParagraph"/>
        <w:tabs>
          <w:tab w:val="left" w:pos="709"/>
        </w:tabs>
        <w:spacing w:after="0" w:line="360" w:lineRule="auto"/>
        <w:ind w:left="0"/>
        <w:jc w:val="both"/>
        <w:rPr>
          <w:rFonts w:asciiTheme="minorBidi" w:hAnsiTheme="minorBidi"/>
          <w:sz w:val="24"/>
          <w:szCs w:val="24"/>
        </w:rPr>
      </w:pPr>
    </w:p>
    <w:p w14:paraId="359D2D1A" w14:textId="10AC62BB" w:rsidR="001748BC" w:rsidRPr="006C1485" w:rsidRDefault="006C1485" w:rsidP="006C1485">
      <w:pPr>
        <w:tabs>
          <w:tab w:val="left" w:pos="709"/>
        </w:tabs>
        <w:spacing w:line="360" w:lineRule="auto"/>
        <w:jc w:val="both"/>
        <w:rPr>
          <w:rFonts w:asciiTheme="minorBidi" w:hAnsiTheme="minorBidi"/>
        </w:rPr>
      </w:pPr>
      <w:r>
        <w:rPr>
          <w:rFonts w:ascii="Arial" w:eastAsiaTheme="minorHAnsi" w:hAnsi="Arial" w:cs="Arial"/>
          <w:bCs/>
          <w:lang w:val="en-GB" w:eastAsia="en-US" w:bidi="ar-SA"/>
        </w:rPr>
        <w:t>[62]</w:t>
      </w:r>
      <w:r>
        <w:rPr>
          <w:rFonts w:ascii="Arial" w:eastAsiaTheme="minorHAnsi" w:hAnsi="Arial" w:cs="Arial"/>
          <w:bCs/>
          <w:lang w:val="en-GB" w:eastAsia="en-US" w:bidi="ar-SA"/>
        </w:rPr>
        <w:tab/>
      </w:r>
      <w:r w:rsidR="003F00D6" w:rsidRPr="006C1485">
        <w:rPr>
          <w:rFonts w:asciiTheme="minorBidi" w:hAnsiTheme="minorBidi"/>
        </w:rPr>
        <w:t>Furthermore,</w:t>
      </w:r>
      <w:r w:rsidR="001748BC" w:rsidRPr="006C1485">
        <w:rPr>
          <w:rFonts w:asciiTheme="minorBidi" w:hAnsiTheme="minorBidi"/>
        </w:rPr>
        <w:t xml:space="preserve"> th</w:t>
      </w:r>
      <w:r w:rsidR="00533E77" w:rsidRPr="006C1485">
        <w:rPr>
          <w:rFonts w:asciiTheme="minorBidi" w:hAnsiTheme="minorBidi"/>
        </w:rPr>
        <w:t>e</w:t>
      </w:r>
      <w:r w:rsidR="001748BC" w:rsidRPr="006C1485">
        <w:rPr>
          <w:rFonts w:asciiTheme="minorBidi" w:hAnsiTheme="minorBidi"/>
        </w:rPr>
        <w:t xml:space="preserve"> mechanistic, tick-box approach that </w:t>
      </w:r>
      <w:r w:rsidR="00533E77" w:rsidRPr="006C1485">
        <w:rPr>
          <w:rFonts w:asciiTheme="minorBidi" w:hAnsiTheme="minorBidi"/>
        </w:rPr>
        <w:t>Mr Iles</w:t>
      </w:r>
      <w:r w:rsidR="001748BC" w:rsidRPr="006C1485">
        <w:rPr>
          <w:rFonts w:asciiTheme="minorBidi" w:hAnsiTheme="minorBidi"/>
        </w:rPr>
        <w:t xml:space="preserve"> proposes does not seem to me to </w:t>
      </w:r>
      <w:r w:rsidR="00871990" w:rsidRPr="006C1485">
        <w:rPr>
          <w:rFonts w:asciiTheme="minorBidi" w:hAnsiTheme="minorBidi"/>
        </w:rPr>
        <w:t>allow</w:t>
      </w:r>
      <w:r w:rsidR="001748BC" w:rsidRPr="006C1485">
        <w:rPr>
          <w:rFonts w:asciiTheme="minorBidi" w:hAnsiTheme="minorBidi"/>
        </w:rPr>
        <w:t xml:space="preserve"> for the exercise of the discretion referred to by Leach J in </w:t>
      </w:r>
      <w:r w:rsidR="001748BC" w:rsidRPr="006C1485">
        <w:rPr>
          <w:rFonts w:asciiTheme="minorBidi" w:hAnsiTheme="minorBidi"/>
          <w:i/>
        </w:rPr>
        <w:t>Van Rensburg</w:t>
      </w:r>
      <w:r w:rsidR="001748BC" w:rsidRPr="006C1485">
        <w:rPr>
          <w:rFonts w:asciiTheme="minorBidi" w:hAnsiTheme="minorBidi"/>
        </w:rPr>
        <w:t>, or for the consideration of prejudice to the other side.</w:t>
      </w:r>
      <w:r w:rsidR="00054097" w:rsidRPr="006C1485">
        <w:rPr>
          <w:rFonts w:asciiTheme="minorBidi" w:hAnsiTheme="minorBidi"/>
        </w:rPr>
        <w:t xml:space="preserve"> The </w:t>
      </w:r>
      <w:r w:rsidR="00533E77" w:rsidRPr="006C1485">
        <w:rPr>
          <w:rFonts w:asciiTheme="minorBidi" w:hAnsiTheme="minorBidi"/>
        </w:rPr>
        <w:t xml:space="preserve">prospects of the success of the action </w:t>
      </w:r>
      <w:r w:rsidR="00054097" w:rsidRPr="006C1485">
        <w:rPr>
          <w:rFonts w:asciiTheme="minorBidi" w:hAnsiTheme="minorBidi"/>
        </w:rPr>
        <w:t>may influence the issue of prejudice. For me to properly exercise my discretion I must consider all that is relevant. In my view, that would, at the very least, require me to carefully consider the</w:t>
      </w:r>
      <w:r w:rsidR="003F00D6" w:rsidRPr="006C1485">
        <w:rPr>
          <w:rFonts w:asciiTheme="minorBidi" w:hAnsiTheme="minorBidi"/>
        </w:rPr>
        <w:t xml:space="preserve"> nature of the</w:t>
      </w:r>
      <w:r w:rsidR="00054097" w:rsidRPr="006C1485">
        <w:rPr>
          <w:rFonts w:asciiTheme="minorBidi" w:hAnsiTheme="minorBidi"/>
        </w:rPr>
        <w:t xml:space="preserve"> right that was ceded</w:t>
      </w:r>
      <w:r w:rsidR="007A1C3A" w:rsidRPr="006C1485">
        <w:rPr>
          <w:rFonts w:asciiTheme="minorBidi" w:hAnsiTheme="minorBidi"/>
        </w:rPr>
        <w:t xml:space="preserve">. Based upon the unique facts of this matter, what was ceded was not a valid right at all. That having been recognised, it seems to me that I should have some regard to the eventual outcome of the action in the light of the admission that the investment was not Cotton </w:t>
      </w:r>
      <w:r w:rsidR="007A1C3A" w:rsidRPr="006C1485">
        <w:rPr>
          <w:rFonts w:asciiTheme="minorBidi" w:hAnsiTheme="minorBidi"/>
        </w:rPr>
        <w:lastRenderedPageBreak/>
        <w:t xml:space="preserve">King’s when exercising my discretion and considering the question of prejudice to the defendant. </w:t>
      </w:r>
    </w:p>
    <w:p w14:paraId="69D812AA" w14:textId="77777777" w:rsidR="0004582B" w:rsidRPr="001748BC" w:rsidRDefault="0004582B" w:rsidP="007A1C3A">
      <w:pPr>
        <w:pStyle w:val="ListParagraph"/>
        <w:tabs>
          <w:tab w:val="left" w:pos="709"/>
        </w:tabs>
        <w:spacing w:after="0" w:line="360" w:lineRule="auto"/>
        <w:ind w:left="0"/>
        <w:jc w:val="both"/>
        <w:rPr>
          <w:rFonts w:asciiTheme="minorBidi" w:hAnsiTheme="minorBidi"/>
        </w:rPr>
      </w:pPr>
    </w:p>
    <w:p w14:paraId="2150E3E5" w14:textId="45DC1A00" w:rsidR="00BD0932" w:rsidRPr="00053669" w:rsidRDefault="00BD0932" w:rsidP="007A1C3A">
      <w:pPr>
        <w:spacing w:line="360" w:lineRule="auto"/>
        <w:jc w:val="both"/>
        <w:rPr>
          <w:rFonts w:asciiTheme="minorBidi" w:hAnsiTheme="minorBidi"/>
          <w:b/>
          <w:bCs/>
          <w:i/>
        </w:rPr>
      </w:pPr>
      <w:r w:rsidRPr="00053669">
        <w:rPr>
          <w:rFonts w:asciiTheme="minorBidi" w:hAnsiTheme="minorBidi"/>
          <w:b/>
          <w:bCs/>
          <w:i/>
        </w:rPr>
        <w:t>The sixth issue</w:t>
      </w:r>
      <w:r w:rsidR="007A1C3A" w:rsidRPr="00053669">
        <w:rPr>
          <w:rFonts w:asciiTheme="minorBidi" w:hAnsiTheme="minorBidi"/>
          <w:b/>
          <w:bCs/>
          <w:i/>
        </w:rPr>
        <w:t>: whether the applicant’s claim against the respondent has prescribed</w:t>
      </w:r>
    </w:p>
    <w:p w14:paraId="37437D64" w14:textId="5F195581" w:rsidR="00A2626A" w:rsidRPr="006C1485" w:rsidRDefault="006C1485" w:rsidP="006C1485">
      <w:pPr>
        <w:spacing w:line="360" w:lineRule="auto"/>
        <w:jc w:val="both"/>
        <w:rPr>
          <w:rFonts w:asciiTheme="minorBidi" w:hAnsiTheme="minorBidi"/>
        </w:rPr>
      </w:pPr>
      <w:r>
        <w:rPr>
          <w:rFonts w:ascii="Arial" w:eastAsiaTheme="minorHAnsi" w:hAnsi="Arial" w:cs="Arial"/>
          <w:bCs/>
          <w:lang w:val="en-GB" w:eastAsia="en-US" w:bidi="ar-SA"/>
        </w:rPr>
        <w:t>[63]</w:t>
      </w:r>
      <w:r>
        <w:rPr>
          <w:rFonts w:ascii="Arial" w:eastAsiaTheme="minorHAnsi" w:hAnsi="Arial" w:cs="Arial"/>
          <w:bCs/>
          <w:lang w:val="en-GB" w:eastAsia="en-US" w:bidi="ar-SA"/>
        </w:rPr>
        <w:tab/>
      </w:r>
      <w:r w:rsidR="007A1C3A" w:rsidRPr="006C1485">
        <w:rPr>
          <w:rFonts w:asciiTheme="minorBidi" w:hAnsiTheme="minorBidi"/>
        </w:rPr>
        <w:t xml:space="preserve">As a general proposition, based upon the similarity of the approaches to applications for amendments and substitution referred to by Brand JA in </w:t>
      </w:r>
      <w:r w:rsidR="00536124" w:rsidRPr="006C1485">
        <w:rPr>
          <w:rFonts w:ascii="Arial" w:hAnsi="Arial" w:cs="Arial"/>
          <w:i/>
        </w:rPr>
        <w:t>Tecmed</w:t>
      </w:r>
      <w:r w:rsidR="007A1C3A" w:rsidRPr="006C1485">
        <w:rPr>
          <w:rFonts w:asciiTheme="minorBidi" w:hAnsiTheme="minorBidi"/>
        </w:rPr>
        <w:t>,</w:t>
      </w:r>
      <w:r w:rsidR="006F12EC">
        <w:rPr>
          <w:rStyle w:val="FootnoteReference"/>
          <w:rFonts w:asciiTheme="minorBidi" w:hAnsiTheme="minorBidi"/>
        </w:rPr>
        <w:footnoteReference w:id="26"/>
      </w:r>
      <w:r w:rsidR="007A1C3A" w:rsidRPr="006C1485">
        <w:rPr>
          <w:rFonts w:asciiTheme="minorBidi" w:hAnsiTheme="minorBidi"/>
        </w:rPr>
        <w:t xml:space="preserve"> </w:t>
      </w:r>
      <w:r w:rsidR="0062219A" w:rsidRPr="006C1485">
        <w:rPr>
          <w:rFonts w:asciiTheme="minorBidi" w:hAnsiTheme="minorBidi"/>
        </w:rPr>
        <w:t>a</w:t>
      </w:r>
      <w:r w:rsidR="002A09AF" w:rsidRPr="006C1485">
        <w:rPr>
          <w:rFonts w:asciiTheme="minorBidi" w:hAnsiTheme="minorBidi"/>
        </w:rPr>
        <w:t xml:space="preserve"> court would not ordinarily permit an amendment where </w:t>
      </w:r>
      <w:r w:rsidR="001A1967" w:rsidRPr="006C1485">
        <w:rPr>
          <w:rFonts w:asciiTheme="minorBidi" w:hAnsiTheme="minorBidi"/>
        </w:rPr>
        <w:t xml:space="preserve">the occurrence of </w:t>
      </w:r>
      <w:r w:rsidR="002A09AF" w:rsidRPr="006C1485">
        <w:rPr>
          <w:rFonts w:asciiTheme="minorBidi" w:hAnsiTheme="minorBidi"/>
        </w:rPr>
        <w:t>prescription was common cause or in any other situation where a claim would be known to have prescribed.</w:t>
      </w:r>
      <w:r w:rsidR="002A09AF">
        <w:rPr>
          <w:rStyle w:val="FootnoteReference"/>
          <w:rFonts w:asciiTheme="minorBidi" w:hAnsiTheme="minorBidi"/>
        </w:rPr>
        <w:footnoteReference w:id="27"/>
      </w:r>
      <w:r w:rsidR="002A09AF" w:rsidRPr="006C1485">
        <w:rPr>
          <w:rFonts w:asciiTheme="minorBidi" w:hAnsiTheme="minorBidi"/>
        </w:rPr>
        <w:t xml:space="preserve"> </w:t>
      </w:r>
    </w:p>
    <w:p w14:paraId="332E3DD2" w14:textId="77777777" w:rsidR="00A2626A" w:rsidRDefault="00A2626A" w:rsidP="00A2626A">
      <w:pPr>
        <w:pStyle w:val="ListParagraph"/>
        <w:spacing w:after="0" w:line="360" w:lineRule="auto"/>
        <w:ind w:left="0"/>
        <w:jc w:val="both"/>
        <w:rPr>
          <w:rFonts w:asciiTheme="minorBidi" w:hAnsiTheme="minorBidi"/>
          <w:sz w:val="24"/>
          <w:szCs w:val="24"/>
        </w:rPr>
      </w:pPr>
    </w:p>
    <w:p w14:paraId="100668A0" w14:textId="22F48BBA" w:rsidR="00536124" w:rsidRPr="006C1485" w:rsidRDefault="006C1485" w:rsidP="006C1485">
      <w:pPr>
        <w:tabs>
          <w:tab w:val="left" w:pos="709"/>
        </w:tabs>
        <w:spacing w:line="360" w:lineRule="auto"/>
        <w:jc w:val="both"/>
        <w:rPr>
          <w:rFonts w:asciiTheme="minorBidi" w:hAnsiTheme="minorBidi"/>
        </w:rPr>
      </w:pPr>
      <w:r w:rsidRPr="001A1967">
        <w:rPr>
          <w:rFonts w:ascii="Arial" w:eastAsiaTheme="minorHAnsi" w:hAnsi="Arial" w:cs="Arial"/>
          <w:bCs/>
          <w:lang w:val="en-GB" w:eastAsia="en-US" w:bidi="ar-SA"/>
        </w:rPr>
        <w:t>[64]</w:t>
      </w:r>
      <w:r w:rsidRPr="001A1967">
        <w:rPr>
          <w:rFonts w:ascii="Arial" w:eastAsiaTheme="minorHAnsi" w:hAnsi="Arial" w:cs="Arial"/>
          <w:bCs/>
          <w:lang w:val="en-GB" w:eastAsia="en-US" w:bidi="ar-SA"/>
        </w:rPr>
        <w:tab/>
      </w:r>
      <w:r w:rsidR="00A2626A" w:rsidRPr="006C1485">
        <w:rPr>
          <w:rFonts w:asciiTheme="minorBidi" w:hAnsiTheme="minorBidi"/>
        </w:rPr>
        <w:t xml:space="preserve">We now know that </w:t>
      </w:r>
      <w:r w:rsidR="00963482" w:rsidRPr="006C1485">
        <w:rPr>
          <w:rFonts w:asciiTheme="minorBidi" w:hAnsiTheme="minorBidi"/>
        </w:rPr>
        <w:t>Cotton King never had a claim</w:t>
      </w:r>
      <w:r w:rsidR="00536124" w:rsidRPr="006C1485">
        <w:rPr>
          <w:rFonts w:asciiTheme="minorBidi" w:hAnsiTheme="minorBidi"/>
        </w:rPr>
        <w:t xml:space="preserve"> against the defendant</w:t>
      </w:r>
      <w:r w:rsidR="00963482" w:rsidRPr="006C1485">
        <w:rPr>
          <w:rFonts w:asciiTheme="minorBidi" w:hAnsiTheme="minorBidi"/>
        </w:rPr>
        <w:t>. The applicant did have a claim but did not enforce it</w:t>
      </w:r>
      <w:r w:rsidR="00A2626A" w:rsidRPr="006C1485">
        <w:rPr>
          <w:rFonts w:asciiTheme="minorBidi" w:hAnsiTheme="minorBidi"/>
        </w:rPr>
        <w:t xml:space="preserve"> for some unknown reason</w:t>
      </w:r>
      <w:r w:rsidR="00963482" w:rsidRPr="006C1485">
        <w:rPr>
          <w:rFonts w:asciiTheme="minorBidi" w:hAnsiTheme="minorBidi"/>
        </w:rPr>
        <w:t xml:space="preserve">. </w:t>
      </w:r>
      <w:r w:rsidR="00A2626A" w:rsidRPr="006C1485">
        <w:rPr>
          <w:rFonts w:asciiTheme="minorBidi" w:hAnsiTheme="minorBidi"/>
        </w:rPr>
        <w:t xml:space="preserve">In terms of section 12(1) of the Prescription Act 68 of 1969 (the Act), prescription begins to run when the debt becomes due. </w:t>
      </w:r>
      <w:r w:rsidR="00533E77" w:rsidRPr="006C1485">
        <w:rPr>
          <w:rFonts w:asciiTheme="minorBidi" w:hAnsiTheme="minorBidi"/>
        </w:rPr>
        <w:t>T</w:t>
      </w:r>
      <w:r w:rsidR="00536124" w:rsidRPr="006C1485">
        <w:rPr>
          <w:rFonts w:asciiTheme="minorBidi" w:hAnsiTheme="minorBidi"/>
        </w:rPr>
        <w:t>he issuing and serving of summons in the name of an incorrect plaintiff does not stop the running of prescription.</w:t>
      </w:r>
      <w:r w:rsidR="00536124" w:rsidRPr="001A1967">
        <w:rPr>
          <w:rStyle w:val="FootnoteReference"/>
          <w:rFonts w:asciiTheme="minorBidi" w:hAnsiTheme="minorBidi"/>
        </w:rPr>
        <w:footnoteReference w:id="28"/>
      </w:r>
      <w:r w:rsidR="00536124" w:rsidRPr="006C1485">
        <w:rPr>
          <w:rFonts w:asciiTheme="minorBidi" w:hAnsiTheme="minorBidi"/>
        </w:rPr>
        <w:t xml:space="preserve"> The wording of section 15(1) of the Act makes this plain:</w:t>
      </w:r>
    </w:p>
    <w:p w14:paraId="60E8729A" w14:textId="77777777" w:rsidR="00536124" w:rsidRDefault="00536124" w:rsidP="00536124">
      <w:pPr>
        <w:pStyle w:val="ListParagraph"/>
        <w:spacing w:after="0" w:line="360" w:lineRule="auto"/>
        <w:ind w:left="0"/>
        <w:jc w:val="both"/>
        <w:rPr>
          <w:rFonts w:asciiTheme="minorBidi" w:hAnsiTheme="minorBidi"/>
        </w:rPr>
      </w:pPr>
      <w:r>
        <w:rPr>
          <w:rFonts w:asciiTheme="minorBidi" w:hAnsiTheme="minorBidi"/>
        </w:rPr>
        <w:t>‘The running of prescription shall, subject to the provisions of subsection (2), be interrupted by the service on the debtor of any process whereby the creditor claims payment of the debt.’</w:t>
      </w:r>
    </w:p>
    <w:p w14:paraId="50816BCA" w14:textId="286200D5" w:rsidR="00536124" w:rsidRDefault="00536124" w:rsidP="00536124">
      <w:pPr>
        <w:pStyle w:val="ListParagraph"/>
        <w:spacing w:after="0" w:line="360" w:lineRule="auto"/>
        <w:ind w:left="0"/>
        <w:jc w:val="both"/>
        <w:rPr>
          <w:rFonts w:asciiTheme="minorBidi" w:hAnsiTheme="minorBidi"/>
          <w:sz w:val="24"/>
          <w:szCs w:val="24"/>
        </w:rPr>
      </w:pPr>
      <w:r>
        <w:rPr>
          <w:rFonts w:asciiTheme="minorBidi" w:hAnsiTheme="minorBidi"/>
          <w:sz w:val="24"/>
          <w:szCs w:val="24"/>
        </w:rPr>
        <w:t xml:space="preserve">The operative word in that extract is ‘creditor’: </w:t>
      </w:r>
      <w:r w:rsidRPr="003D2D8F">
        <w:rPr>
          <w:rFonts w:asciiTheme="minorBidi" w:hAnsiTheme="minorBidi"/>
          <w:sz w:val="24"/>
          <w:szCs w:val="24"/>
        </w:rPr>
        <w:t>Cotton</w:t>
      </w:r>
      <w:r>
        <w:rPr>
          <w:rFonts w:asciiTheme="minorBidi" w:hAnsiTheme="minorBidi"/>
          <w:sz w:val="24"/>
          <w:szCs w:val="24"/>
        </w:rPr>
        <w:t xml:space="preserve"> King, by its own admission, was not a creditor of the defendant when it issued the summons against it. </w:t>
      </w:r>
      <w:r w:rsidRPr="000D44E4">
        <w:rPr>
          <w:rFonts w:asciiTheme="minorBidi" w:hAnsiTheme="minorBidi"/>
          <w:sz w:val="24"/>
          <w:szCs w:val="24"/>
        </w:rPr>
        <w:t xml:space="preserve">The issuing of the summons accordingly did not interrupt the running of prescription insofar as Cotton King’s claim is concerned and certainly not as far as the applicant’s claim is concerned. </w:t>
      </w:r>
      <w:r w:rsidR="00D70F6D">
        <w:rPr>
          <w:rFonts w:asciiTheme="minorBidi" w:hAnsiTheme="minorBidi"/>
          <w:sz w:val="24"/>
          <w:szCs w:val="24"/>
        </w:rPr>
        <w:t>A substitution application, which may be viewed as a joinder application</w:t>
      </w:r>
      <w:r w:rsidR="00B373E0">
        <w:rPr>
          <w:rFonts w:asciiTheme="minorBidi" w:hAnsiTheme="minorBidi"/>
          <w:sz w:val="24"/>
          <w:szCs w:val="24"/>
        </w:rPr>
        <w:t xml:space="preserve"> in which one party is added and one is removed, is not a process in terms of which a creditor claims payment of a debt and accordingly does not interrupt </w:t>
      </w:r>
      <w:r w:rsidRPr="000D44E4">
        <w:rPr>
          <w:rFonts w:asciiTheme="minorBidi" w:hAnsiTheme="minorBidi"/>
          <w:sz w:val="24"/>
          <w:szCs w:val="24"/>
        </w:rPr>
        <w:t>the running of prescription.</w:t>
      </w:r>
      <w:r>
        <w:rPr>
          <w:rStyle w:val="FootnoteReference"/>
          <w:rFonts w:asciiTheme="minorBidi" w:hAnsiTheme="minorBidi"/>
          <w:sz w:val="24"/>
          <w:szCs w:val="24"/>
        </w:rPr>
        <w:footnoteReference w:id="29"/>
      </w:r>
    </w:p>
    <w:p w14:paraId="1011092A" w14:textId="77777777" w:rsidR="00536124" w:rsidRDefault="00536124" w:rsidP="00536124">
      <w:pPr>
        <w:pStyle w:val="ListParagraph"/>
        <w:spacing w:after="0" w:line="360" w:lineRule="auto"/>
        <w:ind w:left="0"/>
        <w:jc w:val="both"/>
        <w:rPr>
          <w:rFonts w:asciiTheme="minorBidi" w:hAnsiTheme="minorBidi"/>
          <w:sz w:val="24"/>
          <w:szCs w:val="24"/>
        </w:rPr>
      </w:pPr>
    </w:p>
    <w:p w14:paraId="78994F7F" w14:textId="70F2DF4F" w:rsidR="00A2626A" w:rsidRPr="006C1485" w:rsidRDefault="006C1485" w:rsidP="006C1485">
      <w:pPr>
        <w:spacing w:line="360" w:lineRule="auto"/>
        <w:jc w:val="both"/>
        <w:rPr>
          <w:rFonts w:asciiTheme="minorBidi" w:hAnsiTheme="minorBidi"/>
        </w:rPr>
      </w:pPr>
      <w:r>
        <w:rPr>
          <w:rFonts w:ascii="Arial" w:eastAsiaTheme="minorHAnsi" w:hAnsi="Arial" w:cs="Arial"/>
          <w:bCs/>
          <w:lang w:val="en-GB" w:eastAsia="en-US" w:bidi="ar-SA"/>
        </w:rPr>
        <w:lastRenderedPageBreak/>
        <w:t>[65]</w:t>
      </w:r>
      <w:r>
        <w:rPr>
          <w:rFonts w:ascii="Arial" w:eastAsiaTheme="minorHAnsi" w:hAnsi="Arial" w:cs="Arial"/>
          <w:bCs/>
          <w:lang w:val="en-GB" w:eastAsia="en-US" w:bidi="ar-SA"/>
        </w:rPr>
        <w:tab/>
      </w:r>
      <w:r w:rsidR="00536124" w:rsidRPr="006C1485">
        <w:rPr>
          <w:rFonts w:asciiTheme="minorBidi" w:hAnsiTheme="minorBidi"/>
        </w:rPr>
        <w:t>I do not lose sight of</w:t>
      </w:r>
      <w:r w:rsidR="004B43AC" w:rsidRPr="006C1485">
        <w:rPr>
          <w:rFonts w:asciiTheme="minorBidi" w:hAnsiTheme="minorBidi"/>
        </w:rPr>
        <w:t xml:space="preserve"> the decision in</w:t>
      </w:r>
      <w:r w:rsidR="00536124" w:rsidRPr="006C1485">
        <w:rPr>
          <w:rFonts w:asciiTheme="minorBidi" w:hAnsiTheme="minorBidi"/>
        </w:rPr>
        <w:t xml:space="preserve"> </w:t>
      </w:r>
      <w:r w:rsidR="00536124" w:rsidRPr="006C1485">
        <w:rPr>
          <w:rFonts w:asciiTheme="minorBidi" w:hAnsiTheme="minorBidi"/>
          <w:i/>
        </w:rPr>
        <w:t>Sentrachem</w:t>
      </w:r>
      <w:r w:rsidR="00533E77" w:rsidRPr="006C1485">
        <w:rPr>
          <w:rFonts w:asciiTheme="minorBidi" w:hAnsiTheme="minorBidi"/>
          <w:i/>
        </w:rPr>
        <w:t xml:space="preserve"> v Terreblanche</w:t>
      </w:r>
      <w:r w:rsidR="00536124" w:rsidRPr="006C1485">
        <w:rPr>
          <w:rFonts w:asciiTheme="minorBidi" w:hAnsiTheme="minorBidi"/>
        </w:rPr>
        <w:t>.</w:t>
      </w:r>
      <w:r w:rsidR="008A3989">
        <w:rPr>
          <w:rStyle w:val="FootnoteReference"/>
          <w:rFonts w:asciiTheme="minorBidi" w:hAnsiTheme="minorBidi"/>
        </w:rPr>
        <w:footnoteReference w:id="30"/>
      </w:r>
      <w:r w:rsidR="00536124" w:rsidRPr="006C1485">
        <w:rPr>
          <w:rFonts w:asciiTheme="minorBidi" w:hAnsiTheme="minorBidi"/>
        </w:rPr>
        <w:t xml:space="preserve"> In that case, a valid claim was ceded several times and the cessionary on each occasion was substituted as the plaintiff in the action</w:t>
      </w:r>
      <w:r w:rsidR="00BD3DF7" w:rsidRPr="006C1485">
        <w:rPr>
          <w:rFonts w:asciiTheme="minorBidi" w:hAnsiTheme="minorBidi"/>
        </w:rPr>
        <w:t>,</w:t>
      </w:r>
      <w:r w:rsidR="00536124" w:rsidRPr="006C1485">
        <w:rPr>
          <w:rFonts w:asciiTheme="minorBidi" w:hAnsiTheme="minorBidi"/>
        </w:rPr>
        <w:t xml:space="preserve"> with the final </w:t>
      </w:r>
      <w:r w:rsidR="000A5483" w:rsidRPr="006C1485">
        <w:rPr>
          <w:rFonts w:asciiTheme="minorBidi" w:hAnsiTheme="minorBidi"/>
        </w:rPr>
        <w:t xml:space="preserve">substitution occurring after the </w:t>
      </w:r>
      <w:r w:rsidR="00A81045" w:rsidRPr="006C1485">
        <w:rPr>
          <w:rFonts w:asciiTheme="minorBidi" w:hAnsiTheme="minorBidi"/>
        </w:rPr>
        <w:t>completion</w:t>
      </w:r>
      <w:r w:rsidR="000A5483" w:rsidRPr="006C1485">
        <w:rPr>
          <w:rFonts w:asciiTheme="minorBidi" w:hAnsiTheme="minorBidi"/>
        </w:rPr>
        <w:t xml:space="preserve"> of the </w:t>
      </w:r>
      <w:r w:rsidR="00911E0C" w:rsidRPr="006C1485">
        <w:rPr>
          <w:rFonts w:asciiTheme="minorBidi" w:hAnsiTheme="minorBidi"/>
        </w:rPr>
        <w:t>three-year</w:t>
      </w:r>
      <w:r w:rsidR="000A5483" w:rsidRPr="006C1485">
        <w:rPr>
          <w:rFonts w:asciiTheme="minorBidi" w:hAnsiTheme="minorBidi"/>
        </w:rPr>
        <w:t xml:space="preserve"> prescriptive period. </w:t>
      </w:r>
      <w:r w:rsidR="008A3989" w:rsidRPr="006C1485">
        <w:rPr>
          <w:rFonts w:asciiTheme="minorBidi" w:hAnsiTheme="minorBidi"/>
        </w:rPr>
        <w:t xml:space="preserve">A special plea of prescription was upheld by the lower court. </w:t>
      </w:r>
      <w:r w:rsidR="000A5483" w:rsidRPr="006C1485">
        <w:rPr>
          <w:rFonts w:asciiTheme="minorBidi" w:hAnsiTheme="minorBidi"/>
        </w:rPr>
        <w:t>On appeal, the Supreme Court of Appeal found that the claim had not prescribed: all that had changed on each occasion was the identity of the plaintiff, not the nature of the debt. In delivering his judgment, Majiedt JA approved</w:t>
      </w:r>
      <w:r w:rsidR="002302D6">
        <w:rPr>
          <w:rStyle w:val="FootnoteReference"/>
          <w:rFonts w:asciiTheme="minorBidi" w:hAnsiTheme="minorBidi"/>
        </w:rPr>
        <w:footnoteReference w:id="31"/>
      </w:r>
      <w:r w:rsidR="000A5483" w:rsidRPr="006C1485">
        <w:rPr>
          <w:rFonts w:asciiTheme="minorBidi" w:hAnsiTheme="minorBidi"/>
        </w:rPr>
        <w:t xml:space="preserve"> the following extract from </w:t>
      </w:r>
      <w:r w:rsidR="000A5483" w:rsidRPr="006C1485">
        <w:rPr>
          <w:rFonts w:asciiTheme="minorBidi" w:hAnsiTheme="minorBidi"/>
          <w:i/>
        </w:rPr>
        <w:t>Fisher v Natal Rubber Comp</w:t>
      </w:r>
      <w:r w:rsidR="00E93ACC" w:rsidRPr="006C1485">
        <w:rPr>
          <w:rFonts w:asciiTheme="minorBidi" w:hAnsiTheme="minorBidi"/>
          <w:i/>
        </w:rPr>
        <w:t>o</w:t>
      </w:r>
      <w:r w:rsidR="000A5483" w:rsidRPr="006C1485">
        <w:rPr>
          <w:rFonts w:asciiTheme="minorBidi" w:hAnsiTheme="minorBidi"/>
          <w:i/>
        </w:rPr>
        <w:t>unders (Pty) Ltd</w:t>
      </w:r>
      <w:r w:rsidR="002302D6" w:rsidRPr="006C1485">
        <w:rPr>
          <w:rFonts w:asciiTheme="minorBidi" w:hAnsiTheme="minorBidi"/>
          <w:i/>
        </w:rPr>
        <w:t>:</w:t>
      </w:r>
      <w:r w:rsidR="00E93ACC" w:rsidRPr="00E93ACC">
        <w:rPr>
          <w:rStyle w:val="FootnoteReference"/>
          <w:rFonts w:asciiTheme="minorBidi" w:hAnsiTheme="minorBidi"/>
        </w:rPr>
        <w:footnoteReference w:id="32"/>
      </w:r>
    </w:p>
    <w:p w14:paraId="2C8BA0AB" w14:textId="77777777" w:rsidR="000A5483" w:rsidRPr="000A5483" w:rsidRDefault="000A5483" w:rsidP="00E93ACC">
      <w:pPr>
        <w:pStyle w:val="ListParagraph"/>
        <w:spacing w:after="0" w:line="360" w:lineRule="auto"/>
        <w:ind w:left="0"/>
        <w:jc w:val="both"/>
        <w:rPr>
          <w:rFonts w:asciiTheme="minorBidi" w:hAnsiTheme="minorBidi"/>
        </w:rPr>
      </w:pPr>
      <w:r w:rsidRPr="000A5483">
        <w:rPr>
          <w:rFonts w:asciiTheme="minorBidi" w:hAnsiTheme="minorBidi"/>
        </w:rPr>
        <w:t>‘</w:t>
      </w:r>
      <w:r w:rsidR="002302D6" w:rsidRPr="002302D6">
        <w:rPr>
          <w:rFonts w:asciiTheme="minorBidi" w:hAnsiTheme="minorBidi"/>
          <w:lang w:val="en-US"/>
        </w:rPr>
        <w:t>Upon substitution the cessionary acquired, by way of cession, all rights and obligations vested in the cedent at the time of the substitution. What was bestowed on NRC by cession was a claim in respect of which the running of prescription had been interrupted by the service of the summons. In my view the original interruption of prescription by the timeous service of the summons was not affected in any way by the cession or subsequent amendment. The amendment was a mere procedural step followed to </w:t>
      </w:r>
      <w:r w:rsidR="002302D6">
        <w:rPr>
          <w:rFonts w:asciiTheme="minorBidi" w:hAnsiTheme="minorBidi"/>
          <w:lang w:val="en-US"/>
        </w:rPr>
        <w:t>effect the substitution</w:t>
      </w:r>
      <w:r w:rsidRPr="000A5483">
        <w:rPr>
          <w:rFonts w:asciiTheme="minorBidi" w:hAnsiTheme="minorBidi"/>
        </w:rPr>
        <w:t xml:space="preserve">.’ </w:t>
      </w:r>
    </w:p>
    <w:p w14:paraId="039F7865" w14:textId="3C341FA0" w:rsidR="00A2626A" w:rsidRDefault="008A3989" w:rsidP="008A3989">
      <w:pPr>
        <w:spacing w:line="360" w:lineRule="auto"/>
        <w:jc w:val="both"/>
        <w:rPr>
          <w:rFonts w:asciiTheme="minorBidi" w:hAnsiTheme="minorBidi"/>
        </w:rPr>
      </w:pPr>
      <w:r>
        <w:rPr>
          <w:rFonts w:asciiTheme="minorBidi" w:hAnsiTheme="minorBidi"/>
        </w:rPr>
        <w:t>The facts of this matter are distinguishable. Cotton King’s claim was non-existent and the</w:t>
      </w:r>
      <w:r w:rsidR="002435AF">
        <w:rPr>
          <w:rFonts w:asciiTheme="minorBidi" w:hAnsiTheme="minorBidi"/>
        </w:rPr>
        <w:t xml:space="preserve"> issuing of summons the</w:t>
      </w:r>
      <w:r>
        <w:rPr>
          <w:rFonts w:asciiTheme="minorBidi" w:hAnsiTheme="minorBidi"/>
        </w:rPr>
        <w:t>refore did not interrupt the running of prescription. The substitution of the applicant</w:t>
      </w:r>
      <w:r w:rsidR="00A81045">
        <w:rPr>
          <w:rFonts w:asciiTheme="minorBidi" w:hAnsiTheme="minorBidi"/>
        </w:rPr>
        <w:t xml:space="preserve"> for Cotton King</w:t>
      </w:r>
      <w:r>
        <w:rPr>
          <w:rFonts w:asciiTheme="minorBidi" w:hAnsiTheme="minorBidi"/>
        </w:rPr>
        <w:t xml:space="preserve">, if such was ordered, would result in the introduction of a different plaintiff and a different </w:t>
      </w:r>
      <w:r w:rsidR="002435AF">
        <w:rPr>
          <w:rFonts w:asciiTheme="minorBidi" w:hAnsiTheme="minorBidi"/>
        </w:rPr>
        <w:t xml:space="preserve">cause of action </w:t>
      </w:r>
      <w:r w:rsidR="00204C93">
        <w:rPr>
          <w:rFonts w:asciiTheme="minorBidi" w:hAnsiTheme="minorBidi"/>
        </w:rPr>
        <w:t xml:space="preserve">and </w:t>
      </w:r>
      <w:r w:rsidR="00BD3DF7">
        <w:rPr>
          <w:rFonts w:asciiTheme="minorBidi" w:hAnsiTheme="minorBidi"/>
        </w:rPr>
        <w:t xml:space="preserve">such </w:t>
      </w:r>
      <w:r w:rsidR="00204C93">
        <w:rPr>
          <w:rFonts w:asciiTheme="minorBidi" w:hAnsiTheme="minorBidi"/>
        </w:rPr>
        <w:t>action</w:t>
      </w:r>
      <w:r w:rsidR="00CD42BA">
        <w:rPr>
          <w:rFonts w:asciiTheme="minorBidi" w:hAnsiTheme="minorBidi"/>
        </w:rPr>
        <w:t>, it is submitted by the defendant,</w:t>
      </w:r>
      <w:r w:rsidR="00204C93">
        <w:rPr>
          <w:rFonts w:asciiTheme="minorBidi" w:hAnsiTheme="minorBidi"/>
        </w:rPr>
        <w:t xml:space="preserve"> has prescribed.</w:t>
      </w:r>
    </w:p>
    <w:p w14:paraId="17DA7DFB" w14:textId="77777777" w:rsidR="008A3989" w:rsidRPr="008A3989" w:rsidRDefault="008A3989" w:rsidP="008A3989">
      <w:pPr>
        <w:spacing w:line="360" w:lineRule="auto"/>
        <w:rPr>
          <w:rFonts w:asciiTheme="minorBidi" w:hAnsiTheme="minorBidi"/>
        </w:rPr>
      </w:pPr>
    </w:p>
    <w:p w14:paraId="341FBE02" w14:textId="3043B08C" w:rsidR="00963482" w:rsidRPr="006C1485" w:rsidRDefault="006C1485" w:rsidP="006C1485">
      <w:pPr>
        <w:spacing w:line="360" w:lineRule="auto"/>
        <w:jc w:val="both"/>
        <w:rPr>
          <w:rFonts w:asciiTheme="minorBidi" w:hAnsiTheme="minorBidi"/>
        </w:rPr>
      </w:pPr>
      <w:r>
        <w:rPr>
          <w:rFonts w:ascii="Arial" w:eastAsiaTheme="minorHAnsi" w:hAnsi="Arial" w:cs="Arial"/>
          <w:bCs/>
          <w:lang w:val="en-GB" w:eastAsia="en-US" w:bidi="ar-SA"/>
        </w:rPr>
        <w:t>[66]</w:t>
      </w:r>
      <w:r>
        <w:rPr>
          <w:rFonts w:ascii="Arial" w:eastAsiaTheme="minorHAnsi" w:hAnsi="Arial" w:cs="Arial"/>
          <w:bCs/>
          <w:lang w:val="en-GB" w:eastAsia="en-US" w:bidi="ar-SA"/>
        </w:rPr>
        <w:tab/>
      </w:r>
      <w:r w:rsidR="008A3989" w:rsidRPr="006C1485">
        <w:rPr>
          <w:rFonts w:asciiTheme="minorBidi" w:hAnsiTheme="minorBidi"/>
        </w:rPr>
        <w:t xml:space="preserve">There is clear evidence that the applicant’s claim has prescribed. </w:t>
      </w:r>
      <w:r w:rsidR="00A2626A" w:rsidRPr="006C1485">
        <w:rPr>
          <w:rFonts w:asciiTheme="minorBidi" w:hAnsiTheme="minorBidi"/>
        </w:rPr>
        <w:t xml:space="preserve">In a letter </w:t>
      </w:r>
      <w:r w:rsidR="00204C93" w:rsidRPr="006C1485">
        <w:rPr>
          <w:rFonts w:asciiTheme="minorBidi" w:hAnsiTheme="minorBidi"/>
        </w:rPr>
        <w:t xml:space="preserve">written by Mr Cowan and addressed to the applicant, </w:t>
      </w:r>
      <w:r w:rsidR="00A2626A" w:rsidRPr="006C1485">
        <w:rPr>
          <w:rFonts w:asciiTheme="minorBidi" w:hAnsiTheme="minorBidi"/>
        </w:rPr>
        <w:t xml:space="preserve">dated 14 October 2010, it was recorded that the investment was to be repaid by no later than 31 January 2011. Absent any admission made by the defendant regarding its liability for the investment, and none have been mentioned in this matter, the applicant’s claim against the defendant became prescribed at midnight on 30 January 2014. </w:t>
      </w:r>
      <w:r w:rsidR="0062219A" w:rsidRPr="006C1485">
        <w:rPr>
          <w:rFonts w:asciiTheme="minorBidi" w:hAnsiTheme="minorBidi"/>
        </w:rPr>
        <w:t xml:space="preserve">The applicant’s claim has </w:t>
      </w:r>
      <w:r w:rsidR="00204C93" w:rsidRPr="006C1485">
        <w:rPr>
          <w:rFonts w:asciiTheme="minorBidi" w:hAnsiTheme="minorBidi"/>
        </w:rPr>
        <w:t xml:space="preserve">on the face of it </w:t>
      </w:r>
      <w:r w:rsidR="0062219A" w:rsidRPr="006C1485">
        <w:rPr>
          <w:rFonts w:asciiTheme="minorBidi" w:hAnsiTheme="minorBidi"/>
        </w:rPr>
        <w:t>prescribed</w:t>
      </w:r>
      <w:r w:rsidR="00A2626A" w:rsidRPr="006C1485">
        <w:rPr>
          <w:rFonts w:asciiTheme="minorBidi" w:hAnsiTheme="minorBidi"/>
        </w:rPr>
        <w:t xml:space="preserve"> and nine years later it remains prescribed</w:t>
      </w:r>
      <w:r w:rsidR="0062219A" w:rsidRPr="006C1485">
        <w:rPr>
          <w:rFonts w:asciiTheme="minorBidi" w:hAnsiTheme="minorBidi"/>
        </w:rPr>
        <w:t>.</w:t>
      </w:r>
      <w:r w:rsidR="00A2626A" w:rsidRPr="006C1485">
        <w:rPr>
          <w:rFonts w:asciiTheme="minorBidi" w:hAnsiTheme="minorBidi"/>
        </w:rPr>
        <w:t xml:space="preserve"> Mr Iles </w:t>
      </w:r>
      <w:r w:rsidR="002435AF" w:rsidRPr="006C1485">
        <w:rPr>
          <w:rFonts w:asciiTheme="minorBidi" w:hAnsiTheme="minorBidi"/>
        </w:rPr>
        <w:t xml:space="preserve">ultimately </w:t>
      </w:r>
      <w:r w:rsidR="00A2626A" w:rsidRPr="006C1485">
        <w:rPr>
          <w:rFonts w:asciiTheme="minorBidi" w:hAnsiTheme="minorBidi"/>
        </w:rPr>
        <w:t xml:space="preserve">conceded as much in his argument. It was a necessary admission. </w:t>
      </w:r>
    </w:p>
    <w:p w14:paraId="40C91291" w14:textId="11100122" w:rsidR="00A2626A" w:rsidRDefault="00A2626A" w:rsidP="002435AF">
      <w:pPr>
        <w:spacing w:line="360" w:lineRule="auto"/>
        <w:rPr>
          <w:rFonts w:asciiTheme="minorBidi" w:hAnsiTheme="minorBidi"/>
        </w:rPr>
      </w:pPr>
    </w:p>
    <w:p w14:paraId="2E081D24" w14:textId="3C9C7C1D" w:rsidR="00B373E0" w:rsidRDefault="00B373E0" w:rsidP="002435AF">
      <w:pPr>
        <w:spacing w:line="360" w:lineRule="auto"/>
        <w:rPr>
          <w:rFonts w:asciiTheme="minorBidi" w:hAnsiTheme="minorBidi"/>
        </w:rPr>
      </w:pPr>
    </w:p>
    <w:p w14:paraId="5A5238C1" w14:textId="77777777" w:rsidR="00B373E0" w:rsidRDefault="00B373E0" w:rsidP="002435AF">
      <w:pPr>
        <w:spacing w:line="360" w:lineRule="auto"/>
        <w:rPr>
          <w:rFonts w:asciiTheme="minorBidi" w:hAnsiTheme="minorBidi"/>
        </w:rPr>
      </w:pPr>
    </w:p>
    <w:p w14:paraId="7CDA1538" w14:textId="77777777" w:rsidR="002435AF" w:rsidRPr="002435AF" w:rsidRDefault="002435AF" w:rsidP="002435AF">
      <w:pPr>
        <w:spacing w:line="360" w:lineRule="auto"/>
        <w:rPr>
          <w:rFonts w:asciiTheme="minorBidi" w:hAnsiTheme="minorBidi"/>
          <w:b/>
          <w:bCs/>
        </w:rPr>
      </w:pPr>
      <w:r w:rsidRPr="002435AF">
        <w:rPr>
          <w:rFonts w:asciiTheme="minorBidi" w:hAnsiTheme="minorBidi"/>
          <w:b/>
          <w:bCs/>
        </w:rPr>
        <w:lastRenderedPageBreak/>
        <w:t>Summation</w:t>
      </w:r>
    </w:p>
    <w:p w14:paraId="556D0FA9" w14:textId="61EA47AB" w:rsidR="00F53972" w:rsidRPr="006C1485" w:rsidRDefault="006C1485" w:rsidP="006C1485">
      <w:pPr>
        <w:spacing w:line="360" w:lineRule="auto"/>
        <w:jc w:val="both"/>
        <w:rPr>
          <w:rFonts w:asciiTheme="minorBidi" w:hAnsiTheme="minorBidi"/>
          <w:b/>
        </w:rPr>
      </w:pPr>
      <w:r w:rsidRPr="001018A4">
        <w:rPr>
          <w:rFonts w:ascii="Arial" w:eastAsiaTheme="minorHAnsi" w:hAnsi="Arial" w:cs="Arial"/>
          <w:bCs/>
          <w:szCs w:val="22"/>
          <w:lang w:val="en-GB" w:eastAsia="en-US" w:bidi="ar-SA"/>
        </w:rPr>
        <w:t>[67]</w:t>
      </w:r>
      <w:r w:rsidRPr="001018A4">
        <w:rPr>
          <w:rFonts w:ascii="Arial" w:eastAsiaTheme="minorHAnsi" w:hAnsi="Arial" w:cs="Arial"/>
          <w:bCs/>
          <w:szCs w:val="22"/>
          <w:lang w:val="en-GB" w:eastAsia="en-US" w:bidi="ar-SA"/>
        </w:rPr>
        <w:tab/>
      </w:r>
      <w:r w:rsidR="006D3AFC" w:rsidRPr="006C1485">
        <w:rPr>
          <w:rFonts w:asciiTheme="minorBidi" w:hAnsiTheme="minorBidi"/>
        </w:rPr>
        <w:t>It appears to me that the applicant’s attempt to litigate against the defendant has come to an end.</w:t>
      </w:r>
      <w:r w:rsidR="00A80D1E" w:rsidRPr="006C1485">
        <w:rPr>
          <w:rFonts w:asciiTheme="minorBidi" w:hAnsiTheme="minorBidi"/>
        </w:rPr>
        <w:t xml:space="preserve"> Her claim in her personal capacity has prescribed, and she has not taken cession of anything from Cotton</w:t>
      </w:r>
      <w:r w:rsidR="00963482" w:rsidRPr="006C1485">
        <w:rPr>
          <w:rFonts w:asciiTheme="minorBidi" w:hAnsiTheme="minorBidi"/>
        </w:rPr>
        <w:t xml:space="preserve"> K</w:t>
      </w:r>
      <w:r w:rsidR="00A80D1E" w:rsidRPr="006C1485">
        <w:rPr>
          <w:rFonts w:asciiTheme="minorBidi" w:hAnsiTheme="minorBidi"/>
        </w:rPr>
        <w:t>ing that could improve her position. To allow her to be substituted in the place and stead of Cotton</w:t>
      </w:r>
      <w:r w:rsidR="00963482" w:rsidRPr="006C1485">
        <w:rPr>
          <w:rFonts w:asciiTheme="minorBidi" w:hAnsiTheme="minorBidi"/>
        </w:rPr>
        <w:t xml:space="preserve"> K</w:t>
      </w:r>
      <w:r w:rsidR="00A80D1E" w:rsidRPr="006C1485">
        <w:rPr>
          <w:rFonts w:asciiTheme="minorBidi" w:hAnsiTheme="minorBidi"/>
        </w:rPr>
        <w:t xml:space="preserve">ing would </w:t>
      </w:r>
      <w:r w:rsidR="00557443" w:rsidRPr="006C1485">
        <w:rPr>
          <w:rFonts w:asciiTheme="minorBidi" w:hAnsiTheme="minorBidi"/>
        </w:rPr>
        <w:t xml:space="preserve">accordingly </w:t>
      </w:r>
      <w:r w:rsidR="00A80D1E" w:rsidRPr="006C1485">
        <w:rPr>
          <w:rFonts w:asciiTheme="minorBidi" w:hAnsiTheme="minorBidi"/>
        </w:rPr>
        <w:t>serve no purpose</w:t>
      </w:r>
      <w:r w:rsidR="00F53972" w:rsidRPr="006C1485">
        <w:rPr>
          <w:rFonts w:asciiTheme="minorBidi" w:hAnsiTheme="minorBidi"/>
        </w:rPr>
        <w:t xml:space="preserve"> and would not advance her position</w:t>
      </w:r>
      <w:r w:rsidR="0062219A">
        <w:rPr>
          <w:rStyle w:val="FootnoteReference"/>
          <w:rFonts w:asciiTheme="minorBidi" w:hAnsiTheme="minorBidi"/>
        </w:rPr>
        <w:footnoteReference w:id="33"/>
      </w:r>
      <w:r w:rsidR="00557443" w:rsidRPr="006C1485">
        <w:rPr>
          <w:rFonts w:asciiTheme="minorBidi" w:hAnsiTheme="minorBidi"/>
        </w:rPr>
        <w:t xml:space="preserve"> but would prejudice the defendant who would have to endure </w:t>
      </w:r>
      <w:r w:rsidR="00963482" w:rsidRPr="006C1485">
        <w:rPr>
          <w:rFonts w:asciiTheme="minorBidi" w:hAnsiTheme="minorBidi"/>
        </w:rPr>
        <w:t xml:space="preserve">the inconvenience </w:t>
      </w:r>
      <w:r w:rsidR="00CC4774" w:rsidRPr="006C1485">
        <w:rPr>
          <w:rFonts w:asciiTheme="minorBidi" w:hAnsiTheme="minorBidi"/>
        </w:rPr>
        <w:t xml:space="preserve">and expense </w:t>
      </w:r>
      <w:r w:rsidR="00963482" w:rsidRPr="006C1485">
        <w:rPr>
          <w:rFonts w:asciiTheme="minorBidi" w:hAnsiTheme="minorBidi"/>
        </w:rPr>
        <w:t xml:space="preserve">of this essentially hopeless action </w:t>
      </w:r>
      <w:r w:rsidR="00CC4774" w:rsidRPr="006C1485">
        <w:rPr>
          <w:rFonts w:asciiTheme="minorBidi" w:hAnsiTheme="minorBidi"/>
        </w:rPr>
        <w:t>limping on.</w:t>
      </w:r>
      <w:r w:rsidR="00F53972" w:rsidRPr="006C1485">
        <w:rPr>
          <w:rFonts w:asciiTheme="minorBidi" w:hAnsiTheme="minorBidi"/>
        </w:rPr>
        <w:t xml:space="preserve"> </w:t>
      </w:r>
    </w:p>
    <w:p w14:paraId="53FEAC39" w14:textId="77777777" w:rsidR="001018A4" w:rsidRPr="001018A4" w:rsidRDefault="001018A4" w:rsidP="001018A4">
      <w:pPr>
        <w:pStyle w:val="ListParagraph"/>
        <w:spacing w:after="0" w:line="360" w:lineRule="auto"/>
        <w:ind w:left="0"/>
        <w:jc w:val="both"/>
        <w:rPr>
          <w:rFonts w:asciiTheme="minorBidi" w:hAnsiTheme="minorBidi"/>
          <w:b/>
        </w:rPr>
      </w:pPr>
    </w:p>
    <w:p w14:paraId="6C21DAC6" w14:textId="4A9D4E34" w:rsidR="001018A4" w:rsidRPr="006C1485" w:rsidRDefault="006C1485" w:rsidP="006C1485">
      <w:pPr>
        <w:spacing w:line="360" w:lineRule="auto"/>
        <w:jc w:val="both"/>
        <w:rPr>
          <w:rFonts w:asciiTheme="minorBidi" w:hAnsiTheme="minorBidi"/>
          <w:b/>
        </w:rPr>
      </w:pPr>
      <w:r w:rsidRPr="00F53972">
        <w:rPr>
          <w:rFonts w:ascii="Arial" w:eastAsiaTheme="minorHAnsi" w:hAnsi="Arial" w:cs="Arial"/>
          <w:bCs/>
          <w:szCs w:val="22"/>
          <w:lang w:val="en-GB" w:eastAsia="en-US" w:bidi="ar-SA"/>
        </w:rPr>
        <w:t>[68]</w:t>
      </w:r>
      <w:r w:rsidRPr="00F53972">
        <w:rPr>
          <w:rFonts w:ascii="Arial" w:eastAsiaTheme="minorHAnsi" w:hAnsi="Arial" w:cs="Arial"/>
          <w:bCs/>
          <w:szCs w:val="22"/>
          <w:lang w:val="en-GB" w:eastAsia="en-US" w:bidi="ar-SA"/>
        </w:rPr>
        <w:tab/>
      </w:r>
      <w:r w:rsidR="001018A4" w:rsidRPr="006C1485">
        <w:rPr>
          <w:rFonts w:asciiTheme="minorBidi" w:hAnsiTheme="minorBidi"/>
        </w:rPr>
        <w:t>The applicant is</w:t>
      </w:r>
      <w:r w:rsidR="00204C93" w:rsidRPr="006C1485">
        <w:rPr>
          <w:rFonts w:asciiTheme="minorBidi" w:hAnsiTheme="minorBidi"/>
        </w:rPr>
        <w:t>, however,</w:t>
      </w:r>
      <w:r w:rsidR="001018A4" w:rsidRPr="006C1485">
        <w:rPr>
          <w:rFonts w:asciiTheme="minorBidi" w:hAnsiTheme="minorBidi"/>
        </w:rPr>
        <w:t xml:space="preserve"> not without a remedy. Her true cause of action is against her erstwhile attorneys in respect of which she has already issued summons.</w:t>
      </w:r>
    </w:p>
    <w:p w14:paraId="69D2D67D" w14:textId="77777777" w:rsidR="00F53972" w:rsidRPr="00F53972" w:rsidRDefault="00F53972" w:rsidP="00F53972">
      <w:pPr>
        <w:pStyle w:val="ListParagraph"/>
        <w:spacing w:line="360" w:lineRule="auto"/>
        <w:rPr>
          <w:rFonts w:asciiTheme="minorBidi" w:hAnsiTheme="minorBidi"/>
          <w:b/>
        </w:rPr>
      </w:pPr>
    </w:p>
    <w:p w14:paraId="587B5D4A" w14:textId="77777777" w:rsidR="00896FE4" w:rsidRPr="00896FE4" w:rsidRDefault="00896FE4" w:rsidP="00F53972">
      <w:pPr>
        <w:pStyle w:val="ListParagraph"/>
        <w:spacing w:after="0" w:line="360" w:lineRule="auto"/>
        <w:ind w:left="0"/>
        <w:jc w:val="both"/>
        <w:rPr>
          <w:rFonts w:asciiTheme="minorBidi" w:hAnsiTheme="minorBidi"/>
          <w:b/>
        </w:rPr>
      </w:pPr>
      <w:r w:rsidRPr="00896FE4">
        <w:rPr>
          <w:rFonts w:asciiTheme="minorBidi" w:hAnsiTheme="minorBidi"/>
          <w:b/>
        </w:rPr>
        <w:t>Costs</w:t>
      </w:r>
    </w:p>
    <w:p w14:paraId="0FB6BE98" w14:textId="6548411F" w:rsidR="001018A4" w:rsidRPr="006C1485" w:rsidRDefault="006C1485" w:rsidP="006C1485">
      <w:pPr>
        <w:spacing w:line="360" w:lineRule="auto"/>
        <w:jc w:val="both"/>
        <w:rPr>
          <w:rFonts w:asciiTheme="minorBidi" w:hAnsiTheme="minorBidi"/>
        </w:rPr>
      </w:pPr>
      <w:r>
        <w:rPr>
          <w:rFonts w:ascii="Arial" w:eastAsiaTheme="minorHAnsi" w:hAnsi="Arial" w:cs="Arial"/>
          <w:bCs/>
          <w:lang w:val="en-GB" w:eastAsia="en-US" w:bidi="ar-SA"/>
        </w:rPr>
        <w:t>[69]</w:t>
      </w:r>
      <w:r>
        <w:rPr>
          <w:rFonts w:ascii="Arial" w:eastAsiaTheme="minorHAnsi" w:hAnsi="Arial" w:cs="Arial"/>
          <w:bCs/>
          <w:lang w:val="en-GB" w:eastAsia="en-US" w:bidi="ar-SA"/>
        </w:rPr>
        <w:tab/>
      </w:r>
      <w:r w:rsidR="006433D0" w:rsidRPr="006C1485">
        <w:rPr>
          <w:rFonts w:asciiTheme="minorBidi" w:hAnsiTheme="minorBidi"/>
        </w:rPr>
        <w:t>Mr Harpur</w:t>
      </w:r>
      <w:r w:rsidR="00896FE4" w:rsidRPr="006C1485">
        <w:rPr>
          <w:rFonts w:asciiTheme="minorBidi" w:hAnsiTheme="minorBidi"/>
        </w:rPr>
        <w:t>,</w:t>
      </w:r>
      <w:r w:rsidR="006433D0" w:rsidRPr="006C1485">
        <w:rPr>
          <w:rFonts w:asciiTheme="minorBidi" w:hAnsiTheme="minorBidi"/>
        </w:rPr>
        <w:t xml:space="preserve"> in urging the dismissal of the application</w:t>
      </w:r>
      <w:r w:rsidR="00896FE4" w:rsidRPr="006C1485">
        <w:rPr>
          <w:rFonts w:asciiTheme="minorBidi" w:hAnsiTheme="minorBidi"/>
        </w:rPr>
        <w:t>,</w:t>
      </w:r>
      <w:r w:rsidR="006433D0" w:rsidRPr="006C1485">
        <w:rPr>
          <w:rFonts w:asciiTheme="minorBidi" w:hAnsiTheme="minorBidi"/>
        </w:rPr>
        <w:t xml:space="preserve"> sought a costs order that </w:t>
      </w:r>
    </w:p>
    <w:p w14:paraId="4151D705" w14:textId="3DCCBDAC" w:rsidR="006433D0" w:rsidRPr="007B45D2" w:rsidRDefault="005C23C7" w:rsidP="00704DF6">
      <w:pPr>
        <w:pStyle w:val="ListParagraph"/>
        <w:spacing w:after="0" w:line="360" w:lineRule="auto"/>
        <w:ind w:left="0"/>
        <w:jc w:val="both"/>
        <w:rPr>
          <w:rFonts w:asciiTheme="minorBidi" w:hAnsiTheme="minorBidi"/>
          <w:sz w:val="24"/>
          <w:szCs w:val="24"/>
        </w:rPr>
      </w:pPr>
      <w:r w:rsidRPr="007B45D2">
        <w:rPr>
          <w:rFonts w:asciiTheme="minorBidi" w:hAnsiTheme="minorBidi"/>
          <w:sz w:val="24"/>
          <w:szCs w:val="24"/>
        </w:rPr>
        <w:t xml:space="preserve">included the costs of senior counsel. Mr Iles resisted this with </w:t>
      </w:r>
      <w:r w:rsidR="00204C93">
        <w:rPr>
          <w:rFonts w:asciiTheme="minorBidi" w:hAnsiTheme="minorBidi"/>
          <w:sz w:val="24"/>
          <w:szCs w:val="24"/>
        </w:rPr>
        <w:t xml:space="preserve">a </w:t>
      </w:r>
      <w:r w:rsidRPr="007B45D2">
        <w:rPr>
          <w:rFonts w:asciiTheme="minorBidi" w:hAnsiTheme="minorBidi"/>
          <w:sz w:val="24"/>
          <w:szCs w:val="24"/>
        </w:rPr>
        <w:t xml:space="preserve">reference to </w:t>
      </w:r>
      <w:r w:rsidRPr="007B45D2">
        <w:rPr>
          <w:rFonts w:asciiTheme="minorBidi" w:hAnsiTheme="minorBidi"/>
          <w:i/>
          <w:sz w:val="24"/>
          <w:szCs w:val="24"/>
        </w:rPr>
        <w:t>Hangar v Robertson</w:t>
      </w:r>
      <w:r w:rsidR="007B45D2">
        <w:rPr>
          <w:rFonts w:asciiTheme="minorBidi" w:hAnsiTheme="minorBidi"/>
          <w:sz w:val="24"/>
          <w:szCs w:val="24"/>
        </w:rPr>
        <w:t>.</w:t>
      </w:r>
      <w:r>
        <w:rPr>
          <w:rStyle w:val="FootnoteReference"/>
          <w:rFonts w:asciiTheme="minorBidi" w:hAnsiTheme="minorBidi"/>
          <w:sz w:val="24"/>
          <w:szCs w:val="24"/>
        </w:rPr>
        <w:footnoteReference w:id="34"/>
      </w:r>
      <w:r w:rsidRPr="007B45D2">
        <w:rPr>
          <w:rFonts w:asciiTheme="minorBidi" w:hAnsiTheme="minorBidi"/>
          <w:sz w:val="24"/>
          <w:szCs w:val="24"/>
        </w:rPr>
        <w:t xml:space="preserve"> In that matter, </w:t>
      </w:r>
      <w:r w:rsidR="007B45D2">
        <w:rPr>
          <w:rFonts w:asciiTheme="minorBidi" w:hAnsiTheme="minorBidi"/>
          <w:sz w:val="24"/>
          <w:szCs w:val="24"/>
        </w:rPr>
        <w:t>Leach JA</w:t>
      </w:r>
      <w:r w:rsidRPr="007B45D2">
        <w:rPr>
          <w:rFonts w:asciiTheme="minorBidi" w:hAnsiTheme="minorBidi"/>
          <w:sz w:val="24"/>
          <w:szCs w:val="24"/>
        </w:rPr>
        <w:t xml:space="preserve"> stated the following:</w:t>
      </w:r>
    </w:p>
    <w:p w14:paraId="7BB2C18A" w14:textId="3B50A5EA" w:rsidR="005C23C7" w:rsidRDefault="005C23C7" w:rsidP="005C23C7">
      <w:pPr>
        <w:spacing w:line="360" w:lineRule="auto"/>
        <w:jc w:val="both"/>
        <w:rPr>
          <w:rFonts w:asciiTheme="minorBidi" w:hAnsiTheme="minorBidi" w:cstheme="minorBidi"/>
          <w:color w:val="242121"/>
          <w:sz w:val="22"/>
          <w:szCs w:val="22"/>
        </w:rPr>
      </w:pPr>
      <w:r>
        <w:rPr>
          <w:rFonts w:asciiTheme="minorBidi" w:hAnsiTheme="minorBidi" w:cstheme="minorBidi"/>
          <w:color w:val="242121"/>
          <w:sz w:val="22"/>
          <w:szCs w:val="22"/>
        </w:rPr>
        <w:t>‘</w:t>
      </w:r>
      <w:r w:rsidRPr="005C23C7">
        <w:rPr>
          <w:rFonts w:asciiTheme="minorBidi" w:hAnsiTheme="minorBidi" w:cstheme="minorBidi"/>
          <w:color w:val="242121"/>
          <w:sz w:val="22"/>
          <w:szCs w:val="22"/>
        </w:rPr>
        <w:t xml:space="preserve">Counsel for the respondent asked for an order for costs, to which the respondent is of course entitled. However, he specifically requested that the costs </w:t>
      </w:r>
      <w:r w:rsidR="002302D6">
        <w:rPr>
          <w:rFonts w:asciiTheme="minorBidi" w:hAnsiTheme="minorBidi" w:cstheme="minorBidi"/>
          <w:color w:val="242121"/>
          <w:sz w:val="22"/>
          <w:szCs w:val="22"/>
        </w:rPr>
        <w:t>order should include the costs “</w:t>
      </w:r>
      <w:r w:rsidRPr="005C23C7">
        <w:rPr>
          <w:rFonts w:asciiTheme="minorBidi" w:hAnsiTheme="minorBidi" w:cstheme="minorBidi"/>
          <w:color w:val="242121"/>
          <w:sz w:val="22"/>
          <w:szCs w:val="22"/>
        </w:rPr>
        <w:t>consequent upon t</w:t>
      </w:r>
      <w:r w:rsidR="002302D6">
        <w:rPr>
          <w:rFonts w:asciiTheme="minorBidi" w:hAnsiTheme="minorBidi" w:cstheme="minorBidi"/>
          <w:color w:val="242121"/>
          <w:sz w:val="22"/>
          <w:szCs w:val="22"/>
        </w:rPr>
        <w:t>he employment of senior counsel”</w:t>
      </w:r>
      <w:r w:rsidRPr="005C23C7">
        <w:rPr>
          <w:rFonts w:asciiTheme="minorBidi" w:hAnsiTheme="minorBidi" w:cstheme="minorBidi"/>
          <w:color w:val="242121"/>
          <w:sz w:val="22"/>
          <w:szCs w:val="22"/>
        </w:rPr>
        <w:t xml:space="preserve">. This court has previously observed that such an order is inappropriate and that, where a single counsel is employed no special order is required, it being for the taxing master to determine a fair and reasonable fee on taxation </w:t>
      </w:r>
      <w:r w:rsidR="007B45D2">
        <w:rPr>
          <w:rFonts w:asciiTheme="minorBidi" w:hAnsiTheme="minorBidi" w:cstheme="minorBidi"/>
          <w:color w:val="242121"/>
          <w:sz w:val="22"/>
          <w:szCs w:val="22"/>
        </w:rPr>
        <w:t>-</w:t>
      </w:r>
      <w:r w:rsidRPr="005C23C7">
        <w:rPr>
          <w:rFonts w:asciiTheme="minorBidi" w:hAnsiTheme="minorBidi" w:cstheme="minorBidi"/>
          <w:color w:val="242121"/>
          <w:sz w:val="22"/>
          <w:szCs w:val="22"/>
        </w:rPr>
        <w:t xml:space="preserve"> see </w:t>
      </w:r>
      <w:r w:rsidRPr="005C23C7">
        <w:rPr>
          <w:rFonts w:asciiTheme="minorBidi" w:hAnsiTheme="minorBidi" w:cstheme="minorBidi"/>
          <w:i/>
          <w:iCs/>
          <w:color w:val="242121"/>
          <w:sz w:val="22"/>
          <w:szCs w:val="22"/>
        </w:rPr>
        <w:t>City of Johannesburg Metropolitan Municipality v Chairman of the Valuation Appeal Board for the City of Johannesburg &amp; another</w:t>
      </w:r>
      <w:r w:rsidRPr="005C23C7">
        <w:rPr>
          <w:rFonts w:asciiTheme="minorBidi" w:hAnsiTheme="minorBidi" w:cstheme="minorBidi"/>
          <w:color w:val="242121"/>
          <w:sz w:val="22"/>
          <w:szCs w:val="22"/>
        </w:rPr>
        <w:t>. Although the employment of senior counsel in the present case appears to have been a wise and reasonable precaution, it would be wrong for this court to fetter the taxing master’s discretion.</w:t>
      </w:r>
      <w:r>
        <w:rPr>
          <w:rFonts w:asciiTheme="minorBidi" w:hAnsiTheme="minorBidi" w:cstheme="minorBidi"/>
          <w:color w:val="242121"/>
          <w:sz w:val="22"/>
          <w:szCs w:val="22"/>
        </w:rPr>
        <w:t>’</w:t>
      </w:r>
      <w:r>
        <w:rPr>
          <w:rStyle w:val="FootnoteReference"/>
          <w:rFonts w:asciiTheme="minorBidi" w:hAnsiTheme="minorBidi" w:cstheme="minorBidi"/>
          <w:color w:val="242121"/>
          <w:sz w:val="22"/>
          <w:szCs w:val="22"/>
        </w:rPr>
        <w:footnoteReference w:id="35"/>
      </w:r>
      <w:r w:rsidR="002302D6">
        <w:rPr>
          <w:rFonts w:asciiTheme="minorBidi" w:hAnsiTheme="minorBidi" w:cstheme="minorBidi"/>
          <w:color w:val="242121"/>
          <w:sz w:val="22"/>
          <w:szCs w:val="22"/>
        </w:rPr>
        <w:t xml:space="preserve"> (Footnote omitted.)</w:t>
      </w:r>
    </w:p>
    <w:p w14:paraId="1FF9DC60" w14:textId="7C8AB0A0" w:rsidR="004B43AC" w:rsidRPr="004B43AC" w:rsidRDefault="004B43AC" w:rsidP="005C23C7">
      <w:pPr>
        <w:spacing w:line="360" w:lineRule="auto"/>
        <w:jc w:val="both"/>
        <w:rPr>
          <w:rFonts w:asciiTheme="minorBidi" w:hAnsiTheme="minorBidi" w:cstheme="minorBidi"/>
          <w:color w:val="242121"/>
        </w:rPr>
      </w:pPr>
      <w:r>
        <w:rPr>
          <w:rFonts w:asciiTheme="minorBidi" w:hAnsiTheme="minorBidi" w:cstheme="minorBidi"/>
          <w:color w:val="242121"/>
        </w:rPr>
        <w:t xml:space="preserve">I </w:t>
      </w:r>
      <w:r w:rsidR="00CD42BA">
        <w:rPr>
          <w:rFonts w:asciiTheme="minorBidi" w:hAnsiTheme="minorBidi" w:cstheme="minorBidi"/>
          <w:color w:val="242121"/>
        </w:rPr>
        <w:t xml:space="preserve">am of the view that </w:t>
      </w:r>
      <w:r>
        <w:rPr>
          <w:rFonts w:asciiTheme="minorBidi" w:hAnsiTheme="minorBidi" w:cstheme="minorBidi"/>
          <w:color w:val="242121"/>
        </w:rPr>
        <w:t xml:space="preserve">the employment of senior counsel in this matter </w:t>
      </w:r>
      <w:r w:rsidR="00EF31AB">
        <w:rPr>
          <w:rFonts w:asciiTheme="minorBidi" w:hAnsiTheme="minorBidi" w:cstheme="minorBidi"/>
          <w:color w:val="242121"/>
        </w:rPr>
        <w:t xml:space="preserve">likewise </w:t>
      </w:r>
      <w:r>
        <w:rPr>
          <w:rFonts w:asciiTheme="minorBidi" w:hAnsiTheme="minorBidi" w:cstheme="minorBidi"/>
          <w:color w:val="242121"/>
        </w:rPr>
        <w:t>appears to have been a sensible precaution.</w:t>
      </w:r>
    </w:p>
    <w:p w14:paraId="13B7CC76" w14:textId="77777777" w:rsidR="00F53972" w:rsidRDefault="00F53972" w:rsidP="005C23C7">
      <w:pPr>
        <w:spacing w:line="360" w:lineRule="auto"/>
        <w:jc w:val="both"/>
        <w:rPr>
          <w:rFonts w:asciiTheme="minorBidi" w:hAnsiTheme="minorBidi" w:cstheme="minorBidi"/>
          <w:color w:val="242121"/>
          <w:sz w:val="22"/>
          <w:szCs w:val="22"/>
        </w:rPr>
      </w:pPr>
    </w:p>
    <w:p w14:paraId="0D2B9221" w14:textId="77777777" w:rsidR="005C23C7" w:rsidRPr="005C23C7" w:rsidRDefault="00F53972" w:rsidP="00F53972">
      <w:pPr>
        <w:spacing w:line="360" w:lineRule="auto"/>
        <w:jc w:val="both"/>
        <w:rPr>
          <w:rFonts w:asciiTheme="minorBidi" w:hAnsiTheme="minorBidi"/>
        </w:rPr>
      </w:pPr>
      <w:r w:rsidRPr="00F53972">
        <w:rPr>
          <w:rFonts w:asciiTheme="minorBidi" w:hAnsiTheme="minorBidi" w:cstheme="minorBidi"/>
          <w:b/>
          <w:bCs/>
          <w:color w:val="242121"/>
        </w:rPr>
        <w:t>Order</w:t>
      </w:r>
    </w:p>
    <w:p w14:paraId="5B91A57F" w14:textId="6ECEE080" w:rsidR="00A80D1E" w:rsidRPr="006C1485" w:rsidRDefault="006C1485" w:rsidP="006C1485">
      <w:pPr>
        <w:spacing w:line="360" w:lineRule="auto"/>
        <w:jc w:val="both"/>
        <w:rPr>
          <w:rFonts w:asciiTheme="minorBidi" w:hAnsiTheme="minorBidi"/>
        </w:rPr>
      </w:pPr>
      <w:r>
        <w:rPr>
          <w:rFonts w:ascii="Arial" w:eastAsiaTheme="minorHAnsi" w:hAnsi="Arial" w:cs="Arial"/>
          <w:bCs/>
          <w:lang w:val="en-GB" w:eastAsia="en-US" w:bidi="ar-SA"/>
        </w:rPr>
        <w:t>[70]</w:t>
      </w:r>
      <w:r>
        <w:rPr>
          <w:rFonts w:ascii="Arial" w:eastAsiaTheme="minorHAnsi" w:hAnsi="Arial" w:cs="Arial"/>
          <w:bCs/>
          <w:lang w:val="en-GB" w:eastAsia="en-US" w:bidi="ar-SA"/>
        </w:rPr>
        <w:tab/>
      </w:r>
      <w:r w:rsidR="00A80D1E" w:rsidRPr="006C1485">
        <w:rPr>
          <w:rFonts w:asciiTheme="minorBidi" w:hAnsiTheme="minorBidi"/>
        </w:rPr>
        <w:t>In the circumstances, I grant the following order:</w:t>
      </w:r>
    </w:p>
    <w:p w14:paraId="7D86EB19" w14:textId="77777777" w:rsidR="00A80D1E" w:rsidRPr="006D3AFC" w:rsidRDefault="002939DE" w:rsidP="00A80D1E">
      <w:pPr>
        <w:pStyle w:val="ListParagraph"/>
        <w:spacing w:after="0" w:line="360" w:lineRule="auto"/>
        <w:ind w:left="0"/>
        <w:jc w:val="both"/>
        <w:rPr>
          <w:rFonts w:asciiTheme="minorBidi" w:hAnsiTheme="minorBidi"/>
          <w:sz w:val="24"/>
          <w:szCs w:val="24"/>
        </w:rPr>
      </w:pPr>
      <w:r>
        <w:rPr>
          <w:rFonts w:asciiTheme="minorBidi" w:hAnsiTheme="minorBidi"/>
          <w:sz w:val="24"/>
          <w:szCs w:val="24"/>
        </w:rPr>
        <w:t>1.</w:t>
      </w:r>
      <w:r>
        <w:rPr>
          <w:rFonts w:asciiTheme="minorBidi" w:hAnsiTheme="minorBidi"/>
          <w:sz w:val="24"/>
          <w:szCs w:val="24"/>
        </w:rPr>
        <w:tab/>
      </w:r>
      <w:r w:rsidR="00A80D1E">
        <w:rPr>
          <w:rFonts w:asciiTheme="minorBidi" w:hAnsiTheme="minorBidi"/>
          <w:sz w:val="24"/>
          <w:szCs w:val="24"/>
        </w:rPr>
        <w:t>The application is dismissed with costs.</w:t>
      </w:r>
    </w:p>
    <w:p w14:paraId="3BF628DA" w14:textId="310DC4B6" w:rsidR="003D2D8F" w:rsidRDefault="003D2D8F" w:rsidP="003D2D8F">
      <w:pPr>
        <w:spacing w:line="360" w:lineRule="auto"/>
        <w:jc w:val="both"/>
        <w:rPr>
          <w:rFonts w:asciiTheme="minorBidi" w:hAnsiTheme="minorBidi"/>
        </w:rPr>
      </w:pPr>
    </w:p>
    <w:p w14:paraId="78403ADA" w14:textId="79925D5D" w:rsidR="00CD42BA" w:rsidRDefault="00CD42BA" w:rsidP="003D2D8F">
      <w:pPr>
        <w:spacing w:line="360" w:lineRule="auto"/>
        <w:jc w:val="both"/>
        <w:rPr>
          <w:rFonts w:asciiTheme="minorBidi" w:hAnsiTheme="minorBidi"/>
        </w:rPr>
      </w:pPr>
    </w:p>
    <w:p w14:paraId="5242D8A8" w14:textId="77777777" w:rsidR="00CD42BA" w:rsidRDefault="00CD42BA" w:rsidP="003D2D8F">
      <w:pPr>
        <w:spacing w:line="360" w:lineRule="auto"/>
        <w:jc w:val="both"/>
        <w:rPr>
          <w:rFonts w:asciiTheme="minorBidi" w:hAnsiTheme="minorBidi"/>
        </w:rPr>
      </w:pPr>
    </w:p>
    <w:p w14:paraId="7CD807C3" w14:textId="77777777" w:rsidR="00970BA2" w:rsidRDefault="00970BA2" w:rsidP="00970BA2">
      <w:pPr>
        <w:tabs>
          <w:tab w:val="left" w:pos="709"/>
        </w:tabs>
        <w:jc w:val="right"/>
        <w:rPr>
          <w:rFonts w:asciiTheme="minorBidi" w:hAnsiTheme="minorBidi"/>
        </w:rPr>
      </w:pPr>
      <w:r>
        <w:rPr>
          <w:noProof/>
          <w:lang w:val="en-US" w:eastAsia="en-US" w:bidi="ar-SA"/>
        </w:rPr>
        <w:drawing>
          <wp:anchor distT="0" distB="0" distL="114300" distR="114300" simplePos="0" relativeHeight="251659264" behindDoc="1" locked="0" layoutInCell="1" allowOverlap="1" wp14:anchorId="698303A3" wp14:editId="622F6552">
            <wp:simplePos x="0" y="0"/>
            <wp:positionH relativeFrom="column">
              <wp:posOffset>3712912</wp:posOffset>
            </wp:positionH>
            <wp:positionV relativeFrom="paragraph">
              <wp:posOffset>75779</wp:posOffset>
            </wp:positionV>
            <wp:extent cx="2110740" cy="582930"/>
            <wp:effectExtent l="0" t="0" r="0" b="1270"/>
            <wp:wrapNone/>
            <wp:docPr id="3" name="Picture 3" descr="A picture containing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etter&#10;&#10;Description automatically generated"/>
                    <pic:cNvPicPr/>
                  </pic:nvPicPr>
                  <pic:blipFill rotWithShape="1">
                    <a:blip r:embed="rId9">
                      <a:extLst>
                        <a:ext uri="{28A0092B-C50C-407E-A947-70E740481C1C}">
                          <a14:useLocalDpi xmlns:a14="http://schemas.microsoft.com/office/drawing/2010/main" val="0"/>
                        </a:ext>
                      </a:extLst>
                    </a:blip>
                    <a:srcRect l="21160" t="71137" r="41997" b="20994"/>
                    <a:stretch/>
                  </pic:blipFill>
                  <pic:spPr bwMode="auto">
                    <a:xfrm>
                      <a:off x="0" y="0"/>
                      <a:ext cx="2110740" cy="5829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6AEC612" w14:textId="77777777" w:rsidR="00812977" w:rsidRDefault="00812977" w:rsidP="00970BA2">
      <w:pPr>
        <w:tabs>
          <w:tab w:val="left" w:pos="709"/>
        </w:tabs>
        <w:jc w:val="right"/>
        <w:rPr>
          <w:rFonts w:asciiTheme="minorBidi" w:hAnsiTheme="minorBidi"/>
        </w:rPr>
      </w:pPr>
    </w:p>
    <w:p w14:paraId="79F14853" w14:textId="77777777" w:rsidR="00970BA2" w:rsidRPr="007B0DD3" w:rsidRDefault="00970BA2" w:rsidP="00970BA2">
      <w:pPr>
        <w:tabs>
          <w:tab w:val="left" w:pos="709"/>
        </w:tabs>
        <w:jc w:val="right"/>
        <w:rPr>
          <w:rFonts w:asciiTheme="minorBidi" w:hAnsiTheme="minorBidi"/>
        </w:rPr>
      </w:pPr>
      <w:r w:rsidRPr="007B0DD3">
        <w:rPr>
          <w:rFonts w:asciiTheme="minorBidi" w:hAnsiTheme="minorBidi"/>
        </w:rPr>
        <w:t>_______________________</w:t>
      </w:r>
    </w:p>
    <w:p w14:paraId="3870834D" w14:textId="77777777" w:rsidR="00970BA2" w:rsidRDefault="00970BA2" w:rsidP="00970BA2">
      <w:pPr>
        <w:tabs>
          <w:tab w:val="left" w:pos="709"/>
        </w:tabs>
        <w:spacing w:line="360" w:lineRule="auto"/>
        <w:jc w:val="right"/>
        <w:rPr>
          <w:rFonts w:asciiTheme="minorBidi" w:hAnsiTheme="minorBidi"/>
          <w:b/>
        </w:rPr>
      </w:pPr>
    </w:p>
    <w:p w14:paraId="4F69F138" w14:textId="77777777" w:rsidR="00970BA2" w:rsidRPr="007B0DD3" w:rsidRDefault="00970BA2" w:rsidP="00970BA2">
      <w:pPr>
        <w:tabs>
          <w:tab w:val="left" w:pos="709"/>
        </w:tabs>
        <w:jc w:val="right"/>
        <w:rPr>
          <w:rFonts w:asciiTheme="minorBidi" w:hAnsiTheme="minorBidi"/>
          <w:b/>
        </w:rPr>
      </w:pPr>
      <w:r w:rsidRPr="007B0DD3">
        <w:rPr>
          <w:rFonts w:asciiTheme="minorBidi" w:hAnsiTheme="minorBidi"/>
          <w:b/>
        </w:rPr>
        <w:t>MOSSOP J</w:t>
      </w:r>
    </w:p>
    <w:p w14:paraId="2E57DFCA" w14:textId="77777777" w:rsidR="005C23C7" w:rsidRDefault="005C23C7" w:rsidP="00970BA2">
      <w:pPr>
        <w:spacing w:line="360" w:lineRule="auto"/>
        <w:jc w:val="center"/>
        <w:rPr>
          <w:rFonts w:asciiTheme="minorBidi" w:eastAsia="Calibri" w:hAnsiTheme="minorBidi"/>
          <w:b/>
          <w:u w:val="single"/>
        </w:rPr>
      </w:pPr>
    </w:p>
    <w:p w14:paraId="213F47BD" w14:textId="77777777" w:rsidR="00CD42BA" w:rsidRDefault="00CD42BA" w:rsidP="00970BA2">
      <w:pPr>
        <w:spacing w:line="360" w:lineRule="auto"/>
        <w:jc w:val="center"/>
        <w:rPr>
          <w:rFonts w:asciiTheme="minorBidi" w:eastAsia="Calibri" w:hAnsiTheme="minorBidi"/>
          <w:b/>
          <w:u w:val="single"/>
        </w:rPr>
      </w:pPr>
    </w:p>
    <w:p w14:paraId="4EB0177D" w14:textId="77777777" w:rsidR="00CD42BA" w:rsidRDefault="00CD42BA" w:rsidP="00970BA2">
      <w:pPr>
        <w:spacing w:line="360" w:lineRule="auto"/>
        <w:jc w:val="center"/>
        <w:rPr>
          <w:rFonts w:asciiTheme="minorBidi" w:eastAsia="Calibri" w:hAnsiTheme="minorBidi"/>
          <w:b/>
          <w:u w:val="single"/>
        </w:rPr>
      </w:pPr>
    </w:p>
    <w:p w14:paraId="13A9B9CF" w14:textId="77777777" w:rsidR="00CD42BA" w:rsidRDefault="00CD42BA" w:rsidP="00970BA2">
      <w:pPr>
        <w:spacing w:line="360" w:lineRule="auto"/>
        <w:jc w:val="center"/>
        <w:rPr>
          <w:rFonts w:asciiTheme="minorBidi" w:eastAsia="Calibri" w:hAnsiTheme="minorBidi"/>
          <w:b/>
          <w:u w:val="single"/>
        </w:rPr>
      </w:pPr>
    </w:p>
    <w:p w14:paraId="6B2AA6E3" w14:textId="77777777" w:rsidR="00CD42BA" w:rsidRDefault="00CD42BA" w:rsidP="00970BA2">
      <w:pPr>
        <w:spacing w:line="360" w:lineRule="auto"/>
        <w:jc w:val="center"/>
        <w:rPr>
          <w:rFonts w:asciiTheme="minorBidi" w:eastAsia="Calibri" w:hAnsiTheme="minorBidi"/>
          <w:b/>
          <w:u w:val="single"/>
        </w:rPr>
      </w:pPr>
    </w:p>
    <w:p w14:paraId="552E525C" w14:textId="77777777" w:rsidR="00CD42BA" w:rsidRDefault="00CD42BA" w:rsidP="00970BA2">
      <w:pPr>
        <w:spacing w:line="360" w:lineRule="auto"/>
        <w:jc w:val="center"/>
        <w:rPr>
          <w:rFonts w:asciiTheme="minorBidi" w:eastAsia="Calibri" w:hAnsiTheme="minorBidi"/>
          <w:b/>
          <w:u w:val="single"/>
        </w:rPr>
      </w:pPr>
    </w:p>
    <w:p w14:paraId="0D6D9D3E" w14:textId="77777777" w:rsidR="00CD42BA" w:rsidRDefault="00CD42BA" w:rsidP="00970BA2">
      <w:pPr>
        <w:spacing w:line="360" w:lineRule="auto"/>
        <w:jc w:val="center"/>
        <w:rPr>
          <w:rFonts w:asciiTheme="minorBidi" w:eastAsia="Calibri" w:hAnsiTheme="minorBidi"/>
          <w:b/>
          <w:u w:val="single"/>
        </w:rPr>
      </w:pPr>
    </w:p>
    <w:p w14:paraId="60717995" w14:textId="77777777" w:rsidR="00CD42BA" w:rsidRDefault="00CD42BA" w:rsidP="00970BA2">
      <w:pPr>
        <w:spacing w:line="360" w:lineRule="auto"/>
        <w:jc w:val="center"/>
        <w:rPr>
          <w:rFonts w:asciiTheme="minorBidi" w:eastAsia="Calibri" w:hAnsiTheme="minorBidi"/>
          <w:b/>
          <w:u w:val="single"/>
        </w:rPr>
      </w:pPr>
    </w:p>
    <w:p w14:paraId="33E961C0" w14:textId="77777777" w:rsidR="00CD42BA" w:rsidRDefault="00CD42BA" w:rsidP="00970BA2">
      <w:pPr>
        <w:spacing w:line="360" w:lineRule="auto"/>
        <w:jc w:val="center"/>
        <w:rPr>
          <w:rFonts w:asciiTheme="minorBidi" w:eastAsia="Calibri" w:hAnsiTheme="minorBidi"/>
          <w:b/>
          <w:u w:val="single"/>
        </w:rPr>
      </w:pPr>
    </w:p>
    <w:p w14:paraId="4548B80B" w14:textId="77777777" w:rsidR="00CD42BA" w:rsidRDefault="00CD42BA" w:rsidP="00970BA2">
      <w:pPr>
        <w:spacing w:line="360" w:lineRule="auto"/>
        <w:jc w:val="center"/>
        <w:rPr>
          <w:rFonts w:asciiTheme="minorBidi" w:eastAsia="Calibri" w:hAnsiTheme="minorBidi"/>
          <w:b/>
          <w:u w:val="single"/>
        </w:rPr>
      </w:pPr>
    </w:p>
    <w:p w14:paraId="443578B7" w14:textId="77777777" w:rsidR="00CD42BA" w:rsidRDefault="00CD42BA" w:rsidP="00970BA2">
      <w:pPr>
        <w:spacing w:line="360" w:lineRule="auto"/>
        <w:jc w:val="center"/>
        <w:rPr>
          <w:rFonts w:asciiTheme="minorBidi" w:eastAsia="Calibri" w:hAnsiTheme="minorBidi"/>
          <w:b/>
          <w:u w:val="single"/>
        </w:rPr>
      </w:pPr>
    </w:p>
    <w:p w14:paraId="00207D2E" w14:textId="77777777" w:rsidR="00CD42BA" w:rsidRDefault="00CD42BA" w:rsidP="00970BA2">
      <w:pPr>
        <w:spacing w:line="360" w:lineRule="auto"/>
        <w:jc w:val="center"/>
        <w:rPr>
          <w:rFonts w:asciiTheme="minorBidi" w:eastAsia="Calibri" w:hAnsiTheme="minorBidi"/>
          <w:b/>
          <w:u w:val="single"/>
        </w:rPr>
      </w:pPr>
    </w:p>
    <w:p w14:paraId="3BA95241" w14:textId="77777777" w:rsidR="00CD42BA" w:rsidRDefault="00CD42BA" w:rsidP="00970BA2">
      <w:pPr>
        <w:spacing w:line="360" w:lineRule="auto"/>
        <w:jc w:val="center"/>
        <w:rPr>
          <w:rFonts w:asciiTheme="minorBidi" w:eastAsia="Calibri" w:hAnsiTheme="minorBidi"/>
          <w:b/>
          <w:u w:val="single"/>
        </w:rPr>
      </w:pPr>
    </w:p>
    <w:p w14:paraId="03EEDCD3" w14:textId="77777777" w:rsidR="00CD42BA" w:rsidRDefault="00CD42BA" w:rsidP="00970BA2">
      <w:pPr>
        <w:spacing w:line="360" w:lineRule="auto"/>
        <w:jc w:val="center"/>
        <w:rPr>
          <w:rFonts w:asciiTheme="minorBidi" w:eastAsia="Calibri" w:hAnsiTheme="minorBidi"/>
          <w:b/>
          <w:u w:val="single"/>
        </w:rPr>
      </w:pPr>
    </w:p>
    <w:p w14:paraId="46102DD2" w14:textId="77777777" w:rsidR="00CD42BA" w:rsidRDefault="00CD42BA" w:rsidP="00970BA2">
      <w:pPr>
        <w:spacing w:line="360" w:lineRule="auto"/>
        <w:jc w:val="center"/>
        <w:rPr>
          <w:rFonts w:asciiTheme="minorBidi" w:eastAsia="Calibri" w:hAnsiTheme="minorBidi"/>
          <w:b/>
          <w:u w:val="single"/>
        </w:rPr>
      </w:pPr>
    </w:p>
    <w:p w14:paraId="1A01D3B0" w14:textId="77777777" w:rsidR="00CD42BA" w:rsidRDefault="00CD42BA" w:rsidP="00970BA2">
      <w:pPr>
        <w:spacing w:line="360" w:lineRule="auto"/>
        <w:jc w:val="center"/>
        <w:rPr>
          <w:rFonts w:asciiTheme="minorBidi" w:eastAsia="Calibri" w:hAnsiTheme="minorBidi"/>
          <w:b/>
          <w:u w:val="single"/>
        </w:rPr>
      </w:pPr>
    </w:p>
    <w:p w14:paraId="79279AC4" w14:textId="77777777" w:rsidR="00CD42BA" w:rsidRDefault="00CD42BA" w:rsidP="00970BA2">
      <w:pPr>
        <w:spacing w:line="360" w:lineRule="auto"/>
        <w:jc w:val="center"/>
        <w:rPr>
          <w:rFonts w:asciiTheme="minorBidi" w:eastAsia="Calibri" w:hAnsiTheme="minorBidi"/>
          <w:b/>
          <w:u w:val="single"/>
        </w:rPr>
      </w:pPr>
    </w:p>
    <w:p w14:paraId="7228A6AB" w14:textId="77777777" w:rsidR="00CD42BA" w:rsidRDefault="00CD42BA" w:rsidP="00970BA2">
      <w:pPr>
        <w:spacing w:line="360" w:lineRule="auto"/>
        <w:jc w:val="center"/>
        <w:rPr>
          <w:rFonts w:asciiTheme="minorBidi" w:eastAsia="Calibri" w:hAnsiTheme="minorBidi"/>
          <w:b/>
          <w:u w:val="single"/>
        </w:rPr>
      </w:pPr>
    </w:p>
    <w:p w14:paraId="42D21CF7" w14:textId="77777777" w:rsidR="00CD42BA" w:rsidRDefault="00CD42BA" w:rsidP="00970BA2">
      <w:pPr>
        <w:spacing w:line="360" w:lineRule="auto"/>
        <w:jc w:val="center"/>
        <w:rPr>
          <w:rFonts w:asciiTheme="minorBidi" w:eastAsia="Calibri" w:hAnsiTheme="minorBidi"/>
          <w:b/>
          <w:u w:val="single"/>
        </w:rPr>
      </w:pPr>
    </w:p>
    <w:p w14:paraId="31F6A8CC" w14:textId="77777777" w:rsidR="00CD42BA" w:rsidRDefault="00CD42BA" w:rsidP="00970BA2">
      <w:pPr>
        <w:spacing w:line="360" w:lineRule="auto"/>
        <w:jc w:val="center"/>
        <w:rPr>
          <w:rFonts w:asciiTheme="minorBidi" w:eastAsia="Calibri" w:hAnsiTheme="minorBidi"/>
          <w:b/>
          <w:u w:val="single"/>
        </w:rPr>
      </w:pPr>
    </w:p>
    <w:p w14:paraId="3388DF75" w14:textId="77777777" w:rsidR="00CD42BA" w:rsidRDefault="00CD42BA" w:rsidP="00970BA2">
      <w:pPr>
        <w:spacing w:line="360" w:lineRule="auto"/>
        <w:jc w:val="center"/>
        <w:rPr>
          <w:rFonts w:asciiTheme="minorBidi" w:eastAsia="Calibri" w:hAnsiTheme="minorBidi"/>
          <w:b/>
          <w:u w:val="single"/>
        </w:rPr>
      </w:pPr>
    </w:p>
    <w:p w14:paraId="0BA2B244" w14:textId="77777777" w:rsidR="00CD42BA" w:rsidRDefault="00CD42BA" w:rsidP="00970BA2">
      <w:pPr>
        <w:spacing w:line="360" w:lineRule="auto"/>
        <w:jc w:val="center"/>
        <w:rPr>
          <w:rFonts w:asciiTheme="minorBidi" w:eastAsia="Calibri" w:hAnsiTheme="minorBidi"/>
          <w:b/>
          <w:u w:val="single"/>
        </w:rPr>
      </w:pPr>
    </w:p>
    <w:p w14:paraId="46CFE2E7" w14:textId="77777777" w:rsidR="00CD42BA" w:rsidRDefault="00CD42BA" w:rsidP="00970BA2">
      <w:pPr>
        <w:spacing w:line="360" w:lineRule="auto"/>
        <w:jc w:val="center"/>
        <w:rPr>
          <w:rFonts w:asciiTheme="minorBidi" w:eastAsia="Calibri" w:hAnsiTheme="minorBidi"/>
          <w:b/>
          <w:u w:val="single"/>
        </w:rPr>
      </w:pPr>
    </w:p>
    <w:p w14:paraId="013BAC8B" w14:textId="77777777" w:rsidR="00CD42BA" w:rsidRDefault="00CD42BA" w:rsidP="00970BA2">
      <w:pPr>
        <w:spacing w:line="360" w:lineRule="auto"/>
        <w:jc w:val="center"/>
        <w:rPr>
          <w:rFonts w:asciiTheme="minorBidi" w:eastAsia="Calibri" w:hAnsiTheme="minorBidi"/>
          <w:b/>
          <w:u w:val="single"/>
        </w:rPr>
      </w:pPr>
    </w:p>
    <w:p w14:paraId="1DB26115" w14:textId="77777777" w:rsidR="00CD42BA" w:rsidRDefault="00CD42BA" w:rsidP="00970BA2">
      <w:pPr>
        <w:spacing w:line="360" w:lineRule="auto"/>
        <w:jc w:val="center"/>
        <w:rPr>
          <w:rFonts w:asciiTheme="minorBidi" w:eastAsia="Calibri" w:hAnsiTheme="minorBidi"/>
          <w:b/>
          <w:u w:val="single"/>
        </w:rPr>
      </w:pPr>
    </w:p>
    <w:p w14:paraId="18D8A607" w14:textId="77777777" w:rsidR="00CD42BA" w:rsidRDefault="00CD42BA" w:rsidP="00970BA2">
      <w:pPr>
        <w:spacing w:line="360" w:lineRule="auto"/>
        <w:jc w:val="center"/>
        <w:rPr>
          <w:rFonts w:asciiTheme="minorBidi" w:eastAsia="Calibri" w:hAnsiTheme="minorBidi"/>
          <w:b/>
          <w:u w:val="single"/>
        </w:rPr>
      </w:pPr>
    </w:p>
    <w:p w14:paraId="22691EA1" w14:textId="77777777" w:rsidR="00CD42BA" w:rsidRDefault="00CD42BA" w:rsidP="00970BA2">
      <w:pPr>
        <w:spacing w:line="360" w:lineRule="auto"/>
        <w:jc w:val="center"/>
        <w:rPr>
          <w:rFonts w:asciiTheme="minorBidi" w:eastAsia="Calibri" w:hAnsiTheme="minorBidi"/>
          <w:b/>
          <w:u w:val="single"/>
        </w:rPr>
      </w:pPr>
    </w:p>
    <w:p w14:paraId="14ACFDF5" w14:textId="3FD30DD4" w:rsidR="00970BA2" w:rsidRPr="007B0DD3" w:rsidRDefault="00970BA2" w:rsidP="00970BA2">
      <w:pPr>
        <w:spacing w:line="360" w:lineRule="auto"/>
        <w:jc w:val="center"/>
        <w:rPr>
          <w:rFonts w:asciiTheme="minorBidi" w:eastAsia="Calibri" w:hAnsiTheme="minorBidi"/>
          <w:b/>
          <w:u w:val="single"/>
        </w:rPr>
      </w:pPr>
      <w:r>
        <w:rPr>
          <w:rFonts w:asciiTheme="minorBidi" w:eastAsia="Calibri" w:hAnsiTheme="minorBidi"/>
          <w:b/>
          <w:u w:val="single"/>
        </w:rPr>
        <w:lastRenderedPageBreak/>
        <w:t>A</w:t>
      </w:r>
      <w:r w:rsidRPr="007B0DD3">
        <w:rPr>
          <w:rFonts w:asciiTheme="minorBidi" w:eastAsia="Calibri" w:hAnsiTheme="minorBidi"/>
          <w:b/>
          <w:u w:val="single"/>
        </w:rPr>
        <w:t>PPEARANCES</w:t>
      </w:r>
    </w:p>
    <w:p w14:paraId="4B9756B4" w14:textId="77777777" w:rsidR="00970BA2" w:rsidRDefault="00970BA2" w:rsidP="00970BA2">
      <w:pPr>
        <w:spacing w:line="360" w:lineRule="auto"/>
        <w:jc w:val="both"/>
        <w:rPr>
          <w:rFonts w:asciiTheme="minorBidi" w:eastAsia="Calibri" w:hAnsiTheme="minorBidi"/>
          <w:b/>
          <w:u w:val="single"/>
        </w:rPr>
      </w:pPr>
    </w:p>
    <w:p w14:paraId="07E601CC" w14:textId="77777777" w:rsidR="008418D6" w:rsidRPr="007B0DD3" w:rsidRDefault="008418D6" w:rsidP="00970BA2">
      <w:pPr>
        <w:spacing w:line="360" w:lineRule="auto"/>
        <w:jc w:val="both"/>
        <w:rPr>
          <w:rFonts w:asciiTheme="minorBidi" w:eastAsia="Calibri" w:hAnsiTheme="minorBidi"/>
          <w:b/>
          <w:u w:val="single"/>
        </w:rPr>
      </w:pPr>
    </w:p>
    <w:p w14:paraId="1DDFB0C0" w14:textId="015CD6D1" w:rsidR="00970BA2" w:rsidRPr="007B0DD3" w:rsidRDefault="00970BA2" w:rsidP="004C2560">
      <w:pPr>
        <w:spacing w:line="360" w:lineRule="auto"/>
        <w:ind w:right="-82"/>
        <w:jc w:val="both"/>
        <w:rPr>
          <w:rFonts w:asciiTheme="minorBidi" w:hAnsiTheme="minorBidi"/>
        </w:rPr>
      </w:pPr>
      <w:r w:rsidRPr="007B0DD3">
        <w:rPr>
          <w:rFonts w:asciiTheme="minorBidi" w:hAnsiTheme="minorBidi"/>
        </w:rPr>
        <w:t xml:space="preserve">Counsel for the </w:t>
      </w:r>
      <w:r>
        <w:rPr>
          <w:rFonts w:asciiTheme="minorBidi" w:hAnsiTheme="minorBidi"/>
        </w:rPr>
        <w:t>applicant</w:t>
      </w:r>
      <w:r w:rsidRPr="007B0DD3">
        <w:rPr>
          <w:rFonts w:asciiTheme="minorBidi" w:hAnsiTheme="minorBidi"/>
        </w:rPr>
        <w:tab/>
      </w:r>
      <w:r w:rsidRPr="007B0DD3">
        <w:rPr>
          <w:rFonts w:asciiTheme="minorBidi" w:hAnsiTheme="minorBidi"/>
        </w:rPr>
        <w:tab/>
      </w:r>
      <w:r w:rsidR="00FF4049">
        <w:rPr>
          <w:rFonts w:asciiTheme="minorBidi" w:hAnsiTheme="minorBidi"/>
        </w:rPr>
        <w:tab/>
      </w:r>
      <w:r w:rsidRPr="007B0DD3">
        <w:rPr>
          <w:rFonts w:asciiTheme="minorBidi" w:hAnsiTheme="minorBidi"/>
        </w:rPr>
        <w:t>:</w:t>
      </w:r>
      <w:r w:rsidR="00BF1385" w:rsidRPr="007B0DD3">
        <w:rPr>
          <w:rFonts w:asciiTheme="minorBidi" w:hAnsiTheme="minorBidi"/>
        </w:rPr>
        <w:t xml:space="preserve"> </w:t>
      </w:r>
      <w:r w:rsidRPr="007B0DD3">
        <w:rPr>
          <w:rFonts w:asciiTheme="minorBidi" w:hAnsiTheme="minorBidi"/>
        </w:rPr>
        <w:tab/>
      </w:r>
      <w:r w:rsidR="00155F5B">
        <w:rPr>
          <w:rFonts w:asciiTheme="minorBidi" w:hAnsiTheme="minorBidi"/>
        </w:rPr>
        <w:t>Mr K D Iles</w:t>
      </w:r>
    </w:p>
    <w:p w14:paraId="298C6DB9" w14:textId="77777777" w:rsidR="00BD3016" w:rsidRDefault="00970BA2" w:rsidP="00155F5B">
      <w:pPr>
        <w:spacing w:line="360" w:lineRule="auto"/>
        <w:ind w:right="-82"/>
        <w:jc w:val="both"/>
        <w:rPr>
          <w:rFonts w:asciiTheme="minorBidi" w:hAnsiTheme="minorBidi"/>
        </w:rPr>
      </w:pPr>
      <w:r w:rsidRPr="007B0DD3">
        <w:rPr>
          <w:rFonts w:asciiTheme="minorBidi" w:hAnsiTheme="minorBidi"/>
        </w:rPr>
        <w:t>Instructed by:</w:t>
      </w:r>
      <w:r w:rsidRPr="007B0DD3">
        <w:rPr>
          <w:rFonts w:asciiTheme="minorBidi" w:hAnsiTheme="minorBidi"/>
        </w:rPr>
        <w:tab/>
      </w:r>
      <w:r w:rsidRPr="007B0DD3">
        <w:rPr>
          <w:rFonts w:asciiTheme="minorBidi" w:hAnsiTheme="minorBidi"/>
        </w:rPr>
        <w:tab/>
      </w:r>
      <w:r>
        <w:rPr>
          <w:rFonts w:asciiTheme="minorBidi" w:hAnsiTheme="minorBidi"/>
        </w:rPr>
        <w:tab/>
      </w:r>
      <w:r w:rsidR="00FF4049">
        <w:rPr>
          <w:rFonts w:asciiTheme="minorBidi" w:hAnsiTheme="minorBidi"/>
        </w:rPr>
        <w:tab/>
      </w:r>
      <w:r w:rsidRPr="007B0DD3">
        <w:rPr>
          <w:rFonts w:asciiTheme="minorBidi" w:hAnsiTheme="minorBidi"/>
        </w:rPr>
        <w:t>:</w:t>
      </w:r>
      <w:r w:rsidR="00CA010C">
        <w:rPr>
          <w:rFonts w:asciiTheme="minorBidi" w:hAnsiTheme="minorBidi"/>
        </w:rPr>
        <w:tab/>
      </w:r>
      <w:r w:rsidR="00155F5B">
        <w:rPr>
          <w:rFonts w:asciiTheme="minorBidi" w:hAnsiTheme="minorBidi"/>
        </w:rPr>
        <w:t>Warrick De Wet Redman Attorneys</w:t>
      </w:r>
    </w:p>
    <w:p w14:paraId="0B5A1FFC" w14:textId="77777777" w:rsidR="00155F5B" w:rsidRDefault="00155F5B" w:rsidP="00155F5B">
      <w:pPr>
        <w:spacing w:line="360" w:lineRule="auto"/>
        <w:ind w:right="-82"/>
        <w:jc w:val="both"/>
        <w:rPr>
          <w:rFonts w:asciiTheme="minorBidi" w:hAnsiTheme="minorBidi"/>
        </w:rPr>
      </w:pP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t>Suite 14 Corporate Park</w:t>
      </w:r>
    </w:p>
    <w:p w14:paraId="1B89CEDB" w14:textId="77777777" w:rsidR="00155F5B" w:rsidRDefault="00155F5B" w:rsidP="00155F5B">
      <w:pPr>
        <w:spacing w:line="360" w:lineRule="auto"/>
        <w:ind w:right="-82"/>
        <w:jc w:val="both"/>
        <w:rPr>
          <w:rFonts w:asciiTheme="minorBidi" w:hAnsiTheme="minorBidi"/>
        </w:rPr>
      </w:pP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t>11 Sinembe Crescent</w:t>
      </w:r>
    </w:p>
    <w:p w14:paraId="10D165E7" w14:textId="77777777" w:rsidR="00155F5B" w:rsidRDefault="00155F5B" w:rsidP="00155F5B">
      <w:pPr>
        <w:spacing w:line="360" w:lineRule="auto"/>
        <w:ind w:right="-82"/>
        <w:jc w:val="both"/>
        <w:rPr>
          <w:rFonts w:asciiTheme="minorBidi" w:hAnsiTheme="minorBidi"/>
        </w:rPr>
      </w:pP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t>Sinembe Park</w:t>
      </w:r>
    </w:p>
    <w:p w14:paraId="4C3F0730" w14:textId="77777777" w:rsidR="00155F5B" w:rsidRDefault="00155F5B" w:rsidP="00155F5B">
      <w:pPr>
        <w:spacing w:line="360" w:lineRule="auto"/>
        <w:ind w:right="-82"/>
        <w:jc w:val="both"/>
        <w:rPr>
          <w:rFonts w:asciiTheme="minorBidi" w:hAnsiTheme="minorBidi"/>
          <w:spacing w:val="-2"/>
        </w:rPr>
      </w:pP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t>Umhlanga</w:t>
      </w:r>
    </w:p>
    <w:p w14:paraId="2903A617" w14:textId="77777777" w:rsidR="00970BA2" w:rsidRPr="007B0DD3" w:rsidRDefault="00781761" w:rsidP="00325410">
      <w:pPr>
        <w:spacing w:line="360" w:lineRule="auto"/>
        <w:ind w:right="-82"/>
        <w:jc w:val="both"/>
        <w:rPr>
          <w:rFonts w:asciiTheme="minorBidi" w:hAnsiTheme="minorBidi"/>
        </w:rPr>
      </w:pP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r w:rsidR="00970BA2" w:rsidRPr="007B0DD3">
        <w:rPr>
          <w:rFonts w:asciiTheme="minorBidi" w:hAnsiTheme="minorBidi"/>
        </w:rPr>
        <w:t xml:space="preserve"> </w:t>
      </w:r>
    </w:p>
    <w:p w14:paraId="0C07782E" w14:textId="77777777" w:rsidR="00970BA2" w:rsidRDefault="00970BA2" w:rsidP="00FF4049">
      <w:pPr>
        <w:spacing w:line="360" w:lineRule="auto"/>
        <w:jc w:val="both"/>
        <w:rPr>
          <w:rFonts w:asciiTheme="minorBidi" w:hAnsiTheme="minorBidi"/>
        </w:rPr>
      </w:pPr>
      <w:r w:rsidRPr="007B0DD3">
        <w:rPr>
          <w:rFonts w:asciiTheme="minorBidi" w:hAnsiTheme="minorBidi"/>
        </w:rPr>
        <w:t xml:space="preserve">Counsel for the </w:t>
      </w:r>
      <w:r>
        <w:rPr>
          <w:rFonts w:asciiTheme="minorBidi" w:hAnsiTheme="minorBidi"/>
        </w:rPr>
        <w:t>respondent</w:t>
      </w:r>
      <w:r w:rsidR="001E1CD2">
        <w:rPr>
          <w:rFonts w:asciiTheme="minorBidi" w:hAnsiTheme="minorBidi"/>
        </w:rPr>
        <w:tab/>
      </w:r>
      <w:r w:rsidR="001C10F6">
        <w:rPr>
          <w:rFonts w:asciiTheme="minorBidi" w:hAnsiTheme="minorBidi"/>
        </w:rPr>
        <w:tab/>
      </w:r>
      <w:r w:rsidRPr="007B0DD3">
        <w:rPr>
          <w:rFonts w:asciiTheme="minorBidi" w:hAnsiTheme="minorBidi"/>
        </w:rPr>
        <w:t>:</w:t>
      </w:r>
      <w:r w:rsidR="00CC75C4">
        <w:rPr>
          <w:rFonts w:asciiTheme="minorBidi" w:hAnsiTheme="minorBidi"/>
        </w:rPr>
        <w:tab/>
      </w:r>
      <w:r w:rsidR="00155F5B">
        <w:rPr>
          <w:rFonts w:asciiTheme="minorBidi" w:hAnsiTheme="minorBidi"/>
        </w:rPr>
        <w:t>Mr G Harpur SC</w:t>
      </w:r>
      <w:r w:rsidR="00325410">
        <w:rPr>
          <w:rFonts w:asciiTheme="minorBidi" w:hAnsiTheme="minorBidi"/>
        </w:rPr>
        <w:tab/>
      </w:r>
    </w:p>
    <w:p w14:paraId="159A3C8E" w14:textId="77777777" w:rsidR="005D0D0A" w:rsidRDefault="00970BA2" w:rsidP="00155F5B">
      <w:pPr>
        <w:spacing w:line="360" w:lineRule="auto"/>
        <w:ind w:right="-82"/>
        <w:jc w:val="both"/>
        <w:rPr>
          <w:rFonts w:asciiTheme="minorBidi" w:hAnsiTheme="minorBidi"/>
        </w:rPr>
      </w:pPr>
      <w:r w:rsidRPr="007B0DD3">
        <w:rPr>
          <w:rFonts w:asciiTheme="minorBidi" w:hAnsiTheme="minorBidi"/>
        </w:rPr>
        <w:t>Instructed by</w:t>
      </w:r>
      <w:r w:rsidRPr="007B0DD3">
        <w:rPr>
          <w:rFonts w:asciiTheme="minorBidi" w:hAnsiTheme="minorBidi"/>
        </w:rPr>
        <w:tab/>
      </w:r>
      <w:r w:rsidRPr="007B0DD3">
        <w:rPr>
          <w:rFonts w:asciiTheme="minorBidi" w:hAnsiTheme="minorBidi"/>
        </w:rPr>
        <w:tab/>
      </w:r>
      <w:r w:rsidRPr="007B0DD3">
        <w:rPr>
          <w:rFonts w:asciiTheme="minorBidi" w:hAnsiTheme="minorBidi"/>
        </w:rPr>
        <w:tab/>
      </w:r>
      <w:r w:rsidRPr="007B0DD3">
        <w:rPr>
          <w:rFonts w:asciiTheme="minorBidi" w:hAnsiTheme="minorBidi"/>
        </w:rPr>
        <w:tab/>
      </w:r>
      <w:r w:rsidR="00FF4049">
        <w:rPr>
          <w:rFonts w:asciiTheme="minorBidi" w:hAnsiTheme="minorBidi"/>
        </w:rPr>
        <w:tab/>
      </w:r>
      <w:r w:rsidRPr="007B0DD3">
        <w:rPr>
          <w:rFonts w:asciiTheme="minorBidi" w:hAnsiTheme="minorBidi"/>
        </w:rPr>
        <w:t>:</w:t>
      </w:r>
      <w:r w:rsidRPr="007B0DD3">
        <w:rPr>
          <w:rFonts w:asciiTheme="minorBidi" w:hAnsiTheme="minorBidi"/>
        </w:rPr>
        <w:tab/>
      </w:r>
      <w:r w:rsidR="00155F5B">
        <w:rPr>
          <w:rFonts w:asciiTheme="minorBidi" w:hAnsiTheme="minorBidi"/>
        </w:rPr>
        <w:t>Garlicke and Bousfield Incorporated</w:t>
      </w:r>
    </w:p>
    <w:p w14:paraId="5911BDC5" w14:textId="77777777" w:rsidR="00155F5B" w:rsidRDefault="00BD3016" w:rsidP="001C10F6">
      <w:pPr>
        <w:spacing w:line="360" w:lineRule="auto"/>
        <w:ind w:right="-82"/>
        <w:jc w:val="both"/>
        <w:rPr>
          <w:rFonts w:asciiTheme="minorBidi" w:hAnsiTheme="minorBidi"/>
        </w:rPr>
      </w:pP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r w:rsidR="00155F5B">
        <w:rPr>
          <w:rFonts w:asciiTheme="minorBidi" w:hAnsiTheme="minorBidi"/>
        </w:rPr>
        <w:t>7 Torsvale Crescent</w:t>
      </w:r>
    </w:p>
    <w:p w14:paraId="18AA1286" w14:textId="77777777" w:rsidR="00155F5B" w:rsidRDefault="00155F5B" w:rsidP="00155F5B">
      <w:pPr>
        <w:spacing w:line="360" w:lineRule="auto"/>
        <w:ind w:left="4320" w:right="-82" w:firstLine="720"/>
        <w:jc w:val="both"/>
        <w:rPr>
          <w:rFonts w:asciiTheme="minorBidi" w:hAnsiTheme="minorBidi"/>
        </w:rPr>
      </w:pPr>
      <w:r>
        <w:rPr>
          <w:rFonts w:asciiTheme="minorBidi" w:hAnsiTheme="minorBidi"/>
        </w:rPr>
        <w:t>La Lucia Ridge Office Estate</w:t>
      </w:r>
    </w:p>
    <w:p w14:paraId="4F955DFE" w14:textId="77777777" w:rsidR="00BD3016" w:rsidRDefault="00155F5B" w:rsidP="00155F5B">
      <w:pPr>
        <w:spacing w:line="360" w:lineRule="auto"/>
        <w:ind w:left="4320" w:right="-82" w:firstLine="720"/>
        <w:jc w:val="both"/>
        <w:rPr>
          <w:rFonts w:asciiTheme="minorBidi" w:hAnsiTheme="minorBidi"/>
        </w:rPr>
      </w:pPr>
      <w:r>
        <w:rPr>
          <w:rFonts w:asciiTheme="minorBidi" w:hAnsiTheme="minorBidi"/>
        </w:rPr>
        <w:t>La Lucia Ridge</w:t>
      </w:r>
    </w:p>
    <w:p w14:paraId="3043C5C5" w14:textId="77777777" w:rsidR="00970BA2" w:rsidRPr="007B0DD3" w:rsidRDefault="00970BA2" w:rsidP="00F05CDC">
      <w:pPr>
        <w:spacing w:line="360" w:lineRule="auto"/>
        <w:ind w:right="-82"/>
        <w:jc w:val="both"/>
        <w:rPr>
          <w:rFonts w:asciiTheme="minorBidi" w:hAnsiTheme="minorBidi"/>
        </w:rPr>
      </w:pPr>
      <w:r>
        <w:rPr>
          <w:rFonts w:asciiTheme="minorBidi" w:hAnsiTheme="minorBidi"/>
        </w:rPr>
        <w:tab/>
      </w:r>
    </w:p>
    <w:p w14:paraId="3306F102" w14:textId="77777777" w:rsidR="00C411A6" w:rsidRDefault="00C411A6" w:rsidP="00970BA2">
      <w:pPr>
        <w:spacing w:line="360" w:lineRule="auto"/>
        <w:ind w:right="-82"/>
        <w:jc w:val="both"/>
        <w:rPr>
          <w:rFonts w:asciiTheme="minorBidi" w:eastAsia="Calibri" w:hAnsiTheme="minorBidi"/>
        </w:rPr>
      </w:pPr>
      <w:r>
        <w:rPr>
          <w:rFonts w:asciiTheme="minorBidi" w:eastAsia="Calibri" w:hAnsiTheme="minorBidi"/>
        </w:rPr>
        <w:t>Date of argument</w:t>
      </w:r>
      <w:r w:rsidR="00FF4049">
        <w:rPr>
          <w:rFonts w:asciiTheme="minorBidi" w:eastAsia="Calibri" w:hAnsiTheme="minorBidi"/>
        </w:rPr>
        <w:tab/>
      </w:r>
      <w:r w:rsidR="00FF4049">
        <w:rPr>
          <w:rFonts w:asciiTheme="minorBidi" w:eastAsia="Calibri" w:hAnsiTheme="minorBidi"/>
        </w:rPr>
        <w:tab/>
      </w:r>
      <w:r w:rsidR="00FF4049">
        <w:rPr>
          <w:rFonts w:asciiTheme="minorBidi" w:eastAsia="Calibri" w:hAnsiTheme="minorBidi"/>
        </w:rPr>
        <w:tab/>
      </w:r>
      <w:r w:rsidR="00FF4049">
        <w:rPr>
          <w:rFonts w:asciiTheme="minorBidi" w:eastAsia="Calibri" w:hAnsiTheme="minorBidi"/>
        </w:rPr>
        <w:tab/>
      </w:r>
      <w:r>
        <w:rPr>
          <w:rFonts w:asciiTheme="minorBidi" w:eastAsia="Calibri" w:hAnsiTheme="minorBidi"/>
        </w:rPr>
        <w:t>:</w:t>
      </w:r>
      <w:r>
        <w:rPr>
          <w:rFonts w:asciiTheme="minorBidi" w:eastAsia="Calibri" w:hAnsiTheme="minorBidi"/>
        </w:rPr>
        <w:tab/>
      </w:r>
      <w:r w:rsidR="00465DD2">
        <w:rPr>
          <w:rFonts w:asciiTheme="minorBidi" w:eastAsia="Calibri" w:hAnsiTheme="minorBidi"/>
        </w:rPr>
        <w:t>1</w:t>
      </w:r>
      <w:r w:rsidR="00155F5B">
        <w:rPr>
          <w:rFonts w:asciiTheme="minorBidi" w:eastAsia="Calibri" w:hAnsiTheme="minorBidi"/>
        </w:rPr>
        <w:t>5</w:t>
      </w:r>
      <w:r w:rsidR="00465DD2">
        <w:rPr>
          <w:rFonts w:asciiTheme="minorBidi" w:eastAsia="Calibri" w:hAnsiTheme="minorBidi"/>
        </w:rPr>
        <w:t xml:space="preserve"> </w:t>
      </w:r>
      <w:r w:rsidR="00000ADA">
        <w:rPr>
          <w:rFonts w:asciiTheme="minorBidi" w:eastAsia="Calibri" w:hAnsiTheme="minorBidi"/>
        </w:rPr>
        <w:t>August</w:t>
      </w:r>
      <w:r>
        <w:rPr>
          <w:rFonts w:asciiTheme="minorBidi" w:eastAsia="Calibri" w:hAnsiTheme="minorBidi"/>
        </w:rPr>
        <w:t xml:space="preserve"> 2023</w:t>
      </w:r>
    </w:p>
    <w:p w14:paraId="2C58966C" w14:textId="77777777" w:rsidR="001E1CD2" w:rsidRPr="007B0DD3" w:rsidRDefault="001E1CD2" w:rsidP="00970BA2">
      <w:pPr>
        <w:spacing w:line="360" w:lineRule="auto"/>
        <w:ind w:right="-82"/>
        <w:jc w:val="both"/>
        <w:rPr>
          <w:rFonts w:asciiTheme="minorBidi" w:eastAsia="Calibri" w:hAnsiTheme="minorBidi"/>
        </w:rPr>
      </w:pPr>
    </w:p>
    <w:p w14:paraId="5D8F65A7" w14:textId="0198334C" w:rsidR="00F3519B" w:rsidRDefault="00970BA2" w:rsidP="008418D6">
      <w:pPr>
        <w:spacing w:line="360" w:lineRule="auto"/>
        <w:jc w:val="both"/>
        <w:rPr>
          <w:rFonts w:asciiTheme="minorBidi" w:eastAsia="Calibri" w:hAnsiTheme="minorBidi"/>
        </w:rPr>
      </w:pPr>
      <w:r w:rsidRPr="007B0DD3">
        <w:rPr>
          <w:rFonts w:asciiTheme="minorBidi" w:eastAsia="Calibri" w:hAnsiTheme="minorBidi"/>
        </w:rPr>
        <w:t xml:space="preserve">Date of Judgment </w:t>
      </w:r>
      <w:r w:rsidRPr="007B0DD3">
        <w:rPr>
          <w:rFonts w:asciiTheme="minorBidi" w:eastAsia="Calibri" w:hAnsiTheme="minorBidi"/>
        </w:rPr>
        <w:tab/>
      </w:r>
      <w:r w:rsidRPr="007B0DD3">
        <w:rPr>
          <w:rFonts w:asciiTheme="minorBidi" w:eastAsia="Calibri" w:hAnsiTheme="minorBidi"/>
        </w:rPr>
        <w:tab/>
      </w:r>
      <w:r w:rsidRPr="007B0DD3">
        <w:rPr>
          <w:rFonts w:asciiTheme="minorBidi" w:eastAsia="Calibri" w:hAnsiTheme="minorBidi"/>
        </w:rPr>
        <w:tab/>
      </w:r>
      <w:r w:rsidR="00FF4049">
        <w:rPr>
          <w:rFonts w:asciiTheme="minorBidi" w:eastAsia="Calibri" w:hAnsiTheme="minorBidi"/>
        </w:rPr>
        <w:tab/>
      </w:r>
      <w:r w:rsidRPr="007B0DD3">
        <w:rPr>
          <w:rFonts w:asciiTheme="minorBidi" w:eastAsia="Calibri" w:hAnsiTheme="minorBidi"/>
        </w:rPr>
        <w:t>:</w:t>
      </w:r>
      <w:r w:rsidRPr="007B0DD3">
        <w:rPr>
          <w:rFonts w:asciiTheme="minorBidi" w:eastAsia="Calibri" w:hAnsiTheme="minorBidi"/>
        </w:rPr>
        <w:tab/>
      </w:r>
      <w:r w:rsidR="00CD42BA">
        <w:rPr>
          <w:rFonts w:asciiTheme="minorBidi" w:eastAsia="Calibri" w:hAnsiTheme="minorBidi"/>
        </w:rPr>
        <w:t xml:space="preserve">13 </w:t>
      </w:r>
      <w:r w:rsidR="00A81045">
        <w:rPr>
          <w:rFonts w:asciiTheme="minorBidi" w:eastAsia="Calibri" w:hAnsiTheme="minorBidi"/>
        </w:rPr>
        <w:t xml:space="preserve">September </w:t>
      </w:r>
      <w:r w:rsidRPr="007B0DD3">
        <w:rPr>
          <w:rFonts w:asciiTheme="minorBidi" w:eastAsia="Calibri" w:hAnsiTheme="minorBidi"/>
        </w:rPr>
        <w:t>2023</w:t>
      </w:r>
    </w:p>
    <w:p w14:paraId="613BAF40" w14:textId="77777777" w:rsidR="00A548CC" w:rsidRDefault="00A548CC" w:rsidP="008418D6">
      <w:pPr>
        <w:spacing w:line="360" w:lineRule="auto"/>
        <w:jc w:val="both"/>
        <w:rPr>
          <w:rFonts w:asciiTheme="minorBidi" w:eastAsia="Calibri" w:hAnsiTheme="minorBidi"/>
        </w:rPr>
      </w:pPr>
    </w:p>
    <w:sectPr w:rsidR="00A548CC" w:rsidSect="003B7165">
      <w:headerReference w:type="even" r:id="rId10"/>
      <w:headerReference w:type="defaul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1358C7" w14:textId="77777777" w:rsidR="00625256" w:rsidRDefault="00625256" w:rsidP="00F3519B">
      <w:r>
        <w:separator/>
      </w:r>
    </w:p>
  </w:endnote>
  <w:endnote w:type="continuationSeparator" w:id="0">
    <w:p w14:paraId="58213025" w14:textId="77777777" w:rsidR="00625256" w:rsidRDefault="00625256" w:rsidP="00F35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195777" w14:textId="77777777" w:rsidR="00625256" w:rsidRDefault="00625256" w:rsidP="00F3519B">
      <w:r>
        <w:separator/>
      </w:r>
    </w:p>
  </w:footnote>
  <w:footnote w:type="continuationSeparator" w:id="0">
    <w:p w14:paraId="2874167E" w14:textId="77777777" w:rsidR="00625256" w:rsidRDefault="00625256" w:rsidP="00F3519B">
      <w:r>
        <w:continuationSeparator/>
      </w:r>
    </w:p>
  </w:footnote>
  <w:footnote w:id="1">
    <w:p w14:paraId="3CBFAAF7" w14:textId="6CA92388" w:rsidR="00D076CD" w:rsidRPr="006F12EC" w:rsidRDefault="00D076CD" w:rsidP="006F12EC">
      <w:pPr>
        <w:pStyle w:val="FootnoteText"/>
        <w:keepNext/>
        <w:keepLines/>
        <w:contextualSpacing/>
        <w:jc w:val="both"/>
        <w:rPr>
          <w:rFonts w:ascii="Arial" w:hAnsi="Arial" w:cs="Arial"/>
          <w:lang w:val="en-ZA"/>
        </w:rPr>
      </w:pPr>
      <w:r w:rsidRPr="006F12EC">
        <w:rPr>
          <w:rStyle w:val="FootnoteReference"/>
          <w:rFonts w:ascii="Arial" w:hAnsi="Arial" w:cs="Arial"/>
        </w:rPr>
        <w:footnoteRef/>
      </w:r>
      <w:r w:rsidRPr="006F12EC">
        <w:rPr>
          <w:rFonts w:ascii="Arial" w:hAnsi="Arial" w:cs="Arial"/>
        </w:rPr>
        <w:t xml:space="preserve"> </w:t>
      </w:r>
      <w:r w:rsidRPr="006F12EC">
        <w:rPr>
          <w:rFonts w:ascii="Arial" w:hAnsi="Arial" w:cs="Arial"/>
          <w:bCs/>
        </w:rPr>
        <w:t>Mr Cowan was an attorney of this court and an executive consultant associated with the defendant.</w:t>
      </w:r>
      <w:r w:rsidRPr="006F12EC">
        <w:rPr>
          <w:rFonts w:ascii="Arial" w:hAnsi="Arial" w:cs="Arial"/>
        </w:rPr>
        <w:t xml:space="preserve"> Mnguni J summed up aspects of Mr Cowan’s conduct in his judgment in </w:t>
      </w:r>
      <w:hyperlink r:id="rId1" w:history="1">
        <w:r w:rsidRPr="006F12EC">
          <w:rPr>
            <w:rFonts w:ascii="Arial" w:hAnsi="Arial" w:cs="Arial"/>
            <w:bCs/>
            <w:i/>
          </w:rPr>
          <w:t xml:space="preserve">Stols v Garlicke </w:t>
        </w:r>
        <w:r w:rsidR="00D37B4D" w:rsidRPr="006F12EC">
          <w:rPr>
            <w:rFonts w:ascii="Arial" w:hAnsi="Arial" w:cs="Arial"/>
            <w:bCs/>
            <w:i/>
          </w:rPr>
          <w:t xml:space="preserve">and </w:t>
        </w:r>
        <w:r w:rsidRPr="006F12EC">
          <w:rPr>
            <w:rFonts w:ascii="Arial" w:hAnsi="Arial" w:cs="Arial"/>
            <w:bCs/>
            <w:i/>
          </w:rPr>
          <w:t>Bousfield</w:t>
        </w:r>
        <w:r w:rsidRPr="006F12EC">
          <w:rPr>
            <w:rFonts w:ascii="Arial" w:hAnsi="Arial" w:cs="Arial"/>
            <w:bCs/>
          </w:rPr>
          <w:t xml:space="preserve"> </w:t>
        </w:r>
        <w:r w:rsidR="00D37B4D" w:rsidRPr="00053669">
          <w:rPr>
            <w:rFonts w:ascii="Arial" w:hAnsi="Arial" w:cs="Arial"/>
            <w:bCs/>
            <w:i/>
          </w:rPr>
          <w:t>(PKF (Durban) Incorporated and others as third parties)</w:t>
        </w:r>
        <w:r w:rsidR="00D37B4D" w:rsidRPr="006F12EC">
          <w:rPr>
            <w:rFonts w:ascii="Arial" w:hAnsi="Arial" w:cs="Arial"/>
            <w:bCs/>
            <w:i/>
          </w:rPr>
          <w:t xml:space="preserve"> </w:t>
        </w:r>
        <w:r w:rsidRPr="006F12EC">
          <w:rPr>
            <w:rFonts w:ascii="Arial" w:hAnsi="Arial" w:cs="Arial"/>
            <w:bCs/>
          </w:rPr>
          <w:t>[2020] ZAKZPHC 47</w:t>
        </w:r>
        <w:r w:rsidR="00D37B4D" w:rsidRPr="006F12EC">
          <w:rPr>
            <w:rFonts w:ascii="Arial" w:hAnsi="Arial" w:cs="Arial"/>
            <w:bCs/>
          </w:rPr>
          <w:t>;</w:t>
        </w:r>
        <w:r w:rsidR="00D37B4D" w:rsidRPr="006F12EC">
          <w:rPr>
            <w:rFonts w:ascii="Arial" w:eastAsia="Times New Roman" w:hAnsi="Arial" w:cs="Arial"/>
            <w:lang w:val="en-ZA" w:eastAsia="en-GB" w:bidi="yi-Hebr"/>
          </w:rPr>
          <w:t xml:space="preserve"> </w:t>
        </w:r>
        <w:r w:rsidR="00D37B4D" w:rsidRPr="006F12EC">
          <w:rPr>
            <w:rFonts w:ascii="Arial" w:hAnsi="Arial" w:cs="Arial"/>
            <w:bCs/>
            <w:lang w:val="en-ZA"/>
          </w:rPr>
          <w:t>[2020] 4 All SA 850 (KZP)</w:t>
        </w:r>
        <w:r w:rsidR="00BF1385" w:rsidRPr="006F12EC">
          <w:rPr>
            <w:rFonts w:ascii="Arial" w:hAnsi="Arial" w:cs="Arial"/>
            <w:bCs/>
          </w:rPr>
          <w:t xml:space="preserve"> </w:t>
        </w:r>
      </w:hyperlink>
      <w:r w:rsidRPr="006F12EC">
        <w:rPr>
          <w:rFonts w:ascii="Arial" w:hAnsi="Arial" w:cs="Arial"/>
        </w:rPr>
        <w:t xml:space="preserve"> para 3 when he said: ‘</w:t>
      </w:r>
      <w:r w:rsidR="00D37B4D" w:rsidRPr="006F12EC">
        <w:rPr>
          <w:rFonts w:ascii="Arial" w:hAnsi="Arial" w:cs="Arial"/>
          <w:lang w:val="en-ZA"/>
        </w:rPr>
        <w:t>On 24 November 2010, around 6h50am, Mr Cowan committed suicide. He left a suicide note dated 22 November 2010, wherein he admitted to having committed fraud and misrepresented facts to G and B’s directors by inducing them to authorise certain fraudulent transactions</w:t>
      </w:r>
      <w:r w:rsidRPr="006F12EC">
        <w:rPr>
          <w:rFonts w:ascii="Arial" w:hAnsi="Arial" w:cs="Arial"/>
        </w:rPr>
        <w:t>’.</w:t>
      </w:r>
    </w:p>
  </w:footnote>
  <w:footnote w:id="2">
    <w:p w14:paraId="200E8F3D" w14:textId="77777777" w:rsidR="00D076CD" w:rsidRPr="006F12EC" w:rsidRDefault="00D076CD" w:rsidP="006F12EC">
      <w:pPr>
        <w:pStyle w:val="FootnoteText"/>
        <w:keepNext/>
        <w:keepLines/>
        <w:contextualSpacing/>
        <w:jc w:val="both"/>
        <w:rPr>
          <w:rFonts w:ascii="Arial" w:hAnsi="Arial" w:cs="Arial"/>
          <w:lang w:val="en-ZA"/>
        </w:rPr>
      </w:pPr>
      <w:r w:rsidRPr="006F12EC">
        <w:rPr>
          <w:rStyle w:val="FootnoteReference"/>
          <w:rFonts w:ascii="Arial" w:hAnsi="Arial" w:cs="Arial"/>
        </w:rPr>
        <w:footnoteRef/>
      </w:r>
      <w:r w:rsidRPr="006F12EC">
        <w:rPr>
          <w:rFonts w:ascii="Arial" w:hAnsi="Arial" w:cs="Arial"/>
        </w:rPr>
        <w:t xml:space="preserve"> </w:t>
      </w:r>
      <w:r w:rsidRPr="006F12EC">
        <w:rPr>
          <w:rFonts w:ascii="Arial" w:hAnsi="Arial" w:cs="Arial"/>
          <w:lang w:val="en-ZA"/>
        </w:rPr>
        <w:t>Defined in the deed of cession as being the two liquidators.</w:t>
      </w:r>
    </w:p>
  </w:footnote>
  <w:footnote w:id="3">
    <w:p w14:paraId="6999D1E7" w14:textId="77777777" w:rsidR="00D076CD" w:rsidRPr="006F12EC" w:rsidRDefault="00D076CD" w:rsidP="006F12EC">
      <w:pPr>
        <w:pStyle w:val="FootnoteText"/>
        <w:keepNext/>
        <w:keepLines/>
        <w:contextualSpacing/>
        <w:jc w:val="both"/>
        <w:rPr>
          <w:rFonts w:ascii="Arial" w:hAnsi="Arial" w:cs="Arial"/>
          <w:lang w:val="en-ZA"/>
        </w:rPr>
      </w:pPr>
      <w:r w:rsidRPr="006F12EC">
        <w:rPr>
          <w:rStyle w:val="FootnoteReference"/>
          <w:rFonts w:ascii="Arial" w:hAnsi="Arial" w:cs="Arial"/>
        </w:rPr>
        <w:footnoteRef/>
      </w:r>
      <w:r w:rsidRPr="006F12EC">
        <w:rPr>
          <w:rFonts w:ascii="Arial" w:hAnsi="Arial" w:cs="Arial"/>
        </w:rPr>
        <w:t xml:space="preserve"> </w:t>
      </w:r>
      <w:r w:rsidRPr="006F12EC">
        <w:rPr>
          <w:rFonts w:ascii="Arial" w:hAnsi="Arial" w:cs="Arial"/>
          <w:lang w:val="en-ZA"/>
        </w:rPr>
        <w:t>Defined in the deed of cession as being the applicant.</w:t>
      </w:r>
    </w:p>
  </w:footnote>
  <w:footnote w:id="4">
    <w:p w14:paraId="4D167457" w14:textId="77777777" w:rsidR="00D076CD" w:rsidRPr="006F12EC" w:rsidRDefault="00D076CD" w:rsidP="006F12EC">
      <w:pPr>
        <w:pStyle w:val="FootnoteText"/>
        <w:keepNext/>
        <w:keepLines/>
        <w:contextualSpacing/>
        <w:jc w:val="both"/>
        <w:rPr>
          <w:rFonts w:ascii="Arial" w:hAnsi="Arial" w:cs="Arial"/>
          <w:lang w:val="en-ZA"/>
        </w:rPr>
      </w:pPr>
      <w:r w:rsidRPr="006F12EC">
        <w:rPr>
          <w:rStyle w:val="FootnoteReference"/>
          <w:rFonts w:ascii="Arial" w:hAnsi="Arial" w:cs="Arial"/>
        </w:rPr>
        <w:footnoteRef/>
      </w:r>
      <w:r w:rsidRPr="006F12EC">
        <w:rPr>
          <w:rFonts w:ascii="Arial" w:hAnsi="Arial" w:cs="Arial"/>
        </w:rPr>
        <w:t xml:space="preserve"> </w:t>
      </w:r>
      <w:r w:rsidRPr="006F12EC">
        <w:rPr>
          <w:rFonts w:ascii="Arial" w:hAnsi="Arial" w:cs="Arial"/>
          <w:lang w:val="en-ZA"/>
        </w:rPr>
        <w:t>Defined in the deed of cession as being Cotton King Manufacturing (Pty) Ltd.</w:t>
      </w:r>
    </w:p>
  </w:footnote>
  <w:footnote w:id="5">
    <w:p w14:paraId="717A1D3F" w14:textId="77777777" w:rsidR="00D076CD" w:rsidRPr="006F12EC" w:rsidRDefault="00D076CD" w:rsidP="006F12EC">
      <w:pPr>
        <w:pStyle w:val="ListParagraph"/>
        <w:keepNext/>
        <w:keepLines/>
        <w:tabs>
          <w:tab w:val="left" w:pos="709"/>
        </w:tabs>
        <w:spacing w:after="0" w:line="240" w:lineRule="auto"/>
        <w:ind w:left="0"/>
        <w:jc w:val="both"/>
        <w:rPr>
          <w:rFonts w:ascii="Arial" w:hAnsi="Arial" w:cs="Arial"/>
          <w:sz w:val="20"/>
          <w:szCs w:val="20"/>
          <w:lang w:val="en-ZA"/>
        </w:rPr>
      </w:pPr>
      <w:r w:rsidRPr="006F12EC">
        <w:rPr>
          <w:rStyle w:val="FootnoteReference"/>
          <w:rFonts w:ascii="Arial" w:hAnsi="Arial" w:cs="Arial"/>
          <w:sz w:val="20"/>
          <w:szCs w:val="20"/>
        </w:rPr>
        <w:footnoteRef/>
      </w:r>
      <w:r w:rsidRPr="006F12EC">
        <w:rPr>
          <w:rFonts w:ascii="Arial" w:hAnsi="Arial" w:cs="Arial"/>
          <w:sz w:val="20"/>
          <w:szCs w:val="20"/>
        </w:rPr>
        <w:t xml:space="preserve"> This clause makes no grammatical sense. The deed of cession defines ‘the company’ as being Cotton King. Using the real names of the parties, this sentence would read: ‘Cotton King Manufacturing (Pty) Ltd has erroneously been cited as Cotton King Manufacturing (Pty) Limited and not Cotton King Manufacturing (Pty) Ltd.’ Mr Harpur suggested that what this clause was intended to mean was that the action should have been brought in the name of ‘Cotton King Manufacturing (Pty) Ltd (in liquidation)’ and not simply in the name of Cotton King Manufacturing (Pty) Ltd. Mr Iles thought that explanation likely, but nothing turns on it and I need not hammer some meaning into the sentence. </w:t>
      </w:r>
    </w:p>
  </w:footnote>
  <w:footnote w:id="6">
    <w:p w14:paraId="74C0EC73" w14:textId="374DEA6B" w:rsidR="00D076CD" w:rsidRPr="006F12EC" w:rsidRDefault="00D076CD" w:rsidP="006F12EC">
      <w:pPr>
        <w:pStyle w:val="FootnoteText"/>
        <w:keepNext/>
        <w:keepLines/>
        <w:contextualSpacing/>
        <w:jc w:val="both"/>
        <w:rPr>
          <w:rFonts w:ascii="Arial" w:hAnsi="Arial" w:cs="Arial"/>
          <w:lang w:val="en-ZA"/>
        </w:rPr>
      </w:pPr>
      <w:r w:rsidRPr="006F12EC">
        <w:rPr>
          <w:rStyle w:val="FootnoteReference"/>
          <w:rFonts w:ascii="Arial" w:hAnsi="Arial" w:cs="Arial"/>
        </w:rPr>
        <w:footnoteRef/>
      </w:r>
      <w:r w:rsidRPr="006F12EC">
        <w:rPr>
          <w:rFonts w:ascii="Arial" w:hAnsi="Arial" w:cs="Arial"/>
        </w:rPr>
        <w:t xml:space="preserve"> Uniform </w:t>
      </w:r>
      <w:r w:rsidR="00F9506B" w:rsidRPr="006F12EC">
        <w:rPr>
          <w:rFonts w:ascii="Arial" w:hAnsi="Arial" w:cs="Arial"/>
        </w:rPr>
        <w:t>r</w:t>
      </w:r>
      <w:r w:rsidRPr="006F12EC">
        <w:rPr>
          <w:rFonts w:ascii="Arial" w:hAnsi="Arial" w:cs="Arial"/>
        </w:rPr>
        <w:t xml:space="preserve">ule 29(1); </w:t>
      </w:r>
      <w:r w:rsidRPr="006F12EC">
        <w:rPr>
          <w:rFonts w:ascii="Arial" w:hAnsi="Arial" w:cs="Arial"/>
          <w:i/>
          <w:lang w:val="en-ZA"/>
        </w:rPr>
        <w:t>Jankowiak and another v Parity Insurance Co Ltd</w:t>
      </w:r>
      <w:r w:rsidRPr="006F12EC">
        <w:rPr>
          <w:rFonts w:ascii="Arial" w:hAnsi="Arial" w:cs="Arial"/>
          <w:lang w:val="en-ZA"/>
        </w:rPr>
        <w:t xml:space="preserve"> 1963 (2) SA 286 (W).</w:t>
      </w:r>
    </w:p>
  </w:footnote>
  <w:footnote w:id="7">
    <w:p w14:paraId="283BEDA4" w14:textId="77777777" w:rsidR="00D076CD" w:rsidRPr="006F12EC" w:rsidRDefault="00D076CD" w:rsidP="006F12EC">
      <w:pPr>
        <w:pStyle w:val="FootnoteText"/>
        <w:keepNext/>
        <w:keepLines/>
        <w:contextualSpacing/>
        <w:jc w:val="both"/>
        <w:rPr>
          <w:rFonts w:ascii="Arial" w:hAnsi="Arial" w:cs="Arial"/>
          <w:lang w:val="en-ZA"/>
        </w:rPr>
      </w:pPr>
      <w:r w:rsidRPr="006F12EC">
        <w:rPr>
          <w:rStyle w:val="FootnoteReference"/>
          <w:rFonts w:ascii="Arial" w:hAnsi="Arial" w:cs="Arial"/>
        </w:rPr>
        <w:footnoteRef/>
      </w:r>
      <w:r w:rsidRPr="006F12EC">
        <w:rPr>
          <w:rFonts w:ascii="Arial" w:hAnsi="Arial" w:cs="Arial"/>
        </w:rPr>
        <w:t xml:space="preserve"> </w:t>
      </w:r>
      <w:r w:rsidRPr="006F12EC">
        <w:rPr>
          <w:rFonts w:ascii="Arial" w:hAnsi="Arial" w:cs="Arial"/>
          <w:i/>
          <w:lang w:val="en-ZA"/>
        </w:rPr>
        <w:t>Brummer v Gorfil Brothers Investments (Pty) Ltd</w:t>
      </w:r>
      <w:r w:rsidR="00F9506B" w:rsidRPr="006F12EC">
        <w:rPr>
          <w:rFonts w:ascii="Arial" w:hAnsi="Arial" w:cs="Arial"/>
          <w:i/>
          <w:lang w:val="en-ZA"/>
        </w:rPr>
        <w:t xml:space="preserve"> en andere</w:t>
      </w:r>
      <w:r w:rsidRPr="006F12EC">
        <w:rPr>
          <w:rFonts w:ascii="Arial" w:hAnsi="Arial" w:cs="Arial"/>
          <w:lang w:val="en-ZA"/>
        </w:rPr>
        <w:t xml:space="preserve"> 1999 (3) SA</w:t>
      </w:r>
      <w:r w:rsidR="00F9506B" w:rsidRPr="006F12EC">
        <w:rPr>
          <w:rFonts w:ascii="Arial" w:hAnsi="Arial" w:cs="Arial"/>
          <w:lang w:val="en-ZA"/>
        </w:rPr>
        <w:t xml:space="preserve"> </w:t>
      </w:r>
      <w:r w:rsidRPr="006F12EC">
        <w:rPr>
          <w:rFonts w:ascii="Arial" w:hAnsi="Arial" w:cs="Arial"/>
          <w:lang w:val="en-ZA"/>
        </w:rPr>
        <w:t>389 (SCA)</w:t>
      </w:r>
      <w:r w:rsidR="00F9506B" w:rsidRPr="006F12EC">
        <w:rPr>
          <w:rFonts w:ascii="Arial" w:hAnsi="Arial" w:cs="Arial"/>
          <w:lang w:val="en-ZA"/>
        </w:rPr>
        <w:t xml:space="preserve"> at 410F</w:t>
      </w:r>
      <w:r w:rsidRPr="006F12EC">
        <w:rPr>
          <w:rFonts w:ascii="Arial" w:hAnsi="Arial" w:cs="Arial"/>
          <w:lang w:val="en-ZA"/>
        </w:rPr>
        <w:t>.</w:t>
      </w:r>
    </w:p>
  </w:footnote>
  <w:footnote w:id="8">
    <w:p w14:paraId="1E187BC8" w14:textId="74032F97" w:rsidR="00D076CD" w:rsidRPr="006F12EC" w:rsidRDefault="00D076CD" w:rsidP="006F12EC">
      <w:pPr>
        <w:pStyle w:val="FootnoteText"/>
        <w:keepNext/>
        <w:keepLines/>
        <w:contextualSpacing/>
        <w:jc w:val="both"/>
        <w:rPr>
          <w:rFonts w:ascii="Arial" w:hAnsi="Arial" w:cs="Arial"/>
          <w:lang w:val="en-ZA"/>
        </w:rPr>
      </w:pPr>
      <w:r w:rsidRPr="006F12EC">
        <w:rPr>
          <w:rStyle w:val="FootnoteReference"/>
          <w:rFonts w:ascii="Arial" w:hAnsi="Arial" w:cs="Arial"/>
        </w:rPr>
        <w:footnoteRef/>
      </w:r>
      <w:r w:rsidRPr="006F12EC">
        <w:rPr>
          <w:rFonts w:ascii="Arial" w:hAnsi="Arial" w:cs="Arial"/>
        </w:rPr>
        <w:t xml:space="preserve"> </w:t>
      </w:r>
      <w:r w:rsidRPr="006F12EC">
        <w:rPr>
          <w:rFonts w:ascii="Arial" w:hAnsi="Arial" w:cs="Arial"/>
          <w:i/>
        </w:rPr>
        <w:t>Tecmed</w:t>
      </w:r>
      <w:r w:rsidR="006E5C23" w:rsidRPr="006F12EC">
        <w:rPr>
          <w:rFonts w:ascii="Arial" w:hAnsi="Arial" w:cs="Arial"/>
          <w:i/>
        </w:rPr>
        <w:t xml:space="preserve"> (Pty) </w:t>
      </w:r>
      <w:r w:rsidR="00D90381" w:rsidRPr="006F12EC">
        <w:rPr>
          <w:rFonts w:ascii="Arial" w:hAnsi="Arial" w:cs="Arial"/>
          <w:i/>
        </w:rPr>
        <w:t xml:space="preserve">Ltd </w:t>
      </w:r>
      <w:r w:rsidR="006E5C23" w:rsidRPr="006F12EC">
        <w:rPr>
          <w:rFonts w:ascii="Arial" w:hAnsi="Arial" w:cs="Arial"/>
          <w:i/>
        </w:rPr>
        <w:t>and others</w:t>
      </w:r>
      <w:r w:rsidRPr="006F12EC">
        <w:rPr>
          <w:rFonts w:ascii="Arial" w:hAnsi="Arial" w:cs="Arial"/>
          <w:i/>
        </w:rPr>
        <w:t xml:space="preserve"> v Nissho Iwai</w:t>
      </w:r>
      <w:r w:rsidR="006E5C23" w:rsidRPr="006F12EC">
        <w:rPr>
          <w:rFonts w:ascii="Arial" w:hAnsi="Arial" w:cs="Arial"/>
          <w:i/>
        </w:rPr>
        <w:t xml:space="preserve"> Corporation and another</w:t>
      </w:r>
      <w:r w:rsidRPr="006F12EC">
        <w:rPr>
          <w:rFonts w:ascii="Arial" w:hAnsi="Arial" w:cs="Arial"/>
        </w:rPr>
        <w:t xml:space="preserve"> </w:t>
      </w:r>
      <w:r w:rsidR="006E5C23" w:rsidRPr="006F12EC">
        <w:rPr>
          <w:rFonts w:ascii="Arial" w:hAnsi="Arial" w:cs="Arial"/>
        </w:rPr>
        <w:t xml:space="preserve">[2010] ZASCA 143; </w:t>
      </w:r>
      <w:r w:rsidRPr="006F12EC">
        <w:rPr>
          <w:rFonts w:ascii="Arial" w:hAnsi="Arial" w:cs="Arial"/>
        </w:rPr>
        <w:t>2011 (1) SA 35 (SCA) para 14.</w:t>
      </w:r>
    </w:p>
  </w:footnote>
  <w:footnote w:id="9">
    <w:p w14:paraId="2C515AE9" w14:textId="4326EB3B" w:rsidR="00D076CD" w:rsidRPr="006F12EC" w:rsidRDefault="00D076CD" w:rsidP="006F12EC">
      <w:pPr>
        <w:pStyle w:val="FootnoteText"/>
        <w:keepNext/>
        <w:keepLines/>
        <w:contextualSpacing/>
        <w:jc w:val="both"/>
        <w:rPr>
          <w:rFonts w:ascii="Arial" w:hAnsi="Arial" w:cs="Arial"/>
          <w:lang w:val="en-ZA"/>
        </w:rPr>
      </w:pPr>
      <w:r w:rsidRPr="006F12EC">
        <w:rPr>
          <w:rStyle w:val="FootnoteReference"/>
          <w:rFonts w:ascii="Arial" w:hAnsi="Arial" w:cs="Arial"/>
        </w:rPr>
        <w:footnoteRef/>
      </w:r>
      <w:r w:rsidRPr="006F12EC">
        <w:rPr>
          <w:rFonts w:ascii="Arial" w:hAnsi="Arial" w:cs="Arial"/>
        </w:rPr>
        <w:t xml:space="preserve"> </w:t>
      </w:r>
      <w:r w:rsidRPr="006F12EC">
        <w:rPr>
          <w:rFonts w:ascii="Arial" w:hAnsi="Arial" w:cs="Arial"/>
          <w:lang w:val="en-ZA"/>
        </w:rPr>
        <w:t>Ibid para 20.</w:t>
      </w:r>
    </w:p>
  </w:footnote>
  <w:footnote w:id="10">
    <w:p w14:paraId="48195969" w14:textId="471B008A" w:rsidR="00D076CD" w:rsidRPr="006F12EC" w:rsidRDefault="00D076CD" w:rsidP="006F12EC">
      <w:pPr>
        <w:keepNext/>
        <w:keepLines/>
        <w:contextualSpacing/>
        <w:jc w:val="both"/>
        <w:rPr>
          <w:rFonts w:ascii="Arial" w:hAnsi="Arial" w:cs="Arial"/>
          <w:color w:val="000000" w:themeColor="text1"/>
          <w:sz w:val="20"/>
          <w:szCs w:val="20"/>
          <w:lang w:val="en-US"/>
        </w:rPr>
      </w:pPr>
      <w:r w:rsidRPr="006F12EC">
        <w:rPr>
          <w:rStyle w:val="FootnoteReference"/>
          <w:rFonts w:ascii="Arial" w:hAnsi="Arial" w:cs="Arial"/>
          <w:color w:val="000000" w:themeColor="text1"/>
          <w:sz w:val="20"/>
          <w:szCs w:val="20"/>
        </w:rPr>
        <w:footnoteRef/>
      </w:r>
      <w:r w:rsidRPr="006F12EC">
        <w:rPr>
          <w:rFonts w:ascii="Arial" w:hAnsi="Arial" w:cs="Arial"/>
          <w:color w:val="000000" w:themeColor="text1"/>
          <w:sz w:val="20"/>
          <w:szCs w:val="20"/>
        </w:rPr>
        <w:t xml:space="preserve"> Ibid </w:t>
      </w:r>
      <w:r w:rsidRPr="006F12EC">
        <w:rPr>
          <w:rFonts w:ascii="Arial" w:hAnsi="Arial" w:cs="Arial"/>
          <w:color w:val="000000" w:themeColor="text1"/>
          <w:sz w:val="20"/>
          <w:szCs w:val="20"/>
          <w:lang w:val="en-US"/>
        </w:rPr>
        <w:t>para</w:t>
      </w:r>
      <w:r w:rsidR="006E5C23" w:rsidRPr="006F12EC">
        <w:rPr>
          <w:rFonts w:ascii="Arial" w:hAnsi="Arial" w:cs="Arial"/>
          <w:color w:val="000000" w:themeColor="text1"/>
          <w:sz w:val="20"/>
          <w:szCs w:val="20"/>
          <w:lang w:val="en-US"/>
        </w:rPr>
        <w:t>s</w:t>
      </w:r>
      <w:r w:rsidRPr="006F12EC">
        <w:rPr>
          <w:rFonts w:ascii="Arial" w:hAnsi="Arial" w:cs="Arial"/>
          <w:color w:val="000000" w:themeColor="text1"/>
          <w:sz w:val="20"/>
          <w:szCs w:val="20"/>
          <w:lang w:val="en-US"/>
        </w:rPr>
        <w:t xml:space="preserve"> 13-14.</w:t>
      </w:r>
    </w:p>
  </w:footnote>
  <w:footnote w:id="11">
    <w:p w14:paraId="0F87F6E7" w14:textId="77777777" w:rsidR="00D076CD" w:rsidRPr="006F12EC" w:rsidRDefault="00D076CD" w:rsidP="006F12EC">
      <w:pPr>
        <w:pStyle w:val="ListParagraph"/>
        <w:keepNext/>
        <w:keepLines/>
        <w:spacing w:after="0" w:line="240" w:lineRule="auto"/>
        <w:ind w:left="0"/>
        <w:jc w:val="both"/>
        <w:rPr>
          <w:rFonts w:ascii="Arial" w:hAnsi="Arial" w:cs="Arial"/>
          <w:sz w:val="20"/>
          <w:szCs w:val="20"/>
          <w:lang w:val="en-US"/>
        </w:rPr>
      </w:pPr>
      <w:r w:rsidRPr="006F12EC">
        <w:rPr>
          <w:rStyle w:val="FootnoteReference"/>
          <w:rFonts w:ascii="Arial" w:hAnsi="Arial" w:cs="Arial"/>
          <w:sz w:val="20"/>
          <w:szCs w:val="20"/>
        </w:rPr>
        <w:footnoteRef/>
      </w:r>
      <w:r w:rsidRPr="006F12EC">
        <w:rPr>
          <w:rFonts w:ascii="Arial" w:hAnsi="Arial" w:cs="Arial"/>
          <w:sz w:val="20"/>
          <w:szCs w:val="20"/>
        </w:rPr>
        <w:t xml:space="preserve"> </w:t>
      </w:r>
      <w:r w:rsidRPr="006F12EC">
        <w:rPr>
          <w:rFonts w:ascii="Arial" w:hAnsi="Arial" w:cs="Arial"/>
          <w:i/>
          <w:iCs/>
          <w:color w:val="000000"/>
          <w:sz w:val="20"/>
          <w:szCs w:val="20"/>
        </w:rPr>
        <w:t>Van Wyk v Unitas Hospital and another (Open Democratic Advice Centre as Amicus Curiae)</w:t>
      </w:r>
      <w:r w:rsidRPr="006F12EC">
        <w:rPr>
          <w:rFonts w:ascii="Arial" w:hAnsi="Arial" w:cs="Arial"/>
          <w:color w:val="000000"/>
          <w:sz w:val="20"/>
          <w:szCs w:val="20"/>
        </w:rPr>
        <w:t> [2007] ZACC 24; 2008 (2) SA 472 (CC) para 20.</w:t>
      </w:r>
    </w:p>
    <w:p w14:paraId="6E17A2A7" w14:textId="77777777" w:rsidR="00D076CD" w:rsidRPr="006F12EC" w:rsidRDefault="00D076CD" w:rsidP="006F12EC">
      <w:pPr>
        <w:pStyle w:val="FootnoteText"/>
        <w:keepNext/>
        <w:keepLines/>
        <w:contextualSpacing/>
        <w:jc w:val="both"/>
        <w:rPr>
          <w:rFonts w:ascii="Arial" w:hAnsi="Arial" w:cs="Arial"/>
          <w:lang w:val="en-ZA"/>
        </w:rPr>
      </w:pPr>
    </w:p>
  </w:footnote>
  <w:footnote w:id="12">
    <w:p w14:paraId="1BC7DD5A" w14:textId="77777777" w:rsidR="00D076CD" w:rsidRPr="006F12EC" w:rsidRDefault="00D076CD" w:rsidP="006F12EC">
      <w:pPr>
        <w:pStyle w:val="NormalWeb"/>
        <w:keepNext/>
        <w:keepLines/>
        <w:shd w:val="clear" w:color="auto" w:fill="FFFFFF"/>
        <w:tabs>
          <w:tab w:val="left" w:pos="709"/>
        </w:tabs>
        <w:spacing w:before="0" w:beforeAutospacing="0" w:after="0" w:afterAutospacing="0"/>
        <w:contextualSpacing/>
        <w:jc w:val="both"/>
        <w:rPr>
          <w:rFonts w:ascii="Arial" w:hAnsi="Arial" w:cs="Arial"/>
          <w:sz w:val="20"/>
          <w:szCs w:val="20"/>
          <w:lang w:val="en-US"/>
        </w:rPr>
      </w:pPr>
      <w:r w:rsidRPr="006F12EC">
        <w:rPr>
          <w:rStyle w:val="FootnoteReference"/>
          <w:rFonts w:ascii="Arial" w:hAnsi="Arial" w:cs="Arial"/>
          <w:sz w:val="20"/>
          <w:szCs w:val="20"/>
        </w:rPr>
        <w:footnoteRef/>
      </w:r>
      <w:r w:rsidRPr="006F12EC">
        <w:rPr>
          <w:rFonts w:ascii="Arial" w:hAnsi="Arial" w:cs="Arial"/>
          <w:sz w:val="20"/>
          <w:szCs w:val="20"/>
        </w:rPr>
        <w:t xml:space="preserve"> </w:t>
      </w:r>
      <w:r w:rsidRPr="006F12EC">
        <w:rPr>
          <w:rFonts w:ascii="Arial" w:hAnsi="Arial" w:cs="Arial"/>
          <w:i/>
          <w:iCs/>
          <w:color w:val="242121"/>
          <w:sz w:val="20"/>
          <w:szCs w:val="20"/>
          <w:lang w:val="en-US"/>
        </w:rPr>
        <w:t>Independent Municipal and Allied Trade Union on behalf of Zungu v SA Local Government Bargaining Council and others</w:t>
      </w:r>
      <w:r w:rsidRPr="006F12EC">
        <w:rPr>
          <w:rFonts w:ascii="Arial" w:hAnsi="Arial" w:cs="Arial"/>
          <w:color w:val="242121"/>
          <w:sz w:val="20"/>
          <w:szCs w:val="20"/>
          <w:shd w:val="clear" w:color="auto" w:fill="FFFFFF"/>
          <w:lang w:val="en-US"/>
        </w:rPr>
        <w:t xml:space="preserve"> (2010) 31 ILJ 1413 (LC) para 13.</w:t>
      </w:r>
    </w:p>
  </w:footnote>
  <w:footnote w:id="13">
    <w:p w14:paraId="5D8382C3" w14:textId="77777777" w:rsidR="00D076CD" w:rsidRPr="006F12EC" w:rsidRDefault="00D076CD" w:rsidP="006F12EC">
      <w:pPr>
        <w:pStyle w:val="FootnoteText"/>
        <w:keepNext/>
        <w:keepLines/>
        <w:contextualSpacing/>
        <w:jc w:val="both"/>
        <w:rPr>
          <w:rFonts w:ascii="Arial" w:hAnsi="Arial" w:cs="Arial"/>
          <w:lang w:val="en-ZA"/>
        </w:rPr>
      </w:pPr>
      <w:r w:rsidRPr="006F12EC">
        <w:rPr>
          <w:rStyle w:val="FootnoteReference"/>
          <w:rFonts w:ascii="Arial" w:hAnsi="Arial" w:cs="Arial"/>
        </w:rPr>
        <w:footnoteRef/>
      </w:r>
      <w:r w:rsidRPr="006F12EC">
        <w:rPr>
          <w:rFonts w:ascii="Arial" w:hAnsi="Arial" w:cs="Arial"/>
        </w:rPr>
        <w:t xml:space="preserve"> </w:t>
      </w:r>
      <w:r w:rsidRPr="006F12EC">
        <w:rPr>
          <w:rFonts w:ascii="Arial" w:hAnsi="Arial" w:cs="Arial"/>
          <w:i/>
          <w:lang w:val="en-ZA"/>
        </w:rPr>
        <w:t>Standard General Insurance Co Ltd v Eli Lilly (SA) (Pty) Ltd</w:t>
      </w:r>
      <w:r w:rsidR="00EF7DAB" w:rsidRPr="006F12EC">
        <w:rPr>
          <w:rFonts w:ascii="Arial" w:hAnsi="Arial" w:cs="Arial"/>
          <w:i/>
          <w:lang w:val="en-ZA"/>
        </w:rPr>
        <w:t xml:space="preserve"> (FBC Holdings (Pty) Ltd, third party)</w:t>
      </w:r>
      <w:r w:rsidRPr="006F12EC">
        <w:rPr>
          <w:rFonts w:ascii="Arial" w:hAnsi="Arial" w:cs="Arial"/>
          <w:lang w:val="en-ZA"/>
        </w:rPr>
        <w:t xml:space="preserve"> 1996 (1) SA 382 (W) at 385F-G.</w:t>
      </w:r>
    </w:p>
  </w:footnote>
  <w:footnote w:id="14">
    <w:p w14:paraId="193C4E1B" w14:textId="77777777" w:rsidR="00D076CD" w:rsidRPr="006F12EC" w:rsidRDefault="00D076CD" w:rsidP="006F12EC">
      <w:pPr>
        <w:pStyle w:val="NormalWeb"/>
        <w:keepNext/>
        <w:keepLines/>
        <w:spacing w:before="0" w:beforeAutospacing="0" w:after="0" w:afterAutospacing="0"/>
        <w:contextualSpacing/>
        <w:jc w:val="both"/>
        <w:rPr>
          <w:rFonts w:ascii="Arial" w:hAnsi="Arial" w:cs="Arial"/>
          <w:sz w:val="20"/>
          <w:szCs w:val="20"/>
          <w:lang w:val="en-US"/>
        </w:rPr>
      </w:pPr>
      <w:r w:rsidRPr="006F12EC">
        <w:rPr>
          <w:rStyle w:val="FootnoteReference"/>
          <w:rFonts w:ascii="Arial" w:hAnsi="Arial" w:cs="Arial"/>
          <w:sz w:val="20"/>
          <w:szCs w:val="20"/>
        </w:rPr>
        <w:footnoteRef/>
      </w:r>
      <w:r w:rsidRPr="006F12EC">
        <w:rPr>
          <w:rFonts w:ascii="Arial" w:hAnsi="Arial" w:cs="Arial"/>
          <w:sz w:val="20"/>
          <w:szCs w:val="20"/>
        </w:rPr>
        <w:t xml:space="preserve"> </w:t>
      </w:r>
      <w:r w:rsidRPr="006F12EC">
        <w:rPr>
          <w:rFonts w:ascii="Arial" w:hAnsi="Arial" w:cs="Arial"/>
          <w:i/>
          <w:iCs/>
          <w:sz w:val="20"/>
          <w:szCs w:val="20"/>
        </w:rPr>
        <w:t xml:space="preserve">Grobler v Oosthuizen </w:t>
      </w:r>
      <w:r w:rsidRPr="006F12EC">
        <w:rPr>
          <w:rFonts w:ascii="Arial" w:hAnsi="Arial" w:cs="Arial"/>
          <w:sz w:val="20"/>
          <w:szCs w:val="20"/>
        </w:rPr>
        <w:t xml:space="preserve">[2009] ZASCA 51; 2009 (5) SA 500 (SCA); [2009] 3 All SA 508 (SCA). </w:t>
      </w:r>
    </w:p>
  </w:footnote>
  <w:footnote w:id="15">
    <w:p w14:paraId="398D1E6D" w14:textId="77777777" w:rsidR="00D076CD" w:rsidRPr="006F12EC" w:rsidRDefault="00D076CD" w:rsidP="006F12EC">
      <w:pPr>
        <w:pStyle w:val="FootnoteText"/>
        <w:keepNext/>
        <w:keepLines/>
        <w:contextualSpacing/>
        <w:jc w:val="both"/>
        <w:rPr>
          <w:rFonts w:ascii="Arial" w:hAnsi="Arial" w:cs="Arial"/>
          <w:lang w:val="en-US"/>
        </w:rPr>
      </w:pPr>
      <w:r w:rsidRPr="006F12EC">
        <w:rPr>
          <w:rStyle w:val="FootnoteReference"/>
          <w:rFonts w:ascii="Arial" w:hAnsi="Arial" w:cs="Arial"/>
        </w:rPr>
        <w:footnoteRef/>
      </w:r>
      <w:r w:rsidRPr="006F12EC">
        <w:rPr>
          <w:rFonts w:ascii="Arial" w:hAnsi="Arial" w:cs="Arial"/>
        </w:rPr>
        <w:t xml:space="preserve"> Ibid para 21.</w:t>
      </w:r>
    </w:p>
  </w:footnote>
  <w:footnote w:id="16">
    <w:p w14:paraId="75D51369" w14:textId="788257FD" w:rsidR="00D076CD" w:rsidRPr="006F12EC" w:rsidRDefault="00D076CD" w:rsidP="006F12EC">
      <w:pPr>
        <w:pStyle w:val="NormalWeb"/>
        <w:keepNext/>
        <w:keepLines/>
        <w:spacing w:before="0" w:beforeAutospacing="0" w:after="0" w:afterAutospacing="0"/>
        <w:contextualSpacing/>
        <w:jc w:val="both"/>
        <w:rPr>
          <w:rFonts w:ascii="Arial" w:hAnsi="Arial" w:cs="Arial"/>
          <w:sz w:val="20"/>
          <w:szCs w:val="20"/>
          <w:lang w:val="en-US"/>
        </w:rPr>
      </w:pPr>
      <w:r w:rsidRPr="006F12EC">
        <w:rPr>
          <w:rStyle w:val="FootnoteReference"/>
          <w:rFonts w:ascii="Arial" w:hAnsi="Arial" w:cs="Arial"/>
          <w:sz w:val="20"/>
          <w:szCs w:val="20"/>
        </w:rPr>
        <w:footnoteRef/>
      </w:r>
      <w:r w:rsidRPr="006F12EC">
        <w:rPr>
          <w:rFonts w:ascii="Arial" w:hAnsi="Arial" w:cs="Arial"/>
          <w:sz w:val="20"/>
          <w:szCs w:val="20"/>
        </w:rPr>
        <w:t xml:space="preserve"> </w:t>
      </w:r>
      <w:r w:rsidRPr="006F12EC">
        <w:rPr>
          <w:rFonts w:ascii="Arial" w:hAnsi="Arial" w:cs="Arial"/>
          <w:i/>
          <w:iCs/>
          <w:sz w:val="20"/>
          <w:szCs w:val="20"/>
        </w:rPr>
        <w:t>Kilburn v Estate Kilburn</w:t>
      </w:r>
      <w:r w:rsidRPr="006F12EC">
        <w:rPr>
          <w:rFonts w:ascii="Arial" w:hAnsi="Arial" w:cs="Arial"/>
          <w:sz w:val="20"/>
          <w:szCs w:val="20"/>
        </w:rPr>
        <w:t xml:space="preserve"> 1931 AD 501 </w:t>
      </w:r>
      <w:r w:rsidR="00D70F6D" w:rsidRPr="006F12EC">
        <w:rPr>
          <w:rFonts w:ascii="Arial" w:hAnsi="Arial" w:cs="Arial"/>
          <w:sz w:val="20"/>
          <w:szCs w:val="20"/>
        </w:rPr>
        <w:t>at 506</w:t>
      </w:r>
      <w:r w:rsidRPr="006F12EC">
        <w:rPr>
          <w:rFonts w:ascii="Arial" w:hAnsi="Arial" w:cs="Arial"/>
          <w:sz w:val="20"/>
          <w:szCs w:val="20"/>
        </w:rPr>
        <w:t>.</w:t>
      </w:r>
    </w:p>
  </w:footnote>
  <w:footnote w:id="17">
    <w:p w14:paraId="3818E6D7" w14:textId="77777777" w:rsidR="00D076CD" w:rsidRPr="006F12EC" w:rsidRDefault="00D076CD" w:rsidP="006F12EC">
      <w:pPr>
        <w:pStyle w:val="NormalWeb"/>
        <w:keepNext/>
        <w:keepLines/>
        <w:spacing w:before="0" w:beforeAutospacing="0" w:after="0" w:afterAutospacing="0"/>
        <w:contextualSpacing/>
        <w:jc w:val="both"/>
        <w:rPr>
          <w:rFonts w:ascii="Arial" w:hAnsi="Arial" w:cs="Arial"/>
          <w:sz w:val="20"/>
          <w:szCs w:val="20"/>
          <w:lang w:val="en-US"/>
        </w:rPr>
      </w:pPr>
      <w:r w:rsidRPr="006F12EC">
        <w:rPr>
          <w:rStyle w:val="FootnoteReference"/>
          <w:rFonts w:ascii="Arial" w:hAnsi="Arial" w:cs="Arial"/>
          <w:sz w:val="20"/>
          <w:szCs w:val="20"/>
        </w:rPr>
        <w:footnoteRef/>
      </w:r>
      <w:r w:rsidRPr="006F12EC">
        <w:rPr>
          <w:rFonts w:ascii="Arial" w:hAnsi="Arial" w:cs="Arial"/>
          <w:sz w:val="20"/>
          <w:szCs w:val="20"/>
        </w:rPr>
        <w:t xml:space="preserve"> </w:t>
      </w:r>
      <w:r w:rsidRPr="006F12EC">
        <w:rPr>
          <w:rFonts w:ascii="Arial" w:hAnsi="Arial" w:cs="Arial"/>
          <w:i/>
          <w:iCs/>
          <w:sz w:val="20"/>
          <w:szCs w:val="20"/>
        </w:rPr>
        <w:t xml:space="preserve">Standard Bank of SA </w:t>
      </w:r>
      <w:r w:rsidR="00B746D4" w:rsidRPr="006F12EC">
        <w:rPr>
          <w:rFonts w:ascii="Arial" w:hAnsi="Arial" w:cs="Arial"/>
          <w:i/>
          <w:iCs/>
          <w:sz w:val="20"/>
          <w:szCs w:val="20"/>
        </w:rPr>
        <w:t xml:space="preserve">Ltd </w:t>
      </w:r>
      <w:r w:rsidRPr="006F12EC">
        <w:rPr>
          <w:rFonts w:ascii="Arial" w:hAnsi="Arial" w:cs="Arial"/>
          <w:i/>
          <w:iCs/>
          <w:sz w:val="20"/>
          <w:szCs w:val="20"/>
        </w:rPr>
        <w:t>v Neethling</w:t>
      </w:r>
      <w:r w:rsidR="00B746D4" w:rsidRPr="006F12EC">
        <w:rPr>
          <w:rFonts w:ascii="Arial" w:hAnsi="Arial" w:cs="Arial"/>
          <w:i/>
          <w:iCs/>
          <w:sz w:val="20"/>
          <w:szCs w:val="20"/>
        </w:rPr>
        <w:t>,</w:t>
      </w:r>
      <w:r w:rsidRPr="006F12EC">
        <w:rPr>
          <w:rFonts w:ascii="Arial" w:hAnsi="Arial" w:cs="Arial"/>
          <w:i/>
          <w:iCs/>
          <w:sz w:val="20"/>
          <w:szCs w:val="20"/>
        </w:rPr>
        <w:t xml:space="preserve"> NO </w:t>
      </w:r>
      <w:r w:rsidRPr="006F12EC">
        <w:rPr>
          <w:rFonts w:ascii="Arial" w:hAnsi="Arial" w:cs="Arial"/>
          <w:sz w:val="20"/>
          <w:szCs w:val="20"/>
        </w:rPr>
        <w:t xml:space="preserve">1958 (2) SA 25 (C). </w:t>
      </w:r>
    </w:p>
  </w:footnote>
  <w:footnote w:id="18">
    <w:p w14:paraId="2E5C912F" w14:textId="5B837276" w:rsidR="00D076CD" w:rsidRPr="006F12EC" w:rsidRDefault="00D076CD" w:rsidP="006F12EC">
      <w:pPr>
        <w:pStyle w:val="NormalWeb"/>
        <w:keepNext/>
        <w:keepLines/>
        <w:spacing w:before="0" w:beforeAutospacing="0" w:after="0" w:afterAutospacing="0"/>
        <w:contextualSpacing/>
        <w:jc w:val="both"/>
        <w:rPr>
          <w:rFonts w:ascii="Arial" w:hAnsi="Arial" w:cs="Arial"/>
          <w:sz w:val="20"/>
          <w:szCs w:val="20"/>
          <w:lang w:val="en-US"/>
        </w:rPr>
      </w:pPr>
      <w:r w:rsidRPr="006F12EC">
        <w:rPr>
          <w:rStyle w:val="FootnoteReference"/>
          <w:rFonts w:ascii="Arial" w:hAnsi="Arial" w:cs="Arial"/>
          <w:sz w:val="20"/>
          <w:szCs w:val="20"/>
        </w:rPr>
        <w:footnoteRef/>
      </w:r>
      <w:r w:rsidRPr="006F12EC">
        <w:rPr>
          <w:rFonts w:ascii="Arial" w:hAnsi="Arial" w:cs="Arial"/>
          <w:sz w:val="20"/>
          <w:szCs w:val="20"/>
        </w:rPr>
        <w:t xml:space="preserve"> Ibid at 30A-D.</w:t>
      </w:r>
    </w:p>
  </w:footnote>
  <w:footnote w:id="19">
    <w:p w14:paraId="303A9210" w14:textId="0DB0132F" w:rsidR="00D076CD" w:rsidRPr="006F12EC" w:rsidRDefault="00D076CD" w:rsidP="006F12EC">
      <w:pPr>
        <w:pStyle w:val="NormalWeb"/>
        <w:keepNext/>
        <w:keepLines/>
        <w:spacing w:before="0" w:beforeAutospacing="0" w:after="0" w:afterAutospacing="0"/>
        <w:contextualSpacing/>
        <w:jc w:val="both"/>
        <w:rPr>
          <w:rFonts w:ascii="Arial" w:hAnsi="Arial" w:cs="Arial"/>
          <w:sz w:val="20"/>
          <w:szCs w:val="20"/>
          <w:lang w:val="en-US"/>
        </w:rPr>
      </w:pPr>
      <w:r w:rsidRPr="006F12EC">
        <w:rPr>
          <w:rStyle w:val="FootnoteReference"/>
          <w:rFonts w:ascii="Arial" w:hAnsi="Arial" w:cs="Arial"/>
          <w:sz w:val="20"/>
          <w:szCs w:val="20"/>
        </w:rPr>
        <w:footnoteRef/>
      </w:r>
      <w:r w:rsidRPr="006F12EC">
        <w:rPr>
          <w:rFonts w:ascii="Arial" w:hAnsi="Arial" w:cs="Arial"/>
          <w:sz w:val="20"/>
          <w:szCs w:val="20"/>
        </w:rPr>
        <w:t xml:space="preserve"> </w:t>
      </w:r>
      <w:r w:rsidR="004E38A6" w:rsidRPr="006F12EC">
        <w:rPr>
          <w:rFonts w:ascii="Arial" w:hAnsi="Arial" w:cs="Arial"/>
          <w:i/>
          <w:sz w:val="20"/>
          <w:szCs w:val="20"/>
        </w:rPr>
        <w:t xml:space="preserve">Brayton </w:t>
      </w:r>
      <w:r w:rsidRPr="006F12EC">
        <w:rPr>
          <w:rFonts w:ascii="Arial" w:hAnsi="Arial" w:cs="Arial"/>
          <w:i/>
          <w:iCs/>
          <w:sz w:val="20"/>
          <w:szCs w:val="20"/>
        </w:rPr>
        <w:t>Carlswald</w:t>
      </w:r>
      <w:r w:rsidR="004E38A6" w:rsidRPr="006F12EC">
        <w:rPr>
          <w:rFonts w:ascii="Arial" w:hAnsi="Arial" w:cs="Arial"/>
          <w:i/>
          <w:iCs/>
          <w:sz w:val="20"/>
          <w:szCs w:val="20"/>
        </w:rPr>
        <w:t xml:space="preserve"> (Pty) Ltd</w:t>
      </w:r>
      <w:r w:rsidRPr="006F12EC">
        <w:rPr>
          <w:rFonts w:ascii="Arial" w:hAnsi="Arial" w:cs="Arial"/>
          <w:i/>
          <w:iCs/>
          <w:sz w:val="20"/>
          <w:szCs w:val="20"/>
        </w:rPr>
        <w:t xml:space="preserve"> and another v Brews </w:t>
      </w:r>
      <w:r w:rsidRPr="006F12EC">
        <w:rPr>
          <w:rFonts w:ascii="Arial" w:hAnsi="Arial" w:cs="Arial"/>
          <w:sz w:val="20"/>
          <w:szCs w:val="20"/>
        </w:rPr>
        <w:t>[2017] ZASCA 68</w:t>
      </w:r>
      <w:r w:rsidR="000F66DA" w:rsidRPr="006F12EC">
        <w:rPr>
          <w:rFonts w:ascii="Arial" w:hAnsi="Arial" w:cs="Arial"/>
          <w:sz w:val="20"/>
          <w:szCs w:val="20"/>
        </w:rPr>
        <w:t>; 2017 (5) SA 498 (SCA)</w:t>
      </w:r>
      <w:r w:rsidR="004E38A6" w:rsidRPr="006F12EC">
        <w:rPr>
          <w:rFonts w:ascii="Arial" w:hAnsi="Arial" w:cs="Arial"/>
          <w:sz w:val="20"/>
          <w:szCs w:val="20"/>
        </w:rPr>
        <w:t xml:space="preserve"> </w:t>
      </w:r>
      <w:r w:rsidRPr="006F12EC">
        <w:rPr>
          <w:rFonts w:ascii="Arial" w:hAnsi="Arial" w:cs="Arial"/>
          <w:sz w:val="20"/>
          <w:szCs w:val="20"/>
        </w:rPr>
        <w:t>para 20</w:t>
      </w:r>
      <w:r w:rsidR="00E3280E" w:rsidRPr="006F12EC">
        <w:rPr>
          <w:rFonts w:ascii="Arial" w:hAnsi="Arial" w:cs="Arial"/>
          <w:sz w:val="20"/>
          <w:szCs w:val="20"/>
        </w:rPr>
        <w:t>, referencing</w:t>
      </w:r>
      <w:r w:rsidRPr="006F12EC">
        <w:rPr>
          <w:rFonts w:ascii="Arial" w:hAnsi="Arial" w:cs="Arial"/>
          <w:sz w:val="20"/>
          <w:szCs w:val="20"/>
        </w:rPr>
        <w:t xml:space="preserve"> </w:t>
      </w:r>
      <w:r w:rsidRPr="006F12EC">
        <w:rPr>
          <w:rFonts w:ascii="Arial" w:hAnsi="Arial" w:cs="Arial"/>
          <w:i/>
          <w:iCs/>
          <w:sz w:val="20"/>
          <w:szCs w:val="20"/>
        </w:rPr>
        <w:t xml:space="preserve">First National Bank of SA Ltd v Lynn NO </w:t>
      </w:r>
      <w:r w:rsidR="00E3280E" w:rsidRPr="006F12EC">
        <w:rPr>
          <w:rFonts w:ascii="Arial" w:hAnsi="Arial" w:cs="Arial"/>
          <w:i/>
          <w:iCs/>
          <w:sz w:val="20"/>
          <w:szCs w:val="20"/>
        </w:rPr>
        <w:t xml:space="preserve">and </w:t>
      </w:r>
      <w:r w:rsidRPr="006F12EC">
        <w:rPr>
          <w:rFonts w:ascii="Arial" w:hAnsi="Arial" w:cs="Arial"/>
          <w:i/>
          <w:iCs/>
          <w:sz w:val="20"/>
          <w:szCs w:val="20"/>
        </w:rPr>
        <w:t xml:space="preserve">others </w:t>
      </w:r>
      <w:r w:rsidRPr="006F12EC">
        <w:rPr>
          <w:rFonts w:ascii="Arial" w:hAnsi="Arial" w:cs="Arial"/>
          <w:sz w:val="20"/>
          <w:szCs w:val="20"/>
        </w:rPr>
        <w:t xml:space="preserve">1996 (2) SA 339 (A) at 346C. </w:t>
      </w:r>
    </w:p>
  </w:footnote>
  <w:footnote w:id="20">
    <w:p w14:paraId="52024F6C" w14:textId="36DCB0A4" w:rsidR="00C42A88" w:rsidRPr="006F12EC" w:rsidRDefault="00C42A88" w:rsidP="006F12EC">
      <w:pPr>
        <w:pStyle w:val="FootnoteText"/>
        <w:keepNext/>
        <w:keepLines/>
        <w:contextualSpacing/>
        <w:jc w:val="both"/>
        <w:rPr>
          <w:rFonts w:ascii="Arial" w:hAnsi="Arial" w:cs="Arial"/>
          <w:lang w:val="en-ZA"/>
        </w:rPr>
      </w:pPr>
      <w:r w:rsidRPr="006F12EC">
        <w:rPr>
          <w:rStyle w:val="FootnoteReference"/>
          <w:rFonts w:ascii="Arial" w:hAnsi="Arial" w:cs="Arial"/>
        </w:rPr>
        <w:footnoteRef/>
      </w:r>
      <w:r w:rsidRPr="006F12EC">
        <w:rPr>
          <w:rFonts w:ascii="Arial" w:hAnsi="Arial" w:cs="Arial"/>
        </w:rPr>
        <w:t xml:space="preserve"> </w:t>
      </w:r>
      <w:r w:rsidR="005F7DBB" w:rsidRPr="006F12EC">
        <w:rPr>
          <w:rFonts w:ascii="Arial" w:hAnsi="Arial" w:cs="Arial"/>
          <w:i/>
        </w:rPr>
        <w:t>Van Rensburg v Condoprops 42 (Pty) Ltd</w:t>
      </w:r>
      <w:r w:rsidR="005F7DBB" w:rsidRPr="006F12EC">
        <w:rPr>
          <w:rFonts w:ascii="Arial" w:hAnsi="Arial" w:cs="Arial"/>
        </w:rPr>
        <w:t xml:space="preserve"> 2009 (6) SA 539 (E).</w:t>
      </w:r>
    </w:p>
  </w:footnote>
  <w:footnote w:id="21">
    <w:p w14:paraId="3DADB362" w14:textId="77777777" w:rsidR="00D076CD" w:rsidRPr="006F12EC" w:rsidRDefault="00D076CD" w:rsidP="006F12EC">
      <w:pPr>
        <w:pStyle w:val="FootnoteText"/>
        <w:keepNext/>
        <w:keepLines/>
        <w:contextualSpacing/>
        <w:jc w:val="both"/>
        <w:rPr>
          <w:rFonts w:ascii="Arial" w:hAnsi="Arial" w:cs="Arial"/>
          <w:lang w:val="en-ZA"/>
        </w:rPr>
      </w:pPr>
      <w:r w:rsidRPr="006F12EC">
        <w:rPr>
          <w:rStyle w:val="FootnoteReference"/>
          <w:rFonts w:ascii="Arial" w:hAnsi="Arial" w:cs="Arial"/>
        </w:rPr>
        <w:footnoteRef/>
      </w:r>
      <w:r w:rsidRPr="006F12EC">
        <w:rPr>
          <w:rFonts w:ascii="Arial" w:hAnsi="Arial" w:cs="Arial"/>
        </w:rPr>
        <w:t xml:space="preserve"> </w:t>
      </w:r>
      <w:r w:rsidRPr="006F12EC">
        <w:rPr>
          <w:rFonts w:ascii="Arial" w:hAnsi="Arial" w:cs="Arial"/>
          <w:i/>
          <w:lang w:val="en-ZA"/>
        </w:rPr>
        <w:t>General Finance Co (Pvt) Ltd v Robertson</w:t>
      </w:r>
      <w:r w:rsidRPr="006F12EC">
        <w:rPr>
          <w:rFonts w:ascii="Arial" w:hAnsi="Arial" w:cs="Arial"/>
          <w:lang w:val="en-ZA"/>
        </w:rPr>
        <w:t xml:space="preserve"> 1980 (4) SA 122 (ZA) at 124</w:t>
      </w:r>
      <w:r w:rsidR="00F6271D" w:rsidRPr="006F12EC">
        <w:rPr>
          <w:rFonts w:ascii="Arial" w:hAnsi="Arial" w:cs="Arial"/>
          <w:lang w:val="en-ZA"/>
        </w:rPr>
        <w:t>A</w:t>
      </w:r>
      <w:r w:rsidRPr="006F12EC">
        <w:rPr>
          <w:rFonts w:ascii="Arial" w:hAnsi="Arial" w:cs="Arial"/>
          <w:lang w:val="en-ZA"/>
        </w:rPr>
        <w:t>.</w:t>
      </w:r>
    </w:p>
  </w:footnote>
  <w:footnote w:id="22">
    <w:p w14:paraId="4BC78593" w14:textId="5533D966" w:rsidR="00D076CD" w:rsidRPr="006F12EC" w:rsidRDefault="00D076CD" w:rsidP="006F12EC">
      <w:pPr>
        <w:pStyle w:val="FootnoteText"/>
        <w:keepNext/>
        <w:keepLines/>
        <w:contextualSpacing/>
        <w:jc w:val="both"/>
        <w:rPr>
          <w:rFonts w:ascii="Arial" w:hAnsi="Arial" w:cs="Arial"/>
          <w:lang w:val="en-ZA"/>
        </w:rPr>
      </w:pPr>
      <w:r w:rsidRPr="006F12EC">
        <w:rPr>
          <w:rStyle w:val="FootnoteReference"/>
          <w:rFonts w:ascii="Arial" w:hAnsi="Arial" w:cs="Arial"/>
        </w:rPr>
        <w:footnoteRef/>
      </w:r>
      <w:r w:rsidRPr="006F12EC">
        <w:rPr>
          <w:rFonts w:ascii="Arial" w:hAnsi="Arial" w:cs="Arial"/>
        </w:rPr>
        <w:t xml:space="preserve"> </w:t>
      </w:r>
      <w:r w:rsidRPr="006F12EC">
        <w:rPr>
          <w:rFonts w:ascii="Arial" w:hAnsi="Arial" w:cs="Arial"/>
          <w:i/>
          <w:lang w:val="en-ZA"/>
        </w:rPr>
        <w:t xml:space="preserve">Sentrachem Limited v Terreblanche </w:t>
      </w:r>
      <w:r w:rsidRPr="006F12EC">
        <w:rPr>
          <w:rFonts w:ascii="Arial" w:hAnsi="Arial" w:cs="Arial"/>
          <w:lang w:val="en-ZA"/>
        </w:rPr>
        <w:t>[2017] ZASCA 16 para 17.</w:t>
      </w:r>
    </w:p>
  </w:footnote>
  <w:footnote w:id="23">
    <w:p w14:paraId="405C437A" w14:textId="4127FD5D" w:rsidR="001748BC" w:rsidRPr="006F12EC" w:rsidRDefault="001748BC" w:rsidP="006F12EC">
      <w:pPr>
        <w:pStyle w:val="FootnoteText"/>
        <w:keepNext/>
        <w:keepLines/>
        <w:contextualSpacing/>
        <w:jc w:val="both"/>
        <w:rPr>
          <w:rFonts w:ascii="Arial" w:hAnsi="Arial" w:cs="Arial"/>
          <w:lang w:val="en-ZA"/>
        </w:rPr>
      </w:pPr>
      <w:r w:rsidRPr="006F12EC">
        <w:rPr>
          <w:rStyle w:val="FootnoteReference"/>
          <w:rFonts w:ascii="Arial" w:hAnsi="Arial" w:cs="Arial"/>
        </w:rPr>
        <w:footnoteRef/>
      </w:r>
      <w:r w:rsidRPr="006F12EC">
        <w:rPr>
          <w:rFonts w:ascii="Arial" w:hAnsi="Arial" w:cs="Arial"/>
        </w:rPr>
        <w:t xml:space="preserve"> </w:t>
      </w:r>
      <w:r w:rsidRPr="006F12EC">
        <w:rPr>
          <w:rFonts w:ascii="Arial" w:hAnsi="Arial" w:cs="Arial"/>
          <w:i/>
        </w:rPr>
        <w:t>Van Rensburg v Condoprops 42 (Pty) Ltd</w:t>
      </w:r>
      <w:r w:rsidRPr="006F12EC">
        <w:rPr>
          <w:rFonts w:ascii="Arial" w:hAnsi="Arial" w:cs="Arial"/>
        </w:rPr>
        <w:t xml:space="preserve"> 2009 (6) SA 539 (E).</w:t>
      </w:r>
    </w:p>
  </w:footnote>
  <w:footnote w:id="24">
    <w:p w14:paraId="2E956874" w14:textId="362FB46C" w:rsidR="001748BC" w:rsidRPr="006F12EC" w:rsidRDefault="001748BC" w:rsidP="006F12EC">
      <w:pPr>
        <w:pStyle w:val="FootnoteText"/>
        <w:keepNext/>
        <w:keepLines/>
        <w:contextualSpacing/>
        <w:jc w:val="both"/>
        <w:rPr>
          <w:rFonts w:ascii="Arial" w:hAnsi="Arial" w:cs="Arial"/>
          <w:lang w:val="en-ZA"/>
        </w:rPr>
      </w:pPr>
      <w:r w:rsidRPr="006F12EC">
        <w:rPr>
          <w:rStyle w:val="FootnoteReference"/>
          <w:rFonts w:ascii="Arial" w:hAnsi="Arial" w:cs="Arial"/>
        </w:rPr>
        <w:footnoteRef/>
      </w:r>
      <w:r w:rsidRPr="006F12EC">
        <w:rPr>
          <w:rFonts w:ascii="Arial" w:hAnsi="Arial" w:cs="Arial"/>
        </w:rPr>
        <w:t xml:space="preserve"> </w:t>
      </w:r>
      <w:r w:rsidRPr="006F12EC">
        <w:rPr>
          <w:rFonts w:ascii="Arial" w:hAnsi="Arial" w:cs="Arial"/>
          <w:lang w:val="en-ZA"/>
        </w:rPr>
        <w:t>Ibid para 4.</w:t>
      </w:r>
    </w:p>
  </w:footnote>
  <w:footnote w:id="25">
    <w:p w14:paraId="34D4E868" w14:textId="5421D9E0" w:rsidR="00C42A88" w:rsidRPr="006F12EC" w:rsidRDefault="00C42A88" w:rsidP="006F12EC">
      <w:pPr>
        <w:pStyle w:val="Heading2"/>
        <w:keepNext/>
        <w:keepLines/>
        <w:shd w:val="clear" w:color="auto" w:fill="FFFFFF"/>
        <w:spacing w:before="0" w:beforeAutospacing="0" w:after="0" w:afterAutospacing="0"/>
        <w:contextualSpacing/>
        <w:jc w:val="both"/>
        <w:rPr>
          <w:rFonts w:ascii="Arial" w:hAnsi="Arial" w:cs="Arial"/>
          <w:b w:val="0"/>
          <w:bCs w:val="0"/>
          <w:sz w:val="20"/>
          <w:szCs w:val="20"/>
          <w:lang w:val="en-GB" w:bidi="ar-SA"/>
        </w:rPr>
      </w:pPr>
      <w:r w:rsidRPr="006A3FF5">
        <w:rPr>
          <w:rStyle w:val="FootnoteReference"/>
          <w:rFonts w:ascii="Arial" w:hAnsi="Arial" w:cs="Arial"/>
          <w:b w:val="0"/>
          <w:sz w:val="20"/>
          <w:szCs w:val="20"/>
        </w:rPr>
        <w:footnoteRef/>
      </w:r>
      <w:r w:rsidRPr="006F12EC">
        <w:rPr>
          <w:rFonts w:ascii="Arial" w:hAnsi="Arial" w:cs="Arial"/>
          <w:sz w:val="20"/>
          <w:szCs w:val="20"/>
        </w:rPr>
        <w:t xml:space="preserve"> </w:t>
      </w:r>
      <w:r w:rsidRPr="006F12EC">
        <w:rPr>
          <w:rFonts w:ascii="Arial" w:hAnsi="Arial" w:cs="Arial"/>
          <w:b w:val="0"/>
          <w:bCs w:val="0"/>
          <w:i/>
          <w:sz w:val="20"/>
          <w:szCs w:val="20"/>
          <w:lang w:val="en-GB" w:bidi="ar-SA"/>
        </w:rPr>
        <w:t>Kemp t/a Centralmed v Rawlins</w:t>
      </w:r>
      <w:r w:rsidRPr="006F12EC">
        <w:rPr>
          <w:rFonts w:ascii="Arial" w:hAnsi="Arial" w:cs="Arial"/>
          <w:b w:val="0"/>
          <w:bCs w:val="0"/>
          <w:sz w:val="20"/>
          <w:szCs w:val="20"/>
          <w:lang w:val="en-GB" w:bidi="ar-SA"/>
        </w:rPr>
        <w:t xml:space="preserve"> [2009] ZALAC 8; [2009] 11 BLLR 1027 (LAC); (2009) 30 ILJ 2677 (LAC) para 4.</w:t>
      </w:r>
    </w:p>
    <w:p w14:paraId="66E4B572" w14:textId="77777777" w:rsidR="00C42A88" w:rsidRPr="006F12EC" w:rsidRDefault="00C42A88" w:rsidP="006F12EC">
      <w:pPr>
        <w:pStyle w:val="FootnoteText"/>
        <w:keepNext/>
        <w:keepLines/>
        <w:contextualSpacing/>
        <w:jc w:val="both"/>
        <w:rPr>
          <w:rFonts w:ascii="Arial" w:hAnsi="Arial" w:cs="Arial"/>
          <w:lang w:val="en-ZA"/>
        </w:rPr>
      </w:pPr>
    </w:p>
  </w:footnote>
  <w:footnote w:id="26">
    <w:p w14:paraId="5C276CA7" w14:textId="3B73C1E2" w:rsidR="006F12EC" w:rsidRPr="006F12EC" w:rsidRDefault="006F12EC" w:rsidP="006F12EC">
      <w:pPr>
        <w:pStyle w:val="FootnoteText"/>
        <w:contextualSpacing/>
        <w:jc w:val="both"/>
        <w:rPr>
          <w:rFonts w:ascii="Arial" w:hAnsi="Arial" w:cs="Arial"/>
        </w:rPr>
      </w:pPr>
      <w:r w:rsidRPr="006F12EC">
        <w:rPr>
          <w:rStyle w:val="FootnoteReference"/>
          <w:rFonts w:ascii="Arial" w:hAnsi="Arial" w:cs="Arial"/>
        </w:rPr>
        <w:footnoteRef/>
      </w:r>
      <w:r w:rsidRPr="006F12EC">
        <w:rPr>
          <w:rFonts w:ascii="Arial" w:hAnsi="Arial" w:cs="Arial"/>
        </w:rPr>
        <w:t xml:space="preserve"> </w:t>
      </w:r>
      <w:r w:rsidRPr="006F12EC">
        <w:rPr>
          <w:rFonts w:ascii="Arial" w:hAnsi="Arial" w:cs="Arial"/>
          <w:i/>
          <w:lang w:val="en-ZA"/>
        </w:rPr>
        <w:t>Tecmed (Pty) Ltd and others v Nissho Iwai Corporation and another</w:t>
      </w:r>
      <w:r w:rsidRPr="006F12EC">
        <w:rPr>
          <w:rFonts w:ascii="Arial" w:hAnsi="Arial" w:cs="Arial"/>
          <w:lang w:val="en-ZA"/>
        </w:rPr>
        <w:t xml:space="preserve"> [2010] ZASCA 143; 2011 (1) SA 35 (SCA) para 14.</w:t>
      </w:r>
    </w:p>
  </w:footnote>
  <w:footnote w:id="27">
    <w:p w14:paraId="6F11C42E" w14:textId="610818E2" w:rsidR="00D076CD" w:rsidRPr="006F12EC" w:rsidRDefault="00D076CD" w:rsidP="006F12EC">
      <w:pPr>
        <w:pStyle w:val="FootnoteText"/>
        <w:keepNext/>
        <w:keepLines/>
        <w:contextualSpacing/>
        <w:jc w:val="both"/>
        <w:rPr>
          <w:rFonts w:ascii="Arial" w:hAnsi="Arial" w:cs="Arial"/>
          <w:lang w:val="en-ZA"/>
        </w:rPr>
      </w:pPr>
      <w:r w:rsidRPr="006F12EC">
        <w:rPr>
          <w:rStyle w:val="FootnoteReference"/>
          <w:rFonts w:ascii="Arial" w:hAnsi="Arial" w:cs="Arial"/>
        </w:rPr>
        <w:footnoteRef/>
      </w:r>
      <w:r w:rsidRPr="006F12EC">
        <w:rPr>
          <w:rFonts w:ascii="Arial" w:hAnsi="Arial" w:cs="Arial"/>
        </w:rPr>
        <w:t xml:space="preserve"> </w:t>
      </w:r>
      <w:r w:rsidRPr="006F12EC">
        <w:rPr>
          <w:rFonts w:ascii="Arial" w:hAnsi="Arial" w:cs="Arial"/>
          <w:i/>
          <w:lang w:val="en-ZA"/>
        </w:rPr>
        <w:t>Grindrod (Pty) Ltd v Seaman</w:t>
      </w:r>
      <w:r w:rsidRPr="006F12EC">
        <w:rPr>
          <w:rFonts w:ascii="Arial" w:hAnsi="Arial" w:cs="Arial"/>
          <w:lang w:val="en-ZA"/>
        </w:rPr>
        <w:t xml:space="preserve"> 1998 (2) SA 347 (C) </w:t>
      </w:r>
      <w:r w:rsidR="007448D8" w:rsidRPr="006F12EC">
        <w:rPr>
          <w:rFonts w:ascii="Arial" w:hAnsi="Arial" w:cs="Arial"/>
          <w:lang w:val="en-ZA"/>
        </w:rPr>
        <w:t xml:space="preserve">at </w:t>
      </w:r>
      <w:r w:rsidRPr="006F12EC">
        <w:rPr>
          <w:rFonts w:ascii="Arial" w:hAnsi="Arial" w:cs="Arial"/>
          <w:lang w:val="en-ZA"/>
        </w:rPr>
        <w:t>351D-E.</w:t>
      </w:r>
    </w:p>
  </w:footnote>
  <w:footnote w:id="28">
    <w:p w14:paraId="17A01CE3" w14:textId="77777777" w:rsidR="00536124" w:rsidRPr="006F12EC" w:rsidRDefault="00536124" w:rsidP="006F12EC">
      <w:pPr>
        <w:pStyle w:val="FootnoteText"/>
        <w:keepNext/>
        <w:keepLines/>
        <w:contextualSpacing/>
        <w:jc w:val="both"/>
        <w:rPr>
          <w:rFonts w:ascii="Arial" w:hAnsi="Arial" w:cs="Arial"/>
          <w:lang w:val="en-ZA"/>
        </w:rPr>
      </w:pPr>
      <w:r w:rsidRPr="006F12EC">
        <w:rPr>
          <w:rStyle w:val="FootnoteReference"/>
          <w:rFonts w:ascii="Arial" w:hAnsi="Arial" w:cs="Arial"/>
        </w:rPr>
        <w:footnoteRef/>
      </w:r>
      <w:r w:rsidRPr="006F12EC">
        <w:rPr>
          <w:rFonts w:ascii="Arial" w:hAnsi="Arial" w:cs="Arial"/>
        </w:rPr>
        <w:t xml:space="preserve"> </w:t>
      </w:r>
      <w:r w:rsidRPr="006F12EC">
        <w:rPr>
          <w:rFonts w:ascii="Arial" w:hAnsi="Arial" w:cs="Arial"/>
          <w:i/>
        </w:rPr>
        <w:t>Solenta Aviation (Pty) Ltd v Aviation @ Work (Pty) Ltd</w:t>
      </w:r>
      <w:r w:rsidRPr="006F12EC">
        <w:rPr>
          <w:rFonts w:ascii="Arial" w:hAnsi="Arial" w:cs="Arial"/>
        </w:rPr>
        <w:t xml:space="preserve"> </w:t>
      </w:r>
      <w:r w:rsidR="007448D8" w:rsidRPr="006F12EC">
        <w:rPr>
          <w:rFonts w:ascii="Arial" w:hAnsi="Arial" w:cs="Arial"/>
        </w:rPr>
        <w:t xml:space="preserve">[2013] ZASCA 103; </w:t>
      </w:r>
      <w:r w:rsidRPr="006F12EC">
        <w:rPr>
          <w:rFonts w:ascii="Arial" w:hAnsi="Arial" w:cs="Arial"/>
        </w:rPr>
        <w:t xml:space="preserve">2014 (2) SA 106 (SCA) para 17. </w:t>
      </w:r>
    </w:p>
  </w:footnote>
  <w:footnote w:id="29">
    <w:p w14:paraId="7480F3D3" w14:textId="0EAF7D95" w:rsidR="00536124" w:rsidRPr="006F12EC" w:rsidRDefault="00536124" w:rsidP="006F12EC">
      <w:pPr>
        <w:pStyle w:val="FootnoteText"/>
        <w:keepNext/>
        <w:keepLines/>
        <w:contextualSpacing/>
        <w:jc w:val="both"/>
        <w:rPr>
          <w:rFonts w:ascii="Arial" w:hAnsi="Arial" w:cs="Arial"/>
          <w:color w:val="000000" w:themeColor="text1"/>
          <w:lang w:val="en-ZA"/>
        </w:rPr>
      </w:pPr>
      <w:r w:rsidRPr="006F12EC">
        <w:rPr>
          <w:rStyle w:val="FootnoteReference"/>
          <w:rFonts w:ascii="Arial" w:hAnsi="Arial" w:cs="Arial"/>
          <w:color w:val="000000" w:themeColor="text1"/>
        </w:rPr>
        <w:footnoteRef/>
      </w:r>
      <w:r w:rsidRPr="006F12EC">
        <w:rPr>
          <w:rFonts w:ascii="Arial" w:hAnsi="Arial" w:cs="Arial"/>
          <w:color w:val="000000" w:themeColor="text1"/>
        </w:rPr>
        <w:t xml:space="preserve"> </w:t>
      </w:r>
      <w:r w:rsidRPr="006F12EC">
        <w:rPr>
          <w:rFonts w:ascii="Arial" w:hAnsi="Arial" w:cs="Arial"/>
          <w:i/>
          <w:color w:val="000000" w:themeColor="text1"/>
          <w:lang w:val="en-ZA"/>
        </w:rPr>
        <w:t>Peter Taylor and Associates v Bell Estates (Pty) Ltd and another</w:t>
      </w:r>
      <w:r w:rsidRPr="006F12EC">
        <w:rPr>
          <w:rFonts w:ascii="Arial" w:hAnsi="Arial" w:cs="Arial"/>
          <w:color w:val="000000" w:themeColor="text1"/>
          <w:lang w:val="en-ZA"/>
        </w:rPr>
        <w:t xml:space="preserve"> </w:t>
      </w:r>
      <w:r w:rsidR="007448D8" w:rsidRPr="006F12EC">
        <w:rPr>
          <w:rFonts w:ascii="Arial" w:hAnsi="Arial" w:cs="Arial"/>
          <w:color w:val="000000" w:themeColor="text1"/>
          <w:lang w:val="en-ZA"/>
        </w:rPr>
        <w:t xml:space="preserve">[2013] ZASCA 94; </w:t>
      </w:r>
      <w:r w:rsidRPr="006F12EC">
        <w:rPr>
          <w:rFonts w:ascii="Arial" w:hAnsi="Arial" w:cs="Arial"/>
          <w:color w:val="000000" w:themeColor="text1"/>
          <w:lang w:val="en-ZA"/>
        </w:rPr>
        <w:t xml:space="preserve">2014 (2) SA 312 (SCA) para 16; </w:t>
      </w:r>
      <w:r w:rsidRPr="006F12EC">
        <w:rPr>
          <w:rFonts w:ascii="Arial" w:hAnsi="Arial" w:cs="Arial"/>
          <w:i/>
          <w:color w:val="000000" w:themeColor="text1"/>
          <w:lang w:val="en-ZA"/>
        </w:rPr>
        <w:t>Nativa Manufacturing (Pty) Ltd v Keymax Investments 125 (Pty) Ltd and others</w:t>
      </w:r>
      <w:r w:rsidRPr="006F12EC">
        <w:rPr>
          <w:rFonts w:ascii="Arial" w:hAnsi="Arial" w:cs="Arial"/>
          <w:color w:val="000000" w:themeColor="text1"/>
          <w:lang w:val="en-ZA"/>
        </w:rPr>
        <w:t xml:space="preserve"> 2020 (1) SA 235 (</w:t>
      </w:r>
      <w:r w:rsidR="007B7C7F" w:rsidRPr="006F12EC">
        <w:rPr>
          <w:rFonts w:ascii="Arial" w:hAnsi="Arial" w:cs="Arial"/>
          <w:color w:val="000000" w:themeColor="text1"/>
          <w:lang w:val="en-ZA"/>
        </w:rPr>
        <w:t>G</w:t>
      </w:r>
      <w:r w:rsidRPr="006F12EC">
        <w:rPr>
          <w:rFonts w:ascii="Arial" w:hAnsi="Arial" w:cs="Arial"/>
          <w:color w:val="000000" w:themeColor="text1"/>
          <w:lang w:val="en-ZA"/>
        </w:rPr>
        <w:t>P) paras 10-42.</w:t>
      </w:r>
    </w:p>
  </w:footnote>
  <w:footnote w:id="30">
    <w:p w14:paraId="1216CACF" w14:textId="0316A634" w:rsidR="008A3989" w:rsidRPr="006F12EC" w:rsidRDefault="008A3989" w:rsidP="006F12EC">
      <w:pPr>
        <w:pStyle w:val="FootnoteText"/>
        <w:keepNext/>
        <w:keepLines/>
        <w:contextualSpacing/>
        <w:jc w:val="both"/>
        <w:rPr>
          <w:rFonts w:ascii="Arial" w:hAnsi="Arial" w:cs="Arial"/>
          <w:lang w:val="en-ZA"/>
        </w:rPr>
      </w:pPr>
      <w:r w:rsidRPr="006F12EC">
        <w:rPr>
          <w:rStyle w:val="FootnoteReference"/>
          <w:rFonts w:ascii="Arial" w:hAnsi="Arial" w:cs="Arial"/>
        </w:rPr>
        <w:footnoteRef/>
      </w:r>
      <w:r w:rsidRPr="006F12EC">
        <w:rPr>
          <w:rFonts w:ascii="Arial" w:hAnsi="Arial" w:cs="Arial"/>
        </w:rPr>
        <w:t xml:space="preserve"> </w:t>
      </w:r>
      <w:r w:rsidR="00533E77" w:rsidRPr="006F12EC">
        <w:rPr>
          <w:rFonts w:ascii="Arial" w:hAnsi="Arial" w:cs="Arial"/>
          <w:i/>
          <w:lang w:val="en-ZA"/>
        </w:rPr>
        <w:t xml:space="preserve">Sentrachem Limited v Terreblanche </w:t>
      </w:r>
      <w:r w:rsidR="00533E77" w:rsidRPr="006F12EC">
        <w:rPr>
          <w:rFonts w:ascii="Arial" w:hAnsi="Arial" w:cs="Arial"/>
          <w:lang w:val="en-ZA"/>
        </w:rPr>
        <w:t>[2017] ZASCA 16.</w:t>
      </w:r>
    </w:p>
  </w:footnote>
  <w:footnote w:id="31">
    <w:p w14:paraId="0F6F2312" w14:textId="77777777" w:rsidR="002302D6" w:rsidRPr="006F12EC" w:rsidRDefault="002302D6" w:rsidP="006F12EC">
      <w:pPr>
        <w:pStyle w:val="FootnoteText"/>
        <w:contextualSpacing/>
        <w:jc w:val="both"/>
        <w:rPr>
          <w:rFonts w:ascii="Arial" w:hAnsi="Arial" w:cs="Arial"/>
        </w:rPr>
      </w:pPr>
      <w:r w:rsidRPr="006F12EC">
        <w:rPr>
          <w:rStyle w:val="FootnoteReference"/>
          <w:rFonts w:ascii="Arial" w:hAnsi="Arial" w:cs="Arial"/>
        </w:rPr>
        <w:footnoteRef/>
      </w:r>
      <w:r w:rsidRPr="006F12EC">
        <w:rPr>
          <w:rFonts w:ascii="Arial" w:hAnsi="Arial" w:cs="Arial"/>
        </w:rPr>
        <w:t xml:space="preserve"> Ibid para 13.</w:t>
      </w:r>
    </w:p>
  </w:footnote>
  <w:footnote w:id="32">
    <w:p w14:paraId="35A12209" w14:textId="16F2B84A" w:rsidR="00E93ACC" w:rsidRPr="006F12EC" w:rsidRDefault="00E93ACC" w:rsidP="006F12EC">
      <w:pPr>
        <w:pStyle w:val="FootnoteText"/>
        <w:keepNext/>
        <w:keepLines/>
        <w:contextualSpacing/>
        <w:jc w:val="both"/>
        <w:rPr>
          <w:rFonts w:ascii="Arial" w:hAnsi="Arial" w:cs="Arial"/>
          <w:lang w:val="en-ZA"/>
        </w:rPr>
      </w:pPr>
      <w:r w:rsidRPr="006F12EC">
        <w:rPr>
          <w:rStyle w:val="FootnoteReference"/>
          <w:rFonts w:ascii="Arial" w:hAnsi="Arial" w:cs="Arial"/>
        </w:rPr>
        <w:footnoteRef/>
      </w:r>
      <w:r w:rsidRPr="006F12EC">
        <w:rPr>
          <w:rFonts w:ascii="Arial" w:hAnsi="Arial" w:cs="Arial"/>
        </w:rPr>
        <w:t xml:space="preserve"> </w:t>
      </w:r>
      <w:r w:rsidRPr="006F12EC">
        <w:rPr>
          <w:rFonts w:ascii="Arial" w:hAnsi="Arial" w:cs="Arial"/>
          <w:i/>
        </w:rPr>
        <w:t>Fisher v Natal Rubber Compounders (Pty) Ltd</w:t>
      </w:r>
      <w:r w:rsidRPr="006F12EC">
        <w:rPr>
          <w:rFonts w:ascii="Arial" w:hAnsi="Arial" w:cs="Arial"/>
        </w:rPr>
        <w:t xml:space="preserve"> [2016] ZASCA 33; 2016 (5) SA 477 (SCA) para 1</w:t>
      </w:r>
      <w:r w:rsidR="002302D6" w:rsidRPr="006F12EC">
        <w:rPr>
          <w:rFonts w:ascii="Arial" w:hAnsi="Arial" w:cs="Arial"/>
        </w:rPr>
        <w:t>5</w:t>
      </w:r>
      <w:r w:rsidRPr="006F12EC">
        <w:rPr>
          <w:rFonts w:ascii="Arial" w:hAnsi="Arial" w:cs="Arial"/>
        </w:rPr>
        <w:t>.</w:t>
      </w:r>
    </w:p>
  </w:footnote>
  <w:footnote w:id="33">
    <w:p w14:paraId="01A38B77" w14:textId="7894A67B" w:rsidR="00D076CD" w:rsidRPr="006F12EC" w:rsidRDefault="00D076CD" w:rsidP="006F12EC">
      <w:pPr>
        <w:pStyle w:val="FootnoteText"/>
        <w:keepNext/>
        <w:keepLines/>
        <w:contextualSpacing/>
        <w:jc w:val="both"/>
        <w:rPr>
          <w:rFonts w:ascii="Arial" w:hAnsi="Arial" w:cs="Arial"/>
          <w:lang w:val="en-ZA"/>
        </w:rPr>
      </w:pPr>
      <w:r w:rsidRPr="006F12EC">
        <w:rPr>
          <w:rStyle w:val="FootnoteReference"/>
          <w:rFonts w:ascii="Arial" w:hAnsi="Arial" w:cs="Arial"/>
        </w:rPr>
        <w:footnoteRef/>
      </w:r>
      <w:r w:rsidRPr="006F12EC">
        <w:rPr>
          <w:rFonts w:ascii="Arial" w:hAnsi="Arial" w:cs="Arial"/>
        </w:rPr>
        <w:t xml:space="preserve"> </w:t>
      </w:r>
      <w:r w:rsidRPr="006F12EC">
        <w:rPr>
          <w:rFonts w:ascii="Arial" w:hAnsi="Arial" w:cs="Arial"/>
          <w:i/>
          <w:iCs/>
          <w:lang w:val="en-ZA"/>
        </w:rPr>
        <w:t>Stroud</w:t>
      </w:r>
      <w:r w:rsidR="00F53972" w:rsidRPr="006F12EC">
        <w:rPr>
          <w:rFonts w:ascii="Arial" w:hAnsi="Arial" w:cs="Arial"/>
          <w:i/>
          <w:iCs/>
          <w:lang w:val="en-ZA"/>
        </w:rPr>
        <w:t xml:space="preserve"> v Steel Engineering Co Ltd and another</w:t>
      </w:r>
      <w:r w:rsidR="00F53972" w:rsidRPr="006F12EC">
        <w:rPr>
          <w:rFonts w:ascii="Arial" w:hAnsi="Arial" w:cs="Arial"/>
          <w:lang w:val="en-ZA"/>
        </w:rPr>
        <w:t xml:space="preserve"> 1996 (4) SA 1139 (W) </w:t>
      </w:r>
      <w:r w:rsidR="002302D6" w:rsidRPr="006F12EC">
        <w:rPr>
          <w:rFonts w:ascii="Arial" w:hAnsi="Arial" w:cs="Arial"/>
          <w:lang w:val="en-ZA"/>
        </w:rPr>
        <w:t xml:space="preserve">at </w:t>
      </w:r>
      <w:r w:rsidR="00F53972" w:rsidRPr="006F12EC">
        <w:rPr>
          <w:rFonts w:ascii="Arial" w:hAnsi="Arial" w:cs="Arial"/>
          <w:lang w:val="en-ZA"/>
        </w:rPr>
        <w:t>1142C-F.</w:t>
      </w:r>
    </w:p>
  </w:footnote>
  <w:footnote w:id="34">
    <w:p w14:paraId="7A29FFB0" w14:textId="77777777" w:rsidR="00D076CD" w:rsidRPr="006F12EC" w:rsidRDefault="00D076CD" w:rsidP="006F12EC">
      <w:pPr>
        <w:keepNext/>
        <w:keepLines/>
        <w:contextualSpacing/>
        <w:jc w:val="both"/>
        <w:rPr>
          <w:rFonts w:ascii="Arial" w:hAnsi="Arial" w:cs="Arial"/>
          <w:color w:val="000000" w:themeColor="text1"/>
          <w:sz w:val="20"/>
          <w:szCs w:val="20"/>
          <w:lang w:val="en-US"/>
        </w:rPr>
      </w:pPr>
      <w:r w:rsidRPr="006F12EC">
        <w:rPr>
          <w:rStyle w:val="FootnoteReference"/>
          <w:rFonts w:ascii="Arial" w:hAnsi="Arial" w:cs="Arial"/>
          <w:color w:val="000000" w:themeColor="text1"/>
          <w:sz w:val="20"/>
          <w:szCs w:val="20"/>
        </w:rPr>
        <w:footnoteRef/>
      </w:r>
      <w:r w:rsidRPr="006F12EC">
        <w:rPr>
          <w:rFonts w:ascii="Arial" w:hAnsi="Arial" w:cs="Arial"/>
          <w:color w:val="000000" w:themeColor="text1"/>
          <w:sz w:val="20"/>
          <w:szCs w:val="20"/>
        </w:rPr>
        <w:t xml:space="preserve"> </w:t>
      </w:r>
      <w:r w:rsidRPr="006F12EC">
        <w:rPr>
          <w:rFonts w:ascii="Arial" w:hAnsi="Arial" w:cs="Arial"/>
          <w:i/>
          <w:iCs/>
          <w:color w:val="000000" w:themeColor="text1"/>
          <w:sz w:val="20"/>
          <w:szCs w:val="20"/>
          <w:lang w:val="en-GB"/>
        </w:rPr>
        <w:t>Hangar</w:t>
      </w:r>
      <w:r w:rsidR="002302D6" w:rsidRPr="006F12EC">
        <w:rPr>
          <w:rFonts w:ascii="Arial" w:hAnsi="Arial" w:cs="Arial"/>
          <w:i/>
          <w:iCs/>
          <w:color w:val="000000" w:themeColor="text1"/>
          <w:sz w:val="20"/>
          <w:szCs w:val="20"/>
          <w:lang w:val="en-GB"/>
        </w:rPr>
        <w:t xml:space="preserve"> and others</w:t>
      </w:r>
      <w:r w:rsidRPr="006F12EC">
        <w:rPr>
          <w:rFonts w:ascii="Arial" w:hAnsi="Arial" w:cs="Arial"/>
          <w:i/>
          <w:iCs/>
          <w:color w:val="000000" w:themeColor="text1"/>
          <w:sz w:val="20"/>
          <w:szCs w:val="20"/>
          <w:lang w:val="en-GB"/>
        </w:rPr>
        <w:t xml:space="preserve"> v Robertson</w:t>
      </w:r>
      <w:r w:rsidRPr="006F12EC">
        <w:rPr>
          <w:rStyle w:val="apple-converted-space"/>
          <w:rFonts w:ascii="Arial" w:hAnsi="Arial" w:cs="Arial"/>
          <w:i/>
          <w:iCs/>
          <w:color w:val="000000" w:themeColor="text1"/>
          <w:sz w:val="20"/>
          <w:szCs w:val="20"/>
          <w:lang w:val="en-GB"/>
        </w:rPr>
        <w:t> </w:t>
      </w:r>
      <w:r w:rsidRPr="006F12EC">
        <w:rPr>
          <w:rFonts w:ascii="Arial" w:hAnsi="Arial" w:cs="Arial"/>
          <w:sz w:val="20"/>
          <w:szCs w:val="20"/>
          <w:lang w:val="en-GB"/>
        </w:rPr>
        <w:t>[2016] ZASCA 102</w:t>
      </w:r>
      <w:r w:rsidRPr="006F12EC">
        <w:rPr>
          <w:rFonts w:ascii="Arial" w:hAnsi="Arial" w:cs="Arial"/>
          <w:color w:val="000000" w:themeColor="text1"/>
          <w:sz w:val="20"/>
          <w:szCs w:val="20"/>
          <w:lang w:val="en-GB"/>
        </w:rPr>
        <w:t>.</w:t>
      </w:r>
    </w:p>
  </w:footnote>
  <w:footnote w:id="35">
    <w:p w14:paraId="3842EA44" w14:textId="79C3A4FB" w:rsidR="00D076CD" w:rsidRPr="006F12EC" w:rsidRDefault="00D076CD" w:rsidP="006F12EC">
      <w:pPr>
        <w:pStyle w:val="FootnoteText"/>
        <w:keepNext/>
        <w:keepLines/>
        <w:contextualSpacing/>
        <w:jc w:val="both"/>
        <w:rPr>
          <w:rFonts w:ascii="Arial" w:hAnsi="Arial" w:cs="Arial"/>
          <w:lang w:val="en-US"/>
        </w:rPr>
      </w:pPr>
      <w:r w:rsidRPr="006F12EC">
        <w:rPr>
          <w:rStyle w:val="FootnoteReference"/>
          <w:rFonts w:ascii="Arial" w:hAnsi="Arial" w:cs="Arial"/>
        </w:rPr>
        <w:footnoteRef/>
      </w:r>
      <w:r w:rsidRPr="006F12EC">
        <w:rPr>
          <w:rFonts w:ascii="Arial" w:hAnsi="Arial" w:cs="Arial"/>
        </w:rPr>
        <w:t xml:space="preserve"> </w:t>
      </w:r>
      <w:r w:rsidRPr="006F12EC">
        <w:rPr>
          <w:rFonts w:ascii="Arial" w:hAnsi="Arial" w:cs="Arial"/>
          <w:lang w:val="en-US"/>
        </w:rPr>
        <w:t>Ibid para 21.</w:t>
      </w:r>
      <w:r w:rsidR="006A3D6B" w:rsidRPr="006F12EC">
        <w:rPr>
          <w:rFonts w:ascii="Arial" w:hAnsi="Arial" w:cs="Arial"/>
          <w:lang w:val="en-US"/>
        </w:rPr>
        <w:t xml:space="preserve"> See also </w:t>
      </w:r>
      <w:r w:rsidR="006A3D6B" w:rsidRPr="006F12EC">
        <w:rPr>
          <w:rFonts w:ascii="Arial" w:hAnsi="Arial" w:cs="Arial"/>
          <w:i/>
          <w:lang w:val="en-US"/>
        </w:rPr>
        <w:t>GR Sutherland and Associates (Pty) Ltd v V &amp; A Waterfront Holdings (Pty) Ltd and others</w:t>
      </w:r>
      <w:r w:rsidR="006A3D6B" w:rsidRPr="006F12EC">
        <w:rPr>
          <w:rFonts w:ascii="Arial" w:hAnsi="Arial" w:cs="Arial"/>
          <w:lang w:val="en-US"/>
        </w:rPr>
        <w:t xml:space="preserve"> [2023] ZAWCHC 67 para 40.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185026179"/>
      <w:docPartObj>
        <w:docPartGallery w:val="Page Numbers (Top of Page)"/>
        <w:docPartUnique/>
      </w:docPartObj>
    </w:sdtPr>
    <w:sdtEndPr>
      <w:rPr>
        <w:rStyle w:val="PageNumber"/>
      </w:rPr>
    </w:sdtEndPr>
    <w:sdtContent>
      <w:p w14:paraId="47E86014" w14:textId="77777777" w:rsidR="00D076CD" w:rsidRDefault="00D076CD" w:rsidP="00787A8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8BAC073" w14:textId="77777777" w:rsidR="00D076CD" w:rsidRDefault="00D076CD" w:rsidP="003B7165">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405116543"/>
      <w:docPartObj>
        <w:docPartGallery w:val="Page Numbers (Top of Page)"/>
        <w:docPartUnique/>
      </w:docPartObj>
    </w:sdtPr>
    <w:sdtEndPr>
      <w:rPr>
        <w:rStyle w:val="PageNumber"/>
        <w:rFonts w:asciiTheme="minorBidi" w:hAnsiTheme="minorBidi"/>
      </w:rPr>
    </w:sdtEndPr>
    <w:sdtContent>
      <w:p w14:paraId="14325B5C" w14:textId="1CA8541F" w:rsidR="00D076CD" w:rsidRPr="003B7165" w:rsidRDefault="00D076CD" w:rsidP="00787A83">
        <w:pPr>
          <w:pStyle w:val="Header"/>
          <w:framePr w:wrap="none" w:vAnchor="text" w:hAnchor="margin" w:xAlign="right" w:y="1"/>
          <w:rPr>
            <w:rStyle w:val="PageNumber"/>
            <w:rFonts w:asciiTheme="minorBidi" w:hAnsiTheme="minorBidi"/>
          </w:rPr>
        </w:pPr>
        <w:r w:rsidRPr="003B7165">
          <w:rPr>
            <w:rStyle w:val="PageNumber"/>
            <w:rFonts w:asciiTheme="minorBidi" w:hAnsiTheme="minorBidi"/>
          </w:rPr>
          <w:fldChar w:fldCharType="begin"/>
        </w:r>
        <w:r w:rsidRPr="003B7165">
          <w:rPr>
            <w:rStyle w:val="PageNumber"/>
            <w:rFonts w:asciiTheme="minorBidi" w:hAnsiTheme="minorBidi"/>
          </w:rPr>
          <w:instrText xml:space="preserve"> PAGE </w:instrText>
        </w:r>
        <w:r w:rsidRPr="003B7165">
          <w:rPr>
            <w:rStyle w:val="PageNumber"/>
            <w:rFonts w:asciiTheme="minorBidi" w:hAnsiTheme="minorBidi"/>
          </w:rPr>
          <w:fldChar w:fldCharType="separate"/>
        </w:r>
        <w:r w:rsidR="006C1485">
          <w:rPr>
            <w:rStyle w:val="PageNumber"/>
            <w:rFonts w:asciiTheme="minorBidi" w:hAnsiTheme="minorBidi"/>
            <w:noProof/>
          </w:rPr>
          <w:t>2</w:t>
        </w:r>
        <w:r w:rsidRPr="003B7165">
          <w:rPr>
            <w:rStyle w:val="PageNumber"/>
            <w:rFonts w:asciiTheme="minorBidi" w:hAnsiTheme="minorBidi"/>
          </w:rPr>
          <w:fldChar w:fldCharType="end"/>
        </w:r>
      </w:p>
    </w:sdtContent>
  </w:sdt>
  <w:p w14:paraId="6AE7A512" w14:textId="77777777" w:rsidR="00D076CD" w:rsidRDefault="00D076CD" w:rsidP="00CC4774">
    <w:pPr>
      <w:pStyle w:val="Header"/>
      <w:tabs>
        <w:tab w:val="clear" w:pos="4513"/>
        <w:tab w:val="clear" w:pos="9026"/>
        <w:tab w:val="left" w:pos="7200"/>
      </w:tabs>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6409B"/>
    <w:multiLevelType w:val="hybridMultilevel"/>
    <w:tmpl w:val="A4BC3B40"/>
    <w:lvl w:ilvl="0" w:tplc="D3782BE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2B33AE8"/>
    <w:multiLevelType w:val="hybridMultilevel"/>
    <w:tmpl w:val="7780040E"/>
    <w:lvl w:ilvl="0" w:tplc="89CCBDA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6B34026"/>
    <w:multiLevelType w:val="hybridMultilevel"/>
    <w:tmpl w:val="BB461266"/>
    <w:lvl w:ilvl="0" w:tplc="298C6EF2">
      <w:start w:val="1"/>
      <w:numFmt w:val="decimal"/>
      <w:lvlText w:val="%1."/>
      <w:lvlJc w:val="left"/>
      <w:pPr>
        <w:ind w:left="4471" w:hanging="360"/>
      </w:pPr>
      <w:rPr>
        <w:rFonts w:hint="default"/>
      </w:rPr>
    </w:lvl>
    <w:lvl w:ilvl="1" w:tplc="08090019" w:tentative="1">
      <w:start w:val="1"/>
      <w:numFmt w:val="lowerLetter"/>
      <w:lvlText w:val="%2."/>
      <w:lvlJc w:val="left"/>
      <w:pPr>
        <w:ind w:left="5191" w:hanging="360"/>
      </w:pPr>
    </w:lvl>
    <w:lvl w:ilvl="2" w:tplc="0809001B" w:tentative="1">
      <w:start w:val="1"/>
      <w:numFmt w:val="lowerRoman"/>
      <w:lvlText w:val="%3."/>
      <w:lvlJc w:val="right"/>
      <w:pPr>
        <w:ind w:left="5911" w:hanging="180"/>
      </w:pPr>
    </w:lvl>
    <w:lvl w:ilvl="3" w:tplc="0809000F" w:tentative="1">
      <w:start w:val="1"/>
      <w:numFmt w:val="decimal"/>
      <w:lvlText w:val="%4."/>
      <w:lvlJc w:val="left"/>
      <w:pPr>
        <w:ind w:left="6631" w:hanging="360"/>
      </w:pPr>
    </w:lvl>
    <w:lvl w:ilvl="4" w:tplc="08090019" w:tentative="1">
      <w:start w:val="1"/>
      <w:numFmt w:val="lowerLetter"/>
      <w:lvlText w:val="%5."/>
      <w:lvlJc w:val="left"/>
      <w:pPr>
        <w:ind w:left="7351" w:hanging="360"/>
      </w:pPr>
    </w:lvl>
    <w:lvl w:ilvl="5" w:tplc="0809001B" w:tentative="1">
      <w:start w:val="1"/>
      <w:numFmt w:val="lowerRoman"/>
      <w:lvlText w:val="%6."/>
      <w:lvlJc w:val="right"/>
      <w:pPr>
        <w:ind w:left="8071" w:hanging="180"/>
      </w:pPr>
    </w:lvl>
    <w:lvl w:ilvl="6" w:tplc="0809000F" w:tentative="1">
      <w:start w:val="1"/>
      <w:numFmt w:val="decimal"/>
      <w:lvlText w:val="%7."/>
      <w:lvlJc w:val="left"/>
      <w:pPr>
        <w:ind w:left="8791" w:hanging="360"/>
      </w:pPr>
    </w:lvl>
    <w:lvl w:ilvl="7" w:tplc="08090019" w:tentative="1">
      <w:start w:val="1"/>
      <w:numFmt w:val="lowerLetter"/>
      <w:lvlText w:val="%8."/>
      <w:lvlJc w:val="left"/>
      <w:pPr>
        <w:ind w:left="9511" w:hanging="360"/>
      </w:pPr>
    </w:lvl>
    <w:lvl w:ilvl="8" w:tplc="0809001B" w:tentative="1">
      <w:start w:val="1"/>
      <w:numFmt w:val="lowerRoman"/>
      <w:lvlText w:val="%9."/>
      <w:lvlJc w:val="right"/>
      <w:pPr>
        <w:ind w:left="10231" w:hanging="180"/>
      </w:pPr>
    </w:lvl>
  </w:abstractNum>
  <w:abstractNum w:abstractNumId="3">
    <w:nsid w:val="0A1462C4"/>
    <w:multiLevelType w:val="hybridMultilevel"/>
    <w:tmpl w:val="BB08D49E"/>
    <w:lvl w:ilvl="0" w:tplc="C848108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01B09EF"/>
    <w:multiLevelType w:val="multilevel"/>
    <w:tmpl w:val="8D00A7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546547C"/>
    <w:multiLevelType w:val="hybridMultilevel"/>
    <w:tmpl w:val="DD6AE224"/>
    <w:lvl w:ilvl="0" w:tplc="8F9A9DF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A944C18"/>
    <w:multiLevelType w:val="hybridMultilevel"/>
    <w:tmpl w:val="443E72AC"/>
    <w:lvl w:ilvl="0" w:tplc="FF9EED54">
      <w:start w:val="1"/>
      <w:numFmt w:val="decimal"/>
      <w:lvlText w:val="%1."/>
      <w:lvlJc w:val="left"/>
      <w:pPr>
        <w:ind w:left="4471" w:hanging="360"/>
      </w:pPr>
      <w:rPr>
        <w:rFonts w:hint="default"/>
      </w:rPr>
    </w:lvl>
    <w:lvl w:ilvl="1" w:tplc="08090019" w:tentative="1">
      <w:start w:val="1"/>
      <w:numFmt w:val="lowerLetter"/>
      <w:lvlText w:val="%2."/>
      <w:lvlJc w:val="left"/>
      <w:pPr>
        <w:ind w:left="5191" w:hanging="360"/>
      </w:pPr>
    </w:lvl>
    <w:lvl w:ilvl="2" w:tplc="0809001B" w:tentative="1">
      <w:start w:val="1"/>
      <w:numFmt w:val="lowerRoman"/>
      <w:lvlText w:val="%3."/>
      <w:lvlJc w:val="right"/>
      <w:pPr>
        <w:ind w:left="5911" w:hanging="180"/>
      </w:pPr>
    </w:lvl>
    <w:lvl w:ilvl="3" w:tplc="0809000F" w:tentative="1">
      <w:start w:val="1"/>
      <w:numFmt w:val="decimal"/>
      <w:lvlText w:val="%4."/>
      <w:lvlJc w:val="left"/>
      <w:pPr>
        <w:ind w:left="6631" w:hanging="360"/>
      </w:pPr>
    </w:lvl>
    <w:lvl w:ilvl="4" w:tplc="08090019" w:tentative="1">
      <w:start w:val="1"/>
      <w:numFmt w:val="lowerLetter"/>
      <w:lvlText w:val="%5."/>
      <w:lvlJc w:val="left"/>
      <w:pPr>
        <w:ind w:left="7351" w:hanging="360"/>
      </w:pPr>
    </w:lvl>
    <w:lvl w:ilvl="5" w:tplc="0809001B" w:tentative="1">
      <w:start w:val="1"/>
      <w:numFmt w:val="lowerRoman"/>
      <w:lvlText w:val="%6."/>
      <w:lvlJc w:val="right"/>
      <w:pPr>
        <w:ind w:left="8071" w:hanging="180"/>
      </w:pPr>
    </w:lvl>
    <w:lvl w:ilvl="6" w:tplc="0809000F" w:tentative="1">
      <w:start w:val="1"/>
      <w:numFmt w:val="decimal"/>
      <w:lvlText w:val="%7."/>
      <w:lvlJc w:val="left"/>
      <w:pPr>
        <w:ind w:left="8791" w:hanging="360"/>
      </w:pPr>
    </w:lvl>
    <w:lvl w:ilvl="7" w:tplc="08090019" w:tentative="1">
      <w:start w:val="1"/>
      <w:numFmt w:val="lowerLetter"/>
      <w:lvlText w:val="%8."/>
      <w:lvlJc w:val="left"/>
      <w:pPr>
        <w:ind w:left="9511" w:hanging="360"/>
      </w:pPr>
    </w:lvl>
    <w:lvl w:ilvl="8" w:tplc="0809001B" w:tentative="1">
      <w:start w:val="1"/>
      <w:numFmt w:val="lowerRoman"/>
      <w:lvlText w:val="%9."/>
      <w:lvlJc w:val="right"/>
      <w:pPr>
        <w:ind w:left="10231" w:hanging="180"/>
      </w:pPr>
    </w:lvl>
  </w:abstractNum>
  <w:abstractNum w:abstractNumId="7">
    <w:nsid w:val="1B1C34E4"/>
    <w:multiLevelType w:val="hybridMultilevel"/>
    <w:tmpl w:val="DAAEF3C8"/>
    <w:lvl w:ilvl="0" w:tplc="48BE326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F036DC7"/>
    <w:multiLevelType w:val="hybridMultilevel"/>
    <w:tmpl w:val="A58C5EA2"/>
    <w:lvl w:ilvl="0" w:tplc="CF9087E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0E53342"/>
    <w:multiLevelType w:val="hybridMultilevel"/>
    <w:tmpl w:val="4F8C27CC"/>
    <w:lvl w:ilvl="0" w:tplc="42F4FEF2">
      <w:start w:val="1"/>
      <w:numFmt w:val="decimal"/>
      <w:lvlText w:val="%1."/>
      <w:lvlJc w:val="left"/>
      <w:pPr>
        <w:ind w:left="4471" w:hanging="360"/>
      </w:pPr>
      <w:rPr>
        <w:rFonts w:hint="default"/>
      </w:rPr>
    </w:lvl>
    <w:lvl w:ilvl="1" w:tplc="08090019" w:tentative="1">
      <w:start w:val="1"/>
      <w:numFmt w:val="lowerLetter"/>
      <w:lvlText w:val="%2."/>
      <w:lvlJc w:val="left"/>
      <w:pPr>
        <w:ind w:left="5191" w:hanging="360"/>
      </w:pPr>
    </w:lvl>
    <w:lvl w:ilvl="2" w:tplc="0809001B" w:tentative="1">
      <w:start w:val="1"/>
      <w:numFmt w:val="lowerRoman"/>
      <w:lvlText w:val="%3."/>
      <w:lvlJc w:val="right"/>
      <w:pPr>
        <w:ind w:left="5911" w:hanging="180"/>
      </w:pPr>
    </w:lvl>
    <w:lvl w:ilvl="3" w:tplc="0809000F" w:tentative="1">
      <w:start w:val="1"/>
      <w:numFmt w:val="decimal"/>
      <w:lvlText w:val="%4."/>
      <w:lvlJc w:val="left"/>
      <w:pPr>
        <w:ind w:left="6631" w:hanging="360"/>
      </w:pPr>
    </w:lvl>
    <w:lvl w:ilvl="4" w:tplc="08090019" w:tentative="1">
      <w:start w:val="1"/>
      <w:numFmt w:val="lowerLetter"/>
      <w:lvlText w:val="%5."/>
      <w:lvlJc w:val="left"/>
      <w:pPr>
        <w:ind w:left="7351" w:hanging="360"/>
      </w:pPr>
    </w:lvl>
    <w:lvl w:ilvl="5" w:tplc="0809001B" w:tentative="1">
      <w:start w:val="1"/>
      <w:numFmt w:val="lowerRoman"/>
      <w:lvlText w:val="%6."/>
      <w:lvlJc w:val="right"/>
      <w:pPr>
        <w:ind w:left="8071" w:hanging="180"/>
      </w:pPr>
    </w:lvl>
    <w:lvl w:ilvl="6" w:tplc="0809000F" w:tentative="1">
      <w:start w:val="1"/>
      <w:numFmt w:val="decimal"/>
      <w:lvlText w:val="%7."/>
      <w:lvlJc w:val="left"/>
      <w:pPr>
        <w:ind w:left="8791" w:hanging="360"/>
      </w:pPr>
    </w:lvl>
    <w:lvl w:ilvl="7" w:tplc="08090019" w:tentative="1">
      <w:start w:val="1"/>
      <w:numFmt w:val="lowerLetter"/>
      <w:lvlText w:val="%8."/>
      <w:lvlJc w:val="left"/>
      <w:pPr>
        <w:ind w:left="9511" w:hanging="360"/>
      </w:pPr>
    </w:lvl>
    <w:lvl w:ilvl="8" w:tplc="0809001B" w:tentative="1">
      <w:start w:val="1"/>
      <w:numFmt w:val="lowerRoman"/>
      <w:lvlText w:val="%9."/>
      <w:lvlJc w:val="right"/>
      <w:pPr>
        <w:ind w:left="10231" w:hanging="180"/>
      </w:pPr>
    </w:lvl>
  </w:abstractNum>
  <w:abstractNum w:abstractNumId="10">
    <w:nsid w:val="226404DE"/>
    <w:multiLevelType w:val="hybridMultilevel"/>
    <w:tmpl w:val="6D001A0A"/>
    <w:lvl w:ilvl="0" w:tplc="5C463C68">
      <w:start w:val="1"/>
      <w:numFmt w:val="decimal"/>
      <w:lvlText w:val="[%1]"/>
      <w:lvlJc w:val="left"/>
      <w:pPr>
        <w:ind w:left="720" w:hanging="360"/>
      </w:pPr>
      <w:rPr>
        <w:rFonts w:ascii="Arial" w:hAnsi="Aria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3D1362B"/>
    <w:multiLevelType w:val="hybridMultilevel"/>
    <w:tmpl w:val="0146552C"/>
    <w:lvl w:ilvl="0" w:tplc="8708BE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90D1122"/>
    <w:multiLevelType w:val="hybridMultilevel"/>
    <w:tmpl w:val="320C3D14"/>
    <w:lvl w:ilvl="0" w:tplc="1EEC935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ACA3396"/>
    <w:multiLevelType w:val="hybridMultilevel"/>
    <w:tmpl w:val="A7F2954C"/>
    <w:lvl w:ilvl="0" w:tplc="646053F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B650FDF"/>
    <w:multiLevelType w:val="hybridMultilevel"/>
    <w:tmpl w:val="C97AD7C4"/>
    <w:lvl w:ilvl="0" w:tplc="A916547E">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BF22638"/>
    <w:multiLevelType w:val="hybridMultilevel"/>
    <w:tmpl w:val="ECE4A1F4"/>
    <w:lvl w:ilvl="0" w:tplc="3AF414B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DA437FA"/>
    <w:multiLevelType w:val="multilevel"/>
    <w:tmpl w:val="3D2E64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0253299"/>
    <w:multiLevelType w:val="hybridMultilevel"/>
    <w:tmpl w:val="A95260B6"/>
    <w:lvl w:ilvl="0" w:tplc="5404B7AA">
      <w:start w:val="1"/>
      <w:numFmt w:val="lowerLetter"/>
      <w:lvlText w:val="(%1)"/>
      <w:lvlJc w:val="left"/>
      <w:pPr>
        <w:ind w:left="753" w:hanging="360"/>
      </w:pPr>
      <w:rPr>
        <w:rFonts w:hint="default"/>
      </w:rPr>
    </w:lvl>
    <w:lvl w:ilvl="1" w:tplc="08090019" w:tentative="1">
      <w:start w:val="1"/>
      <w:numFmt w:val="lowerLetter"/>
      <w:lvlText w:val="%2."/>
      <w:lvlJc w:val="left"/>
      <w:pPr>
        <w:ind w:left="1473" w:hanging="360"/>
      </w:pPr>
    </w:lvl>
    <w:lvl w:ilvl="2" w:tplc="0809001B" w:tentative="1">
      <w:start w:val="1"/>
      <w:numFmt w:val="lowerRoman"/>
      <w:lvlText w:val="%3."/>
      <w:lvlJc w:val="right"/>
      <w:pPr>
        <w:ind w:left="2193" w:hanging="180"/>
      </w:pPr>
    </w:lvl>
    <w:lvl w:ilvl="3" w:tplc="0809000F" w:tentative="1">
      <w:start w:val="1"/>
      <w:numFmt w:val="decimal"/>
      <w:lvlText w:val="%4."/>
      <w:lvlJc w:val="left"/>
      <w:pPr>
        <w:ind w:left="2913" w:hanging="360"/>
      </w:pPr>
    </w:lvl>
    <w:lvl w:ilvl="4" w:tplc="08090019" w:tentative="1">
      <w:start w:val="1"/>
      <w:numFmt w:val="lowerLetter"/>
      <w:lvlText w:val="%5."/>
      <w:lvlJc w:val="left"/>
      <w:pPr>
        <w:ind w:left="3633" w:hanging="360"/>
      </w:pPr>
    </w:lvl>
    <w:lvl w:ilvl="5" w:tplc="0809001B" w:tentative="1">
      <w:start w:val="1"/>
      <w:numFmt w:val="lowerRoman"/>
      <w:lvlText w:val="%6."/>
      <w:lvlJc w:val="right"/>
      <w:pPr>
        <w:ind w:left="4353" w:hanging="180"/>
      </w:pPr>
    </w:lvl>
    <w:lvl w:ilvl="6" w:tplc="0809000F" w:tentative="1">
      <w:start w:val="1"/>
      <w:numFmt w:val="decimal"/>
      <w:lvlText w:val="%7."/>
      <w:lvlJc w:val="left"/>
      <w:pPr>
        <w:ind w:left="5073" w:hanging="360"/>
      </w:pPr>
    </w:lvl>
    <w:lvl w:ilvl="7" w:tplc="08090019" w:tentative="1">
      <w:start w:val="1"/>
      <w:numFmt w:val="lowerLetter"/>
      <w:lvlText w:val="%8."/>
      <w:lvlJc w:val="left"/>
      <w:pPr>
        <w:ind w:left="5793" w:hanging="360"/>
      </w:pPr>
    </w:lvl>
    <w:lvl w:ilvl="8" w:tplc="0809001B" w:tentative="1">
      <w:start w:val="1"/>
      <w:numFmt w:val="lowerRoman"/>
      <w:lvlText w:val="%9."/>
      <w:lvlJc w:val="right"/>
      <w:pPr>
        <w:ind w:left="6513" w:hanging="180"/>
      </w:pPr>
    </w:lvl>
  </w:abstractNum>
  <w:abstractNum w:abstractNumId="18">
    <w:nsid w:val="357741C9"/>
    <w:multiLevelType w:val="hybridMultilevel"/>
    <w:tmpl w:val="D460F584"/>
    <w:lvl w:ilvl="0" w:tplc="227EAF0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95E015D"/>
    <w:multiLevelType w:val="hybridMultilevel"/>
    <w:tmpl w:val="58F2B474"/>
    <w:lvl w:ilvl="0" w:tplc="738E907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B1C725A"/>
    <w:multiLevelType w:val="multilevel"/>
    <w:tmpl w:val="6888BD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F141A9E"/>
    <w:multiLevelType w:val="hybridMultilevel"/>
    <w:tmpl w:val="A1585FC4"/>
    <w:lvl w:ilvl="0" w:tplc="2EDC0B30">
      <w:start w:val="1"/>
      <w:numFmt w:val="decimal"/>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FF00B12"/>
    <w:multiLevelType w:val="hybridMultilevel"/>
    <w:tmpl w:val="44C0F724"/>
    <w:lvl w:ilvl="0" w:tplc="15CEBD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33874F1"/>
    <w:multiLevelType w:val="hybridMultilevel"/>
    <w:tmpl w:val="2FB24C34"/>
    <w:lvl w:ilvl="0" w:tplc="B2E8145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8B20BA9"/>
    <w:multiLevelType w:val="hybridMultilevel"/>
    <w:tmpl w:val="A43898F0"/>
    <w:lvl w:ilvl="0" w:tplc="DE48266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99C2961"/>
    <w:multiLevelType w:val="hybridMultilevel"/>
    <w:tmpl w:val="76FE4A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D2B2E34"/>
    <w:multiLevelType w:val="hybridMultilevel"/>
    <w:tmpl w:val="6C08037E"/>
    <w:lvl w:ilvl="0" w:tplc="44061924">
      <w:start w:val="1"/>
      <w:numFmt w:val="decimal"/>
      <w:lvlText w:val="[%1]"/>
      <w:lvlJc w:val="left"/>
      <w:pPr>
        <w:ind w:left="6031" w:hanging="360"/>
      </w:pPr>
      <w:rPr>
        <w:rFonts w:ascii="Arial" w:hAnsi="Arial" w:cs="Arial" w:hint="default"/>
        <w:b w:val="0"/>
        <w:bCs/>
        <w:i w:val="0"/>
        <w:iCs w:val="0"/>
        <w:sz w:val="24"/>
      </w:r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27">
    <w:nsid w:val="4ED86865"/>
    <w:multiLevelType w:val="hybridMultilevel"/>
    <w:tmpl w:val="D1B0C2B0"/>
    <w:lvl w:ilvl="0" w:tplc="2B88724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59D2EEA"/>
    <w:multiLevelType w:val="hybridMultilevel"/>
    <w:tmpl w:val="F0C8C53A"/>
    <w:lvl w:ilvl="0" w:tplc="82DCC6E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A664475"/>
    <w:multiLevelType w:val="hybridMultilevel"/>
    <w:tmpl w:val="0BCE503A"/>
    <w:lvl w:ilvl="0" w:tplc="4636FE00">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0">
    <w:nsid w:val="5CCB1263"/>
    <w:multiLevelType w:val="hybridMultilevel"/>
    <w:tmpl w:val="10587882"/>
    <w:lvl w:ilvl="0" w:tplc="06288A3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DC51710"/>
    <w:multiLevelType w:val="hybridMultilevel"/>
    <w:tmpl w:val="63460A7C"/>
    <w:lvl w:ilvl="0" w:tplc="3886C8E6">
      <w:start w:val="1"/>
      <w:numFmt w:val="lowerLetter"/>
      <w:lvlText w:val="(%1)"/>
      <w:lvlJc w:val="left"/>
      <w:pPr>
        <w:ind w:left="1429" w:hanging="360"/>
      </w:pPr>
      <w:rPr>
        <w:rFonts w:hint="default"/>
        <w:sz w:val="24"/>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32">
    <w:nsid w:val="60DF1794"/>
    <w:multiLevelType w:val="hybridMultilevel"/>
    <w:tmpl w:val="B3869806"/>
    <w:lvl w:ilvl="0" w:tplc="B9266D10">
      <w:start w:val="1"/>
      <w:numFmt w:val="lowerLetter"/>
      <w:lvlText w:val="(%1)"/>
      <w:lvlJc w:val="left"/>
      <w:pPr>
        <w:ind w:left="720" w:hanging="360"/>
      </w:pPr>
      <w:rPr>
        <w:rFonts w:ascii="Arial" w:hAnsi="Arial" w:cs="Arial" w:hint="default"/>
        <w:color w:val="242121"/>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5216F83"/>
    <w:multiLevelType w:val="hybridMultilevel"/>
    <w:tmpl w:val="1DEA177E"/>
    <w:lvl w:ilvl="0" w:tplc="0ADC1BB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5291CC1"/>
    <w:multiLevelType w:val="hybridMultilevel"/>
    <w:tmpl w:val="B4B05B2E"/>
    <w:lvl w:ilvl="0" w:tplc="AD6696A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BB41590"/>
    <w:multiLevelType w:val="multilevel"/>
    <w:tmpl w:val="CA36F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0B935CA"/>
    <w:multiLevelType w:val="multilevel"/>
    <w:tmpl w:val="94CA8480"/>
    <w:lvl w:ilvl="0">
      <w:start w:val="6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5D82834"/>
    <w:multiLevelType w:val="multilevel"/>
    <w:tmpl w:val="00FE642C"/>
    <w:lvl w:ilvl="0">
      <w:start w:val="1"/>
      <w:numFmt w:val="decimal"/>
      <w:lvlText w:val="%1"/>
      <w:lvlJc w:val="left"/>
      <w:pPr>
        <w:ind w:left="700" w:hanging="700"/>
      </w:pPr>
      <w:rPr>
        <w:rFonts w:hint="default"/>
      </w:rPr>
    </w:lvl>
    <w:lvl w:ilvl="1">
      <w:start w:val="1"/>
      <w:numFmt w:val="decimal"/>
      <w:lvlText w:val="%1.%2"/>
      <w:lvlJc w:val="left"/>
      <w:pPr>
        <w:ind w:left="700" w:hanging="7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nsid w:val="77A41E95"/>
    <w:multiLevelType w:val="hybridMultilevel"/>
    <w:tmpl w:val="AB1267F6"/>
    <w:lvl w:ilvl="0" w:tplc="EF6459D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86E62C8"/>
    <w:multiLevelType w:val="hybridMultilevel"/>
    <w:tmpl w:val="6D001A0A"/>
    <w:lvl w:ilvl="0" w:tplc="FFFFFFFF">
      <w:start w:val="1"/>
      <w:numFmt w:val="decimal"/>
      <w:lvlText w:val="[%1]"/>
      <w:lvlJc w:val="left"/>
      <w:pPr>
        <w:ind w:left="720" w:hanging="360"/>
      </w:pPr>
      <w:rPr>
        <w:rFonts w:ascii="Arial" w:hAnsi="Aria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nsid w:val="790B71B4"/>
    <w:multiLevelType w:val="hybridMultilevel"/>
    <w:tmpl w:val="8D06CBD0"/>
    <w:lvl w:ilvl="0" w:tplc="8F60D3A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7DE46A80"/>
    <w:multiLevelType w:val="hybridMultilevel"/>
    <w:tmpl w:val="33CA24E2"/>
    <w:lvl w:ilvl="0" w:tplc="DB329C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E5A1ACF"/>
    <w:multiLevelType w:val="hybridMultilevel"/>
    <w:tmpl w:val="CF78CDB0"/>
    <w:lvl w:ilvl="0" w:tplc="3982A86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F2A3CF7"/>
    <w:multiLevelType w:val="hybridMultilevel"/>
    <w:tmpl w:val="DC52DCA8"/>
    <w:lvl w:ilvl="0" w:tplc="4FB8B58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7"/>
  </w:num>
  <w:num w:numId="3">
    <w:abstractNumId w:val="17"/>
  </w:num>
  <w:num w:numId="4">
    <w:abstractNumId w:val="30"/>
  </w:num>
  <w:num w:numId="5">
    <w:abstractNumId w:val="29"/>
  </w:num>
  <w:num w:numId="6">
    <w:abstractNumId w:val="14"/>
  </w:num>
  <w:num w:numId="7">
    <w:abstractNumId w:val="40"/>
  </w:num>
  <w:num w:numId="8">
    <w:abstractNumId w:val="39"/>
  </w:num>
  <w:num w:numId="9">
    <w:abstractNumId w:val="33"/>
  </w:num>
  <w:num w:numId="10">
    <w:abstractNumId w:val="6"/>
  </w:num>
  <w:num w:numId="11">
    <w:abstractNumId w:val="15"/>
  </w:num>
  <w:num w:numId="12">
    <w:abstractNumId w:val="27"/>
  </w:num>
  <w:num w:numId="13">
    <w:abstractNumId w:val="2"/>
  </w:num>
  <w:num w:numId="14">
    <w:abstractNumId w:val="42"/>
  </w:num>
  <w:num w:numId="15">
    <w:abstractNumId w:val="34"/>
  </w:num>
  <w:num w:numId="16">
    <w:abstractNumId w:val="9"/>
  </w:num>
  <w:num w:numId="17">
    <w:abstractNumId w:val="24"/>
  </w:num>
  <w:num w:numId="18">
    <w:abstractNumId w:val="43"/>
  </w:num>
  <w:num w:numId="19">
    <w:abstractNumId w:val="19"/>
  </w:num>
  <w:num w:numId="20">
    <w:abstractNumId w:val="12"/>
  </w:num>
  <w:num w:numId="21">
    <w:abstractNumId w:val="41"/>
  </w:num>
  <w:num w:numId="22">
    <w:abstractNumId w:val="11"/>
  </w:num>
  <w:num w:numId="23">
    <w:abstractNumId w:val="22"/>
  </w:num>
  <w:num w:numId="24">
    <w:abstractNumId w:val="23"/>
  </w:num>
  <w:num w:numId="25">
    <w:abstractNumId w:val="1"/>
  </w:num>
  <w:num w:numId="26">
    <w:abstractNumId w:val="4"/>
    <w:lvlOverride w:ilvl="0">
      <w:startOverride w:val="4"/>
    </w:lvlOverride>
  </w:num>
  <w:num w:numId="27">
    <w:abstractNumId w:val="37"/>
  </w:num>
  <w:num w:numId="28">
    <w:abstractNumId w:val="18"/>
  </w:num>
  <w:num w:numId="29">
    <w:abstractNumId w:val="36"/>
  </w:num>
  <w:num w:numId="30">
    <w:abstractNumId w:val="5"/>
  </w:num>
  <w:num w:numId="31">
    <w:abstractNumId w:val="38"/>
  </w:num>
  <w:num w:numId="32">
    <w:abstractNumId w:val="3"/>
  </w:num>
  <w:num w:numId="33">
    <w:abstractNumId w:val="8"/>
  </w:num>
  <w:num w:numId="34">
    <w:abstractNumId w:val="26"/>
  </w:num>
  <w:num w:numId="35">
    <w:abstractNumId w:val="13"/>
  </w:num>
  <w:num w:numId="36">
    <w:abstractNumId w:val="21"/>
  </w:num>
  <w:num w:numId="37">
    <w:abstractNumId w:val="20"/>
  </w:num>
  <w:num w:numId="38">
    <w:abstractNumId w:val="32"/>
  </w:num>
  <w:num w:numId="39">
    <w:abstractNumId w:val="25"/>
  </w:num>
  <w:num w:numId="40">
    <w:abstractNumId w:val="0"/>
  </w:num>
  <w:num w:numId="41">
    <w:abstractNumId w:val="16"/>
  </w:num>
  <w:num w:numId="42">
    <w:abstractNumId w:val="31"/>
  </w:num>
  <w:num w:numId="43">
    <w:abstractNumId w:val="35"/>
  </w:num>
  <w:num w:numId="4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227C94B2-B6F8-442E-A7EF-4A86026E4DBB}"/>
    <w:docVar w:name="dgnword-drafile" w:val="C:\Users\RMossop\AppData\Local\Temp\draC4C5.tmp"/>
    <w:docVar w:name="dgnword-eventsink" w:val="2450074642416"/>
  </w:docVars>
  <w:rsids>
    <w:rsidRoot w:val="00F3519B"/>
    <w:rsid w:val="00000ADA"/>
    <w:rsid w:val="00000C26"/>
    <w:rsid w:val="000018AB"/>
    <w:rsid w:val="00001B1E"/>
    <w:rsid w:val="00002E1C"/>
    <w:rsid w:val="0001183D"/>
    <w:rsid w:val="000139F8"/>
    <w:rsid w:val="00015240"/>
    <w:rsid w:val="00021225"/>
    <w:rsid w:val="000257E4"/>
    <w:rsid w:val="00037617"/>
    <w:rsid w:val="000403AF"/>
    <w:rsid w:val="00042952"/>
    <w:rsid w:val="00042ADD"/>
    <w:rsid w:val="00044FFF"/>
    <w:rsid w:val="00045249"/>
    <w:rsid w:val="0004582B"/>
    <w:rsid w:val="00045E14"/>
    <w:rsid w:val="00052443"/>
    <w:rsid w:val="0005348D"/>
    <w:rsid w:val="00053669"/>
    <w:rsid w:val="00054097"/>
    <w:rsid w:val="0005439B"/>
    <w:rsid w:val="000549E7"/>
    <w:rsid w:val="00057D84"/>
    <w:rsid w:val="00060A4F"/>
    <w:rsid w:val="00067E28"/>
    <w:rsid w:val="0007236D"/>
    <w:rsid w:val="0007412D"/>
    <w:rsid w:val="00076005"/>
    <w:rsid w:val="00076547"/>
    <w:rsid w:val="000803FD"/>
    <w:rsid w:val="00083D91"/>
    <w:rsid w:val="000846C7"/>
    <w:rsid w:val="00096AB8"/>
    <w:rsid w:val="000A17B2"/>
    <w:rsid w:val="000A5436"/>
    <w:rsid w:val="000A5483"/>
    <w:rsid w:val="000A5C40"/>
    <w:rsid w:val="000A6D77"/>
    <w:rsid w:val="000B196A"/>
    <w:rsid w:val="000B3EDD"/>
    <w:rsid w:val="000B4555"/>
    <w:rsid w:val="000B57B1"/>
    <w:rsid w:val="000C00C2"/>
    <w:rsid w:val="000C00D4"/>
    <w:rsid w:val="000C2F74"/>
    <w:rsid w:val="000C52FE"/>
    <w:rsid w:val="000C69E8"/>
    <w:rsid w:val="000D33D8"/>
    <w:rsid w:val="000D4127"/>
    <w:rsid w:val="000D44E4"/>
    <w:rsid w:val="000D6B15"/>
    <w:rsid w:val="000E2ADC"/>
    <w:rsid w:val="000E5A58"/>
    <w:rsid w:val="000F050D"/>
    <w:rsid w:val="000F57F6"/>
    <w:rsid w:val="000F66DA"/>
    <w:rsid w:val="000F754F"/>
    <w:rsid w:val="001018A4"/>
    <w:rsid w:val="0011203E"/>
    <w:rsid w:val="00120B4F"/>
    <w:rsid w:val="0012157E"/>
    <w:rsid w:val="00124F9F"/>
    <w:rsid w:val="001401EC"/>
    <w:rsid w:val="00144AD8"/>
    <w:rsid w:val="00151FBB"/>
    <w:rsid w:val="001546D8"/>
    <w:rsid w:val="00154AC7"/>
    <w:rsid w:val="00155F5B"/>
    <w:rsid w:val="00163871"/>
    <w:rsid w:val="00164436"/>
    <w:rsid w:val="00164659"/>
    <w:rsid w:val="00167ADC"/>
    <w:rsid w:val="00170872"/>
    <w:rsid w:val="00172D02"/>
    <w:rsid w:val="00172D6F"/>
    <w:rsid w:val="001748BC"/>
    <w:rsid w:val="001753F7"/>
    <w:rsid w:val="001774C4"/>
    <w:rsid w:val="00182381"/>
    <w:rsid w:val="00183972"/>
    <w:rsid w:val="001870B1"/>
    <w:rsid w:val="00191D20"/>
    <w:rsid w:val="00192ADF"/>
    <w:rsid w:val="00193A7A"/>
    <w:rsid w:val="00196394"/>
    <w:rsid w:val="00197FE3"/>
    <w:rsid w:val="001A1967"/>
    <w:rsid w:val="001A2DE4"/>
    <w:rsid w:val="001B4804"/>
    <w:rsid w:val="001C10F6"/>
    <w:rsid w:val="001C3189"/>
    <w:rsid w:val="001C6E56"/>
    <w:rsid w:val="001C71A5"/>
    <w:rsid w:val="001D29DF"/>
    <w:rsid w:val="001D39B7"/>
    <w:rsid w:val="001E1CD2"/>
    <w:rsid w:val="001F2569"/>
    <w:rsid w:val="001F301A"/>
    <w:rsid w:val="00200376"/>
    <w:rsid w:val="00204C93"/>
    <w:rsid w:val="00204EFD"/>
    <w:rsid w:val="002053CB"/>
    <w:rsid w:val="002058CE"/>
    <w:rsid w:val="00205DBA"/>
    <w:rsid w:val="0021279A"/>
    <w:rsid w:val="002145F4"/>
    <w:rsid w:val="00216F30"/>
    <w:rsid w:val="00223FCD"/>
    <w:rsid w:val="002302D6"/>
    <w:rsid w:val="0023069A"/>
    <w:rsid w:val="0023193F"/>
    <w:rsid w:val="002332B5"/>
    <w:rsid w:val="00234BE3"/>
    <w:rsid w:val="002358D1"/>
    <w:rsid w:val="002371B3"/>
    <w:rsid w:val="00237BA5"/>
    <w:rsid w:val="00240AA3"/>
    <w:rsid w:val="00241D4C"/>
    <w:rsid w:val="002435AF"/>
    <w:rsid w:val="002441D0"/>
    <w:rsid w:val="00245564"/>
    <w:rsid w:val="00245CE5"/>
    <w:rsid w:val="00246ABB"/>
    <w:rsid w:val="002535A2"/>
    <w:rsid w:val="00253EFC"/>
    <w:rsid w:val="00254BFA"/>
    <w:rsid w:val="002559CB"/>
    <w:rsid w:val="0025600F"/>
    <w:rsid w:val="00260C3D"/>
    <w:rsid w:val="002615B6"/>
    <w:rsid w:val="00262CC0"/>
    <w:rsid w:val="0026591A"/>
    <w:rsid w:val="002662EE"/>
    <w:rsid w:val="002719D8"/>
    <w:rsid w:val="00281861"/>
    <w:rsid w:val="00287C0B"/>
    <w:rsid w:val="002939DE"/>
    <w:rsid w:val="00296B55"/>
    <w:rsid w:val="002A09AF"/>
    <w:rsid w:val="002A2F07"/>
    <w:rsid w:val="002A7D02"/>
    <w:rsid w:val="002B2E25"/>
    <w:rsid w:val="002B6F5F"/>
    <w:rsid w:val="002C229D"/>
    <w:rsid w:val="002C288C"/>
    <w:rsid w:val="002C4A15"/>
    <w:rsid w:val="002C6581"/>
    <w:rsid w:val="002D3BFE"/>
    <w:rsid w:val="002D4862"/>
    <w:rsid w:val="002D5E39"/>
    <w:rsid w:val="002E0625"/>
    <w:rsid w:val="002E4F0D"/>
    <w:rsid w:val="002E7EBE"/>
    <w:rsid w:val="002F24DD"/>
    <w:rsid w:val="002F33C2"/>
    <w:rsid w:val="00302B31"/>
    <w:rsid w:val="00305008"/>
    <w:rsid w:val="00307D80"/>
    <w:rsid w:val="003135BB"/>
    <w:rsid w:val="00317F6B"/>
    <w:rsid w:val="0032168F"/>
    <w:rsid w:val="00325410"/>
    <w:rsid w:val="00325B0C"/>
    <w:rsid w:val="003262F8"/>
    <w:rsid w:val="00334C9F"/>
    <w:rsid w:val="00340A3B"/>
    <w:rsid w:val="003420B9"/>
    <w:rsid w:val="00343121"/>
    <w:rsid w:val="00343938"/>
    <w:rsid w:val="00351A8F"/>
    <w:rsid w:val="00353AAE"/>
    <w:rsid w:val="0036306F"/>
    <w:rsid w:val="003636E4"/>
    <w:rsid w:val="00364235"/>
    <w:rsid w:val="00367689"/>
    <w:rsid w:val="003829DA"/>
    <w:rsid w:val="00383677"/>
    <w:rsid w:val="0038457C"/>
    <w:rsid w:val="00385DA1"/>
    <w:rsid w:val="0039027B"/>
    <w:rsid w:val="00393F8D"/>
    <w:rsid w:val="003947CD"/>
    <w:rsid w:val="00396BE0"/>
    <w:rsid w:val="003A048D"/>
    <w:rsid w:val="003A3521"/>
    <w:rsid w:val="003B01F3"/>
    <w:rsid w:val="003B226B"/>
    <w:rsid w:val="003B298F"/>
    <w:rsid w:val="003B6415"/>
    <w:rsid w:val="003B7165"/>
    <w:rsid w:val="003B767D"/>
    <w:rsid w:val="003B7922"/>
    <w:rsid w:val="003D2D8F"/>
    <w:rsid w:val="003E0CBE"/>
    <w:rsid w:val="003E1FF2"/>
    <w:rsid w:val="003E4F27"/>
    <w:rsid w:val="003F00D6"/>
    <w:rsid w:val="003F29F3"/>
    <w:rsid w:val="003F3FFD"/>
    <w:rsid w:val="003F473D"/>
    <w:rsid w:val="003F544F"/>
    <w:rsid w:val="00401065"/>
    <w:rsid w:val="00406A79"/>
    <w:rsid w:val="00412F53"/>
    <w:rsid w:val="00417D7E"/>
    <w:rsid w:val="0042205A"/>
    <w:rsid w:val="004225FB"/>
    <w:rsid w:val="0042338F"/>
    <w:rsid w:val="00427EE3"/>
    <w:rsid w:val="004364AE"/>
    <w:rsid w:val="0044351F"/>
    <w:rsid w:val="004442EF"/>
    <w:rsid w:val="004561AB"/>
    <w:rsid w:val="00456208"/>
    <w:rsid w:val="004568B6"/>
    <w:rsid w:val="00462F1C"/>
    <w:rsid w:val="00463B01"/>
    <w:rsid w:val="0046482E"/>
    <w:rsid w:val="004649B9"/>
    <w:rsid w:val="00465AF3"/>
    <w:rsid w:val="00465DD2"/>
    <w:rsid w:val="0046774F"/>
    <w:rsid w:val="00472D75"/>
    <w:rsid w:val="00476BD7"/>
    <w:rsid w:val="00485224"/>
    <w:rsid w:val="00485E66"/>
    <w:rsid w:val="00492A58"/>
    <w:rsid w:val="00492F63"/>
    <w:rsid w:val="004A2756"/>
    <w:rsid w:val="004A5EF4"/>
    <w:rsid w:val="004A7452"/>
    <w:rsid w:val="004A7ED9"/>
    <w:rsid w:val="004B31C8"/>
    <w:rsid w:val="004B43AC"/>
    <w:rsid w:val="004B46DA"/>
    <w:rsid w:val="004B5701"/>
    <w:rsid w:val="004B6938"/>
    <w:rsid w:val="004B6D00"/>
    <w:rsid w:val="004C14C6"/>
    <w:rsid w:val="004C2560"/>
    <w:rsid w:val="004C3BD6"/>
    <w:rsid w:val="004D149A"/>
    <w:rsid w:val="004E07A1"/>
    <w:rsid w:val="004E0982"/>
    <w:rsid w:val="004E38A6"/>
    <w:rsid w:val="004E447F"/>
    <w:rsid w:val="004E4901"/>
    <w:rsid w:val="004F23C0"/>
    <w:rsid w:val="004F26D9"/>
    <w:rsid w:val="004F389A"/>
    <w:rsid w:val="004F5D53"/>
    <w:rsid w:val="004F772A"/>
    <w:rsid w:val="00503510"/>
    <w:rsid w:val="005065B3"/>
    <w:rsid w:val="00507AA2"/>
    <w:rsid w:val="005118CB"/>
    <w:rsid w:val="00515438"/>
    <w:rsid w:val="00530602"/>
    <w:rsid w:val="00530CDE"/>
    <w:rsid w:val="00531894"/>
    <w:rsid w:val="00533E77"/>
    <w:rsid w:val="00534CF3"/>
    <w:rsid w:val="00536124"/>
    <w:rsid w:val="00536641"/>
    <w:rsid w:val="00543273"/>
    <w:rsid w:val="005434F5"/>
    <w:rsid w:val="00551087"/>
    <w:rsid w:val="005544CB"/>
    <w:rsid w:val="00554E35"/>
    <w:rsid w:val="00557443"/>
    <w:rsid w:val="0056208B"/>
    <w:rsid w:val="00563676"/>
    <w:rsid w:val="00566200"/>
    <w:rsid w:val="005672A2"/>
    <w:rsid w:val="00571D6D"/>
    <w:rsid w:val="00574641"/>
    <w:rsid w:val="00575CC7"/>
    <w:rsid w:val="005878A9"/>
    <w:rsid w:val="00590831"/>
    <w:rsid w:val="00593324"/>
    <w:rsid w:val="00593D33"/>
    <w:rsid w:val="00595BB7"/>
    <w:rsid w:val="005A07B9"/>
    <w:rsid w:val="005A19D3"/>
    <w:rsid w:val="005A7540"/>
    <w:rsid w:val="005B0626"/>
    <w:rsid w:val="005B13C7"/>
    <w:rsid w:val="005B46DD"/>
    <w:rsid w:val="005B5D9C"/>
    <w:rsid w:val="005C23C7"/>
    <w:rsid w:val="005C5770"/>
    <w:rsid w:val="005D00B1"/>
    <w:rsid w:val="005D0D0A"/>
    <w:rsid w:val="005D1739"/>
    <w:rsid w:val="005D26D6"/>
    <w:rsid w:val="005D2C20"/>
    <w:rsid w:val="005D3729"/>
    <w:rsid w:val="005D59E7"/>
    <w:rsid w:val="005D6AA7"/>
    <w:rsid w:val="005E28F4"/>
    <w:rsid w:val="005E316D"/>
    <w:rsid w:val="005E4383"/>
    <w:rsid w:val="005F2A67"/>
    <w:rsid w:val="005F35B2"/>
    <w:rsid w:val="005F4756"/>
    <w:rsid w:val="005F7DBB"/>
    <w:rsid w:val="00602286"/>
    <w:rsid w:val="00603198"/>
    <w:rsid w:val="006031D7"/>
    <w:rsid w:val="00606D6E"/>
    <w:rsid w:val="0060753A"/>
    <w:rsid w:val="00607BC7"/>
    <w:rsid w:val="006144C2"/>
    <w:rsid w:val="00617C01"/>
    <w:rsid w:val="0062219A"/>
    <w:rsid w:val="00625256"/>
    <w:rsid w:val="0063122B"/>
    <w:rsid w:val="0063288F"/>
    <w:rsid w:val="006433D0"/>
    <w:rsid w:val="00645445"/>
    <w:rsid w:val="00655B9B"/>
    <w:rsid w:val="006560E0"/>
    <w:rsid w:val="00661348"/>
    <w:rsid w:val="00666188"/>
    <w:rsid w:val="0067116B"/>
    <w:rsid w:val="00671849"/>
    <w:rsid w:val="00672C2E"/>
    <w:rsid w:val="00674330"/>
    <w:rsid w:val="00674886"/>
    <w:rsid w:val="00677A8B"/>
    <w:rsid w:val="00677AED"/>
    <w:rsid w:val="00683FA1"/>
    <w:rsid w:val="00697992"/>
    <w:rsid w:val="006A3D6B"/>
    <w:rsid w:val="006A3FF5"/>
    <w:rsid w:val="006A6846"/>
    <w:rsid w:val="006B27FF"/>
    <w:rsid w:val="006B318D"/>
    <w:rsid w:val="006B3A28"/>
    <w:rsid w:val="006B4F25"/>
    <w:rsid w:val="006C1485"/>
    <w:rsid w:val="006C4333"/>
    <w:rsid w:val="006C4386"/>
    <w:rsid w:val="006D2807"/>
    <w:rsid w:val="006D28AA"/>
    <w:rsid w:val="006D2B31"/>
    <w:rsid w:val="006D3AFC"/>
    <w:rsid w:val="006D41F8"/>
    <w:rsid w:val="006D53D6"/>
    <w:rsid w:val="006E001D"/>
    <w:rsid w:val="006E308F"/>
    <w:rsid w:val="006E315B"/>
    <w:rsid w:val="006E385F"/>
    <w:rsid w:val="006E3DC9"/>
    <w:rsid w:val="006E5C23"/>
    <w:rsid w:val="006F0F26"/>
    <w:rsid w:val="006F12EC"/>
    <w:rsid w:val="006F3336"/>
    <w:rsid w:val="006F4A7C"/>
    <w:rsid w:val="006F6C11"/>
    <w:rsid w:val="00703E85"/>
    <w:rsid w:val="00704DF6"/>
    <w:rsid w:val="007065B3"/>
    <w:rsid w:val="00707520"/>
    <w:rsid w:val="00713DB7"/>
    <w:rsid w:val="007151EF"/>
    <w:rsid w:val="007202BA"/>
    <w:rsid w:val="007209FB"/>
    <w:rsid w:val="00720F32"/>
    <w:rsid w:val="0072109E"/>
    <w:rsid w:val="00722CD2"/>
    <w:rsid w:val="00723270"/>
    <w:rsid w:val="00723968"/>
    <w:rsid w:val="00723D03"/>
    <w:rsid w:val="0072407A"/>
    <w:rsid w:val="0072547E"/>
    <w:rsid w:val="00726065"/>
    <w:rsid w:val="007272F8"/>
    <w:rsid w:val="00731AE9"/>
    <w:rsid w:val="00731F34"/>
    <w:rsid w:val="00735ED5"/>
    <w:rsid w:val="00735F33"/>
    <w:rsid w:val="00736341"/>
    <w:rsid w:val="00743A1D"/>
    <w:rsid w:val="00743F98"/>
    <w:rsid w:val="007448D8"/>
    <w:rsid w:val="00747434"/>
    <w:rsid w:val="00747D4C"/>
    <w:rsid w:val="007509E3"/>
    <w:rsid w:val="00757264"/>
    <w:rsid w:val="007612DE"/>
    <w:rsid w:val="00775EE1"/>
    <w:rsid w:val="00775F0D"/>
    <w:rsid w:val="007801CC"/>
    <w:rsid w:val="00781761"/>
    <w:rsid w:val="0078434F"/>
    <w:rsid w:val="00786F10"/>
    <w:rsid w:val="00787A83"/>
    <w:rsid w:val="00792720"/>
    <w:rsid w:val="007A0697"/>
    <w:rsid w:val="007A1C3A"/>
    <w:rsid w:val="007A5DC5"/>
    <w:rsid w:val="007B45D2"/>
    <w:rsid w:val="007B503D"/>
    <w:rsid w:val="007B7C7F"/>
    <w:rsid w:val="007C1D45"/>
    <w:rsid w:val="007C30BB"/>
    <w:rsid w:val="007C5CBF"/>
    <w:rsid w:val="007C6CB1"/>
    <w:rsid w:val="007D0DC8"/>
    <w:rsid w:val="007D0E7E"/>
    <w:rsid w:val="007D6A14"/>
    <w:rsid w:val="007E3AA7"/>
    <w:rsid w:val="007E415B"/>
    <w:rsid w:val="007E5808"/>
    <w:rsid w:val="007F3E18"/>
    <w:rsid w:val="007F6A12"/>
    <w:rsid w:val="007F7028"/>
    <w:rsid w:val="008000E7"/>
    <w:rsid w:val="00803207"/>
    <w:rsid w:val="00812977"/>
    <w:rsid w:val="00813041"/>
    <w:rsid w:val="00813217"/>
    <w:rsid w:val="00814979"/>
    <w:rsid w:val="00815C30"/>
    <w:rsid w:val="00825F7B"/>
    <w:rsid w:val="008418D6"/>
    <w:rsid w:val="00846022"/>
    <w:rsid w:val="008570FF"/>
    <w:rsid w:val="00857DC4"/>
    <w:rsid w:val="008608FF"/>
    <w:rsid w:val="00860F60"/>
    <w:rsid w:val="008656EC"/>
    <w:rsid w:val="00866062"/>
    <w:rsid w:val="00871990"/>
    <w:rsid w:val="00874291"/>
    <w:rsid w:val="00874E75"/>
    <w:rsid w:val="00876CE3"/>
    <w:rsid w:val="00876D09"/>
    <w:rsid w:val="008828A2"/>
    <w:rsid w:val="0088535B"/>
    <w:rsid w:val="00887F8A"/>
    <w:rsid w:val="00894613"/>
    <w:rsid w:val="008948E3"/>
    <w:rsid w:val="00896FE4"/>
    <w:rsid w:val="008A0955"/>
    <w:rsid w:val="008A2D53"/>
    <w:rsid w:val="008A3989"/>
    <w:rsid w:val="008B0E18"/>
    <w:rsid w:val="008B14C5"/>
    <w:rsid w:val="008B29F2"/>
    <w:rsid w:val="008B2CC4"/>
    <w:rsid w:val="008B3719"/>
    <w:rsid w:val="008B4477"/>
    <w:rsid w:val="008B6648"/>
    <w:rsid w:val="008C11A1"/>
    <w:rsid w:val="008C13C2"/>
    <w:rsid w:val="008C3500"/>
    <w:rsid w:val="008D3273"/>
    <w:rsid w:val="008D37F0"/>
    <w:rsid w:val="008D5F41"/>
    <w:rsid w:val="008D781A"/>
    <w:rsid w:val="008F4173"/>
    <w:rsid w:val="008F4872"/>
    <w:rsid w:val="008F5B25"/>
    <w:rsid w:val="00900D9C"/>
    <w:rsid w:val="00901EFA"/>
    <w:rsid w:val="00902186"/>
    <w:rsid w:val="00905F75"/>
    <w:rsid w:val="00911A6F"/>
    <w:rsid w:val="00911DC8"/>
    <w:rsid w:val="00911E0C"/>
    <w:rsid w:val="009123BE"/>
    <w:rsid w:val="00912740"/>
    <w:rsid w:val="009132D6"/>
    <w:rsid w:val="00913725"/>
    <w:rsid w:val="00921796"/>
    <w:rsid w:val="009265C2"/>
    <w:rsid w:val="00933619"/>
    <w:rsid w:val="009346A6"/>
    <w:rsid w:val="009353AF"/>
    <w:rsid w:val="009359D3"/>
    <w:rsid w:val="0094464E"/>
    <w:rsid w:val="0094715E"/>
    <w:rsid w:val="00947C09"/>
    <w:rsid w:val="00950920"/>
    <w:rsid w:val="00950FAE"/>
    <w:rsid w:val="009517FE"/>
    <w:rsid w:val="00954C72"/>
    <w:rsid w:val="00963482"/>
    <w:rsid w:val="00963E42"/>
    <w:rsid w:val="00965FAD"/>
    <w:rsid w:val="0097051B"/>
    <w:rsid w:val="00970BA2"/>
    <w:rsid w:val="00970C98"/>
    <w:rsid w:val="00973875"/>
    <w:rsid w:val="00980147"/>
    <w:rsid w:val="00982ED2"/>
    <w:rsid w:val="00983FB1"/>
    <w:rsid w:val="00987730"/>
    <w:rsid w:val="00990DD0"/>
    <w:rsid w:val="009954FA"/>
    <w:rsid w:val="00995D93"/>
    <w:rsid w:val="009A0429"/>
    <w:rsid w:val="009A58D2"/>
    <w:rsid w:val="009A5B2E"/>
    <w:rsid w:val="009A7383"/>
    <w:rsid w:val="009A7AF5"/>
    <w:rsid w:val="009B1B97"/>
    <w:rsid w:val="009B1C62"/>
    <w:rsid w:val="009B462E"/>
    <w:rsid w:val="009B6CD0"/>
    <w:rsid w:val="009C7402"/>
    <w:rsid w:val="009D0CDA"/>
    <w:rsid w:val="009D228E"/>
    <w:rsid w:val="009D7DE4"/>
    <w:rsid w:val="009E41F4"/>
    <w:rsid w:val="009F0992"/>
    <w:rsid w:val="009F7F2C"/>
    <w:rsid w:val="00A00146"/>
    <w:rsid w:val="00A03A43"/>
    <w:rsid w:val="00A052A5"/>
    <w:rsid w:val="00A0672F"/>
    <w:rsid w:val="00A11329"/>
    <w:rsid w:val="00A12FFE"/>
    <w:rsid w:val="00A13824"/>
    <w:rsid w:val="00A16FC5"/>
    <w:rsid w:val="00A17199"/>
    <w:rsid w:val="00A17F59"/>
    <w:rsid w:val="00A21805"/>
    <w:rsid w:val="00A2626A"/>
    <w:rsid w:val="00A26C43"/>
    <w:rsid w:val="00A3031A"/>
    <w:rsid w:val="00A315C3"/>
    <w:rsid w:val="00A31B9D"/>
    <w:rsid w:val="00A34821"/>
    <w:rsid w:val="00A405BA"/>
    <w:rsid w:val="00A44FB8"/>
    <w:rsid w:val="00A46D28"/>
    <w:rsid w:val="00A47D5F"/>
    <w:rsid w:val="00A53745"/>
    <w:rsid w:val="00A548CC"/>
    <w:rsid w:val="00A56069"/>
    <w:rsid w:val="00A56654"/>
    <w:rsid w:val="00A60ACA"/>
    <w:rsid w:val="00A7089D"/>
    <w:rsid w:val="00A709B7"/>
    <w:rsid w:val="00A70EFD"/>
    <w:rsid w:val="00A7468E"/>
    <w:rsid w:val="00A759A5"/>
    <w:rsid w:val="00A75FEA"/>
    <w:rsid w:val="00A80206"/>
    <w:rsid w:val="00A80D1E"/>
    <w:rsid w:val="00A81045"/>
    <w:rsid w:val="00A81335"/>
    <w:rsid w:val="00A81DE4"/>
    <w:rsid w:val="00A83213"/>
    <w:rsid w:val="00A87092"/>
    <w:rsid w:val="00A92385"/>
    <w:rsid w:val="00A935E6"/>
    <w:rsid w:val="00A96183"/>
    <w:rsid w:val="00A97D4F"/>
    <w:rsid w:val="00AA02C5"/>
    <w:rsid w:val="00AA14D5"/>
    <w:rsid w:val="00AA7ACE"/>
    <w:rsid w:val="00AB7432"/>
    <w:rsid w:val="00AC229D"/>
    <w:rsid w:val="00AC2B4D"/>
    <w:rsid w:val="00AC6493"/>
    <w:rsid w:val="00AD0EE5"/>
    <w:rsid w:val="00AD7D02"/>
    <w:rsid w:val="00AE2F2B"/>
    <w:rsid w:val="00AE4702"/>
    <w:rsid w:val="00AE68CE"/>
    <w:rsid w:val="00AE793E"/>
    <w:rsid w:val="00AF5DE7"/>
    <w:rsid w:val="00AF64BD"/>
    <w:rsid w:val="00B00663"/>
    <w:rsid w:val="00B03F64"/>
    <w:rsid w:val="00B10AA6"/>
    <w:rsid w:val="00B1173A"/>
    <w:rsid w:val="00B12E9E"/>
    <w:rsid w:val="00B2492E"/>
    <w:rsid w:val="00B269E1"/>
    <w:rsid w:val="00B26B30"/>
    <w:rsid w:val="00B27D49"/>
    <w:rsid w:val="00B316F2"/>
    <w:rsid w:val="00B31E41"/>
    <w:rsid w:val="00B342E2"/>
    <w:rsid w:val="00B34540"/>
    <w:rsid w:val="00B373E0"/>
    <w:rsid w:val="00B43C70"/>
    <w:rsid w:val="00B43FB5"/>
    <w:rsid w:val="00B47C34"/>
    <w:rsid w:val="00B5161E"/>
    <w:rsid w:val="00B52880"/>
    <w:rsid w:val="00B5471C"/>
    <w:rsid w:val="00B61A3F"/>
    <w:rsid w:val="00B6277B"/>
    <w:rsid w:val="00B65518"/>
    <w:rsid w:val="00B6734B"/>
    <w:rsid w:val="00B746D4"/>
    <w:rsid w:val="00B74FC1"/>
    <w:rsid w:val="00B80FB4"/>
    <w:rsid w:val="00B82AC3"/>
    <w:rsid w:val="00B85647"/>
    <w:rsid w:val="00B91D13"/>
    <w:rsid w:val="00B924C0"/>
    <w:rsid w:val="00B93C29"/>
    <w:rsid w:val="00BA01BE"/>
    <w:rsid w:val="00BA1CB0"/>
    <w:rsid w:val="00BB5942"/>
    <w:rsid w:val="00BC4C19"/>
    <w:rsid w:val="00BC558F"/>
    <w:rsid w:val="00BD0932"/>
    <w:rsid w:val="00BD3016"/>
    <w:rsid w:val="00BD38EC"/>
    <w:rsid w:val="00BD3DF7"/>
    <w:rsid w:val="00BD5F3E"/>
    <w:rsid w:val="00BE07A6"/>
    <w:rsid w:val="00BE31E3"/>
    <w:rsid w:val="00BE3DBC"/>
    <w:rsid w:val="00BE4781"/>
    <w:rsid w:val="00BE518C"/>
    <w:rsid w:val="00BE5900"/>
    <w:rsid w:val="00BF1385"/>
    <w:rsid w:val="00BF187F"/>
    <w:rsid w:val="00BF3943"/>
    <w:rsid w:val="00BF4F78"/>
    <w:rsid w:val="00BF6717"/>
    <w:rsid w:val="00C008B1"/>
    <w:rsid w:val="00C079A1"/>
    <w:rsid w:val="00C15801"/>
    <w:rsid w:val="00C161D8"/>
    <w:rsid w:val="00C20C8A"/>
    <w:rsid w:val="00C224BE"/>
    <w:rsid w:val="00C25573"/>
    <w:rsid w:val="00C309A6"/>
    <w:rsid w:val="00C30BF3"/>
    <w:rsid w:val="00C30C0D"/>
    <w:rsid w:val="00C33FD8"/>
    <w:rsid w:val="00C40331"/>
    <w:rsid w:val="00C411A6"/>
    <w:rsid w:val="00C42A88"/>
    <w:rsid w:val="00C44D3A"/>
    <w:rsid w:val="00C44F95"/>
    <w:rsid w:val="00C502A6"/>
    <w:rsid w:val="00C50860"/>
    <w:rsid w:val="00C52ADC"/>
    <w:rsid w:val="00C5350E"/>
    <w:rsid w:val="00C558EA"/>
    <w:rsid w:val="00C55F77"/>
    <w:rsid w:val="00C57D16"/>
    <w:rsid w:val="00C607A3"/>
    <w:rsid w:val="00C6309E"/>
    <w:rsid w:val="00C64469"/>
    <w:rsid w:val="00C70F0F"/>
    <w:rsid w:val="00C71E43"/>
    <w:rsid w:val="00C75AD2"/>
    <w:rsid w:val="00C80990"/>
    <w:rsid w:val="00C80A8F"/>
    <w:rsid w:val="00C971CA"/>
    <w:rsid w:val="00CA010C"/>
    <w:rsid w:val="00CA0E01"/>
    <w:rsid w:val="00CB1E14"/>
    <w:rsid w:val="00CC2674"/>
    <w:rsid w:val="00CC275F"/>
    <w:rsid w:val="00CC4774"/>
    <w:rsid w:val="00CC5EB7"/>
    <w:rsid w:val="00CC7475"/>
    <w:rsid w:val="00CC75C4"/>
    <w:rsid w:val="00CD08D2"/>
    <w:rsid w:val="00CD2049"/>
    <w:rsid w:val="00CD42BA"/>
    <w:rsid w:val="00CD4E3F"/>
    <w:rsid w:val="00CD5AE5"/>
    <w:rsid w:val="00CD5AF2"/>
    <w:rsid w:val="00CE4248"/>
    <w:rsid w:val="00CE6A56"/>
    <w:rsid w:val="00CF23DD"/>
    <w:rsid w:val="00CF4F2A"/>
    <w:rsid w:val="00CF51ED"/>
    <w:rsid w:val="00CF5357"/>
    <w:rsid w:val="00CF76DF"/>
    <w:rsid w:val="00D006B7"/>
    <w:rsid w:val="00D026A5"/>
    <w:rsid w:val="00D04E7E"/>
    <w:rsid w:val="00D067D9"/>
    <w:rsid w:val="00D076CD"/>
    <w:rsid w:val="00D13EF5"/>
    <w:rsid w:val="00D14BF0"/>
    <w:rsid w:val="00D14E49"/>
    <w:rsid w:val="00D17F71"/>
    <w:rsid w:val="00D37B4D"/>
    <w:rsid w:val="00D42680"/>
    <w:rsid w:val="00D4574B"/>
    <w:rsid w:val="00D45F10"/>
    <w:rsid w:val="00D52D34"/>
    <w:rsid w:val="00D557EA"/>
    <w:rsid w:val="00D5581A"/>
    <w:rsid w:val="00D55B54"/>
    <w:rsid w:val="00D56DE2"/>
    <w:rsid w:val="00D60EDC"/>
    <w:rsid w:val="00D637C0"/>
    <w:rsid w:val="00D66044"/>
    <w:rsid w:val="00D675A2"/>
    <w:rsid w:val="00D70C60"/>
    <w:rsid w:val="00D70F6D"/>
    <w:rsid w:val="00D74AB6"/>
    <w:rsid w:val="00D76FBE"/>
    <w:rsid w:val="00D808A7"/>
    <w:rsid w:val="00D81523"/>
    <w:rsid w:val="00D81DDD"/>
    <w:rsid w:val="00D84019"/>
    <w:rsid w:val="00D8623B"/>
    <w:rsid w:val="00D90381"/>
    <w:rsid w:val="00D953C0"/>
    <w:rsid w:val="00D95FC9"/>
    <w:rsid w:val="00DA0EBB"/>
    <w:rsid w:val="00DA45AE"/>
    <w:rsid w:val="00DA557D"/>
    <w:rsid w:val="00DB21F7"/>
    <w:rsid w:val="00DB6742"/>
    <w:rsid w:val="00DC1EDB"/>
    <w:rsid w:val="00DC2F18"/>
    <w:rsid w:val="00DC6A23"/>
    <w:rsid w:val="00DC7D95"/>
    <w:rsid w:val="00DD0713"/>
    <w:rsid w:val="00DD0B9B"/>
    <w:rsid w:val="00DD572D"/>
    <w:rsid w:val="00DE1490"/>
    <w:rsid w:val="00DE1655"/>
    <w:rsid w:val="00DE5404"/>
    <w:rsid w:val="00DF3C36"/>
    <w:rsid w:val="00DF4673"/>
    <w:rsid w:val="00E00B31"/>
    <w:rsid w:val="00E07F98"/>
    <w:rsid w:val="00E10BFE"/>
    <w:rsid w:val="00E11A9B"/>
    <w:rsid w:val="00E12442"/>
    <w:rsid w:val="00E12FFF"/>
    <w:rsid w:val="00E14479"/>
    <w:rsid w:val="00E14802"/>
    <w:rsid w:val="00E1628D"/>
    <w:rsid w:val="00E168B8"/>
    <w:rsid w:val="00E16ADD"/>
    <w:rsid w:val="00E20137"/>
    <w:rsid w:val="00E222E3"/>
    <w:rsid w:val="00E2487F"/>
    <w:rsid w:val="00E260AB"/>
    <w:rsid w:val="00E3280E"/>
    <w:rsid w:val="00E35570"/>
    <w:rsid w:val="00E35AA4"/>
    <w:rsid w:val="00E37B04"/>
    <w:rsid w:val="00E40E21"/>
    <w:rsid w:val="00E424AC"/>
    <w:rsid w:val="00E434A1"/>
    <w:rsid w:val="00E4410F"/>
    <w:rsid w:val="00E47288"/>
    <w:rsid w:val="00E53722"/>
    <w:rsid w:val="00E56109"/>
    <w:rsid w:val="00E607EE"/>
    <w:rsid w:val="00E65F9D"/>
    <w:rsid w:val="00E67E2F"/>
    <w:rsid w:val="00E7410F"/>
    <w:rsid w:val="00E759B4"/>
    <w:rsid w:val="00E764CF"/>
    <w:rsid w:val="00E819B4"/>
    <w:rsid w:val="00E91428"/>
    <w:rsid w:val="00E93262"/>
    <w:rsid w:val="00E93307"/>
    <w:rsid w:val="00E93879"/>
    <w:rsid w:val="00E93ACC"/>
    <w:rsid w:val="00E95E39"/>
    <w:rsid w:val="00E97EE6"/>
    <w:rsid w:val="00EA3A5C"/>
    <w:rsid w:val="00EB1C5E"/>
    <w:rsid w:val="00EB50F5"/>
    <w:rsid w:val="00ED008A"/>
    <w:rsid w:val="00ED500B"/>
    <w:rsid w:val="00ED587D"/>
    <w:rsid w:val="00ED6B3C"/>
    <w:rsid w:val="00EE0601"/>
    <w:rsid w:val="00EE2077"/>
    <w:rsid w:val="00EF0178"/>
    <w:rsid w:val="00EF1450"/>
    <w:rsid w:val="00EF31AB"/>
    <w:rsid w:val="00EF3A64"/>
    <w:rsid w:val="00EF3A7F"/>
    <w:rsid w:val="00EF709A"/>
    <w:rsid w:val="00EF7DAB"/>
    <w:rsid w:val="00F05CDC"/>
    <w:rsid w:val="00F1477C"/>
    <w:rsid w:val="00F153AB"/>
    <w:rsid w:val="00F20A4C"/>
    <w:rsid w:val="00F210A5"/>
    <w:rsid w:val="00F24DA9"/>
    <w:rsid w:val="00F26521"/>
    <w:rsid w:val="00F321D0"/>
    <w:rsid w:val="00F3435D"/>
    <w:rsid w:val="00F34DF9"/>
    <w:rsid w:val="00F3519B"/>
    <w:rsid w:val="00F3622C"/>
    <w:rsid w:val="00F3685B"/>
    <w:rsid w:val="00F424B7"/>
    <w:rsid w:val="00F44BD2"/>
    <w:rsid w:val="00F47831"/>
    <w:rsid w:val="00F50252"/>
    <w:rsid w:val="00F51FB6"/>
    <w:rsid w:val="00F53972"/>
    <w:rsid w:val="00F5439C"/>
    <w:rsid w:val="00F543A0"/>
    <w:rsid w:val="00F54D8B"/>
    <w:rsid w:val="00F6271D"/>
    <w:rsid w:val="00F62EB5"/>
    <w:rsid w:val="00F743BD"/>
    <w:rsid w:val="00F75935"/>
    <w:rsid w:val="00F8061C"/>
    <w:rsid w:val="00F8315C"/>
    <w:rsid w:val="00F83FCE"/>
    <w:rsid w:val="00F83FE8"/>
    <w:rsid w:val="00F90FBC"/>
    <w:rsid w:val="00F912D2"/>
    <w:rsid w:val="00F9506B"/>
    <w:rsid w:val="00F9604C"/>
    <w:rsid w:val="00F96773"/>
    <w:rsid w:val="00FA3720"/>
    <w:rsid w:val="00FA4D09"/>
    <w:rsid w:val="00FA5E9E"/>
    <w:rsid w:val="00FA6674"/>
    <w:rsid w:val="00FB362E"/>
    <w:rsid w:val="00FB4039"/>
    <w:rsid w:val="00FD2A7B"/>
    <w:rsid w:val="00FE65D7"/>
    <w:rsid w:val="00FE759B"/>
    <w:rsid w:val="00FF4049"/>
    <w:rsid w:val="00FF7B59"/>
  </w:rsids>
  <m:mathPr>
    <m:mathFont m:val="Cambria Math"/>
    <m:brkBin m:val="before"/>
    <m:brkBinSub m:val="--"/>
    <m:smallFrac m:val="0"/>
    <m:dispDef/>
    <m:lMargin m:val="0"/>
    <m:rMargin m:val="0"/>
    <m:defJc m:val="centerGroup"/>
    <m:wrapIndent m:val="1440"/>
    <m:intLim m:val="subSup"/>
    <m:naryLim m:val="undOvr"/>
  </m:mathPr>
  <w:themeFontLang w:val="en-GB" w:bidi="yi-He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5F749"/>
  <w15:chartTrackingRefBased/>
  <w15:docId w15:val="{86390F30-5EBC-43D9-81AA-47E90C23A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23C7"/>
    <w:pPr>
      <w:spacing w:after="0" w:line="240" w:lineRule="auto"/>
    </w:pPr>
    <w:rPr>
      <w:rFonts w:ascii="Times New Roman" w:eastAsia="Times New Roman" w:hAnsi="Times New Roman" w:cs="Times New Roman"/>
      <w:sz w:val="24"/>
      <w:szCs w:val="24"/>
      <w:lang w:val="en-ZA" w:eastAsia="en-GB" w:bidi="yi-Hebr"/>
    </w:rPr>
  </w:style>
  <w:style w:type="paragraph" w:styleId="Heading2">
    <w:name w:val="heading 2"/>
    <w:basedOn w:val="Normal"/>
    <w:link w:val="Heading2Char"/>
    <w:uiPriority w:val="9"/>
    <w:qFormat/>
    <w:rsid w:val="00CF23DD"/>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3519B"/>
    <w:rPr>
      <w:rFonts w:asciiTheme="minorHAnsi" w:eastAsiaTheme="minorHAnsi" w:hAnsiTheme="minorHAnsi" w:cstheme="minorBidi"/>
      <w:sz w:val="20"/>
      <w:szCs w:val="20"/>
      <w:lang w:val="en-GB" w:eastAsia="en-US" w:bidi="ar-SA"/>
    </w:rPr>
  </w:style>
  <w:style w:type="character" w:customStyle="1" w:styleId="FootnoteTextChar">
    <w:name w:val="Footnote Text Char"/>
    <w:basedOn w:val="DefaultParagraphFont"/>
    <w:link w:val="FootnoteText"/>
    <w:uiPriority w:val="99"/>
    <w:semiHidden/>
    <w:rsid w:val="00F3519B"/>
    <w:rPr>
      <w:sz w:val="20"/>
      <w:szCs w:val="20"/>
    </w:rPr>
  </w:style>
  <w:style w:type="character" w:styleId="FootnoteReference">
    <w:name w:val="footnote reference"/>
    <w:basedOn w:val="DefaultParagraphFont"/>
    <w:uiPriority w:val="99"/>
    <w:semiHidden/>
    <w:unhideWhenUsed/>
    <w:rsid w:val="00F3519B"/>
    <w:rPr>
      <w:vertAlign w:val="superscript"/>
    </w:rPr>
  </w:style>
  <w:style w:type="paragraph" w:styleId="ListParagraph">
    <w:name w:val="List Paragraph"/>
    <w:basedOn w:val="Normal"/>
    <w:uiPriority w:val="34"/>
    <w:qFormat/>
    <w:rsid w:val="000C00D4"/>
    <w:pPr>
      <w:spacing w:after="160" w:line="259" w:lineRule="auto"/>
      <w:ind w:left="720"/>
      <w:contextualSpacing/>
    </w:pPr>
    <w:rPr>
      <w:rFonts w:asciiTheme="minorHAnsi" w:eastAsiaTheme="minorHAnsi" w:hAnsiTheme="minorHAnsi" w:cstheme="minorBidi"/>
      <w:sz w:val="22"/>
      <w:szCs w:val="22"/>
      <w:lang w:val="en-GB" w:eastAsia="en-US" w:bidi="ar-SA"/>
    </w:rPr>
  </w:style>
  <w:style w:type="paragraph" w:styleId="Header">
    <w:name w:val="header"/>
    <w:basedOn w:val="Normal"/>
    <w:link w:val="HeaderChar"/>
    <w:uiPriority w:val="99"/>
    <w:unhideWhenUsed/>
    <w:rsid w:val="003B7165"/>
    <w:pPr>
      <w:tabs>
        <w:tab w:val="center" w:pos="4513"/>
        <w:tab w:val="right" w:pos="9026"/>
      </w:tabs>
    </w:pPr>
    <w:rPr>
      <w:rFonts w:asciiTheme="minorHAnsi" w:eastAsiaTheme="minorHAnsi" w:hAnsiTheme="minorHAnsi" w:cstheme="minorBidi"/>
      <w:sz w:val="22"/>
      <w:szCs w:val="22"/>
      <w:lang w:val="en-GB" w:eastAsia="en-US" w:bidi="ar-SA"/>
    </w:rPr>
  </w:style>
  <w:style w:type="character" w:customStyle="1" w:styleId="HeaderChar">
    <w:name w:val="Header Char"/>
    <w:basedOn w:val="DefaultParagraphFont"/>
    <w:link w:val="Header"/>
    <w:uiPriority w:val="99"/>
    <w:rsid w:val="003B7165"/>
  </w:style>
  <w:style w:type="paragraph" w:styleId="Footer">
    <w:name w:val="footer"/>
    <w:basedOn w:val="Normal"/>
    <w:link w:val="FooterChar"/>
    <w:uiPriority w:val="99"/>
    <w:unhideWhenUsed/>
    <w:rsid w:val="003B7165"/>
    <w:pPr>
      <w:tabs>
        <w:tab w:val="center" w:pos="4513"/>
        <w:tab w:val="right" w:pos="9026"/>
      </w:tabs>
    </w:pPr>
    <w:rPr>
      <w:rFonts w:asciiTheme="minorHAnsi" w:eastAsiaTheme="minorHAnsi" w:hAnsiTheme="minorHAnsi" w:cstheme="minorBidi"/>
      <w:sz w:val="22"/>
      <w:szCs w:val="22"/>
      <w:lang w:val="en-GB" w:eastAsia="en-US" w:bidi="ar-SA"/>
    </w:rPr>
  </w:style>
  <w:style w:type="character" w:customStyle="1" w:styleId="FooterChar">
    <w:name w:val="Footer Char"/>
    <w:basedOn w:val="DefaultParagraphFont"/>
    <w:link w:val="Footer"/>
    <w:uiPriority w:val="99"/>
    <w:rsid w:val="003B7165"/>
  </w:style>
  <w:style w:type="character" w:styleId="PageNumber">
    <w:name w:val="page number"/>
    <w:basedOn w:val="DefaultParagraphFont"/>
    <w:uiPriority w:val="99"/>
    <w:semiHidden/>
    <w:unhideWhenUsed/>
    <w:rsid w:val="003B7165"/>
  </w:style>
  <w:style w:type="character" w:customStyle="1" w:styleId="apple-converted-space">
    <w:name w:val="apple-converted-space"/>
    <w:basedOn w:val="DefaultParagraphFont"/>
    <w:rsid w:val="00E40E21"/>
  </w:style>
  <w:style w:type="character" w:styleId="Hyperlink">
    <w:name w:val="Hyperlink"/>
    <w:basedOn w:val="DefaultParagraphFont"/>
    <w:uiPriority w:val="99"/>
    <w:unhideWhenUsed/>
    <w:rsid w:val="00E40E21"/>
    <w:rPr>
      <w:color w:val="0000FF"/>
      <w:u w:val="single"/>
    </w:rPr>
  </w:style>
  <w:style w:type="paragraph" w:styleId="NormalWeb">
    <w:name w:val="Normal (Web)"/>
    <w:basedOn w:val="Normal"/>
    <w:uiPriority w:val="99"/>
    <w:unhideWhenUsed/>
    <w:rsid w:val="00E40E21"/>
    <w:pPr>
      <w:spacing w:before="100" w:beforeAutospacing="1" w:after="100" w:afterAutospacing="1"/>
    </w:pPr>
  </w:style>
  <w:style w:type="character" w:styleId="FollowedHyperlink">
    <w:name w:val="FollowedHyperlink"/>
    <w:basedOn w:val="DefaultParagraphFont"/>
    <w:uiPriority w:val="99"/>
    <w:semiHidden/>
    <w:unhideWhenUsed/>
    <w:rsid w:val="000F57F6"/>
    <w:rPr>
      <w:color w:val="954F72" w:themeColor="followedHyperlink"/>
      <w:u w:val="single"/>
    </w:rPr>
  </w:style>
  <w:style w:type="character" w:customStyle="1" w:styleId="Heading2Char">
    <w:name w:val="Heading 2 Char"/>
    <w:basedOn w:val="DefaultParagraphFont"/>
    <w:link w:val="Heading2"/>
    <w:uiPriority w:val="9"/>
    <w:rsid w:val="00CF23DD"/>
    <w:rPr>
      <w:rFonts w:ascii="Times New Roman" w:eastAsia="Times New Roman" w:hAnsi="Times New Roman" w:cs="Times New Roman"/>
      <w:b/>
      <w:bCs/>
      <w:sz w:val="36"/>
      <w:szCs w:val="36"/>
      <w:lang w:val="en-ZA" w:eastAsia="en-GB" w:bidi="yi-Hebr"/>
    </w:rPr>
  </w:style>
  <w:style w:type="paragraph" w:customStyle="1" w:styleId="western">
    <w:name w:val="western"/>
    <w:basedOn w:val="Normal"/>
    <w:rsid w:val="007209FB"/>
    <w:pPr>
      <w:spacing w:before="100" w:beforeAutospacing="1" w:after="100" w:afterAutospacing="1"/>
    </w:pPr>
  </w:style>
  <w:style w:type="paragraph" w:customStyle="1" w:styleId="onenormal">
    <w:name w:val="one normal"/>
    <w:basedOn w:val="Normal"/>
    <w:qFormat/>
    <w:rsid w:val="000B3EDD"/>
    <w:pPr>
      <w:spacing w:line="360" w:lineRule="auto"/>
      <w:ind w:left="720" w:hanging="720"/>
      <w:jc w:val="both"/>
    </w:pPr>
    <w:rPr>
      <w:rFonts w:ascii="Arial" w:hAnsi="Arial" w:cs="Arial"/>
      <w:sz w:val="20"/>
      <w:szCs w:val="20"/>
      <w:lang w:val="en-IE" w:eastAsia="en-IE" w:bidi="ar-SA"/>
    </w:rPr>
  </w:style>
  <w:style w:type="paragraph" w:styleId="CommentText">
    <w:name w:val="annotation text"/>
    <w:basedOn w:val="Normal"/>
    <w:link w:val="CommentTextChar"/>
    <w:uiPriority w:val="99"/>
    <w:unhideWhenUsed/>
    <w:rsid w:val="0004582B"/>
    <w:rPr>
      <w:sz w:val="20"/>
      <w:szCs w:val="20"/>
    </w:rPr>
  </w:style>
  <w:style w:type="character" w:customStyle="1" w:styleId="CommentTextChar">
    <w:name w:val="Comment Text Char"/>
    <w:basedOn w:val="DefaultParagraphFont"/>
    <w:link w:val="CommentText"/>
    <w:uiPriority w:val="99"/>
    <w:rsid w:val="0004582B"/>
    <w:rPr>
      <w:rFonts w:ascii="Times New Roman" w:eastAsia="Times New Roman" w:hAnsi="Times New Roman" w:cs="Times New Roman"/>
      <w:sz w:val="20"/>
      <w:szCs w:val="20"/>
      <w:lang w:val="en-ZA" w:eastAsia="en-GB" w:bidi="yi-Hebr"/>
    </w:rPr>
  </w:style>
  <w:style w:type="paragraph" w:styleId="BalloonText">
    <w:name w:val="Balloon Text"/>
    <w:basedOn w:val="Normal"/>
    <w:link w:val="BalloonTextChar"/>
    <w:uiPriority w:val="99"/>
    <w:semiHidden/>
    <w:unhideWhenUsed/>
    <w:rsid w:val="00D37B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7B4D"/>
    <w:rPr>
      <w:rFonts w:ascii="Segoe UI" w:eastAsia="Times New Roman" w:hAnsi="Segoe UI" w:cs="Segoe UI"/>
      <w:sz w:val="18"/>
      <w:szCs w:val="18"/>
      <w:lang w:val="en-ZA" w:eastAsia="en-GB" w:bidi="yi-Hebr"/>
    </w:rPr>
  </w:style>
  <w:style w:type="character" w:styleId="CommentReference">
    <w:name w:val="annotation reference"/>
    <w:basedOn w:val="DefaultParagraphFont"/>
    <w:uiPriority w:val="99"/>
    <w:semiHidden/>
    <w:unhideWhenUsed/>
    <w:rsid w:val="000D44E4"/>
    <w:rPr>
      <w:sz w:val="16"/>
      <w:szCs w:val="16"/>
    </w:rPr>
  </w:style>
  <w:style w:type="paragraph" w:styleId="CommentSubject">
    <w:name w:val="annotation subject"/>
    <w:basedOn w:val="CommentText"/>
    <w:next w:val="CommentText"/>
    <w:link w:val="CommentSubjectChar"/>
    <w:uiPriority w:val="99"/>
    <w:semiHidden/>
    <w:unhideWhenUsed/>
    <w:rsid w:val="000D44E4"/>
    <w:rPr>
      <w:b/>
      <w:bCs/>
    </w:rPr>
  </w:style>
  <w:style w:type="character" w:customStyle="1" w:styleId="CommentSubjectChar">
    <w:name w:val="Comment Subject Char"/>
    <w:basedOn w:val="CommentTextChar"/>
    <w:link w:val="CommentSubject"/>
    <w:uiPriority w:val="99"/>
    <w:semiHidden/>
    <w:rsid w:val="000D44E4"/>
    <w:rPr>
      <w:rFonts w:ascii="Times New Roman" w:eastAsia="Times New Roman" w:hAnsi="Times New Roman" w:cs="Times New Roman"/>
      <w:b/>
      <w:bCs/>
      <w:sz w:val="20"/>
      <w:szCs w:val="20"/>
      <w:lang w:val="en-ZA" w:eastAsia="en-GB" w:bidi="yi-He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58490">
      <w:bodyDiv w:val="1"/>
      <w:marLeft w:val="0"/>
      <w:marRight w:val="0"/>
      <w:marTop w:val="0"/>
      <w:marBottom w:val="0"/>
      <w:divBdr>
        <w:top w:val="none" w:sz="0" w:space="0" w:color="auto"/>
        <w:left w:val="none" w:sz="0" w:space="0" w:color="auto"/>
        <w:bottom w:val="none" w:sz="0" w:space="0" w:color="auto"/>
        <w:right w:val="none" w:sz="0" w:space="0" w:color="auto"/>
      </w:divBdr>
      <w:divsChild>
        <w:div w:id="1133909979">
          <w:marLeft w:val="0"/>
          <w:marRight w:val="0"/>
          <w:marTop w:val="0"/>
          <w:marBottom w:val="0"/>
          <w:divBdr>
            <w:top w:val="none" w:sz="0" w:space="0" w:color="auto"/>
            <w:left w:val="none" w:sz="0" w:space="0" w:color="auto"/>
            <w:bottom w:val="none" w:sz="0" w:space="0" w:color="auto"/>
            <w:right w:val="none" w:sz="0" w:space="0" w:color="auto"/>
          </w:divBdr>
          <w:divsChild>
            <w:div w:id="134765202">
              <w:marLeft w:val="0"/>
              <w:marRight w:val="0"/>
              <w:marTop w:val="0"/>
              <w:marBottom w:val="0"/>
              <w:divBdr>
                <w:top w:val="none" w:sz="0" w:space="0" w:color="auto"/>
                <w:left w:val="none" w:sz="0" w:space="0" w:color="auto"/>
                <w:bottom w:val="none" w:sz="0" w:space="0" w:color="auto"/>
                <w:right w:val="none" w:sz="0" w:space="0" w:color="auto"/>
              </w:divBdr>
              <w:divsChild>
                <w:div w:id="554123332">
                  <w:marLeft w:val="0"/>
                  <w:marRight w:val="0"/>
                  <w:marTop w:val="0"/>
                  <w:marBottom w:val="0"/>
                  <w:divBdr>
                    <w:top w:val="none" w:sz="0" w:space="0" w:color="auto"/>
                    <w:left w:val="none" w:sz="0" w:space="0" w:color="auto"/>
                    <w:bottom w:val="none" w:sz="0" w:space="0" w:color="auto"/>
                    <w:right w:val="none" w:sz="0" w:space="0" w:color="auto"/>
                  </w:divBdr>
                </w:div>
              </w:divsChild>
            </w:div>
            <w:div w:id="851800931">
              <w:marLeft w:val="0"/>
              <w:marRight w:val="0"/>
              <w:marTop w:val="0"/>
              <w:marBottom w:val="0"/>
              <w:divBdr>
                <w:top w:val="none" w:sz="0" w:space="0" w:color="auto"/>
                <w:left w:val="none" w:sz="0" w:space="0" w:color="auto"/>
                <w:bottom w:val="none" w:sz="0" w:space="0" w:color="auto"/>
                <w:right w:val="none" w:sz="0" w:space="0" w:color="auto"/>
              </w:divBdr>
              <w:divsChild>
                <w:div w:id="83063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198248">
          <w:marLeft w:val="0"/>
          <w:marRight w:val="0"/>
          <w:marTop w:val="0"/>
          <w:marBottom w:val="0"/>
          <w:divBdr>
            <w:top w:val="none" w:sz="0" w:space="0" w:color="auto"/>
            <w:left w:val="none" w:sz="0" w:space="0" w:color="auto"/>
            <w:bottom w:val="none" w:sz="0" w:space="0" w:color="auto"/>
            <w:right w:val="none" w:sz="0" w:space="0" w:color="auto"/>
          </w:divBdr>
          <w:divsChild>
            <w:div w:id="1919702939">
              <w:marLeft w:val="0"/>
              <w:marRight w:val="0"/>
              <w:marTop w:val="0"/>
              <w:marBottom w:val="0"/>
              <w:divBdr>
                <w:top w:val="none" w:sz="0" w:space="0" w:color="auto"/>
                <w:left w:val="none" w:sz="0" w:space="0" w:color="auto"/>
                <w:bottom w:val="none" w:sz="0" w:space="0" w:color="auto"/>
                <w:right w:val="none" w:sz="0" w:space="0" w:color="auto"/>
              </w:divBdr>
              <w:divsChild>
                <w:div w:id="129213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04992">
      <w:bodyDiv w:val="1"/>
      <w:marLeft w:val="0"/>
      <w:marRight w:val="0"/>
      <w:marTop w:val="0"/>
      <w:marBottom w:val="0"/>
      <w:divBdr>
        <w:top w:val="none" w:sz="0" w:space="0" w:color="auto"/>
        <w:left w:val="none" w:sz="0" w:space="0" w:color="auto"/>
        <w:bottom w:val="none" w:sz="0" w:space="0" w:color="auto"/>
        <w:right w:val="none" w:sz="0" w:space="0" w:color="auto"/>
      </w:divBdr>
    </w:div>
    <w:div w:id="57020214">
      <w:bodyDiv w:val="1"/>
      <w:marLeft w:val="0"/>
      <w:marRight w:val="0"/>
      <w:marTop w:val="0"/>
      <w:marBottom w:val="0"/>
      <w:divBdr>
        <w:top w:val="none" w:sz="0" w:space="0" w:color="auto"/>
        <w:left w:val="none" w:sz="0" w:space="0" w:color="auto"/>
        <w:bottom w:val="none" w:sz="0" w:space="0" w:color="auto"/>
        <w:right w:val="none" w:sz="0" w:space="0" w:color="auto"/>
      </w:divBdr>
    </w:div>
    <w:div w:id="87584049">
      <w:bodyDiv w:val="1"/>
      <w:marLeft w:val="0"/>
      <w:marRight w:val="0"/>
      <w:marTop w:val="0"/>
      <w:marBottom w:val="0"/>
      <w:divBdr>
        <w:top w:val="none" w:sz="0" w:space="0" w:color="auto"/>
        <w:left w:val="none" w:sz="0" w:space="0" w:color="auto"/>
        <w:bottom w:val="none" w:sz="0" w:space="0" w:color="auto"/>
        <w:right w:val="none" w:sz="0" w:space="0" w:color="auto"/>
      </w:divBdr>
      <w:divsChild>
        <w:div w:id="223684097">
          <w:marLeft w:val="0"/>
          <w:marRight w:val="0"/>
          <w:marTop w:val="0"/>
          <w:marBottom w:val="0"/>
          <w:divBdr>
            <w:top w:val="none" w:sz="0" w:space="0" w:color="auto"/>
            <w:left w:val="none" w:sz="0" w:space="0" w:color="auto"/>
            <w:bottom w:val="none" w:sz="0" w:space="0" w:color="auto"/>
            <w:right w:val="none" w:sz="0" w:space="0" w:color="auto"/>
          </w:divBdr>
          <w:divsChild>
            <w:div w:id="919749128">
              <w:marLeft w:val="0"/>
              <w:marRight w:val="0"/>
              <w:marTop w:val="0"/>
              <w:marBottom w:val="0"/>
              <w:divBdr>
                <w:top w:val="none" w:sz="0" w:space="0" w:color="auto"/>
                <w:left w:val="none" w:sz="0" w:space="0" w:color="auto"/>
                <w:bottom w:val="none" w:sz="0" w:space="0" w:color="auto"/>
                <w:right w:val="none" w:sz="0" w:space="0" w:color="auto"/>
              </w:divBdr>
              <w:divsChild>
                <w:div w:id="1249771918">
                  <w:marLeft w:val="0"/>
                  <w:marRight w:val="0"/>
                  <w:marTop w:val="0"/>
                  <w:marBottom w:val="0"/>
                  <w:divBdr>
                    <w:top w:val="none" w:sz="0" w:space="0" w:color="auto"/>
                    <w:left w:val="none" w:sz="0" w:space="0" w:color="auto"/>
                    <w:bottom w:val="none" w:sz="0" w:space="0" w:color="auto"/>
                    <w:right w:val="none" w:sz="0" w:space="0" w:color="auto"/>
                  </w:divBdr>
                </w:div>
              </w:divsChild>
            </w:div>
            <w:div w:id="1497569714">
              <w:marLeft w:val="0"/>
              <w:marRight w:val="0"/>
              <w:marTop w:val="0"/>
              <w:marBottom w:val="0"/>
              <w:divBdr>
                <w:top w:val="none" w:sz="0" w:space="0" w:color="auto"/>
                <w:left w:val="none" w:sz="0" w:space="0" w:color="auto"/>
                <w:bottom w:val="none" w:sz="0" w:space="0" w:color="auto"/>
                <w:right w:val="none" w:sz="0" w:space="0" w:color="auto"/>
              </w:divBdr>
              <w:divsChild>
                <w:div w:id="1405640463">
                  <w:marLeft w:val="0"/>
                  <w:marRight w:val="0"/>
                  <w:marTop w:val="0"/>
                  <w:marBottom w:val="0"/>
                  <w:divBdr>
                    <w:top w:val="none" w:sz="0" w:space="0" w:color="auto"/>
                    <w:left w:val="none" w:sz="0" w:space="0" w:color="auto"/>
                    <w:bottom w:val="none" w:sz="0" w:space="0" w:color="auto"/>
                    <w:right w:val="none" w:sz="0" w:space="0" w:color="auto"/>
                  </w:divBdr>
                </w:div>
              </w:divsChild>
            </w:div>
            <w:div w:id="403845151">
              <w:marLeft w:val="0"/>
              <w:marRight w:val="0"/>
              <w:marTop w:val="0"/>
              <w:marBottom w:val="0"/>
              <w:divBdr>
                <w:top w:val="none" w:sz="0" w:space="0" w:color="auto"/>
                <w:left w:val="none" w:sz="0" w:space="0" w:color="auto"/>
                <w:bottom w:val="none" w:sz="0" w:space="0" w:color="auto"/>
                <w:right w:val="none" w:sz="0" w:space="0" w:color="auto"/>
              </w:divBdr>
              <w:divsChild>
                <w:div w:id="1658027361">
                  <w:marLeft w:val="0"/>
                  <w:marRight w:val="0"/>
                  <w:marTop w:val="0"/>
                  <w:marBottom w:val="0"/>
                  <w:divBdr>
                    <w:top w:val="none" w:sz="0" w:space="0" w:color="auto"/>
                    <w:left w:val="none" w:sz="0" w:space="0" w:color="auto"/>
                    <w:bottom w:val="none" w:sz="0" w:space="0" w:color="auto"/>
                    <w:right w:val="none" w:sz="0" w:space="0" w:color="auto"/>
                  </w:divBdr>
                </w:div>
              </w:divsChild>
            </w:div>
            <w:div w:id="708607144">
              <w:marLeft w:val="0"/>
              <w:marRight w:val="0"/>
              <w:marTop w:val="0"/>
              <w:marBottom w:val="0"/>
              <w:divBdr>
                <w:top w:val="none" w:sz="0" w:space="0" w:color="auto"/>
                <w:left w:val="none" w:sz="0" w:space="0" w:color="auto"/>
                <w:bottom w:val="none" w:sz="0" w:space="0" w:color="auto"/>
                <w:right w:val="none" w:sz="0" w:space="0" w:color="auto"/>
              </w:divBdr>
              <w:divsChild>
                <w:div w:id="619145555">
                  <w:marLeft w:val="0"/>
                  <w:marRight w:val="0"/>
                  <w:marTop w:val="0"/>
                  <w:marBottom w:val="0"/>
                  <w:divBdr>
                    <w:top w:val="none" w:sz="0" w:space="0" w:color="auto"/>
                    <w:left w:val="none" w:sz="0" w:space="0" w:color="auto"/>
                    <w:bottom w:val="none" w:sz="0" w:space="0" w:color="auto"/>
                    <w:right w:val="none" w:sz="0" w:space="0" w:color="auto"/>
                  </w:divBdr>
                </w:div>
              </w:divsChild>
            </w:div>
            <w:div w:id="1106196471">
              <w:marLeft w:val="0"/>
              <w:marRight w:val="0"/>
              <w:marTop w:val="0"/>
              <w:marBottom w:val="0"/>
              <w:divBdr>
                <w:top w:val="none" w:sz="0" w:space="0" w:color="auto"/>
                <w:left w:val="none" w:sz="0" w:space="0" w:color="auto"/>
                <w:bottom w:val="none" w:sz="0" w:space="0" w:color="auto"/>
                <w:right w:val="none" w:sz="0" w:space="0" w:color="auto"/>
              </w:divBdr>
              <w:divsChild>
                <w:div w:id="143485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716896">
          <w:marLeft w:val="0"/>
          <w:marRight w:val="0"/>
          <w:marTop w:val="0"/>
          <w:marBottom w:val="0"/>
          <w:divBdr>
            <w:top w:val="none" w:sz="0" w:space="0" w:color="auto"/>
            <w:left w:val="none" w:sz="0" w:space="0" w:color="auto"/>
            <w:bottom w:val="none" w:sz="0" w:space="0" w:color="auto"/>
            <w:right w:val="none" w:sz="0" w:space="0" w:color="auto"/>
          </w:divBdr>
          <w:divsChild>
            <w:div w:id="482350796">
              <w:marLeft w:val="0"/>
              <w:marRight w:val="0"/>
              <w:marTop w:val="0"/>
              <w:marBottom w:val="0"/>
              <w:divBdr>
                <w:top w:val="none" w:sz="0" w:space="0" w:color="auto"/>
                <w:left w:val="none" w:sz="0" w:space="0" w:color="auto"/>
                <w:bottom w:val="none" w:sz="0" w:space="0" w:color="auto"/>
                <w:right w:val="none" w:sz="0" w:space="0" w:color="auto"/>
              </w:divBdr>
              <w:divsChild>
                <w:div w:id="443186656">
                  <w:marLeft w:val="0"/>
                  <w:marRight w:val="0"/>
                  <w:marTop w:val="0"/>
                  <w:marBottom w:val="0"/>
                  <w:divBdr>
                    <w:top w:val="none" w:sz="0" w:space="0" w:color="auto"/>
                    <w:left w:val="none" w:sz="0" w:space="0" w:color="auto"/>
                    <w:bottom w:val="none" w:sz="0" w:space="0" w:color="auto"/>
                    <w:right w:val="none" w:sz="0" w:space="0" w:color="auto"/>
                  </w:divBdr>
                </w:div>
              </w:divsChild>
            </w:div>
            <w:div w:id="909272575">
              <w:marLeft w:val="0"/>
              <w:marRight w:val="0"/>
              <w:marTop w:val="0"/>
              <w:marBottom w:val="0"/>
              <w:divBdr>
                <w:top w:val="none" w:sz="0" w:space="0" w:color="auto"/>
                <w:left w:val="none" w:sz="0" w:space="0" w:color="auto"/>
                <w:bottom w:val="none" w:sz="0" w:space="0" w:color="auto"/>
                <w:right w:val="none" w:sz="0" w:space="0" w:color="auto"/>
              </w:divBdr>
              <w:divsChild>
                <w:div w:id="271668785">
                  <w:marLeft w:val="0"/>
                  <w:marRight w:val="0"/>
                  <w:marTop w:val="0"/>
                  <w:marBottom w:val="0"/>
                  <w:divBdr>
                    <w:top w:val="none" w:sz="0" w:space="0" w:color="auto"/>
                    <w:left w:val="none" w:sz="0" w:space="0" w:color="auto"/>
                    <w:bottom w:val="none" w:sz="0" w:space="0" w:color="auto"/>
                    <w:right w:val="none" w:sz="0" w:space="0" w:color="auto"/>
                  </w:divBdr>
                </w:div>
              </w:divsChild>
            </w:div>
            <w:div w:id="804005448">
              <w:marLeft w:val="0"/>
              <w:marRight w:val="0"/>
              <w:marTop w:val="0"/>
              <w:marBottom w:val="0"/>
              <w:divBdr>
                <w:top w:val="none" w:sz="0" w:space="0" w:color="auto"/>
                <w:left w:val="none" w:sz="0" w:space="0" w:color="auto"/>
                <w:bottom w:val="none" w:sz="0" w:space="0" w:color="auto"/>
                <w:right w:val="none" w:sz="0" w:space="0" w:color="auto"/>
              </w:divBdr>
              <w:divsChild>
                <w:div w:id="187646051">
                  <w:marLeft w:val="0"/>
                  <w:marRight w:val="0"/>
                  <w:marTop w:val="0"/>
                  <w:marBottom w:val="0"/>
                  <w:divBdr>
                    <w:top w:val="none" w:sz="0" w:space="0" w:color="auto"/>
                    <w:left w:val="none" w:sz="0" w:space="0" w:color="auto"/>
                    <w:bottom w:val="none" w:sz="0" w:space="0" w:color="auto"/>
                    <w:right w:val="none" w:sz="0" w:space="0" w:color="auto"/>
                  </w:divBdr>
                </w:div>
              </w:divsChild>
            </w:div>
            <w:div w:id="392386269">
              <w:marLeft w:val="0"/>
              <w:marRight w:val="0"/>
              <w:marTop w:val="0"/>
              <w:marBottom w:val="0"/>
              <w:divBdr>
                <w:top w:val="none" w:sz="0" w:space="0" w:color="auto"/>
                <w:left w:val="none" w:sz="0" w:space="0" w:color="auto"/>
                <w:bottom w:val="none" w:sz="0" w:space="0" w:color="auto"/>
                <w:right w:val="none" w:sz="0" w:space="0" w:color="auto"/>
              </w:divBdr>
              <w:divsChild>
                <w:div w:id="907031622">
                  <w:marLeft w:val="0"/>
                  <w:marRight w:val="0"/>
                  <w:marTop w:val="0"/>
                  <w:marBottom w:val="0"/>
                  <w:divBdr>
                    <w:top w:val="none" w:sz="0" w:space="0" w:color="auto"/>
                    <w:left w:val="none" w:sz="0" w:space="0" w:color="auto"/>
                    <w:bottom w:val="none" w:sz="0" w:space="0" w:color="auto"/>
                    <w:right w:val="none" w:sz="0" w:space="0" w:color="auto"/>
                  </w:divBdr>
                </w:div>
                <w:div w:id="2134711806">
                  <w:marLeft w:val="0"/>
                  <w:marRight w:val="0"/>
                  <w:marTop w:val="0"/>
                  <w:marBottom w:val="0"/>
                  <w:divBdr>
                    <w:top w:val="none" w:sz="0" w:space="0" w:color="auto"/>
                    <w:left w:val="none" w:sz="0" w:space="0" w:color="auto"/>
                    <w:bottom w:val="none" w:sz="0" w:space="0" w:color="auto"/>
                    <w:right w:val="none" w:sz="0" w:space="0" w:color="auto"/>
                  </w:divBdr>
                </w:div>
              </w:divsChild>
            </w:div>
            <w:div w:id="758140251">
              <w:marLeft w:val="0"/>
              <w:marRight w:val="0"/>
              <w:marTop w:val="0"/>
              <w:marBottom w:val="0"/>
              <w:divBdr>
                <w:top w:val="none" w:sz="0" w:space="0" w:color="auto"/>
                <w:left w:val="none" w:sz="0" w:space="0" w:color="auto"/>
                <w:bottom w:val="none" w:sz="0" w:space="0" w:color="auto"/>
                <w:right w:val="none" w:sz="0" w:space="0" w:color="auto"/>
              </w:divBdr>
              <w:divsChild>
                <w:div w:id="1872180522">
                  <w:marLeft w:val="0"/>
                  <w:marRight w:val="0"/>
                  <w:marTop w:val="0"/>
                  <w:marBottom w:val="0"/>
                  <w:divBdr>
                    <w:top w:val="none" w:sz="0" w:space="0" w:color="auto"/>
                    <w:left w:val="none" w:sz="0" w:space="0" w:color="auto"/>
                    <w:bottom w:val="none" w:sz="0" w:space="0" w:color="auto"/>
                    <w:right w:val="none" w:sz="0" w:space="0" w:color="auto"/>
                  </w:divBdr>
                </w:div>
                <w:div w:id="524558356">
                  <w:marLeft w:val="0"/>
                  <w:marRight w:val="0"/>
                  <w:marTop w:val="0"/>
                  <w:marBottom w:val="0"/>
                  <w:divBdr>
                    <w:top w:val="none" w:sz="0" w:space="0" w:color="auto"/>
                    <w:left w:val="none" w:sz="0" w:space="0" w:color="auto"/>
                    <w:bottom w:val="none" w:sz="0" w:space="0" w:color="auto"/>
                    <w:right w:val="none" w:sz="0" w:space="0" w:color="auto"/>
                  </w:divBdr>
                </w:div>
              </w:divsChild>
            </w:div>
            <w:div w:id="1209144496">
              <w:marLeft w:val="0"/>
              <w:marRight w:val="0"/>
              <w:marTop w:val="0"/>
              <w:marBottom w:val="0"/>
              <w:divBdr>
                <w:top w:val="none" w:sz="0" w:space="0" w:color="auto"/>
                <w:left w:val="none" w:sz="0" w:space="0" w:color="auto"/>
                <w:bottom w:val="none" w:sz="0" w:space="0" w:color="auto"/>
                <w:right w:val="none" w:sz="0" w:space="0" w:color="auto"/>
              </w:divBdr>
              <w:divsChild>
                <w:div w:id="692538909">
                  <w:marLeft w:val="0"/>
                  <w:marRight w:val="0"/>
                  <w:marTop w:val="0"/>
                  <w:marBottom w:val="0"/>
                  <w:divBdr>
                    <w:top w:val="none" w:sz="0" w:space="0" w:color="auto"/>
                    <w:left w:val="none" w:sz="0" w:space="0" w:color="auto"/>
                    <w:bottom w:val="none" w:sz="0" w:space="0" w:color="auto"/>
                    <w:right w:val="none" w:sz="0" w:space="0" w:color="auto"/>
                  </w:divBdr>
                </w:div>
              </w:divsChild>
            </w:div>
            <w:div w:id="181238674">
              <w:marLeft w:val="0"/>
              <w:marRight w:val="0"/>
              <w:marTop w:val="0"/>
              <w:marBottom w:val="0"/>
              <w:divBdr>
                <w:top w:val="none" w:sz="0" w:space="0" w:color="auto"/>
                <w:left w:val="none" w:sz="0" w:space="0" w:color="auto"/>
                <w:bottom w:val="none" w:sz="0" w:space="0" w:color="auto"/>
                <w:right w:val="none" w:sz="0" w:space="0" w:color="auto"/>
              </w:divBdr>
              <w:divsChild>
                <w:div w:id="115325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59807">
      <w:bodyDiv w:val="1"/>
      <w:marLeft w:val="0"/>
      <w:marRight w:val="0"/>
      <w:marTop w:val="0"/>
      <w:marBottom w:val="0"/>
      <w:divBdr>
        <w:top w:val="none" w:sz="0" w:space="0" w:color="auto"/>
        <w:left w:val="none" w:sz="0" w:space="0" w:color="auto"/>
        <w:bottom w:val="none" w:sz="0" w:space="0" w:color="auto"/>
        <w:right w:val="none" w:sz="0" w:space="0" w:color="auto"/>
      </w:divBdr>
      <w:divsChild>
        <w:div w:id="585072182">
          <w:marLeft w:val="0"/>
          <w:marRight w:val="0"/>
          <w:marTop w:val="0"/>
          <w:marBottom w:val="0"/>
          <w:divBdr>
            <w:top w:val="none" w:sz="0" w:space="0" w:color="auto"/>
            <w:left w:val="none" w:sz="0" w:space="0" w:color="auto"/>
            <w:bottom w:val="none" w:sz="0" w:space="0" w:color="auto"/>
            <w:right w:val="none" w:sz="0" w:space="0" w:color="auto"/>
          </w:divBdr>
          <w:divsChild>
            <w:div w:id="1341548732">
              <w:marLeft w:val="0"/>
              <w:marRight w:val="0"/>
              <w:marTop w:val="0"/>
              <w:marBottom w:val="0"/>
              <w:divBdr>
                <w:top w:val="none" w:sz="0" w:space="0" w:color="auto"/>
                <w:left w:val="none" w:sz="0" w:space="0" w:color="auto"/>
                <w:bottom w:val="none" w:sz="0" w:space="0" w:color="auto"/>
                <w:right w:val="none" w:sz="0" w:space="0" w:color="auto"/>
              </w:divBdr>
              <w:divsChild>
                <w:div w:id="58322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97218">
      <w:bodyDiv w:val="1"/>
      <w:marLeft w:val="0"/>
      <w:marRight w:val="0"/>
      <w:marTop w:val="0"/>
      <w:marBottom w:val="0"/>
      <w:divBdr>
        <w:top w:val="none" w:sz="0" w:space="0" w:color="auto"/>
        <w:left w:val="none" w:sz="0" w:space="0" w:color="auto"/>
        <w:bottom w:val="none" w:sz="0" w:space="0" w:color="auto"/>
        <w:right w:val="none" w:sz="0" w:space="0" w:color="auto"/>
      </w:divBdr>
      <w:divsChild>
        <w:div w:id="1538808381">
          <w:marLeft w:val="0"/>
          <w:marRight w:val="0"/>
          <w:marTop w:val="0"/>
          <w:marBottom w:val="0"/>
          <w:divBdr>
            <w:top w:val="none" w:sz="0" w:space="0" w:color="auto"/>
            <w:left w:val="none" w:sz="0" w:space="0" w:color="auto"/>
            <w:bottom w:val="none" w:sz="0" w:space="0" w:color="auto"/>
            <w:right w:val="none" w:sz="0" w:space="0" w:color="auto"/>
          </w:divBdr>
          <w:divsChild>
            <w:div w:id="653727998">
              <w:marLeft w:val="0"/>
              <w:marRight w:val="0"/>
              <w:marTop w:val="0"/>
              <w:marBottom w:val="0"/>
              <w:divBdr>
                <w:top w:val="none" w:sz="0" w:space="0" w:color="auto"/>
                <w:left w:val="none" w:sz="0" w:space="0" w:color="auto"/>
                <w:bottom w:val="none" w:sz="0" w:space="0" w:color="auto"/>
                <w:right w:val="none" w:sz="0" w:space="0" w:color="auto"/>
              </w:divBdr>
              <w:divsChild>
                <w:div w:id="133680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81908">
      <w:bodyDiv w:val="1"/>
      <w:marLeft w:val="0"/>
      <w:marRight w:val="0"/>
      <w:marTop w:val="0"/>
      <w:marBottom w:val="0"/>
      <w:divBdr>
        <w:top w:val="none" w:sz="0" w:space="0" w:color="auto"/>
        <w:left w:val="none" w:sz="0" w:space="0" w:color="auto"/>
        <w:bottom w:val="none" w:sz="0" w:space="0" w:color="auto"/>
        <w:right w:val="none" w:sz="0" w:space="0" w:color="auto"/>
      </w:divBdr>
      <w:divsChild>
        <w:div w:id="1746488472">
          <w:marLeft w:val="0"/>
          <w:marRight w:val="0"/>
          <w:marTop w:val="0"/>
          <w:marBottom w:val="0"/>
          <w:divBdr>
            <w:top w:val="none" w:sz="0" w:space="0" w:color="auto"/>
            <w:left w:val="none" w:sz="0" w:space="0" w:color="auto"/>
            <w:bottom w:val="none" w:sz="0" w:space="0" w:color="auto"/>
            <w:right w:val="none" w:sz="0" w:space="0" w:color="auto"/>
          </w:divBdr>
          <w:divsChild>
            <w:div w:id="1854612378">
              <w:marLeft w:val="0"/>
              <w:marRight w:val="0"/>
              <w:marTop w:val="0"/>
              <w:marBottom w:val="0"/>
              <w:divBdr>
                <w:top w:val="none" w:sz="0" w:space="0" w:color="auto"/>
                <w:left w:val="none" w:sz="0" w:space="0" w:color="auto"/>
                <w:bottom w:val="none" w:sz="0" w:space="0" w:color="auto"/>
                <w:right w:val="none" w:sz="0" w:space="0" w:color="auto"/>
              </w:divBdr>
              <w:divsChild>
                <w:div w:id="66612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6639">
      <w:bodyDiv w:val="1"/>
      <w:marLeft w:val="0"/>
      <w:marRight w:val="0"/>
      <w:marTop w:val="0"/>
      <w:marBottom w:val="0"/>
      <w:divBdr>
        <w:top w:val="none" w:sz="0" w:space="0" w:color="auto"/>
        <w:left w:val="none" w:sz="0" w:space="0" w:color="auto"/>
        <w:bottom w:val="none" w:sz="0" w:space="0" w:color="auto"/>
        <w:right w:val="none" w:sz="0" w:space="0" w:color="auto"/>
      </w:divBdr>
    </w:div>
    <w:div w:id="266543837">
      <w:bodyDiv w:val="1"/>
      <w:marLeft w:val="0"/>
      <w:marRight w:val="0"/>
      <w:marTop w:val="0"/>
      <w:marBottom w:val="0"/>
      <w:divBdr>
        <w:top w:val="none" w:sz="0" w:space="0" w:color="auto"/>
        <w:left w:val="none" w:sz="0" w:space="0" w:color="auto"/>
        <w:bottom w:val="none" w:sz="0" w:space="0" w:color="auto"/>
        <w:right w:val="none" w:sz="0" w:space="0" w:color="auto"/>
      </w:divBdr>
    </w:div>
    <w:div w:id="276563499">
      <w:bodyDiv w:val="1"/>
      <w:marLeft w:val="0"/>
      <w:marRight w:val="0"/>
      <w:marTop w:val="0"/>
      <w:marBottom w:val="0"/>
      <w:divBdr>
        <w:top w:val="none" w:sz="0" w:space="0" w:color="auto"/>
        <w:left w:val="none" w:sz="0" w:space="0" w:color="auto"/>
        <w:bottom w:val="none" w:sz="0" w:space="0" w:color="auto"/>
        <w:right w:val="none" w:sz="0" w:space="0" w:color="auto"/>
      </w:divBdr>
    </w:div>
    <w:div w:id="319886998">
      <w:bodyDiv w:val="1"/>
      <w:marLeft w:val="0"/>
      <w:marRight w:val="0"/>
      <w:marTop w:val="0"/>
      <w:marBottom w:val="0"/>
      <w:divBdr>
        <w:top w:val="none" w:sz="0" w:space="0" w:color="auto"/>
        <w:left w:val="none" w:sz="0" w:space="0" w:color="auto"/>
        <w:bottom w:val="none" w:sz="0" w:space="0" w:color="auto"/>
        <w:right w:val="none" w:sz="0" w:space="0" w:color="auto"/>
      </w:divBdr>
      <w:divsChild>
        <w:div w:id="1227909905">
          <w:marLeft w:val="0"/>
          <w:marRight w:val="0"/>
          <w:marTop w:val="0"/>
          <w:marBottom w:val="0"/>
          <w:divBdr>
            <w:top w:val="none" w:sz="0" w:space="0" w:color="auto"/>
            <w:left w:val="none" w:sz="0" w:space="0" w:color="auto"/>
            <w:bottom w:val="none" w:sz="0" w:space="0" w:color="auto"/>
            <w:right w:val="none" w:sz="0" w:space="0" w:color="auto"/>
          </w:divBdr>
          <w:divsChild>
            <w:div w:id="1075006144">
              <w:marLeft w:val="0"/>
              <w:marRight w:val="0"/>
              <w:marTop w:val="0"/>
              <w:marBottom w:val="0"/>
              <w:divBdr>
                <w:top w:val="none" w:sz="0" w:space="0" w:color="auto"/>
                <w:left w:val="none" w:sz="0" w:space="0" w:color="auto"/>
                <w:bottom w:val="none" w:sz="0" w:space="0" w:color="auto"/>
                <w:right w:val="none" w:sz="0" w:space="0" w:color="auto"/>
              </w:divBdr>
              <w:divsChild>
                <w:div w:id="52822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045352">
      <w:bodyDiv w:val="1"/>
      <w:marLeft w:val="0"/>
      <w:marRight w:val="0"/>
      <w:marTop w:val="0"/>
      <w:marBottom w:val="0"/>
      <w:divBdr>
        <w:top w:val="none" w:sz="0" w:space="0" w:color="auto"/>
        <w:left w:val="none" w:sz="0" w:space="0" w:color="auto"/>
        <w:bottom w:val="none" w:sz="0" w:space="0" w:color="auto"/>
        <w:right w:val="none" w:sz="0" w:space="0" w:color="auto"/>
      </w:divBdr>
    </w:div>
    <w:div w:id="378669634">
      <w:bodyDiv w:val="1"/>
      <w:marLeft w:val="0"/>
      <w:marRight w:val="0"/>
      <w:marTop w:val="0"/>
      <w:marBottom w:val="0"/>
      <w:divBdr>
        <w:top w:val="none" w:sz="0" w:space="0" w:color="auto"/>
        <w:left w:val="none" w:sz="0" w:space="0" w:color="auto"/>
        <w:bottom w:val="none" w:sz="0" w:space="0" w:color="auto"/>
        <w:right w:val="none" w:sz="0" w:space="0" w:color="auto"/>
      </w:divBdr>
    </w:div>
    <w:div w:id="383256308">
      <w:bodyDiv w:val="1"/>
      <w:marLeft w:val="0"/>
      <w:marRight w:val="0"/>
      <w:marTop w:val="0"/>
      <w:marBottom w:val="0"/>
      <w:divBdr>
        <w:top w:val="none" w:sz="0" w:space="0" w:color="auto"/>
        <w:left w:val="none" w:sz="0" w:space="0" w:color="auto"/>
        <w:bottom w:val="none" w:sz="0" w:space="0" w:color="auto"/>
        <w:right w:val="none" w:sz="0" w:space="0" w:color="auto"/>
      </w:divBdr>
      <w:divsChild>
        <w:div w:id="516240395">
          <w:marLeft w:val="0"/>
          <w:marRight w:val="0"/>
          <w:marTop w:val="0"/>
          <w:marBottom w:val="0"/>
          <w:divBdr>
            <w:top w:val="none" w:sz="0" w:space="0" w:color="auto"/>
            <w:left w:val="none" w:sz="0" w:space="0" w:color="auto"/>
            <w:bottom w:val="none" w:sz="0" w:space="0" w:color="auto"/>
            <w:right w:val="none" w:sz="0" w:space="0" w:color="auto"/>
          </w:divBdr>
          <w:divsChild>
            <w:div w:id="429813775">
              <w:marLeft w:val="0"/>
              <w:marRight w:val="0"/>
              <w:marTop w:val="0"/>
              <w:marBottom w:val="0"/>
              <w:divBdr>
                <w:top w:val="none" w:sz="0" w:space="0" w:color="auto"/>
                <w:left w:val="none" w:sz="0" w:space="0" w:color="auto"/>
                <w:bottom w:val="none" w:sz="0" w:space="0" w:color="auto"/>
                <w:right w:val="none" w:sz="0" w:space="0" w:color="auto"/>
              </w:divBdr>
              <w:divsChild>
                <w:div w:id="165807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609743">
      <w:bodyDiv w:val="1"/>
      <w:marLeft w:val="0"/>
      <w:marRight w:val="0"/>
      <w:marTop w:val="0"/>
      <w:marBottom w:val="0"/>
      <w:divBdr>
        <w:top w:val="none" w:sz="0" w:space="0" w:color="auto"/>
        <w:left w:val="none" w:sz="0" w:space="0" w:color="auto"/>
        <w:bottom w:val="none" w:sz="0" w:space="0" w:color="auto"/>
        <w:right w:val="none" w:sz="0" w:space="0" w:color="auto"/>
      </w:divBdr>
    </w:div>
    <w:div w:id="432093653">
      <w:bodyDiv w:val="1"/>
      <w:marLeft w:val="0"/>
      <w:marRight w:val="0"/>
      <w:marTop w:val="0"/>
      <w:marBottom w:val="0"/>
      <w:divBdr>
        <w:top w:val="none" w:sz="0" w:space="0" w:color="auto"/>
        <w:left w:val="none" w:sz="0" w:space="0" w:color="auto"/>
        <w:bottom w:val="none" w:sz="0" w:space="0" w:color="auto"/>
        <w:right w:val="none" w:sz="0" w:space="0" w:color="auto"/>
      </w:divBdr>
    </w:div>
    <w:div w:id="507404925">
      <w:bodyDiv w:val="1"/>
      <w:marLeft w:val="0"/>
      <w:marRight w:val="0"/>
      <w:marTop w:val="0"/>
      <w:marBottom w:val="0"/>
      <w:divBdr>
        <w:top w:val="none" w:sz="0" w:space="0" w:color="auto"/>
        <w:left w:val="none" w:sz="0" w:space="0" w:color="auto"/>
        <w:bottom w:val="none" w:sz="0" w:space="0" w:color="auto"/>
        <w:right w:val="none" w:sz="0" w:space="0" w:color="auto"/>
      </w:divBdr>
    </w:div>
    <w:div w:id="534660910">
      <w:bodyDiv w:val="1"/>
      <w:marLeft w:val="0"/>
      <w:marRight w:val="0"/>
      <w:marTop w:val="0"/>
      <w:marBottom w:val="0"/>
      <w:divBdr>
        <w:top w:val="none" w:sz="0" w:space="0" w:color="auto"/>
        <w:left w:val="none" w:sz="0" w:space="0" w:color="auto"/>
        <w:bottom w:val="none" w:sz="0" w:space="0" w:color="auto"/>
        <w:right w:val="none" w:sz="0" w:space="0" w:color="auto"/>
      </w:divBdr>
    </w:div>
    <w:div w:id="587344741">
      <w:bodyDiv w:val="1"/>
      <w:marLeft w:val="0"/>
      <w:marRight w:val="0"/>
      <w:marTop w:val="0"/>
      <w:marBottom w:val="0"/>
      <w:divBdr>
        <w:top w:val="none" w:sz="0" w:space="0" w:color="auto"/>
        <w:left w:val="none" w:sz="0" w:space="0" w:color="auto"/>
        <w:bottom w:val="none" w:sz="0" w:space="0" w:color="auto"/>
        <w:right w:val="none" w:sz="0" w:space="0" w:color="auto"/>
      </w:divBdr>
    </w:div>
    <w:div w:id="601228470">
      <w:bodyDiv w:val="1"/>
      <w:marLeft w:val="0"/>
      <w:marRight w:val="0"/>
      <w:marTop w:val="0"/>
      <w:marBottom w:val="0"/>
      <w:divBdr>
        <w:top w:val="none" w:sz="0" w:space="0" w:color="auto"/>
        <w:left w:val="none" w:sz="0" w:space="0" w:color="auto"/>
        <w:bottom w:val="none" w:sz="0" w:space="0" w:color="auto"/>
        <w:right w:val="none" w:sz="0" w:space="0" w:color="auto"/>
      </w:divBdr>
      <w:divsChild>
        <w:div w:id="1781491190">
          <w:marLeft w:val="0"/>
          <w:marRight w:val="0"/>
          <w:marTop w:val="0"/>
          <w:marBottom w:val="0"/>
          <w:divBdr>
            <w:top w:val="none" w:sz="0" w:space="0" w:color="auto"/>
            <w:left w:val="none" w:sz="0" w:space="0" w:color="auto"/>
            <w:bottom w:val="none" w:sz="0" w:space="0" w:color="auto"/>
            <w:right w:val="none" w:sz="0" w:space="0" w:color="auto"/>
          </w:divBdr>
          <w:divsChild>
            <w:div w:id="320892278">
              <w:marLeft w:val="0"/>
              <w:marRight w:val="0"/>
              <w:marTop w:val="0"/>
              <w:marBottom w:val="0"/>
              <w:divBdr>
                <w:top w:val="none" w:sz="0" w:space="0" w:color="auto"/>
                <w:left w:val="none" w:sz="0" w:space="0" w:color="auto"/>
                <w:bottom w:val="none" w:sz="0" w:space="0" w:color="auto"/>
                <w:right w:val="none" w:sz="0" w:space="0" w:color="auto"/>
              </w:divBdr>
              <w:divsChild>
                <w:div w:id="79648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184951">
      <w:bodyDiv w:val="1"/>
      <w:marLeft w:val="0"/>
      <w:marRight w:val="0"/>
      <w:marTop w:val="0"/>
      <w:marBottom w:val="0"/>
      <w:divBdr>
        <w:top w:val="none" w:sz="0" w:space="0" w:color="auto"/>
        <w:left w:val="none" w:sz="0" w:space="0" w:color="auto"/>
        <w:bottom w:val="none" w:sz="0" w:space="0" w:color="auto"/>
        <w:right w:val="none" w:sz="0" w:space="0" w:color="auto"/>
      </w:divBdr>
    </w:div>
    <w:div w:id="638345301">
      <w:bodyDiv w:val="1"/>
      <w:marLeft w:val="0"/>
      <w:marRight w:val="0"/>
      <w:marTop w:val="0"/>
      <w:marBottom w:val="0"/>
      <w:divBdr>
        <w:top w:val="none" w:sz="0" w:space="0" w:color="auto"/>
        <w:left w:val="none" w:sz="0" w:space="0" w:color="auto"/>
        <w:bottom w:val="none" w:sz="0" w:space="0" w:color="auto"/>
        <w:right w:val="none" w:sz="0" w:space="0" w:color="auto"/>
      </w:divBdr>
    </w:div>
    <w:div w:id="644890281">
      <w:bodyDiv w:val="1"/>
      <w:marLeft w:val="0"/>
      <w:marRight w:val="0"/>
      <w:marTop w:val="0"/>
      <w:marBottom w:val="0"/>
      <w:divBdr>
        <w:top w:val="none" w:sz="0" w:space="0" w:color="auto"/>
        <w:left w:val="none" w:sz="0" w:space="0" w:color="auto"/>
        <w:bottom w:val="none" w:sz="0" w:space="0" w:color="auto"/>
        <w:right w:val="none" w:sz="0" w:space="0" w:color="auto"/>
      </w:divBdr>
      <w:divsChild>
        <w:div w:id="1168710265">
          <w:marLeft w:val="0"/>
          <w:marRight w:val="0"/>
          <w:marTop w:val="0"/>
          <w:marBottom w:val="0"/>
          <w:divBdr>
            <w:top w:val="none" w:sz="0" w:space="0" w:color="auto"/>
            <w:left w:val="none" w:sz="0" w:space="0" w:color="auto"/>
            <w:bottom w:val="none" w:sz="0" w:space="0" w:color="auto"/>
            <w:right w:val="none" w:sz="0" w:space="0" w:color="auto"/>
          </w:divBdr>
          <w:divsChild>
            <w:div w:id="1741516873">
              <w:marLeft w:val="0"/>
              <w:marRight w:val="0"/>
              <w:marTop w:val="0"/>
              <w:marBottom w:val="0"/>
              <w:divBdr>
                <w:top w:val="none" w:sz="0" w:space="0" w:color="auto"/>
                <w:left w:val="none" w:sz="0" w:space="0" w:color="auto"/>
                <w:bottom w:val="none" w:sz="0" w:space="0" w:color="auto"/>
                <w:right w:val="none" w:sz="0" w:space="0" w:color="auto"/>
              </w:divBdr>
              <w:divsChild>
                <w:div w:id="1935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867490">
      <w:bodyDiv w:val="1"/>
      <w:marLeft w:val="0"/>
      <w:marRight w:val="0"/>
      <w:marTop w:val="0"/>
      <w:marBottom w:val="0"/>
      <w:divBdr>
        <w:top w:val="none" w:sz="0" w:space="0" w:color="auto"/>
        <w:left w:val="none" w:sz="0" w:space="0" w:color="auto"/>
        <w:bottom w:val="none" w:sz="0" w:space="0" w:color="auto"/>
        <w:right w:val="none" w:sz="0" w:space="0" w:color="auto"/>
      </w:divBdr>
      <w:divsChild>
        <w:div w:id="1983851060">
          <w:marLeft w:val="0"/>
          <w:marRight w:val="0"/>
          <w:marTop w:val="0"/>
          <w:marBottom w:val="0"/>
          <w:divBdr>
            <w:top w:val="none" w:sz="0" w:space="0" w:color="auto"/>
            <w:left w:val="none" w:sz="0" w:space="0" w:color="auto"/>
            <w:bottom w:val="none" w:sz="0" w:space="0" w:color="auto"/>
            <w:right w:val="none" w:sz="0" w:space="0" w:color="auto"/>
          </w:divBdr>
          <w:divsChild>
            <w:div w:id="1395740270">
              <w:marLeft w:val="0"/>
              <w:marRight w:val="0"/>
              <w:marTop w:val="0"/>
              <w:marBottom w:val="0"/>
              <w:divBdr>
                <w:top w:val="none" w:sz="0" w:space="0" w:color="auto"/>
                <w:left w:val="none" w:sz="0" w:space="0" w:color="auto"/>
                <w:bottom w:val="none" w:sz="0" w:space="0" w:color="auto"/>
                <w:right w:val="none" w:sz="0" w:space="0" w:color="auto"/>
              </w:divBdr>
              <w:divsChild>
                <w:div w:id="205431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654607">
      <w:bodyDiv w:val="1"/>
      <w:marLeft w:val="0"/>
      <w:marRight w:val="0"/>
      <w:marTop w:val="0"/>
      <w:marBottom w:val="0"/>
      <w:divBdr>
        <w:top w:val="none" w:sz="0" w:space="0" w:color="auto"/>
        <w:left w:val="none" w:sz="0" w:space="0" w:color="auto"/>
        <w:bottom w:val="none" w:sz="0" w:space="0" w:color="auto"/>
        <w:right w:val="none" w:sz="0" w:space="0" w:color="auto"/>
      </w:divBdr>
      <w:divsChild>
        <w:div w:id="551771227">
          <w:marLeft w:val="0"/>
          <w:marRight w:val="0"/>
          <w:marTop w:val="0"/>
          <w:marBottom w:val="0"/>
          <w:divBdr>
            <w:top w:val="none" w:sz="0" w:space="0" w:color="auto"/>
            <w:left w:val="none" w:sz="0" w:space="0" w:color="auto"/>
            <w:bottom w:val="none" w:sz="0" w:space="0" w:color="auto"/>
            <w:right w:val="none" w:sz="0" w:space="0" w:color="auto"/>
          </w:divBdr>
          <w:divsChild>
            <w:div w:id="1283222656">
              <w:marLeft w:val="0"/>
              <w:marRight w:val="0"/>
              <w:marTop w:val="0"/>
              <w:marBottom w:val="0"/>
              <w:divBdr>
                <w:top w:val="none" w:sz="0" w:space="0" w:color="auto"/>
                <w:left w:val="none" w:sz="0" w:space="0" w:color="auto"/>
                <w:bottom w:val="none" w:sz="0" w:space="0" w:color="auto"/>
                <w:right w:val="none" w:sz="0" w:space="0" w:color="auto"/>
              </w:divBdr>
              <w:divsChild>
                <w:div w:id="161351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135924">
      <w:bodyDiv w:val="1"/>
      <w:marLeft w:val="0"/>
      <w:marRight w:val="0"/>
      <w:marTop w:val="0"/>
      <w:marBottom w:val="0"/>
      <w:divBdr>
        <w:top w:val="none" w:sz="0" w:space="0" w:color="auto"/>
        <w:left w:val="none" w:sz="0" w:space="0" w:color="auto"/>
        <w:bottom w:val="none" w:sz="0" w:space="0" w:color="auto"/>
        <w:right w:val="none" w:sz="0" w:space="0" w:color="auto"/>
      </w:divBdr>
      <w:divsChild>
        <w:div w:id="1097405062">
          <w:marLeft w:val="0"/>
          <w:marRight w:val="0"/>
          <w:marTop w:val="0"/>
          <w:marBottom w:val="0"/>
          <w:divBdr>
            <w:top w:val="none" w:sz="0" w:space="0" w:color="auto"/>
            <w:left w:val="none" w:sz="0" w:space="0" w:color="auto"/>
            <w:bottom w:val="none" w:sz="0" w:space="0" w:color="auto"/>
            <w:right w:val="none" w:sz="0" w:space="0" w:color="auto"/>
          </w:divBdr>
          <w:divsChild>
            <w:div w:id="163282838">
              <w:marLeft w:val="0"/>
              <w:marRight w:val="0"/>
              <w:marTop w:val="0"/>
              <w:marBottom w:val="0"/>
              <w:divBdr>
                <w:top w:val="none" w:sz="0" w:space="0" w:color="auto"/>
                <w:left w:val="none" w:sz="0" w:space="0" w:color="auto"/>
                <w:bottom w:val="none" w:sz="0" w:space="0" w:color="auto"/>
                <w:right w:val="none" w:sz="0" w:space="0" w:color="auto"/>
              </w:divBdr>
              <w:divsChild>
                <w:div w:id="80689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081620">
      <w:bodyDiv w:val="1"/>
      <w:marLeft w:val="0"/>
      <w:marRight w:val="0"/>
      <w:marTop w:val="0"/>
      <w:marBottom w:val="0"/>
      <w:divBdr>
        <w:top w:val="none" w:sz="0" w:space="0" w:color="auto"/>
        <w:left w:val="none" w:sz="0" w:space="0" w:color="auto"/>
        <w:bottom w:val="none" w:sz="0" w:space="0" w:color="auto"/>
        <w:right w:val="none" w:sz="0" w:space="0" w:color="auto"/>
      </w:divBdr>
    </w:div>
    <w:div w:id="763964710">
      <w:bodyDiv w:val="1"/>
      <w:marLeft w:val="0"/>
      <w:marRight w:val="0"/>
      <w:marTop w:val="0"/>
      <w:marBottom w:val="0"/>
      <w:divBdr>
        <w:top w:val="none" w:sz="0" w:space="0" w:color="auto"/>
        <w:left w:val="none" w:sz="0" w:space="0" w:color="auto"/>
        <w:bottom w:val="none" w:sz="0" w:space="0" w:color="auto"/>
        <w:right w:val="none" w:sz="0" w:space="0" w:color="auto"/>
      </w:divBdr>
      <w:divsChild>
        <w:div w:id="1949387866">
          <w:marLeft w:val="0"/>
          <w:marRight w:val="0"/>
          <w:marTop w:val="0"/>
          <w:marBottom w:val="0"/>
          <w:divBdr>
            <w:top w:val="none" w:sz="0" w:space="0" w:color="auto"/>
            <w:left w:val="none" w:sz="0" w:space="0" w:color="auto"/>
            <w:bottom w:val="none" w:sz="0" w:space="0" w:color="auto"/>
            <w:right w:val="none" w:sz="0" w:space="0" w:color="auto"/>
          </w:divBdr>
          <w:divsChild>
            <w:div w:id="2146577304">
              <w:marLeft w:val="0"/>
              <w:marRight w:val="0"/>
              <w:marTop w:val="0"/>
              <w:marBottom w:val="0"/>
              <w:divBdr>
                <w:top w:val="none" w:sz="0" w:space="0" w:color="auto"/>
                <w:left w:val="none" w:sz="0" w:space="0" w:color="auto"/>
                <w:bottom w:val="none" w:sz="0" w:space="0" w:color="auto"/>
                <w:right w:val="none" w:sz="0" w:space="0" w:color="auto"/>
              </w:divBdr>
              <w:divsChild>
                <w:div w:id="132489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100659">
      <w:bodyDiv w:val="1"/>
      <w:marLeft w:val="0"/>
      <w:marRight w:val="0"/>
      <w:marTop w:val="0"/>
      <w:marBottom w:val="0"/>
      <w:divBdr>
        <w:top w:val="none" w:sz="0" w:space="0" w:color="auto"/>
        <w:left w:val="none" w:sz="0" w:space="0" w:color="auto"/>
        <w:bottom w:val="none" w:sz="0" w:space="0" w:color="auto"/>
        <w:right w:val="none" w:sz="0" w:space="0" w:color="auto"/>
      </w:divBdr>
      <w:divsChild>
        <w:div w:id="2045985487">
          <w:marLeft w:val="0"/>
          <w:marRight w:val="0"/>
          <w:marTop w:val="0"/>
          <w:marBottom w:val="0"/>
          <w:divBdr>
            <w:top w:val="none" w:sz="0" w:space="0" w:color="auto"/>
            <w:left w:val="none" w:sz="0" w:space="0" w:color="auto"/>
            <w:bottom w:val="none" w:sz="0" w:space="0" w:color="auto"/>
            <w:right w:val="none" w:sz="0" w:space="0" w:color="auto"/>
          </w:divBdr>
          <w:divsChild>
            <w:div w:id="810901150">
              <w:marLeft w:val="0"/>
              <w:marRight w:val="0"/>
              <w:marTop w:val="0"/>
              <w:marBottom w:val="0"/>
              <w:divBdr>
                <w:top w:val="none" w:sz="0" w:space="0" w:color="auto"/>
                <w:left w:val="none" w:sz="0" w:space="0" w:color="auto"/>
                <w:bottom w:val="none" w:sz="0" w:space="0" w:color="auto"/>
                <w:right w:val="none" w:sz="0" w:space="0" w:color="auto"/>
              </w:divBdr>
              <w:divsChild>
                <w:div w:id="23594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438913">
      <w:bodyDiv w:val="1"/>
      <w:marLeft w:val="0"/>
      <w:marRight w:val="0"/>
      <w:marTop w:val="0"/>
      <w:marBottom w:val="0"/>
      <w:divBdr>
        <w:top w:val="none" w:sz="0" w:space="0" w:color="auto"/>
        <w:left w:val="none" w:sz="0" w:space="0" w:color="auto"/>
        <w:bottom w:val="none" w:sz="0" w:space="0" w:color="auto"/>
        <w:right w:val="none" w:sz="0" w:space="0" w:color="auto"/>
      </w:divBdr>
    </w:div>
    <w:div w:id="879322058">
      <w:bodyDiv w:val="1"/>
      <w:marLeft w:val="0"/>
      <w:marRight w:val="0"/>
      <w:marTop w:val="0"/>
      <w:marBottom w:val="0"/>
      <w:divBdr>
        <w:top w:val="none" w:sz="0" w:space="0" w:color="auto"/>
        <w:left w:val="none" w:sz="0" w:space="0" w:color="auto"/>
        <w:bottom w:val="none" w:sz="0" w:space="0" w:color="auto"/>
        <w:right w:val="none" w:sz="0" w:space="0" w:color="auto"/>
      </w:divBdr>
    </w:div>
    <w:div w:id="899052876">
      <w:bodyDiv w:val="1"/>
      <w:marLeft w:val="0"/>
      <w:marRight w:val="0"/>
      <w:marTop w:val="0"/>
      <w:marBottom w:val="0"/>
      <w:divBdr>
        <w:top w:val="none" w:sz="0" w:space="0" w:color="auto"/>
        <w:left w:val="none" w:sz="0" w:space="0" w:color="auto"/>
        <w:bottom w:val="none" w:sz="0" w:space="0" w:color="auto"/>
        <w:right w:val="none" w:sz="0" w:space="0" w:color="auto"/>
      </w:divBdr>
      <w:divsChild>
        <w:div w:id="1521772242">
          <w:marLeft w:val="0"/>
          <w:marRight w:val="0"/>
          <w:marTop w:val="0"/>
          <w:marBottom w:val="0"/>
          <w:divBdr>
            <w:top w:val="none" w:sz="0" w:space="0" w:color="auto"/>
            <w:left w:val="none" w:sz="0" w:space="0" w:color="auto"/>
            <w:bottom w:val="none" w:sz="0" w:space="0" w:color="auto"/>
            <w:right w:val="none" w:sz="0" w:space="0" w:color="auto"/>
          </w:divBdr>
          <w:divsChild>
            <w:div w:id="1948004057">
              <w:marLeft w:val="0"/>
              <w:marRight w:val="0"/>
              <w:marTop w:val="0"/>
              <w:marBottom w:val="0"/>
              <w:divBdr>
                <w:top w:val="none" w:sz="0" w:space="0" w:color="auto"/>
                <w:left w:val="none" w:sz="0" w:space="0" w:color="auto"/>
                <w:bottom w:val="none" w:sz="0" w:space="0" w:color="auto"/>
                <w:right w:val="none" w:sz="0" w:space="0" w:color="auto"/>
              </w:divBdr>
              <w:divsChild>
                <w:div w:id="49580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036186">
      <w:bodyDiv w:val="1"/>
      <w:marLeft w:val="0"/>
      <w:marRight w:val="0"/>
      <w:marTop w:val="0"/>
      <w:marBottom w:val="0"/>
      <w:divBdr>
        <w:top w:val="none" w:sz="0" w:space="0" w:color="auto"/>
        <w:left w:val="none" w:sz="0" w:space="0" w:color="auto"/>
        <w:bottom w:val="none" w:sz="0" w:space="0" w:color="auto"/>
        <w:right w:val="none" w:sz="0" w:space="0" w:color="auto"/>
      </w:divBdr>
    </w:div>
    <w:div w:id="956371865">
      <w:bodyDiv w:val="1"/>
      <w:marLeft w:val="0"/>
      <w:marRight w:val="0"/>
      <w:marTop w:val="0"/>
      <w:marBottom w:val="0"/>
      <w:divBdr>
        <w:top w:val="none" w:sz="0" w:space="0" w:color="auto"/>
        <w:left w:val="none" w:sz="0" w:space="0" w:color="auto"/>
        <w:bottom w:val="none" w:sz="0" w:space="0" w:color="auto"/>
        <w:right w:val="none" w:sz="0" w:space="0" w:color="auto"/>
      </w:divBdr>
    </w:div>
    <w:div w:id="972250179">
      <w:bodyDiv w:val="1"/>
      <w:marLeft w:val="0"/>
      <w:marRight w:val="0"/>
      <w:marTop w:val="0"/>
      <w:marBottom w:val="0"/>
      <w:divBdr>
        <w:top w:val="none" w:sz="0" w:space="0" w:color="auto"/>
        <w:left w:val="none" w:sz="0" w:space="0" w:color="auto"/>
        <w:bottom w:val="none" w:sz="0" w:space="0" w:color="auto"/>
        <w:right w:val="none" w:sz="0" w:space="0" w:color="auto"/>
      </w:divBdr>
    </w:div>
    <w:div w:id="974335798">
      <w:bodyDiv w:val="1"/>
      <w:marLeft w:val="0"/>
      <w:marRight w:val="0"/>
      <w:marTop w:val="0"/>
      <w:marBottom w:val="0"/>
      <w:divBdr>
        <w:top w:val="none" w:sz="0" w:space="0" w:color="auto"/>
        <w:left w:val="none" w:sz="0" w:space="0" w:color="auto"/>
        <w:bottom w:val="none" w:sz="0" w:space="0" w:color="auto"/>
        <w:right w:val="none" w:sz="0" w:space="0" w:color="auto"/>
      </w:divBdr>
      <w:divsChild>
        <w:div w:id="1826966430">
          <w:marLeft w:val="0"/>
          <w:marRight w:val="0"/>
          <w:marTop w:val="0"/>
          <w:marBottom w:val="0"/>
          <w:divBdr>
            <w:top w:val="none" w:sz="0" w:space="0" w:color="auto"/>
            <w:left w:val="none" w:sz="0" w:space="0" w:color="auto"/>
            <w:bottom w:val="none" w:sz="0" w:space="0" w:color="auto"/>
            <w:right w:val="none" w:sz="0" w:space="0" w:color="auto"/>
          </w:divBdr>
          <w:divsChild>
            <w:div w:id="1597052114">
              <w:marLeft w:val="0"/>
              <w:marRight w:val="0"/>
              <w:marTop w:val="0"/>
              <w:marBottom w:val="0"/>
              <w:divBdr>
                <w:top w:val="none" w:sz="0" w:space="0" w:color="auto"/>
                <w:left w:val="none" w:sz="0" w:space="0" w:color="auto"/>
                <w:bottom w:val="none" w:sz="0" w:space="0" w:color="auto"/>
                <w:right w:val="none" w:sz="0" w:space="0" w:color="auto"/>
              </w:divBdr>
              <w:divsChild>
                <w:div w:id="914708288">
                  <w:marLeft w:val="0"/>
                  <w:marRight w:val="0"/>
                  <w:marTop w:val="0"/>
                  <w:marBottom w:val="0"/>
                  <w:divBdr>
                    <w:top w:val="none" w:sz="0" w:space="0" w:color="auto"/>
                    <w:left w:val="none" w:sz="0" w:space="0" w:color="auto"/>
                    <w:bottom w:val="none" w:sz="0" w:space="0" w:color="auto"/>
                    <w:right w:val="none" w:sz="0" w:space="0" w:color="auto"/>
                  </w:divBdr>
                </w:div>
              </w:divsChild>
            </w:div>
            <w:div w:id="1394235097">
              <w:marLeft w:val="0"/>
              <w:marRight w:val="0"/>
              <w:marTop w:val="0"/>
              <w:marBottom w:val="0"/>
              <w:divBdr>
                <w:top w:val="none" w:sz="0" w:space="0" w:color="auto"/>
                <w:left w:val="none" w:sz="0" w:space="0" w:color="auto"/>
                <w:bottom w:val="none" w:sz="0" w:space="0" w:color="auto"/>
                <w:right w:val="none" w:sz="0" w:space="0" w:color="auto"/>
              </w:divBdr>
              <w:divsChild>
                <w:div w:id="148847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819333">
          <w:marLeft w:val="0"/>
          <w:marRight w:val="0"/>
          <w:marTop w:val="0"/>
          <w:marBottom w:val="0"/>
          <w:divBdr>
            <w:top w:val="none" w:sz="0" w:space="0" w:color="auto"/>
            <w:left w:val="none" w:sz="0" w:space="0" w:color="auto"/>
            <w:bottom w:val="none" w:sz="0" w:space="0" w:color="auto"/>
            <w:right w:val="none" w:sz="0" w:space="0" w:color="auto"/>
          </w:divBdr>
          <w:divsChild>
            <w:div w:id="438260433">
              <w:marLeft w:val="0"/>
              <w:marRight w:val="0"/>
              <w:marTop w:val="0"/>
              <w:marBottom w:val="0"/>
              <w:divBdr>
                <w:top w:val="none" w:sz="0" w:space="0" w:color="auto"/>
                <w:left w:val="none" w:sz="0" w:space="0" w:color="auto"/>
                <w:bottom w:val="none" w:sz="0" w:space="0" w:color="auto"/>
                <w:right w:val="none" w:sz="0" w:space="0" w:color="auto"/>
              </w:divBdr>
              <w:divsChild>
                <w:div w:id="219101632">
                  <w:marLeft w:val="0"/>
                  <w:marRight w:val="0"/>
                  <w:marTop w:val="0"/>
                  <w:marBottom w:val="0"/>
                  <w:divBdr>
                    <w:top w:val="none" w:sz="0" w:space="0" w:color="auto"/>
                    <w:left w:val="none" w:sz="0" w:space="0" w:color="auto"/>
                    <w:bottom w:val="none" w:sz="0" w:space="0" w:color="auto"/>
                    <w:right w:val="none" w:sz="0" w:space="0" w:color="auto"/>
                  </w:divBdr>
                </w:div>
              </w:divsChild>
            </w:div>
            <w:div w:id="2018337878">
              <w:marLeft w:val="0"/>
              <w:marRight w:val="0"/>
              <w:marTop w:val="0"/>
              <w:marBottom w:val="0"/>
              <w:divBdr>
                <w:top w:val="none" w:sz="0" w:space="0" w:color="auto"/>
                <w:left w:val="none" w:sz="0" w:space="0" w:color="auto"/>
                <w:bottom w:val="none" w:sz="0" w:space="0" w:color="auto"/>
                <w:right w:val="none" w:sz="0" w:space="0" w:color="auto"/>
              </w:divBdr>
              <w:divsChild>
                <w:div w:id="72904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806246">
      <w:bodyDiv w:val="1"/>
      <w:marLeft w:val="0"/>
      <w:marRight w:val="0"/>
      <w:marTop w:val="0"/>
      <w:marBottom w:val="0"/>
      <w:divBdr>
        <w:top w:val="none" w:sz="0" w:space="0" w:color="auto"/>
        <w:left w:val="none" w:sz="0" w:space="0" w:color="auto"/>
        <w:bottom w:val="none" w:sz="0" w:space="0" w:color="auto"/>
        <w:right w:val="none" w:sz="0" w:space="0" w:color="auto"/>
      </w:divBdr>
    </w:div>
    <w:div w:id="1019163197">
      <w:bodyDiv w:val="1"/>
      <w:marLeft w:val="0"/>
      <w:marRight w:val="0"/>
      <w:marTop w:val="0"/>
      <w:marBottom w:val="0"/>
      <w:divBdr>
        <w:top w:val="none" w:sz="0" w:space="0" w:color="auto"/>
        <w:left w:val="none" w:sz="0" w:space="0" w:color="auto"/>
        <w:bottom w:val="none" w:sz="0" w:space="0" w:color="auto"/>
        <w:right w:val="none" w:sz="0" w:space="0" w:color="auto"/>
      </w:divBdr>
      <w:divsChild>
        <w:div w:id="1759253110">
          <w:marLeft w:val="0"/>
          <w:marRight w:val="0"/>
          <w:marTop w:val="0"/>
          <w:marBottom w:val="0"/>
          <w:divBdr>
            <w:top w:val="none" w:sz="0" w:space="0" w:color="auto"/>
            <w:left w:val="none" w:sz="0" w:space="0" w:color="auto"/>
            <w:bottom w:val="none" w:sz="0" w:space="0" w:color="auto"/>
            <w:right w:val="none" w:sz="0" w:space="0" w:color="auto"/>
          </w:divBdr>
          <w:divsChild>
            <w:div w:id="905842009">
              <w:marLeft w:val="0"/>
              <w:marRight w:val="0"/>
              <w:marTop w:val="0"/>
              <w:marBottom w:val="0"/>
              <w:divBdr>
                <w:top w:val="none" w:sz="0" w:space="0" w:color="auto"/>
                <w:left w:val="none" w:sz="0" w:space="0" w:color="auto"/>
                <w:bottom w:val="none" w:sz="0" w:space="0" w:color="auto"/>
                <w:right w:val="none" w:sz="0" w:space="0" w:color="auto"/>
              </w:divBdr>
              <w:divsChild>
                <w:div w:id="899171144">
                  <w:marLeft w:val="0"/>
                  <w:marRight w:val="0"/>
                  <w:marTop w:val="0"/>
                  <w:marBottom w:val="0"/>
                  <w:divBdr>
                    <w:top w:val="none" w:sz="0" w:space="0" w:color="auto"/>
                    <w:left w:val="none" w:sz="0" w:space="0" w:color="auto"/>
                    <w:bottom w:val="none" w:sz="0" w:space="0" w:color="auto"/>
                    <w:right w:val="none" w:sz="0" w:space="0" w:color="auto"/>
                  </w:divBdr>
                </w:div>
              </w:divsChild>
            </w:div>
            <w:div w:id="1082987721">
              <w:marLeft w:val="0"/>
              <w:marRight w:val="0"/>
              <w:marTop w:val="0"/>
              <w:marBottom w:val="0"/>
              <w:divBdr>
                <w:top w:val="none" w:sz="0" w:space="0" w:color="auto"/>
                <w:left w:val="none" w:sz="0" w:space="0" w:color="auto"/>
                <w:bottom w:val="none" w:sz="0" w:space="0" w:color="auto"/>
                <w:right w:val="none" w:sz="0" w:space="0" w:color="auto"/>
              </w:divBdr>
              <w:divsChild>
                <w:div w:id="267468371">
                  <w:marLeft w:val="0"/>
                  <w:marRight w:val="0"/>
                  <w:marTop w:val="0"/>
                  <w:marBottom w:val="0"/>
                  <w:divBdr>
                    <w:top w:val="none" w:sz="0" w:space="0" w:color="auto"/>
                    <w:left w:val="none" w:sz="0" w:space="0" w:color="auto"/>
                    <w:bottom w:val="none" w:sz="0" w:space="0" w:color="auto"/>
                    <w:right w:val="none" w:sz="0" w:space="0" w:color="auto"/>
                  </w:divBdr>
                </w:div>
                <w:div w:id="22927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584308">
      <w:bodyDiv w:val="1"/>
      <w:marLeft w:val="0"/>
      <w:marRight w:val="0"/>
      <w:marTop w:val="0"/>
      <w:marBottom w:val="0"/>
      <w:divBdr>
        <w:top w:val="none" w:sz="0" w:space="0" w:color="auto"/>
        <w:left w:val="none" w:sz="0" w:space="0" w:color="auto"/>
        <w:bottom w:val="none" w:sz="0" w:space="0" w:color="auto"/>
        <w:right w:val="none" w:sz="0" w:space="0" w:color="auto"/>
      </w:divBdr>
    </w:div>
    <w:div w:id="1060329178">
      <w:bodyDiv w:val="1"/>
      <w:marLeft w:val="0"/>
      <w:marRight w:val="0"/>
      <w:marTop w:val="0"/>
      <w:marBottom w:val="0"/>
      <w:divBdr>
        <w:top w:val="none" w:sz="0" w:space="0" w:color="auto"/>
        <w:left w:val="none" w:sz="0" w:space="0" w:color="auto"/>
        <w:bottom w:val="none" w:sz="0" w:space="0" w:color="auto"/>
        <w:right w:val="none" w:sz="0" w:space="0" w:color="auto"/>
      </w:divBdr>
    </w:div>
    <w:div w:id="1090125876">
      <w:bodyDiv w:val="1"/>
      <w:marLeft w:val="0"/>
      <w:marRight w:val="0"/>
      <w:marTop w:val="0"/>
      <w:marBottom w:val="0"/>
      <w:divBdr>
        <w:top w:val="none" w:sz="0" w:space="0" w:color="auto"/>
        <w:left w:val="none" w:sz="0" w:space="0" w:color="auto"/>
        <w:bottom w:val="none" w:sz="0" w:space="0" w:color="auto"/>
        <w:right w:val="none" w:sz="0" w:space="0" w:color="auto"/>
      </w:divBdr>
    </w:div>
    <w:div w:id="1092123346">
      <w:bodyDiv w:val="1"/>
      <w:marLeft w:val="0"/>
      <w:marRight w:val="0"/>
      <w:marTop w:val="0"/>
      <w:marBottom w:val="0"/>
      <w:divBdr>
        <w:top w:val="none" w:sz="0" w:space="0" w:color="auto"/>
        <w:left w:val="none" w:sz="0" w:space="0" w:color="auto"/>
        <w:bottom w:val="none" w:sz="0" w:space="0" w:color="auto"/>
        <w:right w:val="none" w:sz="0" w:space="0" w:color="auto"/>
      </w:divBdr>
    </w:div>
    <w:div w:id="1116603663">
      <w:bodyDiv w:val="1"/>
      <w:marLeft w:val="0"/>
      <w:marRight w:val="0"/>
      <w:marTop w:val="0"/>
      <w:marBottom w:val="0"/>
      <w:divBdr>
        <w:top w:val="none" w:sz="0" w:space="0" w:color="auto"/>
        <w:left w:val="none" w:sz="0" w:space="0" w:color="auto"/>
        <w:bottom w:val="none" w:sz="0" w:space="0" w:color="auto"/>
        <w:right w:val="none" w:sz="0" w:space="0" w:color="auto"/>
      </w:divBdr>
    </w:div>
    <w:div w:id="1149710156">
      <w:bodyDiv w:val="1"/>
      <w:marLeft w:val="0"/>
      <w:marRight w:val="0"/>
      <w:marTop w:val="0"/>
      <w:marBottom w:val="0"/>
      <w:divBdr>
        <w:top w:val="none" w:sz="0" w:space="0" w:color="auto"/>
        <w:left w:val="none" w:sz="0" w:space="0" w:color="auto"/>
        <w:bottom w:val="none" w:sz="0" w:space="0" w:color="auto"/>
        <w:right w:val="none" w:sz="0" w:space="0" w:color="auto"/>
      </w:divBdr>
    </w:div>
    <w:div w:id="1152798397">
      <w:bodyDiv w:val="1"/>
      <w:marLeft w:val="0"/>
      <w:marRight w:val="0"/>
      <w:marTop w:val="0"/>
      <w:marBottom w:val="0"/>
      <w:divBdr>
        <w:top w:val="none" w:sz="0" w:space="0" w:color="auto"/>
        <w:left w:val="none" w:sz="0" w:space="0" w:color="auto"/>
        <w:bottom w:val="none" w:sz="0" w:space="0" w:color="auto"/>
        <w:right w:val="none" w:sz="0" w:space="0" w:color="auto"/>
      </w:divBdr>
    </w:div>
    <w:div w:id="1161123015">
      <w:bodyDiv w:val="1"/>
      <w:marLeft w:val="0"/>
      <w:marRight w:val="0"/>
      <w:marTop w:val="0"/>
      <w:marBottom w:val="0"/>
      <w:divBdr>
        <w:top w:val="none" w:sz="0" w:space="0" w:color="auto"/>
        <w:left w:val="none" w:sz="0" w:space="0" w:color="auto"/>
        <w:bottom w:val="none" w:sz="0" w:space="0" w:color="auto"/>
        <w:right w:val="none" w:sz="0" w:space="0" w:color="auto"/>
      </w:divBdr>
      <w:divsChild>
        <w:div w:id="185800307">
          <w:marLeft w:val="0"/>
          <w:marRight w:val="0"/>
          <w:marTop w:val="0"/>
          <w:marBottom w:val="0"/>
          <w:divBdr>
            <w:top w:val="none" w:sz="0" w:space="0" w:color="auto"/>
            <w:left w:val="none" w:sz="0" w:space="0" w:color="auto"/>
            <w:bottom w:val="none" w:sz="0" w:space="0" w:color="auto"/>
            <w:right w:val="none" w:sz="0" w:space="0" w:color="auto"/>
          </w:divBdr>
          <w:divsChild>
            <w:div w:id="1131022694">
              <w:marLeft w:val="0"/>
              <w:marRight w:val="0"/>
              <w:marTop w:val="0"/>
              <w:marBottom w:val="0"/>
              <w:divBdr>
                <w:top w:val="none" w:sz="0" w:space="0" w:color="auto"/>
                <w:left w:val="none" w:sz="0" w:space="0" w:color="auto"/>
                <w:bottom w:val="none" w:sz="0" w:space="0" w:color="auto"/>
                <w:right w:val="none" w:sz="0" w:space="0" w:color="auto"/>
              </w:divBdr>
              <w:divsChild>
                <w:div w:id="119669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205826">
      <w:bodyDiv w:val="1"/>
      <w:marLeft w:val="0"/>
      <w:marRight w:val="0"/>
      <w:marTop w:val="0"/>
      <w:marBottom w:val="0"/>
      <w:divBdr>
        <w:top w:val="none" w:sz="0" w:space="0" w:color="auto"/>
        <w:left w:val="none" w:sz="0" w:space="0" w:color="auto"/>
        <w:bottom w:val="none" w:sz="0" w:space="0" w:color="auto"/>
        <w:right w:val="none" w:sz="0" w:space="0" w:color="auto"/>
      </w:divBdr>
      <w:divsChild>
        <w:div w:id="2048095733">
          <w:marLeft w:val="0"/>
          <w:marRight w:val="0"/>
          <w:marTop w:val="0"/>
          <w:marBottom w:val="0"/>
          <w:divBdr>
            <w:top w:val="none" w:sz="0" w:space="0" w:color="auto"/>
            <w:left w:val="none" w:sz="0" w:space="0" w:color="auto"/>
            <w:bottom w:val="none" w:sz="0" w:space="0" w:color="auto"/>
            <w:right w:val="none" w:sz="0" w:space="0" w:color="auto"/>
          </w:divBdr>
          <w:divsChild>
            <w:div w:id="71778565">
              <w:marLeft w:val="0"/>
              <w:marRight w:val="0"/>
              <w:marTop w:val="0"/>
              <w:marBottom w:val="0"/>
              <w:divBdr>
                <w:top w:val="none" w:sz="0" w:space="0" w:color="auto"/>
                <w:left w:val="none" w:sz="0" w:space="0" w:color="auto"/>
                <w:bottom w:val="none" w:sz="0" w:space="0" w:color="auto"/>
                <w:right w:val="none" w:sz="0" w:space="0" w:color="auto"/>
              </w:divBdr>
              <w:divsChild>
                <w:div w:id="31414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001337">
          <w:marLeft w:val="0"/>
          <w:marRight w:val="0"/>
          <w:marTop w:val="0"/>
          <w:marBottom w:val="0"/>
          <w:divBdr>
            <w:top w:val="none" w:sz="0" w:space="0" w:color="auto"/>
            <w:left w:val="none" w:sz="0" w:space="0" w:color="auto"/>
            <w:bottom w:val="none" w:sz="0" w:space="0" w:color="auto"/>
            <w:right w:val="none" w:sz="0" w:space="0" w:color="auto"/>
          </w:divBdr>
          <w:divsChild>
            <w:div w:id="788551494">
              <w:marLeft w:val="0"/>
              <w:marRight w:val="0"/>
              <w:marTop w:val="0"/>
              <w:marBottom w:val="0"/>
              <w:divBdr>
                <w:top w:val="none" w:sz="0" w:space="0" w:color="auto"/>
                <w:left w:val="none" w:sz="0" w:space="0" w:color="auto"/>
                <w:bottom w:val="none" w:sz="0" w:space="0" w:color="auto"/>
                <w:right w:val="none" w:sz="0" w:space="0" w:color="auto"/>
              </w:divBdr>
              <w:divsChild>
                <w:div w:id="188614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052850">
      <w:bodyDiv w:val="1"/>
      <w:marLeft w:val="0"/>
      <w:marRight w:val="0"/>
      <w:marTop w:val="0"/>
      <w:marBottom w:val="0"/>
      <w:divBdr>
        <w:top w:val="none" w:sz="0" w:space="0" w:color="auto"/>
        <w:left w:val="none" w:sz="0" w:space="0" w:color="auto"/>
        <w:bottom w:val="none" w:sz="0" w:space="0" w:color="auto"/>
        <w:right w:val="none" w:sz="0" w:space="0" w:color="auto"/>
      </w:divBdr>
    </w:div>
    <w:div w:id="1190678516">
      <w:bodyDiv w:val="1"/>
      <w:marLeft w:val="0"/>
      <w:marRight w:val="0"/>
      <w:marTop w:val="0"/>
      <w:marBottom w:val="0"/>
      <w:divBdr>
        <w:top w:val="none" w:sz="0" w:space="0" w:color="auto"/>
        <w:left w:val="none" w:sz="0" w:space="0" w:color="auto"/>
        <w:bottom w:val="none" w:sz="0" w:space="0" w:color="auto"/>
        <w:right w:val="none" w:sz="0" w:space="0" w:color="auto"/>
      </w:divBdr>
    </w:div>
    <w:div w:id="1201476937">
      <w:bodyDiv w:val="1"/>
      <w:marLeft w:val="0"/>
      <w:marRight w:val="0"/>
      <w:marTop w:val="0"/>
      <w:marBottom w:val="0"/>
      <w:divBdr>
        <w:top w:val="none" w:sz="0" w:space="0" w:color="auto"/>
        <w:left w:val="none" w:sz="0" w:space="0" w:color="auto"/>
        <w:bottom w:val="none" w:sz="0" w:space="0" w:color="auto"/>
        <w:right w:val="none" w:sz="0" w:space="0" w:color="auto"/>
      </w:divBdr>
      <w:divsChild>
        <w:div w:id="1388143191">
          <w:marLeft w:val="0"/>
          <w:marRight w:val="0"/>
          <w:marTop w:val="0"/>
          <w:marBottom w:val="0"/>
          <w:divBdr>
            <w:top w:val="none" w:sz="0" w:space="0" w:color="auto"/>
            <w:left w:val="none" w:sz="0" w:space="0" w:color="auto"/>
            <w:bottom w:val="none" w:sz="0" w:space="0" w:color="auto"/>
            <w:right w:val="none" w:sz="0" w:space="0" w:color="auto"/>
          </w:divBdr>
          <w:divsChild>
            <w:div w:id="1883246375">
              <w:marLeft w:val="0"/>
              <w:marRight w:val="0"/>
              <w:marTop w:val="0"/>
              <w:marBottom w:val="0"/>
              <w:divBdr>
                <w:top w:val="none" w:sz="0" w:space="0" w:color="auto"/>
                <w:left w:val="none" w:sz="0" w:space="0" w:color="auto"/>
                <w:bottom w:val="none" w:sz="0" w:space="0" w:color="auto"/>
                <w:right w:val="none" w:sz="0" w:space="0" w:color="auto"/>
              </w:divBdr>
              <w:divsChild>
                <w:div w:id="127929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939132">
      <w:bodyDiv w:val="1"/>
      <w:marLeft w:val="0"/>
      <w:marRight w:val="0"/>
      <w:marTop w:val="0"/>
      <w:marBottom w:val="0"/>
      <w:divBdr>
        <w:top w:val="none" w:sz="0" w:space="0" w:color="auto"/>
        <w:left w:val="none" w:sz="0" w:space="0" w:color="auto"/>
        <w:bottom w:val="none" w:sz="0" w:space="0" w:color="auto"/>
        <w:right w:val="none" w:sz="0" w:space="0" w:color="auto"/>
      </w:divBdr>
    </w:div>
    <w:div w:id="1203666491">
      <w:bodyDiv w:val="1"/>
      <w:marLeft w:val="0"/>
      <w:marRight w:val="0"/>
      <w:marTop w:val="0"/>
      <w:marBottom w:val="0"/>
      <w:divBdr>
        <w:top w:val="none" w:sz="0" w:space="0" w:color="auto"/>
        <w:left w:val="none" w:sz="0" w:space="0" w:color="auto"/>
        <w:bottom w:val="none" w:sz="0" w:space="0" w:color="auto"/>
        <w:right w:val="none" w:sz="0" w:space="0" w:color="auto"/>
      </w:divBdr>
    </w:div>
    <w:div w:id="1214081346">
      <w:bodyDiv w:val="1"/>
      <w:marLeft w:val="0"/>
      <w:marRight w:val="0"/>
      <w:marTop w:val="0"/>
      <w:marBottom w:val="0"/>
      <w:divBdr>
        <w:top w:val="none" w:sz="0" w:space="0" w:color="auto"/>
        <w:left w:val="none" w:sz="0" w:space="0" w:color="auto"/>
        <w:bottom w:val="none" w:sz="0" w:space="0" w:color="auto"/>
        <w:right w:val="none" w:sz="0" w:space="0" w:color="auto"/>
      </w:divBdr>
    </w:div>
    <w:div w:id="1256938513">
      <w:bodyDiv w:val="1"/>
      <w:marLeft w:val="0"/>
      <w:marRight w:val="0"/>
      <w:marTop w:val="0"/>
      <w:marBottom w:val="0"/>
      <w:divBdr>
        <w:top w:val="none" w:sz="0" w:space="0" w:color="auto"/>
        <w:left w:val="none" w:sz="0" w:space="0" w:color="auto"/>
        <w:bottom w:val="none" w:sz="0" w:space="0" w:color="auto"/>
        <w:right w:val="none" w:sz="0" w:space="0" w:color="auto"/>
      </w:divBdr>
    </w:div>
    <w:div w:id="1257013098">
      <w:bodyDiv w:val="1"/>
      <w:marLeft w:val="0"/>
      <w:marRight w:val="0"/>
      <w:marTop w:val="0"/>
      <w:marBottom w:val="0"/>
      <w:divBdr>
        <w:top w:val="none" w:sz="0" w:space="0" w:color="auto"/>
        <w:left w:val="none" w:sz="0" w:space="0" w:color="auto"/>
        <w:bottom w:val="none" w:sz="0" w:space="0" w:color="auto"/>
        <w:right w:val="none" w:sz="0" w:space="0" w:color="auto"/>
      </w:divBdr>
    </w:div>
    <w:div w:id="1270746562">
      <w:bodyDiv w:val="1"/>
      <w:marLeft w:val="0"/>
      <w:marRight w:val="0"/>
      <w:marTop w:val="0"/>
      <w:marBottom w:val="0"/>
      <w:divBdr>
        <w:top w:val="none" w:sz="0" w:space="0" w:color="auto"/>
        <w:left w:val="none" w:sz="0" w:space="0" w:color="auto"/>
        <w:bottom w:val="none" w:sz="0" w:space="0" w:color="auto"/>
        <w:right w:val="none" w:sz="0" w:space="0" w:color="auto"/>
      </w:divBdr>
      <w:divsChild>
        <w:div w:id="905337024">
          <w:marLeft w:val="0"/>
          <w:marRight w:val="0"/>
          <w:marTop w:val="0"/>
          <w:marBottom w:val="0"/>
          <w:divBdr>
            <w:top w:val="none" w:sz="0" w:space="0" w:color="auto"/>
            <w:left w:val="none" w:sz="0" w:space="0" w:color="auto"/>
            <w:bottom w:val="none" w:sz="0" w:space="0" w:color="auto"/>
            <w:right w:val="none" w:sz="0" w:space="0" w:color="auto"/>
          </w:divBdr>
          <w:divsChild>
            <w:div w:id="1759055401">
              <w:marLeft w:val="0"/>
              <w:marRight w:val="0"/>
              <w:marTop w:val="0"/>
              <w:marBottom w:val="0"/>
              <w:divBdr>
                <w:top w:val="none" w:sz="0" w:space="0" w:color="auto"/>
                <w:left w:val="none" w:sz="0" w:space="0" w:color="auto"/>
                <w:bottom w:val="none" w:sz="0" w:space="0" w:color="auto"/>
                <w:right w:val="none" w:sz="0" w:space="0" w:color="auto"/>
              </w:divBdr>
              <w:divsChild>
                <w:div w:id="1778136274">
                  <w:marLeft w:val="0"/>
                  <w:marRight w:val="0"/>
                  <w:marTop w:val="0"/>
                  <w:marBottom w:val="0"/>
                  <w:divBdr>
                    <w:top w:val="none" w:sz="0" w:space="0" w:color="auto"/>
                    <w:left w:val="none" w:sz="0" w:space="0" w:color="auto"/>
                    <w:bottom w:val="none" w:sz="0" w:space="0" w:color="auto"/>
                    <w:right w:val="none" w:sz="0" w:space="0" w:color="auto"/>
                  </w:divBdr>
                </w:div>
              </w:divsChild>
            </w:div>
            <w:div w:id="882520859">
              <w:marLeft w:val="0"/>
              <w:marRight w:val="0"/>
              <w:marTop w:val="0"/>
              <w:marBottom w:val="0"/>
              <w:divBdr>
                <w:top w:val="none" w:sz="0" w:space="0" w:color="auto"/>
                <w:left w:val="none" w:sz="0" w:space="0" w:color="auto"/>
                <w:bottom w:val="none" w:sz="0" w:space="0" w:color="auto"/>
                <w:right w:val="none" w:sz="0" w:space="0" w:color="auto"/>
              </w:divBdr>
              <w:divsChild>
                <w:div w:id="141505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75827">
          <w:marLeft w:val="0"/>
          <w:marRight w:val="0"/>
          <w:marTop w:val="0"/>
          <w:marBottom w:val="0"/>
          <w:divBdr>
            <w:top w:val="none" w:sz="0" w:space="0" w:color="auto"/>
            <w:left w:val="none" w:sz="0" w:space="0" w:color="auto"/>
            <w:bottom w:val="none" w:sz="0" w:space="0" w:color="auto"/>
            <w:right w:val="none" w:sz="0" w:space="0" w:color="auto"/>
          </w:divBdr>
          <w:divsChild>
            <w:div w:id="1776830746">
              <w:marLeft w:val="0"/>
              <w:marRight w:val="0"/>
              <w:marTop w:val="0"/>
              <w:marBottom w:val="0"/>
              <w:divBdr>
                <w:top w:val="none" w:sz="0" w:space="0" w:color="auto"/>
                <w:left w:val="none" w:sz="0" w:space="0" w:color="auto"/>
                <w:bottom w:val="none" w:sz="0" w:space="0" w:color="auto"/>
                <w:right w:val="none" w:sz="0" w:space="0" w:color="auto"/>
              </w:divBdr>
              <w:divsChild>
                <w:div w:id="172394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877770">
      <w:bodyDiv w:val="1"/>
      <w:marLeft w:val="0"/>
      <w:marRight w:val="0"/>
      <w:marTop w:val="0"/>
      <w:marBottom w:val="0"/>
      <w:divBdr>
        <w:top w:val="none" w:sz="0" w:space="0" w:color="auto"/>
        <w:left w:val="none" w:sz="0" w:space="0" w:color="auto"/>
        <w:bottom w:val="none" w:sz="0" w:space="0" w:color="auto"/>
        <w:right w:val="none" w:sz="0" w:space="0" w:color="auto"/>
      </w:divBdr>
    </w:div>
    <w:div w:id="1299872374">
      <w:bodyDiv w:val="1"/>
      <w:marLeft w:val="0"/>
      <w:marRight w:val="0"/>
      <w:marTop w:val="0"/>
      <w:marBottom w:val="0"/>
      <w:divBdr>
        <w:top w:val="none" w:sz="0" w:space="0" w:color="auto"/>
        <w:left w:val="none" w:sz="0" w:space="0" w:color="auto"/>
        <w:bottom w:val="none" w:sz="0" w:space="0" w:color="auto"/>
        <w:right w:val="none" w:sz="0" w:space="0" w:color="auto"/>
      </w:divBdr>
    </w:div>
    <w:div w:id="1334458325">
      <w:bodyDiv w:val="1"/>
      <w:marLeft w:val="0"/>
      <w:marRight w:val="0"/>
      <w:marTop w:val="0"/>
      <w:marBottom w:val="0"/>
      <w:divBdr>
        <w:top w:val="none" w:sz="0" w:space="0" w:color="auto"/>
        <w:left w:val="none" w:sz="0" w:space="0" w:color="auto"/>
        <w:bottom w:val="none" w:sz="0" w:space="0" w:color="auto"/>
        <w:right w:val="none" w:sz="0" w:space="0" w:color="auto"/>
      </w:divBdr>
      <w:divsChild>
        <w:div w:id="1621033279">
          <w:marLeft w:val="0"/>
          <w:marRight w:val="0"/>
          <w:marTop w:val="0"/>
          <w:marBottom w:val="0"/>
          <w:divBdr>
            <w:top w:val="none" w:sz="0" w:space="0" w:color="auto"/>
            <w:left w:val="none" w:sz="0" w:space="0" w:color="auto"/>
            <w:bottom w:val="none" w:sz="0" w:space="0" w:color="auto"/>
            <w:right w:val="none" w:sz="0" w:space="0" w:color="auto"/>
          </w:divBdr>
          <w:divsChild>
            <w:div w:id="280841921">
              <w:marLeft w:val="0"/>
              <w:marRight w:val="0"/>
              <w:marTop w:val="0"/>
              <w:marBottom w:val="0"/>
              <w:divBdr>
                <w:top w:val="none" w:sz="0" w:space="0" w:color="auto"/>
                <w:left w:val="none" w:sz="0" w:space="0" w:color="auto"/>
                <w:bottom w:val="none" w:sz="0" w:space="0" w:color="auto"/>
                <w:right w:val="none" w:sz="0" w:space="0" w:color="auto"/>
              </w:divBdr>
              <w:divsChild>
                <w:div w:id="50810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086487">
      <w:bodyDiv w:val="1"/>
      <w:marLeft w:val="0"/>
      <w:marRight w:val="0"/>
      <w:marTop w:val="0"/>
      <w:marBottom w:val="0"/>
      <w:divBdr>
        <w:top w:val="none" w:sz="0" w:space="0" w:color="auto"/>
        <w:left w:val="none" w:sz="0" w:space="0" w:color="auto"/>
        <w:bottom w:val="none" w:sz="0" w:space="0" w:color="auto"/>
        <w:right w:val="none" w:sz="0" w:space="0" w:color="auto"/>
      </w:divBdr>
      <w:divsChild>
        <w:div w:id="153381834">
          <w:marLeft w:val="0"/>
          <w:marRight w:val="0"/>
          <w:marTop w:val="0"/>
          <w:marBottom w:val="0"/>
          <w:divBdr>
            <w:top w:val="none" w:sz="0" w:space="0" w:color="auto"/>
            <w:left w:val="none" w:sz="0" w:space="0" w:color="auto"/>
            <w:bottom w:val="none" w:sz="0" w:space="0" w:color="auto"/>
            <w:right w:val="none" w:sz="0" w:space="0" w:color="auto"/>
          </w:divBdr>
          <w:divsChild>
            <w:div w:id="183251014">
              <w:marLeft w:val="0"/>
              <w:marRight w:val="0"/>
              <w:marTop w:val="0"/>
              <w:marBottom w:val="0"/>
              <w:divBdr>
                <w:top w:val="none" w:sz="0" w:space="0" w:color="auto"/>
                <w:left w:val="none" w:sz="0" w:space="0" w:color="auto"/>
                <w:bottom w:val="none" w:sz="0" w:space="0" w:color="auto"/>
                <w:right w:val="none" w:sz="0" w:space="0" w:color="auto"/>
              </w:divBdr>
              <w:divsChild>
                <w:div w:id="93867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363091">
      <w:bodyDiv w:val="1"/>
      <w:marLeft w:val="0"/>
      <w:marRight w:val="0"/>
      <w:marTop w:val="0"/>
      <w:marBottom w:val="0"/>
      <w:divBdr>
        <w:top w:val="none" w:sz="0" w:space="0" w:color="auto"/>
        <w:left w:val="none" w:sz="0" w:space="0" w:color="auto"/>
        <w:bottom w:val="none" w:sz="0" w:space="0" w:color="auto"/>
        <w:right w:val="none" w:sz="0" w:space="0" w:color="auto"/>
      </w:divBdr>
    </w:div>
    <w:div w:id="1349477903">
      <w:bodyDiv w:val="1"/>
      <w:marLeft w:val="0"/>
      <w:marRight w:val="0"/>
      <w:marTop w:val="0"/>
      <w:marBottom w:val="0"/>
      <w:divBdr>
        <w:top w:val="none" w:sz="0" w:space="0" w:color="auto"/>
        <w:left w:val="none" w:sz="0" w:space="0" w:color="auto"/>
        <w:bottom w:val="none" w:sz="0" w:space="0" w:color="auto"/>
        <w:right w:val="none" w:sz="0" w:space="0" w:color="auto"/>
      </w:divBdr>
    </w:div>
    <w:div w:id="1351686949">
      <w:bodyDiv w:val="1"/>
      <w:marLeft w:val="0"/>
      <w:marRight w:val="0"/>
      <w:marTop w:val="0"/>
      <w:marBottom w:val="0"/>
      <w:divBdr>
        <w:top w:val="none" w:sz="0" w:space="0" w:color="auto"/>
        <w:left w:val="none" w:sz="0" w:space="0" w:color="auto"/>
        <w:bottom w:val="none" w:sz="0" w:space="0" w:color="auto"/>
        <w:right w:val="none" w:sz="0" w:space="0" w:color="auto"/>
      </w:divBdr>
    </w:div>
    <w:div w:id="1383479128">
      <w:bodyDiv w:val="1"/>
      <w:marLeft w:val="0"/>
      <w:marRight w:val="0"/>
      <w:marTop w:val="0"/>
      <w:marBottom w:val="0"/>
      <w:divBdr>
        <w:top w:val="none" w:sz="0" w:space="0" w:color="auto"/>
        <w:left w:val="none" w:sz="0" w:space="0" w:color="auto"/>
        <w:bottom w:val="none" w:sz="0" w:space="0" w:color="auto"/>
        <w:right w:val="none" w:sz="0" w:space="0" w:color="auto"/>
      </w:divBdr>
      <w:divsChild>
        <w:div w:id="1064529543">
          <w:marLeft w:val="0"/>
          <w:marRight w:val="0"/>
          <w:marTop w:val="0"/>
          <w:marBottom w:val="0"/>
          <w:divBdr>
            <w:top w:val="none" w:sz="0" w:space="0" w:color="auto"/>
            <w:left w:val="none" w:sz="0" w:space="0" w:color="auto"/>
            <w:bottom w:val="none" w:sz="0" w:space="0" w:color="auto"/>
            <w:right w:val="none" w:sz="0" w:space="0" w:color="auto"/>
          </w:divBdr>
          <w:divsChild>
            <w:div w:id="691146087">
              <w:marLeft w:val="0"/>
              <w:marRight w:val="0"/>
              <w:marTop w:val="0"/>
              <w:marBottom w:val="0"/>
              <w:divBdr>
                <w:top w:val="none" w:sz="0" w:space="0" w:color="auto"/>
                <w:left w:val="none" w:sz="0" w:space="0" w:color="auto"/>
                <w:bottom w:val="none" w:sz="0" w:space="0" w:color="auto"/>
                <w:right w:val="none" w:sz="0" w:space="0" w:color="auto"/>
              </w:divBdr>
              <w:divsChild>
                <w:div w:id="119272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194527">
      <w:bodyDiv w:val="1"/>
      <w:marLeft w:val="0"/>
      <w:marRight w:val="0"/>
      <w:marTop w:val="0"/>
      <w:marBottom w:val="0"/>
      <w:divBdr>
        <w:top w:val="none" w:sz="0" w:space="0" w:color="auto"/>
        <w:left w:val="none" w:sz="0" w:space="0" w:color="auto"/>
        <w:bottom w:val="none" w:sz="0" w:space="0" w:color="auto"/>
        <w:right w:val="none" w:sz="0" w:space="0" w:color="auto"/>
      </w:divBdr>
      <w:divsChild>
        <w:div w:id="2129272289">
          <w:marLeft w:val="0"/>
          <w:marRight w:val="0"/>
          <w:marTop w:val="0"/>
          <w:marBottom w:val="0"/>
          <w:divBdr>
            <w:top w:val="none" w:sz="0" w:space="0" w:color="auto"/>
            <w:left w:val="none" w:sz="0" w:space="0" w:color="auto"/>
            <w:bottom w:val="none" w:sz="0" w:space="0" w:color="auto"/>
            <w:right w:val="none" w:sz="0" w:space="0" w:color="auto"/>
          </w:divBdr>
          <w:divsChild>
            <w:div w:id="337466093">
              <w:marLeft w:val="0"/>
              <w:marRight w:val="0"/>
              <w:marTop w:val="0"/>
              <w:marBottom w:val="0"/>
              <w:divBdr>
                <w:top w:val="none" w:sz="0" w:space="0" w:color="auto"/>
                <w:left w:val="none" w:sz="0" w:space="0" w:color="auto"/>
                <w:bottom w:val="none" w:sz="0" w:space="0" w:color="auto"/>
                <w:right w:val="none" w:sz="0" w:space="0" w:color="auto"/>
              </w:divBdr>
              <w:divsChild>
                <w:div w:id="58415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204255">
      <w:bodyDiv w:val="1"/>
      <w:marLeft w:val="0"/>
      <w:marRight w:val="0"/>
      <w:marTop w:val="0"/>
      <w:marBottom w:val="0"/>
      <w:divBdr>
        <w:top w:val="none" w:sz="0" w:space="0" w:color="auto"/>
        <w:left w:val="none" w:sz="0" w:space="0" w:color="auto"/>
        <w:bottom w:val="none" w:sz="0" w:space="0" w:color="auto"/>
        <w:right w:val="none" w:sz="0" w:space="0" w:color="auto"/>
      </w:divBdr>
    </w:div>
    <w:div w:id="1441143614">
      <w:bodyDiv w:val="1"/>
      <w:marLeft w:val="0"/>
      <w:marRight w:val="0"/>
      <w:marTop w:val="0"/>
      <w:marBottom w:val="0"/>
      <w:divBdr>
        <w:top w:val="none" w:sz="0" w:space="0" w:color="auto"/>
        <w:left w:val="none" w:sz="0" w:space="0" w:color="auto"/>
        <w:bottom w:val="none" w:sz="0" w:space="0" w:color="auto"/>
        <w:right w:val="none" w:sz="0" w:space="0" w:color="auto"/>
      </w:divBdr>
    </w:div>
    <w:div w:id="1508904137">
      <w:bodyDiv w:val="1"/>
      <w:marLeft w:val="0"/>
      <w:marRight w:val="0"/>
      <w:marTop w:val="0"/>
      <w:marBottom w:val="0"/>
      <w:divBdr>
        <w:top w:val="none" w:sz="0" w:space="0" w:color="auto"/>
        <w:left w:val="none" w:sz="0" w:space="0" w:color="auto"/>
        <w:bottom w:val="none" w:sz="0" w:space="0" w:color="auto"/>
        <w:right w:val="none" w:sz="0" w:space="0" w:color="auto"/>
      </w:divBdr>
      <w:divsChild>
        <w:div w:id="778718402">
          <w:marLeft w:val="0"/>
          <w:marRight w:val="0"/>
          <w:marTop w:val="0"/>
          <w:marBottom w:val="0"/>
          <w:divBdr>
            <w:top w:val="none" w:sz="0" w:space="0" w:color="auto"/>
            <w:left w:val="none" w:sz="0" w:space="0" w:color="auto"/>
            <w:bottom w:val="none" w:sz="0" w:space="0" w:color="auto"/>
            <w:right w:val="none" w:sz="0" w:space="0" w:color="auto"/>
          </w:divBdr>
          <w:divsChild>
            <w:div w:id="1045716376">
              <w:marLeft w:val="0"/>
              <w:marRight w:val="0"/>
              <w:marTop w:val="0"/>
              <w:marBottom w:val="0"/>
              <w:divBdr>
                <w:top w:val="none" w:sz="0" w:space="0" w:color="auto"/>
                <w:left w:val="none" w:sz="0" w:space="0" w:color="auto"/>
                <w:bottom w:val="none" w:sz="0" w:space="0" w:color="auto"/>
                <w:right w:val="none" w:sz="0" w:space="0" w:color="auto"/>
              </w:divBdr>
              <w:divsChild>
                <w:div w:id="81441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863298">
      <w:bodyDiv w:val="1"/>
      <w:marLeft w:val="0"/>
      <w:marRight w:val="0"/>
      <w:marTop w:val="0"/>
      <w:marBottom w:val="0"/>
      <w:divBdr>
        <w:top w:val="none" w:sz="0" w:space="0" w:color="auto"/>
        <w:left w:val="none" w:sz="0" w:space="0" w:color="auto"/>
        <w:bottom w:val="none" w:sz="0" w:space="0" w:color="auto"/>
        <w:right w:val="none" w:sz="0" w:space="0" w:color="auto"/>
      </w:divBdr>
      <w:divsChild>
        <w:div w:id="1038161774">
          <w:marLeft w:val="0"/>
          <w:marRight w:val="0"/>
          <w:marTop w:val="0"/>
          <w:marBottom w:val="0"/>
          <w:divBdr>
            <w:top w:val="none" w:sz="0" w:space="0" w:color="auto"/>
            <w:left w:val="none" w:sz="0" w:space="0" w:color="auto"/>
            <w:bottom w:val="none" w:sz="0" w:space="0" w:color="auto"/>
            <w:right w:val="none" w:sz="0" w:space="0" w:color="auto"/>
          </w:divBdr>
          <w:divsChild>
            <w:div w:id="382408771">
              <w:marLeft w:val="0"/>
              <w:marRight w:val="0"/>
              <w:marTop w:val="0"/>
              <w:marBottom w:val="0"/>
              <w:divBdr>
                <w:top w:val="none" w:sz="0" w:space="0" w:color="auto"/>
                <w:left w:val="none" w:sz="0" w:space="0" w:color="auto"/>
                <w:bottom w:val="none" w:sz="0" w:space="0" w:color="auto"/>
                <w:right w:val="none" w:sz="0" w:space="0" w:color="auto"/>
              </w:divBdr>
              <w:divsChild>
                <w:div w:id="438915245">
                  <w:marLeft w:val="0"/>
                  <w:marRight w:val="0"/>
                  <w:marTop w:val="0"/>
                  <w:marBottom w:val="0"/>
                  <w:divBdr>
                    <w:top w:val="none" w:sz="0" w:space="0" w:color="auto"/>
                    <w:left w:val="none" w:sz="0" w:space="0" w:color="auto"/>
                    <w:bottom w:val="none" w:sz="0" w:space="0" w:color="auto"/>
                    <w:right w:val="none" w:sz="0" w:space="0" w:color="auto"/>
                  </w:divBdr>
                </w:div>
              </w:divsChild>
            </w:div>
            <w:div w:id="1384283316">
              <w:marLeft w:val="0"/>
              <w:marRight w:val="0"/>
              <w:marTop w:val="0"/>
              <w:marBottom w:val="0"/>
              <w:divBdr>
                <w:top w:val="none" w:sz="0" w:space="0" w:color="auto"/>
                <w:left w:val="none" w:sz="0" w:space="0" w:color="auto"/>
                <w:bottom w:val="none" w:sz="0" w:space="0" w:color="auto"/>
                <w:right w:val="none" w:sz="0" w:space="0" w:color="auto"/>
              </w:divBdr>
              <w:divsChild>
                <w:div w:id="161108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645084">
      <w:bodyDiv w:val="1"/>
      <w:marLeft w:val="0"/>
      <w:marRight w:val="0"/>
      <w:marTop w:val="0"/>
      <w:marBottom w:val="0"/>
      <w:divBdr>
        <w:top w:val="none" w:sz="0" w:space="0" w:color="auto"/>
        <w:left w:val="none" w:sz="0" w:space="0" w:color="auto"/>
        <w:bottom w:val="none" w:sz="0" w:space="0" w:color="auto"/>
        <w:right w:val="none" w:sz="0" w:space="0" w:color="auto"/>
      </w:divBdr>
    </w:div>
    <w:div w:id="1533151401">
      <w:bodyDiv w:val="1"/>
      <w:marLeft w:val="0"/>
      <w:marRight w:val="0"/>
      <w:marTop w:val="0"/>
      <w:marBottom w:val="0"/>
      <w:divBdr>
        <w:top w:val="none" w:sz="0" w:space="0" w:color="auto"/>
        <w:left w:val="none" w:sz="0" w:space="0" w:color="auto"/>
        <w:bottom w:val="none" w:sz="0" w:space="0" w:color="auto"/>
        <w:right w:val="none" w:sz="0" w:space="0" w:color="auto"/>
      </w:divBdr>
      <w:divsChild>
        <w:div w:id="1644847387">
          <w:marLeft w:val="0"/>
          <w:marRight w:val="0"/>
          <w:marTop w:val="0"/>
          <w:marBottom w:val="0"/>
          <w:divBdr>
            <w:top w:val="none" w:sz="0" w:space="0" w:color="auto"/>
            <w:left w:val="none" w:sz="0" w:space="0" w:color="auto"/>
            <w:bottom w:val="none" w:sz="0" w:space="0" w:color="auto"/>
            <w:right w:val="none" w:sz="0" w:space="0" w:color="auto"/>
          </w:divBdr>
          <w:divsChild>
            <w:div w:id="738594042">
              <w:marLeft w:val="0"/>
              <w:marRight w:val="0"/>
              <w:marTop w:val="0"/>
              <w:marBottom w:val="0"/>
              <w:divBdr>
                <w:top w:val="none" w:sz="0" w:space="0" w:color="auto"/>
                <w:left w:val="none" w:sz="0" w:space="0" w:color="auto"/>
                <w:bottom w:val="none" w:sz="0" w:space="0" w:color="auto"/>
                <w:right w:val="none" w:sz="0" w:space="0" w:color="auto"/>
              </w:divBdr>
              <w:divsChild>
                <w:div w:id="194009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738797">
      <w:bodyDiv w:val="1"/>
      <w:marLeft w:val="0"/>
      <w:marRight w:val="0"/>
      <w:marTop w:val="0"/>
      <w:marBottom w:val="0"/>
      <w:divBdr>
        <w:top w:val="none" w:sz="0" w:space="0" w:color="auto"/>
        <w:left w:val="none" w:sz="0" w:space="0" w:color="auto"/>
        <w:bottom w:val="none" w:sz="0" w:space="0" w:color="auto"/>
        <w:right w:val="none" w:sz="0" w:space="0" w:color="auto"/>
      </w:divBdr>
      <w:divsChild>
        <w:div w:id="1539126712">
          <w:marLeft w:val="0"/>
          <w:marRight w:val="0"/>
          <w:marTop w:val="0"/>
          <w:marBottom w:val="0"/>
          <w:divBdr>
            <w:top w:val="none" w:sz="0" w:space="0" w:color="auto"/>
            <w:left w:val="none" w:sz="0" w:space="0" w:color="auto"/>
            <w:bottom w:val="none" w:sz="0" w:space="0" w:color="auto"/>
            <w:right w:val="none" w:sz="0" w:space="0" w:color="auto"/>
          </w:divBdr>
          <w:divsChild>
            <w:div w:id="465586120">
              <w:marLeft w:val="0"/>
              <w:marRight w:val="0"/>
              <w:marTop w:val="0"/>
              <w:marBottom w:val="0"/>
              <w:divBdr>
                <w:top w:val="none" w:sz="0" w:space="0" w:color="auto"/>
                <w:left w:val="none" w:sz="0" w:space="0" w:color="auto"/>
                <w:bottom w:val="none" w:sz="0" w:space="0" w:color="auto"/>
                <w:right w:val="none" w:sz="0" w:space="0" w:color="auto"/>
              </w:divBdr>
              <w:divsChild>
                <w:div w:id="197552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356335">
      <w:bodyDiv w:val="1"/>
      <w:marLeft w:val="0"/>
      <w:marRight w:val="0"/>
      <w:marTop w:val="0"/>
      <w:marBottom w:val="0"/>
      <w:divBdr>
        <w:top w:val="none" w:sz="0" w:space="0" w:color="auto"/>
        <w:left w:val="none" w:sz="0" w:space="0" w:color="auto"/>
        <w:bottom w:val="none" w:sz="0" w:space="0" w:color="auto"/>
        <w:right w:val="none" w:sz="0" w:space="0" w:color="auto"/>
      </w:divBdr>
      <w:divsChild>
        <w:div w:id="1393188863">
          <w:marLeft w:val="0"/>
          <w:marRight w:val="0"/>
          <w:marTop w:val="0"/>
          <w:marBottom w:val="0"/>
          <w:divBdr>
            <w:top w:val="none" w:sz="0" w:space="0" w:color="auto"/>
            <w:left w:val="none" w:sz="0" w:space="0" w:color="auto"/>
            <w:bottom w:val="none" w:sz="0" w:space="0" w:color="auto"/>
            <w:right w:val="none" w:sz="0" w:space="0" w:color="auto"/>
          </w:divBdr>
          <w:divsChild>
            <w:div w:id="439301629">
              <w:marLeft w:val="0"/>
              <w:marRight w:val="0"/>
              <w:marTop w:val="0"/>
              <w:marBottom w:val="0"/>
              <w:divBdr>
                <w:top w:val="none" w:sz="0" w:space="0" w:color="auto"/>
                <w:left w:val="none" w:sz="0" w:space="0" w:color="auto"/>
                <w:bottom w:val="none" w:sz="0" w:space="0" w:color="auto"/>
                <w:right w:val="none" w:sz="0" w:space="0" w:color="auto"/>
              </w:divBdr>
              <w:divsChild>
                <w:div w:id="28720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023753">
      <w:bodyDiv w:val="1"/>
      <w:marLeft w:val="0"/>
      <w:marRight w:val="0"/>
      <w:marTop w:val="0"/>
      <w:marBottom w:val="0"/>
      <w:divBdr>
        <w:top w:val="none" w:sz="0" w:space="0" w:color="auto"/>
        <w:left w:val="none" w:sz="0" w:space="0" w:color="auto"/>
        <w:bottom w:val="none" w:sz="0" w:space="0" w:color="auto"/>
        <w:right w:val="none" w:sz="0" w:space="0" w:color="auto"/>
      </w:divBdr>
    </w:div>
    <w:div w:id="1616525743">
      <w:bodyDiv w:val="1"/>
      <w:marLeft w:val="0"/>
      <w:marRight w:val="0"/>
      <w:marTop w:val="0"/>
      <w:marBottom w:val="0"/>
      <w:divBdr>
        <w:top w:val="none" w:sz="0" w:space="0" w:color="auto"/>
        <w:left w:val="none" w:sz="0" w:space="0" w:color="auto"/>
        <w:bottom w:val="none" w:sz="0" w:space="0" w:color="auto"/>
        <w:right w:val="none" w:sz="0" w:space="0" w:color="auto"/>
      </w:divBdr>
    </w:div>
    <w:div w:id="1621180856">
      <w:bodyDiv w:val="1"/>
      <w:marLeft w:val="0"/>
      <w:marRight w:val="0"/>
      <w:marTop w:val="0"/>
      <w:marBottom w:val="0"/>
      <w:divBdr>
        <w:top w:val="none" w:sz="0" w:space="0" w:color="auto"/>
        <w:left w:val="none" w:sz="0" w:space="0" w:color="auto"/>
        <w:bottom w:val="none" w:sz="0" w:space="0" w:color="auto"/>
        <w:right w:val="none" w:sz="0" w:space="0" w:color="auto"/>
      </w:divBdr>
      <w:divsChild>
        <w:div w:id="1982803834">
          <w:marLeft w:val="0"/>
          <w:marRight w:val="0"/>
          <w:marTop w:val="0"/>
          <w:marBottom w:val="0"/>
          <w:divBdr>
            <w:top w:val="none" w:sz="0" w:space="0" w:color="auto"/>
            <w:left w:val="none" w:sz="0" w:space="0" w:color="auto"/>
            <w:bottom w:val="none" w:sz="0" w:space="0" w:color="auto"/>
            <w:right w:val="none" w:sz="0" w:space="0" w:color="auto"/>
          </w:divBdr>
          <w:divsChild>
            <w:div w:id="1126847020">
              <w:marLeft w:val="0"/>
              <w:marRight w:val="0"/>
              <w:marTop w:val="0"/>
              <w:marBottom w:val="0"/>
              <w:divBdr>
                <w:top w:val="none" w:sz="0" w:space="0" w:color="auto"/>
                <w:left w:val="none" w:sz="0" w:space="0" w:color="auto"/>
                <w:bottom w:val="none" w:sz="0" w:space="0" w:color="auto"/>
                <w:right w:val="none" w:sz="0" w:space="0" w:color="auto"/>
              </w:divBdr>
              <w:divsChild>
                <w:div w:id="139238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867070">
      <w:bodyDiv w:val="1"/>
      <w:marLeft w:val="0"/>
      <w:marRight w:val="0"/>
      <w:marTop w:val="0"/>
      <w:marBottom w:val="0"/>
      <w:divBdr>
        <w:top w:val="none" w:sz="0" w:space="0" w:color="auto"/>
        <w:left w:val="none" w:sz="0" w:space="0" w:color="auto"/>
        <w:bottom w:val="none" w:sz="0" w:space="0" w:color="auto"/>
        <w:right w:val="none" w:sz="0" w:space="0" w:color="auto"/>
      </w:divBdr>
    </w:div>
    <w:div w:id="1639797753">
      <w:bodyDiv w:val="1"/>
      <w:marLeft w:val="0"/>
      <w:marRight w:val="0"/>
      <w:marTop w:val="0"/>
      <w:marBottom w:val="0"/>
      <w:divBdr>
        <w:top w:val="none" w:sz="0" w:space="0" w:color="auto"/>
        <w:left w:val="none" w:sz="0" w:space="0" w:color="auto"/>
        <w:bottom w:val="none" w:sz="0" w:space="0" w:color="auto"/>
        <w:right w:val="none" w:sz="0" w:space="0" w:color="auto"/>
      </w:divBdr>
    </w:div>
    <w:div w:id="1677462724">
      <w:bodyDiv w:val="1"/>
      <w:marLeft w:val="0"/>
      <w:marRight w:val="0"/>
      <w:marTop w:val="0"/>
      <w:marBottom w:val="0"/>
      <w:divBdr>
        <w:top w:val="none" w:sz="0" w:space="0" w:color="auto"/>
        <w:left w:val="none" w:sz="0" w:space="0" w:color="auto"/>
        <w:bottom w:val="none" w:sz="0" w:space="0" w:color="auto"/>
        <w:right w:val="none" w:sz="0" w:space="0" w:color="auto"/>
      </w:divBdr>
    </w:div>
    <w:div w:id="1683168112">
      <w:bodyDiv w:val="1"/>
      <w:marLeft w:val="0"/>
      <w:marRight w:val="0"/>
      <w:marTop w:val="0"/>
      <w:marBottom w:val="0"/>
      <w:divBdr>
        <w:top w:val="none" w:sz="0" w:space="0" w:color="auto"/>
        <w:left w:val="none" w:sz="0" w:space="0" w:color="auto"/>
        <w:bottom w:val="none" w:sz="0" w:space="0" w:color="auto"/>
        <w:right w:val="none" w:sz="0" w:space="0" w:color="auto"/>
      </w:divBdr>
      <w:divsChild>
        <w:div w:id="554663891">
          <w:marLeft w:val="0"/>
          <w:marRight w:val="0"/>
          <w:marTop w:val="0"/>
          <w:marBottom w:val="0"/>
          <w:divBdr>
            <w:top w:val="none" w:sz="0" w:space="0" w:color="auto"/>
            <w:left w:val="none" w:sz="0" w:space="0" w:color="auto"/>
            <w:bottom w:val="none" w:sz="0" w:space="0" w:color="auto"/>
            <w:right w:val="none" w:sz="0" w:space="0" w:color="auto"/>
          </w:divBdr>
          <w:divsChild>
            <w:div w:id="291836506">
              <w:marLeft w:val="0"/>
              <w:marRight w:val="0"/>
              <w:marTop w:val="0"/>
              <w:marBottom w:val="0"/>
              <w:divBdr>
                <w:top w:val="none" w:sz="0" w:space="0" w:color="auto"/>
                <w:left w:val="none" w:sz="0" w:space="0" w:color="auto"/>
                <w:bottom w:val="none" w:sz="0" w:space="0" w:color="auto"/>
                <w:right w:val="none" w:sz="0" w:space="0" w:color="auto"/>
              </w:divBdr>
              <w:divsChild>
                <w:div w:id="49357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097805">
      <w:bodyDiv w:val="1"/>
      <w:marLeft w:val="0"/>
      <w:marRight w:val="0"/>
      <w:marTop w:val="0"/>
      <w:marBottom w:val="0"/>
      <w:divBdr>
        <w:top w:val="none" w:sz="0" w:space="0" w:color="auto"/>
        <w:left w:val="none" w:sz="0" w:space="0" w:color="auto"/>
        <w:bottom w:val="none" w:sz="0" w:space="0" w:color="auto"/>
        <w:right w:val="none" w:sz="0" w:space="0" w:color="auto"/>
      </w:divBdr>
      <w:divsChild>
        <w:div w:id="1598833141">
          <w:marLeft w:val="0"/>
          <w:marRight w:val="0"/>
          <w:marTop w:val="0"/>
          <w:marBottom w:val="0"/>
          <w:divBdr>
            <w:top w:val="none" w:sz="0" w:space="0" w:color="auto"/>
            <w:left w:val="none" w:sz="0" w:space="0" w:color="auto"/>
            <w:bottom w:val="none" w:sz="0" w:space="0" w:color="auto"/>
            <w:right w:val="none" w:sz="0" w:space="0" w:color="auto"/>
          </w:divBdr>
          <w:divsChild>
            <w:div w:id="192573971">
              <w:marLeft w:val="0"/>
              <w:marRight w:val="0"/>
              <w:marTop w:val="0"/>
              <w:marBottom w:val="0"/>
              <w:divBdr>
                <w:top w:val="none" w:sz="0" w:space="0" w:color="auto"/>
                <w:left w:val="none" w:sz="0" w:space="0" w:color="auto"/>
                <w:bottom w:val="none" w:sz="0" w:space="0" w:color="auto"/>
                <w:right w:val="none" w:sz="0" w:space="0" w:color="auto"/>
              </w:divBdr>
              <w:divsChild>
                <w:div w:id="193305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311942">
      <w:bodyDiv w:val="1"/>
      <w:marLeft w:val="0"/>
      <w:marRight w:val="0"/>
      <w:marTop w:val="0"/>
      <w:marBottom w:val="0"/>
      <w:divBdr>
        <w:top w:val="none" w:sz="0" w:space="0" w:color="auto"/>
        <w:left w:val="none" w:sz="0" w:space="0" w:color="auto"/>
        <w:bottom w:val="none" w:sz="0" w:space="0" w:color="auto"/>
        <w:right w:val="none" w:sz="0" w:space="0" w:color="auto"/>
      </w:divBdr>
    </w:div>
    <w:div w:id="1798720448">
      <w:bodyDiv w:val="1"/>
      <w:marLeft w:val="0"/>
      <w:marRight w:val="0"/>
      <w:marTop w:val="0"/>
      <w:marBottom w:val="0"/>
      <w:divBdr>
        <w:top w:val="none" w:sz="0" w:space="0" w:color="auto"/>
        <w:left w:val="none" w:sz="0" w:space="0" w:color="auto"/>
        <w:bottom w:val="none" w:sz="0" w:space="0" w:color="auto"/>
        <w:right w:val="none" w:sz="0" w:space="0" w:color="auto"/>
      </w:divBdr>
      <w:divsChild>
        <w:div w:id="609704645">
          <w:marLeft w:val="0"/>
          <w:marRight w:val="0"/>
          <w:marTop w:val="0"/>
          <w:marBottom w:val="0"/>
          <w:divBdr>
            <w:top w:val="none" w:sz="0" w:space="0" w:color="auto"/>
            <w:left w:val="none" w:sz="0" w:space="0" w:color="auto"/>
            <w:bottom w:val="none" w:sz="0" w:space="0" w:color="auto"/>
            <w:right w:val="none" w:sz="0" w:space="0" w:color="auto"/>
          </w:divBdr>
          <w:divsChild>
            <w:div w:id="503589589">
              <w:marLeft w:val="0"/>
              <w:marRight w:val="0"/>
              <w:marTop w:val="0"/>
              <w:marBottom w:val="0"/>
              <w:divBdr>
                <w:top w:val="none" w:sz="0" w:space="0" w:color="auto"/>
                <w:left w:val="none" w:sz="0" w:space="0" w:color="auto"/>
                <w:bottom w:val="none" w:sz="0" w:space="0" w:color="auto"/>
                <w:right w:val="none" w:sz="0" w:space="0" w:color="auto"/>
              </w:divBdr>
              <w:divsChild>
                <w:div w:id="150030322">
                  <w:marLeft w:val="0"/>
                  <w:marRight w:val="0"/>
                  <w:marTop w:val="0"/>
                  <w:marBottom w:val="0"/>
                  <w:divBdr>
                    <w:top w:val="none" w:sz="0" w:space="0" w:color="auto"/>
                    <w:left w:val="none" w:sz="0" w:space="0" w:color="auto"/>
                    <w:bottom w:val="none" w:sz="0" w:space="0" w:color="auto"/>
                    <w:right w:val="none" w:sz="0" w:space="0" w:color="auto"/>
                  </w:divBdr>
                </w:div>
              </w:divsChild>
            </w:div>
            <w:div w:id="1671758461">
              <w:marLeft w:val="0"/>
              <w:marRight w:val="0"/>
              <w:marTop w:val="0"/>
              <w:marBottom w:val="0"/>
              <w:divBdr>
                <w:top w:val="none" w:sz="0" w:space="0" w:color="auto"/>
                <w:left w:val="none" w:sz="0" w:space="0" w:color="auto"/>
                <w:bottom w:val="none" w:sz="0" w:space="0" w:color="auto"/>
                <w:right w:val="none" w:sz="0" w:space="0" w:color="auto"/>
              </w:divBdr>
              <w:divsChild>
                <w:div w:id="1101150401">
                  <w:marLeft w:val="0"/>
                  <w:marRight w:val="0"/>
                  <w:marTop w:val="0"/>
                  <w:marBottom w:val="0"/>
                  <w:divBdr>
                    <w:top w:val="none" w:sz="0" w:space="0" w:color="auto"/>
                    <w:left w:val="none" w:sz="0" w:space="0" w:color="auto"/>
                    <w:bottom w:val="none" w:sz="0" w:space="0" w:color="auto"/>
                    <w:right w:val="none" w:sz="0" w:space="0" w:color="auto"/>
                  </w:divBdr>
                </w:div>
              </w:divsChild>
            </w:div>
            <w:div w:id="1801533838">
              <w:marLeft w:val="0"/>
              <w:marRight w:val="0"/>
              <w:marTop w:val="0"/>
              <w:marBottom w:val="0"/>
              <w:divBdr>
                <w:top w:val="none" w:sz="0" w:space="0" w:color="auto"/>
                <w:left w:val="none" w:sz="0" w:space="0" w:color="auto"/>
                <w:bottom w:val="none" w:sz="0" w:space="0" w:color="auto"/>
                <w:right w:val="none" w:sz="0" w:space="0" w:color="auto"/>
              </w:divBdr>
              <w:divsChild>
                <w:div w:id="182473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455777">
      <w:bodyDiv w:val="1"/>
      <w:marLeft w:val="0"/>
      <w:marRight w:val="0"/>
      <w:marTop w:val="0"/>
      <w:marBottom w:val="0"/>
      <w:divBdr>
        <w:top w:val="none" w:sz="0" w:space="0" w:color="auto"/>
        <w:left w:val="none" w:sz="0" w:space="0" w:color="auto"/>
        <w:bottom w:val="none" w:sz="0" w:space="0" w:color="auto"/>
        <w:right w:val="none" w:sz="0" w:space="0" w:color="auto"/>
      </w:divBdr>
    </w:div>
    <w:div w:id="1834032018">
      <w:bodyDiv w:val="1"/>
      <w:marLeft w:val="0"/>
      <w:marRight w:val="0"/>
      <w:marTop w:val="0"/>
      <w:marBottom w:val="0"/>
      <w:divBdr>
        <w:top w:val="none" w:sz="0" w:space="0" w:color="auto"/>
        <w:left w:val="none" w:sz="0" w:space="0" w:color="auto"/>
        <w:bottom w:val="none" w:sz="0" w:space="0" w:color="auto"/>
        <w:right w:val="none" w:sz="0" w:space="0" w:color="auto"/>
      </w:divBdr>
      <w:divsChild>
        <w:div w:id="251007764">
          <w:marLeft w:val="0"/>
          <w:marRight w:val="0"/>
          <w:marTop w:val="0"/>
          <w:marBottom w:val="0"/>
          <w:divBdr>
            <w:top w:val="none" w:sz="0" w:space="0" w:color="auto"/>
            <w:left w:val="none" w:sz="0" w:space="0" w:color="auto"/>
            <w:bottom w:val="none" w:sz="0" w:space="0" w:color="auto"/>
            <w:right w:val="none" w:sz="0" w:space="0" w:color="auto"/>
          </w:divBdr>
          <w:divsChild>
            <w:div w:id="2087264022">
              <w:marLeft w:val="0"/>
              <w:marRight w:val="0"/>
              <w:marTop w:val="0"/>
              <w:marBottom w:val="0"/>
              <w:divBdr>
                <w:top w:val="none" w:sz="0" w:space="0" w:color="auto"/>
                <w:left w:val="none" w:sz="0" w:space="0" w:color="auto"/>
                <w:bottom w:val="none" w:sz="0" w:space="0" w:color="auto"/>
                <w:right w:val="none" w:sz="0" w:space="0" w:color="auto"/>
              </w:divBdr>
              <w:divsChild>
                <w:div w:id="30147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774333">
      <w:bodyDiv w:val="1"/>
      <w:marLeft w:val="0"/>
      <w:marRight w:val="0"/>
      <w:marTop w:val="0"/>
      <w:marBottom w:val="0"/>
      <w:divBdr>
        <w:top w:val="none" w:sz="0" w:space="0" w:color="auto"/>
        <w:left w:val="none" w:sz="0" w:space="0" w:color="auto"/>
        <w:bottom w:val="none" w:sz="0" w:space="0" w:color="auto"/>
        <w:right w:val="none" w:sz="0" w:space="0" w:color="auto"/>
      </w:divBdr>
    </w:div>
    <w:div w:id="1864971748">
      <w:bodyDiv w:val="1"/>
      <w:marLeft w:val="0"/>
      <w:marRight w:val="0"/>
      <w:marTop w:val="0"/>
      <w:marBottom w:val="0"/>
      <w:divBdr>
        <w:top w:val="none" w:sz="0" w:space="0" w:color="auto"/>
        <w:left w:val="none" w:sz="0" w:space="0" w:color="auto"/>
        <w:bottom w:val="none" w:sz="0" w:space="0" w:color="auto"/>
        <w:right w:val="none" w:sz="0" w:space="0" w:color="auto"/>
      </w:divBdr>
    </w:div>
    <w:div w:id="1930576515">
      <w:bodyDiv w:val="1"/>
      <w:marLeft w:val="0"/>
      <w:marRight w:val="0"/>
      <w:marTop w:val="0"/>
      <w:marBottom w:val="0"/>
      <w:divBdr>
        <w:top w:val="none" w:sz="0" w:space="0" w:color="auto"/>
        <w:left w:val="none" w:sz="0" w:space="0" w:color="auto"/>
        <w:bottom w:val="none" w:sz="0" w:space="0" w:color="auto"/>
        <w:right w:val="none" w:sz="0" w:space="0" w:color="auto"/>
      </w:divBdr>
      <w:divsChild>
        <w:div w:id="58943368">
          <w:marLeft w:val="0"/>
          <w:marRight w:val="0"/>
          <w:marTop w:val="0"/>
          <w:marBottom w:val="0"/>
          <w:divBdr>
            <w:top w:val="none" w:sz="0" w:space="0" w:color="auto"/>
            <w:left w:val="none" w:sz="0" w:space="0" w:color="auto"/>
            <w:bottom w:val="none" w:sz="0" w:space="0" w:color="auto"/>
            <w:right w:val="none" w:sz="0" w:space="0" w:color="auto"/>
          </w:divBdr>
          <w:divsChild>
            <w:div w:id="1637955474">
              <w:marLeft w:val="0"/>
              <w:marRight w:val="0"/>
              <w:marTop w:val="0"/>
              <w:marBottom w:val="0"/>
              <w:divBdr>
                <w:top w:val="none" w:sz="0" w:space="0" w:color="auto"/>
                <w:left w:val="none" w:sz="0" w:space="0" w:color="auto"/>
                <w:bottom w:val="none" w:sz="0" w:space="0" w:color="auto"/>
                <w:right w:val="none" w:sz="0" w:space="0" w:color="auto"/>
              </w:divBdr>
              <w:divsChild>
                <w:div w:id="98658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972477">
      <w:bodyDiv w:val="1"/>
      <w:marLeft w:val="0"/>
      <w:marRight w:val="0"/>
      <w:marTop w:val="0"/>
      <w:marBottom w:val="0"/>
      <w:divBdr>
        <w:top w:val="none" w:sz="0" w:space="0" w:color="auto"/>
        <w:left w:val="none" w:sz="0" w:space="0" w:color="auto"/>
        <w:bottom w:val="none" w:sz="0" w:space="0" w:color="auto"/>
        <w:right w:val="none" w:sz="0" w:space="0" w:color="auto"/>
      </w:divBdr>
    </w:div>
    <w:div w:id="1959406304">
      <w:bodyDiv w:val="1"/>
      <w:marLeft w:val="0"/>
      <w:marRight w:val="0"/>
      <w:marTop w:val="0"/>
      <w:marBottom w:val="0"/>
      <w:divBdr>
        <w:top w:val="none" w:sz="0" w:space="0" w:color="auto"/>
        <w:left w:val="none" w:sz="0" w:space="0" w:color="auto"/>
        <w:bottom w:val="none" w:sz="0" w:space="0" w:color="auto"/>
        <w:right w:val="none" w:sz="0" w:space="0" w:color="auto"/>
      </w:divBdr>
    </w:div>
    <w:div w:id="2020345723">
      <w:bodyDiv w:val="1"/>
      <w:marLeft w:val="0"/>
      <w:marRight w:val="0"/>
      <w:marTop w:val="0"/>
      <w:marBottom w:val="0"/>
      <w:divBdr>
        <w:top w:val="none" w:sz="0" w:space="0" w:color="auto"/>
        <w:left w:val="none" w:sz="0" w:space="0" w:color="auto"/>
        <w:bottom w:val="none" w:sz="0" w:space="0" w:color="auto"/>
        <w:right w:val="none" w:sz="0" w:space="0" w:color="auto"/>
      </w:divBdr>
      <w:divsChild>
        <w:div w:id="1393961790">
          <w:marLeft w:val="0"/>
          <w:marRight w:val="0"/>
          <w:marTop w:val="0"/>
          <w:marBottom w:val="0"/>
          <w:divBdr>
            <w:top w:val="none" w:sz="0" w:space="0" w:color="auto"/>
            <w:left w:val="none" w:sz="0" w:space="0" w:color="auto"/>
            <w:bottom w:val="none" w:sz="0" w:space="0" w:color="auto"/>
            <w:right w:val="none" w:sz="0" w:space="0" w:color="auto"/>
          </w:divBdr>
          <w:divsChild>
            <w:div w:id="2080446207">
              <w:marLeft w:val="0"/>
              <w:marRight w:val="0"/>
              <w:marTop w:val="0"/>
              <w:marBottom w:val="0"/>
              <w:divBdr>
                <w:top w:val="none" w:sz="0" w:space="0" w:color="auto"/>
                <w:left w:val="none" w:sz="0" w:space="0" w:color="auto"/>
                <w:bottom w:val="none" w:sz="0" w:space="0" w:color="auto"/>
                <w:right w:val="none" w:sz="0" w:space="0" w:color="auto"/>
              </w:divBdr>
              <w:divsChild>
                <w:div w:id="192120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852956">
      <w:bodyDiv w:val="1"/>
      <w:marLeft w:val="0"/>
      <w:marRight w:val="0"/>
      <w:marTop w:val="0"/>
      <w:marBottom w:val="0"/>
      <w:divBdr>
        <w:top w:val="none" w:sz="0" w:space="0" w:color="auto"/>
        <w:left w:val="none" w:sz="0" w:space="0" w:color="auto"/>
        <w:bottom w:val="none" w:sz="0" w:space="0" w:color="auto"/>
        <w:right w:val="none" w:sz="0" w:space="0" w:color="auto"/>
      </w:divBdr>
    </w:div>
    <w:div w:id="2031445583">
      <w:bodyDiv w:val="1"/>
      <w:marLeft w:val="0"/>
      <w:marRight w:val="0"/>
      <w:marTop w:val="0"/>
      <w:marBottom w:val="0"/>
      <w:divBdr>
        <w:top w:val="none" w:sz="0" w:space="0" w:color="auto"/>
        <w:left w:val="none" w:sz="0" w:space="0" w:color="auto"/>
        <w:bottom w:val="none" w:sz="0" w:space="0" w:color="auto"/>
        <w:right w:val="none" w:sz="0" w:space="0" w:color="auto"/>
      </w:divBdr>
    </w:div>
    <w:div w:id="2063825921">
      <w:bodyDiv w:val="1"/>
      <w:marLeft w:val="0"/>
      <w:marRight w:val="0"/>
      <w:marTop w:val="0"/>
      <w:marBottom w:val="0"/>
      <w:divBdr>
        <w:top w:val="none" w:sz="0" w:space="0" w:color="auto"/>
        <w:left w:val="none" w:sz="0" w:space="0" w:color="auto"/>
        <w:bottom w:val="none" w:sz="0" w:space="0" w:color="auto"/>
        <w:right w:val="none" w:sz="0" w:space="0" w:color="auto"/>
      </w:divBdr>
    </w:div>
    <w:div w:id="2065372598">
      <w:bodyDiv w:val="1"/>
      <w:marLeft w:val="0"/>
      <w:marRight w:val="0"/>
      <w:marTop w:val="0"/>
      <w:marBottom w:val="0"/>
      <w:divBdr>
        <w:top w:val="none" w:sz="0" w:space="0" w:color="auto"/>
        <w:left w:val="none" w:sz="0" w:space="0" w:color="auto"/>
        <w:bottom w:val="none" w:sz="0" w:space="0" w:color="auto"/>
        <w:right w:val="none" w:sz="0" w:space="0" w:color="auto"/>
      </w:divBdr>
      <w:divsChild>
        <w:div w:id="1671516829">
          <w:marLeft w:val="0"/>
          <w:marRight w:val="0"/>
          <w:marTop w:val="0"/>
          <w:marBottom w:val="0"/>
          <w:divBdr>
            <w:top w:val="none" w:sz="0" w:space="0" w:color="auto"/>
            <w:left w:val="none" w:sz="0" w:space="0" w:color="auto"/>
            <w:bottom w:val="none" w:sz="0" w:space="0" w:color="auto"/>
            <w:right w:val="none" w:sz="0" w:space="0" w:color="auto"/>
          </w:divBdr>
          <w:divsChild>
            <w:div w:id="1151142378">
              <w:marLeft w:val="0"/>
              <w:marRight w:val="0"/>
              <w:marTop w:val="0"/>
              <w:marBottom w:val="0"/>
              <w:divBdr>
                <w:top w:val="none" w:sz="0" w:space="0" w:color="auto"/>
                <w:left w:val="none" w:sz="0" w:space="0" w:color="auto"/>
                <w:bottom w:val="none" w:sz="0" w:space="0" w:color="auto"/>
                <w:right w:val="none" w:sz="0" w:space="0" w:color="auto"/>
              </w:divBdr>
              <w:divsChild>
                <w:div w:id="77294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300625">
      <w:bodyDiv w:val="1"/>
      <w:marLeft w:val="0"/>
      <w:marRight w:val="0"/>
      <w:marTop w:val="0"/>
      <w:marBottom w:val="0"/>
      <w:divBdr>
        <w:top w:val="none" w:sz="0" w:space="0" w:color="auto"/>
        <w:left w:val="none" w:sz="0" w:space="0" w:color="auto"/>
        <w:bottom w:val="none" w:sz="0" w:space="0" w:color="auto"/>
        <w:right w:val="none" w:sz="0" w:space="0" w:color="auto"/>
      </w:divBdr>
    </w:div>
    <w:div w:id="2077971984">
      <w:bodyDiv w:val="1"/>
      <w:marLeft w:val="0"/>
      <w:marRight w:val="0"/>
      <w:marTop w:val="0"/>
      <w:marBottom w:val="0"/>
      <w:divBdr>
        <w:top w:val="none" w:sz="0" w:space="0" w:color="auto"/>
        <w:left w:val="none" w:sz="0" w:space="0" w:color="auto"/>
        <w:bottom w:val="none" w:sz="0" w:space="0" w:color="auto"/>
        <w:right w:val="none" w:sz="0" w:space="0" w:color="auto"/>
      </w:divBdr>
    </w:div>
    <w:div w:id="2094354839">
      <w:bodyDiv w:val="1"/>
      <w:marLeft w:val="0"/>
      <w:marRight w:val="0"/>
      <w:marTop w:val="0"/>
      <w:marBottom w:val="0"/>
      <w:divBdr>
        <w:top w:val="none" w:sz="0" w:space="0" w:color="auto"/>
        <w:left w:val="none" w:sz="0" w:space="0" w:color="auto"/>
        <w:bottom w:val="none" w:sz="0" w:space="0" w:color="auto"/>
        <w:right w:val="none" w:sz="0" w:space="0" w:color="auto"/>
      </w:divBdr>
      <w:divsChild>
        <w:div w:id="167210702">
          <w:marLeft w:val="0"/>
          <w:marRight w:val="0"/>
          <w:marTop w:val="0"/>
          <w:marBottom w:val="0"/>
          <w:divBdr>
            <w:top w:val="none" w:sz="0" w:space="0" w:color="auto"/>
            <w:left w:val="none" w:sz="0" w:space="0" w:color="auto"/>
            <w:bottom w:val="none" w:sz="0" w:space="0" w:color="auto"/>
            <w:right w:val="none" w:sz="0" w:space="0" w:color="auto"/>
          </w:divBdr>
          <w:divsChild>
            <w:div w:id="600190552">
              <w:marLeft w:val="0"/>
              <w:marRight w:val="0"/>
              <w:marTop w:val="0"/>
              <w:marBottom w:val="0"/>
              <w:divBdr>
                <w:top w:val="none" w:sz="0" w:space="0" w:color="auto"/>
                <w:left w:val="none" w:sz="0" w:space="0" w:color="auto"/>
                <w:bottom w:val="none" w:sz="0" w:space="0" w:color="auto"/>
                <w:right w:val="none" w:sz="0" w:space="0" w:color="auto"/>
              </w:divBdr>
              <w:divsChild>
                <w:div w:id="191223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075320">
      <w:bodyDiv w:val="1"/>
      <w:marLeft w:val="0"/>
      <w:marRight w:val="0"/>
      <w:marTop w:val="0"/>
      <w:marBottom w:val="0"/>
      <w:divBdr>
        <w:top w:val="none" w:sz="0" w:space="0" w:color="auto"/>
        <w:left w:val="none" w:sz="0" w:space="0" w:color="auto"/>
        <w:bottom w:val="none" w:sz="0" w:space="0" w:color="auto"/>
        <w:right w:val="none" w:sz="0" w:space="0" w:color="auto"/>
      </w:divBdr>
      <w:divsChild>
        <w:div w:id="478570537">
          <w:marLeft w:val="0"/>
          <w:marRight w:val="0"/>
          <w:marTop w:val="0"/>
          <w:marBottom w:val="0"/>
          <w:divBdr>
            <w:top w:val="none" w:sz="0" w:space="0" w:color="auto"/>
            <w:left w:val="none" w:sz="0" w:space="0" w:color="auto"/>
            <w:bottom w:val="none" w:sz="0" w:space="0" w:color="auto"/>
            <w:right w:val="none" w:sz="0" w:space="0" w:color="auto"/>
          </w:divBdr>
          <w:divsChild>
            <w:div w:id="1085882330">
              <w:marLeft w:val="0"/>
              <w:marRight w:val="0"/>
              <w:marTop w:val="0"/>
              <w:marBottom w:val="0"/>
              <w:divBdr>
                <w:top w:val="none" w:sz="0" w:space="0" w:color="auto"/>
                <w:left w:val="none" w:sz="0" w:space="0" w:color="auto"/>
                <w:bottom w:val="none" w:sz="0" w:space="0" w:color="auto"/>
                <w:right w:val="none" w:sz="0" w:space="0" w:color="auto"/>
              </w:divBdr>
              <w:divsChild>
                <w:div w:id="1270509184">
                  <w:marLeft w:val="0"/>
                  <w:marRight w:val="0"/>
                  <w:marTop w:val="0"/>
                  <w:marBottom w:val="0"/>
                  <w:divBdr>
                    <w:top w:val="none" w:sz="0" w:space="0" w:color="auto"/>
                    <w:left w:val="none" w:sz="0" w:space="0" w:color="auto"/>
                    <w:bottom w:val="none" w:sz="0" w:space="0" w:color="auto"/>
                    <w:right w:val="none" w:sz="0" w:space="0" w:color="auto"/>
                  </w:divBdr>
                </w:div>
              </w:divsChild>
            </w:div>
            <w:div w:id="1005479884">
              <w:marLeft w:val="0"/>
              <w:marRight w:val="0"/>
              <w:marTop w:val="0"/>
              <w:marBottom w:val="0"/>
              <w:divBdr>
                <w:top w:val="none" w:sz="0" w:space="0" w:color="auto"/>
                <w:left w:val="none" w:sz="0" w:space="0" w:color="auto"/>
                <w:bottom w:val="none" w:sz="0" w:space="0" w:color="auto"/>
                <w:right w:val="none" w:sz="0" w:space="0" w:color="auto"/>
              </w:divBdr>
              <w:divsChild>
                <w:div w:id="91929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494683">
          <w:marLeft w:val="0"/>
          <w:marRight w:val="0"/>
          <w:marTop w:val="0"/>
          <w:marBottom w:val="0"/>
          <w:divBdr>
            <w:top w:val="none" w:sz="0" w:space="0" w:color="auto"/>
            <w:left w:val="none" w:sz="0" w:space="0" w:color="auto"/>
            <w:bottom w:val="none" w:sz="0" w:space="0" w:color="auto"/>
            <w:right w:val="none" w:sz="0" w:space="0" w:color="auto"/>
          </w:divBdr>
          <w:divsChild>
            <w:div w:id="887838239">
              <w:marLeft w:val="0"/>
              <w:marRight w:val="0"/>
              <w:marTop w:val="0"/>
              <w:marBottom w:val="0"/>
              <w:divBdr>
                <w:top w:val="none" w:sz="0" w:space="0" w:color="auto"/>
                <w:left w:val="none" w:sz="0" w:space="0" w:color="auto"/>
                <w:bottom w:val="none" w:sz="0" w:space="0" w:color="auto"/>
                <w:right w:val="none" w:sz="0" w:space="0" w:color="auto"/>
              </w:divBdr>
              <w:divsChild>
                <w:div w:id="28897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saflii.org/za/cases/ZAKZPHC/2020/4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D5A4D9-1874-4482-A2C1-45CCFC239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22</Pages>
  <Words>5805</Words>
  <Characters>33089</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 Robin R. Mossop</dc:creator>
  <cp:keywords/>
  <dc:description/>
  <cp:lastModifiedBy>Mokone</cp:lastModifiedBy>
  <cp:revision>3</cp:revision>
  <cp:lastPrinted>2023-09-08T11:15:00Z</cp:lastPrinted>
  <dcterms:created xsi:type="dcterms:W3CDTF">2023-09-13T08:59:00Z</dcterms:created>
  <dcterms:modified xsi:type="dcterms:W3CDTF">2023-09-13T09:05:00Z</dcterms:modified>
</cp:coreProperties>
</file>