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850C0" w14:textId="77777777" w:rsidR="000C62C7" w:rsidRPr="00922273" w:rsidRDefault="000C62C7" w:rsidP="007E169D">
      <w:pPr>
        <w:spacing w:line="360" w:lineRule="auto"/>
        <w:contextualSpacing/>
        <w:jc w:val="center"/>
        <w:rPr>
          <w:rFonts w:ascii="Arial" w:eastAsia="Calibri" w:hAnsi="Arial" w:cs="Arial"/>
          <w:b/>
          <w:lang w:val="en-ZA" w:eastAsia="en-US"/>
        </w:rPr>
      </w:pPr>
      <w:bookmarkStart w:id="0" w:name="_GoBack"/>
      <w:bookmarkEnd w:id="0"/>
      <w:r w:rsidRPr="00922273">
        <w:rPr>
          <w:rFonts w:ascii="Arial" w:eastAsia="Calibri" w:hAnsi="Arial" w:cs="Arial"/>
          <w:noProof/>
          <w:sz w:val="28"/>
          <w:szCs w:val="28"/>
          <w:lang w:val="en-ZA" w:eastAsia="en-ZA"/>
        </w:rPr>
        <w:drawing>
          <wp:inline distT="0" distB="0" distL="0" distR="0" wp14:anchorId="493EAD50" wp14:editId="048BB0BB">
            <wp:extent cx="1038225" cy="101929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134" cy="1021170"/>
                    </a:xfrm>
                    <a:prstGeom prst="rect">
                      <a:avLst/>
                    </a:prstGeom>
                    <a:noFill/>
                    <a:ln>
                      <a:noFill/>
                    </a:ln>
                  </pic:spPr>
                </pic:pic>
              </a:graphicData>
            </a:graphic>
          </wp:inline>
        </w:drawing>
      </w:r>
    </w:p>
    <w:p w14:paraId="3F8E94D7" w14:textId="77777777" w:rsidR="000C62C7" w:rsidRPr="00922273" w:rsidRDefault="000C62C7" w:rsidP="007E169D">
      <w:pPr>
        <w:spacing w:line="360" w:lineRule="auto"/>
        <w:contextualSpacing/>
        <w:jc w:val="center"/>
        <w:rPr>
          <w:rFonts w:ascii="Arial" w:eastAsia="Calibri" w:hAnsi="Arial" w:cs="Arial"/>
          <w:b/>
          <w:lang w:val="en-ZA" w:eastAsia="en-US"/>
        </w:rPr>
      </w:pPr>
      <w:r w:rsidRPr="00922273">
        <w:rPr>
          <w:rFonts w:ascii="Arial" w:eastAsia="Calibri" w:hAnsi="Arial" w:cs="Arial"/>
          <w:b/>
          <w:lang w:val="en-ZA" w:eastAsia="en-US"/>
        </w:rPr>
        <w:t>IN THE HIGH COURT OF SOUTH AFRICA</w:t>
      </w:r>
    </w:p>
    <w:p w14:paraId="5BF0D3B2" w14:textId="77777777" w:rsidR="000C62C7" w:rsidRPr="00922273" w:rsidRDefault="000C62C7" w:rsidP="007E169D">
      <w:pPr>
        <w:spacing w:line="360" w:lineRule="auto"/>
        <w:contextualSpacing/>
        <w:jc w:val="center"/>
        <w:rPr>
          <w:rFonts w:ascii="Arial" w:eastAsia="Calibri" w:hAnsi="Arial" w:cs="Arial"/>
          <w:b/>
          <w:lang w:val="en-ZA" w:eastAsia="en-US"/>
        </w:rPr>
      </w:pPr>
      <w:r w:rsidRPr="00922273">
        <w:rPr>
          <w:rFonts w:ascii="Arial" w:eastAsia="Calibri" w:hAnsi="Arial" w:cs="Arial"/>
          <w:b/>
          <w:lang w:val="en-ZA" w:eastAsia="en-US"/>
        </w:rPr>
        <w:t xml:space="preserve">KWAZULU-NATAL </w:t>
      </w:r>
      <w:r w:rsidR="00695917">
        <w:rPr>
          <w:rFonts w:ascii="Arial" w:eastAsia="Calibri" w:hAnsi="Arial" w:cs="Arial"/>
          <w:b/>
          <w:lang w:val="en-ZA" w:eastAsia="en-US"/>
        </w:rPr>
        <w:t xml:space="preserve">LOCAL </w:t>
      </w:r>
      <w:r w:rsidRPr="00922273">
        <w:rPr>
          <w:rFonts w:ascii="Arial" w:eastAsia="Calibri" w:hAnsi="Arial" w:cs="Arial"/>
          <w:b/>
          <w:lang w:val="en-ZA" w:eastAsia="en-US"/>
        </w:rPr>
        <w:t xml:space="preserve">DIVISION, </w:t>
      </w:r>
      <w:r w:rsidR="00695917">
        <w:rPr>
          <w:rFonts w:ascii="Arial" w:eastAsia="Calibri" w:hAnsi="Arial" w:cs="Arial"/>
          <w:b/>
          <w:lang w:val="en-ZA" w:eastAsia="en-US"/>
        </w:rPr>
        <w:t>DIVISION</w:t>
      </w:r>
    </w:p>
    <w:p w14:paraId="40F63A77" w14:textId="77777777" w:rsidR="00CD3252" w:rsidRPr="00922273" w:rsidRDefault="00885956" w:rsidP="007E169D">
      <w:pPr>
        <w:spacing w:line="360" w:lineRule="auto"/>
        <w:ind w:right="-950"/>
        <w:contextualSpacing/>
        <w:jc w:val="both"/>
        <w:rPr>
          <w:rFonts w:ascii="Arial" w:hAnsi="Arial" w:cs="Arial"/>
          <w:lang w:val="en-ZA"/>
        </w:rPr>
      </w:pPr>
      <w:r w:rsidRPr="00922273">
        <w:rPr>
          <w:rFonts w:ascii="Arial" w:hAnsi="Arial" w:cs="Arial"/>
          <w:lang w:val="en-ZA"/>
        </w:rPr>
        <w:t xml:space="preserve"> </w:t>
      </w:r>
    </w:p>
    <w:p w14:paraId="412DC929" w14:textId="77777777" w:rsidR="00CD3252" w:rsidRPr="00922273" w:rsidRDefault="005579F8" w:rsidP="007E169D">
      <w:pPr>
        <w:spacing w:line="360" w:lineRule="auto"/>
        <w:ind w:right="-46"/>
        <w:contextualSpacing/>
        <w:jc w:val="right"/>
        <w:rPr>
          <w:rFonts w:ascii="Arial" w:hAnsi="Arial" w:cs="Arial"/>
          <w:b/>
          <w:lang w:val="en-ZA"/>
        </w:rPr>
      </w:pPr>
      <w:r w:rsidRPr="00922273">
        <w:rPr>
          <w:rFonts w:ascii="Arial" w:hAnsi="Arial" w:cs="Arial"/>
          <w:b/>
          <w:lang w:val="en-ZA"/>
        </w:rPr>
        <w:t>CASE NO:</w:t>
      </w:r>
      <w:r w:rsidR="00885956" w:rsidRPr="00922273">
        <w:rPr>
          <w:rFonts w:ascii="Arial" w:hAnsi="Arial" w:cs="Arial"/>
          <w:b/>
          <w:lang w:val="en-ZA"/>
        </w:rPr>
        <w:t xml:space="preserve"> </w:t>
      </w:r>
      <w:r w:rsidR="00C83F50" w:rsidRPr="00922273">
        <w:rPr>
          <w:rFonts w:ascii="Arial" w:hAnsi="Arial" w:cs="Arial"/>
          <w:b/>
          <w:lang w:val="en-ZA"/>
        </w:rPr>
        <w:t>11250</w:t>
      </w:r>
      <w:r w:rsidRPr="00922273">
        <w:rPr>
          <w:rFonts w:ascii="Arial" w:hAnsi="Arial" w:cs="Arial"/>
          <w:b/>
          <w:lang w:val="en-ZA"/>
        </w:rPr>
        <w:t>/2</w:t>
      </w:r>
      <w:r w:rsidR="00C83F50" w:rsidRPr="00922273">
        <w:rPr>
          <w:rFonts w:ascii="Arial" w:hAnsi="Arial" w:cs="Arial"/>
          <w:b/>
          <w:lang w:val="en-ZA"/>
        </w:rPr>
        <w:t>1</w:t>
      </w:r>
    </w:p>
    <w:p w14:paraId="148B133F" w14:textId="77777777" w:rsidR="00CD3252" w:rsidRPr="00922273" w:rsidRDefault="00CD3252" w:rsidP="007E169D">
      <w:pPr>
        <w:spacing w:line="360" w:lineRule="auto"/>
        <w:ind w:right="-950"/>
        <w:contextualSpacing/>
        <w:jc w:val="both"/>
        <w:rPr>
          <w:rFonts w:ascii="Arial" w:hAnsi="Arial" w:cs="Arial"/>
          <w:lang w:val="en-ZA"/>
        </w:rPr>
      </w:pPr>
    </w:p>
    <w:p w14:paraId="366E1A33" w14:textId="77777777" w:rsidR="00CD3252" w:rsidRPr="00922273" w:rsidRDefault="00CD3252" w:rsidP="007E169D">
      <w:pPr>
        <w:spacing w:line="360" w:lineRule="auto"/>
        <w:ind w:right="-950"/>
        <w:contextualSpacing/>
        <w:jc w:val="both"/>
        <w:rPr>
          <w:rFonts w:ascii="Arial" w:hAnsi="Arial" w:cs="Arial"/>
          <w:lang w:val="en-ZA"/>
        </w:rPr>
      </w:pPr>
      <w:r w:rsidRPr="00922273">
        <w:rPr>
          <w:rFonts w:ascii="Arial" w:hAnsi="Arial" w:cs="Arial"/>
          <w:lang w:val="en-ZA"/>
        </w:rPr>
        <w:t>In the matter between:</w:t>
      </w:r>
    </w:p>
    <w:p w14:paraId="38EFE6DA" w14:textId="77777777" w:rsidR="00546FC5" w:rsidRPr="00922273" w:rsidRDefault="00546FC5" w:rsidP="007E169D">
      <w:pPr>
        <w:spacing w:line="360" w:lineRule="auto"/>
        <w:ind w:right="-950"/>
        <w:contextualSpacing/>
        <w:jc w:val="both"/>
        <w:rPr>
          <w:rFonts w:ascii="Arial" w:hAnsi="Arial" w:cs="Arial"/>
          <w:b/>
          <w:lang w:val="en-ZA"/>
        </w:rPr>
      </w:pPr>
    </w:p>
    <w:p w14:paraId="6678083E" w14:textId="77777777" w:rsidR="00CD3252" w:rsidRPr="00922273" w:rsidRDefault="00695917" w:rsidP="00242A49">
      <w:pPr>
        <w:spacing w:line="360" w:lineRule="auto"/>
        <w:ind w:right="-46"/>
        <w:contextualSpacing/>
        <w:jc w:val="both"/>
        <w:rPr>
          <w:rFonts w:ascii="Arial" w:hAnsi="Arial" w:cs="Arial"/>
          <w:b/>
          <w:lang w:val="en-ZA"/>
        </w:rPr>
      </w:pPr>
      <w:r w:rsidRPr="00695917">
        <w:rPr>
          <w:rFonts w:ascii="Arial" w:hAnsi="Arial" w:cs="Arial"/>
          <w:b/>
          <w:bCs/>
          <w:lang w:val="en-ZA"/>
        </w:rPr>
        <w:t>DARYL MANN</w:t>
      </w:r>
      <w:r w:rsidR="00800395" w:rsidRPr="00242A49">
        <w:rPr>
          <w:rFonts w:ascii="Arial" w:hAnsi="Arial" w:cs="Arial"/>
          <w:b/>
          <w:bCs/>
          <w:lang w:val="en-ZA"/>
        </w:rPr>
        <w:tab/>
      </w:r>
      <w:r w:rsidR="00242A49">
        <w:rPr>
          <w:rFonts w:ascii="Arial" w:hAnsi="Arial" w:cs="Arial"/>
          <w:b/>
          <w:bCs/>
          <w:lang w:val="en-ZA"/>
        </w:rPr>
        <w:tab/>
      </w:r>
      <w:r w:rsidR="00242A49">
        <w:rPr>
          <w:rFonts w:ascii="Arial" w:hAnsi="Arial" w:cs="Arial"/>
          <w:b/>
          <w:bCs/>
          <w:lang w:val="en-ZA"/>
        </w:rPr>
        <w:tab/>
      </w:r>
      <w:r w:rsidR="00242A49">
        <w:rPr>
          <w:rFonts w:ascii="Arial" w:hAnsi="Arial" w:cs="Arial"/>
          <w:b/>
          <w:bCs/>
          <w:lang w:val="en-ZA"/>
        </w:rPr>
        <w:tab/>
      </w:r>
      <w:r w:rsidR="00242A49">
        <w:rPr>
          <w:rFonts w:ascii="Arial" w:hAnsi="Arial" w:cs="Arial"/>
          <w:b/>
          <w:bCs/>
          <w:lang w:val="en-ZA"/>
        </w:rPr>
        <w:tab/>
      </w:r>
      <w:r w:rsidR="00242A49">
        <w:rPr>
          <w:rFonts w:ascii="Arial" w:hAnsi="Arial" w:cs="Arial"/>
          <w:b/>
          <w:bCs/>
          <w:lang w:val="en-ZA"/>
        </w:rPr>
        <w:tab/>
      </w:r>
      <w:r w:rsidR="00242A49">
        <w:rPr>
          <w:rFonts w:ascii="Arial" w:hAnsi="Arial" w:cs="Arial"/>
          <w:b/>
          <w:bCs/>
          <w:lang w:val="en-ZA"/>
        </w:rPr>
        <w:tab/>
      </w:r>
      <w:r w:rsidR="00242A49">
        <w:rPr>
          <w:rFonts w:ascii="Arial" w:hAnsi="Arial" w:cs="Arial"/>
          <w:b/>
          <w:bCs/>
          <w:lang w:val="en-ZA"/>
        </w:rPr>
        <w:tab/>
        <w:t xml:space="preserve">       </w:t>
      </w:r>
      <w:r w:rsidR="00242A49">
        <w:rPr>
          <w:rFonts w:ascii="Arial" w:hAnsi="Arial" w:cs="Arial"/>
          <w:b/>
          <w:lang w:val="en-ZA"/>
        </w:rPr>
        <w:t>A</w:t>
      </w:r>
      <w:r w:rsidR="00242A49" w:rsidRPr="00922273">
        <w:rPr>
          <w:rFonts w:ascii="Arial" w:hAnsi="Arial" w:cs="Arial"/>
          <w:b/>
          <w:lang w:val="en-ZA"/>
        </w:rPr>
        <w:t>PPLICANT</w:t>
      </w:r>
      <w:r w:rsidR="00800395" w:rsidRPr="00242A49">
        <w:rPr>
          <w:rFonts w:ascii="Arial" w:hAnsi="Arial" w:cs="Arial"/>
          <w:b/>
          <w:bCs/>
          <w:lang w:val="en-ZA"/>
        </w:rPr>
        <w:tab/>
      </w:r>
      <w:r w:rsidRPr="00242A49">
        <w:rPr>
          <w:rFonts w:ascii="Arial" w:hAnsi="Arial" w:cs="Arial"/>
          <w:b/>
          <w:bCs/>
          <w:lang w:val="en-ZA"/>
        </w:rPr>
        <w:tab/>
      </w:r>
      <w:r w:rsidRPr="00242A49">
        <w:rPr>
          <w:rFonts w:ascii="Arial" w:hAnsi="Arial" w:cs="Arial"/>
          <w:b/>
          <w:bCs/>
          <w:lang w:val="en-ZA"/>
        </w:rPr>
        <w:tab/>
      </w:r>
      <w:r w:rsidRPr="00242A49">
        <w:rPr>
          <w:rFonts w:ascii="Arial" w:hAnsi="Arial" w:cs="Arial"/>
          <w:b/>
          <w:bCs/>
          <w:lang w:val="en-ZA"/>
        </w:rPr>
        <w:tab/>
      </w:r>
      <w:r w:rsidRPr="00242A49">
        <w:rPr>
          <w:rFonts w:ascii="Arial" w:hAnsi="Arial" w:cs="Arial"/>
          <w:b/>
          <w:bCs/>
          <w:lang w:val="en-ZA"/>
        </w:rPr>
        <w:tab/>
      </w:r>
      <w:r w:rsidR="00242A49">
        <w:rPr>
          <w:rFonts w:ascii="Arial" w:hAnsi="Arial" w:cs="Arial"/>
          <w:b/>
          <w:lang w:val="en-ZA"/>
        </w:rPr>
        <w:t xml:space="preserve">                              </w:t>
      </w:r>
    </w:p>
    <w:p w14:paraId="25E12491" w14:textId="77777777" w:rsidR="0029197F" w:rsidRPr="00922273" w:rsidRDefault="0029197F" w:rsidP="007E169D">
      <w:pPr>
        <w:spacing w:line="360" w:lineRule="auto"/>
        <w:ind w:right="-950"/>
        <w:contextualSpacing/>
        <w:jc w:val="both"/>
        <w:rPr>
          <w:rFonts w:ascii="Arial" w:hAnsi="Arial" w:cs="Arial"/>
          <w:b/>
          <w:bCs/>
          <w:lang w:val="en-ZA"/>
        </w:rPr>
      </w:pPr>
    </w:p>
    <w:p w14:paraId="494493AF" w14:textId="77777777" w:rsidR="00CD3252" w:rsidRPr="00922273" w:rsidRDefault="007F7A4D" w:rsidP="007E169D">
      <w:pPr>
        <w:spacing w:line="360" w:lineRule="auto"/>
        <w:ind w:right="-950"/>
        <w:contextualSpacing/>
        <w:jc w:val="both"/>
        <w:rPr>
          <w:rFonts w:ascii="Arial" w:hAnsi="Arial" w:cs="Arial"/>
          <w:lang w:val="en-ZA"/>
        </w:rPr>
      </w:pPr>
      <w:r w:rsidRPr="00922273">
        <w:rPr>
          <w:rFonts w:ascii="Arial" w:hAnsi="Arial" w:cs="Arial"/>
          <w:lang w:val="en-ZA"/>
        </w:rPr>
        <w:t>and</w:t>
      </w:r>
    </w:p>
    <w:p w14:paraId="66E28593" w14:textId="77777777" w:rsidR="00CD3252" w:rsidRPr="00922273" w:rsidRDefault="00CD3252" w:rsidP="007E169D">
      <w:pPr>
        <w:spacing w:line="360" w:lineRule="auto"/>
        <w:ind w:right="-950"/>
        <w:contextualSpacing/>
        <w:jc w:val="both"/>
        <w:rPr>
          <w:rFonts w:ascii="Arial" w:hAnsi="Arial" w:cs="Arial"/>
          <w:b/>
          <w:lang w:val="en-ZA"/>
        </w:rPr>
      </w:pPr>
    </w:p>
    <w:p w14:paraId="1B2B52EA" w14:textId="77777777" w:rsidR="00695917" w:rsidRDefault="00695917" w:rsidP="007E169D">
      <w:pPr>
        <w:pBdr>
          <w:bottom w:val="single" w:sz="12" w:space="3" w:color="auto"/>
        </w:pBdr>
        <w:spacing w:line="360" w:lineRule="auto"/>
        <w:ind w:right="-46"/>
        <w:contextualSpacing/>
        <w:jc w:val="both"/>
        <w:rPr>
          <w:rFonts w:ascii="Arial" w:hAnsi="Arial" w:cs="Arial"/>
          <w:b/>
          <w:bCs/>
          <w:lang w:val="en-ZA"/>
        </w:rPr>
      </w:pPr>
      <w:r w:rsidRPr="00695917">
        <w:rPr>
          <w:rFonts w:ascii="Arial" w:hAnsi="Arial" w:cs="Arial"/>
          <w:b/>
          <w:bCs/>
          <w:lang w:val="en-ZA"/>
        </w:rPr>
        <w:t xml:space="preserve">AERO NATAL (PTY) LTD </w:t>
      </w:r>
      <w:r w:rsidRPr="00695917">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sidR="00242A49">
        <w:rPr>
          <w:rFonts w:ascii="Arial" w:hAnsi="Arial" w:cs="Arial"/>
          <w:b/>
          <w:bCs/>
          <w:lang w:val="en-ZA"/>
        </w:rPr>
        <w:t xml:space="preserve">             </w:t>
      </w:r>
      <w:r>
        <w:rPr>
          <w:rFonts w:ascii="Arial" w:hAnsi="Arial" w:cs="Arial"/>
          <w:b/>
          <w:bCs/>
          <w:lang w:val="en-ZA"/>
        </w:rPr>
        <w:t>FIRST RESPONDENT</w:t>
      </w:r>
    </w:p>
    <w:p w14:paraId="68188DCF" w14:textId="77777777" w:rsidR="00CD3252" w:rsidRPr="00922273" w:rsidRDefault="00695917" w:rsidP="007E169D">
      <w:pPr>
        <w:pBdr>
          <w:bottom w:val="single" w:sz="12" w:space="3" w:color="auto"/>
        </w:pBdr>
        <w:spacing w:line="360" w:lineRule="auto"/>
        <w:ind w:right="-46"/>
        <w:contextualSpacing/>
        <w:jc w:val="both"/>
        <w:rPr>
          <w:rFonts w:ascii="Arial" w:hAnsi="Arial" w:cs="Arial"/>
          <w:b/>
          <w:lang w:val="en-ZA"/>
        </w:rPr>
      </w:pPr>
      <w:r w:rsidRPr="00695917">
        <w:rPr>
          <w:rFonts w:ascii="Arial" w:hAnsi="Arial" w:cs="Arial"/>
          <w:b/>
          <w:bCs/>
          <w:lang w:val="en-ZA"/>
        </w:rPr>
        <w:t>BLACK SHEEP CAPITAL (PTY) LTD</w:t>
      </w:r>
      <w:r w:rsidR="0029197F" w:rsidRPr="00922273">
        <w:rPr>
          <w:rFonts w:ascii="Arial" w:hAnsi="Arial" w:cs="Arial"/>
          <w:b/>
          <w:lang w:val="en-ZA"/>
        </w:rPr>
        <w:tab/>
      </w:r>
      <w:r w:rsidR="0029197F" w:rsidRPr="00922273">
        <w:rPr>
          <w:rFonts w:ascii="Arial" w:hAnsi="Arial" w:cs="Arial"/>
          <w:b/>
          <w:lang w:val="en-ZA"/>
        </w:rPr>
        <w:tab/>
      </w:r>
      <w:r w:rsidR="0029197F" w:rsidRPr="00922273">
        <w:rPr>
          <w:rFonts w:ascii="Arial" w:hAnsi="Arial" w:cs="Arial"/>
          <w:b/>
          <w:lang w:val="en-ZA"/>
        </w:rPr>
        <w:tab/>
      </w:r>
      <w:r w:rsidR="00242A49">
        <w:rPr>
          <w:rFonts w:ascii="Arial" w:hAnsi="Arial" w:cs="Arial"/>
          <w:b/>
          <w:lang w:val="en-ZA"/>
        </w:rPr>
        <w:t xml:space="preserve">        </w:t>
      </w:r>
      <w:r>
        <w:rPr>
          <w:rFonts w:ascii="Arial" w:hAnsi="Arial" w:cs="Arial"/>
          <w:b/>
          <w:lang w:val="en-ZA"/>
        </w:rPr>
        <w:t xml:space="preserve">SECOND </w:t>
      </w:r>
      <w:r w:rsidR="0029197F" w:rsidRPr="00922273">
        <w:rPr>
          <w:rFonts w:ascii="Arial" w:hAnsi="Arial" w:cs="Arial"/>
          <w:b/>
          <w:lang w:val="en-ZA"/>
        </w:rPr>
        <w:t>RESPONDENT</w:t>
      </w:r>
      <w:r w:rsidR="00800395" w:rsidRPr="00922273">
        <w:rPr>
          <w:rFonts w:ascii="Arial" w:hAnsi="Arial" w:cs="Arial"/>
          <w:b/>
          <w:lang w:val="en-ZA"/>
        </w:rPr>
        <w:t xml:space="preserve"> </w:t>
      </w:r>
    </w:p>
    <w:p w14:paraId="11051DE3" w14:textId="77777777" w:rsidR="001753DA" w:rsidRPr="00922273" w:rsidRDefault="001753DA" w:rsidP="007E169D">
      <w:pPr>
        <w:pBdr>
          <w:bottom w:val="single" w:sz="12" w:space="3" w:color="auto"/>
        </w:pBdr>
        <w:spacing w:line="360" w:lineRule="auto"/>
        <w:ind w:right="-46"/>
        <w:contextualSpacing/>
        <w:jc w:val="both"/>
        <w:rPr>
          <w:rFonts w:ascii="Arial" w:hAnsi="Arial" w:cs="Arial"/>
          <w:b/>
          <w:lang w:val="en-ZA"/>
        </w:rPr>
      </w:pPr>
    </w:p>
    <w:p w14:paraId="0C583F39" w14:textId="77777777" w:rsidR="00CD3252" w:rsidRPr="00922273" w:rsidRDefault="00CD3252" w:rsidP="007E169D">
      <w:pPr>
        <w:spacing w:line="360" w:lineRule="auto"/>
        <w:ind w:right="-953"/>
        <w:contextualSpacing/>
        <w:jc w:val="both"/>
        <w:rPr>
          <w:rFonts w:ascii="Arial" w:hAnsi="Arial" w:cs="Arial"/>
          <w:b/>
          <w:lang w:val="en-ZA"/>
        </w:rPr>
      </w:pPr>
    </w:p>
    <w:p w14:paraId="307E1233" w14:textId="77777777" w:rsidR="00CD3252" w:rsidRPr="00922273" w:rsidRDefault="001753DA" w:rsidP="007E169D">
      <w:pPr>
        <w:spacing w:line="360" w:lineRule="auto"/>
        <w:ind w:right="-46"/>
        <w:contextualSpacing/>
        <w:jc w:val="center"/>
        <w:rPr>
          <w:rFonts w:ascii="Arial" w:hAnsi="Arial" w:cs="Arial"/>
          <w:b/>
          <w:lang w:val="en-ZA"/>
        </w:rPr>
      </w:pPr>
      <w:r w:rsidRPr="00922273">
        <w:rPr>
          <w:rFonts w:ascii="Arial" w:hAnsi="Arial" w:cs="Arial"/>
          <w:b/>
          <w:lang w:val="en-ZA"/>
        </w:rPr>
        <w:t>ORDER</w:t>
      </w:r>
    </w:p>
    <w:p w14:paraId="6F8CF39C" w14:textId="77777777" w:rsidR="001753DA" w:rsidRPr="00922273" w:rsidRDefault="001753DA" w:rsidP="007E169D">
      <w:pPr>
        <w:pBdr>
          <w:bottom w:val="single" w:sz="12" w:space="1" w:color="auto"/>
        </w:pBdr>
        <w:spacing w:line="360" w:lineRule="auto"/>
        <w:ind w:right="-46"/>
        <w:contextualSpacing/>
        <w:jc w:val="both"/>
        <w:rPr>
          <w:rFonts w:ascii="Arial" w:hAnsi="Arial" w:cs="Arial"/>
          <w:b/>
          <w:lang w:val="en-ZA"/>
        </w:rPr>
      </w:pPr>
    </w:p>
    <w:p w14:paraId="0D6A93A6" w14:textId="77777777" w:rsidR="007D070D" w:rsidRPr="00922273" w:rsidRDefault="007D070D" w:rsidP="007E169D">
      <w:pPr>
        <w:pStyle w:val="ListParagraph"/>
        <w:spacing w:line="360" w:lineRule="auto"/>
        <w:ind w:left="0"/>
        <w:jc w:val="both"/>
        <w:rPr>
          <w:rFonts w:ascii="Arial" w:hAnsi="Arial" w:cs="Arial"/>
          <w:lang w:val="en-ZA"/>
        </w:rPr>
      </w:pPr>
    </w:p>
    <w:p w14:paraId="4CAEF10A" w14:textId="77777777" w:rsidR="00F82893" w:rsidRPr="00242A49" w:rsidRDefault="00F82893" w:rsidP="007E169D">
      <w:pPr>
        <w:pStyle w:val="ListParagraph"/>
        <w:spacing w:line="360" w:lineRule="auto"/>
        <w:ind w:left="0"/>
        <w:jc w:val="both"/>
        <w:rPr>
          <w:rFonts w:ascii="Arial" w:hAnsi="Arial" w:cs="Arial"/>
          <w:b/>
          <w:lang w:val="en-ZA"/>
        </w:rPr>
      </w:pPr>
      <w:r w:rsidRPr="00242A49">
        <w:rPr>
          <w:rFonts w:ascii="Arial" w:hAnsi="Arial" w:cs="Arial"/>
          <w:b/>
          <w:lang w:val="en-ZA"/>
        </w:rPr>
        <w:t>The following order is granted:</w:t>
      </w:r>
    </w:p>
    <w:p w14:paraId="6E61ED23" w14:textId="77777777" w:rsidR="00AC714D" w:rsidRDefault="00AC714D" w:rsidP="00C632AD">
      <w:pPr>
        <w:pStyle w:val="NoSpacing"/>
        <w:spacing w:line="360" w:lineRule="auto"/>
        <w:contextualSpacing/>
        <w:jc w:val="both"/>
        <w:rPr>
          <w:rFonts w:ascii="Arial" w:hAnsi="Arial" w:cs="Arial"/>
        </w:rPr>
      </w:pPr>
    </w:p>
    <w:p w14:paraId="3DD3561F" w14:textId="4192BF39" w:rsidR="00695917" w:rsidRPr="00C3607A" w:rsidRDefault="00C3607A" w:rsidP="00C3607A">
      <w:pPr>
        <w:spacing w:line="360" w:lineRule="auto"/>
        <w:ind w:left="720" w:hanging="360"/>
        <w:jc w:val="both"/>
        <w:rPr>
          <w:rFonts w:ascii="Arial" w:eastAsiaTheme="minorHAnsi" w:hAnsi="Arial" w:cs="Arial"/>
          <w:kern w:val="2"/>
          <w:lang w:val="en-ZA" w:eastAsia="en-US"/>
          <w14:ligatures w14:val="standardContextual"/>
        </w:rPr>
      </w:pPr>
      <w:r w:rsidRPr="00695917">
        <w:rPr>
          <w:rFonts w:ascii="Arial" w:eastAsiaTheme="minorHAnsi" w:hAnsi="Arial" w:cs="Arial"/>
          <w:kern w:val="2"/>
          <w:lang w:val="en-ZA" w:eastAsia="en-US"/>
          <w14:ligatures w14:val="standardContextual"/>
        </w:rPr>
        <w:t>1.</w:t>
      </w:r>
      <w:r w:rsidRPr="00695917">
        <w:rPr>
          <w:rFonts w:ascii="Arial" w:eastAsiaTheme="minorHAnsi" w:hAnsi="Arial" w:cs="Arial"/>
          <w:kern w:val="2"/>
          <w:lang w:val="en-ZA" w:eastAsia="en-US"/>
          <w14:ligatures w14:val="standardContextual"/>
        </w:rPr>
        <w:tab/>
      </w:r>
      <w:r w:rsidR="002D4F4B" w:rsidRPr="00C3607A">
        <w:rPr>
          <w:rFonts w:ascii="Arial" w:eastAsiaTheme="minorHAnsi" w:hAnsi="Arial" w:cs="Arial"/>
          <w:kern w:val="2"/>
          <w:lang w:val="en-ZA" w:eastAsia="en-US"/>
          <w14:ligatures w14:val="standardContextual"/>
        </w:rPr>
        <w:t xml:space="preserve">Clause 14 of the second sale of shares agreement concluded on 1 December 2021 is amended by inserting the words </w:t>
      </w:r>
      <w:r w:rsidR="00695917" w:rsidRPr="00C3607A">
        <w:rPr>
          <w:rFonts w:ascii="Arial" w:eastAsiaTheme="minorHAnsi" w:hAnsi="Arial" w:cs="Arial"/>
          <w:kern w:val="2"/>
          <w:lang w:val="en-ZA" w:eastAsia="en-US"/>
          <w14:ligatures w14:val="standardContextual"/>
        </w:rPr>
        <w:t>“</w:t>
      </w:r>
      <w:r w:rsidR="00695917" w:rsidRPr="00C3607A">
        <w:rPr>
          <w:rFonts w:ascii="Arial" w:eastAsiaTheme="minorHAnsi" w:hAnsi="Arial" w:cs="Arial"/>
          <w:i/>
          <w:iCs/>
          <w:kern w:val="2"/>
          <w:lang w:val="en-ZA" w:eastAsia="en-US"/>
          <w14:ligatures w14:val="standardContextual"/>
        </w:rPr>
        <w:t>and or the purchaser</w:t>
      </w:r>
      <w:r w:rsidR="00695917" w:rsidRPr="00C3607A">
        <w:rPr>
          <w:rFonts w:ascii="Arial" w:eastAsiaTheme="minorHAnsi" w:hAnsi="Arial" w:cs="Arial"/>
          <w:kern w:val="2"/>
          <w:lang w:val="en-ZA" w:eastAsia="en-US"/>
          <w14:ligatures w14:val="standardContextual"/>
        </w:rPr>
        <w:t>” immediately after the phrase “</w:t>
      </w:r>
      <w:r w:rsidR="00695917" w:rsidRPr="00C3607A">
        <w:rPr>
          <w:rFonts w:ascii="Arial" w:eastAsiaTheme="minorHAnsi" w:hAnsi="Arial" w:cs="Arial"/>
          <w:i/>
          <w:iCs/>
          <w:kern w:val="2"/>
          <w:lang w:val="en-ZA" w:eastAsia="en-US"/>
          <w14:ligatures w14:val="standardContextual"/>
        </w:rPr>
        <w:t>by the company</w:t>
      </w:r>
      <w:r w:rsidR="00695917" w:rsidRPr="00C3607A">
        <w:rPr>
          <w:rFonts w:ascii="Arial" w:eastAsiaTheme="minorHAnsi" w:hAnsi="Arial" w:cs="Arial"/>
          <w:kern w:val="2"/>
          <w:lang w:val="en-ZA" w:eastAsia="en-US"/>
          <w14:ligatures w14:val="standardContextual"/>
        </w:rPr>
        <w:t>”.</w:t>
      </w:r>
    </w:p>
    <w:p w14:paraId="6F9BA738" w14:textId="11CB62AB" w:rsidR="00695917" w:rsidRPr="00695917" w:rsidRDefault="00C3607A" w:rsidP="00C3607A">
      <w:pPr>
        <w:spacing w:line="360" w:lineRule="auto"/>
        <w:ind w:left="720" w:hanging="360"/>
        <w:contextualSpacing/>
        <w:jc w:val="both"/>
        <w:rPr>
          <w:rFonts w:ascii="Arial" w:eastAsiaTheme="minorHAnsi" w:hAnsi="Arial" w:cs="Arial"/>
          <w:kern w:val="2"/>
          <w:lang w:val="en-ZA" w:eastAsia="en-US"/>
          <w14:ligatures w14:val="standardContextual"/>
        </w:rPr>
      </w:pPr>
      <w:r w:rsidRPr="00695917">
        <w:rPr>
          <w:rFonts w:ascii="Arial" w:eastAsiaTheme="minorHAnsi" w:hAnsi="Arial" w:cs="Arial"/>
          <w:kern w:val="2"/>
          <w:lang w:val="en-ZA" w:eastAsia="en-US"/>
          <w14:ligatures w14:val="standardContextual"/>
        </w:rPr>
        <w:t>2.</w:t>
      </w:r>
      <w:r w:rsidRPr="00695917">
        <w:rPr>
          <w:rFonts w:ascii="Arial" w:eastAsiaTheme="minorHAnsi" w:hAnsi="Arial" w:cs="Arial"/>
          <w:kern w:val="2"/>
          <w:lang w:val="en-ZA" w:eastAsia="en-US"/>
          <w14:ligatures w14:val="standardContextual"/>
        </w:rPr>
        <w:tab/>
      </w:r>
      <w:r w:rsidR="00695917" w:rsidRPr="00695917">
        <w:rPr>
          <w:rFonts w:ascii="Arial" w:eastAsiaTheme="minorHAnsi" w:hAnsi="Arial" w:cs="Arial"/>
          <w:kern w:val="2"/>
          <w:lang w:val="en-ZA" w:eastAsia="en-US"/>
          <w14:ligatures w14:val="standardContextual"/>
        </w:rPr>
        <w:t xml:space="preserve">The balance of the relief sought by the applicant is dismissed. </w:t>
      </w:r>
    </w:p>
    <w:p w14:paraId="416B05E1" w14:textId="3E425533" w:rsidR="00695917" w:rsidRPr="00C3607A" w:rsidRDefault="00C3607A" w:rsidP="00C3607A">
      <w:pPr>
        <w:spacing w:line="360" w:lineRule="auto"/>
        <w:ind w:left="720" w:hanging="360"/>
        <w:jc w:val="both"/>
        <w:rPr>
          <w:rFonts w:ascii="Arial" w:hAnsi="Arial" w:cs="Arial"/>
          <w:lang w:val="en-ZA"/>
        </w:rPr>
      </w:pPr>
      <w:r w:rsidRPr="00695917">
        <w:rPr>
          <w:rFonts w:ascii="Arial" w:eastAsiaTheme="minorHAnsi" w:hAnsi="Arial" w:cs="Arial"/>
          <w:lang w:val="en-ZA"/>
        </w:rPr>
        <w:t>3.</w:t>
      </w:r>
      <w:r w:rsidRPr="00695917">
        <w:rPr>
          <w:rFonts w:ascii="Arial" w:eastAsiaTheme="minorHAnsi" w:hAnsi="Arial" w:cs="Arial"/>
          <w:lang w:val="en-ZA"/>
        </w:rPr>
        <w:tab/>
      </w:r>
      <w:r w:rsidR="00695917" w:rsidRPr="00C3607A">
        <w:rPr>
          <w:rFonts w:ascii="Arial" w:eastAsiaTheme="minorHAnsi" w:hAnsi="Arial" w:cs="Arial"/>
          <w:kern w:val="2"/>
          <w:lang w:val="en-ZA" w:eastAsia="en-US"/>
          <w14:ligatures w14:val="standardContextual"/>
        </w:rPr>
        <w:t>The applicant is to bear the costs of the application on a party and party scale.</w:t>
      </w:r>
    </w:p>
    <w:p w14:paraId="41CD705D" w14:textId="77777777" w:rsidR="00695917" w:rsidRDefault="00695917" w:rsidP="00695917">
      <w:pPr>
        <w:pBdr>
          <w:bottom w:val="single" w:sz="12" w:space="1" w:color="auto"/>
        </w:pBdr>
        <w:spacing w:line="360" w:lineRule="auto"/>
        <w:jc w:val="both"/>
        <w:rPr>
          <w:rFonts w:ascii="Arial" w:hAnsi="Arial" w:cs="Arial"/>
          <w:lang w:val="en-ZA"/>
        </w:rPr>
      </w:pPr>
    </w:p>
    <w:p w14:paraId="47262B15" w14:textId="77777777" w:rsidR="00C07759" w:rsidRDefault="00C07759" w:rsidP="00695917">
      <w:pPr>
        <w:pBdr>
          <w:bottom w:val="single" w:sz="12" w:space="1" w:color="auto"/>
        </w:pBdr>
        <w:spacing w:line="360" w:lineRule="auto"/>
        <w:jc w:val="both"/>
        <w:rPr>
          <w:rFonts w:ascii="Arial" w:hAnsi="Arial" w:cs="Arial"/>
          <w:lang w:val="en-ZA"/>
        </w:rPr>
      </w:pPr>
    </w:p>
    <w:p w14:paraId="6FB8B0AD" w14:textId="77777777" w:rsidR="00C07759" w:rsidRDefault="00C07759" w:rsidP="00695917">
      <w:pPr>
        <w:pBdr>
          <w:bottom w:val="single" w:sz="12" w:space="1" w:color="auto"/>
        </w:pBdr>
        <w:spacing w:line="360" w:lineRule="auto"/>
        <w:jc w:val="both"/>
        <w:rPr>
          <w:rFonts w:ascii="Arial" w:hAnsi="Arial" w:cs="Arial"/>
          <w:lang w:val="en-ZA"/>
        </w:rPr>
      </w:pPr>
    </w:p>
    <w:p w14:paraId="015C81A5" w14:textId="77777777" w:rsidR="00695917" w:rsidRDefault="00695917" w:rsidP="00695917">
      <w:pPr>
        <w:pBdr>
          <w:bottom w:val="single" w:sz="12" w:space="1" w:color="auto"/>
        </w:pBdr>
        <w:spacing w:line="360" w:lineRule="auto"/>
        <w:jc w:val="both"/>
        <w:rPr>
          <w:rFonts w:ascii="Arial" w:hAnsi="Arial" w:cs="Arial"/>
          <w:lang w:val="en-ZA"/>
        </w:rPr>
      </w:pPr>
    </w:p>
    <w:p w14:paraId="54E652F5" w14:textId="77777777" w:rsidR="00695917" w:rsidRPr="00695917" w:rsidRDefault="00695917" w:rsidP="00695917">
      <w:pPr>
        <w:spacing w:line="360" w:lineRule="auto"/>
        <w:jc w:val="both"/>
        <w:rPr>
          <w:rFonts w:ascii="Arial" w:hAnsi="Arial" w:cs="Arial"/>
          <w:lang w:val="en-ZA"/>
        </w:rPr>
      </w:pPr>
    </w:p>
    <w:p w14:paraId="23096DCE" w14:textId="77777777" w:rsidR="00CD3252" w:rsidRPr="00922273" w:rsidRDefault="00CD3252" w:rsidP="007E169D">
      <w:pPr>
        <w:pBdr>
          <w:bottom w:val="single" w:sz="12" w:space="1" w:color="auto"/>
        </w:pBdr>
        <w:spacing w:line="360" w:lineRule="auto"/>
        <w:contextualSpacing/>
        <w:jc w:val="center"/>
        <w:rPr>
          <w:rFonts w:ascii="Arial" w:hAnsi="Arial" w:cs="Arial"/>
          <w:b/>
          <w:lang w:val="en-ZA"/>
        </w:rPr>
      </w:pPr>
      <w:r w:rsidRPr="00922273">
        <w:rPr>
          <w:rFonts w:ascii="Arial" w:hAnsi="Arial" w:cs="Arial"/>
          <w:b/>
          <w:lang w:val="en-ZA"/>
        </w:rPr>
        <w:t>JUDGMENT</w:t>
      </w:r>
    </w:p>
    <w:p w14:paraId="3BC62CE3" w14:textId="77777777" w:rsidR="001753DA" w:rsidRPr="00922273" w:rsidRDefault="001753DA" w:rsidP="007E169D">
      <w:pPr>
        <w:pBdr>
          <w:bottom w:val="single" w:sz="12" w:space="1" w:color="auto"/>
        </w:pBdr>
        <w:spacing w:line="360" w:lineRule="auto"/>
        <w:contextualSpacing/>
        <w:jc w:val="both"/>
        <w:rPr>
          <w:rFonts w:ascii="Arial" w:hAnsi="Arial" w:cs="Arial"/>
          <w:b/>
          <w:lang w:val="en-ZA"/>
        </w:rPr>
      </w:pPr>
    </w:p>
    <w:p w14:paraId="3CB4CB05" w14:textId="77777777" w:rsidR="00CD3252" w:rsidRPr="00922273" w:rsidRDefault="00CD3252" w:rsidP="007E169D">
      <w:pPr>
        <w:spacing w:line="360" w:lineRule="auto"/>
        <w:contextualSpacing/>
        <w:jc w:val="both"/>
        <w:rPr>
          <w:rFonts w:ascii="Arial" w:hAnsi="Arial" w:cs="Arial"/>
          <w:b/>
          <w:lang w:val="en-ZA"/>
        </w:rPr>
      </w:pPr>
    </w:p>
    <w:p w14:paraId="7EDD4E63" w14:textId="77777777" w:rsidR="002D2868" w:rsidRPr="002D2868" w:rsidRDefault="002D2868" w:rsidP="002D2868">
      <w:pPr>
        <w:spacing w:after="160" w:line="259" w:lineRule="auto"/>
        <w:jc w:val="both"/>
        <w:rPr>
          <w:rFonts w:ascii="Arial" w:eastAsia="Aptos" w:hAnsi="Arial"/>
          <w:b/>
          <w:bCs/>
          <w:kern w:val="2"/>
          <w:szCs w:val="22"/>
          <w:lang w:val="en-ZA" w:eastAsia="en-US"/>
          <w14:ligatures w14:val="standardContextual"/>
        </w:rPr>
      </w:pPr>
      <w:r w:rsidRPr="002D2868">
        <w:rPr>
          <w:rFonts w:ascii="Arial" w:eastAsia="Aptos" w:hAnsi="Arial"/>
          <w:b/>
          <w:bCs/>
          <w:kern w:val="2"/>
          <w:szCs w:val="22"/>
          <w:lang w:val="en-ZA" w:eastAsia="en-US"/>
          <w14:ligatures w14:val="standardContextual"/>
        </w:rPr>
        <w:t>TUCKER AJ</w:t>
      </w:r>
    </w:p>
    <w:p w14:paraId="0B15286D" w14:textId="11773605"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[1]</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The applicant brought what was initially an urgent application to protect his contractual rights under an agreement of sale of shares. Envisaged as security for the obligations towards </w:t>
      </w:r>
      <w:r w:rsidR="00A93C10">
        <w:rPr>
          <w:rFonts w:ascii="Arial" w:eastAsia="Aptos" w:hAnsi="Arial"/>
          <w:kern w:val="2"/>
          <w:szCs w:val="22"/>
          <w:lang w:val="en-ZA" w:eastAsia="en-US"/>
          <w14:ligatures w14:val="standardContextual"/>
        </w:rPr>
        <w:t xml:space="preserve">the </w:t>
      </w:r>
      <w:r w:rsidR="002D2868" w:rsidRPr="002D2868">
        <w:rPr>
          <w:rFonts w:ascii="Arial" w:eastAsia="Aptos" w:hAnsi="Arial"/>
          <w:kern w:val="2"/>
          <w:szCs w:val="22"/>
          <w:lang w:val="en-ZA" w:eastAsia="en-US"/>
          <w14:ligatures w14:val="standardContextual"/>
        </w:rPr>
        <w:t>second respondent’s payment obligations in respect of the shares was three aircraft and an immovable property.</w:t>
      </w:r>
    </w:p>
    <w:p w14:paraId="45BC85D6" w14:textId="77777777" w:rsidR="002D2868" w:rsidRPr="002D2868" w:rsidRDefault="002D2868" w:rsidP="00695917">
      <w:pPr>
        <w:spacing w:after="160" w:line="360" w:lineRule="auto"/>
        <w:contextualSpacing/>
        <w:jc w:val="both"/>
        <w:rPr>
          <w:rFonts w:ascii="Arial" w:eastAsia="Aptos" w:hAnsi="Arial"/>
          <w:kern w:val="2"/>
          <w:szCs w:val="22"/>
          <w:lang w:val="en-ZA" w:eastAsia="en-US"/>
          <w14:ligatures w14:val="standardContextual"/>
        </w:rPr>
      </w:pPr>
    </w:p>
    <w:p w14:paraId="6C672AF8" w14:textId="38C5A5D2"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[2]</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At the hearing of the urgent application on 25 January 2023 an order was taken by consent where the respondents gave an undertaking not to dispose of the aircraft and the immovable property without giving prior notice.  As will become relevant later, the applicant was also given leave to file a supplementary founding affidavit. </w:t>
      </w:r>
    </w:p>
    <w:p w14:paraId="4CE87031"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0C24EAA2" w14:textId="11BDC89B"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[3]</w:t>
      </w:r>
      <w:r w:rsidRPr="002D2868">
        <w:rPr>
          <w:rFonts w:ascii="Arial" w:eastAsia="Aptos" w:hAnsi="Arial"/>
          <w:kern w:val="2"/>
          <w:szCs w:val="22"/>
          <w:lang w:val="en-ZA" w:eastAsia="en-US"/>
          <w14:ligatures w14:val="standardContextual"/>
        </w:rPr>
        <w:tab/>
      </w:r>
      <w:r w:rsidR="002D4F4B">
        <w:rPr>
          <w:rFonts w:ascii="Arial" w:eastAsia="Aptos" w:hAnsi="Arial"/>
          <w:kern w:val="2"/>
          <w:szCs w:val="22"/>
          <w:lang w:val="en-ZA" w:eastAsia="en-US"/>
          <w14:ligatures w14:val="standardContextual"/>
        </w:rPr>
        <w:t>The relief sought by the applicant on the opposed roll on 16 April 2024</w:t>
      </w:r>
      <w:r w:rsidR="002D2868" w:rsidRPr="002D2868">
        <w:rPr>
          <w:rFonts w:ascii="Arial" w:eastAsia="Aptos" w:hAnsi="Arial"/>
          <w:kern w:val="2"/>
          <w:szCs w:val="22"/>
          <w:lang w:val="en-ZA" w:eastAsia="en-US"/>
          <w14:ligatures w14:val="standardContextual"/>
        </w:rPr>
        <w:t xml:space="preserve"> was the relief under Part B of the amended notice of motion comprising of a claim </w:t>
      </w:r>
      <w:r w:rsidR="00221C98">
        <w:rPr>
          <w:rFonts w:ascii="Arial" w:eastAsia="Aptos" w:hAnsi="Arial"/>
          <w:kern w:val="2"/>
          <w:szCs w:val="22"/>
          <w:lang w:val="en-ZA" w:eastAsia="en-US"/>
          <w14:ligatures w14:val="standardContextual"/>
        </w:rPr>
        <w:t>for</w:t>
      </w:r>
      <w:r w:rsidR="002D2868" w:rsidRPr="002D2868">
        <w:rPr>
          <w:rFonts w:ascii="Arial" w:eastAsia="Aptos" w:hAnsi="Arial"/>
          <w:kern w:val="2"/>
          <w:szCs w:val="22"/>
          <w:lang w:val="en-ZA" w:eastAsia="en-US"/>
          <w14:ligatures w14:val="standardContextual"/>
        </w:rPr>
        <w:t xml:space="preserve"> rectification of the second shareholders agreement,</w:t>
      </w:r>
      <w:r w:rsidR="00E37CA3">
        <w:rPr>
          <w:rStyle w:val="FootnoteReference"/>
          <w:rFonts w:ascii="Arial" w:eastAsia="Aptos" w:hAnsi="Arial"/>
          <w:kern w:val="2"/>
          <w:szCs w:val="22"/>
          <w:lang w:val="en-ZA" w:eastAsia="en-US"/>
          <w14:ligatures w14:val="standardContextual"/>
        </w:rPr>
        <w:footnoteReference w:id="1"/>
      </w:r>
      <w:r w:rsidR="002D2868" w:rsidRPr="002D2868">
        <w:rPr>
          <w:rFonts w:ascii="Arial" w:eastAsia="Aptos" w:hAnsi="Arial"/>
          <w:kern w:val="2"/>
          <w:szCs w:val="22"/>
          <w:lang w:val="en-ZA" w:eastAsia="en-US"/>
          <w14:ligatures w14:val="standardContextual"/>
        </w:rPr>
        <w:t xml:space="preserve"> together with relief declaring the applicant’s entitlement to ownership of the aircraft and the immovable property and corollary relief thereto directing the second respondent to pass transfer of the assets. </w:t>
      </w:r>
    </w:p>
    <w:p w14:paraId="7F4A12BA" w14:textId="77777777" w:rsidR="002D2868" w:rsidRPr="002D2868" w:rsidRDefault="002D2868" w:rsidP="00695917">
      <w:pPr>
        <w:spacing w:after="160" w:line="360" w:lineRule="auto"/>
        <w:contextualSpacing/>
        <w:jc w:val="both"/>
        <w:rPr>
          <w:rFonts w:ascii="Arial" w:eastAsia="Aptos" w:hAnsi="Arial"/>
          <w:kern w:val="2"/>
          <w:szCs w:val="22"/>
          <w:lang w:val="en-ZA" w:eastAsia="en-US"/>
          <w14:ligatures w14:val="standardContextual"/>
        </w:rPr>
      </w:pPr>
    </w:p>
    <w:p w14:paraId="57BD6D85" w14:textId="77777777" w:rsidR="002D2868" w:rsidRPr="00242A49" w:rsidRDefault="002D2868" w:rsidP="00242A49">
      <w:pPr>
        <w:spacing w:after="160" w:line="360" w:lineRule="auto"/>
        <w:contextualSpacing/>
        <w:jc w:val="both"/>
        <w:rPr>
          <w:rFonts w:ascii="Arial" w:eastAsia="Aptos" w:hAnsi="Arial"/>
          <w:b/>
          <w:bCs/>
          <w:kern w:val="2"/>
          <w:szCs w:val="22"/>
          <w:lang w:val="en-ZA" w:eastAsia="en-US"/>
          <w14:ligatures w14:val="standardContextual"/>
        </w:rPr>
      </w:pPr>
      <w:r w:rsidRPr="00242A49">
        <w:rPr>
          <w:rFonts w:ascii="Arial" w:eastAsia="Aptos" w:hAnsi="Arial"/>
          <w:b/>
          <w:bCs/>
          <w:kern w:val="2"/>
          <w:szCs w:val="22"/>
          <w:lang w:val="en-ZA" w:eastAsia="en-US"/>
          <w14:ligatures w14:val="standardContextual"/>
        </w:rPr>
        <w:t>Background</w:t>
      </w:r>
    </w:p>
    <w:p w14:paraId="191F5C36" w14:textId="45C0D525"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[4]</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The first respondent </w:t>
      </w:r>
      <w:r w:rsidR="00C252E8">
        <w:rPr>
          <w:rFonts w:ascii="Arial" w:eastAsia="Aptos" w:hAnsi="Arial"/>
          <w:kern w:val="2"/>
          <w:szCs w:val="22"/>
          <w:lang w:val="en-ZA" w:eastAsia="en-US"/>
          <w14:ligatures w14:val="standardContextual"/>
        </w:rPr>
        <w:t xml:space="preserve">Aero Natal (Pty) Ltd </w:t>
      </w:r>
      <w:r w:rsidR="002D2868" w:rsidRPr="002D2868">
        <w:rPr>
          <w:rFonts w:ascii="Arial" w:eastAsia="Aptos" w:hAnsi="Arial"/>
          <w:kern w:val="2"/>
          <w:szCs w:val="22"/>
          <w:lang w:val="en-ZA" w:eastAsia="en-US"/>
          <w14:ligatures w14:val="standardContextual"/>
        </w:rPr>
        <w:t xml:space="preserve">is a company specialising in aircraft maintenance and trades from Virginia Airport in Durban North. </w:t>
      </w:r>
      <w:r w:rsidR="002D4F4B">
        <w:rPr>
          <w:rFonts w:ascii="Arial" w:eastAsia="Aptos" w:hAnsi="Arial"/>
          <w:kern w:val="2"/>
          <w:szCs w:val="22"/>
          <w:lang w:val="en-ZA" w:eastAsia="en-US"/>
          <w14:ligatures w14:val="standardContextual"/>
        </w:rPr>
        <w:t>The second respondent is an entity that wished to purchase the shareholding in the first respondent.</w:t>
      </w:r>
    </w:p>
    <w:p w14:paraId="632155BD"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10E31080" w14:textId="22AF9A58" w:rsid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Pr>
          <w:rFonts w:ascii="Arial" w:eastAsia="Aptos" w:hAnsi="Arial"/>
          <w:kern w:val="2"/>
          <w:szCs w:val="22"/>
          <w:lang w:val="en-ZA" w:eastAsia="en-US"/>
          <w14:ligatures w14:val="standardContextual"/>
        </w:rPr>
        <w:t>[5]</w:t>
      </w:r>
      <w:r>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On 26 October 2021, the Fairways Trust (a trust to which the applicant is affiliated) signed a sale of shares agreement in terms of which the total shares held by the Fairways Trust were to be transferred to the second respondent. </w:t>
      </w:r>
    </w:p>
    <w:p w14:paraId="71FCB3FF" w14:textId="77777777" w:rsidR="00E6451E" w:rsidRPr="001F75EA" w:rsidRDefault="00E6451E" w:rsidP="00E6451E">
      <w:pPr>
        <w:spacing w:after="160" w:line="360" w:lineRule="auto"/>
        <w:contextualSpacing/>
        <w:jc w:val="both"/>
        <w:rPr>
          <w:rFonts w:ascii="Arial" w:eastAsia="Aptos" w:hAnsi="Arial"/>
          <w:kern w:val="2"/>
          <w:szCs w:val="22"/>
          <w:lang w:val="en-ZA" w:eastAsia="en-US"/>
          <w14:ligatures w14:val="standardContextual"/>
        </w:rPr>
      </w:pPr>
    </w:p>
    <w:p w14:paraId="06923201" w14:textId="6BA48C84"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lastRenderedPageBreak/>
        <w:t>[6]</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The difficulty that subsequently arose is</w:t>
      </w:r>
      <w:r w:rsidR="00C252E8">
        <w:rPr>
          <w:rFonts w:ascii="Arial" w:eastAsia="Aptos" w:hAnsi="Arial"/>
          <w:kern w:val="2"/>
          <w:szCs w:val="22"/>
          <w:lang w:val="en-ZA" w:eastAsia="en-US"/>
          <w14:ligatures w14:val="standardContextual"/>
        </w:rPr>
        <w:t xml:space="preserve"> that</w:t>
      </w:r>
      <w:r w:rsidR="002D2868" w:rsidRPr="002D2868">
        <w:rPr>
          <w:rFonts w:ascii="Arial" w:eastAsia="Aptos" w:hAnsi="Arial"/>
          <w:kern w:val="2"/>
          <w:szCs w:val="22"/>
          <w:lang w:val="en-ZA" w:eastAsia="en-US"/>
          <w14:ligatures w14:val="standardContextual"/>
        </w:rPr>
        <w:t xml:space="preserve"> it came to the parties’ attention to that agreement that it was in fact the applicant who owned such shareholding in his own name rather through the Fairways Trust. </w:t>
      </w:r>
    </w:p>
    <w:p w14:paraId="31950749"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3D455AD4" w14:textId="05C181FD" w:rsidR="002D2868" w:rsidRPr="00E130F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E130F8">
        <w:rPr>
          <w:rFonts w:ascii="Arial" w:eastAsia="Aptos" w:hAnsi="Arial"/>
          <w:kern w:val="2"/>
          <w:szCs w:val="22"/>
          <w:lang w:val="en-ZA" w:eastAsia="en-US"/>
          <w14:ligatures w14:val="standardContextual"/>
        </w:rPr>
        <w:t>[7]</w:t>
      </w:r>
      <w:r w:rsidRPr="00E130F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Subsequent thereto and on 1 December 2021, two further agreements were concluded:</w:t>
      </w:r>
    </w:p>
    <w:p w14:paraId="28BA52A8" w14:textId="12133413" w:rsidR="002D2868" w:rsidRPr="002D2868" w:rsidRDefault="00C3607A" w:rsidP="00C3607A">
      <w:pPr>
        <w:tabs>
          <w:tab w:val="left" w:pos="851"/>
          <w:tab w:val="left" w:pos="1418"/>
          <w:tab w:val="left" w:pos="2268"/>
        </w:tabs>
        <w:autoSpaceDE w:val="0"/>
        <w:autoSpaceDN w:val="0"/>
        <w:adjustRightInd w:val="0"/>
        <w:spacing w:line="360" w:lineRule="auto"/>
        <w:ind w:left="720" w:hanging="720"/>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(a)</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a “cancellation of agreement” signed by the Fairway Trust</w:t>
      </w:r>
      <w:r w:rsidR="00896041">
        <w:rPr>
          <w:rFonts w:ascii="Arial" w:eastAsia="Aptos" w:hAnsi="Arial"/>
          <w:kern w:val="2"/>
          <w:szCs w:val="22"/>
          <w:lang w:val="en-ZA" w:eastAsia="en-US"/>
          <w14:ligatures w14:val="standardContextual"/>
        </w:rPr>
        <w:t xml:space="preserve"> and the respondents</w:t>
      </w:r>
      <w:r w:rsidR="002D2868" w:rsidRPr="002D2868">
        <w:rPr>
          <w:rFonts w:ascii="Arial" w:eastAsia="Aptos" w:hAnsi="Arial"/>
          <w:kern w:val="2"/>
          <w:szCs w:val="22"/>
          <w:lang w:val="en-ZA" w:eastAsia="en-US"/>
          <w14:ligatures w14:val="standardContextual"/>
        </w:rPr>
        <w:t>;</w:t>
      </w:r>
      <w:r w:rsidR="001F75EA">
        <w:rPr>
          <w:rFonts w:ascii="Arial" w:eastAsia="Aptos" w:hAnsi="Arial"/>
          <w:kern w:val="2"/>
          <w:szCs w:val="22"/>
          <w:lang w:val="en-ZA" w:eastAsia="en-US"/>
          <w14:ligatures w14:val="standardContextual"/>
        </w:rPr>
        <w:t xml:space="preserve"> and</w:t>
      </w:r>
    </w:p>
    <w:p w14:paraId="0F01B021" w14:textId="14300A98" w:rsidR="002D2868" w:rsidRPr="002D2868" w:rsidRDefault="00C3607A" w:rsidP="00C3607A">
      <w:pPr>
        <w:tabs>
          <w:tab w:val="left" w:pos="851"/>
          <w:tab w:val="left" w:pos="1418"/>
          <w:tab w:val="left" w:pos="2268"/>
        </w:tabs>
        <w:autoSpaceDE w:val="0"/>
        <w:autoSpaceDN w:val="0"/>
        <w:adjustRightInd w:val="0"/>
        <w:spacing w:line="360" w:lineRule="auto"/>
        <w:ind w:left="720" w:hanging="720"/>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(b)</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a </w:t>
      </w:r>
      <w:r w:rsidR="002D2868" w:rsidRPr="00E130F8">
        <w:rPr>
          <w:rFonts w:ascii="Arial" w:hAnsi="Arial" w:cs="Arial"/>
          <w:snapToGrid w:val="0"/>
          <w:lang w:val="en-ZA" w:eastAsia="en-ZA"/>
        </w:rPr>
        <w:t>second</w:t>
      </w:r>
      <w:r w:rsidR="002D2868" w:rsidRPr="002D2868">
        <w:rPr>
          <w:rFonts w:ascii="Arial" w:eastAsia="Aptos" w:hAnsi="Arial"/>
          <w:kern w:val="2"/>
          <w:szCs w:val="22"/>
          <w:lang w:val="en-ZA" w:eastAsia="en-US"/>
          <w14:ligatures w14:val="standardContextual"/>
        </w:rPr>
        <w:t xml:space="preserve"> sale of shares agreement which is signed by the applicant and a representative of the second respondent. </w:t>
      </w:r>
    </w:p>
    <w:p w14:paraId="4ECEA533"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68A46CBE" w14:textId="7628BEE3"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[8]</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The terms of the first </w:t>
      </w:r>
      <w:r w:rsidR="00C252E8">
        <w:rPr>
          <w:rFonts w:ascii="Arial" w:eastAsia="Aptos" w:hAnsi="Arial"/>
          <w:kern w:val="2"/>
          <w:szCs w:val="22"/>
          <w:lang w:val="en-ZA" w:eastAsia="en-US"/>
          <w14:ligatures w14:val="standardContextual"/>
        </w:rPr>
        <w:t xml:space="preserve">and second </w:t>
      </w:r>
      <w:r w:rsidR="002D2868" w:rsidRPr="002D2868">
        <w:rPr>
          <w:rFonts w:ascii="Arial" w:eastAsia="Aptos" w:hAnsi="Arial"/>
          <w:kern w:val="2"/>
          <w:szCs w:val="22"/>
          <w:lang w:val="en-ZA" w:eastAsia="en-US"/>
          <w14:ligatures w14:val="standardContextual"/>
        </w:rPr>
        <w:t>sale of shares agreement</w:t>
      </w:r>
      <w:r w:rsidR="00C252E8">
        <w:rPr>
          <w:rFonts w:ascii="Arial" w:eastAsia="Aptos" w:hAnsi="Arial"/>
          <w:kern w:val="2"/>
          <w:szCs w:val="22"/>
          <w:lang w:val="en-ZA" w:eastAsia="en-US"/>
          <w14:ligatures w14:val="standardContextual"/>
        </w:rPr>
        <w:t>s</w:t>
      </w:r>
      <w:r w:rsidR="002D2868" w:rsidRPr="002D2868">
        <w:rPr>
          <w:rFonts w:ascii="Arial" w:eastAsia="Aptos" w:hAnsi="Arial"/>
          <w:kern w:val="2"/>
          <w:szCs w:val="22"/>
          <w:lang w:val="en-ZA" w:eastAsia="en-US"/>
          <w14:ligatures w14:val="standardContextual"/>
        </w:rPr>
        <w:t xml:space="preserve"> are nearly identical, save that the applicant has been substituted as seller of the shareholding in the first respondent, and certain suspensive conditions of the first sale of shares agreement were removed.</w:t>
      </w:r>
    </w:p>
    <w:p w14:paraId="06EC9F5A" w14:textId="77777777" w:rsidR="002D2868" w:rsidRPr="002D2868" w:rsidRDefault="002D2868" w:rsidP="00695917">
      <w:pPr>
        <w:spacing w:after="160" w:line="360" w:lineRule="auto"/>
        <w:contextualSpacing/>
        <w:jc w:val="both"/>
        <w:rPr>
          <w:rFonts w:ascii="Arial" w:eastAsia="Aptos" w:hAnsi="Arial"/>
          <w:kern w:val="2"/>
          <w:szCs w:val="22"/>
          <w:lang w:val="en-ZA" w:eastAsia="en-US"/>
          <w14:ligatures w14:val="standardContextual"/>
        </w:rPr>
      </w:pPr>
    </w:p>
    <w:p w14:paraId="3EA9E981" w14:textId="238D1343" w:rsidR="002D2868" w:rsidRPr="00E130F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E130F8">
        <w:rPr>
          <w:rFonts w:ascii="Arial" w:eastAsia="Aptos" w:hAnsi="Arial"/>
          <w:kern w:val="2"/>
          <w:szCs w:val="22"/>
          <w:lang w:val="en-ZA" w:eastAsia="en-US"/>
          <w14:ligatures w14:val="standardContextual"/>
        </w:rPr>
        <w:t>[9]</w:t>
      </w:r>
      <w:r w:rsidRPr="00E130F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For the purposes of the present determination the following clauses </w:t>
      </w:r>
      <w:r w:rsidR="00D049DA">
        <w:rPr>
          <w:rFonts w:ascii="Arial" w:eastAsia="Aptos" w:hAnsi="Arial"/>
          <w:kern w:val="2"/>
          <w:szCs w:val="22"/>
          <w:lang w:val="en-ZA" w:eastAsia="en-US"/>
          <w14:ligatures w14:val="standardContextual"/>
        </w:rPr>
        <w:t xml:space="preserve">of the second sale of shares agreement </w:t>
      </w:r>
      <w:r w:rsidR="002D2868" w:rsidRPr="002D2868">
        <w:rPr>
          <w:rFonts w:ascii="Arial" w:eastAsia="Aptos" w:hAnsi="Arial"/>
          <w:kern w:val="2"/>
          <w:szCs w:val="22"/>
          <w:lang w:val="en-ZA" w:eastAsia="en-US"/>
          <w14:ligatures w14:val="standardContextual"/>
        </w:rPr>
        <w:t>are relevant:</w:t>
      </w:r>
    </w:p>
    <w:p w14:paraId="176FE158" w14:textId="77777777" w:rsidR="002D2868" w:rsidRDefault="00E130F8" w:rsidP="00E130F8">
      <w:pPr>
        <w:tabs>
          <w:tab w:val="left" w:pos="851"/>
          <w:tab w:val="left" w:pos="1418"/>
          <w:tab w:val="left" w:pos="2268"/>
        </w:tabs>
        <w:autoSpaceDE w:val="0"/>
        <w:autoSpaceDN w:val="0"/>
        <w:adjustRightInd w:val="0"/>
        <w:spacing w:line="360" w:lineRule="auto"/>
        <w:ind w:left="720" w:hanging="720"/>
        <w:jc w:val="both"/>
        <w:rPr>
          <w:rFonts w:ascii="Arial" w:eastAsia="Aptos" w:hAnsi="Arial"/>
          <w:kern w:val="2"/>
          <w:szCs w:val="22"/>
          <w:lang w:val="en-ZA" w:eastAsia="en-US"/>
          <w14:ligatures w14:val="standardContextual"/>
        </w:rPr>
      </w:pPr>
      <w:r>
        <w:rPr>
          <w:rFonts w:ascii="Arial" w:eastAsia="Aptos" w:hAnsi="Arial"/>
          <w:kern w:val="2"/>
          <w:szCs w:val="22"/>
          <w:lang w:val="en-ZA" w:eastAsia="en-US"/>
          <w14:ligatures w14:val="standardContextual"/>
        </w:rPr>
        <w:t>(a)</w:t>
      </w:r>
      <w:r>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clause 2.1 which inserts suspensive conditions that all the annexures are to be signed by both parties, the necessary changes to CIPC and appointments stay as they had been registered as at 30 November 2021 until such time as the Civil Aviation Authority approves the change in ownership, the applicant resigns as a director, </w:t>
      </w:r>
      <w:r w:rsidR="00E6451E">
        <w:rPr>
          <w:rFonts w:ascii="Arial" w:eastAsia="Aptos" w:hAnsi="Arial"/>
          <w:kern w:val="2"/>
          <w:szCs w:val="22"/>
          <w:lang w:val="en-ZA" w:eastAsia="en-US"/>
          <w14:ligatures w14:val="standardContextual"/>
        </w:rPr>
        <w:t xml:space="preserve">and </w:t>
      </w:r>
      <w:r w:rsidR="002D2868" w:rsidRPr="002D2868">
        <w:rPr>
          <w:rFonts w:ascii="Arial" w:eastAsia="Aptos" w:hAnsi="Arial"/>
          <w:kern w:val="2"/>
          <w:szCs w:val="22"/>
          <w:lang w:val="en-ZA" w:eastAsia="en-US"/>
          <w14:ligatures w14:val="standardContextual"/>
        </w:rPr>
        <w:t xml:space="preserve">the applicant concludes a </w:t>
      </w:r>
      <w:r w:rsidR="00E6451E">
        <w:rPr>
          <w:rFonts w:ascii="Arial" w:eastAsia="Aptos" w:hAnsi="Arial"/>
          <w:kern w:val="2"/>
          <w:szCs w:val="22"/>
          <w:lang w:val="en-ZA" w:eastAsia="en-US"/>
          <w14:ligatures w14:val="standardContextual"/>
        </w:rPr>
        <w:t>12-</w:t>
      </w:r>
      <w:r w:rsidR="00695917" w:rsidRPr="002D2868">
        <w:rPr>
          <w:rFonts w:ascii="Arial" w:eastAsia="Aptos" w:hAnsi="Arial"/>
          <w:kern w:val="2"/>
          <w:szCs w:val="22"/>
          <w:lang w:val="en-ZA" w:eastAsia="en-US"/>
          <w14:ligatures w14:val="standardContextual"/>
        </w:rPr>
        <w:t>month</w:t>
      </w:r>
      <w:r w:rsidR="002D2868" w:rsidRPr="002D2868">
        <w:rPr>
          <w:rFonts w:ascii="Arial" w:eastAsia="Aptos" w:hAnsi="Arial"/>
          <w:kern w:val="2"/>
          <w:szCs w:val="22"/>
          <w:lang w:val="en-ZA" w:eastAsia="en-US"/>
          <w14:ligatures w14:val="standardContextual"/>
        </w:rPr>
        <w:t xml:space="preserve"> consultancy agreement;</w:t>
      </w:r>
    </w:p>
    <w:p w14:paraId="3A249A87" w14:textId="77777777" w:rsidR="002D2868" w:rsidRDefault="00E130F8" w:rsidP="00E130F8">
      <w:pPr>
        <w:tabs>
          <w:tab w:val="left" w:pos="851"/>
          <w:tab w:val="left" w:pos="1418"/>
          <w:tab w:val="left" w:pos="2268"/>
        </w:tabs>
        <w:autoSpaceDE w:val="0"/>
        <w:autoSpaceDN w:val="0"/>
        <w:adjustRightInd w:val="0"/>
        <w:spacing w:line="360" w:lineRule="auto"/>
        <w:ind w:left="720" w:hanging="720"/>
        <w:jc w:val="both"/>
        <w:rPr>
          <w:rFonts w:ascii="Arial" w:eastAsia="Aptos" w:hAnsi="Arial"/>
          <w:kern w:val="2"/>
          <w:szCs w:val="22"/>
          <w:lang w:val="en-ZA" w:eastAsia="en-US"/>
          <w14:ligatures w14:val="standardContextual"/>
        </w:rPr>
      </w:pPr>
      <w:r>
        <w:rPr>
          <w:rFonts w:ascii="Arial" w:eastAsia="Aptos" w:hAnsi="Arial"/>
          <w:kern w:val="2"/>
          <w:szCs w:val="22"/>
          <w:lang w:val="en-ZA" w:eastAsia="en-US"/>
          <w14:ligatures w14:val="standardContextual"/>
        </w:rPr>
        <w:t>(b)</w:t>
      </w:r>
      <w:r>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clause 2.3 where it is recorded that the suspensive conditions were inserted for the benefit of the purchaser;</w:t>
      </w:r>
    </w:p>
    <w:p w14:paraId="2948F14E" w14:textId="77777777" w:rsidR="002D2868" w:rsidRPr="00E130F8" w:rsidRDefault="00E130F8" w:rsidP="00E130F8">
      <w:pPr>
        <w:tabs>
          <w:tab w:val="left" w:pos="851"/>
          <w:tab w:val="left" w:pos="1418"/>
          <w:tab w:val="left" w:pos="2268"/>
        </w:tabs>
        <w:autoSpaceDE w:val="0"/>
        <w:autoSpaceDN w:val="0"/>
        <w:adjustRightInd w:val="0"/>
        <w:spacing w:line="360" w:lineRule="auto"/>
        <w:ind w:left="720" w:hanging="720"/>
        <w:jc w:val="both"/>
        <w:rPr>
          <w:rFonts w:ascii="Arial" w:eastAsia="Aptos" w:hAnsi="Arial"/>
          <w:kern w:val="2"/>
          <w:szCs w:val="22"/>
          <w:lang w:val="en-ZA" w:eastAsia="en-US"/>
          <w14:ligatures w14:val="standardContextual"/>
        </w:rPr>
      </w:pPr>
      <w:r>
        <w:rPr>
          <w:rFonts w:ascii="Arial" w:eastAsia="Aptos" w:hAnsi="Arial"/>
          <w:kern w:val="2"/>
          <w:szCs w:val="22"/>
          <w:lang w:val="en-ZA" w:eastAsia="en-US"/>
          <w14:ligatures w14:val="standardContextual"/>
        </w:rPr>
        <w:t>(c)</w:t>
      </w:r>
      <w:r>
        <w:rPr>
          <w:rFonts w:ascii="Arial" w:eastAsia="Aptos" w:hAnsi="Arial"/>
          <w:kern w:val="2"/>
          <w:szCs w:val="22"/>
          <w:lang w:val="en-ZA" w:eastAsia="en-US"/>
          <w14:ligatures w14:val="standardContextual"/>
        </w:rPr>
        <w:tab/>
      </w:r>
      <w:r w:rsidR="002D2868" w:rsidRPr="00E130F8">
        <w:rPr>
          <w:rFonts w:ascii="Arial" w:eastAsia="Aptos" w:hAnsi="Arial"/>
          <w:kern w:val="2"/>
          <w:szCs w:val="22"/>
          <w:lang w:val="en-ZA" w:eastAsia="en-US"/>
          <w14:ligatures w14:val="standardContextual"/>
        </w:rPr>
        <w:t>clause 2.4 of the agreement states:</w:t>
      </w:r>
    </w:p>
    <w:p w14:paraId="6E5E0304" w14:textId="77777777" w:rsidR="002D2868" w:rsidRPr="002D2868" w:rsidRDefault="00DE3345" w:rsidP="00695917">
      <w:pPr>
        <w:spacing w:after="160" w:line="360" w:lineRule="auto"/>
        <w:ind w:left="720"/>
        <w:contextualSpacing/>
        <w:jc w:val="both"/>
        <w:rPr>
          <w:rFonts w:ascii="Arial" w:eastAsia="Aptos" w:hAnsi="Arial"/>
          <w:kern w:val="2"/>
          <w:sz w:val="22"/>
          <w:szCs w:val="22"/>
          <w:lang w:val="en-ZA" w:eastAsia="en-US"/>
          <w14:ligatures w14:val="standardContextual"/>
        </w:rPr>
      </w:pPr>
      <w:r>
        <w:rPr>
          <w:rFonts w:ascii="Arial" w:eastAsia="Aptos" w:hAnsi="Arial"/>
          <w:kern w:val="2"/>
          <w:sz w:val="22"/>
          <w:szCs w:val="22"/>
          <w:lang w:val="en-ZA" w:eastAsia="en-US"/>
          <w14:ligatures w14:val="standardContextual"/>
        </w:rPr>
        <w:t>‘</w:t>
      </w:r>
      <w:r w:rsidR="002D2868" w:rsidRPr="002D2868">
        <w:rPr>
          <w:rFonts w:ascii="Arial" w:eastAsia="Aptos" w:hAnsi="Arial"/>
          <w:kern w:val="2"/>
          <w:sz w:val="22"/>
          <w:szCs w:val="22"/>
          <w:lang w:val="en-ZA" w:eastAsia="en-US"/>
          <w14:ligatures w14:val="standardContextual"/>
        </w:rPr>
        <w:t>The suspensive conditions may be waived by written notice to the seller by the purchaser by no later than 5 November 2021 except for 2.1.2 that will automatically be waived within a maximum period of twelve months or as soon as Civil Aviation Authority consent to the change in ownership, whichever the sooner</w:t>
      </w:r>
      <w:r w:rsidR="00E130F8">
        <w:rPr>
          <w:rFonts w:ascii="Arial" w:eastAsia="Aptos" w:hAnsi="Arial"/>
          <w:kern w:val="2"/>
          <w:sz w:val="22"/>
          <w:szCs w:val="22"/>
          <w:lang w:val="en-ZA" w:eastAsia="en-US"/>
          <w14:ligatures w14:val="standardContextual"/>
        </w:rPr>
        <w:t>’.</w:t>
      </w:r>
      <w:r w:rsidR="002D2868" w:rsidRPr="002D2868">
        <w:rPr>
          <w:rFonts w:ascii="Arial" w:eastAsia="Aptos" w:hAnsi="Arial"/>
          <w:kern w:val="2"/>
          <w:sz w:val="22"/>
          <w:szCs w:val="22"/>
          <w:lang w:val="en-ZA" w:eastAsia="en-US"/>
          <w14:ligatures w14:val="standardContextual"/>
        </w:rPr>
        <w:t xml:space="preserve"> </w:t>
      </w:r>
    </w:p>
    <w:p w14:paraId="27A6ADCF" w14:textId="77777777" w:rsidR="002D2868" w:rsidRPr="00E130F8" w:rsidRDefault="00E130F8" w:rsidP="00E130F8">
      <w:pPr>
        <w:tabs>
          <w:tab w:val="left" w:pos="851"/>
          <w:tab w:val="left" w:pos="1418"/>
          <w:tab w:val="left" w:pos="2268"/>
        </w:tabs>
        <w:autoSpaceDE w:val="0"/>
        <w:autoSpaceDN w:val="0"/>
        <w:adjustRightInd w:val="0"/>
        <w:spacing w:line="360" w:lineRule="auto"/>
        <w:ind w:left="720" w:hanging="720"/>
        <w:jc w:val="both"/>
        <w:rPr>
          <w:rFonts w:ascii="Arial" w:eastAsia="Aptos" w:hAnsi="Arial"/>
          <w:kern w:val="2"/>
          <w:szCs w:val="22"/>
          <w:lang w:val="en-ZA" w:eastAsia="en-US"/>
          <w14:ligatures w14:val="standardContextual"/>
        </w:rPr>
      </w:pPr>
      <w:r>
        <w:rPr>
          <w:rFonts w:ascii="Arial" w:eastAsia="Aptos" w:hAnsi="Arial"/>
          <w:kern w:val="2"/>
          <w:szCs w:val="22"/>
          <w:lang w:val="en-ZA" w:eastAsia="en-US"/>
          <w14:ligatures w14:val="standardContextual"/>
        </w:rPr>
        <w:t>(d)</w:t>
      </w:r>
      <w:r>
        <w:rPr>
          <w:rFonts w:ascii="Arial" w:eastAsia="Aptos" w:hAnsi="Arial"/>
          <w:kern w:val="2"/>
          <w:szCs w:val="22"/>
          <w:lang w:val="en-ZA" w:eastAsia="en-US"/>
          <w14:ligatures w14:val="standardContextual"/>
        </w:rPr>
        <w:tab/>
      </w:r>
      <w:r w:rsidR="002D2868" w:rsidRPr="00E130F8">
        <w:rPr>
          <w:rFonts w:ascii="Arial" w:eastAsia="Aptos" w:hAnsi="Arial"/>
          <w:kern w:val="2"/>
          <w:szCs w:val="22"/>
          <w:lang w:val="en-ZA" w:eastAsia="en-US"/>
          <w14:ligatures w14:val="standardContextual"/>
        </w:rPr>
        <w:t>the purchase price would be a total amount of R8</w:t>
      </w:r>
      <w:r w:rsidR="00DE3345">
        <w:rPr>
          <w:rFonts w:ascii="Arial" w:eastAsia="Aptos" w:hAnsi="Arial"/>
          <w:kern w:val="2"/>
          <w:szCs w:val="22"/>
          <w:lang w:val="en-ZA" w:eastAsia="en-US"/>
          <w14:ligatures w14:val="standardContextual"/>
        </w:rPr>
        <w:t>,</w:t>
      </w:r>
      <w:r w:rsidR="002D2868" w:rsidRPr="00E130F8">
        <w:rPr>
          <w:rFonts w:ascii="Arial" w:eastAsia="Aptos" w:hAnsi="Arial"/>
          <w:kern w:val="2"/>
          <w:szCs w:val="22"/>
          <w:lang w:val="en-ZA" w:eastAsia="en-US"/>
          <w14:ligatures w14:val="standardContextual"/>
        </w:rPr>
        <w:t>2</w:t>
      </w:r>
      <w:r w:rsidR="00DE3345">
        <w:rPr>
          <w:rFonts w:ascii="Arial" w:eastAsia="Aptos" w:hAnsi="Arial"/>
          <w:kern w:val="2"/>
          <w:szCs w:val="22"/>
          <w:lang w:val="en-ZA" w:eastAsia="en-US"/>
          <w14:ligatures w14:val="standardContextual"/>
        </w:rPr>
        <w:t xml:space="preserve"> million </w:t>
      </w:r>
      <w:r w:rsidR="002D2868" w:rsidRPr="00E130F8">
        <w:rPr>
          <w:rFonts w:ascii="Arial" w:eastAsia="Aptos" w:hAnsi="Arial"/>
          <w:kern w:val="2"/>
          <w:szCs w:val="22"/>
          <w:lang w:val="en-ZA" w:eastAsia="en-US"/>
          <w14:ligatures w14:val="standardContextual"/>
        </w:rPr>
        <w:t xml:space="preserve">payable by an initial </w:t>
      </w:r>
      <w:r w:rsidR="00BF38BE">
        <w:rPr>
          <w:rFonts w:ascii="Arial" w:eastAsia="Aptos" w:hAnsi="Arial"/>
          <w:kern w:val="2"/>
          <w:szCs w:val="22"/>
          <w:lang w:val="en-ZA" w:eastAsia="en-US"/>
          <w14:ligatures w14:val="standardContextual"/>
        </w:rPr>
        <w:t xml:space="preserve">amount of </w:t>
      </w:r>
      <w:r w:rsidR="00DE3345">
        <w:rPr>
          <w:rFonts w:ascii="Arial" w:eastAsia="Aptos" w:hAnsi="Arial"/>
          <w:kern w:val="2"/>
          <w:szCs w:val="22"/>
          <w:lang w:val="en-ZA" w:eastAsia="en-US"/>
          <w14:ligatures w14:val="standardContextual"/>
        </w:rPr>
        <w:t>R1,4 million</w:t>
      </w:r>
      <w:r w:rsidR="002D2868" w:rsidRPr="00E130F8">
        <w:rPr>
          <w:rFonts w:ascii="Arial" w:eastAsia="Aptos" w:hAnsi="Arial"/>
          <w:kern w:val="2"/>
          <w:szCs w:val="22"/>
          <w:lang w:val="en-ZA" w:eastAsia="en-US"/>
          <w14:ligatures w14:val="standardContextual"/>
        </w:rPr>
        <w:t xml:space="preserve"> on signature, </w:t>
      </w:r>
      <w:r w:rsidR="00DE3345">
        <w:rPr>
          <w:rFonts w:ascii="Arial" w:eastAsia="Aptos" w:hAnsi="Arial"/>
          <w:kern w:val="2"/>
          <w:szCs w:val="22"/>
          <w:lang w:val="en-ZA" w:eastAsia="en-US"/>
          <w14:ligatures w14:val="standardContextual"/>
        </w:rPr>
        <w:t xml:space="preserve">R1,6 million </w:t>
      </w:r>
      <w:r w:rsidR="002D2868" w:rsidRPr="00E130F8">
        <w:rPr>
          <w:rFonts w:ascii="Arial" w:eastAsia="Aptos" w:hAnsi="Arial"/>
          <w:kern w:val="2"/>
          <w:szCs w:val="22"/>
          <w:lang w:val="en-ZA" w:eastAsia="en-US"/>
          <w14:ligatures w14:val="standardContextual"/>
        </w:rPr>
        <w:t xml:space="preserve">by 15 January 2022, and the balance of </w:t>
      </w:r>
      <w:r w:rsidR="00DE3345">
        <w:rPr>
          <w:rFonts w:ascii="Arial" w:eastAsia="Aptos" w:hAnsi="Arial"/>
          <w:kern w:val="2"/>
          <w:szCs w:val="22"/>
          <w:lang w:val="en-ZA" w:eastAsia="en-US"/>
          <w14:ligatures w14:val="standardContextual"/>
        </w:rPr>
        <w:t>R5,2 million</w:t>
      </w:r>
      <w:r w:rsidR="002D2868" w:rsidRPr="00E130F8">
        <w:rPr>
          <w:rFonts w:ascii="Arial" w:eastAsia="Aptos" w:hAnsi="Arial"/>
          <w:kern w:val="2"/>
          <w:szCs w:val="22"/>
          <w:lang w:val="en-ZA" w:eastAsia="en-US"/>
          <w14:ligatures w14:val="standardContextual"/>
        </w:rPr>
        <w:t xml:space="preserve"> </w:t>
      </w:r>
      <w:r w:rsidR="0029670E" w:rsidRPr="00E130F8">
        <w:rPr>
          <w:rFonts w:ascii="Arial" w:eastAsia="Aptos" w:hAnsi="Arial"/>
          <w:kern w:val="2"/>
          <w:szCs w:val="22"/>
          <w:lang w:val="en-ZA" w:eastAsia="en-US"/>
          <w14:ligatures w14:val="standardContextual"/>
        </w:rPr>
        <w:t>within 30</w:t>
      </w:r>
      <w:r w:rsidR="00E6451E">
        <w:rPr>
          <w:rFonts w:ascii="Arial" w:eastAsia="Aptos" w:hAnsi="Arial"/>
          <w:kern w:val="2"/>
          <w:szCs w:val="22"/>
          <w:lang w:val="en-ZA" w:eastAsia="en-US"/>
          <w14:ligatures w14:val="standardContextual"/>
        </w:rPr>
        <w:t xml:space="preserve"> </w:t>
      </w:r>
      <w:r w:rsidR="002D2868" w:rsidRPr="00E130F8">
        <w:rPr>
          <w:rFonts w:ascii="Arial" w:eastAsia="Aptos" w:hAnsi="Arial"/>
          <w:kern w:val="2"/>
          <w:szCs w:val="22"/>
          <w:lang w:val="en-ZA" w:eastAsia="en-US"/>
          <w14:ligatures w14:val="standardContextual"/>
        </w:rPr>
        <w:t>days of the fulfilment of the suspensive condition of the approval by the Civil Aviation Authority of the sale;</w:t>
      </w:r>
    </w:p>
    <w:p w14:paraId="4066B3B1" w14:textId="77777777" w:rsidR="002D2868" w:rsidRPr="002D2868" w:rsidRDefault="00E130F8" w:rsidP="00E130F8">
      <w:pPr>
        <w:tabs>
          <w:tab w:val="left" w:pos="851"/>
          <w:tab w:val="left" w:pos="1418"/>
          <w:tab w:val="left" w:pos="2268"/>
        </w:tabs>
        <w:autoSpaceDE w:val="0"/>
        <w:autoSpaceDN w:val="0"/>
        <w:adjustRightInd w:val="0"/>
        <w:spacing w:line="360" w:lineRule="auto"/>
        <w:ind w:left="720" w:hanging="720"/>
        <w:jc w:val="both"/>
        <w:rPr>
          <w:rFonts w:ascii="Arial" w:eastAsia="Aptos" w:hAnsi="Arial"/>
          <w:kern w:val="2"/>
          <w:szCs w:val="22"/>
          <w:lang w:val="en-ZA" w:eastAsia="en-US"/>
          <w14:ligatures w14:val="standardContextual"/>
        </w:rPr>
      </w:pPr>
      <w:r>
        <w:rPr>
          <w:rFonts w:ascii="Arial" w:eastAsia="Aptos" w:hAnsi="Arial"/>
          <w:kern w:val="2"/>
          <w:szCs w:val="22"/>
          <w:lang w:val="en-ZA" w:eastAsia="en-US"/>
          <w14:ligatures w14:val="standardContextual"/>
        </w:rPr>
        <w:lastRenderedPageBreak/>
        <w:t>(e)</w:t>
      </w:r>
      <w:r>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clause 14 of the agreement provides:</w:t>
      </w:r>
    </w:p>
    <w:p w14:paraId="3F0870CE" w14:textId="77777777" w:rsidR="002D2868" w:rsidRPr="002D2868" w:rsidRDefault="00E130F8" w:rsidP="00695917">
      <w:pPr>
        <w:spacing w:after="160" w:line="360" w:lineRule="auto"/>
        <w:ind w:left="720"/>
        <w:contextualSpacing/>
        <w:jc w:val="both"/>
        <w:rPr>
          <w:rFonts w:ascii="Arial" w:eastAsia="Aptos" w:hAnsi="Arial"/>
          <w:kern w:val="2"/>
          <w:sz w:val="22"/>
          <w:szCs w:val="22"/>
          <w:lang w:val="en-ZA" w:eastAsia="en-US"/>
          <w14:ligatures w14:val="standardContextual"/>
        </w:rPr>
      </w:pPr>
      <w:r>
        <w:rPr>
          <w:rFonts w:ascii="Arial" w:eastAsia="Aptos" w:hAnsi="Arial"/>
          <w:kern w:val="2"/>
          <w:sz w:val="22"/>
          <w:szCs w:val="22"/>
          <w:lang w:val="en-ZA" w:eastAsia="en-US"/>
          <w14:ligatures w14:val="standardContextual"/>
        </w:rPr>
        <w:t>‘</w:t>
      </w:r>
      <w:r w:rsidR="002D2868" w:rsidRPr="002D2868">
        <w:rPr>
          <w:rFonts w:ascii="Arial" w:eastAsia="Aptos" w:hAnsi="Arial"/>
          <w:kern w:val="2"/>
          <w:sz w:val="22"/>
          <w:szCs w:val="22"/>
          <w:lang w:val="en-ZA" w:eastAsia="en-US"/>
          <w14:ligatures w14:val="standardContextual"/>
        </w:rPr>
        <w:t>Should the purchaser breach of this agreement by not performing to pay as per clause 4 more specific to clause 4.1.3 and fail to remedy such breach within 14 (fourteen) days of written notice requiring the breach to be remedied, then the seller be entitled to attach for his own benefit and ownership the following assets owned by the company up to the value outstanding for the purchase consideration and retain such monies as an offset to the amount due under 4.1.3:</w:t>
      </w:r>
    </w:p>
    <w:p w14:paraId="41DC7111" w14:textId="42326D04" w:rsidR="002D2868" w:rsidRPr="002D2868" w:rsidRDefault="00C3607A" w:rsidP="00C3607A">
      <w:pPr>
        <w:spacing w:after="160" w:line="360" w:lineRule="auto"/>
        <w:ind w:left="1080" w:hanging="360"/>
        <w:contextualSpacing/>
        <w:jc w:val="both"/>
        <w:rPr>
          <w:rFonts w:ascii="Arial" w:eastAsia="Aptos" w:hAnsi="Arial"/>
          <w:kern w:val="2"/>
          <w:sz w:val="22"/>
          <w:szCs w:val="22"/>
          <w:lang w:val="en-ZA" w:eastAsia="en-US"/>
          <w14:ligatures w14:val="standardContextual"/>
        </w:rPr>
      </w:pPr>
      <w:r w:rsidRPr="002D2868">
        <w:rPr>
          <w:rFonts w:ascii="Arial" w:eastAsiaTheme="minorHAnsi" w:hAnsi="Arial" w:cs="Arial"/>
          <w:kern w:val="2"/>
          <w:sz w:val="22"/>
          <w:szCs w:val="22"/>
          <w:lang w:val="en-ZA" w:eastAsia="en-US"/>
          <w14:ligatures w14:val="standardContextual"/>
        </w:rPr>
        <w:t>-</w:t>
      </w:r>
      <w:r w:rsidRPr="002D2868">
        <w:rPr>
          <w:rFonts w:ascii="Arial" w:eastAsiaTheme="minorHAnsi" w:hAnsi="Arial" w:cs="Arial"/>
          <w:kern w:val="2"/>
          <w:sz w:val="22"/>
          <w:szCs w:val="22"/>
          <w:lang w:val="en-ZA" w:eastAsia="en-US"/>
          <w14:ligatures w14:val="standardContextual"/>
        </w:rPr>
        <w:tab/>
      </w:r>
      <w:r w:rsidR="002D2868" w:rsidRPr="002D2868">
        <w:rPr>
          <w:rFonts w:ascii="Arial" w:eastAsia="Aptos" w:hAnsi="Arial"/>
          <w:kern w:val="2"/>
          <w:sz w:val="22"/>
          <w:szCs w:val="22"/>
          <w:lang w:val="en-ZA" w:eastAsia="en-US"/>
          <w14:ligatures w14:val="standardContextual"/>
        </w:rPr>
        <w:t>ZA-MOL Cessna 172</w:t>
      </w:r>
    </w:p>
    <w:p w14:paraId="40EA7809" w14:textId="17A8CFA3" w:rsidR="002D2868" w:rsidRPr="002D2868" w:rsidRDefault="00C3607A" w:rsidP="00C3607A">
      <w:pPr>
        <w:spacing w:after="160" w:line="360" w:lineRule="auto"/>
        <w:ind w:left="1080" w:hanging="360"/>
        <w:contextualSpacing/>
        <w:jc w:val="both"/>
        <w:rPr>
          <w:rFonts w:ascii="Arial" w:eastAsia="Aptos" w:hAnsi="Arial"/>
          <w:kern w:val="2"/>
          <w:sz w:val="22"/>
          <w:szCs w:val="22"/>
          <w:lang w:val="en-ZA" w:eastAsia="en-US"/>
          <w14:ligatures w14:val="standardContextual"/>
        </w:rPr>
      </w:pPr>
      <w:r w:rsidRPr="002D2868">
        <w:rPr>
          <w:rFonts w:ascii="Arial" w:eastAsiaTheme="minorHAnsi" w:hAnsi="Arial" w:cs="Arial"/>
          <w:kern w:val="2"/>
          <w:sz w:val="22"/>
          <w:szCs w:val="22"/>
          <w:lang w:val="en-ZA" w:eastAsia="en-US"/>
          <w14:ligatures w14:val="standardContextual"/>
        </w:rPr>
        <w:t>-</w:t>
      </w:r>
      <w:r w:rsidRPr="002D2868">
        <w:rPr>
          <w:rFonts w:ascii="Arial" w:eastAsiaTheme="minorHAnsi" w:hAnsi="Arial" w:cs="Arial"/>
          <w:kern w:val="2"/>
          <w:sz w:val="22"/>
          <w:szCs w:val="22"/>
          <w:lang w:val="en-ZA" w:eastAsia="en-US"/>
          <w14:ligatures w14:val="standardContextual"/>
        </w:rPr>
        <w:tab/>
      </w:r>
      <w:r w:rsidR="002D2868" w:rsidRPr="002D2868">
        <w:rPr>
          <w:rFonts w:ascii="Arial" w:eastAsia="Aptos" w:hAnsi="Arial"/>
          <w:kern w:val="2"/>
          <w:sz w:val="22"/>
          <w:szCs w:val="22"/>
          <w:lang w:val="en-ZA" w:eastAsia="en-US"/>
          <w14:ligatures w14:val="standardContextual"/>
        </w:rPr>
        <w:t>ZA-LXA Piper Sennica 2</w:t>
      </w:r>
    </w:p>
    <w:p w14:paraId="7E0BC975" w14:textId="23192B8F" w:rsidR="002D2868" w:rsidRPr="002D2868" w:rsidRDefault="00C3607A" w:rsidP="00C3607A">
      <w:pPr>
        <w:spacing w:after="160" w:line="360" w:lineRule="auto"/>
        <w:ind w:left="1080" w:hanging="360"/>
        <w:contextualSpacing/>
        <w:jc w:val="both"/>
        <w:rPr>
          <w:rFonts w:ascii="Arial" w:eastAsia="Aptos" w:hAnsi="Arial"/>
          <w:kern w:val="2"/>
          <w:sz w:val="22"/>
          <w:szCs w:val="22"/>
          <w:lang w:val="en-ZA" w:eastAsia="en-US"/>
          <w14:ligatures w14:val="standardContextual"/>
        </w:rPr>
      </w:pPr>
      <w:r w:rsidRPr="002D2868">
        <w:rPr>
          <w:rFonts w:ascii="Arial" w:eastAsiaTheme="minorHAnsi" w:hAnsi="Arial" w:cs="Arial"/>
          <w:kern w:val="2"/>
          <w:sz w:val="22"/>
          <w:szCs w:val="22"/>
          <w:lang w:val="en-ZA" w:eastAsia="en-US"/>
          <w14:ligatures w14:val="standardContextual"/>
        </w:rPr>
        <w:t>-</w:t>
      </w:r>
      <w:r w:rsidRPr="002D2868">
        <w:rPr>
          <w:rFonts w:ascii="Arial" w:eastAsiaTheme="minorHAnsi" w:hAnsi="Arial" w:cs="Arial"/>
          <w:kern w:val="2"/>
          <w:sz w:val="22"/>
          <w:szCs w:val="22"/>
          <w:lang w:val="en-ZA" w:eastAsia="en-US"/>
          <w14:ligatures w14:val="standardContextual"/>
        </w:rPr>
        <w:tab/>
      </w:r>
      <w:r w:rsidR="002D2868" w:rsidRPr="002D2868">
        <w:rPr>
          <w:rFonts w:ascii="Arial" w:eastAsia="Aptos" w:hAnsi="Arial"/>
          <w:kern w:val="2"/>
          <w:sz w:val="22"/>
          <w:szCs w:val="22"/>
          <w:lang w:val="en-ZA" w:eastAsia="en-US"/>
          <w14:ligatures w14:val="standardContextual"/>
        </w:rPr>
        <w:t xml:space="preserve">ZS-KCR Beach Craft Sundowner </w:t>
      </w:r>
    </w:p>
    <w:p w14:paraId="253C85B1" w14:textId="2CFDE3CE" w:rsidR="002D2868" w:rsidRPr="002D2868" w:rsidRDefault="00C3607A" w:rsidP="00C3607A">
      <w:pPr>
        <w:spacing w:after="160" w:line="360" w:lineRule="auto"/>
        <w:ind w:left="1080" w:hanging="360"/>
        <w:contextualSpacing/>
        <w:jc w:val="both"/>
        <w:rPr>
          <w:rFonts w:ascii="Arial" w:eastAsia="Aptos" w:hAnsi="Arial"/>
          <w:kern w:val="2"/>
          <w:sz w:val="22"/>
          <w:szCs w:val="22"/>
          <w:lang w:val="en-ZA" w:eastAsia="en-US"/>
          <w14:ligatures w14:val="standardContextual"/>
        </w:rPr>
      </w:pPr>
      <w:r w:rsidRPr="002D2868">
        <w:rPr>
          <w:rFonts w:ascii="Arial" w:eastAsiaTheme="minorHAnsi" w:hAnsi="Arial" w:cs="Arial"/>
          <w:kern w:val="2"/>
          <w:sz w:val="22"/>
          <w:szCs w:val="22"/>
          <w:lang w:val="en-ZA" w:eastAsia="en-US"/>
          <w14:ligatures w14:val="standardContextual"/>
        </w:rPr>
        <w:t>-</w:t>
      </w:r>
      <w:r w:rsidRPr="002D2868">
        <w:rPr>
          <w:rFonts w:ascii="Arial" w:eastAsiaTheme="minorHAnsi" w:hAnsi="Arial" w:cs="Arial"/>
          <w:kern w:val="2"/>
          <w:sz w:val="22"/>
          <w:szCs w:val="22"/>
          <w:lang w:val="en-ZA" w:eastAsia="en-US"/>
          <w14:ligatures w14:val="standardContextual"/>
        </w:rPr>
        <w:tab/>
      </w:r>
      <w:r w:rsidR="002D2868" w:rsidRPr="002D2868">
        <w:rPr>
          <w:rFonts w:ascii="Arial" w:eastAsia="Aptos" w:hAnsi="Arial"/>
          <w:kern w:val="2"/>
          <w:sz w:val="22"/>
          <w:szCs w:val="22"/>
          <w:lang w:val="en-ZA" w:eastAsia="en-US"/>
          <w14:ligatures w14:val="standardContextual"/>
        </w:rPr>
        <w:t>Erf 9074, Secunda, Extension 57</w:t>
      </w:r>
      <w:r w:rsidR="00E130F8">
        <w:rPr>
          <w:rFonts w:ascii="Arial" w:eastAsia="Aptos" w:hAnsi="Arial"/>
          <w:kern w:val="2"/>
          <w:sz w:val="22"/>
          <w:szCs w:val="22"/>
          <w:lang w:val="en-ZA" w:eastAsia="en-US"/>
          <w14:ligatures w14:val="standardContextual"/>
        </w:rPr>
        <w:t>.</w:t>
      </w:r>
      <w:r w:rsidR="00E6451E">
        <w:rPr>
          <w:rFonts w:ascii="Arial" w:eastAsia="Aptos" w:hAnsi="Arial"/>
          <w:kern w:val="2"/>
          <w:sz w:val="22"/>
          <w:szCs w:val="22"/>
          <w:lang w:val="en-ZA" w:eastAsia="en-US"/>
          <w14:ligatures w14:val="standardContextual"/>
        </w:rPr>
        <w:t>’</w:t>
      </w:r>
    </w:p>
    <w:p w14:paraId="1DE19844" w14:textId="77777777" w:rsidR="002D2868" w:rsidRPr="002D2868" w:rsidRDefault="002D2868" w:rsidP="00695917">
      <w:pPr>
        <w:spacing w:after="160" w:line="360" w:lineRule="auto"/>
        <w:contextualSpacing/>
        <w:jc w:val="both"/>
        <w:rPr>
          <w:rFonts w:ascii="Arial" w:eastAsia="Aptos" w:hAnsi="Arial"/>
          <w:kern w:val="2"/>
          <w:szCs w:val="22"/>
          <w:lang w:val="en-ZA" w:eastAsia="en-US"/>
          <w14:ligatures w14:val="standardContextual"/>
        </w:rPr>
      </w:pPr>
    </w:p>
    <w:p w14:paraId="729B2EAF" w14:textId="033896CD"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[10]</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The usual </w:t>
      </w:r>
      <w:r w:rsidR="002D2868" w:rsidRPr="002D2868">
        <w:rPr>
          <w:rFonts w:ascii="Arial" w:eastAsia="Aptos" w:hAnsi="Arial"/>
          <w:i/>
          <w:iCs/>
          <w:kern w:val="2"/>
          <w:szCs w:val="22"/>
          <w:lang w:val="en-ZA" w:eastAsia="en-US"/>
          <w14:ligatures w14:val="standardContextual"/>
        </w:rPr>
        <w:t>Shifren</w:t>
      </w:r>
      <w:r w:rsidR="002D2868" w:rsidRPr="002D2868">
        <w:rPr>
          <w:rFonts w:ascii="Arial" w:eastAsia="Aptos" w:hAnsi="Arial"/>
          <w:kern w:val="2"/>
          <w:szCs w:val="22"/>
          <w:lang w:val="en-ZA" w:eastAsia="en-US"/>
          <w14:ligatures w14:val="standardContextual"/>
        </w:rPr>
        <w:t xml:space="preserve"> clauses are also present in the agreement. </w:t>
      </w:r>
    </w:p>
    <w:p w14:paraId="465AE270" w14:textId="77777777" w:rsidR="002D2868" w:rsidRPr="002D2868" w:rsidRDefault="002D2868" w:rsidP="00695917">
      <w:pPr>
        <w:spacing w:after="160" w:line="360" w:lineRule="auto"/>
        <w:contextualSpacing/>
        <w:jc w:val="both"/>
        <w:rPr>
          <w:rFonts w:ascii="Arial" w:eastAsia="Aptos" w:hAnsi="Arial"/>
          <w:kern w:val="2"/>
          <w:szCs w:val="22"/>
          <w:lang w:val="en-ZA" w:eastAsia="en-US"/>
          <w14:ligatures w14:val="standardContextual"/>
        </w:rPr>
      </w:pPr>
    </w:p>
    <w:p w14:paraId="27ADCE10" w14:textId="2BBCC0AE"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[11]</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The applicant’s contention is that the second respondent had paid the initial amount of </w:t>
      </w:r>
      <w:r w:rsidR="00D95C4E">
        <w:rPr>
          <w:rFonts w:ascii="Arial" w:eastAsia="Aptos" w:hAnsi="Arial"/>
          <w:kern w:val="2"/>
          <w:szCs w:val="22"/>
          <w:lang w:val="en-ZA" w:eastAsia="en-US"/>
          <w14:ligatures w14:val="standardContextual"/>
        </w:rPr>
        <w:t>R1,4 million</w:t>
      </w:r>
      <w:r w:rsidR="002D2868" w:rsidRPr="002D2868">
        <w:rPr>
          <w:rFonts w:ascii="Arial" w:eastAsia="Aptos" w:hAnsi="Arial"/>
          <w:kern w:val="2"/>
          <w:szCs w:val="22"/>
          <w:lang w:val="en-ZA" w:eastAsia="en-US"/>
          <w14:ligatures w14:val="standardContextual"/>
        </w:rPr>
        <w:t>, together with a further payment of R150 000.  Thereafter the agreement had been breached by the second respondent by failing to pay the balance owing of R6</w:t>
      </w:r>
      <w:r w:rsidR="00D95C4E">
        <w:rPr>
          <w:rFonts w:ascii="Arial" w:eastAsia="Aptos" w:hAnsi="Arial"/>
          <w:kern w:val="2"/>
          <w:szCs w:val="22"/>
          <w:lang w:val="en-ZA" w:eastAsia="en-US"/>
          <w14:ligatures w14:val="standardContextual"/>
        </w:rPr>
        <w:t>,</w:t>
      </w:r>
      <w:r w:rsidR="00F271FD">
        <w:rPr>
          <w:rFonts w:ascii="Arial" w:eastAsia="Aptos" w:hAnsi="Arial"/>
          <w:kern w:val="2"/>
          <w:szCs w:val="22"/>
          <w:lang w:val="en-ZA" w:eastAsia="en-US"/>
          <w14:ligatures w14:val="standardContextual"/>
        </w:rPr>
        <w:t>6</w:t>
      </w:r>
      <w:r w:rsidR="002D2868" w:rsidRPr="002D2868">
        <w:rPr>
          <w:rFonts w:ascii="Arial" w:eastAsia="Aptos" w:hAnsi="Arial"/>
          <w:kern w:val="2"/>
          <w:szCs w:val="22"/>
          <w:lang w:val="en-ZA" w:eastAsia="en-US"/>
          <w14:ligatures w14:val="standardContextual"/>
        </w:rPr>
        <w:t>5</w:t>
      </w:r>
      <w:r w:rsidR="00D95C4E">
        <w:rPr>
          <w:rFonts w:ascii="Arial" w:eastAsia="Aptos" w:hAnsi="Arial"/>
          <w:kern w:val="2"/>
          <w:szCs w:val="22"/>
          <w:lang w:val="en-ZA" w:eastAsia="en-US"/>
          <w14:ligatures w14:val="standardContextual"/>
        </w:rPr>
        <w:t xml:space="preserve"> million</w:t>
      </w:r>
      <w:r w:rsidR="002D2868" w:rsidRPr="002D2868">
        <w:rPr>
          <w:rFonts w:ascii="Arial" w:eastAsia="Aptos" w:hAnsi="Arial"/>
          <w:kern w:val="2"/>
          <w:szCs w:val="22"/>
          <w:lang w:val="en-ZA" w:eastAsia="en-US"/>
          <w14:ligatures w14:val="standardContextual"/>
        </w:rPr>
        <w:t xml:space="preserve">.  </w:t>
      </w:r>
    </w:p>
    <w:p w14:paraId="51C6FA74"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59830849" w14:textId="17C99744"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[12]</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Prior to delving into the defences raised by the respondents, there are two further matters arising from the papers that need to be</w:t>
      </w:r>
      <w:r w:rsidR="00432557">
        <w:rPr>
          <w:rFonts w:ascii="Arial" w:eastAsia="Aptos" w:hAnsi="Arial"/>
          <w:kern w:val="2"/>
          <w:szCs w:val="22"/>
          <w:lang w:val="en-ZA" w:eastAsia="en-US"/>
          <w14:ligatures w14:val="standardContextual"/>
        </w:rPr>
        <w:t xml:space="preserve"> briefly</w:t>
      </w:r>
      <w:r w:rsidR="002D2868" w:rsidRPr="002D2868">
        <w:rPr>
          <w:rFonts w:ascii="Arial" w:eastAsia="Aptos" w:hAnsi="Arial"/>
          <w:kern w:val="2"/>
          <w:szCs w:val="22"/>
          <w:lang w:val="en-ZA" w:eastAsia="en-US"/>
          <w14:ligatures w14:val="standardContextual"/>
        </w:rPr>
        <w:t xml:space="preserve"> </w:t>
      </w:r>
      <w:r w:rsidR="00432557">
        <w:rPr>
          <w:rFonts w:ascii="Arial" w:eastAsia="Aptos" w:hAnsi="Arial"/>
          <w:kern w:val="2"/>
          <w:szCs w:val="22"/>
          <w:lang w:val="en-ZA" w:eastAsia="en-US"/>
          <w14:ligatures w14:val="standardContextual"/>
        </w:rPr>
        <w:t>discussed</w:t>
      </w:r>
      <w:r w:rsidR="002D2868" w:rsidRPr="002D2868">
        <w:rPr>
          <w:rFonts w:ascii="Arial" w:eastAsia="Aptos" w:hAnsi="Arial"/>
          <w:kern w:val="2"/>
          <w:szCs w:val="22"/>
          <w:lang w:val="en-ZA" w:eastAsia="en-US"/>
          <w14:ligatures w14:val="standardContextual"/>
        </w:rPr>
        <w:t xml:space="preserve">. </w:t>
      </w:r>
    </w:p>
    <w:p w14:paraId="12E1B1B0"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776A6641" w14:textId="0835ECC9"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[13]</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Firstly, and in terms of the amended notice of motion, a claim for rectification has been brought to insert the words “</w:t>
      </w:r>
      <w:r w:rsidR="002D2868" w:rsidRPr="002D2868">
        <w:rPr>
          <w:rFonts w:ascii="Arial" w:eastAsia="Aptos" w:hAnsi="Arial"/>
          <w:i/>
          <w:iCs/>
          <w:kern w:val="2"/>
          <w:szCs w:val="22"/>
          <w:lang w:val="en-ZA" w:eastAsia="en-US"/>
          <w14:ligatures w14:val="standardContextual"/>
        </w:rPr>
        <w:t>and or the purchaser</w:t>
      </w:r>
      <w:r w:rsidR="002D2868" w:rsidRPr="002D2868">
        <w:rPr>
          <w:rFonts w:ascii="Arial" w:eastAsia="Aptos" w:hAnsi="Arial"/>
          <w:kern w:val="2"/>
          <w:szCs w:val="22"/>
          <w:lang w:val="en-ZA" w:eastAsia="en-US"/>
          <w14:ligatures w14:val="standardContextual"/>
        </w:rPr>
        <w:t>” after the word company in the abovementioned clause 14</w:t>
      </w:r>
      <w:r w:rsidR="00BF38BE">
        <w:rPr>
          <w:rFonts w:ascii="Arial" w:eastAsia="Aptos" w:hAnsi="Arial"/>
          <w:kern w:val="2"/>
          <w:szCs w:val="22"/>
          <w:lang w:val="en-ZA" w:eastAsia="en-US"/>
          <w14:ligatures w14:val="standardContextual"/>
        </w:rPr>
        <w:t xml:space="preserve"> of the agreement</w:t>
      </w:r>
      <w:r w:rsidR="002D2868" w:rsidRPr="002D2868">
        <w:rPr>
          <w:rFonts w:ascii="Arial" w:eastAsia="Aptos" w:hAnsi="Arial"/>
          <w:kern w:val="2"/>
          <w:szCs w:val="22"/>
          <w:lang w:val="en-ZA" w:eastAsia="en-US"/>
          <w14:ligatures w14:val="standardContextual"/>
        </w:rPr>
        <w:t xml:space="preserve">. It was stated in the supplementary affidavit delivered on behalf of the applicant that this omission was as a result of a mutual error between the applicant and the representatives of the respondents. </w:t>
      </w:r>
    </w:p>
    <w:p w14:paraId="47E1CA18"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3C12C593" w14:textId="4180E09E"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[14]</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The respondents have elected </w:t>
      </w:r>
      <w:r w:rsidR="00C41326">
        <w:rPr>
          <w:rFonts w:ascii="Arial" w:eastAsia="Aptos" w:hAnsi="Arial"/>
          <w:kern w:val="2"/>
          <w:szCs w:val="22"/>
          <w:lang w:val="en-ZA" w:eastAsia="en-US"/>
          <w14:ligatures w14:val="standardContextual"/>
        </w:rPr>
        <w:t xml:space="preserve">not </w:t>
      </w:r>
      <w:r w:rsidR="002D2868" w:rsidRPr="002D2868">
        <w:rPr>
          <w:rFonts w:ascii="Arial" w:eastAsia="Aptos" w:hAnsi="Arial"/>
          <w:kern w:val="2"/>
          <w:szCs w:val="22"/>
          <w:lang w:val="en-ZA" w:eastAsia="en-US"/>
          <w14:ligatures w14:val="standardContextual"/>
        </w:rPr>
        <w:t xml:space="preserve">to deliver </w:t>
      </w:r>
      <w:r w:rsidR="00C41326">
        <w:rPr>
          <w:rFonts w:ascii="Arial" w:eastAsia="Aptos" w:hAnsi="Arial"/>
          <w:kern w:val="2"/>
          <w:szCs w:val="22"/>
          <w:lang w:val="en-ZA" w:eastAsia="en-US"/>
          <w14:ligatures w14:val="standardContextual"/>
        </w:rPr>
        <w:t>an</w:t>
      </w:r>
      <w:r w:rsidR="00C41326" w:rsidRPr="002D2868">
        <w:rPr>
          <w:rFonts w:ascii="Arial" w:eastAsia="Aptos" w:hAnsi="Arial"/>
          <w:kern w:val="2"/>
          <w:szCs w:val="22"/>
          <w:lang w:val="en-ZA" w:eastAsia="en-US"/>
          <w14:ligatures w14:val="standardContextual"/>
        </w:rPr>
        <w:t xml:space="preserve"> </w:t>
      </w:r>
      <w:r w:rsidR="002D2868" w:rsidRPr="002D2868">
        <w:rPr>
          <w:rFonts w:ascii="Arial" w:eastAsia="Aptos" w:hAnsi="Arial"/>
          <w:kern w:val="2"/>
          <w:szCs w:val="22"/>
          <w:lang w:val="en-ZA" w:eastAsia="en-US"/>
          <w14:ligatures w14:val="standardContextual"/>
        </w:rPr>
        <w:t xml:space="preserve">answering affidavit to the allegations </w:t>
      </w:r>
      <w:r w:rsidR="00954D85">
        <w:rPr>
          <w:rFonts w:ascii="Arial" w:eastAsia="Aptos" w:hAnsi="Arial"/>
          <w:kern w:val="2"/>
          <w:szCs w:val="22"/>
          <w:lang w:val="en-ZA" w:eastAsia="en-US"/>
          <w14:ligatures w14:val="standardContextual"/>
        </w:rPr>
        <w:t>contained in</w:t>
      </w:r>
      <w:r w:rsidR="002D2868" w:rsidRPr="002D2868">
        <w:rPr>
          <w:rFonts w:ascii="Arial" w:eastAsia="Aptos" w:hAnsi="Arial"/>
          <w:kern w:val="2"/>
          <w:szCs w:val="22"/>
          <w:lang w:val="en-ZA" w:eastAsia="en-US"/>
          <w14:ligatures w14:val="standardContextual"/>
        </w:rPr>
        <w:t xml:space="preserve"> supplementary founding affidavit.  Accordingly, there is no dispute that clause 14 does not in its current state reflect the true intention of the part</w:t>
      </w:r>
      <w:r w:rsidR="00C41326">
        <w:rPr>
          <w:rFonts w:ascii="Arial" w:eastAsia="Aptos" w:hAnsi="Arial"/>
          <w:kern w:val="2"/>
          <w:szCs w:val="22"/>
          <w:lang w:val="en-ZA" w:eastAsia="en-US"/>
          <w14:ligatures w14:val="standardContextual"/>
        </w:rPr>
        <w:t>ies</w:t>
      </w:r>
      <w:r w:rsidR="002D2868" w:rsidRPr="002D2868">
        <w:rPr>
          <w:rFonts w:ascii="Arial" w:eastAsia="Aptos" w:hAnsi="Arial"/>
          <w:kern w:val="2"/>
          <w:szCs w:val="22"/>
          <w:lang w:val="en-ZA" w:eastAsia="en-US"/>
          <w14:ligatures w14:val="standardContextual"/>
        </w:rPr>
        <w:t xml:space="preserve"> as a result of a mutual error. </w:t>
      </w:r>
    </w:p>
    <w:p w14:paraId="37325D7D"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22394A05" w14:textId="709C9158"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lastRenderedPageBreak/>
        <w:t>[15]</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Secondly, there appears to be no dispute by the applicant, that the three aircraft are owned by the first respondent whereas the immovable property is owned by the second respondent. </w:t>
      </w:r>
    </w:p>
    <w:p w14:paraId="0AD971D8" w14:textId="77777777" w:rsidR="002D2868" w:rsidRPr="002D2868" w:rsidRDefault="002D2868" w:rsidP="00695917">
      <w:pPr>
        <w:spacing w:after="160" w:line="360" w:lineRule="auto"/>
        <w:contextualSpacing/>
        <w:jc w:val="both"/>
        <w:rPr>
          <w:rFonts w:ascii="Arial" w:eastAsia="Aptos" w:hAnsi="Arial"/>
          <w:kern w:val="2"/>
          <w:szCs w:val="22"/>
          <w:lang w:val="en-ZA" w:eastAsia="en-US"/>
          <w14:ligatures w14:val="standardContextual"/>
        </w:rPr>
      </w:pPr>
    </w:p>
    <w:p w14:paraId="52F11EA5" w14:textId="77777777" w:rsidR="002D2868" w:rsidRPr="00E130F8" w:rsidRDefault="002D2868" w:rsidP="00E130F8">
      <w:pPr>
        <w:spacing w:after="160" w:line="360" w:lineRule="auto"/>
        <w:contextualSpacing/>
        <w:jc w:val="both"/>
        <w:rPr>
          <w:rFonts w:ascii="Arial" w:eastAsia="Aptos" w:hAnsi="Arial"/>
          <w:b/>
          <w:bCs/>
          <w:kern w:val="2"/>
          <w:szCs w:val="22"/>
          <w:lang w:val="en-ZA" w:eastAsia="en-US"/>
          <w14:ligatures w14:val="standardContextual"/>
        </w:rPr>
      </w:pPr>
      <w:r w:rsidRPr="00E130F8">
        <w:rPr>
          <w:rFonts w:ascii="Arial" w:eastAsia="Aptos" w:hAnsi="Arial"/>
          <w:b/>
          <w:bCs/>
          <w:kern w:val="2"/>
          <w:szCs w:val="22"/>
          <w:lang w:val="en-ZA" w:eastAsia="en-US"/>
          <w14:ligatures w14:val="standardContextual"/>
        </w:rPr>
        <w:t xml:space="preserve">Defences raised by the </w:t>
      </w:r>
      <w:r w:rsidR="00E130F8">
        <w:rPr>
          <w:rFonts w:ascii="Arial" w:eastAsia="Aptos" w:hAnsi="Arial"/>
          <w:b/>
          <w:bCs/>
          <w:kern w:val="2"/>
          <w:szCs w:val="22"/>
          <w:lang w:val="en-ZA" w:eastAsia="en-US"/>
          <w14:ligatures w14:val="standardContextual"/>
        </w:rPr>
        <w:t>r</w:t>
      </w:r>
      <w:r w:rsidRPr="00E130F8">
        <w:rPr>
          <w:rFonts w:ascii="Arial" w:eastAsia="Aptos" w:hAnsi="Arial"/>
          <w:b/>
          <w:bCs/>
          <w:kern w:val="2"/>
          <w:szCs w:val="22"/>
          <w:lang w:val="en-ZA" w:eastAsia="en-US"/>
          <w14:ligatures w14:val="standardContextual"/>
        </w:rPr>
        <w:t>espondents</w:t>
      </w:r>
    </w:p>
    <w:p w14:paraId="07317C1B" w14:textId="2D9CBA1C"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[16]</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The defences raised by the respondents to the application require varying degrees of interrogation.  </w:t>
      </w:r>
    </w:p>
    <w:p w14:paraId="1072DB52" w14:textId="77777777" w:rsidR="002D2868" w:rsidRPr="002D2868" w:rsidRDefault="002D2868" w:rsidP="00695917">
      <w:pPr>
        <w:spacing w:after="160" w:line="360" w:lineRule="auto"/>
        <w:contextualSpacing/>
        <w:jc w:val="both"/>
        <w:rPr>
          <w:rFonts w:ascii="Arial" w:eastAsia="Aptos" w:hAnsi="Arial"/>
          <w:kern w:val="2"/>
          <w:szCs w:val="22"/>
          <w:lang w:val="en-ZA" w:eastAsia="en-US"/>
          <w14:ligatures w14:val="standardContextual"/>
        </w:rPr>
      </w:pPr>
    </w:p>
    <w:p w14:paraId="2154A585" w14:textId="361DBB07"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[17]</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The respondents firstly contended that, considering</w:t>
      </w:r>
      <w:r w:rsidR="00EE664C">
        <w:rPr>
          <w:rFonts w:ascii="Arial" w:eastAsia="Aptos" w:hAnsi="Arial"/>
          <w:kern w:val="2"/>
          <w:szCs w:val="22"/>
          <w:lang w:val="en-ZA" w:eastAsia="en-US"/>
          <w14:ligatures w14:val="standardContextual"/>
        </w:rPr>
        <w:t xml:space="preserve"> that</w:t>
      </w:r>
      <w:r w:rsidR="002D2868" w:rsidRPr="002D2868">
        <w:rPr>
          <w:rFonts w:ascii="Arial" w:eastAsia="Aptos" w:hAnsi="Arial"/>
          <w:kern w:val="2"/>
          <w:szCs w:val="22"/>
          <w:lang w:val="en-ZA" w:eastAsia="en-US"/>
          <w14:ligatures w14:val="standardContextual"/>
        </w:rPr>
        <w:t xml:space="preserve"> the agreement concluded between the parties contained a consent as envisaged in terms of s 45(1) of the Magistrates</w:t>
      </w:r>
      <w:r w:rsidR="00E130F8">
        <w:rPr>
          <w:rFonts w:ascii="Arial" w:eastAsia="Aptos" w:hAnsi="Arial"/>
          <w:kern w:val="2"/>
          <w:szCs w:val="22"/>
          <w:lang w:val="en-ZA" w:eastAsia="en-US"/>
          <w14:ligatures w14:val="standardContextual"/>
        </w:rPr>
        <w:t>’</w:t>
      </w:r>
      <w:r w:rsidR="002D2868" w:rsidRPr="002D2868">
        <w:rPr>
          <w:rFonts w:ascii="Arial" w:eastAsia="Aptos" w:hAnsi="Arial"/>
          <w:kern w:val="2"/>
          <w:szCs w:val="22"/>
          <w:lang w:val="en-ZA" w:eastAsia="en-US"/>
          <w14:ligatures w14:val="standardContextual"/>
        </w:rPr>
        <w:t xml:space="preserve"> Court,</w:t>
      </w:r>
      <w:r w:rsidR="00E130F8">
        <w:rPr>
          <w:rStyle w:val="FootnoteReference"/>
          <w:rFonts w:ascii="Arial" w:eastAsia="Aptos" w:hAnsi="Arial"/>
          <w:kern w:val="2"/>
          <w:szCs w:val="22"/>
          <w:lang w:val="en-ZA" w:eastAsia="en-US"/>
          <w14:ligatures w14:val="standardContextual"/>
        </w:rPr>
        <w:footnoteReference w:id="2"/>
      </w:r>
      <w:r w:rsidR="002D2868" w:rsidRPr="002D2868">
        <w:rPr>
          <w:rFonts w:ascii="Arial" w:eastAsia="Aptos" w:hAnsi="Arial"/>
          <w:kern w:val="2"/>
          <w:szCs w:val="22"/>
          <w:lang w:val="en-ZA" w:eastAsia="en-US"/>
          <w14:ligatures w14:val="standardContextual"/>
        </w:rPr>
        <w:t xml:space="preserve"> this Court accordingly did not have jurisdiction to entertain any complaint that arose pursuant to such contract. </w:t>
      </w:r>
    </w:p>
    <w:p w14:paraId="475E92CB"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1232476C" w14:textId="6DF6F4E4"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[18]</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Apart from the difficulties the Magistrates</w:t>
      </w:r>
      <w:r w:rsidR="001F75EA">
        <w:rPr>
          <w:rFonts w:ascii="Arial" w:eastAsia="Aptos" w:hAnsi="Arial"/>
          <w:kern w:val="2"/>
          <w:szCs w:val="22"/>
          <w:lang w:val="en-ZA" w:eastAsia="en-US"/>
          <w14:ligatures w14:val="standardContextual"/>
        </w:rPr>
        <w:t>’</w:t>
      </w:r>
      <w:r w:rsidR="002D2868" w:rsidRPr="002D2868">
        <w:rPr>
          <w:rFonts w:ascii="Arial" w:eastAsia="Aptos" w:hAnsi="Arial"/>
          <w:kern w:val="2"/>
          <w:szCs w:val="22"/>
          <w:lang w:val="en-ZA" w:eastAsia="en-US"/>
          <w14:ligatures w14:val="standardContextual"/>
        </w:rPr>
        <w:t xml:space="preserve"> Court would have in entertaining the declaratory relief sought in the notice of motion and the claim for specific performance under the contract, it is a matter of recently reaffirmed law that the fact that jurisdiction may be conferred (whether by contract or statute) to deal with an issue in the Magistrates</w:t>
      </w:r>
      <w:r w:rsidR="001F75EA">
        <w:rPr>
          <w:rFonts w:ascii="Arial" w:eastAsia="Aptos" w:hAnsi="Arial"/>
          <w:kern w:val="2"/>
          <w:szCs w:val="22"/>
          <w:lang w:val="en-ZA" w:eastAsia="en-US"/>
          <w14:ligatures w14:val="standardContextual"/>
        </w:rPr>
        <w:t>’</w:t>
      </w:r>
      <w:r w:rsidR="002D2868" w:rsidRPr="002D2868">
        <w:rPr>
          <w:rFonts w:ascii="Arial" w:eastAsia="Aptos" w:hAnsi="Arial"/>
          <w:kern w:val="2"/>
          <w:szCs w:val="22"/>
          <w:lang w:val="en-ZA" w:eastAsia="en-US"/>
          <w14:ligatures w14:val="standardContextual"/>
        </w:rPr>
        <w:t xml:space="preserve"> Court that such provisions would not oust the High Court’s jurisdiction.</w:t>
      </w:r>
      <w:r w:rsidR="002D2868" w:rsidRPr="002D2868">
        <w:rPr>
          <w:rFonts w:ascii="Arial" w:eastAsia="Aptos" w:hAnsi="Arial"/>
          <w:kern w:val="2"/>
          <w:szCs w:val="22"/>
          <w:vertAlign w:val="superscript"/>
          <w:lang w:val="en-ZA" w:eastAsia="en-US"/>
          <w14:ligatures w14:val="standardContextual"/>
        </w:rPr>
        <w:footnoteReference w:id="3"/>
      </w:r>
    </w:p>
    <w:p w14:paraId="2DEAAD43"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1F05B191" w14:textId="10D246E8"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[19]</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The second defence raised is that clause 14, albeit conditionally on breach, constitutes a disposition of the greater part of the assets of the first respondent and consequently the conclusion of any such agreement would have had to have complied with the requirements of </w:t>
      </w:r>
      <w:r w:rsidR="00E130F8">
        <w:rPr>
          <w:rFonts w:ascii="Arial" w:eastAsia="Aptos" w:hAnsi="Arial"/>
          <w:kern w:val="2"/>
          <w:szCs w:val="22"/>
          <w:lang w:val="en-ZA" w:eastAsia="en-US"/>
          <w14:ligatures w14:val="standardContextual"/>
        </w:rPr>
        <w:t xml:space="preserve">ss </w:t>
      </w:r>
      <w:r w:rsidR="002D2868" w:rsidRPr="002D2868">
        <w:rPr>
          <w:rFonts w:ascii="Arial" w:eastAsia="Aptos" w:hAnsi="Arial"/>
          <w:kern w:val="2"/>
          <w:szCs w:val="22"/>
          <w:lang w:val="en-ZA" w:eastAsia="en-US"/>
          <w14:ligatures w14:val="standardContextual"/>
        </w:rPr>
        <w:t>112 and 115 of the Companies Act</w:t>
      </w:r>
      <w:r w:rsidR="00D53F93">
        <w:rPr>
          <w:rFonts w:ascii="Arial" w:eastAsia="Aptos" w:hAnsi="Arial"/>
          <w:kern w:val="2"/>
          <w:szCs w:val="22"/>
          <w:lang w:val="en-ZA" w:eastAsia="en-US"/>
          <w14:ligatures w14:val="standardContextual"/>
        </w:rPr>
        <w:t xml:space="preserve"> (‘the Companies Act’)</w:t>
      </w:r>
      <w:r w:rsidR="002D2868" w:rsidRPr="002D2868">
        <w:rPr>
          <w:rFonts w:ascii="Arial" w:eastAsia="Aptos" w:hAnsi="Arial"/>
          <w:kern w:val="2"/>
          <w:szCs w:val="22"/>
          <w:lang w:val="en-ZA" w:eastAsia="en-US"/>
          <w14:ligatures w14:val="standardContextual"/>
        </w:rPr>
        <w:t>.</w:t>
      </w:r>
      <w:r w:rsidR="00E130F8">
        <w:rPr>
          <w:rStyle w:val="FootnoteReference"/>
          <w:rFonts w:ascii="Arial" w:eastAsia="Aptos" w:hAnsi="Arial"/>
          <w:kern w:val="2"/>
          <w:szCs w:val="22"/>
          <w:lang w:val="en-ZA" w:eastAsia="en-US"/>
          <w14:ligatures w14:val="standardContextual"/>
        </w:rPr>
        <w:footnoteReference w:id="4"/>
      </w:r>
      <w:r w:rsidR="002D2868" w:rsidRPr="002D2868">
        <w:rPr>
          <w:rFonts w:ascii="Arial" w:eastAsia="Aptos" w:hAnsi="Arial"/>
          <w:kern w:val="2"/>
          <w:szCs w:val="22"/>
          <w:lang w:val="en-ZA" w:eastAsia="en-US"/>
          <w14:ligatures w14:val="standardContextual"/>
        </w:rPr>
        <w:t xml:space="preserve">  </w:t>
      </w:r>
    </w:p>
    <w:p w14:paraId="3879D36E"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34B0EEF0" w14:textId="681BE2A2"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[20]</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As was correctly raised by Mr </w:t>
      </w:r>
      <w:r w:rsidR="002D2868" w:rsidRPr="007D1FE8">
        <w:rPr>
          <w:rFonts w:ascii="Arial" w:eastAsia="Aptos" w:hAnsi="Arial"/>
          <w:i/>
          <w:kern w:val="2"/>
          <w:szCs w:val="22"/>
          <w:lang w:val="en-ZA" w:eastAsia="en-US"/>
          <w14:ligatures w14:val="standardContextual"/>
        </w:rPr>
        <w:t>van Huyssteen</w:t>
      </w:r>
      <w:r w:rsidR="002D2868" w:rsidRPr="002D2868">
        <w:rPr>
          <w:rFonts w:ascii="Arial" w:eastAsia="Aptos" w:hAnsi="Arial"/>
          <w:kern w:val="2"/>
          <w:szCs w:val="22"/>
          <w:lang w:val="en-ZA" w:eastAsia="en-US"/>
          <w14:ligatures w14:val="standardContextual"/>
        </w:rPr>
        <w:t xml:space="preserve"> for the applicant, the difficulty with this argument raised by the respondents was that the sole shareholder was a signatory to the second sale of shares agreement, being the applicant at the time of the signature (and the prospective sole shareholder being the second respondent on fulfilment).  </w:t>
      </w:r>
    </w:p>
    <w:p w14:paraId="02CB4E13"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4C7EDD0F" w14:textId="77777777" w:rsidR="002D2868" w:rsidRPr="001748E2" w:rsidRDefault="000C2DC7" w:rsidP="000C2DC7">
      <w:pPr>
        <w:spacing w:after="160" w:line="360" w:lineRule="auto"/>
        <w:contextualSpacing/>
        <w:jc w:val="both"/>
        <w:rPr>
          <w:rFonts w:ascii="Arial" w:eastAsia="Aptos" w:hAnsi="Arial"/>
          <w:kern w:val="2"/>
          <w:szCs w:val="22"/>
          <w:lang w:val="en-ZA" w:eastAsia="en-US"/>
          <w14:ligatures w14:val="standardContextual"/>
        </w:rPr>
      </w:pPr>
      <w:r>
        <w:rPr>
          <w:rFonts w:ascii="Arial" w:eastAsia="Aptos" w:hAnsi="Arial"/>
          <w:kern w:val="2"/>
          <w:szCs w:val="22"/>
          <w:lang w:val="en-ZA" w:eastAsia="en-US"/>
          <w14:ligatures w14:val="standardContextual"/>
        </w:rPr>
        <w:lastRenderedPageBreak/>
        <w:t>[22]</w:t>
      </w:r>
      <w:r>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In the decision of </w:t>
      </w:r>
      <w:r w:rsidR="002D2868" w:rsidRPr="001748E2">
        <w:rPr>
          <w:rFonts w:ascii="Arial" w:eastAsia="Aptos" w:hAnsi="Arial"/>
          <w:i/>
          <w:kern w:val="2"/>
          <w:szCs w:val="22"/>
          <w:lang w:val="en-ZA" w:eastAsia="en-US"/>
          <w14:ligatures w14:val="standardContextual"/>
        </w:rPr>
        <w:t>Mora</w:t>
      </w:r>
      <w:r w:rsidR="001748E2">
        <w:rPr>
          <w:rFonts w:ascii="Arial" w:eastAsia="Aptos" w:hAnsi="Arial"/>
          <w:i/>
          <w:kern w:val="2"/>
          <w:szCs w:val="22"/>
          <w:lang w:val="en-ZA" w:eastAsia="en-US"/>
          <w14:ligatures w14:val="standardContextual"/>
        </w:rPr>
        <w:t>i</w:t>
      </w:r>
      <w:r w:rsidR="002D2868" w:rsidRPr="001748E2">
        <w:rPr>
          <w:rFonts w:ascii="Arial" w:eastAsia="Aptos" w:hAnsi="Arial"/>
          <w:i/>
          <w:kern w:val="2"/>
          <w:szCs w:val="22"/>
          <w:lang w:val="en-ZA" w:eastAsia="en-US"/>
          <w14:ligatures w14:val="standardContextual"/>
        </w:rPr>
        <w:t>tis Investments (Pty) Ltd and Others v Montic Dairy (Pty) Ltd and Others</w:t>
      </w:r>
      <w:r w:rsidR="002D2868" w:rsidRPr="002D2868">
        <w:rPr>
          <w:rFonts w:ascii="Arial" w:eastAsia="Aptos" w:hAnsi="Arial"/>
          <w:kern w:val="2"/>
          <w:szCs w:val="22"/>
          <w:lang w:val="en-ZA" w:eastAsia="en-US"/>
          <w14:ligatures w14:val="standardContextual"/>
        </w:rPr>
        <w:t>,</w:t>
      </w:r>
      <w:r w:rsidR="002D2868" w:rsidRPr="002D2868">
        <w:rPr>
          <w:rFonts w:ascii="Arial" w:eastAsia="Aptos" w:hAnsi="Arial"/>
          <w:kern w:val="2"/>
          <w:szCs w:val="22"/>
          <w:vertAlign w:val="superscript"/>
          <w:lang w:val="en-ZA" w:eastAsia="en-US"/>
          <w14:ligatures w14:val="standardContextual"/>
        </w:rPr>
        <w:footnoteReference w:id="5"/>
      </w:r>
      <w:r w:rsidR="002D2868" w:rsidRPr="002D2868">
        <w:rPr>
          <w:rFonts w:ascii="Arial" w:eastAsia="Aptos" w:hAnsi="Arial"/>
          <w:kern w:val="2"/>
          <w:szCs w:val="22"/>
          <w:lang w:val="en-ZA" w:eastAsia="en-US"/>
          <w14:ligatures w14:val="standardContextual"/>
        </w:rPr>
        <w:t xml:space="preserve"> specifically at paragraph 37, Wallis JA writing for the Supreme Court of Appeal in a unanimous decision stated as follows:</w:t>
      </w:r>
    </w:p>
    <w:p w14:paraId="39F35E18" w14:textId="77777777" w:rsidR="002D2868" w:rsidRPr="002D2868" w:rsidRDefault="00695917" w:rsidP="00695917">
      <w:pPr>
        <w:spacing w:line="360" w:lineRule="auto"/>
        <w:jc w:val="both"/>
        <w:rPr>
          <w:rFonts w:ascii="Arial" w:hAnsi="Arial" w:cs="Arial"/>
          <w:sz w:val="22"/>
          <w:szCs w:val="22"/>
          <w:lang w:eastAsia="en-ZA"/>
        </w:rPr>
      </w:pPr>
      <w:r>
        <w:rPr>
          <w:rFonts w:ascii="Arial" w:hAnsi="Arial" w:cs="Arial"/>
          <w:sz w:val="22"/>
          <w:szCs w:val="22"/>
          <w:lang w:eastAsia="en-ZA"/>
        </w:rPr>
        <w:t>‘</w:t>
      </w:r>
      <w:r w:rsidR="002D2868" w:rsidRPr="002D2868">
        <w:rPr>
          <w:rFonts w:ascii="Arial" w:hAnsi="Arial" w:cs="Arial"/>
          <w:sz w:val="22"/>
          <w:szCs w:val="22"/>
          <w:lang w:eastAsia="en-ZA"/>
        </w:rPr>
        <w:t>The purpose underpinning the requirements of </w:t>
      </w:r>
      <w:hyperlink r:id="rId12" w:anchor="s112" w:tgtFrame="_blank" w:history="1">
        <w:r w:rsidR="002D2868" w:rsidRPr="002D2868">
          <w:rPr>
            <w:rFonts w:ascii="Arial" w:hAnsi="Arial" w:cs="Arial"/>
            <w:sz w:val="22"/>
            <w:szCs w:val="22"/>
            <w:lang w:eastAsia="en-ZA"/>
          </w:rPr>
          <w:t>ss 112</w:t>
        </w:r>
      </w:hyperlink>
      <w:r w:rsidR="002D2868" w:rsidRPr="002D2868">
        <w:rPr>
          <w:rFonts w:ascii="Arial" w:hAnsi="Arial" w:cs="Arial"/>
          <w:sz w:val="22"/>
          <w:szCs w:val="22"/>
          <w:lang w:eastAsia="en-ZA"/>
        </w:rPr>
        <w:t> and </w:t>
      </w:r>
      <w:hyperlink r:id="rId13" w:anchor="s115" w:tgtFrame="_blank" w:history="1">
        <w:r w:rsidR="002D2868" w:rsidRPr="002D2868">
          <w:rPr>
            <w:rFonts w:ascii="Arial" w:hAnsi="Arial" w:cs="Arial"/>
            <w:sz w:val="22"/>
            <w:szCs w:val="22"/>
            <w:lang w:eastAsia="en-ZA"/>
          </w:rPr>
          <w:t>115</w:t>
        </w:r>
      </w:hyperlink>
      <w:r w:rsidR="002D2868" w:rsidRPr="002D2868">
        <w:rPr>
          <w:rFonts w:ascii="Arial" w:hAnsi="Arial" w:cs="Arial"/>
          <w:sz w:val="22"/>
          <w:szCs w:val="22"/>
          <w:lang w:eastAsia="en-ZA"/>
        </w:rPr>
        <w:t> is to ensure that the interests and views of all shareholders are taken into account before the company disposes of the whole or the greater part of its assets or the undertaking itself. In the case of a special resolution </w:t>
      </w:r>
      <w:hyperlink r:id="rId14" w:anchor="s65" w:tgtFrame="_blank" w:history="1">
        <w:r w:rsidR="002D2868" w:rsidRPr="002D2868">
          <w:rPr>
            <w:rFonts w:ascii="Arial" w:hAnsi="Arial" w:cs="Arial"/>
            <w:sz w:val="22"/>
            <w:szCs w:val="22"/>
            <w:lang w:eastAsia="en-ZA"/>
          </w:rPr>
          <w:t>ss 65(9)</w:t>
        </w:r>
      </w:hyperlink>
      <w:r w:rsidR="002D2868" w:rsidRPr="002D2868">
        <w:rPr>
          <w:rFonts w:ascii="Arial" w:hAnsi="Arial" w:cs="Arial"/>
          <w:sz w:val="22"/>
          <w:szCs w:val="22"/>
          <w:lang w:eastAsia="en-ZA"/>
        </w:rPr>
        <w:t> and (10) stipulate the majority that must be achieved for such a resolution to be passed. Where the company only has a single shareholder</w:t>
      </w:r>
      <w:r w:rsidR="001748E2">
        <w:rPr>
          <w:rFonts w:ascii="Arial" w:hAnsi="Arial" w:cs="Arial"/>
          <w:sz w:val="22"/>
          <w:szCs w:val="22"/>
          <w:lang w:eastAsia="en-ZA"/>
        </w:rPr>
        <w:t>,</w:t>
      </w:r>
      <w:r w:rsidR="002D2868" w:rsidRPr="002D2868">
        <w:rPr>
          <w:rFonts w:ascii="Arial" w:hAnsi="Arial" w:cs="Arial"/>
          <w:sz w:val="22"/>
          <w:szCs w:val="22"/>
          <w:lang w:eastAsia="en-ZA"/>
        </w:rPr>
        <w:t xml:space="preserve"> these requirements become a mere formality. In those circumstances it seems to me that the principle of unanimous consent can be invoked in answer to the appellants’ contention. That principle, long recognised in English company law, from which our courts have received much guidance, was accepted as part of our law relating to companies, under both the 1926 and the 1973 Companies Acts. I can see nothing in the current Act to suggest that the principle no longer finds application. The problems that this court identified in </w:t>
      </w:r>
      <w:r w:rsidR="002D2868" w:rsidRPr="002D2868">
        <w:rPr>
          <w:rFonts w:ascii="Arial" w:hAnsi="Arial" w:cs="Arial"/>
          <w:i/>
          <w:iCs/>
          <w:sz w:val="22"/>
          <w:szCs w:val="22"/>
          <w:lang w:eastAsia="en-ZA"/>
        </w:rPr>
        <w:t>Quadrangle Investments</w:t>
      </w:r>
      <w:r w:rsidR="002D2868" w:rsidRPr="002D2868">
        <w:rPr>
          <w:rFonts w:ascii="Arial" w:hAnsi="Arial" w:cs="Arial"/>
          <w:sz w:val="22"/>
          <w:szCs w:val="22"/>
          <w:lang w:eastAsia="en-ZA"/>
        </w:rPr>
        <w:t> and those identified by Professor Beuthin in his article on the topic</w:t>
      </w:r>
      <w:r w:rsidR="001748E2">
        <w:rPr>
          <w:rFonts w:ascii="Arial" w:hAnsi="Arial" w:cs="Arial"/>
          <w:sz w:val="22"/>
          <w:szCs w:val="22"/>
          <w:lang w:eastAsia="en-ZA"/>
        </w:rPr>
        <w:t xml:space="preserve"> </w:t>
      </w:r>
      <w:r w:rsidR="002D2868" w:rsidRPr="002D2868">
        <w:rPr>
          <w:rFonts w:ascii="Arial" w:hAnsi="Arial" w:cs="Arial"/>
          <w:sz w:val="22"/>
          <w:szCs w:val="22"/>
          <w:lang w:eastAsia="en-ZA"/>
        </w:rPr>
        <w:t>do not arise here to preclude the invocation of the principle.</w:t>
      </w:r>
      <w:r>
        <w:rPr>
          <w:rFonts w:ascii="Arial" w:hAnsi="Arial" w:cs="Arial"/>
          <w:sz w:val="22"/>
          <w:szCs w:val="22"/>
          <w:lang w:eastAsia="en-ZA"/>
        </w:rPr>
        <w:t>’</w:t>
      </w:r>
      <w:r w:rsidR="001748E2">
        <w:rPr>
          <w:rFonts w:ascii="Arial" w:hAnsi="Arial" w:cs="Arial"/>
          <w:sz w:val="22"/>
          <w:szCs w:val="22"/>
          <w:lang w:eastAsia="en-ZA"/>
        </w:rPr>
        <w:t xml:space="preserve"> (Footnotes omitted.)</w:t>
      </w:r>
    </w:p>
    <w:p w14:paraId="486DA0CD" w14:textId="77777777" w:rsidR="002D2868" w:rsidRPr="002D2868" w:rsidRDefault="002D2868" w:rsidP="00695917">
      <w:pPr>
        <w:spacing w:after="160" w:line="360" w:lineRule="auto"/>
        <w:contextualSpacing/>
        <w:jc w:val="both"/>
        <w:rPr>
          <w:rFonts w:ascii="Arial" w:eastAsia="Aptos" w:hAnsi="Arial"/>
          <w:kern w:val="2"/>
          <w:lang w:val="en-ZA" w:eastAsia="en-US"/>
          <w14:ligatures w14:val="standardContextual"/>
        </w:rPr>
      </w:pPr>
    </w:p>
    <w:p w14:paraId="30BEA965" w14:textId="21F5A732"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[23]</w:t>
      </w:r>
      <w:r w:rsidRPr="002D2868">
        <w:rPr>
          <w:rFonts w:ascii="Arial" w:eastAsia="Aptos" w:hAnsi="Arial"/>
          <w:kern w:val="2"/>
          <w:szCs w:val="22"/>
          <w:lang w:val="en-ZA" w:eastAsia="en-US"/>
          <w14:ligatures w14:val="standardContextual"/>
        </w:rPr>
        <w:tab/>
      </w:r>
      <w:r w:rsidR="00A102F4">
        <w:rPr>
          <w:rFonts w:ascii="Arial" w:eastAsia="Aptos" w:hAnsi="Arial"/>
          <w:kern w:val="2"/>
          <w:szCs w:val="22"/>
          <w:lang w:val="en-ZA" w:eastAsia="en-US"/>
          <w14:ligatures w14:val="standardContextual"/>
        </w:rPr>
        <w:t>The contention by the respondents that the formality of special resolution needed to have been complied with accordingly, on the principle about, must fail</w:t>
      </w:r>
      <w:r w:rsidR="002D2868" w:rsidRPr="002D2868">
        <w:rPr>
          <w:rFonts w:ascii="Arial" w:eastAsia="Aptos" w:hAnsi="Arial"/>
          <w:kern w:val="2"/>
          <w:szCs w:val="22"/>
          <w:lang w:val="en-ZA" w:eastAsia="en-US"/>
          <w14:ligatures w14:val="standardContextual"/>
        </w:rPr>
        <w:t xml:space="preserve">. </w:t>
      </w:r>
    </w:p>
    <w:p w14:paraId="1D756820" w14:textId="77777777" w:rsidR="002D2868" w:rsidRPr="002D2868" w:rsidRDefault="002D2868" w:rsidP="00695917">
      <w:pPr>
        <w:spacing w:after="160" w:line="360" w:lineRule="auto"/>
        <w:contextualSpacing/>
        <w:jc w:val="both"/>
        <w:rPr>
          <w:rFonts w:ascii="Arial" w:eastAsia="Aptos" w:hAnsi="Arial"/>
          <w:kern w:val="2"/>
          <w:szCs w:val="22"/>
          <w:lang w:val="en-ZA" w:eastAsia="en-US"/>
          <w14:ligatures w14:val="standardContextual"/>
        </w:rPr>
      </w:pPr>
    </w:p>
    <w:p w14:paraId="3C2864B3" w14:textId="6FD037B2"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[24]</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The further defences raised by the respondents, however, require a more detailed investigation. </w:t>
      </w:r>
    </w:p>
    <w:p w14:paraId="74ABEF08" w14:textId="77777777" w:rsidR="002D2868" w:rsidRPr="002D2868" w:rsidRDefault="002D2868" w:rsidP="00695917">
      <w:pPr>
        <w:spacing w:after="160" w:line="360" w:lineRule="auto"/>
        <w:contextualSpacing/>
        <w:jc w:val="both"/>
        <w:rPr>
          <w:rFonts w:ascii="Arial" w:eastAsia="Aptos" w:hAnsi="Arial"/>
          <w:kern w:val="2"/>
          <w:szCs w:val="22"/>
          <w:lang w:val="en-ZA" w:eastAsia="en-US"/>
          <w14:ligatures w14:val="standardContextual"/>
        </w:rPr>
      </w:pPr>
    </w:p>
    <w:p w14:paraId="02FDF51B" w14:textId="77777777" w:rsidR="002D2868" w:rsidRPr="002D2868" w:rsidRDefault="002D2868" w:rsidP="00F0373D">
      <w:pPr>
        <w:spacing w:after="160" w:line="360" w:lineRule="auto"/>
        <w:contextualSpacing/>
        <w:jc w:val="both"/>
        <w:rPr>
          <w:rFonts w:ascii="Arial" w:eastAsia="Aptos" w:hAnsi="Arial"/>
          <w:kern w:val="2"/>
          <w:szCs w:val="22"/>
          <w:lang w:val="en-ZA" w:eastAsia="en-US"/>
          <w14:ligatures w14:val="standardContextual"/>
        </w:rPr>
      </w:pPr>
      <w:r w:rsidRPr="00F0373D">
        <w:rPr>
          <w:rFonts w:ascii="Arial" w:eastAsia="Aptos" w:hAnsi="Arial"/>
          <w:b/>
          <w:bCs/>
          <w:kern w:val="2"/>
          <w:szCs w:val="22"/>
          <w:lang w:val="en-ZA" w:eastAsia="en-US"/>
          <w14:ligatures w14:val="standardContextual"/>
        </w:rPr>
        <w:t>Suspensive conditions</w:t>
      </w:r>
    </w:p>
    <w:p w14:paraId="63B0AF33" w14:textId="55BDDCE6" w:rsidR="002D2868" w:rsidRPr="001748E2"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1748E2">
        <w:rPr>
          <w:rFonts w:ascii="Arial" w:eastAsia="Aptos" w:hAnsi="Arial"/>
          <w:kern w:val="2"/>
          <w:szCs w:val="22"/>
          <w:lang w:val="en-ZA" w:eastAsia="en-US"/>
          <w14:ligatures w14:val="standardContextual"/>
        </w:rPr>
        <w:t>[25]</w:t>
      </w:r>
      <w:r w:rsidRPr="001748E2">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The respondents contend that the suspensive conditions </w:t>
      </w:r>
      <w:r w:rsidR="005851B9">
        <w:rPr>
          <w:rFonts w:ascii="Arial" w:eastAsia="Aptos" w:hAnsi="Arial"/>
          <w:kern w:val="2"/>
          <w:szCs w:val="22"/>
          <w:lang w:val="en-ZA" w:eastAsia="en-US"/>
          <w14:ligatures w14:val="standardContextual"/>
        </w:rPr>
        <w:t>in</w:t>
      </w:r>
      <w:r w:rsidR="002D2868" w:rsidRPr="002D2868">
        <w:rPr>
          <w:rFonts w:ascii="Arial" w:eastAsia="Aptos" w:hAnsi="Arial"/>
          <w:kern w:val="2"/>
          <w:szCs w:val="22"/>
          <w:lang w:val="en-ZA" w:eastAsia="en-US"/>
          <w14:ligatures w14:val="standardContextual"/>
        </w:rPr>
        <w:t xml:space="preserve"> the agreement were not fulfilled, in particular clause 2.1.8 which specifies:</w:t>
      </w:r>
    </w:p>
    <w:p w14:paraId="0C3E1FAF" w14:textId="77777777" w:rsidR="002D2868" w:rsidRPr="002D2868" w:rsidRDefault="00695917" w:rsidP="00695917">
      <w:pPr>
        <w:spacing w:after="160" w:line="360" w:lineRule="auto"/>
        <w:contextualSpacing/>
        <w:jc w:val="both"/>
        <w:rPr>
          <w:rFonts w:ascii="Arial" w:eastAsia="Aptos" w:hAnsi="Arial"/>
          <w:kern w:val="2"/>
          <w:sz w:val="22"/>
          <w:szCs w:val="22"/>
          <w:lang w:val="en-ZA" w:eastAsia="en-US"/>
          <w14:ligatures w14:val="standardContextual"/>
        </w:rPr>
      </w:pPr>
      <w:r>
        <w:rPr>
          <w:rFonts w:ascii="Arial" w:eastAsia="Aptos" w:hAnsi="Arial"/>
          <w:kern w:val="2"/>
          <w:sz w:val="22"/>
          <w:szCs w:val="22"/>
          <w:lang w:val="en-ZA" w:eastAsia="en-US"/>
          <w14:ligatures w14:val="standardContextual"/>
        </w:rPr>
        <w:t>‘</w:t>
      </w:r>
      <w:r w:rsidR="002D2868" w:rsidRPr="002D2868">
        <w:rPr>
          <w:rFonts w:ascii="Arial" w:eastAsia="Aptos" w:hAnsi="Arial"/>
          <w:kern w:val="2"/>
          <w:sz w:val="22"/>
          <w:szCs w:val="22"/>
          <w:lang w:val="en-ZA" w:eastAsia="en-US"/>
          <w14:ligatures w14:val="standardContextual"/>
        </w:rPr>
        <w:t>That Mr Daryl G Mann ID number … entered into a 12 months consultancy agreement with “the company” and to be the responsible accounting person on the AMO and all other licences.</w:t>
      </w:r>
      <w:r>
        <w:rPr>
          <w:rFonts w:ascii="Arial" w:eastAsia="Aptos" w:hAnsi="Arial"/>
          <w:kern w:val="2"/>
          <w:sz w:val="22"/>
          <w:szCs w:val="22"/>
          <w:lang w:val="en-ZA" w:eastAsia="en-US"/>
          <w14:ligatures w14:val="standardContextual"/>
        </w:rPr>
        <w:t>’</w:t>
      </w:r>
    </w:p>
    <w:p w14:paraId="4652331F" w14:textId="77777777" w:rsidR="002D2868" w:rsidRPr="002D2868" w:rsidRDefault="002D2868" w:rsidP="00695917">
      <w:pPr>
        <w:spacing w:after="160" w:line="360" w:lineRule="auto"/>
        <w:ind w:left="720"/>
        <w:contextualSpacing/>
        <w:jc w:val="both"/>
        <w:rPr>
          <w:rFonts w:ascii="Arial" w:eastAsia="Aptos" w:hAnsi="Arial"/>
          <w:kern w:val="2"/>
          <w:sz w:val="20"/>
          <w:szCs w:val="18"/>
          <w:lang w:val="en-ZA" w:eastAsia="en-US"/>
          <w14:ligatures w14:val="standardContextual"/>
        </w:rPr>
      </w:pPr>
    </w:p>
    <w:p w14:paraId="5A800F17" w14:textId="6D78FE3A"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[26]</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This clause clearly envisages two separate acts to be fulfilled – the conclusion of the consultancy agreement and the appointment of the applicant as the responsible accounting person.</w:t>
      </w:r>
    </w:p>
    <w:p w14:paraId="7DCFD598" w14:textId="77777777" w:rsidR="002D2868" w:rsidRPr="002D2868" w:rsidRDefault="002D2868" w:rsidP="00695917">
      <w:pPr>
        <w:spacing w:after="160" w:line="360" w:lineRule="auto"/>
        <w:contextualSpacing/>
        <w:jc w:val="both"/>
        <w:rPr>
          <w:rFonts w:ascii="Arial" w:eastAsia="Aptos" w:hAnsi="Arial"/>
          <w:kern w:val="2"/>
          <w:szCs w:val="22"/>
          <w:lang w:val="en-ZA" w:eastAsia="en-US"/>
          <w14:ligatures w14:val="standardContextual"/>
        </w:rPr>
      </w:pPr>
    </w:p>
    <w:p w14:paraId="29422C2B" w14:textId="43FD74DC"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[27]</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The predominant focus of the answering affidavit appears to be challenging the fulfilment of the first part of the suspensive condition. This criticism is misplaced on the common cause facts.</w:t>
      </w:r>
    </w:p>
    <w:p w14:paraId="6AA54283"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60F59413" w14:textId="40DB9C06"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[28]</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The respondents agree in the answering affidavit that such agreement was concluded, but thereafter allege</w:t>
      </w:r>
      <w:r w:rsidR="00CE2AC0">
        <w:rPr>
          <w:rFonts w:ascii="Arial" w:eastAsia="Aptos" w:hAnsi="Arial"/>
          <w:kern w:val="2"/>
          <w:szCs w:val="22"/>
          <w:lang w:val="en-ZA" w:eastAsia="en-US"/>
          <w14:ligatures w14:val="standardContextual"/>
        </w:rPr>
        <w:t>s</w:t>
      </w:r>
      <w:r w:rsidR="002D2868" w:rsidRPr="002D2868">
        <w:rPr>
          <w:rFonts w:ascii="Arial" w:eastAsia="Aptos" w:hAnsi="Arial"/>
          <w:kern w:val="2"/>
          <w:szCs w:val="22"/>
          <w:lang w:val="en-ZA" w:eastAsia="en-US"/>
          <w14:ligatures w14:val="standardContextual"/>
        </w:rPr>
        <w:t xml:space="preserve"> breach of the consultancy agreement and premature termination. </w:t>
      </w:r>
    </w:p>
    <w:p w14:paraId="483E79BD" w14:textId="77777777" w:rsidR="002D2868" w:rsidRPr="002D2868" w:rsidRDefault="002D2868" w:rsidP="00695917">
      <w:pPr>
        <w:spacing w:after="160" w:line="360" w:lineRule="auto"/>
        <w:contextualSpacing/>
        <w:jc w:val="both"/>
        <w:rPr>
          <w:rFonts w:ascii="Arial" w:eastAsia="Aptos" w:hAnsi="Arial"/>
          <w:kern w:val="2"/>
          <w:szCs w:val="22"/>
          <w:lang w:val="en-ZA" w:eastAsia="en-US"/>
          <w14:ligatures w14:val="standardContextual"/>
        </w:rPr>
      </w:pPr>
    </w:p>
    <w:p w14:paraId="1FD12386" w14:textId="43020DE3"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[29]</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The reason for the termination of the consultancy agreement forms a dispute of fact on the papers, though one that need not be delved into further. This is because where a suspensive condition is fulfilled, but later the basis for such fulfilment is withdrawn (for example, a financier granting a mortgage bond to a purchaser of an immovable property, and thereafter withdrawing such approval), this does not have the effect in law of undoing an already met suspensive condition.</w:t>
      </w:r>
      <w:r w:rsidR="002D2868" w:rsidRPr="002D2868">
        <w:rPr>
          <w:rFonts w:ascii="Arial" w:eastAsia="Aptos" w:hAnsi="Arial"/>
          <w:kern w:val="2"/>
          <w:szCs w:val="22"/>
          <w:vertAlign w:val="superscript"/>
          <w:lang w:val="en-ZA" w:eastAsia="en-US"/>
          <w14:ligatures w14:val="standardContextual"/>
        </w:rPr>
        <w:footnoteReference w:id="6"/>
      </w:r>
      <w:r w:rsidR="002D2868" w:rsidRPr="002D2868">
        <w:rPr>
          <w:rFonts w:ascii="Arial" w:eastAsia="Aptos" w:hAnsi="Arial"/>
          <w:kern w:val="2"/>
          <w:szCs w:val="22"/>
          <w:lang w:val="en-ZA" w:eastAsia="en-US"/>
          <w14:ligatures w14:val="standardContextual"/>
        </w:rPr>
        <w:t xml:space="preserve">  </w:t>
      </w:r>
    </w:p>
    <w:p w14:paraId="354C99AE"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56B0856C" w14:textId="2E530C0D"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[30]</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As a consequence of this, and even if (without making any such finding) the subsequent conduct of the applicant constituted a breach of the consultancy agreement, this would not have the effect of undoing the fulfilment of th</w:t>
      </w:r>
      <w:r w:rsidR="00E3271B">
        <w:rPr>
          <w:rFonts w:ascii="Arial" w:eastAsia="Aptos" w:hAnsi="Arial"/>
          <w:kern w:val="2"/>
          <w:szCs w:val="22"/>
          <w:lang w:val="en-ZA" w:eastAsia="en-US"/>
          <w14:ligatures w14:val="standardContextual"/>
        </w:rPr>
        <w:t>e first part of s</w:t>
      </w:r>
      <w:r w:rsidR="002D2868" w:rsidRPr="002D2868">
        <w:rPr>
          <w:rFonts w:ascii="Arial" w:eastAsia="Aptos" w:hAnsi="Arial"/>
          <w:kern w:val="2"/>
          <w:szCs w:val="22"/>
          <w:lang w:val="en-ZA" w:eastAsia="en-US"/>
          <w14:ligatures w14:val="standardContextual"/>
        </w:rPr>
        <w:t>uspensive condition</w:t>
      </w:r>
      <w:r w:rsidR="00E3271B">
        <w:rPr>
          <w:rFonts w:ascii="Arial" w:eastAsia="Aptos" w:hAnsi="Arial"/>
          <w:kern w:val="2"/>
          <w:szCs w:val="22"/>
          <w:lang w:val="en-ZA" w:eastAsia="en-US"/>
          <w14:ligatures w14:val="standardContextual"/>
        </w:rPr>
        <w:t xml:space="preserve"> contained in clause 2.1.8</w:t>
      </w:r>
      <w:r w:rsidR="002D2868" w:rsidRPr="002D2868">
        <w:rPr>
          <w:rFonts w:ascii="Arial" w:eastAsia="Aptos" w:hAnsi="Arial"/>
          <w:kern w:val="2"/>
          <w:szCs w:val="22"/>
          <w:lang w:val="en-ZA" w:eastAsia="en-US"/>
          <w14:ligatures w14:val="standardContextual"/>
        </w:rPr>
        <w:t xml:space="preserve">. </w:t>
      </w:r>
    </w:p>
    <w:p w14:paraId="4CFB5893"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6181DF29" w14:textId="4185351A"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[31]</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The second part of</w:t>
      </w:r>
      <w:r w:rsidR="0048432A">
        <w:rPr>
          <w:rFonts w:ascii="Arial" w:eastAsia="Aptos" w:hAnsi="Arial"/>
          <w:kern w:val="2"/>
          <w:szCs w:val="22"/>
          <w:lang w:val="en-ZA" w:eastAsia="en-US"/>
          <w14:ligatures w14:val="standardContextual"/>
        </w:rPr>
        <w:t xml:space="preserve"> the suspensive condition in</w:t>
      </w:r>
      <w:r w:rsidR="002D2868" w:rsidRPr="002D2868">
        <w:rPr>
          <w:rFonts w:ascii="Arial" w:eastAsia="Aptos" w:hAnsi="Arial"/>
          <w:kern w:val="2"/>
          <w:szCs w:val="22"/>
          <w:lang w:val="en-ZA" w:eastAsia="en-US"/>
          <w14:ligatures w14:val="standardContextual"/>
        </w:rPr>
        <w:t xml:space="preserve"> clause 2.1.8, being that the applicant was to “</w:t>
      </w:r>
      <w:r w:rsidR="002D2868" w:rsidRPr="002D2868">
        <w:rPr>
          <w:rFonts w:ascii="Arial" w:eastAsia="Aptos" w:hAnsi="Arial"/>
          <w:i/>
          <w:iCs/>
          <w:kern w:val="2"/>
          <w:szCs w:val="22"/>
          <w:lang w:val="en-ZA" w:eastAsia="en-US"/>
          <w14:ligatures w14:val="standardContextual"/>
        </w:rPr>
        <w:t>be the responsible</w:t>
      </w:r>
      <w:r w:rsidR="00D5614B">
        <w:rPr>
          <w:rFonts w:ascii="Arial" w:eastAsia="Aptos" w:hAnsi="Arial"/>
          <w:i/>
          <w:iCs/>
          <w:kern w:val="2"/>
          <w:szCs w:val="22"/>
          <w:lang w:val="en-ZA" w:eastAsia="en-US"/>
          <w14:ligatures w14:val="standardContextual"/>
        </w:rPr>
        <w:t xml:space="preserve"> </w:t>
      </w:r>
      <w:r w:rsidR="002D2868" w:rsidRPr="002D2868">
        <w:rPr>
          <w:rFonts w:ascii="Arial" w:eastAsia="Aptos" w:hAnsi="Arial"/>
          <w:i/>
          <w:iCs/>
          <w:kern w:val="2"/>
          <w:szCs w:val="22"/>
          <w:lang w:val="en-ZA" w:eastAsia="en-US"/>
          <w14:ligatures w14:val="standardContextual"/>
        </w:rPr>
        <w:t>accounting person on the AMO and all other licences</w:t>
      </w:r>
      <w:r w:rsidR="002D2868" w:rsidRPr="002D2868">
        <w:rPr>
          <w:rFonts w:ascii="Arial" w:eastAsia="Aptos" w:hAnsi="Arial"/>
          <w:kern w:val="2"/>
          <w:szCs w:val="22"/>
          <w:lang w:val="en-ZA" w:eastAsia="en-US"/>
          <w14:ligatures w14:val="standardContextual"/>
        </w:rPr>
        <w:t xml:space="preserve">”, is more contentious. </w:t>
      </w:r>
    </w:p>
    <w:p w14:paraId="4E5B06FA"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152791EB" w14:textId="306F8670"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[32]</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Annexed to the answering affidavit is a letter sent by the Civil Aviation Authority dated 12 November 2021, where </w:t>
      </w:r>
      <w:r w:rsidR="00024365">
        <w:rPr>
          <w:rFonts w:ascii="Arial" w:eastAsia="Aptos" w:hAnsi="Arial"/>
          <w:kern w:val="2"/>
          <w:szCs w:val="22"/>
          <w:lang w:val="en-ZA" w:eastAsia="en-US"/>
          <w14:ligatures w14:val="standardContextual"/>
        </w:rPr>
        <w:t>it</w:t>
      </w:r>
      <w:r w:rsidR="002D2868" w:rsidRPr="002D2868">
        <w:rPr>
          <w:rFonts w:ascii="Arial" w:eastAsia="Aptos" w:hAnsi="Arial"/>
          <w:kern w:val="2"/>
          <w:szCs w:val="22"/>
          <w:lang w:val="en-ZA" w:eastAsia="en-US"/>
          <w14:ligatures w14:val="standardContextual"/>
        </w:rPr>
        <w:t xml:space="preserve"> notes the change in directorship of the first respondent and the failure to register a new accountable manager, the same constituting an offenc</w:t>
      </w:r>
      <w:r w:rsidR="0068634D">
        <w:rPr>
          <w:rFonts w:ascii="Arial" w:eastAsia="Aptos" w:hAnsi="Arial"/>
          <w:kern w:val="2"/>
          <w:szCs w:val="22"/>
          <w:lang w:val="en-ZA" w:eastAsia="en-US"/>
          <w14:ligatures w14:val="standardContextual"/>
        </w:rPr>
        <w:t>e.</w:t>
      </w:r>
      <w:r w:rsidR="002D2868" w:rsidRPr="002D2868">
        <w:rPr>
          <w:rFonts w:ascii="Arial" w:eastAsia="Aptos" w:hAnsi="Arial"/>
          <w:kern w:val="2"/>
          <w:szCs w:val="22"/>
          <w:lang w:val="en-ZA" w:eastAsia="en-US"/>
          <w14:ligatures w14:val="standardContextual"/>
        </w:rPr>
        <w:t xml:space="preserve">  </w:t>
      </w:r>
    </w:p>
    <w:p w14:paraId="2A15A9D5"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1C211278" w14:textId="26CD6384"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[33]</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Th</w:t>
      </w:r>
      <w:r w:rsidR="0068634D">
        <w:rPr>
          <w:rFonts w:ascii="Arial" w:eastAsia="Aptos" w:hAnsi="Arial"/>
          <w:kern w:val="2"/>
          <w:szCs w:val="22"/>
          <w:lang w:val="en-ZA" w:eastAsia="en-US"/>
          <w14:ligatures w14:val="standardContextual"/>
        </w:rPr>
        <w:t>e</w:t>
      </w:r>
      <w:r w:rsidR="002D2868" w:rsidRPr="002D2868">
        <w:rPr>
          <w:rFonts w:ascii="Arial" w:eastAsia="Aptos" w:hAnsi="Arial"/>
          <w:kern w:val="2"/>
          <w:szCs w:val="22"/>
          <w:lang w:val="en-ZA" w:eastAsia="en-US"/>
          <w14:ligatures w14:val="standardContextual"/>
        </w:rPr>
        <w:t xml:space="preserve"> approval from the Civil Aviation Authority</w:t>
      </w:r>
      <w:r w:rsidR="0068634D">
        <w:rPr>
          <w:rFonts w:ascii="Arial" w:eastAsia="Aptos" w:hAnsi="Arial"/>
          <w:kern w:val="2"/>
          <w:szCs w:val="22"/>
          <w:lang w:val="en-ZA" w:eastAsia="en-US"/>
          <w14:ligatures w14:val="standardContextual"/>
        </w:rPr>
        <w:t xml:space="preserve"> to the transfer of the shareholding</w:t>
      </w:r>
      <w:r w:rsidR="002D2868" w:rsidRPr="002D2868">
        <w:rPr>
          <w:rFonts w:ascii="Arial" w:eastAsia="Aptos" w:hAnsi="Arial"/>
          <w:kern w:val="2"/>
          <w:szCs w:val="22"/>
          <w:lang w:val="en-ZA" w:eastAsia="en-US"/>
          <w14:ligatures w14:val="standardContextual"/>
        </w:rPr>
        <w:t xml:space="preserve"> appears to have been later obtained on 30 June 2022.  </w:t>
      </w:r>
    </w:p>
    <w:p w14:paraId="3BCE4103"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72A0EB80" w14:textId="5FE31C9C" w:rsidR="002D2868" w:rsidRPr="001748E2"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1748E2">
        <w:rPr>
          <w:rFonts w:ascii="Arial" w:eastAsia="Aptos" w:hAnsi="Arial"/>
          <w:kern w:val="2"/>
          <w:szCs w:val="22"/>
          <w:lang w:val="en-ZA" w:eastAsia="en-US"/>
          <w14:ligatures w14:val="standardContextual"/>
        </w:rPr>
        <w:t>[34]</w:t>
      </w:r>
      <w:r w:rsidRPr="001748E2">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In response to the allegations relating to the failure to appoint</w:t>
      </w:r>
      <w:r w:rsidR="0085572A">
        <w:rPr>
          <w:rFonts w:ascii="Arial" w:eastAsia="Aptos" w:hAnsi="Arial"/>
          <w:kern w:val="2"/>
          <w:szCs w:val="22"/>
          <w:lang w:val="en-ZA" w:eastAsia="en-US"/>
          <w14:ligatures w14:val="standardContextual"/>
        </w:rPr>
        <w:t xml:space="preserve"> a</w:t>
      </w:r>
      <w:r w:rsidR="00F12E6D">
        <w:rPr>
          <w:rFonts w:ascii="Arial" w:eastAsia="Aptos" w:hAnsi="Arial"/>
          <w:kern w:val="2"/>
          <w:szCs w:val="22"/>
          <w:lang w:val="en-ZA" w:eastAsia="en-US"/>
          <w14:ligatures w14:val="standardContextual"/>
        </w:rPr>
        <w:t xml:space="preserve">n </w:t>
      </w:r>
      <w:r w:rsidR="0085572A">
        <w:rPr>
          <w:rFonts w:ascii="Arial" w:eastAsia="Aptos" w:hAnsi="Arial"/>
          <w:kern w:val="2"/>
          <w:szCs w:val="22"/>
          <w:lang w:val="en-ZA" w:eastAsia="en-US"/>
          <w14:ligatures w14:val="standardContextual"/>
        </w:rPr>
        <w:t xml:space="preserve">accountable </w:t>
      </w:r>
      <w:r w:rsidR="0009327E">
        <w:rPr>
          <w:rFonts w:ascii="Arial" w:eastAsia="Aptos" w:hAnsi="Arial"/>
          <w:kern w:val="2"/>
          <w:szCs w:val="22"/>
          <w:lang w:val="en-ZA" w:eastAsia="en-US"/>
          <w14:ligatures w14:val="standardContextual"/>
        </w:rPr>
        <w:t>manager</w:t>
      </w:r>
      <w:r w:rsidR="00F12E6D">
        <w:rPr>
          <w:rFonts w:ascii="Arial" w:eastAsia="Aptos" w:hAnsi="Arial"/>
          <w:kern w:val="2"/>
          <w:szCs w:val="22"/>
          <w:lang w:val="en-ZA" w:eastAsia="en-US"/>
          <w14:ligatures w14:val="standardContextual"/>
        </w:rPr>
        <w:t xml:space="preserve"> as envisaged by the Regulations to the Aviation Act</w:t>
      </w:r>
      <w:r w:rsidR="002D2868" w:rsidRPr="002D2868">
        <w:rPr>
          <w:rFonts w:ascii="Arial" w:eastAsia="Aptos" w:hAnsi="Arial"/>
          <w:kern w:val="2"/>
          <w:szCs w:val="22"/>
          <w:lang w:val="en-ZA" w:eastAsia="en-US"/>
          <w14:ligatures w14:val="standardContextual"/>
        </w:rPr>
        <w:t>, the applicant himself states:</w:t>
      </w:r>
      <w:r w:rsidR="002D2868" w:rsidRPr="002D2868">
        <w:rPr>
          <w:rFonts w:ascii="Arial" w:eastAsia="Aptos" w:hAnsi="Arial"/>
          <w:kern w:val="2"/>
          <w:szCs w:val="22"/>
          <w:vertAlign w:val="superscript"/>
          <w:lang w:val="en-ZA" w:eastAsia="en-US"/>
          <w14:ligatures w14:val="standardContextual"/>
        </w:rPr>
        <w:footnoteReference w:id="7"/>
      </w:r>
    </w:p>
    <w:p w14:paraId="22777E6B" w14:textId="77777777" w:rsidR="002D2868" w:rsidRPr="002D2868" w:rsidRDefault="00695917" w:rsidP="00695917">
      <w:pPr>
        <w:spacing w:after="160" w:line="360" w:lineRule="auto"/>
        <w:ind w:left="567" w:hanging="567"/>
        <w:jc w:val="both"/>
        <w:rPr>
          <w:rFonts w:ascii="Arial" w:eastAsia="Aptos" w:hAnsi="Arial"/>
          <w:kern w:val="2"/>
          <w:sz w:val="22"/>
          <w:szCs w:val="22"/>
          <w:lang w:val="en-ZA" w:eastAsia="en-US"/>
          <w14:ligatures w14:val="standardContextual"/>
        </w:rPr>
      </w:pPr>
      <w:r>
        <w:rPr>
          <w:rFonts w:ascii="Arial" w:eastAsia="Aptos" w:hAnsi="Arial"/>
          <w:kern w:val="2"/>
          <w:sz w:val="22"/>
          <w:szCs w:val="22"/>
          <w:lang w:val="en-ZA" w:eastAsia="en-US"/>
          <w14:ligatures w14:val="standardContextual"/>
        </w:rPr>
        <w:t>‘</w:t>
      </w:r>
      <w:r w:rsidR="002D2868" w:rsidRPr="002D2868">
        <w:rPr>
          <w:rFonts w:ascii="Arial" w:eastAsia="Aptos" w:hAnsi="Arial"/>
          <w:kern w:val="2"/>
          <w:sz w:val="22"/>
          <w:szCs w:val="22"/>
          <w:lang w:val="en-ZA" w:eastAsia="en-US"/>
          <w14:ligatures w14:val="standardContextual"/>
        </w:rPr>
        <w:t>28</w:t>
      </w:r>
      <w:r w:rsidR="002D2868" w:rsidRPr="002D2868">
        <w:rPr>
          <w:rFonts w:ascii="Arial" w:eastAsia="Aptos" w:hAnsi="Arial"/>
          <w:kern w:val="2"/>
          <w:sz w:val="22"/>
          <w:szCs w:val="22"/>
          <w:lang w:val="en-ZA" w:eastAsia="en-US"/>
          <w14:ligatures w14:val="standardContextual"/>
        </w:rPr>
        <w:tab/>
        <w:t xml:space="preserve">This is not a process that can be undertaken unilaterally by a person.  There has to be an application to the Civil Aviation Authority by the relevant aircraft maintenance organisation and not by the individual. </w:t>
      </w:r>
    </w:p>
    <w:p w14:paraId="5D399E85" w14:textId="77777777" w:rsidR="002D2868" w:rsidRPr="002D2868" w:rsidRDefault="002D2868" w:rsidP="00695917">
      <w:pPr>
        <w:spacing w:after="160" w:line="360" w:lineRule="auto"/>
        <w:ind w:left="567" w:hanging="567"/>
        <w:jc w:val="both"/>
        <w:rPr>
          <w:rFonts w:ascii="Arial" w:eastAsia="Aptos" w:hAnsi="Arial"/>
          <w:kern w:val="2"/>
          <w:sz w:val="22"/>
          <w:szCs w:val="22"/>
          <w:lang w:val="en-ZA" w:eastAsia="en-US"/>
          <w14:ligatures w14:val="standardContextual"/>
        </w:rPr>
      </w:pPr>
      <w:r w:rsidRPr="002D2868">
        <w:rPr>
          <w:rFonts w:ascii="Arial" w:eastAsia="Aptos" w:hAnsi="Arial"/>
          <w:kern w:val="2"/>
          <w:sz w:val="22"/>
          <w:szCs w:val="22"/>
          <w:lang w:val="en-ZA" w:eastAsia="en-US"/>
          <w14:ligatures w14:val="standardContextual"/>
        </w:rPr>
        <w:t>29</w:t>
      </w:r>
      <w:r w:rsidRPr="002D2868">
        <w:rPr>
          <w:rFonts w:ascii="Arial" w:eastAsia="Aptos" w:hAnsi="Arial"/>
          <w:kern w:val="2"/>
          <w:sz w:val="22"/>
          <w:szCs w:val="22"/>
          <w:lang w:val="en-ZA" w:eastAsia="en-US"/>
          <w14:ligatures w14:val="standardContextual"/>
        </w:rPr>
        <w:tab/>
        <w:t>It was therefore up to Aero Natal to process the documents for me to become a responsible person but at the very least, from the day my consultancy agreement was terminated, any steps that were being taken in that regard simply, fell away.</w:t>
      </w:r>
      <w:r w:rsidR="00695917">
        <w:rPr>
          <w:rFonts w:ascii="Arial" w:eastAsia="Aptos" w:hAnsi="Arial"/>
          <w:kern w:val="2"/>
          <w:sz w:val="22"/>
          <w:szCs w:val="22"/>
          <w:lang w:val="en-ZA" w:eastAsia="en-US"/>
          <w14:ligatures w14:val="standardContextual"/>
        </w:rPr>
        <w:t>’</w:t>
      </w:r>
    </w:p>
    <w:p w14:paraId="06833162" w14:textId="77777777" w:rsidR="0080032D" w:rsidRPr="002D2868" w:rsidRDefault="0080032D" w:rsidP="0080032D">
      <w:pPr>
        <w:spacing w:after="160" w:line="360" w:lineRule="auto"/>
        <w:contextualSpacing/>
        <w:jc w:val="both"/>
        <w:rPr>
          <w:rFonts w:ascii="Arial" w:eastAsia="Aptos" w:hAnsi="Arial"/>
          <w:kern w:val="2"/>
          <w:szCs w:val="22"/>
          <w:lang w:val="en-ZA" w:eastAsia="en-US"/>
          <w14:ligatures w14:val="standardContextual"/>
        </w:rPr>
      </w:pPr>
    </w:p>
    <w:p w14:paraId="720A20A4" w14:textId="6124E7F2" w:rsidR="0080032D" w:rsidRPr="00C3607A" w:rsidRDefault="00C3607A" w:rsidP="00C3607A">
      <w:pPr>
        <w:spacing w:after="160" w:line="360" w:lineRule="auto"/>
        <w:ind w:left="720" w:hanging="720"/>
        <w:jc w:val="both"/>
        <w:rPr>
          <w:rFonts w:ascii="Arial" w:eastAsia="Aptos" w:hAnsi="Arial"/>
          <w:kern w:val="2"/>
          <w:szCs w:val="22"/>
          <w:lang w:val="en-ZA" w:eastAsia="en-US"/>
          <w14:ligatures w14:val="standardContextual"/>
        </w:rPr>
      </w:pPr>
      <w:r w:rsidRPr="0080032D">
        <w:rPr>
          <w:rFonts w:ascii="Arial" w:eastAsia="Aptos" w:hAnsi="Arial"/>
          <w:kern w:val="2"/>
          <w:szCs w:val="22"/>
          <w:lang w:val="en-ZA" w:eastAsia="en-US"/>
          <w14:ligatures w14:val="standardContextual"/>
        </w:rPr>
        <w:t>[35]</w:t>
      </w:r>
      <w:r w:rsidRPr="0080032D">
        <w:rPr>
          <w:rFonts w:ascii="Arial" w:eastAsia="Aptos" w:hAnsi="Arial"/>
          <w:kern w:val="2"/>
          <w:szCs w:val="22"/>
          <w:lang w:val="en-ZA" w:eastAsia="en-US"/>
          <w14:ligatures w14:val="standardContextual"/>
        </w:rPr>
        <w:tab/>
      </w:r>
      <w:r w:rsidR="0080032D" w:rsidRPr="00C3607A">
        <w:rPr>
          <w:rFonts w:ascii="Arial" w:eastAsia="Aptos" w:hAnsi="Arial"/>
          <w:kern w:val="2"/>
          <w:szCs w:val="22"/>
          <w:lang w:val="en-ZA" w:eastAsia="en-US"/>
          <w14:ligatures w14:val="standardContextual"/>
        </w:rPr>
        <w:t>These are the difficulties with this argument:</w:t>
      </w:r>
    </w:p>
    <w:p w14:paraId="09931B95" w14:textId="77777777" w:rsidR="0080032D" w:rsidRPr="0080032D" w:rsidRDefault="0080032D" w:rsidP="0080032D">
      <w:pPr>
        <w:pStyle w:val="ListParagraph"/>
        <w:spacing w:after="160" w:line="360" w:lineRule="auto"/>
        <w:ind w:hanging="720"/>
        <w:jc w:val="both"/>
        <w:rPr>
          <w:rFonts w:ascii="Arial" w:eastAsia="Aptos" w:hAnsi="Arial"/>
          <w:kern w:val="2"/>
          <w:szCs w:val="22"/>
          <w:lang w:val="en-ZA" w:eastAsia="en-US"/>
          <w14:ligatures w14:val="standardContextual"/>
        </w:rPr>
      </w:pPr>
      <w:r w:rsidRPr="0080032D">
        <w:rPr>
          <w:rFonts w:ascii="Arial" w:eastAsia="Aptos" w:hAnsi="Arial"/>
          <w:kern w:val="2"/>
          <w:szCs w:val="22"/>
          <w:lang w:val="en-ZA" w:eastAsia="en-US"/>
          <w14:ligatures w14:val="standardContextual"/>
        </w:rPr>
        <w:t>(a) Clause 2.3 of the agreement expressly records that the suspensive conditions are for the benefit of the purchaser, being the second respondent; and</w:t>
      </w:r>
    </w:p>
    <w:p w14:paraId="6B95DB19" w14:textId="77777777" w:rsidR="0080032D" w:rsidRDefault="0080032D" w:rsidP="0080032D">
      <w:pPr>
        <w:pStyle w:val="ListParagraph"/>
        <w:spacing w:after="160" w:line="360" w:lineRule="auto"/>
        <w:ind w:hanging="720"/>
        <w:jc w:val="both"/>
        <w:rPr>
          <w:rFonts w:ascii="Arial" w:eastAsia="Aptos" w:hAnsi="Arial"/>
          <w:kern w:val="2"/>
          <w:szCs w:val="22"/>
          <w:lang w:val="en-ZA" w:eastAsia="en-US"/>
          <w14:ligatures w14:val="standardContextual"/>
        </w:rPr>
      </w:pPr>
      <w:r w:rsidRPr="0080032D">
        <w:rPr>
          <w:rFonts w:ascii="Arial" w:eastAsia="Aptos" w:hAnsi="Arial"/>
          <w:kern w:val="2"/>
          <w:szCs w:val="22"/>
          <w:lang w:val="en-ZA" w:eastAsia="en-US"/>
          <w14:ligatures w14:val="standardContextual"/>
        </w:rPr>
        <w:t>(b) clause 2.4 of the agreement seems to restrict the ability of the second respondent to waive fulfilment of the suspensive conditions save if written notice is given by the second respondent to the applicant by no later than 5 November 2021 (save for suspensive condition 2.1.2, which is uncontentious).</w:t>
      </w:r>
    </w:p>
    <w:p w14:paraId="6F034238" w14:textId="77777777" w:rsidR="0080032D" w:rsidRDefault="0080032D" w:rsidP="0080032D">
      <w:pPr>
        <w:pStyle w:val="ListParagraph"/>
        <w:spacing w:after="160" w:line="360" w:lineRule="auto"/>
        <w:ind w:hanging="720"/>
        <w:jc w:val="both"/>
        <w:rPr>
          <w:rFonts w:ascii="Arial" w:eastAsia="Aptos" w:hAnsi="Arial"/>
          <w:kern w:val="2"/>
          <w:szCs w:val="22"/>
          <w:lang w:val="en-ZA" w:eastAsia="en-US"/>
          <w14:ligatures w14:val="standardContextual"/>
        </w:rPr>
      </w:pPr>
    </w:p>
    <w:p w14:paraId="6B104D29" w14:textId="2A2769C0"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[36]</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Whether a suspensive condition is met or not is a factual enquiry. That it may have been up to the first respondent to assist in this process does not change that on the applicant’s own version the suspensive condition was not fulfilled. </w:t>
      </w:r>
    </w:p>
    <w:p w14:paraId="6B6D109C"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52230E1B" w14:textId="000A673E"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[37]</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There is further no suggestion made, nor could there be, that fictional fulfilment would apply in the circumstances considering the first respondent is not a party to the second sale of shares agreement.</w:t>
      </w:r>
    </w:p>
    <w:p w14:paraId="25E10F22"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460E3F5A" w14:textId="3ADE5FB5"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[38]</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The contention that the suspensive conditions must be regarded as having been met, as was presented in the heads of argument, because both parties are seeking the enforcement of the agreement would be to ignore the express wording of the contract. </w:t>
      </w:r>
    </w:p>
    <w:p w14:paraId="2BA13BC9"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637F4A8F" w14:textId="495E1F2A"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[39]</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Considering it is common cause that the applicant was not so appointed as the responsible accounting person as envisaged by clause 2.1.8 of the agreement, the suspensive condition was not met and consequently the agreement is void.</w:t>
      </w:r>
    </w:p>
    <w:p w14:paraId="255C4729"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6022C95B" w14:textId="6A152CA1"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[40]</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On the strength of this finding, the</w:t>
      </w:r>
      <w:r w:rsidR="0080032D">
        <w:rPr>
          <w:rFonts w:ascii="Arial" w:eastAsia="Aptos" w:hAnsi="Arial"/>
          <w:kern w:val="2"/>
          <w:szCs w:val="22"/>
          <w:lang w:val="en-ZA" w:eastAsia="en-US"/>
          <w14:ligatures w14:val="standardContextual"/>
        </w:rPr>
        <w:t xml:space="preserve"> remainder</w:t>
      </w:r>
      <w:r w:rsidR="002D2868" w:rsidRPr="002D2868">
        <w:rPr>
          <w:rFonts w:ascii="Arial" w:eastAsia="Aptos" w:hAnsi="Arial"/>
          <w:kern w:val="2"/>
          <w:szCs w:val="22"/>
          <w:lang w:val="en-ZA" w:eastAsia="en-US"/>
          <w14:ligatures w14:val="standardContextual"/>
        </w:rPr>
        <w:t xml:space="preserve"> of the applicant’s relief must fail. </w:t>
      </w:r>
    </w:p>
    <w:p w14:paraId="3193A39E"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07F8AC09" w14:textId="691F1FD5"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[41]</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That said, and for the sake of completeness, the balance of the contentions between the parties shall nonetheless be dealt with. </w:t>
      </w:r>
    </w:p>
    <w:p w14:paraId="69EC7B42" w14:textId="77777777" w:rsidR="002D2868" w:rsidRPr="002D2868" w:rsidRDefault="002D2868" w:rsidP="00695917">
      <w:pPr>
        <w:spacing w:after="160" w:line="360" w:lineRule="auto"/>
        <w:contextualSpacing/>
        <w:jc w:val="both"/>
        <w:rPr>
          <w:rFonts w:ascii="Arial" w:eastAsia="Aptos" w:hAnsi="Arial"/>
          <w:kern w:val="2"/>
          <w:szCs w:val="22"/>
          <w:lang w:val="en-ZA" w:eastAsia="en-US"/>
          <w14:ligatures w14:val="standardContextual"/>
        </w:rPr>
      </w:pPr>
    </w:p>
    <w:p w14:paraId="30417057" w14:textId="77777777" w:rsidR="002D2868" w:rsidRPr="001748E2" w:rsidRDefault="002D2868" w:rsidP="001748E2">
      <w:pPr>
        <w:spacing w:after="160" w:line="360" w:lineRule="auto"/>
        <w:contextualSpacing/>
        <w:jc w:val="both"/>
        <w:rPr>
          <w:rFonts w:ascii="Arial" w:eastAsia="Aptos" w:hAnsi="Arial"/>
          <w:b/>
          <w:bCs/>
          <w:kern w:val="2"/>
          <w:szCs w:val="22"/>
          <w:lang w:val="en-ZA" w:eastAsia="en-US"/>
          <w14:ligatures w14:val="standardContextual"/>
        </w:rPr>
      </w:pPr>
      <w:r w:rsidRPr="001748E2">
        <w:rPr>
          <w:rFonts w:ascii="Arial" w:eastAsia="Aptos" w:hAnsi="Arial"/>
          <w:b/>
          <w:bCs/>
          <w:kern w:val="2"/>
          <w:szCs w:val="22"/>
          <w:lang w:val="en-ZA" w:eastAsia="en-US"/>
          <w14:ligatures w14:val="standardContextual"/>
        </w:rPr>
        <w:t>Who are the parties to the second sale of shares agreement</w:t>
      </w:r>
      <w:r w:rsidR="001748E2">
        <w:rPr>
          <w:rFonts w:ascii="Arial" w:eastAsia="Aptos" w:hAnsi="Arial"/>
          <w:b/>
          <w:bCs/>
          <w:kern w:val="2"/>
          <w:szCs w:val="22"/>
          <w:lang w:val="en-ZA" w:eastAsia="en-US"/>
          <w14:ligatures w14:val="standardContextual"/>
        </w:rPr>
        <w:t>?</w:t>
      </w:r>
    </w:p>
    <w:p w14:paraId="597F7985" w14:textId="16A23D87"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[42]</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Clause 14 of the second sale of shares agreement detailed above, being the foundation of the applicant’s claim to the entitlement of ownership of the three aircraft and the immovable property, will state in its rectified form that in the event of breach, the aircraft and the immovable property may be taken for the applicant’s own benefit and ownership up to the value of the amounts stipulated in clause 4.1.3 being an amount of </w:t>
      </w:r>
      <w:r w:rsidR="0080032D">
        <w:rPr>
          <w:rFonts w:ascii="Arial" w:eastAsia="Aptos" w:hAnsi="Arial"/>
          <w:kern w:val="2"/>
          <w:szCs w:val="22"/>
          <w:lang w:val="en-ZA" w:eastAsia="en-US"/>
          <w14:ligatures w14:val="standardContextual"/>
        </w:rPr>
        <w:t>R5,2 million</w:t>
      </w:r>
      <w:r w:rsidR="002D2868" w:rsidRPr="002D2868">
        <w:rPr>
          <w:rFonts w:ascii="Arial" w:eastAsia="Aptos" w:hAnsi="Arial"/>
          <w:kern w:val="2"/>
          <w:szCs w:val="22"/>
          <w:lang w:val="en-ZA" w:eastAsia="en-US"/>
          <w14:ligatures w14:val="standardContextual"/>
        </w:rPr>
        <w:t>.</w:t>
      </w:r>
    </w:p>
    <w:p w14:paraId="0A65BAD6" w14:textId="77777777" w:rsidR="002D2868" w:rsidRPr="002D2868" w:rsidRDefault="002D2868" w:rsidP="00695917">
      <w:pPr>
        <w:spacing w:after="160" w:line="360" w:lineRule="auto"/>
        <w:contextualSpacing/>
        <w:jc w:val="both"/>
        <w:rPr>
          <w:rFonts w:ascii="Arial" w:eastAsia="Aptos" w:hAnsi="Arial"/>
          <w:kern w:val="2"/>
          <w:szCs w:val="22"/>
          <w:lang w:val="en-ZA" w:eastAsia="en-US"/>
          <w14:ligatures w14:val="standardContextual"/>
        </w:rPr>
      </w:pPr>
    </w:p>
    <w:p w14:paraId="7BBD5D35" w14:textId="4EE086DA"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[43]</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Again, there is no dispute that the three aircraft listed </w:t>
      </w:r>
      <w:r w:rsidR="0080032D">
        <w:rPr>
          <w:rFonts w:ascii="Arial" w:eastAsia="Aptos" w:hAnsi="Arial"/>
          <w:kern w:val="2"/>
          <w:szCs w:val="22"/>
          <w:lang w:val="en-ZA" w:eastAsia="en-US"/>
          <w14:ligatures w14:val="standardContextual"/>
        </w:rPr>
        <w:t>in the agreement</w:t>
      </w:r>
      <w:r w:rsidR="002D2868" w:rsidRPr="002D2868">
        <w:rPr>
          <w:rFonts w:ascii="Arial" w:eastAsia="Aptos" w:hAnsi="Arial"/>
          <w:kern w:val="2"/>
          <w:szCs w:val="22"/>
          <w:lang w:val="en-ZA" w:eastAsia="en-US"/>
          <w14:ligatures w14:val="standardContextual"/>
        </w:rPr>
        <w:t xml:space="preserve"> are owned by the first respondent, whereas the immovable property is owned by the second respondent.  </w:t>
      </w:r>
    </w:p>
    <w:p w14:paraId="2AADC6AC"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67AB773E" w14:textId="6F349261" w:rsidR="00896041" w:rsidRDefault="00C3607A" w:rsidP="00C3607A">
      <w:pPr>
        <w:spacing w:after="160" w:line="360" w:lineRule="auto"/>
        <w:contextualSpacing/>
        <w:jc w:val="both"/>
        <w:rPr>
          <w:rFonts w:ascii="Arial" w:eastAsia="Aptos" w:hAnsi="Arial"/>
          <w:kern w:val="2"/>
          <w:szCs w:val="22"/>
          <w:lang w:val="en-ZA" w:eastAsia="en-US"/>
          <w14:ligatures w14:val="standardContextual"/>
        </w:rPr>
      </w:pPr>
      <w:r>
        <w:rPr>
          <w:rFonts w:ascii="Arial" w:eastAsia="Aptos" w:hAnsi="Arial"/>
          <w:kern w:val="2"/>
          <w:szCs w:val="22"/>
          <w:lang w:val="en-ZA" w:eastAsia="en-US"/>
          <w14:ligatures w14:val="standardContextual"/>
        </w:rPr>
        <w:t>[44]</w:t>
      </w:r>
      <w:r>
        <w:rPr>
          <w:rFonts w:ascii="Arial" w:eastAsia="Aptos" w:hAnsi="Arial"/>
          <w:kern w:val="2"/>
          <w:szCs w:val="22"/>
          <w:lang w:val="en-ZA" w:eastAsia="en-US"/>
          <w14:ligatures w14:val="standardContextual"/>
        </w:rPr>
        <w:tab/>
      </w:r>
      <w:r w:rsidR="002D2868" w:rsidRPr="00CD27CF">
        <w:rPr>
          <w:rFonts w:ascii="Arial" w:eastAsia="Aptos" w:hAnsi="Arial"/>
          <w:kern w:val="2"/>
          <w:szCs w:val="22"/>
          <w:lang w:val="en-ZA" w:eastAsia="en-US"/>
          <w14:ligatures w14:val="standardContextual"/>
        </w:rPr>
        <w:t xml:space="preserve">One of the disputes that has arisen between the parties, </w:t>
      </w:r>
      <w:r w:rsidR="00CD27CF" w:rsidRPr="00CD27CF">
        <w:rPr>
          <w:rFonts w:ascii="Arial" w:eastAsia="Aptos" w:hAnsi="Arial"/>
          <w:kern w:val="2"/>
          <w:szCs w:val="22"/>
          <w:lang w:val="en-ZA" w:eastAsia="en-US"/>
          <w14:ligatures w14:val="standardContextual"/>
        </w:rPr>
        <w:t>is whether the second sale of shares agreement is enforceable against the first respondent. The challenge by the respondents is that the first respondent is not a party to the second sale of shares agreement and, consequently, it does not create any obligations for the first respondent</w:t>
      </w:r>
      <w:r w:rsidR="00CD27CF">
        <w:rPr>
          <w:rFonts w:ascii="Arial" w:eastAsia="Aptos" w:hAnsi="Arial"/>
          <w:kern w:val="2"/>
          <w:szCs w:val="22"/>
          <w:lang w:val="en-ZA" w:eastAsia="en-US"/>
          <w14:ligatures w14:val="standardContextual"/>
        </w:rPr>
        <w:t>, including the obligation to deliver the aircraft in the event of default by the second respondent with its payment obligations owed to the applicant.</w:t>
      </w:r>
    </w:p>
    <w:p w14:paraId="380A7FA8" w14:textId="77777777" w:rsidR="00CD27CF" w:rsidRDefault="00CD27CF" w:rsidP="00CD27CF">
      <w:pPr>
        <w:pStyle w:val="ListParagraph"/>
        <w:rPr>
          <w:rFonts w:ascii="Arial" w:eastAsia="Aptos" w:hAnsi="Arial"/>
          <w:kern w:val="2"/>
          <w:szCs w:val="22"/>
          <w:lang w:val="en-ZA" w:eastAsia="en-US"/>
          <w14:ligatures w14:val="standardContextual"/>
        </w:rPr>
      </w:pPr>
    </w:p>
    <w:p w14:paraId="05D02CB9" w14:textId="7CD414F2"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[45]</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As stated at the outset, the agreement of cancelation was signed by</w:t>
      </w:r>
      <w:r w:rsidR="00896041">
        <w:rPr>
          <w:rFonts w:ascii="Arial" w:eastAsia="Aptos" w:hAnsi="Arial"/>
          <w:kern w:val="2"/>
          <w:szCs w:val="22"/>
          <w:lang w:val="en-ZA" w:eastAsia="en-US"/>
          <w14:ligatures w14:val="standardContextual"/>
        </w:rPr>
        <w:t xml:space="preserve"> the respondents</w:t>
      </w:r>
      <w:r w:rsidR="002D2868" w:rsidRPr="002D2868">
        <w:rPr>
          <w:rFonts w:ascii="Arial" w:eastAsia="Aptos" w:hAnsi="Arial"/>
          <w:kern w:val="2"/>
          <w:szCs w:val="22"/>
          <w:lang w:val="en-ZA" w:eastAsia="en-US"/>
          <w14:ligatures w14:val="standardContextual"/>
        </w:rPr>
        <w:t xml:space="preserve"> and the Fairways Trust on 1 December 2021. On that same date, the second sale of shares agreement which belies the present dispute was concluded.  </w:t>
      </w:r>
      <w:r w:rsidR="002D2868" w:rsidRPr="002D2868">
        <w:rPr>
          <w:rFonts w:ascii="Arial" w:eastAsia="Aptos" w:hAnsi="Arial"/>
          <w:kern w:val="2"/>
          <w:szCs w:val="22"/>
          <w:lang w:val="en-ZA" w:eastAsia="en-US"/>
          <w14:ligatures w14:val="standardContextual"/>
        </w:rPr>
        <w:lastRenderedPageBreak/>
        <w:t xml:space="preserve">Crucially, however, the signatories to that agreement were only the applicant and the second respondent’s representative.  </w:t>
      </w:r>
    </w:p>
    <w:p w14:paraId="1E505CC6"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0C03C7D0" w14:textId="639C4370"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[46]</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Submission was made in argument for the applicant that, considering it appeared that the cancellation agreement was concluded simultaneously with the second sale of shares agreement, that the first respondent must equally have been agreeing to the contents of the second sale of shares agreement.</w:t>
      </w:r>
    </w:p>
    <w:p w14:paraId="08152CAA"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2F5F2EC8" w14:textId="68B42FD7" w:rsidR="002D0D0B" w:rsidRDefault="00C3607A" w:rsidP="00C3607A">
      <w:pPr>
        <w:spacing w:after="160" w:line="360" w:lineRule="auto"/>
        <w:contextualSpacing/>
        <w:jc w:val="both"/>
        <w:rPr>
          <w:rFonts w:ascii="Arial" w:eastAsia="Aptos" w:hAnsi="Arial"/>
          <w:kern w:val="2"/>
          <w:szCs w:val="22"/>
          <w:lang w:val="en-ZA" w:eastAsia="en-US"/>
          <w14:ligatures w14:val="standardContextual"/>
        </w:rPr>
      </w:pPr>
      <w:r>
        <w:rPr>
          <w:rFonts w:ascii="Arial" w:eastAsia="Aptos" w:hAnsi="Arial"/>
          <w:kern w:val="2"/>
          <w:szCs w:val="22"/>
          <w:lang w:val="en-ZA" w:eastAsia="en-US"/>
          <w14:ligatures w14:val="standardContextual"/>
        </w:rPr>
        <w:t>[47]</w:t>
      </w:r>
      <w:r>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The argument cannot be sustained</w:t>
      </w:r>
      <w:r w:rsidR="002D0D0B">
        <w:rPr>
          <w:rFonts w:ascii="Arial" w:eastAsia="Aptos" w:hAnsi="Arial"/>
          <w:kern w:val="2"/>
          <w:szCs w:val="22"/>
          <w:lang w:val="en-ZA" w:eastAsia="en-US"/>
          <w14:ligatures w14:val="standardContextual"/>
        </w:rPr>
        <w:t xml:space="preserve"> and is also a proverbial double-edged sword.</w:t>
      </w:r>
    </w:p>
    <w:p w14:paraId="71926AE5" w14:textId="77777777" w:rsidR="002D0D0B" w:rsidRDefault="002D0D0B" w:rsidP="002D0D0B">
      <w:pPr>
        <w:pStyle w:val="ListParagraph"/>
        <w:rPr>
          <w:rFonts w:ascii="Arial" w:eastAsia="Aptos" w:hAnsi="Arial"/>
          <w:kern w:val="2"/>
          <w:szCs w:val="22"/>
          <w:lang w:val="en-ZA" w:eastAsia="en-US"/>
          <w14:ligatures w14:val="standardContextual"/>
        </w:rPr>
      </w:pPr>
    </w:p>
    <w:p w14:paraId="191BD4E5" w14:textId="3CECEFB1" w:rsidR="002D2868" w:rsidRPr="002D0D0B"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0D0B">
        <w:rPr>
          <w:rFonts w:ascii="Arial" w:eastAsia="Aptos" w:hAnsi="Arial"/>
          <w:kern w:val="2"/>
          <w:szCs w:val="22"/>
          <w:lang w:val="en-ZA" w:eastAsia="en-US"/>
          <w14:ligatures w14:val="standardContextual"/>
        </w:rPr>
        <w:t>[48]</w:t>
      </w:r>
      <w:r w:rsidRPr="002D0D0B">
        <w:rPr>
          <w:rFonts w:ascii="Arial" w:eastAsia="Aptos" w:hAnsi="Arial"/>
          <w:kern w:val="2"/>
          <w:szCs w:val="22"/>
          <w:lang w:val="en-ZA" w:eastAsia="en-US"/>
          <w14:ligatures w14:val="standardContextual"/>
        </w:rPr>
        <w:tab/>
      </w:r>
      <w:r w:rsidR="002D0D0B" w:rsidRPr="002D0D0B">
        <w:rPr>
          <w:rFonts w:ascii="Arial" w:eastAsia="Aptos" w:hAnsi="Arial"/>
          <w:kern w:val="2"/>
          <w:szCs w:val="22"/>
          <w:lang w:val="en-ZA" w:eastAsia="en-US"/>
          <w14:ligatures w14:val="standardContextual"/>
        </w:rPr>
        <w:t>I</w:t>
      </w:r>
      <w:r w:rsidR="002D2868" w:rsidRPr="002D0D0B">
        <w:rPr>
          <w:rFonts w:ascii="Arial" w:eastAsia="Aptos" w:hAnsi="Arial"/>
          <w:kern w:val="2"/>
          <w:szCs w:val="22"/>
          <w:lang w:val="en-ZA" w:eastAsia="en-US"/>
          <w14:ligatures w14:val="standardContextual"/>
        </w:rPr>
        <w:t>f the first respondent’s representative w</w:t>
      </w:r>
      <w:r w:rsidR="00896041" w:rsidRPr="002D0D0B">
        <w:rPr>
          <w:rFonts w:ascii="Arial" w:eastAsia="Aptos" w:hAnsi="Arial"/>
          <w:kern w:val="2"/>
          <w:szCs w:val="22"/>
          <w:lang w:val="en-ZA" w:eastAsia="en-US"/>
          <w14:ligatures w14:val="standardContextual"/>
        </w:rPr>
        <w:t>as</w:t>
      </w:r>
      <w:r w:rsidR="002D2868" w:rsidRPr="002D0D0B">
        <w:rPr>
          <w:rFonts w:ascii="Arial" w:eastAsia="Aptos" w:hAnsi="Arial"/>
          <w:kern w:val="2"/>
          <w:szCs w:val="22"/>
          <w:lang w:val="en-ZA" w:eastAsia="en-US"/>
          <w14:ligatures w14:val="standardContextual"/>
        </w:rPr>
        <w:t xml:space="preserve"> available, ready and willing to be party to the agreement then there is no reason why their signature would also not appear on the second sale of shares agreement. An inference could equally be drawn that the failure to sign was a purposeful act.</w:t>
      </w:r>
    </w:p>
    <w:p w14:paraId="5BC318DA"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669D3DDB" w14:textId="2E924850" w:rsidR="002D2868" w:rsidRPr="00242A49"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42A49">
        <w:rPr>
          <w:rFonts w:ascii="Arial" w:eastAsia="Aptos" w:hAnsi="Arial"/>
          <w:kern w:val="2"/>
          <w:szCs w:val="22"/>
          <w:lang w:val="en-ZA" w:eastAsia="en-US"/>
          <w14:ligatures w14:val="standardContextual"/>
        </w:rPr>
        <w:t>[49]</w:t>
      </w:r>
      <w:r w:rsidRPr="00242A49">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Moreover, and while the definition of “parties” is not included in the second sale of shares agreement, the following clauses are of relevance:</w:t>
      </w:r>
    </w:p>
    <w:p w14:paraId="395AF285" w14:textId="4903B70D" w:rsidR="002D2868" w:rsidRPr="002D2868" w:rsidRDefault="00C3607A" w:rsidP="00C3607A">
      <w:pPr>
        <w:tabs>
          <w:tab w:val="left" w:pos="851"/>
          <w:tab w:val="left" w:pos="1418"/>
          <w:tab w:val="left" w:pos="2268"/>
        </w:tabs>
        <w:autoSpaceDE w:val="0"/>
        <w:autoSpaceDN w:val="0"/>
        <w:adjustRightInd w:val="0"/>
        <w:spacing w:line="360" w:lineRule="auto"/>
        <w:ind w:left="720" w:hanging="720"/>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(a)</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clause 2.1.1 makes reference to the annexures “to be completed and signed by </w:t>
      </w:r>
      <w:r w:rsidR="002D2868" w:rsidRPr="00A620D9">
        <w:rPr>
          <w:rFonts w:ascii="Arial" w:eastAsia="Aptos" w:hAnsi="Arial"/>
          <w:bCs/>
          <w:i/>
          <w:kern w:val="2"/>
          <w:szCs w:val="22"/>
          <w:lang w:val="en-ZA" w:eastAsia="en-US"/>
          <w14:ligatures w14:val="standardContextual"/>
        </w:rPr>
        <w:t>both</w:t>
      </w:r>
      <w:r w:rsidR="002D2868" w:rsidRPr="002D2868">
        <w:rPr>
          <w:rFonts w:ascii="Arial" w:eastAsia="Aptos" w:hAnsi="Arial"/>
          <w:kern w:val="2"/>
          <w:szCs w:val="22"/>
          <w:lang w:val="en-ZA" w:eastAsia="en-US"/>
          <w14:ligatures w14:val="standardContextual"/>
        </w:rPr>
        <w:t xml:space="preserve"> </w:t>
      </w:r>
      <w:r w:rsidR="002D2868" w:rsidRPr="00242A49">
        <w:rPr>
          <w:rFonts w:ascii="Arial" w:eastAsiaTheme="minorHAnsi" w:hAnsi="Arial" w:cs="Arial"/>
          <w:szCs w:val="22"/>
          <w:lang w:val="en-US" w:eastAsia="en-US"/>
        </w:rPr>
        <w:t>parties</w:t>
      </w:r>
      <w:r w:rsidR="002D2868" w:rsidRPr="002D2868">
        <w:rPr>
          <w:rFonts w:ascii="Arial" w:eastAsia="Aptos" w:hAnsi="Arial"/>
          <w:kern w:val="2"/>
          <w:szCs w:val="22"/>
          <w:lang w:val="en-ZA" w:eastAsia="en-US"/>
          <w14:ligatures w14:val="standardContextual"/>
        </w:rPr>
        <w:t>”;</w:t>
      </w:r>
    </w:p>
    <w:p w14:paraId="7116AABC" w14:textId="612E51C4" w:rsidR="002D2868" w:rsidRPr="002D2868" w:rsidRDefault="00C3607A" w:rsidP="00C3607A">
      <w:pPr>
        <w:tabs>
          <w:tab w:val="left" w:pos="851"/>
          <w:tab w:val="left" w:pos="1418"/>
          <w:tab w:val="left" w:pos="2268"/>
        </w:tabs>
        <w:autoSpaceDE w:val="0"/>
        <w:autoSpaceDN w:val="0"/>
        <w:adjustRightInd w:val="0"/>
        <w:spacing w:line="360" w:lineRule="auto"/>
        <w:ind w:left="720" w:hanging="720"/>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(b)</w:t>
      </w:r>
      <w:r w:rsidRPr="002D2868">
        <w:rPr>
          <w:rFonts w:ascii="Arial" w:eastAsia="Aptos" w:hAnsi="Arial"/>
          <w:kern w:val="2"/>
          <w:szCs w:val="22"/>
          <w:lang w:val="en-ZA" w:eastAsia="en-US"/>
          <w14:ligatures w14:val="standardContextual"/>
        </w:rPr>
        <w:tab/>
      </w:r>
      <w:r w:rsidR="002D2868" w:rsidRPr="00242A49">
        <w:rPr>
          <w:rFonts w:ascii="Arial" w:eastAsiaTheme="minorHAnsi" w:hAnsi="Arial" w:cs="Arial"/>
          <w:szCs w:val="22"/>
          <w:lang w:val="en-US" w:eastAsia="en-US"/>
        </w:rPr>
        <w:t>clause</w:t>
      </w:r>
      <w:r w:rsidR="002D2868" w:rsidRPr="002D2868">
        <w:rPr>
          <w:rFonts w:ascii="Arial" w:eastAsia="Aptos" w:hAnsi="Arial"/>
          <w:kern w:val="2"/>
          <w:szCs w:val="22"/>
          <w:lang w:val="en-ZA" w:eastAsia="en-US"/>
          <w14:ligatures w14:val="standardContextual"/>
        </w:rPr>
        <w:t xml:space="preserve"> 18.2.2 refers to “to which </w:t>
      </w:r>
      <w:r w:rsidR="002D2868" w:rsidRPr="00A620D9">
        <w:rPr>
          <w:rFonts w:ascii="Arial" w:eastAsia="Aptos" w:hAnsi="Arial"/>
          <w:bCs/>
          <w:i/>
          <w:kern w:val="2"/>
          <w:szCs w:val="22"/>
          <w:lang w:val="en-ZA" w:eastAsia="en-US"/>
          <w14:ligatures w14:val="standardContextual"/>
        </w:rPr>
        <w:t>either or both</w:t>
      </w:r>
      <w:r w:rsidR="002D2868" w:rsidRPr="002D2868">
        <w:rPr>
          <w:rFonts w:ascii="Arial" w:eastAsia="Aptos" w:hAnsi="Arial"/>
          <w:kern w:val="2"/>
          <w:szCs w:val="22"/>
          <w:lang w:val="en-ZA" w:eastAsia="en-US"/>
          <w14:ligatures w14:val="standardContextual"/>
        </w:rPr>
        <w:t xml:space="preserve"> of the parties are subject”;</w:t>
      </w:r>
    </w:p>
    <w:p w14:paraId="0DA0E702" w14:textId="67E89879"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(c)</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clauses 18.2.3 and 18.2.4 both further make use of the word “either”;</w:t>
      </w:r>
      <w:r w:rsidR="00D53F93">
        <w:rPr>
          <w:rFonts w:ascii="Arial" w:eastAsia="Aptos" w:hAnsi="Arial"/>
          <w:kern w:val="2"/>
          <w:szCs w:val="22"/>
          <w:lang w:val="en-ZA" w:eastAsia="en-US"/>
          <w14:ligatures w14:val="standardContextual"/>
        </w:rPr>
        <w:t xml:space="preserve"> and</w:t>
      </w:r>
    </w:p>
    <w:p w14:paraId="70CB032D" w14:textId="78517453"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(d)</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clause 18.2.6 makes reference to the phrase “by the other party”. </w:t>
      </w:r>
    </w:p>
    <w:p w14:paraId="3745D22E"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0C9CF9DE" w14:textId="51C11BB9"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[50]</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Each of these phrases supports the notion of there only being two parties to the agreement, and that that agreement is not a tripartite agreement as contended for by the applicant. To suggest for a tripartite agreement having come into effect would be to do violence to the wording of the second sale of shares agreement.  </w:t>
      </w:r>
    </w:p>
    <w:p w14:paraId="7D2A743D" w14:textId="77777777" w:rsidR="002D2868" w:rsidRPr="002D2868" w:rsidRDefault="002D2868" w:rsidP="00695917">
      <w:pPr>
        <w:spacing w:after="160" w:line="360" w:lineRule="auto"/>
        <w:contextualSpacing/>
        <w:jc w:val="both"/>
        <w:rPr>
          <w:rFonts w:ascii="Arial" w:eastAsia="Aptos" w:hAnsi="Arial"/>
          <w:kern w:val="2"/>
          <w:szCs w:val="22"/>
          <w:lang w:val="en-ZA" w:eastAsia="en-US"/>
          <w14:ligatures w14:val="standardContextual"/>
        </w:rPr>
      </w:pPr>
    </w:p>
    <w:p w14:paraId="60BA4A02" w14:textId="21DA60D2" w:rsidR="002D2868" w:rsidRPr="00643666"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643666">
        <w:rPr>
          <w:rFonts w:ascii="Arial" w:eastAsia="Aptos" w:hAnsi="Arial"/>
          <w:kern w:val="2"/>
          <w:szCs w:val="22"/>
          <w:lang w:val="en-ZA" w:eastAsia="en-US"/>
          <w14:ligatures w14:val="standardContextual"/>
        </w:rPr>
        <w:t>[51]</w:t>
      </w:r>
      <w:r w:rsidRPr="00643666">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Furthermore, clause 1.2.17 of the second sale of shares agreement has the definition of “signature date” as being “the date of signature of this agreement by the party last signing”. </w:t>
      </w:r>
      <w:r w:rsidR="002D2868" w:rsidRPr="00643666">
        <w:rPr>
          <w:rFonts w:ascii="Arial" w:eastAsia="Aptos" w:hAnsi="Arial"/>
          <w:kern w:val="2"/>
          <w:szCs w:val="22"/>
          <w:lang w:val="en-ZA" w:eastAsia="en-US"/>
          <w14:ligatures w14:val="standardContextual"/>
        </w:rPr>
        <w:t xml:space="preserve">This clearly envisages that the agreement should be signed by the parties thereto in order to be effective. Consequently, the conclusion that the sale of </w:t>
      </w:r>
      <w:r w:rsidR="002D2868" w:rsidRPr="00643666">
        <w:rPr>
          <w:rFonts w:ascii="Arial" w:eastAsia="Aptos" w:hAnsi="Arial"/>
          <w:kern w:val="2"/>
          <w:szCs w:val="22"/>
          <w:lang w:val="en-ZA" w:eastAsia="en-US"/>
          <w14:ligatures w14:val="standardContextual"/>
        </w:rPr>
        <w:lastRenderedPageBreak/>
        <w:t xml:space="preserve">shares agreement was a tripartite agreement with the first respondent being a party, cannot be sustained. </w:t>
      </w:r>
    </w:p>
    <w:p w14:paraId="65B626AF"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17F7005D" w14:textId="5AB30BD9"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[52]</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Privity of contract is a fundamental pillar of our law of contract.  As stated in </w:t>
      </w:r>
      <w:r w:rsidR="002D2868" w:rsidRPr="007D1FE8">
        <w:rPr>
          <w:rFonts w:ascii="Arial" w:eastAsia="Aptos" w:hAnsi="Arial"/>
          <w:i/>
          <w:kern w:val="2"/>
          <w:szCs w:val="22"/>
          <w:lang w:val="en-ZA" w:eastAsia="en-US"/>
          <w14:ligatures w14:val="standardContextual"/>
        </w:rPr>
        <w:t>Christie’s The Law of Contract in South Africa</w:t>
      </w:r>
      <w:r w:rsidR="002D2868" w:rsidRPr="002D2868">
        <w:rPr>
          <w:rFonts w:ascii="Arial" w:eastAsia="Aptos" w:hAnsi="Arial"/>
          <w:kern w:val="2"/>
          <w:szCs w:val="22"/>
          <w:vertAlign w:val="superscript"/>
          <w:lang w:val="en-ZA" w:eastAsia="en-US"/>
          <w14:ligatures w14:val="standardContextual"/>
        </w:rPr>
        <w:footnoteReference w:id="8"/>
      </w:r>
      <w:r w:rsidR="002D2868" w:rsidRPr="002D2868">
        <w:rPr>
          <w:rFonts w:ascii="Arial" w:eastAsia="Aptos" w:hAnsi="Arial"/>
          <w:kern w:val="2"/>
          <w:szCs w:val="22"/>
          <w:lang w:val="en-ZA" w:eastAsia="en-US"/>
          <w14:ligatures w14:val="standardContextual"/>
        </w:rPr>
        <w:t xml:space="preserve"> the basic idea of contract being that people must be bound by the contracts they make with each other</w:t>
      </w:r>
      <w:r w:rsidR="00643666">
        <w:rPr>
          <w:rFonts w:ascii="Arial" w:eastAsia="Aptos" w:hAnsi="Arial"/>
          <w:kern w:val="2"/>
          <w:szCs w:val="22"/>
          <w:lang w:val="en-ZA" w:eastAsia="en-US"/>
          <w14:ligatures w14:val="standardContextual"/>
        </w:rPr>
        <w:t>. S</w:t>
      </w:r>
      <w:r w:rsidR="002D2868" w:rsidRPr="002D2868">
        <w:rPr>
          <w:rFonts w:ascii="Arial" w:eastAsia="Aptos" w:hAnsi="Arial"/>
          <w:kern w:val="2"/>
          <w:szCs w:val="22"/>
          <w:lang w:val="en-ZA" w:eastAsia="en-US"/>
          <w14:ligatures w14:val="standardContextual"/>
        </w:rPr>
        <w:t>trangers c</w:t>
      </w:r>
      <w:r w:rsidR="00643666">
        <w:rPr>
          <w:rFonts w:ascii="Arial" w:eastAsia="Aptos" w:hAnsi="Arial"/>
          <w:kern w:val="2"/>
          <w:szCs w:val="22"/>
          <w:lang w:val="en-ZA" w:eastAsia="en-US"/>
          <w14:ligatures w14:val="standardContextual"/>
        </w:rPr>
        <w:t>annot</w:t>
      </w:r>
      <w:r w:rsidR="002D2868" w:rsidRPr="002D2868">
        <w:rPr>
          <w:rFonts w:ascii="Arial" w:eastAsia="Aptos" w:hAnsi="Arial"/>
          <w:kern w:val="2"/>
          <w:szCs w:val="22"/>
          <w:lang w:val="en-ZA" w:eastAsia="en-US"/>
          <w14:ligatures w14:val="standardContextual"/>
        </w:rPr>
        <w:t xml:space="preserve"> sue or be sued on contract </w:t>
      </w:r>
      <w:r w:rsidR="00643666">
        <w:rPr>
          <w:rFonts w:ascii="Arial" w:eastAsia="Aptos" w:hAnsi="Arial"/>
          <w:kern w:val="2"/>
          <w:szCs w:val="22"/>
          <w:lang w:val="en-ZA" w:eastAsia="en-US"/>
          <w14:ligatures w14:val="standardContextual"/>
        </w:rPr>
        <w:t>to which they are in no</w:t>
      </w:r>
      <w:r w:rsidR="002D2868" w:rsidRPr="002D2868">
        <w:rPr>
          <w:rFonts w:ascii="Arial" w:eastAsia="Aptos" w:hAnsi="Arial"/>
          <w:kern w:val="2"/>
          <w:szCs w:val="22"/>
          <w:lang w:val="en-ZA" w:eastAsia="en-US"/>
          <w14:ligatures w14:val="standardContextual"/>
        </w:rPr>
        <w:t xml:space="preserve"> way connected.  The doctrine that prevents this situation arising is usually known as the doctrine of privity of contract; parties who are not privy to a contract cannot sue or be sued on it. </w:t>
      </w:r>
    </w:p>
    <w:p w14:paraId="79D59BC4"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12C59FF3" w14:textId="3AB8B2E0"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[53]</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The applicant would accordingly not be able to enforce any claim for the declaratory or delivery relief in respect of the aircraft when those aircraft are owned by the first respondent, who is not a party to the contract.  </w:t>
      </w:r>
    </w:p>
    <w:p w14:paraId="4295D690"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09552F61" w14:textId="231D6BAE"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[54]</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Furthermore, and considering the express wording of the </w:t>
      </w:r>
      <w:r w:rsidR="008629C8">
        <w:rPr>
          <w:rFonts w:ascii="Arial" w:eastAsia="Aptos" w:hAnsi="Arial"/>
          <w:kern w:val="2"/>
          <w:szCs w:val="22"/>
          <w:lang w:val="en-ZA" w:eastAsia="en-US"/>
          <w14:ligatures w14:val="standardContextual"/>
        </w:rPr>
        <w:t xml:space="preserve">agreement </w:t>
      </w:r>
      <w:r w:rsidR="002D2868" w:rsidRPr="002D2868">
        <w:rPr>
          <w:rFonts w:ascii="Arial" w:eastAsia="Aptos" w:hAnsi="Arial"/>
          <w:kern w:val="2"/>
          <w:szCs w:val="22"/>
          <w:lang w:val="en-ZA" w:eastAsia="en-US"/>
          <w14:ligatures w14:val="standardContextual"/>
        </w:rPr>
        <w:t xml:space="preserve">that any amount of value derived from the aircraft would be credited towards the outstanding balance owing under clause 4.1.3 of the </w:t>
      </w:r>
      <w:r w:rsidR="008629C8">
        <w:rPr>
          <w:rFonts w:ascii="Arial" w:eastAsia="Aptos" w:hAnsi="Arial"/>
          <w:kern w:val="2"/>
          <w:szCs w:val="22"/>
          <w:lang w:val="en-ZA" w:eastAsia="en-US"/>
          <w14:ligatures w14:val="standardContextual"/>
        </w:rPr>
        <w:t xml:space="preserve">agreement </w:t>
      </w:r>
      <w:r w:rsidR="002D2868" w:rsidRPr="002D2868">
        <w:rPr>
          <w:rFonts w:ascii="Arial" w:eastAsia="Aptos" w:hAnsi="Arial"/>
          <w:kern w:val="2"/>
          <w:szCs w:val="22"/>
          <w:lang w:val="en-ZA" w:eastAsia="en-US"/>
          <w14:ligatures w14:val="standardContextual"/>
        </w:rPr>
        <w:t xml:space="preserve">for the acquisition by the second respondent of the applicant’s shares in the first respondent, this arrangement would in any event be contrary to s 44(3) of the Companies Act. This is because there is no evidence that the board completed the requisite solvency tests and were so empowered, and the clause places the first respondent in the position where it would be financing the acquisition of its own shares. </w:t>
      </w:r>
    </w:p>
    <w:p w14:paraId="24074048" w14:textId="77777777" w:rsidR="002D2868" w:rsidRPr="002D2868" w:rsidRDefault="002D2868" w:rsidP="00695917">
      <w:pPr>
        <w:spacing w:after="160" w:line="360" w:lineRule="auto"/>
        <w:contextualSpacing/>
        <w:jc w:val="both"/>
        <w:rPr>
          <w:rFonts w:ascii="Arial" w:eastAsia="Aptos" w:hAnsi="Arial"/>
          <w:kern w:val="2"/>
          <w:szCs w:val="22"/>
          <w:lang w:val="en-ZA" w:eastAsia="en-US"/>
          <w14:ligatures w14:val="standardContextual"/>
        </w:rPr>
      </w:pPr>
    </w:p>
    <w:p w14:paraId="4539CBCB" w14:textId="77777777" w:rsidR="002D2868" w:rsidRPr="00D53F93" w:rsidRDefault="002D2868" w:rsidP="00D53F93">
      <w:pPr>
        <w:spacing w:after="160" w:line="360" w:lineRule="auto"/>
        <w:contextualSpacing/>
        <w:jc w:val="both"/>
        <w:rPr>
          <w:rFonts w:ascii="Arial" w:eastAsia="Aptos" w:hAnsi="Arial"/>
          <w:b/>
          <w:bCs/>
          <w:kern w:val="2"/>
          <w:szCs w:val="22"/>
          <w:lang w:val="en-ZA" w:eastAsia="en-US"/>
          <w14:ligatures w14:val="standardContextual"/>
        </w:rPr>
      </w:pPr>
      <w:r w:rsidRPr="00D53F93">
        <w:rPr>
          <w:rFonts w:ascii="Arial" w:eastAsia="Aptos" w:hAnsi="Arial"/>
          <w:b/>
          <w:bCs/>
          <w:kern w:val="2"/>
          <w:szCs w:val="22"/>
          <w:lang w:val="en-ZA" w:eastAsia="en-US"/>
          <w14:ligatures w14:val="standardContextual"/>
        </w:rPr>
        <w:t>Further considerations</w:t>
      </w:r>
    </w:p>
    <w:p w14:paraId="554C0914" w14:textId="3A8889DB"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[55]</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The difficulties mentioned above relating to the aircraft specifically and the agreement being bilateral rather than tripartite would have no impact on the immovable property. That said the further hurdle (though by no means insurmountable) for the applicant is that the request for the transfer of the immovable property would trigger the requirements of s 97 of the Deeds Registries Act.</w:t>
      </w:r>
      <w:r w:rsidR="00D53F93">
        <w:rPr>
          <w:rStyle w:val="FootnoteReference"/>
          <w:rFonts w:ascii="Arial" w:eastAsia="Aptos" w:hAnsi="Arial"/>
          <w:kern w:val="2"/>
          <w:szCs w:val="22"/>
          <w:lang w:val="en-ZA" w:eastAsia="en-US"/>
          <w14:ligatures w14:val="standardContextual"/>
        </w:rPr>
        <w:footnoteReference w:id="9"/>
      </w:r>
      <w:r w:rsidR="002D2868" w:rsidRPr="002D2868">
        <w:rPr>
          <w:rFonts w:ascii="Arial" w:eastAsia="Aptos" w:hAnsi="Arial"/>
          <w:kern w:val="2"/>
          <w:szCs w:val="22"/>
          <w:lang w:val="en-ZA" w:eastAsia="en-US"/>
          <w14:ligatures w14:val="standardContextual"/>
        </w:rPr>
        <w:t xml:space="preserve"> The Registrar of Deeds has not been given the requisite seven </w:t>
      </w:r>
      <w:r w:rsidR="00D53F93" w:rsidRPr="002D2868">
        <w:rPr>
          <w:rFonts w:ascii="Arial" w:eastAsia="Aptos" w:hAnsi="Arial"/>
          <w:kern w:val="2"/>
          <w:szCs w:val="22"/>
          <w:lang w:val="en-ZA" w:eastAsia="en-US"/>
          <w14:ligatures w14:val="standardContextual"/>
        </w:rPr>
        <w:t>days’ notice</w:t>
      </w:r>
      <w:r w:rsidR="002D2868" w:rsidRPr="002D2868">
        <w:rPr>
          <w:rFonts w:ascii="Arial" w:eastAsia="Aptos" w:hAnsi="Arial"/>
          <w:kern w:val="2"/>
          <w:szCs w:val="22"/>
          <w:lang w:val="en-ZA" w:eastAsia="en-US"/>
          <w14:ligatures w14:val="standardContextual"/>
        </w:rPr>
        <w:t xml:space="preserve"> and afforded the opportunity to make such report as may be deemed fit. </w:t>
      </w:r>
    </w:p>
    <w:p w14:paraId="61053867" w14:textId="77777777" w:rsidR="002D2868" w:rsidRPr="002D2868" w:rsidRDefault="002D2868" w:rsidP="00695917">
      <w:pPr>
        <w:spacing w:after="160" w:line="360" w:lineRule="auto"/>
        <w:contextualSpacing/>
        <w:jc w:val="both"/>
        <w:rPr>
          <w:rFonts w:ascii="Arial" w:eastAsia="Aptos" w:hAnsi="Arial"/>
          <w:kern w:val="2"/>
          <w:szCs w:val="22"/>
          <w:lang w:val="en-ZA" w:eastAsia="en-US"/>
          <w14:ligatures w14:val="standardContextual"/>
        </w:rPr>
      </w:pPr>
    </w:p>
    <w:p w14:paraId="2051B617" w14:textId="6975DFAB" w:rsid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Pr>
          <w:rFonts w:ascii="Arial" w:eastAsia="Aptos" w:hAnsi="Arial"/>
          <w:kern w:val="2"/>
          <w:szCs w:val="22"/>
          <w:lang w:val="en-ZA" w:eastAsia="en-US"/>
          <w14:ligatures w14:val="standardContextual"/>
        </w:rPr>
        <w:t>[56]</w:t>
      </w:r>
      <w:r>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The declaratory relief of entitlement to ownership,</w:t>
      </w:r>
      <w:r w:rsidR="00695917">
        <w:rPr>
          <w:rFonts w:ascii="Arial" w:eastAsia="Aptos" w:hAnsi="Arial"/>
          <w:kern w:val="2"/>
          <w:szCs w:val="22"/>
          <w:lang w:val="en-ZA" w:eastAsia="en-US"/>
          <w14:ligatures w14:val="standardContextual"/>
        </w:rPr>
        <w:t xml:space="preserve"> </w:t>
      </w:r>
      <w:r w:rsidR="002D2868" w:rsidRPr="002D2868">
        <w:rPr>
          <w:rFonts w:ascii="Arial" w:eastAsia="Aptos" w:hAnsi="Arial"/>
          <w:kern w:val="2"/>
          <w:szCs w:val="22"/>
          <w:lang w:val="en-ZA" w:eastAsia="en-US"/>
          <w14:ligatures w14:val="standardContextual"/>
        </w:rPr>
        <w:t>(which was not strongly persisted for in argument) would have in any event been inappropriate. The papers before the Court did not provide sufficient evidence to exclude potential real rights of third parties in respect of the aircraft and the immovable property that could interfere with the entitlement for declaratory relief relating to ownership.</w:t>
      </w:r>
    </w:p>
    <w:p w14:paraId="79C34EB1" w14:textId="77777777" w:rsidR="002D2868" w:rsidRPr="002D2868" w:rsidRDefault="002D2868" w:rsidP="00695917">
      <w:pPr>
        <w:spacing w:after="160" w:line="360" w:lineRule="auto"/>
        <w:contextualSpacing/>
        <w:jc w:val="both"/>
        <w:rPr>
          <w:rFonts w:ascii="Arial" w:eastAsia="Aptos" w:hAnsi="Arial"/>
          <w:kern w:val="2"/>
          <w:szCs w:val="22"/>
          <w:lang w:val="en-ZA" w:eastAsia="en-US"/>
          <w14:ligatures w14:val="standardContextual"/>
        </w:rPr>
      </w:pPr>
    </w:p>
    <w:p w14:paraId="54AEE14C" w14:textId="0405B177" w:rsidR="002D2868" w:rsidRPr="00D53F93"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D53F93">
        <w:rPr>
          <w:rFonts w:ascii="Arial" w:eastAsia="Aptos" w:hAnsi="Arial"/>
          <w:kern w:val="2"/>
          <w:szCs w:val="22"/>
          <w:lang w:val="en-ZA" w:eastAsia="en-US"/>
          <w14:ligatures w14:val="standardContextual"/>
        </w:rPr>
        <w:t>[57]</w:t>
      </w:r>
      <w:r w:rsidRPr="00D53F93">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Without delving into these aspects in great detail, there are further debates relating to clause 14 of the second sale of share agreement, including:</w:t>
      </w:r>
    </w:p>
    <w:p w14:paraId="54060A55" w14:textId="15AF6015" w:rsidR="002D2868" w:rsidRPr="002D2868" w:rsidRDefault="00C3607A" w:rsidP="00C3607A">
      <w:pPr>
        <w:tabs>
          <w:tab w:val="left" w:pos="851"/>
          <w:tab w:val="left" w:pos="1418"/>
          <w:tab w:val="left" w:pos="2268"/>
        </w:tabs>
        <w:autoSpaceDE w:val="0"/>
        <w:autoSpaceDN w:val="0"/>
        <w:adjustRightInd w:val="0"/>
        <w:spacing w:line="360" w:lineRule="auto"/>
        <w:ind w:left="720" w:hanging="720"/>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(a)</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whether </w:t>
      </w:r>
      <w:r w:rsidR="002D2868" w:rsidRPr="00D53F93">
        <w:rPr>
          <w:rFonts w:ascii="Arial" w:hAnsi="Arial" w:cs="Arial"/>
          <w:snapToGrid w:val="0"/>
          <w:lang w:val="en-ZA" w:eastAsia="en-ZA"/>
        </w:rPr>
        <w:t>clause</w:t>
      </w:r>
      <w:r w:rsidR="002D2868" w:rsidRPr="002D2868">
        <w:rPr>
          <w:rFonts w:ascii="Arial" w:eastAsia="Aptos" w:hAnsi="Arial"/>
          <w:kern w:val="2"/>
          <w:szCs w:val="22"/>
          <w:lang w:val="en-ZA" w:eastAsia="en-US"/>
          <w14:ligatures w14:val="standardContextual"/>
        </w:rPr>
        <w:t xml:space="preserve"> 14 constitutes an unenforceable </w:t>
      </w:r>
      <w:r w:rsidR="002D2868" w:rsidRPr="002D2868">
        <w:rPr>
          <w:rFonts w:ascii="Arial" w:eastAsia="Aptos" w:hAnsi="Arial"/>
          <w:i/>
          <w:iCs/>
          <w:kern w:val="2"/>
          <w:szCs w:val="22"/>
          <w:lang w:val="en-ZA" w:eastAsia="en-US"/>
          <w14:ligatures w14:val="standardContextual"/>
        </w:rPr>
        <w:t>pactum commissorium</w:t>
      </w:r>
      <w:r w:rsidR="002D2868" w:rsidRPr="002D2868">
        <w:rPr>
          <w:rFonts w:ascii="Arial" w:eastAsia="Aptos" w:hAnsi="Arial"/>
          <w:kern w:val="2"/>
          <w:szCs w:val="22"/>
          <w:lang w:val="en-ZA" w:eastAsia="en-US"/>
          <w14:ligatures w14:val="standardContextual"/>
        </w:rPr>
        <w:t>;</w:t>
      </w:r>
      <w:r w:rsidR="006D5A5D">
        <w:rPr>
          <w:rFonts w:ascii="Arial" w:eastAsia="Aptos" w:hAnsi="Arial"/>
          <w:kern w:val="2"/>
          <w:szCs w:val="22"/>
          <w:lang w:val="en-ZA" w:eastAsia="en-US"/>
          <w14:ligatures w14:val="standardContextual"/>
        </w:rPr>
        <w:t xml:space="preserve"> and</w:t>
      </w:r>
    </w:p>
    <w:p w14:paraId="06C74409" w14:textId="642FB7E9" w:rsidR="002D2868" w:rsidRPr="002D2868" w:rsidRDefault="00C3607A" w:rsidP="00C3607A">
      <w:pPr>
        <w:tabs>
          <w:tab w:val="left" w:pos="851"/>
          <w:tab w:val="left" w:pos="1418"/>
          <w:tab w:val="left" w:pos="2268"/>
        </w:tabs>
        <w:autoSpaceDE w:val="0"/>
        <w:autoSpaceDN w:val="0"/>
        <w:adjustRightInd w:val="0"/>
        <w:spacing w:line="360" w:lineRule="auto"/>
        <w:ind w:left="720" w:hanging="720"/>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(b)</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whether </w:t>
      </w:r>
      <w:r w:rsidR="002D2868" w:rsidRPr="00D53F93">
        <w:rPr>
          <w:rFonts w:ascii="Arial" w:hAnsi="Arial" w:cs="Arial"/>
          <w:snapToGrid w:val="0"/>
          <w:lang w:val="en-ZA" w:eastAsia="en-ZA"/>
        </w:rPr>
        <w:t>the</w:t>
      </w:r>
      <w:r w:rsidR="002D2868" w:rsidRPr="002D2868">
        <w:rPr>
          <w:rFonts w:ascii="Arial" w:eastAsia="Aptos" w:hAnsi="Arial"/>
          <w:kern w:val="2"/>
          <w:szCs w:val="22"/>
          <w:lang w:val="en-ZA" w:eastAsia="en-US"/>
          <w14:ligatures w14:val="standardContextual"/>
        </w:rPr>
        <w:t xml:space="preserve"> phraseology of clause 14 itself confers automatic rights on default and therefore is a </w:t>
      </w:r>
      <w:r w:rsidR="002D2868" w:rsidRPr="002D2868">
        <w:rPr>
          <w:rFonts w:ascii="Arial" w:eastAsia="Aptos" w:hAnsi="Arial"/>
          <w:i/>
          <w:iCs/>
          <w:kern w:val="2"/>
          <w:szCs w:val="22"/>
          <w:lang w:val="en-ZA" w:eastAsia="en-US"/>
          <w14:ligatures w14:val="standardContextual"/>
        </w:rPr>
        <w:t>parate executie</w:t>
      </w:r>
      <w:r w:rsidR="002D2868" w:rsidRPr="002D2868">
        <w:rPr>
          <w:rFonts w:ascii="Arial" w:eastAsia="Aptos" w:hAnsi="Arial"/>
          <w:kern w:val="2"/>
          <w:szCs w:val="22"/>
          <w:lang w:val="en-ZA" w:eastAsia="en-US"/>
          <w14:ligatures w14:val="standardContextual"/>
        </w:rPr>
        <w:t xml:space="preserve"> clause and possibly unenforceable.</w:t>
      </w:r>
    </w:p>
    <w:p w14:paraId="2589C8FD"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31F062D5" w14:textId="55060D0E" w:rsid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Pr>
          <w:rFonts w:ascii="Arial" w:eastAsia="Aptos" w:hAnsi="Arial"/>
          <w:kern w:val="2"/>
          <w:szCs w:val="22"/>
          <w:lang w:val="en-ZA" w:eastAsia="en-US"/>
          <w14:ligatures w14:val="standardContextual"/>
        </w:rPr>
        <w:t>[58]</w:t>
      </w:r>
      <w:r>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Tied with these potential difficulties </w:t>
      </w:r>
      <w:r w:rsidR="002D2868" w:rsidRPr="002D2868">
        <w:rPr>
          <w:rFonts w:ascii="Arial" w:eastAsia="Aptos" w:hAnsi="Arial"/>
          <w:i/>
          <w:iCs/>
          <w:kern w:val="2"/>
          <w:szCs w:val="22"/>
          <w:lang w:val="en-ZA" w:eastAsia="en-US"/>
          <w14:ligatures w14:val="standardContextual"/>
        </w:rPr>
        <w:t>pactum commissorium</w:t>
      </w:r>
      <w:r w:rsidR="002D2868" w:rsidRPr="002D2868">
        <w:rPr>
          <w:rFonts w:ascii="Arial" w:eastAsia="Aptos" w:hAnsi="Arial"/>
          <w:kern w:val="2"/>
          <w:szCs w:val="22"/>
          <w:lang w:val="en-ZA" w:eastAsia="en-US"/>
          <w14:ligatures w14:val="standardContextual"/>
        </w:rPr>
        <w:t xml:space="preserve"> and </w:t>
      </w:r>
      <w:r w:rsidR="002D2868" w:rsidRPr="002D2868">
        <w:rPr>
          <w:rFonts w:ascii="Arial" w:eastAsia="Aptos" w:hAnsi="Arial"/>
          <w:i/>
          <w:iCs/>
          <w:kern w:val="2"/>
          <w:szCs w:val="22"/>
          <w:lang w:val="en-ZA" w:eastAsia="en-US"/>
          <w14:ligatures w14:val="standardContextual"/>
        </w:rPr>
        <w:t>parate executie</w:t>
      </w:r>
      <w:r w:rsidR="002D2868" w:rsidRPr="002D2868">
        <w:rPr>
          <w:rFonts w:ascii="Arial" w:eastAsia="Aptos" w:hAnsi="Arial"/>
          <w:kern w:val="2"/>
          <w:szCs w:val="22"/>
          <w:lang w:val="en-ZA" w:eastAsia="en-US"/>
          <w14:ligatures w14:val="standardContextual"/>
        </w:rPr>
        <w:t xml:space="preserve">, and despite both the applicant and the respondents having proffered approximate values for the aircraft and the </w:t>
      </w:r>
      <w:r w:rsidR="00A448EA">
        <w:rPr>
          <w:rFonts w:ascii="Arial" w:eastAsia="Aptos" w:hAnsi="Arial"/>
          <w:kern w:val="2"/>
          <w:szCs w:val="22"/>
          <w:lang w:val="en-ZA" w:eastAsia="en-US"/>
          <w14:ligatures w14:val="standardContextual"/>
        </w:rPr>
        <w:t xml:space="preserve">immovable </w:t>
      </w:r>
      <w:r w:rsidR="002D2868" w:rsidRPr="002D2868">
        <w:rPr>
          <w:rFonts w:ascii="Arial" w:eastAsia="Aptos" w:hAnsi="Arial"/>
          <w:kern w:val="2"/>
          <w:szCs w:val="22"/>
          <w:lang w:val="en-ZA" w:eastAsia="en-US"/>
          <w14:ligatures w14:val="standardContextual"/>
        </w:rPr>
        <w:t xml:space="preserve">property, </w:t>
      </w:r>
      <w:r w:rsidR="009303A9">
        <w:rPr>
          <w:rFonts w:ascii="Arial" w:eastAsia="Aptos" w:hAnsi="Arial"/>
          <w:kern w:val="2"/>
          <w:szCs w:val="22"/>
          <w:lang w:val="en-ZA" w:eastAsia="en-US"/>
          <w14:ligatures w14:val="standardContextual"/>
        </w:rPr>
        <w:t xml:space="preserve">there is </w:t>
      </w:r>
      <w:r w:rsidR="002D2868" w:rsidRPr="002D2868">
        <w:rPr>
          <w:rFonts w:ascii="Arial" w:eastAsia="Aptos" w:hAnsi="Arial"/>
          <w:kern w:val="2"/>
          <w:szCs w:val="22"/>
          <w:lang w:val="en-ZA" w:eastAsia="en-US"/>
          <w14:ligatures w14:val="standardContextual"/>
        </w:rPr>
        <w:t xml:space="preserve">no admissible evidence </w:t>
      </w:r>
      <w:r w:rsidR="009303A9">
        <w:rPr>
          <w:rFonts w:ascii="Arial" w:eastAsia="Aptos" w:hAnsi="Arial"/>
          <w:kern w:val="2"/>
          <w:szCs w:val="22"/>
          <w:lang w:val="en-ZA" w:eastAsia="en-US"/>
          <w14:ligatures w14:val="standardContextual"/>
        </w:rPr>
        <w:t>before the Court relating to the value of the aircraft and the immovable property. This is owing to neither side having employed the services of a suitably qualified expert, and value being evidence of the nature of an opinion</w:t>
      </w:r>
      <w:r w:rsidR="002D2868" w:rsidRPr="002D2868">
        <w:rPr>
          <w:rFonts w:ascii="Arial" w:eastAsia="Aptos" w:hAnsi="Arial"/>
          <w:kern w:val="2"/>
          <w:szCs w:val="22"/>
          <w:lang w:val="en-ZA" w:eastAsia="en-US"/>
          <w14:ligatures w14:val="standardContextual"/>
        </w:rPr>
        <w:t xml:space="preserve">. </w:t>
      </w:r>
    </w:p>
    <w:p w14:paraId="6E0C65CF" w14:textId="77777777" w:rsidR="00695917" w:rsidRPr="002D2868" w:rsidRDefault="00695917" w:rsidP="00695917">
      <w:pPr>
        <w:spacing w:after="160" w:line="360" w:lineRule="auto"/>
        <w:contextualSpacing/>
        <w:jc w:val="both"/>
        <w:rPr>
          <w:rFonts w:ascii="Arial" w:eastAsia="Aptos" w:hAnsi="Arial"/>
          <w:kern w:val="2"/>
          <w:szCs w:val="22"/>
          <w:lang w:val="en-ZA" w:eastAsia="en-US"/>
          <w14:ligatures w14:val="standardContextual"/>
        </w:rPr>
      </w:pPr>
    </w:p>
    <w:p w14:paraId="6CAAADA2" w14:textId="681DA9C0"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[59]</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 Considering clause 14 of the agreement would only permit the applicant to take ownership of </w:t>
      </w:r>
      <w:r w:rsidR="001843CB">
        <w:rPr>
          <w:rFonts w:ascii="Arial" w:eastAsia="Aptos" w:hAnsi="Arial"/>
          <w:kern w:val="2"/>
          <w:szCs w:val="22"/>
          <w:lang w:val="en-ZA" w:eastAsia="en-US"/>
          <w14:ligatures w14:val="standardContextual"/>
        </w:rPr>
        <w:t xml:space="preserve">the immovable </w:t>
      </w:r>
      <w:r w:rsidR="002D2868" w:rsidRPr="002D2868">
        <w:rPr>
          <w:rFonts w:ascii="Arial" w:eastAsia="Aptos" w:hAnsi="Arial"/>
          <w:kern w:val="2"/>
          <w:szCs w:val="22"/>
          <w:lang w:val="en-ZA" w:eastAsia="en-US"/>
          <w14:ligatures w14:val="standardContextual"/>
        </w:rPr>
        <w:t xml:space="preserve">property </w:t>
      </w:r>
      <w:r w:rsidR="002D2868" w:rsidRPr="00D53F93">
        <w:rPr>
          <w:rFonts w:ascii="Arial" w:eastAsia="Aptos" w:hAnsi="Arial"/>
          <w:kern w:val="2"/>
          <w:szCs w:val="22"/>
          <w:lang w:val="en-ZA" w:eastAsia="en-US"/>
          <w14:ligatures w14:val="standardContextual"/>
        </w:rPr>
        <w:t>“</w:t>
      </w:r>
      <w:r w:rsidR="002D2868" w:rsidRPr="001F75EA">
        <w:rPr>
          <w:rFonts w:ascii="Arial" w:eastAsia="Aptos" w:hAnsi="Arial"/>
          <w:b/>
          <w:bCs/>
          <w:i/>
          <w:iCs/>
          <w:kern w:val="2"/>
          <w:szCs w:val="22"/>
          <w:lang w:val="en-ZA" w:eastAsia="en-US"/>
          <w14:ligatures w14:val="standardContextual"/>
        </w:rPr>
        <w:t>up to the value</w:t>
      </w:r>
      <w:r w:rsidR="002D2868" w:rsidRPr="001F75EA">
        <w:rPr>
          <w:rFonts w:ascii="Arial" w:eastAsia="Aptos" w:hAnsi="Arial"/>
          <w:i/>
          <w:iCs/>
          <w:kern w:val="2"/>
          <w:szCs w:val="22"/>
          <w:lang w:val="en-ZA" w:eastAsia="en-US"/>
          <w14:ligatures w14:val="standardContextual"/>
        </w:rPr>
        <w:t xml:space="preserve"> outstanding for the purchase consideration</w:t>
      </w:r>
      <w:r w:rsidR="002D2868" w:rsidRPr="00D53F93">
        <w:rPr>
          <w:rFonts w:ascii="Arial" w:eastAsia="Aptos" w:hAnsi="Arial"/>
          <w:kern w:val="2"/>
          <w:szCs w:val="22"/>
          <w:lang w:val="en-ZA" w:eastAsia="en-US"/>
          <w14:ligatures w14:val="standardContextual"/>
        </w:rPr>
        <w:t>”</w:t>
      </w:r>
      <w:r w:rsidR="002D2868" w:rsidRPr="002D2868">
        <w:rPr>
          <w:rFonts w:ascii="Arial" w:eastAsia="Aptos" w:hAnsi="Arial"/>
          <w:kern w:val="2"/>
          <w:szCs w:val="22"/>
          <w:lang w:val="en-ZA" w:eastAsia="en-US"/>
          <w14:ligatures w14:val="standardContextual"/>
        </w:rPr>
        <w:t xml:space="preserve">, this would have constituted essential evidence. It is not sufficient that it has merely been stated in the replying affidavit that these assets may be sold and applied towards the outstanding purchase consideration, and any excess tendered.  This is because what is being requested is a conferral of ownership in the relief, not an entitlement to execute against.  </w:t>
      </w:r>
    </w:p>
    <w:p w14:paraId="6AD40E5E" w14:textId="77777777" w:rsidR="002D2868" w:rsidRPr="002D2868" w:rsidRDefault="002D2868" w:rsidP="00695917">
      <w:pPr>
        <w:spacing w:after="160" w:line="360" w:lineRule="auto"/>
        <w:contextualSpacing/>
        <w:jc w:val="both"/>
        <w:rPr>
          <w:rFonts w:ascii="Arial" w:eastAsia="Aptos" w:hAnsi="Arial"/>
          <w:kern w:val="2"/>
          <w:szCs w:val="22"/>
          <w:lang w:val="en-ZA" w:eastAsia="en-US"/>
          <w14:ligatures w14:val="standardContextual"/>
        </w:rPr>
      </w:pPr>
    </w:p>
    <w:p w14:paraId="6438295A" w14:textId="09BB0E3B"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[60]</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For these reasons, and apart from the undefended claim for rectification, the applicant’s application must fail. </w:t>
      </w:r>
    </w:p>
    <w:p w14:paraId="59974F9D" w14:textId="77777777" w:rsidR="002D2868" w:rsidRPr="002D2868" w:rsidRDefault="002D2868" w:rsidP="00695917">
      <w:pPr>
        <w:spacing w:after="160" w:line="360" w:lineRule="auto"/>
        <w:ind w:left="720"/>
        <w:contextualSpacing/>
        <w:jc w:val="both"/>
        <w:rPr>
          <w:rFonts w:ascii="Arial" w:eastAsia="Aptos" w:hAnsi="Arial"/>
          <w:kern w:val="2"/>
          <w:szCs w:val="22"/>
          <w:lang w:val="en-ZA" w:eastAsia="en-US"/>
          <w14:ligatures w14:val="standardContextual"/>
        </w:rPr>
      </w:pPr>
    </w:p>
    <w:p w14:paraId="1CD625C9" w14:textId="7EFB4CB7"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[61]</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Turning to the aspect of costs and while:</w:t>
      </w:r>
    </w:p>
    <w:p w14:paraId="5E744B23" w14:textId="77777777" w:rsidR="002D2868" w:rsidRPr="002D2868" w:rsidRDefault="00D53F93" w:rsidP="00D53F93">
      <w:pPr>
        <w:tabs>
          <w:tab w:val="left" w:pos="851"/>
          <w:tab w:val="left" w:pos="1418"/>
          <w:tab w:val="left" w:pos="2268"/>
        </w:tabs>
        <w:autoSpaceDE w:val="0"/>
        <w:autoSpaceDN w:val="0"/>
        <w:adjustRightInd w:val="0"/>
        <w:spacing w:line="360" w:lineRule="auto"/>
        <w:ind w:left="720" w:hanging="720"/>
        <w:jc w:val="both"/>
        <w:rPr>
          <w:rFonts w:ascii="Arial" w:eastAsia="Aptos" w:hAnsi="Arial"/>
          <w:kern w:val="2"/>
          <w:szCs w:val="22"/>
          <w:lang w:val="en-ZA" w:eastAsia="en-US"/>
          <w14:ligatures w14:val="standardContextual"/>
        </w:rPr>
      </w:pPr>
      <w:r>
        <w:rPr>
          <w:rFonts w:ascii="Arial" w:eastAsia="Aptos" w:hAnsi="Arial"/>
          <w:kern w:val="2"/>
          <w:szCs w:val="22"/>
          <w:lang w:val="en-ZA" w:eastAsia="en-US"/>
          <w14:ligatures w14:val="standardContextual"/>
        </w:rPr>
        <w:t>(a)</w:t>
      </w:r>
      <w:r>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the applicant was successful in its claim for rectification (though that part was essentially undefended);</w:t>
      </w:r>
    </w:p>
    <w:p w14:paraId="2E73639E" w14:textId="77777777" w:rsidR="002D2868" w:rsidRPr="002D2868" w:rsidRDefault="00D53F93" w:rsidP="00D53F93">
      <w:pPr>
        <w:spacing w:after="160" w:line="360" w:lineRule="auto"/>
        <w:ind w:left="720" w:hanging="720"/>
        <w:contextualSpacing/>
        <w:jc w:val="both"/>
        <w:rPr>
          <w:rFonts w:ascii="Arial" w:eastAsia="Aptos" w:hAnsi="Arial"/>
          <w:kern w:val="2"/>
          <w:szCs w:val="22"/>
          <w:lang w:val="en-ZA" w:eastAsia="en-US"/>
          <w14:ligatures w14:val="standardContextual"/>
        </w:rPr>
      </w:pPr>
      <w:r>
        <w:rPr>
          <w:rFonts w:ascii="Arial" w:eastAsia="Aptos" w:hAnsi="Arial"/>
          <w:kern w:val="2"/>
          <w:szCs w:val="22"/>
          <w:lang w:val="en-ZA" w:eastAsia="en-US"/>
          <w14:ligatures w14:val="standardContextual"/>
        </w:rPr>
        <w:lastRenderedPageBreak/>
        <w:t>(b)</w:t>
      </w:r>
      <w:r>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the applicant will nonetheless gain control of the aircraft again through the finding that the second sale of shares agreement did not come into existence;</w:t>
      </w:r>
    </w:p>
    <w:p w14:paraId="1BC17F70" w14:textId="77777777" w:rsidR="002D2868" w:rsidRPr="002D2868" w:rsidRDefault="002D2868" w:rsidP="00695917">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 xml:space="preserve">the applicant has been predominantly unsuccessful relief sought.  </w:t>
      </w:r>
    </w:p>
    <w:p w14:paraId="6942B9C3" w14:textId="77777777" w:rsidR="002D2868" w:rsidRPr="002D2868" w:rsidRDefault="002D2868" w:rsidP="00695917">
      <w:pPr>
        <w:spacing w:after="160" w:line="360" w:lineRule="auto"/>
        <w:jc w:val="both"/>
        <w:rPr>
          <w:rFonts w:ascii="Arial" w:eastAsia="Aptos" w:hAnsi="Arial"/>
          <w:kern w:val="2"/>
          <w:szCs w:val="22"/>
          <w:lang w:val="en-ZA" w:eastAsia="en-US"/>
          <w14:ligatures w14:val="standardContextual"/>
        </w:rPr>
      </w:pPr>
    </w:p>
    <w:p w14:paraId="3FDD5205" w14:textId="0A1C692B" w:rsidR="002D2868" w:rsidRPr="002D2868"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2D2868">
        <w:rPr>
          <w:rFonts w:ascii="Arial" w:eastAsia="Aptos" w:hAnsi="Arial"/>
          <w:kern w:val="2"/>
          <w:szCs w:val="22"/>
          <w:lang w:val="en-ZA" w:eastAsia="en-US"/>
          <w14:ligatures w14:val="standardContextual"/>
        </w:rPr>
        <w:t>[62]</w:t>
      </w:r>
      <w:r w:rsidRPr="002D2868">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 xml:space="preserve">Consequently the applicant should pay the costs of the application. </w:t>
      </w:r>
    </w:p>
    <w:p w14:paraId="28A05E0A" w14:textId="77777777" w:rsidR="002D2868" w:rsidRDefault="002D2868" w:rsidP="00695917">
      <w:pPr>
        <w:spacing w:after="160" w:line="360" w:lineRule="auto"/>
        <w:contextualSpacing/>
        <w:jc w:val="both"/>
        <w:rPr>
          <w:rFonts w:ascii="Arial" w:eastAsia="Aptos" w:hAnsi="Arial"/>
          <w:kern w:val="2"/>
          <w:szCs w:val="22"/>
          <w:lang w:val="en-ZA" w:eastAsia="en-US"/>
          <w14:ligatures w14:val="standardContextual"/>
        </w:rPr>
      </w:pPr>
    </w:p>
    <w:p w14:paraId="2B445F67" w14:textId="77777777" w:rsidR="00D53F93" w:rsidRPr="00D53F93" w:rsidRDefault="00D53F93" w:rsidP="00695917">
      <w:pPr>
        <w:spacing w:after="160" w:line="360" w:lineRule="auto"/>
        <w:contextualSpacing/>
        <w:jc w:val="both"/>
        <w:rPr>
          <w:rFonts w:ascii="Arial" w:eastAsia="Aptos" w:hAnsi="Arial"/>
          <w:b/>
          <w:kern w:val="2"/>
          <w:szCs w:val="22"/>
          <w:lang w:val="en-ZA" w:eastAsia="en-US"/>
          <w14:ligatures w14:val="standardContextual"/>
        </w:rPr>
      </w:pPr>
      <w:r w:rsidRPr="00D53F93">
        <w:rPr>
          <w:rFonts w:ascii="Arial" w:eastAsia="Aptos" w:hAnsi="Arial"/>
          <w:b/>
          <w:kern w:val="2"/>
          <w:szCs w:val="22"/>
          <w:lang w:val="en-ZA" w:eastAsia="en-US"/>
          <w14:ligatures w14:val="standardContextual"/>
        </w:rPr>
        <w:t>Order</w:t>
      </w:r>
    </w:p>
    <w:p w14:paraId="790CCDFA" w14:textId="612957DB" w:rsidR="002D2868" w:rsidRPr="00D53F93" w:rsidRDefault="00C3607A" w:rsidP="00C3607A">
      <w:pPr>
        <w:spacing w:after="160" w:line="360" w:lineRule="auto"/>
        <w:contextualSpacing/>
        <w:jc w:val="both"/>
        <w:rPr>
          <w:rFonts w:ascii="Arial" w:eastAsia="Aptos" w:hAnsi="Arial"/>
          <w:kern w:val="2"/>
          <w:szCs w:val="22"/>
          <w:lang w:val="en-ZA" w:eastAsia="en-US"/>
          <w14:ligatures w14:val="standardContextual"/>
        </w:rPr>
      </w:pPr>
      <w:r w:rsidRPr="00D53F93">
        <w:rPr>
          <w:rFonts w:ascii="Arial" w:eastAsia="Aptos" w:hAnsi="Arial"/>
          <w:kern w:val="2"/>
          <w:szCs w:val="22"/>
          <w:lang w:val="en-ZA" w:eastAsia="en-US"/>
          <w14:ligatures w14:val="standardContextual"/>
        </w:rPr>
        <w:t>[63]</w:t>
      </w:r>
      <w:r w:rsidRPr="00D53F93">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In a result of the above the following order is made:</w:t>
      </w:r>
    </w:p>
    <w:p w14:paraId="7B46EEAC" w14:textId="77777777" w:rsidR="00151EEA" w:rsidRDefault="00151EEA" w:rsidP="00695917">
      <w:pPr>
        <w:spacing w:after="160" w:line="360" w:lineRule="auto"/>
        <w:ind w:left="1134" w:hanging="567"/>
        <w:jc w:val="both"/>
        <w:rPr>
          <w:rFonts w:ascii="Arial" w:eastAsiaTheme="minorHAnsi" w:hAnsi="Arial" w:cs="Arial"/>
          <w:kern w:val="2"/>
          <w:lang w:val="en-ZA" w:eastAsia="en-US"/>
          <w14:ligatures w14:val="standardContextual"/>
        </w:rPr>
      </w:pPr>
      <w:bookmarkStart w:id="1" w:name="_Hlk164341024"/>
      <w:r>
        <w:rPr>
          <w:rFonts w:ascii="Arial" w:eastAsiaTheme="minorHAnsi" w:hAnsi="Arial" w:cs="Arial"/>
          <w:kern w:val="2"/>
          <w:lang w:val="en-ZA" w:eastAsia="en-US"/>
          <w14:ligatures w14:val="standardContextual"/>
        </w:rPr>
        <w:t>1.</w:t>
      </w:r>
      <w:r>
        <w:rPr>
          <w:rFonts w:ascii="Arial" w:eastAsiaTheme="minorHAnsi" w:hAnsi="Arial" w:cs="Arial"/>
          <w:kern w:val="2"/>
          <w:lang w:val="en-ZA" w:eastAsia="en-US"/>
          <w14:ligatures w14:val="standardContextual"/>
        </w:rPr>
        <w:tab/>
      </w:r>
      <w:r w:rsidRPr="002D4F4B">
        <w:rPr>
          <w:rFonts w:ascii="Arial" w:eastAsiaTheme="minorHAnsi" w:hAnsi="Arial" w:cs="Arial"/>
          <w:kern w:val="2"/>
          <w:lang w:val="en-ZA" w:eastAsia="en-US"/>
          <w14:ligatures w14:val="standardContextual"/>
        </w:rPr>
        <w:t xml:space="preserve">Clause 14 of the second sale of shares agreement concluded on 1 December 2021 is amended by inserting the words </w:t>
      </w:r>
      <w:r w:rsidRPr="00695917">
        <w:rPr>
          <w:rFonts w:ascii="Arial" w:eastAsiaTheme="minorHAnsi" w:hAnsi="Arial" w:cs="Arial"/>
          <w:kern w:val="2"/>
          <w:lang w:val="en-ZA" w:eastAsia="en-US"/>
          <w14:ligatures w14:val="standardContextual"/>
        </w:rPr>
        <w:t>“</w:t>
      </w:r>
      <w:r w:rsidRPr="00695917">
        <w:rPr>
          <w:rFonts w:ascii="Arial" w:eastAsiaTheme="minorHAnsi" w:hAnsi="Arial" w:cs="Arial"/>
          <w:i/>
          <w:iCs/>
          <w:kern w:val="2"/>
          <w:lang w:val="en-ZA" w:eastAsia="en-US"/>
          <w14:ligatures w14:val="standardContextual"/>
        </w:rPr>
        <w:t>and or the purchaser</w:t>
      </w:r>
      <w:r w:rsidRPr="00695917">
        <w:rPr>
          <w:rFonts w:ascii="Arial" w:eastAsiaTheme="minorHAnsi" w:hAnsi="Arial" w:cs="Arial"/>
          <w:kern w:val="2"/>
          <w:lang w:val="en-ZA" w:eastAsia="en-US"/>
          <w14:ligatures w14:val="standardContextual"/>
        </w:rPr>
        <w:t>” immediately after the phrase “</w:t>
      </w:r>
      <w:r w:rsidRPr="00695917">
        <w:rPr>
          <w:rFonts w:ascii="Arial" w:eastAsiaTheme="minorHAnsi" w:hAnsi="Arial" w:cs="Arial"/>
          <w:i/>
          <w:iCs/>
          <w:kern w:val="2"/>
          <w:lang w:val="en-ZA" w:eastAsia="en-US"/>
          <w14:ligatures w14:val="standardContextual"/>
        </w:rPr>
        <w:t>by the company</w:t>
      </w:r>
      <w:r w:rsidRPr="00695917">
        <w:rPr>
          <w:rFonts w:ascii="Arial" w:eastAsiaTheme="minorHAnsi" w:hAnsi="Arial" w:cs="Arial"/>
          <w:kern w:val="2"/>
          <w:lang w:val="en-ZA" w:eastAsia="en-US"/>
          <w14:ligatures w14:val="standardContextual"/>
        </w:rPr>
        <w:t>”.</w:t>
      </w:r>
    </w:p>
    <w:p w14:paraId="6B3F2A41" w14:textId="77777777" w:rsidR="00695917" w:rsidRDefault="00695917" w:rsidP="00695917">
      <w:pPr>
        <w:spacing w:after="160" w:line="360" w:lineRule="auto"/>
        <w:ind w:left="1134" w:hanging="567"/>
        <w:jc w:val="both"/>
        <w:rPr>
          <w:rFonts w:ascii="Arial" w:eastAsia="Aptos" w:hAnsi="Arial"/>
          <w:kern w:val="2"/>
          <w:szCs w:val="22"/>
          <w:lang w:val="en-ZA" w:eastAsia="en-US"/>
          <w14:ligatures w14:val="standardContextual"/>
        </w:rPr>
      </w:pPr>
      <w:r>
        <w:rPr>
          <w:rFonts w:ascii="Arial" w:eastAsia="Aptos" w:hAnsi="Arial"/>
          <w:kern w:val="2"/>
          <w:szCs w:val="22"/>
          <w:lang w:val="en-ZA" w:eastAsia="en-US"/>
          <w14:ligatures w14:val="standardContextual"/>
        </w:rPr>
        <w:t>2.</w:t>
      </w:r>
      <w:r>
        <w:rPr>
          <w:rFonts w:ascii="Arial" w:eastAsia="Aptos" w:hAnsi="Arial"/>
          <w:kern w:val="2"/>
          <w:szCs w:val="22"/>
          <w:lang w:val="en-ZA" w:eastAsia="en-US"/>
          <w14:ligatures w14:val="standardContextual"/>
        </w:rPr>
        <w:tab/>
      </w:r>
      <w:r w:rsidR="002D2868" w:rsidRPr="00695917">
        <w:rPr>
          <w:rFonts w:ascii="Arial" w:eastAsia="Aptos" w:hAnsi="Arial"/>
          <w:kern w:val="2"/>
          <w:szCs w:val="22"/>
          <w:lang w:val="en-ZA" w:eastAsia="en-US"/>
          <w14:ligatures w14:val="standardContextual"/>
        </w:rPr>
        <w:t xml:space="preserve">The balance of the relief sought by the applicant is dismissed. </w:t>
      </w:r>
    </w:p>
    <w:p w14:paraId="7144DD7F" w14:textId="2EF404C4" w:rsidR="002D2868" w:rsidRPr="002D2868" w:rsidRDefault="00695917" w:rsidP="00695917">
      <w:pPr>
        <w:spacing w:after="160" w:line="360" w:lineRule="auto"/>
        <w:ind w:left="1134" w:hanging="567"/>
        <w:jc w:val="both"/>
        <w:rPr>
          <w:rFonts w:ascii="Arial" w:eastAsia="Aptos" w:hAnsi="Arial"/>
          <w:kern w:val="2"/>
          <w:szCs w:val="22"/>
          <w:lang w:val="en-ZA" w:eastAsia="en-US"/>
          <w14:ligatures w14:val="standardContextual"/>
        </w:rPr>
      </w:pPr>
      <w:r>
        <w:rPr>
          <w:rFonts w:ascii="Arial" w:eastAsia="Aptos" w:hAnsi="Arial"/>
          <w:kern w:val="2"/>
          <w:szCs w:val="22"/>
          <w:lang w:val="en-ZA" w:eastAsia="en-US"/>
          <w14:ligatures w14:val="standardContextual"/>
        </w:rPr>
        <w:t>3.</w:t>
      </w:r>
      <w:r>
        <w:rPr>
          <w:rFonts w:ascii="Arial" w:eastAsia="Aptos" w:hAnsi="Arial"/>
          <w:kern w:val="2"/>
          <w:szCs w:val="22"/>
          <w:lang w:val="en-ZA" w:eastAsia="en-US"/>
          <w14:ligatures w14:val="standardContextual"/>
        </w:rPr>
        <w:tab/>
      </w:r>
      <w:r w:rsidR="002D2868" w:rsidRPr="002D2868">
        <w:rPr>
          <w:rFonts w:ascii="Arial" w:eastAsia="Aptos" w:hAnsi="Arial"/>
          <w:kern w:val="2"/>
          <w:szCs w:val="22"/>
          <w:lang w:val="en-ZA" w:eastAsia="en-US"/>
          <w14:ligatures w14:val="standardContextual"/>
        </w:rPr>
        <w:t>The applicant is to bear the costs of the application on a party and party scale</w:t>
      </w:r>
      <w:bookmarkEnd w:id="1"/>
      <w:r w:rsidR="002D2868" w:rsidRPr="002D2868">
        <w:rPr>
          <w:rFonts w:ascii="Arial" w:eastAsia="Aptos" w:hAnsi="Arial"/>
          <w:kern w:val="2"/>
          <w:szCs w:val="22"/>
          <w:lang w:val="en-ZA" w:eastAsia="en-US"/>
          <w14:ligatures w14:val="standardContextual"/>
        </w:rPr>
        <w:t xml:space="preserve">. </w:t>
      </w:r>
    </w:p>
    <w:p w14:paraId="79F241E7" w14:textId="77777777" w:rsidR="004F4BF6" w:rsidRDefault="004F4BF6" w:rsidP="007E169D">
      <w:pPr>
        <w:pStyle w:val="NoSpacing"/>
        <w:spacing w:line="360" w:lineRule="auto"/>
        <w:contextualSpacing/>
        <w:jc w:val="both"/>
        <w:rPr>
          <w:rFonts w:ascii="Arial" w:hAnsi="Arial" w:cs="Arial"/>
        </w:rPr>
      </w:pPr>
    </w:p>
    <w:p w14:paraId="5DD722FE" w14:textId="77777777" w:rsidR="00AC714D" w:rsidRDefault="00AC714D" w:rsidP="007E169D">
      <w:pPr>
        <w:pStyle w:val="NoSpacing"/>
        <w:spacing w:line="360" w:lineRule="auto"/>
        <w:contextualSpacing/>
        <w:jc w:val="both"/>
        <w:rPr>
          <w:rFonts w:ascii="Arial" w:hAnsi="Arial" w:cs="Arial"/>
        </w:rPr>
      </w:pPr>
    </w:p>
    <w:p w14:paraId="21664FA7" w14:textId="77777777" w:rsidR="00DE6A71" w:rsidRDefault="00DE6A71" w:rsidP="007E169D">
      <w:pPr>
        <w:pStyle w:val="NoSpacing"/>
        <w:spacing w:line="360" w:lineRule="auto"/>
        <w:contextualSpacing/>
        <w:jc w:val="both"/>
        <w:rPr>
          <w:rFonts w:ascii="Arial" w:hAnsi="Arial" w:cs="Arial"/>
        </w:rPr>
      </w:pPr>
    </w:p>
    <w:p w14:paraId="6D0A8A4A" w14:textId="77777777" w:rsidR="00AC714D" w:rsidRPr="00922273" w:rsidRDefault="00AC714D" w:rsidP="007E169D">
      <w:pPr>
        <w:pStyle w:val="NoSpacing"/>
        <w:spacing w:line="360" w:lineRule="auto"/>
        <w:contextualSpacing/>
        <w:jc w:val="both"/>
        <w:rPr>
          <w:rFonts w:ascii="Arial" w:hAnsi="Arial" w:cs="Arial"/>
        </w:rPr>
      </w:pPr>
    </w:p>
    <w:p w14:paraId="486823CE" w14:textId="77777777" w:rsidR="005579F8" w:rsidRPr="00782A7A" w:rsidRDefault="005579F8" w:rsidP="007E169D">
      <w:pPr>
        <w:spacing w:line="360" w:lineRule="auto"/>
        <w:ind w:left="-90" w:firstLine="90"/>
        <w:jc w:val="right"/>
        <w:rPr>
          <w:rFonts w:ascii="Arial" w:hAnsi="Arial" w:cs="Arial"/>
          <w:b/>
          <w:lang w:val="en-ZA"/>
        </w:rPr>
      </w:pPr>
      <w:r w:rsidRPr="00782A7A">
        <w:rPr>
          <w:rFonts w:ascii="Arial" w:hAnsi="Arial" w:cs="Arial"/>
          <w:b/>
          <w:lang w:val="en-ZA"/>
        </w:rPr>
        <w:t>__________________________</w:t>
      </w:r>
    </w:p>
    <w:p w14:paraId="5E327777" w14:textId="77777777" w:rsidR="004E1E44" w:rsidRPr="00782A7A" w:rsidRDefault="002D2868" w:rsidP="00A0564D">
      <w:pPr>
        <w:spacing w:line="360" w:lineRule="auto"/>
        <w:ind w:left="-90" w:firstLine="90"/>
        <w:jc w:val="right"/>
        <w:rPr>
          <w:rFonts w:ascii="Arial" w:hAnsi="Arial" w:cs="Arial"/>
          <w:b/>
          <w:lang w:val="en-ZA"/>
        </w:rPr>
      </w:pPr>
      <w:r w:rsidRPr="00782A7A">
        <w:rPr>
          <w:rFonts w:ascii="Arial" w:hAnsi="Arial" w:cs="Arial"/>
          <w:b/>
          <w:lang w:val="en-ZA"/>
        </w:rPr>
        <w:t>TUCKER</w:t>
      </w:r>
      <w:r w:rsidR="005579F8" w:rsidRPr="00782A7A">
        <w:rPr>
          <w:rFonts w:ascii="Arial" w:hAnsi="Arial" w:cs="Arial"/>
          <w:b/>
          <w:lang w:val="en-ZA"/>
        </w:rPr>
        <w:t xml:space="preserve"> AJ</w:t>
      </w:r>
    </w:p>
    <w:p w14:paraId="511E0412" w14:textId="77777777" w:rsidR="004E1E44" w:rsidRDefault="004E1E44" w:rsidP="008630D3">
      <w:pPr>
        <w:spacing w:line="360" w:lineRule="auto"/>
        <w:jc w:val="both"/>
        <w:rPr>
          <w:rFonts w:ascii="Arial" w:hAnsi="Arial" w:cs="Arial"/>
          <w:lang w:val="en-ZA"/>
        </w:rPr>
      </w:pPr>
    </w:p>
    <w:p w14:paraId="078EF957" w14:textId="77777777" w:rsidR="008630D3" w:rsidRDefault="008630D3" w:rsidP="008630D3">
      <w:pPr>
        <w:spacing w:line="360" w:lineRule="auto"/>
        <w:jc w:val="both"/>
        <w:rPr>
          <w:rFonts w:ascii="Arial" w:hAnsi="Arial" w:cs="Arial"/>
          <w:lang w:val="en-ZA"/>
        </w:rPr>
      </w:pPr>
    </w:p>
    <w:p w14:paraId="13002712" w14:textId="77777777" w:rsidR="008C73AC" w:rsidRDefault="008C73AC" w:rsidP="008630D3">
      <w:pPr>
        <w:spacing w:line="360" w:lineRule="auto"/>
        <w:jc w:val="both"/>
        <w:rPr>
          <w:rFonts w:ascii="Arial" w:hAnsi="Arial" w:cs="Arial"/>
          <w:lang w:val="en-ZA"/>
        </w:rPr>
      </w:pPr>
    </w:p>
    <w:p w14:paraId="07E79451" w14:textId="77777777" w:rsidR="0029670E" w:rsidRDefault="0029670E" w:rsidP="008630D3">
      <w:pPr>
        <w:spacing w:line="360" w:lineRule="auto"/>
        <w:jc w:val="both"/>
        <w:rPr>
          <w:rFonts w:ascii="Arial" w:hAnsi="Arial" w:cs="Arial"/>
          <w:lang w:val="en-ZA"/>
        </w:rPr>
      </w:pPr>
    </w:p>
    <w:p w14:paraId="5A31926F" w14:textId="77777777" w:rsidR="0029670E" w:rsidRDefault="0029670E" w:rsidP="008630D3">
      <w:pPr>
        <w:spacing w:line="360" w:lineRule="auto"/>
        <w:jc w:val="both"/>
        <w:rPr>
          <w:rFonts w:ascii="Arial" w:hAnsi="Arial" w:cs="Arial"/>
          <w:lang w:val="en-ZA"/>
        </w:rPr>
      </w:pPr>
    </w:p>
    <w:p w14:paraId="3ACB9034" w14:textId="77777777" w:rsidR="0029670E" w:rsidRDefault="0029670E" w:rsidP="008630D3">
      <w:pPr>
        <w:spacing w:line="360" w:lineRule="auto"/>
        <w:jc w:val="both"/>
        <w:rPr>
          <w:rFonts w:ascii="Arial" w:hAnsi="Arial" w:cs="Arial"/>
          <w:lang w:val="en-ZA"/>
        </w:rPr>
      </w:pPr>
    </w:p>
    <w:p w14:paraId="2E67F99A" w14:textId="77777777" w:rsidR="0029670E" w:rsidRDefault="0029670E" w:rsidP="008630D3">
      <w:pPr>
        <w:spacing w:line="360" w:lineRule="auto"/>
        <w:jc w:val="both"/>
        <w:rPr>
          <w:rFonts w:ascii="Arial" w:hAnsi="Arial" w:cs="Arial"/>
          <w:lang w:val="en-ZA"/>
        </w:rPr>
      </w:pPr>
    </w:p>
    <w:p w14:paraId="65DF5333" w14:textId="77777777" w:rsidR="0029670E" w:rsidRDefault="0029670E" w:rsidP="008630D3">
      <w:pPr>
        <w:spacing w:line="360" w:lineRule="auto"/>
        <w:jc w:val="both"/>
        <w:rPr>
          <w:rFonts w:ascii="Arial" w:hAnsi="Arial" w:cs="Arial"/>
          <w:lang w:val="en-ZA"/>
        </w:rPr>
      </w:pPr>
    </w:p>
    <w:p w14:paraId="4387A597" w14:textId="77777777" w:rsidR="0029670E" w:rsidRDefault="0029670E" w:rsidP="008630D3">
      <w:pPr>
        <w:spacing w:line="360" w:lineRule="auto"/>
        <w:jc w:val="both"/>
        <w:rPr>
          <w:rFonts w:ascii="Arial" w:hAnsi="Arial" w:cs="Arial"/>
          <w:lang w:val="en-ZA"/>
        </w:rPr>
      </w:pPr>
    </w:p>
    <w:p w14:paraId="45E8786F" w14:textId="77777777" w:rsidR="0029670E" w:rsidRDefault="0029670E" w:rsidP="008630D3">
      <w:pPr>
        <w:spacing w:line="360" w:lineRule="auto"/>
        <w:jc w:val="both"/>
        <w:rPr>
          <w:rFonts w:ascii="Arial" w:hAnsi="Arial" w:cs="Arial"/>
          <w:lang w:val="en-ZA"/>
        </w:rPr>
      </w:pPr>
    </w:p>
    <w:p w14:paraId="0261075B" w14:textId="77777777" w:rsidR="0029670E" w:rsidRDefault="0029670E" w:rsidP="008630D3">
      <w:pPr>
        <w:spacing w:line="360" w:lineRule="auto"/>
        <w:jc w:val="both"/>
        <w:rPr>
          <w:rFonts w:ascii="Arial" w:hAnsi="Arial" w:cs="Arial"/>
          <w:lang w:val="en-ZA"/>
        </w:rPr>
      </w:pPr>
    </w:p>
    <w:p w14:paraId="5F63D70B" w14:textId="77777777" w:rsidR="0029670E" w:rsidRPr="00922273" w:rsidRDefault="0029670E" w:rsidP="008630D3">
      <w:pPr>
        <w:spacing w:line="360" w:lineRule="auto"/>
        <w:jc w:val="both"/>
        <w:rPr>
          <w:rFonts w:ascii="Arial" w:hAnsi="Arial" w:cs="Arial"/>
          <w:lang w:val="en-ZA"/>
        </w:rPr>
      </w:pPr>
    </w:p>
    <w:p w14:paraId="143DA88D" w14:textId="77777777" w:rsidR="00BB0027" w:rsidRPr="00922273" w:rsidRDefault="00BB0027" w:rsidP="007E169D">
      <w:pPr>
        <w:spacing w:line="360" w:lineRule="auto"/>
        <w:jc w:val="both"/>
        <w:rPr>
          <w:rFonts w:ascii="Arial" w:eastAsia="Arial" w:hAnsi="Arial" w:cs="Arial"/>
          <w:b/>
          <w:u w:val="single"/>
          <w:lang w:val="en-ZA"/>
        </w:rPr>
      </w:pPr>
      <w:r w:rsidRPr="00922273">
        <w:rPr>
          <w:rFonts w:ascii="Arial" w:eastAsia="Arial" w:hAnsi="Arial" w:cs="Arial"/>
          <w:b/>
          <w:u w:val="single"/>
          <w:lang w:val="en-ZA"/>
        </w:rPr>
        <w:lastRenderedPageBreak/>
        <w:t>Appearances</w:t>
      </w:r>
    </w:p>
    <w:p w14:paraId="1C77F4C1" w14:textId="77777777" w:rsidR="00BB0027" w:rsidRPr="00922273" w:rsidRDefault="00BB0027" w:rsidP="007E169D">
      <w:pPr>
        <w:spacing w:line="360" w:lineRule="auto"/>
        <w:jc w:val="both"/>
        <w:rPr>
          <w:rFonts w:ascii="Arial" w:eastAsia="Arial" w:hAnsi="Arial" w:cs="Arial"/>
          <w:lang w:val="en-ZA"/>
        </w:rPr>
      </w:pPr>
    </w:p>
    <w:p w14:paraId="40F54730" w14:textId="77777777" w:rsidR="0029670E" w:rsidRPr="00A0564D" w:rsidRDefault="00BB0027" w:rsidP="007E169D">
      <w:pPr>
        <w:spacing w:line="360" w:lineRule="auto"/>
        <w:jc w:val="both"/>
        <w:rPr>
          <w:rFonts w:ascii="Arial" w:eastAsia="Arial" w:hAnsi="Arial" w:cs="Arial"/>
          <w:lang w:val="en-ZA"/>
        </w:rPr>
      </w:pPr>
      <w:bookmarkStart w:id="2" w:name="_Hlk163473546"/>
      <w:r w:rsidRPr="00922273">
        <w:rPr>
          <w:rFonts w:ascii="Arial" w:eastAsia="Arial" w:hAnsi="Arial" w:cs="Arial"/>
          <w:lang w:val="en-ZA"/>
        </w:rPr>
        <w:t>Counsel for</w:t>
      </w:r>
      <w:bookmarkEnd w:id="2"/>
      <w:r w:rsidR="00A0564D">
        <w:rPr>
          <w:rFonts w:ascii="Arial" w:eastAsia="Arial" w:hAnsi="Arial" w:cs="Arial"/>
          <w:lang w:val="en-ZA"/>
        </w:rPr>
        <w:t xml:space="preserve"> Applicant: </w:t>
      </w:r>
      <w:r w:rsidR="008630D3">
        <w:rPr>
          <w:rFonts w:ascii="Arial" w:eastAsia="Arial" w:hAnsi="Arial" w:cs="Arial"/>
          <w:lang w:val="en-ZA"/>
        </w:rPr>
        <w:tab/>
      </w:r>
      <w:r w:rsidR="001207FB">
        <w:rPr>
          <w:rFonts w:ascii="Arial" w:eastAsia="Arial" w:hAnsi="Arial" w:cs="Arial"/>
          <w:lang w:val="en-ZA"/>
        </w:rPr>
        <w:tab/>
      </w:r>
      <w:r w:rsidR="001207FB" w:rsidRPr="001207FB">
        <w:rPr>
          <w:rFonts w:ascii="Arial" w:eastAsia="Arial" w:hAnsi="Arial" w:cs="Arial"/>
          <w:lang w:val="en-ZA"/>
        </w:rPr>
        <w:t>K J Van Huyssteen</w:t>
      </w:r>
      <w:r w:rsidR="002D2868">
        <w:rPr>
          <w:rFonts w:ascii="Arial" w:eastAsia="Arial" w:hAnsi="Arial" w:cs="Arial"/>
          <w:lang w:val="en-ZA"/>
        </w:rPr>
        <w:tab/>
      </w:r>
      <w:r w:rsidRPr="00922273">
        <w:rPr>
          <w:rFonts w:ascii="Arial" w:eastAsia="Arial" w:hAnsi="Arial" w:cs="Arial"/>
          <w:lang w:val="en-ZA"/>
        </w:rPr>
        <w:t xml:space="preserve"> </w:t>
      </w:r>
    </w:p>
    <w:p w14:paraId="1CB8C352" w14:textId="77777777" w:rsidR="008630D3" w:rsidRDefault="00BB0027" w:rsidP="007E169D">
      <w:pPr>
        <w:spacing w:line="360" w:lineRule="auto"/>
        <w:jc w:val="both"/>
        <w:rPr>
          <w:rFonts w:ascii="Arial" w:eastAsia="Arial" w:hAnsi="Arial" w:cs="Arial"/>
          <w:lang w:val="en-ZA"/>
        </w:rPr>
      </w:pPr>
      <w:r w:rsidRPr="00922273">
        <w:rPr>
          <w:rFonts w:ascii="Arial" w:eastAsia="Arial" w:hAnsi="Arial" w:cs="Arial"/>
          <w:lang w:val="en-ZA"/>
        </w:rPr>
        <w:t>Instructed by:</w:t>
      </w:r>
      <w:r w:rsidR="00A0564D">
        <w:rPr>
          <w:rFonts w:ascii="Arial" w:eastAsia="Arial" w:hAnsi="Arial" w:cs="Arial"/>
          <w:lang w:val="en-ZA"/>
        </w:rPr>
        <w:t xml:space="preserve"> </w:t>
      </w:r>
      <w:r w:rsidR="008630D3">
        <w:rPr>
          <w:rFonts w:ascii="Arial" w:eastAsia="Arial" w:hAnsi="Arial" w:cs="Arial"/>
          <w:lang w:val="en-ZA"/>
        </w:rPr>
        <w:tab/>
      </w:r>
      <w:r w:rsidR="008630D3">
        <w:rPr>
          <w:rFonts w:ascii="Arial" w:eastAsia="Arial" w:hAnsi="Arial" w:cs="Arial"/>
          <w:lang w:val="en-ZA"/>
        </w:rPr>
        <w:tab/>
      </w:r>
      <w:r w:rsidR="008630D3">
        <w:rPr>
          <w:rFonts w:ascii="Arial" w:eastAsia="Arial" w:hAnsi="Arial" w:cs="Arial"/>
          <w:lang w:val="en-ZA"/>
        </w:rPr>
        <w:tab/>
      </w:r>
      <w:r w:rsidR="00A96785">
        <w:rPr>
          <w:rFonts w:ascii="Arial" w:eastAsia="Arial" w:hAnsi="Arial" w:cs="Arial"/>
          <w:lang w:val="en-ZA"/>
        </w:rPr>
        <w:t>Fluxmans Attorneys</w:t>
      </w:r>
      <w:r w:rsidR="008630D3">
        <w:rPr>
          <w:rFonts w:ascii="Arial" w:eastAsia="Arial" w:hAnsi="Arial" w:cs="Arial"/>
          <w:lang w:val="en-ZA"/>
        </w:rPr>
        <w:tab/>
      </w:r>
      <w:r w:rsidR="00A0564D">
        <w:rPr>
          <w:rFonts w:ascii="Arial" w:eastAsia="Arial" w:hAnsi="Arial" w:cs="Arial"/>
          <w:lang w:val="en-ZA"/>
        </w:rPr>
        <w:t xml:space="preserve"> </w:t>
      </w:r>
    </w:p>
    <w:p w14:paraId="7729F42E" w14:textId="77777777" w:rsidR="00BB0027" w:rsidRPr="00922273" w:rsidRDefault="00BB0027" w:rsidP="008630D3">
      <w:pPr>
        <w:spacing w:line="360" w:lineRule="auto"/>
        <w:ind w:left="3600" w:firstLine="720"/>
        <w:jc w:val="both"/>
        <w:rPr>
          <w:rFonts w:ascii="Arial" w:eastAsia="Arial" w:hAnsi="Arial" w:cs="Arial"/>
          <w:lang w:val="en-ZA"/>
        </w:rPr>
      </w:pPr>
      <w:r w:rsidRPr="00922273">
        <w:rPr>
          <w:rFonts w:ascii="Arial" w:eastAsia="Arial" w:hAnsi="Arial" w:cs="Arial"/>
          <w:lang w:val="en-ZA"/>
        </w:rPr>
        <w:tab/>
      </w:r>
    </w:p>
    <w:p w14:paraId="1F898F49" w14:textId="77777777" w:rsidR="00BB0027" w:rsidRPr="00922273" w:rsidRDefault="00BB0027" w:rsidP="007E169D">
      <w:pPr>
        <w:spacing w:line="360" w:lineRule="auto"/>
        <w:jc w:val="both"/>
        <w:rPr>
          <w:rFonts w:ascii="Arial" w:eastAsia="Arial" w:hAnsi="Arial" w:cs="Arial"/>
          <w:lang w:val="en-ZA"/>
        </w:rPr>
      </w:pPr>
      <w:r w:rsidRPr="00922273">
        <w:rPr>
          <w:rFonts w:ascii="Arial" w:eastAsia="Arial" w:hAnsi="Arial" w:cs="Arial"/>
          <w:lang w:val="en-ZA"/>
        </w:rPr>
        <w:tab/>
      </w:r>
      <w:r w:rsidRPr="00922273">
        <w:rPr>
          <w:rFonts w:ascii="Arial" w:eastAsia="Arial" w:hAnsi="Arial" w:cs="Arial"/>
          <w:lang w:val="en-ZA"/>
        </w:rPr>
        <w:tab/>
      </w:r>
      <w:r w:rsidRPr="00922273">
        <w:rPr>
          <w:rFonts w:ascii="Arial" w:eastAsia="Arial" w:hAnsi="Arial" w:cs="Arial"/>
          <w:lang w:val="en-ZA"/>
        </w:rPr>
        <w:tab/>
      </w:r>
      <w:r w:rsidRPr="00922273">
        <w:rPr>
          <w:rFonts w:ascii="Arial" w:eastAsia="Arial" w:hAnsi="Arial" w:cs="Arial"/>
          <w:lang w:val="en-ZA"/>
        </w:rPr>
        <w:tab/>
      </w:r>
      <w:r w:rsidRPr="00922273">
        <w:rPr>
          <w:rFonts w:ascii="Arial" w:eastAsia="Arial" w:hAnsi="Arial" w:cs="Arial"/>
          <w:lang w:val="en-ZA"/>
        </w:rPr>
        <w:tab/>
      </w:r>
    </w:p>
    <w:p w14:paraId="7B4A9FAF" w14:textId="77777777" w:rsidR="00BB0027" w:rsidRPr="00922273" w:rsidRDefault="00BB0027" w:rsidP="007E169D">
      <w:pPr>
        <w:spacing w:line="360" w:lineRule="auto"/>
        <w:ind w:left="3600" w:hanging="3600"/>
        <w:jc w:val="both"/>
        <w:rPr>
          <w:rFonts w:ascii="Arial" w:eastAsia="Arial" w:hAnsi="Arial" w:cs="Arial"/>
          <w:lang w:val="en-ZA"/>
        </w:rPr>
      </w:pPr>
      <w:r w:rsidRPr="00922273">
        <w:rPr>
          <w:rFonts w:ascii="Arial" w:eastAsia="Arial" w:hAnsi="Arial" w:cs="Arial"/>
          <w:lang w:val="en-ZA"/>
        </w:rPr>
        <w:t>Counsel for the Respondent:</w:t>
      </w:r>
      <w:r w:rsidR="00A0564D">
        <w:rPr>
          <w:rFonts w:ascii="Arial" w:eastAsia="Arial" w:hAnsi="Arial" w:cs="Arial"/>
          <w:lang w:val="en-ZA"/>
        </w:rPr>
        <w:t xml:space="preserve"> </w:t>
      </w:r>
      <w:r w:rsidR="008630D3">
        <w:rPr>
          <w:rFonts w:ascii="Arial" w:eastAsia="Arial" w:hAnsi="Arial" w:cs="Arial"/>
          <w:lang w:val="en-ZA"/>
        </w:rPr>
        <w:tab/>
      </w:r>
      <w:r w:rsidR="0029670E">
        <w:rPr>
          <w:rFonts w:ascii="Arial" w:eastAsia="Arial" w:hAnsi="Arial" w:cs="Arial"/>
          <w:lang w:val="en-ZA"/>
        </w:rPr>
        <w:t xml:space="preserve">No Appearance </w:t>
      </w:r>
    </w:p>
    <w:p w14:paraId="78DCF74E" w14:textId="77777777" w:rsidR="00BB0027" w:rsidRPr="00922273" w:rsidRDefault="00BB0027" w:rsidP="007E169D">
      <w:pPr>
        <w:spacing w:line="360" w:lineRule="auto"/>
        <w:jc w:val="both"/>
        <w:rPr>
          <w:rFonts w:ascii="Arial" w:eastAsia="Arial" w:hAnsi="Arial" w:cs="Arial"/>
          <w:lang w:val="en-ZA"/>
        </w:rPr>
      </w:pPr>
      <w:r w:rsidRPr="00922273">
        <w:rPr>
          <w:rFonts w:ascii="Arial" w:eastAsia="Arial" w:hAnsi="Arial" w:cs="Arial"/>
          <w:lang w:val="en-ZA"/>
        </w:rPr>
        <w:t>Instructed by:</w:t>
      </w:r>
      <w:r w:rsidR="00A0564D">
        <w:rPr>
          <w:rFonts w:ascii="Arial" w:eastAsia="Arial" w:hAnsi="Arial" w:cs="Arial"/>
          <w:lang w:val="en-ZA"/>
        </w:rPr>
        <w:t xml:space="preserve"> </w:t>
      </w:r>
      <w:r w:rsidR="008630D3">
        <w:rPr>
          <w:rFonts w:ascii="Arial" w:eastAsia="Arial" w:hAnsi="Arial" w:cs="Arial"/>
          <w:lang w:val="en-ZA"/>
        </w:rPr>
        <w:tab/>
      </w:r>
      <w:r w:rsidR="008630D3">
        <w:rPr>
          <w:rFonts w:ascii="Arial" w:eastAsia="Arial" w:hAnsi="Arial" w:cs="Arial"/>
          <w:lang w:val="en-ZA"/>
        </w:rPr>
        <w:tab/>
      </w:r>
      <w:r w:rsidR="008630D3">
        <w:rPr>
          <w:rFonts w:ascii="Arial" w:eastAsia="Arial" w:hAnsi="Arial" w:cs="Arial"/>
          <w:lang w:val="en-ZA"/>
        </w:rPr>
        <w:tab/>
      </w:r>
    </w:p>
    <w:p w14:paraId="5008598E" w14:textId="77777777" w:rsidR="00BB0027" w:rsidRPr="00922273" w:rsidRDefault="00BB0027" w:rsidP="007E169D">
      <w:pPr>
        <w:spacing w:line="360" w:lineRule="auto"/>
        <w:jc w:val="both"/>
        <w:rPr>
          <w:rFonts w:ascii="Arial" w:eastAsia="Arial" w:hAnsi="Arial" w:cs="Arial"/>
          <w:lang w:val="en-ZA"/>
        </w:rPr>
      </w:pPr>
    </w:p>
    <w:p w14:paraId="6B607DEA" w14:textId="1C3A75DF" w:rsidR="00BB0027" w:rsidRPr="00922273" w:rsidRDefault="00BB0027" w:rsidP="007E169D">
      <w:pPr>
        <w:spacing w:line="360" w:lineRule="auto"/>
        <w:jc w:val="both"/>
        <w:rPr>
          <w:rFonts w:ascii="Arial" w:eastAsia="Arial" w:hAnsi="Arial" w:cs="Arial"/>
          <w:lang w:val="en-ZA"/>
        </w:rPr>
      </w:pPr>
      <w:r w:rsidRPr="00922273">
        <w:rPr>
          <w:rFonts w:ascii="Arial" w:eastAsia="Arial" w:hAnsi="Arial" w:cs="Arial"/>
          <w:lang w:val="en-ZA"/>
        </w:rPr>
        <w:t>Date Judgment Reserved:</w:t>
      </w:r>
      <w:r w:rsidRPr="00922273">
        <w:rPr>
          <w:rFonts w:ascii="Arial" w:eastAsia="Arial" w:hAnsi="Arial" w:cs="Arial"/>
          <w:lang w:val="en-ZA"/>
        </w:rPr>
        <w:tab/>
      </w:r>
      <w:r w:rsidR="006512F8">
        <w:rPr>
          <w:rFonts w:ascii="Arial" w:eastAsia="Arial" w:hAnsi="Arial" w:cs="Arial"/>
          <w:lang w:val="en-ZA"/>
        </w:rPr>
        <w:tab/>
        <w:t>16 April 2024</w:t>
      </w:r>
      <w:r w:rsidR="008630D3">
        <w:rPr>
          <w:rFonts w:ascii="Arial" w:eastAsia="Arial" w:hAnsi="Arial" w:cs="Arial"/>
          <w:lang w:val="en-ZA"/>
        </w:rPr>
        <w:tab/>
      </w:r>
      <w:r w:rsidR="008630D3">
        <w:rPr>
          <w:rFonts w:ascii="Arial" w:eastAsia="Arial" w:hAnsi="Arial" w:cs="Arial"/>
          <w:lang w:val="en-ZA"/>
        </w:rPr>
        <w:tab/>
      </w:r>
    </w:p>
    <w:p w14:paraId="6FCB7856" w14:textId="77777777" w:rsidR="00BB0027" w:rsidRPr="00922273" w:rsidRDefault="00BB0027" w:rsidP="007E169D">
      <w:pPr>
        <w:spacing w:line="360" w:lineRule="auto"/>
        <w:jc w:val="both"/>
        <w:rPr>
          <w:rFonts w:ascii="Arial" w:eastAsia="Arial" w:hAnsi="Arial" w:cs="Arial"/>
          <w:lang w:val="en-ZA"/>
        </w:rPr>
      </w:pPr>
    </w:p>
    <w:p w14:paraId="6BD45EAB" w14:textId="42EA7F1C" w:rsidR="00BB0027" w:rsidRPr="00922273" w:rsidRDefault="00BB0027" w:rsidP="007E169D">
      <w:pPr>
        <w:spacing w:line="360" w:lineRule="auto"/>
        <w:jc w:val="both"/>
        <w:rPr>
          <w:rFonts w:ascii="Arial" w:eastAsia="Arial" w:hAnsi="Arial" w:cs="Arial"/>
          <w:lang w:val="en-ZA"/>
        </w:rPr>
      </w:pPr>
      <w:r w:rsidRPr="00922273">
        <w:rPr>
          <w:rFonts w:ascii="Arial" w:eastAsia="Arial" w:hAnsi="Arial" w:cs="Arial"/>
          <w:lang w:val="en-ZA"/>
        </w:rPr>
        <w:t>Date Judgment Delivered:</w:t>
      </w:r>
      <w:r w:rsidR="00FA3683">
        <w:rPr>
          <w:rFonts w:ascii="Arial" w:eastAsia="Arial" w:hAnsi="Arial" w:cs="Arial"/>
          <w:lang w:val="en-ZA"/>
        </w:rPr>
        <w:tab/>
      </w:r>
      <w:r w:rsidR="008630D3">
        <w:rPr>
          <w:rFonts w:ascii="Arial" w:eastAsia="Arial" w:hAnsi="Arial" w:cs="Arial"/>
          <w:lang w:val="en-ZA"/>
        </w:rPr>
        <w:tab/>
      </w:r>
      <w:r w:rsidR="00916455">
        <w:rPr>
          <w:rFonts w:ascii="Arial" w:eastAsia="Arial" w:hAnsi="Arial" w:cs="Arial"/>
          <w:lang w:val="en-ZA"/>
        </w:rPr>
        <w:t>24 April 2024</w:t>
      </w:r>
      <w:r w:rsidR="008630D3">
        <w:rPr>
          <w:rFonts w:ascii="Arial" w:eastAsia="Arial" w:hAnsi="Arial" w:cs="Arial"/>
          <w:lang w:val="en-ZA"/>
        </w:rPr>
        <w:tab/>
      </w:r>
    </w:p>
    <w:p w14:paraId="4D40C7D2" w14:textId="77777777" w:rsidR="00BB0027" w:rsidRPr="00922273" w:rsidRDefault="00BB0027" w:rsidP="007E169D">
      <w:pPr>
        <w:spacing w:line="360" w:lineRule="auto"/>
        <w:ind w:left="-90" w:firstLine="90"/>
        <w:rPr>
          <w:rFonts w:ascii="Arial" w:hAnsi="Arial" w:cs="Arial"/>
          <w:lang w:val="en-ZA"/>
        </w:rPr>
      </w:pPr>
    </w:p>
    <w:sectPr w:rsidR="00BB0027" w:rsidRPr="00922273" w:rsidSect="00535E0D">
      <w:head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385E" w14:textId="77777777" w:rsidR="002B1858" w:rsidRDefault="002B1858" w:rsidP="00CB1F15">
      <w:r>
        <w:separator/>
      </w:r>
    </w:p>
  </w:endnote>
  <w:endnote w:type="continuationSeparator" w:id="0">
    <w:p w14:paraId="7FD652BC" w14:textId="77777777" w:rsidR="002B1858" w:rsidRDefault="002B1858" w:rsidP="00CB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8EBA9" w14:textId="77777777" w:rsidR="002B1858" w:rsidRDefault="002B1858" w:rsidP="00CB1F15">
      <w:r>
        <w:separator/>
      </w:r>
    </w:p>
  </w:footnote>
  <w:footnote w:type="continuationSeparator" w:id="0">
    <w:p w14:paraId="103BEBBB" w14:textId="77777777" w:rsidR="002B1858" w:rsidRDefault="002B1858" w:rsidP="00CB1F15">
      <w:r>
        <w:continuationSeparator/>
      </w:r>
    </w:p>
  </w:footnote>
  <w:footnote w:id="1">
    <w:p w14:paraId="014AD192" w14:textId="77777777" w:rsidR="00E37CA3" w:rsidRPr="00E6451E" w:rsidRDefault="00E37CA3" w:rsidP="00E6451E">
      <w:pPr>
        <w:pStyle w:val="FootnoteText"/>
        <w:jc w:val="both"/>
        <w:rPr>
          <w:rFonts w:ascii="Arial" w:hAnsi="Arial" w:cs="Arial"/>
          <w:lang w:val="en-ZA"/>
        </w:rPr>
      </w:pPr>
      <w:r w:rsidRPr="00E6451E">
        <w:rPr>
          <w:rStyle w:val="FootnoteReference"/>
          <w:rFonts w:ascii="Arial" w:hAnsi="Arial" w:cs="Arial"/>
        </w:rPr>
        <w:footnoteRef/>
      </w:r>
      <w:r w:rsidRPr="00E6451E">
        <w:rPr>
          <w:rFonts w:ascii="Arial" w:hAnsi="Arial" w:cs="Arial"/>
        </w:rPr>
        <w:t xml:space="preserve"> </w:t>
      </w:r>
      <w:r w:rsidRPr="00E6451E">
        <w:rPr>
          <w:rFonts w:ascii="Arial" w:hAnsi="Arial" w:cs="Arial"/>
          <w:lang w:val="en-ZA"/>
        </w:rPr>
        <w:t>Annexure “B” to the founding af</w:t>
      </w:r>
      <w:r w:rsidR="00E6451E" w:rsidRPr="00E6451E">
        <w:rPr>
          <w:rFonts w:ascii="Arial" w:hAnsi="Arial" w:cs="Arial"/>
          <w:lang w:val="en-ZA"/>
        </w:rPr>
        <w:t>fidavit.</w:t>
      </w:r>
    </w:p>
  </w:footnote>
  <w:footnote w:id="2">
    <w:p w14:paraId="2E567DB2" w14:textId="77777777" w:rsidR="00E37CA3" w:rsidRPr="00E130F8" w:rsidRDefault="00E37CA3" w:rsidP="00E130F8">
      <w:pPr>
        <w:pStyle w:val="FootnoteText"/>
        <w:jc w:val="both"/>
        <w:rPr>
          <w:rFonts w:ascii="Arial" w:hAnsi="Arial" w:cs="Arial"/>
        </w:rPr>
      </w:pPr>
      <w:r w:rsidRPr="00E130F8">
        <w:rPr>
          <w:rStyle w:val="FootnoteReference"/>
          <w:rFonts w:ascii="Arial" w:hAnsi="Arial" w:cs="Arial"/>
        </w:rPr>
        <w:footnoteRef/>
      </w:r>
      <w:r w:rsidRPr="00E130F8">
        <w:rPr>
          <w:rFonts w:ascii="Arial" w:hAnsi="Arial" w:cs="Arial"/>
        </w:rPr>
        <w:t xml:space="preserve"> </w:t>
      </w:r>
      <w:r w:rsidRPr="00E130F8">
        <w:rPr>
          <w:rFonts w:ascii="Arial" w:eastAsia="Aptos" w:hAnsi="Arial" w:cs="Arial"/>
          <w:kern w:val="2"/>
          <w:szCs w:val="22"/>
          <w:lang w:val="en-ZA" w:eastAsia="en-US"/>
          <w14:ligatures w14:val="standardContextual"/>
        </w:rPr>
        <w:t>Magistrates’ Court Act 32 of 1944.</w:t>
      </w:r>
    </w:p>
  </w:footnote>
  <w:footnote w:id="3">
    <w:p w14:paraId="4720DD39" w14:textId="77777777" w:rsidR="00E37CA3" w:rsidRPr="00E130F8" w:rsidRDefault="00E37CA3" w:rsidP="00E130F8">
      <w:pPr>
        <w:pStyle w:val="FootnoteText"/>
        <w:jc w:val="both"/>
        <w:rPr>
          <w:rFonts w:ascii="Arial" w:hAnsi="Arial" w:cs="Arial"/>
        </w:rPr>
      </w:pPr>
      <w:r w:rsidRPr="00E130F8">
        <w:rPr>
          <w:rStyle w:val="FootnoteReference"/>
          <w:rFonts w:ascii="Arial" w:hAnsi="Arial" w:cs="Arial"/>
        </w:rPr>
        <w:footnoteRef/>
      </w:r>
      <w:r w:rsidRPr="00E130F8">
        <w:rPr>
          <w:rFonts w:ascii="Arial" w:hAnsi="Arial" w:cs="Arial"/>
        </w:rPr>
        <w:t xml:space="preserve"> </w:t>
      </w:r>
      <w:r w:rsidRPr="00E130F8">
        <w:rPr>
          <w:rFonts w:ascii="Arial" w:hAnsi="Arial" w:cs="Arial"/>
          <w:i/>
        </w:rPr>
        <w:t>Standard Bank of South Africa Ltd and Others v Mpongo and Others</w:t>
      </w:r>
      <w:r>
        <w:rPr>
          <w:rFonts w:ascii="Arial" w:hAnsi="Arial" w:cs="Arial"/>
        </w:rPr>
        <w:t xml:space="preserve"> </w:t>
      </w:r>
      <w:r w:rsidRPr="00E130F8">
        <w:rPr>
          <w:rFonts w:ascii="Arial" w:hAnsi="Arial" w:cs="Arial"/>
        </w:rPr>
        <w:t xml:space="preserve">2021 (6) SA 403 (SCA), as subsequently confirmed </w:t>
      </w:r>
      <w:r>
        <w:rPr>
          <w:rFonts w:ascii="Arial" w:hAnsi="Arial" w:cs="Arial"/>
        </w:rPr>
        <w:t>by</w:t>
      </w:r>
      <w:r w:rsidRPr="00E130F8">
        <w:rPr>
          <w:rFonts w:ascii="Arial" w:hAnsi="Arial" w:cs="Arial"/>
        </w:rPr>
        <w:t xml:space="preserve"> the Constitutional Court in </w:t>
      </w:r>
      <w:r w:rsidRPr="00E130F8">
        <w:rPr>
          <w:rFonts w:ascii="Arial" w:hAnsi="Arial" w:cs="Arial"/>
          <w:i/>
        </w:rPr>
        <w:t>South African Human Rights Commission v Standard Bank of South Africa Ltd and Others</w:t>
      </w:r>
      <w:r w:rsidRPr="00E130F8">
        <w:rPr>
          <w:rFonts w:ascii="Arial" w:hAnsi="Arial" w:cs="Arial"/>
        </w:rPr>
        <w:t xml:space="preserve"> 2023 (3) SA 36 (CC). </w:t>
      </w:r>
    </w:p>
  </w:footnote>
  <w:footnote w:id="4">
    <w:p w14:paraId="52D3A497" w14:textId="77777777" w:rsidR="00E37CA3" w:rsidRDefault="00E37CA3" w:rsidP="00E130F8">
      <w:pPr>
        <w:pStyle w:val="FootnoteText"/>
        <w:jc w:val="both"/>
      </w:pPr>
      <w:r w:rsidRPr="00E130F8">
        <w:rPr>
          <w:rStyle w:val="FootnoteReference"/>
          <w:rFonts w:ascii="Arial" w:hAnsi="Arial" w:cs="Arial"/>
        </w:rPr>
        <w:footnoteRef/>
      </w:r>
      <w:r w:rsidRPr="00E130F8">
        <w:rPr>
          <w:rFonts w:ascii="Arial" w:hAnsi="Arial" w:cs="Arial"/>
        </w:rPr>
        <w:t xml:space="preserve"> </w:t>
      </w:r>
      <w:r w:rsidRPr="00E130F8">
        <w:rPr>
          <w:rFonts w:ascii="Arial" w:eastAsia="Aptos" w:hAnsi="Arial" w:cs="Arial"/>
          <w:kern w:val="2"/>
          <w:szCs w:val="22"/>
          <w:lang w:val="en-ZA" w:eastAsia="en-US"/>
          <w14:ligatures w14:val="standardContextual"/>
        </w:rPr>
        <w:t>Companies Act 71 of 2008.</w:t>
      </w:r>
    </w:p>
  </w:footnote>
  <w:footnote w:id="5">
    <w:p w14:paraId="1C5E24F3" w14:textId="77777777" w:rsidR="00E37CA3" w:rsidRPr="001748E2" w:rsidRDefault="00E37CA3" w:rsidP="001748E2">
      <w:pPr>
        <w:pStyle w:val="FootnoteText"/>
        <w:jc w:val="both"/>
        <w:rPr>
          <w:rFonts w:ascii="Arial" w:hAnsi="Arial" w:cs="Arial"/>
        </w:rPr>
      </w:pPr>
      <w:r w:rsidRPr="001748E2">
        <w:rPr>
          <w:rStyle w:val="FootnoteReference"/>
          <w:rFonts w:ascii="Arial" w:hAnsi="Arial" w:cs="Arial"/>
        </w:rPr>
        <w:footnoteRef/>
      </w:r>
      <w:r w:rsidRPr="001748E2">
        <w:rPr>
          <w:rFonts w:ascii="Arial" w:hAnsi="Arial" w:cs="Arial"/>
        </w:rPr>
        <w:t xml:space="preserve"> </w:t>
      </w:r>
      <w:r w:rsidRPr="001748E2">
        <w:rPr>
          <w:rFonts w:ascii="Arial" w:eastAsia="Aptos" w:hAnsi="Arial" w:cs="Arial"/>
          <w:i/>
          <w:kern w:val="2"/>
          <w:szCs w:val="22"/>
          <w:lang w:val="en-ZA" w:eastAsia="en-US"/>
          <w14:ligatures w14:val="standardContextual"/>
        </w:rPr>
        <w:t>Mora</w:t>
      </w:r>
      <w:r>
        <w:rPr>
          <w:rFonts w:ascii="Arial" w:eastAsia="Aptos" w:hAnsi="Arial" w:cs="Arial"/>
          <w:i/>
          <w:kern w:val="2"/>
          <w:szCs w:val="22"/>
          <w:lang w:val="en-ZA" w:eastAsia="en-US"/>
          <w14:ligatures w14:val="standardContextual"/>
        </w:rPr>
        <w:t>i</w:t>
      </w:r>
      <w:r w:rsidRPr="001748E2">
        <w:rPr>
          <w:rFonts w:ascii="Arial" w:eastAsia="Aptos" w:hAnsi="Arial" w:cs="Arial"/>
          <w:i/>
          <w:kern w:val="2"/>
          <w:szCs w:val="22"/>
          <w:lang w:val="en-ZA" w:eastAsia="en-US"/>
          <w14:ligatures w14:val="standardContextual"/>
        </w:rPr>
        <w:t>tis Investments (Pty) Ltd and Others v Montic Dairy (Pty) Ltd and Others</w:t>
      </w:r>
      <w:r w:rsidRPr="001748E2">
        <w:rPr>
          <w:rFonts w:ascii="Arial" w:hAnsi="Arial" w:cs="Arial"/>
        </w:rPr>
        <w:t xml:space="preserve"> 2017 (5) SA 508 (SCA).</w:t>
      </w:r>
    </w:p>
  </w:footnote>
  <w:footnote w:id="6">
    <w:p w14:paraId="62BC4DED" w14:textId="77777777" w:rsidR="00E37CA3" w:rsidRPr="001748E2" w:rsidRDefault="00E37CA3" w:rsidP="001748E2">
      <w:pPr>
        <w:pStyle w:val="FootnoteText"/>
        <w:jc w:val="both"/>
        <w:rPr>
          <w:rFonts w:ascii="Arial" w:hAnsi="Arial" w:cs="Arial"/>
        </w:rPr>
      </w:pPr>
      <w:r w:rsidRPr="001748E2">
        <w:rPr>
          <w:rStyle w:val="FootnoteReference"/>
          <w:rFonts w:ascii="Arial" w:hAnsi="Arial" w:cs="Arial"/>
        </w:rPr>
        <w:footnoteRef/>
      </w:r>
      <w:r w:rsidRPr="001748E2">
        <w:rPr>
          <w:rFonts w:ascii="Arial" w:hAnsi="Arial" w:cs="Arial"/>
        </w:rPr>
        <w:t xml:space="preserve"> </w:t>
      </w:r>
      <w:r w:rsidRPr="001748E2">
        <w:rPr>
          <w:rFonts w:ascii="Arial" w:hAnsi="Arial" w:cs="Arial"/>
          <w:i/>
        </w:rPr>
        <w:t>Dharsey v Shelly</w:t>
      </w:r>
      <w:r w:rsidRPr="001748E2">
        <w:rPr>
          <w:rFonts w:ascii="Arial" w:hAnsi="Arial" w:cs="Arial"/>
        </w:rPr>
        <w:t xml:space="preserve"> 1995 (2) SA 58 (C) at 64B-E. </w:t>
      </w:r>
    </w:p>
  </w:footnote>
  <w:footnote w:id="7">
    <w:p w14:paraId="6D065A28" w14:textId="77777777" w:rsidR="00E37CA3" w:rsidRPr="001748E2" w:rsidRDefault="00E37CA3" w:rsidP="001748E2">
      <w:pPr>
        <w:pStyle w:val="FootnoteText"/>
        <w:jc w:val="both"/>
        <w:rPr>
          <w:rFonts w:ascii="Arial" w:hAnsi="Arial" w:cs="Arial"/>
        </w:rPr>
      </w:pPr>
      <w:r w:rsidRPr="001748E2">
        <w:rPr>
          <w:rStyle w:val="FootnoteReference"/>
          <w:rFonts w:ascii="Arial" w:hAnsi="Arial" w:cs="Arial"/>
        </w:rPr>
        <w:footnoteRef/>
      </w:r>
      <w:r w:rsidRPr="001748E2">
        <w:rPr>
          <w:rFonts w:ascii="Arial" w:hAnsi="Arial" w:cs="Arial"/>
        </w:rPr>
        <w:t xml:space="preserve"> Supplementary </w:t>
      </w:r>
      <w:r w:rsidR="00CE2AC0">
        <w:rPr>
          <w:rFonts w:ascii="Arial" w:hAnsi="Arial" w:cs="Arial"/>
        </w:rPr>
        <w:t>a</w:t>
      </w:r>
      <w:r w:rsidRPr="001748E2">
        <w:rPr>
          <w:rFonts w:ascii="Arial" w:hAnsi="Arial" w:cs="Arial"/>
        </w:rPr>
        <w:t xml:space="preserve">ffidavit, </w:t>
      </w:r>
      <w:r>
        <w:rPr>
          <w:rFonts w:ascii="Arial" w:hAnsi="Arial" w:cs="Arial"/>
        </w:rPr>
        <w:t>p</w:t>
      </w:r>
      <w:r w:rsidRPr="001748E2">
        <w:rPr>
          <w:rFonts w:ascii="Arial" w:hAnsi="Arial" w:cs="Arial"/>
        </w:rPr>
        <w:t>age 297</w:t>
      </w:r>
      <w:r>
        <w:rPr>
          <w:rFonts w:ascii="Arial" w:hAnsi="Arial" w:cs="Arial"/>
        </w:rPr>
        <w:t xml:space="preserve"> paras</w:t>
      </w:r>
      <w:r w:rsidRPr="001748E2">
        <w:rPr>
          <w:rFonts w:ascii="Arial" w:hAnsi="Arial" w:cs="Arial"/>
        </w:rPr>
        <w:t xml:space="preserve"> 28 and 29</w:t>
      </w:r>
      <w:r>
        <w:rPr>
          <w:rFonts w:ascii="Arial" w:hAnsi="Arial" w:cs="Arial"/>
        </w:rPr>
        <w:t>.</w:t>
      </w:r>
    </w:p>
  </w:footnote>
  <w:footnote w:id="8">
    <w:p w14:paraId="27BDA14D" w14:textId="77777777" w:rsidR="00E37CA3" w:rsidRPr="00D53F93" w:rsidRDefault="00E37CA3" w:rsidP="00D53F93">
      <w:pPr>
        <w:pStyle w:val="FootnoteText"/>
        <w:jc w:val="both"/>
        <w:rPr>
          <w:rFonts w:ascii="Arial" w:hAnsi="Arial" w:cs="Arial"/>
        </w:rPr>
      </w:pPr>
      <w:r w:rsidRPr="00D53F93">
        <w:rPr>
          <w:rStyle w:val="FootnoteReference"/>
          <w:rFonts w:ascii="Arial" w:hAnsi="Arial" w:cs="Arial"/>
        </w:rPr>
        <w:footnoteRef/>
      </w:r>
      <w:r w:rsidRPr="00D53F93">
        <w:rPr>
          <w:rFonts w:ascii="Arial" w:hAnsi="Arial" w:cs="Arial"/>
        </w:rPr>
        <w:t xml:space="preserve"> R H Christie and G B Bradfield </w:t>
      </w:r>
      <w:r w:rsidRPr="00D53F93">
        <w:rPr>
          <w:rFonts w:ascii="Arial" w:hAnsi="Arial" w:cs="Arial"/>
          <w:i/>
        </w:rPr>
        <w:t>The Law of Contract in South Africa</w:t>
      </w:r>
      <w:r w:rsidRPr="00D53F93">
        <w:rPr>
          <w:rFonts w:ascii="Arial" w:hAnsi="Arial" w:cs="Arial"/>
        </w:rPr>
        <w:t xml:space="preserve"> 8 ed (2022) at 317 para 6.3.</w:t>
      </w:r>
    </w:p>
  </w:footnote>
  <w:footnote w:id="9">
    <w:p w14:paraId="30E1C8B0" w14:textId="77777777" w:rsidR="00E37CA3" w:rsidRPr="00D53F93" w:rsidRDefault="00E37CA3" w:rsidP="00D53F93">
      <w:pPr>
        <w:pStyle w:val="FootnoteText"/>
        <w:jc w:val="both"/>
        <w:rPr>
          <w:rFonts w:ascii="Arial" w:hAnsi="Arial" w:cs="Arial"/>
        </w:rPr>
      </w:pPr>
      <w:r w:rsidRPr="00D53F93">
        <w:rPr>
          <w:rStyle w:val="FootnoteReference"/>
          <w:rFonts w:ascii="Arial" w:hAnsi="Arial" w:cs="Arial"/>
        </w:rPr>
        <w:footnoteRef/>
      </w:r>
      <w:r w:rsidRPr="00D53F93">
        <w:rPr>
          <w:rFonts w:ascii="Arial" w:hAnsi="Arial" w:cs="Arial"/>
        </w:rPr>
        <w:t xml:space="preserve"> </w:t>
      </w:r>
      <w:r w:rsidRPr="00D53F93">
        <w:rPr>
          <w:rFonts w:ascii="Arial" w:eastAsia="Aptos" w:hAnsi="Arial" w:cs="Arial"/>
          <w:kern w:val="2"/>
          <w:szCs w:val="22"/>
          <w:lang w:val="en-ZA" w:eastAsia="en-US"/>
          <w14:ligatures w14:val="standardContextual"/>
        </w:rPr>
        <w:t>Deeds Registries Act 47 of 1937.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857245"/>
      <w:docPartObj>
        <w:docPartGallery w:val="Page Numbers (Top of Page)"/>
        <w:docPartUnique/>
      </w:docPartObj>
    </w:sdtPr>
    <w:sdtEndPr>
      <w:rPr>
        <w:rFonts w:ascii="Arial" w:hAnsi="Arial" w:cs="Arial"/>
        <w:noProof/>
      </w:rPr>
    </w:sdtEndPr>
    <w:sdtContent>
      <w:p w14:paraId="7A2146DF" w14:textId="7861E1DA" w:rsidR="00E37CA3" w:rsidRPr="007E169D" w:rsidRDefault="00E37CA3">
        <w:pPr>
          <w:pStyle w:val="Header"/>
          <w:jc w:val="right"/>
          <w:rPr>
            <w:rFonts w:ascii="Arial" w:hAnsi="Arial" w:cs="Arial"/>
          </w:rPr>
        </w:pPr>
        <w:r w:rsidRPr="007E169D">
          <w:rPr>
            <w:rFonts w:ascii="Arial" w:hAnsi="Arial" w:cs="Arial"/>
          </w:rPr>
          <w:fldChar w:fldCharType="begin"/>
        </w:r>
        <w:r w:rsidRPr="007E169D">
          <w:rPr>
            <w:rFonts w:ascii="Arial" w:hAnsi="Arial" w:cs="Arial"/>
          </w:rPr>
          <w:instrText xml:space="preserve"> PAGE   \* MERGEFORMAT </w:instrText>
        </w:r>
        <w:r w:rsidRPr="007E169D">
          <w:rPr>
            <w:rFonts w:ascii="Arial" w:hAnsi="Arial" w:cs="Arial"/>
          </w:rPr>
          <w:fldChar w:fldCharType="separate"/>
        </w:r>
        <w:r w:rsidR="00C3607A">
          <w:rPr>
            <w:rFonts w:ascii="Arial" w:hAnsi="Arial" w:cs="Arial"/>
            <w:noProof/>
          </w:rPr>
          <w:t>13</w:t>
        </w:r>
        <w:r w:rsidRPr="007E169D">
          <w:rPr>
            <w:rFonts w:ascii="Arial" w:hAnsi="Arial" w:cs="Arial"/>
            <w:noProof/>
          </w:rPr>
          <w:fldChar w:fldCharType="end"/>
        </w:r>
      </w:p>
    </w:sdtContent>
  </w:sdt>
  <w:p w14:paraId="69A8CBF3" w14:textId="77777777" w:rsidR="00E37CA3" w:rsidRDefault="00E37C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EA5"/>
    <w:multiLevelType w:val="hybridMultilevel"/>
    <w:tmpl w:val="23EEAE36"/>
    <w:lvl w:ilvl="0" w:tplc="4CCA6794">
      <w:start w:val="1"/>
      <w:numFmt w:val="lowerLetter"/>
      <w:lvlText w:val="(%1)"/>
      <w:lvlJc w:val="left"/>
      <w:pPr>
        <w:ind w:left="1211" w:hanging="360"/>
      </w:pPr>
      <w:rPr>
        <w:rFonts w:hint="default"/>
        <w:i/>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4DF0DD9"/>
    <w:multiLevelType w:val="hybridMultilevel"/>
    <w:tmpl w:val="CB7E1972"/>
    <w:lvl w:ilvl="0" w:tplc="1C090013">
      <w:start w:val="1"/>
      <w:numFmt w:val="upperRoman"/>
      <w:lvlText w:val="%1."/>
      <w:lvlJc w:val="right"/>
      <w:pPr>
        <w:ind w:left="2490" w:hanging="360"/>
      </w:pPr>
    </w:lvl>
    <w:lvl w:ilvl="1" w:tplc="1C090019" w:tentative="1">
      <w:start w:val="1"/>
      <w:numFmt w:val="lowerLetter"/>
      <w:lvlText w:val="%2."/>
      <w:lvlJc w:val="left"/>
      <w:pPr>
        <w:ind w:left="3210" w:hanging="360"/>
      </w:pPr>
    </w:lvl>
    <w:lvl w:ilvl="2" w:tplc="1C09001B" w:tentative="1">
      <w:start w:val="1"/>
      <w:numFmt w:val="lowerRoman"/>
      <w:lvlText w:val="%3."/>
      <w:lvlJc w:val="right"/>
      <w:pPr>
        <w:ind w:left="3930" w:hanging="180"/>
      </w:pPr>
    </w:lvl>
    <w:lvl w:ilvl="3" w:tplc="1C09000F" w:tentative="1">
      <w:start w:val="1"/>
      <w:numFmt w:val="decimal"/>
      <w:lvlText w:val="%4."/>
      <w:lvlJc w:val="left"/>
      <w:pPr>
        <w:ind w:left="4650" w:hanging="360"/>
      </w:pPr>
    </w:lvl>
    <w:lvl w:ilvl="4" w:tplc="1C090019" w:tentative="1">
      <w:start w:val="1"/>
      <w:numFmt w:val="lowerLetter"/>
      <w:lvlText w:val="%5."/>
      <w:lvlJc w:val="left"/>
      <w:pPr>
        <w:ind w:left="5370" w:hanging="360"/>
      </w:pPr>
    </w:lvl>
    <w:lvl w:ilvl="5" w:tplc="1C09001B" w:tentative="1">
      <w:start w:val="1"/>
      <w:numFmt w:val="lowerRoman"/>
      <w:lvlText w:val="%6."/>
      <w:lvlJc w:val="right"/>
      <w:pPr>
        <w:ind w:left="6090" w:hanging="180"/>
      </w:pPr>
    </w:lvl>
    <w:lvl w:ilvl="6" w:tplc="1C09000F" w:tentative="1">
      <w:start w:val="1"/>
      <w:numFmt w:val="decimal"/>
      <w:lvlText w:val="%7."/>
      <w:lvlJc w:val="left"/>
      <w:pPr>
        <w:ind w:left="6810" w:hanging="360"/>
      </w:pPr>
    </w:lvl>
    <w:lvl w:ilvl="7" w:tplc="1C090019" w:tentative="1">
      <w:start w:val="1"/>
      <w:numFmt w:val="lowerLetter"/>
      <w:lvlText w:val="%8."/>
      <w:lvlJc w:val="left"/>
      <w:pPr>
        <w:ind w:left="7530" w:hanging="360"/>
      </w:pPr>
    </w:lvl>
    <w:lvl w:ilvl="8" w:tplc="1C09001B" w:tentative="1">
      <w:start w:val="1"/>
      <w:numFmt w:val="lowerRoman"/>
      <w:lvlText w:val="%9."/>
      <w:lvlJc w:val="right"/>
      <w:pPr>
        <w:ind w:left="8250" w:hanging="180"/>
      </w:pPr>
    </w:lvl>
  </w:abstractNum>
  <w:abstractNum w:abstractNumId="2" w15:restartNumberingAfterBreak="0">
    <w:nsid w:val="06383C19"/>
    <w:multiLevelType w:val="hybridMultilevel"/>
    <w:tmpl w:val="32D0BAFE"/>
    <w:lvl w:ilvl="0" w:tplc="81565542">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15:restartNumberingAfterBreak="0">
    <w:nsid w:val="0C666127"/>
    <w:multiLevelType w:val="hybridMultilevel"/>
    <w:tmpl w:val="0B2AAC56"/>
    <w:lvl w:ilvl="0" w:tplc="71289BB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0611703"/>
    <w:multiLevelType w:val="hybridMultilevel"/>
    <w:tmpl w:val="099CE5CC"/>
    <w:lvl w:ilvl="0" w:tplc="44D2B7A0">
      <w:start w:val="1"/>
      <w:numFmt w:val="lowerLetter"/>
      <w:lvlText w:val="(%1)"/>
      <w:lvlJc w:val="left"/>
      <w:pPr>
        <w:ind w:left="4320" w:hanging="360"/>
      </w:pPr>
      <w:rPr>
        <w:rFonts w:hint="default"/>
      </w:rPr>
    </w:lvl>
    <w:lvl w:ilvl="1" w:tplc="1C090019" w:tentative="1">
      <w:start w:val="1"/>
      <w:numFmt w:val="lowerLetter"/>
      <w:lvlText w:val="%2."/>
      <w:lvlJc w:val="left"/>
      <w:pPr>
        <w:ind w:left="5040" w:hanging="360"/>
      </w:pPr>
    </w:lvl>
    <w:lvl w:ilvl="2" w:tplc="1C09001B" w:tentative="1">
      <w:start w:val="1"/>
      <w:numFmt w:val="lowerRoman"/>
      <w:lvlText w:val="%3."/>
      <w:lvlJc w:val="right"/>
      <w:pPr>
        <w:ind w:left="5760" w:hanging="180"/>
      </w:pPr>
    </w:lvl>
    <w:lvl w:ilvl="3" w:tplc="1C09000F" w:tentative="1">
      <w:start w:val="1"/>
      <w:numFmt w:val="decimal"/>
      <w:lvlText w:val="%4."/>
      <w:lvlJc w:val="left"/>
      <w:pPr>
        <w:ind w:left="6480" w:hanging="360"/>
      </w:pPr>
    </w:lvl>
    <w:lvl w:ilvl="4" w:tplc="1C090019" w:tentative="1">
      <w:start w:val="1"/>
      <w:numFmt w:val="lowerLetter"/>
      <w:lvlText w:val="%5."/>
      <w:lvlJc w:val="left"/>
      <w:pPr>
        <w:ind w:left="7200" w:hanging="360"/>
      </w:pPr>
    </w:lvl>
    <w:lvl w:ilvl="5" w:tplc="1C09001B" w:tentative="1">
      <w:start w:val="1"/>
      <w:numFmt w:val="lowerRoman"/>
      <w:lvlText w:val="%6."/>
      <w:lvlJc w:val="right"/>
      <w:pPr>
        <w:ind w:left="7920" w:hanging="180"/>
      </w:pPr>
    </w:lvl>
    <w:lvl w:ilvl="6" w:tplc="1C09000F" w:tentative="1">
      <w:start w:val="1"/>
      <w:numFmt w:val="decimal"/>
      <w:lvlText w:val="%7."/>
      <w:lvlJc w:val="left"/>
      <w:pPr>
        <w:ind w:left="8640" w:hanging="360"/>
      </w:pPr>
    </w:lvl>
    <w:lvl w:ilvl="7" w:tplc="1C090019" w:tentative="1">
      <w:start w:val="1"/>
      <w:numFmt w:val="lowerLetter"/>
      <w:lvlText w:val="%8."/>
      <w:lvlJc w:val="left"/>
      <w:pPr>
        <w:ind w:left="9360" w:hanging="360"/>
      </w:pPr>
    </w:lvl>
    <w:lvl w:ilvl="8" w:tplc="1C09001B" w:tentative="1">
      <w:start w:val="1"/>
      <w:numFmt w:val="lowerRoman"/>
      <w:lvlText w:val="%9."/>
      <w:lvlJc w:val="right"/>
      <w:pPr>
        <w:ind w:left="10080" w:hanging="180"/>
      </w:pPr>
    </w:lvl>
  </w:abstractNum>
  <w:abstractNum w:abstractNumId="5" w15:restartNumberingAfterBreak="0">
    <w:nsid w:val="13EF72D8"/>
    <w:multiLevelType w:val="hybridMultilevel"/>
    <w:tmpl w:val="34E21720"/>
    <w:lvl w:ilvl="0" w:tplc="8E444068">
      <w:start w:val="1"/>
      <w:numFmt w:val="lowerRoman"/>
      <w:lvlText w:val="(%1)"/>
      <w:lvlJc w:val="left"/>
      <w:pPr>
        <w:ind w:left="1931" w:hanging="72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6" w15:restartNumberingAfterBreak="0">
    <w:nsid w:val="165D270B"/>
    <w:multiLevelType w:val="hybridMultilevel"/>
    <w:tmpl w:val="FA5AF1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6D34138"/>
    <w:multiLevelType w:val="hybridMultilevel"/>
    <w:tmpl w:val="6AA0FFA0"/>
    <w:lvl w:ilvl="0" w:tplc="0B04EE30">
      <w:start w:val="2"/>
      <w:numFmt w:val="upperLetter"/>
      <w:lvlText w:val="%1)"/>
      <w:lvlJc w:val="left"/>
      <w:pPr>
        <w:ind w:left="1770" w:hanging="360"/>
      </w:pPr>
      <w:rPr>
        <w:rFonts w:hint="default"/>
      </w:rPr>
    </w:lvl>
    <w:lvl w:ilvl="1" w:tplc="1C090019" w:tentative="1">
      <w:start w:val="1"/>
      <w:numFmt w:val="lowerLetter"/>
      <w:lvlText w:val="%2."/>
      <w:lvlJc w:val="left"/>
      <w:pPr>
        <w:ind w:left="2490" w:hanging="360"/>
      </w:pPr>
    </w:lvl>
    <w:lvl w:ilvl="2" w:tplc="1C09001B" w:tentative="1">
      <w:start w:val="1"/>
      <w:numFmt w:val="lowerRoman"/>
      <w:lvlText w:val="%3."/>
      <w:lvlJc w:val="right"/>
      <w:pPr>
        <w:ind w:left="3210" w:hanging="180"/>
      </w:pPr>
    </w:lvl>
    <w:lvl w:ilvl="3" w:tplc="1C09000F" w:tentative="1">
      <w:start w:val="1"/>
      <w:numFmt w:val="decimal"/>
      <w:lvlText w:val="%4."/>
      <w:lvlJc w:val="left"/>
      <w:pPr>
        <w:ind w:left="3930" w:hanging="360"/>
      </w:pPr>
    </w:lvl>
    <w:lvl w:ilvl="4" w:tplc="1C090019" w:tentative="1">
      <w:start w:val="1"/>
      <w:numFmt w:val="lowerLetter"/>
      <w:lvlText w:val="%5."/>
      <w:lvlJc w:val="left"/>
      <w:pPr>
        <w:ind w:left="4650" w:hanging="360"/>
      </w:pPr>
    </w:lvl>
    <w:lvl w:ilvl="5" w:tplc="1C09001B" w:tentative="1">
      <w:start w:val="1"/>
      <w:numFmt w:val="lowerRoman"/>
      <w:lvlText w:val="%6."/>
      <w:lvlJc w:val="right"/>
      <w:pPr>
        <w:ind w:left="5370" w:hanging="180"/>
      </w:pPr>
    </w:lvl>
    <w:lvl w:ilvl="6" w:tplc="1C09000F" w:tentative="1">
      <w:start w:val="1"/>
      <w:numFmt w:val="decimal"/>
      <w:lvlText w:val="%7."/>
      <w:lvlJc w:val="left"/>
      <w:pPr>
        <w:ind w:left="6090" w:hanging="360"/>
      </w:pPr>
    </w:lvl>
    <w:lvl w:ilvl="7" w:tplc="1C090019" w:tentative="1">
      <w:start w:val="1"/>
      <w:numFmt w:val="lowerLetter"/>
      <w:lvlText w:val="%8."/>
      <w:lvlJc w:val="left"/>
      <w:pPr>
        <w:ind w:left="6810" w:hanging="360"/>
      </w:pPr>
    </w:lvl>
    <w:lvl w:ilvl="8" w:tplc="1C09001B" w:tentative="1">
      <w:start w:val="1"/>
      <w:numFmt w:val="lowerRoman"/>
      <w:lvlText w:val="%9."/>
      <w:lvlJc w:val="right"/>
      <w:pPr>
        <w:ind w:left="7530" w:hanging="180"/>
      </w:pPr>
    </w:lvl>
  </w:abstractNum>
  <w:abstractNum w:abstractNumId="8" w15:restartNumberingAfterBreak="0">
    <w:nsid w:val="188276B6"/>
    <w:multiLevelType w:val="hybridMultilevel"/>
    <w:tmpl w:val="D346DECC"/>
    <w:lvl w:ilvl="0" w:tplc="5F3E594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27CF6F98"/>
    <w:multiLevelType w:val="hybridMultilevel"/>
    <w:tmpl w:val="59C8B88E"/>
    <w:lvl w:ilvl="0" w:tplc="93ACB572">
      <w:start w:val="1"/>
      <w:numFmt w:val="decimal"/>
      <w:lvlText w:val="%1."/>
      <w:lvlJc w:val="left"/>
      <w:pPr>
        <w:ind w:left="1440" w:hanging="360"/>
      </w:pPr>
      <w:rPr>
        <w:rFonts w:ascii="Arial" w:eastAsia="Times New Roman"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2C2E1B1B"/>
    <w:multiLevelType w:val="hybridMultilevel"/>
    <w:tmpl w:val="27427CD8"/>
    <w:lvl w:ilvl="0" w:tplc="B5340552">
      <w:start w:val="2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C4A45B9"/>
    <w:multiLevelType w:val="hybridMultilevel"/>
    <w:tmpl w:val="6AE43026"/>
    <w:lvl w:ilvl="0" w:tplc="A52E5B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CF6078B"/>
    <w:multiLevelType w:val="hybridMultilevel"/>
    <w:tmpl w:val="A17EC722"/>
    <w:lvl w:ilvl="0" w:tplc="953E1638">
      <w:start w:val="1"/>
      <w:numFmt w:val="decimal"/>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3" w15:restartNumberingAfterBreak="0">
    <w:nsid w:val="313B6245"/>
    <w:multiLevelType w:val="hybridMultilevel"/>
    <w:tmpl w:val="F5AC4998"/>
    <w:lvl w:ilvl="0" w:tplc="9EF822D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34D50431"/>
    <w:multiLevelType w:val="hybridMultilevel"/>
    <w:tmpl w:val="4A2E15B6"/>
    <w:lvl w:ilvl="0" w:tplc="40F8D96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7B97C4D"/>
    <w:multiLevelType w:val="hybridMultilevel"/>
    <w:tmpl w:val="29A637BE"/>
    <w:lvl w:ilvl="0" w:tplc="19B0D424">
      <w:start w:val="2"/>
      <w:numFmt w:val="lowerLetter"/>
      <w:lvlText w:val="%1)"/>
      <w:lvlJc w:val="left"/>
      <w:pPr>
        <w:ind w:left="1770" w:hanging="360"/>
      </w:pPr>
      <w:rPr>
        <w:rFonts w:hint="default"/>
      </w:rPr>
    </w:lvl>
    <w:lvl w:ilvl="1" w:tplc="1C090019" w:tentative="1">
      <w:start w:val="1"/>
      <w:numFmt w:val="lowerLetter"/>
      <w:lvlText w:val="%2."/>
      <w:lvlJc w:val="left"/>
      <w:pPr>
        <w:ind w:left="2490" w:hanging="360"/>
      </w:pPr>
    </w:lvl>
    <w:lvl w:ilvl="2" w:tplc="1C09001B" w:tentative="1">
      <w:start w:val="1"/>
      <w:numFmt w:val="lowerRoman"/>
      <w:lvlText w:val="%3."/>
      <w:lvlJc w:val="right"/>
      <w:pPr>
        <w:ind w:left="3210" w:hanging="180"/>
      </w:pPr>
    </w:lvl>
    <w:lvl w:ilvl="3" w:tplc="1C09000F" w:tentative="1">
      <w:start w:val="1"/>
      <w:numFmt w:val="decimal"/>
      <w:lvlText w:val="%4."/>
      <w:lvlJc w:val="left"/>
      <w:pPr>
        <w:ind w:left="3930" w:hanging="360"/>
      </w:pPr>
    </w:lvl>
    <w:lvl w:ilvl="4" w:tplc="1C090019" w:tentative="1">
      <w:start w:val="1"/>
      <w:numFmt w:val="lowerLetter"/>
      <w:lvlText w:val="%5."/>
      <w:lvlJc w:val="left"/>
      <w:pPr>
        <w:ind w:left="4650" w:hanging="360"/>
      </w:pPr>
    </w:lvl>
    <w:lvl w:ilvl="5" w:tplc="1C09001B" w:tentative="1">
      <w:start w:val="1"/>
      <w:numFmt w:val="lowerRoman"/>
      <w:lvlText w:val="%6."/>
      <w:lvlJc w:val="right"/>
      <w:pPr>
        <w:ind w:left="5370" w:hanging="180"/>
      </w:pPr>
    </w:lvl>
    <w:lvl w:ilvl="6" w:tplc="1C09000F" w:tentative="1">
      <w:start w:val="1"/>
      <w:numFmt w:val="decimal"/>
      <w:lvlText w:val="%7."/>
      <w:lvlJc w:val="left"/>
      <w:pPr>
        <w:ind w:left="6090" w:hanging="360"/>
      </w:pPr>
    </w:lvl>
    <w:lvl w:ilvl="7" w:tplc="1C090019" w:tentative="1">
      <w:start w:val="1"/>
      <w:numFmt w:val="lowerLetter"/>
      <w:lvlText w:val="%8."/>
      <w:lvlJc w:val="left"/>
      <w:pPr>
        <w:ind w:left="6810" w:hanging="360"/>
      </w:pPr>
    </w:lvl>
    <w:lvl w:ilvl="8" w:tplc="1C09001B" w:tentative="1">
      <w:start w:val="1"/>
      <w:numFmt w:val="lowerRoman"/>
      <w:lvlText w:val="%9."/>
      <w:lvlJc w:val="right"/>
      <w:pPr>
        <w:ind w:left="7530" w:hanging="180"/>
      </w:pPr>
    </w:lvl>
  </w:abstractNum>
  <w:abstractNum w:abstractNumId="16" w15:restartNumberingAfterBreak="0">
    <w:nsid w:val="39007C61"/>
    <w:multiLevelType w:val="hybridMultilevel"/>
    <w:tmpl w:val="9C76F368"/>
    <w:lvl w:ilvl="0" w:tplc="1C090017">
      <w:start w:val="1"/>
      <w:numFmt w:val="lowerLetter"/>
      <w:lvlText w:val="%1)"/>
      <w:lvlJc w:val="left"/>
      <w:pPr>
        <w:ind w:left="1770" w:hanging="360"/>
      </w:pPr>
    </w:lvl>
    <w:lvl w:ilvl="1" w:tplc="1C090019" w:tentative="1">
      <w:start w:val="1"/>
      <w:numFmt w:val="lowerLetter"/>
      <w:lvlText w:val="%2."/>
      <w:lvlJc w:val="left"/>
      <w:pPr>
        <w:ind w:left="2490" w:hanging="360"/>
      </w:pPr>
    </w:lvl>
    <w:lvl w:ilvl="2" w:tplc="1C09001B" w:tentative="1">
      <w:start w:val="1"/>
      <w:numFmt w:val="lowerRoman"/>
      <w:lvlText w:val="%3."/>
      <w:lvlJc w:val="right"/>
      <w:pPr>
        <w:ind w:left="3210" w:hanging="180"/>
      </w:pPr>
    </w:lvl>
    <w:lvl w:ilvl="3" w:tplc="1C09000F" w:tentative="1">
      <w:start w:val="1"/>
      <w:numFmt w:val="decimal"/>
      <w:lvlText w:val="%4."/>
      <w:lvlJc w:val="left"/>
      <w:pPr>
        <w:ind w:left="3930" w:hanging="360"/>
      </w:pPr>
    </w:lvl>
    <w:lvl w:ilvl="4" w:tplc="1C090019" w:tentative="1">
      <w:start w:val="1"/>
      <w:numFmt w:val="lowerLetter"/>
      <w:lvlText w:val="%5."/>
      <w:lvlJc w:val="left"/>
      <w:pPr>
        <w:ind w:left="4650" w:hanging="360"/>
      </w:pPr>
    </w:lvl>
    <w:lvl w:ilvl="5" w:tplc="1C09001B" w:tentative="1">
      <w:start w:val="1"/>
      <w:numFmt w:val="lowerRoman"/>
      <w:lvlText w:val="%6."/>
      <w:lvlJc w:val="right"/>
      <w:pPr>
        <w:ind w:left="5370" w:hanging="180"/>
      </w:pPr>
    </w:lvl>
    <w:lvl w:ilvl="6" w:tplc="1C09000F" w:tentative="1">
      <w:start w:val="1"/>
      <w:numFmt w:val="decimal"/>
      <w:lvlText w:val="%7."/>
      <w:lvlJc w:val="left"/>
      <w:pPr>
        <w:ind w:left="6090" w:hanging="360"/>
      </w:pPr>
    </w:lvl>
    <w:lvl w:ilvl="7" w:tplc="1C090019" w:tentative="1">
      <w:start w:val="1"/>
      <w:numFmt w:val="lowerLetter"/>
      <w:lvlText w:val="%8."/>
      <w:lvlJc w:val="left"/>
      <w:pPr>
        <w:ind w:left="6810" w:hanging="360"/>
      </w:pPr>
    </w:lvl>
    <w:lvl w:ilvl="8" w:tplc="1C09001B" w:tentative="1">
      <w:start w:val="1"/>
      <w:numFmt w:val="lowerRoman"/>
      <w:lvlText w:val="%9."/>
      <w:lvlJc w:val="right"/>
      <w:pPr>
        <w:ind w:left="7530" w:hanging="180"/>
      </w:pPr>
    </w:lvl>
  </w:abstractNum>
  <w:abstractNum w:abstractNumId="17" w15:restartNumberingAfterBreak="0">
    <w:nsid w:val="39553F25"/>
    <w:multiLevelType w:val="hybridMultilevel"/>
    <w:tmpl w:val="6842058C"/>
    <w:lvl w:ilvl="0" w:tplc="4E2A39A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0C1B20"/>
    <w:multiLevelType w:val="hybridMultilevel"/>
    <w:tmpl w:val="DF707322"/>
    <w:lvl w:ilvl="0" w:tplc="4EBA9B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F33264"/>
    <w:multiLevelType w:val="hybridMultilevel"/>
    <w:tmpl w:val="DE2CEF12"/>
    <w:lvl w:ilvl="0" w:tplc="1C090013">
      <w:start w:val="1"/>
      <w:numFmt w:val="upperRoman"/>
      <w:lvlText w:val="%1."/>
      <w:lvlJc w:val="right"/>
      <w:pPr>
        <w:ind w:left="2421" w:hanging="360"/>
      </w:pPr>
    </w:lvl>
    <w:lvl w:ilvl="1" w:tplc="1C090019" w:tentative="1">
      <w:start w:val="1"/>
      <w:numFmt w:val="lowerLetter"/>
      <w:lvlText w:val="%2."/>
      <w:lvlJc w:val="left"/>
      <w:pPr>
        <w:ind w:left="3141" w:hanging="360"/>
      </w:pPr>
    </w:lvl>
    <w:lvl w:ilvl="2" w:tplc="1C09001B" w:tentative="1">
      <w:start w:val="1"/>
      <w:numFmt w:val="lowerRoman"/>
      <w:lvlText w:val="%3."/>
      <w:lvlJc w:val="right"/>
      <w:pPr>
        <w:ind w:left="3861" w:hanging="180"/>
      </w:pPr>
    </w:lvl>
    <w:lvl w:ilvl="3" w:tplc="1C09000F" w:tentative="1">
      <w:start w:val="1"/>
      <w:numFmt w:val="decimal"/>
      <w:lvlText w:val="%4."/>
      <w:lvlJc w:val="left"/>
      <w:pPr>
        <w:ind w:left="4581" w:hanging="360"/>
      </w:pPr>
    </w:lvl>
    <w:lvl w:ilvl="4" w:tplc="1C090019" w:tentative="1">
      <w:start w:val="1"/>
      <w:numFmt w:val="lowerLetter"/>
      <w:lvlText w:val="%5."/>
      <w:lvlJc w:val="left"/>
      <w:pPr>
        <w:ind w:left="5301" w:hanging="360"/>
      </w:pPr>
    </w:lvl>
    <w:lvl w:ilvl="5" w:tplc="1C09001B" w:tentative="1">
      <w:start w:val="1"/>
      <w:numFmt w:val="lowerRoman"/>
      <w:lvlText w:val="%6."/>
      <w:lvlJc w:val="right"/>
      <w:pPr>
        <w:ind w:left="6021" w:hanging="180"/>
      </w:pPr>
    </w:lvl>
    <w:lvl w:ilvl="6" w:tplc="1C09000F" w:tentative="1">
      <w:start w:val="1"/>
      <w:numFmt w:val="decimal"/>
      <w:lvlText w:val="%7."/>
      <w:lvlJc w:val="left"/>
      <w:pPr>
        <w:ind w:left="6741" w:hanging="360"/>
      </w:pPr>
    </w:lvl>
    <w:lvl w:ilvl="7" w:tplc="1C090019" w:tentative="1">
      <w:start w:val="1"/>
      <w:numFmt w:val="lowerLetter"/>
      <w:lvlText w:val="%8."/>
      <w:lvlJc w:val="left"/>
      <w:pPr>
        <w:ind w:left="7461" w:hanging="360"/>
      </w:pPr>
    </w:lvl>
    <w:lvl w:ilvl="8" w:tplc="1C09001B" w:tentative="1">
      <w:start w:val="1"/>
      <w:numFmt w:val="lowerRoman"/>
      <w:lvlText w:val="%9."/>
      <w:lvlJc w:val="right"/>
      <w:pPr>
        <w:ind w:left="8181" w:hanging="180"/>
      </w:pPr>
    </w:lvl>
  </w:abstractNum>
  <w:abstractNum w:abstractNumId="20" w15:restartNumberingAfterBreak="0">
    <w:nsid w:val="41FF28A8"/>
    <w:multiLevelType w:val="hybridMultilevel"/>
    <w:tmpl w:val="D346DECC"/>
    <w:lvl w:ilvl="0" w:tplc="5F3E594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43501C4C"/>
    <w:multiLevelType w:val="hybridMultilevel"/>
    <w:tmpl w:val="168EC850"/>
    <w:lvl w:ilvl="0" w:tplc="4C385D6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B50E82"/>
    <w:multiLevelType w:val="hybridMultilevel"/>
    <w:tmpl w:val="ADD6807C"/>
    <w:lvl w:ilvl="0" w:tplc="B8947A8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EBA7D68"/>
    <w:multiLevelType w:val="hybridMultilevel"/>
    <w:tmpl w:val="79BA799E"/>
    <w:lvl w:ilvl="0" w:tplc="36DC192C">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32027F2"/>
    <w:multiLevelType w:val="hybridMultilevel"/>
    <w:tmpl w:val="558A26C8"/>
    <w:lvl w:ilvl="0" w:tplc="2E36397A">
      <w:start w:val="1"/>
      <w:numFmt w:val="decimal"/>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5" w15:restartNumberingAfterBreak="0">
    <w:nsid w:val="572C7158"/>
    <w:multiLevelType w:val="hybridMultilevel"/>
    <w:tmpl w:val="B8C854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79D64F5"/>
    <w:multiLevelType w:val="hybridMultilevel"/>
    <w:tmpl w:val="9C6E9D1A"/>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7" w15:restartNumberingAfterBreak="0">
    <w:nsid w:val="6B4D28B8"/>
    <w:multiLevelType w:val="hybridMultilevel"/>
    <w:tmpl w:val="6842058C"/>
    <w:lvl w:ilvl="0" w:tplc="4E2A39A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6BFD0B1F"/>
    <w:multiLevelType w:val="hybridMultilevel"/>
    <w:tmpl w:val="446E9CA8"/>
    <w:lvl w:ilvl="0" w:tplc="5A5E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3C4B07"/>
    <w:multiLevelType w:val="hybridMultilevel"/>
    <w:tmpl w:val="05783E8E"/>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5A1666F"/>
    <w:multiLevelType w:val="hybridMultilevel"/>
    <w:tmpl w:val="8D1E42DA"/>
    <w:lvl w:ilvl="0" w:tplc="A238E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563DBE"/>
    <w:multiLevelType w:val="hybridMultilevel"/>
    <w:tmpl w:val="AEBCF1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E584E8D"/>
    <w:multiLevelType w:val="hybridMultilevel"/>
    <w:tmpl w:val="27B80BF6"/>
    <w:lvl w:ilvl="0" w:tplc="64382CDA">
      <w:start w:val="1"/>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9"/>
  </w:num>
  <w:num w:numId="2">
    <w:abstractNumId w:val="29"/>
  </w:num>
  <w:num w:numId="3">
    <w:abstractNumId w:val="16"/>
  </w:num>
  <w:num w:numId="4">
    <w:abstractNumId w:val="19"/>
  </w:num>
  <w:num w:numId="5">
    <w:abstractNumId w:val="1"/>
  </w:num>
  <w:num w:numId="6">
    <w:abstractNumId w:val="7"/>
  </w:num>
  <w:num w:numId="7">
    <w:abstractNumId w:val="15"/>
  </w:num>
  <w:num w:numId="8">
    <w:abstractNumId w:val="0"/>
  </w:num>
  <w:num w:numId="9">
    <w:abstractNumId w:val="5"/>
  </w:num>
  <w:num w:numId="10">
    <w:abstractNumId w:val="13"/>
  </w:num>
  <w:num w:numId="11">
    <w:abstractNumId w:val="2"/>
  </w:num>
  <w:num w:numId="12">
    <w:abstractNumId w:val="26"/>
  </w:num>
  <w:num w:numId="13">
    <w:abstractNumId w:val="24"/>
  </w:num>
  <w:num w:numId="14">
    <w:abstractNumId w:val="12"/>
  </w:num>
  <w:num w:numId="15">
    <w:abstractNumId w:val="22"/>
  </w:num>
  <w:num w:numId="16">
    <w:abstractNumId w:val="3"/>
  </w:num>
  <w:num w:numId="17">
    <w:abstractNumId w:val="21"/>
  </w:num>
  <w:num w:numId="18">
    <w:abstractNumId w:val="30"/>
  </w:num>
  <w:num w:numId="19">
    <w:abstractNumId w:val="28"/>
  </w:num>
  <w:num w:numId="20">
    <w:abstractNumId w:val="6"/>
  </w:num>
  <w:num w:numId="21">
    <w:abstractNumId w:val="14"/>
  </w:num>
  <w:num w:numId="22">
    <w:abstractNumId w:val="20"/>
  </w:num>
  <w:num w:numId="23">
    <w:abstractNumId w:val="11"/>
  </w:num>
  <w:num w:numId="24">
    <w:abstractNumId w:val="32"/>
  </w:num>
  <w:num w:numId="25">
    <w:abstractNumId w:val="4"/>
  </w:num>
  <w:num w:numId="26">
    <w:abstractNumId w:val="17"/>
  </w:num>
  <w:num w:numId="27">
    <w:abstractNumId w:val="18"/>
  </w:num>
  <w:num w:numId="28">
    <w:abstractNumId w:val="23"/>
  </w:num>
  <w:num w:numId="29">
    <w:abstractNumId w:val="31"/>
  </w:num>
  <w:num w:numId="30">
    <w:abstractNumId w:val="8"/>
  </w:num>
  <w:num w:numId="31">
    <w:abstractNumId w:val="27"/>
  </w:num>
  <w:num w:numId="32">
    <w:abstractNumId w:val="2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52"/>
    <w:rsid w:val="00004560"/>
    <w:rsid w:val="00013E58"/>
    <w:rsid w:val="00021707"/>
    <w:rsid w:val="000233BD"/>
    <w:rsid w:val="000242A8"/>
    <w:rsid w:val="00024365"/>
    <w:rsid w:val="00025C4E"/>
    <w:rsid w:val="00030CB4"/>
    <w:rsid w:val="00033FC9"/>
    <w:rsid w:val="00060138"/>
    <w:rsid w:val="000626E3"/>
    <w:rsid w:val="00066091"/>
    <w:rsid w:val="00070504"/>
    <w:rsid w:val="0009327E"/>
    <w:rsid w:val="00096373"/>
    <w:rsid w:val="00097BB1"/>
    <w:rsid w:val="000A1BEF"/>
    <w:rsid w:val="000A30B5"/>
    <w:rsid w:val="000A3FF9"/>
    <w:rsid w:val="000A64F8"/>
    <w:rsid w:val="000A77D9"/>
    <w:rsid w:val="000B4494"/>
    <w:rsid w:val="000C2DC7"/>
    <w:rsid w:val="000C5FC4"/>
    <w:rsid w:val="000C62C7"/>
    <w:rsid w:val="000D03EF"/>
    <w:rsid w:val="000D5295"/>
    <w:rsid w:val="000F156A"/>
    <w:rsid w:val="000F64CE"/>
    <w:rsid w:val="001001CC"/>
    <w:rsid w:val="00105BFA"/>
    <w:rsid w:val="00106AB4"/>
    <w:rsid w:val="0011496B"/>
    <w:rsid w:val="00114C5E"/>
    <w:rsid w:val="00117CA7"/>
    <w:rsid w:val="001207FB"/>
    <w:rsid w:val="0013277F"/>
    <w:rsid w:val="00142CDB"/>
    <w:rsid w:val="001452DA"/>
    <w:rsid w:val="00146801"/>
    <w:rsid w:val="00150B2B"/>
    <w:rsid w:val="00151EEA"/>
    <w:rsid w:val="001748E2"/>
    <w:rsid w:val="001753DA"/>
    <w:rsid w:val="00176694"/>
    <w:rsid w:val="00177BA6"/>
    <w:rsid w:val="001824D3"/>
    <w:rsid w:val="001843CB"/>
    <w:rsid w:val="00186F46"/>
    <w:rsid w:val="001946B5"/>
    <w:rsid w:val="001A1B76"/>
    <w:rsid w:val="001A2387"/>
    <w:rsid w:val="001A4396"/>
    <w:rsid w:val="001C4F39"/>
    <w:rsid w:val="001D6DD4"/>
    <w:rsid w:val="001F12E8"/>
    <w:rsid w:val="001F3C1A"/>
    <w:rsid w:val="001F75EA"/>
    <w:rsid w:val="00203DF1"/>
    <w:rsid w:val="00221C98"/>
    <w:rsid w:val="002225A0"/>
    <w:rsid w:val="0023165A"/>
    <w:rsid w:val="00231D7C"/>
    <w:rsid w:val="00242A49"/>
    <w:rsid w:val="00242EA8"/>
    <w:rsid w:val="00252E81"/>
    <w:rsid w:val="00257AC2"/>
    <w:rsid w:val="00263742"/>
    <w:rsid w:val="002811AE"/>
    <w:rsid w:val="00281200"/>
    <w:rsid w:val="00283913"/>
    <w:rsid w:val="0029197F"/>
    <w:rsid w:val="00293B07"/>
    <w:rsid w:val="0029670E"/>
    <w:rsid w:val="002A03B2"/>
    <w:rsid w:val="002A19DE"/>
    <w:rsid w:val="002A2BF2"/>
    <w:rsid w:val="002B098B"/>
    <w:rsid w:val="002B1858"/>
    <w:rsid w:val="002B49A1"/>
    <w:rsid w:val="002C24A0"/>
    <w:rsid w:val="002C55FD"/>
    <w:rsid w:val="002C73EB"/>
    <w:rsid w:val="002D0D0B"/>
    <w:rsid w:val="002D2868"/>
    <w:rsid w:val="002D4F4B"/>
    <w:rsid w:val="002E42A3"/>
    <w:rsid w:val="002F10F0"/>
    <w:rsid w:val="002F146C"/>
    <w:rsid w:val="002F3338"/>
    <w:rsid w:val="002F3CB6"/>
    <w:rsid w:val="00313419"/>
    <w:rsid w:val="00315982"/>
    <w:rsid w:val="003233FA"/>
    <w:rsid w:val="003532AE"/>
    <w:rsid w:val="0035402A"/>
    <w:rsid w:val="003557BB"/>
    <w:rsid w:val="00360E43"/>
    <w:rsid w:val="0036521E"/>
    <w:rsid w:val="00370FF9"/>
    <w:rsid w:val="003831DC"/>
    <w:rsid w:val="00386ED4"/>
    <w:rsid w:val="00391533"/>
    <w:rsid w:val="003979BB"/>
    <w:rsid w:val="003A62EF"/>
    <w:rsid w:val="003A66C3"/>
    <w:rsid w:val="003B6E94"/>
    <w:rsid w:val="003C2169"/>
    <w:rsid w:val="003C242B"/>
    <w:rsid w:val="003C2E8B"/>
    <w:rsid w:val="003C582E"/>
    <w:rsid w:val="003C7888"/>
    <w:rsid w:val="003C7DA0"/>
    <w:rsid w:val="003D0080"/>
    <w:rsid w:val="003D0543"/>
    <w:rsid w:val="00403345"/>
    <w:rsid w:val="0040437E"/>
    <w:rsid w:val="00405779"/>
    <w:rsid w:val="00406C3A"/>
    <w:rsid w:val="004121B3"/>
    <w:rsid w:val="004162F6"/>
    <w:rsid w:val="00416523"/>
    <w:rsid w:val="00423CB7"/>
    <w:rsid w:val="0043167F"/>
    <w:rsid w:val="00432557"/>
    <w:rsid w:val="00440FC8"/>
    <w:rsid w:val="0045309F"/>
    <w:rsid w:val="0046467B"/>
    <w:rsid w:val="00467014"/>
    <w:rsid w:val="0047171D"/>
    <w:rsid w:val="00477EAD"/>
    <w:rsid w:val="0048432A"/>
    <w:rsid w:val="004A29C5"/>
    <w:rsid w:val="004A44F7"/>
    <w:rsid w:val="004B1237"/>
    <w:rsid w:val="004B4E8A"/>
    <w:rsid w:val="004B735F"/>
    <w:rsid w:val="004E1E44"/>
    <w:rsid w:val="004F4BF6"/>
    <w:rsid w:val="00520D7D"/>
    <w:rsid w:val="00527A29"/>
    <w:rsid w:val="00532A69"/>
    <w:rsid w:val="0053415F"/>
    <w:rsid w:val="00535C65"/>
    <w:rsid w:val="00535E0D"/>
    <w:rsid w:val="005451A8"/>
    <w:rsid w:val="00546FC5"/>
    <w:rsid w:val="005555B6"/>
    <w:rsid w:val="0055749C"/>
    <w:rsid w:val="005579F8"/>
    <w:rsid w:val="005606E9"/>
    <w:rsid w:val="00583AB6"/>
    <w:rsid w:val="00584541"/>
    <w:rsid w:val="005851B9"/>
    <w:rsid w:val="00585CB2"/>
    <w:rsid w:val="005A3749"/>
    <w:rsid w:val="005A4C04"/>
    <w:rsid w:val="005A6C2A"/>
    <w:rsid w:val="005A70FC"/>
    <w:rsid w:val="005B37BB"/>
    <w:rsid w:val="005C3B57"/>
    <w:rsid w:val="005C5969"/>
    <w:rsid w:val="005D16E6"/>
    <w:rsid w:val="005E0723"/>
    <w:rsid w:val="005E77DA"/>
    <w:rsid w:val="006148E9"/>
    <w:rsid w:val="006212DB"/>
    <w:rsid w:val="00621B82"/>
    <w:rsid w:val="006226FA"/>
    <w:rsid w:val="00622E5A"/>
    <w:rsid w:val="006262FE"/>
    <w:rsid w:val="00634DF6"/>
    <w:rsid w:val="00635367"/>
    <w:rsid w:val="00637780"/>
    <w:rsid w:val="006420C4"/>
    <w:rsid w:val="00643666"/>
    <w:rsid w:val="006512F8"/>
    <w:rsid w:val="0065436F"/>
    <w:rsid w:val="00657855"/>
    <w:rsid w:val="00660C93"/>
    <w:rsid w:val="00666F81"/>
    <w:rsid w:val="0068634D"/>
    <w:rsid w:val="00695917"/>
    <w:rsid w:val="00696E7B"/>
    <w:rsid w:val="006A3A33"/>
    <w:rsid w:val="006B03B7"/>
    <w:rsid w:val="006B5F5F"/>
    <w:rsid w:val="006C120B"/>
    <w:rsid w:val="006D5A5D"/>
    <w:rsid w:val="006E2FD5"/>
    <w:rsid w:val="0070202A"/>
    <w:rsid w:val="0070692D"/>
    <w:rsid w:val="007069CF"/>
    <w:rsid w:val="00711306"/>
    <w:rsid w:val="00722536"/>
    <w:rsid w:val="007243C0"/>
    <w:rsid w:val="00730F6F"/>
    <w:rsid w:val="00737282"/>
    <w:rsid w:val="00775FA7"/>
    <w:rsid w:val="007775D2"/>
    <w:rsid w:val="00782A7A"/>
    <w:rsid w:val="00782EB4"/>
    <w:rsid w:val="007914EB"/>
    <w:rsid w:val="0079291A"/>
    <w:rsid w:val="007932F3"/>
    <w:rsid w:val="007943FC"/>
    <w:rsid w:val="0079506D"/>
    <w:rsid w:val="007A5578"/>
    <w:rsid w:val="007B6B8F"/>
    <w:rsid w:val="007C2FFD"/>
    <w:rsid w:val="007D070D"/>
    <w:rsid w:val="007D1FE8"/>
    <w:rsid w:val="007D7DE0"/>
    <w:rsid w:val="007E169D"/>
    <w:rsid w:val="007E415A"/>
    <w:rsid w:val="007E6E53"/>
    <w:rsid w:val="007F18EB"/>
    <w:rsid w:val="007F7A4D"/>
    <w:rsid w:val="0080032D"/>
    <w:rsid w:val="00800395"/>
    <w:rsid w:val="00800B9B"/>
    <w:rsid w:val="00823640"/>
    <w:rsid w:val="00823737"/>
    <w:rsid w:val="0082677E"/>
    <w:rsid w:val="008272B3"/>
    <w:rsid w:val="00832ABD"/>
    <w:rsid w:val="008439E3"/>
    <w:rsid w:val="00854C84"/>
    <w:rsid w:val="0085572A"/>
    <w:rsid w:val="008629C8"/>
    <w:rsid w:val="008630D3"/>
    <w:rsid w:val="00872947"/>
    <w:rsid w:val="00874D50"/>
    <w:rsid w:val="008816B6"/>
    <w:rsid w:val="00882501"/>
    <w:rsid w:val="00882E99"/>
    <w:rsid w:val="00885956"/>
    <w:rsid w:val="00887407"/>
    <w:rsid w:val="00890F73"/>
    <w:rsid w:val="00892800"/>
    <w:rsid w:val="00896041"/>
    <w:rsid w:val="008A0855"/>
    <w:rsid w:val="008B1879"/>
    <w:rsid w:val="008B2A75"/>
    <w:rsid w:val="008C039D"/>
    <w:rsid w:val="008C0FD0"/>
    <w:rsid w:val="008C5CEF"/>
    <w:rsid w:val="008C73AC"/>
    <w:rsid w:val="008D3505"/>
    <w:rsid w:val="009026B5"/>
    <w:rsid w:val="009032DF"/>
    <w:rsid w:val="00916455"/>
    <w:rsid w:val="00922273"/>
    <w:rsid w:val="00930157"/>
    <w:rsid w:val="009303A9"/>
    <w:rsid w:val="009345BD"/>
    <w:rsid w:val="00934EE3"/>
    <w:rsid w:val="00944E77"/>
    <w:rsid w:val="009452C1"/>
    <w:rsid w:val="00947FC7"/>
    <w:rsid w:val="00951F84"/>
    <w:rsid w:val="00954D85"/>
    <w:rsid w:val="00964E2B"/>
    <w:rsid w:val="0099433F"/>
    <w:rsid w:val="0099534C"/>
    <w:rsid w:val="00997D29"/>
    <w:rsid w:val="00997F4A"/>
    <w:rsid w:val="009A1CBD"/>
    <w:rsid w:val="009A29B1"/>
    <w:rsid w:val="009A42FC"/>
    <w:rsid w:val="009A53F7"/>
    <w:rsid w:val="009A78DF"/>
    <w:rsid w:val="009B0DF2"/>
    <w:rsid w:val="009B1D22"/>
    <w:rsid w:val="009B5876"/>
    <w:rsid w:val="009C00DD"/>
    <w:rsid w:val="009D1326"/>
    <w:rsid w:val="009E15D8"/>
    <w:rsid w:val="009E1A05"/>
    <w:rsid w:val="009E6E17"/>
    <w:rsid w:val="009E6FC5"/>
    <w:rsid w:val="009E70B2"/>
    <w:rsid w:val="009F0F87"/>
    <w:rsid w:val="00A0564D"/>
    <w:rsid w:val="00A065A7"/>
    <w:rsid w:val="00A102F4"/>
    <w:rsid w:val="00A1135E"/>
    <w:rsid w:val="00A16FF6"/>
    <w:rsid w:val="00A23285"/>
    <w:rsid w:val="00A3270D"/>
    <w:rsid w:val="00A36C0A"/>
    <w:rsid w:val="00A37D19"/>
    <w:rsid w:val="00A42CB2"/>
    <w:rsid w:val="00A448EA"/>
    <w:rsid w:val="00A537DF"/>
    <w:rsid w:val="00A620D9"/>
    <w:rsid w:val="00A703A4"/>
    <w:rsid w:val="00A705C5"/>
    <w:rsid w:val="00A715A9"/>
    <w:rsid w:val="00A721CC"/>
    <w:rsid w:val="00A822BB"/>
    <w:rsid w:val="00A854C0"/>
    <w:rsid w:val="00A867EA"/>
    <w:rsid w:val="00A93C10"/>
    <w:rsid w:val="00A96785"/>
    <w:rsid w:val="00AA1AED"/>
    <w:rsid w:val="00AA35D1"/>
    <w:rsid w:val="00AB15F8"/>
    <w:rsid w:val="00AB76E0"/>
    <w:rsid w:val="00AC30F6"/>
    <w:rsid w:val="00AC714D"/>
    <w:rsid w:val="00AD3EC7"/>
    <w:rsid w:val="00AD7E6C"/>
    <w:rsid w:val="00AF0F42"/>
    <w:rsid w:val="00AF652E"/>
    <w:rsid w:val="00AF7B0C"/>
    <w:rsid w:val="00B02850"/>
    <w:rsid w:val="00B06386"/>
    <w:rsid w:val="00B10A8C"/>
    <w:rsid w:val="00B13355"/>
    <w:rsid w:val="00B23601"/>
    <w:rsid w:val="00B23DBB"/>
    <w:rsid w:val="00B254B0"/>
    <w:rsid w:val="00B25AFB"/>
    <w:rsid w:val="00B328A4"/>
    <w:rsid w:val="00B413C5"/>
    <w:rsid w:val="00B57569"/>
    <w:rsid w:val="00B6436F"/>
    <w:rsid w:val="00B6604D"/>
    <w:rsid w:val="00B85061"/>
    <w:rsid w:val="00B9535A"/>
    <w:rsid w:val="00BA06C2"/>
    <w:rsid w:val="00BB0027"/>
    <w:rsid w:val="00BB3460"/>
    <w:rsid w:val="00BC1919"/>
    <w:rsid w:val="00BD1AEC"/>
    <w:rsid w:val="00BE3438"/>
    <w:rsid w:val="00BE37A1"/>
    <w:rsid w:val="00BE5B42"/>
    <w:rsid w:val="00BF38BE"/>
    <w:rsid w:val="00C07759"/>
    <w:rsid w:val="00C10DA4"/>
    <w:rsid w:val="00C16479"/>
    <w:rsid w:val="00C218A5"/>
    <w:rsid w:val="00C24C16"/>
    <w:rsid w:val="00C252E8"/>
    <w:rsid w:val="00C25B5D"/>
    <w:rsid w:val="00C26B21"/>
    <w:rsid w:val="00C27A80"/>
    <w:rsid w:val="00C27C72"/>
    <w:rsid w:val="00C3607A"/>
    <w:rsid w:val="00C41326"/>
    <w:rsid w:val="00C430AF"/>
    <w:rsid w:val="00C43E18"/>
    <w:rsid w:val="00C6047A"/>
    <w:rsid w:val="00C632AD"/>
    <w:rsid w:val="00C661B0"/>
    <w:rsid w:val="00C70C3A"/>
    <w:rsid w:val="00C7104F"/>
    <w:rsid w:val="00C7596E"/>
    <w:rsid w:val="00C83F50"/>
    <w:rsid w:val="00C84431"/>
    <w:rsid w:val="00C8498E"/>
    <w:rsid w:val="00CA5789"/>
    <w:rsid w:val="00CA63E8"/>
    <w:rsid w:val="00CA6B8E"/>
    <w:rsid w:val="00CA79AD"/>
    <w:rsid w:val="00CB0169"/>
    <w:rsid w:val="00CB1F15"/>
    <w:rsid w:val="00CB24DD"/>
    <w:rsid w:val="00CB7803"/>
    <w:rsid w:val="00CD165F"/>
    <w:rsid w:val="00CD18F9"/>
    <w:rsid w:val="00CD27CF"/>
    <w:rsid w:val="00CD3252"/>
    <w:rsid w:val="00CE2AC0"/>
    <w:rsid w:val="00CF3C38"/>
    <w:rsid w:val="00D00CFE"/>
    <w:rsid w:val="00D02CBF"/>
    <w:rsid w:val="00D049DA"/>
    <w:rsid w:val="00D10141"/>
    <w:rsid w:val="00D11196"/>
    <w:rsid w:val="00D177B5"/>
    <w:rsid w:val="00D24E92"/>
    <w:rsid w:val="00D30792"/>
    <w:rsid w:val="00D31CD9"/>
    <w:rsid w:val="00D33949"/>
    <w:rsid w:val="00D35486"/>
    <w:rsid w:val="00D45D72"/>
    <w:rsid w:val="00D5063E"/>
    <w:rsid w:val="00D50D25"/>
    <w:rsid w:val="00D53F93"/>
    <w:rsid w:val="00D5614B"/>
    <w:rsid w:val="00D61F5B"/>
    <w:rsid w:val="00D86988"/>
    <w:rsid w:val="00D915DC"/>
    <w:rsid w:val="00D934BE"/>
    <w:rsid w:val="00D95C4E"/>
    <w:rsid w:val="00D969AD"/>
    <w:rsid w:val="00DA494B"/>
    <w:rsid w:val="00DA5D92"/>
    <w:rsid w:val="00DC2342"/>
    <w:rsid w:val="00DD213A"/>
    <w:rsid w:val="00DE3345"/>
    <w:rsid w:val="00DE6A71"/>
    <w:rsid w:val="00DE7A67"/>
    <w:rsid w:val="00DF4265"/>
    <w:rsid w:val="00DF7602"/>
    <w:rsid w:val="00E036E3"/>
    <w:rsid w:val="00E041F2"/>
    <w:rsid w:val="00E045EC"/>
    <w:rsid w:val="00E11139"/>
    <w:rsid w:val="00E130F8"/>
    <w:rsid w:val="00E154E1"/>
    <w:rsid w:val="00E23B1D"/>
    <w:rsid w:val="00E2545A"/>
    <w:rsid w:val="00E3271B"/>
    <w:rsid w:val="00E33D08"/>
    <w:rsid w:val="00E34686"/>
    <w:rsid w:val="00E34BB1"/>
    <w:rsid w:val="00E37CA3"/>
    <w:rsid w:val="00E41C87"/>
    <w:rsid w:val="00E42BED"/>
    <w:rsid w:val="00E44ABC"/>
    <w:rsid w:val="00E613B6"/>
    <w:rsid w:val="00E625A8"/>
    <w:rsid w:val="00E6451E"/>
    <w:rsid w:val="00E848BF"/>
    <w:rsid w:val="00E86C88"/>
    <w:rsid w:val="00E93C47"/>
    <w:rsid w:val="00E97870"/>
    <w:rsid w:val="00EA5561"/>
    <w:rsid w:val="00EC50A9"/>
    <w:rsid w:val="00EC6874"/>
    <w:rsid w:val="00ED757D"/>
    <w:rsid w:val="00EE49C3"/>
    <w:rsid w:val="00EE664C"/>
    <w:rsid w:val="00EF321A"/>
    <w:rsid w:val="00EF615C"/>
    <w:rsid w:val="00EF6B95"/>
    <w:rsid w:val="00F00254"/>
    <w:rsid w:val="00F0373D"/>
    <w:rsid w:val="00F12E6D"/>
    <w:rsid w:val="00F15AD6"/>
    <w:rsid w:val="00F21766"/>
    <w:rsid w:val="00F271FD"/>
    <w:rsid w:val="00F3422A"/>
    <w:rsid w:val="00F365B8"/>
    <w:rsid w:val="00F42183"/>
    <w:rsid w:val="00F50D4B"/>
    <w:rsid w:val="00F6316B"/>
    <w:rsid w:val="00F63E5A"/>
    <w:rsid w:val="00F66C1F"/>
    <w:rsid w:val="00F721EE"/>
    <w:rsid w:val="00F72ED6"/>
    <w:rsid w:val="00F778A1"/>
    <w:rsid w:val="00F82285"/>
    <w:rsid w:val="00F82893"/>
    <w:rsid w:val="00F83984"/>
    <w:rsid w:val="00F87AD7"/>
    <w:rsid w:val="00F912F7"/>
    <w:rsid w:val="00F96CAF"/>
    <w:rsid w:val="00FA3683"/>
    <w:rsid w:val="00FB040C"/>
    <w:rsid w:val="00FB7B8B"/>
    <w:rsid w:val="00FC1245"/>
    <w:rsid w:val="00FC23E8"/>
    <w:rsid w:val="00FD0952"/>
    <w:rsid w:val="00FD583B"/>
    <w:rsid w:val="00FF4D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3E60"/>
  <w15:docId w15:val="{89721E14-C5CD-47ED-8470-8D7026F1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252"/>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semiHidden/>
    <w:unhideWhenUsed/>
    <w:qFormat/>
    <w:rsid w:val="005C59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252"/>
    <w:rPr>
      <w:rFonts w:ascii="Tahoma" w:hAnsi="Tahoma" w:cs="Tahoma"/>
      <w:sz w:val="16"/>
      <w:szCs w:val="16"/>
    </w:rPr>
  </w:style>
  <w:style w:type="character" w:customStyle="1" w:styleId="BalloonTextChar">
    <w:name w:val="Balloon Text Char"/>
    <w:basedOn w:val="DefaultParagraphFont"/>
    <w:link w:val="BalloonText"/>
    <w:uiPriority w:val="99"/>
    <w:semiHidden/>
    <w:rsid w:val="00CD3252"/>
    <w:rPr>
      <w:rFonts w:ascii="Tahoma" w:eastAsia="Times New Roman" w:hAnsi="Tahoma" w:cs="Tahoma"/>
      <w:sz w:val="16"/>
      <w:szCs w:val="16"/>
      <w:lang w:val="en-GB" w:eastAsia="en-GB"/>
    </w:rPr>
  </w:style>
  <w:style w:type="paragraph" w:styleId="ListParagraph">
    <w:name w:val="List Paragraph"/>
    <w:basedOn w:val="Normal"/>
    <w:uiPriority w:val="34"/>
    <w:qFormat/>
    <w:rsid w:val="00C26B21"/>
    <w:pPr>
      <w:ind w:left="720"/>
      <w:contextualSpacing/>
    </w:pPr>
  </w:style>
  <w:style w:type="paragraph" w:styleId="FootnoteText">
    <w:name w:val="footnote text"/>
    <w:basedOn w:val="Normal"/>
    <w:link w:val="FootnoteTextChar"/>
    <w:uiPriority w:val="99"/>
    <w:semiHidden/>
    <w:unhideWhenUsed/>
    <w:rsid w:val="00CB1F15"/>
    <w:rPr>
      <w:sz w:val="20"/>
      <w:szCs w:val="20"/>
    </w:rPr>
  </w:style>
  <w:style w:type="character" w:customStyle="1" w:styleId="FootnoteTextChar">
    <w:name w:val="Footnote Text Char"/>
    <w:basedOn w:val="DefaultParagraphFont"/>
    <w:link w:val="FootnoteText"/>
    <w:uiPriority w:val="99"/>
    <w:semiHidden/>
    <w:rsid w:val="00CB1F1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CB1F15"/>
    <w:rPr>
      <w:vertAlign w:val="superscript"/>
    </w:rPr>
  </w:style>
  <w:style w:type="paragraph" w:styleId="Header">
    <w:name w:val="header"/>
    <w:basedOn w:val="Normal"/>
    <w:link w:val="HeaderChar"/>
    <w:uiPriority w:val="99"/>
    <w:unhideWhenUsed/>
    <w:rsid w:val="008C0FD0"/>
    <w:pPr>
      <w:tabs>
        <w:tab w:val="center" w:pos="4513"/>
        <w:tab w:val="right" w:pos="9026"/>
      </w:tabs>
    </w:pPr>
  </w:style>
  <w:style w:type="character" w:customStyle="1" w:styleId="HeaderChar">
    <w:name w:val="Header Char"/>
    <w:basedOn w:val="DefaultParagraphFont"/>
    <w:link w:val="Header"/>
    <w:uiPriority w:val="99"/>
    <w:rsid w:val="008C0FD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C0FD0"/>
    <w:pPr>
      <w:tabs>
        <w:tab w:val="center" w:pos="4513"/>
        <w:tab w:val="right" w:pos="9026"/>
      </w:tabs>
    </w:pPr>
  </w:style>
  <w:style w:type="character" w:customStyle="1" w:styleId="FooterChar">
    <w:name w:val="Footer Char"/>
    <w:basedOn w:val="DefaultParagraphFont"/>
    <w:link w:val="Footer"/>
    <w:uiPriority w:val="99"/>
    <w:rsid w:val="008C0FD0"/>
    <w:rPr>
      <w:rFonts w:ascii="Times New Roman" w:eastAsia="Times New Roman" w:hAnsi="Times New Roman" w:cs="Times New Roman"/>
      <w:sz w:val="24"/>
      <w:szCs w:val="24"/>
      <w:lang w:val="en-GB" w:eastAsia="en-GB"/>
    </w:rPr>
  </w:style>
  <w:style w:type="paragraph" w:styleId="NoSpacing">
    <w:name w:val="No Spacing"/>
    <w:uiPriority w:val="1"/>
    <w:qFormat/>
    <w:rsid w:val="005579F8"/>
    <w:pPr>
      <w:spacing w:after="0" w:line="240" w:lineRule="auto"/>
    </w:pPr>
    <w:rPr>
      <w:kern w:val="2"/>
      <w14:ligatures w14:val="standardContextual"/>
    </w:rPr>
  </w:style>
  <w:style w:type="character" w:styleId="CommentReference">
    <w:name w:val="annotation reference"/>
    <w:basedOn w:val="DefaultParagraphFont"/>
    <w:uiPriority w:val="99"/>
    <w:semiHidden/>
    <w:unhideWhenUsed/>
    <w:rsid w:val="00C84431"/>
    <w:rPr>
      <w:sz w:val="16"/>
      <w:szCs w:val="16"/>
    </w:rPr>
  </w:style>
  <w:style w:type="paragraph" w:styleId="CommentText">
    <w:name w:val="annotation text"/>
    <w:basedOn w:val="Normal"/>
    <w:link w:val="CommentTextChar"/>
    <w:uiPriority w:val="99"/>
    <w:unhideWhenUsed/>
    <w:rsid w:val="00C84431"/>
    <w:rPr>
      <w:sz w:val="20"/>
      <w:szCs w:val="20"/>
    </w:rPr>
  </w:style>
  <w:style w:type="character" w:customStyle="1" w:styleId="CommentTextChar">
    <w:name w:val="Comment Text Char"/>
    <w:basedOn w:val="DefaultParagraphFont"/>
    <w:link w:val="CommentText"/>
    <w:uiPriority w:val="99"/>
    <w:rsid w:val="00C84431"/>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84431"/>
    <w:rPr>
      <w:b/>
      <w:bCs/>
    </w:rPr>
  </w:style>
  <w:style w:type="character" w:customStyle="1" w:styleId="CommentSubjectChar">
    <w:name w:val="Comment Subject Char"/>
    <w:basedOn w:val="CommentTextChar"/>
    <w:link w:val="CommentSubject"/>
    <w:uiPriority w:val="99"/>
    <w:semiHidden/>
    <w:rsid w:val="00C84431"/>
    <w:rPr>
      <w:rFonts w:ascii="Times New Roman" w:eastAsia="Times New Roman" w:hAnsi="Times New Roman" w:cs="Times New Roman"/>
      <w:b/>
      <w:bCs/>
      <w:sz w:val="20"/>
      <w:szCs w:val="20"/>
      <w:lang w:val="en-GB" w:eastAsia="en-GB"/>
    </w:rPr>
  </w:style>
  <w:style w:type="character" w:customStyle="1" w:styleId="Heading2Char">
    <w:name w:val="Heading 2 Char"/>
    <w:basedOn w:val="DefaultParagraphFont"/>
    <w:link w:val="Heading2"/>
    <w:uiPriority w:val="9"/>
    <w:semiHidden/>
    <w:rsid w:val="005C5969"/>
    <w:rPr>
      <w:rFonts w:asciiTheme="majorHAnsi" w:eastAsiaTheme="majorEastAsia" w:hAnsiTheme="majorHAnsi" w:cstheme="majorBidi"/>
      <w:color w:val="365F91" w:themeColor="accent1" w:themeShade="BF"/>
      <w:sz w:val="26"/>
      <w:szCs w:val="26"/>
      <w:lang w:val="en-GB" w:eastAsia="en-GB"/>
    </w:rPr>
  </w:style>
  <w:style w:type="paragraph" w:styleId="Revision">
    <w:name w:val="Revision"/>
    <w:hidden/>
    <w:uiPriority w:val="99"/>
    <w:semiHidden/>
    <w:rsid w:val="00E130F8"/>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01496">
      <w:bodyDiv w:val="1"/>
      <w:marLeft w:val="0"/>
      <w:marRight w:val="0"/>
      <w:marTop w:val="0"/>
      <w:marBottom w:val="0"/>
      <w:divBdr>
        <w:top w:val="none" w:sz="0" w:space="0" w:color="auto"/>
        <w:left w:val="none" w:sz="0" w:space="0" w:color="auto"/>
        <w:bottom w:val="none" w:sz="0" w:space="0" w:color="auto"/>
        <w:right w:val="none" w:sz="0" w:space="0" w:color="auto"/>
      </w:divBdr>
      <w:divsChild>
        <w:div w:id="852918081">
          <w:marLeft w:val="0"/>
          <w:marRight w:val="0"/>
          <w:marTop w:val="120"/>
          <w:marBottom w:val="0"/>
          <w:divBdr>
            <w:top w:val="none" w:sz="0" w:space="0" w:color="auto"/>
            <w:left w:val="none" w:sz="0" w:space="0" w:color="auto"/>
            <w:bottom w:val="none" w:sz="0" w:space="0" w:color="auto"/>
            <w:right w:val="none" w:sz="0" w:space="0" w:color="auto"/>
          </w:divBdr>
        </w:div>
      </w:divsChild>
    </w:div>
    <w:div w:id="507839493">
      <w:bodyDiv w:val="1"/>
      <w:marLeft w:val="0"/>
      <w:marRight w:val="0"/>
      <w:marTop w:val="0"/>
      <w:marBottom w:val="0"/>
      <w:divBdr>
        <w:top w:val="none" w:sz="0" w:space="0" w:color="auto"/>
        <w:left w:val="none" w:sz="0" w:space="0" w:color="auto"/>
        <w:bottom w:val="none" w:sz="0" w:space="0" w:color="auto"/>
        <w:right w:val="none" w:sz="0" w:space="0" w:color="auto"/>
      </w:divBdr>
    </w:div>
    <w:div w:id="1813058051">
      <w:bodyDiv w:val="1"/>
      <w:marLeft w:val="0"/>
      <w:marRight w:val="0"/>
      <w:marTop w:val="0"/>
      <w:marBottom w:val="0"/>
      <w:divBdr>
        <w:top w:val="none" w:sz="0" w:space="0" w:color="auto"/>
        <w:left w:val="none" w:sz="0" w:space="0" w:color="auto"/>
        <w:bottom w:val="none" w:sz="0" w:space="0" w:color="auto"/>
        <w:right w:val="none" w:sz="0" w:space="0" w:color="auto"/>
      </w:divBdr>
    </w:div>
    <w:div w:id="1864897967">
      <w:bodyDiv w:val="1"/>
      <w:marLeft w:val="0"/>
      <w:marRight w:val="0"/>
      <w:marTop w:val="0"/>
      <w:marBottom w:val="0"/>
      <w:divBdr>
        <w:top w:val="none" w:sz="0" w:space="0" w:color="auto"/>
        <w:left w:val="none" w:sz="0" w:space="0" w:color="auto"/>
        <w:bottom w:val="none" w:sz="0" w:space="0" w:color="auto"/>
        <w:right w:val="none" w:sz="0" w:space="0" w:color="auto"/>
      </w:divBdr>
      <w:divsChild>
        <w:div w:id="532381147">
          <w:marLeft w:val="0"/>
          <w:marRight w:val="0"/>
          <w:marTop w:val="120"/>
          <w:marBottom w:val="0"/>
          <w:divBdr>
            <w:top w:val="none" w:sz="0" w:space="0" w:color="auto"/>
            <w:left w:val="none" w:sz="0" w:space="0" w:color="auto"/>
            <w:bottom w:val="none" w:sz="0" w:space="0" w:color="auto"/>
            <w:right w:val="none" w:sz="0" w:space="0" w:color="auto"/>
          </w:divBdr>
        </w:div>
      </w:divsChild>
    </w:div>
    <w:div w:id="1908606536">
      <w:bodyDiv w:val="1"/>
      <w:marLeft w:val="0"/>
      <w:marRight w:val="0"/>
      <w:marTop w:val="0"/>
      <w:marBottom w:val="0"/>
      <w:divBdr>
        <w:top w:val="none" w:sz="0" w:space="0" w:color="auto"/>
        <w:left w:val="none" w:sz="0" w:space="0" w:color="auto"/>
        <w:bottom w:val="none" w:sz="0" w:space="0" w:color="auto"/>
        <w:right w:val="none" w:sz="0" w:space="0" w:color="auto"/>
      </w:divBdr>
    </w:div>
    <w:div w:id="1987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lii.org/za/legis/consol_act/ca2008107/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flii.org/za/legis/consol_act/ca2008107/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lii.org/za/legis/consol_act/ca2008107/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7C6ACDD21E2248AAD8EC020B268C60" ma:contentTypeVersion="10" ma:contentTypeDescription="Create a new document." ma:contentTypeScope="" ma:versionID="b3d76bc34afdd93d1c6d27c0b232e591">
  <xsd:schema xmlns:xsd="http://www.w3.org/2001/XMLSchema" xmlns:xs="http://www.w3.org/2001/XMLSchema" xmlns:p="http://schemas.microsoft.com/office/2006/metadata/properties" xmlns:ns3="ec14f804-e730-47a5-b9c6-c5e326b23f54" targetNamespace="http://schemas.microsoft.com/office/2006/metadata/properties" ma:root="true" ma:fieldsID="4e3e77a174d75379172c0443082cd853" ns3:_="">
    <xsd:import namespace="ec14f804-e730-47a5-b9c6-c5e326b23f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4f804-e730-47a5-b9c6-c5e326b23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E2A42-1BE9-4D7E-8582-568044917B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207A9F-EB99-47AD-87EA-B64E8774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4f804-e730-47a5-b9c6-c5e326b23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21796-AFCA-4FF4-BAB9-C965F8326A70}">
  <ds:schemaRefs>
    <ds:schemaRef ds:uri="http://schemas.microsoft.com/sharepoint/v3/contenttype/forms"/>
  </ds:schemaRefs>
</ds:datastoreItem>
</file>

<file path=customXml/itemProps4.xml><?xml version="1.0" encoding="utf-8"?>
<ds:datastoreItem xmlns:ds="http://schemas.openxmlformats.org/officeDocument/2006/customXml" ds:itemID="{C36C01B0-9F10-4B90-8E63-AA070B98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14</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Somaru Sajala</dc:creator>
  <cp:lastModifiedBy>Mary Bruce</cp:lastModifiedBy>
  <cp:revision>58</cp:revision>
  <cp:lastPrinted>2024-04-19T06:40:00Z</cp:lastPrinted>
  <dcterms:created xsi:type="dcterms:W3CDTF">2024-04-19T05:46:00Z</dcterms:created>
  <dcterms:modified xsi:type="dcterms:W3CDTF">2024-04-25T10:01:00Z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0x010100FC7C6ACDD21E2248AAD8EC020B268C60</vt:lpwstr>
  </property>
</Properties>
</file>