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92F" w:rsidRPr="00CA192F" w:rsidRDefault="00CA192F" w:rsidP="00CA192F">
      <w:pPr>
        <w:rPr>
          <w:color w:val="FF0000"/>
          <w:u w:val="single"/>
        </w:rPr>
      </w:pPr>
      <w:r>
        <w:rPr>
          <w:rFonts w:ascii="Arial" w:hAnsi="Arial" w:cs="Arial"/>
          <w:color w:val="FF0000"/>
        </w:rPr>
        <w:t>Editorial note: Certain information has been redacted from this judgment in compliance with the law.</w:t>
      </w:r>
    </w:p>
    <w:p w:rsidR="00CF0881" w:rsidRPr="002B53DB" w:rsidRDefault="00CF0881" w:rsidP="002B53DB">
      <w:pPr>
        <w:spacing w:after="200" w:line="360" w:lineRule="auto"/>
        <w:jc w:val="center"/>
        <w:rPr>
          <w:rFonts w:ascii="Arial" w:hAnsi="Arial" w:cs="Arial"/>
          <w:b/>
          <w:bCs/>
          <w:noProof/>
          <w:sz w:val="24"/>
          <w:szCs w:val="24"/>
          <w:lang w:eastAsia="en-ZA"/>
        </w:rPr>
      </w:pPr>
      <w:r w:rsidRPr="002716F4">
        <w:rPr>
          <w:rFonts w:ascii="Arial" w:eastAsia="Times New Roman" w:hAnsi="Arial" w:cs="Arial"/>
          <w:noProof/>
          <w:sz w:val="24"/>
          <w:szCs w:val="24"/>
          <w:lang w:eastAsia="en-ZA"/>
        </w:rPr>
        <w:drawing>
          <wp:inline distT="0" distB="0" distL="0" distR="0" wp14:anchorId="4F19BAB3" wp14:editId="291C3487">
            <wp:extent cx="962025" cy="952500"/>
            <wp:effectExtent l="0" t="0" r="9525" b="0"/>
            <wp:docPr id="1" name="Picture 1" descr="Description: Description: Description: Description: Description: Description: Description: cid:image001.png@01D066F0.556E4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cid:image001.png@01D066F0.556E4AA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p w:rsidR="00CF0881" w:rsidRPr="002716F4" w:rsidRDefault="00CF0881" w:rsidP="00552B8F">
      <w:pPr>
        <w:jc w:val="center"/>
        <w:rPr>
          <w:rFonts w:ascii="Arial" w:hAnsi="Arial" w:cs="Arial"/>
          <w:b/>
          <w:sz w:val="24"/>
          <w:szCs w:val="24"/>
        </w:rPr>
      </w:pPr>
      <w:r w:rsidRPr="002716F4">
        <w:rPr>
          <w:rFonts w:ascii="Arial" w:hAnsi="Arial" w:cs="Arial"/>
          <w:b/>
          <w:sz w:val="24"/>
          <w:szCs w:val="24"/>
        </w:rPr>
        <w:t>IN THE HIGH COURT OF SOUTH AFRICA</w:t>
      </w:r>
    </w:p>
    <w:p w:rsidR="00CF0881" w:rsidRPr="002716F4" w:rsidRDefault="00CF0881" w:rsidP="00552B8F">
      <w:pPr>
        <w:jc w:val="center"/>
        <w:rPr>
          <w:rFonts w:ascii="Arial" w:hAnsi="Arial" w:cs="Arial"/>
          <w:b/>
          <w:sz w:val="24"/>
          <w:szCs w:val="24"/>
        </w:rPr>
      </w:pPr>
      <w:r w:rsidRPr="002716F4">
        <w:rPr>
          <w:rFonts w:ascii="Arial" w:hAnsi="Arial" w:cs="Arial"/>
          <w:b/>
          <w:sz w:val="24"/>
          <w:szCs w:val="24"/>
        </w:rPr>
        <w:t>KWAZULU-NATAL LOCAL DIVISION, DURBAN</w:t>
      </w:r>
    </w:p>
    <w:p w:rsidR="00CF0881" w:rsidRPr="002716F4" w:rsidRDefault="00CF0881" w:rsidP="00CF0881">
      <w:pPr>
        <w:jc w:val="both"/>
        <w:rPr>
          <w:rFonts w:ascii="Arial" w:hAnsi="Arial" w:cs="Arial"/>
          <w:sz w:val="24"/>
          <w:szCs w:val="24"/>
        </w:rPr>
      </w:pPr>
    </w:p>
    <w:p w:rsidR="00CF0881" w:rsidRPr="002716F4" w:rsidRDefault="00CF0881" w:rsidP="00CF0881">
      <w:pPr>
        <w:jc w:val="both"/>
        <w:rPr>
          <w:rFonts w:ascii="Arial" w:hAnsi="Arial" w:cs="Arial"/>
          <w:b/>
          <w:sz w:val="24"/>
          <w:szCs w:val="24"/>
        </w:rPr>
      </w:pPr>
      <w:r w:rsidRPr="002716F4">
        <w:rPr>
          <w:rFonts w:ascii="Arial" w:hAnsi="Arial" w:cs="Arial"/>
          <w:sz w:val="24"/>
          <w:szCs w:val="24"/>
        </w:rPr>
        <w:tab/>
      </w:r>
      <w:r w:rsidRPr="002716F4">
        <w:rPr>
          <w:rFonts w:ascii="Arial" w:hAnsi="Arial" w:cs="Arial"/>
          <w:sz w:val="24"/>
          <w:szCs w:val="24"/>
        </w:rPr>
        <w:tab/>
      </w:r>
      <w:r w:rsidRPr="002716F4">
        <w:rPr>
          <w:rFonts w:ascii="Arial" w:hAnsi="Arial" w:cs="Arial"/>
          <w:sz w:val="24"/>
          <w:szCs w:val="24"/>
        </w:rPr>
        <w:tab/>
      </w:r>
      <w:r w:rsidRPr="002716F4">
        <w:rPr>
          <w:rFonts w:ascii="Arial" w:hAnsi="Arial" w:cs="Arial"/>
          <w:sz w:val="24"/>
          <w:szCs w:val="24"/>
        </w:rPr>
        <w:tab/>
      </w:r>
      <w:r w:rsidRPr="002716F4">
        <w:rPr>
          <w:rFonts w:ascii="Arial" w:hAnsi="Arial" w:cs="Arial"/>
          <w:sz w:val="24"/>
          <w:szCs w:val="24"/>
        </w:rPr>
        <w:tab/>
      </w:r>
      <w:r w:rsidRPr="002716F4">
        <w:rPr>
          <w:rFonts w:ascii="Arial" w:hAnsi="Arial" w:cs="Arial"/>
          <w:sz w:val="24"/>
          <w:szCs w:val="24"/>
        </w:rPr>
        <w:tab/>
      </w:r>
      <w:r w:rsidRPr="002716F4">
        <w:rPr>
          <w:rFonts w:ascii="Arial" w:hAnsi="Arial" w:cs="Arial"/>
          <w:sz w:val="24"/>
          <w:szCs w:val="24"/>
        </w:rPr>
        <w:tab/>
      </w:r>
      <w:r w:rsidRPr="002716F4">
        <w:rPr>
          <w:rFonts w:ascii="Arial" w:hAnsi="Arial" w:cs="Arial"/>
          <w:sz w:val="24"/>
          <w:szCs w:val="24"/>
        </w:rPr>
        <w:tab/>
      </w:r>
      <w:r w:rsidRPr="002716F4">
        <w:rPr>
          <w:rFonts w:ascii="Arial" w:hAnsi="Arial" w:cs="Arial"/>
          <w:sz w:val="24"/>
          <w:szCs w:val="24"/>
        </w:rPr>
        <w:tab/>
      </w:r>
      <w:r w:rsidRPr="002716F4">
        <w:rPr>
          <w:rFonts w:ascii="Arial" w:hAnsi="Arial" w:cs="Arial"/>
          <w:b/>
          <w:sz w:val="24"/>
          <w:szCs w:val="24"/>
        </w:rPr>
        <w:t xml:space="preserve">CASE NO: </w:t>
      </w:r>
      <w:r w:rsidR="005E7E65">
        <w:rPr>
          <w:rFonts w:ascii="Arial" w:hAnsi="Arial" w:cs="Arial"/>
          <w:b/>
          <w:sz w:val="24"/>
          <w:szCs w:val="24"/>
        </w:rPr>
        <w:t>7139</w:t>
      </w:r>
      <w:r w:rsidR="00DB10D9">
        <w:rPr>
          <w:rFonts w:ascii="Arial" w:hAnsi="Arial" w:cs="Arial"/>
          <w:b/>
          <w:sz w:val="24"/>
          <w:szCs w:val="24"/>
        </w:rPr>
        <w:t>/202</w:t>
      </w:r>
      <w:r w:rsidR="005E7E65">
        <w:rPr>
          <w:rFonts w:ascii="Arial" w:hAnsi="Arial" w:cs="Arial"/>
          <w:b/>
          <w:sz w:val="24"/>
          <w:szCs w:val="24"/>
        </w:rPr>
        <w:t>0</w:t>
      </w:r>
    </w:p>
    <w:p w:rsidR="00CF0881" w:rsidRPr="002716F4" w:rsidRDefault="00CF0881" w:rsidP="00CF0881">
      <w:pPr>
        <w:jc w:val="both"/>
        <w:rPr>
          <w:rFonts w:ascii="Arial" w:hAnsi="Arial" w:cs="Arial"/>
          <w:sz w:val="24"/>
          <w:szCs w:val="24"/>
        </w:rPr>
      </w:pPr>
      <w:r w:rsidRPr="002716F4">
        <w:rPr>
          <w:rFonts w:ascii="Arial" w:hAnsi="Arial" w:cs="Arial"/>
          <w:sz w:val="24"/>
          <w:szCs w:val="24"/>
        </w:rPr>
        <w:tab/>
      </w:r>
      <w:r w:rsidRPr="002716F4">
        <w:rPr>
          <w:rFonts w:ascii="Arial" w:hAnsi="Arial" w:cs="Arial"/>
          <w:sz w:val="24"/>
          <w:szCs w:val="24"/>
        </w:rPr>
        <w:tab/>
      </w:r>
      <w:r w:rsidRPr="002716F4">
        <w:rPr>
          <w:rFonts w:ascii="Arial" w:hAnsi="Arial" w:cs="Arial"/>
          <w:sz w:val="24"/>
          <w:szCs w:val="24"/>
        </w:rPr>
        <w:tab/>
      </w:r>
      <w:r w:rsidRPr="002716F4">
        <w:rPr>
          <w:rFonts w:ascii="Arial" w:hAnsi="Arial" w:cs="Arial"/>
          <w:sz w:val="24"/>
          <w:szCs w:val="24"/>
        </w:rPr>
        <w:tab/>
      </w:r>
      <w:r w:rsidRPr="002716F4">
        <w:rPr>
          <w:rFonts w:ascii="Arial" w:hAnsi="Arial" w:cs="Arial"/>
          <w:sz w:val="24"/>
          <w:szCs w:val="24"/>
        </w:rPr>
        <w:tab/>
      </w:r>
      <w:r w:rsidRPr="002716F4">
        <w:rPr>
          <w:rFonts w:ascii="Arial" w:hAnsi="Arial" w:cs="Arial"/>
          <w:sz w:val="24"/>
          <w:szCs w:val="24"/>
        </w:rPr>
        <w:tab/>
      </w:r>
      <w:r w:rsidRPr="002716F4">
        <w:rPr>
          <w:rFonts w:ascii="Arial" w:hAnsi="Arial" w:cs="Arial"/>
          <w:sz w:val="24"/>
          <w:szCs w:val="24"/>
        </w:rPr>
        <w:tab/>
      </w:r>
      <w:r w:rsidRPr="002716F4">
        <w:rPr>
          <w:rFonts w:ascii="Arial" w:hAnsi="Arial" w:cs="Arial"/>
          <w:sz w:val="24"/>
          <w:szCs w:val="24"/>
        </w:rPr>
        <w:tab/>
      </w:r>
      <w:r w:rsidRPr="002716F4">
        <w:rPr>
          <w:rFonts w:ascii="Arial" w:hAnsi="Arial" w:cs="Arial"/>
          <w:sz w:val="24"/>
          <w:szCs w:val="24"/>
        </w:rPr>
        <w:tab/>
      </w:r>
    </w:p>
    <w:p w:rsidR="00CF0881" w:rsidRPr="002716F4" w:rsidRDefault="00CF0881" w:rsidP="00CF0881">
      <w:pPr>
        <w:jc w:val="both"/>
        <w:rPr>
          <w:rFonts w:ascii="Arial" w:hAnsi="Arial" w:cs="Arial"/>
          <w:sz w:val="24"/>
          <w:szCs w:val="24"/>
        </w:rPr>
      </w:pPr>
      <w:r w:rsidRPr="002716F4">
        <w:rPr>
          <w:rFonts w:ascii="Arial" w:hAnsi="Arial" w:cs="Arial"/>
          <w:sz w:val="24"/>
          <w:szCs w:val="24"/>
        </w:rPr>
        <w:t>In the matter between:</w:t>
      </w:r>
    </w:p>
    <w:p w:rsidR="00CF0881" w:rsidRPr="002716F4" w:rsidRDefault="00CF0881" w:rsidP="00CF0881">
      <w:pPr>
        <w:jc w:val="both"/>
        <w:rPr>
          <w:rFonts w:ascii="Arial" w:hAnsi="Arial" w:cs="Arial"/>
          <w:sz w:val="24"/>
          <w:szCs w:val="24"/>
        </w:rPr>
      </w:pPr>
    </w:p>
    <w:p w:rsidR="00DB10D9" w:rsidRDefault="005E7E65" w:rsidP="00CF0881">
      <w:pPr>
        <w:jc w:val="both"/>
        <w:rPr>
          <w:rFonts w:ascii="Arial" w:hAnsi="Arial" w:cs="Arial"/>
          <w:b/>
          <w:sz w:val="24"/>
          <w:szCs w:val="24"/>
        </w:rPr>
      </w:pPr>
      <w:proofErr w:type="gramStart"/>
      <w:r>
        <w:rPr>
          <w:rFonts w:ascii="Arial" w:hAnsi="Arial" w:cs="Arial"/>
          <w:b/>
          <w:sz w:val="24"/>
          <w:szCs w:val="24"/>
        </w:rPr>
        <w:t>C</w:t>
      </w:r>
      <w:r w:rsidR="00F2749E">
        <w:rPr>
          <w:rFonts w:ascii="Arial" w:hAnsi="Arial" w:cs="Arial"/>
          <w:b/>
          <w:sz w:val="24"/>
          <w:szCs w:val="24"/>
        </w:rPr>
        <w:t>[</w:t>
      </w:r>
      <w:proofErr w:type="gramEnd"/>
      <w:r w:rsidR="00F2749E">
        <w:rPr>
          <w:rFonts w:ascii="Arial" w:hAnsi="Arial" w:cs="Arial"/>
          <w:b/>
          <w:sz w:val="24"/>
          <w:szCs w:val="24"/>
        </w:rPr>
        <w:t>…]</w:t>
      </w:r>
      <w:r>
        <w:rPr>
          <w:rFonts w:ascii="Arial" w:hAnsi="Arial" w:cs="Arial"/>
          <w:b/>
          <w:sz w:val="24"/>
          <w:szCs w:val="24"/>
        </w:rPr>
        <w:t xml:space="preserve"> P</w:t>
      </w:r>
      <w:r w:rsidR="00F2749E">
        <w:rPr>
          <w:rFonts w:ascii="Arial" w:hAnsi="Arial" w:cs="Arial"/>
          <w:b/>
          <w:sz w:val="24"/>
          <w:szCs w:val="24"/>
        </w:rPr>
        <w:t>[…]</w:t>
      </w:r>
      <w:r w:rsidR="00F2749E">
        <w:rPr>
          <w:rFonts w:ascii="Arial" w:hAnsi="Arial" w:cs="Arial"/>
          <w:b/>
          <w:sz w:val="24"/>
          <w:szCs w:val="24"/>
        </w:rPr>
        <w:tab/>
      </w:r>
      <w:r w:rsidR="00F2749E">
        <w:rPr>
          <w:rFonts w:ascii="Arial" w:hAnsi="Arial" w:cs="Arial"/>
          <w:b/>
          <w:sz w:val="24"/>
          <w:szCs w:val="24"/>
        </w:rPr>
        <w:tab/>
      </w:r>
      <w:r w:rsidR="00E3070F">
        <w:rPr>
          <w:rFonts w:ascii="Arial" w:hAnsi="Arial" w:cs="Arial"/>
          <w:b/>
          <w:sz w:val="24"/>
          <w:szCs w:val="24"/>
        </w:rPr>
        <w:tab/>
      </w:r>
      <w:r w:rsidR="00E3070F">
        <w:rPr>
          <w:rFonts w:ascii="Arial" w:hAnsi="Arial" w:cs="Arial"/>
          <w:b/>
          <w:sz w:val="24"/>
          <w:szCs w:val="24"/>
        </w:rPr>
        <w:tab/>
      </w:r>
      <w:r w:rsidR="00E3070F">
        <w:rPr>
          <w:rFonts w:ascii="Arial" w:hAnsi="Arial" w:cs="Arial"/>
          <w:b/>
          <w:sz w:val="24"/>
          <w:szCs w:val="24"/>
        </w:rPr>
        <w:tab/>
      </w:r>
      <w:r w:rsidR="00E3070F">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PLAINTIFF</w:t>
      </w:r>
    </w:p>
    <w:p w:rsidR="00CF0881" w:rsidRPr="002716F4" w:rsidRDefault="00CF0881" w:rsidP="00552B8F">
      <w:pPr>
        <w:spacing w:after="0"/>
        <w:jc w:val="both"/>
        <w:rPr>
          <w:rFonts w:ascii="Arial" w:hAnsi="Arial" w:cs="Arial"/>
          <w:sz w:val="24"/>
          <w:szCs w:val="24"/>
        </w:rPr>
      </w:pPr>
    </w:p>
    <w:p w:rsidR="00CF0881" w:rsidRPr="002716F4" w:rsidRDefault="00CF0881" w:rsidP="00CF0881">
      <w:pPr>
        <w:jc w:val="both"/>
        <w:rPr>
          <w:rFonts w:ascii="Arial" w:hAnsi="Arial" w:cs="Arial"/>
          <w:sz w:val="24"/>
          <w:szCs w:val="24"/>
        </w:rPr>
      </w:pPr>
      <w:r w:rsidRPr="002716F4">
        <w:rPr>
          <w:rFonts w:ascii="Arial" w:hAnsi="Arial" w:cs="Arial"/>
          <w:sz w:val="24"/>
          <w:szCs w:val="24"/>
        </w:rPr>
        <w:t>and</w:t>
      </w:r>
    </w:p>
    <w:p w:rsidR="00CF0881" w:rsidRPr="002716F4" w:rsidRDefault="00CF0881" w:rsidP="00552B8F">
      <w:pPr>
        <w:spacing w:after="0"/>
        <w:jc w:val="both"/>
        <w:rPr>
          <w:rFonts w:ascii="Arial" w:hAnsi="Arial" w:cs="Arial"/>
          <w:b/>
          <w:sz w:val="24"/>
          <w:szCs w:val="24"/>
        </w:rPr>
      </w:pPr>
    </w:p>
    <w:p w:rsidR="00CF0881" w:rsidRPr="002716F4" w:rsidRDefault="005E7E65" w:rsidP="00CF0881">
      <w:pPr>
        <w:jc w:val="both"/>
        <w:rPr>
          <w:rFonts w:ascii="Arial" w:hAnsi="Arial" w:cs="Arial"/>
          <w:sz w:val="24"/>
          <w:szCs w:val="24"/>
        </w:rPr>
      </w:pPr>
      <w:proofErr w:type="gramStart"/>
      <w:r>
        <w:rPr>
          <w:rFonts w:ascii="Arial" w:hAnsi="Arial" w:cs="Arial"/>
          <w:b/>
          <w:sz w:val="24"/>
          <w:szCs w:val="24"/>
        </w:rPr>
        <w:t>G</w:t>
      </w:r>
      <w:r w:rsidR="00F2749E">
        <w:rPr>
          <w:rFonts w:ascii="Arial" w:hAnsi="Arial" w:cs="Arial"/>
          <w:b/>
          <w:sz w:val="24"/>
          <w:szCs w:val="24"/>
        </w:rPr>
        <w:t>[</w:t>
      </w:r>
      <w:proofErr w:type="gramEnd"/>
      <w:r w:rsidR="00F2749E">
        <w:rPr>
          <w:rFonts w:ascii="Arial" w:hAnsi="Arial" w:cs="Arial"/>
          <w:b/>
          <w:sz w:val="24"/>
          <w:szCs w:val="24"/>
        </w:rPr>
        <w:t>…]</w:t>
      </w:r>
      <w:r>
        <w:rPr>
          <w:rFonts w:ascii="Arial" w:hAnsi="Arial" w:cs="Arial"/>
          <w:b/>
          <w:sz w:val="24"/>
          <w:szCs w:val="24"/>
        </w:rPr>
        <w:t xml:space="preserve"> P</w:t>
      </w:r>
      <w:r w:rsidR="00F2749E">
        <w:rPr>
          <w:rFonts w:ascii="Arial" w:hAnsi="Arial" w:cs="Arial"/>
          <w:b/>
          <w:sz w:val="24"/>
          <w:szCs w:val="24"/>
        </w:rPr>
        <w:t>[…]</w:t>
      </w:r>
      <w:r w:rsidR="00F2749E">
        <w:rPr>
          <w:rFonts w:ascii="Arial" w:hAnsi="Arial" w:cs="Arial"/>
          <w:b/>
          <w:sz w:val="24"/>
          <w:szCs w:val="24"/>
        </w:rPr>
        <w:tab/>
      </w:r>
      <w:r w:rsidR="00F2749E">
        <w:rPr>
          <w:rFonts w:ascii="Arial" w:hAnsi="Arial" w:cs="Arial"/>
          <w:b/>
          <w:sz w:val="24"/>
          <w:szCs w:val="24"/>
        </w:rPr>
        <w:tab/>
      </w:r>
      <w:r w:rsidR="00F2749E">
        <w:rPr>
          <w:rFonts w:ascii="Arial" w:hAnsi="Arial" w:cs="Arial"/>
          <w:b/>
          <w:sz w:val="24"/>
          <w:szCs w:val="24"/>
        </w:rPr>
        <w:tab/>
      </w:r>
      <w:r w:rsidR="00F2749E">
        <w:rPr>
          <w:rFonts w:ascii="Arial" w:hAnsi="Arial" w:cs="Arial"/>
          <w:b/>
          <w:sz w:val="24"/>
          <w:szCs w:val="24"/>
        </w:rPr>
        <w:tab/>
      </w:r>
      <w:r w:rsidR="00E3070F">
        <w:rPr>
          <w:rFonts w:ascii="Arial" w:hAnsi="Arial" w:cs="Arial"/>
          <w:b/>
          <w:sz w:val="24"/>
          <w:szCs w:val="24"/>
        </w:rPr>
        <w:tab/>
      </w:r>
      <w:r w:rsidR="00CF0881" w:rsidRPr="002716F4">
        <w:rPr>
          <w:rFonts w:ascii="Arial" w:hAnsi="Arial" w:cs="Arial"/>
          <w:b/>
          <w:sz w:val="24"/>
          <w:szCs w:val="24"/>
        </w:rPr>
        <w:tab/>
        <w:t xml:space="preserve">       </w:t>
      </w:r>
      <w:r w:rsidR="00CF0881" w:rsidRPr="002716F4">
        <w:rPr>
          <w:rFonts w:ascii="Arial" w:hAnsi="Arial" w:cs="Arial"/>
          <w:b/>
          <w:sz w:val="24"/>
          <w:szCs w:val="24"/>
        </w:rPr>
        <w:tab/>
      </w:r>
      <w:r w:rsidR="00115C03" w:rsidRPr="002716F4">
        <w:rPr>
          <w:rFonts w:ascii="Arial" w:hAnsi="Arial" w:cs="Arial"/>
          <w:b/>
          <w:sz w:val="24"/>
          <w:szCs w:val="24"/>
        </w:rPr>
        <w:tab/>
        <w:t xml:space="preserve">  </w:t>
      </w:r>
      <w:r>
        <w:rPr>
          <w:rFonts w:ascii="Arial" w:hAnsi="Arial" w:cs="Arial"/>
          <w:b/>
          <w:sz w:val="24"/>
          <w:szCs w:val="24"/>
        </w:rPr>
        <w:tab/>
        <w:t xml:space="preserve">    DEFENDANT</w:t>
      </w:r>
    </w:p>
    <w:p w:rsidR="00CF0881" w:rsidRPr="002716F4" w:rsidRDefault="00CF0881" w:rsidP="00CF0881">
      <w:pPr>
        <w:pBdr>
          <w:bottom w:val="single" w:sz="12" w:space="1" w:color="auto"/>
        </w:pBdr>
        <w:jc w:val="both"/>
        <w:rPr>
          <w:rFonts w:ascii="Arial" w:hAnsi="Arial" w:cs="Arial"/>
          <w:sz w:val="24"/>
          <w:szCs w:val="24"/>
        </w:rPr>
      </w:pPr>
    </w:p>
    <w:p w:rsidR="00CF0881" w:rsidRPr="002716F4" w:rsidRDefault="00CF0881" w:rsidP="00552B8F">
      <w:pPr>
        <w:spacing w:after="0"/>
        <w:jc w:val="both"/>
        <w:rPr>
          <w:rFonts w:ascii="Arial" w:hAnsi="Arial" w:cs="Arial"/>
          <w:sz w:val="24"/>
          <w:szCs w:val="24"/>
        </w:rPr>
      </w:pPr>
    </w:p>
    <w:p w:rsidR="00CF0881" w:rsidRPr="002716F4" w:rsidRDefault="00CF0881" w:rsidP="00552B8F">
      <w:pPr>
        <w:spacing w:after="0"/>
        <w:jc w:val="center"/>
        <w:rPr>
          <w:rFonts w:ascii="Arial" w:hAnsi="Arial" w:cs="Arial"/>
          <w:b/>
          <w:sz w:val="24"/>
          <w:szCs w:val="24"/>
        </w:rPr>
      </w:pPr>
      <w:r w:rsidRPr="002716F4">
        <w:rPr>
          <w:rFonts w:ascii="Arial" w:hAnsi="Arial" w:cs="Arial"/>
          <w:b/>
          <w:sz w:val="24"/>
          <w:szCs w:val="24"/>
        </w:rPr>
        <w:t>ORDER</w:t>
      </w:r>
    </w:p>
    <w:p w:rsidR="00CF0881" w:rsidRPr="002716F4" w:rsidRDefault="00CF0881" w:rsidP="00CF0881">
      <w:pPr>
        <w:pBdr>
          <w:bottom w:val="single" w:sz="12" w:space="1" w:color="auto"/>
        </w:pBdr>
        <w:jc w:val="both"/>
        <w:rPr>
          <w:rFonts w:ascii="Arial" w:hAnsi="Arial" w:cs="Arial"/>
          <w:sz w:val="24"/>
          <w:szCs w:val="24"/>
        </w:rPr>
      </w:pPr>
    </w:p>
    <w:p w:rsidR="00CF0881" w:rsidRPr="00E5219F" w:rsidRDefault="00CF0881" w:rsidP="00CF0881">
      <w:pPr>
        <w:spacing w:line="360" w:lineRule="auto"/>
        <w:jc w:val="both"/>
        <w:rPr>
          <w:rFonts w:ascii="Arial" w:hAnsi="Arial" w:cs="Arial"/>
          <w:b/>
          <w:sz w:val="24"/>
          <w:szCs w:val="24"/>
        </w:rPr>
      </w:pPr>
      <w:r w:rsidRPr="00E5219F">
        <w:rPr>
          <w:rFonts w:ascii="Arial" w:hAnsi="Arial" w:cs="Arial"/>
          <w:b/>
          <w:sz w:val="24"/>
          <w:szCs w:val="24"/>
        </w:rPr>
        <w:t>Having read the papers and after hearing counsel, the following order is made:</w:t>
      </w:r>
    </w:p>
    <w:p w:rsidR="00720FF9" w:rsidRPr="00242BE8" w:rsidRDefault="00242BE8" w:rsidP="00242BE8">
      <w:pPr>
        <w:spacing w:after="0" w:line="360" w:lineRule="auto"/>
        <w:ind w:left="720" w:hanging="36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1.</w:t>
      </w:r>
      <w:r>
        <w:rPr>
          <w:rFonts w:ascii="Arial" w:eastAsia="Times New Roman" w:hAnsi="Arial" w:cs="Arial"/>
          <w:sz w:val="24"/>
          <w:szCs w:val="24"/>
          <w:lang w:val="en-GB" w:eastAsia="en-GB"/>
        </w:rPr>
        <w:tab/>
      </w:r>
      <w:r w:rsidR="00720FF9" w:rsidRPr="00242BE8">
        <w:rPr>
          <w:rFonts w:ascii="Arial" w:eastAsia="Times New Roman" w:hAnsi="Arial" w:cs="Arial"/>
          <w:sz w:val="24"/>
          <w:szCs w:val="24"/>
          <w:lang w:val="en-GB" w:eastAsia="en-GB"/>
        </w:rPr>
        <w:t>The application for amendment is granted</w:t>
      </w:r>
      <w:r w:rsidR="0062515C" w:rsidRPr="00242BE8">
        <w:rPr>
          <w:rFonts w:ascii="Arial" w:eastAsia="Times New Roman" w:hAnsi="Arial" w:cs="Arial"/>
          <w:sz w:val="24"/>
          <w:szCs w:val="24"/>
          <w:lang w:val="en-GB" w:eastAsia="en-GB"/>
        </w:rPr>
        <w:t>.</w:t>
      </w:r>
    </w:p>
    <w:p w:rsidR="00720FF9" w:rsidRPr="00242BE8" w:rsidRDefault="00242BE8" w:rsidP="00242BE8">
      <w:pPr>
        <w:spacing w:after="0" w:line="360" w:lineRule="auto"/>
        <w:ind w:left="720" w:hanging="36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2.</w:t>
      </w:r>
      <w:r>
        <w:rPr>
          <w:rFonts w:ascii="Arial" w:eastAsia="Times New Roman" w:hAnsi="Arial" w:cs="Arial"/>
          <w:sz w:val="24"/>
          <w:szCs w:val="24"/>
          <w:lang w:val="en-GB" w:eastAsia="en-GB"/>
        </w:rPr>
        <w:tab/>
      </w:r>
      <w:r w:rsidR="00720FF9" w:rsidRPr="00242BE8">
        <w:rPr>
          <w:rFonts w:ascii="Arial" w:eastAsia="Times New Roman" w:hAnsi="Arial" w:cs="Arial"/>
          <w:sz w:val="24"/>
          <w:szCs w:val="24"/>
          <w:lang w:val="en-GB" w:eastAsia="en-GB"/>
        </w:rPr>
        <w:t xml:space="preserve">The application for separation of issues </w:t>
      </w:r>
      <w:r w:rsidR="000D6F0D" w:rsidRPr="00242BE8">
        <w:rPr>
          <w:rFonts w:ascii="Arial" w:eastAsia="Times New Roman" w:hAnsi="Arial" w:cs="Arial"/>
          <w:sz w:val="24"/>
          <w:szCs w:val="24"/>
          <w:lang w:val="en-GB" w:eastAsia="en-GB"/>
        </w:rPr>
        <w:t>in terms of rule 33(</w:t>
      </w:r>
      <w:r w:rsidR="00242F84" w:rsidRPr="00242BE8">
        <w:rPr>
          <w:rFonts w:ascii="Arial" w:eastAsia="Times New Roman" w:hAnsi="Arial" w:cs="Arial"/>
          <w:sz w:val="24"/>
          <w:szCs w:val="24"/>
          <w:lang w:val="en-GB" w:eastAsia="en-GB"/>
        </w:rPr>
        <w:t>4</w:t>
      </w:r>
      <w:r w:rsidR="000D6F0D" w:rsidRPr="00242BE8">
        <w:rPr>
          <w:rFonts w:ascii="Arial" w:eastAsia="Times New Roman" w:hAnsi="Arial" w:cs="Arial"/>
          <w:sz w:val="24"/>
          <w:szCs w:val="24"/>
          <w:lang w:val="en-GB" w:eastAsia="en-GB"/>
        </w:rPr>
        <w:t>) is refused.</w:t>
      </w:r>
    </w:p>
    <w:p w:rsidR="00720FF9" w:rsidRPr="00242BE8" w:rsidRDefault="00242BE8" w:rsidP="00242BE8">
      <w:pPr>
        <w:spacing w:after="0" w:line="360" w:lineRule="auto"/>
        <w:ind w:left="720" w:hanging="36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3.</w:t>
      </w:r>
      <w:r>
        <w:rPr>
          <w:rFonts w:ascii="Arial" w:eastAsia="Times New Roman" w:hAnsi="Arial" w:cs="Arial"/>
          <w:sz w:val="24"/>
          <w:szCs w:val="24"/>
          <w:lang w:val="en-GB" w:eastAsia="en-GB"/>
        </w:rPr>
        <w:tab/>
      </w:r>
      <w:r w:rsidR="00720FF9" w:rsidRPr="00242BE8">
        <w:rPr>
          <w:rFonts w:ascii="Arial" w:eastAsia="Times New Roman" w:hAnsi="Arial" w:cs="Arial"/>
          <w:sz w:val="24"/>
          <w:szCs w:val="24"/>
          <w:lang w:val="en-GB" w:eastAsia="en-GB"/>
        </w:rPr>
        <w:t>The trial is postponed sine die</w:t>
      </w:r>
      <w:r w:rsidR="0062515C" w:rsidRPr="00242BE8">
        <w:rPr>
          <w:rFonts w:ascii="Arial" w:eastAsia="Times New Roman" w:hAnsi="Arial" w:cs="Arial"/>
          <w:sz w:val="24"/>
          <w:szCs w:val="24"/>
          <w:lang w:val="en-GB" w:eastAsia="en-GB"/>
        </w:rPr>
        <w:t>.</w:t>
      </w:r>
    </w:p>
    <w:p w:rsidR="00242F84" w:rsidRPr="00242BE8" w:rsidRDefault="00242BE8" w:rsidP="00242BE8">
      <w:pPr>
        <w:spacing w:after="0" w:line="360" w:lineRule="auto"/>
        <w:ind w:left="720" w:hanging="36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4.</w:t>
      </w:r>
      <w:r>
        <w:rPr>
          <w:rFonts w:ascii="Arial" w:eastAsia="Times New Roman" w:hAnsi="Arial" w:cs="Arial"/>
          <w:sz w:val="24"/>
          <w:szCs w:val="24"/>
          <w:lang w:val="en-GB" w:eastAsia="en-GB"/>
        </w:rPr>
        <w:tab/>
      </w:r>
      <w:r w:rsidR="00242F84" w:rsidRPr="00242BE8">
        <w:rPr>
          <w:rFonts w:ascii="Arial" w:eastAsia="Times New Roman" w:hAnsi="Arial" w:cs="Arial"/>
          <w:sz w:val="24"/>
          <w:szCs w:val="24"/>
          <w:lang w:val="en-GB" w:eastAsia="en-GB"/>
        </w:rPr>
        <w:t>The plaintiff is to pay the costs occasioned by the postponement and the separation applications.</w:t>
      </w:r>
    </w:p>
    <w:p w:rsidR="00DB10D9" w:rsidRPr="002716F4" w:rsidRDefault="00DB10D9" w:rsidP="00CF0881">
      <w:pPr>
        <w:pBdr>
          <w:bottom w:val="single" w:sz="12" w:space="1" w:color="auto"/>
        </w:pBdr>
        <w:jc w:val="both"/>
        <w:rPr>
          <w:rFonts w:ascii="Arial" w:hAnsi="Arial" w:cs="Arial"/>
          <w:sz w:val="24"/>
          <w:szCs w:val="24"/>
        </w:rPr>
      </w:pPr>
    </w:p>
    <w:p w:rsidR="00CF0881" w:rsidRPr="002716F4" w:rsidRDefault="00CF0881" w:rsidP="00CF0881">
      <w:pPr>
        <w:jc w:val="both"/>
        <w:rPr>
          <w:rFonts w:ascii="Arial" w:hAnsi="Arial" w:cs="Arial"/>
          <w:sz w:val="24"/>
          <w:szCs w:val="24"/>
        </w:rPr>
      </w:pPr>
    </w:p>
    <w:p w:rsidR="00CF0881" w:rsidRPr="002716F4" w:rsidRDefault="00CF0881" w:rsidP="00CF0881">
      <w:pPr>
        <w:jc w:val="center"/>
        <w:rPr>
          <w:rFonts w:ascii="Arial" w:hAnsi="Arial" w:cs="Arial"/>
          <w:b/>
          <w:sz w:val="24"/>
          <w:szCs w:val="24"/>
        </w:rPr>
      </w:pPr>
      <w:r w:rsidRPr="002716F4">
        <w:rPr>
          <w:rFonts w:ascii="Arial" w:hAnsi="Arial" w:cs="Arial"/>
          <w:b/>
          <w:sz w:val="24"/>
          <w:szCs w:val="24"/>
        </w:rPr>
        <w:t>JUDGMENT</w:t>
      </w:r>
    </w:p>
    <w:p w:rsidR="00CF0881" w:rsidRPr="002716F4" w:rsidRDefault="00CF0881" w:rsidP="002716F4">
      <w:pPr>
        <w:pBdr>
          <w:bottom w:val="single" w:sz="12" w:space="1" w:color="auto"/>
        </w:pBdr>
        <w:jc w:val="right"/>
        <w:rPr>
          <w:rFonts w:ascii="Arial" w:hAnsi="Arial" w:cs="Arial"/>
          <w:sz w:val="24"/>
          <w:szCs w:val="24"/>
        </w:rPr>
      </w:pPr>
      <w:r w:rsidRPr="002716F4">
        <w:rPr>
          <w:rFonts w:ascii="Arial" w:hAnsi="Arial" w:cs="Arial"/>
          <w:sz w:val="24"/>
          <w:szCs w:val="24"/>
        </w:rPr>
        <w:t xml:space="preserve">Date Delivered: </w:t>
      </w:r>
      <w:r w:rsidR="005A4E01">
        <w:rPr>
          <w:rFonts w:ascii="Arial" w:hAnsi="Arial" w:cs="Arial"/>
          <w:sz w:val="24"/>
          <w:szCs w:val="24"/>
        </w:rPr>
        <w:t>1 March</w:t>
      </w:r>
      <w:r w:rsidR="00DB10D9">
        <w:rPr>
          <w:rFonts w:ascii="Arial" w:hAnsi="Arial" w:cs="Arial"/>
          <w:sz w:val="24"/>
          <w:szCs w:val="24"/>
        </w:rPr>
        <w:t xml:space="preserve"> </w:t>
      </w:r>
      <w:r w:rsidRPr="002716F4">
        <w:rPr>
          <w:rFonts w:ascii="Arial" w:hAnsi="Arial" w:cs="Arial"/>
          <w:sz w:val="24"/>
          <w:szCs w:val="24"/>
        </w:rPr>
        <w:t>20</w:t>
      </w:r>
      <w:r w:rsidR="00E61202" w:rsidRPr="002716F4">
        <w:rPr>
          <w:rFonts w:ascii="Arial" w:hAnsi="Arial" w:cs="Arial"/>
          <w:sz w:val="24"/>
          <w:szCs w:val="24"/>
        </w:rPr>
        <w:t>2</w:t>
      </w:r>
      <w:r w:rsidR="00EA16CD">
        <w:rPr>
          <w:rFonts w:ascii="Arial" w:hAnsi="Arial" w:cs="Arial"/>
          <w:sz w:val="24"/>
          <w:szCs w:val="24"/>
        </w:rPr>
        <w:t>4</w:t>
      </w:r>
    </w:p>
    <w:p w:rsidR="00720FF9" w:rsidRDefault="00720FF9" w:rsidP="00956BF0">
      <w:pPr>
        <w:spacing w:line="240" w:lineRule="auto"/>
        <w:jc w:val="both"/>
        <w:rPr>
          <w:rFonts w:ascii="Arial" w:hAnsi="Arial" w:cs="Arial"/>
          <w:b/>
          <w:sz w:val="24"/>
          <w:szCs w:val="24"/>
        </w:rPr>
      </w:pPr>
      <w:bookmarkStart w:id="0" w:name="_Hlk159340170"/>
    </w:p>
    <w:p w:rsidR="00CF0881" w:rsidRPr="002716F4" w:rsidRDefault="00CF0881" w:rsidP="002716F4">
      <w:pPr>
        <w:jc w:val="both"/>
        <w:rPr>
          <w:rFonts w:ascii="Arial" w:hAnsi="Arial" w:cs="Arial"/>
          <w:sz w:val="24"/>
          <w:szCs w:val="24"/>
        </w:rPr>
      </w:pPr>
      <w:r w:rsidRPr="002716F4">
        <w:rPr>
          <w:rFonts w:ascii="Arial" w:hAnsi="Arial" w:cs="Arial"/>
          <w:b/>
          <w:sz w:val="24"/>
          <w:szCs w:val="24"/>
        </w:rPr>
        <w:t>MASIPA J:</w:t>
      </w:r>
    </w:p>
    <w:p w:rsidR="0091012B" w:rsidRDefault="00552B8F" w:rsidP="00552B8F">
      <w:pPr>
        <w:spacing w:after="0" w:line="360" w:lineRule="auto"/>
        <w:jc w:val="both"/>
        <w:rPr>
          <w:rFonts w:ascii="Arial" w:hAnsi="Arial" w:cs="Arial"/>
          <w:sz w:val="24"/>
          <w:szCs w:val="24"/>
        </w:rPr>
      </w:pPr>
      <w:r w:rsidRPr="002716F4">
        <w:rPr>
          <w:rFonts w:ascii="Arial" w:hAnsi="Arial" w:cs="Arial"/>
          <w:sz w:val="24"/>
          <w:szCs w:val="24"/>
        </w:rPr>
        <w:t>[1]</w:t>
      </w:r>
      <w:r w:rsidRPr="002716F4">
        <w:rPr>
          <w:rFonts w:ascii="Arial" w:hAnsi="Arial" w:cs="Arial"/>
          <w:sz w:val="24"/>
          <w:szCs w:val="24"/>
        </w:rPr>
        <w:tab/>
      </w:r>
      <w:r w:rsidR="001D09C0">
        <w:rPr>
          <w:rFonts w:ascii="Arial" w:hAnsi="Arial" w:cs="Arial"/>
          <w:sz w:val="24"/>
          <w:szCs w:val="24"/>
        </w:rPr>
        <w:t xml:space="preserve"> </w:t>
      </w:r>
      <w:r w:rsidR="000F3752">
        <w:rPr>
          <w:rFonts w:ascii="Arial" w:hAnsi="Arial" w:cs="Arial"/>
          <w:sz w:val="24"/>
          <w:szCs w:val="24"/>
        </w:rPr>
        <w:t>This matter was set</w:t>
      </w:r>
      <w:r w:rsidR="00B443B1">
        <w:rPr>
          <w:rFonts w:ascii="Arial" w:hAnsi="Arial" w:cs="Arial"/>
          <w:sz w:val="24"/>
          <w:szCs w:val="24"/>
        </w:rPr>
        <w:t xml:space="preserve"> down for trial </w:t>
      </w:r>
      <w:r w:rsidR="00C117ED">
        <w:rPr>
          <w:rFonts w:ascii="Arial" w:hAnsi="Arial" w:cs="Arial"/>
          <w:sz w:val="24"/>
          <w:szCs w:val="24"/>
        </w:rPr>
        <w:t>f</w:t>
      </w:r>
      <w:r w:rsidR="00B443B1">
        <w:rPr>
          <w:rFonts w:ascii="Arial" w:hAnsi="Arial" w:cs="Arial"/>
          <w:sz w:val="24"/>
          <w:szCs w:val="24"/>
        </w:rPr>
        <w:t>rom 28 August 2023</w:t>
      </w:r>
      <w:r w:rsidR="000F3752">
        <w:rPr>
          <w:rFonts w:ascii="Arial" w:hAnsi="Arial" w:cs="Arial"/>
          <w:sz w:val="24"/>
          <w:szCs w:val="24"/>
        </w:rPr>
        <w:t xml:space="preserve"> to </w:t>
      </w:r>
      <w:r w:rsidR="00B443B1">
        <w:rPr>
          <w:rFonts w:ascii="Arial" w:hAnsi="Arial" w:cs="Arial"/>
          <w:sz w:val="24"/>
          <w:szCs w:val="24"/>
        </w:rPr>
        <w:t>31 August 2023</w:t>
      </w:r>
      <w:r w:rsidR="000F3752">
        <w:rPr>
          <w:rFonts w:ascii="Arial" w:hAnsi="Arial" w:cs="Arial"/>
          <w:sz w:val="24"/>
          <w:szCs w:val="24"/>
        </w:rPr>
        <w:t xml:space="preserve">. </w:t>
      </w:r>
      <w:r w:rsidR="004C095E">
        <w:rPr>
          <w:rFonts w:ascii="Arial" w:hAnsi="Arial" w:cs="Arial"/>
          <w:sz w:val="24"/>
          <w:szCs w:val="24"/>
        </w:rPr>
        <w:t xml:space="preserve">At the commencement of the proceedings, </w:t>
      </w:r>
      <w:r w:rsidR="00956BF0">
        <w:rPr>
          <w:rFonts w:ascii="Arial" w:hAnsi="Arial" w:cs="Arial"/>
          <w:sz w:val="24"/>
          <w:szCs w:val="24"/>
        </w:rPr>
        <w:t>c</w:t>
      </w:r>
      <w:r w:rsidR="000F3752">
        <w:rPr>
          <w:rFonts w:ascii="Arial" w:hAnsi="Arial" w:cs="Arial"/>
          <w:sz w:val="24"/>
          <w:szCs w:val="24"/>
        </w:rPr>
        <w:t xml:space="preserve">ounsel for the plaintiff submitted </w:t>
      </w:r>
      <w:r w:rsidR="00C117ED">
        <w:rPr>
          <w:rFonts w:ascii="Arial" w:hAnsi="Arial" w:cs="Arial"/>
          <w:sz w:val="24"/>
          <w:szCs w:val="24"/>
        </w:rPr>
        <w:t>what he termed a</w:t>
      </w:r>
      <w:r w:rsidR="000F3752">
        <w:rPr>
          <w:rFonts w:ascii="Arial" w:hAnsi="Arial" w:cs="Arial"/>
          <w:sz w:val="24"/>
          <w:szCs w:val="24"/>
        </w:rPr>
        <w:t xml:space="preserve"> consent draft order </w:t>
      </w:r>
      <w:r w:rsidR="00C117ED">
        <w:rPr>
          <w:rFonts w:ascii="Arial" w:hAnsi="Arial" w:cs="Arial"/>
          <w:sz w:val="24"/>
          <w:szCs w:val="24"/>
        </w:rPr>
        <w:t xml:space="preserve">with </w:t>
      </w:r>
      <w:r w:rsidR="000F3752">
        <w:rPr>
          <w:rFonts w:ascii="Arial" w:hAnsi="Arial" w:cs="Arial"/>
          <w:sz w:val="24"/>
          <w:szCs w:val="24"/>
        </w:rPr>
        <w:t xml:space="preserve">the </w:t>
      </w:r>
      <w:r w:rsidR="00C117ED">
        <w:rPr>
          <w:rFonts w:ascii="Arial" w:hAnsi="Arial" w:cs="Arial"/>
          <w:sz w:val="24"/>
          <w:szCs w:val="24"/>
        </w:rPr>
        <w:t xml:space="preserve">following </w:t>
      </w:r>
      <w:r w:rsidR="000F3752">
        <w:rPr>
          <w:rFonts w:ascii="Arial" w:hAnsi="Arial" w:cs="Arial"/>
          <w:sz w:val="24"/>
          <w:szCs w:val="24"/>
        </w:rPr>
        <w:t xml:space="preserve">terms: </w:t>
      </w:r>
    </w:p>
    <w:p w:rsidR="00F25FEA" w:rsidRPr="006D7EB6" w:rsidRDefault="00F25FEA" w:rsidP="00606398">
      <w:pPr>
        <w:spacing w:after="0" w:line="360" w:lineRule="auto"/>
        <w:rPr>
          <w:rFonts w:ascii="Arial" w:hAnsi="Arial" w:cs="Arial"/>
          <w:szCs w:val="24"/>
        </w:rPr>
      </w:pPr>
      <w:r>
        <w:rPr>
          <w:rFonts w:ascii="Arial" w:hAnsi="Arial" w:cs="Arial"/>
          <w:szCs w:val="24"/>
        </w:rPr>
        <w:t>‘1.</w:t>
      </w:r>
      <w:r w:rsidR="00606398">
        <w:rPr>
          <w:rFonts w:ascii="Arial" w:hAnsi="Arial" w:cs="Arial"/>
          <w:szCs w:val="24"/>
        </w:rPr>
        <w:tab/>
      </w:r>
      <w:r w:rsidRPr="006D7EB6">
        <w:rPr>
          <w:rFonts w:ascii="Arial" w:hAnsi="Arial" w:cs="Arial"/>
          <w:szCs w:val="24"/>
        </w:rPr>
        <w:t>The plaintiff is granted a decree of divorce dissolving his marriage with the defendant</w:t>
      </w:r>
    </w:p>
    <w:p w:rsidR="00F25FEA" w:rsidRPr="00D21EEA" w:rsidRDefault="00F25FEA" w:rsidP="00606398">
      <w:pPr>
        <w:spacing w:after="0" w:line="360" w:lineRule="auto"/>
        <w:rPr>
          <w:rFonts w:ascii="Arial" w:hAnsi="Arial" w:cs="Arial"/>
          <w:szCs w:val="24"/>
        </w:rPr>
      </w:pPr>
      <w:r>
        <w:rPr>
          <w:rFonts w:ascii="Arial" w:hAnsi="Arial" w:cs="Arial"/>
          <w:szCs w:val="24"/>
        </w:rPr>
        <w:t>2.</w:t>
      </w:r>
      <w:r>
        <w:rPr>
          <w:rFonts w:ascii="Arial" w:hAnsi="Arial" w:cs="Arial"/>
          <w:szCs w:val="24"/>
        </w:rPr>
        <w:tab/>
      </w:r>
      <w:r w:rsidRPr="00D21EEA">
        <w:rPr>
          <w:rFonts w:ascii="Arial" w:hAnsi="Arial" w:cs="Arial"/>
          <w:szCs w:val="24"/>
        </w:rPr>
        <w:t>Under uniform rule 33(4) an order of separation of issues is granted as follows:</w:t>
      </w:r>
    </w:p>
    <w:p w:rsidR="00F25FEA" w:rsidRPr="00D21EEA" w:rsidRDefault="00F25FEA" w:rsidP="00606398">
      <w:pPr>
        <w:pStyle w:val="ListParagraph"/>
        <w:spacing w:after="0" w:line="360" w:lineRule="auto"/>
        <w:ind w:left="1440" w:hanging="720"/>
        <w:rPr>
          <w:rFonts w:ascii="Arial" w:hAnsi="Arial" w:cs="Arial"/>
          <w:szCs w:val="24"/>
        </w:rPr>
      </w:pPr>
      <w:r w:rsidRPr="00D21EEA">
        <w:rPr>
          <w:rFonts w:ascii="Arial" w:hAnsi="Arial" w:cs="Arial"/>
          <w:szCs w:val="24"/>
        </w:rPr>
        <w:t>[a]</w:t>
      </w:r>
      <w:r w:rsidRPr="00D21EEA">
        <w:rPr>
          <w:rFonts w:ascii="Arial" w:hAnsi="Arial" w:cs="Arial"/>
          <w:szCs w:val="24"/>
        </w:rPr>
        <w:tab/>
        <w:t>The first issue to be determined is whether the plaintiff is entitled to the relief set out in its application for an amendment issued on 11 July 2023, namely</w:t>
      </w:r>
      <w:r w:rsidR="00574CB4">
        <w:rPr>
          <w:rFonts w:ascii="Arial" w:hAnsi="Arial" w:cs="Arial"/>
          <w:szCs w:val="24"/>
        </w:rPr>
        <w:t xml:space="preserve"> </w:t>
      </w:r>
      <w:r w:rsidRPr="00D21EEA">
        <w:rPr>
          <w:rFonts w:ascii="Arial" w:hAnsi="Arial" w:cs="Arial"/>
          <w:szCs w:val="24"/>
        </w:rPr>
        <w:t>the following:</w:t>
      </w:r>
    </w:p>
    <w:p w:rsidR="00F25FEA" w:rsidRPr="00D21EEA" w:rsidRDefault="00F25FEA" w:rsidP="00606398">
      <w:pPr>
        <w:pStyle w:val="ListParagraph"/>
        <w:spacing w:after="0" w:line="360" w:lineRule="auto"/>
        <w:ind w:left="2160" w:hanging="720"/>
        <w:rPr>
          <w:rFonts w:ascii="Arial" w:hAnsi="Arial" w:cs="Arial"/>
          <w:szCs w:val="24"/>
        </w:rPr>
      </w:pPr>
      <w:r w:rsidRPr="00D21EEA">
        <w:rPr>
          <w:rFonts w:ascii="Arial" w:hAnsi="Arial" w:cs="Arial"/>
          <w:szCs w:val="24"/>
        </w:rPr>
        <w:t>[i]</w:t>
      </w:r>
      <w:r w:rsidRPr="00D21EEA">
        <w:rPr>
          <w:rFonts w:ascii="Arial" w:hAnsi="Arial" w:cs="Arial"/>
          <w:szCs w:val="24"/>
        </w:rPr>
        <w:tab/>
        <w:t>The plaintiff’s particulars of claim are hereby amended in</w:t>
      </w:r>
      <w:r w:rsidR="00606398">
        <w:rPr>
          <w:rFonts w:ascii="Arial" w:hAnsi="Arial" w:cs="Arial"/>
          <w:szCs w:val="24"/>
        </w:rPr>
        <w:t xml:space="preserve"> </w:t>
      </w:r>
      <w:r w:rsidRPr="00D21EEA">
        <w:rPr>
          <w:rFonts w:ascii="Arial" w:hAnsi="Arial" w:cs="Arial"/>
          <w:szCs w:val="24"/>
        </w:rPr>
        <w:t>accordance with the plaintiff’s notice of intention to amend dated 9 June 2023.</w:t>
      </w:r>
    </w:p>
    <w:p w:rsidR="00F25FEA" w:rsidRPr="00D21EEA" w:rsidRDefault="00F25FEA" w:rsidP="00606398">
      <w:pPr>
        <w:pStyle w:val="ListParagraph"/>
        <w:spacing w:after="0" w:line="360" w:lineRule="auto"/>
        <w:ind w:left="2160" w:hanging="720"/>
        <w:rPr>
          <w:rFonts w:ascii="Arial" w:hAnsi="Arial" w:cs="Arial"/>
          <w:szCs w:val="24"/>
        </w:rPr>
      </w:pPr>
      <w:r w:rsidRPr="00D21EEA">
        <w:rPr>
          <w:rFonts w:ascii="Arial" w:hAnsi="Arial" w:cs="Arial"/>
          <w:szCs w:val="24"/>
        </w:rPr>
        <w:t>[ii]</w:t>
      </w:r>
      <w:r w:rsidRPr="00D21EEA">
        <w:rPr>
          <w:rFonts w:ascii="Arial" w:hAnsi="Arial" w:cs="Arial"/>
          <w:szCs w:val="24"/>
        </w:rPr>
        <w:tab/>
        <w:t xml:space="preserve">The defendant is ordered to pay the costs occasioned by </w:t>
      </w:r>
      <w:r w:rsidR="00606398">
        <w:rPr>
          <w:rFonts w:ascii="Arial" w:hAnsi="Arial" w:cs="Arial"/>
          <w:szCs w:val="24"/>
        </w:rPr>
        <w:t xml:space="preserve">her </w:t>
      </w:r>
      <w:r w:rsidRPr="00D21EEA">
        <w:rPr>
          <w:rFonts w:ascii="Arial" w:hAnsi="Arial" w:cs="Arial"/>
          <w:szCs w:val="24"/>
        </w:rPr>
        <w:t>opposition to the said amendment including the costs of senior and junior counsel.</w:t>
      </w:r>
    </w:p>
    <w:p w:rsidR="00F25FEA" w:rsidRPr="00D21EEA" w:rsidRDefault="00F25FEA" w:rsidP="00606398">
      <w:pPr>
        <w:spacing w:after="0" w:line="360" w:lineRule="auto"/>
        <w:ind w:left="1440" w:hanging="720"/>
        <w:rPr>
          <w:rFonts w:ascii="Arial" w:hAnsi="Arial" w:cs="Arial"/>
          <w:szCs w:val="24"/>
        </w:rPr>
      </w:pPr>
      <w:r w:rsidRPr="00D21EEA">
        <w:rPr>
          <w:rFonts w:ascii="Arial" w:hAnsi="Arial" w:cs="Arial"/>
          <w:szCs w:val="24"/>
        </w:rPr>
        <w:t>[b]</w:t>
      </w:r>
      <w:r w:rsidRPr="00D21EEA">
        <w:rPr>
          <w:rFonts w:ascii="Arial" w:hAnsi="Arial" w:cs="Arial"/>
          <w:szCs w:val="24"/>
        </w:rPr>
        <w:tab/>
        <w:t>In the event that the said amendment is granted, the parties are directed to</w:t>
      </w:r>
      <w:r w:rsidR="00606398">
        <w:rPr>
          <w:rFonts w:ascii="Arial" w:hAnsi="Arial" w:cs="Arial"/>
          <w:szCs w:val="24"/>
        </w:rPr>
        <w:t xml:space="preserve"> </w:t>
      </w:r>
      <w:r w:rsidRPr="00D21EEA">
        <w:rPr>
          <w:rFonts w:ascii="Arial" w:hAnsi="Arial" w:cs="Arial"/>
          <w:szCs w:val="24"/>
        </w:rPr>
        <w:t>forthwith make any consequential amendments that they may desire.</w:t>
      </w:r>
    </w:p>
    <w:p w:rsidR="00F25FEA" w:rsidRPr="00D21EEA" w:rsidRDefault="00F25FEA" w:rsidP="00606398">
      <w:pPr>
        <w:spacing w:after="0" w:line="360" w:lineRule="auto"/>
        <w:ind w:left="1440" w:hanging="720"/>
        <w:rPr>
          <w:rFonts w:ascii="Arial" w:hAnsi="Arial" w:cs="Arial"/>
          <w:szCs w:val="24"/>
        </w:rPr>
      </w:pPr>
      <w:r w:rsidRPr="00D21EEA">
        <w:rPr>
          <w:rFonts w:ascii="Arial" w:hAnsi="Arial" w:cs="Arial"/>
          <w:szCs w:val="24"/>
        </w:rPr>
        <w:t>[c]</w:t>
      </w:r>
      <w:r w:rsidRPr="00D21EEA">
        <w:rPr>
          <w:rFonts w:ascii="Arial" w:hAnsi="Arial" w:cs="Arial"/>
          <w:szCs w:val="24"/>
        </w:rPr>
        <w:tab/>
        <w:t>The second issue to be determined is the proper interpretation of the</w:t>
      </w:r>
      <w:r w:rsidR="00606398">
        <w:rPr>
          <w:rFonts w:ascii="Arial" w:hAnsi="Arial" w:cs="Arial"/>
          <w:szCs w:val="24"/>
        </w:rPr>
        <w:t xml:space="preserve"> </w:t>
      </w:r>
      <w:r w:rsidRPr="00D21EEA">
        <w:rPr>
          <w:rFonts w:ascii="Arial" w:hAnsi="Arial" w:cs="Arial"/>
          <w:szCs w:val="24"/>
        </w:rPr>
        <w:t>antenuptial contract concluded between the parties.</w:t>
      </w:r>
    </w:p>
    <w:p w:rsidR="00F25FEA" w:rsidRPr="00D21EEA" w:rsidRDefault="00F25FEA" w:rsidP="00606398">
      <w:pPr>
        <w:spacing w:after="0" w:line="360" w:lineRule="auto"/>
        <w:ind w:left="1440" w:hanging="720"/>
        <w:rPr>
          <w:rFonts w:ascii="Arial" w:hAnsi="Arial" w:cs="Arial"/>
          <w:szCs w:val="24"/>
        </w:rPr>
      </w:pPr>
      <w:r w:rsidRPr="00D21EEA">
        <w:rPr>
          <w:rFonts w:ascii="Arial" w:hAnsi="Arial" w:cs="Arial"/>
          <w:szCs w:val="24"/>
        </w:rPr>
        <w:t>[d]</w:t>
      </w:r>
      <w:r w:rsidRPr="00D21EEA">
        <w:rPr>
          <w:rFonts w:ascii="Arial" w:hAnsi="Arial" w:cs="Arial"/>
          <w:szCs w:val="24"/>
        </w:rPr>
        <w:tab/>
        <w:t xml:space="preserve">The parties are directed to make every effort to conclude any consequential amendments, evidence, and argument relating to the first and second issues during the current set down dates of 28 August 2023 to 31 August 2023. </w:t>
      </w:r>
    </w:p>
    <w:p w:rsidR="00F25FEA" w:rsidRPr="00D21EEA" w:rsidRDefault="00F25FEA" w:rsidP="00606398">
      <w:pPr>
        <w:spacing w:after="0" w:line="360" w:lineRule="auto"/>
        <w:ind w:left="1440" w:hanging="720"/>
        <w:rPr>
          <w:rFonts w:ascii="Arial" w:hAnsi="Arial" w:cs="Arial"/>
          <w:szCs w:val="24"/>
        </w:rPr>
      </w:pPr>
      <w:r w:rsidRPr="00D21EEA">
        <w:rPr>
          <w:rFonts w:ascii="Arial" w:hAnsi="Arial" w:cs="Arial"/>
          <w:szCs w:val="24"/>
        </w:rPr>
        <w:t>[e]</w:t>
      </w:r>
      <w:r w:rsidRPr="00D21EEA">
        <w:rPr>
          <w:rFonts w:ascii="Arial" w:hAnsi="Arial" w:cs="Arial"/>
          <w:szCs w:val="24"/>
        </w:rPr>
        <w:tab/>
        <w:t>The determination of all other issues between the parties is stayed until the final determination of the first and second issues.</w:t>
      </w:r>
      <w:r>
        <w:rPr>
          <w:rFonts w:ascii="Arial" w:hAnsi="Arial" w:cs="Arial"/>
          <w:szCs w:val="24"/>
        </w:rPr>
        <w:t>’</w:t>
      </w:r>
    </w:p>
    <w:p w:rsidR="001D09C0" w:rsidRPr="002716F4" w:rsidRDefault="001D09C0" w:rsidP="00552B8F">
      <w:pPr>
        <w:spacing w:after="0"/>
        <w:jc w:val="both"/>
        <w:rPr>
          <w:rFonts w:ascii="Arial" w:hAnsi="Arial" w:cs="Arial"/>
          <w:sz w:val="24"/>
          <w:szCs w:val="24"/>
        </w:rPr>
      </w:pPr>
    </w:p>
    <w:p w:rsidR="000B54C0" w:rsidRPr="000B54C0" w:rsidRDefault="00552B8F" w:rsidP="000B54C0">
      <w:pPr>
        <w:spacing w:after="0" w:line="360" w:lineRule="auto"/>
        <w:jc w:val="both"/>
        <w:rPr>
          <w:rFonts w:ascii="Arial" w:hAnsi="Arial" w:cs="Arial"/>
          <w:sz w:val="24"/>
          <w:szCs w:val="24"/>
        </w:rPr>
      </w:pPr>
      <w:r w:rsidRPr="002716F4">
        <w:rPr>
          <w:rFonts w:ascii="Arial" w:hAnsi="Arial" w:cs="Arial"/>
          <w:sz w:val="24"/>
          <w:szCs w:val="24"/>
        </w:rPr>
        <w:t>[2]</w:t>
      </w:r>
      <w:r w:rsidRPr="002716F4">
        <w:rPr>
          <w:rFonts w:ascii="Arial" w:hAnsi="Arial" w:cs="Arial"/>
          <w:sz w:val="24"/>
          <w:szCs w:val="24"/>
        </w:rPr>
        <w:tab/>
      </w:r>
      <w:r w:rsidR="000B54C0" w:rsidRPr="000B54C0">
        <w:rPr>
          <w:rFonts w:ascii="Arial" w:hAnsi="Arial" w:cs="Arial"/>
          <w:sz w:val="24"/>
          <w:szCs w:val="24"/>
        </w:rPr>
        <w:t xml:space="preserve">The plaintiff argued that the decree of divorce was to be granted, but this was contested by the </w:t>
      </w:r>
      <w:r w:rsidR="00956BF0">
        <w:rPr>
          <w:rFonts w:ascii="Arial" w:hAnsi="Arial" w:cs="Arial"/>
          <w:sz w:val="24"/>
          <w:szCs w:val="24"/>
        </w:rPr>
        <w:t>d</w:t>
      </w:r>
      <w:r w:rsidR="000B54C0" w:rsidRPr="000B54C0">
        <w:rPr>
          <w:rFonts w:ascii="Arial" w:hAnsi="Arial" w:cs="Arial"/>
          <w:sz w:val="24"/>
          <w:szCs w:val="24"/>
        </w:rPr>
        <w:t>efendant’s counsel, who stated that the decree could not be granted while the issue of maintenance, among others, was still outstanding.</w:t>
      </w:r>
    </w:p>
    <w:p w:rsidR="000B54C0" w:rsidRDefault="000B54C0" w:rsidP="001A6702">
      <w:pPr>
        <w:spacing w:after="0" w:line="240" w:lineRule="auto"/>
        <w:jc w:val="both"/>
        <w:rPr>
          <w:rFonts w:ascii="Arial" w:hAnsi="Arial" w:cs="Arial"/>
          <w:sz w:val="24"/>
          <w:szCs w:val="24"/>
        </w:rPr>
      </w:pPr>
    </w:p>
    <w:p w:rsidR="000B54C0" w:rsidRDefault="00EA16CD" w:rsidP="000B54C0">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0B54C0" w:rsidRPr="000B54C0">
        <w:rPr>
          <w:rFonts w:ascii="Arial" w:hAnsi="Arial" w:cs="Arial"/>
          <w:sz w:val="24"/>
          <w:szCs w:val="24"/>
        </w:rPr>
        <w:t xml:space="preserve">As per the proposed draft order, </w:t>
      </w:r>
      <w:r w:rsidR="0062515C">
        <w:rPr>
          <w:rFonts w:ascii="Arial" w:hAnsi="Arial" w:cs="Arial"/>
          <w:sz w:val="24"/>
          <w:szCs w:val="24"/>
        </w:rPr>
        <w:t xml:space="preserve">the </w:t>
      </w:r>
      <w:r w:rsidR="000B54C0" w:rsidRPr="000B54C0">
        <w:rPr>
          <w:rFonts w:ascii="Arial" w:hAnsi="Arial" w:cs="Arial"/>
          <w:sz w:val="24"/>
          <w:szCs w:val="24"/>
        </w:rPr>
        <w:t xml:space="preserve">parties agreed for the issues to be separated under Uniform </w:t>
      </w:r>
      <w:r w:rsidR="00F25FEA">
        <w:rPr>
          <w:rFonts w:ascii="Arial" w:hAnsi="Arial" w:cs="Arial"/>
          <w:sz w:val="24"/>
          <w:szCs w:val="24"/>
        </w:rPr>
        <w:t>r</w:t>
      </w:r>
      <w:r w:rsidR="000B54C0" w:rsidRPr="000B54C0">
        <w:rPr>
          <w:rFonts w:ascii="Arial" w:hAnsi="Arial" w:cs="Arial"/>
          <w:sz w:val="24"/>
          <w:szCs w:val="24"/>
        </w:rPr>
        <w:t xml:space="preserve">ule 33(4). The issues sought to be separated were the determination of an amendment sought by the </w:t>
      </w:r>
      <w:r w:rsidR="00956BF0">
        <w:rPr>
          <w:rFonts w:ascii="Arial" w:hAnsi="Arial" w:cs="Arial"/>
          <w:sz w:val="24"/>
          <w:szCs w:val="24"/>
        </w:rPr>
        <w:t>p</w:t>
      </w:r>
      <w:r w:rsidR="000B54C0" w:rsidRPr="000B54C0">
        <w:rPr>
          <w:rFonts w:ascii="Arial" w:hAnsi="Arial" w:cs="Arial"/>
          <w:sz w:val="24"/>
          <w:szCs w:val="24"/>
        </w:rPr>
        <w:t xml:space="preserve">laintiff and one relating to the correct interpretation of an antenuptial contract </w:t>
      </w:r>
      <w:r w:rsidR="0062515C">
        <w:rPr>
          <w:rFonts w:ascii="Arial" w:hAnsi="Arial" w:cs="Arial"/>
          <w:sz w:val="24"/>
          <w:szCs w:val="24"/>
        </w:rPr>
        <w:t>(</w:t>
      </w:r>
      <w:r w:rsidR="000B54C0">
        <w:rPr>
          <w:rFonts w:ascii="Arial" w:hAnsi="Arial" w:cs="Arial"/>
          <w:sz w:val="24"/>
          <w:szCs w:val="24"/>
        </w:rPr>
        <w:t>‘the ANC’</w:t>
      </w:r>
      <w:r w:rsidR="0062515C">
        <w:rPr>
          <w:rFonts w:ascii="Arial" w:hAnsi="Arial" w:cs="Arial"/>
          <w:sz w:val="24"/>
          <w:szCs w:val="24"/>
        </w:rPr>
        <w:t>)</w:t>
      </w:r>
      <w:r w:rsidR="000B54C0">
        <w:rPr>
          <w:rFonts w:ascii="Arial" w:hAnsi="Arial" w:cs="Arial"/>
          <w:sz w:val="24"/>
          <w:szCs w:val="24"/>
        </w:rPr>
        <w:t xml:space="preserve"> </w:t>
      </w:r>
      <w:r w:rsidR="000B54C0" w:rsidRPr="000B54C0">
        <w:rPr>
          <w:rFonts w:ascii="Arial" w:hAnsi="Arial" w:cs="Arial"/>
          <w:sz w:val="24"/>
          <w:szCs w:val="24"/>
        </w:rPr>
        <w:t>concluded by the parties on 10 January 2009.</w:t>
      </w:r>
    </w:p>
    <w:p w:rsidR="00956BF0" w:rsidRPr="000B54C0" w:rsidRDefault="00956BF0" w:rsidP="001A6702">
      <w:pPr>
        <w:spacing w:after="0" w:line="240" w:lineRule="auto"/>
        <w:jc w:val="both"/>
        <w:rPr>
          <w:rFonts w:ascii="Arial" w:hAnsi="Arial" w:cs="Arial"/>
          <w:sz w:val="24"/>
          <w:szCs w:val="24"/>
        </w:rPr>
      </w:pPr>
    </w:p>
    <w:p w:rsidR="000B54C0" w:rsidRPr="000B54C0" w:rsidRDefault="00EA16CD" w:rsidP="000B54C0">
      <w:pPr>
        <w:spacing w:after="0" w:line="360" w:lineRule="auto"/>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0B54C0" w:rsidRPr="000B54C0">
        <w:rPr>
          <w:rFonts w:ascii="Arial" w:hAnsi="Arial" w:cs="Arial"/>
          <w:sz w:val="24"/>
          <w:szCs w:val="24"/>
        </w:rPr>
        <w:t xml:space="preserve">In my view, </w:t>
      </w:r>
      <w:r w:rsidR="000D6F0D">
        <w:rPr>
          <w:rFonts w:ascii="Arial" w:hAnsi="Arial" w:cs="Arial"/>
          <w:sz w:val="24"/>
          <w:szCs w:val="24"/>
        </w:rPr>
        <w:t xml:space="preserve">it was unnecessary to invoke </w:t>
      </w:r>
      <w:r w:rsidR="000B54C0" w:rsidRPr="000B54C0">
        <w:rPr>
          <w:rFonts w:ascii="Arial" w:hAnsi="Arial" w:cs="Arial"/>
          <w:sz w:val="24"/>
          <w:szCs w:val="24"/>
        </w:rPr>
        <w:t xml:space="preserve">the provisions of </w:t>
      </w:r>
      <w:r w:rsidR="00F25FEA">
        <w:rPr>
          <w:rFonts w:ascii="Arial" w:hAnsi="Arial" w:cs="Arial"/>
          <w:sz w:val="24"/>
          <w:szCs w:val="24"/>
        </w:rPr>
        <w:t>r</w:t>
      </w:r>
      <w:r w:rsidR="000B54C0" w:rsidRPr="000B54C0">
        <w:rPr>
          <w:rFonts w:ascii="Arial" w:hAnsi="Arial" w:cs="Arial"/>
          <w:sz w:val="24"/>
          <w:szCs w:val="24"/>
        </w:rPr>
        <w:t xml:space="preserve">ule 33(4) </w:t>
      </w:r>
      <w:r w:rsidR="000D6F0D">
        <w:rPr>
          <w:rFonts w:ascii="Arial" w:hAnsi="Arial" w:cs="Arial"/>
          <w:sz w:val="24"/>
          <w:szCs w:val="24"/>
        </w:rPr>
        <w:t>in respect of the amendment.</w:t>
      </w:r>
      <w:r w:rsidR="000B54C0" w:rsidRPr="000B54C0">
        <w:rPr>
          <w:rFonts w:ascii="Arial" w:hAnsi="Arial" w:cs="Arial"/>
          <w:sz w:val="24"/>
          <w:szCs w:val="24"/>
        </w:rPr>
        <w:t xml:space="preserve"> This invocation seemed unnecessary since, in terms of </w:t>
      </w:r>
      <w:r w:rsidR="00F25FEA">
        <w:rPr>
          <w:rFonts w:ascii="Arial" w:hAnsi="Arial" w:cs="Arial"/>
          <w:sz w:val="24"/>
          <w:szCs w:val="24"/>
        </w:rPr>
        <w:t>r</w:t>
      </w:r>
      <w:r w:rsidR="000B54C0" w:rsidRPr="000B54C0">
        <w:rPr>
          <w:rFonts w:ascii="Arial" w:hAnsi="Arial" w:cs="Arial"/>
          <w:sz w:val="24"/>
          <w:szCs w:val="24"/>
        </w:rPr>
        <w:t>ule 28, a party can amend its pleadings at any stage before judgment.</w:t>
      </w:r>
    </w:p>
    <w:p w:rsidR="000B54C0" w:rsidRDefault="000B54C0" w:rsidP="001A6702">
      <w:pPr>
        <w:spacing w:after="0" w:line="240" w:lineRule="auto"/>
        <w:jc w:val="both"/>
        <w:rPr>
          <w:rFonts w:ascii="Arial" w:hAnsi="Arial" w:cs="Arial"/>
          <w:sz w:val="24"/>
          <w:szCs w:val="24"/>
        </w:rPr>
      </w:pPr>
    </w:p>
    <w:p w:rsidR="000B54C0" w:rsidRPr="000B54C0" w:rsidRDefault="00EA16CD" w:rsidP="000B54C0">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0B54C0" w:rsidRPr="000B54C0">
        <w:rPr>
          <w:rFonts w:ascii="Arial" w:hAnsi="Arial" w:cs="Arial"/>
          <w:sz w:val="24"/>
          <w:szCs w:val="24"/>
        </w:rPr>
        <w:t xml:space="preserve">The plaintiff sought to amend his particulars of claim in accordance with a notice of intention to amend dated 14 June 2023. The defendant objected to the intended amendment on or about 27 June 2023. </w:t>
      </w:r>
      <w:r w:rsidR="000B54C0">
        <w:rPr>
          <w:rFonts w:ascii="Arial" w:hAnsi="Arial" w:cs="Arial"/>
          <w:sz w:val="24"/>
          <w:szCs w:val="24"/>
        </w:rPr>
        <w:t xml:space="preserve">The notice of motion for the leave to amend was served on the defendant on 11 July 2023 </w:t>
      </w:r>
      <w:r w:rsidR="000D6F0D">
        <w:rPr>
          <w:rFonts w:ascii="Arial" w:hAnsi="Arial" w:cs="Arial"/>
          <w:sz w:val="24"/>
          <w:szCs w:val="24"/>
        </w:rPr>
        <w:t xml:space="preserve">while </w:t>
      </w:r>
      <w:r w:rsidR="000B54C0">
        <w:rPr>
          <w:rFonts w:ascii="Arial" w:hAnsi="Arial" w:cs="Arial"/>
          <w:sz w:val="24"/>
          <w:szCs w:val="24"/>
        </w:rPr>
        <w:t xml:space="preserve"> the answering affidavit </w:t>
      </w:r>
      <w:r w:rsidR="000D6F0D">
        <w:rPr>
          <w:rFonts w:ascii="Arial" w:hAnsi="Arial" w:cs="Arial"/>
          <w:sz w:val="24"/>
          <w:szCs w:val="24"/>
        </w:rPr>
        <w:t xml:space="preserve">was </w:t>
      </w:r>
      <w:r w:rsidR="000B54C0">
        <w:rPr>
          <w:rFonts w:ascii="Arial" w:hAnsi="Arial" w:cs="Arial"/>
          <w:sz w:val="24"/>
          <w:szCs w:val="24"/>
        </w:rPr>
        <w:t xml:space="preserve">dated </w:t>
      </w:r>
      <w:r w:rsidR="000D6F0D">
        <w:rPr>
          <w:rFonts w:ascii="Arial" w:hAnsi="Arial" w:cs="Arial"/>
          <w:sz w:val="24"/>
          <w:szCs w:val="24"/>
        </w:rPr>
        <w:t xml:space="preserve">the same date as the replying affidavit being the </w:t>
      </w:r>
      <w:r w:rsidR="000B54C0">
        <w:rPr>
          <w:rFonts w:ascii="Arial" w:hAnsi="Arial" w:cs="Arial"/>
          <w:sz w:val="24"/>
          <w:szCs w:val="24"/>
        </w:rPr>
        <w:t>22 August 2023</w:t>
      </w:r>
      <w:r w:rsidR="000D6F0D">
        <w:rPr>
          <w:rFonts w:ascii="Arial" w:hAnsi="Arial" w:cs="Arial"/>
          <w:sz w:val="24"/>
          <w:szCs w:val="24"/>
        </w:rPr>
        <w:t>.</w:t>
      </w:r>
      <w:r w:rsidR="000B54C0">
        <w:rPr>
          <w:rFonts w:ascii="Arial" w:hAnsi="Arial" w:cs="Arial"/>
          <w:sz w:val="24"/>
          <w:szCs w:val="24"/>
        </w:rPr>
        <w:t xml:space="preserve"> </w:t>
      </w:r>
      <w:r w:rsidR="000B54C0" w:rsidRPr="000B54C0">
        <w:rPr>
          <w:rFonts w:ascii="Arial" w:hAnsi="Arial" w:cs="Arial"/>
          <w:sz w:val="24"/>
          <w:szCs w:val="24"/>
        </w:rPr>
        <w:t>Despite the exchange of papers between the parties, the full set of the application to amend was only handed up for the first time at the hearing, together with the parties</w:t>
      </w:r>
      <w:r w:rsidR="00FE6BBF">
        <w:rPr>
          <w:rFonts w:ascii="Arial" w:hAnsi="Arial" w:cs="Arial"/>
          <w:sz w:val="24"/>
          <w:szCs w:val="24"/>
        </w:rPr>
        <w:t>’</w:t>
      </w:r>
      <w:r w:rsidR="000B54C0" w:rsidRPr="000B54C0">
        <w:rPr>
          <w:rFonts w:ascii="Arial" w:hAnsi="Arial" w:cs="Arial"/>
          <w:sz w:val="24"/>
          <w:szCs w:val="24"/>
        </w:rPr>
        <w:t xml:space="preserve"> respective heads of argument, and the application was argued.</w:t>
      </w:r>
    </w:p>
    <w:p w:rsidR="000B54C0" w:rsidRDefault="000B54C0" w:rsidP="001A6702">
      <w:pPr>
        <w:spacing w:after="0" w:line="240" w:lineRule="auto"/>
        <w:jc w:val="both"/>
        <w:rPr>
          <w:rFonts w:ascii="Arial" w:hAnsi="Arial" w:cs="Arial"/>
          <w:sz w:val="24"/>
          <w:szCs w:val="24"/>
        </w:rPr>
      </w:pPr>
    </w:p>
    <w:p w:rsidR="00646370" w:rsidRDefault="00EA16CD" w:rsidP="000B54C0">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0B54C0" w:rsidRPr="000B54C0">
        <w:rPr>
          <w:rFonts w:ascii="Arial" w:hAnsi="Arial" w:cs="Arial"/>
          <w:sz w:val="24"/>
          <w:szCs w:val="24"/>
        </w:rPr>
        <w:t xml:space="preserve">The relevant terms of the </w:t>
      </w:r>
      <w:r w:rsidR="00C644FA">
        <w:rPr>
          <w:rFonts w:ascii="Arial" w:hAnsi="Arial" w:cs="Arial"/>
          <w:sz w:val="24"/>
          <w:szCs w:val="24"/>
        </w:rPr>
        <w:t>ANC</w:t>
      </w:r>
      <w:r w:rsidR="000B54C0" w:rsidRPr="000B54C0">
        <w:rPr>
          <w:rFonts w:ascii="Arial" w:hAnsi="Arial" w:cs="Arial"/>
          <w:sz w:val="24"/>
          <w:szCs w:val="24"/>
        </w:rPr>
        <w:t xml:space="preserve"> provide</w:t>
      </w:r>
      <w:r w:rsidR="00C644FA">
        <w:rPr>
          <w:rFonts w:ascii="Arial" w:hAnsi="Arial" w:cs="Arial"/>
          <w:sz w:val="24"/>
          <w:szCs w:val="24"/>
        </w:rPr>
        <w:t>d</w:t>
      </w:r>
      <w:r w:rsidR="000B54C0" w:rsidRPr="000B54C0">
        <w:rPr>
          <w:rFonts w:ascii="Arial" w:hAnsi="Arial" w:cs="Arial"/>
          <w:sz w:val="24"/>
          <w:szCs w:val="24"/>
        </w:rPr>
        <w:t xml:space="preserve"> as follows: </w:t>
      </w:r>
    </w:p>
    <w:p w:rsidR="00F92693" w:rsidRPr="00984B3F" w:rsidRDefault="00F25FEA" w:rsidP="00F25FEA">
      <w:pPr>
        <w:spacing w:after="0" w:line="360" w:lineRule="auto"/>
        <w:ind w:left="720" w:hanging="720"/>
        <w:jc w:val="both"/>
        <w:rPr>
          <w:rFonts w:ascii="Arial" w:hAnsi="Arial" w:cs="Arial"/>
          <w:szCs w:val="24"/>
        </w:rPr>
      </w:pPr>
      <w:r>
        <w:rPr>
          <w:rFonts w:ascii="Arial" w:hAnsi="Arial" w:cs="Arial"/>
          <w:sz w:val="24"/>
          <w:szCs w:val="24"/>
        </w:rPr>
        <w:t>‘</w:t>
      </w:r>
      <w:r w:rsidR="00E2215C" w:rsidRPr="00984B3F">
        <w:rPr>
          <w:rFonts w:ascii="Arial" w:hAnsi="Arial" w:cs="Arial"/>
          <w:szCs w:val="24"/>
        </w:rPr>
        <w:t>4.</w:t>
      </w:r>
      <w:r w:rsidR="00E2215C" w:rsidRPr="00984B3F">
        <w:rPr>
          <w:rFonts w:ascii="Arial" w:hAnsi="Arial" w:cs="Arial"/>
          <w:szCs w:val="24"/>
        </w:rPr>
        <w:tab/>
        <w:t>The commencement value of the respective estates of the intended parties as at the date of marriage is NIL.</w:t>
      </w:r>
    </w:p>
    <w:p w:rsidR="00E2215C" w:rsidRPr="00984B3F" w:rsidRDefault="00E2215C" w:rsidP="00F25FEA">
      <w:pPr>
        <w:spacing w:after="0" w:line="360" w:lineRule="auto"/>
        <w:ind w:left="720" w:hanging="720"/>
        <w:jc w:val="both"/>
        <w:rPr>
          <w:rFonts w:ascii="Arial" w:hAnsi="Arial" w:cs="Arial"/>
          <w:szCs w:val="24"/>
        </w:rPr>
      </w:pPr>
      <w:r w:rsidRPr="00984B3F">
        <w:rPr>
          <w:rFonts w:ascii="Arial" w:hAnsi="Arial" w:cs="Arial"/>
          <w:szCs w:val="24"/>
        </w:rPr>
        <w:t>5.</w:t>
      </w:r>
      <w:r w:rsidRPr="00984B3F">
        <w:rPr>
          <w:rFonts w:ascii="Arial" w:hAnsi="Arial" w:cs="Arial"/>
          <w:szCs w:val="24"/>
        </w:rPr>
        <w:tab/>
        <w:t>The parties further record that in determining the accrual in each parties estate, the following assets shall be included in the calculation of the accrual:</w:t>
      </w:r>
    </w:p>
    <w:p w:rsidR="00E2215C" w:rsidRPr="00984B3F" w:rsidRDefault="00E2215C" w:rsidP="00F25FEA">
      <w:pPr>
        <w:spacing w:after="0" w:line="360" w:lineRule="auto"/>
        <w:ind w:left="1440" w:hanging="720"/>
        <w:jc w:val="both"/>
        <w:rPr>
          <w:rFonts w:ascii="Arial" w:hAnsi="Arial" w:cs="Arial"/>
          <w:szCs w:val="24"/>
        </w:rPr>
      </w:pPr>
      <w:r w:rsidRPr="00984B3F">
        <w:rPr>
          <w:rFonts w:ascii="Arial" w:hAnsi="Arial" w:cs="Arial"/>
          <w:szCs w:val="24"/>
        </w:rPr>
        <w:t>5.2.1</w:t>
      </w:r>
      <w:r w:rsidRPr="00984B3F">
        <w:rPr>
          <w:rFonts w:ascii="Arial" w:hAnsi="Arial" w:cs="Arial"/>
          <w:szCs w:val="24"/>
        </w:rPr>
        <w:tab/>
        <w:t xml:space="preserve">That of </w:t>
      </w:r>
      <w:proofErr w:type="gramStart"/>
      <w:r w:rsidRPr="00984B3F">
        <w:rPr>
          <w:rFonts w:ascii="Arial" w:hAnsi="Arial" w:cs="Arial"/>
          <w:szCs w:val="24"/>
        </w:rPr>
        <w:t>C</w:t>
      </w:r>
      <w:r w:rsidR="00391385">
        <w:rPr>
          <w:rFonts w:ascii="Arial" w:hAnsi="Arial" w:cs="Arial"/>
          <w:szCs w:val="24"/>
        </w:rPr>
        <w:t>[</w:t>
      </w:r>
      <w:proofErr w:type="gramEnd"/>
      <w:r w:rsidR="00391385">
        <w:rPr>
          <w:rFonts w:ascii="Arial" w:hAnsi="Arial" w:cs="Arial"/>
          <w:szCs w:val="24"/>
        </w:rPr>
        <w:t>…]</w:t>
      </w:r>
      <w:r w:rsidRPr="00984B3F">
        <w:rPr>
          <w:rFonts w:ascii="Arial" w:hAnsi="Arial" w:cs="Arial"/>
          <w:szCs w:val="24"/>
        </w:rPr>
        <w:t xml:space="preserve"> P</w:t>
      </w:r>
      <w:r w:rsidR="00391385">
        <w:rPr>
          <w:rFonts w:ascii="Arial" w:hAnsi="Arial" w:cs="Arial"/>
          <w:szCs w:val="24"/>
        </w:rPr>
        <w:t>[…]</w:t>
      </w:r>
      <w:r w:rsidRPr="00984B3F">
        <w:rPr>
          <w:rFonts w:ascii="Arial" w:hAnsi="Arial" w:cs="Arial"/>
          <w:szCs w:val="24"/>
        </w:rPr>
        <w:t>:</w:t>
      </w:r>
      <w:r w:rsidR="00F25FEA">
        <w:rPr>
          <w:rFonts w:ascii="Arial" w:hAnsi="Arial" w:cs="Arial"/>
          <w:szCs w:val="24"/>
        </w:rPr>
        <w:t xml:space="preserve"> </w:t>
      </w:r>
      <w:r w:rsidRPr="00984B3F">
        <w:rPr>
          <w:rFonts w:ascii="Arial" w:hAnsi="Arial" w:cs="Arial"/>
          <w:szCs w:val="24"/>
        </w:rPr>
        <w:t>K</w:t>
      </w:r>
      <w:r w:rsidR="00391385">
        <w:rPr>
          <w:rFonts w:ascii="Arial" w:hAnsi="Arial" w:cs="Arial"/>
          <w:szCs w:val="24"/>
        </w:rPr>
        <w:t>[…]</w:t>
      </w:r>
      <w:r w:rsidRPr="00984B3F">
        <w:rPr>
          <w:rFonts w:ascii="Arial" w:hAnsi="Arial" w:cs="Arial"/>
          <w:szCs w:val="24"/>
        </w:rPr>
        <w:t xml:space="preserve"> CC, situated at </w:t>
      </w:r>
      <w:r w:rsidR="00391385">
        <w:rPr>
          <w:rFonts w:ascii="Arial" w:hAnsi="Arial" w:cs="Arial"/>
          <w:szCs w:val="24"/>
        </w:rPr>
        <w:t>[…]</w:t>
      </w:r>
      <w:r w:rsidRPr="00984B3F">
        <w:rPr>
          <w:rFonts w:ascii="Arial" w:hAnsi="Arial" w:cs="Arial"/>
          <w:szCs w:val="24"/>
        </w:rPr>
        <w:t>, Springfield Park. Valued at: R3 000 000.00</w:t>
      </w:r>
    </w:p>
    <w:p w:rsidR="00984B3F" w:rsidRPr="00984B3F" w:rsidRDefault="00984B3F" w:rsidP="00F25FEA">
      <w:pPr>
        <w:spacing w:after="0" w:line="360" w:lineRule="auto"/>
        <w:ind w:left="1440" w:hanging="720"/>
        <w:jc w:val="both"/>
        <w:rPr>
          <w:rFonts w:ascii="Arial" w:hAnsi="Arial" w:cs="Arial"/>
          <w:szCs w:val="24"/>
        </w:rPr>
      </w:pPr>
      <w:r w:rsidRPr="00984B3F">
        <w:rPr>
          <w:rFonts w:ascii="Arial" w:hAnsi="Arial" w:cs="Arial"/>
          <w:szCs w:val="24"/>
        </w:rPr>
        <w:t>5.2.2</w:t>
      </w:r>
      <w:r w:rsidRPr="00984B3F">
        <w:rPr>
          <w:rFonts w:ascii="Arial" w:hAnsi="Arial" w:cs="Arial"/>
          <w:szCs w:val="24"/>
        </w:rPr>
        <w:tab/>
        <w:t xml:space="preserve">That of </w:t>
      </w:r>
      <w:proofErr w:type="gramStart"/>
      <w:r w:rsidRPr="00984B3F">
        <w:rPr>
          <w:rFonts w:ascii="Arial" w:hAnsi="Arial" w:cs="Arial"/>
          <w:szCs w:val="24"/>
        </w:rPr>
        <w:t>G</w:t>
      </w:r>
      <w:r w:rsidR="00391385">
        <w:rPr>
          <w:rFonts w:ascii="Arial" w:hAnsi="Arial" w:cs="Arial"/>
          <w:szCs w:val="24"/>
        </w:rPr>
        <w:t>[</w:t>
      </w:r>
      <w:proofErr w:type="gramEnd"/>
      <w:r w:rsidR="00391385">
        <w:rPr>
          <w:rFonts w:ascii="Arial" w:hAnsi="Arial" w:cs="Arial"/>
          <w:szCs w:val="24"/>
        </w:rPr>
        <w:t>…]</w:t>
      </w:r>
      <w:r w:rsidRPr="00984B3F">
        <w:rPr>
          <w:rFonts w:ascii="Arial" w:hAnsi="Arial" w:cs="Arial"/>
          <w:szCs w:val="24"/>
        </w:rPr>
        <w:t xml:space="preserve"> D</w:t>
      </w:r>
      <w:r w:rsidR="00391385">
        <w:rPr>
          <w:rFonts w:ascii="Arial" w:hAnsi="Arial" w:cs="Arial"/>
          <w:szCs w:val="24"/>
        </w:rPr>
        <w:t>[…]</w:t>
      </w:r>
      <w:r w:rsidRPr="00984B3F">
        <w:rPr>
          <w:rFonts w:ascii="Arial" w:hAnsi="Arial" w:cs="Arial"/>
          <w:szCs w:val="24"/>
        </w:rPr>
        <w:t>:</w:t>
      </w:r>
      <w:r w:rsidR="00F25FEA">
        <w:rPr>
          <w:rFonts w:ascii="Arial" w:hAnsi="Arial" w:cs="Arial"/>
          <w:szCs w:val="24"/>
        </w:rPr>
        <w:t xml:space="preserve"> </w:t>
      </w:r>
      <w:r w:rsidR="00391385">
        <w:rPr>
          <w:rFonts w:ascii="Arial" w:hAnsi="Arial" w:cs="Arial"/>
          <w:szCs w:val="24"/>
        </w:rPr>
        <w:t>[…]</w:t>
      </w:r>
      <w:r w:rsidRPr="00984B3F">
        <w:rPr>
          <w:rFonts w:ascii="Arial" w:hAnsi="Arial" w:cs="Arial"/>
          <w:szCs w:val="24"/>
        </w:rPr>
        <w:t xml:space="preserve"> H</w:t>
      </w:r>
      <w:r w:rsidR="00391385">
        <w:rPr>
          <w:rFonts w:ascii="Arial" w:hAnsi="Arial" w:cs="Arial"/>
          <w:szCs w:val="24"/>
        </w:rPr>
        <w:t>[…]</w:t>
      </w:r>
      <w:r w:rsidRPr="00984B3F">
        <w:rPr>
          <w:rFonts w:ascii="Arial" w:hAnsi="Arial" w:cs="Arial"/>
          <w:szCs w:val="24"/>
        </w:rPr>
        <w:t xml:space="preserve"> Road, Durban North. Valued at R2 000 000.00 </w:t>
      </w:r>
      <w:proofErr w:type="gramStart"/>
      <w:r w:rsidRPr="00984B3F">
        <w:rPr>
          <w:rFonts w:ascii="Arial" w:hAnsi="Arial" w:cs="Arial"/>
          <w:szCs w:val="24"/>
        </w:rPr>
        <w:t>F</w:t>
      </w:r>
      <w:r w:rsidR="00391385">
        <w:rPr>
          <w:rFonts w:ascii="Arial" w:hAnsi="Arial" w:cs="Arial"/>
          <w:szCs w:val="24"/>
        </w:rPr>
        <w:t>[</w:t>
      </w:r>
      <w:proofErr w:type="gramEnd"/>
      <w:r w:rsidR="00391385">
        <w:rPr>
          <w:rFonts w:ascii="Arial" w:hAnsi="Arial" w:cs="Arial"/>
          <w:szCs w:val="24"/>
        </w:rPr>
        <w:t>…]</w:t>
      </w:r>
      <w:r w:rsidRPr="00984B3F">
        <w:rPr>
          <w:rFonts w:ascii="Arial" w:hAnsi="Arial" w:cs="Arial"/>
          <w:szCs w:val="24"/>
        </w:rPr>
        <w:t xml:space="preserve">, situated at </w:t>
      </w:r>
      <w:r w:rsidR="00391385">
        <w:rPr>
          <w:rFonts w:ascii="Arial" w:hAnsi="Arial" w:cs="Arial"/>
          <w:szCs w:val="24"/>
        </w:rPr>
        <w:t>[…]</w:t>
      </w:r>
      <w:r w:rsidRPr="00984B3F">
        <w:rPr>
          <w:rFonts w:ascii="Arial" w:hAnsi="Arial" w:cs="Arial"/>
          <w:szCs w:val="24"/>
        </w:rPr>
        <w:t xml:space="preserve"> H</w:t>
      </w:r>
      <w:r w:rsidR="00391385">
        <w:rPr>
          <w:rFonts w:ascii="Arial" w:hAnsi="Arial" w:cs="Arial"/>
          <w:szCs w:val="24"/>
        </w:rPr>
        <w:t>[…]</w:t>
      </w:r>
      <w:r w:rsidRPr="00984B3F">
        <w:rPr>
          <w:rFonts w:ascii="Arial" w:hAnsi="Arial" w:cs="Arial"/>
          <w:szCs w:val="24"/>
        </w:rPr>
        <w:t xml:space="preserve"> Road. Valued at: R1 000 000.00</w:t>
      </w:r>
    </w:p>
    <w:p w:rsidR="00984B3F" w:rsidRPr="00984B3F" w:rsidRDefault="00984B3F" w:rsidP="00E2215C">
      <w:pPr>
        <w:spacing w:after="0" w:line="360" w:lineRule="auto"/>
        <w:ind w:left="720" w:hanging="720"/>
        <w:jc w:val="both"/>
        <w:rPr>
          <w:rFonts w:ascii="Arial" w:hAnsi="Arial" w:cs="Arial"/>
          <w:szCs w:val="24"/>
        </w:rPr>
      </w:pPr>
      <w:r w:rsidRPr="00984B3F">
        <w:rPr>
          <w:rFonts w:ascii="Arial" w:hAnsi="Arial" w:cs="Arial"/>
          <w:szCs w:val="24"/>
        </w:rPr>
        <w:t>6.</w:t>
      </w:r>
      <w:r w:rsidRPr="00984B3F">
        <w:rPr>
          <w:rFonts w:ascii="Arial" w:hAnsi="Arial" w:cs="Arial"/>
          <w:szCs w:val="24"/>
        </w:rPr>
        <w:tab/>
        <w:t xml:space="preserve">The assets of the parties mentioned as reflected in 5.2.1 and 5.2.2 hereto as well as all liabilities attached thereto, or any other asset acquired by such party by virtue of his/her possession thereof, shall be </w:t>
      </w:r>
      <w:r w:rsidRPr="00984B3F">
        <w:rPr>
          <w:rFonts w:ascii="Arial" w:hAnsi="Arial" w:cs="Arial"/>
          <w:szCs w:val="24"/>
        </w:rPr>
        <w:tab/>
        <w:t xml:space="preserve">taken into account as part of such party’s estate either on the date of </w:t>
      </w:r>
      <w:r w:rsidRPr="00984B3F">
        <w:rPr>
          <w:rFonts w:ascii="Arial" w:hAnsi="Arial" w:cs="Arial"/>
          <w:szCs w:val="24"/>
        </w:rPr>
        <w:tab/>
        <w:t>conclusion of the marriage or upon dissolution of the marriage and shall</w:t>
      </w:r>
      <w:r w:rsidR="00DA5C5E">
        <w:rPr>
          <w:rFonts w:ascii="Arial" w:hAnsi="Arial" w:cs="Arial"/>
          <w:szCs w:val="24"/>
        </w:rPr>
        <w:t xml:space="preserve"> </w:t>
      </w:r>
      <w:r w:rsidRPr="00984B3F">
        <w:rPr>
          <w:rFonts w:ascii="Arial" w:hAnsi="Arial" w:cs="Arial"/>
          <w:szCs w:val="24"/>
        </w:rPr>
        <w:t>be specifically included from the accrual of the estate.</w:t>
      </w:r>
      <w:r w:rsidR="00F25FEA">
        <w:rPr>
          <w:rFonts w:ascii="Arial" w:hAnsi="Arial" w:cs="Arial"/>
          <w:szCs w:val="24"/>
        </w:rPr>
        <w:t>’</w:t>
      </w:r>
    </w:p>
    <w:p w:rsidR="00646370" w:rsidRDefault="00646370" w:rsidP="001A6702">
      <w:pPr>
        <w:spacing w:after="0" w:line="240" w:lineRule="auto"/>
        <w:jc w:val="both"/>
        <w:rPr>
          <w:rFonts w:ascii="Arial" w:hAnsi="Arial" w:cs="Arial"/>
          <w:sz w:val="24"/>
          <w:szCs w:val="24"/>
        </w:rPr>
      </w:pPr>
    </w:p>
    <w:p w:rsidR="000B54C0" w:rsidRPr="000B54C0" w:rsidRDefault="00EA16CD" w:rsidP="000B54C0">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0B54C0" w:rsidRPr="000B54C0">
        <w:rPr>
          <w:rFonts w:ascii="Arial" w:hAnsi="Arial" w:cs="Arial"/>
          <w:sz w:val="24"/>
          <w:szCs w:val="24"/>
        </w:rPr>
        <w:t xml:space="preserve">On 9 October 2020, the plaintiff issued summons against the defendant seeking a decree of divorce, rectification of the ANC, and that he pays to the defendant an amount in money equivalent to the difference between their accrual with the quantum of such </w:t>
      </w:r>
      <w:r w:rsidR="000D6F0D">
        <w:rPr>
          <w:rFonts w:ascii="Arial" w:hAnsi="Arial" w:cs="Arial"/>
          <w:sz w:val="24"/>
          <w:szCs w:val="24"/>
        </w:rPr>
        <w:t>amount</w:t>
      </w:r>
      <w:r w:rsidR="000B54C0" w:rsidRPr="000B54C0">
        <w:rPr>
          <w:rFonts w:ascii="Arial" w:hAnsi="Arial" w:cs="Arial"/>
          <w:sz w:val="24"/>
          <w:szCs w:val="24"/>
        </w:rPr>
        <w:t xml:space="preserve"> </w:t>
      </w:r>
      <w:r w:rsidR="000B54C0">
        <w:rPr>
          <w:rFonts w:ascii="Arial" w:hAnsi="Arial" w:cs="Arial"/>
          <w:sz w:val="24"/>
          <w:szCs w:val="24"/>
        </w:rPr>
        <w:t>being</w:t>
      </w:r>
      <w:r w:rsidR="000B54C0" w:rsidRPr="000B54C0">
        <w:rPr>
          <w:rFonts w:ascii="Arial" w:hAnsi="Arial" w:cs="Arial"/>
          <w:sz w:val="24"/>
          <w:szCs w:val="24"/>
        </w:rPr>
        <w:t xml:space="preserve"> determined by the court</w:t>
      </w:r>
      <w:r w:rsidR="000B54C0">
        <w:rPr>
          <w:rFonts w:ascii="Arial" w:hAnsi="Arial" w:cs="Arial"/>
          <w:sz w:val="24"/>
          <w:szCs w:val="24"/>
        </w:rPr>
        <w:t>,</w:t>
      </w:r>
      <w:r w:rsidR="000B54C0" w:rsidRPr="000B54C0">
        <w:rPr>
          <w:rFonts w:ascii="Arial" w:hAnsi="Arial" w:cs="Arial"/>
          <w:sz w:val="24"/>
          <w:szCs w:val="24"/>
        </w:rPr>
        <w:t xml:space="preserve"> together with costs in the event of the defendant defending the case. The defendant defended the divorce and delivered a claim in reconvention. In both the defendant’s plea and the replication, the defendant sought and/or consented to the decree of divorce, sought spousal maintenance, and the determination of each party's estate and their accrual, amongst others.</w:t>
      </w:r>
    </w:p>
    <w:p w:rsidR="000B54C0" w:rsidRDefault="000B54C0" w:rsidP="001A6702">
      <w:pPr>
        <w:spacing w:after="0" w:line="240" w:lineRule="auto"/>
        <w:jc w:val="both"/>
        <w:rPr>
          <w:rFonts w:ascii="Arial" w:hAnsi="Arial" w:cs="Arial"/>
          <w:sz w:val="24"/>
          <w:szCs w:val="24"/>
        </w:rPr>
      </w:pPr>
    </w:p>
    <w:p w:rsidR="000B54C0" w:rsidRPr="000B54C0" w:rsidRDefault="00EA16CD" w:rsidP="000B54C0">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0B54C0" w:rsidRPr="000B54C0">
        <w:rPr>
          <w:rFonts w:ascii="Arial" w:hAnsi="Arial" w:cs="Arial"/>
          <w:sz w:val="24"/>
          <w:szCs w:val="24"/>
        </w:rPr>
        <w:t xml:space="preserve">During 21 April 2021, the plaintiff amended his particulars of claim by the deletion of </w:t>
      </w:r>
      <w:r w:rsidR="000B54C0">
        <w:rPr>
          <w:rFonts w:ascii="Arial" w:hAnsi="Arial" w:cs="Arial"/>
          <w:sz w:val="24"/>
          <w:szCs w:val="24"/>
        </w:rPr>
        <w:t xml:space="preserve">a </w:t>
      </w:r>
      <w:r w:rsidR="000B54C0" w:rsidRPr="000B54C0">
        <w:rPr>
          <w:rFonts w:ascii="Arial" w:hAnsi="Arial" w:cs="Arial"/>
          <w:sz w:val="24"/>
          <w:szCs w:val="24"/>
        </w:rPr>
        <w:t xml:space="preserve">paragraph and </w:t>
      </w:r>
      <w:r w:rsidR="000B54C0">
        <w:rPr>
          <w:rFonts w:ascii="Arial" w:hAnsi="Arial" w:cs="Arial"/>
          <w:sz w:val="24"/>
          <w:szCs w:val="24"/>
        </w:rPr>
        <w:t xml:space="preserve">a </w:t>
      </w:r>
      <w:r w:rsidR="000B54C0" w:rsidRPr="000B54C0">
        <w:rPr>
          <w:rFonts w:ascii="Arial" w:hAnsi="Arial" w:cs="Arial"/>
          <w:sz w:val="24"/>
          <w:szCs w:val="24"/>
        </w:rPr>
        <w:t xml:space="preserve">prayer </w:t>
      </w:r>
      <w:r w:rsidR="000B54C0">
        <w:rPr>
          <w:rFonts w:ascii="Arial" w:hAnsi="Arial" w:cs="Arial"/>
          <w:sz w:val="24"/>
          <w:szCs w:val="24"/>
        </w:rPr>
        <w:t xml:space="preserve">for </w:t>
      </w:r>
      <w:r w:rsidR="000B54C0" w:rsidRPr="000B54C0">
        <w:rPr>
          <w:rFonts w:ascii="Arial" w:hAnsi="Arial" w:cs="Arial"/>
          <w:sz w:val="24"/>
          <w:szCs w:val="24"/>
        </w:rPr>
        <w:t>rectification. The result of this was that the plaintiff no longer sought to rectify the ANC. The plaintiff averred that he no longer sought rectification since the ANC could and should be interpreted to exclude the separate assets</w:t>
      </w:r>
      <w:r w:rsidR="006C71D5">
        <w:rPr>
          <w:rFonts w:ascii="Arial" w:hAnsi="Arial" w:cs="Arial"/>
          <w:sz w:val="24"/>
          <w:szCs w:val="24"/>
        </w:rPr>
        <w:t>’</w:t>
      </w:r>
      <w:r w:rsidR="000B54C0" w:rsidRPr="000B54C0">
        <w:rPr>
          <w:rFonts w:ascii="Arial" w:hAnsi="Arial" w:cs="Arial"/>
          <w:sz w:val="24"/>
          <w:szCs w:val="24"/>
        </w:rPr>
        <w:t xml:space="preserve"> stated values as well as the value of any other asset acquired by virtue of possession or former possession of the separate assets.</w:t>
      </w:r>
    </w:p>
    <w:p w:rsidR="000B54C0" w:rsidRDefault="000B54C0" w:rsidP="001A6702">
      <w:pPr>
        <w:spacing w:after="0" w:line="240" w:lineRule="auto"/>
        <w:jc w:val="both"/>
        <w:rPr>
          <w:rFonts w:ascii="Arial" w:hAnsi="Arial" w:cs="Arial"/>
          <w:sz w:val="24"/>
          <w:szCs w:val="24"/>
        </w:rPr>
      </w:pPr>
    </w:p>
    <w:p w:rsidR="0089470C" w:rsidRDefault="00552B8F" w:rsidP="00552B8F">
      <w:pPr>
        <w:spacing w:after="0" w:line="360" w:lineRule="auto"/>
        <w:jc w:val="both"/>
        <w:rPr>
          <w:rFonts w:ascii="Arial" w:hAnsi="Arial" w:cs="Arial"/>
          <w:sz w:val="24"/>
          <w:szCs w:val="24"/>
        </w:rPr>
      </w:pPr>
      <w:r w:rsidRPr="002716F4">
        <w:rPr>
          <w:rFonts w:ascii="Arial" w:hAnsi="Arial" w:cs="Arial"/>
          <w:sz w:val="24"/>
          <w:szCs w:val="24"/>
        </w:rPr>
        <w:t>[</w:t>
      </w:r>
      <w:r w:rsidR="00EA16CD">
        <w:rPr>
          <w:rFonts w:ascii="Arial" w:hAnsi="Arial" w:cs="Arial"/>
          <w:sz w:val="24"/>
          <w:szCs w:val="24"/>
        </w:rPr>
        <w:t>9</w:t>
      </w:r>
      <w:r w:rsidRPr="002716F4">
        <w:rPr>
          <w:rFonts w:ascii="Arial" w:hAnsi="Arial" w:cs="Arial"/>
          <w:sz w:val="24"/>
          <w:szCs w:val="24"/>
        </w:rPr>
        <w:t>]</w:t>
      </w:r>
      <w:r w:rsidRPr="002716F4">
        <w:rPr>
          <w:rFonts w:ascii="Arial" w:hAnsi="Arial" w:cs="Arial"/>
          <w:sz w:val="24"/>
          <w:szCs w:val="24"/>
        </w:rPr>
        <w:tab/>
      </w:r>
      <w:r w:rsidR="0008064A">
        <w:rPr>
          <w:rFonts w:ascii="Arial" w:hAnsi="Arial" w:cs="Arial"/>
          <w:sz w:val="24"/>
          <w:szCs w:val="24"/>
        </w:rPr>
        <w:t xml:space="preserve">In the current application, </w:t>
      </w:r>
      <w:r w:rsidR="00E5591F">
        <w:rPr>
          <w:rFonts w:ascii="Arial" w:hAnsi="Arial" w:cs="Arial"/>
          <w:sz w:val="24"/>
          <w:szCs w:val="24"/>
        </w:rPr>
        <w:t xml:space="preserve">the plaintiff seeks to </w:t>
      </w:r>
      <w:r w:rsidR="003C707C">
        <w:rPr>
          <w:rFonts w:ascii="Arial" w:hAnsi="Arial" w:cs="Arial"/>
          <w:sz w:val="24"/>
          <w:szCs w:val="24"/>
        </w:rPr>
        <w:t>a</w:t>
      </w:r>
      <w:r w:rsidR="00E5591F">
        <w:rPr>
          <w:rFonts w:ascii="Arial" w:hAnsi="Arial" w:cs="Arial"/>
          <w:sz w:val="24"/>
          <w:szCs w:val="24"/>
        </w:rPr>
        <w:t xml:space="preserve">mend </w:t>
      </w:r>
      <w:r w:rsidR="006C71D5">
        <w:rPr>
          <w:rFonts w:ascii="Arial" w:hAnsi="Arial" w:cs="Arial"/>
          <w:sz w:val="24"/>
          <w:szCs w:val="24"/>
        </w:rPr>
        <w:t>his</w:t>
      </w:r>
      <w:r w:rsidR="00E5591F">
        <w:rPr>
          <w:rFonts w:ascii="Arial" w:hAnsi="Arial" w:cs="Arial"/>
          <w:sz w:val="24"/>
          <w:szCs w:val="24"/>
        </w:rPr>
        <w:t xml:space="preserve"> particulars of claim to allege that the correct interpretation of the ANC is to exclude separated assets from accrual. He contends the following:</w:t>
      </w:r>
    </w:p>
    <w:p w:rsidR="000E3C9A" w:rsidRPr="003134DA" w:rsidRDefault="00F25FEA" w:rsidP="00F25FEA">
      <w:pPr>
        <w:spacing w:after="0" w:line="360" w:lineRule="auto"/>
        <w:jc w:val="both"/>
        <w:rPr>
          <w:rFonts w:ascii="Arial" w:hAnsi="Arial" w:cs="Arial"/>
          <w:szCs w:val="24"/>
        </w:rPr>
      </w:pPr>
      <w:r>
        <w:rPr>
          <w:rFonts w:ascii="Arial" w:hAnsi="Arial" w:cs="Arial"/>
          <w:szCs w:val="24"/>
        </w:rPr>
        <w:t>‘</w:t>
      </w:r>
      <w:r w:rsidR="000E3C9A" w:rsidRPr="003134DA">
        <w:rPr>
          <w:rFonts w:ascii="Arial" w:hAnsi="Arial" w:cs="Arial"/>
          <w:szCs w:val="24"/>
        </w:rPr>
        <w:t>[14]</w:t>
      </w:r>
      <w:r w:rsidR="000E3C9A" w:rsidRPr="003134DA">
        <w:rPr>
          <w:rFonts w:ascii="Arial" w:hAnsi="Arial" w:cs="Arial"/>
          <w:szCs w:val="24"/>
        </w:rPr>
        <w:tab/>
        <w:t>I now seek to amend my allegations insofar as they relate to the antenuptial contract and rectification thereof, by the deletion of all relevant paragraphs and the replacement thereof with those contained in the Notice of Intention to Amend, which instead allege that the correct interpretation of the antenuptial contract, as it stands, is to exclude the separated assets in question from the accrual, specifically:</w:t>
      </w:r>
    </w:p>
    <w:p w:rsidR="000C3E6A" w:rsidRDefault="000C3E6A" w:rsidP="00552B8F">
      <w:pPr>
        <w:spacing w:after="0" w:line="360" w:lineRule="auto"/>
        <w:jc w:val="both"/>
        <w:rPr>
          <w:rFonts w:ascii="Arial" w:hAnsi="Arial" w:cs="Arial"/>
          <w:szCs w:val="24"/>
        </w:rPr>
      </w:pPr>
      <w:r w:rsidRPr="003134DA">
        <w:rPr>
          <w:rFonts w:ascii="Arial" w:hAnsi="Arial" w:cs="Arial"/>
          <w:szCs w:val="24"/>
        </w:rPr>
        <w:tab/>
        <w:t xml:space="preserve">“The ANC is confusingly and badly worded, but upon a proper interpretation the </w:t>
      </w:r>
      <w:r w:rsidR="003134DA">
        <w:rPr>
          <w:rFonts w:ascii="Arial" w:hAnsi="Arial" w:cs="Arial"/>
          <w:szCs w:val="24"/>
        </w:rPr>
        <w:tab/>
      </w:r>
      <w:r w:rsidRPr="003134DA">
        <w:rPr>
          <w:rFonts w:ascii="Arial" w:hAnsi="Arial" w:cs="Arial"/>
          <w:szCs w:val="24"/>
        </w:rPr>
        <w:t xml:space="preserve">manner in which the separate assets are to be included in the calculation of the accrual </w:t>
      </w:r>
      <w:r w:rsidR="003134DA">
        <w:rPr>
          <w:rFonts w:ascii="Arial" w:hAnsi="Arial" w:cs="Arial"/>
          <w:szCs w:val="24"/>
        </w:rPr>
        <w:tab/>
      </w:r>
      <w:r w:rsidRPr="003134DA">
        <w:rPr>
          <w:rFonts w:ascii="Arial" w:hAnsi="Arial" w:cs="Arial"/>
          <w:szCs w:val="24"/>
        </w:rPr>
        <w:t xml:space="preserve">is to exclude their stated value as well as the value of any other assets acquired by </w:t>
      </w:r>
      <w:r w:rsidR="003134DA">
        <w:rPr>
          <w:rFonts w:ascii="Arial" w:hAnsi="Arial" w:cs="Arial"/>
          <w:szCs w:val="24"/>
        </w:rPr>
        <w:tab/>
      </w:r>
      <w:r w:rsidRPr="003134DA">
        <w:rPr>
          <w:rFonts w:ascii="Arial" w:hAnsi="Arial" w:cs="Arial"/>
          <w:szCs w:val="24"/>
        </w:rPr>
        <w:t>virtue of possession or for</w:t>
      </w:r>
      <w:r w:rsidR="00D3601B" w:rsidRPr="003134DA">
        <w:rPr>
          <w:rFonts w:ascii="Arial" w:hAnsi="Arial" w:cs="Arial"/>
          <w:szCs w:val="24"/>
        </w:rPr>
        <w:t>m</w:t>
      </w:r>
      <w:r w:rsidRPr="003134DA">
        <w:rPr>
          <w:rFonts w:ascii="Arial" w:hAnsi="Arial" w:cs="Arial"/>
          <w:szCs w:val="24"/>
        </w:rPr>
        <w:t>e</w:t>
      </w:r>
      <w:r w:rsidR="00D3601B" w:rsidRPr="003134DA">
        <w:rPr>
          <w:rFonts w:ascii="Arial" w:hAnsi="Arial" w:cs="Arial"/>
          <w:szCs w:val="24"/>
        </w:rPr>
        <w:t>r</w:t>
      </w:r>
      <w:r w:rsidRPr="003134DA">
        <w:rPr>
          <w:rFonts w:ascii="Arial" w:hAnsi="Arial" w:cs="Arial"/>
          <w:szCs w:val="24"/>
        </w:rPr>
        <w:t xml:space="preserve"> possession of the separate assets (together “the </w:t>
      </w:r>
      <w:r w:rsidR="003134DA">
        <w:rPr>
          <w:rFonts w:ascii="Arial" w:hAnsi="Arial" w:cs="Arial"/>
          <w:szCs w:val="24"/>
        </w:rPr>
        <w:tab/>
      </w:r>
      <w:r w:rsidRPr="003134DA">
        <w:rPr>
          <w:rFonts w:ascii="Arial" w:hAnsi="Arial" w:cs="Arial"/>
          <w:szCs w:val="24"/>
        </w:rPr>
        <w:t>separate assets values”) for the purposes of calculation of any accrual.”</w:t>
      </w:r>
    </w:p>
    <w:p w:rsidR="00EA16CD" w:rsidRDefault="000C3E6A" w:rsidP="00F25FEA">
      <w:pPr>
        <w:spacing w:after="0" w:line="360" w:lineRule="auto"/>
        <w:jc w:val="both"/>
        <w:rPr>
          <w:rFonts w:ascii="Arial" w:hAnsi="Arial" w:cs="Arial"/>
          <w:szCs w:val="24"/>
        </w:rPr>
      </w:pPr>
      <w:r w:rsidRPr="003134DA">
        <w:rPr>
          <w:rFonts w:ascii="Arial" w:hAnsi="Arial" w:cs="Arial"/>
          <w:szCs w:val="24"/>
        </w:rPr>
        <w:t>[15]</w:t>
      </w:r>
      <w:r w:rsidRPr="003134DA">
        <w:rPr>
          <w:rFonts w:ascii="Arial" w:hAnsi="Arial" w:cs="Arial"/>
          <w:szCs w:val="24"/>
        </w:rPr>
        <w:tab/>
        <w:t>Simply put, instead of claiming rectification of the agreement to the effect that the relevant assets are excluded, I am alleging that the correct interpretation of the agreement is that the separate assets’</w:t>
      </w:r>
      <w:r w:rsidR="00D3601B" w:rsidRPr="003134DA">
        <w:rPr>
          <w:rFonts w:ascii="Arial" w:hAnsi="Arial" w:cs="Arial"/>
          <w:szCs w:val="24"/>
        </w:rPr>
        <w:t xml:space="preserve"> </w:t>
      </w:r>
      <w:r w:rsidRPr="003134DA">
        <w:rPr>
          <w:rFonts w:ascii="Arial" w:hAnsi="Arial" w:cs="Arial"/>
          <w:szCs w:val="24"/>
        </w:rPr>
        <w:t>values are excluded. This amounts to the same thing.</w:t>
      </w:r>
    </w:p>
    <w:p w:rsidR="003A7214" w:rsidRPr="003134DA" w:rsidRDefault="003A7214" w:rsidP="00F25FEA">
      <w:pPr>
        <w:spacing w:after="0" w:line="360" w:lineRule="auto"/>
        <w:jc w:val="both"/>
        <w:rPr>
          <w:rFonts w:ascii="Arial" w:hAnsi="Arial" w:cs="Arial"/>
          <w:szCs w:val="24"/>
        </w:rPr>
      </w:pPr>
      <w:r w:rsidRPr="003134DA">
        <w:rPr>
          <w:rFonts w:ascii="Arial" w:hAnsi="Arial" w:cs="Arial"/>
          <w:szCs w:val="24"/>
        </w:rPr>
        <w:t>[16]</w:t>
      </w:r>
      <w:r w:rsidRPr="003134DA">
        <w:rPr>
          <w:rFonts w:ascii="Arial" w:hAnsi="Arial" w:cs="Arial"/>
          <w:szCs w:val="24"/>
        </w:rPr>
        <w:tab/>
        <w:t>Thus, the amendment seeks to amend my prayer to exclude rectification, and to determine the accrual claim on the interpretation of the antenuptial agreement which I allege is correct – tha</w:t>
      </w:r>
      <w:r w:rsidR="003134DA" w:rsidRPr="003134DA">
        <w:rPr>
          <w:rFonts w:ascii="Arial" w:hAnsi="Arial" w:cs="Arial"/>
          <w:szCs w:val="24"/>
        </w:rPr>
        <w:t>t</w:t>
      </w:r>
      <w:r w:rsidRPr="003134DA">
        <w:rPr>
          <w:rFonts w:ascii="Arial" w:hAnsi="Arial" w:cs="Arial"/>
          <w:szCs w:val="24"/>
        </w:rPr>
        <w:t xml:space="preserve"> the separate assets’ value to be excluded.</w:t>
      </w:r>
    </w:p>
    <w:p w:rsidR="003134DA" w:rsidRPr="003134DA" w:rsidRDefault="003134DA" w:rsidP="00F25FEA">
      <w:pPr>
        <w:spacing w:after="0" w:line="360" w:lineRule="auto"/>
        <w:jc w:val="both"/>
        <w:rPr>
          <w:rFonts w:ascii="Arial" w:hAnsi="Arial" w:cs="Arial"/>
          <w:szCs w:val="24"/>
        </w:rPr>
      </w:pPr>
      <w:r w:rsidRPr="003134DA">
        <w:rPr>
          <w:rFonts w:ascii="Arial" w:hAnsi="Arial" w:cs="Arial"/>
          <w:szCs w:val="24"/>
        </w:rPr>
        <w:t>[17]</w:t>
      </w:r>
      <w:r w:rsidRPr="003134DA">
        <w:rPr>
          <w:rFonts w:ascii="Arial" w:hAnsi="Arial" w:cs="Arial"/>
          <w:szCs w:val="24"/>
        </w:rPr>
        <w:tab/>
        <w:t>Accordingly, the substantive issue in question remains: What is meant by the antenuptial contract, and are the separate assets’ values to be excluded?</w:t>
      </w:r>
    </w:p>
    <w:p w:rsidR="003134DA" w:rsidRPr="003134DA" w:rsidRDefault="003134DA" w:rsidP="00F25FEA">
      <w:pPr>
        <w:spacing w:after="0" w:line="360" w:lineRule="auto"/>
        <w:jc w:val="both"/>
        <w:rPr>
          <w:rFonts w:ascii="Arial" w:hAnsi="Arial" w:cs="Arial"/>
          <w:szCs w:val="24"/>
        </w:rPr>
      </w:pPr>
      <w:r w:rsidRPr="003134DA">
        <w:rPr>
          <w:rFonts w:ascii="Arial" w:hAnsi="Arial" w:cs="Arial"/>
          <w:szCs w:val="24"/>
        </w:rPr>
        <w:t>[18]</w:t>
      </w:r>
      <w:r w:rsidRPr="003134DA">
        <w:rPr>
          <w:rFonts w:ascii="Arial" w:hAnsi="Arial" w:cs="Arial"/>
          <w:szCs w:val="24"/>
        </w:rPr>
        <w:tab/>
        <w:t>My contentions, equally, remain substantively the same. There has been no deviation from this.</w:t>
      </w:r>
    </w:p>
    <w:p w:rsidR="003134DA" w:rsidRPr="003134DA" w:rsidRDefault="003134DA" w:rsidP="00F25FEA">
      <w:pPr>
        <w:spacing w:after="0" w:line="360" w:lineRule="auto"/>
        <w:jc w:val="both"/>
        <w:rPr>
          <w:rFonts w:ascii="Arial" w:hAnsi="Arial" w:cs="Arial"/>
          <w:szCs w:val="24"/>
        </w:rPr>
      </w:pPr>
      <w:r w:rsidRPr="003134DA">
        <w:rPr>
          <w:rFonts w:ascii="Arial" w:hAnsi="Arial" w:cs="Arial"/>
          <w:szCs w:val="24"/>
        </w:rPr>
        <w:t>[19]</w:t>
      </w:r>
      <w:r w:rsidRPr="003134DA">
        <w:rPr>
          <w:rFonts w:ascii="Arial" w:hAnsi="Arial" w:cs="Arial"/>
          <w:szCs w:val="24"/>
        </w:rPr>
        <w:tab/>
        <w:t>The amendment results in the dispute being substantively the same as it has always been, and on this basis alone it is evident that there is no procedural or other prejudice to the respondent.</w:t>
      </w:r>
      <w:r w:rsidR="00C644FA">
        <w:rPr>
          <w:rFonts w:ascii="Arial" w:hAnsi="Arial" w:cs="Arial"/>
          <w:szCs w:val="24"/>
        </w:rPr>
        <w:t>’</w:t>
      </w:r>
    </w:p>
    <w:p w:rsidR="00537EC8" w:rsidRPr="002716F4" w:rsidRDefault="00537EC8" w:rsidP="001A6702">
      <w:pPr>
        <w:spacing w:after="0" w:line="240" w:lineRule="auto"/>
        <w:jc w:val="both"/>
        <w:rPr>
          <w:rFonts w:ascii="Arial" w:hAnsi="Arial" w:cs="Arial"/>
          <w:sz w:val="24"/>
          <w:szCs w:val="24"/>
        </w:rPr>
      </w:pPr>
    </w:p>
    <w:p w:rsidR="0027632F" w:rsidRPr="0027632F" w:rsidRDefault="00552B8F" w:rsidP="00934208">
      <w:pPr>
        <w:spacing w:after="0" w:line="360" w:lineRule="auto"/>
        <w:jc w:val="both"/>
        <w:rPr>
          <w:rFonts w:ascii="Arial" w:hAnsi="Arial" w:cs="Arial"/>
          <w:szCs w:val="24"/>
        </w:rPr>
      </w:pPr>
      <w:r w:rsidRPr="002716F4">
        <w:rPr>
          <w:rFonts w:ascii="Arial" w:hAnsi="Arial" w:cs="Arial"/>
          <w:sz w:val="24"/>
          <w:szCs w:val="24"/>
        </w:rPr>
        <w:lastRenderedPageBreak/>
        <w:t>[1</w:t>
      </w:r>
      <w:r w:rsidR="00EA16CD">
        <w:rPr>
          <w:rFonts w:ascii="Arial" w:hAnsi="Arial" w:cs="Arial"/>
          <w:sz w:val="24"/>
          <w:szCs w:val="24"/>
        </w:rPr>
        <w:t>0</w:t>
      </w:r>
      <w:r w:rsidRPr="002716F4">
        <w:rPr>
          <w:rFonts w:ascii="Arial" w:hAnsi="Arial" w:cs="Arial"/>
          <w:sz w:val="24"/>
          <w:szCs w:val="24"/>
        </w:rPr>
        <w:t>]</w:t>
      </w:r>
      <w:r w:rsidRPr="002716F4">
        <w:rPr>
          <w:rFonts w:ascii="Arial" w:hAnsi="Arial" w:cs="Arial"/>
          <w:sz w:val="24"/>
          <w:szCs w:val="24"/>
        </w:rPr>
        <w:tab/>
      </w:r>
      <w:r w:rsidR="00E5591F">
        <w:rPr>
          <w:rFonts w:ascii="Arial" w:hAnsi="Arial" w:cs="Arial"/>
          <w:sz w:val="24"/>
          <w:szCs w:val="24"/>
        </w:rPr>
        <w:t xml:space="preserve">His contention is that the relief sought in the amendment </w:t>
      </w:r>
      <w:r w:rsidR="005F590E">
        <w:rPr>
          <w:rFonts w:ascii="Arial" w:hAnsi="Arial" w:cs="Arial"/>
          <w:sz w:val="24"/>
          <w:szCs w:val="24"/>
        </w:rPr>
        <w:t xml:space="preserve">is the same as the one he </w:t>
      </w:r>
      <w:r w:rsidR="00E5591F">
        <w:rPr>
          <w:rFonts w:ascii="Arial" w:hAnsi="Arial" w:cs="Arial"/>
          <w:sz w:val="24"/>
          <w:szCs w:val="24"/>
        </w:rPr>
        <w:t xml:space="preserve">sought </w:t>
      </w:r>
      <w:r w:rsidR="005F590E">
        <w:rPr>
          <w:rFonts w:ascii="Arial" w:hAnsi="Arial" w:cs="Arial"/>
          <w:sz w:val="24"/>
          <w:szCs w:val="24"/>
        </w:rPr>
        <w:t xml:space="preserve">prior to the </w:t>
      </w:r>
      <w:r w:rsidR="00E5591F">
        <w:rPr>
          <w:rFonts w:ascii="Arial" w:hAnsi="Arial" w:cs="Arial"/>
          <w:sz w:val="24"/>
          <w:szCs w:val="24"/>
        </w:rPr>
        <w:t>withdraw</w:t>
      </w:r>
      <w:r w:rsidR="005F590E">
        <w:rPr>
          <w:rFonts w:ascii="Arial" w:hAnsi="Arial" w:cs="Arial"/>
          <w:sz w:val="24"/>
          <w:szCs w:val="24"/>
        </w:rPr>
        <w:t xml:space="preserve">al of the </w:t>
      </w:r>
      <w:r w:rsidR="00E5591F">
        <w:rPr>
          <w:rFonts w:ascii="Arial" w:hAnsi="Arial" w:cs="Arial"/>
          <w:sz w:val="24"/>
          <w:szCs w:val="24"/>
        </w:rPr>
        <w:t>rectification</w:t>
      </w:r>
      <w:r w:rsidR="000D6F0D">
        <w:rPr>
          <w:rFonts w:ascii="Arial" w:hAnsi="Arial" w:cs="Arial"/>
          <w:sz w:val="24"/>
          <w:szCs w:val="24"/>
        </w:rPr>
        <w:t xml:space="preserve"> with the </w:t>
      </w:r>
      <w:r w:rsidR="00E5591F">
        <w:rPr>
          <w:rFonts w:ascii="Arial" w:hAnsi="Arial" w:cs="Arial"/>
          <w:sz w:val="24"/>
          <w:szCs w:val="24"/>
        </w:rPr>
        <w:t xml:space="preserve">substantive issue </w:t>
      </w:r>
      <w:r w:rsidR="007F71A2">
        <w:rPr>
          <w:rFonts w:ascii="Arial" w:hAnsi="Arial" w:cs="Arial"/>
          <w:sz w:val="24"/>
          <w:szCs w:val="24"/>
        </w:rPr>
        <w:t>being</w:t>
      </w:r>
      <w:r w:rsidR="000E3C9A">
        <w:rPr>
          <w:rFonts w:ascii="Arial" w:hAnsi="Arial" w:cs="Arial"/>
          <w:sz w:val="24"/>
          <w:szCs w:val="24"/>
        </w:rPr>
        <w:t xml:space="preserve"> ‘what is meant by the ante</w:t>
      </w:r>
      <w:r w:rsidR="00E5591F">
        <w:rPr>
          <w:rFonts w:ascii="Arial" w:hAnsi="Arial" w:cs="Arial"/>
          <w:sz w:val="24"/>
          <w:szCs w:val="24"/>
        </w:rPr>
        <w:t xml:space="preserve">nuptial contract, and </w:t>
      </w:r>
      <w:r w:rsidR="007F71A2">
        <w:rPr>
          <w:rFonts w:ascii="Arial" w:hAnsi="Arial" w:cs="Arial"/>
          <w:sz w:val="24"/>
          <w:szCs w:val="24"/>
        </w:rPr>
        <w:t xml:space="preserve">whatever </w:t>
      </w:r>
      <w:r w:rsidR="00E5591F">
        <w:rPr>
          <w:rFonts w:ascii="Arial" w:hAnsi="Arial" w:cs="Arial"/>
          <w:sz w:val="24"/>
          <w:szCs w:val="24"/>
        </w:rPr>
        <w:t xml:space="preserve">the separate assets values </w:t>
      </w:r>
      <w:r w:rsidR="007F71A2">
        <w:rPr>
          <w:rFonts w:ascii="Arial" w:hAnsi="Arial" w:cs="Arial"/>
          <w:sz w:val="24"/>
          <w:szCs w:val="24"/>
        </w:rPr>
        <w:t xml:space="preserve">are </w:t>
      </w:r>
      <w:r w:rsidR="00E5591F">
        <w:rPr>
          <w:rFonts w:ascii="Arial" w:hAnsi="Arial" w:cs="Arial"/>
          <w:sz w:val="24"/>
          <w:szCs w:val="24"/>
        </w:rPr>
        <w:t>to be excluded</w:t>
      </w:r>
      <w:r w:rsidR="005F590E">
        <w:rPr>
          <w:rFonts w:ascii="Arial" w:hAnsi="Arial" w:cs="Arial"/>
          <w:sz w:val="24"/>
          <w:szCs w:val="24"/>
        </w:rPr>
        <w:t>’</w:t>
      </w:r>
      <w:r w:rsidR="00E5591F">
        <w:rPr>
          <w:rFonts w:ascii="Arial" w:hAnsi="Arial" w:cs="Arial"/>
          <w:sz w:val="24"/>
          <w:szCs w:val="24"/>
        </w:rPr>
        <w:t>. He avers that the amendment results in the dispute being the same as has always been the case</w:t>
      </w:r>
      <w:r w:rsidR="005F590E">
        <w:rPr>
          <w:rFonts w:ascii="Arial" w:hAnsi="Arial" w:cs="Arial"/>
          <w:sz w:val="24"/>
          <w:szCs w:val="24"/>
        </w:rPr>
        <w:t>.</w:t>
      </w:r>
      <w:r w:rsidR="00E5591F">
        <w:rPr>
          <w:rFonts w:ascii="Arial" w:hAnsi="Arial" w:cs="Arial"/>
          <w:sz w:val="24"/>
          <w:szCs w:val="24"/>
        </w:rPr>
        <w:t xml:space="preserve"> </w:t>
      </w:r>
      <w:r w:rsidR="005F590E">
        <w:rPr>
          <w:rFonts w:ascii="Arial" w:hAnsi="Arial" w:cs="Arial"/>
          <w:sz w:val="24"/>
          <w:szCs w:val="24"/>
        </w:rPr>
        <w:t>A</w:t>
      </w:r>
      <w:r w:rsidR="00E5591F">
        <w:rPr>
          <w:rFonts w:ascii="Arial" w:hAnsi="Arial" w:cs="Arial"/>
          <w:sz w:val="24"/>
          <w:szCs w:val="24"/>
        </w:rPr>
        <w:t xml:space="preserve">ccordingly, that there is no prejudice to the </w:t>
      </w:r>
      <w:r w:rsidR="005F590E">
        <w:rPr>
          <w:rFonts w:ascii="Arial" w:hAnsi="Arial" w:cs="Arial"/>
          <w:sz w:val="24"/>
          <w:szCs w:val="24"/>
        </w:rPr>
        <w:t>defendant</w:t>
      </w:r>
      <w:r w:rsidR="00E5591F">
        <w:rPr>
          <w:rFonts w:ascii="Arial" w:hAnsi="Arial" w:cs="Arial"/>
          <w:sz w:val="24"/>
          <w:szCs w:val="24"/>
        </w:rPr>
        <w:t>.</w:t>
      </w:r>
    </w:p>
    <w:p w:rsidR="0027632F" w:rsidRDefault="0027632F" w:rsidP="001A6702">
      <w:pPr>
        <w:spacing w:after="0" w:line="240" w:lineRule="auto"/>
        <w:jc w:val="both"/>
        <w:rPr>
          <w:rFonts w:ascii="Arial" w:hAnsi="Arial" w:cs="Arial"/>
          <w:sz w:val="24"/>
          <w:szCs w:val="24"/>
        </w:rPr>
      </w:pPr>
    </w:p>
    <w:p w:rsidR="009C2EDD" w:rsidRPr="009E25D4" w:rsidRDefault="0027632F" w:rsidP="00E5591F">
      <w:pPr>
        <w:spacing w:after="0" w:line="360" w:lineRule="auto"/>
        <w:jc w:val="both"/>
        <w:rPr>
          <w:rFonts w:ascii="Arial" w:hAnsi="Arial" w:cs="Arial"/>
          <w:szCs w:val="24"/>
        </w:rPr>
      </w:pPr>
      <w:r>
        <w:rPr>
          <w:rFonts w:ascii="Arial" w:hAnsi="Arial" w:cs="Arial"/>
          <w:sz w:val="24"/>
          <w:szCs w:val="24"/>
        </w:rPr>
        <w:t>[1</w:t>
      </w:r>
      <w:r w:rsidR="00EA16CD">
        <w:rPr>
          <w:rFonts w:ascii="Arial" w:hAnsi="Arial" w:cs="Arial"/>
          <w:sz w:val="24"/>
          <w:szCs w:val="24"/>
        </w:rPr>
        <w:t>1</w:t>
      </w:r>
      <w:r>
        <w:rPr>
          <w:rFonts w:ascii="Arial" w:hAnsi="Arial" w:cs="Arial"/>
          <w:sz w:val="24"/>
          <w:szCs w:val="24"/>
        </w:rPr>
        <w:t>]</w:t>
      </w:r>
      <w:r>
        <w:rPr>
          <w:rFonts w:ascii="Arial" w:hAnsi="Arial" w:cs="Arial"/>
          <w:sz w:val="24"/>
          <w:szCs w:val="24"/>
        </w:rPr>
        <w:tab/>
      </w:r>
      <w:r w:rsidR="007F71A2">
        <w:rPr>
          <w:rFonts w:ascii="Arial" w:hAnsi="Arial" w:cs="Arial"/>
          <w:sz w:val="24"/>
          <w:szCs w:val="24"/>
        </w:rPr>
        <w:t xml:space="preserve">According to the </w:t>
      </w:r>
      <w:r w:rsidR="00E5591F">
        <w:rPr>
          <w:rFonts w:ascii="Arial" w:hAnsi="Arial" w:cs="Arial"/>
          <w:sz w:val="24"/>
          <w:szCs w:val="24"/>
        </w:rPr>
        <w:t>plaintiff</w:t>
      </w:r>
      <w:r w:rsidR="007F71A2">
        <w:rPr>
          <w:rFonts w:ascii="Arial" w:hAnsi="Arial" w:cs="Arial"/>
          <w:sz w:val="24"/>
          <w:szCs w:val="24"/>
        </w:rPr>
        <w:t>, in any event</w:t>
      </w:r>
      <w:r w:rsidR="00E5591F">
        <w:rPr>
          <w:rFonts w:ascii="Arial" w:hAnsi="Arial" w:cs="Arial"/>
          <w:sz w:val="24"/>
          <w:szCs w:val="24"/>
        </w:rPr>
        <w:t xml:space="preserve"> the intention to amend was mentioned under oath in an affidavit filed in a separate application during or about mid-2022. </w:t>
      </w:r>
      <w:r w:rsidR="007F71A2">
        <w:rPr>
          <w:rFonts w:ascii="Arial" w:hAnsi="Arial" w:cs="Arial"/>
          <w:sz w:val="24"/>
          <w:szCs w:val="24"/>
        </w:rPr>
        <w:t>Therefore,</w:t>
      </w:r>
      <w:r w:rsidR="00E5591F">
        <w:rPr>
          <w:rFonts w:ascii="Arial" w:hAnsi="Arial" w:cs="Arial"/>
          <w:sz w:val="24"/>
          <w:szCs w:val="24"/>
        </w:rPr>
        <w:t xml:space="preserve"> that the defendant ha</w:t>
      </w:r>
      <w:r w:rsidR="007F71A2">
        <w:rPr>
          <w:rFonts w:ascii="Arial" w:hAnsi="Arial" w:cs="Arial"/>
          <w:sz w:val="24"/>
          <w:szCs w:val="24"/>
        </w:rPr>
        <w:t>d</w:t>
      </w:r>
      <w:r w:rsidR="00E5591F">
        <w:rPr>
          <w:rFonts w:ascii="Arial" w:hAnsi="Arial" w:cs="Arial"/>
          <w:sz w:val="24"/>
          <w:szCs w:val="24"/>
        </w:rPr>
        <w:t xml:space="preserve"> always been aware of </w:t>
      </w:r>
      <w:r w:rsidR="007F71A2">
        <w:rPr>
          <w:rFonts w:ascii="Arial" w:hAnsi="Arial" w:cs="Arial"/>
          <w:sz w:val="24"/>
          <w:szCs w:val="24"/>
        </w:rPr>
        <w:t>t</w:t>
      </w:r>
      <w:r w:rsidR="00E5591F">
        <w:rPr>
          <w:rFonts w:ascii="Arial" w:hAnsi="Arial" w:cs="Arial"/>
          <w:sz w:val="24"/>
          <w:szCs w:val="24"/>
        </w:rPr>
        <w:t>his</w:t>
      </w:r>
      <w:r w:rsidR="007F71A2">
        <w:rPr>
          <w:rFonts w:ascii="Arial" w:hAnsi="Arial" w:cs="Arial"/>
          <w:sz w:val="24"/>
          <w:szCs w:val="24"/>
        </w:rPr>
        <w:t>.</w:t>
      </w:r>
      <w:r w:rsidR="00E5591F">
        <w:rPr>
          <w:rFonts w:ascii="Arial" w:hAnsi="Arial" w:cs="Arial"/>
          <w:sz w:val="24"/>
          <w:szCs w:val="24"/>
        </w:rPr>
        <w:t xml:space="preserve"> </w:t>
      </w:r>
    </w:p>
    <w:p w:rsidR="0012590A" w:rsidRDefault="0012590A" w:rsidP="001A6702">
      <w:pPr>
        <w:spacing w:after="0" w:line="240" w:lineRule="auto"/>
        <w:jc w:val="both"/>
        <w:rPr>
          <w:rFonts w:ascii="Arial" w:hAnsi="Arial" w:cs="Arial"/>
          <w:sz w:val="24"/>
          <w:szCs w:val="24"/>
        </w:rPr>
      </w:pPr>
    </w:p>
    <w:p w:rsidR="001D7DA3" w:rsidRPr="009E25D4" w:rsidRDefault="0012590A" w:rsidP="00E5591F">
      <w:pPr>
        <w:spacing w:after="0" w:line="360" w:lineRule="auto"/>
        <w:jc w:val="both"/>
        <w:rPr>
          <w:rFonts w:ascii="Arial" w:hAnsi="Arial" w:cs="Arial"/>
        </w:rPr>
      </w:pPr>
      <w:r>
        <w:rPr>
          <w:rFonts w:ascii="Arial" w:hAnsi="Arial" w:cs="Arial"/>
          <w:sz w:val="24"/>
          <w:szCs w:val="24"/>
        </w:rPr>
        <w:t>[1</w:t>
      </w:r>
      <w:r w:rsidR="00EA16CD">
        <w:rPr>
          <w:rFonts w:ascii="Arial" w:hAnsi="Arial" w:cs="Arial"/>
          <w:sz w:val="24"/>
          <w:szCs w:val="24"/>
        </w:rPr>
        <w:t>2</w:t>
      </w:r>
      <w:r>
        <w:rPr>
          <w:rFonts w:ascii="Arial" w:hAnsi="Arial" w:cs="Arial"/>
          <w:sz w:val="24"/>
          <w:szCs w:val="24"/>
        </w:rPr>
        <w:t>]</w:t>
      </w:r>
      <w:r>
        <w:rPr>
          <w:rFonts w:ascii="Arial" w:hAnsi="Arial" w:cs="Arial"/>
          <w:sz w:val="24"/>
          <w:szCs w:val="24"/>
        </w:rPr>
        <w:tab/>
      </w:r>
      <w:r w:rsidR="00934208">
        <w:rPr>
          <w:rFonts w:ascii="Arial" w:hAnsi="Arial" w:cs="Arial"/>
          <w:sz w:val="24"/>
          <w:szCs w:val="24"/>
        </w:rPr>
        <w:t xml:space="preserve">In </w:t>
      </w:r>
      <w:r w:rsidR="007F71A2">
        <w:rPr>
          <w:rFonts w:ascii="Arial" w:hAnsi="Arial" w:cs="Arial"/>
          <w:sz w:val="24"/>
          <w:szCs w:val="24"/>
        </w:rPr>
        <w:t>her</w:t>
      </w:r>
      <w:r w:rsidR="00E5591F">
        <w:rPr>
          <w:rFonts w:ascii="Arial" w:hAnsi="Arial" w:cs="Arial"/>
          <w:sz w:val="24"/>
          <w:szCs w:val="24"/>
        </w:rPr>
        <w:t xml:space="preserve"> notice of objection, the defendant raised </w:t>
      </w:r>
      <w:r w:rsidR="00775D3F">
        <w:rPr>
          <w:rFonts w:ascii="Arial" w:hAnsi="Arial" w:cs="Arial"/>
          <w:sz w:val="24"/>
          <w:szCs w:val="24"/>
        </w:rPr>
        <w:t>numerous</w:t>
      </w:r>
      <w:r w:rsidR="00E5591F">
        <w:rPr>
          <w:rFonts w:ascii="Arial" w:hAnsi="Arial" w:cs="Arial"/>
          <w:sz w:val="24"/>
          <w:szCs w:val="24"/>
        </w:rPr>
        <w:t xml:space="preserve"> issues. Th</w:t>
      </w:r>
      <w:r w:rsidR="004C6403">
        <w:rPr>
          <w:rFonts w:ascii="Arial" w:hAnsi="Arial" w:cs="Arial"/>
          <w:sz w:val="24"/>
          <w:szCs w:val="24"/>
        </w:rPr>
        <w:t xml:space="preserve">e </w:t>
      </w:r>
      <w:r w:rsidR="00E5591F">
        <w:rPr>
          <w:rFonts w:ascii="Arial" w:hAnsi="Arial" w:cs="Arial"/>
          <w:sz w:val="24"/>
          <w:szCs w:val="24"/>
        </w:rPr>
        <w:t xml:space="preserve">first related to her contention that the intended amendment constituted a withdrawal of an admission. This was based on what the plaintiff initially </w:t>
      </w:r>
      <w:r w:rsidR="004C6403">
        <w:rPr>
          <w:rFonts w:ascii="Arial" w:hAnsi="Arial" w:cs="Arial"/>
          <w:sz w:val="24"/>
          <w:szCs w:val="24"/>
        </w:rPr>
        <w:t>averred</w:t>
      </w:r>
      <w:r w:rsidR="00E5591F">
        <w:rPr>
          <w:rFonts w:ascii="Arial" w:hAnsi="Arial" w:cs="Arial"/>
          <w:sz w:val="24"/>
          <w:szCs w:val="24"/>
        </w:rPr>
        <w:t xml:space="preserve"> in his particulars of claim being that the marriage</w:t>
      </w:r>
      <w:r w:rsidR="00A26E78">
        <w:rPr>
          <w:rFonts w:ascii="Arial" w:hAnsi="Arial" w:cs="Arial"/>
          <w:sz w:val="24"/>
          <w:szCs w:val="24"/>
        </w:rPr>
        <w:t xml:space="preserve"> between the parties is out of community of property </w:t>
      </w:r>
      <w:r w:rsidR="007F71A2">
        <w:rPr>
          <w:rFonts w:ascii="Arial" w:hAnsi="Arial" w:cs="Arial"/>
          <w:sz w:val="24"/>
          <w:szCs w:val="24"/>
        </w:rPr>
        <w:t>w</w:t>
      </w:r>
      <w:r w:rsidR="00A26E78">
        <w:rPr>
          <w:rFonts w:ascii="Arial" w:hAnsi="Arial" w:cs="Arial"/>
          <w:sz w:val="24"/>
          <w:szCs w:val="24"/>
        </w:rPr>
        <w:t>ithout accrual</w:t>
      </w:r>
      <w:r w:rsidR="007F71A2">
        <w:rPr>
          <w:rFonts w:ascii="Arial" w:hAnsi="Arial" w:cs="Arial"/>
          <w:sz w:val="24"/>
          <w:szCs w:val="24"/>
        </w:rPr>
        <w:t>.</w:t>
      </w:r>
      <w:r w:rsidR="00A26E78">
        <w:rPr>
          <w:rFonts w:ascii="Arial" w:hAnsi="Arial" w:cs="Arial"/>
          <w:sz w:val="24"/>
          <w:szCs w:val="24"/>
        </w:rPr>
        <w:t xml:space="preserve"> </w:t>
      </w:r>
      <w:r w:rsidR="007F71A2">
        <w:rPr>
          <w:rFonts w:ascii="Arial" w:hAnsi="Arial" w:cs="Arial"/>
          <w:sz w:val="24"/>
          <w:szCs w:val="24"/>
        </w:rPr>
        <w:t>T</w:t>
      </w:r>
      <w:r w:rsidR="00A26E78">
        <w:rPr>
          <w:rFonts w:ascii="Arial" w:hAnsi="Arial" w:cs="Arial"/>
          <w:sz w:val="24"/>
          <w:szCs w:val="24"/>
        </w:rPr>
        <w:t>his was pleaded despite the ‘express’ wording of the ANC. In seeking the amendment, the plaintiff is said to have abandon</w:t>
      </w:r>
      <w:r w:rsidR="00C644FA">
        <w:rPr>
          <w:rFonts w:ascii="Arial" w:hAnsi="Arial" w:cs="Arial"/>
          <w:sz w:val="24"/>
          <w:szCs w:val="24"/>
        </w:rPr>
        <w:t>ed</w:t>
      </w:r>
      <w:r w:rsidR="00A26E78">
        <w:rPr>
          <w:rFonts w:ascii="Arial" w:hAnsi="Arial" w:cs="Arial"/>
          <w:sz w:val="24"/>
          <w:szCs w:val="24"/>
        </w:rPr>
        <w:t xml:space="preserve"> this to plead what the defendant says is the correct position that the marital regime is one out of community of property with the inclusion of the accrual system. The effect of the current proposed amendment </w:t>
      </w:r>
      <w:r w:rsidR="000D6F0D">
        <w:rPr>
          <w:rFonts w:ascii="Arial" w:hAnsi="Arial" w:cs="Arial"/>
          <w:sz w:val="24"/>
          <w:szCs w:val="24"/>
        </w:rPr>
        <w:t xml:space="preserve">is to </w:t>
      </w:r>
      <w:r w:rsidR="00A26E78">
        <w:rPr>
          <w:rFonts w:ascii="Arial" w:hAnsi="Arial" w:cs="Arial"/>
          <w:sz w:val="24"/>
          <w:szCs w:val="24"/>
        </w:rPr>
        <w:t xml:space="preserve">seek to return to the initial position of excluding accrual. </w:t>
      </w:r>
    </w:p>
    <w:p w:rsidR="00552B8F" w:rsidRPr="002716F4" w:rsidRDefault="00552B8F" w:rsidP="001A6702">
      <w:pPr>
        <w:spacing w:after="0" w:line="240" w:lineRule="auto"/>
        <w:jc w:val="both"/>
        <w:rPr>
          <w:rFonts w:ascii="Arial" w:hAnsi="Arial" w:cs="Arial"/>
          <w:sz w:val="24"/>
          <w:szCs w:val="24"/>
        </w:rPr>
      </w:pPr>
    </w:p>
    <w:p w:rsidR="00F25FEA" w:rsidRDefault="00552B8F" w:rsidP="001A6702">
      <w:pPr>
        <w:spacing w:after="0" w:line="360" w:lineRule="auto"/>
        <w:jc w:val="both"/>
        <w:rPr>
          <w:rFonts w:ascii="Arial" w:hAnsi="Arial" w:cs="Arial"/>
          <w:sz w:val="24"/>
          <w:szCs w:val="24"/>
        </w:rPr>
      </w:pPr>
      <w:r w:rsidRPr="002716F4">
        <w:rPr>
          <w:rFonts w:ascii="Arial" w:hAnsi="Arial" w:cs="Arial"/>
          <w:sz w:val="24"/>
          <w:szCs w:val="24"/>
        </w:rPr>
        <w:t>[1</w:t>
      </w:r>
      <w:r w:rsidR="00EA16CD">
        <w:rPr>
          <w:rFonts w:ascii="Arial" w:hAnsi="Arial" w:cs="Arial"/>
          <w:sz w:val="24"/>
          <w:szCs w:val="24"/>
        </w:rPr>
        <w:t>3</w:t>
      </w:r>
      <w:r w:rsidRPr="002716F4">
        <w:rPr>
          <w:rFonts w:ascii="Arial" w:hAnsi="Arial" w:cs="Arial"/>
          <w:sz w:val="24"/>
          <w:szCs w:val="24"/>
        </w:rPr>
        <w:t>]</w:t>
      </w:r>
      <w:r w:rsidRPr="002716F4">
        <w:rPr>
          <w:rFonts w:ascii="Arial" w:hAnsi="Arial" w:cs="Arial"/>
          <w:sz w:val="24"/>
          <w:szCs w:val="24"/>
        </w:rPr>
        <w:tab/>
      </w:r>
      <w:r w:rsidR="00552FC9">
        <w:rPr>
          <w:rFonts w:ascii="Arial" w:hAnsi="Arial" w:cs="Arial"/>
          <w:sz w:val="24"/>
          <w:szCs w:val="24"/>
        </w:rPr>
        <w:t xml:space="preserve">It </w:t>
      </w:r>
      <w:r w:rsidR="007F71A2">
        <w:rPr>
          <w:rFonts w:ascii="Arial" w:hAnsi="Arial" w:cs="Arial"/>
          <w:sz w:val="24"/>
          <w:szCs w:val="24"/>
        </w:rPr>
        <w:t>wa</w:t>
      </w:r>
      <w:r w:rsidR="00552FC9">
        <w:rPr>
          <w:rFonts w:ascii="Arial" w:hAnsi="Arial" w:cs="Arial"/>
          <w:sz w:val="24"/>
          <w:szCs w:val="24"/>
        </w:rPr>
        <w:t xml:space="preserve">s contended that the intention of </w:t>
      </w:r>
      <w:r w:rsidR="00CF165E">
        <w:rPr>
          <w:rFonts w:ascii="Arial" w:hAnsi="Arial" w:cs="Arial"/>
          <w:sz w:val="24"/>
          <w:szCs w:val="24"/>
        </w:rPr>
        <w:t xml:space="preserve">the plaintiff was to </w:t>
      </w:r>
      <w:r w:rsidR="00552FC9">
        <w:rPr>
          <w:rFonts w:ascii="Arial" w:hAnsi="Arial" w:cs="Arial"/>
          <w:sz w:val="24"/>
          <w:szCs w:val="24"/>
        </w:rPr>
        <w:t>exclude major assets of the plaintiff</w:t>
      </w:r>
      <w:r w:rsidR="00CF165E">
        <w:rPr>
          <w:rFonts w:ascii="Arial" w:hAnsi="Arial" w:cs="Arial"/>
          <w:sz w:val="24"/>
          <w:szCs w:val="24"/>
        </w:rPr>
        <w:t xml:space="preserve">, more specifically </w:t>
      </w:r>
      <w:proofErr w:type="gramStart"/>
      <w:r w:rsidR="00F2222B">
        <w:rPr>
          <w:rFonts w:ascii="Arial" w:hAnsi="Arial" w:cs="Arial"/>
          <w:sz w:val="24"/>
          <w:szCs w:val="24"/>
        </w:rPr>
        <w:t>K</w:t>
      </w:r>
      <w:r w:rsidR="00D96488">
        <w:rPr>
          <w:rFonts w:ascii="Arial" w:hAnsi="Arial" w:cs="Arial"/>
          <w:sz w:val="24"/>
          <w:szCs w:val="24"/>
        </w:rPr>
        <w:t>[</w:t>
      </w:r>
      <w:proofErr w:type="gramEnd"/>
      <w:r w:rsidR="00D96488">
        <w:rPr>
          <w:rFonts w:ascii="Arial" w:hAnsi="Arial" w:cs="Arial"/>
          <w:sz w:val="24"/>
          <w:szCs w:val="24"/>
        </w:rPr>
        <w:t>…]</w:t>
      </w:r>
      <w:r w:rsidR="00F2222B">
        <w:rPr>
          <w:rFonts w:ascii="Arial" w:hAnsi="Arial" w:cs="Arial"/>
          <w:sz w:val="24"/>
          <w:szCs w:val="24"/>
        </w:rPr>
        <w:t xml:space="preserve"> (Pty) Ltd </w:t>
      </w:r>
      <w:r w:rsidR="00D96488">
        <w:rPr>
          <w:rFonts w:ascii="Arial" w:hAnsi="Arial" w:cs="Arial"/>
          <w:sz w:val="24"/>
          <w:szCs w:val="24"/>
        </w:rPr>
        <w:t>(‘K[…]</w:t>
      </w:r>
      <w:r w:rsidR="00DB5BC5">
        <w:rPr>
          <w:rFonts w:ascii="Arial" w:hAnsi="Arial" w:cs="Arial"/>
          <w:sz w:val="24"/>
          <w:szCs w:val="24"/>
        </w:rPr>
        <w:t xml:space="preserve">’) </w:t>
      </w:r>
      <w:r w:rsidR="00552FC9">
        <w:rPr>
          <w:rFonts w:ascii="Arial" w:hAnsi="Arial" w:cs="Arial"/>
          <w:sz w:val="24"/>
          <w:szCs w:val="24"/>
        </w:rPr>
        <w:t xml:space="preserve">from the calculation. </w:t>
      </w:r>
      <w:r w:rsidR="002D36A9">
        <w:rPr>
          <w:rFonts w:ascii="Arial" w:hAnsi="Arial" w:cs="Arial"/>
          <w:sz w:val="24"/>
          <w:szCs w:val="24"/>
        </w:rPr>
        <w:t>According to the plaintiff, this objection has no merit. The plaintiff terms the suggestion that he seeks to effectively exclude the application of the accrual system so as to exclude what he categoris</w:t>
      </w:r>
      <w:r w:rsidR="004E23AE">
        <w:rPr>
          <w:rFonts w:ascii="Arial" w:hAnsi="Arial" w:cs="Arial"/>
          <w:sz w:val="24"/>
          <w:szCs w:val="24"/>
        </w:rPr>
        <w:t>es</w:t>
      </w:r>
      <w:r w:rsidR="002D36A9">
        <w:rPr>
          <w:rFonts w:ascii="Arial" w:hAnsi="Arial" w:cs="Arial"/>
          <w:sz w:val="24"/>
          <w:szCs w:val="24"/>
        </w:rPr>
        <w:t xml:space="preserve"> as separated assets</w:t>
      </w:r>
      <w:r w:rsidR="00775D3F">
        <w:rPr>
          <w:rFonts w:ascii="Arial" w:hAnsi="Arial" w:cs="Arial"/>
          <w:sz w:val="24"/>
          <w:szCs w:val="24"/>
        </w:rPr>
        <w:t>, through the amendment</w:t>
      </w:r>
      <w:r w:rsidR="00F2222B">
        <w:rPr>
          <w:rFonts w:ascii="Arial" w:hAnsi="Arial" w:cs="Arial"/>
          <w:sz w:val="24"/>
          <w:szCs w:val="24"/>
        </w:rPr>
        <w:t xml:space="preserve"> as </w:t>
      </w:r>
      <w:r w:rsidR="006C71D5">
        <w:rPr>
          <w:rFonts w:ascii="Arial" w:hAnsi="Arial" w:cs="Arial"/>
          <w:sz w:val="24"/>
          <w:szCs w:val="24"/>
        </w:rPr>
        <w:t>‘</w:t>
      </w:r>
      <w:r w:rsidR="00F2222B">
        <w:rPr>
          <w:rFonts w:ascii="Arial" w:hAnsi="Arial" w:cs="Arial"/>
          <w:sz w:val="24"/>
          <w:szCs w:val="24"/>
        </w:rPr>
        <w:t>patently incorrect</w:t>
      </w:r>
      <w:r w:rsidR="006C71D5">
        <w:rPr>
          <w:rFonts w:ascii="Arial" w:hAnsi="Arial" w:cs="Arial"/>
          <w:sz w:val="24"/>
          <w:szCs w:val="24"/>
        </w:rPr>
        <w:t>’</w:t>
      </w:r>
      <w:r w:rsidR="002D36A9">
        <w:rPr>
          <w:rFonts w:ascii="Arial" w:hAnsi="Arial" w:cs="Arial"/>
          <w:sz w:val="24"/>
          <w:szCs w:val="24"/>
        </w:rPr>
        <w:t>.</w:t>
      </w:r>
    </w:p>
    <w:p w:rsidR="001A6702" w:rsidRDefault="001A6702" w:rsidP="001A6702">
      <w:pPr>
        <w:spacing w:after="0" w:line="240" w:lineRule="auto"/>
        <w:jc w:val="both"/>
        <w:rPr>
          <w:rFonts w:ascii="Arial" w:hAnsi="Arial" w:cs="Arial"/>
          <w:sz w:val="24"/>
          <w:szCs w:val="24"/>
        </w:rPr>
      </w:pPr>
    </w:p>
    <w:p w:rsidR="00C47358" w:rsidRDefault="0027632F" w:rsidP="00C47358">
      <w:pPr>
        <w:spacing w:after="0" w:line="360" w:lineRule="auto"/>
        <w:jc w:val="both"/>
        <w:rPr>
          <w:rFonts w:ascii="Arial" w:hAnsi="Arial" w:cs="Arial"/>
          <w:sz w:val="24"/>
          <w:szCs w:val="24"/>
        </w:rPr>
      </w:pPr>
      <w:r>
        <w:rPr>
          <w:rFonts w:ascii="Arial" w:hAnsi="Arial" w:cs="Arial"/>
          <w:sz w:val="24"/>
          <w:szCs w:val="24"/>
        </w:rPr>
        <w:t>[1</w:t>
      </w:r>
      <w:r w:rsidR="00EA16CD">
        <w:rPr>
          <w:rFonts w:ascii="Arial" w:hAnsi="Arial" w:cs="Arial"/>
          <w:sz w:val="24"/>
          <w:szCs w:val="24"/>
        </w:rPr>
        <w:t>4</w:t>
      </w:r>
      <w:r w:rsidR="00C47358">
        <w:rPr>
          <w:rFonts w:ascii="Arial" w:hAnsi="Arial" w:cs="Arial"/>
          <w:sz w:val="24"/>
          <w:szCs w:val="24"/>
        </w:rPr>
        <w:t>]</w:t>
      </w:r>
      <w:r w:rsidR="00C47358">
        <w:rPr>
          <w:rFonts w:ascii="Arial" w:hAnsi="Arial" w:cs="Arial"/>
          <w:sz w:val="24"/>
          <w:szCs w:val="24"/>
        </w:rPr>
        <w:tab/>
      </w:r>
      <w:r w:rsidR="002D36A9">
        <w:rPr>
          <w:rFonts w:ascii="Arial" w:hAnsi="Arial" w:cs="Arial"/>
          <w:sz w:val="24"/>
          <w:szCs w:val="24"/>
        </w:rPr>
        <w:t xml:space="preserve">The </w:t>
      </w:r>
      <w:r w:rsidR="00F2222B">
        <w:rPr>
          <w:rFonts w:ascii="Arial" w:hAnsi="Arial" w:cs="Arial"/>
          <w:sz w:val="24"/>
          <w:szCs w:val="24"/>
        </w:rPr>
        <w:t>plaintiff argued that</w:t>
      </w:r>
      <w:r w:rsidR="002D36A9">
        <w:rPr>
          <w:rFonts w:ascii="Arial" w:hAnsi="Arial" w:cs="Arial"/>
          <w:sz w:val="24"/>
          <w:szCs w:val="24"/>
        </w:rPr>
        <w:t xml:space="preserve"> the defendant’s objection is incorrect</w:t>
      </w:r>
      <w:r w:rsidR="00F2222B">
        <w:rPr>
          <w:rFonts w:ascii="Arial" w:hAnsi="Arial" w:cs="Arial"/>
          <w:sz w:val="24"/>
          <w:szCs w:val="24"/>
        </w:rPr>
        <w:t xml:space="preserve"> </w:t>
      </w:r>
      <w:r w:rsidR="009A48A2">
        <w:rPr>
          <w:rFonts w:ascii="Arial" w:hAnsi="Arial" w:cs="Arial"/>
          <w:sz w:val="24"/>
          <w:szCs w:val="24"/>
        </w:rPr>
        <w:t>because he has always sought the exclusion of the separate assets</w:t>
      </w:r>
      <w:r w:rsidR="00775D3F">
        <w:rPr>
          <w:rFonts w:ascii="Arial" w:hAnsi="Arial" w:cs="Arial"/>
          <w:sz w:val="24"/>
          <w:szCs w:val="24"/>
        </w:rPr>
        <w:t>’</w:t>
      </w:r>
      <w:r w:rsidR="009A48A2">
        <w:rPr>
          <w:rFonts w:ascii="Arial" w:hAnsi="Arial" w:cs="Arial"/>
          <w:sz w:val="24"/>
          <w:szCs w:val="24"/>
        </w:rPr>
        <w:t xml:space="preserve"> values from the accrual</w:t>
      </w:r>
      <w:r w:rsidR="00F2222B">
        <w:rPr>
          <w:rFonts w:ascii="Arial" w:hAnsi="Arial" w:cs="Arial"/>
          <w:sz w:val="24"/>
          <w:szCs w:val="24"/>
        </w:rPr>
        <w:t>,</w:t>
      </w:r>
      <w:r w:rsidR="009A48A2">
        <w:rPr>
          <w:rFonts w:ascii="Arial" w:hAnsi="Arial" w:cs="Arial"/>
          <w:sz w:val="24"/>
          <w:szCs w:val="24"/>
        </w:rPr>
        <w:t xml:space="preserve"> albeit by way of rectification. According to the plaintiff, it is still his averment that the marital regime is out of community of property with the </w:t>
      </w:r>
      <w:r w:rsidR="00775D3F">
        <w:rPr>
          <w:rFonts w:ascii="Arial" w:hAnsi="Arial" w:cs="Arial"/>
          <w:sz w:val="24"/>
          <w:szCs w:val="24"/>
        </w:rPr>
        <w:t>exclusion</w:t>
      </w:r>
      <w:r w:rsidR="009A48A2">
        <w:rPr>
          <w:rFonts w:ascii="Arial" w:hAnsi="Arial" w:cs="Arial"/>
          <w:sz w:val="24"/>
          <w:szCs w:val="24"/>
        </w:rPr>
        <w:t xml:space="preserve"> of accrual and this, </w:t>
      </w:r>
      <w:r w:rsidR="00F2222B">
        <w:rPr>
          <w:rFonts w:ascii="Arial" w:hAnsi="Arial" w:cs="Arial"/>
          <w:sz w:val="24"/>
          <w:szCs w:val="24"/>
        </w:rPr>
        <w:t>wa</w:t>
      </w:r>
      <w:r w:rsidR="009A48A2">
        <w:rPr>
          <w:rFonts w:ascii="Arial" w:hAnsi="Arial" w:cs="Arial"/>
          <w:sz w:val="24"/>
          <w:szCs w:val="24"/>
        </w:rPr>
        <w:t xml:space="preserve">s evident from the notice of intention to amend. </w:t>
      </w:r>
      <w:r w:rsidR="00D80BB2">
        <w:rPr>
          <w:rFonts w:ascii="Arial" w:hAnsi="Arial" w:cs="Arial"/>
          <w:sz w:val="24"/>
          <w:szCs w:val="24"/>
        </w:rPr>
        <w:t>He contends</w:t>
      </w:r>
      <w:r w:rsidR="009A48A2">
        <w:rPr>
          <w:rFonts w:ascii="Arial" w:hAnsi="Arial" w:cs="Arial"/>
          <w:sz w:val="24"/>
          <w:szCs w:val="24"/>
        </w:rPr>
        <w:t xml:space="preserve"> therefore</w:t>
      </w:r>
      <w:r w:rsidR="00D80BB2">
        <w:rPr>
          <w:rFonts w:ascii="Arial" w:hAnsi="Arial" w:cs="Arial"/>
          <w:sz w:val="24"/>
          <w:szCs w:val="24"/>
        </w:rPr>
        <w:t>, that there was</w:t>
      </w:r>
      <w:r w:rsidR="009A48A2">
        <w:rPr>
          <w:rFonts w:ascii="Arial" w:hAnsi="Arial" w:cs="Arial"/>
          <w:sz w:val="24"/>
          <w:szCs w:val="24"/>
        </w:rPr>
        <w:t xml:space="preserve"> no withdrawal of that admission</w:t>
      </w:r>
      <w:r w:rsidR="00D80BB2">
        <w:rPr>
          <w:rFonts w:ascii="Arial" w:hAnsi="Arial" w:cs="Arial"/>
          <w:sz w:val="24"/>
          <w:szCs w:val="24"/>
        </w:rPr>
        <w:t xml:space="preserve"> and that t</w:t>
      </w:r>
      <w:r w:rsidR="00775D3F">
        <w:rPr>
          <w:rFonts w:ascii="Arial" w:hAnsi="Arial" w:cs="Arial"/>
          <w:sz w:val="24"/>
          <w:szCs w:val="24"/>
        </w:rPr>
        <w:t>h</w:t>
      </w:r>
      <w:r w:rsidR="009A48A2">
        <w:rPr>
          <w:rFonts w:ascii="Arial" w:hAnsi="Arial" w:cs="Arial"/>
          <w:sz w:val="24"/>
          <w:szCs w:val="24"/>
        </w:rPr>
        <w:t>e only difference is in the manner in which th</w:t>
      </w:r>
      <w:r w:rsidR="00D80BB2">
        <w:rPr>
          <w:rFonts w:ascii="Arial" w:hAnsi="Arial" w:cs="Arial"/>
          <w:sz w:val="24"/>
          <w:szCs w:val="24"/>
        </w:rPr>
        <w:t>e</w:t>
      </w:r>
      <w:r w:rsidR="009A48A2">
        <w:rPr>
          <w:rFonts w:ascii="Arial" w:hAnsi="Arial" w:cs="Arial"/>
          <w:sz w:val="24"/>
          <w:szCs w:val="24"/>
        </w:rPr>
        <w:t xml:space="preserve"> exclusion is pursued</w:t>
      </w:r>
      <w:r w:rsidR="00D80BB2">
        <w:rPr>
          <w:rFonts w:ascii="Arial" w:hAnsi="Arial" w:cs="Arial"/>
          <w:sz w:val="24"/>
          <w:szCs w:val="24"/>
        </w:rPr>
        <w:t>,</w:t>
      </w:r>
      <w:r w:rsidR="009A48A2">
        <w:rPr>
          <w:rFonts w:ascii="Arial" w:hAnsi="Arial" w:cs="Arial"/>
          <w:sz w:val="24"/>
          <w:szCs w:val="24"/>
        </w:rPr>
        <w:t xml:space="preserve"> </w:t>
      </w:r>
      <w:r w:rsidR="00D80BB2">
        <w:rPr>
          <w:rFonts w:ascii="Arial" w:hAnsi="Arial" w:cs="Arial"/>
          <w:sz w:val="24"/>
          <w:szCs w:val="24"/>
        </w:rPr>
        <w:t>that is</w:t>
      </w:r>
      <w:r w:rsidR="00775D3F">
        <w:rPr>
          <w:rFonts w:ascii="Arial" w:hAnsi="Arial" w:cs="Arial"/>
          <w:sz w:val="24"/>
          <w:szCs w:val="24"/>
        </w:rPr>
        <w:t xml:space="preserve"> by wa</w:t>
      </w:r>
      <w:r w:rsidR="005B34D5">
        <w:rPr>
          <w:rFonts w:ascii="Arial" w:hAnsi="Arial" w:cs="Arial"/>
          <w:sz w:val="24"/>
          <w:szCs w:val="24"/>
        </w:rPr>
        <w:t>y</w:t>
      </w:r>
      <w:r w:rsidR="00775D3F">
        <w:rPr>
          <w:rFonts w:ascii="Arial" w:hAnsi="Arial" w:cs="Arial"/>
          <w:sz w:val="24"/>
          <w:szCs w:val="24"/>
        </w:rPr>
        <w:t xml:space="preserve"> of</w:t>
      </w:r>
      <w:r w:rsidR="009A48A2">
        <w:rPr>
          <w:rFonts w:ascii="Arial" w:hAnsi="Arial" w:cs="Arial"/>
          <w:sz w:val="24"/>
          <w:szCs w:val="24"/>
        </w:rPr>
        <w:t xml:space="preserve"> interpretation as opposed to rectification.</w:t>
      </w:r>
    </w:p>
    <w:p w:rsidR="00C47358" w:rsidRDefault="00C47358" w:rsidP="001A6702">
      <w:pPr>
        <w:spacing w:after="0" w:line="240" w:lineRule="auto"/>
        <w:jc w:val="both"/>
        <w:rPr>
          <w:rFonts w:ascii="Arial" w:hAnsi="Arial" w:cs="Arial"/>
          <w:sz w:val="24"/>
          <w:szCs w:val="24"/>
        </w:rPr>
      </w:pPr>
    </w:p>
    <w:p w:rsidR="005C1C31" w:rsidRPr="005C1C31" w:rsidRDefault="0027632F" w:rsidP="005C1C31">
      <w:pPr>
        <w:spacing w:after="0" w:line="360" w:lineRule="auto"/>
        <w:jc w:val="both"/>
        <w:rPr>
          <w:rFonts w:ascii="Arial" w:hAnsi="Arial" w:cs="Arial"/>
          <w:sz w:val="24"/>
          <w:szCs w:val="24"/>
        </w:rPr>
      </w:pPr>
      <w:r>
        <w:rPr>
          <w:rFonts w:ascii="Arial" w:hAnsi="Arial" w:cs="Arial"/>
          <w:sz w:val="24"/>
          <w:szCs w:val="24"/>
        </w:rPr>
        <w:t>[1</w:t>
      </w:r>
      <w:r w:rsidR="00EA16CD">
        <w:rPr>
          <w:rFonts w:ascii="Arial" w:hAnsi="Arial" w:cs="Arial"/>
          <w:sz w:val="24"/>
          <w:szCs w:val="24"/>
        </w:rPr>
        <w:t>5</w:t>
      </w:r>
      <w:r w:rsidR="00C47358">
        <w:rPr>
          <w:rFonts w:ascii="Arial" w:hAnsi="Arial" w:cs="Arial"/>
          <w:sz w:val="24"/>
          <w:szCs w:val="24"/>
        </w:rPr>
        <w:t>]</w:t>
      </w:r>
      <w:r w:rsidR="00C47358">
        <w:rPr>
          <w:rFonts w:ascii="Arial" w:hAnsi="Arial" w:cs="Arial"/>
          <w:sz w:val="24"/>
          <w:szCs w:val="24"/>
        </w:rPr>
        <w:tab/>
      </w:r>
      <w:r w:rsidR="005C1C31" w:rsidRPr="005C1C31">
        <w:rPr>
          <w:rFonts w:ascii="Arial" w:hAnsi="Arial" w:cs="Arial"/>
          <w:sz w:val="24"/>
          <w:szCs w:val="24"/>
        </w:rPr>
        <w:t xml:space="preserve">The second ground of objection </w:t>
      </w:r>
      <w:r w:rsidR="0058713F">
        <w:rPr>
          <w:rFonts w:ascii="Arial" w:hAnsi="Arial" w:cs="Arial"/>
          <w:sz w:val="24"/>
          <w:szCs w:val="24"/>
        </w:rPr>
        <w:t xml:space="preserve">raised </w:t>
      </w:r>
      <w:r w:rsidR="005C1C31" w:rsidRPr="005C1C31">
        <w:rPr>
          <w:rFonts w:ascii="Arial" w:hAnsi="Arial" w:cs="Arial"/>
          <w:sz w:val="24"/>
          <w:szCs w:val="24"/>
        </w:rPr>
        <w:t xml:space="preserve">by the defendant relates to </w:t>
      </w:r>
      <w:r w:rsidR="00C644FA">
        <w:rPr>
          <w:rFonts w:ascii="Arial" w:hAnsi="Arial" w:cs="Arial"/>
          <w:sz w:val="24"/>
          <w:szCs w:val="24"/>
        </w:rPr>
        <w:t>the</w:t>
      </w:r>
      <w:r w:rsidR="005C1C31" w:rsidRPr="005C1C31">
        <w:rPr>
          <w:rFonts w:ascii="Arial" w:hAnsi="Arial" w:cs="Arial"/>
          <w:sz w:val="24"/>
          <w:szCs w:val="24"/>
        </w:rPr>
        <w:t xml:space="preserve"> interpretation sought to be given to clause 5 of the ANC. According to her, by seeking to amend his </w:t>
      </w:r>
      <w:r w:rsidR="00C644FA">
        <w:rPr>
          <w:rFonts w:ascii="Arial" w:hAnsi="Arial" w:cs="Arial"/>
          <w:sz w:val="24"/>
          <w:szCs w:val="24"/>
        </w:rPr>
        <w:t>p</w:t>
      </w:r>
      <w:r w:rsidR="005C1C31" w:rsidRPr="005C1C31">
        <w:rPr>
          <w:rFonts w:ascii="Arial" w:hAnsi="Arial" w:cs="Arial"/>
          <w:sz w:val="24"/>
          <w:szCs w:val="24"/>
        </w:rPr>
        <w:t xml:space="preserve">articulars of claim, the plaintiff seeks to inculcate an interpretation to clause 5 which would suggest that the value of </w:t>
      </w:r>
      <w:proofErr w:type="gramStart"/>
      <w:r w:rsidR="005C1C31" w:rsidRPr="005C1C31">
        <w:rPr>
          <w:rFonts w:ascii="Arial" w:hAnsi="Arial" w:cs="Arial"/>
          <w:sz w:val="24"/>
          <w:szCs w:val="24"/>
        </w:rPr>
        <w:t>K</w:t>
      </w:r>
      <w:r w:rsidR="00D96488">
        <w:rPr>
          <w:rFonts w:ascii="Arial" w:hAnsi="Arial" w:cs="Arial"/>
          <w:sz w:val="24"/>
          <w:szCs w:val="24"/>
        </w:rPr>
        <w:t>[</w:t>
      </w:r>
      <w:proofErr w:type="gramEnd"/>
      <w:r w:rsidR="00D96488">
        <w:rPr>
          <w:rFonts w:ascii="Arial" w:hAnsi="Arial" w:cs="Arial"/>
          <w:sz w:val="24"/>
          <w:szCs w:val="24"/>
        </w:rPr>
        <w:t>…]</w:t>
      </w:r>
      <w:r w:rsidR="005C1C31" w:rsidRPr="005C1C31">
        <w:rPr>
          <w:rFonts w:ascii="Arial" w:hAnsi="Arial" w:cs="Arial"/>
          <w:sz w:val="24"/>
          <w:szCs w:val="24"/>
        </w:rPr>
        <w:t xml:space="preserve"> as the value of any other asset acquired by virtue of possession or former possession would be excluded from the calculation of the accrual. Her contention is that this interpretation is contrary to the express wording of clause 5. It was submitted that this interpretation </w:t>
      </w:r>
      <w:r w:rsidR="005C1C31">
        <w:rPr>
          <w:rFonts w:ascii="Arial" w:hAnsi="Arial" w:cs="Arial"/>
          <w:sz w:val="24"/>
          <w:szCs w:val="24"/>
        </w:rPr>
        <w:t>wa</w:t>
      </w:r>
      <w:r w:rsidR="005C1C31" w:rsidRPr="005C1C31">
        <w:rPr>
          <w:rFonts w:ascii="Arial" w:hAnsi="Arial" w:cs="Arial"/>
          <w:sz w:val="24"/>
          <w:szCs w:val="24"/>
        </w:rPr>
        <w:t>s not possible in light of the wording of the ANC and no interpretation can be contrary to the wording of the ANC.</w:t>
      </w:r>
    </w:p>
    <w:p w:rsidR="005C1C31" w:rsidRDefault="005C1C31" w:rsidP="001A6702">
      <w:pPr>
        <w:spacing w:after="0" w:line="240" w:lineRule="auto"/>
        <w:jc w:val="both"/>
        <w:rPr>
          <w:rFonts w:ascii="Arial" w:hAnsi="Arial" w:cs="Arial"/>
          <w:sz w:val="24"/>
          <w:szCs w:val="24"/>
        </w:rPr>
      </w:pPr>
    </w:p>
    <w:p w:rsidR="005C1C31" w:rsidRPr="005C1C31" w:rsidRDefault="00EA16CD" w:rsidP="005C1C31">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5C1C31" w:rsidRPr="005C1C31">
        <w:rPr>
          <w:rFonts w:ascii="Arial" w:hAnsi="Arial" w:cs="Arial"/>
          <w:sz w:val="24"/>
          <w:szCs w:val="24"/>
        </w:rPr>
        <w:t xml:space="preserve">The plaintiff’s contention </w:t>
      </w:r>
      <w:r w:rsidR="005C1C31">
        <w:rPr>
          <w:rFonts w:ascii="Arial" w:hAnsi="Arial" w:cs="Arial"/>
          <w:sz w:val="24"/>
          <w:szCs w:val="24"/>
        </w:rPr>
        <w:t>wa</w:t>
      </w:r>
      <w:r w:rsidR="005C1C31" w:rsidRPr="005C1C31">
        <w:rPr>
          <w:rFonts w:ascii="Arial" w:hAnsi="Arial" w:cs="Arial"/>
          <w:sz w:val="24"/>
          <w:szCs w:val="24"/>
        </w:rPr>
        <w:t xml:space="preserve">s that this ground </w:t>
      </w:r>
      <w:r w:rsidR="005C1C31">
        <w:rPr>
          <w:rFonts w:ascii="Arial" w:hAnsi="Arial" w:cs="Arial"/>
          <w:sz w:val="24"/>
          <w:szCs w:val="24"/>
        </w:rPr>
        <w:t>wa</w:t>
      </w:r>
      <w:r w:rsidR="005C1C31" w:rsidRPr="005C1C31">
        <w:rPr>
          <w:rFonts w:ascii="Arial" w:hAnsi="Arial" w:cs="Arial"/>
          <w:sz w:val="24"/>
          <w:szCs w:val="24"/>
        </w:rPr>
        <w:t>s not a proper ground of objection since it speaks to the merits of the amended case. According to the plaintiff, the defendant in raising this point sought to have the dispute regarding the ANC summarily and impermissibly determined at the interlocutory stage without any evidence. Additionally, that an amendment cannot be denied simply because a party believes that it lacks merit because matters of interpretation are generally not decided on exception but are matters of evidence led at trial.</w:t>
      </w:r>
    </w:p>
    <w:p w:rsidR="00EA16CD" w:rsidRDefault="00EA16CD" w:rsidP="001A6702">
      <w:pPr>
        <w:spacing w:after="0" w:line="240" w:lineRule="auto"/>
        <w:jc w:val="both"/>
        <w:rPr>
          <w:rFonts w:ascii="Arial" w:hAnsi="Arial" w:cs="Arial"/>
          <w:sz w:val="24"/>
          <w:szCs w:val="24"/>
        </w:rPr>
      </w:pPr>
    </w:p>
    <w:p w:rsidR="005C1C31" w:rsidRDefault="00EA16CD" w:rsidP="005C1C31">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The plaintiff contends that </w:t>
      </w:r>
      <w:r w:rsidR="005C1C31" w:rsidRPr="005C1C31">
        <w:rPr>
          <w:rFonts w:ascii="Arial" w:hAnsi="Arial" w:cs="Arial"/>
          <w:sz w:val="24"/>
          <w:szCs w:val="24"/>
        </w:rPr>
        <w:t>th</w:t>
      </w:r>
      <w:r>
        <w:rPr>
          <w:rFonts w:ascii="Arial" w:hAnsi="Arial" w:cs="Arial"/>
          <w:sz w:val="24"/>
          <w:szCs w:val="24"/>
        </w:rPr>
        <w:t>e</w:t>
      </w:r>
      <w:r w:rsidR="005C1C31" w:rsidRPr="005C1C31">
        <w:rPr>
          <w:rFonts w:ascii="Arial" w:hAnsi="Arial" w:cs="Arial"/>
          <w:sz w:val="24"/>
          <w:szCs w:val="24"/>
        </w:rPr>
        <w:t xml:space="preserve"> objection in no way evidence</w:t>
      </w:r>
      <w:r w:rsidR="00F76436">
        <w:rPr>
          <w:rFonts w:ascii="Arial" w:hAnsi="Arial" w:cs="Arial"/>
          <w:sz w:val="24"/>
          <w:szCs w:val="24"/>
        </w:rPr>
        <w:t>s</w:t>
      </w:r>
      <w:r w:rsidR="005C1C31" w:rsidRPr="005C1C31">
        <w:rPr>
          <w:rFonts w:ascii="Arial" w:hAnsi="Arial" w:cs="Arial"/>
          <w:sz w:val="24"/>
          <w:szCs w:val="24"/>
        </w:rPr>
        <w:t xml:space="preserve"> any prejudice occasioned</w:t>
      </w:r>
      <w:r w:rsidR="00242F84">
        <w:rPr>
          <w:rFonts w:ascii="Arial" w:hAnsi="Arial" w:cs="Arial"/>
          <w:sz w:val="24"/>
          <w:szCs w:val="24"/>
        </w:rPr>
        <w:t xml:space="preserve"> </w:t>
      </w:r>
      <w:r w:rsidR="005C1C31" w:rsidRPr="005C1C31">
        <w:rPr>
          <w:rFonts w:ascii="Arial" w:hAnsi="Arial" w:cs="Arial"/>
          <w:sz w:val="24"/>
          <w:szCs w:val="24"/>
        </w:rPr>
        <w:t xml:space="preserve">by the </w:t>
      </w:r>
      <w:r w:rsidR="004E23AE">
        <w:rPr>
          <w:rFonts w:ascii="Arial" w:hAnsi="Arial" w:cs="Arial"/>
          <w:sz w:val="24"/>
          <w:szCs w:val="24"/>
        </w:rPr>
        <w:t>defendant</w:t>
      </w:r>
      <w:r w:rsidR="00CF165E">
        <w:rPr>
          <w:rFonts w:ascii="Arial" w:hAnsi="Arial" w:cs="Arial"/>
          <w:sz w:val="24"/>
          <w:szCs w:val="24"/>
        </w:rPr>
        <w:t xml:space="preserve"> whereas</w:t>
      </w:r>
      <w:r w:rsidR="005C1C31" w:rsidRPr="005C1C31">
        <w:rPr>
          <w:rFonts w:ascii="Arial" w:hAnsi="Arial" w:cs="Arial"/>
          <w:sz w:val="24"/>
          <w:szCs w:val="24"/>
        </w:rPr>
        <w:t xml:space="preserve"> </w:t>
      </w:r>
      <w:r w:rsidR="00CF165E">
        <w:rPr>
          <w:rFonts w:ascii="Arial" w:hAnsi="Arial" w:cs="Arial"/>
          <w:sz w:val="24"/>
          <w:szCs w:val="24"/>
        </w:rPr>
        <w:t>p</w:t>
      </w:r>
      <w:r w:rsidR="005C1C31" w:rsidRPr="005C1C31">
        <w:rPr>
          <w:rFonts w:ascii="Arial" w:hAnsi="Arial" w:cs="Arial"/>
          <w:sz w:val="24"/>
          <w:szCs w:val="24"/>
        </w:rPr>
        <w:t xml:space="preserve">rejudice or injustice </w:t>
      </w:r>
      <w:r w:rsidR="00CF165E">
        <w:rPr>
          <w:rFonts w:ascii="Arial" w:hAnsi="Arial" w:cs="Arial"/>
          <w:sz w:val="24"/>
          <w:szCs w:val="24"/>
        </w:rPr>
        <w:t xml:space="preserve">are </w:t>
      </w:r>
      <w:r w:rsidR="005C1C31" w:rsidRPr="005C1C31">
        <w:rPr>
          <w:rFonts w:ascii="Arial" w:hAnsi="Arial" w:cs="Arial"/>
          <w:sz w:val="24"/>
          <w:szCs w:val="24"/>
        </w:rPr>
        <w:t>material consideration</w:t>
      </w:r>
      <w:r w:rsidR="00CF165E">
        <w:rPr>
          <w:rFonts w:ascii="Arial" w:hAnsi="Arial" w:cs="Arial"/>
          <w:sz w:val="24"/>
          <w:szCs w:val="24"/>
        </w:rPr>
        <w:t>s</w:t>
      </w:r>
      <w:r w:rsidR="005C1C31" w:rsidRPr="005C1C31">
        <w:rPr>
          <w:rFonts w:ascii="Arial" w:hAnsi="Arial" w:cs="Arial"/>
          <w:sz w:val="24"/>
          <w:szCs w:val="24"/>
        </w:rPr>
        <w:t xml:space="preserve"> in applications for leave to amendment. The plaintiff avers that if the defendant’s contention regarding this objection is correct, she can dispute the pleaded amendment at trial. Therefore, the amendment would benefit the defendant.</w:t>
      </w:r>
    </w:p>
    <w:p w:rsidR="008F3308" w:rsidRDefault="008F3308" w:rsidP="001A6702">
      <w:pPr>
        <w:spacing w:after="0" w:line="240" w:lineRule="auto"/>
        <w:jc w:val="both"/>
        <w:rPr>
          <w:rFonts w:ascii="Arial" w:hAnsi="Arial" w:cs="Arial"/>
          <w:sz w:val="24"/>
          <w:szCs w:val="24"/>
        </w:rPr>
      </w:pPr>
    </w:p>
    <w:p w:rsidR="005C1C31" w:rsidRPr="005C1C31" w:rsidRDefault="00EA16CD" w:rsidP="005C1C31">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5C1C31" w:rsidRPr="005C1C31">
        <w:rPr>
          <w:rFonts w:ascii="Arial" w:hAnsi="Arial" w:cs="Arial"/>
          <w:sz w:val="24"/>
          <w:szCs w:val="24"/>
        </w:rPr>
        <w:t>The third ground of objection relate</w:t>
      </w:r>
      <w:r w:rsidR="005C1C31">
        <w:rPr>
          <w:rFonts w:ascii="Arial" w:hAnsi="Arial" w:cs="Arial"/>
          <w:sz w:val="24"/>
          <w:szCs w:val="24"/>
        </w:rPr>
        <w:t>d</w:t>
      </w:r>
      <w:r w:rsidR="005C1C31" w:rsidRPr="005C1C31">
        <w:rPr>
          <w:rFonts w:ascii="Arial" w:hAnsi="Arial" w:cs="Arial"/>
          <w:sz w:val="24"/>
          <w:szCs w:val="24"/>
        </w:rPr>
        <w:t xml:space="preserve"> to the prejudice </w:t>
      </w:r>
      <w:r w:rsidR="005C1C31">
        <w:rPr>
          <w:rFonts w:ascii="Arial" w:hAnsi="Arial" w:cs="Arial"/>
          <w:sz w:val="24"/>
          <w:szCs w:val="24"/>
        </w:rPr>
        <w:t xml:space="preserve">likely to be suffered </w:t>
      </w:r>
      <w:r w:rsidR="005C1C31" w:rsidRPr="005C1C31">
        <w:rPr>
          <w:rFonts w:ascii="Arial" w:hAnsi="Arial" w:cs="Arial"/>
          <w:sz w:val="24"/>
          <w:szCs w:val="24"/>
        </w:rPr>
        <w:t>by the late introduction of the amendment</w:t>
      </w:r>
      <w:r w:rsidR="005C1C31">
        <w:rPr>
          <w:rFonts w:ascii="Arial" w:hAnsi="Arial" w:cs="Arial"/>
          <w:sz w:val="24"/>
          <w:szCs w:val="24"/>
        </w:rPr>
        <w:t>.</w:t>
      </w:r>
      <w:r w:rsidR="005C1C31" w:rsidRPr="005C1C31">
        <w:rPr>
          <w:rFonts w:ascii="Arial" w:hAnsi="Arial" w:cs="Arial"/>
          <w:sz w:val="24"/>
          <w:szCs w:val="24"/>
        </w:rPr>
        <w:t xml:space="preserve"> This, considering the fact that the plaintiff has obtained an order effectively evicting the defendant from the matrimonial home, which order is subject to an appeal. Secondly, the plaintiff </w:t>
      </w:r>
      <w:r w:rsidR="005C1C31">
        <w:rPr>
          <w:rFonts w:ascii="Arial" w:hAnsi="Arial" w:cs="Arial"/>
          <w:sz w:val="24"/>
          <w:szCs w:val="24"/>
        </w:rPr>
        <w:t>wa</w:t>
      </w:r>
      <w:r w:rsidR="005C1C31" w:rsidRPr="005C1C31">
        <w:rPr>
          <w:rFonts w:ascii="Arial" w:hAnsi="Arial" w:cs="Arial"/>
          <w:sz w:val="24"/>
          <w:szCs w:val="24"/>
        </w:rPr>
        <w:t xml:space="preserve">s said to be delaying compensation for </w:t>
      </w:r>
      <w:r w:rsidR="0071302F">
        <w:rPr>
          <w:rFonts w:ascii="Arial" w:hAnsi="Arial" w:cs="Arial"/>
          <w:sz w:val="24"/>
          <w:szCs w:val="24"/>
        </w:rPr>
        <w:t>the defendant’s</w:t>
      </w:r>
      <w:r w:rsidR="005C1C31" w:rsidRPr="005C1C31">
        <w:rPr>
          <w:rFonts w:ascii="Arial" w:hAnsi="Arial" w:cs="Arial"/>
          <w:sz w:val="24"/>
          <w:szCs w:val="24"/>
        </w:rPr>
        <w:t xml:space="preserve"> unlawful termination by delaying proceedings before the CCMA, and the amendment might delay the trial. I agree with the plaintiff’s submissions that these factors are </w:t>
      </w:r>
      <w:r w:rsidR="005C1C31">
        <w:rPr>
          <w:rFonts w:ascii="Arial" w:hAnsi="Arial" w:cs="Arial"/>
          <w:sz w:val="24"/>
          <w:szCs w:val="24"/>
        </w:rPr>
        <w:t>of little</w:t>
      </w:r>
      <w:r w:rsidR="005C1C31" w:rsidRPr="005C1C31">
        <w:rPr>
          <w:rFonts w:ascii="Arial" w:hAnsi="Arial" w:cs="Arial"/>
          <w:sz w:val="24"/>
          <w:szCs w:val="24"/>
        </w:rPr>
        <w:t xml:space="preserve"> consideration in determining the amendment.</w:t>
      </w:r>
    </w:p>
    <w:p w:rsidR="005C1C31" w:rsidRDefault="005C1C31" w:rsidP="001A6702">
      <w:pPr>
        <w:spacing w:after="0" w:line="240" w:lineRule="auto"/>
        <w:jc w:val="both"/>
        <w:rPr>
          <w:rFonts w:ascii="Arial" w:hAnsi="Arial" w:cs="Arial"/>
          <w:sz w:val="24"/>
          <w:szCs w:val="24"/>
        </w:rPr>
      </w:pPr>
    </w:p>
    <w:p w:rsidR="005C1C31" w:rsidRPr="005C1C31" w:rsidRDefault="00EA16CD" w:rsidP="005C1C31">
      <w:pPr>
        <w:spacing w:after="0" w:line="360" w:lineRule="auto"/>
        <w:jc w:val="both"/>
        <w:rPr>
          <w:rFonts w:ascii="Arial" w:hAnsi="Arial" w:cs="Arial"/>
          <w:sz w:val="24"/>
          <w:szCs w:val="24"/>
        </w:rPr>
      </w:pPr>
      <w:r>
        <w:rPr>
          <w:rFonts w:ascii="Arial" w:hAnsi="Arial" w:cs="Arial"/>
          <w:sz w:val="24"/>
          <w:szCs w:val="24"/>
        </w:rPr>
        <w:lastRenderedPageBreak/>
        <w:t>[19]</w:t>
      </w:r>
      <w:r>
        <w:rPr>
          <w:rFonts w:ascii="Arial" w:hAnsi="Arial" w:cs="Arial"/>
          <w:sz w:val="24"/>
          <w:szCs w:val="24"/>
        </w:rPr>
        <w:tab/>
      </w:r>
      <w:r w:rsidR="005C1C31" w:rsidRPr="005C1C31">
        <w:rPr>
          <w:rFonts w:ascii="Arial" w:hAnsi="Arial" w:cs="Arial"/>
          <w:sz w:val="24"/>
          <w:szCs w:val="24"/>
        </w:rPr>
        <w:t xml:space="preserve">According to the plaintiff, there is no merit in the defendant’s averment that she would suffer prejudice in her trial preparation since the amendment requires no deviation from the current trajectory of trial preparation. This is because, so contends the plaintiff, the substantive issues remain the same, being </w:t>
      </w:r>
      <w:r w:rsidR="0071302F">
        <w:rPr>
          <w:rFonts w:ascii="Arial" w:hAnsi="Arial" w:cs="Arial"/>
          <w:sz w:val="24"/>
          <w:szCs w:val="24"/>
        </w:rPr>
        <w:t xml:space="preserve">the interpretation of </w:t>
      </w:r>
      <w:r w:rsidR="005C1C31" w:rsidRPr="005C1C31">
        <w:rPr>
          <w:rFonts w:ascii="Arial" w:hAnsi="Arial" w:cs="Arial"/>
          <w:sz w:val="24"/>
          <w:szCs w:val="24"/>
        </w:rPr>
        <w:t xml:space="preserve">the ANC and whether separate assets values are to be excluded. </w:t>
      </w:r>
      <w:r w:rsidR="001843CD">
        <w:rPr>
          <w:rFonts w:ascii="Arial" w:hAnsi="Arial" w:cs="Arial"/>
          <w:sz w:val="24"/>
          <w:szCs w:val="24"/>
        </w:rPr>
        <w:t>The s</w:t>
      </w:r>
      <w:r w:rsidR="005C1C31" w:rsidRPr="005C1C31">
        <w:rPr>
          <w:rFonts w:ascii="Arial" w:hAnsi="Arial" w:cs="Arial"/>
          <w:sz w:val="24"/>
          <w:szCs w:val="24"/>
        </w:rPr>
        <w:t xml:space="preserve">ame witnesses would </w:t>
      </w:r>
      <w:r w:rsidR="0058713F">
        <w:rPr>
          <w:rFonts w:ascii="Arial" w:hAnsi="Arial" w:cs="Arial"/>
          <w:sz w:val="24"/>
          <w:szCs w:val="24"/>
        </w:rPr>
        <w:t xml:space="preserve">also </w:t>
      </w:r>
      <w:r w:rsidR="005C1C31" w:rsidRPr="005C1C31">
        <w:rPr>
          <w:rFonts w:ascii="Arial" w:hAnsi="Arial" w:cs="Arial"/>
          <w:sz w:val="24"/>
          <w:szCs w:val="24"/>
        </w:rPr>
        <w:t>be called</w:t>
      </w:r>
      <w:r w:rsidR="00F76436">
        <w:rPr>
          <w:rFonts w:ascii="Arial" w:hAnsi="Arial" w:cs="Arial"/>
          <w:sz w:val="24"/>
          <w:szCs w:val="24"/>
        </w:rPr>
        <w:t xml:space="preserve"> at trial</w:t>
      </w:r>
      <w:r w:rsidR="005C1C31" w:rsidRPr="005C1C31">
        <w:rPr>
          <w:rFonts w:ascii="Arial" w:hAnsi="Arial" w:cs="Arial"/>
          <w:sz w:val="24"/>
          <w:szCs w:val="24"/>
        </w:rPr>
        <w:t>. This, of course, cannot be correct as it may necessitate that the defendant also amends her plea and counterclaim. In the event the amendment is granted, the defendant contends that it would be necessary that the matter be adjourned.</w:t>
      </w:r>
    </w:p>
    <w:p w:rsidR="005C1C31" w:rsidRDefault="005C1C31" w:rsidP="001A6702">
      <w:pPr>
        <w:spacing w:after="0" w:line="240" w:lineRule="auto"/>
        <w:jc w:val="both"/>
        <w:rPr>
          <w:rFonts w:ascii="Arial" w:hAnsi="Arial" w:cs="Arial"/>
          <w:sz w:val="24"/>
          <w:szCs w:val="24"/>
        </w:rPr>
      </w:pPr>
    </w:p>
    <w:p w:rsidR="005C1C31" w:rsidRDefault="00EA16CD" w:rsidP="005C1C31">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5C1C31" w:rsidRPr="005C1C31">
        <w:rPr>
          <w:rFonts w:ascii="Arial" w:hAnsi="Arial" w:cs="Arial"/>
          <w:sz w:val="24"/>
          <w:szCs w:val="24"/>
        </w:rPr>
        <w:t xml:space="preserve">The plaintiff avers that the defendant has an ulterior motive to delay the </w:t>
      </w:r>
      <w:r w:rsidR="005C1C31">
        <w:rPr>
          <w:rFonts w:ascii="Arial" w:hAnsi="Arial" w:cs="Arial"/>
          <w:sz w:val="24"/>
          <w:szCs w:val="24"/>
        </w:rPr>
        <w:t xml:space="preserve">trial which would </w:t>
      </w:r>
      <w:r w:rsidR="005C1C31" w:rsidRPr="005C1C31">
        <w:rPr>
          <w:rFonts w:ascii="Arial" w:hAnsi="Arial" w:cs="Arial"/>
          <w:sz w:val="24"/>
          <w:szCs w:val="24"/>
        </w:rPr>
        <w:t>prolong her stay in the</w:t>
      </w:r>
      <w:r w:rsidR="0058713F">
        <w:rPr>
          <w:rFonts w:ascii="Arial" w:hAnsi="Arial" w:cs="Arial"/>
          <w:sz w:val="24"/>
          <w:szCs w:val="24"/>
        </w:rPr>
        <w:t>ir</w:t>
      </w:r>
      <w:r w:rsidR="005C1C31" w:rsidRPr="005C1C31">
        <w:rPr>
          <w:rFonts w:ascii="Arial" w:hAnsi="Arial" w:cs="Arial"/>
          <w:sz w:val="24"/>
          <w:szCs w:val="24"/>
        </w:rPr>
        <w:t xml:space="preserve"> co-owned property, which was allowed by virtue of the rule 43 order. Also, that she had recently launched a </w:t>
      </w:r>
      <w:r w:rsidR="005C1C31">
        <w:rPr>
          <w:rFonts w:ascii="Arial" w:hAnsi="Arial" w:cs="Arial"/>
          <w:sz w:val="24"/>
          <w:szCs w:val="24"/>
        </w:rPr>
        <w:t>‘</w:t>
      </w:r>
      <w:r w:rsidR="005C1C31" w:rsidRPr="005C1C31">
        <w:rPr>
          <w:rFonts w:ascii="Arial" w:hAnsi="Arial" w:cs="Arial"/>
          <w:sz w:val="24"/>
          <w:szCs w:val="24"/>
        </w:rPr>
        <w:t>groundless</w:t>
      </w:r>
      <w:r w:rsidR="005C1C31">
        <w:rPr>
          <w:rFonts w:ascii="Arial" w:hAnsi="Arial" w:cs="Arial"/>
          <w:sz w:val="24"/>
          <w:szCs w:val="24"/>
        </w:rPr>
        <w:t>’</w:t>
      </w:r>
      <w:r w:rsidR="005C1C31" w:rsidRPr="005C1C31">
        <w:rPr>
          <w:rFonts w:ascii="Arial" w:hAnsi="Arial" w:cs="Arial"/>
          <w:sz w:val="24"/>
          <w:szCs w:val="24"/>
        </w:rPr>
        <w:t xml:space="preserve"> belated rule 43 application for contribution towards legal costs despite the court having ruled that she was not entitled to any maintenance. According to the plaintiff, there is no basis for her objections. While some amendments may be heard and determined immediately without a need to adjourn the matter, the nature of the amendment sought by the plaintiff may result in the defendant seeking to amend her plea amongst others. The issue of the </w:t>
      </w:r>
      <w:r w:rsidR="00F25FEA">
        <w:rPr>
          <w:rFonts w:ascii="Arial" w:hAnsi="Arial" w:cs="Arial"/>
          <w:sz w:val="24"/>
          <w:szCs w:val="24"/>
        </w:rPr>
        <w:t>r</w:t>
      </w:r>
      <w:r w:rsidR="005C1C31" w:rsidRPr="005C1C31">
        <w:rPr>
          <w:rFonts w:ascii="Arial" w:hAnsi="Arial" w:cs="Arial"/>
          <w:sz w:val="24"/>
          <w:szCs w:val="24"/>
        </w:rPr>
        <w:t>ule 43</w:t>
      </w:r>
      <w:r w:rsidR="0071302F">
        <w:rPr>
          <w:rFonts w:ascii="Arial" w:hAnsi="Arial" w:cs="Arial"/>
          <w:sz w:val="24"/>
          <w:szCs w:val="24"/>
        </w:rPr>
        <w:t xml:space="preserve"> order </w:t>
      </w:r>
      <w:r w:rsidR="005C1C31" w:rsidRPr="005C1C31">
        <w:rPr>
          <w:rFonts w:ascii="Arial" w:hAnsi="Arial" w:cs="Arial"/>
          <w:sz w:val="24"/>
          <w:szCs w:val="24"/>
        </w:rPr>
        <w:t>arises from a separate application which allowed the plaintiff to sell the common property. Such application is subject to an appeal</w:t>
      </w:r>
      <w:r w:rsidR="005C1C31">
        <w:rPr>
          <w:rFonts w:ascii="Arial" w:hAnsi="Arial" w:cs="Arial"/>
          <w:sz w:val="24"/>
          <w:szCs w:val="24"/>
        </w:rPr>
        <w:t xml:space="preserve"> with the result of the order being suspended.</w:t>
      </w:r>
    </w:p>
    <w:p w:rsidR="005C1C31" w:rsidRDefault="005C1C31" w:rsidP="001A6702">
      <w:pPr>
        <w:spacing w:after="0" w:line="240" w:lineRule="auto"/>
        <w:jc w:val="both"/>
        <w:rPr>
          <w:rFonts w:ascii="Arial" w:hAnsi="Arial" w:cs="Arial"/>
          <w:sz w:val="24"/>
          <w:szCs w:val="24"/>
        </w:rPr>
      </w:pPr>
    </w:p>
    <w:p w:rsidR="005C1C31" w:rsidRPr="005C1C31" w:rsidRDefault="00EA16CD" w:rsidP="005C1C31">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5C1C31" w:rsidRPr="005C1C31">
        <w:rPr>
          <w:rFonts w:ascii="Arial" w:hAnsi="Arial" w:cs="Arial"/>
          <w:sz w:val="24"/>
          <w:szCs w:val="24"/>
        </w:rPr>
        <w:t xml:space="preserve">Despite the plaintiff knowing of his intention to amend </w:t>
      </w:r>
      <w:r w:rsidR="0058713F">
        <w:rPr>
          <w:rFonts w:ascii="Arial" w:hAnsi="Arial" w:cs="Arial"/>
          <w:sz w:val="24"/>
          <w:szCs w:val="24"/>
        </w:rPr>
        <w:t>his</w:t>
      </w:r>
      <w:r w:rsidR="0058713F" w:rsidRPr="005C1C31">
        <w:rPr>
          <w:rFonts w:ascii="Arial" w:hAnsi="Arial" w:cs="Arial"/>
          <w:sz w:val="24"/>
          <w:szCs w:val="24"/>
        </w:rPr>
        <w:t xml:space="preserve"> </w:t>
      </w:r>
      <w:r w:rsidR="005C1C31" w:rsidRPr="005C1C31">
        <w:rPr>
          <w:rFonts w:ascii="Arial" w:hAnsi="Arial" w:cs="Arial"/>
          <w:sz w:val="24"/>
          <w:szCs w:val="24"/>
        </w:rPr>
        <w:t xml:space="preserve">particulars of claim since 2022, he only decided to pursue it formally approximately </w:t>
      </w:r>
      <w:r w:rsidR="00F25FEA">
        <w:rPr>
          <w:rFonts w:ascii="Arial" w:hAnsi="Arial" w:cs="Arial"/>
          <w:sz w:val="24"/>
          <w:szCs w:val="24"/>
        </w:rPr>
        <w:t>two</w:t>
      </w:r>
      <w:r w:rsidR="005C1C31" w:rsidRPr="005C1C31">
        <w:rPr>
          <w:rFonts w:ascii="Arial" w:hAnsi="Arial" w:cs="Arial"/>
          <w:sz w:val="24"/>
          <w:szCs w:val="24"/>
        </w:rPr>
        <w:t xml:space="preserve"> months before the trial which was set down approximately </w:t>
      </w:r>
      <w:r w:rsidR="00F25FEA">
        <w:rPr>
          <w:rFonts w:ascii="Arial" w:hAnsi="Arial" w:cs="Arial"/>
          <w:sz w:val="24"/>
          <w:szCs w:val="24"/>
        </w:rPr>
        <w:t>nine</w:t>
      </w:r>
      <w:r w:rsidR="005C1C31" w:rsidRPr="005C1C31">
        <w:rPr>
          <w:rFonts w:ascii="Arial" w:hAnsi="Arial" w:cs="Arial"/>
          <w:sz w:val="24"/>
          <w:szCs w:val="24"/>
        </w:rPr>
        <w:t xml:space="preserve"> months before. </w:t>
      </w:r>
      <w:r w:rsidR="005C1C31">
        <w:rPr>
          <w:rFonts w:ascii="Arial" w:hAnsi="Arial" w:cs="Arial"/>
          <w:sz w:val="24"/>
          <w:szCs w:val="24"/>
        </w:rPr>
        <w:t>I</w:t>
      </w:r>
      <w:r w:rsidR="005C1C31" w:rsidRPr="005C1C31">
        <w:rPr>
          <w:rFonts w:ascii="Arial" w:hAnsi="Arial" w:cs="Arial"/>
          <w:sz w:val="24"/>
          <w:szCs w:val="24"/>
        </w:rPr>
        <w:t>t is the plaintiff’s conduct which resulted in the application to amend only being heard on the trial date. He could have brought the application much earlier and it would have been determined long before the trial date removing the possible adjournment of the matter.</w:t>
      </w:r>
    </w:p>
    <w:p w:rsidR="004204FB" w:rsidRDefault="004204FB" w:rsidP="001A6702">
      <w:pPr>
        <w:spacing w:after="0" w:line="240" w:lineRule="auto"/>
        <w:jc w:val="both"/>
        <w:rPr>
          <w:rFonts w:ascii="Arial" w:hAnsi="Arial" w:cs="Arial"/>
          <w:sz w:val="24"/>
          <w:szCs w:val="24"/>
        </w:rPr>
      </w:pPr>
    </w:p>
    <w:p w:rsidR="005C1C31" w:rsidRPr="005C1C31" w:rsidRDefault="00EA16CD" w:rsidP="005C1C31">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4204FB">
        <w:rPr>
          <w:rFonts w:ascii="Arial" w:hAnsi="Arial" w:cs="Arial"/>
          <w:sz w:val="24"/>
          <w:szCs w:val="24"/>
        </w:rPr>
        <w:t xml:space="preserve">While </w:t>
      </w:r>
      <w:r w:rsidR="00EF3EE2">
        <w:rPr>
          <w:rFonts w:ascii="Arial" w:hAnsi="Arial" w:cs="Arial"/>
          <w:sz w:val="24"/>
          <w:szCs w:val="24"/>
        </w:rPr>
        <w:t xml:space="preserve">the </w:t>
      </w:r>
      <w:r w:rsidR="005C1C31" w:rsidRPr="005C1C31">
        <w:rPr>
          <w:rFonts w:ascii="Arial" w:hAnsi="Arial" w:cs="Arial"/>
          <w:sz w:val="24"/>
          <w:szCs w:val="24"/>
        </w:rPr>
        <w:t xml:space="preserve">rule 43 </w:t>
      </w:r>
      <w:r w:rsidR="0071302F">
        <w:rPr>
          <w:rFonts w:ascii="Arial" w:hAnsi="Arial" w:cs="Arial"/>
          <w:sz w:val="24"/>
          <w:szCs w:val="24"/>
        </w:rPr>
        <w:t xml:space="preserve">application relating to </w:t>
      </w:r>
      <w:r w:rsidR="005C1C31" w:rsidRPr="005C1C31">
        <w:rPr>
          <w:rFonts w:ascii="Arial" w:hAnsi="Arial" w:cs="Arial"/>
          <w:sz w:val="24"/>
          <w:szCs w:val="24"/>
        </w:rPr>
        <w:t>the contribution for legal costs is not an issue before this court</w:t>
      </w:r>
      <w:r w:rsidR="004204FB">
        <w:rPr>
          <w:rFonts w:ascii="Arial" w:hAnsi="Arial" w:cs="Arial"/>
          <w:sz w:val="24"/>
          <w:szCs w:val="24"/>
        </w:rPr>
        <w:t>,</w:t>
      </w:r>
      <w:r w:rsidR="005C1C31" w:rsidRPr="005C1C31">
        <w:rPr>
          <w:rFonts w:ascii="Arial" w:hAnsi="Arial" w:cs="Arial"/>
          <w:sz w:val="24"/>
          <w:szCs w:val="24"/>
        </w:rPr>
        <w:t xml:space="preserve"> </w:t>
      </w:r>
      <w:r w:rsidR="004204FB">
        <w:rPr>
          <w:rFonts w:ascii="Arial" w:hAnsi="Arial" w:cs="Arial"/>
          <w:sz w:val="24"/>
          <w:szCs w:val="24"/>
        </w:rPr>
        <w:t>i</w:t>
      </w:r>
      <w:r w:rsidR="005C1C31" w:rsidRPr="005C1C31">
        <w:rPr>
          <w:rFonts w:ascii="Arial" w:hAnsi="Arial" w:cs="Arial"/>
          <w:sz w:val="24"/>
          <w:szCs w:val="24"/>
        </w:rPr>
        <w:t>f the trial is adjourned, it allows for the defendant to pursue it. If this was to happen, it would be</w:t>
      </w:r>
      <w:r w:rsidR="00C476FE">
        <w:rPr>
          <w:rFonts w:ascii="Arial" w:hAnsi="Arial" w:cs="Arial"/>
          <w:sz w:val="24"/>
          <w:szCs w:val="24"/>
        </w:rPr>
        <w:t xml:space="preserve"> of</w:t>
      </w:r>
      <w:r w:rsidR="005C1C31" w:rsidRPr="005C1C31">
        <w:rPr>
          <w:rFonts w:ascii="Arial" w:hAnsi="Arial" w:cs="Arial"/>
          <w:sz w:val="24"/>
          <w:szCs w:val="24"/>
        </w:rPr>
        <w:t xml:space="preserve"> the plaintiff’s own doing having launched his amendment belatedly knowing the risks associated with such applications.</w:t>
      </w:r>
    </w:p>
    <w:p w:rsidR="004204FB" w:rsidRDefault="004204FB" w:rsidP="005C1C31">
      <w:pPr>
        <w:spacing w:after="0" w:line="360" w:lineRule="auto"/>
        <w:jc w:val="both"/>
        <w:rPr>
          <w:rFonts w:ascii="Arial" w:hAnsi="Arial" w:cs="Arial"/>
          <w:sz w:val="24"/>
          <w:szCs w:val="24"/>
        </w:rPr>
      </w:pPr>
    </w:p>
    <w:p w:rsidR="004204FB" w:rsidRDefault="00EA16CD" w:rsidP="005C1C31">
      <w:pPr>
        <w:spacing w:after="0" w:line="360" w:lineRule="auto"/>
        <w:jc w:val="both"/>
        <w:rPr>
          <w:rFonts w:ascii="Arial" w:hAnsi="Arial" w:cs="Arial"/>
          <w:i/>
          <w:sz w:val="24"/>
          <w:szCs w:val="24"/>
        </w:rPr>
      </w:pPr>
      <w:r>
        <w:rPr>
          <w:rFonts w:ascii="Arial" w:hAnsi="Arial" w:cs="Arial"/>
          <w:sz w:val="24"/>
          <w:szCs w:val="24"/>
        </w:rPr>
        <w:lastRenderedPageBreak/>
        <w:t>[23]</w:t>
      </w:r>
      <w:r>
        <w:rPr>
          <w:rFonts w:ascii="Arial" w:hAnsi="Arial" w:cs="Arial"/>
          <w:sz w:val="24"/>
          <w:szCs w:val="24"/>
        </w:rPr>
        <w:tab/>
      </w:r>
      <w:r w:rsidR="005C1C31" w:rsidRPr="005C1C31">
        <w:rPr>
          <w:rFonts w:ascii="Arial" w:hAnsi="Arial" w:cs="Arial"/>
          <w:sz w:val="24"/>
          <w:szCs w:val="24"/>
        </w:rPr>
        <w:t xml:space="preserve">Amendments to pleadings are regulated by </w:t>
      </w:r>
      <w:r w:rsidR="004204FB">
        <w:rPr>
          <w:rFonts w:ascii="Arial" w:hAnsi="Arial" w:cs="Arial"/>
          <w:sz w:val="24"/>
          <w:szCs w:val="24"/>
        </w:rPr>
        <w:t>r</w:t>
      </w:r>
      <w:r w:rsidR="005C1C31" w:rsidRPr="005C1C31">
        <w:rPr>
          <w:rFonts w:ascii="Arial" w:hAnsi="Arial" w:cs="Arial"/>
          <w:sz w:val="24"/>
          <w:szCs w:val="24"/>
        </w:rPr>
        <w:t>ule 28</w:t>
      </w:r>
      <w:r w:rsidR="004204FB">
        <w:rPr>
          <w:rFonts w:ascii="Arial" w:hAnsi="Arial" w:cs="Arial"/>
          <w:sz w:val="24"/>
          <w:szCs w:val="24"/>
        </w:rPr>
        <w:t>.</w:t>
      </w:r>
      <w:r w:rsidR="005C1C31" w:rsidRPr="005C1C31">
        <w:rPr>
          <w:rFonts w:ascii="Arial" w:hAnsi="Arial" w:cs="Arial"/>
          <w:sz w:val="24"/>
          <w:szCs w:val="24"/>
        </w:rPr>
        <w:t xml:space="preserve"> In bringing the application, the parties followed the procedure set out in the rules. It is trite that the powers of the court in granting an application for amendment are limited only by a consideration of prejudice or injustice to the opponent. Additionally, an amendment will not be allowed where there is mala fides or where the prejudice cannot be cured by an order for costs and where appropriate a postponement.</w:t>
      </w:r>
      <w:r w:rsidR="008F3308">
        <w:rPr>
          <w:rStyle w:val="FootnoteReference"/>
          <w:rFonts w:ascii="Arial" w:hAnsi="Arial" w:cs="Arial"/>
          <w:sz w:val="24"/>
          <w:szCs w:val="24"/>
        </w:rPr>
        <w:footnoteReference w:id="1"/>
      </w:r>
      <w:r w:rsidR="005C1C31" w:rsidRPr="005C1C31">
        <w:rPr>
          <w:rFonts w:ascii="Arial" w:hAnsi="Arial" w:cs="Arial"/>
          <w:sz w:val="24"/>
          <w:szCs w:val="24"/>
        </w:rPr>
        <w:t xml:space="preserve"> </w:t>
      </w:r>
    </w:p>
    <w:p w:rsidR="008F3308" w:rsidRDefault="008F3308" w:rsidP="001A6702">
      <w:pPr>
        <w:spacing w:after="0" w:line="240" w:lineRule="auto"/>
        <w:jc w:val="both"/>
        <w:rPr>
          <w:rFonts w:ascii="Arial" w:hAnsi="Arial" w:cs="Arial"/>
          <w:sz w:val="24"/>
          <w:szCs w:val="24"/>
        </w:rPr>
      </w:pPr>
    </w:p>
    <w:p w:rsidR="004204FB" w:rsidRDefault="00EA16CD" w:rsidP="005C1C31">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5C1C31" w:rsidRPr="005C1C31">
        <w:rPr>
          <w:rFonts w:ascii="Arial" w:hAnsi="Arial" w:cs="Arial"/>
          <w:sz w:val="24"/>
          <w:szCs w:val="24"/>
        </w:rPr>
        <w:t xml:space="preserve">In </w:t>
      </w:r>
      <w:r w:rsidR="005C1C31" w:rsidRPr="004204FB">
        <w:rPr>
          <w:rFonts w:ascii="Arial" w:hAnsi="Arial" w:cs="Arial"/>
          <w:i/>
          <w:sz w:val="24"/>
          <w:szCs w:val="24"/>
        </w:rPr>
        <w:t>Paddock Motors (Pty) Ltd v Igesund</w:t>
      </w:r>
      <w:r w:rsidR="005C1C31" w:rsidRPr="005C1C31">
        <w:rPr>
          <w:rFonts w:ascii="Arial" w:hAnsi="Arial" w:cs="Arial"/>
          <w:sz w:val="24"/>
          <w:szCs w:val="24"/>
        </w:rPr>
        <w:t>,</w:t>
      </w:r>
      <w:r w:rsidR="008F3308">
        <w:rPr>
          <w:rStyle w:val="FootnoteReference"/>
          <w:rFonts w:ascii="Arial" w:hAnsi="Arial" w:cs="Arial"/>
          <w:sz w:val="24"/>
          <w:szCs w:val="24"/>
        </w:rPr>
        <w:footnoteReference w:id="2"/>
      </w:r>
      <w:r w:rsidR="005C1C31" w:rsidRPr="005C1C31">
        <w:rPr>
          <w:rFonts w:ascii="Arial" w:hAnsi="Arial" w:cs="Arial"/>
          <w:sz w:val="24"/>
          <w:szCs w:val="24"/>
        </w:rPr>
        <w:t xml:space="preserve"> the court held that by refusing to allow an amendment on an issue that was initially withdrawn and then sought to be reinstated, it would be refusing to investigate and may ultimately uphold a wrong order. It found that it was necessary for a proper adjudication of the case to allow the appellant to revive its contention based on the first question of law.</w:t>
      </w:r>
      <w:r w:rsidR="00897976">
        <w:rPr>
          <w:rStyle w:val="FootnoteReference"/>
          <w:rFonts w:ascii="Arial" w:hAnsi="Arial" w:cs="Arial"/>
          <w:sz w:val="24"/>
          <w:szCs w:val="24"/>
        </w:rPr>
        <w:footnoteReference w:id="3"/>
      </w:r>
      <w:r w:rsidR="005C1C31" w:rsidRPr="005C1C31">
        <w:rPr>
          <w:rFonts w:ascii="Arial" w:hAnsi="Arial" w:cs="Arial"/>
          <w:sz w:val="24"/>
          <w:szCs w:val="24"/>
        </w:rPr>
        <w:t xml:space="preserve"> </w:t>
      </w:r>
    </w:p>
    <w:p w:rsidR="004204FB" w:rsidRDefault="004204FB" w:rsidP="001A6702">
      <w:pPr>
        <w:spacing w:after="0" w:line="240" w:lineRule="auto"/>
        <w:jc w:val="both"/>
        <w:rPr>
          <w:rFonts w:ascii="Arial" w:hAnsi="Arial" w:cs="Arial"/>
          <w:sz w:val="24"/>
          <w:szCs w:val="24"/>
        </w:rPr>
      </w:pPr>
    </w:p>
    <w:p w:rsidR="005C1C31" w:rsidRDefault="00EA16CD" w:rsidP="005C1C31">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5C1C31" w:rsidRPr="005C1C31">
        <w:rPr>
          <w:rFonts w:ascii="Arial" w:hAnsi="Arial" w:cs="Arial"/>
          <w:sz w:val="24"/>
          <w:szCs w:val="24"/>
        </w:rPr>
        <w:t>The amendment sought by the plaintiff p</w:t>
      </w:r>
      <w:r w:rsidR="0071302F">
        <w:rPr>
          <w:rFonts w:ascii="Arial" w:hAnsi="Arial" w:cs="Arial"/>
          <w:sz w:val="24"/>
          <w:szCs w:val="24"/>
        </w:rPr>
        <w:t>laced</w:t>
      </w:r>
      <w:r w:rsidR="005C1C31" w:rsidRPr="005C1C31">
        <w:rPr>
          <w:rFonts w:ascii="Arial" w:hAnsi="Arial" w:cs="Arial"/>
          <w:sz w:val="24"/>
          <w:szCs w:val="24"/>
        </w:rPr>
        <w:t xml:space="preserve"> the matter in a similar position as it was when summons was issued. Of importance is the fact that the plaintiff already raised the intended amendment long before the formal application. The defendant was therefore not taken by surprise. While the plaintiff’s view is that he does not require the amendment and that the issue can be raised in argument, it is pertinent since parties are bound by their pleadings. The court may find that in the absence of the amendment, it is not required to and may not determine the issue sought to be raised in the amendment. The granting of the amendment will sufficiently place the new issue as one of the issues to be determined by the court.</w:t>
      </w:r>
    </w:p>
    <w:p w:rsidR="008F3308" w:rsidRPr="005C1C31" w:rsidRDefault="008F3308" w:rsidP="001A6702">
      <w:pPr>
        <w:spacing w:after="0" w:line="240" w:lineRule="auto"/>
        <w:jc w:val="both"/>
        <w:rPr>
          <w:rFonts w:ascii="Arial" w:hAnsi="Arial" w:cs="Arial"/>
          <w:sz w:val="24"/>
          <w:szCs w:val="24"/>
        </w:rPr>
      </w:pPr>
    </w:p>
    <w:p w:rsidR="005C1C31" w:rsidRPr="005C1C31" w:rsidRDefault="00EA16CD" w:rsidP="005C1C31">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5C1C31" w:rsidRPr="005C1C31">
        <w:rPr>
          <w:rFonts w:ascii="Arial" w:hAnsi="Arial" w:cs="Arial"/>
          <w:sz w:val="24"/>
          <w:szCs w:val="24"/>
        </w:rPr>
        <w:t>I accept that an amendment to a pleading involving the withdrawal of an admission ought not to be readily granted and requires a full explanation to convince the court of the bona fides of the party seeking the amendment.</w:t>
      </w:r>
      <w:r w:rsidR="008F3308">
        <w:rPr>
          <w:rStyle w:val="FootnoteReference"/>
          <w:rFonts w:ascii="Arial" w:hAnsi="Arial" w:cs="Arial"/>
          <w:sz w:val="24"/>
          <w:szCs w:val="24"/>
        </w:rPr>
        <w:footnoteReference w:id="4"/>
      </w:r>
      <w:r w:rsidR="005C1C31" w:rsidRPr="005C1C31">
        <w:rPr>
          <w:rFonts w:ascii="Arial" w:hAnsi="Arial" w:cs="Arial"/>
          <w:sz w:val="24"/>
          <w:szCs w:val="24"/>
        </w:rPr>
        <w:t xml:space="preserve"> In this instance, there is nothing to suggest any mala fides on the part of the plaintiff. Also, there is little, if any, prejudice to the defendant in light of the facts of this matter.</w:t>
      </w:r>
    </w:p>
    <w:p w:rsidR="004204FB" w:rsidRDefault="004204FB" w:rsidP="005C1C31">
      <w:pPr>
        <w:spacing w:after="0" w:line="360" w:lineRule="auto"/>
        <w:jc w:val="both"/>
        <w:rPr>
          <w:rFonts w:ascii="Arial" w:hAnsi="Arial" w:cs="Arial"/>
          <w:sz w:val="24"/>
          <w:szCs w:val="24"/>
        </w:rPr>
      </w:pPr>
    </w:p>
    <w:p w:rsidR="005C1C31" w:rsidRPr="005C1C31" w:rsidRDefault="00EA16CD" w:rsidP="005C1C31">
      <w:pPr>
        <w:spacing w:after="0" w:line="360" w:lineRule="auto"/>
        <w:jc w:val="both"/>
        <w:rPr>
          <w:rFonts w:ascii="Arial" w:hAnsi="Arial" w:cs="Arial"/>
          <w:sz w:val="24"/>
          <w:szCs w:val="24"/>
        </w:rPr>
      </w:pPr>
      <w:r>
        <w:rPr>
          <w:rFonts w:ascii="Arial" w:hAnsi="Arial" w:cs="Arial"/>
          <w:sz w:val="24"/>
          <w:szCs w:val="24"/>
        </w:rPr>
        <w:lastRenderedPageBreak/>
        <w:t>[27]</w:t>
      </w:r>
      <w:r>
        <w:rPr>
          <w:rFonts w:ascii="Arial" w:hAnsi="Arial" w:cs="Arial"/>
          <w:sz w:val="24"/>
          <w:szCs w:val="24"/>
        </w:rPr>
        <w:tab/>
      </w:r>
      <w:r w:rsidR="005C1C31" w:rsidRPr="005C1C31">
        <w:rPr>
          <w:rFonts w:ascii="Arial" w:hAnsi="Arial" w:cs="Arial"/>
          <w:sz w:val="24"/>
          <w:szCs w:val="24"/>
        </w:rPr>
        <w:t xml:space="preserve">As already stated, issues relating to the pending appeal </w:t>
      </w:r>
      <w:r w:rsidR="00161D9E">
        <w:rPr>
          <w:rFonts w:ascii="Arial" w:hAnsi="Arial" w:cs="Arial"/>
          <w:sz w:val="24"/>
          <w:szCs w:val="24"/>
        </w:rPr>
        <w:t>in respect of</w:t>
      </w:r>
      <w:r w:rsidR="005C1C31" w:rsidRPr="005C1C31">
        <w:rPr>
          <w:rFonts w:ascii="Arial" w:hAnsi="Arial" w:cs="Arial"/>
          <w:sz w:val="24"/>
          <w:szCs w:val="24"/>
        </w:rPr>
        <w:t xml:space="preserve"> the </w:t>
      </w:r>
      <w:r w:rsidR="009F0FE7">
        <w:rPr>
          <w:rFonts w:ascii="Arial" w:hAnsi="Arial" w:cs="Arial"/>
          <w:sz w:val="24"/>
          <w:szCs w:val="24"/>
        </w:rPr>
        <w:t>r</w:t>
      </w:r>
      <w:r w:rsidR="005C1C31" w:rsidRPr="005C1C31">
        <w:rPr>
          <w:rFonts w:ascii="Arial" w:hAnsi="Arial" w:cs="Arial"/>
          <w:sz w:val="24"/>
          <w:szCs w:val="24"/>
        </w:rPr>
        <w:t xml:space="preserve">ule 43 order and the subsequent </w:t>
      </w:r>
      <w:r w:rsidR="009F0FE7">
        <w:rPr>
          <w:rFonts w:ascii="Arial" w:hAnsi="Arial" w:cs="Arial"/>
          <w:sz w:val="24"/>
          <w:szCs w:val="24"/>
        </w:rPr>
        <w:t>r</w:t>
      </w:r>
      <w:r w:rsidR="005C1C31" w:rsidRPr="005C1C31">
        <w:rPr>
          <w:rFonts w:ascii="Arial" w:hAnsi="Arial" w:cs="Arial"/>
          <w:sz w:val="24"/>
          <w:szCs w:val="24"/>
        </w:rPr>
        <w:t>ule 43 application are not relevant considerations in th</w:t>
      </w:r>
      <w:r w:rsidR="009F0FE7">
        <w:rPr>
          <w:rFonts w:ascii="Arial" w:hAnsi="Arial" w:cs="Arial"/>
          <w:sz w:val="24"/>
          <w:szCs w:val="24"/>
        </w:rPr>
        <w:t>e</w:t>
      </w:r>
      <w:r w:rsidR="005C1C31" w:rsidRPr="005C1C31">
        <w:rPr>
          <w:rFonts w:ascii="Arial" w:hAnsi="Arial" w:cs="Arial"/>
          <w:sz w:val="24"/>
          <w:szCs w:val="24"/>
        </w:rPr>
        <w:t xml:space="preserve"> application</w:t>
      </w:r>
      <w:r w:rsidR="009F0FE7">
        <w:rPr>
          <w:rFonts w:ascii="Arial" w:hAnsi="Arial" w:cs="Arial"/>
          <w:sz w:val="24"/>
          <w:szCs w:val="24"/>
        </w:rPr>
        <w:t xml:space="preserve"> for amendment</w:t>
      </w:r>
      <w:r w:rsidR="005C1C31" w:rsidRPr="005C1C31">
        <w:rPr>
          <w:rFonts w:ascii="Arial" w:hAnsi="Arial" w:cs="Arial"/>
          <w:sz w:val="24"/>
          <w:szCs w:val="24"/>
        </w:rPr>
        <w:t xml:space="preserve">. In my view, therefore, the plaintiff ought to be granted the amendment as sought. </w:t>
      </w:r>
      <w:r w:rsidR="009F0FE7">
        <w:rPr>
          <w:rFonts w:ascii="Arial" w:hAnsi="Arial" w:cs="Arial"/>
          <w:sz w:val="24"/>
          <w:szCs w:val="24"/>
        </w:rPr>
        <w:t>The granting of the amendment call</w:t>
      </w:r>
      <w:r w:rsidR="0071302F">
        <w:rPr>
          <w:rFonts w:ascii="Arial" w:hAnsi="Arial" w:cs="Arial"/>
          <w:sz w:val="24"/>
          <w:szCs w:val="24"/>
        </w:rPr>
        <w:t>ed</w:t>
      </w:r>
      <w:r w:rsidR="009F0FE7">
        <w:rPr>
          <w:rFonts w:ascii="Arial" w:hAnsi="Arial" w:cs="Arial"/>
          <w:sz w:val="24"/>
          <w:szCs w:val="24"/>
        </w:rPr>
        <w:t xml:space="preserve"> for the adjournment of the matter as was argued by the defendant. Accordingly, the trial was adjourned. In any event the matter had to be adjourned for the court to consider the remainder of the relief sought in the draft order. </w:t>
      </w:r>
      <w:r w:rsidR="005C1C31" w:rsidRPr="005C1C31">
        <w:rPr>
          <w:rFonts w:ascii="Arial" w:hAnsi="Arial" w:cs="Arial"/>
          <w:sz w:val="24"/>
          <w:szCs w:val="24"/>
        </w:rPr>
        <w:t>The defendant may then consider her position on whether to also amend her plea and claim in reconvention.</w:t>
      </w:r>
    </w:p>
    <w:p w:rsidR="009F0FE7" w:rsidRDefault="009F0FE7" w:rsidP="001A6702">
      <w:pPr>
        <w:spacing w:after="0" w:line="240" w:lineRule="auto"/>
        <w:jc w:val="both"/>
        <w:rPr>
          <w:rFonts w:ascii="Arial" w:hAnsi="Arial" w:cs="Arial"/>
          <w:sz w:val="24"/>
          <w:szCs w:val="24"/>
        </w:rPr>
      </w:pPr>
    </w:p>
    <w:p w:rsidR="00EA16CD" w:rsidRPr="00897976" w:rsidRDefault="00EA16CD" w:rsidP="00F25FEA">
      <w:pPr>
        <w:spacing w:line="360" w:lineRule="auto"/>
        <w:jc w:val="both"/>
        <w:rPr>
          <w:rFonts w:ascii="Arial" w:hAnsi="Arial" w:cs="Arial"/>
          <w:sz w:val="24"/>
          <w:szCs w:val="24"/>
        </w:rPr>
      </w:pPr>
      <w:r w:rsidRPr="00897976">
        <w:rPr>
          <w:rFonts w:ascii="Arial" w:hAnsi="Arial" w:cs="Arial"/>
          <w:sz w:val="24"/>
          <w:szCs w:val="24"/>
        </w:rPr>
        <w:t>[28]</w:t>
      </w:r>
      <w:r w:rsidRPr="00897976">
        <w:rPr>
          <w:rFonts w:ascii="Arial" w:hAnsi="Arial" w:cs="Arial"/>
          <w:sz w:val="24"/>
          <w:szCs w:val="24"/>
        </w:rPr>
        <w:tab/>
        <w:t>As regards the issue of separation of the divorce from the remainder of the issues, rule 33(4) provides as follow:</w:t>
      </w:r>
    </w:p>
    <w:p w:rsidR="00EA16CD" w:rsidRPr="00F25FEA" w:rsidRDefault="00EA16CD" w:rsidP="00F25FEA">
      <w:pPr>
        <w:spacing w:after="0" w:line="360" w:lineRule="auto"/>
        <w:jc w:val="both"/>
        <w:rPr>
          <w:rFonts w:ascii="Arial" w:hAnsi="Arial" w:cs="Arial"/>
        </w:rPr>
      </w:pPr>
      <w:r w:rsidRPr="00F25FEA">
        <w:rPr>
          <w:rFonts w:ascii="Arial" w:hAnsi="Arial" w:cs="Arial"/>
          <w:color w:val="000000"/>
        </w:rPr>
        <w:t>‘If, in any pending action, it appears to the court </w:t>
      </w:r>
      <w:r w:rsidRPr="00F25FEA">
        <w:rPr>
          <w:rFonts w:ascii="Arial" w:hAnsi="Arial" w:cs="Arial"/>
          <w:i/>
          <w:iCs/>
          <w:color w:val="000000"/>
        </w:rPr>
        <w:t>mero motu</w:t>
      </w:r>
      <w:r w:rsidRPr="00F25FEA">
        <w:rPr>
          <w:rFonts w:ascii="Arial" w:hAnsi="Arial" w:cs="Arial"/>
          <w:color w:val="000000"/>
        </w:rPr>
        <w:t> that there is a question of law or fact which may conveniently be decided either before any evidence is led or separately from any other question, the court may make an order directing the disposal of such question in such manner as it may deem fit and may order that all further proceedings be stayed until such question has been disposed of, and the court shall on the application of any party make such order unless it appears that the questions cannot conveniently be decided separately.’</w:t>
      </w:r>
    </w:p>
    <w:p w:rsidR="00EA16CD" w:rsidRDefault="00EA16CD" w:rsidP="001A6702">
      <w:pPr>
        <w:spacing w:after="0" w:line="240" w:lineRule="auto"/>
        <w:jc w:val="both"/>
        <w:rPr>
          <w:rFonts w:ascii="Arial" w:hAnsi="Arial" w:cs="Arial"/>
          <w:sz w:val="24"/>
          <w:szCs w:val="24"/>
        </w:rPr>
      </w:pPr>
    </w:p>
    <w:p w:rsidR="00EA16CD" w:rsidRPr="00F208B9" w:rsidRDefault="00EA16CD" w:rsidP="00EA16CD">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t>I</w:t>
      </w:r>
      <w:r w:rsidRPr="00F208B9">
        <w:rPr>
          <w:rFonts w:ascii="Arial" w:hAnsi="Arial" w:cs="Arial"/>
          <w:sz w:val="24"/>
          <w:szCs w:val="24"/>
        </w:rPr>
        <w:t xml:space="preserve">n </w:t>
      </w:r>
      <w:r>
        <w:rPr>
          <w:rFonts w:ascii="Arial" w:hAnsi="Arial" w:cs="Arial"/>
          <w:sz w:val="24"/>
          <w:szCs w:val="24"/>
        </w:rPr>
        <w:t xml:space="preserve">deciding whether or not to grant the separation, </w:t>
      </w:r>
      <w:r w:rsidRPr="00F208B9">
        <w:rPr>
          <w:rFonts w:ascii="Arial" w:hAnsi="Arial" w:cs="Arial"/>
          <w:sz w:val="24"/>
          <w:szCs w:val="24"/>
        </w:rPr>
        <w:t xml:space="preserve">the overriding consideration </w:t>
      </w:r>
      <w:r>
        <w:rPr>
          <w:rFonts w:ascii="Arial" w:hAnsi="Arial" w:cs="Arial"/>
          <w:sz w:val="24"/>
          <w:szCs w:val="24"/>
        </w:rPr>
        <w:t xml:space="preserve">is </w:t>
      </w:r>
      <w:r w:rsidRPr="00F208B9">
        <w:rPr>
          <w:rFonts w:ascii="Arial" w:hAnsi="Arial" w:cs="Arial"/>
          <w:sz w:val="24"/>
          <w:szCs w:val="24"/>
        </w:rPr>
        <w:t>convenience.</w:t>
      </w:r>
      <w:r w:rsidR="008F3308">
        <w:rPr>
          <w:rStyle w:val="FootnoteReference"/>
          <w:rFonts w:ascii="Arial" w:hAnsi="Arial" w:cs="Arial"/>
          <w:sz w:val="24"/>
          <w:szCs w:val="24"/>
        </w:rPr>
        <w:footnoteReference w:id="5"/>
      </w:r>
      <w:r w:rsidRPr="00F208B9">
        <w:rPr>
          <w:rFonts w:ascii="Arial" w:hAnsi="Arial" w:cs="Arial"/>
          <w:sz w:val="24"/>
          <w:szCs w:val="24"/>
        </w:rPr>
        <w:t xml:space="preserve"> It was argued that in the current case, convenience favoured the granting of a separation order with the divorce being granted and other issues determined later. Th</w:t>
      </w:r>
      <w:r>
        <w:rPr>
          <w:rFonts w:ascii="Arial" w:hAnsi="Arial" w:cs="Arial"/>
          <w:sz w:val="24"/>
          <w:szCs w:val="24"/>
        </w:rPr>
        <w:t xml:space="preserve">is was because the </w:t>
      </w:r>
      <w:r w:rsidRPr="00F208B9">
        <w:rPr>
          <w:rFonts w:ascii="Arial" w:hAnsi="Arial" w:cs="Arial"/>
          <w:sz w:val="24"/>
          <w:szCs w:val="24"/>
        </w:rPr>
        <w:t>remaining issues include</w:t>
      </w:r>
      <w:r>
        <w:rPr>
          <w:rFonts w:ascii="Arial" w:hAnsi="Arial" w:cs="Arial"/>
          <w:sz w:val="24"/>
          <w:szCs w:val="24"/>
        </w:rPr>
        <w:t>d</w:t>
      </w:r>
      <w:r w:rsidRPr="00F208B9">
        <w:rPr>
          <w:rFonts w:ascii="Arial" w:hAnsi="Arial" w:cs="Arial"/>
          <w:sz w:val="24"/>
          <w:szCs w:val="24"/>
        </w:rPr>
        <w:t xml:space="preserve"> contested commercial disputes requiring forensic accountant investigations and expert evidence from both parties which w</w:t>
      </w:r>
      <w:r>
        <w:rPr>
          <w:rFonts w:ascii="Arial" w:hAnsi="Arial" w:cs="Arial"/>
          <w:sz w:val="24"/>
          <w:szCs w:val="24"/>
        </w:rPr>
        <w:t>ould</w:t>
      </w:r>
      <w:r w:rsidRPr="00F208B9">
        <w:rPr>
          <w:rFonts w:ascii="Arial" w:hAnsi="Arial" w:cs="Arial"/>
          <w:sz w:val="24"/>
          <w:szCs w:val="24"/>
        </w:rPr>
        <w:t xml:space="preserve"> result in unavoidable delays.</w:t>
      </w:r>
    </w:p>
    <w:p w:rsidR="00EA16CD" w:rsidRDefault="00EA16CD" w:rsidP="001A6702">
      <w:pPr>
        <w:spacing w:after="0" w:line="240" w:lineRule="auto"/>
        <w:jc w:val="both"/>
        <w:rPr>
          <w:rFonts w:ascii="Arial" w:hAnsi="Arial" w:cs="Arial"/>
          <w:sz w:val="24"/>
          <w:szCs w:val="24"/>
        </w:rPr>
      </w:pPr>
    </w:p>
    <w:p w:rsidR="00AB034E" w:rsidRDefault="00EA16CD" w:rsidP="00EA16CD">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t>T</w:t>
      </w:r>
      <w:r w:rsidRPr="00F208B9">
        <w:rPr>
          <w:rFonts w:ascii="Arial" w:hAnsi="Arial" w:cs="Arial"/>
          <w:sz w:val="24"/>
          <w:szCs w:val="24"/>
        </w:rPr>
        <w:t xml:space="preserve">he </w:t>
      </w:r>
      <w:r>
        <w:rPr>
          <w:rFonts w:ascii="Arial" w:hAnsi="Arial" w:cs="Arial"/>
          <w:sz w:val="24"/>
          <w:szCs w:val="24"/>
        </w:rPr>
        <w:t>plaintiff</w:t>
      </w:r>
      <w:r w:rsidRPr="00F208B9">
        <w:rPr>
          <w:rFonts w:ascii="Arial" w:hAnsi="Arial" w:cs="Arial"/>
          <w:sz w:val="24"/>
          <w:szCs w:val="24"/>
        </w:rPr>
        <w:t xml:space="preserve"> relies on </w:t>
      </w:r>
      <w:r w:rsidRPr="00F208B9">
        <w:rPr>
          <w:rFonts w:ascii="Arial" w:hAnsi="Arial" w:cs="Arial"/>
          <w:i/>
          <w:sz w:val="24"/>
          <w:szCs w:val="24"/>
        </w:rPr>
        <w:t>CC v CM</w:t>
      </w:r>
      <w:r w:rsidR="008F3308" w:rsidRPr="008F3308">
        <w:rPr>
          <w:rStyle w:val="FootnoteReference"/>
          <w:rFonts w:ascii="Arial" w:hAnsi="Arial" w:cs="Arial"/>
          <w:sz w:val="24"/>
          <w:szCs w:val="24"/>
        </w:rPr>
        <w:footnoteReference w:id="6"/>
      </w:r>
      <w:r w:rsidRPr="008F3308">
        <w:rPr>
          <w:rFonts w:ascii="Arial" w:hAnsi="Arial" w:cs="Arial"/>
          <w:sz w:val="24"/>
          <w:szCs w:val="24"/>
        </w:rPr>
        <w:t xml:space="preserve"> </w:t>
      </w:r>
      <w:r w:rsidR="00AB034E">
        <w:rPr>
          <w:rFonts w:ascii="Arial" w:hAnsi="Arial" w:cs="Arial"/>
          <w:sz w:val="24"/>
          <w:szCs w:val="24"/>
        </w:rPr>
        <w:t>where the court stated as follows</w:t>
      </w:r>
      <w:r w:rsidR="00EF3EE2">
        <w:rPr>
          <w:rFonts w:ascii="Arial" w:hAnsi="Arial" w:cs="Arial"/>
          <w:sz w:val="24"/>
          <w:szCs w:val="24"/>
        </w:rPr>
        <w:t>:</w:t>
      </w:r>
      <w:r w:rsidR="00B102F5">
        <w:rPr>
          <w:rStyle w:val="FootnoteReference"/>
          <w:rFonts w:ascii="Arial" w:hAnsi="Arial" w:cs="Arial"/>
          <w:sz w:val="24"/>
          <w:szCs w:val="24"/>
        </w:rPr>
        <w:footnoteReference w:id="7"/>
      </w:r>
    </w:p>
    <w:p w:rsidR="00AB034E" w:rsidRPr="00B102F5" w:rsidRDefault="00AB034E" w:rsidP="00B102F5">
      <w:pPr>
        <w:spacing w:after="0" w:line="360" w:lineRule="auto"/>
        <w:jc w:val="both"/>
        <w:rPr>
          <w:rFonts w:ascii="Arial" w:hAnsi="Arial" w:cs="Arial"/>
        </w:rPr>
      </w:pPr>
      <w:r w:rsidRPr="00B102F5">
        <w:rPr>
          <w:rFonts w:ascii="Arial" w:hAnsi="Arial" w:cs="Arial"/>
        </w:rPr>
        <w:t xml:space="preserve">‘The irretrievable breakdown of a marriage is a question of law or act which may conveniently be decided separately from any other question because a court may order that all further proceedings be stayed until such question has been disposed of. Where it has been shown that a marriage has irretrievably broken down without prospects of a reconciliation, a court does not have a discretion as to whether a decree of divorce should be granted or not, it has to grant same. By extension of logic and parity of reasoning a separation order should be granted where a marriage in fact, substance and law appears to have irretrievably broken </w:t>
      </w:r>
      <w:r w:rsidRPr="00B102F5">
        <w:rPr>
          <w:rFonts w:ascii="Arial" w:hAnsi="Arial" w:cs="Arial"/>
        </w:rPr>
        <w:lastRenderedPageBreak/>
        <w:t>down.</w:t>
      </w:r>
      <w:r w:rsidR="00EF3EE2" w:rsidRPr="00B102F5">
        <w:rPr>
          <w:rFonts w:ascii="Arial" w:hAnsi="Arial" w:cs="Arial"/>
        </w:rPr>
        <w:t xml:space="preserve"> </w:t>
      </w:r>
      <w:r w:rsidRPr="00B102F5">
        <w:rPr>
          <w:rFonts w:ascii="Arial" w:hAnsi="Arial" w:cs="Arial"/>
        </w:rPr>
        <w:t>See </w:t>
      </w:r>
      <w:r w:rsidRPr="00B102F5">
        <w:rPr>
          <w:rFonts w:ascii="Arial" w:hAnsi="Arial" w:cs="Arial"/>
          <w:i/>
          <w:iCs/>
        </w:rPr>
        <w:t xml:space="preserve">Levy v </w:t>
      </w:r>
      <w:r w:rsidRPr="00B102F5">
        <w:rPr>
          <w:rFonts w:ascii="Arial" w:hAnsi="Arial" w:cs="Arial"/>
        </w:rPr>
        <w:t>Levy </w:t>
      </w:r>
      <w:hyperlink r:id="rId12" w:tgtFrame="main" w:history="1">
        <w:r w:rsidRPr="00B102F5">
          <w:rPr>
            <w:rStyle w:val="Hyperlink"/>
            <w:rFonts w:ascii="Arial" w:hAnsi="Arial" w:cs="Arial"/>
            <w:color w:val="auto"/>
            <w:u w:val="none"/>
          </w:rPr>
          <w:t>1991 (3) SA 614 (A)</w:t>
        </w:r>
      </w:hyperlink>
      <w:r w:rsidRPr="00B102F5">
        <w:rPr>
          <w:rFonts w:ascii="Arial" w:hAnsi="Arial" w:cs="Arial"/>
        </w:rPr>
        <w:t> at</w:t>
      </w:r>
      <w:r w:rsidR="00EF3EE2" w:rsidRPr="00B102F5">
        <w:rPr>
          <w:rFonts w:ascii="Arial" w:hAnsi="Arial" w:cs="Arial"/>
        </w:rPr>
        <w:t xml:space="preserve"> </w:t>
      </w:r>
      <w:r w:rsidRPr="00B102F5">
        <w:rPr>
          <w:rFonts w:ascii="Arial" w:hAnsi="Arial" w:cs="Arial"/>
        </w:rPr>
        <w:t>621D</w:t>
      </w:r>
      <w:r w:rsidR="00EF3EE2" w:rsidRPr="00B102F5">
        <w:rPr>
          <w:rFonts w:ascii="Arial" w:hAnsi="Arial" w:cs="Arial"/>
        </w:rPr>
        <w:t>-</w:t>
      </w:r>
      <w:r w:rsidRPr="00B102F5">
        <w:rPr>
          <w:rFonts w:ascii="Arial" w:hAnsi="Arial" w:cs="Arial"/>
        </w:rPr>
        <w:t>E and 625E</w:t>
      </w:r>
      <w:r w:rsidR="00EF3EE2" w:rsidRPr="00B102F5">
        <w:rPr>
          <w:rFonts w:ascii="Arial" w:hAnsi="Arial" w:cs="Arial"/>
        </w:rPr>
        <w:t>-</w:t>
      </w:r>
      <w:r w:rsidRPr="00B102F5">
        <w:rPr>
          <w:rFonts w:ascii="Arial" w:hAnsi="Arial" w:cs="Arial"/>
        </w:rPr>
        <w:t>F; </w:t>
      </w:r>
      <w:r w:rsidRPr="00B102F5">
        <w:rPr>
          <w:rFonts w:ascii="Arial" w:hAnsi="Arial" w:cs="Arial"/>
          <w:i/>
          <w:iCs/>
        </w:rPr>
        <w:t>Schwartz v Schwartz</w:t>
      </w:r>
      <w:r w:rsidRPr="00B102F5">
        <w:rPr>
          <w:rFonts w:ascii="Arial" w:hAnsi="Arial" w:cs="Arial"/>
        </w:rPr>
        <w:t> </w:t>
      </w:r>
      <w:hyperlink r:id="rId13" w:tgtFrame="main" w:history="1">
        <w:r w:rsidRPr="00B102F5">
          <w:rPr>
            <w:rStyle w:val="Hyperlink"/>
            <w:rFonts w:ascii="Arial" w:hAnsi="Arial" w:cs="Arial"/>
            <w:color w:val="auto"/>
            <w:u w:val="none"/>
          </w:rPr>
          <w:t>1984 (4) SA 467 (A)</w:t>
        </w:r>
      </w:hyperlink>
      <w:r w:rsidRPr="00B102F5">
        <w:rPr>
          <w:rFonts w:ascii="Arial" w:hAnsi="Arial" w:cs="Arial"/>
        </w:rPr>
        <w:t>.’</w:t>
      </w:r>
    </w:p>
    <w:p w:rsidR="00EA16CD" w:rsidRPr="00F208B9" w:rsidRDefault="00EA16CD" w:rsidP="00EA16CD">
      <w:pPr>
        <w:spacing w:after="0"/>
        <w:jc w:val="both"/>
        <w:rPr>
          <w:rFonts w:ascii="Arial" w:hAnsi="Arial" w:cs="Arial"/>
          <w:sz w:val="24"/>
          <w:szCs w:val="24"/>
        </w:rPr>
      </w:pPr>
    </w:p>
    <w:p w:rsidR="00EA16CD" w:rsidRPr="00F208B9" w:rsidRDefault="00EA16CD" w:rsidP="00EA16CD">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Pr="00F208B9">
        <w:rPr>
          <w:rFonts w:ascii="Arial" w:hAnsi="Arial" w:cs="Arial"/>
          <w:sz w:val="24"/>
          <w:szCs w:val="24"/>
        </w:rPr>
        <w:t xml:space="preserve">The </w:t>
      </w:r>
      <w:r>
        <w:rPr>
          <w:rFonts w:ascii="Arial" w:hAnsi="Arial" w:cs="Arial"/>
          <w:sz w:val="24"/>
          <w:szCs w:val="24"/>
        </w:rPr>
        <w:t>plaintiff</w:t>
      </w:r>
      <w:r w:rsidRPr="00F208B9">
        <w:rPr>
          <w:rFonts w:ascii="Arial" w:hAnsi="Arial" w:cs="Arial"/>
          <w:sz w:val="24"/>
          <w:szCs w:val="24"/>
        </w:rPr>
        <w:t xml:space="preserve"> argue</w:t>
      </w:r>
      <w:r>
        <w:rPr>
          <w:rFonts w:ascii="Arial" w:hAnsi="Arial" w:cs="Arial"/>
          <w:sz w:val="24"/>
          <w:szCs w:val="24"/>
        </w:rPr>
        <w:t>d</w:t>
      </w:r>
      <w:r w:rsidRPr="00F208B9">
        <w:rPr>
          <w:rFonts w:ascii="Arial" w:hAnsi="Arial" w:cs="Arial"/>
          <w:sz w:val="24"/>
          <w:szCs w:val="24"/>
        </w:rPr>
        <w:t xml:space="preserve"> that the reason for the breakdown of the marriage is irrelevant in granting the divorce. </w:t>
      </w:r>
      <w:r>
        <w:rPr>
          <w:rFonts w:ascii="Arial" w:hAnsi="Arial" w:cs="Arial"/>
          <w:sz w:val="24"/>
          <w:szCs w:val="24"/>
        </w:rPr>
        <w:t xml:space="preserve">Relying on </w:t>
      </w:r>
      <w:r w:rsidRPr="00F208B9">
        <w:rPr>
          <w:rFonts w:ascii="Arial" w:hAnsi="Arial" w:cs="Arial"/>
          <w:i/>
          <w:sz w:val="24"/>
          <w:szCs w:val="24"/>
        </w:rPr>
        <w:t>S</w:t>
      </w:r>
      <w:r w:rsidR="00327130">
        <w:rPr>
          <w:rFonts w:ascii="Arial" w:hAnsi="Arial" w:cs="Arial"/>
          <w:i/>
          <w:sz w:val="24"/>
          <w:szCs w:val="24"/>
        </w:rPr>
        <w:t>c</w:t>
      </w:r>
      <w:r w:rsidRPr="00F208B9">
        <w:rPr>
          <w:rFonts w:ascii="Arial" w:hAnsi="Arial" w:cs="Arial"/>
          <w:i/>
          <w:sz w:val="24"/>
          <w:szCs w:val="24"/>
        </w:rPr>
        <w:t>hwartz v S</w:t>
      </w:r>
      <w:r w:rsidR="00327130">
        <w:rPr>
          <w:rFonts w:ascii="Arial" w:hAnsi="Arial" w:cs="Arial"/>
          <w:i/>
          <w:sz w:val="24"/>
          <w:szCs w:val="24"/>
        </w:rPr>
        <w:t>c</w:t>
      </w:r>
      <w:r w:rsidRPr="00F208B9">
        <w:rPr>
          <w:rFonts w:ascii="Arial" w:hAnsi="Arial" w:cs="Arial"/>
          <w:i/>
          <w:sz w:val="24"/>
          <w:szCs w:val="24"/>
        </w:rPr>
        <w:t>hwartz</w:t>
      </w:r>
      <w:r w:rsidR="008F3308" w:rsidRPr="008F3308">
        <w:rPr>
          <w:rStyle w:val="FootnoteReference"/>
          <w:rFonts w:ascii="Arial" w:hAnsi="Arial" w:cs="Arial"/>
          <w:sz w:val="24"/>
          <w:szCs w:val="24"/>
        </w:rPr>
        <w:footnoteReference w:id="8"/>
      </w:r>
      <w:r w:rsidRPr="008F3308">
        <w:rPr>
          <w:rFonts w:ascii="Arial" w:hAnsi="Arial" w:cs="Arial"/>
          <w:sz w:val="24"/>
          <w:szCs w:val="24"/>
        </w:rPr>
        <w:t xml:space="preserve"> </w:t>
      </w:r>
      <w:r w:rsidR="008F3308" w:rsidRPr="008F3308">
        <w:rPr>
          <w:rFonts w:ascii="Arial" w:hAnsi="Arial" w:cs="Arial"/>
          <w:sz w:val="24"/>
          <w:szCs w:val="24"/>
        </w:rPr>
        <w:t>t</w:t>
      </w:r>
      <w:r>
        <w:rPr>
          <w:rFonts w:ascii="Arial" w:hAnsi="Arial" w:cs="Arial"/>
          <w:sz w:val="24"/>
          <w:szCs w:val="24"/>
        </w:rPr>
        <w:t xml:space="preserve">he plaintiff submitted that </w:t>
      </w:r>
      <w:r w:rsidRPr="00F208B9">
        <w:rPr>
          <w:rFonts w:ascii="Arial" w:hAnsi="Arial" w:cs="Arial"/>
          <w:sz w:val="24"/>
          <w:szCs w:val="24"/>
        </w:rPr>
        <w:t>evidence to prove the breakdown can be led later as part of determining maintenance.</w:t>
      </w:r>
      <w:r>
        <w:rPr>
          <w:rFonts w:ascii="Arial" w:hAnsi="Arial" w:cs="Arial"/>
          <w:sz w:val="24"/>
          <w:szCs w:val="24"/>
        </w:rPr>
        <w:t xml:space="preserve"> </w:t>
      </w:r>
      <w:r w:rsidRPr="00BA094D">
        <w:rPr>
          <w:rFonts w:ascii="Arial" w:hAnsi="Arial" w:cs="Arial"/>
          <w:sz w:val="24"/>
          <w:szCs w:val="24"/>
        </w:rPr>
        <w:t xml:space="preserve">According </w:t>
      </w:r>
      <w:r w:rsidR="00327130" w:rsidRPr="00BA094D">
        <w:rPr>
          <w:rFonts w:ascii="Arial" w:hAnsi="Arial" w:cs="Arial"/>
          <w:sz w:val="24"/>
          <w:szCs w:val="24"/>
        </w:rPr>
        <w:t xml:space="preserve">to </w:t>
      </w:r>
      <w:r w:rsidRPr="00BA094D">
        <w:rPr>
          <w:rFonts w:ascii="Arial" w:hAnsi="Arial" w:cs="Arial"/>
          <w:sz w:val="24"/>
          <w:szCs w:val="24"/>
        </w:rPr>
        <w:t xml:space="preserve">the plaintiff it is against public policy and is prejudicial </w:t>
      </w:r>
      <w:r w:rsidR="00AB034E" w:rsidRPr="00BA094D">
        <w:rPr>
          <w:rFonts w:ascii="Arial" w:hAnsi="Arial" w:cs="Arial"/>
          <w:sz w:val="24"/>
          <w:szCs w:val="24"/>
        </w:rPr>
        <w:t xml:space="preserve">to </w:t>
      </w:r>
      <w:r w:rsidR="00161D9E">
        <w:rPr>
          <w:rFonts w:ascii="Arial" w:hAnsi="Arial" w:cs="Arial"/>
          <w:sz w:val="24"/>
          <w:szCs w:val="24"/>
        </w:rPr>
        <w:t xml:space="preserve">the parties to </w:t>
      </w:r>
      <w:r w:rsidR="00AB034E" w:rsidRPr="00BA094D">
        <w:rPr>
          <w:rFonts w:ascii="Arial" w:hAnsi="Arial" w:cs="Arial"/>
          <w:sz w:val="24"/>
          <w:szCs w:val="24"/>
        </w:rPr>
        <w:t>require the</w:t>
      </w:r>
      <w:r w:rsidR="00161D9E">
        <w:rPr>
          <w:rFonts w:ascii="Arial" w:hAnsi="Arial" w:cs="Arial"/>
          <w:sz w:val="24"/>
          <w:szCs w:val="24"/>
        </w:rPr>
        <w:t>m</w:t>
      </w:r>
      <w:r w:rsidR="00AB034E" w:rsidRPr="00BA094D">
        <w:rPr>
          <w:rFonts w:ascii="Arial" w:hAnsi="Arial" w:cs="Arial"/>
          <w:sz w:val="24"/>
          <w:szCs w:val="24"/>
        </w:rPr>
        <w:t xml:space="preserve"> to remain </w:t>
      </w:r>
      <w:r w:rsidRPr="00BA094D">
        <w:rPr>
          <w:rFonts w:ascii="Arial" w:hAnsi="Arial" w:cs="Arial"/>
          <w:sz w:val="24"/>
          <w:szCs w:val="24"/>
        </w:rPr>
        <w:t>in a marriage mutually agreed to be dead.</w:t>
      </w:r>
      <w:r w:rsidR="008F3308" w:rsidRPr="00BA094D">
        <w:rPr>
          <w:rStyle w:val="FootnoteReference"/>
          <w:rFonts w:ascii="Arial" w:hAnsi="Arial" w:cs="Arial"/>
          <w:sz w:val="24"/>
          <w:szCs w:val="24"/>
        </w:rPr>
        <w:footnoteReference w:id="9"/>
      </w:r>
      <w:r w:rsidRPr="00F208B9">
        <w:rPr>
          <w:rFonts w:ascii="Arial" w:hAnsi="Arial" w:cs="Arial"/>
          <w:sz w:val="24"/>
          <w:szCs w:val="24"/>
        </w:rPr>
        <w:t xml:space="preserve"> </w:t>
      </w:r>
    </w:p>
    <w:p w:rsidR="00EA16CD" w:rsidRPr="00F208B9" w:rsidRDefault="00EA16CD" w:rsidP="001A6702">
      <w:pPr>
        <w:spacing w:after="0" w:line="240" w:lineRule="auto"/>
        <w:jc w:val="both"/>
        <w:rPr>
          <w:rFonts w:ascii="Arial" w:hAnsi="Arial" w:cs="Arial"/>
          <w:sz w:val="24"/>
          <w:szCs w:val="24"/>
        </w:rPr>
      </w:pPr>
    </w:p>
    <w:p w:rsidR="00EA16CD" w:rsidRPr="00F208B9" w:rsidRDefault="00EA16CD" w:rsidP="00097F43">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t>According to t</w:t>
      </w:r>
      <w:r w:rsidRPr="00F208B9">
        <w:rPr>
          <w:rFonts w:ascii="Arial" w:hAnsi="Arial" w:cs="Arial"/>
          <w:sz w:val="24"/>
          <w:szCs w:val="24"/>
        </w:rPr>
        <w:t xml:space="preserve">he </w:t>
      </w:r>
      <w:r>
        <w:rPr>
          <w:rFonts w:ascii="Arial" w:hAnsi="Arial" w:cs="Arial"/>
          <w:sz w:val="24"/>
          <w:szCs w:val="24"/>
        </w:rPr>
        <w:t>plaintiff,</w:t>
      </w:r>
      <w:r w:rsidRPr="00F208B9">
        <w:rPr>
          <w:rFonts w:ascii="Arial" w:hAnsi="Arial" w:cs="Arial"/>
          <w:sz w:val="24"/>
          <w:szCs w:val="24"/>
        </w:rPr>
        <w:t xml:space="preserve"> the </w:t>
      </w:r>
      <w:r>
        <w:rPr>
          <w:rFonts w:ascii="Arial" w:hAnsi="Arial" w:cs="Arial"/>
          <w:sz w:val="24"/>
          <w:szCs w:val="24"/>
        </w:rPr>
        <w:t xml:space="preserve">defendant’s rights </w:t>
      </w:r>
      <w:r w:rsidR="00AB034E">
        <w:rPr>
          <w:rFonts w:ascii="Arial" w:hAnsi="Arial" w:cs="Arial"/>
          <w:sz w:val="24"/>
          <w:szCs w:val="24"/>
        </w:rPr>
        <w:t>provided by r</w:t>
      </w:r>
      <w:r w:rsidRPr="00F208B9">
        <w:rPr>
          <w:rFonts w:ascii="Arial" w:hAnsi="Arial" w:cs="Arial"/>
          <w:sz w:val="24"/>
          <w:szCs w:val="24"/>
        </w:rPr>
        <w:t xml:space="preserve">ule 43 </w:t>
      </w:r>
      <w:r>
        <w:rPr>
          <w:rFonts w:ascii="Arial" w:hAnsi="Arial" w:cs="Arial"/>
          <w:sz w:val="24"/>
          <w:szCs w:val="24"/>
        </w:rPr>
        <w:t xml:space="preserve">do not fall </w:t>
      </w:r>
      <w:r w:rsidRPr="00F208B9">
        <w:rPr>
          <w:rFonts w:ascii="Arial" w:hAnsi="Arial" w:cs="Arial"/>
          <w:sz w:val="24"/>
          <w:szCs w:val="24"/>
        </w:rPr>
        <w:t>away upon the granting of the divorce</w:t>
      </w:r>
      <w:r>
        <w:rPr>
          <w:rFonts w:ascii="Arial" w:hAnsi="Arial" w:cs="Arial"/>
          <w:sz w:val="24"/>
          <w:szCs w:val="24"/>
        </w:rPr>
        <w:t>. D</w:t>
      </w:r>
      <w:r w:rsidRPr="00F208B9">
        <w:rPr>
          <w:rFonts w:ascii="Arial" w:hAnsi="Arial" w:cs="Arial"/>
          <w:sz w:val="24"/>
          <w:szCs w:val="24"/>
        </w:rPr>
        <w:t>uring August 2022</w:t>
      </w:r>
      <w:r>
        <w:rPr>
          <w:rFonts w:ascii="Arial" w:hAnsi="Arial" w:cs="Arial"/>
          <w:sz w:val="24"/>
          <w:szCs w:val="24"/>
        </w:rPr>
        <w:t xml:space="preserve">, the court only granted the plaintiff </w:t>
      </w:r>
      <w:r w:rsidRPr="00F208B9">
        <w:rPr>
          <w:rFonts w:ascii="Arial" w:hAnsi="Arial" w:cs="Arial"/>
          <w:sz w:val="24"/>
          <w:szCs w:val="24"/>
        </w:rPr>
        <w:t xml:space="preserve">an order for the maintenance of </w:t>
      </w:r>
      <w:r>
        <w:rPr>
          <w:rFonts w:ascii="Arial" w:hAnsi="Arial" w:cs="Arial"/>
          <w:sz w:val="24"/>
          <w:szCs w:val="24"/>
        </w:rPr>
        <w:t xml:space="preserve">the parties </w:t>
      </w:r>
      <w:r w:rsidRPr="00F208B9">
        <w:rPr>
          <w:rFonts w:ascii="Arial" w:hAnsi="Arial" w:cs="Arial"/>
          <w:sz w:val="24"/>
          <w:szCs w:val="24"/>
        </w:rPr>
        <w:t>co-owned property which order would survive the divorce. He argue</w:t>
      </w:r>
      <w:r>
        <w:rPr>
          <w:rFonts w:ascii="Arial" w:hAnsi="Arial" w:cs="Arial"/>
          <w:sz w:val="24"/>
          <w:szCs w:val="24"/>
        </w:rPr>
        <w:t>d</w:t>
      </w:r>
      <w:r w:rsidRPr="00F208B9">
        <w:rPr>
          <w:rFonts w:ascii="Arial" w:hAnsi="Arial" w:cs="Arial"/>
          <w:sz w:val="24"/>
          <w:szCs w:val="24"/>
        </w:rPr>
        <w:t xml:space="preserve"> that the </w:t>
      </w:r>
      <w:r>
        <w:rPr>
          <w:rFonts w:ascii="Arial" w:hAnsi="Arial" w:cs="Arial"/>
          <w:sz w:val="24"/>
          <w:szCs w:val="24"/>
        </w:rPr>
        <w:t xml:space="preserve">defendant’s </w:t>
      </w:r>
      <w:r w:rsidRPr="00F208B9">
        <w:rPr>
          <w:rFonts w:ascii="Arial" w:hAnsi="Arial" w:cs="Arial"/>
          <w:sz w:val="24"/>
          <w:szCs w:val="24"/>
        </w:rPr>
        <w:t xml:space="preserve">subsequent </w:t>
      </w:r>
      <w:r>
        <w:rPr>
          <w:rFonts w:ascii="Arial" w:hAnsi="Arial" w:cs="Arial"/>
          <w:sz w:val="24"/>
          <w:szCs w:val="24"/>
        </w:rPr>
        <w:t>r</w:t>
      </w:r>
      <w:r w:rsidRPr="00F208B9">
        <w:rPr>
          <w:rFonts w:ascii="Arial" w:hAnsi="Arial" w:cs="Arial"/>
          <w:sz w:val="24"/>
          <w:szCs w:val="24"/>
        </w:rPr>
        <w:t xml:space="preserve">ule 43(6) application for the contribution towards costs pre-supposed the existence a </w:t>
      </w:r>
      <w:r>
        <w:rPr>
          <w:rFonts w:ascii="Arial" w:hAnsi="Arial" w:cs="Arial"/>
          <w:sz w:val="24"/>
          <w:szCs w:val="24"/>
        </w:rPr>
        <w:t>r</w:t>
      </w:r>
      <w:r w:rsidRPr="00F208B9">
        <w:rPr>
          <w:rFonts w:ascii="Arial" w:hAnsi="Arial" w:cs="Arial"/>
          <w:sz w:val="24"/>
          <w:szCs w:val="24"/>
        </w:rPr>
        <w:t>ule 43 order where none was in place</w:t>
      </w:r>
      <w:r>
        <w:rPr>
          <w:rFonts w:ascii="Arial" w:hAnsi="Arial" w:cs="Arial"/>
          <w:sz w:val="24"/>
          <w:szCs w:val="24"/>
        </w:rPr>
        <w:t xml:space="preserve"> and that </w:t>
      </w:r>
      <w:r w:rsidRPr="00F208B9">
        <w:rPr>
          <w:rFonts w:ascii="Arial" w:hAnsi="Arial" w:cs="Arial"/>
          <w:sz w:val="24"/>
          <w:szCs w:val="24"/>
        </w:rPr>
        <w:t xml:space="preserve">the relief for interim maintenance and contribution towards costs </w:t>
      </w:r>
      <w:r>
        <w:rPr>
          <w:rFonts w:ascii="Arial" w:hAnsi="Arial" w:cs="Arial"/>
          <w:sz w:val="24"/>
          <w:szCs w:val="24"/>
        </w:rPr>
        <w:t>were</w:t>
      </w:r>
      <w:r w:rsidRPr="00F208B9">
        <w:rPr>
          <w:rFonts w:ascii="Arial" w:hAnsi="Arial" w:cs="Arial"/>
          <w:sz w:val="24"/>
          <w:szCs w:val="24"/>
        </w:rPr>
        <w:t xml:space="preserve"> both </w:t>
      </w:r>
      <w:r w:rsidRPr="00F208B9">
        <w:rPr>
          <w:rFonts w:ascii="Arial" w:hAnsi="Arial" w:cs="Arial"/>
          <w:i/>
          <w:sz w:val="24"/>
          <w:szCs w:val="24"/>
        </w:rPr>
        <w:t>res judicata</w:t>
      </w:r>
      <w:r>
        <w:rPr>
          <w:rFonts w:ascii="Arial" w:hAnsi="Arial" w:cs="Arial"/>
          <w:i/>
          <w:sz w:val="24"/>
          <w:szCs w:val="24"/>
        </w:rPr>
        <w:t xml:space="preserve"> </w:t>
      </w:r>
      <w:r>
        <w:rPr>
          <w:rFonts w:ascii="Arial" w:hAnsi="Arial" w:cs="Arial"/>
          <w:sz w:val="24"/>
          <w:szCs w:val="24"/>
        </w:rPr>
        <w:t>having been previously refused by the court during August</w:t>
      </w:r>
      <w:r w:rsidRPr="00F208B9">
        <w:rPr>
          <w:rFonts w:ascii="Arial" w:hAnsi="Arial" w:cs="Arial"/>
          <w:i/>
          <w:sz w:val="24"/>
          <w:szCs w:val="24"/>
        </w:rPr>
        <w:t xml:space="preserve">. </w:t>
      </w:r>
      <w:r w:rsidRPr="00DD63A9">
        <w:rPr>
          <w:rFonts w:ascii="Arial" w:hAnsi="Arial" w:cs="Arial"/>
          <w:sz w:val="24"/>
          <w:szCs w:val="24"/>
        </w:rPr>
        <w:t>However, he</w:t>
      </w:r>
      <w:r>
        <w:rPr>
          <w:rFonts w:ascii="Arial" w:hAnsi="Arial" w:cs="Arial"/>
          <w:i/>
          <w:sz w:val="24"/>
          <w:szCs w:val="24"/>
        </w:rPr>
        <w:t xml:space="preserve"> </w:t>
      </w:r>
      <w:r w:rsidRPr="00F208B9">
        <w:rPr>
          <w:rFonts w:ascii="Arial" w:hAnsi="Arial" w:cs="Arial"/>
          <w:sz w:val="24"/>
          <w:szCs w:val="24"/>
        </w:rPr>
        <w:t xml:space="preserve">had no objection to an order reserving the </w:t>
      </w:r>
      <w:r>
        <w:rPr>
          <w:rFonts w:ascii="Arial" w:hAnsi="Arial" w:cs="Arial"/>
          <w:sz w:val="24"/>
          <w:szCs w:val="24"/>
        </w:rPr>
        <w:t xml:space="preserve">defendant’s </w:t>
      </w:r>
      <w:r w:rsidRPr="00F208B9">
        <w:rPr>
          <w:rFonts w:ascii="Arial" w:hAnsi="Arial" w:cs="Arial"/>
          <w:sz w:val="24"/>
          <w:szCs w:val="24"/>
        </w:rPr>
        <w:t>right</w:t>
      </w:r>
      <w:r w:rsidR="00161D9E">
        <w:rPr>
          <w:rFonts w:ascii="Arial" w:hAnsi="Arial" w:cs="Arial"/>
          <w:sz w:val="24"/>
          <w:szCs w:val="24"/>
        </w:rPr>
        <w:t>s</w:t>
      </w:r>
      <w:r w:rsidRPr="00F208B9">
        <w:rPr>
          <w:rFonts w:ascii="Arial" w:hAnsi="Arial" w:cs="Arial"/>
          <w:sz w:val="24"/>
          <w:szCs w:val="24"/>
        </w:rPr>
        <w:t xml:space="preserve"> to bring the </w:t>
      </w:r>
      <w:r w:rsidR="008F3308">
        <w:rPr>
          <w:rFonts w:ascii="Arial" w:hAnsi="Arial" w:cs="Arial"/>
          <w:sz w:val="24"/>
          <w:szCs w:val="24"/>
        </w:rPr>
        <w:t>r</w:t>
      </w:r>
      <w:r w:rsidRPr="00F208B9">
        <w:rPr>
          <w:rFonts w:ascii="Arial" w:hAnsi="Arial" w:cs="Arial"/>
          <w:sz w:val="24"/>
          <w:szCs w:val="24"/>
        </w:rPr>
        <w:t xml:space="preserve">ule 43(6) </w:t>
      </w:r>
      <w:r w:rsidR="003276D5">
        <w:rPr>
          <w:rFonts w:ascii="Arial" w:hAnsi="Arial" w:cs="Arial"/>
          <w:sz w:val="24"/>
          <w:szCs w:val="24"/>
        </w:rPr>
        <w:t xml:space="preserve">application </w:t>
      </w:r>
      <w:r w:rsidRPr="00F208B9">
        <w:rPr>
          <w:rFonts w:ascii="Arial" w:hAnsi="Arial" w:cs="Arial"/>
          <w:sz w:val="24"/>
          <w:szCs w:val="24"/>
        </w:rPr>
        <w:t>even after the granting of the divorce.</w:t>
      </w:r>
    </w:p>
    <w:p w:rsidR="00EA16CD" w:rsidRDefault="00EA16CD" w:rsidP="001A6702">
      <w:pPr>
        <w:spacing w:after="0" w:line="240" w:lineRule="auto"/>
        <w:jc w:val="both"/>
        <w:rPr>
          <w:rFonts w:ascii="Arial" w:hAnsi="Arial" w:cs="Arial"/>
          <w:sz w:val="24"/>
          <w:szCs w:val="24"/>
        </w:rPr>
      </w:pPr>
    </w:p>
    <w:p w:rsidR="00EA16CD" w:rsidRPr="00F208B9" w:rsidRDefault="00EA16CD" w:rsidP="00097F43">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t>R</w:t>
      </w:r>
      <w:r w:rsidRPr="00F208B9">
        <w:rPr>
          <w:rFonts w:ascii="Arial" w:hAnsi="Arial" w:cs="Arial"/>
          <w:sz w:val="24"/>
          <w:szCs w:val="24"/>
        </w:rPr>
        <w:t xml:space="preserve">elying on </w:t>
      </w:r>
      <w:r w:rsidRPr="00EC21CF">
        <w:rPr>
          <w:rFonts w:ascii="Arial" w:hAnsi="Arial" w:cs="Arial"/>
          <w:i/>
          <w:sz w:val="24"/>
          <w:szCs w:val="24"/>
        </w:rPr>
        <w:t>K</w:t>
      </w:r>
      <w:r w:rsidR="00853825">
        <w:rPr>
          <w:rFonts w:ascii="Arial" w:hAnsi="Arial" w:cs="Arial"/>
          <w:i/>
          <w:sz w:val="24"/>
          <w:szCs w:val="24"/>
        </w:rPr>
        <w:t xml:space="preserve"> </w:t>
      </w:r>
      <w:r w:rsidRPr="00EC21CF">
        <w:rPr>
          <w:rFonts w:ascii="Arial" w:hAnsi="Arial" w:cs="Arial"/>
          <w:i/>
          <w:sz w:val="24"/>
          <w:szCs w:val="24"/>
        </w:rPr>
        <w:t>O v M</w:t>
      </w:r>
      <w:r w:rsidR="00853825">
        <w:rPr>
          <w:rFonts w:ascii="Arial" w:hAnsi="Arial" w:cs="Arial"/>
          <w:i/>
          <w:sz w:val="24"/>
          <w:szCs w:val="24"/>
        </w:rPr>
        <w:t xml:space="preserve"> </w:t>
      </w:r>
      <w:r w:rsidRPr="00EC21CF">
        <w:rPr>
          <w:rFonts w:ascii="Arial" w:hAnsi="Arial" w:cs="Arial"/>
          <w:i/>
          <w:sz w:val="24"/>
          <w:szCs w:val="24"/>
        </w:rPr>
        <w:t>O</w:t>
      </w:r>
      <w:r w:rsidR="008F3308" w:rsidRPr="008F3308">
        <w:rPr>
          <w:rStyle w:val="FootnoteReference"/>
          <w:rFonts w:ascii="Arial" w:hAnsi="Arial" w:cs="Arial"/>
          <w:sz w:val="24"/>
          <w:szCs w:val="24"/>
        </w:rPr>
        <w:footnoteReference w:id="10"/>
      </w:r>
      <w:r w:rsidRPr="00F208B9">
        <w:rPr>
          <w:rFonts w:ascii="Arial" w:hAnsi="Arial" w:cs="Arial"/>
          <w:sz w:val="24"/>
          <w:szCs w:val="24"/>
        </w:rPr>
        <w:t xml:space="preserve"> </w:t>
      </w:r>
      <w:r>
        <w:rPr>
          <w:rFonts w:ascii="Arial" w:hAnsi="Arial" w:cs="Arial"/>
          <w:sz w:val="24"/>
          <w:szCs w:val="24"/>
        </w:rPr>
        <w:t>t</w:t>
      </w:r>
      <w:r w:rsidRPr="00F208B9">
        <w:rPr>
          <w:rFonts w:ascii="Arial" w:hAnsi="Arial" w:cs="Arial"/>
          <w:sz w:val="24"/>
          <w:szCs w:val="24"/>
        </w:rPr>
        <w:t xml:space="preserve">he plaintiff submitted that the court could grant a separation order reserving the defendant’s right to bring an application in terms of rule 43(6). </w:t>
      </w:r>
      <w:r>
        <w:rPr>
          <w:rFonts w:ascii="Arial" w:hAnsi="Arial" w:cs="Arial"/>
          <w:sz w:val="24"/>
          <w:szCs w:val="24"/>
        </w:rPr>
        <w:t>I</w:t>
      </w:r>
      <w:r w:rsidRPr="00F208B9">
        <w:rPr>
          <w:rFonts w:ascii="Arial" w:hAnsi="Arial" w:cs="Arial"/>
          <w:sz w:val="24"/>
          <w:szCs w:val="24"/>
        </w:rPr>
        <w:t xml:space="preserve">f the dicta </w:t>
      </w:r>
      <w:r>
        <w:rPr>
          <w:rFonts w:ascii="Arial" w:hAnsi="Arial" w:cs="Arial"/>
          <w:sz w:val="24"/>
          <w:szCs w:val="24"/>
        </w:rPr>
        <w:t>for such reservation wa</w:t>
      </w:r>
      <w:r w:rsidRPr="00F208B9">
        <w:rPr>
          <w:rFonts w:ascii="Arial" w:hAnsi="Arial" w:cs="Arial"/>
          <w:sz w:val="24"/>
          <w:szCs w:val="24"/>
        </w:rPr>
        <w:t xml:space="preserve">s not preferred, </w:t>
      </w:r>
      <w:r>
        <w:rPr>
          <w:rFonts w:ascii="Arial" w:hAnsi="Arial" w:cs="Arial"/>
          <w:sz w:val="24"/>
          <w:szCs w:val="24"/>
        </w:rPr>
        <w:t xml:space="preserve">the plaintiff contended that </w:t>
      </w:r>
      <w:r w:rsidRPr="00F208B9">
        <w:rPr>
          <w:rFonts w:ascii="Arial" w:hAnsi="Arial" w:cs="Arial"/>
          <w:sz w:val="24"/>
          <w:szCs w:val="24"/>
        </w:rPr>
        <w:t xml:space="preserve">there was </w:t>
      </w:r>
      <w:r>
        <w:rPr>
          <w:rFonts w:ascii="Arial" w:hAnsi="Arial" w:cs="Arial"/>
          <w:sz w:val="24"/>
          <w:szCs w:val="24"/>
        </w:rPr>
        <w:t xml:space="preserve">in any event </w:t>
      </w:r>
      <w:r w:rsidRPr="00F208B9">
        <w:rPr>
          <w:rFonts w:ascii="Arial" w:hAnsi="Arial" w:cs="Arial"/>
          <w:sz w:val="24"/>
          <w:szCs w:val="24"/>
        </w:rPr>
        <w:t xml:space="preserve">no pending rule 43 proceedings nor would a right to pursue same stand in the way of a separation order. It was argued therefore that no prejudice would be suffered by the </w:t>
      </w:r>
      <w:r>
        <w:rPr>
          <w:rFonts w:ascii="Arial" w:hAnsi="Arial" w:cs="Arial"/>
          <w:sz w:val="24"/>
          <w:szCs w:val="24"/>
        </w:rPr>
        <w:t>defendant if the divorce was granted</w:t>
      </w:r>
      <w:r w:rsidRPr="00F208B9">
        <w:rPr>
          <w:rFonts w:ascii="Arial" w:hAnsi="Arial" w:cs="Arial"/>
          <w:sz w:val="24"/>
          <w:szCs w:val="24"/>
        </w:rPr>
        <w:t xml:space="preserve">. </w:t>
      </w:r>
      <w:r>
        <w:rPr>
          <w:rFonts w:ascii="Arial" w:hAnsi="Arial" w:cs="Arial"/>
          <w:sz w:val="24"/>
          <w:szCs w:val="24"/>
        </w:rPr>
        <w:t xml:space="preserve">Accordingly, that </w:t>
      </w:r>
      <w:r w:rsidRPr="00F208B9">
        <w:rPr>
          <w:rFonts w:ascii="Arial" w:hAnsi="Arial" w:cs="Arial"/>
          <w:sz w:val="24"/>
          <w:szCs w:val="24"/>
        </w:rPr>
        <w:t xml:space="preserve">it was apparent that </w:t>
      </w:r>
      <w:r>
        <w:rPr>
          <w:rFonts w:ascii="Arial" w:hAnsi="Arial" w:cs="Arial"/>
          <w:sz w:val="24"/>
          <w:szCs w:val="24"/>
        </w:rPr>
        <w:t>t</w:t>
      </w:r>
      <w:r w:rsidRPr="00F208B9">
        <w:rPr>
          <w:rFonts w:ascii="Arial" w:hAnsi="Arial" w:cs="Arial"/>
          <w:sz w:val="24"/>
          <w:szCs w:val="24"/>
        </w:rPr>
        <w:t xml:space="preserve">he </w:t>
      </w:r>
      <w:r>
        <w:rPr>
          <w:rFonts w:ascii="Arial" w:hAnsi="Arial" w:cs="Arial"/>
          <w:sz w:val="24"/>
          <w:szCs w:val="24"/>
        </w:rPr>
        <w:t xml:space="preserve">defendant </w:t>
      </w:r>
      <w:r w:rsidRPr="00F208B9">
        <w:rPr>
          <w:rFonts w:ascii="Arial" w:hAnsi="Arial" w:cs="Arial"/>
          <w:sz w:val="24"/>
          <w:szCs w:val="24"/>
        </w:rPr>
        <w:t>was utilising the shackles of a dead marriage as leverage.</w:t>
      </w:r>
    </w:p>
    <w:p w:rsidR="00EA16CD" w:rsidRPr="00F208B9" w:rsidRDefault="00EA16CD" w:rsidP="001A6702">
      <w:pPr>
        <w:spacing w:after="0" w:line="240" w:lineRule="auto"/>
        <w:jc w:val="both"/>
        <w:rPr>
          <w:rFonts w:ascii="Arial" w:hAnsi="Arial" w:cs="Arial"/>
          <w:sz w:val="24"/>
          <w:szCs w:val="24"/>
        </w:rPr>
      </w:pPr>
    </w:p>
    <w:p w:rsidR="00EA16CD" w:rsidRPr="00F208B9" w:rsidRDefault="00097F43" w:rsidP="00097F43">
      <w:pPr>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EA16CD" w:rsidRPr="00172094">
        <w:rPr>
          <w:rFonts w:ascii="Arial" w:hAnsi="Arial" w:cs="Arial"/>
          <w:sz w:val="24"/>
          <w:szCs w:val="24"/>
        </w:rPr>
        <w:t xml:space="preserve">The plaintiff argued that </w:t>
      </w:r>
      <w:r w:rsidR="0062515C" w:rsidRPr="00172094">
        <w:rPr>
          <w:rFonts w:ascii="Arial" w:hAnsi="Arial" w:cs="Arial"/>
          <w:i/>
          <w:sz w:val="24"/>
          <w:szCs w:val="24"/>
        </w:rPr>
        <w:t>Schutte v Schutte</w:t>
      </w:r>
      <w:r w:rsidR="0062515C" w:rsidRPr="008F3308">
        <w:rPr>
          <w:rStyle w:val="FootnoteReference"/>
          <w:rFonts w:ascii="Arial" w:hAnsi="Arial" w:cs="Arial"/>
          <w:sz w:val="24"/>
          <w:szCs w:val="24"/>
        </w:rPr>
        <w:footnoteReference w:id="11"/>
      </w:r>
      <w:r w:rsidR="0062515C">
        <w:rPr>
          <w:rFonts w:ascii="Arial" w:hAnsi="Arial" w:cs="Arial"/>
          <w:sz w:val="24"/>
          <w:szCs w:val="24"/>
        </w:rPr>
        <w:t xml:space="preserve"> </w:t>
      </w:r>
      <w:r w:rsidR="00EA16CD" w:rsidRPr="00172094">
        <w:rPr>
          <w:rFonts w:ascii="Arial" w:hAnsi="Arial" w:cs="Arial"/>
          <w:sz w:val="24"/>
          <w:szCs w:val="24"/>
        </w:rPr>
        <w:t>was no authority to support the defendant’s case</w:t>
      </w:r>
      <w:r w:rsidR="00E17DF8">
        <w:rPr>
          <w:rFonts w:ascii="Arial" w:hAnsi="Arial" w:cs="Arial"/>
          <w:sz w:val="24"/>
          <w:szCs w:val="24"/>
        </w:rPr>
        <w:t xml:space="preserve"> since </w:t>
      </w:r>
      <w:r w:rsidR="00EA16CD" w:rsidRPr="00172094">
        <w:rPr>
          <w:rFonts w:ascii="Arial" w:hAnsi="Arial" w:cs="Arial"/>
          <w:i/>
          <w:sz w:val="24"/>
          <w:szCs w:val="24"/>
        </w:rPr>
        <w:t>Schutte</w:t>
      </w:r>
      <w:r w:rsidR="0062515C">
        <w:rPr>
          <w:rFonts w:ascii="Arial" w:hAnsi="Arial" w:cs="Arial"/>
          <w:i/>
          <w:sz w:val="24"/>
          <w:szCs w:val="24"/>
        </w:rPr>
        <w:t xml:space="preserve"> </w:t>
      </w:r>
      <w:r w:rsidR="00EA16CD" w:rsidRPr="00172094">
        <w:rPr>
          <w:rFonts w:ascii="Arial" w:hAnsi="Arial" w:cs="Arial"/>
          <w:sz w:val="24"/>
          <w:szCs w:val="24"/>
        </w:rPr>
        <w:t xml:space="preserve">held that that a divorce order cannot be granted as a </w:t>
      </w:r>
      <w:r w:rsidR="0061277D">
        <w:rPr>
          <w:rFonts w:ascii="Arial" w:hAnsi="Arial" w:cs="Arial"/>
          <w:sz w:val="24"/>
          <w:szCs w:val="24"/>
        </w:rPr>
        <w:t xml:space="preserve">issue </w:t>
      </w:r>
      <w:r w:rsidR="00EA16CD" w:rsidRPr="00172094">
        <w:rPr>
          <w:rFonts w:ascii="Arial" w:hAnsi="Arial" w:cs="Arial"/>
          <w:sz w:val="24"/>
          <w:szCs w:val="24"/>
        </w:rPr>
        <w:t xml:space="preserve">separate from the issue of maintenance. </w:t>
      </w:r>
      <w:r w:rsidR="0061277D">
        <w:rPr>
          <w:rFonts w:ascii="Arial" w:hAnsi="Arial" w:cs="Arial"/>
          <w:sz w:val="24"/>
          <w:szCs w:val="24"/>
        </w:rPr>
        <w:t xml:space="preserve">Further, that </w:t>
      </w:r>
      <w:r w:rsidR="00EA16CD" w:rsidRPr="00172094">
        <w:rPr>
          <w:rFonts w:ascii="Arial" w:hAnsi="Arial" w:cs="Arial"/>
          <w:sz w:val="24"/>
          <w:szCs w:val="24"/>
        </w:rPr>
        <w:t xml:space="preserve"> </w:t>
      </w:r>
      <w:r w:rsidR="0061277D">
        <w:rPr>
          <w:rFonts w:ascii="Arial" w:hAnsi="Arial" w:cs="Arial"/>
          <w:sz w:val="24"/>
          <w:szCs w:val="24"/>
        </w:rPr>
        <w:t xml:space="preserve">a </w:t>
      </w:r>
      <w:r w:rsidR="00EA16CD" w:rsidRPr="00172094">
        <w:rPr>
          <w:rFonts w:ascii="Arial" w:hAnsi="Arial" w:cs="Arial"/>
          <w:sz w:val="24"/>
          <w:szCs w:val="24"/>
        </w:rPr>
        <w:t xml:space="preserve">maintenance order cannot be granted after the dissolution of a marriage. </w:t>
      </w:r>
      <w:r w:rsidR="0061277D">
        <w:rPr>
          <w:rFonts w:ascii="Arial" w:hAnsi="Arial" w:cs="Arial"/>
          <w:sz w:val="24"/>
          <w:szCs w:val="24"/>
        </w:rPr>
        <w:t>The court held that o</w:t>
      </w:r>
      <w:r w:rsidR="0061277D" w:rsidRPr="00172094">
        <w:rPr>
          <w:rFonts w:ascii="Arial" w:hAnsi="Arial" w:cs="Arial"/>
          <w:sz w:val="24"/>
          <w:szCs w:val="24"/>
        </w:rPr>
        <w:t xml:space="preserve">nce the </w:t>
      </w:r>
      <w:r w:rsidR="0061277D" w:rsidRPr="00172094">
        <w:rPr>
          <w:rFonts w:ascii="Arial" w:hAnsi="Arial" w:cs="Arial"/>
          <w:sz w:val="24"/>
          <w:szCs w:val="24"/>
        </w:rPr>
        <w:lastRenderedPageBreak/>
        <w:t xml:space="preserve">divorce is granted, the court is </w:t>
      </w:r>
      <w:r w:rsidR="0061277D" w:rsidRPr="00172094">
        <w:rPr>
          <w:rFonts w:ascii="Arial" w:hAnsi="Arial" w:cs="Arial"/>
          <w:i/>
          <w:sz w:val="24"/>
          <w:szCs w:val="24"/>
        </w:rPr>
        <w:t>functus officio</w:t>
      </w:r>
      <w:r w:rsidR="0061277D" w:rsidRPr="00172094">
        <w:rPr>
          <w:rFonts w:ascii="Arial" w:hAnsi="Arial" w:cs="Arial"/>
          <w:sz w:val="24"/>
          <w:szCs w:val="24"/>
        </w:rPr>
        <w:t xml:space="preserve">. </w:t>
      </w:r>
      <w:r w:rsidR="00EA16CD" w:rsidRPr="00172094">
        <w:rPr>
          <w:rFonts w:ascii="Arial" w:hAnsi="Arial" w:cs="Arial"/>
          <w:sz w:val="24"/>
          <w:szCs w:val="24"/>
        </w:rPr>
        <w:t xml:space="preserve">According to the plaintiff, the reasoning in </w:t>
      </w:r>
      <w:r w:rsidR="00EA16CD" w:rsidRPr="00172094">
        <w:rPr>
          <w:rFonts w:ascii="Arial" w:hAnsi="Arial" w:cs="Arial"/>
          <w:i/>
          <w:sz w:val="24"/>
          <w:szCs w:val="24"/>
        </w:rPr>
        <w:t xml:space="preserve">Schutte </w:t>
      </w:r>
      <w:r w:rsidR="00EA16CD" w:rsidRPr="00172094">
        <w:rPr>
          <w:rFonts w:ascii="Arial" w:hAnsi="Arial" w:cs="Arial"/>
          <w:sz w:val="24"/>
          <w:szCs w:val="24"/>
        </w:rPr>
        <w:t>was that s 8(1) of the Divorce Act</w:t>
      </w:r>
      <w:r w:rsidR="008F3308">
        <w:rPr>
          <w:rStyle w:val="FootnoteReference"/>
          <w:rFonts w:ascii="Arial" w:hAnsi="Arial" w:cs="Arial"/>
          <w:sz w:val="24"/>
          <w:szCs w:val="24"/>
        </w:rPr>
        <w:footnoteReference w:id="12"/>
      </w:r>
      <w:r w:rsidR="00EA16CD" w:rsidRPr="00172094">
        <w:rPr>
          <w:rFonts w:ascii="Arial" w:hAnsi="Arial" w:cs="Arial"/>
          <w:sz w:val="24"/>
          <w:szCs w:val="24"/>
        </w:rPr>
        <w:t xml:space="preserve"> regulates existing maintenance orders. In the current matter, the plaintiff is not seeking for the divorce to be granted and for the maintenance to be determined</w:t>
      </w:r>
      <w:r w:rsidR="0061277D">
        <w:rPr>
          <w:rFonts w:ascii="Arial" w:hAnsi="Arial" w:cs="Arial"/>
          <w:sz w:val="24"/>
          <w:szCs w:val="24"/>
        </w:rPr>
        <w:t xml:space="preserve"> simultaneously</w:t>
      </w:r>
      <w:r w:rsidR="00EA16CD" w:rsidRPr="00172094">
        <w:rPr>
          <w:rFonts w:ascii="Arial" w:hAnsi="Arial" w:cs="Arial"/>
          <w:sz w:val="24"/>
          <w:szCs w:val="24"/>
        </w:rPr>
        <w:t xml:space="preserve"> </w:t>
      </w:r>
      <w:r w:rsidR="003276D5">
        <w:rPr>
          <w:rFonts w:ascii="Arial" w:hAnsi="Arial" w:cs="Arial"/>
          <w:sz w:val="24"/>
          <w:szCs w:val="24"/>
        </w:rPr>
        <w:t>b</w:t>
      </w:r>
      <w:r w:rsidR="00EA16CD" w:rsidRPr="00172094">
        <w:rPr>
          <w:rFonts w:ascii="Arial" w:hAnsi="Arial" w:cs="Arial"/>
          <w:sz w:val="24"/>
          <w:szCs w:val="24"/>
        </w:rPr>
        <w:t>ut seeks an order that the maintenance be decided at a later stage by the divorce court</w:t>
      </w:r>
      <w:r w:rsidR="0061277D">
        <w:rPr>
          <w:rFonts w:ascii="Arial" w:hAnsi="Arial" w:cs="Arial"/>
          <w:sz w:val="24"/>
          <w:szCs w:val="24"/>
        </w:rPr>
        <w:t xml:space="preserve"> as part of the same divorce action</w:t>
      </w:r>
      <w:r w:rsidR="00EA16CD" w:rsidRPr="00172094">
        <w:rPr>
          <w:rFonts w:ascii="Arial" w:hAnsi="Arial" w:cs="Arial"/>
          <w:sz w:val="24"/>
          <w:szCs w:val="24"/>
        </w:rPr>
        <w:t>.</w:t>
      </w:r>
    </w:p>
    <w:p w:rsidR="00EA16CD" w:rsidRPr="00F208B9" w:rsidRDefault="00EA16CD" w:rsidP="001A6702">
      <w:pPr>
        <w:spacing w:after="0" w:line="240" w:lineRule="auto"/>
        <w:jc w:val="both"/>
        <w:rPr>
          <w:rFonts w:ascii="Arial" w:hAnsi="Arial" w:cs="Arial"/>
          <w:sz w:val="24"/>
          <w:szCs w:val="24"/>
        </w:rPr>
      </w:pPr>
    </w:p>
    <w:p w:rsidR="00EA16CD" w:rsidRPr="00F208B9" w:rsidRDefault="00097F43" w:rsidP="00097F43">
      <w:pPr>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EA16CD" w:rsidRPr="00F208B9">
        <w:rPr>
          <w:rFonts w:ascii="Arial" w:hAnsi="Arial" w:cs="Arial"/>
          <w:sz w:val="24"/>
          <w:szCs w:val="24"/>
        </w:rPr>
        <w:t xml:space="preserve">The defendant </w:t>
      </w:r>
      <w:r w:rsidR="00EA16CD">
        <w:rPr>
          <w:rFonts w:ascii="Arial" w:hAnsi="Arial" w:cs="Arial"/>
          <w:sz w:val="24"/>
          <w:szCs w:val="24"/>
        </w:rPr>
        <w:t xml:space="preserve">argued </w:t>
      </w:r>
      <w:r w:rsidR="00EA16CD" w:rsidRPr="00F208B9">
        <w:rPr>
          <w:rFonts w:ascii="Arial" w:hAnsi="Arial" w:cs="Arial"/>
          <w:sz w:val="24"/>
          <w:szCs w:val="24"/>
        </w:rPr>
        <w:t>that the plaintiff ha</w:t>
      </w:r>
      <w:r w:rsidR="00EA16CD">
        <w:rPr>
          <w:rFonts w:ascii="Arial" w:hAnsi="Arial" w:cs="Arial"/>
          <w:sz w:val="24"/>
          <w:szCs w:val="24"/>
        </w:rPr>
        <w:t>d</w:t>
      </w:r>
      <w:r w:rsidR="00EA16CD" w:rsidRPr="00F208B9">
        <w:rPr>
          <w:rFonts w:ascii="Arial" w:hAnsi="Arial" w:cs="Arial"/>
          <w:sz w:val="24"/>
          <w:szCs w:val="24"/>
        </w:rPr>
        <w:t xml:space="preserve"> not met the requirements </w:t>
      </w:r>
      <w:r w:rsidR="00EA16CD">
        <w:rPr>
          <w:rFonts w:ascii="Arial" w:hAnsi="Arial" w:cs="Arial"/>
          <w:sz w:val="24"/>
          <w:szCs w:val="24"/>
        </w:rPr>
        <w:t xml:space="preserve">of </w:t>
      </w:r>
      <w:r w:rsidR="00EA16CD" w:rsidRPr="00F208B9">
        <w:rPr>
          <w:rFonts w:ascii="Arial" w:hAnsi="Arial" w:cs="Arial"/>
          <w:sz w:val="24"/>
          <w:szCs w:val="24"/>
        </w:rPr>
        <w:t xml:space="preserve">rule 33(4). Secondly, that the granting of the divorce separate from other issues would have a devastating effect on </w:t>
      </w:r>
      <w:r w:rsidR="00EA16CD">
        <w:rPr>
          <w:rFonts w:ascii="Arial" w:hAnsi="Arial" w:cs="Arial"/>
          <w:sz w:val="24"/>
          <w:szCs w:val="24"/>
        </w:rPr>
        <w:t>her</w:t>
      </w:r>
      <w:r w:rsidR="00EA16CD" w:rsidRPr="00F208B9">
        <w:rPr>
          <w:rFonts w:ascii="Arial" w:hAnsi="Arial" w:cs="Arial"/>
          <w:sz w:val="24"/>
          <w:szCs w:val="24"/>
        </w:rPr>
        <w:t xml:space="preserve"> since he</w:t>
      </w:r>
      <w:r w:rsidR="00EA16CD">
        <w:rPr>
          <w:rFonts w:ascii="Arial" w:hAnsi="Arial" w:cs="Arial"/>
          <w:sz w:val="24"/>
          <w:szCs w:val="24"/>
        </w:rPr>
        <w:t>r</w:t>
      </w:r>
      <w:r w:rsidR="00EA16CD" w:rsidRPr="00F208B9">
        <w:rPr>
          <w:rFonts w:ascii="Arial" w:hAnsi="Arial" w:cs="Arial"/>
          <w:sz w:val="24"/>
          <w:szCs w:val="24"/>
        </w:rPr>
        <w:t xml:space="preserve"> common law and procedural rights will be removed, including reciprocal duty of spousal </w:t>
      </w:r>
      <w:r w:rsidR="00F25FEA" w:rsidRPr="00F208B9">
        <w:rPr>
          <w:rFonts w:ascii="Arial" w:hAnsi="Arial" w:cs="Arial"/>
          <w:sz w:val="24"/>
          <w:szCs w:val="24"/>
        </w:rPr>
        <w:t>support, the</w:t>
      </w:r>
      <w:r w:rsidR="00EA16CD" w:rsidRPr="00F208B9">
        <w:rPr>
          <w:rFonts w:ascii="Arial" w:hAnsi="Arial" w:cs="Arial"/>
          <w:sz w:val="24"/>
          <w:szCs w:val="24"/>
        </w:rPr>
        <w:t xml:space="preserve"> right to claim maintenance and contribution towards costs as envisage</w:t>
      </w:r>
      <w:r w:rsidR="003276D5">
        <w:rPr>
          <w:rFonts w:ascii="Arial" w:hAnsi="Arial" w:cs="Arial"/>
          <w:sz w:val="24"/>
          <w:szCs w:val="24"/>
        </w:rPr>
        <w:t>d</w:t>
      </w:r>
      <w:r w:rsidR="00EA16CD" w:rsidRPr="00F208B9">
        <w:rPr>
          <w:rFonts w:ascii="Arial" w:hAnsi="Arial" w:cs="Arial"/>
          <w:sz w:val="24"/>
          <w:szCs w:val="24"/>
        </w:rPr>
        <w:t xml:space="preserve"> in rule 43 and the right to cross</w:t>
      </w:r>
      <w:r w:rsidR="003276D5">
        <w:rPr>
          <w:rFonts w:ascii="Arial" w:hAnsi="Arial" w:cs="Arial"/>
          <w:sz w:val="24"/>
          <w:szCs w:val="24"/>
        </w:rPr>
        <w:t>-</w:t>
      </w:r>
      <w:r w:rsidR="00EA16CD" w:rsidRPr="00F208B9">
        <w:rPr>
          <w:rFonts w:ascii="Arial" w:hAnsi="Arial" w:cs="Arial"/>
          <w:sz w:val="24"/>
          <w:szCs w:val="24"/>
        </w:rPr>
        <w:t xml:space="preserve">examine the plaintiff on issues envisaged in s 7(2) of the Divorce Act. The third issue </w:t>
      </w:r>
      <w:r w:rsidR="00EA16CD">
        <w:rPr>
          <w:rFonts w:ascii="Arial" w:hAnsi="Arial" w:cs="Arial"/>
          <w:sz w:val="24"/>
          <w:szCs w:val="24"/>
        </w:rPr>
        <w:t>wa</w:t>
      </w:r>
      <w:r w:rsidR="00EA16CD" w:rsidRPr="00F208B9">
        <w:rPr>
          <w:rFonts w:ascii="Arial" w:hAnsi="Arial" w:cs="Arial"/>
          <w:sz w:val="24"/>
          <w:szCs w:val="24"/>
        </w:rPr>
        <w:t xml:space="preserve">s that the </w:t>
      </w:r>
      <w:r w:rsidR="00EA16CD">
        <w:rPr>
          <w:rFonts w:ascii="Arial" w:hAnsi="Arial" w:cs="Arial"/>
          <w:sz w:val="24"/>
          <w:szCs w:val="24"/>
        </w:rPr>
        <w:t xml:space="preserve">date for the </w:t>
      </w:r>
      <w:r w:rsidR="00EA16CD" w:rsidRPr="00F208B9">
        <w:rPr>
          <w:rFonts w:ascii="Arial" w:hAnsi="Arial" w:cs="Arial"/>
          <w:sz w:val="24"/>
          <w:szCs w:val="24"/>
        </w:rPr>
        <w:t>determination of accrual, if any, is the date of divorce and not the date of finalisation of all issues. The fourth issue relates to the presence of conflicting decisions on whether the rights</w:t>
      </w:r>
      <w:r w:rsidR="0061277D">
        <w:rPr>
          <w:rFonts w:ascii="Arial" w:hAnsi="Arial" w:cs="Arial"/>
          <w:sz w:val="24"/>
          <w:szCs w:val="24"/>
        </w:rPr>
        <w:t xml:space="preserve"> of parties</w:t>
      </w:r>
      <w:r w:rsidR="00EA16CD" w:rsidRPr="00F208B9">
        <w:rPr>
          <w:rFonts w:ascii="Arial" w:hAnsi="Arial" w:cs="Arial"/>
          <w:sz w:val="24"/>
          <w:szCs w:val="24"/>
        </w:rPr>
        <w:t xml:space="preserve"> remain </w:t>
      </w:r>
      <w:r w:rsidRPr="00F208B9">
        <w:rPr>
          <w:rFonts w:ascii="Arial" w:hAnsi="Arial" w:cs="Arial"/>
          <w:sz w:val="24"/>
          <w:szCs w:val="24"/>
        </w:rPr>
        <w:t>intact</w:t>
      </w:r>
      <w:r w:rsidR="00EA16CD" w:rsidRPr="00F208B9">
        <w:rPr>
          <w:rFonts w:ascii="Arial" w:hAnsi="Arial" w:cs="Arial"/>
          <w:sz w:val="24"/>
          <w:szCs w:val="24"/>
        </w:rPr>
        <w:t xml:space="preserve"> following the granting of the decree of divorce which issue the defendant submitted was likely to result in an appeal and delay the finalisation of the proceedings which would not be in the interest of justice. It was argued that this court could avoid the situation by simply refusing the separation. The </w:t>
      </w:r>
      <w:r w:rsidR="00EA16CD">
        <w:rPr>
          <w:rFonts w:ascii="Arial" w:hAnsi="Arial" w:cs="Arial"/>
          <w:sz w:val="24"/>
          <w:szCs w:val="24"/>
        </w:rPr>
        <w:t>l</w:t>
      </w:r>
      <w:r w:rsidR="00EA16CD" w:rsidRPr="00F208B9">
        <w:rPr>
          <w:rFonts w:ascii="Arial" w:hAnsi="Arial" w:cs="Arial"/>
          <w:sz w:val="24"/>
          <w:szCs w:val="24"/>
        </w:rPr>
        <w:t xml:space="preserve">ast issue was that relating to costs of the proceedings. </w:t>
      </w:r>
    </w:p>
    <w:p w:rsidR="00EA16CD" w:rsidRPr="00F208B9" w:rsidRDefault="00EA16CD" w:rsidP="001A6702">
      <w:pPr>
        <w:spacing w:after="0" w:line="240" w:lineRule="auto"/>
        <w:jc w:val="both"/>
        <w:rPr>
          <w:rFonts w:ascii="Arial" w:hAnsi="Arial" w:cs="Arial"/>
          <w:sz w:val="24"/>
          <w:szCs w:val="24"/>
        </w:rPr>
      </w:pPr>
    </w:p>
    <w:p w:rsidR="00EA16CD" w:rsidRPr="00F208B9" w:rsidRDefault="00097F43" w:rsidP="00097F43">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EA16CD" w:rsidRPr="00F208B9">
        <w:rPr>
          <w:rFonts w:ascii="Arial" w:hAnsi="Arial" w:cs="Arial"/>
          <w:sz w:val="24"/>
          <w:szCs w:val="24"/>
        </w:rPr>
        <w:t xml:space="preserve">It was argued </w:t>
      </w:r>
      <w:r w:rsidR="0061277D">
        <w:rPr>
          <w:rFonts w:ascii="Arial" w:hAnsi="Arial" w:cs="Arial"/>
          <w:sz w:val="24"/>
          <w:szCs w:val="24"/>
        </w:rPr>
        <w:t>by</w:t>
      </w:r>
      <w:r w:rsidR="00EA16CD">
        <w:rPr>
          <w:rFonts w:ascii="Arial" w:hAnsi="Arial" w:cs="Arial"/>
          <w:sz w:val="24"/>
          <w:szCs w:val="24"/>
        </w:rPr>
        <w:t xml:space="preserve"> </w:t>
      </w:r>
      <w:r w:rsidR="00EA16CD" w:rsidRPr="00F208B9">
        <w:rPr>
          <w:rFonts w:ascii="Arial" w:hAnsi="Arial" w:cs="Arial"/>
          <w:sz w:val="24"/>
          <w:szCs w:val="24"/>
        </w:rPr>
        <w:t xml:space="preserve">the defendant </w:t>
      </w:r>
      <w:r w:rsidR="00517B09">
        <w:rPr>
          <w:rFonts w:ascii="Arial" w:hAnsi="Arial" w:cs="Arial"/>
          <w:sz w:val="24"/>
          <w:szCs w:val="24"/>
        </w:rPr>
        <w:t xml:space="preserve">that </w:t>
      </w:r>
      <w:r w:rsidR="00EA16CD" w:rsidRPr="00F208B9">
        <w:rPr>
          <w:rFonts w:ascii="Arial" w:hAnsi="Arial" w:cs="Arial"/>
          <w:sz w:val="24"/>
          <w:szCs w:val="24"/>
        </w:rPr>
        <w:t>while the parties agree that the marriage is broken down, the reasons for the breakdown are different. Accordingly, it was necessary to lead evidence on the issue. Also, that the defendant claimed spousal maintenance post-divorce and an order that the plaintiff pays to her an amount equal to one half of the difference between the accrual of their respective estate</w:t>
      </w:r>
      <w:r w:rsidR="00007B85">
        <w:rPr>
          <w:rFonts w:ascii="Arial" w:hAnsi="Arial" w:cs="Arial"/>
          <w:sz w:val="24"/>
          <w:szCs w:val="24"/>
        </w:rPr>
        <w:t>s</w:t>
      </w:r>
      <w:r w:rsidR="00EA16CD" w:rsidRPr="00F208B9">
        <w:rPr>
          <w:rFonts w:ascii="Arial" w:hAnsi="Arial" w:cs="Arial"/>
          <w:sz w:val="24"/>
          <w:szCs w:val="24"/>
        </w:rPr>
        <w:t xml:space="preserve">. </w:t>
      </w:r>
    </w:p>
    <w:p w:rsidR="00EA16CD" w:rsidRPr="00F208B9" w:rsidRDefault="00EA16CD" w:rsidP="001A6702">
      <w:pPr>
        <w:spacing w:after="0" w:line="240" w:lineRule="auto"/>
        <w:jc w:val="both"/>
        <w:rPr>
          <w:rFonts w:ascii="Arial" w:hAnsi="Arial" w:cs="Arial"/>
          <w:sz w:val="24"/>
          <w:szCs w:val="24"/>
        </w:rPr>
      </w:pPr>
    </w:p>
    <w:p w:rsidR="00EA16CD" w:rsidRPr="00F208B9" w:rsidRDefault="00097F43" w:rsidP="00097F43">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EA16CD" w:rsidRPr="00F208B9">
        <w:rPr>
          <w:rFonts w:ascii="Arial" w:hAnsi="Arial" w:cs="Arial"/>
          <w:sz w:val="24"/>
          <w:szCs w:val="24"/>
        </w:rPr>
        <w:t>The defendant agreed with the plaintiff that in determining the issue of separation as envisaged in rule 33(4), the overriding factor is convenience. She</w:t>
      </w:r>
      <w:r w:rsidR="0061277D">
        <w:rPr>
          <w:rFonts w:ascii="Arial" w:hAnsi="Arial" w:cs="Arial"/>
          <w:sz w:val="24"/>
          <w:szCs w:val="24"/>
        </w:rPr>
        <w:t xml:space="preserve"> placed reliance </w:t>
      </w:r>
      <w:r w:rsidR="00EA16CD" w:rsidRPr="00F208B9">
        <w:rPr>
          <w:rFonts w:ascii="Arial" w:hAnsi="Arial" w:cs="Arial"/>
          <w:sz w:val="24"/>
          <w:szCs w:val="24"/>
        </w:rPr>
        <w:t xml:space="preserve">on </w:t>
      </w:r>
      <w:r w:rsidR="00EA16CD" w:rsidRPr="00F208B9">
        <w:rPr>
          <w:rFonts w:ascii="Arial" w:hAnsi="Arial" w:cs="Arial"/>
          <w:i/>
          <w:sz w:val="24"/>
          <w:szCs w:val="24"/>
        </w:rPr>
        <w:t xml:space="preserve">De Wet and Others v </w:t>
      </w:r>
      <w:proofErr w:type="spellStart"/>
      <w:r w:rsidR="00EA16CD" w:rsidRPr="00F208B9">
        <w:rPr>
          <w:rFonts w:ascii="Arial" w:hAnsi="Arial" w:cs="Arial"/>
          <w:i/>
          <w:sz w:val="24"/>
          <w:szCs w:val="24"/>
        </w:rPr>
        <w:t>Memor</w:t>
      </w:r>
      <w:proofErr w:type="spellEnd"/>
      <w:r w:rsidR="00EA16CD" w:rsidRPr="00F208B9">
        <w:rPr>
          <w:rFonts w:ascii="Arial" w:hAnsi="Arial" w:cs="Arial"/>
          <w:i/>
          <w:sz w:val="24"/>
          <w:szCs w:val="24"/>
        </w:rPr>
        <w:t xml:space="preserve"> (Pty) Ltd</w:t>
      </w:r>
      <w:r w:rsidR="008F3308">
        <w:rPr>
          <w:rStyle w:val="FootnoteReference"/>
          <w:rFonts w:ascii="Arial" w:hAnsi="Arial" w:cs="Arial"/>
          <w:sz w:val="24"/>
          <w:szCs w:val="24"/>
        </w:rPr>
        <w:footnoteReference w:id="13"/>
      </w:r>
      <w:r w:rsidR="003D02BE">
        <w:rPr>
          <w:rFonts w:ascii="Arial" w:hAnsi="Arial" w:cs="Arial"/>
          <w:sz w:val="24"/>
          <w:szCs w:val="24"/>
        </w:rPr>
        <w:t xml:space="preserve"> </w:t>
      </w:r>
      <w:r w:rsidR="00EF3EE2">
        <w:rPr>
          <w:rFonts w:ascii="Arial" w:hAnsi="Arial" w:cs="Arial"/>
          <w:sz w:val="24"/>
          <w:szCs w:val="24"/>
        </w:rPr>
        <w:t>f</w:t>
      </w:r>
      <w:r w:rsidR="0061277D">
        <w:rPr>
          <w:rFonts w:ascii="Arial" w:hAnsi="Arial" w:cs="Arial"/>
          <w:sz w:val="24"/>
          <w:szCs w:val="24"/>
        </w:rPr>
        <w:t xml:space="preserve">or this submission. </w:t>
      </w:r>
      <w:r w:rsidR="00EA16CD" w:rsidRPr="00F208B9">
        <w:rPr>
          <w:rFonts w:ascii="Arial" w:hAnsi="Arial" w:cs="Arial"/>
          <w:sz w:val="24"/>
          <w:szCs w:val="24"/>
        </w:rPr>
        <w:t xml:space="preserve">The onus rests on the plaintiff to demonstrate prima facie that it would be convenient to separate the issues </w:t>
      </w:r>
      <w:r w:rsidR="00EA16CD">
        <w:rPr>
          <w:rFonts w:ascii="Arial" w:hAnsi="Arial" w:cs="Arial"/>
          <w:sz w:val="24"/>
          <w:szCs w:val="24"/>
        </w:rPr>
        <w:t xml:space="preserve">and </w:t>
      </w:r>
      <w:r w:rsidR="00EA16CD" w:rsidRPr="00F208B9">
        <w:rPr>
          <w:rFonts w:ascii="Arial" w:hAnsi="Arial" w:cs="Arial"/>
          <w:sz w:val="24"/>
          <w:szCs w:val="24"/>
        </w:rPr>
        <w:t xml:space="preserve">thereafter </w:t>
      </w:r>
      <w:r w:rsidR="00EA16CD">
        <w:rPr>
          <w:rFonts w:ascii="Arial" w:hAnsi="Arial" w:cs="Arial"/>
          <w:sz w:val="24"/>
          <w:szCs w:val="24"/>
        </w:rPr>
        <w:t xml:space="preserve">for </w:t>
      </w:r>
      <w:r w:rsidR="00EA16CD" w:rsidRPr="00F208B9">
        <w:rPr>
          <w:rFonts w:ascii="Arial" w:hAnsi="Arial" w:cs="Arial"/>
          <w:sz w:val="24"/>
          <w:szCs w:val="24"/>
        </w:rPr>
        <w:t xml:space="preserve">the defendant to show prejudice or that the balance of </w:t>
      </w:r>
      <w:r w:rsidR="00EA16CD" w:rsidRPr="00F208B9">
        <w:rPr>
          <w:rFonts w:ascii="Arial" w:hAnsi="Arial" w:cs="Arial"/>
          <w:sz w:val="24"/>
          <w:szCs w:val="24"/>
        </w:rPr>
        <w:lastRenderedPageBreak/>
        <w:t xml:space="preserve">convenience does not favour the granting of the separation. Relying on </w:t>
      </w:r>
      <w:r w:rsidR="00EA16CD" w:rsidRPr="008F3308">
        <w:rPr>
          <w:rFonts w:ascii="Arial" w:hAnsi="Arial" w:cs="Arial"/>
          <w:i/>
          <w:sz w:val="24"/>
          <w:szCs w:val="24"/>
        </w:rPr>
        <w:t>G T K v N</w:t>
      </w:r>
      <w:r w:rsidR="00EA16CD">
        <w:rPr>
          <w:rFonts w:ascii="Arial" w:hAnsi="Arial" w:cs="Arial"/>
          <w:i/>
          <w:sz w:val="24"/>
          <w:szCs w:val="24"/>
        </w:rPr>
        <w:t xml:space="preserve"> M</w:t>
      </w:r>
      <w:r w:rsidR="008F3308" w:rsidRPr="008F3308">
        <w:rPr>
          <w:rStyle w:val="FootnoteReference"/>
          <w:rFonts w:ascii="Arial" w:hAnsi="Arial" w:cs="Arial"/>
          <w:sz w:val="24"/>
          <w:szCs w:val="24"/>
        </w:rPr>
        <w:footnoteReference w:id="14"/>
      </w:r>
      <w:r w:rsidR="00EA16CD" w:rsidRPr="008F3308">
        <w:rPr>
          <w:rFonts w:ascii="Arial" w:hAnsi="Arial" w:cs="Arial"/>
          <w:sz w:val="24"/>
          <w:szCs w:val="24"/>
        </w:rPr>
        <w:t xml:space="preserve"> </w:t>
      </w:r>
      <w:r w:rsidR="00EA16CD" w:rsidRPr="00F208B9">
        <w:rPr>
          <w:rFonts w:ascii="Arial" w:hAnsi="Arial" w:cs="Arial"/>
          <w:sz w:val="24"/>
          <w:szCs w:val="24"/>
        </w:rPr>
        <w:t xml:space="preserve">it was submitted that </w:t>
      </w:r>
      <w:r w:rsidR="00EA16CD">
        <w:rPr>
          <w:rFonts w:ascii="Arial" w:hAnsi="Arial" w:cs="Arial"/>
          <w:sz w:val="24"/>
          <w:szCs w:val="24"/>
        </w:rPr>
        <w:t xml:space="preserve">other </w:t>
      </w:r>
      <w:r w:rsidR="00EA16CD" w:rsidRPr="00F208B9">
        <w:rPr>
          <w:rFonts w:ascii="Arial" w:hAnsi="Arial" w:cs="Arial"/>
          <w:sz w:val="24"/>
          <w:szCs w:val="24"/>
        </w:rPr>
        <w:t>relevant considerations in a separation application were delay</w:t>
      </w:r>
      <w:r w:rsidR="00EA16CD">
        <w:rPr>
          <w:rFonts w:ascii="Arial" w:hAnsi="Arial" w:cs="Arial"/>
          <w:sz w:val="24"/>
          <w:szCs w:val="24"/>
        </w:rPr>
        <w:t>s</w:t>
      </w:r>
      <w:r w:rsidR="00EA16CD" w:rsidRPr="00F208B9">
        <w:rPr>
          <w:rFonts w:ascii="Arial" w:hAnsi="Arial" w:cs="Arial"/>
          <w:sz w:val="24"/>
          <w:szCs w:val="24"/>
        </w:rPr>
        <w:t>, if any to the main proceedings</w:t>
      </w:r>
      <w:r w:rsidR="00EA16CD">
        <w:rPr>
          <w:rFonts w:ascii="Arial" w:hAnsi="Arial" w:cs="Arial"/>
          <w:sz w:val="24"/>
          <w:szCs w:val="24"/>
        </w:rPr>
        <w:t>,</w:t>
      </w:r>
      <w:r w:rsidR="00EA16CD" w:rsidRPr="00F208B9">
        <w:rPr>
          <w:rFonts w:ascii="Arial" w:hAnsi="Arial" w:cs="Arial"/>
          <w:sz w:val="24"/>
          <w:szCs w:val="24"/>
        </w:rPr>
        <w:t xml:space="preserve"> </w:t>
      </w:r>
      <w:r w:rsidR="008F3308">
        <w:rPr>
          <w:rFonts w:ascii="Arial" w:hAnsi="Arial" w:cs="Arial"/>
          <w:sz w:val="24"/>
          <w:szCs w:val="24"/>
        </w:rPr>
        <w:t>t</w:t>
      </w:r>
      <w:r w:rsidR="00EA16CD" w:rsidRPr="00F208B9">
        <w:rPr>
          <w:rFonts w:ascii="Arial" w:hAnsi="Arial" w:cs="Arial"/>
          <w:sz w:val="24"/>
          <w:szCs w:val="24"/>
        </w:rPr>
        <w:t>he fact that proceedings would not be shortened, any duplication of the evidence</w:t>
      </w:r>
      <w:r w:rsidR="00161D9E">
        <w:rPr>
          <w:rFonts w:ascii="Arial" w:hAnsi="Arial" w:cs="Arial"/>
          <w:sz w:val="24"/>
          <w:szCs w:val="24"/>
        </w:rPr>
        <w:t xml:space="preserve"> and the </w:t>
      </w:r>
      <w:r w:rsidR="00EA16CD" w:rsidRPr="00F208B9">
        <w:rPr>
          <w:rFonts w:ascii="Arial" w:hAnsi="Arial" w:cs="Arial"/>
          <w:sz w:val="24"/>
          <w:szCs w:val="24"/>
        </w:rPr>
        <w:t xml:space="preserve">possibility of appealing the order made </w:t>
      </w:r>
      <w:r w:rsidR="00EA16CD">
        <w:rPr>
          <w:rFonts w:ascii="Arial" w:hAnsi="Arial" w:cs="Arial"/>
          <w:sz w:val="24"/>
          <w:szCs w:val="24"/>
        </w:rPr>
        <w:t xml:space="preserve">in respect of the </w:t>
      </w:r>
      <w:r w:rsidR="00EA16CD" w:rsidRPr="00F208B9">
        <w:rPr>
          <w:rFonts w:ascii="Arial" w:hAnsi="Arial" w:cs="Arial"/>
          <w:sz w:val="24"/>
          <w:szCs w:val="24"/>
        </w:rPr>
        <w:t>separated issue</w:t>
      </w:r>
      <w:r w:rsidR="00EA16CD">
        <w:rPr>
          <w:rFonts w:ascii="Arial" w:hAnsi="Arial" w:cs="Arial"/>
          <w:sz w:val="24"/>
          <w:szCs w:val="24"/>
        </w:rPr>
        <w:t xml:space="preserve">, </w:t>
      </w:r>
      <w:r w:rsidR="00EA16CD" w:rsidRPr="00F208B9">
        <w:rPr>
          <w:rFonts w:ascii="Arial" w:hAnsi="Arial" w:cs="Arial"/>
          <w:sz w:val="24"/>
          <w:szCs w:val="24"/>
        </w:rPr>
        <w:t>amongst others.</w:t>
      </w:r>
    </w:p>
    <w:p w:rsidR="00EA16CD" w:rsidRPr="00F208B9" w:rsidRDefault="00EA16CD" w:rsidP="001A6702">
      <w:pPr>
        <w:spacing w:after="0" w:line="240" w:lineRule="auto"/>
        <w:jc w:val="both"/>
        <w:rPr>
          <w:rFonts w:ascii="Arial" w:hAnsi="Arial" w:cs="Arial"/>
          <w:sz w:val="24"/>
          <w:szCs w:val="24"/>
        </w:rPr>
      </w:pPr>
    </w:p>
    <w:p w:rsidR="00EA16CD" w:rsidRPr="00F208B9" w:rsidRDefault="00097F43" w:rsidP="00097F43">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EA16CD" w:rsidRPr="00F208B9">
        <w:rPr>
          <w:rFonts w:ascii="Arial" w:hAnsi="Arial" w:cs="Arial"/>
          <w:sz w:val="24"/>
          <w:szCs w:val="24"/>
        </w:rPr>
        <w:t>The defendant submit</w:t>
      </w:r>
      <w:r w:rsidR="00EA16CD">
        <w:rPr>
          <w:rFonts w:ascii="Arial" w:hAnsi="Arial" w:cs="Arial"/>
          <w:sz w:val="24"/>
          <w:szCs w:val="24"/>
        </w:rPr>
        <w:t xml:space="preserve">ted </w:t>
      </w:r>
      <w:r w:rsidR="00EA16CD" w:rsidRPr="00F208B9">
        <w:rPr>
          <w:rFonts w:ascii="Arial" w:hAnsi="Arial" w:cs="Arial"/>
          <w:sz w:val="24"/>
          <w:szCs w:val="24"/>
        </w:rPr>
        <w:t xml:space="preserve">that the parties agreed to the separation of the issue relating to the interpretation of the </w:t>
      </w:r>
      <w:r w:rsidR="00EA16CD">
        <w:rPr>
          <w:rFonts w:ascii="Arial" w:hAnsi="Arial" w:cs="Arial"/>
          <w:sz w:val="24"/>
          <w:szCs w:val="24"/>
        </w:rPr>
        <w:t xml:space="preserve">ANC that is </w:t>
      </w:r>
      <w:r w:rsidR="00EA16CD" w:rsidRPr="00F208B9">
        <w:rPr>
          <w:rFonts w:ascii="Arial" w:hAnsi="Arial" w:cs="Arial"/>
          <w:sz w:val="24"/>
          <w:szCs w:val="24"/>
        </w:rPr>
        <w:t xml:space="preserve">whether </w:t>
      </w:r>
      <w:proofErr w:type="gramStart"/>
      <w:r w:rsidR="00EA16CD">
        <w:rPr>
          <w:rFonts w:ascii="Arial" w:hAnsi="Arial" w:cs="Arial"/>
          <w:sz w:val="24"/>
          <w:szCs w:val="24"/>
        </w:rPr>
        <w:t>K</w:t>
      </w:r>
      <w:r w:rsidR="00142E41">
        <w:rPr>
          <w:rFonts w:ascii="Arial" w:hAnsi="Arial" w:cs="Arial"/>
          <w:sz w:val="24"/>
          <w:szCs w:val="24"/>
        </w:rPr>
        <w:t>[</w:t>
      </w:r>
      <w:proofErr w:type="gramEnd"/>
      <w:r w:rsidR="00142E41">
        <w:rPr>
          <w:rFonts w:ascii="Arial" w:hAnsi="Arial" w:cs="Arial"/>
          <w:sz w:val="24"/>
          <w:szCs w:val="24"/>
        </w:rPr>
        <w:t>…]</w:t>
      </w:r>
      <w:r w:rsidR="00EA16CD" w:rsidRPr="00F208B9">
        <w:rPr>
          <w:rFonts w:ascii="Arial" w:hAnsi="Arial" w:cs="Arial"/>
          <w:sz w:val="24"/>
          <w:szCs w:val="24"/>
        </w:rPr>
        <w:t>, the plaintiff’s company</w:t>
      </w:r>
      <w:r w:rsidR="00C9016C">
        <w:rPr>
          <w:rFonts w:ascii="Arial" w:hAnsi="Arial" w:cs="Arial"/>
          <w:sz w:val="24"/>
          <w:szCs w:val="24"/>
        </w:rPr>
        <w:t>,</w:t>
      </w:r>
      <w:r w:rsidR="00EA16CD" w:rsidRPr="00F208B9">
        <w:rPr>
          <w:rFonts w:ascii="Arial" w:hAnsi="Arial" w:cs="Arial"/>
          <w:sz w:val="24"/>
          <w:szCs w:val="24"/>
        </w:rPr>
        <w:t xml:space="preserve"> should form part of the assets in the accrual. She contends that the separation in respect of this issue is convenient. However, that the separation of the divorce from the remaining issues would result in the defendant suffering prejudice.  She relied on </w:t>
      </w:r>
      <w:r w:rsidR="00EA16CD" w:rsidRPr="00F208B9">
        <w:rPr>
          <w:rFonts w:ascii="Arial" w:hAnsi="Arial" w:cs="Arial"/>
          <w:i/>
          <w:sz w:val="24"/>
          <w:szCs w:val="24"/>
        </w:rPr>
        <w:t>Schutte</w:t>
      </w:r>
      <w:r w:rsidR="00EA16CD" w:rsidRPr="00F208B9">
        <w:rPr>
          <w:rFonts w:ascii="Arial" w:hAnsi="Arial" w:cs="Arial"/>
          <w:sz w:val="24"/>
          <w:szCs w:val="24"/>
        </w:rPr>
        <w:t>,</w:t>
      </w:r>
      <w:r w:rsidR="009B5973">
        <w:rPr>
          <w:rStyle w:val="FootnoteReference"/>
          <w:rFonts w:ascii="Arial" w:hAnsi="Arial" w:cs="Arial"/>
          <w:sz w:val="24"/>
          <w:szCs w:val="24"/>
        </w:rPr>
        <w:footnoteReference w:id="15"/>
      </w:r>
      <w:r w:rsidR="00EA16CD" w:rsidRPr="00F208B9">
        <w:rPr>
          <w:rFonts w:ascii="Arial" w:hAnsi="Arial" w:cs="Arial"/>
          <w:sz w:val="24"/>
          <w:szCs w:val="24"/>
        </w:rPr>
        <w:t xml:space="preserve"> to support her submissions that wher</w:t>
      </w:r>
      <w:r w:rsidR="00EA16CD">
        <w:rPr>
          <w:rFonts w:ascii="Arial" w:hAnsi="Arial" w:cs="Arial"/>
          <w:sz w:val="24"/>
          <w:szCs w:val="24"/>
        </w:rPr>
        <w:t>e</w:t>
      </w:r>
      <w:r w:rsidR="00EA16CD" w:rsidRPr="00F208B9">
        <w:rPr>
          <w:rFonts w:ascii="Arial" w:hAnsi="Arial" w:cs="Arial"/>
          <w:sz w:val="24"/>
          <w:szCs w:val="24"/>
        </w:rPr>
        <w:t xml:space="preserve"> a maintenance award was not granted at the same time as the divorce, it falls away. </w:t>
      </w:r>
      <w:r w:rsidR="00EA16CD">
        <w:rPr>
          <w:rFonts w:ascii="Arial" w:hAnsi="Arial" w:cs="Arial"/>
          <w:sz w:val="24"/>
          <w:szCs w:val="24"/>
        </w:rPr>
        <w:t xml:space="preserve">Accordingly, </w:t>
      </w:r>
      <w:r w:rsidR="00EA16CD" w:rsidRPr="00F208B9">
        <w:rPr>
          <w:rFonts w:ascii="Arial" w:hAnsi="Arial" w:cs="Arial"/>
          <w:sz w:val="24"/>
          <w:szCs w:val="24"/>
        </w:rPr>
        <w:t xml:space="preserve">that </w:t>
      </w:r>
      <w:r w:rsidR="00EA16CD">
        <w:rPr>
          <w:rFonts w:ascii="Arial" w:hAnsi="Arial" w:cs="Arial"/>
          <w:sz w:val="24"/>
          <w:szCs w:val="24"/>
        </w:rPr>
        <w:t>i</w:t>
      </w:r>
      <w:r w:rsidR="00EA16CD" w:rsidRPr="00F208B9">
        <w:rPr>
          <w:rFonts w:ascii="Arial" w:hAnsi="Arial" w:cs="Arial"/>
          <w:sz w:val="24"/>
          <w:szCs w:val="24"/>
        </w:rPr>
        <w:t>f the court separates t</w:t>
      </w:r>
      <w:r w:rsidR="00EA16CD">
        <w:rPr>
          <w:rFonts w:ascii="Arial" w:hAnsi="Arial" w:cs="Arial"/>
          <w:sz w:val="24"/>
          <w:szCs w:val="24"/>
        </w:rPr>
        <w:t xml:space="preserve">he decree of divorce </w:t>
      </w:r>
      <w:r w:rsidR="00EA16CD" w:rsidRPr="00F208B9">
        <w:rPr>
          <w:rFonts w:ascii="Arial" w:hAnsi="Arial" w:cs="Arial"/>
          <w:sz w:val="24"/>
          <w:szCs w:val="24"/>
        </w:rPr>
        <w:t xml:space="preserve">from the determination </w:t>
      </w:r>
      <w:r w:rsidR="00EA16CD">
        <w:rPr>
          <w:rFonts w:ascii="Arial" w:hAnsi="Arial" w:cs="Arial"/>
          <w:sz w:val="24"/>
          <w:szCs w:val="24"/>
        </w:rPr>
        <w:t xml:space="preserve">of </w:t>
      </w:r>
      <w:r w:rsidR="00EA16CD" w:rsidRPr="00F208B9">
        <w:rPr>
          <w:rFonts w:ascii="Arial" w:hAnsi="Arial" w:cs="Arial"/>
          <w:sz w:val="24"/>
          <w:szCs w:val="24"/>
        </w:rPr>
        <w:t xml:space="preserve">maintenance, </w:t>
      </w:r>
      <w:r w:rsidR="00EA16CD">
        <w:rPr>
          <w:rFonts w:ascii="Arial" w:hAnsi="Arial" w:cs="Arial"/>
          <w:sz w:val="24"/>
          <w:szCs w:val="24"/>
        </w:rPr>
        <w:t xml:space="preserve">it </w:t>
      </w:r>
      <w:r w:rsidR="00EA16CD" w:rsidRPr="00F208B9">
        <w:rPr>
          <w:rFonts w:ascii="Arial" w:hAnsi="Arial" w:cs="Arial"/>
          <w:sz w:val="24"/>
          <w:szCs w:val="24"/>
        </w:rPr>
        <w:t>would in effect be denying the defendant of maintenance</w:t>
      </w:r>
      <w:r w:rsidR="00EA16CD">
        <w:rPr>
          <w:rFonts w:ascii="Arial" w:hAnsi="Arial" w:cs="Arial"/>
          <w:sz w:val="24"/>
          <w:szCs w:val="24"/>
        </w:rPr>
        <w:t>.</w:t>
      </w:r>
      <w:r w:rsidR="00EA16CD" w:rsidRPr="00F208B9">
        <w:rPr>
          <w:rFonts w:ascii="Arial" w:hAnsi="Arial" w:cs="Arial"/>
          <w:sz w:val="24"/>
          <w:szCs w:val="24"/>
        </w:rPr>
        <w:t xml:space="preserve"> </w:t>
      </w:r>
    </w:p>
    <w:p w:rsidR="00EA16CD" w:rsidRPr="00F208B9" w:rsidRDefault="00EA16CD" w:rsidP="001A6702">
      <w:pPr>
        <w:spacing w:after="0" w:line="240" w:lineRule="auto"/>
        <w:jc w:val="both"/>
        <w:rPr>
          <w:rFonts w:ascii="Arial" w:hAnsi="Arial" w:cs="Arial"/>
          <w:sz w:val="24"/>
          <w:szCs w:val="24"/>
        </w:rPr>
      </w:pPr>
    </w:p>
    <w:p w:rsidR="00EA16CD" w:rsidRPr="00F208B9" w:rsidRDefault="00097F43" w:rsidP="00097F43">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EA16CD" w:rsidRPr="00F208B9">
        <w:rPr>
          <w:rFonts w:ascii="Arial" w:hAnsi="Arial" w:cs="Arial"/>
          <w:sz w:val="24"/>
          <w:szCs w:val="24"/>
        </w:rPr>
        <w:t xml:space="preserve">The defendant </w:t>
      </w:r>
      <w:r w:rsidR="00EA16CD">
        <w:rPr>
          <w:rFonts w:ascii="Arial" w:hAnsi="Arial" w:cs="Arial"/>
          <w:sz w:val="24"/>
          <w:szCs w:val="24"/>
        </w:rPr>
        <w:t xml:space="preserve">contended </w:t>
      </w:r>
      <w:r w:rsidR="00EA16CD" w:rsidRPr="00F208B9">
        <w:rPr>
          <w:rFonts w:ascii="Arial" w:hAnsi="Arial" w:cs="Arial"/>
          <w:sz w:val="24"/>
          <w:szCs w:val="24"/>
        </w:rPr>
        <w:t xml:space="preserve">that the issue of maintenance post-divorce </w:t>
      </w:r>
      <w:r w:rsidR="00EA16CD">
        <w:rPr>
          <w:rFonts w:ascii="Arial" w:hAnsi="Arial" w:cs="Arial"/>
          <w:sz w:val="24"/>
          <w:szCs w:val="24"/>
        </w:rPr>
        <w:t xml:space="preserve">as </w:t>
      </w:r>
      <w:r w:rsidR="00EA16CD" w:rsidRPr="00F208B9">
        <w:rPr>
          <w:rFonts w:ascii="Arial" w:hAnsi="Arial" w:cs="Arial"/>
          <w:sz w:val="24"/>
          <w:szCs w:val="24"/>
        </w:rPr>
        <w:t>envisaged in s</w:t>
      </w:r>
      <w:r w:rsidR="00F25FEA">
        <w:rPr>
          <w:rFonts w:ascii="Arial" w:hAnsi="Arial" w:cs="Arial"/>
          <w:sz w:val="24"/>
          <w:szCs w:val="24"/>
        </w:rPr>
        <w:t xml:space="preserve"> </w:t>
      </w:r>
      <w:r w:rsidR="00EA16CD" w:rsidRPr="00F208B9">
        <w:rPr>
          <w:rFonts w:ascii="Arial" w:hAnsi="Arial" w:cs="Arial"/>
          <w:sz w:val="24"/>
          <w:szCs w:val="24"/>
        </w:rPr>
        <w:t xml:space="preserve">7(2) of the </w:t>
      </w:r>
      <w:r w:rsidR="00EA16CD">
        <w:rPr>
          <w:rFonts w:ascii="Arial" w:hAnsi="Arial" w:cs="Arial"/>
          <w:sz w:val="24"/>
          <w:szCs w:val="24"/>
        </w:rPr>
        <w:t>D</w:t>
      </w:r>
      <w:r w:rsidR="00EA16CD" w:rsidRPr="00F208B9">
        <w:rPr>
          <w:rFonts w:ascii="Arial" w:hAnsi="Arial" w:cs="Arial"/>
          <w:sz w:val="24"/>
          <w:szCs w:val="24"/>
        </w:rPr>
        <w:t xml:space="preserve">ivorce Act can only be determined once the issue of accrual and </w:t>
      </w:r>
      <w:r w:rsidR="00EA16CD">
        <w:rPr>
          <w:rFonts w:ascii="Arial" w:hAnsi="Arial" w:cs="Arial"/>
          <w:sz w:val="24"/>
          <w:szCs w:val="24"/>
        </w:rPr>
        <w:t>its</w:t>
      </w:r>
      <w:r w:rsidR="00EA16CD" w:rsidRPr="00F208B9">
        <w:rPr>
          <w:rFonts w:ascii="Arial" w:hAnsi="Arial" w:cs="Arial"/>
          <w:sz w:val="24"/>
          <w:szCs w:val="24"/>
        </w:rPr>
        <w:t xml:space="preserve"> extent </w:t>
      </w:r>
      <w:r w:rsidR="00C9016C">
        <w:rPr>
          <w:rFonts w:ascii="Arial" w:hAnsi="Arial" w:cs="Arial"/>
          <w:sz w:val="24"/>
          <w:szCs w:val="24"/>
        </w:rPr>
        <w:t xml:space="preserve">is </w:t>
      </w:r>
      <w:r w:rsidR="00EA16CD">
        <w:rPr>
          <w:rFonts w:ascii="Arial" w:hAnsi="Arial" w:cs="Arial"/>
          <w:sz w:val="24"/>
          <w:szCs w:val="24"/>
        </w:rPr>
        <w:t>resolved</w:t>
      </w:r>
      <w:r w:rsidR="00EA16CD" w:rsidRPr="00F208B9">
        <w:rPr>
          <w:rFonts w:ascii="Arial" w:hAnsi="Arial" w:cs="Arial"/>
          <w:sz w:val="24"/>
          <w:szCs w:val="24"/>
        </w:rPr>
        <w:t xml:space="preserve">. Accordingly, </w:t>
      </w:r>
      <w:r w:rsidR="00EA16CD">
        <w:rPr>
          <w:rFonts w:ascii="Arial" w:hAnsi="Arial" w:cs="Arial"/>
          <w:sz w:val="24"/>
          <w:szCs w:val="24"/>
        </w:rPr>
        <w:t xml:space="preserve">separating the divorce from </w:t>
      </w:r>
      <w:r w:rsidR="00C9016C">
        <w:rPr>
          <w:rFonts w:ascii="Arial" w:hAnsi="Arial" w:cs="Arial"/>
          <w:sz w:val="24"/>
          <w:szCs w:val="24"/>
        </w:rPr>
        <w:t xml:space="preserve">the </w:t>
      </w:r>
      <w:r w:rsidR="00EA16CD">
        <w:rPr>
          <w:rFonts w:ascii="Arial" w:hAnsi="Arial" w:cs="Arial"/>
          <w:sz w:val="24"/>
          <w:szCs w:val="24"/>
        </w:rPr>
        <w:t xml:space="preserve">remaining issues would be unfair at this stage. </w:t>
      </w:r>
    </w:p>
    <w:p w:rsidR="00EA16CD" w:rsidRPr="00F208B9" w:rsidRDefault="00EA16CD" w:rsidP="001A6702">
      <w:pPr>
        <w:spacing w:after="0" w:line="240" w:lineRule="auto"/>
        <w:jc w:val="both"/>
        <w:rPr>
          <w:rFonts w:ascii="Arial" w:hAnsi="Arial" w:cs="Arial"/>
          <w:sz w:val="24"/>
          <w:szCs w:val="24"/>
        </w:rPr>
      </w:pPr>
    </w:p>
    <w:p w:rsidR="00EA16CD" w:rsidRPr="00F208B9" w:rsidRDefault="00097F43" w:rsidP="00097F43">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61277D">
        <w:rPr>
          <w:rFonts w:ascii="Arial" w:hAnsi="Arial" w:cs="Arial"/>
          <w:sz w:val="24"/>
          <w:szCs w:val="24"/>
        </w:rPr>
        <w:t>W</w:t>
      </w:r>
      <w:r w:rsidR="0061277D" w:rsidRPr="00F208B9">
        <w:rPr>
          <w:rFonts w:ascii="Arial" w:hAnsi="Arial" w:cs="Arial"/>
          <w:sz w:val="24"/>
          <w:szCs w:val="24"/>
        </w:rPr>
        <w:t xml:space="preserve">hile acknowledging a </w:t>
      </w:r>
      <w:r w:rsidR="00161D9E">
        <w:rPr>
          <w:rFonts w:ascii="Arial" w:hAnsi="Arial" w:cs="Arial"/>
          <w:sz w:val="24"/>
          <w:szCs w:val="24"/>
        </w:rPr>
        <w:t xml:space="preserve">conflict </w:t>
      </w:r>
      <w:r w:rsidR="0061277D">
        <w:rPr>
          <w:rFonts w:ascii="Arial" w:hAnsi="Arial" w:cs="Arial"/>
          <w:sz w:val="24"/>
          <w:szCs w:val="24"/>
        </w:rPr>
        <w:t xml:space="preserve">between </w:t>
      </w:r>
      <w:r w:rsidR="0061277D" w:rsidRPr="00712FE3">
        <w:rPr>
          <w:rFonts w:ascii="Arial" w:hAnsi="Arial" w:cs="Arial"/>
          <w:i/>
          <w:sz w:val="24"/>
          <w:szCs w:val="24"/>
        </w:rPr>
        <w:t>CC v CM</w:t>
      </w:r>
      <w:r w:rsidR="0061277D" w:rsidRPr="00712FE3">
        <w:rPr>
          <w:rStyle w:val="FootnoteReference"/>
          <w:rFonts w:ascii="Arial" w:hAnsi="Arial" w:cs="Arial"/>
          <w:sz w:val="24"/>
          <w:szCs w:val="24"/>
        </w:rPr>
        <w:footnoteReference w:id="16"/>
      </w:r>
      <w:r w:rsidR="0061277D">
        <w:rPr>
          <w:rFonts w:ascii="Arial" w:hAnsi="Arial" w:cs="Arial"/>
          <w:i/>
          <w:sz w:val="24"/>
          <w:szCs w:val="24"/>
        </w:rPr>
        <w:t xml:space="preserve"> </w:t>
      </w:r>
      <w:r w:rsidR="0061277D">
        <w:rPr>
          <w:rFonts w:ascii="Arial" w:hAnsi="Arial" w:cs="Arial"/>
          <w:sz w:val="24"/>
          <w:szCs w:val="24"/>
        </w:rPr>
        <w:t xml:space="preserve"> and </w:t>
      </w:r>
      <w:r w:rsidR="00EA16CD" w:rsidRPr="003E21D9">
        <w:rPr>
          <w:rFonts w:ascii="Arial" w:hAnsi="Arial" w:cs="Arial"/>
          <w:i/>
          <w:sz w:val="24"/>
          <w:szCs w:val="24"/>
        </w:rPr>
        <w:t>NK v KM</w:t>
      </w:r>
      <w:r w:rsidR="008F3308" w:rsidRPr="008F3308">
        <w:rPr>
          <w:rStyle w:val="FootnoteReference"/>
          <w:rFonts w:ascii="Arial" w:hAnsi="Arial" w:cs="Arial"/>
          <w:sz w:val="24"/>
          <w:szCs w:val="24"/>
        </w:rPr>
        <w:footnoteReference w:id="17"/>
      </w:r>
      <w:r w:rsidR="00EA16CD" w:rsidRPr="00F208B9">
        <w:rPr>
          <w:rFonts w:ascii="Arial" w:hAnsi="Arial" w:cs="Arial"/>
          <w:sz w:val="24"/>
          <w:szCs w:val="24"/>
        </w:rPr>
        <w:t xml:space="preserve"> </w:t>
      </w:r>
      <w:r w:rsidR="00EA16CD">
        <w:rPr>
          <w:rFonts w:ascii="Arial" w:hAnsi="Arial" w:cs="Arial"/>
          <w:sz w:val="24"/>
          <w:szCs w:val="24"/>
        </w:rPr>
        <w:t>t</w:t>
      </w:r>
      <w:r w:rsidR="00EA16CD" w:rsidRPr="00F208B9">
        <w:rPr>
          <w:rFonts w:ascii="Arial" w:hAnsi="Arial" w:cs="Arial"/>
          <w:sz w:val="24"/>
          <w:szCs w:val="24"/>
        </w:rPr>
        <w:t xml:space="preserve">he defendant </w:t>
      </w:r>
      <w:r w:rsidR="00161D9E">
        <w:rPr>
          <w:rFonts w:ascii="Arial" w:hAnsi="Arial" w:cs="Arial"/>
          <w:sz w:val="24"/>
          <w:szCs w:val="24"/>
        </w:rPr>
        <w:t xml:space="preserve">relied on </w:t>
      </w:r>
      <w:r w:rsidR="00161D9E" w:rsidRPr="00161D9E">
        <w:rPr>
          <w:rFonts w:ascii="Arial" w:hAnsi="Arial" w:cs="Arial"/>
          <w:i/>
          <w:sz w:val="24"/>
          <w:szCs w:val="24"/>
        </w:rPr>
        <w:t>NK v KM</w:t>
      </w:r>
      <w:r w:rsidR="00161D9E">
        <w:rPr>
          <w:rFonts w:ascii="Arial" w:hAnsi="Arial" w:cs="Arial"/>
          <w:sz w:val="24"/>
          <w:szCs w:val="24"/>
        </w:rPr>
        <w:t xml:space="preserve">  and </w:t>
      </w:r>
      <w:r w:rsidR="00161D9E" w:rsidRPr="00F208B9">
        <w:rPr>
          <w:rFonts w:ascii="Arial" w:hAnsi="Arial" w:cs="Arial"/>
          <w:sz w:val="24"/>
          <w:szCs w:val="24"/>
        </w:rPr>
        <w:t xml:space="preserve">argued </w:t>
      </w:r>
      <w:r w:rsidR="00EA16CD" w:rsidRPr="00F208B9">
        <w:rPr>
          <w:rFonts w:ascii="Arial" w:hAnsi="Arial" w:cs="Arial"/>
          <w:sz w:val="24"/>
          <w:szCs w:val="24"/>
        </w:rPr>
        <w:t xml:space="preserve">that </w:t>
      </w:r>
      <w:r w:rsidR="00EA16CD">
        <w:rPr>
          <w:rFonts w:ascii="Arial" w:hAnsi="Arial" w:cs="Arial"/>
          <w:sz w:val="24"/>
          <w:szCs w:val="24"/>
        </w:rPr>
        <w:t>r</w:t>
      </w:r>
      <w:r w:rsidR="00EA16CD" w:rsidRPr="00F208B9">
        <w:rPr>
          <w:rFonts w:ascii="Arial" w:hAnsi="Arial" w:cs="Arial"/>
          <w:sz w:val="24"/>
          <w:szCs w:val="24"/>
        </w:rPr>
        <w:t>ule 43 only applied where divorce</w:t>
      </w:r>
      <w:r w:rsidR="00EA16CD">
        <w:rPr>
          <w:rFonts w:ascii="Arial" w:hAnsi="Arial" w:cs="Arial"/>
          <w:sz w:val="24"/>
          <w:szCs w:val="24"/>
        </w:rPr>
        <w:t xml:space="preserve"> proceedings exist</w:t>
      </w:r>
      <w:r w:rsidR="00EA16CD" w:rsidRPr="00F208B9">
        <w:rPr>
          <w:rFonts w:ascii="Arial" w:hAnsi="Arial" w:cs="Arial"/>
          <w:sz w:val="24"/>
          <w:szCs w:val="24"/>
        </w:rPr>
        <w:t xml:space="preserve">. </w:t>
      </w:r>
      <w:r w:rsidR="00EA16CD">
        <w:rPr>
          <w:rFonts w:ascii="Arial" w:hAnsi="Arial" w:cs="Arial"/>
          <w:sz w:val="24"/>
          <w:szCs w:val="24"/>
        </w:rPr>
        <w:t>T</w:t>
      </w:r>
      <w:r w:rsidR="00EA16CD" w:rsidRPr="00F208B9">
        <w:rPr>
          <w:rFonts w:ascii="Arial" w:hAnsi="Arial" w:cs="Arial"/>
          <w:sz w:val="24"/>
          <w:szCs w:val="24"/>
        </w:rPr>
        <w:t xml:space="preserve">he defendant </w:t>
      </w:r>
      <w:r w:rsidR="00EA16CD">
        <w:rPr>
          <w:rFonts w:ascii="Arial" w:hAnsi="Arial" w:cs="Arial"/>
          <w:sz w:val="24"/>
          <w:szCs w:val="24"/>
        </w:rPr>
        <w:t>contended that her</w:t>
      </w:r>
      <w:r w:rsidR="00EA16CD" w:rsidRPr="00F208B9">
        <w:rPr>
          <w:rFonts w:ascii="Arial" w:hAnsi="Arial" w:cs="Arial"/>
          <w:sz w:val="24"/>
          <w:szCs w:val="24"/>
        </w:rPr>
        <w:t xml:space="preserve"> rule 43 order </w:t>
      </w:r>
      <w:r w:rsidR="00EA16CD">
        <w:rPr>
          <w:rFonts w:ascii="Arial" w:hAnsi="Arial" w:cs="Arial"/>
          <w:sz w:val="24"/>
          <w:szCs w:val="24"/>
        </w:rPr>
        <w:t xml:space="preserve">granted </w:t>
      </w:r>
      <w:r w:rsidR="00EA16CD" w:rsidRPr="00F208B9">
        <w:rPr>
          <w:rFonts w:ascii="Arial" w:hAnsi="Arial" w:cs="Arial"/>
          <w:sz w:val="24"/>
          <w:szCs w:val="24"/>
        </w:rPr>
        <w:t xml:space="preserve">by Mathenjwa J, </w:t>
      </w:r>
      <w:r w:rsidR="00EA16CD">
        <w:rPr>
          <w:rFonts w:ascii="Arial" w:hAnsi="Arial" w:cs="Arial"/>
          <w:sz w:val="24"/>
          <w:szCs w:val="24"/>
        </w:rPr>
        <w:t>w</w:t>
      </w:r>
      <w:r w:rsidR="00EA16CD" w:rsidRPr="00F208B9">
        <w:rPr>
          <w:rFonts w:ascii="Arial" w:hAnsi="Arial" w:cs="Arial"/>
          <w:sz w:val="24"/>
          <w:szCs w:val="24"/>
        </w:rPr>
        <w:t xml:space="preserve">ould cease upon the granting of the </w:t>
      </w:r>
      <w:r w:rsidR="00EA16CD">
        <w:rPr>
          <w:rFonts w:ascii="Arial" w:hAnsi="Arial" w:cs="Arial"/>
          <w:sz w:val="24"/>
          <w:szCs w:val="24"/>
        </w:rPr>
        <w:t xml:space="preserve">decree of </w:t>
      </w:r>
      <w:r w:rsidR="00EA16CD" w:rsidRPr="00F208B9">
        <w:rPr>
          <w:rFonts w:ascii="Arial" w:hAnsi="Arial" w:cs="Arial"/>
          <w:sz w:val="24"/>
          <w:szCs w:val="24"/>
        </w:rPr>
        <w:t xml:space="preserve">divorce. </w:t>
      </w:r>
      <w:r w:rsidR="00EA16CD">
        <w:rPr>
          <w:rFonts w:ascii="Arial" w:hAnsi="Arial" w:cs="Arial"/>
          <w:sz w:val="24"/>
          <w:szCs w:val="24"/>
        </w:rPr>
        <w:t>Also, that t</w:t>
      </w:r>
      <w:r w:rsidR="00EA16CD" w:rsidRPr="00F208B9">
        <w:rPr>
          <w:rFonts w:ascii="Arial" w:hAnsi="Arial" w:cs="Arial"/>
          <w:sz w:val="24"/>
          <w:szCs w:val="24"/>
        </w:rPr>
        <w:t>he granting of the decree of divorce would not only deprive her maintenance in perpetuity but also take away her rule 43 order. The effect of th</w:t>
      </w:r>
      <w:r w:rsidR="00EA16CD">
        <w:rPr>
          <w:rFonts w:ascii="Arial" w:hAnsi="Arial" w:cs="Arial"/>
          <w:sz w:val="24"/>
          <w:szCs w:val="24"/>
        </w:rPr>
        <w:t xml:space="preserve">is </w:t>
      </w:r>
      <w:r w:rsidR="00EA16CD" w:rsidRPr="00F208B9">
        <w:rPr>
          <w:rFonts w:ascii="Arial" w:hAnsi="Arial" w:cs="Arial"/>
          <w:sz w:val="24"/>
          <w:szCs w:val="24"/>
        </w:rPr>
        <w:t xml:space="preserve">would be </w:t>
      </w:r>
      <w:r w:rsidR="00EA16CD">
        <w:rPr>
          <w:rFonts w:ascii="Arial" w:hAnsi="Arial" w:cs="Arial"/>
          <w:sz w:val="24"/>
          <w:szCs w:val="24"/>
        </w:rPr>
        <w:t xml:space="preserve">to remove </w:t>
      </w:r>
      <w:r w:rsidR="00EA16CD" w:rsidRPr="00F208B9">
        <w:rPr>
          <w:rFonts w:ascii="Arial" w:hAnsi="Arial" w:cs="Arial"/>
          <w:sz w:val="24"/>
          <w:szCs w:val="24"/>
        </w:rPr>
        <w:t>the mechanism</w:t>
      </w:r>
      <w:r w:rsidR="00EA16CD">
        <w:rPr>
          <w:rFonts w:ascii="Arial" w:hAnsi="Arial" w:cs="Arial"/>
          <w:sz w:val="24"/>
          <w:szCs w:val="24"/>
        </w:rPr>
        <w:t>s</w:t>
      </w:r>
      <w:r w:rsidR="00EA16CD" w:rsidRPr="00F208B9">
        <w:rPr>
          <w:rFonts w:ascii="Arial" w:hAnsi="Arial" w:cs="Arial"/>
          <w:sz w:val="24"/>
          <w:szCs w:val="24"/>
        </w:rPr>
        <w:t xml:space="preserve"> </w:t>
      </w:r>
      <w:r w:rsidR="00EA16CD">
        <w:rPr>
          <w:rFonts w:ascii="Arial" w:hAnsi="Arial" w:cs="Arial"/>
          <w:sz w:val="24"/>
          <w:szCs w:val="24"/>
        </w:rPr>
        <w:t xml:space="preserve">available to her </w:t>
      </w:r>
      <w:r w:rsidR="00EA16CD" w:rsidRPr="00F208B9">
        <w:rPr>
          <w:rFonts w:ascii="Arial" w:hAnsi="Arial" w:cs="Arial"/>
          <w:sz w:val="24"/>
          <w:szCs w:val="24"/>
        </w:rPr>
        <w:t>in law to claim income from the plaintiff</w:t>
      </w:r>
      <w:r w:rsidR="00997750">
        <w:rPr>
          <w:rFonts w:ascii="Arial" w:hAnsi="Arial" w:cs="Arial"/>
          <w:sz w:val="24"/>
          <w:szCs w:val="24"/>
        </w:rPr>
        <w:t xml:space="preserve"> and deprive her of access to </w:t>
      </w:r>
      <w:r w:rsidR="00EA16CD" w:rsidRPr="00F208B9">
        <w:rPr>
          <w:rFonts w:ascii="Arial" w:hAnsi="Arial" w:cs="Arial"/>
          <w:sz w:val="24"/>
          <w:szCs w:val="24"/>
        </w:rPr>
        <w:t xml:space="preserve"> resources to fight the divorce action going forward</w:t>
      </w:r>
      <w:r w:rsidR="00EA16CD">
        <w:rPr>
          <w:rFonts w:ascii="Arial" w:hAnsi="Arial" w:cs="Arial"/>
          <w:sz w:val="24"/>
          <w:szCs w:val="24"/>
        </w:rPr>
        <w:t>.</w:t>
      </w:r>
      <w:r w:rsidR="00EA16CD" w:rsidRPr="00F208B9">
        <w:rPr>
          <w:rFonts w:ascii="Arial" w:hAnsi="Arial" w:cs="Arial"/>
          <w:sz w:val="24"/>
          <w:szCs w:val="24"/>
        </w:rPr>
        <w:t xml:space="preserve"> </w:t>
      </w:r>
    </w:p>
    <w:p w:rsidR="00EA16CD" w:rsidRPr="00F208B9" w:rsidRDefault="00EA16CD" w:rsidP="001A6702">
      <w:pPr>
        <w:spacing w:after="0" w:line="240" w:lineRule="auto"/>
        <w:jc w:val="both"/>
        <w:rPr>
          <w:rFonts w:ascii="Arial" w:hAnsi="Arial" w:cs="Arial"/>
          <w:sz w:val="24"/>
          <w:szCs w:val="24"/>
        </w:rPr>
      </w:pPr>
    </w:p>
    <w:p w:rsidR="00EA16CD" w:rsidRPr="00F208B9" w:rsidRDefault="00097F43" w:rsidP="00097F43">
      <w:pPr>
        <w:spacing w:after="0" w:line="360" w:lineRule="auto"/>
        <w:jc w:val="both"/>
        <w:rPr>
          <w:rFonts w:ascii="Arial" w:hAnsi="Arial" w:cs="Arial"/>
          <w:sz w:val="24"/>
          <w:szCs w:val="24"/>
        </w:rPr>
      </w:pPr>
      <w:r>
        <w:rPr>
          <w:rFonts w:ascii="Arial" w:hAnsi="Arial" w:cs="Arial"/>
          <w:sz w:val="24"/>
          <w:szCs w:val="24"/>
        </w:rPr>
        <w:lastRenderedPageBreak/>
        <w:t>[41]</w:t>
      </w:r>
      <w:r>
        <w:rPr>
          <w:rFonts w:ascii="Arial" w:hAnsi="Arial" w:cs="Arial"/>
          <w:sz w:val="24"/>
          <w:szCs w:val="24"/>
        </w:rPr>
        <w:tab/>
      </w:r>
      <w:r w:rsidR="00EA16CD" w:rsidRPr="00F208B9">
        <w:rPr>
          <w:rFonts w:ascii="Arial" w:hAnsi="Arial" w:cs="Arial"/>
          <w:sz w:val="24"/>
          <w:szCs w:val="24"/>
        </w:rPr>
        <w:t xml:space="preserve">In </w:t>
      </w:r>
      <w:r w:rsidR="00EA16CD" w:rsidRPr="003E21D9">
        <w:rPr>
          <w:rFonts w:ascii="Arial" w:hAnsi="Arial" w:cs="Arial"/>
          <w:i/>
          <w:sz w:val="24"/>
          <w:szCs w:val="24"/>
        </w:rPr>
        <w:t>AB v JB</w:t>
      </w:r>
      <w:r w:rsidR="008F3308" w:rsidRPr="008F3308">
        <w:rPr>
          <w:rStyle w:val="FootnoteReference"/>
          <w:rFonts w:ascii="Arial" w:hAnsi="Arial" w:cs="Arial"/>
          <w:sz w:val="24"/>
          <w:szCs w:val="24"/>
        </w:rPr>
        <w:footnoteReference w:id="18"/>
      </w:r>
      <w:r w:rsidR="00EA16CD" w:rsidRPr="008F3308">
        <w:rPr>
          <w:rFonts w:ascii="Arial" w:hAnsi="Arial" w:cs="Arial"/>
          <w:sz w:val="24"/>
          <w:szCs w:val="24"/>
        </w:rPr>
        <w:t xml:space="preserve"> the</w:t>
      </w:r>
      <w:r w:rsidR="00EA16CD" w:rsidRPr="00F208B9">
        <w:rPr>
          <w:rFonts w:ascii="Arial" w:hAnsi="Arial" w:cs="Arial"/>
          <w:sz w:val="24"/>
          <w:szCs w:val="24"/>
        </w:rPr>
        <w:t xml:space="preserve"> </w:t>
      </w:r>
      <w:r w:rsidR="00712FE3">
        <w:rPr>
          <w:rFonts w:ascii="Arial" w:hAnsi="Arial" w:cs="Arial"/>
          <w:sz w:val="24"/>
          <w:szCs w:val="24"/>
        </w:rPr>
        <w:t>Supreme Court of Appeal</w:t>
      </w:r>
      <w:r w:rsidR="00712FE3" w:rsidRPr="00F208B9">
        <w:rPr>
          <w:rFonts w:ascii="Arial" w:hAnsi="Arial" w:cs="Arial"/>
          <w:sz w:val="24"/>
          <w:szCs w:val="24"/>
        </w:rPr>
        <w:t xml:space="preserve"> </w:t>
      </w:r>
      <w:r w:rsidR="00EA16CD" w:rsidRPr="00F208B9">
        <w:rPr>
          <w:rFonts w:ascii="Arial" w:hAnsi="Arial" w:cs="Arial"/>
          <w:sz w:val="24"/>
          <w:szCs w:val="24"/>
        </w:rPr>
        <w:t>held that the date of determining the accrua</w:t>
      </w:r>
      <w:r w:rsidR="00EA16CD">
        <w:rPr>
          <w:rFonts w:ascii="Arial" w:hAnsi="Arial" w:cs="Arial"/>
          <w:sz w:val="24"/>
          <w:szCs w:val="24"/>
        </w:rPr>
        <w:t>l</w:t>
      </w:r>
      <w:r w:rsidR="00EA16CD" w:rsidRPr="00F208B9">
        <w:rPr>
          <w:rFonts w:ascii="Arial" w:hAnsi="Arial" w:cs="Arial"/>
          <w:sz w:val="24"/>
          <w:szCs w:val="24"/>
        </w:rPr>
        <w:t xml:space="preserve"> was the date of the granting of divorce. Since there is a pending issue relating to the assets</w:t>
      </w:r>
      <w:r w:rsidR="00997750">
        <w:rPr>
          <w:rFonts w:ascii="Arial" w:hAnsi="Arial" w:cs="Arial"/>
          <w:sz w:val="24"/>
          <w:szCs w:val="24"/>
        </w:rPr>
        <w:t xml:space="preserve"> of the estate</w:t>
      </w:r>
      <w:r w:rsidR="00EA16CD">
        <w:rPr>
          <w:rFonts w:ascii="Arial" w:hAnsi="Arial" w:cs="Arial"/>
          <w:sz w:val="24"/>
          <w:szCs w:val="24"/>
        </w:rPr>
        <w:t>,</w:t>
      </w:r>
      <w:r w:rsidR="00EA16CD" w:rsidRPr="00F208B9">
        <w:rPr>
          <w:rFonts w:ascii="Arial" w:hAnsi="Arial" w:cs="Arial"/>
          <w:sz w:val="24"/>
          <w:szCs w:val="24"/>
        </w:rPr>
        <w:t xml:space="preserve"> to grant the decree of divorce separate from the balance of the issues would mean that </w:t>
      </w:r>
      <w:r w:rsidR="00EA16CD">
        <w:rPr>
          <w:rFonts w:ascii="Arial" w:hAnsi="Arial" w:cs="Arial"/>
          <w:sz w:val="24"/>
          <w:szCs w:val="24"/>
        </w:rPr>
        <w:t xml:space="preserve">the </w:t>
      </w:r>
      <w:r w:rsidR="00EA16CD" w:rsidRPr="00F208B9">
        <w:rPr>
          <w:rFonts w:ascii="Arial" w:hAnsi="Arial" w:cs="Arial"/>
          <w:sz w:val="24"/>
          <w:szCs w:val="24"/>
        </w:rPr>
        <w:t xml:space="preserve">future value of </w:t>
      </w:r>
      <w:proofErr w:type="gramStart"/>
      <w:r w:rsidR="00EA16CD" w:rsidRPr="00F208B9">
        <w:rPr>
          <w:rFonts w:ascii="Arial" w:hAnsi="Arial" w:cs="Arial"/>
          <w:sz w:val="24"/>
          <w:szCs w:val="24"/>
        </w:rPr>
        <w:t>K</w:t>
      </w:r>
      <w:r w:rsidR="00B75647">
        <w:rPr>
          <w:rFonts w:ascii="Arial" w:hAnsi="Arial" w:cs="Arial"/>
          <w:sz w:val="24"/>
          <w:szCs w:val="24"/>
        </w:rPr>
        <w:t>[</w:t>
      </w:r>
      <w:proofErr w:type="gramEnd"/>
      <w:r w:rsidR="00B75647">
        <w:rPr>
          <w:rFonts w:ascii="Arial" w:hAnsi="Arial" w:cs="Arial"/>
          <w:sz w:val="24"/>
          <w:szCs w:val="24"/>
        </w:rPr>
        <w:t>…]</w:t>
      </w:r>
      <w:r w:rsidR="00EA16CD" w:rsidRPr="00F208B9">
        <w:rPr>
          <w:rFonts w:ascii="Arial" w:hAnsi="Arial" w:cs="Arial"/>
          <w:sz w:val="24"/>
          <w:szCs w:val="24"/>
        </w:rPr>
        <w:t xml:space="preserve"> would be disregarded</w:t>
      </w:r>
      <w:r w:rsidR="00EA16CD">
        <w:rPr>
          <w:rFonts w:ascii="Arial" w:hAnsi="Arial" w:cs="Arial"/>
          <w:sz w:val="24"/>
          <w:szCs w:val="24"/>
        </w:rPr>
        <w:t>.</w:t>
      </w:r>
      <w:bookmarkStart w:id="1" w:name="_GoBack"/>
      <w:bookmarkEnd w:id="1"/>
    </w:p>
    <w:p w:rsidR="00EA16CD" w:rsidRPr="00F208B9" w:rsidRDefault="00EA16CD" w:rsidP="00097F43">
      <w:pPr>
        <w:spacing w:after="0"/>
        <w:jc w:val="both"/>
        <w:rPr>
          <w:rFonts w:ascii="Arial" w:hAnsi="Arial" w:cs="Arial"/>
          <w:sz w:val="24"/>
          <w:szCs w:val="24"/>
        </w:rPr>
      </w:pPr>
    </w:p>
    <w:p w:rsidR="00EA16CD" w:rsidRPr="00F208B9" w:rsidRDefault="00097F43" w:rsidP="00097F43">
      <w:pPr>
        <w:spacing w:after="0"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2641D0">
        <w:rPr>
          <w:rFonts w:ascii="Arial" w:hAnsi="Arial" w:cs="Arial"/>
          <w:sz w:val="24"/>
          <w:szCs w:val="24"/>
        </w:rPr>
        <w:t>It was common cause i</w:t>
      </w:r>
      <w:r w:rsidR="00EA16CD" w:rsidRPr="00F208B9">
        <w:rPr>
          <w:rFonts w:ascii="Arial" w:hAnsi="Arial" w:cs="Arial"/>
          <w:sz w:val="24"/>
          <w:szCs w:val="24"/>
        </w:rPr>
        <w:t xml:space="preserve">n </w:t>
      </w:r>
      <w:r w:rsidR="00EA16CD" w:rsidRPr="0052138A">
        <w:rPr>
          <w:rFonts w:ascii="Arial" w:hAnsi="Arial" w:cs="Arial"/>
          <w:i/>
          <w:sz w:val="24"/>
          <w:szCs w:val="24"/>
        </w:rPr>
        <w:t>W</w:t>
      </w:r>
      <w:r w:rsidR="00EA16CD">
        <w:rPr>
          <w:rFonts w:ascii="Arial" w:hAnsi="Arial" w:cs="Arial"/>
          <w:i/>
          <w:sz w:val="24"/>
          <w:szCs w:val="24"/>
        </w:rPr>
        <w:t xml:space="preserve"> </w:t>
      </w:r>
      <w:r w:rsidR="00EA16CD" w:rsidRPr="0052138A">
        <w:rPr>
          <w:rFonts w:ascii="Arial" w:hAnsi="Arial" w:cs="Arial"/>
          <w:i/>
          <w:sz w:val="24"/>
          <w:szCs w:val="24"/>
        </w:rPr>
        <w:t xml:space="preserve">v </w:t>
      </w:r>
      <w:r w:rsidR="00EA16CD">
        <w:rPr>
          <w:rFonts w:ascii="Arial" w:hAnsi="Arial" w:cs="Arial"/>
          <w:i/>
          <w:sz w:val="24"/>
          <w:szCs w:val="24"/>
        </w:rPr>
        <w:t>W</w:t>
      </w:r>
      <w:r w:rsidR="0071465E" w:rsidRPr="0071465E">
        <w:rPr>
          <w:rStyle w:val="FootnoteReference"/>
          <w:rFonts w:ascii="Arial" w:hAnsi="Arial" w:cs="Arial"/>
          <w:sz w:val="24"/>
          <w:szCs w:val="24"/>
        </w:rPr>
        <w:footnoteReference w:id="19"/>
      </w:r>
      <w:r w:rsidR="00EA16CD">
        <w:rPr>
          <w:rFonts w:ascii="Arial" w:hAnsi="Arial" w:cs="Arial"/>
          <w:i/>
          <w:sz w:val="24"/>
          <w:szCs w:val="24"/>
        </w:rPr>
        <w:t xml:space="preserve"> </w:t>
      </w:r>
      <w:r w:rsidR="00EA16CD" w:rsidRPr="00F208B9">
        <w:rPr>
          <w:rFonts w:ascii="Arial" w:hAnsi="Arial" w:cs="Arial"/>
          <w:sz w:val="24"/>
          <w:szCs w:val="24"/>
        </w:rPr>
        <w:t xml:space="preserve">that the marriage relationship was irretrievably broken down with no prospects of salvaging it. The plaintiff argued that where it is undisputed, that the marriage relationship has broken down the court has no discretion but to grant the divorce. In </w:t>
      </w:r>
      <w:r w:rsidR="0071465E" w:rsidRPr="00F208B9">
        <w:rPr>
          <w:rFonts w:ascii="Arial" w:hAnsi="Arial" w:cs="Arial"/>
          <w:i/>
          <w:sz w:val="24"/>
          <w:szCs w:val="24"/>
        </w:rPr>
        <w:t>CC v CM</w:t>
      </w:r>
      <w:r w:rsidR="0071465E" w:rsidRPr="0071465E">
        <w:rPr>
          <w:rStyle w:val="FootnoteReference"/>
          <w:rFonts w:ascii="Arial" w:hAnsi="Arial" w:cs="Arial"/>
          <w:sz w:val="24"/>
          <w:szCs w:val="24"/>
        </w:rPr>
        <w:footnoteReference w:id="20"/>
      </w:r>
      <w:r w:rsidR="0071465E" w:rsidRPr="0071465E">
        <w:rPr>
          <w:rFonts w:ascii="Arial" w:hAnsi="Arial" w:cs="Arial"/>
          <w:sz w:val="24"/>
          <w:szCs w:val="24"/>
        </w:rPr>
        <w:t xml:space="preserve"> </w:t>
      </w:r>
      <w:r w:rsidR="00EA16CD" w:rsidRPr="00F208B9">
        <w:rPr>
          <w:rFonts w:ascii="Arial" w:hAnsi="Arial" w:cs="Arial"/>
          <w:sz w:val="24"/>
          <w:szCs w:val="24"/>
        </w:rPr>
        <w:t xml:space="preserve">the court held that the irretrievable breakdown of a marriage may be decided separate from other questions. The court found it inappropriate for a party to an irretrievably </w:t>
      </w:r>
      <w:r w:rsidR="00BF59D2" w:rsidRPr="00F208B9">
        <w:rPr>
          <w:rFonts w:ascii="Arial" w:hAnsi="Arial" w:cs="Arial"/>
          <w:sz w:val="24"/>
          <w:szCs w:val="24"/>
        </w:rPr>
        <w:t>broke</w:t>
      </w:r>
      <w:r w:rsidR="00BF59D2">
        <w:rPr>
          <w:rFonts w:ascii="Arial" w:hAnsi="Arial" w:cs="Arial"/>
          <w:sz w:val="24"/>
          <w:szCs w:val="24"/>
        </w:rPr>
        <w:t>n</w:t>
      </w:r>
      <w:r w:rsidR="00BF59D2" w:rsidRPr="00F208B9">
        <w:rPr>
          <w:rFonts w:ascii="Arial" w:hAnsi="Arial" w:cs="Arial"/>
          <w:sz w:val="24"/>
          <w:szCs w:val="24"/>
        </w:rPr>
        <w:t>-down</w:t>
      </w:r>
      <w:r w:rsidR="00EA16CD" w:rsidRPr="00F208B9">
        <w:rPr>
          <w:rFonts w:ascii="Arial" w:hAnsi="Arial" w:cs="Arial"/>
          <w:sz w:val="24"/>
          <w:szCs w:val="24"/>
        </w:rPr>
        <w:t xml:space="preserve"> marriage to oppose a separation application for purposes of securing a more favourable </w:t>
      </w:r>
      <w:r w:rsidR="00EA16CD">
        <w:rPr>
          <w:rFonts w:ascii="Arial" w:hAnsi="Arial" w:cs="Arial"/>
          <w:sz w:val="24"/>
          <w:szCs w:val="24"/>
        </w:rPr>
        <w:t>s</w:t>
      </w:r>
      <w:r w:rsidR="00F25FEA">
        <w:rPr>
          <w:rFonts w:ascii="Arial" w:hAnsi="Arial" w:cs="Arial"/>
          <w:sz w:val="24"/>
          <w:szCs w:val="24"/>
        </w:rPr>
        <w:t xml:space="preserve"> </w:t>
      </w:r>
      <w:r w:rsidR="00EA16CD" w:rsidRPr="00F208B9">
        <w:rPr>
          <w:rFonts w:ascii="Arial" w:hAnsi="Arial" w:cs="Arial"/>
          <w:sz w:val="24"/>
          <w:szCs w:val="24"/>
        </w:rPr>
        <w:t>7(3) patrimony redistribution award amongst others.</w:t>
      </w:r>
      <w:r w:rsidR="0071465E">
        <w:rPr>
          <w:rStyle w:val="FootnoteReference"/>
          <w:rFonts w:ascii="Arial" w:hAnsi="Arial" w:cs="Arial"/>
          <w:sz w:val="24"/>
          <w:szCs w:val="24"/>
        </w:rPr>
        <w:footnoteReference w:id="21"/>
      </w:r>
      <w:r w:rsidR="00EA16CD" w:rsidRPr="00F208B9">
        <w:rPr>
          <w:rFonts w:ascii="Arial" w:hAnsi="Arial" w:cs="Arial"/>
          <w:sz w:val="24"/>
          <w:szCs w:val="24"/>
        </w:rPr>
        <w:t xml:space="preserve"> The court found it convenient in terms of </w:t>
      </w:r>
      <w:r w:rsidR="00EA16CD">
        <w:rPr>
          <w:rFonts w:ascii="Arial" w:hAnsi="Arial" w:cs="Arial"/>
          <w:sz w:val="24"/>
          <w:szCs w:val="24"/>
        </w:rPr>
        <w:t xml:space="preserve">rule </w:t>
      </w:r>
      <w:r w:rsidR="00EA16CD" w:rsidRPr="00F208B9">
        <w:rPr>
          <w:rFonts w:ascii="Arial" w:hAnsi="Arial" w:cs="Arial"/>
          <w:sz w:val="24"/>
          <w:szCs w:val="24"/>
        </w:rPr>
        <w:t xml:space="preserve">33(4) to separate the </w:t>
      </w:r>
      <w:r w:rsidR="00EA16CD" w:rsidRPr="00373756">
        <w:rPr>
          <w:rFonts w:ascii="Arial" w:hAnsi="Arial" w:cs="Arial"/>
          <w:sz w:val="24"/>
          <w:szCs w:val="24"/>
        </w:rPr>
        <w:t xml:space="preserve">granting of the divorce from </w:t>
      </w:r>
      <w:r w:rsidR="00373756">
        <w:rPr>
          <w:rFonts w:ascii="Arial" w:hAnsi="Arial" w:cs="Arial"/>
          <w:sz w:val="24"/>
          <w:szCs w:val="24"/>
        </w:rPr>
        <w:t xml:space="preserve">the </w:t>
      </w:r>
      <w:r w:rsidR="00EA16CD" w:rsidRPr="00373756">
        <w:rPr>
          <w:rFonts w:ascii="Arial" w:hAnsi="Arial" w:cs="Arial"/>
          <w:sz w:val="24"/>
          <w:szCs w:val="24"/>
        </w:rPr>
        <w:t xml:space="preserve">maintenance and redistribution </w:t>
      </w:r>
      <w:r w:rsidR="00161D9E">
        <w:rPr>
          <w:rFonts w:ascii="Arial" w:hAnsi="Arial" w:cs="Arial"/>
          <w:sz w:val="24"/>
          <w:szCs w:val="24"/>
        </w:rPr>
        <w:t>issue</w:t>
      </w:r>
      <w:r w:rsidR="00EA16CD" w:rsidRPr="00373756">
        <w:rPr>
          <w:rFonts w:ascii="Arial" w:hAnsi="Arial" w:cs="Arial"/>
          <w:sz w:val="24"/>
          <w:szCs w:val="24"/>
        </w:rPr>
        <w:t>.</w:t>
      </w:r>
      <w:r w:rsidR="00EA16CD">
        <w:rPr>
          <w:rFonts w:ascii="Arial" w:hAnsi="Arial" w:cs="Arial"/>
          <w:sz w:val="24"/>
          <w:szCs w:val="24"/>
        </w:rPr>
        <w:t xml:space="preserve"> </w:t>
      </w:r>
      <w:r w:rsidR="00997750">
        <w:rPr>
          <w:rFonts w:ascii="Arial" w:hAnsi="Arial" w:cs="Arial"/>
          <w:sz w:val="24"/>
          <w:szCs w:val="24"/>
        </w:rPr>
        <w:t xml:space="preserve">It </w:t>
      </w:r>
      <w:r w:rsidR="00EA16CD" w:rsidRPr="00F208B9">
        <w:rPr>
          <w:rFonts w:ascii="Arial" w:hAnsi="Arial" w:cs="Arial"/>
          <w:sz w:val="24"/>
          <w:szCs w:val="24"/>
        </w:rPr>
        <w:t>granted</w:t>
      </w:r>
      <w:r w:rsidR="00997750">
        <w:rPr>
          <w:rFonts w:ascii="Arial" w:hAnsi="Arial" w:cs="Arial"/>
          <w:sz w:val="24"/>
          <w:szCs w:val="24"/>
        </w:rPr>
        <w:t xml:space="preserve"> the decree of divorce and postponed </w:t>
      </w:r>
      <w:r w:rsidR="00EA16CD" w:rsidRPr="00F208B9">
        <w:rPr>
          <w:rFonts w:ascii="Arial" w:hAnsi="Arial" w:cs="Arial"/>
          <w:sz w:val="24"/>
          <w:szCs w:val="24"/>
        </w:rPr>
        <w:t xml:space="preserve">the maintenance which was counterclaimed by the </w:t>
      </w:r>
      <w:r w:rsidR="00161D9E">
        <w:rPr>
          <w:rFonts w:ascii="Arial" w:hAnsi="Arial" w:cs="Arial"/>
          <w:sz w:val="24"/>
          <w:szCs w:val="24"/>
        </w:rPr>
        <w:t>respondent</w:t>
      </w:r>
      <w:r w:rsidR="00EA16CD" w:rsidRPr="00F208B9">
        <w:rPr>
          <w:rFonts w:ascii="Arial" w:hAnsi="Arial" w:cs="Arial"/>
          <w:sz w:val="24"/>
          <w:szCs w:val="24"/>
        </w:rPr>
        <w:t xml:space="preserve"> sine die. </w:t>
      </w:r>
    </w:p>
    <w:p w:rsidR="00EA16CD" w:rsidRPr="00F208B9" w:rsidRDefault="00EA16CD" w:rsidP="001A6702">
      <w:pPr>
        <w:spacing w:after="0" w:line="240" w:lineRule="auto"/>
        <w:jc w:val="both"/>
        <w:rPr>
          <w:rFonts w:ascii="Arial" w:hAnsi="Arial" w:cs="Arial"/>
          <w:sz w:val="24"/>
          <w:szCs w:val="24"/>
        </w:rPr>
      </w:pPr>
    </w:p>
    <w:p w:rsidR="00EA16CD" w:rsidRPr="00F208B9" w:rsidRDefault="00097F43" w:rsidP="00097F43">
      <w:pPr>
        <w:spacing w:after="0"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EA16CD" w:rsidRPr="00F208B9">
        <w:rPr>
          <w:rFonts w:ascii="Arial" w:hAnsi="Arial" w:cs="Arial"/>
          <w:sz w:val="24"/>
          <w:szCs w:val="24"/>
        </w:rPr>
        <w:t xml:space="preserve">In </w:t>
      </w:r>
      <w:r w:rsidR="00EA16CD" w:rsidRPr="0052138A">
        <w:rPr>
          <w:rFonts w:ascii="Arial" w:hAnsi="Arial" w:cs="Arial"/>
          <w:i/>
          <w:sz w:val="24"/>
          <w:szCs w:val="24"/>
        </w:rPr>
        <w:t>W</w:t>
      </w:r>
      <w:r w:rsidR="00EA16CD">
        <w:rPr>
          <w:rFonts w:ascii="Arial" w:hAnsi="Arial" w:cs="Arial"/>
          <w:i/>
          <w:sz w:val="24"/>
          <w:szCs w:val="24"/>
        </w:rPr>
        <w:t xml:space="preserve"> v W</w:t>
      </w:r>
      <w:r w:rsidR="00EA16CD" w:rsidRPr="00F208B9">
        <w:rPr>
          <w:rFonts w:ascii="Arial" w:hAnsi="Arial" w:cs="Arial"/>
          <w:sz w:val="24"/>
          <w:szCs w:val="24"/>
        </w:rPr>
        <w:t xml:space="preserve"> it was argued amongst others that the contentious issue was that of spousal maintenance. </w:t>
      </w:r>
      <w:r w:rsidR="00EA16CD">
        <w:rPr>
          <w:rFonts w:ascii="Arial" w:hAnsi="Arial" w:cs="Arial"/>
          <w:sz w:val="24"/>
          <w:szCs w:val="24"/>
        </w:rPr>
        <w:t>While i</w:t>
      </w:r>
      <w:r w:rsidR="00EA16CD" w:rsidRPr="00F208B9">
        <w:rPr>
          <w:rFonts w:ascii="Arial" w:hAnsi="Arial" w:cs="Arial"/>
          <w:sz w:val="24"/>
          <w:szCs w:val="24"/>
        </w:rPr>
        <w:t xml:space="preserve">t was argued that it was prejudicial for the plaintiff to remain party to a dead marriage </w:t>
      </w:r>
      <w:r w:rsidR="0071465E">
        <w:rPr>
          <w:rFonts w:ascii="Arial" w:hAnsi="Arial" w:cs="Arial"/>
          <w:sz w:val="24"/>
          <w:szCs w:val="24"/>
        </w:rPr>
        <w:t>t</w:t>
      </w:r>
      <w:r w:rsidR="00EA16CD">
        <w:rPr>
          <w:rFonts w:ascii="Arial" w:hAnsi="Arial" w:cs="Arial"/>
          <w:sz w:val="24"/>
          <w:szCs w:val="24"/>
        </w:rPr>
        <w:t xml:space="preserve">he court held that </w:t>
      </w:r>
      <w:r w:rsidR="00EA16CD" w:rsidRPr="00F208B9">
        <w:rPr>
          <w:rFonts w:ascii="Arial" w:hAnsi="Arial" w:cs="Arial"/>
          <w:sz w:val="24"/>
          <w:szCs w:val="24"/>
        </w:rPr>
        <w:t xml:space="preserve">on a proper interpretation of </w:t>
      </w:r>
      <w:r w:rsidR="00F25FEA">
        <w:rPr>
          <w:rFonts w:ascii="Arial" w:hAnsi="Arial" w:cs="Arial"/>
          <w:sz w:val="24"/>
          <w:szCs w:val="24"/>
        </w:rPr>
        <w:t>s</w:t>
      </w:r>
      <w:r w:rsidR="0071465E">
        <w:rPr>
          <w:rFonts w:ascii="Arial" w:hAnsi="Arial" w:cs="Arial"/>
          <w:sz w:val="24"/>
          <w:szCs w:val="24"/>
        </w:rPr>
        <w:t>s</w:t>
      </w:r>
      <w:r w:rsidR="00F25FEA">
        <w:rPr>
          <w:rFonts w:ascii="Arial" w:hAnsi="Arial" w:cs="Arial"/>
          <w:sz w:val="24"/>
          <w:szCs w:val="24"/>
        </w:rPr>
        <w:t xml:space="preserve"> </w:t>
      </w:r>
      <w:r w:rsidR="00EA16CD" w:rsidRPr="00F208B9">
        <w:rPr>
          <w:rFonts w:ascii="Arial" w:hAnsi="Arial" w:cs="Arial"/>
          <w:sz w:val="24"/>
          <w:szCs w:val="24"/>
        </w:rPr>
        <w:t>7(2) and 7(3) of the Divorce Act</w:t>
      </w:r>
      <w:r w:rsidR="00F25FEA">
        <w:rPr>
          <w:rFonts w:ascii="Arial" w:hAnsi="Arial" w:cs="Arial"/>
          <w:sz w:val="24"/>
          <w:szCs w:val="24"/>
        </w:rPr>
        <w:t xml:space="preserve"> </w:t>
      </w:r>
      <w:r w:rsidR="00EA16CD" w:rsidRPr="00F208B9">
        <w:rPr>
          <w:rFonts w:ascii="Arial" w:hAnsi="Arial" w:cs="Arial"/>
          <w:sz w:val="24"/>
          <w:szCs w:val="24"/>
        </w:rPr>
        <w:t xml:space="preserve">separation </w:t>
      </w:r>
      <w:r w:rsidR="00F85AFB">
        <w:rPr>
          <w:rFonts w:ascii="Arial" w:hAnsi="Arial" w:cs="Arial"/>
          <w:sz w:val="24"/>
          <w:szCs w:val="24"/>
        </w:rPr>
        <w:t>was</w:t>
      </w:r>
      <w:r w:rsidR="00EA16CD" w:rsidRPr="00F208B9">
        <w:rPr>
          <w:rFonts w:ascii="Arial" w:hAnsi="Arial" w:cs="Arial"/>
          <w:sz w:val="24"/>
          <w:szCs w:val="24"/>
        </w:rPr>
        <w:t xml:space="preserve"> not competent.</w:t>
      </w:r>
    </w:p>
    <w:p w:rsidR="00EA16CD" w:rsidRPr="00F208B9" w:rsidRDefault="00EA16CD" w:rsidP="00097F43">
      <w:pPr>
        <w:spacing w:after="0" w:line="240" w:lineRule="auto"/>
        <w:jc w:val="both"/>
        <w:rPr>
          <w:rFonts w:ascii="Arial" w:hAnsi="Arial" w:cs="Arial"/>
          <w:sz w:val="24"/>
          <w:szCs w:val="24"/>
        </w:rPr>
      </w:pPr>
    </w:p>
    <w:p w:rsidR="00EA16CD" w:rsidRPr="00F208B9" w:rsidRDefault="00097F43" w:rsidP="00097F43">
      <w:pPr>
        <w:spacing w:after="0"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EA16CD" w:rsidRPr="00F208B9">
        <w:rPr>
          <w:rFonts w:ascii="Arial" w:hAnsi="Arial" w:cs="Arial"/>
          <w:sz w:val="24"/>
          <w:szCs w:val="24"/>
        </w:rPr>
        <w:t xml:space="preserve">The defendant relied on </w:t>
      </w:r>
      <w:proofErr w:type="spellStart"/>
      <w:r w:rsidR="00EA16CD" w:rsidRPr="00F208B9">
        <w:rPr>
          <w:rFonts w:ascii="Arial" w:hAnsi="Arial" w:cs="Arial"/>
          <w:i/>
          <w:sz w:val="24"/>
          <w:szCs w:val="24"/>
        </w:rPr>
        <w:t>Schutte</w:t>
      </w:r>
      <w:proofErr w:type="spellEnd"/>
      <w:r w:rsidR="00EA16CD" w:rsidRPr="00F208B9">
        <w:rPr>
          <w:rFonts w:ascii="Arial" w:hAnsi="Arial" w:cs="Arial"/>
          <w:i/>
          <w:sz w:val="24"/>
          <w:szCs w:val="24"/>
        </w:rPr>
        <w:t xml:space="preserve"> </w:t>
      </w:r>
      <w:r w:rsidR="00EA16CD" w:rsidRPr="00F208B9">
        <w:rPr>
          <w:rFonts w:ascii="Arial" w:hAnsi="Arial" w:cs="Arial"/>
          <w:sz w:val="24"/>
          <w:szCs w:val="24"/>
        </w:rPr>
        <w:t xml:space="preserve">and </w:t>
      </w:r>
      <w:proofErr w:type="spellStart"/>
      <w:r w:rsidR="00EA16CD" w:rsidRPr="00F208B9">
        <w:rPr>
          <w:rFonts w:ascii="Arial" w:hAnsi="Arial" w:cs="Arial"/>
          <w:i/>
          <w:sz w:val="24"/>
          <w:szCs w:val="24"/>
        </w:rPr>
        <w:t>Ndaba</w:t>
      </w:r>
      <w:proofErr w:type="spellEnd"/>
      <w:r w:rsidR="00EA16CD" w:rsidRPr="00F208B9">
        <w:rPr>
          <w:rFonts w:ascii="Arial" w:hAnsi="Arial" w:cs="Arial"/>
          <w:i/>
          <w:sz w:val="24"/>
          <w:szCs w:val="24"/>
        </w:rPr>
        <w:t xml:space="preserve"> v </w:t>
      </w:r>
      <w:proofErr w:type="spellStart"/>
      <w:r w:rsidR="00EA16CD" w:rsidRPr="00F208B9">
        <w:rPr>
          <w:rFonts w:ascii="Arial" w:hAnsi="Arial" w:cs="Arial"/>
          <w:i/>
          <w:sz w:val="24"/>
          <w:szCs w:val="24"/>
        </w:rPr>
        <w:t>Ndaba</w:t>
      </w:r>
      <w:proofErr w:type="spellEnd"/>
      <w:r w:rsidR="00620055" w:rsidRPr="0045687A">
        <w:rPr>
          <w:rStyle w:val="FootnoteReference"/>
          <w:rFonts w:ascii="Arial" w:hAnsi="Arial" w:cs="Arial"/>
          <w:sz w:val="24"/>
          <w:szCs w:val="24"/>
        </w:rPr>
        <w:footnoteReference w:id="22"/>
      </w:r>
      <w:r w:rsidR="00EA16CD" w:rsidRPr="0045687A">
        <w:rPr>
          <w:rFonts w:ascii="Arial" w:hAnsi="Arial" w:cs="Arial"/>
          <w:sz w:val="24"/>
          <w:szCs w:val="24"/>
        </w:rPr>
        <w:t xml:space="preserve"> </w:t>
      </w:r>
      <w:r w:rsidR="00EA16CD" w:rsidRPr="00F208B9">
        <w:rPr>
          <w:rFonts w:ascii="Arial" w:hAnsi="Arial" w:cs="Arial"/>
          <w:sz w:val="24"/>
          <w:szCs w:val="24"/>
        </w:rPr>
        <w:t>where it was held that if spousal maintenance is not claimed</w:t>
      </w:r>
      <w:r w:rsidR="00EA16CD">
        <w:rPr>
          <w:rFonts w:ascii="Arial" w:hAnsi="Arial" w:cs="Arial"/>
          <w:sz w:val="24"/>
          <w:szCs w:val="24"/>
        </w:rPr>
        <w:t xml:space="preserve"> and</w:t>
      </w:r>
      <w:r w:rsidR="00EA16CD" w:rsidRPr="00F208B9">
        <w:rPr>
          <w:rFonts w:ascii="Arial" w:hAnsi="Arial" w:cs="Arial"/>
          <w:sz w:val="24"/>
          <w:szCs w:val="24"/>
        </w:rPr>
        <w:t xml:space="preserve"> dealt with by the court granting the decree of divorce, then it cannot be claimed later</w:t>
      </w:r>
      <w:r w:rsidR="001B3684">
        <w:rPr>
          <w:rFonts w:ascii="Arial" w:hAnsi="Arial" w:cs="Arial"/>
          <w:sz w:val="24"/>
          <w:szCs w:val="24"/>
        </w:rPr>
        <w:t xml:space="preserve">. Notably, on appeal, the Supreme Court of Appeal distinguished the issues in </w:t>
      </w:r>
      <w:r w:rsidR="001B3684" w:rsidRPr="001B3684">
        <w:rPr>
          <w:rFonts w:ascii="Arial" w:hAnsi="Arial" w:cs="Arial"/>
          <w:i/>
          <w:sz w:val="24"/>
          <w:szCs w:val="24"/>
        </w:rPr>
        <w:t>Schutte</w:t>
      </w:r>
      <w:r w:rsidR="001B3684">
        <w:rPr>
          <w:rFonts w:ascii="Arial" w:hAnsi="Arial" w:cs="Arial"/>
          <w:sz w:val="24"/>
          <w:szCs w:val="24"/>
        </w:rPr>
        <w:t xml:space="preserve"> from those in </w:t>
      </w:r>
      <w:proofErr w:type="spellStart"/>
      <w:r w:rsidR="001B3684" w:rsidRPr="001B3684">
        <w:rPr>
          <w:rFonts w:ascii="Arial" w:hAnsi="Arial" w:cs="Arial"/>
          <w:i/>
          <w:sz w:val="24"/>
          <w:szCs w:val="24"/>
        </w:rPr>
        <w:t>Ndaba</w:t>
      </w:r>
      <w:proofErr w:type="spellEnd"/>
      <w:r w:rsidR="001B3684">
        <w:rPr>
          <w:rFonts w:ascii="Arial" w:hAnsi="Arial" w:cs="Arial"/>
          <w:sz w:val="24"/>
          <w:szCs w:val="24"/>
        </w:rPr>
        <w:t>.</w:t>
      </w:r>
      <w:r w:rsidR="001B3684">
        <w:rPr>
          <w:rStyle w:val="FootnoteReference"/>
          <w:rFonts w:ascii="Arial" w:hAnsi="Arial" w:cs="Arial"/>
          <w:sz w:val="24"/>
          <w:szCs w:val="24"/>
        </w:rPr>
        <w:footnoteReference w:id="23"/>
      </w:r>
      <w:r w:rsidR="001B3684">
        <w:rPr>
          <w:rFonts w:ascii="Arial" w:hAnsi="Arial" w:cs="Arial"/>
          <w:sz w:val="24"/>
          <w:szCs w:val="24"/>
        </w:rPr>
        <w:t xml:space="preserve"> </w:t>
      </w:r>
    </w:p>
    <w:p w:rsidR="00EA16CD" w:rsidRPr="00F208B9" w:rsidRDefault="00EA16CD" w:rsidP="001A6702">
      <w:pPr>
        <w:spacing w:after="0" w:line="240" w:lineRule="auto"/>
        <w:jc w:val="both"/>
        <w:rPr>
          <w:rFonts w:ascii="Arial" w:hAnsi="Arial" w:cs="Arial"/>
          <w:sz w:val="24"/>
          <w:szCs w:val="24"/>
        </w:rPr>
      </w:pPr>
    </w:p>
    <w:p w:rsidR="00EA16CD" w:rsidRPr="00F208B9" w:rsidRDefault="00097F43" w:rsidP="00097F43">
      <w:pPr>
        <w:spacing w:after="0" w:line="360" w:lineRule="auto"/>
        <w:jc w:val="both"/>
        <w:rPr>
          <w:rFonts w:ascii="Arial" w:hAnsi="Arial" w:cs="Arial"/>
          <w:sz w:val="24"/>
          <w:szCs w:val="24"/>
        </w:rPr>
      </w:pPr>
      <w:r>
        <w:rPr>
          <w:rFonts w:ascii="Arial" w:hAnsi="Arial" w:cs="Arial"/>
          <w:sz w:val="24"/>
          <w:szCs w:val="24"/>
        </w:rPr>
        <w:t>[4</w:t>
      </w:r>
      <w:r w:rsidR="002641D0">
        <w:rPr>
          <w:rFonts w:ascii="Arial" w:hAnsi="Arial" w:cs="Arial"/>
          <w:sz w:val="24"/>
          <w:szCs w:val="24"/>
        </w:rPr>
        <w:t>5</w:t>
      </w:r>
      <w:r>
        <w:rPr>
          <w:rFonts w:ascii="Arial" w:hAnsi="Arial" w:cs="Arial"/>
          <w:sz w:val="24"/>
          <w:szCs w:val="24"/>
        </w:rPr>
        <w:t>]</w:t>
      </w:r>
      <w:r>
        <w:rPr>
          <w:rFonts w:ascii="Arial" w:hAnsi="Arial" w:cs="Arial"/>
          <w:sz w:val="24"/>
          <w:szCs w:val="24"/>
        </w:rPr>
        <w:tab/>
      </w:r>
      <w:r w:rsidR="004C55FD">
        <w:rPr>
          <w:rFonts w:ascii="Arial" w:hAnsi="Arial" w:cs="Arial"/>
          <w:sz w:val="24"/>
          <w:szCs w:val="24"/>
        </w:rPr>
        <w:t xml:space="preserve">The court in </w:t>
      </w:r>
      <w:r w:rsidR="004C55FD" w:rsidRPr="004C55FD">
        <w:rPr>
          <w:rFonts w:ascii="Arial" w:hAnsi="Arial" w:cs="Arial"/>
          <w:i/>
          <w:sz w:val="24"/>
          <w:szCs w:val="24"/>
        </w:rPr>
        <w:t xml:space="preserve">W </w:t>
      </w:r>
      <w:proofErr w:type="gramStart"/>
      <w:r w:rsidR="004C55FD" w:rsidRPr="004C55FD">
        <w:rPr>
          <w:rFonts w:ascii="Arial" w:hAnsi="Arial" w:cs="Arial"/>
          <w:i/>
          <w:sz w:val="24"/>
          <w:szCs w:val="24"/>
        </w:rPr>
        <w:t>v</w:t>
      </w:r>
      <w:proofErr w:type="gramEnd"/>
      <w:r w:rsidR="004C55FD" w:rsidRPr="004C55FD">
        <w:rPr>
          <w:rFonts w:ascii="Arial" w:hAnsi="Arial" w:cs="Arial"/>
          <w:i/>
          <w:sz w:val="24"/>
          <w:szCs w:val="24"/>
        </w:rPr>
        <w:t xml:space="preserve"> W</w:t>
      </w:r>
      <w:r w:rsidR="004C55FD">
        <w:rPr>
          <w:rFonts w:ascii="Arial" w:hAnsi="Arial" w:cs="Arial"/>
          <w:sz w:val="24"/>
          <w:szCs w:val="24"/>
        </w:rPr>
        <w:t xml:space="preserve"> </w:t>
      </w:r>
      <w:r w:rsidR="00EA16CD" w:rsidRPr="00F208B9">
        <w:rPr>
          <w:rFonts w:ascii="Arial" w:hAnsi="Arial" w:cs="Arial"/>
          <w:sz w:val="24"/>
          <w:szCs w:val="24"/>
        </w:rPr>
        <w:t xml:space="preserve">refused the separation application and found that there was a genuine reason for the defendant to oppose the separation of issues since it was </w:t>
      </w:r>
      <w:r w:rsidR="00EA16CD" w:rsidRPr="00F208B9">
        <w:rPr>
          <w:rFonts w:ascii="Arial" w:hAnsi="Arial" w:cs="Arial"/>
          <w:sz w:val="24"/>
          <w:szCs w:val="24"/>
        </w:rPr>
        <w:lastRenderedPageBreak/>
        <w:t xml:space="preserve">necessary in that case for a </w:t>
      </w:r>
      <w:r w:rsidR="00EA16CD" w:rsidRPr="00F208B9">
        <w:rPr>
          <w:rFonts w:ascii="Arial" w:hAnsi="Arial" w:cs="Arial"/>
          <w:i/>
          <w:sz w:val="24"/>
          <w:szCs w:val="24"/>
        </w:rPr>
        <w:t>curator ad litem</w:t>
      </w:r>
      <w:r w:rsidR="00EA16CD" w:rsidRPr="00F208B9">
        <w:rPr>
          <w:rFonts w:ascii="Arial" w:hAnsi="Arial" w:cs="Arial"/>
          <w:sz w:val="24"/>
          <w:szCs w:val="24"/>
        </w:rPr>
        <w:t xml:space="preserve"> to be appointed to investigate the need for a </w:t>
      </w:r>
      <w:r w:rsidR="00EA16CD" w:rsidRPr="00F208B9">
        <w:rPr>
          <w:rFonts w:ascii="Arial" w:hAnsi="Arial" w:cs="Arial"/>
          <w:i/>
          <w:sz w:val="24"/>
          <w:szCs w:val="24"/>
        </w:rPr>
        <w:t xml:space="preserve">curator </w:t>
      </w:r>
      <w:proofErr w:type="spellStart"/>
      <w:r w:rsidR="00EA16CD" w:rsidRPr="00F208B9">
        <w:rPr>
          <w:rFonts w:ascii="Arial" w:hAnsi="Arial" w:cs="Arial"/>
          <w:i/>
          <w:sz w:val="24"/>
          <w:szCs w:val="24"/>
        </w:rPr>
        <w:t>bonis</w:t>
      </w:r>
      <w:proofErr w:type="spellEnd"/>
      <w:r w:rsidR="00EA16CD" w:rsidRPr="00F208B9">
        <w:rPr>
          <w:rFonts w:ascii="Arial" w:hAnsi="Arial" w:cs="Arial"/>
          <w:sz w:val="24"/>
          <w:szCs w:val="24"/>
        </w:rPr>
        <w:t xml:space="preserve"> to protect </w:t>
      </w:r>
      <w:r w:rsidR="004C55FD">
        <w:rPr>
          <w:rFonts w:ascii="Arial" w:hAnsi="Arial" w:cs="Arial"/>
          <w:sz w:val="24"/>
          <w:szCs w:val="24"/>
        </w:rPr>
        <w:t xml:space="preserve">the </w:t>
      </w:r>
      <w:r w:rsidR="001B3684">
        <w:rPr>
          <w:rFonts w:ascii="Arial" w:hAnsi="Arial" w:cs="Arial"/>
          <w:sz w:val="24"/>
          <w:szCs w:val="24"/>
        </w:rPr>
        <w:t>defendant’s</w:t>
      </w:r>
      <w:r w:rsidR="00EA16CD" w:rsidRPr="00F208B9">
        <w:rPr>
          <w:rFonts w:ascii="Arial" w:hAnsi="Arial" w:cs="Arial"/>
          <w:sz w:val="24"/>
          <w:szCs w:val="24"/>
        </w:rPr>
        <w:t xml:space="preserve"> interests.</w:t>
      </w:r>
    </w:p>
    <w:p w:rsidR="00EA16CD" w:rsidRPr="00F208B9" w:rsidRDefault="00EA16CD" w:rsidP="001A6702">
      <w:pPr>
        <w:spacing w:after="0" w:line="240" w:lineRule="auto"/>
        <w:jc w:val="both"/>
        <w:rPr>
          <w:rFonts w:ascii="Arial" w:hAnsi="Arial" w:cs="Arial"/>
          <w:sz w:val="24"/>
          <w:szCs w:val="24"/>
        </w:rPr>
      </w:pPr>
    </w:p>
    <w:p w:rsidR="00EA16CD" w:rsidRDefault="00097F43" w:rsidP="00097F43">
      <w:pPr>
        <w:spacing w:after="0" w:line="360" w:lineRule="auto"/>
        <w:jc w:val="both"/>
        <w:rPr>
          <w:rFonts w:ascii="Arial" w:hAnsi="Arial" w:cs="Arial"/>
          <w:sz w:val="24"/>
          <w:szCs w:val="24"/>
        </w:rPr>
      </w:pPr>
      <w:r>
        <w:rPr>
          <w:rFonts w:ascii="Arial" w:hAnsi="Arial" w:cs="Arial"/>
          <w:sz w:val="24"/>
          <w:szCs w:val="24"/>
        </w:rPr>
        <w:t>[4</w:t>
      </w:r>
      <w:r w:rsidR="002641D0">
        <w:rPr>
          <w:rFonts w:ascii="Arial" w:hAnsi="Arial" w:cs="Arial"/>
          <w:sz w:val="24"/>
          <w:szCs w:val="24"/>
        </w:rPr>
        <w:t>6</w:t>
      </w:r>
      <w:r>
        <w:rPr>
          <w:rFonts w:ascii="Arial" w:hAnsi="Arial" w:cs="Arial"/>
          <w:sz w:val="24"/>
          <w:szCs w:val="24"/>
        </w:rPr>
        <w:t>]</w:t>
      </w:r>
      <w:r>
        <w:rPr>
          <w:rFonts w:ascii="Arial" w:hAnsi="Arial" w:cs="Arial"/>
          <w:sz w:val="24"/>
          <w:szCs w:val="24"/>
        </w:rPr>
        <w:tab/>
      </w:r>
      <w:r w:rsidR="00EA16CD">
        <w:rPr>
          <w:rFonts w:ascii="Arial" w:hAnsi="Arial" w:cs="Arial"/>
          <w:sz w:val="24"/>
          <w:szCs w:val="24"/>
        </w:rPr>
        <w:t>I</w:t>
      </w:r>
      <w:r w:rsidR="00EA16CD" w:rsidRPr="00F208B9">
        <w:rPr>
          <w:rFonts w:ascii="Arial" w:hAnsi="Arial" w:cs="Arial"/>
          <w:sz w:val="24"/>
          <w:szCs w:val="24"/>
        </w:rPr>
        <w:t xml:space="preserve">n </w:t>
      </w:r>
      <w:r w:rsidR="00EA16CD" w:rsidRPr="00F208B9">
        <w:rPr>
          <w:rFonts w:ascii="Arial" w:hAnsi="Arial" w:cs="Arial"/>
          <w:i/>
          <w:sz w:val="24"/>
          <w:szCs w:val="24"/>
        </w:rPr>
        <w:t>NK v KM</w:t>
      </w:r>
      <w:r w:rsidR="0045687A" w:rsidRPr="00AD5A65">
        <w:rPr>
          <w:rStyle w:val="FootnoteReference"/>
          <w:rFonts w:ascii="Arial" w:hAnsi="Arial" w:cs="Arial"/>
          <w:sz w:val="24"/>
          <w:szCs w:val="24"/>
        </w:rPr>
        <w:footnoteReference w:id="24"/>
      </w:r>
      <w:r w:rsidR="00EA16CD" w:rsidRPr="00AD5A65">
        <w:rPr>
          <w:rFonts w:ascii="Arial" w:hAnsi="Arial" w:cs="Arial"/>
          <w:sz w:val="24"/>
          <w:szCs w:val="24"/>
        </w:rPr>
        <w:t xml:space="preserve"> </w:t>
      </w:r>
      <w:r w:rsidR="00EA16CD" w:rsidRPr="00F208B9">
        <w:rPr>
          <w:rFonts w:ascii="Arial" w:hAnsi="Arial" w:cs="Arial"/>
          <w:sz w:val="24"/>
          <w:szCs w:val="24"/>
        </w:rPr>
        <w:t xml:space="preserve">where separation was sought in respect of the decree of divorce and maintenance pendente lite the court held that on a proper interpretation of </w:t>
      </w:r>
      <w:r w:rsidR="00EA16CD">
        <w:rPr>
          <w:rFonts w:ascii="Arial" w:hAnsi="Arial" w:cs="Arial"/>
          <w:sz w:val="24"/>
          <w:szCs w:val="24"/>
        </w:rPr>
        <w:t>r</w:t>
      </w:r>
      <w:r w:rsidR="00EA16CD" w:rsidRPr="00F208B9">
        <w:rPr>
          <w:rFonts w:ascii="Arial" w:hAnsi="Arial" w:cs="Arial"/>
          <w:sz w:val="24"/>
          <w:szCs w:val="24"/>
        </w:rPr>
        <w:t xml:space="preserve">ule 43 a party had a claim for maintenance pendente lite </w:t>
      </w:r>
      <w:r w:rsidR="00F25FEA" w:rsidRPr="00F208B9">
        <w:rPr>
          <w:rFonts w:ascii="Arial" w:hAnsi="Arial" w:cs="Arial"/>
          <w:sz w:val="24"/>
          <w:szCs w:val="24"/>
        </w:rPr>
        <w:t>only, where</w:t>
      </w:r>
      <w:r w:rsidR="00EA16CD" w:rsidRPr="00F208B9">
        <w:rPr>
          <w:rFonts w:ascii="Arial" w:hAnsi="Arial" w:cs="Arial"/>
          <w:sz w:val="24"/>
          <w:szCs w:val="24"/>
        </w:rPr>
        <w:t xml:space="preserve"> matrimonial action was pending or about to be instituted. Accordingly, that should the issues be separated and the decree of divorce granted then the application for interim maintenance would fall away. The court declined to follow the decision of </w:t>
      </w:r>
      <w:r w:rsidR="00EA16CD" w:rsidRPr="00F208B9">
        <w:rPr>
          <w:rFonts w:ascii="Arial" w:hAnsi="Arial" w:cs="Arial"/>
          <w:i/>
          <w:sz w:val="24"/>
          <w:szCs w:val="24"/>
        </w:rPr>
        <w:t>KO v MO</w:t>
      </w:r>
      <w:r w:rsidR="0045687A" w:rsidRPr="00715A28">
        <w:rPr>
          <w:rStyle w:val="FootnoteReference"/>
          <w:rFonts w:ascii="Arial" w:hAnsi="Arial" w:cs="Arial"/>
          <w:sz w:val="24"/>
          <w:szCs w:val="24"/>
        </w:rPr>
        <w:footnoteReference w:id="25"/>
      </w:r>
      <w:r w:rsidR="00EA16CD" w:rsidRPr="00F208B9">
        <w:rPr>
          <w:rFonts w:ascii="Arial" w:hAnsi="Arial" w:cs="Arial"/>
          <w:sz w:val="24"/>
          <w:szCs w:val="24"/>
        </w:rPr>
        <w:t xml:space="preserve"> which held that the granting of a decree of divorce could be separated from maintenance pendente lite. In </w:t>
      </w:r>
      <w:r w:rsidR="00EA16CD" w:rsidRPr="00F208B9">
        <w:rPr>
          <w:rFonts w:ascii="Arial" w:hAnsi="Arial" w:cs="Arial"/>
          <w:i/>
          <w:sz w:val="24"/>
          <w:szCs w:val="24"/>
        </w:rPr>
        <w:t>KO v MO</w:t>
      </w:r>
      <w:r w:rsidR="00EA16CD" w:rsidRPr="00F208B9">
        <w:rPr>
          <w:rFonts w:ascii="Arial" w:hAnsi="Arial" w:cs="Arial"/>
          <w:sz w:val="24"/>
          <w:szCs w:val="24"/>
        </w:rPr>
        <w:t xml:space="preserve"> the court held that the granting of a decree of divorce did not disentitle a person from pursuing relief </w:t>
      </w:r>
      <w:r w:rsidR="00EA16CD">
        <w:rPr>
          <w:rFonts w:ascii="Arial" w:hAnsi="Arial" w:cs="Arial"/>
          <w:sz w:val="24"/>
          <w:szCs w:val="24"/>
        </w:rPr>
        <w:t>under r</w:t>
      </w:r>
      <w:r w:rsidR="00EA16CD" w:rsidRPr="00F208B9">
        <w:rPr>
          <w:rFonts w:ascii="Arial" w:hAnsi="Arial" w:cs="Arial"/>
          <w:sz w:val="24"/>
          <w:szCs w:val="24"/>
        </w:rPr>
        <w:t>ule 43</w:t>
      </w:r>
      <w:r w:rsidR="006A5031">
        <w:rPr>
          <w:rFonts w:ascii="Arial" w:hAnsi="Arial" w:cs="Arial"/>
          <w:sz w:val="24"/>
          <w:szCs w:val="24"/>
        </w:rPr>
        <w:t>,</w:t>
      </w:r>
      <w:r w:rsidR="00EA16CD" w:rsidRPr="00F208B9">
        <w:rPr>
          <w:rFonts w:ascii="Arial" w:hAnsi="Arial" w:cs="Arial"/>
          <w:sz w:val="24"/>
          <w:szCs w:val="24"/>
        </w:rPr>
        <w:t xml:space="preserve"> </w:t>
      </w:r>
      <w:r w:rsidR="006A5031">
        <w:rPr>
          <w:rFonts w:ascii="Arial" w:hAnsi="Arial" w:cs="Arial"/>
          <w:sz w:val="24"/>
          <w:szCs w:val="24"/>
        </w:rPr>
        <w:t>a</w:t>
      </w:r>
      <w:r w:rsidR="00EA16CD" w:rsidRPr="00F208B9">
        <w:rPr>
          <w:rFonts w:ascii="Arial" w:hAnsi="Arial" w:cs="Arial"/>
          <w:sz w:val="24"/>
          <w:szCs w:val="24"/>
        </w:rPr>
        <w:t>s long as the divorce action has not been finalised</w:t>
      </w:r>
      <w:r w:rsidR="00EA16CD">
        <w:rPr>
          <w:rFonts w:ascii="Arial" w:hAnsi="Arial" w:cs="Arial"/>
          <w:sz w:val="24"/>
          <w:szCs w:val="24"/>
        </w:rPr>
        <w:t>.</w:t>
      </w:r>
      <w:r w:rsidR="00EA16CD" w:rsidRPr="00F208B9">
        <w:rPr>
          <w:rFonts w:ascii="Arial" w:hAnsi="Arial" w:cs="Arial"/>
          <w:sz w:val="24"/>
          <w:szCs w:val="24"/>
        </w:rPr>
        <w:t xml:space="preserve"> </w:t>
      </w:r>
    </w:p>
    <w:p w:rsidR="00EA16CD" w:rsidRDefault="00EA16CD" w:rsidP="00097F43">
      <w:pPr>
        <w:spacing w:after="0" w:line="240" w:lineRule="auto"/>
        <w:jc w:val="both"/>
        <w:rPr>
          <w:rFonts w:ascii="Arial" w:hAnsi="Arial" w:cs="Arial"/>
          <w:sz w:val="24"/>
          <w:szCs w:val="24"/>
        </w:rPr>
      </w:pPr>
    </w:p>
    <w:p w:rsidR="00EA16CD" w:rsidRPr="00F25FEA" w:rsidRDefault="00097F43" w:rsidP="00097F43">
      <w:pPr>
        <w:spacing w:after="0" w:line="360" w:lineRule="auto"/>
        <w:jc w:val="both"/>
        <w:rPr>
          <w:rFonts w:ascii="Arial" w:hAnsi="Arial" w:cs="Arial"/>
          <w:i/>
          <w:iCs/>
          <w:sz w:val="24"/>
          <w:szCs w:val="24"/>
        </w:rPr>
      </w:pPr>
      <w:r>
        <w:rPr>
          <w:rFonts w:ascii="Arial" w:hAnsi="Arial" w:cs="Arial"/>
          <w:sz w:val="24"/>
          <w:szCs w:val="24"/>
        </w:rPr>
        <w:t>[4</w:t>
      </w:r>
      <w:r w:rsidR="002641D0">
        <w:rPr>
          <w:rFonts w:ascii="Arial" w:hAnsi="Arial" w:cs="Arial"/>
          <w:sz w:val="24"/>
          <w:szCs w:val="24"/>
        </w:rPr>
        <w:t>7</w:t>
      </w:r>
      <w:r>
        <w:rPr>
          <w:rFonts w:ascii="Arial" w:hAnsi="Arial" w:cs="Arial"/>
          <w:sz w:val="24"/>
          <w:szCs w:val="24"/>
        </w:rPr>
        <w:t>]</w:t>
      </w:r>
      <w:r>
        <w:rPr>
          <w:rFonts w:ascii="Arial" w:hAnsi="Arial" w:cs="Arial"/>
          <w:sz w:val="24"/>
          <w:szCs w:val="24"/>
        </w:rPr>
        <w:tab/>
      </w:r>
      <w:r w:rsidR="00EA16CD">
        <w:rPr>
          <w:rFonts w:ascii="Arial" w:hAnsi="Arial" w:cs="Arial"/>
          <w:sz w:val="24"/>
          <w:szCs w:val="24"/>
        </w:rPr>
        <w:t xml:space="preserve">In my view, in order to determine whether or not to grant the separation which would be convenient to the parties, much turns on the meaning of the phrase </w:t>
      </w:r>
      <w:r w:rsidR="006D12B5">
        <w:rPr>
          <w:rFonts w:ascii="Arial" w:hAnsi="Arial" w:cs="Arial"/>
          <w:sz w:val="24"/>
          <w:szCs w:val="24"/>
        </w:rPr>
        <w:t>‘</w:t>
      </w:r>
      <w:r w:rsidR="00EA16CD">
        <w:rPr>
          <w:rFonts w:ascii="Arial" w:hAnsi="Arial" w:cs="Arial"/>
          <w:sz w:val="24"/>
          <w:szCs w:val="24"/>
        </w:rPr>
        <w:t>divorce action/matrimonial action</w:t>
      </w:r>
      <w:r w:rsidR="006D12B5">
        <w:rPr>
          <w:rFonts w:ascii="Arial" w:hAnsi="Arial" w:cs="Arial"/>
          <w:sz w:val="24"/>
          <w:szCs w:val="24"/>
        </w:rPr>
        <w:t>’</w:t>
      </w:r>
      <w:r w:rsidR="00EA16CD">
        <w:rPr>
          <w:rFonts w:ascii="Arial" w:hAnsi="Arial" w:cs="Arial"/>
          <w:sz w:val="24"/>
          <w:szCs w:val="24"/>
        </w:rPr>
        <w:t>. The trite principles of interpretation a</w:t>
      </w:r>
      <w:r w:rsidR="006D12B5">
        <w:rPr>
          <w:rFonts w:ascii="Arial" w:hAnsi="Arial" w:cs="Arial"/>
          <w:sz w:val="24"/>
          <w:szCs w:val="24"/>
        </w:rPr>
        <w:t>re</w:t>
      </w:r>
      <w:r w:rsidR="00EA16CD">
        <w:rPr>
          <w:rFonts w:ascii="Arial" w:hAnsi="Arial" w:cs="Arial"/>
          <w:sz w:val="24"/>
          <w:szCs w:val="24"/>
        </w:rPr>
        <w:t xml:space="preserve"> set out in </w:t>
      </w:r>
      <w:r w:rsidR="00EA16CD" w:rsidRPr="00983D40">
        <w:rPr>
          <w:rFonts w:ascii="Arial" w:hAnsi="Arial" w:cs="Arial"/>
          <w:i/>
          <w:iCs/>
          <w:sz w:val="24"/>
          <w:szCs w:val="24"/>
        </w:rPr>
        <w:t>Jaga v Donges</w:t>
      </w:r>
      <w:r w:rsidR="006D12B5">
        <w:rPr>
          <w:rFonts w:ascii="Arial" w:hAnsi="Arial" w:cs="Arial"/>
          <w:i/>
          <w:iCs/>
          <w:sz w:val="24"/>
          <w:szCs w:val="24"/>
        </w:rPr>
        <w:t xml:space="preserve">, </w:t>
      </w:r>
      <w:r w:rsidR="00EA16CD" w:rsidRPr="00983D40">
        <w:rPr>
          <w:rFonts w:ascii="Arial" w:hAnsi="Arial" w:cs="Arial"/>
          <w:i/>
          <w:iCs/>
          <w:sz w:val="24"/>
          <w:szCs w:val="24"/>
        </w:rPr>
        <w:t>N</w:t>
      </w:r>
      <w:r w:rsidR="00F25FEA">
        <w:rPr>
          <w:rFonts w:ascii="Arial" w:hAnsi="Arial" w:cs="Arial"/>
          <w:i/>
          <w:iCs/>
          <w:sz w:val="24"/>
          <w:szCs w:val="24"/>
        </w:rPr>
        <w:t>O</w:t>
      </w:r>
      <w:r w:rsidR="00EA16CD" w:rsidRPr="00983D40">
        <w:rPr>
          <w:rFonts w:ascii="Arial" w:hAnsi="Arial" w:cs="Arial"/>
          <w:i/>
          <w:iCs/>
          <w:sz w:val="24"/>
          <w:szCs w:val="24"/>
        </w:rPr>
        <w:t xml:space="preserve"> and Another</w:t>
      </w:r>
      <w:r w:rsidR="00EA16CD" w:rsidRPr="00B942C5">
        <w:rPr>
          <w:rFonts w:ascii="Arial" w:hAnsi="Arial" w:cs="Arial"/>
          <w:i/>
          <w:iCs/>
          <w:sz w:val="24"/>
          <w:szCs w:val="24"/>
        </w:rPr>
        <w:t>; Bhana v Donges</w:t>
      </w:r>
      <w:r w:rsidR="006D12B5">
        <w:rPr>
          <w:rFonts w:ascii="Arial" w:hAnsi="Arial" w:cs="Arial"/>
          <w:i/>
          <w:iCs/>
          <w:sz w:val="24"/>
          <w:szCs w:val="24"/>
        </w:rPr>
        <w:t>,</w:t>
      </w:r>
      <w:r w:rsidR="00EA16CD" w:rsidRPr="00B942C5">
        <w:rPr>
          <w:rFonts w:ascii="Arial" w:hAnsi="Arial" w:cs="Arial"/>
          <w:i/>
          <w:iCs/>
          <w:sz w:val="24"/>
          <w:szCs w:val="24"/>
        </w:rPr>
        <w:t xml:space="preserve"> NO and </w:t>
      </w:r>
      <w:r w:rsidR="00F25FEA">
        <w:rPr>
          <w:rFonts w:ascii="Arial" w:hAnsi="Arial" w:cs="Arial"/>
          <w:i/>
          <w:iCs/>
          <w:sz w:val="24"/>
          <w:szCs w:val="24"/>
        </w:rPr>
        <w:t>A</w:t>
      </w:r>
      <w:r w:rsidR="00EA16CD" w:rsidRPr="00B942C5">
        <w:rPr>
          <w:rFonts w:ascii="Arial" w:hAnsi="Arial" w:cs="Arial"/>
          <w:i/>
          <w:iCs/>
          <w:sz w:val="24"/>
          <w:szCs w:val="24"/>
        </w:rPr>
        <w:t>nother</w:t>
      </w:r>
      <w:r w:rsidR="00715A28" w:rsidRPr="00715A28">
        <w:rPr>
          <w:rStyle w:val="FootnoteReference"/>
          <w:rFonts w:ascii="Arial" w:hAnsi="Arial" w:cs="Arial"/>
          <w:iCs/>
          <w:sz w:val="24"/>
          <w:szCs w:val="24"/>
        </w:rPr>
        <w:footnoteReference w:id="26"/>
      </w:r>
      <w:r w:rsidR="006D12B5">
        <w:rPr>
          <w:rFonts w:ascii="Arial" w:hAnsi="Arial" w:cs="Arial"/>
          <w:b/>
          <w:sz w:val="24"/>
          <w:szCs w:val="24"/>
        </w:rPr>
        <w:t xml:space="preserve"> </w:t>
      </w:r>
      <w:r w:rsidR="00EA16CD" w:rsidRPr="00B942C5">
        <w:rPr>
          <w:rFonts w:ascii="Arial" w:hAnsi="Arial" w:cs="Arial"/>
          <w:sz w:val="24"/>
          <w:szCs w:val="24"/>
        </w:rPr>
        <w:t xml:space="preserve">and </w:t>
      </w:r>
      <w:r w:rsidR="00EA16CD" w:rsidRPr="00B942C5">
        <w:rPr>
          <w:rFonts w:ascii="Arial" w:hAnsi="Arial" w:cs="Arial"/>
          <w:i/>
          <w:sz w:val="24"/>
          <w:szCs w:val="24"/>
        </w:rPr>
        <w:t>Natal Joint Municipal Pension Fund v Endumeni Municipality</w:t>
      </w:r>
      <w:r w:rsidR="00715A28">
        <w:rPr>
          <w:rFonts w:ascii="Arial" w:hAnsi="Arial" w:cs="Arial"/>
          <w:i/>
          <w:sz w:val="24"/>
          <w:szCs w:val="24"/>
        </w:rPr>
        <w:t>.</w:t>
      </w:r>
      <w:r w:rsidR="00715A28" w:rsidRPr="00715A28">
        <w:rPr>
          <w:rStyle w:val="FootnoteReference"/>
          <w:rFonts w:ascii="Arial" w:hAnsi="Arial" w:cs="Arial"/>
          <w:sz w:val="24"/>
          <w:szCs w:val="24"/>
        </w:rPr>
        <w:footnoteReference w:id="27"/>
      </w:r>
      <w:r w:rsidR="00EA16CD" w:rsidRPr="00B942C5">
        <w:rPr>
          <w:rFonts w:ascii="Arial" w:hAnsi="Arial" w:cs="Arial"/>
          <w:sz w:val="24"/>
          <w:szCs w:val="24"/>
        </w:rPr>
        <w:t xml:space="preserve"> </w:t>
      </w:r>
      <w:r w:rsidR="00EA16CD">
        <w:rPr>
          <w:rFonts w:ascii="Arial" w:hAnsi="Arial" w:cs="Arial"/>
          <w:sz w:val="24"/>
          <w:szCs w:val="24"/>
        </w:rPr>
        <w:t xml:space="preserve">Additionally, it has been held that </w:t>
      </w:r>
      <w:r w:rsidR="00EA16CD" w:rsidRPr="00A01360">
        <w:rPr>
          <w:rFonts w:ascii="Arial" w:hAnsi="Arial" w:cs="Arial"/>
          <w:color w:val="000000"/>
          <w:sz w:val="24"/>
          <w:szCs w:val="24"/>
          <w:lang w:eastAsia="en-ZA"/>
        </w:rPr>
        <w:t>the process of interpretation is a unitary exercise, not a mechanical consideration of the text, context and purpose of the instrument under consideration</w:t>
      </w:r>
      <w:r w:rsidR="00EA16CD">
        <w:rPr>
          <w:rFonts w:ascii="Arial" w:hAnsi="Arial" w:cs="Arial"/>
          <w:color w:val="000000"/>
          <w:sz w:val="24"/>
          <w:szCs w:val="24"/>
          <w:lang w:eastAsia="en-ZA"/>
        </w:rPr>
        <w:t>.</w:t>
      </w:r>
      <w:r w:rsidR="00715A28">
        <w:rPr>
          <w:rStyle w:val="FootnoteReference"/>
          <w:rFonts w:ascii="Arial" w:hAnsi="Arial" w:cs="Arial"/>
          <w:color w:val="000000"/>
          <w:sz w:val="24"/>
          <w:szCs w:val="24"/>
          <w:lang w:eastAsia="en-ZA"/>
        </w:rPr>
        <w:footnoteReference w:id="28"/>
      </w:r>
      <w:r w:rsidR="00EA16CD">
        <w:rPr>
          <w:rFonts w:ascii="Arial" w:hAnsi="Arial" w:cs="Arial"/>
          <w:color w:val="000000"/>
          <w:sz w:val="24"/>
          <w:szCs w:val="24"/>
          <w:lang w:eastAsia="en-ZA"/>
        </w:rPr>
        <w:t xml:space="preserve"> </w:t>
      </w:r>
    </w:p>
    <w:p w:rsidR="00EA16CD" w:rsidRDefault="00EA16CD" w:rsidP="00097F43">
      <w:pPr>
        <w:spacing w:after="0" w:line="240" w:lineRule="auto"/>
        <w:jc w:val="both"/>
        <w:rPr>
          <w:rFonts w:ascii="Arial" w:hAnsi="Arial" w:cs="Arial"/>
          <w:sz w:val="24"/>
          <w:szCs w:val="24"/>
        </w:rPr>
      </w:pPr>
    </w:p>
    <w:p w:rsidR="00EA16CD" w:rsidRDefault="00097F43" w:rsidP="00880396">
      <w:pPr>
        <w:spacing w:after="0" w:line="360" w:lineRule="auto"/>
        <w:jc w:val="both"/>
        <w:rPr>
          <w:rFonts w:ascii="Arial" w:hAnsi="Arial" w:cs="Arial"/>
          <w:sz w:val="24"/>
          <w:szCs w:val="24"/>
        </w:rPr>
      </w:pPr>
      <w:r>
        <w:rPr>
          <w:rFonts w:ascii="Arial" w:hAnsi="Arial" w:cs="Arial"/>
          <w:sz w:val="24"/>
          <w:szCs w:val="24"/>
        </w:rPr>
        <w:t>[4</w:t>
      </w:r>
      <w:r w:rsidR="002641D0">
        <w:rPr>
          <w:rFonts w:ascii="Arial" w:hAnsi="Arial" w:cs="Arial"/>
          <w:sz w:val="24"/>
          <w:szCs w:val="24"/>
        </w:rPr>
        <w:t>8</w:t>
      </w:r>
      <w:r>
        <w:rPr>
          <w:rFonts w:ascii="Arial" w:hAnsi="Arial" w:cs="Arial"/>
          <w:sz w:val="24"/>
          <w:szCs w:val="24"/>
        </w:rPr>
        <w:t>]</w:t>
      </w:r>
      <w:r>
        <w:rPr>
          <w:rFonts w:ascii="Arial" w:hAnsi="Arial" w:cs="Arial"/>
          <w:sz w:val="24"/>
          <w:szCs w:val="24"/>
        </w:rPr>
        <w:tab/>
      </w:r>
      <w:r w:rsidR="00EA16CD">
        <w:rPr>
          <w:rFonts w:ascii="Arial" w:hAnsi="Arial" w:cs="Arial"/>
          <w:sz w:val="24"/>
          <w:szCs w:val="24"/>
        </w:rPr>
        <w:t xml:space="preserve">The court in </w:t>
      </w:r>
      <w:r w:rsidR="00EA16CD" w:rsidRPr="0040789E">
        <w:rPr>
          <w:rFonts w:ascii="Arial" w:hAnsi="Arial" w:cs="Arial"/>
          <w:i/>
          <w:sz w:val="24"/>
          <w:szCs w:val="24"/>
        </w:rPr>
        <w:t>AM v RM</w:t>
      </w:r>
      <w:r w:rsidR="00715A28" w:rsidRPr="00715A28">
        <w:rPr>
          <w:rStyle w:val="FootnoteReference"/>
          <w:rFonts w:ascii="Arial" w:hAnsi="Arial" w:cs="Arial"/>
          <w:sz w:val="24"/>
          <w:szCs w:val="24"/>
        </w:rPr>
        <w:footnoteReference w:id="29"/>
      </w:r>
      <w:r w:rsidR="00EA16CD">
        <w:rPr>
          <w:rFonts w:ascii="Arial" w:hAnsi="Arial" w:cs="Arial"/>
          <w:sz w:val="24"/>
          <w:szCs w:val="24"/>
        </w:rPr>
        <w:t xml:space="preserve"> found that even where the legality or subsistence of a marriage was challenged, it is accepted that there exists a pending divorce action. Such pending divorce action brought the matter within the ambit of matrimonial matters and a matrimonial action as envisaged in rule 43. At </w:t>
      </w:r>
      <w:r w:rsidR="006D12B5">
        <w:rPr>
          <w:rFonts w:ascii="Arial" w:hAnsi="Arial" w:cs="Arial"/>
          <w:sz w:val="24"/>
          <w:szCs w:val="24"/>
        </w:rPr>
        <w:t>paragraph</w:t>
      </w:r>
      <w:r w:rsidR="00EA16CD">
        <w:rPr>
          <w:rFonts w:ascii="Arial" w:hAnsi="Arial" w:cs="Arial"/>
          <w:sz w:val="24"/>
          <w:szCs w:val="24"/>
        </w:rPr>
        <w:t xml:space="preserve"> 10, the court held that it did not matter that the parties had divorced in terms of Muslim rites, the fact that </w:t>
      </w:r>
      <w:r w:rsidR="00EA16CD">
        <w:rPr>
          <w:rFonts w:ascii="Arial" w:hAnsi="Arial" w:cs="Arial"/>
          <w:sz w:val="24"/>
          <w:szCs w:val="24"/>
        </w:rPr>
        <w:lastRenderedPageBreak/>
        <w:t xml:space="preserve">there was a pending challenge </w:t>
      </w:r>
      <w:r w:rsidR="006D12B5">
        <w:rPr>
          <w:rFonts w:ascii="Arial" w:hAnsi="Arial" w:cs="Arial"/>
          <w:sz w:val="24"/>
          <w:szCs w:val="24"/>
        </w:rPr>
        <w:t>to</w:t>
      </w:r>
      <w:r w:rsidR="00EA16CD">
        <w:rPr>
          <w:rFonts w:ascii="Arial" w:hAnsi="Arial" w:cs="Arial"/>
          <w:sz w:val="24"/>
          <w:szCs w:val="24"/>
        </w:rPr>
        <w:t xml:space="preserve"> the status of the marriage meant that there was a pending divorce action. </w:t>
      </w:r>
    </w:p>
    <w:p w:rsidR="00EA16CD" w:rsidRDefault="00EA16CD" w:rsidP="00880396">
      <w:pPr>
        <w:spacing w:after="0" w:line="240" w:lineRule="auto"/>
        <w:jc w:val="both"/>
        <w:rPr>
          <w:rFonts w:ascii="Arial" w:hAnsi="Arial" w:cs="Arial"/>
          <w:sz w:val="24"/>
          <w:szCs w:val="24"/>
        </w:rPr>
      </w:pPr>
    </w:p>
    <w:p w:rsidR="00EA16CD" w:rsidRDefault="00880396" w:rsidP="00880396">
      <w:pPr>
        <w:spacing w:after="0" w:line="360" w:lineRule="auto"/>
        <w:jc w:val="both"/>
        <w:rPr>
          <w:rFonts w:ascii="Arial" w:hAnsi="Arial" w:cs="Arial"/>
          <w:sz w:val="24"/>
          <w:szCs w:val="24"/>
        </w:rPr>
      </w:pPr>
      <w:r>
        <w:rPr>
          <w:rFonts w:ascii="Arial" w:hAnsi="Arial" w:cs="Arial"/>
          <w:sz w:val="24"/>
          <w:szCs w:val="24"/>
        </w:rPr>
        <w:t>[</w:t>
      </w:r>
      <w:r w:rsidR="002641D0">
        <w:rPr>
          <w:rFonts w:ascii="Arial" w:hAnsi="Arial" w:cs="Arial"/>
          <w:sz w:val="24"/>
          <w:szCs w:val="24"/>
        </w:rPr>
        <w:t>49</w:t>
      </w:r>
      <w:r>
        <w:rPr>
          <w:rFonts w:ascii="Arial" w:hAnsi="Arial" w:cs="Arial"/>
          <w:sz w:val="24"/>
          <w:szCs w:val="24"/>
        </w:rPr>
        <w:t>]</w:t>
      </w:r>
      <w:r>
        <w:rPr>
          <w:rFonts w:ascii="Arial" w:hAnsi="Arial" w:cs="Arial"/>
          <w:sz w:val="24"/>
          <w:szCs w:val="24"/>
        </w:rPr>
        <w:tab/>
      </w:r>
      <w:r w:rsidR="00EA16CD">
        <w:rPr>
          <w:rFonts w:ascii="Arial" w:hAnsi="Arial" w:cs="Arial"/>
          <w:sz w:val="24"/>
          <w:szCs w:val="24"/>
        </w:rPr>
        <w:t xml:space="preserve">In </w:t>
      </w:r>
      <w:r w:rsidR="00EA16CD">
        <w:rPr>
          <w:rFonts w:ascii="Arial" w:hAnsi="Arial" w:cs="Arial"/>
          <w:i/>
          <w:sz w:val="24"/>
          <w:szCs w:val="24"/>
        </w:rPr>
        <w:t>Zaphiriou v Zaphiriou</w:t>
      </w:r>
      <w:r w:rsidR="00715A28" w:rsidRPr="00715A28">
        <w:rPr>
          <w:rStyle w:val="FootnoteReference"/>
          <w:rFonts w:ascii="Arial" w:hAnsi="Arial" w:cs="Arial"/>
          <w:sz w:val="24"/>
          <w:szCs w:val="24"/>
        </w:rPr>
        <w:footnoteReference w:id="30"/>
      </w:r>
      <w:r w:rsidR="00EA16CD">
        <w:rPr>
          <w:rFonts w:ascii="Arial" w:hAnsi="Arial" w:cs="Arial"/>
          <w:i/>
          <w:sz w:val="24"/>
          <w:szCs w:val="24"/>
        </w:rPr>
        <w:t xml:space="preserve"> </w:t>
      </w:r>
      <w:r w:rsidR="00EA16CD" w:rsidRPr="00F5782D">
        <w:rPr>
          <w:rFonts w:ascii="Arial" w:hAnsi="Arial" w:cs="Arial"/>
          <w:sz w:val="24"/>
          <w:szCs w:val="24"/>
        </w:rPr>
        <w:t xml:space="preserve">dealing with the applicability of rule 43, the court stated that the rule was designed to provide an inexpensive procedure to procure interim relief pending matrimonial action as was provided for under </w:t>
      </w:r>
      <w:r w:rsidR="000464BB">
        <w:rPr>
          <w:rFonts w:ascii="Arial" w:hAnsi="Arial" w:cs="Arial"/>
          <w:sz w:val="24"/>
          <w:szCs w:val="24"/>
        </w:rPr>
        <w:t xml:space="preserve">the </w:t>
      </w:r>
      <w:r w:rsidR="00EA16CD" w:rsidRPr="00F5782D">
        <w:rPr>
          <w:rFonts w:ascii="Arial" w:hAnsi="Arial" w:cs="Arial"/>
          <w:sz w:val="24"/>
          <w:szCs w:val="24"/>
        </w:rPr>
        <w:t>common law. The purpose being to regulate the position between the parties until</w:t>
      </w:r>
      <w:r w:rsidR="00EA16CD">
        <w:rPr>
          <w:rFonts w:ascii="Arial" w:hAnsi="Arial" w:cs="Arial"/>
          <w:i/>
          <w:sz w:val="24"/>
          <w:szCs w:val="24"/>
        </w:rPr>
        <w:t xml:space="preserve"> </w:t>
      </w:r>
      <w:r w:rsidR="00EA16CD">
        <w:rPr>
          <w:rFonts w:ascii="Arial" w:hAnsi="Arial" w:cs="Arial"/>
          <w:sz w:val="24"/>
          <w:szCs w:val="24"/>
        </w:rPr>
        <w:t>the court finally determines all issues between them</w:t>
      </w:r>
      <w:r w:rsidR="000464BB">
        <w:rPr>
          <w:rFonts w:ascii="Arial" w:hAnsi="Arial" w:cs="Arial"/>
          <w:sz w:val="24"/>
          <w:szCs w:val="24"/>
        </w:rPr>
        <w:t>,</w:t>
      </w:r>
      <w:r w:rsidR="00EA16CD">
        <w:rPr>
          <w:rFonts w:ascii="Arial" w:hAnsi="Arial" w:cs="Arial"/>
          <w:sz w:val="24"/>
          <w:szCs w:val="24"/>
        </w:rPr>
        <w:t xml:space="preserve"> one of which may be whether there exists a valid marriage between them. </w:t>
      </w:r>
    </w:p>
    <w:p w:rsidR="00EA16CD" w:rsidRDefault="00EA16CD" w:rsidP="00880396">
      <w:pPr>
        <w:spacing w:after="0" w:line="240" w:lineRule="auto"/>
        <w:jc w:val="both"/>
        <w:rPr>
          <w:rFonts w:ascii="Arial" w:hAnsi="Arial" w:cs="Arial"/>
          <w:sz w:val="24"/>
          <w:szCs w:val="24"/>
        </w:rPr>
      </w:pPr>
    </w:p>
    <w:p w:rsidR="00EA16CD" w:rsidRDefault="00880396" w:rsidP="00880396">
      <w:pPr>
        <w:spacing w:after="0" w:line="360" w:lineRule="auto"/>
        <w:jc w:val="both"/>
        <w:rPr>
          <w:rFonts w:ascii="Arial" w:hAnsi="Arial" w:cs="Arial"/>
          <w:sz w:val="24"/>
          <w:szCs w:val="24"/>
        </w:rPr>
      </w:pPr>
      <w:r>
        <w:rPr>
          <w:rFonts w:ascii="Arial" w:hAnsi="Arial" w:cs="Arial"/>
          <w:sz w:val="24"/>
          <w:szCs w:val="24"/>
        </w:rPr>
        <w:t>[5</w:t>
      </w:r>
      <w:r w:rsidR="002641D0">
        <w:rPr>
          <w:rFonts w:ascii="Arial" w:hAnsi="Arial" w:cs="Arial"/>
          <w:sz w:val="24"/>
          <w:szCs w:val="24"/>
        </w:rPr>
        <w:t>0</w:t>
      </w:r>
      <w:r>
        <w:rPr>
          <w:rFonts w:ascii="Arial" w:hAnsi="Arial" w:cs="Arial"/>
          <w:sz w:val="24"/>
          <w:szCs w:val="24"/>
        </w:rPr>
        <w:t>]</w:t>
      </w:r>
      <w:r>
        <w:rPr>
          <w:rFonts w:ascii="Arial" w:hAnsi="Arial" w:cs="Arial"/>
          <w:sz w:val="24"/>
          <w:szCs w:val="24"/>
        </w:rPr>
        <w:tab/>
      </w:r>
      <w:r w:rsidR="00EA16CD">
        <w:rPr>
          <w:rFonts w:ascii="Arial" w:hAnsi="Arial" w:cs="Arial"/>
          <w:sz w:val="24"/>
          <w:szCs w:val="24"/>
        </w:rPr>
        <w:t xml:space="preserve">In </w:t>
      </w:r>
      <w:r w:rsidR="00EA16CD" w:rsidRPr="00C83FCC">
        <w:rPr>
          <w:rFonts w:ascii="Arial" w:hAnsi="Arial" w:cs="Arial"/>
          <w:i/>
          <w:sz w:val="24"/>
          <w:szCs w:val="24"/>
        </w:rPr>
        <w:t>Gunston v Gunston</w:t>
      </w:r>
      <w:r w:rsidR="00010E0D" w:rsidRPr="00010E0D">
        <w:rPr>
          <w:rFonts w:ascii="Arial" w:hAnsi="Arial" w:cs="Arial"/>
          <w:sz w:val="24"/>
          <w:szCs w:val="24"/>
        </w:rPr>
        <w:t>,</w:t>
      </w:r>
      <w:r w:rsidR="00715A28" w:rsidRPr="00715A28">
        <w:rPr>
          <w:rStyle w:val="FootnoteReference"/>
          <w:rFonts w:ascii="Arial" w:hAnsi="Arial" w:cs="Arial"/>
          <w:sz w:val="24"/>
          <w:szCs w:val="24"/>
        </w:rPr>
        <w:footnoteReference w:id="31"/>
      </w:r>
      <w:r w:rsidR="00EA16CD">
        <w:rPr>
          <w:rFonts w:ascii="Arial" w:hAnsi="Arial" w:cs="Arial"/>
          <w:sz w:val="24"/>
          <w:szCs w:val="24"/>
        </w:rPr>
        <w:t xml:space="preserve"> also in the context of a rule 43, the court held that the rule relates solely to matrimonial action which includes actions for divorce, restitution and judicial separation.</w:t>
      </w:r>
      <w:r w:rsidR="00715A28">
        <w:rPr>
          <w:rStyle w:val="FootnoteReference"/>
          <w:rFonts w:ascii="Arial" w:hAnsi="Arial" w:cs="Arial"/>
          <w:sz w:val="24"/>
          <w:szCs w:val="24"/>
        </w:rPr>
        <w:footnoteReference w:id="32"/>
      </w:r>
      <w:r w:rsidR="00EA16CD">
        <w:rPr>
          <w:rFonts w:ascii="Arial" w:hAnsi="Arial" w:cs="Arial"/>
          <w:sz w:val="24"/>
          <w:szCs w:val="24"/>
        </w:rPr>
        <w:t xml:space="preserve"> It was held further that a party cannot apply for maintenance pendente lite unless the contemplated </w:t>
      </w:r>
      <w:r w:rsidR="00EA16CD" w:rsidRPr="00C83FCC">
        <w:rPr>
          <w:rFonts w:ascii="Arial" w:hAnsi="Arial" w:cs="Arial"/>
          <w:i/>
          <w:sz w:val="24"/>
          <w:szCs w:val="24"/>
        </w:rPr>
        <w:t>lis</w:t>
      </w:r>
      <w:r w:rsidR="00EA16CD">
        <w:rPr>
          <w:rFonts w:ascii="Arial" w:hAnsi="Arial" w:cs="Arial"/>
          <w:sz w:val="24"/>
          <w:szCs w:val="24"/>
        </w:rPr>
        <w:t xml:space="preserve"> is </w:t>
      </w:r>
      <w:r w:rsidR="000333C0">
        <w:rPr>
          <w:rFonts w:ascii="Arial" w:hAnsi="Arial" w:cs="Arial"/>
          <w:sz w:val="24"/>
          <w:szCs w:val="24"/>
        </w:rPr>
        <w:t xml:space="preserve">a </w:t>
      </w:r>
      <w:r w:rsidR="00EA16CD">
        <w:rPr>
          <w:rFonts w:ascii="Arial" w:hAnsi="Arial" w:cs="Arial"/>
          <w:sz w:val="24"/>
          <w:szCs w:val="24"/>
        </w:rPr>
        <w:t xml:space="preserve">matrimonial action. </w:t>
      </w:r>
      <w:r w:rsidR="004C55FD">
        <w:rPr>
          <w:rFonts w:ascii="Arial" w:hAnsi="Arial" w:cs="Arial"/>
          <w:sz w:val="24"/>
          <w:szCs w:val="24"/>
        </w:rPr>
        <w:t xml:space="preserve">A </w:t>
      </w:r>
      <w:r w:rsidR="00963525">
        <w:rPr>
          <w:rFonts w:ascii="Arial" w:hAnsi="Arial" w:cs="Arial"/>
          <w:sz w:val="24"/>
          <w:szCs w:val="24"/>
        </w:rPr>
        <w:t xml:space="preserve">matrimonial action includes proceedings incidental </w:t>
      </w:r>
      <w:r w:rsidR="004F2823">
        <w:rPr>
          <w:rFonts w:ascii="Arial" w:hAnsi="Arial" w:cs="Arial"/>
          <w:sz w:val="24"/>
          <w:szCs w:val="24"/>
        </w:rPr>
        <w:t xml:space="preserve">to such action, such as </w:t>
      </w:r>
      <w:r w:rsidR="00963525">
        <w:rPr>
          <w:rFonts w:ascii="Arial" w:hAnsi="Arial" w:cs="Arial"/>
          <w:sz w:val="24"/>
          <w:szCs w:val="24"/>
        </w:rPr>
        <w:t>contribution towards costs, maintenance pendente lite or for an interdict restraining the disposing of assets pendente lite or an order awarding custody of children of the marriage pendente lite.</w:t>
      </w:r>
      <w:r w:rsidR="00963525">
        <w:rPr>
          <w:rStyle w:val="FootnoteReference"/>
          <w:rFonts w:ascii="Arial" w:hAnsi="Arial" w:cs="Arial"/>
          <w:sz w:val="24"/>
          <w:szCs w:val="24"/>
        </w:rPr>
        <w:footnoteReference w:id="33"/>
      </w:r>
    </w:p>
    <w:p w:rsidR="00EA16CD" w:rsidRDefault="00EA16CD" w:rsidP="00880396">
      <w:pPr>
        <w:spacing w:after="0" w:line="240" w:lineRule="auto"/>
        <w:jc w:val="both"/>
        <w:rPr>
          <w:rFonts w:ascii="Arial" w:hAnsi="Arial" w:cs="Arial"/>
          <w:sz w:val="24"/>
          <w:szCs w:val="24"/>
        </w:rPr>
      </w:pPr>
    </w:p>
    <w:p w:rsidR="00EA16CD" w:rsidRDefault="00880396" w:rsidP="00880396">
      <w:pPr>
        <w:spacing w:after="0" w:line="360" w:lineRule="auto"/>
        <w:jc w:val="both"/>
        <w:rPr>
          <w:rFonts w:ascii="Arial" w:hAnsi="Arial" w:cs="Arial"/>
          <w:sz w:val="24"/>
          <w:szCs w:val="24"/>
        </w:rPr>
      </w:pPr>
      <w:r>
        <w:rPr>
          <w:rFonts w:ascii="Arial" w:hAnsi="Arial" w:cs="Arial"/>
          <w:sz w:val="24"/>
          <w:szCs w:val="24"/>
        </w:rPr>
        <w:t>[5</w:t>
      </w:r>
      <w:r w:rsidR="002641D0">
        <w:rPr>
          <w:rFonts w:ascii="Arial" w:hAnsi="Arial" w:cs="Arial"/>
          <w:sz w:val="24"/>
          <w:szCs w:val="24"/>
        </w:rPr>
        <w:t>1</w:t>
      </w:r>
      <w:r>
        <w:rPr>
          <w:rFonts w:ascii="Arial" w:hAnsi="Arial" w:cs="Arial"/>
          <w:sz w:val="24"/>
          <w:szCs w:val="24"/>
        </w:rPr>
        <w:t>]</w:t>
      </w:r>
      <w:r>
        <w:rPr>
          <w:rFonts w:ascii="Arial" w:hAnsi="Arial" w:cs="Arial"/>
          <w:sz w:val="24"/>
          <w:szCs w:val="24"/>
        </w:rPr>
        <w:tab/>
      </w:r>
      <w:r w:rsidR="00EA16CD" w:rsidRPr="00B942C5">
        <w:rPr>
          <w:rFonts w:ascii="Arial" w:hAnsi="Arial" w:cs="Arial"/>
          <w:sz w:val="24"/>
          <w:szCs w:val="24"/>
        </w:rPr>
        <w:t xml:space="preserve">B Clark </w:t>
      </w:r>
      <w:r w:rsidR="000333C0">
        <w:rPr>
          <w:rFonts w:ascii="Arial" w:hAnsi="Arial" w:cs="Arial"/>
          <w:sz w:val="24"/>
          <w:szCs w:val="24"/>
        </w:rPr>
        <w:t xml:space="preserve">in </w:t>
      </w:r>
      <w:r w:rsidR="00EA16CD" w:rsidRPr="00B942C5">
        <w:rPr>
          <w:rFonts w:ascii="Arial" w:hAnsi="Arial" w:cs="Arial"/>
          <w:i/>
          <w:iCs/>
          <w:sz w:val="24"/>
          <w:szCs w:val="24"/>
        </w:rPr>
        <w:t>Family Law Service,</w:t>
      </w:r>
      <w:r w:rsidR="00715A28" w:rsidRPr="00715A28">
        <w:rPr>
          <w:rStyle w:val="FootnoteReference"/>
          <w:rFonts w:ascii="Arial" w:hAnsi="Arial" w:cs="Arial"/>
          <w:iCs/>
          <w:sz w:val="24"/>
          <w:szCs w:val="24"/>
        </w:rPr>
        <w:footnoteReference w:id="34"/>
      </w:r>
      <w:r w:rsidR="00EA16CD" w:rsidRPr="00715A28">
        <w:rPr>
          <w:rFonts w:ascii="Arial" w:hAnsi="Arial" w:cs="Arial"/>
          <w:iCs/>
          <w:sz w:val="24"/>
          <w:szCs w:val="24"/>
        </w:rPr>
        <w:t xml:space="preserve"> </w:t>
      </w:r>
      <w:r w:rsidR="00EA16CD">
        <w:rPr>
          <w:rFonts w:ascii="Arial" w:hAnsi="Arial" w:cs="Arial"/>
          <w:sz w:val="24"/>
          <w:szCs w:val="24"/>
        </w:rPr>
        <w:t xml:space="preserve">states that matrimonial actions pertinent to the dissolution of the marriage include not only actions for divorce and nullity but also </w:t>
      </w:r>
      <w:r w:rsidR="00C22517">
        <w:rPr>
          <w:rFonts w:ascii="Arial" w:hAnsi="Arial" w:cs="Arial"/>
          <w:sz w:val="24"/>
          <w:szCs w:val="24"/>
        </w:rPr>
        <w:t>‘</w:t>
      </w:r>
      <w:r w:rsidR="00EA16CD">
        <w:rPr>
          <w:rFonts w:ascii="Arial" w:hAnsi="Arial" w:cs="Arial"/>
          <w:sz w:val="24"/>
          <w:szCs w:val="24"/>
        </w:rPr>
        <w:t xml:space="preserve">include incidental proceedings for leave to sue </w:t>
      </w:r>
      <w:r w:rsidR="00EA16CD">
        <w:rPr>
          <w:rFonts w:ascii="Arial" w:hAnsi="Arial" w:cs="Arial"/>
          <w:i/>
          <w:sz w:val="24"/>
          <w:szCs w:val="24"/>
        </w:rPr>
        <w:t>in forma pauperis</w:t>
      </w:r>
      <w:r w:rsidR="00EA16CD">
        <w:rPr>
          <w:rFonts w:ascii="Arial" w:hAnsi="Arial" w:cs="Arial"/>
          <w:sz w:val="24"/>
          <w:szCs w:val="24"/>
        </w:rPr>
        <w:t xml:space="preserve">, for maintenance </w:t>
      </w:r>
      <w:r w:rsidR="00EA16CD" w:rsidRPr="000333C0">
        <w:rPr>
          <w:rFonts w:ascii="Arial" w:hAnsi="Arial" w:cs="Arial"/>
          <w:i/>
          <w:sz w:val="24"/>
          <w:szCs w:val="24"/>
        </w:rPr>
        <w:t>pendente lite</w:t>
      </w:r>
      <w:r w:rsidR="000333C0">
        <w:rPr>
          <w:rFonts w:ascii="Arial" w:hAnsi="Arial" w:cs="Arial"/>
          <w:sz w:val="24"/>
          <w:szCs w:val="24"/>
        </w:rPr>
        <w:t>,</w:t>
      </w:r>
      <w:r w:rsidR="00EA16CD">
        <w:rPr>
          <w:rFonts w:ascii="Arial" w:hAnsi="Arial" w:cs="Arial"/>
          <w:sz w:val="24"/>
          <w:szCs w:val="24"/>
        </w:rPr>
        <w:t xml:space="preserve"> for a contribution to</w:t>
      </w:r>
      <w:r w:rsidR="000333C0">
        <w:rPr>
          <w:rFonts w:ascii="Arial" w:hAnsi="Arial" w:cs="Arial"/>
          <w:sz w:val="24"/>
          <w:szCs w:val="24"/>
        </w:rPr>
        <w:t xml:space="preserve"> </w:t>
      </w:r>
      <w:r w:rsidR="00EA16CD">
        <w:rPr>
          <w:rFonts w:ascii="Arial" w:hAnsi="Arial" w:cs="Arial"/>
          <w:sz w:val="24"/>
          <w:szCs w:val="24"/>
        </w:rPr>
        <w:t xml:space="preserve">costs, for </w:t>
      </w:r>
      <w:r w:rsidR="00C22517">
        <w:rPr>
          <w:rFonts w:ascii="Arial" w:hAnsi="Arial" w:cs="Arial"/>
          <w:sz w:val="24"/>
          <w:szCs w:val="24"/>
        </w:rPr>
        <w:t xml:space="preserve">the </w:t>
      </w:r>
      <w:r w:rsidR="00EA16CD">
        <w:rPr>
          <w:rFonts w:ascii="Arial" w:hAnsi="Arial" w:cs="Arial"/>
          <w:sz w:val="24"/>
          <w:szCs w:val="24"/>
        </w:rPr>
        <w:t xml:space="preserve">custody of children </w:t>
      </w:r>
      <w:r w:rsidR="00EA16CD" w:rsidRPr="00C22517">
        <w:rPr>
          <w:rFonts w:ascii="Arial" w:hAnsi="Arial" w:cs="Arial"/>
          <w:i/>
          <w:sz w:val="24"/>
          <w:szCs w:val="24"/>
        </w:rPr>
        <w:t>pendente lite</w:t>
      </w:r>
      <w:r w:rsidR="00EA16CD">
        <w:rPr>
          <w:rFonts w:ascii="Arial" w:hAnsi="Arial" w:cs="Arial"/>
          <w:sz w:val="24"/>
          <w:szCs w:val="24"/>
        </w:rPr>
        <w:t xml:space="preserve">, or </w:t>
      </w:r>
      <w:r w:rsidR="00C22517">
        <w:rPr>
          <w:rFonts w:ascii="Arial" w:hAnsi="Arial" w:cs="Arial"/>
          <w:sz w:val="24"/>
          <w:szCs w:val="24"/>
        </w:rPr>
        <w:t xml:space="preserve">for </w:t>
      </w:r>
      <w:r w:rsidR="00EA16CD">
        <w:rPr>
          <w:rFonts w:ascii="Arial" w:hAnsi="Arial" w:cs="Arial"/>
          <w:sz w:val="24"/>
          <w:szCs w:val="24"/>
        </w:rPr>
        <w:t>interdict</w:t>
      </w:r>
      <w:r w:rsidR="00C22517">
        <w:rPr>
          <w:rFonts w:ascii="Arial" w:hAnsi="Arial" w:cs="Arial"/>
          <w:sz w:val="24"/>
          <w:szCs w:val="24"/>
        </w:rPr>
        <w:t>s</w:t>
      </w:r>
      <w:r w:rsidR="00EA16CD">
        <w:rPr>
          <w:rFonts w:ascii="Arial" w:hAnsi="Arial" w:cs="Arial"/>
          <w:sz w:val="24"/>
          <w:szCs w:val="24"/>
        </w:rPr>
        <w:t xml:space="preserve"> against the other spouse</w:t>
      </w:r>
      <w:r w:rsidR="00C22517">
        <w:rPr>
          <w:rFonts w:ascii="Arial" w:hAnsi="Arial" w:cs="Arial"/>
          <w:sz w:val="24"/>
          <w:szCs w:val="24"/>
        </w:rPr>
        <w:t>’</w:t>
      </w:r>
      <w:r w:rsidR="00EA16CD">
        <w:rPr>
          <w:rFonts w:ascii="Arial" w:hAnsi="Arial" w:cs="Arial"/>
          <w:sz w:val="24"/>
          <w:szCs w:val="24"/>
        </w:rPr>
        <w:t xml:space="preserve">. </w:t>
      </w:r>
      <w:r w:rsidR="00C22517">
        <w:rPr>
          <w:rFonts w:ascii="Arial" w:hAnsi="Arial" w:cs="Arial"/>
          <w:sz w:val="24"/>
          <w:szCs w:val="24"/>
        </w:rPr>
        <w:t>Further</w:t>
      </w:r>
      <w:r w:rsidR="00A20B8F">
        <w:rPr>
          <w:rFonts w:ascii="Arial" w:hAnsi="Arial" w:cs="Arial"/>
          <w:sz w:val="24"/>
          <w:szCs w:val="24"/>
        </w:rPr>
        <w:t>,</w:t>
      </w:r>
      <w:r w:rsidR="00EA16CD">
        <w:rPr>
          <w:rFonts w:ascii="Arial" w:hAnsi="Arial" w:cs="Arial"/>
          <w:sz w:val="24"/>
          <w:szCs w:val="24"/>
        </w:rPr>
        <w:t xml:space="preserve"> </w:t>
      </w:r>
      <w:r w:rsidR="00715A28">
        <w:rPr>
          <w:rFonts w:ascii="Arial" w:hAnsi="Arial" w:cs="Arial"/>
          <w:sz w:val="24"/>
          <w:szCs w:val="24"/>
        </w:rPr>
        <w:t>d</w:t>
      </w:r>
      <w:r w:rsidR="00EA16CD">
        <w:rPr>
          <w:rFonts w:ascii="Arial" w:hAnsi="Arial" w:cs="Arial"/>
          <w:sz w:val="24"/>
          <w:szCs w:val="24"/>
        </w:rPr>
        <w:t>ivorce action is describe</w:t>
      </w:r>
      <w:r w:rsidR="00715A28">
        <w:rPr>
          <w:rFonts w:ascii="Arial" w:hAnsi="Arial" w:cs="Arial"/>
          <w:sz w:val="24"/>
          <w:szCs w:val="24"/>
        </w:rPr>
        <w:t>d</w:t>
      </w:r>
      <w:r w:rsidR="00EA16CD">
        <w:rPr>
          <w:rFonts w:ascii="Arial" w:hAnsi="Arial" w:cs="Arial"/>
          <w:sz w:val="24"/>
          <w:szCs w:val="24"/>
        </w:rPr>
        <w:t xml:space="preserve"> as a </w:t>
      </w:r>
      <w:r w:rsidR="00EA16CD" w:rsidRPr="00C22517">
        <w:rPr>
          <w:rFonts w:ascii="Arial" w:hAnsi="Arial" w:cs="Arial"/>
          <w:sz w:val="24"/>
          <w:szCs w:val="24"/>
        </w:rPr>
        <w:t>composite action which includes the divorce, a claim for maintenance, a claim for costs and the care and custody of minor children</w:t>
      </w:r>
      <w:r w:rsidR="00A20B8F">
        <w:rPr>
          <w:rFonts w:ascii="Arial" w:hAnsi="Arial" w:cs="Arial"/>
          <w:sz w:val="24"/>
          <w:szCs w:val="24"/>
        </w:rPr>
        <w:t>.</w:t>
      </w:r>
      <w:r w:rsidR="00331C54" w:rsidRPr="00331C54">
        <w:rPr>
          <w:rStyle w:val="FootnoteReference"/>
          <w:rFonts w:ascii="Arial" w:hAnsi="Arial" w:cs="Arial"/>
          <w:sz w:val="24"/>
          <w:szCs w:val="24"/>
        </w:rPr>
        <w:t xml:space="preserve"> </w:t>
      </w:r>
      <w:r w:rsidR="00331C54">
        <w:rPr>
          <w:rStyle w:val="FootnoteReference"/>
          <w:rFonts w:ascii="Arial" w:hAnsi="Arial" w:cs="Arial"/>
          <w:sz w:val="24"/>
          <w:szCs w:val="24"/>
        </w:rPr>
        <w:footnoteReference w:id="35"/>
      </w:r>
      <w:r w:rsidR="00EA16CD">
        <w:rPr>
          <w:rFonts w:ascii="Arial" w:hAnsi="Arial" w:cs="Arial"/>
          <w:sz w:val="24"/>
          <w:szCs w:val="24"/>
        </w:rPr>
        <w:t xml:space="preserve">  </w:t>
      </w:r>
    </w:p>
    <w:p w:rsidR="00EA16CD" w:rsidRDefault="00EA16CD" w:rsidP="00880396">
      <w:pPr>
        <w:spacing w:after="0" w:line="240" w:lineRule="auto"/>
        <w:jc w:val="both"/>
        <w:rPr>
          <w:rFonts w:ascii="Arial" w:hAnsi="Arial" w:cs="Arial"/>
          <w:sz w:val="24"/>
          <w:szCs w:val="24"/>
        </w:rPr>
      </w:pPr>
    </w:p>
    <w:p w:rsidR="00EA16CD" w:rsidRDefault="00880396" w:rsidP="00880396">
      <w:pPr>
        <w:spacing w:after="0" w:line="360" w:lineRule="auto"/>
        <w:jc w:val="both"/>
        <w:rPr>
          <w:rFonts w:ascii="Arial" w:hAnsi="Arial" w:cs="Arial"/>
          <w:sz w:val="24"/>
          <w:szCs w:val="24"/>
        </w:rPr>
      </w:pPr>
      <w:r>
        <w:rPr>
          <w:rFonts w:ascii="Arial" w:hAnsi="Arial" w:cs="Arial"/>
          <w:sz w:val="24"/>
          <w:szCs w:val="24"/>
        </w:rPr>
        <w:t>[5</w:t>
      </w:r>
      <w:r w:rsidR="002641D0">
        <w:rPr>
          <w:rFonts w:ascii="Arial" w:hAnsi="Arial" w:cs="Arial"/>
          <w:sz w:val="24"/>
          <w:szCs w:val="24"/>
        </w:rPr>
        <w:t>2</w:t>
      </w:r>
      <w:r>
        <w:rPr>
          <w:rFonts w:ascii="Arial" w:hAnsi="Arial" w:cs="Arial"/>
          <w:sz w:val="24"/>
          <w:szCs w:val="24"/>
        </w:rPr>
        <w:t>]</w:t>
      </w:r>
      <w:r>
        <w:rPr>
          <w:rFonts w:ascii="Arial" w:hAnsi="Arial" w:cs="Arial"/>
          <w:sz w:val="24"/>
          <w:szCs w:val="24"/>
        </w:rPr>
        <w:tab/>
      </w:r>
      <w:r w:rsidR="00EA16CD">
        <w:rPr>
          <w:rFonts w:ascii="Arial" w:hAnsi="Arial" w:cs="Arial"/>
          <w:sz w:val="24"/>
          <w:szCs w:val="24"/>
        </w:rPr>
        <w:t xml:space="preserve">On a consideration of several authorities, it is apparent that the meaning of the phrase </w:t>
      </w:r>
      <w:r w:rsidR="00E17C53">
        <w:rPr>
          <w:rFonts w:ascii="Arial" w:hAnsi="Arial" w:cs="Arial"/>
          <w:sz w:val="24"/>
          <w:szCs w:val="24"/>
        </w:rPr>
        <w:t>‘</w:t>
      </w:r>
      <w:r w:rsidR="00EA16CD">
        <w:rPr>
          <w:rFonts w:ascii="Arial" w:hAnsi="Arial" w:cs="Arial"/>
          <w:sz w:val="24"/>
          <w:szCs w:val="24"/>
        </w:rPr>
        <w:t>divorce action</w:t>
      </w:r>
      <w:r w:rsidR="00E17C53">
        <w:rPr>
          <w:rFonts w:ascii="Arial" w:hAnsi="Arial" w:cs="Arial"/>
          <w:sz w:val="24"/>
          <w:szCs w:val="24"/>
        </w:rPr>
        <w:t>’</w:t>
      </w:r>
      <w:r w:rsidR="00EA16CD">
        <w:rPr>
          <w:rFonts w:ascii="Arial" w:hAnsi="Arial" w:cs="Arial"/>
          <w:sz w:val="24"/>
          <w:szCs w:val="24"/>
        </w:rPr>
        <w:t xml:space="preserve"> is broad and includes numerous issues associated with the granting of divorce.</w:t>
      </w:r>
      <w:r w:rsidR="00E17C53">
        <w:rPr>
          <w:rStyle w:val="FootnoteReference"/>
          <w:rFonts w:ascii="Arial" w:hAnsi="Arial" w:cs="Arial"/>
          <w:sz w:val="24"/>
          <w:szCs w:val="24"/>
        </w:rPr>
        <w:footnoteReference w:id="36"/>
      </w:r>
      <w:r w:rsidR="00EA16CD">
        <w:rPr>
          <w:rFonts w:ascii="Arial" w:hAnsi="Arial" w:cs="Arial"/>
          <w:sz w:val="24"/>
          <w:szCs w:val="24"/>
        </w:rPr>
        <w:t xml:space="preserve"> Claims arising from rule 43 applications for example </w:t>
      </w:r>
      <w:r w:rsidR="00963525">
        <w:rPr>
          <w:rFonts w:ascii="Arial" w:hAnsi="Arial" w:cs="Arial"/>
          <w:sz w:val="24"/>
          <w:szCs w:val="24"/>
        </w:rPr>
        <w:t>includ</w:t>
      </w:r>
      <w:r w:rsidR="004C55FD">
        <w:rPr>
          <w:rFonts w:ascii="Arial" w:hAnsi="Arial" w:cs="Arial"/>
          <w:sz w:val="24"/>
          <w:szCs w:val="24"/>
        </w:rPr>
        <w:t>ing</w:t>
      </w:r>
      <w:r w:rsidR="00963525">
        <w:rPr>
          <w:rFonts w:ascii="Arial" w:hAnsi="Arial" w:cs="Arial"/>
          <w:sz w:val="24"/>
          <w:szCs w:val="24"/>
        </w:rPr>
        <w:t xml:space="preserve"> </w:t>
      </w:r>
      <w:r w:rsidR="00F45985">
        <w:rPr>
          <w:rFonts w:ascii="Arial" w:hAnsi="Arial" w:cs="Arial"/>
          <w:sz w:val="24"/>
          <w:szCs w:val="24"/>
        </w:rPr>
        <w:t>a contribution</w:t>
      </w:r>
      <w:r w:rsidR="00EA16CD">
        <w:rPr>
          <w:rFonts w:ascii="Arial" w:hAnsi="Arial" w:cs="Arial"/>
          <w:sz w:val="24"/>
          <w:szCs w:val="24"/>
        </w:rPr>
        <w:t xml:space="preserve"> for costs and maintenance pendente lite</w:t>
      </w:r>
      <w:r w:rsidR="00A20B8F">
        <w:rPr>
          <w:rFonts w:ascii="Arial" w:hAnsi="Arial" w:cs="Arial"/>
          <w:sz w:val="24"/>
          <w:szCs w:val="24"/>
        </w:rPr>
        <w:t>,</w:t>
      </w:r>
      <w:r w:rsidR="00EA16CD">
        <w:rPr>
          <w:rFonts w:ascii="Arial" w:hAnsi="Arial" w:cs="Arial"/>
          <w:sz w:val="24"/>
          <w:szCs w:val="24"/>
        </w:rPr>
        <w:t xml:space="preserve"> claims </w:t>
      </w:r>
      <w:r w:rsidR="00A20B8F">
        <w:rPr>
          <w:rFonts w:ascii="Arial" w:hAnsi="Arial" w:cs="Arial"/>
          <w:sz w:val="24"/>
          <w:szCs w:val="24"/>
        </w:rPr>
        <w:t xml:space="preserve">for </w:t>
      </w:r>
      <w:r w:rsidR="00EA16CD">
        <w:rPr>
          <w:rFonts w:ascii="Arial" w:hAnsi="Arial" w:cs="Arial"/>
          <w:sz w:val="24"/>
          <w:szCs w:val="24"/>
        </w:rPr>
        <w:t xml:space="preserve">spousal </w:t>
      </w:r>
      <w:r w:rsidR="00A20B8F">
        <w:rPr>
          <w:rFonts w:ascii="Arial" w:hAnsi="Arial" w:cs="Arial"/>
          <w:sz w:val="24"/>
          <w:szCs w:val="24"/>
        </w:rPr>
        <w:t xml:space="preserve">and child </w:t>
      </w:r>
      <w:r w:rsidR="00EA16CD">
        <w:rPr>
          <w:rFonts w:ascii="Arial" w:hAnsi="Arial" w:cs="Arial"/>
          <w:sz w:val="24"/>
          <w:szCs w:val="24"/>
        </w:rPr>
        <w:lastRenderedPageBreak/>
        <w:t xml:space="preserve">maintenance post-divorce, and the distribution of assets are all issues arising from and associated with a divorce action. It is </w:t>
      </w:r>
      <w:r w:rsidR="00963525">
        <w:rPr>
          <w:rFonts w:ascii="Arial" w:hAnsi="Arial" w:cs="Arial"/>
          <w:sz w:val="24"/>
          <w:szCs w:val="24"/>
        </w:rPr>
        <w:t>clear</w:t>
      </w:r>
      <w:r w:rsidR="00EA16CD">
        <w:rPr>
          <w:rFonts w:ascii="Arial" w:hAnsi="Arial" w:cs="Arial"/>
          <w:sz w:val="24"/>
          <w:szCs w:val="24"/>
        </w:rPr>
        <w:t xml:space="preserve"> from the authorities that in some instances, the granting of a decree of divorce can be separated from other issues arising from a divorce action and can be granted while those other issues remain pending. Should there still be pending issues, then the divorce action would not be finalised. In such instances, issues arising from </w:t>
      </w:r>
      <w:r w:rsidR="008F3BC3">
        <w:rPr>
          <w:rFonts w:ascii="Arial" w:hAnsi="Arial" w:cs="Arial"/>
          <w:sz w:val="24"/>
          <w:szCs w:val="24"/>
        </w:rPr>
        <w:t xml:space="preserve">a </w:t>
      </w:r>
      <w:r w:rsidR="00EA16CD">
        <w:rPr>
          <w:rFonts w:ascii="Arial" w:hAnsi="Arial" w:cs="Arial"/>
          <w:sz w:val="24"/>
          <w:szCs w:val="24"/>
        </w:rPr>
        <w:t xml:space="preserve">rule 43 can still be raised and determined by the court. In my view, the court’s finding in </w:t>
      </w:r>
      <w:r w:rsidR="00EA16CD" w:rsidRPr="00B344C4">
        <w:rPr>
          <w:rFonts w:ascii="Arial" w:hAnsi="Arial" w:cs="Arial"/>
          <w:i/>
          <w:sz w:val="24"/>
          <w:szCs w:val="24"/>
        </w:rPr>
        <w:t>G</w:t>
      </w:r>
      <w:r w:rsidR="00DF2882">
        <w:rPr>
          <w:rFonts w:ascii="Arial" w:hAnsi="Arial" w:cs="Arial"/>
          <w:i/>
          <w:sz w:val="24"/>
          <w:szCs w:val="24"/>
        </w:rPr>
        <w:t xml:space="preserve"> </w:t>
      </w:r>
      <w:r w:rsidR="00EA16CD" w:rsidRPr="00B344C4">
        <w:rPr>
          <w:rFonts w:ascii="Arial" w:hAnsi="Arial" w:cs="Arial"/>
          <w:i/>
          <w:sz w:val="24"/>
          <w:szCs w:val="24"/>
        </w:rPr>
        <w:t>T</w:t>
      </w:r>
      <w:r w:rsidR="00DF2882">
        <w:rPr>
          <w:rFonts w:ascii="Arial" w:hAnsi="Arial" w:cs="Arial"/>
          <w:i/>
          <w:sz w:val="24"/>
          <w:szCs w:val="24"/>
        </w:rPr>
        <w:t xml:space="preserve"> </w:t>
      </w:r>
      <w:r w:rsidR="00EA16CD" w:rsidRPr="00B344C4">
        <w:rPr>
          <w:rFonts w:ascii="Arial" w:hAnsi="Arial" w:cs="Arial"/>
          <w:i/>
          <w:sz w:val="24"/>
          <w:szCs w:val="24"/>
        </w:rPr>
        <w:t>K v N</w:t>
      </w:r>
      <w:r w:rsidR="00DF2882">
        <w:rPr>
          <w:rFonts w:ascii="Arial" w:hAnsi="Arial" w:cs="Arial"/>
          <w:i/>
          <w:sz w:val="24"/>
          <w:szCs w:val="24"/>
        </w:rPr>
        <w:t xml:space="preserve"> </w:t>
      </w:r>
      <w:r w:rsidR="00EA16CD" w:rsidRPr="00B344C4">
        <w:rPr>
          <w:rFonts w:ascii="Arial" w:hAnsi="Arial" w:cs="Arial"/>
          <w:i/>
          <w:sz w:val="24"/>
          <w:szCs w:val="24"/>
        </w:rPr>
        <w:t>M</w:t>
      </w:r>
      <w:r w:rsidR="00E17C53" w:rsidRPr="008F3BC3">
        <w:rPr>
          <w:rStyle w:val="FootnoteReference"/>
          <w:rFonts w:ascii="Arial" w:hAnsi="Arial" w:cs="Arial"/>
          <w:sz w:val="24"/>
          <w:szCs w:val="24"/>
        </w:rPr>
        <w:footnoteReference w:id="37"/>
      </w:r>
      <w:r w:rsidR="00EA16CD">
        <w:rPr>
          <w:rFonts w:ascii="Arial" w:hAnsi="Arial" w:cs="Arial"/>
          <w:sz w:val="24"/>
          <w:szCs w:val="24"/>
        </w:rPr>
        <w:t xml:space="preserve"> that upon the granting of divorce, the right to pursue a rule 43 application falls away is incorrect. </w:t>
      </w:r>
      <w:r w:rsidR="00E17C53">
        <w:rPr>
          <w:rFonts w:ascii="Arial" w:hAnsi="Arial" w:cs="Arial"/>
          <w:sz w:val="24"/>
          <w:szCs w:val="24"/>
        </w:rPr>
        <w:t>A</w:t>
      </w:r>
      <w:r w:rsidR="00EA16CD">
        <w:rPr>
          <w:rFonts w:ascii="Arial" w:hAnsi="Arial" w:cs="Arial"/>
          <w:sz w:val="24"/>
          <w:szCs w:val="24"/>
        </w:rPr>
        <w:t xml:space="preserve">s was stated in </w:t>
      </w:r>
      <w:r w:rsidR="00EA16CD" w:rsidRPr="008F3BC3">
        <w:rPr>
          <w:rFonts w:ascii="Arial" w:hAnsi="Arial" w:cs="Arial"/>
          <w:i/>
          <w:sz w:val="24"/>
          <w:szCs w:val="24"/>
        </w:rPr>
        <w:t>Schutte</w:t>
      </w:r>
      <w:r w:rsidR="00EA16CD">
        <w:rPr>
          <w:rFonts w:ascii="Arial" w:hAnsi="Arial" w:cs="Arial"/>
          <w:sz w:val="24"/>
          <w:szCs w:val="24"/>
        </w:rPr>
        <w:t xml:space="preserve">, the right to pursue a pendente lite claim ceases to exist on completion of a divorce </w:t>
      </w:r>
      <w:r>
        <w:rPr>
          <w:rFonts w:ascii="Arial" w:hAnsi="Arial" w:cs="Arial"/>
          <w:sz w:val="24"/>
          <w:szCs w:val="24"/>
        </w:rPr>
        <w:t>action.</w:t>
      </w:r>
      <w:r w:rsidR="00EA16CD">
        <w:rPr>
          <w:rFonts w:ascii="Arial" w:hAnsi="Arial" w:cs="Arial"/>
          <w:sz w:val="24"/>
          <w:szCs w:val="24"/>
        </w:rPr>
        <w:t xml:space="preserve"> </w:t>
      </w:r>
    </w:p>
    <w:p w:rsidR="00E15089" w:rsidRDefault="00E15089" w:rsidP="00880396">
      <w:pPr>
        <w:spacing w:after="0" w:line="360" w:lineRule="auto"/>
        <w:jc w:val="both"/>
        <w:rPr>
          <w:rFonts w:ascii="Arial" w:hAnsi="Arial" w:cs="Arial"/>
          <w:sz w:val="24"/>
          <w:szCs w:val="24"/>
        </w:rPr>
      </w:pPr>
    </w:p>
    <w:p w:rsidR="00E15089" w:rsidRPr="00E15089" w:rsidRDefault="00383C80" w:rsidP="00E15089">
      <w:pPr>
        <w:spacing w:after="0" w:line="36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E15089">
        <w:rPr>
          <w:rFonts w:ascii="Arial" w:hAnsi="Arial" w:cs="Arial"/>
          <w:sz w:val="24"/>
          <w:szCs w:val="24"/>
        </w:rPr>
        <w:t xml:space="preserve">The court in </w:t>
      </w:r>
      <w:r w:rsidR="00E15089" w:rsidRPr="00E15089">
        <w:rPr>
          <w:rFonts w:ascii="Arial" w:hAnsi="Arial" w:cs="Arial"/>
          <w:i/>
          <w:sz w:val="24"/>
          <w:szCs w:val="24"/>
        </w:rPr>
        <w:t>MG v RG</w:t>
      </w:r>
      <w:r w:rsidR="00E15089">
        <w:rPr>
          <w:rStyle w:val="FootnoteReference"/>
          <w:rFonts w:ascii="Arial" w:hAnsi="Arial" w:cs="Arial"/>
          <w:i/>
          <w:sz w:val="24"/>
          <w:szCs w:val="24"/>
        </w:rPr>
        <w:footnoteReference w:id="38"/>
      </w:r>
      <w:r w:rsidR="00E15089">
        <w:rPr>
          <w:rFonts w:ascii="Arial" w:hAnsi="Arial" w:cs="Arial"/>
          <w:sz w:val="24"/>
          <w:szCs w:val="24"/>
        </w:rPr>
        <w:t xml:space="preserve"> </w:t>
      </w:r>
      <w:r w:rsidR="00E15089" w:rsidRPr="00E15089">
        <w:rPr>
          <w:rFonts w:ascii="Arial" w:hAnsi="Arial" w:cs="Arial"/>
          <w:bCs/>
          <w:sz w:val="24"/>
          <w:szCs w:val="24"/>
        </w:rPr>
        <w:t>stated the following:</w:t>
      </w:r>
    </w:p>
    <w:p w:rsidR="00E15089" w:rsidRPr="00383C80" w:rsidRDefault="00E15089" w:rsidP="00E15089">
      <w:pPr>
        <w:spacing w:after="0" w:line="360" w:lineRule="auto"/>
        <w:jc w:val="both"/>
        <w:rPr>
          <w:rFonts w:ascii="Arial" w:hAnsi="Arial" w:cs="Arial"/>
        </w:rPr>
      </w:pPr>
      <w:r w:rsidRPr="00383C80">
        <w:rPr>
          <w:rFonts w:ascii="Arial" w:hAnsi="Arial" w:cs="Arial"/>
        </w:rPr>
        <w:t xml:space="preserve">‘It is settled law that divorce dissolves the bond of marriage and, unless maintenance is granted at the time of divorce, the duty of care between spouses ceases to exist: Ex parte Standard Bank Ltd and Others 1978 (3) SA 323 (R); and </w:t>
      </w:r>
      <w:proofErr w:type="spellStart"/>
      <w:r w:rsidRPr="00383C80">
        <w:rPr>
          <w:rFonts w:ascii="Arial" w:hAnsi="Arial" w:cs="Arial"/>
        </w:rPr>
        <w:t>Copelowitz</w:t>
      </w:r>
      <w:proofErr w:type="spellEnd"/>
      <w:r w:rsidRPr="00383C80">
        <w:rPr>
          <w:rFonts w:ascii="Arial" w:hAnsi="Arial" w:cs="Arial"/>
        </w:rPr>
        <w:t xml:space="preserve"> v </w:t>
      </w:r>
      <w:proofErr w:type="spellStart"/>
      <w:r w:rsidRPr="00383C80">
        <w:rPr>
          <w:rFonts w:ascii="Arial" w:hAnsi="Arial" w:cs="Arial"/>
        </w:rPr>
        <w:t>Copelowitz</w:t>
      </w:r>
      <w:proofErr w:type="spellEnd"/>
      <w:r w:rsidRPr="00383C80">
        <w:rPr>
          <w:rFonts w:ascii="Arial" w:hAnsi="Arial" w:cs="Arial"/>
        </w:rPr>
        <w:t xml:space="preserve"> and Others NO 1969 (4) SA 64 (C) at 67. An order for the maintenance of a spouse must be made at divorce and cannot be made thereafter: Schutte v Schutte 1986 (1) SA 872 (A) at 881.’</w:t>
      </w:r>
    </w:p>
    <w:p w:rsidR="00E15089" w:rsidRDefault="00E15089" w:rsidP="00E15089">
      <w:pPr>
        <w:spacing w:after="0" w:line="360" w:lineRule="auto"/>
        <w:jc w:val="both"/>
        <w:rPr>
          <w:rFonts w:ascii="Arial" w:hAnsi="Arial" w:cs="Arial"/>
          <w:sz w:val="24"/>
          <w:szCs w:val="24"/>
        </w:rPr>
      </w:pPr>
      <w:r>
        <w:rPr>
          <w:rFonts w:ascii="Arial" w:hAnsi="Arial" w:cs="Arial"/>
          <w:sz w:val="24"/>
          <w:szCs w:val="24"/>
        </w:rPr>
        <w:t xml:space="preserve">I align myself with this statement which on the basis that it was not made in the context of a separation application and whether a claim pendente lite maintenance claim could be made subsequent to the granting of a divorce. The facts considered by the court in </w:t>
      </w:r>
      <w:r w:rsidRPr="00E15089">
        <w:rPr>
          <w:rFonts w:ascii="Arial" w:hAnsi="Arial" w:cs="Arial"/>
          <w:i/>
          <w:sz w:val="24"/>
          <w:szCs w:val="24"/>
        </w:rPr>
        <w:t>MG v RG</w:t>
      </w:r>
      <w:r>
        <w:rPr>
          <w:rFonts w:ascii="Arial" w:hAnsi="Arial" w:cs="Arial"/>
          <w:sz w:val="24"/>
          <w:szCs w:val="24"/>
        </w:rPr>
        <w:t xml:space="preserve"> were therefore distinguishable since in that case, the granting of the divorce brought the entire divorce action to finality.</w:t>
      </w:r>
    </w:p>
    <w:p w:rsidR="00EA16CD" w:rsidRDefault="00EA16CD" w:rsidP="00880396">
      <w:pPr>
        <w:spacing w:after="0" w:line="240" w:lineRule="auto"/>
        <w:jc w:val="both"/>
        <w:rPr>
          <w:rFonts w:ascii="Arial" w:hAnsi="Arial" w:cs="Arial"/>
          <w:sz w:val="24"/>
          <w:szCs w:val="24"/>
        </w:rPr>
      </w:pPr>
    </w:p>
    <w:p w:rsidR="00EA16CD" w:rsidRDefault="00880396" w:rsidP="00880396">
      <w:pPr>
        <w:spacing w:after="0" w:line="360" w:lineRule="auto"/>
        <w:jc w:val="both"/>
        <w:rPr>
          <w:rFonts w:ascii="Arial" w:hAnsi="Arial" w:cs="Arial"/>
          <w:sz w:val="24"/>
          <w:szCs w:val="24"/>
        </w:rPr>
      </w:pPr>
      <w:r>
        <w:rPr>
          <w:rFonts w:ascii="Arial" w:hAnsi="Arial" w:cs="Arial"/>
          <w:sz w:val="24"/>
          <w:szCs w:val="24"/>
        </w:rPr>
        <w:t>[5</w:t>
      </w:r>
      <w:r w:rsidR="00383C80">
        <w:rPr>
          <w:rFonts w:ascii="Arial" w:hAnsi="Arial" w:cs="Arial"/>
          <w:sz w:val="24"/>
          <w:szCs w:val="24"/>
        </w:rPr>
        <w:t>4</w:t>
      </w:r>
      <w:r>
        <w:rPr>
          <w:rFonts w:ascii="Arial" w:hAnsi="Arial" w:cs="Arial"/>
          <w:sz w:val="24"/>
          <w:szCs w:val="24"/>
        </w:rPr>
        <w:t>]</w:t>
      </w:r>
      <w:r>
        <w:rPr>
          <w:rFonts w:ascii="Arial" w:hAnsi="Arial" w:cs="Arial"/>
          <w:sz w:val="24"/>
          <w:szCs w:val="24"/>
        </w:rPr>
        <w:tab/>
      </w:r>
      <w:r w:rsidR="00EA16CD">
        <w:rPr>
          <w:rFonts w:ascii="Arial" w:hAnsi="Arial" w:cs="Arial"/>
          <w:sz w:val="24"/>
          <w:szCs w:val="24"/>
        </w:rPr>
        <w:t xml:space="preserve">Since the plaintiff seeks an order for the granting of the decree of divorce and it is undisputed that the marriage has irretrievably broken down, based on </w:t>
      </w:r>
      <w:r w:rsidR="00EA16CD" w:rsidRPr="00F208B9">
        <w:rPr>
          <w:rFonts w:ascii="Arial" w:hAnsi="Arial" w:cs="Arial"/>
          <w:i/>
          <w:sz w:val="24"/>
          <w:szCs w:val="24"/>
        </w:rPr>
        <w:t>CC v CM</w:t>
      </w:r>
      <w:r w:rsidR="00E17C53" w:rsidRPr="00E17C53">
        <w:rPr>
          <w:rStyle w:val="FootnoteReference"/>
          <w:rFonts w:ascii="Arial" w:hAnsi="Arial" w:cs="Arial"/>
          <w:sz w:val="24"/>
          <w:szCs w:val="24"/>
        </w:rPr>
        <w:footnoteReference w:id="39"/>
      </w:r>
      <w:r w:rsidR="00EA16CD" w:rsidRPr="00E17C53">
        <w:rPr>
          <w:rFonts w:ascii="Arial" w:hAnsi="Arial" w:cs="Arial"/>
          <w:sz w:val="24"/>
          <w:szCs w:val="24"/>
        </w:rPr>
        <w:t xml:space="preserve"> </w:t>
      </w:r>
      <w:r w:rsidR="00EA16CD">
        <w:rPr>
          <w:rFonts w:ascii="Arial" w:hAnsi="Arial" w:cs="Arial"/>
          <w:sz w:val="24"/>
          <w:szCs w:val="24"/>
        </w:rPr>
        <w:t xml:space="preserve">the court may, upon concluding that a separation order is competent, grant the divorce. In determining whether such an order is competent, convenience plays an important role. </w:t>
      </w:r>
      <w:r w:rsidR="004C55FD">
        <w:rPr>
          <w:rFonts w:ascii="Arial" w:hAnsi="Arial" w:cs="Arial"/>
          <w:sz w:val="24"/>
          <w:szCs w:val="24"/>
        </w:rPr>
        <w:t xml:space="preserve">In </w:t>
      </w:r>
      <w:r w:rsidR="004C55FD" w:rsidRPr="00F208B9">
        <w:rPr>
          <w:rFonts w:ascii="Arial" w:hAnsi="Arial" w:cs="Arial"/>
          <w:i/>
          <w:sz w:val="24"/>
          <w:szCs w:val="24"/>
        </w:rPr>
        <w:t xml:space="preserve">Denel </w:t>
      </w:r>
      <w:r w:rsidR="004C55FD">
        <w:rPr>
          <w:rFonts w:ascii="Arial" w:hAnsi="Arial" w:cs="Arial"/>
          <w:i/>
          <w:sz w:val="24"/>
          <w:szCs w:val="24"/>
        </w:rPr>
        <w:t>(</w:t>
      </w:r>
      <w:proofErr w:type="spellStart"/>
      <w:r w:rsidR="004C55FD" w:rsidRPr="006A5031">
        <w:rPr>
          <w:rFonts w:ascii="Arial" w:hAnsi="Arial" w:cs="Arial"/>
          <w:i/>
          <w:sz w:val="24"/>
          <w:szCs w:val="24"/>
        </w:rPr>
        <w:t>Edms</w:t>
      </w:r>
      <w:proofErr w:type="spellEnd"/>
      <w:r w:rsidR="004C55FD" w:rsidRPr="006A5031">
        <w:rPr>
          <w:rFonts w:ascii="Arial" w:hAnsi="Arial" w:cs="Arial"/>
          <w:i/>
          <w:sz w:val="24"/>
          <w:szCs w:val="24"/>
        </w:rPr>
        <w:t xml:space="preserve">) </w:t>
      </w:r>
      <w:proofErr w:type="spellStart"/>
      <w:r w:rsidR="004C55FD" w:rsidRPr="006A5031">
        <w:rPr>
          <w:rFonts w:ascii="Arial" w:hAnsi="Arial" w:cs="Arial"/>
          <w:i/>
          <w:sz w:val="24"/>
          <w:szCs w:val="24"/>
        </w:rPr>
        <w:t>Bpk</w:t>
      </w:r>
      <w:proofErr w:type="spellEnd"/>
      <w:r w:rsidR="004C55FD" w:rsidRPr="001A6702">
        <w:rPr>
          <w:rFonts w:ascii="Arial" w:hAnsi="Arial" w:cs="Arial"/>
          <w:i/>
        </w:rPr>
        <w:t xml:space="preserve"> </w:t>
      </w:r>
      <w:r w:rsidR="004C55FD" w:rsidRPr="00F208B9">
        <w:rPr>
          <w:rFonts w:ascii="Arial" w:hAnsi="Arial" w:cs="Arial"/>
          <w:i/>
          <w:sz w:val="24"/>
          <w:szCs w:val="24"/>
        </w:rPr>
        <w:t>v Vorste</w:t>
      </w:r>
      <w:r w:rsidR="004C55FD">
        <w:rPr>
          <w:rFonts w:ascii="Arial" w:hAnsi="Arial" w:cs="Arial"/>
          <w:i/>
          <w:sz w:val="24"/>
          <w:szCs w:val="24"/>
        </w:rPr>
        <w:t>r</w:t>
      </w:r>
      <w:r w:rsidR="004C55FD" w:rsidRPr="006A5031">
        <w:rPr>
          <w:rStyle w:val="FootnoteReference"/>
          <w:rFonts w:ascii="Arial" w:hAnsi="Arial" w:cs="Arial"/>
          <w:sz w:val="24"/>
          <w:szCs w:val="24"/>
        </w:rPr>
        <w:footnoteReference w:id="40"/>
      </w:r>
      <w:r w:rsidR="004C55FD" w:rsidRPr="00F208B9">
        <w:rPr>
          <w:rFonts w:ascii="Arial" w:hAnsi="Arial" w:cs="Arial"/>
          <w:sz w:val="24"/>
          <w:szCs w:val="24"/>
        </w:rPr>
        <w:t xml:space="preserve"> </w:t>
      </w:r>
      <w:r w:rsidR="004C55FD">
        <w:rPr>
          <w:rFonts w:ascii="Arial" w:hAnsi="Arial" w:cs="Arial"/>
          <w:sz w:val="24"/>
          <w:szCs w:val="24"/>
        </w:rPr>
        <w:t xml:space="preserve">it was </w:t>
      </w:r>
      <w:r w:rsidR="004C55FD" w:rsidRPr="00F208B9">
        <w:rPr>
          <w:rFonts w:ascii="Arial" w:hAnsi="Arial" w:cs="Arial"/>
          <w:sz w:val="24"/>
          <w:szCs w:val="24"/>
        </w:rPr>
        <w:t xml:space="preserve">held that generally courts do not favour litigation in piecemeal. </w:t>
      </w:r>
      <w:r w:rsidR="00EA16CD">
        <w:rPr>
          <w:rFonts w:ascii="Arial" w:hAnsi="Arial" w:cs="Arial"/>
          <w:sz w:val="24"/>
          <w:szCs w:val="24"/>
        </w:rPr>
        <w:t xml:space="preserve">As was stated in </w:t>
      </w:r>
      <w:r w:rsidR="00EA16CD" w:rsidRPr="00E17C53">
        <w:rPr>
          <w:rFonts w:ascii="Arial" w:hAnsi="Arial" w:cs="Arial"/>
          <w:i/>
          <w:sz w:val="24"/>
          <w:szCs w:val="24"/>
        </w:rPr>
        <w:t>Denel</w:t>
      </w:r>
      <w:r w:rsidR="00EA16CD">
        <w:rPr>
          <w:rFonts w:ascii="Arial" w:hAnsi="Arial" w:cs="Arial"/>
          <w:sz w:val="24"/>
          <w:szCs w:val="24"/>
        </w:rPr>
        <w:t>,</w:t>
      </w:r>
      <w:r w:rsidR="00E17C53">
        <w:rPr>
          <w:rStyle w:val="FootnoteReference"/>
          <w:rFonts w:ascii="Arial" w:hAnsi="Arial" w:cs="Arial"/>
          <w:sz w:val="24"/>
          <w:szCs w:val="24"/>
        </w:rPr>
        <w:footnoteReference w:id="41"/>
      </w:r>
      <w:r w:rsidR="00EA16CD">
        <w:rPr>
          <w:rFonts w:ascii="Arial" w:hAnsi="Arial" w:cs="Arial"/>
          <w:sz w:val="24"/>
          <w:szCs w:val="24"/>
        </w:rPr>
        <w:t xml:space="preserve"> where issues are inextricably linked and expeditious disposal of the litigation warrants the ventilation of all issues at one </w:t>
      </w:r>
      <w:r w:rsidR="00EA16CD">
        <w:rPr>
          <w:rFonts w:ascii="Arial" w:hAnsi="Arial" w:cs="Arial"/>
          <w:sz w:val="24"/>
          <w:szCs w:val="24"/>
        </w:rPr>
        <w:lastRenderedPageBreak/>
        <w:t>hearing, then separation should not be granted. Another important consideration being whether separation would shorten the proceedings.</w:t>
      </w:r>
      <w:r w:rsidR="00715A28">
        <w:rPr>
          <w:rStyle w:val="FootnoteReference"/>
          <w:rFonts w:ascii="Arial" w:hAnsi="Arial" w:cs="Arial"/>
          <w:sz w:val="24"/>
          <w:szCs w:val="24"/>
        </w:rPr>
        <w:footnoteReference w:id="42"/>
      </w:r>
    </w:p>
    <w:p w:rsidR="00EA16CD" w:rsidRDefault="00EA16CD" w:rsidP="00880396">
      <w:pPr>
        <w:spacing w:after="0" w:line="240" w:lineRule="auto"/>
        <w:jc w:val="both"/>
        <w:rPr>
          <w:rFonts w:ascii="Arial" w:hAnsi="Arial" w:cs="Arial"/>
          <w:sz w:val="24"/>
          <w:szCs w:val="24"/>
        </w:rPr>
      </w:pPr>
    </w:p>
    <w:p w:rsidR="00EA16CD" w:rsidRDefault="00880396" w:rsidP="00880396">
      <w:pPr>
        <w:spacing w:after="0" w:line="360" w:lineRule="auto"/>
        <w:jc w:val="both"/>
        <w:rPr>
          <w:rFonts w:ascii="Arial" w:hAnsi="Arial" w:cs="Arial"/>
          <w:sz w:val="24"/>
          <w:szCs w:val="24"/>
        </w:rPr>
      </w:pPr>
      <w:r>
        <w:rPr>
          <w:rFonts w:ascii="Arial" w:hAnsi="Arial" w:cs="Arial"/>
          <w:sz w:val="24"/>
          <w:szCs w:val="24"/>
        </w:rPr>
        <w:t>[5</w:t>
      </w:r>
      <w:r w:rsidR="00383C80">
        <w:rPr>
          <w:rFonts w:ascii="Arial" w:hAnsi="Arial" w:cs="Arial"/>
          <w:sz w:val="24"/>
          <w:szCs w:val="24"/>
        </w:rPr>
        <w:t>5</w:t>
      </w:r>
      <w:r>
        <w:rPr>
          <w:rFonts w:ascii="Arial" w:hAnsi="Arial" w:cs="Arial"/>
          <w:sz w:val="24"/>
          <w:szCs w:val="24"/>
        </w:rPr>
        <w:t>]</w:t>
      </w:r>
      <w:r>
        <w:rPr>
          <w:rFonts w:ascii="Arial" w:hAnsi="Arial" w:cs="Arial"/>
          <w:sz w:val="24"/>
          <w:szCs w:val="24"/>
        </w:rPr>
        <w:tab/>
      </w:r>
      <w:r w:rsidR="00EA16CD">
        <w:rPr>
          <w:rFonts w:ascii="Arial" w:hAnsi="Arial" w:cs="Arial"/>
          <w:sz w:val="24"/>
          <w:szCs w:val="24"/>
        </w:rPr>
        <w:t xml:space="preserve">While the issue of maintenance pendente lite or that relating to a contribution towards costs can be separated from the divorce, I agree with the defendant that since </w:t>
      </w:r>
      <w:r w:rsidR="00EA16CD" w:rsidRPr="00B344C4">
        <w:rPr>
          <w:rFonts w:ascii="Arial" w:hAnsi="Arial" w:cs="Arial"/>
          <w:i/>
          <w:sz w:val="24"/>
          <w:szCs w:val="24"/>
        </w:rPr>
        <w:t>AB v JB</w:t>
      </w:r>
      <w:r w:rsidR="00E17C53" w:rsidRPr="00E17C53">
        <w:rPr>
          <w:rStyle w:val="FootnoteReference"/>
          <w:rFonts w:ascii="Arial" w:hAnsi="Arial" w:cs="Arial"/>
          <w:sz w:val="24"/>
          <w:szCs w:val="24"/>
        </w:rPr>
        <w:footnoteReference w:id="43"/>
      </w:r>
      <w:r w:rsidR="00EA16CD">
        <w:rPr>
          <w:rFonts w:ascii="Arial" w:hAnsi="Arial" w:cs="Arial"/>
          <w:sz w:val="24"/>
          <w:szCs w:val="24"/>
        </w:rPr>
        <w:t xml:space="preserve"> held that the determination of the accrual </w:t>
      </w:r>
      <w:r w:rsidR="00EA16CD" w:rsidRPr="00F208B9">
        <w:rPr>
          <w:rFonts w:ascii="Arial" w:hAnsi="Arial" w:cs="Arial"/>
          <w:sz w:val="24"/>
          <w:szCs w:val="24"/>
        </w:rPr>
        <w:t>is the date of divorce and not the date of finalisation of all issues</w:t>
      </w:r>
      <w:r w:rsidR="00EA16CD">
        <w:rPr>
          <w:rFonts w:ascii="Arial" w:hAnsi="Arial" w:cs="Arial"/>
          <w:sz w:val="24"/>
          <w:szCs w:val="24"/>
        </w:rPr>
        <w:t xml:space="preserve">, it would be prejudicial to the defendant and therefore not convenient to her and to the court if the determination of the decree of divorce was separated from the remaining issues since there is a dispute on the meaning and interpretation of the ANC which impacts on the extent of the accrual. In my view, the plaintiff has not discharged the onus to prove that a separation order should be granted.  </w:t>
      </w:r>
    </w:p>
    <w:p w:rsidR="00EA16CD" w:rsidRDefault="00EA16CD" w:rsidP="001A6702">
      <w:pPr>
        <w:spacing w:after="0" w:line="240" w:lineRule="auto"/>
        <w:jc w:val="both"/>
        <w:rPr>
          <w:rFonts w:ascii="Arial" w:hAnsi="Arial" w:cs="Arial"/>
          <w:sz w:val="24"/>
          <w:szCs w:val="24"/>
        </w:rPr>
      </w:pPr>
    </w:p>
    <w:p w:rsidR="00EA16CD" w:rsidRDefault="00880396" w:rsidP="00880396">
      <w:pPr>
        <w:spacing w:after="0" w:line="360" w:lineRule="auto"/>
        <w:jc w:val="both"/>
        <w:rPr>
          <w:rFonts w:ascii="Arial" w:hAnsi="Arial" w:cs="Arial"/>
          <w:sz w:val="24"/>
          <w:szCs w:val="24"/>
        </w:rPr>
      </w:pPr>
      <w:r>
        <w:rPr>
          <w:rFonts w:ascii="Arial" w:hAnsi="Arial" w:cs="Arial"/>
          <w:sz w:val="24"/>
          <w:szCs w:val="24"/>
        </w:rPr>
        <w:t>[5</w:t>
      </w:r>
      <w:r w:rsidR="00383C80">
        <w:rPr>
          <w:rFonts w:ascii="Arial" w:hAnsi="Arial" w:cs="Arial"/>
          <w:sz w:val="24"/>
          <w:szCs w:val="24"/>
        </w:rPr>
        <w:t>6</w:t>
      </w:r>
      <w:r>
        <w:rPr>
          <w:rFonts w:ascii="Arial" w:hAnsi="Arial" w:cs="Arial"/>
          <w:sz w:val="24"/>
          <w:szCs w:val="24"/>
        </w:rPr>
        <w:t>]</w:t>
      </w:r>
      <w:r>
        <w:rPr>
          <w:rFonts w:ascii="Arial" w:hAnsi="Arial" w:cs="Arial"/>
          <w:sz w:val="24"/>
          <w:szCs w:val="24"/>
        </w:rPr>
        <w:tab/>
      </w:r>
      <w:r w:rsidR="00EA16CD">
        <w:rPr>
          <w:rFonts w:ascii="Arial" w:hAnsi="Arial" w:cs="Arial"/>
          <w:sz w:val="24"/>
          <w:szCs w:val="24"/>
        </w:rPr>
        <w:t>While the plaintiff argues that the defendant’s opposition of the matter is aimed at delaying the finalisation of the divorce, I hold a different view especially because the adjournment of the matter is mainly attributable to the manner in which the plaintiff handled the application for amendment.</w:t>
      </w:r>
      <w:r w:rsidR="00EA16CD" w:rsidRPr="00EA16CD">
        <w:rPr>
          <w:rFonts w:ascii="Arial" w:hAnsi="Arial" w:cs="Arial"/>
          <w:color w:val="FF0000"/>
          <w:sz w:val="24"/>
          <w:szCs w:val="24"/>
        </w:rPr>
        <w:t xml:space="preserve"> </w:t>
      </w:r>
      <w:r w:rsidR="00EA16CD" w:rsidRPr="00880396">
        <w:rPr>
          <w:rFonts w:ascii="Arial" w:hAnsi="Arial" w:cs="Arial"/>
          <w:sz w:val="24"/>
          <w:szCs w:val="24"/>
        </w:rPr>
        <w:t xml:space="preserve">The proposed order sought by the </w:t>
      </w:r>
      <w:r w:rsidR="00E17C53">
        <w:rPr>
          <w:rFonts w:ascii="Arial" w:hAnsi="Arial" w:cs="Arial"/>
          <w:sz w:val="24"/>
          <w:szCs w:val="24"/>
        </w:rPr>
        <w:t>plaintiff</w:t>
      </w:r>
      <w:r w:rsidR="00E17C53" w:rsidRPr="00880396">
        <w:rPr>
          <w:rFonts w:ascii="Arial" w:hAnsi="Arial" w:cs="Arial"/>
          <w:sz w:val="24"/>
          <w:szCs w:val="24"/>
        </w:rPr>
        <w:t xml:space="preserve"> </w:t>
      </w:r>
      <w:r w:rsidR="00EA16CD" w:rsidRPr="00880396">
        <w:rPr>
          <w:rFonts w:ascii="Arial" w:hAnsi="Arial" w:cs="Arial"/>
          <w:sz w:val="24"/>
          <w:szCs w:val="24"/>
        </w:rPr>
        <w:t xml:space="preserve">in respect of separating the granting of the decree of divorce from other issues was disputed by the defendant as being competent at this point in time. The defendant argued that such order would bring the </w:t>
      </w:r>
      <w:r w:rsidR="00EA16CD" w:rsidRPr="00880396">
        <w:rPr>
          <w:rFonts w:ascii="Arial" w:hAnsi="Arial" w:cs="Arial"/>
          <w:i/>
          <w:sz w:val="24"/>
          <w:szCs w:val="24"/>
        </w:rPr>
        <w:t>lis</w:t>
      </w:r>
      <w:r w:rsidR="00EA16CD" w:rsidRPr="00880396">
        <w:rPr>
          <w:rFonts w:ascii="Arial" w:hAnsi="Arial" w:cs="Arial"/>
          <w:sz w:val="24"/>
          <w:szCs w:val="24"/>
        </w:rPr>
        <w:t xml:space="preserve"> between the parties to an end. It was submitted that th</w:t>
      </w:r>
      <w:r w:rsidR="00CF165E">
        <w:rPr>
          <w:rFonts w:ascii="Arial" w:hAnsi="Arial" w:cs="Arial"/>
          <w:sz w:val="24"/>
          <w:szCs w:val="24"/>
        </w:rPr>
        <w:t>e separation and the divorce</w:t>
      </w:r>
      <w:r w:rsidR="00EA16CD" w:rsidRPr="00880396">
        <w:rPr>
          <w:rFonts w:ascii="Arial" w:hAnsi="Arial" w:cs="Arial"/>
          <w:sz w:val="24"/>
          <w:szCs w:val="24"/>
        </w:rPr>
        <w:t xml:space="preserve"> should not be granted</w:t>
      </w:r>
      <w:r w:rsidR="00CF165E">
        <w:rPr>
          <w:rFonts w:ascii="Arial" w:hAnsi="Arial" w:cs="Arial"/>
          <w:sz w:val="24"/>
          <w:szCs w:val="24"/>
        </w:rPr>
        <w:t xml:space="preserve"> at this stage</w:t>
      </w:r>
      <w:r w:rsidR="00EA16CD" w:rsidRPr="00880396">
        <w:rPr>
          <w:rFonts w:ascii="Arial" w:hAnsi="Arial" w:cs="Arial"/>
          <w:sz w:val="24"/>
          <w:szCs w:val="24"/>
        </w:rPr>
        <w:t xml:space="preserve">. While it is common cause that the parties are to be divorced, I have considered the provisions of rule 33(4) and conclude that at this point it is not convenient for the order to be granted. I </w:t>
      </w:r>
      <w:r w:rsidR="00EA16CD">
        <w:rPr>
          <w:rFonts w:ascii="Arial" w:hAnsi="Arial" w:cs="Arial"/>
          <w:sz w:val="24"/>
          <w:szCs w:val="24"/>
        </w:rPr>
        <w:t xml:space="preserve">am of the view that the separation application must fail. </w:t>
      </w:r>
    </w:p>
    <w:p w:rsidR="00EA16CD" w:rsidRDefault="00EA16CD" w:rsidP="00880396">
      <w:pPr>
        <w:spacing w:after="0" w:line="240" w:lineRule="auto"/>
        <w:jc w:val="both"/>
        <w:rPr>
          <w:rFonts w:ascii="Arial" w:hAnsi="Arial" w:cs="Arial"/>
          <w:sz w:val="24"/>
          <w:szCs w:val="24"/>
        </w:rPr>
      </w:pPr>
    </w:p>
    <w:p w:rsidR="00EA16CD" w:rsidRPr="00880396" w:rsidRDefault="00880396" w:rsidP="00880396">
      <w:pPr>
        <w:spacing w:after="0" w:line="360" w:lineRule="auto"/>
        <w:jc w:val="both"/>
        <w:rPr>
          <w:rFonts w:ascii="Arial" w:hAnsi="Arial" w:cs="Arial"/>
          <w:sz w:val="24"/>
          <w:szCs w:val="24"/>
        </w:rPr>
      </w:pPr>
      <w:r w:rsidRPr="00880396">
        <w:rPr>
          <w:rFonts w:ascii="Arial" w:hAnsi="Arial" w:cs="Arial"/>
          <w:sz w:val="24"/>
          <w:szCs w:val="24"/>
        </w:rPr>
        <w:t>[5</w:t>
      </w:r>
      <w:r w:rsidR="00383C80">
        <w:rPr>
          <w:rFonts w:ascii="Arial" w:hAnsi="Arial" w:cs="Arial"/>
          <w:sz w:val="24"/>
          <w:szCs w:val="24"/>
        </w:rPr>
        <w:t>7</w:t>
      </w:r>
      <w:r w:rsidRPr="00880396">
        <w:rPr>
          <w:rFonts w:ascii="Arial" w:hAnsi="Arial" w:cs="Arial"/>
          <w:sz w:val="24"/>
          <w:szCs w:val="24"/>
        </w:rPr>
        <w:t>]</w:t>
      </w:r>
      <w:r w:rsidRPr="00880396">
        <w:rPr>
          <w:rFonts w:ascii="Arial" w:hAnsi="Arial" w:cs="Arial"/>
          <w:sz w:val="24"/>
          <w:szCs w:val="24"/>
        </w:rPr>
        <w:tab/>
      </w:r>
      <w:r w:rsidR="00EA16CD" w:rsidRPr="00880396">
        <w:rPr>
          <w:rFonts w:ascii="Arial" w:hAnsi="Arial" w:cs="Arial"/>
          <w:sz w:val="24"/>
          <w:szCs w:val="24"/>
        </w:rPr>
        <w:t>As regards the issue of costs, the plaintiff submitted that such should be left in the course of the</w:t>
      </w:r>
      <w:r w:rsidR="00CF165E">
        <w:rPr>
          <w:rFonts w:ascii="Arial" w:hAnsi="Arial" w:cs="Arial"/>
          <w:sz w:val="24"/>
          <w:szCs w:val="24"/>
        </w:rPr>
        <w:t xml:space="preserve"> divorce</w:t>
      </w:r>
      <w:r w:rsidR="00EA16CD" w:rsidRPr="00880396">
        <w:rPr>
          <w:rFonts w:ascii="Arial" w:hAnsi="Arial" w:cs="Arial"/>
          <w:sz w:val="24"/>
          <w:szCs w:val="24"/>
        </w:rPr>
        <w:t xml:space="preserve"> proceedings</w:t>
      </w:r>
      <w:r w:rsidR="00CF165E">
        <w:rPr>
          <w:rFonts w:ascii="Arial" w:hAnsi="Arial" w:cs="Arial"/>
          <w:sz w:val="24"/>
          <w:szCs w:val="24"/>
        </w:rPr>
        <w:t>/action</w:t>
      </w:r>
      <w:r w:rsidRPr="00880396">
        <w:rPr>
          <w:rFonts w:ascii="Arial" w:hAnsi="Arial" w:cs="Arial"/>
          <w:sz w:val="24"/>
          <w:szCs w:val="24"/>
        </w:rPr>
        <w:t xml:space="preserve">. </w:t>
      </w:r>
      <w:r w:rsidR="00EA16CD" w:rsidRPr="00880396">
        <w:rPr>
          <w:rFonts w:ascii="Arial" w:hAnsi="Arial" w:cs="Arial"/>
          <w:sz w:val="24"/>
          <w:szCs w:val="24"/>
        </w:rPr>
        <w:t xml:space="preserve">The defendant argued that as regards costs and the manner in which the application was brought warranted the granting of costs of two counsel. While I agree with the defendant that the plaintiff’s handing of the application for amendment leaves much to be desired, </w:t>
      </w:r>
      <w:r w:rsidRPr="00880396">
        <w:rPr>
          <w:rFonts w:ascii="Arial" w:hAnsi="Arial" w:cs="Arial"/>
          <w:sz w:val="24"/>
          <w:szCs w:val="24"/>
        </w:rPr>
        <w:t xml:space="preserve">the defendant incurred unnecessary costs related to the postponement of the trial. This could have been avoided had the plaintiff initiated the process of amending his particulars of claim </w:t>
      </w:r>
      <w:r w:rsidRPr="00880396">
        <w:rPr>
          <w:rFonts w:ascii="Arial" w:hAnsi="Arial" w:cs="Arial"/>
          <w:sz w:val="24"/>
          <w:szCs w:val="24"/>
        </w:rPr>
        <w:lastRenderedPageBreak/>
        <w:t>timeously. T</w:t>
      </w:r>
      <w:r w:rsidR="00EA16CD" w:rsidRPr="00880396">
        <w:rPr>
          <w:rFonts w:ascii="Arial" w:hAnsi="Arial" w:cs="Arial"/>
          <w:sz w:val="24"/>
          <w:szCs w:val="24"/>
        </w:rPr>
        <w:t>he issue relating to separation under the current circumstances is novel in this jurisdiction. It was an crucial point worthy of this court’s time. Accordingly, while costs should follow the result and the matter warranted argument by senior counsel, I see no reason to award costs for two counsel.</w:t>
      </w:r>
    </w:p>
    <w:bookmarkEnd w:id="0"/>
    <w:p w:rsidR="002B53DB" w:rsidRDefault="002B53DB" w:rsidP="001A6702">
      <w:pPr>
        <w:spacing w:after="0" w:line="240" w:lineRule="auto"/>
        <w:jc w:val="both"/>
        <w:rPr>
          <w:rFonts w:ascii="Arial" w:eastAsia="Times New Roman" w:hAnsi="Arial" w:cs="Arial"/>
          <w:sz w:val="24"/>
          <w:szCs w:val="24"/>
          <w:lang w:val="en-GB" w:eastAsia="en-GB"/>
        </w:rPr>
      </w:pPr>
    </w:p>
    <w:p w:rsidR="00383C80" w:rsidRDefault="00383C80" w:rsidP="001A6702">
      <w:pPr>
        <w:spacing w:after="0" w:line="240" w:lineRule="auto"/>
        <w:jc w:val="both"/>
        <w:rPr>
          <w:rFonts w:ascii="Arial" w:eastAsia="Times New Roman" w:hAnsi="Arial" w:cs="Arial"/>
          <w:sz w:val="24"/>
          <w:szCs w:val="24"/>
          <w:lang w:val="en-GB" w:eastAsia="en-GB"/>
        </w:rPr>
      </w:pPr>
    </w:p>
    <w:p w:rsidR="00552B8F" w:rsidRPr="002B53DB" w:rsidRDefault="002B53DB" w:rsidP="00552B8F">
      <w:pPr>
        <w:spacing w:after="0" w:line="360" w:lineRule="auto"/>
        <w:jc w:val="both"/>
        <w:rPr>
          <w:rFonts w:ascii="Arial" w:eastAsia="Times New Roman" w:hAnsi="Arial" w:cs="Arial"/>
          <w:b/>
          <w:sz w:val="24"/>
          <w:szCs w:val="24"/>
          <w:lang w:eastAsia="en-GB"/>
        </w:rPr>
      </w:pPr>
      <w:r w:rsidRPr="002B53DB">
        <w:rPr>
          <w:rFonts w:ascii="Arial" w:eastAsia="Times New Roman" w:hAnsi="Arial" w:cs="Arial"/>
          <w:b/>
          <w:sz w:val="24"/>
          <w:szCs w:val="24"/>
          <w:lang w:val="en-GB" w:eastAsia="en-GB"/>
        </w:rPr>
        <w:t>Order</w:t>
      </w:r>
    </w:p>
    <w:p w:rsidR="00552B8F" w:rsidRDefault="00F25FEA" w:rsidP="00552B8F">
      <w:pPr>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[5</w:t>
      </w:r>
      <w:r w:rsidR="00383C80">
        <w:rPr>
          <w:rFonts w:ascii="Arial" w:eastAsia="Times New Roman" w:hAnsi="Arial" w:cs="Arial"/>
          <w:sz w:val="24"/>
          <w:szCs w:val="24"/>
          <w:lang w:val="en-GB" w:eastAsia="en-GB"/>
        </w:rPr>
        <w:t>8</w:t>
      </w:r>
      <w:r>
        <w:rPr>
          <w:rFonts w:ascii="Arial" w:eastAsia="Times New Roman" w:hAnsi="Arial" w:cs="Arial"/>
          <w:sz w:val="24"/>
          <w:szCs w:val="24"/>
          <w:lang w:val="en-GB" w:eastAsia="en-GB"/>
        </w:rPr>
        <w:t>]</w:t>
      </w:r>
      <w:r w:rsidR="002B53DB">
        <w:rPr>
          <w:rFonts w:ascii="Arial" w:eastAsia="Times New Roman" w:hAnsi="Arial" w:cs="Arial"/>
          <w:sz w:val="24"/>
          <w:szCs w:val="24"/>
          <w:lang w:val="en-GB" w:eastAsia="en-GB"/>
        </w:rPr>
        <w:tab/>
      </w:r>
      <w:r w:rsidR="002B53DB">
        <w:rPr>
          <w:rFonts w:ascii="Arial" w:hAnsi="Arial" w:cs="Arial"/>
          <w:sz w:val="24"/>
          <w:szCs w:val="24"/>
        </w:rPr>
        <w:t>T</w:t>
      </w:r>
      <w:r w:rsidR="002B53DB" w:rsidRPr="002716F4">
        <w:rPr>
          <w:rFonts w:ascii="Arial" w:hAnsi="Arial" w:cs="Arial"/>
          <w:sz w:val="24"/>
          <w:szCs w:val="24"/>
        </w:rPr>
        <w:t>he following order is made</w:t>
      </w:r>
      <w:r w:rsidR="002B53DB">
        <w:rPr>
          <w:rFonts w:ascii="Arial" w:hAnsi="Arial" w:cs="Arial"/>
          <w:sz w:val="24"/>
          <w:szCs w:val="24"/>
        </w:rPr>
        <w:t>:</w:t>
      </w:r>
    </w:p>
    <w:p w:rsidR="00716B88" w:rsidRPr="00242BE8" w:rsidRDefault="00242BE8" w:rsidP="00242BE8">
      <w:pPr>
        <w:spacing w:after="0" w:line="360" w:lineRule="auto"/>
        <w:ind w:left="1080" w:hanging="36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1.</w:t>
      </w:r>
      <w:r>
        <w:rPr>
          <w:rFonts w:ascii="Arial" w:eastAsia="Times New Roman" w:hAnsi="Arial" w:cs="Arial"/>
          <w:sz w:val="24"/>
          <w:szCs w:val="24"/>
          <w:lang w:val="en-GB" w:eastAsia="en-GB"/>
        </w:rPr>
        <w:tab/>
      </w:r>
      <w:r w:rsidR="00716B88" w:rsidRPr="00242BE8">
        <w:rPr>
          <w:rFonts w:ascii="Arial" w:eastAsia="Times New Roman" w:hAnsi="Arial" w:cs="Arial"/>
          <w:sz w:val="24"/>
          <w:szCs w:val="24"/>
          <w:lang w:val="en-GB" w:eastAsia="en-GB"/>
        </w:rPr>
        <w:t>The application for amendment is granted</w:t>
      </w:r>
      <w:r w:rsidR="00715A28" w:rsidRPr="00242BE8">
        <w:rPr>
          <w:rFonts w:ascii="Arial" w:eastAsia="Times New Roman" w:hAnsi="Arial" w:cs="Arial"/>
          <w:sz w:val="24"/>
          <w:szCs w:val="24"/>
          <w:lang w:val="en-GB" w:eastAsia="en-GB"/>
        </w:rPr>
        <w:t>.</w:t>
      </w:r>
    </w:p>
    <w:p w:rsidR="00716B88" w:rsidRPr="00242BE8" w:rsidRDefault="00242BE8" w:rsidP="00242BE8">
      <w:pPr>
        <w:spacing w:after="0" w:line="360" w:lineRule="auto"/>
        <w:ind w:left="1080" w:hanging="36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2.</w:t>
      </w:r>
      <w:r>
        <w:rPr>
          <w:rFonts w:ascii="Arial" w:eastAsia="Times New Roman" w:hAnsi="Arial" w:cs="Arial"/>
          <w:sz w:val="24"/>
          <w:szCs w:val="24"/>
          <w:lang w:val="en-GB" w:eastAsia="en-GB"/>
        </w:rPr>
        <w:tab/>
      </w:r>
      <w:r w:rsidR="00716B88" w:rsidRPr="00242BE8">
        <w:rPr>
          <w:rFonts w:ascii="Arial" w:eastAsia="Times New Roman" w:hAnsi="Arial" w:cs="Arial"/>
          <w:sz w:val="24"/>
          <w:szCs w:val="24"/>
          <w:lang w:val="en-GB" w:eastAsia="en-GB"/>
        </w:rPr>
        <w:t xml:space="preserve">The application for separation of issues </w:t>
      </w:r>
      <w:r w:rsidR="00CF165E" w:rsidRPr="00242BE8">
        <w:rPr>
          <w:rFonts w:ascii="Arial" w:eastAsia="Times New Roman" w:hAnsi="Arial" w:cs="Arial"/>
          <w:sz w:val="24"/>
          <w:szCs w:val="24"/>
          <w:lang w:val="en-GB" w:eastAsia="en-GB"/>
        </w:rPr>
        <w:t xml:space="preserve">in terms of rule 33(4) </w:t>
      </w:r>
      <w:r w:rsidR="00716B88" w:rsidRPr="00242BE8">
        <w:rPr>
          <w:rFonts w:ascii="Arial" w:eastAsia="Times New Roman" w:hAnsi="Arial" w:cs="Arial"/>
          <w:sz w:val="24"/>
          <w:szCs w:val="24"/>
          <w:lang w:val="en-GB" w:eastAsia="en-GB"/>
        </w:rPr>
        <w:t>is refused</w:t>
      </w:r>
      <w:r w:rsidR="00715A28" w:rsidRPr="00242BE8">
        <w:rPr>
          <w:rFonts w:ascii="Arial" w:eastAsia="Times New Roman" w:hAnsi="Arial" w:cs="Arial"/>
          <w:sz w:val="24"/>
          <w:szCs w:val="24"/>
          <w:lang w:val="en-GB" w:eastAsia="en-GB"/>
        </w:rPr>
        <w:t>.</w:t>
      </w:r>
    </w:p>
    <w:p w:rsidR="00716B88" w:rsidRPr="00242BE8" w:rsidRDefault="00242BE8" w:rsidP="00242BE8">
      <w:pPr>
        <w:spacing w:after="0" w:line="360" w:lineRule="auto"/>
        <w:ind w:left="1080" w:hanging="36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3.</w:t>
      </w:r>
      <w:r>
        <w:rPr>
          <w:rFonts w:ascii="Arial" w:eastAsia="Times New Roman" w:hAnsi="Arial" w:cs="Arial"/>
          <w:sz w:val="24"/>
          <w:szCs w:val="24"/>
          <w:lang w:val="en-GB" w:eastAsia="en-GB"/>
        </w:rPr>
        <w:tab/>
      </w:r>
      <w:r w:rsidR="00716B88" w:rsidRPr="00242BE8">
        <w:rPr>
          <w:rFonts w:ascii="Arial" w:eastAsia="Times New Roman" w:hAnsi="Arial" w:cs="Arial"/>
          <w:sz w:val="24"/>
          <w:szCs w:val="24"/>
          <w:lang w:val="en-GB" w:eastAsia="en-GB"/>
        </w:rPr>
        <w:t>The trial is postponed sine die</w:t>
      </w:r>
      <w:r w:rsidR="00715A28" w:rsidRPr="00242BE8">
        <w:rPr>
          <w:rFonts w:ascii="Arial" w:eastAsia="Times New Roman" w:hAnsi="Arial" w:cs="Arial"/>
          <w:sz w:val="24"/>
          <w:szCs w:val="24"/>
          <w:lang w:val="en-GB" w:eastAsia="en-GB"/>
        </w:rPr>
        <w:t>.</w:t>
      </w:r>
    </w:p>
    <w:p w:rsidR="00716B88" w:rsidRPr="00242BE8" w:rsidRDefault="00242BE8" w:rsidP="00242BE8">
      <w:pPr>
        <w:spacing w:after="0" w:line="360" w:lineRule="auto"/>
        <w:ind w:left="1080" w:hanging="36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4.</w:t>
      </w:r>
      <w:r>
        <w:rPr>
          <w:rFonts w:ascii="Arial" w:eastAsia="Times New Roman" w:hAnsi="Arial" w:cs="Arial"/>
          <w:sz w:val="24"/>
          <w:szCs w:val="24"/>
          <w:lang w:val="en-GB" w:eastAsia="en-GB"/>
        </w:rPr>
        <w:tab/>
      </w:r>
      <w:r w:rsidR="00716B88" w:rsidRPr="00242BE8">
        <w:rPr>
          <w:rFonts w:ascii="Arial" w:eastAsia="Times New Roman" w:hAnsi="Arial" w:cs="Arial"/>
          <w:sz w:val="24"/>
          <w:szCs w:val="24"/>
          <w:lang w:val="en-GB" w:eastAsia="en-GB"/>
        </w:rPr>
        <w:t xml:space="preserve">The plaintiff is to pay </w:t>
      </w:r>
      <w:r w:rsidR="00720FF9" w:rsidRPr="00242BE8">
        <w:rPr>
          <w:rFonts w:ascii="Arial" w:eastAsia="Times New Roman" w:hAnsi="Arial" w:cs="Arial"/>
          <w:sz w:val="24"/>
          <w:szCs w:val="24"/>
          <w:lang w:val="en-GB" w:eastAsia="en-GB"/>
        </w:rPr>
        <w:t>the costs occasioned by the postponement and the separation</w:t>
      </w:r>
      <w:r w:rsidR="00242F84" w:rsidRPr="00242BE8">
        <w:rPr>
          <w:rFonts w:ascii="Arial" w:eastAsia="Times New Roman" w:hAnsi="Arial" w:cs="Arial"/>
          <w:sz w:val="24"/>
          <w:szCs w:val="24"/>
          <w:lang w:val="en-GB" w:eastAsia="en-GB"/>
        </w:rPr>
        <w:t xml:space="preserve"> applications</w:t>
      </w:r>
      <w:r w:rsidR="00720FF9" w:rsidRPr="00242BE8">
        <w:rPr>
          <w:rFonts w:ascii="Arial" w:eastAsia="Times New Roman" w:hAnsi="Arial" w:cs="Arial"/>
          <w:sz w:val="24"/>
          <w:szCs w:val="24"/>
          <w:lang w:val="en-GB" w:eastAsia="en-GB"/>
        </w:rPr>
        <w:t>.</w:t>
      </w:r>
    </w:p>
    <w:p w:rsidR="00716B88" w:rsidRDefault="00716B88" w:rsidP="00552B8F">
      <w:pPr>
        <w:spacing w:after="0" w:line="360" w:lineRule="auto"/>
        <w:jc w:val="both"/>
        <w:rPr>
          <w:rFonts w:ascii="Arial" w:eastAsia="Times New Roman" w:hAnsi="Arial" w:cs="Arial"/>
          <w:sz w:val="24"/>
          <w:szCs w:val="24"/>
          <w:lang w:val="en-GB" w:eastAsia="en-GB"/>
        </w:rPr>
      </w:pPr>
    </w:p>
    <w:p w:rsidR="0075464B" w:rsidRDefault="0075464B" w:rsidP="00552B8F">
      <w:pPr>
        <w:spacing w:after="0" w:line="360" w:lineRule="auto"/>
        <w:jc w:val="both"/>
        <w:rPr>
          <w:rFonts w:ascii="Arial" w:eastAsia="Times New Roman" w:hAnsi="Arial" w:cs="Arial"/>
          <w:sz w:val="24"/>
          <w:szCs w:val="24"/>
          <w:lang w:val="en-GB" w:eastAsia="en-GB"/>
        </w:rPr>
      </w:pPr>
    </w:p>
    <w:p w:rsidR="0075464B" w:rsidRPr="002716F4" w:rsidRDefault="0075464B" w:rsidP="00552B8F">
      <w:pPr>
        <w:spacing w:after="0" w:line="360" w:lineRule="auto"/>
        <w:jc w:val="both"/>
        <w:rPr>
          <w:rFonts w:ascii="Arial" w:eastAsia="Times New Roman" w:hAnsi="Arial" w:cs="Arial"/>
          <w:sz w:val="24"/>
          <w:szCs w:val="24"/>
          <w:lang w:val="en-GB" w:eastAsia="en-GB"/>
        </w:rPr>
      </w:pPr>
    </w:p>
    <w:p w:rsidR="00552B8F" w:rsidRPr="00DF2882" w:rsidRDefault="00552B8F" w:rsidP="00552B8F">
      <w:pPr>
        <w:spacing w:after="0" w:line="360" w:lineRule="auto"/>
        <w:jc w:val="right"/>
        <w:rPr>
          <w:rFonts w:ascii="Arial" w:eastAsia="Times New Roman" w:hAnsi="Arial" w:cs="Arial"/>
          <w:b/>
          <w:sz w:val="24"/>
          <w:szCs w:val="24"/>
          <w:lang w:val="en-GB" w:eastAsia="en-GB"/>
        </w:rPr>
      </w:pPr>
      <w:r w:rsidRPr="00DF2882">
        <w:rPr>
          <w:rFonts w:ascii="Arial" w:eastAsia="Times New Roman" w:hAnsi="Arial" w:cs="Arial"/>
          <w:b/>
          <w:sz w:val="24"/>
          <w:szCs w:val="24"/>
          <w:lang w:val="en-GB" w:eastAsia="en-GB"/>
        </w:rPr>
        <w:t>_________________________</w:t>
      </w:r>
    </w:p>
    <w:p w:rsidR="00552B8F" w:rsidRPr="00DF2882" w:rsidRDefault="00552B8F" w:rsidP="00552B8F">
      <w:pPr>
        <w:shd w:val="clear" w:color="auto" w:fill="FFFFFF"/>
        <w:spacing w:before="144" w:after="0" w:line="360" w:lineRule="auto"/>
        <w:contextualSpacing/>
        <w:jc w:val="right"/>
        <w:rPr>
          <w:rFonts w:ascii="Arial" w:eastAsia="Times New Roman" w:hAnsi="Arial" w:cs="Arial"/>
          <w:b/>
          <w:sz w:val="24"/>
          <w:szCs w:val="24"/>
          <w:lang w:val="en-GB" w:eastAsia="en-GB"/>
        </w:rPr>
      </w:pPr>
      <w:r w:rsidRPr="00DF2882">
        <w:rPr>
          <w:rFonts w:ascii="Arial" w:eastAsia="Times New Roman" w:hAnsi="Arial" w:cs="Arial"/>
          <w:b/>
          <w:sz w:val="24"/>
          <w:szCs w:val="24"/>
          <w:lang w:val="en-GB" w:eastAsia="en-GB"/>
        </w:rPr>
        <w:t>Masipa J</w:t>
      </w:r>
    </w:p>
    <w:p w:rsidR="001B0108" w:rsidRDefault="001B0108" w:rsidP="00552B8F">
      <w:pPr>
        <w:shd w:val="clear" w:color="auto" w:fill="FFFFFF"/>
        <w:spacing w:before="144" w:after="0" w:line="360" w:lineRule="auto"/>
        <w:contextualSpacing/>
        <w:rPr>
          <w:rFonts w:ascii="Arial" w:eastAsia="Times New Roman" w:hAnsi="Arial" w:cs="Arial"/>
          <w:color w:val="242121"/>
          <w:sz w:val="24"/>
          <w:szCs w:val="24"/>
          <w:u w:val="single"/>
        </w:rPr>
      </w:pPr>
    </w:p>
    <w:p w:rsidR="00552B8F" w:rsidRPr="00715A28" w:rsidRDefault="00552B8F" w:rsidP="00552B8F">
      <w:pPr>
        <w:shd w:val="clear" w:color="auto" w:fill="FFFFFF"/>
        <w:spacing w:before="144" w:after="0" w:line="360" w:lineRule="auto"/>
        <w:contextualSpacing/>
        <w:rPr>
          <w:rFonts w:ascii="Arial" w:eastAsia="Times New Roman" w:hAnsi="Arial" w:cs="Arial"/>
          <w:b/>
          <w:sz w:val="24"/>
          <w:szCs w:val="24"/>
        </w:rPr>
      </w:pPr>
      <w:r w:rsidRPr="00715A28">
        <w:rPr>
          <w:rFonts w:ascii="Arial" w:eastAsia="Times New Roman" w:hAnsi="Arial" w:cs="Arial"/>
          <w:b/>
          <w:sz w:val="24"/>
          <w:szCs w:val="24"/>
        </w:rPr>
        <w:t>APPEARANCE DETAILS:</w:t>
      </w:r>
    </w:p>
    <w:p w:rsidR="00552B8F" w:rsidRPr="002716F4" w:rsidRDefault="00552B8F" w:rsidP="00552B8F">
      <w:pPr>
        <w:shd w:val="clear" w:color="auto" w:fill="FFFFFF"/>
        <w:spacing w:before="144" w:after="0" w:line="360" w:lineRule="auto"/>
        <w:contextualSpacing/>
        <w:rPr>
          <w:rFonts w:ascii="Arial" w:eastAsia="Times New Roman" w:hAnsi="Arial" w:cs="Arial"/>
          <w:sz w:val="24"/>
          <w:szCs w:val="24"/>
        </w:rPr>
      </w:pPr>
    </w:p>
    <w:p w:rsidR="00552B8F" w:rsidRDefault="00552B8F" w:rsidP="00552B8F">
      <w:pPr>
        <w:shd w:val="clear" w:color="auto" w:fill="FFFFFF"/>
        <w:spacing w:before="144" w:after="0" w:line="480" w:lineRule="auto"/>
        <w:contextualSpacing/>
        <w:rPr>
          <w:rFonts w:ascii="Arial" w:eastAsia="Times New Roman" w:hAnsi="Arial" w:cs="Arial"/>
          <w:sz w:val="24"/>
          <w:szCs w:val="24"/>
        </w:rPr>
      </w:pPr>
      <w:r w:rsidRPr="002716F4">
        <w:rPr>
          <w:rFonts w:ascii="Arial" w:eastAsia="Times New Roman" w:hAnsi="Arial" w:cs="Arial"/>
          <w:sz w:val="24"/>
          <w:szCs w:val="24"/>
        </w:rPr>
        <w:t>For the</w:t>
      </w:r>
      <w:r w:rsidR="00715A28">
        <w:rPr>
          <w:rFonts w:ascii="Arial" w:eastAsia="Times New Roman" w:hAnsi="Arial" w:cs="Arial"/>
          <w:sz w:val="24"/>
          <w:szCs w:val="24"/>
        </w:rPr>
        <w:t xml:space="preserve"> plaintiff</w:t>
      </w:r>
      <w:r w:rsidRPr="002716F4">
        <w:rPr>
          <w:rFonts w:ascii="Arial" w:eastAsia="Times New Roman" w:hAnsi="Arial" w:cs="Arial"/>
          <w:sz w:val="24"/>
          <w:szCs w:val="24"/>
        </w:rPr>
        <w:t xml:space="preserve">: </w:t>
      </w:r>
      <w:r w:rsidRPr="002716F4">
        <w:rPr>
          <w:rFonts w:ascii="Arial" w:eastAsia="Times New Roman" w:hAnsi="Arial" w:cs="Arial"/>
          <w:sz w:val="24"/>
          <w:szCs w:val="24"/>
        </w:rPr>
        <w:tab/>
      </w:r>
      <w:r w:rsidRPr="002716F4">
        <w:rPr>
          <w:rFonts w:ascii="Arial" w:eastAsia="Times New Roman" w:hAnsi="Arial" w:cs="Arial"/>
          <w:sz w:val="24"/>
          <w:szCs w:val="24"/>
        </w:rPr>
        <w:tab/>
      </w:r>
      <w:r w:rsidR="00880396">
        <w:rPr>
          <w:rFonts w:ascii="Arial" w:eastAsia="Times New Roman" w:hAnsi="Arial" w:cs="Arial"/>
          <w:sz w:val="24"/>
          <w:szCs w:val="24"/>
        </w:rPr>
        <w:t>Mr G</w:t>
      </w:r>
      <w:r w:rsidR="00715A28">
        <w:rPr>
          <w:rFonts w:ascii="Arial" w:eastAsia="Times New Roman" w:hAnsi="Arial" w:cs="Arial"/>
          <w:sz w:val="24"/>
          <w:szCs w:val="24"/>
        </w:rPr>
        <w:t xml:space="preserve"> </w:t>
      </w:r>
      <w:r w:rsidR="00880396">
        <w:rPr>
          <w:rFonts w:ascii="Arial" w:eastAsia="Times New Roman" w:hAnsi="Arial" w:cs="Arial"/>
          <w:sz w:val="24"/>
          <w:szCs w:val="24"/>
        </w:rPr>
        <w:t>D Harpur SC</w:t>
      </w:r>
    </w:p>
    <w:p w:rsidR="00880396" w:rsidRPr="002716F4" w:rsidRDefault="00880396" w:rsidP="00552B8F">
      <w:pPr>
        <w:shd w:val="clear" w:color="auto" w:fill="FFFFFF"/>
        <w:spacing w:before="144" w:after="0" w:line="480" w:lineRule="auto"/>
        <w:contextualSpacing/>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With M</w:t>
      </w:r>
      <w:r w:rsidR="00242F84">
        <w:rPr>
          <w:rFonts w:ascii="Arial" w:eastAsia="Times New Roman" w:hAnsi="Arial" w:cs="Arial"/>
          <w:sz w:val="24"/>
          <w:szCs w:val="24"/>
        </w:rPr>
        <w:t>r</w:t>
      </w:r>
      <w:r>
        <w:rPr>
          <w:rFonts w:ascii="Arial" w:eastAsia="Times New Roman" w:hAnsi="Arial" w:cs="Arial"/>
          <w:sz w:val="24"/>
          <w:szCs w:val="24"/>
        </w:rPr>
        <w:t xml:space="preserve"> A J Gevers</w:t>
      </w:r>
    </w:p>
    <w:p w:rsidR="0010177F" w:rsidRDefault="00552B8F" w:rsidP="00552B8F">
      <w:pPr>
        <w:shd w:val="clear" w:color="auto" w:fill="FFFFFF"/>
        <w:spacing w:before="144" w:after="0" w:line="480" w:lineRule="auto"/>
        <w:contextualSpacing/>
        <w:rPr>
          <w:rFonts w:ascii="Arial" w:eastAsia="Times New Roman" w:hAnsi="Arial" w:cs="Arial"/>
          <w:sz w:val="24"/>
          <w:szCs w:val="24"/>
        </w:rPr>
      </w:pPr>
      <w:r w:rsidRPr="002716F4">
        <w:rPr>
          <w:rFonts w:ascii="Arial" w:eastAsia="Times New Roman" w:hAnsi="Arial" w:cs="Arial"/>
          <w:sz w:val="24"/>
          <w:szCs w:val="24"/>
        </w:rPr>
        <w:t xml:space="preserve">Instructed by: </w:t>
      </w:r>
      <w:r w:rsidRPr="002716F4">
        <w:rPr>
          <w:rFonts w:ascii="Arial" w:eastAsia="Times New Roman" w:hAnsi="Arial" w:cs="Arial"/>
          <w:sz w:val="24"/>
          <w:szCs w:val="24"/>
        </w:rPr>
        <w:tab/>
      </w:r>
      <w:r w:rsidRPr="002716F4">
        <w:rPr>
          <w:rFonts w:ascii="Arial" w:eastAsia="Times New Roman" w:hAnsi="Arial" w:cs="Arial"/>
          <w:sz w:val="24"/>
          <w:szCs w:val="24"/>
        </w:rPr>
        <w:tab/>
      </w:r>
    </w:p>
    <w:p w:rsidR="00552B8F" w:rsidRPr="002716F4" w:rsidRDefault="00552B8F" w:rsidP="00552B8F">
      <w:pPr>
        <w:shd w:val="clear" w:color="auto" w:fill="FFFFFF"/>
        <w:spacing w:before="144" w:after="0" w:line="480" w:lineRule="auto"/>
        <w:contextualSpacing/>
        <w:rPr>
          <w:rFonts w:ascii="Arial" w:eastAsia="Times New Roman" w:hAnsi="Arial" w:cs="Arial"/>
          <w:sz w:val="24"/>
          <w:szCs w:val="24"/>
        </w:rPr>
      </w:pPr>
      <w:r w:rsidRPr="002716F4">
        <w:rPr>
          <w:rFonts w:ascii="Arial" w:eastAsia="Times New Roman" w:hAnsi="Arial" w:cs="Arial"/>
          <w:sz w:val="24"/>
          <w:szCs w:val="24"/>
        </w:rPr>
        <w:tab/>
      </w:r>
      <w:r w:rsidRPr="002716F4">
        <w:rPr>
          <w:rFonts w:ascii="Arial" w:eastAsia="Times New Roman" w:hAnsi="Arial" w:cs="Arial"/>
          <w:sz w:val="24"/>
          <w:szCs w:val="24"/>
        </w:rPr>
        <w:tab/>
      </w:r>
      <w:r w:rsidRPr="002716F4">
        <w:rPr>
          <w:rFonts w:ascii="Arial" w:eastAsia="Times New Roman" w:hAnsi="Arial" w:cs="Arial"/>
          <w:sz w:val="24"/>
          <w:szCs w:val="24"/>
        </w:rPr>
        <w:tab/>
      </w:r>
    </w:p>
    <w:p w:rsidR="00716B88" w:rsidRDefault="00552B8F" w:rsidP="00552B8F">
      <w:pPr>
        <w:shd w:val="clear" w:color="auto" w:fill="FFFFFF"/>
        <w:spacing w:before="144" w:after="0" w:line="480" w:lineRule="auto"/>
        <w:contextualSpacing/>
        <w:rPr>
          <w:rFonts w:ascii="Arial" w:eastAsia="Times New Roman" w:hAnsi="Arial" w:cs="Arial"/>
          <w:sz w:val="24"/>
          <w:szCs w:val="24"/>
        </w:rPr>
      </w:pPr>
      <w:r w:rsidRPr="002716F4">
        <w:rPr>
          <w:rFonts w:ascii="Arial" w:eastAsia="Times New Roman" w:hAnsi="Arial" w:cs="Arial"/>
          <w:sz w:val="24"/>
          <w:szCs w:val="24"/>
        </w:rPr>
        <w:t xml:space="preserve">For the </w:t>
      </w:r>
      <w:r w:rsidR="00715A28">
        <w:rPr>
          <w:rFonts w:ascii="Arial" w:eastAsia="Times New Roman" w:hAnsi="Arial" w:cs="Arial"/>
          <w:sz w:val="24"/>
          <w:szCs w:val="24"/>
        </w:rPr>
        <w:t>defendant</w:t>
      </w:r>
      <w:r w:rsidRPr="002716F4">
        <w:rPr>
          <w:rFonts w:ascii="Arial" w:eastAsia="Times New Roman" w:hAnsi="Arial" w:cs="Arial"/>
          <w:sz w:val="24"/>
          <w:szCs w:val="24"/>
        </w:rPr>
        <w:t xml:space="preserve">: </w:t>
      </w:r>
      <w:r w:rsidRPr="002716F4">
        <w:rPr>
          <w:rFonts w:ascii="Arial" w:eastAsia="Times New Roman" w:hAnsi="Arial" w:cs="Arial"/>
          <w:sz w:val="24"/>
          <w:szCs w:val="24"/>
        </w:rPr>
        <w:tab/>
      </w:r>
      <w:r w:rsidR="00715A28">
        <w:rPr>
          <w:rFonts w:ascii="Arial" w:eastAsia="Times New Roman" w:hAnsi="Arial" w:cs="Arial"/>
          <w:sz w:val="24"/>
          <w:szCs w:val="24"/>
        </w:rPr>
        <w:tab/>
      </w:r>
      <w:r w:rsidR="00880396">
        <w:rPr>
          <w:rFonts w:ascii="Arial" w:eastAsia="Times New Roman" w:hAnsi="Arial" w:cs="Arial"/>
          <w:sz w:val="24"/>
          <w:szCs w:val="24"/>
        </w:rPr>
        <w:t>Mr A E</w:t>
      </w:r>
      <w:r w:rsidR="00716B88">
        <w:rPr>
          <w:rFonts w:ascii="Arial" w:eastAsia="Times New Roman" w:hAnsi="Arial" w:cs="Arial"/>
          <w:sz w:val="24"/>
          <w:szCs w:val="24"/>
        </w:rPr>
        <w:t xml:space="preserve"> </w:t>
      </w:r>
      <w:r w:rsidR="00880396">
        <w:rPr>
          <w:rFonts w:ascii="Arial" w:eastAsia="Times New Roman" w:hAnsi="Arial" w:cs="Arial"/>
          <w:sz w:val="24"/>
          <w:szCs w:val="24"/>
        </w:rPr>
        <w:t>Potgieter</w:t>
      </w:r>
      <w:r w:rsidR="00716B88">
        <w:rPr>
          <w:rFonts w:ascii="Arial" w:eastAsia="Times New Roman" w:hAnsi="Arial" w:cs="Arial"/>
          <w:sz w:val="24"/>
          <w:szCs w:val="24"/>
        </w:rPr>
        <w:t xml:space="preserve"> SC</w:t>
      </w:r>
      <w:r w:rsidR="00DC0267">
        <w:rPr>
          <w:rFonts w:ascii="Arial" w:eastAsia="Times New Roman" w:hAnsi="Arial" w:cs="Arial"/>
          <w:sz w:val="24"/>
          <w:szCs w:val="24"/>
        </w:rPr>
        <w:t xml:space="preserve"> </w:t>
      </w:r>
    </w:p>
    <w:p w:rsidR="00552B8F" w:rsidRPr="002716F4" w:rsidRDefault="00716B88" w:rsidP="00552B8F">
      <w:pPr>
        <w:shd w:val="clear" w:color="auto" w:fill="FFFFFF"/>
        <w:spacing w:before="144" w:after="0" w:line="480" w:lineRule="auto"/>
        <w:contextualSpacing/>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With Mr M C Tucker</w:t>
      </w:r>
      <w:r w:rsidR="00552B8F" w:rsidRPr="002716F4">
        <w:rPr>
          <w:rFonts w:ascii="Arial" w:eastAsia="Times New Roman" w:hAnsi="Arial" w:cs="Arial"/>
          <w:sz w:val="24"/>
          <w:szCs w:val="24"/>
        </w:rPr>
        <w:tab/>
      </w:r>
      <w:r w:rsidR="00552B8F" w:rsidRPr="002716F4">
        <w:rPr>
          <w:rFonts w:ascii="Arial" w:eastAsia="Times New Roman" w:hAnsi="Arial" w:cs="Arial"/>
          <w:sz w:val="24"/>
          <w:szCs w:val="24"/>
        </w:rPr>
        <w:tab/>
      </w:r>
    </w:p>
    <w:p w:rsidR="00552B8F" w:rsidRPr="002716F4" w:rsidRDefault="00552B8F" w:rsidP="00552B8F">
      <w:pPr>
        <w:shd w:val="clear" w:color="auto" w:fill="FFFFFF"/>
        <w:spacing w:before="144" w:after="0" w:line="480" w:lineRule="auto"/>
        <w:contextualSpacing/>
        <w:rPr>
          <w:rFonts w:ascii="Arial" w:eastAsia="Times New Roman" w:hAnsi="Arial" w:cs="Arial"/>
          <w:sz w:val="24"/>
          <w:szCs w:val="24"/>
        </w:rPr>
      </w:pPr>
      <w:r w:rsidRPr="002716F4">
        <w:rPr>
          <w:rFonts w:ascii="Arial" w:eastAsia="Times New Roman" w:hAnsi="Arial" w:cs="Arial"/>
          <w:sz w:val="24"/>
          <w:szCs w:val="24"/>
        </w:rPr>
        <w:t xml:space="preserve">Instructed by: </w:t>
      </w:r>
      <w:r w:rsidRPr="002716F4">
        <w:rPr>
          <w:rFonts w:ascii="Arial" w:eastAsia="Times New Roman" w:hAnsi="Arial" w:cs="Arial"/>
          <w:sz w:val="24"/>
          <w:szCs w:val="24"/>
        </w:rPr>
        <w:tab/>
      </w:r>
      <w:r w:rsidRPr="002716F4">
        <w:rPr>
          <w:rFonts w:ascii="Arial" w:eastAsia="Times New Roman" w:hAnsi="Arial" w:cs="Arial"/>
          <w:sz w:val="24"/>
          <w:szCs w:val="24"/>
        </w:rPr>
        <w:tab/>
      </w:r>
      <w:r w:rsidRPr="002716F4">
        <w:rPr>
          <w:rFonts w:ascii="Arial" w:eastAsia="Times New Roman" w:hAnsi="Arial" w:cs="Arial"/>
          <w:sz w:val="24"/>
          <w:szCs w:val="24"/>
        </w:rPr>
        <w:tab/>
      </w:r>
    </w:p>
    <w:p w:rsidR="00552B8F" w:rsidRPr="002716F4" w:rsidRDefault="00552B8F" w:rsidP="00552B8F">
      <w:pPr>
        <w:spacing w:after="0" w:line="480" w:lineRule="auto"/>
        <w:contextualSpacing/>
        <w:jc w:val="both"/>
        <w:rPr>
          <w:rFonts w:ascii="Arial" w:eastAsia="Times New Roman" w:hAnsi="Arial" w:cs="Arial"/>
          <w:sz w:val="24"/>
          <w:szCs w:val="24"/>
          <w:lang w:val="en-GB" w:eastAsia="en-GB"/>
        </w:rPr>
      </w:pPr>
    </w:p>
    <w:p w:rsidR="00552B8F" w:rsidRPr="002716F4" w:rsidRDefault="00552B8F" w:rsidP="00552B8F">
      <w:pPr>
        <w:spacing w:after="0" w:line="480" w:lineRule="auto"/>
        <w:contextualSpacing/>
        <w:jc w:val="both"/>
        <w:rPr>
          <w:rFonts w:ascii="Arial" w:eastAsia="Times New Roman" w:hAnsi="Arial" w:cs="Arial"/>
          <w:sz w:val="24"/>
          <w:szCs w:val="24"/>
          <w:lang w:val="en-GB" w:eastAsia="en-GB"/>
        </w:rPr>
      </w:pPr>
      <w:r w:rsidRPr="002716F4">
        <w:rPr>
          <w:rFonts w:ascii="Arial" w:eastAsia="Times New Roman" w:hAnsi="Arial" w:cs="Arial"/>
          <w:sz w:val="24"/>
          <w:szCs w:val="24"/>
          <w:lang w:val="en-GB" w:eastAsia="en-GB"/>
        </w:rPr>
        <w:t xml:space="preserve">Matter heard on:  </w:t>
      </w:r>
      <w:r w:rsidRPr="002716F4">
        <w:rPr>
          <w:rFonts w:ascii="Arial" w:eastAsia="Times New Roman" w:hAnsi="Arial" w:cs="Arial"/>
          <w:sz w:val="24"/>
          <w:szCs w:val="24"/>
          <w:lang w:val="en-GB" w:eastAsia="en-GB"/>
        </w:rPr>
        <w:tab/>
      </w:r>
      <w:r w:rsidRPr="002716F4">
        <w:rPr>
          <w:rFonts w:ascii="Arial" w:eastAsia="Times New Roman" w:hAnsi="Arial" w:cs="Arial"/>
          <w:sz w:val="24"/>
          <w:szCs w:val="24"/>
          <w:lang w:val="en-GB" w:eastAsia="en-GB"/>
        </w:rPr>
        <w:tab/>
      </w:r>
      <w:r w:rsidRPr="002716F4">
        <w:rPr>
          <w:rFonts w:ascii="Arial" w:eastAsia="Times New Roman" w:hAnsi="Arial" w:cs="Arial"/>
          <w:sz w:val="24"/>
          <w:szCs w:val="24"/>
          <w:lang w:val="en-GB" w:eastAsia="en-GB"/>
        </w:rPr>
        <w:tab/>
      </w:r>
      <w:r w:rsidRPr="002716F4">
        <w:rPr>
          <w:rFonts w:ascii="Arial" w:eastAsia="Times New Roman" w:hAnsi="Arial" w:cs="Arial"/>
          <w:sz w:val="24"/>
          <w:szCs w:val="24"/>
          <w:lang w:val="en-GB" w:eastAsia="en-GB"/>
        </w:rPr>
        <w:tab/>
      </w:r>
    </w:p>
    <w:p w:rsidR="00552B8F" w:rsidRPr="00FC07BC" w:rsidRDefault="00DC0267" w:rsidP="00FC07BC">
      <w:pPr>
        <w:spacing w:after="0" w:line="480" w:lineRule="auto"/>
        <w:contextualSpacing/>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Judgment delivered on: </w:t>
      </w:r>
      <w:r>
        <w:rPr>
          <w:rFonts w:ascii="Arial" w:eastAsia="Times New Roman" w:hAnsi="Arial" w:cs="Arial"/>
          <w:sz w:val="24"/>
          <w:szCs w:val="24"/>
          <w:lang w:val="en-GB" w:eastAsia="en-GB"/>
        </w:rPr>
        <w:tab/>
        <w:t>___________</w:t>
      </w:r>
      <w:r w:rsidR="00552B8F" w:rsidRPr="002716F4">
        <w:rPr>
          <w:rFonts w:ascii="Arial" w:eastAsia="Times New Roman" w:hAnsi="Arial" w:cs="Arial"/>
          <w:sz w:val="24"/>
          <w:szCs w:val="24"/>
          <w:lang w:val="en-GB" w:eastAsia="en-GB"/>
        </w:rPr>
        <w:t xml:space="preserve"> 202</w:t>
      </w:r>
      <w:r w:rsidR="00716B88">
        <w:rPr>
          <w:rFonts w:ascii="Arial" w:eastAsia="Times New Roman" w:hAnsi="Arial" w:cs="Arial"/>
          <w:sz w:val="24"/>
          <w:szCs w:val="24"/>
          <w:lang w:val="en-GB" w:eastAsia="en-GB"/>
        </w:rPr>
        <w:t>4</w:t>
      </w:r>
    </w:p>
    <w:sectPr w:rsidR="00552B8F" w:rsidRPr="00FC07BC" w:rsidSect="00552B8F">
      <w:head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A83" w:rsidRDefault="009C3A83" w:rsidP="00552B8F">
      <w:pPr>
        <w:spacing w:after="0" w:line="240" w:lineRule="auto"/>
      </w:pPr>
      <w:r>
        <w:separator/>
      </w:r>
    </w:p>
  </w:endnote>
  <w:endnote w:type="continuationSeparator" w:id="0">
    <w:p w:rsidR="009C3A83" w:rsidRDefault="009C3A83" w:rsidP="0055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A83" w:rsidRDefault="009C3A83" w:rsidP="00552B8F">
      <w:pPr>
        <w:spacing w:after="0" w:line="240" w:lineRule="auto"/>
      </w:pPr>
      <w:r>
        <w:separator/>
      </w:r>
    </w:p>
  </w:footnote>
  <w:footnote w:type="continuationSeparator" w:id="0">
    <w:p w:rsidR="009C3A83" w:rsidRDefault="009C3A83" w:rsidP="00552B8F">
      <w:pPr>
        <w:spacing w:after="0" w:line="240" w:lineRule="auto"/>
      </w:pPr>
      <w:r>
        <w:continuationSeparator/>
      </w:r>
    </w:p>
  </w:footnote>
  <w:footnote w:id="1">
    <w:p w:rsidR="0071465E" w:rsidRPr="008F3308" w:rsidRDefault="0071465E" w:rsidP="008F3308">
      <w:pPr>
        <w:spacing w:after="0" w:line="240" w:lineRule="auto"/>
        <w:jc w:val="both"/>
        <w:rPr>
          <w:rFonts w:ascii="Arial" w:hAnsi="Arial" w:cs="Arial"/>
          <w:sz w:val="20"/>
          <w:szCs w:val="20"/>
        </w:rPr>
      </w:pPr>
      <w:r w:rsidRPr="008F3308">
        <w:rPr>
          <w:rStyle w:val="FootnoteReference"/>
          <w:rFonts w:ascii="Arial" w:hAnsi="Arial" w:cs="Arial"/>
          <w:sz w:val="20"/>
          <w:szCs w:val="20"/>
        </w:rPr>
        <w:footnoteRef/>
      </w:r>
      <w:r w:rsidR="00DF2882">
        <w:rPr>
          <w:rFonts w:ascii="Arial" w:hAnsi="Arial" w:cs="Arial"/>
          <w:sz w:val="20"/>
          <w:szCs w:val="20"/>
        </w:rPr>
        <w:t xml:space="preserve"> </w:t>
      </w:r>
      <w:r w:rsidRPr="008F3308">
        <w:rPr>
          <w:rFonts w:ascii="Arial" w:hAnsi="Arial" w:cs="Arial"/>
          <w:i/>
          <w:sz w:val="20"/>
          <w:szCs w:val="20"/>
        </w:rPr>
        <w:t>See Trans-Drakensberg Bank Ltd (under Judicial Management) v Combined Engineering (Pty) Ltd</w:t>
      </w:r>
      <w:r w:rsidRPr="008F3308">
        <w:rPr>
          <w:rFonts w:ascii="Arial" w:hAnsi="Arial" w:cs="Arial"/>
          <w:sz w:val="20"/>
          <w:szCs w:val="20"/>
        </w:rPr>
        <w:t xml:space="preserve"> 1967 (3) SA 632 (D) at 638H-639C; </w:t>
      </w:r>
      <w:r w:rsidRPr="008F3308">
        <w:rPr>
          <w:rFonts w:ascii="Arial" w:hAnsi="Arial" w:cs="Arial"/>
          <w:i/>
          <w:sz w:val="20"/>
          <w:szCs w:val="20"/>
        </w:rPr>
        <w:t>Amod v S</w:t>
      </w:r>
      <w:r>
        <w:rPr>
          <w:rFonts w:ascii="Arial" w:hAnsi="Arial" w:cs="Arial"/>
          <w:i/>
          <w:sz w:val="20"/>
          <w:szCs w:val="20"/>
        </w:rPr>
        <w:t>outh African</w:t>
      </w:r>
      <w:r w:rsidRPr="008F3308">
        <w:rPr>
          <w:rFonts w:ascii="Arial" w:hAnsi="Arial" w:cs="Arial"/>
          <w:i/>
          <w:sz w:val="20"/>
          <w:szCs w:val="20"/>
        </w:rPr>
        <w:t xml:space="preserve"> Mutual Fire </w:t>
      </w:r>
      <w:r>
        <w:rPr>
          <w:rFonts w:ascii="Arial" w:hAnsi="Arial" w:cs="Arial"/>
          <w:i/>
          <w:sz w:val="20"/>
          <w:szCs w:val="20"/>
        </w:rPr>
        <w:t>and</w:t>
      </w:r>
      <w:r w:rsidRPr="008F3308">
        <w:rPr>
          <w:rFonts w:ascii="Arial" w:hAnsi="Arial" w:cs="Arial"/>
          <w:i/>
          <w:sz w:val="20"/>
          <w:szCs w:val="20"/>
        </w:rPr>
        <w:t xml:space="preserve"> General Insurance Co Ltd</w:t>
      </w:r>
      <w:r w:rsidRPr="008F3308">
        <w:rPr>
          <w:rFonts w:ascii="Arial" w:hAnsi="Arial" w:cs="Arial"/>
          <w:sz w:val="20"/>
          <w:szCs w:val="20"/>
        </w:rPr>
        <w:t xml:space="preserve"> 1971 (2) SA 611 (N) at 61</w:t>
      </w:r>
      <w:r>
        <w:rPr>
          <w:rFonts w:ascii="Arial" w:hAnsi="Arial" w:cs="Arial"/>
          <w:sz w:val="20"/>
          <w:szCs w:val="20"/>
        </w:rPr>
        <w:t>4</w:t>
      </w:r>
      <w:r w:rsidRPr="008F3308">
        <w:rPr>
          <w:rFonts w:ascii="Arial" w:hAnsi="Arial" w:cs="Arial"/>
          <w:sz w:val="20"/>
          <w:szCs w:val="20"/>
        </w:rPr>
        <w:t>A</w:t>
      </w:r>
      <w:r w:rsidR="00FB2E83">
        <w:rPr>
          <w:rFonts w:ascii="Arial" w:hAnsi="Arial" w:cs="Arial"/>
          <w:sz w:val="20"/>
          <w:szCs w:val="20"/>
        </w:rPr>
        <w:t>-B</w:t>
      </w:r>
      <w:r w:rsidRPr="008F3308">
        <w:rPr>
          <w:rFonts w:ascii="Arial" w:hAnsi="Arial" w:cs="Arial"/>
          <w:sz w:val="20"/>
          <w:szCs w:val="20"/>
        </w:rPr>
        <w:t>.</w:t>
      </w:r>
    </w:p>
  </w:footnote>
  <w:footnote w:id="2">
    <w:p w:rsidR="0071465E" w:rsidRPr="008F3308" w:rsidRDefault="0071465E" w:rsidP="008F3308">
      <w:pPr>
        <w:spacing w:after="0" w:line="240" w:lineRule="auto"/>
        <w:jc w:val="both"/>
        <w:rPr>
          <w:lang w:val="en-GB"/>
        </w:rPr>
      </w:pPr>
      <w:r w:rsidRPr="008F3308">
        <w:rPr>
          <w:rStyle w:val="FootnoteReference"/>
          <w:rFonts w:ascii="Arial" w:hAnsi="Arial" w:cs="Arial"/>
          <w:sz w:val="20"/>
          <w:szCs w:val="20"/>
        </w:rPr>
        <w:footnoteRef/>
      </w:r>
      <w:r w:rsidRPr="008F3308">
        <w:rPr>
          <w:rFonts w:ascii="Arial" w:hAnsi="Arial" w:cs="Arial"/>
          <w:sz w:val="20"/>
          <w:szCs w:val="20"/>
        </w:rPr>
        <w:t xml:space="preserve"> </w:t>
      </w:r>
      <w:r w:rsidRPr="008F3308">
        <w:rPr>
          <w:rFonts w:ascii="Arial" w:hAnsi="Arial" w:cs="Arial"/>
          <w:i/>
          <w:sz w:val="20"/>
          <w:szCs w:val="20"/>
        </w:rPr>
        <w:t xml:space="preserve">Paddock </w:t>
      </w:r>
      <w:r w:rsidRPr="00897976">
        <w:rPr>
          <w:rFonts w:ascii="Arial" w:hAnsi="Arial" w:cs="Arial"/>
          <w:i/>
          <w:sz w:val="20"/>
          <w:szCs w:val="20"/>
        </w:rPr>
        <w:t>Motors</w:t>
      </w:r>
      <w:r w:rsidRPr="008F3308">
        <w:rPr>
          <w:rFonts w:ascii="Arial" w:hAnsi="Arial" w:cs="Arial"/>
          <w:i/>
          <w:sz w:val="20"/>
          <w:szCs w:val="20"/>
        </w:rPr>
        <w:t xml:space="preserve"> (Pty) Ltd v Igesund</w:t>
      </w:r>
      <w:r w:rsidRPr="008F3308">
        <w:rPr>
          <w:rFonts w:ascii="Arial" w:hAnsi="Arial" w:cs="Arial"/>
          <w:sz w:val="20"/>
          <w:szCs w:val="20"/>
        </w:rPr>
        <w:t xml:space="preserve"> 1976 (3) SA 16 (A)</w:t>
      </w:r>
      <w:r>
        <w:rPr>
          <w:rFonts w:ascii="Arial" w:hAnsi="Arial" w:cs="Arial"/>
          <w:sz w:val="20"/>
          <w:szCs w:val="20"/>
        </w:rPr>
        <w:t>.</w:t>
      </w:r>
    </w:p>
  </w:footnote>
  <w:footnote w:id="3">
    <w:p w:rsidR="0071465E" w:rsidRPr="00897976" w:rsidRDefault="0071465E" w:rsidP="00897976">
      <w:pPr>
        <w:pStyle w:val="FootnoteText"/>
        <w:jc w:val="both"/>
        <w:rPr>
          <w:rFonts w:ascii="Arial" w:hAnsi="Arial" w:cs="Arial"/>
        </w:rPr>
      </w:pPr>
      <w:r w:rsidRPr="00897976">
        <w:rPr>
          <w:rStyle w:val="FootnoteReference"/>
          <w:rFonts w:ascii="Arial" w:hAnsi="Arial" w:cs="Arial"/>
        </w:rPr>
        <w:footnoteRef/>
      </w:r>
      <w:r w:rsidRPr="00897976">
        <w:rPr>
          <w:rFonts w:ascii="Arial" w:hAnsi="Arial" w:cs="Arial"/>
        </w:rPr>
        <w:t xml:space="preserve"> Ibid at 24F-G.</w:t>
      </w:r>
    </w:p>
  </w:footnote>
  <w:footnote w:id="4">
    <w:p w:rsidR="0071465E" w:rsidRPr="008F3308" w:rsidRDefault="0071465E" w:rsidP="008F3308">
      <w:pPr>
        <w:pStyle w:val="FootnoteText"/>
        <w:jc w:val="both"/>
        <w:rPr>
          <w:rFonts w:ascii="Arial" w:hAnsi="Arial" w:cs="Arial"/>
          <w:lang w:val="en-GB"/>
        </w:rPr>
      </w:pPr>
      <w:r w:rsidRPr="008F3308">
        <w:rPr>
          <w:rStyle w:val="FootnoteReference"/>
          <w:rFonts w:ascii="Arial" w:hAnsi="Arial" w:cs="Arial"/>
        </w:rPr>
        <w:footnoteRef/>
      </w:r>
      <w:r w:rsidRPr="008F3308">
        <w:rPr>
          <w:rFonts w:ascii="Arial" w:hAnsi="Arial" w:cs="Arial"/>
        </w:rPr>
        <w:t xml:space="preserve"> See </w:t>
      </w:r>
      <w:r w:rsidRPr="008F3308">
        <w:rPr>
          <w:rFonts w:ascii="Arial" w:hAnsi="Arial" w:cs="Arial"/>
          <w:i/>
        </w:rPr>
        <w:t>President-Versekeringsmaatskappy Bpk v Moodley</w:t>
      </w:r>
      <w:r w:rsidRPr="008F3308">
        <w:rPr>
          <w:rFonts w:ascii="Arial" w:hAnsi="Arial" w:cs="Arial"/>
        </w:rPr>
        <w:t xml:space="preserve"> 1964 (4) SA 109 (T) at 110H-111A.</w:t>
      </w:r>
    </w:p>
  </w:footnote>
  <w:footnote w:id="5">
    <w:p w:rsidR="0071465E" w:rsidRPr="00B102F5" w:rsidRDefault="0071465E" w:rsidP="00B102F5">
      <w:pPr>
        <w:pStyle w:val="FootnoteText"/>
        <w:jc w:val="both"/>
        <w:rPr>
          <w:rFonts w:ascii="Arial" w:hAnsi="Arial" w:cs="Arial"/>
          <w:lang w:val="en-GB"/>
        </w:rPr>
      </w:pPr>
      <w:r w:rsidRPr="00B102F5">
        <w:rPr>
          <w:rStyle w:val="FootnoteReference"/>
          <w:rFonts w:ascii="Arial" w:hAnsi="Arial" w:cs="Arial"/>
        </w:rPr>
        <w:footnoteRef/>
      </w:r>
      <w:r w:rsidRPr="00B102F5">
        <w:rPr>
          <w:rFonts w:ascii="Arial" w:hAnsi="Arial" w:cs="Arial"/>
        </w:rPr>
        <w:t xml:space="preserve"> See </w:t>
      </w:r>
      <w:r w:rsidRPr="00B102F5">
        <w:rPr>
          <w:rFonts w:ascii="Arial" w:hAnsi="Arial" w:cs="Arial"/>
          <w:i/>
        </w:rPr>
        <w:t>W v W</w:t>
      </w:r>
      <w:r w:rsidRPr="00B102F5">
        <w:rPr>
          <w:rFonts w:ascii="Arial" w:hAnsi="Arial" w:cs="Arial"/>
        </w:rPr>
        <w:t xml:space="preserve"> [2016] ZAGPPHC 812 para</w:t>
      </w:r>
      <w:r w:rsidR="007C68D6" w:rsidRPr="00B102F5">
        <w:rPr>
          <w:rFonts w:ascii="Arial" w:hAnsi="Arial" w:cs="Arial"/>
        </w:rPr>
        <w:t>s</w:t>
      </w:r>
      <w:r w:rsidRPr="00B102F5">
        <w:rPr>
          <w:rFonts w:ascii="Arial" w:hAnsi="Arial" w:cs="Arial"/>
        </w:rPr>
        <w:t xml:space="preserve"> 20</w:t>
      </w:r>
      <w:r w:rsidR="007C68D6" w:rsidRPr="00B102F5">
        <w:rPr>
          <w:rFonts w:ascii="Arial" w:hAnsi="Arial" w:cs="Arial"/>
        </w:rPr>
        <w:t>-21</w:t>
      </w:r>
      <w:r w:rsidRPr="00B102F5">
        <w:rPr>
          <w:rFonts w:ascii="Arial" w:hAnsi="Arial" w:cs="Arial"/>
        </w:rPr>
        <w:t>.</w:t>
      </w:r>
    </w:p>
  </w:footnote>
  <w:footnote w:id="6">
    <w:p w:rsidR="0071465E" w:rsidRPr="00B102F5" w:rsidRDefault="0071465E" w:rsidP="00B102F5">
      <w:pPr>
        <w:pStyle w:val="FootnoteText"/>
        <w:jc w:val="both"/>
        <w:rPr>
          <w:rFonts w:ascii="Arial" w:hAnsi="Arial" w:cs="Arial"/>
          <w:lang w:val="en-GB"/>
        </w:rPr>
      </w:pPr>
      <w:r w:rsidRPr="00B102F5">
        <w:rPr>
          <w:rStyle w:val="FootnoteReference"/>
          <w:rFonts w:ascii="Arial" w:hAnsi="Arial" w:cs="Arial"/>
        </w:rPr>
        <w:footnoteRef/>
      </w:r>
      <w:r w:rsidRPr="00B102F5">
        <w:rPr>
          <w:rFonts w:ascii="Arial" w:hAnsi="Arial" w:cs="Arial"/>
        </w:rPr>
        <w:t xml:space="preserve"> </w:t>
      </w:r>
      <w:r w:rsidRPr="00B102F5">
        <w:rPr>
          <w:rFonts w:ascii="Arial" w:hAnsi="Arial" w:cs="Arial"/>
          <w:i/>
        </w:rPr>
        <w:t>CC v CM</w:t>
      </w:r>
      <w:r w:rsidRPr="00B102F5">
        <w:rPr>
          <w:rFonts w:ascii="Arial" w:hAnsi="Arial" w:cs="Arial"/>
        </w:rPr>
        <w:t xml:space="preserve"> 2014 (2) SA 430 (GJ).</w:t>
      </w:r>
    </w:p>
  </w:footnote>
  <w:footnote w:id="7">
    <w:p w:rsidR="00B102F5" w:rsidRDefault="00B102F5" w:rsidP="00B102F5">
      <w:pPr>
        <w:pStyle w:val="FootnoteText"/>
        <w:jc w:val="both"/>
      </w:pPr>
      <w:r w:rsidRPr="00B102F5">
        <w:rPr>
          <w:rStyle w:val="FootnoteReference"/>
          <w:rFonts w:ascii="Arial" w:hAnsi="Arial" w:cs="Arial"/>
        </w:rPr>
        <w:footnoteRef/>
      </w:r>
      <w:r w:rsidRPr="00B102F5">
        <w:rPr>
          <w:rFonts w:ascii="Arial" w:hAnsi="Arial" w:cs="Arial"/>
        </w:rPr>
        <w:t xml:space="preserve"> Ibid para 39</w:t>
      </w:r>
      <w:r>
        <w:t>.</w:t>
      </w:r>
    </w:p>
  </w:footnote>
  <w:footnote w:id="8">
    <w:p w:rsidR="0071465E" w:rsidRPr="008F3308" w:rsidRDefault="0071465E" w:rsidP="008F3308">
      <w:pPr>
        <w:pStyle w:val="FootnoteText"/>
        <w:jc w:val="both"/>
        <w:rPr>
          <w:rFonts w:ascii="Arial" w:hAnsi="Arial" w:cs="Arial"/>
          <w:lang w:val="en-GB"/>
        </w:rPr>
      </w:pPr>
      <w:r w:rsidRPr="008F3308">
        <w:rPr>
          <w:rStyle w:val="FootnoteReference"/>
          <w:rFonts w:ascii="Arial" w:hAnsi="Arial" w:cs="Arial"/>
        </w:rPr>
        <w:footnoteRef/>
      </w:r>
      <w:r w:rsidRPr="008F3308">
        <w:rPr>
          <w:rFonts w:ascii="Arial" w:hAnsi="Arial" w:cs="Arial"/>
        </w:rPr>
        <w:t xml:space="preserve"> </w:t>
      </w:r>
      <w:r w:rsidRPr="008F3308">
        <w:rPr>
          <w:rFonts w:ascii="Arial" w:hAnsi="Arial" w:cs="Arial"/>
          <w:i/>
        </w:rPr>
        <w:t>S</w:t>
      </w:r>
      <w:r>
        <w:rPr>
          <w:rFonts w:ascii="Arial" w:hAnsi="Arial" w:cs="Arial"/>
          <w:i/>
        </w:rPr>
        <w:t>c</w:t>
      </w:r>
      <w:r w:rsidRPr="008F3308">
        <w:rPr>
          <w:rFonts w:ascii="Arial" w:hAnsi="Arial" w:cs="Arial"/>
          <w:i/>
        </w:rPr>
        <w:t>hwartz v S</w:t>
      </w:r>
      <w:r>
        <w:rPr>
          <w:rFonts w:ascii="Arial" w:hAnsi="Arial" w:cs="Arial"/>
          <w:i/>
        </w:rPr>
        <w:t>c</w:t>
      </w:r>
      <w:r w:rsidRPr="008F3308">
        <w:rPr>
          <w:rFonts w:ascii="Arial" w:hAnsi="Arial" w:cs="Arial"/>
          <w:i/>
        </w:rPr>
        <w:t>hwartz</w:t>
      </w:r>
      <w:r w:rsidRPr="008F3308">
        <w:rPr>
          <w:rFonts w:ascii="Arial" w:hAnsi="Arial" w:cs="Arial"/>
        </w:rPr>
        <w:t xml:space="preserve"> 19</w:t>
      </w:r>
      <w:r>
        <w:rPr>
          <w:rFonts w:ascii="Arial" w:hAnsi="Arial" w:cs="Arial"/>
        </w:rPr>
        <w:t>8</w:t>
      </w:r>
      <w:r w:rsidRPr="008F3308">
        <w:rPr>
          <w:rFonts w:ascii="Arial" w:hAnsi="Arial" w:cs="Arial"/>
        </w:rPr>
        <w:t>4 (4) SA 467 (A) at 472E-475D.</w:t>
      </w:r>
    </w:p>
  </w:footnote>
  <w:footnote w:id="9">
    <w:p w:rsidR="0071465E" w:rsidRPr="008F3308" w:rsidRDefault="0071465E" w:rsidP="008F3308">
      <w:pPr>
        <w:pStyle w:val="FootnoteText"/>
        <w:jc w:val="both"/>
        <w:rPr>
          <w:rFonts w:ascii="Arial" w:hAnsi="Arial" w:cs="Arial"/>
        </w:rPr>
      </w:pPr>
      <w:r w:rsidRPr="008F3308">
        <w:rPr>
          <w:rStyle w:val="FootnoteReference"/>
          <w:rFonts w:ascii="Arial" w:hAnsi="Arial" w:cs="Arial"/>
        </w:rPr>
        <w:footnoteRef/>
      </w:r>
      <w:r w:rsidRPr="008F3308">
        <w:rPr>
          <w:rFonts w:ascii="Arial" w:hAnsi="Arial" w:cs="Arial"/>
        </w:rPr>
        <w:t xml:space="preserve"> </w:t>
      </w:r>
      <w:r w:rsidRPr="00007B85">
        <w:rPr>
          <w:rFonts w:ascii="Arial" w:hAnsi="Arial" w:cs="Arial"/>
        </w:rPr>
        <w:t xml:space="preserve">See </w:t>
      </w:r>
      <w:r w:rsidRPr="008F3308">
        <w:rPr>
          <w:rFonts w:ascii="Arial" w:hAnsi="Arial" w:cs="Arial"/>
          <w:i/>
        </w:rPr>
        <w:t>W v W</w:t>
      </w:r>
      <w:r w:rsidRPr="008F3308">
        <w:rPr>
          <w:rFonts w:ascii="Arial" w:hAnsi="Arial" w:cs="Arial"/>
        </w:rPr>
        <w:t xml:space="preserve"> [2016] ZAGPPHC 812 para 1</w:t>
      </w:r>
      <w:r w:rsidR="00BA094D">
        <w:rPr>
          <w:rFonts w:ascii="Arial" w:hAnsi="Arial" w:cs="Arial"/>
        </w:rPr>
        <w:t>1</w:t>
      </w:r>
      <w:r w:rsidRPr="008F3308">
        <w:rPr>
          <w:rFonts w:ascii="Arial" w:hAnsi="Arial" w:cs="Arial"/>
        </w:rPr>
        <w:t xml:space="preserve">. </w:t>
      </w:r>
    </w:p>
  </w:footnote>
  <w:footnote w:id="10">
    <w:p w:rsidR="0071465E" w:rsidRPr="008F3308" w:rsidRDefault="0071465E" w:rsidP="008F3308">
      <w:pPr>
        <w:pStyle w:val="FootnoteText"/>
        <w:jc w:val="both"/>
        <w:rPr>
          <w:lang w:val="en-GB"/>
        </w:rPr>
      </w:pPr>
      <w:r w:rsidRPr="008F3308">
        <w:rPr>
          <w:rStyle w:val="FootnoteReference"/>
          <w:rFonts w:ascii="Arial" w:hAnsi="Arial" w:cs="Arial"/>
        </w:rPr>
        <w:footnoteRef/>
      </w:r>
      <w:r w:rsidRPr="008F3308">
        <w:rPr>
          <w:rFonts w:ascii="Arial" w:hAnsi="Arial" w:cs="Arial"/>
        </w:rPr>
        <w:t xml:space="preserve"> </w:t>
      </w:r>
      <w:r w:rsidRPr="008F3308">
        <w:rPr>
          <w:rFonts w:ascii="Arial" w:hAnsi="Arial" w:cs="Arial"/>
          <w:i/>
        </w:rPr>
        <w:t>K</w:t>
      </w:r>
      <w:r w:rsidR="00853825">
        <w:rPr>
          <w:rFonts w:ascii="Arial" w:hAnsi="Arial" w:cs="Arial"/>
          <w:i/>
        </w:rPr>
        <w:t xml:space="preserve"> </w:t>
      </w:r>
      <w:r w:rsidRPr="008F3308">
        <w:rPr>
          <w:rFonts w:ascii="Arial" w:hAnsi="Arial" w:cs="Arial"/>
          <w:i/>
        </w:rPr>
        <w:t>O v M</w:t>
      </w:r>
      <w:r w:rsidR="00853825">
        <w:rPr>
          <w:rFonts w:ascii="Arial" w:hAnsi="Arial" w:cs="Arial"/>
          <w:i/>
        </w:rPr>
        <w:t xml:space="preserve"> </w:t>
      </w:r>
      <w:r w:rsidRPr="008F3308">
        <w:rPr>
          <w:rFonts w:ascii="Arial" w:hAnsi="Arial" w:cs="Arial"/>
          <w:i/>
        </w:rPr>
        <w:t>O</w:t>
      </w:r>
      <w:r w:rsidRPr="008F3308">
        <w:rPr>
          <w:rFonts w:ascii="Arial" w:hAnsi="Arial" w:cs="Arial"/>
        </w:rPr>
        <w:t xml:space="preserve"> [2017] ZAWCHC 136</w:t>
      </w:r>
      <w:r>
        <w:rPr>
          <w:rFonts w:ascii="Arial" w:hAnsi="Arial" w:cs="Arial"/>
        </w:rPr>
        <w:t>.</w:t>
      </w:r>
    </w:p>
  </w:footnote>
  <w:footnote w:id="11">
    <w:p w:rsidR="0071465E" w:rsidRPr="008F3308" w:rsidRDefault="0071465E" w:rsidP="0062515C">
      <w:pPr>
        <w:pStyle w:val="FootnoteText"/>
        <w:jc w:val="both"/>
        <w:rPr>
          <w:rFonts w:ascii="Arial" w:hAnsi="Arial" w:cs="Arial"/>
          <w:lang w:val="en-GB"/>
        </w:rPr>
      </w:pPr>
      <w:r w:rsidRPr="008F3308">
        <w:rPr>
          <w:rStyle w:val="FootnoteReference"/>
          <w:rFonts w:ascii="Arial" w:hAnsi="Arial" w:cs="Arial"/>
        </w:rPr>
        <w:footnoteRef/>
      </w:r>
      <w:r w:rsidRPr="008F3308">
        <w:rPr>
          <w:rFonts w:ascii="Arial" w:hAnsi="Arial" w:cs="Arial"/>
        </w:rPr>
        <w:t xml:space="preserve"> </w:t>
      </w:r>
      <w:r w:rsidRPr="008F3308">
        <w:rPr>
          <w:rFonts w:ascii="Arial" w:hAnsi="Arial" w:cs="Arial"/>
          <w:i/>
        </w:rPr>
        <w:t>Schutte v Schutte</w:t>
      </w:r>
      <w:r w:rsidRPr="008F3308">
        <w:rPr>
          <w:rFonts w:ascii="Arial" w:hAnsi="Arial" w:cs="Arial"/>
        </w:rPr>
        <w:t xml:space="preserve"> 1986 (1) SA 872 (A).</w:t>
      </w:r>
    </w:p>
  </w:footnote>
  <w:footnote w:id="12">
    <w:p w:rsidR="0071465E" w:rsidRPr="008F3308" w:rsidRDefault="0071465E" w:rsidP="008F3308">
      <w:pPr>
        <w:pStyle w:val="FootnoteText"/>
        <w:jc w:val="both"/>
        <w:rPr>
          <w:rFonts w:ascii="Arial" w:hAnsi="Arial" w:cs="Arial"/>
          <w:lang w:val="en-GB"/>
        </w:rPr>
      </w:pPr>
      <w:r w:rsidRPr="008F3308">
        <w:rPr>
          <w:rStyle w:val="FootnoteReference"/>
          <w:rFonts w:ascii="Arial" w:hAnsi="Arial" w:cs="Arial"/>
        </w:rPr>
        <w:footnoteRef/>
      </w:r>
      <w:r w:rsidRPr="008F3308">
        <w:rPr>
          <w:rFonts w:ascii="Arial" w:hAnsi="Arial" w:cs="Arial"/>
        </w:rPr>
        <w:t xml:space="preserve"> Divorce Act 70 of 1979.</w:t>
      </w:r>
    </w:p>
  </w:footnote>
  <w:footnote w:id="13">
    <w:p w:rsidR="0071465E" w:rsidRPr="008F3308" w:rsidRDefault="0071465E" w:rsidP="008F3308">
      <w:pPr>
        <w:pStyle w:val="FootnoteText"/>
        <w:jc w:val="both"/>
        <w:rPr>
          <w:rFonts w:ascii="Arial" w:hAnsi="Arial" w:cs="Arial"/>
          <w:lang w:val="en-GB"/>
        </w:rPr>
      </w:pPr>
      <w:r w:rsidRPr="008F3308">
        <w:rPr>
          <w:rStyle w:val="FootnoteReference"/>
          <w:rFonts w:ascii="Arial" w:hAnsi="Arial" w:cs="Arial"/>
        </w:rPr>
        <w:footnoteRef/>
      </w:r>
      <w:r w:rsidRPr="008F3308">
        <w:rPr>
          <w:rFonts w:ascii="Arial" w:hAnsi="Arial" w:cs="Arial"/>
        </w:rPr>
        <w:t xml:space="preserve"> </w:t>
      </w:r>
      <w:r w:rsidRPr="008F3308">
        <w:rPr>
          <w:rFonts w:ascii="Arial" w:hAnsi="Arial" w:cs="Arial"/>
          <w:i/>
        </w:rPr>
        <w:t>De Wet and Others v Memor (Pty) Ltd</w:t>
      </w:r>
      <w:r w:rsidRPr="008F3308">
        <w:rPr>
          <w:rFonts w:ascii="Arial" w:hAnsi="Arial" w:cs="Arial"/>
        </w:rPr>
        <w:t xml:space="preserve"> [201</w:t>
      </w:r>
      <w:r w:rsidR="00007B85">
        <w:rPr>
          <w:rFonts w:ascii="Arial" w:hAnsi="Arial" w:cs="Arial"/>
        </w:rPr>
        <w:t>1</w:t>
      </w:r>
      <w:r w:rsidRPr="008F3308">
        <w:rPr>
          <w:rFonts w:ascii="Arial" w:hAnsi="Arial" w:cs="Arial"/>
        </w:rPr>
        <w:t>] ZAGPJHC 188.</w:t>
      </w:r>
    </w:p>
  </w:footnote>
  <w:footnote w:id="14">
    <w:p w:rsidR="0071465E" w:rsidRPr="008F3308" w:rsidRDefault="0071465E" w:rsidP="008F3308">
      <w:pPr>
        <w:pStyle w:val="FootnoteText"/>
        <w:jc w:val="both"/>
        <w:rPr>
          <w:rFonts w:ascii="Arial" w:hAnsi="Arial" w:cs="Arial"/>
          <w:lang w:val="en-GB"/>
        </w:rPr>
      </w:pPr>
      <w:r w:rsidRPr="008F3308">
        <w:rPr>
          <w:rStyle w:val="FootnoteReference"/>
          <w:rFonts w:ascii="Arial" w:hAnsi="Arial" w:cs="Arial"/>
        </w:rPr>
        <w:footnoteRef/>
      </w:r>
      <w:r w:rsidRPr="008F3308">
        <w:rPr>
          <w:rFonts w:ascii="Arial" w:hAnsi="Arial" w:cs="Arial"/>
        </w:rPr>
        <w:t xml:space="preserve"> </w:t>
      </w:r>
      <w:r w:rsidRPr="001A6702">
        <w:rPr>
          <w:rFonts w:ascii="Arial" w:hAnsi="Arial" w:cs="Arial"/>
          <w:i/>
        </w:rPr>
        <w:t>G T K</w:t>
      </w:r>
      <w:r w:rsidRPr="008F3308">
        <w:rPr>
          <w:rFonts w:ascii="Arial" w:hAnsi="Arial" w:cs="Arial"/>
          <w:i/>
        </w:rPr>
        <w:t xml:space="preserve"> v N M</w:t>
      </w:r>
      <w:r w:rsidRPr="008F3308">
        <w:rPr>
          <w:rFonts w:ascii="Arial" w:hAnsi="Arial" w:cs="Arial"/>
        </w:rPr>
        <w:t xml:space="preserve"> [2023] ZAGPJHC 418</w:t>
      </w:r>
      <w:r>
        <w:rPr>
          <w:rFonts w:ascii="Arial" w:hAnsi="Arial" w:cs="Arial"/>
        </w:rPr>
        <w:t xml:space="preserve">; </w:t>
      </w:r>
      <w:r w:rsidRPr="009B5973">
        <w:rPr>
          <w:rFonts w:ascii="Arial" w:hAnsi="Arial" w:cs="Arial"/>
        </w:rPr>
        <w:t>2023 JDR 1347 (GJ) para</w:t>
      </w:r>
      <w:r w:rsidRPr="008F3308">
        <w:rPr>
          <w:rFonts w:ascii="Arial" w:hAnsi="Arial" w:cs="Arial"/>
        </w:rPr>
        <w:t xml:space="preserve"> 42.</w:t>
      </w:r>
      <w:r w:rsidR="00C9016C">
        <w:rPr>
          <w:rFonts w:ascii="Arial" w:hAnsi="Arial" w:cs="Arial"/>
        </w:rPr>
        <w:t>9.</w:t>
      </w:r>
    </w:p>
  </w:footnote>
  <w:footnote w:id="15">
    <w:p w:rsidR="0071465E" w:rsidRPr="009B5973" w:rsidRDefault="0071465E" w:rsidP="009B5973">
      <w:pPr>
        <w:pStyle w:val="FootnoteText"/>
        <w:jc w:val="both"/>
        <w:rPr>
          <w:rFonts w:ascii="Arial" w:hAnsi="Arial" w:cs="Arial"/>
        </w:rPr>
      </w:pPr>
      <w:r w:rsidRPr="009B5973">
        <w:rPr>
          <w:rStyle w:val="FootnoteReference"/>
          <w:rFonts w:ascii="Arial" w:hAnsi="Arial" w:cs="Arial"/>
        </w:rPr>
        <w:footnoteRef/>
      </w:r>
      <w:r w:rsidRPr="009B5973">
        <w:rPr>
          <w:rFonts w:ascii="Arial" w:hAnsi="Arial" w:cs="Arial"/>
        </w:rPr>
        <w:t xml:space="preserve"> </w:t>
      </w:r>
      <w:r w:rsidRPr="009B5973">
        <w:rPr>
          <w:rFonts w:ascii="Arial" w:hAnsi="Arial" w:cs="Arial"/>
          <w:i/>
        </w:rPr>
        <w:t>Schutte v Schutte</w:t>
      </w:r>
      <w:r w:rsidRPr="009B5973">
        <w:rPr>
          <w:rFonts w:ascii="Arial" w:hAnsi="Arial" w:cs="Arial"/>
        </w:rPr>
        <w:t xml:space="preserve"> 1986 (1) SA 872 (A).</w:t>
      </w:r>
    </w:p>
  </w:footnote>
  <w:footnote w:id="16">
    <w:p w:rsidR="0061277D" w:rsidRPr="00712FE3" w:rsidRDefault="0061277D" w:rsidP="0061277D">
      <w:pPr>
        <w:pStyle w:val="FootnoteText"/>
        <w:jc w:val="both"/>
        <w:rPr>
          <w:rFonts w:ascii="Arial" w:hAnsi="Arial" w:cs="Arial"/>
        </w:rPr>
      </w:pPr>
      <w:r w:rsidRPr="00712FE3">
        <w:rPr>
          <w:rStyle w:val="FootnoteReference"/>
          <w:rFonts w:ascii="Arial" w:hAnsi="Arial" w:cs="Arial"/>
        </w:rPr>
        <w:footnoteRef/>
      </w:r>
      <w:r w:rsidRPr="00712FE3">
        <w:rPr>
          <w:rFonts w:ascii="Arial" w:hAnsi="Arial" w:cs="Arial"/>
        </w:rPr>
        <w:t xml:space="preserve"> </w:t>
      </w:r>
      <w:r w:rsidRPr="00712FE3">
        <w:rPr>
          <w:rFonts w:ascii="Arial" w:hAnsi="Arial" w:cs="Arial"/>
          <w:i/>
        </w:rPr>
        <w:t>CC v CM</w:t>
      </w:r>
      <w:r w:rsidRPr="00712FE3">
        <w:rPr>
          <w:rFonts w:ascii="Arial" w:hAnsi="Arial" w:cs="Arial"/>
        </w:rPr>
        <w:t xml:space="preserve"> 2014 (2) SA 430 (GJ).</w:t>
      </w:r>
    </w:p>
  </w:footnote>
  <w:footnote w:id="17">
    <w:p w:rsidR="0071465E" w:rsidRPr="009B5973" w:rsidRDefault="0071465E" w:rsidP="009B5973">
      <w:pPr>
        <w:pStyle w:val="FootnoteText"/>
        <w:jc w:val="both"/>
        <w:rPr>
          <w:rFonts w:ascii="Arial" w:hAnsi="Arial" w:cs="Arial"/>
          <w:lang w:val="en-GB"/>
        </w:rPr>
      </w:pPr>
      <w:r w:rsidRPr="009B5973">
        <w:rPr>
          <w:rStyle w:val="FootnoteReference"/>
          <w:rFonts w:ascii="Arial" w:hAnsi="Arial" w:cs="Arial"/>
        </w:rPr>
        <w:footnoteRef/>
      </w:r>
      <w:r w:rsidRPr="009B5973">
        <w:rPr>
          <w:rFonts w:ascii="Arial" w:hAnsi="Arial" w:cs="Arial"/>
        </w:rPr>
        <w:t xml:space="preserve"> </w:t>
      </w:r>
      <w:r w:rsidRPr="009B5973">
        <w:rPr>
          <w:rFonts w:ascii="Arial" w:hAnsi="Arial" w:cs="Arial"/>
          <w:i/>
        </w:rPr>
        <w:t>NK v KM</w:t>
      </w:r>
      <w:r w:rsidRPr="009B5973">
        <w:rPr>
          <w:rFonts w:ascii="Arial" w:hAnsi="Arial" w:cs="Arial"/>
        </w:rPr>
        <w:t xml:space="preserve"> 2019 (3) SA 571 (GJ).</w:t>
      </w:r>
    </w:p>
  </w:footnote>
  <w:footnote w:id="18">
    <w:p w:rsidR="0071465E" w:rsidRPr="00620055" w:rsidRDefault="0071465E" w:rsidP="00712FE3">
      <w:pPr>
        <w:pStyle w:val="FootnoteText"/>
        <w:jc w:val="both"/>
        <w:rPr>
          <w:rFonts w:ascii="Arial" w:hAnsi="Arial" w:cs="Arial"/>
          <w:lang w:val="en-GB"/>
        </w:rPr>
      </w:pPr>
      <w:r w:rsidRPr="00712FE3">
        <w:rPr>
          <w:rStyle w:val="FootnoteReference"/>
          <w:rFonts w:ascii="Arial" w:hAnsi="Arial" w:cs="Arial"/>
        </w:rPr>
        <w:footnoteRef/>
      </w:r>
      <w:r w:rsidRPr="00712FE3">
        <w:rPr>
          <w:rFonts w:ascii="Arial" w:hAnsi="Arial" w:cs="Arial"/>
        </w:rPr>
        <w:t xml:space="preserve"> </w:t>
      </w:r>
      <w:r w:rsidRPr="00712FE3">
        <w:rPr>
          <w:rFonts w:ascii="Arial" w:hAnsi="Arial" w:cs="Arial"/>
          <w:i/>
        </w:rPr>
        <w:t>AB v JB</w:t>
      </w:r>
      <w:r w:rsidRPr="00C9016C">
        <w:rPr>
          <w:rFonts w:ascii="Arial" w:hAnsi="Arial" w:cs="Arial"/>
        </w:rPr>
        <w:t xml:space="preserve"> </w:t>
      </w:r>
      <w:r w:rsidR="00C9016C" w:rsidRPr="00C9016C">
        <w:rPr>
          <w:rFonts w:ascii="Arial" w:hAnsi="Arial" w:cs="Arial"/>
          <w:color w:val="000000"/>
        </w:rPr>
        <w:t>[2016] ZASCA 40</w:t>
      </w:r>
      <w:r w:rsidR="00C9016C" w:rsidRPr="00C9016C">
        <w:rPr>
          <w:rFonts w:ascii="Arial" w:hAnsi="Arial" w:cs="Arial"/>
        </w:rPr>
        <w:t xml:space="preserve">; </w:t>
      </w:r>
      <w:r w:rsidRPr="00C9016C">
        <w:rPr>
          <w:rFonts w:ascii="Arial" w:hAnsi="Arial" w:cs="Arial"/>
        </w:rPr>
        <w:t xml:space="preserve">2016 (5) </w:t>
      </w:r>
      <w:r w:rsidRPr="00712FE3">
        <w:rPr>
          <w:rFonts w:ascii="Arial" w:hAnsi="Arial" w:cs="Arial"/>
        </w:rPr>
        <w:t>SA 211 (SCA) paras 18 and 19.</w:t>
      </w:r>
    </w:p>
  </w:footnote>
  <w:footnote w:id="19">
    <w:p w:rsidR="0071465E" w:rsidRPr="0071465E" w:rsidRDefault="0071465E" w:rsidP="0071465E">
      <w:pPr>
        <w:pStyle w:val="FootnoteText"/>
        <w:jc w:val="both"/>
        <w:rPr>
          <w:rFonts w:ascii="Arial" w:hAnsi="Arial" w:cs="Arial"/>
        </w:rPr>
      </w:pPr>
      <w:r w:rsidRPr="0071465E">
        <w:rPr>
          <w:rStyle w:val="FootnoteReference"/>
          <w:rFonts w:ascii="Arial" w:hAnsi="Arial" w:cs="Arial"/>
        </w:rPr>
        <w:footnoteRef/>
      </w:r>
      <w:r w:rsidRPr="0071465E">
        <w:rPr>
          <w:rFonts w:ascii="Arial" w:hAnsi="Arial" w:cs="Arial"/>
        </w:rPr>
        <w:t xml:space="preserve"> </w:t>
      </w:r>
      <w:r w:rsidRPr="0071465E">
        <w:rPr>
          <w:rFonts w:ascii="Arial" w:hAnsi="Arial" w:cs="Arial"/>
          <w:i/>
        </w:rPr>
        <w:t>W v W</w:t>
      </w:r>
      <w:r w:rsidRPr="0071465E">
        <w:rPr>
          <w:rFonts w:ascii="Arial" w:hAnsi="Arial" w:cs="Arial"/>
        </w:rPr>
        <w:t xml:space="preserve"> [2016] ZAGPPHC 812.</w:t>
      </w:r>
    </w:p>
  </w:footnote>
  <w:footnote w:id="20">
    <w:p w:rsidR="0071465E" w:rsidRPr="0071465E" w:rsidRDefault="0071465E" w:rsidP="0071465E">
      <w:pPr>
        <w:pStyle w:val="FootnoteText"/>
        <w:jc w:val="both"/>
        <w:rPr>
          <w:rFonts w:ascii="Arial" w:hAnsi="Arial" w:cs="Arial"/>
        </w:rPr>
      </w:pPr>
      <w:r w:rsidRPr="0071465E">
        <w:rPr>
          <w:rStyle w:val="FootnoteReference"/>
          <w:rFonts w:ascii="Arial" w:hAnsi="Arial" w:cs="Arial"/>
        </w:rPr>
        <w:footnoteRef/>
      </w:r>
      <w:r w:rsidRPr="0071465E">
        <w:rPr>
          <w:rFonts w:ascii="Arial" w:hAnsi="Arial" w:cs="Arial"/>
        </w:rPr>
        <w:t xml:space="preserve"> </w:t>
      </w:r>
      <w:r w:rsidRPr="0071465E">
        <w:rPr>
          <w:rFonts w:ascii="Arial" w:hAnsi="Arial" w:cs="Arial"/>
          <w:i/>
        </w:rPr>
        <w:t>CC v CM</w:t>
      </w:r>
      <w:r w:rsidRPr="0071465E">
        <w:rPr>
          <w:rFonts w:ascii="Arial" w:hAnsi="Arial" w:cs="Arial"/>
        </w:rPr>
        <w:t xml:space="preserve"> 2014 (2) SA 430 (GJ).</w:t>
      </w:r>
    </w:p>
  </w:footnote>
  <w:footnote w:id="21">
    <w:p w:rsidR="0071465E" w:rsidRPr="0071465E" w:rsidRDefault="0071465E" w:rsidP="0071465E">
      <w:pPr>
        <w:pStyle w:val="FootnoteText"/>
        <w:jc w:val="both"/>
        <w:rPr>
          <w:rFonts w:ascii="Arial" w:hAnsi="Arial" w:cs="Arial"/>
        </w:rPr>
      </w:pPr>
      <w:r w:rsidRPr="0071465E">
        <w:rPr>
          <w:rStyle w:val="FootnoteReference"/>
          <w:rFonts w:ascii="Arial" w:hAnsi="Arial" w:cs="Arial"/>
        </w:rPr>
        <w:footnoteRef/>
      </w:r>
      <w:r w:rsidRPr="0071465E">
        <w:rPr>
          <w:rFonts w:ascii="Arial" w:hAnsi="Arial" w:cs="Arial"/>
        </w:rPr>
        <w:t xml:space="preserve"> Ibid para 41.</w:t>
      </w:r>
    </w:p>
  </w:footnote>
  <w:footnote w:id="22">
    <w:p w:rsidR="0071465E" w:rsidRPr="003B4649" w:rsidRDefault="0071465E" w:rsidP="0071465E">
      <w:pPr>
        <w:pStyle w:val="FootnoteText"/>
        <w:jc w:val="both"/>
        <w:rPr>
          <w:rFonts w:ascii="Arial" w:hAnsi="Arial" w:cs="Arial"/>
          <w:lang w:val="en-GB"/>
        </w:rPr>
      </w:pPr>
      <w:r w:rsidRPr="003B4649">
        <w:rPr>
          <w:rStyle w:val="FootnoteReference"/>
          <w:rFonts w:ascii="Arial" w:hAnsi="Arial" w:cs="Arial"/>
        </w:rPr>
        <w:footnoteRef/>
      </w:r>
      <w:r w:rsidRPr="003B4649">
        <w:rPr>
          <w:rFonts w:ascii="Arial" w:hAnsi="Arial" w:cs="Arial"/>
        </w:rPr>
        <w:t xml:space="preserve"> </w:t>
      </w:r>
      <w:r w:rsidRPr="003B4649">
        <w:rPr>
          <w:rFonts w:ascii="Arial" w:hAnsi="Arial" w:cs="Arial"/>
          <w:i/>
        </w:rPr>
        <w:t>Ndaba v Ndaba</w:t>
      </w:r>
      <w:r w:rsidR="003B4649" w:rsidRPr="003B4649">
        <w:rPr>
          <w:rFonts w:ascii="Arial" w:hAnsi="Arial" w:cs="Arial"/>
          <w:i/>
        </w:rPr>
        <w:t>.</w:t>
      </w:r>
      <w:r w:rsidR="003B4649">
        <w:rPr>
          <w:rFonts w:ascii="Arial" w:hAnsi="Arial" w:cs="Arial"/>
          <w:i/>
        </w:rPr>
        <w:t xml:space="preserve"> </w:t>
      </w:r>
      <w:r w:rsidR="003B4649" w:rsidRPr="003B4649">
        <w:rPr>
          <w:rFonts w:ascii="Arial" w:hAnsi="Arial" w:cs="Arial"/>
        </w:rPr>
        <w:t>Unreported judgment of the Gauteng Division of the High Court, Pretoria</w:t>
      </w:r>
      <w:r w:rsidR="00F45985">
        <w:rPr>
          <w:rFonts w:ascii="Arial" w:hAnsi="Arial" w:cs="Arial"/>
        </w:rPr>
        <w:t>, case number</w:t>
      </w:r>
      <w:r w:rsidR="003B4649" w:rsidRPr="003B4649">
        <w:rPr>
          <w:rFonts w:ascii="Arial" w:hAnsi="Arial" w:cs="Arial"/>
          <w:bCs/>
          <w:iCs/>
          <w:color w:val="000000"/>
        </w:rPr>
        <w:t xml:space="preserve"> 39356/2013</w:t>
      </w:r>
      <w:r w:rsidRPr="003B4649">
        <w:rPr>
          <w:rFonts w:ascii="Arial" w:hAnsi="Arial" w:cs="Arial"/>
        </w:rPr>
        <w:t>.</w:t>
      </w:r>
    </w:p>
  </w:footnote>
  <w:footnote w:id="23">
    <w:p w:rsidR="001B3684" w:rsidRPr="001B3684" w:rsidRDefault="001B3684">
      <w:pPr>
        <w:pStyle w:val="FootnoteText"/>
        <w:rPr>
          <w:rFonts w:ascii="Arial" w:hAnsi="Arial" w:cs="Arial"/>
        </w:rPr>
      </w:pPr>
      <w:r w:rsidRPr="001B3684">
        <w:rPr>
          <w:rStyle w:val="FootnoteReference"/>
          <w:rFonts w:ascii="Arial" w:hAnsi="Arial" w:cs="Arial"/>
        </w:rPr>
        <w:footnoteRef/>
      </w:r>
      <w:r w:rsidRPr="001B3684">
        <w:rPr>
          <w:rFonts w:ascii="Arial" w:hAnsi="Arial" w:cs="Arial"/>
        </w:rPr>
        <w:t xml:space="preserve"> </w:t>
      </w:r>
      <w:r w:rsidRPr="001B3684">
        <w:rPr>
          <w:rFonts w:ascii="Arial" w:hAnsi="Arial" w:cs="Arial"/>
          <w:bCs/>
          <w:i/>
        </w:rPr>
        <w:t>GN v JN</w:t>
      </w:r>
      <w:r w:rsidRPr="001B3684">
        <w:rPr>
          <w:rFonts w:ascii="Arial" w:hAnsi="Arial" w:cs="Arial"/>
          <w:bCs/>
        </w:rPr>
        <w:t xml:space="preserve"> 2017 (1) SA 342 (SCA) at para 29</w:t>
      </w:r>
      <w:r>
        <w:rPr>
          <w:rFonts w:ascii="Arial" w:hAnsi="Arial" w:cs="Arial"/>
          <w:bCs/>
        </w:rPr>
        <w:t>.</w:t>
      </w:r>
    </w:p>
  </w:footnote>
  <w:footnote w:id="24">
    <w:p w:rsidR="0071465E" w:rsidRPr="00715A28" w:rsidRDefault="0071465E" w:rsidP="00715A28">
      <w:pPr>
        <w:pStyle w:val="FootnoteText"/>
        <w:jc w:val="both"/>
        <w:rPr>
          <w:rFonts w:ascii="Arial" w:hAnsi="Arial" w:cs="Arial"/>
          <w:lang w:val="en-GB"/>
        </w:rPr>
      </w:pPr>
      <w:r w:rsidRPr="00715A28">
        <w:rPr>
          <w:rStyle w:val="FootnoteReference"/>
          <w:rFonts w:ascii="Arial" w:hAnsi="Arial" w:cs="Arial"/>
        </w:rPr>
        <w:footnoteRef/>
      </w:r>
      <w:r w:rsidRPr="00715A28">
        <w:rPr>
          <w:rFonts w:ascii="Arial" w:hAnsi="Arial" w:cs="Arial"/>
        </w:rPr>
        <w:t xml:space="preserve"> </w:t>
      </w:r>
      <w:r w:rsidRPr="00715A28">
        <w:rPr>
          <w:rFonts w:ascii="Arial" w:hAnsi="Arial" w:cs="Arial"/>
          <w:i/>
        </w:rPr>
        <w:t>NK v KM</w:t>
      </w:r>
      <w:r w:rsidRPr="00715A28">
        <w:rPr>
          <w:rFonts w:ascii="Arial" w:hAnsi="Arial" w:cs="Arial"/>
        </w:rPr>
        <w:t xml:space="preserve"> 2019 (3) SA 571 (GJ)</w:t>
      </w:r>
      <w:r>
        <w:rPr>
          <w:rFonts w:ascii="Arial" w:hAnsi="Arial" w:cs="Arial"/>
        </w:rPr>
        <w:t>.</w:t>
      </w:r>
    </w:p>
  </w:footnote>
  <w:footnote w:id="25">
    <w:p w:rsidR="0071465E" w:rsidRPr="00715A28" w:rsidRDefault="0071465E" w:rsidP="00715A28">
      <w:pPr>
        <w:pStyle w:val="FootnoteText"/>
        <w:jc w:val="both"/>
        <w:rPr>
          <w:rFonts w:ascii="Arial" w:hAnsi="Arial" w:cs="Arial"/>
          <w:lang w:val="en-GB"/>
        </w:rPr>
      </w:pPr>
      <w:r w:rsidRPr="00715A28">
        <w:rPr>
          <w:rStyle w:val="FootnoteReference"/>
          <w:rFonts w:ascii="Arial" w:hAnsi="Arial" w:cs="Arial"/>
        </w:rPr>
        <w:footnoteRef/>
      </w:r>
      <w:r w:rsidRPr="00715A28">
        <w:rPr>
          <w:rFonts w:ascii="Arial" w:hAnsi="Arial" w:cs="Arial"/>
        </w:rPr>
        <w:t xml:space="preserve"> </w:t>
      </w:r>
      <w:r w:rsidRPr="00715A28">
        <w:rPr>
          <w:rFonts w:ascii="Arial" w:hAnsi="Arial" w:cs="Arial"/>
          <w:i/>
        </w:rPr>
        <w:t>KO v MO</w:t>
      </w:r>
      <w:r w:rsidRPr="00715A28">
        <w:rPr>
          <w:rFonts w:ascii="Arial" w:hAnsi="Arial" w:cs="Arial"/>
        </w:rPr>
        <w:t xml:space="preserve"> [2017] ZAWCHC 136</w:t>
      </w:r>
      <w:r>
        <w:rPr>
          <w:rFonts w:ascii="Arial" w:hAnsi="Arial" w:cs="Arial"/>
        </w:rPr>
        <w:t>.</w:t>
      </w:r>
    </w:p>
  </w:footnote>
  <w:footnote w:id="26">
    <w:p w:rsidR="0071465E" w:rsidRPr="00715A28" w:rsidRDefault="0071465E" w:rsidP="00715A28">
      <w:pPr>
        <w:pStyle w:val="FootnoteText"/>
        <w:jc w:val="both"/>
        <w:rPr>
          <w:rFonts w:ascii="Arial" w:hAnsi="Arial" w:cs="Arial"/>
        </w:rPr>
      </w:pPr>
      <w:r w:rsidRPr="00715A28">
        <w:rPr>
          <w:rStyle w:val="FootnoteReference"/>
          <w:rFonts w:ascii="Arial" w:hAnsi="Arial" w:cs="Arial"/>
        </w:rPr>
        <w:footnoteRef/>
      </w:r>
      <w:r w:rsidRPr="00715A28">
        <w:rPr>
          <w:rFonts w:ascii="Arial" w:hAnsi="Arial" w:cs="Arial"/>
        </w:rPr>
        <w:t xml:space="preserve"> </w:t>
      </w:r>
      <w:r w:rsidR="006D12B5" w:rsidRPr="006D12B5">
        <w:rPr>
          <w:rFonts w:ascii="Arial" w:hAnsi="Arial" w:cs="Arial"/>
          <w:i/>
          <w:iCs/>
        </w:rPr>
        <w:t>Jaga v Donges, NO and Another; Bhana v Donges, NO and Another</w:t>
      </w:r>
      <w:r w:rsidR="006D12B5" w:rsidRPr="00715A28">
        <w:rPr>
          <w:rFonts w:ascii="Arial" w:hAnsi="Arial" w:cs="Arial"/>
        </w:rPr>
        <w:t xml:space="preserve"> </w:t>
      </w:r>
      <w:r w:rsidRPr="00715A28">
        <w:rPr>
          <w:rFonts w:ascii="Arial" w:hAnsi="Arial" w:cs="Arial"/>
        </w:rPr>
        <w:t>1950 (4) SA 653 (A)</w:t>
      </w:r>
      <w:r>
        <w:rPr>
          <w:rFonts w:ascii="Arial" w:hAnsi="Arial" w:cs="Arial"/>
        </w:rPr>
        <w:t>.</w:t>
      </w:r>
    </w:p>
  </w:footnote>
  <w:footnote w:id="27">
    <w:p w:rsidR="0071465E" w:rsidRPr="00715A28" w:rsidRDefault="0071465E" w:rsidP="00715A28">
      <w:pPr>
        <w:pStyle w:val="FootnoteText"/>
        <w:jc w:val="both"/>
        <w:rPr>
          <w:rFonts w:ascii="Arial" w:hAnsi="Arial" w:cs="Arial"/>
        </w:rPr>
      </w:pPr>
      <w:r w:rsidRPr="00715A28">
        <w:rPr>
          <w:rStyle w:val="FootnoteReference"/>
          <w:rFonts w:ascii="Arial" w:hAnsi="Arial" w:cs="Arial"/>
        </w:rPr>
        <w:footnoteRef/>
      </w:r>
      <w:r w:rsidRPr="00715A28">
        <w:rPr>
          <w:rFonts w:ascii="Arial" w:hAnsi="Arial" w:cs="Arial"/>
        </w:rPr>
        <w:t xml:space="preserve"> </w:t>
      </w:r>
      <w:r w:rsidRPr="00715A28">
        <w:rPr>
          <w:rFonts w:ascii="Arial" w:hAnsi="Arial" w:cs="Arial"/>
          <w:i/>
        </w:rPr>
        <w:t>Natal Joint Municipal Pension Fund v Endumeni Municipality</w:t>
      </w:r>
      <w:r w:rsidRPr="00715A28">
        <w:rPr>
          <w:rFonts w:ascii="Arial" w:hAnsi="Arial" w:cs="Arial"/>
        </w:rPr>
        <w:t xml:space="preserve"> [2012] 2 All SA 262 (SCA); 2012 (4) SA 593 (SCA).</w:t>
      </w:r>
    </w:p>
  </w:footnote>
  <w:footnote w:id="28">
    <w:p w:rsidR="0071465E" w:rsidRPr="001A6702" w:rsidRDefault="0071465E" w:rsidP="001A6702">
      <w:pPr>
        <w:pStyle w:val="FootnoteText"/>
        <w:jc w:val="both"/>
        <w:rPr>
          <w:rFonts w:ascii="Arial" w:hAnsi="Arial" w:cs="Arial"/>
          <w:i/>
          <w:iCs/>
        </w:rPr>
      </w:pPr>
      <w:r w:rsidRPr="00715A28">
        <w:rPr>
          <w:rStyle w:val="FootnoteReference"/>
          <w:rFonts w:ascii="Arial" w:hAnsi="Arial" w:cs="Arial"/>
        </w:rPr>
        <w:footnoteRef/>
      </w:r>
      <w:r w:rsidRPr="00715A28">
        <w:rPr>
          <w:rFonts w:ascii="Arial" w:hAnsi="Arial" w:cs="Arial"/>
        </w:rPr>
        <w:t xml:space="preserve"> </w:t>
      </w:r>
      <w:r w:rsidRPr="00715A28">
        <w:rPr>
          <w:rFonts w:ascii="Arial" w:hAnsi="Arial" w:cs="Arial"/>
          <w:i/>
        </w:rPr>
        <w:t>Chisuse and Others v Director-General, Department of Home Affairs and Another</w:t>
      </w:r>
      <w:r w:rsidRPr="00715A28">
        <w:rPr>
          <w:rFonts w:ascii="Arial" w:hAnsi="Arial" w:cs="Arial"/>
        </w:rPr>
        <w:t xml:space="preserve"> [2020] ZACC 20; 2020 (10) BCLR 1173 (CC); 2020 (6) SA 14 (CC) para 52; </w:t>
      </w:r>
      <w:r w:rsidRPr="00715A28">
        <w:rPr>
          <w:rFonts w:ascii="Arial" w:hAnsi="Arial" w:cs="Arial"/>
          <w:i/>
        </w:rPr>
        <w:t>University of Johannesburg v Auckland Park Theological Seminary and Another</w:t>
      </w:r>
      <w:r w:rsidRPr="00715A28">
        <w:rPr>
          <w:rFonts w:ascii="Arial" w:hAnsi="Arial" w:cs="Arial"/>
        </w:rPr>
        <w:t xml:space="preserve"> [2021] ZACC 13; 2021 (8) BCLR 807 (CC); 2021 (6) SA 1 (CC) para 65.</w:t>
      </w:r>
    </w:p>
  </w:footnote>
  <w:footnote w:id="29">
    <w:p w:rsidR="0071465E" w:rsidRPr="00715A28" w:rsidRDefault="0071465E" w:rsidP="00715A28">
      <w:pPr>
        <w:pStyle w:val="FootnoteText"/>
        <w:jc w:val="both"/>
        <w:rPr>
          <w:rFonts w:ascii="Arial" w:hAnsi="Arial" w:cs="Arial"/>
        </w:rPr>
      </w:pPr>
      <w:r w:rsidRPr="00715A28">
        <w:rPr>
          <w:rStyle w:val="FootnoteReference"/>
          <w:rFonts w:ascii="Arial" w:hAnsi="Arial" w:cs="Arial"/>
        </w:rPr>
        <w:footnoteRef/>
      </w:r>
      <w:r w:rsidRPr="00715A28">
        <w:rPr>
          <w:rFonts w:ascii="Arial" w:hAnsi="Arial" w:cs="Arial"/>
        </w:rPr>
        <w:t xml:space="preserve"> </w:t>
      </w:r>
      <w:r w:rsidRPr="00715A28">
        <w:rPr>
          <w:rFonts w:ascii="Arial" w:hAnsi="Arial" w:cs="Arial"/>
          <w:i/>
        </w:rPr>
        <w:t>AM v RM</w:t>
      </w:r>
      <w:r w:rsidRPr="00715A28">
        <w:rPr>
          <w:rFonts w:ascii="Arial" w:hAnsi="Arial" w:cs="Arial"/>
        </w:rPr>
        <w:t xml:space="preserve"> 2010 (2) SA 223 (ECP).</w:t>
      </w:r>
    </w:p>
  </w:footnote>
  <w:footnote w:id="30">
    <w:p w:rsidR="0071465E" w:rsidRPr="00715A28" w:rsidRDefault="0071465E" w:rsidP="00715A28">
      <w:pPr>
        <w:pStyle w:val="FootnoteText"/>
        <w:jc w:val="both"/>
        <w:rPr>
          <w:rFonts w:ascii="Arial" w:hAnsi="Arial" w:cs="Arial"/>
        </w:rPr>
      </w:pPr>
      <w:r w:rsidRPr="00715A28">
        <w:rPr>
          <w:rStyle w:val="FootnoteReference"/>
          <w:rFonts w:ascii="Arial" w:hAnsi="Arial" w:cs="Arial"/>
        </w:rPr>
        <w:footnoteRef/>
      </w:r>
      <w:r w:rsidRPr="00715A28">
        <w:rPr>
          <w:rFonts w:ascii="Arial" w:hAnsi="Arial" w:cs="Arial"/>
        </w:rPr>
        <w:t xml:space="preserve"> </w:t>
      </w:r>
      <w:r w:rsidRPr="00715A28">
        <w:rPr>
          <w:rFonts w:ascii="Arial" w:hAnsi="Arial" w:cs="Arial"/>
          <w:i/>
        </w:rPr>
        <w:t xml:space="preserve">Zaphiriou v Zaphiriou </w:t>
      </w:r>
      <w:r w:rsidRPr="00715A28">
        <w:rPr>
          <w:rFonts w:ascii="Arial" w:hAnsi="Arial" w:cs="Arial"/>
        </w:rPr>
        <w:t>1967 (1) SA 342 (W).</w:t>
      </w:r>
    </w:p>
  </w:footnote>
  <w:footnote w:id="31">
    <w:p w:rsidR="0071465E" w:rsidRPr="00715A28" w:rsidRDefault="0071465E" w:rsidP="00715A28">
      <w:pPr>
        <w:pStyle w:val="FootnoteText"/>
        <w:jc w:val="both"/>
        <w:rPr>
          <w:rFonts w:ascii="Arial" w:hAnsi="Arial" w:cs="Arial"/>
        </w:rPr>
      </w:pPr>
      <w:r w:rsidRPr="00715A28">
        <w:rPr>
          <w:rStyle w:val="FootnoteReference"/>
          <w:rFonts w:ascii="Arial" w:hAnsi="Arial" w:cs="Arial"/>
        </w:rPr>
        <w:footnoteRef/>
      </w:r>
      <w:r w:rsidRPr="00715A28">
        <w:rPr>
          <w:rFonts w:ascii="Arial" w:hAnsi="Arial" w:cs="Arial"/>
        </w:rPr>
        <w:t xml:space="preserve"> </w:t>
      </w:r>
      <w:r w:rsidRPr="00715A28">
        <w:rPr>
          <w:rFonts w:ascii="Arial" w:hAnsi="Arial" w:cs="Arial"/>
          <w:i/>
        </w:rPr>
        <w:t>Gunston v Gunston</w:t>
      </w:r>
      <w:r w:rsidRPr="00715A28">
        <w:rPr>
          <w:rFonts w:ascii="Arial" w:hAnsi="Arial" w:cs="Arial"/>
        </w:rPr>
        <w:t xml:space="preserve"> 1976 (3) SA 179 (W).</w:t>
      </w:r>
    </w:p>
  </w:footnote>
  <w:footnote w:id="32">
    <w:p w:rsidR="0071465E" w:rsidRPr="00715A28" w:rsidRDefault="0071465E" w:rsidP="00715A28">
      <w:pPr>
        <w:pStyle w:val="FootnoteText"/>
        <w:jc w:val="both"/>
        <w:rPr>
          <w:rFonts w:ascii="Arial" w:hAnsi="Arial" w:cs="Arial"/>
        </w:rPr>
      </w:pPr>
      <w:r w:rsidRPr="00715A28">
        <w:rPr>
          <w:rStyle w:val="FootnoteReference"/>
          <w:rFonts w:ascii="Arial" w:hAnsi="Arial" w:cs="Arial"/>
        </w:rPr>
        <w:footnoteRef/>
      </w:r>
      <w:r w:rsidR="00010E0D">
        <w:rPr>
          <w:rFonts w:ascii="Arial" w:hAnsi="Arial" w:cs="Arial"/>
        </w:rPr>
        <w:t xml:space="preserve"> Ibid at</w:t>
      </w:r>
      <w:r w:rsidRPr="00715A28">
        <w:rPr>
          <w:rFonts w:ascii="Arial" w:hAnsi="Arial" w:cs="Arial"/>
        </w:rPr>
        <w:t xml:space="preserve"> </w:t>
      </w:r>
      <w:r w:rsidR="00010E0D">
        <w:rPr>
          <w:rFonts w:ascii="Arial" w:hAnsi="Arial" w:cs="Arial"/>
        </w:rPr>
        <w:t xml:space="preserve">182A-B. </w:t>
      </w:r>
      <w:r w:rsidRPr="00715A28">
        <w:rPr>
          <w:rFonts w:ascii="Arial" w:hAnsi="Arial" w:cs="Arial"/>
        </w:rPr>
        <w:t xml:space="preserve">See also </w:t>
      </w:r>
      <w:r w:rsidRPr="00715A28">
        <w:rPr>
          <w:rFonts w:ascii="Arial" w:hAnsi="Arial" w:cs="Arial"/>
          <w:i/>
        </w:rPr>
        <w:t>Naicker v Naidoo</w:t>
      </w:r>
      <w:r w:rsidRPr="00715A28">
        <w:rPr>
          <w:rFonts w:ascii="Arial" w:hAnsi="Arial" w:cs="Arial"/>
        </w:rPr>
        <w:t xml:space="preserve"> 1958 (2) SA 134 (</w:t>
      </w:r>
      <w:r w:rsidR="00010E0D">
        <w:rPr>
          <w:rFonts w:ascii="Arial" w:hAnsi="Arial" w:cs="Arial"/>
        </w:rPr>
        <w:t>N</w:t>
      </w:r>
      <w:r w:rsidRPr="00715A28">
        <w:rPr>
          <w:rFonts w:ascii="Arial" w:hAnsi="Arial" w:cs="Arial"/>
        </w:rPr>
        <w:t xml:space="preserve">) and </w:t>
      </w:r>
      <w:r w:rsidRPr="00715A28">
        <w:rPr>
          <w:rFonts w:ascii="Arial" w:hAnsi="Arial" w:cs="Arial"/>
          <w:i/>
        </w:rPr>
        <w:t>TM v ZJ</w:t>
      </w:r>
      <w:r w:rsidRPr="00715A28">
        <w:rPr>
          <w:rFonts w:ascii="Arial" w:hAnsi="Arial" w:cs="Arial"/>
        </w:rPr>
        <w:t xml:space="preserve"> 2016 (1) SA 71 (KZD).</w:t>
      </w:r>
    </w:p>
  </w:footnote>
  <w:footnote w:id="33">
    <w:p w:rsidR="00963525" w:rsidRPr="00715A28" w:rsidRDefault="00963525" w:rsidP="00963525">
      <w:pPr>
        <w:pStyle w:val="FootnoteText"/>
        <w:jc w:val="both"/>
        <w:rPr>
          <w:rFonts w:ascii="Arial" w:hAnsi="Arial" w:cs="Arial"/>
        </w:rPr>
      </w:pPr>
      <w:r w:rsidRPr="00715A28">
        <w:rPr>
          <w:rStyle w:val="FootnoteReference"/>
          <w:rFonts w:ascii="Arial" w:hAnsi="Arial" w:cs="Arial"/>
        </w:rPr>
        <w:footnoteRef/>
      </w:r>
      <w:r w:rsidRPr="00715A28">
        <w:rPr>
          <w:rFonts w:ascii="Arial" w:hAnsi="Arial" w:cs="Arial"/>
        </w:rPr>
        <w:t xml:space="preserve"> See </w:t>
      </w:r>
      <w:r>
        <w:rPr>
          <w:rFonts w:ascii="Arial" w:hAnsi="Arial" w:cs="Arial"/>
        </w:rPr>
        <w:t xml:space="preserve">H R </w:t>
      </w:r>
      <w:r w:rsidRPr="00715A28">
        <w:rPr>
          <w:rFonts w:ascii="Arial" w:hAnsi="Arial" w:cs="Arial"/>
        </w:rPr>
        <w:t xml:space="preserve">Hahlo </w:t>
      </w:r>
      <w:r w:rsidRPr="000333C0">
        <w:rPr>
          <w:rFonts w:ascii="Arial" w:hAnsi="Arial" w:cs="Arial"/>
          <w:i/>
        </w:rPr>
        <w:t xml:space="preserve">The </w:t>
      </w:r>
      <w:r w:rsidRPr="00715A28">
        <w:rPr>
          <w:rFonts w:ascii="Arial" w:hAnsi="Arial" w:cs="Arial"/>
          <w:i/>
        </w:rPr>
        <w:t>South African Law of Husband and Wife</w:t>
      </w:r>
      <w:r w:rsidRPr="00715A28">
        <w:rPr>
          <w:rFonts w:ascii="Arial" w:hAnsi="Arial" w:cs="Arial"/>
        </w:rPr>
        <w:t>, 5 ed (1985) at 237.</w:t>
      </w:r>
    </w:p>
  </w:footnote>
  <w:footnote w:id="34">
    <w:p w:rsidR="0071465E" w:rsidRPr="00715A28" w:rsidRDefault="0071465E" w:rsidP="00715A28">
      <w:pPr>
        <w:pStyle w:val="FootnoteText"/>
        <w:jc w:val="both"/>
        <w:rPr>
          <w:rFonts w:ascii="Arial" w:hAnsi="Arial" w:cs="Arial"/>
        </w:rPr>
      </w:pPr>
      <w:r w:rsidRPr="000333C0">
        <w:rPr>
          <w:rStyle w:val="FootnoteReference"/>
          <w:rFonts w:ascii="Arial" w:hAnsi="Arial" w:cs="Arial"/>
        </w:rPr>
        <w:footnoteRef/>
      </w:r>
      <w:r w:rsidRPr="000333C0">
        <w:rPr>
          <w:rFonts w:ascii="Arial" w:hAnsi="Arial" w:cs="Arial"/>
        </w:rPr>
        <w:t xml:space="preserve"> </w:t>
      </w:r>
      <w:r w:rsidR="000333C0" w:rsidRPr="000333C0">
        <w:rPr>
          <w:rFonts w:ascii="Arial" w:hAnsi="Arial" w:cs="Arial"/>
        </w:rPr>
        <w:t xml:space="preserve">B Clark </w:t>
      </w:r>
      <w:r w:rsidRPr="000333C0">
        <w:rPr>
          <w:rFonts w:ascii="Arial" w:hAnsi="Arial" w:cs="Arial"/>
          <w:i/>
          <w:iCs/>
        </w:rPr>
        <w:t>Family</w:t>
      </w:r>
      <w:r w:rsidRPr="00715A28">
        <w:rPr>
          <w:rFonts w:ascii="Arial" w:hAnsi="Arial" w:cs="Arial"/>
          <w:i/>
          <w:iCs/>
        </w:rPr>
        <w:t xml:space="preserve"> Law Service, </w:t>
      </w:r>
      <w:r w:rsidRPr="00715A28">
        <w:rPr>
          <w:rFonts w:ascii="Arial" w:hAnsi="Arial" w:cs="Arial"/>
        </w:rPr>
        <w:t>Service Issue 80 (2023) at F51</w:t>
      </w:r>
      <w:r w:rsidR="000333C0">
        <w:rPr>
          <w:rFonts w:ascii="Arial" w:hAnsi="Arial" w:cs="Arial"/>
        </w:rPr>
        <w:t>.</w:t>
      </w:r>
    </w:p>
  </w:footnote>
  <w:footnote w:id="35">
    <w:p w:rsidR="00331C54" w:rsidRDefault="00331C54" w:rsidP="00331C54">
      <w:pPr>
        <w:pStyle w:val="FootnoteText"/>
        <w:jc w:val="both"/>
      </w:pPr>
      <w:r w:rsidRPr="00715A28">
        <w:rPr>
          <w:rStyle w:val="FootnoteReference"/>
          <w:rFonts w:ascii="Arial" w:hAnsi="Arial" w:cs="Arial"/>
        </w:rPr>
        <w:footnoteRef/>
      </w:r>
      <w:r w:rsidRPr="00715A28">
        <w:rPr>
          <w:rFonts w:ascii="Arial" w:hAnsi="Arial" w:cs="Arial"/>
        </w:rPr>
        <w:t xml:space="preserve"> </w:t>
      </w:r>
      <w:r>
        <w:rPr>
          <w:rFonts w:ascii="Arial" w:hAnsi="Arial" w:cs="Arial"/>
        </w:rPr>
        <w:t xml:space="preserve">Ibid </w:t>
      </w:r>
      <w:r w:rsidRPr="00715A28">
        <w:rPr>
          <w:rFonts w:ascii="Arial" w:hAnsi="Arial" w:cs="Arial"/>
        </w:rPr>
        <w:t>at F53.</w:t>
      </w:r>
    </w:p>
  </w:footnote>
  <w:footnote w:id="36">
    <w:p w:rsidR="00E17C53" w:rsidRPr="00E17C53" w:rsidRDefault="00E17C53" w:rsidP="00E17C53">
      <w:pPr>
        <w:pStyle w:val="FootnoteText"/>
        <w:jc w:val="both"/>
        <w:rPr>
          <w:rFonts w:ascii="Arial" w:hAnsi="Arial" w:cs="Arial"/>
        </w:rPr>
      </w:pPr>
      <w:r w:rsidRPr="00E17C53">
        <w:rPr>
          <w:rStyle w:val="FootnoteReference"/>
          <w:rFonts w:ascii="Arial" w:hAnsi="Arial" w:cs="Arial"/>
        </w:rPr>
        <w:footnoteRef/>
      </w:r>
      <w:r w:rsidRPr="00E17C53">
        <w:rPr>
          <w:rFonts w:ascii="Arial" w:hAnsi="Arial" w:cs="Arial"/>
        </w:rPr>
        <w:t xml:space="preserve"> See </w:t>
      </w:r>
      <w:r w:rsidR="00331C54" w:rsidRPr="00715A28">
        <w:rPr>
          <w:rFonts w:ascii="Arial" w:hAnsi="Arial" w:cs="Arial"/>
          <w:i/>
        </w:rPr>
        <w:t>Gunston v Gunston</w:t>
      </w:r>
      <w:r w:rsidR="00331C54" w:rsidRPr="00715A28">
        <w:rPr>
          <w:rFonts w:ascii="Arial" w:hAnsi="Arial" w:cs="Arial"/>
        </w:rPr>
        <w:t xml:space="preserve"> 1976 (3) SA 179 (W)</w:t>
      </w:r>
      <w:r w:rsidR="00963525">
        <w:rPr>
          <w:rFonts w:ascii="Arial" w:hAnsi="Arial" w:cs="Arial"/>
        </w:rPr>
        <w:t>.</w:t>
      </w:r>
    </w:p>
  </w:footnote>
  <w:footnote w:id="37">
    <w:p w:rsidR="00E17C53" w:rsidRPr="00E17C53" w:rsidRDefault="00E17C53" w:rsidP="00E17C53">
      <w:pPr>
        <w:pStyle w:val="FootnoteText"/>
        <w:jc w:val="both"/>
        <w:rPr>
          <w:rFonts w:ascii="Arial" w:hAnsi="Arial" w:cs="Arial"/>
        </w:rPr>
      </w:pPr>
      <w:r w:rsidRPr="00E17C53">
        <w:rPr>
          <w:rStyle w:val="FootnoteReference"/>
          <w:rFonts w:ascii="Arial" w:hAnsi="Arial" w:cs="Arial"/>
        </w:rPr>
        <w:footnoteRef/>
      </w:r>
      <w:r w:rsidRPr="00E17C53">
        <w:rPr>
          <w:rFonts w:ascii="Arial" w:hAnsi="Arial" w:cs="Arial"/>
        </w:rPr>
        <w:t xml:space="preserve"> </w:t>
      </w:r>
      <w:r w:rsidRPr="00E17C53">
        <w:rPr>
          <w:rFonts w:ascii="Arial" w:hAnsi="Arial" w:cs="Arial"/>
          <w:i/>
        </w:rPr>
        <w:t>G T K v N M</w:t>
      </w:r>
      <w:r w:rsidRPr="00E17C53">
        <w:rPr>
          <w:rFonts w:ascii="Arial" w:hAnsi="Arial" w:cs="Arial"/>
        </w:rPr>
        <w:t xml:space="preserve"> [2023] ZAGPJHC 418; 2023 JDR 1347 (GJ).</w:t>
      </w:r>
    </w:p>
  </w:footnote>
  <w:footnote w:id="38">
    <w:p w:rsidR="00E15089" w:rsidRPr="00383C80" w:rsidRDefault="00E15089">
      <w:pPr>
        <w:pStyle w:val="FootnoteText"/>
      </w:pPr>
      <w:r w:rsidRPr="00383C80">
        <w:rPr>
          <w:rStyle w:val="FootnoteReference"/>
          <w:rFonts w:ascii="Arial" w:hAnsi="Arial" w:cs="Arial"/>
        </w:rPr>
        <w:footnoteRef/>
      </w:r>
      <w:r w:rsidRPr="00383C80">
        <w:rPr>
          <w:rFonts w:ascii="Arial" w:hAnsi="Arial" w:cs="Arial"/>
        </w:rPr>
        <w:t xml:space="preserve"> </w:t>
      </w:r>
      <w:r w:rsidR="00383C80" w:rsidRPr="00383C80">
        <w:rPr>
          <w:rFonts w:ascii="Arial" w:hAnsi="Arial" w:cs="Arial"/>
        </w:rPr>
        <w:t>MG v RG</w:t>
      </w:r>
      <w:r w:rsidR="00383C80">
        <w:t xml:space="preserve"> </w:t>
      </w:r>
      <w:r w:rsidRPr="00383C80">
        <w:rPr>
          <w:rFonts w:ascii="Arial" w:hAnsi="Arial" w:cs="Arial"/>
          <w:bCs/>
        </w:rPr>
        <w:t>2012 (2) SA 461 (KZP) at para 18</w:t>
      </w:r>
      <w:r w:rsidR="00383C80">
        <w:rPr>
          <w:rFonts w:ascii="Arial" w:hAnsi="Arial" w:cs="Arial"/>
          <w:bCs/>
        </w:rPr>
        <w:t>.</w:t>
      </w:r>
    </w:p>
  </w:footnote>
  <w:footnote w:id="39">
    <w:p w:rsidR="00E17C53" w:rsidRPr="00E17C53" w:rsidRDefault="00E17C53" w:rsidP="00E17C53">
      <w:pPr>
        <w:pStyle w:val="FootnoteText"/>
        <w:jc w:val="both"/>
        <w:rPr>
          <w:rFonts w:ascii="Arial" w:hAnsi="Arial" w:cs="Arial"/>
        </w:rPr>
      </w:pPr>
      <w:r w:rsidRPr="00E17C53">
        <w:rPr>
          <w:rStyle w:val="FootnoteReference"/>
          <w:rFonts w:ascii="Arial" w:hAnsi="Arial" w:cs="Arial"/>
        </w:rPr>
        <w:footnoteRef/>
      </w:r>
      <w:r w:rsidRPr="00E17C53">
        <w:rPr>
          <w:rFonts w:ascii="Arial" w:hAnsi="Arial" w:cs="Arial"/>
        </w:rPr>
        <w:t xml:space="preserve"> </w:t>
      </w:r>
      <w:r w:rsidRPr="00E17C53">
        <w:rPr>
          <w:rFonts w:ascii="Arial" w:hAnsi="Arial" w:cs="Arial"/>
          <w:i/>
        </w:rPr>
        <w:t>CC v CM</w:t>
      </w:r>
      <w:r w:rsidRPr="00E17C53">
        <w:rPr>
          <w:rFonts w:ascii="Arial" w:hAnsi="Arial" w:cs="Arial"/>
        </w:rPr>
        <w:t xml:space="preserve"> 2014 (2) SA 430 (GJ).</w:t>
      </w:r>
    </w:p>
  </w:footnote>
  <w:footnote w:id="40">
    <w:p w:rsidR="004C55FD" w:rsidRPr="00715A28" w:rsidRDefault="004C55FD" w:rsidP="004C55FD">
      <w:pPr>
        <w:pStyle w:val="FootnoteText"/>
        <w:jc w:val="both"/>
        <w:rPr>
          <w:rFonts w:ascii="Arial" w:hAnsi="Arial" w:cs="Arial"/>
          <w:lang w:val="en-GB"/>
        </w:rPr>
      </w:pPr>
      <w:r w:rsidRPr="001A6702">
        <w:rPr>
          <w:rStyle w:val="FootnoteReference"/>
          <w:rFonts w:ascii="Arial" w:hAnsi="Arial" w:cs="Arial"/>
        </w:rPr>
        <w:footnoteRef/>
      </w:r>
      <w:r w:rsidRPr="001A6702">
        <w:rPr>
          <w:rFonts w:ascii="Arial" w:hAnsi="Arial" w:cs="Arial"/>
        </w:rPr>
        <w:t xml:space="preserve"> </w:t>
      </w:r>
      <w:r w:rsidRPr="001A6702">
        <w:rPr>
          <w:rFonts w:ascii="Arial" w:hAnsi="Arial" w:cs="Arial"/>
          <w:i/>
        </w:rPr>
        <w:t>Denel</w:t>
      </w:r>
      <w:r>
        <w:rPr>
          <w:rFonts w:ascii="Arial" w:hAnsi="Arial" w:cs="Arial"/>
          <w:i/>
        </w:rPr>
        <w:t xml:space="preserve"> (Edms) Bpk</w:t>
      </w:r>
      <w:r w:rsidRPr="001A6702">
        <w:rPr>
          <w:rFonts w:ascii="Arial" w:hAnsi="Arial" w:cs="Arial"/>
          <w:i/>
        </w:rPr>
        <w:t xml:space="preserve"> v Vorster</w:t>
      </w:r>
      <w:r w:rsidRPr="001A6702">
        <w:rPr>
          <w:rFonts w:ascii="Arial" w:hAnsi="Arial" w:cs="Arial"/>
        </w:rPr>
        <w:t xml:space="preserve"> 2004</w:t>
      </w:r>
      <w:r>
        <w:rPr>
          <w:rFonts w:ascii="Arial" w:hAnsi="Arial" w:cs="Arial"/>
        </w:rPr>
        <w:t xml:space="preserve"> </w:t>
      </w:r>
      <w:r w:rsidRPr="001A6702">
        <w:rPr>
          <w:rFonts w:ascii="Arial" w:hAnsi="Arial" w:cs="Arial"/>
        </w:rPr>
        <w:t>(4) SA 481 (SCA).</w:t>
      </w:r>
    </w:p>
  </w:footnote>
  <w:footnote w:id="41">
    <w:p w:rsidR="00E17C53" w:rsidRPr="00E17C53" w:rsidRDefault="00E17C53" w:rsidP="00E17C53">
      <w:pPr>
        <w:pStyle w:val="FootnoteText"/>
        <w:jc w:val="both"/>
        <w:rPr>
          <w:rFonts w:ascii="Arial" w:hAnsi="Arial" w:cs="Arial"/>
        </w:rPr>
      </w:pPr>
      <w:r w:rsidRPr="00E17C53">
        <w:rPr>
          <w:rStyle w:val="FootnoteReference"/>
          <w:rFonts w:ascii="Arial" w:hAnsi="Arial" w:cs="Arial"/>
        </w:rPr>
        <w:footnoteRef/>
      </w:r>
      <w:r w:rsidR="004C55FD">
        <w:rPr>
          <w:rFonts w:ascii="Arial" w:hAnsi="Arial" w:cs="Arial"/>
        </w:rPr>
        <w:t xml:space="preserve"> Supra at</w:t>
      </w:r>
      <w:r w:rsidR="006414B3">
        <w:rPr>
          <w:rFonts w:ascii="Arial" w:hAnsi="Arial" w:cs="Arial"/>
        </w:rPr>
        <w:t xml:space="preserve"> para 3.</w:t>
      </w:r>
    </w:p>
  </w:footnote>
  <w:footnote w:id="42">
    <w:p w:rsidR="0071465E" w:rsidRPr="000F1C5A" w:rsidRDefault="0071465E" w:rsidP="000F1C5A">
      <w:pPr>
        <w:spacing w:before="32" w:after="32"/>
        <w:jc w:val="both"/>
        <w:rPr>
          <w:rFonts w:ascii="Verdana" w:eastAsia="Times New Roman" w:hAnsi="Verdana" w:cs="Times New Roman"/>
          <w:color w:val="000000"/>
          <w:sz w:val="20"/>
          <w:szCs w:val="20"/>
          <w:lang w:eastAsia="en-ZA"/>
        </w:rPr>
      </w:pPr>
      <w:r w:rsidRPr="00E17C53">
        <w:rPr>
          <w:rStyle w:val="FootnoteReference"/>
          <w:rFonts w:ascii="Arial" w:hAnsi="Arial" w:cs="Arial"/>
          <w:sz w:val="20"/>
          <w:szCs w:val="20"/>
        </w:rPr>
        <w:footnoteRef/>
      </w:r>
      <w:r w:rsidRPr="00E17C53">
        <w:rPr>
          <w:rFonts w:ascii="Arial" w:hAnsi="Arial" w:cs="Arial"/>
          <w:sz w:val="20"/>
          <w:szCs w:val="20"/>
        </w:rPr>
        <w:t xml:space="preserve"> See </w:t>
      </w:r>
      <w:r w:rsidRPr="00E17C53">
        <w:rPr>
          <w:rFonts w:ascii="Arial" w:hAnsi="Arial" w:cs="Arial"/>
          <w:i/>
          <w:sz w:val="20"/>
          <w:szCs w:val="20"/>
        </w:rPr>
        <w:t>Copperzone 108 (Pty) Ltd and Another v Gold Port Estate</w:t>
      </w:r>
      <w:r w:rsidR="00E17C53" w:rsidRPr="00E17C53">
        <w:rPr>
          <w:rFonts w:ascii="Arial" w:hAnsi="Arial" w:cs="Arial"/>
          <w:i/>
          <w:sz w:val="20"/>
          <w:szCs w:val="20"/>
        </w:rPr>
        <w:t>s</w:t>
      </w:r>
      <w:r w:rsidRPr="00E17C53">
        <w:rPr>
          <w:rFonts w:ascii="Arial" w:hAnsi="Arial" w:cs="Arial"/>
          <w:i/>
          <w:sz w:val="20"/>
          <w:szCs w:val="20"/>
        </w:rPr>
        <w:t xml:space="preserve"> (Pty) Ltd</w:t>
      </w:r>
      <w:r w:rsidRPr="00E17C53">
        <w:rPr>
          <w:rFonts w:ascii="Arial" w:hAnsi="Arial" w:cs="Arial"/>
          <w:sz w:val="20"/>
          <w:szCs w:val="20"/>
        </w:rPr>
        <w:t xml:space="preserve"> [2019] ZAWCHC 34</w:t>
      </w:r>
      <w:r w:rsidR="000F1C5A">
        <w:rPr>
          <w:rFonts w:ascii="Arial" w:hAnsi="Arial" w:cs="Arial"/>
          <w:sz w:val="20"/>
          <w:szCs w:val="20"/>
        </w:rPr>
        <w:t xml:space="preserve">; </w:t>
      </w:r>
      <w:r w:rsidR="000F1C5A" w:rsidRPr="000F1C5A">
        <w:rPr>
          <w:rFonts w:ascii="Verdana" w:eastAsia="Times New Roman" w:hAnsi="Verdana" w:cs="Times New Roman"/>
          <w:color w:val="000000"/>
          <w:sz w:val="20"/>
          <w:szCs w:val="20"/>
          <w:lang w:eastAsia="en-ZA"/>
        </w:rPr>
        <w:br/>
      </w:r>
      <w:r w:rsidR="000F1C5A" w:rsidRPr="000F1C5A">
        <w:rPr>
          <w:rFonts w:ascii="Arial" w:eastAsia="Times New Roman" w:hAnsi="Arial" w:cs="Arial"/>
          <w:color w:val="000000"/>
          <w:sz w:val="20"/>
          <w:szCs w:val="20"/>
          <w:lang w:eastAsia="en-ZA"/>
        </w:rPr>
        <w:t>2019 JDR 0587 (WCC)</w:t>
      </w:r>
      <w:r w:rsidRPr="000F1C5A">
        <w:rPr>
          <w:rFonts w:ascii="Arial" w:hAnsi="Arial" w:cs="Arial"/>
          <w:sz w:val="20"/>
          <w:szCs w:val="20"/>
        </w:rPr>
        <w:t xml:space="preserve"> para 25</w:t>
      </w:r>
      <w:r w:rsidR="00E17C53" w:rsidRPr="000F1C5A">
        <w:rPr>
          <w:rFonts w:ascii="Arial" w:hAnsi="Arial" w:cs="Arial"/>
          <w:sz w:val="20"/>
          <w:szCs w:val="20"/>
        </w:rPr>
        <w:t>.</w:t>
      </w:r>
    </w:p>
  </w:footnote>
  <w:footnote w:id="43">
    <w:p w:rsidR="00E17C53" w:rsidRDefault="00E17C53" w:rsidP="00E17C53">
      <w:pPr>
        <w:pStyle w:val="FootnoteText"/>
        <w:jc w:val="both"/>
      </w:pPr>
      <w:r w:rsidRPr="00E17C53">
        <w:rPr>
          <w:rStyle w:val="FootnoteReference"/>
          <w:rFonts w:ascii="Arial" w:hAnsi="Arial" w:cs="Arial"/>
        </w:rPr>
        <w:footnoteRef/>
      </w:r>
      <w:r w:rsidRPr="00E17C53">
        <w:rPr>
          <w:rFonts w:ascii="Arial" w:hAnsi="Arial" w:cs="Arial"/>
        </w:rPr>
        <w:t xml:space="preserve"> </w:t>
      </w:r>
      <w:r w:rsidRPr="00E17C53">
        <w:rPr>
          <w:rFonts w:ascii="Arial" w:hAnsi="Arial" w:cs="Arial"/>
          <w:i/>
        </w:rPr>
        <w:t>AB v JB</w:t>
      </w:r>
      <w:r w:rsidRPr="00E17C53">
        <w:rPr>
          <w:rFonts w:ascii="Arial" w:hAnsi="Arial" w:cs="Arial"/>
        </w:rPr>
        <w:t xml:space="preserve"> 2016 (5) SA 211 (SCA)</w:t>
      </w:r>
      <w:r>
        <w:rPr>
          <w:rFonts w:ascii="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094471"/>
      <w:docPartObj>
        <w:docPartGallery w:val="Page Numbers (Top of Page)"/>
        <w:docPartUnique/>
      </w:docPartObj>
    </w:sdtPr>
    <w:sdtEndPr>
      <w:rPr>
        <w:noProof/>
      </w:rPr>
    </w:sdtEndPr>
    <w:sdtContent>
      <w:p w:rsidR="0071465E" w:rsidRDefault="0071465E">
        <w:pPr>
          <w:pStyle w:val="Header"/>
          <w:jc w:val="right"/>
        </w:pPr>
        <w:r>
          <w:fldChar w:fldCharType="begin"/>
        </w:r>
        <w:r>
          <w:instrText xml:space="preserve"> PAGE   \* MERGEFORMAT </w:instrText>
        </w:r>
        <w:r>
          <w:fldChar w:fldCharType="separate"/>
        </w:r>
        <w:r w:rsidR="00B75647">
          <w:rPr>
            <w:noProof/>
          </w:rPr>
          <w:t>13</w:t>
        </w:r>
        <w:r>
          <w:rPr>
            <w:noProof/>
          </w:rPr>
          <w:fldChar w:fldCharType="end"/>
        </w:r>
      </w:p>
    </w:sdtContent>
  </w:sdt>
  <w:p w:rsidR="0071465E" w:rsidRDefault="007146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99F"/>
    <w:multiLevelType w:val="hybridMultilevel"/>
    <w:tmpl w:val="AA0C0B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9A25DC"/>
    <w:multiLevelType w:val="hybridMultilevel"/>
    <w:tmpl w:val="33B8959C"/>
    <w:lvl w:ilvl="0" w:tplc="EBC8F67A">
      <w:start w:val="1"/>
      <w:numFmt w:val="decimal"/>
      <w:lvlText w:val="(%1)"/>
      <w:lvlJc w:val="left"/>
      <w:pPr>
        <w:ind w:left="1080" w:hanging="360"/>
      </w:pPr>
      <w:rPr>
        <w:rFonts w:hint="default"/>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88C1226"/>
    <w:multiLevelType w:val="hybridMultilevel"/>
    <w:tmpl w:val="7402CF60"/>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97044CF"/>
    <w:multiLevelType w:val="hybridMultilevel"/>
    <w:tmpl w:val="D39E08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983275A"/>
    <w:multiLevelType w:val="hybridMultilevel"/>
    <w:tmpl w:val="6C183B8E"/>
    <w:lvl w:ilvl="0" w:tplc="B3CE889E">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B3C300F"/>
    <w:multiLevelType w:val="hybridMultilevel"/>
    <w:tmpl w:val="EADC8D0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C8F04A7"/>
    <w:multiLevelType w:val="hybridMultilevel"/>
    <w:tmpl w:val="D598A972"/>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C412CF9"/>
    <w:multiLevelType w:val="hybridMultilevel"/>
    <w:tmpl w:val="5F7EFA8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FB22A0D"/>
    <w:multiLevelType w:val="hybridMultilevel"/>
    <w:tmpl w:val="662869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874123F"/>
    <w:multiLevelType w:val="hybridMultilevel"/>
    <w:tmpl w:val="E7BA7B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9D8505F"/>
    <w:multiLevelType w:val="hybridMultilevel"/>
    <w:tmpl w:val="0BF040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DD25A97"/>
    <w:multiLevelType w:val="hybridMultilevel"/>
    <w:tmpl w:val="56E870D8"/>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3FDF1CBF"/>
    <w:multiLevelType w:val="hybridMultilevel"/>
    <w:tmpl w:val="912CAD90"/>
    <w:lvl w:ilvl="0" w:tplc="2B1406F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0BE073A"/>
    <w:multiLevelType w:val="hybridMultilevel"/>
    <w:tmpl w:val="6C183B8E"/>
    <w:lvl w:ilvl="0" w:tplc="B3CE889E">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97128CB"/>
    <w:multiLevelType w:val="hybridMultilevel"/>
    <w:tmpl w:val="8B46A792"/>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DA57F63"/>
    <w:multiLevelType w:val="hybridMultilevel"/>
    <w:tmpl w:val="BAF844D8"/>
    <w:lvl w:ilvl="0" w:tplc="88CEE56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4FD3090F"/>
    <w:multiLevelType w:val="hybridMultilevel"/>
    <w:tmpl w:val="43C2BD5A"/>
    <w:lvl w:ilvl="0" w:tplc="38A21BDC">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7" w15:restartNumberingAfterBreak="0">
    <w:nsid w:val="542C6CEB"/>
    <w:multiLevelType w:val="hybridMultilevel"/>
    <w:tmpl w:val="66286990"/>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64D50782"/>
    <w:multiLevelType w:val="hybridMultilevel"/>
    <w:tmpl w:val="CFD0DE48"/>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54A24AD"/>
    <w:multiLevelType w:val="hybridMultilevel"/>
    <w:tmpl w:val="57526D30"/>
    <w:lvl w:ilvl="0" w:tplc="4678D2CC">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6D646379"/>
    <w:multiLevelType w:val="hybridMultilevel"/>
    <w:tmpl w:val="7A4C55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E796C44"/>
    <w:multiLevelType w:val="hybridMultilevel"/>
    <w:tmpl w:val="9CDC1390"/>
    <w:lvl w:ilvl="0" w:tplc="9698E78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74FF1B0B"/>
    <w:multiLevelType w:val="hybridMultilevel"/>
    <w:tmpl w:val="EADC8D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6545759"/>
    <w:multiLevelType w:val="hybridMultilevel"/>
    <w:tmpl w:val="1B74BA7C"/>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816431F"/>
    <w:multiLevelType w:val="hybridMultilevel"/>
    <w:tmpl w:val="F2DECD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A210E12"/>
    <w:multiLevelType w:val="hybridMultilevel"/>
    <w:tmpl w:val="50FE9046"/>
    <w:lvl w:ilvl="0" w:tplc="76C866C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15:restartNumberingAfterBreak="0">
    <w:nsid w:val="7FD85E17"/>
    <w:multiLevelType w:val="hybridMultilevel"/>
    <w:tmpl w:val="33F0DFE6"/>
    <w:lvl w:ilvl="0" w:tplc="A3A2058C">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6"/>
  </w:num>
  <w:num w:numId="2">
    <w:abstractNumId w:val="13"/>
  </w:num>
  <w:num w:numId="3">
    <w:abstractNumId w:val="4"/>
  </w:num>
  <w:num w:numId="4">
    <w:abstractNumId w:val="5"/>
  </w:num>
  <w:num w:numId="5">
    <w:abstractNumId w:val="11"/>
  </w:num>
  <w:num w:numId="6">
    <w:abstractNumId w:val="0"/>
  </w:num>
  <w:num w:numId="7">
    <w:abstractNumId w:val="22"/>
  </w:num>
  <w:num w:numId="8">
    <w:abstractNumId w:val="2"/>
  </w:num>
  <w:num w:numId="9">
    <w:abstractNumId w:val="6"/>
  </w:num>
  <w:num w:numId="10">
    <w:abstractNumId w:val="18"/>
  </w:num>
  <w:num w:numId="11">
    <w:abstractNumId w:val="23"/>
  </w:num>
  <w:num w:numId="12">
    <w:abstractNumId w:val="7"/>
  </w:num>
  <w:num w:numId="13">
    <w:abstractNumId w:val="14"/>
  </w:num>
  <w:num w:numId="14">
    <w:abstractNumId w:val="12"/>
  </w:num>
  <w:num w:numId="15">
    <w:abstractNumId w:val="10"/>
  </w:num>
  <w:num w:numId="16">
    <w:abstractNumId w:val="25"/>
  </w:num>
  <w:num w:numId="17">
    <w:abstractNumId w:val="15"/>
  </w:num>
  <w:num w:numId="18">
    <w:abstractNumId w:val="16"/>
  </w:num>
  <w:num w:numId="19">
    <w:abstractNumId w:val="21"/>
  </w:num>
  <w:num w:numId="20">
    <w:abstractNumId w:val="19"/>
  </w:num>
  <w:num w:numId="21">
    <w:abstractNumId w:val="3"/>
  </w:num>
  <w:num w:numId="22">
    <w:abstractNumId w:val="1"/>
  </w:num>
  <w:num w:numId="23">
    <w:abstractNumId w:val="8"/>
  </w:num>
  <w:num w:numId="24">
    <w:abstractNumId w:val="17"/>
  </w:num>
  <w:num w:numId="25">
    <w:abstractNumId w:val="24"/>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7519CC4-D1C9-4BE5-8006-87C8DF2F3E9A}"/>
    <w:docVar w:name="dgnword-eventsink" w:val="1488176758624"/>
  </w:docVars>
  <w:rsids>
    <w:rsidRoot w:val="00F24BBB"/>
    <w:rsid w:val="00007B85"/>
    <w:rsid w:val="00010E0D"/>
    <w:rsid w:val="000160A8"/>
    <w:rsid w:val="00030DE5"/>
    <w:rsid w:val="000321F1"/>
    <w:rsid w:val="000333C0"/>
    <w:rsid w:val="000464BB"/>
    <w:rsid w:val="000468C8"/>
    <w:rsid w:val="0005787E"/>
    <w:rsid w:val="00067612"/>
    <w:rsid w:val="0008064A"/>
    <w:rsid w:val="00097F43"/>
    <w:rsid w:val="000A7804"/>
    <w:rsid w:val="000B54C0"/>
    <w:rsid w:val="000B7782"/>
    <w:rsid w:val="000C3E6A"/>
    <w:rsid w:val="000D6F0D"/>
    <w:rsid w:val="000E3C9A"/>
    <w:rsid w:val="000F1C5A"/>
    <w:rsid w:val="000F3752"/>
    <w:rsid w:val="001015D2"/>
    <w:rsid w:val="0010177F"/>
    <w:rsid w:val="00115C03"/>
    <w:rsid w:val="00123F4F"/>
    <w:rsid w:val="0012590A"/>
    <w:rsid w:val="0012654A"/>
    <w:rsid w:val="001413A5"/>
    <w:rsid w:val="001422D4"/>
    <w:rsid w:val="00142E41"/>
    <w:rsid w:val="00143BA6"/>
    <w:rsid w:val="00161D9E"/>
    <w:rsid w:val="00167F4E"/>
    <w:rsid w:val="00176C92"/>
    <w:rsid w:val="00176FAB"/>
    <w:rsid w:val="001843CD"/>
    <w:rsid w:val="00195682"/>
    <w:rsid w:val="001965DA"/>
    <w:rsid w:val="001A6702"/>
    <w:rsid w:val="001B0108"/>
    <w:rsid w:val="001B3684"/>
    <w:rsid w:val="001C46A2"/>
    <w:rsid w:val="001C57BB"/>
    <w:rsid w:val="001D09C0"/>
    <w:rsid w:val="001D7DA3"/>
    <w:rsid w:val="001E3197"/>
    <w:rsid w:val="001F0D83"/>
    <w:rsid w:val="00201749"/>
    <w:rsid w:val="00203E18"/>
    <w:rsid w:val="0020761F"/>
    <w:rsid w:val="00210E91"/>
    <w:rsid w:val="00221EB4"/>
    <w:rsid w:val="002225E7"/>
    <w:rsid w:val="00230CDA"/>
    <w:rsid w:val="00242BE8"/>
    <w:rsid w:val="00242F84"/>
    <w:rsid w:val="002641D0"/>
    <w:rsid w:val="002667FF"/>
    <w:rsid w:val="00270CCA"/>
    <w:rsid w:val="0027159B"/>
    <w:rsid w:val="002716F4"/>
    <w:rsid w:val="0027632F"/>
    <w:rsid w:val="0029025F"/>
    <w:rsid w:val="002949F1"/>
    <w:rsid w:val="002A1C12"/>
    <w:rsid w:val="002B53DB"/>
    <w:rsid w:val="002D36A9"/>
    <w:rsid w:val="002D4E1A"/>
    <w:rsid w:val="002E1463"/>
    <w:rsid w:val="002F3006"/>
    <w:rsid w:val="002F5580"/>
    <w:rsid w:val="00302527"/>
    <w:rsid w:val="0031132D"/>
    <w:rsid w:val="003134DA"/>
    <w:rsid w:val="00327130"/>
    <w:rsid w:val="003276D5"/>
    <w:rsid w:val="00331C54"/>
    <w:rsid w:val="00332AE5"/>
    <w:rsid w:val="00362788"/>
    <w:rsid w:val="00373756"/>
    <w:rsid w:val="00376825"/>
    <w:rsid w:val="00383C80"/>
    <w:rsid w:val="00391385"/>
    <w:rsid w:val="003A152F"/>
    <w:rsid w:val="003A7214"/>
    <w:rsid w:val="003B065A"/>
    <w:rsid w:val="003B4649"/>
    <w:rsid w:val="003B55CA"/>
    <w:rsid w:val="003C5CB1"/>
    <w:rsid w:val="003C707C"/>
    <w:rsid w:val="003C77B6"/>
    <w:rsid w:val="003D02BE"/>
    <w:rsid w:val="003F15A4"/>
    <w:rsid w:val="003F3458"/>
    <w:rsid w:val="0040138F"/>
    <w:rsid w:val="00415D4B"/>
    <w:rsid w:val="004204FB"/>
    <w:rsid w:val="00450B60"/>
    <w:rsid w:val="00452FF5"/>
    <w:rsid w:val="0045687A"/>
    <w:rsid w:val="00456AD7"/>
    <w:rsid w:val="00457E41"/>
    <w:rsid w:val="004926E1"/>
    <w:rsid w:val="004A44B9"/>
    <w:rsid w:val="004C095E"/>
    <w:rsid w:val="004C55FD"/>
    <w:rsid w:val="004C6403"/>
    <w:rsid w:val="004E23AE"/>
    <w:rsid w:val="004E4F0A"/>
    <w:rsid w:val="004F0B4D"/>
    <w:rsid w:val="004F2823"/>
    <w:rsid w:val="004F3A59"/>
    <w:rsid w:val="00517B09"/>
    <w:rsid w:val="00521FD4"/>
    <w:rsid w:val="00522726"/>
    <w:rsid w:val="00522A4C"/>
    <w:rsid w:val="005244C8"/>
    <w:rsid w:val="00524A9E"/>
    <w:rsid w:val="0052700C"/>
    <w:rsid w:val="00531B8D"/>
    <w:rsid w:val="00537EC8"/>
    <w:rsid w:val="00552B8F"/>
    <w:rsid w:val="00552FC9"/>
    <w:rsid w:val="00555796"/>
    <w:rsid w:val="0056177B"/>
    <w:rsid w:val="005634A5"/>
    <w:rsid w:val="00567C4C"/>
    <w:rsid w:val="00574CB4"/>
    <w:rsid w:val="0057530A"/>
    <w:rsid w:val="00584FBF"/>
    <w:rsid w:val="0058713F"/>
    <w:rsid w:val="005960D3"/>
    <w:rsid w:val="005A33D5"/>
    <w:rsid w:val="005A4E01"/>
    <w:rsid w:val="005A4F0E"/>
    <w:rsid w:val="005B0486"/>
    <w:rsid w:val="005B34D5"/>
    <w:rsid w:val="005B3743"/>
    <w:rsid w:val="005C1C31"/>
    <w:rsid w:val="005D1EF4"/>
    <w:rsid w:val="005D2414"/>
    <w:rsid w:val="005D3B6C"/>
    <w:rsid w:val="005E7E65"/>
    <w:rsid w:val="005F41C0"/>
    <w:rsid w:val="005F590E"/>
    <w:rsid w:val="00606398"/>
    <w:rsid w:val="0061277D"/>
    <w:rsid w:val="00616F0C"/>
    <w:rsid w:val="00620055"/>
    <w:rsid w:val="0062515C"/>
    <w:rsid w:val="00626593"/>
    <w:rsid w:val="006414B3"/>
    <w:rsid w:val="00646370"/>
    <w:rsid w:val="0064688F"/>
    <w:rsid w:val="00650547"/>
    <w:rsid w:val="00666F79"/>
    <w:rsid w:val="00667248"/>
    <w:rsid w:val="00674D24"/>
    <w:rsid w:val="00686EA9"/>
    <w:rsid w:val="006902C4"/>
    <w:rsid w:val="00692BC7"/>
    <w:rsid w:val="00694CDE"/>
    <w:rsid w:val="006A5031"/>
    <w:rsid w:val="006A5CC0"/>
    <w:rsid w:val="006B2770"/>
    <w:rsid w:val="006C71D5"/>
    <w:rsid w:val="006C7999"/>
    <w:rsid w:val="006D12B5"/>
    <w:rsid w:val="006E052A"/>
    <w:rsid w:val="006E33F5"/>
    <w:rsid w:val="006F2C11"/>
    <w:rsid w:val="00712FE3"/>
    <w:rsid w:val="0071302F"/>
    <w:rsid w:val="0071465E"/>
    <w:rsid w:val="00715A28"/>
    <w:rsid w:val="00716B88"/>
    <w:rsid w:val="00720FF9"/>
    <w:rsid w:val="007223AD"/>
    <w:rsid w:val="00724075"/>
    <w:rsid w:val="00726168"/>
    <w:rsid w:val="0072747A"/>
    <w:rsid w:val="0072761F"/>
    <w:rsid w:val="00733B15"/>
    <w:rsid w:val="00735F9D"/>
    <w:rsid w:val="00744A49"/>
    <w:rsid w:val="00750747"/>
    <w:rsid w:val="0075464B"/>
    <w:rsid w:val="00775D3F"/>
    <w:rsid w:val="00777CFB"/>
    <w:rsid w:val="0079699D"/>
    <w:rsid w:val="007C68D6"/>
    <w:rsid w:val="007D64B0"/>
    <w:rsid w:val="007F71A2"/>
    <w:rsid w:val="00805EFC"/>
    <w:rsid w:val="00816AF5"/>
    <w:rsid w:val="008312FB"/>
    <w:rsid w:val="008337DD"/>
    <w:rsid w:val="00853825"/>
    <w:rsid w:val="008624CE"/>
    <w:rsid w:val="00880396"/>
    <w:rsid w:val="00882CDF"/>
    <w:rsid w:val="00890B93"/>
    <w:rsid w:val="00890F12"/>
    <w:rsid w:val="0089470C"/>
    <w:rsid w:val="008960C1"/>
    <w:rsid w:val="00897976"/>
    <w:rsid w:val="008A0ED2"/>
    <w:rsid w:val="008A4249"/>
    <w:rsid w:val="008B2B47"/>
    <w:rsid w:val="008B4172"/>
    <w:rsid w:val="008E4BA2"/>
    <w:rsid w:val="008F3308"/>
    <w:rsid w:val="008F3BC3"/>
    <w:rsid w:val="008F4722"/>
    <w:rsid w:val="0091012B"/>
    <w:rsid w:val="00917F51"/>
    <w:rsid w:val="00934208"/>
    <w:rsid w:val="00937F49"/>
    <w:rsid w:val="00956BF0"/>
    <w:rsid w:val="00963525"/>
    <w:rsid w:val="00970CA3"/>
    <w:rsid w:val="00984B3F"/>
    <w:rsid w:val="00997750"/>
    <w:rsid w:val="009A48A2"/>
    <w:rsid w:val="009B5973"/>
    <w:rsid w:val="009B5D0F"/>
    <w:rsid w:val="009C151F"/>
    <w:rsid w:val="009C1A3D"/>
    <w:rsid w:val="009C1FFA"/>
    <w:rsid w:val="009C2EDD"/>
    <w:rsid w:val="009C3363"/>
    <w:rsid w:val="009C3A83"/>
    <w:rsid w:val="009E25D4"/>
    <w:rsid w:val="009F0196"/>
    <w:rsid w:val="009F0FE7"/>
    <w:rsid w:val="00A051E5"/>
    <w:rsid w:val="00A07BDA"/>
    <w:rsid w:val="00A12989"/>
    <w:rsid w:val="00A13A2F"/>
    <w:rsid w:val="00A20B8F"/>
    <w:rsid w:val="00A26E78"/>
    <w:rsid w:val="00A53526"/>
    <w:rsid w:val="00A55AA2"/>
    <w:rsid w:val="00A74327"/>
    <w:rsid w:val="00A90977"/>
    <w:rsid w:val="00A90BEE"/>
    <w:rsid w:val="00AA3F1F"/>
    <w:rsid w:val="00AB034E"/>
    <w:rsid w:val="00AB35ED"/>
    <w:rsid w:val="00AC3DCA"/>
    <w:rsid w:val="00AC3E32"/>
    <w:rsid w:val="00AD3BD1"/>
    <w:rsid w:val="00AD5A65"/>
    <w:rsid w:val="00AD651A"/>
    <w:rsid w:val="00AE1019"/>
    <w:rsid w:val="00AE3220"/>
    <w:rsid w:val="00AE3285"/>
    <w:rsid w:val="00B012BB"/>
    <w:rsid w:val="00B102F5"/>
    <w:rsid w:val="00B130E0"/>
    <w:rsid w:val="00B31A1A"/>
    <w:rsid w:val="00B36FA1"/>
    <w:rsid w:val="00B443B1"/>
    <w:rsid w:val="00B50961"/>
    <w:rsid w:val="00B57D98"/>
    <w:rsid w:val="00B644FF"/>
    <w:rsid w:val="00B75647"/>
    <w:rsid w:val="00B76B84"/>
    <w:rsid w:val="00B835DC"/>
    <w:rsid w:val="00B84098"/>
    <w:rsid w:val="00B90FB7"/>
    <w:rsid w:val="00BA094D"/>
    <w:rsid w:val="00BA48C9"/>
    <w:rsid w:val="00BB1FEF"/>
    <w:rsid w:val="00BC366E"/>
    <w:rsid w:val="00BD0905"/>
    <w:rsid w:val="00BD6245"/>
    <w:rsid w:val="00BE5C13"/>
    <w:rsid w:val="00BF1E92"/>
    <w:rsid w:val="00BF59D2"/>
    <w:rsid w:val="00C1156D"/>
    <w:rsid w:val="00C117ED"/>
    <w:rsid w:val="00C160EE"/>
    <w:rsid w:val="00C22517"/>
    <w:rsid w:val="00C2262B"/>
    <w:rsid w:val="00C3396D"/>
    <w:rsid w:val="00C47358"/>
    <w:rsid w:val="00C476FE"/>
    <w:rsid w:val="00C5250D"/>
    <w:rsid w:val="00C568B9"/>
    <w:rsid w:val="00C57EFE"/>
    <w:rsid w:val="00C644FA"/>
    <w:rsid w:val="00C6464C"/>
    <w:rsid w:val="00C9016C"/>
    <w:rsid w:val="00C903C4"/>
    <w:rsid w:val="00C90813"/>
    <w:rsid w:val="00CA0F97"/>
    <w:rsid w:val="00CA192F"/>
    <w:rsid w:val="00CC3C2B"/>
    <w:rsid w:val="00CC5672"/>
    <w:rsid w:val="00CD732F"/>
    <w:rsid w:val="00CE106B"/>
    <w:rsid w:val="00CE15E4"/>
    <w:rsid w:val="00CE1622"/>
    <w:rsid w:val="00CE3E54"/>
    <w:rsid w:val="00CF0881"/>
    <w:rsid w:val="00CF165E"/>
    <w:rsid w:val="00D21EEA"/>
    <w:rsid w:val="00D22B13"/>
    <w:rsid w:val="00D3601B"/>
    <w:rsid w:val="00D438AA"/>
    <w:rsid w:val="00D45E59"/>
    <w:rsid w:val="00D52EBC"/>
    <w:rsid w:val="00D62A6F"/>
    <w:rsid w:val="00D771D4"/>
    <w:rsid w:val="00D80BB2"/>
    <w:rsid w:val="00D82130"/>
    <w:rsid w:val="00D835F5"/>
    <w:rsid w:val="00D96488"/>
    <w:rsid w:val="00DA323D"/>
    <w:rsid w:val="00DA5C5E"/>
    <w:rsid w:val="00DB10D9"/>
    <w:rsid w:val="00DB5BC5"/>
    <w:rsid w:val="00DC0267"/>
    <w:rsid w:val="00DC0858"/>
    <w:rsid w:val="00DD1D4D"/>
    <w:rsid w:val="00DD1FEA"/>
    <w:rsid w:val="00DE0A4A"/>
    <w:rsid w:val="00DF2882"/>
    <w:rsid w:val="00DF7820"/>
    <w:rsid w:val="00E15089"/>
    <w:rsid w:val="00E15D3E"/>
    <w:rsid w:val="00E17C53"/>
    <w:rsid w:val="00E17DF8"/>
    <w:rsid w:val="00E2085A"/>
    <w:rsid w:val="00E2215C"/>
    <w:rsid w:val="00E3070F"/>
    <w:rsid w:val="00E35B47"/>
    <w:rsid w:val="00E41262"/>
    <w:rsid w:val="00E51E0D"/>
    <w:rsid w:val="00E5219F"/>
    <w:rsid w:val="00E541D5"/>
    <w:rsid w:val="00E5591F"/>
    <w:rsid w:val="00E61202"/>
    <w:rsid w:val="00E82C34"/>
    <w:rsid w:val="00EA16CD"/>
    <w:rsid w:val="00EB0468"/>
    <w:rsid w:val="00EB3A58"/>
    <w:rsid w:val="00EE3E94"/>
    <w:rsid w:val="00EE6772"/>
    <w:rsid w:val="00EF3EE2"/>
    <w:rsid w:val="00F10137"/>
    <w:rsid w:val="00F2222B"/>
    <w:rsid w:val="00F24BBB"/>
    <w:rsid w:val="00F254F2"/>
    <w:rsid w:val="00F25FEA"/>
    <w:rsid w:val="00F2749E"/>
    <w:rsid w:val="00F33F7F"/>
    <w:rsid w:val="00F45985"/>
    <w:rsid w:val="00F508BA"/>
    <w:rsid w:val="00F51529"/>
    <w:rsid w:val="00F76436"/>
    <w:rsid w:val="00F85AFB"/>
    <w:rsid w:val="00F92693"/>
    <w:rsid w:val="00FA69BC"/>
    <w:rsid w:val="00FA7A41"/>
    <w:rsid w:val="00FB1C4D"/>
    <w:rsid w:val="00FB2E83"/>
    <w:rsid w:val="00FB6440"/>
    <w:rsid w:val="00FC07BC"/>
    <w:rsid w:val="00FE38C7"/>
    <w:rsid w:val="00FE494C"/>
    <w:rsid w:val="00FE4DE9"/>
    <w:rsid w:val="00FE6B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AE50D"/>
  <w15:chartTrackingRefBased/>
  <w15:docId w15:val="{6CBC5BF2-5BC5-4587-99E3-DE79AD4B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881"/>
    <w:pPr>
      <w:spacing w:line="256" w:lineRule="auto"/>
      <w:ind w:left="720"/>
      <w:contextualSpacing/>
    </w:pPr>
    <w:rPr>
      <w:lang w:val="en-US"/>
    </w:rPr>
  </w:style>
  <w:style w:type="paragraph" w:styleId="Header">
    <w:name w:val="header"/>
    <w:basedOn w:val="Normal"/>
    <w:link w:val="HeaderChar"/>
    <w:uiPriority w:val="99"/>
    <w:unhideWhenUsed/>
    <w:rsid w:val="00552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B8F"/>
  </w:style>
  <w:style w:type="paragraph" w:styleId="Footer">
    <w:name w:val="footer"/>
    <w:basedOn w:val="Normal"/>
    <w:link w:val="FooterChar"/>
    <w:uiPriority w:val="99"/>
    <w:unhideWhenUsed/>
    <w:rsid w:val="00552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B8F"/>
  </w:style>
  <w:style w:type="character" w:styleId="CommentReference">
    <w:name w:val="annotation reference"/>
    <w:basedOn w:val="DefaultParagraphFont"/>
    <w:uiPriority w:val="99"/>
    <w:semiHidden/>
    <w:unhideWhenUsed/>
    <w:rsid w:val="0005787E"/>
    <w:rPr>
      <w:sz w:val="16"/>
      <w:szCs w:val="16"/>
    </w:rPr>
  </w:style>
  <w:style w:type="paragraph" w:styleId="CommentText">
    <w:name w:val="annotation text"/>
    <w:basedOn w:val="Normal"/>
    <w:link w:val="CommentTextChar"/>
    <w:uiPriority w:val="99"/>
    <w:unhideWhenUsed/>
    <w:rsid w:val="0005787E"/>
    <w:pPr>
      <w:spacing w:line="240" w:lineRule="auto"/>
    </w:pPr>
    <w:rPr>
      <w:sz w:val="20"/>
      <w:szCs w:val="20"/>
    </w:rPr>
  </w:style>
  <w:style w:type="character" w:customStyle="1" w:styleId="CommentTextChar">
    <w:name w:val="Comment Text Char"/>
    <w:basedOn w:val="DefaultParagraphFont"/>
    <w:link w:val="CommentText"/>
    <w:uiPriority w:val="99"/>
    <w:rsid w:val="0005787E"/>
    <w:rPr>
      <w:sz w:val="20"/>
      <w:szCs w:val="20"/>
    </w:rPr>
  </w:style>
  <w:style w:type="paragraph" w:styleId="CommentSubject">
    <w:name w:val="annotation subject"/>
    <w:basedOn w:val="CommentText"/>
    <w:next w:val="CommentText"/>
    <w:link w:val="CommentSubjectChar"/>
    <w:uiPriority w:val="99"/>
    <w:semiHidden/>
    <w:unhideWhenUsed/>
    <w:rsid w:val="0005787E"/>
    <w:rPr>
      <w:b/>
      <w:bCs/>
    </w:rPr>
  </w:style>
  <w:style w:type="character" w:customStyle="1" w:styleId="CommentSubjectChar">
    <w:name w:val="Comment Subject Char"/>
    <w:basedOn w:val="CommentTextChar"/>
    <w:link w:val="CommentSubject"/>
    <w:uiPriority w:val="99"/>
    <w:semiHidden/>
    <w:rsid w:val="0005787E"/>
    <w:rPr>
      <w:b/>
      <w:bCs/>
      <w:sz w:val="20"/>
      <w:szCs w:val="20"/>
    </w:rPr>
  </w:style>
  <w:style w:type="paragraph" w:styleId="BalloonText">
    <w:name w:val="Balloon Text"/>
    <w:basedOn w:val="Normal"/>
    <w:link w:val="BalloonTextChar"/>
    <w:uiPriority w:val="99"/>
    <w:semiHidden/>
    <w:unhideWhenUsed/>
    <w:rsid w:val="00057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87E"/>
    <w:rPr>
      <w:rFonts w:ascii="Segoe UI" w:hAnsi="Segoe UI" w:cs="Segoe UI"/>
      <w:sz w:val="18"/>
      <w:szCs w:val="18"/>
    </w:rPr>
  </w:style>
  <w:style w:type="character" w:styleId="Hyperlink">
    <w:name w:val="Hyperlink"/>
    <w:basedOn w:val="DefaultParagraphFont"/>
    <w:uiPriority w:val="99"/>
    <w:semiHidden/>
    <w:unhideWhenUsed/>
    <w:rsid w:val="00E15D3E"/>
    <w:rPr>
      <w:color w:val="0000FF"/>
      <w:u w:val="single"/>
    </w:rPr>
  </w:style>
  <w:style w:type="character" w:customStyle="1" w:styleId="mc">
    <w:name w:val="mc"/>
    <w:basedOn w:val="DefaultParagraphFont"/>
    <w:rsid w:val="00D438AA"/>
  </w:style>
  <w:style w:type="paragraph" w:styleId="FootnoteText">
    <w:name w:val="footnote text"/>
    <w:basedOn w:val="Normal"/>
    <w:link w:val="FootnoteTextChar"/>
    <w:uiPriority w:val="99"/>
    <w:semiHidden/>
    <w:unhideWhenUsed/>
    <w:rsid w:val="008F33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308"/>
    <w:rPr>
      <w:sz w:val="20"/>
      <w:szCs w:val="20"/>
    </w:rPr>
  </w:style>
  <w:style w:type="character" w:styleId="FootnoteReference">
    <w:name w:val="footnote reference"/>
    <w:basedOn w:val="DefaultParagraphFont"/>
    <w:uiPriority w:val="99"/>
    <w:semiHidden/>
    <w:unhideWhenUsed/>
    <w:rsid w:val="008F3308"/>
    <w:rPr>
      <w:vertAlign w:val="superscript"/>
    </w:rPr>
  </w:style>
  <w:style w:type="paragraph" w:styleId="Revision">
    <w:name w:val="Revision"/>
    <w:hidden/>
    <w:uiPriority w:val="99"/>
    <w:semiHidden/>
    <w:rsid w:val="00DF28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0497">
      <w:bodyDiv w:val="1"/>
      <w:marLeft w:val="0"/>
      <w:marRight w:val="0"/>
      <w:marTop w:val="0"/>
      <w:marBottom w:val="0"/>
      <w:divBdr>
        <w:top w:val="none" w:sz="0" w:space="0" w:color="auto"/>
        <w:left w:val="none" w:sz="0" w:space="0" w:color="auto"/>
        <w:bottom w:val="none" w:sz="0" w:space="0" w:color="auto"/>
        <w:right w:val="none" w:sz="0" w:space="0" w:color="auto"/>
      </w:divBdr>
      <w:divsChild>
        <w:div w:id="1833520362">
          <w:marLeft w:val="0"/>
          <w:marRight w:val="0"/>
          <w:marTop w:val="0"/>
          <w:marBottom w:val="0"/>
          <w:divBdr>
            <w:top w:val="none" w:sz="0" w:space="0" w:color="auto"/>
            <w:left w:val="none" w:sz="0" w:space="0" w:color="auto"/>
            <w:bottom w:val="none" w:sz="0" w:space="0" w:color="auto"/>
            <w:right w:val="none" w:sz="0" w:space="0" w:color="auto"/>
          </w:divBdr>
        </w:div>
      </w:divsChild>
    </w:div>
    <w:div w:id="1347752488">
      <w:bodyDiv w:val="1"/>
      <w:marLeft w:val="0"/>
      <w:marRight w:val="0"/>
      <w:marTop w:val="0"/>
      <w:marBottom w:val="0"/>
      <w:divBdr>
        <w:top w:val="none" w:sz="0" w:space="0" w:color="auto"/>
        <w:left w:val="none" w:sz="0" w:space="0" w:color="auto"/>
        <w:bottom w:val="none" w:sz="0" w:space="0" w:color="auto"/>
        <w:right w:val="none" w:sz="0" w:space="0" w:color="auto"/>
      </w:divBdr>
      <w:divsChild>
        <w:div w:id="2079283853">
          <w:marLeft w:val="0"/>
          <w:marRight w:val="0"/>
          <w:marTop w:val="120"/>
          <w:marBottom w:val="0"/>
          <w:divBdr>
            <w:top w:val="none" w:sz="0" w:space="0" w:color="auto"/>
            <w:left w:val="none" w:sz="0" w:space="0" w:color="auto"/>
            <w:bottom w:val="none" w:sz="0" w:space="0" w:color="auto"/>
            <w:right w:val="none" w:sz="0" w:space="0" w:color="auto"/>
          </w:divBdr>
        </w:div>
        <w:div w:id="2062046856">
          <w:marLeft w:val="0"/>
          <w:marRight w:val="0"/>
          <w:marTop w:val="120"/>
          <w:marBottom w:val="0"/>
          <w:divBdr>
            <w:top w:val="none" w:sz="0" w:space="0" w:color="auto"/>
            <w:left w:val="none" w:sz="0" w:space="0" w:color="auto"/>
            <w:bottom w:val="none" w:sz="0" w:space="0" w:color="auto"/>
            <w:right w:val="none" w:sz="0" w:space="0" w:color="auto"/>
          </w:divBdr>
        </w:div>
      </w:divsChild>
    </w:div>
    <w:div w:id="1587493993">
      <w:bodyDiv w:val="1"/>
      <w:marLeft w:val="0"/>
      <w:marRight w:val="0"/>
      <w:marTop w:val="0"/>
      <w:marBottom w:val="0"/>
      <w:divBdr>
        <w:top w:val="none" w:sz="0" w:space="0" w:color="auto"/>
        <w:left w:val="none" w:sz="0" w:space="0" w:color="auto"/>
        <w:bottom w:val="none" w:sz="0" w:space="0" w:color="auto"/>
        <w:right w:val="none" w:sz="0" w:space="0" w:color="auto"/>
      </w:divBdr>
    </w:div>
    <w:div w:id="2117942420">
      <w:bodyDiv w:val="1"/>
      <w:marLeft w:val="0"/>
      <w:marRight w:val="0"/>
      <w:marTop w:val="0"/>
      <w:marBottom w:val="0"/>
      <w:divBdr>
        <w:top w:val="none" w:sz="0" w:space="0" w:color="auto"/>
        <w:left w:val="none" w:sz="0" w:space="0" w:color="auto"/>
        <w:bottom w:val="none" w:sz="0" w:space="0" w:color="auto"/>
        <w:right w:val="none" w:sz="0" w:space="0" w:color="auto"/>
      </w:divBdr>
      <w:divsChild>
        <w:div w:id="1820419395">
          <w:marLeft w:val="0"/>
          <w:marRight w:val="0"/>
          <w:marTop w:val="120"/>
          <w:marBottom w:val="0"/>
          <w:divBdr>
            <w:top w:val="none" w:sz="0" w:space="0" w:color="auto"/>
            <w:left w:val="none" w:sz="0" w:space="0" w:color="auto"/>
            <w:bottom w:val="none" w:sz="0" w:space="0" w:color="auto"/>
            <w:right w:val="none" w:sz="0" w:space="0" w:color="auto"/>
          </w:divBdr>
        </w:div>
        <w:div w:id="1741708409">
          <w:marLeft w:val="0"/>
          <w:marRight w:val="0"/>
          <w:marTop w:val="240"/>
          <w:marBottom w:val="24"/>
          <w:divBdr>
            <w:top w:val="single" w:sz="8" w:space="2" w:color="808080"/>
            <w:left w:val="none" w:sz="0" w:space="0" w:color="auto"/>
            <w:bottom w:val="none" w:sz="0" w:space="0" w:color="auto"/>
            <w:right w:val="none" w:sz="0" w:space="0" w:color="auto"/>
          </w:divBdr>
        </w:div>
        <w:div w:id="845942501">
          <w:marLeft w:val="0"/>
          <w:marRight w:val="0"/>
          <w:marTop w:val="120"/>
          <w:marBottom w:val="0"/>
          <w:divBdr>
            <w:top w:val="none" w:sz="0" w:space="0" w:color="auto"/>
            <w:left w:val="none" w:sz="0" w:space="0" w:color="auto"/>
            <w:bottom w:val="none" w:sz="0" w:space="0" w:color="auto"/>
            <w:right w:val="none" w:sz="0" w:space="0" w:color="auto"/>
          </w:divBdr>
        </w:div>
        <w:div w:id="4850621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844467%27%5d&amp;xhitlist_md=target-id=0-0-0-7506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913614%27%5d&amp;xhitlist_md=target-id=0-0-0-12981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12" ma:contentTypeDescription="Create a new document." ma:contentTypeScope="" ma:versionID="a27c0a24cfbc8fbceb45eead8a615fd7">
  <xsd:schema xmlns:xsd="http://www.w3.org/2001/XMLSchema" xmlns:xs="http://www.w3.org/2001/XMLSchema" xmlns:p="http://schemas.microsoft.com/office/2006/metadata/properties" xmlns:ns3="068c6b3d-be1e-4467-bdef-3b2882ff4aae" targetNamespace="http://schemas.microsoft.com/office/2006/metadata/properties" ma:root="true" ma:fieldsID="70ca757cc3e4c85af74b047ef5f934fd" ns3:_="">
    <xsd:import namespace="068c6b3d-be1e-4467-bdef-3b2882ff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9BA9B-01A8-441C-A083-68D59DDB43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C09BB5-CC3B-4812-BFBF-E15DF6E95C4D}">
  <ds:schemaRefs>
    <ds:schemaRef ds:uri="http://schemas.microsoft.com/sharepoint/v3/contenttype/forms"/>
  </ds:schemaRefs>
</ds:datastoreItem>
</file>

<file path=customXml/itemProps3.xml><?xml version="1.0" encoding="utf-8"?>
<ds:datastoreItem xmlns:ds="http://schemas.openxmlformats.org/officeDocument/2006/customXml" ds:itemID="{A0A06010-D8C5-4B50-A869-1584B2F38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674DB8-8B1F-4192-BFD1-E59A744D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5719</Words>
  <Characters>32600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Judge-Mokgere Masipa</dc:creator>
  <cp:keywords/>
  <dc:description/>
  <cp:lastModifiedBy>Mary Bruce</cp:lastModifiedBy>
  <cp:revision>10</cp:revision>
  <cp:lastPrinted>2024-02-12T12:47:00Z</cp:lastPrinted>
  <dcterms:created xsi:type="dcterms:W3CDTF">2024-03-16T14:45:00Z</dcterms:created>
  <dcterms:modified xsi:type="dcterms:W3CDTF">2024-03-18T07:47:00Z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