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CA" w:rsidRDefault="009E47CA" w:rsidP="009E47CA">
      <w:pPr>
        <w:autoSpaceDE w:val="0"/>
        <w:autoSpaceDN w:val="0"/>
        <w:adjustRightInd w:val="0"/>
        <w:spacing w:after="0" w:line="241" w:lineRule="atLeast"/>
        <w:jc w:val="center"/>
        <w:rPr>
          <w:rFonts w:ascii="Arial" w:eastAsia="Times New Roman" w:hAnsi="Arial" w:cs="Arial"/>
          <w:b/>
          <w:sz w:val="28"/>
          <w:szCs w:val="28"/>
          <w:lang w:val="af-ZA"/>
        </w:rPr>
      </w:pPr>
      <w:r>
        <w:rPr>
          <w:rFonts w:ascii="Arial" w:eastAsia="Times New Roman" w:hAnsi="Arial" w:cs="Times New Roman"/>
          <w:noProof/>
          <w:sz w:val="24"/>
          <w:szCs w:val="24"/>
        </w:rPr>
        <w:drawing>
          <wp:inline distT="0" distB="0" distL="0" distR="0">
            <wp:extent cx="12573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r>
        <w:rPr>
          <w:rFonts w:ascii="Arial" w:eastAsia="Times New Roman" w:hAnsi="Arial" w:cs="Arial"/>
          <w:b/>
          <w:sz w:val="28"/>
          <w:szCs w:val="28"/>
          <w:lang w:val="af-ZA"/>
        </w:rPr>
        <w:t xml:space="preserve"> </w:t>
      </w:r>
    </w:p>
    <w:p w:rsidR="009E47CA" w:rsidRDefault="009E47CA" w:rsidP="009E47CA">
      <w:pPr>
        <w:autoSpaceDE w:val="0"/>
        <w:autoSpaceDN w:val="0"/>
        <w:adjustRightInd w:val="0"/>
        <w:spacing w:after="0" w:line="241" w:lineRule="atLeast"/>
        <w:jc w:val="center"/>
        <w:rPr>
          <w:rFonts w:ascii="Century Gothic" w:eastAsia="Times New Roman" w:hAnsi="Century Gothic" w:cs="Arial"/>
          <w:b/>
          <w:color w:val="000000"/>
          <w:sz w:val="28"/>
          <w:szCs w:val="28"/>
          <w:lang w:val="af-ZA"/>
        </w:rPr>
      </w:pPr>
      <w:r>
        <w:rPr>
          <w:rFonts w:ascii="Century Gothic" w:eastAsia="Times New Roman" w:hAnsi="Century Gothic" w:cs="Arial"/>
          <w:b/>
          <w:sz w:val="28"/>
          <w:szCs w:val="28"/>
          <w:lang w:val="af-ZA"/>
        </w:rPr>
        <w:t>IN THE REGIONAL COURT FOR THE REGIONAL DIVISION OF KWAZULU-NATAL</w:t>
      </w:r>
    </w:p>
    <w:p w:rsidR="009E47CA" w:rsidRDefault="009E47CA" w:rsidP="009E47CA">
      <w:pPr>
        <w:spacing w:after="0" w:line="240" w:lineRule="auto"/>
        <w:jc w:val="center"/>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HELD AT DURBAN</w:t>
      </w:r>
    </w:p>
    <w:p w:rsidR="009E47CA" w:rsidRDefault="009E47CA" w:rsidP="009E47CA">
      <w:pPr>
        <w:spacing w:after="0" w:line="240" w:lineRule="auto"/>
        <w:jc w:val="center"/>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 xml:space="preserve">                                                                  </w:t>
      </w:r>
    </w:p>
    <w:p w:rsidR="009E47CA" w:rsidRDefault="009E47CA" w:rsidP="009E47CA">
      <w:pPr>
        <w:spacing w:after="0" w:line="240" w:lineRule="auto"/>
        <w:jc w:val="center"/>
        <w:rPr>
          <w:rFonts w:ascii="Century Gothic" w:eastAsia="Times New Roman" w:hAnsi="Century Gothic" w:cs="Times New Roman"/>
          <w:sz w:val="28"/>
          <w:szCs w:val="28"/>
          <w:lang w:val="af-ZA"/>
        </w:rPr>
      </w:pPr>
    </w:p>
    <w:p w:rsidR="009E47CA" w:rsidRDefault="009E47CA" w:rsidP="009E47CA">
      <w:pPr>
        <w:spacing w:after="0" w:line="240" w:lineRule="auto"/>
        <w:jc w:val="center"/>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 xml:space="preserve">                                                        Case no:KZN/DBN/RC  2844/2017</w:t>
      </w:r>
    </w:p>
    <w:p w:rsidR="009E47CA" w:rsidRDefault="009E47CA" w:rsidP="009E47CA">
      <w:pPr>
        <w:spacing w:after="0" w:line="240" w:lineRule="auto"/>
        <w:rPr>
          <w:rFonts w:ascii="Century Gothic" w:eastAsia="Times New Roman" w:hAnsi="Century Gothic" w:cs="Times New Roman"/>
          <w:sz w:val="28"/>
          <w:szCs w:val="28"/>
          <w:lang w:val="af-ZA"/>
        </w:rPr>
      </w:pPr>
    </w:p>
    <w:p w:rsidR="009E47CA" w:rsidRDefault="009E47CA" w:rsidP="009E47CA">
      <w:pPr>
        <w:spacing w:after="0" w:line="240" w:lineRule="auto"/>
        <w:rPr>
          <w:rFonts w:ascii="Century Gothic" w:eastAsia="Times New Roman" w:hAnsi="Century Gothic" w:cs="Times New Roman"/>
          <w:sz w:val="24"/>
          <w:szCs w:val="24"/>
          <w:lang w:val="af-ZA"/>
        </w:rPr>
      </w:pPr>
      <w:r>
        <w:rPr>
          <w:rFonts w:ascii="Century Gothic" w:eastAsia="Times New Roman" w:hAnsi="Century Gothic" w:cs="Times New Roman"/>
          <w:sz w:val="24"/>
          <w:szCs w:val="24"/>
          <w:lang w:val="af-ZA"/>
        </w:rPr>
        <w:t>In the matter between:</w:t>
      </w:r>
    </w:p>
    <w:p w:rsidR="009E47CA" w:rsidRDefault="009E47CA" w:rsidP="009E47CA">
      <w:pPr>
        <w:spacing w:after="0" w:line="240" w:lineRule="auto"/>
        <w:rPr>
          <w:rFonts w:ascii="Century Gothic" w:eastAsia="Times New Roman" w:hAnsi="Century Gothic" w:cs="Times New Roman"/>
          <w:sz w:val="24"/>
          <w:szCs w:val="24"/>
          <w:lang w:val="af-ZA"/>
        </w:rPr>
      </w:pPr>
    </w:p>
    <w:p w:rsidR="009E47CA" w:rsidRDefault="009E47CA" w:rsidP="009E47CA">
      <w:pPr>
        <w:spacing w:after="0" w:line="240" w:lineRule="auto"/>
        <w:rPr>
          <w:rFonts w:ascii="Century Gothic" w:eastAsia="Times New Roman" w:hAnsi="Century Gothic" w:cs="Times New Roman"/>
          <w:sz w:val="28"/>
          <w:szCs w:val="28"/>
          <w:lang w:val="af-ZA"/>
        </w:rPr>
      </w:pPr>
    </w:p>
    <w:p w:rsidR="009E47CA" w:rsidRDefault="009E47CA" w:rsidP="009E47CA">
      <w:pPr>
        <w:tabs>
          <w:tab w:val="right" w:pos="9480"/>
        </w:tabs>
        <w:spacing w:after="0" w:line="240" w:lineRule="auto"/>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 xml:space="preserve">FORTUNATE NOMBUYISELO NKUNZI               </w:t>
      </w:r>
      <w:r w:rsidR="00061AF3">
        <w:rPr>
          <w:rFonts w:ascii="Century Gothic" w:eastAsia="Times New Roman" w:hAnsi="Century Gothic" w:cs="Times New Roman"/>
          <w:b/>
          <w:sz w:val="28"/>
          <w:szCs w:val="28"/>
          <w:lang w:val="af-ZA"/>
        </w:rPr>
        <w:t xml:space="preserve">           </w:t>
      </w:r>
      <w:r w:rsidR="00061AF3" w:rsidRPr="00061AF3">
        <w:rPr>
          <w:rFonts w:ascii="Century Gothic" w:eastAsia="Times New Roman" w:hAnsi="Century Gothic" w:cs="Times New Roman"/>
          <w:sz w:val="28"/>
          <w:szCs w:val="28"/>
          <w:lang w:val="af-ZA"/>
        </w:rPr>
        <w:t>Plaintiff/Respondent</w:t>
      </w:r>
      <w:r>
        <w:rPr>
          <w:rFonts w:ascii="Century Gothic" w:eastAsia="Times New Roman" w:hAnsi="Century Gothic" w:cs="Times New Roman"/>
          <w:b/>
          <w:sz w:val="28"/>
          <w:szCs w:val="28"/>
          <w:lang w:val="af-ZA"/>
        </w:rPr>
        <w:tab/>
      </w:r>
    </w:p>
    <w:p w:rsidR="009E47CA" w:rsidRDefault="009E47CA" w:rsidP="009E47CA">
      <w:pPr>
        <w:spacing w:after="0" w:line="240" w:lineRule="auto"/>
        <w:rPr>
          <w:rFonts w:ascii="Century Gothic" w:eastAsia="Times New Roman" w:hAnsi="Century Gothic" w:cs="Times New Roman"/>
          <w:sz w:val="28"/>
          <w:szCs w:val="28"/>
          <w:lang w:val="af-ZA"/>
        </w:rPr>
      </w:pPr>
    </w:p>
    <w:p w:rsidR="009E47CA" w:rsidRDefault="009E47CA" w:rsidP="009E47CA">
      <w:pPr>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and</w:t>
      </w:r>
    </w:p>
    <w:p w:rsidR="009E47CA" w:rsidRDefault="009E47CA" w:rsidP="009E47CA">
      <w:pPr>
        <w:spacing w:after="0" w:line="240" w:lineRule="auto"/>
        <w:rPr>
          <w:rFonts w:ascii="Century Gothic" w:eastAsia="Times New Roman" w:hAnsi="Century Gothic" w:cs="Times New Roman"/>
          <w:b/>
          <w:sz w:val="28"/>
          <w:szCs w:val="28"/>
          <w:lang w:val="af-ZA"/>
        </w:rPr>
      </w:pPr>
    </w:p>
    <w:p w:rsidR="009E47CA" w:rsidRPr="00061AF3" w:rsidRDefault="009E47CA" w:rsidP="009E47CA">
      <w:pPr>
        <w:spacing w:after="0" w:line="240" w:lineRule="auto"/>
        <w:rPr>
          <w:rFonts w:ascii="Century Gothic" w:eastAsia="Times New Roman" w:hAnsi="Century Gothic" w:cs="Times New Roman"/>
          <w:b/>
          <w:sz w:val="28"/>
          <w:szCs w:val="28"/>
          <w:lang w:val="af-ZA"/>
        </w:rPr>
      </w:pPr>
      <w:r>
        <w:rPr>
          <w:rFonts w:ascii="Century Gothic" w:eastAsia="Times New Roman" w:hAnsi="Century Gothic" w:cs="Times New Roman"/>
          <w:b/>
          <w:caps/>
          <w:sz w:val="28"/>
          <w:szCs w:val="28"/>
          <w:lang w:val="af-ZA"/>
        </w:rPr>
        <w:t xml:space="preserve">ETHEKWINI MUNICIPALITY                         </w:t>
      </w:r>
      <w:r w:rsidR="00061AF3">
        <w:rPr>
          <w:rFonts w:ascii="Century Gothic" w:eastAsia="Times New Roman" w:hAnsi="Century Gothic" w:cs="Times New Roman"/>
          <w:b/>
          <w:caps/>
          <w:sz w:val="28"/>
          <w:szCs w:val="28"/>
          <w:lang w:val="af-ZA"/>
        </w:rPr>
        <w:t xml:space="preserve">              </w:t>
      </w:r>
      <w:r w:rsidRPr="00061AF3">
        <w:rPr>
          <w:rFonts w:ascii="Century Gothic" w:eastAsia="Times New Roman" w:hAnsi="Century Gothic" w:cs="Times New Roman"/>
          <w:sz w:val="28"/>
          <w:szCs w:val="28"/>
          <w:lang w:val="af-ZA"/>
        </w:rPr>
        <w:t>Defendant</w:t>
      </w:r>
      <w:r w:rsidR="00061AF3" w:rsidRPr="00061AF3">
        <w:rPr>
          <w:rFonts w:ascii="Century Gothic" w:eastAsia="Times New Roman" w:hAnsi="Century Gothic" w:cs="Times New Roman"/>
          <w:caps/>
          <w:sz w:val="28"/>
          <w:szCs w:val="28"/>
          <w:lang w:val="af-ZA"/>
        </w:rPr>
        <w:t>/A</w:t>
      </w:r>
      <w:r w:rsidR="00061AF3" w:rsidRPr="00061AF3">
        <w:rPr>
          <w:rFonts w:ascii="Century Gothic" w:eastAsia="Times New Roman" w:hAnsi="Century Gothic" w:cs="Times New Roman"/>
          <w:sz w:val="28"/>
          <w:szCs w:val="28"/>
          <w:lang w:val="af-ZA"/>
        </w:rPr>
        <w:t>pplicant</w:t>
      </w:r>
      <w:r>
        <w:rPr>
          <w:rFonts w:ascii="Century Gothic" w:eastAsia="Times New Roman" w:hAnsi="Century Gothic" w:cs="Times New Roman"/>
          <w:b/>
          <w:caps/>
          <w:sz w:val="28"/>
          <w:szCs w:val="28"/>
          <w:lang w:val="af-ZA"/>
        </w:rPr>
        <w:t xml:space="preserve">                </w:t>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r>
    </w:p>
    <w:p w:rsidR="009E47CA" w:rsidRDefault="009E47CA" w:rsidP="009E47CA">
      <w:pPr>
        <w:spacing w:after="0" w:line="240" w:lineRule="auto"/>
        <w:rPr>
          <w:rFonts w:ascii="Century Gothic" w:eastAsia="Times New Roman" w:hAnsi="Century Gothic" w:cs="Times New Roman"/>
          <w:b/>
          <w:caps/>
          <w:sz w:val="28"/>
          <w:szCs w:val="28"/>
          <w:lang w:val="af-ZA"/>
        </w:rPr>
      </w:pP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t xml:space="preserve">  </w:t>
      </w:r>
      <w:r>
        <w:rPr>
          <w:rFonts w:ascii="Century Gothic" w:eastAsia="Times New Roman" w:hAnsi="Century Gothic" w:cs="Times New Roman"/>
          <w:sz w:val="28"/>
          <w:szCs w:val="28"/>
          <w:lang w:val="af-ZA"/>
        </w:rPr>
        <w:t xml:space="preserve">                                                                                 </w:t>
      </w:r>
      <w:r>
        <w:rPr>
          <w:rFonts w:ascii="Century Gothic" w:eastAsia="Times New Roman" w:hAnsi="Century Gothic" w:cs="Times New Roman"/>
          <w:sz w:val="28"/>
          <w:szCs w:val="28"/>
          <w:lang w:val="af-ZA"/>
        </w:rPr>
        <w:tab/>
        <w:t xml:space="preserve">                                                   </w:t>
      </w:r>
    </w:p>
    <w:p w:rsidR="009E47CA" w:rsidRDefault="009E47CA" w:rsidP="009E47CA">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32"/>
          <w:szCs w:val="32"/>
        </w:rPr>
      </w:pPr>
      <w:r>
        <w:rPr>
          <w:rFonts w:ascii="Century Gothic" w:eastAsia="Times New Roman" w:hAnsi="Century Gothic" w:cs="Times New Roman"/>
          <w:sz w:val="32"/>
          <w:szCs w:val="32"/>
        </w:rPr>
        <w:t xml:space="preserve">                                  </w:t>
      </w:r>
    </w:p>
    <w:p w:rsidR="009E47CA" w:rsidRDefault="009E47CA" w:rsidP="009E47CA">
      <w:pPr>
        <w:pBdr>
          <w:top w:val="single" w:sz="4" w:space="1" w:color="auto"/>
          <w:left w:val="single" w:sz="4" w:space="4" w:color="auto"/>
          <w:bottom w:val="single" w:sz="4" w:space="1" w:color="auto"/>
          <w:right w:val="single" w:sz="4" w:space="4" w:color="auto"/>
        </w:pBdr>
        <w:spacing w:after="0" w:line="240"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 xml:space="preserve">            </w:t>
      </w:r>
      <w:r w:rsidR="00061AF3">
        <w:rPr>
          <w:rFonts w:ascii="Century Gothic" w:eastAsia="Times New Roman" w:hAnsi="Century Gothic" w:cs="Times New Roman"/>
          <w:i/>
          <w:sz w:val="32"/>
          <w:szCs w:val="32"/>
        </w:rPr>
        <w:t xml:space="preserve"> </w:t>
      </w:r>
      <w:r w:rsidR="00E20E32">
        <w:rPr>
          <w:rFonts w:ascii="Century Gothic" w:eastAsia="Times New Roman" w:hAnsi="Century Gothic" w:cs="Times New Roman"/>
          <w:sz w:val="32"/>
          <w:szCs w:val="32"/>
        </w:rPr>
        <w:t>Judgment delivered: 24 October</w:t>
      </w:r>
      <w:r w:rsidR="00A027BF">
        <w:rPr>
          <w:rFonts w:ascii="Century Gothic" w:eastAsia="Times New Roman" w:hAnsi="Century Gothic" w:cs="Times New Roman"/>
          <w:sz w:val="32"/>
          <w:szCs w:val="32"/>
        </w:rPr>
        <w:t xml:space="preserve"> </w:t>
      </w:r>
      <w:r>
        <w:rPr>
          <w:rFonts w:ascii="Century Gothic" w:eastAsia="Times New Roman" w:hAnsi="Century Gothic" w:cs="Times New Roman"/>
          <w:sz w:val="32"/>
          <w:szCs w:val="32"/>
        </w:rPr>
        <w:t xml:space="preserve">2019                      </w:t>
      </w:r>
    </w:p>
    <w:p w:rsidR="009E47CA" w:rsidRDefault="009E47CA" w:rsidP="009E47CA">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32"/>
          <w:szCs w:val="32"/>
        </w:rPr>
      </w:pPr>
    </w:p>
    <w:p w:rsidR="009E47CA" w:rsidRDefault="009E47CA" w:rsidP="009E47CA">
      <w:pPr>
        <w:spacing w:after="0" w:line="360" w:lineRule="auto"/>
        <w:jc w:val="both"/>
        <w:rPr>
          <w:rFonts w:ascii="Century Gothic" w:eastAsia="Times New Roman" w:hAnsi="Century Gothic" w:cs="Arial"/>
          <w:b/>
          <w:sz w:val="20"/>
          <w:szCs w:val="20"/>
          <w:u w:val="single"/>
        </w:rPr>
      </w:pPr>
    </w:p>
    <w:p w:rsidR="009E47CA" w:rsidRDefault="009E47CA" w:rsidP="009E47CA">
      <w:pPr>
        <w:rPr>
          <w:rFonts w:ascii="Arial" w:hAnsi="Arial" w:cs="Arial"/>
          <w:b/>
          <w:sz w:val="24"/>
          <w:szCs w:val="24"/>
        </w:rPr>
      </w:pPr>
      <w:r>
        <w:rPr>
          <w:rFonts w:ascii="Arial" w:hAnsi="Arial" w:cs="Arial"/>
          <w:b/>
          <w:sz w:val="24"/>
          <w:szCs w:val="24"/>
        </w:rPr>
        <w:t>Introduction</w:t>
      </w:r>
    </w:p>
    <w:p w:rsidR="009E47CA" w:rsidRDefault="00E40A61" w:rsidP="009E47CA">
      <w:pPr>
        <w:pStyle w:val="ListParagraph"/>
        <w:numPr>
          <w:ilvl w:val="0"/>
          <w:numId w:val="1"/>
        </w:numPr>
        <w:spacing w:line="480" w:lineRule="auto"/>
        <w:jc w:val="both"/>
        <w:rPr>
          <w:rFonts w:ascii="Arial" w:hAnsi="Arial" w:cs="Arial"/>
          <w:b/>
          <w:sz w:val="24"/>
          <w:szCs w:val="24"/>
        </w:rPr>
      </w:pPr>
      <w:r>
        <w:rPr>
          <w:rFonts w:ascii="Arial" w:hAnsi="Arial" w:cs="Arial"/>
          <w:sz w:val="24"/>
          <w:szCs w:val="24"/>
        </w:rPr>
        <w:t>The P</w:t>
      </w:r>
      <w:r w:rsidR="009E47CA">
        <w:rPr>
          <w:rFonts w:ascii="Arial" w:hAnsi="Arial" w:cs="Arial"/>
          <w:sz w:val="24"/>
          <w:szCs w:val="24"/>
        </w:rPr>
        <w:t>laintiff</w:t>
      </w:r>
      <w:r w:rsidR="00E20E32">
        <w:rPr>
          <w:rFonts w:ascii="Arial" w:hAnsi="Arial" w:cs="Arial"/>
          <w:sz w:val="24"/>
          <w:szCs w:val="24"/>
        </w:rPr>
        <w:t>’s claim against the D</w:t>
      </w:r>
      <w:r w:rsidR="009E47CA">
        <w:rPr>
          <w:rFonts w:ascii="Arial" w:hAnsi="Arial" w:cs="Arial"/>
          <w:sz w:val="24"/>
          <w:szCs w:val="24"/>
        </w:rPr>
        <w:t xml:space="preserve">efendant is for damages arising from wrongful, malicious and vexatious disciplinary proceedings having been instituted </w:t>
      </w:r>
      <w:r w:rsidR="00854A29">
        <w:rPr>
          <w:rFonts w:ascii="Arial" w:hAnsi="Arial" w:cs="Arial"/>
          <w:sz w:val="24"/>
          <w:szCs w:val="24"/>
        </w:rPr>
        <w:t xml:space="preserve">by </w:t>
      </w:r>
      <w:r w:rsidR="009E47CA">
        <w:rPr>
          <w:rFonts w:ascii="Arial" w:hAnsi="Arial" w:cs="Arial"/>
          <w:sz w:val="24"/>
          <w:szCs w:val="24"/>
        </w:rPr>
        <w:t>the defendant on or about 28 October 2016.</w:t>
      </w:r>
      <w:r w:rsidR="00026773">
        <w:rPr>
          <w:rFonts w:ascii="Arial" w:hAnsi="Arial" w:cs="Arial"/>
          <w:sz w:val="24"/>
          <w:szCs w:val="24"/>
        </w:rPr>
        <w:t xml:space="preserve"> </w:t>
      </w:r>
      <w:r w:rsidR="00925262">
        <w:rPr>
          <w:rFonts w:ascii="Arial" w:hAnsi="Arial" w:cs="Arial"/>
          <w:sz w:val="24"/>
          <w:szCs w:val="24"/>
        </w:rPr>
        <w:t xml:space="preserve">Mr </w:t>
      </w:r>
      <w:r w:rsidR="00421443">
        <w:rPr>
          <w:rFonts w:ascii="Arial" w:hAnsi="Arial" w:cs="Arial"/>
          <w:sz w:val="24"/>
          <w:szCs w:val="24"/>
        </w:rPr>
        <w:t>NT</w:t>
      </w:r>
      <w:r w:rsidR="00854A29">
        <w:rPr>
          <w:rFonts w:ascii="Arial" w:hAnsi="Arial" w:cs="Arial"/>
          <w:sz w:val="24"/>
          <w:szCs w:val="24"/>
        </w:rPr>
        <w:t xml:space="preserve"> N</w:t>
      </w:r>
      <w:r w:rsidR="00026773">
        <w:rPr>
          <w:rFonts w:ascii="Arial" w:hAnsi="Arial" w:cs="Arial"/>
          <w:sz w:val="24"/>
          <w:szCs w:val="24"/>
        </w:rPr>
        <w:t>kosi</w:t>
      </w:r>
      <w:r w:rsidR="009E47CA">
        <w:rPr>
          <w:rFonts w:ascii="Arial" w:hAnsi="Arial" w:cs="Arial"/>
          <w:sz w:val="24"/>
          <w:szCs w:val="24"/>
        </w:rPr>
        <w:t xml:space="preserve"> appeared fo</w:t>
      </w:r>
      <w:r w:rsidR="005C3A48">
        <w:rPr>
          <w:rFonts w:ascii="Arial" w:hAnsi="Arial" w:cs="Arial"/>
          <w:sz w:val="24"/>
          <w:szCs w:val="24"/>
        </w:rPr>
        <w:t>r the P</w:t>
      </w:r>
      <w:r w:rsidR="00026773">
        <w:rPr>
          <w:rFonts w:ascii="Arial" w:hAnsi="Arial" w:cs="Arial"/>
          <w:sz w:val="24"/>
          <w:szCs w:val="24"/>
        </w:rPr>
        <w:t>laintiff</w:t>
      </w:r>
      <w:r w:rsidR="00854A29">
        <w:rPr>
          <w:rFonts w:ascii="Arial" w:hAnsi="Arial" w:cs="Arial"/>
          <w:sz w:val="24"/>
          <w:szCs w:val="24"/>
        </w:rPr>
        <w:t xml:space="preserve"> and Ms N </w:t>
      </w:r>
      <w:proofErr w:type="spellStart"/>
      <w:r w:rsidR="00854A29">
        <w:rPr>
          <w:rFonts w:ascii="Arial" w:hAnsi="Arial" w:cs="Arial"/>
          <w:sz w:val="24"/>
          <w:szCs w:val="24"/>
        </w:rPr>
        <w:t>Ra</w:t>
      </w:r>
      <w:r w:rsidR="00DC415F">
        <w:rPr>
          <w:rFonts w:ascii="Arial" w:hAnsi="Arial" w:cs="Arial"/>
          <w:sz w:val="24"/>
          <w:szCs w:val="24"/>
        </w:rPr>
        <w:t>matabo</w:t>
      </w:r>
      <w:r w:rsidR="00026773">
        <w:rPr>
          <w:rFonts w:ascii="Arial" w:hAnsi="Arial" w:cs="Arial"/>
          <w:sz w:val="24"/>
          <w:szCs w:val="24"/>
        </w:rPr>
        <w:t>e</w:t>
      </w:r>
      <w:proofErr w:type="spellEnd"/>
      <w:r w:rsidR="009E47CA">
        <w:rPr>
          <w:rFonts w:ascii="Arial" w:hAnsi="Arial" w:cs="Arial"/>
          <w:sz w:val="24"/>
          <w:szCs w:val="24"/>
        </w:rPr>
        <w:t xml:space="preserve"> appeared on b</w:t>
      </w:r>
      <w:r w:rsidR="005C3A48">
        <w:rPr>
          <w:rFonts w:ascii="Arial" w:hAnsi="Arial" w:cs="Arial"/>
          <w:sz w:val="24"/>
          <w:szCs w:val="24"/>
        </w:rPr>
        <w:t>ehalf of the D</w:t>
      </w:r>
      <w:r w:rsidR="00026773">
        <w:rPr>
          <w:rFonts w:ascii="Arial" w:hAnsi="Arial" w:cs="Arial"/>
          <w:sz w:val="24"/>
          <w:szCs w:val="24"/>
        </w:rPr>
        <w:t>efendant</w:t>
      </w:r>
      <w:r w:rsidR="009E47CA">
        <w:rPr>
          <w:rFonts w:ascii="Arial" w:hAnsi="Arial" w:cs="Arial"/>
          <w:sz w:val="24"/>
          <w:szCs w:val="24"/>
        </w:rPr>
        <w:t>.</w:t>
      </w:r>
    </w:p>
    <w:p w:rsidR="009E47CA" w:rsidRDefault="009E47CA" w:rsidP="009E47CA">
      <w:pPr>
        <w:pStyle w:val="ListParagraph"/>
        <w:spacing w:line="480" w:lineRule="auto"/>
        <w:ind w:left="0"/>
        <w:jc w:val="both"/>
        <w:rPr>
          <w:rFonts w:ascii="Arial" w:hAnsi="Arial" w:cs="Arial"/>
          <w:b/>
          <w:sz w:val="24"/>
          <w:szCs w:val="24"/>
        </w:rPr>
      </w:pPr>
    </w:p>
    <w:p w:rsidR="009E47CA" w:rsidRDefault="009E47CA" w:rsidP="009E47CA">
      <w:pPr>
        <w:pStyle w:val="ListParagraph"/>
        <w:spacing w:line="480" w:lineRule="auto"/>
        <w:ind w:left="0"/>
        <w:jc w:val="both"/>
        <w:rPr>
          <w:rFonts w:ascii="Arial" w:hAnsi="Arial" w:cs="Arial"/>
          <w:b/>
          <w:sz w:val="24"/>
          <w:szCs w:val="24"/>
        </w:rPr>
      </w:pPr>
    </w:p>
    <w:p w:rsidR="009E47CA" w:rsidRDefault="009E47CA" w:rsidP="009E47CA">
      <w:pPr>
        <w:pStyle w:val="ListParagraph"/>
        <w:spacing w:line="480" w:lineRule="auto"/>
        <w:ind w:left="0"/>
        <w:jc w:val="both"/>
        <w:rPr>
          <w:rFonts w:ascii="Arial" w:hAnsi="Arial" w:cs="Arial"/>
          <w:b/>
          <w:sz w:val="24"/>
          <w:szCs w:val="24"/>
        </w:rPr>
      </w:pPr>
      <w:r>
        <w:rPr>
          <w:rFonts w:ascii="Arial" w:hAnsi="Arial" w:cs="Arial"/>
          <w:b/>
          <w:sz w:val="24"/>
          <w:szCs w:val="24"/>
        </w:rPr>
        <w:lastRenderedPageBreak/>
        <w:t>The Evidence</w:t>
      </w:r>
      <w:r>
        <w:rPr>
          <w:rFonts w:ascii="Arial" w:hAnsi="Arial" w:cs="Arial"/>
          <w:sz w:val="24"/>
          <w:szCs w:val="24"/>
        </w:rPr>
        <w:t xml:space="preserve"> </w:t>
      </w:r>
    </w:p>
    <w:p w:rsidR="00061AF3" w:rsidRDefault="00665642" w:rsidP="00061AF3">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Only the </w:t>
      </w:r>
      <w:r>
        <w:rPr>
          <w:rFonts w:ascii="Arial" w:hAnsi="Arial" w:cs="Arial"/>
          <w:i/>
          <w:sz w:val="24"/>
          <w:szCs w:val="24"/>
        </w:rPr>
        <w:t xml:space="preserve">viva voce </w:t>
      </w:r>
      <w:r>
        <w:rPr>
          <w:rFonts w:ascii="Arial" w:hAnsi="Arial" w:cs="Arial"/>
          <w:sz w:val="24"/>
          <w:szCs w:val="24"/>
        </w:rPr>
        <w:t xml:space="preserve">evidence of the Plaintiff, Ms Fortunate </w:t>
      </w:r>
      <w:proofErr w:type="spellStart"/>
      <w:r>
        <w:rPr>
          <w:rFonts w:ascii="Arial" w:hAnsi="Arial" w:cs="Arial"/>
          <w:sz w:val="24"/>
          <w:szCs w:val="24"/>
        </w:rPr>
        <w:t>Nombuyiselo</w:t>
      </w:r>
      <w:proofErr w:type="spellEnd"/>
      <w:r>
        <w:rPr>
          <w:rFonts w:ascii="Arial" w:hAnsi="Arial" w:cs="Arial"/>
          <w:sz w:val="24"/>
          <w:szCs w:val="24"/>
        </w:rPr>
        <w:t xml:space="preserve"> </w:t>
      </w:r>
      <w:proofErr w:type="spellStart"/>
      <w:r>
        <w:rPr>
          <w:rFonts w:ascii="Arial" w:hAnsi="Arial" w:cs="Arial"/>
          <w:sz w:val="24"/>
          <w:szCs w:val="24"/>
        </w:rPr>
        <w:t>Nkuzi</w:t>
      </w:r>
      <w:proofErr w:type="spellEnd"/>
      <w:r>
        <w:rPr>
          <w:rFonts w:ascii="Arial" w:hAnsi="Arial" w:cs="Arial"/>
          <w:sz w:val="24"/>
          <w:szCs w:val="24"/>
        </w:rPr>
        <w:t xml:space="preserve"> (hereinafter referred to as Ms </w:t>
      </w:r>
      <w:proofErr w:type="spellStart"/>
      <w:r>
        <w:rPr>
          <w:rFonts w:ascii="Arial" w:hAnsi="Arial" w:cs="Arial"/>
          <w:sz w:val="24"/>
          <w:szCs w:val="24"/>
        </w:rPr>
        <w:t>Nkunzi</w:t>
      </w:r>
      <w:proofErr w:type="spellEnd"/>
      <w:r>
        <w:rPr>
          <w:rFonts w:ascii="Arial" w:hAnsi="Arial" w:cs="Arial"/>
          <w:sz w:val="24"/>
          <w:szCs w:val="24"/>
        </w:rPr>
        <w:t xml:space="preserve">), was led; after which, the Plaintiff’s case was closed.  </w:t>
      </w:r>
      <w:r w:rsidR="00E40A61">
        <w:rPr>
          <w:rFonts w:ascii="Arial" w:hAnsi="Arial" w:cs="Arial"/>
          <w:sz w:val="24"/>
          <w:szCs w:val="24"/>
        </w:rPr>
        <w:t xml:space="preserve">After the Defendant’s application for absolution from the instance was refused, the Defendant called two witnesses, namely, Ms </w:t>
      </w:r>
      <w:proofErr w:type="spellStart"/>
      <w:r w:rsidR="00E40A61">
        <w:rPr>
          <w:rFonts w:ascii="Arial" w:hAnsi="Arial" w:cs="Arial"/>
          <w:sz w:val="24"/>
          <w:szCs w:val="24"/>
        </w:rPr>
        <w:t>Mpontso</w:t>
      </w:r>
      <w:proofErr w:type="spellEnd"/>
      <w:r w:rsidR="00E40A61">
        <w:rPr>
          <w:rFonts w:ascii="Arial" w:hAnsi="Arial" w:cs="Arial"/>
          <w:sz w:val="24"/>
          <w:szCs w:val="24"/>
        </w:rPr>
        <w:t xml:space="preserve"> </w:t>
      </w:r>
      <w:proofErr w:type="spellStart"/>
      <w:r w:rsidR="00E40A61">
        <w:rPr>
          <w:rFonts w:ascii="Arial" w:hAnsi="Arial" w:cs="Arial"/>
          <w:sz w:val="24"/>
          <w:szCs w:val="24"/>
        </w:rPr>
        <w:t>Matee</w:t>
      </w:r>
      <w:proofErr w:type="spellEnd"/>
      <w:r w:rsidR="00E40A61">
        <w:rPr>
          <w:rFonts w:ascii="Arial" w:hAnsi="Arial" w:cs="Arial"/>
          <w:sz w:val="24"/>
          <w:szCs w:val="24"/>
        </w:rPr>
        <w:t xml:space="preserve"> and Ms Adele </w:t>
      </w:r>
      <w:proofErr w:type="spellStart"/>
      <w:r w:rsidR="00E40A61">
        <w:rPr>
          <w:rFonts w:ascii="Arial" w:hAnsi="Arial" w:cs="Arial"/>
          <w:sz w:val="24"/>
          <w:szCs w:val="24"/>
        </w:rPr>
        <w:t>Seheri</w:t>
      </w:r>
      <w:proofErr w:type="spellEnd"/>
      <w:r w:rsidR="00E40A61">
        <w:rPr>
          <w:rFonts w:ascii="Arial" w:hAnsi="Arial" w:cs="Arial"/>
          <w:sz w:val="24"/>
          <w:szCs w:val="24"/>
        </w:rPr>
        <w:t>.</w:t>
      </w:r>
    </w:p>
    <w:p w:rsidR="00E40A61" w:rsidRPr="00E40A61" w:rsidRDefault="00E40A61" w:rsidP="00E40A61">
      <w:pPr>
        <w:pStyle w:val="ListParagraph"/>
        <w:spacing w:line="480" w:lineRule="auto"/>
        <w:ind w:left="0"/>
        <w:jc w:val="both"/>
        <w:rPr>
          <w:rFonts w:ascii="Arial" w:hAnsi="Arial" w:cs="Arial"/>
          <w:b/>
          <w:sz w:val="24"/>
          <w:szCs w:val="24"/>
        </w:rPr>
      </w:pPr>
    </w:p>
    <w:p w:rsidR="00061AF3" w:rsidRPr="00061AF3" w:rsidRDefault="00061AF3" w:rsidP="00061AF3">
      <w:pPr>
        <w:pStyle w:val="ListParagraph"/>
        <w:spacing w:line="480" w:lineRule="auto"/>
        <w:ind w:left="0"/>
        <w:jc w:val="both"/>
        <w:rPr>
          <w:rFonts w:ascii="Arial" w:hAnsi="Arial" w:cs="Arial"/>
          <w:b/>
          <w:sz w:val="24"/>
          <w:szCs w:val="24"/>
        </w:rPr>
      </w:pPr>
      <w:r>
        <w:rPr>
          <w:rFonts w:ascii="Arial" w:hAnsi="Arial" w:cs="Arial"/>
          <w:b/>
          <w:sz w:val="24"/>
          <w:szCs w:val="24"/>
        </w:rPr>
        <w:t>Summary of the evidence</w:t>
      </w:r>
    </w:p>
    <w:p w:rsidR="00640000" w:rsidRPr="00640000" w:rsidRDefault="00061AF3" w:rsidP="0023767B">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Ms </w:t>
      </w:r>
      <w:proofErr w:type="spellStart"/>
      <w:r>
        <w:rPr>
          <w:rFonts w:ascii="Arial" w:hAnsi="Arial" w:cs="Arial"/>
          <w:sz w:val="24"/>
          <w:szCs w:val="24"/>
        </w:rPr>
        <w:t>Nkunzi</w:t>
      </w:r>
      <w:proofErr w:type="spellEnd"/>
      <w:r>
        <w:rPr>
          <w:rFonts w:ascii="Arial" w:hAnsi="Arial" w:cs="Arial"/>
          <w:sz w:val="24"/>
          <w:szCs w:val="24"/>
        </w:rPr>
        <w:t xml:space="preserve"> testified</w:t>
      </w:r>
      <w:r w:rsidR="002E311F">
        <w:rPr>
          <w:rFonts w:ascii="Arial" w:hAnsi="Arial" w:cs="Arial"/>
          <w:sz w:val="24"/>
          <w:szCs w:val="24"/>
        </w:rPr>
        <w:t xml:space="preserve"> that she has been</w:t>
      </w:r>
      <w:r w:rsidR="0023767B">
        <w:rPr>
          <w:rFonts w:ascii="Arial" w:hAnsi="Arial" w:cs="Arial"/>
          <w:sz w:val="24"/>
          <w:szCs w:val="24"/>
        </w:rPr>
        <w:t xml:space="preserve"> </w:t>
      </w:r>
      <w:r>
        <w:rPr>
          <w:rFonts w:ascii="Arial" w:hAnsi="Arial" w:cs="Arial"/>
          <w:sz w:val="24"/>
          <w:szCs w:val="24"/>
        </w:rPr>
        <w:t>in the employ of the</w:t>
      </w:r>
      <w:r w:rsidR="0023767B">
        <w:rPr>
          <w:rFonts w:ascii="Arial" w:hAnsi="Arial" w:cs="Arial"/>
          <w:sz w:val="24"/>
          <w:szCs w:val="24"/>
        </w:rPr>
        <w:t xml:space="preserve"> </w:t>
      </w:r>
      <w:proofErr w:type="spellStart"/>
      <w:r w:rsidR="0023767B">
        <w:rPr>
          <w:rFonts w:ascii="Arial" w:hAnsi="Arial" w:cs="Arial"/>
          <w:sz w:val="24"/>
          <w:szCs w:val="24"/>
        </w:rPr>
        <w:t>Ethekwini</w:t>
      </w:r>
      <w:proofErr w:type="spellEnd"/>
      <w:r w:rsidR="0023767B">
        <w:rPr>
          <w:rFonts w:ascii="Arial" w:hAnsi="Arial" w:cs="Arial"/>
          <w:sz w:val="24"/>
          <w:szCs w:val="24"/>
        </w:rPr>
        <w:t xml:space="preserve"> Municipality</w:t>
      </w:r>
      <w:r w:rsidR="00D1775A">
        <w:rPr>
          <w:rFonts w:ascii="Arial" w:hAnsi="Arial" w:cs="Arial"/>
          <w:sz w:val="24"/>
          <w:szCs w:val="24"/>
        </w:rPr>
        <w:t xml:space="preserve"> since August 2009</w:t>
      </w:r>
      <w:r w:rsidR="00385A73">
        <w:rPr>
          <w:rFonts w:ascii="Arial" w:hAnsi="Arial" w:cs="Arial"/>
          <w:sz w:val="24"/>
          <w:szCs w:val="24"/>
        </w:rPr>
        <w:t xml:space="preserve"> where </w:t>
      </w:r>
      <w:r w:rsidR="0008303C">
        <w:rPr>
          <w:rFonts w:ascii="Arial" w:hAnsi="Arial" w:cs="Arial"/>
          <w:sz w:val="24"/>
          <w:szCs w:val="24"/>
        </w:rPr>
        <w:t>she holds</w:t>
      </w:r>
      <w:r w:rsidR="00640000">
        <w:rPr>
          <w:rFonts w:ascii="Arial" w:hAnsi="Arial" w:cs="Arial"/>
          <w:sz w:val="24"/>
          <w:szCs w:val="24"/>
        </w:rPr>
        <w:t xml:space="preserve"> the position of executive secretary for the special programmes department. She was reporting directly to her senior manager Mr Daniel Govender</w:t>
      </w:r>
      <w:r w:rsidR="0008303C">
        <w:rPr>
          <w:rFonts w:ascii="Arial" w:hAnsi="Arial" w:cs="Arial"/>
          <w:sz w:val="24"/>
          <w:szCs w:val="24"/>
        </w:rPr>
        <w:t xml:space="preserve"> (herei</w:t>
      </w:r>
      <w:r w:rsidR="00CD0C2B">
        <w:rPr>
          <w:rFonts w:ascii="Arial" w:hAnsi="Arial" w:cs="Arial"/>
          <w:sz w:val="24"/>
          <w:szCs w:val="24"/>
        </w:rPr>
        <w:t>n</w:t>
      </w:r>
      <w:r w:rsidR="0008303C">
        <w:rPr>
          <w:rFonts w:ascii="Arial" w:hAnsi="Arial" w:cs="Arial"/>
          <w:sz w:val="24"/>
          <w:szCs w:val="24"/>
        </w:rPr>
        <w:t>after referred to as Mr Govender)</w:t>
      </w:r>
      <w:r w:rsidR="00640000">
        <w:rPr>
          <w:rFonts w:ascii="Arial" w:hAnsi="Arial" w:cs="Arial"/>
          <w:sz w:val="24"/>
          <w:szCs w:val="24"/>
        </w:rPr>
        <w:t>. She explicated that he</w:t>
      </w:r>
      <w:r w:rsidR="00CD0C2B">
        <w:rPr>
          <w:rFonts w:ascii="Arial" w:hAnsi="Arial" w:cs="Arial"/>
          <w:sz w:val="24"/>
          <w:szCs w:val="24"/>
        </w:rPr>
        <w:t>r</w:t>
      </w:r>
      <w:r w:rsidR="00640000">
        <w:rPr>
          <w:rFonts w:ascii="Arial" w:hAnsi="Arial" w:cs="Arial"/>
          <w:sz w:val="24"/>
          <w:szCs w:val="24"/>
        </w:rPr>
        <w:t xml:space="preserve"> duties entailed </w:t>
      </w:r>
      <w:r w:rsidR="00640000" w:rsidRPr="00CD0C2B">
        <w:rPr>
          <w:rFonts w:ascii="Arial" w:hAnsi="Arial" w:cs="Arial"/>
          <w:i/>
          <w:sz w:val="24"/>
          <w:szCs w:val="24"/>
        </w:rPr>
        <w:t>inter alia</w:t>
      </w:r>
      <w:r w:rsidR="00640000">
        <w:rPr>
          <w:rFonts w:ascii="Arial" w:hAnsi="Arial" w:cs="Arial"/>
          <w:sz w:val="24"/>
          <w:szCs w:val="24"/>
        </w:rPr>
        <w:t>, keeping the diary, office admin, typing, filing, scheduling appointments, receiving visitors for the department and taking minutes for departmental meetings.</w:t>
      </w:r>
    </w:p>
    <w:p w:rsidR="00640000" w:rsidRPr="00640000" w:rsidRDefault="00640000" w:rsidP="005444E8">
      <w:pPr>
        <w:pStyle w:val="ListParagraph"/>
        <w:spacing w:line="480" w:lineRule="auto"/>
        <w:ind w:left="0"/>
        <w:jc w:val="both"/>
        <w:rPr>
          <w:rFonts w:ascii="Arial" w:hAnsi="Arial" w:cs="Arial"/>
          <w:b/>
          <w:sz w:val="24"/>
          <w:szCs w:val="24"/>
        </w:rPr>
      </w:pPr>
    </w:p>
    <w:p w:rsidR="00640000" w:rsidRPr="00DF763D" w:rsidRDefault="0008303C" w:rsidP="001E4CED">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Ms </w:t>
      </w:r>
      <w:proofErr w:type="spellStart"/>
      <w:r>
        <w:rPr>
          <w:rFonts w:ascii="Arial" w:hAnsi="Arial" w:cs="Arial"/>
          <w:sz w:val="24"/>
          <w:szCs w:val="24"/>
        </w:rPr>
        <w:t>Nkunzi</w:t>
      </w:r>
      <w:proofErr w:type="spellEnd"/>
      <w:r>
        <w:rPr>
          <w:rFonts w:ascii="Arial" w:hAnsi="Arial" w:cs="Arial"/>
          <w:sz w:val="24"/>
          <w:szCs w:val="24"/>
        </w:rPr>
        <w:t xml:space="preserve"> narrated</w:t>
      </w:r>
      <w:r w:rsidR="00017B66">
        <w:rPr>
          <w:rFonts w:ascii="Arial" w:hAnsi="Arial" w:cs="Arial"/>
          <w:sz w:val="24"/>
          <w:szCs w:val="24"/>
        </w:rPr>
        <w:t xml:space="preserve"> that s</w:t>
      </w:r>
      <w:r>
        <w:rPr>
          <w:rFonts w:ascii="Arial" w:hAnsi="Arial" w:cs="Arial"/>
          <w:sz w:val="24"/>
          <w:szCs w:val="24"/>
        </w:rPr>
        <w:t xml:space="preserve">he was instructed, by Mr </w:t>
      </w:r>
      <w:r w:rsidR="00017B66">
        <w:rPr>
          <w:rFonts w:ascii="Arial" w:hAnsi="Arial" w:cs="Arial"/>
          <w:sz w:val="24"/>
          <w:szCs w:val="24"/>
        </w:rPr>
        <w:t>Govender to type an advert and place it on the notice board for the service providers.</w:t>
      </w:r>
      <w:r w:rsidR="00017B66">
        <w:rPr>
          <w:rStyle w:val="FootnoteReference"/>
          <w:rFonts w:ascii="Arial" w:hAnsi="Arial" w:cs="Arial"/>
          <w:sz w:val="24"/>
          <w:szCs w:val="24"/>
        </w:rPr>
        <w:footnoteReference w:id="1"/>
      </w:r>
      <w:r w:rsidR="00017B66">
        <w:rPr>
          <w:rFonts w:ascii="Arial" w:hAnsi="Arial" w:cs="Arial"/>
          <w:sz w:val="24"/>
          <w:szCs w:val="24"/>
        </w:rPr>
        <w:t xml:space="preserve"> She explained that Mr Govender wrote the content of the advert on a paper which she was asked to type. Ms </w:t>
      </w:r>
      <w:proofErr w:type="spellStart"/>
      <w:r w:rsidR="00017B66">
        <w:rPr>
          <w:rFonts w:ascii="Arial" w:hAnsi="Arial" w:cs="Arial"/>
          <w:sz w:val="24"/>
          <w:szCs w:val="24"/>
        </w:rPr>
        <w:t>Nkunzi</w:t>
      </w:r>
      <w:proofErr w:type="spellEnd"/>
      <w:r w:rsidR="00017B66">
        <w:rPr>
          <w:rFonts w:ascii="Arial" w:hAnsi="Arial" w:cs="Arial"/>
          <w:sz w:val="24"/>
          <w:szCs w:val="24"/>
        </w:rPr>
        <w:t xml:space="preserve"> explicated that after she completed typing the advert, she returned the typed document together with the handwritten draft to Mr Govender for </w:t>
      </w:r>
      <w:r w:rsidR="001E1CAD">
        <w:rPr>
          <w:rFonts w:ascii="Arial" w:hAnsi="Arial" w:cs="Arial"/>
          <w:sz w:val="24"/>
          <w:szCs w:val="24"/>
        </w:rPr>
        <w:t xml:space="preserve">proof reading. Ms </w:t>
      </w:r>
      <w:proofErr w:type="spellStart"/>
      <w:r w:rsidR="001E1CAD">
        <w:rPr>
          <w:rFonts w:ascii="Arial" w:hAnsi="Arial" w:cs="Arial"/>
          <w:sz w:val="24"/>
          <w:szCs w:val="24"/>
        </w:rPr>
        <w:t>Nkunzi</w:t>
      </w:r>
      <w:proofErr w:type="spellEnd"/>
      <w:r w:rsidR="001E1CAD">
        <w:rPr>
          <w:rFonts w:ascii="Arial" w:hAnsi="Arial" w:cs="Arial"/>
          <w:sz w:val="24"/>
          <w:szCs w:val="24"/>
        </w:rPr>
        <w:t xml:space="preserve"> further </w:t>
      </w:r>
      <w:r w:rsidR="00672BAD">
        <w:rPr>
          <w:rFonts w:ascii="Arial" w:hAnsi="Arial" w:cs="Arial"/>
          <w:sz w:val="24"/>
          <w:szCs w:val="24"/>
        </w:rPr>
        <w:t>recounted</w:t>
      </w:r>
      <w:r w:rsidR="001E1CAD">
        <w:rPr>
          <w:rFonts w:ascii="Arial" w:hAnsi="Arial" w:cs="Arial"/>
          <w:sz w:val="24"/>
          <w:szCs w:val="24"/>
        </w:rPr>
        <w:t xml:space="preserve"> that Mr Govender thereafter instructed her to put the typed advert up on the notice board which she did. She also placed the tender box in front of </w:t>
      </w:r>
      <w:r w:rsidR="001E1CAD">
        <w:rPr>
          <w:rFonts w:ascii="Arial" w:hAnsi="Arial" w:cs="Arial"/>
          <w:sz w:val="24"/>
          <w:szCs w:val="24"/>
        </w:rPr>
        <w:lastRenderedPageBreak/>
        <w:t>the reception area at the City Hall as per the instructions of Mr Govender.</w:t>
      </w:r>
      <w:r w:rsidR="001E4CED" w:rsidRPr="001E4CED">
        <w:rPr>
          <w:rFonts w:ascii="Arial" w:hAnsi="Arial" w:cs="Arial"/>
          <w:sz w:val="24"/>
          <w:szCs w:val="24"/>
        </w:rPr>
        <w:t xml:space="preserve"> </w:t>
      </w:r>
      <w:r w:rsidR="001E4CED">
        <w:rPr>
          <w:rFonts w:ascii="Arial" w:hAnsi="Arial" w:cs="Arial"/>
          <w:sz w:val="24"/>
          <w:szCs w:val="24"/>
        </w:rPr>
        <w:t xml:space="preserve">Ms </w:t>
      </w:r>
      <w:proofErr w:type="spellStart"/>
      <w:proofErr w:type="gramStart"/>
      <w:r w:rsidR="001E4CED">
        <w:rPr>
          <w:rFonts w:ascii="Arial" w:hAnsi="Arial" w:cs="Arial"/>
          <w:sz w:val="24"/>
          <w:szCs w:val="24"/>
        </w:rPr>
        <w:t>Nkunzi</w:t>
      </w:r>
      <w:proofErr w:type="spellEnd"/>
      <w:r w:rsidR="001E4CED">
        <w:rPr>
          <w:rFonts w:ascii="Arial" w:hAnsi="Arial" w:cs="Arial"/>
          <w:sz w:val="24"/>
          <w:szCs w:val="24"/>
        </w:rPr>
        <w:t>,</w:t>
      </w:r>
      <w:proofErr w:type="gramEnd"/>
      <w:r w:rsidR="001E4CED">
        <w:rPr>
          <w:rFonts w:ascii="Arial" w:hAnsi="Arial" w:cs="Arial"/>
          <w:sz w:val="24"/>
          <w:szCs w:val="24"/>
        </w:rPr>
        <w:t xml:space="preserve"> denied that she prepared any tender documents.</w:t>
      </w:r>
    </w:p>
    <w:p w:rsidR="005444E8" w:rsidRPr="005444E8" w:rsidRDefault="005444E8" w:rsidP="005444E8">
      <w:pPr>
        <w:pStyle w:val="ListParagraph"/>
        <w:rPr>
          <w:rFonts w:ascii="Arial" w:hAnsi="Arial" w:cs="Arial"/>
          <w:b/>
          <w:sz w:val="24"/>
          <w:szCs w:val="24"/>
        </w:rPr>
      </w:pPr>
    </w:p>
    <w:p w:rsidR="005444E8" w:rsidRPr="001E4CED" w:rsidRDefault="005444E8" w:rsidP="005444E8">
      <w:pPr>
        <w:pStyle w:val="ListParagraph"/>
        <w:numPr>
          <w:ilvl w:val="0"/>
          <w:numId w:val="1"/>
        </w:numPr>
        <w:spacing w:line="480" w:lineRule="auto"/>
        <w:jc w:val="both"/>
        <w:rPr>
          <w:rFonts w:ascii="Arial" w:hAnsi="Arial" w:cs="Arial"/>
          <w:b/>
          <w:sz w:val="24"/>
          <w:szCs w:val="24"/>
        </w:rPr>
      </w:pPr>
      <w:r w:rsidRPr="001E4CED">
        <w:rPr>
          <w:rFonts w:ascii="Arial" w:hAnsi="Arial" w:cs="Arial"/>
          <w:sz w:val="24"/>
          <w:szCs w:val="24"/>
        </w:rPr>
        <w:t xml:space="preserve">A few months later, Ms </w:t>
      </w:r>
      <w:proofErr w:type="spellStart"/>
      <w:r w:rsidRPr="001E4CED">
        <w:rPr>
          <w:rFonts w:ascii="Arial" w:hAnsi="Arial" w:cs="Arial"/>
          <w:sz w:val="24"/>
          <w:szCs w:val="24"/>
        </w:rPr>
        <w:t>Nkunzi</w:t>
      </w:r>
      <w:proofErr w:type="spellEnd"/>
      <w:r w:rsidRPr="001E4CED">
        <w:rPr>
          <w:rFonts w:ascii="Arial" w:hAnsi="Arial" w:cs="Arial"/>
          <w:sz w:val="24"/>
          <w:szCs w:val="24"/>
        </w:rPr>
        <w:t xml:space="preserve">, was called to </w:t>
      </w:r>
      <w:r w:rsidR="00776EBB">
        <w:rPr>
          <w:rFonts w:ascii="Arial" w:hAnsi="Arial" w:cs="Arial"/>
          <w:sz w:val="24"/>
          <w:szCs w:val="24"/>
        </w:rPr>
        <w:t>a disciplinary hearing for having</w:t>
      </w:r>
      <w:r w:rsidRPr="001E4CED">
        <w:rPr>
          <w:rFonts w:ascii="Arial" w:hAnsi="Arial" w:cs="Arial"/>
          <w:sz w:val="24"/>
          <w:szCs w:val="24"/>
        </w:rPr>
        <w:t xml:space="preserve"> fraudulently preparing a tender document. </w:t>
      </w:r>
      <w:r w:rsidR="001E4CED" w:rsidRPr="001E4CED">
        <w:rPr>
          <w:rFonts w:ascii="Arial" w:hAnsi="Arial" w:cs="Arial"/>
          <w:sz w:val="24"/>
          <w:szCs w:val="24"/>
        </w:rPr>
        <w:t xml:space="preserve">It came to light that two notices were served on Ms </w:t>
      </w:r>
      <w:proofErr w:type="spellStart"/>
      <w:r w:rsidR="001E4CED" w:rsidRPr="001E4CED">
        <w:rPr>
          <w:rFonts w:ascii="Arial" w:hAnsi="Arial" w:cs="Arial"/>
          <w:sz w:val="24"/>
          <w:szCs w:val="24"/>
        </w:rPr>
        <w:t>Nkunzi</w:t>
      </w:r>
      <w:proofErr w:type="spellEnd"/>
      <w:r w:rsidR="001E4CED" w:rsidRPr="001E4CED">
        <w:rPr>
          <w:rFonts w:ascii="Arial" w:hAnsi="Arial" w:cs="Arial"/>
          <w:sz w:val="24"/>
          <w:szCs w:val="24"/>
        </w:rPr>
        <w:t xml:space="preserve">, the first hearing date being 1 November 2016 and the other on 16 February 2016. </w:t>
      </w:r>
    </w:p>
    <w:p w:rsidR="005444E8" w:rsidRPr="00640000" w:rsidRDefault="005444E8" w:rsidP="005444E8">
      <w:pPr>
        <w:pStyle w:val="ListParagraph"/>
        <w:rPr>
          <w:rFonts w:ascii="Arial" w:hAnsi="Arial" w:cs="Arial"/>
          <w:b/>
          <w:sz w:val="24"/>
          <w:szCs w:val="24"/>
        </w:rPr>
      </w:pPr>
    </w:p>
    <w:p w:rsidR="00BE0194" w:rsidRPr="006F7CE9" w:rsidRDefault="00BE0194" w:rsidP="0023767B">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Ms </w:t>
      </w:r>
      <w:proofErr w:type="spellStart"/>
      <w:proofErr w:type="gramStart"/>
      <w:r>
        <w:rPr>
          <w:rFonts w:ascii="Arial" w:hAnsi="Arial" w:cs="Arial"/>
          <w:sz w:val="24"/>
          <w:szCs w:val="24"/>
        </w:rPr>
        <w:t>Nkunzi</w:t>
      </w:r>
      <w:proofErr w:type="spellEnd"/>
      <w:r>
        <w:rPr>
          <w:rFonts w:ascii="Arial" w:hAnsi="Arial" w:cs="Arial"/>
          <w:sz w:val="24"/>
          <w:szCs w:val="24"/>
        </w:rPr>
        <w:t>,</w:t>
      </w:r>
      <w:proofErr w:type="gramEnd"/>
      <w:r>
        <w:rPr>
          <w:rFonts w:ascii="Arial" w:hAnsi="Arial" w:cs="Arial"/>
          <w:sz w:val="24"/>
          <w:szCs w:val="24"/>
        </w:rPr>
        <w:t xml:space="preserve"> stated that she was contacted by </w:t>
      </w:r>
      <w:r w:rsidR="00776EBB">
        <w:rPr>
          <w:rFonts w:ascii="Arial" w:hAnsi="Arial" w:cs="Arial"/>
          <w:sz w:val="24"/>
          <w:szCs w:val="24"/>
        </w:rPr>
        <w:t xml:space="preserve">Mr </w:t>
      </w:r>
      <w:proofErr w:type="spellStart"/>
      <w:r>
        <w:rPr>
          <w:rFonts w:ascii="Arial" w:hAnsi="Arial" w:cs="Arial"/>
          <w:sz w:val="24"/>
          <w:szCs w:val="24"/>
        </w:rPr>
        <w:t>T</w:t>
      </w:r>
      <w:r w:rsidR="00776EBB">
        <w:rPr>
          <w:rFonts w:ascii="Arial" w:hAnsi="Arial" w:cs="Arial"/>
          <w:sz w:val="24"/>
          <w:szCs w:val="24"/>
        </w:rPr>
        <w:t>h</w:t>
      </w:r>
      <w:r>
        <w:rPr>
          <w:rFonts w:ascii="Arial" w:hAnsi="Arial" w:cs="Arial"/>
          <w:sz w:val="24"/>
          <w:szCs w:val="24"/>
        </w:rPr>
        <w:t>emba</w:t>
      </w:r>
      <w:proofErr w:type="spellEnd"/>
      <w:r>
        <w:rPr>
          <w:rFonts w:ascii="Arial" w:hAnsi="Arial" w:cs="Arial"/>
          <w:sz w:val="24"/>
          <w:szCs w:val="24"/>
        </w:rPr>
        <w:t xml:space="preserve"> </w:t>
      </w:r>
      <w:proofErr w:type="spellStart"/>
      <w:r>
        <w:rPr>
          <w:rFonts w:ascii="Arial" w:hAnsi="Arial" w:cs="Arial"/>
          <w:sz w:val="24"/>
          <w:szCs w:val="24"/>
        </w:rPr>
        <w:t>Shabalala</w:t>
      </w:r>
      <w:proofErr w:type="spellEnd"/>
      <w:r w:rsidR="000B38FB">
        <w:rPr>
          <w:rFonts w:ascii="Arial" w:hAnsi="Arial" w:cs="Arial"/>
          <w:sz w:val="24"/>
          <w:szCs w:val="24"/>
        </w:rPr>
        <w:t xml:space="preserve"> (</w:t>
      </w:r>
      <w:proofErr w:type="spellStart"/>
      <w:r w:rsidR="000B38FB">
        <w:rPr>
          <w:rFonts w:ascii="Arial" w:hAnsi="Arial" w:cs="Arial"/>
          <w:sz w:val="24"/>
          <w:szCs w:val="24"/>
        </w:rPr>
        <w:t>hereiafter</w:t>
      </w:r>
      <w:proofErr w:type="spellEnd"/>
      <w:r w:rsidR="000B38FB">
        <w:rPr>
          <w:rFonts w:ascii="Arial" w:hAnsi="Arial" w:cs="Arial"/>
          <w:sz w:val="24"/>
          <w:szCs w:val="24"/>
        </w:rPr>
        <w:t xml:space="preserve"> referred to as Mr </w:t>
      </w:r>
      <w:proofErr w:type="spellStart"/>
      <w:r w:rsidR="000B38FB">
        <w:rPr>
          <w:rFonts w:ascii="Arial" w:hAnsi="Arial" w:cs="Arial"/>
          <w:sz w:val="24"/>
          <w:szCs w:val="24"/>
        </w:rPr>
        <w:t>Shabalala</w:t>
      </w:r>
      <w:proofErr w:type="spellEnd"/>
      <w:r w:rsidR="000B38FB">
        <w:rPr>
          <w:rFonts w:ascii="Arial" w:hAnsi="Arial" w:cs="Arial"/>
          <w:sz w:val="24"/>
          <w:szCs w:val="24"/>
        </w:rPr>
        <w:t>)</w:t>
      </w:r>
      <w:r>
        <w:rPr>
          <w:rFonts w:ascii="Arial" w:hAnsi="Arial" w:cs="Arial"/>
          <w:sz w:val="24"/>
          <w:szCs w:val="24"/>
        </w:rPr>
        <w:t xml:space="preserve"> who informed her that he want</w:t>
      </w:r>
      <w:r w:rsidR="005C3A48">
        <w:rPr>
          <w:rFonts w:ascii="Arial" w:hAnsi="Arial" w:cs="Arial"/>
          <w:sz w:val="24"/>
          <w:szCs w:val="24"/>
        </w:rPr>
        <w:t xml:space="preserve">ed to ask her some questions. Mr </w:t>
      </w:r>
      <w:proofErr w:type="spellStart"/>
      <w:r w:rsidR="005C3A48">
        <w:rPr>
          <w:rFonts w:ascii="Arial" w:hAnsi="Arial" w:cs="Arial"/>
          <w:sz w:val="24"/>
          <w:szCs w:val="24"/>
        </w:rPr>
        <w:t>Shabalala</w:t>
      </w:r>
      <w:proofErr w:type="spellEnd"/>
      <w:r w:rsidR="005C3A48">
        <w:rPr>
          <w:rFonts w:ascii="Arial" w:hAnsi="Arial" w:cs="Arial"/>
          <w:sz w:val="24"/>
          <w:szCs w:val="24"/>
        </w:rPr>
        <w:t xml:space="preserve"> spoke to Ms </w:t>
      </w:r>
      <w:proofErr w:type="spellStart"/>
      <w:r w:rsidR="005C3A48">
        <w:rPr>
          <w:rFonts w:ascii="Arial" w:hAnsi="Arial" w:cs="Arial"/>
          <w:sz w:val="24"/>
          <w:szCs w:val="24"/>
        </w:rPr>
        <w:t>Nkunzi</w:t>
      </w:r>
      <w:proofErr w:type="spellEnd"/>
      <w:r>
        <w:rPr>
          <w:rFonts w:ascii="Arial" w:hAnsi="Arial" w:cs="Arial"/>
          <w:sz w:val="24"/>
          <w:szCs w:val="24"/>
        </w:rPr>
        <w:t xml:space="preserve"> at her office</w:t>
      </w:r>
      <w:r w:rsidR="000B38FB">
        <w:rPr>
          <w:rFonts w:ascii="Arial" w:hAnsi="Arial" w:cs="Arial"/>
          <w:sz w:val="24"/>
          <w:szCs w:val="24"/>
        </w:rPr>
        <w:t xml:space="preserve"> and </w:t>
      </w:r>
      <w:r>
        <w:rPr>
          <w:rFonts w:ascii="Arial" w:hAnsi="Arial" w:cs="Arial"/>
          <w:sz w:val="24"/>
          <w:szCs w:val="24"/>
        </w:rPr>
        <w:t xml:space="preserve">enquired about the advert </w:t>
      </w:r>
      <w:r w:rsidR="000B38FB">
        <w:rPr>
          <w:rFonts w:ascii="Arial" w:hAnsi="Arial" w:cs="Arial"/>
          <w:sz w:val="24"/>
          <w:szCs w:val="24"/>
        </w:rPr>
        <w:t xml:space="preserve">that </w:t>
      </w:r>
      <w:r>
        <w:rPr>
          <w:rFonts w:ascii="Arial" w:hAnsi="Arial" w:cs="Arial"/>
          <w:sz w:val="24"/>
          <w:szCs w:val="24"/>
        </w:rPr>
        <w:t>she</w:t>
      </w:r>
      <w:r w:rsidR="000B38FB">
        <w:rPr>
          <w:rFonts w:ascii="Arial" w:hAnsi="Arial" w:cs="Arial"/>
          <w:sz w:val="24"/>
          <w:szCs w:val="24"/>
        </w:rPr>
        <w:t xml:space="preserve"> had</w:t>
      </w:r>
      <w:r>
        <w:rPr>
          <w:rFonts w:ascii="Arial" w:hAnsi="Arial" w:cs="Arial"/>
          <w:sz w:val="24"/>
          <w:szCs w:val="24"/>
        </w:rPr>
        <w:t xml:space="preserve"> t</w:t>
      </w:r>
      <w:r w:rsidR="000B38FB">
        <w:rPr>
          <w:rFonts w:ascii="Arial" w:hAnsi="Arial" w:cs="Arial"/>
          <w:sz w:val="24"/>
          <w:szCs w:val="24"/>
        </w:rPr>
        <w:t xml:space="preserve">yped. Ms </w:t>
      </w:r>
      <w:proofErr w:type="spellStart"/>
      <w:r w:rsidR="000B38FB">
        <w:rPr>
          <w:rFonts w:ascii="Arial" w:hAnsi="Arial" w:cs="Arial"/>
          <w:sz w:val="24"/>
          <w:szCs w:val="24"/>
        </w:rPr>
        <w:t>Nkunzi</w:t>
      </w:r>
      <w:proofErr w:type="spellEnd"/>
      <w:r w:rsidR="000B38FB">
        <w:rPr>
          <w:rFonts w:ascii="Arial" w:hAnsi="Arial" w:cs="Arial"/>
          <w:sz w:val="24"/>
          <w:szCs w:val="24"/>
        </w:rPr>
        <w:t xml:space="preserve"> expounded to Mr </w:t>
      </w:r>
      <w:proofErr w:type="spellStart"/>
      <w:r w:rsidR="000B38FB">
        <w:rPr>
          <w:rFonts w:ascii="Arial" w:hAnsi="Arial" w:cs="Arial"/>
          <w:sz w:val="24"/>
          <w:szCs w:val="24"/>
        </w:rPr>
        <w:t>Shabalala</w:t>
      </w:r>
      <w:proofErr w:type="spellEnd"/>
      <w:r w:rsidR="000B38FB">
        <w:rPr>
          <w:rFonts w:ascii="Arial" w:hAnsi="Arial" w:cs="Arial"/>
          <w:sz w:val="24"/>
          <w:szCs w:val="24"/>
        </w:rPr>
        <w:t xml:space="preserve"> that the advert</w:t>
      </w:r>
      <w:r>
        <w:rPr>
          <w:rFonts w:ascii="Arial" w:hAnsi="Arial" w:cs="Arial"/>
          <w:sz w:val="24"/>
          <w:szCs w:val="24"/>
        </w:rPr>
        <w:t xml:space="preserve"> was typed on the instructions </w:t>
      </w:r>
      <w:r w:rsidR="000B38FB">
        <w:rPr>
          <w:rFonts w:ascii="Arial" w:hAnsi="Arial" w:cs="Arial"/>
          <w:sz w:val="24"/>
          <w:szCs w:val="24"/>
        </w:rPr>
        <w:t xml:space="preserve">that </w:t>
      </w:r>
      <w:r>
        <w:rPr>
          <w:rFonts w:ascii="Arial" w:hAnsi="Arial" w:cs="Arial"/>
          <w:sz w:val="24"/>
          <w:szCs w:val="24"/>
        </w:rPr>
        <w:t xml:space="preserve">she was given by Mr Govender. Ms </w:t>
      </w:r>
      <w:proofErr w:type="spellStart"/>
      <w:r>
        <w:rPr>
          <w:rFonts w:ascii="Arial" w:hAnsi="Arial" w:cs="Arial"/>
          <w:sz w:val="24"/>
          <w:szCs w:val="24"/>
        </w:rPr>
        <w:t>Nkunzi</w:t>
      </w:r>
      <w:proofErr w:type="spellEnd"/>
      <w:r>
        <w:rPr>
          <w:rFonts w:ascii="Arial" w:hAnsi="Arial" w:cs="Arial"/>
          <w:sz w:val="24"/>
          <w:szCs w:val="24"/>
        </w:rPr>
        <w:t xml:space="preserve"> </w:t>
      </w:r>
      <w:r w:rsidR="000B38FB">
        <w:rPr>
          <w:rFonts w:ascii="Arial" w:hAnsi="Arial" w:cs="Arial"/>
          <w:sz w:val="24"/>
          <w:szCs w:val="24"/>
        </w:rPr>
        <w:t>further exposited</w:t>
      </w:r>
      <w:r>
        <w:rPr>
          <w:rFonts w:ascii="Arial" w:hAnsi="Arial" w:cs="Arial"/>
          <w:sz w:val="24"/>
          <w:szCs w:val="24"/>
        </w:rPr>
        <w:t xml:space="preserve"> that Mr </w:t>
      </w:r>
      <w:proofErr w:type="spellStart"/>
      <w:r>
        <w:rPr>
          <w:rFonts w:ascii="Arial" w:hAnsi="Arial" w:cs="Arial"/>
          <w:sz w:val="24"/>
          <w:szCs w:val="24"/>
        </w:rPr>
        <w:t>Shabalal</w:t>
      </w:r>
      <w:r w:rsidR="000B38FB">
        <w:rPr>
          <w:rFonts w:ascii="Arial" w:hAnsi="Arial" w:cs="Arial"/>
          <w:sz w:val="24"/>
          <w:szCs w:val="24"/>
        </w:rPr>
        <w:t>a</w:t>
      </w:r>
      <w:proofErr w:type="spellEnd"/>
      <w:r>
        <w:rPr>
          <w:rFonts w:ascii="Arial" w:hAnsi="Arial" w:cs="Arial"/>
          <w:sz w:val="24"/>
          <w:szCs w:val="24"/>
        </w:rPr>
        <w:t xml:space="preserve"> and his colleague took a statement from her.</w:t>
      </w:r>
      <w:r>
        <w:rPr>
          <w:rStyle w:val="FootnoteReference"/>
          <w:rFonts w:ascii="Arial" w:hAnsi="Arial" w:cs="Arial"/>
          <w:sz w:val="24"/>
          <w:szCs w:val="24"/>
        </w:rPr>
        <w:footnoteReference w:id="2"/>
      </w:r>
      <w:r>
        <w:rPr>
          <w:rFonts w:ascii="Arial" w:hAnsi="Arial" w:cs="Arial"/>
          <w:sz w:val="24"/>
          <w:szCs w:val="24"/>
        </w:rPr>
        <w:t xml:space="preserve"> It came to light that she had made two statements, one of which was handwritten by Mr </w:t>
      </w:r>
      <w:proofErr w:type="spellStart"/>
      <w:r>
        <w:rPr>
          <w:rFonts w:ascii="Arial" w:hAnsi="Arial" w:cs="Arial"/>
          <w:sz w:val="24"/>
          <w:szCs w:val="24"/>
        </w:rPr>
        <w:t>Shabalala’s</w:t>
      </w:r>
      <w:proofErr w:type="spellEnd"/>
      <w:r>
        <w:rPr>
          <w:rFonts w:ascii="Arial" w:hAnsi="Arial" w:cs="Arial"/>
          <w:sz w:val="24"/>
          <w:szCs w:val="24"/>
        </w:rPr>
        <w:t xml:space="preserve"> colleague.</w:t>
      </w:r>
      <w:r w:rsidR="0093069B">
        <w:rPr>
          <w:rFonts w:ascii="Arial" w:hAnsi="Arial" w:cs="Arial"/>
          <w:sz w:val="24"/>
          <w:szCs w:val="24"/>
        </w:rPr>
        <w:t xml:space="preserve"> </w:t>
      </w:r>
    </w:p>
    <w:p w:rsidR="006F7CE9" w:rsidRPr="000B38FB" w:rsidRDefault="006F7CE9" w:rsidP="0023767B">
      <w:pPr>
        <w:pStyle w:val="ListParagraph"/>
        <w:numPr>
          <w:ilvl w:val="0"/>
          <w:numId w:val="1"/>
        </w:numPr>
        <w:spacing w:line="480" w:lineRule="auto"/>
        <w:jc w:val="both"/>
        <w:rPr>
          <w:rFonts w:ascii="Arial" w:hAnsi="Arial" w:cs="Arial"/>
          <w:b/>
          <w:sz w:val="24"/>
          <w:szCs w:val="24"/>
        </w:rPr>
      </w:pPr>
      <w:r>
        <w:rPr>
          <w:rFonts w:ascii="Arial" w:hAnsi="Arial" w:cs="Arial"/>
          <w:sz w:val="24"/>
          <w:szCs w:val="24"/>
        </w:rPr>
        <w:lastRenderedPageBreak/>
        <w:t xml:space="preserve">Ms </w:t>
      </w:r>
      <w:proofErr w:type="spellStart"/>
      <w:r>
        <w:rPr>
          <w:rFonts w:ascii="Arial" w:hAnsi="Arial" w:cs="Arial"/>
          <w:sz w:val="24"/>
          <w:szCs w:val="24"/>
        </w:rPr>
        <w:t>Nkuzi</w:t>
      </w:r>
      <w:proofErr w:type="spellEnd"/>
      <w:r>
        <w:rPr>
          <w:rFonts w:ascii="Arial" w:hAnsi="Arial" w:cs="Arial"/>
          <w:sz w:val="24"/>
          <w:szCs w:val="24"/>
        </w:rPr>
        <w:t xml:space="preserve"> was referred to a document where she </w:t>
      </w:r>
      <w:r>
        <w:rPr>
          <w:rFonts w:ascii="Arial" w:hAnsi="Arial" w:cs="Arial"/>
          <w:i/>
          <w:sz w:val="24"/>
          <w:szCs w:val="24"/>
        </w:rPr>
        <w:t>‘…stated that the specification for catering services was prepared and advertised by her</w:t>
      </w:r>
      <w:r w:rsidR="004D277C">
        <w:rPr>
          <w:rFonts w:ascii="Arial" w:hAnsi="Arial" w:cs="Arial"/>
          <w:i/>
          <w:sz w:val="24"/>
          <w:szCs w:val="24"/>
        </w:rPr>
        <w:t>…’</w:t>
      </w:r>
      <w:r w:rsidR="004D277C">
        <w:rPr>
          <w:rStyle w:val="FootnoteReference"/>
          <w:rFonts w:ascii="Arial" w:hAnsi="Arial" w:cs="Arial"/>
          <w:i/>
          <w:sz w:val="24"/>
          <w:szCs w:val="24"/>
        </w:rPr>
        <w:footnoteReference w:id="3"/>
      </w:r>
      <w:r w:rsidR="004D277C">
        <w:rPr>
          <w:rFonts w:ascii="Arial" w:hAnsi="Arial" w:cs="Arial"/>
          <w:sz w:val="24"/>
          <w:szCs w:val="24"/>
        </w:rPr>
        <w:t xml:space="preserve"> She did not know who prepare the document and reiterated that  she only typed the advert and did not prepare it. Ms </w:t>
      </w:r>
      <w:proofErr w:type="spellStart"/>
      <w:r w:rsidR="004D277C">
        <w:rPr>
          <w:rFonts w:ascii="Arial" w:hAnsi="Arial" w:cs="Arial"/>
          <w:sz w:val="24"/>
          <w:szCs w:val="24"/>
        </w:rPr>
        <w:t>Nkunzi</w:t>
      </w:r>
      <w:proofErr w:type="spellEnd"/>
      <w:r w:rsidR="004D277C">
        <w:rPr>
          <w:rFonts w:ascii="Arial" w:hAnsi="Arial" w:cs="Arial"/>
          <w:sz w:val="24"/>
          <w:szCs w:val="24"/>
        </w:rPr>
        <w:t xml:space="preserve"> was </w:t>
      </w:r>
      <w:r w:rsidR="004C2E2B">
        <w:rPr>
          <w:rFonts w:ascii="Arial" w:hAnsi="Arial" w:cs="Arial"/>
          <w:sz w:val="24"/>
          <w:szCs w:val="24"/>
        </w:rPr>
        <w:t xml:space="preserve">asked whether she </w:t>
      </w:r>
      <w:r w:rsidR="004D277C">
        <w:rPr>
          <w:rFonts w:ascii="Arial" w:hAnsi="Arial" w:cs="Arial"/>
          <w:sz w:val="24"/>
          <w:szCs w:val="24"/>
        </w:rPr>
        <w:t xml:space="preserve">had left out </w:t>
      </w:r>
      <w:r w:rsidR="004C2E2B">
        <w:rPr>
          <w:rFonts w:ascii="Arial" w:hAnsi="Arial" w:cs="Arial"/>
          <w:sz w:val="24"/>
          <w:szCs w:val="24"/>
        </w:rPr>
        <w:t xml:space="preserve">or taken out crucial information from </w:t>
      </w:r>
      <w:r w:rsidR="004D277C">
        <w:rPr>
          <w:rFonts w:ascii="Arial" w:hAnsi="Arial" w:cs="Arial"/>
          <w:sz w:val="24"/>
          <w:szCs w:val="24"/>
        </w:rPr>
        <w:t>the advert</w:t>
      </w:r>
      <w:r w:rsidR="004C2E2B">
        <w:rPr>
          <w:rFonts w:ascii="Arial" w:hAnsi="Arial" w:cs="Arial"/>
          <w:sz w:val="24"/>
          <w:szCs w:val="24"/>
        </w:rPr>
        <w:t xml:space="preserve"> as alleged</w:t>
      </w:r>
      <w:r w:rsidR="004C2E2B">
        <w:rPr>
          <w:rStyle w:val="FootnoteReference"/>
          <w:rFonts w:ascii="Arial" w:hAnsi="Arial" w:cs="Arial"/>
          <w:sz w:val="24"/>
          <w:szCs w:val="24"/>
        </w:rPr>
        <w:footnoteReference w:id="4"/>
      </w:r>
      <w:r w:rsidR="004C2E2B">
        <w:rPr>
          <w:rFonts w:ascii="Arial" w:hAnsi="Arial" w:cs="Arial"/>
          <w:sz w:val="24"/>
          <w:szCs w:val="24"/>
        </w:rPr>
        <w:t>, which she denied.</w:t>
      </w:r>
      <w:r w:rsidR="00C305E2">
        <w:rPr>
          <w:rFonts w:ascii="Arial" w:hAnsi="Arial" w:cs="Arial"/>
          <w:sz w:val="24"/>
          <w:szCs w:val="24"/>
        </w:rPr>
        <w:t xml:space="preserve"> She was unable to comment on what information the report was referring to.</w:t>
      </w:r>
      <w:r w:rsidR="0051475A">
        <w:rPr>
          <w:rFonts w:ascii="Arial" w:hAnsi="Arial" w:cs="Arial"/>
          <w:sz w:val="24"/>
          <w:szCs w:val="24"/>
        </w:rPr>
        <w:t xml:space="preserve"> She denied being involved in any way with tender adverts or anything involving tenders.  She confirmed that she was simply performing her duties and following an instruction.</w:t>
      </w:r>
    </w:p>
    <w:p w:rsidR="000B38FB" w:rsidRPr="00BE0194" w:rsidRDefault="000B38FB" w:rsidP="000B38FB">
      <w:pPr>
        <w:pStyle w:val="ListParagraph"/>
        <w:spacing w:line="480" w:lineRule="auto"/>
        <w:ind w:left="0"/>
        <w:jc w:val="both"/>
        <w:rPr>
          <w:rFonts w:ascii="Arial" w:hAnsi="Arial" w:cs="Arial"/>
          <w:b/>
          <w:sz w:val="24"/>
          <w:szCs w:val="24"/>
        </w:rPr>
      </w:pPr>
    </w:p>
    <w:p w:rsidR="005444E8" w:rsidRPr="00665642" w:rsidRDefault="005444E8" w:rsidP="0023767B">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Ms </w:t>
      </w:r>
      <w:proofErr w:type="spellStart"/>
      <w:r>
        <w:rPr>
          <w:rFonts w:ascii="Arial" w:hAnsi="Arial" w:cs="Arial"/>
          <w:sz w:val="24"/>
          <w:szCs w:val="24"/>
        </w:rPr>
        <w:t>Nkunzi</w:t>
      </w:r>
      <w:proofErr w:type="spellEnd"/>
      <w:r>
        <w:rPr>
          <w:rFonts w:ascii="Arial" w:hAnsi="Arial" w:cs="Arial"/>
          <w:sz w:val="24"/>
          <w:szCs w:val="24"/>
        </w:rPr>
        <w:t xml:space="preserve"> testified that she was found not guilty</w:t>
      </w:r>
      <w:r w:rsidR="0093069B">
        <w:rPr>
          <w:rFonts w:ascii="Arial" w:hAnsi="Arial" w:cs="Arial"/>
          <w:sz w:val="24"/>
          <w:szCs w:val="24"/>
        </w:rPr>
        <w:t xml:space="preserve"> at the disciplinary hearing.</w:t>
      </w:r>
      <w:r w:rsidR="008175C1">
        <w:rPr>
          <w:rFonts w:ascii="Arial" w:hAnsi="Arial" w:cs="Arial"/>
          <w:sz w:val="24"/>
          <w:szCs w:val="24"/>
        </w:rPr>
        <w:t xml:space="preserve"> She explicated</w:t>
      </w:r>
      <w:r w:rsidR="0051475A">
        <w:rPr>
          <w:rFonts w:ascii="Arial" w:hAnsi="Arial" w:cs="Arial"/>
          <w:sz w:val="24"/>
          <w:szCs w:val="24"/>
        </w:rPr>
        <w:t xml:space="preserve"> that she felt humil</w:t>
      </w:r>
      <w:r w:rsidR="004601FA">
        <w:rPr>
          <w:rFonts w:ascii="Arial" w:hAnsi="Arial" w:cs="Arial"/>
          <w:sz w:val="24"/>
          <w:szCs w:val="24"/>
        </w:rPr>
        <w:t xml:space="preserve">iated and </w:t>
      </w:r>
      <w:r w:rsidR="008175C1">
        <w:rPr>
          <w:rFonts w:ascii="Arial" w:hAnsi="Arial" w:cs="Arial"/>
          <w:sz w:val="24"/>
          <w:szCs w:val="24"/>
        </w:rPr>
        <w:t xml:space="preserve">in her words, </w:t>
      </w:r>
      <w:r w:rsidR="008175C1" w:rsidRPr="008175C1">
        <w:rPr>
          <w:rFonts w:ascii="Arial" w:hAnsi="Arial" w:cs="Arial"/>
          <w:i/>
          <w:sz w:val="24"/>
          <w:szCs w:val="24"/>
        </w:rPr>
        <w:t>“</w:t>
      </w:r>
      <w:r w:rsidR="004601FA" w:rsidRPr="008175C1">
        <w:rPr>
          <w:rFonts w:ascii="Arial" w:hAnsi="Arial" w:cs="Arial"/>
          <w:i/>
          <w:sz w:val="24"/>
          <w:szCs w:val="24"/>
        </w:rPr>
        <w:t>very small</w:t>
      </w:r>
      <w:r w:rsidR="008175C1" w:rsidRPr="008175C1">
        <w:rPr>
          <w:rFonts w:ascii="Arial" w:hAnsi="Arial" w:cs="Arial"/>
          <w:i/>
          <w:sz w:val="24"/>
          <w:szCs w:val="24"/>
        </w:rPr>
        <w:t>”</w:t>
      </w:r>
      <w:r w:rsidR="004601FA">
        <w:rPr>
          <w:rFonts w:ascii="Arial" w:hAnsi="Arial" w:cs="Arial"/>
          <w:sz w:val="24"/>
          <w:szCs w:val="24"/>
        </w:rPr>
        <w:t>. She expressed</w:t>
      </w:r>
      <w:r w:rsidR="0051475A">
        <w:rPr>
          <w:rFonts w:ascii="Arial" w:hAnsi="Arial" w:cs="Arial"/>
          <w:sz w:val="24"/>
          <w:szCs w:val="24"/>
        </w:rPr>
        <w:t xml:space="preserve"> that she felt </w:t>
      </w:r>
      <w:r w:rsidR="008175C1" w:rsidRPr="008175C1">
        <w:rPr>
          <w:rFonts w:ascii="Arial" w:hAnsi="Arial" w:cs="Arial"/>
          <w:i/>
          <w:sz w:val="24"/>
          <w:szCs w:val="24"/>
        </w:rPr>
        <w:t>“</w:t>
      </w:r>
      <w:proofErr w:type="gramStart"/>
      <w:r w:rsidR="0051475A" w:rsidRPr="008175C1">
        <w:rPr>
          <w:rFonts w:ascii="Arial" w:hAnsi="Arial" w:cs="Arial"/>
          <w:i/>
          <w:sz w:val="24"/>
          <w:szCs w:val="24"/>
        </w:rPr>
        <w:t>very</w:t>
      </w:r>
      <w:proofErr w:type="gramEnd"/>
      <w:r w:rsidR="0051475A" w:rsidRPr="008175C1">
        <w:rPr>
          <w:rFonts w:ascii="Arial" w:hAnsi="Arial" w:cs="Arial"/>
          <w:i/>
          <w:sz w:val="24"/>
          <w:szCs w:val="24"/>
        </w:rPr>
        <w:t xml:space="preserve"> undermined</w:t>
      </w:r>
      <w:r w:rsidR="008175C1" w:rsidRPr="008175C1">
        <w:rPr>
          <w:rFonts w:ascii="Arial" w:hAnsi="Arial" w:cs="Arial"/>
          <w:i/>
          <w:sz w:val="24"/>
          <w:szCs w:val="24"/>
        </w:rPr>
        <w:t>”</w:t>
      </w:r>
      <w:r w:rsidR="0051475A">
        <w:rPr>
          <w:rFonts w:ascii="Arial" w:hAnsi="Arial" w:cs="Arial"/>
          <w:sz w:val="24"/>
          <w:szCs w:val="24"/>
        </w:rPr>
        <w:t xml:space="preserve"> because she was doing her job and following an instruction. She also stated that she was embarrassed and let down by whoever initiated the disciplinary hearing. She </w:t>
      </w:r>
      <w:r w:rsidR="008175C1">
        <w:rPr>
          <w:rFonts w:ascii="Arial" w:hAnsi="Arial" w:cs="Arial"/>
          <w:sz w:val="24"/>
          <w:szCs w:val="24"/>
        </w:rPr>
        <w:t>elucidated</w:t>
      </w:r>
      <w:r w:rsidR="0051475A">
        <w:rPr>
          <w:rFonts w:ascii="Arial" w:hAnsi="Arial" w:cs="Arial"/>
          <w:sz w:val="24"/>
          <w:szCs w:val="24"/>
        </w:rPr>
        <w:t xml:space="preserve"> that </w:t>
      </w:r>
      <w:r w:rsidR="008175C1">
        <w:rPr>
          <w:rFonts w:ascii="Arial" w:hAnsi="Arial" w:cs="Arial"/>
          <w:i/>
          <w:sz w:val="24"/>
          <w:szCs w:val="24"/>
        </w:rPr>
        <w:t>“</w:t>
      </w:r>
      <w:r w:rsidR="0051475A">
        <w:rPr>
          <w:rFonts w:ascii="Arial" w:hAnsi="Arial" w:cs="Arial"/>
          <w:i/>
          <w:sz w:val="24"/>
          <w:szCs w:val="24"/>
        </w:rPr>
        <w:t>they made me feel like I committed a crime…I was a scapegoat. They needed to hold someone accountable. I felt they u</w:t>
      </w:r>
      <w:r w:rsidR="008175C1">
        <w:rPr>
          <w:rFonts w:ascii="Arial" w:hAnsi="Arial" w:cs="Arial"/>
          <w:i/>
          <w:sz w:val="24"/>
          <w:szCs w:val="24"/>
        </w:rPr>
        <w:t>sed me as a scapegoat for this.”</w:t>
      </w:r>
    </w:p>
    <w:p w:rsidR="00665642" w:rsidRPr="003E0C87" w:rsidRDefault="00665642" w:rsidP="00665642">
      <w:pPr>
        <w:pStyle w:val="ListParagraph"/>
        <w:spacing w:line="480" w:lineRule="auto"/>
        <w:ind w:left="0"/>
        <w:jc w:val="both"/>
        <w:rPr>
          <w:rFonts w:ascii="Arial" w:hAnsi="Arial" w:cs="Arial"/>
          <w:b/>
          <w:sz w:val="24"/>
          <w:szCs w:val="24"/>
        </w:rPr>
      </w:pPr>
    </w:p>
    <w:p w:rsidR="003E0C87" w:rsidRPr="00E40A61" w:rsidRDefault="003E0C87" w:rsidP="0023767B">
      <w:pPr>
        <w:pStyle w:val="ListParagraph"/>
        <w:numPr>
          <w:ilvl w:val="0"/>
          <w:numId w:val="1"/>
        </w:numPr>
        <w:spacing w:line="480" w:lineRule="auto"/>
        <w:jc w:val="both"/>
        <w:rPr>
          <w:rFonts w:ascii="Arial" w:hAnsi="Arial" w:cs="Arial"/>
          <w:b/>
          <w:sz w:val="24"/>
          <w:szCs w:val="24"/>
        </w:rPr>
      </w:pPr>
      <w:r>
        <w:rPr>
          <w:rFonts w:ascii="Arial" w:hAnsi="Arial" w:cs="Arial"/>
          <w:sz w:val="24"/>
          <w:szCs w:val="24"/>
        </w:rPr>
        <w:lastRenderedPageBreak/>
        <w:t>It came to light that Mr Govender resigned during the time when the investigation</w:t>
      </w:r>
      <w:r w:rsidR="00F92A5D">
        <w:rPr>
          <w:rFonts w:ascii="Arial" w:hAnsi="Arial" w:cs="Arial"/>
          <w:sz w:val="24"/>
          <w:szCs w:val="24"/>
        </w:rPr>
        <w:t xml:space="preserve">s were happening. In fact it came to light that it was Ms </w:t>
      </w:r>
      <w:proofErr w:type="spellStart"/>
      <w:r w:rsidR="00F92A5D">
        <w:rPr>
          <w:rFonts w:ascii="Arial" w:hAnsi="Arial" w:cs="Arial"/>
          <w:sz w:val="24"/>
          <w:szCs w:val="24"/>
        </w:rPr>
        <w:t>Nkunzi</w:t>
      </w:r>
      <w:proofErr w:type="spellEnd"/>
      <w:r w:rsidR="00F92A5D">
        <w:rPr>
          <w:rFonts w:ascii="Arial" w:hAnsi="Arial" w:cs="Arial"/>
          <w:sz w:val="24"/>
          <w:szCs w:val="24"/>
        </w:rPr>
        <w:t xml:space="preserve"> who had typed Mr </w:t>
      </w:r>
      <w:proofErr w:type="spellStart"/>
      <w:r w:rsidR="00F92A5D">
        <w:rPr>
          <w:rFonts w:ascii="Arial" w:hAnsi="Arial" w:cs="Arial"/>
          <w:sz w:val="24"/>
          <w:szCs w:val="24"/>
        </w:rPr>
        <w:t>Govender’s</w:t>
      </w:r>
      <w:proofErr w:type="spellEnd"/>
      <w:r>
        <w:rPr>
          <w:rFonts w:ascii="Arial" w:hAnsi="Arial" w:cs="Arial"/>
          <w:sz w:val="24"/>
          <w:szCs w:val="24"/>
        </w:rPr>
        <w:t xml:space="preserve"> letter wherein he tendered his resignation on 8 April 2014.</w:t>
      </w:r>
      <w:r w:rsidR="00BA0B7E">
        <w:rPr>
          <w:rFonts w:ascii="Arial" w:hAnsi="Arial" w:cs="Arial"/>
          <w:sz w:val="24"/>
          <w:szCs w:val="24"/>
        </w:rPr>
        <w:t xml:space="preserve"> Ms </w:t>
      </w:r>
      <w:proofErr w:type="spellStart"/>
      <w:r w:rsidR="00BA0B7E">
        <w:rPr>
          <w:rFonts w:ascii="Arial" w:hAnsi="Arial" w:cs="Arial"/>
          <w:sz w:val="24"/>
          <w:szCs w:val="24"/>
        </w:rPr>
        <w:t>Nkunzi</w:t>
      </w:r>
      <w:proofErr w:type="spellEnd"/>
      <w:r w:rsidR="00BA0B7E">
        <w:rPr>
          <w:rFonts w:ascii="Arial" w:hAnsi="Arial" w:cs="Arial"/>
          <w:sz w:val="24"/>
          <w:szCs w:val="24"/>
        </w:rPr>
        <w:t xml:space="preserve"> herself did not have a service break and was still employed with the municipality</w:t>
      </w:r>
      <w:r w:rsidR="00665642">
        <w:rPr>
          <w:rFonts w:ascii="Arial" w:hAnsi="Arial" w:cs="Arial"/>
          <w:sz w:val="24"/>
          <w:szCs w:val="24"/>
        </w:rPr>
        <w:t>.</w:t>
      </w:r>
    </w:p>
    <w:p w:rsidR="00E40A61" w:rsidRPr="00E40A61" w:rsidRDefault="00E40A61" w:rsidP="00E40A61">
      <w:pPr>
        <w:pStyle w:val="ListParagraph"/>
        <w:rPr>
          <w:rFonts w:ascii="Arial" w:hAnsi="Arial" w:cs="Arial"/>
          <w:b/>
          <w:sz w:val="24"/>
          <w:szCs w:val="24"/>
        </w:rPr>
      </w:pPr>
    </w:p>
    <w:p w:rsidR="00E40A61" w:rsidRDefault="004C5784" w:rsidP="0023767B">
      <w:pPr>
        <w:pStyle w:val="ListParagraph"/>
        <w:numPr>
          <w:ilvl w:val="0"/>
          <w:numId w:val="1"/>
        </w:numPr>
        <w:spacing w:line="480" w:lineRule="auto"/>
        <w:jc w:val="both"/>
        <w:rPr>
          <w:rFonts w:ascii="Arial" w:hAnsi="Arial" w:cs="Arial"/>
          <w:b/>
          <w:sz w:val="24"/>
          <w:szCs w:val="24"/>
        </w:rPr>
      </w:pPr>
      <w:r>
        <w:rPr>
          <w:rFonts w:ascii="Arial" w:hAnsi="Arial" w:cs="Arial"/>
          <w:b/>
          <w:sz w:val="24"/>
          <w:szCs w:val="24"/>
        </w:rPr>
        <w:t xml:space="preserve">The </w:t>
      </w:r>
      <w:r w:rsidR="00E40A61">
        <w:rPr>
          <w:rFonts w:ascii="Arial" w:hAnsi="Arial" w:cs="Arial"/>
          <w:b/>
          <w:sz w:val="24"/>
          <w:szCs w:val="24"/>
        </w:rPr>
        <w:t>Plaintiff’s case</w:t>
      </w:r>
      <w:r>
        <w:rPr>
          <w:rFonts w:ascii="Arial" w:hAnsi="Arial" w:cs="Arial"/>
          <w:b/>
          <w:sz w:val="24"/>
          <w:szCs w:val="24"/>
        </w:rPr>
        <w:t xml:space="preserve"> was thereafter</w:t>
      </w:r>
      <w:r w:rsidR="00E40A61">
        <w:rPr>
          <w:rFonts w:ascii="Arial" w:hAnsi="Arial" w:cs="Arial"/>
          <w:b/>
          <w:sz w:val="24"/>
          <w:szCs w:val="24"/>
        </w:rPr>
        <w:t xml:space="preserve"> closed</w:t>
      </w:r>
      <w:r>
        <w:rPr>
          <w:rFonts w:ascii="Arial" w:hAnsi="Arial" w:cs="Arial"/>
          <w:b/>
          <w:sz w:val="24"/>
          <w:szCs w:val="24"/>
        </w:rPr>
        <w:t>.</w:t>
      </w:r>
    </w:p>
    <w:p w:rsidR="00E40A61" w:rsidRPr="00E40A61" w:rsidRDefault="00E40A61" w:rsidP="00E40A61">
      <w:pPr>
        <w:pStyle w:val="ListParagraph"/>
        <w:rPr>
          <w:rFonts w:ascii="Arial" w:hAnsi="Arial" w:cs="Arial"/>
          <w:b/>
          <w:sz w:val="24"/>
          <w:szCs w:val="24"/>
        </w:rPr>
      </w:pPr>
    </w:p>
    <w:p w:rsidR="00E40A61" w:rsidRDefault="00E40A61" w:rsidP="00E40A61">
      <w:pPr>
        <w:pStyle w:val="ListParagraph"/>
        <w:spacing w:line="480" w:lineRule="auto"/>
        <w:ind w:left="0"/>
        <w:jc w:val="both"/>
        <w:rPr>
          <w:rFonts w:ascii="Arial" w:hAnsi="Arial" w:cs="Arial"/>
          <w:b/>
          <w:sz w:val="24"/>
          <w:szCs w:val="24"/>
        </w:rPr>
      </w:pPr>
      <w:r>
        <w:rPr>
          <w:rFonts w:ascii="Arial" w:hAnsi="Arial" w:cs="Arial"/>
          <w:b/>
          <w:sz w:val="24"/>
          <w:szCs w:val="24"/>
        </w:rPr>
        <w:t>Summary of evidence for the Defendant</w:t>
      </w:r>
    </w:p>
    <w:p w:rsidR="00E40A61" w:rsidRPr="00E40A61" w:rsidRDefault="00E40A61" w:rsidP="00E40A61">
      <w:pPr>
        <w:pStyle w:val="ListParagraph"/>
        <w:rPr>
          <w:rFonts w:ascii="Arial" w:hAnsi="Arial" w:cs="Arial"/>
          <w:b/>
          <w:sz w:val="24"/>
          <w:szCs w:val="24"/>
        </w:rPr>
      </w:pPr>
    </w:p>
    <w:p w:rsidR="008872CB" w:rsidRDefault="00E40A61" w:rsidP="008872CB">
      <w:pPr>
        <w:pStyle w:val="ListParagraph"/>
        <w:numPr>
          <w:ilvl w:val="0"/>
          <w:numId w:val="1"/>
        </w:numPr>
        <w:spacing w:line="480" w:lineRule="auto"/>
        <w:jc w:val="both"/>
        <w:rPr>
          <w:rFonts w:ascii="Arial" w:hAnsi="Arial" w:cs="Arial"/>
          <w:b/>
          <w:sz w:val="24"/>
          <w:szCs w:val="24"/>
        </w:rPr>
      </w:pPr>
      <w:proofErr w:type="spellStart"/>
      <w:r>
        <w:rPr>
          <w:rFonts w:ascii="Arial" w:hAnsi="Arial" w:cs="Arial"/>
          <w:b/>
          <w:sz w:val="24"/>
          <w:szCs w:val="24"/>
        </w:rPr>
        <w:t>Mpontso</w:t>
      </w:r>
      <w:proofErr w:type="spellEnd"/>
      <w:r>
        <w:rPr>
          <w:rFonts w:ascii="Arial" w:hAnsi="Arial" w:cs="Arial"/>
          <w:b/>
          <w:sz w:val="24"/>
          <w:szCs w:val="24"/>
        </w:rPr>
        <w:t xml:space="preserve"> </w:t>
      </w:r>
      <w:proofErr w:type="spellStart"/>
      <w:r>
        <w:rPr>
          <w:rFonts w:ascii="Arial" w:hAnsi="Arial" w:cs="Arial"/>
          <w:b/>
          <w:sz w:val="24"/>
          <w:szCs w:val="24"/>
        </w:rPr>
        <w:t>Matee</w:t>
      </w:r>
      <w:proofErr w:type="spellEnd"/>
      <w:r>
        <w:rPr>
          <w:rFonts w:ascii="Arial" w:hAnsi="Arial" w:cs="Arial"/>
          <w:b/>
          <w:sz w:val="24"/>
          <w:szCs w:val="24"/>
        </w:rPr>
        <w:t xml:space="preserve"> </w:t>
      </w:r>
      <w:r>
        <w:rPr>
          <w:rFonts w:ascii="Arial" w:hAnsi="Arial" w:cs="Arial"/>
          <w:sz w:val="24"/>
          <w:szCs w:val="24"/>
        </w:rPr>
        <w:t xml:space="preserve">testified that she is employed at </w:t>
      </w:r>
      <w:proofErr w:type="spellStart"/>
      <w:r>
        <w:rPr>
          <w:rFonts w:ascii="Arial" w:hAnsi="Arial" w:cs="Arial"/>
          <w:sz w:val="24"/>
          <w:szCs w:val="24"/>
        </w:rPr>
        <w:t>Ethekweni</w:t>
      </w:r>
      <w:proofErr w:type="spellEnd"/>
      <w:r>
        <w:rPr>
          <w:rFonts w:ascii="Arial" w:hAnsi="Arial" w:cs="Arial"/>
          <w:sz w:val="24"/>
          <w:szCs w:val="24"/>
        </w:rPr>
        <w:t xml:space="preserve"> Municipality as a functions co-ordinator since 2005.  She described her duties and the step by step procedures</w:t>
      </w:r>
      <w:r w:rsidR="0059771E">
        <w:rPr>
          <w:rFonts w:ascii="Arial" w:hAnsi="Arial" w:cs="Arial"/>
          <w:sz w:val="24"/>
          <w:szCs w:val="24"/>
        </w:rPr>
        <w:t xml:space="preserve"> and considerations which are</w:t>
      </w:r>
      <w:r>
        <w:rPr>
          <w:rFonts w:ascii="Arial" w:hAnsi="Arial" w:cs="Arial"/>
          <w:sz w:val="24"/>
          <w:szCs w:val="24"/>
        </w:rPr>
        <w:t xml:space="preserve"> followed when an application for a Mayoral function is requested.</w:t>
      </w:r>
      <w:r w:rsidR="0059771E">
        <w:rPr>
          <w:rFonts w:ascii="Arial" w:hAnsi="Arial" w:cs="Arial"/>
          <w:sz w:val="24"/>
          <w:szCs w:val="24"/>
        </w:rPr>
        <w:t xml:space="preserve"> </w:t>
      </w:r>
      <w:r w:rsidR="001A7AA6">
        <w:rPr>
          <w:rFonts w:ascii="Arial" w:hAnsi="Arial" w:cs="Arial"/>
          <w:sz w:val="24"/>
          <w:szCs w:val="24"/>
        </w:rPr>
        <w:t xml:space="preserve"> </w:t>
      </w:r>
      <w:r w:rsidR="003D70CA">
        <w:rPr>
          <w:rFonts w:ascii="Arial" w:hAnsi="Arial" w:cs="Arial"/>
          <w:sz w:val="24"/>
          <w:szCs w:val="24"/>
        </w:rPr>
        <w:t xml:space="preserve">Ms </w:t>
      </w:r>
      <w:proofErr w:type="spellStart"/>
      <w:proofErr w:type="gramStart"/>
      <w:r w:rsidR="003D70CA">
        <w:rPr>
          <w:rFonts w:ascii="Arial" w:hAnsi="Arial" w:cs="Arial"/>
          <w:sz w:val="24"/>
          <w:szCs w:val="24"/>
        </w:rPr>
        <w:t>Matee</w:t>
      </w:r>
      <w:proofErr w:type="spellEnd"/>
      <w:r w:rsidR="003D70CA">
        <w:rPr>
          <w:rFonts w:ascii="Arial" w:hAnsi="Arial" w:cs="Arial"/>
          <w:sz w:val="24"/>
          <w:szCs w:val="24"/>
        </w:rPr>
        <w:t>,</w:t>
      </w:r>
      <w:proofErr w:type="gramEnd"/>
      <w:r w:rsidR="003D70CA">
        <w:rPr>
          <w:rFonts w:ascii="Arial" w:hAnsi="Arial" w:cs="Arial"/>
          <w:sz w:val="24"/>
          <w:szCs w:val="24"/>
        </w:rPr>
        <w:t xml:space="preserve"> orated that she reported to her Manager, Mr Roy </w:t>
      </w:r>
      <w:proofErr w:type="spellStart"/>
      <w:r w:rsidR="003D70CA">
        <w:rPr>
          <w:rFonts w:ascii="Arial" w:hAnsi="Arial" w:cs="Arial"/>
          <w:sz w:val="24"/>
          <w:szCs w:val="24"/>
        </w:rPr>
        <w:t>Mkumla</w:t>
      </w:r>
      <w:proofErr w:type="spellEnd"/>
      <w:r w:rsidR="003D70CA">
        <w:rPr>
          <w:rFonts w:ascii="Arial" w:hAnsi="Arial" w:cs="Arial"/>
          <w:sz w:val="24"/>
          <w:szCs w:val="24"/>
        </w:rPr>
        <w:t xml:space="preserve"> and he in turn reported to Daniel Govender.</w:t>
      </w:r>
      <w:r w:rsidR="00556142">
        <w:rPr>
          <w:rFonts w:ascii="Arial" w:hAnsi="Arial" w:cs="Arial"/>
          <w:sz w:val="24"/>
          <w:szCs w:val="24"/>
        </w:rPr>
        <w:t xml:space="preserve"> </w:t>
      </w:r>
      <w:r w:rsidR="003D70CA">
        <w:rPr>
          <w:rFonts w:ascii="Arial" w:hAnsi="Arial" w:cs="Arial"/>
          <w:sz w:val="24"/>
          <w:szCs w:val="24"/>
        </w:rPr>
        <w:t xml:space="preserve"> </w:t>
      </w:r>
      <w:r w:rsidR="001A7AA6">
        <w:rPr>
          <w:rFonts w:ascii="Arial" w:hAnsi="Arial" w:cs="Arial"/>
          <w:sz w:val="24"/>
          <w:szCs w:val="24"/>
        </w:rPr>
        <w:t xml:space="preserve">She explicated that </w:t>
      </w:r>
      <w:r w:rsidR="003D70CA">
        <w:rPr>
          <w:rFonts w:ascii="Arial" w:hAnsi="Arial" w:cs="Arial"/>
          <w:sz w:val="24"/>
          <w:szCs w:val="24"/>
        </w:rPr>
        <w:t xml:space="preserve">she is usually responsible to prepare the notice unless she is told not to do so. </w:t>
      </w:r>
      <w:r w:rsidR="00556142">
        <w:rPr>
          <w:rFonts w:ascii="Arial" w:hAnsi="Arial" w:cs="Arial"/>
          <w:sz w:val="24"/>
          <w:szCs w:val="24"/>
        </w:rPr>
        <w:t xml:space="preserve"> Ms </w:t>
      </w:r>
      <w:proofErr w:type="spellStart"/>
      <w:r w:rsidR="00556142">
        <w:rPr>
          <w:rFonts w:ascii="Arial" w:hAnsi="Arial" w:cs="Arial"/>
          <w:sz w:val="24"/>
          <w:szCs w:val="24"/>
        </w:rPr>
        <w:t>Matee</w:t>
      </w:r>
      <w:proofErr w:type="spellEnd"/>
      <w:r w:rsidR="00556142">
        <w:rPr>
          <w:rFonts w:ascii="Arial" w:hAnsi="Arial" w:cs="Arial"/>
          <w:sz w:val="24"/>
          <w:szCs w:val="24"/>
        </w:rPr>
        <w:t xml:space="preserve"> was referred to the advert</w:t>
      </w:r>
      <w:r w:rsidR="00556142">
        <w:rPr>
          <w:rStyle w:val="FootnoteReference"/>
          <w:rFonts w:ascii="Arial" w:hAnsi="Arial" w:cs="Arial"/>
          <w:sz w:val="24"/>
          <w:szCs w:val="24"/>
        </w:rPr>
        <w:footnoteReference w:id="5"/>
      </w:r>
      <w:r w:rsidR="0049701F">
        <w:rPr>
          <w:rFonts w:ascii="Arial" w:hAnsi="Arial" w:cs="Arial"/>
          <w:sz w:val="24"/>
          <w:szCs w:val="24"/>
        </w:rPr>
        <w:t xml:space="preserve"> central to this case whereupon she confirmed that she did not prepare same, neither did she know who had prepared it.</w:t>
      </w:r>
    </w:p>
    <w:p w:rsidR="008872CB" w:rsidRPr="008872CB" w:rsidRDefault="008872CB" w:rsidP="008872CB">
      <w:pPr>
        <w:pStyle w:val="ListParagraph"/>
        <w:spacing w:line="480" w:lineRule="auto"/>
        <w:ind w:left="0"/>
        <w:jc w:val="both"/>
        <w:rPr>
          <w:rFonts w:ascii="Arial" w:hAnsi="Arial" w:cs="Arial"/>
          <w:b/>
          <w:sz w:val="24"/>
          <w:szCs w:val="24"/>
        </w:rPr>
      </w:pPr>
    </w:p>
    <w:p w:rsidR="0049701F" w:rsidRPr="00C76965" w:rsidRDefault="0049701F" w:rsidP="0023767B">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She did however state that it mirrored the type of document she would prepare as it contained the salient information such as, function, date, venue and number of people.  Ms </w:t>
      </w:r>
      <w:proofErr w:type="spellStart"/>
      <w:r>
        <w:rPr>
          <w:rFonts w:ascii="Arial" w:hAnsi="Arial" w:cs="Arial"/>
          <w:sz w:val="24"/>
          <w:szCs w:val="24"/>
        </w:rPr>
        <w:t>Matee</w:t>
      </w:r>
      <w:proofErr w:type="spellEnd"/>
      <w:r>
        <w:rPr>
          <w:rFonts w:ascii="Arial" w:hAnsi="Arial" w:cs="Arial"/>
          <w:sz w:val="24"/>
          <w:szCs w:val="24"/>
        </w:rPr>
        <w:t xml:space="preserve"> testified that </w:t>
      </w:r>
      <w:r w:rsidR="00041325">
        <w:rPr>
          <w:rFonts w:ascii="Arial" w:hAnsi="Arial" w:cs="Arial"/>
          <w:sz w:val="24"/>
          <w:szCs w:val="24"/>
        </w:rPr>
        <w:t>her superior</w:t>
      </w:r>
      <w:r w:rsidR="00D43F34">
        <w:rPr>
          <w:rFonts w:ascii="Arial" w:hAnsi="Arial" w:cs="Arial"/>
          <w:sz w:val="24"/>
          <w:szCs w:val="24"/>
        </w:rPr>
        <w:t xml:space="preserve"> could have asked anyone to prepare </w:t>
      </w:r>
      <w:r>
        <w:rPr>
          <w:rFonts w:ascii="Arial" w:hAnsi="Arial" w:cs="Arial"/>
          <w:sz w:val="24"/>
          <w:szCs w:val="24"/>
        </w:rPr>
        <w:t>the document</w:t>
      </w:r>
      <w:r w:rsidR="00D43F34">
        <w:rPr>
          <w:rFonts w:ascii="Arial" w:hAnsi="Arial" w:cs="Arial"/>
          <w:sz w:val="24"/>
          <w:szCs w:val="24"/>
        </w:rPr>
        <w:t>.</w:t>
      </w:r>
    </w:p>
    <w:p w:rsidR="00C76965" w:rsidRPr="00C76965" w:rsidRDefault="00C76965" w:rsidP="00C76965">
      <w:pPr>
        <w:pStyle w:val="ListParagraph"/>
        <w:rPr>
          <w:rFonts w:ascii="Arial" w:hAnsi="Arial" w:cs="Arial"/>
          <w:b/>
          <w:sz w:val="24"/>
          <w:szCs w:val="24"/>
        </w:rPr>
      </w:pPr>
    </w:p>
    <w:p w:rsidR="00C76965" w:rsidRPr="00D34682" w:rsidRDefault="00C76965" w:rsidP="0023767B">
      <w:pPr>
        <w:pStyle w:val="ListParagraph"/>
        <w:numPr>
          <w:ilvl w:val="0"/>
          <w:numId w:val="1"/>
        </w:numPr>
        <w:spacing w:line="480" w:lineRule="auto"/>
        <w:jc w:val="both"/>
        <w:rPr>
          <w:rFonts w:ascii="Arial" w:hAnsi="Arial" w:cs="Arial"/>
          <w:b/>
          <w:sz w:val="24"/>
          <w:szCs w:val="24"/>
        </w:rPr>
      </w:pPr>
      <w:r>
        <w:rPr>
          <w:rFonts w:ascii="Arial" w:hAnsi="Arial" w:cs="Arial"/>
          <w:sz w:val="24"/>
          <w:szCs w:val="24"/>
        </w:rPr>
        <w:lastRenderedPageBreak/>
        <w:t xml:space="preserve">Ms </w:t>
      </w:r>
      <w:proofErr w:type="spellStart"/>
      <w:r>
        <w:rPr>
          <w:rFonts w:ascii="Arial" w:hAnsi="Arial" w:cs="Arial"/>
          <w:sz w:val="24"/>
          <w:szCs w:val="24"/>
        </w:rPr>
        <w:t>Mattee</w:t>
      </w:r>
      <w:proofErr w:type="spellEnd"/>
      <w:r>
        <w:rPr>
          <w:rFonts w:ascii="Arial" w:hAnsi="Arial" w:cs="Arial"/>
          <w:sz w:val="24"/>
          <w:szCs w:val="24"/>
        </w:rPr>
        <w:t xml:space="preserve"> confirmed that she knew the Plaintiff who was the personal assistant to Daniel Govender. She stated that she did not find it unusual for Ms </w:t>
      </w:r>
      <w:proofErr w:type="spellStart"/>
      <w:r>
        <w:rPr>
          <w:rFonts w:ascii="Arial" w:hAnsi="Arial" w:cs="Arial"/>
          <w:sz w:val="24"/>
          <w:szCs w:val="24"/>
        </w:rPr>
        <w:t>Nkuzi</w:t>
      </w:r>
      <w:proofErr w:type="spellEnd"/>
      <w:r>
        <w:rPr>
          <w:rFonts w:ascii="Arial" w:hAnsi="Arial" w:cs="Arial"/>
          <w:sz w:val="24"/>
          <w:szCs w:val="24"/>
        </w:rPr>
        <w:t xml:space="preserve"> to type the document as her superior would have asked her to do it and she could not defy him.</w:t>
      </w:r>
      <w:r w:rsidR="008E7D49">
        <w:rPr>
          <w:rFonts w:ascii="Arial" w:hAnsi="Arial" w:cs="Arial"/>
          <w:sz w:val="24"/>
          <w:szCs w:val="24"/>
        </w:rPr>
        <w:t xml:space="preserve"> Ms </w:t>
      </w:r>
      <w:proofErr w:type="spellStart"/>
      <w:r w:rsidR="008E7D49">
        <w:rPr>
          <w:rFonts w:ascii="Arial" w:hAnsi="Arial" w:cs="Arial"/>
          <w:sz w:val="24"/>
          <w:szCs w:val="24"/>
        </w:rPr>
        <w:t>Matee</w:t>
      </w:r>
      <w:proofErr w:type="spellEnd"/>
      <w:r w:rsidR="008E7D49">
        <w:rPr>
          <w:rFonts w:ascii="Arial" w:hAnsi="Arial" w:cs="Arial"/>
          <w:sz w:val="24"/>
          <w:szCs w:val="24"/>
        </w:rPr>
        <w:t xml:space="preserve"> confirmed that she was partly involved as she did the invites and attended the function on the day.</w:t>
      </w:r>
      <w:r w:rsidR="008255F7">
        <w:rPr>
          <w:rFonts w:ascii="Arial" w:hAnsi="Arial" w:cs="Arial"/>
          <w:sz w:val="24"/>
          <w:szCs w:val="24"/>
        </w:rPr>
        <w:t xml:space="preserve"> She stated that she only became involved after the quotations had been sourced.</w:t>
      </w:r>
      <w:r w:rsidR="00BC623B">
        <w:rPr>
          <w:rFonts w:ascii="Arial" w:hAnsi="Arial" w:cs="Arial"/>
          <w:sz w:val="24"/>
          <w:szCs w:val="24"/>
        </w:rPr>
        <w:t xml:space="preserve"> </w:t>
      </w:r>
      <w:r w:rsidR="00EA362B">
        <w:rPr>
          <w:rFonts w:ascii="Arial" w:hAnsi="Arial" w:cs="Arial"/>
          <w:sz w:val="24"/>
          <w:szCs w:val="24"/>
        </w:rPr>
        <w:t xml:space="preserve"> </w:t>
      </w:r>
    </w:p>
    <w:p w:rsidR="00D34682" w:rsidRPr="00D34682" w:rsidRDefault="00D34682" w:rsidP="00D34682">
      <w:pPr>
        <w:pStyle w:val="ListParagraph"/>
        <w:rPr>
          <w:rFonts w:ascii="Arial" w:hAnsi="Arial" w:cs="Arial"/>
          <w:b/>
          <w:sz w:val="24"/>
          <w:szCs w:val="24"/>
        </w:rPr>
      </w:pPr>
    </w:p>
    <w:p w:rsidR="00D34682" w:rsidRPr="00EA362B" w:rsidRDefault="00D34682" w:rsidP="0023767B">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Ms </w:t>
      </w:r>
      <w:proofErr w:type="spellStart"/>
      <w:r>
        <w:rPr>
          <w:rFonts w:ascii="Arial" w:hAnsi="Arial" w:cs="Arial"/>
          <w:sz w:val="24"/>
          <w:szCs w:val="24"/>
        </w:rPr>
        <w:t>Mattee</w:t>
      </w:r>
      <w:proofErr w:type="spellEnd"/>
      <w:r>
        <w:rPr>
          <w:rFonts w:ascii="Arial" w:hAnsi="Arial" w:cs="Arial"/>
          <w:sz w:val="24"/>
          <w:szCs w:val="24"/>
        </w:rPr>
        <w:t xml:space="preserve"> was referred to the statement that she had attested to.</w:t>
      </w:r>
      <w:r>
        <w:rPr>
          <w:rStyle w:val="FootnoteReference"/>
          <w:rFonts w:ascii="Arial" w:hAnsi="Arial" w:cs="Arial"/>
          <w:sz w:val="24"/>
          <w:szCs w:val="24"/>
        </w:rPr>
        <w:footnoteReference w:id="6"/>
      </w:r>
      <w:r w:rsidR="000959AF">
        <w:rPr>
          <w:rFonts w:ascii="Arial" w:hAnsi="Arial" w:cs="Arial"/>
          <w:sz w:val="24"/>
          <w:szCs w:val="24"/>
        </w:rPr>
        <w:t xml:space="preserve">  She indicated that the catering request as it appears on the advert, was non-specific as the notice called for “comple</w:t>
      </w:r>
      <w:r w:rsidR="00307F65">
        <w:rPr>
          <w:rFonts w:ascii="Arial" w:hAnsi="Arial" w:cs="Arial"/>
          <w:sz w:val="24"/>
          <w:szCs w:val="24"/>
        </w:rPr>
        <w:t>te catering”. She deduced there</w:t>
      </w:r>
      <w:r w:rsidR="000959AF">
        <w:rPr>
          <w:rFonts w:ascii="Arial" w:hAnsi="Arial" w:cs="Arial"/>
          <w:sz w:val="24"/>
          <w:szCs w:val="24"/>
        </w:rPr>
        <w:t>from that this meant that the catering would have included the beverages as well. To her recollection, there were beve</w:t>
      </w:r>
      <w:r w:rsidR="00320A77">
        <w:rPr>
          <w:rFonts w:ascii="Arial" w:hAnsi="Arial" w:cs="Arial"/>
          <w:sz w:val="24"/>
          <w:szCs w:val="24"/>
        </w:rPr>
        <w:t>rages at the function</w:t>
      </w:r>
      <w:r w:rsidR="008255F7">
        <w:rPr>
          <w:rFonts w:ascii="Arial" w:hAnsi="Arial" w:cs="Arial"/>
          <w:sz w:val="24"/>
          <w:szCs w:val="24"/>
        </w:rPr>
        <w:t xml:space="preserve"> which was supplied by </w:t>
      </w:r>
      <w:proofErr w:type="spellStart"/>
      <w:r w:rsidR="008255F7">
        <w:rPr>
          <w:rFonts w:ascii="Arial" w:hAnsi="Arial" w:cs="Arial"/>
          <w:sz w:val="24"/>
          <w:szCs w:val="24"/>
        </w:rPr>
        <w:t>Nomoli</w:t>
      </w:r>
      <w:proofErr w:type="spellEnd"/>
      <w:r w:rsidR="008255F7">
        <w:rPr>
          <w:rFonts w:ascii="Arial" w:hAnsi="Arial" w:cs="Arial"/>
          <w:sz w:val="24"/>
          <w:szCs w:val="24"/>
        </w:rPr>
        <w:t xml:space="preserve"> Trading and another service provider supplied the food. </w:t>
      </w:r>
      <w:r w:rsidR="000959AF">
        <w:rPr>
          <w:rFonts w:ascii="Arial" w:hAnsi="Arial" w:cs="Arial"/>
          <w:sz w:val="24"/>
          <w:szCs w:val="24"/>
        </w:rPr>
        <w:t>She orated that usually beverages are supplied by the municipality which is a different supplier to the food</w:t>
      </w:r>
      <w:r w:rsidR="00320A77">
        <w:rPr>
          <w:rFonts w:ascii="Arial" w:hAnsi="Arial" w:cs="Arial"/>
          <w:sz w:val="24"/>
          <w:szCs w:val="24"/>
        </w:rPr>
        <w:t>.</w:t>
      </w:r>
    </w:p>
    <w:p w:rsidR="00EA362B" w:rsidRPr="00EA362B" w:rsidRDefault="00EA362B" w:rsidP="00EA362B">
      <w:pPr>
        <w:pStyle w:val="ListParagraph"/>
        <w:rPr>
          <w:rFonts w:ascii="Arial" w:hAnsi="Arial" w:cs="Arial"/>
          <w:b/>
          <w:sz w:val="24"/>
          <w:szCs w:val="24"/>
        </w:rPr>
      </w:pPr>
    </w:p>
    <w:p w:rsidR="00EA362B" w:rsidRPr="00A51AC1" w:rsidRDefault="00EA362B" w:rsidP="0023767B">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Ms </w:t>
      </w:r>
      <w:proofErr w:type="spellStart"/>
      <w:r>
        <w:rPr>
          <w:rFonts w:ascii="Arial" w:hAnsi="Arial" w:cs="Arial"/>
          <w:sz w:val="24"/>
          <w:szCs w:val="24"/>
        </w:rPr>
        <w:t>Mattee</w:t>
      </w:r>
      <w:proofErr w:type="spellEnd"/>
      <w:r>
        <w:rPr>
          <w:rFonts w:ascii="Arial" w:hAnsi="Arial" w:cs="Arial"/>
          <w:sz w:val="24"/>
          <w:szCs w:val="24"/>
        </w:rPr>
        <w:t xml:space="preserve"> assumed that Mr Govender looked at the quotations by himself</w:t>
      </w:r>
      <w:r w:rsidR="00A51AC1">
        <w:rPr>
          <w:rFonts w:ascii="Arial" w:hAnsi="Arial" w:cs="Arial"/>
          <w:sz w:val="24"/>
          <w:szCs w:val="24"/>
        </w:rPr>
        <w:t xml:space="preserve"> and could not recall that she</w:t>
      </w:r>
      <w:r w:rsidR="00307F65">
        <w:rPr>
          <w:rFonts w:ascii="Arial" w:hAnsi="Arial" w:cs="Arial"/>
          <w:sz w:val="24"/>
          <w:szCs w:val="24"/>
        </w:rPr>
        <w:t xml:space="preserve"> had</w:t>
      </w:r>
      <w:r w:rsidR="00A51AC1">
        <w:rPr>
          <w:rFonts w:ascii="Arial" w:hAnsi="Arial" w:cs="Arial"/>
          <w:sz w:val="24"/>
          <w:szCs w:val="24"/>
        </w:rPr>
        <w:t xml:space="preserve"> dealt with the quotation</w:t>
      </w:r>
      <w:r>
        <w:rPr>
          <w:rFonts w:ascii="Arial" w:hAnsi="Arial" w:cs="Arial"/>
          <w:sz w:val="24"/>
          <w:szCs w:val="24"/>
        </w:rPr>
        <w:t>. Usua</w:t>
      </w:r>
      <w:r w:rsidR="0056288A">
        <w:rPr>
          <w:rFonts w:ascii="Arial" w:hAnsi="Arial" w:cs="Arial"/>
          <w:sz w:val="24"/>
          <w:szCs w:val="24"/>
        </w:rPr>
        <w:t>lly, she would sit down with Mr Govender</w:t>
      </w:r>
      <w:r>
        <w:rPr>
          <w:rFonts w:ascii="Arial" w:hAnsi="Arial" w:cs="Arial"/>
          <w:sz w:val="24"/>
          <w:szCs w:val="24"/>
        </w:rPr>
        <w:t xml:space="preserve"> to decide who the supplier would be, but this time, he brought her the quotation from Regent Business School for her to do an order number. </w:t>
      </w:r>
      <w:r w:rsidR="00A51AC1">
        <w:rPr>
          <w:rFonts w:ascii="Arial" w:hAnsi="Arial" w:cs="Arial"/>
          <w:sz w:val="24"/>
          <w:szCs w:val="24"/>
        </w:rPr>
        <w:t xml:space="preserve"> She could not recal</w:t>
      </w:r>
      <w:r w:rsidR="00837BD5">
        <w:rPr>
          <w:rFonts w:ascii="Arial" w:hAnsi="Arial" w:cs="Arial"/>
          <w:sz w:val="24"/>
          <w:szCs w:val="24"/>
        </w:rPr>
        <w:t xml:space="preserve">l whether her superior Roy </w:t>
      </w:r>
      <w:proofErr w:type="spellStart"/>
      <w:r w:rsidR="00837BD5">
        <w:rPr>
          <w:rFonts w:ascii="Arial" w:hAnsi="Arial" w:cs="Arial"/>
          <w:sz w:val="24"/>
          <w:szCs w:val="24"/>
        </w:rPr>
        <w:t>Mkumla</w:t>
      </w:r>
      <w:proofErr w:type="spellEnd"/>
      <w:r w:rsidR="00A51AC1">
        <w:rPr>
          <w:rFonts w:ascii="Arial" w:hAnsi="Arial" w:cs="Arial"/>
          <w:sz w:val="24"/>
          <w:szCs w:val="24"/>
        </w:rPr>
        <w:t xml:space="preserve"> was involved as he should have been consulted from the beginning to the end as he would have reported everything to Mr Govender.</w:t>
      </w:r>
    </w:p>
    <w:p w:rsidR="00A51AC1" w:rsidRPr="00A51AC1" w:rsidRDefault="00A51AC1" w:rsidP="00A51AC1">
      <w:pPr>
        <w:pStyle w:val="ListParagraph"/>
        <w:rPr>
          <w:rFonts w:ascii="Arial" w:hAnsi="Arial" w:cs="Arial"/>
          <w:b/>
          <w:sz w:val="24"/>
          <w:szCs w:val="24"/>
        </w:rPr>
      </w:pPr>
    </w:p>
    <w:p w:rsidR="00A51AC1" w:rsidRPr="00DB42D1" w:rsidRDefault="00A51AC1" w:rsidP="0023767B">
      <w:pPr>
        <w:pStyle w:val="ListParagraph"/>
        <w:numPr>
          <w:ilvl w:val="0"/>
          <w:numId w:val="1"/>
        </w:numPr>
        <w:spacing w:line="480" w:lineRule="auto"/>
        <w:jc w:val="both"/>
        <w:rPr>
          <w:rFonts w:ascii="Arial" w:hAnsi="Arial" w:cs="Arial"/>
          <w:b/>
          <w:sz w:val="24"/>
          <w:szCs w:val="24"/>
        </w:rPr>
      </w:pPr>
      <w:r>
        <w:rPr>
          <w:rFonts w:ascii="Arial" w:hAnsi="Arial" w:cs="Arial"/>
          <w:b/>
          <w:sz w:val="24"/>
          <w:szCs w:val="24"/>
        </w:rPr>
        <w:lastRenderedPageBreak/>
        <w:t xml:space="preserve">Adele </w:t>
      </w:r>
      <w:proofErr w:type="spellStart"/>
      <w:proofErr w:type="gramStart"/>
      <w:r>
        <w:rPr>
          <w:rFonts w:ascii="Arial" w:hAnsi="Arial" w:cs="Arial"/>
          <w:b/>
          <w:sz w:val="24"/>
          <w:szCs w:val="24"/>
        </w:rPr>
        <w:t>Seheri</w:t>
      </w:r>
      <w:proofErr w:type="spellEnd"/>
      <w:r>
        <w:rPr>
          <w:rFonts w:ascii="Arial" w:hAnsi="Arial" w:cs="Arial"/>
          <w:sz w:val="24"/>
          <w:szCs w:val="24"/>
        </w:rPr>
        <w:t>,</w:t>
      </w:r>
      <w:proofErr w:type="gramEnd"/>
      <w:r>
        <w:rPr>
          <w:rFonts w:ascii="Arial" w:hAnsi="Arial" w:cs="Arial"/>
          <w:sz w:val="24"/>
          <w:szCs w:val="24"/>
        </w:rPr>
        <w:t xml:space="preserve"> </w:t>
      </w:r>
      <w:r w:rsidR="00AE7F55">
        <w:rPr>
          <w:rFonts w:ascii="Arial" w:hAnsi="Arial" w:cs="Arial"/>
          <w:sz w:val="24"/>
          <w:szCs w:val="24"/>
        </w:rPr>
        <w:t>testified that she was appointed as</w:t>
      </w:r>
      <w:r>
        <w:rPr>
          <w:rFonts w:ascii="Arial" w:hAnsi="Arial" w:cs="Arial"/>
          <w:sz w:val="24"/>
          <w:szCs w:val="24"/>
        </w:rPr>
        <w:t xml:space="preserve"> the head of City Administration based at Durban City Hall</w:t>
      </w:r>
      <w:r w:rsidR="00AE7F55">
        <w:rPr>
          <w:rFonts w:ascii="Arial" w:hAnsi="Arial" w:cs="Arial"/>
          <w:sz w:val="24"/>
          <w:szCs w:val="24"/>
        </w:rPr>
        <w:t xml:space="preserve"> since 2015</w:t>
      </w:r>
      <w:r>
        <w:rPr>
          <w:rFonts w:ascii="Arial" w:hAnsi="Arial" w:cs="Arial"/>
          <w:sz w:val="24"/>
          <w:szCs w:val="24"/>
        </w:rPr>
        <w:t xml:space="preserve">. She confirmed that the Plaintiff is known to her as an </w:t>
      </w:r>
      <w:r w:rsidR="00EB3003">
        <w:rPr>
          <w:rFonts w:ascii="Arial" w:hAnsi="Arial" w:cs="Arial"/>
          <w:sz w:val="24"/>
          <w:szCs w:val="24"/>
        </w:rPr>
        <w:t>Executive Secretary within the City Administration U</w:t>
      </w:r>
      <w:r>
        <w:rPr>
          <w:rFonts w:ascii="Arial" w:hAnsi="Arial" w:cs="Arial"/>
          <w:sz w:val="24"/>
          <w:szCs w:val="24"/>
        </w:rPr>
        <w:t>nit</w:t>
      </w:r>
      <w:r w:rsidR="00DD3E57">
        <w:rPr>
          <w:rFonts w:ascii="Arial" w:hAnsi="Arial" w:cs="Arial"/>
          <w:sz w:val="24"/>
          <w:szCs w:val="24"/>
        </w:rPr>
        <w:t>,</w:t>
      </w:r>
      <w:r>
        <w:rPr>
          <w:rFonts w:ascii="Arial" w:hAnsi="Arial" w:cs="Arial"/>
          <w:sz w:val="24"/>
          <w:szCs w:val="24"/>
        </w:rPr>
        <w:t xml:space="preserve"> which she heads. Ms </w:t>
      </w:r>
      <w:proofErr w:type="spellStart"/>
      <w:r>
        <w:rPr>
          <w:rFonts w:ascii="Arial" w:hAnsi="Arial" w:cs="Arial"/>
          <w:sz w:val="24"/>
          <w:szCs w:val="24"/>
        </w:rPr>
        <w:t>Seheri</w:t>
      </w:r>
      <w:proofErr w:type="spellEnd"/>
      <w:r>
        <w:rPr>
          <w:rFonts w:ascii="Arial" w:hAnsi="Arial" w:cs="Arial"/>
          <w:sz w:val="24"/>
          <w:szCs w:val="24"/>
        </w:rPr>
        <w:t xml:space="preserve"> confirmed that she was aware of the report f</w:t>
      </w:r>
      <w:r w:rsidR="00EB3003">
        <w:rPr>
          <w:rFonts w:ascii="Arial" w:hAnsi="Arial" w:cs="Arial"/>
          <w:sz w:val="24"/>
          <w:szCs w:val="24"/>
        </w:rPr>
        <w:t>rom the City’s Investigation U</w:t>
      </w:r>
      <w:r>
        <w:rPr>
          <w:rFonts w:ascii="Arial" w:hAnsi="Arial" w:cs="Arial"/>
          <w:sz w:val="24"/>
          <w:szCs w:val="24"/>
        </w:rPr>
        <w:t xml:space="preserve">nit and informed that she directed the people responsible for </w:t>
      </w:r>
      <w:proofErr w:type="spellStart"/>
      <w:r w:rsidR="00DD3E57">
        <w:rPr>
          <w:rFonts w:ascii="Arial" w:hAnsi="Arial" w:cs="Arial"/>
          <w:sz w:val="24"/>
          <w:szCs w:val="24"/>
        </w:rPr>
        <w:t>a</w:t>
      </w:r>
      <w:r w:rsidR="001B2C19">
        <w:rPr>
          <w:rFonts w:ascii="Arial" w:hAnsi="Arial" w:cs="Arial"/>
          <w:sz w:val="24"/>
          <w:szCs w:val="24"/>
        </w:rPr>
        <w:t>ctioning</w:t>
      </w:r>
      <w:proofErr w:type="spellEnd"/>
      <w:r>
        <w:rPr>
          <w:rFonts w:ascii="Arial" w:hAnsi="Arial" w:cs="Arial"/>
          <w:sz w:val="24"/>
          <w:szCs w:val="24"/>
        </w:rPr>
        <w:t xml:space="preserve"> </w:t>
      </w:r>
      <w:r w:rsidR="00DB42D1">
        <w:rPr>
          <w:rFonts w:ascii="Arial" w:hAnsi="Arial" w:cs="Arial"/>
          <w:sz w:val="24"/>
          <w:szCs w:val="24"/>
        </w:rPr>
        <w:t xml:space="preserve">the report. She stated that she based her decision to institute </w:t>
      </w:r>
      <w:r w:rsidR="001B2C19">
        <w:rPr>
          <w:rFonts w:ascii="Arial" w:hAnsi="Arial" w:cs="Arial"/>
          <w:sz w:val="24"/>
          <w:szCs w:val="24"/>
        </w:rPr>
        <w:t>disciplinary</w:t>
      </w:r>
      <w:r w:rsidR="00DB42D1">
        <w:rPr>
          <w:rFonts w:ascii="Arial" w:hAnsi="Arial" w:cs="Arial"/>
          <w:sz w:val="24"/>
          <w:szCs w:val="24"/>
        </w:rPr>
        <w:t xml:space="preserve"> proceedings on the investigation report that was given to her. She confirmed that she made the appointments for disciplinary hearing.</w:t>
      </w:r>
    </w:p>
    <w:p w:rsidR="00DB42D1" w:rsidRPr="00DB42D1" w:rsidRDefault="00DB42D1" w:rsidP="00DB42D1">
      <w:pPr>
        <w:pStyle w:val="ListParagraph"/>
        <w:rPr>
          <w:rFonts w:ascii="Arial" w:hAnsi="Arial" w:cs="Arial"/>
          <w:b/>
          <w:sz w:val="24"/>
          <w:szCs w:val="24"/>
        </w:rPr>
      </w:pPr>
    </w:p>
    <w:p w:rsidR="00DB42D1" w:rsidRPr="00DB42D1" w:rsidRDefault="00DB42D1" w:rsidP="0023767B">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She explicated that Mr </w:t>
      </w:r>
      <w:proofErr w:type="spellStart"/>
      <w:r>
        <w:rPr>
          <w:rFonts w:ascii="Arial" w:hAnsi="Arial" w:cs="Arial"/>
          <w:sz w:val="24"/>
          <w:szCs w:val="24"/>
        </w:rPr>
        <w:t>Mkumla</w:t>
      </w:r>
      <w:proofErr w:type="spellEnd"/>
      <w:r>
        <w:rPr>
          <w:rFonts w:ascii="Arial" w:hAnsi="Arial" w:cs="Arial"/>
          <w:sz w:val="24"/>
          <w:szCs w:val="24"/>
        </w:rPr>
        <w:t xml:space="preserve"> did not from part of the irregularities and based on the information to hand, he was not implicated. Ms </w:t>
      </w:r>
      <w:proofErr w:type="spellStart"/>
      <w:r>
        <w:rPr>
          <w:rFonts w:ascii="Arial" w:hAnsi="Arial" w:cs="Arial"/>
          <w:sz w:val="24"/>
          <w:szCs w:val="24"/>
        </w:rPr>
        <w:t>Seheri</w:t>
      </w:r>
      <w:proofErr w:type="spellEnd"/>
      <w:r>
        <w:rPr>
          <w:rFonts w:ascii="Arial" w:hAnsi="Arial" w:cs="Arial"/>
          <w:sz w:val="24"/>
          <w:szCs w:val="24"/>
        </w:rPr>
        <w:t xml:space="preserve"> further testified that each head of department had the responsibility to charge their own employees. She stated that Mr Govender and Ms </w:t>
      </w:r>
      <w:proofErr w:type="spellStart"/>
      <w:r>
        <w:rPr>
          <w:rFonts w:ascii="Arial" w:hAnsi="Arial" w:cs="Arial"/>
          <w:sz w:val="24"/>
          <w:szCs w:val="24"/>
        </w:rPr>
        <w:t>Nkuzi</w:t>
      </w:r>
      <w:proofErr w:type="spellEnd"/>
      <w:r>
        <w:rPr>
          <w:rFonts w:ascii="Arial" w:hAnsi="Arial" w:cs="Arial"/>
          <w:sz w:val="24"/>
          <w:szCs w:val="24"/>
        </w:rPr>
        <w:t xml:space="preserve"> were the main role-players in preparing the tender.</w:t>
      </w:r>
    </w:p>
    <w:p w:rsidR="00DB42D1" w:rsidRPr="00DB42D1" w:rsidRDefault="00DB42D1" w:rsidP="00DB42D1">
      <w:pPr>
        <w:pStyle w:val="ListParagraph"/>
        <w:rPr>
          <w:rFonts w:ascii="Arial" w:hAnsi="Arial" w:cs="Arial"/>
          <w:b/>
          <w:sz w:val="24"/>
          <w:szCs w:val="24"/>
        </w:rPr>
      </w:pPr>
    </w:p>
    <w:p w:rsidR="00241C4F" w:rsidRPr="005E36B6" w:rsidRDefault="00DB42D1" w:rsidP="005E36B6">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She was referred to Mr </w:t>
      </w:r>
      <w:proofErr w:type="spellStart"/>
      <w:r>
        <w:rPr>
          <w:rFonts w:ascii="Arial" w:hAnsi="Arial" w:cs="Arial"/>
          <w:sz w:val="24"/>
          <w:szCs w:val="24"/>
        </w:rPr>
        <w:t>Govender’</w:t>
      </w:r>
      <w:r w:rsidR="006353C5">
        <w:rPr>
          <w:rFonts w:ascii="Arial" w:hAnsi="Arial" w:cs="Arial"/>
          <w:sz w:val="24"/>
          <w:szCs w:val="24"/>
        </w:rPr>
        <w:t>s</w:t>
      </w:r>
      <w:proofErr w:type="spellEnd"/>
      <w:r w:rsidR="006353C5">
        <w:rPr>
          <w:rFonts w:ascii="Arial" w:hAnsi="Arial" w:cs="Arial"/>
          <w:sz w:val="24"/>
          <w:szCs w:val="24"/>
        </w:rPr>
        <w:t xml:space="preserve"> statement and</w:t>
      </w:r>
      <w:r>
        <w:rPr>
          <w:rFonts w:ascii="Arial" w:hAnsi="Arial" w:cs="Arial"/>
          <w:sz w:val="24"/>
          <w:szCs w:val="24"/>
        </w:rPr>
        <w:t xml:space="preserve"> i</w:t>
      </w:r>
      <w:r w:rsidR="00731DBF">
        <w:rPr>
          <w:rFonts w:ascii="Arial" w:hAnsi="Arial" w:cs="Arial"/>
          <w:sz w:val="24"/>
          <w:szCs w:val="24"/>
        </w:rPr>
        <w:t xml:space="preserve">ndicated that his statement </w:t>
      </w:r>
      <w:r w:rsidR="00CB7C1B">
        <w:rPr>
          <w:rFonts w:ascii="Arial" w:hAnsi="Arial" w:cs="Arial"/>
          <w:sz w:val="24"/>
          <w:szCs w:val="24"/>
        </w:rPr>
        <w:t>did not mention</w:t>
      </w:r>
      <w:r w:rsidR="006353C5">
        <w:rPr>
          <w:rFonts w:ascii="Arial" w:hAnsi="Arial" w:cs="Arial"/>
          <w:sz w:val="24"/>
          <w:szCs w:val="24"/>
        </w:rPr>
        <w:t xml:space="preserve"> that he informed Ms </w:t>
      </w:r>
      <w:proofErr w:type="spellStart"/>
      <w:r w:rsidR="006353C5">
        <w:rPr>
          <w:rFonts w:ascii="Arial" w:hAnsi="Arial" w:cs="Arial"/>
          <w:sz w:val="24"/>
          <w:szCs w:val="24"/>
        </w:rPr>
        <w:t>Nkuzi</w:t>
      </w:r>
      <w:proofErr w:type="spellEnd"/>
      <w:r w:rsidR="006353C5">
        <w:rPr>
          <w:rFonts w:ascii="Arial" w:hAnsi="Arial" w:cs="Arial"/>
          <w:sz w:val="24"/>
          <w:szCs w:val="24"/>
        </w:rPr>
        <w:t xml:space="preserve"> to complete a detailed pro forma order. She also confirmed that Mr Gov</w:t>
      </w:r>
      <w:r w:rsidR="00971934">
        <w:rPr>
          <w:rFonts w:ascii="Arial" w:hAnsi="Arial" w:cs="Arial"/>
          <w:sz w:val="24"/>
          <w:szCs w:val="24"/>
        </w:rPr>
        <w:t>ender did not seem to indicate</w:t>
      </w:r>
      <w:r w:rsidR="00CB7C1B">
        <w:rPr>
          <w:rFonts w:ascii="Arial" w:hAnsi="Arial" w:cs="Arial"/>
          <w:sz w:val="24"/>
          <w:szCs w:val="24"/>
        </w:rPr>
        <w:t xml:space="preserve"> that Ms </w:t>
      </w:r>
      <w:proofErr w:type="spellStart"/>
      <w:r w:rsidR="006353C5">
        <w:rPr>
          <w:rFonts w:ascii="Arial" w:hAnsi="Arial" w:cs="Arial"/>
          <w:sz w:val="24"/>
          <w:szCs w:val="24"/>
        </w:rPr>
        <w:t>Thuli</w:t>
      </w:r>
      <w:proofErr w:type="spellEnd"/>
      <w:r w:rsidR="006353C5">
        <w:rPr>
          <w:rFonts w:ascii="Arial" w:hAnsi="Arial" w:cs="Arial"/>
          <w:sz w:val="24"/>
          <w:szCs w:val="24"/>
        </w:rPr>
        <w:t xml:space="preserve"> Mc</w:t>
      </w:r>
      <w:r w:rsidR="005E36B6">
        <w:rPr>
          <w:rFonts w:ascii="Arial" w:hAnsi="Arial" w:cs="Arial"/>
          <w:sz w:val="24"/>
          <w:szCs w:val="24"/>
        </w:rPr>
        <w:t>h</w:t>
      </w:r>
      <w:r w:rsidR="006353C5">
        <w:rPr>
          <w:rFonts w:ascii="Arial" w:hAnsi="Arial" w:cs="Arial"/>
          <w:sz w:val="24"/>
          <w:szCs w:val="24"/>
        </w:rPr>
        <w:t>unu was involved in the tender process. It appeared that her involvement was to obtain an order number after the procurement process.</w:t>
      </w:r>
      <w:r w:rsidR="001E4EE9">
        <w:rPr>
          <w:rFonts w:ascii="Arial" w:hAnsi="Arial" w:cs="Arial"/>
          <w:sz w:val="24"/>
          <w:szCs w:val="24"/>
        </w:rPr>
        <w:t xml:space="preserve"> She confirmed that no disciplinary proceedings were instituted against</w:t>
      </w:r>
      <w:r w:rsidR="00110DC1">
        <w:rPr>
          <w:rFonts w:ascii="Arial" w:hAnsi="Arial" w:cs="Arial"/>
          <w:sz w:val="24"/>
          <w:szCs w:val="24"/>
        </w:rPr>
        <w:t xml:space="preserve"> Ms Mchunu and neither did the City I</w:t>
      </w:r>
      <w:r w:rsidR="001E4EE9">
        <w:rPr>
          <w:rFonts w:ascii="Arial" w:hAnsi="Arial" w:cs="Arial"/>
          <w:sz w:val="24"/>
          <w:szCs w:val="24"/>
        </w:rPr>
        <w:t>nve</w:t>
      </w:r>
      <w:r w:rsidR="00110DC1">
        <w:rPr>
          <w:rFonts w:ascii="Arial" w:hAnsi="Arial" w:cs="Arial"/>
          <w:sz w:val="24"/>
          <w:szCs w:val="24"/>
        </w:rPr>
        <w:t>stigating U</w:t>
      </w:r>
      <w:r w:rsidR="008446B2">
        <w:rPr>
          <w:rFonts w:ascii="Arial" w:hAnsi="Arial" w:cs="Arial"/>
          <w:sz w:val="24"/>
          <w:szCs w:val="24"/>
        </w:rPr>
        <w:t xml:space="preserve">nit recommend Roy </w:t>
      </w:r>
      <w:proofErr w:type="spellStart"/>
      <w:r w:rsidR="008446B2">
        <w:rPr>
          <w:rFonts w:ascii="Arial" w:hAnsi="Arial" w:cs="Arial"/>
          <w:sz w:val="24"/>
          <w:szCs w:val="24"/>
        </w:rPr>
        <w:t>Mkumla</w:t>
      </w:r>
      <w:proofErr w:type="spellEnd"/>
      <w:r w:rsidR="001E4EE9">
        <w:rPr>
          <w:rFonts w:ascii="Arial" w:hAnsi="Arial" w:cs="Arial"/>
          <w:sz w:val="24"/>
          <w:szCs w:val="24"/>
        </w:rPr>
        <w:t xml:space="preserve"> to be charged relating to the tender process.</w:t>
      </w:r>
      <w:r w:rsidR="0064557B">
        <w:rPr>
          <w:rFonts w:ascii="Arial" w:hAnsi="Arial" w:cs="Arial"/>
          <w:sz w:val="24"/>
          <w:szCs w:val="24"/>
        </w:rPr>
        <w:t xml:space="preserve"> Ms </w:t>
      </w:r>
      <w:proofErr w:type="spellStart"/>
      <w:r w:rsidR="0064557B">
        <w:rPr>
          <w:rFonts w:ascii="Arial" w:hAnsi="Arial" w:cs="Arial"/>
          <w:sz w:val="24"/>
          <w:szCs w:val="24"/>
        </w:rPr>
        <w:t>Seheri</w:t>
      </w:r>
      <w:proofErr w:type="spellEnd"/>
      <w:r w:rsidR="0064557B">
        <w:rPr>
          <w:rFonts w:ascii="Arial" w:hAnsi="Arial" w:cs="Arial"/>
          <w:sz w:val="24"/>
          <w:szCs w:val="24"/>
        </w:rPr>
        <w:t xml:space="preserve"> stated that Ms </w:t>
      </w:r>
      <w:proofErr w:type="spellStart"/>
      <w:r w:rsidR="0064557B">
        <w:rPr>
          <w:rFonts w:ascii="Arial" w:hAnsi="Arial" w:cs="Arial"/>
          <w:sz w:val="24"/>
          <w:szCs w:val="24"/>
        </w:rPr>
        <w:t>Matee</w:t>
      </w:r>
      <w:proofErr w:type="spellEnd"/>
      <w:r w:rsidR="0064557B">
        <w:rPr>
          <w:rFonts w:ascii="Arial" w:hAnsi="Arial" w:cs="Arial"/>
          <w:sz w:val="24"/>
          <w:szCs w:val="24"/>
        </w:rPr>
        <w:t xml:space="preserve"> was not liable to be charged as she was approached after the procurement process had been concluded.</w:t>
      </w:r>
    </w:p>
    <w:p w:rsidR="00DB42D1" w:rsidRPr="00AE7F55" w:rsidRDefault="00241C4F" w:rsidP="0023767B">
      <w:pPr>
        <w:pStyle w:val="ListParagraph"/>
        <w:numPr>
          <w:ilvl w:val="0"/>
          <w:numId w:val="1"/>
        </w:numPr>
        <w:spacing w:line="480" w:lineRule="auto"/>
        <w:jc w:val="both"/>
        <w:rPr>
          <w:rFonts w:ascii="Arial" w:hAnsi="Arial" w:cs="Arial"/>
          <w:b/>
          <w:sz w:val="24"/>
          <w:szCs w:val="24"/>
        </w:rPr>
      </w:pPr>
      <w:r>
        <w:rPr>
          <w:rFonts w:ascii="Arial" w:hAnsi="Arial" w:cs="Arial"/>
          <w:sz w:val="24"/>
          <w:szCs w:val="24"/>
        </w:rPr>
        <w:lastRenderedPageBreak/>
        <w:t xml:space="preserve">Ms </w:t>
      </w:r>
      <w:proofErr w:type="spellStart"/>
      <w:r>
        <w:rPr>
          <w:rFonts w:ascii="Arial" w:hAnsi="Arial" w:cs="Arial"/>
          <w:sz w:val="24"/>
          <w:szCs w:val="24"/>
        </w:rPr>
        <w:t>Seheri</w:t>
      </w:r>
      <w:proofErr w:type="spellEnd"/>
      <w:r>
        <w:rPr>
          <w:rFonts w:ascii="Arial" w:hAnsi="Arial" w:cs="Arial"/>
          <w:sz w:val="24"/>
          <w:szCs w:val="24"/>
        </w:rPr>
        <w:t xml:space="preserve"> orated that she did not know about the allegation pertaining to the defamatory email that was sent to the boss of Bonny </w:t>
      </w:r>
      <w:proofErr w:type="spellStart"/>
      <w:r>
        <w:rPr>
          <w:rFonts w:ascii="Arial" w:hAnsi="Arial" w:cs="Arial"/>
          <w:sz w:val="24"/>
          <w:szCs w:val="24"/>
        </w:rPr>
        <w:t>Nzuza</w:t>
      </w:r>
      <w:proofErr w:type="spellEnd"/>
      <w:r>
        <w:rPr>
          <w:rFonts w:ascii="Arial" w:hAnsi="Arial" w:cs="Arial"/>
          <w:sz w:val="24"/>
          <w:szCs w:val="24"/>
        </w:rPr>
        <w:t>. She explained the circumstances under</w:t>
      </w:r>
      <w:r w:rsidR="00930495">
        <w:rPr>
          <w:rFonts w:ascii="Arial" w:hAnsi="Arial" w:cs="Arial"/>
          <w:sz w:val="24"/>
          <w:szCs w:val="24"/>
        </w:rPr>
        <w:t xml:space="preserve"> </w:t>
      </w:r>
      <w:r>
        <w:rPr>
          <w:rFonts w:ascii="Arial" w:hAnsi="Arial" w:cs="Arial"/>
          <w:sz w:val="24"/>
          <w:szCs w:val="24"/>
        </w:rPr>
        <w:t>which emails would be exchange</w:t>
      </w:r>
      <w:r w:rsidR="00930495">
        <w:rPr>
          <w:rFonts w:ascii="Arial" w:hAnsi="Arial" w:cs="Arial"/>
          <w:sz w:val="24"/>
          <w:szCs w:val="24"/>
        </w:rPr>
        <w:t>d</w:t>
      </w:r>
      <w:r w:rsidR="00C059F0">
        <w:rPr>
          <w:rFonts w:ascii="Arial" w:hAnsi="Arial" w:cs="Arial"/>
          <w:sz w:val="24"/>
          <w:szCs w:val="24"/>
        </w:rPr>
        <w:t>.</w:t>
      </w:r>
      <w:r>
        <w:rPr>
          <w:rFonts w:ascii="Arial" w:hAnsi="Arial" w:cs="Arial"/>
          <w:sz w:val="24"/>
          <w:szCs w:val="24"/>
        </w:rPr>
        <w:t xml:space="preserve"> </w:t>
      </w:r>
      <w:r w:rsidR="00930495">
        <w:rPr>
          <w:rFonts w:ascii="Arial" w:hAnsi="Arial" w:cs="Arial"/>
          <w:sz w:val="24"/>
          <w:szCs w:val="24"/>
        </w:rPr>
        <w:t>Request</w:t>
      </w:r>
      <w:r w:rsidR="00C059F0">
        <w:rPr>
          <w:rFonts w:ascii="Arial" w:hAnsi="Arial" w:cs="Arial"/>
          <w:sz w:val="24"/>
          <w:szCs w:val="24"/>
        </w:rPr>
        <w:t>s</w:t>
      </w:r>
      <w:r w:rsidR="00930495">
        <w:rPr>
          <w:rFonts w:ascii="Arial" w:hAnsi="Arial" w:cs="Arial"/>
          <w:sz w:val="24"/>
          <w:szCs w:val="24"/>
        </w:rPr>
        <w:t xml:space="preserve"> for updates are sent and the head of department is required to provide updates which are usually circulated by email. T</w:t>
      </w:r>
      <w:r>
        <w:rPr>
          <w:rFonts w:ascii="Arial" w:hAnsi="Arial" w:cs="Arial"/>
          <w:sz w:val="24"/>
          <w:szCs w:val="24"/>
        </w:rPr>
        <w:t>he Auditor General monitors implementation of investigations.</w:t>
      </w:r>
      <w:r w:rsidR="001E4EE9">
        <w:rPr>
          <w:rFonts w:ascii="Arial" w:hAnsi="Arial" w:cs="Arial"/>
          <w:sz w:val="24"/>
          <w:szCs w:val="24"/>
        </w:rPr>
        <w:t xml:space="preserve"> </w:t>
      </w:r>
    </w:p>
    <w:p w:rsidR="00AE7F55" w:rsidRPr="00AE7F55" w:rsidRDefault="00AE7F55" w:rsidP="00AE7F55">
      <w:pPr>
        <w:pStyle w:val="ListParagraph"/>
        <w:rPr>
          <w:rFonts w:ascii="Arial" w:hAnsi="Arial" w:cs="Arial"/>
          <w:b/>
          <w:sz w:val="24"/>
          <w:szCs w:val="24"/>
        </w:rPr>
      </w:pPr>
    </w:p>
    <w:p w:rsidR="00AE7F55" w:rsidRPr="00DD798E" w:rsidRDefault="000A5ED3" w:rsidP="0023767B">
      <w:pPr>
        <w:pStyle w:val="ListParagraph"/>
        <w:numPr>
          <w:ilvl w:val="0"/>
          <w:numId w:val="1"/>
        </w:numPr>
        <w:spacing w:line="480" w:lineRule="auto"/>
        <w:jc w:val="both"/>
        <w:rPr>
          <w:rFonts w:ascii="Arial" w:hAnsi="Arial" w:cs="Arial"/>
          <w:b/>
          <w:sz w:val="24"/>
          <w:szCs w:val="24"/>
        </w:rPr>
      </w:pPr>
      <w:r>
        <w:rPr>
          <w:rFonts w:ascii="Arial" w:hAnsi="Arial" w:cs="Arial"/>
          <w:sz w:val="24"/>
          <w:szCs w:val="24"/>
        </w:rPr>
        <w:t>She confirmed that she would have charged Daniel Govender, had he still been part of the organisation.</w:t>
      </w:r>
      <w:r w:rsidR="00DD798E">
        <w:rPr>
          <w:rFonts w:ascii="Arial" w:hAnsi="Arial" w:cs="Arial"/>
          <w:sz w:val="24"/>
          <w:szCs w:val="24"/>
        </w:rPr>
        <w:t xml:space="preserve"> She confirmed that he</w:t>
      </w:r>
      <w:r w:rsidR="007F7CCD">
        <w:rPr>
          <w:rFonts w:ascii="Arial" w:hAnsi="Arial" w:cs="Arial"/>
          <w:sz w:val="24"/>
          <w:szCs w:val="24"/>
        </w:rPr>
        <w:t>r</w:t>
      </w:r>
      <w:r w:rsidR="00DD798E">
        <w:rPr>
          <w:rFonts w:ascii="Arial" w:hAnsi="Arial" w:cs="Arial"/>
          <w:sz w:val="24"/>
          <w:szCs w:val="24"/>
        </w:rPr>
        <w:t xml:space="preserve"> role ended after the disciplinary process was established and was not privy to the proceedings at the discipl</w:t>
      </w:r>
      <w:r w:rsidR="007F7CCD">
        <w:rPr>
          <w:rFonts w:ascii="Arial" w:hAnsi="Arial" w:cs="Arial"/>
          <w:sz w:val="24"/>
          <w:szCs w:val="24"/>
        </w:rPr>
        <w:t>in</w:t>
      </w:r>
      <w:r w:rsidR="00DD798E">
        <w:rPr>
          <w:rFonts w:ascii="Arial" w:hAnsi="Arial" w:cs="Arial"/>
          <w:sz w:val="24"/>
          <w:szCs w:val="24"/>
        </w:rPr>
        <w:t>ary hearing. She was only informed of the outcome.</w:t>
      </w:r>
    </w:p>
    <w:p w:rsidR="00DD798E" w:rsidRPr="00DD798E" w:rsidRDefault="00DD798E" w:rsidP="00DD798E">
      <w:pPr>
        <w:pStyle w:val="ListParagraph"/>
        <w:rPr>
          <w:rFonts w:ascii="Arial" w:hAnsi="Arial" w:cs="Arial"/>
          <w:b/>
          <w:sz w:val="24"/>
          <w:szCs w:val="24"/>
        </w:rPr>
      </w:pPr>
    </w:p>
    <w:p w:rsidR="00651002" w:rsidRPr="00651002" w:rsidRDefault="00651002" w:rsidP="00651002">
      <w:pPr>
        <w:pStyle w:val="ListParagraph"/>
        <w:rPr>
          <w:rFonts w:ascii="Arial" w:hAnsi="Arial" w:cs="Arial"/>
          <w:b/>
          <w:sz w:val="24"/>
          <w:szCs w:val="24"/>
        </w:rPr>
      </w:pPr>
    </w:p>
    <w:p w:rsidR="00390012" w:rsidRPr="00390012" w:rsidRDefault="00390012" w:rsidP="00390012">
      <w:pPr>
        <w:pStyle w:val="ListParagraph"/>
        <w:rPr>
          <w:rFonts w:ascii="Arial" w:hAnsi="Arial" w:cs="Arial"/>
          <w:b/>
          <w:sz w:val="24"/>
          <w:szCs w:val="24"/>
        </w:rPr>
      </w:pPr>
    </w:p>
    <w:p w:rsidR="00390012" w:rsidRPr="00D44107" w:rsidRDefault="00390012" w:rsidP="0023767B">
      <w:pPr>
        <w:pStyle w:val="ListParagraph"/>
        <w:numPr>
          <w:ilvl w:val="0"/>
          <w:numId w:val="1"/>
        </w:numPr>
        <w:spacing w:line="480" w:lineRule="auto"/>
        <w:jc w:val="both"/>
        <w:rPr>
          <w:rFonts w:ascii="Arial" w:hAnsi="Arial" w:cs="Arial"/>
          <w:sz w:val="24"/>
          <w:szCs w:val="24"/>
        </w:rPr>
      </w:pPr>
      <w:r w:rsidRPr="00D44107">
        <w:rPr>
          <w:rFonts w:ascii="Arial" w:hAnsi="Arial" w:cs="Arial"/>
          <w:sz w:val="24"/>
          <w:szCs w:val="24"/>
        </w:rPr>
        <w:t>During re-examination it was highlighted that the advert contained no logo.</w:t>
      </w:r>
      <w:r w:rsidR="00E9304C">
        <w:rPr>
          <w:rFonts w:ascii="Arial" w:hAnsi="Arial" w:cs="Arial"/>
          <w:sz w:val="24"/>
          <w:szCs w:val="24"/>
        </w:rPr>
        <w:t xml:space="preserve">  She stated that under normal circumstances there should be a logo to indicate that it comes from the municipality. </w:t>
      </w:r>
    </w:p>
    <w:p w:rsidR="00DD798E" w:rsidRPr="00DD798E" w:rsidRDefault="00DD798E" w:rsidP="00DD798E">
      <w:pPr>
        <w:pStyle w:val="ListParagraph"/>
        <w:rPr>
          <w:rFonts w:ascii="Arial" w:hAnsi="Arial" w:cs="Arial"/>
          <w:b/>
          <w:sz w:val="24"/>
          <w:szCs w:val="24"/>
        </w:rPr>
      </w:pPr>
    </w:p>
    <w:p w:rsidR="00DD798E" w:rsidRDefault="00D1251D" w:rsidP="0023767B">
      <w:pPr>
        <w:pStyle w:val="ListParagraph"/>
        <w:numPr>
          <w:ilvl w:val="0"/>
          <w:numId w:val="1"/>
        </w:numPr>
        <w:spacing w:line="480" w:lineRule="auto"/>
        <w:jc w:val="both"/>
        <w:rPr>
          <w:rFonts w:ascii="Arial" w:hAnsi="Arial" w:cs="Arial"/>
          <w:b/>
          <w:sz w:val="24"/>
          <w:szCs w:val="24"/>
        </w:rPr>
      </w:pPr>
      <w:r>
        <w:rPr>
          <w:rFonts w:ascii="Arial" w:hAnsi="Arial" w:cs="Arial"/>
          <w:b/>
          <w:sz w:val="24"/>
          <w:szCs w:val="24"/>
        </w:rPr>
        <w:t xml:space="preserve">The </w:t>
      </w:r>
      <w:r w:rsidR="00DD798E">
        <w:rPr>
          <w:rFonts w:ascii="Arial" w:hAnsi="Arial" w:cs="Arial"/>
          <w:b/>
          <w:sz w:val="24"/>
          <w:szCs w:val="24"/>
        </w:rPr>
        <w:t xml:space="preserve">Defendant’s case </w:t>
      </w:r>
      <w:r>
        <w:rPr>
          <w:rFonts w:ascii="Arial" w:hAnsi="Arial" w:cs="Arial"/>
          <w:b/>
          <w:sz w:val="24"/>
          <w:szCs w:val="24"/>
        </w:rPr>
        <w:t xml:space="preserve">was thereafter </w:t>
      </w:r>
      <w:r w:rsidR="00DD798E">
        <w:rPr>
          <w:rFonts w:ascii="Arial" w:hAnsi="Arial" w:cs="Arial"/>
          <w:b/>
          <w:sz w:val="24"/>
          <w:szCs w:val="24"/>
        </w:rPr>
        <w:t>closed</w:t>
      </w:r>
      <w:r>
        <w:rPr>
          <w:rFonts w:ascii="Arial" w:hAnsi="Arial" w:cs="Arial"/>
          <w:b/>
          <w:sz w:val="24"/>
          <w:szCs w:val="24"/>
        </w:rPr>
        <w:t>.</w:t>
      </w:r>
    </w:p>
    <w:p w:rsidR="00FC59B4" w:rsidRPr="00FC59B4" w:rsidRDefault="00FC59B4" w:rsidP="00FC59B4">
      <w:pPr>
        <w:pStyle w:val="ListParagraph"/>
        <w:rPr>
          <w:rFonts w:ascii="Arial" w:hAnsi="Arial" w:cs="Arial"/>
          <w:b/>
          <w:sz w:val="24"/>
          <w:szCs w:val="24"/>
        </w:rPr>
      </w:pPr>
    </w:p>
    <w:p w:rsidR="00BC68BE" w:rsidRPr="004B6599" w:rsidRDefault="000B38FB" w:rsidP="00396433">
      <w:pPr>
        <w:pStyle w:val="ListParagraph"/>
        <w:spacing w:line="480" w:lineRule="auto"/>
        <w:ind w:left="0"/>
        <w:jc w:val="both"/>
        <w:rPr>
          <w:rFonts w:ascii="Arial" w:hAnsi="Arial" w:cs="Arial"/>
          <w:b/>
          <w:sz w:val="24"/>
          <w:szCs w:val="24"/>
        </w:rPr>
      </w:pPr>
      <w:r w:rsidRPr="00FC59B4">
        <w:rPr>
          <w:rFonts w:ascii="Arial" w:hAnsi="Arial" w:cs="Arial"/>
          <w:b/>
          <w:sz w:val="24"/>
          <w:szCs w:val="24"/>
        </w:rPr>
        <w:t>Principle Submission made by the Parties</w:t>
      </w:r>
    </w:p>
    <w:p w:rsidR="00FC59B4" w:rsidRPr="00FC59B4" w:rsidRDefault="00FC59B4" w:rsidP="00FC59B4">
      <w:pPr>
        <w:pStyle w:val="ListParagraph"/>
        <w:rPr>
          <w:rFonts w:ascii="Arial" w:hAnsi="Arial" w:cs="Arial"/>
          <w:b/>
          <w:sz w:val="24"/>
          <w:szCs w:val="24"/>
        </w:rPr>
      </w:pPr>
    </w:p>
    <w:p w:rsidR="004A0539" w:rsidRDefault="004A0539" w:rsidP="00396433">
      <w:pPr>
        <w:pStyle w:val="ListParagraph"/>
        <w:spacing w:line="480" w:lineRule="auto"/>
        <w:ind w:left="0"/>
        <w:jc w:val="both"/>
        <w:rPr>
          <w:rFonts w:ascii="Arial" w:hAnsi="Arial" w:cs="Arial"/>
          <w:b/>
          <w:sz w:val="24"/>
          <w:szCs w:val="24"/>
        </w:rPr>
      </w:pPr>
      <w:r w:rsidRPr="00FC59B4">
        <w:rPr>
          <w:rFonts w:ascii="Arial" w:hAnsi="Arial" w:cs="Arial"/>
          <w:b/>
          <w:sz w:val="24"/>
          <w:szCs w:val="24"/>
        </w:rPr>
        <w:t>On beha</w:t>
      </w:r>
      <w:r w:rsidR="00FC59B4">
        <w:rPr>
          <w:rFonts w:ascii="Arial" w:hAnsi="Arial" w:cs="Arial"/>
          <w:b/>
          <w:sz w:val="24"/>
          <w:szCs w:val="24"/>
        </w:rPr>
        <w:t xml:space="preserve">lf of the Plaintiff </w:t>
      </w:r>
    </w:p>
    <w:p w:rsidR="004B6599" w:rsidRPr="004B6599" w:rsidRDefault="004B6599" w:rsidP="004B6599">
      <w:pPr>
        <w:pStyle w:val="ListParagraph"/>
        <w:rPr>
          <w:rFonts w:ascii="Arial" w:hAnsi="Arial" w:cs="Arial"/>
          <w:b/>
          <w:sz w:val="24"/>
          <w:szCs w:val="24"/>
        </w:rPr>
      </w:pPr>
    </w:p>
    <w:p w:rsidR="004B6599" w:rsidRPr="002918A6" w:rsidRDefault="00A157D4" w:rsidP="004A0539">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It was argued that there was no reasonable cause to charge the Plaintiff with the charges levelled against her as the charges suggested that the Plaintiff unduly benefited in some way from the way she executed her superior’s instruction. </w:t>
      </w:r>
      <w:r w:rsidR="004B6599">
        <w:rPr>
          <w:rFonts w:ascii="Arial" w:hAnsi="Arial" w:cs="Arial"/>
          <w:sz w:val="24"/>
          <w:szCs w:val="24"/>
        </w:rPr>
        <w:t xml:space="preserve">It was </w:t>
      </w:r>
      <w:r>
        <w:rPr>
          <w:rFonts w:ascii="Arial" w:hAnsi="Arial" w:cs="Arial"/>
          <w:sz w:val="24"/>
          <w:szCs w:val="24"/>
        </w:rPr>
        <w:t xml:space="preserve">further </w:t>
      </w:r>
      <w:r w:rsidR="004B6599">
        <w:rPr>
          <w:rFonts w:ascii="Arial" w:hAnsi="Arial" w:cs="Arial"/>
          <w:sz w:val="24"/>
          <w:szCs w:val="24"/>
        </w:rPr>
        <w:t xml:space="preserve">submitted that the disciplinary proceedings were instituted against the Plaintiff </w:t>
      </w:r>
      <w:r w:rsidR="004B6599">
        <w:rPr>
          <w:rFonts w:ascii="Arial" w:hAnsi="Arial" w:cs="Arial"/>
          <w:sz w:val="24"/>
          <w:szCs w:val="24"/>
        </w:rPr>
        <w:lastRenderedPageBreak/>
        <w:t xml:space="preserve">following the recommendations of the investigation team, despite there being no evidence of any wrongdoing on the part of the Plaintiff. </w:t>
      </w:r>
      <w:r>
        <w:rPr>
          <w:rFonts w:ascii="Arial" w:hAnsi="Arial" w:cs="Arial"/>
          <w:sz w:val="24"/>
          <w:szCs w:val="24"/>
        </w:rPr>
        <w:t>Additionally, i</w:t>
      </w:r>
      <w:r w:rsidR="004B6599">
        <w:rPr>
          <w:rFonts w:ascii="Arial" w:hAnsi="Arial" w:cs="Arial"/>
          <w:sz w:val="24"/>
          <w:szCs w:val="24"/>
        </w:rPr>
        <w:t xml:space="preserve">t was argued that </w:t>
      </w:r>
      <w:r w:rsidR="002918A6">
        <w:rPr>
          <w:rFonts w:ascii="Arial" w:hAnsi="Arial" w:cs="Arial"/>
          <w:sz w:val="24"/>
          <w:szCs w:val="24"/>
        </w:rPr>
        <w:t xml:space="preserve">the Plaintiff’s role was small if compared to the other role players. </w:t>
      </w:r>
    </w:p>
    <w:p w:rsidR="002918A6" w:rsidRPr="002918A6" w:rsidRDefault="002918A6" w:rsidP="002918A6">
      <w:pPr>
        <w:pStyle w:val="ListParagraph"/>
        <w:rPr>
          <w:rFonts w:ascii="Arial" w:hAnsi="Arial" w:cs="Arial"/>
          <w:b/>
          <w:sz w:val="24"/>
          <w:szCs w:val="24"/>
        </w:rPr>
      </w:pPr>
    </w:p>
    <w:p w:rsidR="002918A6" w:rsidRDefault="00A157D4" w:rsidP="004A0539">
      <w:pPr>
        <w:pStyle w:val="ListParagraph"/>
        <w:numPr>
          <w:ilvl w:val="0"/>
          <w:numId w:val="1"/>
        </w:numPr>
        <w:spacing w:line="480" w:lineRule="auto"/>
        <w:jc w:val="both"/>
        <w:rPr>
          <w:rFonts w:ascii="Arial" w:hAnsi="Arial" w:cs="Arial"/>
          <w:b/>
          <w:sz w:val="24"/>
          <w:szCs w:val="24"/>
        </w:rPr>
      </w:pPr>
      <w:r>
        <w:rPr>
          <w:rFonts w:ascii="Arial" w:hAnsi="Arial" w:cs="Arial"/>
          <w:sz w:val="24"/>
          <w:szCs w:val="24"/>
        </w:rPr>
        <w:t>Furthermore, it was argued that as a result of the malicious proceedings, Plaintiff is to be awarded damages for contumelia as well as special damages and the costs expended in defending malicious proceedings</w:t>
      </w:r>
    </w:p>
    <w:p w:rsidR="00FC59B4" w:rsidRPr="00FC59B4" w:rsidRDefault="00FC59B4" w:rsidP="00FC59B4">
      <w:pPr>
        <w:pStyle w:val="ListParagraph"/>
        <w:rPr>
          <w:rFonts w:ascii="Arial" w:hAnsi="Arial" w:cs="Arial"/>
          <w:b/>
          <w:sz w:val="24"/>
          <w:szCs w:val="24"/>
        </w:rPr>
      </w:pPr>
    </w:p>
    <w:p w:rsidR="001E1B07" w:rsidRDefault="001E1B07" w:rsidP="003D5F97">
      <w:pPr>
        <w:pStyle w:val="ListParagraph"/>
        <w:spacing w:line="480" w:lineRule="auto"/>
        <w:ind w:left="0"/>
        <w:jc w:val="both"/>
        <w:rPr>
          <w:rFonts w:ascii="Arial" w:hAnsi="Arial" w:cs="Arial"/>
          <w:b/>
          <w:sz w:val="24"/>
          <w:szCs w:val="24"/>
        </w:rPr>
      </w:pPr>
    </w:p>
    <w:p w:rsidR="003D5F97" w:rsidRPr="001E1B07" w:rsidRDefault="00FC59B4" w:rsidP="001E1B07">
      <w:pPr>
        <w:pStyle w:val="ListParagraph"/>
        <w:spacing w:line="480" w:lineRule="auto"/>
        <w:ind w:left="0"/>
        <w:jc w:val="both"/>
        <w:rPr>
          <w:rFonts w:ascii="Arial" w:hAnsi="Arial" w:cs="Arial"/>
          <w:b/>
          <w:sz w:val="24"/>
          <w:szCs w:val="24"/>
        </w:rPr>
      </w:pPr>
      <w:r w:rsidRPr="000B38FB">
        <w:rPr>
          <w:rFonts w:ascii="Arial" w:hAnsi="Arial" w:cs="Arial"/>
          <w:b/>
          <w:sz w:val="24"/>
          <w:szCs w:val="24"/>
        </w:rPr>
        <w:t>On</w:t>
      </w:r>
      <w:r>
        <w:rPr>
          <w:rFonts w:ascii="Arial" w:hAnsi="Arial" w:cs="Arial"/>
          <w:b/>
          <w:sz w:val="24"/>
          <w:szCs w:val="24"/>
        </w:rPr>
        <w:t xml:space="preserve"> behalf of the Defendant </w:t>
      </w:r>
    </w:p>
    <w:p w:rsidR="003D5F97" w:rsidRDefault="003D5F97" w:rsidP="00FC59B4">
      <w:pPr>
        <w:pStyle w:val="ListParagraph"/>
        <w:numPr>
          <w:ilvl w:val="0"/>
          <w:numId w:val="1"/>
        </w:numPr>
        <w:spacing w:line="480" w:lineRule="auto"/>
        <w:jc w:val="both"/>
        <w:rPr>
          <w:rFonts w:ascii="Arial" w:hAnsi="Arial" w:cs="Arial"/>
          <w:b/>
          <w:sz w:val="24"/>
          <w:szCs w:val="24"/>
        </w:rPr>
      </w:pPr>
      <w:r>
        <w:rPr>
          <w:rFonts w:ascii="Arial" w:hAnsi="Arial" w:cs="Arial"/>
          <w:sz w:val="24"/>
          <w:szCs w:val="24"/>
        </w:rPr>
        <w:t>On behalf of the Defendant, it was contended that the Plaintiff is not entitled to any damages as she failed to prove her case on a balance of probabilities.</w:t>
      </w:r>
    </w:p>
    <w:p w:rsidR="003E7121" w:rsidRPr="002E311F" w:rsidRDefault="003E7121" w:rsidP="003E7121">
      <w:pPr>
        <w:pStyle w:val="ListParagraph"/>
        <w:spacing w:line="480" w:lineRule="auto"/>
        <w:ind w:left="0"/>
        <w:jc w:val="both"/>
        <w:rPr>
          <w:rFonts w:ascii="Arial" w:hAnsi="Arial" w:cs="Arial"/>
          <w:b/>
          <w:sz w:val="24"/>
          <w:szCs w:val="24"/>
          <w:highlight w:val="yellow"/>
        </w:rPr>
      </w:pPr>
    </w:p>
    <w:p w:rsidR="003D5F97" w:rsidRPr="001E1B07" w:rsidRDefault="003E7121" w:rsidP="003D5F97">
      <w:pPr>
        <w:pStyle w:val="ListParagraph"/>
        <w:numPr>
          <w:ilvl w:val="0"/>
          <w:numId w:val="1"/>
        </w:numPr>
        <w:spacing w:line="480" w:lineRule="auto"/>
        <w:jc w:val="both"/>
        <w:rPr>
          <w:rFonts w:ascii="Arial" w:hAnsi="Arial" w:cs="Arial"/>
          <w:b/>
          <w:sz w:val="24"/>
          <w:szCs w:val="24"/>
        </w:rPr>
      </w:pPr>
      <w:r w:rsidRPr="001E1B07">
        <w:rPr>
          <w:rFonts w:ascii="Arial" w:hAnsi="Arial" w:cs="Arial"/>
          <w:sz w:val="24"/>
          <w:szCs w:val="24"/>
        </w:rPr>
        <w:t xml:space="preserve">Ms </w:t>
      </w:r>
      <w:proofErr w:type="spellStart"/>
      <w:proofErr w:type="gramStart"/>
      <w:r w:rsidRPr="001E1B07">
        <w:rPr>
          <w:rFonts w:ascii="Arial" w:hAnsi="Arial" w:cs="Arial"/>
          <w:sz w:val="24"/>
          <w:szCs w:val="24"/>
        </w:rPr>
        <w:t>Ramataboe</w:t>
      </w:r>
      <w:proofErr w:type="spellEnd"/>
      <w:r w:rsidRPr="001E1B07">
        <w:rPr>
          <w:rFonts w:ascii="Arial" w:hAnsi="Arial" w:cs="Arial"/>
          <w:sz w:val="24"/>
          <w:szCs w:val="24"/>
        </w:rPr>
        <w:t>,</w:t>
      </w:r>
      <w:proofErr w:type="gramEnd"/>
      <w:r w:rsidRPr="001E1B07">
        <w:rPr>
          <w:rFonts w:ascii="Arial" w:hAnsi="Arial" w:cs="Arial"/>
          <w:sz w:val="24"/>
          <w:szCs w:val="24"/>
        </w:rPr>
        <w:t xml:space="preserve"> </w:t>
      </w:r>
      <w:r w:rsidR="001E1B07" w:rsidRPr="001E1B07">
        <w:rPr>
          <w:rFonts w:ascii="Arial" w:hAnsi="Arial" w:cs="Arial"/>
          <w:sz w:val="24"/>
          <w:szCs w:val="24"/>
        </w:rPr>
        <w:t xml:space="preserve">argued that </w:t>
      </w:r>
      <w:r w:rsidRPr="001E1B07">
        <w:rPr>
          <w:rFonts w:ascii="Arial" w:hAnsi="Arial" w:cs="Arial"/>
          <w:sz w:val="24"/>
          <w:szCs w:val="24"/>
        </w:rPr>
        <w:t xml:space="preserve">that there was neither wrongfulness nor malice in the Defendant instituting disciplinary hearing against the Plaintiff. Furthermore, </w:t>
      </w:r>
      <w:r w:rsidR="001E1B07" w:rsidRPr="001E1B07">
        <w:rPr>
          <w:rFonts w:ascii="Arial" w:hAnsi="Arial" w:cs="Arial"/>
          <w:sz w:val="24"/>
          <w:szCs w:val="24"/>
        </w:rPr>
        <w:t xml:space="preserve">it was submitted </w:t>
      </w:r>
      <w:r w:rsidRPr="001E1B07">
        <w:rPr>
          <w:rFonts w:ascii="Arial" w:hAnsi="Arial" w:cs="Arial"/>
          <w:sz w:val="24"/>
          <w:szCs w:val="24"/>
        </w:rPr>
        <w:t xml:space="preserve">there was no defamation against the Plaintiff. </w:t>
      </w:r>
    </w:p>
    <w:p w:rsidR="001E1B07" w:rsidRPr="001E1B07" w:rsidRDefault="001E1B07" w:rsidP="001E1B07">
      <w:pPr>
        <w:pStyle w:val="ListParagraph"/>
        <w:rPr>
          <w:rFonts w:ascii="Arial" w:hAnsi="Arial" w:cs="Arial"/>
          <w:b/>
          <w:sz w:val="24"/>
          <w:szCs w:val="24"/>
        </w:rPr>
      </w:pPr>
    </w:p>
    <w:p w:rsidR="001E1B07" w:rsidRPr="001E1B07" w:rsidRDefault="001E1B07" w:rsidP="001E1B07">
      <w:pPr>
        <w:pStyle w:val="ListParagraph"/>
        <w:spacing w:line="480" w:lineRule="auto"/>
        <w:ind w:left="0"/>
        <w:jc w:val="both"/>
        <w:rPr>
          <w:rFonts w:ascii="Arial" w:hAnsi="Arial" w:cs="Arial"/>
          <w:b/>
          <w:sz w:val="24"/>
          <w:szCs w:val="24"/>
        </w:rPr>
      </w:pPr>
    </w:p>
    <w:p w:rsidR="00FC59B4" w:rsidRDefault="00D1251D" w:rsidP="003D5F97">
      <w:pPr>
        <w:pStyle w:val="ListParagraph"/>
        <w:spacing w:line="480" w:lineRule="auto"/>
        <w:ind w:left="0"/>
        <w:jc w:val="both"/>
        <w:rPr>
          <w:rFonts w:ascii="Arial" w:hAnsi="Arial" w:cs="Arial"/>
          <w:b/>
          <w:sz w:val="24"/>
          <w:szCs w:val="24"/>
        </w:rPr>
      </w:pPr>
      <w:r>
        <w:rPr>
          <w:rFonts w:ascii="Arial" w:hAnsi="Arial" w:cs="Arial"/>
          <w:b/>
          <w:sz w:val="24"/>
          <w:szCs w:val="24"/>
        </w:rPr>
        <w:t>Issues for determination</w:t>
      </w:r>
    </w:p>
    <w:p w:rsidR="00E56681" w:rsidRPr="003D5F97" w:rsidRDefault="00D1251D" w:rsidP="004A0539">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The crisp issue for determination is whether the Plaintiff has made out </w:t>
      </w:r>
      <w:r w:rsidR="003D5F97">
        <w:rPr>
          <w:rFonts w:ascii="Arial" w:hAnsi="Arial" w:cs="Arial"/>
          <w:sz w:val="24"/>
          <w:szCs w:val="24"/>
        </w:rPr>
        <w:t>a case for</w:t>
      </w:r>
      <w:r w:rsidRPr="003D5F97">
        <w:rPr>
          <w:rFonts w:ascii="Arial" w:hAnsi="Arial" w:cs="Arial"/>
          <w:sz w:val="24"/>
          <w:szCs w:val="24"/>
        </w:rPr>
        <w:t xml:space="preserve"> damages arising from wrongful, malicious and vexatious disciplinary proceedings having been instituted by </w:t>
      </w:r>
      <w:r w:rsidR="003D5F97">
        <w:rPr>
          <w:rFonts w:ascii="Arial" w:hAnsi="Arial" w:cs="Arial"/>
          <w:sz w:val="24"/>
          <w:szCs w:val="24"/>
        </w:rPr>
        <w:t>the D</w:t>
      </w:r>
      <w:r w:rsidRPr="003D5F97">
        <w:rPr>
          <w:rFonts w:ascii="Arial" w:hAnsi="Arial" w:cs="Arial"/>
          <w:sz w:val="24"/>
          <w:szCs w:val="24"/>
        </w:rPr>
        <w:t xml:space="preserve">efendant </w:t>
      </w:r>
      <w:r w:rsidR="003D5F97">
        <w:rPr>
          <w:rFonts w:ascii="Arial" w:hAnsi="Arial" w:cs="Arial"/>
          <w:sz w:val="24"/>
          <w:szCs w:val="24"/>
        </w:rPr>
        <w:t xml:space="preserve">against her </w:t>
      </w:r>
      <w:r w:rsidRPr="003D5F97">
        <w:rPr>
          <w:rFonts w:ascii="Arial" w:hAnsi="Arial" w:cs="Arial"/>
          <w:sz w:val="24"/>
          <w:szCs w:val="24"/>
        </w:rPr>
        <w:t>on or about 28 October 2016.</w:t>
      </w:r>
    </w:p>
    <w:p w:rsidR="00E56681" w:rsidRDefault="00E56681" w:rsidP="006F0214">
      <w:pPr>
        <w:pStyle w:val="ListParagraph"/>
        <w:spacing w:line="480" w:lineRule="auto"/>
        <w:ind w:left="0"/>
        <w:jc w:val="both"/>
        <w:rPr>
          <w:rFonts w:ascii="Arial" w:hAnsi="Arial" w:cs="Arial"/>
          <w:b/>
          <w:sz w:val="24"/>
          <w:szCs w:val="24"/>
        </w:rPr>
      </w:pPr>
    </w:p>
    <w:p w:rsidR="00E56681" w:rsidRDefault="00E56681" w:rsidP="00B908BE">
      <w:pPr>
        <w:pStyle w:val="ListParagraph"/>
        <w:spacing w:line="480" w:lineRule="auto"/>
        <w:ind w:left="0"/>
        <w:jc w:val="both"/>
        <w:rPr>
          <w:rFonts w:ascii="Arial" w:hAnsi="Arial" w:cs="Arial"/>
          <w:b/>
          <w:sz w:val="24"/>
          <w:szCs w:val="24"/>
        </w:rPr>
      </w:pPr>
      <w:r>
        <w:rPr>
          <w:rFonts w:ascii="Arial" w:hAnsi="Arial" w:cs="Arial"/>
          <w:b/>
          <w:sz w:val="24"/>
          <w:szCs w:val="24"/>
        </w:rPr>
        <w:t>Legal Principals</w:t>
      </w:r>
    </w:p>
    <w:p w:rsidR="00B908BE" w:rsidRPr="00B908BE" w:rsidRDefault="00B908BE" w:rsidP="00B908BE">
      <w:pPr>
        <w:pStyle w:val="ListParagraph"/>
        <w:numPr>
          <w:ilvl w:val="0"/>
          <w:numId w:val="1"/>
        </w:numPr>
        <w:autoSpaceDE w:val="0"/>
        <w:autoSpaceDN w:val="0"/>
        <w:adjustRightInd w:val="0"/>
        <w:spacing w:after="0" w:line="480" w:lineRule="auto"/>
        <w:rPr>
          <w:rFonts w:ascii="Arial" w:hAnsi="Arial" w:cs="Arial"/>
          <w:sz w:val="24"/>
          <w:szCs w:val="24"/>
        </w:rPr>
      </w:pPr>
      <w:r w:rsidRPr="00B908BE">
        <w:rPr>
          <w:rFonts w:ascii="Arial" w:hAnsi="Arial" w:cs="Arial"/>
          <w:sz w:val="24"/>
          <w:szCs w:val="24"/>
        </w:rPr>
        <w:lastRenderedPageBreak/>
        <w:t xml:space="preserve">It is trite that the elements of a </w:t>
      </w:r>
      <w:proofErr w:type="spellStart"/>
      <w:r w:rsidRPr="00B908BE">
        <w:rPr>
          <w:rFonts w:ascii="Arial" w:hAnsi="Arial" w:cs="Arial"/>
          <w:sz w:val="24"/>
          <w:szCs w:val="24"/>
        </w:rPr>
        <w:t>delict</w:t>
      </w:r>
      <w:proofErr w:type="spellEnd"/>
      <w:r w:rsidRPr="00B908BE">
        <w:rPr>
          <w:rFonts w:ascii="Arial" w:hAnsi="Arial" w:cs="Arial"/>
          <w:sz w:val="24"/>
          <w:szCs w:val="24"/>
        </w:rPr>
        <w:t xml:space="preserve"> are the following: </w:t>
      </w:r>
    </w:p>
    <w:p w:rsidR="00B908BE" w:rsidRPr="00B908BE" w:rsidRDefault="00B908BE" w:rsidP="00B908BE">
      <w:pPr>
        <w:pStyle w:val="ListParagraph"/>
        <w:numPr>
          <w:ilvl w:val="0"/>
          <w:numId w:val="5"/>
        </w:numPr>
        <w:autoSpaceDE w:val="0"/>
        <w:autoSpaceDN w:val="0"/>
        <w:adjustRightInd w:val="0"/>
        <w:spacing w:after="0" w:line="480" w:lineRule="auto"/>
        <w:rPr>
          <w:rFonts w:ascii="Arial" w:hAnsi="Arial" w:cs="Arial"/>
          <w:sz w:val="24"/>
          <w:szCs w:val="24"/>
        </w:rPr>
      </w:pPr>
      <w:r w:rsidRPr="00B908BE">
        <w:rPr>
          <w:rFonts w:ascii="Arial" w:hAnsi="Arial" w:cs="Arial"/>
          <w:sz w:val="24"/>
          <w:szCs w:val="24"/>
        </w:rPr>
        <w:t>an act,</w:t>
      </w:r>
    </w:p>
    <w:p w:rsidR="00B908BE" w:rsidRPr="00B908BE" w:rsidRDefault="00B908BE" w:rsidP="00B908BE">
      <w:pPr>
        <w:pStyle w:val="ListParagraph"/>
        <w:numPr>
          <w:ilvl w:val="0"/>
          <w:numId w:val="5"/>
        </w:numPr>
        <w:autoSpaceDE w:val="0"/>
        <w:autoSpaceDN w:val="0"/>
        <w:adjustRightInd w:val="0"/>
        <w:spacing w:after="0" w:line="480" w:lineRule="auto"/>
        <w:rPr>
          <w:rFonts w:ascii="Arial" w:hAnsi="Arial" w:cs="Arial"/>
          <w:sz w:val="24"/>
          <w:szCs w:val="24"/>
        </w:rPr>
      </w:pPr>
      <w:r w:rsidRPr="00B908BE">
        <w:rPr>
          <w:rFonts w:ascii="Arial" w:hAnsi="Arial" w:cs="Arial"/>
          <w:sz w:val="24"/>
          <w:szCs w:val="24"/>
        </w:rPr>
        <w:t xml:space="preserve">wrongfulness, </w:t>
      </w:r>
    </w:p>
    <w:p w:rsidR="00B908BE" w:rsidRPr="00B908BE" w:rsidRDefault="00B908BE" w:rsidP="00B908BE">
      <w:pPr>
        <w:pStyle w:val="ListParagraph"/>
        <w:numPr>
          <w:ilvl w:val="0"/>
          <w:numId w:val="5"/>
        </w:numPr>
        <w:autoSpaceDE w:val="0"/>
        <w:autoSpaceDN w:val="0"/>
        <w:adjustRightInd w:val="0"/>
        <w:spacing w:after="0" w:line="480" w:lineRule="auto"/>
        <w:rPr>
          <w:rFonts w:ascii="Arial" w:hAnsi="Arial" w:cs="Arial"/>
          <w:sz w:val="24"/>
          <w:szCs w:val="24"/>
        </w:rPr>
      </w:pPr>
      <w:r w:rsidRPr="00B908BE">
        <w:rPr>
          <w:rFonts w:ascii="Arial" w:hAnsi="Arial" w:cs="Arial"/>
          <w:sz w:val="24"/>
          <w:szCs w:val="24"/>
        </w:rPr>
        <w:t xml:space="preserve">fault (either intent or negligence), </w:t>
      </w:r>
    </w:p>
    <w:p w:rsidR="00B908BE" w:rsidRPr="00B908BE" w:rsidRDefault="00B908BE" w:rsidP="00B908BE">
      <w:pPr>
        <w:pStyle w:val="ListParagraph"/>
        <w:numPr>
          <w:ilvl w:val="0"/>
          <w:numId w:val="5"/>
        </w:numPr>
        <w:autoSpaceDE w:val="0"/>
        <w:autoSpaceDN w:val="0"/>
        <w:adjustRightInd w:val="0"/>
        <w:spacing w:after="0" w:line="480" w:lineRule="auto"/>
        <w:rPr>
          <w:rFonts w:ascii="Arial" w:hAnsi="Arial" w:cs="Arial"/>
          <w:sz w:val="24"/>
          <w:szCs w:val="24"/>
        </w:rPr>
      </w:pPr>
      <w:r w:rsidRPr="00B908BE">
        <w:rPr>
          <w:rFonts w:ascii="Arial" w:hAnsi="Arial" w:cs="Arial"/>
          <w:sz w:val="24"/>
          <w:szCs w:val="24"/>
        </w:rPr>
        <w:t xml:space="preserve">causation and </w:t>
      </w:r>
    </w:p>
    <w:p w:rsidR="00B908BE" w:rsidRPr="00B908BE" w:rsidRDefault="00B908BE" w:rsidP="00B908BE">
      <w:pPr>
        <w:pStyle w:val="ListParagraph"/>
        <w:numPr>
          <w:ilvl w:val="0"/>
          <w:numId w:val="5"/>
        </w:numPr>
        <w:autoSpaceDE w:val="0"/>
        <w:autoSpaceDN w:val="0"/>
        <w:adjustRightInd w:val="0"/>
        <w:spacing w:after="0" w:line="480" w:lineRule="auto"/>
        <w:rPr>
          <w:rFonts w:ascii="Arial" w:hAnsi="Arial" w:cs="Arial"/>
          <w:sz w:val="24"/>
          <w:szCs w:val="24"/>
        </w:rPr>
      </w:pPr>
      <w:r w:rsidRPr="00B908BE">
        <w:rPr>
          <w:rFonts w:ascii="Arial" w:hAnsi="Arial" w:cs="Arial"/>
          <w:sz w:val="24"/>
          <w:szCs w:val="24"/>
        </w:rPr>
        <w:t>damages</w:t>
      </w:r>
    </w:p>
    <w:p w:rsidR="00B908BE" w:rsidRPr="00B908BE" w:rsidRDefault="00B908BE" w:rsidP="00B908BE">
      <w:pPr>
        <w:pStyle w:val="ListParagraph"/>
        <w:spacing w:line="480" w:lineRule="auto"/>
        <w:ind w:left="0"/>
        <w:jc w:val="both"/>
        <w:rPr>
          <w:rFonts w:ascii="Arial" w:hAnsi="Arial" w:cs="Arial"/>
          <w:b/>
          <w:sz w:val="24"/>
          <w:szCs w:val="24"/>
        </w:rPr>
      </w:pPr>
    </w:p>
    <w:p w:rsidR="00396433" w:rsidRPr="001C08E5" w:rsidRDefault="001C08E5" w:rsidP="00E56681">
      <w:pPr>
        <w:pStyle w:val="ListParagraph"/>
        <w:numPr>
          <w:ilvl w:val="0"/>
          <w:numId w:val="1"/>
        </w:numPr>
        <w:spacing w:line="480" w:lineRule="auto"/>
        <w:jc w:val="both"/>
        <w:rPr>
          <w:rFonts w:ascii="Arial" w:hAnsi="Arial" w:cs="Arial"/>
          <w:b/>
          <w:sz w:val="24"/>
          <w:szCs w:val="24"/>
        </w:rPr>
      </w:pPr>
      <w:r>
        <w:rPr>
          <w:rFonts w:ascii="Arial" w:hAnsi="Arial" w:cs="Arial"/>
          <w:sz w:val="24"/>
          <w:szCs w:val="24"/>
        </w:rPr>
        <w:t>The requirements</w:t>
      </w:r>
      <w:r w:rsidR="00CD3861">
        <w:rPr>
          <w:rFonts w:ascii="Arial" w:hAnsi="Arial" w:cs="Arial"/>
          <w:sz w:val="24"/>
          <w:szCs w:val="24"/>
        </w:rPr>
        <w:t xml:space="preserve"> for</w:t>
      </w:r>
      <w:r w:rsidR="00396433">
        <w:rPr>
          <w:rFonts w:ascii="Arial" w:hAnsi="Arial" w:cs="Arial"/>
          <w:sz w:val="24"/>
          <w:szCs w:val="24"/>
        </w:rPr>
        <w:t xml:space="preserve"> malicious prosecution</w:t>
      </w:r>
      <w:r>
        <w:rPr>
          <w:rFonts w:ascii="Arial" w:hAnsi="Arial" w:cs="Arial"/>
          <w:sz w:val="24"/>
          <w:szCs w:val="24"/>
        </w:rPr>
        <w:t xml:space="preserve"> was set out in </w:t>
      </w:r>
      <w:proofErr w:type="spellStart"/>
      <w:r>
        <w:rPr>
          <w:rFonts w:ascii="Arial" w:hAnsi="Arial" w:cs="Arial"/>
          <w:b/>
          <w:i/>
          <w:sz w:val="24"/>
          <w:szCs w:val="24"/>
        </w:rPr>
        <w:t>Woji</w:t>
      </w:r>
      <w:proofErr w:type="spellEnd"/>
      <w:r>
        <w:rPr>
          <w:rFonts w:ascii="Arial" w:hAnsi="Arial" w:cs="Arial"/>
          <w:b/>
          <w:i/>
          <w:sz w:val="24"/>
          <w:szCs w:val="24"/>
        </w:rPr>
        <w:t xml:space="preserve"> v Minister of Police</w:t>
      </w:r>
      <w:r>
        <w:rPr>
          <w:rFonts w:ascii="Arial" w:hAnsi="Arial" w:cs="Arial"/>
          <w:sz w:val="24"/>
          <w:szCs w:val="24"/>
        </w:rPr>
        <w:t xml:space="preserve"> </w:t>
      </w:r>
      <w:r>
        <w:rPr>
          <w:rStyle w:val="FootnoteReference"/>
          <w:rFonts w:ascii="Arial" w:hAnsi="Arial" w:cs="Arial"/>
          <w:sz w:val="24"/>
          <w:szCs w:val="24"/>
        </w:rPr>
        <w:footnoteReference w:id="7"/>
      </w:r>
      <w:r>
        <w:rPr>
          <w:rFonts w:ascii="Arial" w:hAnsi="Arial" w:cs="Arial"/>
          <w:sz w:val="24"/>
          <w:szCs w:val="24"/>
        </w:rPr>
        <w:t xml:space="preserve"> as follows:</w:t>
      </w:r>
    </w:p>
    <w:p w:rsidR="001C08E5" w:rsidRDefault="001C08E5" w:rsidP="001C08E5">
      <w:pPr>
        <w:pStyle w:val="ListParagraph"/>
        <w:spacing w:line="480" w:lineRule="auto"/>
        <w:jc w:val="both"/>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a</w:t>
      </w:r>
      <w:proofErr w:type="gramEnd"/>
      <w:r>
        <w:rPr>
          <w:rFonts w:ascii="Arial" w:hAnsi="Arial" w:cs="Arial"/>
          <w:i/>
          <w:sz w:val="24"/>
          <w:szCs w:val="24"/>
        </w:rPr>
        <w:t>) Set the law in motion (instituted or instigated the proceedings)</w:t>
      </w:r>
    </w:p>
    <w:p w:rsidR="001C08E5" w:rsidRDefault="001C08E5" w:rsidP="001C08E5">
      <w:pPr>
        <w:pStyle w:val="ListParagraph"/>
        <w:spacing w:line="480" w:lineRule="auto"/>
        <w:jc w:val="both"/>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b</w:t>
      </w:r>
      <w:proofErr w:type="gramEnd"/>
      <w:r>
        <w:rPr>
          <w:rFonts w:ascii="Arial" w:hAnsi="Arial" w:cs="Arial"/>
          <w:i/>
          <w:sz w:val="24"/>
          <w:szCs w:val="24"/>
        </w:rPr>
        <w:t>) Acted without reasonable and probable cause</w:t>
      </w:r>
    </w:p>
    <w:p w:rsidR="001C08E5" w:rsidRDefault="001C08E5" w:rsidP="001C08E5">
      <w:pPr>
        <w:pStyle w:val="ListParagraph"/>
        <w:spacing w:line="480" w:lineRule="auto"/>
        <w:jc w:val="both"/>
        <w:rPr>
          <w:rFonts w:ascii="Arial" w:hAnsi="Arial" w:cs="Arial"/>
          <w:i/>
          <w:sz w:val="24"/>
          <w:szCs w:val="24"/>
        </w:rPr>
      </w:pPr>
      <w:r>
        <w:rPr>
          <w:rFonts w:ascii="Arial" w:hAnsi="Arial" w:cs="Arial"/>
          <w:i/>
          <w:sz w:val="24"/>
          <w:szCs w:val="24"/>
        </w:rPr>
        <w:t>(c) Acted with malice (</w:t>
      </w:r>
      <w:proofErr w:type="spellStart"/>
      <w:r>
        <w:rPr>
          <w:rFonts w:ascii="Arial" w:hAnsi="Arial" w:cs="Arial"/>
          <w:i/>
          <w:sz w:val="24"/>
          <w:szCs w:val="24"/>
        </w:rPr>
        <w:t>animo</w:t>
      </w:r>
      <w:proofErr w:type="spellEnd"/>
      <w:r>
        <w:rPr>
          <w:rFonts w:ascii="Arial" w:hAnsi="Arial" w:cs="Arial"/>
          <w:i/>
          <w:sz w:val="24"/>
          <w:szCs w:val="24"/>
        </w:rPr>
        <w:t xml:space="preserve"> </w:t>
      </w:r>
      <w:proofErr w:type="spellStart"/>
      <w:r>
        <w:rPr>
          <w:rFonts w:ascii="Arial" w:hAnsi="Arial" w:cs="Arial"/>
          <w:i/>
          <w:sz w:val="24"/>
          <w:szCs w:val="24"/>
        </w:rPr>
        <w:t>injuriandi</w:t>
      </w:r>
      <w:proofErr w:type="spellEnd"/>
      <w:r>
        <w:rPr>
          <w:rFonts w:ascii="Arial" w:hAnsi="Arial" w:cs="Arial"/>
          <w:i/>
          <w:sz w:val="24"/>
          <w:szCs w:val="24"/>
        </w:rPr>
        <w:t>) and</w:t>
      </w:r>
    </w:p>
    <w:p w:rsidR="00A534E7" w:rsidRDefault="001C08E5" w:rsidP="00A534E7">
      <w:pPr>
        <w:pStyle w:val="ListParagraph"/>
        <w:spacing w:line="480" w:lineRule="auto"/>
        <w:jc w:val="both"/>
        <w:rPr>
          <w:rFonts w:ascii="Arial" w:hAnsi="Arial" w:cs="Arial"/>
          <w:i/>
          <w:sz w:val="24"/>
          <w:szCs w:val="24"/>
        </w:rPr>
      </w:pPr>
      <w:r>
        <w:rPr>
          <w:rFonts w:ascii="Arial" w:hAnsi="Arial" w:cs="Arial"/>
          <w:i/>
          <w:sz w:val="24"/>
          <w:szCs w:val="24"/>
        </w:rPr>
        <w:t xml:space="preserve">(d) </w:t>
      </w:r>
      <w:proofErr w:type="gramStart"/>
      <w:r>
        <w:rPr>
          <w:rFonts w:ascii="Arial" w:hAnsi="Arial" w:cs="Arial"/>
          <w:i/>
          <w:sz w:val="24"/>
          <w:szCs w:val="24"/>
        </w:rPr>
        <w:t>the</w:t>
      </w:r>
      <w:proofErr w:type="gramEnd"/>
      <w:r>
        <w:rPr>
          <w:rFonts w:ascii="Arial" w:hAnsi="Arial" w:cs="Arial"/>
          <w:i/>
          <w:sz w:val="24"/>
          <w:szCs w:val="24"/>
        </w:rPr>
        <w:t xml:space="preserve"> prosecution failed.’</w:t>
      </w:r>
      <w:r>
        <w:rPr>
          <w:rStyle w:val="FootnoteReference"/>
          <w:rFonts w:ascii="Arial" w:hAnsi="Arial" w:cs="Arial"/>
          <w:i/>
          <w:sz w:val="24"/>
          <w:szCs w:val="24"/>
        </w:rPr>
        <w:footnoteReference w:id="8"/>
      </w:r>
    </w:p>
    <w:p w:rsidR="00A534E7" w:rsidRPr="00A534E7" w:rsidRDefault="00A534E7" w:rsidP="00A534E7">
      <w:pPr>
        <w:pStyle w:val="ListParagraph"/>
        <w:spacing w:line="480" w:lineRule="auto"/>
        <w:jc w:val="both"/>
        <w:rPr>
          <w:rFonts w:ascii="Arial" w:hAnsi="Arial" w:cs="Arial"/>
          <w:i/>
          <w:sz w:val="24"/>
          <w:szCs w:val="24"/>
        </w:rPr>
      </w:pPr>
    </w:p>
    <w:p w:rsidR="009851B4" w:rsidRPr="00F26DDD" w:rsidRDefault="00A534E7" w:rsidP="00F26DDD">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It would be apposite to determine whether the nature of the proceedings instituted against the Plaintiff can be regarded as </w:t>
      </w:r>
      <w:r w:rsidR="00F26DDD">
        <w:rPr>
          <w:rFonts w:ascii="Arial" w:hAnsi="Arial" w:cs="Arial"/>
          <w:sz w:val="24"/>
          <w:szCs w:val="24"/>
        </w:rPr>
        <w:t>“</w:t>
      </w:r>
      <w:r>
        <w:rPr>
          <w:rFonts w:ascii="Arial" w:hAnsi="Arial" w:cs="Arial"/>
          <w:sz w:val="24"/>
          <w:szCs w:val="24"/>
        </w:rPr>
        <w:t>prosecution</w:t>
      </w:r>
      <w:r w:rsidR="00F26DDD">
        <w:rPr>
          <w:rFonts w:ascii="Arial" w:hAnsi="Arial" w:cs="Arial"/>
          <w:sz w:val="24"/>
          <w:szCs w:val="24"/>
        </w:rPr>
        <w:t>”</w:t>
      </w:r>
      <w:r>
        <w:rPr>
          <w:rFonts w:ascii="Arial" w:hAnsi="Arial" w:cs="Arial"/>
          <w:sz w:val="24"/>
          <w:szCs w:val="24"/>
        </w:rPr>
        <w:t xml:space="preserve"> within the context stated above.</w:t>
      </w:r>
      <w:r w:rsidR="00F26DDD">
        <w:rPr>
          <w:rFonts w:ascii="Arial" w:hAnsi="Arial" w:cs="Arial"/>
          <w:b/>
          <w:sz w:val="24"/>
          <w:szCs w:val="24"/>
        </w:rPr>
        <w:t xml:space="preserve"> </w:t>
      </w:r>
      <w:r w:rsidR="009851B4" w:rsidRPr="00F26DDD">
        <w:rPr>
          <w:rFonts w:ascii="Arial" w:hAnsi="Arial" w:cs="Arial"/>
          <w:sz w:val="24"/>
          <w:szCs w:val="24"/>
        </w:rPr>
        <w:t xml:space="preserve">A passage in Van der </w:t>
      </w:r>
      <w:proofErr w:type="spellStart"/>
      <w:r w:rsidR="009851B4" w:rsidRPr="00F26DDD">
        <w:rPr>
          <w:rFonts w:ascii="Arial" w:hAnsi="Arial" w:cs="Arial"/>
          <w:sz w:val="24"/>
          <w:szCs w:val="24"/>
        </w:rPr>
        <w:t>Keessel</w:t>
      </w:r>
      <w:proofErr w:type="spellEnd"/>
      <w:r w:rsidR="009851B4" w:rsidRPr="00F26DDD">
        <w:rPr>
          <w:rFonts w:ascii="Arial" w:hAnsi="Arial" w:cs="Arial"/>
          <w:sz w:val="24"/>
          <w:szCs w:val="24"/>
        </w:rPr>
        <w:t xml:space="preserve"> 48.2.1 </w:t>
      </w:r>
      <w:proofErr w:type="spellStart"/>
      <w:r w:rsidR="009851B4" w:rsidRPr="00F26DDD">
        <w:rPr>
          <w:rFonts w:ascii="Arial" w:hAnsi="Arial" w:cs="Arial"/>
          <w:i/>
          <w:sz w:val="24"/>
          <w:szCs w:val="24"/>
        </w:rPr>
        <w:t>Praelectiones</w:t>
      </w:r>
      <w:proofErr w:type="spellEnd"/>
      <w:r w:rsidR="009851B4" w:rsidRPr="00F26DDD">
        <w:rPr>
          <w:rFonts w:ascii="Arial" w:hAnsi="Arial" w:cs="Arial"/>
          <w:i/>
          <w:sz w:val="24"/>
          <w:szCs w:val="24"/>
        </w:rPr>
        <w:t xml:space="preserve"> ad Jus </w:t>
      </w:r>
      <w:proofErr w:type="spellStart"/>
      <w:r w:rsidR="009851B4" w:rsidRPr="00F26DDD">
        <w:rPr>
          <w:rFonts w:ascii="Arial" w:hAnsi="Arial" w:cs="Arial"/>
          <w:i/>
          <w:sz w:val="24"/>
          <w:szCs w:val="24"/>
        </w:rPr>
        <w:t>Criminale</w:t>
      </w:r>
      <w:proofErr w:type="spellEnd"/>
      <w:r w:rsidR="009851B4" w:rsidRPr="00F26DDD">
        <w:rPr>
          <w:rFonts w:ascii="Arial" w:hAnsi="Arial" w:cs="Arial"/>
          <w:i/>
          <w:sz w:val="24"/>
          <w:szCs w:val="24"/>
        </w:rPr>
        <w:t xml:space="preserve"> </w:t>
      </w:r>
      <w:r w:rsidR="009851B4" w:rsidRPr="00F26DDD">
        <w:rPr>
          <w:rFonts w:ascii="Arial" w:hAnsi="Arial" w:cs="Arial"/>
          <w:sz w:val="24"/>
          <w:szCs w:val="24"/>
        </w:rPr>
        <w:t xml:space="preserve">(translation by </w:t>
      </w:r>
      <w:proofErr w:type="spellStart"/>
      <w:r w:rsidR="009851B4" w:rsidRPr="00F26DDD">
        <w:rPr>
          <w:rFonts w:ascii="Arial" w:hAnsi="Arial" w:cs="Arial"/>
          <w:sz w:val="24"/>
          <w:szCs w:val="24"/>
        </w:rPr>
        <w:t>Beinart</w:t>
      </w:r>
      <w:proofErr w:type="spellEnd"/>
      <w:r w:rsidR="009851B4" w:rsidRPr="00F26DDD">
        <w:rPr>
          <w:rFonts w:ascii="Arial" w:hAnsi="Arial" w:cs="Arial"/>
          <w:sz w:val="24"/>
          <w:szCs w:val="24"/>
        </w:rPr>
        <w:t xml:space="preserve"> and Van </w:t>
      </w:r>
      <w:proofErr w:type="spellStart"/>
      <w:r w:rsidR="009851B4" w:rsidRPr="00F26DDD">
        <w:rPr>
          <w:rFonts w:ascii="Arial" w:hAnsi="Arial" w:cs="Arial"/>
          <w:sz w:val="24"/>
          <w:szCs w:val="24"/>
        </w:rPr>
        <w:t>Warmelo</w:t>
      </w:r>
      <w:proofErr w:type="spellEnd"/>
      <w:r w:rsidR="009851B4" w:rsidRPr="00F26DDD">
        <w:rPr>
          <w:rFonts w:ascii="Arial" w:hAnsi="Arial" w:cs="Arial"/>
          <w:sz w:val="24"/>
          <w:szCs w:val="24"/>
        </w:rPr>
        <w:t xml:space="preserve"> </w:t>
      </w:r>
      <w:proofErr w:type="spellStart"/>
      <w:r w:rsidR="009851B4" w:rsidRPr="00F26DDD">
        <w:rPr>
          <w:rFonts w:ascii="Arial" w:hAnsi="Arial" w:cs="Arial"/>
          <w:sz w:val="24"/>
          <w:szCs w:val="24"/>
        </w:rPr>
        <w:t>vol</w:t>
      </w:r>
      <w:proofErr w:type="spellEnd"/>
      <w:r w:rsidR="009851B4" w:rsidRPr="00F26DDD">
        <w:rPr>
          <w:rFonts w:ascii="Arial" w:hAnsi="Arial" w:cs="Arial"/>
          <w:sz w:val="24"/>
          <w:szCs w:val="24"/>
        </w:rPr>
        <w:t xml:space="preserve"> II at 545) contains the statement: </w:t>
      </w:r>
      <w:r w:rsidR="009851B4" w:rsidRPr="00F26DDD">
        <w:rPr>
          <w:rFonts w:ascii="Arial" w:hAnsi="Arial" w:cs="Arial"/>
          <w:color w:val="000000"/>
          <w:sz w:val="24"/>
          <w:szCs w:val="24"/>
        </w:rPr>
        <w:t xml:space="preserve"> </w:t>
      </w:r>
    </w:p>
    <w:p w:rsidR="00F26DDD" w:rsidRPr="006F0214" w:rsidRDefault="009851B4" w:rsidP="006F0214">
      <w:pPr>
        <w:pStyle w:val="ListParagraph"/>
        <w:spacing w:line="360" w:lineRule="auto"/>
        <w:ind w:right="720"/>
        <w:jc w:val="both"/>
        <w:rPr>
          <w:rFonts w:ascii="Arial" w:hAnsi="Arial" w:cs="Arial"/>
          <w:i/>
          <w:snapToGrid w:val="0"/>
          <w:color w:val="000000"/>
        </w:rPr>
      </w:pPr>
      <w:r w:rsidRPr="00F26DDD">
        <w:rPr>
          <w:rFonts w:ascii="Arial" w:hAnsi="Arial" w:cs="Arial"/>
          <w:i/>
          <w:snapToGrid w:val="0"/>
          <w:color w:val="000000"/>
        </w:rPr>
        <w:t xml:space="preserve"> 'In this respect a prosecution differs from a civil action in which we claim what belongs to us or is owed to us, and in which accordingly we act to our own advantage, whereas in a prosecution we perform an act of public retribution and demand that punishment be inflicted on the accused as an example to the public.' </w:t>
      </w:r>
    </w:p>
    <w:p w:rsidR="009851B4" w:rsidRPr="00F26DDD" w:rsidRDefault="00F26DDD" w:rsidP="00F26DDD">
      <w:pPr>
        <w:pStyle w:val="ListParagraph"/>
        <w:numPr>
          <w:ilvl w:val="0"/>
          <w:numId w:val="1"/>
        </w:numPr>
        <w:spacing w:line="480" w:lineRule="auto"/>
        <w:ind w:right="851"/>
        <w:jc w:val="both"/>
        <w:rPr>
          <w:rFonts w:ascii="Arial" w:hAnsi="Arial" w:cs="Arial"/>
          <w:snapToGrid w:val="0"/>
          <w:sz w:val="24"/>
          <w:szCs w:val="24"/>
        </w:rPr>
      </w:pPr>
      <w:r>
        <w:rPr>
          <w:rFonts w:ascii="Arial" w:hAnsi="Arial" w:cs="Arial"/>
          <w:snapToGrid w:val="0"/>
          <w:sz w:val="24"/>
          <w:szCs w:val="24"/>
        </w:rPr>
        <w:lastRenderedPageBreak/>
        <w:t>The Latin word for “prosecution”</w:t>
      </w:r>
      <w:r w:rsidR="009851B4" w:rsidRPr="00F26DDD">
        <w:rPr>
          <w:rFonts w:ascii="Arial" w:hAnsi="Arial" w:cs="Arial"/>
          <w:snapToGrid w:val="0"/>
          <w:sz w:val="24"/>
          <w:szCs w:val="24"/>
        </w:rPr>
        <w:t xml:space="preserve"> in this passage is </w:t>
      </w:r>
      <w:proofErr w:type="spellStart"/>
      <w:r>
        <w:rPr>
          <w:rFonts w:ascii="Arial" w:hAnsi="Arial" w:cs="Arial"/>
          <w:i/>
          <w:snapToGrid w:val="0"/>
          <w:sz w:val="24"/>
          <w:szCs w:val="24"/>
        </w:rPr>
        <w:t>accusatio</w:t>
      </w:r>
      <w:proofErr w:type="spellEnd"/>
      <w:r w:rsidR="009851B4" w:rsidRPr="00F26DDD">
        <w:rPr>
          <w:rFonts w:ascii="Arial" w:hAnsi="Arial" w:cs="Arial"/>
          <w:snapToGrid w:val="0"/>
          <w:sz w:val="24"/>
          <w:szCs w:val="24"/>
        </w:rPr>
        <w:t xml:space="preserve">, while it will be seen that under para 2 the following statement appears: </w:t>
      </w:r>
    </w:p>
    <w:p w:rsidR="00F26DDD" w:rsidRPr="009851B4" w:rsidRDefault="00F26DDD" w:rsidP="00F26DDD">
      <w:pPr>
        <w:pStyle w:val="ListParagraph"/>
        <w:ind w:left="0" w:right="851"/>
        <w:jc w:val="both"/>
        <w:rPr>
          <w:snapToGrid w:val="0"/>
          <w:highlight w:val="yellow"/>
        </w:rPr>
      </w:pPr>
    </w:p>
    <w:p w:rsidR="009851B4" w:rsidRPr="00F26DDD" w:rsidRDefault="009851B4" w:rsidP="00F26DDD">
      <w:pPr>
        <w:pStyle w:val="ListParagraph"/>
        <w:spacing w:line="360" w:lineRule="auto"/>
        <w:ind w:right="720"/>
        <w:jc w:val="both"/>
        <w:rPr>
          <w:rFonts w:ascii="Arial" w:hAnsi="Arial" w:cs="Arial"/>
          <w:i/>
          <w:color w:val="000000"/>
        </w:rPr>
      </w:pPr>
      <w:r w:rsidRPr="00F26DDD">
        <w:rPr>
          <w:rFonts w:ascii="Arial" w:hAnsi="Arial" w:cs="Arial"/>
          <w:i/>
          <w:color w:val="000000"/>
        </w:rPr>
        <w:t xml:space="preserve"> 'An indictment is a written declaration of the prosecutor, in which he states that he is reporting someone in terms of some law concerning public crime, and that the accused will be prosecuted by him.' </w:t>
      </w:r>
    </w:p>
    <w:p w:rsidR="00F26DDD" w:rsidRPr="00F26DDD" w:rsidRDefault="00F26DDD" w:rsidP="00F26DDD">
      <w:pPr>
        <w:pStyle w:val="ListParagraph"/>
        <w:ind w:left="0" w:right="851"/>
        <w:jc w:val="both"/>
        <w:rPr>
          <w:highlight w:val="yellow"/>
        </w:rPr>
      </w:pPr>
    </w:p>
    <w:p w:rsidR="009851B4" w:rsidRPr="00F26DDD" w:rsidRDefault="009851B4" w:rsidP="00F26DDD">
      <w:pPr>
        <w:pStyle w:val="ListParagraph"/>
        <w:numPr>
          <w:ilvl w:val="0"/>
          <w:numId w:val="1"/>
        </w:numPr>
        <w:spacing w:line="480" w:lineRule="auto"/>
        <w:ind w:right="851"/>
        <w:jc w:val="both"/>
        <w:rPr>
          <w:rFonts w:ascii="Arial" w:hAnsi="Arial" w:cs="Arial"/>
          <w:sz w:val="24"/>
          <w:szCs w:val="24"/>
        </w:rPr>
      </w:pPr>
      <w:r w:rsidRPr="00F26DDD">
        <w:rPr>
          <w:rFonts w:ascii="Arial" w:hAnsi="Arial" w:cs="Arial"/>
          <w:sz w:val="24"/>
          <w:szCs w:val="24"/>
        </w:rPr>
        <w:t xml:space="preserve">The Latin word used here for indictment is </w:t>
      </w:r>
      <w:proofErr w:type="spellStart"/>
      <w:r w:rsidR="00F26DDD">
        <w:rPr>
          <w:rFonts w:ascii="Arial" w:hAnsi="Arial" w:cs="Arial"/>
          <w:i/>
          <w:sz w:val="24"/>
          <w:szCs w:val="24"/>
        </w:rPr>
        <w:t>inscriptio</w:t>
      </w:r>
      <w:proofErr w:type="spellEnd"/>
      <w:r w:rsidRPr="00F26DDD">
        <w:rPr>
          <w:rFonts w:ascii="Arial" w:hAnsi="Arial" w:cs="Arial"/>
          <w:sz w:val="24"/>
          <w:szCs w:val="24"/>
        </w:rPr>
        <w:t xml:space="preserve">. While it is true that the word </w:t>
      </w:r>
      <w:proofErr w:type="spellStart"/>
      <w:r w:rsidRPr="00F26DDD">
        <w:rPr>
          <w:rFonts w:ascii="Arial" w:hAnsi="Arial" w:cs="Arial"/>
          <w:i/>
          <w:sz w:val="24"/>
          <w:szCs w:val="24"/>
        </w:rPr>
        <w:t>accusatio</w:t>
      </w:r>
      <w:proofErr w:type="spellEnd"/>
      <w:r w:rsidRPr="00F26DDD">
        <w:rPr>
          <w:rFonts w:ascii="Arial" w:hAnsi="Arial" w:cs="Arial"/>
          <w:i/>
          <w:sz w:val="24"/>
          <w:szCs w:val="24"/>
        </w:rPr>
        <w:t xml:space="preserve"> </w:t>
      </w:r>
      <w:r w:rsidRPr="00F26DDD">
        <w:rPr>
          <w:rFonts w:ascii="Arial" w:hAnsi="Arial" w:cs="Arial"/>
          <w:sz w:val="24"/>
          <w:szCs w:val="24"/>
        </w:rPr>
        <w:t xml:space="preserve">is sometimes used in the sense of the English word 'accusation', it is more commonly used to refer to prosecution of the charge in its entirety - see, for example, </w:t>
      </w:r>
      <w:r w:rsidRPr="00F26DDD">
        <w:rPr>
          <w:rFonts w:ascii="Arial" w:hAnsi="Arial" w:cs="Arial"/>
          <w:i/>
          <w:sz w:val="24"/>
          <w:szCs w:val="24"/>
        </w:rPr>
        <w:t xml:space="preserve">Van der </w:t>
      </w:r>
      <w:proofErr w:type="spellStart"/>
      <w:r w:rsidRPr="00F26DDD">
        <w:rPr>
          <w:rFonts w:ascii="Arial" w:hAnsi="Arial" w:cs="Arial"/>
          <w:i/>
          <w:sz w:val="24"/>
          <w:szCs w:val="24"/>
        </w:rPr>
        <w:t>Keessel</w:t>
      </w:r>
      <w:proofErr w:type="spellEnd"/>
      <w:r w:rsidRPr="00F26DDD">
        <w:rPr>
          <w:rFonts w:ascii="Arial" w:hAnsi="Arial" w:cs="Arial"/>
          <w:i/>
          <w:sz w:val="24"/>
          <w:szCs w:val="24"/>
        </w:rPr>
        <w:t xml:space="preserve"> </w:t>
      </w:r>
      <w:r w:rsidRPr="00F26DDD">
        <w:rPr>
          <w:rFonts w:ascii="Arial" w:hAnsi="Arial" w:cs="Arial"/>
          <w:sz w:val="24"/>
          <w:szCs w:val="24"/>
        </w:rPr>
        <w:t xml:space="preserve">48.2.3 (251): </w:t>
      </w:r>
    </w:p>
    <w:p w:rsidR="009851B4" w:rsidRPr="00F26DDD" w:rsidRDefault="003E7121" w:rsidP="00F26DDD">
      <w:pPr>
        <w:pStyle w:val="ListParagraph"/>
        <w:spacing w:line="360" w:lineRule="auto"/>
        <w:ind w:right="720"/>
        <w:jc w:val="both"/>
        <w:rPr>
          <w:rFonts w:ascii="Arial" w:hAnsi="Arial" w:cs="Arial"/>
          <w:i/>
          <w:snapToGrid w:val="0"/>
          <w:color w:val="000000"/>
        </w:rPr>
      </w:pPr>
      <w:r>
        <w:rPr>
          <w:rFonts w:ascii="Arial" w:hAnsi="Arial" w:cs="Arial"/>
          <w:i/>
          <w:snapToGrid w:val="0"/>
          <w:color w:val="000000"/>
        </w:rPr>
        <w:t xml:space="preserve"> '</w:t>
      </w:r>
      <w:proofErr w:type="spellStart"/>
      <w:r w:rsidR="009851B4" w:rsidRPr="00F26DDD">
        <w:rPr>
          <w:rFonts w:ascii="Arial" w:hAnsi="Arial" w:cs="Arial"/>
          <w:i/>
          <w:snapToGrid w:val="0"/>
          <w:color w:val="000000"/>
        </w:rPr>
        <w:t>Quoniam</w:t>
      </w:r>
      <w:proofErr w:type="spellEnd"/>
      <w:r w:rsidR="009851B4" w:rsidRPr="00F26DDD">
        <w:rPr>
          <w:rFonts w:ascii="Arial" w:hAnsi="Arial" w:cs="Arial"/>
          <w:i/>
          <w:snapToGrid w:val="0"/>
          <w:color w:val="000000"/>
        </w:rPr>
        <w:t xml:space="preserve"> ex </w:t>
      </w:r>
      <w:proofErr w:type="spellStart"/>
      <w:r w:rsidR="009851B4" w:rsidRPr="00F26DDD">
        <w:rPr>
          <w:rFonts w:ascii="Arial" w:hAnsi="Arial" w:cs="Arial"/>
          <w:i/>
          <w:snapToGrid w:val="0"/>
          <w:color w:val="000000"/>
        </w:rPr>
        <w:t>potestate</w:t>
      </w:r>
      <w:proofErr w:type="spellEnd"/>
      <w:r w:rsidR="009851B4" w:rsidRPr="00F26DDD">
        <w:rPr>
          <w:rFonts w:ascii="Arial" w:hAnsi="Arial" w:cs="Arial"/>
          <w:i/>
          <w:snapToGrid w:val="0"/>
          <w:color w:val="000000"/>
        </w:rPr>
        <w:t xml:space="preserve"> </w:t>
      </w:r>
      <w:proofErr w:type="spellStart"/>
      <w:r w:rsidR="009851B4" w:rsidRPr="00F26DDD">
        <w:rPr>
          <w:rFonts w:ascii="Arial" w:hAnsi="Arial" w:cs="Arial"/>
          <w:i/>
          <w:snapToGrid w:val="0"/>
          <w:color w:val="000000"/>
        </w:rPr>
        <w:t>accusandi</w:t>
      </w:r>
      <w:proofErr w:type="spellEnd"/>
      <w:r w:rsidR="009851B4" w:rsidRPr="00F26DDD">
        <w:rPr>
          <w:rFonts w:ascii="Arial" w:hAnsi="Arial" w:cs="Arial"/>
          <w:i/>
          <w:snapToGrid w:val="0"/>
          <w:color w:val="000000"/>
        </w:rPr>
        <w:t xml:space="preserve"> </w:t>
      </w:r>
      <w:proofErr w:type="spellStart"/>
      <w:r w:rsidR="009851B4" w:rsidRPr="00F26DDD">
        <w:rPr>
          <w:rFonts w:ascii="Arial" w:hAnsi="Arial" w:cs="Arial"/>
          <w:i/>
          <w:snapToGrid w:val="0"/>
          <w:color w:val="000000"/>
        </w:rPr>
        <w:t>cuilibet</w:t>
      </w:r>
      <w:proofErr w:type="spellEnd"/>
      <w:r w:rsidR="009851B4" w:rsidRPr="00F26DDD">
        <w:rPr>
          <w:rFonts w:ascii="Arial" w:hAnsi="Arial" w:cs="Arial"/>
          <w:i/>
          <w:snapToGrid w:val="0"/>
          <w:color w:val="000000"/>
        </w:rPr>
        <w:t xml:space="preserve"> </w:t>
      </w:r>
      <w:proofErr w:type="spellStart"/>
      <w:r w:rsidR="009851B4" w:rsidRPr="00F26DDD">
        <w:rPr>
          <w:rFonts w:ascii="Arial" w:hAnsi="Arial" w:cs="Arial"/>
          <w:i/>
          <w:snapToGrid w:val="0"/>
          <w:color w:val="000000"/>
        </w:rPr>
        <w:t>apud</w:t>
      </w:r>
      <w:proofErr w:type="spellEnd"/>
      <w:r w:rsidR="009851B4" w:rsidRPr="00F26DDD">
        <w:rPr>
          <w:rFonts w:ascii="Arial" w:hAnsi="Arial" w:cs="Arial"/>
          <w:i/>
          <w:snapToGrid w:val="0"/>
          <w:color w:val="000000"/>
        </w:rPr>
        <w:t xml:space="preserve"> </w:t>
      </w:r>
      <w:proofErr w:type="spellStart"/>
      <w:r w:rsidR="009851B4" w:rsidRPr="00F26DDD">
        <w:rPr>
          <w:rFonts w:ascii="Arial" w:hAnsi="Arial" w:cs="Arial"/>
          <w:i/>
          <w:snapToGrid w:val="0"/>
          <w:color w:val="000000"/>
        </w:rPr>
        <w:t>Romanos</w:t>
      </w:r>
      <w:proofErr w:type="spellEnd"/>
      <w:r w:rsidR="009851B4" w:rsidRPr="00F26DDD">
        <w:rPr>
          <w:rFonts w:ascii="Arial" w:hAnsi="Arial" w:cs="Arial"/>
          <w:i/>
          <w:snapToGrid w:val="0"/>
          <w:color w:val="000000"/>
        </w:rPr>
        <w:t xml:space="preserve"> </w:t>
      </w:r>
      <w:proofErr w:type="spellStart"/>
      <w:r w:rsidR="009851B4" w:rsidRPr="00F26DDD">
        <w:rPr>
          <w:rFonts w:ascii="Arial" w:hAnsi="Arial" w:cs="Arial"/>
          <w:i/>
          <w:snapToGrid w:val="0"/>
          <w:color w:val="000000"/>
        </w:rPr>
        <w:t>competente</w:t>
      </w:r>
      <w:proofErr w:type="spellEnd"/>
      <w:r w:rsidR="009851B4" w:rsidRPr="00F26DDD">
        <w:rPr>
          <w:rFonts w:ascii="Arial" w:hAnsi="Arial" w:cs="Arial"/>
          <w:i/>
          <w:snapToGrid w:val="0"/>
          <w:color w:val="000000"/>
        </w:rPr>
        <w:t xml:space="preserve"> </w:t>
      </w:r>
      <w:proofErr w:type="spellStart"/>
      <w:r w:rsidR="009851B4" w:rsidRPr="00F26DDD">
        <w:rPr>
          <w:rFonts w:ascii="Arial" w:hAnsi="Arial" w:cs="Arial"/>
          <w:i/>
          <w:snapToGrid w:val="0"/>
          <w:color w:val="000000"/>
        </w:rPr>
        <w:t>metus</w:t>
      </w:r>
      <w:proofErr w:type="spellEnd"/>
      <w:r w:rsidR="009851B4" w:rsidRPr="00F26DDD">
        <w:rPr>
          <w:rFonts w:ascii="Arial" w:hAnsi="Arial" w:cs="Arial"/>
          <w:i/>
          <w:snapToGrid w:val="0"/>
          <w:color w:val="000000"/>
        </w:rPr>
        <w:t xml:space="preserve"> </w:t>
      </w:r>
      <w:proofErr w:type="spellStart"/>
      <w:r w:rsidR="009851B4" w:rsidRPr="00F26DDD">
        <w:rPr>
          <w:rFonts w:ascii="Arial" w:hAnsi="Arial" w:cs="Arial"/>
          <w:i/>
          <w:snapToGrid w:val="0"/>
          <w:color w:val="000000"/>
        </w:rPr>
        <w:t>oriebatur</w:t>
      </w:r>
      <w:proofErr w:type="spellEnd"/>
      <w:r w:rsidR="009851B4" w:rsidRPr="00F26DDD">
        <w:rPr>
          <w:rFonts w:ascii="Arial" w:hAnsi="Arial" w:cs="Arial"/>
          <w:i/>
          <w:snapToGrid w:val="0"/>
          <w:color w:val="000000"/>
        </w:rPr>
        <w:t xml:space="preserve">, ne </w:t>
      </w:r>
      <w:proofErr w:type="spellStart"/>
      <w:r w:rsidR="009851B4" w:rsidRPr="00F26DDD">
        <w:rPr>
          <w:rFonts w:ascii="Arial" w:hAnsi="Arial" w:cs="Arial"/>
          <w:i/>
          <w:snapToGrid w:val="0"/>
          <w:color w:val="000000"/>
        </w:rPr>
        <w:t>quis</w:t>
      </w:r>
      <w:proofErr w:type="spellEnd"/>
      <w:r w:rsidR="009851B4" w:rsidRPr="00F26DDD">
        <w:rPr>
          <w:rFonts w:ascii="Arial" w:hAnsi="Arial" w:cs="Arial"/>
          <w:i/>
          <w:snapToGrid w:val="0"/>
          <w:color w:val="000000"/>
        </w:rPr>
        <w:t xml:space="preserve"> </w:t>
      </w:r>
      <w:proofErr w:type="spellStart"/>
      <w:r w:rsidR="009851B4" w:rsidRPr="00F26DDD">
        <w:rPr>
          <w:rFonts w:ascii="Arial" w:hAnsi="Arial" w:cs="Arial"/>
          <w:i/>
          <w:snapToGrid w:val="0"/>
          <w:color w:val="000000"/>
        </w:rPr>
        <w:t>temerarius</w:t>
      </w:r>
      <w:proofErr w:type="spellEnd"/>
      <w:r w:rsidR="009851B4" w:rsidRPr="00F26DDD">
        <w:rPr>
          <w:rFonts w:ascii="Arial" w:hAnsi="Arial" w:cs="Arial"/>
          <w:i/>
          <w:snapToGrid w:val="0"/>
          <w:color w:val="000000"/>
        </w:rPr>
        <w:t xml:space="preserve"> </w:t>
      </w:r>
      <w:proofErr w:type="spellStart"/>
      <w:r w:rsidR="009851B4" w:rsidRPr="00F26DDD">
        <w:rPr>
          <w:rFonts w:ascii="Arial" w:hAnsi="Arial" w:cs="Arial"/>
          <w:i/>
          <w:snapToGrid w:val="0"/>
          <w:color w:val="000000"/>
        </w:rPr>
        <w:t>accusator</w:t>
      </w:r>
      <w:proofErr w:type="spellEnd"/>
      <w:r w:rsidR="009851B4" w:rsidRPr="00F26DDD">
        <w:rPr>
          <w:rFonts w:ascii="Arial" w:hAnsi="Arial" w:cs="Arial"/>
          <w:i/>
          <w:snapToGrid w:val="0"/>
          <w:color w:val="000000"/>
        </w:rPr>
        <w:t xml:space="preserve"> per </w:t>
      </w:r>
      <w:proofErr w:type="spellStart"/>
      <w:r w:rsidR="009851B4" w:rsidRPr="00F26DDD">
        <w:rPr>
          <w:rFonts w:ascii="Arial" w:hAnsi="Arial" w:cs="Arial"/>
          <w:i/>
          <w:snapToGrid w:val="0"/>
          <w:color w:val="000000"/>
        </w:rPr>
        <w:t>calumniam</w:t>
      </w:r>
      <w:proofErr w:type="spellEnd"/>
      <w:r w:rsidR="009851B4" w:rsidRPr="00F26DDD">
        <w:rPr>
          <w:rFonts w:ascii="Arial" w:hAnsi="Arial" w:cs="Arial"/>
          <w:i/>
          <w:snapToGrid w:val="0"/>
          <w:color w:val="000000"/>
        </w:rPr>
        <w:t xml:space="preserve"> </w:t>
      </w:r>
      <w:proofErr w:type="spellStart"/>
      <w:r w:rsidR="009851B4" w:rsidRPr="00F26DDD">
        <w:rPr>
          <w:rFonts w:ascii="Arial" w:hAnsi="Arial" w:cs="Arial"/>
          <w:i/>
          <w:snapToGrid w:val="0"/>
          <w:color w:val="000000"/>
        </w:rPr>
        <w:t>ad</w:t>
      </w:r>
      <w:proofErr w:type="spellEnd"/>
      <w:r w:rsidR="009851B4" w:rsidRPr="00F26DDD">
        <w:rPr>
          <w:rFonts w:ascii="Arial" w:hAnsi="Arial" w:cs="Arial"/>
          <w:i/>
          <w:snapToGrid w:val="0"/>
          <w:color w:val="000000"/>
        </w:rPr>
        <w:t xml:space="preserve"> </w:t>
      </w:r>
      <w:proofErr w:type="spellStart"/>
      <w:r w:rsidR="009851B4" w:rsidRPr="00F26DDD">
        <w:rPr>
          <w:rFonts w:ascii="Arial" w:hAnsi="Arial" w:cs="Arial"/>
          <w:i/>
          <w:snapToGrid w:val="0"/>
          <w:color w:val="000000"/>
        </w:rPr>
        <w:t>accusandum</w:t>
      </w:r>
      <w:proofErr w:type="spellEnd"/>
      <w:r w:rsidR="009851B4" w:rsidRPr="00F26DDD">
        <w:rPr>
          <w:rFonts w:ascii="Arial" w:hAnsi="Arial" w:cs="Arial"/>
          <w:i/>
          <w:snapToGrid w:val="0"/>
          <w:color w:val="000000"/>
        </w:rPr>
        <w:t xml:space="preserve"> </w:t>
      </w:r>
      <w:proofErr w:type="spellStart"/>
      <w:r w:rsidR="009851B4" w:rsidRPr="00F26DDD">
        <w:rPr>
          <w:rFonts w:ascii="Arial" w:hAnsi="Arial" w:cs="Arial"/>
          <w:i/>
          <w:snapToGrid w:val="0"/>
          <w:color w:val="000000"/>
        </w:rPr>
        <w:t>reum</w:t>
      </w:r>
      <w:proofErr w:type="spellEnd"/>
      <w:r w:rsidR="009851B4" w:rsidRPr="00F26DDD">
        <w:rPr>
          <w:rFonts w:ascii="Arial" w:hAnsi="Arial" w:cs="Arial"/>
          <w:i/>
          <w:snapToGrid w:val="0"/>
          <w:color w:val="000000"/>
        </w:rPr>
        <w:t xml:space="preserve"> </w:t>
      </w:r>
      <w:proofErr w:type="spellStart"/>
      <w:proofErr w:type="gramStart"/>
      <w:r w:rsidR="009851B4" w:rsidRPr="00F26DDD">
        <w:rPr>
          <w:rFonts w:ascii="Arial" w:hAnsi="Arial" w:cs="Arial"/>
          <w:i/>
          <w:snapToGrid w:val="0"/>
          <w:color w:val="000000"/>
        </w:rPr>
        <w:t>prositiret</w:t>
      </w:r>
      <w:proofErr w:type="spellEnd"/>
      <w:r w:rsidR="009851B4" w:rsidRPr="00F26DDD">
        <w:rPr>
          <w:rFonts w:ascii="Arial" w:hAnsi="Arial" w:cs="Arial"/>
          <w:i/>
          <w:snapToGrid w:val="0"/>
          <w:color w:val="000000"/>
        </w:rPr>
        <w:t xml:space="preserve"> ,</w:t>
      </w:r>
      <w:proofErr w:type="gramEnd"/>
      <w:r w:rsidR="009851B4" w:rsidRPr="00F26DDD">
        <w:rPr>
          <w:rFonts w:ascii="Arial" w:hAnsi="Arial" w:cs="Arial"/>
          <w:i/>
          <w:snapToGrid w:val="0"/>
          <w:color w:val="000000"/>
        </w:rPr>
        <w:t xml:space="preserve"> . . .'  </w:t>
      </w:r>
    </w:p>
    <w:p w:rsidR="00F26DDD" w:rsidRPr="00F26DDD" w:rsidRDefault="00F26DDD" w:rsidP="00F26DDD">
      <w:pPr>
        <w:pStyle w:val="ListParagraph"/>
        <w:spacing w:line="360" w:lineRule="auto"/>
        <w:ind w:right="720"/>
        <w:jc w:val="both"/>
        <w:rPr>
          <w:rFonts w:ascii="Arial" w:hAnsi="Arial" w:cs="Arial"/>
          <w:i/>
          <w:snapToGrid w:val="0"/>
        </w:rPr>
      </w:pPr>
    </w:p>
    <w:p w:rsidR="009851B4" w:rsidRPr="00F26DDD" w:rsidRDefault="00F26DDD" w:rsidP="00F26DDD">
      <w:pPr>
        <w:pStyle w:val="ListParagraph"/>
        <w:numPr>
          <w:ilvl w:val="0"/>
          <w:numId w:val="1"/>
        </w:numPr>
        <w:spacing w:line="480" w:lineRule="auto"/>
        <w:ind w:right="851"/>
        <w:jc w:val="both"/>
        <w:rPr>
          <w:rFonts w:ascii="Arial" w:hAnsi="Arial" w:cs="Arial"/>
          <w:snapToGrid w:val="0"/>
          <w:sz w:val="24"/>
          <w:szCs w:val="24"/>
        </w:rPr>
      </w:pPr>
      <w:r w:rsidRPr="00F26DDD">
        <w:rPr>
          <w:rFonts w:ascii="Arial" w:hAnsi="Arial" w:cs="Arial"/>
          <w:snapToGrid w:val="0"/>
          <w:sz w:val="24"/>
          <w:szCs w:val="24"/>
        </w:rPr>
        <w:t xml:space="preserve">This passage is </w:t>
      </w:r>
      <w:r w:rsidR="009851B4" w:rsidRPr="00F26DDD">
        <w:rPr>
          <w:rFonts w:ascii="Arial" w:hAnsi="Arial" w:cs="Arial"/>
          <w:snapToGrid w:val="0"/>
          <w:sz w:val="24"/>
          <w:szCs w:val="24"/>
        </w:rPr>
        <w:t xml:space="preserve">translated at 547 by Professors </w:t>
      </w:r>
      <w:proofErr w:type="spellStart"/>
      <w:r w:rsidR="009851B4" w:rsidRPr="00F26DDD">
        <w:rPr>
          <w:rFonts w:ascii="Arial" w:hAnsi="Arial" w:cs="Arial"/>
          <w:i/>
          <w:snapToGrid w:val="0"/>
          <w:sz w:val="24"/>
          <w:szCs w:val="24"/>
        </w:rPr>
        <w:t>Beinart</w:t>
      </w:r>
      <w:proofErr w:type="spellEnd"/>
      <w:r w:rsidR="009851B4" w:rsidRPr="00F26DDD">
        <w:rPr>
          <w:rFonts w:ascii="Arial" w:hAnsi="Arial" w:cs="Arial"/>
          <w:i/>
          <w:snapToGrid w:val="0"/>
          <w:sz w:val="24"/>
          <w:szCs w:val="24"/>
        </w:rPr>
        <w:t xml:space="preserve"> </w:t>
      </w:r>
      <w:r w:rsidR="009851B4" w:rsidRPr="00F26DDD">
        <w:rPr>
          <w:rFonts w:ascii="Arial" w:hAnsi="Arial" w:cs="Arial"/>
          <w:snapToGrid w:val="0"/>
          <w:sz w:val="24"/>
          <w:szCs w:val="24"/>
        </w:rPr>
        <w:t xml:space="preserve">and </w:t>
      </w:r>
      <w:r w:rsidR="009851B4" w:rsidRPr="00F26DDD">
        <w:rPr>
          <w:rFonts w:ascii="Arial" w:hAnsi="Arial" w:cs="Arial"/>
          <w:i/>
          <w:snapToGrid w:val="0"/>
          <w:sz w:val="24"/>
          <w:szCs w:val="24"/>
        </w:rPr>
        <w:t xml:space="preserve">Van </w:t>
      </w:r>
      <w:proofErr w:type="spellStart"/>
      <w:r w:rsidR="009851B4" w:rsidRPr="00F26DDD">
        <w:rPr>
          <w:rFonts w:ascii="Arial" w:hAnsi="Arial" w:cs="Arial"/>
          <w:i/>
          <w:snapToGrid w:val="0"/>
          <w:sz w:val="24"/>
          <w:szCs w:val="24"/>
        </w:rPr>
        <w:t>Warmelo</w:t>
      </w:r>
      <w:proofErr w:type="spellEnd"/>
      <w:r w:rsidR="009851B4" w:rsidRPr="00F26DDD">
        <w:rPr>
          <w:rFonts w:ascii="Arial" w:hAnsi="Arial" w:cs="Arial"/>
          <w:i/>
          <w:snapToGrid w:val="0"/>
          <w:sz w:val="24"/>
          <w:szCs w:val="24"/>
        </w:rPr>
        <w:t xml:space="preserve"> </w:t>
      </w:r>
      <w:r w:rsidR="009851B4" w:rsidRPr="00F26DDD">
        <w:rPr>
          <w:rFonts w:ascii="Arial" w:hAnsi="Arial" w:cs="Arial"/>
          <w:snapToGrid w:val="0"/>
          <w:sz w:val="24"/>
          <w:szCs w:val="24"/>
        </w:rPr>
        <w:t xml:space="preserve">as: </w:t>
      </w:r>
    </w:p>
    <w:p w:rsidR="009851B4" w:rsidRDefault="009851B4" w:rsidP="00F26DDD">
      <w:pPr>
        <w:pStyle w:val="ListParagraph"/>
        <w:spacing w:line="360" w:lineRule="auto"/>
        <w:ind w:right="720"/>
        <w:jc w:val="both"/>
        <w:rPr>
          <w:rFonts w:ascii="Arial" w:hAnsi="Arial" w:cs="Arial"/>
          <w:i/>
          <w:color w:val="000000"/>
        </w:rPr>
      </w:pPr>
      <w:r w:rsidRPr="00F26DDD">
        <w:rPr>
          <w:rFonts w:ascii="Arial" w:hAnsi="Arial" w:cs="Arial"/>
          <w:i/>
          <w:color w:val="000000"/>
        </w:rPr>
        <w:t xml:space="preserve">'Since from the fact that among the Romans the power to prosecute was available to any person whatsoever, the fear arose that some reckless accuser would </w:t>
      </w:r>
      <w:proofErr w:type="spellStart"/>
      <w:r w:rsidRPr="00F26DDD">
        <w:rPr>
          <w:rFonts w:ascii="Arial" w:hAnsi="Arial" w:cs="Arial"/>
          <w:i/>
          <w:color w:val="000000"/>
        </w:rPr>
        <w:t>vexatiously</w:t>
      </w:r>
      <w:proofErr w:type="spellEnd"/>
      <w:r w:rsidRPr="00F26DDD">
        <w:rPr>
          <w:rFonts w:ascii="Arial" w:hAnsi="Arial" w:cs="Arial"/>
          <w:i/>
          <w:color w:val="000000"/>
        </w:rPr>
        <w:t xml:space="preserve"> rush to prosecute an accused . . .' </w:t>
      </w:r>
    </w:p>
    <w:p w:rsidR="00FB2323" w:rsidRPr="00F26DDD" w:rsidRDefault="00FB2323" w:rsidP="00F26DDD">
      <w:pPr>
        <w:pStyle w:val="ListParagraph"/>
        <w:spacing w:line="360" w:lineRule="auto"/>
        <w:ind w:right="720"/>
        <w:jc w:val="both"/>
        <w:rPr>
          <w:rFonts w:ascii="Arial" w:hAnsi="Arial" w:cs="Arial"/>
          <w:i/>
          <w:color w:val="000000"/>
        </w:rPr>
      </w:pPr>
    </w:p>
    <w:p w:rsidR="00F26DDD" w:rsidRPr="009851B4" w:rsidRDefault="00F26DDD" w:rsidP="00F26DDD">
      <w:pPr>
        <w:pStyle w:val="ListParagraph"/>
        <w:ind w:left="0" w:right="851"/>
        <w:jc w:val="both"/>
        <w:rPr>
          <w:rFonts w:ascii="Verdana" w:hAnsi="Verdana"/>
          <w:color w:val="000000"/>
          <w:sz w:val="16"/>
          <w:szCs w:val="16"/>
          <w:highlight w:val="yellow"/>
        </w:rPr>
      </w:pPr>
    </w:p>
    <w:p w:rsidR="009851B4" w:rsidRPr="00337BAF" w:rsidRDefault="00F26DDD" w:rsidP="00337BAF">
      <w:pPr>
        <w:pStyle w:val="ListParagraph"/>
        <w:numPr>
          <w:ilvl w:val="0"/>
          <w:numId w:val="1"/>
        </w:numPr>
        <w:spacing w:line="480" w:lineRule="auto"/>
        <w:jc w:val="both"/>
        <w:rPr>
          <w:rFonts w:cstheme="minorHAnsi"/>
          <w:sz w:val="20"/>
          <w:szCs w:val="20"/>
        </w:rPr>
      </w:pPr>
      <w:r w:rsidRPr="00F26DDD">
        <w:rPr>
          <w:rFonts w:ascii="Arial" w:hAnsi="Arial" w:cs="Arial"/>
          <w:sz w:val="24"/>
          <w:szCs w:val="24"/>
        </w:rPr>
        <w:t xml:space="preserve">In </w:t>
      </w:r>
      <w:r w:rsidRPr="00F26DDD">
        <w:rPr>
          <w:rFonts w:ascii="Arial" w:hAnsi="Arial" w:cs="Arial"/>
          <w:b/>
          <w:i/>
          <w:sz w:val="24"/>
          <w:szCs w:val="24"/>
        </w:rPr>
        <w:t>Mandela v Amsterdam</w:t>
      </w:r>
      <w:r>
        <w:rPr>
          <w:rStyle w:val="FootnoteReference"/>
          <w:rFonts w:ascii="Arial" w:hAnsi="Arial" w:cs="Arial"/>
          <w:b/>
          <w:i/>
          <w:sz w:val="24"/>
          <w:szCs w:val="24"/>
        </w:rPr>
        <w:footnoteReference w:id="9"/>
      </w:r>
      <w:r>
        <w:rPr>
          <w:rFonts w:ascii="Arial" w:hAnsi="Arial" w:cs="Arial"/>
          <w:b/>
          <w:sz w:val="24"/>
          <w:szCs w:val="24"/>
        </w:rPr>
        <w:t xml:space="preserve"> </w:t>
      </w:r>
      <w:r w:rsidR="00337BAF">
        <w:rPr>
          <w:rFonts w:ascii="Arial" w:hAnsi="Arial" w:cs="Arial"/>
          <w:sz w:val="24"/>
          <w:szCs w:val="24"/>
        </w:rPr>
        <w:t xml:space="preserve">it was held </w:t>
      </w:r>
      <w:r w:rsidR="00337BAF" w:rsidRPr="00337BAF">
        <w:rPr>
          <w:rFonts w:ascii="Arial" w:hAnsi="Arial" w:cs="Arial"/>
          <w:sz w:val="24"/>
          <w:szCs w:val="24"/>
        </w:rPr>
        <w:t xml:space="preserve">that </w:t>
      </w:r>
      <w:r w:rsidR="00337BAF" w:rsidRPr="00337BAF">
        <w:rPr>
          <w:rFonts w:ascii="Arial" w:hAnsi="Arial"/>
          <w:snapToGrid w:val="0"/>
        </w:rPr>
        <w:t>a</w:t>
      </w:r>
      <w:r w:rsidR="009851B4" w:rsidRPr="00337BAF">
        <w:rPr>
          <w:rFonts w:ascii="Arial" w:hAnsi="Arial"/>
          <w:snapToGrid w:val="0"/>
        </w:rPr>
        <w:t xml:space="preserve">n action for malicious prosecution lies under the </w:t>
      </w:r>
      <w:proofErr w:type="spellStart"/>
      <w:r w:rsidR="009851B4" w:rsidRPr="00337BAF">
        <w:rPr>
          <w:rFonts w:ascii="Arial" w:hAnsi="Arial"/>
          <w:i/>
          <w:snapToGrid w:val="0"/>
        </w:rPr>
        <w:t>actio</w:t>
      </w:r>
      <w:proofErr w:type="spellEnd"/>
      <w:r w:rsidR="009851B4" w:rsidRPr="00337BAF">
        <w:rPr>
          <w:rFonts w:ascii="Arial" w:hAnsi="Arial"/>
          <w:snapToGrid w:val="0"/>
        </w:rPr>
        <w:t xml:space="preserve"> </w:t>
      </w:r>
      <w:proofErr w:type="spellStart"/>
      <w:r w:rsidR="009851B4" w:rsidRPr="00337BAF">
        <w:rPr>
          <w:rFonts w:ascii="Arial" w:hAnsi="Arial"/>
          <w:i/>
          <w:snapToGrid w:val="0"/>
        </w:rPr>
        <w:t>iniuriarum</w:t>
      </w:r>
      <w:proofErr w:type="spellEnd"/>
      <w:r w:rsidR="009851B4" w:rsidRPr="00337BAF">
        <w:rPr>
          <w:rFonts w:ascii="Arial" w:hAnsi="Arial"/>
          <w:snapToGrid w:val="0"/>
        </w:rPr>
        <w:t xml:space="preserve"> and the element of </w:t>
      </w:r>
      <w:r w:rsidR="009851B4" w:rsidRPr="00337BAF">
        <w:rPr>
          <w:rFonts w:ascii="Arial" w:hAnsi="Arial"/>
          <w:i/>
          <w:snapToGrid w:val="0"/>
        </w:rPr>
        <w:t>animus</w:t>
      </w:r>
      <w:r w:rsidR="009851B4" w:rsidRPr="00337BAF">
        <w:rPr>
          <w:rFonts w:ascii="Arial" w:hAnsi="Arial"/>
          <w:snapToGrid w:val="0"/>
        </w:rPr>
        <w:t xml:space="preserve"> </w:t>
      </w:r>
      <w:proofErr w:type="spellStart"/>
      <w:r w:rsidR="009851B4" w:rsidRPr="00337BAF">
        <w:rPr>
          <w:rFonts w:ascii="Arial" w:hAnsi="Arial"/>
          <w:i/>
          <w:snapToGrid w:val="0"/>
        </w:rPr>
        <w:t>iniuriandi</w:t>
      </w:r>
      <w:proofErr w:type="spellEnd"/>
      <w:r w:rsidR="009851B4" w:rsidRPr="00337BAF">
        <w:rPr>
          <w:rFonts w:ascii="Arial" w:hAnsi="Arial"/>
          <w:snapToGrid w:val="0"/>
        </w:rPr>
        <w:t xml:space="preserve"> is therefore a requirement which has to be alleged and established. The usage of the word “</w:t>
      </w:r>
      <w:r w:rsidR="009851B4" w:rsidRPr="00337BAF">
        <w:rPr>
          <w:rFonts w:ascii="Verdana" w:hAnsi="Verdana"/>
          <w:i/>
          <w:snapToGrid w:val="0"/>
          <w:sz w:val="20"/>
        </w:rPr>
        <w:t>defame</w:t>
      </w:r>
      <w:r w:rsidR="009851B4" w:rsidRPr="00337BAF">
        <w:rPr>
          <w:rFonts w:ascii="Arial" w:hAnsi="Arial"/>
          <w:snapToGrid w:val="0"/>
        </w:rPr>
        <w:t xml:space="preserve">” was wrong but its inclusion could not and does not alter the quintessential character of the appellant’s cause of action which, as adumbrated hereinbefore, was one for malicious proceedings. Such an action </w:t>
      </w:r>
      <w:r w:rsidR="009851B4" w:rsidRPr="00337BAF">
        <w:rPr>
          <w:rFonts w:ascii="Arial" w:hAnsi="Arial"/>
          <w:snapToGrid w:val="0"/>
        </w:rPr>
        <w:lastRenderedPageBreak/>
        <w:t>encompasses the infringement of a person’s personality rights which includes bodily integrity, reputation and dignity and the plaintiff’s cause of action was clearly predicated thereupon.</w:t>
      </w:r>
      <w:r w:rsidR="00337BAF">
        <w:rPr>
          <w:rStyle w:val="FootnoteReference"/>
          <w:rFonts w:ascii="Arial" w:hAnsi="Arial"/>
          <w:snapToGrid w:val="0"/>
        </w:rPr>
        <w:footnoteReference w:id="10"/>
      </w:r>
    </w:p>
    <w:p w:rsidR="00337BAF" w:rsidRPr="00337BAF" w:rsidRDefault="00337BAF" w:rsidP="00337BAF">
      <w:pPr>
        <w:pStyle w:val="ListParagraph"/>
        <w:spacing w:line="480" w:lineRule="auto"/>
        <w:ind w:left="0"/>
        <w:jc w:val="both"/>
        <w:rPr>
          <w:rFonts w:cstheme="minorHAnsi"/>
          <w:sz w:val="20"/>
          <w:szCs w:val="20"/>
        </w:rPr>
      </w:pPr>
    </w:p>
    <w:p w:rsidR="00337BAF" w:rsidRPr="00337BAF" w:rsidRDefault="00337BAF" w:rsidP="00E56681">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The writers of in a publication of the </w:t>
      </w:r>
      <w:r w:rsidRPr="00F4543E">
        <w:rPr>
          <w:rFonts w:ascii="Arial" w:hAnsi="Arial" w:cs="Arial"/>
          <w:i/>
          <w:sz w:val="24"/>
          <w:szCs w:val="24"/>
        </w:rPr>
        <w:t>De Jure</w:t>
      </w:r>
      <w:r w:rsidR="00F4543E">
        <w:rPr>
          <w:rStyle w:val="FootnoteReference"/>
          <w:rFonts w:ascii="Arial" w:hAnsi="Arial" w:cs="Arial"/>
          <w:sz w:val="24"/>
          <w:szCs w:val="24"/>
        </w:rPr>
        <w:footnoteReference w:id="11"/>
      </w:r>
      <w:r>
        <w:rPr>
          <w:rFonts w:ascii="Arial" w:hAnsi="Arial" w:cs="Arial"/>
          <w:sz w:val="24"/>
          <w:szCs w:val="24"/>
        </w:rPr>
        <w:t xml:space="preserve"> analysed the </w:t>
      </w:r>
      <w:r w:rsidR="00F4543E">
        <w:rPr>
          <w:rFonts w:ascii="Arial" w:hAnsi="Arial" w:cs="Arial"/>
          <w:sz w:val="24"/>
          <w:szCs w:val="24"/>
        </w:rPr>
        <w:t>relevant legal principles and case authorit</w:t>
      </w:r>
      <w:r w:rsidR="00874833">
        <w:rPr>
          <w:rFonts w:ascii="Arial" w:hAnsi="Arial" w:cs="Arial"/>
          <w:sz w:val="24"/>
          <w:szCs w:val="24"/>
        </w:rPr>
        <w:t>i</w:t>
      </w:r>
      <w:r w:rsidR="00F4543E">
        <w:rPr>
          <w:rFonts w:ascii="Arial" w:hAnsi="Arial" w:cs="Arial"/>
          <w:sz w:val="24"/>
          <w:szCs w:val="24"/>
        </w:rPr>
        <w:t>es as follows</w:t>
      </w:r>
      <w:r>
        <w:rPr>
          <w:rFonts w:ascii="Arial" w:hAnsi="Arial" w:cs="Arial"/>
          <w:sz w:val="24"/>
          <w:szCs w:val="24"/>
        </w:rPr>
        <w:t>:</w:t>
      </w:r>
    </w:p>
    <w:p w:rsidR="00337BAF" w:rsidRPr="00337BAF" w:rsidRDefault="00337BAF" w:rsidP="00337BAF">
      <w:pPr>
        <w:pStyle w:val="ListParagraph"/>
        <w:rPr>
          <w:rFonts w:ascii="Arial" w:hAnsi="Arial" w:cs="Arial"/>
          <w:sz w:val="24"/>
          <w:szCs w:val="24"/>
        </w:rPr>
      </w:pPr>
    </w:p>
    <w:p w:rsidR="00E56681" w:rsidRPr="00874833" w:rsidRDefault="002717F4" w:rsidP="002717F4">
      <w:pPr>
        <w:pStyle w:val="ListParagraph"/>
        <w:spacing w:line="360" w:lineRule="auto"/>
        <w:ind w:right="720"/>
        <w:jc w:val="both"/>
        <w:rPr>
          <w:rFonts w:ascii="Arial" w:hAnsi="Arial" w:cs="Arial"/>
          <w:b/>
          <w:i/>
        </w:rPr>
      </w:pPr>
      <w:r w:rsidRPr="00874833">
        <w:rPr>
          <w:rFonts w:ascii="Arial" w:hAnsi="Arial" w:cs="Arial"/>
          <w:i/>
        </w:rPr>
        <w:t>‘</w:t>
      </w:r>
      <w:r w:rsidR="00E56681" w:rsidRPr="00874833">
        <w:rPr>
          <w:rFonts w:ascii="Arial" w:hAnsi="Arial" w:cs="Arial"/>
          <w:i/>
        </w:rPr>
        <w:t xml:space="preserve">A person’s </w:t>
      </w:r>
      <w:proofErr w:type="spellStart"/>
      <w:r w:rsidR="00E56681" w:rsidRPr="00874833">
        <w:rPr>
          <w:rFonts w:ascii="Arial" w:hAnsi="Arial" w:cs="Arial"/>
          <w:i/>
          <w:iCs/>
        </w:rPr>
        <w:t>fama</w:t>
      </w:r>
      <w:proofErr w:type="spellEnd"/>
      <w:r w:rsidR="00E56681" w:rsidRPr="00874833">
        <w:rPr>
          <w:rFonts w:ascii="Arial" w:hAnsi="Arial" w:cs="Arial"/>
          <w:i/>
          <w:iCs/>
        </w:rPr>
        <w:t xml:space="preserve"> </w:t>
      </w:r>
      <w:r w:rsidR="00E56681" w:rsidRPr="00874833">
        <w:rPr>
          <w:rFonts w:ascii="Arial" w:hAnsi="Arial" w:cs="Arial"/>
          <w:i/>
        </w:rPr>
        <w:t xml:space="preserve">or good name is the respect and status he enjoys in society (see </w:t>
      </w:r>
      <w:proofErr w:type="spellStart"/>
      <w:r w:rsidR="00E56681" w:rsidRPr="00874833">
        <w:rPr>
          <w:rFonts w:ascii="Arial" w:hAnsi="Arial" w:cs="Arial"/>
          <w:i/>
        </w:rPr>
        <w:t>Neethling</w:t>
      </w:r>
      <w:proofErr w:type="spellEnd"/>
      <w:r w:rsidR="00E56681" w:rsidRPr="00874833">
        <w:rPr>
          <w:rFonts w:ascii="Arial" w:hAnsi="Arial" w:cs="Arial"/>
          <w:i/>
        </w:rPr>
        <w:t xml:space="preserve">, Potgieter &amp; Visser </w:t>
      </w:r>
      <w:r w:rsidR="00E56681" w:rsidRPr="00874833">
        <w:rPr>
          <w:rFonts w:ascii="Arial" w:hAnsi="Arial" w:cs="Arial"/>
          <w:i/>
          <w:iCs/>
        </w:rPr>
        <w:t xml:space="preserve">Law of Personality </w:t>
      </w:r>
      <w:r w:rsidR="00E56681" w:rsidRPr="00874833">
        <w:rPr>
          <w:rFonts w:ascii="Arial" w:hAnsi="Arial" w:cs="Arial"/>
          <w:i/>
        </w:rPr>
        <w:t xml:space="preserve">(2005) 129). A person’s right to his good name or </w:t>
      </w:r>
      <w:proofErr w:type="spellStart"/>
      <w:r w:rsidR="00E56681" w:rsidRPr="00874833">
        <w:rPr>
          <w:rFonts w:ascii="Arial" w:hAnsi="Arial" w:cs="Arial"/>
          <w:i/>
          <w:iCs/>
        </w:rPr>
        <w:t>fama</w:t>
      </w:r>
      <w:proofErr w:type="spellEnd"/>
      <w:r w:rsidR="00E56681" w:rsidRPr="00874833">
        <w:rPr>
          <w:rFonts w:ascii="Arial" w:hAnsi="Arial" w:cs="Arial"/>
          <w:i/>
          <w:iCs/>
        </w:rPr>
        <w:t xml:space="preserve"> </w:t>
      </w:r>
      <w:r w:rsidR="00E56681" w:rsidRPr="00874833">
        <w:rPr>
          <w:rFonts w:ascii="Arial" w:hAnsi="Arial" w:cs="Arial"/>
          <w:i/>
        </w:rPr>
        <w:t xml:space="preserve">is recognised and protected as an independent personality right (see </w:t>
      </w:r>
      <w:proofErr w:type="spellStart"/>
      <w:r w:rsidR="00E56681" w:rsidRPr="00874833">
        <w:rPr>
          <w:rFonts w:ascii="Arial" w:hAnsi="Arial" w:cs="Arial"/>
          <w:i/>
        </w:rPr>
        <w:t>Neethling</w:t>
      </w:r>
      <w:proofErr w:type="spellEnd"/>
      <w:r w:rsidR="00E56681" w:rsidRPr="00874833">
        <w:rPr>
          <w:rFonts w:ascii="Arial" w:hAnsi="Arial" w:cs="Arial"/>
          <w:i/>
        </w:rPr>
        <w:t xml:space="preserve"> &amp; Potgieter </w:t>
      </w:r>
      <w:r w:rsidR="00E56681" w:rsidRPr="00874833">
        <w:rPr>
          <w:rFonts w:ascii="Arial" w:hAnsi="Arial" w:cs="Arial"/>
          <w:i/>
          <w:iCs/>
        </w:rPr>
        <w:t xml:space="preserve">Law of </w:t>
      </w:r>
      <w:proofErr w:type="spellStart"/>
      <w:r w:rsidR="00E56681" w:rsidRPr="00874833">
        <w:rPr>
          <w:rFonts w:ascii="Arial" w:hAnsi="Arial" w:cs="Arial"/>
          <w:i/>
          <w:iCs/>
        </w:rPr>
        <w:t>Delict</w:t>
      </w:r>
      <w:proofErr w:type="spellEnd"/>
      <w:r w:rsidR="00E56681" w:rsidRPr="00874833">
        <w:rPr>
          <w:rFonts w:ascii="Arial" w:hAnsi="Arial" w:cs="Arial"/>
          <w:i/>
        </w:rPr>
        <w:t xml:space="preserve"> (2015) 351). </w:t>
      </w:r>
    </w:p>
    <w:p w:rsidR="00E56681" w:rsidRPr="00874833" w:rsidRDefault="00E56681" w:rsidP="002717F4">
      <w:pPr>
        <w:pStyle w:val="ListParagraph"/>
        <w:spacing w:line="360" w:lineRule="auto"/>
        <w:ind w:right="720"/>
        <w:jc w:val="both"/>
        <w:rPr>
          <w:rFonts w:ascii="Arial" w:hAnsi="Arial" w:cs="Arial"/>
          <w:b/>
          <w:i/>
        </w:rPr>
      </w:pPr>
    </w:p>
    <w:p w:rsidR="00E56681" w:rsidRPr="00874833" w:rsidRDefault="00E56681" w:rsidP="002717F4">
      <w:pPr>
        <w:pStyle w:val="ListParagraph"/>
        <w:spacing w:line="360" w:lineRule="auto"/>
        <w:ind w:right="720"/>
        <w:jc w:val="both"/>
        <w:rPr>
          <w:rFonts w:ascii="Arial" w:hAnsi="Arial" w:cs="Arial"/>
          <w:b/>
          <w:i/>
        </w:rPr>
      </w:pPr>
      <w:r w:rsidRPr="00874833">
        <w:rPr>
          <w:rFonts w:ascii="Arial" w:hAnsi="Arial" w:cs="Arial"/>
          <w:i/>
        </w:rPr>
        <w:t xml:space="preserve">It is trite law that defamation is the wrongful, intentional publication of words or behaviour concerning another person which has the effect of injuring his or her status, good name or reputation (see </w:t>
      </w:r>
      <w:proofErr w:type="spellStart"/>
      <w:r w:rsidRPr="00874833">
        <w:rPr>
          <w:rFonts w:ascii="Arial" w:hAnsi="Arial" w:cs="Arial"/>
          <w:i/>
        </w:rPr>
        <w:t>Neethling</w:t>
      </w:r>
      <w:proofErr w:type="spellEnd"/>
      <w:r w:rsidRPr="00874833">
        <w:rPr>
          <w:rFonts w:ascii="Arial" w:hAnsi="Arial" w:cs="Arial"/>
          <w:i/>
        </w:rPr>
        <w:t xml:space="preserve"> &amp; Potgieter 352). Although some</w:t>
      </w:r>
      <w:r w:rsidR="00337BAF" w:rsidRPr="00874833">
        <w:rPr>
          <w:rFonts w:ascii="Arial" w:hAnsi="Arial" w:cs="Arial"/>
          <w:i/>
        </w:rPr>
        <w:t xml:space="preserve"> </w:t>
      </w:r>
      <w:r w:rsidRPr="00874833">
        <w:rPr>
          <w:rFonts w:ascii="Arial" w:hAnsi="Arial" w:cs="Arial"/>
          <w:i/>
        </w:rPr>
        <w:t>individuals are more easily insulted or offended than others, it is not the</w:t>
      </w:r>
      <w:r w:rsidR="00337BAF" w:rsidRPr="00874833">
        <w:rPr>
          <w:rFonts w:ascii="Arial" w:hAnsi="Arial" w:cs="Arial"/>
          <w:i/>
        </w:rPr>
        <w:t xml:space="preserve"> </w:t>
      </w:r>
      <w:r w:rsidRPr="00874833">
        <w:rPr>
          <w:rFonts w:ascii="Arial" w:hAnsi="Arial" w:cs="Arial"/>
          <w:i/>
        </w:rPr>
        <w:t>subjective feeling of being injured that entitles a person to a claim based</w:t>
      </w:r>
      <w:r w:rsidR="00337BAF" w:rsidRPr="00874833">
        <w:rPr>
          <w:rFonts w:ascii="Arial" w:hAnsi="Arial" w:cs="Arial"/>
          <w:i/>
        </w:rPr>
        <w:t xml:space="preserve"> </w:t>
      </w:r>
      <w:r w:rsidRPr="00874833">
        <w:rPr>
          <w:rFonts w:ascii="Arial" w:hAnsi="Arial" w:cs="Arial"/>
          <w:i/>
        </w:rPr>
        <w:t>on defamation</w:t>
      </w:r>
      <w:r w:rsidR="002717F4" w:rsidRPr="00874833">
        <w:rPr>
          <w:rFonts w:ascii="Arial" w:hAnsi="Arial" w:cs="Arial"/>
          <w:i/>
        </w:rPr>
        <w:t>…</w:t>
      </w:r>
      <w:r w:rsidRPr="00874833">
        <w:rPr>
          <w:rFonts w:ascii="Arial" w:hAnsi="Arial" w:cs="Arial"/>
          <w:i/>
        </w:rPr>
        <w:t>The question of wheth</w:t>
      </w:r>
      <w:r w:rsidR="00337BAF" w:rsidRPr="00874833">
        <w:rPr>
          <w:rFonts w:ascii="Arial" w:hAnsi="Arial" w:cs="Arial"/>
          <w:i/>
        </w:rPr>
        <w:t xml:space="preserve">er the reputation of the person </w:t>
      </w:r>
      <w:r w:rsidRPr="00874833">
        <w:rPr>
          <w:rFonts w:ascii="Arial" w:hAnsi="Arial" w:cs="Arial"/>
          <w:i/>
        </w:rPr>
        <w:t>concerned has been infringed is a factu</w:t>
      </w:r>
      <w:r w:rsidR="00337BAF" w:rsidRPr="00874833">
        <w:rPr>
          <w:rFonts w:ascii="Arial" w:hAnsi="Arial" w:cs="Arial"/>
          <w:i/>
        </w:rPr>
        <w:t xml:space="preserve">al one, based on whether the </w:t>
      </w:r>
      <w:r w:rsidRPr="00874833">
        <w:rPr>
          <w:rFonts w:ascii="Arial" w:hAnsi="Arial" w:cs="Arial"/>
          <w:i/>
        </w:rPr>
        <w:t>reasonable person sees it as such (</w:t>
      </w:r>
      <w:proofErr w:type="spellStart"/>
      <w:r w:rsidRPr="00874833">
        <w:rPr>
          <w:rFonts w:ascii="Arial" w:hAnsi="Arial" w:cs="Arial"/>
          <w:i/>
        </w:rPr>
        <w:t>Neethling</w:t>
      </w:r>
      <w:proofErr w:type="spellEnd"/>
      <w:r w:rsidRPr="00874833">
        <w:rPr>
          <w:rFonts w:ascii="Arial" w:hAnsi="Arial" w:cs="Arial"/>
          <w:i/>
        </w:rPr>
        <w:t xml:space="preserve"> &amp; Potgieter 354).</w:t>
      </w:r>
    </w:p>
    <w:p w:rsidR="00E56681" w:rsidRPr="00874833" w:rsidRDefault="00E56681" w:rsidP="002717F4">
      <w:pPr>
        <w:autoSpaceDE w:val="0"/>
        <w:autoSpaceDN w:val="0"/>
        <w:adjustRightInd w:val="0"/>
        <w:spacing w:after="0" w:line="360" w:lineRule="auto"/>
        <w:ind w:left="720" w:right="720"/>
        <w:rPr>
          <w:rFonts w:ascii="Arial" w:hAnsi="Arial" w:cs="Arial"/>
          <w:i/>
        </w:rPr>
      </w:pPr>
      <w:r w:rsidRPr="00874833">
        <w:rPr>
          <w:rFonts w:ascii="Arial" w:hAnsi="Arial" w:cs="Arial"/>
          <w:i/>
        </w:rPr>
        <w:t>The issue of factual infringement o</w:t>
      </w:r>
      <w:r w:rsidR="00337BAF" w:rsidRPr="00874833">
        <w:rPr>
          <w:rFonts w:ascii="Arial" w:hAnsi="Arial" w:cs="Arial"/>
          <w:i/>
        </w:rPr>
        <w:t xml:space="preserve">f the reputation of a person is </w:t>
      </w:r>
      <w:r w:rsidRPr="00874833">
        <w:rPr>
          <w:rFonts w:ascii="Arial" w:hAnsi="Arial" w:cs="Arial"/>
          <w:i/>
        </w:rPr>
        <w:t xml:space="preserve">particularly evident from the recent decision in </w:t>
      </w:r>
      <w:r w:rsidRPr="00874833">
        <w:rPr>
          <w:rFonts w:ascii="Arial" w:hAnsi="Arial" w:cs="Arial"/>
          <w:i/>
          <w:iCs/>
        </w:rPr>
        <w:t xml:space="preserve">Cecil </w:t>
      </w:r>
      <w:proofErr w:type="spellStart"/>
      <w:r w:rsidRPr="00874833">
        <w:rPr>
          <w:rFonts w:ascii="Arial" w:hAnsi="Arial" w:cs="Arial"/>
          <w:i/>
          <w:iCs/>
        </w:rPr>
        <w:t>Sher</w:t>
      </w:r>
      <w:proofErr w:type="spellEnd"/>
      <w:r w:rsidRPr="00874833">
        <w:rPr>
          <w:rFonts w:ascii="Arial" w:hAnsi="Arial" w:cs="Arial"/>
          <w:i/>
          <w:iCs/>
        </w:rPr>
        <w:t xml:space="preserve"> and Another v</w:t>
      </w:r>
      <w:r w:rsidR="00337BAF" w:rsidRPr="00874833">
        <w:rPr>
          <w:rFonts w:ascii="Arial" w:hAnsi="Arial" w:cs="Arial"/>
          <w:i/>
        </w:rPr>
        <w:t xml:space="preserve"> </w:t>
      </w:r>
      <w:proofErr w:type="spellStart"/>
      <w:r w:rsidRPr="00874833">
        <w:rPr>
          <w:rFonts w:ascii="Arial" w:hAnsi="Arial" w:cs="Arial"/>
          <w:i/>
          <w:iCs/>
        </w:rPr>
        <w:t>Vermaak</w:t>
      </w:r>
      <w:proofErr w:type="spellEnd"/>
      <w:r w:rsidRPr="00874833">
        <w:rPr>
          <w:rFonts w:ascii="Arial" w:hAnsi="Arial" w:cs="Arial"/>
          <w:i/>
          <w:iCs/>
        </w:rPr>
        <w:t xml:space="preserve"> </w:t>
      </w:r>
      <w:r w:rsidRPr="00874833">
        <w:rPr>
          <w:rFonts w:ascii="Arial" w:hAnsi="Arial" w:cs="Arial"/>
          <w:i/>
        </w:rPr>
        <w:t>((AR 197/13) [2014] ZAKZPHC 8 (25 February 2014</w:t>
      </w:r>
      <w:r w:rsidR="00337BAF" w:rsidRPr="00874833">
        <w:rPr>
          <w:rFonts w:ascii="Arial" w:hAnsi="Arial" w:cs="Arial"/>
          <w:i/>
        </w:rPr>
        <w:t xml:space="preserve">) </w:t>
      </w:r>
      <w:r w:rsidRPr="00874833">
        <w:rPr>
          <w:rFonts w:ascii="Arial" w:hAnsi="Arial" w:cs="Arial"/>
          <w:i/>
        </w:rPr>
        <w:t xml:space="preserve">concern themselves with social phenomena or group dynamics. </w:t>
      </w:r>
    </w:p>
    <w:p w:rsidR="00E56681" w:rsidRPr="00874833" w:rsidRDefault="00E56681" w:rsidP="002717F4">
      <w:pPr>
        <w:autoSpaceDE w:val="0"/>
        <w:autoSpaceDN w:val="0"/>
        <w:adjustRightInd w:val="0"/>
        <w:spacing w:after="0" w:line="360" w:lineRule="auto"/>
        <w:ind w:left="720" w:right="720"/>
        <w:rPr>
          <w:rFonts w:ascii="Arial" w:hAnsi="Arial" w:cs="Arial"/>
          <w:b/>
          <w:bCs/>
          <w:i/>
        </w:rPr>
      </w:pPr>
    </w:p>
    <w:p w:rsidR="002717F4" w:rsidRPr="00874833" w:rsidRDefault="00F34049" w:rsidP="002717F4">
      <w:pPr>
        <w:autoSpaceDE w:val="0"/>
        <w:autoSpaceDN w:val="0"/>
        <w:adjustRightInd w:val="0"/>
        <w:spacing w:after="0" w:line="360" w:lineRule="auto"/>
        <w:ind w:left="720" w:right="720"/>
        <w:rPr>
          <w:rFonts w:ascii="Arial" w:hAnsi="Arial" w:cs="Arial"/>
          <w:i/>
        </w:rPr>
      </w:pPr>
      <w:r w:rsidRPr="00874833">
        <w:rPr>
          <w:rFonts w:ascii="Arial" w:hAnsi="Arial" w:cs="Arial"/>
          <w:i/>
        </w:rPr>
        <w:t xml:space="preserve">We need </w:t>
      </w:r>
      <w:r w:rsidR="00E56681" w:rsidRPr="00874833">
        <w:rPr>
          <w:rFonts w:ascii="Arial" w:hAnsi="Arial" w:cs="Arial"/>
          <w:i/>
        </w:rPr>
        <w:t xml:space="preserve">to remind ourselves that </w:t>
      </w:r>
      <w:proofErr w:type="spellStart"/>
      <w:r w:rsidR="00E56681" w:rsidRPr="00874833">
        <w:rPr>
          <w:rFonts w:ascii="Arial" w:hAnsi="Arial" w:cs="Arial"/>
          <w:i/>
        </w:rPr>
        <w:t>Vermaak</w:t>
      </w:r>
      <w:proofErr w:type="spellEnd"/>
      <w:r w:rsidR="00E56681" w:rsidRPr="00874833">
        <w:rPr>
          <w:rFonts w:ascii="Arial" w:hAnsi="Arial" w:cs="Arial"/>
          <w:i/>
        </w:rPr>
        <w:t xml:space="preserve"> had to p</w:t>
      </w:r>
      <w:r w:rsidR="002717F4" w:rsidRPr="00874833">
        <w:rPr>
          <w:rFonts w:ascii="Arial" w:hAnsi="Arial" w:cs="Arial"/>
          <w:i/>
        </w:rPr>
        <w:t xml:space="preserve">rove that the poison-pen letter </w:t>
      </w:r>
      <w:r w:rsidR="00E56681" w:rsidRPr="00874833">
        <w:rPr>
          <w:rFonts w:ascii="Arial" w:hAnsi="Arial" w:cs="Arial"/>
          <w:i/>
        </w:rPr>
        <w:t xml:space="preserve">from </w:t>
      </w:r>
      <w:proofErr w:type="spellStart"/>
      <w:r w:rsidR="00E56681" w:rsidRPr="00874833">
        <w:rPr>
          <w:rFonts w:ascii="Arial" w:hAnsi="Arial" w:cs="Arial"/>
          <w:i/>
        </w:rPr>
        <w:t>Sher</w:t>
      </w:r>
      <w:proofErr w:type="spellEnd"/>
      <w:r w:rsidR="00E56681" w:rsidRPr="00874833">
        <w:rPr>
          <w:rFonts w:ascii="Arial" w:hAnsi="Arial" w:cs="Arial"/>
          <w:i/>
        </w:rPr>
        <w:t xml:space="preserve">, and Spencer’s distribution </w:t>
      </w:r>
      <w:r w:rsidR="00F4543E" w:rsidRPr="00874833">
        <w:rPr>
          <w:rFonts w:ascii="Arial" w:hAnsi="Arial" w:cs="Arial"/>
          <w:i/>
        </w:rPr>
        <w:t xml:space="preserve">thereof, constituted defamation </w:t>
      </w:r>
      <w:r w:rsidR="00E56681" w:rsidRPr="00874833">
        <w:rPr>
          <w:rFonts w:ascii="Arial" w:hAnsi="Arial" w:cs="Arial"/>
          <w:i/>
        </w:rPr>
        <w:t>because it constituted the wrongful and i</w:t>
      </w:r>
      <w:r w:rsidR="00F4543E" w:rsidRPr="00874833">
        <w:rPr>
          <w:rFonts w:ascii="Arial" w:hAnsi="Arial" w:cs="Arial"/>
          <w:i/>
        </w:rPr>
        <w:t xml:space="preserve">ntentional publication of words </w:t>
      </w:r>
      <w:r w:rsidR="00E56681" w:rsidRPr="00874833">
        <w:rPr>
          <w:rFonts w:ascii="Arial" w:hAnsi="Arial" w:cs="Arial"/>
          <w:i/>
        </w:rPr>
        <w:t>that had the effect of injuring his statu</w:t>
      </w:r>
      <w:r w:rsidR="00F4543E" w:rsidRPr="00874833">
        <w:rPr>
          <w:rFonts w:ascii="Arial" w:hAnsi="Arial" w:cs="Arial"/>
          <w:i/>
        </w:rPr>
        <w:t xml:space="preserve">s, good name or reputation (see </w:t>
      </w:r>
      <w:proofErr w:type="spellStart"/>
      <w:r w:rsidR="00E56681" w:rsidRPr="00874833">
        <w:rPr>
          <w:rFonts w:ascii="Arial" w:hAnsi="Arial" w:cs="Arial"/>
          <w:i/>
        </w:rPr>
        <w:t>Neethling</w:t>
      </w:r>
      <w:proofErr w:type="spellEnd"/>
      <w:r w:rsidR="00E56681" w:rsidRPr="00874833">
        <w:rPr>
          <w:rFonts w:ascii="Arial" w:hAnsi="Arial" w:cs="Arial"/>
          <w:i/>
        </w:rPr>
        <w:t xml:space="preserve"> &amp; </w:t>
      </w:r>
      <w:r w:rsidR="00E56681" w:rsidRPr="00874833">
        <w:rPr>
          <w:rFonts w:ascii="Arial" w:hAnsi="Arial" w:cs="Arial"/>
          <w:i/>
        </w:rPr>
        <w:lastRenderedPageBreak/>
        <w:t>Potgieter 352). Publi</w:t>
      </w:r>
      <w:r w:rsidR="00F4543E" w:rsidRPr="00874833">
        <w:rPr>
          <w:rFonts w:ascii="Arial" w:hAnsi="Arial" w:cs="Arial"/>
          <w:i/>
        </w:rPr>
        <w:t xml:space="preserve">cation is the disclosure of the </w:t>
      </w:r>
      <w:r w:rsidR="00E56681" w:rsidRPr="00874833">
        <w:rPr>
          <w:rFonts w:ascii="Arial" w:hAnsi="Arial" w:cs="Arial"/>
          <w:i/>
        </w:rPr>
        <w:t>defamatory statement or behaviour to a third person (se</w:t>
      </w:r>
      <w:r w:rsidR="00F4543E" w:rsidRPr="00874833">
        <w:rPr>
          <w:rFonts w:ascii="Arial" w:hAnsi="Arial" w:cs="Arial"/>
          <w:i/>
        </w:rPr>
        <w:t xml:space="preserve">e </w:t>
      </w:r>
      <w:proofErr w:type="spellStart"/>
      <w:r w:rsidR="00F4543E" w:rsidRPr="00874833">
        <w:rPr>
          <w:rFonts w:ascii="Arial" w:hAnsi="Arial" w:cs="Arial"/>
          <w:i/>
        </w:rPr>
        <w:t>Neethling</w:t>
      </w:r>
      <w:proofErr w:type="spellEnd"/>
      <w:r w:rsidR="00F4543E" w:rsidRPr="00874833">
        <w:rPr>
          <w:rFonts w:ascii="Arial" w:hAnsi="Arial" w:cs="Arial"/>
          <w:i/>
        </w:rPr>
        <w:t xml:space="preserve"> &amp; </w:t>
      </w:r>
      <w:r w:rsidR="00E56681" w:rsidRPr="00874833">
        <w:rPr>
          <w:rFonts w:ascii="Arial" w:hAnsi="Arial" w:cs="Arial"/>
          <w:i/>
        </w:rPr>
        <w:t xml:space="preserve">Potgieter 353; and </w:t>
      </w:r>
      <w:proofErr w:type="spellStart"/>
      <w:r w:rsidR="00E56681" w:rsidRPr="00874833">
        <w:rPr>
          <w:rFonts w:ascii="Arial" w:hAnsi="Arial" w:cs="Arial"/>
          <w:i/>
          <w:iCs/>
        </w:rPr>
        <w:t>Lubbe</w:t>
      </w:r>
      <w:proofErr w:type="spellEnd"/>
      <w:r w:rsidR="00E56681" w:rsidRPr="00874833">
        <w:rPr>
          <w:rFonts w:ascii="Arial" w:hAnsi="Arial" w:cs="Arial"/>
          <w:i/>
          <w:iCs/>
        </w:rPr>
        <w:t xml:space="preserve"> v </w:t>
      </w:r>
      <w:proofErr w:type="spellStart"/>
      <w:r w:rsidR="00E56681" w:rsidRPr="00874833">
        <w:rPr>
          <w:rFonts w:ascii="Arial" w:hAnsi="Arial" w:cs="Arial"/>
          <w:i/>
          <w:iCs/>
        </w:rPr>
        <w:t>Robinsky</w:t>
      </w:r>
      <w:proofErr w:type="spellEnd"/>
      <w:r w:rsidR="00E56681" w:rsidRPr="00874833">
        <w:rPr>
          <w:rFonts w:ascii="Arial" w:hAnsi="Arial" w:cs="Arial"/>
          <w:i/>
          <w:iCs/>
        </w:rPr>
        <w:t xml:space="preserve"> </w:t>
      </w:r>
      <w:r w:rsidR="002717F4" w:rsidRPr="00874833">
        <w:rPr>
          <w:rFonts w:ascii="Arial" w:hAnsi="Arial" w:cs="Arial"/>
          <w:i/>
        </w:rPr>
        <w:t xml:space="preserve">1923 CPD 110 111). In this </w:t>
      </w:r>
      <w:r w:rsidR="00E56681" w:rsidRPr="00874833">
        <w:rPr>
          <w:rFonts w:ascii="Arial" w:hAnsi="Arial" w:cs="Arial"/>
          <w:i/>
        </w:rPr>
        <w:t>particular case, publication was c</w:t>
      </w:r>
      <w:r w:rsidR="00F4543E" w:rsidRPr="00874833">
        <w:rPr>
          <w:rFonts w:ascii="Arial" w:hAnsi="Arial" w:cs="Arial"/>
          <w:i/>
        </w:rPr>
        <w:t xml:space="preserve">learly not an issue. Apart from </w:t>
      </w:r>
      <w:r w:rsidR="00E56681" w:rsidRPr="00874833">
        <w:rPr>
          <w:rFonts w:ascii="Arial" w:hAnsi="Arial" w:cs="Arial"/>
          <w:i/>
        </w:rPr>
        <w:t>publication, the court needed to con</w:t>
      </w:r>
      <w:r w:rsidR="00F4543E" w:rsidRPr="00874833">
        <w:rPr>
          <w:rFonts w:ascii="Arial" w:hAnsi="Arial" w:cs="Arial"/>
          <w:i/>
        </w:rPr>
        <w:t xml:space="preserve">sider the wrongful, intentional </w:t>
      </w:r>
      <w:r w:rsidR="00E56681" w:rsidRPr="00874833">
        <w:rPr>
          <w:rFonts w:ascii="Arial" w:hAnsi="Arial" w:cs="Arial"/>
          <w:i/>
        </w:rPr>
        <w:t xml:space="preserve">publication of words or behaviour concerning </w:t>
      </w:r>
      <w:r w:rsidR="00F4543E" w:rsidRPr="00874833">
        <w:rPr>
          <w:rFonts w:ascii="Arial" w:hAnsi="Arial" w:cs="Arial"/>
          <w:i/>
        </w:rPr>
        <w:t xml:space="preserve">another person which has </w:t>
      </w:r>
      <w:r w:rsidR="00E56681" w:rsidRPr="00874833">
        <w:rPr>
          <w:rFonts w:ascii="Arial" w:hAnsi="Arial" w:cs="Arial"/>
          <w:i/>
        </w:rPr>
        <w:t>the effect of injuring that person’s statu</w:t>
      </w:r>
      <w:r w:rsidR="00F4543E" w:rsidRPr="00874833">
        <w:rPr>
          <w:rFonts w:ascii="Arial" w:hAnsi="Arial" w:cs="Arial"/>
          <w:i/>
        </w:rPr>
        <w:t xml:space="preserve">s, good name or reputation (see </w:t>
      </w:r>
      <w:proofErr w:type="spellStart"/>
      <w:r w:rsidR="00E56681" w:rsidRPr="00874833">
        <w:rPr>
          <w:rFonts w:ascii="Arial" w:hAnsi="Arial" w:cs="Arial"/>
          <w:i/>
        </w:rPr>
        <w:t>Neethling</w:t>
      </w:r>
      <w:proofErr w:type="spellEnd"/>
      <w:r w:rsidR="00E56681" w:rsidRPr="00874833">
        <w:rPr>
          <w:rFonts w:ascii="Arial" w:hAnsi="Arial" w:cs="Arial"/>
          <w:i/>
        </w:rPr>
        <w:t xml:space="preserve"> &amp; Potgieter 352). </w:t>
      </w:r>
      <w:proofErr w:type="spellStart"/>
      <w:r w:rsidR="00E56681" w:rsidRPr="00874833">
        <w:rPr>
          <w:rFonts w:ascii="Arial" w:hAnsi="Arial" w:cs="Arial"/>
          <w:i/>
        </w:rPr>
        <w:t>Vermaak</w:t>
      </w:r>
      <w:proofErr w:type="spellEnd"/>
      <w:r w:rsidR="00E56681" w:rsidRPr="00874833">
        <w:rPr>
          <w:rFonts w:ascii="Arial" w:hAnsi="Arial" w:cs="Arial"/>
          <w:i/>
        </w:rPr>
        <w:t xml:space="preserve"> had to prove that the words were</w:t>
      </w:r>
      <w:r w:rsidR="00F4543E" w:rsidRPr="00874833">
        <w:rPr>
          <w:rFonts w:ascii="Arial" w:hAnsi="Arial" w:cs="Arial"/>
          <w:i/>
        </w:rPr>
        <w:t xml:space="preserve"> </w:t>
      </w:r>
      <w:r w:rsidR="00E56681" w:rsidRPr="00874833">
        <w:rPr>
          <w:rFonts w:ascii="Arial" w:hAnsi="Arial" w:cs="Arial"/>
          <w:i/>
        </w:rPr>
        <w:t>wrongful by showing that in the eyes of the ‘reasonable person with</w:t>
      </w:r>
      <w:r w:rsidR="002717F4" w:rsidRPr="00874833">
        <w:rPr>
          <w:rFonts w:ascii="Arial" w:hAnsi="Arial" w:cs="Arial"/>
          <w:i/>
        </w:rPr>
        <w:t xml:space="preserve"> </w:t>
      </w:r>
      <w:r w:rsidR="00E56681" w:rsidRPr="00874833">
        <w:rPr>
          <w:rFonts w:ascii="Arial" w:hAnsi="Arial" w:cs="Arial"/>
          <w:i/>
        </w:rPr>
        <w:t>normal intelligence and developmen</w:t>
      </w:r>
      <w:r w:rsidR="00F4543E" w:rsidRPr="00874833">
        <w:rPr>
          <w:rFonts w:ascii="Arial" w:hAnsi="Arial" w:cs="Arial"/>
          <w:i/>
        </w:rPr>
        <w:t xml:space="preserve">t, the reputation of the person </w:t>
      </w:r>
      <w:r w:rsidR="00E56681" w:rsidRPr="00874833">
        <w:rPr>
          <w:rFonts w:ascii="Arial" w:hAnsi="Arial" w:cs="Arial"/>
          <w:i/>
        </w:rPr>
        <w:t xml:space="preserve">concerned has been injured (thus also an </w:t>
      </w:r>
      <w:r w:rsidR="00F4543E" w:rsidRPr="00874833">
        <w:rPr>
          <w:rFonts w:ascii="Arial" w:hAnsi="Arial" w:cs="Arial"/>
          <w:i/>
        </w:rPr>
        <w:t>objective approach)’ (</w:t>
      </w:r>
      <w:proofErr w:type="spellStart"/>
      <w:r w:rsidR="00F4543E" w:rsidRPr="00874833">
        <w:rPr>
          <w:rFonts w:ascii="Arial" w:hAnsi="Arial" w:cs="Arial"/>
          <w:i/>
        </w:rPr>
        <w:t>Neethling</w:t>
      </w:r>
      <w:proofErr w:type="spellEnd"/>
      <w:r w:rsidR="00F4543E" w:rsidRPr="00874833">
        <w:rPr>
          <w:rFonts w:ascii="Arial" w:hAnsi="Arial" w:cs="Arial"/>
          <w:i/>
        </w:rPr>
        <w:t xml:space="preserve"> </w:t>
      </w:r>
      <w:r w:rsidR="00E56681" w:rsidRPr="00874833">
        <w:rPr>
          <w:rFonts w:ascii="Arial" w:hAnsi="Arial" w:cs="Arial"/>
          <w:i/>
        </w:rPr>
        <w:t xml:space="preserve">&amp; Potgieter 354). </w:t>
      </w:r>
    </w:p>
    <w:p w:rsidR="002717F4" w:rsidRPr="00874833" w:rsidRDefault="002717F4" w:rsidP="002717F4">
      <w:pPr>
        <w:autoSpaceDE w:val="0"/>
        <w:autoSpaceDN w:val="0"/>
        <w:adjustRightInd w:val="0"/>
        <w:spacing w:after="0" w:line="360" w:lineRule="auto"/>
        <w:ind w:left="720" w:right="720"/>
        <w:rPr>
          <w:rFonts w:ascii="Arial" w:hAnsi="Arial" w:cs="Arial"/>
          <w:i/>
        </w:rPr>
      </w:pPr>
    </w:p>
    <w:p w:rsidR="00E56681" w:rsidRPr="00874833" w:rsidRDefault="00E56681" w:rsidP="002717F4">
      <w:pPr>
        <w:autoSpaceDE w:val="0"/>
        <w:autoSpaceDN w:val="0"/>
        <w:adjustRightInd w:val="0"/>
        <w:spacing w:after="0" w:line="360" w:lineRule="auto"/>
        <w:ind w:left="720" w:right="720"/>
        <w:rPr>
          <w:rFonts w:ascii="Arial" w:hAnsi="Arial" w:cs="Arial"/>
          <w:i/>
        </w:rPr>
      </w:pPr>
      <w:r w:rsidRPr="00874833">
        <w:rPr>
          <w:rFonts w:ascii="Arial" w:hAnsi="Arial" w:cs="Arial"/>
          <w:i/>
        </w:rPr>
        <w:t>It is also very</w:t>
      </w:r>
      <w:r w:rsidR="00F4543E" w:rsidRPr="00874833">
        <w:rPr>
          <w:rFonts w:ascii="Arial" w:hAnsi="Arial" w:cs="Arial"/>
          <w:i/>
        </w:rPr>
        <w:t xml:space="preserve"> important to remember that the </w:t>
      </w:r>
      <w:r w:rsidRPr="00874833">
        <w:rPr>
          <w:rFonts w:ascii="Arial" w:hAnsi="Arial" w:cs="Arial"/>
          <w:i/>
        </w:rPr>
        <w:t>defamation complained of must have the</w:t>
      </w:r>
      <w:r w:rsidR="00F4543E" w:rsidRPr="00874833">
        <w:rPr>
          <w:rFonts w:ascii="Arial" w:hAnsi="Arial" w:cs="Arial"/>
          <w:i/>
        </w:rPr>
        <w:t xml:space="preserve"> effect of reducing the injured </w:t>
      </w:r>
      <w:r w:rsidRPr="00874833">
        <w:rPr>
          <w:rFonts w:ascii="Arial" w:hAnsi="Arial" w:cs="Arial"/>
          <w:i/>
        </w:rPr>
        <w:t>person’s status in the community. Therefore, it is possible that the</w:t>
      </w:r>
      <w:r w:rsidR="002717F4" w:rsidRPr="00874833">
        <w:rPr>
          <w:rFonts w:ascii="Arial" w:hAnsi="Arial" w:cs="Arial"/>
          <w:i/>
        </w:rPr>
        <w:t xml:space="preserve"> </w:t>
      </w:r>
      <w:r w:rsidRPr="00874833">
        <w:rPr>
          <w:rFonts w:ascii="Arial" w:hAnsi="Arial" w:cs="Arial"/>
          <w:i/>
        </w:rPr>
        <w:t>injured person may feel aggrieved by</w:t>
      </w:r>
      <w:r w:rsidR="00F4543E" w:rsidRPr="00874833">
        <w:rPr>
          <w:rFonts w:ascii="Arial" w:hAnsi="Arial" w:cs="Arial"/>
          <w:i/>
        </w:rPr>
        <w:t xml:space="preserve"> such statements. This is not a </w:t>
      </w:r>
      <w:r w:rsidRPr="00874833">
        <w:rPr>
          <w:rFonts w:ascii="Arial" w:hAnsi="Arial" w:cs="Arial"/>
          <w:i/>
        </w:rPr>
        <w:t>requirement for defamation, but rath</w:t>
      </w:r>
      <w:r w:rsidR="00F4543E" w:rsidRPr="00874833">
        <w:rPr>
          <w:rFonts w:ascii="Arial" w:hAnsi="Arial" w:cs="Arial"/>
          <w:i/>
        </w:rPr>
        <w:t xml:space="preserve">er a possible consequence which </w:t>
      </w:r>
      <w:r w:rsidRPr="00874833">
        <w:rPr>
          <w:rFonts w:ascii="Arial" w:hAnsi="Arial" w:cs="Arial"/>
          <w:i/>
        </w:rPr>
        <w:t>may follow. The statements made about him must have had the effect of</w:t>
      </w:r>
      <w:r w:rsidR="00F4543E" w:rsidRPr="00874833">
        <w:rPr>
          <w:rFonts w:ascii="Arial" w:hAnsi="Arial" w:cs="Arial"/>
          <w:i/>
        </w:rPr>
        <w:t xml:space="preserve"> </w:t>
      </w:r>
      <w:r w:rsidRPr="00874833">
        <w:rPr>
          <w:rFonts w:ascii="Arial" w:hAnsi="Arial" w:cs="Arial"/>
          <w:i/>
        </w:rPr>
        <w:t>lowering his status in the eyes of the c</w:t>
      </w:r>
      <w:r w:rsidR="00F4543E" w:rsidRPr="00874833">
        <w:rPr>
          <w:rFonts w:ascii="Arial" w:hAnsi="Arial" w:cs="Arial"/>
          <w:i/>
        </w:rPr>
        <w:t>ommunity (</w:t>
      </w:r>
      <w:proofErr w:type="spellStart"/>
      <w:r w:rsidR="00F4543E" w:rsidRPr="00874833">
        <w:rPr>
          <w:rFonts w:ascii="Arial" w:hAnsi="Arial" w:cs="Arial"/>
          <w:i/>
        </w:rPr>
        <w:t>Neethling</w:t>
      </w:r>
      <w:proofErr w:type="spellEnd"/>
      <w:r w:rsidR="00F4543E" w:rsidRPr="00874833">
        <w:rPr>
          <w:rFonts w:ascii="Arial" w:hAnsi="Arial" w:cs="Arial"/>
          <w:i/>
        </w:rPr>
        <w:t xml:space="preserve"> &amp; Potgieter </w:t>
      </w:r>
      <w:r w:rsidRPr="00874833">
        <w:rPr>
          <w:rFonts w:ascii="Arial" w:hAnsi="Arial" w:cs="Arial"/>
          <w:i/>
        </w:rPr>
        <w:t xml:space="preserve">354). </w:t>
      </w:r>
      <w:r w:rsidR="002717F4" w:rsidRPr="00874833">
        <w:rPr>
          <w:rFonts w:ascii="Arial" w:hAnsi="Arial" w:cs="Arial"/>
          <w:i/>
        </w:rPr>
        <w:t>This test is clearly objective….</w:t>
      </w:r>
    </w:p>
    <w:p w:rsidR="00F4543E" w:rsidRPr="00874833" w:rsidRDefault="00F4543E" w:rsidP="002717F4">
      <w:pPr>
        <w:autoSpaceDE w:val="0"/>
        <w:autoSpaceDN w:val="0"/>
        <w:adjustRightInd w:val="0"/>
        <w:spacing w:after="0" w:line="360" w:lineRule="auto"/>
        <w:ind w:left="720" w:right="720"/>
        <w:rPr>
          <w:rFonts w:ascii="Arial" w:hAnsi="Arial" w:cs="Arial"/>
          <w:i/>
        </w:rPr>
      </w:pPr>
    </w:p>
    <w:p w:rsidR="002717F4" w:rsidRPr="00874833" w:rsidRDefault="00E56681" w:rsidP="002717F4">
      <w:pPr>
        <w:autoSpaceDE w:val="0"/>
        <w:autoSpaceDN w:val="0"/>
        <w:adjustRightInd w:val="0"/>
        <w:spacing w:after="0" w:line="360" w:lineRule="auto"/>
        <w:ind w:left="720" w:right="720"/>
        <w:rPr>
          <w:rFonts w:ascii="Arial" w:hAnsi="Arial" w:cs="Arial"/>
          <w:i/>
        </w:rPr>
      </w:pPr>
      <w:r w:rsidRPr="00874833">
        <w:rPr>
          <w:rFonts w:ascii="Arial" w:hAnsi="Arial" w:cs="Arial"/>
          <w:i/>
        </w:rPr>
        <w:t>Wrongfulness in the context of defa</w:t>
      </w:r>
      <w:r w:rsidR="00F4543E" w:rsidRPr="00874833">
        <w:rPr>
          <w:rFonts w:ascii="Arial" w:hAnsi="Arial" w:cs="Arial"/>
          <w:i/>
        </w:rPr>
        <w:t xml:space="preserve">mation is a complicated matter. </w:t>
      </w:r>
      <w:r w:rsidRPr="00874833">
        <w:rPr>
          <w:rFonts w:ascii="Arial" w:hAnsi="Arial" w:cs="Arial"/>
          <w:i/>
        </w:rPr>
        <w:t>The test for wrongfulness in these c</w:t>
      </w:r>
      <w:r w:rsidR="00F4543E" w:rsidRPr="00874833">
        <w:rPr>
          <w:rFonts w:ascii="Arial" w:hAnsi="Arial" w:cs="Arial"/>
          <w:i/>
        </w:rPr>
        <w:t xml:space="preserve">ases is based on the reasonable </w:t>
      </w:r>
      <w:r w:rsidRPr="00874833">
        <w:rPr>
          <w:rFonts w:ascii="Arial" w:hAnsi="Arial" w:cs="Arial"/>
          <w:i/>
        </w:rPr>
        <w:t>person test. This test states that whether, i</w:t>
      </w:r>
      <w:r w:rsidR="00F4543E" w:rsidRPr="00874833">
        <w:rPr>
          <w:rFonts w:ascii="Arial" w:hAnsi="Arial" w:cs="Arial"/>
          <w:i/>
        </w:rPr>
        <w:t xml:space="preserve">n the opinion of the reasonable </w:t>
      </w:r>
      <w:r w:rsidR="002717F4" w:rsidRPr="00874833">
        <w:rPr>
          <w:rFonts w:ascii="Arial" w:hAnsi="Arial" w:cs="Arial"/>
          <w:i/>
        </w:rPr>
        <w:t xml:space="preserve">person with norm </w:t>
      </w:r>
      <w:r w:rsidRPr="00874833">
        <w:rPr>
          <w:rFonts w:ascii="Arial" w:hAnsi="Arial" w:cs="Arial"/>
          <w:i/>
        </w:rPr>
        <w:t>intelligence and development, the re</w:t>
      </w:r>
      <w:r w:rsidR="00F4543E" w:rsidRPr="00874833">
        <w:rPr>
          <w:rFonts w:ascii="Arial" w:hAnsi="Arial" w:cs="Arial"/>
          <w:i/>
        </w:rPr>
        <w:t xml:space="preserve">putation of the </w:t>
      </w:r>
      <w:r w:rsidRPr="00874833">
        <w:rPr>
          <w:rFonts w:ascii="Arial" w:hAnsi="Arial" w:cs="Arial"/>
          <w:i/>
        </w:rPr>
        <w:t>plaintiff has been injured</w:t>
      </w:r>
      <w:r w:rsidR="002717F4" w:rsidRPr="00874833">
        <w:rPr>
          <w:rFonts w:ascii="Arial" w:hAnsi="Arial" w:cs="Arial"/>
          <w:i/>
        </w:rPr>
        <w:t>..</w:t>
      </w:r>
      <w:r w:rsidRPr="00874833">
        <w:rPr>
          <w:rFonts w:ascii="Arial" w:hAnsi="Arial" w:cs="Arial"/>
          <w:i/>
        </w:rPr>
        <w:t xml:space="preserve">. </w:t>
      </w:r>
    </w:p>
    <w:p w:rsidR="00F4543E" w:rsidRPr="00874833" w:rsidRDefault="00E56681" w:rsidP="002717F4">
      <w:pPr>
        <w:autoSpaceDE w:val="0"/>
        <w:autoSpaceDN w:val="0"/>
        <w:adjustRightInd w:val="0"/>
        <w:spacing w:after="0" w:line="360" w:lineRule="auto"/>
        <w:ind w:left="720" w:right="720"/>
        <w:rPr>
          <w:rFonts w:ascii="Arial" w:hAnsi="Arial" w:cs="Arial"/>
          <w:i/>
          <w:iCs/>
        </w:rPr>
      </w:pPr>
      <w:proofErr w:type="gramStart"/>
      <w:r w:rsidRPr="00874833">
        <w:rPr>
          <w:rFonts w:ascii="Arial" w:hAnsi="Arial" w:cs="Arial"/>
          <w:i/>
        </w:rPr>
        <w:t>the</w:t>
      </w:r>
      <w:proofErr w:type="gramEnd"/>
      <w:r w:rsidRPr="00874833">
        <w:rPr>
          <w:rFonts w:ascii="Arial" w:hAnsi="Arial" w:cs="Arial"/>
          <w:i/>
        </w:rPr>
        <w:t xml:space="preserve"> application of the reasona</w:t>
      </w:r>
      <w:r w:rsidR="00F4543E" w:rsidRPr="00874833">
        <w:rPr>
          <w:rFonts w:ascii="Arial" w:hAnsi="Arial" w:cs="Arial"/>
          <w:i/>
        </w:rPr>
        <w:t xml:space="preserve">ble person test is complicated, </w:t>
      </w:r>
      <w:r w:rsidRPr="00874833">
        <w:rPr>
          <w:rFonts w:ascii="Arial" w:hAnsi="Arial" w:cs="Arial"/>
          <w:i/>
        </w:rPr>
        <w:t>there are a number of factors which mus</w:t>
      </w:r>
      <w:r w:rsidR="00F4543E" w:rsidRPr="00874833">
        <w:rPr>
          <w:rFonts w:ascii="Arial" w:hAnsi="Arial" w:cs="Arial"/>
          <w:i/>
        </w:rPr>
        <w:t xml:space="preserve">t be taken into account. First, </w:t>
      </w:r>
      <w:r w:rsidRPr="00874833">
        <w:rPr>
          <w:rFonts w:ascii="Arial" w:hAnsi="Arial" w:cs="Arial"/>
          <w:i/>
        </w:rPr>
        <w:t xml:space="preserve">the judge should have considered </w:t>
      </w:r>
      <w:r w:rsidR="00F4543E" w:rsidRPr="00874833">
        <w:rPr>
          <w:rFonts w:ascii="Arial" w:hAnsi="Arial" w:cs="Arial"/>
          <w:i/>
        </w:rPr>
        <w:t xml:space="preserve">that the reasonable person is a </w:t>
      </w:r>
      <w:r w:rsidRPr="00874833">
        <w:rPr>
          <w:rFonts w:ascii="Arial" w:hAnsi="Arial" w:cs="Arial"/>
          <w:i/>
        </w:rPr>
        <w:t>fictional, normal, well-balanced and right</w:t>
      </w:r>
      <w:r w:rsidR="00F4543E" w:rsidRPr="00874833">
        <w:rPr>
          <w:rFonts w:ascii="Arial" w:hAnsi="Arial" w:cs="Arial"/>
          <w:i/>
        </w:rPr>
        <w:t xml:space="preserve">-thinking person who is neither </w:t>
      </w:r>
      <w:r w:rsidRPr="00874833">
        <w:rPr>
          <w:rFonts w:ascii="Arial" w:hAnsi="Arial" w:cs="Arial"/>
          <w:i/>
        </w:rPr>
        <w:t>hypercritical nor oversensitive. The judg</w:t>
      </w:r>
      <w:r w:rsidR="002717F4" w:rsidRPr="00874833">
        <w:rPr>
          <w:rFonts w:ascii="Arial" w:hAnsi="Arial" w:cs="Arial"/>
          <w:i/>
        </w:rPr>
        <w:t xml:space="preserve">e should look at whether such a </w:t>
      </w:r>
      <w:r w:rsidRPr="00874833">
        <w:rPr>
          <w:rFonts w:ascii="Arial" w:hAnsi="Arial" w:cs="Arial"/>
          <w:i/>
        </w:rPr>
        <w:t xml:space="preserve">person would find a statement to injure a </w:t>
      </w:r>
      <w:r w:rsidR="00F4543E" w:rsidRPr="00874833">
        <w:rPr>
          <w:rFonts w:ascii="Arial" w:hAnsi="Arial" w:cs="Arial"/>
          <w:i/>
        </w:rPr>
        <w:t xml:space="preserve">person’s reputation or not (see </w:t>
      </w:r>
      <w:proofErr w:type="spellStart"/>
      <w:r w:rsidRPr="00874833">
        <w:rPr>
          <w:rFonts w:ascii="Arial" w:hAnsi="Arial" w:cs="Arial"/>
          <w:i/>
        </w:rPr>
        <w:t>Neethling</w:t>
      </w:r>
      <w:proofErr w:type="spellEnd"/>
      <w:r w:rsidRPr="00874833">
        <w:rPr>
          <w:rFonts w:ascii="Arial" w:hAnsi="Arial" w:cs="Arial"/>
          <w:i/>
        </w:rPr>
        <w:t xml:space="preserve"> &amp; Potgieter 355-356). Se</w:t>
      </w:r>
      <w:r w:rsidR="00F4543E" w:rsidRPr="00874833">
        <w:rPr>
          <w:rFonts w:ascii="Arial" w:hAnsi="Arial" w:cs="Arial"/>
          <w:i/>
        </w:rPr>
        <w:t xml:space="preserve">cond, this reasonable person is </w:t>
      </w:r>
      <w:r w:rsidRPr="00874833">
        <w:rPr>
          <w:rFonts w:ascii="Arial" w:hAnsi="Arial" w:cs="Arial"/>
          <w:i/>
        </w:rPr>
        <w:t xml:space="preserve">someone who subscribes to the norms </w:t>
      </w:r>
      <w:r w:rsidR="00F4543E" w:rsidRPr="00874833">
        <w:rPr>
          <w:rFonts w:ascii="Arial" w:hAnsi="Arial" w:cs="Arial"/>
          <w:i/>
        </w:rPr>
        <w:t xml:space="preserve">and values of the Constitution. </w:t>
      </w:r>
      <w:r w:rsidRPr="00874833">
        <w:rPr>
          <w:rFonts w:ascii="Arial" w:hAnsi="Arial" w:cs="Arial"/>
          <w:i/>
        </w:rPr>
        <w:t>This person is very much aware of the pri</w:t>
      </w:r>
      <w:r w:rsidR="00F4543E" w:rsidRPr="00874833">
        <w:rPr>
          <w:rFonts w:ascii="Arial" w:hAnsi="Arial" w:cs="Arial"/>
          <w:i/>
        </w:rPr>
        <w:t xml:space="preserve">nciples of the Constitution and </w:t>
      </w:r>
      <w:r w:rsidRPr="00874833">
        <w:rPr>
          <w:rFonts w:ascii="Arial" w:hAnsi="Arial" w:cs="Arial"/>
          <w:i/>
        </w:rPr>
        <w:t>would use these principles as underl</w:t>
      </w:r>
      <w:r w:rsidR="00F4543E" w:rsidRPr="00874833">
        <w:rPr>
          <w:rFonts w:ascii="Arial" w:hAnsi="Arial" w:cs="Arial"/>
          <w:i/>
        </w:rPr>
        <w:t xml:space="preserve">ying values to judge situations </w:t>
      </w:r>
      <w:r w:rsidRPr="00874833">
        <w:rPr>
          <w:rFonts w:ascii="Arial" w:hAnsi="Arial" w:cs="Arial"/>
          <w:i/>
        </w:rPr>
        <w:t>(</w:t>
      </w:r>
      <w:proofErr w:type="spellStart"/>
      <w:r w:rsidRPr="00874833">
        <w:rPr>
          <w:rFonts w:ascii="Arial" w:hAnsi="Arial" w:cs="Arial"/>
          <w:i/>
        </w:rPr>
        <w:t>Neethling</w:t>
      </w:r>
      <w:proofErr w:type="spellEnd"/>
      <w:r w:rsidRPr="00874833">
        <w:rPr>
          <w:rFonts w:ascii="Arial" w:hAnsi="Arial" w:cs="Arial"/>
          <w:i/>
        </w:rPr>
        <w:t xml:space="preserve"> &amp; Potgieter 355). Third, he is a member</w:t>
      </w:r>
      <w:r w:rsidR="002717F4" w:rsidRPr="00874833">
        <w:rPr>
          <w:rFonts w:ascii="Arial" w:hAnsi="Arial" w:cs="Arial"/>
          <w:i/>
        </w:rPr>
        <w:t xml:space="preserve"> of society in general </w:t>
      </w:r>
      <w:r w:rsidRPr="00874833">
        <w:rPr>
          <w:rFonts w:ascii="Arial" w:hAnsi="Arial" w:cs="Arial"/>
          <w:i/>
        </w:rPr>
        <w:t>and not only of a certain group. Therefore, the statement concerned</w:t>
      </w:r>
      <w:r w:rsidR="00F4543E" w:rsidRPr="00874833">
        <w:rPr>
          <w:rFonts w:ascii="Arial" w:hAnsi="Arial" w:cs="Arial"/>
          <w:i/>
        </w:rPr>
        <w:t xml:space="preserve"> </w:t>
      </w:r>
      <w:r w:rsidRPr="00874833">
        <w:rPr>
          <w:rFonts w:ascii="Arial" w:hAnsi="Arial" w:cs="Arial"/>
          <w:i/>
        </w:rPr>
        <w:t xml:space="preserve">would offend or harm all </w:t>
      </w:r>
      <w:r w:rsidRPr="00874833">
        <w:rPr>
          <w:rFonts w:ascii="Arial" w:hAnsi="Arial" w:cs="Arial"/>
          <w:i/>
        </w:rPr>
        <w:lastRenderedPageBreak/>
        <w:t>persons in so</w:t>
      </w:r>
      <w:r w:rsidR="00F4543E" w:rsidRPr="00874833">
        <w:rPr>
          <w:rFonts w:ascii="Arial" w:hAnsi="Arial" w:cs="Arial"/>
          <w:i/>
        </w:rPr>
        <w:t xml:space="preserve">ciety and not just those of one </w:t>
      </w:r>
      <w:r w:rsidRPr="00874833">
        <w:rPr>
          <w:rFonts w:ascii="Arial" w:hAnsi="Arial" w:cs="Arial"/>
          <w:i/>
        </w:rPr>
        <w:t>specific group (</w:t>
      </w:r>
      <w:proofErr w:type="spellStart"/>
      <w:r w:rsidRPr="00874833">
        <w:rPr>
          <w:rFonts w:ascii="Arial" w:hAnsi="Arial" w:cs="Arial"/>
          <w:i/>
        </w:rPr>
        <w:t>Neethling</w:t>
      </w:r>
      <w:proofErr w:type="spellEnd"/>
      <w:r w:rsidRPr="00874833">
        <w:rPr>
          <w:rFonts w:ascii="Arial" w:hAnsi="Arial" w:cs="Arial"/>
          <w:i/>
        </w:rPr>
        <w:t xml:space="preserve"> &amp; Potgieter 35</w:t>
      </w:r>
      <w:r w:rsidR="00F4543E" w:rsidRPr="00874833">
        <w:rPr>
          <w:rFonts w:ascii="Arial" w:hAnsi="Arial" w:cs="Arial"/>
          <w:i/>
        </w:rPr>
        <w:t xml:space="preserve">5). Fourth, the reaction of the </w:t>
      </w:r>
      <w:r w:rsidRPr="00874833">
        <w:rPr>
          <w:rFonts w:ascii="Arial" w:hAnsi="Arial" w:cs="Arial"/>
          <w:i/>
        </w:rPr>
        <w:t xml:space="preserve">reasonable person is dependent on the </w:t>
      </w:r>
      <w:r w:rsidR="00F4543E" w:rsidRPr="00874833">
        <w:rPr>
          <w:rFonts w:ascii="Arial" w:hAnsi="Arial" w:cs="Arial"/>
          <w:i/>
        </w:rPr>
        <w:t xml:space="preserve">circumstances of the particular </w:t>
      </w:r>
      <w:r w:rsidRPr="00874833">
        <w:rPr>
          <w:rFonts w:ascii="Arial" w:hAnsi="Arial" w:cs="Arial"/>
          <w:i/>
        </w:rPr>
        <w:t>case. The manner in which it is convey</w:t>
      </w:r>
      <w:r w:rsidR="00F4543E" w:rsidRPr="00874833">
        <w:rPr>
          <w:rFonts w:ascii="Arial" w:hAnsi="Arial" w:cs="Arial"/>
          <w:i/>
        </w:rPr>
        <w:t xml:space="preserve">ed of each </w:t>
      </w:r>
      <w:proofErr w:type="spellStart"/>
      <w:r w:rsidR="00F4543E" w:rsidRPr="00874833">
        <w:rPr>
          <w:rFonts w:ascii="Arial" w:hAnsi="Arial" w:cs="Arial"/>
          <w:i/>
        </w:rPr>
        <w:t>publicised</w:t>
      </w:r>
      <w:proofErr w:type="spellEnd"/>
      <w:r w:rsidR="00F4543E" w:rsidRPr="00874833">
        <w:rPr>
          <w:rFonts w:ascii="Arial" w:hAnsi="Arial" w:cs="Arial"/>
          <w:i/>
        </w:rPr>
        <w:t xml:space="preserve"> statement </w:t>
      </w:r>
      <w:r w:rsidRPr="00874833">
        <w:rPr>
          <w:rFonts w:ascii="Arial" w:hAnsi="Arial" w:cs="Arial"/>
          <w:i/>
        </w:rPr>
        <w:t>should be looked at separately as this w</w:t>
      </w:r>
      <w:r w:rsidR="00F4543E" w:rsidRPr="00874833">
        <w:rPr>
          <w:rFonts w:ascii="Arial" w:hAnsi="Arial" w:cs="Arial"/>
          <w:i/>
        </w:rPr>
        <w:t xml:space="preserve">ould affect the reaction of the </w:t>
      </w:r>
      <w:r w:rsidRPr="00874833">
        <w:rPr>
          <w:rFonts w:ascii="Arial" w:hAnsi="Arial" w:cs="Arial"/>
          <w:i/>
        </w:rPr>
        <w:t>reasonable person (</w:t>
      </w:r>
      <w:proofErr w:type="spellStart"/>
      <w:r w:rsidRPr="00874833">
        <w:rPr>
          <w:rFonts w:ascii="Arial" w:hAnsi="Arial" w:cs="Arial"/>
          <w:i/>
        </w:rPr>
        <w:t>Neethling</w:t>
      </w:r>
      <w:proofErr w:type="spellEnd"/>
      <w:r w:rsidRPr="00874833">
        <w:rPr>
          <w:rFonts w:ascii="Arial" w:hAnsi="Arial" w:cs="Arial"/>
          <w:i/>
        </w:rPr>
        <w:t xml:space="preserve"> &amp; Potgieter 356). Fifth, verbal abuse </w:t>
      </w:r>
      <w:r w:rsidR="00F4543E" w:rsidRPr="00874833">
        <w:rPr>
          <w:rFonts w:ascii="Arial" w:hAnsi="Arial" w:cs="Arial"/>
          <w:i/>
        </w:rPr>
        <w:t xml:space="preserve">is in </w:t>
      </w:r>
      <w:r w:rsidRPr="00874833">
        <w:rPr>
          <w:rFonts w:ascii="Arial" w:hAnsi="Arial" w:cs="Arial"/>
          <w:i/>
        </w:rPr>
        <w:t>most cases not defamatory because it do</w:t>
      </w:r>
      <w:r w:rsidR="00F4543E" w:rsidRPr="00874833">
        <w:rPr>
          <w:rFonts w:ascii="Arial" w:hAnsi="Arial" w:cs="Arial"/>
          <w:i/>
        </w:rPr>
        <w:t xml:space="preserve">es not normally have the effect </w:t>
      </w:r>
      <w:r w:rsidRPr="00874833">
        <w:rPr>
          <w:rFonts w:ascii="Arial" w:hAnsi="Arial" w:cs="Arial"/>
          <w:i/>
        </w:rPr>
        <w:t>of injuring a person’s good name. T</w:t>
      </w:r>
      <w:r w:rsidR="00F4543E" w:rsidRPr="00874833">
        <w:rPr>
          <w:rFonts w:ascii="Arial" w:hAnsi="Arial" w:cs="Arial"/>
          <w:i/>
        </w:rPr>
        <w:t xml:space="preserve">herefore, even a statement that </w:t>
      </w:r>
      <w:r w:rsidRPr="00874833">
        <w:rPr>
          <w:rFonts w:ascii="Arial" w:hAnsi="Arial" w:cs="Arial"/>
          <w:i/>
        </w:rPr>
        <w:t>amounts to verbal abuse, may not n</w:t>
      </w:r>
      <w:r w:rsidR="00F4543E" w:rsidRPr="00874833">
        <w:rPr>
          <w:rFonts w:ascii="Arial" w:hAnsi="Arial" w:cs="Arial"/>
          <w:i/>
        </w:rPr>
        <w:t xml:space="preserve">ecessarily amount to defamation </w:t>
      </w:r>
      <w:r w:rsidRPr="00874833">
        <w:rPr>
          <w:rFonts w:ascii="Arial" w:hAnsi="Arial" w:cs="Arial"/>
          <w:i/>
        </w:rPr>
        <w:t>(</w:t>
      </w:r>
      <w:proofErr w:type="spellStart"/>
      <w:r w:rsidRPr="00874833">
        <w:rPr>
          <w:rFonts w:ascii="Arial" w:hAnsi="Arial" w:cs="Arial"/>
          <w:i/>
        </w:rPr>
        <w:t>Neethling</w:t>
      </w:r>
      <w:proofErr w:type="spellEnd"/>
      <w:r w:rsidRPr="00874833">
        <w:rPr>
          <w:rFonts w:ascii="Arial" w:hAnsi="Arial" w:cs="Arial"/>
          <w:i/>
        </w:rPr>
        <w:t xml:space="preserve"> &amp; Potgieter 356). The sixth point is that words can </w:t>
      </w:r>
      <w:r w:rsidRPr="00874833">
        <w:rPr>
          <w:rFonts w:ascii="Arial" w:hAnsi="Arial" w:cs="Arial"/>
          <w:i/>
          <w:iCs/>
        </w:rPr>
        <w:t>prima facie</w:t>
      </w:r>
      <w:r w:rsidR="00F4543E" w:rsidRPr="00874833">
        <w:rPr>
          <w:rFonts w:ascii="Arial" w:hAnsi="Arial" w:cs="Arial"/>
          <w:i/>
        </w:rPr>
        <w:t xml:space="preserve">, </w:t>
      </w:r>
      <w:r w:rsidRPr="00874833">
        <w:rPr>
          <w:rFonts w:ascii="Arial" w:hAnsi="Arial" w:cs="Arial"/>
          <w:i/>
        </w:rPr>
        <w:t>or according to their primary meaning, b</w:t>
      </w:r>
      <w:r w:rsidR="002717F4" w:rsidRPr="00874833">
        <w:rPr>
          <w:rFonts w:ascii="Arial" w:hAnsi="Arial" w:cs="Arial"/>
          <w:i/>
        </w:rPr>
        <w:t xml:space="preserve">e defamatory but words can also be defamatory </w:t>
      </w:r>
      <w:r w:rsidRPr="00874833">
        <w:rPr>
          <w:rFonts w:ascii="Arial" w:hAnsi="Arial" w:cs="Arial"/>
          <w:i/>
        </w:rPr>
        <w:t>according to their seconda</w:t>
      </w:r>
      <w:r w:rsidR="00F4543E" w:rsidRPr="00874833">
        <w:rPr>
          <w:rFonts w:ascii="Arial" w:hAnsi="Arial" w:cs="Arial"/>
          <w:i/>
        </w:rPr>
        <w:t xml:space="preserve">ry meaning. In such a case, the </w:t>
      </w:r>
      <w:r w:rsidRPr="00874833">
        <w:rPr>
          <w:rFonts w:ascii="Arial" w:hAnsi="Arial" w:cs="Arial"/>
          <w:i/>
        </w:rPr>
        <w:t xml:space="preserve">plaintiff would have to prove that the </w:t>
      </w:r>
      <w:r w:rsidR="00F4543E" w:rsidRPr="00874833">
        <w:rPr>
          <w:rFonts w:ascii="Arial" w:hAnsi="Arial" w:cs="Arial"/>
          <w:i/>
        </w:rPr>
        <w:t xml:space="preserve">secondary meaning (or innuendo) </w:t>
      </w:r>
      <w:r w:rsidRPr="00874833">
        <w:rPr>
          <w:rFonts w:ascii="Arial" w:hAnsi="Arial" w:cs="Arial"/>
          <w:i/>
        </w:rPr>
        <w:t>is defamatory (</w:t>
      </w:r>
      <w:proofErr w:type="spellStart"/>
      <w:r w:rsidRPr="00874833">
        <w:rPr>
          <w:rFonts w:ascii="Arial" w:hAnsi="Arial" w:cs="Arial"/>
          <w:i/>
        </w:rPr>
        <w:t>Neethling</w:t>
      </w:r>
      <w:proofErr w:type="spellEnd"/>
      <w:r w:rsidRPr="00874833">
        <w:rPr>
          <w:rFonts w:ascii="Arial" w:hAnsi="Arial" w:cs="Arial"/>
          <w:i/>
        </w:rPr>
        <w:t xml:space="preserve"> &amp; Potgieter 356). </w:t>
      </w:r>
      <w:r w:rsidR="00F4543E" w:rsidRPr="00874833">
        <w:rPr>
          <w:rFonts w:ascii="Arial" w:hAnsi="Arial" w:cs="Arial"/>
          <w:i/>
        </w:rPr>
        <w:t xml:space="preserve">The last point to be taken into </w:t>
      </w:r>
      <w:r w:rsidRPr="00874833">
        <w:rPr>
          <w:rFonts w:ascii="Arial" w:hAnsi="Arial" w:cs="Arial"/>
          <w:i/>
        </w:rPr>
        <w:t>consideration is that if words hav</w:t>
      </w:r>
      <w:r w:rsidR="00F4543E" w:rsidRPr="00874833">
        <w:rPr>
          <w:rFonts w:ascii="Arial" w:hAnsi="Arial" w:cs="Arial"/>
          <w:i/>
        </w:rPr>
        <w:t xml:space="preserve">e an ambiguous meaning, the one </w:t>
      </w:r>
      <w:r w:rsidRPr="00874833">
        <w:rPr>
          <w:rFonts w:ascii="Arial" w:hAnsi="Arial" w:cs="Arial"/>
          <w:i/>
        </w:rPr>
        <w:t>defamatory and the other not, then the</w:t>
      </w:r>
      <w:r w:rsidR="00F4543E" w:rsidRPr="00874833">
        <w:rPr>
          <w:rFonts w:ascii="Arial" w:hAnsi="Arial" w:cs="Arial"/>
          <w:i/>
        </w:rPr>
        <w:t xml:space="preserve"> meaning most </w:t>
      </w:r>
      <w:proofErr w:type="spellStart"/>
      <w:r w:rsidR="00F4543E" w:rsidRPr="00874833">
        <w:rPr>
          <w:rFonts w:ascii="Arial" w:hAnsi="Arial" w:cs="Arial"/>
          <w:i/>
        </w:rPr>
        <w:t>favourable</w:t>
      </w:r>
      <w:proofErr w:type="spellEnd"/>
      <w:r w:rsidR="00F4543E" w:rsidRPr="00874833">
        <w:rPr>
          <w:rFonts w:ascii="Arial" w:hAnsi="Arial" w:cs="Arial"/>
          <w:i/>
        </w:rPr>
        <w:t xml:space="preserve"> to the </w:t>
      </w:r>
      <w:r w:rsidRPr="00874833">
        <w:rPr>
          <w:rFonts w:ascii="Arial" w:hAnsi="Arial" w:cs="Arial"/>
          <w:i/>
        </w:rPr>
        <w:t>defendant must be followed</w:t>
      </w:r>
      <w:r w:rsidR="002717F4" w:rsidRPr="00874833">
        <w:rPr>
          <w:rFonts w:ascii="Arial" w:hAnsi="Arial" w:cs="Arial"/>
          <w:i/>
        </w:rPr>
        <w:t>…</w:t>
      </w:r>
      <w:r w:rsidRPr="00874833">
        <w:rPr>
          <w:rFonts w:ascii="Arial" w:hAnsi="Arial" w:cs="Arial"/>
          <w:i/>
        </w:rPr>
        <w:t xml:space="preserve"> </w:t>
      </w:r>
    </w:p>
    <w:p w:rsidR="00F4543E" w:rsidRPr="00874833" w:rsidRDefault="00F4543E" w:rsidP="002717F4">
      <w:pPr>
        <w:autoSpaceDE w:val="0"/>
        <w:autoSpaceDN w:val="0"/>
        <w:adjustRightInd w:val="0"/>
        <w:spacing w:after="0" w:line="360" w:lineRule="auto"/>
        <w:ind w:left="720" w:right="720"/>
        <w:rPr>
          <w:rFonts w:ascii="Arial" w:hAnsi="Arial" w:cs="Arial"/>
          <w:i/>
          <w:iCs/>
        </w:rPr>
      </w:pPr>
    </w:p>
    <w:p w:rsidR="00E56681" w:rsidRPr="00874833" w:rsidRDefault="00E56681" w:rsidP="002717F4">
      <w:pPr>
        <w:autoSpaceDE w:val="0"/>
        <w:autoSpaceDN w:val="0"/>
        <w:adjustRightInd w:val="0"/>
        <w:spacing w:after="0" w:line="360" w:lineRule="auto"/>
        <w:ind w:left="720" w:right="720"/>
        <w:rPr>
          <w:rFonts w:ascii="Arial" w:hAnsi="Arial" w:cs="Arial"/>
          <w:i/>
        </w:rPr>
      </w:pPr>
      <w:r w:rsidRPr="00874833">
        <w:rPr>
          <w:rFonts w:ascii="Arial" w:hAnsi="Arial" w:cs="Arial"/>
          <w:i/>
        </w:rPr>
        <w:t xml:space="preserve">The </w:t>
      </w:r>
      <w:proofErr w:type="gramStart"/>
      <w:r w:rsidRPr="00874833">
        <w:rPr>
          <w:rFonts w:ascii="Arial" w:hAnsi="Arial" w:cs="Arial"/>
          <w:i/>
        </w:rPr>
        <w:t>plaintiff</w:t>
      </w:r>
      <w:proofErr w:type="gramEnd"/>
      <w:r w:rsidRPr="00874833">
        <w:rPr>
          <w:rFonts w:ascii="Arial" w:hAnsi="Arial" w:cs="Arial"/>
          <w:i/>
        </w:rPr>
        <w:t xml:space="preserve"> who proves that the publication is defamat</w:t>
      </w:r>
      <w:r w:rsidR="00F4543E" w:rsidRPr="00874833">
        <w:rPr>
          <w:rFonts w:ascii="Arial" w:hAnsi="Arial" w:cs="Arial"/>
          <w:i/>
        </w:rPr>
        <w:t xml:space="preserve">ory and that it </w:t>
      </w:r>
      <w:r w:rsidRPr="00874833">
        <w:rPr>
          <w:rFonts w:ascii="Arial" w:hAnsi="Arial" w:cs="Arial"/>
          <w:i/>
        </w:rPr>
        <w:t xml:space="preserve">refers to him, provides only </w:t>
      </w:r>
      <w:r w:rsidRPr="00874833">
        <w:rPr>
          <w:rFonts w:ascii="Arial" w:hAnsi="Arial" w:cs="Arial"/>
          <w:i/>
          <w:iCs/>
        </w:rPr>
        <w:t xml:space="preserve">prima facie </w:t>
      </w:r>
      <w:r w:rsidR="00F4543E" w:rsidRPr="00874833">
        <w:rPr>
          <w:rFonts w:ascii="Arial" w:hAnsi="Arial" w:cs="Arial"/>
          <w:i/>
        </w:rPr>
        <w:t xml:space="preserve">proof of wrongfulness (see </w:t>
      </w:r>
      <w:proofErr w:type="spellStart"/>
      <w:r w:rsidRPr="00874833">
        <w:rPr>
          <w:rFonts w:ascii="Arial" w:hAnsi="Arial" w:cs="Arial"/>
          <w:i/>
        </w:rPr>
        <w:t>Neethling</w:t>
      </w:r>
      <w:proofErr w:type="spellEnd"/>
      <w:r w:rsidRPr="00874833">
        <w:rPr>
          <w:rFonts w:ascii="Arial" w:hAnsi="Arial" w:cs="Arial"/>
          <w:i/>
        </w:rPr>
        <w:t xml:space="preserve"> &amp; Potgieter 357). A presumpti</w:t>
      </w:r>
      <w:r w:rsidR="00F4543E" w:rsidRPr="00874833">
        <w:rPr>
          <w:rFonts w:ascii="Arial" w:hAnsi="Arial" w:cs="Arial"/>
          <w:i/>
        </w:rPr>
        <w:t xml:space="preserve">on of wrongfulness then arises, </w:t>
      </w:r>
      <w:r w:rsidRPr="00874833">
        <w:rPr>
          <w:rFonts w:ascii="Arial" w:hAnsi="Arial" w:cs="Arial"/>
          <w:i/>
        </w:rPr>
        <w:t xml:space="preserve">which places the onus on the defendant to </w:t>
      </w:r>
      <w:r w:rsidR="00F4543E" w:rsidRPr="00874833">
        <w:rPr>
          <w:rFonts w:ascii="Arial" w:hAnsi="Arial" w:cs="Arial"/>
          <w:i/>
        </w:rPr>
        <w:t>rebut it (</w:t>
      </w:r>
      <w:proofErr w:type="spellStart"/>
      <w:r w:rsidR="00F4543E" w:rsidRPr="00874833">
        <w:rPr>
          <w:rFonts w:ascii="Arial" w:hAnsi="Arial" w:cs="Arial"/>
          <w:i/>
        </w:rPr>
        <w:t>Neethling</w:t>
      </w:r>
      <w:proofErr w:type="spellEnd"/>
      <w:r w:rsidR="00F4543E" w:rsidRPr="00874833">
        <w:rPr>
          <w:rFonts w:ascii="Arial" w:hAnsi="Arial" w:cs="Arial"/>
          <w:i/>
        </w:rPr>
        <w:t xml:space="preserve"> &amp; Potgieter </w:t>
      </w:r>
      <w:r w:rsidRPr="00874833">
        <w:rPr>
          <w:rFonts w:ascii="Arial" w:hAnsi="Arial" w:cs="Arial"/>
          <w:i/>
        </w:rPr>
        <w:t xml:space="preserve">357). If a defendant can prove that a </w:t>
      </w:r>
      <w:r w:rsidR="00F4543E" w:rsidRPr="00874833">
        <w:rPr>
          <w:rFonts w:ascii="Arial" w:hAnsi="Arial" w:cs="Arial"/>
          <w:i/>
        </w:rPr>
        <w:t xml:space="preserve">statement made by him or her is </w:t>
      </w:r>
      <w:r w:rsidRPr="00874833">
        <w:rPr>
          <w:rFonts w:ascii="Arial" w:hAnsi="Arial" w:cs="Arial"/>
          <w:i/>
        </w:rPr>
        <w:t xml:space="preserve">justified according to a relevant </w:t>
      </w:r>
      <w:proofErr w:type="spellStart"/>
      <w:r w:rsidRPr="00874833">
        <w:rPr>
          <w:rFonts w:ascii="Arial" w:hAnsi="Arial" w:cs="Arial"/>
          <w:i/>
        </w:rPr>
        <w:t>defence</w:t>
      </w:r>
      <w:proofErr w:type="spellEnd"/>
      <w:r w:rsidR="002717F4" w:rsidRPr="00874833">
        <w:rPr>
          <w:rFonts w:ascii="Arial" w:hAnsi="Arial" w:cs="Arial"/>
          <w:i/>
        </w:rPr>
        <w:t xml:space="preserve">, then the defendant can escape </w:t>
      </w:r>
      <w:r w:rsidRPr="00874833">
        <w:rPr>
          <w:rFonts w:ascii="Arial" w:hAnsi="Arial" w:cs="Arial"/>
          <w:i/>
        </w:rPr>
        <w:t>liability based on a ground of justificatio</w:t>
      </w:r>
      <w:r w:rsidR="00F4543E" w:rsidRPr="00874833">
        <w:rPr>
          <w:rFonts w:ascii="Arial" w:hAnsi="Arial" w:cs="Arial"/>
          <w:i/>
        </w:rPr>
        <w:t xml:space="preserve">n for example, privilege, truth </w:t>
      </w:r>
      <w:r w:rsidRPr="00874833">
        <w:rPr>
          <w:rFonts w:ascii="Arial" w:hAnsi="Arial" w:cs="Arial"/>
          <w:i/>
        </w:rPr>
        <w:t xml:space="preserve">and public interest, and fair comment (see </w:t>
      </w:r>
      <w:proofErr w:type="spellStart"/>
      <w:r w:rsidRPr="00874833">
        <w:rPr>
          <w:rFonts w:ascii="Arial" w:hAnsi="Arial" w:cs="Arial"/>
          <w:i/>
        </w:rPr>
        <w:t>Neethling</w:t>
      </w:r>
      <w:proofErr w:type="spellEnd"/>
      <w:r w:rsidRPr="00874833">
        <w:rPr>
          <w:rFonts w:ascii="Arial" w:hAnsi="Arial" w:cs="Arial"/>
          <w:i/>
        </w:rPr>
        <w:t xml:space="preserve"> &amp; Potgieter 357)</w:t>
      </w:r>
      <w:r w:rsidR="002717F4" w:rsidRPr="00874833">
        <w:rPr>
          <w:rFonts w:ascii="Arial" w:hAnsi="Arial" w:cs="Arial"/>
          <w:i/>
        </w:rPr>
        <w:t>…</w:t>
      </w:r>
    </w:p>
    <w:p w:rsidR="00F4543E" w:rsidRPr="00874833" w:rsidRDefault="00F4543E" w:rsidP="002717F4">
      <w:pPr>
        <w:autoSpaceDE w:val="0"/>
        <w:autoSpaceDN w:val="0"/>
        <w:adjustRightInd w:val="0"/>
        <w:spacing w:after="0" w:line="360" w:lineRule="auto"/>
        <w:ind w:left="720" w:right="720"/>
        <w:rPr>
          <w:rFonts w:ascii="Arial" w:hAnsi="Arial" w:cs="Arial"/>
          <w:i/>
        </w:rPr>
      </w:pPr>
    </w:p>
    <w:p w:rsidR="00E56681" w:rsidRPr="00874833" w:rsidRDefault="00920378" w:rsidP="00D977AD">
      <w:pPr>
        <w:autoSpaceDE w:val="0"/>
        <w:autoSpaceDN w:val="0"/>
        <w:adjustRightInd w:val="0"/>
        <w:spacing w:after="0" w:line="360" w:lineRule="auto"/>
        <w:ind w:left="720" w:right="720"/>
        <w:rPr>
          <w:rFonts w:ascii="Arial" w:hAnsi="Arial" w:cs="Arial"/>
          <w:i/>
        </w:rPr>
      </w:pPr>
      <w:r w:rsidRPr="00874833">
        <w:rPr>
          <w:rFonts w:ascii="Arial" w:hAnsi="Arial" w:cs="Arial"/>
          <w:i/>
        </w:rPr>
        <w:t xml:space="preserve">Privilege </w:t>
      </w:r>
      <w:r w:rsidR="00E56681" w:rsidRPr="00874833">
        <w:rPr>
          <w:rFonts w:ascii="Arial" w:hAnsi="Arial" w:cs="Arial"/>
          <w:i/>
        </w:rPr>
        <w:t>exists where someone has a right, duty or interest to make specific</w:t>
      </w:r>
      <w:r w:rsidRPr="00874833">
        <w:rPr>
          <w:rFonts w:ascii="Arial" w:hAnsi="Arial" w:cs="Arial"/>
          <w:i/>
        </w:rPr>
        <w:t xml:space="preserve"> </w:t>
      </w:r>
      <w:r w:rsidR="00E56681" w:rsidRPr="00874833">
        <w:rPr>
          <w:rFonts w:ascii="Arial" w:hAnsi="Arial" w:cs="Arial"/>
          <w:i/>
        </w:rPr>
        <w:t>defamatory assertions and the people to whom the assertions are</w:t>
      </w:r>
      <w:r w:rsidR="002717F4" w:rsidRPr="00874833">
        <w:rPr>
          <w:rFonts w:ascii="Arial" w:hAnsi="Arial" w:cs="Arial"/>
          <w:i/>
        </w:rPr>
        <w:t xml:space="preserve"> </w:t>
      </w:r>
      <w:r w:rsidR="00E56681" w:rsidRPr="00874833">
        <w:rPr>
          <w:rFonts w:ascii="Arial" w:hAnsi="Arial" w:cs="Arial"/>
          <w:i/>
        </w:rPr>
        <w:t xml:space="preserve">published have a right or duty to learn </w:t>
      </w:r>
      <w:r w:rsidRPr="00874833">
        <w:rPr>
          <w:rFonts w:ascii="Arial" w:hAnsi="Arial" w:cs="Arial"/>
          <w:i/>
        </w:rPr>
        <w:t>of such assertions (</w:t>
      </w:r>
      <w:proofErr w:type="spellStart"/>
      <w:r w:rsidRPr="00874833">
        <w:rPr>
          <w:rFonts w:ascii="Arial" w:hAnsi="Arial" w:cs="Arial"/>
          <w:i/>
        </w:rPr>
        <w:t>Neethling</w:t>
      </w:r>
      <w:proofErr w:type="spellEnd"/>
      <w:r w:rsidRPr="00874833">
        <w:rPr>
          <w:rFonts w:ascii="Arial" w:hAnsi="Arial" w:cs="Arial"/>
          <w:i/>
        </w:rPr>
        <w:t xml:space="preserve"> &amp; </w:t>
      </w:r>
      <w:r w:rsidR="00E56681" w:rsidRPr="00874833">
        <w:rPr>
          <w:rFonts w:ascii="Arial" w:hAnsi="Arial" w:cs="Arial"/>
          <w:i/>
        </w:rPr>
        <w:t xml:space="preserve">Potgieter 358). This will then allow a </w:t>
      </w:r>
      <w:r w:rsidRPr="00874833">
        <w:rPr>
          <w:rFonts w:ascii="Arial" w:hAnsi="Arial" w:cs="Arial"/>
          <w:i/>
        </w:rPr>
        <w:t xml:space="preserve">person to injure another’s good </w:t>
      </w:r>
      <w:r w:rsidR="00E56681" w:rsidRPr="00874833">
        <w:rPr>
          <w:rFonts w:ascii="Arial" w:hAnsi="Arial" w:cs="Arial"/>
          <w:i/>
        </w:rPr>
        <w:t>name and, in so doing, his conduct wi</w:t>
      </w:r>
      <w:r w:rsidRPr="00874833">
        <w:rPr>
          <w:rFonts w:ascii="Arial" w:hAnsi="Arial" w:cs="Arial"/>
          <w:i/>
        </w:rPr>
        <w:t xml:space="preserve">ll not be regarded as wrongful. </w:t>
      </w:r>
      <w:r w:rsidR="00E56681" w:rsidRPr="00874833">
        <w:rPr>
          <w:rFonts w:ascii="Arial" w:hAnsi="Arial" w:cs="Arial"/>
          <w:i/>
        </w:rPr>
        <w:t>However, if the plaintiff proves that th</w:t>
      </w:r>
      <w:r w:rsidRPr="00874833">
        <w:rPr>
          <w:rFonts w:ascii="Arial" w:hAnsi="Arial" w:cs="Arial"/>
          <w:i/>
        </w:rPr>
        <w:t xml:space="preserve">e defendant exceeded the bounds </w:t>
      </w:r>
      <w:r w:rsidR="00E56681" w:rsidRPr="00874833">
        <w:rPr>
          <w:rFonts w:ascii="Arial" w:hAnsi="Arial" w:cs="Arial"/>
          <w:i/>
        </w:rPr>
        <w:t>of this privileged occasion, then this protec</w:t>
      </w:r>
      <w:r w:rsidRPr="00874833">
        <w:rPr>
          <w:rFonts w:ascii="Arial" w:hAnsi="Arial" w:cs="Arial"/>
          <w:i/>
        </w:rPr>
        <w:t>tion will fall away (</w:t>
      </w:r>
      <w:proofErr w:type="spellStart"/>
      <w:r w:rsidRPr="00874833">
        <w:rPr>
          <w:rFonts w:ascii="Arial" w:hAnsi="Arial" w:cs="Arial"/>
          <w:i/>
        </w:rPr>
        <w:t>Neethling</w:t>
      </w:r>
      <w:proofErr w:type="spellEnd"/>
      <w:r w:rsidRPr="00874833">
        <w:rPr>
          <w:rFonts w:ascii="Arial" w:hAnsi="Arial" w:cs="Arial"/>
          <w:i/>
        </w:rPr>
        <w:t xml:space="preserve"> </w:t>
      </w:r>
      <w:r w:rsidR="00E56681" w:rsidRPr="00874833">
        <w:rPr>
          <w:rFonts w:ascii="Arial" w:hAnsi="Arial" w:cs="Arial"/>
          <w:i/>
        </w:rPr>
        <w:t xml:space="preserve">&amp; Potgieter 358). </w:t>
      </w:r>
      <w:proofErr w:type="spellStart"/>
      <w:r w:rsidR="00E56681" w:rsidRPr="00874833">
        <w:rPr>
          <w:rFonts w:ascii="Arial" w:hAnsi="Arial" w:cs="Arial"/>
          <w:i/>
        </w:rPr>
        <w:t>Neethling</w:t>
      </w:r>
      <w:proofErr w:type="spellEnd"/>
      <w:r w:rsidR="00E56681" w:rsidRPr="00874833">
        <w:rPr>
          <w:rFonts w:ascii="Arial" w:hAnsi="Arial" w:cs="Arial"/>
          <w:i/>
        </w:rPr>
        <w:t xml:space="preserve"> and Potgiet</w:t>
      </w:r>
      <w:r w:rsidR="00D977AD" w:rsidRPr="00874833">
        <w:rPr>
          <w:rFonts w:ascii="Arial" w:hAnsi="Arial" w:cs="Arial"/>
          <w:i/>
        </w:rPr>
        <w:t xml:space="preserve">er distinguish between absolute </w:t>
      </w:r>
      <w:r w:rsidR="00E56681" w:rsidRPr="00874833">
        <w:rPr>
          <w:rFonts w:ascii="Arial" w:hAnsi="Arial" w:cs="Arial"/>
          <w:i/>
        </w:rPr>
        <w:t xml:space="preserve">and relative privilege (see </w:t>
      </w:r>
      <w:proofErr w:type="spellStart"/>
      <w:r w:rsidR="00E56681" w:rsidRPr="00874833">
        <w:rPr>
          <w:rFonts w:ascii="Arial" w:hAnsi="Arial" w:cs="Arial"/>
          <w:i/>
        </w:rPr>
        <w:t>Neethling</w:t>
      </w:r>
      <w:proofErr w:type="spellEnd"/>
      <w:r w:rsidR="00E56681" w:rsidRPr="00874833">
        <w:rPr>
          <w:rFonts w:ascii="Arial" w:hAnsi="Arial" w:cs="Arial"/>
          <w:i/>
        </w:rPr>
        <w:t xml:space="preserve"> &amp; </w:t>
      </w:r>
      <w:r w:rsidRPr="00874833">
        <w:rPr>
          <w:rFonts w:ascii="Arial" w:hAnsi="Arial" w:cs="Arial"/>
          <w:i/>
        </w:rPr>
        <w:t xml:space="preserve">Potgieter 358). The defendants’ </w:t>
      </w:r>
      <w:r w:rsidR="00E56681" w:rsidRPr="00874833">
        <w:rPr>
          <w:rFonts w:ascii="Arial" w:hAnsi="Arial" w:cs="Arial"/>
          <w:i/>
        </w:rPr>
        <w:t xml:space="preserve">communication is generally privileged. </w:t>
      </w:r>
      <w:r w:rsidRPr="00874833">
        <w:rPr>
          <w:rFonts w:ascii="Arial" w:hAnsi="Arial" w:cs="Arial"/>
          <w:i/>
        </w:rPr>
        <w:t xml:space="preserve">Absolute privilege means that </w:t>
      </w:r>
      <w:r w:rsidRPr="00874833">
        <w:rPr>
          <w:rFonts w:ascii="Arial" w:hAnsi="Arial" w:cs="Arial"/>
          <w:i/>
        </w:rPr>
        <w:lastRenderedPageBreak/>
        <w:t xml:space="preserve">a </w:t>
      </w:r>
      <w:r w:rsidR="00E56681" w:rsidRPr="00874833">
        <w:rPr>
          <w:rFonts w:ascii="Arial" w:hAnsi="Arial" w:cs="Arial"/>
          <w:i/>
        </w:rPr>
        <w:t>person making the statement has</w:t>
      </w:r>
      <w:r w:rsidRPr="00874833">
        <w:rPr>
          <w:rFonts w:ascii="Arial" w:hAnsi="Arial" w:cs="Arial"/>
          <w:i/>
        </w:rPr>
        <w:t xml:space="preserve"> an absolute right to make that </w:t>
      </w:r>
      <w:r w:rsidR="00E56681" w:rsidRPr="00874833">
        <w:rPr>
          <w:rFonts w:ascii="Arial" w:hAnsi="Arial" w:cs="Arial"/>
          <w:i/>
        </w:rPr>
        <w:t xml:space="preserve">statement at that time, even if it is </w:t>
      </w:r>
      <w:r w:rsidRPr="00874833">
        <w:rPr>
          <w:rFonts w:ascii="Arial" w:hAnsi="Arial" w:cs="Arial"/>
          <w:i/>
        </w:rPr>
        <w:t xml:space="preserve">defamatory. In other words, the </w:t>
      </w:r>
      <w:r w:rsidR="00E56681" w:rsidRPr="00874833">
        <w:rPr>
          <w:rFonts w:ascii="Arial" w:hAnsi="Arial" w:cs="Arial"/>
          <w:i/>
        </w:rPr>
        <w:t>person making the defamatory statemen</w:t>
      </w:r>
      <w:r w:rsidR="00D977AD" w:rsidRPr="00874833">
        <w:rPr>
          <w:rFonts w:ascii="Arial" w:hAnsi="Arial" w:cs="Arial"/>
          <w:i/>
        </w:rPr>
        <w:t xml:space="preserve">ts is immune from liability for </w:t>
      </w:r>
      <w:r w:rsidR="00E56681" w:rsidRPr="00874833">
        <w:rPr>
          <w:rFonts w:ascii="Arial" w:hAnsi="Arial" w:cs="Arial"/>
          <w:i/>
        </w:rPr>
        <w:t>defamation. For example, it exe</w:t>
      </w:r>
      <w:r w:rsidRPr="00874833">
        <w:rPr>
          <w:rFonts w:ascii="Arial" w:hAnsi="Arial" w:cs="Arial"/>
          <w:i/>
        </w:rPr>
        <w:t xml:space="preserve">mpts persons from liability for </w:t>
      </w:r>
      <w:r w:rsidR="00E56681" w:rsidRPr="00874833">
        <w:rPr>
          <w:rFonts w:ascii="Arial" w:hAnsi="Arial" w:cs="Arial"/>
          <w:i/>
        </w:rPr>
        <w:t>potentially defamatory statements made d</w:t>
      </w:r>
      <w:r w:rsidRPr="00874833">
        <w:rPr>
          <w:rFonts w:ascii="Arial" w:hAnsi="Arial" w:cs="Arial"/>
          <w:i/>
        </w:rPr>
        <w:t xml:space="preserve">uring judicial or parliamentary </w:t>
      </w:r>
      <w:r w:rsidR="00E56681" w:rsidRPr="00874833">
        <w:rPr>
          <w:rFonts w:ascii="Arial" w:hAnsi="Arial" w:cs="Arial"/>
          <w:i/>
        </w:rPr>
        <w:t>proceedings. Relative privilege me</w:t>
      </w:r>
      <w:r w:rsidRPr="00874833">
        <w:rPr>
          <w:rFonts w:ascii="Arial" w:hAnsi="Arial" w:cs="Arial"/>
          <w:i/>
        </w:rPr>
        <w:t xml:space="preserve">ans that a defendant making the </w:t>
      </w:r>
      <w:r w:rsidR="00E56681" w:rsidRPr="00874833">
        <w:rPr>
          <w:rFonts w:ascii="Arial" w:hAnsi="Arial" w:cs="Arial"/>
          <w:i/>
        </w:rPr>
        <w:t xml:space="preserve">allegedly defamatory statement may </w:t>
      </w:r>
      <w:r w:rsidRPr="00874833">
        <w:rPr>
          <w:rFonts w:ascii="Arial" w:hAnsi="Arial" w:cs="Arial"/>
          <w:i/>
        </w:rPr>
        <w:t xml:space="preserve">have had some right to make the </w:t>
      </w:r>
      <w:r w:rsidR="00E56681" w:rsidRPr="00874833">
        <w:rPr>
          <w:rFonts w:ascii="Arial" w:hAnsi="Arial" w:cs="Arial"/>
          <w:i/>
        </w:rPr>
        <w:t>statement. If relative privilege applies to a statement it means that the</w:t>
      </w:r>
    </w:p>
    <w:p w:rsidR="00E56681" w:rsidRPr="00874833" w:rsidRDefault="00E56681" w:rsidP="002717F4">
      <w:pPr>
        <w:autoSpaceDE w:val="0"/>
        <w:autoSpaceDN w:val="0"/>
        <w:adjustRightInd w:val="0"/>
        <w:spacing w:after="0" w:line="360" w:lineRule="auto"/>
        <w:ind w:left="720" w:right="720"/>
        <w:rPr>
          <w:rFonts w:ascii="Arial" w:hAnsi="Arial" w:cs="Arial"/>
          <w:i/>
        </w:rPr>
      </w:pPr>
      <w:proofErr w:type="gramStart"/>
      <w:r w:rsidRPr="00874833">
        <w:rPr>
          <w:rFonts w:ascii="Arial" w:hAnsi="Arial" w:cs="Arial"/>
          <w:i/>
        </w:rPr>
        <w:t>plaintiff</w:t>
      </w:r>
      <w:proofErr w:type="gramEnd"/>
      <w:r w:rsidRPr="00874833">
        <w:rPr>
          <w:rFonts w:ascii="Arial" w:hAnsi="Arial" w:cs="Arial"/>
          <w:i/>
        </w:rPr>
        <w:t xml:space="preserve"> must prove that the d</w:t>
      </w:r>
      <w:r w:rsidR="00920378" w:rsidRPr="00874833">
        <w:rPr>
          <w:rFonts w:ascii="Arial" w:hAnsi="Arial" w:cs="Arial"/>
          <w:i/>
        </w:rPr>
        <w:t xml:space="preserve">efendant exceeded the bounds of </w:t>
      </w:r>
      <w:r w:rsidRPr="00874833">
        <w:rPr>
          <w:rFonts w:ascii="Arial" w:hAnsi="Arial" w:cs="Arial"/>
          <w:i/>
        </w:rPr>
        <w:t>privileged occasion (</w:t>
      </w:r>
      <w:proofErr w:type="spellStart"/>
      <w:r w:rsidRPr="00874833">
        <w:rPr>
          <w:rFonts w:ascii="Arial" w:hAnsi="Arial" w:cs="Arial"/>
          <w:i/>
        </w:rPr>
        <w:t>Neethling</w:t>
      </w:r>
      <w:proofErr w:type="spellEnd"/>
      <w:r w:rsidRPr="00874833">
        <w:rPr>
          <w:rFonts w:ascii="Arial" w:hAnsi="Arial" w:cs="Arial"/>
          <w:i/>
        </w:rPr>
        <w:t xml:space="preserve"> &amp; Potgieter 358)</w:t>
      </w:r>
      <w:r w:rsidR="00D977AD" w:rsidRPr="00874833">
        <w:rPr>
          <w:rFonts w:ascii="Arial" w:hAnsi="Arial" w:cs="Arial"/>
          <w:i/>
        </w:rPr>
        <w:t>…</w:t>
      </w:r>
    </w:p>
    <w:p w:rsidR="00F4543E" w:rsidRPr="00874833" w:rsidRDefault="00F4543E" w:rsidP="002717F4">
      <w:pPr>
        <w:autoSpaceDE w:val="0"/>
        <w:autoSpaceDN w:val="0"/>
        <w:adjustRightInd w:val="0"/>
        <w:spacing w:after="0" w:line="360" w:lineRule="auto"/>
        <w:ind w:left="720" w:right="720"/>
        <w:rPr>
          <w:rFonts w:ascii="Arial" w:hAnsi="Arial" w:cs="Arial"/>
          <w:i/>
        </w:rPr>
      </w:pPr>
    </w:p>
    <w:p w:rsidR="00E56681" w:rsidRPr="00874833" w:rsidRDefault="00E56681" w:rsidP="00D977AD">
      <w:pPr>
        <w:autoSpaceDE w:val="0"/>
        <w:autoSpaceDN w:val="0"/>
        <w:adjustRightInd w:val="0"/>
        <w:spacing w:after="0" w:line="360" w:lineRule="auto"/>
        <w:ind w:left="720" w:right="720"/>
        <w:rPr>
          <w:rFonts w:ascii="Arial" w:hAnsi="Arial" w:cs="Arial"/>
          <w:i/>
        </w:rPr>
      </w:pPr>
      <w:proofErr w:type="spellStart"/>
      <w:r w:rsidRPr="00874833">
        <w:rPr>
          <w:rFonts w:ascii="Arial" w:hAnsi="Arial" w:cs="Arial"/>
          <w:i/>
        </w:rPr>
        <w:t>Sher</w:t>
      </w:r>
      <w:proofErr w:type="spellEnd"/>
      <w:r w:rsidR="00920378" w:rsidRPr="00874833">
        <w:rPr>
          <w:rFonts w:ascii="Arial" w:hAnsi="Arial" w:cs="Arial"/>
          <w:i/>
        </w:rPr>
        <w:t xml:space="preserve"> and Spencer, as members of the </w:t>
      </w:r>
      <w:r w:rsidRPr="00874833">
        <w:rPr>
          <w:rFonts w:ascii="Arial" w:hAnsi="Arial" w:cs="Arial"/>
          <w:i/>
        </w:rPr>
        <w:t xml:space="preserve">Stella Club, wrote the letter on behalf of </w:t>
      </w:r>
      <w:r w:rsidR="00920378" w:rsidRPr="00874833">
        <w:rPr>
          <w:rFonts w:ascii="Arial" w:hAnsi="Arial" w:cs="Arial"/>
          <w:i/>
        </w:rPr>
        <w:t xml:space="preserve">its club members with regard to </w:t>
      </w:r>
      <w:r w:rsidRPr="00874833">
        <w:rPr>
          <w:rFonts w:ascii="Arial" w:hAnsi="Arial" w:cs="Arial"/>
          <w:i/>
        </w:rPr>
        <w:t xml:space="preserve">the alleged misconduct of </w:t>
      </w:r>
      <w:proofErr w:type="spellStart"/>
      <w:r w:rsidRPr="00874833">
        <w:rPr>
          <w:rFonts w:ascii="Arial" w:hAnsi="Arial" w:cs="Arial"/>
          <w:i/>
        </w:rPr>
        <w:t>Vermaak</w:t>
      </w:r>
      <w:proofErr w:type="spellEnd"/>
      <w:r w:rsidRPr="00874833">
        <w:rPr>
          <w:rFonts w:ascii="Arial" w:hAnsi="Arial" w:cs="Arial"/>
          <w:i/>
        </w:rPr>
        <w:t xml:space="preserve">. The </w:t>
      </w:r>
      <w:proofErr w:type="spellStart"/>
      <w:r w:rsidRPr="00874833">
        <w:rPr>
          <w:rFonts w:ascii="Arial" w:hAnsi="Arial" w:cs="Arial"/>
          <w:i/>
        </w:rPr>
        <w:t>defence</w:t>
      </w:r>
      <w:proofErr w:type="spellEnd"/>
      <w:r w:rsidRPr="00874833">
        <w:rPr>
          <w:rFonts w:ascii="Arial" w:hAnsi="Arial" w:cs="Arial"/>
          <w:i/>
        </w:rPr>
        <w:t xml:space="preserve"> is available if the</w:t>
      </w:r>
      <w:r w:rsidR="00D977AD" w:rsidRPr="00874833">
        <w:rPr>
          <w:rFonts w:ascii="Arial" w:hAnsi="Arial" w:cs="Arial"/>
          <w:i/>
        </w:rPr>
        <w:t xml:space="preserve"> </w:t>
      </w:r>
      <w:r w:rsidRPr="00874833">
        <w:rPr>
          <w:rFonts w:ascii="Arial" w:hAnsi="Arial" w:cs="Arial"/>
          <w:i/>
        </w:rPr>
        <w:t xml:space="preserve">defamatory words were published in the </w:t>
      </w:r>
      <w:r w:rsidR="00920378" w:rsidRPr="00874833">
        <w:rPr>
          <w:rFonts w:ascii="Arial" w:hAnsi="Arial" w:cs="Arial"/>
          <w:i/>
        </w:rPr>
        <w:t xml:space="preserve">discharge of a duty or exercise </w:t>
      </w:r>
      <w:r w:rsidRPr="00874833">
        <w:rPr>
          <w:rFonts w:ascii="Arial" w:hAnsi="Arial" w:cs="Arial"/>
          <w:i/>
        </w:rPr>
        <w:t>of a right to a person who had a duty or right to receive the statement</w:t>
      </w:r>
      <w:r w:rsidR="00920378" w:rsidRPr="00874833">
        <w:rPr>
          <w:rFonts w:ascii="Arial" w:hAnsi="Arial" w:cs="Arial"/>
          <w:i/>
        </w:rPr>
        <w:t xml:space="preserve"> </w:t>
      </w:r>
      <w:r w:rsidRPr="00874833">
        <w:rPr>
          <w:rFonts w:ascii="Arial" w:hAnsi="Arial" w:cs="Arial"/>
          <w:i/>
        </w:rPr>
        <w:t>(</w:t>
      </w:r>
      <w:proofErr w:type="spellStart"/>
      <w:r w:rsidRPr="00874833">
        <w:rPr>
          <w:rFonts w:ascii="Arial" w:hAnsi="Arial" w:cs="Arial"/>
          <w:i/>
          <w:iCs/>
        </w:rPr>
        <w:t>Mkhonza</w:t>
      </w:r>
      <w:proofErr w:type="spellEnd"/>
      <w:r w:rsidRPr="00874833">
        <w:rPr>
          <w:rFonts w:ascii="Arial" w:hAnsi="Arial" w:cs="Arial"/>
          <w:i/>
          <w:iCs/>
        </w:rPr>
        <w:t xml:space="preserve"> v Minister of Police </w:t>
      </w:r>
      <w:r w:rsidRPr="00874833">
        <w:rPr>
          <w:rFonts w:ascii="Arial" w:hAnsi="Arial" w:cs="Arial"/>
          <w:i/>
        </w:rPr>
        <w:t>(1662</w:t>
      </w:r>
      <w:r w:rsidR="00920378" w:rsidRPr="00874833">
        <w:rPr>
          <w:rFonts w:ascii="Arial" w:hAnsi="Arial" w:cs="Arial"/>
          <w:i/>
        </w:rPr>
        <w:t xml:space="preserve">9/12) [2015] ZAGPPHC 266 (8 May </w:t>
      </w:r>
      <w:r w:rsidRPr="00874833">
        <w:rPr>
          <w:rFonts w:ascii="Arial" w:hAnsi="Arial" w:cs="Arial"/>
          <w:i/>
        </w:rPr>
        <w:t xml:space="preserve">2015)). Due to the relationship that existed between the parties </w:t>
      </w:r>
      <w:r w:rsidRPr="00874833">
        <w:rPr>
          <w:rFonts w:ascii="Arial" w:hAnsi="Arial" w:cs="Arial"/>
          <w:i/>
          <w:iCs/>
        </w:rPr>
        <w:t xml:space="preserve">in </w:t>
      </w:r>
      <w:proofErr w:type="spellStart"/>
      <w:r w:rsidRPr="00874833">
        <w:rPr>
          <w:rFonts w:ascii="Arial" w:hAnsi="Arial" w:cs="Arial"/>
          <w:i/>
          <w:iCs/>
        </w:rPr>
        <w:t>casu</w:t>
      </w:r>
      <w:proofErr w:type="spellEnd"/>
      <w:r w:rsidR="00920378" w:rsidRPr="00874833">
        <w:rPr>
          <w:rFonts w:ascii="Arial" w:hAnsi="Arial" w:cs="Arial"/>
          <w:i/>
        </w:rPr>
        <w:t xml:space="preserve"> </w:t>
      </w:r>
      <w:r w:rsidRPr="00874833">
        <w:rPr>
          <w:rFonts w:ascii="Arial" w:hAnsi="Arial" w:cs="Arial"/>
          <w:i/>
        </w:rPr>
        <w:t>and if it is proven that both parties had a</w:t>
      </w:r>
      <w:r w:rsidR="00920378" w:rsidRPr="00874833">
        <w:rPr>
          <w:rFonts w:ascii="Arial" w:hAnsi="Arial" w:cs="Arial"/>
          <w:i/>
        </w:rPr>
        <w:t xml:space="preserve"> corresponding duty or interest </w:t>
      </w:r>
      <w:r w:rsidRPr="00874833">
        <w:rPr>
          <w:rFonts w:ascii="Arial" w:hAnsi="Arial" w:cs="Arial"/>
          <w:i/>
        </w:rPr>
        <w:t>(that a privileged occasion existed), the defendant must further prove</w:t>
      </w:r>
      <w:r w:rsidR="00D977AD" w:rsidRPr="00874833">
        <w:rPr>
          <w:rFonts w:ascii="Arial" w:hAnsi="Arial" w:cs="Arial"/>
          <w:i/>
        </w:rPr>
        <w:t xml:space="preserve"> </w:t>
      </w:r>
      <w:r w:rsidRPr="00874833">
        <w:rPr>
          <w:rFonts w:ascii="Arial" w:hAnsi="Arial" w:cs="Arial"/>
          <w:i/>
        </w:rPr>
        <w:t xml:space="preserve">that he acted within the scope and limits of the privilege. </w:t>
      </w:r>
      <w:r w:rsidR="00920378" w:rsidRPr="00874833">
        <w:rPr>
          <w:rFonts w:ascii="Arial" w:hAnsi="Arial" w:cs="Arial"/>
          <w:i/>
        </w:rPr>
        <w:t xml:space="preserve">The defendants </w:t>
      </w:r>
      <w:r w:rsidRPr="00874833">
        <w:rPr>
          <w:rFonts w:ascii="Arial" w:hAnsi="Arial" w:cs="Arial"/>
          <w:i/>
        </w:rPr>
        <w:t>w</w:t>
      </w:r>
      <w:r w:rsidR="00D977AD" w:rsidRPr="00874833">
        <w:rPr>
          <w:rFonts w:ascii="Arial" w:hAnsi="Arial" w:cs="Arial"/>
          <w:i/>
        </w:rPr>
        <w:t xml:space="preserve">ould have had to prove that the </w:t>
      </w:r>
      <w:r w:rsidRPr="00874833">
        <w:rPr>
          <w:rFonts w:ascii="Arial" w:hAnsi="Arial" w:cs="Arial"/>
          <w:i/>
        </w:rPr>
        <w:t>defama</w:t>
      </w:r>
      <w:r w:rsidR="00920378" w:rsidRPr="00874833">
        <w:rPr>
          <w:rFonts w:ascii="Arial" w:hAnsi="Arial" w:cs="Arial"/>
          <w:i/>
        </w:rPr>
        <w:t xml:space="preserve">tory assertions were related to </w:t>
      </w:r>
      <w:r w:rsidRPr="00874833">
        <w:rPr>
          <w:rFonts w:ascii="Arial" w:hAnsi="Arial" w:cs="Arial"/>
          <w:i/>
        </w:rPr>
        <w:t>the discharge of their duties or the furt</w:t>
      </w:r>
      <w:r w:rsidR="00920378" w:rsidRPr="00874833">
        <w:rPr>
          <w:rFonts w:ascii="Arial" w:hAnsi="Arial" w:cs="Arial"/>
          <w:i/>
        </w:rPr>
        <w:t xml:space="preserve">herance of the interests of the </w:t>
      </w:r>
      <w:r w:rsidRPr="00874833">
        <w:rPr>
          <w:rFonts w:ascii="Arial" w:hAnsi="Arial" w:cs="Arial"/>
          <w:i/>
        </w:rPr>
        <w:t>Club. However, the plaintiff may still show that the defendants exceeded</w:t>
      </w:r>
      <w:r w:rsidR="00920378" w:rsidRPr="00874833">
        <w:rPr>
          <w:rFonts w:ascii="Arial" w:hAnsi="Arial" w:cs="Arial"/>
          <w:i/>
        </w:rPr>
        <w:t xml:space="preserve"> </w:t>
      </w:r>
      <w:r w:rsidRPr="00874833">
        <w:rPr>
          <w:rFonts w:ascii="Arial" w:hAnsi="Arial" w:cs="Arial"/>
          <w:i/>
        </w:rPr>
        <w:t xml:space="preserve">the boundaries of privilege because they acted with malice. In </w:t>
      </w:r>
      <w:r w:rsidRPr="00874833">
        <w:rPr>
          <w:rFonts w:ascii="Arial" w:hAnsi="Arial" w:cs="Arial"/>
          <w:i/>
          <w:iCs/>
        </w:rPr>
        <w:t>Kennel</w:t>
      </w:r>
      <w:r w:rsidR="00920378" w:rsidRPr="00874833">
        <w:rPr>
          <w:rFonts w:ascii="Arial" w:hAnsi="Arial" w:cs="Arial"/>
          <w:i/>
        </w:rPr>
        <w:t xml:space="preserve"> </w:t>
      </w:r>
      <w:r w:rsidRPr="00874833">
        <w:rPr>
          <w:rFonts w:ascii="Arial" w:hAnsi="Arial" w:cs="Arial"/>
          <w:i/>
          <w:iCs/>
        </w:rPr>
        <w:t xml:space="preserve">Union of South Africa and Others v Park </w:t>
      </w:r>
      <w:r w:rsidRPr="00874833">
        <w:rPr>
          <w:rFonts w:ascii="Arial" w:hAnsi="Arial" w:cs="Arial"/>
          <w:i/>
        </w:rPr>
        <w:t>(</w:t>
      </w:r>
      <w:r w:rsidR="00920378" w:rsidRPr="00874833">
        <w:rPr>
          <w:rFonts w:ascii="Arial" w:hAnsi="Arial" w:cs="Arial"/>
          <w:i/>
        </w:rPr>
        <w:t xml:space="preserve">1981 1 SA 714 (C)), it was held </w:t>
      </w:r>
      <w:r w:rsidRPr="00874833">
        <w:rPr>
          <w:rFonts w:ascii="Arial" w:hAnsi="Arial" w:cs="Arial"/>
          <w:i/>
        </w:rPr>
        <w:t>that the defendants cannot shelter behind t</w:t>
      </w:r>
      <w:r w:rsidR="00920378" w:rsidRPr="00874833">
        <w:rPr>
          <w:rFonts w:ascii="Arial" w:hAnsi="Arial" w:cs="Arial"/>
          <w:i/>
        </w:rPr>
        <w:t xml:space="preserve">he privilege unless it is shown </w:t>
      </w:r>
      <w:r w:rsidRPr="00874833">
        <w:rPr>
          <w:rFonts w:ascii="Arial" w:hAnsi="Arial" w:cs="Arial"/>
          <w:i/>
        </w:rPr>
        <w:t xml:space="preserve">that the report was a truthful, accurate and honest report, published </w:t>
      </w:r>
      <w:r w:rsidRPr="00874833">
        <w:rPr>
          <w:rFonts w:ascii="Arial" w:hAnsi="Arial" w:cs="Arial"/>
          <w:i/>
          <w:iCs/>
        </w:rPr>
        <w:t>bona</w:t>
      </w:r>
      <w:r w:rsidR="00920378" w:rsidRPr="00874833">
        <w:rPr>
          <w:rFonts w:ascii="Arial" w:hAnsi="Arial" w:cs="Arial"/>
          <w:i/>
        </w:rPr>
        <w:t xml:space="preserve"> </w:t>
      </w:r>
      <w:r w:rsidRPr="00874833">
        <w:rPr>
          <w:rFonts w:ascii="Arial" w:hAnsi="Arial" w:cs="Arial"/>
          <w:i/>
          <w:iCs/>
        </w:rPr>
        <w:t xml:space="preserve">fide </w:t>
      </w:r>
      <w:r w:rsidRPr="00874833">
        <w:rPr>
          <w:rFonts w:ascii="Arial" w:hAnsi="Arial" w:cs="Arial"/>
          <w:i/>
        </w:rPr>
        <w:t>without malice.</w:t>
      </w:r>
    </w:p>
    <w:p w:rsidR="00F4543E" w:rsidRPr="00874833" w:rsidRDefault="00F4543E" w:rsidP="002717F4">
      <w:pPr>
        <w:autoSpaceDE w:val="0"/>
        <w:autoSpaceDN w:val="0"/>
        <w:adjustRightInd w:val="0"/>
        <w:spacing w:after="0" w:line="360" w:lineRule="auto"/>
        <w:ind w:left="720" w:right="720"/>
        <w:rPr>
          <w:rFonts w:ascii="Arial" w:hAnsi="Arial" w:cs="Arial"/>
          <w:i/>
        </w:rPr>
      </w:pPr>
    </w:p>
    <w:p w:rsidR="00E56681" w:rsidRPr="00874833" w:rsidRDefault="00E56681" w:rsidP="00D977AD">
      <w:pPr>
        <w:autoSpaceDE w:val="0"/>
        <w:autoSpaceDN w:val="0"/>
        <w:adjustRightInd w:val="0"/>
        <w:spacing w:after="0" w:line="360" w:lineRule="auto"/>
        <w:ind w:left="720" w:right="720"/>
        <w:rPr>
          <w:rFonts w:ascii="Arial" w:hAnsi="Arial" w:cs="Arial"/>
          <w:i/>
        </w:rPr>
      </w:pPr>
      <w:r w:rsidRPr="00874833">
        <w:rPr>
          <w:rFonts w:ascii="Arial" w:hAnsi="Arial" w:cs="Arial"/>
          <w:i/>
        </w:rPr>
        <w:t xml:space="preserve">The </w:t>
      </w:r>
      <w:r w:rsidRPr="00874833">
        <w:rPr>
          <w:rFonts w:ascii="Arial" w:hAnsi="Arial" w:cs="Arial"/>
          <w:i/>
          <w:iCs/>
        </w:rPr>
        <w:t xml:space="preserve">prima facie </w:t>
      </w:r>
      <w:r w:rsidRPr="00874833">
        <w:rPr>
          <w:rFonts w:ascii="Arial" w:hAnsi="Arial" w:cs="Arial"/>
          <w:i/>
        </w:rPr>
        <w:t>wrongfulness of the d</w:t>
      </w:r>
      <w:r w:rsidR="00920378" w:rsidRPr="00874833">
        <w:rPr>
          <w:rFonts w:ascii="Arial" w:hAnsi="Arial" w:cs="Arial"/>
          <w:i/>
        </w:rPr>
        <w:t xml:space="preserve">efendant’s conduct will also be </w:t>
      </w:r>
      <w:r w:rsidRPr="00874833">
        <w:rPr>
          <w:rFonts w:ascii="Arial" w:hAnsi="Arial" w:cs="Arial"/>
          <w:i/>
        </w:rPr>
        <w:t xml:space="preserve">cancelled if he proves that the defamatory remarks were </w:t>
      </w:r>
      <w:r w:rsidRPr="00874833">
        <w:rPr>
          <w:rFonts w:ascii="Arial" w:hAnsi="Arial" w:cs="Arial"/>
          <w:i/>
          <w:iCs/>
        </w:rPr>
        <w:t xml:space="preserve">true </w:t>
      </w:r>
      <w:r w:rsidR="00920378" w:rsidRPr="00874833">
        <w:rPr>
          <w:rFonts w:ascii="Arial" w:hAnsi="Arial" w:cs="Arial"/>
          <w:i/>
        </w:rPr>
        <w:t xml:space="preserve">and in the </w:t>
      </w:r>
      <w:r w:rsidRPr="00874833">
        <w:rPr>
          <w:rFonts w:ascii="Arial" w:hAnsi="Arial" w:cs="Arial"/>
          <w:i/>
          <w:iCs/>
        </w:rPr>
        <w:t xml:space="preserve">public interest </w:t>
      </w:r>
      <w:r w:rsidRPr="00874833">
        <w:rPr>
          <w:rFonts w:ascii="Arial" w:hAnsi="Arial" w:cs="Arial"/>
          <w:i/>
        </w:rPr>
        <w:t xml:space="preserve">(see </w:t>
      </w:r>
      <w:proofErr w:type="spellStart"/>
      <w:r w:rsidRPr="00874833">
        <w:rPr>
          <w:rFonts w:ascii="Arial" w:hAnsi="Arial" w:cs="Arial"/>
          <w:i/>
        </w:rPr>
        <w:t>Neethling</w:t>
      </w:r>
      <w:proofErr w:type="spellEnd"/>
      <w:r w:rsidRPr="00874833">
        <w:rPr>
          <w:rFonts w:ascii="Arial" w:hAnsi="Arial" w:cs="Arial"/>
          <w:i/>
        </w:rPr>
        <w:t xml:space="preserve"> &amp; </w:t>
      </w:r>
      <w:proofErr w:type="spellStart"/>
      <w:r w:rsidRPr="00874833">
        <w:rPr>
          <w:rFonts w:ascii="Arial" w:hAnsi="Arial" w:cs="Arial"/>
          <w:i/>
        </w:rPr>
        <w:t>Potgeiter</w:t>
      </w:r>
      <w:proofErr w:type="spellEnd"/>
      <w:r w:rsidRPr="00874833">
        <w:rPr>
          <w:rFonts w:ascii="Arial" w:hAnsi="Arial" w:cs="Arial"/>
          <w:i/>
        </w:rPr>
        <w:t xml:space="preserve"> 360). </w:t>
      </w:r>
      <w:proofErr w:type="spellStart"/>
      <w:r w:rsidRPr="00874833">
        <w:rPr>
          <w:rFonts w:ascii="Arial" w:hAnsi="Arial" w:cs="Arial"/>
          <w:i/>
        </w:rPr>
        <w:t>Sher</w:t>
      </w:r>
      <w:proofErr w:type="spellEnd"/>
      <w:r w:rsidRPr="00874833">
        <w:rPr>
          <w:rFonts w:ascii="Arial" w:hAnsi="Arial" w:cs="Arial"/>
          <w:i/>
        </w:rPr>
        <w:t xml:space="preserve"> and S</w:t>
      </w:r>
      <w:r w:rsidR="00920378" w:rsidRPr="00874833">
        <w:rPr>
          <w:rFonts w:ascii="Arial" w:hAnsi="Arial" w:cs="Arial"/>
          <w:i/>
        </w:rPr>
        <w:t xml:space="preserve">pencer raised </w:t>
      </w:r>
      <w:r w:rsidRPr="00874833">
        <w:rPr>
          <w:rFonts w:ascii="Arial" w:hAnsi="Arial" w:cs="Arial"/>
          <w:i/>
        </w:rPr>
        <w:t xml:space="preserve">this </w:t>
      </w:r>
      <w:proofErr w:type="spellStart"/>
      <w:r w:rsidRPr="00874833">
        <w:rPr>
          <w:rFonts w:ascii="Arial" w:hAnsi="Arial" w:cs="Arial"/>
          <w:i/>
        </w:rPr>
        <w:t>defence</w:t>
      </w:r>
      <w:proofErr w:type="spellEnd"/>
      <w:r w:rsidRPr="00874833">
        <w:rPr>
          <w:rFonts w:ascii="Arial" w:hAnsi="Arial" w:cs="Arial"/>
          <w:i/>
        </w:rPr>
        <w:t xml:space="preserve"> by stating that the statem</w:t>
      </w:r>
      <w:r w:rsidR="00920378" w:rsidRPr="00874833">
        <w:rPr>
          <w:rFonts w:ascii="Arial" w:hAnsi="Arial" w:cs="Arial"/>
          <w:i/>
        </w:rPr>
        <w:t xml:space="preserve">ents made by them were true and </w:t>
      </w:r>
      <w:r w:rsidRPr="00874833">
        <w:rPr>
          <w:rFonts w:ascii="Arial" w:hAnsi="Arial" w:cs="Arial"/>
          <w:i/>
        </w:rPr>
        <w:t xml:space="preserve">in the interest of the members of their club </w:t>
      </w:r>
      <w:r w:rsidR="00920378" w:rsidRPr="00874833">
        <w:rPr>
          <w:rFonts w:ascii="Arial" w:hAnsi="Arial" w:cs="Arial"/>
          <w:i/>
        </w:rPr>
        <w:t xml:space="preserve">(i.e. public interest) (par 5). </w:t>
      </w:r>
      <w:r w:rsidRPr="00874833">
        <w:rPr>
          <w:rFonts w:ascii="Arial" w:hAnsi="Arial" w:cs="Arial"/>
          <w:i/>
        </w:rPr>
        <w:t>Therefore, if the defendants in a defamation matter can prove that the</w:t>
      </w:r>
      <w:r w:rsidR="00D977AD" w:rsidRPr="00874833">
        <w:rPr>
          <w:rFonts w:ascii="Arial" w:hAnsi="Arial" w:cs="Arial"/>
          <w:i/>
        </w:rPr>
        <w:t xml:space="preserve"> </w:t>
      </w:r>
      <w:r w:rsidRPr="00874833">
        <w:rPr>
          <w:rFonts w:ascii="Arial" w:hAnsi="Arial" w:cs="Arial"/>
          <w:i/>
        </w:rPr>
        <w:t>statements made were true and in the public interest, then they can</w:t>
      </w:r>
      <w:r w:rsidR="00D977AD" w:rsidRPr="00874833">
        <w:rPr>
          <w:rFonts w:ascii="Arial" w:hAnsi="Arial" w:cs="Arial"/>
          <w:i/>
        </w:rPr>
        <w:t xml:space="preserve"> </w:t>
      </w:r>
      <w:r w:rsidRPr="00874833">
        <w:rPr>
          <w:rFonts w:ascii="Arial" w:hAnsi="Arial" w:cs="Arial"/>
          <w:i/>
        </w:rPr>
        <w:t>escape liability (</w:t>
      </w:r>
      <w:r w:rsidR="00920378" w:rsidRPr="00874833">
        <w:rPr>
          <w:rFonts w:ascii="Arial" w:hAnsi="Arial" w:cs="Arial"/>
          <w:i/>
        </w:rPr>
        <w:t xml:space="preserve">see </w:t>
      </w:r>
      <w:proofErr w:type="spellStart"/>
      <w:r w:rsidR="00920378" w:rsidRPr="00874833">
        <w:rPr>
          <w:rFonts w:ascii="Arial" w:hAnsi="Arial" w:cs="Arial"/>
          <w:i/>
        </w:rPr>
        <w:t>Neethling</w:t>
      </w:r>
      <w:proofErr w:type="spellEnd"/>
      <w:r w:rsidR="00920378" w:rsidRPr="00874833">
        <w:rPr>
          <w:rFonts w:ascii="Arial" w:hAnsi="Arial" w:cs="Arial"/>
          <w:i/>
        </w:rPr>
        <w:t xml:space="preserve"> &amp; Potgieter 357). </w:t>
      </w:r>
      <w:r w:rsidRPr="00874833">
        <w:rPr>
          <w:rFonts w:ascii="Arial" w:hAnsi="Arial" w:cs="Arial"/>
          <w:i/>
        </w:rPr>
        <w:t xml:space="preserve">Every element of a </w:t>
      </w:r>
      <w:proofErr w:type="spellStart"/>
      <w:r w:rsidRPr="00874833">
        <w:rPr>
          <w:rFonts w:ascii="Arial" w:hAnsi="Arial" w:cs="Arial"/>
          <w:i/>
        </w:rPr>
        <w:lastRenderedPageBreak/>
        <w:t>delict</w:t>
      </w:r>
      <w:proofErr w:type="spellEnd"/>
      <w:r w:rsidRPr="00874833">
        <w:rPr>
          <w:rFonts w:ascii="Arial" w:hAnsi="Arial" w:cs="Arial"/>
          <w:i/>
        </w:rPr>
        <w:t xml:space="preserve"> must be proven in order to succeed with a</w:t>
      </w:r>
      <w:r w:rsidR="00920378" w:rsidRPr="00874833">
        <w:rPr>
          <w:rFonts w:ascii="Arial" w:hAnsi="Arial" w:cs="Arial"/>
          <w:i/>
        </w:rPr>
        <w:t xml:space="preserve"> </w:t>
      </w:r>
      <w:r w:rsidRPr="00874833">
        <w:rPr>
          <w:rFonts w:ascii="Arial" w:hAnsi="Arial" w:cs="Arial"/>
          <w:i/>
        </w:rPr>
        <w:t xml:space="preserve">delictual action. The elements of a </w:t>
      </w:r>
      <w:proofErr w:type="spellStart"/>
      <w:r w:rsidRPr="00874833">
        <w:rPr>
          <w:rFonts w:ascii="Arial" w:hAnsi="Arial" w:cs="Arial"/>
          <w:i/>
        </w:rPr>
        <w:t>delict</w:t>
      </w:r>
      <w:proofErr w:type="spellEnd"/>
      <w:r w:rsidRPr="00874833">
        <w:rPr>
          <w:rFonts w:ascii="Arial" w:hAnsi="Arial" w:cs="Arial"/>
          <w:i/>
        </w:rPr>
        <w:t xml:space="preserve"> are the following: an act,</w:t>
      </w:r>
      <w:r w:rsidR="00920378" w:rsidRPr="00874833">
        <w:rPr>
          <w:rFonts w:ascii="Arial" w:hAnsi="Arial" w:cs="Arial"/>
          <w:i/>
        </w:rPr>
        <w:t xml:space="preserve"> </w:t>
      </w:r>
      <w:r w:rsidRPr="00874833">
        <w:rPr>
          <w:rFonts w:ascii="Arial" w:hAnsi="Arial" w:cs="Arial"/>
          <w:i/>
        </w:rPr>
        <w:t>wrongfulness, fault (either inten</w:t>
      </w:r>
      <w:r w:rsidR="00920378" w:rsidRPr="00874833">
        <w:rPr>
          <w:rFonts w:ascii="Arial" w:hAnsi="Arial" w:cs="Arial"/>
          <w:i/>
        </w:rPr>
        <w:t xml:space="preserve">t or negligence), causation and </w:t>
      </w:r>
      <w:r w:rsidRPr="00874833">
        <w:rPr>
          <w:rFonts w:ascii="Arial" w:hAnsi="Arial" w:cs="Arial"/>
          <w:i/>
        </w:rPr>
        <w:t>damages</w:t>
      </w:r>
      <w:r w:rsidR="00920378" w:rsidRPr="00874833">
        <w:rPr>
          <w:rFonts w:ascii="Arial" w:hAnsi="Arial" w:cs="Arial"/>
          <w:i/>
        </w:rPr>
        <w:t xml:space="preserve"> </w:t>
      </w:r>
      <w:r w:rsidRPr="00874833">
        <w:rPr>
          <w:rFonts w:ascii="Arial" w:hAnsi="Arial" w:cs="Arial"/>
          <w:i/>
        </w:rPr>
        <w:t>(</w:t>
      </w:r>
      <w:proofErr w:type="spellStart"/>
      <w:r w:rsidRPr="00874833">
        <w:rPr>
          <w:rFonts w:ascii="Arial" w:hAnsi="Arial" w:cs="Arial"/>
          <w:i/>
        </w:rPr>
        <w:t>Neethling</w:t>
      </w:r>
      <w:proofErr w:type="spellEnd"/>
      <w:r w:rsidRPr="00874833">
        <w:rPr>
          <w:rFonts w:ascii="Arial" w:hAnsi="Arial" w:cs="Arial"/>
          <w:i/>
        </w:rPr>
        <w:t xml:space="preserve"> </w:t>
      </w:r>
      <w:r w:rsidRPr="00874833">
        <w:rPr>
          <w:rFonts w:ascii="Arial" w:hAnsi="Arial" w:cs="Arial"/>
          <w:i/>
          <w:iCs/>
        </w:rPr>
        <w:t xml:space="preserve">et al </w:t>
      </w:r>
      <w:r w:rsidRPr="00874833">
        <w:rPr>
          <w:rFonts w:ascii="Arial" w:hAnsi="Arial" w:cs="Arial"/>
          <w:i/>
        </w:rPr>
        <w:t>4). With that being said, in order to prove defamation,</w:t>
      </w:r>
      <w:r w:rsidR="00920378" w:rsidRPr="00874833">
        <w:rPr>
          <w:rFonts w:ascii="Arial" w:hAnsi="Arial" w:cs="Arial"/>
          <w:i/>
        </w:rPr>
        <w:t xml:space="preserve"> </w:t>
      </w:r>
      <w:r w:rsidRPr="00874833">
        <w:rPr>
          <w:rFonts w:ascii="Arial" w:hAnsi="Arial" w:cs="Arial"/>
          <w:i/>
        </w:rPr>
        <w:t>every requirement of defamation must also be proven in order to</w:t>
      </w:r>
      <w:r w:rsidR="00920378" w:rsidRPr="00874833">
        <w:rPr>
          <w:rFonts w:ascii="Arial" w:hAnsi="Arial" w:cs="Arial"/>
          <w:i/>
        </w:rPr>
        <w:t xml:space="preserve"> </w:t>
      </w:r>
      <w:r w:rsidRPr="00874833">
        <w:rPr>
          <w:rFonts w:ascii="Arial" w:hAnsi="Arial" w:cs="Arial"/>
          <w:i/>
        </w:rPr>
        <w:t>succeed with a claim for defamation (</w:t>
      </w:r>
      <w:proofErr w:type="spellStart"/>
      <w:r w:rsidRPr="00874833">
        <w:rPr>
          <w:rFonts w:ascii="Arial" w:hAnsi="Arial" w:cs="Arial"/>
          <w:i/>
        </w:rPr>
        <w:t>Neethling</w:t>
      </w:r>
      <w:proofErr w:type="spellEnd"/>
      <w:r w:rsidRPr="00874833">
        <w:rPr>
          <w:rFonts w:ascii="Arial" w:hAnsi="Arial" w:cs="Arial"/>
          <w:i/>
        </w:rPr>
        <w:t xml:space="preserve"> &amp; Potgieter 352).</w:t>
      </w:r>
      <w:r w:rsidR="00D977AD" w:rsidRPr="00874833">
        <w:rPr>
          <w:rFonts w:ascii="Arial" w:hAnsi="Arial" w:cs="Arial"/>
          <w:i/>
        </w:rPr>
        <w:t xml:space="preserve"> </w:t>
      </w:r>
      <w:r w:rsidRPr="00874833">
        <w:rPr>
          <w:rFonts w:ascii="Arial" w:hAnsi="Arial" w:cs="Arial"/>
          <w:i/>
        </w:rPr>
        <w:t xml:space="preserve">The second element to prove defamation is intent or </w:t>
      </w:r>
      <w:r w:rsidR="00920378" w:rsidRPr="00874833">
        <w:rPr>
          <w:rFonts w:ascii="Arial" w:hAnsi="Arial" w:cs="Arial"/>
          <w:i/>
          <w:iCs/>
        </w:rPr>
        <w:t xml:space="preserve">animus </w:t>
      </w:r>
      <w:proofErr w:type="spellStart"/>
      <w:r w:rsidR="00920378" w:rsidRPr="00874833">
        <w:rPr>
          <w:rFonts w:ascii="Arial" w:hAnsi="Arial" w:cs="Arial"/>
          <w:i/>
          <w:iCs/>
        </w:rPr>
        <w:t>iniuriandi</w:t>
      </w:r>
      <w:proofErr w:type="spellEnd"/>
      <w:r w:rsidR="00920378" w:rsidRPr="00874833">
        <w:rPr>
          <w:rFonts w:ascii="Arial" w:hAnsi="Arial" w:cs="Arial"/>
          <w:i/>
          <w:iCs/>
        </w:rPr>
        <w:t xml:space="preserve">, </w:t>
      </w:r>
      <w:r w:rsidRPr="00874833">
        <w:rPr>
          <w:rFonts w:ascii="Arial" w:hAnsi="Arial" w:cs="Arial"/>
          <w:i/>
        </w:rPr>
        <w:t>which means that ‘[a]n accountable person acts intentionally if his will is</w:t>
      </w:r>
      <w:r w:rsidR="00920378" w:rsidRPr="00874833">
        <w:rPr>
          <w:rFonts w:ascii="Arial" w:hAnsi="Arial" w:cs="Arial"/>
          <w:i/>
          <w:iCs/>
        </w:rPr>
        <w:t xml:space="preserve"> </w:t>
      </w:r>
      <w:r w:rsidRPr="00874833">
        <w:rPr>
          <w:rFonts w:ascii="Arial" w:hAnsi="Arial" w:cs="Arial"/>
          <w:i/>
        </w:rPr>
        <w:t>directed at a result which he causes while conscious of the wrongfulness</w:t>
      </w:r>
      <w:r w:rsidR="00920378" w:rsidRPr="00874833">
        <w:rPr>
          <w:rFonts w:ascii="Arial" w:hAnsi="Arial" w:cs="Arial"/>
          <w:i/>
          <w:iCs/>
        </w:rPr>
        <w:t xml:space="preserve"> </w:t>
      </w:r>
      <w:r w:rsidRPr="00874833">
        <w:rPr>
          <w:rFonts w:ascii="Arial" w:hAnsi="Arial" w:cs="Arial"/>
          <w:i/>
        </w:rPr>
        <w:t>of his conduct’ (</w:t>
      </w:r>
      <w:proofErr w:type="spellStart"/>
      <w:r w:rsidRPr="00874833">
        <w:rPr>
          <w:rFonts w:ascii="Arial" w:hAnsi="Arial" w:cs="Arial"/>
          <w:i/>
        </w:rPr>
        <w:t>Neethling</w:t>
      </w:r>
      <w:proofErr w:type="spellEnd"/>
      <w:r w:rsidRPr="00874833">
        <w:rPr>
          <w:rFonts w:ascii="Arial" w:hAnsi="Arial" w:cs="Arial"/>
          <w:i/>
        </w:rPr>
        <w:t xml:space="preserve"> </w:t>
      </w:r>
      <w:r w:rsidRPr="00874833">
        <w:rPr>
          <w:rFonts w:ascii="Arial" w:hAnsi="Arial" w:cs="Arial"/>
          <w:i/>
          <w:iCs/>
        </w:rPr>
        <w:t xml:space="preserve">et al </w:t>
      </w:r>
      <w:r w:rsidRPr="00874833">
        <w:rPr>
          <w:rFonts w:ascii="Arial" w:hAnsi="Arial" w:cs="Arial"/>
          <w:i/>
        </w:rPr>
        <w:t>132). If there is no direction of the will or</w:t>
      </w:r>
      <w:r w:rsidR="00920378" w:rsidRPr="00874833">
        <w:rPr>
          <w:rFonts w:ascii="Arial" w:hAnsi="Arial" w:cs="Arial"/>
          <w:i/>
          <w:iCs/>
        </w:rPr>
        <w:t xml:space="preserve"> </w:t>
      </w:r>
      <w:r w:rsidRPr="00874833">
        <w:rPr>
          <w:rFonts w:ascii="Arial" w:hAnsi="Arial" w:cs="Arial"/>
          <w:i/>
        </w:rPr>
        <w:t>conscious wrongfulness, then there cannot be intent (</w:t>
      </w:r>
      <w:proofErr w:type="spellStart"/>
      <w:r w:rsidRPr="00874833">
        <w:rPr>
          <w:rFonts w:ascii="Arial" w:hAnsi="Arial" w:cs="Arial"/>
          <w:i/>
        </w:rPr>
        <w:t>Neethling</w:t>
      </w:r>
      <w:proofErr w:type="spellEnd"/>
      <w:r w:rsidRPr="00874833">
        <w:rPr>
          <w:rFonts w:ascii="Arial" w:hAnsi="Arial" w:cs="Arial"/>
          <w:i/>
        </w:rPr>
        <w:t xml:space="preserve"> </w:t>
      </w:r>
      <w:r w:rsidRPr="00874833">
        <w:rPr>
          <w:rFonts w:ascii="Arial" w:hAnsi="Arial" w:cs="Arial"/>
          <w:i/>
          <w:iCs/>
        </w:rPr>
        <w:t>et al</w:t>
      </w:r>
      <w:r w:rsidR="00920378" w:rsidRPr="00874833">
        <w:rPr>
          <w:rFonts w:ascii="Arial" w:hAnsi="Arial" w:cs="Arial"/>
          <w:i/>
          <w:iCs/>
        </w:rPr>
        <w:t xml:space="preserve"> </w:t>
      </w:r>
      <w:r w:rsidRPr="00874833">
        <w:rPr>
          <w:rFonts w:ascii="Arial" w:hAnsi="Arial" w:cs="Arial"/>
          <w:i/>
        </w:rPr>
        <w:t>132)</w:t>
      </w:r>
      <w:r w:rsidR="00D977AD" w:rsidRPr="00874833">
        <w:rPr>
          <w:rFonts w:ascii="Arial" w:hAnsi="Arial" w:cs="Arial"/>
          <w:i/>
        </w:rPr>
        <w:t>…</w:t>
      </w:r>
      <w:r w:rsidRPr="00874833">
        <w:rPr>
          <w:rFonts w:ascii="Arial" w:hAnsi="Arial" w:cs="Arial"/>
          <w:i/>
        </w:rPr>
        <w:t xml:space="preserve"> </w:t>
      </w:r>
    </w:p>
    <w:p w:rsidR="00D977AD" w:rsidRPr="00874833" w:rsidRDefault="00D977AD" w:rsidP="00D977AD">
      <w:pPr>
        <w:autoSpaceDE w:val="0"/>
        <w:autoSpaceDN w:val="0"/>
        <w:adjustRightInd w:val="0"/>
        <w:spacing w:after="0" w:line="360" w:lineRule="auto"/>
        <w:ind w:left="720" w:right="720"/>
        <w:rPr>
          <w:rFonts w:ascii="Arial" w:hAnsi="Arial" w:cs="Arial"/>
          <w:i/>
        </w:rPr>
      </w:pPr>
    </w:p>
    <w:p w:rsidR="00874833" w:rsidRDefault="00D977AD" w:rsidP="00874833">
      <w:pPr>
        <w:autoSpaceDE w:val="0"/>
        <w:autoSpaceDN w:val="0"/>
        <w:adjustRightInd w:val="0"/>
        <w:spacing w:after="0" w:line="360" w:lineRule="auto"/>
        <w:ind w:left="720" w:right="720"/>
        <w:rPr>
          <w:rFonts w:ascii="Arial" w:hAnsi="Arial" w:cs="Arial"/>
          <w:i/>
        </w:rPr>
      </w:pPr>
      <w:r w:rsidRPr="00874833">
        <w:rPr>
          <w:rFonts w:ascii="Arial" w:hAnsi="Arial" w:cs="Arial"/>
          <w:i/>
        </w:rPr>
        <w:t>…</w:t>
      </w:r>
      <w:r w:rsidR="00E56681" w:rsidRPr="00874833">
        <w:rPr>
          <w:rFonts w:ascii="Arial" w:hAnsi="Arial" w:cs="Arial"/>
          <w:i/>
        </w:rPr>
        <w:t>The appeal court judgment stated</w:t>
      </w:r>
      <w:r w:rsidR="00920378" w:rsidRPr="00874833">
        <w:rPr>
          <w:rFonts w:ascii="Arial" w:hAnsi="Arial" w:cs="Arial"/>
          <w:i/>
        </w:rPr>
        <w:t xml:space="preserve"> that, when one is dealing with </w:t>
      </w:r>
      <w:r w:rsidR="00E56681" w:rsidRPr="00874833">
        <w:rPr>
          <w:rFonts w:ascii="Arial" w:hAnsi="Arial" w:cs="Arial"/>
          <w:i/>
        </w:rPr>
        <w:t>‘defamatory statements’, the statement complained of should be</w:t>
      </w:r>
      <w:r w:rsidR="00920378" w:rsidRPr="00874833">
        <w:rPr>
          <w:rFonts w:ascii="Arial" w:hAnsi="Arial" w:cs="Arial"/>
          <w:i/>
        </w:rPr>
        <w:t xml:space="preserve"> seen as </w:t>
      </w:r>
      <w:r w:rsidR="00E56681" w:rsidRPr="00874833">
        <w:rPr>
          <w:rFonts w:ascii="Arial" w:hAnsi="Arial" w:cs="Arial"/>
          <w:i/>
        </w:rPr>
        <w:t>defamatory to the reasonable reader and if</w:t>
      </w:r>
      <w:r w:rsidR="00920378" w:rsidRPr="00874833">
        <w:rPr>
          <w:rFonts w:ascii="Arial" w:hAnsi="Arial" w:cs="Arial"/>
          <w:i/>
        </w:rPr>
        <w:t xml:space="preserve"> it is objectively </w:t>
      </w:r>
      <w:proofErr w:type="spellStart"/>
      <w:r w:rsidR="00920378" w:rsidRPr="00874833">
        <w:rPr>
          <w:rFonts w:ascii="Arial" w:hAnsi="Arial" w:cs="Arial"/>
          <w:i/>
        </w:rPr>
        <w:t>scrutinised</w:t>
      </w:r>
      <w:proofErr w:type="spellEnd"/>
      <w:r w:rsidR="00920378" w:rsidRPr="00874833">
        <w:rPr>
          <w:rFonts w:ascii="Arial" w:hAnsi="Arial" w:cs="Arial"/>
          <w:i/>
        </w:rPr>
        <w:t xml:space="preserve">, </w:t>
      </w:r>
      <w:r w:rsidR="00E56681" w:rsidRPr="00874833">
        <w:rPr>
          <w:rFonts w:ascii="Arial" w:hAnsi="Arial" w:cs="Arial"/>
          <w:i/>
        </w:rPr>
        <w:t>then one would find it to be defamatory (par 26)</w:t>
      </w:r>
      <w:r w:rsidR="00874833" w:rsidRPr="00874833">
        <w:rPr>
          <w:rStyle w:val="FootnoteReference"/>
          <w:rFonts w:ascii="Arial" w:hAnsi="Arial" w:cs="Arial"/>
          <w:b/>
          <w:bCs/>
          <w:i/>
        </w:rPr>
        <w:footnoteReference w:id="12"/>
      </w:r>
    </w:p>
    <w:p w:rsidR="00AF6461" w:rsidRPr="00874833" w:rsidRDefault="00AF6461" w:rsidP="00874833">
      <w:pPr>
        <w:autoSpaceDE w:val="0"/>
        <w:autoSpaceDN w:val="0"/>
        <w:adjustRightInd w:val="0"/>
        <w:spacing w:after="0" w:line="360" w:lineRule="auto"/>
        <w:ind w:left="720" w:right="720"/>
        <w:rPr>
          <w:rFonts w:ascii="Arial" w:hAnsi="Arial" w:cs="Arial"/>
          <w:b/>
          <w:bCs/>
          <w:i/>
        </w:rPr>
      </w:pPr>
    </w:p>
    <w:p w:rsidR="00EC78EF" w:rsidRDefault="00D977AD" w:rsidP="00AF6461">
      <w:pPr>
        <w:autoSpaceDE w:val="0"/>
        <w:autoSpaceDN w:val="0"/>
        <w:adjustRightInd w:val="0"/>
        <w:spacing w:after="0" w:line="360" w:lineRule="auto"/>
        <w:ind w:left="720" w:right="720"/>
        <w:rPr>
          <w:rFonts w:ascii="Arial" w:hAnsi="Arial" w:cs="Arial"/>
          <w:i/>
        </w:rPr>
      </w:pPr>
      <w:r w:rsidRPr="00874833">
        <w:rPr>
          <w:rFonts w:ascii="Arial" w:hAnsi="Arial" w:cs="Arial"/>
          <w:i/>
        </w:rPr>
        <w:t>…</w:t>
      </w:r>
      <w:r w:rsidR="00E56681" w:rsidRPr="00874833">
        <w:rPr>
          <w:rFonts w:ascii="Arial" w:hAnsi="Arial" w:cs="Arial"/>
          <w:i/>
        </w:rPr>
        <w:t xml:space="preserve"> </w:t>
      </w:r>
      <w:proofErr w:type="spellStart"/>
      <w:r w:rsidR="00E56681" w:rsidRPr="00874833">
        <w:rPr>
          <w:rFonts w:ascii="Arial" w:hAnsi="Arial" w:cs="Arial"/>
          <w:i/>
        </w:rPr>
        <w:t>Ploos</w:t>
      </w:r>
      <w:proofErr w:type="spellEnd"/>
      <w:r w:rsidR="00E56681" w:rsidRPr="00874833">
        <w:rPr>
          <w:rFonts w:ascii="Arial" w:hAnsi="Arial" w:cs="Arial"/>
          <w:i/>
        </w:rPr>
        <w:t xml:space="preserve"> van</w:t>
      </w:r>
      <w:r w:rsidRPr="00874833">
        <w:rPr>
          <w:rFonts w:ascii="Arial" w:hAnsi="Arial" w:cs="Arial"/>
          <w:i/>
        </w:rPr>
        <w:t xml:space="preserve"> </w:t>
      </w:r>
      <w:r w:rsidR="00E56681" w:rsidRPr="00874833">
        <w:rPr>
          <w:rFonts w:ascii="Arial" w:hAnsi="Arial" w:cs="Arial"/>
          <w:i/>
        </w:rPr>
        <w:t>Amstel J was not convinced that a re</w:t>
      </w:r>
      <w:r w:rsidR="00920378" w:rsidRPr="00874833">
        <w:rPr>
          <w:rFonts w:ascii="Arial" w:hAnsi="Arial" w:cs="Arial"/>
          <w:i/>
        </w:rPr>
        <w:t xml:space="preserve">asonable reader would find this </w:t>
      </w:r>
      <w:r w:rsidR="00E56681" w:rsidRPr="00874833">
        <w:rPr>
          <w:rFonts w:ascii="Arial" w:hAnsi="Arial" w:cs="Arial"/>
          <w:i/>
        </w:rPr>
        <w:t>statement to be defamatory, if objectively</w:t>
      </w:r>
      <w:r w:rsidR="00920378" w:rsidRPr="00874833">
        <w:rPr>
          <w:rFonts w:ascii="Arial" w:hAnsi="Arial" w:cs="Arial"/>
          <w:i/>
        </w:rPr>
        <w:t xml:space="preserve"> </w:t>
      </w:r>
      <w:proofErr w:type="spellStart"/>
      <w:r w:rsidR="00920378" w:rsidRPr="00874833">
        <w:rPr>
          <w:rFonts w:ascii="Arial" w:hAnsi="Arial" w:cs="Arial"/>
          <w:i/>
        </w:rPr>
        <w:t>scrutinised</w:t>
      </w:r>
      <w:proofErr w:type="spellEnd"/>
      <w:r w:rsidR="00920378" w:rsidRPr="00874833">
        <w:rPr>
          <w:rFonts w:ascii="Arial" w:hAnsi="Arial" w:cs="Arial"/>
          <w:i/>
        </w:rPr>
        <w:t xml:space="preserve"> (par 26). He could </w:t>
      </w:r>
      <w:r w:rsidR="00E56681" w:rsidRPr="00874833">
        <w:rPr>
          <w:rFonts w:ascii="Arial" w:hAnsi="Arial" w:cs="Arial"/>
          <w:i/>
        </w:rPr>
        <w:t>not find that the statement complained o</w:t>
      </w:r>
      <w:r w:rsidR="00920378" w:rsidRPr="00874833">
        <w:rPr>
          <w:rFonts w:ascii="Arial" w:hAnsi="Arial" w:cs="Arial"/>
          <w:i/>
        </w:rPr>
        <w:t xml:space="preserve">f would ‘injure the good esteem </w:t>
      </w:r>
      <w:r w:rsidR="00E56681" w:rsidRPr="00874833">
        <w:rPr>
          <w:rFonts w:ascii="Arial" w:hAnsi="Arial" w:cs="Arial"/>
          <w:i/>
        </w:rPr>
        <w:t>in which the respondent was held by the reasonable reader’ (par 27).</w:t>
      </w:r>
      <w:r w:rsidR="00920378" w:rsidRPr="00874833">
        <w:rPr>
          <w:rFonts w:ascii="Arial" w:hAnsi="Arial" w:cs="Arial"/>
          <w:i/>
        </w:rPr>
        <w:t xml:space="preserve"> </w:t>
      </w:r>
      <w:r w:rsidR="00E56681" w:rsidRPr="00874833">
        <w:rPr>
          <w:rFonts w:ascii="Arial" w:hAnsi="Arial" w:cs="Arial"/>
          <w:i/>
        </w:rPr>
        <w:t>The judge looked at the wrongful</w:t>
      </w:r>
      <w:r w:rsidR="00920378" w:rsidRPr="00874833">
        <w:rPr>
          <w:rFonts w:ascii="Arial" w:hAnsi="Arial" w:cs="Arial"/>
          <w:i/>
        </w:rPr>
        <w:t>ness element (</w:t>
      </w:r>
      <w:proofErr w:type="spellStart"/>
      <w:r w:rsidR="00920378" w:rsidRPr="00874833">
        <w:rPr>
          <w:rFonts w:ascii="Arial" w:hAnsi="Arial" w:cs="Arial"/>
          <w:i/>
        </w:rPr>
        <w:t>parr</w:t>
      </w:r>
      <w:proofErr w:type="spellEnd"/>
      <w:r w:rsidR="00920378" w:rsidRPr="00874833">
        <w:rPr>
          <w:rFonts w:ascii="Arial" w:hAnsi="Arial" w:cs="Arial"/>
          <w:i/>
        </w:rPr>
        <w:t xml:space="preserve"> 26 &amp; 27) and </w:t>
      </w:r>
      <w:r w:rsidR="00E56681" w:rsidRPr="00874833">
        <w:rPr>
          <w:rFonts w:ascii="Arial" w:hAnsi="Arial" w:cs="Arial"/>
          <w:i/>
        </w:rPr>
        <w:t>came to the conclusion that the objective test for wrongfulness had not</w:t>
      </w:r>
      <w:r w:rsidRPr="00874833">
        <w:rPr>
          <w:rFonts w:ascii="Arial" w:hAnsi="Arial" w:cs="Arial"/>
          <w:i/>
        </w:rPr>
        <w:t xml:space="preserve"> </w:t>
      </w:r>
      <w:r w:rsidR="00E56681" w:rsidRPr="00874833">
        <w:rPr>
          <w:rFonts w:ascii="Arial" w:hAnsi="Arial" w:cs="Arial"/>
          <w:i/>
        </w:rPr>
        <w:t>been proven (par 27). The fact that t</w:t>
      </w:r>
      <w:r w:rsidR="00920378" w:rsidRPr="00874833">
        <w:rPr>
          <w:rFonts w:ascii="Arial" w:hAnsi="Arial" w:cs="Arial"/>
          <w:i/>
        </w:rPr>
        <w:t xml:space="preserve">he first element of defamation, </w:t>
      </w:r>
      <w:r w:rsidR="00E56681" w:rsidRPr="00874833">
        <w:rPr>
          <w:rFonts w:ascii="Arial" w:hAnsi="Arial" w:cs="Arial"/>
          <w:i/>
        </w:rPr>
        <w:t xml:space="preserve">namely wrongfulness, could not be proven </w:t>
      </w:r>
      <w:r w:rsidR="00920378" w:rsidRPr="00874833">
        <w:rPr>
          <w:rFonts w:ascii="Arial" w:hAnsi="Arial" w:cs="Arial"/>
          <w:i/>
        </w:rPr>
        <w:t xml:space="preserve">is sufficient basis to conclude </w:t>
      </w:r>
      <w:r w:rsidR="00E56681" w:rsidRPr="00874833">
        <w:rPr>
          <w:rFonts w:ascii="Arial" w:hAnsi="Arial" w:cs="Arial"/>
          <w:i/>
        </w:rPr>
        <w:t>that the statements concerned could not amount to defamation</w:t>
      </w:r>
      <w:r w:rsidRPr="00874833">
        <w:rPr>
          <w:rFonts w:ascii="Arial" w:hAnsi="Arial" w:cs="Arial"/>
          <w:i/>
        </w:rPr>
        <w:t>…’</w:t>
      </w:r>
    </w:p>
    <w:p w:rsidR="00E868CC" w:rsidRPr="00AF6461" w:rsidRDefault="00E868CC" w:rsidP="00AF6461">
      <w:pPr>
        <w:autoSpaceDE w:val="0"/>
        <w:autoSpaceDN w:val="0"/>
        <w:adjustRightInd w:val="0"/>
        <w:spacing w:after="0" w:line="360" w:lineRule="auto"/>
        <w:ind w:left="720" w:right="720"/>
        <w:rPr>
          <w:rFonts w:ascii="Arial" w:hAnsi="Arial" w:cs="Arial"/>
          <w:i/>
        </w:rPr>
      </w:pPr>
    </w:p>
    <w:p w:rsidR="00874833" w:rsidRPr="00874833" w:rsidRDefault="00874833" w:rsidP="00874833">
      <w:pPr>
        <w:pStyle w:val="ListParagraph"/>
        <w:numPr>
          <w:ilvl w:val="0"/>
          <w:numId w:val="1"/>
        </w:numPr>
        <w:spacing w:line="480" w:lineRule="auto"/>
        <w:jc w:val="both"/>
        <w:rPr>
          <w:rFonts w:ascii="Arial" w:hAnsi="Arial" w:cs="Arial"/>
          <w:i/>
        </w:rPr>
      </w:pPr>
      <w:r>
        <w:rPr>
          <w:rFonts w:ascii="Arial" w:hAnsi="Arial" w:cs="Arial"/>
        </w:rPr>
        <w:t xml:space="preserve">The writers </w:t>
      </w:r>
      <w:r>
        <w:rPr>
          <w:rFonts w:ascii="Arial" w:hAnsi="Arial" w:cs="Arial"/>
          <w:i/>
        </w:rPr>
        <w:t xml:space="preserve">(supra) </w:t>
      </w:r>
      <w:r>
        <w:rPr>
          <w:rFonts w:ascii="Arial" w:hAnsi="Arial" w:cs="Arial"/>
        </w:rPr>
        <w:t xml:space="preserve">also referred to </w:t>
      </w:r>
      <w:r w:rsidRPr="00874833">
        <w:rPr>
          <w:rFonts w:ascii="Arial" w:hAnsi="Arial" w:cs="Arial"/>
          <w:b/>
          <w:bCs/>
          <w:i/>
        </w:rPr>
        <w:t>Kennel Union of Southern Africa and Others v Park</w:t>
      </w:r>
      <w:r>
        <w:rPr>
          <w:rStyle w:val="FootnoteReference"/>
          <w:rFonts w:ascii="Arial" w:hAnsi="Arial" w:cs="Arial"/>
          <w:b/>
          <w:bCs/>
          <w:i/>
        </w:rPr>
        <w:footnoteReference w:id="13"/>
      </w:r>
    </w:p>
    <w:p w:rsidR="00874833" w:rsidRPr="00874833" w:rsidRDefault="007A0921" w:rsidP="007A0921">
      <w:pPr>
        <w:pStyle w:val="ListParagraph"/>
        <w:autoSpaceDE w:val="0"/>
        <w:autoSpaceDN w:val="0"/>
        <w:adjustRightInd w:val="0"/>
        <w:spacing w:after="0" w:line="360" w:lineRule="auto"/>
        <w:ind w:right="720"/>
        <w:rPr>
          <w:rFonts w:ascii="Arial" w:hAnsi="Arial" w:cs="Arial"/>
          <w:i/>
        </w:rPr>
      </w:pPr>
      <w:r>
        <w:rPr>
          <w:rFonts w:ascii="Arial" w:hAnsi="Arial" w:cs="Arial"/>
          <w:i/>
        </w:rPr>
        <w:lastRenderedPageBreak/>
        <w:t>‘</w:t>
      </w:r>
      <w:r w:rsidR="00874833" w:rsidRPr="00874833">
        <w:rPr>
          <w:rFonts w:ascii="Arial" w:hAnsi="Arial" w:cs="Arial"/>
          <w:i/>
        </w:rPr>
        <w:t>Mr Park, the respondent in the Constitutional Co</w:t>
      </w:r>
      <w:r w:rsidR="00E868CC">
        <w:rPr>
          <w:rFonts w:ascii="Arial" w:hAnsi="Arial" w:cs="Arial"/>
          <w:i/>
        </w:rPr>
        <w:t xml:space="preserve">urt and plaintiff in the court below (the </w:t>
      </w:r>
      <w:r w:rsidR="00874833" w:rsidRPr="00874833">
        <w:rPr>
          <w:rFonts w:ascii="Arial" w:hAnsi="Arial" w:cs="Arial"/>
          <w:i/>
        </w:rPr>
        <w:t>Magistrate’s Court, C</w:t>
      </w:r>
      <w:r w:rsidR="00E868CC">
        <w:rPr>
          <w:rFonts w:ascii="Arial" w:hAnsi="Arial" w:cs="Arial"/>
          <w:i/>
        </w:rPr>
        <w:t xml:space="preserve">ape Town) is married to Susanna </w:t>
      </w:r>
      <w:r w:rsidR="00874833" w:rsidRPr="00874833">
        <w:rPr>
          <w:rFonts w:ascii="Arial" w:hAnsi="Arial" w:cs="Arial"/>
          <w:i/>
        </w:rPr>
        <w:t>Magdalena Park who is a breeder of dog</w:t>
      </w:r>
      <w:r w:rsidR="00E868CC">
        <w:rPr>
          <w:rFonts w:ascii="Arial" w:hAnsi="Arial" w:cs="Arial"/>
          <w:i/>
        </w:rPr>
        <w:t xml:space="preserve">s in Salisbury, Rhodesia. ‘Both </w:t>
      </w:r>
      <w:r w:rsidR="00874833" w:rsidRPr="00874833">
        <w:rPr>
          <w:rFonts w:ascii="Arial" w:hAnsi="Arial" w:cs="Arial"/>
          <w:i/>
        </w:rPr>
        <w:t>the Parks are members of the Kennel Unio</w:t>
      </w:r>
      <w:r w:rsidR="00E868CC">
        <w:rPr>
          <w:rFonts w:ascii="Arial" w:hAnsi="Arial" w:cs="Arial"/>
          <w:i/>
        </w:rPr>
        <w:t xml:space="preserve">n of Southern Africa. This is a </w:t>
      </w:r>
      <w:r w:rsidR="00874833" w:rsidRPr="00874833">
        <w:rPr>
          <w:rFonts w:ascii="Arial" w:hAnsi="Arial" w:cs="Arial"/>
          <w:i/>
        </w:rPr>
        <w:t>voluntary association comprising a large</w:t>
      </w:r>
      <w:r w:rsidR="00E868CC">
        <w:rPr>
          <w:rFonts w:ascii="Arial" w:hAnsi="Arial" w:cs="Arial"/>
          <w:i/>
        </w:rPr>
        <w:t xml:space="preserve"> number of affiliated clubs and </w:t>
      </w:r>
      <w:r w:rsidR="00874833" w:rsidRPr="00874833">
        <w:rPr>
          <w:rFonts w:ascii="Arial" w:hAnsi="Arial" w:cs="Arial"/>
          <w:i/>
        </w:rPr>
        <w:t xml:space="preserve">members who are natural persons </w:t>
      </w:r>
      <w:r w:rsidR="00E868CC">
        <w:rPr>
          <w:rFonts w:ascii="Arial" w:hAnsi="Arial" w:cs="Arial"/>
          <w:i/>
        </w:rPr>
        <w:t xml:space="preserve">controlled by a Federal Council </w:t>
      </w:r>
      <w:r w:rsidR="00874833" w:rsidRPr="00874833">
        <w:rPr>
          <w:rFonts w:ascii="Arial" w:hAnsi="Arial" w:cs="Arial"/>
          <w:i/>
        </w:rPr>
        <w:t>consisting of 12 members from 12 centres’ (</w:t>
      </w:r>
      <w:r w:rsidR="00874833" w:rsidRPr="00874833">
        <w:rPr>
          <w:rFonts w:ascii="Arial" w:hAnsi="Arial" w:cs="Arial"/>
          <w:i/>
          <w:iCs/>
        </w:rPr>
        <w:t>Kennel Union of Southern</w:t>
      </w:r>
      <w:r w:rsidR="00E868CC">
        <w:rPr>
          <w:rFonts w:ascii="Arial" w:hAnsi="Arial" w:cs="Arial"/>
          <w:i/>
        </w:rPr>
        <w:t xml:space="preserve"> </w:t>
      </w:r>
      <w:r w:rsidR="00874833" w:rsidRPr="00874833">
        <w:rPr>
          <w:rFonts w:ascii="Arial" w:hAnsi="Arial" w:cs="Arial"/>
          <w:i/>
          <w:iCs/>
        </w:rPr>
        <w:t xml:space="preserve">Africa and Others v Park supra </w:t>
      </w:r>
      <w:r w:rsidR="00874833" w:rsidRPr="00874833">
        <w:rPr>
          <w:rFonts w:ascii="Arial" w:hAnsi="Arial" w:cs="Arial"/>
          <w:i/>
        </w:rPr>
        <w:t>at 716D). The Federal Council has certai</w:t>
      </w:r>
      <w:r w:rsidR="000D14C7">
        <w:rPr>
          <w:rFonts w:ascii="Arial" w:hAnsi="Arial" w:cs="Arial"/>
          <w:i/>
        </w:rPr>
        <w:t xml:space="preserve">n </w:t>
      </w:r>
      <w:r w:rsidR="00874833" w:rsidRPr="00874833">
        <w:rPr>
          <w:rFonts w:ascii="Arial" w:hAnsi="Arial" w:cs="Arial"/>
          <w:i/>
        </w:rPr>
        <w:t>disciplinary powers over memb</w:t>
      </w:r>
      <w:r w:rsidR="000D14C7">
        <w:rPr>
          <w:rFonts w:ascii="Arial" w:hAnsi="Arial" w:cs="Arial"/>
          <w:i/>
        </w:rPr>
        <w:t xml:space="preserve">ers (art 33 of the Kennel Union </w:t>
      </w:r>
      <w:r w:rsidR="00874833" w:rsidRPr="00874833">
        <w:rPr>
          <w:rFonts w:ascii="Arial" w:hAnsi="Arial" w:cs="Arial"/>
          <w:i/>
        </w:rPr>
        <w:t>Constitution read with the disciplinary rul</w:t>
      </w:r>
      <w:r w:rsidR="000D14C7">
        <w:rPr>
          <w:rFonts w:ascii="Arial" w:hAnsi="Arial" w:cs="Arial"/>
          <w:i/>
        </w:rPr>
        <w:t xml:space="preserve">es, schedule 1, made under arts </w:t>
      </w:r>
      <w:r w:rsidR="00874833" w:rsidRPr="00874833">
        <w:rPr>
          <w:rFonts w:ascii="Arial" w:hAnsi="Arial" w:cs="Arial"/>
          <w:i/>
        </w:rPr>
        <w:t>3 (5), (18) &amp; (19)). Pursuant to powers si</w:t>
      </w:r>
      <w:r w:rsidR="000D14C7">
        <w:rPr>
          <w:rFonts w:ascii="Arial" w:hAnsi="Arial" w:cs="Arial"/>
          <w:i/>
        </w:rPr>
        <w:t xml:space="preserve">milar to these in force after 1 </w:t>
      </w:r>
      <w:r w:rsidR="00874833" w:rsidRPr="00874833">
        <w:rPr>
          <w:rFonts w:ascii="Arial" w:hAnsi="Arial" w:cs="Arial"/>
          <w:i/>
        </w:rPr>
        <w:t>September 1975 (when the present constitution came into force), the</w:t>
      </w:r>
    </w:p>
    <w:p w:rsidR="00874833" w:rsidRPr="0068159E" w:rsidRDefault="00874833" w:rsidP="0068159E">
      <w:pPr>
        <w:pStyle w:val="ListParagraph"/>
        <w:autoSpaceDE w:val="0"/>
        <w:autoSpaceDN w:val="0"/>
        <w:adjustRightInd w:val="0"/>
        <w:spacing w:after="0" w:line="360" w:lineRule="auto"/>
        <w:ind w:right="720"/>
        <w:rPr>
          <w:rFonts w:ascii="Arial" w:hAnsi="Arial" w:cs="Arial"/>
          <w:i/>
        </w:rPr>
      </w:pPr>
      <w:r w:rsidRPr="00874833">
        <w:rPr>
          <w:rFonts w:ascii="Arial" w:hAnsi="Arial" w:cs="Arial"/>
          <w:i/>
        </w:rPr>
        <w:t>Kennel Union had, in 1973, suspend</w:t>
      </w:r>
      <w:r w:rsidR="000D14C7">
        <w:rPr>
          <w:rFonts w:ascii="Arial" w:hAnsi="Arial" w:cs="Arial"/>
          <w:i/>
        </w:rPr>
        <w:t xml:space="preserve">ed Mrs Park for four years from </w:t>
      </w:r>
      <w:r w:rsidRPr="00874833">
        <w:rPr>
          <w:rFonts w:ascii="Arial" w:hAnsi="Arial" w:cs="Arial"/>
          <w:i/>
        </w:rPr>
        <w:t xml:space="preserve">taking part in any of the affairs of the Union (716H). This meant, </w:t>
      </w:r>
      <w:r w:rsidRPr="00874833">
        <w:rPr>
          <w:rFonts w:ascii="Arial" w:hAnsi="Arial" w:cs="Arial"/>
          <w:i/>
          <w:iCs/>
        </w:rPr>
        <w:t>inter</w:t>
      </w:r>
      <w:r w:rsidR="000D14C7">
        <w:rPr>
          <w:rFonts w:ascii="Arial" w:hAnsi="Arial" w:cs="Arial"/>
          <w:i/>
        </w:rPr>
        <w:t xml:space="preserve"> </w:t>
      </w:r>
      <w:r w:rsidRPr="00874833">
        <w:rPr>
          <w:rFonts w:ascii="Arial" w:hAnsi="Arial" w:cs="Arial"/>
          <w:i/>
          <w:iCs/>
        </w:rPr>
        <w:t>alia</w:t>
      </w:r>
      <w:r w:rsidR="007A0921">
        <w:rPr>
          <w:rFonts w:ascii="Arial" w:hAnsi="Arial" w:cs="Arial"/>
          <w:i/>
        </w:rPr>
        <w:t xml:space="preserve">, that she was debarred from </w:t>
      </w:r>
      <w:r w:rsidRPr="00874833">
        <w:rPr>
          <w:rFonts w:ascii="Arial" w:hAnsi="Arial" w:cs="Arial"/>
          <w:i/>
        </w:rPr>
        <w:t>exhib</w:t>
      </w:r>
      <w:r w:rsidR="000D14C7">
        <w:rPr>
          <w:rFonts w:ascii="Arial" w:hAnsi="Arial" w:cs="Arial"/>
          <w:i/>
        </w:rPr>
        <w:t xml:space="preserve">iting dogs at shows – a serious </w:t>
      </w:r>
      <w:r w:rsidRPr="00874833">
        <w:rPr>
          <w:rFonts w:ascii="Arial" w:hAnsi="Arial" w:cs="Arial"/>
          <w:i/>
        </w:rPr>
        <w:t xml:space="preserve">penalty for a breeder. Her suspension </w:t>
      </w:r>
      <w:r w:rsidR="000D14C7">
        <w:rPr>
          <w:rFonts w:ascii="Arial" w:hAnsi="Arial" w:cs="Arial"/>
          <w:i/>
        </w:rPr>
        <w:t xml:space="preserve">was to run from 18 October 1973 </w:t>
      </w:r>
      <w:r w:rsidRPr="00874833">
        <w:rPr>
          <w:rFonts w:ascii="Arial" w:hAnsi="Arial" w:cs="Arial"/>
          <w:i/>
        </w:rPr>
        <w:t xml:space="preserve">to 11 October 1977. During this </w:t>
      </w:r>
      <w:r w:rsidR="007A0921">
        <w:rPr>
          <w:rFonts w:ascii="Arial" w:hAnsi="Arial" w:cs="Arial"/>
          <w:i/>
        </w:rPr>
        <w:t xml:space="preserve">time, Mr Park did a transfer of </w:t>
      </w:r>
      <w:r w:rsidRPr="007A0921">
        <w:rPr>
          <w:rFonts w:ascii="Arial" w:hAnsi="Arial" w:cs="Arial"/>
          <w:i/>
        </w:rPr>
        <w:t>registration for a few of the dogs owned</w:t>
      </w:r>
      <w:r w:rsidR="007A0921" w:rsidRPr="007A0921">
        <w:rPr>
          <w:rFonts w:ascii="Arial" w:hAnsi="Arial" w:cs="Arial"/>
          <w:i/>
        </w:rPr>
        <w:t xml:space="preserve"> by Mrs Park so that these dogs </w:t>
      </w:r>
      <w:r w:rsidRPr="007A0921">
        <w:rPr>
          <w:rFonts w:ascii="Arial" w:hAnsi="Arial" w:cs="Arial"/>
          <w:i/>
        </w:rPr>
        <w:t>could take part in certain exhibit</w:t>
      </w:r>
      <w:r w:rsidR="000D14C7" w:rsidRPr="007A0921">
        <w:rPr>
          <w:rFonts w:ascii="Arial" w:hAnsi="Arial" w:cs="Arial"/>
          <w:i/>
        </w:rPr>
        <w:t xml:space="preserve">ions (716H). </w:t>
      </w:r>
      <w:r w:rsidRPr="007A0921">
        <w:rPr>
          <w:rFonts w:ascii="Arial" w:hAnsi="Arial" w:cs="Arial"/>
          <w:i/>
        </w:rPr>
        <w:t>One of the dogs taking part in an exhibit</w:t>
      </w:r>
      <w:r w:rsidR="007A0921" w:rsidRPr="007A0921">
        <w:rPr>
          <w:rFonts w:ascii="Arial" w:hAnsi="Arial" w:cs="Arial"/>
          <w:i/>
        </w:rPr>
        <w:t xml:space="preserve">ion was still </w:t>
      </w:r>
      <w:r w:rsidR="000D14C7" w:rsidRPr="007A0921">
        <w:rPr>
          <w:rFonts w:ascii="Arial" w:hAnsi="Arial" w:cs="Arial"/>
          <w:i/>
        </w:rPr>
        <w:t xml:space="preserve">registered in his </w:t>
      </w:r>
      <w:r w:rsidRPr="007A0921">
        <w:rPr>
          <w:rFonts w:ascii="Arial" w:hAnsi="Arial" w:cs="Arial"/>
          <w:i/>
        </w:rPr>
        <w:t>wife’s name and therefore, the Union took</w:t>
      </w:r>
      <w:r w:rsidR="000D14C7" w:rsidRPr="007A0921">
        <w:rPr>
          <w:rFonts w:ascii="Arial" w:hAnsi="Arial" w:cs="Arial"/>
          <w:i/>
        </w:rPr>
        <w:t xml:space="preserve"> disciplinary action against Mr </w:t>
      </w:r>
      <w:r w:rsidRPr="007A0921">
        <w:rPr>
          <w:rFonts w:ascii="Arial" w:hAnsi="Arial" w:cs="Arial"/>
          <w:i/>
        </w:rPr>
        <w:t xml:space="preserve">Park and suspended him (717H). They </w:t>
      </w:r>
      <w:r w:rsidR="000D14C7" w:rsidRPr="007A0921">
        <w:rPr>
          <w:rFonts w:ascii="Arial" w:hAnsi="Arial" w:cs="Arial"/>
          <w:i/>
        </w:rPr>
        <w:t xml:space="preserve">further decided that any awards </w:t>
      </w:r>
      <w:r w:rsidRPr="007A0921">
        <w:rPr>
          <w:rFonts w:ascii="Arial" w:hAnsi="Arial" w:cs="Arial"/>
          <w:i/>
        </w:rPr>
        <w:t xml:space="preserve">received from the show by Mr Park should </w:t>
      </w:r>
      <w:r w:rsidR="000D14C7" w:rsidRPr="007A0921">
        <w:rPr>
          <w:rFonts w:ascii="Arial" w:hAnsi="Arial" w:cs="Arial"/>
          <w:i/>
        </w:rPr>
        <w:t xml:space="preserve">be cancelled. </w:t>
      </w:r>
      <w:proofErr w:type="gramStart"/>
      <w:r w:rsidR="000D14C7" w:rsidRPr="007A0921">
        <w:rPr>
          <w:rFonts w:ascii="Arial" w:hAnsi="Arial" w:cs="Arial"/>
          <w:i/>
        </w:rPr>
        <w:t xml:space="preserve">A while after, it was then </w:t>
      </w:r>
      <w:r w:rsidRPr="007A0921">
        <w:rPr>
          <w:rFonts w:ascii="Arial" w:hAnsi="Arial" w:cs="Arial"/>
          <w:i/>
        </w:rPr>
        <w:t>decided by the Union tha</w:t>
      </w:r>
      <w:r w:rsidR="000D14C7" w:rsidRPr="007A0921">
        <w:rPr>
          <w:rFonts w:ascii="Arial" w:hAnsi="Arial" w:cs="Arial"/>
          <w:i/>
        </w:rPr>
        <w:t>t this suspension be withdrawn.</w:t>
      </w:r>
      <w:proofErr w:type="gramEnd"/>
      <w:r w:rsidR="000D14C7" w:rsidRPr="007A0921">
        <w:rPr>
          <w:rFonts w:ascii="Arial" w:hAnsi="Arial" w:cs="Arial"/>
          <w:i/>
        </w:rPr>
        <w:t xml:space="preserve"> </w:t>
      </w:r>
      <w:r w:rsidRPr="007A0921">
        <w:rPr>
          <w:rFonts w:ascii="Arial" w:hAnsi="Arial" w:cs="Arial"/>
          <w:i/>
        </w:rPr>
        <w:t xml:space="preserve">However, the suspension of Mr Park was </w:t>
      </w:r>
      <w:r w:rsidR="000D14C7" w:rsidRPr="007A0921">
        <w:rPr>
          <w:rFonts w:ascii="Arial" w:hAnsi="Arial" w:cs="Arial"/>
          <w:i/>
        </w:rPr>
        <w:t xml:space="preserve">already published in the Kennel </w:t>
      </w:r>
      <w:r w:rsidRPr="007A0921">
        <w:rPr>
          <w:rFonts w:ascii="Arial" w:hAnsi="Arial" w:cs="Arial"/>
          <w:i/>
        </w:rPr>
        <w:t>Union Gazette The action by Mr Park arose out of this publication by the fir</w:t>
      </w:r>
      <w:r w:rsidR="000D14C7" w:rsidRPr="007A0921">
        <w:rPr>
          <w:rFonts w:ascii="Arial" w:hAnsi="Arial" w:cs="Arial"/>
          <w:i/>
        </w:rPr>
        <w:t xml:space="preserve">st </w:t>
      </w:r>
      <w:r w:rsidRPr="007A0921">
        <w:rPr>
          <w:rFonts w:ascii="Arial" w:hAnsi="Arial" w:cs="Arial"/>
          <w:i/>
        </w:rPr>
        <w:t>defendant in the Kennel Union Gazette</w:t>
      </w:r>
      <w:r w:rsidR="000D14C7" w:rsidRPr="007A0921">
        <w:rPr>
          <w:rFonts w:ascii="Arial" w:hAnsi="Arial" w:cs="Arial"/>
          <w:i/>
        </w:rPr>
        <w:t xml:space="preserve">, of which the second defendant </w:t>
      </w:r>
      <w:r w:rsidRPr="007A0921">
        <w:rPr>
          <w:rFonts w:ascii="Arial" w:hAnsi="Arial" w:cs="Arial"/>
          <w:i/>
        </w:rPr>
        <w:t>was the editor and third defendant the printer, of a report that the</w:t>
      </w:r>
      <w:r w:rsidR="0068159E">
        <w:rPr>
          <w:rFonts w:ascii="Arial" w:hAnsi="Arial" w:cs="Arial"/>
          <w:i/>
        </w:rPr>
        <w:t xml:space="preserve"> </w:t>
      </w:r>
      <w:r w:rsidRPr="0068159E">
        <w:rPr>
          <w:rFonts w:ascii="Arial" w:hAnsi="Arial" w:cs="Arial"/>
          <w:i/>
        </w:rPr>
        <w:t>plaintiff had been suspended until further n</w:t>
      </w:r>
      <w:r w:rsidR="000D14C7" w:rsidRPr="0068159E">
        <w:rPr>
          <w:rFonts w:ascii="Arial" w:hAnsi="Arial" w:cs="Arial"/>
          <w:i/>
        </w:rPr>
        <w:t xml:space="preserve">otice in terms of certain rules </w:t>
      </w:r>
      <w:r w:rsidRPr="0068159E">
        <w:rPr>
          <w:rFonts w:ascii="Arial" w:hAnsi="Arial" w:cs="Arial"/>
          <w:i/>
        </w:rPr>
        <w:t xml:space="preserve">of the first defendant (719A). </w:t>
      </w:r>
      <w:proofErr w:type="gramStart"/>
      <w:r w:rsidRPr="0068159E">
        <w:rPr>
          <w:rFonts w:ascii="Arial" w:hAnsi="Arial" w:cs="Arial"/>
          <w:i/>
        </w:rPr>
        <w:t>These rules authorised suspension for</w:t>
      </w:r>
      <w:r w:rsidR="000D14C7" w:rsidRPr="0068159E">
        <w:rPr>
          <w:rFonts w:ascii="Arial" w:hAnsi="Arial" w:cs="Arial"/>
          <w:i/>
        </w:rPr>
        <w:t xml:space="preserve"> </w:t>
      </w:r>
      <w:r w:rsidRPr="0068159E">
        <w:rPr>
          <w:rFonts w:ascii="Arial" w:hAnsi="Arial" w:cs="Arial"/>
          <w:i/>
        </w:rPr>
        <w:t>conduct which was ‘improper, dis</w:t>
      </w:r>
      <w:r w:rsidR="007A0921" w:rsidRPr="0068159E">
        <w:rPr>
          <w:rFonts w:ascii="Arial" w:hAnsi="Arial" w:cs="Arial"/>
          <w:i/>
        </w:rPr>
        <w:t xml:space="preserve">graceful or discreditable... or </w:t>
      </w:r>
      <w:r w:rsidRPr="0068159E">
        <w:rPr>
          <w:rFonts w:ascii="Arial" w:hAnsi="Arial" w:cs="Arial"/>
          <w:i/>
        </w:rPr>
        <w:t>prejudicial or injurious to the interests</w:t>
      </w:r>
      <w:r w:rsidR="007A0921" w:rsidRPr="0068159E">
        <w:rPr>
          <w:rFonts w:ascii="Arial" w:hAnsi="Arial" w:cs="Arial"/>
          <w:i/>
        </w:rPr>
        <w:t xml:space="preserve"> of canine affairs’ (719D).</w:t>
      </w:r>
      <w:proofErr w:type="gramEnd"/>
      <w:r w:rsidR="007A0921" w:rsidRPr="0068159E">
        <w:rPr>
          <w:rFonts w:ascii="Arial" w:hAnsi="Arial" w:cs="Arial"/>
          <w:i/>
        </w:rPr>
        <w:t xml:space="preserve"> The </w:t>
      </w:r>
      <w:r w:rsidRPr="0068159E">
        <w:rPr>
          <w:rFonts w:ascii="Arial" w:hAnsi="Arial" w:cs="Arial"/>
          <w:i/>
        </w:rPr>
        <w:t>alleged conduct for which the first defend</w:t>
      </w:r>
      <w:r w:rsidR="007A0921" w:rsidRPr="0068159E">
        <w:rPr>
          <w:rFonts w:ascii="Arial" w:hAnsi="Arial" w:cs="Arial"/>
          <w:i/>
        </w:rPr>
        <w:t xml:space="preserve">ant had suspended the plaintiff </w:t>
      </w:r>
      <w:r w:rsidRPr="0068159E">
        <w:rPr>
          <w:rFonts w:ascii="Arial" w:hAnsi="Arial" w:cs="Arial"/>
          <w:i/>
        </w:rPr>
        <w:t>was that he had entered a dog in a do</w:t>
      </w:r>
      <w:r w:rsidR="007A0921" w:rsidRPr="0068159E">
        <w:rPr>
          <w:rFonts w:ascii="Arial" w:hAnsi="Arial" w:cs="Arial"/>
          <w:i/>
        </w:rPr>
        <w:t xml:space="preserve">g show and had signed the entry </w:t>
      </w:r>
      <w:r w:rsidRPr="0068159E">
        <w:rPr>
          <w:rFonts w:ascii="Arial" w:hAnsi="Arial" w:cs="Arial"/>
          <w:i/>
        </w:rPr>
        <w:t>form as owner of the dog when, acc</w:t>
      </w:r>
      <w:r w:rsidR="007A0921" w:rsidRPr="0068159E">
        <w:rPr>
          <w:rFonts w:ascii="Arial" w:hAnsi="Arial" w:cs="Arial"/>
          <w:i/>
        </w:rPr>
        <w:t xml:space="preserve">ording to the first defendant's </w:t>
      </w:r>
      <w:r w:rsidRPr="0068159E">
        <w:rPr>
          <w:rFonts w:ascii="Arial" w:hAnsi="Arial" w:cs="Arial"/>
          <w:i/>
        </w:rPr>
        <w:t>records, the dog was owned by his wif</w:t>
      </w:r>
      <w:r w:rsidR="007A0921" w:rsidRPr="0068159E">
        <w:rPr>
          <w:rFonts w:ascii="Arial" w:hAnsi="Arial" w:cs="Arial"/>
          <w:i/>
        </w:rPr>
        <w:t xml:space="preserve">e, who had some time previously </w:t>
      </w:r>
      <w:r w:rsidRPr="0068159E">
        <w:rPr>
          <w:rFonts w:ascii="Arial" w:hAnsi="Arial" w:cs="Arial"/>
          <w:i/>
        </w:rPr>
        <w:t>been suspended by the first defendant. In fact, the plaintiff was t</w:t>
      </w:r>
      <w:r w:rsidR="007A0921" w:rsidRPr="0068159E">
        <w:rPr>
          <w:rFonts w:ascii="Arial" w:hAnsi="Arial" w:cs="Arial"/>
          <w:i/>
        </w:rPr>
        <w:t xml:space="preserve">he </w:t>
      </w:r>
      <w:r w:rsidRPr="0068159E">
        <w:rPr>
          <w:rFonts w:ascii="Arial" w:hAnsi="Arial" w:cs="Arial"/>
          <w:i/>
        </w:rPr>
        <w:t>owner of the dog in question, he having purchased it from his wife, and</w:t>
      </w:r>
    </w:p>
    <w:p w:rsidR="00874833" w:rsidRPr="007A0921" w:rsidRDefault="00874833" w:rsidP="007A0921">
      <w:pPr>
        <w:pStyle w:val="ListParagraph"/>
        <w:autoSpaceDE w:val="0"/>
        <w:autoSpaceDN w:val="0"/>
        <w:adjustRightInd w:val="0"/>
        <w:spacing w:after="0" w:line="360" w:lineRule="auto"/>
        <w:ind w:right="720"/>
        <w:rPr>
          <w:rFonts w:ascii="Arial" w:hAnsi="Arial" w:cs="Arial"/>
          <w:i/>
        </w:rPr>
      </w:pPr>
      <w:proofErr w:type="gramStart"/>
      <w:r w:rsidRPr="00874833">
        <w:rPr>
          <w:rFonts w:ascii="Arial" w:hAnsi="Arial" w:cs="Arial"/>
          <w:i/>
        </w:rPr>
        <w:lastRenderedPageBreak/>
        <w:t>the</w:t>
      </w:r>
      <w:proofErr w:type="gramEnd"/>
      <w:r w:rsidRPr="00874833">
        <w:rPr>
          <w:rFonts w:ascii="Arial" w:hAnsi="Arial" w:cs="Arial"/>
          <w:i/>
        </w:rPr>
        <w:t xml:space="preserve"> entry form which he had signe</w:t>
      </w:r>
      <w:r w:rsidR="007A0921">
        <w:rPr>
          <w:rFonts w:ascii="Arial" w:hAnsi="Arial" w:cs="Arial"/>
          <w:i/>
        </w:rPr>
        <w:t xml:space="preserve">d was regular in terms of first </w:t>
      </w:r>
      <w:r w:rsidRPr="00874833">
        <w:rPr>
          <w:rFonts w:ascii="Arial" w:hAnsi="Arial" w:cs="Arial"/>
          <w:i/>
        </w:rPr>
        <w:t>defendant's rules as the plaintiff had applied</w:t>
      </w:r>
      <w:r w:rsidR="007A0921">
        <w:rPr>
          <w:rFonts w:ascii="Arial" w:hAnsi="Arial" w:cs="Arial"/>
          <w:i/>
        </w:rPr>
        <w:t xml:space="preserve"> to the first defendant for the </w:t>
      </w:r>
      <w:r w:rsidRPr="00874833">
        <w:rPr>
          <w:rFonts w:ascii="Arial" w:hAnsi="Arial" w:cs="Arial"/>
          <w:i/>
        </w:rPr>
        <w:t xml:space="preserve">transfer of registration of ownership </w:t>
      </w:r>
      <w:r w:rsidR="007A0921">
        <w:rPr>
          <w:rFonts w:ascii="Arial" w:hAnsi="Arial" w:cs="Arial"/>
          <w:i/>
        </w:rPr>
        <w:t xml:space="preserve">of the dog to his own name. It </w:t>
      </w:r>
      <w:r w:rsidRPr="00874833">
        <w:rPr>
          <w:rFonts w:ascii="Arial" w:hAnsi="Arial" w:cs="Arial"/>
          <w:i/>
        </w:rPr>
        <w:t>further appeared that the suspens</w:t>
      </w:r>
      <w:r w:rsidR="007A0921">
        <w:rPr>
          <w:rFonts w:ascii="Arial" w:hAnsi="Arial" w:cs="Arial"/>
          <w:i/>
        </w:rPr>
        <w:t xml:space="preserve">ion followed a complaint by the </w:t>
      </w:r>
      <w:r w:rsidRPr="00874833">
        <w:rPr>
          <w:rFonts w:ascii="Arial" w:hAnsi="Arial" w:cs="Arial"/>
          <w:i/>
        </w:rPr>
        <w:t>secretary of the first defendant, but that n</w:t>
      </w:r>
      <w:r w:rsidR="007A0921">
        <w:rPr>
          <w:rFonts w:ascii="Arial" w:hAnsi="Arial" w:cs="Arial"/>
          <w:i/>
        </w:rPr>
        <w:t xml:space="preserve">o copy of the written complaint </w:t>
      </w:r>
      <w:r w:rsidRPr="00874833">
        <w:rPr>
          <w:rFonts w:ascii="Arial" w:hAnsi="Arial" w:cs="Arial"/>
          <w:i/>
        </w:rPr>
        <w:t>had been sent to the plaintiff as required</w:t>
      </w:r>
      <w:r w:rsidR="007A0921">
        <w:rPr>
          <w:rFonts w:ascii="Arial" w:hAnsi="Arial" w:cs="Arial"/>
          <w:i/>
        </w:rPr>
        <w:t xml:space="preserve"> by the first defendant's rules </w:t>
      </w:r>
      <w:r w:rsidRPr="00874833">
        <w:rPr>
          <w:rFonts w:ascii="Arial" w:hAnsi="Arial" w:cs="Arial"/>
          <w:i/>
        </w:rPr>
        <w:t>and, in breach of the first defendan</w:t>
      </w:r>
      <w:r w:rsidR="007A0921">
        <w:rPr>
          <w:rFonts w:ascii="Arial" w:hAnsi="Arial" w:cs="Arial"/>
          <w:i/>
        </w:rPr>
        <w:t xml:space="preserve">t's constitution, he had had no </w:t>
      </w:r>
      <w:r w:rsidRPr="00874833">
        <w:rPr>
          <w:rFonts w:ascii="Arial" w:hAnsi="Arial" w:cs="Arial"/>
          <w:i/>
        </w:rPr>
        <w:t>opportunity to answer the complaint o</w:t>
      </w:r>
      <w:r w:rsidR="007A0921">
        <w:rPr>
          <w:rFonts w:ascii="Arial" w:hAnsi="Arial" w:cs="Arial"/>
          <w:i/>
        </w:rPr>
        <w:t xml:space="preserve">r otherwise defend himself. The </w:t>
      </w:r>
      <w:r w:rsidRPr="00874833">
        <w:rPr>
          <w:rFonts w:ascii="Arial" w:hAnsi="Arial" w:cs="Arial"/>
          <w:i/>
        </w:rPr>
        <w:t>decision to suspend him was acc</w:t>
      </w:r>
      <w:r w:rsidR="007A0921">
        <w:rPr>
          <w:rFonts w:ascii="Arial" w:hAnsi="Arial" w:cs="Arial"/>
          <w:i/>
        </w:rPr>
        <w:t xml:space="preserve">ordingly improperly reached and </w:t>
      </w:r>
      <w:r w:rsidRPr="007A0921">
        <w:rPr>
          <w:rFonts w:ascii="Arial" w:hAnsi="Arial" w:cs="Arial"/>
          <w:i/>
        </w:rPr>
        <w:t xml:space="preserve">invalid. It was alleged that this publication was </w:t>
      </w:r>
      <w:proofErr w:type="spellStart"/>
      <w:r w:rsidRPr="007A0921">
        <w:rPr>
          <w:rFonts w:ascii="Arial" w:hAnsi="Arial" w:cs="Arial"/>
          <w:i/>
          <w:iCs/>
        </w:rPr>
        <w:t>animo</w:t>
      </w:r>
      <w:proofErr w:type="spellEnd"/>
      <w:r w:rsidRPr="007A0921">
        <w:rPr>
          <w:rFonts w:ascii="Arial" w:hAnsi="Arial" w:cs="Arial"/>
          <w:i/>
          <w:iCs/>
        </w:rPr>
        <w:t xml:space="preserve"> </w:t>
      </w:r>
      <w:proofErr w:type="spellStart"/>
      <w:r w:rsidRPr="007A0921">
        <w:rPr>
          <w:rFonts w:ascii="Arial" w:hAnsi="Arial" w:cs="Arial"/>
          <w:i/>
          <w:iCs/>
        </w:rPr>
        <w:t>iniuriandi</w:t>
      </w:r>
      <w:proofErr w:type="spellEnd"/>
      <w:r w:rsidRPr="007A0921">
        <w:rPr>
          <w:rFonts w:ascii="Arial" w:hAnsi="Arial" w:cs="Arial"/>
          <w:i/>
          <w:iCs/>
        </w:rPr>
        <w:t xml:space="preserve"> </w:t>
      </w:r>
      <w:r w:rsidR="007A0921" w:rsidRPr="007A0921">
        <w:rPr>
          <w:rFonts w:ascii="Arial" w:hAnsi="Arial" w:cs="Arial"/>
          <w:i/>
        </w:rPr>
        <w:t xml:space="preserve">(720(G)), in </w:t>
      </w:r>
      <w:r w:rsidRPr="007A0921">
        <w:rPr>
          <w:rFonts w:ascii="Arial" w:hAnsi="Arial" w:cs="Arial"/>
          <w:i/>
        </w:rPr>
        <w:t xml:space="preserve">consequence whereof the plaintiff </w:t>
      </w:r>
      <w:r w:rsidR="007A0921" w:rsidRPr="007A0921">
        <w:rPr>
          <w:rFonts w:ascii="Arial" w:hAnsi="Arial" w:cs="Arial"/>
          <w:i/>
        </w:rPr>
        <w:t xml:space="preserve">suffered R750 as damages to his </w:t>
      </w:r>
      <w:r w:rsidRPr="007A0921">
        <w:rPr>
          <w:rFonts w:ascii="Arial" w:hAnsi="Arial" w:cs="Arial"/>
          <w:i/>
        </w:rPr>
        <w:t>goo</w:t>
      </w:r>
      <w:r w:rsidR="007A0921" w:rsidRPr="007A0921">
        <w:rPr>
          <w:rFonts w:ascii="Arial" w:hAnsi="Arial" w:cs="Arial"/>
          <w:i/>
        </w:rPr>
        <w:t xml:space="preserve">d name and reputation (720(G)). </w:t>
      </w:r>
      <w:r w:rsidRPr="007A0921">
        <w:rPr>
          <w:rFonts w:ascii="Arial" w:hAnsi="Arial" w:cs="Arial"/>
          <w:i/>
        </w:rPr>
        <w:t>In the alternative,</w:t>
      </w:r>
      <w:r w:rsidR="007A0921" w:rsidRPr="007A0921">
        <w:rPr>
          <w:rFonts w:ascii="Arial" w:hAnsi="Arial" w:cs="Arial"/>
          <w:i/>
        </w:rPr>
        <w:t xml:space="preserve"> Mr Park pleaded the following: </w:t>
      </w:r>
      <w:r w:rsidRPr="007A0921">
        <w:rPr>
          <w:rFonts w:ascii="Arial" w:hAnsi="Arial" w:cs="Arial"/>
          <w:i/>
        </w:rPr>
        <w:t>Alternatively, and only in the event of this Hono</w:t>
      </w:r>
      <w:r w:rsidR="007A0921" w:rsidRPr="007A0921">
        <w:rPr>
          <w:rFonts w:ascii="Arial" w:hAnsi="Arial" w:cs="Arial"/>
          <w:i/>
        </w:rPr>
        <w:t xml:space="preserve">urable Court’s finding that the </w:t>
      </w:r>
      <w:r w:rsidRPr="007A0921">
        <w:rPr>
          <w:rFonts w:ascii="Arial" w:hAnsi="Arial" w:cs="Arial"/>
          <w:i/>
        </w:rPr>
        <w:t>pleaded words of Defendants were not defamat</w:t>
      </w:r>
      <w:r w:rsidR="007A0921" w:rsidRPr="007A0921">
        <w:rPr>
          <w:rFonts w:ascii="Arial" w:hAnsi="Arial" w:cs="Arial"/>
          <w:i/>
        </w:rPr>
        <w:t xml:space="preserve">ory in their plain and ordinary </w:t>
      </w:r>
      <w:r w:rsidRPr="007A0921">
        <w:rPr>
          <w:rFonts w:ascii="Arial" w:hAnsi="Arial" w:cs="Arial"/>
          <w:i/>
        </w:rPr>
        <w:t xml:space="preserve">meaning, plaintiff, pleads that the said </w:t>
      </w:r>
      <w:r w:rsidR="007A0921" w:rsidRPr="007A0921">
        <w:rPr>
          <w:rFonts w:ascii="Arial" w:hAnsi="Arial" w:cs="Arial"/>
          <w:i/>
        </w:rPr>
        <w:t xml:space="preserve">words constitute an innuendo of </w:t>
      </w:r>
      <w:r w:rsidRPr="007A0921">
        <w:rPr>
          <w:rFonts w:ascii="Arial" w:hAnsi="Arial" w:cs="Arial"/>
          <w:i/>
        </w:rPr>
        <w:t>dishonesty on Plaintiff’s part, the words being</w:t>
      </w:r>
      <w:r w:rsidR="007A0921" w:rsidRPr="007A0921">
        <w:rPr>
          <w:rFonts w:ascii="Arial" w:hAnsi="Arial" w:cs="Arial"/>
          <w:i/>
        </w:rPr>
        <w:t xml:space="preserve"> intended to convey and in fact </w:t>
      </w:r>
      <w:r w:rsidRPr="007A0921">
        <w:rPr>
          <w:rFonts w:ascii="Arial" w:hAnsi="Arial" w:cs="Arial"/>
          <w:i/>
        </w:rPr>
        <w:t>conveying to readers of the said Kennel Un</w:t>
      </w:r>
      <w:r w:rsidR="007A0921" w:rsidRPr="007A0921">
        <w:rPr>
          <w:rFonts w:ascii="Arial" w:hAnsi="Arial" w:cs="Arial"/>
          <w:i/>
        </w:rPr>
        <w:t xml:space="preserve">ion Gazette that Plaintiff is a </w:t>
      </w:r>
      <w:r w:rsidRPr="007A0921">
        <w:rPr>
          <w:rFonts w:ascii="Arial" w:hAnsi="Arial" w:cs="Arial"/>
          <w:i/>
        </w:rPr>
        <w:t>dishonest person and that he would and d</w:t>
      </w:r>
      <w:r w:rsidR="007A0921" w:rsidRPr="007A0921">
        <w:rPr>
          <w:rFonts w:ascii="Arial" w:hAnsi="Arial" w:cs="Arial"/>
          <w:i/>
        </w:rPr>
        <w:t xml:space="preserve">id dishonestly enter a dog in a </w:t>
      </w:r>
      <w:r w:rsidRPr="007A0921">
        <w:rPr>
          <w:rFonts w:ascii="Arial" w:hAnsi="Arial" w:cs="Arial"/>
          <w:i/>
        </w:rPr>
        <w:t>show without being entitled to do so. The innu</w:t>
      </w:r>
      <w:r w:rsidR="007A0921" w:rsidRPr="007A0921">
        <w:rPr>
          <w:rFonts w:ascii="Arial" w:hAnsi="Arial" w:cs="Arial"/>
          <w:i/>
        </w:rPr>
        <w:t xml:space="preserve">endo that Plaintiff was not the </w:t>
      </w:r>
      <w:r w:rsidRPr="007A0921">
        <w:rPr>
          <w:rFonts w:ascii="Arial" w:hAnsi="Arial" w:cs="Arial"/>
          <w:i/>
        </w:rPr>
        <w:t xml:space="preserve">registered owner of the dog, Exhibit 318, as at 13th/14th March 1976 </w:t>
      </w:r>
      <w:r w:rsidR="007A0921" w:rsidRPr="007A0921">
        <w:rPr>
          <w:rFonts w:ascii="Arial" w:hAnsi="Arial" w:cs="Arial"/>
          <w:i/>
        </w:rPr>
        <w:t xml:space="preserve">and had </w:t>
      </w:r>
      <w:r w:rsidRPr="007A0921">
        <w:rPr>
          <w:rFonts w:ascii="Arial" w:hAnsi="Arial" w:cs="Arial"/>
          <w:i/>
        </w:rPr>
        <w:t>therefore dishonestly signed as owner of all thr</w:t>
      </w:r>
      <w:r w:rsidR="007A0921" w:rsidRPr="007A0921">
        <w:rPr>
          <w:rFonts w:ascii="Arial" w:hAnsi="Arial" w:cs="Arial"/>
          <w:i/>
        </w:rPr>
        <w:t xml:space="preserve">ee dogs is clear, was factually </w:t>
      </w:r>
      <w:r w:rsidRPr="007A0921">
        <w:rPr>
          <w:rFonts w:ascii="Arial" w:hAnsi="Arial" w:cs="Arial"/>
          <w:i/>
        </w:rPr>
        <w:t>incorrect, and was published and printed</w:t>
      </w:r>
      <w:r w:rsidR="007A0921" w:rsidRPr="007A0921">
        <w:rPr>
          <w:rFonts w:ascii="Arial" w:hAnsi="Arial" w:cs="Arial"/>
          <w:i/>
        </w:rPr>
        <w:t xml:space="preserve"> with the intention of injuring </w:t>
      </w:r>
      <w:r w:rsidRPr="007A0921">
        <w:rPr>
          <w:rFonts w:ascii="Arial" w:hAnsi="Arial" w:cs="Arial"/>
          <w:i/>
        </w:rPr>
        <w:t>Plaintiff in his good name and reputation. As a result thereof Plaintiff suffer</w:t>
      </w:r>
      <w:r w:rsidR="007A0921" w:rsidRPr="007A0921">
        <w:rPr>
          <w:rFonts w:ascii="Arial" w:hAnsi="Arial" w:cs="Arial"/>
          <w:i/>
        </w:rPr>
        <w:t xml:space="preserve">ed </w:t>
      </w:r>
      <w:r w:rsidRPr="007A0921">
        <w:rPr>
          <w:rFonts w:ascii="Arial" w:hAnsi="Arial" w:cs="Arial"/>
          <w:i/>
        </w:rPr>
        <w:t>damages to his good name and reputatio</w:t>
      </w:r>
      <w:r w:rsidR="007A0921" w:rsidRPr="007A0921">
        <w:rPr>
          <w:rFonts w:ascii="Arial" w:hAnsi="Arial" w:cs="Arial"/>
          <w:i/>
        </w:rPr>
        <w:t>n in the sum of R750</w:t>
      </w:r>
      <w:proofErr w:type="gramStart"/>
      <w:r w:rsidR="007A0921" w:rsidRPr="007A0921">
        <w:rPr>
          <w:rFonts w:ascii="Arial" w:hAnsi="Arial" w:cs="Arial"/>
          <w:i/>
        </w:rPr>
        <w:t>,00</w:t>
      </w:r>
      <w:proofErr w:type="gramEnd"/>
      <w:r w:rsidR="007A0921" w:rsidRPr="007A0921">
        <w:rPr>
          <w:rFonts w:ascii="Arial" w:hAnsi="Arial" w:cs="Arial"/>
          <w:i/>
        </w:rPr>
        <w:t xml:space="preserve"> (720H). </w:t>
      </w:r>
      <w:r w:rsidRPr="007A0921">
        <w:rPr>
          <w:rFonts w:ascii="Arial" w:hAnsi="Arial" w:cs="Arial"/>
          <w:i/>
        </w:rPr>
        <w:t>As to the innuendo pleaded by the plaintiff, the defendants denied that</w:t>
      </w:r>
      <w:r w:rsidR="007A0921">
        <w:rPr>
          <w:rFonts w:ascii="Arial" w:hAnsi="Arial" w:cs="Arial"/>
          <w:i/>
        </w:rPr>
        <w:t xml:space="preserve"> </w:t>
      </w:r>
      <w:r w:rsidRPr="007A0921">
        <w:rPr>
          <w:rFonts w:ascii="Arial" w:hAnsi="Arial" w:cs="Arial"/>
          <w:i/>
        </w:rPr>
        <w:t xml:space="preserve">the words were intended to convey </w:t>
      </w:r>
      <w:r w:rsidR="007A0921" w:rsidRPr="007A0921">
        <w:rPr>
          <w:rFonts w:ascii="Arial" w:hAnsi="Arial" w:cs="Arial"/>
          <w:i/>
        </w:rPr>
        <w:t xml:space="preserve">or did convey to readers of the </w:t>
      </w:r>
      <w:r w:rsidRPr="007A0921">
        <w:rPr>
          <w:rFonts w:ascii="Arial" w:hAnsi="Arial" w:cs="Arial"/>
          <w:i/>
        </w:rPr>
        <w:t xml:space="preserve">Gazette that the plaintiff was dishonest and </w:t>
      </w:r>
      <w:r w:rsidR="007A0921" w:rsidRPr="007A0921">
        <w:rPr>
          <w:rFonts w:ascii="Arial" w:hAnsi="Arial" w:cs="Arial"/>
          <w:i/>
        </w:rPr>
        <w:t xml:space="preserve">had dishonestly entered a </w:t>
      </w:r>
      <w:r w:rsidRPr="007A0921">
        <w:rPr>
          <w:rFonts w:ascii="Arial" w:hAnsi="Arial" w:cs="Arial"/>
          <w:i/>
        </w:rPr>
        <w:t xml:space="preserve">dog for a show without </w:t>
      </w:r>
      <w:r w:rsidR="007A0921" w:rsidRPr="007A0921">
        <w:rPr>
          <w:rFonts w:ascii="Arial" w:hAnsi="Arial" w:cs="Arial"/>
          <w:i/>
        </w:rPr>
        <w:t xml:space="preserve">being entitled to do so (721H). </w:t>
      </w:r>
      <w:r w:rsidRPr="007A0921">
        <w:rPr>
          <w:rFonts w:ascii="Arial" w:hAnsi="Arial" w:cs="Arial"/>
          <w:i/>
        </w:rPr>
        <w:t>The pa</w:t>
      </w:r>
      <w:r w:rsidR="007A0921" w:rsidRPr="007A0921">
        <w:rPr>
          <w:rFonts w:ascii="Arial" w:hAnsi="Arial" w:cs="Arial"/>
          <w:i/>
        </w:rPr>
        <w:t xml:space="preserve">rties then went on to deny the: </w:t>
      </w:r>
      <w:r w:rsidRPr="007A0921">
        <w:rPr>
          <w:rFonts w:ascii="Arial" w:hAnsi="Arial" w:cs="Arial"/>
          <w:i/>
        </w:rPr>
        <w:t>alleged innuendo that the plaintiff had been gui</w:t>
      </w:r>
      <w:r w:rsidR="007A0921" w:rsidRPr="007A0921">
        <w:rPr>
          <w:rFonts w:ascii="Arial" w:hAnsi="Arial" w:cs="Arial"/>
          <w:i/>
        </w:rPr>
        <w:t xml:space="preserve">lty of improper, disgraceful or </w:t>
      </w:r>
      <w:r w:rsidR="007A0921">
        <w:rPr>
          <w:rFonts w:ascii="Arial" w:hAnsi="Arial" w:cs="Arial"/>
          <w:i/>
        </w:rPr>
        <w:t xml:space="preserve">discreditable conduct or </w:t>
      </w:r>
      <w:r w:rsidRPr="007A0921">
        <w:rPr>
          <w:rFonts w:ascii="Arial" w:hAnsi="Arial" w:cs="Arial"/>
          <w:i/>
        </w:rPr>
        <w:t>conduct prejudicial or injurious to the interests of</w:t>
      </w:r>
      <w:r w:rsidR="007A0921" w:rsidRPr="007A0921">
        <w:rPr>
          <w:rFonts w:ascii="Arial" w:hAnsi="Arial" w:cs="Arial"/>
          <w:i/>
        </w:rPr>
        <w:t xml:space="preserve"> </w:t>
      </w:r>
      <w:r w:rsidRPr="007A0921">
        <w:rPr>
          <w:rFonts w:ascii="Arial" w:hAnsi="Arial" w:cs="Arial"/>
          <w:i/>
        </w:rPr>
        <w:t>canine affairs or persons concerned or conne</w:t>
      </w:r>
      <w:r w:rsidR="007A0921" w:rsidRPr="007A0921">
        <w:rPr>
          <w:rFonts w:ascii="Arial" w:hAnsi="Arial" w:cs="Arial"/>
          <w:i/>
        </w:rPr>
        <w:t xml:space="preserve">cted therewith; and denied that </w:t>
      </w:r>
      <w:r w:rsidRPr="007A0921">
        <w:rPr>
          <w:rFonts w:ascii="Arial" w:hAnsi="Arial" w:cs="Arial"/>
          <w:i/>
        </w:rPr>
        <w:t>anyone understood the report in that way; an</w:t>
      </w:r>
      <w:r w:rsidR="007A0921" w:rsidRPr="007A0921">
        <w:rPr>
          <w:rFonts w:ascii="Arial" w:hAnsi="Arial" w:cs="Arial"/>
          <w:i/>
        </w:rPr>
        <w:t xml:space="preserve">d in the result denied that the </w:t>
      </w:r>
      <w:r w:rsidRPr="007A0921">
        <w:rPr>
          <w:rFonts w:ascii="Arial" w:hAnsi="Arial" w:cs="Arial"/>
          <w:i/>
        </w:rPr>
        <w:t>plaintiff had suff</w:t>
      </w:r>
      <w:r w:rsidR="007A0921" w:rsidRPr="007A0921">
        <w:rPr>
          <w:rFonts w:ascii="Arial" w:hAnsi="Arial" w:cs="Arial"/>
          <w:i/>
        </w:rPr>
        <w:t xml:space="preserve">ered any damages at all (722D). </w:t>
      </w:r>
      <w:r w:rsidRPr="007A0921">
        <w:rPr>
          <w:rFonts w:ascii="Arial" w:hAnsi="Arial" w:cs="Arial"/>
          <w:i/>
        </w:rPr>
        <w:t>Nine months later, the defendants</w:t>
      </w:r>
      <w:r w:rsidR="007A0921" w:rsidRPr="007A0921">
        <w:rPr>
          <w:rFonts w:ascii="Arial" w:hAnsi="Arial" w:cs="Arial"/>
          <w:i/>
        </w:rPr>
        <w:t xml:space="preserve"> amended their plea by pleading </w:t>
      </w:r>
      <w:r w:rsidRPr="007A0921">
        <w:rPr>
          <w:rFonts w:ascii="Arial" w:hAnsi="Arial" w:cs="Arial"/>
          <w:i/>
        </w:rPr>
        <w:t xml:space="preserve">privilege. They averred that the </w:t>
      </w:r>
      <w:r w:rsidR="007A0921" w:rsidRPr="007A0921">
        <w:rPr>
          <w:rFonts w:ascii="Arial" w:hAnsi="Arial" w:cs="Arial"/>
          <w:i/>
        </w:rPr>
        <w:t xml:space="preserve">occasion of the publication was </w:t>
      </w:r>
      <w:r w:rsidRPr="007A0921">
        <w:rPr>
          <w:rFonts w:ascii="Arial" w:hAnsi="Arial" w:cs="Arial"/>
          <w:i/>
        </w:rPr>
        <w:t>privileged because (722F):</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r w:rsidRPr="00874833">
        <w:rPr>
          <w:rFonts w:ascii="Arial" w:hAnsi="Arial" w:cs="Arial"/>
          <w:i/>
        </w:rPr>
        <w:t>(</w:t>
      </w:r>
      <w:proofErr w:type="spellStart"/>
      <w:r w:rsidRPr="00874833">
        <w:rPr>
          <w:rFonts w:ascii="Arial" w:hAnsi="Arial" w:cs="Arial"/>
          <w:i/>
        </w:rPr>
        <w:t>i</w:t>
      </w:r>
      <w:proofErr w:type="spellEnd"/>
      <w:r w:rsidRPr="00874833">
        <w:rPr>
          <w:rFonts w:ascii="Arial" w:hAnsi="Arial" w:cs="Arial"/>
          <w:i/>
        </w:rPr>
        <w:t>) The plaintiff was at all material times a member of the Kennel Union</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proofErr w:type="gramStart"/>
      <w:r w:rsidRPr="00874833">
        <w:rPr>
          <w:rFonts w:ascii="Arial" w:hAnsi="Arial" w:cs="Arial"/>
          <w:i/>
        </w:rPr>
        <w:lastRenderedPageBreak/>
        <w:t>and</w:t>
      </w:r>
      <w:proofErr w:type="gramEnd"/>
      <w:r w:rsidRPr="00874833">
        <w:rPr>
          <w:rFonts w:ascii="Arial" w:hAnsi="Arial" w:cs="Arial"/>
          <w:i/>
        </w:rPr>
        <w:t xml:space="preserve"> as such was bound by the constitution; or alternatively was at all material</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proofErr w:type="gramStart"/>
      <w:r w:rsidRPr="00874833">
        <w:rPr>
          <w:rFonts w:ascii="Arial" w:hAnsi="Arial" w:cs="Arial"/>
          <w:i/>
        </w:rPr>
        <w:t>times</w:t>
      </w:r>
      <w:proofErr w:type="gramEnd"/>
      <w:r w:rsidRPr="00874833">
        <w:rPr>
          <w:rFonts w:ascii="Arial" w:hAnsi="Arial" w:cs="Arial"/>
          <w:i/>
        </w:rPr>
        <w:t xml:space="preserve"> bound by the constitution.</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r w:rsidRPr="00874833">
        <w:rPr>
          <w:rFonts w:ascii="Arial" w:hAnsi="Arial" w:cs="Arial"/>
          <w:i/>
        </w:rPr>
        <w:t>(ii) The defendants respectively publish, edit and print the Gazette which is</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proofErr w:type="gramStart"/>
      <w:r w:rsidRPr="00874833">
        <w:rPr>
          <w:rFonts w:ascii="Arial" w:hAnsi="Arial" w:cs="Arial"/>
          <w:i/>
        </w:rPr>
        <w:t>the</w:t>
      </w:r>
      <w:proofErr w:type="gramEnd"/>
      <w:r w:rsidRPr="00874833">
        <w:rPr>
          <w:rFonts w:ascii="Arial" w:hAnsi="Arial" w:cs="Arial"/>
          <w:i/>
        </w:rPr>
        <w:t xml:space="preserve"> official organ of the Federal Council of the Kennel Union of Southern</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r w:rsidRPr="00874833">
        <w:rPr>
          <w:rFonts w:ascii="Arial" w:hAnsi="Arial" w:cs="Arial"/>
          <w:i/>
        </w:rPr>
        <w:t>Africa.</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r w:rsidRPr="00874833">
        <w:rPr>
          <w:rFonts w:ascii="Arial" w:hAnsi="Arial" w:cs="Arial"/>
          <w:i/>
        </w:rPr>
        <w:t>(iii) The Gazette is published only to members of the Union who are</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proofErr w:type="gramStart"/>
      <w:r w:rsidRPr="00874833">
        <w:rPr>
          <w:rFonts w:ascii="Arial" w:hAnsi="Arial" w:cs="Arial"/>
          <w:i/>
        </w:rPr>
        <w:t>persons</w:t>
      </w:r>
      <w:proofErr w:type="gramEnd"/>
      <w:r w:rsidRPr="00874833">
        <w:rPr>
          <w:rFonts w:ascii="Arial" w:hAnsi="Arial" w:cs="Arial"/>
          <w:i/>
        </w:rPr>
        <w:t xml:space="preserve"> having an interest in the affairs of the Union and in affairs relating to</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proofErr w:type="gramStart"/>
      <w:r w:rsidRPr="00874833">
        <w:rPr>
          <w:rFonts w:ascii="Arial" w:hAnsi="Arial" w:cs="Arial"/>
          <w:i/>
        </w:rPr>
        <w:t>dogs</w:t>
      </w:r>
      <w:proofErr w:type="gramEnd"/>
      <w:r w:rsidRPr="00874833">
        <w:rPr>
          <w:rFonts w:ascii="Arial" w:hAnsi="Arial" w:cs="Arial"/>
          <w:i/>
        </w:rPr>
        <w:t xml:space="preserve"> generally,</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proofErr w:type="gramStart"/>
      <w:r w:rsidRPr="00874833">
        <w:rPr>
          <w:rFonts w:ascii="Arial" w:hAnsi="Arial" w:cs="Arial"/>
          <w:i/>
        </w:rPr>
        <w:t>(iv) In terms of</w:t>
      </w:r>
      <w:proofErr w:type="gramEnd"/>
      <w:r w:rsidRPr="00874833">
        <w:rPr>
          <w:rFonts w:ascii="Arial" w:hAnsi="Arial" w:cs="Arial"/>
          <w:i/>
        </w:rPr>
        <w:t xml:space="preserve"> Rule 14 in Schedule 1 to the Constitution the Council is</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proofErr w:type="gramStart"/>
      <w:r w:rsidRPr="00874833">
        <w:rPr>
          <w:rFonts w:ascii="Arial" w:hAnsi="Arial" w:cs="Arial"/>
          <w:i/>
        </w:rPr>
        <w:t>empowered</w:t>
      </w:r>
      <w:proofErr w:type="gramEnd"/>
      <w:r w:rsidRPr="00874833">
        <w:rPr>
          <w:rFonts w:ascii="Arial" w:hAnsi="Arial" w:cs="Arial"/>
          <w:i/>
        </w:rPr>
        <w:t xml:space="preserve"> to publish in the Gazette full details of any complaint, the</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proofErr w:type="gramStart"/>
      <w:r w:rsidRPr="00874833">
        <w:rPr>
          <w:rFonts w:ascii="Arial" w:hAnsi="Arial" w:cs="Arial"/>
          <w:i/>
        </w:rPr>
        <w:t>decision</w:t>
      </w:r>
      <w:proofErr w:type="gramEnd"/>
      <w:r w:rsidRPr="00874833">
        <w:rPr>
          <w:rFonts w:ascii="Arial" w:hAnsi="Arial" w:cs="Arial"/>
          <w:i/>
        </w:rPr>
        <w:t xml:space="preserve"> of the Disciplinary Committee and the decision of the Council</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proofErr w:type="gramStart"/>
      <w:r w:rsidRPr="00874833">
        <w:rPr>
          <w:rFonts w:ascii="Arial" w:hAnsi="Arial" w:cs="Arial"/>
          <w:i/>
        </w:rPr>
        <w:t>thereon</w:t>
      </w:r>
      <w:proofErr w:type="gramEnd"/>
      <w:r w:rsidRPr="00874833">
        <w:rPr>
          <w:rFonts w:ascii="Arial" w:hAnsi="Arial" w:cs="Arial"/>
          <w:i/>
        </w:rPr>
        <w:t>.</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r w:rsidRPr="00874833">
        <w:rPr>
          <w:rFonts w:ascii="Arial" w:hAnsi="Arial" w:cs="Arial"/>
          <w:i/>
        </w:rPr>
        <w:t>(v) The defendants accordingly had a duty to publish the words concerning</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proofErr w:type="gramStart"/>
      <w:r w:rsidRPr="00874833">
        <w:rPr>
          <w:rFonts w:ascii="Arial" w:hAnsi="Arial" w:cs="Arial"/>
          <w:i/>
        </w:rPr>
        <w:t>plaintiff</w:t>
      </w:r>
      <w:proofErr w:type="gramEnd"/>
      <w:r w:rsidRPr="00874833">
        <w:rPr>
          <w:rFonts w:ascii="Arial" w:hAnsi="Arial" w:cs="Arial"/>
          <w:i/>
        </w:rPr>
        <w:t xml:space="preserve"> which they did publish and the members of the Union had an interest</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proofErr w:type="gramStart"/>
      <w:r w:rsidRPr="00874833">
        <w:rPr>
          <w:rFonts w:ascii="Arial" w:hAnsi="Arial" w:cs="Arial"/>
          <w:i/>
        </w:rPr>
        <w:t>in</w:t>
      </w:r>
      <w:proofErr w:type="gramEnd"/>
      <w:r w:rsidRPr="00874833">
        <w:rPr>
          <w:rFonts w:ascii="Arial" w:hAnsi="Arial" w:cs="Arial"/>
          <w:i/>
        </w:rPr>
        <w:t xml:space="preserve"> receiving such publication,</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proofErr w:type="gramStart"/>
      <w:r w:rsidRPr="00874833">
        <w:rPr>
          <w:rFonts w:ascii="Arial" w:hAnsi="Arial" w:cs="Arial"/>
          <w:i/>
        </w:rPr>
        <w:t>(vi) The</w:t>
      </w:r>
      <w:proofErr w:type="gramEnd"/>
      <w:r w:rsidRPr="00874833">
        <w:rPr>
          <w:rFonts w:ascii="Arial" w:hAnsi="Arial" w:cs="Arial"/>
          <w:i/>
        </w:rPr>
        <w:t xml:space="preserve"> words about plaintiff accurately reflected the decision of the</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proofErr w:type="gramStart"/>
      <w:r w:rsidRPr="00874833">
        <w:rPr>
          <w:rFonts w:ascii="Arial" w:hAnsi="Arial" w:cs="Arial"/>
          <w:i/>
        </w:rPr>
        <w:t>Federal Council.</w:t>
      </w:r>
      <w:proofErr w:type="gramEnd"/>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r w:rsidRPr="00874833">
        <w:rPr>
          <w:rFonts w:ascii="Arial" w:hAnsi="Arial" w:cs="Arial"/>
          <w:i/>
        </w:rPr>
        <w:t>(viii) In publishing those words defendants acted without malice or</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proofErr w:type="gramStart"/>
      <w:r w:rsidRPr="00874833">
        <w:rPr>
          <w:rFonts w:ascii="Arial" w:hAnsi="Arial" w:cs="Arial"/>
          <w:i/>
        </w:rPr>
        <w:t>impropriety</w:t>
      </w:r>
      <w:proofErr w:type="gramEnd"/>
      <w:r w:rsidRPr="00874833">
        <w:rPr>
          <w:rFonts w:ascii="Arial" w:hAnsi="Arial" w:cs="Arial"/>
          <w:i/>
        </w:rPr>
        <w:t xml:space="preserve"> and in the bona fide belief that the words were true (722F -</w:t>
      </w:r>
    </w:p>
    <w:p w:rsidR="00874833" w:rsidRDefault="00874833" w:rsidP="007A0921">
      <w:pPr>
        <w:pStyle w:val="ListParagraph"/>
        <w:autoSpaceDE w:val="0"/>
        <w:autoSpaceDN w:val="0"/>
        <w:adjustRightInd w:val="0"/>
        <w:spacing w:after="0" w:line="360" w:lineRule="auto"/>
        <w:ind w:right="720"/>
        <w:rPr>
          <w:rFonts w:ascii="Arial" w:hAnsi="Arial" w:cs="Arial"/>
          <w:i/>
        </w:rPr>
      </w:pPr>
      <w:r w:rsidRPr="00874833">
        <w:rPr>
          <w:rFonts w:ascii="Arial" w:hAnsi="Arial" w:cs="Arial"/>
          <w:i/>
        </w:rPr>
        <w:t>723B).</w:t>
      </w:r>
    </w:p>
    <w:p w:rsidR="007A0921" w:rsidRPr="00874833" w:rsidRDefault="007A0921" w:rsidP="007A0921">
      <w:pPr>
        <w:pStyle w:val="ListParagraph"/>
        <w:autoSpaceDE w:val="0"/>
        <w:autoSpaceDN w:val="0"/>
        <w:adjustRightInd w:val="0"/>
        <w:spacing w:after="0" w:line="360" w:lineRule="auto"/>
        <w:ind w:right="720"/>
        <w:rPr>
          <w:rFonts w:ascii="Arial" w:hAnsi="Arial" w:cs="Arial"/>
          <w:i/>
        </w:rPr>
      </w:pP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r w:rsidRPr="00874833">
        <w:rPr>
          <w:rFonts w:ascii="Arial" w:hAnsi="Arial" w:cs="Arial"/>
          <w:i/>
        </w:rPr>
        <w:t>On these pleadings, the case went to trial and it was held by the court</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proofErr w:type="gramStart"/>
      <w:r w:rsidRPr="00874833">
        <w:rPr>
          <w:rFonts w:ascii="Arial" w:hAnsi="Arial" w:cs="Arial"/>
          <w:i/>
        </w:rPr>
        <w:t>that</w:t>
      </w:r>
      <w:proofErr w:type="gramEnd"/>
      <w:r w:rsidRPr="00874833">
        <w:rPr>
          <w:rFonts w:ascii="Arial" w:hAnsi="Arial" w:cs="Arial"/>
          <w:i/>
        </w:rPr>
        <w:t xml:space="preserve"> based on the facts of the case it had not been ascertained that the</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proofErr w:type="gramStart"/>
      <w:r w:rsidRPr="00874833">
        <w:rPr>
          <w:rFonts w:ascii="Arial" w:hAnsi="Arial" w:cs="Arial"/>
          <w:i/>
        </w:rPr>
        <w:t>alleged</w:t>
      </w:r>
      <w:proofErr w:type="gramEnd"/>
      <w:r w:rsidRPr="00874833">
        <w:rPr>
          <w:rFonts w:ascii="Arial" w:hAnsi="Arial" w:cs="Arial"/>
          <w:i/>
        </w:rPr>
        <w:t xml:space="preserve"> improper exhibition of the dog by Mr Park had not been</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proofErr w:type="gramStart"/>
      <w:r w:rsidRPr="00874833">
        <w:rPr>
          <w:rFonts w:ascii="Arial" w:hAnsi="Arial" w:cs="Arial"/>
          <w:i/>
        </w:rPr>
        <w:t>adjudicated</w:t>
      </w:r>
      <w:proofErr w:type="gramEnd"/>
      <w:r w:rsidRPr="00874833">
        <w:rPr>
          <w:rFonts w:ascii="Arial" w:hAnsi="Arial" w:cs="Arial"/>
          <w:i/>
        </w:rPr>
        <w:t xml:space="preserve"> upon: when the report was published, the defendants had</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proofErr w:type="gramStart"/>
      <w:r w:rsidRPr="00874833">
        <w:rPr>
          <w:rFonts w:ascii="Arial" w:hAnsi="Arial" w:cs="Arial"/>
          <w:i/>
        </w:rPr>
        <w:t>stated</w:t>
      </w:r>
      <w:proofErr w:type="gramEnd"/>
      <w:r w:rsidRPr="00874833">
        <w:rPr>
          <w:rFonts w:ascii="Arial" w:hAnsi="Arial" w:cs="Arial"/>
          <w:i/>
        </w:rPr>
        <w:t xml:space="preserve"> something which they had not known to be true, regardless of its</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proofErr w:type="gramStart"/>
      <w:r w:rsidRPr="00874833">
        <w:rPr>
          <w:rFonts w:ascii="Arial" w:hAnsi="Arial" w:cs="Arial"/>
          <w:i/>
        </w:rPr>
        <w:t>truth</w:t>
      </w:r>
      <w:proofErr w:type="gramEnd"/>
      <w:r w:rsidRPr="00874833">
        <w:rPr>
          <w:rFonts w:ascii="Arial" w:hAnsi="Arial" w:cs="Arial"/>
          <w:i/>
        </w:rPr>
        <w:t xml:space="preserve"> or falsity, the inference of an improper motive arose and the</w:t>
      </w:r>
    </w:p>
    <w:p w:rsidR="00874833" w:rsidRPr="00874833" w:rsidRDefault="00874833" w:rsidP="007A0921">
      <w:pPr>
        <w:pStyle w:val="ListParagraph"/>
        <w:autoSpaceDE w:val="0"/>
        <w:autoSpaceDN w:val="0"/>
        <w:adjustRightInd w:val="0"/>
        <w:spacing w:after="0" w:line="360" w:lineRule="auto"/>
        <w:ind w:right="720"/>
        <w:rPr>
          <w:rFonts w:ascii="Arial" w:hAnsi="Arial" w:cs="Arial"/>
          <w:i/>
        </w:rPr>
      </w:pPr>
      <w:proofErr w:type="gramStart"/>
      <w:r w:rsidRPr="00874833">
        <w:rPr>
          <w:rFonts w:ascii="Arial" w:hAnsi="Arial" w:cs="Arial"/>
          <w:i/>
        </w:rPr>
        <w:t>defence</w:t>
      </w:r>
      <w:proofErr w:type="gramEnd"/>
      <w:r w:rsidRPr="00874833">
        <w:rPr>
          <w:rFonts w:ascii="Arial" w:hAnsi="Arial" w:cs="Arial"/>
          <w:i/>
        </w:rPr>
        <w:t xml:space="preserve"> of privilege was defeated (731A). The appeal was accordingly</w:t>
      </w:r>
    </w:p>
    <w:p w:rsidR="00874833" w:rsidRDefault="00874833" w:rsidP="007A0921">
      <w:pPr>
        <w:pStyle w:val="ListParagraph"/>
        <w:autoSpaceDE w:val="0"/>
        <w:autoSpaceDN w:val="0"/>
        <w:adjustRightInd w:val="0"/>
        <w:spacing w:after="0" w:line="360" w:lineRule="auto"/>
        <w:ind w:right="720"/>
        <w:rPr>
          <w:rFonts w:ascii="Arial" w:hAnsi="Arial" w:cs="Arial"/>
          <w:i/>
        </w:rPr>
      </w:pPr>
      <w:proofErr w:type="gramStart"/>
      <w:r w:rsidRPr="00874833">
        <w:rPr>
          <w:rFonts w:ascii="Arial" w:hAnsi="Arial" w:cs="Arial"/>
          <w:i/>
        </w:rPr>
        <w:t>dismissed</w:t>
      </w:r>
      <w:proofErr w:type="gramEnd"/>
      <w:r w:rsidRPr="00874833">
        <w:rPr>
          <w:rFonts w:ascii="Arial" w:hAnsi="Arial" w:cs="Arial"/>
          <w:i/>
        </w:rPr>
        <w:t xml:space="preserve"> (733A).</w:t>
      </w:r>
      <w:r w:rsidR="007A0921">
        <w:rPr>
          <w:rFonts w:ascii="Arial" w:hAnsi="Arial" w:cs="Arial"/>
          <w:i/>
        </w:rPr>
        <w:t>’</w:t>
      </w:r>
    </w:p>
    <w:p w:rsidR="007A0921" w:rsidRPr="00874833" w:rsidRDefault="007A0921" w:rsidP="007A0921">
      <w:pPr>
        <w:pStyle w:val="ListParagraph"/>
        <w:autoSpaceDE w:val="0"/>
        <w:autoSpaceDN w:val="0"/>
        <w:adjustRightInd w:val="0"/>
        <w:spacing w:after="0" w:line="360" w:lineRule="auto"/>
        <w:ind w:right="720"/>
        <w:rPr>
          <w:rFonts w:ascii="Arial" w:hAnsi="Arial" w:cs="Arial"/>
          <w:i/>
        </w:rPr>
      </w:pPr>
    </w:p>
    <w:p w:rsidR="00874833" w:rsidRDefault="00874833" w:rsidP="00B96A00">
      <w:pPr>
        <w:pStyle w:val="ListParagraph"/>
        <w:numPr>
          <w:ilvl w:val="0"/>
          <w:numId w:val="1"/>
        </w:numPr>
        <w:spacing w:line="480" w:lineRule="auto"/>
        <w:jc w:val="both"/>
        <w:rPr>
          <w:rFonts w:ascii="Arial" w:hAnsi="Arial" w:cs="Arial"/>
          <w:i/>
        </w:rPr>
      </w:pPr>
    </w:p>
    <w:p w:rsidR="00874833" w:rsidRPr="00874833" w:rsidRDefault="00874833" w:rsidP="00B96A00">
      <w:pPr>
        <w:pStyle w:val="ListParagraph"/>
        <w:numPr>
          <w:ilvl w:val="0"/>
          <w:numId w:val="1"/>
        </w:numPr>
        <w:spacing w:line="480" w:lineRule="auto"/>
        <w:jc w:val="both"/>
        <w:rPr>
          <w:rFonts w:ascii="Arial" w:hAnsi="Arial" w:cs="Arial"/>
          <w:i/>
        </w:rPr>
      </w:pPr>
      <w:r>
        <w:rPr>
          <w:rFonts w:ascii="Arial" w:hAnsi="Arial" w:cs="Arial"/>
          <w:b/>
        </w:rPr>
        <w:t>Discussion</w:t>
      </w:r>
    </w:p>
    <w:p w:rsidR="002E311F" w:rsidRDefault="002E311F" w:rsidP="002E311F">
      <w:pPr>
        <w:pStyle w:val="ListParagraph"/>
        <w:spacing w:line="480" w:lineRule="auto"/>
        <w:ind w:left="0"/>
        <w:jc w:val="both"/>
        <w:rPr>
          <w:rFonts w:ascii="Arial" w:hAnsi="Arial" w:cs="Arial"/>
          <w:b/>
          <w:sz w:val="24"/>
          <w:szCs w:val="24"/>
        </w:rPr>
      </w:pPr>
    </w:p>
    <w:p w:rsidR="00B96A00" w:rsidRDefault="00B96A00" w:rsidP="00B96A00">
      <w:pPr>
        <w:pStyle w:val="ListParagraph"/>
        <w:numPr>
          <w:ilvl w:val="0"/>
          <w:numId w:val="1"/>
        </w:numPr>
        <w:spacing w:line="480" w:lineRule="auto"/>
        <w:jc w:val="both"/>
        <w:rPr>
          <w:rFonts w:ascii="Arial" w:hAnsi="Arial" w:cs="Arial"/>
          <w:i/>
        </w:rPr>
      </w:pPr>
      <w:r w:rsidRPr="00B96A00">
        <w:rPr>
          <w:rFonts w:ascii="Arial" w:hAnsi="Arial" w:cs="Arial"/>
          <w:i/>
          <w:sz w:val="24"/>
          <w:szCs w:val="24"/>
        </w:rPr>
        <w:lastRenderedPageBreak/>
        <w:t xml:space="preserve">Section 34 of the Constitution of the Republic of South Africa, 1996 provides as follows: ‘Everyone has the right to have any dispute that can be resolved by the application of law decided in a fair public hearing before a court or, where appropriate, another independent and impartial tribunal or forum’. </w:t>
      </w:r>
      <w:r w:rsidRPr="00B96A00">
        <w:rPr>
          <w:rFonts w:ascii="Arial" w:hAnsi="Arial" w:cs="Arial"/>
          <w:sz w:val="24"/>
          <w:szCs w:val="24"/>
        </w:rPr>
        <w:t>The legal principles relating to defamation are fairly consistent and have occasioned a great deal of assurance over time.</w:t>
      </w:r>
      <w:r w:rsidRPr="00B96A00">
        <w:rPr>
          <w:rFonts w:ascii="Arial" w:hAnsi="Arial" w:cs="Arial"/>
          <w:i/>
        </w:rPr>
        <w:t xml:space="preserve"> </w:t>
      </w:r>
    </w:p>
    <w:p w:rsidR="002436AE" w:rsidRPr="002717F4" w:rsidRDefault="002436AE" w:rsidP="002436AE">
      <w:pPr>
        <w:pStyle w:val="ListParagraph"/>
        <w:spacing w:line="480" w:lineRule="auto"/>
        <w:ind w:left="0"/>
        <w:jc w:val="both"/>
        <w:rPr>
          <w:rFonts w:ascii="Arial" w:hAnsi="Arial" w:cs="Arial"/>
          <w:i/>
        </w:rPr>
      </w:pPr>
    </w:p>
    <w:p w:rsidR="00EC78EF" w:rsidRPr="00A1087D" w:rsidRDefault="00D977AD" w:rsidP="00ED772E">
      <w:pPr>
        <w:pStyle w:val="ListParagraph"/>
        <w:numPr>
          <w:ilvl w:val="0"/>
          <w:numId w:val="1"/>
        </w:numPr>
        <w:spacing w:line="480" w:lineRule="auto"/>
        <w:jc w:val="both"/>
        <w:rPr>
          <w:rFonts w:ascii="Arial" w:hAnsi="Arial" w:cs="Arial"/>
          <w:b/>
          <w:sz w:val="24"/>
          <w:szCs w:val="24"/>
        </w:rPr>
      </w:pPr>
      <w:r>
        <w:rPr>
          <w:rFonts w:ascii="Arial" w:hAnsi="Arial" w:cs="Arial"/>
          <w:sz w:val="24"/>
          <w:szCs w:val="24"/>
        </w:rPr>
        <w:t>A p</w:t>
      </w:r>
      <w:r w:rsidR="00EC78EF" w:rsidRPr="00A1087D">
        <w:rPr>
          <w:rFonts w:ascii="Arial" w:hAnsi="Arial" w:cs="Arial"/>
          <w:sz w:val="24"/>
          <w:szCs w:val="24"/>
        </w:rPr>
        <w:t>ivotal consideration would be whether the Defendant instituted the disciplinary enquiry against the Plaintiff without reasonable or probable cause.</w:t>
      </w:r>
    </w:p>
    <w:p w:rsidR="00EC78EF" w:rsidRPr="00E40A61" w:rsidRDefault="00EC78EF" w:rsidP="00EC78EF">
      <w:pPr>
        <w:pStyle w:val="ListParagraph"/>
        <w:rPr>
          <w:rFonts w:ascii="Arial" w:hAnsi="Arial" w:cs="Arial"/>
          <w:b/>
          <w:sz w:val="24"/>
          <w:szCs w:val="24"/>
          <w:highlight w:val="yellow"/>
        </w:rPr>
      </w:pPr>
    </w:p>
    <w:p w:rsidR="00EC78EF" w:rsidRPr="00A1087D" w:rsidRDefault="00BD35E5" w:rsidP="00ED772E">
      <w:pPr>
        <w:pStyle w:val="ListParagraph"/>
        <w:numPr>
          <w:ilvl w:val="0"/>
          <w:numId w:val="1"/>
        </w:numPr>
        <w:spacing w:line="480" w:lineRule="auto"/>
        <w:jc w:val="both"/>
        <w:rPr>
          <w:rFonts w:ascii="Arial" w:hAnsi="Arial" w:cs="Arial"/>
          <w:b/>
          <w:sz w:val="24"/>
          <w:szCs w:val="24"/>
        </w:rPr>
      </w:pPr>
      <w:r w:rsidRPr="00A1087D">
        <w:rPr>
          <w:rFonts w:ascii="Arial" w:hAnsi="Arial" w:cs="Arial"/>
          <w:sz w:val="24"/>
          <w:szCs w:val="24"/>
        </w:rPr>
        <w:t xml:space="preserve">During cross-examination, Ms </w:t>
      </w:r>
      <w:proofErr w:type="spellStart"/>
      <w:r w:rsidRPr="00A1087D">
        <w:rPr>
          <w:rFonts w:ascii="Arial" w:hAnsi="Arial" w:cs="Arial"/>
          <w:sz w:val="24"/>
          <w:szCs w:val="24"/>
        </w:rPr>
        <w:t>Nkunzi</w:t>
      </w:r>
      <w:proofErr w:type="spellEnd"/>
      <w:r w:rsidRPr="00A1087D">
        <w:rPr>
          <w:rFonts w:ascii="Arial" w:hAnsi="Arial" w:cs="Arial"/>
          <w:sz w:val="24"/>
          <w:szCs w:val="24"/>
        </w:rPr>
        <w:t xml:space="preserve"> confirmed that she signed the statement written by Mr </w:t>
      </w:r>
      <w:proofErr w:type="spellStart"/>
      <w:r w:rsidRPr="00A1087D">
        <w:rPr>
          <w:rFonts w:ascii="Arial" w:hAnsi="Arial" w:cs="Arial"/>
          <w:sz w:val="24"/>
          <w:szCs w:val="24"/>
        </w:rPr>
        <w:t>Shabalala</w:t>
      </w:r>
      <w:proofErr w:type="spellEnd"/>
      <w:r w:rsidRPr="00A1087D">
        <w:rPr>
          <w:rFonts w:ascii="Arial" w:hAnsi="Arial" w:cs="Arial"/>
          <w:sz w:val="24"/>
          <w:szCs w:val="24"/>
        </w:rPr>
        <w:t xml:space="preserve"> confirming that it is her statement. </w:t>
      </w:r>
      <w:r w:rsidR="003B6396" w:rsidRPr="00A1087D">
        <w:rPr>
          <w:rFonts w:ascii="Arial" w:hAnsi="Arial" w:cs="Arial"/>
          <w:sz w:val="24"/>
          <w:szCs w:val="24"/>
        </w:rPr>
        <w:t>Of crucial importance is that the disciplinary hearing was instituted on the basis of a report compiled pursuant to an investigation</w:t>
      </w:r>
      <w:r w:rsidRPr="00A1087D">
        <w:rPr>
          <w:rFonts w:ascii="Arial" w:hAnsi="Arial" w:cs="Arial"/>
          <w:sz w:val="24"/>
          <w:szCs w:val="24"/>
        </w:rPr>
        <w:t xml:space="preserve"> which included the statement made and signed by Ms </w:t>
      </w:r>
      <w:proofErr w:type="spellStart"/>
      <w:r w:rsidRPr="00A1087D">
        <w:rPr>
          <w:rFonts w:ascii="Arial" w:hAnsi="Arial" w:cs="Arial"/>
          <w:sz w:val="24"/>
          <w:szCs w:val="24"/>
        </w:rPr>
        <w:t>Nkunzi</w:t>
      </w:r>
      <w:proofErr w:type="spellEnd"/>
      <w:r w:rsidR="003B6396" w:rsidRPr="00A1087D">
        <w:rPr>
          <w:rFonts w:ascii="Arial" w:hAnsi="Arial" w:cs="Arial"/>
          <w:sz w:val="24"/>
          <w:szCs w:val="24"/>
        </w:rPr>
        <w:t>. The report encapsulated the following information:</w:t>
      </w:r>
    </w:p>
    <w:p w:rsidR="003B6396" w:rsidRPr="00A1087D" w:rsidRDefault="003B6396" w:rsidP="003B6396">
      <w:pPr>
        <w:pStyle w:val="ListParagraph"/>
        <w:rPr>
          <w:rFonts w:ascii="Arial" w:hAnsi="Arial" w:cs="Arial"/>
          <w:b/>
          <w:sz w:val="24"/>
          <w:szCs w:val="24"/>
        </w:rPr>
      </w:pPr>
    </w:p>
    <w:p w:rsidR="003B6396" w:rsidRPr="00A1087D" w:rsidRDefault="003B6396" w:rsidP="003654F3">
      <w:pPr>
        <w:pStyle w:val="ListParagraph"/>
        <w:spacing w:line="360" w:lineRule="auto"/>
        <w:ind w:right="720"/>
        <w:jc w:val="both"/>
        <w:rPr>
          <w:rFonts w:ascii="Arial" w:hAnsi="Arial" w:cs="Arial"/>
          <w:i/>
        </w:rPr>
      </w:pPr>
      <w:r w:rsidRPr="00A1087D">
        <w:rPr>
          <w:rFonts w:ascii="Arial" w:hAnsi="Arial" w:cs="Arial"/>
          <w:i/>
        </w:rPr>
        <w:t xml:space="preserve">‘5.5.1 Fortunate </w:t>
      </w:r>
      <w:proofErr w:type="spellStart"/>
      <w:r w:rsidRPr="00A1087D">
        <w:rPr>
          <w:rFonts w:ascii="Arial" w:hAnsi="Arial" w:cs="Arial"/>
          <w:i/>
        </w:rPr>
        <w:t>Nkunzi</w:t>
      </w:r>
      <w:proofErr w:type="spellEnd"/>
      <w:r w:rsidRPr="00A1087D">
        <w:rPr>
          <w:rFonts w:ascii="Arial" w:hAnsi="Arial" w:cs="Arial"/>
          <w:i/>
        </w:rPr>
        <w:t xml:space="preserve"> (‘</w:t>
      </w:r>
      <w:proofErr w:type="spellStart"/>
      <w:r w:rsidRPr="00A1087D">
        <w:rPr>
          <w:rFonts w:ascii="Arial" w:hAnsi="Arial" w:cs="Arial"/>
          <w:i/>
        </w:rPr>
        <w:t>Nkunzi</w:t>
      </w:r>
      <w:proofErr w:type="spellEnd"/>
      <w:r w:rsidRPr="00A1087D">
        <w:rPr>
          <w:rFonts w:ascii="Arial" w:hAnsi="Arial" w:cs="Arial"/>
          <w:i/>
        </w:rPr>
        <w:t xml:space="preserve">’) stated that the specification for catering services was prepared and advertised by her. She stated that she was instructed by Daniel Govender (‘Govender’) to prepare an advertisement which she posted onto a public notice board </w:t>
      </w:r>
      <w:r w:rsidR="00175DBC" w:rsidRPr="00A1087D">
        <w:rPr>
          <w:rFonts w:ascii="Arial" w:hAnsi="Arial" w:cs="Arial"/>
          <w:i/>
        </w:rPr>
        <w:t>situated</w:t>
      </w:r>
      <w:r w:rsidRPr="00A1087D">
        <w:rPr>
          <w:rFonts w:ascii="Arial" w:hAnsi="Arial" w:cs="Arial"/>
          <w:i/>
        </w:rPr>
        <w:t xml:space="preserve"> at the City Hall entrance…</w:t>
      </w:r>
    </w:p>
    <w:p w:rsidR="003B6396" w:rsidRPr="00A1087D" w:rsidRDefault="003B6396" w:rsidP="003654F3">
      <w:pPr>
        <w:pStyle w:val="ListParagraph"/>
        <w:spacing w:line="360" w:lineRule="auto"/>
        <w:ind w:right="720"/>
        <w:jc w:val="both"/>
        <w:rPr>
          <w:rFonts w:ascii="Arial" w:hAnsi="Arial" w:cs="Arial"/>
        </w:rPr>
      </w:pPr>
      <w:r w:rsidRPr="00A1087D">
        <w:rPr>
          <w:rFonts w:ascii="Arial" w:hAnsi="Arial" w:cs="Arial"/>
          <w:i/>
        </w:rPr>
        <w:t xml:space="preserve">5.5.2 Investigation revealed that the advert made by </w:t>
      </w:r>
      <w:proofErr w:type="spellStart"/>
      <w:r w:rsidRPr="00A1087D">
        <w:rPr>
          <w:rFonts w:ascii="Arial" w:hAnsi="Arial" w:cs="Arial"/>
          <w:i/>
        </w:rPr>
        <w:t>Nkunzi</w:t>
      </w:r>
      <w:proofErr w:type="spellEnd"/>
      <w:r w:rsidRPr="00A1087D">
        <w:rPr>
          <w:rFonts w:ascii="Arial" w:hAnsi="Arial" w:cs="Arial"/>
          <w:i/>
        </w:rPr>
        <w:t xml:space="preserve"> lacked crucial information such as the Municipality’s Logo</w:t>
      </w:r>
      <w:r w:rsidR="003654F3" w:rsidRPr="00A1087D">
        <w:rPr>
          <w:rFonts w:ascii="Arial" w:hAnsi="Arial" w:cs="Arial"/>
          <w:i/>
        </w:rPr>
        <w:t>/dome, name of the Unit that needs catering services, tender conditions, and menu/specification. The advert stated that only companies which are on the database will be considered…’</w:t>
      </w:r>
      <w:r w:rsidR="003654F3" w:rsidRPr="00A1087D">
        <w:rPr>
          <w:rStyle w:val="FootnoteReference"/>
          <w:rFonts w:ascii="Arial" w:hAnsi="Arial" w:cs="Arial"/>
          <w:i/>
        </w:rPr>
        <w:footnoteReference w:id="14"/>
      </w:r>
    </w:p>
    <w:p w:rsidR="003B6396" w:rsidRPr="00E40A61" w:rsidRDefault="003B6396" w:rsidP="003B6396">
      <w:pPr>
        <w:pStyle w:val="ListParagraph"/>
        <w:rPr>
          <w:rFonts w:ascii="Arial" w:hAnsi="Arial" w:cs="Arial"/>
          <w:b/>
          <w:sz w:val="24"/>
          <w:szCs w:val="24"/>
          <w:highlight w:val="yellow"/>
        </w:rPr>
      </w:pPr>
    </w:p>
    <w:p w:rsidR="003C0C47" w:rsidRPr="00E40A61" w:rsidRDefault="003654F3" w:rsidP="003C0C47">
      <w:pPr>
        <w:pStyle w:val="ListParagraph"/>
        <w:numPr>
          <w:ilvl w:val="0"/>
          <w:numId w:val="1"/>
        </w:numPr>
        <w:spacing w:line="480" w:lineRule="auto"/>
        <w:jc w:val="both"/>
        <w:rPr>
          <w:rFonts w:ascii="Arial" w:hAnsi="Arial" w:cs="Arial"/>
          <w:b/>
          <w:sz w:val="24"/>
          <w:szCs w:val="24"/>
          <w:highlight w:val="yellow"/>
        </w:rPr>
      </w:pPr>
      <w:r w:rsidRPr="00A1087D">
        <w:rPr>
          <w:rFonts w:ascii="Arial" w:hAnsi="Arial" w:cs="Arial"/>
          <w:sz w:val="24"/>
          <w:szCs w:val="24"/>
        </w:rPr>
        <w:lastRenderedPageBreak/>
        <w:t>It bears mentioning that the Plaintiff, notwithstanding that the information in the statement was incorrect, proceeded to sign same.</w:t>
      </w:r>
      <w:r w:rsidR="00BD35E5" w:rsidRPr="00A1087D">
        <w:rPr>
          <w:rFonts w:ascii="Arial" w:hAnsi="Arial" w:cs="Arial"/>
          <w:sz w:val="24"/>
          <w:szCs w:val="24"/>
        </w:rPr>
        <w:t xml:space="preserve"> Ms </w:t>
      </w:r>
      <w:proofErr w:type="spellStart"/>
      <w:r w:rsidR="00BD35E5" w:rsidRPr="00A1087D">
        <w:rPr>
          <w:rFonts w:ascii="Arial" w:hAnsi="Arial" w:cs="Arial"/>
          <w:sz w:val="24"/>
          <w:szCs w:val="24"/>
        </w:rPr>
        <w:t>Nkunzi</w:t>
      </w:r>
      <w:proofErr w:type="spellEnd"/>
      <w:r w:rsidR="00BD35E5" w:rsidRPr="00A1087D">
        <w:rPr>
          <w:rFonts w:ascii="Arial" w:hAnsi="Arial" w:cs="Arial"/>
          <w:sz w:val="24"/>
          <w:szCs w:val="24"/>
        </w:rPr>
        <w:t xml:space="preserve"> testified that she was informed that it was a formality and did not think that she would end up being formally charged and that there would be a disciplinary hearing,</w:t>
      </w:r>
      <w:r w:rsidRPr="00A1087D">
        <w:rPr>
          <w:rFonts w:ascii="Arial" w:hAnsi="Arial" w:cs="Arial"/>
          <w:sz w:val="24"/>
          <w:szCs w:val="24"/>
        </w:rPr>
        <w:t xml:space="preserve"> On </w:t>
      </w:r>
      <w:r w:rsidR="003B6396" w:rsidRPr="00A1087D">
        <w:rPr>
          <w:rFonts w:ascii="Arial" w:hAnsi="Arial" w:cs="Arial"/>
          <w:sz w:val="24"/>
          <w:szCs w:val="24"/>
        </w:rPr>
        <w:t>the Plaintiff’s own version, she recognised that the information conta</w:t>
      </w:r>
      <w:r w:rsidR="003C0C47" w:rsidRPr="00A1087D">
        <w:rPr>
          <w:rFonts w:ascii="Arial" w:hAnsi="Arial" w:cs="Arial"/>
          <w:sz w:val="24"/>
          <w:szCs w:val="24"/>
        </w:rPr>
        <w:t>ined in the report was inaccurate and</w:t>
      </w:r>
      <w:r w:rsidR="003B6396" w:rsidRPr="00A1087D">
        <w:rPr>
          <w:rFonts w:ascii="Arial" w:hAnsi="Arial" w:cs="Arial"/>
          <w:sz w:val="24"/>
          <w:szCs w:val="24"/>
        </w:rPr>
        <w:t xml:space="preserve"> was afforded an opportunity</w:t>
      </w:r>
      <w:r w:rsidRPr="00A1087D">
        <w:rPr>
          <w:rFonts w:ascii="Arial" w:hAnsi="Arial" w:cs="Arial"/>
          <w:sz w:val="24"/>
          <w:szCs w:val="24"/>
        </w:rPr>
        <w:t xml:space="preserve"> to </w:t>
      </w:r>
      <w:r w:rsidR="003B6396" w:rsidRPr="00A1087D">
        <w:rPr>
          <w:rFonts w:ascii="Arial" w:hAnsi="Arial" w:cs="Arial"/>
          <w:sz w:val="24"/>
          <w:szCs w:val="24"/>
        </w:rPr>
        <w:t>pr</w:t>
      </w:r>
      <w:r w:rsidRPr="00A1087D">
        <w:rPr>
          <w:rFonts w:ascii="Arial" w:hAnsi="Arial" w:cs="Arial"/>
          <w:sz w:val="24"/>
          <w:szCs w:val="24"/>
        </w:rPr>
        <w:t>epare another s</w:t>
      </w:r>
      <w:r w:rsidR="00951798" w:rsidRPr="00A1087D">
        <w:rPr>
          <w:rFonts w:ascii="Arial" w:hAnsi="Arial" w:cs="Arial"/>
          <w:sz w:val="24"/>
          <w:szCs w:val="24"/>
        </w:rPr>
        <w:t xml:space="preserve">tatement to correct the purported inaccurate wording. According to Ms </w:t>
      </w:r>
      <w:proofErr w:type="spellStart"/>
      <w:r w:rsidR="00951798" w:rsidRPr="00A1087D">
        <w:rPr>
          <w:rFonts w:ascii="Arial" w:hAnsi="Arial" w:cs="Arial"/>
          <w:sz w:val="24"/>
          <w:szCs w:val="24"/>
        </w:rPr>
        <w:t>Nkunzi’s</w:t>
      </w:r>
      <w:proofErr w:type="spellEnd"/>
      <w:r w:rsidR="00951798" w:rsidRPr="00A1087D">
        <w:rPr>
          <w:rFonts w:ascii="Arial" w:hAnsi="Arial" w:cs="Arial"/>
          <w:sz w:val="24"/>
          <w:szCs w:val="24"/>
        </w:rPr>
        <w:t xml:space="preserve"> evidence, the statement was corrected to reflect that she did not prepare the advert, she just typed the advert.</w:t>
      </w:r>
      <w:r w:rsidRPr="00A1087D">
        <w:rPr>
          <w:rFonts w:ascii="Arial" w:hAnsi="Arial" w:cs="Arial"/>
          <w:sz w:val="24"/>
          <w:szCs w:val="24"/>
        </w:rPr>
        <w:t xml:space="preserve"> It is apposite to mention </w:t>
      </w:r>
      <w:r w:rsidR="003C0C47" w:rsidRPr="00A1087D">
        <w:rPr>
          <w:rFonts w:ascii="Arial" w:hAnsi="Arial" w:cs="Arial"/>
          <w:sz w:val="24"/>
          <w:szCs w:val="24"/>
        </w:rPr>
        <w:t>that by this time, the disciplinary proceedings were already instituted against the Plaintiff</w:t>
      </w:r>
      <w:r w:rsidR="00BD35E5" w:rsidRPr="00A1087D">
        <w:rPr>
          <w:rFonts w:ascii="Arial" w:hAnsi="Arial" w:cs="Arial"/>
          <w:sz w:val="24"/>
          <w:szCs w:val="24"/>
        </w:rPr>
        <w:t xml:space="preserve"> and that the correction was made during the disciplinary hearing</w:t>
      </w:r>
      <w:r w:rsidR="003C0C47" w:rsidRPr="00A1087D">
        <w:rPr>
          <w:rFonts w:ascii="Arial" w:hAnsi="Arial" w:cs="Arial"/>
          <w:sz w:val="24"/>
          <w:szCs w:val="24"/>
        </w:rPr>
        <w:t>.  It thus follows that the second statement made by the Plaintiff was made after she was served with the notice to attend the disciplinary hearing.</w:t>
      </w:r>
    </w:p>
    <w:p w:rsidR="00E83561" w:rsidRPr="00E40A61" w:rsidRDefault="00E83561" w:rsidP="00E83561">
      <w:pPr>
        <w:pStyle w:val="ListParagraph"/>
        <w:spacing w:line="480" w:lineRule="auto"/>
        <w:ind w:left="0"/>
        <w:jc w:val="both"/>
        <w:rPr>
          <w:rFonts w:ascii="Arial" w:hAnsi="Arial" w:cs="Arial"/>
          <w:b/>
          <w:sz w:val="24"/>
          <w:szCs w:val="24"/>
          <w:highlight w:val="yellow"/>
        </w:rPr>
      </w:pPr>
    </w:p>
    <w:p w:rsidR="001A6133" w:rsidRPr="00A1087D" w:rsidRDefault="00E83561" w:rsidP="00ED772E">
      <w:pPr>
        <w:pStyle w:val="ListParagraph"/>
        <w:numPr>
          <w:ilvl w:val="0"/>
          <w:numId w:val="1"/>
        </w:numPr>
        <w:spacing w:line="480" w:lineRule="auto"/>
        <w:jc w:val="both"/>
        <w:rPr>
          <w:rFonts w:ascii="Arial" w:hAnsi="Arial" w:cs="Arial"/>
          <w:b/>
          <w:sz w:val="24"/>
          <w:szCs w:val="24"/>
        </w:rPr>
      </w:pPr>
      <w:r w:rsidRPr="00A1087D">
        <w:rPr>
          <w:rFonts w:ascii="Arial" w:hAnsi="Arial" w:cs="Arial"/>
          <w:sz w:val="24"/>
          <w:szCs w:val="24"/>
        </w:rPr>
        <w:t xml:space="preserve">From the version of the Plaintiff, it is evident that she was given a fair hearing in that the Defendant followed the required procedural steps in conducting the disciplinary proceedings. </w:t>
      </w:r>
      <w:r w:rsidR="00137BF4" w:rsidRPr="00A1087D">
        <w:rPr>
          <w:rFonts w:ascii="Arial" w:hAnsi="Arial" w:cs="Arial"/>
          <w:sz w:val="24"/>
          <w:szCs w:val="24"/>
        </w:rPr>
        <w:t xml:space="preserve">During cross-examination, Ms </w:t>
      </w:r>
      <w:proofErr w:type="spellStart"/>
      <w:r w:rsidR="00137BF4" w:rsidRPr="00A1087D">
        <w:rPr>
          <w:rFonts w:ascii="Arial" w:hAnsi="Arial" w:cs="Arial"/>
          <w:sz w:val="24"/>
          <w:szCs w:val="24"/>
        </w:rPr>
        <w:t>Nkunzi</w:t>
      </w:r>
      <w:proofErr w:type="spellEnd"/>
      <w:r w:rsidR="00137BF4" w:rsidRPr="00A1087D">
        <w:rPr>
          <w:rFonts w:ascii="Arial" w:hAnsi="Arial" w:cs="Arial"/>
          <w:sz w:val="24"/>
          <w:szCs w:val="24"/>
        </w:rPr>
        <w:t xml:space="preserve"> confirmed that she was not hampered or prevented by the Defendant from presenting her evidence at the disciplinary hearing.</w:t>
      </w:r>
      <w:r w:rsidR="004112AF" w:rsidRPr="00A1087D">
        <w:rPr>
          <w:rFonts w:ascii="Arial" w:hAnsi="Arial" w:cs="Arial"/>
          <w:sz w:val="24"/>
          <w:szCs w:val="24"/>
        </w:rPr>
        <w:t xml:space="preserve"> Ms </w:t>
      </w:r>
      <w:proofErr w:type="spellStart"/>
      <w:r w:rsidR="004112AF" w:rsidRPr="00A1087D">
        <w:rPr>
          <w:rFonts w:ascii="Arial" w:hAnsi="Arial" w:cs="Arial"/>
          <w:sz w:val="24"/>
          <w:szCs w:val="24"/>
        </w:rPr>
        <w:t>Nkunzi</w:t>
      </w:r>
      <w:proofErr w:type="spellEnd"/>
      <w:r w:rsidR="004112AF" w:rsidRPr="00A1087D">
        <w:rPr>
          <w:rFonts w:ascii="Arial" w:hAnsi="Arial" w:cs="Arial"/>
          <w:sz w:val="24"/>
          <w:szCs w:val="24"/>
        </w:rPr>
        <w:t xml:space="preserve"> orated that she had no complainant as to how the disciplinary hearing was conducted. </w:t>
      </w:r>
    </w:p>
    <w:p w:rsidR="001A6133" w:rsidRPr="00A1087D" w:rsidRDefault="001A6133" w:rsidP="001A6133">
      <w:pPr>
        <w:pStyle w:val="ListParagraph"/>
        <w:rPr>
          <w:rFonts w:ascii="Arial" w:hAnsi="Arial" w:cs="Arial"/>
          <w:sz w:val="24"/>
          <w:szCs w:val="24"/>
        </w:rPr>
      </w:pPr>
    </w:p>
    <w:p w:rsidR="00175DBC" w:rsidRPr="00A1087D" w:rsidRDefault="001A6133" w:rsidP="00EF7506">
      <w:pPr>
        <w:pStyle w:val="ListParagraph"/>
        <w:numPr>
          <w:ilvl w:val="0"/>
          <w:numId w:val="1"/>
        </w:numPr>
        <w:spacing w:line="480" w:lineRule="auto"/>
        <w:jc w:val="both"/>
        <w:rPr>
          <w:rFonts w:ascii="Arial" w:hAnsi="Arial" w:cs="Arial"/>
          <w:b/>
          <w:sz w:val="24"/>
          <w:szCs w:val="24"/>
        </w:rPr>
      </w:pPr>
      <w:r w:rsidRPr="00A1087D">
        <w:rPr>
          <w:rFonts w:ascii="Arial" w:hAnsi="Arial" w:cs="Arial"/>
          <w:sz w:val="24"/>
          <w:szCs w:val="24"/>
        </w:rPr>
        <w:t>I had regard to the finding of the Presiding Officer’s Decision at the Disciplinary hearing together with the attached notes.</w:t>
      </w:r>
      <w:r w:rsidRPr="00A1087D">
        <w:rPr>
          <w:rStyle w:val="FootnoteReference"/>
          <w:rFonts w:ascii="Arial" w:hAnsi="Arial" w:cs="Arial"/>
          <w:sz w:val="24"/>
          <w:szCs w:val="24"/>
        </w:rPr>
        <w:footnoteReference w:id="15"/>
      </w:r>
      <w:r w:rsidRPr="00A1087D">
        <w:rPr>
          <w:rFonts w:ascii="Arial" w:hAnsi="Arial" w:cs="Arial"/>
          <w:sz w:val="24"/>
          <w:szCs w:val="24"/>
        </w:rPr>
        <w:t xml:space="preserve"> It is evident that the finding was based on the evidence presented at the hearing of three other witnesses besides Ms </w:t>
      </w:r>
      <w:proofErr w:type="spellStart"/>
      <w:r w:rsidRPr="00A1087D">
        <w:rPr>
          <w:rFonts w:ascii="Arial" w:hAnsi="Arial" w:cs="Arial"/>
          <w:sz w:val="24"/>
          <w:szCs w:val="24"/>
        </w:rPr>
        <w:lastRenderedPageBreak/>
        <w:t>Nkunzi</w:t>
      </w:r>
      <w:proofErr w:type="spellEnd"/>
      <w:r w:rsidRPr="00A1087D">
        <w:rPr>
          <w:rFonts w:ascii="Arial" w:hAnsi="Arial" w:cs="Arial"/>
          <w:sz w:val="24"/>
          <w:szCs w:val="24"/>
        </w:rPr>
        <w:t xml:space="preserve">. Ms </w:t>
      </w:r>
      <w:proofErr w:type="spellStart"/>
      <w:r w:rsidRPr="00A1087D">
        <w:rPr>
          <w:rFonts w:ascii="Arial" w:hAnsi="Arial" w:cs="Arial"/>
          <w:sz w:val="24"/>
          <w:szCs w:val="24"/>
        </w:rPr>
        <w:t>Nkunzi</w:t>
      </w:r>
      <w:proofErr w:type="spellEnd"/>
      <w:r w:rsidRPr="00A1087D">
        <w:rPr>
          <w:rFonts w:ascii="Arial" w:hAnsi="Arial" w:cs="Arial"/>
          <w:sz w:val="24"/>
          <w:szCs w:val="24"/>
        </w:rPr>
        <w:t xml:space="preserve"> also had a representative from HR present. </w:t>
      </w:r>
      <w:r w:rsidR="00E83561" w:rsidRPr="00A1087D">
        <w:rPr>
          <w:rFonts w:ascii="Arial" w:hAnsi="Arial" w:cs="Arial"/>
          <w:sz w:val="24"/>
          <w:szCs w:val="24"/>
        </w:rPr>
        <w:t xml:space="preserve">Pellucid is the fact that the Plaintiff was </w:t>
      </w:r>
      <w:r w:rsidR="00EF7506" w:rsidRPr="00A1087D">
        <w:rPr>
          <w:rFonts w:ascii="Arial" w:hAnsi="Arial" w:cs="Arial"/>
          <w:sz w:val="24"/>
          <w:szCs w:val="24"/>
        </w:rPr>
        <w:t xml:space="preserve">exonerated; notwithstanding reservations expressed by the Presiding Officer that Ms </w:t>
      </w:r>
      <w:proofErr w:type="spellStart"/>
      <w:r w:rsidR="00EF7506" w:rsidRPr="00A1087D">
        <w:rPr>
          <w:rFonts w:ascii="Arial" w:hAnsi="Arial" w:cs="Arial"/>
          <w:sz w:val="24"/>
          <w:szCs w:val="24"/>
        </w:rPr>
        <w:t>Nkunzi</w:t>
      </w:r>
      <w:proofErr w:type="spellEnd"/>
      <w:r w:rsidR="00EF7506" w:rsidRPr="00A1087D">
        <w:rPr>
          <w:rFonts w:ascii="Arial" w:hAnsi="Arial" w:cs="Arial"/>
          <w:sz w:val="24"/>
          <w:szCs w:val="24"/>
        </w:rPr>
        <w:t xml:space="preserve"> should have known the department procurement protocol.</w:t>
      </w:r>
      <w:r w:rsidR="00951798" w:rsidRPr="00A1087D">
        <w:rPr>
          <w:rFonts w:ascii="Arial" w:hAnsi="Arial" w:cs="Arial"/>
          <w:sz w:val="24"/>
          <w:szCs w:val="24"/>
        </w:rPr>
        <w:t xml:space="preserve"> It is also evident that there were other considerations at play at the disciplinary hearing as per Exhibit “B” and the outcome seemingly did not only turn on whether or not the advert was prepared by Ms </w:t>
      </w:r>
      <w:proofErr w:type="spellStart"/>
      <w:r w:rsidR="00951798" w:rsidRPr="00A1087D">
        <w:rPr>
          <w:rFonts w:ascii="Arial" w:hAnsi="Arial" w:cs="Arial"/>
          <w:sz w:val="24"/>
          <w:szCs w:val="24"/>
        </w:rPr>
        <w:t>Nkunzi</w:t>
      </w:r>
      <w:proofErr w:type="spellEnd"/>
      <w:r w:rsidR="00951798" w:rsidRPr="00A1087D">
        <w:rPr>
          <w:rFonts w:ascii="Arial" w:hAnsi="Arial" w:cs="Arial"/>
          <w:sz w:val="24"/>
          <w:szCs w:val="24"/>
        </w:rPr>
        <w:t>, or just typed by her and placed on the notice board.</w:t>
      </w:r>
      <w:r w:rsidR="00EF7506" w:rsidRPr="00A1087D">
        <w:rPr>
          <w:rFonts w:ascii="Arial" w:hAnsi="Arial" w:cs="Arial"/>
          <w:sz w:val="24"/>
          <w:szCs w:val="24"/>
        </w:rPr>
        <w:t xml:space="preserve"> The Presiding Officer’</w:t>
      </w:r>
      <w:r w:rsidR="00951798" w:rsidRPr="00A1087D">
        <w:rPr>
          <w:rFonts w:ascii="Arial" w:hAnsi="Arial" w:cs="Arial"/>
          <w:sz w:val="24"/>
          <w:szCs w:val="24"/>
        </w:rPr>
        <w:t>s finding</w:t>
      </w:r>
      <w:r w:rsidR="00887E12" w:rsidRPr="00A1087D">
        <w:rPr>
          <w:rFonts w:ascii="Arial" w:hAnsi="Arial" w:cs="Arial"/>
          <w:sz w:val="24"/>
          <w:szCs w:val="24"/>
        </w:rPr>
        <w:t xml:space="preserve"> was</w:t>
      </w:r>
      <w:r w:rsidR="00EF7506" w:rsidRPr="00A1087D">
        <w:rPr>
          <w:rFonts w:ascii="Arial" w:hAnsi="Arial" w:cs="Arial"/>
          <w:sz w:val="24"/>
          <w:szCs w:val="24"/>
        </w:rPr>
        <w:t xml:space="preserve"> cemented on the grounds that the allegation against Ms </w:t>
      </w:r>
      <w:proofErr w:type="spellStart"/>
      <w:r w:rsidR="00EF7506" w:rsidRPr="00A1087D">
        <w:rPr>
          <w:rFonts w:ascii="Arial" w:hAnsi="Arial" w:cs="Arial"/>
          <w:sz w:val="24"/>
          <w:szCs w:val="24"/>
        </w:rPr>
        <w:t>Nkunzi</w:t>
      </w:r>
      <w:proofErr w:type="spellEnd"/>
      <w:r w:rsidR="00EF7506" w:rsidRPr="00A1087D">
        <w:rPr>
          <w:rFonts w:ascii="Arial" w:hAnsi="Arial" w:cs="Arial"/>
          <w:sz w:val="24"/>
          <w:szCs w:val="24"/>
        </w:rPr>
        <w:t xml:space="preserve"> was not sufficiently proved. This, in my view,</w:t>
      </w:r>
      <w:r w:rsidR="00E83561" w:rsidRPr="00A1087D">
        <w:rPr>
          <w:rFonts w:ascii="Arial" w:hAnsi="Arial" w:cs="Arial"/>
          <w:sz w:val="24"/>
          <w:szCs w:val="24"/>
        </w:rPr>
        <w:t xml:space="preserve"> is indicative that</w:t>
      </w:r>
      <w:r w:rsidR="008628B2" w:rsidRPr="00A1087D">
        <w:rPr>
          <w:rFonts w:ascii="Arial" w:hAnsi="Arial" w:cs="Arial"/>
          <w:sz w:val="24"/>
          <w:szCs w:val="24"/>
        </w:rPr>
        <w:t xml:space="preserve"> the Defendant’s actions were not underpinned by malicious or vexatious intentions against the Plaintiff.</w:t>
      </w:r>
      <w:r w:rsidR="00EF7506" w:rsidRPr="00A1087D">
        <w:rPr>
          <w:rFonts w:ascii="Arial" w:hAnsi="Arial" w:cs="Arial"/>
          <w:sz w:val="24"/>
          <w:szCs w:val="24"/>
        </w:rPr>
        <w:t xml:space="preserve"> </w:t>
      </w:r>
      <w:r w:rsidR="00CF156B" w:rsidRPr="00A1087D">
        <w:rPr>
          <w:rFonts w:ascii="Arial" w:hAnsi="Arial" w:cs="Arial"/>
          <w:sz w:val="24"/>
          <w:szCs w:val="24"/>
        </w:rPr>
        <w:t xml:space="preserve"> In fact, Ms </w:t>
      </w:r>
      <w:proofErr w:type="spellStart"/>
      <w:r w:rsidR="00CF156B" w:rsidRPr="00A1087D">
        <w:rPr>
          <w:rFonts w:ascii="Arial" w:hAnsi="Arial" w:cs="Arial"/>
          <w:sz w:val="24"/>
          <w:szCs w:val="24"/>
        </w:rPr>
        <w:t>Nkunzi</w:t>
      </w:r>
      <w:proofErr w:type="spellEnd"/>
      <w:r w:rsidR="00CF156B" w:rsidRPr="00A1087D">
        <w:rPr>
          <w:rFonts w:ascii="Arial" w:hAnsi="Arial" w:cs="Arial"/>
          <w:sz w:val="24"/>
          <w:szCs w:val="24"/>
        </w:rPr>
        <w:t>, during cross-examination conceded that there was no malice by the Defendant when disciplinary proceedings were instituted against her.</w:t>
      </w:r>
      <w:r w:rsidR="0074219C" w:rsidRPr="00A1087D">
        <w:rPr>
          <w:rFonts w:ascii="Arial" w:hAnsi="Arial" w:cs="Arial"/>
          <w:sz w:val="24"/>
          <w:szCs w:val="24"/>
        </w:rPr>
        <w:t xml:space="preserve"> Ms </w:t>
      </w:r>
      <w:proofErr w:type="spellStart"/>
      <w:r w:rsidR="0074219C" w:rsidRPr="00A1087D">
        <w:rPr>
          <w:rFonts w:ascii="Arial" w:hAnsi="Arial" w:cs="Arial"/>
          <w:sz w:val="24"/>
          <w:szCs w:val="24"/>
        </w:rPr>
        <w:t>Nkunzi</w:t>
      </w:r>
      <w:proofErr w:type="spellEnd"/>
      <w:r w:rsidR="0074219C" w:rsidRPr="00A1087D">
        <w:rPr>
          <w:rFonts w:ascii="Arial" w:hAnsi="Arial" w:cs="Arial"/>
          <w:sz w:val="24"/>
          <w:szCs w:val="24"/>
        </w:rPr>
        <w:t xml:space="preserve"> furthermore conceded that the disciplinary hearing which was instituted was the only and proper process established by law by which the Defendant could fairly and properly determine the allegations levelled against her if they were to be fair to her.</w:t>
      </w:r>
    </w:p>
    <w:p w:rsidR="00887E12" w:rsidRPr="00A1087D" w:rsidRDefault="00887E12" w:rsidP="00887E12">
      <w:pPr>
        <w:pStyle w:val="ListParagraph"/>
        <w:rPr>
          <w:rFonts w:ascii="Arial" w:hAnsi="Arial" w:cs="Arial"/>
          <w:b/>
          <w:sz w:val="24"/>
          <w:szCs w:val="24"/>
        </w:rPr>
      </w:pPr>
    </w:p>
    <w:p w:rsidR="0074219C" w:rsidRPr="00A1087D" w:rsidRDefault="0074219C" w:rsidP="0074219C">
      <w:pPr>
        <w:pStyle w:val="ListParagraph"/>
        <w:numPr>
          <w:ilvl w:val="0"/>
          <w:numId w:val="1"/>
        </w:numPr>
        <w:spacing w:line="480" w:lineRule="auto"/>
        <w:jc w:val="both"/>
        <w:rPr>
          <w:rFonts w:ascii="Arial" w:hAnsi="Arial" w:cs="Arial"/>
          <w:b/>
          <w:sz w:val="24"/>
          <w:szCs w:val="24"/>
        </w:rPr>
      </w:pPr>
      <w:r w:rsidRPr="00A1087D">
        <w:rPr>
          <w:rFonts w:ascii="Arial" w:hAnsi="Arial" w:cs="Arial"/>
          <w:sz w:val="24"/>
          <w:szCs w:val="24"/>
        </w:rPr>
        <w:t>I am in agreement with the submission made by the Defendant that it would not have known at the time of instituting the disciplinary proceedings that the Plaintiff would be reneging from her version as encapsulated in the report or that the report contained certain inaccuracies. In my view, the Defendant, on the strength of the investigative report had reasonable or probable cause to institute disciplinary proceedings against the Plaintiff.</w:t>
      </w:r>
    </w:p>
    <w:p w:rsidR="00887E12" w:rsidRPr="00A1087D" w:rsidRDefault="00887E12" w:rsidP="00887E12">
      <w:pPr>
        <w:pStyle w:val="ListParagraph"/>
        <w:spacing w:line="480" w:lineRule="auto"/>
        <w:ind w:left="0"/>
        <w:jc w:val="both"/>
        <w:rPr>
          <w:rFonts w:ascii="Arial" w:hAnsi="Arial" w:cs="Arial"/>
          <w:b/>
          <w:sz w:val="24"/>
          <w:szCs w:val="24"/>
        </w:rPr>
      </w:pPr>
    </w:p>
    <w:p w:rsidR="00175DBC" w:rsidRPr="00A1087D" w:rsidRDefault="00175DBC" w:rsidP="00175DBC">
      <w:pPr>
        <w:pStyle w:val="ListParagraph"/>
        <w:numPr>
          <w:ilvl w:val="0"/>
          <w:numId w:val="1"/>
        </w:numPr>
        <w:spacing w:line="480" w:lineRule="auto"/>
        <w:jc w:val="both"/>
        <w:rPr>
          <w:rFonts w:ascii="Arial" w:hAnsi="Arial" w:cs="Arial"/>
          <w:b/>
          <w:sz w:val="24"/>
          <w:szCs w:val="24"/>
        </w:rPr>
      </w:pPr>
      <w:r w:rsidRPr="00A1087D">
        <w:rPr>
          <w:rFonts w:ascii="Arial" w:hAnsi="Arial" w:cs="Arial"/>
          <w:sz w:val="24"/>
          <w:szCs w:val="24"/>
        </w:rPr>
        <w:t xml:space="preserve">The Plaintiff’s cause of action is based on damages suffered as a result of the conduct of the Defendant for </w:t>
      </w:r>
      <w:r w:rsidRPr="00A1087D">
        <w:rPr>
          <w:rFonts w:ascii="Arial" w:hAnsi="Arial" w:cs="Arial"/>
          <w:i/>
          <w:sz w:val="24"/>
          <w:szCs w:val="24"/>
        </w:rPr>
        <w:t>contumelia</w:t>
      </w:r>
      <w:r w:rsidRPr="00A1087D">
        <w:rPr>
          <w:rFonts w:ascii="Arial" w:hAnsi="Arial" w:cs="Arial"/>
          <w:sz w:val="24"/>
          <w:szCs w:val="24"/>
        </w:rPr>
        <w:t xml:space="preserve">, defamation, humiliation, embarrassment </w:t>
      </w:r>
      <w:r w:rsidRPr="00A1087D">
        <w:rPr>
          <w:rFonts w:ascii="Arial" w:hAnsi="Arial" w:cs="Arial"/>
          <w:sz w:val="24"/>
          <w:szCs w:val="24"/>
        </w:rPr>
        <w:lastRenderedPageBreak/>
        <w:t xml:space="preserve">and inconvenience for malicious and vexatious treatment by the Defendant, and as such, the Plaintiff bears the onus </w:t>
      </w:r>
    </w:p>
    <w:p w:rsidR="00A1087D" w:rsidRPr="00A1087D" w:rsidRDefault="00A1087D" w:rsidP="00A1087D">
      <w:pPr>
        <w:pStyle w:val="ListParagraph"/>
        <w:spacing w:line="480" w:lineRule="auto"/>
        <w:ind w:left="0"/>
        <w:jc w:val="both"/>
        <w:rPr>
          <w:rFonts w:ascii="Arial" w:hAnsi="Arial" w:cs="Arial"/>
          <w:b/>
          <w:sz w:val="24"/>
          <w:szCs w:val="24"/>
        </w:rPr>
      </w:pPr>
    </w:p>
    <w:p w:rsidR="00C63AE6" w:rsidRPr="00A1087D" w:rsidRDefault="00175DBC" w:rsidP="00C63AE6">
      <w:pPr>
        <w:pStyle w:val="ListParagraph"/>
        <w:numPr>
          <w:ilvl w:val="0"/>
          <w:numId w:val="1"/>
        </w:numPr>
        <w:spacing w:line="480" w:lineRule="auto"/>
        <w:jc w:val="both"/>
        <w:rPr>
          <w:rFonts w:ascii="Arial" w:hAnsi="Arial" w:cs="Arial"/>
          <w:sz w:val="24"/>
          <w:szCs w:val="24"/>
        </w:rPr>
      </w:pPr>
      <w:r w:rsidRPr="00E40A61">
        <w:rPr>
          <w:rFonts w:ascii="Arial" w:hAnsi="Arial" w:cs="Arial"/>
          <w:sz w:val="24"/>
          <w:szCs w:val="24"/>
          <w:highlight w:val="yellow"/>
        </w:rPr>
        <w:t xml:space="preserve">The Defendant submitted that the Plaintiff failed to prove that she suffered damages set out in in her action. </w:t>
      </w:r>
      <w:r w:rsidR="00C63AE6" w:rsidRPr="00E40A61">
        <w:rPr>
          <w:rFonts w:ascii="Arial" w:hAnsi="Arial" w:cs="Arial"/>
          <w:sz w:val="24"/>
          <w:szCs w:val="24"/>
          <w:highlight w:val="yellow"/>
        </w:rPr>
        <w:t xml:space="preserve">It was further mooted that Plaintiff adduced no evidence to prove </w:t>
      </w:r>
      <w:r w:rsidR="00C63AE6" w:rsidRPr="00E40A61">
        <w:rPr>
          <w:rFonts w:ascii="Arial" w:hAnsi="Arial" w:cs="Arial"/>
          <w:i/>
          <w:sz w:val="24"/>
          <w:szCs w:val="24"/>
          <w:highlight w:val="yellow"/>
        </w:rPr>
        <w:t xml:space="preserve">contumelia </w:t>
      </w:r>
      <w:r w:rsidR="00C63AE6" w:rsidRPr="00E40A61">
        <w:rPr>
          <w:rFonts w:ascii="Arial" w:hAnsi="Arial" w:cs="Arial"/>
          <w:sz w:val="24"/>
          <w:szCs w:val="24"/>
          <w:highlight w:val="yellow"/>
        </w:rPr>
        <w:t xml:space="preserve">and that no wrongfulness in the conduct of the Defendant was established as the Defendant’s actions were reasonable. </w:t>
      </w:r>
      <w:r w:rsidR="00BD35E5" w:rsidRPr="00A1087D">
        <w:rPr>
          <w:rFonts w:ascii="Arial" w:hAnsi="Arial" w:cs="Arial"/>
          <w:sz w:val="24"/>
          <w:szCs w:val="24"/>
        </w:rPr>
        <w:t xml:space="preserve">During her evidence Ms </w:t>
      </w:r>
      <w:proofErr w:type="spellStart"/>
      <w:r w:rsidR="00BD35E5" w:rsidRPr="00A1087D">
        <w:rPr>
          <w:rFonts w:ascii="Arial" w:hAnsi="Arial" w:cs="Arial"/>
          <w:sz w:val="24"/>
          <w:szCs w:val="24"/>
        </w:rPr>
        <w:t>Nkunzi</w:t>
      </w:r>
      <w:proofErr w:type="spellEnd"/>
      <w:r w:rsidR="00BD35E5" w:rsidRPr="00A1087D">
        <w:rPr>
          <w:rFonts w:ascii="Arial" w:hAnsi="Arial" w:cs="Arial"/>
          <w:sz w:val="24"/>
          <w:szCs w:val="24"/>
        </w:rPr>
        <w:t xml:space="preserve"> stated that she felt like she was the scapegoat. When probed about what she meant by this she stated that the proceeding were conducted to hold somebody </w:t>
      </w:r>
      <w:r w:rsidR="00BD35E5" w:rsidRPr="00A1087D">
        <w:rPr>
          <w:rFonts w:ascii="Arial" w:hAnsi="Arial" w:cs="Arial"/>
          <w:i/>
          <w:sz w:val="24"/>
          <w:szCs w:val="24"/>
        </w:rPr>
        <w:t>“accountable for that fraud (sic)”.</w:t>
      </w:r>
      <w:r w:rsidR="00CE4E05" w:rsidRPr="00A1087D">
        <w:rPr>
          <w:rStyle w:val="FootnoteReference"/>
          <w:rFonts w:ascii="Arial" w:hAnsi="Arial" w:cs="Arial"/>
          <w:i/>
          <w:sz w:val="24"/>
          <w:szCs w:val="24"/>
        </w:rPr>
        <w:footnoteReference w:id="16"/>
      </w:r>
      <w:r w:rsidR="00BD35E5" w:rsidRPr="00A1087D">
        <w:rPr>
          <w:rFonts w:ascii="Arial" w:hAnsi="Arial" w:cs="Arial"/>
          <w:sz w:val="24"/>
          <w:szCs w:val="24"/>
        </w:rPr>
        <w:t xml:space="preserve"> </w:t>
      </w:r>
      <w:r w:rsidR="004112AF" w:rsidRPr="00A1087D">
        <w:rPr>
          <w:rFonts w:ascii="Arial" w:hAnsi="Arial" w:cs="Arial"/>
          <w:sz w:val="24"/>
          <w:szCs w:val="24"/>
        </w:rPr>
        <w:t xml:space="preserve">Ms </w:t>
      </w:r>
      <w:proofErr w:type="spellStart"/>
      <w:r w:rsidR="004112AF" w:rsidRPr="00A1087D">
        <w:rPr>
          <w:rFonts w:ascii="Arial" w:hAnsi="Arial" w:cs="Arial"/>
          <w:sz w:val="24"/>
          <w:szCs w:val="24"/>
        </w:rPr>
        <w:t>Nkunzi</w:t>
      </w:r>
      <w:proofErr w:type="spellEnd"/>
      <w:r w:rsidR="004112AF" w:rsidRPr="00A1087D">
        <w:rPr>
          <w:rFonts w:ascii="Arial" w:hAnsi="Arial" w:cs="Arial"/>
          <w:sz w:val="24"/>
          <w:szCs w:val="24"/>
        </w:rPr>
        <w:t xml:space="preserve"> testified that her complainant </w:t>
      </w:r>
      <w:proofErr w:type="spellStart"/>
      <w:r w:rsidR="004112AF" w:rsidRPr="00A1087D">
        <w:rPr>
          <w:rFonts w:ascii="Arial" w:hAnsi="Arial" w:cs="Arial"/>
          <w:sz w:val="24"/>
          <w:szCs w:val="24"/>
        </w:rPr>
        <w:t>eminates</w:t>
      </w:r>
      <w:proofErr w:type="spellEnd"/>
      <w:r w:rsidR="004112AF" w:rsidRPr="00A1087D">
        <w:rPr>
          <w:rFonts w:ascii="Arial" w:hAnsi="Arial" w:cs="Arial"/>
          <w:sz w:val="24"/>
          <w:szCs w:val="24"/>
        </w:rPr>
        <w:t xml:space="preserve"> from the stigma attached to her being accused of </w:t>
      </w:r>
      <w:r w:rsidR="004112AF" w:rsidRPr="00A1087D">
        <w:rPr>
          <w:rFonts w:ascii="Arial" w:hAnsi="Arial" w:cs="Arial"/>
          <w:i/>
          <w:sz w:val="24"/>
          <w:szCs w:val="24"/>
        </w:rPr>
        <w:t>“</w:t>
      </w:r>
      <w:proofErr w:type="spellStart"/>
      <w:r w:rsidR="004112AF" w:rsidRPr="00A1087D">
        <w:rPr>
          <w:rFonts w:ascii="Arial" w:hAnsi="Arial" w:cs="Arial"/>
          <w:i/>
          <w:sz w:val="24"/>
          <w:szCs w:val="24"/>
        </w:rPr>
        <w:t>frauding</w:t>
      </w:r>
      <w:proofErr w:type="spellEnd"/>
      <w:r w:rsidR="004112AF" w:rsidRPr="00A1087D">
        <w:rPr>
          <w:rFonts w:ascii="Arial" w:hAnsi="Arial" w:cs="Arial"/>
          <w:i/>
          <w:sz w:val="24"/>
          <w:szCs w:val="24"/>
        </w:rPr>
        <w:t xml:space="preserve"> </w:t>
      </w:r>
      <w:proofErr w:type="gramStart"/>
      <w:r w:rsidR="004112AF" w:rsidRPr="00A1087D">
        <w:rPr>
          <w:rFonts w:ascii="Arial" w:hAnsi="Arial" w:cs="Arial"/>
          <w:i/>
          <w:sz w:val="24"/>
          <w:szCs w:val="24"/>
        </w:rPr>
        <w:t>documents(</w:t>
      </w:r>
      <w:proofErr w:type="gramEnd"/>
      <w:r w:rsidR="004112AF" w:rsidRPr="00A1087D">
        <w:rPr>
          <w:rFonts w:ascii="Arial" w:hAnsi="Arial" w:cs="Arial"/>
          <w:i/>
          <w:sz w:val="24"/>
          <w:szCs w:val="24"/>
        </w:rPr>
        <w:t>sic)”</w:t>
      </w:r>
      <w:r w:rsidR="004112AF" w:rsidRPr="00A1087D">
        <w:rPr>
          <w:rFonts w:ascii="Arial" w:hAnsi="Arial" w:cs="Arial"/>
          <w:sz w:val="24"/>
          <w:szCs w:val="24"/>
        </w:rPr>
        <w:t xml:space="preserve">. When asked during cross-examination who had informed her about the stigma, Mr </w:t>
      </w:r>
      <w:proofErr w:type="spellStart"/>
      <w:r w:rsidR="004112AF" w:rsidRPr="00A1087D">
        <w:rPr>
          <w:rFonts w:ascii="Arial" w:hAnsi="Arial" w:cs="Arial"/>
          <w:sz w:val="24"/>
          <w:szCs w:val="24"/>
        </w:rPr>
        <w:t>Nkunzi’s</w:t>
      </w:r>
      <w:proofErr w:type="spellEnd"/>
      <w:r w:rsidR="004112AF" w:rsidRPr="00A1087D">
        <w:rPr>
          <w:rFonts w:ascii="Arial" w:hAnsi="Arial" w:cs="Arial"/>
          <w:sz w:val="24"/>
          <w:szCs w:val="24"/>
        </w:rPr>
        <w:t xml:space="preserve"> response that it was the office gossip in the corridors.</w:t>
      </w:r>
      <w:r w:rsidR="00CF156B" w:rsidRPr="00A1087D">
        <w:rPr>
          <w:rFonts w:ascii="Arial" w:hAnsi="Arial" w:cs="Arial"/>
          <w:sz w:val="24"/>
          <w:szCs w:val="24"/>
        </w:rPr>
        <w:t xml:space="preserve"> She could not confirm that it was the Defendant who generated the gossip. She was unable to confirm that the Defendant published the charge sheet of the disciplinary proceedings save to say that she was given a call by one of the secretaries enquiring about the disciplinary hearing against her.</w:t>
      </w:r>
      <w:r w:rsidR="00BF2FAC" w:rsidRPr="00A1087D">
        <w:rPr>
          <w:rFonts w:ascii="Arial" w:hAnsi="Arial" w:cs="Arial"/>
          <w:sz w:val="24"/>
          <w:szCs w:val="24"/>
        </w:rPr>
        <w:t xml:space="preserve"> Ms </w:t>
      </w:r>
      <w:proofErr w:type="spellStart"/>
      <w:r w:rsidR="00BF2FAC" w:rsidRPr="00A1087D">
        <w:rPr>
          <w:rFonts w:ascii="Arial" w:hAnsi="Arial" w:cs="Arial"/>
          <w:sz w:val="24"/>
          <w:szCs w:val="24"/>
        </w:rPr>
        <w:t>Nkunzi</w:t>
      </w:r>
      <w:proofErr w:type="spellEnd"/>
      <w:r w:rsidR="00BF2FAC" w:rsidRPr="00A1087D">
        <w:rPr>
          <w:rFonts w:ascii="Arial" w:hAnsi="Arial" w:cs="Arial"/>
          <w:sz w:val="24"/>
          <w:szCs w:val="24"/>
        </w:rPr>
        <w:t xml:space="preserve"> explicated during cross-examination that she was embarrassed and defamed by the Defendant </w:t>
      </w:r>
      <w:r w:rsidR="0098353F" w:rsidRPr="00A1087D">
        <w:rPr>
          <w:rFonts w:ascii="Arial" w:hAnsi="Arial" w:cs="Arial"/>
          <w:sz w:val="24"/>
          <w:szCs w:val="24"/>
        </w:rPr>
        <w:t>as her reputation was tarnished. Furthermore</w:t>
      </w:r>
      <w:r w:rsidR="00BF2FAC" w:rsidRPr="00A1087D">
        <w:rPr>
          <w:rFonts w:ascii="Arial" w:hAnsi="Arial" w:cs="Arial"/>
          <w:sz w:val="24"/>
          <w:szCs w:val="24"/>
        </w:rPr>
        <w:t xml:space="preserve"> </w:t>
      </w:r>
      <w:r w:rsidR="0098353F" w:rsidRPr="00A1087D">
        <w:rPr>
          <w:rFonts w:ascii="Arial" w:hAnsi="Arial" w:cs="Arial"/>
          <w:sz w:val="24"/>
          <w:szCs w:val="24"/>
        </w:rPr>
        <w:t xml:space="preserve">Ms </w:t>
      </w:r>
      <w:proofErr w:type="spellStart"/>
      <w:r w:rsidR="0098353F" w:rsidRPr="00A1087D">
        <w:rPr>
          <w:rFonts w:ascii="Arial" w:hAnsi="Arial" w:cs="Arial"/>
          <w:sz w:val="24"/>
          <w:szCs w:val="24"/>
        </w:rPr>
        <w:t>Nkunzi</w:t>
      </w:r>
      <w:proofErr w:type="spellEnd"/>
      <w:r w:rsidR="0098353F" w:rsidRPr="00A1087D">
        <w:rPr>
          <w:rFonts w:ascii="Arial" w:hAnsi="Arial" w:cs="Arial"/>
          <w:sz w:val="24"/>
          <w:szCs w:val="24"/>
        </w:rPr>
        <w:t xml:space="preserve"> stated that </w:t>
      </w:r>
      <w:r w:rsidR="00BF2FAC" w:rsidRPr="00A1087D">
        <w:rPr>
          <w:rFonts w:ascii="Arial" w:hAnsi="Arial" w:cs="Arial"/>
          <w:sz w:val="24"/>
          <w:szCs w:val="24"/>
        </w:rPr>
        <w:t>the heari</w:t>
      </w:r>
      <w:r w:rsidR="0098353F" w:rsidRPr="00A1087D">
        <w:rPr>
          <w:rFonts w:ascii="Arial" w:hAnsi="Arial" w:cs="Arial"/>
          <w:sz w:val="24"/>
          <w:szCs w:val="24"/>
        </w:rPr>
        <w:t xml:space="preserve">ng caused her emotional stress. </w:t>
      </w:r>
    </w:p>
    <w:p w:rsidR="0098353F" w:rsidRPr="00E40A61" w:rsidRDefault="0098353F" w:rsidP="0098353F">
      <w:pPr>
        <w:pStyle w:val="ListParagraph"/>
        <w:spacing w:line="480" w:lineRule="auto"/>
        <w:ind w:left="0"/>
        <w:jc w:val="both"/>
        <w:rPr>
          <w:rFonts w:ascii="Arial" w:hAnsi="Arial" w:cs="Arial"/>
          <w:sz w:val="24"/>
          <w:szCs w:val="24"/>
          <w:highlight w:val="yellow"/>
        </w:rPr>
      </w:pPr>
    </w:p>
    <w:p w:rsidR="00175DBC" w:rsidRPr="00A1087D" w:rsidRDefault="00CF156B" w:rsidP="00175DBC">
      <w:pPr>
        <w:pStyle w:val="ListParagraph"/>
        <w:numPr>
          <w:ilvl w:val="0"/>
          <w:numId w:val="1"/>
        </w:numPr>
        <w:spacing w:line="480" w:lineRule="auto"/>
        <w:jc w:val="both"/>
        <w:rPr>
          <w:rFonts w:ascii="Arial" w:hAnsi="Arial" w:cs="Arial"/>
          <w:b/>
          <w:sz w:val="24"/>
          <w:szCs w:val="24"/>
        </w:rPr>
      </w:pPr>
      <w:r w:rsidRPr="00E40A61">
        <w:rPr>
          <w:rFonts w:ascii="Arial" w:hAnsi="Arial" w:cs="Arial"/>
          <w:sz w:val="24"/>
          <w:szCs w:val="24"/>
          <w:highlight w:val="yellow"/>
        </w:rPr>
        <w:lastRenderedPageBreak/>
        <w:t>I</w:t>
      </w:r>
      <w:r w:rsidR="00C63AE6" w:rsidRPr="00E40A61">
        <w:rPr>
          <w:rFonts w:ascii="Arial" w:hAnsi="Arial" w:cs="Arial"/>
          <w:sz w:val="24"/>
          <w:szCs w:val="24"/>
          <w:highlight w:val="yellow"/>
        </w:rPr>
        <w:t xml:space="preserve">t was argued by the Defendant that wrongfulness should be assessed in accordance with reasonableness.  </w:t>
      </w:r>
      <w:r w:rsidR="00175DBC" w:rsidRPr="00A1087D">
        <w:rPr>
          <w:rFonts w:ascii="Arial" w:hAnsi="Arial" w:cs="Arial"/>
          <w:sz w:val="24"/>
          <w:szCs w:val="24"/>
        </w:rPr>
        <w:t xml:space="preserve">An </w:t>
      </w:r>
      <w:proofErr w:type="spellStart"/>
      <w:r w:rsidR="00175DBC" w:rsidRPr="00A1087D">
        <w:rPr>
          <w:rFonts w:ascii="Arial" w:hAnsi="Arial" w:cs="Arial"/>
          <w:i/>
          <w:sz w:val="24"/>
          <w:szCs w:val="24"/>
        </w:rPr>
        <w:t>inuiria</w:t>
      </w:r>
      <w:proofErr w:type="spellEnd"/>
      <w:r w:rsidR="00175DBC" w:rsidRPr="00A1087D">
        <w:rPr>
          <w:rFonts w:ascii="Arial" w:hAnsi="Arial" w:cs="Arial"/>
          <w:i/>
          <w:sz w:val="24"/>
          <w:szCs w:val="24"/>
        </w:rPr>
        <w:t xml:space="preserve"> </w:t>
      </w:r>
      <w:r w:rsidR="00175DBC" w:rsidRPr="00A1087D">
        <w:rPr>
          <w:rFonts w:ascii="Arial" w:hAnsi="Arial" w:cs="Arial"/>
          <w:sz w:val="24"/>
          <w:szCs w:val="24"/>
        </w:rPr>
        <w:t xml:space="preserve">is defined as the wrongful intentional infringement of or contempt for a person’s </w:t>
      </w:r>
      <w:r w:rsidR="00175DBC" w:rsidRPr="00A1087D">
        <w:rPr>
          <w:rFonts w:ascii="Arial" w:hAnsi="Arial" w:cs="Arial"/>
          <w:i/>
          <w:sz w:val="24"/>
          <w:szCs w:val="24"/>
        </w:rPr>
        <w:t xml:space="preserve">corpus, </w:t>
      </w:r>
      <w:proofErr w:type="spellStart"/>
      <w:r w:rsidR="00175DBC" w:rsidRPr="00A1087D">
        <w:rPr>
          <w:rFonts w:ascii="Arial" w:hAnsi="Arial" w:cs="Arial"/>
          <w:i/>
          <w:sz w:val="24"/>
          <w:szCs w:val="24"/>
        </w:rPr>
        <w:t>fama</w:t>
      </w:r>
      <w:proofErr w:type="spellEnd"/>
      <w:r w:rsidR="00175DBC" w:rsidRPr="00A1087D">
        <w:rPr>
          <w:rFonts w:ascii="Arial" w:hAnsi="Arial" w:cs="Arial"/>
          <w:i/>
          <w:sz w:val="24"/>
          <w:szCs w:val="24"/>
        </w:rPr>
        <w:t xml:space="preserve"> </w:t>
      </w:r>
      <w:r w:rsidR="00175DBC" w:rsidRPr="00A1087D">
        <w:rPr>
          <w:rFonts w:ascii="Arial" w:hAnsi="Arial" w:cs="Arial"/>
          <w:sz w:val="24"/>
          <w:szCs w:val="24"/>
        </w:rPr>
        <w:t xml:space="preserve">or </w:t>
      </w:r>
      <w:proofErr w:type="spellStart"/>
      <w:r w:rsidR="00175DBC" w:rsidRPr="00A1087D">
        <w:rPr>
          <w:rFonts w:ascii="Arial" w:hAnsi="Arial" w:cs="Arial"/>
          <w:i/>
          <w:sz w:val="24"/>
          <w:szCs w:val="24"/>
        </w:rPr>
        <w:t>dignitas</w:t>
      </w:r>
      <w:proofErr w:type="spellEnd"/>
      <w:r w:rsidR="00175DBC" w:rsidRPr="00A1087D">
        <w:rPr>
          <w:rFonts w:ascii="Arial" w:hAnsi="Arial" w:cs="Arial"/>
          <w:sz w:val="24"/>
          <w:szCs w:val="24"/>
        </w:rPr>
        <w:t>.</w:t>
      </w:r>
      <w:r w:rsidR="00175DBC" w:rsidRPr="00A1087D">
        <w:rPr>
          <w:rStyle w:val="FootnoteReference"/>
          <w:rFonts w:ascii="Arial" w:hAnsi="Arial" w:cs="Arial"/>
          <w:sz w:val="24"/>
          <w:szCs w:val="24"/>
        </w:rPr>
        <w:footnoteReference w:id="17"/>
      </w:r>
      <w:r w:rsidR="00175DBC" w:rsidRPr="00A1087D">
        <w:rPr>
          <w:rFonts w:ascii="Arial" w:hAnsi="Arial" w:cs="Arial"/>
          <w:sz w:val="24"/>
          <w:szCs w:val="24"/>
        </w:rPr>
        <w:t xml:space="preserve">  </w:t>
      </w:r>
    </w:p>
    <w:p w:rsidR="00C63AE6" w:rsidRPr="00E40A61" w:rsidRDefault="00C63AE6" w:rsidP="00C63AE6">
      <w:pPr>
        <w:pStyle w:val="ListParagraph"/>
        <w:rPr>
          <w:rFonts w:ascii="Arial" w:hAnsi="Arial" w:cs="Arial"/>
          <w:b/>
          <w:sz w:val="24"/>
          <w:szCs w:val="24"/>
          <w:highlight w:val="yellow"/>
        </w:rPr>
      </w:pPr>
    </w:p>
    <w:p w:rsidR="00926A65" w:rsidRPr="00A1087D" w:rsidRDefault="00C63AE6" w:rsidP="00175DBC">
      <w:pPr>
        <w:pStyle w:val="ListParagraph"/>
        <w:numPr>
          <w:ilvl w:val="0"/>
          <w:numId w:val="1"/>
        </w:numPr>
        <w:spacing w:line="480" w:lineRule="auto"/>
        <w:jc w:val="both"/>
        <w:rPr>
          <w:rFonts w:ascii="Arial" w:hAnsi="Arial" w:cs="Arial"/>
          <w:b/>
          <w:sz w:val="24"/>
          <w:szCs w:val="24"/>
        </w:rPr>
      </w:pPr>
      <w:r w:rsidRPr="00A1087D">
        <w:rPr>
          <w:rFonts w:ascii="Arial" w:hAnsi="Arial" w:cs="Arial"/>
          <w:sz w:val="24"/>
          <w:szCs w:val="24"/>
        </w:rPr>
        <w:t>It is trite that defamation is the intentional infringement of another person’s right to his good name.</w:t>
      </w:r>
      <w:r w:rsidRPr="00A1087D">
        <w:rPr>
          <w:rStyle w:val="FootnoteReference"/>
          <w:rFonts w:ascii="Arial" w:hAnsi="Arial" w:cs="Arial"/>
          <w:sz w:val="24"/>
          <w:szCs w:val="24"/>
        </w:rPr>
        <w:footnoteReference w:id="18"/>
      </w:r>
      <w:r w:rsidRPr="00A1087D">
        <w:rPr>
          <w:rFonts w:ascii="Arial" w:hAnsi="Arial" w:cs="Arial"/>
          <w:sz w:val="24"/>
          <w:szCs w:val="24"/>
        </w:rPr>
        <w:t xml:space="preserve"> </w:t>
      </w:r>
      <w:r w:rsidR="00926A65" w:rsidRPr="00A1087D">
        <w:rPr>
          <w:rFonts w:ascii="Arial" w:hAnsi="Arial" w:cs="Arial"/>
          <w:sz w:val="24"/>
          <w:szCs w:val="24"/>
        </w:rPr>
        <w:t xml:space="preserve">Similarly, a person’s </w:t>
      </w:r>
      <w:proofErr w:type="spellStart"/>
      <w:r w:rsidR="00926A65" w:rsidRPr="00A1087D">
        <w:rPr>
          <w:rFonts w:ascii="Arial" w:hAnsi="Arial" w:cs="Arial"/>
          <w:i/>
          <w:sz w:val="24"/>
          <w:szCs w:val="24"/>
        </w:rPr>
        <w:t>fama</w:t>
      </w:r>
      <w:proofErr w:type="spellEnd"/>
      <w:r w:rsidR="00926A65" w:rsidRPr="00A1087D">
        <w:rPr>
          <w:rFonts w:ascii="Arial" w:hAnsi="Arial" w:cs="Arial"/>
          <w:sz w:val="24"/>
          <w:szCs w:val="24"/>
        </w:rPr>
        <w:t xml:space="preserve"> or good name is said to be </w:t>
      </w:r>
      <w:r w:rsidR="00926A65" w:rsidRPr="00A1087D">
        <w:rPr>
          <w:rFonts w:ascii="Arial" w:hAnsi="Arial" w:cs="Arial"/>
          <w:i/>
          <w:sz w:val="24"/>
          <w:szCs w:val="24"/>
        </w:rPr>
        <w:t xml:space="preserve">‘the respect and status he enjoys in society. Any action which has the effect of reducing his status in the community (that is defamatory to him), consequently infringes his </w:t>
      </w:r>
      <w:proofErr w:type="spellStart"/>
      <w:r w:rsidR="00926A65" w:rsidRPr="00A1087D">
        <w:rPr>
          <w:rFonts w:ascii="Arial" w:hAnsi="Arial" w:cs="Arial"/>
          <w:i/>
          <w:sz w:val="24"/>
          <w:szCs w:val="24"/>
        </w:rPr>
        <w:t>fama</w:t>
      </w:r>
      <w:proofErr w:type="spellEnd"/>
      <w:r w:rsidR="00926A65" w:rsidRPr="00A1087D">
        <w:rPr>
          <w:rFonts w:ascii="Arial" w:hAnsi="Arial" w:cs="Arial"/>
          <w:i/>
          <w:sz w:val="24"/>
          <w:szCs w:val="24"/>
        </w:rPr>
        <w:t xml:space="preserve"> and is in principle an </w:t>
      </w:r>
      <w:proofErr w:type="spellStart"/>
      <w:r w:rsidR="00926A65" w:rsidRPr="00A1087D">
        <w:rPr>
          <w:rFonts w:ascii="Arial" w:hAnsi="Arial" w:cs="Arial"/>
          <w:i/>
          <w:sz w:val="24"/>
          <w:szCs w:val="24"/>
        </w:rPr>
        <w:t>iniuria</w:t>
      </w:r>
      <w:proofErr w:type="spellEnd"/>
      <w:r w:rsidR="00926A65" w:rsidRPr="00A1087D">
        <w:rPr>
          <w:rFonts w:ascii="Arial" w:hAnsi="Arial" w:cs="Arial"/>
          <w:i/>
          <w:sz w:val="24"/>
          <w:szCs w:val="24"/>
        </w:rPr>
        <w:t xml:space="preserve">, A distinction is made between defamation in general as </w:t>
      </w:r>
      <w:proofErr w:type="spellStart"/>
      <w:r w:rsidR="00926A65" w:rsidRPr="00A1087D">
        <w:rPr>
          <w:rFonts w:ascii="Arial" w:hAnsi="Arial" w:cs="Arial"/>
          <w:i/>
          <w:sz w:val="24"/>
          <w:szCs w:val="24"/>
        </w:rPr>
        <w:t>iniuria</w:t>
      </w:r>
      <w:proofErr w:type="spellEnd"/>
      <w:r w:rsidR="00926A65" w:rsidRPr="00A1087D">
        <w:rPr>
          <w:rFonts w:ascii="Arial" w:hAnsi="Arial" w:cs="Arial"/>
          <w:i/>
          <w:sz w:val="24"/>
          <w:szCs w:val="24"/>
        </w:rPr>
        <w:t xml:space="preserve">, and those forms of infringement of good name which have in practice already crystallised into specific forms of </w:t>
      </w:r>
      <w:proofErr w:type="spellStart"/>
      <w:r w:rsidR="00926A65" w:rsidRPr="00A1087D">
        <w:rPr>
          <w:rFonts w:ascii="Arial" w:hAnsi="Arial" w:cs="Arial"/>
          <w:i/>
          <w:sz w:val="24"/>
          <w:szCs w:val="24"/>
        </w:rPr>
        <w:t>iniuria</w:t>
      </w:r>
      <w:proofErr w:type="spellEnd"/>
      <w:r w:rsidR="00926A65" w:rsidRPr="00A1087D">
        <w:rPr>
          <w:rFonts w:ascii="Arial" w:hAnsi="Arial" w:cs="Arial"/>
          <w:i/>
          <w:sz w:val="24"/>
          <w:szCs w:val="24"/>
        </w:rPr>
        <w:t xml:space="preserve"> under different names…’</w:t>
      </w:r>
    </w:p>
    <w:p w:rsidR="00926A65" w:rsidRPr="00E40A61" w:rsidRDefault="00926A65" w:rsidP="00926A65">
      <w:pPr>
        <w:pStyle w:val="ListParagraph"/>
        <w:rPr>
          <w:rFonts w:ascii="Arial" w:hAnsi="Arial" w:cs="Arial"/>
          <w:sz w:val="24"/>
          <w:szCs w:val="24"/>
          <w:highlight w:val="yellow"/>
        </w:rPr>
      </w:pPr>
    </w:p>
    <w:p w:rsidR="00D464A5" w:rsidRPr="00A1087D" w:rsidRDefault="00926A65" w:rsidP="00D464A5">
      <w:pPr>
        <w:pStyle w:val="ListParagraph"/>
        <w:numPr>
          <w:ilvl w:val="0"/>
          <w:numId w:val="1"/>
        </w:numPr>
        <w:spacing w:line="480" w:lineRule="auto"/>
        <w:jc w:val="both"/>
        <w:rPr>
          <w:rFonts w:ascii="Arial" w:hAnsi="Arial" w:cs="Arial"/>
          <w:sz w:val="24"/>
          <w:szCs w:val="24"/>
        </w:rPr>
      </w:pPr>
      <w:r w:rsidRPr="00A1087D">
        <w:rPr>
          <w:rFonts w:ascii="Arial" w:hAnsi="Arial" w:cs="Arial"/>
          <w:sz w:val="24"/>
          <w:szCs w:val="24"/>
        </w:rPr>
        <w:t xml:space="preserve"> </w:t>
      </w:r>
      <w:r w:rsidR="00C63AE6" w:rsidRPr="00A1087D">
        <w:rPr>
          <w:rFonts w:ascii="Arial" w:hAnsi="Arial" w:cs="Arial"/>
          <w:sz w:val="24"/>
          <w:szCs w:val="24"/>
        </w:rPr>
        <w:t xml:space="preserve">As rightfully pointed out by the Defendant, it is apparent that the Plaintiff did not plead </w:t>
      </w:r>
      <w:r w:rsidRPr="00A1087D">
        <w:rPr>
          <w:rFonts w:ascii="Arial" w:hAnsi="Arial" w:cs="Arial"/>
          <w:sz w:val="24"/>
          <w:szCs w:val="24"/>
        </w:rPr>
        <w:t>defamation and its elements in the particulars of claim. Furthermore, the Plaintiff failed to adduce</w:t>
      </w:r>
      <w:r w:rsidR="00D10A26" w:rsidRPr="00A1087D">
        <w:rPr>
          <w:rFonts w:ascii="Arial" w:hAnsi="Arial" w:cs="Arial"/>
          <w:sz w:val="24"/>
          <w:szCs w:val="24"/>
        </w:rPr>
        <w:t xml:space="preserve"> the</w:t>
      </w:r>
      <w:r w:rsidRPr="00A1087D">
        <w:rPr>
          <w:rFonts w:ascii="Arial" w:hAnsi="Arial" w:cs="Arial"/>
          <w:sz w:val="24"/>
          <w:szCs w:val="24"/>
        </w:rPr>
        <w:t xml:space="preserve"> evidence </w:t>
      </w:r>
      <w:r w:rsidR="00D10A26" w:rsidRPr="00A1087D">
        <w:rPr>
          <w:rFonts w:ascii="Arial" w:hAnsi="Arial" w:cs="Arial"/>
          <w:sz w:val="24"/>
          <w:szCs w:val="24"/>
        </w:rPr>
        <w:t>by calling her fellow employee who called her</w:t>
      </w:r>
      <w:r w:rsidR="00CF156B" w:rsidRPr="00A1087D">
        <w:rPr>
          <w:rFonts w:ascii="Arial" w:hAnsi="Arial" w:cs="Arial"/>
          <w:sz w:val="24"/>
          <w:szCs w:val="24"/>
        </w:rPr>
        <w:t xml:space="preserve"> to corroborate her version or explain what prompted her to enquire about the disciplinary hearing</w:t>
      </w:r>
      <w:r w:rsidR="00D10A26" w:rsidRPr="00A1087D">
        <w:rPr>
          <w:rFonts w:ascii="Arial" w:hAnsi="Arial" w:cs="Arial"/>
          <w:sz w:val="24"/>
          <w:szCs w:val="24"/>
        </w:rPr>
        <w:t xml:space="preserve">. </w:t>
      </w:r>
      <w:r w:rsidR="00CF156B" w:rsidRPr="00A1087D">
        <w:rPr>
          <w:rFonts w:ascii="Arial" w:hAnsi="Arial" w:cs="Arial"/>
          <w:sz w:val="24"/>
          <w:szCs w:val="24"/>
        </w:rPr>
        <w:t xml:space="preserve"> Ms </w:t>
      </w:r>
      <w:proofErr w:type="spellStart"/>
      <w:r w:rsidR="00CF156B" w:rsidRPr="00A1087D">
        <w:rPr>
          <w:rFonts w:ascii="Arial" w:hAnsi="Arial" w:cs="Arial"/>
          <w:sz w:val="24"/>
          <w:szCs w:val="24"/>
        </w:rPr>
        <w:t>Nkunzi</w:t>
      </w:r>
      <w:proofErr w:type="spellEnd"/>
      <w:r w:rsidR="00CF156B" w:rsidRPr="00A1087D">
        <w:rPr>
          <w:rFonts w:ascii="Arial" w:hAnsi="Arial" w:cs="Arial"/>
          <w:sz w:val="24"/>
          <w:szCs w:val="24"/>
        </w:rPr>
        <w:t xml:space="preserve"> was unable to state whether the Defendant asked the secretary to call her or whether the secretary was acting on behalf of the Defendant at the time or simply out of her own curiosity. </w:t>
      </w:r>
    </w:p>
    <w:p w:rsidR="003E44B1" w:rsidRPr="00E40A61" w:rsidRDefault="003E44B1" w:rsidP="003E44B1">
      <w:pPr>
        <w:pStyle w:val="ListParagraph"/>
        <w:rPr>
          <w:rFonts w:ascii="Arial" w:hAnsi="Arial" w:cs="Arial"/>
          <w:sz w:val="24"/>
          <w:szCs w:val="24"/>
          <w:highlight w:val="yellow"/>
        </w:rPr>
      </w:pPr>
    </w:p>
    <w:p w:rsidR="003E44B1" w:rsidRPr="00A1087D" w:rsidRDefault="003E44B1" w:rsidP="003E44B1">
      <w:pPr>
        <w:pStyle w:val="ListParagraph"/>
        <w:spacing w:line="480" w:lineRule="auto"/>
        <w:ind w:left="0"/>
        <w:jc w:val="both"/>
        <w:rPr>
          <w:rFonts w:ascii="Arial" w:hAnsi="Arial" w:cs="Arial"/>
          <w:sz w:val="24"/>
          <w:szCs w:val="24"/>
        </w:rPr>
      </w:pPr>
    </w:p>
    <w:p w:rsidR="00D464A5" w:rsidRPr="00A1087D" w:rsidRDefault="00D464A5" w:rsidP="00D464A5">
      <w:pPr>
        <w:pStyle w:val="ListParagraph"/>
        <w:numPr>
          <w:ilvl w:val="0"/>
          <w:numId w:val="1"/>
        </w:numPr>
        <w:spacing w:line="480" w:lineRule="auto"/>
        <w:jc w:val="both"/>
        <w:rPr>
          <w:rFonts w:ascii="Arial" w:hAnsi="Arial" w:cs="Arial"/>
          <w:sz w:val="24"/>
          <w:szCs w:val="24"/>
        </w:rPr>
      </w:pPr>
      <w:r w:rsidRPr="00A1087D">
        <w:rPr>
          <w:rFonts w:ascii="Arial" w:hAnsi="Arial" w:cs="Arial"/>
          <w:bCs/>
          <w:sz w:val="24"/>
          <w:szCs w:val="24"/>
          <w:lang w:val="af-ZA"/>
        </w:rPr>
        <w:t xml:space="preserve">In this regard </w:t>
      </w:r>
      <w:r w:rsidRPr="00A1087D">
        <w:rPr>
          <w:rFonts w:ascii="Arial" w:hAnsi="Arial" w:cs="Arial"/>
          <w:sz w:val="24"/>
          <w:szCs w:val="24"/>
        </w:rPr>
        <w:t xml:space="preserve">Act 45 of 1988 </w:t>
      </w:r>
      <w:r w:rsidRPr="00A1087D">
        <w:rPr>
          <w:rFonts w:ascii="Arial" w:hAnsi="Arial" w:cs="Arial"/>
          <w:bCs/>
          <w:sz w:val="24"/>
          <w:szCs w:val="24"/>
          <w:lang w:val="af-ZA"/>
        </w:rPr>
        <w:t xml:space="preserve"> provides:</w:t>
      </w:r>
    </w:p>
    <w:p w:rsidR="00D464A5" w:rsidRPr="00A1087D" w:rsidRDefault="00D464A5" w:rsidP="00D464A5">
      <w:pPr>
        <w:pStyle w:val="ListParagraph"/>
        <w:spacing w:line="360" w:lineRule="auto"/>
        <w:ind w:left="567" w:right="567"/>
        <w:jc w:val="both"/>
        <w:rPr>
          <w:rFonts w:ascii="Arial" w:hAnsi="Arial" w:cs="Arial"/>
          <w:i/>
        </w:rPr>
      </w:pPr>
      <w:r w:rsidRPr="00A1087D">
        <w:rPr>
          <w:rFonts w:ascii="Arial" w:hAnsi="Arial" w:cs="Arial"/>
          <w:bCs/>
          <w:i/>
          <w:lang w:val="af-ZA"/>
        </w:rPr>
        <w:t xml:space="preserve">‘‘3. </w:t>
      </w:r>
      <w:r w:rsidRPr="00A1087D">
        <w:rPr>
          <w:rFonts w:ascii="Arial" w:hAnsi="Arial" w:cs="Arial"/>
          <w:b/>
          <w:bCs/>
          <w:i/>
          <w:lang w:val="af-ZA"/>
        </w:rPr>
        <w:t>Hearsay evidence</w:t>
      </w:r>
    </w:p>
    <w:p w:rsidR="00D464A5" w:rsidRPr="00A1087D" w:rsidRDefault="00D464A5" w:rsidP="00D464A5">
      <w:pPr>
        <w:pStyle w:val="1AutoList1"/>
        <w:tabs>
          <w:tab w:val="clear" w:pos="720"/>
        </w:tabs>
        <w:spacing w:line="360" w:lineRule="auto"/>
        <w:ind w:left="567" w:right="567" w:firstLine="0"/>
        <w:rPr>
          <w:rFonts w:ascii="Arial" w:hAnsi="Arial" w:cs="Arial"/>
          <w:bCs/>
          <w:i/>
          <w:sz w:val="22"/>
          <w:szCs w:val="22"/>
          <w:lang w:val="af-ZA"/>
        </w:rPr>
      </w:pPr>
      <w:r w:rsidRPr="00A1087D">
        <w:rPr>
          <w:rFonts w:ascii="Arial" w:hAnsi="Arial" w:cs="Arial"/>
          <w:bCs/>
          <w:i/>
          <w:sz w:val="22"/>
          <w:szCs w:val="22"/>
          <w:lang w:val="af-ZA"/>
        </w:rPr>
        <w:lastRenderedPageBreak/>
        <w:t>Subject to the provisions of any other law, hearsay evidence shall not be admitted as evidence at criminal or civil proceedings, unless–</w:t>
      </w:r>
    </w:p>
    <w:p w:rsidR="00D464A5" w:rsidRPr="00A1087D" w:rsidRDefault="00D464A5" w:rsidP="00D464A5">
      <w:pPr>
        <w:pStyle w:val="1AutoList1"/>
        <w:spacing w:line="360" w:lineRule="auto"/>
        <w:ind w:left="567" w:right="567" w:firstLine="0"/>
        <w:rPr>
          <w:rFonts w:ascii="Arial" w:hAnsi="Arial" w:cs="Arial"/>
          <w:bCs/>
          <w:i/>
          <w:sz w:val="22"/>
          <w:szCs w:val="22"/>
          <w:lang w:val="af-ZA"/>
        </w:rPr>
      </w:pPr>
      <w:r w:rsidRPr="00A1087D">
        <w:rPr>
          <w:rFonts w:ascii="Arial" w:hAnsi="Arial" w:cs="Arial"/>
          <w:bCs/>
          <w:i/>
          <w:sz w:val="22"/>
          <w:szCs w:val="22"/>
          <w:lang w:val="af-ZA"/>
        </w:rPr>
        <w:t>. . .</w:t>
      </w:r>
    </w:p>
    <w:p w:rsidR="00D464A5" w:rsidRPr="00A1087D" w:rsidRDefault="00D464A5" w:rsidP="00D464A5">
      <w:pPr>
        <w:pStyle w:val="1AutoList1"/>
        <w:spacing w:line="360" w:lineRule="auto"/>
        <w:ind w:left="567" w:right="567" w:firstLine="0"/>
        <w:rPr>
          <w:rFonts w:ascii="Arial" w:hAnsi="Arial" w:cs="Arial"/>
          <w:bCs/>
          <w:i/>
          <w:sz w:val="22"/>
          <w:szCs w:val="22"/>
          <w:lang w:val="af-ZA"/>
        </w:rPr>
      </w:pPr>
      <w:r w:rsidRPr="00A1087D">
        <w:rPr>
          <w:rFonts w:ascii="Arial" w:hAnsi="Arial" w:cs="Arial"/>
          <w:bCs/>
          <w:i/>
          <w:sz w:val="22"/>
          <w:szCs w:val="22"/>
          <w:lang w:val="af-ZA"/>
        </w:rPr>
        <w:t>(c) the court, having regard to–</w:t>
      </w:r>
    </w:p>
    <w:p w:rsidR="00D464A5" w:rsidRPr="00A1087D" w:rsidRDefault="00D464A5" w:rsidP="00D464A5">
      <w:pPr>
        <w:pStyle w:val="1AutoList1"/>
        <w:spacing w:line="360" w:lineRule="auto"/>
        <w:ind w:left="567" w:right="567" w:firstLine="0"/>
        <w:rPr>
          <w:rFonts w:ascii="Arial" w:hAnsi="Arial" w:cs="Arial"/>
          <w:bCs/>
          <w:i/>
          <w:sz w:val="22"/>
          <w:szCs w:val="22"/>
          <w:lang w:val="af-ZA"/>
        </w:rPr>
      </w:pPr>
      <w:r w:rsidRPr="00A1087D">
        <w:rPr>
          <w:rFonts w:ascii="Arial" w:hAnsi="Arial" w:cs="Arial"/>
          <w:bCs/>
          <w:i/>
          <w:sz w:val="22"/>
          <w:szCs w:val="22"/>
          <w:lang w:val="af-ZA"/>
        </w:rPr>
        <w:t xml:space="preserve">     (i) the nature of the proceedings;</w:t>
      </w:r>
    </w:p>
    <w:p w:rsidR="00D464A5" w:rsidRPr="00A1087D" w:rsidRDefault="00D464A5" w:rsidP="00D464A5">
      <w:pPr>
        <w:pStyle w:val="1AutoList1"/>
        <w:spacing w:line="360" w:lineRule="auto"/>
        <w:ind w:left="567" w:right="567" w:firstLine="0"/>
        <w:rPr>
          <w:rFonts w:ascii="Arial" w:hAnsi="Arial" w:cs="Arial"/>
          <w:bCs/>
          <w:i/>
          <w:sz w:val="22"/>
          <w:szCs w:val="22"/>
          <w:lang w:val="af-ZA"/>
        </w:rPr>
      </w:pPr>
      <w:r w:rsidRPr="00A1087D">
        <w:rPr>
          <w:rFonts w:ascii="Arial" w:hAnsi="Arial" w:cs="Arial"/>
          <w:bCs/>
          <w:i/>
          <w:sz w:val="22"/>
          <w:szCs w:val="22"/>
          <w:lang w:val="af-ZA"/>
        </w:rPr>
        <w:t xml:space="preserve">     (ii) the nature of the evidence;</w:t>
      </w:r>
    </w:p>
    <w:p w:rsidR="00D464A5" w:rsidRPr="00A1087D" w:rsidRDefault="00D464A5" w:rsidP="00D464A5">
      <w:pPr>
        <w:pStyle w:val="1AutoList1"/>
        <w:spacing w:line="360" w:lineRule="auto"/>
        <w:ind w:left="567" w:right="567" w:firstLine="0"/>
        <w:rPr>
          <w:rFonts w:ascii="Arial" w:hAnsi="Arial" w:cs="Arial"/>
          <w:bCs/>
          <w:i/>
          <w:sz w:val="22"/>
          <w:szCs w:val="22"/>
          <w:lang w:val="af-ZA"/>
        </w:rPr>
      </w:pPr>
      <w:r w:rsidRPr="00A1087D">
        <w:rPr>
          <w:rFonts w:ascii="Arial" w:hAnsi="Arial" w:cs="Arial"/>
          <w:bCs/>
          <w:i/>
          <w:sz w:val="22"/>
          <w:szCs w:val="22"/>
          <w:lang w:val="af-ZA"/>
        </w:rPr>
        <w:t xml:space="preserve">     (iii) the purpose for which the evidence is tendered;</w:t>
      </w:r>
    </w:p>
    <w:p w:rsidR="00D464A5" w:rsidRPr="00A1087D" w:rsidRDefault="00D464A5" w:rsidP="00D464A5">
      <w:pPr>
        <w:pStyle w:val="1AutoList1"/>
        <w:spacing w:line="360" w:lineRule="auto"/>
        <w:ind w:left="567" w:right="567" w:firstLine="0"/>
        <w:rPr>
          <w:rFonts w:ascii="Arial" w:hAnsi="Arial" w:cs="Arial"/>
          <w:bCs/>
          <w:i/>
          <w:sz w:val="22"/>
          <w:szCs w:val="22"/>
          <w:lang w:val="af-ZA"/>
        </w:rPr>
      </w:pPr>
      <w:r w:rsidRPr="00A1087D">
        <w:rPr>
          <w:rFonts w:ascii="Arial" w:hAnsi="Arial" w:cs="Arial"/>
          <w:bCs/>
          <w:i/>
          <w:sz w:val="22"/>
          <w:szCs w:val="22"/>
          <w:lang w:val="af-ZA"/>
        </w:rPr>
        <w:t xml:space="preserve">    (iv) the probative value of the evidence;</w:t>
      </w:r>
    </w:p>
    <w:p w:rsidR="00D464A5" w:rsidRPr="00A1087D" w:rsidRDefault="00D464A5" w:rsidP="00D464A5">
      <w:pPr>
        <w:pStyle w:val="1AutoList1"/>
        <w:spacing w:line="360" w:lineRule="auto"/>
        <w:ind w:left="567" w:right="567" w:firstLine="0"/>
        <w:rPr>
          <w:rFonts w:ascii="Arial" w:hAnsi="Arial" w:cs="Arial"/>
          <w:bCs/>
          <w:i/>
          <w:sz w:val="22"/>
          <w:szCs w:val="22"/>
          <w:lang w:val="af-ZA"/>
        </w:rPr>
      </w:pPr>
      <w:r w:rsidRPr="00A1087D">
        <w:rPr>
          <w:rFonts w:ascii="Arial" w:hAnsi="Arial" w:cs="Arial"/>
          <w:bCs/>
          <w:i/>
          <w:sz w:val="22"/>
          <w:szCs w:val="22"/>
          <w:lang w:val="af-ZA"/>
        </w:rPr>
        <w:t xml:space="preserve">    (v)  the reason why the evidence is not given by the person upon whose               </w:t>
      </w:r>
    </w:p>
    <w:p w:rsidR="00D464A5" w:rsidRPr="00A1087D" w:rsidRDefault="00D464A5" w:rsidP="00D464A5">
      <w:pPr>
        <w:pStyle w:val="1AutoList1"/>
        <w:spacing w:line="360" w:lineRule="auto"/>
        <w:ind w:left="567" w:right="567"/>
        <w:rPr>
          <w:rFonts w:ascii="Arial" w:hAnsi="Arial" w:cs="Arial"/>
          <w:bCs/>
          <w:i/>
          <w:sz w:val="22"/>
          <w:szCs w:val="22"/>
          <w:lang w:val="af-ZA"/>
        </w:rPr>
      </w:pPr>
      <w:r w:rsidRPr="00A1087D">
        <w:rPr>
          <w:rFonts w:ascii="Arial" w:hAnsi="Arial" w:cs="Arial"/>
          <w:bCs/>
          <w:i/>
          <w:sz w:val="22"/>
          <w:szCs w:val="22"/>
          <w:lang w:val="af-ZA"/>
        </w:rPr>
        <w:t xml:space="preserve">                credibility the probative value of such evidence depends;</w:t>
      </w:r>
    </w:p>
    <w:p w:rsidR="00D464A5" w:rsidRPr="00A1087D" w:rsidRDefault="00D464A5" w:rsidP="00D464A5">
      <w:pPr>
        <w:pStyle w:val="1AutoList1"/>
        <w:spacing w:line="360" w:lineRule="auto"/>
        <w:ind w:left="0" w:right="567" w:firstLine="0"/>
        <w:rPr>
          <w:rFonts w:ascii="Arial" w:hAnsi="Arial" w:cs="Arial"/>
          <w:bCs/>
          <w:i/>
          <w:sz w:val="22"/>
          <w:szCs w:val="22"/>
          <w:lang w:val="af-ZA"/>
        </w:rPr>
      </w:pPr>
      <w:r w:rsidRPr="00A1087D">
        <w:rPr>
          <w:rFonts w:ascii="Arial" w:hAnsi="Arial" w:cs="Arial"/>
          <w:bCs/>
          <w:i/>
          <w:sz w:val="22"/>
          <w:szCs w:val="22"/>
          <w:lang w:val="af-ZA"/>
        </w:rPr>
        <w:tab/>
        <w:t xml:space="preserve"> (vi) any prejudice to a party which the admission of such evidence might </w:t>
      </w:r>
    </w:p>
    <w:p w:rsidR="00D464A5" w:rsidRPr="00A1087D" w:rsidRDefault="00D464A5" w:rsidP="00D464A5">
      <w:pPr>
        <w:pStyle w:val="1AutoList1"/>
        <w:spacing w:line="360" w:lineRule="auto"/>
        <w:ind w:left="567" w:right="567"/>
        <w:rPr>
          <w:rFonts w:ascii="Arial" w:hAnsi="Arial" w:cs="Arial"/>
          <w:bCs/>
          <w:i/>
          <w:sz w:val="22"/>
          <w:szCs w:val="22"/>
          <w:lang w:val="af-ZA"/>
        </w:rPr>
      </w:pPr>
      <w:r w:rsidRPr="00A1087D">
        <w:rPr>
          <w:rFonts w:ascii="Arial" w:hAnsi="Arial" w:cs="Arial"/>
          <w:bCs/>
          <w:i/>
          <w:sz w:val="22"/>
          <w:szCs w:val="22"/>
          <w:lang w:val="af-ZA"/>
        </w:rPr>
        <w:t xml:space="preserve">               entail; and</w:t>
      </w:r>
    </w:p>
    <w:p w:rsidR="00D464A5" w:rsidRPr="00A1087D" w:rsidRDefault="00D464A5" w:rsidP="00D464A5">
      <w:pPr>
        <w:pStyle w:val="1AutoList1"/>
        <w:spacing w:line="360" w:lineRule="auto"/>
        <w:ind w:left="567" w:right="567"/>
        <w:rPr>
          <w:rFonts w:ascii="Arial" w:hAnsi="Arial" w:cs="Arial"/>
          <w:bCs/>
          <w:i/>
          <w:sz w:val="22"/>
          <w:szCs w:val="22"/>
          <w:lang w:val="af-ZA"/>
        </w:rPr>
      </w:pPr>
      <w:r w:rsidRPr="00A1087D">
        <w:rPr>
          <w:rFonts w:ascii="Arial" w:hAnsi="Arial" w:cs="Arial"/>
          <w:bCs/>
          <w:i/>
          <w:sz w:val="22"/>
          <w:szCs w:val="22"/>
          <w:lang w:val="af-ZA"/>
        </w:rPr>
        <w:t xml:space="preserve">        </w:t>
      </w:r>
      <w:r w:rsidRPr="00A1087D">
        <w:rPr>
          <w:rFonts w:ascii="Arial" w:hAnsi="Arial" w:cs="Arial"/>
          <w:bCs/>
          <w:i/>
          <w:sz w:val="22"/>
          <w:szCs w:val="22"/>
          <w:lang w:val="af-ZA"/>
        </w:rPr>
        <w:tab/>
        <w:t xml:space="preserve"> (vii) any other factor which should in the opinion of the court be taken into  </w:t>
      </w:r>
    </w:p>
    <w:p w:rsidR="00D464A5" w:rsidRPr="00A1087D" w:rsidRDefault="00D464A5" w:rsidP="00D464A5">
      <w:pPr>
        <w:pStyle w:val="1AutoList1"/>
        <w:spacing w:line="360" w:lineRule="auto"/>
        <w:ind w:right="567" w:firstLine="0"/>
        <w:rPr>
          <w:rFonts w:ascii="Arial" w:hAnsi="Arial" w:cs="Arial"/>
          <w:bCs/>
          <w:i/>
          <w:sz w:val="22"/>
          <w:szCs w:val="22"/>
          <w:lang w:val="af-ZA"/>
        </w:rPr>
      </w:pPr>
      <w:r w:rsidRPr="00A1087D">
        <w:rPr>
          <w:rFonts w:ascii="Arial" w:hAnsi="Arial" w:cs="Arial"/>
          <w:bCs/>
          <w:i/>
          <w:sz w:val="22"/>
          <w:szCs w:val="22"/>
          <w:lang w:val="af-ZA"/>
        </w:rPr>
        <w:t xml:space="preserve"> account, is of the opinion that such evidence should be admitted in the interests of justice.’</w:t>
      </w:r>
    </w:p>
    <w:p w:rsidR="00D464A5" w:rsidRPr="00A1087D" w:rsidRDefault="00D464A5" w:rsidP="00D464A5">
      <w:pPr>
        <w:pStyle w:val="1AutoList1"/>
        <w:spacing w:line="480" w:lineRule="auto"/>
        <w:ind w:left="0" w:firstLine="0"/>
        <w:rPr>
          <w:rFonts w:ascii="Arial" w:hAnsi="Arial" w:cs="Arial"/>
          <w:bCs/>
          <w:lang w:val="af-ZA"/>
        </w:rPr>
      </w:pPr>
    </w:p>
    <w:p w:rsidR="00B908BE" w:rsidRPr="00EA789D" w:rsidRDefault="004E75E2" w:rsidP="00B908BE">
      <w:pPr>
        <w:pStyle w:val="ListParagraph"/>
        <w:numPr>
          <w:ilvl w:val="0"/>
          <w:numId w:val="1"/>
        </w:numPr>
        <w:spacing w:line="480" w:lineRule="auto"/>
        <w:jc w:val="both"/>
        <w:rPr>
          <w:rFonts w:ascii="Arial" w:hAnsi="Arial" w:cs="Arial"/>
          <w:b/>
          <w:sz w:val="24"/>
          <w:szCs w:val="24"/>
          <w:highlight w:val="yellow"/>
        </w:rPr>
      </w:pPr>
      <w:r w:rsidRPr="00A1087D">
        <w:rPr>
          <w:rFonts w:ascii="Arial" w:hAnsi="Arial" w:cs="Arial"/>
          <w:sz w:val="24"/>
          <w:szCs w:val="24"/>
        </w:rPr>
        <w:t>Plaintiff’s version in relation to the telephone call stands uncorroborated and</w:t>
      </w:r>
      <w:r w:rsidR="003E44B1" w:rsidRPr="00A1087D">
        <w:rPr>
          <w:rFonts w:ascii="Arial" w:hAnsi="Arial" w:cs="Arial"/>
          <w:sz w:val="24"/>
          <w:szCs w:val="24"/>
        </w:rPr>
        <w:t xml:space="preserve"> remains hearsay evidence and </w:t>
      </w:r>
      <w:r w:rsidRPr="00A1087D">
        <w:rPr>
          <w:rFonts w:ascii="Arial" w:hAnsi="Arial" w:cs="Arial"/>
          <w:sz w:val="24"/>
          <w:szCs w:val="24"/>
        </w:rPr>
        <w:t>no reliance can be placed on it as there is nothing on record to prove the origin and authenticity of the information</w:t>
      </w:r>
      <w:r w:rsidR="0098353F" w:rsidRPr="00A1087D">
        <w:rPr>
          <w:rFonts w:ascii="Arial" w:hAnsi="Arial" w:cs="Arial"/>
          <w:sz w:val="24"/>
          <w:szCs w:val="24"/>
        </w:rPr>
        <w:t xml:space="preserve">, despite Ms </w:t>
      </w:r>
      <w:proofErr w:type="spellStart"/>
      <w:r w:rsidR="0098353F" w:rsidRPr="00A1087D">
        <w:rPr>
          <w:rFonts w:ascii="Arial" w:hAnsi="Arial" w:cs="Arial"/>
          <w:sz w:val="24"/>
          <w:szCs w:val="24"/>
        </w:rPr>
        <w:t>Nkunzi</w:t>
      </w:r>
      <w:proofErr w:type="spellEnd"/>
      <w:r w:rsidR="0098353F" w:rsidRPr="00A1087D">
        <w:rPr>
          <w:rFonts w:ascii="Arial" w:hAnsi="Arial" w:cs="Arial"/>
          <w:sz w:val="24"/>
          <w:szCs w:val="24"/>
        </w:rPr>
        <w:t xml:space="preserve"> stating that the secretary received this information via an e-mail which she received from her boss</w:t>
      </w:r>
      <w:r w:rsidRPr="00A1087D">
        <w:rPr>
          <w:rFonts w:ascii="Arial" w:hAnsi="Arial" w:cs="Arial"/>
          <w:sz w:val="24"/>
          <w:szCs w:val="24"/>
        </w:rPr>
        <w:t xml:space="preserve">. Furthermore, the extent to which the institution of disciplinary proceedings was published is unknown. </w:t>
      </w:r>
      <w:r w:rsidRPr="00A1087D">
        <w:rPr>
          <w:rFonts w:ascii="Arial" w:hAnsi="Arial" w:cs="Arial"/>
          <w:sz w:val="24"/>
          <w:szCs w:val="24"/>
          <w:highlight w:val="yellow"/>
        </w:rPr>
        <w:t xml:space="preserve">The Defendant argued that this fact vitiates any argument or allegation that the Defendant acted </w:t>
      </w:r>
      <w:proofErr w:type="spellStart"/>
      <w:r w:rsidRPr="00A1087D">
        <w:rPr>
          <w:rFonts w:ascii="Arial" w:hAnsi="Arial" w:cs="Arial"/>
          <w:i/>
          <w:sz w:val="24"/>
          <w:szCs w:val="24"/>
          <w:highlight w:val="yellow"/>
        </w:rPr>
        <w:t>animo</w:t>
      </w:r>
      <w:proofErr w:type="spellEnd"/>
      <w:r w:rsidRPr="00A1087D">
        <w:rPr>
          <w:rFonts w:ascii="Arial" w:hAnsi="Arial" w:cs="Arial"/>
          <w:i/>
          <w:sz w:val="24"/>
          <w:szCs w:val="24"/>
          <w:highlight w:val="yellow"/>
        </w:rPr>
        <w:t xml:space="preserve"> </w:t>
      </w:r>
      <w:proofErr w:type="spellStart"/>
      <w:r w:rsidRPr="00A1087D">
        <w:rPr>
          <w:rFonts w:ascii="Arial" w:hAnsi="Arial" w:cs="Arial"/>
          <w:i/>
          <w:sz w:val="24"/>
          <w:szCs w:val="24"/>
          <w:highlight w:val="yellow"/>
        </w:rPr>
        <w:t>iniuriandi</w:t>
      </w:r>
      <w:proofErr w:type="spellEnd"/>
      <w:r w:rsidRPr="00A1087D">
        <w:rPr>
          <w:rFonts w:ascii="Arial" w:hAnsi="Arial" w:cs="Arial"/>
          <w:i/>
          <w:sz w:val="24"/>
          <w:szCs w:val="24"/>
          <w:highlight w:val="yellow"/>
        </w:rPr>
        <w:t xml:space="preserve">. </w:t>
      </w:r>
    </w:p>
    <w:p w:rsidR="00537AAE" w:rsidRPr="00A1087D" w:rsidRDefault="00537AAE" w:rsidP="00537AAE">
      <w:pPr>
        <w:pStyle w:val="ListParagraph"/>
        <w:spacing w:line="480" w:lineRule="auto"/>
        <w:ind w:left="0"/>
        <w:jc w:val="both"/>
        <w:rPr>
          <w:rFonts w:ascii="Arial" w:hAnsi="Arial" w:cs="Arial"/>
          <w:b/>
          <w:sz w:val="24"/>
          <w:szCs w:val="24"/>
        </w:rPr>
      </w:pPr>
    </w:p>
    <w:p w:rsidR="0075112E" w:rsidRPr="00A1087D" w:rsidRDefault="0075112E" w:rsidP="003E44B1">
      <w:pPr>
        <w:pStyle w:val="ListParagraph"/>
        <w:numPr>
          <w:ilvl w:val="0"/>
          <w:numId w:val="1"/>
        </w:numPr>
        <w:spacing w:line="480" w:lineRule="auto"/>
        <w:jc w:val="both"/>
        <w:rPr>
          <w:rFonts w:ascii="Arial" w:hAnsi="Arial" w:cs="Arial"/>
          <w:b/>
          <w:sz w:val="24"/>
          <w:szCs w:val="24"/>
        </w:rPr>
      </w:pPr>
      <w:r w:rsidRPr="00A1087D">
        <w:rPr>
          <w:rFonts w:ascii="Arial" w:hAnsi="Arial" w:cs="Arial"/>
          <w:sz w:val="24"/>
          <w:szCs w:val="24"/>
        </w:rPr>
        <w:t xml:space="preserve">It however behoves the court to place the legal position on record in this regard. </w:t>
      </w:r>
      <w:r w:rsidR="00537AAE" w:rsidRPr="00A1087D">
        <w:rPr>
          <w:rFonts w:ascii="Arial" w:hAnsi="Arial" w:cs="Arial"/>
          <w:sz w:val="24"/>
          <w:szCs w:val="24"/>
        </w:rPr>
        <w:t>It is trite</w:t>
      </w:r>
      <w:r w:rsidRPr="00A1087D">
        <w:rPr>
          <w:rFonts w:ascii="Arial" w:hAnsi="Arial" w:cs="Arial"/>
          <w:sz w:val="24"/>
          <w:szCs w:val="24"/>
        </w:rPr>
        <w:t xml:space="preserve"> that </w:t>
      </w:r>
      <w:r w:rsidRPr="00A1087D">
        <w:rPr>
          <w:rFonts w:ascii="Arial" w:hAnsi="Arial" w:cs="Arial"/>
          <w:i/>
          <w:sz w:val="24"/>
          <w:szCs w:val="24"/>
        </w:rPr>
        <w:t xml:space="preserve">‘although the plaintiff must expressly aver the existence of animus </w:t>
      </w:r>
      <w:proofErr w:type="spellStart"/>
      <w:r w:rsidRPr="00A1087D">
        <w:rPr>
          <w:rFonts w:ascii="Arial" w:hAnsi="Arial" w:cs="Arial"/>
          <w:i/>
          <w:sz w:val="24"/>
          <w:szCs w:val="24"/>
        </w:rPr>
        <w:t>iniuriandi</w:t>
      </w:r>
      <w:proofErr w:type="spellEnd"/>
      <w:r w:rsidRPr="00A1087D">
        <w:rPr>
          <w:rFonts w:ascii="Arial" w:hAnsi="Arial" w:cs="Arial"/>
          <w:i/>
          <w:sz w:val="24"/>
          <w:szCs w:val="24"/>
        </w:rPr>
        <w:t xml:space="preserve"> in his pleadings, he need not prove intent on the part of the defendant. If it is certain that the publication is defamatory and that it relates to the plaintiff, there is, apart </w:t>
      </w:r>
      <w:r w:rsidRPr="00A1087D">
        <w:rPr>
          <w:rFonts w:ascii="Arial" w:hAnsi="Arial" w:cs="Arial"/>
          <w:i/>
          <w:sz w:val="24"/>
          <w:szCs w:val="24"/>
        </w:rPr>
        <w:lastRenderedPageBreak/>
        <w:t xml:space="preserve">from the presumption of wrongfulness, also a presumption that </w:t>
      </w:r>
      <w:r w:rsidR="00537AAE" w:rsidRPr="00A1087D">
        <w:rPr>
          <w:rFonts w:ascii="Arial" w:hAnsi="Arial" w:cs="Arial"/>
          <w:i/>
          <w:sz w:val="24"/>
          <w:szCs w:val="24"/>
        </w:rPr>
        <w:t>t</w:t>
      </w:r>
      <w:r w:rsidRPr="00A1087D">
        <w:rPr>
          <w:rFonts w:ascii="Arial" w:hAnsi="Arial" w:cs="Arial"/>
          <w:i/>
          <w:sz w:val="24"/>
          <w:szCs w:val="24"/>
        </w:rPr>
        <w:t>he defamation was committed intentionally</w:t>
      </w:r>
      <w:r w:rsidR="00537AAE" w:rsidRPr="00A1087D">
        <w:rPr>
          <w:rFonts w:ascii="Arial" w:hAnsi="Arial" w:cs="Arial"/>
          <w:i/>
          <w:sz w:val="24"/>
          <w:szCs w:val="24"/>
        </w:rPr>
        <w:t>. Thus the burden of rebutting the presumption is place on the defendant.’</w:t>
      </w:r>
      <w:r w:rsidR="00D43E70" w:rsidRPr="00A1087D">
        <w:rPr>
          <w:rStyle w:val="FootnoteReference"/>
          <w:rFonts w:ascii="Arial" w:hAnsi="Arial" w:cs="Arial"/>
          <w:i/>
          <w:sz w:val="24"/>
          <w:szCs w:val="24"/>
        </w:rPr>
        <w:footnoteReference w:id="19"/>
      </w:r>
    </w:p>
    <w:p w:rsidR="00D43E70" w:rsidRPr="00E40A61" w:rsidRDefault="00D43E70" w:rsidP="00D43E70">
      <w:pPr>
        <w:pStyle w:val="ListParagraph"/>
        <w:rPr>
          <w:rFonts w:ascii="Arial" w:hAnsi="Arial" w:cs="Arial"/>
          <w:b/>
          <w:sz w:val="24"/>
          <w:szCs w:val="24"/>
          <w:highlight w:val="yellow"/>
        </w:rPr>
      </w:pPr>
    </w:p>
    <w:p w:rsidR="00EA789D" w:rsidRPr="00B908BE" w:rsidRDefault="00EA789D" w:rsidP="00EA789D">
      <w:pPr>
        <w:pStyle w:val="ListParagraph"/>
        <w:numPr>
          <w:ilvl w:val="0"/>
          <w:numId w:val="1"/>
        </w:numPr>
        <w:spacing w:line="480" w:lineRule="auto"/>
        <w:jc w:val="both"/>
        <w:rPr>
          <w:rFonts w:ascii="Arial" w:hAnsi="Arial" w:cs="Arial"/>
          <w:b/>
          <w:sz w:val="24"/>
          <w:szCs w:val="24"/>
          <w:highlight w:val="yellow"/>
        </w:rPr>
      </w:pPr>
      <w:r>
        <w:rPr>
          <w:rFonts w:ascii="Arial" w:hAnsi="Arial" w:cs="Arial"/>
          <w:sz w:val="24"/>
          <w:szCs w:val="24"/>
          <w:highlight w:val="yellow"/>
        </w:rPr>
        <w:t xml:space="preserve">Ms </w:t>
      </w:r>
      <w:proofErr w:type="spellStart"/>
      <w:r>
        <w:rPr>
          <w:rFonts w:ascii="Arial" w:hAnsi="Arial" w:cs="Arial"/>
          <w:sz w:val="24"/>
          <w:szCs w:val="24"/>
          <w:highlight w:val="yellow"/>
        </w:rPr>
        <w:t>Seheri</w:t>
      </w:r>
      <w:proofErr w:type="spellEnd"/>
      <w:r>
        <w:rPr>
          <w:rFonts w:ascii="Arial" w:hAnsi="Arial" w:cs="Arial"/>
          <w:sz w:val="24"/>
          <w:szCs w:val="24"/>
          <w:highlight w:val="yellow"/>
        </w:rPr>
        <w:t xml:space="preserve"> testified that email was essentially an internal notification. Consequently, if regard is had to the established legal principles </w:t>
      </w:r>
      <w:proofErr w:type="gramStart"/>
      <w:r>
        <w:rPr>
          <w:rFonts w:ascii="Arial" w:hAnsi="Arial" w:cs="Arial"/>
          <w:sz w:val="24"/>
          <w:szCs w:val="24"/>
          <w:highlight w:val="yellow"/>
        </w:rPr>
        <w:t xml:space="preserve">that </w:t>
      </w:r>
      <w:r w:rsidRPr="00B908BE">
        <w:rPr>
          <w:rFonts w:ascii="Arial" w:hAnsi="Arial" w:cs="Arial"/>
          <w:sz w:val="24"/>
          <w:szCs w:val="24"/>
          <w:highlight w:val="green"/>
        </w:rPr>
        <w:t xml:space="preserve"> if</w:t>
      </w:r>
      <w:proofErr w:type="gramEnd"/>
      <w:r w:rsidRPr="00B908BE">
        <w:rPr>
          <w:rFonts w:ascii="Arial" w:hAnsi="Arial" w:cs="Arial"/>
          <w:sz w:val="24"/>
          <w:szCs w:val="24"/>
          <w:highlight w:val="green"/>
        </w:rPr>
        <w:t xml:space="preserve"> the defendants in a defamation matter can prove that the</w:t>
      </w:r>
      <w:r>
        <w:rPr>
          <w:rFonts w:ascii="Arial" w:hAnsi="Arial" w:cs="Arial"/>
          <w:b/>
          <w:sz w:val="24"/>
          <w:szCs w:val="24"/>
          <w:highlight w:val="yellow"/>
        </w:rPr>
        <w:t xml:space="preserve"> </w:t>
      </w:r>
      <w:r w:rsidRPr="00B908BE">
        <w:rPr>
          <w:rFonts w:ascii="Arial" w:hAnsi="Arial" w:cs="Arial"/>
          <w:sz w:val="24"/>
          <w:szCs w:val="24"/>
          <w:highlight w:val="green"/>
        </w:rPr>
        <w:t>statements made were true and in the public interest, then they can</w:t>
      </w:r>
      <w:r>
        <w:rPr>
          <w:rFonts w:ascii="Arial" w:hAnsi="Arial" w:cs="Arial"/>
          <w:b/>
          <w:sz w:val="24"/>
          <w:szCs w:val="24"/>
          <w:highlight w:val="yellow"/>
        </w:rPr>
        <w:t xml:space="preserve"> </w:t>
      </w:r>
      <w:r w:rsidRPr="00B908BE">
        <w:rPr>
          <w:rFonts w:ascii="Arial" w:hAnsi="Arial" w:cs="Arial"/>
          <w:sz w:val="24"/>
          <w:szCs w:val="24"/>
          <w:highlight w:val="green"/>
        </w:rPr>
        <w:t>escape liability</w:t>
      </w:r>
      <w:r>
        <w:rPr>
          <w:rFonts w:ascii="Arial" w:hAnsi="Arial" w:cs="Arial"/>
          <w:sz w:val="24"/>
          <w:szCs w:val="24"/>
        </w:rPr>
        <w:t xml:space="preserve">. </w:t>
      </w:r>
    </w:p>
    <w:p w:rsidR="00B96A00" w:rsidRPr="00B96A00" w:rsidRDefault="00D1251D" w:rsidP="00D63CF8">
      <w:pPr>
        <w:pStyle w:val="ListParagraph"/>
        <w:numPr>
          <w:ilvl w:val="0"/>
          <w:numId w:val="1"/>
        </w:numPr>
        <w:spacing w:line="480" w:lineRule="auto"/>
        <w:jc w:val="both"/>
        <w:rPr>
          <w:rFonts w:ascii="Arial" w:hAnsi="Arial" w:cs="Arial"/>
          <w:b/>
          <w:sz w:val="24"/>
          <w:szCs w:val="24"/>
          <w:highlight w:val="yellow"/>
        </w:rPr>
      </w:pPr>
      <w:r>
        <w:rPr>
          <w:rFonts w:ascii="Arial" w:hAnsi="Arial" w:cs="Arial"/>
          <w:sz w:val="24"/>
          <w:szCs w:val="24"/>
        </w:rPr>
        <w:t>Also</w:t>
      </w:r>
      <w:r w:rsidR="00D63CF8">
        <w:rPr>
          <w:rFonts w:ascii="Arial" w:hAnsi="Arial" w:cs="Arial"/>
          <w:sz w:val="24"/>
          <w:szCs w:val="24"/>
        </w:rPr>
        <w:t>, i</w:t>
      </w:r>
      <w:r w:rsidR="00D43E70" w:rsidRPr="00A1087D">
        <w:rPr>
          <w:rFonts w:ascii="Arial" w:hAnsi="Arial" w:cs="Arial"/>
          <w:sz w:val="24"/>
          <w:szCs w:val="24"/>
        </w:rPr>
        <w:t xml:space="preserve">n light of the earlier concessions mentioned by Ms </w:t>
      </w:r>
      <w:proofErr w:type="spellStart"/>
      <w:r w:rsidR="00D43E70" w:rsidRPr="00A1087D">
        <w:rPr>
          <w:rFonts w:ascii="Arial" w:hAnsi="Arial" w:cs="Arial"/>
          <w:sz w:val="24"/>
          <w:szCs w:val="24"/>
        </w:rPr>
        <w:t>Nkunzi</w:t>
      </w:r>
      <w:proofErr w:type="spellEnd"/>
      <w:r w:rsidR="00D43E70" w:rsidRPr="00A1087D">
        <w:rPr>
          <w:rFonts w:ascii="Arial" w:hAnsi="Arial" w:cs="Arial"/>
          <w:sz w:val="24"/>
          <w:szCs w:val="24"/>
        </w:rPr>
        <w:t>, there is nothing tangible on record that there was in effect a publication and / or that such a publication was defamatory and as such the presumptions referred to do not</w:t>
      </w:r>
      <w:r w:rsidR="009A2041" w:rsidRPr="00A1087D">
        <w:rPr>
          <w:rFonts w:ascii="Arial" w:hAnsi="Arial" w:cs="Arial"/>
          <w:sz w:val="24"/>
          <w:szCs w:val="24"/>
        </w:rPr>
        <w:t xml:space="preserve">, in my view, </w:t>
      </w:r>
      <w:r w:rsidR="00D43E70" w:rsidRPr="00A1087D">
        <w:rPr>
          <w:rFonts w:ascii="Arial" w:hAnsi="Arial" w:cs="Arial"/>
          <w:sz w:val="24"/>
          <w:szCs w:val="24"/>
        </w:rPr>
        <w:t>find relevance</w:t>
      </w:r>
      <w:r w:rsidR="00D63CF8">
        <w:rPr>
          <w:rFonts w:ascii="Arial" w:hAnsi="Arial" w:cs="Arial"/>
          <w:sz w:val="24"/>
          <w:szCs w:val="24"/>
        </w:rPr>
        <w:t>.</w:t>
      </w:r>
    </w:p>
    <w:p w:rsidR="00B96A00" w:rsidRPr="00B96A00" w:rsidRDefault="00B96A00" w:rsidP="00D1251D">
      <w:pPr>
        <w:pStyle w:val="ListParagraph"/>
        <w:numPr>
          <w:ilvl w:val="0"/>
          <w:numId w:val="1"/>
        </w:numPr>
        <w:autoSpaceDE w:val="0"/>
        <w:autoSpaceDN w:val="0"/>
        <w:adjustRightInd w:val="0"/>
        <w:spacing w:after="0" w:line="480" w:lineRule="auto"/>
        <w:ind w:right="720"/>
        <w:rPr>
          <w:rFonts w:ascii="Arial" w:hAnsi="Arial" w:cs="Arial"/>
          <w:b/>
          <w:sz w:val="24"/>
          <w:szCs w:val="24"/>
          <w:highlight w:val="yellow"/>
        </w:rPr>
      </w:pPr>
      <w:r w:rsidRPr="00874833">
        <w:rPr>
          <w:rFonts w:ascii="Arial" w:hAnsi="Arial" w:cs="Arial"/>
          <w:sz w:val="24"/>
          <w:szCs w:val="24"/>
        </w:rPr>
        <w:t xml:space="preserve">If regard is to be had to the ordinary meaning of the words and the nature of the email as well as the objective and reasonable person test, it follows that the contents of the email are not defamatory. The publication of the </w:t>
      </w:r>
      <w:proofErr w:type="gramStart"/>
      <w:r w:rsidRPr="00874833">
        <w:rPr>
          <w:rFonts w:ascii="Arial" w:hAnsi="Arial" w:cs="Arial"/>
          <w:sz w:val="24"/>
          <w:szCs w:val="24"/>
        </w:rPr>
        <w:t>email  may</w:t>
      </w:r>
      <w:proofErr w:type="gramEnd"/>
      <w:r w:rsidRPr="00874833">
        <w:rPr>
          <w:rFonts w:ascii="Arial" w:hAnsi="Arial" w:cs="Arial"/>
          <w:sz w:val="24"/>
          <w:szCs w:val="24"/>
        </w:rPr>
        <w:t xml:space="preserve"> have caused the plaintiff a b</w:t>
      </w:r>
      <w:r w:rsidR="00874833" w:rsidRPr="00874833">
        <w:rPr>
          <w:rFonts w:ascii="Arial" w:hAnsi="Arial" w:cs="Arial"/>
          <w:sz w:val="24"/>
          <w:szCs w:val="24"/>
        </w:rPr>
        <w:t xml:space="preserve">it of embarrassment but there is nothing to suggest that the plaintiff suffered any real </w:t>
      </w:r>
      <w:r w:rsidRPr="00874833">
        <w:rPr>
          <w:rFonts w:ascii="Arial" w:hAnsi="Arial" w:cs="Arial"/>
          <w:sz w:val="24"/>
          <w:szCs w:val="24"/>
        </w:rPr>
        <w:t xml:space="preserve"> prejudice</w:t>
      </w:r>
      <w:r w:rsidR="00874833" w:rsidRPr="00874833">
        <w:rPr>
          <w:rFonts w:ascii="Arial" w:hAnsi="Arial" w:cs="Arial"/>
          <w:sz w:val="24"/>
          <w:szCs w:val="24"/>
        </w:rPr>
        <w:t xml:space="preserve"> and as such cannot </w:t>
      </w:r>
      <w:r w:rsidRPr="00874833">
        <w:rPr>
          <w:rFonts w:ascii="Arial" w:hAnsi="Arial" w:cs="Arial"/>
          <w:sz w:val="24"/>
          <w:szCs w:val="24"/>
        </w:rPr>
        <w:t xml:space="preserve"> amount to defamation. </w:t>
      </w:r>
      <w:r w:rsidR="00874833" w:rsidRPr="00874833">
        <w:rPr>
          <w:rFonts w:ascii="Arial" w:hAnsi="Arial" w:cs="Arial"/>
          <w:sz w:val="24"/>
          <w:szCs w:val="24"/>
        </w:rPr>
        <w:t xml:space="preserve"> </w:t>
      </w:r>
    </w:p>
    <w:p w:rsidR="00D63CF8" w:rsidRPr="00874833" w:rsidRDefault="00D63CF8" w:rsidP="00874833">
      <w:pPr>
        <w:pStyle w:val="ListParagraph"/>
        <w:numPr>
          <w:ilvl w:val="0"/>
          <w:numId w:val="1"/>
        </w:numPr>
        <w:spacing w:line="480" w:lineRule="auto"/>
        <w:jc w:val="both"/>
        <w:rPr>
          <w:rFonts w:ascii="Arial" w:hAnsi="Arial" w:cs="Arial"/>
          <w:b/>
          <w:sz w:val="24"/>
          <w:szCs w:val="24"/>
          <w:highlight w:val="yellow"/>
        </w:rPr>
      </w:pPr>
      <w:r w:rsidRPr="00D63CF8">
        <w:rPr>
          <w:rFonts w:ascii="Arial" w:hAnsi="Arial" w:cs="Arial"/>
          <w:sz w:val="24"/>
          <w:szCs w:val="24"/>
        </w:rPr>
        <w:t xml:space="preserve"> </w:t>
      </w:r>
      <w:r w:rsidRPr="00874833">
        <w:rPr>
          <w:rFonts w:ascii="Arial" w:hAnsi="Arial" w:cs="Arial"/>
          <w:sz w:val="24"/>
          <w:szCs w:val="24"/>
        </w:rPr>
        <w:t>I am therefore of the view, that there was no intent to defame through the dissemination of the email if regard is to be had to the intended recipients and the purpose for which it was disseminated.</w:t>
      </w:r>
    </w:p>
    <w:p w:rsidR="00D63CF8" w:rsidRPr="00D63CF8" w:rsidRDefault="00D63CF8" w:rsidP="00D63CF8">
      <w:pPr>
        <w:pStyle w:val="ListParagraph"/>
        <w:numPr>
          <w:ilvl w:val="0"/>
          <w:numId w:val="1"/>
        </w:numPr>
        <w:spacing w:line="480" w:lineRule="auto"/>
        <w:jc w:val="both"/>
        <w:rPr>
          <w:rFonts w:ascii="Arial" w:hAnsi="Arial" w:cs="Arial"/>
          <w:b/>
          <w:sz w:val="24"/>
          <w:szCs w:val="24"/>
          <w:highlight w:val="yellow"/>
        </w:rPr>
      </w:pPr>
    </w:p>
    <w:p w:rsidR="00DA29CF" w:rsidRPr="00E40A61" w:rsidRDefault="00DA29CF" w:rsidP="00D63CF8">
      <w:pPr>
        <w:pStyle w:val="ListParagraph"/>
        <w:numPr>
          <w:ilvl w:val="0"/>
          <w:numId w:val="1"/>
        </w:numPr>
        <w:spacing w:line="480" w:lineRule="auto"/>
        <w:jc w:val="both"/>
        <w:rPr>
          <w:rFonts w:ascii="Arial" w:hAnsi="Arial" w:cs="Arial"/>
          <w:b/>
          <w:sz w:val="24"/>
          <w:szCs w:val="24"/>
          <w:highlight w:val="yellow"/>
        </w:rPr>
      </w:pPr>
      <w:r w:rsidRPr="00E40A61">
        <w:rPr>
          <w:rFonts w:ascii="Arial" w:hAnsi="Arial" w:cs="Arial"/>
          <w:b/>
          <w:sz w:val="24"/>
          <w:szCs w:val="24"/>
          <w:highlight w:val="yellow"/>
        </w:rPr>
        <w:t>Conclusion</w:t>
      </w:r>
    </w:p>
    <w:p w:rsidR="001E1B07" w:rsidRPr="002D6378" w:rsidRDefault="00173F81" w:rsidP="001E1B07">
      <w:pPr>
        <w:pStyle w:val="ListParagraph"/>
        <w:numPr>
          <w:ilvl w:val="0"/>
          <w:numId w:val="1"/>
        </w:numPr>
        <w:spacing w:line="480" w:lineRule="auto"/>
        <w:jc w:val="both"/>
        <w:rPr>
          <w:rFonts w:ascii="Arial" w:hAnsi="Arial" w:cs="Arial"/>
          <w:b/>
          <w:sz w:val="24"/>
          <w:szCs w:val="24"/>
        </w:rPr>
      </w:pPr>
      <w:r>
        <w:rPr>
          <w:rFonts w:ascii="Arial" w:hAnsi="Arial" w:cs="Arial"/>
          <w:sz w:val="24"/>
          <w:szCs w:val="24"/>
        </w:rPr>
        <w:lastRenderedPageBreak/>
        <w:t xml:space="preserve">Ms </w:t>
      </w:r>
      <w:proofErr w:type="spellStart"/>
      <w:r>
        <w:rPr>
          <w:rFonts w:ascii="Arial" w:hAnsi="Arial" w:cs="Arial"/>
          <w:sz w:val="24"/>
          <w:szCs w:val="24"/>
        </w:rPr>
        <w:t>Seheri</w:t>
      </w:r>
      <w:proofErr w:type="spellEnd"/>
      <w:r>
        <w:rPr>
          <w:rFonts w:ascii="Arial" w:hAnsi="Arial" w:cs="Arial"/>
          <w:sz w:val="24"/>
          <w:szCs w:val="24"/>
        </w:rPr>
        <w:t xml:space="preserve"> reiterated that she was the person who engineered or started the disciplinary.  Her decision was based on the recommendation of the city investigation unit.</w:t>
      </w:r>
      <w:r w:rsidR="001E1B07" w:rsidRPr="001E1B07">
        <w:rPr>
          <w:rFonts w:ascii="Arial" w:hAnsi="Arial" w:cs="Arial"/>
          <w:sz w:val="24"/>
          <w:szCs w:val="24"/>
        </w:rPr>
        <w:t xml:space="preserve"> </w:t>
      </w:r>
      <w:r w:rsidR="001E1B07">
        <w:rPr>
          <w:rFonts w:ascii="Arial" w:hAnsi="Arial" w:cs="Arial"/>
          <w:sz w:val="24"/>
          <w:szCs w:val="24"/>
        </w:rPr>
        <w:t xml:space="preserve">During cross-examination she confirmed that Ms </w:t>
      </w:r>
      <w:proofErr w:type="spellStart"/>
      <w:r w:rsidR="001E1B07">
        <w:rPr>
          <w:rFonts w:ascii="Arial" w:hAnsi="Arial" w:cs="Arial"/>
          <w:sz w:val="24"/>
          <w:szCs w:val="24"/>
        </w:rPr>
        <w:t>Nkuzi</w:t>
      </w:r>
      <w:proofErr w:type="spellEnd"/>
      <w:r w:rsidR="001E1B07">
        <w:rPr>
          <w:rFonts w:ascii="Arial" w:hAnsi="Arial" w:cs="Arial"/>
          <w:sz w:val="24"/>
          <w:szCs w:val="24"/>
        </w:rPr>
        <w:t xml:space="preserve"> provided support to her senior manager. She confirmed that Ms </w:t>
      </w:r>
      <w:proofErr w:type="spellStart"/>
      <w:r w:rsidR="001E1B07">
        <w:rPr>
          <w:rFonts w:ascii="Arial" w:hAnsi="Arial" w:cs="Arial"/>
          <w:sz w:val="24"/>
          <w:szCs w:val="24"/>
        </w:rPr>
        <w:t>Nkuzi</w:t>
      </w:r>
      <w:proofErr w:type="spellEnd"/>
      <w:r w:rsidR="001E1B07">
        <w:rPr>
          <w:rFonts w:ascii="Arial" w:hAnsi="Arial" w:cs="Arial"/>
          <w:sz w:val="24"/>
          <w:szCs w:val="24"/>
        </w:rPr>
        <w:t xml:space="preserve"> would not be doing anything wrong if she acted on the instruction of Mr Govender if he told her to type something and if she did not do so it would be regarded as insubordination. </w:t>
      </w:r>
    </w:p>
    <w:p w:rsidR="001E1B07" w:rsidRPr="002D6378" w:rsidRDefault="001E1B07" w:rsidP="001E1B07">
      <w:pPr>
        <w:pStyle w:val="ListParagraph"/>
        <w:rPr>
          <w:rFonts w:ascii="Arial" w:hAnsi="Arial" w:cs="Arial"/>
          <w:b/>
          <w:sz w:val="24"/>
          <w:szCs w:val="24"/>
        </w:rPr>
      </w:pPr>
    </w:p>
    <w:p w:rsidR="001E1B07" w:rsidRPr="00651002" w:rsidRDefault="001E1B07" w:rsidP="001E1B07">
      <w:pPr>
        <w:pStyle w:val="ListParagraph"/>
        <w:numPr>
          <w:ilvl w:val="0"/>
          <w:numId w:val="1"/>
        </w:numPr>
        <w:spacing w:line="480" w:lineRule="auto"/>
        <w:jc w:val="both"/>
        <w:rPr>
          <w:rFonts w:ascii="Arial" w:hAnsi="Arial" w:cs="Arial"/>
          <w:b/>
          <w:sz w:val="24"/>
          <w:szCs w:val="24"/>
        </w:rPr>
      </w:pPr>
      <w:r>
        <w:rPr>
          <w:rFonts w:ascii="Arial" w:hAnsi="Arial" w:cs="Arial"/>
          <w:sz w:val="24"/>
          <w:szCs w:val="24"/>
        </w:rPr>
        <w:t>She stated that she established the disciplinary process as it is the vehicle to test the allegations levelled against the Plaintiff in the report. She further orated that she is required to account and would be held accountable if she did not deal with the matter appropriately as it is a requirement to monitor implementation of the recommendations made by the city investigation unit. She indicated that the forum to test the veracity of the allegations and that it was not her role to test the report. The persons dealing with the disciplinary procedure would craft the charges based on the information in the report; she does not formulate the charges.</w:t>
      </w:r>
    </w:p>
    <w:p w:rsidR="001E1B07" w:rsidRPr="000672FC" w:rsidRDefault="001E1B07" w:rsidP="001E1B07">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Ms </w:t>
      </w:r>
      <w:proofErr w:type="spellStart"/>
      <w:r>
        <w:rPr>
          <w:rFonts w:ascii="Arial" w:hAnsi="Arial" w:cs="Arial"/>
          <w:sz w:val="24"/>
          <w:szCs w:val="24"/>
        </w:rPr>
        <w:t>Seheri</w:t>
      </w:r>
      <w:proofErr w:type="spellEnd"/>
      <w:r>
        <w:rPr>
          <w:rFonts w:ascii="Arial" w:hAnsi="Arial" w:cs="Arial"/>
          <w:sz w:val="24"/>
          <w:szCs w:val="24"/>
        </w:rPr>
        <w:t xml:space="preserve"> was asked whether she was aware of the two statements made by Ms </w:t>
      </w:r>
      <w:proofErr w:type="spellStart"/>
      <w:r>
        <w:rPr>
          <w:rFonts w:ascii="Arial" w:hAnsi="Arial" w:cs="Arial"/>
          <w:sz w:val="24"/>
          <w:szCs w:val="24"/>
        </w:rPr>
        <w:t>Nukuzi</w:t>
      </w:r>
      <w:proofErr w:type="spellEnd"/>
      <w:r>
        <w:rPr>
          <w:rFonts w:ascii="Arial" w:hAnsi="Arial" w:cs="Arial"/>
          <w:sz w:val="24"/>
          <w:szCs w:val="24"/>
        </w:rPr>
        <w:t xml:space="preserve"> and whether she knew what the differences in the statements were and the circumstances under which the statement was corrected. She was unable to comment on the believability of the statement, as the report had to be looked at in its entirety. She was asked to give her comment on whether the conduct or actions of the Plaintiff amounted to the allegations asserted in the charge, to which she responded that she could not make that conclusion without testing it against what was contained in the report. She reiterated that her function is not to evaluate and make a decision </w:t>
      </w:r>
      <w:r>
        <w:rPr>
          <w:rFonts w:ascii="Arial" w:hAnsi="Arial" w:cs="Arial"/>
          <w:sz w:val="24"/>
          <w:szCs w:val="24"/>
        </w:rPr>
        <w:lastRenderedPageBreak/>
        <w:t>around what is contained in the report hence the reason why the disciplinary process is put into motion.</w:t>
      </w:r>
    </w:p>
    <w:p w:rsidR="001E1B07" w:rsidRPr="000672FC" w:rsidRDefault="001E1B07" w:rsidP="001E1B07">
      <w:pPr>
        <w:pStyle w:val="ListParagraph"/>
        <w:rPr>
          <w:rFonts w:ascii="Arial" w:hAnsi="Arial" w:cs="Arial"/>
          <w:b/>
          <w:sz w:val="24"/>
          <w:szCs w:val="24"/>
        </w:rPr>
      </w:pPr>
    </w:p>
    <w:p w:rsidR="001E1B07" w:rsidRPr="00B671E7" w:rsidRDefault="001E1B07" w:rsidP="001E1B07">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She emphasised that the other role-players mentioned became involved after the procurement process and that the report related to the procurement process. It was about the supplier that was appointed. She stated that the other role-players were not involved in the procurement process. </w:t>
      </w:r>
    </w:p>
    <w:p w:rsidR="001E1B07" w:rsidRPr="00B671E7" w:rsidRDefault="001E1B07" w:rsidP="001E1B07">
      <w:pPr>
        <w:pStyle w:val="ListParagraph"/>
        <w:rPr>
          <w:rFonts w:ascii="Arial" w:hAnsi="Arial" w:cs="Arial"/>
          <w:sz w:val="24"/>
          <w:szCs w:val="24"/>
        </w:rPr>
      </w:pPr>
    </w:p>
    <w:p w:rsidR="001E1B07" w:rsidRPr="00390012" w:rsidRDefault="001E1B07" w:rsidP="001E1B07">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She stated that the report pointed to both Mr Govender and Ms </w:t>
      </w:r>
      <w:proofErr w:type="spellStart"/>
      <w:r>
        <w:rPr>
          <w:rFonts w:ascii="Arial" w:hAnsi="Arial" w:cs="Arial"/>
          <w:sz w:val="24"/>
          <w:szCs w:val="24"/>
        </w:rPr>
        <w:t>Nkunzi</w:t>
      </w:r>
      <w:proofErr w:type="spellEnd"/>
      <w:r>
        <w:rPr>
          <w:rFonts w:ascii="Arial" w:hAnsi="Arial" w:cs="Arial"/>
          <w:sz w:val="24"/>
          <w:szCs w:val="24"/>
        </w:rPr>
        <w:t xml:space="preserve"> and even though Mr </w:t>
      </w:r>
      <w:proofErr w:type="spellStart"/>
      <w:r>
        <w:rPr>
          <w:rFonts w:ascii="Arial" w:hAnsi="Arial" w:cs="Arial"/>
          <w:sz w:val="24"/>
          <w:szCs w:val="24"/>
        </w:rPr>
        <w:t>Mkumla</w:t>
      </w:r>
      <w:proofErr w:type="spellEnd"/>
      <w:r>
        <w:rPr>
          <w:rFonts w:ascii="Arial" w:hAnsi="Arial" w:cs="Arial"/>
          <w:sz w:val="24"/>
          <w:szCs w:val="24"/>
        </w:rPr>
        <w:t xml:space="preserve"> also reported to Mr Govender, Mr Govender was the most senior. Referring to the various statements it was highlighted that there were more fingerprints of others’ involvement than the involvement of the Plaintiff to which the witness stated that she was not in a position to agree or to disagree. She conceded that if the Plaintiff was given an instruction by Mr Govender to do something within the course and scope of her employment, that the Plaintiff would have been obliged to do so provided it was a lawful instruction.  </w:t>
      </w:r>
    </w:p>
    <w:p w:rsidR="0098353F" w:rsidRPr="00E40A61" w:rsidRDefault="0098353F" w:rsidP="0098353F">
      <w:pPr>
        <w:pStyle w:val="ListParagraph"/>
        <w:spacing w:line="480" w:lineRule="auto"/>
        <w:ind w:left="0"/>
        <w:jc w:val="both"/>
        <w:rPr>
          <w:rFonts w:ascii="Arial" w:hAnsi="Arial" w:cs="Arial"/>
          <w:b/>
          <w:sz w:val="24"/>
          <w:szCs w:val="24"/>
          <w:highlight w:val="yellow"/>
        </w:rPr>
      </w:pPr>
    </w:p>
    <w:p w:rsidR="00A1087D" w:rsidRPr="00B908BE" w:rsidRDefault="00B908BE" w:rsidP="00B908BE">
      <w:pPr>
        <w:pStyle w:val="ListParagraph"/>
        <w:numPr>
          <w:ilvl w:val="0"/>
          <w:numId w:val="1"/>
        </w:numPr>
        <w:autoSpaceDE w:val="0"/>
        <w:autoSpaceDN w:val="0"/>
        <w:adjustRightInd w:val="0"/>
        <w:spacing w:after="0" w:line="480" w:lineRule="auto"/>
        <w:rPr>
          <w:rFonts w:ascii="Arial" w:hAnsi="Arial" w:cs="Arial"/>
          <w:sz w:val="24"/>
          <w:szCs w:val="24"/>
          <w:highlight w:val="green"/>
        </w:rPr>
      </w:pPr>
      <w:r>
        <w:rPr>
          <w:rFonts w:ascii="Arial" w:hAnsi="Arial" w:cs="Arial"/>
          <w:sz w:val="24"/>
          <w:szCs w:val="24"/>
          <w:highlight w:val="green"/>
        </w:rPr>
        <w:t>It is trite that e</w:t>
      </w:r>
      <w:r w:rsidR="00A1087D" w:rsidRPr="00F4543E">
        <w:rPr>
          <w:rFonts w:ascii="Arial" w:hAnsi="Arial" w:cs="Arial"/>
          <w:sz w:val="24"/>
          <w:szCs w:val="24"/>
          <w:highlight w:val="green"/>
        </w:rPr>
        <w:t xml:space="preserve">very element of a </w:t>
      </w:r>
      <w:proofErr w:type="spellStart"/>
      <w:r w:rsidR="00A1087D" w:rsidRPr="00F4543E">
        <w:rPr>
          <w:rFonts w:ascii="Arial" w:hAnsi="Arial" w:cs="Arial"/>
          <w:sz w:val="24"/>
          <w:szCs w:val="24"/>
          <w:highlight w:val="green"/>
        </w:rPr>
        <w:t>delict</w:t>
      </w:r>
      <w:proofErr w:type="spellEnd"/>
      <w:r w:rsidR="00A1087D" w:rsidRPr="00F4543E">
        <w:rPr>
          <w:rFonts w:ascii="Arial" w:hAnsi="Arial" w:cs="Arial"/>
          <w:sz w:val="24"/>
          <w:szCs w:val="24"/>
          <w:highlight w:val="green"/>
        </w:rPr>
        <w:t xml:space="preserve"> must be proven in order to succeed with a</w:t>
      </w:r>
      <w:r w:rsidR="00A1087D">
        <w:rPr>
          <w:rFonts w:ascii="Arial" w:hAnsi="Arial" w:cs="Arial"/>
          <w:sz w:val="24"/>
          <w:szCs w:val="24"/>
          <w:highlight w:val="green"/>
        </w:rPr>
        <w:t xml:space="preserve"> </w:t>
      </w:r>
      <w:r>
        <w:rPr>
          <w:rFonts w:ascii="Arial" w:hAnsi="Arial" w:cs="Arial"/>
          <w:sz w:val="24"/>
          <w:szCs w:val="24"/>
          <w:highlight w:val="green"/>
        </w:rPr>
        <w:t>delictual action. As previously stated, i</w:t>
      </w:r>
      <w:r w:rsidR="00A1087D" w:rsidRPr="00B908BE">
        <w:rPr>
          <w:rFonts w:ascii="Arial" w:hAnsi="Arial" w:cs="Arial"/>
          <w:sz w:val="24"/>
          <w:szCs w:val="24"/>
          <w:highlight w:val="green"/>
        </w:rPr>
        <w:t>n order to prove defamation,</w:t>
      </w:r>
      <w:r>
        <w:rPr>
          <w:rFonts w:ascii="Arial" w:hAnsi="Arial" w:cs="Arial"/>
          <w:sz w:val="24"/>
          <w:szCs w:val="24"/>
          <w:highlight w:val="green"/>
        </w:rPr>
        <w:t xml:space="preserve"> </w:t>
      </w:r>
      <w:r w:rsidR="00A1087D" w:rsidRPr="00B908BE">
        <w:rPr>
          <w:rFonts w:ascii="Arial" w:hAnsi="Arial" w:cs="Arial"/>
          <w:sz w:val="24"/>
          <w:szCs w:val="24"/>
          <w:highlight w:val="green"/>
        </w:rPr>
        <w:t>every requirement of defamation must also be proven in order to</w:t>
      </w:r>
      <w:r>
        <w:rPr>
          <w:rFonts w:ascii="Arial" w:hAnsi="Arial" w:cs="Arial"/>
          <w:sz w:val="24"/>
          <w:szCs w:val="24"/>
          <w:highlight w:val="green"/>
        </w:rPr>
        <w:t xml:space="preserve"> </w:t>
      </w:r>
      <w:r w:rsidR="00A1087D" w:rsidRPr="00B908BE">
        <w:rPr>
          <w:rFonts w:ascii="Arial" w:hAnsi="Arial" w:cs="Arial"/>
          <w:sz w:val="24"/>
          <w:szCs w:val="24"/>
          <w:highlight w:val="green"/>
        </w:rPr>
        <w:t>succeed with a claim for defamat</w:t>
      </w:r>
      <w:r>
        <w:rPr>
          <w:rFonts w:ascii="Arial" w:hAnsi="Arial" w:cs="Arial"/>
          <w:sz w:val="24"/>
          <w:szCs w:val="24"/>
          <w:highlight w:val="green"/>
        </w:rPr>
        <w:t xml:space="preserve">ion which included </w:t>
      </w:r>
      <w:r>
        <w:rPr>
          <w:rFonts w:ascii="Arial" w:hAnsi="Arial" w:cs="Arial"/>
          <w:i/>
          <w:iCs/>
          <w:sz w:val="24"/>
          <w:szCs w:val="24"/>
          <w:highlight w:val="green"/>
        </w:rPr>
        <w:t xml:space="preserve">animus </w:t>
      </w:r>
      <w:proofErr w:type="spellStart"/>
      <w:r>
        <w:rPr>
          <w:rFonts w:ascii="Arial" w:hAnsi="Arial" w:cs="Arial"/>
          <w:i/>
          <w:iCs/>
          <w:sz w:val="24"/>
          <w:szCs w:val="24"/>
          <w:highlight w:val="green"/>
        </w:rPr>
        <w:t>iniuriandi</w:t>
      </w:r>
      <w:proofErr w:type="spellEnd"/>
      <w:r>
        <w:rPr>
          <w:rFonts w:ascii="Arial" w:hAnsi="Arial" w:cs="Arial"/>
          <w:i/>
          <w:iCs/>
          <w:sz w:val="24"/>
          <w:szCs w:val="24"/>
          <w:highlight w:val="green"/>
        </w:rPr>
        <w:t>.</w:t>
      </w:r>
    </w:p>
    <w:p w:rsidR="00B908BE" w:rsidRPr="00B908BE" w:rsidRDefault="00B908BE" w:rsidP="00B908BE">
      <w:pPr>
        <w:pStyle w:val="ListParagraph"/>
        <w:autoSpaceDE w:val="0"/>
        <w:autoSpaceDN w:val="0"/>
        <w:adjustRightInd w:val="0"/>
        <w:spacing w:after="0" w:line="480" w:lineRule="auto"/>
        <w:ind w:left="0"/>
        <w:rPr>
          <w:rFonts w:ascii="Arial" w:hAnsi="Arial" w:cs="Arial"/>
          <w:sz w:val="24"/>
          <w:szCs w:val="24"/>
          <w:highlight w:val="green"/>
        </w:rPr>
      </w:pPr>
    </w:p>
    <w:p w:rsidR="00B908BE" w:rsidRPr="00B908BE" w:rsidRDefault="00B908BE" w:rsidP="00B908BE">
      <w:pPr>
        <w:pStyle w:val="ListParagraph"/>
        <w:numPr>
          <w:ilvl w:val="0"/>
          <w:numId w:val="1"/>
        </w:numPr>
        <w:spacing w:line="480" w:lineRule="auto"/>
        <w:jc w:val="both"/>
        <w:rPr>
          <w:rFonts w:ascii="Arial" w:hAnsi="Arial" w:cs="Arial"/>
          <w:b/>
          <w:sz w:val="24"/>
          <w:szCs w:val="24"/>
        </w:rPr>
      </w:pPr>
      <w:r w:rsidRPr="00CD3861">
        <w:rPr>
          <w:rFonts w:ascii="Arial" w:hAnsi="Arial" w:cs="Arial"/>
          <w:sz w:val="24"/>
          <w:szCs w:val="24"/>
        </w:rPr>
        <w:lastRenderedPageBreak/>
        <w:t>In</w:t>
      </w:r>
      <w:r w:rsidRPr="00CD3861">
        <w:rPr>
          <w:rFonts w:ascii="Arial" w:hAnsi="Arial" w:cs="Arial"/>
          <w:b/>
          <w:sz w:val="24"/>
          <w:szCs w:val="24"/>
        </w:rPr>
        <w:t xml:space="preserve"> </w:t>
      </w:r>
      <w:r w:rsidRPr="00CD3861">
        <w:rPr>
          <w:rFonts w:ascii="Arial" w:hAnsi="Arial" w:cs="Arial"/>
          <w:b/>
          <w:i/>
          <w:sz w:val="24"/>
          <w:szCs w:val="24"/>
        </w:rPr>
        <w:t xml:space="preserve">Minister of Justice and Constitutional Development v </w:t>
      </w:r>
      <w:proofErr w:type="spellStart"/>
      <w:r w:rsidRPr="00CD3861">
        <w:rPr>
          <w:rFonts w:ascii="Arial" w:hAnsi="Arial" w:cs="Arial"/>
          <w:b/>
          <w:i/>
          <w:sz w:val="24"/>
          <w:szCs w:val="24"/>
        </w:rPr>
        <w:t>Moleko</w:t>
      </w:r>
      <w:proofErr w:type="spellEnd"/>
      <w:r>
        <w:rPr>
          <w:rStyle w:val="FootnoteReference"/>
          <w:rFonts w:ascii="Arial" w:hAnsi="Arial" w:cs="Arial"/>
          <w:b/>
          <w:sz w:val="24"/>
          <w:szCs w:val="24"/>
        </w:rPr>
        <w:footnoteReference w:id="20"/>
      </w:r>
      <w:r>
        <w:rPr>
          <w:rFonts w:ascii="Arial" w:hAnsi="Arial" w:cs="Arial"/>
          <w:sz w:val="24"/>
          <w:szCs w:val="24"/>
        </w:rPr>
        <w:t xml:space="preserve"> the Supreme Court of Appeal held that there had to have been an honest belief in the guilt of the Plaintiff held on reasonable grounds to prove reasonable and probable cause.</w:t>
      </w:r>
    </w:p>
    <w:p w:rsidR="00F40049" w:rsidRPr="00F40049" w:rsidRDefault="00F40049" w:rsidP="00F40049">
      <w:pPr>
        <w:pStyle w:val="ListParagraph"/>
        <w:numPr>
          <w:ilvl w:val="0"/>
          <w:numId w:val="1"/>
        </w:numPr>
        <w:spacing w:line="480" w:lineRule="auto"/>
        <w:jc w:val="both"/>
        <w:rPr>
          <w:rFonts w:ascii="Arial" w:hAnsi="Arial" w:cs="Arial"/>
          <w:b/>
          <w:sz w:val="24"/>
          <w:szCs w:val="24"/>
          <w:highlight w:val="yellow"/>
        </w:rPr>
      </w:pPr>
      <w:r w:rsidRPr="00F40049">
        <w:rPr>
          <w:rFonts w:ascii="Arial" w:hAnsi="Arial" w:cs="Arial"/>
          <w:sz w:val="24"/>
          <w:szCs w:val="24"/>
          <w:highlight w:val="yellow"/>
        </w:rPr>
        <w:t>The charge against her was couched in the following terms:</w:t>
      </w:r>
    </w:p>
    <w:p w:rsidR="00F40049" w:rsidRPr="00F40049" w:rsidRDefault="00F40049" w:rsidP="00F40049">
      <w:pPr>
        <w:pStyle w:val="ListParagraph"/>
        <w:rPr>
          <w:rFonts w:ascii="Arial" w:hAnsi="Arial" w:cs="Arial"/>
          <w:b/>
          <w:sz w:val="24"/>
          <w:szCs w:val="24"/>
          <w:highlight w:val="yellow"/>
        </w:rPr>
      </w:pPr>
    </w:p>
    <w:p w:rsidR="00F40049" w:rsidRDefault="00F40049" w:rsidP="00F40049">
      <w:pPr>
        <w:pStyle w:val="ListParagraph"/>
        <w:spacing w:line="360" w:lineRule="auto"/>
        <w:ind w:right="720"/>
        <w:jc w:val="both"/>
        <w:rPr>
          <w:rFonts w:ascii="Arial" w:hAnsi="Arial" w:cs="Arial"/>
          <w:i/>
        </w:rPr>
      </w:pPr>
      <w:r w:rsidRPr="00F40049">
        <w:rPr>
          <w:rFonts w:ascii="Arial" w:hAnsi="Arial" w:cs="Arial"/>
          <w:i/>
          <w:highlight w:val="yellow"/>
        </w:rPr>
        <w:t>‘It is alleged that you misconducted yourself in terms of Clause 9 of the Code of Conduct for Municipal Staff Members, Municipal Systems Act, which states that a staff member may not use, take, acquire or benefit from any property or asset owned, controlled or managed by the Municipality to which that staff member has no right, in that on the 19</w:t>
      </w:r>
      <w:r w:rsidRPr="00F40049">
        <w:rPr>
          <w:rFonts w:ascii="Arial" w:hAnsi="Arial" w:cs="Arial"/>
          <w:i/>
          <w:highlight w:val="yellow"/>
          <w:vertAlign w:val="superscript"/>
        </w:rPr>
        <w:t>th</w:t>
      </w:r>
      <w:r w:rsidRPr="00F40049">
        <w:rPr>
          <w:rFonts w:ascii="Arial" w:hAnsi="Arial" w:cs="Arial"/>
          <w:i/>
          <w:highlight w:val="yellow"/>
        </w:rPr>
        <w:t xml:space="preserve"> of August 2013 while you were on duty, you fraudulently prepared a tender document for advertisement, whose order number is: PO 1291704 OL without complying and completing the assignment or project thereof’</w:t>
      </w:r>
      <w:r w:rsidRPr="00F40049">
        <w:rPr>
          <w:rStyle w:val="FootnoteReference"/>
          <w:rFonts w:ascii="Arial" w:hAnsi="Arial" w:cs="Arial"/>
          <w:i/>
          <w:highlight w:val="yellow"/>
        </w:rPr>
        <w:footnoteReference w:id="21"/>
      </w:r>
    </w:p>
    <w:p w:rsidR="00F40049" w:rsidRPr="005444E8" w:rsidRDefault="00F40049" w:rsidP="00F40049">
      <w:pPr>
        <w:pStyle w:val="ListParagraph"/>
        <w:spacing w:line="360" w:lineRule="auto"/>
        <w:ind w:right="720"/>
        <w:jc w:val="both"/>
        <w:rPr>
          <w:rFonts w:ascii="Arial" w:hAnsi="Arial" w:cs="Arial"/>
          <w:i/>
        </w:rPr>
      </w:pPr>
    </w:p>
    <w:p w:rsidR="00B908BE" w:rsidRPr="00B908BE" w:rsidRDefault="00B908BE" w:rsidP="00B908BE">
      <w:pPr>
        <w:pStyle w:val="ListParagraph"/>
        <w:rPr>
          <w:rFonts w:ascii="Arial" w:hAnsi="Arial" w:cs="Arial"/>
          <w:b/>
          <w:sz w:val="24"/>
          <w:szCs w:val="24"/>
        </w:rPr>
      </w:pPr>
    </w:p>
    <w:p w:rsidR="00B908BE" w:rsidRPr="00CD3861" w:rsidRDefault="00B908BE" w:rsidP="00B908BE">
      <w:pPr>
        <w:pStyle w:val="ListParagraph"/>
        <w:spacing w:line="480" w:lineRule="auto"/>
        <w:ind w:left="0"/>
        <w:jc w:val="both"/>
        <w:rPr>
          <w:rFonts w:ascii="Arial" w:hAnsi="Arial" w:cs="Arial"/>
          <w:b/>
          <w:sz w:val="24"/>
          <w:szCs w:val="24"/>
        </w:rPr>
      </w:pPr>
    </w:p>
    <w:p w:rsidR="00DA29CF" w:rsidRPr="00A1087D" w:rsidRDefault="00DA29CF" w:rsidP="00DA29CF">
      <w:pPr>
        <w:pStyle w:val="ListParagraph"/>
        <w:numPr>
          <w:ilvl w:val="0"/>
          <w:numId w:val="1"/>
        </w:numPr>
        <w:spacing w:line="480" w:lineRule="auto"/>
        <w:jc w:val="both"/>
        <w:rPr>
          <w:rFonts w:ascii="Arial" w:hAnsi="Arial" w:cs="Arial"/>
          <w:b/>
          <w:sz w:val="24"/>
          <w:szCs w:val="24"/>
          <w:highlight w:val="yellow"/>
        </w:rPr>
      </w:pPr>
      <w:r w:rsidRPr="00A1087D">
        <w:rPr>
          <w:rFonts w:ascii="Arial" w:hAnsi="Arial" w:cs="Arial"/>
          <w:sz w:val="24"/>
          <w:szCs w:val="24"/>
        </w:rPr>
        <w:t>After carefully considering the Plaintiff’s case</w:t>
      </w:r>
      <w:r w:rsidR="00543A99" w:rsidRPr="00A1087D">
        <w:rPr>
          <w:rFonts w:ascii="Arial" w:hAnsi="Arial" w:cs="Arial"/>
          <w:sz w:val="24"/>
          <w:szCs w:val="24"/>
        </w:rPr>
        <w:t xml:space="preserve">, </w:t>
      </w:r>
      <w:r w:rsidR="004E75E2" w:rsidRPr="00A1087D">
        <w:rPr>
          <w:rFonts w:ascii="Arial" w:hAnsi="Arial" w:cs="Arial"/>
          <w:sz w:val="24"/>
          <w:szCs w:val="24"/>
        </w:rPr>
        <w:t xml:space="preserve">the </w:t>
      </w:r>
      <w:r w:rsidR="00543A99" w:rsidRPr="00A1087D">
        <w:rPr>
          <w:rFonts w:ascii="Arial" w:hAnsi="Arial" w:cs="Arial"/>
          <w:sz w:val="24"/>
          <w:szCs w:val="24"/>
        </w:rPr>
        <w:t>evidence on record and</w:t>
      </w:r>
      <w:r w:rsidRPr="00A1087D">
        <w:rPr>
          <w:rFonts w:ascii="Arial" w:hAnsi="Arial" w:cs="Arial"/>
          <w:sz w:val="24"/>
          <w:szCs w:val="24"/>
        </w:rPr>
        <w:t xml:space="preserve"> applicable legal principals I am of the view that the Plaintiff has failed to provide sufficient evidence to establish a </w:t>
      </w:r>
      <w:r w:rsidRPr="00A1087D">
        <w:rPr>
          <w:rFonts w:ascii="Arial" w:hAnsi="Arial" w:cs="Arial"/>
          <w:i/>
          <w:sz w:val="24"/>
          <w:szCs w:val="24"/>
        </w:rPr>
        <w:t>prima facie</w:t>
      </w:r>
      <w:r w:rsidRPr="00A1087D">
        <w:rPr>
          <w:rFonts w:ascii="Arial" w:hAnsi="Arial" w:cs="Arial"/>
          <w:sz w:val="24"/>
          <w:szCs w:val="24"/>
        </w:rPr>
        <w:t xml:space="preserve"> case that the Defendant has wrongfully, maliciously and vexatious instituted disciplinary proceedings </w:t>
      </w:r>
      <w:r w:rsidR="00427DE8" w:rsidRPr="00A1087D">
        <w:rPr>
          <w:rFonts w:ascii="Arial" w:hAnsi="Arial" w:cs="Arial"/>
          <w:sz w:val="24"/>
          <w:szCs w:val="24"/>
        </w:rPr>
        <w:t xml:space="preserve">against her </w:t>
      </w:r>
      <w:r w:rsidR="001C5237" w:rsidRPr="00A1087D">
        <w:rPr>
          <w:rFonts w:ascii="Arial" w:hAnsi="Arial" w:cs="Arial"/>
          <w:sz w:val="24"/>
          <w:szCs w:val="24"/>
        </w:rPr>
        <w:t>and that she had suffered</w:t>
      </w:r>
      <w:r w:rsidRPr="00A1087D">
        <w:rPr>
          <w:rFonts w:ascii="Arial" w:hAnsi="Arial" w:cs="Arial"/>
          <w:i/>
          <w:sz w:val="24"/>
          <w:szCs w:val="24"/>
        </w:rPr>
        <w:t xml:space="preserve"> contumelia </w:t>
      </w:r>
      <w:r w:rsidRPr="00A1087D">
        <w:rPr>
          <w:rFonts w:ascii="Arial" w:hAnsi="Arial" w:cs="Arial"/>
          <w:sz w:val="24"/>
          <w:szCs w:val="24"/>
        </w:rPr>
        <w:t>by the actions of the Defendant</w:t>
      </w:r>
      <w:r w:rsidR="00543A99" w:rsidRPr="00A1087D">
        <w:rPr>
          <w:rFonts w:ascii="Arial" w:hAnsi="Arial" w:cs="Arial"/>
          <w:sz w:val="24"/>
          <w:szCs w:val="24"/>
        </w:rPr>
        <w:t xml:space="preserve">. </w:t>
      </w:r>
    </w:p>
    <w:p w:rsidR="00A1087D" w:rsidRPr="00CD3861" w:rsidRDefault="00A1087D" w:rsidP="00A1087D">
      <w:pPr>
        <w:pStyle w:val="ListParagraph"/>
        <w:spacing w:line="480" w:lineRule="auto"/>
        <w:ind w:left="0"/>
        <w:jc w:val="both"/>
        <w:rPr>
          <w:rFonts w:ascii="Arial" w:hAnsi="Arial" w:cs="Arial"/>
          <w:b/>
          <w:sz w:val="24"/>
          <w:szCs w:val="24"/>
          <w:highlight w:val="yellow"/>
        </w:rPr>
      </w:pPr>
    </w:p>
    <w:p w:rsidR="00CD3861" w:rsidRPr="00CD3861" w:rsidRDefault="00CD3861" w:rsidP="00CD3861">
      <w:pPr>
        <w:pStyle w:val="ListParagraph"/>
        <w:rPr>
          <w:rFonts w:ascii="Arial" w:hAnsi="Arial" w:cs="Arial"/>
          <w:b/>
          <w:sz w:val="24"/>
          <w:szCs w:val="24"/>
          <w:highlight w:val="yellow"/>
        </w:rPr>
      </w:pPr>
    </w:p>
    <w:p w:rsidR="0092004B" w:rsidRPr="00E40A61" w:rsidRDefault="0092004B" w:rsidP="0092004B">
      <w:pPr>
        <w:pStyle w:val="ListParagraph"/>
        <w:spacing w:line="480" w:lineRule="auto"/>
        <w:ind w:left="0"/>
        <w:jc w:val="both"/>
        <w:rPr>
          <w:rFonts w:ascii="Arial" w:hAnsi="Arial" w:cs="Arial"/>
          <w:b/>
          <w:sz w:val="24"/>
          <w:szCs w:val="24"/>
          <w:highlight w:val="yellow"/>
        </w:rPr>
      </w:pPr>
    </w:p>
    <w:p w:rsidR="0092004B" w:rsidRPr="00E40A61" w:rsidRDefault="0092004B" w:rsidP="0092004B">
      <w:pPr>
        <w:pStyle w:val="ListParagraph"/>
        <w:numPr>
          <w:ilvl w:val="0"/>
          <w:numId w:val="1"/>
        </w:numPr>
        <w:spacing w:line="480" w:lineRule="auto"/>
        <w:jc w:val="both"/>
        <w:rPr>
          <w:rFonts w:ascii="Arial" w:hAnsi="Arial" w:cs="Arial"/>
          <w:b/>
          <w:sz w:val="24"/>
          <w:szCs w:val="24"/>
          <w:highlight w:val="yellow"/>
        </w:rPr>
      </w:pPr>
      <w:r w:rsidRPr="00E40A61">
        <w:rPr>
          <w:rFonts w:ascii="Arial" w:hAnsi="Arial" w:cs="Arial"/>
          <w:sz w:val="24"/>
          <w:szCs w:val="24"/>
          <w:highlight w:val="yellow"/>
        </w:rPr>
        <w:t xml:space="preserve">Turning now to the issue of costs. It is an accepted legal principle that costs ordinarily follow the result and a successful party is therefore entitled to his or her </w:t>
      </w:r>
      <w:r w:rsidRPr="00E40A61">
        <w:rPr>
          <w:rFonts w:ascii="Arial" w:hAnsi="Arial" w:cs="Arial"/>
          <w:sz w:val="24"/>
          <w:szCs w:val="24"/>
          <w:highlight w:val="yellow"/>
        </w:rPr>
        <w:lastRenderedPageBreak/>
        <w:t xml:space="preserve">costs. The general rule is that costs follow the event, which is a starting point. The guiding principle is that </w:t>
      </w:r>
      <w:r w:rsidRPr="00E40A61">
        <w:rPr>
          <w:rFonts w:ascii="Arial" w:hAnsi="Arial" w:cs="Arial"/>
          <w:i/>
          <w:sz w:val="24"/>
          <w:szCs w:val="24"/>
          <w:highlight w:val="yellow"/>
        </w:rPr>
        <w:t>‘…costs are awarded to a successful party in order to indemnify him for the expense to which he has been put through having been unjustly compelled either to initiate or to defend litigation, as the case may be,. Owing to the unnecessary operation of taxation, such an award is seldom a complete indemnity; but that does not affect the principle on which it is based.’</w:t>
      </w:r>
      <w:r w:rsidRPr="00E40A61">
        <w:rPr>
          <w:rStyle w:val="FootnoteReference"/>
          <w:rFonts w:ascii="Arial" w:hAnsi="Arial" w:cs="Arial"/>
          <w:i/>
          <w:sz w:val="24"/>
          <w:szCs w:val="24"/>
          <w:highlight w:val="yellow"/>
        </w:rPr>
        <w:footnoteReference w:id="22"/>
      </w:r>
    </w:p>
    <w:p w:rsidR="0092004B" w:rsidRPr="00E40A61" w:rsidRDefault="0092004B" w:rsidP="0092004B">
      <w:pPr>
        <w:pStyle w:val="ListParagraph"/>
        <w:tabs>
          <w:tab w:val="left" w:pos="2385"/>
        </w:tabs>
        <w:spacing w:line="480" w:lineRule="auto"/>
        <w:ind w:left="0"/>
        <w:jc w:val="both"/>
        <w:rPr>
          <w:rFonts w:ascii="Arial" w:hAnsi="Arial" w:cs="Arial"/>
          <w:b/>
          <w:sz w:val="24"/>
          <w:szCs w:val="24"/>
          <w:highlight w:val="yellow"/>
        </w:rPr>
      </w:pPr>
      <w:r w:rsidRPr="00E40A61">
        <w:rPr>
          <w:rFonts w:ascii="Arial" w:hAnsi="Arial" w:cs="Arial"/>
          <w:b/>
          <w:sz w:val="24"/>
          <w:szCs w:val="24"/>
          <w:highlight w:val="yellow"/>
        </w:rPr>
        <w:tab/>
      </w:r>
    </w:p>
    <w:p w:rsidR="0092004B" w:rsidRPr="00E40A61" w:rsidRDefault="0092004B" w:rsidP="0092004B">
      <w:pPr>
        <w:pStyle w:val="ListParagraph"/>
        <w:numPr>
          <w:ilvl w:val="0"/>
          <w:numId w:val="1"/>
        </w:numPr>
        <w:spacing w:line="480" w:lineRule="auto"/>
        <w:jc w:val="both"/>
        <w:rPr>
          <w:rFonts w:ascii="Arial" w:hAnsi="Arial" w:cs="Arial"/>
          <w:b/>
          <w:sz w:val="24"/>
          <w:szCs w:val="24"/>
          <w:highlight w:val="yellow"/>
        </w:rPr>
      </w:pPr>
      <w:r w:rsidRPr="00E40A61">
        <w:rPr>
          <w:rFonts w:ascii="Arial" w:hAnsi="Arial" w:cs="Arial"/>
          <w:sz w:val="24"/>
          <w:szCs w:val="24"/>
          <w:highlight w:val="yellow"/>
        </w:rPr>
        <w:t>It is also an accepted legal principle that cost is in the discretion of the court.</w:t>
      </w:r>
      <w:r w:rsidRPr="00E40A61">
        <w:rPr>
          <w:rStyle w:val="FootnoteReference"/>
          <w:rFonts w:ascii="Arial" w:hAnsi="Arial" w:cs="Arial"/>
          <w:sz w:val="24"/>
          <w:szCs w:val="24"/>
          <w:highlight w:val="yellow"/>
        </w:rPr>
        <w:footnoteReference w:id="23"/>
      </w:r>
      <w:r w:rsidRPr="00E40A61">
        <w:rPr>
          <w:rFonts w:ascii="Arial" w:hAnsi="Arial" w:cs="Arial"/>
          <w:sz w:val="24"/>
          <w:szCs w:val="24"/>
          <w:highlight w:val="yellow"/>
        </w:rPr>
        <w:t xml:space="preserve"> The basic rules were stated as follows by the Constitutional Court in </w:t>
      </w:r>
      <w:r w:rsidRPr="00E40A61">
        <w:rPr>
          <w:rFonts w:ascii="Arial" w:hAnsi="Arial" w:cs="Arial"/>
          <w:b/>
          <w:i/>
          <w:iCs/>
          <w:sz w:val="24"/>
          <w:szCs w:val="24"/>
          <w:highlight w:val="yellow"/>
        </w:rPr>
        <w:t>Ferreira v Levin NO and Others</w:t>
      </w:r>
      <w:r w:rsidRPr="00E40A61">
        <w:rPr>
          <w:rStyle w:val="FootnoteReference"/>
          <w:rFonts w:ascii="Arial" w:hAnsi="Arial" w:cs="Arial"/>
          <w:i/>
          <w:iCs/>
          <w:sz w:val="24"/>
          <w:szCs w:val="24"/>
          <w:highlight w:val="yellow"/>
        </w:rPr>
        <w:footnoteReference w:id="24"/>
      </w:r>
      <w:r w:rsidRPr="00E40A61">
        <w:rPr>
          <w:rFonts w:ascii="Arial" w:hAnsi="Arial" w:cs="Arial"/>
          <w:sz w:val="24"/>
          <w:szCs w:val="24"/>
          <w:highlight w:val="yellow"/>
        </w:rPr>
        <w:t>:</w:t>
      </w:r>
    </w:p>
    <w:p w:rsidR="0092004B" w:rsidRPr="00E40A61" w:rsidRDefault="0092004B" w:rsidP="0092004B">
      <w:pPr>
        <w:autoSpaceDE w:val="0"/>
        <w:autoSpaceDN w:val="0"/>
        <w:adjustRightInd w:val="0"/>
        <w:spacing w:after="0" w:line="360" w:lineRule="auto"/>
        <w:ind w:left="283" w:right="283"/>
        <w:rPr>
          <w:rFonts w:ascii="Arial" w:hAnsi="Arial" w:cs="Arial"/>
          <w:i/>
          <w:highlight w:val="yellow"/>
          <w:lang w:val="en-ZA"/>
        </w:rPr>
      </w:pPr>
      <w:r w:rsidRPr="00E40A61">
        <w:rPr>
          <w:rFonts w:ascii="Arial" w:hAnsi="Arial" w:cs="Arial"/>
          <w:i/>
          <w:highlight w:val="yellow"/>
          <w:lang w:val="en-ZA"/>
        </w:rPr>
        <w:t xml:space="preserve">‘The Supreme Court has, over the years, developed a flexible approach to costs which proceeds from two basic principles, the first being that the award of costs, unless expressly otherwise enacted, is in the discretion of the presiding judicial officer, and the second that the successful party should, as a general rule, have his or her costs. Even this second principle is subject to the first…’ </w:t>
      </w:r>
    </w:p>
    <w:p w:rsidR="00427DE8" w:rsidRPr="00E40A61" w:rsidRDefault="00427DE8" w:rsidP="00DA29CF">
      <w:pPr>
        <w:pStyle w:val="ListParagraph"/>
        <w:spacing w:line="480" w:lineRule="auto"/>
        <w:ind w:left="0"/>
        <w:jc w:val="both"/>
        <w:rPr>
          <w:rFonts w:ascii="Arial" w:hAnsi="Arial" w:cs="Arial"/>
          <w:b/>
          <w:sz w:val="24"/>
          <w:szCs w:val="24"/>
          <w:highlight w:val="yellow"/>
        </w:rPr>
      </w:pPr>
    </w:p>
    <w:p w:rsidR="00DA29CF" w:rsidRPr="00E40A61" w:rsidRDefault="00DA29CF" w:rsidP="00DA29CF">
      <w:pPr>
        <w:pStyle w:val="ListParagraph"/>
        <w:spacing w:line="480" w:lineRule="auto"/>
        <w:ind w:left="0"/>
        <w:jc w:val="both"/>
        <w:rPr>
          <w:rFonts w:ascii="Arial" w:hAnsi="Arial" w:cs="Arial"/>
          <w:b/>
          <w:sz w:val="24"/>
          <w:szCs w:val="24"/>
          <w:highlight w:val="yellow"/>
        </w:rPr>
      </w:pPr>
      <w:r w:rsidRPr="00E40A61">
        <w:rPr>
          <w:rFonts w:ascii="Arial" w:hAnsi="Arial" w:cs="Arial"/>
          <w:b/>
          <w:sz w:val="24"/>
          <w:szCs w:val="24"/>
          <w:highlight w:val="yellow"/>
        </w:rPr>
        <w:t xml:space="preserve">Order </w:t>
      </w:r>
    </w:p>
    <w:p w:rsidR="00DA29CF" w:rsidRPr="00E40A61" w:rsidRDefault="00DA29CF" w:rsidP="00ED772E">
      <w:pPr>
        <w:pStyle w:val="ListParagraph"/>
        <w:numPr>
          <w:ilvl w:val="0"/>
          <w:numId w:val="1"/>
        </w:numPr>
        <w:spacing w:line="480" w:lineRule="auto"/>
        <w:jc w:val="both"/>
        <w:rPr>
          <w:rFonts w:ascii="Arial" w:hAnsi="Arial" w:cs="Arial"/>
          <w:b/>
          <w:sz w:val="24"/>
          <w:szCs w:val="24"/>
          <w:highlight w:val="yellow"/>
        </w:rPr>
      </w:pPr>
      <w:r w:rsidRPr="00E40A61">
        <w:rPr>
          <w:rFonts w:ascii="Arial" w:hAnsi="Arial" w:cs="Arial"/>
          <w:sz w:val="24"/>
          <w:szCs w:val="24"/>
          <w:highlight w:val="yellow"/>
        </w:rPr>
        <w:t>In the result, the following order is made:</w:t>
      </w:r>
    </w:p>
    <w:p w:rsidR="00DA29CF" w:rsidRPr="00E40A61" w:rsidRDefault="00DA29CF" w:rsidP="00DA29CF">
      <w:pPr>
        <w:pStyle w:val="ListParagraph"/>
        <w:numPr>
          <w:ilvl w:val="0"/>
          <w:numId w:val="3"/>
        </w:numPr>
        <w:spacing w:line="480" w:lineRule="auto"/>
        <w:jc w:val="both"/>
        <w:rPr>
          <w:rFonts w:ascii="Arial" w:hAnsi="Arial" w:cs="Arial"/>
          <w:b/>
          <w:sz w:val="24"/>
          <w:szCs w:val="24"/>
          <w:highlight w:val="yellow"/>
        </w:rPr>
      </w:pPr>
      <w:r w:rsidRPr="00E40A61">
        <w:rPr>
          <w:rFonts w:ascii="Arial" w:hAnsi="Arial" w:cs="Arial"/>
          <w:sz w:val="24"/>
          <w:szCs w:val="24"/>
          <w:highlight w:val="yellow"/>
        </w:rPr>
        <w:lastRenderedPageBreak/>
        <w:t>The application for absolution from the instance in the main trial is granted</w:t>
      </w:r>
    </w:p>
    <w:p w:rsidR="00DA29CF" w:rsidRPr="00E40A61" w:rsidRDefault="00DA29CF" w:rsidP="00DA29CF">
      <w:pPr>
        <w:pStyle w:val="ListParagraph"/>
        <w:numPr>
          <w:ilvl w:val="0"/>
          <w:numId w:val="3"/>
        </w:numPr>
        <w:spacing w:line="480" w:lineRule="auto"/>
        <w:jc w:val="both"/>
        <w:rPr>
          <w:rFonts w:ascii="Arial" w:hAnsi="Arial" w:cs="Arial"/>
          <w:b/>
          <w:sz w:val="24"/>
          <w:szCs w:val="24"/>
          <w:highlight w:val="yellow"/>
        </w:rPr>
      </w:pPr>
      <w:r w:rsidRPr="00E40A61">
        <w:rPr>
          <w:rFonts w:ascii="Arial" w:hAnsi="Arial" w:cs="Arial"/>
          <w:sz w:val="24"/>
          <w:szCs w:val="24"/>
          <w:highlight w:val="yellow"/>
        </w:rPr>
        <w:t>The Respondent/Plaintiff shall bear the costs of this application and the main trial.</w:t>
      </w:r>
    </w:p>
    <w:p w:rsidR="009E47CA" w:rsidRPr="00E40A61" w:rsidRDefault="009E47CA" w:rsidP="009E47CA">
      <w:pPr>
        <w:pStyle w:val="ListParagraph"/>
        <w:spacing w:line="480" w:lineRule="auto"/>
        <w:ind w:left="0"/>
        <w:jc w:val="both"/>
        <w:rPr>
          <w:rFonts w:ascii="Arial" w:hAnsi="Arial" w:cs="Arial"/>
          <w:b/>
          <w:sz w:val="24"/>
          <w:szCs w:val="24"/>
          <w:highlight w:val="yellow"/>
        </w:rPr>
      </w:pPr>
    </w:p>
    <w:p w:rsidR="009E47CA" w:rsidRPr="00E40A61" w:rsidRDefault="009E47CA" w:rsidP="009E47CA">
      <w:pPr>
        <w:pStyle w:val="ListParagraph"/>
        <w:tabs>
          <w:tab w:val="left" w:pos="851"/>
        </w:tabs>
        <w:spacing w:line="480" w:lineRule="auto"/>
        <w:ind w:left="5760"/>
        <w:jc w:val="both"/>
        <w:rPr>
          <w:rFonts w:ascii="Arial" w:hAnsi="Arial" w:cs="Arial"/>
          <w:sz w:val="24"/>
          <w:szCs w:val="24"/>
          <w:highlight w:val="yellow"/>
        </w:rPr>
      </w:pPr>
      <w:r w:rsidRPr="00E40A61">
        <w:rPr>
          <w:rFonts w:ascii="Arial" w:hAnsi="Arial" w:cs="Arial"/>
          <w:sz w:val="24"/>
          <w:szCs w:val="24"/>
          <w:highlight w:val="yellow"/>
        </w:rPr>
        <w:tab/>
      </w:r>
      <w:r w:rsidRPr="00E40A61">
        <w:rPr>
          <w:rFonts w:ascii="Arial" w:hAnsi="Arial" w:cs="Arial"/>
          <w:sz w:val="24"/>
          <w:szCs w:val="24"/>
          <w:highlight w:val="yellow"/>
        </w:rPr>
        <w:tab/>
      </w:r>
      <w:r w:rsidRPr="00E40A61">
        <w:rPr>
          <w:rFonts w:ascii="Arial" w:hAnsi="Arial" w:cs="Arial"/>
          <w:sz w:val="24"/>
          <w:szCs w:val="24"/>
          <w:highlight w:val="yellow"/>
        </w:rPr>
        <w:tab/>
        <w:t xml:space="preserve">                                                                ________________________</w:t>
      </w:r>
    </w:p>
    <w:p w:rsidR="009E47CA" w:rsidRPr="00E40A61" w:rsidRDefault="009E47CA" w:rsidP="009E47CA">
      <w:pPr>
        <w:spacing w:after="0"/>
        <w:ind w:left="5040"/>
        <w:jc w:val="center"/>
        <w:rPr>
          <w:rFonts w:ascii="Arial" w:hAnsi="Arial" w:cs="Arial"/>
          <w:b/>
          <w:sz w:val="24"/>
          <w:szCs w:val="24"/>
          <w:highlight w:val="yellow"/>
        </w:rPr>
      </w:pPr>
      <w:r w:rsidRPr="00E40A61">
        <w:rPr>
          <w:rFonts w:ascii="Arial" w:hAnsi="Arial" w:cs="Arial"/>
          <w:b/>
          <w:sz w:val="24"/>
          <w:szCs w:val="24"/>
          <w:highlight w:val="yellow"/>
        </w:rPr>
        <w:t xml:space="preserve"> P ANDREWS</w:t>
      </w:r>
    </w:p>
    <w:p w:rsidR="009E47CA" w:rsidRPr="00E40A61" w:rsidRDefault="009E47CA" w:rsidP="009E47CA">
      <w:pPr>
        <w:spacing w:after="0"/>
        <w:ind w:left="5040"/>
        <w:jc w:val="center"/>
        <w:rPr>
          <w:highlight w:val="yellow"/>
        </w:rPr>
      </w:pPr>
      <w:r w:rsidRPr="00E40A61">
        <w:rPr>
          <w:rFonts w:ascii="Arial" w:hAnsi="Arial" w:cs="Arial"/>
          <w:sz w:val="24"/>
          <w:szCs w:val="24"/>
          <w:highlight w:val="yellow"/>
        </w:rPr>
        <w:t xml:space="preserve">    Regional Magistrate: Durban</w:t>
      </w:r>
    </w:p>
    <w:p w:rsidR="00CB4CEA" w:rsidRDefault="00CB4CEA" w:rsidP="00A027BF"/>
    <w:sectPr w:rsidR="00CB4CE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23" w:rsidRDefault="00FE0823" w:rsidP="009E47CA">
      <w:pPr>
        <w:spacing w:after="0" w:line="240" w:lineRule="auto"/>
      </w:pPr>
      <w:r>
        <w:separator/>
      </w:r>
    </w:p>
  </w:endnote>
  <w:endnote w:type="continuationSeparator" w:id="0">
    <w:p w:rsidR="00FE0823" w:rsidRDefault="00FE0823" w:rsidP="009E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821226"/>
      <w:docPartObj>
        <w:docPartGallery w:val="Page Numbers (Bottom of Page)"/>
        <w:docPartUnique/>
      </w:docPartObj>
    </w:sdtPr>
    <w:sdtEndPr>
      <w:rPr>
        <w:noProof/>
      </w:rPr>
    </w:sdtEndPr>
    <w:sdtContent>
      <w:p w:rsidR="00874833" w:rsidRDefault="00874833">
        <w:pPr>
          <w:pStyle w:val="Footer"/>
          <w:jc w:val="right"/>
        </w:pPr>
        <w:r>
          <w:fldChar w:fldCharType="begin"/>
        </w:r>
        <w:r>
          <w:instrText xml:space="preserve"> PAGE   \* MERGEFORMAT </w:instrText>
        </w:r>
        <w:r>
          <w:fldChar w:fldCharType="separate"/>
        </w:r>
        <w:r w:rsidR="00FE0823">
          <w:rPr>
            <w:noProof/>
          </w:rPr>
          <w:t>21</w:t>
        </w:r>
        <w:r>
          <w:rPr>
            <w:noProof/>
          </w:rPr>
          <w:fldChar w:fldCharType="end"/>
        </w:r>
      </w:p>
    </w:sdtContent>
  </w:sdt>
  <w:p w:rsidR="00874833" w:rsidRDefault="00874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23" w:rsidRDefault="00FE0823" w:rsidP="009E47CA">
      <w:pPr>
        <w:spacing w:after="0" w:line="240" w:lineRule="auto"/>
      </w:pPr>
      <w:r>
        <w:separator/>
      </w:r>
    </w:p>
  </w:footnote>
  <w:footnote w:type="continuationSeparator" w:id="0">
    <w:p w:rsidR="00FE0823" w:rsidRDefault="00FE0823" w:rsidP="009E47CA">
      <w:pPr>
        <w:spacing w:after="0" w:line="240" w:lineRule="auto"/>
      </w:pPr>
      <w:r>
        <w:continuationSeparator/>
      </w:r>
    </w:p>
  </w:footnote>
  <w:footnote w:id="1">
    <w:p w:rsidR="00874833" w:rsidRPr="00017B66" w:rsidRDefault="00874833" w:rsidP="00017B66">
      <w:pPr>
        <w:pStyle w:val="FootnoteText"/>
        <w:spacing w:after="0" w:line="240" w:lineRule="auto"/>
        <w:rPr>
          <w:lang w:val="en-US"/>
        </w:rPr>
      </w:pPr>
      <w:r>
        <w:rPr>
          <w:rStyle w:val="FootnoteReference"/>
        </w:rPr>
        <w:footnoteRef/>
      </w:r>
      <w:r>
        <w:t xml:space="preserve"> </w:t>
      </w:r>
      <w:r>
        <w:rPr>
          <w:lang w:val="en-US"/>
        </w:rPr>
        <w:t xml:space="preserve">Exhibit </w:t>
      </w:r>
      <w:proofErr w:type="gramStart"/>
      <w:r>
        <w:rPr>
          <w:lang w:val="en-US"/>
        </w:rPr>
        <w:t>A</w:t>
      </w:r>
      <w:proofErr w:type="gramEnd"/>
      <w:r>
        <w:rPr>
          <w:lang w:val="en-US"/>
        </w:rPr>
        <w:t>, page 8.</w:t>
      </w:r>
    </w:p>
  </w:footnote>
  <w:footnote w:id="2">
    <w:p w:rsidR="00874833" w:rsidRDefault="00874833">
      <w:pPr>
        <w:pStyle w:val="FootnoteText"/>
        <w:rPr>
          <w:lang w:val="en-US"/>
        </w:rPr>
      </w:pPr>
      <w:r>
        <w:rPr>
          <w:rStyle w:val="FootnoteReference"/>
        </w:rPr>
        <w:footnoteRef/>
      </w:r>
      <w:r>
        <w:t xml:space="preserve"> </w:t>
      </w:r>
      <w:r>
        <w:rPr>
          <w:lang w:val="en-US"/>
        </w:rPr>
        <w:t>Exhibit A, page 29</w:t>
      </w:r>
    </w:p>
    <w:p w:rsidR="00874833" w:rsidRDefault="00874833">
      <w:pPr>
        <w:pStyle w:val="FootnoteText"/>
        <w:rPr>
          <w:i/>
          <w:lang w:val="en-US"/>
        </w:rPr>
      </w:pPr>
      <w:r>
        <w:rPr>
          <w:i/>
          <w:lang w:val="en-US"/>
        </w:rPr>
        <w:t xml:space="preserve">‘I Fortunate </w:t>
      </w:r>
      <w:proofErr w:type="spellStart"/>
      <w:r>
        <w:rPr>
          <w:i/>
          <w:lang w:val="en-US"/>
        </w:rPr>
        <w:t>Nkunzi</w:t>
      </w:r>
      <w:proofErr w:type="spellEnd"/>
      <w:r>
        <w:rPr>
          <w:i/>
          <w:lang w:val="en-US"/>
        </w:rPr>
        <w:t>, employed by eThekwini Municipality as a Secretary:</w:t>
      </w:r>
    </w:p>
    <w:p w:rsidR="00874833" w:rsidRDefault="00874833">
      <w:pPr>
        <w:pStyle w:val="FootnoteText"/>
        <w:rPr>
          <w:i/>
          <w:lang w:val="en-US"/>
        </w:rPr>
      </w:pPr>
      <w:r>
        <w:rPr>
          <w:i/>
          <w:lang w:val="en-US"/>
        </w:rPr>
        <w:t xml:space="preserve">My duties are to manage my manager’s diary, set up appointments and provide the administration support to him. On Monday, 19 August 2013, my manager, </w:t>
      </w:r>
      <w:proofErr w:type="spellStart"/>
      <w:r>
        <w:rPr>
          <w:i/>
          <w:lang w:val="en-US"/>
        </w:rPr>
        <w:t>Mr</w:t>
      </w:r>
      <w:proofErr w:type="spellEnd"/>
      <w:r>
        <w:rPr>
          <w:i/>
          <w:lang w:val="en-US"/>
        </w:rPr>
        <w:t xml:space="preserve"> Daniel Govender asked me to type the public notice for the Mayoral Civic Reception which was to be held on the 7</w:t>
      </w:r>
      <w:r w:rsidRPr="0093069B">
        <w:rPr>
          <w:i/>
          <w:vertAlign w:val="superscript"/>
          <w:lang w:val="en-US"/>
        </w:rPr>
        <w:t>th</w:t>
      </w:r>
      <w:r>
        <w:rPr>
          <w:i/>
          <w:lang w:val="en-US"/>
        </w:rPr>
        <w:t xml:space="preserve"> of October 2013 for the suppliers to submit quotations to render services that was requested.</w:t>
      </w:r>
    </w:p>
    <w:p w:rsidR="00874833" w:rsidRDefault="00874833">
      <w:pPr>
        <w:pStyle w:val="FootnoteText"/>
        <w:rPr>
          <w:i/>
          <w:lang w:val="en-US"/>
        </w:rPr>
      </w:pPr>
      <w:r>
        <w:rPr>
          <w:i/>
          <w:lang w:val="en-US"/>
        </w:rPr>
        <w:t xml:space="preserve">I typed the advert based on what I was given by </w:t>
      </w:r>
      <w:proofErr w:type="spellStart"/>
      <w:r>
        <w:rPr>
          <w:i/>
          <w:lang w:val="en-US"/>
        </w:rPr>
        <w:t>Mr</w:t>
      </w:r>
      <w:proofErr w:type="spellEnd"/>
      <w:r>
        <w:rPr>
          <w:i/>
          <w:lang w:val="en-US"/>
        </w:rPr>
        <w:t xml:space="preserve"> Govender and he suggested that I must put my name as an </w:t>
      </w:r>
      <w:r w:rsidRPr="0093069B">
        <w:rPr>
          <w:i/>
          <w:lang w:val="en-US"/>
        </w:rPr>
        <w:t>enquiry person on the advert. I typed the advert as requested a</w:t>
      </w:r>
      <w:r w:rsidR="00F40049">
        <w:rPr>
          <w:i/>
          <w:lang w:val="en-US"/>
        </w:rPr>
        <w:t>n</w:t>
      </w:r>
      <w:r w:rsidRPr="0093069B">
        <w:rPr>
          <w:i/>
          <w:lang w:val="en-US"/>
        </w:rPr>
        <w:t>d pasted it on the notice board which is situated at the city hall</w:t>
      </w:r>
      <w:r>
        <w:rPr>
          <w:i/>
          <w:lang w:val="en-US"/>
        </w:rPr>
        <w:t xml:space="preserve"> entrance (West Street) and I placed the box behind the security desk for service providers to drop off their quotations.</w:t>
      </w:r>
    </w:p>
    <w:p w:rsidR="00874833" w:rsidRDefault="00874833">
      <w:pPr>
        <w:pStyle w:val="FootnoteText"/>
        <w:rPr>
          <w:i/>
          <w:lang w:val="en-US"/>
        </w:rPr>
      </w:pPr>
      <w:r>
        <w:rPr>
          <w:i/>
          <w:lang w:val="en-US"/>
        </w:rPr>
        <w:t xml:space="preserve">On the closing date of the advert Mr. Govender asked me to remove the advert from the notice board and remove the box as well to his office of which I did and I handed them both over to him. He opened the box and there were 3 sealed envelopes inside the box and he opened those envelopes and he asked me to take the envelopes to Lorna </w:t>
      </w:r>
      <w:proofErr w:type="spellStart"/>
      <w:r>
        <w:rPr>
          <w:i/>
          <w:lang w:val="en-US"/>
        </w:rPr>
        <w:t>Matee</w:t>
      </w:r>
      <w:proofErr w:type="spellEnd"/>
      <w:r>
        <w:rPr>
          <w:i/>
          <w:lang w:val="en-US"/>
        </w:rPr>
        <w:t xml:space="preserve"> at </w:t>
      </w:r>
      <w:proofErr w:type="spellStart"/>
      <w:r>
        <w:rPr>
          <w:i/>
          <w:lang w:val="en-US"/>
        </w:rPr>
        <w:t>Moyor’s</w:t>
      </w:r>
      <w:proofErr w:type="spellEnd"/>
      <w:r>
        <w:rPr>
          <w:i/>
          <w:lang w:val="en-US"/>
        </w:rPr>
        <w:t xml:space="preserve"> Office 2</w:t>
      </w:r>
      <w:r w:rsidRPr="0093069B">
        <w:rPr>
          <w:i/>
          <w:vertAlign w:val="superscript"/>
          <w:lang w:val="en-US"/>
        </w:rPr>
        <w:t>nd</w:t>
      </w:r>
      <w:r>
        <w:rPr>
          <w:i/>
          <w:lang w:val="en-US"/>
        </w:rPr>
        <w:t xml:space="preserve"> floor of City hall.</w:t>
      </w:r>
    </w:p>
    <w:p w:rsidR="00874833" w:rsidRDefault="00F40049">
      <w:pPr>
        <w:pStyle w:val="FootnoteText"/>
        <w:rPr>
          <w:i/>
          <w:lang w:val="en-US"/>
        </w:rPr>
      </w:pPr>
      <w:r>
        <w:rPr>
          <w:i/>
          <w:lang w:val="en-US"/>
        </w:rPr>
        <w:t>I</w:t>
      </w:r>
      <w:r w:rsidR="00874833">
        <w:rPr>
          <w:i/>
          <w:lang w:val="en-US"/>
        </w:rPr>
        <w:t xml:space="preserve"> took the envelopes to Lorna as per instruction from Mr. Govender. He then requested me to set up the meeting for him with Sweetynu4u as she was the one who was awarded the job.</w:t>
      </w:r>
    </w:p>
    <w:p w:rsidR="00874833" w:rsidRPr="0093069B" w:rsidRDefault="00874833">
      <w:pPr>
        <w:pStyle w:val="FootnoteText"/>
        <w:rPr>
          <w:b/>
          <w:i/>
          <w:lang w:val="en-US"/>
        </w:rPr>
      </w:pPr>
      <w:r>
        <w:rPr>
          <w:i/>
          <w:lang w:val="en-US"/>
        </w:rPr>
        <w:t>That’s all I wish to say…’</w:t>
      </w:r>
    </w:p>
  </w:footnote>
  <w:footnote w:id="3">
    <w:p w:rsidR="00874833" w:rsidRPr="004D277C" w:rsidRDefault="00874833">
      <w:pPr>
        <w:pStyle w:val="FootnoteText"/>
        <w:rPr>
          <w:lang w:val="en-US"/>
        </w:rPr>
      </w:pPr>
      <w:r>
        <w:rPr>
          <w:rStyle w:val="FootnoteReference"/>
        </w:rPr>
        <w:footnoteRef/>
      </w:r>
      <w:r>
        <w:t xml:space="preserve"> </w:t>
      </w:r>
      <w:r>
        <w:rPr>
          <w:lang w:val="en-US"/>
        </w:rPr>
        <w:t>Exhibit A, page 9, para 5.5.1</w:t>
      </w:r>
    </w:p>
  </w:footnote>
  <w:footnote w:id="4">
    <w:p w:rsidR="00874833" w:rsidRPr="004D277C" w:rsidRDefault="00874833" w:rsidP="004C2E2B">
      <w:pPr>
        <w:pStyle w:val="FootnoteText"/>
        <w:rPr>
          <w:lang w:val="en-US"/>
        </w:rPr>
      </w:pPr>
      <w:r>
        <w:rPr>
          <w:rStyle w:val="FootnoteReference"/>
        </w:rPr>
        <w:footnoteRef/>
      </w:r>
      <w:r>
        <w:t xml:space="preserve"> </w:t>
      </w:r>
      <w:r>
        <w:rPr>
          <w:lang w:val="en-US"/>
        </w:rPr>
        <w:t>Exhibit A, page 9, para 5.5.2</w:t>
      </w:r>
    </w:p>
    <w:p w:rsidR="00874833" w:rsidRPr="004C2E2B" w:rsidRDefault="00874833">
      <w:pPr>
        <w:pStyle w:val="FootnoteText"/>
        <w:rPr>
          <w:lang w:val="en-US"/>
        </w:rPr>
      </w:pPr>
    </w:p>
  </w:footnote>
  <w:footnote w:id="5">
    <w:p w:rsidR="00874833" w:rsidRPr="00556142" w:rsidRDefault="00874833">
      <w:pPr>
        <w:pStyle w:val="FootnoteText"/>
        <w:rPr>
          <w:lang w:val="en-US"/>
        </w:rPr>
      </w:pPr>
      <w:r>
        <w:rPr>
          <w:rStyle w:val="FootnoteReference"/>
        </w:rPr>
        <w:footnoteRef/>
      </w:r>
      <w:r>
        <w:t xml:space="preserve"> </w:t>
      </w:r>
      <w:r>
        <w:rPr>
          <w:lang w:val="en-US"/>
        </w:rPr>
        <w:t>Trial Bundle – Exhibit A – page 8.</w:t>
      </w:r>
    </w:p>
  </w:footnote>
  <w:footnote w:id="6">
    <w:p w:rsidR="00874833" w:rsidRPr="00D34682" w:rsidRDefault="00874833">
      <w:pPr>
        <w:pStyle w:val="FootnoteText"/>
        <w:rPr>
          <w:lang w:val="en-US"/>
        </w:rPr>
      </w:pPr>
      <w:r>
        <w:rPr>
          <w:rStyle w:val="FootnoteReference"/>
        </w:rPr>
        <w:footnoteRef/>
      </w:r>
      <w:r>
        <w:t xml:space="preserve"> </w:t>
      </w:r>
      <w:r>
        <w:rPr>
          <w:lang w:val="en-US"/>
        </w:rPr>
        <w:t>Trial Bundle – Exhibit A – page 65.</w:t>
      </w:r>
    </w:p>
  </w:footnote>
  <w:footnote w:id="7">
    <w:p w:rsidR="00874833" w:rsidRPr="001C08E5" w:rsidRDefault="00874833">
      <w:pPr>
        <w:pStyle w:val="FootnoteText"/>
        <w:rPr>
          <w:lang w:val="en-US"/>
        </w:rPr>
      </w:pPr>
      <w:r>
        <w:rPr>
          <w:rStyle w:val="FootnoteReference"/>
        </w:rPr>
        <w:footnoteRef/>
      </w:r>
      <w:r>
        <w:t xml:space="preserve"> </w:t>
      </w:r>
      <w:proofErr w:type="gramStart"/>
      <w:r>
        <w:rPr>
          <w:lang w:val="en-US"/>
        </w:rPr>
        <w:t>[2015] 1 AII SA 68 (SCA) at [33].</w:t>
      </w:r>
      <w:proofErr w:type="gramEnd"/>
    </w:p>
  </w:footnote>
  <w:footnote w:id="8">
    <w:p w:rsidR="00874833" w:rsidRPr="001C08E5" w:rsidRDefault="00874833">
      <w:pPr>
        <w:pStyle w:val="FootnoteText"/>
        <w:rPr>
          <w:lang w:val="en-US"/>
        </w:rPr>
      </w:pPr>
      <w:r>
        <w:rPr>
          <w:rStyle w:val="FootnoteReference"/>
        </w:rPr>
        <w:footnoteRef/>
      </w:r>
      <w:r>
        <w:t xml:space="preserve"> </w:t>
      </w:r>
      <w:proofErr w:type="gramStart"/>
      <w:r>
        <w:rPr>
          <w:lang w:val="en-US"/>
        </w:rPr>
        <w:t xml:space="preserve">See also </w:t>
      </w:r>
      <w:r w:rsidRPr="00CD3861">
        <w:rPr>
          <w:i/>
          <w:lang w:val="en-US"/>
        </w:rPr>
        <w:t xml:space="preserve">Minister of Justice and Constitutional Development v </w:t>
      </w:r>
      <w:proofErr w:type="spellStart"/>
      <w:r w:rsidRPr="00CD3861">
        <w:rPr>
          <w:i/>
          <w:lang w:val="en-US"/>
        </w:rPr>
        <w:t>Moleko</w:t>
      </w:r>
      <w:proofErr w:type="spellEnd"/>
      <w:r w:rsidRPr="00CD3861">
        <w:rPr>
          <w:i/>
          <w:lang w:val="en-US"/>
        </w:rPr>
        <w:t xml:space="preserve"> </w:t>
      </w:r>
      <w:r>
        <w:rPr>
          <w:lang w:val="en-US"/>
        </w:rPr>
        <w:t>[2008] 3 AII SA 47 (SCA) at para 8.</w:t>
      </w:r>
      <w:proofErr w:type="gramEnd"/>
    </w:p>
  </w:footnote>
  <w:footnote w:id="9">
    <w:p w:rsidR="00874833" w:rsidRPr="002717F4" w:rsidRDefault="00874833" w:rsidP="002717F4">
      <w:pPr>
        <w:pStyle w:val="ListParagraph"/>
        <w:spacing w:after="0" w:line="240" w:lineRule="auto"/>
        <w:ind w:left="0"/>
        <w:jc w:val="both"/>
        <w:rPr>
          <w:rFonts w:cstheme="minorHAnsi"/>
          <w:sz w:val="20"/>
          <w:szCs w:val="20"/>
        </w:rPr>
      </w:pPr>
      <w:r>
        <w:rPr>
          <w:rStyle w:val="FootnoteReference"/>
        </w:rPr>
        <w:footnoteRef/>
      </w:r>
      <w:r>
        <w:t xml:space="preserve"> </w:t>
      </w:r>
      <w:r w:rsidRPr="00F26DDD">
        <w:rPr>
          <w:rFonts w:cstheme="minorHAnsi"/>
          <w:sz w:val="20"/>
          <w:szCs w:val="20"/>
        </w:rPr>
        <w:t>(CA 102/2010) [2010] ZAECGHC 72 (23 August 2010)</w:t>
      </w:r>
      <w:r>
        <w:rPr>
          <w:rFonts w:cstheme="minorHAnsi"/>
          <w:sz w:val="20"/>
          <w:szCs w:val="20"/>
        </w:rPr>
        <w:t>.</w:t>
      </w:r>
    </w:p>
  </w:footnote>
  <w:footnote w:id="10">
    <w:p w:rsidR="00874833" w:rsidRPr="00337BAF" w:rsidRDefault="00874833" w:rsidP="002717F4">
      <w:pPr>
        <w:autoSpaceDE w:val="0"/>
        <w:autoSpaceDN w:val="0"/>
        <w:adjustRightInd w:val="0"/>
        <w:spacing w:after="0" w:line="240" w:lineRule="auto"/>
        <w:rPr>
          <w:rFonts w:cstheme="minorHAnsi"/>
          <w:b/>
          <w:bCs/>
          <w:sz w:val="20"/>
          <w:szCs w:val="20"/>
        </w:rPr>
      </w:pPr>
      <w:r>
        <w:rPr>
          <w:rStyle w:val="FootnoteReference"/>
        </w:rPr>
        <w:footnoteRef/>
      </w:r>
      <w:r>
        <w:t xml:space="preserve"> </w:t>
      </w:r>
      <w:r w:rsidRPr="00337BAF">
        <w:rPr>
          <w:rFonts w:cstheme="minorHAnsi"/>
          <w:b/>
          <w:sz w:val="20"/>
          <w:szCs w:val="20"/>
        </w:rPr>
        <w:t>2016 De Jure</w:t>
      </w:r>
      <w:r w:rsidRPr="00337BAF">
        <w:rPr>
          <w:rFonts w:cstheme="minorHAnsi"/>
          <w:b/>
          <w:bCs/>
          <w:sz w:val="20"/>
          <w:szCs w:val="20"/>
        </w:rPr>
        <w:t xml:space="preserve"> R CHAUHAN (</w:t>
      </w:r>
      <w:r w:rsidRPr="00337BAF">
        <w:rPr>
          <w:rFonts w:cstheme="minorHAnsi"/>
          <w:i/>
          <w:iCs/>
          <w:sz w:val="20"/>
          <w:szCs w:val="20"/>
        </w:rPr>
        <w:t xml:space="preserve">University of Johannesburg) </w:t>
      </w:r>
      <w:r w:rsidRPr="00337BAF">
        <w:rPr>
          <w:rFonts w:cstheme="minorHAnsi"/>
          <w:b/>
          <w:bCs/>
          <w:sz w:val="20"/>
          <w:szCs w:val="20"/>
        </w:rPr>
        <w:t>S HUNEBERG (</w:t>
      </w:r>
      <w:r w:rsidRPr="00337BAF">
        <w:rPr>
          <w:rFonts w:cstheme="minorHAnsi"/>
          <w:i/>
          <w:iCs/>
          <w:sz w:val="20"/>
          <w:szCs w:val="20"/>
        </w:rPr>
        <w:t>University of Johannesburg)</w:t>
      </w:r>
    </w:p>
  </w:footnote>
  <w:footnote w:id="11">
    <w:p w:rsidR="00874833" w:rsidRPr="00F4543E" w:rsidRDefault="00874833" w:rsidP="002717F4">
      <w:pPr>
        <w:autoSpaceDE w:val="0"/>
        <w:autoSpaceDN w:val="0"/>
        <w:adjustRightInd w:val="0"/>
        <w:spacing w:after="0" w:line="240" w:lineRule="auto"/>
        <w:rPr>
          <w:rFonts w:cstheme="minorHAnsi"/>
          <w:sz w:val="20"/>
          <w:szCs w:val="20"/>
        </w:rPr>
      </w:pPr>
      <w:r>
        <w:rPr>
          <w:rStyle w:val="FootnoteReference"/>
        </w:rPr>
        <w:footnoteRef/>
      </w:r>
      <w:r>
        <w:t xml:space="preserve"> </w:t>
      </w:r>
      <w:proofErr w:type="spellStart"/>
      <w:proofErr w:type="gramStart"/>
      <w:r w:rsidRPr="00F4543E">
        <w:rPr>
          <w:rFonts w:cstheme="minorHAnsi"/>
          <w:i/>
          <w:iCs/>
          <w:sz w:val="20"/>
          <w:szCs w:val="20"/>
        </w:rPr>
        <w:t>Onlangse</w:t>
      </w:r>
      <w:proofErr w:type="spellEnd"/>
      <w:r w:rsidRPr="00F4543E">
        <w:rPr>
          <w:rFonts w:cstheme="minorHAnsi"/>
          <w:i/>
          <w:iCs/>
          <w:sz w:val="20"/>
          <w:szCs w:val="20"/>
        </w:rPr>
        <w:t xml:space="preserve"> </w:t>
      </w:r>
      <w:proofErr w:type="spellStart"/>
      <w:r w:rsidRPr="00F4543E">
        <w:rPr>
          <w:rFonts w:cstheme="minorHAnsi"/>
          <w:i/>
          <w:iCs/>
          <w:sz w:val="20"/>
          <w:szCs w:val="20"/>
        </w:rPr>
        <w:t>regspraak</w:t>
      </w:r>
      <w:proofErr w:type="spellEnd"/>
      <w:r w:rsidRPr="00F4543E">
        <w:rPr>
          <w:rFonts w:cstheme="minorHAnsi"/>
          <w:i/>
          <w:iCs/>
          <w:sz w:val="20"/>
          <w:szCs w:val="20"/>
        </w:rPr>
        <w:t xml:space="preserve">/Recent case law </w:t>
      </w:r>
      <w:r w:rsidRPr="00F4543E">
        <w:rPr>
          <w:rFonts w:cstheme="minorHAnsi"/>
          <w:sz w:val="20"/>
          <w:szCs w:val="20"/>
        </w:rPr>
        <w:t>339</w:t>
      </w:r>
      <w:r>
        <w:rPr>
          <w:rFonts w:cstheme="minorHAnsi"/>
          <w:sz w:val="20"/>
          <w:szCs w:val="20"/>
        </w:rPr>
        <w:t>.</w:t>
      </w:r>
      <w:proofErr w:type="gramEnd"/>
    </w:p>
    <w:p w:rsidR="00874833" w:rsidRPr="00F4543E" w:rsidRDefault="00874833">
      <w:pPr>
        <w:pStyle w:val="FootnoteText"/>
        <w:rPr>
          <w:lang w:val="en-US"/>
        </w:rPr>
      </w:pPr>
    </w:p>
  </w:footnote>
  <w:footnote w:id="12">
    <w:p w:rsidR="00874833" w:rsidRPr="00FD6FD4" w:rsidRDefault="00874833" w:rsidP="00FD6FD4">
      <w:pPr>
        <w:autoSpaceDE w:val="0"/>
        <w:autoSpaceDN w:val="0"/>
        <w:adjustRightInd w:val="0"/>
        <w:spacing w:after="0" w:line="480" w:lineRule="auto"/>
        <w:rPr>
          <w:rFonts w:ascii="Arial" w:hAnsi="Arial" w:cs="Arial"/>
          <w:i/>
          <w:iCs/>
          <w:sz w:val="24"/>
          <w:szCs w:val="24"/>
        </w:rPr>
      </w:pPr>
      <w:r>
        <w:rPr>
          <w:rStyle w:val="FootnoteReference"/>
        </w:rPr>
        <w:footnoteRef/>
      </w:r>
      <w:r>
        <w:t xml:space="preserve"> </w:t>
      </w:r>
      <w:r w:rsidRPr="00920378">
        <w:rPr>
          <w:rFonts w:cstheme="minorHAnsi"/>
          <w:sz w:val="20"/>
          <w:szCs w:val="20"/>
        </w:rPr>
        <w:t xml:space="preserve">342 </w:t>
      </w:r>
      <w:r w:rsidRPr="00920378">
        <w:rPr>
          <w:rFonts w:cstheme="minorHAnsi"/>
          <w:i/>
          <w:iCs/>
          <w:sz w:val="20"/>
          <w:szCs w:val="20"/>
        </w:rPr>
        <w:t>2016 De Jure</w:t>
      </w:r>
      <w:r>
        <w:rPr>
          <w:rFonts w:cstheme="minorHAnsi"/>
          <w:i/>
          <w:iCs/>
          <w:sz w:val="20"/>
          <w:szCs w:val="20"/>
        </w:rPr>
        <w:t xml:space="preserve"> ‘</w:t>
      </w:r>
      <w:r w:rsidRPr="00874833">
        <w:rPr>
          <w:rFonts w:cstheme="minorHAnsi"/>
          <w:b/>
          <w:bCs/>
          <w:i/>
          <w:sz w:val="20"/>
          <w:szCs w:val="20"/>
        </w:rPr>
        <w:t>2 4 Judgment of the Appeal Court</w:t>
      </w:r>
      <w:r>
        <w:rPr>
          <w:rFonts w:cstheme="minorHAnsi"/>
          <w:b/>
          <w:bCs/>
          <w:i/>
          <w:sz w:val="20"/>
          <w:szCs w:val="20"/>
        </w:rPr>
        <w:t>’</w:t>
      </w:r>
      <w:bookmarkStart w:id="0" w:name="_GoBack"/>
      <w:bookmarkEnd w:id="0"/>
    </w:p>
  </w:footnote>
  <w:footnote w:id="13">
    <w:p w:rsidR="00874833" w:rsidRPr="00874833" w:rsidRDefault="00874833" w:rsidP="00874833">
      <w:pPr>
        <w:pStyle w:val="ListParagraph"/>
        <w:autoSpaceDE w:val="0"/>
        <w:autoSpaceDN w:val="0"/>
        <w:adjustRightInd w:val="0"/>
        <w:spacing w:after="0" w:line="360" w:lineRule="auto"/>
        <w:ind w:left="0" w:right="720"/>
        <w:rPr>
          <w:rFonts w:cstheme="minorHAnsi"/>
          <w:bCs/>
          <w:sz w:val="20"/>
          <w:szCs w:val="20"/>
        </w:rPr>
      </w:pPr>
      <w:r>
        <w:rPr>
          <w:rStyle w:val="FootnoteReference"/>
        </w:rPr>
        <w:footnoteRef/>
      </w:r>
      <w:r>
        <w:t xml:space="preserve"> </w:t>
      </w:r>
      <w:proofErr w:type="gramStart"/>
      <w:r w:rsidRPr="00874833">
        <w:rPr>
          <w:rFonts w:cstheme="minorHAnsi"/>
          <w:bCs/>
          <w:sz w:val="20"/>
          <w:szCs w:val="20"/>
        </w:rPr>
        <w:t>1981 1 SA 714 (C)</w:t>
      </w:r>
      <w:r w:rsidR="000D14C7" w:rsidRPr="000D14C7">
        <w:rPr>
          <w:rFonts w:ascii="Arial" w:hAnsi="Arial" w:cs="Arial"/>
          <w:i/>
          <w:iCs/>
        </w:rPr>
        <w:t xml:space="preserve"> </w:t>
      </w:r>
      <w:proofErr w:type="spellStart"/>
      <w:r w:rsidR="000D14C7" w:rsidRPr="000D14C7">
        <w:rPr>
          <w:rFonts w:cstheme="minorHAnsi"/>
          <w:i/>
          <w:iCs/>
          <w:sz w:val="20"/>
          <w:szCs w:val="20"/>
        </w:rPr>
        <w:t>Onlangse</w:t>
      </w:r>
      <w:proofErr w:type="spellEnd"/>
      <w:r w:rsidR="000D14C7" w:rsidRPr="000D14C7">
        <w:rPr>
          <w:rFonts w:cstheme="minorHAnsi"/>
          <w:i/>
          <w:iCs/>
          <w:sz w:val="20"/>
          <w:szCs w:val="20"/>
        </w:rPr>
        <w:t xml:space="preserve"> </w:t>
      </w:r>
      <w:proofErr w:type="spellStart"/>
      <w:r w:rsidR="000D14C7" w:rsidRPr="000D14C7">
        <w:rPr>
          <w:rFonts w:cstheme="minorHAnsi"/>
          <w:i/>
          <w:iCs/>
          <w:sz w:val="20"/>
          <w:szCs w:val="20"/>
        </w:rPr>
        <w:t>regspraak</w:t>
      </w:r>
      <w:proofErr w:type="spellEnd"/>
      <w:r w:rsidR="000D14C7" w:rsidRPr="000D14C7">
        <w:rPr>
          <w:rFonts w:cstheme="minorHAnsi"/>
          <w:i/>
          <w:iCs/>
          <w:sz w:val="20"/>
          <w:szCs w:val="20"/>
        </w:rPr>
        <w:t xml:space="preserve">/Recent case law </w:t>
      </w:r>
      <w:r w:rsidR="000D14C7" w:rsidRPr="000D14C7">
        <w:rPr>
          <w:rFonts w:cstheme="minorHAnsi"/>
          <w:i/>
          <w:sz w:val="20"/>
          <w:szCs w:val="20"/>
        </w:rPr>
        <w:t>343</w:t>
      </w:r>
      <w:r w:rsidR="000D14C7">
        <w:rPr>
          <w:rFonts w:cstheme="minorHAnsi"/>
          <w:i/>
          <w:sz w:val="20"/>
          <w:szCs w:val="20"/>
        </w:rPr>
        <w:t>.</w:t>
      </w:r>
      <w:proofErr w:type="gramEnd"/>
      <w:r w:rsidR="007A0921" w:rsidRPr="007A0921">
        <w:rPr>
          <w:rFonts w:ascii="Arial" w:hAnsi="Arial" w:cs="Arial"/>
          <w:i/>
          <w:iCs/>
        </w:rPr>
        <w:t xml:space="preserve"> </w:t>
      </w:r>
    </w:p>
    <w:p w:rsidR="00874833" w:rsidRPr="00874833" w:rsidRDefault="00874833">
      <w:pPr>
        <w:pStyle w:val="FootnoteText"/>
        <w:rPr>
          <w:lang w:val="en-US"/>
        </w:rPr>
      </w:pPr>
    </w:p>
  </w:footnote>
  <w:footnote w:id="14">
    <w:p w:rsidR="00874833" w:rsidRPr="003654F3" w:rsidRDefault="00874833">
      <w:pPr>
        <w:pStyle w:val="FootnoteText"/>
        <w:rPr>
          <w:lang w:val="en-US"/>
        </w:rPr>
      </w:pPr>
      <w:r>
        <w:rPr>
          <w:rStyle w:val="FootnoteReference"/>
        </w:rPr>
        <w:footnoteRef/>
      </w:r>
      <w:r>
        <w:t xml:space="preserve"> </w:t>
      </w:r>
      <w:r>
        <w:rPr>
          <w:lang w:val="en-US"/>
        </w:rPr>
        <w:t xml:space="preserve">Exhibit </w:t>
      </w:r>
      <w:proofErr w:type="gramStart"/>
      <w:r>
        <w:rPr>
          <w:lang w:val="en-US"/>
        </w:rPr>
        <w:t>A</w:t>
      </w:r>
      <w:proofErr w:type="gramEnd"/>
      <w:r>
        <w:rPr>
          <w:lang w:val="en-US"/>
        </w:rPr>
        <w:t>, page 9.</w:t>
      </w:r>
    </w:p>
  </w:footnote>
  <w:footnote w:id="15">
    <w:p w:rsidR="00874833" w:rsidRPr="001A6133" w:rsidRDefault="00874833">
      <w:pPr>
        <w:pStyle w:val="FootnoteText"/>
        <w:rPr>
          <w:lang w:val="en-US"/>
        </w:rPr>
      </w:pPr>
      <w:r>
        <w:rPr>
          <w:rStyle w:val="FootnoteReference"/>
        </w:rPr>
        <w:footnoteRef/>
      </w:r>
      <w:r>
        <w:t xml:space="preserve"> </w:t>
      </w:r>
      <w:r>
        <w:rPr>
          <w:lang w:val="en-US"/>
        </w:rPr>
        <w:t>Exhibit “B”.</w:t>
      </w:r>
    </w:p>
  </w:footnote>
  <w:footnote w:id="16">
    <w:p w:rsidR="00874833" w:rsidRPr="00CE4E05" w:rsidRDefault="00874833">
      <w:pPr>
        <w:pStyle w:val="FootnoteText"/>
        <w:rPr>
          <w:i/>
          <w:lang w:val="en-US"/>
        </w:rPr>
      </w:pPr>
      <w:r>
        <w:rPr>
          <w:rStyle w:val="FootnoteReference"/>
        </w:rPr>
        <w:footnoteRef/>
      </w:r>
      <w:r>
        <w:t xml:space="preserve"> </w:t>
      </w:r>
      <w:r>
        <w:rPr>
          <w:lang w:val="en-US"/>
        </w:rPr>
        <w:t xml:space="preserve"> Exhibit “A” – page 5 </w:t>
      </w:r>
      <w:r>
        <w:rPr>
          <w:i/>
          <w:lang w:val="en-US"/>
        </w:rPr>
        <w:t>‘’…you fraudulently prepared a tender document for advertisement</w:t>
      </w:r>
      <w:proofErr w:type="gramStart"/>
      <w:r>
        <w:rPr>
          <w:i/>
          <w:lang w:val="en-US"/>
        </w:rPr>
        <w:t>,…</w:t>
      </w:r>
      <w:proofErr w:type="gramEnd"/>
      <w:r>
        <w:rPr>
          <w:i/>
          <w:lang w:val="en-US"/>
        </w:rPr>
        <w:t>without complying and completing the assignment or project thereof.’</w:t>
      </w:r>
    </w:p>
  </w:footnote>
  <w:footnote w:id="17">
    <w:p w:rsidR="00874833" w:rsidRPr="001C5237" w:rsidRDefault="00874833" w:rsidP="00175DBC">
      <w:pPr>
        <w:pStyle w:val="FootnoteText"/>
        <w:rPr>
          <w:lang w:val="en-US"/>
        </w:rPr>
      </w:pPr>
      <w:r>
        <w:rPr>
          <w:rStyle w:val="FootnoteReference"/>
        </w:rPr>
        <w:footnoteRef/>
      </w:r>
      <w:r>
        <w:t xml:space="preserve"> </w:t>
      </w:r>
      <w:proofErr w:type="spellStart"/>
      <w:r>
        <w:rPr>
          <w:lang w:val="en-US"/>
        </w:rPr>
        <w:t>Neethling</w:t>
      </w:r>
      <w:proofErr w:type="spellEnd"/>
      <w:r>
        <w:rPr>
          <w:lang w:val="en-US"/>
        </w:rPr>
        <w:t xml:space="preserve"> </w:t>
      </w:r>
      <w:proofErr w:type="gramStart"/>
      <w:r>
        <w:rPr>
          <w:lang w:val="en-US"/>
        </w:rPr>
        <w:t>et</w:t>
      </w:r>
      <w:proofErr w:type="gramEnd"/>
      <w:r>
        <w:rPr>
          <w:lang w:val="en-US"/>
        </w:rPr>
        <w:t xml:space="preserve"> el </w:t>
      </w:r>
      <w:r>
        <w:rPr>
          <w:i/>
          <w:lang w:val="en-US"/>
        </w:rPr>
        <w:t xml:space="preserve">‘Law of </w:t>
      </w:r>
      <w:proofErr w:type="spellStart"/>
      <w:r>
        <w:rPr>
          <w:i/>
          <w:lang w:val="en-US"/>
        </w:rPr>
        <w:t>Delict</w:t>
      </w:r>
      <w:proofErr w:type="spellEnd"/>
      <w:r>
        <w:rPr>
          <w:i/>
          <w:lang w:val="en-US"/>
        </w:rPr>
        <w:t xml:space="preserve">’ </w:t>
      </w:r>
      <w:r>
        <w:rPr>
          <w:lang w:val="en-US"/>
        </w:rPr>
        <w:t>5</w:t>
      </w:r>
      <w:r w:rsidRPr="001C5237">
        <w:rPr>
          <w:vertAlign w:val="superscript"/>
          <w:lang w:val="en-US"/>
        </w:rPr>
        <w:t>th</w:t>
      </w:r>
      <w:r>
        <w:rPr>
          <w:lang w:val="en-US"/>
        </w:rPr>
        <w:t xml:space="preserve"> Ed (LexisNexis) page 14.</w:t>
      </w:r>
    </w:p>
  </w:footnote>
  <w:footnote w:id="18">
    <w:p w:rsidR="00874833" w:rsidRPr="00C63AE6" w:rsidRDefault="00874833">
      <w:pPr>
        <w:pStyle w:val="FootnoteText"/>
        <w:rPr>
          <w:lang w:val="en-US"/>
        </w:rPr>
      </w:pPr>
      <w:r>
        <w:rPr>
          <w:rStyle w:val="FootnoteReference"/>
        </w:rPr>
        <w:footnoteRef/>
      </w:r>
      <w:r>
        <w:t xml:space="preserve"> </w:t>
      </w:r>
      <w:r>
        <w:rPr>
          <w:lang w:val="en-US"/>
        </w:rPr>
        <w:t>Ibid page 307.</w:t>
      </w:r>
    </w:p>
  </w:footnote>
  <w:footnote w:id="19">
    <w:p w:rsidR="00874833" w:rsidRPr="00D43E70" w:rsidRDefault="00874833">
      <w:pPr>
        <w:pStyle w:val="FootnoteText"/>
        <w:rPr>
          <w:lang w:val="en-US"/>
        </w:rPr>
      </w:pPr>
      <w:r>
        <w:rPr>
          <w:rStyle w:val="FootnoteReference"/>
        </w:rPr>
        <w:footnoteRef/>
      </w:r>
      <w:r>
        <w:t xml:space="preserve"> </w:t>
      </w:r>
      <w:r>
        <w:rPr>
          <w:lang w:val="en-US"/>
        </w:rPr>
        <w:t xml:space="preserve">Law of </w:t>
      </w:r>
      <w:proofErr w:type="spellStart"/>
      <w:r>
        <w:rPr>
          <w:lang w:val="en-US"/>
        </w:rPr>
        <w:t>Delict</w:t>
      </w:r>
      <w:proofErr w:type="spellEnd"/>
      <w:r>
        <w:rPr>
          <w:lang w:val="en-US"/>
        </w:rPr>
        <w:t>, ibid, page 316.</w:t>
      </w:r>
    </w:p>
  </w:footnote>
  <w:footnote w:id="20">
    <w:p w:rsidR="00874833" w:rsidRPr="00CD3861" w:rsidRDefault="00874833" w:rsidP="00B908BE">
      <w:pPr>
        <w:pStyle w:val="FootnoteText"/>
        <w:rPr>
          <w:lang w:val="en-US"/>
        </w:rPr>
      </w:pPr>
      <w:r>
        <w:rPr>
          <w:rStyle w:val="FootnoteReference"/>
        </w:rPr>
        <w:footnoteRef/>
      </w:r>
      <w:r>
        <w:t xml:space="preserve"> </w:t>
      </w:r>
      <w:proofErr w:type="gramStart"/>
      <w:r>
        <w:rPr>
          <w:lang w:val="en-US"/>
        </w:rPr>
        <w:t>At para 20.</w:t>
      </w:r>
      <w:proofErr w:type="gramEnd"/>
    </w:p>
  </w:footnote>
  <w:footnote w:id="21">
    <w:p w:rsidR="00F40049" w:rsidRPr="00017B66" w:rsidRDefault="00F40049" w:rsidP="00F40049">
      <w:pPr>
        <w:pStyle w:val="FootnoteText"/>
        <w:spacing w:after="0" w:line="240" w:lineRule="auto"/>
        <w:rPr>
          <w:lang w:val="en-US"/>
        </w:rPr>
      </w:pPr>
      <w:r>
        <w:rPr>
          <w:rStyle w:val="FootnoteReference"/>
        </w:rPr>
        <w:footnoteRef/>
      </w:r>
      <w:r>
        <w:t xml:space="preserve"> </w:t>
      </w:r>
      <w:r>
        <w:rPr>
          <w:lang w:val="en-US"/>
        </w:rPr>
        <w:t xml:space="preserve">Exhibit </w:t>
      </w:r>
      <w:proofErr w:type="gramStart"/>
      <w:r>
        <w:rPr>
          <w:lang w:val="en-US"/>
        </w:rPr>
        <w:t>A</w:t>
      </w:r>
      <w:proofErr w:type="gramEnd"/>
      <w:r>
        <w:rPr>
          <w:lang w:val="en-US"/>
        </w:rPr>
        <w:t>, page 1.</w:t>
      </w:r>
    </w:p>
  </w:footnote>
  <w:footnote w:id="22">
    <w:p w:rsidR="00874833" w:rsidRDefault="00874833" w:rsidP="0092004B">
      <w:pPr>
        <w:pStyle w:val="FootnoteText"/>
      </w:pPr>
      <w:r>
        <w:rPr>
          <w:rStyle w:val="FootnoteReference"/>
        </w:rPr>
        <w:footnoteRef/>
      </w:r>
      <w:r>
        <w:t xml:space="preserve"> </w:t>
      </w:r>
      <w:proofErr w:type="spellStart"/>
      <w:r>
        <w:t>Cilliers</w:t>
      </w:r>
      <w:proofErr w:type="spellEnd"/>
      <w:r>
        <w:t xml:space="preserve"> AC  ‘</w:t>
      </w:r>
      <w:r w:rsidRPr="009763F2">
        <w:rPr>
          <w:i/>
        </w:rPr>
        <w:t>Law of Costs</w:t>
      </w:r>
      <w:r>
        <w:t xml:space="preserve">’ </w:t>
      </w:r>
      <w:proofErr w:type="spellStart"/>
      <w:r>
        <w:t>Butterworths</w:t>
      </w:r>
      <w:proofErr w:type="spellEnd"/>
      <w:r>
        <w:t xml:space="preserve"> page 1-4; </w:t>
      </w:r>
      <w:r w:rsidRPr="009763F2">
        <w:rPr>
          <w:i/>
        </w:rPr>
        <w:t>Agriculture Research Council v SA  Stud Book and Animal Improvement Association and Others</w:t>
      </w:r>
      <w:r>
        <w:t xml:space="preserve">; In re: </w:t>
      </w:r>
      <w:r w:rsidRPr="009763F2">
        <w:rPr>
          <w:i/>
        </w:rPr>
        <w:t xml:space="preserve">Anton </w:t>
      </w:r>
      <w:proofErr w:type="spellStart"/>
      <w:r w:rsidRPr="009763F2">
        <w:rPr>
          <w:i/>
        </w:rPr>
        <w:t>Piller</w:t>
      </w:r>
      <w:proofErr w:type="spellEnd"/>
      <w:r w:rsidRPr="009763F2">
        <w:rPr>
          <w:i/>
        </w:rPr>
        <w:t xml:space="preserve"> and Interdict Proceedings</w:t>
      </w:r>
      <w:r>
        <w:t xml:space="preserve"> [2016] JOL 34325 (FB) par 1 and 2; </w:t>
      </w:r>
      <w:proofErr w:type="spellStart"/>
      <w:r w:rsidRPr="009763F2">
        <w:rPr>
          <w:i/>
        </w:rPr>
        <w:t>Thusi</w:t>
      </w:r>
      <w:proofErr w:type="spellEnd"/>
      <w:r w:rsidRPr="009763F2">
        <w:rPr>
          <w:i/>
        </w:rPr>
        <w:t xml:space="preserve"> v Minister of Home Affairs and 71 Other Cases</w:t>
      </w:r>
      <w:r>
        <w:t xml:space="preserve"> (2011) (2) SA 561 (KZP) 605-611.</w:t>
      </w:r>
    </w:p>
  </w:footnote>
  <w:footnote w:id="23">
    <w:p w:rsidR="00874833" w:rsidRDefault="00874833" w:rsidP="0092004B">
      <w:pPr>
        <w:pStyle w:val="FootnoteText"/>
      </w:pPr>
      <w:r>
        <w:rPr>
          <w:rStyle w:val="FootnoteReference"/>
        </w:rPr>
        <w:footnoteRef/>
      </w:r>
      <w:r>
        <w:t xml:space="preserve"> Ibid page 2-16(1); </w:t>
      </w:r>
      <w:r w:rsidRPr="00152669">
        <w:rPr>
          <w:i/>
        </w:rPr>
        <w:t xml:space="preserve">Fusion Hotel </w:t>
      </w:r>
      <w:r>
        <w:rPr>
          <w:i/>
        </w:rPr>
        <w:t>and Entertainment Centre CC v e</w:t>
      </w:r>
      <w:r w:rsidRPr="00152669">
        <w:rPr>
          <w:i/>
        </w:rPr>
        <w:t xml:space="preserve">Thekwini Municipality and Another </w:t>
      </w:r>
      <w:r>
        <w:t xml:space="preserve">[2015] JOL 32690 (KZD) </w:t>
      </w:r>
      <w:r w:rsidRPr="00F66EC6">
        <w:rPr>
          <w:i/>
        </w:rPr>
        <w:t>‘[12] It is common cause that in this matter the issues at hand remained undecided and the merits were not considered. When the issues are left undecided, the court has</w:t>
      </w:r>
      <w:r>
        <w:rPr>
          <w:i/>
        </w:rPr>
        <w:t xml:space="preserve"> </w:t>
      </w:r>
      <w:proofErr w:type="gramStart"/>
      <w:r>
        <w:rPr>
          <w:i/>
        </w:rPr>
        <w:t>a</w:t>
      </w:r>
      <w:r w:rsidRPr="00F66EC6">
        <w:rPr>
          <w:i/>
        </w:rPr>
        <w:t xml:space="preserve"> discretion</w:t>
      </w:r>
      <w:proofErr w:type="gramEnd"/>
      <w:r w:rsidRPr="00F66EC6">
        <w:rPr>
          <w:i/>
        </w:rPr>
        <w:t xml:space="preserve"> whether to direct each part to pay its own costs or make a specific order as to costs. A decision on costs can on its own, in my view, </w:t>
      </w:r>
      <w:proofErr w:type="gramStart"/>
      <w:r w:rsidRPr="00F66EC6">
        <w:rPr>
          <w:i/>
        </w:rPr>
        <w:t>be</w:t>
      </w:r>
      <w:proofErr w:type="gramEnd"/>
      <w:r w:rsidRPr="00F66EC6">
        <w:rPr>
          <w:i/>
        </w:rPr>
        <w:t xml:space="preserve"> made irrespective of the non-consideration of the merits. I am stating this on the basis that an award for costs is to indemnify the successful litigant for the expense to which he was put through to challenge or defend the case, as the case may be…’</w:t>
      </w:r>
    </w:p>
  </w:footnote>
  <w:footnote w:id="24">
    <w:p w:rsidR="00874833" w:rsidRDefault="00874833" w:rsidP="0092004B">
      <w:pPr>
        <w:pStyle w:val="FootnoteText"/>
      </w:pPr>
      <w:r>
        <w:rPr>
          <w:rStyle w:val="FootnoteReference"/>
        </w:rPr>
        <w:footnoteRef/>
      </w:r>
      <w:r>
        <w:t xml:space="preserve"> </w:t>
      </w:r>
      <w:proofErr w:type="gramStart"/>
      <w:r>
        <w:rPr>
          <w:rFonts w:ascii="Times New Roman" w:hAnsi="Times New Roman"/>
          <w:sz w:val="19"/>
          <w:szCs w:val="19"/>
        </w:rPr>
        <w:t>1996 (2) SA 621 (CC) at 624B—C (par [3]).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D5BE9"/>
    <w:multiLevelType w:val="multilevel"/>
    <w:tmpl w:val="C890E19A"/>
    <w:lvl w:ilvl="0">
      <w:start w:val="1"/>
      <w:numFmt w:val="decimal"/>
      <w:isLgl/>
      <w:lvlText w:val="[%1]     "/>
      <w:lvlJc w:val="left"/>
      <w:pPr>
        <w:tabs>
          <w:tab w:val="num" w:pos="567"/>
        </w:tabs>
        <w:ind w:left="0" w:firstLine="0"/>
      </w:pPr>
      <w:rPr>
        <w:b w:val="0"/>
        <w:i w:val="0"/>
        <w:sz w:val="24"/>
      </w:rPr>
    </w:lvl>
    <w:lvl w:ilvl="1">
      <w:start w:val="1"/>
      <w:numFmt w:val="decimal"/>
      <w:lvlText w:val="[%1.%2.]"/>
      <w:lvlJc w:val="left"/>
      <w:pPr>
        <w:tabs>
          <w:tab w:val="num" w:pos="567"/>
        </w:tabs>
        <w:ind w:left="0" w:firstLine="0"/>
      </w:pPr>
    </w:lvl>
    <w:lvl w:ilvl="2">
      <w:start w:val="1"/>
      <w:numFmt w:val="decimal"/>
      <w:lvlText w:val="[%1.%2.%3.]"/>
      <w:lvlJc w:val="left"/>
      <w:pPr>
        <w:tabs>
          <w:tab w:val="num" w:pos="567"/>
        </w:tabs>
        <w:ind w:left="0" w:firstLine="0"/>
      </w:pPr>
    </w:lvl>
    <w:lvl w:ilvl="3">
      <w:start w:val="1"/>
      <w:numFmt w:val="decimal"/>
      <w:lvlText w:val="[%1.%2.%3.%4.]"/>
      <w:lvlJc w:val="left"/>
      <w:pPr>
        <w:tabs>
          <w:tab w:val="num" w:pos="567"/>
        </w:tabs>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48006E23"/>
    <w:multiLevelType w:val="hybridMultilevel"/>
    <w:tmpl w:val="82C07838"/>
    <w:lvl w:ilvl="0" w:tplc="6B8AF0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C20E10"/>
    <w:multiLevelType w:val="hybridMultilevel"/>
    <w:tmpl w:val="E5F20568"/>
    <w:lvl w:ilvl="0" w:tplc="1976065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4B329D"/>
    <w:multiLevelType w:val="hybridMultilevel"/>
    <w:tmpl w:val="A65A7A1A"/>
    <w:lvl w:ilvl="0" w:tplc="032A9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CA"/>
    <w:rsid w:val="000176D9"/>
    <w:rsid w:val="00017B66"/>
    <w:rsid w:val="00026773"/>
    <w:rsid w:val="00041325"/>
    <w:rsid w:val="00061AF3"/>
    <w:rsid w:val="000672FC"/>
    <w:rsid w:val="0008303C"/>
    <w:rsid w:val="00087D1B"/>
    <w:rsid w:val="000959AF"/>
    <w:rsid w:val="000A5ED3"/>
    <w:rsid w:val="000B38FB"/>
    <w:rsid w:val="000D14C7"/>
    <w:rsid w:val="000D4ADF"/>
    <w:rsid w:val="000D79E9"/>
    <w:rsid w:val="000E11D3"/>
    <w:rsid w:val="000F1C55"/>
    <w:rsid w:val="00110DC1"/>
    <w:rsid w:val="00122BFA"/>
    <w:rsid w:val="00137386"/>
    <w:rsid w:val="00137BF4"/>
    <w:rsid w:val="00173F81"/>
    <w:rsid w:val="00175DBC"/>
    <w:rsid w:val="001A6133"/>
    <w:rsid w:val="001A7AA6"/>
    <w:rsid w:val="001B2C19"/>
    <w:rsid w:val="001C08E5"/>
    <w:rsid w:val="001C5237"/>
    <w:rsid w:val="001E1B07"/>
    <w:rsid w:val="001E1CAD"/>
    <w:rsid w:val="001E4CED"/>
    <w:rsid w:val="001E4EE9"/>
    <w:rsid w:val="00205A29"/>
    <w:rsid w:val="002356F1"/>
    <w:rsid w:val="0023767B"/>
    <w:rsid w:val="00241C4F"/>
    <w:rsid w:val="002436AE"/>
    <w:rsid w:val="002717F4"/>
    <w:rsid w:val="002918A6"/>
    <w:rsid w:val="00295E3E"/>
    <w:rsid w:val="002D6378"/>
    <w:rsid w:val="002E311F"/>
    <w:rsid w:val="00307F65"/>
    <w:rsid w:val="00320A77"/>
    <w:rsid w:val="00335733"/>
    <w:rsid w:val="00337BAF"/>
    <w:rsid w:val="0035557B"/>
    <w:rsid w:val="003654F3"/>
    <w:rsid w:val="00373EFE"/>
    <w:rsid w:val="00385A73"/>
    <w:rsid w:val="00390012"/>
    <w:rsid w:val="00396433"/>
    <w:rsid w:val="003A0A66"/>
    <w:rsid w:val="003B2A50"/>
    <w:rsid w:val="003B6396"/>
    <w:rsid w:val="003B7BF9"/>
    <w:rsid w:val="003C0C47"/>
    <w:rsid w:val="003D5F97"/>
    <w:rsid w:val="003D70CA"/>
    <w:rsid w:val="003E0C87"/>
    <w:rsid w:val="003E44B1"/>
    <w:rsid w:val="003E7121"/>
    <w:rsid w:val="004112AF"/>
    <w:rsid w:val="00421443"/>
    <w:rsid w:val="00427DE8"/>
    <w:rsid w:val="00453FDD"/>
    <w:rsid w:val="004601FA"/>
    <w:rsid w:val="0049701F"/>
    <w:rsid w:val="004A0539"/>
    <w:rsid w:val="004B38C3"/>
    <w:rsid w:val="004B6599"/>
    <w:rsid w:val="004C2E2B"/>
    <w:rsid w:val="004C5784"/>
    <w:rsid w:val="004D277C"/>
    <w:rsid w:val="004E0525"/>
    <w:rsid w:val="004E75E2"/>
    <w:rsid w:val="004F4910"/>
    <w:rsid w:val="00507BFD"/>
    <w:rsid w:val="0051475A"/>
    <w:rsid w:val="00530F46"/>
    <w:rsid w:val="00537AAE"/>
    <w:rsid w:val="00543A99"/>
    <w:rsid w:val="005444E8"/>
    <w:rsid w:val="00556142"/>
    <w:rsid w:val="0056288A"/>
    <w:rsid w:val="00595762"/>
    <w:rsid w:val="0059771E"/>
    <w:rsid w:val="005C3A48"/>
    <w:rsid w:val="005D1E90"/>
    <w:rsid w:val="005E2E01"/>
    <w:rsid w:val="005E36B6"/>
    <w:rsid w:val="00624678"/>
    <w:rsid w:val="006353C5"/>
    <w:rsid w:val="00640000"/>
    <w:rsid w:val="0064557B"/>
    <w:rsid w:val="00651002"/>
    <w:rsid w:val="00665642"/>
    <w:rsid w:val="006668C9"/>
    <w:rsid w:val="00672BAD"/>
    <w:rsid w:val="0068159E"/>
    <w:rsid w:val="00692971"/>
    <w:rsid w:val="006C42BA"/>
    <w:rsid w:val="006C5CFD"/>
    <w:rsid w:val="006F0214"/>
    <w:rsid w:val="006F7CE9"/>
    <w:rsid w:val="0070470C"/>
    <w:rsid w:val="00731DBF"/>
    <w:rsid w:val="00732EDD"/>
    <w:rsid w:val="0074219C"/>
    <w:rsid w:val="0075112E"/>
    <w:rsid w:val="0075341C"/>
    <w:rsid w:val="00776EBB"/>
    <w:rsid w:val="007A0921"/>
    <w:rsid w:val="007B31E1"/>
    <w:rsid w:val="007F7CCD"/>
    <w:rsid w:val="008120AE"/>
    <w:rsid w:val="008175C1"/>
    <w:rsid w:val="008255F7"/>
    <w:rsid w:val="00837BD5"/>
    <w:rsid w:val="00841C4B"/>
    <w:rsid w:val="008446B2"/>
    <w:rsid w:val="00854A29"/>
    <w:rsid w:val="008628B2"/>
    <w:rsid w:val="00874833"/>
    <w:rsid w:val="00874CAB"/>
    <w:rsid w:val="008872CB"/>
    <w:rsid w:val="00887E12"/>
    <w:rsid w:val="00892740"/>
    <w:rsid w:val="00894999"/>
    <w:rsid w:val="008A44E2"/>
    <w:rsid w:val="008B19F4"/>
    <w:rsid w:val="008E7D49"/>
    <w:rsid w:val="0091480D"/>
    <w:rsid w:val="00916656"/>
    <w:rsid w:val="0092004B"/>
    <w:rsid w:val="00920378"/>
    <w:rsid w:val="00925262"/>
    <w:rsid w:val="00926A65"/>
    <w:rsid w:val="00930495"/>
    <w:rsid w:val="0093069B"/>
    <w:rsid w:val="00940CC8"/>
    <w:rsid w:val="00951798"/>
    <w:rsid w:val="00971934"/>
    <w:rsid w:val="0098353F"/>
    <w:rsid w:val="009851B4"/>
    <w:rsid w:val="009A2041"/>
    <w:rsid w:val="009D366C"/>
    <w:rsid w:val="009E47CA"/>
    <w:rsid w:val="00A027BF"/>
    <w:rsid w:val="00A06474"/>
    <w:rsid w:val="00A1087D"/>
    <w:rsid w:val="00A157D4"/>
    <w:rsid w:val="00A319A2"/>
    <w:rsid w:val="00A51AC1"/>
    <w:rsid w:val="00A52D01"/>
    <w:rsid w:val="00A534E7"/>
    <w:rsid w:val="00A61082"/>
    <w:rsid w:val="00AE7F55"/>
    <w:rsid w:val="00AF4F85"/>
    <w:rsid w:val="00AF6461"/>
    <w:rsid w:val="00B01357"/>
    <w:rsid w:val="00B228D8"/>
    <w:rsid w:val="00B42390"/>
    <w:rsid w:val="00B671E7"/>
    <w:rsid w:val="00B908BE"/>
    <w:rsid w:val="00B96A00"/>
    <w:rsid w:val="00BA0B7E"/>
    <w:rsid w:val="00BA1578"/>
    <w:rsid w:val="00BA248A"/>
    <w:rsid w:val="00BC623B"/>
    <w:rsid w:val="00BC68BE"/>
    <w:rsid w:val="00BD22E9"/>
    <w:rsid w:val="00BD35E5"/>
    <w:rsid w:val="00BD62F2"/>
    <w:rsid w:val="00BE0194"/>
    <w:rsid w:val="00BF2FAC"/>
    <w:rsid w:val="00C059F0"/>
    <w:rsid w:val="00C305E2"/>
    <w:rsid w:val="00C63AE6"/>
    <w:rsid w:val="00C63B2A"/>
    <w:rsid w:val="00C6514A"/>
    <w:rsid w:val="00C76965"/>
    <w:rsid w:val="00CB4CEA"/>
    <w:rsid w:val="00CB7C1B"/>
    <w:rsid w:val="00CD0C2B"/>
    <w:rsid w:val="00CD3861"/>
    <w:rsid w:val="00CE1B91"/>
    <w:rsid w:val="00CE4E05"/>
    <w:rsid w:val="00CF156B"/>
    <w:rsid w:val="00D02928"/>
    <w:rsid w:val="00D10A26"/>
    <w:rsid w:val="00D1251D"/>
    <w:rsid w:val="00D1559A"/>
    <w:rsid w:val="00D1775A"/>
    <w:rsid w:val="00D27355"/>
    <w:rsid w:val="00D300A8"/>
    <w:rsid w:val="00D34682"/>
    <w:rsid w:val="00D43E70"/>
    <w:rsid w:val="00D43F34"/>
    <w:rsid w:val="00D44107"/>
    <w:rsid w:val="00D464A5"/>
    <w:rsid w:val="00D63CF8"/>
    <w:rsid w:val="00D63EC0"/>
    <w:rsid w:val="00D81ADF"/>
    <w:rsid w:val="00D977AD"/>
    <w:rsid w:val="00DA29CF"/>
    <w:rsid w:val="00DB42D1"/>
    <w:rsid w:val="00DB500F"/>
    <w:rsid w:val="00DC415F"/>
    <w:rsid w:val="00DD12E9"/>
    <w:rsid w:val="00DD3E57"/>
    <w:rsid w:val="00DD798E"/>
    <w:rsid w:val="00DF763D"/>
    <w:rsid w:val="00E05A9F"/>
    <w:rsid w:val="00E12E74"/>
    <w:rsid w:val="00E20E32"/>
    <w:rsid w:val="00E266F5"/>
    <w:rsid w:val="00E31BAC"/>
    <w:rsid w:val="00E40A61"/>
    <w:rsid w:val="00E436DA"/>
    <w:rsid w:val="00E56681"/>
    <w:rsid w:val="00E7463F"/>
    <w:rsid w:val="00E83561"/>
    <w:rsid w:val="00E868CC"/>
    <w:rsid w:val="00E9304C"/>
    <w:rsid w:val="00EA362B"/>
    <w:rsid w:val="00EA789D"/>
    <w:rsid w:val="00EB3003"/>
    <w:rsid w:val="00EC78EF"/>
    <w:rsid w:val="00ED772E"/>
    <w:rsid w:val="00EF7506"/>
    <w:rsid w:val="00F104A4"/>
    <w:rsid w:val="00F26DDD"/>
    <w:rsid w:val="00F34049"/>
    <w:rsid w:val="00F40049"/>
    <w:rsid w:val="00F4543E"/>
    <w:rsid w:val="00F92A5D"/>
    <w:rsid w:val="00FB2323"/>
    <w:rsid w:val="00FB51F3"/>
    <w:rsid w:val="00FC59B4"/>
    <w:rsid w:val="00FD6FD4"/>
    <w:rsid w:val="00FE0823"/>
    <w:rsid w:val="00FE2665"/>
    <w:rsid w:val="00FF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47CA"/>
    <w:rPr>
      <w:rFonts w:ascii="Calibri" w:eastAsia="Calibri" w:hAnsi="Calibri" w:cs="Times New Roman"/>
      <w:sz w:val="20"/>
      <w:szCs w:val="20"/>
      <w:lang w:val="en-ZA" w:eastAsia="en-ZA"/>
    </w:rPr>
  </w:style>
  <w:style w:type="character" w:customStyle="1" w:styleId="FootnoteTextChar">
    <w:name w:val="Footnote Text Char"/>
    <w:basedOn w:val="DefaultParagraphFont"/>
    <w:link w:val="FootnoteText"/>
    <w:uiPriority w:val="99"/>
    <w:rsid w:val="009E47CA"/>
    <w:rPr>
      <w:rFonts w:ascii="Calibri" w:eastAsia="Calibri" w:hAnsi="Calibri" w:cs="Times New Roman"/>
      <w:sz w:val="20"/>
      <w:szCs w:val="20"/>
      <w:lang w:val="en-ZA" w:eastAsia="en-ZA"/>
    </w:rPr>
  </w:style>
  <w:style w:type="paragraph" w:styleId="ListParagraph">
    <w:name w:val="List Paragraph"/>
    <w:basedOn w:val="Normal"/>
    <w:uiPriority w:val="34"/>
    <w:qFormat/>
    <w:rsid w:val="009E47CA"/>
    <w:pPr>
      <w:ind w:left="720"/>
      <w:contextualSpacing/>
    </w:pPr>
    <w:rPr>
      <w:lang w:val="en-ZA"/>
    </w:rPr>
  </w:style>
  <w:style w:type="character" w:styleId="FootnoteReference">
    <w:name w:val="footnote reference"/>
    <w:basedOn w:val="DefaultParagraphFont"/>
    <w:uiPriority w:val="99"/>
    <w:semiHidden/>
    <w:unhideWhenUsed/>
    <w:rsid w:val="009E47CA"/>
    <w:rPr>
      <w:vertAlign w:val="superscript"/>
    </w:rPr>
  </w:style>
  <w:style w:type="paragraph" w:styleId="BalloonText">
    <w:name w:val="Balloon Text"/>
    <w:basedOn w:val="Normal"/>
    <w:link w:val="BalloonTextChar"/>
    <w:uiPriority w:val="99"/>
    <w:semiHidden/>
    <w:unhideWhenUsed/>
    <w:rsid w:val="009E4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7CA"/>
    <w:rPr>
      <w:rFonts w:ascii="Tahoma" w:hAnsi="Tahoma" w:cs="Tahoma"/>
      <w:sz w:val="16"/>
      <w:szCs w:val="16"/>
    </w:rPr>
  </w:style>
  <w:style w:type="paragraph" w:styleId="Header">
    <w:name w:val="header"/>
    <w:basedOn w:val="Normal"/>
    <w:link w:val="HeaderChar"/>
    <w:uiPriority w:val="99"/>
    <w:unhideWhenUsed/>
    <w:rsid w:val="009E4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7CA"/>
  </w:style>
  <w:style w:type="paragraph" w:styleId="Footer">
    <w:name w:val="footer"/>
    <w:basedOn w:val="Normal"/>
    <w:link w:val="FooterChar"/>
    <w:uiPriority w:val="99"/>
    <w:unhideWhenUsed/>
    <w:rsid w:val="009E4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7CA"/>
  </w:style>
  <w:style w:type="paragraph" w:customStyle="1" w:styleId="1AutoList1">
    <w:name w:val="1AutoList1"/>
    <w:rsid w:val="00D464A5"/>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efault">
    <w:name w:val="Default"/>
    <w:rsid w:val="00A027B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47CA"/>
    <w:rPr>
      <w:rFonts w:ascii="Calibri" w:eastAsia="Calibri" w:hAnsi="Calibri" w:cs="Times New Roman"/>
      <w:sz w:val="20"/>
      <w:szCs w:val="20"/>
      <w:lang w:val="en-ZA" w:eastAsia="en-ZA"/>
    </w:rPr>
  </w:style>
  <w:style w:type="character" w:customStyle="1" w:styleId="FootnoteTextChar">
    <w:name w:val="Footnote Text Char"/>
    <w:basedOn w:val="DefaultParagraphFont"/>
    <w:link w:val="FootnoteText"/>
    <w:uiPriority w:val="99"/>
    <w:rsid w:val="009E47CA"/>
    <w:rPr>
      <w:rFonts w:ascii="Calibri" w:eastAsia="Calibri" w:hAnsi="Calibri" w:cs="Times New Roman"/>
      <w:sz w:val="20"/>
      <w:szCs w:val="20"/>
      <w:lang w:val="en-ZA" w:eastAsia="en-ZA"/>
    </w:rPr>
  </w:style>
  <w:style w:type="paragraph" w:styleId="ListParagraph">
    <w:name w:val="List Paragraph"/>
    <w:basedOn w:val="Normal"/>
    <w:uiPriority w:val="34"/>
    <w:qFormat/>
    <w:rsid w:val="009E47CA"/>
    <w:pPr>
      <w:ind w:left="720"/>
      <w:contextualSpacing/>
    </w:pPr>
    <w:rPr>
      <w:lang w:val="en-ZA"/>
    </w:rPr>
  </w:style>
  <w:style w:type="character" w:styleId="FootnoteReference">
    <w:name w:val="footnote reference"/>
    <w:basedOn w:val="DefaultParagraphFont"/>
    <w:uiPriority w:val="99"/>
    <w:semiHidden/>
    <w:unhideWhenUsed/>
    <w:rsid w:val="009E47CA"/>
    <w:rPr>
      <w:vertAlign w:val="superscript"/>
    </w:rPr>
  </w:style>
  <w:style w:type="paragraph" w:styleId="BalloonText">
    <w:name w:val="Balloon Text"/>
    <w:basedOn w:val="Normal"/>
    <w:link w:val="BalloonTextChar"/>
    <w:uiPriority w:val="99"/>
    <w:semiHidden/>
    <w:unhideWhenUsed/>
    <w:rsid w:val="009E4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7CA"/>
    <w:rPr>
      <w:rFonts w:ascii="Tahoma" w:hAnsi="Tahoma" w:cs="Tahoma"/>
      <w:sz w:val="16"/>
      <w:szCs w:val="16"/>
    </w:rPr>
  </w:style>
  <w:style w:type="paragraph" w:styleId="Header">
    <w:name w:val="header"/>
    <w:basedOn w:val="Normal"/>
    <w:link w:val="HeaderChar"/>
    <w:uiPriority w:val="99"/>
    <w:unhideWhenUsed/>
    <w:rsid w:val="009E4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7CA"/>
  </w:style>
  <w:style w:type="paragraph" w:styleId="Footer">
    <w:name w:val="footer"/>
    <w:basedOn w:val="Normal"/>
    <w:link w:val="FooterChar"/>
    <w:uiPriority w:val="99"/>
    <w:unhideWhenUsed/>
    <w:rsid w:val="009E4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7CA"/>
  </w:style>
  <w:style w:type="paragraph" w:customStyle="1" w:styleId="1AutoList1">
    <w:name w:val="1AutoList1"/>
    <w:rsid w:val="00D464A5"/>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efault">
    <w:name w:val="Default"/>
    <w:rsid w:val="00A027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7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30F0-6EA4-448F-87D1-B964CE3D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7291</Words>
  <Characters>41563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Pearl</dc:creator>
  <cp:lastModifiedBy>Andrews Pearl</cp:lastModifiedBy>
  <cp:revision>5</cp:revision>
  <dcterms:created xsi:type="dcterms:W3CDTF">2019-10-13T19:40:00Z</dcterms:created>
  <dcterms:modified xsi:type="dcterms:W3CDTF">2019-10-13T22:18:00Z</dcterms:modified>
</cp:coreProperties>
</file>