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95581" w14:textId="77777777" w:rsidR="001A1817" w:rsidRPr="00705FD1" w:rsidRDefault="001A1817" w:rsidP="001A1817">
      <w:pPr>
        <w:contextualSpacing/>
        <w:jc w:val="center"/>
        <w:rPr>
          <w:rFonts w:eastAsia="Times New Roman"/>
          <w:b/>
          <w:lang w:val="en-ZA" w:eastAsia="en-GB" w:bidi="yi-Hebr"/>
        </w:rPr>
      </w:pPr>
      <w:bookmarkStart w:id="0" w:name="_GoBack"/>
      <w:bookmarkEnd w:id="0"/>
      <w:r w:rsidRPr="00705FD1">
        <w:rPr>
          <w:rFonts w:eastAsia="Calibri"/>
          <w:b/>
          <w:noProof/>
          <w:lang w:val="en-ZA" w:eastAsia="en-ZA"/>
        </w:rPr>
        <w:drawing>
          <wp:inline distT="0" distB="0" distL="0" distR="0" wp14:anchorId="5AF2564C" wp14:editId="1DE57D2D">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A6208BC" w14:textId="77777777" w:rsidR="001A1817" w:rsidRPr="00705FD1" w:rsidRDefault="001A1817" w:rsidP="001A1817">
      <w:pPr>
        <w:contextualSpacing/>
        <w:jc w:val="center"/>
        <w:rPr>
          <w:rFonts w:eastAsia="Times New Roman"/>
          <w:b/>
          <w:lang w:val="en-ZA" w:eastAsia="en-GB" w:bidi="yi-Hebr"/>
        </w:rPr>
      </w:pPr>
      <w:r w:rsidRPr="00705FD1">
        <w:rPr>
          <w:rFonts w:eastAsia="Times New Roman"/>
          <w:b/>
          <w:lang w:val="en-ZA" w:eastAsia="en-GB" w:bidi="yi-Hebr"/>
        </w:rPr>
        <w:t>IN THE HIGH COURT OF SOUTH AFRICA</w:t>
      </w:r>
    </w:p>
    <w:p w14:paraId="0DF5EA18" w14:textId="77777777" w:rsidR="001A1817" w:rsidRPr="00705FD1" w:rsidRDefault="001A1817" w:rsidP="001A1817">
      <w:pPr>
        <w:contextualSpacing/>
        <w:jc w:val="center"/>
        <w:rPr>
          <w:rFonts w:eastAsia="Times New Roman"/>
          <w:b/>
          <w:lang w:val="en-ZA" w:eastAsia="en-GB" w:bidi="yi-Hebr"/>
        </w:rPr>
      </w:pPr>
      <w:r w:rsidRPr="00705FD1">
        <w:rPr>
          <w:rFonts w:eastAsia="Times New Roman"/>
          <w:b/>
          <w:lang w:val="en-ZA" w:eastAsia="en-GB" w:bidi="yi-Hebr"/>
        </w:rPr>
        <w:t>KWAZULU-NATAL DIVISION, PIETERMARITZBURG</w:t>
      </w:r>
    </w:p>
    <w:p w14:paraId="2E224D5F" w14:textId="77777777" w:rsidR="001A1817" w:rsidRPr="00705FD1" w:rsidRDefault="001A1817" w:rsidP="001A1817">
      <w:pPr>
        <w:contextualSpacing/>
        <w:jc w:val="center"/>
        <w:rPr>
          <w:rFonts w:eastAsia="Times New Roman"/>
          <w:b/>
          <w:lang w:val="en-ZA" w:eastAsia="en-GB" w:bidi="yi-Hebr"/>
        </w:rPr>
      </w:pPr>
    </w:p>
    <w:p w14:paraId="74FF0741" w14:textId="77777777" w:rsidR="001A1817" w:rsidRPr="00705FD1" w:rsidRDefault="001A1817" w:rsidP="001A1817">
      <w:pPr>
        <w:contextualSpacing/>
        <w:jc w:val="right"/>
        <w:rPr>
          <w:rFonts w:eastAsia="Times New Roman"/>
          <w:b/>
          <w:lang w:val="en-ZA" w:eastAsia="en-GB" w:bidi="yi-Hebr"/>
        </w:rPr>
      </w:pPr>
      <w:r w:rsidRPr="000A35C1">
        <w:rPr>
          <w:rFonts w:eastAsia="Times New Roman"/>
          <w:lang w:val="en-ZA" w:eastAsia="en-GB" w:bidi="yi-Hebr"/>
        </w:rPr>
        <w:t>Case no:</w:t>
      </w:r>
      <w:r w:rsidRPr="00705FD1">
        <w:rPr>
          <w:rFonts w:eastAsia="Times New Roman"/>
          <w:b/>
          <w:lang w:val="en-ZA" w:eastAsia="en-GB" w:bidi="yi-Hebr"/>
        </w:rPr>
        <w:t xml:space="preserve"> </w:t>
      </w:r>
      <w:r w:rsidR="00D82699" w:rsidRPr="00705FD1">
        <w:rPr>
          <w:rFonts w:eastAsia="Times New Roman"/>
          <w:b/>
          <w:lang w:val="en-ZA" w:eastAsia="en-GB" w:bidi="yi-Hebr"/>
        </w:rPr>
        <w:t>2846</w:t>
      </w:r>
      <w:r w:rsidRPr="00705FD1">
        <w:rPr>
          <w:rFonts w:eastAsia="Times New Roman"/>
          <w:b/>
          <w:lang w:val="en-ZA" w:eastAsia="en-GB" w:bidi="yi-Hebr"/>
        </w:rPr>
        <w:t>/202</w:t>
      </w:r>
      <w:r w:rsidR="00D82699" w:rsidRPr="00705FD1">
        <w:rPr>
          <w:rFonts w:eastAsia="Times New Roman"/>
          <w:b/>
          <w:lang w:val="en-ZA" w:eastAsia="en-GB" w:bidi="yi-Hebr"/>
        </w:rPr>
        <w:t>1</w:t>
      </w:r>
      <w:r w:rsidRPr="00705FD1">
        <w:rPr>
          <w:rFonts w:eastAsia="Times New Roman"/>
          <w:b/>
          <w:lang w:val="en-ZA" w:eastAsia="en-GB" w:bidi="yi-Hebr"/>
        </w:rPr>
        <w:t>P</w:t>
      </w:r>
    </w:p>
    <w:p w14:paraId="76C64F55" w14:textId="77777777" w:rsidR="001A1817" w:rsidRPr="00705FD1" w:rsidRDefault="001A1817" w:rsidP="001A1817">
      <w:pPr>
        <w:tabs>
          <w:tab w:val="right" w:pos="8789"/>
        </w:tabs>
        <w:contextualSpacing/>
        <w:rPr>
          <w:rFonts w:eastAsia="Times New Roman"/>
          <w:lang w:val="en-ZA" w:eastAsia="en-GB" w:bidi="yi-Hebr"/>
        </w:rPr>
      </w:pPr>
      <w:r w:rsidRPr="00705FD1">
        <w:rPr>
          <w:rFonts w:eastAsia="Times New Roman"/>
          <w:lang w:val="en-ZA" w:eastAsia="en-GB" w:bidi="yi-Hebr"/>
        </w:rPr>
        <w:t>In the matter between:</w:t>
      </w:r>
    </w:p>
    <w:p w14:paraId="5E28C246" w14:textId="77777777" w:rsidR="001A1817" w:rsidRPr="00705FD1" w:rsidRDefault="00E80F90" w:rsidP="001A1817">
      <w:pPr>
        <w:tabs>
          <w:tab w:val="right" w:pos="9072"/>
        </w:tabs>
        <w:contextualSpacing/>
        <w:rPr>
          <w:rFonts w:eastAsia="Times New Roman"/>
          <w:b/>
          <w:bCs/>
          <w:lang w:val="en-ZA" w:eastAsia="en-GB" w:bidi="yi-Hebr"/>
        </w:rPr>
      </w:pPr>
      <w:r w:rsidRPr="00705FD1">
        <w:rPr>
          <w:rFonts w:eastAsia="Times New Roman"/>
          <w:b/>
          <w:bCs/>
          <w:lang w:val="en-ZA" w:eastAsia="en-GB" w:bidi="yi-Hebr"/>
        </w:rPr>
        <w:t>ETHEKWINI MUNICIPALITY</w:t>
      </w:r>
      <w:r w:rsidR="001A1817" w:rsidRPr="00705FD1">
        <w:rPr>
          <w:rFonts w:eastAsia="Times New Roman"/>
          <w:b/>
          <w:bCs/>
          <w:lang w:val="en-ZA" w:eastAsia="en-GB" w:bidi="yi-Hebr"/>
        </w:rPr>
        <w:tab/>
      </w:r>
      <w:r w:rsidR="002D36BB" w:rsidRPr="00705FD1">
        <w:rPr>
          <w:rFonts w:eastAsia="Times New Roman"/>
          <w:b/>
          <w:bCs/>
          <w:lang w:val="en-ZA" w:eastAsia="en-GB" w:bidi="yi-Hebr"/>
        </w:rPr>
        <w:t>APPLICANT</w:t>
      </w:r>
    </w:p>
    <w:p w14:paraId="5CB1E4F9" w14:textId="77777777" w:rsidR="001A1817" w:rsidRPr="00705FD1" w:rsidRDefault="001A1817" w:rsidP="001A1817">
      <w:pPr>
        <w:tabs>
          <w:tab w:val="right" w:pos="9072"/>
        </w:tabs>
        <w:contextualSpacing/>
        <w:rPr>
          <w:rFonts w:eastAsia="Times New Roman"/>
          <w:b/>
          <w:bCs/>
          <w:lang w:val="en-ZA" w:eastAsia="en-GB" w:bidi="yi-Hebr"/>
        </w:rPr>
      </w:pPr>
    </w:p>
    <w:p w14:paraId="2FAA13BA" w14:textId="77777777" w:rsidR="001A1817" w:rsidRPr="00705FD1" w:rsidRDefault="001A1817" w:rsidP="001A1817">
      <w:pPr>
        <w:tabs>
          <w:tab w:val="right" w:pos="9072"/>
        </w:tabs>
        <w:contextualSpacing/>
        <w:rPr>
          <w:rFonts w:eastAsia="Times New Roman"/>
          <w:bCs/>
          <w:lang w:val="en-ZA" w:eastAsia="en-GB" w:bidi="yi-Hebr"/>
        </w:rPr>
      </w:pPr>
      <w:r w:rsidRPr="00705FD1">
        <w:rPr>
          <w:rFonts w:eastAsia="Times New Roman"/>
          <w:bCs/>
          <w:lang w:val="en-ZA" w:eastAsia="en-GB" w:bidi="yi-Hebr"/>
        </w:rPr>
        <w:t>and</w:t>
      </w:r>
    </w:p>
    <w:p w14:paraId="2AC3964C" w14:textId="77777777" w:rsidR="001A1817" w:rsidRPr="00705FD1" w:rsidRDefault="001A1817" w:rsidP="001A1817">
      <w:pPr>
        <w:tabs>
          <w:tab w:val="right" w:pos="9072"/>
        </w:tabs>
        <w:contextualSpacing/>
        <w:rPr>
          <w:rFonts w:eastAsia="Times New Roman"/>
          <w:b/>
          <w:lang w:val="en-ZA" w:eastAsia="en-GB" w:bidi="yi-Hebr"/>
        </w:rPr>
      </w:pPr>
    </w:p>
    <w:p w14:paraId="2C699F47" w14:textId="77777777" w:rsidR="001A1817" w:rsidRPr="00705FD1" w:rsidRDefault="00E80F90" w:rsidP="00E80F90">
      <w:pPr>
        <w:tabs>
          <w:tab w:val="right" w:pos="9072"/>
        </w:tabs>
        <w:contextualSpacing/>
        <w:rPr>
          <w:rFonts w:eastAsia="Times New Roman"/>
          <w:b/>
          <w:lang w:val="en-ZA" w:eastAsia="en-GB" w:bidi="yi-Hebr"/>
        </w:rPr>
      </w:pPr>
      <w:r w:rsidRPr="00705FD1">
        <w:rPr>
          <w:rFonts w:eastAsia="Times New Roman"/>
          <w:b/>
          <w:lang w:val="en-ZA" w:eastAsia="en-GB" w:bidi="yi-Hebr"/>
        </w:rPr>
        <w:t>UNITY AFRICA TRADIN</w:t>
      </w:r>
      <w:r w:rsidR="0088272F" w:rsidRPr="00705FD1">
        <w:rPr>
          <w:rFonts w:eastAsia="Times New Roman"/>
          <w:b/>
          <w:lang w:val="en-ZA" w:eastAsia="en-GB" w:bidi="yi-Hebr"/>
        </w:rPr>
        <w:t>G</w:t>
      </w:r>
      <w:r w:rsidRPr="00705FD1">
        <w:rPr>
          <w:rFonts w:eastAsia="Times New Roman"/>
          <w:b/>
          <w:lang w:val="en-ZA" w:eastAsia="en-GB" w:bidi="yi-Hebr"/>
        </w:rPr>
        <w:t xml:space="preserve"> </w:t>
      </w:r>
      <w:r w:rsidR="00A647AC" w:rsidRPr="00705FD1">
        <w:rPr>
          <w:rFonts w:eastAsia="Times New Roman"/>
          <w:b/>
          <w:lang w:val="en-ZA" w:eastAsia="en-GB" w:bidi="yi-Hebr"/>
        </w:rPr>
        <w:t>CC</w:t>
      </w:r>
      <w:r w:rsidR="001A1817" w:rsidRPr="00705FD1">
        <w:rPr>
          <w:rFonts w:eastAsia="Times New Roman"/>
          <w:b/>
          <w:lang w:val="en-ZA" w:eastAsia="en-GB" w:bidi="yi-Hebr"/>
        </w:rPr>
        <w:tab/>
      </w:r>
      <w:r w:rsidRPr="00705FD1">
        <w:rPr>
          <w:rFonts w:eastAsia="Times New Roman"/>
          <w:b/>
          <w:lang w:val="en-ZA" w:eastAsia="en-GB" w:bidi="yi-Hebr"/>
        </w:rPr>
        <w:t xml:space="preserve">FIRST </w:t>
      </w:r>
      <w:r w:rsidR="002D36BB" w:rsidRPr="00705FD1">
        <w:rPr>
          <w:rFonts w:eastAsia="Times New Roman"/>
          <w:b/>
          <w:lang w:val="en-ZA" w:eastAsia="en-GB" w:bidi="yi-Hebr"/>
        </w:rPr>
        <w:t>RESPONDENT</w:t>
      </w:r>
    </w:p>
    <w:p w14:paraId="6B102D13" w14:textId="77777777" w:rsidR="00D24E3D" w:rsidRPr="00705FD1" w:rsidRDefault="00E80F90" w:rsidP="00E80F90">
      <w:pPr>
        <w:pBdr>
          <w:bottom w:val="single" w:sz="12" w:space="1" w:color="auto"/>
        </w:pBdr>
        <w:rPr>
          <w:rFonts w:eastAsia="Times New Roman"/>
          <w:b/>
          <w:lang w:val="en-ZA" w:eastAsia="en-GB" w:bidi="yi-Hebr"/>
        </w:rPr>
      </w:pPr>
      <w:r w:rsidRPr="00705FD1">
        <w:rPr>
          <w:rFonts w:eastAsia="Times New Roman"/>
          <w:b/>
          <w:lang w:val="en-ZA" w:eastAsia="en-GB" w:bidi="yi-Hebr"/>
        </w:rPr>
        <w:t>HEDRAP</w:t>
      </w:r>
      <w:r w:rsidR="0088272F" w:rsidRPr="00705FD1">
        <w:rPr>
          <w:rFonts w:eastAsia="Times New Roman"/>
          <w:b/>
          <w:lang w:val="en-ZA" w:eastAsia="en-GB" w:bidi="yi-Hebr"/>
        </w:rPr>
        <w:t>H</w:t>
      </w:r>
      <w:r w:rsidRPr="00705FD1">
        <w:rPr>
          <w:rFonts w:eastAsia="Times New Roman"/>
          <w:b/>
          <w:lang w:val="en-ZA" w:eastAsia="en-GB" w:bidi="yi-Hebr"/>
        </w:rPr>
        <w:t>ASE INVESTMENTS (PTY) LTD</w:t>
      </w:r>
      <w:r w:rsidRPr="00705FD1">
        <w:rPr>
          <w:rFonts w:eastAsia="Times New Roman"/>
          <w:b/>
          <w:lang w:val="en-ZA" w:eastAsia="en-GB" w:bidi="yi-Hebr"/>
        </w:rPr>
        <w:tab/>
      </w:r>
      <w:r w:rsidRPr="00705FD1">
        <w:rPr>
          <w:rFonts w:eastAsia="Times New Roman"/>
          <w:b/>
          <w:lang w:val="en-ZA" w:eastAsia="en-GB" w:bidi="yi-Hebr"/>
        </w:rPr>
        <w:tab/>
        <w:t xml:space="preserve">       SECOND RESPONDENT</w:t>
      </w:r>
    </w:p>
    <w:p w14:paraId="669E1A47" w14:textId="77777777" w:rsidR="00E80F90" w:rsidRPr="00705FD1" w:rsidRDefault="00E80F90" w:rsidP="00E80F90">
      <w:pPr>
        <w:pBdr>
          <w:bottom w:val="single" w:sz="12" w:space="1" w:color="auto"/>
        </w:pBdr>
        <w:rPr>
          <w:rFonts w:eastAsia="Times New Roman"/>
          <w:b/>
          <w:lang w:val="en-ZA" w:eastAsia="en-GB" w:bidi="yi-Hebr"/>
        </w:rPr>
      </w:pPr>
      <w:r w:rsidRPr="00705FD1">
        <w:rPr>
          <w:rFonts w:eastAsia="Times New Roman"/>
          <w:b/>
          <w:lang w:val="en-ZA" w:eastAsia="en-GB" w:bidi="yi-Hebr"/>
        </w:rPr>
        <w:t>LOWE AND WILLS ATTORNEYS</w:t>
      </w:r>
      <w:r w:rsidRPr="00705FD1">
        <w:rPr>
          <w:rFonts w:eastAsia="Times New Roman"/>
          <w:b/>
          <w:lang w:val="en-ZA" w:eastAsia="en-GB" w:bidi="yi-Hebr"/>
        </w:rPr>
        <w:tab/>
      </w:r>
      <w:r w:rsidRPr="00705FD1">
        <w:rPr>
          <w:rFonts w:eastAsia="Times New Roman"/>
          <w:b/>
          <w:lang w:val="en-ZA" w:eastAsia="en-GB" w:bidi="yi-Hebr"/>
        </w:rPr>
        <w:tab/>
        <w:t xml:space="preserve">                       THIRD RESPONDENT</w:t>
      </w:r>
    </w:p>
    <w:p w14:paraId="5A62F0AE" w14:textId="77777777" w:rsidR="00E80F90" w:rsidRPr="00705FD1" w:rsidRDefault="00E80F90" w:rsidP="00E80F90">
      <w:pPr>
        <w:pBdr>
          <w:bottom w:val="single" w:sz="12" w:space="1" w:color="auto"/>
        </w:pBdr>
        <w:rPr>
          <w:rFonts w:eastAsia="Times New Roman"/>
          <w:b/>
          <w:lang w:val="en-ZA" w:eastAsia="en-GB" w:bidi="yi-Hebr"/>
        </w:rPr>
      </w:pPr>
      <w:r w:rsidRPr="00705FD1">
        <w:rPr>
          <w:rFonts w:eastAsia="Times New Roman"/>
          <w:b/>
          <w:lang w:val="en-ZA" w:eastAsia="en-GB" w:bidi="yi-Hebr"/>
        </w:rPr>
        <w:t>FIXTRADE 1507 (PTY) LTD t/a NATHI ZULU</w:t>
      </w:r>
      <w:r w:rsidRPr="00705FD1">
        <w:rPr>
          <w:rFonts w:eastAsia="Times New Roman"/>
          <w:b/>
          <w:lang w:val="en-ZA" w:eastAsia="en-GB" w:bidi="yi-Hebr"/>
        </w:rPr>
        <w:tab/>
      </w:r>
      <w:r w:rsidRPr="00705FD1">
        <w:rPr>
          <w:rFonts w:eastAsia="Times New Roman"/>
          <w:b/>
          <w:lang w:val="en-ZA" w:eastAsia="en-GB" w:bidi="yi-Hebr"/>
        </w:rPr>
        <w:tab/>
        <w:t xml:space="preserve">        FOURTH RESPONDENT</w:t>
      </w:r>
    </w:p>
    <w:p w14:paraId="20B829B7" w14:textId="77777777" w:rsidR="00E80F90" w:rsidRPr="00705FD1" w:rsidRDefault="00E80F90" w:rsidP="00E80F90">
      <w:pPr>
        <w:pBdr>
          <w:bottom w:val="single" w:sz="12" w:space="1" w:color="auto"/>
        </w:pBdr>
        <w:rPr>
          <w:rFonts w:eastAsia="Times New Roman"/>
          <w:b/>
          <w:lang w:val="en-ZA" w:eastAsia="en-GB" w:bidi="yi-Hebr"/>
        </w:rPr>
      </w:pPr>
      <w:r w:rsidRPr="00705FD1">
        <w:rPr>
          <w:rFonts w:eastAsia="Times New Roman"/>
          <w:b/>
          <w:lang w:val="en-ZA" w:eastAsia="en-GB" w:bidi="yi-Hebr"/>
        </w:rPr>
        <w:t>PROPERTIES</w:t>
      </w:r>
    </w:p>
    <w:p w14:paraId="5425178A" w14:textId="77777777" w:rsidR="00E80F90" w:rsidRPr="00705FD1" w:rsidRDefault="00E80F90" w:rsidP="00E80F90">
      <w:pPr>
        <w:pBdr>
          <w:bottom w:val="single" w:sz="12" w:space="1" w:color="auto"/>
        </w:pBdr>
        <w:rPr>
          <w:rFonts w:eastAsia="Times New Roman"/>
          <w:b/>
          <w:lang w:val="en-ZA" w:eastAsia="en-GB" w:bidi="yi-Hebr"/>
        </w:rPr>
      </w:pPr>
      <w:r w:rsidRPr="00705FD1">
        <w:rPr>
          <w:rFonts w:eastAsia="Times New Roman"/>
          <w:b/>
          <w:sz w:val="20"/>
          <w:szCs w:val="20"/>
          <w:lang w:val="en-ZA" w:eastAsia="en-GB" w:bidi="yi-Hebr"/>
        </w:rPr>
        <w:t>(Registration number 1999/034203/23)</w:t>
      </w:r>
      <w:r w:rsidRPr="00705FD1">
        <w:rPr>
          <w:rFonts w:eastAsia="Times New Roman"/>
          <w:b/>
          <w:sz w:val="20"/>
          <w:szCs w:val="20"/>
          <w:lang w:val="en-ZA" w:eastAsia="en-GB" w:bidi="yi-Hebr"/>
        </w:rPr>
        <w:tab/>
      </w:r>
    </w:p>
    <w:p w14:paraId="2E04DC9B" w14:textId="77777777" w:rsidR="00E80F90" w:rsidRPr="00705FD1" w:rsidRDefault="00E80F90" w:rsidP="00E80F90">
      <w:pPr>
        <w:pBdr>
          <w:bottom w:val="single" w:sz="12" w:space="1" w:color="auto"/>
        </w:pBdr>
        <w:rPr>
          <w:rFonts w:eastAsia="Times New Roman"/>
          <w:b/>
          <w:lang w:val="en-ZA" w:eastAsia="en-GB" w:bidi="yi-Hebr"/>
        </w:rPr>
      </w:pPr>
      <w:r w:rsidRPr="00705FD1">
        <w:rPr>
          <w:rFonts w:eastAsia="Times New Roman"/>
          <w:b/>
          <w:lang w:val="en-ZA" w:eastAsia="en-GB" w:bidi="yi-Hebr"/>
        </w:rPr>
        <w:t>KATHIJA L</w:t>
      </w:r>
      <w:r w:rsidR="0088272F" w:rsidRPr="00705FD1">
        <w:rPr>
          <w:rFonts w:eastAsia="Times New Roman"/>
          <w:b/>
          <w:lang w:val="en-ZA" w:eastAsia="en-GB" w:bidi="yi-Hebr"/>
        </w:rPr>
        <w:t>I</w:t>
      </w:r>
      <w:r w:rsidRPr="00705FD1">
        <w:rPr>
          <w:rFonts w:eastAsia="Times New Roman"/>
          <w:b/>
          <w:lang w:val="en-ZA" w:eastAsia="en-GB" w:bidi="yi-Hebr"/>
        </w:rPr>
        <w:t>MALIA AND ASSOCIATES ATTORNEYS</w:t>
      </w:r>
      <w:r w:rsidR="00D04D08" w:rsidRPr="00705FD1">
        <w:rPr>
          <w:rFonts w:eastAsia="Times New Roman"/>
          <w:b/>
          <w:lang w:val="en-ZA" w:eastAsia="en-GB" w:bidi="yi-Hebr"/>
        </w:rPr>
        <w:tab/>
        <w:t xml:space="preserve"> FIFTH</w:t>
      </w:r>
      <w:r w:rsidRPr="00705FD1">
        <w:rPr>
          <w:rFonts w:eastAsia="Times New Roman"/>
          <w:b/>
          <w:lang w:val="en-ZA" w:eastAsia="en-GB" w:bidi="yi-Hebr"/>
        </w:rPr>
        <w:t xml:space="preserve"> RESPONDENT</w:t>
      </w:r>
    </w:p>
    <w:p w14:paraId="0B8FE720" w14:textId="77777777" w:rsidR="00E80F90" w:rsidRPr="00705FD1" w:rsidRDefault="00E80F90" w:rsidP="00E80F90">
      <w:pPr>
        <w:pBdr>
          <w:bottom w:val="single" w:sz="12" w:space="1" w:color="auto"/>
        </w:pBdr>
        <w:rPr>
          <w:rFonts w:eastAsia="Times New Roman"/>
          <w:b/>
          <w:lang w:val="en-ZA" w:eastAsia="en-GB" w:bidi="yi-Hebr"/>
        </w:rPr>
      </w:pPr>
      <w:r w:rsidRPr="00705FD1">
        <w:rPr>
          <w:rFonts w:eastAsia="Times New Roman"/>
          <w:b/>
          <w:lang w:val="en-ZA" w:eastAsia="en-GB" w:bidi="yi-Hebr"/>
        </w:rPr>
        <w:t>SAMUEL KHUMALO</w:t>
      </w:r>
      <w:r w:rsidRPr="00705FD1">
        <w:rPr>
          <w:rFonts w:eastAsia="Times New Roman"/>
          <w:b/>
          <w:lang w:val="en-ZA" w:eastAsia="en-GB" w:bidi="yi-Hebr"/>
        </w:rPr>
        <w:tab/>
      </w:r>
      <w:r w:rsidRPr="00705FD1">
        <w:rPr>
          <w:rFonts w:eastAsia="Times New Roman"/>
          <w:b/>
          <w:lang w:val="en-ZA" w:eastAsia="en-GB" w:bidi="yi-Hebr"/>
        </w:rPr>
        <w:tab/>
      </w:r>
      <w:r w:rsidRPr="00705FD1">
        <w:rPr>
          <w:rFonts w:eastAsia="Times New Roman"/>
          <w:b/>
          <w:lang w:val="en-ZA" w:eastAsia="en-GB" w:bidi="yi-Hebr"/>
        </w:rPr>
        <w:tab/>
      </w:r>
      <w:r w:rsidRPr="00705FD1">
        <w:rPr>
          <w:rFonts w:eastAsia="Times New Roman"/>
          <w:b/>
          <w:lang w:val="en-ZA" w:eastAsia="en-GB" w:bidi="yi-Hebr"/>
        </w:rPr>
        <w:tab/>
      </w:r>
      <w:r w:rsidRPr="00705FD1">
        <w:rPr>
          <w:rFonts w:eastAsia="Times New Roman"/>
          <w:b/>
          <w:lang w:val="en-ZA" w:eastAsia="en-GB" w:bidi="yi-Hebr"/>
        </w:rPr>
        <w:tab/>
        <w:t xml:space="preserve">            SIXTH RESPONDENT</w:t>
      </w:r>
    </w:p>
    <w:p w14:paraId="2AA26EAC" w14:textId="77777777" w:rsidR="00E80F90" w:rsidRPr="00705FD1" w:rsidRDefault="00E80F90" w:rsidP="00E80F90">
      <w:pPr>
        <w:pBdr>
          <w:bottom w:val="single" w:sz="12" w:space="1" w:color="auto"/>
        </w:pBdr>
        <w:rPr>
          <w:rFonts w:eastAsia="Times New Roman"/>
          <w:b/>
          <w:lang w:val="en-ZA" w:eastAsia="en-GB" w:bidi="yi-Hebr"/>
        </w:rPr>
      </w:pPr>
      <w:r w:rsidRPr="00705FD1">
        <w:rPr>
          <w:rFonts w:eastAsia="Times New Roman"/>
          <w:b/>
          <w:lang w:val="en-ZA" w:eastAsia="en-GB" w:bidi="yi-Hebr"/>
        </w:rPr>
        <w:t>INGONYAMA TRUST</w:t>
      </w:r>
      <w:r w:rsidRPr="00705FD1">
        <w:rPr>
          <w:rFonts w:eastAsia="Times New Roman"/>
          <w:b/>
          <w:lang w:val="en-ZA" w:eastAsia="en-GB" w:bidi="yi-Hebr"/>
        </w:rPr>
        <w:tab/>
      </w:r>
      <w:r w:rsidRPr="00705FD1">
        <w:rPr>
          <w:rFonts w:eastAsia="Times New Roman"/>
          <w:b/>
          <w:lang w:val="en-ZA" w:eastAsia="en-GB" w:bidi="yi-Hebr"/>
        </w:rPr>
        <w:tab/>
      </w:r>
      <w:r w:rsidRPr="00705FD1">
        <w:rPr>
          <w:rFonts w:eastAsia="Times New Roman"/>
          <w:b/>
          <w:lang w:val="en-ZA" w:eastAsia="en-GB" w:bidi="yi-Hebr"/>
        </w:rPr>
        <w:tab/>
      </w:r>
      <w:r w:rsidRPr="00705FD1">
        <w:rPr>
          <w:rFonts w:eastAsia="Times New Roman"/>
          <w:b/>
          <w:lang w:val="en-ZA" w:eastAsia="en-GB" w:bidi="yi-Hebr"/>
        </w:rPr>
        <w:tab/>
      </w:r>
      <w:r w:rsidRPr="00705FD1">
        <w:rPr>
          <w:rFonts w:eastAsia="Times New Roman"/>
          <w:b/>
          <w:lang w:val="en-ZA" w:eastAsia="en-GB" w:bidi="yi-Hebr"/>
        </w:rPr>
        <w:tab/>
        <w:t xml:space="preserve">      SEVENTH RESPONDENT</w:t>
      </w:r>
    </w:p>
    <w:p w14:paraId="347C913B" w14:textId="77777777" w:rsidR="00E80F90" w:rsidRPr="00705FD1" w:rsidRDefault="00E80F90" w:rsidP="00E80F90">
      <w:pPr>
        <w:pBdr>
          <w:bottom w:val="single" w:sz="12" w:space="1" w:color="auto"/>
        </w:pBdr>
        <w:rPr>
          <w:rFonts w:eastAsia="Times New Roman"/>
          <w:b/>
          <w:bCs/>
          <w:sz w:val="20"/>
          <w:szCs w:val="20"/>
          <w:lang w:val="en-ZA" w:eastAsia="en-GB" w:bidi="yi-Hebr"/>
        </w:rPr>
      </w:pPr>
      <w:r w:rsidRPr="00705FD1">
        <w:rPr>
          <w:rFonts w:eastAsia="Times New Roman"/>
          <w:b/>
          <w:lang w:val="en-ZA" w:eastAsia="en-GB" w:bidi="yi-Hebr"/>
        </w:rPr>
        <w:t>REGISTRA</w:t>
      </w:r>
      <w:r w:rsidR="0088272F" w:rsidRPr="00705FD1">
        <w:rPr>
          <w:rFonts w:eastAsia="Times New Roman"/>
          <w:b/>
          <w:lang w:val="en-ZA" w:eastAsia="en-GB" w:bidi="yi-Hebr"/>
        </w:rPr>
        <w:t>R</w:t>
      </w:r>
      <w:r w:rsidRPr="00705FD1">
        <w:rPr>
          <w:rFonts w:eastAsia="Times New Roman"/>
          <w:b/>
          <w:lang w:val="en-ZA" w:eastAsia="en-GB" w:bidi="yi-Hebr"/>
        </w:rPr>
        <w:t xml:space="preserve"> OF DEEDS, PIETERMARITZBURG</w:t>
      </w:r>
      <w:r w:rsidRPr="00705FD1">
        <w:rPr>
          <w:rFonts w:eastAsia="Times New Roman"/>
          <w:b/>
          <w:lang w:val="en-ZA" w:eastAsia="en-GB" w:bidi="yi-Hebr"/>
        </w:rPr>
        <w:tab/>
        <w:t xml:space="preserve">       EIGHTH RESPONDEDNT</w:t>
      </w:r>
      <w:r w:rsidRPr="00705FD1">
        <w:rPr>
          <w:rFonts w:eastAsia="Times New Roman"/>
          <w:b/>
          <w:sz w:val="20"/>
          <w:szCs w:val="20"/>
          <w:lang w:val="en-ZA" w:eastAsia="en-GB" w:bidi="yi-Hebr"/>
        </w:rPr>
        <w:tab/>
      </w:r>
      <w:r w:rsidRPr="00705FD1">
        <w:rPr>
          <w:rFonts w:eastAsia="Times New Roman"/>
          <w:b/>
          <w:sz w:val="20"/>
          <w:szCs w:val="20"/>
          <w:lang w:val="en-ZA" w:eastAsia="en-GB" w:bidi="yi-Hebr"/>
        </w:rPr>
        <w:tab/>
      </w:r>
    </w:p>
    <w:p w14:paraId="29DC489F" w14:textId="77777777" w:rsidR="001A1817" w:rsidRPr="00705FD1" w:rsidRDefault="001A1817" w:rsidP="001A1817">
      <w:pPr>
        <w:spacing w:line="240" w:lineRule="auto"/>
        <w:rPr>
          <w:rFonts w:eastAsia="Times New Roman"/>
          <w:b/>
          <w:lang w:val="en-ZA" w:eastAsia="en-GB" w:bidi="yi-Hebr"/>
        </w:rPr>
      </w:pPr>
    </w:p>
    <w:p w14:paraId="02DABA7B" w14:textId="77777777" w:rsidR="001A1817" w:rsidRPr="00705FD1" w:rsidRDefault="00D24E3D" w:rsidP="001A1817">
      <w:pPr>
        <w:spacing w:line="240" w:lineRule="auto"/>
        <w:jc w:val="center"/>
        <w:rPr>
          <w:rFonts w:eastAsia="Times New Roman"/>
          <w:b/>
          <w:lang w:val="en-ZA" w:eastAsia="en-GB" w:bidi="yi-Hebr"/>
        </w:rPr>
      </w:pPr>
      <w:r w:rsidRPr="00705FD1">
        <w:rPr>
          <w:rFonts w:eastAsia="Times New Roman"/>
          <w:b/>
          <w:lang w:val="en-ZA" w:eastAsia="en-GB" w:bidi="yi-Hebr"/>
        </w:rPr>
        <w:t>ORDER</w:t>
      </w:r>
    </w:p>
    <w:p w14:paraId="1C30B570" w14:textId="77777777" w:rsidR="001A1817" w:rsidRPr="001A1817" w:rsidRDefault="001A1817" w:rsidP="001A1817">
      <w:pPr>
        <w:pBdr>
          <w:bottom w:val="single" w:sz="12" w:space="1" w:color="auto"/>
        </w:pBdr>
        <w:spacing w:line="240" w:lineRule="auto"/>
        <w:rPr>
          <w:rFonts w:eastAsia="Times New Roman"/>
          <w:bCs/>
          <w:lang w:val="en-ZA" w:eastAsia="en-GB" w:bidi="yi-Hebr"/>
        </w:rPr>
      </w:pPr>
    </w:p>
    <w:p w14:paraId="13AD3860" w14:textId="77777777" w:rsidR="001A1817" w:rsidRPr="001A1817" w:rsidRDefault="001A1817" w:rsidP="001A1817">
      <w:pPr>
        <w:spacing w:line="240" w:lineRule="auto"/>
        <w:rPr>
          <w:rFonts w:eastAsia="Times New Roman"/>
          <w:lang w:val="en-ZA" w:eastAsia="en-GB" w:bidi="yi-Hebr"/>
        </w:rPr>
      </w:pPr>
    </w:p>
    <w:p w14:paraId="77586535" w14:textId="77777777" w:rsidR="00E63FB9" w:rsidRPr="002D5863" w:rsidRDefault="00D24E3D" w:rsidP="00313150">
      <w:pPr>
        <w:tabs>
          <w:tab w:val="left" w:pos="709"/>
        </w:tabs>
        <w:rPr>
          <w:rFonts w:eastAsia="Times New Roman"/>
          <w:b/>
          <w:lang w:val="en-ZA" w:eastAsia="en-GB" w:bidi="yi-Hebr"/>
        </w:rPr>
      </w:pPr>
      <w:r w:rsidRPr="002D5863">
        <w:rPr>
          <w:rFonts w:eastAsia="Times New Roman"/>
          <w:lang w:val="en-ZA" w:eastAsia="en-GB" w:bidi="yi-Hebr"/>
        </w:rPr>
        <w:t>The following order is granted:</w:t>
      </w:r>
    </w:p>
    <w:p w14:paraId="152F9426" w14:textId="77777777" w:rsidR="00476ECF" w:rsidRPr="004C1C2A" w:rsidRDefault="00476ECF" w:rsidP="00476ECF">
      <w:pPr>
        <w:pStyle w:val="ListParagraph"/>
        <w:tabs>
          <w:tab w:val="left" w:pos="709"/>
        </w:tabs>
        <w:ind w:left="0"/>
        <w:rPr>
          <w:b/>
        </w:rPr>
      </w:pPr>
      <w:r>
        <w:t xml:space="preserve">The first respondent is directed to pay the costs of the application, including those costs reserved on 11 October 2023. </w:t>
      </w:r>
    </w:p>
    <w:p w14:paraId="6385F928" w14:textId="7B2143CE" w:rsidR="00D24E3D" w:rsidRDefault="00D24E3D" w:rsidP="00D24E3D">
      <w:pPr>
        <w:pBdr>
          <w:bottom w:val="single" w:sz="12" w:space="1" w:color="auto"/>
        </w:pBdr>
        <w:spacing w:line="240" w:lineRule="auto"/>
        <w:rPr>
          <w:rFonts w:eastAsia="Times New Roman"/>
          <w:b/>
          <w:bCs/>
          <w:lang w:val="en-ZA" w:eastAsia="en-GB" w:bidi="yi-Hebr"/>
        </w:rPr>
      </w:pPr>
    </w:p>
    <w:p w14:paraId="463342B3" w14:textId="77777777" w:rsidR="002B4D87" w:rsidRPr="00705FD1" w:rsidRDefault="002B4D87" w:rsidP="00D24E3D">
      <w:pPr>
        <w:pBdr>
          <w:bottom w:val="single" w:sz="12" w:space="1" w:color="auto"/>
        </w:pBdr>
        <w:spacing w:line="240" w:lineRule="auto"/>
        <w:rPr>
          <w:rFonts w:eastAsia="Times New Roman"/>
          <w:b/>
          <w:bCs/>
          <w:lang w:val="en-ZA" w:eastAsia="en-GB" w:bidi="yi-Hebr"/>
        </w:rPr>
      </w:pPr>
    </w:p>
    <w:p w14:paraId="25B453BE" w14:textId="77777777" w:rsidR="00D24E3D" w:rsidRPr="00705FD1" w:rsidRDefault="00D24E3D" w:rsidP="00D24E3D">
      <w:pPr>
        <w:spacing w:line="240" w:lineRule="auto"/>
        <w:rPr>
          <w:rFonts w:eastAsia="Times New Roman"/>
          <w:b/>
          <w:lang w:val="en-ZA" w:eastAsia="en-GB" w:bidi="yi-Hebr"/>
        </w:rPr>
      </w:pPr>
    </w:p>
    <w:p w14:paraId="11FD5C32" w14:textId="77777777" w:rsidR="00D24E3D" w:rsidRPr="00705FD1" w:rsidRDefault="00D24E3D" w:rsidP="00D24E3D">
      <w:pPr>
        <w:spacing w:line="240" w:lineRule="auto"/>
        <w:jc w:val="center"/>
        <w:rPr>
          <w:rFonts w:eastAsia="Times New Roman"/>
          <w:b/>
          <w:lang w:val="en-ZA" w:eastAsia="en-GB" w:bidi="yi-Hebr"/>
        </w:rPr>
      </w:pPr>
      <w:r w:rsidRPr="00705FD1">
        <w:rPr>
          <w:rFonts w:eastAsia="Times New Roman"/>
          <w:b/>
          <w:lang w:val="en-ZA" w:eastAsia="en-GB" w:bidi="yi-Hebr"/>
        </w:rPr>
        <w:t>JUDGMENT</w:t>
      </w:r>
    </w:p>
    <w:p w14:paraId="3FC6982C" w14:textId="77777777" w:rsidR="00D24E3D" w:rsidRPr="00705FD1" w:rsidRDefault="00D24E3D" w:rsidP="00D24E3D">
      <w:pPr>
        <w:pBdr>
          <w:bottom w:val="single" w:sz="12" w:space="1" w:color="auto"/>
        </w:pBdr>
        <w:spacing w:line="240" w:lineRule="auto"/>
        <w:rPr>
          <w:rFonts w:eastAsia="Times New Roman"/>
          <w:b/>
          <w:bCs/>
          <w:lang w:val="en-ZA" w:eastAsia="en-GB" w:bidi="yi-Hebr"/>
        </w:rPr>
      </w:pPr>
    </w:p>
    <w:p w14:paraId="6A70349E" w14:textId="77777777" w:rsidR="00E63FB9" w:rsidRPr="00705FD1" w:rsidRDefault="00D24E3D" w:rsidP="0008509C">
      <w:pPr>
        <w:tabs>
          <w:tab w:val="left" w:pos="709"/>
        </w:tabs>
        <w:rPr>
          <w:rFonts w:eastAsia="Times New Roman"/>
          <w:b/>
          <w:lang w:val="en-ZA" w:eastAsia="en-GB" w:bidi="yi-Hebr"/>
        </w:rPr>
      </w:pPr>
      <w:r w:rsidRPr="00705FD1">
        <w:rPr>
          <w:rFonts w:eastAsia="Times New Roman"/>
          <w:b/>
          <w:lang w:val="en-ZA" w:eastAsia="en-GB" w:bidi="yi-Hebr"/>
        </w:rPr>
        <w:lastRenderedPageBreak/>
        <w:t>MOSSOP J:</w:t>
      </w:r>
    </w:p>
    <w:p w14:paraId="6D9F9100" w14:textId="77777777" w:rsidR="008E0703" w:rsidRDefault="008E0703" w:rsidP="0008509C">
      <w:pPr>
        <w:tabs>
          <w:tab w:val="left" w:pos="709"/>
        </w:tabs>
        <w:rPr>
          <w:rFonts w:eastAsia="Times New Roman"/>
          <w:b/>
          <w:lang w:val="en-ZA" w:eastAsia="en-GB" w:bidi="yi-Hebr"/>
        </w:rPr>
      </w:pPr>
    </w:p>
    <w:p w14:paraId="1D8A93A7" w14:textId="64805EBA" w:rsidR="00B24FD2" w:rsidRPr="00B24FD2" w:rsidRDefault="00FF36C8" w:rsidP="00FF36C8">
      <w:pPr>
        <w:tabs>
          <w:tab w:val="left" w:pos="709"/>
        </w:tabs>
      </w:pPr>
      <w:r w:rsidRPr="00B24FD2">
        <w:t>[1]</w:t>
      </w:r>
      <w:r w:rsidRPr="00B24FD2">
        <w:tab/>
      </w:r>
      <w:r w:rsidR="00B24FD2" w:rsidRPr="00FF36C8">
        <w:rPr>
          <w:rFonts w:eastAsia="Times New Roman"/>
          <w:lang w:val="en-ZA" w:eastAsia="en-GB" w:bidi="yi-Hebr"/>
        </w:rPr>
        <w:t>This is an ex tempore judgment.</w:t>
      </w:r>
    </w:p>
    <w:p w14:paraId="684F41CF" w14:textId="77777777" w:rsidR="00B24FD2" w:rsidRPr="00B24FD2" w:rsidRDefault="00B24FD2" w:rsidP="00B24FD2">
      <w:pPr>
        <w:pStyle w:val="ListParagraph"/>
        <w:tabs>
          <w:tab w:val="left" w:pos="709"/>
        </w:tabs>
        <w:ind w:left="0"/>
      </w:pPr>
    </w:p>
    <w:p w14:paraId="439CA1BA" w14:textId="59F6617E" w:rsidR="00B64C05" w:rsidRPr="00E24F5D" w:rsidRDefault="00FF36C8" w:rsidP="00FF36C8">
      <w:pPr>
        <w:tabs>
          <w:tab w:val="left" w:pos="709"/>
        </w:tabs>
      </w:pPr>
      <w:r w:rsidRPr="00E24F5D">
        <w:t>[2]</w:t>
      </w:r>
      <w:r w:rsidRPr="00E24F5D">
        <w:tab/>
      </w:r>
      <w:r w:rsidR="00D04D08" w:rsidRPr="00FF36C8">
        <w:rPr>
          <w:rFonts w:eastAsia="Times New Roman"/>
          <w:lang w:val="en-ZA" w:eastAsia="en-GB" w:bidi="yi-Hebr"/>
        </w:rPr>
        <w:t>Samuel Butler, the English novelist, once observed that in law, nothing is certain but the expense.</w:t>
      </w:r>
      <w:r w:rsidR="000D6762" w:rsidRPr="00FF36C8">
        <w:rPr>
          <w:rFonts w:eastAsia="Times New Roman"/>
          <w:lang w:val="en-ZA" w:eastAsia="en-GB" w:bidi="yi-Hebr"/>
        </w:rPr>
        <w:t xml:space="preserve"> </w:t>
      </w:r>
      <w:r w:rsidR="00E61B44" w:rsidRPr="00FF36C8">
        <w:rPr>
          <w:rFonts w:eastAsia="Times New Roman"/>
          <w:lang w:val="en-ZA" w:eastAsia="en-GB" w:bidi="yi-Hebr"/>
        </w:rPr>
        <w:t xml:space="preserve">Those words remain true to this day. </w:t>
      </w:r>
      <w:r w:rsidR="000D6762" w:rsidRPr="00FF36C8">
        <w:rPr>
          <w:rFonts w:eastAsia="Times New Roman"/>
          <w:lang w:val="en-ZA" w:eastAsia="en-GB" w:bidi="yi-Hebr"/>
        </w:rPr>
        <w:t xml:space="preserve">This matter involves </w:t>
      </w:r>
      <w:r w:rsidR="00325BFC" w:rsidRPr="00FF36C8">
        <w:rPr>
          <w:rFonts w:eastAsia="Times New Roman"/>
          <w:lang w:val="en-ZA" w:eastAsia="en-GB" w:bidi="yi-Hebr"/>
        </w:rPr>
        <w:t xml:space="preserve">the expense of litigation, in the form of </w:t>
      </w:r>
      <w:r w:rsidR="00E80F90" w:rsidRPr="00FF36C8">
        <w:rPr>
          <w:rFonts w:eastAsia="Times New Roman"/>
          <w:lang w:val="en-ZA" w:eastAsia="en-GB" w:bidi="yi-Hebr"/>
        </w:rPr>
        <w:t xml:space="preserve">costs. </w:t>
      </w:r>
      <w:r w:rsidR="00F827D0" w:rsidRPr="00FF36C8">
        <w:rPr>
          <w:rFonts w:eastAsia="Times New Roman"/>
          <w:lang w:val="en-ZA" w:eastAsia="en-GB" w:bidi="yi-Hebr"/>
        </w:rPr>
        <w:t xml:space="preserve">The applicant </w:t>
      </w:r>
      <w:r w:rsidR="00E61B44" w:rsidRPr="00FF36C8">
        <w:rPr>
          <w:rFonts w:eastAsia="Times New Roman"/>
          <w:lang w:val="en-ZA" w:eastAsia="en-GB" w:bidi="yi-Hebr"/>
        </w:rPr>
        <w:t>brought an application</w:t>
      </w:r>
      <w:r w:rsidR="000B23C4" w:rsidRPr="00FF36C8">
        <w:rPr>
          <w:rFonts w:eastAsia="Times New Roman"/>
          <w:lang w:val="en-ZA" w:eastAsia="en-GB" w:bidi="yi-Hebr"/>
        </w:rPr>
        <w:t xml:space="preserve"> citing several respondents</w:t>
      </w:r>
      <w:r w:rsidR="00924680" w:rsidRPr="00FF36C8">
        <w:rPr>
          <w:rFonts w:eastAsia="Times New Roman"/>
          <w:lang w:val="en-ZA" w:eastAsia="en-GB" w:bidi="yi-Hebr"/>
        </w:rPr>
        <w:t>.</w:t>
      </w:r>
      <w:r w:rsidR="00E61B44" w:rsidRPr="00FF36C8">
        <w:rPr>
          <w:rFonts w:eastAsia="Times New Roman"/>
          <w:lang w:val="en-ZA" w:eastAsia="en-GB" w:bidi="yi-Hebr"/>
        </w:rPr>
        <w:t xml:space="preserve"> </w:t>
      </w:r>
      <w:r w:rsidR="00924680" w:rsidRPr="00FF36C8">
        <w:rPr>
          <w:rFonts w:eastAsia="Times New Roman"/>
          <w:lang w:val="en-ZA" w:eastAsia="en-GB" w:bidi="yi-Hebr"/>
        </w:rPr>
        <w:t>T</w:t>
      </w:r>
      <w:r w:rsidR="00E61B44" w:rsidRPr="00FF36C8">
        <w:rPr>
          <w:rFonts w:eastAsia="Times New Roman"/>
          <w:lang w:val="en-ZA" w:eastAsia="en-GB" w:bidi="yi-Hebr"/>
        </w:rPr>
        <w:t>he first respondent, against whom the application was principally directed, ultimately concede</w:t>
      </w:r>
      <w:r w:rsidR="000B23C4" w:rsidRPr="00FF36C8">
        <w:rPr>
          <w:rFonts w:eastAsia="Times New Roman"/>
          <w:lang w:val="en-ZA" w:eastAsia="en-GB" w:bidi="yi-Hebr"/>
        </w:rPr>
        <w:t>d</w:t>
      </w:r>
      <w:r w:rsidR="00E61B44" w:rsidRPr="00FF36C8">
        <w:rPr>
          <w:rFonts w:eastAsia="Times New Roman"/>
          <w:lang w:val="en-ZA" w:eastAsia="en-GB" w:bidi="yi-Hebr"/>
        </w:rPr>
        <w:t xml:space="preserve"> the relief claimed by the applicant</w:t>
      </w:r>
      <w:r w:rsidR="000B23C4" w:rsidRPr="00FF36C8">
        <w:rPr>
          <w:rFonts w:eastAsia="Times New Roman"/>
          <w:lang w:val="en-ZA" w:eastAsia="en-GB" w:bidi="yi-Hebr"/>
        </w:rPr>
        <w:t xml:space="preserve"> in an order granted by this court (the consent order)</w:t>
      </w:r>
      <w:r w:rsidR="00E61B44" w:rsidRPr="00FF36C8">
        <w:rPr>
          <w:rFonts w:eastAsia="Times New Roman"/>
          <w:lang w:val="en-ZA" w:eastAsia="en-GB" w:bidi="yi-Hebr"/>
        </w:rPr>
        <w:t xml:space="preserve">. The applicant therefore </w:t>
      </w:r>
      <w:r w:rsidR="000B23C4" w:rsidRPr="00FF36C8">
        <w:rPr>
          <w:rFonts w:eastAsia="Times New Roman"/>
          <w:lang w:val="en-ZA" w:eastAsia="en-GB" w:bidi="yi-Hebr"/>
        </w:rPr>
        <w:t>require</w:t>
      </w:r>
      <w:r w:rsidR="00F827D0" w:rsidRPr="00FF36C8">
        <w:rPr>
          <w:rFonts w:eastAsia="Times New Roman"/>
          <w:lang w:val="en-ZA" w:eastAsia="en-GB" w:bidi="yi-Hebr"/>
        </w:rPr>
        <w:t xml:space="preserve">s the first respondent to pay the costs of </w:t>
      </w:r>
      <w:r w:rsidR="00B64C05" w:rsidRPr="00FF36C8">
        <w:rPr>
          <w:rFonts w:eastAsia="Times New Roman"/>
          <w:lang w:val="en-ZA" w:eastAsia="en-GB" w:bidi="yi-Hebr"/>
        </w:rPr>
        <w:t>its</w:t>
      </w:r>
      <w:r w:rsidR="00F827D0" w:rsidRPr="00FF36C8">
        <w:rPr>
          <w:rFonts w:eastAsia="Times New Roman"/>
          <w:lang w:val="en-ZA" w:eastAsia="en-GB" w:bidi="yi-Hebr"/>
        </w:rPr>
        <w:t xml:space="preserve"> application. The first respondent resists such an order being granted</w:t>
      </w:r>
      <w:r w:rsidR="0088272F" w:rsidRPr="00FF36C8">
        <w:rPr>
          <w:rFonts w:eastAsia="Times New Roman"/>
          <w:lang w:val="en-ZA" w:eastAsia="en-GB" w:bidi="yi-Hebr"/>
        </w:rPr>
        <w:t xml:space="preserve"> and suggests that the fourth respondent and two other individuals not yet joined to this application be ordered to pay the costs</w:t>
      </w:r>
      <w:r w:rsidR="00F827D0" w:rsidRPr="00FF36C8">
        <w:rPr>
          <w:rFonts w:eastAsia="Times New Roman"/>
          <w:lang w:val="en-ZA" w:eastAsia="en-GB" w:bidi="yi-Hebr"/>
        </w:rPr>
        <w:t xml:space="preserve">. </w:t>
      </w:r>
    </w:p>
    <w:p w14:paraId="6AF53C40" w14:textId="77777777" w:rsidR="00E24F5D" w:rsidRDefault="00E24F5D" w:rsidP="00E24F5D">
      <w:pPr>
        <w:pStyle w:val="ListParagraph"/>
      </w:pPr>
    </w:p>
    <w:p w14:paraId="5D1561BA" w14:textId="17F19446" w:rsidR="00E24F5D" w:rsidRPr="00FF36C8" w:rsidRDefault="00FF36C8" w:rsidP="00FF36C8">
      <w:pPr>
        <w:tabs>
          <w:tab w:val="left" w:pos="709"/>
        </w:tabs>
        <w:rPr>
          <w:b/>
        </w:rPr>
      </w:pPr>
      <w:r w:rsidRPr="00E24F5D">
        <w:t>[3]</w:t>
      </w:r>
      <w:r w:rsidRPr="00E24F5D">
        <w:tab/>
      </w:r>
      <w:r w:rsidR="00E24F5D" w:rsidRPr="00E24F5D">
        <w:t xml:space="preserve">Before dealing with the merits of the application, </w:t>
      </w:r>
      <w:r w:rsidR="00E24F5D">
        <w:t xml:space="preserve">I must deal with </w:t>
      </w:r>
      <w:r w:rsidR="000A35C1">
        <w:t>the</w:t>
      </w:r>
      <w:r w:rsidR="00E24F5D">
        <w:t xml:space="preserve"> application brought by the first respondent to join </w:t>
      </w:r>
      <w:r w:rsidR="000A35C1">
        <w:t xml:space="preserve">the </w:t>
      </w:r>
      <w:r w:rsidR="00E24F5D">
        <w:t>two further parties</w:t>
      </w:r>
      <w:r w:rsidR="000A35C1">
        <w:t xml:space="preserve"> referred to above</w:t>
      </w:r>
      <w:r w:rsidR="00E24F5D">
        <w:t xml:space="preserve"> to the matter. That application was refused by me. I indicated that the reasons would follow and these are the reasons. The only purpose behind the joinder was an attempt by the first respondent to obtain an order that they and the fourth respondent pay the applicant’s costs. The applicant opposed the joinder, for it holds the first respondent liable for those costs</w:t>
      </w:r>
      <w:r w:rsidR="005A0360">
        <w:t>, not the parties whose joinder was sought</w:t>
      </w:r>
      <w:r w:rsidR="00E24F5D">
        <w:t>. The parties sought to be joined had no direct and substantial interest in the application nor was there any counter</w:t>
      </w:r>
      <w:r w:rsidR="004757D6" w:rsidRPr="00705FD1">
        <w:t>-</w:t>
      </w:r>
      <w:r w:rsidR="00E24F5D">
        <w:t xml:space="preserve">application brought by the first respondent alleging that they were </w:t>
      </w:r>
      <w:r w:rsidR="00A533DB">
        <w:t xml:space="preserve">to be </w:t>
      </w:r>
      <w:r w:rsidR="00E24F5D">
        <w:t>responsible for the costs.</w:t>
      </w:r>
      <w:r w:rsidR="00A533DB">
        <w:t xml:space="preserve"> I accordingly refused the application.</w:t>
      </w:r>
      <w:r w:rsidR="00E24F5D">
        <w:t xml:space="preserve"> </w:t>
      </w:r>
    </w:p>
    <w:p w14:paraId="18530DCA" w14:textId="77777777" w:rsidR="00B64C05" w:rsidRPr="00B64C05" w:rsidRDefault="00B64C05" w:rsidP="00B64C05">
      <w:pPr>
        <w:pStyle w:val="ListParagraph"/>
        <w:tabs>
          <w:tab w:val="left" w:pos="709"/>
        </w:tabs>
        <w:ind w:left="0"/>
      </w:pPr>
    </w:p>
    <w:p w14:paraId="4544C377" w14:textId="61825004" w:rsidR="005830CE" w:rsidRPr="00F827D0" w:rsidRDefault="00FF36C8" w:rsidP="00FF36C8">
      <w:pPr>
        <w:tabs>
          <w:tab w:val="left" w:pos="709"/>
        </w:tabs>
      </w:pPr>
      <w:r w:rsidRPr="00F827D0">
        <w:t>[4]</w:t>
      </w:r>
      <w:r w:rsidRPr="00F827D0">
        <w:tab/>
      </w:r>
      <w:r w:rsidR="00F827D0" w:rsidRPr="00FF36C8">
        <w:rPr>
          <w:rFonts w:eastAsia="Times New Roman"/>
          <w:lang w:val="en-ZA" w:eastAsia="en-GB" w:bidi="yi-Hebr"/>
        </w:rPr>
        <w:t xml:space="preserve">On 11 October 2023, Sipunzi AJ granted </w:t>
      </w:r>
      <w:r w:rsidR="000B23C4" w:rsidRPr="00FF36C8">
        <w:rPr>
          <w:rFonts w:eastAsia="Times New Roman"/>
          <w:lang w:val="en-ZA" w:eastAsia="en-GB" w:bidi="yi-Hebr"/>
        </w:rPr>
        <w:t>the</w:t>
      </w:r>
      <w:r w:rsidR="00F827D0" w:rsidRPr="00FF36C8">
        <w:rPr>
          <w:rFonts w:eastAsia="Times New Roman"/>
          <w:lang w:val="en-ZA" w:eastAsia="en-GB" w:bidi="yi-Hebr"/>
        </w:rPr>
        <w:t xml:space="preserve"> consent order. </w:t>
      </w:r>
      <w:r w:rsidR="00E657E8" w:rsidRPr="00FF36C8">
        <w:rPr>
          <w:rFonts w:eastAsia="Times New Roman"/>
          <w:lang w:val="en-ZA" w:eastAsia="en-GB" w:bidi="yi-Hebr"/>
        </w:rPr>
        <w:t xml:space="preserve">The notice of motion has eight sub-paragraphs. </w:t>
      </w:r>
      <w:r w:rsidR="0088272F" w:rsidRPr="00FF36C8">
        <w:rPr>
          <w:rFonts w:eastAsia="Times New Roman"/>
          <w:lang w:val="en-ZA" w:eastAsia="en-GB" w:bidi="yi-Hebr"/>
        </w:rPr>
        <w:t>Th</w:t>
      </w:r>
      <w:r w:rsidR="00A3225E" w:rsidRPr="00FF36C8">
        <w:rPr>
          <w:rFonts w:eastAsia="Times New Roman"/>
          <w:lang w:val="en-ZA" w:eastAsia="en-GB" w:bidi="yi-Hebr"/>
        </w:rPr>
        <w:t>e first seven sub-paragraphs of the consent order are identical</w:t>
      </w:r>
      <w:r w:rsidR="00A3225E">
        <w:rPr>
          <w:rStyle w:val="FootnoteReference"/>
          <w:rFonts w:eastAsia="Times New Roman"/>
          <w:lang w:val="en-ZA" w:eastAsia="en-GB" w:bidi="yi-Hebr"/>
        </w:rPr>
        <w:footnoteReference w:id="1"/>
      </w:r>
      <w:r w:rsidR="00A3225E" w:rsidRPr="00FF36C8">
        <w:rPr>
          <w:rFonts w:eastAsia="Times New Roman"/>
          <w:lang w:val="en-ZA" w:eastAsia="en-GB" w:bidi="yi-Hebr"/>
        </w:rPr>
        <w:t xml:space="preserve"> to the first seven sub-paragraphs of the order contained in the notice of motion.</w:t>
      </w:r>
      <w:r w:rsidR="00A3225E">
        <w:rPr>
          <w:rStyle w:val="FootnoteReference"/>
          <w:rFonts w:eastAsia="Times New Roman"/>
          <w:lang w:val="en-ZA" w:eastAsia="en-GB" w:bidi="yi-Hebr"/>
        </w:rPr>
        <w:footnoteReference w:id="2"/>
      </w:r>
      <w:r w:rsidR="00A3225E" w:rsidRPr="00FF36C8">
        <w:rPr>
          <w:rFonts w:eastAsia="Times New Roman"/>
          <w:lang w:val="en-ZA" w:eastAsia="en-GB" w:bidi="yi-Hebr"/>
        </w:rPr>
        <w:t xml:space="preserve"> </w:t>
      </w:r>
      <w:r w:rsidR="00E657E8" w:rsidRPr="00FF36C8">
        <w:rPr>
          <w:rFonts w:eastAsia="Times New Roman"/>
          <w:lang w:val="en-ZA" w:eastAsia="en-GB" w:bidi="yi-Hebr"/>
        </w:rPr>
        <w:t>Sub-paragraph 1.8 of the notice of motion is different to the</w:t>
      </w:r>
      <w:r w:rsidR="004757D6" w:rsidRPr="00FF36C8">
        <w:rPr>
          <w:rFonts w:eastAsia="Times New Roman"/>
          <w:lang w:val="en-ZA" w:eastAsia="en-GB" w:bidi="yi-Hebr"/>
        </w:rPr>
        <w:t xml:space="preserve"> one</w:t>
      </w:r>
      <w:r w:rsidR="00E657E8" w:rsidRPr="00FF36C8">
        <w:rPr>
          <w:rFonts w:eastAsia="Times New Roman"/>
          <w:lang w:val="en-ZA" w:eastAsia="en-GB" w:bidi="yi-Hebr"/>
        </w:rPr>
        <w:t xml:space="preserve"> contained in the consent order. </w:t>
      </w:r>
      <w:r w:rsidR="00A3225E" w:rsidRPr="00FF36C8">
        <w:rPr>
          <w:rFonts w:eastAsia="Times New Roman"/>
          <w:lang w:val="en-ZA" w:eastAsia="en-GB" w:bidi="yi-Hebr"/>
        </w:rPr>
        <w:t>The consent order reads as follows:</w:t>
      </w:r>
    </w:p>
    <w:p w14:paraId="7A0B9833" w14:textId="77777777" w:rsidR="00953753" w:rsidRDefault="00F827D0" w:rsidP="00F827D0">
      <w:pPr>
        <w:pStyle w:val="ListParagraph"/>
        <w:tabs>
          <w:tab w:val="left" w:pos="709"/>
        </w:tabs>
        <w:ind w:left="0"/>
        <w:rPr>
          <w:rFonts w:eastAsia="Times New Roman"/>
          <w:b/>
          <w:sz w:val="22"/>
          <w:szCs w:val="22"/>
          <w:lang w:val="en-ZA" w:eastAsia="en-GB" w:bidi="yi-Hebr"/>
        </w:rPr>
      </w:pPr>
      <w:r w:rsidRPr="00F827D0">
        <w:rPr>
          <w:rFonts w:eastAsia="Times New Roman"/>
          <w:sz w:val="22"/>
          <w:szCs w:val="22"/>
          <w:lang w:val="en-ZA" w:eastAsia="en-GB" w:bidi="yi-Hebr"/>
        </w:rPr>
        <w:lastRenderedPageBreak/>
        <w:t>‘1.</w:t>
      </w:r>
      <w:r w:rsidR="00B24FD2">
        <w:rPr>
          <w:rFonts w:eastAsia="Times New Roman"/>
          <w:sz w:val="22"/>
          <w:szCs w:val="22"/>
          <w:lang w:val="en-ZA" w:eastAsia="en-GB" w:bidi="yi-Hebr"/>
        </w:rPr>
        <w:t>1</w:t>
      </w:r>
      <w:r w:rsidR="00B24FD2">
        <w:rPr>
          <w:rFonts w:eastAsia="Times New Roman"/>
          <w:sz w:val="22"/>
          <w:szCs w:val="22"/>
          <w:lang w:val="en-ZA" w:eastAsia="en-GB" w:bidi="yi-Hebr"/>
        </w:rPr>
        <w:tab/>
        <w:t xml:space="preserve">The first respondent is </w:t>
      </w:r>
      <w:r w:rsidR="00953753">
        <w:rPr>
          <w:rFonts w:eastAsia="Times New Roman"/>
          <w:sz w:val="22"/>
          <w:szCs w:val="22"/>
          <w:lang w:val="en-ZA" w:eastAsia="en-GB" w:bidi="yi-Hebr"/>
        </w:rPr>
        <w:t>interdicted and restrained from selling, alienating, transferring ownership, or any part of ownership, of Portion 4 of Erf 1295 Umlazi V, Registration Division FT, Province of KwaZulu-Natal in extent 5,114 square meters (“Portion 4”).</w:t>
      </w:r>
    </w:p>
    <w:p w14:paraId="29DAD2EA" w14:textId="77777777" w:rsidR="00953753" w:rsidRDefault="00953753" w:rsidP="00F827D0">
      <w:pPr>
        <w:pStyle w:val="ListParagraph"/>
        <w:tabs>
          <w:tab w:val="left" w:pos="709"/>
        </w:tabs>
        <w:ind w:left="0"/>
        <w:rPr>
          <w:rFonts w:eastAsia="Times New Roman"/>
          <w:b/>
          <w:sz w:val="22"/>
          <w:szCs w:val="22"/>
          <w:lang w:val="en-ZA" w:eastAsia="en-GB" w:bidi="yi-Hebr"/>
        </w:rPr>
      </w:pPr>
      <w:r>
        <w:rPr>
          <w:rFonts w:eastAsia="Times New Roman"/>
          <w:sz w:val="22"/>
          <w:szCs w:val="22"/>
          <w:lang w:val="en-ZA" w:eastAsia="en-GB" w:bidi="yi-Hebr"/>
        </w:rPr>
        <w:t xml:space="preserve">1.2 </w:t>
      </w:r>
      <w:r>
        <w:rPr>
          <w:rFonts w:eastAsia="Times New Roman"/>
          <w:sz w:val="22"/>
          <w:szCs w:val="22"/>
          <w:lang w:val="en-ZA" w:eastAsia="en-GB" w:bidi="yi-Hebr"/>
        </w:rPr>
        <w:tab/>
        <w:t>The eighth respondent is ordered to endorse its records in accordance with the order in subparagraph 1.1 above.</w:t>
      </w:r>
    </w:p>
    <w:p w14:paraId="4ADA348C" w14:textId="77777777" w:rsidR="00953753" w:rsidRDefault="00953753" w:rsidP="00F827D0">
      <w:pPr>
        <w:pStyle w:val="ListParagraph"/>
        <w:tabs>
          <w:tab w:val="left" w:pos="709"/>
        </w:tabs>
        <w:ind w:left="0"/>
        <w:rPr>
          <w:rFonts w:eastAsia="Times New Roman"/>
          <w:b/>
          <w:sz w:val="22"/>
          <w:szCs w:val="22"/>
          <w:lang w:val="en-ZA" w:eastAsia="en-GB" w:bidi="yi-Hebr"/>
        </w:rPr>
      </w:pPr>
      <w:r>
        <w:rPr>
          <w:rFonts w:eastAsia="Times New Roman"/>
          <w:sz w:val="22"/>
          <w:szCs w:val="22"/>
          <w:lang w:val="en-ZA" w:eastAsia="en-GB" w:bidi="yi-Hebr"/>
        </w:rPr>
        <w:t xml:space="preserve">1.3 </w:t>
      </w:r>
      <w:r>
        <w:rPr>
          <w:rFonts w:eastAsia="Times New Roman"/>
          <w:sz w:val="22"/>
          <w:szCs w:val="22"/>
          <w:lang w:val="en-ZA" w:eastAsia="en-GB" w:bidi="yi-Hebr"/>
        </w:rPr>
        <w:tab/>
        <w:t xml:space="preserve">It is declared that the purported agreement of sale between the applicant and the </w:t>
      </w:r>
      <w:r w:rsidR="00F92C84">
        <w:rPr>
          <w:rFonts w:eastAsia="Times New Roman"/>
          <w:sz w:val="22"/>
          <w:szCs w:val="22"/>
          <w:lang w:val="en-ZA" w:eastAsia="en-GB" w:bidi="yi-Hebr"/>
        </w:rPr>
        <w:t xml:space="preserve">first </w:t>
      </w:r>
      <w:r>
        <w:rPr>
          <w:rFonts w:eastAsia="Times New Roman"/>
          <w:sz w:val="22"/>
          <w:szCs w:val="22"/>
          <w:lang w:val="en-ZA" w:eastAsia="en-GB" w:bidi="yi-Hebr"/>
        </w:rPr>
        <w:t>respondent which is an</w:t>
      </w:r>
      <w:r w:rsidR="00F92C84">
        <w:rPr>
          <w:rFonts w:eastAsia="Times New Roman"/>
          <w:sz w:val="22"/>
          <w:szCs w:val="22"/>
          <w:lang w:val="en-ZA" w:eastAsia="en-GB" w:bidi="yi-Hebr"/>
        </w:rPr>
        <w:t xml:space="preserve">nexure “J” </w:t>
      </w:r>
      <w:r>
        <w:rPr>
          <w:rFonts w:eastAsia="Times New Roman"/>
          <w:sz w:val="22"/>
          <w:szCs w:val="22"/>
          <w:lang w:val="en-ZA" w:eastAsia="en-GB" w:bidi="yi-Hebr"/>
        </w:rPr>
        <w:t>to the founding affidavit is of no force or effect.</w:t>
      </w:r>
    </w:p>
    <w:p w14:paraId="301EBB06" w14:textId="77777777" w:rsidR="00953753" w:rsidRDefault="00953753" w:rsidP="00F827D0">
      <w:pPr>
        <w:pStyle w:val="ListParagraph"/>
        <w:tabs>
          <w:tab w:val="left" w:pos="709"/>
        </w:tabs>
        <w:ind w:left="0"/>
        <w:rPr>
          <w:rFonts w:eastAsia="Times New Roman"/>
          <w:b/>
          <w:sz w:val="22"/>
          <w:szCs w:val="22"/>
          <w:lang w:val="en-ZA" w:eastAsia="en-GB" w:bidi="yi-Hebr"/>
        </w:rPr>
      </w:pPr>
      <w:r>
        <w:rPr>
          <w:rFonts w:eastAsia="Times New Roman"/>
          <w:sz w:val="22"/>
          <w:szCs w:val="22"/>
          <w:lang w:val="en-ZA" w:eastAsia="en-GB" w:bidi="yi-Hebr"/>
        </w:rPr>
        <w:t>1.4</w:t>
      </w:r>
      <w:r w:rsidR="00F92C84">
        <w:rPr>
          <w:rFonts w:eastAsia="Times New Roman"/>
          <w:sz w:val="22"/>
          <w:szCs w:val="22"/>
          <w:lang w:val="en-ZA" w:eastAsia="en-GB" w:bidi="yi-Hebr"/>
        </w:rPr>
        <w:t xml:space="preserve"> </w:t>
      </w:r>
      <w:r w:rsidR="00F92C84">
        <w:rPr>
          <w:rFonts w:eastAsia="Times New Roman"/>
          <w:sz w:val="22"/>
          <w:szCs w:val="22"/>
          <w:lang w:val="en-ZA" w:eastAsia="en-GB" w:bidi="yi-Hebr"/>
        </w:rPr>
        <w:tab/>
        <w:t>T</w:t>
      </w:r>
      <w:r>
        <w:rPr>
          <w:rFonts w:eastAsia="Times New Roman"/>
          <w:sz w:val="22"/>
          <w:szCs w:val="22"/>
          <w:lang w:val="en-ZA" w:eastAsia="en-GB" w:bidi="yi-Hebr"/>
        </w:rPr>
        <w:t>he transfer of</w:t>
      </w:r>
      <w:r w:rsidR="00F92C84">
        <w:rPr>
          <w:rFonts w:eastAsia="Times New Roman"/>
          <w:sz w:val="22"/>
          <w:szCs w:val="22"/>
          <w:lang w:val="en-ZA" w:eastAsia="en-GB" w:bidi="yi-Hebr"/>
        </w:rPr>
        <w:t xml:space="preserve"> Portion 4</w:t>
      </w:r>
      <w:r>
        <w:rPr>
          <w:rFonts w:eastAsia="Times New Roman"/>
          <w:sz w:val="22"/>
          <w:szCs w:val="22"/>
          <w:lang w:val="en-ZA" w:eastAsia="en-GB" w:bidi="yi-Hebr"/>
        </w:rPr>
        <w:t xml:space="preserve"> from the applicant to the </w:t>
      </w:r>
      <w:r w:rsidR="00F92C84">
        <w:rPr>
          <w:rFonts w:eastAsia="Times New Roman"/>
          <w:sz w:val="22"/>
          <w:szCs w:val="22"/>
          <w:lang w:val="en-ZA" w:eastAsia="en-GB" w:bidi="yi-Hebr"/>
        </w:rPr>
        <w:t>first</w:t>
      </w:r>
      <w:r>
        <w:rPr>
          <w:rFonts w:eastAsia="Times New Roman"/>
          <w:sz w:val="22"/>
          <w:szCs w:val="22"/>
          <w:lang w:val="en-ZA" w:eastAsia="en-GB" w:bidi="yi-Hebr"/>
        </w:rPr>
        <w:t xml:space="preserve"> respondent, under deed of transfer T17/17293 is declared to be of no force and effect and is set aside.</w:t>
      </w:r>
    </w:p>
    <w:p w14:paraId="25F998B1" w14:textId="77777777" w:rsidR="00953753" w:rsidRDefault="00953753" w:rsidP="00F827D0">
      <w:pPr>
        <w:pStyle w:val="ListParagraph"/>
        <w:tabs>
          <w:tab w:val="left" w:pos="709"/>
        </w:tabs>
        <w:ind w:left="0"/>
        <w:rPr>
          <w:rFonts w:eastAsia="Times New Roman"/>
          <w:b/>
          <w:sz w:val="22"/>
          <w:szCs w:val="22"/>
          <w:lang w:val="en-ZA" w:eastAsia="en-GB" w:bidi="yi-Hebr"/>
        </w:rPr>
      </w:pPr>
      <w:r>
        <w:rPr>
          <w:rFonts w:eastAsia="Times New Roman"/>
          <w:sz w:val="22"/>
          <w:szCs w:val="22"/>
          <w:lang w:val="en-ZA" w:eastAsia="en-GB" w:bidi="yi-Hebr"/>
        </w:rPr>
        <w:t>1.5</w:t>
      </w:r>
      <w:r w:rsidR="00F92C84">
        <w:rPr>
          <w:rFonts w:eastAsia="Times New Roman"/>
          <w:sz w:val="22"/>
          <w:szCs w:val="22"/>
          <w:lang w:val="en-ZA" w:eastAsia="en-GB" w:bidi="yi-Hebr"/>
        </w:rPr>
        <w:t xml:space="preserve"> </w:t>
      </w:r>
      <w:r w:rsidR="00F92C84">
        <w:rPr>
          <w:rFonts w:eastAsia="Times New Roman"/>
          <w:sz w:val="22"/>
          <w:szCs w:val="22"/>
          <w:lang w:val="en-ZA" w:eastAsia="en-GB" w:bidi="yi-Hebr"/>
        </w:rPr>
        <w:tab/>
        <w:t>I</w:t>
      </w:r>
      <w:r>
        <w:rPr>
          <w:rFonts w:eastAsia="Times New Roman"/>
          <w:sz w:val="22"/>
          <w:szCs w:val="22"/>
          <w:lang w:val="en-ZA" w:eastAsia="en-GB" w:bidi="yi-Hebr"/>
        </w:rPr>
        <w:t xml:space="preserve">t is declared that the applicant is the true and lawful owner of </w:t>
      </w:r>
      <w:r w:rsidR="00F92C84">
        <w:rPr>
          <w:rFonts w:eastAsia="Times New Roman"/>
          <w:sz w:val="22"/>
          <w:szCs w:val="22"/>
          <w:lang w:val="en-ZA" w:eastAsia="en-GB" w:bidi="yi-Hebr"/>
        </w:rPr>
        <w:t>Portion 4</w:t>
      </w:r>
      <w:r>
        <w:rPr>
          <w:rFonts w:eastAsia="Times New Roman"/>
          <w:sz w:val="22"/>
          <w:szCs w:val="22"/>
          <w:lang w:val="en-ZA" w:eastAsia="en-GB" w:bidi="yi-Hebr"/>
        </w:rPr>
        <w:t>.</w:t>
      </w:r>
    </w:p>
    <w:p w14:paraId="73638B06" w14:textId="77777777" w:rsidR="00953753" w:rsidRDefault="00953753" w:rsidP="00F827D0">
      <w:pPr>
        <w:pStyle w:val="ListParagraph"/>
        <w:tabs>
          <w:tab w:val="left" w:pos="709"/>
        </w:tabs>
        <w:ind w:left="0"/>
        <w:rPr>
          <w:rFonts w:eastAsia="Times New Roman"/>
          <w:b/>
          <w:sz w:val="22"/>
          <w:szCs w:val="22"/>
          <w:lang w:val="en-ZA" w:eastAsia="en-GB" w:bidi="yi-Hebr"/>
        </w:rPr>
      </w:pPr>
      <w:r>
        <w:rPr>
          <w:rFonts w:eastAsia="Times New Roman"/>
          <w:sz w:val="22"/>
          <w:szCs w:val="22"/>
          <w:lang w:val="en-ZA" w:eastAsia="en-GB" w:bidi="yi-Hebr"/>
        </w:rPr>
        <w:t>1.6</w:t>
      </w:r>
      <w:r w:rsidR="00F92C84">
        <w:rPr>
          <w:rFonts w:eastAsia="Times New Roman"/>
          <w:sz w:val="22"/>
          <w:szCs w:val="22"/>
          <w:lang w:val="en-ZA" w:eastAsia="en-GB" w:bidi="yi-Hebr"/>
        </w:rPr>
        <w:t xml:space="preserve"> </w:t>
      </w:r>
      <w:r w:rsidR="00F92C84">
        <w:rPr>
          <w:rFonts w:eastAsia="Times New Roman"/>
          <w:sz w:val="22"/>
          <w:szCs w:val="22"/>
          <w:lang w:val="en-ZA" w:eastAsia="en-GB" w:bidi="yi-Hebr"/>
        </w:rPr>
        <w:tab/>
        <w:t>T</w:t>
      </w:r>
      <w:r>
        <w:rPr>
          <w:rFonts w:eastAsia="Times New Roman"/>
          <w:sz w:val="22"/>
          <w:szCs w:val="22"/>
          <w:lang w:val="en-ZA" w:eastAsia="en-GB" w:bidi="yi-Hebr"/>
        </w:rPr>
        <w:t>he</w:t>
      </w:r>
      <w:r w:rsidR="00F92C84">
        <w:rPr>
          <w:rFonts w:eastAsia="Times New Roman"/>
          <w:sz w:val="22"/>
          <w:szCs w:val="22"/>
          <w:lang w:val="en-ZA" w:eastAsia="en-GB" w:bidi="yi-Hebr"/>
        </w:rPr>
        <w:t xml:space="preserve"> eighth</w:t>
      </w:r>
      <w:r>
        <w:rPr>
          <w:rFonts w:eastAsia="Times New Roman"/>
          <w:sz w:val="22"/>
          <w:szCs w:val="22"/>
          <w:lang w:val="en-ZA" w:eastAsia="en-GB" w:bidi="yi-Hebr"/>
        </w:rPr>
        <w:t xml:space="preserve"> respondent is ordered to take all necessary steps to give effect to the above orders, including, but not limited to, transfer of the property to the applicant in</w:t>
      </w:r>
      <w:r w:rsidR="00F92C84">
        <w:rPr>
          <w:rFonts w:eastAsia="Times New Roman"/>
          <w:sz w:val="22"/>
          <w:szCs w:val="22"/>
          <w:lang w:val="en-ZA" w:eastAsia="en-GB" w:bidi="yi-Hebr"/>
        </w:rPr>
        <w:t xml:space="preserve"> terms of section 3</w:t>
      </w:r>
      <w:r>
        <w:rPr>
          <w:rFonts w:eastAsia="Times New Roman"/>
          <w:sz w:val="22"/>
          <w:szCs w:val="22"/>
          <w:lang w:val="en-ZA" w:eastAsia="en-GB" w:bidi="yi-Hebr"/>
        </w:rPr>
        <w:t>3</w:t>
      </w:r>
      <w:r w:rsidR="00F92C84">
        <w:rPr>
          <w:rFonts w:eastAsia="Times New Roman"/>
          <w:sz w:val="22"/>
          <w:szCs w:val="22"/>
          <w:lang w:val="en-ZA" w:eastAsia="en-GB" w:bidi="yi-Hebr"/>
        </w:rPr>
        <w:t xml:space="preserve"> of the Deeds Registries A</w:t>
      </w:r>
      <w:r>
        <w:rPr>
          <w:rFonts w:eastAsia="Times New Roman"/>
          <w:sz w:val="22"/>
          <w:szCs w:val="22"/>
          <w:lang w:val="en-ZA" w:eastAsia="en-GB" w:bidi="yi-Hebr"/>
        </w:rPr>
        <w:t>ct or any other provision it may deem necessary.</w:t>
      </w:r>
    </w:p>
    <w:p w14:paraId="4CD96562" w14:textId="77777777" w:rsidR="00953753" w:rsidRDefault="00953753" w:rsidP="00F827D0">
      <w:pPr>
        <w:pStyle w:val="ListParagraph"/>
        <w:tabs>
          <w:tab w:val="left" w:pos="709"/>
        </w:tabs>
        <w:ind w:left="0"/>
        <w:rPr>
          <w:rFonts w:eastAsia="Times New Roman"/>
          <w:b/>
          <w:sz w:val="22"/>
          <w:szCs w:val="22"/>
          <w:lang w:val="en-ZA" w:eastAsia="en-GB" w:bidi="yi-Hebr"/>
        </w:rPr>
      </w:pPr>
      <w:r>
        <w:rPr>
          <w:rFonts w:eastAsia="Times New Roman"/>
          <w:sz w:val="22"/>
          <w:szCs w:val="22"/>
          <w:lang w:val="en-ZA" w:eastAsia="en-GB" w:bidi="yi-Hebr"/>
        </w:rPr>
        <w:t>1.7</w:t>
      </w:r>
      <w:r w:rsidR="00F92C84">
        <w:rPr>
          <w:rFonts w:eastAsia="Times New Roman"/>
          <w:sz w:val="22"/>
          <w:szCs w:val="22"/>
          <w:lang w:val="en-ZA" w:eastAsia="en-GB" w:bidi="yi-Hebr"/>
        </w:rPr>
        <w:t xml:space="preserve"> </w:t>
      </w:r>
      <w:r w:rsidR="00F92C84">
        <w:rPr>
          <w:rFonts w:eastAsia="Times New Roman"/>
          <w:sz w:val="22"/>
          <w:szCs w:val="22"/>
          <w:lang w:val="en-ZA" w:eastAsia="en-GB" w:bidi="yi-Hebr"/>
        </w:rPr>
        <w:tab/>
        <w:t>S</w:t>
      </w:r>
      <w:r>
        <w:rPr>
          <w:rFonts w:eastAsia="Times New Roman"/>
          <w:sz w:val="22"/>
          <w:szCs w:val="22"/>
          <w:lang w:val="en-ZA" w:eastAsia="en-GB" w:bidi="yi-Hebr"/>
        </w:rPr>
        <w:t>hould it be necessary for any directors or representatives of the</w:t>
      </w:r>
      <w:r w:rsidR="00F92C84">
        <w:rPr>
          <w:rFonts w:eastAsia="Times New Roman"/>
          <w:sz w:val="22"/>
          <w:szCs w:val="22"/>
          <w:lang w:val="en-ZA" w:eastAsia="en-GB" w:bidi="yi-Hebr"/>
        </w:rPr>
        <w:t xml:space="preserve"> first</w:t>
      </w:r>
      <w:r>
        <w:rPr>
          <w:rFonts w:eastAsia="Times New Roman"/>
          <w:sz w:val="22"/>
          <w:szCs w:val="22"/>
          <w:lang w:val="en-ZA" w:eastAsia="en-GB" w:bidi="yi-Hebr"/>
        </w:rPr>
        <w:t xml:space="preserve"> respondent to sign documentation to give effect to paragraph 1.6 then it is declared that they are required to do so within 7 calendar days of provision to them of such documents,</w:t>
      </w:r>
      <w:r w:rsidR="00F92C84">
        <w:rPr>
          <w:rFonts w:eastAsia="Times New Roman"/>
          <w:sz w:val="22"/>
          <w:szCs w:val="22"/>
          <w:lang w:val="en-ZA" w:eastAsia="en-GB" w:bidi="yi-Hebr"/>
        </w:rPr>
        <w:t xml:space="preserve"> failing which the S</w:t>
      </w:r>
      <w:r>
        <w:rPr>
          <w:rFonts w:eastAsia="Times New Roman"/>
          <w:sz w:val="22"/>
          <w:szCs w:val="22"/>
          <w:lang w:val="en-ZA" w:eastAsia="en-GB" w:bidi="yi-Hebr"/>
        </w:rPr>
        <w:t xml:space="preserve">heriff of this court or his deputy is authorized and directed to sign such documents in the place and stead of any such director or representative of the </w:t>
      </w:r>
      <w:r w:rsidR="00F92C84">
        <w:rPr>
          <w:rFonts w:eastAsia="Times New Roman"/>
          <w:sz w:val="22"/>
          <w:szCs w:val="22"/>
          <w:lang w:val="en-ZA" w:eastAsia="en-GB" w:bidi="yi-Hebr"/>
        </w:rPr>
        <w:t>first</w:t>
      </w:r>
      <w:r>
        <w:rPr>
          <w:rFonts w:eastAsia="Times New Roman"/>
          <w:sz w:val="22"/>
          <w:szCs w:val="22"/>
          <w:lang w:val="en-ZA" w:eastAsia="en-GB" w:bidi="yi-Hebr"/>
        </w:rPr>
        <w:t xml:space="preserve"> respondent.</w:t>
      </w:r>
    </w:p>
    <w:p w14:paraId="4B133259" w14:textId="22B1E467" w:rsidR="00953753" w:rsidRDefault="00953753" w:rsidP="00F827D0">
      <w:pPr>
        <w:pStyle w:val="ListParagraph"/>
        <w:tabs>
          <w:tab w:val="left" w:pos="709"/>
        </w:tabs>
        <w:ind w:left="0"/>
        <w:rPr>
          <w:rFonts w:eastAsia="Times New Roman"/>
          <w:b/>
          <w:sz w:val="22"/>
          <w:szCs w:val="22"/>
          <w:lang w:val="en-ZA" w:eastAsia="en-GB" w:bidi="yi-Hebr"/>
        </w:rPr>
      </w:pPr>
      <w:r>
        <w:rPr>
          <w:rFonts w:eastAsia="Times New Roman"/>
          <w:sz w:val="22"/>
          <w:szCs w:val="22"/>
          <w:lang w:val="en-ZA" w:eastAsia="en-GB" w:bidi="yi-Hebr"/>
        </w:rPr>
        <w:t>1.8</w:t>
      </w:r>
      <w:r w:rsidR="00F92C84">
        <w:rPr>
          <w:rFonts w:eastAsia="Times New Roman"/>
          <w:sz w:val="22"/>
          <w:szCs w:val="22"/>
          <w:lang w:val="en-ZA" w:eastAsia="en-GB" w:bidi="yi-Hebr"/>
        </w:rPr>
        <w:t xml:space="preserve"> </w:t>
      </w:r>
      <w:r w:rsidR="00F92C84">
        <w:rPr>
          <w:rFonts w:eastAsia="Times New Roman"/>
          <w:sz w:val="22"/>
          <w:szCs w:val="22"/>
          <w:lang w:val="en-ZA" w:eastAsia="en-GB" w:bidi="yi-Hebr"/>
        </w:rPr>
        <w:tab/>
        <w:t>T</w:t>
      </w:r>
      <w:r>
        <w:rPr>
          <w:rFonts w:eastAsia="Times New Roman"/>
          <w:sz w:val="22"/>
          <w:szCs w:val="22"/>
          <w:lang w:val="en-ZA" w:eastAsia="en-GB" w:bidi="yi-Hebr"/>
        </w:rPr>
        <w:t xml:space="preserve">he applicant is granted leave to correct the citation or the name of the </w:t>
      </w:r>
      <w:r w:rsidR="00F92C84">
        <w:rPr>
          <w:rFonts w:eastAsia="Times New Roman"/>
          <w:sz w:val="22"/>
          <w:szCs w:val="22"/>
          <w:lang w:val="en-ZA" w:eastAsia="en-GB" w:bidi="yi-Hebr"/>
        </w:rPr>
        <w:t>first</w:t>
      </w:r>
      <w:r>
        <w:rPr>
          <w:rFonts w:eastAsia="Times New Roman"/>
          <w:sz w:val="22"/>
          <w:szCs w:val="22"/>
          <w:lang w:val="en-ZA" w:eastAsia="en-GB" w:bidi="yi-Hebr"/>
        </w:rPr>
        <w:t xml:space="preserve"> respondent wherever it appears in the application papers</w:t>
      </w:r>
      <w:r w:rsidR="00F92C84">
        <w:rPr>
          <w:rFonts w:eastAsia="Times New Roman"/>
          <w:sz w:val="22"/>
          <w:szCs w:val="22"/>
          <w:lang w:val="en-ZA" w:eastAsia="en-GB" w:bidi="yi-Hebr"/>
        </w:rPr>
        <w:t xml:space="preserve"> as the Close </w:t>
      </w:r>
      <w:r w:rsidR="00705FD1" w:rsidRPr="00705FD1">
        <w:rPr>
          <w:rFonts w:eastAsia="Times New Roman"/>
          <w:sz w:val="22"/>
          <w:szCs w:val="22"/>
          <w:lang w:val="en-ZA" w:eastAsia="en-GB" w:bidi="yi-Hebr"/>
        </w:rPr>
        <w:t>Corporation</w:t>
      </w:r>
      <w:r w:rsidRPr="00705FD1">
        <w:rPr>
          <w:rFonts w:eastAsia="Times New Roman"/>
          <w:sz w:val="22"/>
          <w:szCs w:val="22"/>
          <w:lang w:val="en-ZA" w:eastAsia="en-GB" w:bidi="yi-Hebr"/>
        </w:rPr>
        <w:t>.</w:t>
      </w:r>
    </w:p>
    <w:p w14:paraId="3A7F60B1" w14:textId="77777777" w:rsidR="00F827D0" w:rsidRPr="00F827D0" w:rsidRDefault="00B24FD2" w:rsidP="00F827D0">
      <w:pPr>
        <w:pStyle w:val="ListParagraph"/>
        <w:tabs>
          <w:tab w:val="left" w:pos="709"/>
        </w:tabs>
        <w:ind w:left="0"/>
        <w:rPr>
          <w:rFonts w:eastAsia="Times New Roman"/>
          <w:b/>
          <w:sz w:val="22"/>
          <w:szCs w:val="22"/>
          <w:lang w:val="en-ZA" w:eastAsia="en-GB" w:bidi="yi-Hebr"/>
        </w:rPr>
      </w:pPr>
      <w:r>
        <w:rPr>
          <w:rFonts w:eastAsia="Times New Roman"/>
          <w:sz w:val="22"/>
          <w:szCs w:val="22"/>
          <w:lang w:val="en-ZA" w:eastAsia="en-GB" w:bidi="yi-Hebr"/>
        </w:rPr>
        <w:t>1.</w:t>
      </w:r>
      <w:r w:rsidR="00F827D0" w:rsidRPr="00F827D0">
        <w:rPr>
          <w:rFonts w:eastAsia="Times New Roman"/>
          <w:sz w:val="22"/>
          <w:szCs w:val="22"/>
          <w:lang w:val="en-ZA" w:eastAsia="en-GB" w:bidi="yi-Hebr"/>
        </w:rPr>
        <w:t>9</w:t>
      </w:r>
      <w:r w:rsidR="00F827D0" w:rsidRPr="00F827D0">
        <w:rPr>
          <w:rFonts w:eastAsia="Times New Roman"/>
          <w:sz w:val="22"/>
          <w:szCs w:val="22"/>
          <w:lang w:val="en-ZA" w:eastAsia="en-GB" w:bidi="yi-Hebr"/>
        </w:rPr>
        <w:tab/>
        <w:t>The matter is adjourned to 20 February 2024 for arguments on the issue of costs.</w:t>
      </w:r>
    </w:p>
    <w:p w14:paraId="43AD3068" w14:textId="77777777" w:rsidR="00F827D0" w:rsidRPr="00F827D0" w:rsidRDefault="00F827D0" w:rsidP="00F827D0">
      <w:pPr>
        <w:pStyle w:val="ListParagraph"/>
        <w:tabs>
          <w:tab w:val="left" w:pos="709"/>
        </w:tabs>
        <w:ind w:left="0"/>
        <w:rPr>
          <w:rFonts w:eastAsia="Times New Roman"/>
          <w:b/>
          <w:sz w:val="22"/>
          <w:szCs w:val="22"/>
          <w:lang w:val="en-ZA" w:eastAsia="en-GB" w:bidi="yi-Hebr"/>
        </w:rPr>
      </w:pPr>
      <w:r w:rsidRPr="00F827D0">
        <w:rPr>
          <w:rFonts w:eastAsia="Times New Roman"/>
          <w:sz w:val="22"/>
          <w:szCs w:val="22"/>
          <w:lang w:val="en-ZA" w:eastAsia="en-GB" w:bidi="yi-Hebr"/>
        </w:rPr>
        <w:t>1.10</w:t>
      </w:r>
      <w:r w:rsidRPr="00F827D0">
        <w:rPr>
          <w:rFonts w:eastAsia="Times New Roman"/>
          <w:sz w:val="22"/>
          <w:szCs w:val="22"/>
          <w:lang w:val="en-ZA" w:eastAsia="en-GB" w:bidi="yi-Hebr"/>
        </w:rPr>
        <w:tab/>
        <w:t>Today’s costs are reserved for arguments on 20 February 2024.’</w:t>
      </w:r>
    </w:p>
    <w:p w14:paraId="6626D1E8" w14:textId="77777777" w:rsidR="00F827D0" w:rsidRPr="00F827D0" w:rsidRDefault="00F827D0" w:rsidP="00F827D0">
      <w:pPr>
        <w:pStyle w:val="ListParagraph"/>
        <w:tabs>
          <w:tab w:val="left" w:pos="709"/>
        </w:tabs>
        <w:ind w:left="0"/>
        <w:rPr>
          <w:sz w:val="22"/>
          <w:szCs w:val="22"/>
        </w:rPr>
      </w:pPr>
    </w:p>
    <w:p w14:paraId="7A4FA019" w14:textId="53823A44" w:rsidR="00B24FD2" w:rsidRPr="00FF36C8" w:rsidRDefault="00FF36C8" w:rsidP="00FF36C8">
      <w:pPr>
        <w:tabs>
          <w:tab w:val="left" w:pos="709"/>
        </w:tabs>
        <w:rPr>
          <w:b/>
        </w:rPr>
      </w:pPr>
      <w:r>
        <w:t>[5]</w:t>
      </w:r>
      <w:r>
        <w:tab/>
      </w:r>
      <w:r w:rsidR="0088272F">
        <w:t>By virtue of the fact that the first respondent consented to the order sought by the applicant, none of the facts</w:t>
      </w:r>
      <w:r w:rsidR="00B24FD2">
        <w:t xml:space="preserve"> alleged by the applicant </w:t>
      </w:r>
      <w:r w:rsidR="0088272F">
        <w:t>are in dispute</w:t>
      </w:r>
      <w:r w:rsidR="004C1C2A">
        <w:t xml:space="preserve"> and they are mentioned </w:t>
      </w:r>
      <w:r w:rsidR="000D6762">
        <w:t xml:space="preserve">hereafter </w:t>
      </w:r>
      <w:r w:rsidR="004C1C2A">
        <w:t xml:space="preserve">only to the extent that they </w:t>
      </w:r>
      <w:r w:rsidR="00F92C84">
        <w:t xml:space="preserve">may </w:t>
      </w:r>
      <w:r w:rsidR="004C1C2A">
        <w:t>have a bearing on the issue of costs</w:t>
      </w:r>
      <w:r w:rsidR="0088272F">
        <w:t xml:space="preserve">. </w:t>
      </w:r>
    </w:p>
    <w:p w14:paraId="5BBDD1B9" w14:textId="77777777" w:rsidR="00B24FD2" w:rsidRDefault="00B24FD2" w:rsidP="00B24FD2">
      <w:pPr>
        <w:pStyle w:val="ListParagraph"/>
        <w:tabs>
          <w:tab w:val="left" w:pos="709"/>
        </w:tabs>
        <w:ind w:left="0"/>
        <w:rPr>
          <w:b/>
        </w:rPr>
      </w:pPr>
    </w:p>
    <w:p w14:paraId="1C237CC0" w14:textId="426D26E2" w:rsidR="00F92C84" w:rsidRPr="00FF36C8" w:rsidRDefault="00FF36C8" w:rsidP="00FF36C8">
      <w:pPr>
        <w:tabs>
          <w:tab w:val="left" w:pos="709"/>
        </w:tabs>
        <w:rPr>
          <w:b/>
        </w:rPr>
      </w:pPr>
      <w:r>
        <w:t>[6]</w:t>
      </w:r>
      <w:r>
        <w:tab/>
      </w:r>
      <w:r w:rsidR="00B24FD2" w:rsidRPr="00B64C05">
        <w:t>Briefly stated, the facts of the matter revolve around a fraud being perpetrated on the applicant.</w:t>
      </w:r>
      <w:r w:rsidR="00B24FD2">
        <w:t xml:space="preserve"> </w:t>
      </w:r>
      <w:r w:rsidR="0005341F">
        <w:t xml:space="preserve">The fraud related to the sale of </w:t>
      </w:r>
      <w:r w:rsidR="00B24FD2">
        <w:t>the</w:t>
      </w:r>
      <w:r w:rsidR="0005341F">
        <w:t xml:space="preserve"> immovable property </w:t>
      </w:r>
      <w:r w:rsidR="00F92C84">
        <w:t>describ</w:t>
      </w:r>
      <w:r w:rsidR="00B24FD2">
        <w:t xml:space="preserve">ed in </w:t>
      </w:r>
      <w:r w:rsidR="00A3225E">
        <w:t xml:space="preserve">sub-paragraph 1.1 of </w:t>
      </w:r>
      <w:r w:rsidR="00B24FD2">
        <w:t xml:space="preserve">the </w:t>
      </w:r>
      <w:r w:rsidR="00F92C84">
        <w:t xml:space="preserve">consent </w:t>
      </w:r>
      <w:r w:rsidR="00B24FD2">
        <w:t>order</w:t>
      </w:r>
      <w:r w:rsidR="00F92C84">
        <w:t>. In th</w:t>
      </w:r>
      <w:r w:rsidR="00A3225E">
        <w:t>at paragraph</w:t>
      </w:r>
      <w:r w:rsidR="00F92C84">
        <w:t>, the immovable property is referred to as ‘Portion 4’</w:t>
      </w:r>
      <w:r w:rsidR="00C3328A">
        <w:t>, and</w:t>
      </w:r>
      <w:r w:rsidR="00F92C84">
        <w:t xml:space="preserve"> </w:t>
      </w:r>
      <w:r w:rsidR="00952C2E">
        <w:t>so</w:t>
      </w:r>
      <w:r w:rsidR="00F92C84">
        <w:t xml:space="preserve"> to avoid confusion</w:t>
      </w:r>
      <w:r w:rsidR="004757D6" w:rsidRPr="00705FD1">
        <w:t>,</w:t>
      </w:r>
      <w:r w:rsidR="00F92C84" w:rsidRPr="00705FD1">
        <w:t xml:space="preserve"> </w:t>
      </w:r>
      <w:r w:rsidR="00F92C84">
        <w:t xml:space="preserve">I shall also refer to it by that name. </w:t>
      </w:r>
    </w:p>
    <w:p w14:paraId="1875A3B9" w14:textId="77777777" w:rsidR="00F92C84" w:rsidRDefault="00F92C84" w:rsidP="00F92C84">
      <w:pPr>
        <w:pStyle w:val="ListParagraph"/>
        <w:tabs>
          <w:tab w:val="left" w:pos="709"/>
        </w:tabs>
        <w:ind w:left="0"/>
        <w:rPr>
          <w:b/>
        </w:rPr>
      </w:pPr>
    </w:p>
    <w:p w14:paraId="7416BF1B" w14:textId="3756EC35" w:rsidR="00857B31" w:rsidRPr="00FF36C8" w:rsidRDefault="00FF36C8" w:rsidP="00FF36C8">
      <w:pPr>
        <w:tabs>
          <w:tab w:val="left" w:pos="709"/>
        </w:tabs>
        <w:rPr>
          <w:b/>
        </w:rPr>
      </w:pPr>
      <w:r w:rsidRPr="00857B31">
        <w:t>[7]</w:t>
      </w:r>
      <w:r w:rsidRPr="00857B31">
        <w:tab/>
      </w:r>
      <w:r w:rsidR="00F92C84">
        <w:t>Portion 4</w:t>
      </w:r>
      <w:r w:rsidR="00BB0E08" w:rsidRPr="004C1C2A">
        <w:t xml:space="preserve"> </w:t>
      </w:r>
      <w:r w:rsidR="00F0147A" w:rsidRPr="004C1C2A">
        <w:t xml:space="preserve">initially </w:t>
      </w:r>
      <w:r w:rsidR="00BB0E08" w:rsidRPr="004C1C2A">
        <w:t>vested in</w:t>
      </w:r>
      <w:r w:rsidR="00F0147A" w:rsidRPr="004C1C2A">
        <w:t xml:space="preserve"> the seventh respondent</w:t>
      </w:r>
      <w:r w:rsidR="00952C2E">
        <w:t>, the Ingonyama Trust,</w:t>
      </w:r>
      <w:r w:rsidR="00F0147A" w:rsidRPr="004C1C2A">
        <w:t xml:space="preserve"> and then was erroneously transferred to the applicant, who was then required to </w:t>
      </w:r>
      <w:r w:rsidR="004C1C2A" w:rsidRPr="004C1C2A">
        <w:t>re</w:t>
      </w:r>
      <w:r w:rsidR="00F0147A" w:rsidRPr="004C1C2A">
        <w:t>tr</w:t>
      </w:r>
      <w:r w:rsidR="00BB0E08" w:rsidRPr="004C1C2A">
        <w:t xml:space="preserve">ansfer </w:t>
      </w:r>
      <w:r w:rsidR="00BB0E08" w:rsidRPr="004C1C2A">
        <w:lastRenderedPageBreak/>
        <w:t>it</w:t>
      </w:r>
      <w:r w:rsidR="00F0147A" w:rsidRPr="004C1C2A">
        <w:t xml:space="preserve"> to </w:t>
      </w:r>
      <w:r w:rsidR="004C1C2A" w:rsidRPr="004C1C2A">
        <w:t xml:space="preserve">the </w:t>
      </w:r>
      <w:r w:rsidR="004757D6" w:rsidRPr="00705FD1">
        <w:t>State</w:t>
      </w:r>
      <w:r w:rsidR="004C1C2A" w:rsidRPr="00705FD1">
        <w:t>,</w:t>
      </w:r>
      <w:r w:rsidR="004C1C2A" w:rsidRPr="004C1C2A">
        <w:t xml:space="preserve"> </w:t>
      </w:r>
      <w:r w:rsidR="00952C2E">
        <w:t>its</w:t>
      </w:r>
      <w:r w:rsidR="004C1C2A" w:rsidRPr="004C1C2A">
        <w:t xml:space="preserve"> true owner</w:t>
      </w:r>
      <w:r w:rsidR="00F0147A" w:rsidRPr="004C1C2A">
        <w:t xml:space="preserve">. </w:t>
      </w:r>
      <w:r w:rsidR="00BB0E08" w:rsidRPr="004C1C2A">
        <w:t xml:space="preserve"> </w:t>
      </w:r>
      <w:r w:rsidR="00B24FD2">
        <w:t xml:space="preserve">In the grand tradition of the bureaucracy in this country, all of this happened at a snail’s pace and covered a span of several years. </w:t>
      </w:r>
      <w:r w:rsidR="00E61B44">
        <w:t xml:space="preserve">This </w:t>
      </w:r>
      <w:r w:rsidR="00857B31">
        <w:t xml:space="preserve">sad reality </w:t>
      </w:r>
      <w:r w:rsidR="00E61B44">
        <w:t xml:space="preserve">is hardly surprising, for as the Supreme Court of Appeal </w:t>
      </w:r>
      <w:r w:rsidR="00857B31">
        <w:t>not</w:t>
      </w:r>
      <w:r w:rsidR="00E61B44">
        <w:t xml:space="preserve">ed in </w:t>
      </w:r>
      <w:r w:rsidR="00E61B44" w:rsidRPr="00FF36C8">
        <w:rPr>
          <w:i/>
          <w:iCs/>
        </w:rPr>
        <w:t>Minister of International Relations and Co-operation and others v Simeka Group (Pty) Ltd and others</w:t>
      </w:r>
      <w:r w:rsidR="00857B31" w:rsidRPr="00FF36C8">
        <w:rPr>
          <w:iCs/>
        </w:rPr>
        <w:t>:</w:t>
      </w:r>
      <w:r w:rsidR="00E61B44" w:rsidRPr="00857B31">
        <w:rPr>
          <w:rStyle w:val="FootnoteReference"/>
          <w:iCs/>
        </w:rPr>
        <w:footnoteReference w:id="3"/>
      </w:r>
      <w:r w:rsidR="00E61B44" w:rsidRPr="00FF36C8">
        <w:rPr>
          <w:i/>
          <w:iCs/>
        </w:rPr>
        <w:t xml:space="preserve"> </w:t>
      </w:r>
    </w:p>
    <w:p w14:paraId="27AE52EA" w14:textId="1FB86ECA" w:rsidR="00857B31" w:rsidRDefault="00857B31" w:rsidP="00857B31">
      <w:pPr>
        <w:rPr>
          <w:b/>
          <w:color w:val="242121"/>
          <w:sz w:val="22"/>
          <w:szCs w:val="22"/>
          <w:shd w:val="clear" w:color="auto" w:fill="FFFFFF"/>
        </w:rPr>
      </w:pPr>
      <w:r w:rsidRPr="00857B31">
        <w:rPr>
          <w:sz w:val="22"/>
          <w:szCs w:val="22"/>
        </w:rPr>
        <w:t>‘</w:t>
      </w:r>
      <w:r w:rsidR="00952C2E">
        <w:rPr>
          <w:sz w:val="22"/>
          <w:szCs w:val="22"/>
        </w:rPr>
        <w:t xml:space="preserve">… </w:t>
      </w:r>
      <w:r w:rsidRPr="00857B31">
        <w:rPr>
          <w:color w:val="242121"/>
          <w:sz w:val="22"/>
          <w:szCs w:val="22"/>
          <w:shd w:val="clear" w:color="auto" w:fill="FFFFFF"/>
        </w:rPr>
        <w:t>sight should nevertheless not be lost of the fact that the bureaucratic machinery is notorious for moving slowly even though the exigencies of a particular case might require that matters be dealt with expeditiously. However, it must be emphasised that recognising this reality in no way seeks to excuse laxity. It is more to say that, notwithstanding the constitutional dictates of a responsive and accountable public administration, the reality is that public administration in our country has over time been allowed to slide to a quagmire of inefficiency.</w:t>
      </w:r>
      <w:r>
        <w:rPr>
          <w:color w:val="242121"/>
          <w:sz w:val="22"/>
          <w:szCs w:val="22"/>
          <w:shd w:val="clear" w:color="auto" w:fill="FFFFFF"/>
        </w:rPr>
        <w:t>’</w:t>
      </w:r>
    </w:p>
    <w:p w14:paraId="65AFA842" w14:textId="77777777" w:rsidR="00857B31" w:rsidRPr="00857B31" w:rsidRDefault="00857B31" w:rsidP="00857B31">
      <w:pPr>
        <w:rPr>
          <w:b/>
          <w:sz w:val="22"/>
          <w:szCs w:val="22"/>
        </w:rPr>
      </w:pPr>
    </w:p>
    <w:p w14:paraId="1ED6D03C" w14:textId="3D49F132" w:rsidR="00F0147A" w:rsidRPr="00FF36C8" w:rsidRDefault="00FF36C8" w:rsidP="00FF36C8">
      <w:pPr>
        <w:tabs>
          <w:tab w:val="left" w:pos="709"/>
        </w:tabs>
        <w:rPr>
          <w:b/>
        </w:rPr>
      </w:pPr>
      <w:r>
        <w:t>[8]</w:t>
      </w:r>
      <w:r>
        <w:tab/>
      </w:r>
      <w:r w:rsidR="00F0147A" w:rsidRPr="00857B31">
        <w:t>The</w:t>
      </w:r>
      <w:r w:rsidR="00F0147A" w:rsidRPr="004C1C2A">
        <w:t xml:space="preserve"> applicant’s council</w:t>
      </w:r>
      <w:r w:rsidR="00B24FD2">
        <w:t>, however,</w:t>
      </w:r>
      <w:r w:rsidR="00F0147A" w:rsidRPr="004C1C2A">
        <w:t xml:space="preserve"> </w:t>
      </w:r>
      <w:r w:rsidR="004C1C2A" w:rsidRPr="004C1C2A">
        <w:t xml:space="preserve">acknowledged </w:t>
      </w:r>
      <w:r w:rsidR="00B24FD2">
        <w:t xml:space="preserve">that </w:t>
      </w:r>
      <w:r w:rsidR="00F92C84">
        <w:t>Portion 4</w:t>
      </w:r>
      <w:r w:rsidR="00B24FD2">
        <w:t xml:space="preserve"> must be retransferred</w:t>
      </w:r>
      <w:r w:rsidR="004C1C2A" w:rsidRPr="004C1C2A">
        <w:t xml:space="preserve"> and </w:t>
      </w:r>
      <w:r w:rsidR="00857B31">
        <w:t xml:space="preserve">ultimately </w:t>
      </w:r>
      <w:r w:rsidR="00F0147A" w:rsidRPr="004C1C2A">
        <w:t>passed the necessary resolution</w:t>
      </w:r>
      <w:r w:rsidR="004C1C2A" w:rsidRPr="004C1C2A">
        <w:t xml:space="preserve"> to permit </w:t>
      </w:r>
      <w:r w:rsidR="00857B31">
        <w:t>its</w:t>
      </w:r>
      <w:r w:rsidR="004C1C2A" w:rsidRPr="004C1C2A">
        <w:t xml:space="preserve"> retransfer to occur</w:t>
      </w:r>
      <w:r w:rsidR="00F0147A" w:rsidRPr="004C1C2A">
        <w:t xml:space="preserve">. It was then ascertained that </w:t>
      </w:r>
      <w:r w:rsidR="00F92C84">
        <w:t>Portion 4</w:t>
      </w:r>
      <w:r w:rsidR="00F0147A" w:rsidRPr="004C1C2A">
        <w:t xml:space="preserve"> was </w:t>
      </w:r>
      <w:r w:rsidR="00857B31">
        <w:t xml:space="preserve">not registered in the applicant’s name, but was </w:t>
      </w:r>
      <w:r w:rsidR="00F0147A" w:rsidRPr="004C1C2A">
        <w:t xml:space="preserve">registered in the name of the first respondent. </w:t>
      </w:r>
    </w:p>
    <w:p w14:paraId="31FF429F" w14:textId="77777777" w:rsidR="004C1C2A" w:rsidRPr="004C1C2A" w:rsidRDefault="004C1C2A" w:rsidP="004C1C2A">
      <w:pPr>
        <w:pStyle w:val="ListParagraph"/>
        <w:tabs>
          <w:tab w:val="left" w:pos="709"/>
        </w:tabs>
        <w:ind w:left="0"/>
        <w:rPr>
          <w:b/>
        </w:rPr>
      </w:pPr>
    </w:p>
    <w:p w14:paraId="28ABA9C7" w14:textId="77ECA410" w:rsidR="00E04628" w:rsidRPr="00FF36C8" w:rsidRDefault="00FF36C8" w:rsidP="00FF36C8">
      <w:pPr>
        <w:tabs>
          <w:tab w:val="left" w:pos="709"/>
        </w:tabs>
        <w:rPr>
          <w:b/>
        </w:rPr>
      </w:pPr>
      <w:r>
        <w:t>[9]</w:t>
      </w:r>
      <w:r>
        <w:tab/>
      </w:r>
      <w:r w:rsidR="00952C2E">
        <w:t xml:space="preserve">This apparently happened because </w:t>
      </w:r>
      <w:r w:rsidR="004C1C2A">
        <w:t>the</w:t>
      </w:r>
      <w:r w:rsidR="00F0147A" w:rsidRPr="004C1C2A">
        <w:t xml:space="preserve"> sixth respondent had </w:t>
      </w:r>
      <w:r w:rsidR="00952C2E">
        <w:t xml:space="preserve">allegedly </w:t>
      </w:r>
      <w:r w:rsidR="00F0147A" w:rsidRPr="004C1C2A">
        <w:t xml:space="preserve">claimed to be the owner of </w:t>
      </w:r>
      <w:r w:rsidR="00805A4D">
        <w:t>Portion 4</w:t>
      </w:r>
      <w:r w:rsidR="00F0147A" w:rsidRPr="004C1C2A">
        <w:t xml:space="preserve"> and had concluded a written sale agreement with the first respondent on 28 September 2016 (the first sale agreement). In the first sale agreement, it was recorded that </w:t>
      </w:r>
      <w:r w:rsidR="00805A4D">
        <w:t>Portion 4</w:t>
      </w:r>
      <w:r w:rsidR="00F0147A" w:rsidRPr="004C1C2A">
        <w:t xml:space="preserve"> had been</w:t>
      </w:r>
      <w:r w:rsidR="00E04628">
        <w:t xml:space="preserve"> sold by the sixth respondent to t</w:t>
      </w:r>
      <w:r w:rsidR="00F0147A" w:rsidRPr="004C1C2A">
        <w:t>he first respondent for</w:t>
      </w:r>
      <w:r w:rsidR="00857B31">
        <w:t xml:space="preserve"> the amount of</w:t>
      </w:r>
      <w:r w:rsidR="00F0147A" w:rsidRPr="004C1C2A">
        <w:t xml:space="preserve"> R800 000. On the same day that the first respondent concluded the first sale agreement, it </w:t>
      </w:r>
      <w:r w:rsidR="00E04628">
        <w:t>appears to have also</w:t>
      </w:r>
      <w:r w:rsidR="004C1C2A">
        <w:t xml:space="preserve"> </w:t>
      </w:r>
      <w:r w:rsidR="00F0147A" w:rsidRPr="004C1C2A">
        <w:t xml:space="preserve">concluded another sale agreement (the second sale agreement). </w:t>
      </w:r>
    </w:p>
    <w:p w14:paraId="5C9CECDE" w14:textId="77777777" w:rsidR="00E04628" w:rsidRPr="00E04628" w:rsidRDefault="00E04628" w:rsidP="00E04628">
      <w:pPr>
        <w:pStyle w:val="ListParagraph"/>
        <w:rPr>
          <w:b/>
        </w:rPr>
      </w:pPr>
    </w:p>
    <w:p w14:paraId="0B37D59F" w14:textId="4A6CBB98" w:rsidR="00857B31" w:rsidRPr="00FF36C8" w:rsidRDefault="00FF36C8" w:rsidP="00FF36C8">
      <w:pPr>
        <w:tabs>
          <w:tab w:val="left" w:pos="709"/>
        </w:tabs>
        <w:rPr>
          <w:b/>
        </w:rPr>
      </w:pPr>
      <w:r>
        <w:t>[10]</w:t>
      </w:r>
      <w:r>
        <w:tab/>
      </w:r>
      <w:r w:rsidR="004C1C2A">
        <w:t xml:space="preserve">In the second sale agreement, the seller was </w:t>
      </w:r>
      <w:r w:rsidR="00E04628">
        <w:t xml:space="preserve">no longer the sixth respondent but was </w:t>
      </w:r>
      <w:r w:rsidR="004C1C2A">
        <w:t>the applicant</w:t>
      </w:r>
      <w:r w:rsidR="00857B31">
        <w:t xml:space="preserve">. The purchaser </w:t>
      </w:r>
      <w:r w:rsidR="000D6762">
        <w:t>remained</w:t>
      </w:r>
      <w:r w:rsidR="004C1C2A">
        <w:t xml:space="preserve"> the first respondent. The second sale agreement </w:t>
      </w:r>
      <w:r w:rsidR="000D6762">
        <w:t xml:space="preserve">also </w:t>
      </w:r>
      <w:r w:rsidR="004C1C2A">
        <w:t xml:space="preserve">dealt with the sale of </w:t>
      </w:r>
      <w:r w:rsidR="00805A4D">
        <w:t>Portion 4</w:t>
      </w:r>
      <w:r w:rsidR="004C1C2A">
        <w:t>.</w:t>
      </w:r>
      <w:r w:rsidR="00F0147A" w:rsidRPr="004C1C2A">
        <w:t xml:space="preserve"> It recorded that the applicant sold </w:t>
      </w:r>
      <w:r w:rsidR="00805A4D">
        <w:t>Portion 4</w:t>
      </w:r>
      <w:r w:rsidR="00F0147A" w:rsidRPr="004C1C2A">
        <w:t xml:space="preserve"> to the first respondent for R800 000</w:t>
      </w:r>
      <w:r w:rsidR="00803C1D" w:rsidRPr="004C1C2A">
        <w:t xml:space="preserve">. The second sale </w:t>
      </w:r>
      <w:r w:rsidR="004C1C2A" w:rsidRPr="004C1C2A">
        <w:t>agreement was purportedly signed by an official of the applicant</w:t>
      </w:r>
      <w:r w:rsidR="00A93247">
        <w:t>,</w:t>
      </w:r>
      <w:r w:rsidR="004C1C2A" w:rsidRPr="004C1C2A">
        <w:t xml:space="preserve"> identified as </w:t>
      </w:r>
      <w:r w:rsidR="00E04628">
        <w:t xml:space="preserve">being a </w:t>
      </w:r>
      <w:r w:rsidR="004C1C2A" w:rsidRPr="004C1C2A">
        <w:t xml:space="preserve">Mr Keith Matthias (Mr Matthias). </w:t>
      </w:r>
    </w:p>
    <w:p w14:paraId="780AE77C" w14:textId="77777777" w:rsidR="00857B31" w:rsidRPr="00857B31" w:rsidRDefault="00857B31" w:rsidP="00857B31">
      <w:pPr>
        <w:pStyle w:val="ListParagraph"/>
        <w:rPr>
          <w:b/>
        </w:rPr>
      </w:pPr>
    </w:p>
    <w:p w14:paraId="555F7F20" w14:textId="247B7229" w:rsidR="00952C2E" w:rsidRPr="00FF36C8" w:rsidRDefault="00FF36C8" w:rsidP="00FF36C8">
      <w:pPr>
        <w:tabs>
          <w:tab w:val="left" w:pos="709"/>
        </w:tabs>
        <w:rPr>
          <w:b/>
        </w:rPr>
      </w:pPr>
      <w:r>
        <w:lastRenderedPageBreak/>
        <w:t>[11]</w:t>
      </w:r>
      <w:r>
        <w:tab/>
      </w:r>
      <w:r w:rsidR="004C1C2A" w:rsidRPr="004C1C2A">
        <w:t>Mr Matthias</w:t>
      </w:r>
      <w:r w:rsidR="00857B31">
        <w:t>, however,</w:t>
      </w:r>
      <w:r w:rsidR="004C1C2A" w:rsidRPr="004C1C2A">
        <w:t xml:space="preserve"> flatly denied signing the second sale agreement.</w:t>
      </w:r>
      <w:r w:rsidR="004C1C2A">
        <w:t xml:space="preserve"> Various other documents were prepared to permit transfer to occur</w:t>
      </w:r>
      <w:r w:rsidR="00E04628">
        <w:t xml:space="preserve"> </w:t>
      </w:r>
      <w:r w:rsidR="00952C2E">
        <w:t xml:space="preserve">from the applicant </w:t>
      </w:r>
      <w:r w:rsidR="00857B31">
        <w:t xml:space="preserve">to the first respondent </w:t>
      </w:r>
      <w:r w:rsidR="00E04628">
        <w:t xml:space="preserve">pursuant to the </w:t>
      </w:r>
      <w:r w:rsidR="00857B31">
        <w:t>terms</w:t>
      </w:r>
      <w:r w:rsidR="00E04628">
        <w:t xml:space="preserve"> of the second sale agreement</w:t>
      </w:r>
      <w:r w:rsidR="004C1C2A">
        <w:t>: a power of attorney</w:t>
      </w:r>
      <w:r w:rsidR="000D6762">
        <w:t xml:space="preserve">, </w:t>
      </w:r>
      <w:r w:rsidR="00E57864">
        <w:t>signed by Mr Matthias</w:t>
      </w:r>
      <w:r w:rsidR="00A93247">
        <w:t>;</w:t>
      </w:r>
      <w:r w:rsidR="00E57864">
        <w:t xml:space="preserve"> an affidavit</w:t>
      </w:r>
      <w:r w:rsidR="00857B31">
        <w:t xml:space="preserve"> made </w:t>
      </w:r>
      <w:r w:rsidR="00E57864">
        <w:t xml:space="preserve">by </w:t>
      </w:r>
      <w:r w:rsidR="00E04628">
        <w:t xml:space="preserve">Mr </w:t>
      </w:r>
      <w:r w:rsidR="00E57864">
        <w:t xml:space="preserve">Matthias confirming his authority to sell </w:t>
      </w:r>
      <w:r w:rsidR="00857B31">
        <w:t>Portion 4</w:t>
      </w:r>
      <w:r w:rsidR="00A93247">
        <w:t>;</w:t>
      </w:r>
      <w:r w:rsidR="00E57864">
        <w:t xml:space="preserve"> a</w:t>
      </w:r>
      <w:r w:rsidR="00857B31">
        <w:t xml:space="preserve"> further</w:t>
      </w:r>
      <w:r w:rsidR="00E57864">
        <w:t xml:space="preserve"> affidavit</w:t>
      </w:r>
      <w:r w:rsidR="00857B31">
        <w:t xml:space="preserve"> made</w:t>
      </w:r>
      <w:r w:rsidR="00E57864">
        <w:t xml:space="preserve"> by </w:t>
      </w:r>
      <w:r w:rsidR="00E04628">
        <w:t xml:space="preserve">Mr </w:t>
      </w:r>
      <w:r w:rsidR="00E57864">
        <w:t>Matthias confirming his personal details</w:t>
      </w:r>
      <w:r w:rsidR="00A93247">
        <w:t>;</w:t>
      </w:r>
      <w:r w:rsidR="00952C2E">
        <w:t xml:space="preserve"> and a</w:t>
      </w:r>
      <w:r w:rsidR="00E57864">
        <w:t xml:space="preserve"> </w:t>
      </w:r>
      <w:r w:rsidR="00952C2E">
        <w:t>document signed by Mr Matthias requesting a certified copy of the title deed pertaining to Portion 4.</w:t>
      </w:r>
    </w:p>
    <w:p w14:paraId="4B9CCADD" w14:textId="77777777" w:rsidR="00A533DB" w:rsidRDefault="00A533DB" w:rsidP="00A533DB">
      <w:pPr>
        <w:pStyle w:val="ListParagraph"/>
        <w:tabs>
          <w:tab w:val="left" w:pos="709"/>
        </w:tabs>
        <w:ind w:left="0"/>
        <w:rPr>
          <w:b/>
        </w:rPr>
      </w:pPr>
    </w:p>
    <w:p w14:paraId="591F4AC3" w14:textId="30CFDBA7" w:rsidR="00857B31" w:rsidRPr="00FF36C8" w:rsidRDefault="00FF36C8" w:rsidP="00FF36C8">
      <w:pPr>
        <w:tabs>
          <w:tab w:val="left" w:pos="709"/>
        </w:tabs>
        <w:rPr>
          <w:b/>
        </w:rPr>
      </w:pPr>
      <w:r>
        <w:t>[12]</w:t>
      </w:r>
      <w:r>
        <w:tab/>
      </w:r>
      <w:r w:rsidR="00E57864" w:rsidRPr="00952C2E">
        <w:t>Mr Matthias, again, disavows all knowledge of these documents and asserts th</w:t>
      </w:r>
      <w:r w:rsidR="00952C2E">
        <w:t>at he never signed any of them.</w:t>
      </w:r>
    </w:p>
    <w:p w14:paraId="208409D0" w14:textId="77777777" w:rsidR="00952C2E" w:rsidRPr="00952C2E" w:rsidRDefault="00952C2E" w:rsidP="00952C2E">
      <w:pPr>
        <w:pStyle w:val="ListParagraph"/>
        <w:tabs>
          <w:tab w:val="left" w:pos="709"/>
        </w:tabs>
        <w:ind w:left="0"/>
        <w:rPr>
          <w:b/>
        </w:rPr>
      </w:pPr>
    </w:p>
    <w:p w14:paraId="0479246B" w14:textId="030C7EC4" w:rsidR="00F827D0" w:rsidRPr="00FF36C8" w:rsidRDefault="00FF36C8" w:rsidP="00FF36C8">
      <w:pPr>
        <w:tabs>
          <w:tab w:val="left" w:pos="709"/>
        </w:tabs>
        <w:rPr>
          <w:b/>
        </w:rPr>
      </w:pPr>
      <w:r>
        <w:t>[13]</w:t>
      </w:r>
      <w:r>
        <w:tab/>
      </w:r>
      <w:r w:rsidR="00E57864">
        <w:t>T</w:t>
      </w:r>
      <w:r w:rsidR="00952C2E">
        <w:t xml:space="preserve">here is no reason to doubt </w:t>
      </w:r>
      <w:r w:rsidR="00E57864">
        <w:t xml:space="preserve">his </w:t>
      </w:r>
      <w:r w:rsidR="00E04628">
        <w:t xml:space="preserve">latter </w:t>
      </w:r>
      <w:r w:rsidR="00E57864">
        <w:t>denial</w:t>
      </w:r>
      <w:r w:rsidR="00952C2E">
        <w:t xml:space="preserve"> regarding the last mentioned document</w:t>
      </w:r>
      <w:r w:rsidR="00E57864">
        <w:t xml:space="preserve">: </w:t>
      </w:r>
      <w:r w:rsidR="00952C2E">
        <w:t>his</w:t>
      </w:r>
      <w:r w:rsidR="00E57864">
        <w:t xml:space="preserve"> name is incorrectly spelt in the document</w:t>
      </w:r>
      <w:r w:rsidR="00857B31">
        <w:t xml:space="preserve"> (</w:t>
      </w:r>
      <w:r w:rsidR="00A158B4">
        <w:t>his surname was spelt with three T’s, viz ‘</w:t>
      </w:r>
      <w:r w:rsidR="00857B31">
        <w:t>Mattthias</w:t>
      </w:r>
      <w:r w:rsidR="00A158B4">
        <w:t>’</w:t>
      </w:r>
      <w:r w:rsidR="00857B31">
        <w:t>)</w:t>
      </w:r>
      <w:r w:rsidR="00325BFC">
        <w:t xml:space="preserve">, a fact that he would </w:t>
      </w:r>
      <w:r w:rsidR="00857B31">
        <w:t xml:space="preserve">undoubtedly </w:t>
      </w:r>
      <w:r w:rsidR="00325BFC">
        <w:t>have notice</w:t>
      </w:r>
      <w:r w:rsidR="00857B31">
        <w:t>d</w:t>
      </w:r>
      <w:r w:rsidR="00325BFC">
        <w:t xml:space="preserve"> if </w:t>
      </w:r>
      <w:r w:rsidR="002110FF">
        <w:t xml:space="preserve">he </w:t>
      </w:r>
      <w:r w:rsidR="00325BFC">
        <w:t>had</w:t>
      </w:r>
      <w:r w:rsidR="00857B31">
        <w:t>, indeed,</w:t>
      </w:r>
      <w:r w:rsidR="00325BFC">
        <w:t xml:space="preserve"> been the person </w:t>
      </w:r>
      <w:r w:rsidR="002110FF">
        <w:t xml:space="preserve">who </w:t>
      </w:r>
      <w:r w:rsidR="00325BFC">
        <w:t>signed that document</w:t>
      </w:r>
      <w:r w:rsidR="00E57864">
        <w:t xml:space="preserve">. The same </w:t>
      </w:r>
      <w:r w:rsidR="00E04628">
        <w:t xml:space="preserve">spelling </w:t>
      </w:r>
      <w:r w:rsidR="00E57864">
        <w:t xml:space="preserve">error </w:t>
      </w:r>
      <w:r w:rsidR="00857B31">
        <w:t xml:space="preserve">regarding his </w:t>
      </w:r>
      <w:r w:rsidR="0098509A">
        <w:t>sur</w:t>
      </w:r>
      <w:r w:rsidR="00857B31">
        <w:t xml:space="preserve">name </w:t>
      </w:r>
      <w:r w:rsidR="00E57864">
        <w:t xml:space="preserve">manifests itself in a </w:t>
      </w:r>
      <w:r w:rsidR="00857B31">
        <w:t xml:space="preserve">further </w:t>
      </w:r>
      <w:r w:rsidR="00E57864">
        <w:t xml:space="preserve">document that Mr Matthias allegedly signed requesting a certificate of registered title in respect of </w:t>
      </w:r>
      <w:r w:rsidR="00805A4D">
        <w:t>Portion 4</w:t>
      </w:r>
      <w:r w:rsidR="00E57864">
        <w:t xml:space="preserve">. </w:t>
      </w:r>
      <w:r w:rsidR="00952C2E">
        <w:t>There is no</w:t>
      </w:r>
      <w:r w:rsidR="000D6762">
        <w:t xml:space="preserve"> reason to doubt any of Mr Matthias’ other denials</w:t>
      </w:r>
      <w:r w:rsidR="00952C2E">
        <w:t xml:space="preserve"> regarding his signature</w:t>
      </w:r>
      <w:r w:rsidR="000D6762">
        <w:t xml:space="preserve">. Certainly, the first respondent </w:t>
      </w:r>
      <w:r w:rsidR="00952C2E">
        <w:t xml:space="preserve">does not dispute his denials and regards them as </w:t>
      </w:r>
      <w:r w:rsidR="000D6762">
        <w:t xml:space="preserve">being truthful for it assented to the taking of the consent order. </w:t>
      </w:r>
    </w:p>
    <w:p w14:paraId="3676C4A9" w14:textId="77777777" w:rsidR="00E57864" w:rsidRDefault="00E57864" w:rsidP="00E57864">
      <w:pPr>
        <w:pStyle w:val="ListParagraph"/>
        <w:tabs>
          <w:tab w:val="left" w:pos="709"/>
        </w:tabs>
        <w:ind w:left="0"/>
        <w:rPr>
          <w:b/>
        </w:rPr>
      </w:pPr>
    </w:p>
    <w:p w14:paraId="05634C2F" w14:textId="212ABE81" w:rsidR="00E57864" w:rsidRPr="00FF36C8" w:rsidRDefault="00FF36C8" w:rsidP="00FF36C8">
      <w:pPr>
        <w:tabs>
          <w:tab w:val="left" w:pos="709"/>
        </w:tabs>
        <w:rPr>
          <w:b/>
        </w:rPr>
      </w:pPr>
      <w:r>
        <w:t>[14]</w:t>
      </w:r>
      <w:r>
        <w:tab/>
      </w:r>
      <w:r w:rsidR="00E57864">
        <w:t xml:space="preserve">If there was any doubt that the transfer of </w:t>
      </w:r>
      <w:r w:rsidR="00805A4D">
        <w:t xml:space="preserve">Portion 4 </w:t>
      </w:r>
      <w:r w:rsidR="00E57864">
        <w:t>to the first respondent was anything but fictitious</w:t>
      </w:r>
      <w:r w:rsidR="00E04628">
        <w:t xml:space="preserve"> arising out of the </w:t>
      </w:r>
      <w:r w:rsidR="000D6762">
        <w:t xml:space="preserve">faked </w:t>
      </w:r>
      <w:r w:rsidR="00E04628">
        <w:t>second sale agreement,</w:t>
      </w:r>
      <w:r w:rsidR="00E57864">
        <w:t xml:space="preserve"> it is assuaged by the evidence of the applicant that there is a defined </w:t>
      </w:r>
      <w:r w:rsidR="00857B31">
        <w:t xml:space="preserve">internal </w:t>
      </w:r>
      <w:r w:rsidR="00E57864">
        <w:t xml:space="preserve">process that </w:t>
      </w:r>
      <w:r w:rsidR="00857B31">
        <w:t>must be</w:t>
      </w:r>
      <w:r w:rsidR="00E57864">
        <w:t xml:space="preserve"> followed before land owned by the applicant may be sold. </w:t>
      </w:r>
      <w:r w:rsidR="008166CD">
        <w:t>This</w:t>
      </w:r>
      <w:r w:rsidR="00E57864">
        <w:t xml:space="preserve"> is a three step process </w:t>
      </w:r>
      <w:r w:rsidR="00C757D5">
        <w:t>and it would generate at least eight distinct documents</w:t>
      </w:r>
      <w:r w:rsidR="00E04628">
        <w:t xml:space="preserve"> across those three steps</w:t>
      </w:r>
      <w:r w:rsidR="00C757D5">
        <w:t xml:space="preserve">. None of these documents exist in respect of </w:t>
      </w:r>
      <w:r w:rsidR="00805A4D">
        <w:t>Portion 4</w:t>
      </w:r>
      <w:r w:rsidR="008166CD">
        <w:t>, indicating that the prescribed internal process has not been followed. That Portion 4 had not been sold by the applicant is put beyond doubt by the fact that it has not been paid fo</w:t>
      </w:r>
      <w:r w:rsidR="00C757D5">
        <w:t xml:space="preserve">r </w:t>
      </w:r>
      <w:r w:rsidR="00805A4D">
        <w:t>Portion 4</w:t>
      </w:r>
      <w:r w:rsidR="00C757D5">
        <w:t>.</w:t>
      </w:r>
    </w:p>
    <w:p w14:paraId="4D6E50CF" w14:textId="77777777" w:rsidR="00C757D5" w:rsidRPr="00C757D5" w:rsidRDefault="00C757D5" w:rsidP="00C757D5">
      <w:pPr>
        <w:pStyle w:val="ListParagraph"/>
        <w:rPr>
          <w:b/>
        </w:rPr>
      </w:pPr>
    </w:p>
    <w:p w14:paraId="1C1EF5B6" w14:textId="05643349" w:rsidR="00A158B4" w:rsidRPr="00FF36C8" w:rsidRDefault="00FF36C8" w:rsidP="00FF36C8">
      <w:pPr>
        <w:tabs>
          <w:tab w:val="left" w:pos="709"/>
        </w:tabs>
        <w:rPr>
          <w:b/>
        </w:rPr>
      </w:pPr>
      <w:r>
        <w:t>[15]</w:t>
      </w:r>
      <w:r>
        <w:tab/>
      </w:r>
      <w:r w:rsidR="00C757D5">
        <w:t>Faced with this powerful narrative of ostensible wrongdoing</w:t>
      </w:r>
      <w:r w:rsidR="008166CD">
        <w:t xml:space="preserve"> set out in the applicant’s founding affidavit</w:t>
      </w:r>
      <w:r w:rsidR="00C757D5">
        <w:t>, the first respondent</w:t>
      </w:r>
      <w:r w:rsidR="002E634D">
        <w:t>, nonethele</w:t>
      </w:r>
      <w:r w:rsidR="00C757D5">
        <w:t>ss</w:t>
      </w:r>
      <w:r w:rsidR="002E634D">
        <w:t>,</w:t>
      </w:r>
      <w:r w:rsidR="00C757D5">
        <w:t xml:space="preserve"> </w:t>
      </w:r>
      <w:r w:rsidR="008166CD">
        <w:t xml:space="preserve">delivered a notice of intention to oppose the application </w:t>
      </w:r>
      <w:r w:rsidR="00E04628">
        <w:t xml:space="preserve">and </w:t>
      </w:r>
      <w:r w:rsidR="00C757D5">
        <w:t xml:space="preserve">delivered an answering affidavit. </w:t>
      </w:r>
      <w:r w:rsidR="00A158B4">
        <w:t>At paragraph 4 thereof, the following is stated:</w:t>
      </w:r>
    </w:p>
    <w:p w14:paraId="6AC4F8CB" w14:textId="641AE38E" w:rsidR="00A158B4" w:rsidRPr="00705FD1" w:rsidRDefault="00A158B4" w:rsidP="00A158B4">
      <w:pPr>
        <w:pStyle w:val="ListParagraph"/>
        <w:tabs>
          <w:tab w:val="left" w:pos="709"/>
        </w:tabs>
        <w:ind w:left="0"/>
        <w:rPr>
          <w:b/>
          <w:sz w:val="22"/>
        </w:rPr>
      </w:pPr>
      <w:r w:rsidRPr="00705FD1">
        <w:rPr>
          <w:sz w:val="22"/>
        </w:rPr>
        <w:lastRenderedPageBreak/>
        <w:t>‘At the outset of this affidavit, I wish to summarise the First Respondent’s defence as fol</w:t>
      </w:r>
      <w:r w:rsidR="0038182A">
        <w:rPr>
          <w:sz w:val="22"/>
        </w:rPr>
        <w:t>lows…</w:t>
      </w:r>
      <w:r w:rsidRPr="00705FD1">
        <w:rPr>
          <w:sz w:val="22"/>
        </w:rPr>
        <w:t>’</w:t>
      </w:r>
      <w:r w:rsidR="00607C6C" w:rsidRPr="00705FD1">
        <w:rPr>
          <w:sz w:val="22"/>
        </w:rPr>
        <w:t>.</w:t>
      </w:r>
    </w:p>
    <w:p w14:paraId="21896DFF" w14:textId="77777777" w:rsidR="00A158B4" w:rsidRDefault="00A158B4" w:rsidP="00A158B4">
      <w:pPr>
        <w:pStyle w:val="ListParagraph"/>
        <w:tabs>
          <w:tab w:val="left" w:pos="709"/>
        </w:tabs>
        <w:ind w:left="0"/>
        <w:rPr>
          <w:b/>
        </w:rPr>
      </w:pPr>
      <w:r>
        <w:t>The first respondent then sets out the basis of its defence to the applicant’s claim</w:t>
      </w:r>
      <w:r w:rsidR="00180BF3">
        <w:t xml:space="preserve"> which, in summary</w:t>
      </w:r>
      <w:r w:rsidR="00952C2E">
        <w:t>,</w:t>
      </w:r>
      <w:r w:rsidR="00180BF3">
        <w:t xml:space="preserve"> is that</w:t>
      </w:r>
      <w:r>
        <w:t>:</w:t>
      </w:r>
    </w:p>
    <w:p w14:paraId="304D98FE" w14:textId="64E3013B" w:rsidR="00130971" w:rsidRPr="00FF36C8" w:rsidRDefault="00FF36C8" w:rsidP="00FF36C8">
      <w:pPr>
        <w:tabs>
          <w:tab w:val="left" w:pos="709"/>
        </w:tabs>
        <w:rPr>
          <w:b/>
        </w:rPr>
      </w:pPr>
      <w:r>
        <w:t>(a)</w:t>
      </w:r>
      <w:r>
        <w:tab/>
      </w:r>
      <w:r w:rsidR="00A158B4" w:rsidRPr="00A158B4">
        <w:t>I</w:t>
      </w:r>
      <w:r w:rsidR="00E04628" w:rsidRPr="00A158B4">
        <w:t>t</w:t>
      </w:r>
      <w:r w:rsidR="00A158B4">
        <w:t xml:space="preserve"> was not knowingly a</w:t>
      </w:r>
      <w:r w:rsidR="00C757D5" w:rsidRPr="00A158B4">
        <w:t xml:space="preserve"> participant </w:t>
      </w:r>
      <w:r w:rsidR="00130971">
        <w:t>to</w:t>
      </w:r>
      <w:r w:rsidR="00C757D5" w:rsidRPr="00A158B4">
        <w:t xml:space="preserve"> any fraud</w:t>
      </w:r>
      <w:r w:rsidR="00130971">
        <w:t>;</w:t>
      </w:r>
    </w:p>
    <w:p w14:paraId="2BF31B72" w14:textId="58A6C1AB" w:rsidR="00130971" w:rsidRPr="00FF36C8" w:rsidRDefault="00FF36C8" w:rsidP="00FF36C8">
      <w:pPr>
        <w:tabs>
          <w:tab w:val="left" w:pos="709"/>
        </w:tabs>
        <w:rPr>
          <w:b/>
        </w:rPr>
      </w:pPr>
      <w:r>
        <w:t>(b)</w:t>
      </w:r>
      <w:r>
        <w:tab/>
      </w:r>
      <w:r w:rsidR="00130971">
        <w:t>It</w:t>
      </w:r>
      <w:r w:rsidR="00C757D5" w:rsidRPr="00A158B4">
        <w:t xml:space="preserve"> obtained bona fide title to </w:t>
      </w:r>
      <w:r w:rsidR="00805A4D" w:rsidRPr="00A158B4">
        <w:t>Portion 4</w:t>
      </w:r>
      <w:r w:rsidR="00130971">
        <w:t>;</w:t>
      </w:r>
    </w:p>
    <w:p w14:paraId="2870AFB8" w14:textId="0F838D03" w:rsidR="00130971" w:rsidRPr="00FF36C8" w:rsidRDefault="00FF36C8" w:rsidP="00FF36C8">
      <w:pPr>
        <w:tabs>
          <w:tab w:val="left" w:pos="709"/>
        </w:tabs>
        <w:rPr>
          <w:b/>
        </w:rPr>
      </w:pPr>
      <w:r>
        <w:t>(c)</w:t>
      </w:r>
      <w:r>
        <w:tab/>
      </w:r>
      <w:r w:rsidR="00130971">
        <w:t xml:space="preserve">It </w:t>
      </w:r>
      <w:r w:rsidR="00C757D5" w:rsidRPr="00A158B4">
        <w:t xml:space="preserve">claimed that the applicant was not entitled to be viewed as </w:t>
      </w:r>
      <w:r w:rsidR="000A35C1">
        <w:t>the</w:t>
      </w:r>
      <w:r w:rsidR="00C757D5" w:rsidRPr="00A158B4">
        <w:t xml:space="preserve"> owner </w:t>
      </w:r>
      <w:r w:rsidR="00130971">
        <w:t xml:space="preserve">of Portion 4 </w:t>
      </w:r>
      <w:r w:rsidR="00C757D5" w:rsidRPr="00A158B4">
        <w:t>as it</w:t>
      </w:r>
      <w:r w:rsidR="002E634D" w:rsidRPr="00A158B4">
        <w:t>, on its own admission,</w:t>
      </w:r>
      <w:r w:rsidR="00C757D5" w:rsidRPr="00A158B4">
        <w:t xml:space="preserve"> had received </w:t>
      </w:r>
      <w:r w:rsidR="00130971">
        <w:t>it in error;</w:t>
      </w:r>
    </w:p>
    <w:p w14:paraId="0611EE61" w14:textId="2237F4CA" w:rsidR="00130971" w:rsidRPr="00FF36C8" w:rsidRDefault="00FF36C8" w:rsidP="00FF36C8">
      <w:pPr>
        <w:tabs>
          <w:tab w:val="left" w:pos="709"/>
        </w:tabs>
        <w:rPr>
          <w:b/>
        </w:rPr>
      </w:pPr>
      <w:r>
        <w:t>(d)</w:t>
      </w:r>
      <w:r>
        <w:tab/>
      </w:r>
      <w:r w:rsidR="00C757D5" w:rsidRPr="00A158B4">
        <w:t xml:space="preserve">It claimed that the applicant’s entitlement to claim retransfer of </w:t>
      </w:r>
      <w:r w:rsidR="00805A4D" w:rsidRPr="00A158B4">
        <w:t>Portion 4</w:t>
      </w:r>
      <w:r w:rsidR="00C757D5" w:rsidRPr="00A158B4">
        <w:t xml:space="preserve"> had become prescribed</w:t>
      </w:r>
      <w:r w:rsidR="00130971">
        <w:t>; and</w:t>
      </w:r>
    </w:p>
    <w:p w14:paraId="78F2AC1E" w14:textId="7351A1DB" w:rsidR="00130971" w:rsidRPr="00FF36C8" w:rsidRDefault="00FF36C8" w:rsidP="00FF36C8">
      <w:pPr>
        <w:tabs>
          <w:tab w:val="left" w:pos="709"/>
        </w:tabs>
        <w:rPr>
          <w:b/>
        </w:rPr>
      </w:pPr>
      <w:r>
        <w:t>(e)</w:t>
      </w:r>
      <w:r>
        <w:tab/>
      </w:r>
      <w:r w:rsidR="00130971">
        <w:t>The applicant was estopped from disputing the first respondent’s ownership of Portion 4</w:t>
      </w:r>
      <w:r w:rsidR="00C757D5" w:rsidRPr="00A158B4">
        <w:t>.</w:t>
      </w:r>
      <w:r w:rsidR="002E634D" w:rsidRPr="00A158B4">
        <w:t xml:space="preserve"> </w:t>
      </w:r>
    </w:p>
    <w:p w14:paraId="10C1F389" w14:textId="77777777" w:rsidR="002E634D" w:rsidRPr="002E634D" w:rsidRDefault="002E634D" w:rsidP="002E634D">
      <w:pPr>
        <w:pStyle w:val="ListParagraph"/>
        <w:rPr>
          <w:b/>
        </w:rPr>
      </w:pPr>
    </w:p>
    <w:p w14:paraId="7BA89353" w14:textId="56B286EC" w:rsidR="00453DD2" w:rsidRPr="00FF36C8" w:rsidRDefault="00FF36C8" w:rsidP="00FF36C8">
      <w:pPr>
        <w:tabs>
          <w:tab w:val="left" w:pos="709"/>
        </w:tabs>
        <w:rPr>
          <w:b/>
        </w:rPr>
      </w:pPr>
      <w:r>
        <w:t>[16]</w:t>
      </w:r>
      <w:r>
        <w:tab/>
      </w:r>
      <w:r w:rsidR="00CD56B5">
        <w:t xml:space="preserve">Thus, a considered and vigorous defence was raised </w:t>
      </w:r>
      <w:r w:rsidR="00453DD2">
        <w:t>by the first respondent</w:t>
      </w:r>
      <w:r w:rsidR="00CD56B5">
        <w:t xml:space="preserve">. </w:t>
      </w:r>
      <w:r w:rsidR="00180BF3">
        <w:t>In the light of th</w:t>
      </w:r>
      <w:r w:rsidR="0052266E">
        <w:t>ese defences</w:t>
      </w:r>
      <w:r w:rsidR="00180BF3">
        <w:t xml:space="preserve">, the applicant was, naturally, compelled to deliver a replying affidavit dealing with them. </w:t>
      </w:r>
      <w:r w:rsidR="00453DD2">
        <w:t xml:space="preserve">It actually delivered a replying affidavit that covered some 11 pages and it delivered a supporting affidavit that covered a further 6 pages. It also delivered a supplementary affidavit deposed to by Mr Matthias, now retired from the applicant, that filled </w:t>
      </w:r>
      <w:r w:rsidR="0052266E">
        <w:t>another</w:t>
      </w:r>
      <w:r w:rsidR="00453DD2">
        <w:t xml:space="preserve"> 14 pages.</w:t>
      </w:r>
    </w:p>
    <w:p w14:paraId="0D28DF13" w14:textId="77777777" w:rsidR="00453DD2" w:rsidRDefault="00453DD2" w:rsidP="00453DD2">
      <w:pPr>
        <w:pStyle w:val="ListParagraph"/>
        <w:tabs>
          <w:tab w:val="left" w:pos="709"/>
        </w:tabs>
        <w:ind w:left="0"/>
        <w:rPr>
          <w:b/>
        </w:rPr>
      </w:pPr>
    </w:p>
    <w:p w14:paraId="7402A28F" w14:textId="586669AB" w:rsidR="00E04628" w:rsidRPr="00FF36C8" w:rsidRDefault="00FF36C8" w:rsidP="00FF36C8">
      <w:pPr>
        <w:tabs>
          <w:tab w:val="left" w:pos="709"/>
        </w:tabs>
        <w:rPr>
          <w:b/>
        </w:rPr>
      </w:pPr>
      <w:r>
        <w:t>[17]</w:t>
      </w:r>
      <w:r>
        <w:tab/>
      </w:r>
      <w:r w:rsidR="00CD56B5">
        <w:t>The strength of th</w:t>
      </w:r>
      <w:r w:rsidR="00453DD2">
        <w:t>e first respondent’s</w:t>
      </w:r>
      <w:r w:rsidR="00CD56B5">
        <w:t xml:space="preserve"> defence, however, was illusory for the first respondent abandoned </w:t>
      </w:r>
      <w:r w:rsidR="007B18C2">
        <w:t>all those defences</w:t>
      </w:r>
      <w:r w:rsidR="00CD56B5">
        <w:t xml:space="preserve"> </w:t>
      </w:r>
      <w:r w:rsidR="00325BFC">
        <w:t>abruptly</w:t>
      </w:r>
      <w:r w:rsidR="00CD56B5">
        <w:t xml:space="preserve"> </w:t>
      </w:r>
      <w:r w:rsidR="000D6762">
        <w:t>when</w:t>
      </w:r>
      <w:r w:rsidR="007B18C2">
        <w:t xml:space="preserve"> the matter was</w:t>
      </w:r>
      <w:r w:rsidR="000D6762">
        <w:t xml:space="preserve"> last before </w:t>
      </w:r>
      <w:r w:rsidR="007B18C2">
        <w:t xml:space="preserve">this </w:t>
      </w:r>
      <w:r w:rsidR="000D6762">
        <w:t xml:space="preserve">court </w:t>
      </w:r>
      <w:r w:rsidR="0052266E">
        <w:t xml:space="preserve">on 11 October 2023 </w:t>
      </w:r>
      <w:r w:rsidR="00CD56B5">
        <w:t xml:space="preserve">and </w:t>
      </w:r>
      <w:r w:rsidR="007B18C2">
        <w:t>consented</w:t>
      </w:r>
      <w:r w:rsidR="00CD56B5">
        <w:t xml:space="preserve"> to</w:t>
      </w:r>
      <w:r w:rsidR="00E04628">
        <w:t xml:space="preserve"> </w:t>
      </w:r>
      <w:r w:rsidR="00CD56B5">
        <w:t>the</w:t>
      </w:r>
      <w:r w:rsidR="007B18C2">
        <w:t xml:space="preserve"> terms of the</w:t>
      </w:r>
      <w:r w:rsidR="00CD56B5">
        <w:t xml:space="preserve"> consent order. </w:t>
      </w:r>
    </w:p>
    <w:p w14:paraId="24232CCE" w14:textId="77777777" w:rsidR="007B18C2" w:rsidRPr="007B18C2" w:rsidRDefault="007B18C2" w:rsidP="007B18C2">
      <w:pPr>
        <w:pStyle w:val="ListParagraph"/>
        <w:rPr>
          <w:b/>
        </w:rPr>
      </w:pPr>
    </w:p>
    <w:p w14:paraId="747AA131" w14:textId="38C025AA" w:rsidR="007B18C2" w:rsidRPr="00FF36C8" w:rsidRDefault="00FF36C8" w:rsidP="00FF36C8">
      <w:pPr>
        <w:tabs>
          <w:tab w:val="left" w:pos="709"/>
        </w:tabs>
        <w:rPr>
          <w:b/>
        </w:rPr>
      </w:pPr>
      <w:r>
        <w:t>[18]</w:t>
      </w:r>
      <w:r>
        <w:tab/>
      </w:r>
      <w:r w:rsidR="007B18C2" w:rsidRPr="007B18C2">
        <w:t>In its answering affidavit, t</w:t>
      </w:r>
      <w:r w:rsidR="00E04628" w:rsidRPr="007B18C2">
        <w:t xml:space="preserve">he first respondent claims itself to have been the victim of fraudsters, </w:t>
      </w:r>
      <w:r w:rsidR="008166CD" w:rsidRPr="007B18C2">
        <w:t>alleging</w:t>
      </w:r>
      <w:r w:rsidR="0052266E">
        <w:t xml:space="preserve"> that the </w:t>
      </w:r>
      <w:r w:rsidR="00E04628" w:rsidRPr="007B18C2">
        <w:t>fourth respondent and other unidentified members of staff of the applicant</w:t>
      </w:r>
      <w:r w:rsidR="008166CD" w:rsidRPr="007B18C2">
        <w:t xml:space="preserve"> </w:t>
      </w:r>
      <w:r w:rsidR="0052266E">
        <w:t>are</w:t>
      </w:r>
      <w:r w:rsidR="008166CD" w:rsidRPr="007B18C2">
        <w:t xml:space="preserve"> those fraudsters</w:t>
      </w:r>
      <w:r w:rsidR="00E04628" w:rsidRPr="007B18C2">
        <w:t>. There may be a smidgen of truth to that</w:t>
      </w:r>
      <w:r w:rsidR="007B18C2">
        <w:t>.</w:t>
      </w:r>
      <w:r w:rsidR="007B18C2" w:rsidRPr="007B18C2">
        <w:t xml:space="preserve"> </w:t>
      </w:r>
      <w:r w:rsidR="007B18C2">
        <w:t>While it is so that fraud:</w:t>
      </w:r>
    </w:p>
    <w:p w14:paraId="1F86C426" w14:textId="77777777" w:rsidR="007B18C2" w:rsidRDefault="007B18C2" w:rsidP="007B18C2">
      <w:pPr>
        <w:pStyle w:val="ListParagraph"/>
        <w:tabs>
          <w:tab w:val="left" w:pos="709"/>
        </w:tabs>
        <w:ind w:left="0"/>
        <w:rPr>
          <w:b/>
          <w:iCs/>
          <w:color w:val="242121"/>
          <w:sz w:val="22"/>
          <w:szCs w:val="22"/>
          <w:shd w:val="clear" w:color="auto" w:fill="FFFFFF"/>
        </w:rPr>
      </w:pPr>
      <w:r w:rsidRPr="007B18C2">
        <w:rPr>
          <w:sz w:val="22"/>
          <w:szCs w:val="22"/>
        </w:rPr>
        <w:t>‘</w:t>
      </w:r>
      <w:r>
        <w:rPr>
          <w:sz w:val="22"/>
          <w:szCs w:val="22"/>
        </w:rPr>
        <w:t xml:space="preserve">… </w:t>
      </w:r>
      <w:r w:rsidRPr="007B18C2">
        <w:rPr>
          <w:sz w:val="22"/>
          <w:szCs w:val="22"/>
        </w:rPr>
        <w:t>vitiates ever</w:t>
      </w:r>
      <w:r>
        <w:rPr>
          <w:sz w:val="22"/>
          <w:szCs w:val="22"/>
        </w:rPr>
        <w:t>y transaction known to the law’,</w:t>
      </w:r>
      <w:r w:rsidRPr="007B18C2">
        <w:rPr>
          <w:rStyle w:val="FootnoteReference"/>
          <w:sz w:val="22"/>
          <w:szCs w:val="22"/>
        </w:rPr>
        <w:footnoteReference w:id="4"/>
      </w:r>
      <w:r w:rsidRPr="007B18C2">
        <w:rPr>
          <w:iCs/>
          <w:color w:val="242121"/>
          <w:sz w:val="22"/>
          <w:szCs w:val="22"/>
          <w:shd w:val="clear" w:color="auto" w:fill="FFFFFF"/>
        </w:rPr>
        <w:t xml:space="preserve"> </w:t>
      </w:r>
    </w:p>
    <w:p w14:paraId="101F9649" w14:textId="3A31552C" w:rsidR="007B18C2" w:rsidRPr="007B18C2" w:rsidRDefault="007B18C2" w:rsidP="007B18C2">
      <w:pPr>
        <w:pStyle w:val="ListParagraph"/>
        <w:tabs>
          <w:tab w:val="left" w:pos="709"/>
        </w:tabs>
        <w:ind w:left="0"/>
        <w:rPr>
          <w:b/>
        </w:rPr>
      </w:pPr>
      <w:r>
        <w:lastRenderedPageBreak/>
        <w:t xml:space="preserve">it is equally so that </w:t>
      </w:r>
      <w:r w:rsidRPr="007B18C2">
        <w:rPr>
          <w:rStyle w:val="apple-converted-space"/>
          <w:color w:val="242121"/>
        </w:rPr>
        <w:t>motion proceedings are generally not designed to permit a court to easily make findings of fraud.</w:t>
      </w:r>
      <w:r w:rsidRPr="007B18C2">
        <w:rPr>
          <w:rStyle w:val="FootnoteReference"/>
          <w:color w:val="242121"/>
        </w:rPr>
        <w:footnoteReference w:id="5"/>
      </w:r>
      <w:r w:rsidRPr="007B18C2">
        <w:rPr>
          <w:rStyle w:val="apple-converted-space"/>
          <w:color w:val="242121"/>
        </w:rPr>
        <w:t> </w:t>
      </w:r>
      <w:r w:rsidRPr="007B18C2">
        <w:rPr>
          <w:color w:val="242121"/>
        </w:rPr>
        <w:t xml:space="preserve"> As Seegobin J said in </w:t>
      </w:r>
      <w:r w:rsidRPr="007B18C2">
        <w:rPr>
          <w:i/>
          <w:iCs/>
          <w:color w:val="000000" w:themeColor="text1"/>
        </w:rPr>
        <w:t xml:space="preserve">Commissioner for the South African Revenue Service v Sassin and </w:t>
      </w:r>
      <w:r w:rsidR="00607C6C" w:rsidRPr="00705FD1">
        <w:rPr>
          <w:i/>
          <w:iCs/>
          <w:color w:val="000000" w:themeColor="text1"/>
        </w:rPr>
        <w:t>others</w:t>
      </w:r>
      <w:r w:rsidRPr="00705FD1">
        <w:rPr>
          <w:color w:val="000000" w:themeColor="text1"/>
        </w:rPr>
        <w:t>:</w:t>
      </w:r>
      <w:r w:rsidRPr="00705FD1">
        <w:rPr>
          <w:rStyle w:val="FootnoteReference"/>
          <w:color w:val="000000" w:themeColor="text1"/>
        </w:rPr>
        <w:footnoteReference w:id="6"/>
      </w:r>
    </w:p>
    <w:p w14:paraId="26D53601" w14:textId="77777777" w:rsidR="007B18C2" w:rsidRDefault="007B18C2" w:rsidP="007B18C2">
      <w:pPr>
        <w:pStyle w:val="NormalWeb"/>
        <w:spacing w:before="0" w:beforeAutospacing="0" w:after="0" w:afterAutospacing="0" w:line="360" w:lineRule="auto"/>
        <w:rPr>
          <w:rFonts w:ascii="Arial" w:hAnsi="Arial" w:cs="Arial"/>
          <w:b/>
          <w:color w:val="242121"/>
          <w:sz w:val="22"/>
          <w:szCs w:val="22"/>
        </w:rPr>
      </w:pPr>
      <w:r w:rsidRPr="007B18C2">
        <w:rPr>
          <w:rFonts w:ascii="Arial" w:hAnsi="Arial" w:cs="Arial"/>
          <w:color w:val="242121"/>
          <w:sz w:val="22"/>
          <w:szCs w:val="22"/>
        </w:rPr>
        <w:t xml:space="preserve">‘Our courts have consistently held that it would be unwise to decide a disputed issue of whether fraud was committed on motion proceedings without the benefits inherent in the hearing of oral evidence, including discovery of documents, cross-examination of witnesses, and so forth.’  </w:t>
      </w:r>
    </w:p>
    <w:p w14:paraId="5C8582C7" w14:textId="77777777" w:rsidR="007B18C2" w:rsidRPr="007B18C2" w:rsidRDefault="007B18C2" w:rsidP="007B18C2">
      <w:pPr>
        <w:pStyle w:val="ListParagraph"/>
        <w:rPr>
          <w:b/>
        </w:rPr>
      </w:pPr>
    </w:p>
    <w:p w14:paraId="08F6F1E6" w14:textId="243985DB" w:rsidR="0052266E" w:rsidRPr="00E657E8" w:rsidRDefault="00FF36C8" w:rsidP="00FF36C8">
      <w:pPr>
        <w:pStyle w:val="NormalWeb"/>
        <w:spacing w:before="0" w:beforeAutospacing="0" w:after="0" w:afterAutospacing="0" w:line="360" w:lineRule="auto"/>
        <w:rPr>
          <w:rFonts w:ascii="Arial" w:hAnsi="Arial" w:cs="Arial"/>
          <w:b/>
          <w:color w:val="242121"/>
        </w:rPr>
      </w:pPr>
      <w:r w:rsidRPr="00E657E8">
        <w:rPr>
          <w:rFonts w:ascii="Arial" w:hAnsi="Arial" w:cs="Arial"/>
          <w:color w:val="242121"/>
        </w:rPr>
        <w:t>[19]</w:t>
      </w:r>
      <w:r w:rsidRPr="00E657E8">
        <w:rPr>
          <w:rFonts w:ascii="Arial" w:hAnsi="Arial" w:cs="Arial"/>
          <w:color w:val="242121"/>
        </w:rPr>
        <w:tab/>
      </w:r>
      <w:r w:rsidR="00550502" w:rsidRPr="00E657E8">
        <w:rPr>
          <w:rFonts w:ascii="Arial" w:hAnsi="Arial" w:cs="Arial"/>
          <w:color w:val="242121"/>
        </w:rPr>
        <w:t>This is sage advice. It is simply not possible on the papers to determine whether the first respondent was a part</w:t>
      </w:r>
      <w:r w:rsidR="00E657E8" w:rsidRPr="00E657E8">
        <w:rPr>
          <w:rFonts w:ascii="Arial" w:hAnsi="Arial" w:cs="Arial"/>
          <w:color w:val="242121"/>
        </w:rPr>
        <w:t>icipant in</w:t>
      </w:r>
      <w:r w:rsidR="00550502" w:rsidRPr="00E657E8">
        <w:rPr>
          <w:rFonts w:ascii="Arial" w:hAnsi="Arial" w:cs="Arial"/>
          <w:color w:val="242121"/>
        </w:rPr>
        <w:t xml:space="preserve"> a fraud or a victim of a fraud. There are indications that it was a victim of a fraud for it </w:t>
      </w:r>
      <w:r w:rsidR="008166CD" w:rsidRPr="00E657E8">
        <w:rPr>
          <w:rFonts w:ascii="Arial" w:hAnsi="Arial" w:cs="Arial"/>
        </w:rPr>
        <w:t xml:space="preserve">is difficult to understand why </w:t>
      </w:r>
      <w:r w:rsidR="00550502" w:rsidRPr="00E657E8">
        <w:rPr>
          <w:rFonts w:ascii="Arial" w:hAnsi="Arial" w:cs="Arial"/>
        </w:rPr>
        <w:t>it</w:t>
      </w:r>
      <w:r w:rsidR="008166CD" w:rsidRPr="00E657E8">
        <w:rPr>
          <w:rFonts w:ascii="Arial" w:hAnsi="Arial" w:cs="Arial"/>
        </w:rPr>
        <w:t xml:space="preserve"> would sign two agreements on the same day, for in doing so</w:t>
      </w:r>
      <w:r w:rsidR="00A51103">
        <w:rPr>
          <w:rFonts w:ascii="Arial" w:hAnsi="Arial" w:cs="Arial"/>
        </w:rPr>
        <w:t>,</w:t>
      </w:r>
      <w:r w:rsidR="008166CD" w:rsidRPr="00E657E8">
        <w:rPr>
          <w:rFonts w:ascii="Arial" w:hAnsi="Arial" w:cs="Arial"/>
        </w:rPr>
        <w:t xml:space="preserve"> it potentially became liable to pay twice for the same portion of land. </w:t>
      </w:r>
    </w:p>
    <w:p w14:paraId="04AAC3B9" w14:textId="77777777" w:rsidR="00E657E8" w:rsidRPr="00E657E8" w:rsidRDefault="00E657E8" w:rsidP="00E657E8">
      <w:pPr>
        <w:pStyle w:val="NormalWeb"/>
        <w:spacing w:before="0" w:beforeAutospacing="0" w:after="0" w:afterAutospacing="0" w:line="360" w:lineRule="auto"/>
        <w:rPr>
          <w:rFonts w:ascii="Arial" w:hAnsi="Arial" w:cs="Arial"/>
          <w:b/>
          <w:color w:val="242121"/>
        </w:rPr>
      </w:pPr>
    </w:p>
    <w:p w14:paraId="26234868" w14:textId="3C2CF82C" w:rsidR="008166CD" w:rsidRPr="00550502" w:rsidRDefault="00FF36C8" w:rsidP="00FF36C8">
      <w:pPr>
        <w:pStyle w:val="NormalWeb"/>
        <w:spacing w:before="0" w:beforeAutospacing="0" w:after="0" w:afterAutospacing="0" w:line="360" w:lineRule="auto"/>
        <w:rPr>
          <w:rFonts w:ascii="Arial" w:hAnsi="Arial" w:cs="Arial"/>
          <w:b/>
          <w:color w:val="242121"/>
        </w:rPr>
      </w:pPr>
      <w:r w:rsidRPr="00550502">
        <w:rPr>
          <w:rFonts w:ascii="Arial" w:hAnsi="Arial" w:cs="Arial"/>
          <w:color w:val="242121"/>
        </w:rPr>
        <w:t>[20]</w:t>
      </w:r>
      <w:r w:rsidRPr="00550502">
        <w:rPr>
          <w:rFonts w:ascii="Arial" w:hAnsi="Arial" w:cs="Arial"/>
          <w:color w:val="242121"/>
        </w:rPr>
        <w:tab/>
      </w:r>
      <w:r w:rsidR="008166CD" w:rsidRPr="00550502">
        <w:rPr>
          <w:rFonts w:ascii="Arial" w:hAnsi="Arial" w:cs="Arial"/>
        </w:rPr>
        <w:t xml:space="preserve">The person that represented the first respondent </w:t>
      </w:r>
      <w:r w:rsidR="00692464" w:rsidRPr="00550502">
        <w:rPr>
          <w:rFonts w:ascii="Arial" w:hAnsi="Arial" w:cs="Arial"/>
        </w:rPr>
        <w:t xml:space="preserve">in the acquisition of Portion 4 </w:t>
      </w:r>
      <w:r w:rsidR="008166CD" w:rsidRPr="00550502">
        <w:rPr>
          <w:rFonts w:ascii="Arial" w:hAnsi="Arial" w:cs="Arial"/>
        </w:rPr>
        <w:t>was a Mr Ismail Dhooma (Mr Dhooma). His version is presented through the evidence of the deponent to the first respondent’s answering affidavit, Mr Hassen Essa Suleman (Mr Suleman).</w:t>
      </w:r>
      <w:r w:rsidR="00550502">
        <w:rPr>
          <w:rStyle w:val="FootnoteReference"/>
          <w:rFonts w:ascii="Arial" w:hAnsi="Arial" w:cs="Arial"/>
        </w:rPr>
        <w:footnoteReference w:id="7"/>
      </w:r>
      <w:r w:rsidR="008166CD" w:rsidRPr="00550502">
        <w:rPr>
          <w:rFonts w:ascii="Arial" w:hAnsi="Arial" w:cs="Arial"/>
        </w:rPr>
        <w:t xml:space="preserve"> Mr Suleman states that Mr Dhooma cannot remember every document that he signed but submits that there could be no valid reason why the second sale agreement should be signed. Mr Dhooma cannot, in any event, recall signing the second sale agreement. Moreover, Mr Dhooma’s signature on the second sale agreement:</w:t>
      </w:r>
    </w:p>
    <w:p w14:paraId="329D7A1A" w14:textId="77777777" w:rsidR="008166CD" w:rsidRPr="00550502" w:rsidRDefault="008166CD" w:rsidP="008166CD">
      <w:pPr>
        <w:pStyle w:val="ListParagraph"/>
        <w:tabs>
          <w:tab w:val="left" w:pos="709"/>
        </w:tabs>
        <w:ind w:left="0"/>
        <w:rPr>
          <w:b/>
          <w:sz w:val="22"/>
          <w:szCs w:val="22"/>
        </w:rPr>
      </w:pPr>
      <w:r w:rsidRPr="00550502">
        <w:rPr>
          <w:sz w:val="22"/>
          <w:szCs w:val="22"/>
        </w:rPr>
        <w:t>‘… differs from Dhooma’s usual signature.’</w:t>
      </w:r>
    </w:p>
    <w:p w14:paraId="5E61F363" w14:textId="77777777" w:rsidR="00692464" w:rsidRPr="00550502" w:rsidRDefault="00692464" w:rsidP="008166CD">
      <w:pPr>
        <w:pStyle w:val="ListParagraph"/>
        <w:tabs>
          <w:tab w:val="left" w:pos="709"/>
        </w:tabs>
        <w:ind w:left="0"/>
        <w:rPr>
          <w:b/>
        </w:rPr>
      </w:pPr>
      <w:r w:rsidRPr="00550502">
        <w:t xml:space="preserve">How this difference manifests itself is not specified. In all, the explanation is vague and </w:t>
      </w:r>
      <w:r w:rsidR="00550502">
        <w:t>un</w:t>
      </w:r>
      <w:r w:rsidR="00E657E8">
        <w:t>impressive</w:t>
      </w:r>
      <w:r w:rsidRPr="00550502">
        <w:t>. Nonetheless, for the purpose of the resolution of this applicati</w:t>
      </w:r>
      <w:r w:rsidR="00172744" w:rsidRPr="00550502">
        <w:t>on, I shall accept, without deci</w:t>
      </w:r>
      <w:r w:rsidRPr="00550502">
        <w:t xml:space="preserve">ding, that the first respondent was </w:t>
      </w:r>
      <w:r w:rsidR="00172744" w:rsidRPr="00550502">
        <w:t>itself a victim of a fraud.</w:t>
      </w:r>
      <w:r w:rsidRPr="00550502">
        <w:t xml:space="preserve"> </w:t>
      </w:r>
    </w:p>
    <w:p w14:paraId="6EC302CA" w14:textId="77777777" w:rsidR="00172744" w:rsidRPr="00550502" w:rsidRDefault="00172744" w:rsidP="008166CD">
      <w:pPr>
        <w:pStyle w:val="ListParagraph"/>
        <w:tabs>
          <w:tab w:val="left" w:pos="709"/>
        </w:tabs>
        <w:ind w:left="0"/>
        <w:rPr>
          <w:b/>
        </w:rPr>
      </w:pPr>
    </w:p>
    <w:p w14:paraId="52D29945" w14:textId="56CE1CA0" w:rsidR="00A533DB" w:rsidRPr="00FF36C8" w:rsidRDefault="00FF36C8" w:rsidP="00FF36C8">
      <w:pPr>
        <w:tabs>
          <w:tab w:val="left" w:pos="709"/>
        </w:tabs>
        <w:rPr>
          <w:b/>
        </w:rPr>
      </w:pPr>
      <w:r w:rsidRPr="00F43915">
        <w:t>[21]</w:t>
      </w:r>
      <w:r w:rsidRPr="00F43915">
        <w:tab/>
      </w:r>
      <w:r w:rsidR="00C116CD">
        <w:t>But notwithstanding this assumption, it is plain that p</w:t>
      </w:r>
      <w:r w:rsidR="00E657E8">
        <w:t xml:space="preserve">rior to </w:t>
      </w:r>
      <w:r w:rsidR="00A51103">
        <w:t>consenting to the order</w:t>
      </w:r>
      <w:r w:rsidR="00E657E8">
        <w:t>, t</w:t>
      </w:r>
      <w:r w:rsidR="00550502">
        <w:t xml:space="preserve">he first respondent unequivocally resisted the relief claimed by the applicant and strove to ensure that Portion 4 remained registered in its name. </w:t>
      </w:r>
      <w:r w:rsidR="00C116CD">
        <w:t xml:space="preserve">The first respondent cannot have it both ways: it cannot be a victim yet resist the relief claimed </w:t>
      </w:r>
      <w:r w:rsidR="00C116CD">
        <w:lastRenderedPageBreak/>
        <w:t xml:space="preserve">by the applicant at the same time. </w:t>
      </w:r>
      <w:r w:rsidR="00550502">
        <w:t>By so doing, it delayed the relief sought by the applicant.</w:t>
      </w:r>
      <w:r w:rsidR="00D60C5D">
        <w:t xml:space="preserve"> The application was brought on 28 April 2021, the answering affidavit is dated 26 August 2021, the replying affidavit is dated 14 November 2022 and the consent order is dated 1</w:t>
      </w:r>
      <w:r w:rsidR="00D60C5D" w:rsidRPr="00FF36C8">
        <w:rPr>
          <w:rFonts w:eastAsia="Times New Roman"/>
          <w:lang w:val="en-ZA" w:eastAsia="en-GB" w:bidi="yi-Hebr"/>
        </w:rPr>
        <w:t xml:space="preserve">1 October 2023. </w:t>
      </w:r>
      <w:r w:rsidR="00F43915" w:rsidRPr="00FF36C8">
        <w:rPr>
          <w:rFonts w:eastAsia="Times New Roman"/>
          <w:lang w:val="en-ZA" w:eastAsia="en-GB" w:bidi="yi-Hebr"/>
        </w:rPr>
        <w:t xml:space="preserve">Almost one year after the replying affidavit was delivered, the consent order was taken. </w:t>
      </w:r>
    </w:p>
    <w:p w14:paraId="4908A615" w14:textId="77777777" w:rsidR="00F43915" w:rsidRPr="00F43915" w:rsidRDefault="00F43915" w:rsidP="00F43915">
      <w:pPr>
        <w:pStyle w:val="ListParagraph"/>
        <w:tabs>
          <w:tab w:val="left" w:pos="709"/>
        </w:tabs>
        <w:ind w:left="0"/>
        <w:rPr>
          <w:b/>
        </w:rPr>
      </w:pPr>
    </w:p>
    <w:p w14:paraId="744EDDCE" w14:textId="4469A23A" w:rsidR="00E657E8" w:rsidRPr="00FF36C8" w:rsidRDefault="00FF36C8" w:rsidP="00FF36C8">
      <w:pPr>
        <w:tabs>
          <w:tab w:val="left" w:pos="709"/>
        </w:tabs>
        <w:rPr>
          <w:b/>
        </w:rPr>
      </w:pPr>
      <w:r>
        <w:t>[22]</w:t>
      </w:r>
      <w:r>
        <w:tab/>
      </w:r>
      <w:r w:rsidR="00A647AC">
        <w:t xml:space="preserve">Ultimately, the first respondent recognised that it could not succeed </w:t>
      </w:r>
      <w:r w:rsidR="00E657E8">
        <w:t>with its defence</w:t>
      </w:r>
      <w:r w:rsidR="00A647AC">
        <w:t xml:space="preserve"> and </w:t>
      </w:r>
      <w:r w:rsidR="00300CFC">
        <w:t xml:space="preserve">so conceded as much in agreeing to the consent order. </w:t>
      </w:r>
      <w:r w:rsidR="00A647AC">
        <w:t xml:space="preserve">But before </w:t>
      </w:r>
      <w:r w:rsidR="00D60C5D">
        <w:t>it threw in the</w:t>
      </w:r>
      <w:r w:rsidR="00A647AC">
        <w:t xml:space="preserve"> towel, the applicant had been compelled to </w:t>
      </w:r>
      <w:r w:rsidR="00D60C5D">
        <w:t>incur legal costs</w:t>
      </w:r>
      <w:r w:rsidR="00E657E8">
        <w:t xml:space="preserve"> directly as a result of the first respondent’s conduct</w:t>
      </w:r>
      <w:r w:rsidR="00D60C5D">
        <w:t>.</w:t>
      </w:r>
      <w:r w:rsidR="00A647AC">
        <w:t xml:space="preserve"> </w:t>
      </w:r>
      <w:r w:rsidR="00E657E8">
        <w:t>I mentioned earlier in this judgment that sub-paragraph 1.8 of the notice of motion was different to sub-paragraph 1.8 in the consent order. It originally read as follows in the notice of motion:</w:t>
      </w:r>
    </w:p>
    <w:p w14:paraId="10A01DB4" w14:textId="77777777" w:rsidR="00E657E8" w:rsidRPr="00E657E8" w:rsidRDefault="00E657E8" w:rsidP="00E657E8">
      <w:pPr>
        <w:pStyle w:val="ListParagraph"/>
        <w:tabs>
          <w:tab w:val="left" w:pos="709"/>
        </w:tabs>
        <w:ind w:left="0"/>
        <w:rPr>
          <w:b/>
          <w:sz w:val="22"/>
          <w:szCs w:val="22"/>
        </w:rPr>
      </w:pPr>
      <w:r w:rsidRPr="00E657E8">
        <w:rPr>
          <w:sz w:val="22"/>
          <w:szCs w:val="22"/>
        </w:rPr>
        <w:t>‘Any party opposing the application shall pay the costs thereof, jointly and severally with any other opposing party, the one paying the other/s to be absolved.’</w:t>
      </w:r>
    </w:p>
    <w:p w14:paraId="69A02B39" w14:textId="77777777" w:rsidR="000B23C4" w:rsidRDefault="000B23C4" w:rsidP="00E657E8">
      <w:pPr>
        <w:pStyle w:val="ListParagraph"/>
        <w:tabs>
          <w:tab w:val="left" w:pos="709"/>
        </w:tabs>
        <w:ind w:left="0"/>
        <w:rPr>
          <w:b/>
        </w:rPr>
      </w:pPr>
      <w:r>
        <w:t xml:space="preserve">Had there thus been no opposition, there would be no basis for an order of costs. Only one party </w:t>
      </w:r>
      <w:r w:rsidR="00E657E8">
        <w:t>has</w:t>
      </w:r>
      <w:r>
        <w:t xml:space="preserve"> opposed the relief </w:t>
      </w:r>
      <w:r w:rsidR="00E657E8">
        <w:t xml:space="preserve">claimed </w:t>
      </w:r>
      <w:r>
        <w:t xml:space="preserve">and that </w:t>
      </w:r>
      <w:r w:rsidR="00E657E8">
        <w:t>i</w:t>
      </w:r>
      <w:r>
        <w:t>s the first respondent.</w:t>
      </w:r>
    </w:p>
    <w:p w14:paraId="40A729AF" w14:textId="77777777" w:rsidR="000B23C4" w:rsidRPr="000B23C4" w:rsidRDefault="000B23C4" w:rsidP="000B23C4">
      <w:pPr>
        <w:pStyle w:val="ListParagraph"/>
        <w:rPr>
          <w:b/>
        </w:rPr>
      </w:pPr>
    </w:p>
    <w:p w14:paraId="67F701B4" w14:textId="320B1DDD" w:rsidR="00E657E8" w:rsidRPr="00FF36C8" w:rsidRDefault="00FF36C8" w:rsidP="00FF36C8">
      <w:pPr>
        <w:tabs>
          <w:tab w:val="left" w:pos="709"/>
        </w:tabs>
        <w:rPr>
          <w:b/>
        </w:rPr>
      </w:pPr>
      <w:r>
        <w:t>[23]</w:t>
      </w:r>
      <w:r>
        <w:tab/>
      </w:r>
      <w:r w:rsidR="000B23C4" w:rsidRPr="00300CFC">
        <w:t xml:space="preserve"> </w:t>
      </w:r>
      <w:r w:rsidR="00476ECF" w:rsidRPr="00300CFC">
        <w:t>I</w:t>
      </w:r>
      <w:r w:rsidR="00CD56B5" w:rsidRPr="00300CFC">
        <w:t xml:space="preserve">t follows that the applicant has been entirely successful in obtaining the relief that it </w:t>
      </w:r>
      <w:r w:rsidR="00300CFC">
        <w:t xml:space="preserve">initially </w:t>
      </w:r>
      <w:r w:rsidR="00CD56B5" w:rsidRPr="00300CFC">
        <w:t>sought. The general rule is that costs follow the result.</w:t>
      </w:r>
      <w:r w:rsidR="00CD56B5">
        <w:rPr>
          <w:rStyle w:val="FootnoteReference"/>
        </w:rPr>
        <w:footnoteReference w:id="8"/>
      </w:r>
      <w:r w:rsidR="00B24FD2" w:rsidRPr="00300CFC">
        <w:t xml:space="preserve"> I see no reas</w:t>
      </w:r>
      <w:r w:rsidR="00E04628" w:rsidRPr="00300CFC">
        <w:t>on to deviate from that general rule</w:t>
      </w:r>
      <w:r w:rsidR="00E657E8">
        <w:t>.</w:t>
      </w:r>
    </w:p>
    <w:p w14:paraId="0A093C26" w14:textId="77777777" w:rsidR="00E04628" w:rsidRPr="00E04628" w:rsidRDefault="00E657E8" w:rsidP="00E657E8">
      <w:pPr>
        <w:pStyle w:val="ListParagraph"/>
        <w:tabs>
          <w:tab w:val="left" w:pos="709"/>
        </w:tabs>
        <w:ind w:left="0"/>
        <w:rPr>
          <w:b/>
        </w:rPr>
      </w:pPr>
      <w:r w:rsidRPr="00E04628">
        <w:t xml:space="preserve"> </w:t>
      </w:r>
    </w:p>
    <w:p w14:paraId="1F55248C" w14:textId="229BA5CB" w:rsidR="00E04628" w:rsidRPr="00FF36C8" w:rsidRDefault="00FF36C8" w:rsidP="00FF36C8">
      <w:pPr>
        <w:tabs>
          <w:tab w:val="left" w:pos="709"/>
        </w:tabs>
        <w:rPr>
          <w:b/>
        </w:rPr>
      </w:pPr>
      <w:r>
        <w:t>[24]</w:t>
      </w:r>
      <w:r>
        <w:tab/>
      </w:r>
      <w:r w:rsidR="00E04628">
        <w:t>In the result, I grant the following order:</w:t>
      </w:r>
    </w:p>
    <w:p w14:paraId="471014FE" w14:textId="77777777" w:rsidR="00E04628" w:rsidRPr="004C1C2A" w:rsidRDefault="00E04628" w:rsidP="00E04628">
      <w:pPr>
        <w:pStyle w:val="ListParagraph"/>
        <w:tabs>
          <w:tab w:val="left" w:pos="709"/>
        </w:tabs>
        <w:ind w:left="0"/>
        <w:rPr>
          <w:b/>
        </w:rPr>
      </w:pPr>
      <w:r>
        <w:t xml:space="preserve">The first respondent is directed to pay the </w:t>
      </w:r>
      <w:r w:rsidR="00476ECF">
        <w:t xml:space="preserve">costs of the application, including those costs reserved on 11 October 2023. </w:t>
      </w:r>
    </w:p>
    <w:p w14:paraId="4F022F89" w14:textId="77777777" w:rsidR="005830CE" w:rsidRPr="00B64C05" w:rsidRDefault="005830CE" w:rsidP="00D2194A">
      <w:pPr>
        <w:contextualSpacing/>
        <w:rPr>
          <w:b/>
        </w:rPr>
      </w:pPr>
    </w:p>
    <w:p w14:paraId="21E67DC1" w14:textId="77777777" w:rsidR="005830CE" w:rsidRDefault="005830CE" w:rsidP="00D2194A">
      <w:pPr>
        <w:contextualSpacing/>
      </w:pPr>
    </w:p>
    <w:p w14:paraId="22730691" w14:textId="0B3E7CB6" w:rsidR="00D2194A" w:rsidRDefault="00D2194A" w:rsidP="00D2194A">
      <w:pPr>
        <w:contextualSpacing/>
      </w:pPr>
    </w:p>
    <w:p w14:paraId="31CFBE05" w14:textId="77777777" w:rsidR="000A1F3B" w:rsidRDefault="000A1F3B" w:rsidP="00D2194A">
      <w:pPr>
        <w:contextualSpacing/>
      </w:pPr>
    </w:p>
    <w:p w14:paraId="09B99B63" w14:textId="77777777" w:rsidR="000A1F3B" w:rsidRDefault="000A1F3B" w:rsidP="00D2194A">
      <w:pPr>
        <w:pStyle w:val="ListParagraph"/>
        <w:jc w:val="right"/>
      </w:pPr>
      <w:r>
        <w:t>________________________</w:t>
      </w:r>
    </w:p>
    <w:p w14:paraId="308AE913" w14:textId="77777777" w:rsidR="000A1F3B" w:rsidRDefault="000A1F3B" w:rsidP="00CC3331">
      <w:pPr>
        <w:pStyle w:val="ListParagraph"/>
        <w:spacing w:line="240" w:lineRule="auto"/>
        <w:jc w:val="right"/>
        <w:rPr>
          <w:b/>
          <w:bCs/>
        </w:rPr>
      </w:pPr>
    </w:p>
    <w:p w14:paraId="5C1C5C03" w14:textId="77777777" w:rsidR="000A1F3B" w:rsidRPr="00CC3331" w:rsidRDefault="000A1F3B" w:rsidP="00D2194A">
      <w:pPr>
        <w:pStyle w:val="ListParagraph"/>
        <w:jc w:val="right"/>
        <w:rPr>
          <w:b/>
          <w:bCs/>
        </w:rPr>
      </w:pPr>
      <w:r w:rsidRPr="00CC3331">
        <w:rPr>
          <w:b/>
          <w:bCs/>
        </w:rPr>
        <w:t>MOSSOP J</w:t>
      </w:r>
    </w:p>
    <w:p w14:paraId="4702BE53" w14:textId="77777777" w:rsidR="000A1F3B" w:rsidRDefault="000A1F3B" w:rsidP="00D2194A">
      <w:pPr>
        <w:jc w:val="center"/>
        <w:rPr>
          <w:rFonts w:eastAsia="Calibri"/>
          <w:b/>
          <w:u w:val="single"/>
        </w:rPr>
      </w:pPr>
    </w:p>
    <w:p w14:paraId="643B049B" w14:textId="77777777" w:rsidR="003C215D" w:rsidRPr="00CC3331" w:rsidRDefault="003C215D" w:rsidP="00CC3331">
      <w:pPr>
        <w:jc w:val="center"/>
        <w:rPr>
          <w:rFonts w:eastAsia="Calibri"/>
          <w:b/>
          <w:u w:val="single"/>
        </w:rPr>
      </w:pPr>
      <w:r w:rsidRPr="00CC3331">
        <w:rPr>
          <w:rFonts w:eastAsia="Calibri"/>
          <w:b/>
          <w:u w:val="single"/>
        </w:rPr>
        <w:lastRenderedPageBreak/>
        <w:t>APPEARANCES</w:t>
      </w:r>
    </w:p>
    <w:p w14:paraId="472CA692" w14:textId="77777777" w:rsidR="003C215D" w:rsidRDefault="003C215D" w:rsidP="00D2194A">
      <w:pPr>
        <w:jc w:val="center"/>
        <w:rPr>
          <w:rFonts w:eastAsia="Calibri"/>
          <w:b/>
          <w:u w:val="single"/>
        </w:rPr>
      </w:pPr>
    </w:p>
    <w:p w14:paraId="16FEF6F9" w14:textId="77777777" w:rsidR="00313150" w:rsidRDefault="00313150" w:rsidP="00D2194A">
      <w:pPr>
        <w:jc w:val="center"/>
        <w:rPr>
          <w:rFonts w:eastAsia="Calibri"/>
          <w:b/>
          <w:u w:val="single"/>
        </w:rPr>
      </w:pPr>
    </w:p>
    <w:p w14:paraId="4E557052" w14:textId="77777777" w:rsidR="00313150" w:rsidRPr="005830CE" w:rsidRDefault="00313150" w:rsidP="00D2194A">
      <w:pPr>
        <w:jc w:val="center"/>
        <w:rPr>
          <w:rFonts w:eastAsia="Calibri"/>
          <w:b/>
          <w:u w:val="single"/>
        </w:rPr>
      </w:pPr>
    </w:p>
    <w:p w14:paraId="3EC2C6AA" w14:textId="77777777" w:rsidR="009334AC" w:rsidRPr="005830CE" w:rsidRDefault="003C215D" w:rsidP="00D2194A">
      <w:pPr>
        <w:ind w:right="-82"/>
        <w:rPr>
          <w:b/>
        </w:rPr>
      </w:pPr>
      <w:r w:rsidRPr="005830CE">
        <w:t xml:space="preserve">Counsel for the </w:t>
      </w:r>
      <w:r w:rsidR="00D24E3D" w:rsidRPr="005830CE">
        <w:t>plaintiff</w:t>
      </w:r>
      <w:r w:rsidRPr="005830CE">
        <w:tab/>
      </w:r>
      <w:r w:rsidRPr="005830CE">
        <w:tab/>
      </w:r>
      <w:r w:rsidRPr="005830CE">
        <w:tab/>
        <w:t xml:space="preserve">:  </w:t>
      </w:r>
      <w:r w:rsidRPr="005830CE">
        <w:tab/>
      </w:r>
      <w:r w:rsidR="00C90AAC" w:rsidRPr="005830CE">
        <w:t>M</w:t>
      </w:r>
      <w:r w:rsidR="00476ECF">
        <w:t>r P C Prior</w:t>
      </w:r>
    </w:p>
    <w:p w14:paraId="514C4F88" w14:textId="77777777" w:rsidR="003C215D" w:rsidRDefault="003C215D" w:rsidP="00D2194A">
      <w:pPr>
        <w:ind w:right="-82"/>
        <w:rPr>
          <w:b/>
        </w:rPr>
      </w:pPr>
      <w:r w:rsidRPr="005830CE">
        <w:t>Instructed by:</w:t>
      </w:r>
      <w:r w:rsidRPr="005830CE">
        <w:tab/>
      </w:r>
      <w:r w:rsidRPr="005830CE">
        <w:tab/>
      </w:r>
      <w:r w:rsidRPr="005830CE">
        <w:tab/>
      </w:r>
      <w:r w:rsidRPr="005830CE">
        <w:tab/>
        <w:t>:</w:t>
      </w:r>
      <w:r w:rsidRPr="005830CE">
        <w:tab/>
      </w:r>
      <w:r w:rsidR="00476ECF">
        <w:t>Luthuli Sithole Attorneys</w:t>
      </w:r>
    </w:p>
    <w:p w14:paraId="77940432" w14:textId="77777777" w:rsidR="00476ECF" w:rsidRDefault="00476ECF" w:rsidP="00D2194A">
      <w:pPr>
        <w:ind w:right="-82"/>
        <w:rPr>
          <w:b/>
        </w:rPr>
      </w:pPr>
      <w:r>
        <w:tab/>
      </w:r>
      <w:r>
        <w:tab/>
      </w:r>
      <w:r>
        <w:tab/>
      </w:r>
      <w:r>
        <w:tab/>
      </w:r>
      <w:r>
        <w:tab/>
      </w:r>
      <w:r>
        <w:tab/>
      </w:r>
      <w:r>
        <w:tab/>
        <w:t>56 Henwood Road</w:t>
      </w:r>
    </w:p>
    <w:p w14:paraId="0471F2AC" w14:textId="77777777" w:rsidR="00476ECF" w:rsidRDefault="00476ECF" w:rsidP="00D2194A">
      <w:pPr>
        <w:ind w:right="-82"/>
        <w:rPr>
          <w:b/>
        </w:rPr>
      </w:pPr>
      <w:r>
        <w:tab/>
      </w:r>
      <w:r>
        <w:tab/>
      </w:r>
      <w:r>
        <w:tab/>
      </w:r>
      <w:r>
        <w:tab/>
      </w:r>
      <w:r>
        <w:tab/>
      </w:r>
      <w:r>
        <w:tab/>
      </w:r>
      <w:r>
        <w:tab/>
        <w:t>Morningside</w:t>
      </w:r>
    </w:p>
    <w:p w14:paraId="22775161" w14:textId="77777777" w:rsidR="00476ECF" w:rsidRPr="005830CE" w:rsidRDefault="00476ECF" w:rsidP="00D2194A">
      <w:pPr>
        <w:ind w:right="-82"/>
        <w:rPr>
          <w:b/>
        </w:rPr>
      </w:pPr>
      <w:r>
        <w:tab/>
      </w:r>
      <w:r>
        <w:tab/>
      </w:r>
      <w:r>
        <w:tab/>
      </w:r>
      <w:r>
        <w:tab/>
      </w:r>
      <w:r>
        <w:tab/>
      </w:r>
      <w:r>
        <w:tab/>
      </w:r>
      <w:r>
        <w:tab/>
        <w:t>Durban</w:t>
      </w:r>
    </w:p>
    <w:p w14:paraId="5679C61C" w14:textId="77777777" w:rsidR="003C215D" w:rsidRPr="005830CE" w:rsidRDefault="003C215D" w:rsidP="00D2194A">
      <w:pPr>
        <w:ind w:right="-82"/>
        <w:rPr>
          <w:b/>
        </w:rPr>
      </w:pPr>
      <w:r w:rsidRPr="005830CE">
        <w:tab/>
      </w:r>
      <w:r w:rsidRPr="005830CE">
        <w:tab/>
      </w:r>
      <w:r w:rsidRPr="005830CE">
        <w:tab/>
      </w:r>
      <w:r w:rsidRPr="005830CE">
        <w:tab/>
      </w:r>
      <w:r w:rsidRPr="005830CE">
        <w:tab/>
      </w:r>
      <w:r w:rsidRPr="005830CE">
        <w:tab/>
      </w:r>
      <w:r w:rsidRPr="005830CE">
        <w:tab/>
        <w:t>Care of:</w:t>
      </w:r>
    </w:p>
    <w:p w14:paraId="18B21224" w14:textId="77777777" w:rsidR="00C90AAC" w:rsidRDefault="003C215D" w:rsidP="00476ECF">
      <w:pPr>
        <w:ind w:right="-82"/>
        <w:rPr>
          <w:b/>
        </w:rPr>
      </w:pPr>
      <w:r w:rsidRPr="005830CE">
        <w:tab/>
      </w:r>
      <w:r w:rsidRPr="005830CE">
        <w:tab/>
      </w:r>
      <w:r w:rsidRPr="005830CE">
        <w:tab/>
      </w:r>
      <w:r w:rsidRPr="005830CE">
        <w:tab/>
      </w:r>
      <w:r w:rsidRPr="005830CE">
        <w:tab/>
      </w:r>
      <w:r w:rsidRPr="005830CE">
        <w:tab/>
      </w:r>
      <w:r w:rsidRPr="005830CE">
        <w:tab/>
      </w:r>
      <w:r w:rsidR="00476ECF">
        <w:t>Austen Smith Attorneys</w:t>
      </w:r>
    </w:p>
    <w:p w14:paraId="026EAD1F" w14:textId="77777777" w:rsidR="00476ECF" w:rsidRDefault="00476ECF" w:rsidP="00476ECF">
      <w:pPr>
        <w:ind w:right="-82"/>
        <w:rPr>
          <w:b/>
        </w:rPr>
      </w:pPr>
      <w:r>
        <w:tab/>
      </w:r>
      <w:r>
        <w:tab/>
      </w:r>
      <w:r>
        <w:tab/>
      </w:r>
      <w:r>
        <w:tab/>
      </w:r>
      <w:r>
        <w:tab/>
      </w:r>
      <w:r>
        <w:tab/>
      </w:r>
      <w:r>
        <w:tab/>
        <w:t>Walmsley House</w:t>
      </w:r>
    </w:p>
    <w:p w14:paraId="6AF44105" w14:textId="77777777" w:rsidR="00476ECF" w:rsidRPr="005830CE" w:rsidRDefault="00476ECF" w:rsidP="00476ECF">
      <w:pPr>
        <w:ind w:right="-82"/>
        <w:rPr>
          <w:b/>
        </w:rPr>
      </w:pPr>
      <w:r>
        <w:tab/>
      </w:r>
      <w:r>
        <w:tab/>
      </w:r>
      <w:r>
        <w:tab/>
      </w:r>
      <w:r>
        <w:tab/>
      </w:r>
      <w:r>
        <w:tab/>
      </w:r>
      <w:r>
        <w:tab/>
      </w:r>
      <w:r>
        <w:tab/>
        <w:t>191 Pietermaritz Street</w:t>
      </w:r>
    </w:p>
    <w:p w14:paraId="376F56F4" w14:textId="77777777" w:rsidR="00D24E3D" w:rsidRPr="005830CE" w:rsidRDefault="00D24E3D" w:rsidP="00D2194A">
      <w:pPr>
        <w:ind w:right="-82"/>
        <w:rPr>
          <w:b/>
        </w:rPr>
      </w:pPr>
      <w:r w:rsidRPr="005830CE">
        <w:tab/>
      </w:r>
      <w:r w:rsidRPr="005830CE">
        <w:tab/>
      </w:r>
      <w:r w:rsidRPr="005830CE">
        <w:tab/>
      </w:r>
      <w:r w:rsidRPr="005830CE">
        <w:tab/>
      </w:r>
      <w:r w:rsidRPr="005830CE">
        <w:tab/>
      </w:r>
      <w:r w:rsidRPr="005830CE">
        <w:tab/>
      </w:r>
      <w:r w:rsidRPr="005830CE">
        <w:tab/>
      </w:r>
      <w:r w:rsidR="00C90AAC" w:rsidRPr="005830CE">
        <w:t>Pietermaritzburg</w:t>
      </w:r>
    </w:p>
    <w:p w14:paraId="45679C0B" w14:textId="77777777" w:rsidR="003C215D" w:rsidRPr="005830CE" w:rsidRDefault="003C215D" w:rsidP="00D2194A">
      <w:pPr>
        <w:ind w:right="-82"/>
        <w:rPr>
          <w:b/>
        </w:rPr>
      </w:pPr>
      <w:r w:rsidRPr="005830CE">
        <w:tab/>
      </w:r>
      <w:r w:rsidRPr="005830CE">
        <w:tab/>
      </w:r>
      <w:r w:rsidRPr="005830CE">
        <w:tab/>
      </w:r>
      <w:r w:rsidRPr="005830CE">
        <w:tab/>
      </w:r>
      <w:r w:rsidRPr="005830CE">
        <w:tab/>
      </w:r>
      <w:r w:rsidRPr="005830CE">
        <w:tab/>
      </w:r>
      <w:r w:rsidRPr="005830CE">
        <w:tab/>
      </w:r>
    </w:p>
    <w:p w14:paraId="32DA1DD3" w14:textId="77777777" w:rsidR="003C215D" w:rsidRPr="005830CE" w:rsidRDefault="003C215D" w:rsidP="00D2194A">
      <w:pPr>
        <w:ind w:right="-82"/>
        <w:rPr>
          <w:b/>
        </w:rPr>
      </w:pPr>
      <w:r w:rsidRPr="005830CE">
        <w:tab/>
      </w:r>
      <w:r w:rsidRPr="005830CE">
        <w:tab/>
      </w:r>
      <w:r w:rsidRPr="005830CE">
        <w:tab/>
      </w:r>
      <w:r w:rsidRPr="005830CE">
        <w:tab/>
      </w:r>
      <w:r w:rsidRPr="005830CE">
        <w:tab/>
      </w:r>
      <w:r w:rsidRPr="005830CE">
        <w:tab/>
        <w:t xml:space="preserve"> </w:t>
      </w:r>
    </w:p>
    <w:p w14:paraId="74B6FA98" w14:textId="77777777" w:rsidR="00C90AAC" w:rsidRPr="005830CE" w:rsidRDefault="003C215D" w:rsidP="00D2194A">
      <w:pPr>
        <w:rPr>
          <w:b/>
        </w:rPr>
      </w:pPr>
      <w:r w:rsidRPr="005830CE">
        <w:t xml:space="preserve">Counsel for the </w:t>
      </w:r>
      <w:r w:rsidR="00C90AAC" w:rsidRPr="005830CE">
        <w:t>respondent</w:t>
      </w:r>
      <w:r w:rsidRPr="005830CE">
        <w:tab/>
        <w:t xml:space="preserve"> </w:t>
      </w:r>
      <w:r w:rsidRPr="005830CE">
        <w:tab/>
        <w:t>:</w:t>
      </w:r>
      <w:r w:rsidRPr="005830CE">
        <w:tab/>
      </w:r>
      <w:r w:rsidR="00C90AAC" w:rsidRPr="005830CE">
        <w:t>M</w:t>
      </w:r>
      <w:r w:rsidR="00D04D08">
        <w:t>s J P Jantjies</w:t>
      </w:r>
    </w:p>
    <w:p w14:paraId="2AB89C58" w14:textId="77777777" w:rsidR="00C90AAC" w:rsidRDefault="003C215D" w:rsidP="00D04D08">
      <w:pPr>
        <w:rPr>
          <w:b/>
        </w:rPr>
      </w:pPr>
      <w:r w:rsidRPr="005830CE">
        <w:t>Instructed by</w:t>
      </w:r>
      <w:r w:rsidRPr="005830CE">
        <w:tab/>
      </w:r>
      <w:r w:rsidR="00D24E3D" w:rsidRPr="005830CE">
        <w:tab/>
      </w:r>
      <w:r w:rsidR="005830CE">
        <w:tab/>
      </w:r>
      <w:r w:rsidR="00D24E3D" w:rsidRPr="005830CE">
        <w:tab/>
      </w:r>
      <w:r w:rsidR="00D24E3D" w:rsidRPr="005830CE">
        <w:tab/>
      </w:r>
      <w:r w:rsidRPr="005830CE">
        <w:t>:</w:t>
      </w:r>
      <w:r w:rsidRPr="005830CE">
        <w:tab/>
      </w:r>
      <w:r w:rsidR="00D04D08">
        <w:t>Anand-Nepaul Attorneys</w:t>
      </w:r>
    </w:p>
    <w:p w14:paraId="0752B104" w14:textId="77777777" w:rsidR="00D04D08" w:rsidRDefault="00D04D08" w:rsidP="00D04D08">
      <w:pPr>
        <w:rPr>
          <w:b/>
        </w:rPr>
      </w:pPr>
      <w:r>
        <w:tab/>
      </w:r>
      <w:r>
        <w:tab/>
      </w:r>
      <w:r>
        <w:tab/>
      </w:r>
      <w:r>
        <w:tab/>
      </w:r>
      <w:r>
        <w:tab/>
      </w:r>
      <w:r>
        <w:tab/>
      </w:r>
      <w:r>
        <w:tab/>
        <w:t>9</w:t>
      </w:r>
      <w:r w:rsidRPr="00D04D08">
        <w:rPr>
          <w:vertAlign w:val="superscript"/>
        </w:rPr>
        <w:t>th</w:t>
      </w:r>
      <w:r>
        <w:t xml:space="preserve"> Floor, Royal Towers</w:t>
      </w:r>
    </w:p>
    <w:p w14:paraId="0A5DA027" w14:textId="77777777" w:rsidR="00D04D08" w:rsidRDefault="00D04D08" w:rsidP="00D04D08">
      <w:pPr>
        <w:rPr>
          <w:b/>
        </w:rPr>
      </w:pPr>
      <w:r>
        <w:tab/>
      </w:r>
      <w:r>
        <w:tab/>
      </w:r>
      <w:r>
        <w:tab/>
      </w:r>
      <w:r>
        <w:tab/>
      </w:r>
      <w:r>
        <w:tab/>
      </w:r>
      <w:r>
        <w:tab/>
      </w:r>
      <w:r>
        <w:tab/>
        <w:t>30 Dorothy Nyembe Street</w:t>
      </w:r>
    </w:p>
    <w:p w14:paraId="44D5A666" w14:textId="77777777" w:rsidR="00D04D08" w:rsidRPr="005830CE" w:rsidRDefault="00D04D08" w:rsidP="00D04D08">
      <w:pPr>
        <w:rPr>
          <w:b/>
        </w:rPr>
      </w:pPr>
      <w:r>
        <w:tab/>
      </w:r>
      <w:r>
        <w:tab/>
      </w:r>
      <w:r>
        <w:tab/>
      </w:r>
      <w:r>
        <w:tab/>
      </w:r>
      <w:r>
        <w:tab/>
      </w:r>
      <w:r>
        <w:tab/>
      </w:r>
      <w:r>
        <w:tab/>
        <w:t>Durban</w:t>
      </w:r>
    </w:p>
    <w:p w14:paraId="535D73AA" w14:textId="77777777" w:rsidR="00C90AAC" w:rsidRPr="005830CE" w:rsidRDefault="00C90AAC" w:rsidP="00D2194A">
      <w:pPr>
        <w:rPr>
          <w:b/>
        </w:rPr>
      </w:pPr>
      <w:r w:rsidRPr="005830CE">
        <w:tab/>
      </w:r>
      <w:r w:rsidRPr="005830CE">
        <w:tab/>
      </w:r>
      <w:r w:rsidRPr="005830CE">
        <w:tab/>
      </w:r>
      <w:r w:rsidRPr="005830CE">
        <w:tab/>
      </w:r>
      <w:r w:rsidRPr="005830CE">
        <w:tab/>
      </w:r>
      <w:r w:rsidRPr="005830CE">
        <w:tab/>
      </w:r>
      <w:r w:rsidRPr="005830CE">
        <w:tab/>
        <w:t>Care of:</w:t>
      </w:r>
    </w:p>
    <w:p w14:paraId="432B2E14" w14:textId="77777777" w:rsidR="00C90AAC" w:rsidRDefault="00C90AAC" w:rsidP="00D2194A">
      <w:pPr>
        <w:rPr>
          <w:b/>
        </w:rPr>
      </w:pPr>
      <w:r w:rsidRPr="005830CE">
        <w:tab/>
      </w:r>
      <w:r w:rsidRPr="005830CE">
        <w:tab/>
      </w:r>
      <w:r w:rsidRPr="005830CE">
        <w:tab/>
      </w:r>
      <w:r w:rsidRPr="005830CE">
        <w:tab/>
      </w:r>
      <w:r w:rsidRPr="005830CE">
        <w:tab/>
      </w:r>
      <w:r w:rsidRPr="005830CE">
        <w:tab/>
      </w:r>
      <w:r w:rsidRPr="005830CE">
        <w:tab/>
      </w:r>
      <w:r w:rsidR="00D04D08">
        <w:t>Cajee Setsubi Chetty</w:t>
      </w:r>
    </w:p>
    <w:p w14:paraId="6A938FA0" w14:textId="77777777" w:rsidR="00D04D08" w:rsidRDefault="00D04D08" w:rsidP="00D2194A">
      <w:pPr>
        <w:rPr>
          <w:b/>
        </w:rPr>
      </w:pPr>
      <w:r>
        <w:tab/>
      </w:r>
      <w:r>
        <w:tab/>
      </w:r>
      <w:r>
        <w:tab/>
      </w:r>
      <w:r>
        <w:tab/>
      </w:r>
      <w:r>
        <w:tab/>
      </w:r>
      <w:r>
        <w:tab/>
      </w:r>
      <w:r>
        <w:tab/>
        <w:t>195 Boshoff Street</w:t>
      </w:r>
    </w:p>
    <w:p w14:paraId="39F9EF93" w14:textId="77777777" w:rsidR="009334AC" w:rsidRPr="005830CE" w:rsidRDefault="00D04D08" w:rsidP="00D2194A">
      <w:pPr>
        <w:rPr>
          <w:b/>
        </w:rPr>
      </w:pPr>
      <w:r>
        <w:tab/>
      </w:r>
      <w:r>
        <w:tab/>
      </w:r>
      <w:r>
        <w:tab/>
      </w:r>
      <w:r>
        <w:tab/>
      </w:r>
      <w:r>
        <w:tab/>
      </w:r>
      <w:r>
        <w:tab/>
      </w:r>
      <w:r>
        <w:tab/>
      </w:r>
      <w:r w:rsidR="009334AC" w:rsidRPr="005830CE">
        <w:t>Pietermaritzburg</w:t>
      </w:r>
    </w:p>
    <w:p w14:paraId="4468BD4F" w14:textId="77777777" w:rsidR="003C215D" w:rsidRPr="005830CE" w:rsidRDefault="003C215D" w:rsidP="00D2194A">
      <w:pPr>
        <w:rPr>
          <w:b/>
        </w:rPr>
      </w:pPr>
      <w:r w:rsidRPr="005830CE">
        <w:tab/>
      </w:r>
    </w:p>
    <w:p w14:paraId="0133508D" w14:textId="47038895" w:rsidR="009334AC" w:rsidRDefault="003C215D" w:rsidP="00D2194A">
      <w:pPr>
        <w:rPr>
          <w:rFonts w:eastAsia="Calibri"/>
          <w:b/>
        </w:rPr>
      </w:pPr>
      <w:r w:rsidRPr="005830CE">
        <w:rPr>
          <w:rFonts w:eastAsia="Calibri"/>
        </w:rPr>
        <w:t xml:space="preserve">Date of Hearing </w:t>
      </w:r>
      <w:r w:rsidRPr="005830CE">
        <w:rPr>
          <w:rFonts w:eastAsia="Calibri"/>
        </w:rPr>
        <w:tab/>
      </w:r>
      <w:r w:rsidRPr="005830CE">
        <w:rPr>
          <w:rFonts w:eastAsia="Calibri"/>
        </w:rPr>
        <w:tab/>
      </w:r>
      <w:r w:rsidRPr="005830CE">
        <w:rPr>
          <w:rFonts w:eastAsia="Calibri"/>
        </w:rPr>
        <w:tab/>
      </w:r>
      <w:r w:rsidRPr="005830CE">
        <w:rPr>
          <w:rFonts w:eastAsia="Calibri"/>
        </w:rPr>
        <w:tab/>
        <w:t>:</w:t>
      </w:r>
      <w:r w:rsidRPr="005830CE">
        <w:rPr>
          <w:rFonts w:eastAsia="Calibri"/>
        </w:rPr>
        <w:tab/>
      </w:r>
      <w:r w:rsidR="00CC3331">
        <w:rPr>
          <w:rFonts w:eastAsia="Calibri"/>
        </w:rPr>
        <w:t>20 February 2024</w:t>
      </w:r>
    </w:p>
    <w:p w14:paraId="28A5E453" w14:textId="77777777" w:rsidR="00A533DB" w:rsidRPr="005830CE" w:rsidRDefault="00A533DB" w:rsidP="00D2194A">
      <w:pPr>
        <w:rPr>
          <w:rFonts w:eastAsia="Calibri"/>
          <w:b/>
        </w:rPr>
      </w:pPr>
    </w:p>
    <w:p w14:paraId="7F351958" w14:textId="19DEF9EA" w:rsidR="003C215D" w:rsidRPr="005830CE" w:rsidRDefault="003C215D" w:rsidP="00D2194A">
      <w:pPr>
        <w:rPr>
          <w:rFonts w:eastAsia="Calibri"/>
          <w:b/>
        </w:rPr>
      </w:pPr>
      <w:r w:rsidRPr="005830CE">
        <w:rPr>
          <w:rFonts w:eastAsia="Calibri"/>
        </w:rPr>
        <w:t xml:space="preserve">Date of </w:t>
      </w:r>
      <w:r w:rsidR="009B5B9E" w:rsidRPr="005830CE">
        <w:rPr>
          <w:rFonts w:eastAsia="Calibri"/>
        </w:rPr>
        <w:t xml:space="preserve">Judgment </w:t>
      </w:r>
      <w:r w:rsidR="009B5B9E" w:rsidRPr="005830CE">
        <w:rPr>
          <w:rFonts w:eastAsia="Calibri"/>
        </w:rPr>
        <w:tab/>
      </w:r>
      <w:r w:rsidRPr="005830CE">
        <w:rPr>
          <w:rFonts w:eastAsia="Calibri"/>
        </w:rPr>
        <w:tab/>
      </w:r>
      <w:r w:rsidRPr="005830CE">
        <w:rPr>
          <w:rFonts w:eastAsia="Calibri"/>
        </w:rPr>
        <w:tab/>
      </w:r>
      <w:r w:rsidRPr="005830CE">
        <w:rPr>
          <w:rFonts w:eastAsia="Calibri"/>
        </w:rPr>
        <w:tab/>
        <w:t>:</w:t>
      </w:r>
      <w:r w:rsidRPr="005830CE">
        <w:rPr>
          <w:rFonts w:eastAsia="Calibri"/>
        </w:rPr>
        <w:tab/>
      </w:r>
      <w:r w:rsidR="00CC3331">
        <w:rPr>
          <w:rFonts w:eastAsia="Calibri"/>
        </w:rPr>
        <w:t>20 February 2024</w:t>
      </w:r>
    </w:p>
    <w:p w14:paraId="331A3E77" w14:textId="77777777" w:rsidR="003C215D" w:rsidRPr="005830CE" w:rsidRDefault="003C215D" w:rsidP="00D2194A">
      <w:pPr>
        <w:tabs>
          <w:tab w:val="left" w:pos="709"/>
        </w:tabs>
        <w:rPr>
          <w:b/>
          <w:bCs/>
        </w:rPr>
      </w:pPr>
    </w:p>
    <w:p w14:paraId="10DB3646" w14:textId="77777777" w:rsidR="003C215D" w:rsidRDefault="003C215D" w:rsidP="00D2194A">
      <w:pPr>
        <w:tabs>
          <w:tab w:val="left" w:pos="709"/>
        </w:tabs>
        <w:jc w:val="right"/>
        <w:rPr>
          <w:rFonts w:eastAsia="Times New Roman"/>
          <w:lang w:val="en-ZA" w:eastAsia="en-GB" w:bidi="yi-Hebr"/>
        </w:rPr>
      </w:pPr>
    </w:p>
    <w:p w14:paraId="44BDC324" w14:textId="77777777" w:rsidR="003C215D" w:rsidRDefault="003C215D" w:rsidP="00D2194A">
      <w:pPr>
        <w:tabs>
          <w:tab w:val="left" w:pos="709"/>
        </w:tabs>
        <w:jc w:val="right"/>
        <w:rPr>
          <w:rFonts w:eastAsia="Times New Roman"/>
          <w:lang w:val="en-ZA" w:eastAsia="en-GB" w:bidi="yi-Hebr"/>
        </w:rPr>
      </w:pPr>
    </w:p>
    <w:p w14:paraId="36865832" w14:textId="53FB813B" w:rsidR="003C215D" w:rsidRPr="00E63FB9" w:rsidRDefault="003C215D" w:rsidP="000B23C4">
      <w:pPr>
        <w:tabs>
          <w:tab w:val="left" w:pos="709"/>
        </w:tabs>
        <w:spacing w:line="240" w:lineRule="auto"/>
        <w:rPr>
          <w:rFonts w:eastAsia="Times New Roman"/>
          <w:lang w:val="en-ZA" w:eastAsia="en-GB" w:bidi="yi-Hebr"/>
        </w:rPr>
      </w:pPr>
    </w:p>
    <w:sectPr w:rsidR="003C215D" w:rsidRPr="00E63FB9" w:rsidSect="003A45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81DE" w14:textId="77777777" w:rsidR="00E55919" w:rsidRDefault="00E55919" w:rsidP="00AA0A7B">
      <w:pPr>
        <w:spacing w:line="240" w:lineRule="auto"/>
      </w:pPr>
      <w:r>
        <w:separator/>
      </w:r>
    </w:p>
  </w:endnote>
  <w:endnote w:type="continuationSeparator" w:id="0">
    <w:p w14:paraId="5D3EEED5" w14:textId="77777777" w:rsidR="00E55919" w:rsidRDefault="00E55919" w:rsidP="00AA0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CA892" w14:textId="77777777" w:rsidR="00E55919" w:rsidRDefault="00E55919" w:rsidP="00AA0A7B">
      <w:pPr>
        <w:spacing w:line="240" w:lineRule="auto"/>
      </w:pPr>
      <w:r>
        <w:separator/>
      </w:r>
    </w:p>
  </w:footnote>
  <w:footnote w:type="continuationSeparator" w:id="0">
    <w:p w14:paraId="4DE97AAC" w14:textId="77777777" w:rsidR="00E55919" w:rsidRDefault="00E55919" w:rsidP="00AA0A7B">
      <w:pPr>
        <w:spacing w:line="240" w:lineRule="auto"/>
      </w:pPr>
      <w:r>
        <w:continuationSeparator/>
      </w:r>
    </w:p>
  </w:footnote>
  <w:footnote w:id="1">
    <w:p w14:paraId="20E41ECD" w14:textId="77777777" w:rsidR="00A3225E" w:rsidRPr="00A3225E" w:rsidRDefault="00A3225E" w:rsidP="00A3225E">
      <w:pPr>
        <w:pStyle w:val="FootnoteText"/>
        <w:rPr>
          <w:b/>
          <w:lang w:val="en-ZA"/>
        </w:rPr>
      </w:pPr>
      <w:r w:rsidRPr="00A3225E">
        <w:rPr>
          <w:rStyle w:val="FootnoteReference"/>
        </w:rPr>
        <w:footnoteRef/>
      </w:r>
      <w:r w:rsidRPr="00A3225E">
        <w:t xml:space="preserve"> </w:t>
      </w:r>
      <w:r w:rsidRPr="00A3225E">
        <w:rPr>
          <w:lang w:val="en-ZA"/>
        </w:rPr>
        <w:t>I</w:t>
      </w:r>
      <w:r>
        <w:rPr>
          <w:lang w:val="en-ZA"/>
        </w:rPr>
        <w:t>n so saying, I</w:t>
      </w:r>
      <w:r w:rsidRPr="00A3225E">
        <w:rPr>
          <w:lang w:val="en-ZA"/>
        </w:rPr>
        <w:t xml:space="preserve"> acknowledge that the wording of subparagraph 1.6 has been amended, but the meaning of that sub-paragraph has been retained.</w:t>
      </w:r>
    </w:p>
  </w:footnote>
  <w:footnote w:id="2">
    <w:p w14:paraId="6A7E517F" w14:textId="77777777" w:rsidR="00A3225E" w:rsidRPr="00A3225E" w:rsidRDefault="00A3225E" w:rsidP="00A3225E">
      <w:pPr>
        <w:pStyle w:val="FootnoteText"/>
        <w:rPr>
          <w:lang w:val="en-ZA"/>
        </w:rPr>
      </w:pPr>
      <w:r>
        <w:rPr>
          <w:rStyle w:val="FootnoteReference"/>
        </w:rPr>
        <w:footnoteRef/>
      </w:r>
      <w:r>
        <w:t xml:space="preserve"> </w:t>
      </w:r>
      <w:r>
        <w:rPr>
          <w:rFonts w:eastAsia="Times New Roman"/>
          <w:lang w:val="en-ZA" w:eastAsia="en-GB" w:bidi="yi-Hebr"/>
        </w:rPr>
        <w:t>Sub-paragraphs 1.8, 1.9 and 1.10 of the consent order do not appear in the notice of motion.</w:t>
      </w:r>
    </w:p>
  </w:footnote>
  <w:footnote w:id="3">
    <w:p w14:paraId="0B0969BB" w14:textId="77777777" w:rsidR="00E61B44" w:rsidRPr="00857B31" w:rsidRDefault="00E61B44">
      <w:pPr>
        <w:pStyle w:val="FootnoteText"/>
        <w:rPr>
          <w:b/>
          <w:lang w:val="en-ZA"/>
        </w:rPr>
      </w:pPr>
      <w:r w:rsidRPr="00857B31">
        <w:rPr>
          <w:rStyle w:val="FootnoteReference"/>
        </w:rPr>
        <w:footnoteRef/>
      </w:r>
      <w:r w:rsidRPr="00857B31">
        <w:t xml:space="preserve"> </w:t>
      </w:r>
      <w:r w:rsidRPr="00857B31">
        <w:rPr>
          <w:i/>
          <w:iCs/>
        </w:rPr>
        <w:t xml:space="preserve">Minister of International Relations and Co-operation and others v Simeka Group (Pty) Ltd and others </w:t>
      </w:r>
      <w:r w:rsidRPr="00857B31">
        <w:t>[2023] ZASCA 98; [2023] 3 All SA 323 (SCA) para</w:t>
      </w:r>
      <w:r w:rsidR="00EE3DBB">
        <w:rPr>
          <w:b/>
        </w:rPr>
        <w:t xml:space="preserve"> </w:t>
      </w:r>
      <w:r w:rsidR="00EE3DBB" w:rsidRPr="00705FD1">
        <w:t>85</w:t>
      </w:r>
      <w:r w:rsidR="004757D6" w:rsidRPr="00705FD1">
        <w:t>.</w:t>
      </w:r>
    </w:p>
  </w:footnote>
  <w:footnote w:id="4">
    <w:p w14:paraId="7629CC20" w14:textId="77777777" w:rsidR="007B18C2" w:rsidRPr="007B18C2" w:rsidRDefault="007B18C2" w:rsidP="007B18C2">
      <w:pPr>
        <w:pStyle w:val="NormalWeb"/>
        <w:spacing w:before="0" w:beforeAutospacing="0" w:after="0" w:afterAutospacing="0"/>
        <w:contextualSpacing/>
        <w:rPr>
          <w:rFonts w:ascii="Arial" w:hAnsi="Arial" w:cs="Arial"/>
          <w:b/>
          <w:iCs/>
          <w:color w:val="000000" w:themeColor="text1"/>
          <w:sz w:val="20"/>
          <w:szCs w:val="20"/>
        </w:rPr>
      </w:pPr>
      <w:r w:rsidRPr="007B18C2">
        <w:rPr>
          <w:rStyle w:val="FootnoteReference"/>
          <w:rFonts w:ascii="Arial" w:hAnsi="Arial" w:cs="Arial"/>
          <w:color w:val="000000" w:themeColor="text1"/>
          <w:sz w:val="20"/>
          <w:szCs w:val="20"/>
        </w:rPr>
        <w:footnoteRef/>
      </w:r>
      <w:r w:rsidRPr="007B18C2">
        <w:rPr>
          <w:rFonts w:ascii="Arial" w:hAnsi="Arial" w:cs="Arial"/>
          <w:color w:val="000000" w:themeColor="text1"/>
          <w:sz w:val="20"/>
          <w:szCs w:val="20"/>
        </w:rPr>
        <w:t xml:space="preserve"> </w:t>
      </w:r>
      <w:r w:rsidRPr="007B18C2">
        <w:rPr>
          <w:rFonts w:ascii="Arial" w:hAnsi="Arial" w:cs="Arial"/>
          <w:i/>
          <w:color w:val="000000" w:themeColor="text1"/>
          <w:sz w:val="20"/>
          <w:szCs w:val="20"/>
        </w:rPr>
        <w:t>Esorfranki Pipelines (Pty) Ltd and another v Mopani District Municipality and others</w:t>
      </w:r>
      <w:r w:rsidRPr="007B18C2">
        <w:rPr>
          <w:rFonts w:ascii="Arial" w:hAnsi="Arial" w:cs="Arial"/>
          <w:color w:val="000000" w:themeColor="text1"/>
          <w:sz w:val="20"/>
          <w:szCs w:val="20"/>
        </w:rPr>
        <w:t xml:space="preserve"> [2014] ZASCA 21; [2014] 2 All SA 493 (SCA) para 25. In </w:t>
      </w:r>
      <w:r w:rsidRPr="007B18C2">
        <w:rPr>
          <w:rFonts w:ascii="Arial" w:hAnsi="Arial" w:cs="Arial"/>
          <w:i/>
          <w:color w:val="000000" w:themeColor="text1"/>
          <w:sz w:val="20"/>
          <w:szCs w:val="20"/>
        </w:rPr>
        <w:t>Lazarus Estates Ltd v Beasley</w:t>
      </w:r>
      <w:r w:rsidRPr="007B18C2">
        <w:rPr>
          <w:rFonts w:ascii="Arial" w:hAnsi="Arial" w:cs="Arial"/>
          <w:color w:val="000000" w:themeColor="text1"/>
          <w:sz w:val="20"/>
          <w:szCs w:val="20"/>
        </w:rPr>
        <w:t xml:space="preserve"> </w:t>
      </w:r>
      <w:r w:rsidRPr="007B18C2">
        <w:rPr>
          <w:rFonts w:ascii="Arial" w:hAnsi="Arial" w:cs="Arial"/>
          <w:color w:val="000000" w:themeColor="text1"/>
          <w:sz w:val="20"/>
          <w:szCs w:val="20"/>
          <w:lang w:bidi="yi-Hebr"/>
        </w:rPr>
        <w:t xml:space="preserve">[1956] 1 QB 702 </w:t>
      </w:r>
      <w:r w:rsidRPr="007B18C2">
        <w:rPr>
          <w:rFonts w:ascii="Arial" w:hAnsi="Arial" w:cs="Arial"/>
          <w:iCs/>
          <w:color w:val="000000" w:themeColor="text1"/>
          <w:sz w:val="20"/>
          <w:szCs w:val="20"/>
          <w:lang w:bidi="yi-Hebr"/>
        </w:rPr>
        <w:t>(CA) at 712,</w:t>
      </w:r>
      <w:r w:rsidRPr="007B18C2">
        <w:rPr>
          <w:rFonts w:ascii="Arial" w:hAnsi="Arial" w:cs="Arial"/>
          <w:i/>
          <w:iCs/>
          <w:color w:val="000000" w:themeColor="text1"/>
          <w:sz w:val="20"/>
          <w:szCs w:val="20"/>
          <w:lang w:bidi="yi-Hebr"/>
        </w:rPr>
        <w:t xml:space="preserve"> </w:t>
      </w:r>
      <w:r w:rsidRPr="007B18C2">
        <w:rPr>
          <w:rFonts w:ascii="Arial" w:hAnsi="Arial" w:cs="Arial"/>
          <w:iCs/>
          <w:color w:val="000000" w:themeColor="text1"/>
          <w:sz w:val="20"/>
          <w:szCs w:val="20"/>
        </w:rPr>
        <w:t>Lord Denning uttered these well-known and oft repeated words:</w:t>
      </w:r>
    </w:p>
    <w:p w14:paraId="3C88EEE0" w14:textId="77777777" w:rsidR="007B18C2" w:rsidRPr="007B18C2" w:rsidRDefault="00272995" w:rsidP="007B18C2">
      <w:pPr>
        <w:pStyle w:val="NormalWeb"/>
        <w:spacing w:before="0" w:beforeAutospacing="0" w:after="0" w:afterAutospacing="0"/>
        <w:contextualSpacing/>
        <w:rPr>
          <w:rFonts w:ascii="Arial" w:hAnsi="Arial" w:cs="Arial"/>
          <w:b/>
          <w:color w:val="000000" w:themeColor="text1"/>
          <w:sz w:val="20"/>
          <w:szCs w:val="20"/>
          <w:lang w:val="en-US"/>
        </w:rPr>
      </w:pPr>
      <w:r>
        <w:rPr>
          <w:rFonts w:ascii="Arial" w:hAnsi="Arial" w:cs="Arial"/>
          <w:b/>
          <w:color w:val="000000" w:themeColor="text1"/>
          <w:sz w:val="20"/>
          <w:szCs w:val="20"/>
        </w:rPr>
        <w:t>‘</w:t>
      </w:r>
      <w:r w:rsidR="007B18C2" w:rsidRPr="007B18C2">
        <w:rPr>
          <w:rFonts w:ascii="Arial" w:hAnsi="Arial" w:cs="Arial"/>
          <w:color w:val="000000" w:themeColor="text1"/>
          <w:sz w:val="20"/>
          <w:szCs w:val="20"/>
        </w:rPr>
        <w:t xml:space="preserve">No court in this land will allow a person to keep an advantage which he has obtained by fraud. No judgment of a court, no </w:t>
      </w:r>
      <w:r w:rsidR="007B18C2" w:rsidRPr="00705FD1">
        <w:rPr>
          <w:rFonts w:ascii="Arial" w:hAnsi="Arial" w:cs="Arial"/>
          <w:color w:val="000000" w:themeColor="text1"/>
          <w:sz w:val="20"/>
          <w:szCs w:val="20"/>
        </w:rPr>
        <w:t>order of a Minister, can be allowed to stand if it has been obtained by fraud. Fraud unravels everything. The court is careful not to find fraud unless it is distinctly pleaded and proved; but once it is proved it vitiates judgments, contracts and al</w:t>
      </w:r>
      <w:r w:rsidRPr="00705FD1">
        <w:rPr>
          <w:rFonts w:ascii="Arial" w:hAnsi="Arial" w:cs="Arial"/>
          <w:color w:val="000000" w:themeColor="text1"/>
          <w:sz w:val="20"/>
          <w:szCs w:val="20"/>
        </w:rPr>
        <w:t>l transactions whatsoever . . .’</w:t>
      </w:r>
      <w:r w:rsidR="007B18C2" w:rsidRPr="00705FD1">
        <w:rPr>
          <w:rFonts w:ascii="Arial" w:hAnsi="Arial" w:cs="Arial"/>
          <w:color w:val="000000" w:themeColor="text1"/>
          <w:sz w:val="20"/>
          <w:szCs w:val="20"/>
        </w:rPr>
        <w:t>.</w:t>
      </w:r>
    </w:p>
  </w:footnote>
  <w:footnote w:id="5">
    <w:p w14:paraId="6C40CC88" w14:textId="77777777" w:rsidR="007B18C2" w:rsidRPr="007B18C2" w:rsidRDefault="007B18C2" w:rsidP="007B18C2">
      <w:pPr>
        <w:pStyle w:val="Heading2"/>
        <w:spacing w:before="0" w:line="240" w:lineRule="auto"/>
        <w:rPr>
          <w:rFonts w:ascii="Arial" w:hAnsi="Arial" w:cs="Arial"/>
          <w:b/>
          <w:color w:val="000000" w:themeColor="text1"/>
          <w:sz w:val="20"/>
          <w:szCs w:val="20"/>
          <w:lang w:val="en-US"/>
        </w:rPr>
      </w:pPr>
      <w:r w:rsidRPr="007B18C2">
        <w:rPr>
          <w:rStyle w:val="FootnoteReference"/>
          <w:rFonts w:ascii="Arial" w:hAnsi="Arial" w:cs="Arial"/>
          <w:color w:val="000000" w:themeColor="text1"/>
          <w:sz w:val="20"/>
          <w:szCs w:val="20"/>
        </w:rPr>
        <w:footnoteRef/>
      </w:r>
      <w:r w:rsidRPr="007B18C2">
        <w:rPr>
          <w:rFonts w:ascii="Arial" w:hAnsi="Arial" w:cs="Arial"/>
          <w:color w:val="000000" w:themeColor="text1"/>
          <w:sz w:val="20"/>
          <w:szCs w:val="20"/>
        </w:rPr>
        <w:t xml:space="preserve"> </w:t>
      </w:r>
      <w:r w:rsidRPr="007B18C2">
        <w:rPr>
          <w:rFonts w:ascii="Arial" w:hAnsi="Arial" w:cs="Arial"/>
          <w:i/>
          <w:iCs/>
          <w:color w:val="000000" w:themeColor="text1"/>
          <w:sz w:val="20"/>
          <w:szCs w:val="20"/>
        </w:rPr>
        <w:t>Korff v Scheepers en Andere</w:t>
      </w:r>
      <w:r w:rsidRPr="007B18C2">
        <w:rPr>
          <w:rStyle w:val="apple-converted-space"/>
          <w:rFonts w:ascii="Arial" w:hAnsi="Arial" w:cs="Arial"/>
          <w:i/>
          <w:iCs/>
          <w:color w:val="000000" w:themeColor="text1"/>
          <w:sz w:val="20"/>
          <w:szCs w:val="20"/>
        </w:rPr>
        <w:t> </w:t>
      </w:r>
      <w:hyperlink r:id="rId1" w:tooltip="View LawCiteRecord" w:history="1">
        <w:r w:rsidRPr="007B18C2">
          <w:rPr>
            <w:rStyle w:val="Hyperlink"/>
            <w:rFonts w:ascii="Arial" w:hAnsi="Arial" w:cs="Arial"/>
            <w:color w:val="000000" w:themeColor="text1"/>
            <w:sz w:val="20"/>
            <w:szCs w:val="20"/>
            <w:u w:val="none"/>
          </w:rPr>
          <w:t>1962 (3) SA 83</w:t>
        </w:r>
      </w:hyperlink>
      <w:r w:rsidRPr="007B18C2">
        <w:rPr>
          <w:rStyle w:val="apple-converted-space"/>
          <w:rFonts w:ascii="Arial" w:hAnsi="Arial" w:cs="Arial"/>
          <w:color w:val="000000" w:themeColor="text1"/>
          <w:sz w:val="20"/>
          <w:szCs w:val="20"/>
        </w:rPr>
        <w:t> </w:t>
      </w:r>
      <w:r w:rsidRPr="007B18C2">
        <w:rPr>
          <w:rFonts w:ascii="Arial" w:hAnsi="Arial" w:cs="Arial"/>
          <w:color w:val="000000" w:themeColor="text1"/>
          <w:sz w:val="20"/>
          <w:szCs w:val="20"/>
        </w:rPr>
        <w:t>(W) at 85.</w:t>
      </w:r>
    </w:p>
  </w:footnote>
  <w:footnote w:id="6">
    <w:p w14:paraId="0CF3705A" w14:textId="126FF7FE" w:rsidR="007B18C2" w:rsidRPr="007D16DB" w:rsidRDefault="007B18C2" w:rsidP="00272995">
      <w:pPr>
        <w:pStyle w:val="Heading2"/>
        <w:spacing w:before="0" w:line="240" w:lineRule="auto"/>
        <w:rPr>
          <w:rFonts w:asciiTheme="minorBidi" w:hAnsiTheme="minorBidi"/>
          <w:color w:val="000000" w:themeColor="text1"/>
          <w:lang w:val="en-US"/>
        </w:rPr>
      </w:pPr>
      <w:r w:rsidRPr="007B18C2">
        <w:rPr>
          <w:rStyle w:val="FootnoteReference"/>
          <w:rFonts w:ascii="Arial" w:hAnsi="Arial" w:cs="Arial"/>
          <w:color w:val="000000" w:themeColor="text1"/>
          <w:sz w:val="20"/>
          <w:szCs w:val="20"/>
        </w:rPr>
        <w:footnoteRef/>
      </w:r>
      <w:r w:rsidRPr="007B18C2">
        <w:rPr>
          <w:rFonts w:ascii="Arial" w:hAnsi="Arial" w:cs="Arial"/>
          <w:color w:val="000000" w:themeColor="text1"/>
          <w:sz w:val="20"/>
          <w:szCs w:val="20"/>
        </w:rPr>
        <w:t xml:space="preserve"> </w:t>
      </w:r>
      <w:r w:rsidRPr="007B18C2">
        <w:rPr>
          <w:rFonts w:ascii="Arial" w:hAnsi="Arial" w:cs="Arial"/>
          <w:i/>
          <w:iCs/>
          <w:color w:val="000000" w:themeColor="text1"/>
          <w:sz w:val="20"/>
          <w:szCs w:val="20"/>
        </w:rPr>
        <w:t>Commissioner for the South African Revenue Service v Sassin and Others</w:t>
      </w:r>
      <w:r w:rsidRPr="007B18C2">
        <w:rPr>
          <w:rFonts w:ascii="Arial" w:hAnsi="Arial" w:cs="Arial"/>
          <w:color w:val="000000" w:themeColor="text1"/>
          <w:sz w:val="20"/>
          <w:szCs w:val="20"/>
        </w:rPr>
        <w:t xml:space="preserve"> [2015] ZAKZDHC 82; [2015] 4 All SA 756 (KZD) para </w:t>
      </w:r>
      <w:r w:rsidRPr="00705FD1">
        <w:rPr>
          <w:rFonts w:ascii="Arial" w:hAnsi="Arial" w:cs="Arial"/>
          <w:color w:val="000000" w:themeColor="text1"/>
          <w:sz w:val="20"/>
          <w:szCs w:val="20"/>
        </w:rPr>
        <w:t>4</w:t>
      </w:r>
      <w:r w:rsidR="00607C6C" w:rsidRPr="00705FD1">
        <w:rPr>
          <w:rFonts w:ascii="Arial" w:hAnsi="Arial" w:cs="Arial"/>
          <w:color w:val="000000" w:themeColor="text1"/>
          <w:sz w:val="20"/>
          <w:szCs w:val="20"/>
        </w:rPr>
        <w:t>7</w:t>
      </w:r>
      <w:r w:rsidRPr="00705FD1">
        <w:rPr>
          <w:rFonts w:ascii="Arial" w:hAnsi="Arial" w:cs="Arial"/>
          <w:color w:val="000000" w:themeColor="text1"/>
          <w:sz w:val="20"/>
          <w:szCs w:val="20"/>
        </w:rPr>
        <w:t>.</w:t>
      </w:r>
    </w:p>
  </w:footnote>
  <w:footnote w:id="7">
    <w:p w14:paraId="7229D262" w14:textId="77777777" w:rsidR="00550502" w:rsidRPr="00D60C5D" w:rsidRDefault="00550502">
      <w:pPr>
        <w:pStyle w:val="FootnoteText"/>
        <w:rPr>
          <w:b/>
          <w:lang w:val="en-ZA"/>
        </w:rPr>
      </w:pPr>
      <w:r w:rsidRPr="00D60C5D">
        <w:rPr>
          <w:rStyle w:val="FootnoteReference"/>
        </w:rPr>
        <w:footnoteRef/>
      </w:r>
      <w:r w:rsidRPr="00D60C5D">
        <w:t xml:space="preserve"> </w:t>
      </w:r>
      <w:r w:rsidR="00D60C5D">
        <w:t>Mr Dhooma did</w:t>
      </w:r>
      <w:r w:rsidRPr="00D60C5D">
        <w:t xml:space="preserve"> later, however, deliver a confirmatory affidavit.</w:t>
      </w:r>
    </w:p>
  </w:footnote>
  <w:footnote w:id="8">
    <w:p w14:paraId="3D6DEFB0" w14:textId="72343839" w:rsidR="00CD56B5" w:rsidRPr="00A533DB" w:rsidRDefault="00CD56B5" w:rsidP="00A533DB">
      <w:pPr>
        <w:pStyle w:val="Heading2"/>
        <w:shd w:val="clear" w:color="auto" w:fill="FFFFFF"/>
        <w:spacing w:before="0" w:line="240" w:lineRule="auto"/>
        <w:rPr>
          <w:rFonts w:ascii="Arial" w:eastAsia="Times New Roman" w:hAnsi="Arial" w:cs="Arial"/>
          <w:b/>
          <w:color w:val="auto"/>
          <w:sz w:val="20"/>
          <w:szCs w:val="20"/>
          <w:lang w:eastAsia="en-GB"/>
        </w:rPr>
      </w:pPr>
      <w:r w:rsidRPr="00550502">
        <w:rPr>
          <w:rStyle w:val="FootnoteReference"/>
          <w:rFonts w:ascii="Arial" w:hAnsi="Arial" w:cs="Arial"/>
          <w:color w:val="auto"/>
          <w:sz w:val="20"/>
          <w:szCs w:val="20"/>
        </w:rPr>
        <w:footnoteRef/>
      </w:r>
      <w:r w:rsidRPr="00550502">
        <w:rPr>
          <w:rFonts w:ascii="Arial" w:hAnsi="Arial" w:cs="Arial"/>
          <w:color w:val="auto"/>
          <w:sz w:val="20"/>
          <w:szCs w:val="20"/>
        </w:rPr>
        <w:t xml:space="preserve"> </w:t>
      </w:r>
      <w:r w:rsidRPr="00550502">
        <w:rPr>
          <w:rFonts w:ascii="Arial" w:eastAsia="Times New Roman" w:hAnsi="Arial" w:cs="Arial"/>
          <w:i/>
          <w:color w:val="auto"/>
          <w:sz w:val="20"/>
          <w:szCs w:val="20"/>
          <w:lang w:eastAsia="en-GB"/>
        </w:rPr>
        <w:t xml:space="preserve">Maclachlan and </w:t>
      </w:r>
      <w:r w:rsidR="00212387" w:rsidRPr="00550502">
        <w:rPr>
          <w:rFonts w:ascii="Arial" w:eastAsia="Times New Roman" w:hAnsi="Arial" w:cs="Arial"/>
          <w:i/>
          <w:color w:val="auto"/>
          <w:sz w:val="20"/>
          <w:szCs w:val="20"/>
          <w:lang w:eastAsia="en-GB"/>
        </w:rPr>
        <w:t xml:space="preserve">another </w:t>
      </w:r>
      <w:r w:rsidRPr="00550502">
        <w:rPr>
          <w:rFonts w:ascii="Arial" w:eastAsia="Times New Roman" w:hAnsi="Arial" w:cs="Arial"/>
          <w:i/>
          <w:color w:val="auto"/>
          <w:sz w:val="20"/>
          <w:szCs w:val="20"/>
          <w:lang w:eastAsia="en-GB"/>
        </w:rPr>
        <w:t xml:space="preserve">v City of Johannesburg Metropolitan Municipality and </w:t>
      </w:r>
      <w:r w:rsidR="00212387" w:rsidRPr="00550502">
        <w:rPr>
          <w:rFonts w:ascii="Arial" w:eastAsia="Times New Roman" w:hAnsi="Arial" w:cs="Arial"/>
          <w:i/>
          <w:color w:val="auto"/>
          <w:sz w:val="20"/>
          <w:szCs w:val="20"/>
          <w:lang w:eastAsia="en-GB"/>
        </w:rPr>
        <w:t>others</w:t>
      </w:r>
      <w:r w:rsidRPr="00550502">
        <w:rPr>
          <w:rFonts w:ascii="Arial" w:eastAsia="Times New Roman" w:hAnsi="Arial" w:cs="Arial"/>
          <w:color w:val="auto"/>
          <w:sz w:val="20"/>
          <w:szCs w:val="20"/>
          <w:lang w:eastAsia="en-GB"/>
        </w:rPr>
        <w:t xml:space="preserve"> [2022] ZAGPJHC 243 para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35332474"/>
      <w:docPartObj>
        <w:docPartGallery w:val="Page Numbers (Top of Page)"/>
        <w:docPartUnique/>
      </w:docPartObj>
    </w:sdtPr>
    <w:sdtEndPr>
      <w:rPr>
        <w:b w:val="0"/>
        <w:noProof/>
      </w:rPr>
    </w:sdtEndPr>
    <w:sdtContent>
      <w:p w14:paraId="038466AC" w14:textId="42FF77A6" w:rsidR="00BA363B" w:rsidRPr="00705FD1" w:rsidRDefault="00BA363B">
        <w:pPr>
          <w:pStyle w:val="Header"/>
          <w:jc w:val="right"/>
        </w:pPr>
        <w:r w:rsidRPr="00705FD1">
          <w:fldChar w:fldCharType="begin"/>
        </w:r>
        <w:r w:rsidRPr="00705FD1">
          <w:instrText xml:space="preserve"> PAGE   \* MERGEFORMAT </w:instrText>
        </w:r>
        <w:r w:rsidRPr="00705FD1">
          <w:fldChar w:fldCharType="separate"/>
        </w:r>
        <w:r w:rsidR="00FF36C8">
          <w:rPr>
            <w:noProof/>
          </w:rPr>
          <w:t>9</w:t>
        </w:r>
        <w:r w:rsidRPr="00705FD1">
          <w:rPr>
            <w:noProof/>
          </w:rPr>
          <w:fldChar w:fldCharType="end"/>
        </w:r>
      </w:p>
    </w:sdtContent>
  </w:sdt>
  <w:p w14:paraId="09639800" w14:textId="77777777" w:rsidR="00BA363B" w:rsidRDefault="00BA36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36C"/>
    <w:multiLevelType w:val="hybridMultilevel"/>
    <w:tmpl w:val="9B268A48"/>
    <w:lvl w:ilvl="0" w:tplc="E02A6B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10E75"/>
    <w:multiLevelType w:val="hybridMultilevel"/>
    <w:tmpl w:val="4EB4E55C"/>
    <w:lvl w:ilvl="0" w:tplc="1E5C23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44CB9"/>
    <w:multiLevelType w:val="hybridMultilevel"/>
    <w:tmpl w:val="5DBC5044"/>
    <w:lvl w:ilvl="0" w:tplc="A238DFAA">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F2DD9"/>
    <w:multiLevelType w:val="hybridMultilevel"/>
    <w:tmpl w:val="1D407D3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E7646"/>
    <w:multiLevelType w:val="hybridMultilevel"/>
    <w:tmpl w:val="11E25286"/>
    <w:lvl w:ilvl="0" w:tplc="5C463C68">
      <w:start w:val="1"/>
      <w:numFmt w:val="decimal"/>
      <w:lvlText w:val="[%1]"/>
      <w:lvlJc w:val="left"/>
      <w:pPr>
        <w:ind w:left="1429" w:hanging="360"/>
      </w:pPr>
      <w:rPr>
        <w:rFonts w:ascii="Arial" w:hAnsi="Aria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FAA4761"/>
    <w:multiLevelType w:val="hybridMultilevel"/>
    <w:tmpl w:val="9724D4BA"/>
    <w:lvl w:ilvl="0" w:tplc="2F3C7B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F44F6"/>
    <w:multiLevelType w:val="hybridMultilevel"/>
    <w:tmpl w:val="3A346B94"/>
    <w:lvl w:ilvl="0" w:tplc="F4201D36">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805E1"/>
    <w:multiLevelType w:val="hybridMultilevel"/>
    <w:tmpl w:val="9BFEDA02"/>
    <w:lvl w:ilvl="0" w:tplc="3ABA4CA4">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C2AB5"/>
    <w:multiLevelType w:val="hybridMultilevel"/>
    <w:tmpl w:val="16786F5A"/>
    <w:lvl w:ilvl="0" w:tplc="71900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22770E"/>
    <w:multiLevelType w:val="hybridMultilevel"/>
    <w:tmpl w:val="46D604A4"/>
    <w:lvl w:ilvl="0" w:tplc="619880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539D5"/>
    <w:multiLevelType w:val="hybridMultilevel"/>
    <w:tmpl w:val="DE702BC4"/>
    <w:lvl w:ilvl="0" w:tplc="05528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2F441F"/>
    <w:multiLevelType w:val="multilevel"/>
    <w:tmpl w:val="3EAEF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7"/>
  </w:num>
  <w:num w:numId="4">
    <w:abstractNumId w:val="8"/>
  </w:num>
  <w:num w:numId="5">
    <w:abstractNumId w:val="2"/>
  </w:num>
  <w:num w:numId="6">
    <w:abstractNumId w:val="5"/>
  </w:num>
  <w:num w:numId="7">
    <w:abstractNumId w:val="11"/>
  </w:num>
  <w:num w:numId="8">
    <w:abstractNumId w:val="1"/>
  </w:num>
  <w:num w:numId="9">
    <w:abstractNumId w:val="2"/>
    <w:lvlOverride w:ilvl="0">
      <w:lvl w:ilvl="0" w:tplc="A238DFAA">
        <w:start w:val="1"/>
        <w:numFmt w:val="decimal"/>
        <w:lvlText w:val="%1."/>
        <w:lvlJc w:val="left"/>
        <w:pPr>
          <w:ind w:left="720" w:hanging="360"/>
        </w:pPr>
      </w:lvl>
    </w:lvlOverride>
  </w:num>
  <w:num w:numId="10">
    <w:abstractNumId w:val="0"/>
  </w:num>
  <w:num w:numId="11">
    <w:abstractNumId w:val="4"/>
  </w:num>
  <w:num w:numId="12">
    <w:abstractNumId w:val="3"/>
  </w:num>
  <w:num w:numId="13">
    <w:abstractNumId w:val="6"/>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AE641A-AAA4-4D9B-8053-64CF126B668E}"/>
    <w:docVar w:name="dgnword-drafile" w:val="C:\Users\RMossop\AppData\Local\Temp\draF98A.tmp"/>
    <w:docVar w:name="dgnword-eventsink" w:val="2422233220832"/>
  </w:docVars>
  <w:rsids>
    <w:rsidRoot w:val="008B6DD9"/>
    <w:rsid w:val="00013337"/>
    <w:rsid w:val="000260E6"/>
    <w:rsid w:val="0005341F"/>
    <w:rsid w:val="00062FD2"/>
    <w:rsid w:val="00063320"/>
    <w:rsid w:val="0008211F"/>
    <w:rsid w:val="0008509C"/>
    <w:rsid w:val="000A1F3B"/>
    <w:rsid w:val="000A236F"/>
    <w:rsid w:val="000A35C1"/>
    <w:rsid w:val="000A65C7"/>
    <w:rsid w:val="000A6894"/>
    <w:rsid w:val="000B23C4"/>
    <w:rsid w:val="000D365D"/>
    <w:rsid w:val="000D6762"/>
    <w:rsid w:val="000E66A1"/>
    <w:rsid w:val="000E69D2"/>
    <w:rsid w:val="00113F0E"/>
    <w:rsid w:val="00121E91"/>
    <w:rsid w:val="00130971"/>
    <w:rsid w:val="00140300"/>
    <w:rsid w:val="00162BA6"/>
    <w:rsid w:val="00172744"/>
    <w:rsid w:val="00180BF3"/>
    <w:rsid w:val="001A1817"/>
    <w:rsid w:val="001D09F2"/>
    <w:rsid w:val="002110FF"/>
    <w:rsid w:val="00212387"/>
    <w:rsid w:val="00272995"/>
    <w:rsid w:val="00285946"/>
    <w:rsid w:val="00295834"/>
    <w:rsid w:val="002B2798"/>
    <w:rsid w:val="002B4D87"/>
    <w:rsid w:val="002C6D9E"/>
    <w:rsid w:val="002D36BB"/>
    <w:rsid w:val="002D5863"/>
    <w:rsid w:val="002E634D"/>
    <w:rsid w:val="002F32FF"/>
    <w:rsid w:val="00300CFC"/>
    <w:rsid w:val="00313150"/>
    <w:rsid w:val="00325BFC"/>
    <w:rsid w:val="00344A23"/>
    <w:rsid w:val="00367F9A"/>
    <w:rsid w:val="0038182A"/>
    <w:rsid w:val="00385F3D"/>
    <w:rsid w:val="003A45FF"/>
    <w:rsid w:val="003C215D"/>
    <w:rsid w:val="003D3085"/>
    <w:rsid w:val="003E762E"/>
    <w:rsid w:val="004059FC"/>
    <w:rsid w:val="00416C56"/>
    <w:rsid w:val="004222B7"/>
    <w:rsid w:val="00441221"/>
    <w:rsid w:val="00453DD2"/>
    <w:rsid w:val="004757D6"/>
    <w:rsid w:val="00476ECF"/>
    <w:rsid w:val="00477932"/>
    <w:rsid w:val="00492117"/>
    <w:rsid w:val="004C1C2A"/>
    <w:rsid w:val="00517EDA"/>
    <w:rsid w:val="0052266E"/>
    <w:rsid w:val="00550502"/>
    <w:rsid w:val="005729C0"/>
    <w:rsid w:val="005830CE"/>
    <w:rsid w:val="005A0360"/>
    <w:rsid w:val="005B2E93"/>
    <w:rsid w:val="005D0FF1"/>
    <w:rsid w:val="005D46EE"/>
    <w:rsid w:val="005E263F"/>
    <w:rsid w:val="00600D93"/>
    <w:rsid w:val="00607C6C"/>
    <w:rsid w:val="00612FBA"/>
    <w:rsid w:val="00661DAB"/>
    <w:rsid w:val="006915AB"/>
    <w:rsid w:val="00692464"/>
    <w:rsid w:val="006B112D"/>
    <w:rsid w:val="006B11C3"/>
    <w:rsid w:val="006D1D20"/>
    <w:rsid w:val="007054F0"/>
    <w:rsid w:val="00705FD1"/>
    <w:rsid w:val="00733FD7"/>
    <w:rsid w:val="00746E0A"/>
    <w:rsid w:val="0074783A"/>
    <w:rsid w:val="00777FAD"/>
    <w:rsid w:val="00791BB8"/>
    <w:rsid w:val="007B18C2"/>
    <w:rsid w:val="007B6139"/>
    <w:rsid w:val="007C5700"/>
    <w:rsid w:val="007C6CF0"/>
    <w:rsid w:val="007D4534"/>
    <w:rsid w:val="007E774B"/>
    <w:rsid w:val="007F32F7"/>
    <w:rsid w:val="00803C1D"/>
    <w:rsid w:val="00805A4D"/>
    <w:rsid w:val="00812EBD"/>
    <w:rsid w:val="008166CD"/>
    <w:rsid w:val="00817670"/>
    <w:rsid w:val="00823637"/>
    <w:rsid w:val="00825F1D"/>
    <w:rsid w:val="00837018"/>
    <w:rsid w:val="0084084D"/>
    <w:rsid w:val="00851CF5"/>
    <w:rsid w:val="00851F88"/>
    <w:rsid w:val="00857B31"/>
    <w:rsid w:val="0087055D"/>
    <w:rsid w:val="008716CA"/>
    <w:rsid w:val="0088272F"/>
    <w:rsid w:val="008927BB"/>
    <w:rsid w:val="008A3028"/>
    <w:rsid w:val="008B6DD9"/>
    <w:rsid w:val="008C3D96"/>
    <w:rsid w:val="008C467A"/>
    <w:rsid w:val="008D02DE"/>
    <w:rsid w:val="008E0703"/>
    <w:rsid w:val="008E56B0"/>
    <w:rsid w:val="008F6EAE"/>
    <w:rsid w:val="00924680"/>
    <w:rsid w:val="009334AC"/>
    <w:rsid w:val="00937E7E"/>
    <w:rsid w:val="00952C2E"/>
    <w:rsid w:val="00953753"/>
    <w:rsid w:val="0098509A"/>
    <w:rsid w:val="00996B0B"/>
    <w:rsid w:val="009B3BBA"/>
    <w:rsid w:val="009B5B9E"/>
    <w:rsid w:val="009D25B1"/>
    <w:rsid w:val="009F2F6F"/>
    <w:rsid w:val="00A158B4"/>
    <w:rsid w:val="00A238A5"/>
    <w:rsid w:val="00A3225E"/>
    <w:rsid w:val="00A51103"/>
    <w:rsid w:val="00A533DB"/>
    <w:rsid w:val="00A647AC"/>
    <w:rsid w:val="00A7751B"/>
    <w:rsid w:val="00A91A36"/>
    <w:rsid w:val="00A93247"/>
    <w:rsid w:val="00AA0A7B"/>
    <w:rsid w:val="00AB20AD"/>
    <w:rsid w:val="00AE1F19"/>
    <w:rsid w:val="00AE636F"/>
    <w:rsid w:val="00AF5E95"/>
    <w:rsid w:val="00B01FCD"/>
    <w:rsid w:val="00B21185"/>
    <w:rsid w:val="00B24FD2"/>
    <w:rsid w:val="00B64C05"/>
    <w:rsid w:val="00BA1E9D"/>
    <w:rsid w:val="00BA363B"/>
    <w:rsid w:val="00BA7C81"/>
    <w:rsid w:val="00BB0E08"/>
    <w:rsid w:val="00BC398E"/>
    <w:rsid w:val="00BF3160"/>
    <w:rsid w:val="00C116CD"/>
    <w:rsid w:val="00C27B4B"/>
    <w:rsid w:val="00C3328A"/>
    <w:rsid w:val="00C60694"/>
    <w:rsid w:val="00C70058"/>
    <w:rsid w:val="00C757D5"/>
    <w:rsid w:val="00C90AAC"/>
    <w:rsid w:val="00CA6981"/>
    <w:rsid w:val="00CB106A"/>
    <w:rsid w:val="00CC3331"/>
    <w:rsid w:val="00CD56B5"/>
    <w:rsid w:val="00CF28DB"/>
    <w:rsid w:val="00D04D08"/>
    <w:rsid w:val="00D2194A"/>
    <w:rsid w:val="00D24E3D"/>
    <w:rsid w:val="00D354AE"/>
    <w:rsid w:val="00D3753A"/>
    <w:rsid w:val="00D511D8"/>
    <w:rsid w:val="00D60C5D"/>
    <w:rsid w:val="00D82699"/>
    <w:rsid w:val="00DA7BF4"/>
    <w:rsid w:val="00DB432B"/>
    <w:rsid w:val="00DD4F18"/>
    <w:rsid w:val="00E04628"/>
    <w:rsid w:val="00E1350A"/>
    <w:rsid w:val="00E23486"/>
    <w:rsid w:val="00E24F5D"/>
    <w:rsid w:val="00E32DD8"/>
    <w:rsid w:val="00E55919"/>
    <w:rsid w:val="00E57864"/>
    <w:rsid w:val="00E61B44"/>
    <w:rsid w:val="00E63FB9"/>
    <w:rsid w:val="00E657E8"/>
    <w:rsid w:val="00E80F90"/>
    <w:rsid w:val="00E8209A"/>
    <w:rsid w:val="00EE3DBB"/>
    <w:rsid w:val="00EF7076"/>
    <w:rsid w:val="00F0147A"/>
    <w:rsid w:val="00F159D5"/>
    <w:rsid w:val="00F251B6"/>
    <w:rsid w:val="00F3013F"/>
    <w:rsid w:val="00F43915"/>
    <w:rsid w:val="00F65597"/>
    <w:rsid w:val="00F73EB8"/>
    <w:rsid w:val="00F827D0"/>
    <w:rsid w:val="00F92C84"/>
    <w:rsid w:val="00FA3F06"/>
    <w:rsid w:val="00FA6FB5"/>
    <w:rsid w:val="00FC48E0"/>
    <w:rsid w:val="00FC77BE"/>
    <w:rsid w:val="00FE5A16"/>
    <w:rsid w:val="00FF3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3AF7"/>
  <w15:chartTrackingRefBased/>
  <w15:docId w15:val="{6705F816-BC0C-4FA3-AC5C-ABA89A2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59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line="240" w:lineRule="auto"/>
    </w:pPr>
  </w:style>
  <w:style w:type="character" w:customStyle="1" w:styleId="FooterChar">
    <w:name w:val="Footer Char"/>
    <w:basedOn w:val="DefaultParagraphFont"/>
    <w:link w:val="Footer"/>
    <w:uiPriority w:val="99"/>
    <w:rsid w:val="00AA0A7B"/>
  </w:style>
  <w:style w:type="paragraph" w:styleId="NormalWeb">
    <w:name w:val="Normal (Web)"/>
    <w:basedOn w:val="Normal"/>
    <w:uiPriority w:val="99"/>
    <w:unhideWhenUsed/>
    <w:rsid w:val="00851CF5"/>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51CF5"/>
    <w:rPr>
      <w:color w:val="0000FF"/>
      <w:u w:val="single"/>
    </w:rPr>
  </w:style>
  <w:style w:type="paragraph" w:styleId="FootnoteText">
    <w:name w:val="footnote text"/>
    <w:aliases w:val="Bow_Footnote Text,BL_Footnote Text"/>
    <w:basedOn w:val="Normal"/>
    <w:link w:val="FootnoteTextChar"/>
    <w:uiPriority w:val="99"/>
    <w:unhideWhenUsed/>
    <w:qFormat/>
    <w:rsid w:val="00851CF5"/>
    <w:pPr>
      <w:spacing w:line="240" w:lineRule="auto"/>
    </w:pPr>
    <w:rPr>
      <w:sz w:val="20"/>
      <w:szCs w:val="20"/>
    </w:rPr>
  </w:style>
  <w:style w:type="character" w:customStyle="1" w:styleId="FootnoteTextChar">
    <w:name w:val="Footnote Text Char"/>
    <w:aliases w:val="Bow_Footnote Text Char,BL_Footnote Text Char"/>
    <w:basedOn w:val="DefaultParagraphFont"/>
    <w:link w:val="FootnoteText"/>
    <w:uiPriority w:val="99"/>
    <w:rsid w:val="00851CF5"/>
    <w:rPr>
      <w:sz w:val="20"/>
      <w:szCs w:val="20"/>
    </w:rPr>
  </w:style>
  <w:style w:type="character" w:styleId="FootnoteReference">
    <w:name w:val="footnote reference"/>
    <w:aliases w:val="Bow_Footnote Reference,BL_Footnote Reference"/>
    <w:basedOn w:val="DefaultParagraphFont"/>
    <w:uiPriority w:val="99"/>
    <w:unhideWhenUsed/>
    <w:rsid w:val="00851CF5"/>
    <w:rPr>
      <w:vertAlign w:val="superscript"/>
    </w:rPr>
  </w:style>
  <w:style w:type="paragraph" w:customStyle="1" w:styleId="western">
    <w:name w:val="western"/>
    <w:basedOn w:val="Normal"/>
    <w:rsid w:val="005E263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28594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7B18C2"/>
  </w:style>
  <w:style w:type="paragraph" w:styleId="BalloonText">
    <w:name w:val="Balloon Text"/>
    <w:basedOn w:val="Normal"/>
    <w:link w:val="BalloonTextChar"/>
    <w:uiPriority w:val="99"/>
    <w:semiHidden/>
    <w:unhideWhenUsed/>
    <w:rsid w:val="00607C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6C"/>
    <w:rPr>
      <w:rFonts w:ascii="Segoe UI" w:hAnsi="Segoe UI" w:cs="Segoe UI"/>
      <w:sz w:val="18"/>
      <w:szCs w:val="18"/>
    </w:rPr>
  </w:style>
  <w:style w:type="character" w:styleId="CommentReference">
    <w:name w:val="annotation reference"/>
    <w:basedOn w:val="DefaultParagraphFont"/>
    <w:uiPriority w:val="99"/>
    <w:semiHidden/>
    <w:unhideWhenUsed/>
    <w:rsid w:val="007F32F7"/>
    <w:rPr>
      <w:sz w:val="16"/>
      <w:szCs w:val="16"/>
    </w:rPr>
  </w:style>
  <w:style w:type="paragraph" w:styleId="CommentText">
    <w:name w:val="annotation text"/>
    <w:basedOn w:val="Normal"/>
    <w:link w:val="CommentTextChar"/>
    <w:uiPriority w:val="99"/>
    <w:unhideWhenUsed/>
    <w:rsid w:val="007F32F7"/>
    <w:pPr>
      <w:spacing w:line="240" w:lineRule="auto"/>
    </w:pPr>
    <w:rPr>
      <w:sz w:val="20"/>
      <w:szCs w:val="20"/>
    </w:rPr>
  </w:style>
  <w:style w:type="character" w:customStyle="1" w:styleId="CommentTextChar">
    <w:name w:val="Comment Text Char"/>
    <w:basedOn w:val="DefaultParagraphFont"/>
    <w:link w:val="CommentText"/>
    <w:uiPriority w:val="99"/>
    <w:rsid w:val="007F32F7"/>
    <w:rPr>
      <w:sz w:val="20"/>
      <w:szCs w:val="20"/>
    </w:rPr>
  </w:style>
  <w:style w:type="paragraph" w:styleId="CommentSubject">
    <w:name w:val="annotation subject"/>
    <w:basedOn w:val="CommentText"/>
    <w:next w:val="CommentText"/>
    <w:link w:val="CommentSubjectChar"/>
    <w:uiPriority w:val="99"/>
    <w:semiHidden/>
    <w:unhideWhenUsed/>
    <w:rsid w:val="007F32F7"/>
    <w:rPr>
      <w:b/>
      <w:bCs/>
    </w:rPr>
  </w:style>
  <w:style w:type="character" w:customStyle="1" w:styleId="CommentSubjectChar">
    <w:name w:val="Comment Subject Char"/>
    <w:basedOn w:val="CommentTextChar"/>
    <w:link w:val="CommentSubject"/>
    <w:uiPriority w:val="99"/>
    <w:semiHidden/>
    <w:rsid w:val="007F3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3708">
      <w:bodyDiv w:val="1"/>
      <w:marLeft w:val="0"/>
      <w:marRight w:val="0"/>
      <w:marTop w:val="0"/>
      <w:marBottom w:val="0"/>
      <w:divBdr>
        <w:top w:val="none" w:sz="0" w:space="0" w:color="auto"/>
        <w:left w:val="none" w:sz="0" w:space="0" w:color="auto"/>
        <w:bottom w:val="none" w:sz="0" w:space="0" w:color="auto"/>
        <w:right w:val="none" w:sz="0" w:space="0" w:color="auto"/>
      </w:divBdr>
    </w:div>
    <w:div w:id="504056186">
      <w:bodyDiv w:val="1"/>
      <w:marLeft w:val="0"/>
      <w:marRight w:val="0"/>
      <w:marTop w:val="0"/>
      <w:marBottom w:val="0"/>
      <w:divBdr>
        <w:top w:val="none" w:sz="0" w:space="0" w:color="auto"/>
        <w:left w:val="none" w:sz="0" w:space="0" w:color="auto"/>
        <w:bottom w:val="none" w:sz="0" w:space="0" w:color="auto"/>
        <w:right w:val="none" w:sz="0" w:space="0" w:color="auto"/>
      </w:divBdr>
    </w:div>
    <w:div w:id="1568415674">
      <w:bodyDiv w:val="1"/>
      <w:marLeft w:val="0"/>
      <w:marRight w:val="0"/>
      <w:marTop w:val="0"/>
      <w:marBottom w:val="0"/>
      <w:divBdr>
        <w:top w:val="none" w:sz="0" w:space="0" w:color="auto"/>
        <w:left w:val="none" w:sz="0" w:space="0" w:color="auto"/>
        <w:bottom w:val="none" w:sz="0" w:space="0" w:color="auto"/>
        <w:right w:val="none" w:sz="0" w:space="0" w:color="auto"/>
      </w:divBdr>
    </w:div>
    <w:div w:id="1590970268">
      <w:bodyDiv w:val="1"/>
      <w:marLeft w:val="0"/>
      <w:marRight w:val="0"/>
      <w:marTop w:val="0"/>
      <w:marBottom w:val="0"/>
      <w:divBdr>
        <w:top w:val="none" w:sz="0" w:space="0" w:color="auto"/>
        <w:left w:val="none" w:sz="0" w:space="0" w:color="auto"/>
        <w:bottom w:val="none" w:sz="0" w:space="0" w:color="auto"/>
        <w:right w:val="none" w:sz="0" w:space="0" w:color="auto"/>
      </w:divBdr>
    </w:div>
    <w:div w:id="1639409911">
      <w:bodyDiv w:val="1"/>
      <w:marLeft w:val="0"/>
      <w:marRight w:val="0"/>
      <w:marTop w:val="0"/>
      <w:marBottom w:val="0"/>
      <w:divBdr>
        <w:top w:val="none" w:sz="0" w:space="0" w:color="auto"/>
        <w:left w:val="none" w:sz="0" w:space="0" w:color="auto"/>
        <w:bottom w:val="none" w:sz="0" w:space="0" w:color="auto"/>
        <w:right w:val="none" w:sz="0" w:space="0" w:color="auto"/>
      </w:divBdr>
    </w:div>
    <w:div w:id="1733194587">
      <w:bodyDiv w:val="1"/>
      <w:marLeft w:val="0"/>
      <w:marRight w:val="0"/>
      <w:marTop w:val="0"/>
      <w:marBottom w:val="0"/>
      <w:divBdr>
        <w:top w:val="none" w:sz="0" w:space="0" w:color="auto"/>
        <w:left w:val="none" w:sz="0" w:space="0" w:color="auto"/>
        <w:bottom w:val="none" w:sz="0" w:space="0" w:color="auto"/>
        <w:right w:val="none" w:sz="0" w:space="0" w:color="auto"/>
      </w:divBdr>
    </w:div>
    <w:div w:id="18909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62%20%283%29%20SA%2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5FA2-E7C8-438C-B3E2-9244F049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4</cp:revision>
  <dcterms:created xsi:type="dcterms:W3CDTF">2024-02-20T05:29:00Z</dcterms:created>
  <dcterms:modified xsi:type="dcterms:W3CDTF">2024-02-21T08:49:00Z</dcterms:modified>
</cp:coreProperties>
</file>