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62AF3" w14:textId="77777777" w:rsidR="00183247" w:rsidRPr="00AF1EA9" w:rsidRDefault="00183247" w:rsidP="00AF1EA9">
      <w:pPr>
        <w:spacing w:after="0" w:line="360" w:lineRule="auto"/>
        <w:jc w:val="both"/>
        <w:rPr>
          <w:rFonts w:ascii="Arial" w:hAnsi="Arial" w:cs="Arial"/>
          <w:b/>
          <w:sz w:val="24"/>
          <w:szCs w:val="24"/>
        </w:rPr>
      </w:pPr>
    </w:p>
    <w:p w14:paraId="3949ABED" w14:textId="77777777" w:rsidR="003D5BF0" w:rsidRPr="00AF1EA9" w:rsidRDefault="003D5BF0" w:rsidP="00AF1EA9">
      <w:pPr>
        <w:spacing w:line="360" w:lineRule="auto"/>
        <w:ind w:left="2881"/>
        <w:jc w:val="both"/>
        <w:rPr>
          <w:rFonts w:ascii="Arial" w:eastAsia="Arial" w:hAnsi="Arial" w:cs="Arial"/>
          <w:sz w:val="24"/>
          <w:szCs w:val="24"/>
        </w:rPr>
      </w:pPr>
      <w:r w:rsidRPr="00AF1EA9">
        <w:rPr>
          <w:rFonts w:ascii="Arial" w:eastAsia="Arial" w:hAnsi="Arial" w:cs="Arial"/>
          <w:b/>
          <w:sz w:val="24"/>
          <w:szCs w:val="24"/>
        </w:rPr>
        <w:t>REPUBLIC OF SOUTH AFRICA</w:t>
      </w:r>
    </w:p>
    <w:p w14:paraId="5A5575AB" w14:textId="77777777" w:rsidR="003D5BF0" w:rsidRPr="00AF1EA9" w:rsidRDefault="003D5BF0" w:rsidP="00AF1EA9">
      <w:pPr>
        <w:spacing w:line="360" w:lineRule="auto"/>
        <w:ind w:hanging="2"/>
        <w:jc w:val="both"/>
        <w:rPr>
          <w:rFonts w:ascii="Arial" w:eastAsia="Arial" w:hAnsi="Arial" w:cs="Arial"/>
          <w:sz w:val="24"/>
          <w:szCs w:val="24"/>
        </w:rPr>
      </w:pPr>
      <w:r w:rsidRPr="00AF1EA9">
        <w:rPr>
          <w:rFonts w:ascii="Arial" w:hAnsi="Arial" w:cs="Arial"/>
          <w:noProof/>
          <w:sz w:val="24"/>
          <w:szCs w:val="24"/>
          <w:lang w:val="en-ZA" w:eastAsia="en-ZA"/>
        </w:rPr>
        <w:drawing>
          <wp:anchor distT="0" distB="0" distL="0" distR="0" simplePos="0" relativeHeight="251659264" behindDoc="1" locked="0" layoutInCell="1" hidden="0" allowOverlap="1" wp14:anchorId="1EDD47C2" wp14:editId="2A169C58">
            <wp:simplePos x="0" y="0"/>
            <wp:positionH relativeFrom="margin">
              <wp:posOffset>2176145</wp:posOffset>
            </wp:positionH>
            <wp:positionV relativeFrom="paragraph">
              <wp:posOffset>95250</wp:posOffset>
            </wp:positionV>
            <wp:extent cx="1257300" cy="857250"/>
            <wp:effectExtent l="0" t="0" r="0" b="0"/>
            <wp:wrapNone/>
            <wp:docPr id="10"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2.png" descr="Logo&#10;&#10;Description automatically generated"/>
                    <pic:cNvPicPr preferRelativeResize="0"/>
                  </pic:nvPicPr>
                  <pic:blipFill>
                    <a:blip r:embed="rId7"/>
                    <a:srcRect/>
                    <a:stretch>
                      <a:fillRect/>
                    </a:stretch>
                  </pic:blipFill>
                  <pic:spPr>
                    <a:xfrm>
                      <a:off x="0" y="0"/>
                      <a:ext cx="1257300" cy="857250"/>
                    </a:xfrm>
                    <a:prstGeom prst="rect">
                      <a:avLst/>
                    </a:prstGeom>
                    <a:ln/>
                  </pic:spPr>
                </pic:pic>
              </a:graphicData>
            </a:graphic>
            <wp14:sizeRelV relativeFrom="margin">
              <wp14:pctHeight>0</wp14:pctHeight>
            </wp14:sizeRelV>
          </wp:anchor>
        </w:drawing>
      </w:r>
    </w:p>
    <w:p w14:paraId="1B900168" w14:textId="77777777" w:rsidR="003D5BF0" w:rsidRPr="00AF1EA9" w:rsidRDefault="003D5BF0" w:rsidP="00AF1EA9">
      <w:pPr>
        <w:spacing w:line="360" w:lineRule="auto"/>
        <w:ind w:left="1" w:hanging="3"/>
        <w:jc w:val="both"/>
        <w:rPr>
          <w:rFonts w:ascii="Arial" w:eastAsia="Arial" w:hAnsi="Arial" w:cs="Arial"/>
          <w:sz w:val="24"/>
          <w:szCs w:val="24"/>
        </w:rPr>
      </w:pPr>
    </w:p>
    <w:p w14:paraId="587243EB" w14:textId="77777777" w:rsidR="003D5BF0" w:rsidRPr="00AF1EA9" w:rsidRDefault="003D5BF0" w:rsidP="00AF1EA9">
      <w:pPr>
        <w:spacing w:line="360" w:lineRule="auto"/>
        <w:jc w:val="both"/>
        <w:rPr>
          <w:rFonts w:ascii="Arial" w:eastAsia="Arial" w:hAnsi="Arial" w:cs="Arial"/>
          <w:b/>
          <w:sz w:val="24"/>
          <w:szCs w:val="24"/>
        </w:rPr>
      </w:pPr>
    </w:p>
    <w:p w14:paraId="32A46524" w14:textId="77777777" w:rsidR="003D5BF0" w:rsidRPr="00AF1EA9" w:rsidRDefault="003D5BF0" w:rsidP="00AF1EA9">
      <w:pPr>
        <w:spacing w:line="360" w:lineRule="auto"/>
        <w:ind w:left="1441" w:firstLine="719"/>
        <w:jc w:val="both"/>
        <w:rPr>
          <w:rFonts w:ascii="Arial" w:eastAsia="Arial" w:hAnsi="Arial" w:cs="Arial"/>
          <w:sz w:val="24"/>
          <w:szCs w:val="24"/>
        </w:rPr>
      </w:pPr>
      <w:r w:rsidRPr="00AF1EA9">
        <w:rPr>
          <w:rFonts w:ascii="Arial" w:eastAsia="Arial" w:hAnsi="Arial" w:cs="Arial"/>
          <w:b/>
          <w:sz w:val="24"/>
          <w:szCs w:val="24"/>
        </w:rPr>
        <w:t>IN THE HIGH COURT OF SOUTH AFRICA</w:t>
      </w:r>
    </w:p>
    <w:p w14:paraId="1040AD9D" w14:textId="290DC4CF" w:rsidR="00BC4DC5" w:rsidRPr="00AF1EA9" w:rsidRDefault="003D5BF0" w:rsidP="00AF1EA9">
      <w:pPr>
        <w:spacing w:line="360" w:lineRule="auto"/>
        <w:ind w:left="1" w:hanging="3"/>
        <w:jc w:val="both"/>
        <w:rPr>
          <w:rFonts w:ascii="Arial" w:eastAsia="Arial" w:hAnsi="Arial" w:cs="Arial"/>
          <w:b/>
          <w:sz w:val="24"/>
          <w:szCs w:val="24"/>
        </w:rPr>
      </w:pPr>
      <w:r w:rsidRPr="00AF1EA9">
        <w:rPr>
          <w:rFonts w:ascii="Arial" w:eastAsia="Arial" w:hAnsi="Arial" w:cs="Arial"/>
          <w:b/>
          <w:sz w:val="24"/>
          <w:szCs w:val="24"/>
        </w:rPr>
        <w:t xml:space="preserve">                                </w:t>
      </w:r>
      <w:r w:rsidR="002B4A13" w:rsidRPr="00AF1EA9">
        <w:rPr>
          <w:rFonts w:ascii="Arial" w:eastAsia="Arial" w:hAnsi="Arial" w:cs="Arial"/>
          <w:b/>
          <w:sz w:val="24"/>
          <w:szCs w:val="24"/>
        </w:rPr>
        <w:tab/>
        <w:t xml:space="preserve">     </w:t>
      </w:r>
      <w:r w:rsidRPr="00AF1EA9">
        <w:rPr>
          <w:rFonts w:ascii="Arial" w:eastAsia="Arial" w:hAnsi="Arial" w:cs="Arial"/>
          <w:b/>
          <w:sz w:val="24"/>
          <w:szCs w:val="24"/>
        </w:rPr>
        <w:t>LIMPOPO DIVISION, POLOKWANE</w:t>
      </w:r>
      <w:r w:rsidRPr="00AF1EA9">
        <w:rPr>
          <w:rFonts w:ascii="Arial" w:eastAsia="Arial" w:hAnsi="Arial" w:cs="Arial"/>
          <w:b/>
          <w:sz w:val="24"/>
          <w:szCs w:val="24"/>
        </w:rPr>
        <w:tab/>
      </w:r>
    </w:p>
    <w:p w14:paraId="737F107C" w14:textId="6637F3AD" w:rsidR="007242D9" w:rsidRPr="00AF1EA9" w:rsidRDefault="007242D9" w:rsidP="00AF1EA9">
      <w:pPr>
        <w:spacing w:line="360" w:lineRule="auto"/>
        <w:ind w:left="5760" w:firstLine="720"/>
        <w:jc w:val="both"/>
        <w:rPr>
          <w:rFonts w:ascii="Arial" w:hAnsi="Arial" w:cs="Arial"/>
          <w:b/>
          <w:sz w:val="24"/>
          <w:szCs w:val="24"/>
        </w:rPr>
      </w:pPr>
      <w:r w:rsidRPr="00AF1EA9">
        <w:rPr>
          <w:rFonts w:ascii="Arial" w:hAnsi="Arial" w:cs="Arial"/>
          <w:b/>
          <w:sz w:val="24"/>
          <w:szCs w:val="24"/>
        </w:rPr>
        <w:t xml:space="preserve">CASE NO: </w:t>
      </w:r>
      <w:r w:rsidR="00BE577D" w:rsidRPr="00AF1EA9">
        <w:rPr>
          <w:rFonts w:ascii="Arial" w:hAnsi="Arial" w:cs="Arial"/>
          <w:b/>
          <w:sz w:val="24"/>
          <w:szCs w:val="24"/>
        </w:rPr>
        <w:t>3697/</w:t>
      </w:r>
      <w:r w:rsidRPr="00AF1EA9">
        <w:rPr>
          <w:rFonts w:ascii="Arial" w:hAnsi="Arial" w:cs="Arial"/>
          <w:b/>
          <w:sz w:val="24"/>
          <w:szCs w:val="24"/>
        </w:rPr>
        <w:t>20</w:t>
      </w:r>
      <w:r w:rsidR="00BE577D" w:rsidRPr="00AF1EA9">
        <w:rPr>
          <w:rFonts w:ascii="Arial" w:hAnsi="Arial" w:cs="Arial"/>
          <w:b/>
          <w:sz w:val="24"/>
          <w:szCs w:val="24"/>
        </w:rPr>
        <w:t>18</w:t>
      </w:r>
    </w:p>
    <w:p w14:paraId="11FC48B0" w14:textId="6169324B" w:rsidR="007242D9" w:rsidRPr="00AF1EA9" w:rsidRDefault="007242D9" w:rsidP="00AF1EA9">
      <w:pPr>
        <w:spacing w:line="360" w:lineRule="auto"/>
        <w:jc w:val="both"/>
        <w:rPr>
          <w:rFonts w:ascii="Arial" w:hAnsi="Arial" w:cs="Arial"/>
          <w:b/>
          <w:sz w:val="24"/>
          <w:szCs w:val="24"/>
        </w:rPr>
      </w:pPr>
      <w:r w:rsidRPr="00AF1EA9">
        <w:rPr>
          <w:rFonts w:ascii="Arial" w:hAnsi="Arial" w:cs="Arial"/>
          <w:b/>
          <w:sz w:val="24"/>
          <w:szCs w:val="24"/>
        </w:rPr>
        <w:t>IN THE MATTER BETWEEN:-</w:t>
      </w:r>
    </w:p>
    <w:p w14:paraId="1BBB57CB" w14:textId="7D23C1DC" w:rsidR="007242D9" w:rsidRPr="00AF1EA9" w:rsidRDefault="007242D9" w:rsidP="00AF1EA9">
      <w:pPr>
        <w:spacing w:line="360" w:lineRule="auto"/>
        <w:jc w:val="both"/>
        <w:rPr>
          <w:rFonts w:ascii="Arial" w:hAnsi="Arial" w:cs="Arial"/>
          <w:b/>
          <w:sz w:val="24"/>
          <w:szCs w:val="24"/>
        </w:rPr>
      </w:pPr>
    </w:p>
    <w:p w14:paraId="478E1E61" w14:textId="36A97606" w:rsidR="007242D9" w:rsidRPr="00AF1EA9" w:rsidRDefault="00AF1EA9" w:rsidP="00AF1EA9">
      <w:pPr>
        <w:spacing w:line="360" w:lineRule="auto"/>
        <w:jc w:val="both"/>
        <w:rPr>
          <w:rFonts w:ascii="Arial" w:hAnsi="Arial" w:cs="Arial"/>
          <w:b/>
          <w:sz w:val="24"/>
          <w:szCs w:val="24"/>
        </w:rPr>
      </w:pPr>
      <w:r>
        <w:rPr>
          <w:rFonts w:ascii="Arial" w:hAnsi="Arial" w:cs="Arial"/>
          <w:b/>
          <w:sz w:val="24"/>
          <w:szCs w:val="24"/>
        </w:rPr>
        <w:t>PHALAFALA, PHEEHA AUBREY AND 321 OTHERS</w:t>
      </w:r>
      <w:r w:rsidR="007242D9" w:rsidRPr="00AF1EA9">
        <w:rPr>
          <w:rFonts w:ascii="Arial" w:hAnsi="Arial" w:cs="Arial"/>
          <w:b/>
          <w:sz w:val="24"/>
          <w:szCs w:val="24"/>
        </w:rPr>
        <w:tab/>
      </w:r>
      <w:r w:rsidR="007242D9" w:rsidRPr="00AF1EA9">
        <w:rPr>
          <w:rFonts w:ascii="Arial" w:hAnsi="Arial" w:cs="Arial"/>
          <w:b/>
          <w:sz w:val="24"/>
          <w:szCs w:val="24"/>
        </w:rPr>
        <w:tab/>
      </w:r>
      <w:r w:rsidR="002B4A13" w:rsidRPr="00AF1EA9">
        <w:rPr>
          <w:rFonts w:ascii="Arial" w:hAnsi="Arial" w:cs="Arial"/>
          <w:b/>
          <w:sz w:val="24"/>
          <w:szCs w:val="24"/>
        </w:rPr>
        <w:t xml:space="preserve">       </w:t>
      </w:r>
      <w:r>
        <w:rPr>
          <w:rFonts w:ascii="Arial" w:hAnsi="Arial" w:cs="Arial"/>
          <w:b/>
          <w:sz w:val="24"/>
          <w:szCs w:val="24"/>
        </w:rPr>
        <w:t xml:space="preserve">  </w:t>
      </w:r>
      <w:r w:rsidR="007242D9" w:rsidRPr="00AF1EA9">
        <w:rPr>
          <w:rFonts w:ascii="Arial" w:hAnsi="Arial" w:cs="Arial"/>
          <w:b/>
          <w:sz w:val="24"/>
          <w:szCs w:val="24"/>
        </w:rPr>
        <w:t>APPLICANT</w:t>
      </w:r>
      <w:r>
        <w:rPr>
          <w:rFonts w:ascii="Arial" w:hAnsi="Arial" w:cs="Arial"/>
          <w:b/>
          <w:sz w:val="24"/>
          <w:szCs w:val="24"/>
        </w:rPr>
        <w:t>S</w:t>
      </w:r>
    </w:p>
    <w:p w14:paraId="7EC8C0D5" w14:textId="77777777" w:rsidR="0056269A" w:rsidRPr="00AF1EA9" w:rsidRDefault="0056269A" w:rsidP="00AF1EA9">
      <w:pPr>
        <w:spacing w:line="360" w:lineRule="auto"/>
        <w:jc w:val="both"/>
        <w:rPr>
          <w:rFonts w:ascii="Arial" w:hAnsi="Arial" w:cs="Arial"/>
          <w:b/>
          <w:sz w:val="24"/>
          <w:szCs w:val="24"/>
        </w:rPr>
      </w:pPr>
    </w:p>
    <w:p w14:paraId="50887AF5" w14:textId="5743C6E9" w:rsidR="007242D9" w:rsidRPr="00AF1EA9" w:rsidRDefault="007242D9" w:rsidP="00AF1EA9">
      <w:pPr>
        <w:spacing w:line="360" w:lineRule="auto"/>
        <w:jc w:val="both"/>
        <w:rPr>
          <w:rFonts w:ascii="Arial" w:hAnsi="Arial" w:cs="Arial"/>
          <w:b/>
          <w:sz w:val="24"/>
          <w:szCs w:val="24"/>
        </w:rPr>
      </w:pPr>
      <w:r w:rsidRPr="00AF1EA9">
        <w:rPr>
          <w:rFonts w:ascii="Arial" w:hAnsi="Arial" w:cs="Arial"/>
          <w:b/>
          <w:sz w:val="24"/>
          <w:szCs w:val="24"/>
        </w:rPr>
        <w:t xml:space="preserve">AND </w:t>
      </w:r>
    </w:p>
    <w:p w14:paraId="5E32C284" w14:textId="77777777" w:rsidR="0056269A" w:rsidRPr="00AF1EA9" w:rsidRDefault="0056269A" w:rsidP="00AF1EA9">
      <w:pPr>
        <w:spacing w:line="360" w:lineRule="auto"/>
        <w:jc w:val="both"/>
        <w:rPr>
          <w:rFonts w:ascii="Arial" w:hAnsi="Arial" w:cs="Arial"/>
          <w:b/>
          <w:sz w:val="24"/>
          <w:szCs w:val="24"/>
        </w:rPr>
      </w:pPr>
    </w:p>
    <w:p w14:paraId="2FAF3709" w14:textId="43945A5A" w:rsidR="00AF1EA9" w:rsidRDefault="00292043" w:rsidP="00AF1EA9">
      <w:pPr>
        <w:spacing w:line="360" w:lineRule="auto"/>
        <w:jc w:val="both"/>
        <w:rPr>
          <w:rFonts w:ascii="Arial" w:hAnsi="Arial" w:cs="Arial"/>
          <w:b/>
          <w:sz w:val="24"/>
          <w:szCs w:val="24"/>
        </w:rPr>
      </w:pPr>
      <w:r>
        <w:rPr>
          <w:rFonts w:ascii="Arial" w:hAnsi="Arial" w:cs="Arial"/>
          <w:b/>
          <w:sz w:val="24"/>
          <w:szCs w:val="24"/>
        </w:rPr>
        <w:t>MEMBER OF EXECUTIVE COUNCIL FOR EDUCATION,</w:t>
      </w:r>
      <w:r w:rsidR="00AF1EA9">
        <w:rPr>
          <w:rFonts w:ascii="Arial" w:hAnsi="Arial" w:cs="Arial"/>
          <w:b/>
          <w:sz w:val="24"/>
          <w:szCs w:val="24"/>
        </w:rPr>
        <w:t xml:space="preserve">   </w:t>
      </w:r>
      <w:r w:rsidR="00AF1EA9">
        <w:rPr>
          <w:rFonts w:ascii="Arial" w:hAnsi="Arial" w:cs="Arial"/>
          <w:b/>
          <w:sz w:val="24"/>
          <w:szCs w:val="24"/>
        </w:rPr>
        <w:tab/>
        <w:t xml:space="preserve">   </w:t>
      </w:r>
      <w:r>
        <w:rPr>
          <w:rFonts w:ascii="Arial" w:hAnsi="Arial" w:cs="Arial"/>
          <w:b/>
          <w:sz w:val="24"/>
          <w:szCs w:val="24"/>
        </w:rPr>
        <w:t xml:space="preserve">   </w:t>
      </w:r>
      <w:r w:rsidR="00AF1EA9">
        <w:rPr>
          <w:rFonts w:ascii="Arial" w:hAnsi="Arial" w:cs="Arial"/>
          <w:b/>
          <w:sz w:val="24"/>
          <w:szCs w:val="24"/>
        </w:rPr>
        <w:t>FIRST RESPONDENT</w:t>
      </w:r>
    </w:p>
    <w:p w14:paraId="1715C077" w14:textId="77777777" w:rsidR="00292043" w:rsidRDefault="00AF1EA9" w:rsidP="00AF1EA9">
      <w:pPr>
        <w:spacing w:line="360" w:lineRule="auto"/>
        <w:jc w:val="both"/>
        <w:rPr>
          <w:rFonts w:ascii="Arial" w:hAnsi="Arial" w:cs="Arial"/>
          <w:b/>
          <w:sz w:val="24"/>
          <w:szCs w:val="24"/>
        </w:rPr>
      </w:pPr>
      <w:r>
        <w:rPr>
          <w:rFonts w:ascii="Arial" w:hAnsi="Arial" w:cs="Arial"/>
          <w:b/>
          <w:sz w:val="24"/>
          <w:szCs w:val="24"/>
        </w:rPr>
        <w:t>LIMPOPO PROVINCE</w:t>
      </w:r>
      <w:r>
        <w:rPr>
          <w:rFonts w:ascii="Arial" w:hAnsi="Arial" w:cs="Arial"/>
          <w:b/>
          <w:sz w:val="24"/>
          <w:szCs w:val="24"/>
        </w:rPr>
        <w:tab/>
      </w:r>
    </w:p>
    <w:p w14:paraId="6B6B831F" w14:textId="77777777" w:rsidR="00292043" w:rsidRDefault="00292043" w:rsidP="00AF1EA9">
      <w:pPr>
        <w:spacing w:line="360" w:lineRule="auto"/>
        <w:jc w:val="both"/>
        <w:rPr>
          <w:rFonts w:ascii="Arial" w:hAnsi="Arial" w:cs="Arial"/>
          <w:b/>
          <w:sz w:val="24"/>
          <w:szCs w:val="24"/>
        </w:rPr>
      </w:pPr>
    </w:p>
    <w:p w14:paraId="5C86280C" w14:textId="2B8FF0D1" w:rsidR="00292043" w:rsidRDefault="00292043" w:rsidP="00AF1EA9">
      <w:pPr>
        <w:spacing w:line="360" w:lineRule="auto"/>
        <w:jc w:val="both"/>
        <w:rPr>
          <w:rFonts w:ascii="Arial" w:hAnsi="Arial" w:cs="Arial"/>
          <w:b/>
          <w:sz w:val="24"/>
          <w:szCs w:val="24"/>
        </w:rPr>
      </w:pPr>
      <w:r>
        <w:rPr>
          <w:rFonts w:ascii="Arial" w:hAnsi="Arial" w:cs="Arial"/>
          <w:b/>
          <w:sz w:val="24"/>
          <w:szCs w:val="24"/>
        </w:rPr>
        <w:t xml:space="preserve">HEAD OF DEPARTMENT, EDUCATION </w:t>
      </w:r>
      <w:r>
        <w:rPr>
          <w:rFonts w:ascii="Arial" w:hAnsi="Arial" w:cs="Arial"/>
          <w:b/>
          <w:sz w:val="24"/>
          <w:szCs w:val="24"/>
        </w:rPr>
        <w:tab/>
      </w:r>
      <w:r>
        <w:rPr>
          <w:rFonts w:ascii="Arial" w:hAnsi="Arial" w:cs="Arial"/>
          <w:b/>
          <w:sz w:val="24"/>
          <w:szCs w:val="24"/>
        </w:rPr>
        <w:tab/>
        <w:t xml:space="preserve">            SECOND RESPONDENT</w:t>
      </w:r>
    </w:p>
    <w:p w14:paraId="1E21921C" w14:textId="08EEEC0E" w:rsidR="00292043" w:rsidRDefault="00292043" w:rsidP="00AF1EA9">
      <w:pPr>
        <w:spacing w:line="360" w:lineRule="auto"/>
        <w:jc w:val="both"/>
        <w:rPr>
          <w:rFonts w:ascii="Arial" w:hAnsi="Arial" w:cs="Arial"/>
          <w:b/>
          <w:sz w:val="24"/>
          <w:szCs w:val="24"/>
        </w:rPr>
      </w:pPr>
      <w:r>
        <w:rPr>
          <w:rFonts w:ascii="Arial" w:hAnsi="Arial" w:cs="Arial"/>
          <w:b/>
          <w:sz w:val="24"/>
          <w:szCs w:val="24"/>
        </w:rPr>
        <w:t>LIMPOPO PROVINCE</w:t>
      </w:r>
    </w:p>
    <w:p w14:paraId="50E28B2F" w14:textId="77777777" w:rsidR="00292043" w:rsidRDefault="00292043" w:rsidP="00AF1EA9">
      <w:pPr>
        <w:spacing w:line="360" w:lineRule="auto"/>
        <w:jc w:val="both"/>
        <w:rPr>
          <w:rFonts w:ascii="Arial" w:hAnsi="Arial" w:cs="Arial"/>
          <w:b/>
          <w:sz w:val="24"/>
          <w:szCs w:val="24"/>
        </w:rPr>
      </w:pPr>
    </w:p>
    <w:p w14:paraId="5B8BC158" w14:textId="7C9DE083" w:rsidR="007242D9" w:rsidRPr="00AF1EA9" w:rsidRDefault="00292043" w:rsidP="00AF1EA9">
      <w:pPr>
        <w:spacing w:line="360" w:lineRule="auto"/>
        <w:jc w:val="both"/>
        <w:rPr>
          <w:rFonts w:ascii="Arial" w:hAnsi="Arial" w:cs="Arial"/>
          <w:b/>
          <w:sz w:val="24"/>
          <w:szCs w:val="24"/>
        </w:rPr>
      </w:pPr>
      <w:r>
        <w:rPr>
          <w:rFonts w:ascii="Arial" w:hAnsi="Arial" w:cs="Arial"/>
          <w:b/>
          <w:sz w:val="24"/>
          <w:szCs w:val="24"/>
        </w:rPr>
        <w:t xml:space="preserve">MINISTER OF </w:t>
      </w:r>
      <w:r w:rsidR="00E42316">
        <w:rPr>
          <w:rFonts w:ascii="Arial" w:hAnsi="Arial" w:cs="Arial"/>
          <w:b/>
          <w:sz w:val="24"/>
          <w:szCs w:val="24"/>
        </w:rPr>
        <w:t xml:space="preserve">BASIC </w:t>
      </w:r>
      <w:r>
        <w:rPr>
          <w:rFonts w:ascii="Arial" w:hAnsi="Arial" w:cs="Arial"/>
          <w:b/>
          <w:sz w:val="24"/>
          <w:szCs w:val="24"/>
        </w:rPr>
        <w:t>EDUCATION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42316">
        <w:rPr>
          <w:rFonts w:ascii="Arial" w:hAnsi="Arial" w:cs="Arial"/>
          <w:b/>
          <w:sz w:val="24"/>
          <w:szCs w:val="24"/>
        </w:rPr>
        <w:t xml:space="preserve">                </w:t>
      </w:r>
      <w:r>
        <w:rPr>
          <w:rFonts w:ascii="Arial" w:hAnsi="Arial" w:cs="Arial"/>
          <w:b/>
          <w:sz w:val="24"/>
          <w:szCs w:val="24"/>
        </w:rPr>
        <w:t>THIRD RESPONDENT</w:t>
      </w:r>
      <w:r w:rsidR="007242D9" w:rsidRPr="00AF1EA9">
        <w:rPr>
          <w:rFonts w:ascii="Arial" w:hAnsi="Arial" w:cs="Arial"/>
          <w:b/>
          <w:sz w:val="24"/>
          <w:szCs w:val="24"/>
        </w:rPr>
        <w:tab/>
      </w:r>
      <w:r w:rsidR="007242D9" w:rsidRPr="00AF1EA9">
        <w:rPr>
          <w:rFonts w:ascii="Arial" w:hAnsi="Arial" w:cs="Arial"/>
          <w:b/>
          <w:sz w:val="24"/>
          <w:szCs w:val="24"/>
        </w:rPr>
        <w:tab/>
      </w:r>
      <w:r w:rsidR="007242D9" w:rsidRPr="00AF1EA9">
        <w:rPr>
          <w:rFonts w:ascii="Arial" w:hAnsi="Arial" w:cs="Arial"/>
          <w:b/>
          <w:sz w:val="24"/>
          <w:szCs w:val="24"/>
        </w:rPr>
        <w:tab/>
      </w:r>
      <w:r w:rsidR="002B4A13" w:rsidRPr="00AF1EA9">
        <w:rPr>
          <w:rFonts w:ascii="Arial" w:hAnsi="Arial" w:cs="Arial"/>
          <w:b/>
          <w:sz w:val="24"/>
          <w:szCs w:val="24"/>
        </w:rPr>
        <w:tab/>
        <w:t xml:space="preserve">    </w:t>
      </w:r>
    </w:p>
    <w:p w14:paraId="647242B2" w14:textId="63D421BE" w:rsidR="002E26DE" w:rsidRPr="00AF1EA9" w:rsidRDefault="002E26DE" w:rsidP="00AF1EA9">
      <w:pPr>
        <w:spacing w:line="360" w:lineRule="auto"/>
        <w:jc w:val="both"/>
        <w:rPr>
          <w:rFonts w:ascii="Arial" w:hAnsi="Arial" w:cs="Arial"/>
          <w:b/>
          <w:sz w:val="24"/>
          <w:szCs w:val="24"/>
        </w:rPr>
      </w:pPr>
      <w:r w:rsidRPr="00AF1EA9">
        <w:rPr>
          <w:rFonts w:ascii="Arial" w:hAnsi="Arial" w:cs="Arial"/>
          <w:b/>
          <w:sz w:val="24"/>
          <w:szCs w:val="24"/>
        </w:rPr>
        <w:lastRenderedPageBreak/>
        <w:t xml:space="preserve">__________________________________________________________________ </w:t>
      </w:r>
    </w:p>
    <w:p w14:paraId="09E3F4B3" w14:textId="247F92E6" w:rsidR="002E26DE" w:rsidRPr="00AF1EA9" w:rsidRDefault="002E26DE" w:rsidP="00AF1EA9">
      <w:pPr>
        <w:spacing w:line="360" w:lineRule="auto"/>
        <w:ind w:left="3600"/>
        <w:jc w:val="both"/>
        <w:rPr>
          <w:rFonts w:ascii="Arial" w:hAnsi="Arial" w:cs="Arial"/>
          <w:b/>
          <w:sz w:val="24"/>
          <w:szCs w:val="24"/>
        </w:rPr>
      </w:pPr>
      <w:r w:rsidRPr="00AF1EA9">
        <w:rPr>
          <w:rFonts w:ascii="Arial" w:hAnsi="Arial" w:cs="Arial"/>
          <w:b/>
          <w:sz w:val="24"/>
          <w:szCs w:val="24"/>
        </w:rPr>
        <w:t>JUDGMENT</w:t>
      </w:r>
    </w:p>
    <w:p w14:paraId="705EF577" w14:textId="1EA317EF" w:rsidR="002E26DE" w:rsidRPr="00AF1EA9" w:rsidRDefault="002E26DE" w:rsidP="00AF1EA9">
      <w:pPr>
        <w:spacing w:line="360" w:lineRule="auto"/>
        <w:jc w:val="both"/>
        <w:rPr>
          <w:rFonts w:ascii="Arial" w:hAnsi="Arial" w:cs="Arial"/>
          <w:b/>
          <w:sz w:val="24"/>
          <w:szCs w:val="24"/>
          <w:u w:val="single"/>
        </w:rPr>
      </w:pPr>
      <w:r w:rsidRPr="00AF1EA9">
        <w:rPr>
          <w:rFonts w:ascii="Arial" w:hAnsi="Arial" w:cs="Arial"/>
          <w:b/>
          <w:sz w:val="24"/>
          <w:szCs w:val="24"/>
          <w:u w:val="single"/>
        </w:rPr>
        <w:t xml:space="preserve">__________________________________________________________________ </w:t>
      </w:r>
    </w:p>
    <w:p w14:paraId="5686B982" w14:textId="769AA369" w:rsidR="00896BDB" w:rsidRPr="00AF1EA9" w:rsidRDefault="00666346" w:rsidP="00AF1EA9">
      <w:pPr>
        <w:spacing w:line="360" w:lineRule="auto"/>
        <w:jc w:val="both"/>
        <w:rPr>
          <w:rFonts w:ascii="Arial" w:hAnsi="Arial" w:cs="Arial"/>
          <w:b/>
          <w:sz w:val="24"/>
          <w:szCs w:val="24"/>
          <w:u w:val="single"/>
        </w:rPr>
      </w:pPr>
      <w:r w:rsidRPr="00AF1EA9">
        <w:rPr>
          <w:rFonts w:ascii="Arial" w:hAnsi="Arial" w:cs="Arial"/>
          <w:b/>
          <w:sz w:val="24"/>
          <w:szCs w:val="24"/>
          <w:u w:val="single"/>
        </w:rPr>
        <w:t xml:space="preserve">INTRODUCTION </w:t>
      </w:r>
    </w:p>
    <w:p w14:paraId="257BF30D" w14:textId="77777777" w:rsidR="0056269A" w:rsidRPr="00AF1EA9" w:rsidRDefault="0056269A" w:rsidP="00AF1EA9">
      <w:pPr>
        <w:spacing w:line="360" w:lineRule="auto"/>
        <w:jc w:val="both"/>
        <w:rPr>
          <w:rFonts w:ascii="Arial" w:hAnsi="Arial" w:cs="Arial"/>
          <w:b/>
          <w:sz w:val="24"/>
          <w:szCs w:val="24"/>
          <w:u w:val="single"/>
        </w:rPr>
      </w:pPr>
    </w:p>
    <w:p w14:paraId="5C9C9489" w14:textId="0518D441" w:rsidR="002E26DE" w:rsidRPr="00AF1EA9" w:rsidRDefault="002E26DE" w:rsidP="00AF1EA9">
      <w:pPr>
        <w:spacing w:after="0" w:line="360" w:lineRule="auto"/>
        <w:ind w:left="720" w:hanging="720"/>
        <w:jc w:val="both"/>
        <w:rPr>
          <w:rFonts w:ascii="Arial" w:hAnsi="Arial" w:cs="Arial"/>
          <w:i/>
          <w:iCs/>
          <w:sz w:val="24"/>
          <w:szCs w:val="24"/>
        </w:rPr>
      </w:pPr>
      <w:r w:rsidRPr="00AF1EA9">
        <w:rPr>
          <w:rFonts w:ascii="Arial" w:hAnsi="Arial" w:cs="Arial"/>
          <w:sz w:val="24"/>
          <w:szCs w:val="24"/>
        </w:rPr>
        <w:t xml:space="preserve">[1]  </w:t>
      </w:r>
      <w:r w:rsidR="00666346" w:rsidRPr="00AF1EA9">
        <w:rPr>
          <w:rFonts w:ascii="Arial" w:hAnsi="Arial" w:cs="Arial"/>
          <w:sz w:val="24"/>
          <w:szCs w:val="24"/>
        </w:rPr>
        <w:tab/>
      </w:r>
      <w:r w:rsidR="009346D7" w:rsidRPr="00AF1EA9">
        <w:rPr>
          <w:rFonts w:ascii="Arial" w:hAnsi="Arial" w:cs="Arial"/>
          <w:sz w:val="24"/>
          <w:szCs w:val="24"/>
        </w:rPr>
        <w:t xml:space="preserve">This matter first came before me on </w:t>
      </w:r>
      <w:r w:rsidR="009346D7" w:rsidRPr="00AF1EA9">
        <w:rPr>
          <w:rFonts w:ascii="Arial" w:hAnsi="Arial" w:cs="Arial"/>
          <w:b/>
          <w:bCs/>
          <w:sz w:val="24"/>
          <w:szCs w:val="24"/>
        </w:rPr>
        <w:t>26 January 2022</w:t>
      </w:r>
      <w:r w:rsidR="009346D7" w:rsidRPr="00AF1EA9">
        <w:rPr>
          <w:rFonts w:ascii="Arial" w:hAnsi="Arial" w:cs="Arial"/>
          <w:sz w:val="24"/>
          <w:szCs w:val="24"/>
        </w:rPr>
        <w:t xml:space="preserve"> as a special allocation. Three court days prior to the hearing, the Respondents brought an application for leave to file a further affidavit. The supplementary affidavit as I understand, sought to argue that the </w:t>
      </w:r>
      <w:r w:rsidR="0056269A" w:rsidRPr="00AF1EA9">
        <w:rPr>
          <w:rFonts w:ascii="Arial" w:hAnsi="Arial" w:cs="Arial"/>
          <w:sz w:val="24"/>
          <w:szCs w:val="24"/>
        </w:rPr>
        <w:t>main application has been overtaken by events and become moot. Naturally, the Applicant’s Counsel applie</w:t>
      </w:r>
      <w:r w:rsidR="00F90A88" w:rsidRPr="00AF1EA9">
        <w:rPr>
          <w:rFonts w:ascii="Arial" w:hAnsi="Arial" w:cs="Arial"/>
          <w:sz w:val="24"/>
          <w:szCs w:val="24"/>
        </w:rPr>
        <w:t>d</w:t>
      </w:r>
      <w:r w:rsidR="0056269A" w:rsidRPr="00AF1EA9">
        <w:rPr>
          <w:rFonts w:ascii="Arial" w:hAnsi="Arial" w:cs="Arial"/>
          <w:sz w:val="24"/>
          <w:szCs w:val="24"/>
        </w:rPr>
        <w:t xml:space="preserve"> for a postponement to consider the issues raised and the matter was postponed to </w:t>
      </w:r>
      <w:r w:rsidR="0056269A" w:rsidRPr="00AF1EA9">
        <w:rPr>
          <w:rFonts w:ascii="Arial" w:hAnsi="Arial" w:cs="Arial"/>
          <w:b/>
          <w:bCs/>
          <w:sz w:val="24"/>
          <w:szCs w:val="24"/>
        </w:rPr>
        <w:t>25 February 2022</w:t>
      </w:r>
      <w:r w:rsidR="0056269A" w:rsidRPr="00AF1EA9">
        <w:rPr>
          <w:rFonts w:ascii="Arial" w:hAnsi="Arial" w:cs="Arial"/>
          <w:sz w:val="24"/>
          <w:szCs w:val="24"/>
        </w:rPr>
        <w:t xml:space="preserve"> with further directives on the </w:t>
      </w:r>
      <w:r w:rsidR="00F90A88" w:rsidRPr="00AF1EA9">
        <w:rPr>
          <w:rFonts w:ascii="Arial" w:hAnsi="Arial" w:cs="Arial"/>
          <w:sz w:val="24"/>
          <w:szCs w:val="24"/>
        </w:rPr>
        <w:t>filing</w:t>
      </w:r>
      <w:r w:rsidR="0056269A" w:rsidRPr="00AF1EA9">
        <w:rPr>
          <w:rFonts w:ascii="Arial" w:hAnsi="Arial" w:cs="Arial"/>
          <w:sz w:val="24"/>
          <w:szCs w:val="24"/>
        </w:rPr>
        <w:t xml:space="preserve"> of additional documents. </w:t>
      </w:r>
    </w:p>
    <w:p w14:paraId="7DFB2F7F" w14:textId="77777777" w:rsidR="002E26DE" w:rsidRPr="00AF1EA9" w:rsidRDefault="002E26DE" w:rsidP="00AF1EA9">
      <w:pPr>
        <w:pStyle w:val="ListParagraph"/>
        <w:spacing w:line="360" w:lineRule="auto"/>
        <w:jc w:val="both"/>
        <w:rPr>
          <w:rFonts w:ascii="Arial" w:hAnsi="Arial" w:cs="Arial"/>
          <w:i/>
          <w:iCs/>
          <w:sz w:val="24"/>
          <w:szCs w:val="24"/>
        </w:rPr>
      </w:pPr>
    </w:p>
    <w:p w14:paraId="227BDA14" w14:textId="1D94F0FD" w:rsidR="002E26DE" w:rsidRDefault="002E26DE" w:rsidP="00AF1EA9">
      <w:pPr>
        <w:spacing w:line="360" w:lineRule="auto"/>
        <w:ind w:left="630" w:hanging="630"/>
        <w:jc w:val="both"/>
        <w:rPr>
          <w:rFonts w:ascii="Arial" w:hAnsi="Arial" w:cs="Arial"/>
          <w:sz w:val="24"/>
          <w:szCs w:val="24"/>
        </w:rPr>
      </w:pPr>
      <w:r w:rsidRPr="00AF1EA9">
        <w:rPr>
          <w:rFonts w:ascii="Arial" w:hAnsi="Arial" w:cs="Arial"/>
          <w:sz w:val="24"/>
          <w:szCs w:val="24"/>
        </w:rPr>
        <w:t xml:space="preserve">[2]      </w:t>
      </w:r>
      <w:r w:rsidR="00292EA4" w:rsidRPr="00AF1EA9">
        <w:rPr>
          <w:rFonts w:ascii="Arial" w:hAnsi="Arial" w:cs="Arial"/>
          <w:sz w:val="24"/>
          <w:szCs w:val="24"/>
        </w:rPr>
        <w:t xml:space="preserve">On the </w:t>
      </w:r>
      <w:r w:rsidR="00292EA4" w:rsidRPr="00AF1EA9">
        <w:rPr>
          <w:rFonts w:ascii="Arial" w:hAnsi="Arial" w:cs="Arial"/>
          <w:b/>
          <w:bCs/>
          <w:sz w:val="24"/>
          <w:szCs w:val="24"/>
        </w:rPr>
        <w:t>25</w:t>
      </w:r>
      <w:r w:rsidR="00292EA4" w:rsidRPr="00AF1EA9">
        <w:rPr>
          <w:rFonts w:ascii="Arial" w:hAnsi="Arial" w:cs="Arial"/>
          <w:b/>
          <w:bCs/>
          <w:sz w:val="24"/>
          <w:szCs w:val="24"/>
          <w:vertAlign w:val="superscript"/>
        </w:rPr>
        <w:t>th</w:t>
      </w:r>
      <w:r w:rsidR="00292EA4" w:rsidRPr="00AF1EA9">
        <w:rPr>
          <w:rFonts w:ascii="Arial" w:hAnsi="Arial" w:cs="Arial"/>
          <w:b/>
          <w:bCs/>
          <w:sz w:val="24"/>
          <w:szCs w:val="24"/>
        </w:rPr>
        <w:t xml:space="preserve"> February 2022</w:t>
      </w:r>
      <w:r w:rsidR="00292EA4" w:rsidRPr="00AF1EA9">
        <w:rPr>
          <w:rFonts w:ascii="Arial" w:hAnsi="Arial" w:cs="Arial"/>
          <w:sz w:val="24"/>
          <w:szCs w:val="24"/>
        </w:rPr>
        <w:t xml:space="preserve">, it being my last </w:t>
      </w:r>
      <w:r w:rsidR="00982C02" w:rsidRPr="00AF1EA9">
        <w:rPr>
          <w:rFonts w:ascii="Arial" w:hAnsi="Arial" w:cs="Arial"/>
          <w:sz w:val="24"/>
          <w:szCs w:val="24"/>
        </w:rPr>
        <w:t xml:space="preserve"> day on the bench.</w:t>
      </w:r>
      <w:r w:rsidR="00463FCE" w:rsidRPr="00AF1EA9">
        <w:rPr>
          <w:rFonts w:ascii="Arial" w:hAnsi="Arial" w:cs="Arial"/>
          <w:sz w:val="24"/>
          <w:szCs w:val="24"/>
        </w:rPr>
        <w:t xml:space="preserve"> I du</w:t>
      </w:r>
      <w:r w:rsidR="00385AF2" w:rsidRPr="00AF1EA9">
        <w:rPr>
          <w:rFonts w:ascii="Arial" w:hAnsi="Arial" w:cs="Arial"/>
          <w:sz w:val="24"/>
          <w:szCs w:val="24"/>
        </w:rPr>
        <w:t xml:space="preserve">ly enquired from the parties </w:t>
      </w:r>
      <w:r w:rsidR="00982C02" w:rsidRPr="00AF1EA9">
        <w:rPr>
          <w:rFonts w:ascii="Arial" w:hAnsi="Arial" w:cs="Arial"/>
          <w:sz w:val="24"/>
          <w:szCs w:val="24"/>
        </w:rPr>
        <w:t xml:space="preserve">if it would </w:t>
      </w:r>
      <w:r w:rsidR="00463FCE" w:rsidRPr="00AF1EA9">
        <w:rPr>
          <w:rFonts w:ascii="Arial" w:hAnsi="Arial" w:cs="Arial"/>
          <w:sz w:val="24"/>
          <w:szCs w:val="24"/>
        </w:rPr>
        <w:t xml:space="preserve">not be better to remit the matter to the </w:t>
      </w:r>
      <w:r w:rsidR="00463FCE" w:rsidRPr="00AF1EA9">
        <w:rPr>
          <w:rFonts w:ascii="Arial" w:hAnsi="Arial" w:cs="Arial"/>
          <w:b/>
          <w:bCs/>
          <w:sz w:val="24"/>
          <w:szCs w:val="24"/>
        </w:rPr>
        <w:t>Judge President</w:t>
      </w:r>
      <w:r w:rsidR="00463FCE" w:rsidRPr="00AF1EA9">
        <w:rPr>
          <w:rFonts w:ascii="Arial" w:hAnsi="Arial" w:cs="Arial"/>
          <w:sz w:val="24"/>
          <w:szCs w:val="24"/>
        </w:rPr>
        <w:t xml:space="preserve"> for re-allocation. After some deliberations</w:t>
      </w:r>
      <w:r w:rsidR="000D70F4" w:rsidRPr="00AF1EA9">
        <w:rPr>
          <w:rFonts w:ascii="Arial" w:hAnsi="Arial" w:cs="Arial"/>
          <w:sz w:val="24"/>
          <w:szCs w:val="24"/>
        </w:rPr>
        <w:t xml:space="preserve">, I was informed </w:t>
      </w:r>
      <w:r w:rsidR="0082043F" w:rsidRPr="00AF1EA9">
        <w:rPr>
          <w:rFonts w:ascii="Arial" w:hAnsi="Arial" w:cs="Arial"/>
          <w:sz w:val="24"/>
          <w:szCs w:val="24"/>
        </w:rPr>
        <w:t xml:space="preserve">that parties would want me to hear their submissions on </w:t>
      </w:r>
      <w:r w:rsidR="00E25301" w:rsidRPr="00AF1EA9">
        <w:rPr>
          <w:rFonts w:ascii="Arial" w:hAnsi="Arial" w:cs="Arial"/>
          <w:sz w:val="24"/>
          <w:szCs w:val="24"/>
        </w:rPr>
        <w:t>jurisdiction</w:t>
      </w:r>
      <w:r w:rsidR="0082043F" w:rsidRPr="00AF1EA9">
        <w:rPr>
          <w:rFonts w:ascii="Arial" w:hAnsi="Arial" w:cs="Arial"/>
          <w:sz w:val="24"/>
          <w:szCs w:val="24"/>
        </w:rPr>
        <w:t xml:space="preserve"> </w:t>
      </w:r>
      <w:r w:rsidR="00E25301" w:rsidRPr="00AF1EA9">
        <w:rPr>
          <w:rFonts w:ascii="Arial" w:hAnsi="Arial" w:cs="Arial"/>
          <w:sz w:val="24"/>
          <w:szCs w:val="24"/>
        </w:rPr>
        <w:t xml:space="preserve">as a point in </w:t>
      </w:r>
      <w:r w:rsidR="00E25301" w:rsidRPr="00AF1EA9">
        <w:rPr>
          <w:rFonts w:ascii="Arial" w:hAnsi="Arial" w:cs="Arial"/>
          <w:i/>
          <w:iCs/>
          <w:sz w:val="24"/>
          <w:szCs w:val="24"/>
        </w:rPr>
        <w:t>limine</w:t>
      </w:r>
      <w:r w:rsidR="00E25301" w:rsidRPr="00AF1EA9">
        <w:rPr>
          <w:rFonts w:ascii="Arial" w:hAnsi="Arial" w:cs="Arial"/>
          <w:sz w:val="24"/>
          <w:szCs w:val="24"/>
        </w:rPr>
        <w:t xml:space="preserve">. In the event jurisdiction is confirmed, the </w:t>
      </w:r>
      <w:r w:rsidR="00ED7ED7" w:rsidRPr="00AF1EA9">
        <w:rPr>
          <w:rFonts w:ascii="Arial" w:hAnsi="Arial" w:cs="Arial"/>
          <w:sz w:val="24"/>
          <w:szCs w:val="24"/>
        </w:rPr>
        <w:t xml:space="preserve">remaining issues </w:t>
      </w:r>
      <w:r w:rsidR="008E7DB4">
        <w:rPr>
          <w:rFonts w:ascii="Arial" w:hAnsi="Arial" w:cs="Arial"/>
          <w:sz w:val="24"/>
          <w:szCs w:val="24"/>
        </w:rPr>
        <w:t>will be adjudicated by another j</w:t>
      </w:r>
      <w:r w:rsidR="00ED7ED7" w:rsidRPr="00AF1EA9">
        <w:rPr>
          <w:rFonts w:ascii="Arial" w:hAnsi="Arial" w:cs="Arial"/>
          <w:sz w:val="24"/>
          <w:szCs w:val="24"/>
        </w:rPr>
        <w:t>udge on a date to be allocated by the Registrar</w:t>
      </w:r>
      <w:r w:rsidRPr="00AF1EA9">
        <w:rPr>
          <w:rFonts w:ascii="Arial" w:hAnsi="Arial" w:cs="Arial"/>
          <w:sz w:val="24"/>
          <w:szCs w:val="24"/>
        </w:rPr>
        <w:t>.</w:t>
      </w:r>
    </w:p>
    <w:p w14:paraId="19A048C7" w14:textId="77777777" w:rsidR="001D506D" w:rsidRPr="00AF1EA9" w:rsidRDefault="001D506D" w:rsidP="00AF1EA9">
      <w:pPr>
        <w:spacing w:line="360" w:lineRule="auto"/>
        <w:ind w:left="630" w:hanging="630"/>
        <w:jc w:val="both"/>
        <w:rPr>
          <w:rFonts w:ascii="Arial" w:hAnsi="Arial" w:cs="Arial"/>
          <w:sz w:val="24"/>
          <w:szCs w:val="24"/>
        </w:rPr>
      </w:pPr>
    </w:p>
    <w:p w14:paraId="0DBB55B4" w14:textId="306341F7" w:rsidR="002175A6" w:rsidRPr="00AF1EA9" w:rsidRDefault="002175A6" w:rsidP="00AF1EA9">
      <w:pPr>
        <w:spacing w:line="360" w:lineRule="auto"/>
        <w:ind w:left="630" w:hanging="630"/>
        <w:jc w:val="both"/>
        <w:rPr>
          <w:rFonts w:ascii="Arial" w:hAnsi="Arial" w:cs="Arial"/>
          <w:b/>
          <w:bCs/>
          <w:sz w:val="24"/>
          <w:szCs w:val="24"/>
          <w:u w:val="single"/>
        </w:rPr>
      </w:pPr>
      <w:r w:rsidRPr="00AF1EA9">
        <w:rPr>
          <w:rFonts w:ascii="Arial" w:hAnsi="Arial" w:cs="Arial"/>
          <w:sz w:val="24"/>
          <w:szCs w:val="24"/>
        </w:rPr>
        <w:tab/>
      </w:r>
      <w:r w:rsidR="00982C02" w:rsidRPr="00AF1EA9">
        <w:rPr>
          <w:rFonts w:ascii="Arial" w:hAnsi="Arial" w:cs="Arial"/>
          <w:b/>
          <w:bCs/>
          <w:sz w:val="24"/>
          <w:szCs w:val="24"/>
          <w:u w:val="single"/>
        </w:rPr>
        <w:t>History of the matter</w:t>
      </w:r>
    </w:p>
    <w:p w14:paraId="6F7BA78B" w14:textId="7236C249" w:rsidR="002E26DE" w:rsidRPr="00AF1EA9" w:rsidRDefault="002E26DE" w:rsidP="00AF1EA9">
      <w:pPr>
        <w:spacing w:line="360" w:lineRule="auto"/>
        <w:ind w:left="720" w:hanging="720"/>
        <w:jc w:val="both"/>
        <w:rPr>
          <w:rFonts w:ascii="Arial" w:hAnsi="Arial" w:cs="Arial"/>
          <w:sz w:val="24"/>
          <w:szCs w:val="24"/>
        </w:rPr>
      </w:pPr>
      <w:r w:rsidRPr="00AF1EA9">
        <w:rPr>
          <w:rFonts w:ascii="Arial" w:hAnsi="Arial" w:cs="Arial"/>
          <w:sz w:val="24"/>
          <w:szCs w:val="24"/>
        </w:rPr>
        <w:t xml:space="preserve">[3]      </w:t>
      </w:r>
      <w:r w:rsidR="00BC4164" w:rsidRPr="00AF1EA9">
        <w:rPr>
          <w:rFonts w:ascii="Arial" w:hAnsi="Arial" w:cs="Arial"/>
          <w:sz w:val="24"/>
          <w:szCs w:val="24"/>
        </w:rPr>
        <w:t xml:space="preserve">The dispute between the parties arises out of an implementation of an incentive policy published by the then Minister of Education in the Government Gazette. The policy prescribes the criteria to be used by the </w:t>
      </w:r>
      <w:r w:rsidR="00C41A0D" w:rsidRPr="00AF1EA9">
        <w:rPr>
          <w:rFonts w:ascii="Arial" w:hAnsi="Arial" w:cs="Arial"/>
          <w:sz w:val="24"/>
          <w:szCs w:val="24"/>
        </w:rPr>
        <w:t>P</w:t>
      </w:r>
      <w:r w:rsidR="00BC4164" w:rsidRPr="00AF1EA9">
        <w:rPr>
          <w:rFonts w:ascii="Arial" w:hAnsi="Arial" w:cs="Arial"/>
          <w:sz w:val="24"/>
          <w:szCs w:val="24"/>
        </w:rPr>
        <w:t xml:space="preserve">rovincial </w:t>
      </w:r>
      <w:r w:rsidR="00C41A0D" w:rsidRPr="00AF1EA9">
        <w:rPr>
          <w:rFonts w:ascii="Arial" w:hAnsi="Arial" w:cs="Arial"/>
          <w:sz w:val="24"/>
          <w:szCs w:val="24"/>
        </w:rPr>
        <w:t>H</w:t>
      </w:r>
      <w:r w:rsidR="00BC4164" w:rsidRPr="00AF1EA9">
        <w:rPr>
          <w:rFonts w:ascii="Arial" w:hAnsi="Arial" w:cs="Arial"/>
          <w:sz w:val="24"/>
          <w:szCs w:val="24"/>
        </w:rPr>
        <w:t xml:space="preserve">ead of Departments in the determination of the teachers </w:t>
      </w:r>
      <w:r w:rsidR="00367E5A" w:rsidRPr="00AF1EA9">
        <w:rPr>
          <w:rFonts w:ascii="Arial" w:hAnsi="Arial" w:cs="Arial"/>
          <w:sz w:val="24"/>
          <w:szCs w:val="24"/>
        </w:rPr>
        <w:t xml:space="preserve">who qualify for the payment of the incentive. On the papers before me, the Applicants allege that they </w:t>
      </w:r>
      <w:r w:rsidR="00CD1B92" w:rsidRPr="00AF1EA9">
        <w:rPr>
          <w:rFonts w:ascii="Arial" w:hAnsi="Arial" w:cs="Arial"/>
          <w:sz w:val="24"/>
          <w:szCs w:val="24"/>
        </w:rPr>
        <w:t>have been discriminated against and that the decision to exclude them is both unlawful and irrational</w:t>
      </w:r>
      <w:r w:rsidRPr="00AF1EA9">
        <w:rPr>
          <w:rFonts w:ascii="Arial" w:hAnsi="Arial" w:cs="Arial"/>
          <w:sz w:val="24"/>
          <w:szCs w:val="24"/>
        </w:rPr>
        <w:t>.</w:t>
      </w:r>
    </w:p>
    <w:p w14:paraId="65E9379B" w14:textId="5ED1AC0E" w:rsidR="002E26DE" w:rsidRPr="00AF1EA9" w:rsidRDefault="002E26DE" w:rsidP="00AF1EA9">
      <w:pPr>
        <w:tabs>
          <w:tab w:val="left" w:pos="720"/>
        </w:tabs>
        <w:spacing w:line="360" w:lineRule="auto"/>
        <w:ind w:left="720" w:hanging="578"/>
        <w:jc w:val="both"/>
        <w:rPr>
          <w:rFonts w:ascii="Arial" w:hAnsi="Arial" w:cs="Arial"/>
          <w:sz w:val="24"/>
          <w:szCs w:val="24"/>
        </w:rPr>
      </w:pPr>
      <w:r w:rsidRPr="00AF1EA9">
        <w:rPr>
          <w:rFonts w:ascii="Arial" w:hAnsi="Arial" w:cs="Arial"/>
          <w:sz w:val="24"/>
          <w:szCs w:val="24"/>
        </w:rPr>
        <w:t xml:space="preserve">[4]  </w:t>
      </w:r>
      <w:r w:rsidR="004A1407" w:rsidRPr="00AF1EA9">
        <w:rPr>
          <w:rFonts w:ascii="Arial" w:hAnsi="Arial" w:cs="Arial"/>
          <w:sz w:val="24"/>
          <w:szCs w:val="24"/>
        </w:rPr>
        <w:t>Prior to the ins</w:t>
      </w:r>
      <w:r w:rsidR="002756CA" w:rsidRPr="00AF1EA9">
        <w:rPr>
          <w:rFonts w:ascii="Arial" w:hAnsi="Arial" w:cs="Arial"/>
          <w:sz w:val="24"/>
          <w:szCs w:val="24"/>
        </w:rPr>
        <w:t>titution of this proceedings, the Applicants ins</w:t>
      </w:r>
      <w:r w:rsidR="0007795D" w:rsidRPr="00AF1EA9">
        <w:rPr>
          <w:rFonts w:ascii="Arial" w:hAnsi="Arial" w:cs="Arial"/>
          <w:sz w:val="24"/>
          <w:szCs w:val="24"/>
        </w:rPr>
        <w:t>tituted action proceedings under ca</w:t>
      </w:r>
      <w:r w:rsidR="004E6418" w:rsidRPr="00AF1EA9">
        <w:rPr>
          <w:rFonts w:ascii="Arial" w:hAnsi="Arial" w:cs="Arial"/>
          <w:sz w:val="24"/>
          <w:szCs w:val="24"/>
        </w:rPr>
        <w:t>se</w:t>
      </w:r>
      <w:r w:rsidR="0007795D" w:rsidRPr="00AF1EA9">
        <w:rPr>
          <w:rFonts w:ascii="Arial" w:hAnsi="Arial" w:cs="Arial"/>
          <w:sz w:val="24"/>
          <w:szCs w:val="24"/>
        </w:rPr>
        <w:t xml:space="preserve"> number 1161/2013 in the then Polokwane Circuit Court of the North Gauteng High Court, Pretoria. </w:t>
      </w:r>
      <w:r w:rsidR="004E6418" w:rsidRPr="00AF1EA9">
        <w:rPr>
          <w:rFonts w:ascii="Arial" w:hAnsi="Arial" w:cs="Arial"/>
          <w:sz w:val="24"/>
          <w:szCs w:val="24"/>
        </w:rPr>
        <w:t xml:space="preserve">They prayed for an order that the </w:t>
      </w:r>
      <w:r w:rsidR="00350A0F" w:rsidRPr="00AF1EA9">
        <w:rPr>
          <w:rFonts w:ascii="Arial" w:hAnsi="Arial" w:cs="Arial"/>
          <w:sz w:val="24"/>
          <w:szCs w:val="24"/>
        </w:rPr>
        <w:t>Department be directed to pay each one of them an incentive allowance on a monthly basis in accordance with the presc</w:t>
      </w:r>
      <w:r w:rsidR="006857B9" w:rsidRPr="00AF1EA9">
        <w:rPr>
          <w:rFonts w:ascii="Arial" w:hAnsi="Arial" w:cs="Arial"/>
          <w:sz w:val="24"/>
          <w:szCs w:val="24"/>
        </w:rPr>
        <w:t>ripts of the incentive policy</w:t>
      </w:r>
      <w:r w:rsidRPr="00AF1EA9">
        <w:rPr>
          <w:rFonts w:ascii="Arial" w:hAnsi="Arial" w:cs="Arial"/>
          <w:sz w:val="24"/>
          <w:szCs w:val="24"/>
        </w:rPr>
        <w:t xml:space="preserve">. </w:t>
      </w:r>
    </w:p>
    <w:p w14:paraId="0E07E908" w14:textId="0BB936FA" w:rsidR="002E26DE" w:rsidRPr="00AF1EA9" w:rsidRDefault="002E26DE" w:rsidP="00AF1EA9">
      <w:pPr>
        <w:spacing w:line="360" w:lineRule="auto"/>
        <w:ind w:left="709" w:hanging="709"/>
        <w:jc w:val="both"/>
        <w:rPr>
          <w:rFonts w:ascii="Arial" w:hAnsi="Arial" w:cs="Arial"/>
          <w:sz w:val="24"/>
          <w:szCs w:val="24"/>
        </w:rPr>
      </w:pPr>
      <w:r w:rsidRPr="00AF1EA9">
        <w:rPr>
          <w:rFonts w:ascii="Arial" w:hAnsi="Arial" w:cs="Arial"/>
          <w:sz w:val="24"/>
          <w:szCs w:val="24"/>
        </w:rPr>
        <w:t xml:space="preserve">[5]      </w:t>
      </w:r>
      <w:r w:rsidR="000A6488" w:rsidRPr="00AF1EA9">
        <w:rPr>
          <w:rFonts w:ascii="Arial" w:hAnsi="Arial" w:cs="Arial"/>
          <w:sz w:val="24"/>
          <w:szCs w:val="24"/>
        </w:rPr>
        <w:t>The</w:t>
      </w:r>
      <w:r w:rsidR="00B176C7" w:rsidRPr="00AF1EA9">
        <w:rPr>
          <w:rFonts w:ascii="Arial" w:hAnsi="Arial" w:cs="Arial"/>
          <w:sz w:val="24"/>
          <w:szCs w:val="24"/>
        </w:rPr>
        <w:t xml:space="preserve"> Department defended the proceedings and raised an exception that the High Court lacked jur</w:t>
      </w:r>
      <w:r w:rsidR="00831B6D" w:rsidRPr="00AF1EA9">
        <w:rPr>
          <w:rFonts w:ascii="Arial" w:hAnsi="Arial" w:cs="Arial"/>
          <w:sz w:val="24"/>
          <w:szCs w:val="24"/>
        </w:rPr>
        <w:t xml:space="preserve">isdiction to adjudicate the matter as </w:t>
      </w:r>
      <w:r w:rsidR="00385AF2" w:rsidRPr="00AF1EA9">
        <w:rPr>
          <w:rFonts w:ascii="Arial" w:hAnsi="Arial" w:cs="Arial"/>
          <w:sz w:val="24"/>
          <w:szCs w:val="24"/>
        </w:rPr>
        <w:t>“</w:t>
      </w:r>
      <w:r w:rsidR="00831B6D" w:rsidRPr="00AF1EA9">
        <w:rPr>
          <w:rFonts w:ascii="Arial" w:hAnsi="Arial" w:cs="Arial"/>
          <w:sz w:val="24"/>
          <w:szCs w:val="24"/>
        </w:rPr>
        <w:t>the dispute forming part of this litigation constitutes a pure labour dispute</w:t>
      </w:r>
      <w:r w:rsidR="00385AF2" w:rsidRPr="00AF1EA9">
        <w:rPr>
          <w:rFonts w:ascii="Arial" w:hAnsi="Arial" w:cs="Arial"/>
          <w:sz w:val="24"/>
          <w:szCs w:val="24"/>
        </w:rPr>
        <w:t>”</w:t>
      </w:r>
      <w:r w:rsidR="00EC289D" w:rsidRPr="00AF1EA9">
        <w:rPr>
          <w:rFonts w:ascii="Arial" w:hAnsi="Arial" w:cs="Arial"/>
          <w:sz w:val="24"/>
          <w:szCs w:val="24"/>
        </w:rPr>
        <w:t xml:space="preserve">. </w:t>
      </w:r>
      <w:r w:rsidR="00CE4F4C" w:rsidRPr="00AF1EA9">
        <w:rPr>
          <w:rFonts w:ascii="Arial" w:hAnsi="Arial" w:cs="Arial"/>
          <w:sz w:val="24"/>
          <w:szCs w:val="24"/>
        </w:rPr>
        <w:t xml:space="preserve">It was </w:t>
      </w:r>
      <w:r w:rsidR="001D506D">
        <w:rPr>
          <w:rFonts w:ascii="Arial" w:hAnsi="Arial" w:cs="Arial"/>
          <w:sz w:val="24"/>
          <w:szCs w:val="24"/>
        </w:rPr>
        <w:t>argued that s</w:t>
      </w:r>
      <w:r w:rsidR="001E3183" w:rsidRPr="00AF1EA9">
        <w:rPr>
          <w:rFonts w:ascii="Arial" w:hAnsi="Arial" w:cs="Arial"/>
          <w:sz w:val="24"/>
          <w:szCs w:val="24"/>
        </w:rPr>
        <w:t>ection 157(1) of the Labour Relations Act 66 of 1995 grants an exclusive ju</w:t>
      </w:r>
      <w:r w:rsidR="00E80A67" w:rsidRPr="00AF1EA9">
        <w:rPr>
          <w:rFonts w:ascii="Arial" w:hAnsi="Arial" w:cs="Arial"/>
          <w:sz w:val="24"/>
          <w:szCs w:val="24"/>
        </w:rPr>
        <w:t>risdiction to the Labour Court</w:t>
      </w:r>
      <w:r w:rsidRPr="00AF1EA9">
        <w:rPr>
          <w:rFonts w:ascii="Arial" w:hAnsi="Arial" w:cs="Arial"/>
          <w:sz w:val="24"/>
          <w:szCs w:val="24"/>
        </w:rPr>
        <w:t>.</w:t>
      </w:r>
    </w:p>
    <w:p w14:paraId="09FB0138" w14:textId="40C01EB5" w:rsidR="002E26DE" w:rsidRPr="00AF1EA9" w:rsidRDefault="002E26DE" w:rsidP="00AF1EA9">
      <w:pPr>
        <w:spacing w:line="360" w:lineRule="auto"/>
        <w:ind w:left="720" w:hanging="720"/>
        <w:jc w:val="both"/>
        <w:rPr>
          <w:rFonts w:ascii="Arial" w:hAnsi="Arial" w:cs="Arial"/>
          <w:sz w:val="24"/>
          <w:szCs w:val="24"/>
        </w:rPr>
      </w:pPr>
      <w:r w:rsidRPr="00AF1EA9">
        <w:rPr>
          <w:rFonts w:ascii="Arial" w:hAnsi="Arial" w:cs="Arial"/>
          <w:sz w:val="24"/>
          <w:szCs w:val="24"/>
        </w:rPr>
        <w:t xml:space="preserve">[6]      </w:t>
      </w:r>
      <w:r w:rsidR="001D5859" w:rsidRPr="00AF1EA9">
        <w:rPr>
          <w:rFonts w:ascii="Arial" w:hAnsi="Arial" w:cs="Arial"/>
          <w:sz w:val="24"/>
          <w:szCs w:val="24"/>
        </w:rPr>
        <w:t>Raulinga</w:t>
      </w:r>
      <w:r w:rsidR="00385AF2" w:rsidRPr="00AF1EA9">
        <w:rPr>
          <w:rFonts w:ascii="Arial" w:hAnsi="Arial" w:cs="Arial"/>
          <w:sz w:val="24"/>
          <w:szCs w:val="24"/>
        </w:rPr>
        <w:t xml:space="preserve"> J</w:t>
      </w:r>
      <w:r w:rsidR="001D5859" w:rsidRPr="00AF1EA9">
        <w:rPr>
          <w:rFonts w:ascii="Arial" w:hAnsi="Arial" w:cs="Arial"/>
          <w:sz w:val="24"/>
          <w:szCs w:val="24"/>
        </w:rPr>
        <w:t xml:space="preserve"> considered the submissions by the parties and after reviewing case law including the </w:t>
      </w:r>
      <w:r w:rsidR="00353F5A" w:rsidRPr="00AF1EA9">
        <w:rPr>
          <w:rFonts w:ascii="Arial" w:hAnsi="Arial" w:cs="Arial"/>
          <w:sz w:val="24"/>
          <w:szCs w:val="24"/>
        </w:rPr>
        <w:t xml:space="preserve">constitutional court judgment of </w:t>
      </w:r>
      <w:r w:rsidR="00353F5A" w:rsidRPr="00AF1EA9">
        <w:rPr>
          <w:rFonts w:ascii="Arial" w:hAnsi="Arial" w:cs="Arial"/>
          <w:b/>
          <w:i/>
          <w:sz w:val="24"/>
          <w:szCs w:val="24"/>
        </w:rPr>
        <w:t>Gcaba v Mini</w:t>
      </w:r>
      <w:r w:rsidR="00EC5589" w:rsidRPr="00AF1EA9">
        <w:rPr>
          <w:rFonts w:ascii="Arial" w:hAnsi="Arial" w:cs="Arial"/>
          <w:b/>
          <w:i/>
          <w:sz w:val="24"/>
          <w:szCs w:val="24"/>
        </w:rPr>
        <w:t>s</w:t>
      </w:r>
      <w:r w:rsidR="00353F5A" w:rsidRPr="00AF1EA9">
        <w:rPr>
          <w:rFonts w:ascii="Arial" w:hAnsi="Arial" w:cs="Arial"/>
          <w:b/>
          <w:i/>
          <w:sz w:val="24"/>
          <w:szCs w:val="24"/>
        </w:rPr>
        <w:t>te</w:t>
      </w:r>
      <w:r w:rsidR="00EC5589" w:rsidRPr="00AF1EA9">
        <w:rPr>
          <w:rFonts w:ascii="Arial" w:hAnsi="Arial" w:cs="Arial"/>
          <w:b/>
          <w:i/>
          <w:sz w:val="24"/>
          <w:szCs w:val="24"/>
        </w:rPr>
        <w:t>r</w:t>
      </w:r>
      <w:r w:rsidR="00353F5A" w:rsidRPr="00AF1EA9">
        <w:rPr>
          <w:rFonts w:ascii="Arial" w:hAnsi="Arial" w:cs="Arial"/>
          <w:b/>
          <w:i/>
          <w:sz w:val="24"/>
          <w:szCs w:val="24"/>
        </w:rPr>
        <w:t xml:space="preserve"> for </w:t>
      </w:r>
      <w:r w:rsidR="00EC5589" w:rsidRPr="00AF1EA9">
        <w:rPr>
          <w:rFonts w:ascii="Arial" w:hAnsi="Arial" w:cs="Arial"/>
          <w:b/>
          <w:i/>
          <w:sz w:val="24"/>
          <w:szCs w:val="24"/>
        </w:rPr>
        <w:t xml:space="preserve">Safety and Security, </w:t>
      </w:r>
      <w:r w:rsidR="00931984" w:rsidRPr="00AF1EA9">
        <w:rPr>
          <w:rFonts w:ascii="Arial" w:hAnsi="Arial" w:cs="Arial"/>
          <w:b/>
          <w:i/>
          <w:sz w:val="24"/>
          <w:szCs w:val="24"/>
        </w:rPr>
        <w:t>2010 (1) SA</w:t>
      </w:r>
      <w:r w:rsidR="00E91C1B" w:rsidRPr="00AF1EA9">
        <w:rPr>
          <w:rFonts w:ascii="Arial" w:hAnsi="Arial" w:cs="Arial"/>
          <w:b/>
          <w:i/>
          <w:sz w:val="24"/>
          <w:szCs w:val="24"/>
        </w:rPr>
        <w:t xml:space="preserve"> </w:t>
      </w:r>
      <w:r w:rsidR="00931984" w:rsidRPr="00AF1EA9">
        <w:rPr>
          <w:rFonts w:ascii="Arial" w:hAnsi="Arial" w:cs="Arial"/>
          <w:b/>
          <w:i/>
          <w:sz w:val="24"/>
          <w:szCs w:val="24"/>
        </w:rPr>
        <w:t>238 (CC)</w:t>
      </w:r>
      <w:r w:rsidR="00931984" w:rsidRPr="00AF1EA9">
        <w:rPr>
          <w:rFonts w:ascii="Arial" w:hAnsi="Arial" w:cs="Arial"/>
          <w:b/>
          <w:sz w:val="24"/>
          <w:szCs w:val="24"/>
        </w:rPr>
        <w:t xml:space="preserve"> </w:t>
      </w:r>
      <w:r w:rsidR="00931984" w:rsidRPr="00AF1EA9">
        <w:rPr>
          <w:rFonts w:ascii="Arial" w:hAnsi="Arial" w:cs="Arial"/>
          <w:sz w:val="24"/>
          <w:szCs w:val="24"/>
        </w:rPr>
        <w:t xml:space="preserve">arrived at a conclusion that the High Court has jurisdiction to adjudicate the dispute. This order was never </w:t>
      </w:r>
      <w:r w:rsidR="00E91C1B" w:rsidRPr="00AF1EA9">
        <w:rPr>
          <w:rFonts w:ascii="Arial" w:hAnsi="Arial" w:cs="Arial"/>
          <w:sz w:val="24"/>
          <w:szCs w:val="24"/>
        </w:rPr>
        <w:t>appealed,</w:t>
      </w:r>
      <w:r w:rsidR="00931984" w:rsidRPr="00AF1EA9">
        <w:rPr>
          <w:rFonts w:ascii="Arial" w:hAnsi="Arial" w:cs="Arial"/>
          <w:sz w:val="24"/>
          <w:szCs w:val="24"/>
        </w:rPr>
        <w:t xml:space="preserve"> and the parties proceeded to exchange the pleadings</w:t>
      </w:r>
      <w:r w:rsidRPr="00AF1EA9">
        <w:rPr>
          <w:rFonts w:ascii="Arial" w:hAnsi="Arial" w:cs="Arial"/>
          <w:sz w:val="24"/>
          <w:szCs w:val="24"/>
        </w:rPr>
        <w:t>.</w:t>
      </w:r>
      <w:r w:rsidR="00C17DFE" w:rsidRPr="00AF1EA9">
        <w:rPr>
          <w:rFonts w:ascii="Arial" w:hAnsi="Arial" w:cs="Arial"/>
          <w:sz w:val="24"/>
          <w:szCs w:val="24"/>
        </w:rPr>
        <w:t xml:space="preserve"> </w:t>
      </w:r>
    </w:p>
    <w:p w14:paraId="7B1B6AE9" w14:textId="611B4BAD" w:rsidR="002E26DE" w:rsidRPr="00AF1EA9" w:rsidRDefault="002E26DE" w:rsidP="00AF1EA9">
      <w:pPr>
        <w:spacing w:line="360" w:lineRule="auto"/>
        <w:ind w:left="810" w:hanging="810"/>
        <w:jc w:val="both"/>
        <w:rPr>
          <w:rFonts w:ascii="Arial" w:hAnsi="Arial" w:cs="Arial"/>
          <w:i/>
          <w:sz w:val="24"/>
          <w:szCs w:val="24"/>
        </w:rPr>
      </w:pPr>
      <w:r w:rsidRPr="00AF1EA9">
        <w:rPr>
          <w:rFonts w:ascii="Arial" w:hAnsi="Arial" w:cs="Arial"/>
          <w:sz w:val="24"/>
          <w:szCs w:val="24"/>
        </w:rPr>
        <w:t xml:space="preserve">[7]   </w:t>
      </w:r>
      <w:r w:rsidR="001D506D">
        <w:rPr>
          <w:rFonts w:ascii="Arial" w:hAnsi="Arial" w:cs="Arial"/>
          <w:sz w:val="24"/>
          <w:szCs w:val="24"/>
        </w:rPr>
        <w:t xml:space="preserve">   </w:t>
      </w:r>
      <w:r w:rsidR="00224AD9" w:rsidRPr="00AF1EA9">
        <w:rPr>
          <w:rFonts w:ascii="Arial" w:hAnsi="Arial" w:cs="Arial"/>
          <w:sz w:val="24"/>
          <w:szCs w:val="24"/>
        </w:rPr>
        <w:t>Over time</w:t>
      </w:r>
      <w:r w:rsidR="00292A2D" w:rsidRPr="00AF1EA9">
        <w:rPr>
          <w:rFonts w:ascii="Arial" w:hAnsi="Arial" w:cs="Arial"/>
          <w:sz w:val="24"/>
          <w:szCs w:val="24"/>
        </w:rPr>
        <w:t xml:space="preserve">, the parties agreed to have the issues </w:t>
      </w:r>
      <w:r w:rsidR="001D506D">
        <w:rPr>
          <w:rFonts w:ascii="Arial" w:hAnsi="Arial" w:cs="Arial"/>
          <w:sz w:val="24"/>
          <w:szCs w:val="24"/>
        </w:rPr>
        <w:t xml:space="preserve">identified decided by way of a </w:t>
      </w:r>
      <w:r w:rsidR="00AC0F39" w:rsidRPr="00AF1EA9">
        <w:rPr>
          <w:rFonts w:ascii="Arial" w:hAnsi="Arial" w:cs="Arial"/>
          <w:sz w:val="24"/>
          <w:szCs w:val="24"/>
        </w:rPr>
        <w:t xml:space="preserve">stated case. The issues to be </w:t>
      </w:r>
      <w:r w:rsidR="00224AD9" w:rsidRPr="00AF1EA9">
        <w:rPr>
          <w:rFonts w:ascii="Arial" w:hAnsi="Arial" w:cs="Arial"/>
          <w:sz w:val="24"/>
          <w:szCs w:val="24"/>
        </w:rPr>
        <w:t>decided were the following</w:t>
      </w:r>
      <w:r w:rsidR="00E755C4" w:rsidRPr="00AF1EA9">
        <w:rPr>
          <w:rFonts w:ascii="Arial" w:hAnsi="Arial" w:cs="Arial"/>
          <w:sz w:val="24"/>
          <w:szCs w:val="24"/>
        </w:rPr>
        <w:t>:-</w:t>
      </w:r>
      <w:r w:rsidR="00385AF2" w:rsidRPr="00AF1EA9">
        <w:rPr>
          <w:rFonts w:ascii="Arial" w:hAnsi="Arial" w:cs="Arial"/>
          <w:sz w:val="24"/>
          <w:szCs w:val="24"/>
        </w:rPr>
        <w:t xml:space="preserve"> </w:t>
      </w:r>
      <w:r w:rsidR="00E755C4" w:rsidRPr="00AF1EA9">
        <w:rPr>
          <w:rFonts w:ascii="Arial" w:hAnsi="Arial" w:cs="Arial"/>
          <w:i/>
          <w:sz w:val="24"/>
          <w:szCs w:val="24"/>
        </w:rPr>
        <w:t>“Whether the Plaintiffs (Applicant</w:t>
      </w:r>
      <w:r w:rsidR="00304CEC">
        <w:rPr>
          <w:rFonts w:ascii="Arial" w:hAnsi="Arial" w:cs="Arial"/>
          <w:i/>
          <w:sz w:val="24"/>
          <w:szCs w:val="24"/>
        </w:rPr>
        <w:t>s</w:t>
      </w:r>
      <w:r w:rsidR="00E755C4" w:rsidRPr="00AF1EA9">
        <w:rPr>
          <w:rFonts w:ascii="Arial" w:hAnsi="Arial" w:cs="Arial"/>
          <w:i/>
          <w:sz w:val="24"/>
          <w:szCs w:val="24"/>
        </w:rPr>
        <w:t xml:space="preserve"> in this case) would </w:t>
      </w:r>
      <w:r w:rsidR="009B121F" w:rsidRPr="00AF1EA9">
        <w:rPr>
          <w:rFonts w:ascii="Arial" w:hAnsi="Arial" w:cs="Arial"/>
          <w:i/>
          <w:sz w:val="24"/>
          <w:szCs w:val="24"/>
        </w:rPr>
        <w:t xml:space="preserve">be entitled to rural incentives considering the criteria mentioned </w:t>
      </w:r>
      <w:r w:rsidR="00982C02" w:rsidRPr="00AF1EA9">
        <w:rPr>
          <w:rFonts w:ascii="Arial" w:hAnsi="Arial" w:cs="Arial"/>
          <w:i/>
          <w:sz w:val="24"/>
          <w:szCs w:val="24"/>
        </w:rPr>
        <w:t>in the schedule</w:t>
      </w:r>
      <w:r w:rsidR="00BA50BC" w:rsidRPr="00AF1EA9">
        <w:rPr>
          <w:rFonts w:ascii="Arial" w:hAnsi="Arial" w:cs="Arial"/>
          <w:i/>
          <w:sz w:val="24"/>
          <w:szCs w:val="24"/>
        </w:rPr>
        <w:t xml:space="preserve">. The Court was further requested to make a determination as to the status of the documents and in the event </w:t>
      </w:r>
      <w:r w:rsidR="00433392" w:rsidRPr="00AF1EA9">
        <w:rPr>
          <w:rFonts w:ascii="Arial" w:hAnsi="Arial" w:cs="Arial"/>
          <w:i/>
          <w:sz w:val="24"/>
          <w:szCs w:val="24"/>
        </w:rPr>
        <w:t xml:space="preserve">it is found that the documents constitute official policy, are they not unfairly </w:t>
      </w:r>
      <w:r w:rsidR="00C86D8B" w:rsidRPr="00AF1EA9">
        <w:rPr>
          <w:rFonts w:ascii="Arial" w:hAnsi="Arial" w:cs="Arial"/>
          <w:i/>
          <w:sz w:val="24"/>
          <w:szCs w:val="24"/>
        </w:rPr>
        <w:t>discriminating</w:t>
      </w:r>
      <w:r w:rsidR="00433392" w:rsidRPr="00AF1EA9">
        <w:rPr>
          <w:rFonts w:ascii="Arial" w:hAnsi="Arial" w:cs="Arial"/>
          <w:i/>
          <w:sz w:val="24"/>
          <w:szCs w:val="24"/>
        </w:rPr>
        <w:t xml:space="preserve"> or excluding the </w:t>
      </w:r>
      <w:r w:rsidR="00C86D8B" w:rsidRPr="00AF1EA9">
        <w:rPr>
          <w:rFonts w:ascii="Arial" w:hAnsi="Arial" w:cs="Arial"/>
          <w:i/>
          <w:sz w:val="24"/>
          <w:szCs w:val="24"/>
        </w:rPr>
        <w:t>Plaintiffs</w:t>
      </w:r>
      <w:r w:rsidR="00385AF2" w:rsidRPr="00AF1EA9">
        <w:rPr>
          <w:rFonts w:ascii="Arial" w:hAnsi="Arial" w:cs="Arial"/>
          <w:i/>
          <w:sz w:val="24"/>
          <w:szCs w:val="24"/>
        </w:rPr>
        <w:t>”</w:t>
      </w:r>
      <w:r w:rsidRPr="00AF1EA9">
        <w:rPr>
          <w:rFonts w:ascii="Arial" w:hAnsi="Arial" w:cs="Arial"/>
          <w:i/>
          <w:sz w:val="24"/>
          <w:szCs w:val="24"/>
        </w:rPr>
        <w:t>.</w:t>
      </w:r>
    </w:p>
    <w:p w14:paraId="797E5082" w14:textId="56A7D5FB" w:rsidR="002E26DE" w:rsidRPr="00AF1EA9" w:rsidRDefault="002E26DE" w:rsidP="00AF1EA9">
      <w:pPr>
        <w:spacing w:line="360" w:lineRule="auto"/>
        <w:ind w:left="810" w:hanging="810"/>
        <w:jc w:val="both"/>
        <w:rPr>
          <w:rFonts w:ascii="Arial" w:hAnsi="Arial" w:cs="Arial"/>
          <w:i/>
          <w:iCs/>
          <w:sz w:val="24"/>
          <w:szCs w:val="24"/>
        </w:rPr>
      </w:pPr>
      <w:r w:rsidRPr="00AF1EA9">
        <w:rPr>
          <w:rFonts w:ascii="Arial" w:hAnsi="Arial" w:cs="Arial"/>
          <w:sz w:val="24"/>
          <w:szCs w:val="24"/>
        </w:rPr>
        <w:t xml:space="preserve">[8]    </w:t>
      </w:r>
      <w:r w:rsidR="00304CEC">
        <w:rPr>
          <w:rFonts w:ascii="Arial" w:hAnsi="Arial" w:cs="Arial"/>
          <w:sz w:val="24"/>
          <w:szCs w:val="24"/>
        </w:rPr>
        <w:tab/>
      </w:r>
      <w:r w:rsidR="00385AF2" w:rsidRPr="00AF1EA9">
        <w:rPr>
          <w:rFonts w:ascii="Arial" w:hAnsi="Arial" w:cs="Arial"/>
          <w:sz w:val="24"/>
          <w:szCs w:val="24"/>
        </w:rPr>
        <w:t>The Respondent</w:t>
      </w:r>
      <w:r w:rsidR="00821DA5" w:rsidRPr="00AF1EA9">
        <w:rPr>
          <w:rFonts w:ascii="Arial" w:hAnsi="Arial" w:cs="Arial"/>
          <w:sz w:val="24"/>
          <w:szCs w:val="24"/>
        </w:rPr>
        <w:t xml:space="preserve">s </w:t>
      </w:r>
      <w:r w:rsidR="009029FE" w:rsidRPr="00AF1EA9">
        <w:rPr>
          <w:rFonts w:ascii="Arial" w:hAnsi="Arial" w:cs="Arial"/>
          <w:sz w:val="24"/>
          <w:szCs w:val="24"/>
        </w:rPr>
        <w:t>contended that the Applicants do n</w:t>
      </w:r>
      <w:r w:rsidR="00304CEC">
        <w:rPr>
          <w:rFonts w:ascii="Arial" w:hAnsi="Arial" w:cs="Arial"/>
          <w:sz w:val="24"/>
          <w:szCs w:val="24"/>
        </w:rPr>
        <w:t>ot meet the qualifying criteria</w:t>
      </w:r>
      <w:r w:rsidR="009029FE" w:rsidRPr="00AF1EA9">
        <w:rPr>
          <w:rFonts w:ascii="Arial" w:hAnsi="Arial" w:cs="Arial"/>
          <w:sz w:val="24"/>
          <w:szCs w:val="24"/>
        </w:rPr>
        <w:t xml:space="preserve"> and in the event that the Court finds</w:t>
      </w:r>
      <w:r w:rsidR="00BE51D2" w:rsidRPr="00AF1EA9">
        <w:rPr>
          <w:rFonts w:ascii="Arial" w:hAnsi="Arial" w:cs="Arial"/>
          <w:sz w:val="24"/>
          <w:szCs w:val="24"/>
        </w:rPr>
        <w:t xml:space="preserve"> that they qualify and the </w:t>
      </w:r>
      <w:r w:rsidR="008C44FC" w:rsidRPr="00AF1EA9">
        <w:rPr>
          <w:rFonts w:ascii="Arial" w:hAnsi="Arial" w:cs="Arial"/>
          <w:sz w:val="24"/>
          <w:szCs w:val="24"/>
        </w:rPr>
        <w:t>department is not pro</w:t>
      </w:r>
      <w:r w:rsidR="00385AF2" w:rsidRPr="00AF1EA9">
        <w:rPr>
          <w:rFonts w:ascii="Arial" w:hAnsi="Arial" w:cs="Arial"/>
          <w:sz w:val="24"/>
          <w:szCs w:val="24"/>
        </w:rPr>
        <w:t>perly implementing the policy or</w:t>
      </w:r>
      <w:r w:rsidR="008C44FC" w:rsidRPr="00AF1EA9">
        <w:rPr>
          <w:rFonts w:ascii="Arial" w:hAnsi="Arial" w:cs="Arial"/>
          <w:sz w:val="24"/>
          <w:szCs w:val="24"/>
        </w:rPr>
        <w:t xml:space="preserve"> that the criteria  is unfair, the proper course of action will be </w:t>
      </w:r>
      <w:r w:rsidR="000956FB" w:rsidRPr="00AF1EA9">
        <w:rPr>
          <w:rFonts w:ascii="Arial" w:hAnsi="Arial" w:cs="Arial"/>
          <w:sz w:val="24"/>
          <w:szCs w:val="24"/>
        </w:rPr>
        <w:t>to bring an application to review and set aside the criteria and/or its implementation</w:t>
      </w:r>
      <w:r w:rsidR="00821DA5" w:rsidRPr="00AF1EA9">
        <w:rPr>
          <w:rFonts w:ascii="Arial" w:hAnsi="Arial" w:cs="Arial"/>
          <w:i/>
          <w:iCs/>
          <w:sz w:val="24"/>
          <w:szCs w:val="24"/>
        </w:rPr>
        <w:t>.</w:t>
      </w:r>
    </w:p>
    <w:p w14:paraId="1C29BAFE" w14:textId="2561BE70" w:rsidR="002E26DE" w:rsidRPr="00AF1EA9" w:rsidRDefault="002E26DE" w:rsidP="00AF1EA9">
      <w:pPr>
        <w:spacing w:line="360" w:lineRule="auto"/>
        <w:ind w:left="810" w:hanging="810"/>
        <w:jc w:val="both"/>
        <w:rPr>
          <w:rFonts w:ascii="Arial" w:hAnsi="Arial" w:cs="Arial"/>
          <w:sz w:val="24"/>
          <w:szCs w:val="24"/>
        </w:rPr>
      </w:pPr>
      <w:r w:rsidRPr="00AF1EA9">
        <w:rPr>
          <w:rFonts w:ascii="Arial" w:hAnsi="Arial" w:cs="Arial"/>
          <w:sz w:val="24"/>
          <w:szCs w:val="24"/>
        </w:rPr>
        <w:t xml:space="preserve">[9]     </w:t>
      </w:r>
      <w:r w:rsidR="00A5097D" w:rsidRPr="00AF1EA9">
        <w:rPr>
          <w:rFonts w:ascii="Arial" w:hAnsi="Arial" w:cs="Arial"/>
          <w:sz w:val="24"/>
          <w:szCs w:val="24"/>
        </w:rPr>
        <w:tab/>
      </w:r>
      <w:r w:rsidRPr="00AF1EA9">
        <w:rPr>
          <w:rFonts w:ascii="Arial" w:hAnsi="Arial" w:cs="Arial"/>
          <w:sz w:val="24"/>
          <w:szCs w:val="24"/>
        </w:rPr>
        <w:t xml:space="preserve">In the </w:t>
      </w:r>
      <w:r w:rsidR="007C2322" w:rsidRPr="00AF1EA9">
        <w:rPr>
          <w:rFonts w:ascii="Arial" w:hAnsi="Arial" w:cs="Arial"/>
          <w:sz w:val="24"/>
          <w:szCs w:val="24"/>
        </w:rPr>
        <w:t xml:space="preserve">fullness of time, the matter came before </w:t>
      </w:r>
      <w:r w:rsidR="007B68C7" w:rsidRPr="00AF1EA9">
        <w:rPr>
          <w:rFonts w:ascii="Arial" w:hAnsi="Arial" w:cs="Arial"/>
          <w:sz w:val="24"/>
          <w:szCs w:val="24"/>
        </w:rPr>
        <w:t>Makgoba JP who found in favour o</w:t>
      </w:r>
      <w:r w:rsidR="002A5282">
        <w:rPr>
          <w:rFonts w:ascii="Arial" w:hAnsi="Arial" w:cs="Arial"/>
          <w:sz w:val="24"/>
          <w:szCs w:val="24"/>
        </w:rPr>
        <w:t>f the Applicants</w:t>
      </w:r>
      <w:r w:rsidR="007C2322" w:rsidRPr="00AF1EA9">
        <w:rPr>
          <w:rFonts w:ascii="Arial" w:hAnsi="Arial" w:cs="Arial"/>
          <w:sz w:val="24"/>
          <w:szCs w:val="24"/>
        </w:rPr>
        <w:t xml:space="preserve"> and </w:t>
      </w:r>
      <w:r w:rsidR="002A5282">
        <w:rPr>
          <w:rFonts w:ascii="Arial" w:hAnsi="Arial" w:cs="Arial"/>
          <w:sz w:val="24"/>
          <w:szCs w:val="24"/>
        </w:rPr>
        <w:t>ordered the Respondent</w:t>
      </w:r>
      <w:r w:rsidR="00AE188D" w:rsidRPr="00AF1EA9">
        <w:rPr>
          <w:rFonts w:ascii="Arial" w:hAnsi="Arial" w:cs="Arial"/>
          <w:sz w:val="24"/>
          <w:szCs w:val="24"/>
        </w:rPr>
        <w:t>s to pay the costs</w:t>
      </w:r>
      <w:r w:rsidRPr="00AF1EA9">
        <w:rPr>
          <w:rFonts w:ascii="Arial" w:hAnsi="Arial" w:cs="Arial"/>
          <w:sz w:val="24"/>
          <w:szCs w:val="24"/>
        </w:rPr>
        <w:t>.</w:t>
      </w:r>
    </w:p>
    <w:p w14:paraId="3622FE1D" w14:textId="7F80984F" w:rsidR="002E26DE" w:rsidRPr="00AF1EA9" w:rsidRDefault="002E26DE" w:rsidP="00AF1EA9">
      <w:pPr>
        <w:spacing w:line="360" w:lineRule="auto"/>
        <w:ind w:left="709" w:hanging="709"/>
        <w:jc w:val="both"/>
        <w:rPr>
          <w:rFonts w:ascii="Arial" w:hAnsi="Arial" w:cs="Arial"/>
          <w:sz w:val="24"/>
          <w:szCs w:val="24"/>
        </w:rPr>
      </w:pPr>
      <w:r w:rsidRPr="00AF1EA9">
        <w:rPr>
          <w:rFonts w:ascii="Arial" w:hAnsi="Arial" w:cs="Arial"/>
          <w:sz w:val="24"/>
          <w:szCs w:val="24"/>
        </w:rPr>
        <w:t xml:space="preserve">[10]   </w:t>
      </w:r>
      <w:r w:rsidR="00304CEC">
        <w:rPr>
          <w:rFonts w:ascii="Arial" w:hAnsi="Arial" w:cs="Arial"/>
          <w:sz w:val="24"/>
          <w:szCs w:val="24"/>
        </w:rPr>
        <w:tab/>
      </w:r>
      <w:r w:rsidR="005B079E" w:rsidRPr="00AF1EA9">
        <w:rPr>
          <w:rFonts w:ascii="Arial" w:hAnsi="Arial" w:cs="Arial"/>
          <w:sz w:val="24"/>
          <w:szCs w:val="24"/>
        </w:rPr>
        <w:t>Un</w:t>
      </w:r>
      <w:r w:rsidR="0062681D" w:rsidRPr="00AF1EA9">
        <w:rPr>
          <w:rFonts w:ascii="Arial" w:hAnsi="Arial" w:cs="Arial"/>
          <w:sz w:val="24"/>
          <w:szCs w:val="24"/>
        </w:rPr>
        <w:t xml:space="preserve">happy with the outcome, </w:t>
      </w:r>
      <w:r w:rsidR="002A5282">
        <w:rPr>
          <w:rFonts w:ascii="Arial" w:hAnsi="Arial" w:cs="Arial"/>
          <w:sz w:val="24"/>
          <w:szCs w:val="24"/>
        </w:rPr>
        <w:t>the Respondent</w:t>
      </w:r>
      <w:r w:rsidR="00CC27A2" w:rsidRPr="00AF1EA9">
        <w:rPr>
          <w:rFonts w:ascii="Arial" w:hAnsi="Arial" w:cs="Arial"/>
          <w:sz w:val="24"/>
          <w:szCs w:val="24"/>
        </w:rPr>
        <w:t xml:space="preserve">s appealed to the full Court which found merit in their submissions </w:t>
      </w:r>
      <w:r w:rsidR="004C0B72" w:rsidRPr="00AF1EA9">
        <w:rPr>
          <w:rFonts w:ascii="Arial" w:hAnsi="Arial" w:cs="Arial"/>
          <w:sz w:val="24"/>
          <w:szCs w:val="24"/>
        </w:rPr>
        <w:t>that the decision</w:t>
      </w:r>
      <w:r w:rsidR="00982C02" w:rsidRPr="00AF1EA9">
        <w:rPr>
          <w:rFonts w:ascii="Arial" w:hAnsi="Arial" w:cs="Arial"/>
          <w:sz w:val="24"/>
          <w:szCs w:val="24"/>
        </w:rPr>
        <w:t>s</w:t>
      </w:r>
      <w:r w:rsidR="004C0B72" w:rsidRPr="00AF1EA9">
        <w:rPr>
          <w:rFonts w:ascii="Arial" w:hAnsi="Arial" w:cs="Arial"/>
          <w:sz w:val="24"/>
          <w:szCs w:val="24"/>
        </w:rPr>
        <w:t xml:space="preserve"> made by the Head </w:t>
      </w:r>
      <w:r w:rsidR="00303A68" w:rsidRPr="00AF1EA9">
        <w:rPr>
          <w:rFonts w:ascii="Arial" w:hAnsi="Arial" w:cs="Arial"/>
          <w:sz w:val="24"/>
          <w:szCs w:val="24"/>
        </w:rPr>
        <w:t>of Department</w:t>
      </w:r>
      <w:r w:rsidR="009D69ED" w:rsidRPr="00AF1EA9">
        <w:rPr>
          <w:rFonts w:ascii="Arial" w:hAnsi="Arial" w:cs="Arial"/>
          <w:sz w:val="24"/>
          <w:szCs w:val="24"/>
        </w:rPr>
        <w:t xml:space="preserve"> were</w:t>
      </w:r>
      <w:r w:rsidR="002C4233" w:rsidRPr="00AF1EA9">
        <w:rPr>
          <w:rFonts w:ascii="Arial" w:hAnsi="Arial" w:cs="Arial"/>
          <w:sz w:val="24"/>
          <w:szCs w:val="24"/>
        </w:rPr>
        <w:t xml:space="preserve"> </w:t>
      </w:r>
      <w:r w:rsidR="00B46EC4" w:rsidRPr="00AF1EA9">
        <w:rPr>
          <w:rFonts w:ascii="Arial" w:hAnsi="Arial" w:cs="Arial"/>
          <w:sz w:val="24"/>
          <w:szCs w:val="24"/>
        </w:rPr>
        <w:t xml:space="preserve">of an administrative nature. The proper approach to be taken by any person aggrieved by an </w:t>
      </w:r>
      <w:r w:rsidR="00EF3582" w:rsidRPr="00AF1EA9">
        <w:rPr>
          <w:rFonts w:ascii="Arial" w:hAnsi="Arial" w:cs="Arial"/>
          <w:sz w:val="24"/>
          <w:szCs w:val="24"/>
        </w:rPr>
        <w:t xml:space="preserve">administrative decision including the manner of its </w:t>
      </w:r>
      <w:r w:rsidR="00A4306F" w:rsidRPr="00AF1EA9">
        <w:rPr>
          <w:rFonts w:ascii="Arial" w:hAnsi="Arial" w:cs="Arial"/>
          <w:sz w:val="24"/>
          <w:szCs w:val="24"/>
        </w:rPr>
        <w:t>implementation</w:t>
      </w:r>
      <w:r w:rsidR="00DB4D28" w:rsidRPr="00AF1EA9">
        <w:rPr>
          <w:rFonts w:ascii="Arial" w:hAnsi="Arial" w:cs="Arial"/>
          <w:sz w:val="24"/>
          <w:szCs w:val="24"/>
        </w:rPr>
        <w:t xml:space="preserve">, is </w:t>
      </w:r>
      <w:r w:rsidR="00A4306F" w:rsidRPr="00AF1EA9">
        <w:rPr>
          <w:rFonts w:ascii="Arial" w:hAnsi="Arial" w:cs="Arial"/>
          <w:sz w:val="24"/>
          <w:szCs w:val="24"/>
        </w:rPr>
        <w:t>to have it reviewed</w:t>
      </w:r>
      <w:r w:rsidR="00EF3582" w:rsidRPr="00AF1EA9">
        <w:rPr>
          <w:rFonts w:ascii="Arial" w:hAnsi="Arial" w:cs="Arial"/>
          <w:sz w:val="24"/>
          <w:szCs w:val="24"/>
        </w:rPr>
        <w:t xml:space="preserve"> </w:t>
      </w:r>
      <w:r w:rsidR="00A4306F" w:rsidRPr="00AF1EA9">
        <w:rPr>
          <w:rFonts w:ascii="Arial" w:hAnsi="Arial" w:cs="Arial"/>
          <w:sz w:val="24"/>
          <w:szCs w:val="24"/>
        </w:rPr>
        <w:t>and set aside</w:t>
      </w:r>
      <w:r w:rsidRPr="00AF1EA9">
        <w:rPr>
          <w:rFonts w:ascii="Arial" w:hAnsi="Arial" w:cs="Arial"/>
          <w:sz w:val="24"/>
          <w:szCs w:val="24"/>
        </w:rPr>
        <w:t>.</w:t>
      </w:r>
      <w:r w:rsidR="00A4306F" w:rsidRPr="00AF1EA9">
        <w:rPr>
          <w:rFonts w:ascii="Arial" w:hAnsi="Arial" w:cs="Arial"/>
          <w:sz w:val="24"/>
          <w:szCs w:val="24"/>
        </w:rPr>
        <w:t xml:space="preserve"> The full court up</w:t>
      </w:r>
      <w:r w:rsidR="00F16E30" w:rsidRPr="00AF1EA9">
        <w:rPr>
          <w:rFonts w:ascii="Arial" w:hAnsi="Arial" w:cs="Arial"/>
          <w:sz w:val="24"/>
          <w:szCs w:val="24"/>
        </w:rPr>
        <w:t>held</w:t>
      </w:r>
      <w:r w:rsidR="00D12B38" w:rsidRPr="00AF1EA9">
        <w:rPr>
          <w:rFonts w:ascii="Arial" w:hAnsi="Arial" w:cs="Arial"/>
          <w:sz w:val="24"/>
          <w:szCs w:val="24"/>
        </w:rPr>
        <w:t xml:space="preserve"> the appeal having ruled that action proceedings were inappropriate in the circumstances.</w:t>
      </w:r>
      <w:r w:rsidR="00F16E30" w:rsidRPr="00AF1EA9">
        <w:rPr>
          <w:rFonts w:ascii="Arial" w:hAnsi="Arial" w:cs="Arial"/>
          <w:sz w:val="24"/>
          <w:szCs w:val="24"/>
        </w:rPr>
        <w:t xml:space="preserve"> </w:t>
      </w:r>
    </w:p>
    <w:p w14:paraId="55221F6D" w14:textId="3078489C" w:rsidR="002E26DE" w:rsidRDefault="002E26DE" w:rsidP="00AF1EA9">
      <w:pPr>
        <w:spacing w:line="360" w:lineRule="auto"/>
        <w:ind w:left="720" w:hanging="720"/>
        <w:jc w:val="both"/>
        <w:rPr>
          <w:rFonts w:ascii="Arial" w:hAnsi="Arial" w:cs="Arial"/>
          <w:sz w:val="24"/>
          <w:szCs w:val="24"/>
        </w:rPr>
      </w:pPr>
      <w:r w:rsidRPr="00AF1EA9">
        <w:rPr>
          <w:rFonts w:ascii="Arial" w:hAnsi="Arial" w:cs="Arial"/>
          <w:sz w:val="24"/>
          <w:szCs w:val="24"/>
        </w:rPr>
        <w:t xml:space="preserve">[11]   </w:t>
      </w:r>
      <w:r w:rsidR="007C4F15" w:rsidRPr="00AF1EA9">
        <w:rPr>
          <w:rFonts w:ascii="Arial" w:hAnsi="Arial" w:cs="Arial"/>
          <w:sz w:val="24"/>
          <w:szCs w:val="24"/>
        </w:rPr>
        <w:t xml:space="preserve">Based on the outcome of the appeal, the Applicants </w:t>
      </w:r>
      <w:r w:rsidR="00D07475" w:rsidRPr="00AF1EA9">
        <w:rPr>
          <w:rFonts w:ascii="Arial" w:hAnsi="Arial" w:cs="Arial"/>
          <w:sz w:val="24"/>
          <w:szCs w:val="24"/>
        </w:rPr>
        <w:t>instituted</w:t>
      </w:r>
      <w:r w:rsidR="00E0140F" w:rsidRPr="00AF1EA9">
        <w:rPr>
          <w:rFonts w:ascii="Arial" w:hAnsi="Arial" w:cs="Arial"/>
          <w:sz w:val="24"/>
          <w:szCs w:val="24"/>
        </w:rPr>
        <w:t xml:space="preserve"> this application proceedings in which they sought to </w:t>
      </w:r>
      <w:r w:rsidR="00D07475" w:rsidRPr="00AF1EA9">
        <w:rPr>
          <w:rFonts w:ascii="Arial" w:hAnsi="Arial" w:cs="Arial"/>
          <w:sz w:val="24"/>
          <w:szCs w:val="24"/>
        </w:rPr>
        <w:t xml:space="preserve">review and </w:t>
      </w:r>
      <w:r w:rsidR="00EE7567" w:rsidRPr="00AF1EA9">
        <w:rPr>
          <w:rFonts w:ascii="Arial" w:hAnsi="Arial" w:cs="Arial"/>
          <w:sz w:val="24"/>
          <w:szCs w:val="24"/>
        </w:rPr>
        <w:t xml:space="preserve">set aside the decisions and/or determinations made </w:t>
      </w:r>
      <w:r w:rsidR="004B7D5F" w:rsidRPr="00AF1EA9">
        <w:rPr>
          <w:rFonts w:ascii="Arial" w:hAnsi="Arial" w:cs="Arial"/>
          <w:sz w:val="24"/>
          <w:szCs w:val="24"/>
        </w:rPr>
        <w:t xml:space="preserve">by the Head of Department of Education, Limpopo Province </w:t>
      </w:r>
      <w:r w:rsidR="00624DA5" w:rsidRPr="00AF1EA9">
        <w:rPr>
          <w:rFonts w:ascii="Arial" w:hAnsi="Arial" w:cs="Arial"/>
          <w:sz w:val="24"/>
          <w:szCs w:val="24"/>
        </w:rPr>
        <w:t>relating</w:t>
      </w:r>
      <w:r w:rsidR="004B7D5F" w:rsidRPr="00AF1EA9">
        <w:rPr>
          <w:rFonts w:ascii="Arial" w:hAnsi="Arial" w:cs="Arial"/>
          <w:sz w:val="24"/>
          <w:szCs w:val="24"/>
        </w:rPr>
        <w:t xml:space="preserve"> </w:t>
      </w:r>
      <w:r w:rsidR="00624DA5" w:rsidRPr="00AF1EA9">
        <w:rPr>
          <w:rFonts w:ascii="Arial" w:hAnsi="Arial" w:cs="Arial"/>
          <w:sz w:val="24"/>
          <w:szCs w:val="24"/>
        </w:rPr>
        <w:t xml:space="preserve">to the implementation of the policy together with ancillary matters. The application </w:t>
      </w:r>
      <w:r w:rsidR="00E85FAD" w:rsidRPr="00AF1EA9">
        <w:rPr>
          <w:rFonts w:ascii="Arial" w:hAnsi="Arial" w:cs="Arial"/>
          <w:sz w:val="24"/>
          <w:szCs w:val="24"/>
        </w:rPr>
        <w:t xml:space="preserve">is </w:t>
      </w:r>
      <w:r w:rsidR="00C333E7" w:rsidRPr="00AF1EA9">
        <w:rPr>
          <w:rFonts w:ascii="Arial" w:hAnsi="Arial" w:cs="Arial"/>
          <w:sz w:val="24"/>
          <w:szCs w:val="24"/>
        </w:rPr>
        <w:t>opposed,</w:t>
      </w:r>
      <w:r w:rsidR="007B68C7" w:rsidRPr="00AF1EA9">
        <w:rPr>
          <w:rFonts w:ascii="Arial" w:hAnsi="Arial" w:cs="Arial"/>
          <w:sz w:val="24"/>
          <w:szCs w:val="24"/>
        </w:rPr>
        <w:t xml:space="preserve"> and the Respondents</w:t>
      </w:r>
      <w:r w:rsidR="00E85FAD" w:rsidRPr="00AF1EA9">
        <w:rPr>
          <w:rFonts w:ascii="Arial" w:hAnsi="Arial" w:cs="Arial"/>
          <w:sz w:val="24"/>
          <w:szCs w:val="24"/>
        </w:rPr>
        <w:t xml:space="preserve"> have raised several points in </w:t>
      </w:r>
      <w:r w:rsidR="00E85FAD" w:rsidRPr="00304CEC">
        <w:rPr>
          <w:rFonts w:ascii="Arial" w:hAnsi="Arial" w:cs="Arial"/>
          <w:i/>
          <w:sz w:val="24"/>
          <w:szCs w:val="24"/>
        </w:rPr>
        <w:t>limine</w:t>
      </w:r>
      <w:r w:rsidR="00E85FAD" w:rsidRPr="00AF1EA9">
        <w:rPr>
          <w:rFonts w:ascii="Arial" w:hAnsi="Arial" w:cs="Arial"/>
          <w:sz w:val="24"/>
          <w:szCs w:val="24"/>
        </w:rPr>
        <w:t xml:space="preserve"> including lack of jurisdiction which is the subject of this judgment</w:t>
      </w:r>
      <w:r w:rsidRPr="00AF1EA9">
        <w:rPr>
          <w:rFonts w:ascii="Arial" w:hAnsi="Arial" w:cs="Arial"/>
          <w:sz w:val="24"/>
          <w:szCs w:val="24"/>
        </w:rPr>
        <w:t>.</w:t>
      </w:r>
    </w:p>
    <w:p w14:paraId="03601846" w14:textId="77777777" w:rsidR="002A5282" w:rsidRDefault="002A5282" w:rsidP="00AF1EA9">
      <w:pPr>
        <w:spacing w:line="360" w:lineRule="auto"/>
        <w:ind w:left="720" w:hanging="720"/>
        <w:jc w:val="both"/>
        <w:rPr>
          <w:rFonts w:ascii="Arial" w:hAnsi="Arial" w:cs="Arial"/>
          <w:sz w:val="24"/>
          <w:szCs w:val="24"/>
        </w:rPr>
      </w:pPr>
    </w:p>
    <w:p w14:paraId="3A8D5B91" w14:textId="5BFEA23D" w:rsidR="002A5282" w:rsidRPr="002A5282" w:rsidRDefault="002A5282" w:rsidP="002A5282">
      <w:pPr>
        <w:spacing w:line="360" w:lineRule="auto"/>
        <w:ind w:left="720" w:hanging="720"/>
        <w:jc w:val="both"/>
        <w:rPr>
          <w:rFonts w:ascii="Arial" w:hAnsi="Arial" w:cs="Arial"/>
          <w:b/>
          <w:sz w:val="24"/>
          <w:szCs w:val="24"/>
          <w:u w:val="single"/>
        </w:rPr>
      </w:pPr>
      <w:r w:rsidRPr="002A5282">
        <w:rPr>
          <w:rFonts w:ascii="Arial" w:hAnsi="Arial" w:cs="Arial"/>
          <w:b/>
          <w:sz w:val="24"/>
          <w:szCs w:val="24"/>
          <w:u w:val="single"/>
        </w:rPr>
        <w:t>Jurisdiction</w:t>
      </w:r>
    </w:p>
    <w:p w14:paraId="55B1588A" w14:textId="611BD4CC" w:rsidR="0031535F" w:rsidRPr="00AF1EA9" w:rsidRDefault="002E26DE" w:rsidP="00AF1EA9">
      <w:pPr>
        <w:spacing w:line="360" w:lineRule="auto"/>
        <w:ind w:left="709" w:hanging="709"/>
        <w:jc w:val="both"/>
        <w:rPr>
          <w:rFonts w:ascii="Arial" w:hAnsi="Arial" w:cs="Arial"/>
          <w:sz w:val="24"/>
          <w:szCs w:val="24"/>
        </w:rPr>
      </w:pPr>
      <w:r w:rsidRPr="00AF1EA9">
        <w:rPr>
          <w:rFonts w:ascii="Arial" w:hAnsi="Arial" w:cs="Arial"/>
          <w:sz w:val="24"/>
          <w:szCs w:val="24"/>
        </w:rPr>
        <w:t xml:space="preserve">[12]   </w:t>
      </w:r>
      <w:r w:rsidR="005A4926" w:rsidRPr="00AF1EA9">
        <w:rPr>
          <w:rFonts w:ascii="Arial" w:hAnsi="Arial" w:cs="Arial"/>
          <w:sz w:val="24"/>
          <w:szCs w:val="24"/>
        </w:rPr>
        <w:t xml:space="preserve">The starting point on any matter relating to jurisdiction is the Constitution which states </w:t>
      </w:r>
      <w:r w:rsidR="00E90208" w:rsidRPr="00AF1EA9">
        <w:rPr>
          <w:rFonts w:ascii="Arial" w:hAnsi="Arial" w:cs="Arial"/>
          <w:sz w:val="24"/>
          <w:szCs w:val="24"/>
        </w:rPr>
        <w:t>that judicial authority vests in the Courts. The Constitution further creates a H</w:t>
      </w:r>
      <w:r w:rsidR="002A5282">
        <w:rPr>
          <w:rFonts w:ascii="Arial" w:hAnsi="Arial" w:cs="Arial"/>
          <w:sz w:val="24"/>
          <w:szCs w:val="24"/>
        </w:rPr>
        <w:t>igh Court and provides in s</w:t>
      </w:r>
      <w:r w:rsidR="00E90208" w:rsidRPr="00AF1EA9">
        <w:rPr>
          <w:rFonts w:ascii="Arial" w:hAnsi="Arial" w:cs="Arial"/>
          <w:sz w:val="24"/>
          <w:szCs w:val="24"/>
        </w:rPr>
        <w:t>ection 169(1) that</w:t>
      </w:r>
      <w:r w:rsidR="007B26C0" w:rsidRPr="00AF1EA9">
        <w:rPr>
          <w:rFonts w:ascii="Arial" w:hAnsi="Arial" w:cs="Arial"/>
          <w:sz w:val="24"/>
          <w:szCs w:val="24"/>
        </w:rPr>
        <w:t xml:space="preserve"> :- The High Court of South Africa may decide</w:t>
      </w:r>
      <w:r w:rsidRPr="00AF1EA9">
        <w:rPr>
          <w:rFonts w:ascii="Arial" w:hAnsi="Arial" w:cs="Arial"/>
          <w:sz w:val="24"/>
          <w:szCs w:val="24"/>
        </w:rPr>
        <w:t>: -</w:t>
      </w:r>
    </w:p>
    <w:p w14:paraId="1F56C78A" w14:textId="0F8BEE41" w:rsidR="0031535F" w:rsidRPr="00AF1EA9" w:rsidRDefault="0031535F" w:rsidP="00AF1EA9">
      <w:pPr>
        <w:spacing w:line="360" w:lineRule="auto"/>
        <w:ind w:left="709" w:hanging="709"/>
        <w:jc w:val="both"/>
        <w:rPr>
          <w:rFonts w:ascii="Arial" w:hAnsi="Arial" w:cs="Arial"/>
          <w:i/>
          <w:sz w:val="24"/>
          <w:szCs w:val="24"/>
        </w:rPr>
      </w:pPr>
      <w:r w:rsidRPr="00AF1EA9">
        <w:rPr>
          <w:rFonts w:ascii="Arial" w:hAnsi="Arial" w:cs="Arial"/>
          <w:sz w:val="24"/>
          <w:szCs w:val="24"/>
        </w:rPr>
        <w:tab/>
      </w:r>
      <w:r w:rsidR="007B68C7" w:rsidRPr="00AF1EA9">
        <w:rPr>
          <w:rFonts w:ascii="Arial" w:hAnsi="Arial" w:cs="Arial"/>
          <w:i/>
          <w:sz w:val="24"/>
          <w:szCs w:val="24"/>
        </w:rPr>
        <w:t>“</w:t>
      </w:r>
      <w:r w:rsidRPr="00AF1EA9">
        <w:rPr>
          <w:rFonts w:ascii="Arial" w:hAnsi="Arial" w:cs="Arial"/>
          <w:i/>
          <w:sz w:val="24"/>
          <w:szCs w:val="24"/>
        </w:rPr>
        <w:t>(a)</w:t>
      </w:r>
      <w:r w:rsidRPr="00AF1EA9">
        <w:rPr>
          <w:rFonts w:ascii="Arial" w:hAnsi="Arial" w:cs="Arial"/>
          <w:i/>
          <w:sz w:val="24"/>
          <w:szCs w:val="24"/>
        </w:rPr>
        <w:tab/>
        <w:t>any constitutional matter except a matter that;</w:t>
      </w:r>
    </w:p>
    <w:p w14:paraId="2257D4F6" w14:textId="77777777" w:rsidR="00F743E0" w:rsidRPr="00AF1EA9" w:rsidRDefault="0031535F" w:rsidP="00AF1EA9">
      <w:pPr>
        <w:spacing w:line="360" w:lineRule="auto"/>
        <w:ind w:left="720" w:hanging="720"/>
        <w:jc w:val="both"/>
        <w:rPr>
          <w:rFonts w:ascii="Arial" w:hAnsi="Arial" w:cs="Arial"/>
          <w:i/>
          <w:sz w:val="24"/>
          <w:szCs w:val="24"/>
        </w:rPr>
      </w:pPr>
      <w:r w:rsidRPr="00AF1EA9">
        <w:rPr>
          <w:rFonts w:ascii="Arial" w:hAnsi="Arial" w:cs="Arial"/>
          <w:i/>
          <w:sz w:val="24"/>
          <w:szCs w:val="24"/>
        </w:rPr>
        <w:tab/>
        <w:t>(i)</w:t>
      </w:r>
      <w:r w:rsidRPr="00AF1EA9">
        <w:rPr>
          <w:rFonts w:ascii="Arial" w:hAnsi="Arial" w:cs="Arial"/>
          <w:i/>
          <w:sz w:val="24"/>
          <w:szCs w:val="24"/>
        </w:rPr>
        <w:tab/>
      </w:r>
      <w:r w:rsidR="002E26DE" w:rsidRPr="00AF1EA9">
        <w:rPr>
          <w:rFonts w:ascii="Arial" w:hAnsi="Arial" w:cs="Arial"/>
          <w:i/>
          <w:sz w:val="24"/>
          <w:szCs w:val="24"/>
        </w:rPr>
        <w:t xml:space="preserve"> </w:t>
      </w:r>
      <w:r w:rsidR="00B222F7" w:rsidRPr="00AF1EA9">
        <w:rPr>
          <w:rFonts w:ascii="Arial" w:hAnsi="Arial" w:cs="Arial"/>
          <w:i/>
          <w:sz w:val="24"/>
          <w:szCs w:val="24"/>
        </w:rPr>
        <w:t>the constitutional</w:t>
      </w:r>
      <w:r w:rsidR="00F743E0" w:rsidRPr="00AF1EA9">
        <w:rPr>
          <w:rFonts w:ascii="Arial" w:hAnsi="Arial" w:cs="Arial"/>
          <w:i/>
          <w:sz w:val="24"/>
          <w:szCs w:val="24"/>
        </w:rPr>
        <w:t xml:space="preserve"> court has agreed to hear directly in terms of Section 167 </w:t>
      </w:r>
    </w:p>
    <w:p w14:paraId="773BD7DE" w14:textId="5D2119DE" w:rsidR="002E26DE" w:rsidRPr="00AF1EA9" w:rsidRDefault="00F743E0" w:rsidP="00AF1EA9">
      <w:pPr>
        <w:spacing w:line="360" w:lineRule="auto"/>
        <w:ind w:left="1440"/>
        <w:jc w:val="both"/>
        <w:rPr>
          <w:rFonts w:ascii="Arial" w:hAnsi="Arial" w:cs="Arial"/>
          <w:i/>
          <w:sz w:val="24"/>
          <w:szCs w:val="24"/>
        </w:rPr>
      </w:pPr>
      <w:r w:rsidRPr="00AF1EA9">
        <w:rPr>
          <w:rFonts w:ascii="Arial" w:hAnsi="Arial" w:cs="Arial"/>
          <w:i/>
          <w:sz w:val="24"/>
          <w:szCs w:val="24"/>
        </w:rPr>
        <w:t>(6)(a) or</w:t>
      </w:r>
      <w:r w:rsidR="00645C94" w:rsidRPr="00AF1EA9">
        <w:rPr>
          <w:rFonts w:ascii="Arial" w:hAnsi="Arial" w:cs="Arial"/>
          <w:i/>
          <w:sz w:val="24"/>
          <w:szCs w:val="24"/>
        </w:rPr>
        <w:t xml:space="preserve">; </w:t>
      </w:r>
    </w:p>
    <w:p w14:paraId="1605903B" w14:textId="5C346040" w:rsidR="00645C94" w:rsidRPr="00AF1EA9" w:rsidRDefault="00645C94" w:rsidP="00AF1EA9">
      <w:pPr>
        <w:spacing w:line="360" w:lineRule="auto"/>
        <w:ind w:left="1440" w:hanging="720"/>
        <w:jc w:val="both"/>
        <w:rPr>
          <w:rFonts w:ascii="Arial" w:hAnsi="Arial" w:cs="Arial"/>
          <w:i/>
          <w:sz w:val="24"/>
          <w:szCs w:val="24"/>
        </w:rPr>
      </w:pPr>
      <w:r w:rsidRPr="00AF1EA9">
        <w:rPr>
          <w:rFonts w:ascii="Arial" w:hAnsi="Arial" w:cs="Arial"/>
          <w:i/>
          <w:sz w:val="24"/>
          <w:szCs w:val="24"/>
        </w:rPr>
        <w:t>(ii)</w:t>
      </w:r>
      <w:r w:rsidRPr="00AF1EA9">
        <w:rPr>
          <w:rFonts w:ascii="Arial" w:hAnsi="Arial" w:cs="Arial"/>
          <w:i/>
          <w:sz w:val="24"/>
          <w:szCs w:val="24"/>
        </w:rPr>
        <w:tab/>
        <w:t>is assigned by an Act of Parliament to another court of a status similar to the High Court of South Africa and;</w:t>
      </w:r>
    </w:p>
    <w:p w14:paraId="59EA4099" w14:textId="234CCB8C" w:rsidR="00645C94" w:rsidRPr="00AF1EA9" w:rsidRDefault="00645C94" w:rsidP="00AF1EA9">
      <w:pPr>
        <w:spacing w:line="360" w:lineRule="auto"/>
        <w:ind w:firstLine="720"/>
        <w:jc w:val="both"/>
        <w:rPr>
          <w:rFonts w:ascii="Arial" w:hAnsi="Arial" w:cs="Arial"/>
          <w:i/>
          <w:sz w:val="24"/>
          <w:szCs w:val="24"/>
        </w:rPr>
      </w:pPr>
      <w:r w:rsidRPr="00AF1EA9">
        <w:rPr>
          <w:rFonts w:ascii="Arial" w:hAnsi="Arial" w:cs="Arial"/>
          <w:i/>
          <w:sz w:val="24"/>
          <w:szCs w:val="24"/>
        </w:rPr>
        <w:t>(b)</w:t>
      </w:r>
      <w:r w:rsidRPr="00AF1EA9">
        <w:rPr>
          <w:rFonts w:ascii="Arial" w:hAnsi="Arial" w:cs="Arial"/>
          <w:i/>
          <w:sz w:val="24"/>
          <w:szCs w:val="24"/>
        </w:rPr>
        <w:tab/>
      </w:r>
      <w:r w:rsidR="00312B38" w:rsidRPr="00AF1EA9">
        <w:rPr>
          <w:rFonts w:ascii="Arial" w:hAnsi="Arial" w:cs="Arial"/>
          <w:i/>
          <w:sz w:val="24"/>
          <w:szCs w:val="24"/>
        </w:rPr>
        <w:t>any other matter not assigned to another court by an Act of Parliament</w:t>
      </w:r>
      <w:r w:rsidR="007B68C7" w:rsidRPr="00AF1EA9">
        <w:rPr>
          <w:rFonts w:ascii="Arial" w:hAnsi="Arial" w:cs="Arial"/>
          <w:i/>
          <w:sz w:val="24"/>
          <w:szCs w:val="24"/>
        </w:rPr>
        <w:t>”</w:t>
      </w:r>
      <w:r w:rsidRPr="00AF1EA9">
        <w:rPr>
          <w:rFonts w:ascii="Arial" w:hAnsi="Arial" w:cs="Arial"/>
          <w:i/>
          <w:sz w:val="24"/>
          <w:szCs w:val="24"/>
        </w:rPr>
        <w:t>.</w:t>
      </w:r>
    </w:p>
    <w:p w14:paraId="058FD76F" w14:textId="77777777" w:rsidR="002E26DE" w:rsidRPr="00AF1EA9" w:rsidRDefault="002E26DE" w:rsidP="00AF1EA9">
      <w:pPr>
        <w:spacing w:line="360" w:lineRule="auto"/>
        <w:jc w:val="both"/>
        <w:rPr>
          <w:rFonts w:ascii="Arial" w:hAnsi="Arial" w:cs="Arial"/>
          <w:sz w:val="24"/>
          <w:szCs w:val="24"/>
        </w:rPr>
      </w:pPr>
    </w:p>
    <w:p w14:paraId="433295F2" w14:textId="65720F8C" w:rsidR="002E26DE" w:rsidRPr="00AF1EA9" w:rsidRDefault="002E26DE" w:rsidP="00AF1EA9">
      <w:pPr>
        <w:spacing w:line="360" w:lineRule="auto"/>
        <w:ind w:left="720" w:hanging="720"/>
        <w:jc w:val="both"/>
        <w:rPr>
          <w:rFonts w:ascii="Arial" w:hAnsi="Arial" w:cs="Arial"/>
          <w:i/>
          <w:iCs/>
          <w:sz w:val="24"/>
          <w:szCs w:val="24"/>
        </w:rPr>
      </w:pPr>
      <w:r w:rsidRPr="00AF1EA9">
        <w:rPr>
          <w:rFonts w:ascii="Arial" w:hAnsi="Arial" w:cs="Arial"/>
          <w:sz w:val="24"/>
          <w:szCs w:val="24"/>
        </w:rPr>
        <w:t xml:space="preserve">[13]   </w:t>
      </w:r>
      <w:r w:rsidR="002A5282">
        <w:rPr>
          <w:rFonts w:ascii="Arial" w:hAnsi="Arial" w:cs="Arial"/>
          <w:sz w:val="24"/>
          <w:szCs w:val="24"/>
        </w:rPr>
        <w:t>Relying on the provisions of s</w:t>
      </w:r>
      <w:r w:rsidR="004E1D8D" w:rsidRPr="00AF1EA9">
        <w:rPr>
          <w:rFonts w:ascii="Arial" w:hAnsi="Arial" w:cs="Arial"/>
          <w:sz w:val="24"/>
          <w:szCs w:val="24"/>
        </w:rPr>
        <w:t>ection 169 of the C</w:t>
      </w:r>
      <w:r w:rsidR="00DB2DBC">
        <w:rPr>
          <w:rFonts w:ascii="Arial" w:hAnsi="Arial" w:cs="Arial"/>
          <w:sz w:val="24"/>
          <w:szCs w:val="24"/>
        </w:rPr>
        <w:t>onstitution read together with s</w:t>
      </w:r>
      <w:r w:rsidR="004E1D8D" w:rsidRPr="00AF1EA9">
        <w:rPr>
          <w:rFonts w:ascii="Arial" w:hAnsi="Arial" w:cs="Arial"/>
          <w:sz w:val="24"/>
          <w:szCs w:val="24"/>
        </w:rPr>
        <w:t xml:space="preserve">ection 157 (1) of the Labour Relations Act </w:t>
      </w:r>
      <w:r w:rsidR="00F361B3" w:rsidRPr="00AF1EA9">
        <w:rPr>
          <w:rFonts w:ascii="Arial" w:hAnsi="Arial" w:cs="Arial"/>
          <w:sz w:val="24"/>
          <w:szCs w:val="24"/>
        </w:rPr>
        <w:t xml:space="preserve">66 of 1995, Advocate Mphahlele SC </w:t>
      </w:r>
      <w:r w:rsidR="00A84F1E" w:rsidRPr="00AF1EA9">
        <w:rPr>
          <w:rFonts w:ascii="Arial" w:hAnsi="Arial" w:cs="Arial"/>
          <w:sz w:val="24"/>
          <w:szCs w:val="24"/>
        </w:rPr>
        <w:t xml:space="preserve">argued fervently  that the Labour Court has exclusive </w:t>
      </w:r>
      <w:r w:rsidR="00DC5E1E" w:rsidRPr="00AF1EA9">
        <w:rPr>
          <w:rFonts w:ascii="Arial" w:hAnsi="Arial" w:cs="Arial"/>
          <w:sz w:val="24"/>
          <w:szCs w:val="24"/>
        </w:rPr>
        <w:t>jurisdiction by virtue of the fact that the dispute between the Applicants and the Respondents is employment</w:t>
      </w:r>
      <w:r w:rsidR="002445DA" w:rsidRPr="00AF1EA9">
        <w:rPr>
          <w:rFonts w:ascii="Arial" w:hAnsi="Arial" w:cs="Arial"/>
          <w:sz w:val="24"/>
          <w:szCs w:val="24"/>
        </w:rPr>
        <w:t xml:space="preserve">-related and </w:t>
      </w:r>
      <w:r w:rsidR="00982C02" w:rsidRPr="00AF1EA9">
        <w:rPr>
          <w:rFonts w:ascii="Arial" w:hAnsi="Arial" w:cs="Arial"/>
          <w:sz w:val="24"/>
          <w:szCs w:val="24"/>
        </w:rPr>
        <w:t>therefore</w:t>
      </w:r>
      <w:r w:rsidR="006C6CF5" w:rsidRPr="00AF1EA9">
        <w:rPr>
          <w:rFonts w:ascii="Arial" w:hAnsi="Arial" w:cs="Arial"/>
          <w:sz w:val="24"/>
          <w:szCs w:val="24"/>
        </w:rPr>
        <w:t xml:space="preserve"> assigned for exclusive adjudication in </w:t>
      </w:r>
      <w:r w:rsidR="00EE6E50" w:rsidRPr="00AF1EA9">
        <w:rPr>
          <w:rFonts w:ascii="Arial" w:hAnsi="Arial" w:cs="Arial"/>
          <w:sz w:val="24"/>
          <w:szCs w:val="24"/>
        </w:rPr>
        <w:t xml:space="preserve">the Labour Court which has a similar status to the </w:t>
      </w:r>
      <w:r w:rsidR="00051439" w:rsidRPr="00AF1EA9">
        <w:rPr>
          <w:rFonts w:ascii="Arial" w:hAnsi="Arial" w:cs="Arial"/>
          <w:sz w:val="24"/>
          <w:szCs w:val="24"/>
        </w:rPr>
        <w:t>High Court</w:t>
      </w:r>
      <w:r w:rsidR="004E1D8D" w:rsidRPr="00AF1EA9">
        <w:rPr>
          <w:rFonts w:ascii="Arial" w:hAnsi="Arial" w:cs="Arial"/>
          <w:sz w:val="24"/>
          <w:szCs w:val="24"/>
        </w:rPr>
        <w:t>.</w:t>
      </w:r>
    </w:p>
    <w:p w14:paraId="282ED7CD" w14:textId="620EADA7" w:rsidR="00896BDB" w:rsidRPr="00AF1EA9" w:rsidRDefault="00050C9D" w:rsidP="00AF1EA9">
      <w:pPr>
        <w:spacing w:line="360" w:lineRule="auto"/>
        <w:ind w:left="630" w:hanging="630"/>
        <w:jc w:val="both"/>
        <w:rPr>
          <w:rFonts w:ascii="Arial" w:hAnsi="Arial" w:cs="Arial"/>
          <w:i/>
          <w:sz w:val="24"/>
          <w:szCs w:val="24"/>
        </w:rPr>
      </w:pPr>
      <w:r>
        <w:rPr>
          <w:rFonts w:ascii="Arial" w:hAnsi="Arial" w:cs="Arial"/>
          <w:sz w:val="24"/>
          <w:szCs w:val="24"/>
        </w:rPr>
        <w:t xml:space="preserve">[14]  </w:t>
      </w:r>
      <w:r>
        <w:rPr>
          <w:rFonts w:ascii="Arial" w:hAnsi="Arial" w:cs="Arial"/>
          <w:sz w:val="24"/>
          <w:szCs w:val="24"/>
        </w:rPr>
        <w:tab/>
      </w:r>
      <w:r w:rsidR="00051439" w:rsidRPr="00AF1EA9">
        <w:rPr>
          <w:rFonts w:ascii="Arial" w:hAnsi="Arial" w:cs="Arial"/>
          <w:sz w:val="24"/>
          <w:szCs w:val="24"/>
        </w:rPr>
        <w:t xml:space="preserve">In support of his contention, he submitted that the </w:t>
      </w:r>
      <w:r w:rsidR="00E51B6F" w:rsidRPr="00AF1EA9">
        <w:rPr>
          <w:rFonts w:ascii="Arial" w:hAnsi="Arial" w:cs="Arial"/>
          <w:sz w:val="24"/>
          <w:szCs w:val="24"/>
        </w:rPr>
        <w:t>d</w:t>
      </w:r>
      <w:r w:rsidR="00982C02" w:rsidRPr="00AF1EA9">
        <w:rPr>
          <w:rFonts w:ascii="Arial" w:hAnsi="Arial" w:cs="Arial"/>
          <w:sz w:val="24"/>
          <w:szCs w:val="24"/>
        </w:rPr>
        <w:t xml:space="preserve">ispute raised by the Applicants, </w:t>
      </w:r>
      <w:r w:rsidR="00E51B6F" w:rsidRPr="00AF1EA9">
        <w:rPr>
          <w:rFonts w:ascii="Arial" w:hAnsi="Arial" w:cs="Arial"/>
          <w:sz w:val="24"/>
          <w:szCs w:val="24"/>
        </w:rPr>
        <w:t>properly considered</w:t>
      </w:r>
      <w:r w:rsidR="00982C02" w:rsidRPr="00AF1EA9">
        <w:rPr>
          <w:rFonts w:ascii="Arial" w:hAnsi="Arial" w:cs="Arial"/>
          <w:sz w:val="24"/>
          <w:szCs w:val="24"/>
        </w:rPr>
        <w:t>,</w:t>
      </w:r>
      <w:r w:rsidR="00E51B6F" w:rsidRPr="00AF1EA9">
        <w:rPr>
          <w:rFonts w:ascii="Arial" w:hAnsi="Arial" w:cs="Arial"/>
          <w:sz w:val="24"/>
          <w:szCs w:val="24"/>
        </w:rPr>
        <w:t xml:space="preserve"> relates to the provision of benefits. </w:t>
      </w:r>
      <w:r w:rsidR="00027320" w:rsidRPr="00AF1EA9">
        <w:rPr>
          <w:rFonts w:ascii="Arial" w:hAnsi="Arial" w:cs="Arial"/>
          <w:sz w:val="24"/>
          <w:szCs w:val="24"/>
        </w:rPr>
        <w:t xml:space="preserve">An employee who complains about the </w:t>
      </w:r>
      <w:r w:rsidR="001B04B5" w:rsidRPr="00AF1EA9">
        <w:rPr>
          <w:rFonts w:ascii="Arial" w:hAnsi="Arial" w:cs="Arial"/>
          <w:sz w:val="24"/>
          <w:szCs w:val="24"/>
        </w:rPr>
        <w:t xml:space="preserve">conduct of an employer relating to the </w:t>
      </w:r>
      <w:r w:rsidR="00F54A6F" w:rsidRPr="00AF1EA9">
        <w:rPr>
          <w:rFonts w:ascii="Arial" w:hAnsi="Arial" w:cs="Arial"/>
          <w:sz w:val="24"/>
          <w:szCs w:val="24"/>
        </w:rPr>
        <w:t>p</w:t>
      </w:r>
      <w:r w:rsidR="001B04B5" w:rsidRPr="00AF1EA9">
        <w:rPr>
          <w:rFonts w:ascii="Arial" w:hAnsi="Arial" w:cs="Arial"/>
          <w:sz w:val="24"/>
          <w:szCs w:val="24"/>
        </w:rPr>
        <w:t xml:space="preserve">rovision of benefits is required by </w:t>
      </w:r>
      <w:r w:rsidR="002A5282">
        <w:rPr>
          <w:rFonts w:ascii="Arial" w:hAnsi="Arial" w:cs="Arial"/>
          <w:sz w:val="24"/>
          <w:szCs w:val="24"/>
        </w:rPr>
        <w:t>s</w:t>
      </w:r>
      <w:r w:rsidR="00A01C41" w:rsidRPr="00AF1EA9">
        <w:rPr>
          <w:rFonts w:ascii="Arial" w:hAnsi="Arial" w:cs="Arial"/>
          <w:sz w:val="24"/>
          <w:szCs w:val="24"/>
        </w:rPr>
        <w:t>ection 191(5) of the Labour Re</w:t>
      </w:r>
      <w:r w:rsidR="00811A49" w:rsidRPr="00AF1EA9">
        <w:rPr>
          <w:rFonts w:ascii="Arial" w:hAnsi="Arial" w:cs="Arial"/>
          <w:sz w:val="24"/>
          <w:szCs w:val="24"/>
        </w:rPr>
        <w:t>l</w:t>
      </w:r>
      <w:r w:rsidR="00A01C41" w:rsidRPr="00AF1EA9">
        <w:rPr>
          <w:rFonts w:ascii="Arial" w:hAnsi="Arial" w:cs="Arial"/>
          <w:sz w:val="24"/>
          <w:szCs w:val="24"/>
        </w:rPr>
        <w:t>a</w:t>
      </w:r>
      <w:r w:rsidR="00811A49" w:rsidRPr="00AF1EA9">
        <w:rPr>
          <w:rFonts w:ascii="Arial" w:hAnsi="Arial" w:cs="Arial"/>
          <w:sz w:val="24"/>
          <w:szCs w:val="24"/>
        </w:rPr>
        <w:t xml:space="preserve">tions Act to lodge an unfair labour practice dispute with the </w:t>
      </w:r>
      <w:r w:rsidR="006E6AFE" w:rsidRPr="00AF1EA9">
        <w:rPr>
          <w:rFonts w:ascii="Arial" w:hAnsi="Arial" w:cs="Arial"/>
          <w:sz w:val="24"/>
          <w:szCs w:val="24"/>
        </w:rPr>
        <w:t>relevant bargaining council and utili</w:t>
      </w:r>
      <w:r w:rsidR="00E6718A" w:rsidRPr="00AF1EA9">
        <w:rPr>
          <w:rFonts w:ascii="Arial" w:hAnsi="Arial" w:cs="Arial"/>
          <w:sz w:val="24"/>
          <w:szCs w:val="24"/>
        </w:rPr>
        <w:t>s</w:t>
      </w:r>
      <w:r w:rsidR="006E6AFE" w:rsidRPr="00AF1EA9">
        <w:rPr>
          <w:rFonts w:ascii="Arial" w:hAnsi="Arial" w:cs="Arial"/>
          <w:sz w:val="24"/>
          <w:szCs w:val="24"/>
        </w:rPr>
        <w:t>e L</w:t>
      </w:r>
      <w:r w:rsidR="00E6718A" w:rsidRPr="00AF1EA9">
        <w:rPr>
          <w:rFonts w:ascii="Arial" w:hAnsi="Arial" w:cs="Arial"/>
          <w:sz w:val="24"/>
          <w:szCs w:val="24"/>
        </w:rPr>
        <w:t>R</w:t>
      </w:r>
      <w:r w:rsidR="006E6AFE" w:rsidRPr="00AF1EA9">
        <w:rPr>
          <w:rFonts w:ascii="Arial" w:hAnsi="Arial" w:cs="Arial"/>
          <w:sz w:val="24"/>
          <w:szCs w:val="24"/>
        </w:rPr>
        <w:t xml:space="preserve">A mechanisms. He found </w:t>
      </w:r>
      <w:r w:rsidR="00D74EF5" w:rsidRPr="00AF1EA9">
        <w:rPr>
          <w:rFonts w:ascii="Arial" w:hAnsi="Arial" w:cs="Arial"/>
          <w:sz w:val="24"/>
          <w:szCs w:val="24"/>
        </w:rPr>
        <w:t xml:space="preserve">legal authority in the dicta of </w:t>
      </w:r>
      <w:r w:rsidR="00D74EF5" w:rsidRPr="00AF1EA9">
        <w:rPr>
          <w:rFonts w:ascii="Arial" w:hAnsi="Arial" w:cs="Arial"/>
          <w:bCs/>
          <w:sz w:val="24"/>
          <w:szCs w:val="24"/>
        </w:rPr>
        <w:t>Skweyiya J</w:t>
      </w:r>
      <w:r w:rsidR="00D74EF5" w:rsidRPr="00AF1EA9">
        <w:rPr>
          <w:rFonts w:ascii="Arial" w:hAnsi="Arial" w:cs="Arial"/>
          <w:b/>
          <w:bCs/>
          <w:sz w:val="24"/>
          <w:szCs w:val="24"/>
        </w:rPr>
        <w:t xml:space="preserve"> </w:t>
      </w:r>
      <w:r w:rsidR="00D74EF5" w:rsidRPr="00050C9D">
        <w:rPr>
          <w:rFonts w:ascii="Arial" w:hAnsi="Arial" w:cs="Arial"/>
          <w:bCs/>
          <w:sz w:val="24"/>
          <w:szCs w:val="24"/>
        </w:rPr>
        <w:t>in</w:t>
      </w:r>
      <w:r w:rsidR="00D74EF5" w:rsidRPr="00AF1EA9">
        <w:rPr>
          <w:rFonts w:ascii="Arial" w:hAnsi="Arial" w:cs="Arial"/>
          <w:b/>
          <w:bCs/>
          <w:sz w:val="24"/>
          <w:szCs w:val="24"/>
        </w:rPr>
        <w:t xml:space="preserve"> </w:t>
      </w:r>
      <w:r w:rsidR="00D74EF5" w:rsidRPr="00AF1EA9">
        <w:rPr>
          <w:rFonts w:ascii="Arial" w:hAnsi="Arial" w:cs="Arial"/>
          <w:b/>
          <w:bCs/>
          <w:i/>
          <w:sz w:val="24"/>
          <w:szCs w:val="24"/>
        </w:rPr>
        <w:t xml:space="preserve">Chirwa  v Transnet Limited &amp; Others (2008) </w:t>
      </w:r>
      <w:r w:rsidR="00C92DD1" w:rsidRPr="00AF1EA9">
        <w:rPr>
          <w:rFonts w:ascii="Arial" w:hAnsi="Arial" w:cs="Arial"/>
          <w:b/>
          <w:bCs/>
          <w:i/>
          <w:sz w:val="24"/>
          <w:szCs w:val="24"/>
        </w:rPr>
        <w:t>29 ILJ 73 (CC)</w:t>
      </w:r>
      <w:r w:rsidR="00C92DD1" w:rsidRPr="00AF1EA9">
        <w:rPr>
          <w:rFonts w:ascii="Arial" w:hAnsi="Arial" w:cs="Arial"/>
          <w:i/>
          <w:sz w:val="24"/>
          <w:szCs w:val="24"/>
        </w:rPr>
        <w:t xml:space="preserve"> </w:t>
      </w:r>
      <w:r w:rsidR="00982C02" w:rsidRPr="00AF1EA9">
        <w:rPr>
          <w:rFonts w:ascii="Arial" w:hAnsi="Arial" w:cs="Arial"/>
          <w:sz w:val="24"/>
          <w:szCs w:val="24"/>
        </w:rPr>
        <w:t>where the l</w:t>
      </w:r>
      <w:r w:rsidR="00C92DD1" w:rsidRPr="00AF1EA9">
        <w:rPr>
          <w:rFonts w:ascii="Arial" w:hAnsi="Arial" w:cs="Arial"/>
          <w:sz w:val="24"/>
          <w:szCs w:val="24"/>
        </w:rPr>
        <w:t>earned Judge said</w:t>
      </w:r>
      <w:r w:rsidR="00C92DD1" w:rsidRPr="00AF1EA9">
        <w:rPr>
          <w:rFonts w:ascii="Arial" w:hAnsi="Arial" w:cs="Arial"/>
          <w:i/>
          <w:sz w:val="24"/>
          <w:szCs w:val="24"/>
        </w:rPr>
        <w:t>:</w:t>
      </w:r>
      <w:r w:rsidR="00E72D8B" w:rsidRPr="00AF1EA9">
        <w:rPr>
          <w:rFonts w:ascii="Arial" w:hAnsi="Arial" w:cs="Arial"/>
          <w:i/>
          <w:sz w:val="24"/>
          <w:szCs w:val="24"/>
        </w:rPr>
        <w:t>-</w:t>
      </w:r>
      <w:r w:rsidR="002445DA" w:rsidRPr="00AF1EA9">
        <w:rPr>
          <w:rFonts w:ascii="Arial" w:hAnsi="Arial" w:cs="Arial"/>
          <w:i/>
          <w:sz w:val="24"/>
          <w:szCs w:val="24"/>
        </w:rPr>
        <w:t xml:space="preserve"> </w:t>
      </w:r>
      <w:r w:rsidR="00E72D8B" w:rsidRPr="00AF1EA9">
        <w:rPr>
          <w:rFonts w:ascii="Arial" w:hAnsi="Arial" w:cs="Arial"/>
          <w:i/>
          <w:sz w:val="24"/>
          <w:szCs w:val="24"/>
        </w:rPr>
        <w:t>“</w:t>
      </w:r>
      <w:r w:rsidR="00C92DD1" w:rsidRPr="00AF1EA9">
        <w:rPr>
          <w:rFonts w:ascii="Arial" w:hAnsi="Arial" w:cs="Arial"/>
          <w:i/>
          <w:sz w:val="24"/>
          <w:szCs w:val="24"/>
        </w:rPr>
        <w:t xml:space="preserve"> It is my view </w:t>
      </w:r>
      <w:r w:rsidR="00F470B8" w:rsidRPr="00AF1EA9">
        <w:rPr>
          <w:rFonts w:ascii="Arial" w:hAnsi="Arial" w:cs="Arial"/>
          <w:i/>
          <w:sz w:val="24"/>
          <w:szCs w:val="24"/>
        </w:rPr>
        <w:t>that the existence of a purpose-built employment framework in the form of the LRA and associa</w:t>
      </w:r>
      <w:r w:rsidR="000C7BFE" w:rsidRPr="00AF1EA9">
        <w:rPr>
          <w:rFonts w:ascii="Arial" w:hAnsi="Arial" w:cs="Arial"/>
          <w:i/>
          <w:sz w:val="24"/>
          <w:szCs w:val="24"/>
        </w:rPr>
        <w:t>ted legislation infers that labour processes and forums should take pre</w:t>
      </w:r>
      <w:r w:rsidR="00827DE9" w:rsidRPr="00AF1EA9">
        <w:rPr>
          <w:rFonts w:ascii="Arial" w:hAnsi="Arial" w:cs="Arial"/>
          <w:i/>
          <w:sz w:val="24"/>
          <w:szCs w:val="24"/>
        </w:rPr>
        <w:t>c</w:t>
      </w:r>
      <w:r w:rsidR="000C7BFE" w:rsidRPr="00AF1EA9">
        <w:rPr>
          <w:rFonts w:ascii="Arial" w:hAnsi="Arial" w:cs="Arial"/>
          <w:i/>
          <w:sz w:val="24"/>
          <w:szCs w:val="24"/>
        </w:rPr>
        <w:t>edence over non-purpose</w:t>
      </w:r>
      <w:r w:rsidR="004E7288" w:rsidRPr="00AF1EA9">
        <w:rPr>
          <w:rFonts w:ascii="Arial" w:hAnsi="Arial" w:cs="Arial"/>
          <w:i/>
          <w:sz w:val="24"/>
          <w:szCs w:val="24"/>
        </w:rPr>
        <w:t xml:space="preserve"> built processes and forums in situations involving employment </w:t>
      </w:r>
      <w:r w:rsidR="00FA56CD" w:rsidRPr="00AF1EA9">
        <w:rPr>
          <w:rFonts w:ascii="Arial" w:hAnsi="Arial" w:cs="Arial"/>
          <w:i/>
          <w:sz w:val="24"/>
          <w:szCs w:val="24"/>
        </w:rPr>
        <w:t xml:space="preserve">related matters. At the least, litigation in terms of the LRA </w:t>
      </w:r>
      <w:r w:rsidR="00764B2D" w:rsidRPr="00AF1EA9">
        <w:rPr>
          <w:rFonts w:ascii="Arial" w:hAnsi="Arial" w:cs="Arial"/>
          <w:i/>
          <w:sz w:val="24"/>
          <w:szCs w:val="24"/>
        </w:rPr>
        <w:t>should be seen as the more appropriate route to pur</w:t>
      </w:r>
      <w:r w:rsidR="00A708E3" w:rsidRPr="00AF1EA9">
        <w:rPr>
          <w:rFonts w:ascii="Arial" w:hAnsi="Arial" w:cs="Arial"/>
          <w:i/>
          <w:sz w:val="24"/>
          <w:szCs w:val="24"/>
        </w:rPr>
        <w:t>sue. Where an alternative cause of action can be sustained in matters arising out of employment rela</w:t>
      </w:r>
      <w:r w:rsidR="00FB0D21" w:rsidRPr="00AF1EA9">
        <w:rPr>
          <w:rFonts w:ascii="Arial" w:hAnsi="Arial" w:cs="Arial"/>
          <w:i/>
          <w:sz w:val="24"/>
          <w:szCs w:val="24"/>
        </w:rPr>
        <w:t>tionship, in which the employee alleges unfair dismissal or an unfair labour practice by the employer, it is in the first instance through the mechanisms established by the LRA that the employee should pursue her o</w:t>
      </w:r>
      <w:r w:rsidR="00C96321" w:rsidRPr="00AF1EA9">
        <w:rPr>
          <w:rFonts w:ascii="Arial" w:hAnsi="Arial" w:cs="Arial"/>
          <w:i/>
          <w:sz w:val="24"/>
          <w:szCs w:val="24"/>
        </w:rPr>
        <w:t>r</w:t>
      </w:r>
      <w:r w:rsidR="00FB0D21" w:rsidRPr="00AF1EA9">
        <w:rPr>
          <w:rFonts w:ascii="Arial" w:hAnsi="Arial" w:cs="Arial"/>
          <w:i/>
          <w:sz w:val="24"/>
          <w:szCs w:val="24"/>
        </w:rPr>
        <w:t xml:space="preserve"> his claims</w:t>
      </w:r>
      <w:r w:rsidR="00764B2D" w:rsidRPr="00AF1EA9">
        <w:rPr>
          <w:rFonts w:ascii="Arial" w:hAnsi="Arial" w:cs="Arial"/>
          <w:i/>
          <w:sz w:val="24"/>
          <w:szCs w:val="24"/>
        </w:rPr>
        <w:t>”</w:t>
      </w:r>
      <w:r w:rsidR="00B815FF" w:rsidRPr="00AF1EA9">
        <w:rPr>
          <w:rFonts w:ascii="Arial" w:hAnsi="Arial" w:cs="Arial"/>
          <w:i/>
          <w:sz w:val="24"/>
          <w:szCs w:val="24"/>
        </w:rPr>
        <w:t>.</w:t>
      </w:r>
    </w:p>
    <w:p w14:paraId="25974974" w14:textId="0201CC9F" w:rsidR="00B17603" w:rsidRPr="00AF1EA9" w:rsidRDefault="00F92D6D" w:rsidP="00AF1EA9">
      <w:pPr>
        <w:spacing w:line="360" w:lineRule="auto"/>
        <w:ind w:left="720" w:hanging="720"/>
        <w:jc w:val="both"/>
        <w:rPr>
          <w:rFonts w:ascii="Arial" w:hAnsi="Arial" w:cs="Arial"/>
          <w:i/>
          <w:iCs/>
          <w:sz w:val="24"/>
          <w:szCs w:val="24"/>
        </w:rPr>
      </w:pPr>
      <w:r w:rsidRPr="00AF1EA9">
        <w:rPr>
          <w:rFonts w:ascii="Arial" w:hAnsi="Arial" w:cs="Arial"/>
          <w:sz w:val="24"/>
          <w:szCs w:val="24"/>
        </w:rPr>
        <w:t>[15]</w:t>
      </w:r>
      <w:r w:rsidRPr="00AF1EA9">
        <w:rPr>
          <w:rFonts w:ascii="Arial" w:hAnsi="Arial" w:cs="Arial"/>
          <w:sz w:val="24"/>
          <w:szCs w:val="24"/>
        </w:rPr>
        <w:tab/>
      </w:r>
      <w:r w:rsidR="00B815FF" w:rsidRPr="00AF1EA9">
        <w:rPr>
          <w:rFonts w:ascii="Arial" w:hAnsi="Arial" w:cs="Arial"/>
          <w:sz w:val="24"/>
          <w:szCs w:val="24"/>
        </w:rPr>
        <w:t>The Applicants</w:t>
      </w:r>
      <w:r w:rsidR="00C96321" w:rsidRPr="00AF1EA9">
        <w:rPr>
          <w:rFonts w:ascii="Arial" w:hAnsi="Arial" w:cs="Arial"/>
          <w:sz w:val="24"/>
          <w:szCs w:val="24"/>
        </w:rPr>
        <w:t xml:space="preserve"> represented by Advocate Uys SC contends o</w:t>
      </w:r>
      <w:r w:rsidR="00A81D16" w:rsidRPr="00AF1EA9">
        <w:rPr>
          <w:rFonts w:ascii="Arial" w:hAnsi="Arial" w:cs="Arial"/>
          <w:sz w:val="24"/>
          <w:szCs w:val="24"/>
        </w:rPr>
        <w:t>therwise and argue that the issue in dispute in so fa</w:t>
      </w:r>
      <w:r w:rsidR="000C51EF" w:rsidRPr="00AF1EA9">
        <w:rPr>
          <w:rFonts w:ascii="Arial" w:hAnsi="Arial" w:cs="Arial"/>
          <w:sz w:val="24"/>
          <w:szCs w:val="24"/>
        </w:rPr>
        <w:t>r</w:t>
      </w:r>
      <w:r w:rsidR="00A81D16" w:rsidRPr="00AF1EA9">
        <w:rPr>
          <w:rFonts w:ascii="Arial" w:hAnsi="Arial" w:cs="Arial"/>
          <w:sz w:val="24"/>
          <w:szCs w:val="24"/>
        </w:rPr>
        <w:t xml:space="preserve"> as they are concerned </w:t>
      </w:r>
      <w:r w:rsidR="000C51EF" w:rsidRPr="00AF1EA9">
        <w:rPr>
          <w:rFonts w:ascii="Arial" w:hAnsi="Arial" w:cs="Arial"/>
          <w:sz w:val="24"/>
          <w:szCs w:val="24"/>
        </w:rPr>
        <w:t>arises</w:t>
      </w:r>
      <w:r w:rsidR="00A81D16" w:rsidRPr="00AF1EA9">
        <w:rPr>
          <w:rFonts w:ascii="Arial" w:hAnsi="Arial" w:cs="Arial"/>
          <w:sz w:val="24"/>
          <w:szCs w:val="24"/>
        </w:rPr>
        <w:t xml:space="preserve"> out of an exercise </w:t>
      </w:r>
      <w:r w:rsidR="000C51EF" w:rsidRPr="00AF1EA9">
        <w:rPr>
          <w:rFonts w:ascii="Arial" w:hAnsi="Arial" w:cs="Arial"/>
          <w:sz w:val="24"/>
          <w:szCs w:val="24"/>
        </w:rPr>
        <w:t xml:space="preserve">of public power and infringes upon </w:t>
      </w:r>
      <w:r w:rsidR="002E7E39" w:rsidRPr="00AF1EA9">
        <w:rPr>
          <w:rFonts w:ascii="Arial" w:hAnsi="Arial" w:cs="Arial"/>
          <w:sz w:val="24"/>
          <w:szCs w:val="24"/>
        </w:rPr>
        <w:t xml:space="preserve">their rights enshrined in the constitution. It is submitted on their behalf that the decision by the Head of Department </w:t>
      </w:r>
      <w:r w:rsidR="00D37F7C" w:rsidRPr="00AF1EA9">
        <w:rPr>
          <w:rFonts w:ascii="Arial" w:hAnsi="Arial" w:cs="Arial"/>
          <w:sz w:val="24"/>
          <w:szCs w:val="24"/>
        </w:rPr>
        <w:t xml:space="preserve">not to pay them the incentive in accordance with the policy </w:t>
      </w:r>
      <w:r w:rsidR="00840FBB" w:rsidRPr="00AF1EA9">
        <w:rPr>
          <w:rFonts w:ascii="Arial" w:hAnsi="Arial" w:cs="Arial"/>
          <w:sz w:val="24"/>
          <w:szCs w:val="24"/>
        </w:rPr>
        <w:t xml:space="preserve">constitutes an administrative act and therefore susceptible for review in the </w:t>
      </w:r>
      <w:r w:rsidR="000517C8" w:rsidRPr="00AF1EA9">
        <w:rPr>
          <w:rFonts w:ascii="Arial" w:hAnsi="Arial" w:cs="Arial"/>
          <w:sz w:val="24"/>
          <w:szCs w:val="24"/>
        </w:rPr>
        <w:t xml:space="preserve">High Court. The Applicants further argue that </w:t>
      </w:r>
      <w:r w:rsidR="00F40AA6" w:rsidRPr="00AF1EA9">
        <w:rPr>
          <w:rFonts w:ascii="Arial" w:hAnsi="Arial" w:cs="Arial"/>
          <w:sz w:val="24"/>
          <w:szCs w:val="24"/>
        </w:rPr>
        <w:t>no where</w:t>
      </w:r>
      <w:r w:rsidR="000517C8" w:rsidRPr="00AF1EA9">
        <w:rPr>
          <w:rFonts w:ascii="Arial" w:hAnsi="Arial" w:cs="Arial"/>
          <w:sz w:val="24"/>
          <w:szCs w:val="24"/>
        </w:rPr>
        <w:t xml:space="preserve"> in their </w:t>
      </w:r>
      <w:r w:rsidR="00F40AA6" w:rsidRPr="00AF1EA9">
        <w:rPr>
          <w:rFonts w:ascii="Arial" w:hAnsi="Arial" w:cs="Arial"/>
          <w:sz w:val="24"/>
          <w:szCs w:val="24"/>
        </w:rPr>
        <w:t>papers do they allege an unfair labour practice under the Labour Relations</w:t>
      </w:r>
      <w:r w:rsidR="004D0C6A" w:rsidRPr="00AF1EA9">
        <w:rPr>
          <w:rFonts w:ascii="Arial" w:hAnsi="Arial" w:cs="Arial"/>
          <w:sz w:val="24"/>
          <w:szCs w:val="24"/>
        </w:rPr>
        <w:t xml:space="preserve"> </w:t>
      </w:r>
      <w:r w:rsidR="002A5282">
        <w:rPr>
          <w:rFonts w:ascii="Arial" w:hAnsi="Arial" w:cs="Arial"/>
          <w:sz w:val="24"/>
          <w:szCs w:val="24"/>
        </w:rPr>
        <w:t xml:space="preserve"> Act. Re</w:t>
      </w:r>
      <w:r w:rsidR="00F40AA6" w:rsidRPr="00AF1EA9">
        <w:rPr>
          <w:rFonts w:ascii="Arial" w:hAnsi="Arial" w:cs="Arial"/>
          <w:sz w:val="24"/>
          <w:szCs w:val="24"/>
        </w:rPr>
        <w:t xml:space="preserve">lying on the judgment of the </w:t>
      </w:r>
      <w:r w:rsidR="00783393" w:rsidRPr="00AF1EA9">
        <w:rPr>
          <w:rFonts w:ascii="Arial" w:hAnsi="Arial" w:cs="Arial"/>
          <w:sz w:val="24"/>
          <w:szCs w:val="24"/>
        </w:rPr>
        <w:t>full court, they located</w:t>
      </w:r>
      <w:r w:rsidR="001C6F33" w:rsidRPr="00AF1EA9">
        <w:rPr>
          <w:rFonts w:ascii="Arial" w:hAnsi="Arial" w:cs="Arial"/>
          <w:sz w:val="24"/>
          <w:szCs w:val="24"/>
        </w:rPr>
        <w:t xml:space="preserve"> </w:t>
      </w:r>
      <w:r w:rsidR="00783393" w:rsidRPr="00AF1EA9">
        <w:rPr>
          <w:rFonts w:ascii="Arial" w:hAnsi="Arial" w:cs="Arial"/>
          <w:sz w:val="24"/>
          <w:szCs w:val="24"/>
        </w:rPr>
        <w:t>their case squarely with</w:t>
      </w:r>
      <w:r w:rsidR="004D0C6A" w:rsidRPr="00AF1EA9">
        <w:rPr>
          <w:rFonts w:ascii="Arial" w:hAnsi="Arial" w:cs="Arial"/>
          <w:sz w:val="24"/>
          <w:szCs w:val="24"/>
        </w:rPr>
        <w:t>in</w:t>
      </w:r>
      <w:r w:rsidR="00783393" w:rsidRPr="00AF1EA9">
        <w:rPr>
          <w:rFonts w:ascii="Arial" w:hAnsi="Arial" w:cs="Arial"/>
          <w:sz w:val="24"/>
          <w:szCs w:val="24"/>
        </w:rPr>
        <w:t xml:space="preserve"> PAJA and characterized the </w:t>
      </w:r>
      <w:r w:rsidR="00F905D6" w:rsidRPr="00AF1EA9">
        <w:rPr>
          <w:rFonts w:ascii="Arial" w:hAnsi="Arial" w:cs="Arial"/>
          <w:sz w:val="24"/>
          <w:szCs w:val="24"/>
        </w:rPr>
        <w:t>decision of the Head of Department as an administrative action which falls to be reviewed and set aside</w:t>
      </w:r>
      <w:r w:rsidR="00D76324" w:rsidRPr="00AF1EA9">
        <w:rPr>
          <w:rFonts w:ascii="Arial" w:hAnsi="Arial" w:cs="Arial"/>
          <w:sz w:val="24"/>
          <w:szCs w:val="24"/>
        </w:rPr>
        <w:t>.</w:t>
      </w:r>
    </w:p>
    <w:p w14:paraId="3E4978DB" w14:textId="4B11F427" w:rsidR="00291A5B" w:rsidRPr="00AF1EA9" w:rsidRDefault="00D62FE3" w:rsidP="00AF1EA9">
      <w:pPr>
        <w:spacing w:line="360" w:lineRule="auto"/>
        <w:ind w:left="720" w:hanging="720"/>
        <w:jc w:val="both"/>
        <w:rPr>
          <w:rFonts w:ascii="Arial" w:hAnsi="Arial" w:cs="Arial"/>
          <w:sz w:val="24"/>
          <w:szCs w:val="24"/>
        </w:rPr>
      </w:pPr>
      <w:r w:rsidRPr="00AF1EA9">
        <w:rPr>
          <w:rFonts w:ascii="Arial" w:hAnsi="Arial" w:cs="Arial"/>
          <w:sz w:val="24"/>
          <w:szCs w:val="24"/>
        </w:rPr>
        <w:t>[16]</w:t>
      </w:r>
      <w:r w:rsidRPr="00AF1EA9">
        <w:rPr>
          <w:rFonts w:ascii="Arial" w:hAnsi="Arial" w:cs="Arial"/>
          <w:sz w:val="24"/>
          <w:szCs w:val="24"/>
        </w:rPr>
        <w:tab/>
      </w:r>
      <w:r w:rsidR="001C6F33" w:rsidRPr="00AF1EA9">
        <w:rPr>
          <w:rFonts w:ascii="Arial" w:hAnsi="Arial" w:cs="Arial"/>
          <w:sz w:val="24"/>
          <w:szCs w:val="24"/>
        </w:rPr>
        <w:t xml:space="preserve">Under Section 38 of the Constitution, the allegation of  the infringement </w:t>
      </w:r>
      <w:r w:rsidR="000A56ED" w:rsidRPr="00AF1EA9">
        <w:rPr>
          <w:rFonts w:ascii="Arial" w:hAnsi="Arial" w:cs="Arial"/>
          <w:sz w:val="24"/>
          <w:szCs w:val="24"/>
        </w:rPr>
        <w:t xml:space="preserve">of a fundamental right would be sufficient to clothe </w:t>
      </w:r>
      <w:r w:rsidR="004B7D53" w:rsidRPr="00AF1EA9">
        <w:rPr>
          <w:rFonts w:ascii="Arial" w:hAnsi="Arial" w:cs="Arial"/>
          <w:sz w:val="24"/>
          <w:szCs w:val="24"/>
        </w:rPr>
        <w:t>th</w:t>
      </w:r>
      <w:r w:rsidR="00893E01" w:rsidRPr="00AF1EA9">
        <w:rPr>
          <w:rFonts w:ascii="Arial" w:hAnsi="Arial" w:cs="Arial"/>
          <w:sz w:val="24"/>
          <w:szCs w:val="24"/>
        </w:rPr>
        <w:t xml:space="preserve">e High Court </w:t>
      </w:r>
      <w:r w:rsidR="00E45900" w:rsidRPr="00AF1EA9">
        <w:rPr>
          <w:rFonts w:ascii="Arial" w:hAnsi="Arial" w:cs="Arial"/>
          <w:sz w:val="24"/>
          <w:szCs w:val="24"/>
        </w:rPr>
        <w:t xml:space="preserve">with jurisdiction to enquire whether the right to just administrative action has been infringed or not and to grant appropriate relief depending on its finding. PAJA therefore gives specific content </w:t>
      </w:r>
      <w:r w:rsidR="008C37BA" w:rsidRPr="00AF1EA9">
        <w:rPr>
          <w:rFonts w:ascii="Arial" w:hAnsi="Arial" w:cs="Arial"/>
          <w:sz w:val="24"/>
          <w:szCs w:val="24"/>
        </w:rPr>
        <w:t>to this competence in relation to the fundamental right to a just and administrative action</w:t>
      </w:r>
      <w:r w:rsidR="00291A5B" w:rsidRPr="00AF1EA9">
        <w:rPr>
          <w:rFonts w:ascii="Arial" w:hAnsi="Arial" w:cs="Arial"/>
          <w:sz w:val="24"/>
          <w:szCs w:val="24"/>
        </w:rPr>
        <w:t>.</w:t>
      </w:r>
    </w:p>
    <w:p w14:paraId="6A0A7183" w14:textId="375BDA93" w:rsidR="00FB2F5F" w:rsidRPr="00AF1EA9" w:rsidRDefault="00E5042F" w:rsidP="00AF1EA9">
      <w:pPr>
        <w:spacing w:line="360" w:lineRule="auto"/>
        <w:ind w:left="720" w:hanging="720"/>
        <w:jc w:val="both"/>
        <w:rPr>
          <w:rFonts w:ascii="Arial" w:hAnsi="Arial" w:cs="Arial"/>
          <w:sz w:val="24"/>
          <w:szCs w:val="24"/>
        </w:rPr>
      </w:pPr>
      <w:r w:rsidRPr="00AF1EA9">
        <w:rPr>
          <w:rFonts w:ascii="Arial" w:hAnsi="Arial" w:cs="Arial"/>
          <w:sz w:val="24"/>
          <w:szCs w:val="24"/>
        </w:rPr>
        <w:t>[17]</w:t>
      </w:r>
      <w:r w:rsidRPr="00AF1EA9">
        <w:rPr>
          <w:rFonts w:ascii="Arial" w:hAnsi="Arial" w:cs="Arial"/>
          <w:sz w:val="24"/>
          <w:szCs w:val="24"/>
        </w:rPr>
        <w:tab/>
      </w:r>
      <w:r w:rsidR="00742743" w:rsidRPr="00AF1EA9">
        <w:rPr>
          <w:rFonts w:ascii="Arial" w:hAnsi="Arial" w:cs="Arial"/>
          <w:sz w:val="24"/>
          <w:szCs w:val="24"/>
        </w:rPr>
        <w:t>There is substance in these submission</w:t>
      </w:r>
      <w:r w:rsidR="00A17C1F" w:rsidRPr="00AF1EA9">
        <w:rPr>
          <w:rFonts w:ascii="Arial" w:hAnsi="Arial" w:cs="Arial"/>
          <w:sz w:val="24"/>
          <w:szCs w:val="24"/>
        </w:rPr>
        <w:t>s</w:t>
      </w:r>
      <w:r w:rsidR="00742743" w:rsidRPr="00AF1EA9">
        <w:rPr>
          <w:rFonts w:ascii="Arial" w:hAnsi="Arial" w:cs="Arial"/>
          <w:sz w:val="24"/>
          <w:szCs w:val="24"/>
        </w:rPr>
        <w:t xml:space="preserve"> because it is not every employment </w:t>
      </w:r>
      <w:r w:rsidR="005313E4" w:rsidRPr="00AF1EA9">
        <w:rPr>
          <w:rFonts w:ascii="Arial" w:hAnsi="Arial" w:cs="Arial"/>
          <w:sz w:val="24"/>
          <w:szCs w:val="24"/>
        </w:rPr>
        <w:t xml:space="preserve">related dispute </w:t>
      </w:r>
      <w:r w:rsidR="00921BC2" w:rsidRPr="00AF1EA9">
        <w:rPr>
          <w:rFonts w:ascii="Arial" w:hAnsi="Arial" w:cs="Arial"/>
          <w:sz w:val="24"/>
          <w:szCs w:val="24"/>
        </w:rPr>
        <w:t>which must be resolved exclusively through the mechanisms created by the Labour Relations Act</w:t>
      </w:r>
      <w:r w:rsidR="00D62FE3" w:rsidRPr="00AF1EA9">
        <w:rPr>
          <w:rFonts w:ascii="Arial" w:hAnsi="Arial" w:cs="Arial"/>
          <w:sz w:val="24"/>
          <w:szCs w:val="24"/>
        </w:rPr>
        <w:t>.</w:t>
      </w:r>
      <w:r w:rsidR="00921BC2" w:rsidRPr="00AF1EA9">
        <w:rPr>
          <w:rFonts w:ascii="Arial" w:hAnsi="Arial" w:cs="Arial"/>
          <w:sz w:val="24"/>
          <w:szCs w:val="24"/>
        </w:rPr>
        <w:t xml:space="preserve"> The </w:t>
      </w:r>
      <w:r w:rsidR="006121B8" w:rsidRPr="00AF1EA9">
        <w:rPr>
          <w:rFonts w:ascii="Arial" w:hAnsi="Arial" w:cs="Arial"/>
          <w:sz w:val="24"/>
          <w:szCs w:val="24"/>
        </w:rPr>
        <w:t>legislature is assumed to know the law and was probably aware of this fact when it ena</w:t>
      </w:r>
      <w:r w:rsidR="002A5282">
        <w:rPr>
          <w:rFonts w:ascii="Arial" w:hAnsi="Arial" w:cs="Arial"/>
          <w:sz w:val="24"/>
          <w:szCs w:val="24"/>
        </w:rPr>
        <w:t>cted s</w:t>
      </w:r>
      <w:r w:rsidR="009A142D" w:rsidRPr="00AF1EA9">
        <w:rPr>
          <w:rFonts w:ascii="Arial" w:hAnsi="Arial" w:cs="Arial"/>
          <w:sz w:val="24"/>
          <w:szCs w:val="24"/>
        </w:rPr>
        <w:t>ection 157(2) of the Labour Relations Act</w:t>
      </w:r>
      <w:r w:rsidR="00423288" w:rsidRPr="00AF1EA9">
        <w:rPr>
          <w:rFonts w:ascii="Arial" w:hAnsi="Arial" w:cs="Arial"/>
          <w:sz w:val="24"/>
          <w:szCs w:val="24"/>
        </w:rPr>
        <w:t xml:space="preserve"> giving the </w:t>
      </w:r>
      <w:r w:rsidR="00786CE8" w:rsidRPr="00AF1EA9">
        <w:rPr>
          <w:rFonts w:ascii="Arial" w:hAnsi="Arial" w:cs="Arial"/>
          <w:sz w:val="24"/>
          <w:szCs w:val="24"/>
        </w:rPr>
        <w:t>L</w:t>
      </w:r>
      <w:r w:rsidR="00423288" w:rsidRPr="00AF1EA9">
        <w:rPr>
          <w:rFonts w:ascii="Arial" w:hAnsi="Arial" w:cs="Arial"/>
          <w:sz w:val="24"/>
          <w:szCs w:val="24"/>
        </w:rPr>
        <w:t xml:space="preserve">abour </w:t>
      </w:r>
      <w:r w:rsidR="00786CE8" w:rsidRPr="00AF1EA9">
        <w:rPr>
          <w:rFonts w:ascii="Arial" w:hAnsi="Arial" w:cs="Arial"/>
          <w:sz w:val="24"/>
          <w:szCs w:val="24"/>
        </w:rPr>
        <w:t>C</w:t>
      </w:r>
      <w:r w:rsidR="00423288" w:rsidRPr="00AF1EA9">
        <w:rPr>
          <w:rFonts w:ascii="Arial" w:hAnsi="Arial" w:cs="Arial"/>
          <w:sz w:val="24"/>
          <w:szCs w:val="24"/>
        </w:rPr>
        <w:t>ourt concurrent jurisdiction with the High Court.</w:t>
      </w:r>
    </w:p>
    <w:p w14:paraId="4AE7FE80" w14:textId="20A47543" w:rsidR="00786CE8" w:rsidRPr="00AF1EA9" w:rsidRDefault="00786CE8" w:rsidP="00AF1EA9">
      <w:pPr>
        <w:spacing w:line="360" w:lineRule="auto"/>
        <w:ind w:left="720" w:hanging="720"/>
        <w:jc w:val="both"/>
        <w:rPr>
          <w:rFonts w:ascii="Arial" w:hAnsi="Arial" w:cs="Arial"/>
          <w:sz w:val="24"/>
          <w:szCs w:val="24"/>
        </w:rPr>
      </w:pPr>
      <w:r w:rsidRPr="00AF1EA9">
        <w:rPr>
          <w:rFonts w:ascii="Arial" w:hAnsi="Arial" w:cs="Arial"/>
          <w:sz w:val="24"/>
          <w:szCs w:val="24"/>
        </w:rPr>
        <w:t>[18]</w:t>
      </w:r>
      <w:r w:rsidRPr="00AF1EA9">
        <w:rPr>
          <w:rFonts w:ascii="Arial" w:hAnsi="Arial" w:cs="Arial"/>
          <w:sz w:val="24"/>
          <w:szCs w:val="24"/>
        </w:rPr>
        <w:tab/>
        <w:t xml:space="preserve">Whilst it is accepted that the Labour Court is a specialized Court created specifically for labour related dispute, the power </w:t>
      </w:r>
      <w:r w:rsidR="00CF6AD2" w:rsidRPr="00AF1EA9">
        <w:rPr>
          <w:rFonts w:ascii="Arial" w:hAnsi="Arial" w:cs="Arial"/>
          <w:sz w:val="24"/>
          <w:szCs w:val="24"/>
        </w:rPr>
        <w:t>a</w:t>
      </w:r>
      <w:r w:rsidR="004D0C6A" w:rsidRPr="00AF1EA9">
        <w:rPr>
          <w:rFonts w:ascii="Arial" w:hAnsi="Arial" w:cs="Arial"/>
          <w:sz w:val="24"/>
          <w:szCs w:val="24"/>
        </w:rPr>
        <w:t>nd competence of the High Court</w:t>
      </w:r>
      <w:r w:rsidR="00CF6AD2" w:rsidRPr="00AF1EA9">
        <w:rPr>
          <w:rFonts w:ascii="Arial" w:hAnsi="Arial" w:cs="Arial"/>
          <w:sz w:val="24"/>
          <w:szCs w:val="24"/>
        </w:rPr>
        <w:t xml:space="preserve"> to adjudic</w:t>
      </w:r>
      <w:r w:rsidR="00050C9D">
        <w:rPr>
          <w:rFonts w:ascii="Arial" w:hAnsi="Arial" w:cs="Arial"/>
          <w:sz w:val="24"/>
          <w:szCs w:val="24"/>
        </w:rPr>
        <w:t>ate over dispute</w:t>
      </w:r>
      <w:r w:rsidR="002A5282">
        <w:rPr>
          <w:rFonts w:ascii="Arial" w:hAnsi="Arial" w:cs="Arial"/>
          <w:sz w:val="24"/>
          <w:szCs w:val="24"/>
        </w:rPr>
        <w:t>s</w:t>
      </w:r>
      <w:r w:rsidR="00050C9D">
        <w:rPr>
          <w:rFonts w:ascii="Arial" w:hAnsi="Arial" w:cs="Arial"/>
          <w:sz w:val="24"/>
          <w:szCs w:val="24"/>
        </w:rPr>
        <w:t xml:space="preserve"> arising out of</w:t>
      </w:r>
      <w:r w:rsidR="00CF6AD2" w:rsidRPr="00AF1EA9">
        <w:rPr>
          <w:rFonts w:ascii="Arial" w:hAnsi="Arial" w:cs="Arial"/>
          <w:sz w:val="24"/>
          <w:szCs w:val="24"/>
        </w:rPr>
        <w:t xml:space="preserve"> </w:t>
      </w:r>
      <w:r w:rsidR="00B2795A" w:rsidRPr="00AF1EA9">
        <w:rPr>
          <w:rFonts w:ascii="Arial" w:hAnsi="Arial" w:cs="Arial"/>
          <w:sz w:val="24"/>
          <w:szCs w:val="24"/>
        </w:rPr>
        <w:t>employment has not been completely ou</w:t>
      </w:r>
      <w:r w:rsidR="00357DC1" w:rsidRPr="00AF1EA9">
        <w:rPr>
          <w:rFonts w:ascii="Arial" w:hAnsi="Arial" w:cs="Arial"/>
          <w:sz w:val="24"/>
          <w:szCs w:val="24"/>
        </w:rPr>
        <w:t>sted, except in those matters fa</w:t>
      </w:r>
      <w:r w:rsidR="00660769" w:rsidRPr="00AF1EA9">
        <w:rPr>
          <w:rFonts w:ascii="Arial" w:hAnsi="Arial" w:cs="Arial"/>
          <w:sz w:val="24"/>
          <w:szCs w:val="24"/>
        </w:rPr>
        <w:t xml:space="preserve">lling within the </w:t>
      </w:r>
      <w:r w:rsidR="002A5282">
        <w:rPr>
          <w:rFonts w:ascii="Arial" w:hAnsi="Arial" w:cs="Arial"/>
          <w:sz w:val="24"/>
          <w:szCs w:val="24"/>
        </w:rPr>
        <w:t>p</w:t>
      </w:r>
      <w:r w:rsidR="00660769" w:rsidRPr="00AF1EA9">
        <w:rPr>
          <w:rFonts w:ascii="Arial" w:hAnsi="Arial" w:cs="Arial"/>
          <w:sz w:val="24"/>
          <w:szCs w:val="24"/>
        </w:rPr>
        <w:t xml:space="preserve">rovisions of </w:t>
      </w:r>
      <w:r w:rsidR="002A5282">
        <w:rPr>
          <w:rFonts w:ascii="Arial" w:hAnsi="Arial" w:cs="Arial"/>
          <w:sz w:val="24"/>
          <w:szCs w:val="24"/>
        </w:rPr>
        <w:t>s</w:t>
      </w:r>
      <w:r w:rsidR="00660769" w:rsidRPr="00AF1EA9">
        <w:rPr>
          <w:rFonts w:ascii="Arial" w:hAnsi="Arial" w:cs="Arial"/>
          <w:sz w:val="24"/>
          <w:szCs w:val="24"/>
        </w:rPr>
        <w:t>ection 157(1) of the Labour Relations Act</w:t>
      </w:r>
      <w:r w:rsidRPr="00AF1EA9">
        <w:rPr>
          <w:rFonts w:ascii="Arial" w:hAnsi="Arial" w:cs="Arial"/>
          <w:sz w:val="24"/>
          <w:szCs w:val="24"/>
        </w:rPr>
        <w:t>.</w:t>
      </w:r>
    </w:p>
    <w:p w14:paraId="465F8881" w14:textId="03971837" w:rsidR="00AD6F4A" w:rsidRPr="00AF1EA9" w:rsidRDefault="002526F7" w:rsidP="00AF1EA9">
      <w:pPr>
        <w:spacing w:line="360" w:lineRule="auto"/>
        <w:ind w:left="720" w:hanging="720"/>
        <w:jc w:val="both"/>
        <w:rPr>
          <w:rFonts w:ascii="Arial" w:hAnsi="Arial" w:cs="Arial"/>
          <w:sz w:val="24"/>
          <w:szCs w:val="24"/>
        </w:rPr>
      </w:pPr>
      <w:r w:rsidRPr="00AF1EA9">
        <w:rPr>
          <w:rFonts w:ascii="Arial" w:hAnsi="Arial" w:cs="Arial"/>
          <w:sz w:val="24"/>
          <w:szCs w:val="24"/>
        </w:rPr>
        <w:t>[19]</w:t>
      </w:r>
      <w:r w:rsidRPr="00AF1EA9">
        <w:rPr>
          <w:rFonts w:ascii="Arial" w:hAnsi="Arial" w:cs="Arial"/>
          <w:sz w:val="24"/>
          <w:szCs w:val="24"/>
        </w:rPr>
        <w:tab/>
        <w:t xml:space="preserve">In my view, the fact that the Applicants have a remedy under the Labour Relations Act does not take away the power of the </w:t>
      </w:r>
      <w:r w:rsidR="00A425CF" w:rsidRPr="00AF1EA9">
        <w:rPr>
          <w:rFonts w:ascii="Arial" w:hAnsi="Arial" w:cs="Arial"/>
          <w:sz w:val="24"/>
          <w:szCs w:val="24"/>
        </w:rPr>
        <w:t xml:space="preserve">High Court to adjudicate over the same matter if referred to it. Cameron JA (as he then was) </w:t>
      </w:r>
      <w:r w:rsidR="007C25DD" w:rsidRPr="00AF1EA9">
        <w:rPr>
          <w:rFonts w:ascii="Arial" w:hAnsi="Arial" w:cs="Arial"/>
          <w:sz w:val="24"/>
          <w:szCs w:val="24"/>
        </w:rPr>
        <w:t xml:space="preserve">makes this point clear in </w:t>
      </w:r>
      <w:r w:rsidR="007C25DD" w:rsidRPr="00050C9D">
        <w:rPr>
          <w:rFonts w:ascii="Arial" w:hAnsi="Arial" w:cs="Arial"/>
          <w:b/>
          <w:i/>
          <w:sz w:val="24"/>
          <w:szCs w:val="24"/>
        </w:rPr>
        <w:t xml:space="preserve">Boxer </w:t>
      </w:r>
      <w:r w:rsidR="00657248" w:rsidRPr="00050C9D">
        <w:rPr>
          <w:rFonts w:ascii="Arial" w:hAnsi="Arial" w:cs="Arial"/>
          <w:b/>
          <w:i/>
          <w:sz w:val="24"/>
          <w:szCs w:val="24"/>
        </w:rPr>
        <w:t>Superstores</w:t>
      </w:r>
      <w:r w:rsidR="007C25DD" w:rsidRPr="00AF1EA9">
        <w:rPr>
          <w:rFonts w:ascii="Arial" w:hAnsi="Arial" w:cs="Arial"/>
          <w:i/>
          <w:sz w:val="24"/>
          <w:szCs w:val="24"/>
        </w:rPr>
        <w:t xml:space="preserve"> </w:t>
      </w:r>
      <w:r w:rsidR="007C25DD" w:rsidRPr="00AF1EA9">
        <w:rPr>
          <w:rFonts w:ascii="Arial" w:hAnsi="Arial" w:cs="Arial"/>
          <w:b/>
          <w:i/>
          <w:sz w:val="24"/>
          <w:szCs w:val="24"/>
        </w:rPr>
        <w:t>Mthata v Mbenya [2007] 8 BLLR 693 (SCA)</w:t>
      </w:r>
      <w:r w:rsidR="007C25DD" w:rsidRPr="00AF1EA9">
        <w:rPr>
          <w:rFonts w:ascii="Arial" w:hAnsi="Arial" w:cs="Arial"/>
          <w:sz w:val="24"/>
          <w:szCs w:val="24"/>
        </w:rPr>
        <w:t xml:space="preserve"> when he says:-</w:t>
      </w:r>
    </w:p>
    <w:p w14:paraId="7A4A8943" w14:textId="1F94E62F" w:rsidR="00AD6F4A" w:rsidRPr="00AF1EA9" w:rsidRDefault="00AD6F4A" w:rsidP="00AF1EA9">
      <w:pPr>
        <w:spacing w:line="360" w:lineRule="auto"/>
        <w:ind w:left="2250" w:right="1710"/>
        <w:jc w:val="both"/>
        <w:rPr>
          <w:rFonts w:ascii="Arial" w:hAnsi="Arial" w:cs="Arial"/>
          <w:i/>
          <w:sz w:val="24"/>
          <w:szCs w:val="24"/>
        </w:rPr>
      </w:pPr>
      <w:r w:rsidRPr="00AF1EA9">
        <w:rPr>
          <w:rFonts w:ascii="Arial" w:hAnsi="Arial" w:cs="Arial"/>
          <w:i/>
          <w:sz w:val="24"/>
          <w:szCs w:val="24"/>
        </w:rPr>
        <w:t xml:space="preserve">“Section 157 does not purport to confer exclusive jurisdiction on the Labour Court generally in relation to matters concerning the relationship between employer and employee and since the LRA </w:t>
      </w:r>
      <w:r w:rsidR="005E504F" w:rsidRPr="00AF1EA9">
        <w:rPr>
          <w:rFonts w:ascii="Arial" w:hAnsi="Arial" w:cs="Arial"/>
          <w:i/>
          <w:sz w:val="24"/>
          <w:szCs w:val="24"/>
        </w:rPr>
        <w:t xml:space="preserve">affords the labour court no general jurisdiction in employment matters, the jurisdiction of the High Court is not ousted by Section 157(1) simply because </w:t>
      </w:r>
      <w:r w:rsidR="00606D67" w:rsidRPr="00AF1EA9">
        <w:rPr>
          <w:rFonts w:ascii="Arial" w:hAnsi="Arial" w:cs="Arial"/>
          <w:i/>
          <w:sz w:val="24"/>
          <w:szCs w:val="24"/>
        </w:rPr>
        <w:t>a dispute is one that falls within the overall sphere of employment relations</w:t>
      </w:r>
      <w:r w:rsidRPr="00AF1EA9">
        <w:rPr>
          <w:rFonts w:ascii="Arial" w:hAnsi="Arial" w:cs="Arial"/>
          <w:i/>
          <w:sz w:val="24"/>
          <w:szCs w:val="24"/>
        </w:rPr>
        <w:t>”</w:t>
      </w:r>
      <w:r w:rsidR="00606D67" w:rsidRPr="00AF1EA9">
        <w:rPr>
          <w:rFonts w:ascii="Arial" w:hAnsi="Arial" w:cs="Arial"/>
          <w:i/>
          <w:sz w:val="24"/>
          <w:szCs w:val="24"/>
        </w:rPr>
        <w:t xml:space="preserve">. </w:t>
      </w:r>
      <w:r w:rsidRPr="00AF1EA9">
        <w:rPr>
          <w:rFonts w:ascii="Arial" w:hAnsi="Arial" w:cs="Arial"/>
          <w:i/>
          <w:sz w:val="24"/>
          <w:szCs w:val="24"/>
        </w:rPr>
        <w:t xml:space="preserve"> </w:t>
      </w:r>
    </w:p>
    <w:p w14:paraId="2E4F6221" w14:textId="6085B1BE" w:rsidR="006F5E5B" w:rsidRPr="00AF1EA9" w:rsidRDefault="006F5E5B" w:rsidP="00AF1EA9">
      <w:pPr>
        <w:spacing w:line="360" w:lineRule="auto"/>
        <w:ind w:left="2250" w:right="1710"/>
        <w:jc w:val="both"/>
        <w:rPr>
          <w:rFonts w:ascii="Arial" w:hAnsi="Arial" w:cs="Arial"/>
          <w:sz w:val="24"/>
          <w:szCs w:val="24"/>
        </w:rPr>
      </w:pPr>
      <w:r w:rsidRPr="00AF1EA9">
        <w:rPr>
          <w:rFonts w:ascii="Arial" w:hAnsi="Arial" w:cs="Arial"/>
          <w:sz w:val="24"/>
          <w:szCs w:val="24"/>
        </w:rPr>
        <w:t>The LRA</w:t>
      </w:r>
      <w:r w:rsidR="00E434FB">
        <w:rPr>
          <w:rFonts w:ascii="Arial" w:hAnsi="Arial" w:cs="Arial"/>
          <w:sz w:val="24"/>
          <w:szCs w:val="24"/>
        </w:rPr>
        <w:t>’s remedies against condu</w:t>
      </w:r>
      <w:r w:rsidR="00BE6915">
        <w:rPr>
          <w:rFonts w:ascii="Arial" w:hAnsi="Arial" w:cs="Arial"/>
          <w:sz w:val="24"/>
          <w:szCs w:val="24"/>
        </w:rPr>
        <w:t>c</w:t>
      </w:r>
      <w:r w:rsidR="004D0C6A" w:rsidRPr="00AF1EA9">
        <w:rPr>
          <w:rFonts w:ascii="Arial" w:hAnsi="Arial" w:cs="Arial"/>
          <w:sz w:val="24"/>
          <w:szCs w:val="24"/>
        </w:rPr>
        <w:t>t that</w:t>
      </w:r>
      <w:r w:rsidRPr="00AF1EA9">
        <w:rPr>
          <w:rFonts w:ascii="Arial" w:hAnsi="Arial" w:cs="Arial"/>
          <w:sz w:val="24"/>
          <w:szCs w:val="24"/>
        </w:rPr>
        <w:t xml:space="preserve"> may constitute an unfair labour practice are not exhaustive </w:t>
      </w:r>
      <w:r w:rsidR="00B30BDE" w:rsidRPr="00AF1EA9">
        <w:rPr>
          <w:rFonts w:ascii="Arial" w:hAnsi="Arial" w:cs="Arial"/>
          <w:sz w:val="24"/>
          <w:szCs w:val="24"/>
        </w:rPr>
        <w:t>of the remedies that may be available to employees in the course of the employment relationship-particular conduct may not only cons</w:t>
      </w:r>
      <w:r w:rsidR="00C00312" w:rsidRPr="00AF1EA9">
        <w:rPr>
          <w:rFonts w:ascii="Arial" w:hAnsi="Arial" w:cs="Arial"/>
          <w:sz w:val="24"/>
          <w:szCs w:val="24"/>
        </w:rPr>
        <w:t xml:space="preserve">titute an unfair labour practice (against which the LRA gives a specific </w:t>
      </w:r>
      <w:r w:rsidR="0073490C" w:rsidRPr="00AF1EA9">
        <w:rPr>
          <w:rFonts w:ascii="Arial" w:hAnsi="Arial" w:cs="Arial"/>
          <w:sz w:val="24"/>
          <w:szCs w:val="24"/>
        </w:rPr>
        <w:t>remedy</w:t>
      </w:r>
      <w:r w:rsidR="00C00312" w:rsidRPr="00AF1EA9">
        <w:rPr>
          <w:rFonts w:ascii="Arial" w:hAnsi="Arial" w:cs="Arial"/>
          <w:sz w:val="24"/>
          <w:szCs w:val="24"/>
        </w:rPr>
        <w:t>)</w:t>
      </w:r>
      <w:r w:rsidR="0073490C" w:rsidRPr="00AF1EA9">
        <w:rPr>
          <w:rFonts w:ascii="Arial" w:hAnsi="Arial" w:cs="Arial"/>
          <w:sz w:val="24"/>
          <w:szCs w:val="24"/>
        </w:rPr>
        <w:t xml:space="preserve"> but may give rise to other </w:t>
      </w:r>
      <w:r w:rsidR="00531CD6" w:rsidRPr="00AF1EA9">
        <w:rPr>
          <w:rFonts w:ascii="Arial" w:hAnsi="Arial" w:cs="Arial"/>
          <w:sz w:val="24"/>
          <w:szCs w:val="24"/>
        </w:rPr>
        <w:t xml:space="preserve">rights of action: </w:t>
      </w:r>
      <w:r w:rsidR="006E174B" w:rsidRPr="00AF1EA9">
        <w:rPr>
          <w:rFonts w:ascii="Arial" w:hAnsi="Arial" w:cs="Arial"/>
          <w:sz w:val="24"/>
          <w:szCs w:val="24"/>
        </w:rPr>
        <w:t xml:space="preserve">provided the employee’s claim as formulated does not purport to be one that falls within the </w:t>
      </w:r>
      <w:r w:rsidR="0032569C" w:rsidRPr="00AF1EA9">
        <w:rPr>
          <w:rFonts w:ascii="Arial" w:hAnsi="Arial" w:cs="Arial"/>
          <w:sz w:val="24"/>
          <w:szCs w:val="24"/>
        </w:rPr>
        <w:t>ex</w:t>
      </w:r>
      <w:r w:rsidR="0041005C" w:rsidRPr="00AF1EA9">
        <w:rPr>
          <w:rFonts w:ascii="Arial" w:hAnsi="Arial" w:cs="Arial"/>
          <w:sz w:val="24"/>
          <w:szCs w:val="24"/>
        </w:rPr>
        <w:t>clusive jurisdiction of the Labour Court</w:t>
      </w:r>
      <w:r w:rsidR="00E73D87" w:rsidRPr="00AF1EA9">
        <w:rPr>
          <w:rFonts w:ascii="Arial" w:hAnsi="Arial" w:cs="Arial"/>
          <w:sz w:val="24"/>
          <w:szCs w:val="24"/>
        </w:rPr>
        <w:t xml:space="preserve">, the High Court has jurisdiction even if the claim could also have been formulated as an unfair labour practice. </w:t>
      </w:r>
      <w:r w:rsidR="0041005C" w:rsidRPr="00AF1EA9">
        <w:rPr>
          <w:rFonts w:ascii="Arial" w:hAnsi="Arial" w:cs="Arial"/>
          <w:sz w:val="24"/>
          <w:szCs w:val="24"/>
        </w:rPr>
        <w:t xml:space="preserve"> </w:t>
      </w:r>
      <w:r w:rsidR="0073490C" w:rsidRPr="00AF1EA9">
        <w:rPr>
          <w:rFonts w:ascii="Arial" w:hAnsi="Arial" w:cs="Arial"/>
          <w:sz w:val="24"/>
          <w:szCs w:val="24"/>
        </w:rPr>
        <w:t xml:space="preserve"> </w:t>
      </w:r>
      <w:r w:rsidR="00C00312" w:rsidRPr="00AF1EA9">
        <w:rPr>
          <w:rFonts w:ascii="Arial" w:hAnsi="Arial" w:cs="Arial"/>
          <w:sz w:val="24"/>
          <w:szCs w:val="24"/>
        </w:rPr>
        <w:t xml:space="preserve"> </w:t>
      </w:r>
    </w:p>
    <w:p w14:paraId="79481EDA" w14:textId="7FD5B837" w:rsidR="0084556F" w:rsidRPr="00AF1EA9" w:rsidRDefault="00617FF1" w:rsidP="00AF1EA9">
      <w:pPr>
        <w:spacing w:line="360" w:lineRule="auto"/>
        <w:ind w:left="720" w:hanging="720"/>
        <w:jc w:val="both"/>
        <w:rPr>
          <w:rFonts w:ascii="Arial" w:hAnsi="Arial" w:cs="Arial"/>
          <w:i/>
          <w:sz w:val="24"/>
          <w:szCs w:val="24"/>
        </w:rPr>
      </w:pPr>
      <w:r w:rsidRPr="00AF1EA9">
        <w:rPr>
          <w:rFonts w:ascii="Arial" w:hAnsi="Arial" w:cs="Arial"/>
          <w:sz w:val="24"/>
          <w:szCs w:val="24"/>
        </w:rPr>
        <w:t>[</w:t>
      </w:r>
      <w:r w:rsidR="007640A6" w:rsidRPr="00AF1EA9">
        <w:rPr>
          <w:rFonts w:ascii="Arial" w:hAnsi="Arial" w:cs="Arial"/>
          <w:sz w:val="24"/>
          <w:szCs w:val="24"/>
        </w:rPr>
        <w:t>20</w:t>
      </w:r>
      <w:r w:rsidR="00A75C43" w:rsidRPr="00AF1EA9">
        <w:rPr>
          <w:rFonts w:ascii="Arial" w:hAnsi="Arial" w:cs="Arial"/>
          <w:sz w:val="24"/>
          <w:szCs w:val="24"/>
        </w:rPr>
        <w:t>]</w:t>
      </w:r>
      <w:r w:rsidR="00A75C43" w:rsidRPr="00AF1EA9">
        <w:rPr>
          <w:rFonts w:ascii="Arial" w:hAnsi="Arial" w:cs="Arial"/>
          <w:sz w:val="24"/>
          <w:szCs w:val="24"/>
        </w:rPr>
        <w:tab/>
        <w:t>T</w:t>
      </w:r>
      <w:r w:rsidRPr="00AF1EA9">
        <w:rPr>
          <w:rFonts w:ascii="Arial" w:hAnsi="Arial" w:cs="Arial"/>
          <w:sz w:val="24"/>
          <w:szCs w:val="24"/>
        </w:rPr>
        <w:t xml:space="preserve">he correctness of this position was acknowledged by Skweyiya J in </w:t>
      </w:r>
      <w:r w:rsidRPr="00AF1EA9">
        <w:rPr>
          <w:rFonts w:ascii="Arial" w:hAnsi="Arial" w:cs="Arial"/>
          <w:i/>
          <w:sz w:val="24"/>
          <w:szCs w:val="24"/>
        </w:rPr>
        <w:t>Chirwa</w:t>
      </w:r>
      <w:r w:rsidRPr="00AF1EA9">
        <w:rPr>
          <w:rFonts w:ascii="Arial" w:hAnsi="Arial" w:cs="Arial"/>
          <w:sz w:val="24"/>
          <w:szCs w:val="24"/>
        </w:rPr>
        <w:t xml:space="preserve"> s</w:t>
      </w:r>
      <w:r w:rsidR="00A75C43" w:rsidRPr="00AF1EA9">
        <w:rPr>
          <w:rFonts w:ascii="Arial" w:hAnsi="Arial" w:cs="Arial"/>
          <w:sz w:val="24"/>
          <w:szCs w:val="24"/>
        </w:rPr>
        <w:t>u</w:t>
      </w:r>
      <w:r w:rsidRPr="00AF1EA9">
        <w:rPr>
          <w:rFonts w:ascii="Arial" w:hAnsi="Arial" w:cs="Arial"/>
          <w:sz w:val="24"/>
          <w:szCs w:val="24"/>
        </w:rPr>
        <w:t>pra with particular reference to public sector employees such as the Applicants whe</w:t>
      </w:r>
      <w:r w:rsidR="0084556F" w:rsidRPr="00AF1EA9">
        <w:rPr>
          <w:rFonts w:ascii="Arial" w:hAnsi="Arial" w:cs="Arial"/>
          <w:sz w:val="24"/>
          <w:szCs w:val="24"/>
        </w:rPr>
        <w:t>n</w:t>
      </w:r>
      <w:r w:rsidRPr="00AF1EA9">
        <w:rPr>
          <w:rFonts w:ascii="Arial" w:hAnsi="Arial" w:cs="Arial"/>
          <w:sz w:val="24"/>
          <w:szCs w:val="24"/>
        </w:rPr>
        <w:t xml:space="preserve"> he said</w:t>
      </w:r>
      <w:r w:rsidRPr="00AF1EA9">
        <w:rPr>
          <w:rFonts w:ascii="Arial" w:hAnsi="Arial" w:cs="Arial"/>
          <w:i/>
          <w:sz w:val="24"/>
          <w:szCs w:val="24"/>
        </w:rPr>
        <w:t>:-</w:t>
      </w:r>
      <w:r w:rsidR="00A75C43" w:rsidRPr="00AF1EA9">
        <w:rPr>
          <w:rFonts w:ascii="Arial" w:hAnsi="Arial" w:cs="Arial"/>
          <w:i/>
          <w:sz w:val="24"/>
          <w:szCs w:val="24"/>
        </w:rPr>
        <w:t xml:space="preserve"> “</w:t>
      </w:r>
      <w:r w:rsidR="0084556F" w:rsidRPr="00AF1EA9">
        <w:rPr>
          <w:rFonts w:ascii="Arial" w:hAnsi="Arial" w:cs="Arial"/>
          <w:i/>
          <w:sz w:val="24"/>
          <w:szCs w:val="24"/>
        </w:rPr>
        <w:t>The provision</w:t>
      </w:r>
      <w:r w:rsidR="00D24A45">
        <w:rPr>
          <w:rFonts w:ascii="Arial" w:hAnsi="Arial" w:cs="Arial"/>
          <w:i/>
          <w:sz w:val="24"/>
          <w:szCs w:val="24"/>
        </w:rPr>
        <w:t>s</w:t>
      </w:r>
      <w:r w:rsidR="0084556F" w:rsidRPr="00AF1EA9">
        <w:rPr>
          <w:rFonts w:ascii="Arial" w:hAnsi="Arial" w:cs="Arial"/>
          <w:i/>
          <w:sz w:val="24"/>
          <w:szCs w:val="24"/>
        </w:rPr>
        <w:t xml:space="preserve"> of Section 157(2) of LRA has resulted in</w:t>
      </w:r>
      <w:r w:rsidR="00392987" w:rsidRPr="00AF1EA9">
        <w:rPr>
          <w:rFonts w:ascii="Arial" w:hAnsi="Arial" w:cs="Arial"/>
          <w:i/>
          <w:sz w:val="24"/>
          <w:szCs w:val="24"/>
        </w:rPr>
        <w:t xml:space="preserve"> complex jurisdictional disputes insofar as determining where the </w:t>
      </w:r>
      <w:r w:rsidR="0084556F" w:rsidRPr="00AF1EA9">
        <w:rPr>
          <w:rFonts w:ascii="Arial" w:hAnsi="Arial" w:cs="Arial"/>
          <w:i/>
          <w:sz w:val="24"/>
          <w:szCs w:val="24"/>
        </w:rPr>
        <w:t xml:space="preserve"> </w:t>
      </w:r>
      <w:r w:rsidR="00392987" w:rsidRPr="00AF1EA9">
        <w:rPr>
          <w:rFonts w:ascii="Arial" w:hAnsi="Arial" w:cs="Arial"/>
          <w:i/>
          <w:sz w:val="24"/>
          <w:szCs w:val="24"/>
        </w:rPr>
        <w:t>jurisdictio</w:t>
      </w:r>
      <w:r w:rsidR="00711540" w:rsidRPr="00AF1EA9">
        <w:rPr>
          <w:rFonts w:ascii="Arial" w:hAnsi="Arial" w:cs="Arial"/>
          <w:i/>
          <w:sz w:val="24"/>
          <w:szCs w:val="24"/>
        </w:rPr>
        <w:t>n of the Labour Court ends and that of the  High Court begins</w:t>
      </w:r>
      <w:r w:rsidR="00520861" w:rsidRPr="00AF1EA9">
        <w:rPr>
          <w:rFonts w:ascii="Arial" w:hAnsi="Arial" w:cs="Arial"/>
          <w:i/>
          <w:sz w:val="24"/>
          <w:szCs w:val="24"/>
        </w:rPr>
        <w:t xml:space="preserve">…….. To the extent that PAJA and the LRA overlap in </w:t>
      </w:r>
      <w:r w:rsidR="005756FE" w:rsidRPr="00AF1EA9">
        <w:rPr>
          <w:rFonts w:ascii="Arial" w:hAnsi="Arial" w:cs="Arial"/>
          <w:i/>
          <w:sz w:val="24"/>
          <w:szCs w:val="24"/>
        </w:rPr>
        <w:t xml:space="preserve">providing public sector </w:t>
      </w:r>
      <w:r w:rsidR="00061603" w:rsidRPr="00AF1EA9">
        <w:rPr>
          <w:rFonts w:ascii="Arial" w:hAnsi="Arial" w:cs="Arial"/>
          <w:i/>
          <w:sz w:val="24"/>
          <w:szCs w:val="24"/>
        </w:rPr>
        <w:t>employees</w:t>
      </w:r>
      <w:r w:rsidR="005756FE" w:rsidRPr="00AF1EA9">
        <w:rPr>
          <w:rFonts w:ascii="Arial" w:hAnsi="Arial" w:cs="Arial"/>
          <w:i/>
          <w:sz w:val="24"/>
          <w:szCs w:val="24"/>
        </w:rPr>
        <w:t xml:space="preserve"> with remedies </w:t>
      </w:r>
      <w:r w:rsidR="00061603" w:rsidRPr="00AF1EA9">
        <w:rPr>
          <w:rFonts w:ascii="Arial" w:hAnsi="Arial" w:cs="Arial"/>
          <w:i/>
          <w:sz w:val="24"/>
          <w:szCs w:val="24"/>
        </w:rPr>
        <w:t xml:space="preserve">for labour- related issues, there is an urgent need to revisit the </w:t>
      </w:r>
      <w:r w:rsidR="00982C02" w:rsidRPr="00AF1EA9">
        <w:rPr>
          <w:rFonts w:ascii="Arial" w:hAnsi="Arial" w:cs="Arial"/>
          <w:i/>
          <w:sz w:val="24"/>
          <w:szCs w:val="24"/>
        </w:rPr>
        <w:t>p</w:t>
      </w:r>
      <w:r w:rsidR="00BE5651" w:rsidRPr="00AF1EA9">
        <w:rPr>
          <w:rFonts w:ascii="Arial" w:hAnsi="Arial" w:cs="Arial"/>
          <w:i/>
          <w:sz w:val="24"/>
          <w:szCs w:val="24"/>
        </w:rPr>
        <w:t>rovision</w:t>
      </w:r>
      <w:r w:rsidR="00982C02" w:rsidRPr="00AF1EA9">
        <w:rPr>
          <w:rFonts w:ascii="Arial" w:hAnsi="Arial" w:cs="Arial"/>
          <w:i/>
          <w:sz w:val="24"/>
          <w:szCs w:val="24"/>
        </w:rPr>
        <w:t>s of s</w:t>
      </w:r>
      <w:r w:rsidR="00BE5651" w:rsidRPr="00AF1EA9">
        <w:rPr>
          <w:rFonts w:ascii="Arial" w:hAnsi="Arial" w:cs="Arial"/>
          <w:i/>
          <w:sz w:val="24"/>
          <w:szCs w:val="24"/>
        </w:rPr>
        <w:t xml:space="preserve">ection 157(2) of LRA to ensure development of a coherent legal framework within which all </w:t>
      </w:r>
      <w:r w:rsidR="006B0ACD" w:rsidRPr="00AF1EA9">
        <w:rPr>
          <w:rFonts w:ascii="Arial" w:hAnsi="Arial" w:cs="Arial"/>
          <w:i/>
          <w:sz w:val="24"/>
          <w:szCs w:val="24"/>
        </w:rPr>
        <w:t xml:space="preserve">labour </w:t>
      </w:r>
      <w:r w:rsidR="00B2420F" w:rsidRPr="00AF1EA9">
        <w:rPr>
          <w:rFonts w:ascii="Arial" w:hAnsi="Arial" w:cs="Arial"/>
          <w:i/>
          <w:sz w:val="24"/>
          <w:szCs w:val="24"/>
        </w:rPr>
        <w:t>disputes</w:t>
      </w:r>
      <w:r w:rsidR="006B0ACD" w:rsidRPr="00AF1EA9">
        <w:rPr>
          <w:rFonts w:ascii="Arial" w:hAnsi="Arial" w:cs="Arial"/>
          <w:i/>
          <w:sz w:val="24"/>
          <w:szCs w:val="24"/>
        </w:rPr>
        <w:t xml:space="preserve"> may be speedily resolved</w:t>
      </w:r>
      <w:r w:rsidR="002A5282">
        <w:rPr>
          <w:rFonts w:ascii="Arial" w:hAnsi="Arial" w:cs="Arial"/>
          <w:i/>
          <w:sz w:val="24"/>
          <w:szCs w:val="24"/>
        </w:rPr>
        <w:t>.”</w:t>
      </w:r>
      <w:r w:rsidR="006B0ACD" w:rsidRPr="00AF1EA9">
        <w:rPr>
          <w:rFonts w:ascii="Arial" w:hAnsi="Arial" w:cs="Arial"/>
          <w:i/>
          <w:sz w:val="24"/>
          <w:szCs w:val="24"/>
        </w:rPr>
        <w:t xml:space="preserve"> (para 70-71)</w:t>
      </w:r>
      <w:r w:rsidR="002A5282">
        <w:rPr>
          <w:rFonts w:ascii="Arial" w:hAnsi="Arial" w:cs="Arial"/>
          <w:i/>
          <w:sz w:val="24"/>
          <w:szCs w:val="24"/>
        </w:rPr>
        <w:t>.</w:t>
      </w:r>
      <w:r w:rsidR="00982C02" w:rsidRPr="00AF1EA9">
        <w:rPr>
          <w:rFonts w:ascii="Arial" w:hAnsi="Arial" w:cs="Arial"/>
          <w:i/>
          <w:sz w:val="24"/>
          <w:szCs w:val="24"/>
        </w:rPr>
        <w:t xml:space="preserve"> </w:t>
      </w:r>
      <w:r w:rsidR="00982C02" w:rsidRPr="00AF1EA9">
        <w:rPr>
          <w:rFonts w:ascii="Arial" w:hAnsi="Arial" w:cs="Arial"/>
          <w:sz w:val="24"/>
          <w:szCs w:val="24"/>
        </w:rPr>
        <w:t>The legislature has not yet done so and the two courts still enjoy concurrent jurisdiction.</w:t>
      </w:r>
    </w:p>
    <w:p w14:paraId="1EC5257B" w14:textId="0C3B9496" w:rsidR="006B0ACD" w:rsidRPr="00AF1EA9" w:rsidRDefault="006B0ACD" w:rsidP="00AF1EA9">
      <w:pPr>
        <w:spacing w:line="360" w:lineRule="auto"/>
        <w:ind w:left="720"/>
        <w:jc w:val="both"/>
        <w:rPr>
          <w:rFonts w:ascii="Arial" w:hAnsi="Arial" w:cs="Arial"/>
          <w:sz w:val="24"/>
          <w:szCs w:val="24"/>
        </w:rPr>
      </w:pPr>
    </w:p>
    <w:p w14:paraId="4504A680" w14:textId="25130A3E" w:rsidR="000C31D0" w:rsidRPr="00AF1EA9" w:rsidRDefault="006B0ACD" w:rsidP="00AF1EA9">
      <w:pPr>
        <w:spacing w:line="360" w:lineRule="auto"/>
        <w:ind w:left="720" w:hanging="810"/>
        <w:jc w:val="both"/>
        <w:rPr>
          <w:rFonts w:ascii="Arial" w:hAnsi="Arial" w:cs="Arial"/>
          <w:i/>
          <w:sz w:val="24"/>
          <w:szCs w:val="24"/>
        </w:rPr>
      </w:pPr>
      <w:r w:rsidRPr="00AF1EA9">
        <w:rPr>
          <w:rFonts w:ascii="Arial" w:hAnsi="Arial" w:cs="Arial"/>
          <w:sz w:val="24"/>
          <w:szCs w:val="24"/>
        </w:rPr>
        <w:t>[21]</w:t>
      </w:r>
      <w:r w:rsidRPr="00AF1EA9">
        <w:rPr>
          <w:rFonts w:ascii="Arial" w:hAnsi="Arial" w:cs="Arial"/>
          <w:sz w:val="24"/>
          <w:szCs w:val="24"/>
        </w:rPr>
        <w:tab/>
        <w:t xml:space="preserve">In </w:t>
      </w:r>
      <w:r w:rsidR="00206A2A" w:rsidRPr="00AF1EA9">
        <w:rPr>
          <w:rFonts w:ascii="Arial" w:hAnsi="Arial" w:cs="Arial"/>
          <w:sz w:val="24"/>
          <w:szCs w:val="24"/>
        </w:rPr>
        <w:t>the recent judgment of the constitutional court on this issue</w:t>
      </w:r>
      <w:r w:rsidR="005B65BD" w:rsidRPr="00AF1EA9">
        <w:rPr>
          <w:rFonts w:ascii="Arial" w:hAnsi="Arial" w:cs="Arial"/>
          <w:sz w:val="24"/>
          <w:szCs w:val="24"/>
        </w:rPr>
        <w:t>, Theron J writing for the cour</w:t>
      </w:r>
      <w:r w:rsidR="00B15A19" w:rsidRPr="00AF1EA9">
        <w:rPr>
          <w:rFonts w:ascii="Arial" w:hAnsi="Arial" w:cs="Arial"/>
          <w:sz w:val="24"/>
          <w:szCs w:val="24"/>
        </w:rPr>
        <w:t>t</w:t>
      </w:r>
      <w:r w:rsidR="005B65BD" w:rsidRPr="00AF1EA9">
        <w:rPr>
          <w:rFonts w:ascii="Arial" w:hAnsi="Arial" w:cs="Arial"/>
          <w:sz w:val="24"/>
          <w:szCs w:val="24"/>
        </w:rPr>
        <w:t xml:space="preserve"> in the matter of </w:t>
      </w:r>
      <w:r w:rsidR="005B65BD" w:rsidRPr="00AF1EA9">
        <w:rPr>
          <w:rFonts w:ascii="Arial" w:hAnsi="Arial" w:cs="Arial"/>
          <w:b/>
          <w:i/>
          <w:sz w:val="24"/>
          <w:szCs w:val="24"/>
        </w:rPr>
        <w:t xml:space="preserve">Baloyi v Public Protector [2021] </w:t>
      </w:r>
      <w:r w:rsidR="009514F1" w:rsidRPr="00AF1EA9">
        <w:rPr>
          <w:rFonts w:ascii="Arial" w:hAnsi="Arial" w:cs="Arial"/>
          <w:b/>
          <w:i/>
          <w:sz w:val="24"/>
          <w:szCs w:val="24"/>
        </w:rPr>
        <w:t>42 ILJ 961(CC)</w:t>
      </w:r>
      <w:r w:rsidR="009514F1" w:rsidRPr="00AF1EA9">
        <w:rPr>
          <w:rFonts w:ascii="Arial" w:hAnsi="Arial" w:cs="Arial"/>
          <w:sz w:val="24"/>
          <w:szCs w:val="24"/>
        </w:rPr>
        <w:t xml:space="preserve"> </w:t>
      </w:r>
      <w:r w:rsidR="00190E15" w:rsidRPr="00AF1EA9">
        <w:rPr>
          <w:rFonts w:ascii="Arial" w:hAnsi="Arial" w:cs="Arial"/>
          <w:sz w:val="24"/>
          <w:szCs w:val="24"/>
        </w:rPr>
        <w:t xml:space="preserve">underscored this point when she said:- “it is trite that the same set of facts may give rise to several </w:t>
      </w:r>
      <w:r w:rsidR="007C5C96" w:rsidRPr="00AF1EA9">
        <w:rPr>
          <w:rFonts w:ascii="Arial" w:hAnsi="Arial" w:cs="Arial"/>
          <w:sz w:val="24"/>
          <w:szCs w:val="24"/>
        </w:rPr>
        <w:t>different causes of action. In</w:t>
      </w:r>
      <w:r w:rsidR="00D24A45">
        <w:rPr>
          <w:rFonts w:ascii="Arial" w:hAnsi="Arial" w:cs="Arial"/>
          <w:sz w:val="24"/>
          <w:szCs w:val="24"/>
        </w:rPr>
        <w:t xml:space="preserve"> some instances</w:t>
      </w:r>
      <w:r w:rsidR="007C5C96" w:rsidRPr="00AF1EA9">
        <w:rPr>
          <w:rFonts w:ascii="Arial" w:hAnsi="Arial" w:cs="Arial"/>
          <w:sz w:val="24"/>
          <w:szCs w:val="24"/>
        </w:rPr>
        <w:t>, the forum in which a particular cause of action may be pursued is prescribed in terms of legislation</w:t>
      </w:r>
      <w:r w:rsidR="007C5C96" w:rsidRPr="00AF1EA9">
        <w:rPr>
          <w:rFonts w:ascii="Arial" w:hAnsi="Arial" w:cs="Arial"/>
          <w:i/>
          <w:sz w:val="24"/>
          <w:szCs w:val="24"/>
        </w:rPr>
        <w:t>. In the labour law context where more than one potential cause of action a</w:t>
      </w:r>
      <w:r w:rsidR="00D24A45">
        <w:rPr>
          <w:rFonts w:ascii="Arial" w:hAnsi="Arial" w:cs="Arial"/>
          <w:i/>
          <w:sz w:val="24"/>
          <w:szCs w:val="24"/>
        </w:rPr>
        <w:t>rises as a result of a dismissal</w:t>
      </w:r>
      <w:r w:rsidR="007C5C96" w:rsidRPr="00AF1EA9">
        <w:rPr>
          <w:rFonts w:ascii="Arial" w:hAnsi="Arial" w:cs="Arial"/>
          <w:i/>
          <w:sz w:val="24"/>
          <w:szCs w:val="24"/>
        </w:rPr>
        <w:t xml:space="preserve"> dispute, a litigant must choose the cause of action she wishes to pursue and prepare her pleadings accordingly. Where a</w:t>
      </w:r>
      <w:r w:rsidR="00D24A45">
        <w:rPr>
          <w:rFonts w:ascii="Arial" w:hAnsi="Arial" w:cs="Arial"/>
          <w:i/>
          <w:sz w:val="24"/>
          <w:szCs w:val="24"/>
        </w:rPr>
        <w:t xml:space="preserve"> litigant is required to bring a</w:t>
      </w:r>
      <w:r w:rsidR="007C5C96" w:rsidRPr="00AF1EA9">
        <w:rPr>
          <w:rFonts w:ascii="Arial" w:hAnsi="Arial" w:cs="Arial"/>
          <w:i/>
          <w:sz w:val="24"/>
          <w:szCs w:val="24"/>
        </w:rPr>
        <w:t xml:space="preserve"> certain cause of action before a specifically competent forum, it does not follow that they are bound to pursue a claim under that cause of action simply because it is possible to do so. </w:t>
      </w:r>
    </w:p>
    <w:p w14:paraId="4760AFAF" w14:textId="5D21B80B" w:rsidR="00C37B92" w:rsidRPr="00AF1EA9" w:rsidRDefault="007C5C96" w:rsidP="00AF1EA9">
      <w:pPr>
        <w:spacing w:line="360" w:lineRule="auto"/>
        <w:ind w:left="720"/>
        <w:jc w:val="both"/>
        <w:rPr>
          <w:rFonts w:ascii="Arial" w:hAnsi="Arial" w:cs="Arial"/>
          <w:sz w:val="24"/>
          <w:szCs w:val="24"/>
        </w:rPr>
      </w:pPr>
      <w:r w:rsidRPr="00AF1EA9">
        <w:rPr>
          <w:rFonts w:ascii="Arial" w:hAnsi="Arial" w:cs="Arial"/>
          <w:i/>
          <w:sz w:val="24"/>
          <w:szCs w:val="24"/>
        </w:rPr>
        <w:t xml:space="preserve">Put differently, the fact that cause of action is limited to certain </w:t>
      </w:r>
      <w:r w:rsidR="002A5282">
        <w:rPr>
          <w:rFonts w:ascii="Arial" w:hAnsi="Arial" w:cs="Arial"/>
          <w:i/>
          <w:sz w:val="24"/>
          <w:szCs w:val="24"/>
        </w:rPr>
        <w:t>for</w:t>
      </w:r>
      <w:r w:rsidR="00D24A45">
        <w:rPr>
          <w:rFonts w:ascii="Arial" w:hAnsi="Arial" w:cs="Arial"/>
          <w:i/>
          <w:sz w:val="24"/>
          <w:szCs w:val="24"/>
        </w:rPr>
        <w:t xml:space="preserve">a </w:t>
      </w:r>
      <w:r w:rsidR="002A5282">
        <w:rPr>
          <w:rFonts w:ascii="Arial" w:hAnsi="Arial" w:cs="Arial"/>
          <w:i/>
          <w:sz w:val="24"/>
          <w:szCs w:val="24"/>
        </w:rPr>
        <w:t xml:space="preserve"> must not be interpreted as</w:t>
      </w:r>
      <w:r w:rsidRPr="00AF1EA9">
        <w:rPr>
          <w:rFonts w:ascii="Arial" w:hAnsi="Arial" w:cs="Arial"/>
          <w:i/>
          <w:sz w:val="24"/>
          <w:szCs w:val="24"/>
        </w:rPr>
        <w:t xml:space="preserve"> obliging an applicant only to pursue that particular cause of action”.</w:t>
      </w:r>
      <w:r w:rsidR="005649F4" w:rsidRPr="00AF1EA9">
        <w:rPr>
          <w:rFonts w:ascii="Arial" w:hAnsi="Arial" w:cs="Arial"/>
          <w:i/>
          <w:sz w:val="24"/>
          <w:szCs w:val="24"/>
        </w:rPr>
        <w:t xml:space="preserve"> </w:t>
      </w:r>
      <w:r w:rsidR="005649F4" w:rsidRPr="00145B57">
        <w:rPr>
          <w:rFonts w:ascii="Arial" w:hAnsi="Arial" w:cs="Arial"/>
          <w:sz w:val="24"/>
          <w:szCs w:val="24"/>
        </w:rPr>
        <w:t xml:space="preserve">She stated </w:t>
      </w:r>
      <w:r w:rsidR="00914000" w:rsidRPr="00145B57">
        <w:rPr>
          <w:rFonts w:ascii="Arial" w:hAnsi="Arial" w:cs="Arial"/>
          <w:sz w:val="24"/>
          <w:szCs w:val="24"/>
        </w:rPr>
        <w:t xml:space="preserve">as a matter of fact at paragraph 45 that </w:t>
      </w:r>
      <w:r w:rsidR="00914000" w:rsidRPr="00AF1EA9">
        <w:rPr>
          <w:rFonts w:ascii="Arial" w:hAnsi="Arial" w:cs="Arial"/>
          <w:i/>
          <w:sz w:val="24"/>
          <w:szCs w:val="24"/>
        </w:rPr>
        <w:t xml:space="preserve">“the mere fact </w:t>
      </w:r>
      <w:r w:rsidR="008D06A1" w:rsidRPr="00AF1EA9">
        <w:rPr>
          <w:rFonts w:ascii="Arial" w:hAnsi="Arial" w:cs="Arial"/>
          <w:i/>
          <w:sz w:val="24"/>
          <w:szCs w:val="24"/>
        </w:rPr>
        <w:t>t</w:t>
      </w:r>
      <w:r w:rsidR="00914000" w:rsidRPr="00AF1EA9">
        <w:rPr>
          <w:rFonts w:ascii="Arial" w:hAnsi="Arial" w:cs="Arial"/>
          <w:i/>
          <w:sz w:val="24"/>
          <w:szCs w:val="24"/>
        </w:rPr>
        <w:t xml:space="preserve">hat a dispute is located in the realm of labour and employment does not </w:t>
      </w:r>
      <w:r w:rsidR="00B2420F" w:rsidRPr="00AF1EA9">
        <w:rPr>
          <w:rFonts w:ascii="Arial" w:hAnsi="Arial" w:cs="Arial"/>
          <w:i/>
          <w:sz w:val="24"/>
          <w:szCs w:val="24"/>
        </w:rPr>
        <w:t>exclude</w:t>
      </w:r>
      <w:r w:rsidR="00914000" w:rsidRPr="00AF1EA9">
        <w:rPr>
          <w:rFonts w:ascii="Arial" w:hAnsi="Arial" w:cs="Arial"/>
          <w:i/>
          <w:sz w:val="24"/>
          <w:szCs w:val="24"/>
        </w:rPr>
        <w:t xml:space="preserve"> the jurisdiction of the </w:t>
      </w:r>
      <w:r w:rsidR="00B2420F" w:rsidRPr="00AF1EA9">
        <w:rPr>
          <w:rFonts w:ascii="Arial" w:hAnsi="Arial" w:cs="Arial"/>
          <w:i/>
          <w:sz w:val="24"/>
          <w:szCs w:val="24"/>
        </w:rPr>
        <w:t>High Court</w:t>
      </w:r>
      <w:r w:rsidR="00145B57">
        <w:rPr>
          <w:rFonts w:ascii="Arial" w:hAnsi="Arial" w:cs="Arial"/>
          <w:i/>
          <w:sz w:val="24"/>
          <w:szCs w:val="24"/>
        </w:rPr>
        <w:t>”</w:t>
      </w:r>
      <w:r w:rsidR="00206A2A" w:rsidRPr="00AF1EA9">
        <w:rPr>
          <w:rFonts w:ascii="Arial" w:hAnsi="Arial" w:cs="Arial"/>
          <w:i/>
          <w:sz w:val="24"/>
          <w:szCs w:val="24"/>
        </w:rPr>
        <w:t>.</w:t>
      </w:r>
      <w:r w:rsidR="00B2420F" w:rsidRPr="00AF1EA9">
        <w:rPr>
          <w:rFonts w:ascii="Arial" w:hAnsi="Arial" w:cs="Arial"/>
          <w:i/>
          <w:sz w:val="24"/>
          <w:szCs w:val="24"/>
        </w:rPr>
        <w:t xml:space="preserve"> </w:t>
      </w:r>
      <w:r w:rsidR="00B2420F" w:rsidRPr="00145B57">
        <w:rPr>
          <w:rFonts w:ascii="Arial" w:hAnsi="Arial" w:cs="Arial"/>
          <w:sz w:val="24"/>
          <w:szCs w:val="24"/>
        </w:rPr>
        <w:t xml:space="preserve">She once again emphasized </w:t>
      </w:r>
      <w:r w:rsidR="00145B57" w:rsidRPr="00145B57">
        <w:rPr>
          <w:rFonts w:ascii="Arial" w:hAnsi="Arial" w:cs="Arial"/>
          <w:sz w:val="24"/>
          <w:szCs w:val="24"/>
        </w:rPr>
        <w:t xml:space="preserve">on the authority of </w:t>
      </w:r>
      <w:r w:rsidR="00145B57" w:rsidRPr="00145B57">
        <w:rPr>
          <w:rFonts w:ascii="Arial" w:hAnsi="Arial" w:cs="Arial"/>
          <w:i/>
          <w:sz w:val="24"/>
          <w:szCs w:val="24"/>
        </w:rPr>
        <w:t>Gcaba</w:t>
      </w:r>
      <w:r w:rsidR="00145B57" w:rsidRPr="00145B57">
        <w:rPr>
          <w:rFonts w:ascii="Arial" w:hAnsi="Arial" w:cs="Arial"/>
          <w:sz w:val="24"/>
          <w:szCs w:val="24"/>
        </w:rPr>
        <w:t xml:space="preserve"> that</w:t>
      </w:r>
      <w:r w:rsidR="00145B57">
        <w:rPr>
          <w:rFonts w:ascii="Arial" w:hAnsi="Arial" w:cs="Arial"/>
          <w:i/>
          <w:sz w:val="24"/>
          <w:szCs w:val="24"/>
        </w:rPr>
        <w:t xml:space="preserve"> “</w:t>
      </w:r>
      <w:r w:rsidR="00CD4280" w:rsidRPr="00AF1EA9">
        <w:rPr>
          <w:rFonts w:ascii="Arial" w:hAnsi="Arial" w:cs="Arial"/>
          <w:i/>
          <w:sz w:val="24"/>
          <w:szCs w:val="24"/>
        </w:rPr>
        <w:t>jurisdiction</w:t>
      </w:r>
      <w:r w:rsidR="0096485B" w:rsidRPr="00AF1EA9">
        <w:rPr>
          <w:rFonts w:ascii="Arial" w:hAnsi="Arial" w:cs="Arial"/>
          <w:i/>
          <w:sz w:val="24"/>
          <w:szCs w:val="24"/>
        </w:rPr>
        <w:t xml:space="preserve"> is determined on the basis of pleadings and not the substantive merits of the case</w:t>
      </w:r>
      <w:r w:rsidR="005264F5" w:rsidRPr="00AF1EA9">
        <w:rPr>
          <w:rFonts w:ascii="Arial" w:hAnsi="Arial" w:cs="Arial"/>
          <w:i/>
          <w:sz w:val="24"/>
          <w:szCs w:val="24"/>
        </w:rPr>
        <w:t>”</w:t>
      </w:r>
      <w:r w:rsidR="0096485B" w:rsidRPr="00AF1EA9">
        <w:rPr>
          <w:rFonts w:ascii="Arial" w:hAnsi="Arial" w:cs="Arial"/>
          <w:i/>
          <w:sz w:val="24"/>
          <w:szCs w:val="24"/>
        </w:rPr>
        <w:t>.</w:t>
      </w:r>
      <w:r w:rsidR="0096485B" w:rsidRPr="00AF1EA9">
        <w:rPr>
          <w:rFonts w:ascii="Arial" w:hAnsi="Arial" w:cs="Arial"/>
          <w:sz w:val="24"/>
          <w:szCs w:val="24"/>
        </w:rPr>
        <w:t xml:space="preserve"> </w:t>
      </w:r>
    </w:p>
    <w:p w14:paraId="418DAA12" w14:textId="77777777" w:rsidR="00C37B92" w:rsidRPr="00AF1EA9" w:rsidRDefault="00C37B92" w:rsidP="00AF1EA9">
      <w:pPr>
        <w:spacing w:line="360" w:lineRule="auto"/>
        <w:jc w:val="both"/>
        <w:rPr>
          <w:rFonts w:ascii="Arial" w:hAnsi="Arial" w:cs="Arial"/>
          <w:sz w:val="24"/>
          <w:szCs w:val="24"/>
        </w:rPr>
      </w:pPr>
    </w:p>
    <w:p w14:paraId="6B13142A" w14:textId="2068B5EB" w:rsidR="002A5282" w:rsidRDefault="00C37B92" w:rsidP="002A5282">
      <w:pPr>
        <w:spacing w:line="360" w:lineRule="auto"/>
        <w:ind w:left="810" w:hanging="810"/>
        <w:jc w:val="both"/>
        <w:rPr>
          <w:rFonts w:ascii="Arial" w:hAnsi="Arial" w:cs="Arial"/>
          <w:sz w:val="24"/>
          <w:szCs w:val="24"/>
        </w:rPr>
      </w:pPr>
      <w:r w:rsidRPr="00AF1EA9">
        <w:rPr>
          <w:rFonts w:ascii="Arial" w:hAnsi="Arial" w:cs="Arial"/>
          <w:sz w:val="24"/>
          <w:szCs w:val="24"/>
        </w:rPr>
        <w:t>[22]</w:t>
      </w:r>
      <w:r w:rsidR="0096485B" w:rsidRPr="00AF1EA9">
        <w:rPr>
          <w:rFonts w:ascii="Arial" w:hAnsi="Arial" w:cs="Arial"/>
          <w:sz w:val="24"/>
          <w:szCs w:val="24"/>
        </w:rPr>
        <w:t xml:space="preserve"> </w:t>
      </w:r>
      <w:r w:rsidR="00CD4280" w:rsidRPr="00AF1EA9">
        <w:rPr>
          <w:rFonts w:ascii="Arial" w:hAnsi="Arial" w:cs="Arial"/>
          <w:sz w:val="24"/>
          <w:szCs w:val="24"/>
        </w:rPr>
        <w:t xml:space="preserve"> </w:t>
      </w:r>
      <w:r w:rsidR="004A51FF" w:rsidRPr="00AF1EA9">
        <w:rPr>
          <w:rFonts w:ascii="Arial" w:hAnsi="Arial" w:cs="Arial"/>
          <w:sz w:val="24"/>
          <w:szCs w:val="24"/>
        </w:rPr>
        <w:tab/>
      </w:r>
      <w:r w:rsidR="00145B57">
        <w:rPr>
          <w:rFonts w:ascii="Arial" w:hAnsi="Arial" w:cs="Arial"/>
          <w:sz w:val="24"/>
          <w:szCs w:val="24"/>
        </w:rPr>
        <w:t>Adv Mphahlele SC</w:t>
      </w:r>
      <w:r w:rsidR="000C31D0" w:rsidRPr="00AF1EA9">
        <w:rPr>
          <w:rFonts w:ascii="Arial" w:hAnsi="Arial" w:cs="Arial"/>
          <w:sz w:val="24"/>
          <w:szCs w:val="24"/>
        </w:rPr>
        <w:t xml:space="preserve"> unsuccessfully sought to persuade me that the facts in Baloyi supra are different from the one at hand. That may well </w:t>
      </w:r>
      <w:r w:rsidR="00A8624E" w:rsidRPr="00AF1EA9">
        <w:rPr>
          <w:rFonts w:ascii="Arial" w:hAnsi="Arial" w:cs="Arial"/>
          <w:sz w:val="24"/>
          <w:szCs w:val="24"/>
        </w:rPr>
        <w:t>be so but the approach on the issue of jurisdiction is more illuminated and sharply demonstrate the consistency of the constitutional cou</w:t>
      </w:r>
      <w:r w:rsidR="002A5282">
        <w:rPr>
          <w:rFonts w:ascii="Arial" w:hAnsi="Arial" w:cs="Arial"/>
          <w:sz w:val="24"/>
          <w:szCs w:val="24"/>
        </w:rPr>
        <w:t>rt on this aspect</w:t>
      </w:r>
      <w:r w:rsidR="00A8624E" w:rsidRPr="00AF1EA9">
        <w:rPr>
          <w:rFonts w:ascii="Arial" w:hAnsi="Arial" w:cs="Arial"/>
          <w:sz w:val="24"/>
          <w:szCs w:val="24"/>
        </w:rPr>
        <w:t>. One can only hope that the judgment by Theron J clarifies any uncertainty that existed on ho</w:t>
      </w:r>
      <w:r w:rsidR="00145B57">
        <w:rPr>
          <w:rFonts w:ascii="Arial" w:hAnsi="Arial" w:cs="Arial"/>
          <w:sz w:val="24"/>
          <w:szCs w:val="24"/>
        </w:rPr>
        <w:t xml:space="preserve">w to approach jurisdiction on an </w:t>
      </w:r>
      <w:r w:rsidR="00A8624E" w:rsidRPr="00AF1EA9">
        <w:rPr>
          <w:rFonts w:ascii="Arial" w:hAnsi="Arial" w:cs="Arial"/>
          <w:sz w:val="24"/>
          <w:szCs w:val="24"/>
        </w:rPr>
        <w:t>employment-related matter.</w:t>
      </w:r>
      <w:r w:rsidR="002A5282">
        <w:rPr>
          <w:rFonts w:ascii="Arial" w:hAnsi="Arial" w:cs="Arial"/>
          <w:sz w:val="24"/>
          <w:szCs w:val="24"/>
        </w:rPr>
        <w:t xml:space="preserve"> </w:t>
      </w:r>
      <w:r w:rsidR="00DB2DBC">
        <w:rPr>
          <w:rFonts w:ascii="Arial" w:hAnsi="Arial" w:cs="Arial"/>
          <w:sz w:val="24"/>
          <w:szCs w:val="24"/>
        </w:rPr>
        <w:t>The fact that the dispute arise</w:t>
      </w:r>
      <w:r w:rsidR="008A1891">
        <w:rPr>
          <w:rFonts w:ascii="Arial" w:hAnsi="Arial" w:cs="Arial"/>
          <w:sz w:val="24"/>
          <w:szCs w:val="24"/>
        </w:rPr>
        <w:t>s</w:t>
      </w:r>
      <w:r w:rsidR="00DB2DBC">
        <w:rPr>
          <w:rFonts w:ascii="Arial" w:hAnsi="Arial" w:cs="Arial"/>
          <w:sz w:val="24"/>
          <w:szCs w:val="24"/>
        </w:rPr>
        <w:t xml:space="preserve"> out of employment does not grant the Labour Court exclusive jurisdiction. It may well be that it is convenient to approach the Labour Court but convenience should not be confused with exclusivity.</w:t>
      </w:r>
    </w:p>
    <w:p w14:paraId="5EB8A97A" w14:textId="77777777" w:rsidR="002A5282" w:rsidRDefault="002A5282" w:rsidP="002A5282">
      <w:pPr>
        <w:spacing w:line="360" w:lineRule="auto"/>
        <w:ind w:left="810" w:hanging="810"/>
        <w:jc w:val="both"/>
        <w:rPr>
          <w:rFonts w:ascii="Arial" w:hAnsi="Arial" w:cs="Arial"/>
          <w:sz w:val="24"/>
          <w:szCs w:val="24"/>
        </w:rPr>
      </w:pPr>
    </w:p>
    <w:p w14:paraId="29B13B8D" w14:textId="1FBA2BD8" w:rsidR="007D0C55" w:rsidRDefault="002A5282" w:rsidP="002A5282">
      <w:pPr>
        <w:spacing w:line="360" w:lineRule="auto"/>
        <w:ind w:left="810" w:hanging="810"/>
        <w:jc w:val="both"/>
        <w:rPr>
          <w:rFonts w:ascii="Arial" w:hAnsi="Arial" w:cs="Arial"/>
          <w:sz w:val="24"/>
          <w:szCs w:val="24"/>
        </w:rPr>
      </w:pPr>
      <w:r>
        <w:rPr>
          <w:rFonts w:ascii="Arial" w:hAnsi="Arial" w:cs="Arial"/>
          <w:sz w:val="24"/>
          <w:szCs w:val="24"/>
        </w:rPr>
        <w:t>[23]</w:t>
      </w:r>
      <w:r>
        <w:rPr>
          <w:rFonts w:ascii="Arial" w:hAnsi="Arial" w:cs="Arial"/>
          <w:sz w:val="24"/>
          <w:szCs w:val="24"/>
        </w:rPr>
        <w:tab/>
        <w:t>Indeed as</w:t>
      </w:r>
      <w:r w:rsidR="00A8624E" w:rsidRPr="00AF1EA9">
        <w:rPr>
          <w:rFonts w:ascii="Arial" w:hAnsi="Arial" w:cs="Arial"/>
          <w:sz w:val="24"/>
          <w:szCs w:val="24"/>
        </w:rPr>
        <w:t xml:space="preserve"> said in Gcaba</w:t>
      </w:r>
      <w:r w:rsidR="0058779F" w:rsidRPr="00AF1EA9">
        <w:rPr>
          <w:rFonts w:ascii="Arial" w:hAnsi="Arial" w:cs="Arial"/>
          <w:sz w:val="24"/>
          <w:szCs w:val="24"/>
        </w:rPr>
        <w:t xml:space="preserve"> the</w:t>
      </w:r>
      <w:r w:rsidR="00D04838" w:rsidRPr="00AF1EA9">
        <w:rPr>
          <w:rFonts w:ascii="Arial" w:hAnsi="Arial" w:cs="Arial"/>
          <w:sz w:val="24"/>
          <w:szCs w:val="24"/>
        </w:rPr>
        <w:t xml:space="preserve"> </w:t>
      </w:r>
      <w:r w:rsidR="0058779F" w:rsidRPr="00AF1EA9">
        <w:rPr>
          <w:rFonts w:ascii="Arial" w:hAnsi="Arial" w:cs="Arial"/>
          <w:sz w:val="24"/>
          <w:szCs w:val="24"/>
        </w:rPr>
        <w:t xml:space="preserve">LRA does not intent to destroy causes of action </w:t>
      </w:r>
      <w:r w:rsidR="000C1831" w:rsidRPr="00AF1EA9">
        <w:rPr>
          <w:rFonts w:ascii="Arial" w:hAnsi="Arial" w:cs="Arial"/>
          <w:sz w:val="24"/>
          <w:szCs w:val="24"/>
        </w:rPr>
        <w:t>or remedies and Section 1</w:t>
      </w:r>
      <w:r w:rsidR="004D0C6A" w:rsidRPr="00AF1EA9">
        <w:rPr>
          <w:rFonts w:ascii="Arial" w:hAnsi="Arial" w:cs="Arial"/>
          <w:sz w:val="24"/>
          <w:szCs w:val="24"/>
        </w:rPr>
        <w:t>57 should not be interpreted to</w:t>
      </w:r>
      <w:r w:rsidR="000C1831" w:rsidRPr="00AF1EA9">
        <w:rPr>
          <w:rFonts w:ascii="Arial" w:hAnsi="Arial" w:cs="Arial"/>
          <w:sz w:val="24"/>
          <w:szCs w:val="24"/>
        </w:rPr>
        <w:t xml:space="preserve">  do so. Where a </w:t>
      </w:r>
      <w:r w:rsidR="00AB5257" w:rsidRPr="00AF1EA9">
        <w:rPr>
          <w:rFonts w:ascii="Arial" w:hAnsi="Arial" w:cs="Arial"/>
          <w:sz w:val="24"/>
          <w:szCs w:val="24"/>
        </w:rPr>
        <w:t xml:space="preserve">remedy lies in the </w:t>
      </w:r>
      <w:r w:rsidR="00044D19" w:rsidRPr="00AF1EA9">
        <w:rPr>
          <w:rFonts w:ascii="Arial" w:hAnsi="Arial" w:cs="Arial"/>
          <w:sz w:val="24"/>
          <w:szCs w:val="24"/>
        </w:rPr>
        <w:t>H</w:t>
      </w:r>
      <w:r w:rsidR="00AB5257" w:rsidRPr="00AF1EA9">
        <w:rPr>
          <w:rFonts w:ascii="Arial" w:hAnsi="Arial" w:cs="Arial"/>
          <w:sz w:val="24"/>
          <w:szCs w:val="24"/>
        </w:rPr>
        <w:t>igh Court, Section 157(</w:t>
      </w:r>
      <w:r w:rsidR="00044D19" w:rsidRPr="00AF1EA9">
        <w:rPr>
          <w:rFonts w:ascii="Arial" w:hAnsi="Arial" w:cs="Arial"/>
          <w:sz w:val="24"/>
          <w:szCs w:val="24"/>
        </w:rPr>
        <w:t>2</w:t>
      </w:r>
      <w:r w:rsidR="00AB5257" w:rsidRPr="00AF1EA9">
        <w:rPr>
          <w:rFonts w:ascii="Arial" w:hAnsi="Arial" w:cs="Arial"/>
          <w:sz w:val="24"/>
          <w:szCs w:val="24"/>
        </w:rPr>
        <w:t xml:space="preserve">) </w:t>
      </w:r>
      <w:r w:rsidR="00044D19" w:rsidRPr="00AF1EA9">
        <w:rPr>
          <w:rFonts w:ascii="Arial" w:hAnsi="Arial" w:cs="Arial"/>
          <w:sz w:val="24"/>
          <w:szCs w:val="24"/>
        </w:rPr>
        <w:t>cannot be read</w:t>
      </w:r>
      <w:r w:rsidR="00187CB4" w:rsidRPr="00AF1EA9">
        <w:rPr>
          <w:rFonts w:ascii="Arial" w:hAnsi="Arial" w:cs="Arial"/>
          <w:sz w:val="24"/>
          <w:szCs w:val="24"/>
        </w:rPr>
        <w:t xml:space="preserve"> to mean it no longer lies there and should not be rea</w:t>
      </w:r>
      <w:r w:rsidR="00365F45" w:rsidRPr="00AF1EA9">
        <w:rPr>
          <w:rFonts w:ascii="Arial" w:hAnsi="Arial" w:cs="Arial"/>
          <w:sz w:val="24"/>
          <w:szCs w:val="24"/>
        </w:rPr>
        <w:t>d</w:t>
      </w:r>
      <w:r w:rsidR="00187CB4" w:rsidRPr="00AF1EA9">
        <w:rPr>
          <w:rFonts w:ascii="Arial" w:hAnsi="Arial" w:cs="Arial"/>
          <w:sz w:val="24"/>
          <w:szCs w:val="24"/>
        </w:rPr>
        <w:t xml:space="preserve"> to mean as much………. If only the Labour Court could deal with disputes </w:t>
      </w:r>
      <w:r w:rsidR="004A51FF" w:rsidRPr="00AF1EA9">
        <w:rPr>
          <w:rFonts w:ascii="Arial" w:hAnsi="Arial" w:cs="Arial"/>
          <w:sz w:val="24"/>
          <w:szCs w:val="24"/>
        </w:rPr>
        <w:t>arising</w:t>
      </w:r>
      <w:r w:rsidR="00187CB4" w:rsidRPr="00AF1EA9">
        <w:rPr>
          <w:rFonts w:ascii="Arial" w:hAnsi="Arial" w:cs="Arial"/>
          <w:sz w:val="24"/>
          <w:szCs w:val="24"/>
        </w:rPr>
        <w:t xml:space="preserve"> ou</w:t>
      </w:r>
      <w:r w:rsidR="00365F45" w:rsidRPr="00AF1EA9">
        <w:rPr>
          <w:rFonts w:ascii="Arial" w:hAnsi="Arial" w:cs="Arial"/>
          <w:sz w:val="24"/>
          <w:szCs w:val="24"/>
        </w:rPr>
        <w:t>t</w:t>
      </w:r>
      <w:r w:rsidR="00187CB4" w:rsidRPr="00AF1EA9">
        <w:rPr>
          <w:rFonts w:ascii="Arial" w:hAnsi="Arial" w:cs="Arial"/>
          <w:sz w:val="24"/>
          <w:szCs w:val="24"/>
        </w:rPr>
        <w:t xml:space="preserve"> of </w:t>
      </w:r>
      <w:r w:rsidR="00365F45" w:rsidRPr="00AF1EA9">
        <w:rPr>
          <w:rFonts w:ascii="Arial" w:hAnsi="Arial" w:cs="Arial"/>
          <w:sz w:val="24"/>
          <w:szCs w:val="24"/>
        </w:rPr>
        <w:t xml:space="preserve">all employment </w:t>
      </w:r>
      <w:r w:rsidR="00B92409" w:rsidRPr="00AF1EA9">
        <w:rPr>
          <w:rFonts w:ascii="Arial" w:hAnsi="Arial" w:cs="Arial"/>
          <w:sz w:val="24"/>
          <w:szCs w:val="24"/>
        </w:rPr>
        <w:t xml:space="preserve">relations, remedies would be wiped out, because the Labour Court does not have the power to deal with the common law or </w:t>
      </w:r>
      <w:r w:rsidR="007D0C55" w:rsidRPr="00AF1EA9">
        <w:rPr>
          <w:rFonts w:ascii="Arial" w:hAnsi="Arial" w:cs="Arial"/>
          <w:sz w:val="24"/>
          <w:szCs w:val="24"/>
        </w:rPr>
        <w:t>other statutory remedies.</w:t>
      </w:r>
    </w:p>
    <w:p w14:paraId="31EF64CF" w14:textId="77777777" w:rsidR="002A5282" w:rsidRDefault="002A5282" w:rsidP="002A5282">
      <w:pPr>
        <w:spacing w:line="360" w:lineRule="auto"/>
        <w:ind w:left="810" w:hanging="810"/>
        <w:jc w:val="both"/>
        <w:rPr>
          <w:rFonts w:ascii="Arial" w:hAnsi="Arial" w:cs="Arial"/>
          <w:sz w:val="24"/>
          <w:szCs w:val="24"/>
        </w:rPr>
      </w:pPr>
    </w:p>
    <w:p w14:paraId="1951B127" w14:textId="46928729" w:rsidR="007D0C55" w:rsidRPr="002A5282" w:rsidRDefault="002A5282" w:rsidP="002A5282">
      <w:pPr>
        <w:spacing w:line="360" w:lineRule="auto"/>
        <w:ind w:left="810" w:hanging="810"/>
        <w:jc w:val="both"/>
        <w:rPr>
          <w:rFonts w:ascii="Arial" w:hAnsi="Arial" w:cs="Arial"/>
          <w:b/>
          <w:sz w:val="24"/>
          <w:szCs w:val="24"/>
          <w:u w:val="single"/>
        </w:rPr>
      </w:pPr>
      <w:r w:rsidRPr="002A5282">
        <w:rPr>
          <w:rFonts w:ascii="Arial" w:hAnsi="Arial" w:cs="Arial"/>
          <w:b/>
          <w:sz w:val="24"/>
          <w:szCs w:val="24"/>
          <w:u w:val="single"/>
        </w:rPr>
        <w:t>Conclusion</w:t>
      </w:r>
    </w:p>
    <w:p w14:paraId="3B2A64D1" w14:textId="38620A6C" w:rsidR="003C0921" w:rsidRDefault="002A5282" w:rsidP="00AF1EA9">
      <w:pPr>
        <w:spacing w:line="360" w:lineRule="auto"/>
        <w:ind w:left="810" w:hanging="810"/>
        <w:jc w:val="both"/>
        <w:rPr>
          <w:rFonts w:ascii="Arial" w:hAnsi="Arial" w:cs="Arial"/>
          <w:sz w:val="24"/>
          <w:szCs w:val="24"/>
        </w:rPr>
      </w:pPr>
      <w:r>
        <w:rPr>
          <w:rFonts w:ascii="Arial" w:hAnsi="Arial" w:cs="Arial"/>
          <w:sz w:val="24"/>
          <w:szCs w:val="24"/>
        </w:rPr>
        <w:t>[24</w:t>
      </w:r>
      <w:r w:rsidR="007D0C55" w:rsidRPr="00AF1EA9">
        <w:rPr>
          <w:rFonts w:ascii="Arial" w:hAnsi="Arial" w:cs="Arial"/>
          <w:sz w:val="24"/>
          <w:szCs w:val="24"/>
        </w:rPr>
        <w:t>]</w:t>
      </w:r>
      <w:r w:rsidR="002B4D5D" w:rsidRPr="00AF1EA9">
        <w:rPr>
          <w:rFonts w:ascii="Arial" w:hAnsi="Arial" w:cs="Arial"/>
          <w:sz w:val="24"/>
          <w:szCs w:val="24"/>
        </w:rPr>
        <w:tab/>
        <w:t xml:space="preserve">Following on the guideline provided by the Constitutional Court on the approach to adopt when determining jurisdiction as a </w:t>
      </w:r>
      <w:r w:rsidR="00DE569F" w:rsidRPr="00AF1EA9">
        <w:rPr>
          <w:rFonts w:ascii="Arial" w:hAnsi="Arial" w:cs="Arial"/>
          <w:sz w:val="24"/>
          <w:szCs w:val="24"/>
        </w:rPr>
        <w:t>point in</w:t>
      </w:r>
      <w:r w:rsidR="00DE569F" w:rsidRPr="00AF1EA9">
        <w:rPr>
          <w:rFonts w:ascii="Arial" w:hAnsi="Arial" w:cs="Arial"/>
          <w:i/>
          <w:sz w:val="24"/>
          <w:szCs w:val="24"/>
        </w:rPr>
        <w:t xml:space="preserve"> limine</w:t>
      </w:r>
      <w:r w:rsidR="002B4D5D" w:rsidRPr="00AF1EA9">
        <w:rPr>
          <w:rFonts w:ascii="Arial" w:hAnsi="Arial" w:cs="Arial"/>
          <w:sz w:val="24"/>
          <w:szCs w:val="24"/>
        </w:rPr>
        <w:t xml:space="preserve"> </w:t>
      </w:r>
      <w:r w:rsidR="00DE569F" w:rsidRPr="00AF1EA9">
        <w:rPr>
          <w:rFonts w:ascii="Arial" w:hAnsi="Arial" w:cs="Arial"/>
          <w:sz w:val="24"/>
          <w:szCs w:val="24"/>
        </w:rPr>
        <w:t xml:space="preserve">, </w:t>
      </w:r>
      <w:r w:rsidR="005B3452">
        <w:rPr>
          <w:rFonts w:ascii="Arial" w:hAnsi="Arial" w:cs="Arial"/>
          <w:sz w:val="24"/>
          <w:szCs w:val="24"/>
        </w:rPr>
        <w:t>I have considered the pleadings</w:t>
      </w:r>
      <w:r w:rsidR="00DE569F" w:rsidRPr="00AF1EA9">
        <w:rPr>
          <w:rFonts w:ascii="Arial" w:hAnsi="Arial" w:cs="Arial"/>
          <w:sz w:val="24"/>
          <w:szCs w:val="24"/>
        </w:rPr>
        <w:t xml:space="preserve"> in their </w:t>
      </w:r>
      <w:r w:rsidR="005264F5" w:rsidRPr="00AF1EA9">
        <w:rPr>
          <w:rFonts w:ascii="Arial" w:hAnsi="Arial" w:cs="Arial"/>
          <w:sz w:val="24"/>
          <w:szCs w:val="24"/>
        </w:rPr>
        <w:t>entiret</w:t>
      </w:r>
      <w:r w:rsidR="00CC79A6" w:rsidRPr="00AF1EA9">
        <w:rPr>
          <w:rFonts w:ascii="Arial" w:hAnsi="Arial" w:cs="Arial"/>
          <w:sz w:val="24"/>
          <w:szCs w:val="24"/>
        </w:rPr>
        <w:t>y with a view to establish the case for the Applicant</w:t>
      </w:r>
      <w:r w:rsidR="004D0C6A" w:rsidRPr="00AF1EA9">
        <w:rPr>
          <w:rFonts w:ascii="Arial" w:hAnsi="Arial" w:cs="Arial"/>
          <w:sz w:val="24"/>
          <w:szCs w:val="24"/>
        </w:rPr>
        <w:t>s</w:t>
      </w:r>
      <w:r w:rsidR="00CC79A6" w:rsidRPr="00AF1EA9">
        <w:rPr>
          <w:rFonts w:ascii="Arial" w:hAnsi="Arial" w:cs="Arial"/>
          <w:sz w:val="24"/>
          <w:szCs w:val="24"/>
        </w:rPr>
        <w:t xml:space="preserve">. On the authority of the judgment of </w:t>
      </w:r>
      <w:r w:rsidR="00CC79A6" w:rsidRPr="00AF1EA9">
        <w:rPr>
          <w:rFonts w:ascii="Arial" w:hAnsi="Arial" w:cs="Arial"/>
          <w:i/>
          <w:sz w:val="24"/>
          <w:szCs w:val="24"/>
        </w:rPr>
        <w:t>Baloyi v Public Protector</w:t>
      </w:r>
      <w:r w:rsidR="00D74D8B" w:rsidRPr="00AF1EA9">
        <w:rPr>
          <w:rFonts w:ascii="Arial" w:hAnsi="Arial" w:cs="Arial"/>
          <w:sz w:val="24"/>
          <w:szCs w:val="24"/>
        </w:rPr>
        <w:t xml:space="preserve">, </w:t>
      </w:r>
      <w:r w:rsidR="00CC79A6" w:rsidRPr="00AF1EA9">
        <w:rPr>
          <w:rFonts w:ascii="Arial" w:hAnsi="Arial" w:cs="Arial"/>
          <w:sz w:val="24"/>
          <w:szCs w:val="24"/>
        </w:rPr>
        <w:t xml:space="preserve">I have no </w:t>
      </w:r>
      <w:r w:rsidR="009B1C41" w:rsidRPr="00AF1EA9">
        <w:rPr>
          <w:rFonts w:ascii="Arial" w:hAnsi="Arial" w:cs="Arial"/>
          <w:sz w:val="24"/>
          <w:szCs w:val="24"/>
        </w:rPr>
        <w:t>hesitation in concluding that the Applicants located their</w:t>
      </w:r>
      <w:r w:rsidR="005B3452">
        <w:rPr>
          <w:rFonts w:ascii="Arial" w:hAnsi="Arial" w:cs="Arial"/>
          <w:sz w:val="24"/>
          <w:szCs w:val="24"/>
        </w:rPr>
        <w:t xml:space="preserve"> case within the provisions of section 33 of the C</w:t>
      </w:r>
      <w:r w:rsidR="009B1C41" w:rsidRPr="00AF1EA9">
        <w:rPr>
          <w:rFonts w:ascii="Arial" w:hAnsi="Arial" w:cs="Arial"/>
          <w:sz w:val="24"/>
          <w:szCs w:val="24"/>
        </w:rPr>
        <w:t xml:space="preserve">onstitution and seek to challenge </w:t>
      </w:r>
      <w:r w:rsidR="003C0921" w:rsidRPr="00AF1EA9">
        <w:rPr>
          <w:rFonts w:ascii="Arial" w:hAnsi="Arial" w:cs="Arial"/>
          <w:sz w:val="24"/>
          <w:szCs w:val="24"/>
        </w:rPr>
        <w:t xml:space="preserve">the decision of the Head of Department in the manner in which she implemented the incentive policy. Both parties are agreed that the decision is administrative in nature and therefore </w:t>
      </w:r>
      <w:r w:rsidR="00145B57">
        <w:rPr>
          <w:rFonts w:ascii="Arial" w:hAnsi="Arial" w:cs="Arial"/>
          <w:sz w:val="24"/>
          <w:szCs w:val="24"/>
        </w:rPr>
        <w:t xml:space="preserve">I find that </w:t>
      </w:r>
      <w:r w:rsidR="003C0921" w:rsidRPr="00AF1EA9">
        <w:rPr>
          <w:rFonts w:ascii="Arial" w:hAnsi="Arial" w:cs="Arial"/>
          <w:sz w:val="24"/>
          <w:szCs w:val="24"/>
        </w:rPr>
        <w:t>the High Court has concurrent jurisdiction with the Labour Court on this matter.</w:t>
      </w:r>
    </w:p>
    <w:p w14:paraId="55739AEC" w14:textId="77777777" w:rsidR="001D506D" w:rsidRDefault="001D506D" w:rsidP="00AF1EA9">
      <w:pPr>
        <w:spacing w:line="360" w:lineRule="auto"/>
        <w:ind w:left="810" w:hanging="810"/>
        <w:jc w:val="both"/>
        <w:rPr>
          <w:rFonts w:ascii="Arial" w:hAnsi="Arial" w:cs="Arial"/>
          <w:sz w:val="24"/>
          <w:szCs w:val="24"/>
        </w:rPr>
      </w:pPr>
    </w:p>
    <w:p w14:paraId="2A139EA6" w14:textId="1B1D7DE6" w:rsidR="00EA4C6D" w:rsidRPr="001D506D" w:rsidRDefault="001D506D" w:rsidP="001D506D">
      <w:pPr>
        <w:spacing w:line="360" w:lineRule="auto"/>
        <w:ind w:left="810" w:hanging="810"/>
        <w:jc w:val="both"/>
        <w:rPr>
          <w:rFonts w:ascii="Arial" w:hAnsi="Arial" w:cs="Arial"/>
          <w:b/>
          <w:sz w:val="24"/>
          <w:szCs w:val="24"/>
          <w:u w:val="single"/>
        </w:rPr>
      </w:pPr>
      <w:r w:rsidRPr="001D506D">
        <w:rPr>
          <w:rFonts w:ascii="Arial" w:hAnsi="Arial" w:cs="Arial"/>
          <w:b/>
          <w:sz w:val="24"/>
          <w:szCs w:val="24"/>
          <w:u w:val="single"/>
        </w:rPr>
        <w:t>Costs</w:t>
      </w:r>
    </w:p>
    <w:p w14:paraId="01AC7F4D" w14:textId="0A8D7F9D" w:rsidR="00AF1EA9" w:rsidRPr="00AF1EA9" w:rsidRDefault="001D506D" w:rsidP="001D506D">
      <w:pPr>
        <w:spacing w:line="360" w:lineRule="auto"/>
        <w:ind w:left="810" w:hanging="810"/>
        <w:jc w:val="both"/>
        <w:rPr>
          <w:rFonts w:ascii="Arial" w:hAnsi="Arial" w:cs="Arial"/>
          <w:sz w:val="24"/>
          <w:szCs w:val="24"/>
        </w:rPr>
      </w:pPr>
      <w:r>
        <w:rPr>
          <w:rFonts w:ascii="Arial" w:hAnsi="Arial" w:cs="Arial"/>
          <w:sz w:val="24"/>
          <w:szCs w:val="24"/>
        </w:rPr>
        <w:t>[25</w:t>
      </w:r>
      <w:r w:rsidR="00EA4C6D" w:rsidRPr="00AF1EA9">
        <w:rPr>
          <w:rFonts w:ascii="Arial" w:hAnsi="Arial" w:cs="Arial"/>
          <w:sz w:val="24"/>
          <w:szCs w:val="24"/>
        </w:rPr>
        <w:t>]</w:t>
      </w:r>
      <w:r w:rsidR="00EA4C6D" w:rsidRPr="00AF1EA9">
        <w:rPr>
          <w:rFonts w:ascii="Arial" w:hAnsi="Arial" w:cs="Arial"/>
          <w:sz w:val="24"/>
          <w:szCs w:val="24"/>
        </w:rPr>
        <w:tab/>
        <w:t>What rema</w:t>
      </w:r>
      <w:r w:rsidR="005B3452">
        <w:rPr>
          <w:rFonts w:ascii="Arial" w:hAnsi="Arial" w:cs="Arial"/>
          <w:sz w:val="24"/>
          <w:szCs w:val="24"/>
        </w:rPr>
        <w:t>ins is the issue of costs. The R</w:t>
      </w:r>
      <w:r w:rsidR="00EA4C6D" w:rsidRPr="00AF1EA9">
        <w:rPr>
          <w:rFonts w:ascii="Arial" w:hAnsi="Arial" w:cs="Arial"/>
          <w:sz w:val="24"/>
          <w:szCs w:val="24"/>
        </w:rPr>
        <w:t>espondents have previously raised jurisdiction as an i</w:t>
      </w:r>
      <w:r w:rsidR="005B3452">
        <w:rPr>
          <w:rFonts w:ascii="Arial" w:hAnsi="Arial" w:cs="Arial"/>
          <w:sz w:val="24"/>
          <w:szCs w:val="24"/>
        </w:rPr>
        <w:t>ssue for consideration by this C</w:t>
      </w:r>
      <w:r w:rsidR="00EA4C6D" w:rsidRPr="00AF1EA9">
        <w:rPr>
          <w:rFonts w:ascii="Arial" w:hAnsi="Arial" w:cs="Arial"/>
          <w:sz w:val="24"/>
          <w:szCs w:val="24"/>
        </w:rPr>
        <w:t>our</w:t>
      </w:r>
      <w:r w:rsidR="005B3452">
        <w:rPr>
          <w:rFonts w:ascii="Arial" w:hAnsi="Arial" w:cs="Arial"/>
          <w:sz w:val="24"/>
          <w:szCs w:val="24"/>
        </w:rPr>
        <w:t>t then operating  as a circuit Court. The C</w:t>
      </w:r>
      <w:r w:rsidR="00EA4C6D" w:rsidRPr="00AF1EA9">
        <w:rPr>
          <w:rFonts w:ascii="Arial" w:hAnsi="Arial" w:cs="Arial"/>
          <w:sz w:val="24"/>
          <w:szCs w:val="24"/>
        </w:rPr>
        <w:t xml:space="preserve">ourt made an order which was not appealed thereby suggesting that they were happy with the order. When the judgment </w:t>
      </w:r>
      <w:r w:rsidR="005B3452">
        <w:rPr>
          <w:rFonts w:ascii="Arial" w:hAnsi="Arial" w:cs="Arial"/>
          <w:sz w:val="24"/>
          <w:szCs w:val="24"/>
        </w:rPr>
        <w:t>of Makgoba JP was appealed the R</w:t>
      </w:r>
      <w:r w:rsidR="00EA4C6D" w:rsidRPr="00AF1EA9">
        <w:rPr>
          <w:rFonts w:ascii="Arial" w:hAnsi="Arial" w:cs="Arial"/>
          <w:sz w:val="24"/>
          <w:szCs w:val="24"/>
        </w:rPr>
        <w:t xml:space="preserve">espondents argued that their decision was administrative in nature and appropriate course to follow was judicial review. </w:t>
      </w:r>
      <w:r>
        <w:rPr>
          <w:rFonts w:ascii="Arial" w:hAnsi="Arial" w:cs="Arial"/>
          <w:sz w:val="24"/>
          <w:szCs w:val="24"/>
        </w:rPr>
        <w:t xml:space="preserve"> </w:t>
      </w:r>
      <w:r w:rsidR="00EA4C6D" w:rsidRPr="00AF1EA9">
        <w:rPr>
          <w:rFonts w:ascii="Arial" w:hAnsi="Arial" w:cs="Arial"/>
          <w:sz w:val="24"/>
          <w:szCs w:val="24"/>
        </w:rPr>
        <w:t xml:space="preserve">It is trite that the high court has jurisdiction for a review of administrative decision, this could not therefore be a matter falling exclusively </w:t>
      </w:r>
      <w:r w:rsidR="005B3452">
        <w:rPr>
          <w:rFonts w:ascii="Arial" w:hAnsi="Arial" w:cs="Arial"/>
          <w:sz w:val="24"/>
          <w:szCs w:val="24"/>
        </w:rPr>
        <w:t>within the jurisdiction of the Labour C</w:t>
      </w:r>
      <w:r w:rsidR="00EA4C6D" w:rsidRPr="00AF1EA9">
        <w:rPr>
          <w:rFonts w:ascii="Arial" w:hAnsi="Arial" w:cs="Arial"/>
          <w:sz w:val="24"/>
          <w:szCs w:val="24"/>
        </w:rPr>
        <w:t>ourt even though as argued</w:t>
      </w:r>
      <w:r w:rsidR="005B3452">
        <w:rPr>
          <w:rFonts w:ascii="Arial" w:hAnsi="Arial" w:cs="Arial"/>
          <w:sz w:val="24"/>
          <w:szCs w:val="24"/>
        </w:rPr>
        <w:t xml:space="preserve"> by Advocate Mphahlele SC, the Labour C</w:t>
      </w:r>
      <w:r w:rsidR="00EA4C6D" w:rsidRPr="00AF1EA9">
        <w:rPr>
          <w:rFonts w:ascii="Arial" w:hAnsi="Arial" w:cs="Arial"/>
          <w:sz w:val="24"/>
          <w:szCs w:val="24"/>
        </w:rPr>
        <w:t>ourt had jurisdiction by virtue of the provisions of section 158(1)(h) of</w:t>
      </w:r>
      <w:r w:rsidR="005B3452">
        <w:rPr>
          <w:rFonts w:ascii="Arial" w:hAnsi="Arial" w:cs="Arial"/>
          <w:sz w:val="24"/>
          <w:szCs w:val="24"/>
        </w:rPr>
        <w:t xml:space="preserve"> the  L</w:t>
      </w:r>
      <w:r w:rsidR="00EA4C6D" w:rsidRPr="00AF1EA9">
        <w:rPr>
          <w:rFonts w:ascii="Arial" w:hAnsi="Arial" w:cs="Arial"/>
          <w:sz w:val="24"/>
          <w:szCs w:val="24"/>
        </w:rPr>
        <w:t>abour Relations Act.</w:t>
      </w:r>
      <w:r w:rsidR="005B3452">
        <w:rPr>
          <w:rFonts w:ascii="Arial" w:hAnsi="Arial" w:cs="Arial"/>
          <w:sz w:val="24"/>
          <w:szCs w:val="24"/>
        </w:rPr>
        <w:t xml:space="preserve"> In my view the R</w:t>
      </w:r>
      <w:r w:rsidR="00AF1EA9" w:rsidRPr="00AF1EA9">
        <w:rPr>
          <w:rFonts w:ascii="Arial" w:hAnsi="Arial" w:cs="Arial"/>
          <w:sz w:val="24"/>
          <w:szCs w:val="24"/>
        </w:rPr>
        <w:t>espondents’ persistence with this point was ill-advised and disingenuous. Costs should follow suit.</w:t>
      </w:r>
    </w:p>
    <w:p w14:paraId="1FD048FA" w14:textId="77777777" w:rsidR="003C0921" w:rsidRDefault="003C0921" w:rsidP="00AF1EA9">
      <w:pPr>
        <w:spacing w:line="360" w:lineRule="auto"/>
        <w:ind w:left="810" w:hanging="810"/>
        <w:jc w:val="both"/>
        <w:rPr>
          <w:rFonts w:ascii="Arial" w:hAnsi="Arial" w:cs="Arial"/>
          <w:sz w:val="24"/>
          <w:szCs w:val="24"/>
        </w:rPr>
      </w:pPr>
    </w:p>
    <w:p w14:paraId="3021F1D2" w14:textId="77777777" w:rsidR="00B7497B" w:rsidRPr="00AF1EA9" w:rsidRDefault="00B7497B" w:rsidP="00AF1EA9">
      <w:pPr>
        <w:spacing w:line="360" w:lineRule="auto"/>
        <w:ind w:left="810" w:hanging="810"/>
        <w:jc w:val="both"/>
        <w:rPr>
          <w:rFonts w:ascii="Arial" w:hAnsi="Arial" w:cs="Arial"/>
          <w:sz w:val="24"/>
          <w:szCs w:val="24"/>
        </w:rPr>
      </w:pPr>
    </w:p>
    <w:p w14:paraId="45DDE9D4" w14:textId="7D73C419" w:rsidR="003C0921" w:rsidRPr="00AF1EA9" w:rsidRDefault="001D506D" w:rsidP="00AF1EA9">
      <w:pPr>
        <w:spacing w:line="360" w:lineRule="auto"/>
        <w:ind w:left="810" w:hanging="810"/>
        <w:jc w:val="both"/>
        <w:rPr>
          <w:rFonts w:ascii="Arial" w:hAnsi="Arial" w:cs="Arial"/>
          <w:sz w:val="24"/>
          <w:szCs w:val="24"/>
        </w:rPr>
      </w:pPr>
      <w:r>
        <w:rPr>
          <w:rFonts w:ascii="Arial" w:hAnsi="Arial" w:cs="Arial"/>
          <w:sz w:val="24"/>
          <w:szCs w:val="24"/>
        </w:rPr>
        <w:t>[26</w:t>
      </w:r>
      <w:r w:rsidR="005264F5" w:rsidRPr="00AF1EA9">
        <w:rPr>
          <w:rFonts w:ascii="Arial" w:hAnsi="Arial" w:cs="Arial"/>
          <w:sz w:val="24"/>
          <w:szCs w:val="24"/>
        </w:rPr>
        <w:t>]</w:t>
      </w:r>
      <w:r w:rsidR="005264F5" w:rsidRPr="00AF1EA9">
        <w:rPr>
          <w:rFonts w:ascii="Arial" w:hAnsi="Arial" w:cs="Arial"/>
          <w:sz w:val="24"/>
          <w:szCs w:val="24"/>
        </w:rPr>
        <w:tab/>
        <w:t>I</w:t>
      </w:r>
      <w:r w:rsidR="003C0921" w:rsidRPr="00AF1EA9">
        <w:rPr>
          <w:rFonts w:ascii="Arial" w:hAnsi="Arial" w:cs="Arial"/>
          <w:sz w:val="24"/>
          <w:szCs w:val="24"/>
        </w:rPr>
        <w:t>n th</w:t>
      </w:r>
      <w:r>
        <w:rPr>
          <w:rFonts w:ascii="Arial" w:hAnsi="Arial" w:cs="Arial"/>
          <w:sz w:val="24"/>
          <w:szCs w:val="24"/>
        </w:rPr>
        <w:t>e premises, the following order</w:t>
      </w:r>
      <w:r w:rsidR="005B3452">
        <w:rPr>
          <w:rFonts w:ascii="Arial" w:hAnsi="Arial" w:cs="Arial"/>
          <w:sz w:val="24"/>
          <w:szCs w:val="24"/>
        </w:rPr>
        <w:t xml:space="preserve"> is</w:t>
      </w:r>
      <w:r w:rsidR="003C0921" w:rsidRPr="00AF1EA9">
        <w:rPr>
          <w:rFonts w:ascii="Arial" w:hAnsi="Arial" w:cs="Arial"/>
          <w:sz w:val="24"/>
          <w:szCs w:val="24"/>
        </w:rPr>
        <w:t xml:space="preserve"> made:-</w:t>
      </w:r>
    </w:p>
    <w:p w14:paraId="2FBEBBCA" w14:textId="45DCA6C1" w:rsidR="003C0921" w:rsidRPr="00AF1EA9" w:rsidRDefault="003C0921" w:rsidP="00AF1EA9">
      <w:pPr>
        <w:pStyle w:val="ListParagraph"/>
        <w:numPr>
          <w:ilvl w:val="0"/>
          <w:numId w:val="7"/>
        </w:numPr>
        <w:spacing w:line="360" w:lineRule="auto"/>
        <w:jc w:val="both"/>
        <w:rPr>
          <w:rFonts w:ascii="Arial" w:hAnsi="Arial" w:cs="Arial"/>
          <w:sz w:val="24"/>
          <w:szCs w:val="24"/>
        </w:rPr>
      </w:pPr>
      <w:r w:rsidRPr="00AF1EA9">
        <w:rPr>
          <w:rFonts w:ascii="Arial" w:hAnsi="Arial" w:cs="Arial"/>
          <w:sz w:val="24"/>
          <w:szCs w:val="24"/>
        </w:rPr>
        <w:t xml:space="preserve">The point </w:t>
      </w:r>
      <w:r w:rsidRPr="00AF1EA9">
        <w:rPr>
          <w:rFonts w:ascii="Arial" w:hAnsi="Arial" w:cs="Arial"/>
          <w:i/>
          <w:sz w:val="24"/>
          <w:szCs w:val="24"/>
        </w:rPr>
        <w:t>in limine</w:t>
      </w:r>
      <w:r w:rsidRPr="00AF1EA9">
        <w:rPr>
          <w:rFonts w:ascii="Arial" w:hAnsi="Arial" w:cs="Arial"/>
          <w:sz w:val="24"/>
          <w:szCs w:val="24"/>
        </w:rPr>
        <w:t xml:space="preserve"> on la</w:t>
      </w:r>
      <w:r w:rsidR="00AF1EA9">
        <w:rPr>
          <w:rFonts w:ascii="Arial" w:hAnsi="Arial" w:cs="Arial"/>
          <w:sz w:val="24"/>
          <w:szCs w:val="24"/>
        </w:rPr>
        <w:t>ck of jurisdiction is dismissed</w:t>
      </w:r>
      <w:r w:rsidR="001D506D">
        <w:rPr>
          <w:rFonts w:ascii="Arial" w:hAnsi="Arial" w:cs="Arial"/>
          <w:sz w:val="24"/>
          <w:szCs w:val="24"/>
        </w:rPr>
        <w:t xml:space="preserve"> with costs, including that of Senior C</w:t>
      </w:r>
      <w:r w:rsidR="00AF1EA9">
        <w:rPr>
          <w:rFonts w:ascii="Arial" w:hAnsi="Arial" w:cs="Arial"/>
          <w:sz w:val="24"/>
          <w:szCs w:val="24"/>
        </w:rPr>
        <w:t>ounsel.</w:t>
      </w:r>
    </w:p>
    <w:p w14:paraId="1AD78744" w14:textId="77777777" w:rsidR="003C0921" w:rsidRPr="00AF1EA9" w:rsidRDefault="003C0921" w:rsidP="00AF1EA9">
      <w:pPr>
        <w:pStyle w:val="ListParagraph"/>
        <w:spacing w:line="360" w:lineRule="auto"/>
        <w:ind w:left="1080"/>
        <w:jc w:val="both"/>
        <w:rPr>
          <w:rFonts w:ascii="Arial" w:hAnsi="Arial" w:cs="Arial"/>
          <w:sz w:val="24"/>
          <w:szCs w:val="24"/>
        </w:rPr>
      </w:pPr>
    </w:p>
    <w:p w14:paraId="2AF80177" w14:textId="77777777" w:rsidR="00F92D6D" w:rsidRPr="00AF1EA9" w:rsidRDefault="00F92D6D" w:rsidP="00AF1EA9">
      <w:pPr>
        <w:pBdr>
          <w:top w:val="nil"/>
          <w:left w:val="nil"/>
          <w:bottom w:val="nil"/>
          <w:right w:val="nil"/>
          <w:between w:val="nil"/>
        </w:pBdr>
        <w:spacing w:after="0" w:line="360" w:lineRule="auto"/>
        <w:ind w:left="1" w:right="-20" w:hanging="3"/>
        <w:jc w:val="both"/>
        <w:rPr>
          <w:rFonts w:ascii="Arial" w:eastAsia="Arial" w:hAnsi="Arial" w:cs="Arial"/>
          <w:sz w:val="24"/>
          <w:szCs w:val="24"/>
        </w:rPr>
      </w:pPr>
    </w:p>
    <w:p w14:paraId="6A7C008B" w14:textId="77777777" w:rsidR="005264F5" w:rsidRPr="00AF1EA9" w:rsidRDefault="005264F5" w:rsidP="00AF1EA9">
      <w:pPr>
        <w:spacing w:after="0" w:line="360" w:lineRule="auto"/>
        <w:ind w:left="4320" w:firstLine="720"/>
        <w:jc w:val="both"/>
        <w:rPr>
          <w:rFonts w:ascii="Arial" w:eastAsia="Arial" w:hAnsi="Arial" w:cs="Arial"/>
          <w:b/>
          <w:sz w:val="24"/>
          <w:szCs w:val="24"/>
        </w:rPr>
      </w:pPr>
    </w:p>
    <w:p w14:paraId="322DBC7F" w14:textId="77777777" w:rsidR="005264F5" w:rsidRPr="00AF1EA9" w:rsidRDefault="005264F5" w:rsidP="00AF1EA9">
      <w:pPr>
        <w:spacing w:after="0" w:line="360" w:lineRule="auto"/>
        <w:ind w:left="4320" w:firstLine="720"/>
        <w:jc w:val="both"/>
        <w:rPr>
          <w:rFonts w:ascii="Arial" w:eastAsia="Arial" w:hAnsi="Arial" w:cs="Arial"/>
          <w:b/>
          <w:sz w:val="24"/>
          <w:szCs w:val="24"/>
        </w:rPr>
      </w:pPr>
    </w:p>
    <w:p w14:paraId="1FA53279" w14:textId="77777777" w:rsidR="005264F5" w:rsidRPr="00AF1EA9" w:rsidRDefault="005264F5" w:rsidP="00AF1EA9">
      <w:pPr>
        <w:spacing w:after="0" w:line="360" w:lineRule="auto"/>
        <w:ind w:left="4320" w:firstLine="720"/>
        <w:jc w:val="both"/>
        <w:rPr>
          <w:rFonts w:ascii="Arial" w:eastAsia="Arial" w:hAnsi="Arial" w:cs="Arial"/>
          <w:b/>
          <w:sz w:val="24"/>
          <w:szCs w:val="24"/>
        </w:rPr>
      </w:pPr>
    </w:p>
    <w:p w14:paraId="075D08ED" w14:textId="77777777" w:rsidR="00F92D6D" w:rsidRPr="00AF1EA9" w:rsidRDefault="00F92D6D" w:rsidP="00AF1EA9">
      <w:pPr>
        <w:spacing w:after="0" w:line="360" w:lineRule="auto"/>
        <w:ind w:left="4320" w:firstLine="720"/>
        <w:jc w:val="both"/>
        <w:rPr>
          <w:rFonts w:ascii="Arial" w:eastAsia="Arial" w:hAnsi="Arial" w:cs="Arial"/>
          <w:sz w:val="24"/>
          <w:szCs w:val="24"/>
        </w:rPr>
      </w:pPr>
      <w:r w:rsidRPr="00AF1EA9">
        <w:rPr>
          <w:rFonts w:ascii="Arial" w:eastAsia="Arial" w:hAnsi="Arial" w:cs="Arial"/>
          <w:b/>
          <w:sz w:val="24"/>
          <w:szCs w:val="24"/>
        </w:rPr>
        <w:t>_________________________</w:t>
      </w:r>
    </w:p>
    <w:p w14:paraId="30C0BDE9" w14:textId="48CFE474" w:rsidR="00B42556" w:rsidRPr="00AF1EA9" w:rsidRDefault="00F92D6D" w:rsidP="00AF1EA9">
      <w:pPr>
        <w:spacing w:after="0" w:line="360" w:lineRule="auto"/>
        <w:ind w:left="1" w:hanging="3"/>
        <w:jc w:val="both"/>
        <w:rPr>
          <w:rFonts w:ascii="Arial" w:eastAsia="Arial" w:hAnsi="Arial" w:cs="Arial"/>
          <w:b/>
          <w:sz w:val="24"/>
          <w:szCs w:val="24"/>
        </w:rPr>
      </w:pPr>
      <w:r w:rsidRPr="00AF1EA9">
        <w:rPr>
          <w:rFonts w:ascii="Arial" w:eastAsia="Arial" w:hAnsi="Arial" w:cs="Arial"/>
          <w:sz w:val="24"/>
          <w:szCs w:val="24"/>
        </w:rPr>
        <w:tab/>
      </w:r>
      <w:r w:rsidRPr="00AF1EA9">
        <w:rPr>
          <w:rFonts w:ascii="Arial" w:eastAsia="Arial" w:hAnsi="Arial" w:cs="Arial"/>
          <w:sz w:val="24"/>
          <w:szCs w:val="24"/>
        </w:rPr>
        <w:tab/>
      </w:r>
      <w:r w:rsidRPr="00AF1EA9">
        <w:rPr>
          <w:rFonts w:ascii="Arial" w:eastAsia="Arial" w:hAnsi="Arial" w:cs="Arial"/>
          <w:sz w:val="24"/>
          <w:szCs w:val="24"/>
        </w:rPr>
        <w:tab/>
      </w:r>
      <w:r w:rsidRPr="00AF1EA9">
        <w:rPr>
          <w:rFonts w:ascii="Arial" w:eastAsia="Arial" w:hAnsi="Arial" w:cs="Arial"/>
          <w:sz w:val="24"/>
          <w:szCs w:val="24"/>
        </w:rPr>
        <w:tab/>
      </w:r>
      <w:r w:rsidR="005264F5" w:rsidRPr="00AF1EA9">
        <w:rPr>
          <w:rFonts w:ascii="Arial" w:eastAsia="Arial" w:hAnsi="Arial" w:cs="Arial"/>
          <w:sz w:val="24"/>
          <w:szCs w:val="24"/>
        </w:rPr>
        <w:tab/>
      </w:r>
      <w:r w:rsidR="005264F5" w:rsidRPr="00AF1EA9">
        <w:rPr>
          <w:rFonts w:ascii="Arial" w:eastAsia="Arial" w:hAnsi="Arial" w:cs="Arial"/>
          <w:sz w:val="24"/>
          <w:szCs w:val="24"/>
        </w:rPr>
        <w:tab/>
      </w:r>
      <w:r w:rsidR="005264F5" w:rsidRPr="00AF1EA9">
        <w:rPr>
          <w:rFonts w:ascii="Arial" w:eastAsia="Arial" w:hAnsi="Arial" w:cs="Arial"/>
          <w:sz w:val="24"/>
          <w:szCs w:val="24"/>
        </w:rPr>
        <w:tab/>
      </w:r>
      <w:r w:rsidR="005264F5" w:rsidRPr="00AF1EA9">
        <w:rPr>
          <w:rFonts w:ascii="Arial" w:eastAsia="Arial" w:hAnsi="Arial" w:cs="Arial"/>
          <w:sz w:val="24"/>
          <w:szCs w:val="24"/>
        </w:rPr>
        <w:tab/>
      </w:r>
      <w:r w:rsidR="00635084" w:rsidRPr="00AF1EA9">
        <w:rPr>
          <w:rFonts w:ascii="Arial" w:eastAsia="Arial" w:hAnsi="Arial" w:cs="Arial"/>
          <w:b/>
          <w:sz w:val="24"/>
          <w:szCs w:val="24"/>
        </w:rPr>
        <w:t>MANGENA A.J</w:t>
      </w:r>
    </w:p>
    <w:p w14:paraId="6999C5A0" w14:textId="70C175C4" w:rsidR="0037154F" w:rsidRPr="00AF1EA9" w:rsidRDefault="0037154F" w:rsidP="00AF1EA9">
      <w:pPr>
        <w:spacing w:after="0" w:line="360" w:lineRule="auto"/>
        <w:ind w:left="4321"/>
        <w:jc w:val="both"/>
        <w:rPr>
          <w:rFonts w:ascii="Arial" w:eastAsia="Arial" w:hAnsi="Arial" w:cs="Arial"/>
          <w:b/>
          <w:sz w:val="24"/>
          <w:szCs w:val="24"/>
        </w:rPr>
      </w:pPr>
      <w:r w:rsidRPr="00AF1EA9">
        <w:rPr>
          <w:rFonts w:ascii="Arial" w:eastAsia="Arial" w:hAnsi="Arial" w:cs="Arial"/>
          <w:b/>
          <w:sz w:val="24"/>
          <w:szCs w:val="24"/>
        </w:rPr>
        <w:t xml:space="preserve">         </w:t>
      </w:r>
      <w:r w:rsidR="005264F5" w:rsidRPr="00AF1EA9">
        <w:rPr>
          <w:rFonts w:ascii="Arial" w:eastAsia="Arial" w:hAnsi="Arial" w:cs="Arial"/>
          <w:b/>
          <w:sz w:val="24"/>
          <w:szCs w:val="24"/>
        </w:rPr>
        <w:tab/>
      </w:r>
      <w:r w:rsidR="00F92D6D" w:rsidRPr="00AF1EA9">
        <w:rPr>
          <w:rFonts w:ascii="Arial" w:eastAsia="Arial" w:hAnsi="Arial" w:cs="Arial"/>
          <w:b/>
          <w:sz w:val="24"/>
          <w:szCs w:val="24"/>
        </w:rPr>
        <w:t>ACTING JUDGE</w:t>
      </w:r>
      <w:r w:rsidR="00635084" w:rsidRPr="00AF1EA9">
        <w:rPr>
          <w:rFonts w:ascii="Arial" w:eastAsia="Arial" w:hAnsi="Arial" w:cs="Arial"/>
          <w:b/>
          <w:sz w:val="24"/>
          <w:szCs w:val="24"/>
        </w:rPr>
        <w:t xml:space="preserve"> OF HIGH COURT</w:t>
      </w:r>
    </w:p>
    <w:p w14:paraId="13ACF19A" w14:textId="0A59A04E" w:rsidR="00F92D6D" w:rsidRPr="00AF1EA9" w:rsidRDefault="00B42556" w:rsidP="00AF1EA9">
      <w:pPr>
        <w:spacing w:after="0" w:line="360" w:lineRule="auto"/>
        <w:ind w:left="1" w:hanging="3"/>
        <w:jc w:val="both"/>
        <w:rPr>
          <w:rFonts w:ascii="Arial" w:eastAsia="Arial" w:hAnsi="Arial" w:cs="Arial"/>
          <w:b/>
          <w:sz w:val="24"/>
          <w:szCs w:val="24"/>
        </w:rPr>
      </w:pPr>
      <w:r w:rsidRPr="00AF1EA9">
        <w:rPr>
          <w:rFonts w:ascii="Arial" w:eastAsia="Arial" w:hAnsi="Arial" w:cs="Arial"/>
          <w:b/>
          <w:sz w:val="24"/>
          <w:szCs w:val="24"/>
        </w:rPr>
        <w:t xml:space="preserve">      </w:t>
      </w:r>
      <w:r w:rsidR="005264F5" w:rsidRPr="00AF1EA9">
        <w:rPr>
          <w:rFonts w:ascii="Arial" w:eastAsia="Arial" w:hAnsi="Arial" w:cs="Arial"/>
          <w:b/>
          <w:sz w:val="24"/>
          <w:szCs w:val="24"/>
        </w:rPr>
        <w:tab/>
      </w:r>
      <w:r w:rsidR="005264F5" w:rsidRPr="00AF1EA9">
        <w:rPr>
          <w:rFonts w:ascii="Arial" w:eastAsia="Arial" w:hAnsi="Arial" w:cs="Arial"/>
          <w:b/>
          <w:sz w:val="24"/>
          <w:szCs w:val="24"/>
        </w:rPr>
        <w:tab/>
      </w:r>
      <w:r w:rsidR="005264F5" w:rsidRPr="00AF1EA9">
        <w:rPr>
          <w:rFonts w:ascii="Arial" w:eastAsia="Arial" w:hAnsi="Arial" w:cs="Arial"/>
          <w:b/>
          <w:sz w:val="24"/>
          <w:szCs w:val="24"/>
        </w:rPr>
        <w:tab/>
      </w:r>
      <w:r w:rsidR="005264F5" w:rsidRPr="00AF1EA9">
        <w:rPr>
          <w:rFonts w:ascii="Arial" w:eastAsia="Arial" w:hAnsi="Arial" w:cs="Arial"/>
          <w:b/>
          <w:sz w:val="24"/>
          <w:szCs w:val="24"/>
        </w:rPr>
        <w:tab/>
      </w:r>
      <w:r w:rsidR="005264F5" w:rsidRPr="00AF1EA9">
        <w:rPr>
          <w:rFonts w:ascii="Arial" w:eastAsia="Arial" w:hAnsi="Arial" w:cs="Arial"/>
          <w:b/>
          <w:sz w:val="24"/>
          <w:szCs w:val="24"/>
        </w:rPr>
        <w:tab/>
      </w:r>
      <w:r w:rsidR="005264F5" w:rsidRPr="00AF1EA9">
        <w:rPr>
          <w:rFonts w:ascii="Arial" w:eastAsia="Arial" w:hAnsi="Arial" w:cs="Arial"/>
          <w:b/>
          <w:sz w:val="24"/>
          <w:szCs w:val="24"/>
        </w:rPr>
        <w:tab/>
      </w:r>
      <w:r w:rsidR="005264F5" w:rsidRPr="00AF1EA9">
        <w:rPr>
          <w:rFonts w:ascii="Arial" w:eastAsia="Arial" w:hAnsi="Arial" w:cs="Arial"/>
          <w:b/>
          <w:sz w:val="24"/>
          <w:szCs w:val="24"/>
        </w:rPr>
        <w:tab/>
      </w:r>
      <w:r w:rsidR="00F92D6D" w:rsidRPr="00AF1EA9">
        <w:rPr>
          <w:rFonts w:ascii="Arial" w:eastAsia="Arial" w:hAnsi="Arial" w:cs="Arial"/>
          <w:b/>
          <w:sz w:val="24"/>
          <w:szCs w:val="24"/>
        </w:rPr>
        <w:t>LIMPOPO DIVISION</w:t>
      </w:r>
      <w:r w:rsidR="0037154F" w:rsidRPr="00AF1EA9">
        <w:rPr>
          <w:rFonts w:ascii="Arial" w:eastAsia="Arial" w:hAnsi="Arial" w:cs="Arial"/>
          <w:b/>
          <w:sz w:val="24"/>
          <w:szCs w:val="24"/>
        </w:rPr>
        <w:t>, POLOKWANE</w:t>
      </w:r>
    </w:p>
    <w:p w14:paraId="380311E5" w14:textId="77777777" w:rsidR="00F92D6D" w:rsidRPr="00AF1EA9" w:rsidRDefault="00F92D6D" w:rsidP="00AF1EA9">
      <w:pPr>
        <w:pBdr>
          <w:top w:val="nil"/>
          <w:left w:val="nil"/>
          <w:bottom w:val="nil"/>
          <w:right w:val="nil"/>
          <w:between w:val="nil"/>
        </w:pBdr>
        <w:spacing w:after="0" w:line="360" w:lineRule="auto"/>
        <w:ind w:left="1" w:hanging="3"/>
        <w:jc w:val="both"/>
        <w:rPr>
          <w:rFonts w:ascii="Arial" w:eastAsia="Arial" w:hAnsi="Arial" w:cs="Arial"/>
          <w:color w:val="000000"/>
          <w:sz w:val="24"/>
          <w:szCs w:val="24"/>
        </w:rPr>
      </w:pPr>
    </w:p>
    <w:p w14:paraId="24DC1AAC" w14:textId="0362E983" w:rsidR="00F92D6D" w:rsidRPr="00AF1EA9" w:rsidRDefault="00F92D6D" w:rsidP="00AF1EA9">
      <w:pPr>
        <w:spacing w:line="360" w:lineRule="auto"/>
        <w:jc w:val="both"/>
        <w:rPr>
          <w:rFonts w:ascii="Arial" w:hAnsi="Arial" w:cs="Arial"/>
          <w:sz w:val="24"/>
          <w:szCs w:val="24"/>
        </w:rPr>
      </w:pPr>
    </w:p>
    <w:p w14:paraId="04A4F799" w14:textId="47BB541D" w:rsidR="003F4CA1" w:rsidRPr="00AF1EA9" w:rsidRDefault="003F4CA1" w:rsidP="00AF1EA9">
      <w:pPr>
        <w:spacing w:line="360" w:lineRule="auto"/>
        <w:jc w:val="both"/>
        <w:rPr>
          <w:rFonts w:ascii="Arial" w:hAnsi="Arial" w:cs="Arial"/>
          <w:sz w:val="24"/>
          <w:szCs w:val="24"/>
        </w:rPr>
      </w:pPr>
    </w:p>
    <w:p w14:paraId="7896CAD4" w14:textId="4BF00F3E" w:rsidR="003F4CA1" w:rsidRPr="00AF1EA9" w:rsidRDefault="003F4CA1" w:rsidP="00AF1EA9">
      <w:pPr>
        <w:spacing w:line="360" w:lineRule="auto"/>
        <w:jc w:val="both"/>
        <w:rPr>
          <w:rFonts w:ascii="Arial" w:hAnsi="Arial" w:cs="Arial"/>
          <w:sz w:val="24"/>
          <w:szCs w:val="24"/>
        </w:rPr>
      </w:pPr>
    </w:p>
    <w:p w14:paraId="53858A79" w14:textId="1A91D0DD" w:rsidR="003F4CA1" w:rsidRPr="00AF1EA9" w:rsidRDefault="003F4CA1" w:rsidP="00AF1EA9">
      <w:pPr>
        <w:spacing w:line="360" w:lineRule="auto"/>
        <w:jc w:val="both"/>
        <w:rPr>
          <w:rFonts w:ascii="Arial" w:hAnsi="Arial" w:cs="Arial"/>
          <w:b/>
          <w:bCs/>
          <w:sz w:val="24"/>
          <w:szCs w:val="24"/>
        </w:rPr>
      </w:pPr>
      <w:r w:rsidRPr="00AF1EA9">
        <w:rPr>
          <w:rFonts w:ascii="Arial" w:hAnsi="Arial" w:cs="Arial"/>
          <w:b/>
          <w:bCs/>
          <w:sz w:val="24"/>
          <w:szCs w:val="24"/>
        </w:rPr>
        <w:t>APPEARANCE:</w:t>
      </w:r>
    </w:p>
    <w:p w14:paraId="5A10D340" w14:textId="5B058DE6" w:rsidR="00B730CA" w:rsidRDefault="003F4CA1" w:rsidP="00AF1EA9">
      <w:pPr>
        <w:spacing w:line="360" w:lineRule="auto"/>
        <w:jc w:val="both"/>
        <w:rPr>
          <w:rFonts w:ascii="Arial" w:hAnsi="Arial" w:cs="Arial"/>
          <w:sz w:val="24"/>
          <w:szCs w:val="24"/>
        </w:rPr>
      </w:pPr>
      <w:r w:rsidRPr="00AF1EA9">
        <w:rPr>
          <w:rFonts w:ascii="Arial" w:hAnsi="Arial" w:cs="Arial"/>
          <w:sz w:val="24"/>
          <w:szCs w:val="24"/>
        </w:rPr>
        <w:t>Counsel for the Applicant</w:t>
      </w:r>
      <w:r w:rsidR="002F2214" w:rsidRPr="00AF1EA9">
        <w:rPr>
          <w:rFonts w:ascii="Arial" w:hAnsi="Arial" w:cs="Arial"/>
          <w:sz w:val="24"/>
          <w:szCs w:val="24"/>
        </w:rPr>
        <w:t>s</w:t>
      </w:r>
      <w:r w:rsidR="0005648D" w:rsidRPr="00AF1EA9">
        <w:rPr>
          <w:rFonts w:ascii="Arial" w:hAnsi="Arial" w:cs="Arial"/>
          <w:sz w:val="24"/>
          <w:szCs w:val="24"/>
        </w:rPr>
        <w:tab/>
      </w:r>
      <w:r w:rsidR="00781622" w:rsidRPr="00AF1EA9">
        <w:rPr>
          <w:rFonts w:ascii="Arial" w:hAnsi="Arial" w:cs="Arial"/>
          <w:sz w:val="24"/>
          <w:szCs w:val="24"/>
        </w:rPr>
        <w:tab/>
      </w:r>
      <w:r w:rsidR="0005648D" w:rsidRPr="00AF1EA9">
        <w:rPr>
          <w:rFonts w:ascii="Arial" w:hAnsi="Arial" w:cs="Arial"/>
          <w:sz w:val="24"/>
          <w:szCs w:val="24"/>
        </w:rPr>
        <w:t>:</w:t>
      </w:r>
      <w:r w:rsidR="00AF1EA9">
        <w:rPr>
          <w:rFonts w:ascii="Arial" w:hAnsi="Arial" w:cs="Arial"/>
          <w:sz w:val="24"/>
          <w:szCs w:val="24"/>
        </w:rPr>
        <w:t xml:space="preserve"> </w:t>
      </w:r>
      <w:r w:rsidR="00E42316">
        <w:rPr>
          <w:rFonts w:ascii="Arial" w:hAnsi="Arial" w:cs="Arial"/>
          <w:sz w:val="24"/>
          <w:szCs w:val="24"/>
        </w:rPr>
        <w:tab/>
        <w:t>Adv J C U</w:t>
      </w:r>
      <w:r w:rsidR="009D3C68">
        <w:rPr>
          <w:rFonts w:ascii="Arial" w:hAnsi="Arial" w:cs="Arial"/>
          <w:sz w:val="24"/>
          <w:szCs w:val="24"/>
        </w:rPr>
        <w:t>ys</w:t>
      </w:r>
      <w:r w:rsidR="00E42316">
        <w:rPr>
          <w:rFonts w:ascii="Arial" w:hAnsi="Arial" w:cs="Arial"/>
          <w:sz w:val="24"/>
          <w:szCs w:val="24"/>
        </w:rPr>
        <w:t xml:space="preserve"> SC</w:t>
      </w:r>
    </w:p>
    <w:p w14:paraId="67FD7F1A" w14:textId="2056305A" w:rsidR="00E42316" w:rsidRPr="00AF1EA9" w:rsidRDefault="00E42316" w:rsidP="00AF1EA9">
      <w:pPr>
        <w:spacing w:line="360" w:lineRule="auto"/>
        <w:jc w:val="both"/>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009D3C68">
        <w:rPr>
          <w:rFonts w:ascii="Arial" w:hAnsi="Arial" w:cs="Arial"/>
          <w:sz w:val="24"/>
          <w:szCs w:val="24"/>
        </w:rPr>
        <w:t>Mashabela attorneys inc</w:t>
      </w:r>
    </w:p>
    <w:p w14:paraId="12091E75" w14:textId="77777777" w:rsidR="00B730CA" w:rsidRPr="00AF1EA9" w:rsidRDefault="00B730CA" w:rsidP="00AF1EA9">
      <w:pPr>
        <w:spacing w:line="360" w:lineRule="auto"/>
        <w:jc w:val="both"/>
        <w:rPr>
          <w:rFonts w:ascii="Arial" w:hAnsi="Arial" w:cs="Arial"/>
          <w:sz w:val="24"/>
          <w:szCs w:val="24"/>
        </w:rPr>
      </w:pPr>
    </w:p>
    <w:p w14:paraId="6F7F5FC9" w14:textId="5E847FAF" w:rsidR="00E42316" w:rsidRDefault="0005648D" w:rsidP="00AF1EA9">
      <w:pPr>
        <w:spacing w:line="360" w:lineRule="auto"/>
        <w:jc w:val="both"/>
        <w:rPr>
          <w:rFonts w:ascii="Arial" w:hAnsi="Arial" w:cs="Arial"/>
          <w:sz w:val="24"/>
          <w:szCs w:val="24"/>
        </w:rPr>
      </w:pPr>
      <w:r w:rsidRPr="00AF1EA9">
        <w:rPr>
          <w:rFonts w:ascii="Arial" w:hAnsi="Arial" w:cs="Arial"/>
          <w:sz w:val="24"/>
          <w:szCs w:val="24"/>
        </w:rPr>
        <w:t>Counsel for the Respondents</w:t>
      </w:r>
      <w:r w:rsidRPr="00AF1EA9">
        <w:rPr>
          <w:rFonts w:ascii="Arial" w:hAnsi="Arial" w:cs="Arial"/>
          <w:sz w:val="24"/>
          <w:szCs w:val="24"/>
        </w:rPr>
        <w:tab/>
        <w:t>:</w:t>
      </w:r>
      <w:r w:rsidR="00E42316">
        <w:rPr>
          <w:rFonts w:ascii="Arial" w:hAnsi="Arial" w:cs="Arial"/>
          <w:sz w:val="24"/>
          <w:szCs w:val="24"/>
        </w:rPr>
        <w:tab/>
        <w:t>Adv M</w:t>
      </w:r>
      <w:r w:rsidR="009D3C68">
        <w:rPr>
          <w:rFonts w:ascii="Arial" w:hAnsi="Arial" w:cs="Arial"/>
          <w:sz w:val="24"/>
          <w:szCs w:val="24"/>
        </w:rPr>
        <w:t xml:space="preserve"> S Mphahlele SC</w:t>
      </w:r>
    </w:p>
    <w:p w14:paraId="53C4E7B3" w14:textId="07F7EE2F" w:rsidR="0005648D" w:rsidRDefault="00E42316" w:rsidP="00AF1EA9">
      <w:pPr>
        <w:spacing w:line="360" w:lineRule="auto"/>
        <w:jc w:val="both"/>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State attorney </w:t>
      </w:r>
      <w:r>
        <w:rPr>
          <w:rFonts w:ascii="Arial" w:hAnsi="Arial" w:cs="Arial"/>
          <w:sz w:val="24"/>
          <w:szCs w:val="24"/>
        </w:rPr>
        <w:tab/>
      </w:r>
    </w:p>
    <w:p w14:paraId="3CF60CC2" w14:textId="77777777" w:rsidR="001D506D" w:rsidRDefault="001D506D" w:rsidP="00AF1EA9">
      <w:pPr>
        <w:spacing w:line="360" w:lineRule="auto"/>
        <w:jc w:val="both"/>
        <w:rPr>
          <w:rFonts w:ascii="Arial" w:hAnsi="Arial" w:cs="Arial"/>
          <w:sz w:val="24"/>
          <w:szCs w:val="24"/>
        </w:rPr>
      </w:pPr>
    </w:p>
    <w:p w14:paraId="465455BA" w14:textId="0719662C" w:rsidR="001D506D" w:rsidRDefault="001D506D" w:rsidP="00AF1EA9">
      <w:pPr>
        <w:spacing w:line="360" w:lineRule="auto"/>
        <w:jc w:val="both"/>
        <w:rPr>
          <w:rFonts w:ascii="Arial" w:hAnsi="Arial" w:cs="Arial"/>
          <w:sz w:val="24"/>
          <w:szCs w:val="24"/>
        </w:rPr>
      </w:pPr>
      <w:r>
        <w:rPr>
          <w:rFonts w:ascii="Arial" w:hAnsi="Arial" w:cs="Arial"/>
          <w:sz w:val="24"/>
          <w:szCs w:val="24"/>
        </w:rPr>
        <w:t>Date of hearing</w:t>
      </w:r>
      <w:r>
        <w:rPr>
          <w:rFonts w:ascii="Arial" w:hAnsi="Arial" w:cs="Arial"/>
          <w:sz w:val="24"/>
          <w:szCs w:val="24"/>
        </w:rPr>
        <w:tab/>
      </w:r>
      <w:r>
        <w:rPr>
          <w:rFonts w:ascii="Arial" w:hAnsi="Arial" w:cs="Arial"/>
          <w:sz w:val="24"/>
          <w:szCs w:val="24"/>
        </w:rPr>
        <w:tab/>
      </w:r>
      <w:r w:rsidR="00B311AA">
        <w:rPr>
          <w:rFonts w:ascii="Arial" w:hAnsi="Arial" w:cs="Arial"/>
          <w:sz w:val="24"/>
          <w:szCs w:val="24"/>
        </w:rPr>
        <w:tab/>
      </w:r>
      <w:r>
        <w:rPr>
          <w:rFonts w:ascii="Arial" w:hAnsi="Arial" w:cs="Arial"/>
          <w:sz w:val="24"/>
          <w:szCs w:val="24"/>
        </w:rPr>
        <w:t>:</w:t>
      </w:r>
      <w:r>
        <w:rPr>
          <w:rFonts w:ascii="Arial" w:hAnsi="Arial" w:cs="Arial"/>
          <w:sz w:val="24"/>
          <w:szCs w:val="24"/>
        </w:rPr>
        <w:tab/>
        <w:t>25 February 2022</w:t>
      </w:r>
    </w:p>
    <w:p w14:paraId="2299CAA8" w14:textId="521B92A7" w:rsidR="001D506D" w:rsidRPr="00B7497B" w:rsidRDefault="001D506D" w:rsidP="00AF1EA9">
      <w:pPr>
        <w:spacing w:line="360" w:lineRule="auto"/>
        <w:jc w:val="both"/>
        <w:rPr>
          <w:rFonts w:ascii="Arial" w:hAnsi="Arial" w:cs="Arial"/>
          <w:sz w:val="24"/>
          <w:szCs w:val="24"/>
        </w:rPr>
      </w:pPr>
      <w:r>
        <w:rPr>
          <w:rFonts w:ascii="Arial" w:hAnsi="Arial" w:cs="Arial"/>
          <w:sz w:val="24"/>
          <w:szCs w:val="24"/>
        </w:rPr>
        <w:t>Date of judgment</w:t>
      </w:r>
      <w:r>
        <w:rPr>
          <w:rFonts w:ascii="Arial" w:hAnsi="Arial" w:cs="Arial"/>
          <w:sz w:val="24"/>
          <w:szCs w:val="24"/>
        </w:rPr>
        <w:tab/>
      </w:r>
      <w:r>
        <w:rPr>
          <w:rFonts w:ascii="Arial" w:hAnsi="Arial" w:cs="Arial"/>
          <w:sz w:val="24"/>
          <w:szCs w:val="24"/>
        </w:rPr>
        <w:tab/>
      </w:r>
      <w:r w:rsidR="00B311AA">
        <w:rPr>
          <w:rFonts w:ascii="Arial" w:hAnsi="Arial" w:cs="Arial"/>
          <w:sz w:val="24"/>
          <w:szCs w:val="24"/>
        </w:rPr>
        <w:tab/>
      </w:r>
      <w:r w:rsidR="005F51AB">
        <w:rPr>
          <w:rFonts w:ascii="Arial" w:hAnsi="Arial" w:cs="Arial"/>
          <w:sz w:val="24"/>
          <w:szCs w:val="24"/>
        </w:rPr>
        <w:t>:</w:t>
      </w:r>
      <w:r w:rsidR="005F51AB">
        <w:rPr>
          <w:rFonts w:ascii="Arial" w:hAnsi="Arial" w:cs="Arial"/>
          <w:sz w:val="24"/>
          <w:szCs w:val="24"/>
        </w:rPr>
        <w:tab/>
        <w:t xml:space="preserve">16 </w:t>
      </w:r>
      <w:bookmarkStart w:id="0" w:name="_GoBack"/>
      <w:bookmarkEnd w:id="0"/>
      <w:r>
        <w:rPr>
          <w:rFonts w:ascii="Arial" w:hAnsi="Arial" w:cs="Arial"/>
          <w:sz w:val="24"/>
          <w:szCs w:val="24"/>
        </w:rPr>
        <w:t>May 2022</w:t>
      </w:r>
    </w:p>
    <w:sectPr w:rsidR="001D506D" w:rsidRPr="00B7497B" w:rsidSect="007C5C9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DBCF7" w14:textId="77777777" w:rsidR="0083355D" w:rsidRDefault="0083355D">
      <w:pPr>
        <w:spacing w:after="0" w:line="240" w:lineRule="auto"/>
      </w:pPr>
      <w:r>
        <w:separator/>
      </w:r>
    </w:p>
  </w:endnote>
  <w:endnote w:type="continuationSeparator" w:id="0">
    <w:p w14:paraId="760309AF" w14:textId="77777777" w:rsidR="0083355D" w:rsidRDefault="0083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564770"/>
      <w:docPartObj>
        <w:docPartGallery w:val="Page Numbers (Bottom of Page)"/>
        <w:docPartUnique/>
      </w:docPartObj>
    </w:sdtPr>
    <w:sdtEndPr>
      <w:rPr>
        <w:color w:val="7F7F7F" w:themeColor="background1" w:themeShade="7F"/>
        <w:spacing w:val="60"/>
      </w:rPr>
    </w:sdtEndPr>
    <w:sdtContent>
      <w:p w14:paraId="15E9F6B2" w14:textId="5D3C44AC" w:rsidR="00EA4C6D" w:rsidRDefault="00EA4C6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3355D" w:rsidRPr="0083355D">
          <w:rPr>
            <w:b/>
            <w:bCs/>
            <w:noProof/>
          </w:rPr>
          <w:t>1</w:t>
        </w:r>
        <w:r>
          <w:rPr>
            <w:b/>
            <w:bCs/>
            <w:noProof/>
          </w:rPr>
          <w:fldChar w:fldCharType="end"/>
        </w:r>
        <w:r>
          <w:rPr>
            <w:b/>
            <w:bCs/>
          </w:rPr>
          <w:t xml:space="preserve"> | </w:t>
        </w:r>
        <w:r>
          <w:rPr>
            <w:color w:val="7F7F7F" w:themeColor="background1" w:themeShade="7F"/>
            <w:spacing w:val="60"/>
          </w:rPr>
          <w:t>Page</w:t>
        </w:r>
      </w:p>
    </w:sdtContent>
  </w:sdt>
  <w:p w14:paraId="4BA9D06C" w14:textId="77777777" w:rsidR="00EA4C6D" w:rsidRDefault="00EA4C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0970" w14:textId="77777777" w:rsidR="0083355D" w:rsidRDefault="0083355D">
      <w:pPr>
        <w:spacing w:after="0" w:line="240" w:lineRule="auto"/>
      </w:pPr>
      <w:r>
        <w:separator/>
      </w:r>
    </w:p>
  </w:footnote>
  <w:footnote w:type="continuationSeparator" w:id="0">
    <w:p w14:paraId="65DBC642" w14:textId="77777777" w:rsidR="0083355D" w:rsidRDefault="00833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3C9"/>
    <w:multiLevelType w:val="hybridMultilevel"/>
    <w:tmpl w:val="B02C22F0"/>
    <w:lvl w:ilvl="0" w:tplc="C5CE06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81D0F8A"/>
    <w:multiLevelType w:val="hybridMultilevel"/>
    <w:tmpl w:val="C1E6133C"/>
    <w:lvl w:ilvl="0" w:tplc="84E49D8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A7A3548"/>
    <w:multiLevelType w:val="multilevel"/>
    <w:tmpl w:val="501A5BCA"/>
    <w:lvl w:ilvl="0">
      <w:start w:val="1"/>
      <w:numFmt w:val="decimal"/>
      <w:lvlText w:val="%1."/>
      <w:lvlJc w:val="left"/>
      <w:pPr>
        <w:ind w:left="2160" w:hanging="360"/>
      </w:pPr>
      <w:rPr>
        <w:rFonts w:hint="default"/>
      </w:rPr>
    </w:lvl>
    <w:lvl w:ilvl="1">
      <w:start w:val="1"/>
      <w:numFmt w:val="decimal"/>
      <w:isLgl/>
      <w:lvlText w:val="%1.%2"/>
      <w:lvlJc w:val="left"/>
      <w:pPr>
        <w:ind w:left="234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5B017BD9"/>
    <w:multiLevelType w:val="hybridMultilevel"/>
    <w:tmpl w:val="7A269516"/>
    <w:lvl w:ilvl="0" w:tplc="1728A424">
      <w:start w:val="1"/>
      <w:numFmt w:val="lowerLetter"/>
      <w:lvlText w:val="(%1)"/>
      <w:lvlJc w:val="left"/>
      <w:pPr>
        <w:ind w:left="2204" w:hanging="36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4" w15:restartNumberingAfterBreak="0">
    <w:nsid w:val="66B50820"/>
    <w:multiLevelType w:val="hybridMultilevel"/>
    <w:tmpl w:val="5CE2C29A"/>
    <w:lvl w:ilvl="0" w:tplc="7B9A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4B3B2D"/>
    <w:multiLevelType w:val="hybridMultilevel"/>
    <w:tmpl w:val="459CFA8C"/>
    <w:lvl w:ilvl="0" w:tplc="BD9A71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7567C3B"/>
    <w:multiLevelType w:val="hybridMultilevel"/>
    <w:tmpl w:val="3926D7B6"/>
    <w:lvl w:ilvl="0" w:tplc="C4E401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B2"/>
    <w:rsid w:val="00003F79"/>
    <w:rsid w:val="000040D8"/>
    <w:rsid w:val="000111DB"/>
    <w:rsid w:val="00013191"/>
    <w:rsid w:val="00015698"/>
    <w:rsid w:val="00022F95"/>
    <w:rsid w:val="00027320"/>
    <w:rsid w:val="00042954"/>
    <w:rsid w:val="00044D19"/>
    <w:rsid w:val="00050C9D"/>
    <w:rsid w:val="00051439"/>
    <w:rsid w:val="000517C8"/>
    <w:rsid w:val="000544A3"/>
    <w:rsid w:val="00054794"/>
    <w:rsid w:val="0005648D"/>
    <w:rsid w:val="00061061"/>
    <w:rsid w:val="00061603"/>
    <w:rsid w:val="000722E9"/>
    <w:rsid w:val="00077666"/>
    <w:rsid w:val="0007795D"/>
    <w:rsid w:val="000847F5"/>
    <w:rsid w:val="00084BED"/>
    <w:rsid w:val="000901B0"/>
    <w:rsid w:val="00091F70"/>
    <w:rsid w:val="000925FA"/>
    <w:rsid w:val="000951FE"/>
    <w:rsid w:val="000956FB"/>
    <w:rsid w:val="000A3782"/>
    <w:rsid w:val="000A56ED"/>
    <w:rsid w:val="000A6488"/>
    <w:rsid w:val="000A7023"/>
    <w:rsid w:val="000A7662"/>
    <w:rsid w:val="000B5AA1"/>
    <w:rsid w:val="000C1831"/>
    <w:rsid w:val="000C31D0"/>
    <w:rsid w:val="000C4FD5"/>
    <w:rsid w:val="000C51EF"/>
    <w:rsid w:val="000C7BFE"/>
    <w:rsid w:val="000D3336"/>
    <w:rsid w:val="000D70F4"/>
    <w:rsid w:val="000E0425"/>
    <w:rsid w:val="000E21DA"/>
    <w:rsid w:val="000E2E21"/>
    <w:rsid w:val="000E6D82"/>
    <w:rsid w:val="000F6549"/>
    <w:rsid w:val="00102285"/>
    <w:rsid w:val="001077EE"/>
    <w:rsid w:val="00111D2F"/>
    <w:rsid w:val="00121BF3"/>
    <w:rsid w:val="0013415D"/>
    <w:rsid w:val="001411A1"/>
    <w:rsid w:val="00143670"/>
    <w:rsid w:val="00144CA8"/>
    <w:rsid w:val="00145360"/>
    <w:rsid w:val="00145B57"/>
    <w:rsid w:val="0015227F"/>
    <w:rsid w:val="00157511"/>
    <w:rsid w:val="00157C6E"/>
    <w:rsid w:val="00170E5E"/>
    <w:rsid w:val="00182C86"/>
    <w:rsid w:val="00183247"/>
    <w:rsid w:val="00187CB4"/>
    <w:rsid w:val="00190E15"/>
    <w:rsid w:val="001A0205"/>
    <w:rsid w:val="001A17C5"/>
    <w:rsid w:val="001A24F7"/>
    <w:rsid w:val="001B04B5"/>
    <w:rsid w:val="001B1591"/>
    <w:rsid w:val="001C2BDA"/>
    <w:rsid w:val="001C6F33"/>
    <w:rsid w:val="001D3079"/>
    <w:rsid w:val="001D4A1B"/>
    <w:rsid w:val="001D506D"/>
    <w:rsid w:val="001D5859"/>
    <w:rsid w:val="001E3183"/>
    <w:rsid w:val="001F3F64"/>
    <w:rsid w:val="001F5DCA"/>
    <w:rsid w:val="001F6136"/>
    <w:rsid w:val="001F7F1E"/>
    <w:rsid w:val="002030E9"/>
    <w:rsid w:val="00204566"/>
    <w:rsid w:val="00206A2A"/>
    <w:rsid w:val="002175A6"/>
    <w:rsid w:val="00224AD9"/>
    <w:rsid w:val="00224D88"/>
    <w:rsid w:val="002445DA"/>
    <w:rsid w:val="002502B5"/>
    <w:rsid w:val="002526F7"/>
    <w:rsid w:val="00261E81"/>
    <w:rsid w:val="00271C50"/>
    <w:rsid w:val="0027458C"/>
    <w:rsid w:val="002756CA"/>
    <w:rsid w:val="002763EA"/>
    <w:rsid w:val="00285551"/>
    <w:rsid w:val="00286D72"/>
    <w:rsid w:val="0029138E"/>
    <w:rsid w:val="00291A5B"/>
    <w:rsid w:val="00292043"/>
    <w:rsid w:val="002920D7"/>
    <w:rsid w:val="00292A2D"/>
    <w:rsid w:val="00292E4C"/>
    <w:rsid w:val="00292EA4"/>
    <w:rsid w:val="002A5282"/>
    <w:rsid w:val="002B3C50"/>
    <w:rsid w:val="002B4A13"/>
    <w:rsid w:val="002B4D5D"/>
    <w:rsid w:val="002C3504"/>
    <w:rsid w:val="002C4233"/>
    <w:rsid w:val="002C4A1E"/>
    <w:rsid w:val="002E0280"/>
    <w:rsid w:val="002E0F3D"/>
    <w:rsid w:val="002E1790"/>
    <w:rsid w:val="002E1D83"/>
    <w:rsid w:val="002E26DE"/>
    <w:rsid w:val="002E4538"/>
    <w:rsid w:val="002E5561"/>
    <w:rsid w:val="002E6E21"/>
    <w:rsid w:val="002E7E39"/>
    <w:rsid w:val="002F2214"/>
    <w:rsid w:val="002F27A5"/>
    <w:rsid w:val="002F297A"/>
    <w:rsid w:val="00303A68"/>
    <w:rsid w:val="00304CEC"/>
    <w:rsid w:val="00306580"/>
    <w:rsid w:val="00312B38"/>
    <w:rsid w:val="00312C9F"/>
    <w:rsid w:val="0031535F"/>
    <w:rsid w:val="0031542E"/>
    <w:rsid w:val="00322135"/>
    <w:rsid w:val="003222CF"/>
    <w:rsid w:val="00323D49"/>
    <w:rsid w:val="0032569C"/>
    <w:rsid w:val="0032765B"/>
    <w:rsid w:val="00333953"/>
    <w:rsid w:val="00350A0F"/>
    <w:rsid w:val="00353F5A"/>
    <w:rsid w:val="0035416D"/>
    <w:rsid w:val="00357DC1"/>
    <w:rsid w:val="0036109E"/>
    <w:rsid w:val="003657C0"/>
    <w:rsid w:val="00365F45"/>
    <w:rsid w:val="003677AB"/>
    <w:rsid w:val="00367E5A"/>
    <w:rsid w:val="0037154F"/>
    <w:rsid w:val="00372A59"/>
    <w:rsid w:val="00380189"/>
    <w:rsid w:val="00385AF2"/>
    <w:rsid w:val="00392987"/>
    <w:rsid w:val="00394F18"/>
    <w:rsid w:val="003A1BBF"/>
    <w:rsid w:val="003A316B"/>
    <w:rsid w:val="003B1A8D"/>
    <w:rsid w:val="003C0921"/>
    <w:rsid w:val="003D5BF0"/>
    <w:rsid w:val="003F13EB"/>
    <w:rsid w:val="003F4CA1"/>
    <w:rsid w:val="003F62A8"/>
    <w:rsid w:val="00403D42"/>
    <w:rsid w:val="0040485D"/>
    <w:rsid w:val="0040798C"/>
    <w:rsid w:val="00407F17"/>
    <w:rsid w:val="0041005C"/>
    <w:rsid w:val="00412777"/>
    <w:rsid w:val="00415776"/>
    <w:rsid w:val="00423288"/>
    <w:rsid w:val="00426AB6"/>
    <w:rsid w:val="00430667"/>
    <w:rsid w:val="00433392"/>
    <w:rsid w:val="0044192E"/>
    <w:rsid w:val="00445E09"/>
    <w:rsid w:val="004515A0"/>
    <w:rsid w:val="00453115"/>
    <w:rsid w:val="00453A9B"/>
    <w:rsid w:val="00455D52"/>
    <w:rsid w:val="00463FCE"/>
    <w:rsid w:val="00470338"/>
    <w:rsid w:val="004703AE"/>
    <w:rsid w:val="00477931"/>
    <w:rsid w:val="00487A35"/>
    <w:rsid w:val="00496531"/>
    <w:rsid w:val="004A130C"/>
    <w:rsid w:val="004A1407"/>
    <w:rsid w:val="004A1A59"/>
    <w:rsid w:val="004A51FF"/>
    <w:rsid w:val="004B2B9C"/>
    <w:rsid w:val="004B3A11"/>
    <w:rsid w:val="004B7D53"/>
    <w:rsid w:val="004B7D5F"/>
    <w:rsid w:val="004C0937"/>
    <w:rsid w:val="004C0B72"/>
    <w:rsid w:val="004C3BCF"/>
    <w:rsid w:val="004D0C6A"/>
    <w:rsid w:val="004D4A76"/>
    <w:rsid w:val="004E1D8D"/>
    <w:rsid w:val="004E6418"/>
    <w:rsid w:val="004E7288"/>
    <w:rsid w:val="004F0449"/>
    <w:rsid w:val="004F2D86"/>
    <w:rsid w:val="004F7DF6"/>
    <w:rsid w:val="00504691"/>
    <w:rsid w:val="00510350"/>
    <w:rsid w:val="005106C9"/>
    <w:rsid w:val="005127DE"/>
    <w:rsid w:val="00515952"/>
    <w:rsid w:val="00520861"/>
    <w:rsid w:val="005216FB"/>
    <w:rsid w:val="00522C9F"/>
    <w:rsid w:val="005264F5"/>
    <w:rsid w:val="0053096C"/>
    <w:rsid w:val="005313E4"/>
    <w:rsid w:val="00531CD6"/>
    <w:rsid w:val="00537CE1"/>
    <w:rsid w:val="00545F60"/>
    <w:rsid w:val="00550483"/>
    <w:rsid w:val="005566AD"/>
    <w:rsid w:val="00561D60"/>
    <w:rsid w:val="0056269A"/>
    <w:rsid w:val="00563D1E"/>
    <w:rsid w:val="005649F4"/>
    <w:rsid w:val="00565682"/>
    <w:rsid w:val="0056728E"/>
    <w:rsid w:val="00574D72"/>
    <w:rsid w:val="005756FE"/>
    <w:rsid w:val="0058779F"/>
    <w:rsid w:val="005929D4"/>
    <w:rsid w:val="00592E44"/>
    <w:rsid w:val="005A0EF6"/>
    <w:rsid w:val="005A11E6"/>
    <w:rsid w:val="005A17B0"/>
    <w:rsid w:val="005A4926"/>
    <w:rsid w:val="005B079E"/>
    <w:rsid w:val="005B3452"/>
    <w:rsid w:val="005B65BD"/>
    <w:rsid w:val="005D20CD"/>
    <w:rsid w:val="005D43C2"/>
    <w:rsid w:val="005D4930"/>
    <w:rsid w:val="005E504F"/>
    <w:rsid w:val="005F4E39"/>
    <w:rsid w:val="005F51AB"/>
    <w:rsid w:val="0060067C"/>
    <w:rsid w:val="00604820"/>
    <w:rsid w:val="00606D67"/>
    <w:rsid w:val="006121B8"/>
    <w:rsid w:val="00617FF1"/>
    <w:rsid w:val="00623F12"/>
    <w:rsid w:val="00624DA5"/>
    <w:rsid w:val="0062681D"/>
    <w:rsid w:val="00630368"/>
    <w:rsid w:val="00635084"/>
    <w:rsid w:val="0064545A"/>
    <w:rsid w:val="00645C94"/>
    <w:rsid w:val="00657248"/>
    <w:rsid w:val="00660769"/>
    <w:rsid w:val="006654F5"/>
    <w:rsid w:val="00666346"/>
    <w:rsid w:val="00675443"/>
    <w:rsid w:val="006775DE"/>
    <w:rsid w:val="006857B9"/>
    <w:rsid w:val="0069419C"/>
    <w:rsid w:val="006975B7"/>
    <w:rsid w:val="006A0166"/>
    <w:rsid w:val="006A2B59"/>
    <w:rsid w:val="006A6CB1"/>
    <w:rsid w:val="006B0ACD"/>
    <w:rsid w:val="006B1597"/>
    <w:rsid w:val="006C3D4F"/>
    <w:rsid w:val="006C6847"/>
    <w:rsid w:val="006C6CF5"/>
    <w:rsid w:val="006D7A68"/>
    <w:rsid w:val="006E174B"/>
    <w:rsid w:val="006E5E25"/>
    <w:rsid w:val="006E6AFE"/>
    <w:rsid w:val="006E7922"/>
    <w:rsid w:val="006F5E5B"/>
    <w:rsid w:val="006F624A"/>
    <w:rsid w:val="00707D54"/>
    <w:rsid w:val="00711540"/>
    <w:rsid w:val="00712854"/>
    <w:rsid w:val="007178FC"/>
    <w:rsid w:val="007242D9"/>
    <w:rsid w:val="0073120A"/>
    <w:rsid w:val="0073490C"/>
    <w:rsid w:val="00737BBE"/>
    <w:rsid w:val="00742743"/>
    <w:rsid w:val="007508D1"/>
    <w:rsid w:val="007640A6"/>
    <w:rsid w:val="00764B2D"/>
    <w:rsid w:val="00781622"/>
    <w:rsid w:val="00782B1F"/>
    <w:rsid w:val="00783393"/>
    <w:rsid w:val="00786895"/>
    <w:rsid w:val="00786CE8"/>
    <w:rsid w:val="00795477"/>
    <w:rsid w:val="007A211B"/>
    <w:rsid w:val="007A5D9B"/>
    <w:rsid w:val="007A76B0"/>
    <w:rsid w:val="007B26C0"/>
    <w:rsid w:val="007B68C7"/>
    <w:rsid w:val="007B6BBC"/>
    <w:rsid w:val="007C2322"/>
    <w:rsid w:val="007C25DD"/>
    <w:rsid w:val="007C4F15"/>
    <w:rsid w:val="007C5C96"/>
    <w:rsid w:val="007D0C55"/>
    <w:rsid w:val="007E2093"/>
    <w:rsid w:val="007E5ACD"/>
    <w:rsid w:val="007F13FD"/>
    <w:rsid w:val="007F2867"/>
    <w:rsid w:val="007F59A5"/>
    <w:rsid w:val="007F73EA"/>
    <w:rsid w:val="00800A85"/>
    <w:rsid w:val="00803100"/>
    <w:rsid w:val="00811A49"/>
    <w:rsid w:val="0082043F"/>
    <w:rsid w:val="00821DA5"/>
    <w:rsid w:val="0082274C"/>
    <w:rsid w:val="00827DE9"/>
    <w:rsid w:val="00831B6D"/>
    <w:rsid w:val="0083355D"/>
    <w:rsid w:val="00834EEF"/>
    <w:rsid w:val="00840FBB"/>
    <w:rsid w:val="0084556F"/>
    <w:rsid w:val="008541B3"/>
    <w:rsid w:val="00862EA4"/>
    <w:rsid w:val="00893E01"/>
    <w:rsid w:val="00896BDB"/>
    <w:rsid w:val="00897D23"/>
    <w:rsid w:val="008A0332"/>
    <w:rsid w:val="008A1891"/>
    <w:rsid w:val="008B0CB4"/>
    <w:rsid w:val="008C37BA"/>
    <w:rsid w:val="008C44FC"/>
    <w:rsid w:val="008C7E78"/>
    <w:rsid w:val="008D06A1"/>
    <w:rsid w:val="008E18C0"/>
    <w:rsid w:val="008E1EEC"/>
    <w:rsid w:val="008E4280"/>
    <w:rsid w:val="008E7DB4"/>
    <w:rsid w:val="008F47F9"/>
    <w:rsid w:val="009029FE"/>
    <w:rsid w:val="00914000"/>
    <w:rsid w:val="009142FE"/>
    <w:rsid w:val="00917F20"/>
    <w:rsid w:val="00921BC2"/>
    <w:rsid w:val="0092315D"/>
    <w:rsid w:val="00923701"/>
    <w:rsid w:val="00931745"/>
    <w:rsid w:val="00931984"/>
    <w:rsid w:val="009346D7"/>
    <w:rsid w:val="00934883"/>
    <w:rsid w:val="00936315"/>
    <w:rsid w:val="0093748C"/>
    <w:rsid w:val="00942D50"/>
    <w:rsid w:val="00946CE5"/>
    <w:rsid w:val="009514F1"/>
    <w:rsid w:val="00953DCC"/>
    <w:rsid w:val="0096485B"/>
    <w:rsid w:val="00971EEF"/>
    <w:rsid w:val="00982C02"/>
    <w:rsid w:val="00987B04"/>
    <w:rsid w:val="00992F1B"/>
    <w:rsid w:val="009975BE"/>
    <w:rsid w:val="009A0326"/>
    <w:rsid w:val="009A142D"/>
    <w:rsid w:val="009A295B"/>
    <w:rsid w:val="009A51E1"/>
    <w:rsid w:val="009B121F"/>
    <w:rsid w:val="009B1C41"/>
    <w:rsid w:val="009B3918"/>
    <w:rsid w:val="009B3C72"/>
    <w:rsid w:val="009B56D6"/>
    <w:rsid w:val="009B57D3"/>
    <w:rsid w:val="009C2746"/>
    <w:rsid w:val="009C40A2"/>
    <w:rsid w:val="009C6D1F"/>
    <w:rsid w:val="009C6FB6"/>
    <w:rsid w:val="009D234F"/>
    <w:rsid w:val="009D3C68"/>
    <w:rsid w:val="009D69ED"/>
    <w:rsid w:val="009F7051"/>
    <w:rsid w:val="009F7D1D"/>
    <w:rsid w:val="00A001FD"/>
    <w:rsid w:val="00A01C41"/>
    <w:rsid w:val="00A02329"/>
    <w:rsid w:val="00A1149F"/>
    <w:rsid w:val="00A17C1F"/>
    <w:rsid w:val="00A2363D"/>
    <w:rsid w:val="00A24D3C"/>
    <w:rsid w:val="00A27287"/>
    <w:rsid w:val="00A425CF"/>
    <w:rsid w:val="00A4306F"/>
    <w:rsid w:val="00A5097D"/>
    <w:rsid w:val="00A5341C"/>
    <w:rsid w:val="00A569D4"/>
    <w:rsid w:val="00A64F10"/>
    <w:rsid w:val="00A708E3"/>
    <w:rsid w:val="00A75C43"/>
    <w:rsid w:val="00A81D16"/>
    <w:rsid w:val="00A849B1"/>
    <w:rsid w:val="00A84F1E"/>
    <w:rsid w:val="00A8624E"/>
    <w:rsid w:val="00A90E6D"/>
    <w:rsid w:val="00A968BA"/>
    <w:rsid w:val="00AA47D1"/>
    <w:rsid w:val="00AB1206"/>
    <w:rsid w:val="00AB5257"/>
    <w:rsid w:val="00AC0F39"/>
    <w:rsid w:val="00AD6F4A"/>
    <w:rsid w:val="00AE0922"/>
    <w:rsid w:val="00AE188D"/>
    <w:rsid w:val="00AE2D92"/>
    <w:rsid w:val="00AE33AA"/>
    <w:rsid w:val="00AF1EA9"/>
    <w:rsid w:val="00AF2997"/>
    <w:rsid w:val="00AF3F21"/>
    <w:rsid w:val="00AF419D"/>
    <w:rsid w:val="00B011FA"/>
    <w:rsid w:val="00B15A19"/>
    <w:rsid w:val="00B1720C"/>
    <w:rsid w:val="00B17603"/>
    <w:rsid w:val="00B176C7"/>
    <w:rsid w:val="00B222F7"/>
    <w:rsid w:val="00B22B66"/>
    <w:rsid w:val="00B2420F"/>
    <w:rsid w:val="00B2795A"/>
    <w:rsid w:val="00B30BDE"/>
    <w:rsid w:val="00B311AA"/>
    <w:rsid w:val="00B35B54"/>
    <w:rsid w:val="00B416E1"/>
    <w:rsid w:val="00B41E71"/>
    <w:rsid w:val="00B42556"/>
    <w:rsid w:val="00B46EC4"/>
    <w:rsid w:val="00B62342"/>
    <w:rsid w:val="00B71934"/>
    <w:rsid w:val="00B730CA"/>
    <w:rsid w:val="00B733A0"/>
    <w:rsid w:val="00B7497B"/>
    <w:rsid w:val="00B815FF"/>
    <w:rsid w:val="00B845A1"/>
    <w:rsid w:val="00B849C8"/>
    <w:rsid w:val="00B8661F"/>
    <w:rsid w:val="00B92409"/>
    <w:rsid w:val="00BA50BC"/>
    <w:rsid w:val="00BA6137"/>
    <w:rsid w:val="00BB2D6A"/>
    <w:rsid w:val="00BB359D"/>
    <w:rsid w:val="00BC4164"/>
    <w:rsid w:val="00BC4DC5"/>
    <w:rsid w:val="00BD7049"/>
    <w:rsid w:val="00BD74DE"/>
    <w:rsid w:val="00BE51D2"/>
    <w:rsid w:val="00BE5651"/>
    <w:rsid w:val="00BE577D"/>
    <w:rsid w:val="00BE62FE"/>
    <w:rsid w:val="00BE64DC"/>
    <w:rsid w:val="00BE6771"/>
    <w:rsid w:val="00BE6915"/>
    <w:rsid w:val="00BF7DA6"/>
    <w:rsid w:val="00C00312"/>
    <w:rsid w:val="00C020A9"/>
    <w:rsid w:val="00C04303"/>
    <w:rsid w:val="00C07005"/>
    <w:rsid w:val="00C147A4"/>
    <w:rsid w:val="00C15AB3"/>
    <w:rsid w:val="00C17DFE"/>
    <w:rsid w:val="00C30759"/>
    <w:rsid w:val="00C333E7"/>
    <w:rsid w:val="00C34610"/>
    <w:rsid w:val="00C3563E"/>
    <w:rsid w:val="00C37B92"/>
    <w:rsid w:val="00C41A0D"/>
    <w:rsid w:val="00C4272D"/>
    <w:rsid w:val="00C573D2"/>
    <w:rsid w:val="00C615EB"/>
    <w:rsid w:val="00C64850"/>
    <w:rsid w:val="00C82251"/>
    <w:rsid w:val="00C86D8B"/>
    <w:rsid w:val="00C871A2"/>
    <w:rsid w:val="00C9090E"/>
    <w:rsid w:val="00C92CB5"/>
    <w:rsid w:val="00C92CF1"/>
    <w:rsid w:val="00C92DD1"/>
    <w:rsid w:val="00C9486B"/>
    <w:rsid w:val="00C94B60"/>
    <w:rsid w:val="00C96321"/>
    <w:rsid w:val="00CA2D01"/>
    <w:rsid w:val="00CB2D24"/>
    <w:rsid w:val="00CC219D"/>
    <w:rsid w:val="00CC27A2"/>
    <w:rsid w:val="00CC4980"/>
    <w:rsid w:val="00CC79A6"/>
    <w:rsid w:val="00CC7D53"/>
    <w:rsid w:val="00CD01A7"/>
    <w:rsid w:val="00CD04C4"/>
    <w:rsid w:val="00CD1B92"/>
    <w:rsid w:val="00CD4280"/>
    <w:rsid w:val="00CD4FBC"/>
    <w:rsid w:val="00CD7DA1"/>
    <w:rsid w:val="00CE2E7E"/>
    <w:rsid w:val="00CE4F4C"/>
    <w:rsid w:val="00CF30B9"/>
    <w:rsid w:val="00CF6AD2"/>
    <w:rsid w:val="00CF7119"/>
    <w:rsid w:val="00D04556"/>
    <w:rsid w:val="00D04838"/>
    <w:rsid w:val="00D06BF4"/>
    <w:rsid w:val="00D07475"/>
    <w:rsid w:val="00D12B38"/>
    <w:rsid w:val="00D2335D"/>
    <w:rsid w:val="00D24A45"/>
    <w:rsid w:val="00D24BBD"/>
    <w:rsid w:val="00D35678"/>
    <w:rsid w:val="00D36D78"/>
    <w:rsid w:val="00D37F7C"/>
    <w:rsid w:val="00D421BA"/>
    <w:rsid w:val="00D43CA2"/>
    <w:rsid w:val="00D44D35"/>
    <w:rsid w:val="00D62FE3"/>
    <w:rsid w:val="00D74D8B"/>
    <w:rsid w:val="00D74EF5"/>
    <w:rsid w:val="00D75214"/>
    <w:rsid w:val="00D76324"/>
    <w:rsid w:val="00DA502E"/>
    <w:rsid w:val="00DB2DBC"/>
    <w:rsid w:val="00DB41B0"/>
    <w:rsid w:val="00DB4D28"/>
    <w:rsid w:val="00DC5E1E"/>
    <w:rsid w:val="00DC6D00"/>
    <w:rsid w:val="00DE04EF"/>
    <w:rsid w:val="00DE569F"/>
    <w:rsid w:val="00DE7F7F"/>
    <w:rsid w:val="00DF467C"/>
    <w:rsid w:val="00DF5964"/>
    <w:rsid w:val="00DF7E69"/>
    <w:rsid w:val="00E0140F"/>
    <w:rsid w:val="00E03313"/>
    <w:rsid w:val="00E03602"/>
    <w:rsid w:val="00E10671"/>
    <w:rsid w:val="00E25301"/>
    <w:rsid w:val="00E30350"/>
    <w:rsid w:val="00E3304C"/>
    <w:rsid w:val="00E3760C"/>
    <w:rsid w:val="00E41D55"/>
    <w:rsid w:val="00E42316"/>
    <w:rsid w:val="00E434FB"/>
    <w:rsid w:val="00E45900"/>
    <w:rsid w:val="00E4754B"/>
    <w:rsid w:val="00E5042F"/>
    <w:rsid w:val="00E51B6F"/>
    <w:rsid w:val="00E56A0C"/>
    <w:rsid w:val="00E6292C"/>
    <w:rsid w:val="00E6718A"/>
    <w:rsid w:val="00E67E4F"/>
    <w:rsid w:val="00E72D8B"/>
    <w:rsid w:val="00E73D87"/>
    <w:rsid w:val="00E755C4"/>
    <w:rsid w:val="00E80A67"/>
    <w:rsid w:val="00E82E90"/>
    <w:rsid w:val="00E85FAD"/>
    <w:rsid w:val="00E90208"/>
    <w:rsid w:val="00E91C1B"/>
    <w:rsid w:val="00E9566D"/>
    <w:rsid w:val="00EA4C6D"/>
    <w:rsid w:val="00EA6E7A"/>
    <w:rsid w:val="00EB1EE3"/>
    <w:rsid w:val="00EB5D9B"/>
    <w:rsid w:val="00EC289D"/>
    <w:rsid w:val="00EC3BE8"/>
    <w:rsid w:val="00EC5589"/>
    <w:rsid w:val="00EC56BE"/>
    <w:rsid w:val="00ED07B2"/>
    <w:rsid w:val="00ED7ED7"/>
    <w:rsid w:val="00EE0797"/>
    <w:rsid w:val="00EE4F3C"/>
    <w:rsid w:val="00EE6E50"/>
    <w:rsid w:val="00EE7567"/>
    <w:rsid w:val="00EE7F30"/>
    <w:rsid w:val="00EF3582"/>
    <w:rsid w:val="00F0179B"/>
    <w:rsid w:val="00F02062"/>
    <w:rsid w:val="00F05995"/>
    <w:rsid w:val="00F11723"/>
    <w:rsid w:val="00F1423A"/>
    <w:rsid w:val="00F168D9"/>
    <w:rsid w:val="00F16E30"/>
    <w:rsid w:val="00F241C0"/>
    <w:rsid w:val="00F27491"/>
    <w:rsid w:val="00F27BEC"/>
    <w:rsid w:val="00F361B3"/>
    <w:rsid w:val="00F40AA6"/>
    <w:rsid w:val="00F470B8"/>
    <w:rsid w:val="00F53070"/>
    <w:rsid w:val="00F53173"/>
    <w:rsid w:val="00F54A6F"/>
    <w:rsid w:val="00F62AA3"/>
    <w:rsid w:val="00F7194E"/>
    <w:rsid w:val="00F7434C"/>
    <w:rsid w:val="00F743E0"/>
    <w:rsid w:val="00F80667"/>
    <w:rsid w:val="00F905D6"/>
    <w:rsid w:val="00F90A88"/>
    <w:rsid w:val="00F90AC2"/>
    <w:rsid w:val="00F92D6D"/>
    <w:rsid w:val="00F975C3"/>
    <w:rsid w:val="00FA07B6"/>
    <w:rsid w:val="00FA1446"/>
    <w:rsid w:val="00FA56CD"/>
    <w:rsid w:val="00FA79FF"/>
    <w:rsid w:val="00FB0D21"/>
    <w:rsid w:val="00FB2F5F"/>
    <w:rsid w:val="00FB3170"/>
    <w:rsid w:val="00FC3FA5"/>
    <w:rsid w:val="00FD13C3"/>
    <w:rsid w:val="00FD262A"/>
    <w:rsid w:val="00FD4018"/>
    <w:rsid w:val="00FE0ACB"/>
    <w:rsid w:val="00FE452A"/>
    <w:rsid w:val="00F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6E75"/>
  <w15:docId w15:val="{77B24F1D-771D-4FBA-901D-62B43B5B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7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C4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C5"/>
    <w:rPr>
      <w:rFonts w:ascii="Calibri" w:eastAsia="Calibri" w:hAnsi="Calibri" w:cs="Times New Roman"/>
    </w:rPr>
  </w:style>
  <w:style w:type="paragraph" w:styleId="ListParagraph">
    <w:name w:val="List Paragraph"/>
    <w:basedOn w:val="Normal"/>
    <w:uiPriority w:val="34"/>
    <w:qFormat/>
    <w:rsid w:val="002E26DE"/>
    <w:pPr>
      <w:spacing w:after="160" w:line="259" w:lineRule="auto"/>
      <w:ind w:left="720"/>
      <w:contextualSpacing/>
    </w:pPr>
    <w:rPr>
      <w:rFonts w:asciiTheme="minorHAnsi" w:eastAsiaTheme="minorHAnsi" w:hAnsiTheme="minorHAnsi" w:cstheme="minorBidi"/>
      <w:lang w:val="en-ZA"/>
    </w:rPr>
  </w:style>
  <w:style w:type="paragraph" w:styleId="BalloonText">
    <w:name w:val="Balloon Text"/>
    <w:basedOn w:val="Normal"/>
    <w:link w:val="BalloonTextChar"/>
    <w:uiPriority w:val="99"/>
    <w:semiHidden/>
    <w:unhideWhenUsed/>
    <w:rsid w:val="00E4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Linah Malatji</dc:creator>
  <cp:lastModifiedBy>Kgothatso Moabelo</cp:lastModifiedBy>
  <cp:revision>3</cp:revision>
  <cp:lastPrinted>2022-05-16T07:50:00Z</cp:lastPrinted>
  <dcterms:created xsi:type="dcterms:W3CDTF">2022-05-16T07:26:00Z</dcterms:created>
  <dcterms:modified xsi:type="dcterms:W3CDTF">2022-05-16T07:51:00Z</dcterms:modified>
</cp:coreProperties>
</file>