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AE3E" w14:textId="77777777" w:rsidR="00C72023" w:rsidRDefault="00C72023" w:rsidP="00C72023">
      <w:pPr>
        <w:spacing w:line="360" w:lineRule="auto"/>
        <w:jc w:val="center"/>
        <w:rPr>
          <w:rFonts w:ascii="Arial" w:hAnsi="Arial" w:cs="Arial"/>
          <w:b/>
          <w:sz w:val="24"/>
          <w:szCs w:val="24"/>
        </w:rPr>
      </w:pPr>
      <w:r w:rsidRPr="00280F19">
        <w:rPr>
          <w:rFonts w:ascii="Arial" w:hAnsi="Arial" w:cs="Arial"/>
          <w:noProof/>
          <w:lang w:eastAsia="en-ZA"/>
        </w:rPr>
        <w:drawing>
          <wp:inline distT="0" distB="0" distL="0" distR="0" wp14:anchorId="551C2D8C" wp14:editId="350C39D6">
            <wp:extent cx="1225550" cy="1176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76655"/>
                    </a:xfrm>
                    <a:prstGeom prst="rect">
                      <a:avLst/>
                    </a:prstGeom>
                    <a:noFill/>
                  </pic:spPr>
                </pic:pic>
              </a:graphicData>
            </a:graphic>
          </wp:inline>
        </w:drawing>
      </w:r>
    </w:p>
    <w:tbl>
      <w:tblPr>
        <w:tblStyle w:val="TableGrid"/>
        <w:tblpPr w:leftFromText="180" w:rightFromText="180" w:horzAnchor="page" w:tblpX="7251" w:tblpY="-890"/>
        <w:tblW w:w="4111"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77"/>
        <w:gridCol w:w="1134"/>
      </w:tblGrid>
      <w:tr w:rsidR="00C72023" w:rsidRPr="00784249" w14:paraId="7C0812D4" w14:textId="77777777" w:rsidTr="00DE38FD">
        <w:tc>
          <w:tcPr>
            <w:tcW w:w="2977" w:type="dxa"/>
            <w:shd w:val="clear" w:color="auto" w:fill="BFBFBF" w:themeFill="background1" w:themeFillShade="BF"/>
          </w:tcPr>
          <w:p w14:paraId="6D7362AD" w14:textId="77777777" w:rsidR="00C72023" w:rsidRPr="00784249" w:rsidRDefault="00C72023" w:rsidP="00DE38FD">
            <w:pPr>
              <w:pStyle w:val="Header"/>
              <w:rPr>
                <w:rFonts w:ascii="Arial" w:hAnsi="Arial" w:cs="Arial"/>
                <w:sz w:val="18"/>
                <w:szCs w:val="18"/>
              </w:rPr>
            </w:pPr>
            <w:r w:rsidRPr="00784249">
              <w:rPr>
                <w:rFonts w:ascii="Arial" w:hAnsi="Arial" w:cs="Arial"/>
                <w:sz w:val="18"/>
                <w:szCs w:val="18"/>
              </w:rPr>
              <w:t>Reportable:</w:t>
            </w:r>
          </w:p>
        </w:tc>
        <w:tc>
          <w:tcPr>
            <w:tcW w:w="1134" w:type="dxa"/>
            <w:shd w:val="clear" w:color="auto" w:fill="BFBFBF" w:themeFill="background1" w:themeFillShade="BF"/>
          </w:tcPr>
          <w:p w14:paraId="7E9D8519" w14:textId="77777777" w:rsidR="00C72023" w:rsidRPr="00784249" w:rsidRDefault="00C72023" w:rsidP="00DE38FD">
            <w:pPr>
              <w:pStyle w:val="Header"/>
              <w:jc w:val="center"/>
              <w:rPr>
                <w:rFonts w:ascii="Arial" w:hAnsi="Arial" w:cs="Arial"/>
                <w:sz w:val="18"/>
                <w:szCs w:val="18"/>
              </w:rPr>
            </w:pPr>
            <w:r w:rsidRPr="00784249">
              <w:rPr>
                <w:rFonts w:ascii="Arial" w:hAnsi="Arial" w:cs="Arial"/>
                <w:sz w:val="18"/>
                <w:szCs w:val="18"/>
              </w:rPr>
              <w:t>YES  /  NO</w:t>
            </w:r>
          </w:p>
        </w:tc>
      </w:tr>
      <w:tr w:rsidR="00C72023" w:rsidRPr="00784249" w14:paraId="45A585AE" w14:textId="77777777" w:rsidTr="00DE38FD">
        <w:tc>
          <w:tcPr>
            <w:tcW w:w="2977" w:type="dxa"/>
            <w:shd w:val="clear" w:color="auto" w:fill="BFBFBF" w:themeFill="background1" w:themeFillShade="BF"/>
          </w:tcPr>
          <w:p w14:paraId="5CC74DDE" w14:textId="77777777" w:rsidR="00C72023" w:rsidRPr="00784249" w:rsidRDefault="00C72023" w:rsidP="00DE38FD">
            <w:pPr>
              <w:pStyle w:val="Header"/>
              <w:rPr>
                <w:rFonts w:ascii="Arial" w:hAnsi="Arial" w:cs="Arial"/>
                <w:sz w:val="18"/>
                <w:szCs w:val="18"/>
              </w:rPr>
            </w:pPr>
            <w:r w:rsidRPr="00784249">
              <w:rPr>
                <w:rFonts w:ascii="Arial" w:hAnsi="Arial" w:cs="Arial"/>
                <w:sz w:val="18"/>
                <w:szCs w:val="18"/>
              </w:rPr>
              <w:t>Circulate to Judges:</w:t>
            </w:r>
          </w:p>
        </w:tc>
        <w:tc>
          <w:tcPr>
            <w:tcW w:w="1134" w:type="dxa"/>
            <w:shd w:val="clear" w:color="auto" w:fill="BFBFBF" w:themeFill="background1" w:themeFillShade="BF"/>
          </w:tcPr>
          <w:p w14:paraId="65032B6B" w14:textId="77777777" w:rsidR="00C72023" w:rsidRPr="00784249" w:rsidRDefault="00C72023" w:rsidP="00DE38FD">
            <w:pPr>
              <w:pStyle w:val="Header"/>
              <w:jc w:val="center"/>
              <w:rPr>
                <w:rFonts w:ascii="Arial" w:hAnsi="Arial" w:cs="Arial"/>
                <w:sz w:val="18"/>
                <w:szCs w:val="18"/>
              </w:rPr>
            </w:pPr>
            <w:r w:rsidRPr="00784249">
              <w:rPr>
                <w:rFonts w:ascii="Arial" w:hAnsi="Arial" w:cs="Arial"/>
                <w:sz w:val="18"/>
                <w:szCs w:val="18"/>
              </w:rPr>
              <w:t>YES  /  NO</w:t>
            </w:r>
          </w:p>
        </w:tc>
      </w:tr>
      <w:tr w:rsidR="00C72023" w:rsidRPr="00784249" w14:paraId="1F8D8F0E" w14:textId="77777777" w:rsidTr="00DE38FD">
        <w:tc>
          <w:tcPr>
            <w:tcW w:w="2977" w:type="dxa"/>
            <w:shd w:val="clear" w:color="auto" w:fill="BFBFBF" w:themeFill="background1" w:themeFillShade="BF"/>
          </w:tcPr>
          <w:p w14:paraId="7A064DEE" w14:textId="77777777" w:rsidR="00C72023" w:rsidRPr="00784249" w:rsidRDefault="00C72023" w:rsidP="00DE38FD">
            <w:pPr>
              <w:pStyle w:val="Header"/>
              <w:rPr>
                <w:rFonts w:ascii="Arial" w:hAnsi="Arial" w:cs="Arial"/>
                <w:sz w:val="18"/>
                <w:szCs w:val="18"/>
              </w:rPr>
            </w:pPr>
            <w:r w:rsidRPr="00784249">
              <w:rPr>
                <w:rFonts w:ascii="Arial" w:hAnsi="Arial" w:cs="Arial"/>
                <w:sz w:val="18"/>
                <w:szCs w:val="18"/>
              </w:rPr>
              <w:t>Circulate to Regional Magistrates:</w:t>
            </w:r>
          </w:p>
        </w:tc>
        <w:tc>
          <w:tcPr>
            <w:tcW w:w="1134" w:type="dxa"/>
            <w:shd w:val="clear" w:color="auto" w:fill="BFBFBF" w:themeFill="background1" w:themeFillShade="BF"/>
          </w:tcPr>
          <w:p w14:paraId="5EE8AEFA" w14:textId="77777777" w:rsidR="00C72023" w:rsidRPr="00784249" w:rsidRDefault="00C72023" w:rsidP="00DE38FD">
            <w:pPr>
              <w:pStyle w:val="Header"/>
              <w:jc w:val="center"/>
              <w:rPr>
                <w:rFonts w:ascii="Arial" w:hAnsi="Arial" w:cs="Arial"/>
                <w:b/>
                <w:sz w:val="18"/>
                <w:szCs w:val="18"/>
              </w:rPr>
            </w:pPr>
            <w:r w:rsidRPr="00784249">
              <w:rPr>
                <w:rFonts w:ascii="Arial" w:hAnsi="Arial" w:cs="Arial"/>
                <w:sz w:val="18"/>
                <w:szCs w:val="18"/>
              </w:rPr>
              <w:t>YES  /  NO</w:t>
            </w:r>
          </w:p>
        </w:tc>
      </w:tr>
      <w:tr w:rsidR="00C72023" w:rsidRPr="00784249" w14:paraId="5FD2FB9C" w14:textId="77777777" w:rsidTr="00DE38FD">
        <w:tc>
          <w:tcPr>
            <w:tcW w:w="2977" w:type="dxa"/>
            <w:shd w:val="clear" w:color="auto" w:fill="BFBFBF" w:themeFill="background1" w:themeFillShade="BF"/>
          </w:tcPr>
          <w:p w14:paraId="14B5C496" w14:textId="77777777" w:rsidR="00C72023" w:rsidRPr="00784249" w:rsidRDefault="00C72023" w:rsidP="00DE38FD">
            <w:pPr>
              <w:pStyle w:val="Header"/>
              <w:rPr>
                <w:rFonts w:ascii="Arial" w:hAnsi="Arial" w:cs="Arial"/>
                <w:sz w:val="18"/>
                <w:szCs w:val="18"/>
              </w:rPr>
            </w:pPr>
            <w:r w:rsidRPr="00784249">
              <w:rPr>
                <w:rFonts w:ascii="Arial" w:hAnsi="Arial" w:cs="Arial"/>
                <w:sz w:val="18"/>
                <w:szCs w:val="18"/>
              </w:rPr>
              <w:t>Circulate to Magistrates:</w:t>
            </w:r>
          </w:p>
        </w:tc>
        <w:tc>
          <w:tcPr>
            <w:tcW w:w="1134" w:type="dxa"/>
            <w:shd w:val="clear" w:color="auto" w:fill="BFBFBF" w:themeFill="background1" w:themeFillShade="BF"/>
          </w:tcPr>
          <w:p w14:paraId="1C436052" w14:textId="77777777" w:rsidR="00C72023" w:rsidRPr="00784249" w:rsidRDefault="00C72023" w:rsidP="00DE38FD">
            <w:pPr>
              <w:pStyle w:val="Header"/>
              <w:jc w:val="center"/>
              <w:rPr>
                <w:rFonts w:ascii="Arial" w:hAnsi="Arial" w:cs="Arial"/>
                <w:sz w:val="18"/>
                <w:szCs w:val="18"/>
              </w:rPr>
            </w:pPr>
            <w:r w:rsidRPr="00784249">
              <w:rPr>
                <w:rFonts w:ascii="Arial" w:hAnsi="Arial" w:cs="Arial"/>
                <w:sz w:val="18"/>
                <w:szCs w:val="18"/>
              </w:rPr>
              <w:t>YES  /  NO</w:t>
            </w:r>
          </w:p>
        </w:tc>
      </w:tr>
    </w:tbl>
    <w:p w14:paraId="3C0B7700" w14:textId="77777777" w:rsidR="00C72023" w:rsidRPr="00A557C0" w:rsidRDefault="00C72023" w:rsidP="00C72023">
      <w:pPr>
        <w:spacing w:line="240" w:lineRule="auto"/>
        <w:jc w:val="center"/>
        <w:rPr>
          <w:rFonts w:ascii="Arial" w:hAnsi="Arial" w:cs="Arial"/>
          <w:b/>
          <w:sz w:val="24"/>
          <w:szCs w:val="24"/>
        </w:rPr>
      </w:pPr>
      <w:r w:rsidRPr="00A557C0">
        <w:rPr>
          <w:rFonts w:ascii="Arial" w:hAnsi="Arial" w:cs="Arial"/>
          <w:b/>
          <w:sz w:val="24"/>
          <w:szCs w:val="24"/>
        </w:rPr>
        <w:t>IN THE HIGH COURT OF SOUTH AFRICA</w:t>
      </w:r>
    </w:p>
    <w:p w14:paraId="1EE100FC" w14:textId="77777777" w:rsidR="00C72023" w:rsidRPr="00A557C0" w:rsidRDefault="00C72023" w:rsidP="00C72023">
      <w:pPr>
        <w:spacing w:line="240" w:lineRule="auto"/>
        <w:jc w:val="center"/>
        <w:rPr>
          <w:rFonts w:ascii="Arial" w:hAnsi="Arial" w:cs="Arial"/>
          <w:b/>
          <w:sz w:val="24"/>
          <w:szCs w:val="24"/>
        </w:rPr>
      </w:pPr>
      <w:r w:rsidRPr="00A557C0">
        <w:rPr>
          <w:rFonts w:ascii="Arial" w:hAnsi="Arial" w:cs="Arial"/>
          <w:b/>
          <w:sz w:val="24"/>
          <w:szCs w:val="24"/>
        </w:rPr>
        <w:t>(NORTHERN CAPE DIVISION, KIMBERLEY)</w:t>
      </w:r>
    </w:p>
    <w:p w14:paraId="38EF900D" w14:textId="77777777" w:rsidR="00C72023" w:rsidRPr="00A557C0" w:rsidRDefault="00C72023" w:rsidP="00C72023">
      <w:pPr>
        <w:spacing w:line="240" w:lineRule="auto"/>
        <w:jc w:val="center"/>
        <w:rPr>
          <w:rFonts w:ascii="Arial" w:hAnsi="Arial" w:cs="Arial"/>
          <w:b/>
          <w:sz w:val="24"/>
          <w:szCs w:val="24"/>
        </w:rPr>
      </w:pPr>
    </w:p>
    <w:p w14:paraId="597607A8" w14:textId="2B7A9BA9" w:rsidR="00C72023" w:rsidRPr="00A557C0" w:rsidRDefault="00C72023" w:rsidP="00C72023">
      <w:pPr>
        <w:spacing w:line="240" w:lineRule="auto"/>
        <w:jc w:val="right"/>
        <w:rPr>
          <w:rFonts w:ascii="Arial" w:hAnsi="Arial" w:cs="Arial"/>
          <w:sz w:val="20"/>
          <w:szCs w:val="20"/>
        </w:rPr>
      </w:pPr>
      <w:r w:rsidRPr="00A557C0">
        <w:rPr>
          <w:rFonts w:ascii="Arial" w:hAnsi="Arial" w:cs="Arial"/>
          <w:b/>
          <w:sz w:val="20"/>
          <w:szCs w:val="20"/>
        </w:rPr>
        <w:t xml:space="preserve">CASE NUMBER: </w:t>
      </w:r>
      <w:r w:rsidRPr="00C72023">
        <w:rPr>
          <w:rFonts w:ascii="Arial" w:hAnsi="Arial" w:cs="Arial"/>
          <w:sz w:val="20"/>
          <w:szCs w:val="20"/>
        </w:rPr>
        <w:t>1179/</w:t>
      </w:r>
      <w:r>
        <w:rPr>
          <w:rFonts w:ascii="Arial" w:hAnsi="Arial" w:cs="Arial"/>
          <w:sz w:val="20"/>
          <w:szCs w:val="20"/>
        </w:rPr>
        <w:t>20</w:t>
      </w:r>
      <w:r w:rsidRPr="00C72023">
        <w:rPr>
          <w:rFonts w:ascii="Arial" w:hAnsi="Arial" w:cs="Arial"/>
          <w:sz w:val="20"/>
          <w:szCs w:val="20"/>
        </w:rPr>
        <w:t>18</w:t>
      </w:r>
      <w:r w:rsidR="00B74973">
        <w:rPr>
          <w:rFonts w:ascii="Arial" w:hAnsi="Arial" w:cs="Arial"/>
          <w:sz w:val="20"/>
          <w:szCs w:val="20"/>
        </w:rPr>
        <w:t xml:space="preserve"> &amp; </w:t>
      </w:r>
      <w:r w:rsidR="00B74973" w:rsidRPr="00B74973">
        <w:rPr>
          <w:rFonts w:ascii="Arial" w:hAnsi="Arial" w:cs="Arial"/>
          <w:sz w:val="20"/>
          <w:szCs w:val="20"/>
        </w:rPr>
        <w:t>731/2018</w:t>
      </w:r>
      <w:bookmarkStart w:id="0" w:name="_GoBack"/>
      <w:bookmarkEnd w:id="0"/>
    </w:p>
    <w:p w14:paraId="20109612" w14:textId="550241F8" w:rsidR="00C72023" w:rsidRPr="00A557C0" w:rsidRDefault="00C72023" w:rsidP="00C72023">
      <w:pPr>
        <w:spacing w:line="240" w:lineRule="auto"/>
        <w:jc w:val="right"/>
        <w:rPr>
          <w:rFonts w:ascii="Arial" w:hAnsi="Arial" w:cs="Arial"/>
          <w:sz w:val="20"/>
          <w:szCs w:val="20"/>
        </w:rPr>
      </w:pPr>
      <w:r w:rsidRPr="00A557C0">
        <w:rPr>
          <w:rFonts w:ascii="Arial" w:hAnsi="Arial" w:cs="Arial"/>
          <w:b/>
          <w:sz w:val="20"/>
          <w:szCs w:val="20"/>
        </w:rPr>
        <w:t xml:space="preserve">DATE HEARD: </w:t>
      </w:r>
      <w:r w:rsidR="00512CEA" w:rsidRPr="00512CEA">
        <w:rPr>
          <w:rFonts w:ascii="Arial" w:hAnsi="Arial" w:cs="Arial"/>
          <w:sz w:val="20"/>
          <w:szCs w:val="20"/>
        </w:rPr>
        <w:t>12 February 2021</w:t>
      </w:r>
    </w:p>
    <w:p w14:paraId="3759E271" w14:textId="77777777" w:rsidR="00C72023" w:rsidRPr="00A557C0" w:rsidRDefault="00C72023" w:rsidP="00C72023">
      <w:pPr>
        <w:spacing w:line="240" w:lineRule="auto"/>
        <w:jc w:val="right"/>
        <w:rPr>
          <w:rFonts w:ascii="Arial" w:hAnsi="Arial" w:cs="Arial"/>
          <w:sz w:val="20"/>
          <w:szCs w:val="20"/>
        </w:rPr>
      </w:pPr>
      <w:r w:rsidRPr="00A557C0">
        <w:rPr>
          <w:rFonts w:ascii="Arial" w:hAnsi="Arial" w:cs="Arial"/>
          <w:b/>
          <w:sz w:val="20"/>
          <w:szCs w:val="20"/>
        </w:rPr>
        <w:t xml:space="preserve">DATE DELIVERED: </w:t>
      </w:r>
      <w:r w:rsidRPr="00A557C0">
        <w:rPr>
          <w:rFonts w:ascii="Arial" w:hAnsi="Arial" w:cs="Arial"/>
          <w:sz w:val="20"/>
          <w:szCs w:val="20"/>
        </w:rPr>
        <w:t>9 February 2024</w:t>
      </w:r>
    </w:p>
    <w:p w14:paraId="0E50E1D8" w14:textId="77777777" w:rsidR="00C72023" w:rsidRPr="00A557C0" w:rsidRDefault="00C72023" w:rsidP="00C72023">
      <w:pPr>
        <w:spacing w:line="240" w:lineRule="auto"/>
        <w:rPr>
          <w:rFonts w:ascii="Arial" w:hAnsi="Arial" w:cs="Arial"/>
          <w:b/>
          <w:sz w:val="24"/>
          <w:szCs w:val="24"/>
        </w:rPr>
      </w:pPr>
    </w:p>
    <w:p w14:paraId="4FF4D84F" w14:textId="77777777" w:rsidR="00C72023" w:rsidRPr="00A557C0" w:rsidRDefault="00C72023" w:rsidP="00C72023">
      <w:pPr>
        <w:spacing w:line="240" w:lineRule="auto"/>
        <w:rPr>
          <w:rFonts w:ascii="Arial" w:hAnsi="Arial" w:cs="Arial"/>
          <w:sz w:val="24"/>
          <w:szCs w:val="24"/>
        </w:rPr>
      </w:pPr>
      <w:r w:rsidRPr="00A557C0">
        <w:rPr>
          <w:rFonts w:ascii="Arial" w:hAnsi="Arial" w:cs="Arial"/>
          <w:sz w:val="24"/>
          <w:szCs w:val="24"/>
        </w:rPr>
        <w:t>In the matter between:</w:t>
      </w:r>
    </w:p>
    <w:p w14:paraId="7F1B3B6B" w14:textId="77777777" w:rsidR="00C72023" w:rsidRPr="00A557C0" w:rsidRDefault="00C72023" w:rsidP="00C72023">
      <w:pPr>
        <w:spacing w:line="240" w:lineRule="auto"/>
        <w:rPr>
          <w:rFonts w:ascii="Arial" w:hAnsi="Arial" w:cs="Arial"/>
          <w:sz w:val="24"/>
          <w:szCs w:val="24"/>
        </w:rPr>
      </w:pPr>
    </w:p>
    <w:p w14:paraId="65543AEA" w14:textId="77777777" w:rsidR="00512CEA" w:rsidRPr="00512CEA" w:rsidRDefault="00512CEA" w:rsidP="00512CEA">
      <w:pPr>
        <w:spacing w:after="0" w:line="240" w:lineRule="auto"/>
        <w:rPr>
          <w:rFonts w:ascii="Arial" w:eastAsia="Times New Roman" w:hAnsi="Arial" w:cs="Arial"/>
          <w:b/>
          <w:kern w:val="0"/>
          <w:sz w:val="24"/>
          <w:szCs w:val="24"/>
          <w:lang w:val="en-US"/>
          <w14:ligatures w14:val="none"/>
        </w:rPr>
      </w:pPr>
      <w:r w:rsidRPr="00512CEA">
        <w:rPr>
          <w:rFonts w:ascii="Arial" w:eastAsia="Times New Roman" w:hAnsi="Arial" w:cs="Arial"/>
          <w:b/>
          <w:kern w:val="0"/>
          <w:sz w:val="24"/>
          <w:szCs w:val="24"/>
          <w:lang w:val="en-US"/>
          <w14:ligatures w14:val="none"/>
        </w:rPr>
        <w:t>CHIEF EXECUTIVE OFFICER, NORTHERN</w:t>
      </w:r>
      <w:r w:rsidRPr="00512CEA">
        <w:rPr>
          <w:rFonts w:ascii="Arial" w:eastAsia="Times New Roman" w:hAnsi="Arial" w:cs="Arial"/>
          <w:b/>
          <w:kern w:val="0"/>
          <w:sz w:val="24"/>
          <w:szCs w:val="24"/>
          <w:lang w:val="en-US"/>
          <w14:ligatures w14:val="none"/>
        </w:rPr>
        <w:tab/>
      </w:r>
      <w:r w:rsidRPr="00512CEA">
        <w:rPr>
          <w:rFonts w:ascii="Arial" w:eastAsia="Times New Roman" w:hAnsi="Arial" w:cs="Arial"/>
          <w:b/>
          <w:kern w:val="0"/>
          <w:sz w:val="24"/>
          <w:szCs w:val="24"/>
          <w:lang w:val="en-US"/>
          <w14:ligatures w14:val="none"/>
        </w:rPr>
        <w:tab/>
      </w:r>
      <w:r w:rsidRPr="00512CEA">
        <w:rPr>
          <w:rFonts w:ascii="Arial" w:eastAsia="Times New Roman" w:hAnsi="Arial" w:cs="Arial"/>
          <w:b/>
          <w:kern w:val="0"/>
          <w:sz w:val="24"/>
          <w:szCs w:val="24"/>
          <w:lang w:val="en-US"/>
          <w14:ligatures w14:val="none"/>
        </w:rPr>
        <w:tab/>
      </w:r>
      <w:r w:rsidRPr="00512CEA">
        <w:rPr>
          <w:rFonts w:ascii="Arial" w:eastAsia="Times New Roman" w:hAnsi="Arial" w:cs="Arial"/>
          <w:b/>
          <w:kern w:val="0"/>
          <w:sz w:val="24"/>
          <w:szCs w:val="24"/>
          <w:lang w:val="en-US"/>
          <w14:ligatures w14:val="none"/>
        </w:rPr>
        <w:tab/>
      </w:r>
      <w:r w:rsidRPr="00512CEA">
        <w:rPr>
          <w:rFonts w:ascii="Arial" w:eastAsia="Times New Roman" w:hAnsi="Arial" w:cs="Arial"/>
          <w:kern w:val="0"/>
          <w:sz w:val="24"/>
          <w:szCs w:val="24"/>
          <w:lang w:val="en-US"/>
          <w14:ligatures w14:val="none"/>
        </w:rPr>
        <w:t xml:space="preserve">    Applicant</w:t>
      </w:r>
    </w:p>
    <w:p w14:paraId="6B6508AF" w14:textId="77777777" w:rsidR="00512CEA" w:rsidRPr="00512CEA" w:rsidRDefault="00512CEA" w:rsidP="00512CEA">
      <w:pPr>
        <w:spacing w:after="0" w:line="240" w:lineRule="auto"/>
        <w:rPr>
          <w:rFonts w:ascii="Arial" w:eastAsia="Times New Roman" w:hAnsi="Arial" w:cs="Arial"/>
          <w:b/>
          <w:kern w:val="0"/>
          <w:sz w:val="24"/>
          <w:szCs w:val="24"/>
          <w:lang w:val="en-US"/>
          <w14:ligatures w14:val="none"/>
        </w:rPr>
      </w:pPr>
      <w:r w:rsidRPr="00512CEA">
        <w:rPr>
          <w:rFonts w:ascii="Arial" w:eastAsia="Times New Roman" w:hAnsi="Arial" w:cs="Arial"/>
          <w:b/>
          <w:kern w:val="0"/>
          <w:sz w:val="24"/>
          <w:szCs w:val="24"/>
          <w:lang w:val="en-US"/>
          <w14:ligatures w14:val="none"/>
        </w:rPr>
        <w:t>CAPE LIQUOR BOARD</w:t>
      </w:r>
    </w:p>
    <w:p w14:paraId="1E0B0E13" w14:textId="77777777" w:rsidR="00512CEA" w:rsidRPr="00512CEA" w:rsidRDefault="00512CEA" w:rsidP="00512CEA">
      <w:pPr>
        <w:spacing w:after="0" w:line="240" w:lineRule="auto"/>
        <w:rPr>
          <w:rFonts w:ascii="Arial" w:eastAsia="Times New Roman" w:hAnsi="Arial" w:cs="Arial"/>
          <w:b/>
          <w:kern w:val="0"/>
          <w:sz w:val="24"/>
          <w:szCs w:val="24"/>
          <w:lang w:val="en-US"/>
          <w14:ligatures w14:val="none"/>
        </w:rPr>
      </w:pPr>
    </w:p>
    <w:p w14:paraId="2927A2FB" w14:textId="77777777" w:rsidR="00512CEA" w:rsidRPr="00512CEA" w:rsidRDefault="00512CEA" w:rsidP="00512CEA">
      <w:pPr>
        <w:spacing w:after="0" w:line="240" w:lineRule="auto"/>
        <w:rPr>
          <w:rFonts w:ascii="Arial" w:eastAsia="Times New Roman" w:hAnsi="Arial" w:cs="Arial"/>
          <w:kern w:val="0"/>
          <w:sz w:val="24"/>
          <w:szCs w:val="24"/>
          <w:lang w:val="en-US"/>
          <w14:ligatures w14:val="none"/>
        </w:rPr>
      </w:pPr>
      <w:r w:rsidRPr="00512CEA">
        <w:rPr>
          <w:rFonts w:ascii="Arial" w:eastAsia="Times New Roman" w:hAnsi="Arial" w:cs="Arial"/>
          <w:kern w:val="0"/>
          <w:sz w:val="24"/>
          <w:szCs w:val="24"/>
          <w:lang w:val="en-US"/>
          <w14:ligatures w14:val="none"/>
        </w:rPr>
        <w:t>And</w:t>
      </w:r>
    </w:p>
    <w:p w14:paraId="70A433DF" w14:textId="77777777" w:rsidR="00512CEA" w:rsidRPr="00512CEA" w:rsidRDefault="00512CEA" w:rsidP="00512CEA">
      <w:pPr>
        <w:spacing w:after="0" w:line="240" w:lineRule="auto"/>
        <w:rPr>
          <w:rFonts w:ascii="Arial" w:eastAsia="Times New Roman" w:hAnsi="Arial" w:cs="Arial"/>
          <w:b/>
          <w:kern w:val="0"/>
          <w:sz w:val="24"/>
          <w:szCs w:val="24"/>
          <w:lang w:val="en-US"/>
          <w14:ligatures w14:val="none"/>
        </w:rPr>
      </w:pPr>
      <w:r w:rsidRPr="00512CEA">
        <w:rPr>
          <w:rFonts w:ascii="Arial" w:eastAsia="Times New Roman" w:hAnsi="Arial" w:cs="Arial"/>
          <w:b/>
          <w:kern w:val="0"/>
          <w:sz w:val="24"/>
          <w:szCs w:val="24"/>
          <w:lang w:val="en-US"/>
          <w14:ligatures w14:val="none"/>
        </w:rPr>
        <w:t xml:space="preserve"> </w:t>
      </w:r>
    </w:p>
    <w:p w14:paraId="6666F728" w14:textId="77777777" w:rsidR="00512CEA" w:rsidRPr="00512CEA" w:rsidRDefault="00512CEA" w:rsidP="00512CEA">
      <w:pPr>
        <w:tabs>
          <w:tab w:val="left" w:pos="1080"/>
          <w:tab w:val="left" w:pos="2160"/>
          <w:tab w:val="left" w:pos="2631"/>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r w:rsidRPr="00512CEA">
        <w:rPr>
          <w:rFonts w:ascii="Arial" w:eastAsia="Times New Roman" w:hAnsi="Arial" w:cs="Arial"/>
          <w:b/>
          <w:bCs/>
          <w:kern w:val="0"/>
          <w:sz w:val="24"/>
          <w:szCs w:val="24"/>
          <w:lang w:val="en-US"/>
          <w14:ligatures w14:val="none"/>
        </w:rPr>
        <w:t>JOSEPH REED</w:t>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t xml:space="preserve">                                        </w:t>
      </w:r>
      <w:r w:rsidRPr="00512CEA">
        <w:rPr>
          <w:rFonts w:ascii="Arial" w:eastAsia="Times New Roman" w:hAnsi="Arial" w:cs="Arial"/>
          <w:bCs/>
          <w:kern w:val="0"/>
          <w:sz w:val="24"/>
          <w:szCs w:val="24"/>
          <w:lang w:val="en-US"/>
          <w14:ligatures w14:val="none"/>
        </w:rPr>
        <w:t xml:space="preserve">Respondent </w:t>
      </w:r>
    </w:p>
    <w:p w14:paraId="1724B132" w14:textId="77777777" w:rsidR="00512CEA" w:rsidRPr="00512CEA" w:rsidRDefault="00512CEA" w:rsidP="00512CEA">
      <w:pPr>
        <w:tabs>
          <w:tab w:val="left" w:pos="1080"/>
          <w:tab w:val="left" w:pos="2160"/>
          <w:tab w:val="left" w:pos="2631"/>
          <w:tab w:val="left" w:pos="3420"/>
          <w:tab w:val="left" w:pos="4500"/>
          <w:tab w:val="right" w:pos="9072"/>
        </w:tabs>
        <w:spacing w:after="0" w:line="240" w:lineRule="auto"/>
        <w:jc w:val="both"/>
        <w:rPr>
          <w:rFonts w:ascii="Arial" w:eastAsia="Times New Roman" w:hAnsi="Arial" w:cs="Arial"/>
          <w:b/>
          <w:bCs/>
          <w:kern w:val="0"/>
          <w:sz w:val="24"/>
          <w:szCs w:val="24"/>
          <w:lang w:val="en-US"/>
          <w14:ligatures w14:val="none"/>
        </w:rPr>
      </w:pP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p>
    <w:p w14:paraId="75AE81B5"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r w:rsidRPr="00512CEA">
        <w:rPr>
          <w:rFonts w:ascii="Arial" w:eastAsia="Times New Roman" w:hAnsi="Arial" w:cs="Arial"/>
          <w:bCs/>
          <w:kern w:val="0"/>
          <w:sz w:val="24"/>
          <w:szCs w:val="24"/>
          <w:lang w:val="en-US"/>
          <w14:ligatures w14:val="none"/>
        </w:rPr>
        <w:t>In re:</w:t>
      </w:r>
    </w:p>
    <w:p w14:paraId="42B305F3"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p>
    <w:p w14:paraId="68F8053B"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r w:rsidRPr="00512CEA">
        <w:rPr>
          <w:rFonts w:ascii="Arial" w:eastAsia="Times New Roman" w:hAnsi="Arial" w:cs="Arial"/>
          <w:b/>
          <w:bCs/>
          <w:kern w:val="0"/>
          <w:sz w:val="24"/>
          <w:szCs w:val="24"/>
          <w:lang w:val="en-US"/>
          <w14:ligatures w14:val="none"/>
        </w:rPr>
        <w:t>JOSEPH REED</w:t>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r>
      <w:r w:rsidRPr="00512CEA">
        <w:rPr>
          <w:rFonts w:ascii="Arial" w:eastAsia="Times New Roman" w:hAnsi="Arial" w:cs="Arial"/>
          <w:b/>
          <w:bCs/>
          <w:kern w:val="0"/>
          <w:sz w:val="24"/>
          <w:szCs w:val="24"/>
          <w:lang w:val="en-US"/>
          <w14:ligatures w14:val="none"/>
        </w:rPr>
        <w:tab/>
        <w:t xml:space="preserve">                                            </w:t>
      </w:r>
      <w:r w:rsidRPr="00512CEA">
        <w:rPr>
          <w:rFonts w:ascii="Arial" w:eastAsia="Times New Roman" w:hAnsi="Arial" w:cs="Arial"/>
          <w:bCs/>
          <w:kern w:val="0"/>
          <w:sz w:val="24"/>
          <w:szCs w:val="24"/>
          <w:lang w:val="en-US"/>
          <w14:ligatures w14:val="none"/>
        </w:rPr>
        <w:t>Applicant</w:t>
      </w:r>
    </w:p>
    <w:p w14:paraId="0DED8CFE"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p>
    <w:p w14:paraId="6D46969B"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r w:rsidRPr="00512CEA">
        <w:rPr>
          <w:rFonts w:ascii="Arial" w:eastAsia="Times New Roman" w:hAnsi="Arial" w:cs="Arial"/>
          <w:bCs/>
          <w:kern w:val="0"/>
          <w:sz w:val="24"/>
          <w:szCs w:val="24"/>
          <w:lang w:val="en-US"/>
          <w14:ligatures w14:val="none"/>
        </w:rPr>
        <w:t>And</w:t>
      </w:r>
    </w:p>
    <w:p w14:paraId="480CAA33"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Cs/>
          <w:kern w:val="0"/>
          <w:sz w:val="24"/>
          <w:szCs w:val="24"/>
          <w:lang w:val="en-US"/>
          <w14:ligatures w14:val="none"/>
        </w:rPr>
      </w:pPr>
    </w:p>
    <w:p w14:paraId="28EA43F7"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
          <w:bCs/>
          <w:kern w:val="0"/>
          <w:sz w:val="24"/>
          <w:szCs w:val="24"/>
          <w:lang w:val="en-US"/>
          <w14:ligatures w14:val="none"/>
        </w:rPr>
      </w:pPr>
      <w:r w:rsidRPr="00512CEA">
        <w:rPr>
          <w:rFonts w:ascii="Arial" w:eastAsia="Times New Roman" w:hAnsi="Arial" w:cs="Arial"/>
          <w:b/>
          <w:bCs/>
          <w:kern w:val="0"/>
          <w:sz w:val="24"/>
          <w:szCs w:val="24"/>
          <w:lang w:val="en-US"/>
          <w14:ligatures w14:val="none"/>
        </w:rPr>
        <w:t xml:space="preserve">CHIEF EXECUTIVE OFFICER, NORTHERN                                   </w:t>
      </w:r>
      <w:r w:rsidRPr="00512CEA">
        <w:rPr>
          <w:rFonts w:ascii="Arial" w:eastAsia="Times New Roman" w:hAnsi="Arial" w:cs="Arial"/>
          <w:bCs/>
          <w:kern w:val="0"/>
          <w:sz w:val="24"/>
          <w:szCs w:val="24"/>
          <w:lang w:val="en-US"/>
          <w14:ligatures w14:val="none"/>
        </w:rPr>
        <w:t xml:space="preserve">Respondent </w:t>
      </w:r>
    </w:p>
    <w:p w14:paraId="3E3E219D" w14:textId="77777777" w:rsidR="00512CEA" w:rsidRPr="00512CEA" w:rsidRDefault="00512CEA" w:rsidP="00512CEA">
      <w:pPr>
        <w:tabs>
          <w:tab w:val="left" w:pos="1080"/>
          <w:tab w:val="left" w:pos="2160"/>
          <w:tab w:val="left" w:pos="3420"/>
          <w:tab w:val="left" w:pos="4500"/>
          <w:tab w:val="right" w:pos="9072"/>
        </w:tabs>
        <w:spacing w:after="0" w:line="240" w:lineRule="auto"/>
        <w:jc w:val="both"/>
        <w:rPr>
          <w:rFonts w:ascii="Arial" w:eastAsia="Times New Roman" w:hAnsi="Arial" w:cs="Arial"/>
          <w:b/>
          <w:bCs/>
          <w:kern w:val="0"/>
          <w:lang w:val="en-US"/>
          <w14:ligatures w14:val="none"/>
        </w:rPr>
      </w:pPr>
      <w:r w:rsidRPr="00512CEA">
        <w:rPr>
          <w:rFonts w:ascii="Arial" w:eastAsia="Times New Roman" w:hAnsi="Arial" w:cs="Arial"/>
          <w:b/>
          <w:bCs/>
          <w:kern w:val="0"/>
          <w:sz w:val="24"/>
          <w:szCs w:val="24"/>
          <w:lang w:val="en-US"/>
          <w14:ligatures w14:val="none"/>
        </w:rPr>
        <w:t>CAPE LIQUOR BOARD</w:t>
      </w:r>
      <w:r w:rsidRPr="00512CEA">
        <w:rPr>
          <w:rFonts w:ascii="Arial" w:eastAsia="Times New Roman" w:hAnsi="Arial" w:cs="Arial"/>
          <w:b/>
          <w:bCs/>
          <w:kern w:val="0"/>
          <w:lang w:val="en-US"/>
          <w14:ligatures w14:val="none"/>
        </w:rPr>
        <w:tab/>
        <w:t xml:space="preserve"> </w:t>
      </w:r>
    </w:p>
    <w:p w14:paraId="080A7C97" w14:textId="77777777" w:rsidR="00C72023" w:rsidRPr="00A557C0" w:rsidRDefault="00C72023" w:rsidP="00C72023">
      <w:pPr>
        <w:pBdr>
          <w:bottom w:val="single" w:sz="12" w:space="1" w:color="auto"/>
        </w:pBdr>
        <w:spacing w:line="240" w:lineRule="auto"/>
        <w:rPr>
          <w:rFonts w:ascii="Arial" w:hAnsi="Arial" w:cs="Arial"/>
          <w:b/>
          <w:sz w:val="24"/>
          <w:szCs w:val="24"/>
        </w:rPr>
      </w:pPr>
    </w:p>
    <w:p w14:paraId="155A571E" w14:textId="77777777" w:rsidR="00C72023" w:rsidRPr="00A557C0" w:rsidRDefault="00C72023" w:rsidP="00C72023">
      <w:pPr>
        <w:spacing w:line="240" w:lineRule="auto"/>
        <w:rPr>
          <w:rFonts w:ascii="Arial" w:hAnsi="Arial" w:cs="Arial"/>
          <w:b/>
          <w:sz w:val="24"/>
          <w:szCs w:val="24"/>
        </w:rPr>
      </w:pPr>
    </w:p>
    <w:p w14:paraId="45CCDE75" w14:textId="77777777" w:rsidR="00C72023" w:rsidRPr="00A557C0" w:rsidRDefault="00C72023" w:rsidP="00C72023">
      <w:pPr>
        <w:spacing w:line="240" w:lineRule="auto"/>
        <w:jc w:val="center"/>
        <w:rPr>
          <w:rFonts w:ascii="Arial" w:hAnsi="Arial" w:cs="Arial"/>
          <w:b/>
          <w:sz w:val="24"/>
          <w:szCs w:val="24"/>
        </w:rPr>
      </w:pPr>
      <w:r w:rsidRPr="00A557C0">
        <w:rPr>
          <w:rFonts w:ascii="Arial" w:hAnsi="Arial" w:cs="Arial"/>
          <w:b/>
          <w:sz w:val="24"/>
          <w:szCs w:val="24"/>
        </w:rPr>
        <w:t>JUDGMENT</w:t>
      </w:r>
    </w:p>
    <w:p w14:paraId="5F7F100F" w14:textId="77777777" w:rsidR="00C72023" w:rsidRPr="00A557C0" w:rsidRDefault="00C72023" w:rsidP="00C72023">
      <w:pPr>
        <w:pBdr>
          <w:bottom w:val="single" w:sz="12" w:space="1" w:color="auto"/>
        </w:pBdr>
        <w:spacing w:line="240" w:lineRule="auto"/>
        <w:rPr>
          <w:rFonts w:ascii="Arial" w:hAnsi="Arial" w:cs="Arial"/>
          <w:b/>
          <w:sz w:val="24"/>
          <w:szCs w:val="24"/>
        </w:rPr>
      </w:pPr>
    </w:p>
    <w:p w14:paraId="69B7ACB4" w14:textId="49A42227" w:rsidR="00C72023" w:rsidRPr="00A557C0" w:rsidRDefault="00C72023" w:rsidP="00C72023">
      <w:pPr>
        <w:spacing w:line="240" w:lineRule="auto"/>
        <w:rPr>
          <w:rFonts w:ascii="Arial" w:hAnsi="Arial" w:cs="Arial"/>
          <w:b/>
          <w:sz w:val="24"/>
          <w:szCs w:val="24"/>
        </w:rPr>
      </w:pPr>
      <w:proofErr w:type="spellStart"/>
      <w:r>
        <w:rPr>
          <w:rFonts w:ascii="Arial" w:hAnsi="Arial" w:cs="Arial"/>
          <w:b/>
          <w:sz w:val="24"/>
          <w:szCs w:val="24"/>
        </w:rPr>
        <w:t>Eillert</w:t>
      </w:r>
      <w:proofErr w:type="spellEnd"/>
      <w:r w:rsidRPr="00A557C0">
        <w:rPr>
          <w:rFonts w:ascii="Arial" w:hAnsi="Arial" w:cs="Arial"/>
          <w:b/>
          <w:sz w:val="24"/>
          <w:szCs w:val="24"/>
        </w:rPr>
        <w:t xml:space="preserve"> AJ</w:t>
      </w:r>
    </w:p>
    <w:p w14:paraId="7B4C39DB" w14:textId="52A22F8B" w:rsidR="00C72023" w:rsidRDefault="00A1259F" w:rsidP="00C72023">
      <w:pPr>
        <w:widowControl w:val="0"/>
        <w:spacing w:after="0" w:line="240" w:lineRule="auto"/>
        <w:ind w:left="709" w:hanging="709"/>
        <w:jc w:val="both"/>
        <w:rPr>
          <w:rFonts w:ascii="Tahoma" w:hAnsi="Tahoma" w:cs="Tahoma"/>
        </w:rPr>
      </w:pPr>
      <w:r>
        <w:rPr>
          <w:rFonts w:ascii="Tahoma" w:hAnsi="Tahoma" w:cs="Tahoma"/>
        </w:rPr>
        <w:tab/>
      </w:r>
    </w:p>
    <w:p w14:paraId="57F71A4B" w14:textId="26A510B4" w:rsidR="005469CB" w:rsidRDefault="00C72023" w:rsidP="00AD3843">
      <w:pPr>
        <w:widowControl w:val="0"/>
        <w:spacing w:after="0" w:line="360" w:lineRule="auto"/>
        <w:ind w:left="709" w:hanging="709"/>
        <w:jc w:val="both"/>
        <w:rPr>
          <w:rFonts w:ascii="Tahoma" w:hAnsi="Tahoma" w:cs="Tahoma"/>
        </w:rPr>
      </w:pPr>
      <w:r>
        <w:rPr>
          <w:rFonts w:ascii="Tahoma" w:hAnsi="Tahoma" w:cs="Tahoma"/>
        </w:rPr>
        <w:t>[1]</w:t>
      </w:r>
      <w:r>
        <w:rPr>
          <w:rFonts w:ascii="Tahoma" w:hAnsi="Tahoma" w:cs="Tahoma"/>
        </w:rPr>
        <w:tab/>
      </w:r>
      <w:r w:rsidR="00E73424">
        <w:rPr>
          <w:rFonts w:ascii="Tahoma" w:hAnsi="Tahoma" w:cs="Tahoma"/>
        </w:rPr>
        <w:t xml:space="preserve">Almost 21 years ago, on 30 May 2003, an order was made </w:t>
      </w:r>
      <w:r w:rsidR="00804041">
        <w:rPr>
          <w:rFonts w:ascii="Tahoma" w:hAnsi="Tahoma" w:cs="Tahoma"/>
        </w:rPr>
        <w:t xml:space="preserve">by Tlaletsi </w:t>
      </w:r>
      <w:r w:rsidR="00AD3843">
        <w:rPr>
          <w:rFonts w:ascii="Tahoma" w:hAnsi="Tahoma" w:cs="Tahoma"/>
        </w:rPr>
        <w:t>AJ</w:t>
      </w:r>
      <w:r w:rsidR="00804041">
        <w:rPr>
          <w:rFonts w:ascii="Tahoma" w:hAnsi="Tahoma" w:cs="Tahoma"/>
        </w:rPr>
        <w:t xml:space="preserve">, </w:t>
      </w:r>
      <w:r w:rsidR="00AD3843">
        <w:rPr>
          <w:rFonts w:ascii="Tahoma" w:hAnsi="Tahoma" w:cs="Tahoma"/>
        </w:rPr>
        <w:t>as he then was, under case number 26/03</w:t>
      </w:r>
      <w:r w:rsidR="00760DCE">
        <w:rPr>
          <w:rFonts w:ascii="Tahoma" w:hAnsi="Tahoma" w:cs="Tahoma"/>
        </w:rPr>
        <w:t>,</w:t>
      </w:r>
      <w:r w:rsidR="00FA3F8B">
        <w:rPr>
          <w:rFonts w:ascii="Tahoma" w:hAnsi="Tahoma" w:cs="Tahoma"/>
        </w:rPr>
        <w:t xml:space="preserve"> that the decision by the Northern Cape Liquor Board</w:t>
      </w:r>
      <w:r w:rsidR="00544840">
        <w:rPr>
          <w:rFonts w:ascii="Tahoma" w:hAnsi="Tahoma" w:cs="Tahoma"/>
        </w:rPr>
        <w:t xml:space="preserve"> to refuse Mr Joseph Reed’s application for a special liquor licence </w:t>
      </w:r>
      <w:r w:rsidR="004A5A44">
        <w:rPr>
          <w:rFonts w:ascii="Tahoma" w:hAnsi="Tahoma" w:cs="Tahoma"/>
        </w:rPr>
        <w:t xml:space="preserve">in respect of premises </w:t>
      </w:r>
      <w:r w:rsidR="00760DCE">
        <w:rPr>
          <w:rFonts w:ascii="Tahoma" w:hAnsi="Tahoma" w:cs="Tahoma"/>
        </w:rPr>
        <w:lastRenderedPageBreak/>
        <w:t>situated in Kimberley</w:t>
      </w:r>
      <w:r w:rsidR="00AA0B3F">
        <w:rPr>
          <w:rFonts w:ascii="Tahoma" w:hAnsi="Tahoma" w:cs="Tahoma"/>
        </w:rPr>
        <w:t>,</w:t>
      </w:r>
      <w:r w:rsidR="00760DCE">
        <w:rPr>
          <w:rFonts w:ascii="Tahoma" w:hAnsi="Tahoma" w:cs="Tahoma"/>
        </w:rPr>
        <w:t xml:space="preserve"> </w:t>
      </w:r>
      <w:r w:rsidR="001E202F">
        <w:rPr>
          <w:rFonts w:ascii="Tahoma" w:hAnsi="Tahoma" w:cs="Tahoma"/>
        </w:rPr>
        <w:t>be rescinded, and that the application for the special liquor licence</w:t>
      </w:r>
      <w:r w:rsidR="005469CB">
        <w:rPr>
          <w:rFonts w:ascii="Tahoma" w:hAnsi="Tahoma" w:cs="Tahoma"/>
        </w:rPr>
        <w:t xml:space="preserve"> be referred back to the Northern Cape Liquor Board for it to be considered afresh.</w:t>
      </w:r>
    </w:p>
    <w:p w14:paraId="6EEAFA92" w14:textId="77777777" w:rsidR="005469CB" w:rsidRDefault="005469CB" w:rsidP="00AD3843">
      <w:pPr>
        <w:widowControl w:val="0"/>
        <w:spacing w:after="0" w:line="360" w:lineRule="auto"/>
        <w:ind w:left="709" w:hanging="709"/>
        <w:jc w:val="both"/>
        <w:rPr>
          <w:rFonts w:ascii="Tahoma" w:hAnsi="Tahoma" w:cs="Tahoma"/>
        </w:rPr>
      </w:pPr>
    </w:p>
    <w:p w14:paraId="2DCBD827" w14:textId="77777777" w:rsidR="005D3C80" w:rsidRDefault="005469CB" w:rsidP="00AD3843">
      <w:pPr>
        <w:widowControl w:val="0"/>
        <w:spacing w:after="0" w:line="360" w:lineRule="auto"/>
        <w:ind w:left="709" w:hanging="709"/>
        <w:jc w:val="both"/>
        <w:rPr>
          <w:rFonts w:ascii="Tahoma" w:hAnsi="Tahoma" w:cs="Tahoma"/>
        </w:rPr>
      </w:pPr>
      <w:r>
        <w:rPr>
          <w:rFonts w:ascii="Tahoma" w:hAnsi="Tahoma" w:cs="Tahoma"/>
        </w:rPr>
        <w:t>[2]</w:t>
      </w:r>
      <w:r>
        <w:rPr>
          <w:rFonts w:ascii="Tahoma" w:hAnsi="Tahoma" w:cs="Tahoma"/>
        </w:rPr>
        <w:tab/>
        <w:t xml:space="preserve">Despite </w:t>
      </w:r>
      <w:r w:rsidR="005463D8">
        <w:rPr>
          <w:rFonts w:ascii="Tahoma" w:hAnsi="Tahoma" w:cs="Tahoma"/>
        </w:rPr>
        <w:t>the passing of considerable time, the dust has not yet settled on the litigation between the parties</w:t>
      </w:r>
      <w:r w:rsidR="00C25493">
        <w:rPr>
          <w:rFonts w:ascii="Tahoma" w:hAnsi="Tahoma" w:cs="Tahoma"/>
        </w:rPr>
        <w:t xml:space="preserve">. This judgment concerns two subsequent cases launched by Mr Reed. </w:t>
      </w:r>
      <w:r w:rsidR="00943D8B">
        <w:rPr>
          <w:rFonts w:ascii="Tahoma" w:hAnsi="Tahoma" w:cs="Tahoma"/>
        </w:rPr>
        <w:t xml:space="preserve">For ease of </w:t>
      </w:r>
      <w:r w:rsidR="005D3C80">
        <w:rPr>
          <w:rFonts w:ascii="Tahoma" w:hAnsi="Tahoma" w:cs="Tahoma"/>
        </w:rPr>
        <w:t>reference,</w:t>
      </w:r>
      <w:r w:rsidR="00943D8B">
        <w:rPr>
          <w:rFonts w:ascii="Tahoma" w:hAnsi="Tahoma" w:cs="Tahoma"/>
        </w:rPr>
        <w:t xml:space="preserve"> I </w:t>
      </w:r>
      <w:r w:rsidR="00AB6C8B">
        <w:rPr>
          <w:rFonts w:ascii="Tahoma" w:hAnsi="Tahoma" w:cs="Tahoma"/>
        </w:rPr>
        <w:t xml:space="preserve">will refer to the parties </w:t>
      </w:r>
      <w:r w:rsidR="002C491E">
        <w:rPr>
          <w:rFonts w:ascii="Tahoma" w:hAnsi="Tahoma" w:cs="Tahoma"/>
        </w:rPr>
        <w:t>as they are cited in the main application</w:t>
      </w:r>
      <w:r w:rsidR="005D3C80">
        <w:rPr>
          <w:rFonts w:ascii="Tahoma" w:hAnsi="Tahoma" w:cs="Tahoma"/>
        </w:rPr>
        <w:t>s</w:t>
      </w:r>
      <w:r w:rsidR="00943D8B">
        <w:rPr>
          <w:rFonts w:ascii="Tahoma" w:hAnsi="Tahoma" w:cs="Tahoma"/>
        </w:rPr>
        <w:t xml:space="preserve">, i.e. </w:t>
      </w:r>
      <w:r w:rsidR="0034788F">
        <w:rPr>
          <w:rFonts w:ascii="Tahoma" w:hAnsi="Tahoma" w:cs="Tahoma"/>
        </w:rPr>
        <w:t xml:space="preserve">to Mr Reed as the Applicant and to the Northern Cape Liquor Board as the Respondent. </w:t>
      </w:r>
    </w:p>
    <w:p w14:paraId="52020952" w14:textId="77777777" w:rsidR="005D3C80" w:rsidRDefault="005D3C80" w:rsidP="00AD3843">
      <w:pPr>
        <w:widowControl w:val="0"/>
        <w:spacing w:after="0" w:line="360" w:lineRule="auto"/>
        <w:ind w:left="709" w:hanging="709"/>
        <w:jc w:val="both"/>
        <w:rPr>
          <w:rFonts w:ascii="Tahoma" w:hAnsi="Tahoma" w:cs="Tahoma"/>
        </w:rPr>
      </w:pPr>
    </w:p>
    <w:p w14:paraId="54DC9FEB" w14:textId="5724D8EC" w:rsidR="000B2DA4" w:rsidRDefault="005D3C80" w:rsidP="00AD3843">
      <w:pPr>
        <w:widowControl w:val="0"/>
        <w:spacing w:after="0" w:line="360" w:lineRule="auto"/>
        <w:ind w:left="709" w:hanging="709"/>
        <w:jc w:val="both"/>
        <w:rPr>
          <w:rFonts w:ascii="Tahoma" w:hAnsi="Tahoma" w:cs="Tahoma"/>
        </w:rPr>
      </w:pPr>
      <w:r>
        <w:rPr>
          <w:rFonts w:ascii="Tahoma" w:hAnsi="Tahoma" w:cs="Tahoma"/>
        </w:rPr>
        <w:t>[3]</w:t>
      </w:r>
      <w:r>
        <w:rPr>
          <w:rFonts w:ascii="Tahoma" w:hAnsi="Tahoma" w:cs="Tahoma"/>
        </w:rPr>
        <w:tab/>
      </w:r>
      <w:r w:rsidR="00CF39B7">
        <w:rPr>
          <w:rFonts w:ascii="Tahoma" w:hAnsi="Tahoma" w:cs="Tahoma"/>
        </w:rPr>
        <w:t>In case number 731/2018</w:t>
      </w:r>
      <w:r w:rsidR="00F84B54">
        <w:rPr>
          <w:rFonts w:ascii="Tahoma" w:hAnsi="Tahoma" w:cs="Tahoma"/>
        </w:rPr>
        <w:t>,</w:t>
      </w:r>
      <w:r w:rsidR="00755034">
        <w:rPr>
          <w:rFonts w:ascii="Tahoma" w:hAnsi="Tahoma" w:cs="Tahoma"/>
        </w:rPr>
        <w:t xml:space="preserve"> </w:t>
      </w:r>
      <w:r>
        <w:rPr>
          <w:rFonts w:ascii="Tahoma" w:hAnsi="Tahoma" w:cs="Tahoma"/>
        </w:rPr>
        <w:t>the Applicant</w:t>
      </w:r>
      <w:r w:rsidR="00755034">
        <w:rPr>
          <w:rFonts w:ascii="Tahoma" w:hAnsi="Tahoma" w:cs="Tahoma"/>
        </w:rPr>
        <w:t xml:space="preserve"> sought an order compelling the </w:t>
      </w:r>
      <w:r>
        <w:rPr>
          <w:rFonts w:ascii="Tahoma" w:hAnsi="Tahoma" w:cs="Tahoma"/>
        </w:rPr>
        <w:t>Respondent</w:t>
      </w:r>
      <w:r w:rsidR="00AA0B3F">
        <w:rPr>
          <w:rFonts w:ascii="Tahoma" w:hAnsi="Tahoma" w:cs="Tahoma"/>
        </w:rPr>
        <w:t xml:space="preserve"> </w:t>
      </w:r>
      <w:r w:rsidR="00755034">
        <w:rPr>
          <w:rFonts w:ascii="Tahoma" w:hAnsi="Tahoma" w:cs="Tahoma"/>
        </w:rPr>
        <w:t xml:space="preserve">to provide him with documents </w:t>
      </w:r>
      <w:r w:rsidR="00B06B89">
        <w:rPr>
          <w:rFonts w:ascii="Tahoma" w:hAnsi="Tahoma" w:cs="Tahoma"/>
        </w:rPr>
        <w:t xml:space="preserve">and records </w:t>
      </w:r>
      <w:r w:rsidR="003B0038">
        <w:rPr>
          <w:rFonts w:ascii="Tahoma" w:hAnsi="Tahoma" w:cs="Tahoma"/>
        </w:rPr>
        <w:t xml:space="preserve">that would relate to the reconsideration of the application </w:t>
      </w:r>
      <w:r w:rsidR="002C236B">
        <w:rPr>
          <w:rFonts w:ascii="Tahoma" w:hAnsi="Tahoma" w:cs="Tahoma"/>
        </w:rPr>
        <w:t xml:space="preserve">for the special liquor licence by the Respondent. </w:t>
      </w:r>
      <w:r w:rsidR="00D44112">
        <w:rPr>
          <w:rFonts w:ascii="Tahoma" w:hAnsi="Tahoma" w:cs="Tahoma"/>
        </w:rPr>
        <w:t>In case number 1179/2018</w:t>
      </w:r>
      <w:r w:rsidR="002A6A5A">
        <w:rPr>
          <w:rFonts w:ascii="Tahoma" w:hAnsi="Tahoma" w:cs="Tahoma"/>
        </w:rPr>
        <w:t>,</w:t>
      </w:r>
      <w:r w:rsidR="00D44112">
        <w:rPr>
          <w:rFonts w:ascii="Tahoma" w:hAnsi="Tahoma" w:cs="Tahoma"/>
        </w:rPr>
        <w:t xml:space="preserve"> the Applicant sought an order </w:t>
      </w:r>
      <w:r w:rsidR="009735CC">
        <w:rPr>
          <w:rFonts w:ascii="Tahoma" w:hAnsi="Tahoma" w:cs="Tahoma"/>
        </w:rPr>
        <w:t xml:space="preserve">declaring the </w:t>
      </w:r>
      <w:bookmarkStart w:id="1" w:name="_Hlk158202086"/>
      <w:r w:rsidR="009735CC">
        <w:rPr>
          <w:rFonts w:ascii="Tahoma" w:hAnsi="Tahoma" w:cs="Tahoma"/>
        </w:rPr>
        <w:t>Respondent and/or its board members and officials</w:t>
      </w:r>
      <w:bookmarkEnd w:id="1"/>
      <w:r w:rsidR="009735CC">
        <w:rPr>
          <w:rFonts w:ascii="Tahoma" w:hAnsi="Tahoma" w:cs="Tahoma"/>
        </w:rPr>
        <w:t xml:space="preserve"> </w:t>
      </w:r>
      <w:r w:rsidR="00314914">
        <w:rPr>
          <w:rFonts w:ascii="Tahoma" w:hAnsi="Tahoma" w:cs="Tahoma"/>
        </w:rPr>
        <w:t>to be in contempt of the order issued by Tlaletsi AJ</w:t>
      </w:r>
      <w:r w:rsidR="002D7394">
        <w:rPr>
          <w:rFonts w:ascii="Tahoma" w:hAnsi="Tahoma" w:cs="Tahoma"/>
        </w:rPr>
        <w:t xml:space="preserve">, as he then was, </w:t>
      </w:r>
      <w:r w:rsidR="00732E90">
        <w:rPr>
          <w:rFonts w:ascii="Tahoma" w:hAnsi="Tahoma" w:cs="Tahoma"/>
        </w:rPr>
        <w:t xml:space="preserve">on 30 May 2003, failing which the Respondent and/or its board members and officials </w:t>
      </w:r>
      <w:r w:rsidR="00B00AF2">
        <w:rPr>
          <w:rFonts w:ascii="Tahoma" w:hAnsi="Tahoma" w:cs="Tahoma"/>
        </w:rPr>
        <w:t>be committed to such term of direct imprisonment as the court would deem appropriate in the circumstances.</w:t>
      </w:r>
    </w:p>
    <w:p w14:paraId="24A1389E" w14:textId="77777777" w:rsidR="002C5D6A" w:rsidRDefault="002C5D6A" w:rsidP="00AD3843">
      <w:pPr>
        <w:widowControl w:val="0"/>
        <w:spacing w:after="0" w:line="360" w:lineRule="auto"/>
        <w:ind w:left="709" w:hanging="709"/>
        <w:jc w:val="both"/>
        <w:rPr>
          <w:rFonts w:ascii="Tahoma" w:hAnsi="Tahoma" w:cs="Tahoma"/>
        </w:rPr>
      </w:pPr>
    </w:p>
    <w:p w14:paraId="6F83B02E" w14:textId="52F46A03" w:rsidR="002C5D6A" w:rsidRDefault="002C5D6A" w:rsidP="00AD3843">
      <w:pPr>
        <w:widowControl w:val="0"/>
        <w:spacing w:after="0" w:line="360" w:lineRule="auto"/>
        <w:ind w:left="709" w:hanging="709"/>
        <w:jc w:val="both"/>
        <w:rPr>
          <w:rFonts w:ascii="Tahoma" w:hAnsi="Tahoma" w:cs="Tahoma"/>
        </w:rPr>
      </w:pPr>
      <w:r>
        <w:rPr>
          <w:rFonts w:ascii="Tahoma" w:hAnsi="Tahoma" w:cs="Tahoma"/>
        </w:rPr>
        <w:t>[4]</w:t>
      </w:r>
      <w:r>
        <w:rPr>
          <w:rFonts w:ascii="Tahoma" w:hAnsi="Tahoma" w:cs="Tahoma"/>
        </w:rPr>
        <w:tab/>
        <w:t xml:space="preserve">The Respondent delivered notices in terms of Uniform Rule </w:t>
      </w:r>
      <w:r w:rsidR="00096208">
        <w:rPr>
          <w:rFonts w:ascii="Tahoma" w:hAnsi="Tahoma" w:cs="Tahoma"/>
        </w:rPr>
        <w:t>47 under both aforementioned case numbers</w:t>
      </w:r>
      <w:r w:rsidR="000479B8">
        <w:rPr>
          <w:rFonts w:ascii="Tahoma" w:hAnsi="Tahoma" w:cs="Tahoma"/>
        </w:rPr>
        <w:t xml:space="preserve">. In terms </w:t>
      </w:r>
      <w:r w:rsidR="00874C3C">
        <w:rPr>
          <w:rFonts w:ascii="Tahoma" w:hAnsi="Tahoma" w:cs="Tahoma"/>
        </w:rPr>
        <w:t>t</w:t>
      </w:r>
      <w:r w:rsidR="000479B8">
        <w:rPr>
          <w:rFonts w:ascii="Tahoma" w:hAnsi="Tahoma" w:cs="Tahoma"/>
        </w:rPr>
        <w:t>hereof,</w:t>
      </w:r>
      <w:r w:rsidR="005A05F9">
        <w:rPr>
          <w:rFonts w:ascii="Tahoma" w:hAnsi="Tahoma" w:cs="Tahoma"/>
        </w:rPr>
        <w:t xml:space="preserve"> the Applicant was requested to furnish security in the amount of R300 000.00</w:t>
      </w:r>
      <w:r w:rsidR="00A048AE">
        <w:rPr>
          <w:rFonts w:ascii="Tahoma" w:hAnsi="Tahoma" w:cs="Tahoma"/>
        </w:rPr>
        <w:t xml:space="preserve"> in each matter</w:t>
      </w:r>
      <w:r w:rsidR="00915783">
        <w:rPr>
          <w:rFonts w:ascii="Tahoma" w:hAnsi="Tahoma" w:cs="Tahoma"/>
        </w:rPr>
        <w:t xml:space="preserve">, on the basis that, according to the Respondent, </w:t>
      </w:r>
      <w:r w:rsidR="00B3793F">
        <w:rPr>
          <w:rFonts w:ascii="Tahoma" w:hAnsi="Tahoma" w:cs="Tahoma"/>
        </w:rPr>
        <w:t xml:space="preserve">the proceedings instituted by the Applicant are vexatious and an abuse of process. </w:t>
      </w:r>
      <w:r w:rsidR="00B82778">
        <w:rPr>
          <w:rFonts w:ascii="Tahoma" w:hAnsi="Tahoma" w:cs="Tahoma"/>
        </w:rPr>
        <w:t xml:space="preserve">The Applicant </w:t>
      </w:r>
      <w:r w:rsidR="005E0660">
        <w:rPr>
          <w:rFonts w:ascii="Tahoma" w:hAnsi="Tahoma" w:cs="Tahoma"/>
        </w:rPr>
        <w:t>did not comply with the Respondent’s notices</w:t>
      </w:r>
      <w:r w:rsidR="005F5D29">
        <w:rPr>
          <w:rFonts w:ascii="Tahoma" w:hAnsi="Tahoma" w:cs="Tahoma"/>
        </w:rPr>
        <w:t xml:space="preserve">, as a result whereof the Respondent </w:t>
      </w:r>
      <w:r w:rsidR="006A51F9">
        <w:rPr>
          <w:rFonts w:ascii="Tahoma" w:hAnsi="Tahoma" w:cs="Tahoma"/>
        </w:rPr>
        <w:t>launched an application under both case numbers</w:t>
      </w:r>
      <w:r w:rsidR="00E4601A">
        <w:rPr>
          <w:rFonts w:ascii="Tahoma" w:hAnsi="Tahoma" w:cs="Tahoma"/>
        </w:rPr>
        <w:t xml:space="preserve"> </w:t>
      </w:r>
      <w:r w:rsidR="0047586E">
        <w:rPr>
          <w:rFonts w:ascii="Tahoma" w:hAnsi="Tahoma" w:cs="Tahoma"/>
        </w:rPr>
        <w:t>for the proceedings to be stayed, pending payment</w:t>
      </w:r>
      <w:r w:rsidR="00AE6617">
        <w:rPr>
          <w:rFonts w:ascii="Tahoma" w:hAnsi="Tahoma" w:cs="Tahoma"/>
        </w:rPr>
        <w:t xml:space="preserve"> by the Applicant of security for the Respondent’s costs. </w:t>
      </w:r>
      <w:r w:rsidR="00CE2954">
        <w:rPr>
          <w:rFonts w:ascii="Tahoma" w:hAnsi="Tahoma" w:cs="Tahoma"/>
        </w:rPr>
        <w:t xml:space="preserve">It is this application that I am called upon to adjudicate. </w:t>
      </w:r>
      <w:r w:rsidR="00201588">
        <w:rPr>
          <w:rFonts w:ascii="Tahoma" w:hAnsi="Tahoma" w:cs="Tahoma"/>
        </w:rPr>
        <w:t xml:space="preserve">I will from here on </w:t>
      </w:r>
      <w:r w:rsidR="0007228D">
        <w:rPr>
          <w:rFonts w:ascii="Tahoma" w:hAnsi="Tahoma" w:cs="Tahoma"/>
        </w:rPr>
        <w:t xml:space="preserve">out </w:t>
      </w:r>
      <w:r w:rsidR="00201588">
        <w:rPr>
          <w:rFonts w:ascii="Tahoma" w:hAnsi="Tahoma" w:cs="Tahoma"/>
        </w:rPr>
        <w:t>refer to this application as the stay application.</w:t>
      </w:r>
    </w:p>
    <w:p w14:paraId="1EE06F74" w14:textId="77777777" w:rsidR="00B82778" w:rsidRDefault="00B82778" w:rsidP="00AD3843">
      <w:pPr>
        <w:widowControl w:val="0"/>
        <w:spacing w:after="0" w:line="360" w:lineRule="auto"/>
        <w:ind w:left="709" w:hanging="709"/>
        <w:jc w:val="both"/>
        <w:rPr>
          <w:rFonts w:ascii="Tahoma" w:hAnsi="Tahoma" w:cs="Tahoma"/>
        </w:rPr>
      </w:pPr>
    </w:p>
    <w:p w14:paraId="2F31B1DD" w14:textId="4E315013" w:rsidR="00B82778" w:rsidRDefault="00B82778" w:rsidP="00AD3843">
      <w:pPr>
        <w:widowControl w:val="0"/>
        <w:spacing w:after="0" w:line="360" w:lineRule="auto"/>
        <w:ind w:left="709" w:hanging="709"/>
        <w:jc w:val="both"/>
        <w:rPr>
          <w:rFonts w:ascii="Tahoma" w:hAnsi="Tahoma" w:cs="Tahoma"/>
        </w:rPr>
      </w:pPr>
      <w:r>
        <w:rPr>
          <w:rFonts w:ascii="Tahoma" w:hAnsi="Tahoma" w:cs="Tahoma"/>
        </w:rPr>
        <w:t>[5]</w:t>
      </w:r>
      <w:r>
        <w:rPr>
          <w:rFonts w:ascii="Tahoma" w:hAnsi="Tahoma" w:cs="Tahoma"/>
        </w:rPr>
        <w:tab/>
      </w:r>
      <w:r w:rsidR="0085030D">
        <w:rPr>
          <w:rFonts w:ascii="Tahoma" w:hAnsi="Tahoma" w:cs="Tahoma"/>
        </w:rPr>
        <w:t>On 17 November 2020, p</w:t>
      </w:r>
      <w:r w:rsidR="00565388">
        <w:rPr>
          <w:rFonts w:ascii="Tahoma" w:hAnsi="Tahoma" w:cs="Tahoma"/>
        </w:rPr>
        <w:t xml:space="preserve">rior to the </w:t>
      </w:r>
      <w:proofErr w:type="spellStart"/>
      <w:r w:rsidR="00565388">
        <w:rPr>
          <w:rFonts w:ascii="Tahoma" w:hAnsi="Tahoma" w:cs="Tahoma"/>
        </w:rPr>
        <w:t>setdown</w:t>
      </w:r>
      <w:proofErr w:type="spellEnd"/>
      <w:r w:rsidR="00565388">
        <w:rPr>
          <w:rFonts w:ascii="Tahoma" w:hAnsi="Tahoma" w:cs="Tahoma"/>
        </w:rPr>
        <w:t xml:space="preserve"> of the stay application, the Applicant delivered notice</w:t>
      </w:r>
      <w:r w:rsidR="00777FEA">
        <w:rPr>
          <w:rFonts w:ascii="Tahoma" w:hAnsi="Tahoma" w:cs="Tahoma"/>
        </w:rPr>
        <w:t>s</w:t>
      </w:r>
      <w:r w:rsidR="00565388">
        <w:rPr>
          <w:rFonts w:ascii="Tahoma" w:hAnsi="Tahoma" w:cs="Tahoma"/>
        </w:rPr>
        <w:t xml:space="preserve"> of withdrawal of the proceedings </w:t>
      </w:r>
      <w:r w:rsidR="00D8027C">
        <w:rPr>
          <w:rFonts w:ascii="Tahoma" w:hAnsi="Tahoma" w:cs="Tahoma"/>
        </w:rPr>
        <w:t>under both case numbers 731/2018 and 1179/2018. The Office of the State Attorney</w:t>
      </w:r>
      <w:r w:rsidR="007F1A00">
        <w:rPr>
          <w:rFonts w:ascii="Tahoma" w:hAnsi="Tahoma" w:cs="Tahoma"/>
        </w:rPr>
        <w:t xml:space="preserve">, acting for the Respondent, was duly served with the notices of withdrawal of the proceedings. </w:t>
      </w:r>
      <w:r w:rsidR="0085030D">
        <w:rPr>
          <w:rFonts w:ascii="Tahoma" w:hAnsi="Tahoma" w:cs="Tahoma"/>
        </w:rPr>
        <w:t xml:space="preserve">The Respondent nonetheless </w:t>
      </w:r>
      <w:r w:rsidR="00043DAA">
        <w:rPr>
          <w:rFonts w:ascii="Tahoma" w:hAnsi="Tahoma" w:cs="Tahoma"/>
        </w:rPr>
        <w:t xml:space="preserve">proceeded with the delivery of a notice of </w:t>
      </w:r>
      <w:proofErr w:type="spellStart"/>
      <w:r w:rsidR="00043DAA">
        <w:rPr>
          <w:rFonts w:ascii="Tahoma" w:hAnsi="Tahoma" w:cs="Tahoma"/>
        </w:rPr>
        <w:t>setdown</w:t>
      </w:r>
      <w:proofErr w:type="spellEnd"/>
      <w:r w:rsidR="00043DAA">
        <w:rPr>
          <w:rFonts w:ascii="Tahoma" w:hAnsi="Tahoma" w:cs="Tahoma"/>
        </w:rPr>
        <w:t xml:space="preserve"> </w:t>
      </w:r>
      <w:r w:rsidR="003160F5">
        <w:rPr>
          <w:rFonts w:ascii="Tahoma" w:hAnsi="Tahoma" w:cs="Tahoma"/>
        </w:rPr>
        <w:t>of the stay application</w:t>
      </w:r>
      <w:r w:rsidR="009B3B7A">
        <w:rPr>
          <w:rFonts w:ascii="Tahoma" w:hAnsi="Tahoma" w:cs="Tahoma"/>
        </w:rPr>
        <w:t xml:space="preserve">, which was signed by the attorney acting for the Respondent on </w:t>
      </w:r>
      <w:r w:rsidR="003160F5">
        <w:rPr>
          <w:rFonts w:ascii="Tahoma" w:hAnsi="Tahoma" w:cs="Tahoma"/>
        </w:rPr>
        <w:t>6 November 2020</w:t>
      </w:r>
      <w:r w:rsidR="009B3B7A">
        <w:rPr>
          <w:rFonts w:ascii="Tahoma" w:hAnsi="Tahoma" w:cs="Tahoma"/>
        </w:rPr>
        <w:t xml:space="preserve">, </w:t>
      </w:r>
      <w:r w:rsidR="000F4F53">
        <w:rPr>
          <w:rFonts w:ascii="Tahoma" w:hAnsi="Tahoma" w:cs="Tahoma"/>
        </w:rPr>
        <w:t xml:space="preserve">provided to </w:t>
      </w:r>
      <w:r w:rsidR="000F4F53">
        <w:rPr>
          <w:rFonts w:ascii="Tahoma" w:hAnsi="Tahoma" w:cs="Tahoma"/>
        </w:rPr>
        <w:lastRenderedPageBreak/>
        <w:t>the Sheriff of the Court on 9 December 2020, and served upon the Applicant</w:t>
      </w:r>
      <w:r w:rsidR="007C13C3">
        <w:rPr>
          <w:rFonts w:ascii="Tahoma" w:hAnsi="Tahoma" w:cs="Tahoma"/>
        </w:rPr>
        <w:t xml:space="preserve"> on 14 December 2020. The notice of </w:t>
      </w:r>
      <w:proofErr w:type="spellStart"/>
      <w:r w:rsidR="007C13C3">
        <w:rPr>
          <w:rFonts w:ascii="Tahoma" w:hAnsi="Tahoma" w:cs="Tahoma"/>
        </w:rPr>
        <w:t>setdown</w:t>
      </w:r>
      <w:proofErr w:type="spellEnd"/>
      <w:r w:rsidR="007C13C3">
        <w:rPr>
          <w:rFonts w:ascii="Tahoma" w:hAnsi="Tahoma" w:cs="Tahoma"/>
        </w:rPr>
        <w:t xml:space="preserve"> does not bear a court stamp </w:t>
      </w:r>
      <w:r w:rsidR="005F21A9">
        <w:rPr>
          <w:rFonts w:ascii="Tahoma" w:hAnsi="Tahoma" w:cs="Tahoma"/>
        </w:rPr>
        <w:t xml:space="preserve">to indicate on what date the notice of </w:t>
      </w:r>
      <w:proofErr w:type="spellStart"/>
      <w:r w:rsidR="005F21A9">
        <w:rPr>
          <w:rFonts w:ascii="Tahoma" w:hAnsi="Tahoma" w:cs="Tahoma"/>
        </w:rPr>
        <w:t>setdown</w:t>
      </w:r>
      <w:proofErr w:type="spellEnd"/>
      <w:r w:rsidR="005F21A9">
        <w:rPr>
          <w:rFonts w:ascii="Tahoma" w:hAnsi="Tahoma" w:cs="Tahoma"/>
        </w:rPr>
        <w:t xml:space="preserve"> was filed at the Registrar’s office.</w:t>
      </w:r>
    </w:p>
    <w:p w14:paraId="0B65213D" w14:textId="77777777" w:rsidR="00BD1864" w:rsidRDefault="00BD1864" w:rsidP="00AD3843">
      <w:pPr>
        <w:widowControl w:val="0"/>
        <w:spacing w:after="0" w:line="360" w:lineRule="auto"/>
        <w:ind w:left="709" w:hanging="709"/>
        <w:jc w:val="both"/>
        <w:rPr>
          <w:rFonts w:ascii="Tahoma" w:hAnsi="Tahoma" w:cs="Tahoma"/>
        </w:rPr>
      </w:pPr>
    </w:p>
    <w:p w14:paraId="6AE4C155" w14:textId="01EDAEBF" w:rsidR="00BD1864" w:rsidRDefault="00BD1864" w:rsidP="00AD3843">
      <w:pPr>
        <w:widowControl w:val="0"/>
        <w:spacing w:after="0" w:line="360" w:lineRule="auto"/>
        <w:ind w:left="709" w:hanging="709"/>
        <w:jc w:val="both"/>
        <w:rPr>
          <w:rFonts w:ascii="Tahoma" w:hAnsi="Tahoma" w:cs="Tahoma"/>
        </w:rPr>
      </w:pPr>
      <w:r>
        <w:rPr>
          <w:rFonts w:ascii="Tahoma" w:hAnsi="Tahoma" w:cs="Tahoma"/>
        </w:rPr>
        <w:t>[6]</w:t>
      </w:r>
      <w:r>
        <w:rPr>
          <w:rFonts w:ascii="Tahoma" w:hAnsi="Tahoma" w:cs="Tahoma"/>
        </w:rPr>
        <w:tab/>
        <w:t>At the hearing of the stay application the Applicant</w:t>
      </w:r>
      <w:r w:rsidR="00232B0F">
        <w:rPr>
          <w:rFonts w:ascii="Tahoma" w:hAnsi="Tahoma" w:cs="Tahoma"/>
        </w:rPr>
        <w:t xml:space="preserve">, acting in person, </w:t>
      </w:r>
      <w:r w:rsidR="00C56F43">
        <w:rPr>
          <w:rFonts w:ascii="Tahoma" w:hAnsi="Tahoma" w:cs="Tahoma"/>
        </w:rPr>
        <w:t>whilst</w:t>
      </w:r>
      <w:r w:rsidR="00232B0F">
        <w:rPr>
          <w:rFonts w:ascii="Tahoma" w:hAnsi="Tahoma" w:cs="Tahoma"/>
        </w:rPr>
        <w:t xml:space="preserve"> expressing a desire </w:t>
      </w:r>
      <w:r w:rsidR="002E6824">
        <w:rPr>
          <w:rFonts w:ascii="Tahoma" w:hAnsi="Tahoma" w:cs="Tahoma"/>
        </w:rPr>
        <w:t xml:space="preserve">for the litigation </w:t>
      </w:r>
      <w:r w:rsidR="009B6C91">
        <w:rPr>
          <w:rFonts w:ascii="Tahoma" w:hAnsi="Tahoma" w:cs="Tahoma"/>
        </w:rPr>
        <w:t xml:space="preserve">between the parties to proceed to a hearing, persisted with the withdrawal of the proceedings </w:t>
      </w:r>
      <w:r w:rsidR="00B0083F">
        <w:rPr>
          <w:rFonts w:ascii="Tahoma" w:hAnsi="Tahoma" w:cs="Tahoma"/>
        </w:rPr>
        <w:t xml:space="preserve">under both case numbers against the Respondent. </w:t>
      </w:r>
    </w:p>
    <w:p w14:paraId="32194E8A" w14:textId="77777777" w:rsidR="00E96A2E" w:rsidRDefault="00E96A2E" w:rsidP="00AD3843">
      <w:pPr>
        <w:widowControl w:val="0"/>
        <w:spacing w:after="0" w:line="360" w:lineRule="auto"/>
        <w:ind w:left="709" w:hanging="709"/>
        <w:jc w:val="both"/>
        <w:rPr>
          <w:rFonts w:ascii="Tahoma" w:hAnsi="Tahoma" w:cs="Tahoma"/>
        </w:rPr>
      </w:pPr>
    </w:p>
    <w:p w14:paraId="2743069B" w14:textId="0098A354" w:rsidR="00E96A2E" w:rsidRDefault="00E96A2E" w:rsidP="00AD3843">
      <w:pPr>
        <w:widowControl w:val="0"/>
        <w:spacing w:after="0" w:line="360" w:lineRule="auto"/>
        <w:ind w:left="709" w:hanging="709"/>
        <w:jc w:val="both"/>
        <w:rPr>
          <w:rFonts w:ascii="Tahoma" w:hAnsi="Tahoma" w:cs="Tahoma"/>
        </w:rPr>
      </w:pPr>
      <w:r>
        <w:rPr>
          <w:rFonts w:ascii="Tahoma" w:hAnsi="Tahoma" w:cs="Tahoma"/>
        </w:rPr>
        <w:t>[7]</w:t>
      </w:r>
      <w:r>
        <w:rPr>
          <w:rFonts w:ascii="Tahoma" w:hAnsi="Tahoma" w:cs="Tahoma"/>
        </w:rPr>
        <w:tab/>
        <w:t xml:space="preserve">The effect of the Applicant’s withdrawal </w:t>
      </w:r>
      <w:r w:rsidR="005057D2">
        <w:rPr>
          <w:rFonts w:ascii="Tahoma" w:hAnsi="Tahoma" w:cs="Tahoma"/>
        </w:rPr>
        <w:t xml:space="preserve">of the proceedings under both case numbers 731/2018 and 1179/2018 is determinative </w:t>
      </w:r>
      <w:r w:rsidR="00E32499">
        <w:rPr>
          <w:rFonts w:ascii="Tahoma" w:hAnsi="Tahoma" w:cs="Tahoma"/>
        </w:rPr>
        <w:t xml:space="preserve">of the outcome of this judgment. </w:t>
      </w:r>
    </w:p>
    <w:p w14:paraId="762FD6FF" w14:textId="77777777" w:rsidR="00E32499" w:rsidRDefault="00E32499" w:rsidP="00AD3843">
      <w:pPr>
        <w:widowControl w:val="0"/>
        <w:spacing w:after="0" w:line="360" w:lineRule="auto"/>
        <w:ind w:left="709" w:hanging="709"/>
        <w:jc w:val="both"/>
        <w:rPr>
          <w:rFonts w:ascii="Tahoma" w:hAnsi="Tahoma" w:cs="Tahoma"/>
        </w:rPr>
      </w:pPr>
    </w:p>
    <w:p w14:paraId="5ADA8A90" w14:textId="6FDA8536" w:rsidR="00E32499" w:rsidRDefault="00E32499" w:rsidP="00AD3843">
      <w:pPr>
        <w:widowControl w:val="0"/>
        <w:spacing w:after="0" w:line="360" w:lineRule="auto"/>
        <w:ind w:left="709" w:hanging="709"/>
        <w:jc w:val="both"/>
        <w:rPr>
          <w:rFonts w:ascii="Tahoma" w:hAnsi="Tahoma" w:cs="Tahoma"/>
        </w:rPr>
      </w:pPr>
      <w:r>
        <w:rPr>
          <w:rFonts w:ascii="Tahoma" w:hAnsi="Tahoma" w:cs="Tahoma"/>
        </w:rPr>
        <w:t>[8]</w:t>
      </w:r>
      <w:r>
        <w:rPr>
          <w:rFonts w:ascii="Tahoma" w:hAnsi="Tahoma" w:cs="Tahoma"/>
        </w:rPr>
        <w:tab/>
        <w:t>Uniform Rule 41(1) provides as follows:</w:t>
      </w:r>
    </w:p>
    <w:p w14:paraId="7237524F" w14:textId="77777777" w:rsidR="00E32499" w:rsidRDefault="00E32499" w:rsidP="00AD3843">
      <w:pPr>
        <w:widowControl w:val="0"/>
        <w:spacing w:after="0" w:line="360" w:lineRule="auto"/>
        <w:ind w:left="709" w:hanging="709"/>
        <w:jc w:val="both"/>
        <w:rPr>
          <w:rFonts w:ascii="Tahoma" w:hAnsi="Tahoma" w:cs="Tahoma"/>
        </w:rPr>
      </w:pPr>
    </w:p>
    <w:p w14:paraId="56852925" w14:textId="6163606B" w:rsidR="00E32499" w:rsidRPr="00093F13" w:rsidRDefault="003E36C5" w:rsidP="00E32499">
      <w:pPr>
        <w:widowControl w:val="0"/>
        <w:spacing w:after="0" w:line="360" w:lineRule="auto"/>
        <w:ind w:left="709"/>
        <w:jc w:val="both"/>
        <w:rPr>
          <w:rFonts w:ascii="Tahoma" w:hAnsi="Tahoma" w:cs="Tahoma"/>
          <w:b/>
          <w:bCs/>
          <w:i/>
          <w:iCs/>
        </w:rPr>
      </w:pPr>
      <w:r>
        <w:rPr>
          <w:rFonts w:ascii="Tahoma" w:hAnsi="Tahoma" w:cs="Tahoma"/>
        </w:rPr>
        <w:t>“</w:t>
      </w:r>
      <w:r w:rsidR="00902124" w:rsidRPr="00093F13">
        <w:rPr>
          <w:rFonts w:ascii="Tahoma" w:hAnsi="Tahoma" w:cs="Tahoma"/>
          <w:b/>
          <w:bCs/>
          <w:i/>
          <w:iCs/>
        </w:rPr>
        <w:t>Rule 41(1)-</w:t>
      </w:r>
    </w:p>
    <w:p w14:paraId="3FE37AE5" w14:textId="77777777" w:rsidR="00902124" w:rsidRDefault="00902124" w:rsidP="00E32499">
      <w:pPr>
        <w:widowControl w:val="0"/>
        <w:spacing w:after="0" w:line="360" w:lineRule="auto"/>
        <w:ind w:left="709"/>
        <w:jc w:val="both"/>
        <w:rPr>
          <w:rFonts w:ascii="Tahoma" w:hAnsi="Tahoma" w:cs="Tahoma"/>
          <w:b/>
          <w:bCs/>
        </w:rPr>
      </w:pPr>
    </w:p>
    <w:p w14:paraId="5B08E412" w14:textId="2A2B045C" w:rsidR="00093F13" w:rsidRPr="00093F13" w:rsidRDefault="00093F13" w:rsidP="00093F13">
      <w:pPr>
        <w:pStyle w:val="ListParagraph"/>
        <w:widowControl w:val="0"/>
        <w:numPr>
          <w:ilvl w:val="0"/>
          <w:numId w:val="1"/>
        </w:numPr>
        <w:spacing w:after="0" w:line="360" w:lineRule="auto"/>
        <w:ind w:left="1276" w:hanging="567"/>
        <w:jc w:val="both"/>
        <w:rPr>
          <w:rFonts w:ascii="Tahoma" w:hAnsi="Tahoma" w:cs="Tahoma"/>
          <w:i/>
          <w:iCs/>
        </w:rPr>
      </w:pPr>
      <w:r w:rsidRPr="00093F13">
        <w:rPr>
          <w:rFonts w:ascii="Tahoma" w:hAnsi="Tahoma" w:cs="Tahoma"/>
          <w:i/>
          <w:iCs/>
        </w:rPr>
        <w:t>A person instituting any proceedings may at any time before the matter has been set down and thereafter by consent of the parties or leave of the court withdraw such proceedings, in any of which events he shall deliver a notice of withdrawal and may embody in such notice a consent to pay costs; and the taxing master shall tax such costs on the request of the other party.</w:t>
      </w:r>
    </w:p>
    <w:p w14:paraId="7F225AE8" w14:textId="77777777" w:rsidR="00093F13" w:rsidRPr="00093F13" w:rsidRDefault="00093F13" w:rsidP="00093F13">
      <w:pPr>
        <w:widowControl w:val="0"/>
        <w:spacing w:after="0" w:line="360" w:lineRule="auto"/>
        <w:ind w:left="709"/>
        <w:jc w:val="both"/>
        <w:rPr>
          <w:rFonts w:ascii="Tahoma" w:hAnsi="Tahoma" w:cs="Tahoma"/>
          <w:i/>
          <w:iCs/>
        </w:rPr>
      </w:pPr>
    </w:p>
    <w:p w14:paraId="3857E690" w14:textId="3C3CA838" w:rsidR="00093F13" w:rsidRPr="0049214C" w:rsidRDefault="00093F13" w:rsidP="0049214C">
      <w:pPr>
        <w:pStyle w:val="ListParagraph"/>
        <w:widowControl w:val="0"/>
        <w:numPr>
          <w:ilvl w:val="0"/>
          <w:numId w:val="1"/>
        </w:numPr>
        <w:spacing w:after="0" w:line="360" w:lineRule="auto"/>
        <w:ind w:left="1276" w:hanging="567"/>
        <w:jc w:val="both"/>
        <w:rPr>
          <w:rFonts w:ascii="Tahoma" w:hAnsi="Tahoma" w:cs="Tahoma"/>
          <w:i/>
          <w:iCs/>
        </w:rPr>
      </w:pPr>
      <w:r w:rsidRPr="0049214C">
        <w:rPr>
          <w:rFonts w:ascii="Tahoma" w:hAnsi="Tahoma" w:cs="Tahoma"/>
          <w:i/>
          <w:iCs/>
        </w:rPr>
        <w:t>A consent to pay costs referred to in paragraph (a) shall have the effect of an order of court for such costs.</w:t>
      </w:r>
    </w:p>
    <w:p w14:paraId="1F3504D8" w14:textId="77777777" w:rsidR="00093F13" w:rsidRPr="00093F13" w:rsidRDefault="00093F13" w:rsidP="00093F13">
      <w:pPr>
        <w:widowControl w:val="0"/>
        <w:spacing w:after="0" w:line="360" w:lineRule="auto"/>
        <w:ind w:left="709"/>
        <w:jc w:val="both"/>
        <w:rPr>
          <w:rFonts w:ascii="Tahoma" w:hAnsi="Tahoma" w:cs="Tahoma"/>
          <w:i/>
          <w:iCs/>
        </w:rPr>
      </w:pPr>
    </w:p>
    <w:p w14:paraId="1E33A28B" w14:textId="160B2495" w:rsidR="00902124" w:rsidRPr="003E36C5" w:rsidRDefault="00093F13" w:rsidP="0049214C">
      <w:pPr>
        <w:pStyle w:val="ListParagraph"/>
        <w:widowControl w:val="0"/>
        <w:numPr>
          <w:ilvl w:val="0"/>
          <w:numId w:val="1"/>
        </w:numPr>
        <w:spacing w:after="0" w:line="360" w:lineRule="auto"/>
        <w:ind w:left="1276" w:hanging="567"/>
        <w:jc w:val="both"/>
        <w:rPr>
          <w:rFonts w:ascii="Tahoma" w:hAnsi="Tahoma" w:cs="Tahoma"/>
          <w:i/>
          <w:iCs/>
        </w:rPr>
      </w:pPr>
      <w:r w:rsidRPr="0049214C">
        <w:rPr>
          <w:rFonts w:ascii="Tahoma" w:hAnsi="Tahoma" w:cs="Tahoma"/>
          <w:i/>
          <w:iCs/>
        </w:rPr>
        <w:t>If no such consent to pay costs is embodied in the notice of withdrawal, the other party may apply to court on notice for an order for costs.</w:t>
      </w:r>
      <w:r w:rsidR="003E36C5">
        <w:rPr>
          <w:rFonts w:ascii="Tahoma" w:hAnsi="Tahoma" w:cs="Tahoma"/>
        </w:rPr>
        <w:t>”</w:t>
      </w:r>
    </w:p>
    <w:p w14:paraId="643E45F2" w14:textId="77777777" w:rsidR="003E36C5" w:rsidRPr="003E36C5" w:rsidRDefault="003E36C5" w:rsidP="003E36C5">
      <w:pPr>
        <w:pStyle w:val="ListParagraph"/>
        <w:rPr>
          <w:rFonts w:ascii="Tahoma" w:hAnsi="Tahoma" w:cs="Tahoma"/>
          <w:i/>
          <w:iCs/>
        </w:rPr>
      </w:pPr>
    </w:p>
    <w:p w14:paraId="337D2D44" w14:textId="545EC931" w:rsidR="003E36C5" w:rsidRDefault="003E36C5" w:rsidP="00E167ED">
      <w:pPr>
        <w:widowControl w:val="0"/>
        <w:spacing w:after="0" w:line="360" w:lineRule="auto"/>
        <w:ind w:left="709" w:hanging="709"/>
        <w:jc w:val="both"/>
        <w:rPr>
          <w:rFonts w:ascii="Tahoma" w:hAnsi="Tahoma" w:cs="Tahoma"/>
        </w:rPr>
      </w:pPr>
      <w:r>
        <w:rPr>
          <w:rFonts w:ascii="Tahoma" w:hAnsi="Tahoma" w:cs="Tahoma"/>
        </w:rPr>
        <w:t>[9]</w:t>
      </w:r>
      <w:r>
        <w:rPr>
          <w:rFonts w:ascii="Tahoma" w:hAnsi="Tahoma" w:cs="Tahoma"/>
        </w:rPr>
        <w:tab/>
      </w:r>
      <w:r w:rsidR="0045179D">
        <w:rPr>
          <w:rFonts w:ascii="Tahoma" w:hAnsi="Tahoma" w:cs="Tahoma"/>
        </w:rPr>
        <w:t xml:space="preserve">In </w:t>
      </w:r>
      <w:r w:rsidR="0045179D">
        <w:rPr>
          <w:rFonts w:ascii="Tahoma" w:hAnsi="Tahoma" w:cs="Tahoma"/>
          <w:b/>
          <w:bCs/>
        </w:rPr>
        <w:t>De Lange v Provincial Commissioner</w:t>
      </w:r>
      <w:r w:rsidR="00E167ED">
        <w:rPr>
          <w:rFonts w:ascii="Tahoma" w:hAnsi="Tahoma" w:cs="Tahoma"/>
          <w:b/>
          <w:bCs/>
        </w:rPr>
        <w:t xml:space="preserve"> of Correctional Services, Eastern Cape </w:t>
      </w:r>
      <w:r w:rsidR="00E167ED">
        <w:rPr>
          <w:rFonts w:ascii="Tahoma" w:hAnsi="Tahoma" w:cs="Tahoma"/>
        </w:rPr>
        <w:t xml:space="preserve">2002 (3) SA 683 (SECLD) </w:t>
      </w:r>
      <w:r w:rsidR="00763057">
        <w:rPr>
          <w:rFonts w:ascii="Tahoma" w:hAnsi="Tahoma" w:cs="Tahoma"/>
        </w:rPr>
        <w:t xml:space="preserve">Leach J (as he then was) defined the term “proceedings” employed in </w:t>
      </w:r>
      <w:r w:rsidR="00DB38CD">
        <w:rPr>
          <w:rFonts w:ascii="Tahoma" w:hAnsi="Tahoma" w:cs="Tahoma"/>
        </w:rPr>
        <w:t xml:space="preserve">Uniform Rule 41, to mean the following: </w:t>
      </w:r>
    </w:p>
    <w:p w14:paraId="1C5EB239" w14:textId="77777777" w:rsidR="00DB38CD" w:rsidRDefault="00DB38CD" w:rsidP="00E167ED">
      <w:pPr>
        <w:widowControl w:val="0"/>
        <w:spacing w:after="0" w:line="360" w:lineRule="auto"/>
        <w:ind w:left="709" w:hanging="709"/>
        <w:jc w:val="both"/>
        <w:rPr>
          <w:rFonts w:ascii="Tahoma" w:hAnsi="Tahoma" w:cs="Tahoma"/>
        </w:rPr>
      </w:pPr>
    </w:p>
    <w:p w14:paraId="1B7A6E6F" w14:textId="6E6427AC" w:rsidR="00DB38CD" w:rsidRDefault="00DB38CD" w:rsidP="00DB38CD">
      <w:pPr>
        <w:widowControl w:val="0"/>
        <w:spacing w:after="0" w:line="360" w:lineRule="auto"/>
        <w:ind w:left="709"/>
        <w:jc w:val="both"/>
        <w:rPr>
          <w:rFonts w:ascii="Tahoma" w:hAnsi="Tahoma" w:cs="Tahoma"/>
        </w:rPr>
      </w:pPr>
      <w:r>
        <w:rPr>
          <w:rFonts w:ascii="Tahoma" w:hAnsi="Tahoma" w:cs="Tahoma"/>
        </w:rPr>
        <w:t>“</w:t>
      </w:r>
      <w:r w:rsidRPr="00F00658">
        <w:rPr>
          <w:rFonts w:ascii="Tahoma" w:hAnsi="Tahoma" w:cs="Tahoma"/>
          <w:i/>
          <w:iCs/>
        </w:rPr>
        <w:t xml:space="preserve">It certainly seems to me </w:t>
      </w:r>
      <w:r w:rsidR="008765C4" w:rsidRPr="00F00658">
        <w:rPr>
          <w:rFonts w:ascii="Tahoma" w:hAnsi="Tahoma" w:cs="Tahoma"/>
          <w:i/>
          <w:iCs/>
        </w:rPr>
        <w:t xml:space="preserve">to be clear that the ‘proceedings’ referred to in Rule 41(1)(a) are those envisaged </w:t>
      </w:r>
      <w:r w:rsidR="00F00658" w:rsidRPr="00F00658">
        <w:rPr>
          <w:rFonts w:ascii="Tahoma" w:hAnsi="Tahoma" w:cs="Tahoma"/>
          <w:i/>
          <w:iCs/>
        </w:rPr>
        <w:t xml:space="preserve">by the Rules in which there is a </w:t>
      </w:r>
      <w:proofErr w:type="spellStart"/>
      <w:r w:rsidR="00F00658" w:rsidRPr="00F00658">
        <w:rPr>
          <w:rFonts w:ascii="Tahoma" w:hAnsi="Tahoma" w:cs="Tahoma"/>
          <w:i/>
          <w:iCs/>
        </w:rPr>
        <w:t>lis</w:t>
      </w:r>
      <w:proofErr w:type="spellEnd"/>
      <w:r w:rsidR="00F00658" w:rsidRPr="00F00658">
        <w:rPr>
          <w:rFonts w:ascii="Tahoma" w:hAnsi="Tahoma" w:cs="Tahoma"/>
          <w:i/>
          <w:iCs/>
        </w:rPr>
        <w:t xml:space="preserve"> between the parties, one of whom seeks redress or the enforcement of rights against the other</w:t>
      </w:r>
      <w:r w:rsidR="00F00658">
        <w:rPr>
          <w:rFonts w:ascii="Tahoma" w:hAnsi="Tahoma" w:cs="Tahoma"/>
        </w:rPr>
        <w:t>.”</w:t>
      </w:r>
    </w:p>
    <w:p w14:paraId="218D636D" w14:textId="77777777" w:rsidR="00B51C07" w:rsidRDefault="00B51C07" w:rsidP="00DB38CD">
      <w:pPr>
        <w:widowControl w:val="0"/>
        <w:spacing w:after="0" w:line="360" w:lineRule="auto"/>
        <w:ind w:left="709"/>
        <w:jc w:val="both"/>
        <w:rPr>
          <w:rFonts w:ascii="Tahoma" w:hAnsi="Tahoma" w:cs="Tahoma"/>
        </w:rPr>
      </w:pPr>
    </w:p>
    <w:p w14:paraId="5FB494E7" w14:textId="72AE0647" w:rsidR="00B51C07" w:rsidRDefault="00B51C07" w:rsidP="00B51C07">
      <w:pPr>
        <w:widowControl w:val="0"/>
        <w:spacing w:after="0" w:line="360" w:lineRule="auto"/>
        <w:ind w:left="709" w:hanging="709"/>
        <w:jc w:val="both"/>
        <w:rPr>
          <w:rFonts w:ascii="Tahoma" w:hAnsi="Tahoma" w:cs="Tahoma"/>
        </w:rPr>
      </w:pPr>
      <w:r>
        <w:rPr>
          <w:rFonts w:ascii="Tahoma" w:hAnsi="Tahoma" w:cs="Tahoma"/>
        </w:rPr>
        <w:lastRenderedPageBreak/>
        <w:t>[10]</w:t>
      </w:r>
      <w:r>
        <w:rPr>
          <w:rFonts w:ascii="Tahoma" w:hAnsi="Tahoma" w:cs="Tahoma"/>
        </w:rPr>
        <w:tab/>
        <w:t xml:space="preserve">Rule 41(1) does not create an exception </w:t>
      </w:r>
      <w:r w:rsidR="00A65993">
        <w:rPr>
          <w:rFonts w:ascii="Tahoma" w:hAnsi="Tahoma" w:cs="Tahoma"/>
        </w:rPr>
        <w:t xml:space="preserve">or special dispensation for interlocutory proceedings conducted by parties during </w:t>
      </w:r>
      <w:r w:rsidR="00EB4672">
        <w:rPr>
          <w:rFonts w:ascii="Tahoma" w:hAnsi="Tahoma" w:cs="Tahoma"/>
        </w:rPr>
        <w:t>main proceedings.</w:t>
      </w:r>
    </w:p>
    <w:p w14:paraId="740ED52D" w14:textId="77777777" w:rsidR="00EB4672" w:rsidRDefault="00EB4672" w:rsidP="00B51C07">
      <w:pPr>
        <w:widowControl w:val="0"/>
        <w:spacing w:after="0" w:line="360" w:lineRule="auto"/>
        <w:ind w:left="709" w:hanging="709"/>
        <w:jc w:val="both"/>
        <w:rPr>
          <w:rFonts w:ascii="Tahoma" w:hAnsi="Tahoma" w:cs="Tahoma"/>
        </w:rPr>
      </w:pPr>
    </w:p>
    <w:p w14:paraId="5CB8DDEF" w14:textId="75A2248F" w:rsidR="00EB4672" w:rsidRDefault="00EB4672" w:rsidP="00B51C07">
      <w:pPr>
        <w:widowControl w:val="0"/>
        <w:spacing w:after="0" w:line="360" w:lineRule="auto"/>
        <w:ind w:left="709" w:hanging="709"/>
        <w:jc w:val="both"/>
        <w:rPr>
          <w:rFonts w:ascii="Tahoma" w:hAnsi="Tahoma" w:cs="Tahoma"/>
        </w:rPr>
      </w:pPr>
      <w:r>
        <w:rPr>
          <w:rFonts w:ascii="Tahoma" w:hAnsi="Tahoma" w:cs="Tahoma"/>
        </w:rPr>
        <w:t>[11]</w:t>
      </w:r>
      <w:r>
        <w:rPr>
          <w:rFonts w:ascii="Tahoma" w:hAnsi="Tahoma" w:cs="Tahoma"/>
        </w:rPr>
        <w:tab/>
        <w:t xml:space="preserve">It has further been held that a person who has instituted proceedings </w:t>
      </w:r>
      <w:r w:rsidR="000F6C05">
        <w:rPr>
          <w:rFonts w:ascii="Tahoma" w:hAnsi="Tahoma" w:cs="Tahoma"/>
        </w:rPr>
        <w:t xml:space="preserve">is entitled to withdraw such proceedings without the other party’s concurrence and without the leave of the court </w:t>
      </w:r>
      <w:r w:rsidR="00DB4F34">
        <w:rPr>
          <w:rFonts w:ascii="Tahoma" w:hAnsi="Tahoma" w:cs="Tahoma"/>
        </w:rPr>
        <w:t>at any time before the matter is set down.</w:t>
      </w:r>
      <w:r w:rsidR="00DB4F34">
        <w:rPr>
          <w:rStyle w:val="FootnoteReference"/>
          <w:rFonts w:ascii="Tahoma" w:hAnsi="Tahoma" w:cs="Tahoma"/>
        </w:rPr>
        <w:footnoteReference w:id="1"/>
      </w:r>
    </w:p>
    <w:p w14:paraId="3228DB03" w14:textId="77777777" w:rsidR="006B0827" w:rsidRDefault="006B0827" w:rsidP="00B51C07">
      <w:pPr>
        <w:widowControl w:val="0"/>
        <w:spacing w:after="0" w:line="360" w:lineRule="auto"/>
        <w:ind w:left="709" w:hanging="709"/>
        <w:jc w:val="both"/>
        <w:rPr>
          <w:rFonts w:ascii="Tahoma" w:hAnsi="Tahoma" w:cs="Tahoma"/>
        </w:rPr>
      </w:pPr>
    </w:p>
    <w:p w14:paraId="59A58468" w14:textId="6084AAFB" w:rsidR="006B0827" w:rsidRDefault="006B0827" w:rsidP="00B51C07">
      <w:pPr>
        <w:widowControl w:val="0"/>
        <w:spacing w:after="0" w:line="360" w:lineRule="auto"/>
        <w:ind w:left="709" w:hanging="709"/>
        <w:jc w:val="both"/>
        <w:rPr>
          <w:rFonts w:ascii="Tahoma" w:hAnsi="Tahoma" w:cs="Tahoma"/>
        </w:rPr>
      </w:pPr>
      <w:r>
        <w:rPr>
          <w:rFonts w:ascii="Tahoma" w:hAnsi="Tahoma" w:cs="Tahoma"/>
        </w:rPr>
        <w:t>[12]</w:t>
      </w:r>
      <w:r>
        <w:rPr>
          <w:rFonts w:ascii="Tahoma" w:hAnsi="Tahoma" w:cs="Tahoma"/>
        </w:rPr>
        <w:tab/>
        <w:t xml:space="preserve">The proceedings under </w:t>
      </w:r>
      <w:r w:rsidR="00F4661F">
        <w:rPr>
          <w:rFonts w:ascii="Tahoma" w:hAnsi="Tahoma" w:cs="Tahoma"/>
        </w:rPr>
        <w:t xml:space="preserve">both case numbers 731/2018 and </w:t>
      </w:r>
      <w:r w:rsidR="007D6B07">
        <w:rPr>
          <w:rFonts w:ascii="Tahoma" w:hAnsi="Tahoma" w:cs="Tahoma"/>
        </w:rPr>
        <w:t xml:space="preserve">1179/2018 have previously been set down for hearing. At a stage they had both been postponed for hearing on the opposed </w:t>
      </w:r>
      <w:r w:rsidR="0014387F">
        <w:rPr>
          <w:rFonts w:ascii="Tahoma" w:hAnsi="Tahoma" w:cs="Tahoma"/>
        </w:rPr>
        <w:t>roll but</w:t>
      </w:r>
      <w:r w:rsidR="00081109">
        <w:rPr>
          <w:rFonts w:ascii="Tahoma" w:hAnsi="Tahoma" w:cs="Tahoma"/>
        </w:rPr>
        <w:t xml:space="preserve"> was postponed without a return date thereafter on at least two occasions. </w:t>
      </w:r>
      <w:r w:rsidR="00C6174B">
        <w:rPr>
          <w:rFonts w:ascii="Tahoma" w:hAnsi="Tahoma" w:cs="Tahoma"/>
        </w:rPr>
        <w:t xml:space="preserve">At the time of the hearing of the stay application, the main proceedings under either case number had not been set </w:t>
      </w:r>
      <w:r w:rsidR="0014387F">
        <w:rPr>
          <w:rFonts w:ascii="Tahoma" w:hAnsi="Tahoma" w:cs="Tahoma"/>
        </w:rPr>
        <w:t>down for adjudication again.</w:t>
      </w:r>
      <w:r w:rsidR="00E35E0E">
        <w:rPr>
          <w:rFonts w:ascii="Tahoma" w:hAnsi="Tahoma" w:cs="Tahoma"/>
        </w:rPr>
        <w:t xml:space="preserve"> Because this is so, and based on the principles I have set out above</w:t>
      </w:r>
      <w:r w:rsidR="00B2552A">
        <w:rPr>
          <w:rFonts w:ascii="Tahoma" w:hAnsi="Tahoma" w:cs="Tahoma"/>
        </w:rPr>
        <w:t>, the Applicant was entitled to withdraw the proceedings against the Respondent in accordance with Rule 41(1) on 17 November 2020.</w:t>
      </w:r>
    </w:p>
    <w:p w14:paraId="67C5125B" w14:textId="77777777" w:rsidR="00F70F9C" w:rsidRDefault="00F70F9C" w:rsidP="00B51C07">
      <w:pPr>
        <w:widowControl w:val="0"/>
        <w:spacing w:after="0" w:line="360" w:lineRule="auto"/>
        <w:ind w:left="709" w:hanging="709"/>
        <w:jc w:val="both"/>
        <w:rPr>
          <w:rFonts w:ascii="Tahoma" w:hAnsi="Tahoma" w:cs="Tahoma"/>
        </w:rPr>
      </w:pPr>
    </w:p>
    <w:p w14:paraId="4BC20E9E" w14:textId="1C078E55" w:rsidR="00F70F9C" w:rsidRDefault="00F70F9C" w:rsidP="00B51C07">
      <w:pPr>
        <w:widowControl w:val="0"/>
        <w:spacing w:after="0" w:line="360" w:lineRule="auto"/>
        <w:ind w:left="709" w:hanging="709"/>
        <w:jc w:val="both"/>
        <w:rPr>
          <w:rFonts w:ascii="Tahoma" w:hAnsi="Tahoma" w:cs="Tahoma"/>
        </w:rPr>
      </w:pPr>
      <w:r>
        <w:rPr>
          <w:rFonts w:ascii="Tahoma" w:hAnsi="Tahoma" w:cs="Tahoma"/>
        </w:rPr>
        <w:t>[13]</w:t>
      </w:r>
      <w:r>
        <w:rPr>
          <w:rFonts w:ascii="Tahoma" w:hAnsi="Tahoma" w:cs="Tahoma"/>
        </w:rPr>
        <w:tab/>
      </w:r>
      <w:r w:rsidR="006146D6">
        <w:rPr>
          <w:rFonts w:ascii="Tahoma" w:hAnsi="Tahoma" w:cs="Tahoma"/>
        </w:rPr>
        <w:t xml:space="preserve">The only real objection that was raised on behalf of the Respondent against the withdrawal </w:t>
      </w:r>
      <w:r w:rsidR="003D7C4A">
        <w:rPr>
          <w:rFonts w:ascii="Tahoma" w:hAnsi="Tahoma" w:cs="Tahoma"/>
        </w:rPr>
        <w:t>of proceedings by</w:t>
      </w:r>
      <w:r w:rsidR="006146D6">
        <w:rPr>
          <w:rFonts w:ascii="Tahoma" w:hAnsi="Tahoma" w:cs="Tahoma"/>
        </w:rPr>
        <w:t xml:space="preserve"> the Applicant </w:t>
      </w:r>
      <w:r w:rsidR="003D7C4A">
        <w:rPr>
          <w:rFonts w:ascii="Tahoma" w:hAnsi="Tahoma" w:cs="Tahoma"/>
        </w:rPr>
        <w:t xml:space="preserve">was that the Respondent was not convinced </w:t>
      </w:r>
      <w:r w:rsidR="00A347B3">
        <w:rPr>
          <w:rFonts w:ascii="Tahoma" w:hAnsi="Tahoma" w:cs="Tahoma"/>
        </w:rPr>
        <w:t xml:space="preserve">that the withdrawal was genuine. Given that the Applicant did deliver written notices to the Respondent wherein </w:t>
      </w:r>
      <w:r w:rsidR="009F4A1B">
        <w:rPr>
          <w:rFonts w:ascii="Tahoma" w:hAnsi="Tahoma" w:cs="Tahoma"/>
        </w:rPr>
        <w:t xml:space="preserve">he stated that he is withdrawing the proceedings, and that the notices of withdrawal comply with </w:t>
      </w:r>
      <w:r w:rsidR="00EE1EC3">
        <w:rPr>
          <w:rFonts w:ascii="Tahoma" w:hAnsi="Tahoma" w:cs="Tahoma"/>
        </w:rPr>
        <w:t xml:space="preserve">Uniform Rule 41(1)(a), it is difficult to comprehend on what basis the withdrawal </w:t>
      </w:r>
      <w:r w:rsidR="00042A0B">
        <w:rPr>
          <w:rFonts w:ascii="Tahoma" w:hAnsi="Tahoma" w:cs="Tahoma"/>
        </w:rPr>
        <w:t>could not be considered as genuine. The Applicant was entitled to withdraw the proceedings, he did so in accordance with Uniform Rule 41(1)(a), and effect must therefore be given thereto.</w:t>
      </w:r>
    </w:p>
    <w:p w14:paraId="3F004868" w14:textId="77777777" w:rsidR="009A6215" w:rsidRDefault="009A6215" w:rsidP="00B51C07">
      <w:pPr>
        <w:widowControl w:val="0"/>
        <w:spacing w:after="0" w:line="360" w:lineRule="auto"/>
        <w:ind w:left="709" w:hanging="709"/>
        <w:jc w:val="both"/>
        <w:rPr>
          <w:rFonts w:ascii="Tahoma" w:hAnsi="Tahoma" w:cs="Tahoma"/>
        </w:rPr>
      </w:pPr>
    </w:p>
    <w:p w14:paraId="0EA75F37" w14:textId="75174601" w:rsidR="009A6215" w:rsidRDefault="009A6215" w:rsidP="00B51C07">
      <w:pPr>
        <w:widowControl w:val="0"/>
        <w:spacing w:after="0" w:line="360" w:lineRule="auto"/>
        <w:ind w:left="709" w:hanging="709"/>
        <w:jc w:val="both"/>
        <w:rPr>
          <w:rFonts w:ascii="Tahoma" w:hAnsi="Tahoma" w:cs="Tahoma"/>
        </w:rPr>
      </w:pPr>
      <w:r>
        <w:rPr>
          <w:rFonts w:ascii="Tahoma" w:hAnsi="Tahoma" w:cs="Tahoma"/>
        </w:rPr>
        <w:t>[14]</w:t>
      </w:r>
      <w:r>
        <w:rPr>
          <w:rFonts w:ascii="Tahoma" w:hAnsi="Tahoma" w:cs="Tahoma"/>
        </w:rPr>
        <w:tab/>
        <w:t xml:space="preserve">In the further result, </w:t>
      </w:r>
      <w:r w:rsidR="00D668D3">
        <w:rPr>
          <w:rFonts w:ascii="Tahoma" w:hAnsi="Tahoma" w:cs="Tahoma"/>
        </w:rPr>
        <w:t xml:space="preserve">the Respondent was not entitled to proceed with the enrolment of the stay application </w:t>
      </w:r>
      <w:r w:rsidR="001E3924">
        <w:rPr>
          <w:rFonts w:ascii="Tahoma" w:hAnsi="Tahoma" w:cs="Tahoma"/>
        </w:rPr>
        <w:t xml:space="preserve">on or after 14 December 2020, as the main proceedings under case numbers </w:t>
      </w:r>
      <w:bookmarkStart w:id="2" w:name="_Hlk158278041"/>
      <w:r w:rsidR="001E3924">
        <w:rPr>
          <w:rFonts w:ascii="Tahoma" w:hAnsi="Tahoma" w:cs="Tahoma"/>
        </w:rPr>
        <w:t xml:space="preserve">731/2018 and 1179/2018 </w:t>
      </w:r>
      <w:bookmarkEnd w:id="2"/>
      <w:r w:rsidR="001E3924">
        <w:rPr>
          <w:rFonts w:ascii="Tahoma" w:hAnsi="Tahoma" w:cs="Tahoma"/>
        </w:rPr>
        <w:t xml:space="preserve">had already validly been withdrawn on 17 November 2020. </w:t>
      </w:r>
      <w:r w:rsidR="00DB0668">
        <w:rPr>
          <w:rFonts w:ascii="Tahoma" w:hAnsi="Tahoma" w:cs="Tahoma"/>
        </w:rPr>
        <w:t xml:space="preserve">Except for the limited purposes of the cost provisions contained in Uniform </w:t>
      </w:r>
      <w:r w:rsidR="005E6F29">
        <w:rPr>
          <w:rFonts w:ascii="Tahoma" w:hAnsi="Tahoma" w:cs="Tahoma"/>
        </w:rPr>
        <w:t>Rule</w:t>
      </w:r>
      <w:r w:rsidR="00E4292E">
        <w:rPr>
          <w:rFonts w:ascii="Tahoma" w:hAnsi="Tahoma" w:cs="Tahoma"/>
        </w:rPr>
        <w:t>s</w:t>
      </w:r>
      <w:r w:rsidR="005E6F29">
        <w:rPr>
          <w:rFonts w:ascii="Tahoma" w:hAnsi="Tahoma" w:cs="Tahoma"/>
        </w:rPr>
        <w:t xml:space="preserve"> 41(1)(b) and (c), a </w:t>
      </w:r>
      <w:proofErr w:type="spellStart"/>
      <w:r w:rsidR="005E6F29" w:rsidRPr="005E6F29">
        <w:rPr>
          <w:rFonts w:ascii="Tahoma" w:hAnsi="Tahoma" w:cs="Tahoma"/>
          <w:i/>
          <w:iCs/>
        </w:rPr>
        <w:t>lis</w:t>
      </w:r>
      <w:proofErr w:type="spellEnd"/>
      <w:r w:rsidR="005E6F29">
        <w:rPr>
          <w:rFonts w:ascii="Tahoma" w:hAnsi="Tahoma" w:cs="Tahoma"/>
          <w:i/>
          <w:iCs/>
        </w:rPr>
        <w:t xml:space="preserve"> </w:t>
      </w:r>
      <w:r w:rsidR="00E4292E">
        <w:rPr>
          <w:rFonts w:ascii="Tahoma" w:hAnsi="Tahoma" w:cs="Tahoma"/>
        </w:rPr>
        <w:t xml:space="preserve">no longer existed between the parties. </w:t>
      </w:r>
      <w:r w:rsidR="00C07D73">
        <w:rPr>
          <w:rFonts w:ascii="Tahoma" w:hAnsi="Tahoma" w:cs="Tahoma"/>
        </w:rPr>
        <w:t xml:space="preserve">In my view the appropriate order to make at this stage </w:t>
      </w:r>
      <w:r w:rsidR="00DD658A">
        <w:rPr>
          <w:rFonts w:ascii="Tahoma" w:hAnsi="Tahoma" w:cs="Tahoma"/>
        </w:rPr>
        <w:t xml:space="preserve">would be to strike the stay application from the roll. </w:t>
      </w:r>
    </w:p>
    <w:p w14:paraId="39451EA6" w14:textId="77777777" w:rsidR="00574E28" w:rsidRDefault="00574E28" w:rsidP="00B51C07">
      <w:pPr>
        <w:widowControl w:val="0"/>
        <w:spacing w:after="0" w:line="360" w:lineRule="auto"/>
        <w:ind w:left="709" w:hanging="709"/>
        <w:jc w:val="both"/>
        <w:rPr>
          <w:rFonts w:ascii="Tahoma" w:hAnsi="Tahoma" w:cs="Tahoma"/>
        </w:rPr>
      </w:pPr>
    </w:p>
    <w:p w14:paraId="71B95E04" w14:textId="392CE3E7" w:rsidR="00574E28" w:rsidRDefault="00574E28" w:rsidP="00B51C07">
      <w:pPr>
        <w:widowControl w:val="0"/>
        <w:spacing w:after="0" w:line="360" w:lineRule="auto"/>
        <w:ind w:left="709" w:hanging="709"/>
        <w:jc w:val="both"/>
        <w:rPr>
          <w:rFonts w:ascii="Tahoma" w:hAnsi="Tahoma" w:cs="Tahoma"/>
        </w:rPr>
      </w:pPr>
      <w:r>
        <w:rPr>
          <w:rFonts w:ascii="Tahoma" w:hAnsi="Tahoma" w:cs="Tahoma"/>
        </w:rPr>
        <w:lastRenderedPageBreak/>
        <w:t>[15]</w:t>
      </w:r>
      <w:r>
        <w:rPr>
          <w:rFonts w:ascii="Tahoma" w:hAnsi="Tahoma" w:cs="Tahoma"/>
        </w:rPr>
        <w:tab/>
        <w:t xml:space="preserve">Regarding costs, I am of the view that neither party </w:t>
      </w:r>
      <w:r w:rsidR="00CC316F">
        <w:rPr>
          <w:rFonts w:ascii="Tahoma" w:hAnsi="Tahoma" w:cs="Tahoma"/>
        </w:rPr>
        <w:t xml:space="preserve">should be awarded </w:t>
      </w:r>
      <w:r>
        <w:rPr>
          <w:rFonts w:ascii="Tahoma" w:hAnsi="Tahoma" w:cs="Tahoma"/>
        </w:rPr>
        <w:t xml:space="preserve">costs </w:t>
      </w:r>
      <w:r w:rsidR="00CC316F">
        <w:rPr>
          <w:rFonts w:ascii="Tahoma" w:hAnsi="Tahoma" w:cs="Tahoma"/>
        </w:rPr>
        <w:t xml:space="preserve">in this instance. </w:t>
      </w:r>
      <w:r w:rsidR="00D610BF">
        <w:rPr>
          <w:rFonts w:ascii="Tahoma" w:hAnsi="Tahoma" w:cs="Tahoma"/>
        </w:rPr>
        <w:t xml:space="preserve">Upon receipt of the notices of withdrawal of the proceedings, the Respondent should have appreciated </w:t>
      </w:r>
      <w:r w:rsidR="002F4966">
        <w:rPr>
          <w:rFonts w:ascii="Tahoma" w:hAnsi="Tahoma" w:cs="Tahoma"/>
        </w:rPr>
        <w:t>that it could not prosecute the stay application any further.</w:t>
      </w:r>
      <w:r w:rsidR="00023963">
        <w:rPr>
          <w:rFonts w:ascii="Tahoma" w:hAnsi="Tahoma" w:cs="Tahoma"/>
        </w:rPr>
        <w:t xml:space="preserve"> The Applicant, save for </w:t>
      </w:r>
      <w:r w:rsidR="006A4C07">
        <w:rPr>
          <w:rFonts w:ascii="Tahoma" w:hAnsi="Tahoma" w:cs="Tahoma"/>
        </w:rPr>
        <w:t>filing a notice of opposition, did not oppose the stay application</w:t>
      </w:r>
      <w:r w:rsidR="00635DE2">
        <w:rPr>
          <w:rFonts w:ascii="Tahoma" w:hAnsi="Tahoma" w:cs="Tahoma"/>
        </w:rPr>
        <w:t xml:space="preserve">, and is also not entitled to costs. </w:t>
      </w:r>
      <w:r w:rsidR="005A4BBB">
        <w:rPr>
          <w:rFonts w:ascii="Tahoma" w:hAnsi="Tahoma" w:cs="Tahoma"/>
        </w:rPr>
        <w:t xml:space="preserve">The Respondent is not left without a remedy. The Applicant did not embody </w:t>
      </w:r>
      <w:r w:rsidR="00C320FB">
        <w:rPr>
          <w:rFonts w:ascii="Tahoma" w:hAnsi="Tahoma" w:cs="Tahoma"/>
        </w:rPr>
        <w:t xml:space="preserve">a consent to pay costs in his notice of withdrawal of the proceedings, and the Respondent may therefore still apply </w:t>
      </w:r>
      <w:r w:rsidR="00FD2077">
        <w:rPr>
          <w:rFonts w:ascii="Tahoma" w:hAnsi="Tahoma" w:cs="Tahoma"/>
        </w:rPr>
        <w:t xml:space="preserve">to court in terms of Uniform Rule 41(1)(c) for an order for </w:t>
      </w:r>
      <w:r w:rsidR="00226EB8">
        <w:rPr>
          <w:rFonts w:ascii="Tahoma" w:hAnsi="Tahoma" w:cs="Tahoma"/>
        </w:rPr>
        <w:t>costs if</w:t>
      </w:r>
      <w:r w:rsidR="00140D0F">
        <w:rPr>
          <w:rFonts w:ascii="Tahoma" w:hAnsi="Tahoma" w:cs="Tahoma"/>
        </w:rPr>
        <w:t xml:space="preserve"> it is so inclined. Furthermore, nothing prevents the Respondent</w:t>
      </w:r>
      <w:r w:rsidR="00A27E86">
        <w:rPr>
          <w:rFonts w:ascii="Tahoma" w:hAnsi="Tahoma" w:cs="Tahoma"/>
        </w:rPr>
        <w:t>,</w:t>
      </w:r>
      <w:r w:rsidR="00140D0F">
        <w:rPr>
          <w:rFonts w:ascii="Tahoma" w:hAnsi="Tahoma" w:cs="Tahoma"/>
        </w:rPr>
        <w:t xml:space="preserve"> </w:t>
      </w:r>
      <w:r w:rsidR="00A27E86">
        <w:rPr>
          <w:rFonts w:ascii="Tahoma" w:hAnsi="Tahoma" w:cs="Tahoma"/>
        </w:rPr>
        <w:t>s</w:t>
      </w:r>
      <w:r w:rsidR="00140D0F">
        <w:rPr>
          <w:rFonts w:ascii="Tahoma" w:hAnsi="Tahoma" w:cs="Tahoma"/>
        </w:rPr>
        <w:t xml:space="preserve">hould it still </w:t>
      </w:r>
      <w:r w:rsidR="00743DE6">
        <w:rPr>
          <w:rFonts w:ascii="Tahoma" w:hAnsi="Tahoma" w:cs="Tahoma"/>
        </w:rPr>
        <w:t>choose to do so, to launch new proceedings against the Applicant for appropriate relief</w:t>
      </w:r>
      <w:r w:rsidR="00A27E86">
        <w:rPr>
          <w:rFonts w:ascii="Tahoma" w:hAnsi="Tahoma" w:cs="Tahoma"/>
        </w:rPr>
        <w:t xml:space="preserve"> on the basis contended for, that the Applicant should be found to be a vexatious litigant. </w:t>
      </w:r>
    </w:p>
    <w:p w14:paraId="7328BB0C" w14:textId="77777777" w:rsidR="00323AD0" w:rsidRDefault="00323AD0" w:rsidP="00B51C07">
      <w:pPr>
        <w:widowControl w:val="0"/>
        <w:spacing w:after="0" w:line="360" w:lineRule="auto"/>
        <w:ind w:left="709" w:hanging="709"/>
        <w:jc w:val="both"/>
        <w:rPr>
          <w:rFonts w:ascii="Tahoma" w:hAnsi="Tahoma" w:cs="Tahoma"/>
        </w:rPr>
      </w:pPr>
    </w:p>
    <w:p w14:paraId="21649C97" w14:textId="7B5DB7FD" w:rsidR="00323AD0" w:rsidRDefault="00323AD0" w:rsidP="00B51C07">
      <w:pPr>
        <w:widowControl w:val="0"/>
        <w:spacing w:after="0" w:line="360" w:lineRule="auto"/>
        <w:ind w:left="709" w:hanging="709"/>
        <w:jc w:val="both"/>
        <w:rPr>
          <w:rFonts w:ascii="Tahoma" w:hAnsi="Tahoma" w:cs="Tahoma"/>
        </w:rPr>
      </w:pPr>
      <w:r>
        <w:rPr>
          <w:rFonts w:ascii="Tahoma" w:hAnsi="Tahoma" w:cs="Tahoma"/>
        </w:rPr>
        <w:t>[16]</w:t>
      </w:r>
      <w:r>
        <w:rPr>
          <w:rFonts w:ascii="Tahoma" w:hAnsi="Tahoma" w:cs="Tahoma"/>
        </w:rPr>
        <w:tab/>
        <w:t>In the result I make the following order:</w:t>
      </w:r>
    </w:p>
    <w:p w14:paraId="20EA9C0F" w14:textId="77777777" w:rsidR="00323AD0" w:rsidRDefault="00323AD0" w:rsidP="00B51C07">
      <w:pPr>
        <w:widowControl w:val="0"/>
        <w:spacing w:after="0" w:line="360" w:lineRule="auto"/>
        <w:ind w:left="709" w:hanging="709"/>
        <w:jc w:val="both"/>
        <w:rPr>
          <w:rFonts w:ascii="Tahoma" w:hAnsi="Tahoma" w:cs="Tahoma"/>
        </w:rPr>
      </w:pPr>
    </w:p>
    <w:p w14:paraId="1D9965D8" w14:textId="36E77355" w:rsidR="00323AD0" w:rsidRDefault="00323AD0" w:rsidP="00323AD0">
      <w:pPr>
        <w:pStyle w:val="ListParagraph"/>
        <w:widowControl w:val="0"/>
        <w:numPr>
          <w:ilvl w:val="0"/>
          <w:numId w:val="2"/>
        </w:numPr>
        <w:spacing w:after="0" w:line="360" w:lineRule="auto"/>
        <w:jc w:val="both"/>
        <w:rPr>
          <w:rFonts w:ascii="Tahoma" w:hAnsi="Tahoma" w:cs="Tahoma"/>
        </w:rPr>
      </w:pPr>
      <w:r>
        <w:rPr>
          <w:rFonts w:ascii="Tahoma" w:hAnsi="Tahoma" w:cs="Tahoma"/>
        </w:rPr>
        <w:t xml:space="preserve">The Respondent’s application for a stay of proceedings under case numbers </w:t>
      </w:r>
      <w:r w:rsidR="00226EB8">
        <w:rPr>
          <w:rFonts w:ascii="Tahoma" w:hAnsi="Tahoma" w:cs="Tahoma"/>
        </w:rPr>
        <w:t>731/2018 and 1179/2018 is struck from the roll;</w:t>
      </w:r>
    </w:p>
    <w:p w14:paraId="65B37642" w14:textId="77777777" w:rsidR="00226EB8" w:rsidRDefault="00226EB8" w:rsidP="00226EB8">
      <w:pPr>
        <w:pStyle w:val="ListParagraph"/>
        <w:widowControl w:val="0"/>
        <w:spacing w:after="0" w:line="360" w:lineRule="auto"/>
        <w:jc w:val="both"/>
        <w:rPr>
          <w:rFonts w:ascii="Tahoma" w:hAnsi="Tahoma" w:cs="Tahoma"/>
        </w:rPr>
      </w:pPr>
    </w:p>
    <w:p w14:paraId="07CB53DB" w14:textId="45926A5D" w:rsidR="00226EB8" w:rsidRDefault="0011617E" w:rsidP="00323AD0">
      <w:pPr>
        <w:pStyle w:val="ListParagraph"/>
        <w:widowControl w:val="0"/>
        <w:numPr>
          <w:ilvl w:val="0"/>
          <w:numId w:val="2"/>
        </w:numPr>
        <w:spacing w:after="0" w:line="360" w:lineRule="auto"/>
        <w:jc w:val="both"/>
        <w:rPr>
          <w:rFonts w:ascii="Tahoma" w:hAnsi="Tahoma" w:cs="Tahoma"/>
        </w:rPr>
      </w:pPr>
      <w:r>
        <w:rPr>
          <w:rFonts w:ascii="Tahoma" w:hAnsi="Tahoma" w:cs="Tahoma"/>
        </w:rPr>
        <w:t>N</w:t>
      </w:r>
      <w:r w:rsidR="00226EB8">
        <w:rPr>
          <w:rFonts w:ascii="Tahoma" w:hAnsi="Tahoma" w:cs="Tahoma"/>
        </w:rPr>
        <w:t xml:space="preserve">o </w:t>
      </w:r>
      <w:r w:rsidR="0000163B">
        <w:rPr>
          <w:rFonts w:ascii="Tahoma" w:hAnsi="Tahoma" w:cs="Tahoma"/>
        </w:rPr>
        <w:t>cost order</w:t>
      </w:r>
      <w:r>
        <w:rPr>
          <w:rFonts w:ascii="Tahoma" w:hAnsi="Tahoma" w:cs="Tahoma"/>
        </w:rPr>
        <w:t xml:space="preserve"> is made</w:t>
      </w:r>
      <w:r w:rsidR="0000163B">
        <w:rPr>
          <w:rFonts w:ascii="Tahoma" w:hAnsi="Tahoma" w:cs="Tahoma"/>
        </w:rPr>
        <w:t xml:space="preserve">. </w:t>
      </w:r>
    </w:p>
    <w:p w14:paraId="3E822D0D" w14:textId="77777777" w:rsidR="005607E6" w:rsidRPr="005607E6" w:rsidRDefault="005607E6" w:rsidP="005607E6">
      <w:pPr>
        <w:pStyle w:val="ListParagraph"/>
        <w:rPr>
          <w:rFonts w:ascii="Tahoma" w:hAnsi="Tahoma" w:cs="Tahoma"/>
        </w:rPr>
      </w:pPr>
    </w:p>
    <w:p w14:paraId="1D075CDC" w14:textId="4D9E53A7" w:rsidR="005607E6" w:rsidRDefault="005607E6" w:rsidP="005607E6">
      <w:pPr>
        <w:widowControl w:val="0"/>
        <w:spacing w:after="0" w:line="360" w:lineRule="auto"/>
        <w:jc w:val="both"/>
        <w:rPr>
          <w:rFonts w:ascii="Tahoma" w:hAnsi="Tahoma" w:cs="Tahoma"/>
        </w:rPr>
      </w:pPr>
    </w:p>
    <w:p w14:paraId="31926128" w14:textId="77777777" w:rsidR="005607E6" w:rsidRDefault="005607E6" w:rsidP="005607E6">
      <w:pPr>
        <w:widowControl w:val="0"/>
        <w:spacing w:after="0" w:line="360" w:lineRule="auto"/>
        <w:jc w:val="both"/>
        <w:rPr>
          <w:rFonts w:ascii="Tahoma" w:hAnsi="Tahoma" w:cs="Tahoma"/>
        </w:rPr>
      </w:pPr>
      <w:r>
        <w:rPr>
          <w:rFonts w:ascii="Tahoma" w:hAnsi="Tahoma" w:cs="Tahoma"/>
        </w:rPr>
        <w:t>_________________________</w:t>
      </w:r>
    </w:p>
    <w:p w14:paraId="38E57410" w14:textId="7A945244" w:rsidR="005607E6" w:rsidRPr="005607E6" w:rsidRDefault="005607E6" w:rsidP="005607E6">
      <w:pPr>
        <w:widowControl w:val="0"/>
        <w:spacing w:after="0" w:line="360" w:lineRule="auto"/>
        <w:jc w:val="both"/>
        <w:rPr>
          <w:rFonts w:ascii="Tahoma" w:hAnsi="Tahoma" w:cs="Tahoma"/>
          <w:b/>
        </w:rPr>
      </w:pPr>
      <w:r w:rsidRPr="005607E6">
        <w:rPr>
          <w:rFonts w:ascii="Tahoma" w:hAnsi="Tahoma" w:cs="Tahoma"/>
          <w:b/>
        </w:rPr>
        <w:t>A</w:t>
      </w:r>
      <w:r w:rsidRPr="005607E6">
        <w:rPr>
          <w:rFonts w:ascii="Tahoma" w:hAnsi="Tahoma" w:cs="Tahoma"/>
          <w:b/>
        </w:rPr>
        <w:t xml:space="preserve"> EILLERT</w:t>
      </w:r>
      <w:r w:rsidRPr="005607E6">
        <w:rPr>
          <w:rFonts w:ascii="Tahoma" w:hAnsi="Tahoma" w:cs="Tahoma"/>
          <w:b/>
        </w:rPr>
        <w:t xml:space="preserve"> </w:t>
      </w:r>
    </w:p>
    <w:p w14:paraId="55A2641A" w14:textId="77777777" w:rsidR="005607E6" w:rsidRPr="005607E6" w:rsidRDefault="005607E6" w:rsidP="005607E6">
      <w:pPr>
        <w:widowControl w:val="0"/>
        <w:spacing w:after="0" w:line="360" w:lineRule="auto"/>
        <w:jc w:val="both"/>
        <w:rPr>
          <w:rFonts w:ascii="Tahoma" w:hAnsi="Tahoma" w:cs="Tahoma"/>
        </w:rPr>
      </w:pPr>
      <w:r w:rsidRPr="005607E6">
        <w:rPr>
          <w:rFonts w:ascii="Tahoma" w:hAnsi="Tahoma" w:cs="Tahoma"/>
        </w:rPr>
        <w:t>ACTING JUDGE</w:t>
      </w:r>
    </w:p>
    <w:p w14:paraId="51E70E90" w14:textId="77777777" w:rsidR="005607E6" w:rsidRPr="005607E6" w:rsidRDefault="005607E6" w:rsidP="005607E6">
      <w:pPr>
        <w:widowControl w:val="0"/>
        <w:spacing w:after="0" w:line="360" w:lineRule="auto"/>
        <w:jc w:val="both"/>
        <w:rPr>
          <w:rFonts w:ascii="Tahoma" w:hAnsi="Tahoma" w:cs="Tahoma"/>
        </w:rPr>
      </w:pPr>
    </w:p>
    <w:p w14:paraId="51925BA2" w14:textId="49D786B2" w:rsidR="005607E6" w:rsidRDefault="005607E6" w:rsidP="005607E6">
      <w:pPr>
        <w:widowControl w:val="0"/>
        <w:spacing w:after="0" w:line="360" w:lineRule="auto"/>
        <w:jc w:val="both"/>
        <w:rPr>
          <w:rFonts w:ascii="Tahoma" w:hAnsi="Tahoma" w:cs="Tahoma"/>
        </w:rPr>
      </w:pPr>
      <w:proofErr w:type="gramStart"/>
      <w:r w:rsidRPr="005607E6">
        <w:rPr>
          <w:rFonts w:ascii="Tahoma" w:hAnsi="Tahoma" w:cs="Tahoma"/>
        </w:rPr>
        <w:t>For  APPLICANTS</w:t>
      </w:r>
      <w:proofErr w:type="gramEnd"/>
      <w:r w:rsidRPr="005607E6">
        <w:rPr>
          <w:rFonts w:ascii="Tahoma" w:hAnsi="Tahoma" w:cs="Tahoma"/>
        </w:rPr>
        <w:tab/>
        <w:t>:</w:t>
      </w:r>
      <w:r w:rsidRPr="005607E6">
        <w:rPr>
          <w:rFonts w:ascii="Tahoma" w:hAnsi="Tahoma" w:cs="Tahoma"/>
        </w:rPr>
        <w:tab/>
      </w:r>
      <w:r>
        <w:rPr>
          <w:rFonts w:ascii="Tahoma" w:hAnsi="Tahoma" w:cs="Tahoma"/>
        </w:rPr>
        <w:tab/>
      </w:r>
      <w:r>
        <w:rPr>
          <w:rFonts w:ascii="Tahoma" w:hAnsi="Tahoma" w:cs="Tahoma"/>
        </w:rPr>
        <w:tab/>
      </w:r>
      <w:r>
        <w:rPr>
          <w:rFonts w:ascii="Arial" w:hAnsi="Arial" w:cs="Arial"/>
          <w:b/>
          <w:sz w:val="24"/>
          <w:szCs w:val="24"/>
        </w:rPr>
        <w:t>MR RABIE</w:t>
      </w:r>
    </w:p>
    <w:p w14:paraId="35E5F47B" w14:textId="77777777" w:rsidR="005607E6" w:rsidRPr="005607E6" w:rsidRDefault="005607E6" w:rsidP="005607E6">
      <w:pPr>
        <w:widowControl w:val="0"/>
        <w:spacing w:after="0" w:line="360" w:lineRule="auto"/>
        <w:jc w:val="both"/>
        <w:rPr>
          <w:rFonts w:ascii="Tahoma" w:hAnsi="Tahoma" w:cs="Tahoma"/>
        </w:rPr>
      </w:pP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t>KIMBERLEY</w:t>
      </w:r>
    </w:p>
    <w:p w14:paraId="51E0F0A5" w14:textId="77777777" w:rsidR="005607E6" w:rsidRPr="005607E6" w:rsidRDefault="005607E6" w:rsidP="005607E6">
      <w:pPr>
        <w:widowControl w:val="0"/>
        <w:spacing w:after="0" w:line="360" w:lineRule="auto"/>
        <w:jc w:val="both"/>
        <w:rPr>
          <w:rFonts w:ascii="Tahoma" w:hAnsi="Tahoma" w:cs="Tahoma"/>
        </w:rPr>
      </w:pPr>
    </w:p>
    <w:p w14:paraId="3D7CBB3D" w14:textId="77777777" w:rsidR="005607E6" w:rsidRPr="005607E6" w:rsidRDefault="005607E6" w:rsidP="005607E6">
      <w:pPr>
        <w:widowControl w:val="0"/>
        <w:spacing w:after="0" w:line="360" w:lineRule="auto"/>
        <w:jc w:val="both"/>
        <w:rPr>
          <w:rFonts w:ascii="Tahoma" w:hAnsi="Tahoma" w:cs="Tahoma"/>
        </w:rPr>
      </w:pPr>
    </w:p>
    <w:p w14:paraId="2F5894C9" w14:textId="4A6A102E" w:rsidR="005607E6" w:rsidRPr="005607E6" w:rsidRDefault="005607E6" w:rsidP="005607E6">
      <w:pPr>
        <w:widowControl w:val="0"/>
        <w:spacing w:after="0" w:line="360" w:lineRule="auto"/>
        <w:jc w:val="both"/>
        <w:rPr>
          <w:rFonts w:ascii="Tahoma" w:hAnsi="Tahoma" w:cs="Tahoma"/>
        </w:rPr>
      </w:pPr>
      <w:r w:rsidRPr="005607E6">
        <w:rPr>
          <w:rFonts w:ascii="Tahoma" w:hAnsi="Tahoma" w:cs="Tahoma"/>
        </w:rPr>
        <w:t>For RESPONDENT</w:t>
      </w:r>
      <w:r w:rsidRPr="005607E6">
        <w:rPr>
          <w:rFonts w:ascii="Tahoma" w:hAnsi="Tahoma" w:cs="Tahoma"/>
        </w:rPr>
        <w:tab/>
        <w:t>:</w:t>
      </w:r>
      <w:r w:rsidRPr="005607E6">
        <w:rPr>
          <w:rFonts w:ascii="Tahoma" w:hAnsi="Tahoma" w:cs="Tahoma"/>
        </w:rPr>
        <w:tab/>
      </w:r>
      <w:r>
        <w:rPr>
          <w:rFonts w:ascii="Tahoma" w:hAnsi="Tahoma" w:cs="Tahoma"/>
        </w:rPr>
        <w:tab/>
      </w:r>
      <w:r>
        <w:rPr>
          <w:rFonts w:ascii="Tahoma" w:hAnsi="Tahoma" w:cs="Tahoma"/>
        </w:rPr>
        <w:tab/>
      </w:r>
      <w:r>
        <w:rPr>
          <w:rFonts w:ascii="Arial" w:hAnsi="Arial" w:cs="Arial"/>
          <w:b/>
          <w:sz w:val="24"/>
          <w:szCs w:val="24"/>
        </w:rPr>
        <w:t>ADV MOTLOUNG</w:t>
      </w:r>
    </w:p>
    <w:p w14:paraId="7450B3B7" w14:textId="77777777" w:rsidR="005607E6" w:rsidRPr="005607E6" w:rsidRDefault="005607E6" w:rsidP="005607E6">
      <w:pPr>
        <w:widowControl w:val="0"/>
        <w:spacing w:after="0" w:line="360" w:lineRule="auto"/>
        <w:jc w:val="both"/>
        <w:rPr>
          <w:rFonts w:ascii="Tahoma" w:hAnsi="Tahoma" w:cs="Tahoma"/>
        </w:rPr>
      </w:pP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r>
      <w:r w:rsidRPr="005607E6">
        <w:rPr>
          <w:rFonts w:ascii="Tahoma" w:hAnsi="Tahoma" w:cs="Tahoma"/>
        </w:rPr>
        <w:tab/>
        <w:t>KIMBERLEY</w:t>
      </w:r>
    </w:p>
    <w:p w14:paraId="4DFC18BD" w14:textId="77777777" w:rsidR="005607E6" w:rsidRPr="005607E6" w:rsidRDefault="005607E6" w:rsidP="005607E6">
      <w:pPr>
        <w:widowControl w:val="0"/>
        <w:spacing w:after="0" w:line="360" w:lineRule="auto"/>
        <w:jc w:val="both"/>
        <w:rPr>
          <w:rFonts w:ascii="Tahoma" w:hAnsi="Tahoma" w:cs="Tahoma"/>
        </w:rPr>
      </w:pPr>
    </w:p>
    <w:p w14:paraId="6D4D27A5" w14:textId="77777777" w:rsidR="007F1A00" w:rsidRDefault="007F1A00" w:rsidP="00AD3843">
      <w:pPr>
        <w:widowControl w:val="0"/>
        <w:spacing w:after="0" w:line="360" w:lineRule="auto"/>
        <w:ind w:left="709" w:hanging="709"/>
        <w:jc w:val="both"/>
        <w:rPr>
          <w:rFonts w:ascii="Tahoma" w:hAnsi="Tahoma" w:cs="Tahoma"/>
        </w:rPr>
      </w:pPr>
    </w:p>
    <w:p w14:paraId="70CE9213" w14:textId="77777777" w:rsidR="007F1A00" w:rsidRPr="00A1259F" w:rsidRDefault="007F1A00" w:rsidP="00AD3843">
      <w:pPr>
        <w:widowControl w:val="0"/>
        <w:spacing w:after="0" w:line="360" w:lineRule="auto"/>
        <w:ind w:left="709" w:hanging="709"/>
        <w:jc w:val="both"/>
        <w:rPr>
          <w:rFonts w:ascii="Tahoma" w:hAnsi="Tahoma" w:cs="Tahoma"/>
        </w:rPr>
      </w:pPr>
    </w:p>
    <w:sectPr w:rsidR="007F1A00" w:rsidRPr="00A125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F42D" w14:textId="77777777" w:rsidR="002E1320" w:rsidRDefault="002E1320" w:rsidP="00DB4F34">
      <w:pPr>
        <w:spacing w:after="0" w:line="240" w:lineRule="auto"/>
      </w:pPr>
      <w:r>
        <w:separator/>
      </w:r>
    </w:p>
  </w:endnote>
  <w:endnote w:type="continuationSeparator" w:id="0">
    <w:p w14:paraId="1FF84634" w14:textId="77777777" w:rsidR="002E1320" w:rsidRDefault="002E1320" w:rsidP="00DB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71BB5" w14:textId="77777777" w:rsidR="002E1320" w:rsidRDefault="002E1320" w:rsidP="00DB4F34">
      <w:pPr>
        <w:spacing w:after="0" w:line="240" w:lineRule="auto"/>
      </w:pPr>
      <w:r>
        <w:separator/>
      </w:r>
    </w:p>
  </w:footnote>
  <w:footnote w:type="continuationSeparator" w:id="0">
    <w:p w14:paraId="5FD20F3A" w14:textId="77777777" w:rsidR="002E1320" w:rsidRDefault="002E1320" w:rsidP="00DB4F34">
      <w:pPr>
        <w:spacing w:after="0" w:line="240" w:lineRule="auto"/>
      </w:pPr>
      <w:r>
        <w:continuationSeparator/>
      </w:r>
    </w:p>
  </w:footnote>
  <w:footnote w:id="1">
    <w:p w14:paraId="68617E54" w14:textId="083ECF1B" w:rsidR="00DB4F34" w:rsidRPr="00DB4F34" w:rsidRDefault="00DB4F34">
      <w:pPr>
        <w:pStyle w:val="FootnoteText"/>
        <w:rPr>
          <w:rFonts w:ascii="Tahoma" w:hAnsi="Tahoma" w:cs="Tahoma"/>
        </w:rPr>
      </w:pPr>
      <w:r>
        <w:rPr>
          <w:rStyle w:val="FootnoteReference"/>
        </w:rPr>
        <w:footnoteRef/>
      </w:r>
      <w:r>
        <w:t xml:space="preserve"> </w:t>
      </w:r>
      <w:r>
        <w:rPr>
          <w:rFonts w:ascii="Tahoma" w:hAnsi="Tahoma" w:cs="Tahoma"/>
        </w:rPr>
        <w:t xml:space="preserve">Franco </w:t>
      </w:r>
      <w:proofErr w:type="spellStart"/>
      <w:r>
        <w:rPr>
          <w:rFonts w:ascii="Tahoma" w:hAnsi="Tahoma" w:cs="Tahoma"/>
        </w:rPr>
        <w:t>Vignazia</w:t>
      </w:r>
      <w:proofErr w:type="spellEnd"/>
      <w:r>
        <w:rPr>
          <w:rFonts w:ascii="Tahoma" w:hAnsi="Tahoma" w:cs="Tahoma"/>
        </w:rPr>
        <w:t xml:space="preserve"> Enterprises (Pty) Ltd v Berry 1983 (2) SA 290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3CD0"/>
    <w:multiLevelType w:val="hybridMultilevel"/>
    <w:tmpl w:val="A572A400"/>
    <w:lvl w:ilvl="0" w:tplc="7CEE37B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79534379"/>
    <w:multiLevelType w:val="hybridMultilevel"/>
    <w:tmpl w:val="36D2A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DE"/>
    <w:rsid w:val="0000163B"/>
    <w:rsid w:val="00023963"/>
    <w:rsid w:val="00042A0B"/>
    <w:rsid w:val="00043DAA"/>
    <w:rsid w:val="000479B8"/>
    <w:rsid w:val="0007228D"/>
    <w:rsid w:val="00081109"/>
    <w:rsid w:val="00081773"/>
    <w:rsid w:val="00093F13"/>
    <w:rsid w:val="00096208"/>
    <w:rsid w:val="000B2DA4"/>
    <w:rsid w:val="000F4F53"/>
    <w:rsid w:val="000F6C05"/>
    <w:rsid w:val="0011617E"/>
    <w:rsid w:val="00135E60"/>
    <w:rsid w:val="00140D0F"/>
    <w:rsid w:val="0014387F"/>
    <w:rsid w:val="001A4DB7"/>
    <w:rsid w:val="001D0B39"/>
    <w:rsid w:val="001E202F"/>
    <w:rsid w:val="001E3924"/>
    <w:rsid w:val="00201588"/>
    <w:rsid w:val="00226EB8"/>
    <w:rsid w:val="00232B0F"/>
    <w:rsid w:val="002879DE"/>
    <w:rsid w:val="002A6A5A"/>
    <w:rsid w:val="002C236B"/>
    <w:rsid w:val="002C491E"/>
    <w:rsid w:val="002C5D6A"/>
    <w:rsid w:val="002D7394"/>
    <w:rsid w:val="002E1320"/>
    <w:rsid w:val="002E6824"/>
    <w:rsid w:val="002F4966"/>
    <w:rsid w:val="00314914"/>
    <w:rsid w:val="003160F5"/>
    <w:rsid w:val="00323AD0"/>
    <w:rsid w:val="0034788F"/>
    <w:rsid w:val="003B0038"/>
    <w:rsid w:val="003D7C4A"/>
    <w:rsid w:val="003E36C5"/>
    <w:rsid w:val="0045179D"/>
    <w:rsid w:val="0047586E"/>
    <w:rsid w:val="0049214C"/>
    <w:rsid w:val="004A5A44"/>
    <w:rsid w:val="005057D2"/>
    <w:rsid w:val="00512CEA"/>
    <w:rsid w:val="00544840"/>
    <w:rsid w:val="005463D8"/>
    <w:rsid w:val="005469CB"/>
    <w:rsid w:val="005607E6"/>
    <w:rsid w:val="00565388"/>
    <w:rsid w:val="00574E28"/>
    <w:rsid w:val="005A05F9"/>
    <w:rsid w:val="005A4BBB"/>
    <w:rsid w:val="005D3C80"/>
    <w:rsid w:val="005E0660"/>
    <w:rsid w:val="005E6F29"/>
    <w:rsid w:val="005F21A9"/>
    <w:rsid w:val="005F5D29"/>
    <w:rsid w:val="006146D6"/>
    <w:rsid w:val="00635DE2"/>
    <w:rsid w:val="006A4C07"/>
    <w:rsid w:val="006A51F9"/>
    <w:rsid w:val="006B0827"/>
    <w:rsid w:val="00727B14"/>
    <w:rsid w:val="00732E90"/>
    <w:rsid w:val="00743DE6"/>
    <w:rsid w:val="00755034"/>
    <w:rsid w:val="00760DCE"/>
    <w:rsid w:val="00763057"/>
    <w:rsid w:val="00777FEA"/>
    <w:rsid w:val="007C13C3"/>
    <w:rsid w:val="007D6B07"/>
    <w:rsid w:val="007F1A00"/>
    <w:rsid w:val="00804041"/>
    <w:rsid w:val="00835EE1"/>
    <w:rsid w:val="0085030D"/>
    <w:rsid w:val="00867A08"/>
    <w:rsid w:val="00874C3C"/>
    <w:rsid w:val="008765C4"/>
    <w:rsid w:val="00902124"/>
    <w:rsid w:val="00915783"/>
    <w:rsid w:val="00943D8B"/>
    <w:rsid w:val="009735CC"/>
    <w:rsid w:val="009A6215"/>
    <w:rsid w:val="009B3B7A"/>
    <w:rsid w:val="009B6C91"/>
    <w:rsid w:val="009E293A"/>
    <w:rsid w:val="009F4A1B"/>
    <w:rsid w:val="00A048AE"/>
    <w:rsid w:val="00A1259F"/>
    <w:rsid w:val="00A27E86"/>
    <w:rsid w:val="00A347B3"/>
    <w:rsid w:val="00A65993"/>
    <w:rsid w:val="00AA0B3F"/>
    <w:rsid w:val="00AB6C8B"/>
    <w:rsid w:val="00AD3843"/>
    <w:rsid w:val="00AE6617"/>
    <w:rsid w:val="00AE7979"/>
    <w:rsid w:val="00B0083F"/>
    <w:rsid w:val="00B00AF2"/>
    <w:rsid w:val="00B06B89"/>
    <w:rsid w:val="00B2552A"/>
    <w:rsid w:val="00B3793F"/>
    <w:rsid w:val="00B51C07"/>
    <w:rsid w:val="00B74973"/>
    <w:rsid w:val="00B82778"/>
    <w:rsid w:val="00BD1864"/>
    <w:rsid w:val="00C07D73"/>
    <w:rsid w:val="00C25493"/>
    <w:rsid w:val="00C320FB"/>
    <w:rsid w:val="00C42D9F"/>
    <w:rsid w:val="00C56F43"/>
    <w:rsid w:val="00C6174B"/>
    <w:rsid w:val="00C72023"/>
    <w:rsid w:val="00C81DD0"/>
    <w:rsid w:val="00C92638"/>
    <w:rsid w:val="00CC316F"/>
    <w:rsid w:val="00CE2954"/>
    <w:rsid w:val="00CF39B7"/>
    <w:rsid w:val="00D44112"/>
    <w:rsid w:val="00D610BF"/>
    <w:rsid w:val="00D668D3"/>
    <w:rsid w:val="00D8027C"/>
    <w:rsid w:val="00DB0668"/>
    <w:rsid w:val="00DB38CD"/>
    <w:rsid w:val="00DB4F34"/>
    <w:rsid w:val="00DD658A"/>
    <w:rsid w:val="00E167ED"/>
    <w:rsid w:val="00E32499"/>
    <w:rsid w:val="00E35E0E"/>
    <w:rsid w:val="00E4292E"/>
    <w:rsid w:val="00E4601A"/>
    <w:rsid w:val="00E73424"/>
    <w:rsid w:val="00E96A2E"/>
    <w:rsid w:val="00EB4672"/>
    <w:rsid w:val="00EE1EC3"/>
    <w:rsid w:val="00F00658"/>
    <w:rsid w:val="00F4661F"/>
    <w:rsid w:val="00F46E42"/>
    <w:rsid w:val="00F70F9C"/>
    <w:rsid w:val="00F84B54"/>
    <w:rsid w:val="00F96F15"/>
    <w:rsid w:val="00FA3F8B"/>
    <w:rsid w:val="00FD20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DDE3"/>
  <w15:chartTrackingRefBased/>
  <w15:docId w15:val="{224788FA-6A16-4A11-BEFD-168EC811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9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9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9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9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9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9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9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9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9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9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9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9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9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9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9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9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9DE"/>
    <w:rPr>
      <w:rFonts w:eastAsiaTheme="majorEastAsia" w:cstheme="majorBidi"/>
      <w:color w:val="272727" w:themeColor="text1" w:themeTint="D8"/>
    </w:rPr>
  </w:style>
  <w:style w:type="paragraph" w:styleId="Title">
    <w:name w:val="Title"/>
    <w:basedOn w:val="Normal"/>
    <w:next w:val="Normal"/>
    <w:link w:val="TitleChar"/>
    <w:uiPriority w:val="10"/>
    <w:qFormat/>
    <w:rsid w:val="002879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9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9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9DE"/>
    <w:pPr>
      <w:spacing w:before="160"/>
      <w:jc w:val="center"/>
    </w:pPr>
    <w:rPr>
      <w:i/>
      <w:iCs/>
      <w:color w:val="404040" w:themeColor="text1" w:themeTint="BF"/>
    </w:rPr>
  </w:style>
  <w:style w:type="character" w:customStyle="1" w:styleId="QuoteChar">
    <w:name w:val="Quote Char"/>
    <w:basedOn w:val="DefaultParagraphFont"/>
    <w:link w:val="Quote"/>
    <w:uiPriority w:val="29"/>
    <w:rsid w:val="002879DE"/>
    <w:rPr>
      <w:i/>
      <w:iCs/>
      <w:color w:val="404040" w:themeColor="text1" w:themeTint="BF"/>
    </w:rPr>
  </w:style>
  <w:style w:type="paragraph" w:styleId="ListParagraph">
    <w:name w:val="List Paragraph"/>
    <w:basedOn w:val="Normal"/>
    <w:uiPriority w:val="34"/>
    <w:qFormat/>
    <w:rsid w:val="002879DE"/>
    <w:pPr>
      <w:ind w:left="720"/>
      <w:contextualSpacing/>
    </w:pPr>
  </w:style>
  <w:style w:type="character" w:styleId="IntenseEmphasis">
    <w:name w:val="Intense Emphasis"/>
    <w:basedOn w:val="DefaultParagraphFont"/>
    <w:uiPriority w:val="21"/>
    <w:qFormat/>
    <w:rsid w:val="002879DE"/>
    <w:rPr>
      <w:i/>
      <w:iCs/>
      <w:color w:val="0F4761" w:themeColor="accent1" w:themeShade="BF"/>
    </w:rPr>
  </w:style>
  <w:style w:type="paragraph" w:styleId="IntenseQuote">
    <w:name w:val="Intense Quote"/>
    <w:basedOn w:val="Normal"/>
    <w:next w:val="Normal"/>
    <w:link w:val="IntenseQuoteChar"/>
    <w:uiPriority w:val="30"/>
    <w:qFormat/>
    <w:rsid w:val="002879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9DE"/>
    <w:rPr>
      <w:i/>
      <w:iCs/>
      <w:color w:val="0F4761" w:themeColor="accent1" w:themeShade="BF"/>
    </w:rPr>
  </w:style>
  <w:style w:type="character" w:styleId="IntenseReference">
    <w:name w:val="Intense Reference"/>
    <w:basedOn w:val="DefaultParagraphFont"/>
    <w:uiPriority w:val="32"/>
    <w:qFormat/>
    <w:rsid w:val="002879DE"/>
    <w:rPr>
      <w:b/>
      <w:bCs/>
      <w:smallCaps/>
      <w:color w:val="0F4761" w:themeColor="accent1" w:themeShade="BF"/>
      <w:spacing w:val="5"/>
    </w:rPr>
  </w:style>
  <w:style w:type="paragraph" w:styleId="FootnoteText">
    <w:name w:val="footnote text"/>
    <w:basedOn w:val="Normal"/>
    <w:link w:val="FootnoteTextChar"/>
    <w:uiPriority w:val="99"/>
    <w:semiHidden/>
    <w:unhideWhenUsed/>
    <w:rsid w:val="00DB4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F34"/>
    <w:rPr>
      <w:sz w:val="20"/>
      <w:szCs w:val="20"/>
    </w:rPr>
  </w:style>
  <w:style w:type="character" w:styleId="FootnoteReference">
    <w:name w:val="footnote reference"/>
    <w:basedOn w:val="DefaultParagraphFont"/>
    <w:uiPriority w:val="99"/>
    <w:semiHidden/>
    <w:unhideWhenUsed/>
    <w:rsid w:val="00DB4F34"/>
    <w:rPr>
      <w:vertAlign w:val="superscript"/>
    </w:rPr>
  </w:style>
  <w:style w:type="paragraph" w:styleId="Header">
    <w:name w:val="header"/>
    <w:basedOn w:val="Normal"/>
    <w:link w:val="HeaderChar"/>
    <w:uiPriority w:val="99"/>
    <w:unhideWhenUsed/>
    <w:rsid w:val="00C72023"/>
    <w:pPr>
      <w:tabs>
        <w:tab w:val="center" w:pos="4680"/>
        <w:tab w:val="right" w:pos="9360"/>
      </w:tabs>
      <w:spacing w:after="0" w:line="240" w:lineRule="auto"/>
    </w:pPr>
    <w:rPr>
      <w:rFonts w:ascii="Lucida Sans Typewriter" w:hAnsi="Lucida Sans Typewriter"/>
      <w:kern w:val="0"/>
      <w:lang w:val="en-US"/>
      <w14:ligatures w14:val="none"/>
    </w:rPr>
  </w:style>
  <w:style w:type="character" w:customStyle="1" w:styleId="HeaderChar">
    <w:name w:val="Header Char"/>
    <w:basedOn w:val="DefaultParagraphFont"/>
    <w:link w:val="Header"/>
    <w:uiPriority w:val="99"/>
    <w:rsid w:val="00C72023"/>
    <w:rPr>
      <w:rFonts w:ascii="Lucida Sans Typewriter" w:hAnsi="Lucida Sans Typewriter"/>
      <w:kern w:val="0"/>
      <w:lang w:val="en-US"/>
      <w14:ligatures w14:val="none"/>
    </w:rPr>
  </w:style>
  <w:style w:type="table" w:styleId="TableGrid">
    <w:name w:val="Table Grid"/>
    <w:basedOn w:val="TableNormal"/>
    <w:uiPriority w:val="59"/>
    <w:rsid w:val="00C720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D0EC-A33D-4649-895D-64092A71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Eillert</dc:creator>
  <cp:keywords/>
  <dc:description/>
  <cp:lastModifiedBy>Gaynor Lemmetjies</cp:lastModifiedBy>
  <cp:revision>6</cp:revision>
  <dcterms:created xsi:type="dcterms:W3CDTF">2024-02-08T08:12:00Z</dcterms:created>
  <dcterms:modified xsi:type="dcterms:W3CDTF">2024-02-08T08:28:00Z</dcterms:modified>
</cp:coreProperties>
</file>