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42B84" w14:textId="77777777" w:rsidR="00003D15" w:rsidRPr="002C316C" w:rsidRDefault="00003D15" w:rsidP="00003D15">
      <w:pPr>
        <w:adjustRightInd w:val="0"/>
        <w:snapToGrid w:val="0"/>
        <w:spacing w:line="360" w:lineRule="auto"/>
        <w:ind w:left="2880" w:firstLine="720"/>
        <w:jc w:val="both"/>
        <w:rPr>
          <w:rFonts w:ascii="Arial" w:hAnsi="Arial" w:cs="Arial"/>
          <w:color w:val="000000" w:themeColor="text1"/>
          <w:lang w:val="en-GB"/>
        </w:rPr>
      </w:pPr>
      <w:bookmarkStart w:id="0" w:name="_Hlk159881798"/>
      <w:r w:rsidRPr="00213C8C">
        <w:rPr>
          <w:rFonts w:ascii="Verdana" w:eastAsia="Verdana" w:hAnsi="Verdana" w:cs="Verdana"/>
          <w:i/>
          <w:noProof/>
          <w:color w:val="000000"/>
          <w:lang w:eastAsia="en-ZA"/>
        </w:rPr>
        <w:drawing>
          <wp:inline distT="0" distB="0" distL="0" distR="0" wp14:anchorId="69591A30" wp14:editId="1A4E909C">
            <wp:extent cx="1406711" cy="1263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711" cy="1263650"/>
                    </a:xfrm>
                    <a:prstGeom prst="rect">
                      <a:avLst/>
                    </a:prstGeom>
                    <a:noFill/>
                    <a:ln>
                      <a:noFill/>
                    </a:ln>
                  </pic:spPr>
                </pic:pic>
              </a:graphicData>
            </a:graphic>
          </wp:inline>
        </w:drawing>
      </w:r>
    </w:p>
    <w:p w14:paraId="7AA6236B" w14:textId="77777777" w:rsidR="00003D15" w:rsidRPr="007034E7" w:rsidRDefault="00003D15" w:rsidP="00144D24">
      <w:pPr>
        <w:adjustRightInd w:val="0"/>
        <w:snapToGrid w:val="0"/>
        <w:spacing w:after="0" w:line="360" w:lineRule="auto"/>
        <w:ind w:left="288"/>
        <w:jc w:val="both"/>
        <w:rPr>
          <w:rFonts w:ascii="Arial" w:hAnsi="Arial" w:cs="Arial"/>
          <w:b/>
          <w:color w:val="000000" w:themeColor="text1"/>
          <w:lang w:val="en-GB"/>
        </w:rPr>
      </w:pPr>
      <w:r w:rsidRPr="007034E7">
        <w:rPr>
          <w:rFonts w:ascii="Arial" w:hAnsi="Arial" w:cs="Arial"/>
          <w:b/>
          <w:color w:val="000000" w:themeColor="text1"/>
          <w:lang w:val="en-GB"/>
        </w:rPr>
        <w:t>IN THE HIGH COURT OF SOUTH AFRICA, NORTHERN CAPE DIVISION, KIMBERLEY</w:t>
      </w:r>
    </w:p>
    <w:p w14:paraId="52A9B01D" w14:textId="77777777" w:rsidR="00003D15" w:rsidRPr="002C316C" w:rsidRDefault="00003D15" w:rsidP="00003D15">
      <w:pPr>
        <w:adjustRightInd w:val="0"/>
        <w:snapToGrid w:val="0"/>
        <w:spacing w:after="0" w:line="360" w:lineRule="auto"/>
        <w:ind w:left="288" w:hanging="720"/>
        <w:jc w:val="both"/>
        <w:rPr>
          <w:rFonts w:ascii="Arial" w:hAnsi="Arial" w:cs="Arial"/>
          <w:color w:val="000000" w:themeColor="text1"/>
          <w:lang w:val="en-GB"/>
        </w:rPr>
      </w:pP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sidR="00144D24">
        <w:rPr>
          <w:rFonts w:ascii="Arial" w:hAnsi="Arial" w:cs="Arial"/>
          <w:b/>
          <w:color w:val="000000" w:themeColor="text1"/>
          <w:lang w:val="en-GB"/>
        </w:rPr>
        <w:tab/>
      </w:r>
      <w:r>
        <w:rPr>
          <w:rFonts w:ascii="Arial" w:hAnsi="Arial" w:cs="Arial"/>
          <w:color w:val="000000" w:themeColor="text1"/>
          <w:lang w:val="en-GB"/>
        </w:rPr>
        <w:t>Not Reportable</w:t>
      </w:r>
    </w:p>
    <w:p w14:paraId="52D62645" w14:textId="77777777" w:rsidR="00003D15" w:rsidRDefault="00144D24" w:rsidP="00144D24">
      <w:pPr>
        <w:tabs>
          <w:tab w:val="left" w:pos="7020"/>
          <w:tab w:val="left" w:pos="7200"/>
        </w:tabs>
        <w:adjustRightInd w:val="0"/>
        <w:snapToGrid w:val="0"/>
        <w:spacing w:after="0" w:line="360" w:lineRule="auto"/>
        <w:ind w:left="720" w:hanging="720"/>
        <w:jc w:val="center"/>
        <w:rPr>
          <w:rFonts w:ascii="Arial" w:hAnsi="Arial" w:cs="Arial"/>
          <w:color w:val="000000" w:themeColor="text1"/>
          <w:lang w:val="en-GB"/>
        </w:rPr>
      </w:pPr>
      <w:r>
        <w:rPr>
          <w:rFonts w:ascii="Arial" w:hAnsi="Arial" w:cs="Arial"/>
          <w:color w:val="000000" w:themeColor="text1"/>
          <w:lang w:val="en-GB"/>
        </w:rPr>
        <w:tab/>
      </w:r>
      <w:r>
        <w:rPr>
          <w:rFonts w:ascii="Arial" w:hAnsi="Arial" w:cs="Arial"/>
          <w:color w:val="000000" w:themeColor="text1"/>
          <w:lang w:val="en-GB"/>
        </w:rPr>
        <w:tab/>
      </w:r>
      <w:r w:rsidR="00003D15" w:rsidRPr="002C316C">
        <w:rPr>
          <w:rFonts w:ascii="Arial" w:hAnsi="Arial" w:cs="Arial"/>
          <w:color w:val="000000" w:themeColor="text1"/>
          <w:lang w:val="en-GB"/>
        </w:rPr>
        <w:t xml:space="preserve">Case </w:t>
      </w:r>
      <w:r w:rsidR="00003D15">
        <w:rPr>
          <w:rFonts w:ascii="Arial" w:hAnsi="Arial" w:cs="Arial"/>
          <w:color w:val="000000" w:themeColor="text1"/>
          <w:lang w:val="en-GB"/>
        </w:rPr>
        <w:t>N</w:t>
      </w:r>
      <w:r w:rsidR="00003D15" w:rsidRPr="002C316C">
        <w:rPr>
          <w:rFonts w:ascii="Arial" w:hAnsi="Arial" w:cs="Arial"/>
          <w:color w:val="000000" w:themeColor="text1"/>
          <w:lang w:val="en-GB"/>
        </w:rPr>
        <w:t>o</w:t>
      </w:r>
      <w:r w:rsidR="00003D15">
        <w:rPr>
          <w:rFonts w:ascii="Arial" w:hAnsi="Arial" w:cs="Arial"/>
          <w:color w:val="000000" w:themeColor="text1"/>
          <w:lang w:val="en-GB"/>
        </w:rPr>
        <w:t xml:space="preserve">: </w:t>
      </w:r>
      <w:r w:rsidR="00CE4F1E">
        <w:rPr>
          <w:rFonts w:ascii="Arial" w:hAnsi="Arial" w:cs="Arial"/>
          <w:color w:val="000000" w:themeColor="text1"/>
          <w:lang w:val="en-GB"/>
        </w:rPr>
        <w:t>2038</w:t>
      </w:r>
      <w:r w:rsidR="00003D15">
        <w:rPr>
          <w:rFonts w:ascii="Arial" w:hAnsi="Arial" w:cs="Arial"/>
          <w:color w:val="000000" w:themeColor="text1"/>
          <w:lang w:val="en-GB"/>
        </w:rPr>
        <w:t>/202</w:t>
      </w:r>
      <w:r w:rsidR="00CE4F1E">
        <w:rPr>
          <w:rFonts w:ascii="Arial" w:hAnsi="Arial" w:cs="Arial"/>
          <w:color w:val="000000" w:themeColor="text1"/>
          <w:lang w:val="en-GB"/>
        </w:rPr>
        <w:t>3</w:t>
      </w:r>
    </w:p>
    <w:p w14:paraId="7C8707D2" w14:textId="77777777" w:rsidR="00003D15" w:rsidRPr="006F69DC" w:rsidRDefault="00003D15" w:rsidP="00003D15">
      <w:pPr>
        <w:adjustRightInd w:val="0"/>
        <w:snapToGrid w:val="0"/>
        <w:spacing w:before="240" w:after="120" w:line="360" w:lineRule="auto"/>
        <w:ind w:left="720" w:hanging="720"/>
        <w:jc w:val="both"/>
        <w:rPr>
          <w:rFonts w:ascii="Arial" w:hAnsi="Arial" w:cs="Arial"/>
          <w:color w:val="000000" w:themeColor="text1"/>
          <w:lang w:val="en-GB"/>
        </w:rPr>
      </w:pPr>
      <w:r w:rsidRPr="006F69DC">
        <w:rPr>
          <w:rFonts w:ascii="Arial" w:hAnsi="Arial" w:cs="Arial"/>
          <w:color w:val="000000" w:themeColor="text1"/>
          <w:lang w:val="en-GB"/>
        </w:rPr>
        <w:t>In the matter between:</w:t>
      </w:r>
    </w:p>
    <w:p w14:paraId="6343EC90" w14:textId="77777777" w:rsidR="00003D15" w:rsidRPr="00C229EC" w:rsidRDefault="00CE4F1E" w:rsidP="00003D15">
      <w:pPr>
        <w:adjustRightInd w:val="0"/>
        <w:snapToGrid w:val="0"/>
        <w:spacing w:after="0" w:line="360" w:lineRule="auto"/>
        <w:ind w:left="720" w:hanging="720"/>
        <w:jc w:val="both"/>
        <w:rPr>
          <w:rFonts w:ascii="Arial" w:hAnsi="Arial" w:cs="Arial"/>
          <w:b/>
          <w:color w:val="000000" w:themeColor="text1"/>
          <w:sz w:val="20"/>
          <w:szCs w:val="20"/>
          <w:lang w:val="en-GB"/>
        </w:rPr>
      </w:pPr>
      <w:r w:rsidRPr="00C229EC">
        <w:rPr>
          <w:rFonts w:ascii="Arial" w:hAnsi="Arial" w:cs="Arial"/>
          <w:b/>
          <w:color w:val="000000" w:themeColor="text1"/>
          <w:sz w:val="20"/>
          <w:szCs w:val="20"/>
          <w:lang w:val="en-GB"/>
        </w:rPr>
        <w:t>HANEKOM PLANT &amp; CIVILS CC</w:t>
      </w:r>
      <w:r w:rsidRPr="00C229EC">
        <w:rPr>
          <w:rFonts w:ascii="Arial" w:hAnsi="Arial" w:cs="Arial"/>
          <w:b/>
          <w:color w:val="000000" w:themeColor="text1"/>
          <w:sz w:val="20"/>
          <w:szCs w:val="20"/>
          <w:lang w:val="en-GB"/>
        </w:rPr>
        <w:tab/>
      </w:r>
      <w:r w:rsidR="00003D15" w:rsidRPr="00C229EC">
        <w:rPr>
          <w:rFonts w:ascii="Arial" w:hAnsi="Arial" w:cs="Arial"/>
          <w:b/>
          <w:color w:val="000000" w:themeColor="text1"/>
          <w:sz w:val="20"/>
          <w:szCs w:val="20"/>
          <w:lang w:val="en-GB"/>
        </w:rPr>
        <w:tab/>
      </w:r>
      <w:r w:rsidR="00003D15" w:rsidRPr="00C229EC">
        <w:rPr>
          <w:rFonts w:ascii="Arial" w:hAnsi="Arial" w:cs="Arial"/>
          <w:b/>
          <w:color w:val="000000" w:themeColor="text1"/>
          <w:sz w:val="20"/>
          <w:szCs w:val="20"/>
          <w:lang w:val="en-GB"/>
        </w:rPr>
        <w:tab/>
      </w:r>
      <w:r w:rsidR="000C23D5" w:rsidRPr="00C229EC">
        <w:rPr>
          <w:rFonts w:ascii="Arial" w:hAnsi="Arial" w:cs="Arial"/>
          <w:b/>
          <w:color w:val="000000" w:themeColor="text1"/>
          <w:sz w:val="20"/>
          <w:szCs w:val="20"/>
          <w:lang w:val="en-GB"/>
        </w:rPr>
        <w:tab/>
      </w:r>
      <w:r w:rsidR="000C23D5" w:rsidRPr="00C229EC">
        <w:rPr>
          <w:rFonts w:ascii="Arial" w:hAnsi="Arial" w:cs="Arial"/>
          <w:b/>
          <w:color w:val="000000" w:themeColor="text1"/>
          <w:sz w:val="20"/>
          <w:szCs w:val="20"/>
          <w:lang w:val="en-GB"/>
        </w:rPr>
        <w:tab/>
      </w:r>
      <w:r w:rsidR="00144D24" w:rsidRPr="00C229EC">
        <w:rPr>
          <w:rFonts w:ascii="Arial" w:hAnsi="Arial" w:cs="Arial"/>
          <w:b/>
          <w:color w:val="000000" w:themeColor="text1"/>
          <w:sz w:val="20"/>
          <w:szCs w:val="20"/>
          <w:lang w:val="en-GB"/>
        </w:rPr>
        <w:t>APPLICANT</w:t>
      </w:r>
    </w:p>
    <w:p w14:paraId="3FD73218" w14:textId="77777777" w:rsidR="00003D15" w:rsidRPr="00C229EC" w:rsidRDefault="00003D15" w:rsidP="00003D15">
      <w:pPr>
        <w:tabs>
          <w:tab w:val="left" w:pos="5670"/>
        </w:tabs>
        <w:adjustRightInd w:val="0"/>
        <w:snapToGrid w:val="0"/>
        <w:spacing w:before="240" w:after="120" w:line="360" w:lineRule="auto"/>
        <w:ind w:left="720" w:right="-382" w:hanging="720"/>
        <w:jc w:val="both"/>
        <w:rPr>
          <w:rFonts w:ascii="Arial" w:hAnsi="Arial" w:cs="Arial"/>
          <w:color w:val="000000" w:themeColor="text1"/>
          <w:sz w:val="20"/>
          <w:szCs w:val="20"/>
          <w:lang w:val="en-GB"/>
        </w:rPr>
      </w:pPr>
      <w:r w:rsidRPr="00C229EC">
        <w:rPr>
          <w:rFonts w:ascii="Arial" w:hAnsi="Arial" w:cs="Arial"/>
          <w:color w:val="000000" w:themeColor="text1"/>
          <w:sz w:val="20"/>
          <w:szCs w:val="20"/>
          <w:lang w:val="en-GB"/>
        </w:rPr>
        <w:t>And</w:t>
      </w:r>
    </w:p>
    <w:p w14:paraId="3DA99E22" w14:textId="77777777" w:rsidR="00003D15" w:rsidRPr="00C229EC" w:rsidRDefault="00CE4F1E" w:rsidP="00003D15">
      <w:pPr>
        <w:tabs>
          <w:tab w:val="left" w:pos="5670"/>
        </w:tabs>
        <w:adjustRightInd w:val="0"/>
        <w:snapToGrid w:val="0"/>
        <w:spacing w:after="0" w:line="360" w:lineRule="auto"/>
        <w:ind w:left="720" w:right="-380" w:hanging="720"/>
        <w:jc w:val="both"/>
        <w:rPr>
          <w:rFonts w:ascii="Arial" w:hAnsi="Arial" w:cs="Arial"/>
          <w:b/>
          <w:bCs/>
          <w:caps/>
          <w:color w:val="000000" w:themeColor="text1"/>
          <w:sz w:val="20"/>
          <w:szCs w:val="20"/>
          <w:lang w:val="en-GB"/>
        </w:rPr>
      </w:pPr>
      <w:r w:rsidRPr="00C229EC">
        <w:rPr>
          <w:rFonts w:ascii="Arial" w:hAnsi="Arial" w:cs="Arial"/>
          <w:b/>
          <w:bCs/>
          <w:caps/>
          <w:color w:val="000000" w:themeColor="text1"/>
          <w:sz w:val="20"/>
          <w:szCs w:val="20"/>
          <w:lang w:val="en-GB"/>
        </w:rPr>
        <w:t>KOPANENG CONSTRUCTION &amp; CIVILS (PTY) lTD</w:t>
      </w:r>
      <w:r w:rsidR="00003D15" w:rsidRPr="00C229EC">
        <w:rPr>
          <w:rFonts w:ascii="Arial" w:hAnsi="Arial" w:cs="Arial"/>
          <w:b/>
          <w:bCs/>
          <w:caps/>
          <w:color w:val="000000" w:themeColor="text1"/>
          <w:sz w:val="20"/>
          <w:szCs w:val="20"/>
          <w:lang w:val="en-GB"/>
        </w:rPr>
        <w:t xml:space="preserve">    </w:t>
      </w:r>
      <w:r w:rsidR="00003D15" w:rsidRPr="00C229EC">
        <w:rPr>
          <w:rFonts w:ascii="Arial" w:hAnsi="Arial" w:cs="Arial"/>
          <w:b/>
          <w:bCs/>
          <w:caps/>
          <w:color w:val="000000" w:themeColor="text1"/>
          <w:sz w:val="20"/>
          <w:szCs w:val="20"/>
          <w:lang w:val="en-GB"/>
        </w:rPr>
        <w:tab/>
      </w:r>
      <w:r w:rsidR="00003D15" w:rsidRPr="00C229EC">
        <w:rPr>
          <w:rFonts w:ascii="Arial" w:hAnsi="Arial" w:cs="Arial"/>
          <w:b/>
          <w:bCs/>
          <w:caps/>
          <w:color w:val="000000" w:themeColor="text1"/>
          <w:sz w:val="20"/>
          <w:szCs w:val="20"/>
          <w:lang w:val="en-GB"/>
        </w:rPr>
        <w:tab/>
      </w:r>
      <w:r w:rsidR="00003D15" w:rsidRPr="00C229EC">
        <w:rPr>
          <w:rFonts w:ascii="Arial" w:hAnsi="Arial" w:cs="Arial"/>
          <w:b/>
          <w:bCs/>
          <w:caps/>
          <w:color w:val="000000" w:themeColor="text1"/>
          <w:sz w:val="20"/>
          <w:szCs w:val="20"/>
          <w:lang w:val="en-GB"/>
        </w:rPr>
        <w:tab/>
      </w:r>
      <w:r w:rsidRPr="00C229EC">
        <w:rPr>
          <w:rFonts w:ascii="Arial" w:hAnsi="Arial" w:cs="Arial"/>
          <w:b/>
          <w:bCs/>
          <w:caps/>
          <w:color w:val="000000" w:themeColor="text1"/>
          <w:sz w:val="20"/>
          <w:szCs w:val="20"/>
          <w:lang w:val="en-GB"/>
        </w:rPr>
        <w:t xml:space="preserve">FIRST </w:t>
      </w:r>
      <w:r w:rsidR="00003D15" w:rsidRPr="00C229EC">
        <w:rPr>
          <w:rFonts w:ascii="Arial" w:hAnsi="Arial" w:cs="Arial"/>
          <w:b/>
          <w:bCs/>
          <w:caps/>
          <w:color w:val="000000" w:themeColor="text1"/>
          <w:sz w:val="20"/>
          <w:szCs w:val="20"/>
          <w:lang w:val="en-GB"/>
        </w:rPr>
        <w:t>RESPONDENT</w:t>
      </w:r>
    </w:p>
    <w:p w14:paraId="2F2448E8" w14:textId="77777777" w:rsidR="00CE4F1E" w:rsidRPr="00C229EC" w:rsidRDefault="00CE4F1E" w:rsidP="00CE4F1E">
      <w:pPr>
        <w:tabs>
          <w:tab w:val="left" w:pos="5670"/>
        </w:tabs>
        <w:adjustRightInd w:val="0"/>
        <w:snapToGrid w:val="0"/>
        <w:spacing w:after="0" w:line="360" w:lineRule="auto"/>
        <w:ind w:left="720" w:right="-380" w:hanging="720"/>
        <w:jc w:val="both"/>
        <w:rPr>
          <w:rFonts w:ascii="Arial" w:hAnsi="Arial" w:cs="Arial"/>
          <w:b/>
          <w:bCs/>
          <w:caps/>
          <w:color w:val="000000" w:themeColor="text1"/>
          <w:sz w:val="20"/>
          <w:szCs w:val="20"/>
          <w:lang w:val="en-GB"/>
        </w:rPr>
      </w:pPr>
    </w:p>
    <w:p w14:paraId="1E0DBBDC" w14:textId="77777777" w:rsidR="00151FEB" w:rsidRPr="00C229EC" w:rsidRDefault="00CE4F1E" w:rsidP="00CE4F1E">
      <w:pPr>
        <w:tabs>
          <w:tab w:val="left" w:pos="5670"/>
        </w:tabs>
        <w:adjustRightInd w:val="0"/>
        <w:snapToGrid w:val="0"/>
        <w:spacing w:after="0" w:line="360" w:lineRule="auto"/>
        <w:ind w:left="720" w:right="-380" w:hanging="720"/>
        <w:jc w:val="both"/>
        <w:rPr>
          <w:rFonts w:ascii="Arial" w:hAnsi="Arial" w:cs="Arial"/>
          <w:b/>
          <w:bCs/>
          <w:caps/>
          <w:color w:val="000000" w:themeColor="text1"/>
          <w:sz w:val="20"/>
          <w:szCs w:val="20"/>
          <w:lang w:val="en-GB"/>
        </w:rPr>
      </w:pPr>
      <w:r w:rsidRPr="00C229EC">
        <w:rPr>
          <w:rFonts w:ascii="Arial" w:hAnsi="Arial" w:cs="Arial"/>
          <w:b/>
          <w:bCs/>
          <w:caps/>
          <w:color w:val="000000" w:themeColor="text1"/>
          <w:sz w:val="20"/>
          <w:szCs w:val="20"/>
          <w:lang w:val="en-GB"/>
        </w:rPr>
        <w:t>EZRA BRIDGITTA MOUERS SELBORNE</w:t>
      </w:r>
      <w:r w:rsidRPr="00C229EC">
        <w:rPr>
          <w:rFonts w:ascii="Arial" w:hAnsi="Arial" w:cs="Arial"/>
          <w:b/>
          <w:bCs/>
          <w:caps/>
          <w:color w:val="000000" w:themeColor="text1"/>
          <w:sz w:val="20"/>
          <w:szCs w:val="20"/>
          <w:lang w:val="en-GB"/>
        </w:rPr>
        <w:tab/>
      </w:r>
      <w:r w:rsidRPr="00C229EC">
        <w:rPr>
          <w:rFonts w:ascii="Arial" w:hAnsi="Arial" w:cs="Arial"/>
          <w:b/>
          <w:bCs/>
          <w:caps/>
          <w:color w:val="000000" w:themeColor="text1"/>
          <w:sz w:val="20"/>
          <w:szCs w:val="20"/>
          <w:lang w:val="en-GB"/>
        </w:rPr>
        <w:tab/>
      </w:r>
      <w:r w:rsidRPr="00C229EC">
        <w:rPr>
          <w:rFonts w:ascii="Arial" w:hAnsi="Arial" w:cs="Arial"/>
          <w:b/>
          <w:bCs/>
          <w:caps/>
          <w:color w:val="000000" w:themeColor="text1"/>
          <w:sz w:val="20"/>
          <w:szCs w:val="20"/>
          <w:lang w:val="en-GB"/>
        </w:rPr>
        <w:tab/>
        <w:t>SECOND RESPONDENT</w:t>
      </w:r>
    </w:p>
    <w:p w14:paraId="0FEC96A8" w14:textId="77777777" w:rsidR="00CE4F1E" w:rsidRPr="00C229EC" w:rsidRDefault="00CE4F1E" w:rsidP="00CE4F1E">
      <w:pPr>
        <w:tabs>
          <w:tab w:val="left" w:pos="5670"/>
        </w:tabs>
        <w:adjustRightInd w:val="0"/>
        <w:snapToGrid w:val="0"/>
        <w:spacing w:after="0" w:line="360" w:lineRule="auto"/>
        <w:ind w:left="720" w:right="-380" w:hanging="720"/>
        <w:jc w:val="both"/>
        <w:rPr>
          <w:rFonts w:ascii="Arial" w:hAnsi="Arial" w:cs="Arial"/>
          <w:b/>
          <w:bCs/>
          <w:caps/>
          <w:color w:val="000000" w:themeColor="text1"/>
          <w:sz w:val="20"/>
          <w:szCs w:val="20"/>
          <w:lang w:val="en-GB"/>
        </w:rPr>
      </w:pPr>
    </w:p>
    <w:p w14:paraId="025C5332" w14:textId="77777777" w:rsidR="00CE4F1E" w:rsidRPr="00C229EC" w:rsidRDefault="00CE4F1E" w:rsidP="00CE4F1E">
      <w:pPr>
        <w:tabs>
          <w:tab w:val="left" w:pos="5670"/>
        </w:tabs>
        <w:adjustRightInd w:val="0"/>
        <w:snapToGrid w:val="0"/>
        <w:spacing w:after="0" w:line="360" w:lineRule="auto"/>
        <w:ind w:left="720" w:right="-380" w:hanging="720"/>
        <w:jc w:val="both"/>
        <w:rPr>
          <w:rFonts w:ascii="Arial" w:hAnsi="Arial" w:cs="Arial"/>
          <w:b/>
          <w:bCs/>
          <w:caps/>
          <w:color w:val="000000" w:themeColor="text1"/>
          <w:sz w:val="20"/>
          <w:szCs w:val="20"/>
          <w:lang w:val="en-GB"/>
        </w:rPr>
      </w:pPr>
      <w:r w:rsidRPr="00C229EC">
        <w:rPr>
          <w:rFonts w:ascii="Arial" w:hAnsi="Arial" w:cs="Arial"/>
          <w:b/>
          <w:bCs/>
          <w:caps/>
          <w:color w:val="000000" w:themeColor="text1"/>
          <w:sz w:val="20"/>
          <w:szCs w:val="20"/>
          <w:lang w:val="en-GB"/>
        </w:rPr>
        <w:t>THE GAP INFR</w:t>
      </w:r>
      <w:r w:rsidR="005A74B3" w:rsidRPr="00C229EC">
        <w:rPr>
          <w:rFonts w:ascii="Arial" w:hAnsi="Arial" w:cs="Arial"/>
          <w:b/>
          <w:bCs/>
          <w:caps/>
          <w:color w:val="000000" w:themeColor="text1"/>
          <w:sz w:val="20"/>
          <w:szCs w:val="20"/>
          <w:lang w:val="en-GB"/>
        </w:rPr>
        <w:t>A</w:t>
      </w:r>
      <w:r w:rsidRPr="00C229EC">
        <w:rPr>
          <w:rFonts w:ascii="Arial" w:hAnsi="Arial" w:cs="Arial"/>
          <w:b/>
          <w:bCs/>
          <w:caps/>
          <w:color w:val="000000" w:themeColor="text1"/>
          <w:sz w:val="20"/>
          <w:szCs w:val="20"/>
          <w:lang w:val="en-GB"/>
        </w:rPr>
        <w:t>STRUCTURE CORPORATION (PTY) LTD</w:t>
      </w:r>
      <w:r w:rsidRPr="00C229EC">
        <w:rPr>
          <w:rFonts w:ascii="Arial" w:hAnsi="Arial" w:cs="Arial"/>
          <w:b/>
          <w:bCs/>
          <w:caps/>
          <w:color w:val="000000" w:themeColor="text1"/>
          <w:sz w:val="20"/>
          <w:szCs w:val="20"/>
          <w:lang w:val="en-GB"/>
        </w:rPr>
        <w:tab/>
      </w:r>
      <w:r w:rsidR="00C53CE7">
        <w:rPr>
          <w:rFonts w:ascii="Arial" w:hAnsi="Arial" w:cs="Arial"/>
          <w:b/>
          <w:bCs/>
          <w:caps/>
          <w:color w:val="000000" w:themeColor="text1"/>
          <w:sz w:val="20"/>
          <w:szCs w:val="20"/>
          <w:lang w:val="en-GB"/>
        </w:rPr>
        <w:tab/>
      </w:r>
      <w:r w:rsidR="00C53CE7">
        <w:rPr>
          <w:rFonts w:ascii="Arial" w:hAnsi="Arial" w:cs="Arial"/>
          <w:b/>
          <w:bCs/>
          <w:caps/>
          <w:color w:val="000000" w:themeColor="text1"/>
          <w:sz w:val="20"/>
          <w:szCs w:val="20"/>
          <w:lang w:val="en-GB"/>
        </w:rPr>
        <w:tab/>
      </w:r>
      <w:r w:rsidR="0012642E" w:rsidRPr="00C229EC">
        <w:rPr>
          <w:rFonts w:ascii="Arial" w:hAnsi="Arial" w:cs="Arial"/>
          <w:b/>
          <w:bCs/>
          <w:caps/>
          <w:color w:val="000000" w:themeColor="text1"/>
          <w:sz w:val="20"/>
          <w:szCs w:val="20"/>
          <w:lang w:val="en-GB"/>
        </w:rPr>
        <w:t>THIRD RESPONDENT</w:t>
      </w:r>
    </w:p>
    <w:p w14:paraId="2AF0666E" w14:textId="77777777" w:rsidR="0012642E" w:rsidRPr="00C229EC" w:rsidRDefault="0012642E" w:rsidP="00CE4F1E">
      <w:pPr>
        <w:tabs>
          <w:tab w:val="left" w:pos="5670"/>
        </w:tabs>
        <w:adjustRightInd w:val="0"/>
        <w:snapToGrid w:val="0"/>
        <w:spacing w:after="0" w:line="360" w:lineRule="auto"/>
        <w:ind w:left="720" w:right="-380" w:hanging="720"/>
        <w:jc w:val="both"/>
        <w:rPr>
          <w:rFonts w:ascii="Arial" w:hAnsi="Arial" w:cs="Arial"/>
          <w:b/>
          <w:bCs/>
          <w:caps/>
          <w:color w:val="000000" w:themeColor="text1"/>
          <w:sz w:val="20"/>
          <w:szCs w:val="20"/>
          <w:lang w:val="en-GB"/>
        </w:rPr>
      </w:pPr>
    </w:p>
    <w:p w14:paraId="63964574" w14:textId="77777777" w:rsidR="0012642E" w:rsidRPr="00C229EC" w:rsidRDefault="0012642E" w:rsidP="00CE4F1E">
      <w:pPr>
        <w:tabs>
          <w:tab w:val="left" w:pos="5670"/>
        </w:tabs>
        <w:adjustRightInd w:val="0"/>
        <w:snapToGrid w:val="0"/>
        <w:spacing w:after="0" w:line="360" w:lineRule="auto"/>
        <w:ind w:left="720" w:right="-380" w:hanging="720"/>
        <w:jc w:val="both"/>
        <w:rPr>
          <w:rFonts w:ascii="Arial" w:hAnsi="Arial" w:cs="Arial"/>
          <w:b/>
          <w:bCs/>
          <w:caps/>
          <w:color w:val="000000" w:themeColor="text1"/>
          <w:sz w:val="20"/>
          <w:szCs w:val="20"/>
          <w:lang w:val="en-GB"/>
        </w:rPr>
      </w:pPr>
      <w:r w:rsidRPr="00C229EC">
        <w:rPr>
          <w:rFonts w:ascii="Arial" w:hAnsi="Arial" w:cs="Arial"/>
          <w:b/>
          <w:bCs/>
          <w:caps/>
          <w:color w:val="000000" w:themeColor="text1"/>
          <w:sz w:val="20"/>
          <w:szCs w:val="20"/>
          <w:lang w:val="en-GB"/>
        </w:rPr>
        <w:t>PIETER ST</w:t>
      </w:r>
      <w:r w:rsidR="00147120">
        <w:rPr>
          <w:rFonts w:ascii="Arial" w:hAnsi="Arial" w:cs="Arial"/>
          <w:b/>
          <w:bCs/>
          <w:caps/>
          <w:color w:val="000000" w:themeColor="text1"/>
          <w:sz w:val="20"/>
          <w:szCs w:val="20"/>
          <w:lang w:val="en-GB"/>
        </w:rPr>
        <w:t>E</w:t>
      </w:r>
      <w:r w:rsidRPr="00C229EC">
        <w:rPr>
          <w:rFonts w:ascii="Arial" w:hAnsi="Arial" w:cs="Arial"/>
          <w:b/>
          <w:bCs/>
          <w:caps/>
          <w:color w:val="000000" w:themeColor="text1"/>
          <w:sz w:val="20"/>
          <w:szCs w:val="20"/>
          <w:lang w:val="en-GB"/>
        </w:rPr>
        <w:t>YN LANGE N.O.</w:t>
      </w:r>
      <w:r w:rsidRPr="00C229EC">
        <w:rPr>
          <w:rFonts w:ascii="Arial" w:hAnsi="Arial" w:cs="Arial"/>
          <w:b/>
          <w:bCs/>
          <w:caps/>
          <w:color w:val="000000" w:themeColor="text1"/>
          <w:sz w:val="20"/>
          <w:szCs w:val="20"/>
          <w:lang w:val="en-GB"/>
        </w:rPr>
        <w:tab/>
      </w:r>
      <w:r w:rsidRPr="00C229EC">
        <w:rPr>
          <w:rFonts w:ascii="Arial" w:hAnsi="Arial" w:cs="Arial"/>
          <w:b/>
          <w:bCs/>
          <w:caps/>
          <w:color w:val="000000" w:themeColor="text1"/>
          <w:sz w:val="20"/>
          <w:szCs w:val="20"/>
          <w:lang w:val="en-GB"/>
        </w:rPr>
        <w:tab/>
      </w:r>
      <w:r w:rsidRPr="00C229EC">
        <w:rPr>
          <w:rFonts w:ascii="Arial" w:hAnsi="Arial" w:cs="Arial"/>
          <w:b/>
          <w:bCs/>
          <w:caps/>
          <w:color w:val="000000" w:themeColor="text1"/>
          <w:sz w:val="20"/>
          <w:szCs w:val="20"/>
          <w:lang w:val="en-GB"/>
        </w:rPr>
        <w:tab/>
        <w:t>FOURTH RESPONDENT</w:t>
      </w:r>
    </w:p>
    <w:p w14:paraId="16F36C87" w14:textId="77777777" w:rsidR="0012642E" w:rsidRPr="00C229EC" w:rsidRDefault="0012642E" w:rsidP="00CE4F1E">
      <w:pPr>
        <w:tabs>
          <w:tab w:val="left" w:pos="5670"/>
        </w:tabs>
        <w:adjustRightInd w:val="0"/>
        <w:snapToGrid w:val="0"/>
        <w:spacing w:after="0" w:line="360" w:lineRule="auto"/>
        <w:ind w:left="720" w:right="-380" w:hanging="720"/>
        <w:jc w:val="both"/>
        <w:rPr>
          <w:rFonts w:ascii="Arial" w:hAnsi="Arial" w:cs="Arial"/>
          <w:b/>
          <w:bCs/>
          <w:caps/>
          <w:color w:val="000000" w:themeColor="text1"/>
          <w:sz w:val="20"/>
          <w:szCs w:val="20"/>
          <w:lang w:val="en-GB"/>
        </w:rPr>
      </w:pPr>
    </w:p>
    <w:p w14:paraId="1397346A" w14:textId="77777777" w:rsidR="0012642E" w:rsidRPr="00C229EC" w:rsidRDefault="0012642E" w:rsidP="00CE4F1E">
      <w:pPr>
        <w:tabs>
          <w:tab w:val="left" w:pos="5670"/>
        </w:tabs>
        <w:adjustRightInd w:val="0"/>
        <w:snapToGrid w:val="0"/>
        <w:spacing w:after="0" w:line="360" w:lineRule="auto"/>
        <w:ind w:left="720" w:right="-380" w:hanging="720"/>
        <w:jc w:val="both"/>
        <w:rPr>
          <w:rFonts w:ascii="Arial" w:hAnsi="Arial" w:cs="Arial"/>
          <w:b/>
          <w:bCs/>
          <w:caps/>
          <w:color w:val="000000" w:themeColor="text1"/>
          <w:sz w:val="20"/>
          <w:szCs w:val="20"/>
          <w:lang w:val="en-GB"/>
        </w:rPr>
      </w:pPr>
      <w:r w:rsidRPr="00C229EC">
        <w:rPr>
          <w:rFonts w:ascii="Arial" w:hAnsi="Arial" w:cs="Arial"/>
          <w:b/>
          <w:bCs/>
          <w:caps/>
          <w:color w:val="000000" w:themeColor="text1"/>
          <w:sz w:val="20"/>
          <w:szCs w:val="20"/>
          <w:lang w:val="en-GB"/>
        </w:rPr>
        <w:t>ALBERTUS JACOBUS HANEKOM N.O.</w:t>
      </w:r>
      <w:r w:rsidRPr="00C229EC">
        <w:rPr>
          <w:rFonts w:ascii="Arial" w:hAnsi="Arial" w:cs="Arial"/>
          <w:b/>
          <w:bCs/>
          <w:caps/>
          <w:color w:val="000000" w:themeColor="text1"/>
          <w:sz w:val="20"/>
          <w:szCs w:val="20"/>
          <w:lang w:val="en-GB"/>
        </w:rPr>
        <w:tab/>
      </w:r>
      <w:r w:rsidRPr="00C229EC">
        <w:rPr>
          <w:rFonts w:ascii="Arial" w:hAnsi="Arial" w:cs="Arial"/>
          <w:b/>
          <w:bCs/>
          <w:caps/>
          <w:color w:val="000000" w:themeColor="text1"/>
          <w:sz w:val="20"/>
          <w:szCs w:val="20"/>
          <w:lang w:val="en-GB"/>
        </w:rPr>
        <w:tab/>
      </w:r>
      <w:r w:rsidRPr="00C229EC">
        <w:rPr>
          <w:rFonts w:ascii="Arial" w:hAnsi="Arial" w:cs="Arial"/>
          <w:b/>
          <w:bCs/>
          <w:caps/>
          <w:color w:val="000000" w:themeColor="text1"/>
          <w:sz w:val="20"/>
          <w:szCs w:val="20"/>
          <w:lang w:val="en-GB"/>
        </w:rPr>
        <w:tab/>
        <w:t>FIFTH RESPONDENT</w:t>
      </w:r>
    </w:p>
    <w:p w14:paraId="2AC270EB" w14:textId="77777777" w:rsidR="0012642E" w:rsidRPr="00C229EC" w:rsidRDefault="0012642E" w:rsidP="00CE4F1E">
      <w:pPr>
        <w:tabs>
          <w:tab w:val="left" w:pos="5670"/>
        </w:tabs>
        <w:adjustRightInd w:val="0"/>
        <w:snapToGrid w:val="0"/>
        <w:spacing w:after="0" w:line="360" w:lineRule="auto"/>
        <w:ind w:left="720" w:right="-380" w:hanging="720"/>
        <w:jc w:val="both"/>
        <w:rPr>
          <w:rFonts w:ascii="Arial" w:hAnsi="Arial" w:cs="Arial"/>
          <w:b/>
          <w:bCs/>
          <w:caps/>
          <w:color w:val="000000" w:themeColor="text1"/>
          <w:sz w:val="20"/>
          <w:szCs w:val="20"/>
          <w:lang w:val="en-GB"/>
        </w:rPr>
      </w:pPr>
    </w:p>
    <w:p w14:paraId="0072B9DF" w14:textId="77777777" w:rsidR="0012642E" w:rsidRPr="00C229EC" w:rsidRDefault="0012642E" w:rsidP="00CE4F1E">
      <w:pPr>
        <w:tabs>
          <w:tab w:val="left" w:pos="5670"/>
        </w:tabs>
        <w:adjustRightInd w:val="0"/>
        <w:snapToGrid w:val="0"/>
        <w:spacing w:after="0" w:line="360" w:lineRule="auto"/>
        <w:ind w:left="720" w:right="-380" w:hanging="720"/>
        <w:jc w:val="both"/>
        <w:rPr>
          <w:rFonts w:ascii="Arial" w:hAnsi="Arial" w:cs="Arial"/>
          <w:b/>
          <w:bCs/>
          <w:caps/>
          <w:color w:val="000000" w:themeColor="text1"/>
          <w:sz w:val="20"/>
          <w:szCs w:val="20"/>
          <w:lang w:val="en-GB"/>
        </w:rPr>
      </w:pPr>
      <w:r w:rsidRPr="00C229EC">
        <w:rPr>
          <w:rFonts w:ascii="Arial" w:hAnsi="Arial" w:cs="Arial"/>
          <w:b/>
          <w:bCs/>
          <w:caps/>
          <w:color w:val="000000" w:themeColor="text1"/>
          <w:sz w:val="20"/>
          <w:szCs w:val="20"/>
          <w:lang w:val="en-GB"/>
        </w:rPr>
        <w:t>ISABEL ELIZABETH HANEKOM</w:t>
      </w:r>
      <w:r w:rsidR="00C8287D">
        <w:rPr>
          <w:rFonts w:ascii="Arial" w:hAnsi="Arial" w:cs="Arial"/>
          <w:b/>
          <w:bCs/>
          <w:caps/>
          <w:color w:val="000000" w:themeColor="text1"/>
          <w:sz w:val="20"/>
          <w:szCs w:val="20"/>
          <w:lang w:val="en-GB"/>
        </w:rPr>
        <w:t xml:space="preserve"> N.</w:t>
      </w:r>
      <w:r w:rsidR="000C4F2A">
        <w:rPr>
          <w:rFonts w:ascii="Arial" w:hAnsi="Arial" w:cs="Arial"/>
          <w:b/>
          <w:bCs/>
          <w:caps/>
          <w:color w:val="000000" w:themeColor="text1"/>
          <w:sz w:val="20"/>
          <w:szCs w:val="20"/>
          <w:lang w:val="en-GB"/>
        </w:rPr>
        <w:t>O.</w:t>
      </w:r>
      <w:r w:rsidRPr="00C229EC">
        <w:rPr>
          <w:rFonts w:ascii="Arial" w:hAnsi="Arial" w:cs="Arial"/>
          <w:b/>
          <w:bCs/>
          <w:caps/>
          <w:color w:val="000000" w:themeColor="text1"/>
          <w:sz w:val="20"/>
          <w:szCs w:val="20"/>
          <w:lang w:val="en-GB"/>
        </w:rPr>
        <w:tab/>
      </w:r>
      <w:r w:rsidRPr="00C229EC">
        <w:rPr>
          <w:rFonts w:ascii="Arial" w:hAnsi="Arial" w:cs="Arial"/>
          <w:b/>
          <w:bCs/>
          <w:caps/>
          <w:color w:val="000000" w:themeColor="text1"/>
          <w:sz w:val="20"/>
          <w:szCs w:val="20"/>
          <w:lang w:val="en-GB"/>
        </w:rPr>
        <w:tab/>
      </w:r>
      <w:r w:rsidRPr="00C229EC">
        <w:rPr>
          <w:rFonts w:ascii="Arial" w:hAnsi="Arial" w:cs="Arial"/>
          <w:b/>
          <w:bCs/>
          <w:caps/>
          <w:color w:val="000000" w:themeColor="text1"/>
          <w:sz w:val="20"/>
          <w:szCs w:val="20"/>
          <w:lang w:val="en-GB"/>
        </w:rPr>
        <w:tab/>
        <w:t>SIXTH RESPONDENT</w:t>
      </w:r>
    </w:p>
    <w:p w14:paraId="4C5152F6" w14:textId="77777777" w:rsidR="00CE4F1E" w:rsidRPr="00C229EC" w:rsidRDefault="00CE4F1E" w:rsidP="00CE4F1E">
      <w:pPr>
        <w:tabs>
          <w:tab w:val="left" w:pos="5670"/>
        </w:tabs>
        <w:adjustRightInd w:val="0"/>
        <w:snapToGrid w:val="0"/>
        <w:spacing w:after="0" w:line="360" w:lineRule="auto"/>
        <w:ind w:left="720" w:right="-380" w:hanging="720"/>
        <w:jc w:val="both"/>
        <w:rPr>
          <w:rFonts w:ascii="Arial" w:hAnsi="Arial" w:cs="Arial"/>
          <w:b/>
          <w:bCs/>
          <w:sz w:val="20"/>
          <w:szCs w:val="20"/>
        </w:rPr>
      </w:pPr>
    </w:p>
    <w:p w14:paraId="66E894FD" w14:textId="77777777" w:rsidR="00003D15" w:rsidRPr="00B21993" w:rsidRDefault="00003D15" w:rsidP="00151FEB">
      <w:pPr>
        <w:spacing w:after="240" w:line="360" w:lineRule="auto"/>
        <w:ind w:left="1710" w:hanging="1710"/>
        <w:rPr>
          <w:rFonts w:ascii="Arial" w:hAnsi="Arial" w:cs="Arial"/>
          <w:bCs/>
        </w:rPr>
      </w:pPr>
      <w:r w:rsidRPr="007034E7">
        <w:rPr>
          <w:rFonts w:ascii="Arial" w:hAnsi="Arial" w:cs="Arial"/>
          <w:b/>
          <w:bCs/>
        </w:rPr>
        <w:t>Neutral citation:</w:t>
      </w:r>
      <w:r w:rsidR="00151FEB">
        <w:rPr>
          <w:rFonts w:ascii="Arial" w:hAnsi="Arial" w:cs="Arial"/>
          <w:b/>
          <w:bCs/>
        </w:rPr>
        <w:t xml:space="preserve"> </w:t>
      </w:r>
      <w:r w:rsidR="0012642E" w:rsidRPr="00B21993">
        <w:rPr>
          <w:rFonts w:ascii="Arial" w:hAnsi="Arial" w:cs="Arial"/>
          <w:bCs/>
          <w:i/>
        </w:rPr>
        <w:t xml:space="preserve">Hanekom Plant &amp; Civils CC </w:t>
      </w:r>
      <w:r w:rsidRPr="00B21993">
        <w:rPr>
          <w:rFonts w:ascii="Arial" w:hAnsi="Arial" w:cs="Arial"/>
          <w:bCs/>
          <w:i/>
        </w:rPr>
        <w:t xml:space="preserve">v </w:t>
      </w:r>
      <w:r w:rsidR="00F0669E" w:rsidRPr="00B21993">
        <w:rPr>
          <w:rFonts w:ascii="Arial" w:hAnsi="Arial" w:cs="Arial"/>
          <w:bCs/>
          <w:i/>
        </w:rPr>
        <w:t>Kopaneng Construction &amp; Civils (Pty) Ltd</w:t>
      </w:r>
      <w:r w:rsidR="001F0B5A" w:rsidRPr="00B21993">
        <w:rPr>
          <w:rFonts w:ascii="Arial" w:hAnsi="Arial" w:cs="Arial"/>
          <w:bCs/>
          <w:i/>
        </w:rPr>
        <w:t xml:space="preserve"> and Others</w:t>
      </w:r>
      <w:r w:rsidRPr="00B21993">
        <w:rPr>
          <w:rFonts w:ascii="Arial" w:hAnsi="Arial" w:cs="Arial"/>
          <w:bCs/>
          <w:i/>
        </w:rPr>
        <w:t xml:space="preserve"> </w:t>
      </w:r>
      <w:r w:rsidRPr="00B21993">
        <w:rPr>
          <w:rFonts w:ascii="Arial" w:hAnsi="Arial" w:cs="Arial"/>
          <w:bCs/>
        </w:rPr>
        <w:t xml:space="preserve">(Case no </w:t>
      </w:r>
      <w:r w:rsidR="00CE4F1E" w:rsidRPr="00B21993">
        <w:rPr>
          <w:rFonts w:ascii="Arial" w:hAnsi="Arial" w:cs="Arial"/>
          <w:bCs/>
        </w:rPr>
        <w:t>2</w:t>
      </w:r>
      <w:r w:rsidR="00151FEB" w:rsidRPr="00B21993">
        <w:rPr>
          <w:rFonts w:ascii="Arial" w:hAnsi="Arial" w:cs="Arial"/>
          <w:bCs/>
        </w:rPr>
        <w:t>0</w:t>
      </w:r>
      <w:r w:rsidR="00CE4F1E" w:rsidRPr="00B21993">
        <w:rPr>
          <w:rFonts w:ascii="Arial" w:hAnsi="Arial" w:cs="Arial"/>
          <w:bCs/>
        </w:rPr>
        <w:t>38</w:t>
      </w:r>
      <w:r w:rsidR="00151FEB" w:rsidRPr="00B21993">
        <w:rPr>
          <w:rFonts w:ascii="Arial" w:hAnsi="Arial" w:cs="Arial"/>
          <w:bCs/>
        </w:rPr>
        <w:t>/202</w:t>
      </w:r>
      <w:r w:rsidR="00CE4F1E" w:rsidRPr="00B21993">
        <w:rPr>
          <w:rFonts w:ascii="Arial" w:hAnsi="Arial" w:cs="Arial"/>
          <w:bCs/>
        </w:rPr>
        <w:t>3</w:t>
      </w:r>
      <w:r w:rsidRPr="00B21993">
        <w:rPr>
          <w:rFonts w:ascii="Arial" w:hAnsi="Arial" w:cs="Arial"/>
          <w:bCs/>
        </w:rPr>
        <w:t>) (</w:t>
      </w:r>
      <w:r w:rsidR="00147120" w:rsidRPr="00B21993">
        <w:rPr>
          <w:rFonts w:ascii="Arial" w:hAnsi="Arial" w:cs="Arial"/>
          <w:bCs/>
        </w:rPr>
        <w:t>08 March</w:t>
      </w:r>
      <w:r w:rsidRPr="00B21993">
        <w:rPr>
          <w:rFonts w:ascii="Arial" w:hAnsi="Arial" w:cs="Arial"/>
          <w:bCs/>
        </w:rPr>
        <w:t xml:space="preserve"> 2024)</w:t>
      </w:r>
    </w:p>
    <w:p w14:paraId="03A88940" w14:textId="77777777" w:rsidR="00003D15" w:rsidRPr="00B21993" w:rsidRDefault="00003D15" w:rsidP="00003D15">
      <w:pPr>
        <w:adjustRightInd w:val="0"/>
        <w:snapToGrid w:val="0"/>
        <w:spacing w:after="0" w:line="360" w:lineRule="auto"/>
        <w:ind w:left="720" w:hanging="720"/>
        <w:jc w:val="both"/>
        <w:rPr>
          <w:rFonts w:ascii="Arial" w:hAnsi="Arial" w:cs="Arial"/>
          <w:color w:val="000000" w:themeColor="text1"/>
          <w:lang w:val="en-GB"/>
        </w:rPr>
      </w:pPr>
      <w:r w:rsidRPr="00B21993">
        <w:rPr>
          <w:rFonts w:ascii="Arial" w:hAnsi="Arial" w:cs="Arial"/>
          <w:b/>
          <w:color w:val="000000" w:themeColor="text1"/>
          <w:lang w:val="en-GB"/>
        </w:rPr>
        <w:t>Heard:</w:t>
      </w:r>
      <w:r w:rsidRPr="00B21993">
        <w:rPr>
          <w:rFonts w:ascii="Arial" w:hAnsi="Arial" w:cs="Arial"/>
          <w:b/>
          <w:color w:val="000000" w:themeColor="text1"/>
          <w:lang w:val="en-GB"/>
        </w:rPr>
        <w:tab/>
        <w:t xml:space="preserve"> </w:t>
      </w:r>
      <w:r w:rsidR="00CE4F1E" w:rsidRPr="00B21993">
        <w:rPr>
          <w:rFonts w:ascii="Arial" w:hAnsi="Arial" w:cs="Arial"/>
          <w:color w:val="000000" w:themeColor="text1"/>
          <w:lang w:val="en-GB"/>
        </w:rPr>
        <w:t>10 November 2023</w:t>
      </w:r>
    </w:p>
    <w:p w14:paraId="73A61FD5" w14:textId="77777777" w:rsidR="00003D15" w:rsidRPr="007034E7" w:rsidRDefault="00003D15" w:rsidP="00003D15">
      <w:pPr>
        <w:adjustRightInd w:val="0"/>
        <w:snapToGrid w:val="0"/>
        <w:spacing w:after="0" w:line="360" w:lineRule="auto"/>
        <w:ind w:left="720" w:hanging="720"/>
        <w:jc w:val="both"/>
        <w:rPr>
          <w:rFonts w:ascii="Arial" w:hAnsi="Arial" w:cs="Arial"/>
          <w:b/>
          <w:color w:val="000000" w:themeColor="text1"/>
          <w:lang w:val="en-GB"/>
        </w:rPr>
      </w:pPr>
      <w:r w:rsidRPr="00B21993">
        <w:rPr>
          <w:rFonts w:ascii="Arial" w:hAnsi="Arial" w:cs="Arial"/>
          <w:b/>
          <w:color w:val="000000" w:themeColor="text1"/>
          <w:lang w:val="en-GB"/>
        </w:rPr>
        <w:t xml:space="preserve">Delivered: </w:t>
      </w:r>
      <w:r w:rsidR="00147120" w:rsidRPr="000C4F2A">
        <w:rPr>
          <w:rFonts w:ascii="Arial" w:hAnsi="Arial" w:cs="Arial"/>
          <w:color w:val="000000" w:themeColor="text1"/>
          <w:lang w:val="en-GB"/>
        </w:rPr>
        <w:t>08</w:t>
      </w:r>
      <w:r w:rsidR="00F60575" w:rsidRPr="000C4F2A">
        <w:rPr>
          <w:rFonts w:ascii="Arial" w:hAnsi="Arial" w:cs="Arial"/>
          <w:color w:val="000000" w:themeColor="text1"/>
          <w:lang w:val="en-GB"/>
        </w:rPr>
        <w:t xml:space="preserve"> </w:t>
      </w:r>
      <w:r w:rsidR="00C53CE7" w:rsidRPr="00B21993">
        <w:rPr>
          <w:rFonts w:ascii="Arial" w:hAnsi="Arial" w:cs="Arial"/>
          <w:color w:val="000000" w:themeColor="text1"/>
          <w:lang w:val="en-GB"/>
        </w:rPr>
        <w:t>March</w:t>
      </w:r>
      <w:r w:rsidRPr="00B21993">
        <w:rPr>
          <w:rFonts w:ascii="Arial" w:hAnsi="Arial" w:cs="Arial"/>
          <w:color w:val="000000" w:themeColor="text1"/>
          <w:lang w:val="en-GB"/>
        </w:rPr>
        <w:t xml:space="preserve"> 2024</w:t>
      </w:r>
    </w:p>
    <w:p w14:paraId="47202870" w14:textId="77777777" w:rsidR="00003D15" w:rsidRPr="00E047F8" w:rsidRDefault="00003D15" w:rsidP="00003D15">
      <w:pPr>
        <w:pBdr>
          <w:top w:val="single" w:sz="12" w:space="1" w:color="auto"/>
          <w:bottom w:val="single" w:sz="12" w:space="1" w:color="auto"/>
        </w:pBdr>
        <w:adjustRightInd w:val="0"/>
        <w:snapToGrid w:val="0"/>
        <w:spacing w:before="240" w:after="120" w:line="360" w:lineRule="auto"/>
        <w:jc w:val="both"/>
        <w:rPr>
          <w:rFonts w:ascii="Arial" w:hAnsi="Arial" w:cs="Arial"/>
          <w:b/>
          <w:color w:val="000000" w:themeColor="text1"/>
          <w:sz w:val="28"/>
          <w:szCs w:val="28"/>
          <w:lang w:val="en-GB"/>
        </w:rPr>
      </w:pP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sidRPr="00E047F8">
        <w:rPr>
          <w:rFonts w:ascii="Arial" w:hAnsi="Arial" w:cs="Arial"/>
          <w:b/>
          <w:color w:val="000000" w:themeColor="text1"/>
          <w:sz w:val="28"/>
          <w:szCs w:val="28"/>
          <w:lang w:val="en-GB"/>
        </w:rPr>
        <w:t>Judgment</w:t>
      </w:r>
    </w:p>
    <w:p w14:paraId="37BC267B" w14:textId="77777777" w:rsidR="00003D15" w:rsidRDefault="00003D15" w:rsidP="00003D15">
      <w:pPr>
        <w:adjustRightInd w:val="0"/>
        <w:snapToGrid w:val="0"/>
        <w:spacing w:before="240" w:after="120" w:line="360" w:lineRule="auto"/>
        <w:ind w:left="720" w:hanging="720"/>
        <w:jc w:val="both"/>
        <w:rPr>
          <w:rFonts w:ascii="Arial" w:hAnsi="Arial" w:cs="Arial"/>
          <w:color w:val="000000" w:themeColor="text1"/>
          <w:sz w:val="24"/>
          <w:szCs w:val="24"/>
          <w:lang w:val="en-GB"/>
        </w:rPr>
      </w:pPr>
      <w:r w:rsidRPr="008A11EB">
        <w:rPr>
          <w:rFonts w:ascii="Arial" w:hAnsi="Arial" w:cs="Arial"/>
          <w:color w:val="000000" w:themeColor="text1"/>
          <w:sz w:val="24"/>
          <w:szCs w:val="24"/>
          <w:lang w:val="en-GB"/>
        </w:rPr>
        <w:t xml:space="preserve">Phatshoane </w:t>
      </w:r>
      <w:r w:rsidR="00F0669E" w:rsidRPr="008A11EB">
        <w:rPr>
          <w:rFonts w:ascii="Arial" w:hAnsi="Arial" w:cs="Arial"/>
          <w:color w:val="000000" w:themeColor="text1"/>
          <w:sz w:val="24"/>
          <w:szCs w:val="24"/>
          <w:lang w:val="en-GB"/>
        </w:rPr>
        <w:t>A</w:t>
      </w:r>
      <w:r w:rsidR="00543BC3" w:rsidRPr="008A11EB">
        <w:rPr>
          <w:rFonts w:ascii="Arial" w:hAnsi="Arial" w:cs="Arial"/>
          <w:color w:val="000000" w:themeColor="text1"/>
          <w:sz w:val="24"/>
          <w:szCs w:val="24"/>
          <w:lang w:val="en-GB"/>
        </w:rPr>
        <w:t>JP</w:t>
      </w:r>
    </w:p>
    <w:p w14:paraId="481D15B3" w14:textId="77777777" w:rsidR="00C229EC" w:rsidRPr="00C229EC" w:rsidRDefault="00C229EC" w:rsidP="00003D15">
      <w:pPr>
        <w:adjustRightInd w:val="0"/>
        <w:snapToGrid w:val="0"/>
        <w:spacing w:before="240" w:after="120" w:line="360" w:lineRule="auto"/>
        <w:ind w:left="720" w:hanging="720"/>
        <w:jc w:val="both"/>
        <w:rPr>
          <w:rFonts w:ascii="Arial" w:hAnsi="Arial" w:cs="Arial"/>
          <w:b/>
          <w:color w:val="000000" w:themeColor="text1"/>
          <w:sz w:val="24"/>
          <w:szCs w:val="24"/>
          <w:lang w:val="en-GB"/>
        </w:rPr>
      </w:pPr>
      <w:r w:rsidRPr="00C229EC">
        <w:rPr>
          <w:rFonts w:ascii="Arial" w:hAnsi="Arial" w:cs="Arial"/>
          <w:b/>
          <w:color w:val="000000" w:themeColor="text1"/>
          <w:sz w:val="24"/>
          <w:szCs w:val="24"/>
          <w:lang w:val="en-GB"/>
        </w:rPr>
        <w:t>Introduction</w:t>
      </w:r>
    </w:p>
    <w:p w14:paraId="1ED645C7" w14:textId="77777777" w:rsidR="00A74D31" w:rsidRDefault="00151FEB" w:rsidP="00165017">
      <w:pPr>
        <w:tabs>
          <w:tab w:val="left" w:pos="5670"/>
        </w:tabs>
        <w:adjustRightInd w:val="0"/>
        <w:snapToGrid w:val="0"/>
        <w:spacing w:after="0" w:line="360" w:lineRule="auto"/>
        <w:ind w:left="720" w:right="-380" w:hanging="720"/>
        <w:jc w:val="both"/>
        <w:rPr>
          <w:rFonts w:ascii="Arial" w:hAnsi="Arial" w:cs="Arial"/>
          <w:sz w:val="24"/>
          <w:szCs w:val="24"/>
        </w:rPr>
      </w:pPr>
      <w:r>
        <w:rPr>
          <w:rFonts w:ascii="Arial" w:hAnsi="Arial" w:cs="Arial"/>
          <w:sz w:val="24"/>
        </w:rPr>
        <w:t>[1]</w:t>
      </w:r>
      <w:r>
        <w:rPr>
          <w:rFonts w:ascii="Arial" w:hAnsi="Arial" w:cs="Arial"/>
          <w:sz w:val="24"/>
        </w:rPr>
        <w:tab/>
      </w:r>
      <w:r w:rsidR="00A229C0">
        <w:rPr>
          <w:rFonts w:ascii="Arial" w:hAnsi="Arial" w:cs="Arial"/>
          <w:sz w:val="24"/>
        </w:rPr>
        <w:t>The present proceedings</w:t>
      </w:r>
      <w:r w:rsidR="009B08C4">
        <w:rPr>
          <w:rFonts w:ascii="Arial" w:hAnsi="Arial" w:cs="Arial"/>
          <w:sz w:val="24"/>
        </w:rPr>
        <w:t>,</w:t>
      </w:r>
      <w:r w:rsidR="00527EF8">
        <w:rPr>
          <w:rFonts w:ascii="Arial" w:hAnsi="Arial" w:cs="Arial"/>
          <w:sz w:val="24"/>
        </w:rPr>
        <w:t xml:space="preserve"> </w:t>
      </w:r>
      <w:r w:rsidR="00A74D31">
        <w:rPr>
          <w:rFonts w:ascii="Arial" w:hAnsi="Arial" w:cs="Arial"/>
          <w:sz w:val="24"/>
        </w:rPr>
        <w:t xml:space="preserve">instituted </w:t>
      </w:r>
      <w:r w:rsidR="008A11EB">
        <w:rPr>
          <w:rFonts w:ascii="Arial" w:hAnsi="Arial" w:cs="Arial"/>
          <w:sz w:val="24"/>
        </w:rPr>
        <w:t xml:space="preserve">on </w:t>
      </w:r>
      <w:r w:rsidR="00A74D31">
        <w:rPr>
          <w:rFonts w:ascii="Arial" w:hAnsi="Arial" w:cs="Arial"/>
          <w:sz w:val="24"/>
          <w:szCs w:val="24"/>
        </w:rPr>
        <w:t>03 November 2023</w:t>
      </w:r>
      <w:r w:rsidR="00527EF8">
        <w:rPr>
          <w:rFonts w:ascii="Arial" w:hAnsi="Arial" w:cs="Arial"/>
          <w:sz w:val="24"/>
          <w:szCs w:val="24"/>
        </w:rPr>
        <w:t xml:space="preserve"> on an urgent basis</w:t>
      </w:r>
      <w:r w:rsidR="00C229EC">
        <w:rPr>
          <w:rFonts w:ascii="Arial" w:hAnsi="Arial" w:cs="Arial"/>
          <w:sz w:val="24"/>
          <w:szCs w:val="24"/>
        </w:rPr>
        <w:t>,</w:t>
      </w:r>
      <w:r w:rsidR="00A74D31">
        <w:rPr>
          <w:rFonts w:ascii="Arial" w:hAnsi="Arial" w:cs="Arial"/>
          <w:sz w:val="24"/>
          <w:szCs w:val="24"/>
        </w:rPr>
        <w:t xml:space="preserve"> were </w:t>
      </w:r>
      <w:r w:rsidR="00A229C0">
        <w:rPr>
          <w:rFonts w:ascii="Arial" w:hAnsi="Arial" w:cs="Arial"/>
          <w:sz w:val="24"/>
        </w:rPr>
        <w:t>essentially</w:t>
      </w:r>
      <w:r w:rsidR="00D20A50">
        <w:rPr>
          <w:rFonts w:ascii="Arial" w:hAnsi="Arial" w:cs="Arial"/>
          <w:sz w:val="24"/>
        </w:rPr>
        <w:t xml:space="preserve"> </w:t>
      </w:r>
      <w:bookmarkEnd w:id="0"/>
      <w:r w:rsidR="00D20A50">
        <w:rPr>
          <w:rFonts w:ascii="Arial" w:hAnsi="Arial" w:cs="Arial"/>
          <w:sz w:val="24"/>
        </w:rPr>
        <w:t xml:space="preserve">about the preservation of certain monies to obviate </w:t>
      </w:r>
      <w:r w:rsidR="00591C49">
        <w:rPr>
          <w:rFonts w:ascii="Arial" w:hAnsi="Arial" w:cs="Arial"/>
          <w:sz w:val="24"/>
        </w:rPr>
        <w:t xml:space="preserve">an alleged </w:t>
      </w:r>
      <w:r w:rsidR="00D20A50">
        <w:rPr>
          <w:rFonts w:ascii="Arial" w:hAnsi="Arial" w:cs="Arial"/>
          <w:sz w:val="24"/>
        </w:rPr>
        <w:t xml:space="preserve">dissipation </w:t>
      </w:r>
      <w:r w:rsidR="00D20A50">
        <w:rPr>
          <w:rFonts w:ascii="Arial" w:hAnsi="Arial" w:cs="Arial"/>
          <w:sz w:val="24"/>
        </w:rPr>
        <w:lastRenderedPageBreak/>
        <w:t xml:space="preserve">pending the </w:t>
      </w:r>
      <w:r w:rsidR="005A6B67">
        <w:rPr>
          <w:rFonts w:ascii="Arial" w:hAnsi="Arial" w:cs="Arial"/>
          <w:sz w:val="24"/>
        </w:rPr>
        <w:t xml:space="preserve">settlement of the dispute between the parties or </w:t>
      </w:r>
      <w:r w:rsidR="00D20A50">
        <w:rPr>
          <w:rFonts w:ascii="Arial" w:hAnsi="Arial" w:cs="Arial"/>
          <w:sz w:val="24"/>
        </w:rPr>
        <w:t xml:space="preserve">final </w:t>
      </w:r>
      <w:r w:rsidR="00A74D31">
        <w:rPr>
          <w:rFonts w:ascii="Arial" w:hAnsi="Arial" w:cs="Arial"/>
          <w:sz w:val="24"/>
        </w:rPr>
        <w:t xml:space="preserve">outcome </w:t>
      </w:r>
      <w:r w:rsidR="00D20A50">
        <w:rPr>
          <w:rFonts w:ascii="Arial" w:hAnsi="Arial" w:cs="Arial"/>
          <w:sz w:val="24"/>
        </w:rPr>
        <w:t xml:space="preserve">of the trial in due course. </w:t>
      </w:r>
      <w:r w:rsidR="005F4500">
        <w:rPr>
          <w:rFonts w:ascii="Arial" w:hAnsi="Arial" w:cs="Arial"/>
          <w:sz w:val="24"/>
          <w:szCs w:val="24"/>
        </w:rPr>
        <w:t>T</w:t>
      </w:r>
      <w:r w:rsidR="00165017" w:rsidRPr="00DC1AA6">
        <w:rPr>
          <w:rFonts w:ascii="Arial" w:hAnsi="Arial" w:cs="Arial"/>
          <w:sz w:val="24"/>
          <w:szCs w:val="24"/>
        </w:rPr>
        <w:t>he applicant</w:t>
      </w:r>
      <w:r w:rsidR="005F4500">
        <w:rPr>
          <w:rFonts w:ascii="Arial" w:hAnsi="Arial" w:cs="Arial"/>
          <w:sz w:val="24"/>
          <w:szCs w:val="24"/>
        </w:rPr>
        <w:t>,</w:t>
      </w:r>
      <w:r w:rsidR="005A74B3">
        <w:rPr>
          <w:rFonts w:ascii="Arial" w:hAnsi="Arial" w:cs="Arial"/>
          <w:sz w:val="24"/>
          <w:szCs w:val="24"/>
        </w:rPr>
        <w:t xml:space="preserve"> Hanekom Plant &amp; Civils CC</w:t>
      </w:r>
      <w:r w:rsidR="006D2BC9">
        <w:rPr>
          <w:rFonts w:ascii="Arial" w:hAnsi="Arial" w:cs="Arial"/>
          <w:sz w:val="24"/>
          <w:szCs w:val="24"/>
        </w:rPr>
        <w:t xml:space="preserve"> (</w:t>
      </w:r>
      <w:r w:rsidR="004740CB">
        <w:rPr>
          <w:rFonts w:ascii="Arial" w:hAnsi="Arial" w:cs="Arial"/>
          <w:sz w:val="24"/>
          <w:szCs w:val="24"/>
        </w:rPr>
        <w:t>HPC</w:t>
      </w:r>
      <w:r w:rsidR="006D2BC9">
        <w:rPr>
          <w:rFonts w:ascii="Arial" w:hAnsi="Arial" w:cs="Arial"/>
          <w:sz w:val="24"/>
          <w:szCs w:val="24"/>
        </w:rPr>
        <w:t>)</w:t>
      </w:r>
      <w:r w:rsidR="005A74B3">
        <w:rPr>
          <w:rFonts w:ascii="Arial" w:hAnsi="Arial" w:cs="Arial"/>
          <w:sz w:val="24"/>
          <w:szCs w:val="24"/>
        </w:rPr>
        <w:t xml:space="preserve">, </w:t>
      </w:r>
      <w:r w:rsidR="00A74D31">
        <w:rPr>
          <w:rFonts w:ascii="Arial" w:hAnsi="Arial" w:cs="Arial"/>
          <w:sz w:val="24"/>
          <w:szCs w:val="24"/>
        </w:rPr>
        <w:t xml:space="preserve">sought </w:t>
      </w:r>
      <w:r w:rsidR="007970AA">
        <w:rPr>
          <w:rFonts w:ascii="Arial" w:hAnsi="Arial" w:cs="Arial"/>
          <w:sz w:val="24"/>
          <w:szCs w:val="24"/>
        </w:rPr>
        <w:t xml:space="preserve">a rule nisi calling upon </w:t>
      </w:r>
      <w:r w:rsidR="007D77C1">
        <w:rPr>
          <w:rFonts w:ascii="Arial" w:hAnsi="Arial" w:cs="Arial"/>
          <w:sz w:val="24"/>
          <w:szCs w:val="24"/>
        </w:rPr>
        <w:t>Kopaneng Construction &amp; Civils (Kopaneng), Ms Ezra Bridgitta Mouers Selborne (</w:t>
      </w:r>
      <w:r w:rsidR="009B08C4">
        <w:rPr>
          <w:rFonts w:ascii="Arial" w:hAnsi="Arial" w:cs="Arial"/>
          <w:sz w:val="24"/>
          <w:szCs w:val="24"/>
        </w:rPr>
        <w:t xml:space="preserve">Ms </w:t>
      </w:r>
      <w:r w:rsidR="007D77C1">
        <w:rPr>
          <w:rFonts w:ascii="Arial" w:hAnsi="Arial" w:cs="Arial"/>
          <w:sz w:val="24"/>
          <w:szCs w:val="24"/>
        </w:rPr>
        <w:t>Selborne),</w:t>
      </w:r>
      <w:r w:rsidR="007D77C1" w:rsidRPr="007D77C1">
        <w:rPr>
          <w:rFonts w:ascii="Arial" w:hAnsi="Arial" w:cs="Arial"/>
          <w:sz w:val="24"/>
          <w:szCs w:val="24"/>
        </w:rPr>
        <w:t xml:space="preserve"> </w:t>
      </w:r>
      <w:r w:rsidR="007D77C1">
        <w:rPr>
          <w:rFonts w:ascii="Arial" w:hAnsi="Arial" w:cs="Arial"/>
          <w:sz w:val="24"/>
          <w:szCs w:val="24"/>
        </w:rPr>
        <w:t>The GAP Infrastructure Corporation (Pty) Ltd</w:t>
      </w:r>
      <w:r w:rsidR="00E8710F">
        <w:rPr>
          <w:rFonts w:ascii="Arial" w:hAnsi="Arial" w:cs="Arial"/>
          <w:sz w:val="24"/>
          <w:szCs w:val="24"/>
        </w:rPr>
        <w:t xml:space="preserve"> (</w:t>
      </w:r>
      <w:r w:rsidR="00284C0E">
        <w:rPr>
          <w:rFonts w:ascii="Arial" w:hAnsi="Arial" w:cs="Arial"/>
          <w:sz w:val="24"/>
          <w:szCs w:val="24"/>
        </w:rPr>
        <w:t>GIC</w:t>
      </w:r>
      <w:r w:rsidR="00E8710F">
        <w:rPr>
          <w:rFonts w:ascii="Arial" w:hAnsi="Arial" w:cs="Arial"/>
          <w:sz w:val="24"/>
          <w:szCs w:val="24"/>
        </w:rPr>
        <w:t>)</w:t>
      </w:r>
      <w:r w:rsidR="007D77C1">
        <w:rPr>
          <w:rFonts w:ascii="Arial" w:hAnsi="Arial" w:cs="Arial"/>
          <w:sz w:val="24"/>
          <w:szCs w:val="24"/>
        </w:rPr>
        <w:t xml:space="preserve">, </w:t>
      </w:r>
      <w:r w:rsidR="009B08C4">
        <w:rPr>
          <w:rFonts w:ascii="Arial" w:hAnsi="Arial" w:cs="Arial"/>
          <w:sz w:val="24"/>
          <w:szCs w:val="24"/>
        </w:rPr>
        <w:t xml:space="preserve">               </w:t>
      </w:r>
      <w:r w:rsidR="007D77C1">
        <w:rPr>
          <w:rFonts w:ascii="Arial" w:hAnsi="Arial" w:cs="Arial"/>
          <w:sz w:val="24"/>
          <w:szCs w:val="24"/>
        </w:rPr>
        <w:t xml:space="preserve">Mr Pieter </w:t>
      </w:r>
      <w:r w:rsidR="007D77C1" w:rsidRPr="00B21993">
        <w:rPr>
          <w:rFonts w:ascii="Arial" w:hAnsi="Arial" w:cs="Arial"/>
          <w:sz w:val="24"/>
          <w:szCs w:val="24"/>
        </w:rPr>
        <w:t>Steyn</w:t>
      </w:r>
      <w:r w:rsidR="007D77C1">
        <w:rPr>
          <w:rFonts w:ascii="Arial" w:hAnsi="Arial" w:cs="Arial"/>
          <w:sz w:val="24"/>
          <w:szCs w:val="24"/>
        </w:rPr>
        <w:t xml:space="preserve"> Lange N.O, Mr Albertus Jacobus Hanekom N.O, and Ms Isabel Hanekom N.O</w:t>
      </w:r>
      <w:r w:rsidR="00E8710F">
        <w:rPr>
          <w:rFonts w:ascii="Arial" w:hAnsi="Arial" w:cs="Arial"/>
          <w:sz w:val="24"/>
          <w:szCs w:val="24"/>
        </w:rPr>
        <w:t xml:space="preserve"> (the first to </w:t>
      </w:r>
      <w:r w:rsidR="007970AA">
        <w:rPr>
          <w:rFonts w:ascii="Arial" w:hAnsi="Arial" w:cs="Arial"/>
          <w:sz w:val="24"/>
          <w:szCs w:val="24"/>
        </w:rPr>
        <w:t>the six</w:t>
      </w:r>
      <w:r w:rsidR="00E8710F">
        <w:rPr>
          <w:rFonts w:ascii="Arial" w:hAnsi="Arial" w:cs="Arial"/>
          <w:sz w:val="24"/>
          <w:szCs w:val="24"/>
        </w:rPr>
        <w:t>th</w:t>
      </w:r>
      <w:r w:rsidR="007970AA">
        <w:rPr>
          <w:rFonts w:ascii="Arial" w:hAnsi="Arial" w:cs="Arial"/>
          <w:sz w:val="24"/>
          <w:szCs w:val="24"/>
        </w:rPr>
        <w:t xml:space="preserve"> respondents</w:t>
      </w:r>
      <w:r w:rsidR="00E8710F">
        <w:rPr>
          <w:rFonts w:ascii="Arial" w:hAnsi="Arial" w:cs="Arial"/>
          <w:sz w:val="24"/>
          <w:szCs w:val="24"/>
        </w:rPr>
        <w:t>)</w:t>
      </w:r>
      <w:r w:rsidR="007970AA">
        <w:rPr>
          <w:rFonts w:ascii="Arial" w:hAnsi="Arial" w:cs="Arial"/>
          <w:sz w:val="24"/>
          <w:szCs w:val="24"/>
        </w:rPr>
        <w:t xml:space="preserve"> to show cause on the return date why a final order</w:t>
      </w:r>
      <w:r w:rsidR="005A6B67">
        <w:rPr>
          <w:rFonts w:ascii="Arial" w:hAnsi="Arial" w:cs="Arial"/>
          <w:sz w:val="24"/>
          <w:szCs w:val="24"/>
        </w:rPr>
        <w:t xml:space="preserve">, substantially </w:t>
      </w:r>
      <w:r w:rsidR="00686A49">
        <w:rPr>
          <w:rFonts w:ascii="Arial" w:hAnsi="Arial" w:cs="Arial"/>
          <w:sz w:val="24"/>
          <w:szCs w:val="24"/>
        </w:rPr>
        <w:t xml:space="preserve">in </w:t>
      </w:r>
      <w:r w:rsidR="005A6B67">
        <w:rPr>
          <w:rFonts w:ascii="Arial" w:hAnsi="Arial" w:cs="Arial"/>
          <w:sz w:val="24"/>
          <w:szCs w:val="24"/>
        </w:rPr>
        <w:t xml:space="preserve">the following terms, </w:t>
      </w:r>
      <w:r w:rsidR="007970AA">
        <w:rPr>
          <w:rFonts w:ascii="Arial" w:hAnsi="Arial" w:cs="Arial"/>
          <w:sz w:val="24"/>
          <w:szCs w:val="24"/>
        </w:rPr>
        <w:t xml:space="preserve">ought not to issue. </w:t>
      </w:r>
      <w:r w:rsidR="00E8710F">
        <w:rPr>
          <w:rFonts w:ascii="Arial" w:hAnsi="Arial" w:cs="Arial"/>
          <w:sz w:val="24"/>
          <w:szCs w:val="24"/>
        </w:rPr>
        <w:t xml:space="preserve"> </w:t>
      </w:r>
    </w:p>
    <w:p w14:paraId="1D3F9D4A" w14:textId="77777777" w:rsidR="00A74D31" w:rsidRDefault="00A74D31" w:rsidP="00A74D31">
      <w:pPr>
        <w:adjustRightInd w:val="0"/>
        <w:snapToGrid w:val="0"/>
        <w:spacing w:after="0" w:line="360" w:lineRule="auto"/>
        <w:ind w:left="1440" w:right="-38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A6B67">
        <w:rPr>
          <w:rFonts w:ascii="Arial" w:hAnsi="Arial" w:cs="Arial"/>
          <w:sz w:val="24"/>
          <w:szCs w:val="24"/>
        </w:rPr>
        <w:t>T</w:t>
      </w:r>
      <w:r w:rsidR="007970AA">
        <w:rPr>
          <w:rFonts w:ascii="Arial" w:hAnsi="Arial" w:cs="Arial"/>
          <w:sz w:val="24"/>
          <w:szCs w:val="24"/>
        </w:rPr>
        <w:t xml:space="preserve">hat </w:t>
      </w:r>
      <w:r w:rsidR="005A74B3">
        <w:rPr>
          <w:rFonts w:ascii="Arial" w:hAnsi="Arial" w:cs="Arial"/>
          <w:sz w:val="24"/>
          <w:szCs w:val="24"/>
        </w:rPr>
        <w:t xml:space="preserve">the third respondent, </w:t>
      </w:r>
      <w:r w:rsidR="00284C0E">
        <w:rPr>
          <w:rFonts w:ascii="Arial" w:hAnsi="Arial" w:cs="Arial"/>
          <w:sz w:val="24"/>
          <w:szCs w:val="24"/>
        </w:rPr>
        <w:t>GIC</w:t>
      </w:r>
      <w:r w:rsidR="00E8710F">
        <w:rPr>
          <w:rFonts w:ascii="Arial" w:hAnsi="Arial" w:cs="Arial"/>
          <w:sz w:val="24"/>
          <w:szCs w:val="24"/>
        </w:rPr>
        <w:t>,</w:t>
      </w:r>
      <w:r w:rsidR="005A74B3">
        <w:rPr>
          <w:rFonts w:ascii="Arial" w:hAnsi="Arial" w:cs="Arial"/>
          <w:sz w:val="24"/>
          <w:szCs w:val="24"/>
        </w:rPr>
        <w:t xml:space="preserve"> be interdicted</w:t>
      </w:r>
      <w:r w:rsidR="006D2BC9">
        <w:rPr>
          <w:rFonts w:ascii="Arial" w:hAnsi="Arial" w:cs="Arial"/>
          <w:sz w:val="24"/>
          <w:szCs w:val="24"/>
        </w:rPr>
        <w:t xml:space="preserve"> from paying out any amounts due to the first respondent, </w:t>
      </w:r>
      <w:r w:rsidR="007D77C1">
        <w:rPr>
          <w:rFonts w:ascii="Arial" w:hAnsi="Arial" w:cs="Arial"/>
          <w:sz w:val="24"/>
          <w:szCs w:val="24"/>
        </w:rPr>
        <w:t xml:space="preserve">Kopaneng </w:t>
      </w:r>
      <w:r w:rsidR="006D2BC9">
        <w:rPr>
          <w:rFonts w:ascii="Arial" w:hAnsi="Arial" w:cs="Arial"/>
          <w:sz w:val="24"/>
          <w:szCs w:val="24"/>
        </w:rPr>
        <w:t xml:space="preserve">and or the Second respondent, </w:t>
      </w:r>
      <w:r w:rsidR="007D77C1">
        <w:rPr>
          <w:rFonts w:ascii="Arial" w:hAnsi="Arial" w:cs="Arial"/>
          <w:sz w:val="24"/>
          <w:szCs w:val="24"/>
        </w:rPr>
        <w:t>Ms Selborne,</w:t>
      </w:r>
      <w:r w:rsidR="006D2BC9">
        <w:rPr>
          <w:rFonts w:ascii="Arial" w:hAnsi="Arial" w:cs="Arial"/>
          <w:sz w:val="24"/>
          <w:szCs w:val="24"/>
        </w:rPr>
        <w:t xml:space="preserve"> in respect of a certain Opwag Project pending an agreement between </w:t>
      </w:r>
      <w:r w:rsidR="004740CB">
        <w:rPr>
          <w:rFonts w:ascii="Arial" w:hAnsi="Arial" w:cs="Arial"/>
          <w:sz w:val="24"/>
          <w:szCs w:val="24"/>
        </w:rPr>
        <w:t>HPC</w:t>
      </w:r>
      <w:r w:rsidR="006D2BC9">
        <w:rPr>
          <w:rFonts w:ascii="Arial" w:hAnsi="Arial" w:cs="Arial"/>
          <w:sz w:val="24"/>
          <w:szCs w:val="24"/>
        </w:rPr>
        <w:t xml:space="preserve"> and </w:t>
      </w:r>
      <w:r w:rsidR="005A74B3">
        <w:rPr>
          <w:rFonts w:ascii="Arial" w:hAnsi="Arial" w:cs="Arial"/>
          <w:sz w:val="24"/>
          <w:szCs w:val="24"/>
        </w:rPr>
        <w:t>Kopaneng</w:t>
      </w:r>
      <w:r w:rsidR="007970AA">
        <w:rPr>
          <w:rFonts w:ascii="Arial" w:hAnsi="Arial" w:cs="Arial"/>
          <w:sz w:val="24"/>
          <w:szCs w:val="24"/>
        </w:rPr>
        <w:t xml:space="preserve"> on the payment thereof to </w:t>
      </w:r>
      <w:r w:rsidR="004740CB">
        <w:rPr>
          <w:rFonts w:ascii="Arial" w:hAnsi="Arial" w:cs="Arial"/>
          <w:sz w:val="24"/>
          <w:szCs w:val="24"/>
        </w:rPr>
        <w:t>HPC</w:t>
      </w:r>
      <w:r w:rsidR="007970AA">
        <w:rPr>
          <w:rFonts w:ascii="Arial" w:hAnsi="Arial" w:cs="Arial"/>
          <w:sz w:val="24"/>
          <w:szCs w:val="24"/>
        </w:rPr>
        <w:t xml:space="preserve"> or Kopaneng or pending the </w:t>
      </w:r>
      <w:r w:rsidR="005A6B67">
        <w:rPr>
          <w:rFonts w:ascii="Arial" w:hAnsi="Arial" w:cs="Arial"/>
          <w:sz w:val="24"/>
          <w:szCs w:val="24"/>
        </w:rPr>
        <w:t xml:space="preserve">outcome </w:t>
      </w:r>
      <w:r w:rsidR="007970AA">
        <w:rPr>
          <w:rFonts w:ascii="Arial" w:hAnsi="Arial" w:cs="Arial"/>
          <w:sz w:val="24"/>
          <w:szCs w:val="24"/>
        </w:rPr>
        <w:t xml:space="preserve">of the action to be instituted by </w:t>
      </w:r>
      <w:r w:rsidR="004740CB">
        <w:rPr>
          <w:rFonts w:ascii="Arial" w:hAnsi="Arial" w:cs="Arial"/>
          <w:sz w:val="24"/>
          <w:szCs w:val="24"/>
        </w:rPr>
        <w:t>HPC</w:t>
      </w:r>
      <w:r w:rsidR="005F7DAB">
        <w:rPr>
          <w:rFonts w:ascii="Arial" w:hAnsi="Arial" w:cs="Arial"/>
          <w:sz w:val="24"/>
          <w:szCs w:val="24"/>
        </w:rPr>
        <w:t xml:space="preserve"> </w:t>
      </w:r>
      <w:r w:rsidR="007970AA">
        <w:rPr>
          <w:rFonts w:ascii="Arial" w:hAnsi="Arial" w:cs="Arial"/>
          <w:sz w:val="24"/>
          <w:szCs w:val="24"/>
        </w:rPr>
        <w:t>against Kopaneng within 30 days from the date of confirmation of the rule</w:t>
      </w:r>
      <w:r w:rsidR="003C52A4">
        <w:rPr>
          <w:rFonts w:ascii="Arial" w:hAnsi="Arial" w:cs="Arial"/>
          <w:sz w:val="24"/>
          <w:szCs w:val="24"/>
        </w:rPr>
        <w:t xml:space="preserve"> nisi.</w:t>
      </w:r>
    </w:p>
    <w:p w14:paraId="2C81E9FD" w14:textId="77777777" w:rsidR="00A74D31" w:rsidRDefault="00E8710F" w:rsidP="00A74D31">
      <w:pPr>
        <w:adjustRightInd w:val="0"/>
        <w:snapToGrid w:val="0"/>
        <w:spacing w:after="0" w:line="360" w:lineRule="auto"/>
        <w:ind w:left="1440" w:right="-380" w:hanging="720"/>
        <w:jc w:val="both"/>
        <w:rPr>
          <w:rFonts w:ascii="Arial" w:hAnsi="Arial" w:cs="Arial"/>
          <w:sz w:val="24"/>
          <w:szCs w:val="24"/>
        </w:rPr>
      </w:pPr>
      <w:r>
        <w:rPr>
          <w:rFonts w:ascii="Arial" w:hAnsi="Arial" w:cs="Arial"/>
          <w:sz w:val="24"/>
          <w:szCs w:val="24"/>
        </w:rPr>
        <w:t xml:space="preserve"> </w:t>
      </w:r>
    </w:p>
    <w:p w14:paraId="0EFA5B0A" w14:textId="77777777" w:rsidR="00C229EC" w:rsidRDefault="00A74D31" w:rsidP="00A74D31">
      <w:pPr>
        <w:adjustRightInd w:val="0"/>
        <w:snapToGrid w:val="0"/>
        <w:spacing w:after="0" w:line="360" w:lineRule="auto"/>
        <w:ind w:left="1440" w:right="-38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A6B67">
        <w:rPr>
          <w:rFonts w:ascii="Arial" w:hAnsi="Arial" w:cs="Arial"/>
          <w:sz w:val="24"/>
          <w:szCs w:val="24"/>
        </w:rPr>
        <w:t>T</w:t>
      </w:r>
      <w:r w:rsidR="00E8710F">
        <w:rPr>
          <w:rFonts w:ascii="Arial" w:hAnsi="Arial" w:cs="Arial"/>
          <w:sz w:val="24"/>
          <w:szCs w:val="24"/>
        </w:rPr>
        <w:t xml:space="preserve">hat </w:t>
      </w:r>
      <w:r w:rsidR="00284C0E">
        <w:rPr>
          <w:rFonts w:ascii="Arial" w:hAnsi="Arial" w:cs="Arial"/>
          <w:sz w:val="24"/>
          <w:szCs w:val="24"/>
        </w:rPr>
        <w:t>GIC</w:t>
      </w:r>
      <w:r w:rsidR="00E8710F">
        <w:rPr>
          <w:rFonts w:ascii="Arial" w:hAnsi="Arial" w:cs="Arial"/>
          <w:sz w:val="24"/>
          <w:szCs w:val="24"/>
        </w:rPr>
        <w:t xml:space="preserve">  be ordered to pay the </w:t>
      </w:r>
      <w:r w:rsidR="004749CD">
        <w:rPr>
          <w:rFonts w:ascii="Arial" w:hAnsi="Arial" w:cs="Arial"/>
          <w:sz w:val="24"/>
          <w:szCs w:val="24"/>
        </w:rPr>
        <w:t xml:space="preserve">aforesaid </w:t>
      </w:r>
      <w:r w:rsidR="007C76E1">
        <w:rPr>
          <w:rFonts w:ascii="Arial" w:hAnsi="Arial" w:cs="Arial"/>
          <w:sz w:val="24"/>
          <w:szCs w:val="24"/>
        </w:rPr>
        <w:t xml:space="preserve">amounts, </w:t>
      </w:r>
      <w:r w:rsidR="004749CD">
        <w:rPr>
          <w:rFonts w:ascii="Arial" w:hAnsi="Arial" w:cs="Arial"/>
          <w:sz w:val="24"/>
          <w:szCs w:val="24"/>
        </w:rPr>
        <w:t xml:space="preserve">when </w:t>
      </w:r>
      <w:r w:rsidR="007C76E1">
        <w:rPr>
          <w:rFonts w:ascii="Arial" w:hAnsi="Arial" w:cs="Arial"/>
          <w:sz w:val="24"/>
          <w:szCs w:val="24"/>
        </w:rPr>
        <w:t xml:space="preserve">they became </w:t>
      </w:r>
      <w:r w:rsidR="004749CD">
        <w:rPr>
          <w:rFonts w:ascii="Arial" w:hAnsi="Arial" w:cs="Arial"/>
          <w:sz w:val="24"/>
          <w:szCs w:val="24"/>
        </w:rPr>
        <w:t xml:space="preserve">payable </w:t>
      </w:r>
      <w:r w:rsidR="00E8710F">
        <w:rPr>
          <w:rFonts w:ascii="Arial" w:hAnsi="Arial" w:cs="Arial"/>
          <w:sz w:val="24"/>
          <w:szCs w:val="24"/>
        </w:rPr>
        <w:t>to Kopaneng</w:t>
      </w:r>
      <w:r w:rsidR="007C76E1">
        <w:rPr>
          <w:rFonts w:ascii="Arial" w:hAnsi="Arial" w:cs="Arial"/>
          <w:sz w:val="24"/>
          <w:szCs w:val="24"/>
        </w:rPr>
        <w:t>,</w:t>
      </w:r>
      <w:r w:rsidR="00E8710F">
        <w:rPr>
          <w:rFonts w:ascii="Arial" w:hAnsi="Arial" w:cs="Arial"/>
          <w:sz w:val="24"/>
          <w:szCs w:val="24"/>
        </w:rPr>
        <w:t xml:space="preserve"> into </w:t>
      </w:r>
      <w:r w:rsidR="006C6CB1">
        <w:rPr>
          <w:rFonts w:ascii="Arial" w:hAnsi="Arial" w:cs="Arial"/>
          <w:sz w:val="24"/>
          <w:szCs w:val="24"/>
        </w:rPr>
        <w:t xml:space="preserve">HPC’s attorneys </w:t>
      </w:r>
      <w:r w:rsidR="00E8710F">
        <w:rPr>
          <w:rFonts w:ascii="Arial" w:hAnsi="Arial" w:cs="Arial"/>
          <w:sz w:val="24"/>
          <w:szCs w:val="24"/>
        </w:rPr>
        <w:t xml:space="preserve">trust account pending the agreement between </w:t>
      </w:r>
      <w:r w:rsidR="004740CB">
        <w:rPr>
          <w:rFonts w:ascii="Arial" w:hAnsi="Arial" w:cs="Arial"/>
          <w:sz w:val="24"/>
          <w:szCs w:val="24"/>
        </w:rPr>
        <w:t>HPC</w:t>
      </w:r>
      <w:r w:rsidR="005F7DAB">
        <w:rPr>
          <w:rFonts w:ascii="Arial" w:hAnsi="Arial" w:cs="Arial"/>
          <w:sz w:val="24"/>
          <w:szCs w:val="24"/>
        </w:rPr>
        <w:t xml:space="preserve"> </w:t>
      </w:r>
      <w:r w:rsidR="00E8710F">
        <w:rPr>
          <w:rFonts w:ascii="Arial" w:hAnsi="Arial" w:cs="Arial"/>
          <w:sz w:val="24"/>
          <w:szCs w:val="24"/>
        </w:rPr>
        <w:t xml:space="preserve">and Kopaneng on the payment thereof to </w:t>
      </w:r>
      <w:r w:rsidR="004749CD">
        <w:rPr>
          <w:rFonts w:ascii="Arial" w:hAnsi="Arial" w:cs="Arial"/>
          <w:sz w:val="24"/>
          <w:szCs w:val="24"/>
        </w:rPr>
        <w:t xml:space="preserve">either </w:t>
      </w:r>
      <w:r w:rsidR="004740CB">
        <w:rPr>
          <w:rFonts w:ascii="Arial" w:hAnsi="Arial" w:cs="Arial"/>
          <w:sz w:val="24"/>
          <w:szCs w:val="24"/>
        </w:rPr>
        <w:t>HPC</w:t>
      </w:r>
      <w:r w:rsidR="007C76E1">
        <w:rPr>
          <w:rFonts w:ascii="Arial" w:hAnsi="Arial" w:cs="Arial"/>
          <w:sz w:val="24"/>
          <w:szCs w:val="24"/>
        </w:rPr>
        <w:t xml:space="preserve"> </w:t>
      </w:r>
      <w:r w:rsidR="00E8710F">
        <w:rPr>
          <w:rFonts w:ascii="Arial" w:hAnsi="Arial" w:cs="Arial"/>
          <w:sz w:val="24"/>
          <w:szCs w:val="24"/>
        </w:rPr>
        <w:t xml:space="preserve">or Kopaneng or pending the </w:t>
      </w:r>
      <w:r w:rsidR="00214AAD">
        <w:rPr>
          <w:rFonts w:ascii="Arial" w:hAnsi="Arial" w:cs="Arial"/>
          <w:sz w:val="24"/>
          <w:szCs w:val="24"/>
        </w:rPr>
        <w:t>outcome of the action</w:t>
      </w:r>
      <w:r w:rsidR="00E12624">
        <w:rPr>
          <w:rFonts w:ascii="Arial" w:hAnsi="Arial" w:cs="Arial"/>
          <w:sz w:val="24"/>
          <w:szCs w:val="24"/>
        </w:rPr>
        <w:t>.</w:t>
      </w:r>
      <w:r w:rsidR="00E8710F">
        <w:rPr>
          <w:rFonts w:ascii="Arial" w:hAnsi="Arial" w:cs="Arial"/>
          <w:sz w:val="24"/>
          <w:szCs w:val="24"/>
        </w:rPr>
        <w:t xml:space="preserve"> </w:t>
      </w:r>
    </w:p>
    <w:p w14:paraId="35835717" w14:textId="77777777" w:rsidR="00165017" w:rsidRDefault="00E8710F" w:rsidP="00A74D31">
      <w:pPr>
        <w:adjustRightInd w:val="0"/>
        <w:snapToGrid w:val="0"/>
        <w:spacing w:after="0" w:line="360" w:lineRule="auto"/>
        <w:ind w:left="1440" w:right="-380" w:hanging="720"/>
        <w:jc w:val="both"/>
        <w:rPr>
          <w:rFonts w:ascii="Arial" w:hAnsi="Arial" w:cs="Arial"/>
          <w:sz w:val="24"/>
          <w:szCs w:val="24"/>
        </w:rPr>
      </w:pPr>
      <w:r>
        <w:rPr>
          <w:rFonts w:ascii="Arial" w:hAnsi="Arial" w:cs="Arial"/>
          <w:sz w:val="24"/>
          <w:szCs w:val="24"/>
        </w:rPr>
        <w:t xml:space="preserve"> </w:t>
      </w:r>
      <w:r w:rsidR="007970AA">
        <w:rPr>
          <w:rFonts w:ascii="Arial" w:hAnsi="Arial" w:cs="Arial"/>
          <w:sz w:val="24"/>
          <w:szCs w:val="24"/>
        </w:rPr>
        <w:t xml:space="preserve"> </w:t>
      </w:r>
      <w:r w:rsidR="00165017" w:rsidRPr="00DC1AA6">
        <w:rPr>
          <w:rFonts w:ascii="Arial" w:hAnsi="Arial" w:cs="Arial"/>
          <w:sz w:val="24"/>
          <w:szCs w:val="24"/>
        </w:rPr>
        <w:t xml:space="preserve"> </w:t>
      </w:r>
    </w:p>
    <w:p w14:paraId="0AB0D9A3" w14:textId="77777777" w:rsidR="00C229EC" w:rsidRDefault="00C229EC" w:rsidP="008C18F4">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 xml:space="preserve"> </w:t>
      </w:r>
      <w:r w:rsidR="00507105">
        <w:rPr>
          <w:rFonts w:cs="Arial"/>
          <w:bCs/>
          <w:sz w:val="24"/>
          <w:szCs w:val="24"/>
          <w:lang w:val="en-ZA"/>
        </w:rPr>
        <w:t>[</w:t>
      </w:r>
      <w:r w:rsidR="001C42FC">
        <w:rPr>
          <w:rFonts w:cs="Arial"/>
          <w:bCs/>
          <w:sz w:val="24"/>
          <w:szCs w:val="24"/>
          <w:lang w:val="en-ZA"/>
        </w:rPr>
        <w:t>2</w:t>
      </w:r>
      <w:r w:rsidR="00507105">
        <w:rPr>
          <w:rFonts w:cs="Arial"/>
          <w:bCs/>
          <w:sz w:val="24"/>
          <w:szCs w:val="24"/>
          <w:lang w:val="en-ZA"/>
        </w:rPr>
        <w:t>]</w:t>
      </w:r>
      <w:r w:rsidR="00507105">
        <w:rPr>
          <w:rFonts w:cs="Arial"/>
          <w:bCs/>
          <w:sz w:val="24"/>
          <w:szCs w:val="24"/>
          <w:lang w:val="en-ZA"/>
        </w:rPr>
        <w:tab/>
      </w:r>
      <w:r w:rsidR="007C76E1">
        <w:rPr>
          <w:rFonts w:cs="Arial"/>
          <w:bCs/>
          <w:sz w:val="24"/>
          <w:szCs w:val="24"/>
          <w:lang w:val="en-ZA"/>
        </w:rPr>
        <w:t xml:space="preserve">On 10 November 2023, </w:t>
      </w:r>
      <w:r w:rsidR="00E12624">
        <w:rPr>
          <w:rFonts w:cs="Arial"/>
          <w:bCs/>
          <w:sz w:val="24"/>
          <w:szCs w:val="24"/>
          <w:lang w:val="en-ZA"/>
        </w:rPr>
        <w:t>the date of the hearing of the application</w:t>
      </w:r>
      <w:r w:rsidR="007C76E1">
        <w:rPr>
          <w:rFonts w:cs="Arial"/>
          <w:bCs/>
          <w:sz w:val="24"/>
          <w:szCs w:val="24"/>
          <w:lang w:val="en-ZA"/>
        </w:rPr>
        <w:t>,</w:t>
      </w:r>
      <w:r w:rsidR="00E12624">
        <w:rPr>
          <w:rFonts w:cs="Arial"/>
          <w:bCs/>
          <w:sz w:val="24"/>
          <w:szCs w:val="24"/>
          <w:lang w:val="en-ZA"/>
        </w:rPr>
        <w:t xml:space="preserve"> </w:t>
      </w:r>
      <w:r w:rsidR="004740CB">
        <w:rPr>
          <w:rFonts w:cs="Arial"/>
          <w:bCs/>
          <w:sz w:val="24"/>
          <w:szCs w:val="24"/>
          <w:lang w:val="en-ZA"/>
        </w:rPr>
        <w:t>HPC</w:t>
      </w:r>
      <w:r w:rsidR="00E12624">
        <w:rPr>
          <w:rFonts w:cs="Arial"/>
          <w:bCs/>
          <w:sz w:val="24"/>
          <w:szCs w:val="24"/>
          <w:lang w:val="en-ZA"/>
        </w:rPr>
        <w:t>, K</w:t>
      </w:r>
      <w:r w:rsidR="004749CD">
        <w:rPr>
          <w:rFonts w:cs="Arial"/>
          <w:bCs/>
          <w:sz w:val="24"/>
          <w:szCs w:val="24"/>
          <w:lang w:val="en-ZA"/>
        </w:rPr>
        <w:t>o</w:t>
      </w:r>
      <w:r w:rsidR="00E12624">
        <w:rPr>
          <w:rFonts w:cs="Arial"/>
          <w:bCs/>
          <w:sz w:val="24"/>
          <w:szCs w:val="24"/>
          <w:lang w:val="en-ZA"/>
        </w:rPr>
        <w:t xml:space="preserve">paneng and Ms Selborne handed up an order </w:t>
      </w:r>
      <w:r w:rsidR="004749CD">
        <w:rPr>
          <w:rFonts w:cs="Arial"/>
          <w:bCs/>
          <w:sz w:val="24"/>
          <w:szCs w:val="24"/>
          <w:lang w:val="en-ZA"/>
        </w:rPr>
        <w:t>by consent on terms identical to the relief sought in the Notice of Motion</w:t>
      </w:r>
      <w:r w:rsidR="00214AAD">
        <w:rPr>
          <w:rFonts w:cs="Arial"/>
          <w:bCs/>
          <w:sz w:val="24"/>
          <w:szCs w:val="24"/>
          <w:lang w:val="en-ZA"/>
        </w:rPr>
        <w:t xml:space="preserve"> which was made an order of this Court</w:t>
      </w:r>
      <w:r w:rsidR="004749CD">
        <w:rPr>
          <w:rFonts w:cs="Arial"/>
          <w:bCs/>
          <w:sz w:val="24"/>
          <w:szCs w:val="24"/>
          <w:lang w:val="en-ZA"/>
        </w:rPr>
        <w:t xml:space="preserve">. </w:t>
      </w:r>
      <w:r w:rsidR="007C76E1">
        <w:rPr>
          <w:rFonts w:cs="Arial"/>
          <w:bCs/>
          <w:sz w:val="24"/>
          <w:szCs w:val="24"/>
          <w:lang w:val="en-ZA"/>
        </w:rPr>
        <w:t xml:space="preserve">What remained to be considered was the question of wasted costs </w:t>
      </w:r>
      <w:r w:rsidR="000612A3">
        <w:rPr>
          <w:rFonts w:cs="Arial"/>
          <w:bCs/>
          <w:sz w:val="24"/>
          <w:szCs w:val="24"/>
          <w:lang w:val="en-ZA"/>
        </w:rPr>
        <w:t xml:space="preserve">occasioned by </w:t>
      </w:r>
      <w:r w:rsidR="00E60551">
        <w:rPr>
          <w:rFonts w:cs="Arial"/>
          <w:bCs/>
          <w:sz w:val="24"/>
          <w:szCs w:val="24"/>
          <w:lang w:val="en-ZA"/>
        </w:rPr>
        <w:t xml:space="preserve">the </w:t>
      </w:r>
      <w:r w:rsidR="000612A3">
        <w:rPr>
          <w:rFonts w:cs="Arial"/>
          <w:bCs/>
          <w:sz w:val="24"/>
          <w:szCs w:val="24"/>
          <w:lang w:val="en-ZA"/>
        </w:rPr>
        <w:t xml:space="preserve">postponement </w:t>
      </w:r>
      <w:r w:rsidR="007C76E1">
        <w:rPr>
          <w:rFonts w:cs="Arial"/>
          <w:bCs/>
          <w:sz w:val="24"/>
          <w:szCs w:val="24"/>
          <w:lang w:val="en-ZA"/>
        </w:rPr>
        <w:t>of 03 November 2023 and the costs of the application.</w:t>
      </w:r>
    </w:p>
    <w:p w14:paraId="3D99F23F" w14:textId="77777777" w:rsidR="00C229EC" w:rsidRDefault="00C229EC" w:rsidP="00C229EC">
      <w:pPr>
        <w:tabs>
          <w:tab w:val="left" w:pos="5670"/>
        </w:tabs>
        <w:adjustRightInd w:val="0"/>
        <w:snapToGrid w:val="0"/>
        <w:spacing w:after="0" w:line="360" w:lineRule="auto"/>
        <w:ind w:left="720" w:right="-380" w:hanging="720"/>
        <w:jc w:val="both"/>
        <w:rPr>
          <w:rFonts w:ascii="Arial" w:hAnsi="Arial" w:cs="Arial"/>
          <w:b/>
          <w:sz w:val="24"/>
        </w:rPr>
      </w:pPr>
      <w:r w:rsidRPr="000612A3">
        <w:rPr>
          <w:rFonts w:ascii="Arial" w:hAnsi="Arial" w:cs="Arial"/>
          <w:b/>
          <w:sz w:val="24"/>
        </w:rPr>
        <w:t>HPC’s case</w:t>
      </w:r>
    </w:p>
    <w:p w14:paraId="55EF1EEC" w14:textId="77777777" w:rsidR="000612A3" w:rsidRPr="000612A3" w:rsidRDefault="000612A3" w:rsidP="00C229EC">
      <w:pPr>
        <w:tabs>
          <w:tab w:val="left" w:pos="5670"/>
        </w:tabs>
        <w:adjustRightInd w:val="0"/>
        <w:snapToGrid w:val="0"/>
        <w:spacing w:after="0" w:line="360" w:lineRule="auto"/>
        <w:ind w:left="720" w:right="-380" w:hanging="720"/>
        <w:jc w:val="both"/>
        <w:rPr>
          <w:rFonts w:ascii="Arial" w:hAnsi="Arial" w:cs="Arial"/>
          <w:b/>
          <w:sz w:val="24"/>
        </w:rPr>
      </w:pPr>
    </w:p>
    <w:p w14:paraId="51821AE0" w14:textId="77777777" w:rsidR="005F7DAB" w:rsidRDefault="006C4F57" w:rsidP="008C18F4">
      <w:pPr>
        <w:pStyle w:val="XClause1Head"/>
        <w:numPr>
          <w:ilvl w:val="0"/>
          <w:numId w:val="0"/>
        </w:numPr>
        <w:spacing w:line="360" w:lineRule="auto"/>
        <w:ind w:left="720" w:hanging="720"/>
        <w:rPr>
          <w:rFonts w:cs="Arial"/>
          <w:bCs/>
          <w:sz w:val="24"/>
          <w:szCs w:val="24"/>
          <w:lang w:val="en-ZA"/>
        </w:rPr>
      </w:pPr>
      <w:bookmarkStart w:id="1" w:name="_Hlk159881863"/>
      <w:r>
        <w:rPr>
          <w:rFonts w:cs="Arial"/>
          <w:bCs/>
          <w:sz w:val="24"/>
          <w:szCs w:val="24"/>
          <w:lang w:val="en-ZA"/>
        </w:rPr>
        <w:t>[3]</w:t>
      </w:r>
      <w:r>
        <w:rPr>
          <w:rFonts w:cs="Arial"/>
          <w:bCs/>
          <w:sz w:val="24"/>
          <w:szCs w:val="24"/>
          <w:lang w:val="en-ZA"/>
        </w:rPr>
        <w:tab/>
      </w:r>
      <w:r w:rsidR="004740CB">
        <w:rPr>
          <w:rFonts w:cs="Arial"/>
          <w:bCs/>
          <w:sz w:val="24"/>
          <w:szCs w:val="24"/>
          <w:lang w:val="en-ZA"/>
        </w:rPr>
        <w:t>HPC</w:t>
      </w:r>
      <w:r w:rsidR="005F7DAB">
        <w:rPr>
          <w:rFonts w:cs="Arial"/>
          <w:bCs/>
          <w:sz w:val="24"/>
          <w:szCs w:val="24"/>
          <w:lang w:val="en-ZA"/>
        </w:rPr>
        <w:t xml:space="preserve"> </w:t>
      </w:r>
      <w:r w:rsidR="00D04E1A">
        <w:rPr>
          <w:rFonts w:cs="Arial"/>
          <w:bCs/>
          <w:sz w:val="24"/>
          <w:szCs w:val="24"/>
          <w:lang w:val="en-ZA"/>
        </w:rPr>
        <w:t xml:space="preserve">owns numerous earthmoving machines and plant Hire equipment. According to </w:t>
      </w:r>
      <w:r w:rsidR="004740CB">
        <w:rPr>
          <w:rFonts w:cs="Arial"/>
          <w:bCs/>
          <w:sz w:val="24"/>
          <w:szCs w:val="24"/>
          <w:lang w:val="en-ZA"/>
        </w:rPr>
        <w:t>HPC</w:t>
      </w:r>
      <w:r w:rsidR="005F7DAB">
        <w:rPr>
          <w:rFonts w:cs="Arial"/>
          <w:bCs/>
          <w:sz w:val="24"/>
          <w:szCs w:val="24"/>
          <w:lang w:val="en-ZA"/>
        </w:rPr>
        <w:t xml:space="preserve">, </w:t>
      </w:r>
      <w:r w:rsidR="00D04E1A">
        <w:rPr>
          <w:rFonts w:cs="Arial"/>
          <w:bCs/>
          <w:sz w:val="24"/>
          <w:szCs w:val="24"/>
          <w:lang w:val="en-ZA"/>
        </w:rPr>
        <w:t xml:space="preserve">Kopaneng was registered in 2020 </w:t>
      </w:r>
      <w:r w:rsidR="00214AAD">
        <w:rPr>
          <w:rFonts w:cs="Arial"/>
          <w:bCs/>
          <w:sz w:val="24"/>
          <w:szCs w:val="24"/>
          <w:lang w:val="en-ZA"/>
        </w:rPr>
        <w:t xml:space="preserve">so as </w:t>
      </w:r>
      <w:r w:rsidR="00D04E1A">
        <w:rPr>
          <w:rFonts w:cs="Arial"/>
          <w:bCs/>
          <w:sz w:val="24"/>
          <w:szCs w:val="24"/>
          <w:lang w:val="en-ZA"/>
        </w:rPr>
        <w:t xml:space="preserve">to increase demand for the rental </w:t>
      </w:r>
      <w:r w:rsidR="00531476">
        <w:rPr>
          <w:rFonts w:cs="Arial"/>
          <w:bCs/>
          <w:sz w:val="24"/>
          <w:szCs w:val="24"/>
          <w:lang w:val="en-ZA"/>
        </w:rPr>
        <w:t xml:space="preserve">of </w:t>
      </w:r>
      <w:r w:rsidR="00D04E1A">
        <w:rPr>
          <w:rFonts w:cs="Arial"/>
          <w:bCs/>
          <w:sz w:val="24"/>
          <w:szCs w:val="24"/>
          <w:lang w:val="en-ZA"/>
        </w:rPr>
        <w:t xml:space="preserve">the said equipment.  Ms </w:t>
      </w:r>
      <w:r w:rsidR="0057743B">
        <w:rPr>
          <w:rFonts w:cs="Arial"/>
          <w:bCs/>
          <w:sz w:val="24"/>
          <w:szCs w:val="24"/>
          <w:lang w:val="en-ZA"/>
        </w:rPr>
        <w:t>Selborne</w:t>
      </w:r>
      <w:r w:rsidR="00D04E1A">
        <w:rPr>
          <w:rFonts w:cs="Arial"/>
          <w:bCs/>
          <w:sz w:val="24"/>
          <w:szCs w:val="24"/>
          <w:lang w:val="en-ZA"/>
        </w:rPr>
        <w:t xml:space="preserve"> </w:t>
      </w:r>
      <w:r w:rsidR="00934507">
        <w:rPr>
          <w:rFonts w:cs="Arial"/>
          <w:bCs/>
          <w:sz w:val="24"/>
          <w:szCs w:val="24"/>
          <w:lang w:val="en-ZA"/>
        </w:rPr>
        <w:t xml:space="preserve">and </w:t>
      </w:r>
      <w:r w:rsidR="00D2304D">
        <w:rPr>
          <w:rFonts w:cs="Arial"/>
          <w:bCs/>
          <w:sz w:val="24"/>
          <w:szCs w:val="24"/>
          <w:lang w:val="en-ZA"/>
        </w:rPr>
        <w:t xml:space="preserve">a certain </w:t>
      </w:r>
      <w:r w:rsidR="00934507">
        <w:rPr>
          <w:rFonts w:cs="Arial"/>
          <w:bCs/>
          <w:sz w:val="24"/>
          <w:szCs w:val="24"/>
          <w:lang w:val="en-ZA"/>
        </w:rPr>
        <w:t xml:space="preserve">Mr Hansie Hanekom were the directors of Kopaneng </w:t>
      </w:r>
      <w:r w:rsidR="000612A3">
        <w:rPr>
          <w:rFonts w:cs="Arial"/>
          <w:bCs/>
          <w:sz w:val="24"/>
          <w:szCs w:val="24"/>
          <w:lang w:val="en-ZA"/>
        </w:rPr>
        <w:t xml:space="preserve">and </w:t>
      </w:r>
      <w:r w:rsidR="000B3187">
        <w:rPr>
          <w:rFonts w:cs="Arial"/>
          <w:bCs/>
          <w:sz w:val="24"/>
          <w:szCs w:val="24"/>
          <w:lang w:val="en-ZA"/>
        </w:rPr>
        <w:t xml:space="preserve">each </w:t>
      </w:r>
      <w:r w:rsidR="000612A3">
        <w:rPr>
          <w:rFonts w:cs="Arial"/>
          <w:bCs/>
          <w:sz w:val="24"/>
          <w:szCs w:val="24"/>
          <w:lang w:val="en-ZA"/>
        </w:rPr>
        <w:t xml:space="preserve">held </w:t>
      </w:r>
      <w:r w:rsidR="00D04E1A">
        <w:rPr>
          <w:rFonts w:cs="Arial"/>
          <w:bCs/>
          <w:sz w:val="24"/>
          <w:szCs w:val="24"/>
          <w:lang w:val="en-ZA"/>
        </w:rPr>
        <w:t xml:space="preserve">51% </w:t>
      </w:r>
      <w:r w:rsidR="00934507">
        <w:rPr>
          <w:rFonts w:cs="Arial"/>
          <w:bCs/>
          <w:sz w:val="24"/>
          <w:szCs w:val="24"/>
          <w:lang w:val="en-ZA"/>
        </w:rPr>
        <w:t xml:space="preserve">and 49% shares, respectively, in Kopaneng. </w:t>
      </w:r>
      <w:r w:rsidR="00D2304D">
        <w:rPr>
          <w:rFonts w:cs="Arial"/>
          <w:bCs/>
          <w:sz w:val="24"/>
          <w:szCs w:val="24"/>
          <w:lang w:val="en-ZA"/>
        </w:rPr>
        <w:t xml:space="preserve"> Mr Hansie Hanekom’s shares were later transferred to Hanekom Family Trust. </w:t>
      </w:r>
      <w:r w:rsidR="00916B93">
        <w:rPr>
          <w:rFonts w:cs="Arial"/>
          <w:bCs/>
          <w:sz w:val="24"/>
          <w:szCs w:val="24"/>
          <w:lang w:val="en-ZA"/>
        </w:rPr>
        <w:t xml:space="preserve">HPC further states that it was agreed between Mr Hansie Hanekom </w:t>
      </w:r>
      <w:r w:rsidR="00916B93">
        <w:rPr>
          <w:rFonts w:cs="Arial"/>
          <w:bCs/>
          <w:sz w:val="24"/>
          <w:szCs w:val="24"/>
          <w:lang w:val="en-ZA"/>
        </w:rPr>
        <w:lastRenderedPageBreak/>
        <w:t>and Ms Selborne that Hanekom would manage the payments of accounts</w:t>
      </w:r>
      <w:r w:rsidR="00531476">
        <w:rPr>
          <w:rFonts w:cs="Arial"/>
          <w:bCs/>
          <w:sz w:val="24"/>
          <w:szCs w:val="24"/>
          <w:lang w:val="en-ZA"/>
        </w:rPr>
        <w:t xml:space="preserve"> for Kopaneng</w:t>
      </w:r>
      <w:r w:rsidR="00916B93">
        <w:rPr>
          <w:rFonts w:cs="Arial"/>
          <w:bCs/>
          <w:sz w:val="24"/>
          <w:szCs w:val="24"/>
          <w:lang w:val="en-ZA"/>
        </w:rPr>
        <w:t>.</w:t>
      </w:r>
    </w:p>
    <w:p w14:paraId="074DE6BC" w14:textId="77777777" w:rsidR="00A361C9" w:rsidRDefault="004804FD" w:rsidP="008C18F4">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[4]</w:t>
      </w:r>
      <w:r>
        <w:rPr>
          <w:rFonts w:cs="Arial"/>
          <w:bCs/>
          <w:sz w:val="24"/>
          <w:szCs w:val="24"/>
          <w:lang w:val="en-ZA"/>
        </w:rPr>
        <w:tab/>
      </w:r>
      <w:r w:rsidR="00D2304D">
        <w:rPr>
          <w:rFonts w:cs="Arial"/>
          <w:bCs/>
          <w:sz w:val="24"/>
          <w:szCs w:val="24"/>
          <w:lang w:val="en-ZA"/>
        </w:rPr>
        <w:t xml:space="preserve">On 20 May 2022 </w:t>
      </w:r>
      <w:r w:rsidR="00284C0E">
        <w:rPr>
          <w:rFonts w:cs="Arial"/>
          <w:bCs/>
          <w:sz w:val="24"/>
          <w:szCs w:val="24"/>
          <w:lang w:val="en-ZA"/>
        </w:rPr>
        <w:t>GIC</w:t>
      </w:r>
      <w:r w:rsidR="00D2304D">
        <w:rPr>
          <w:rFonts w:cs="Arial"/>
          <w:bCs/>
          <w:sz w:val="24"/>
          <w:szCs w:val="24"/>
          <w:lang w:val="en-ZA"/>
        </w:rPr>
        <w:t xml:space="preserve"> appointed Kopaneng to conduct the earthmoving works for </w:t>
      </w:r>
      <w:r w:rsidR="00A059CF">
        <w:rPr>
          <w:rFonts w:cs="Arial"/>
          <w:bCs/>
          <w:sz w:val="24"/>
          <w:szCs w:val="24"/>
          <w:lang w:val="en-ZA"/>
        </w:rPr>
        <w:t xml:space="preserve">some </w:t>
      </w:r>
      <w:r w:rsidR="00D2304D">
        <w:rPr>
          <w:rFonts w:cs="Arial"/>
          <w:bCs/>
          <w:sz w:val="24"/>
          <w:szCs w:val="24"/>
          <w:lang w:val="en-ZA"/>
        </w:rPr>
        <w:t xml:space="preserve">erven </w:t>
      </w:r>
      <w:r w:rsidR="00210565">
        <w:rPr>
          <w:rFonts w:cs="Arial"/>
          <w:bCs/>
          <w:sz w:val="24"/>
          <w:szCs w:val="24"/>
          <w:lang w:val="en-ZA"/>
        </w:rPr>
        <w:t xml:space="preserve">situated </w:t>
      </w:r>
      <w:r w:rsidR="00D2304D">
        <w:rPr>
          <w:rFonts w:cs="Arial"/>
          <w:bCs/>
          <w:sz w:val="24"/>
          <w:szCs w:val="24"/>
          <w:lang w:val="en-ZA"/>
        </w:rPr>
        <w:t>near Gro</w:t>
      </w:r>
      <w:r w:rsidR="001C44ED">
        <w:rPr>
          <w:rFonts w:cs="Arial"/>
          <w:bCs/>
          <w:sz w:val="24"/>
          <w:szCs w:val="24"/>
          <w:lang w:val="en-ZA"/>
        </w:rPr>
        <w:t>blershoop,</w:t>
      </w:r>
      <w:r w:rsidR="00214AAD">
        <w:rPr>
          <w:rFonts w:cs="Arial"/>
          <w:bCs/>
          <w:sz w:val="24"/>
          <w:szCs w:val="24"/>
          <w:lang w:val="en-ZA"/>
        </w:rPr>
        <w:t xml:space="preserve"> Northern Cape,</w:t>
      </w:r>
      <w:r w:rsidR="001C44ED">
        <w:rPr>
          <w:rFonts w:cs="Arial"/>
          <w:bCs/>
          <w:sz w:val="24"/>
          <w:szCs w:val="24"/>
          <w:lang w:val="en-ZA"/>
        </w:rPr>
        <w:t xml:space="preserve"> referred to as the Opwag Project (the project)</w:t>
      </w:r>
      <w:r w:rsidR="003F1716">
        <w:rPr>
          <w:rFonts w:cs="Arial"/>
          <w:bCs/>
          <w:sz w:val="24"/>
          <w:szCs w:val="24"/>
          <w:lang w:val="en-ZA"/>
        </w:rPr>
        <w:t xml:space="preserve">, </w:t>
      </w:r>
      <w:r w:rsidR="001C44ED">
        <w:rPr>
          <w:rFonts w:cs="Arial"/>
          <w:bCs/>
          <w:sz w:val="24"/>
          <w:szCs w:val="24"/>
          <w:lang w:val="en-ZA"/>
        </w:rPr>
        <w:t xml:space="preserve">which commenced during June 2022 for a period of a year and would end mid-2023.  </w:t>
      </w:r>
      <w:r w:rsidR="005F7DAB">
        <w:rPr>
          <w:rFonts w:cs="Arial"/>
          <w:bCs/>
          <w:sz w:val="24"/>
          <w:szCs w:val="24"/>
          <w:lang w:val="en-ZA"/>
        </w:rPr>
        <w:t>Later</w:t>
      </w:r>
      <w:r w:rsidR="00AC64C6">
        <w:rPr>
          <w:rFonts w:cs="Arial"/>
          <w:bCs/>
          <w:sz w:val="24"/>
          <w:szCs w:val="24"/>
          <w:lang w:val="en-ZA"/>
        </w:rPr>
        <w:t xml:space="preserve"> in that year, </w:t>
      </w:r>
      <w:r w:rsidR="005F7DAB">
        <w:rPr>
          <w:rFonts w:cs="Arial"/>
          <w:bCs/>
          <w:sz w:val="24"/>
          <w:szCs w:val="24"/>
          <w:lang w:val="en-ZA"/>
        </w:rPr>
        <w:t>on 04 August 2022</w:t>
      </w:r>
      <w:r w:rsidR="004E51EC">
        <w:rPr>
          <w:rFonts w:cs="Arial"/>
          <w:bCs/>
          <w:sz w:val="24"/>
          <w:szCs w:val="24"/>
          <w:lang w:val="en-ZA"/>
        </w:rPr>
        <w:t>,</w:t>
      </w:r>
      <w:r w:rsidR="005F7DAB">
        <w:rPr>
          <w:rFonts w:cs="Arial"/>
          <w:bCs/>
          <w:sz w:val="24"/>
          <w:szCs w:val="24"/>
          <w:lang w:val="en-ZA"/>
        </w:rPr>
        <w:t xml:space="preserve"> </w:t>
      </w:r>
      <w:r w:rsidR="004740CB">
        <w:rPr>
          <w:rFonts w:cs="Arial"/>
          <w:bCs/>
          <w:sz w:val="24"/>
          <w:szCs w:val="24"/>
          <w:lang w:val="en-ZA"/>
        </w:rPr>
        <w:t>HPC</w:t>
      </w:r>
      <w:r w:rsidR="00AC64C6">
        <w:rPr>
          <w:rFonts w:cs="Arial"/>
          <w:bCs/>
          <w:sz w:val="24"/>
          <w:szCs w:val="24"/>
          <w:lang w:val="en-ZA"/>
        </w:rPr>
        <w:t xml:space="preserve"> entered into an agreement </w:t>
      </w:r>
      <w:r w:rsidR="00A361C9">
        <w:rPr>
          <w:rFonts w:cs="Arial"/>
          <w:bCs/>
          <w:sz w:val="24"/>
          <w:szCs w:val="24"/>
          <w:lang w:val="en-ZA"/>
        </w:rPr>
        <w:t xml:space="preserve">with Kopaneng </w:t>
      </w:r>
      <w:r w:rsidR="00AC64C6">
        <w:rPr>
          <w:rFonts w:cs="Arial"/>
          <w:bCs/>
          <w:sz w:val="24"/>
          <w:szCs w:val="24"/>
          <w:lang w:val="en-ZA"/>
        </w:rPr>
        <w:t xml:space="preserve">in terms of which Kopaneng would lease earthmoving equipment from </w:t>
      </w:r>
      <w:r w:rsidR="004740CB">
        <w:rPr>
          <w:rFonts w:cs="Arial"/>
          <w:bCs/>
          <w:sz w:val="24"/>
          <w:szCs w:val="24"/>
          <w:lang w:val="en-ZA"/>
        </w:rPr>
        <w:t>HPC</w:t>
      </w:r>
      <w:r w:rsidR="00AC64C6">
        <w:rPr>
          <w:rFonts w:cs="Arial"/>
          <w:bCs/>
          <w:sz w:val="24"/>
          <w:szCs w:val="24"/>
          <w:lang w:val="en-ZA"/>
        </w:rPr>
        <w:t xml:space="preserve"> at </w:t>
      </w:r>
      <w:r w:rsidR="00A361C9">
        <w:rPr>
          <w:rFonts w:cs="Arial"/>
          <w:bCs/>
          <w:sz w:val="24"/>
          <w:szCs w:val="24"/>
          <w:lang w:val="en-ZA"/>
        </w:rPr>
        <w:t xml:space="preserve">a </w:t>
      </w:r>
      <w:r w:rsidR="00CC6168">
        <w:rPr>
          <w:rFonts w:cs="Arial"/>
          <w:bCs/>
          <w:sz w:val="24"/>
          <w:szCs w:val="24"/>
          <w:lang w:val="en-ZA"/>
        </w:rPr>
        <w:t xml:space="preserve">certain </w:t>
      </w:r>
      <w:r w:rsidR="00AC64C6">
        <w:rPr>
          <w:rFonts w:cs="Arial"/>
          <w:bCs/>
          <w:sz w:val="24"/>
          <w:szCs w:val="24"/>
          <w:lang w:val="en-ZA"/>
        </w:rPr>
        <w:t>hourly and cubic meter rate</w:t>
      </w:r>
      <w:r w:rsidR="00CC6168">
        <w:rPr>
          <w:rFonts w:cs="Arial"/>
          <w:bCs/>
          <w:sz w:val="24"/>
          <w:szCs w:val="24"/>
          <w:lang w:val="en-ZA"/>
        </w:rPr>
        <w:t xml:space="preserve">. </w:t>
      </w:r>
      <w:r w:rsidR="00531476">
        <w:rPr>
          <w:rFonts w:cs="Arial"/>
          <w:bCs/>
          <w:sz w:val="24"/>
          <w:szCs w:val="24"/>
          <w:lang w:val="en-ZA"/>
        </w:rPr>
        <w:t xml:space="preserve">Rental deposits for the equipment and overtime were dispensed with. </w:t>
      </w:r>
      <w:r w:rsidR="004740CB">
        <w:rPr>
          <w:rFonts w:cs="Arial"/>
          <w:bCs/>
          <w:sz w:val="24"/>
          <w:szCs w:val="24"/>
          <w:lang w:val="en-ZA"/>
        </w:rPr>
        <w:t>HPC</w:t>
      </w:r>
      <w:r w:rsidR="00CC6168">
        <w:rPr>
          <w:rFonts w:cs="Arial"/>
          <w:bCs/>
          <w:sz w:val="24"/>
          <w:szCs w:val="24"/>
          <w:lang w:val="en-ZA"/>
        </w:rPr>
        <w:t xml:space="preserve"> </w:t>
      </w:r>
      <w:r w:rsidR="00AC64C6">
        <w:rPr>
          <w:rFonts w:cs="Arial"/>
          <w:bCs/>
          <w:sz w:val="24"/>
          <w:szCs w:val="24"/>
          <w:lang w:val="en-ZA"/>
        </w:rPr>
        <w:t xml:space="preserve">would </w:t>
      </w:r>
      <w:r w:rsidR="00A361C9">
        <w:rPr>
          <w:rFonts w:cs="Arial"/>
          <w:bCs/>
          <w:sz w:val="24"/>
          <w:szCs w:val="24"/>
          <w:lang w:val="en-ZA"/>
        </w:rPr>
        <w:t xml:space="preserve">also </w:t>
      </w:r>
      <w:r w:rsidR="00CC6168">
        <w:rPr>
          <w:rFonts w:cs="Arial"/>
          <w:bCs/>
          <w:sz w:val="24"/>
          <w:szCs w:val="24"/>
          <w:lang w:val="en-ZA"/>
        </w:rPr>
        <w:t xml:space="preserve">provide technical expertise and financial assistance </w:t>
      </w:r>
      <w:r w:rsidR="004F3397">
        <w:rPr>
          <w:rFonts w:cs="Arial"/>
          <w:bCs/>
          <w:sz w:val="24"/>
          <w:szCs w:val="24"/>
          <w:lang w:val="en-ZA"/>
        </w:rPr>
        <w:t xml:space="preserve">to </w:t>
      </w:r>
      <w:r w:rsidR="00AC64C6">
        <w:rPr>
          <w:rFonts w:cs="Arial"/>
          <w:bCs/>
          <w:sz w:val="24"/>
          <w:szCs w:val="24"/>
          <w:lang w:val="en-ZA"/>
        </w:rPr>
        <w:t>Kopaneng</w:t>
      </w:r>
      <w:r w:rsidR="000612A3">
        <w:rPr>
          <w:rFonts w:cs="Arial"/>
          <w:bCs/>
          <w:sz w:val="24"/>
          <w:szCs w:val="24"/>
          <w:lang w:val="en-ZA"/>
        </w:rPr>
        <w:t xml:space="preserve">, </w:t>
      </w:r>
      <w:r w:rsidR="00A361C9">
        <w:rPr>
          <w:rFonts w:cs="Arial"/>
          <w:bCs/>
          <w:sz w:val="24"/>
          <w:szCs w:val="24"/>
          <w:lang w:val="en-ZA"/>
        </w:rPr>
        <w:t>refuel the equipment and re</w:t>
      </w:r>
      <w:r w:rsidR="006F69DC">
        <w:rPr>
          <w:rFonts w:cs="Arial"/>
          <w:bCs/>
          <w:sz w:val="24"/>
          <w:szCs w:val="24"/>
          <w:lang w:val="en-ZA"/>
        </w:rPr>
        <w:t xml:space="preserve">cover </w:t>
      </w:r>
      <w:r w:rsidR="00A361C9">
        <w:rPr>
          <w:rFonts w:cs="Arial"/>
          <w:bCs/>
          <w:sz w:val="24"/>
          <w:szCs w:val="24"/>
          <w:lang w:val="en-ZA"/>
        </w:rPr>
        <w:t>its costs from Kopaneng.</w:t>
      </w:r>
      <w:r w:rsidR="00AC64C6">
        <w:rPr>
          <w:rFonts w:cs="Arial"/>
          <w:bCs/>
          <w:sz w:val="24"/>
          <w:szCs w:val="24"/>
          <w:lang w:val="en-ZA"/>
        </w:rPr>
        <w:t xml:space="preserve"> </w:t>
      </w:r>
      <w:r w:rsidR="00236C07">
        <w:rPr>
          <w:rFonts w:cs="Arial"/>
          <w:bCs/>
          <w:sz w:val="24"/>
          <w:szCs w:val="24"/>
          <w:lang w:val="en-ZA"/>
        </w:rPr>
        <w:t>HPC intimates that, in light that Kopaneng was unable to obtain finance for its operational costs</w:t>
      </w:r>
      <w:r w:rsidR="000612A3">
        <w:rPr>
          <w:rFonts w:cs="Arial"/>
          <w:bCs/>
          <w:sz w:val="24"/>
          <w:szCs w:val="24"/>
          <w:lang w:val="en-ZA"/>
        </w:rPr>
        <w:t>,</w:t>
      </w:r>
      <w:r w:rsidR="00236C07">
        <w:rPr>
          <w:rFonts w:cs="Arial"/>
          <w:bCs/>
          <w:sz w:val="24"/>
          <w:szCs w:val="24"/>
          <w:lang w:val="en-ZA"/>
        </w:rPr>
        <w:t xml:space="preserve"> HPC largely funded the project costs, diesel and salaries.</w:t>
      </w:r>
    </w:p>
    <w:p w14:paraId="5299683A" w14:textId="77777777" w:rsidR="00934507" w:rsidRDefault="004804FD" w:rsidP="008C18F4">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[5]</w:t>
      </w:r>
      <w:r>
        <w:rPr>
          <w:rFonts w:cs="Arial"/>
          <w:bCs/>
          <w:sz w:val="24"/>
          <w:szCs w:val="24"/>
          <w:lang w:val="en-ZA"/>
        </w:rPr>
        <w:tab/>
      </w:r>
      <w:r w:rsidR="004740CB">
        <w:rPr>
          <w:rFonts w:cs="Arial"/>
          <w:bCs/>
          <w:sz w:val="24"/>
          <w:szCs w:val="24"/>
          <w:lang w:val="en-ZA"/>
        </w:rPr>
        <w:t>HPC</w:t>
      </w:r>
      <w:r w:rsidR="00A361C9">
        <w:rPr>
          <w:rFonts w:cs="Arial"/>
          <w:bCs/>
          <w:sz w:val="24"/>
          <w:szCs w:val="24"/>
          <w:lang w:val="en-ZA"/>
        </w:rPr>
        <w:t xml:space="preserve"> invoiced Kopaneng in terms of the lease which in turn invoiced </w:t>
      </w:r>
      <w:r w:rsidR="00284C0E">
        <w:rPr>
          <w:rFonts w:cs="Arial"/>
          <w:bCs/>
          <w:sz w:val="24"/>
          <w:szCs w:val="24"/>
          <w:lang w:val="en-ZA"/>
        </w:rPr>
        <w:t>GIC</w:t>
      </w:r>
      <w:r w:rsidR="00224A8C">
        <w:rPr>
          <w:rFonts w:cs="Arial"/>
          <w:bCs/>
          <w:sz w:val="24"/>
          <w:szCs w:val="24"/>
          <w:lang w:val="en-ZA"/>
        </w:rPr>
        <w:t xml:space="preserve"> for work done in respect of the Opwag project. </w:t>
      </w:r>
      <w:r w:rsidR="00236C07">
        <w:rPr>
          <w:rFonts w:cs="Arial"/>
          <w:bCs/>
          <w:sz w:val="24"/>
          <w:szCs w:val="24"/>
          <w:lang w:val="en-ZA"/>
        </w:rPr>
        <w:t xml:space="preserve">HPC </w:t>
      </w:r>
      <w:r w:rsidR="008F051B">
        <w:rPr>
          <w:rFonts w:cs="Arial"/>
          <w:bCs/>
          <w:sz w:val="24"/>
          <w:szCs w:val="24"/>
          <w:lang w:val="en-ZA"/>
        </w:rPr>
        <w:t xml:space="preserve">states that Ms </w:t>
      </w:r>
      <w:r w:rsidR="0057743B">
        <w:rPr>
          <w:rFonts w:cs="Arial"/>
          <w:bCs/>
          <w:sz w:val="24"/>
          <w:szCs w:val="24"/>
          <w:lang w:val="en-ZA"/>
        </w:rPr>
        <w:t>Selborne</w:t>
      </w:r>
      <w:r w:rsidR="005625E1">
        <w:rPr>
          <w:rFonts w:cs="Arial"/>
          <w:bCs/>
          <w:sz w:val="24"/>
          <w:szCs w:val="24"/>
          <w:lang w:val="en-ZA"/>
        </w:rPr>
        <w:t>, in order to be up to date with Kopaneng’s finances,</w:t>
      </w:r>
      <w:r w:rsidR="008F051B">
        <w:rPr>
          <w:rFonts w:cs="Arial"/>
          <w:bCs/>
          <w:sz w:val="24"/>
          <w:szCs w:val="24"/>
          <w:lang w:val="en-ZA"/>
        </w:rPr>
        <w:t xml:space="preserve"> had access to </w:t>
      </w:r>
      <w:r w:rsidR="00E80E00">
        <w:rPr>
          <w:rFonts w:cs="Arial"/>
          <w:bCs/>
          <w:sz w:val="24"/>
          <w:szCs w:val="24"/>
          <w:lang w:val="en-ZA"/>
        </w:rPr>
        <w:t xml:space="preserve">a certain </w:t>
      </w:r>
      <w:r w:rsidR="008F051B">
        <w:rPr>
          <w:rFonts w:cs="Arial"/>
          <w:bCs/>
          <w:sz w:val="24"/>
          <w:szCs w:val="24"/>
          <w:lang w:val="en-ZA"/>
        </w:rPr>
        <w:t xml:space="preserve">Xero Computer program on which management reports were </w:t>
      </w:r>
      <w:r w:rsidR="005625E1">
        <w:rPr>
          <w:rFonts w:cs="Arial"/>
          <w:bCs/>
          <w:sz w:val="24"/>
          <w:szCs w:val="24"/>
          <w:lang w:val="en-ZA"/>
        </w:rPr>
        <w:t xml:space="preserve">generated. </w:t>
      </w:r>
      <w:r w:rsidR="00BF1864">
        <w:rPr>
          <w:rFonts w:cs="Arial"/>
          <w:bCs/>
          <w:sz w:val="24"/>
          <w:szCs w:val="24"/>
          <w:lang w:val="en-ZA"/>
        </w:rPr>
        <w:t>HPC maintains that it had complied with its contractual obligations in terms of the lease.</w:t>
      </w:r>
    </w:p>
    <w:p w14:paraId="6240602B" w14:textId="77777777" w:rsidR="00203FE4" w:rsidRDefault="004804FD" w:rsidP="008C18F4">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w:t>
      </w:r>
      <w:r w:rsidR="00411675">
        <w:rPr>
          <w:rFonts w:cs="Arial"/>
          <w:bCs/>
          <w:sz w:val="24"/>
          <w:szCs w:val="24"/>
          <w:lang w:val="en-ZA"/>
        </w:rPr>
        <w:t>6]</w:t>
      </w:r>
      <w:r w:rsidR="00411675">
        <w:rPr>
          <w:rFonts w:cs="Arial"/>
          <w:bCs/>
          <w:sz w:val="24"/>
          <w:szCs w:val="24"/>
          <w:lang w:val="en-ZA"/>
        </w:rPr>
        <w:tab/>
      </w:r>
      <w:r w:rsidR="00BF1864">
        <w:rPr>
          <w:rFonts w:cs="Arial"/>
          <w:bCs/>
          <w:sz w:val="24"/>
          <w:szCs w:val="24"/>
          <w:lang w:val="en-ZA"/>
        </w:rPr>
        <w:t xml:space="preserve">According to HPC </w:t>
      </w:r>
      <w:r w:rsidR="00E4718E">
        <w:rPr>
          <w:rFonts w:cs="Arial"/>
          <w:bCs/>
          <w:sz w:val="24"/>
          <w:szCs w:val="24"/>
          <w:lang w:val="en-ZA"/>
        </w:rPr>
        <w:t xml:space="preserve">Kopaneng is indebted to </w:t>
      </w:r>
      <w:r w:rsidR="00203FE4">
        <w:rPr>
          <w:rFonts w:cs="Arial"/>
          <w:bCs/>
          <w:sz w:val="24"/>
          <w:szCs w:val="24"/>
          <w:lang w:val="en-ZA"/>
        </w:rPr>
        <w:t xml:space="preserve">it </w:t>
      </w:r>
      <w:r w:rsidR="00315721">
        <w:rPr>
          <w:rFonts w:cs="Arial"/>
          <w:bCs/>
          <w:sz w:val="24"/>
          <w:szCs w:val="24"/>
          <w:lang w:val="en-ZA"/>
        </w:rPr>
        <w:t xml:space="preserve">in an amount of R6 386 902.08. </w:t>
      </w:r>
      <w:r w:rsidR="00203FE4">
        <w:rPr>
          <w:rFonts w:cs="Arial"/>
          <w:bCs/>
          <w:sz w:val="24"/>
          <w:szCs w:val="24"/>
          <w:lang w:val="en-ZA"/>
        </w:rPr>
        <w:t xml:space="preserve">It further says that </w:t>
      </w:r>
      <w:r w:rsidR="00315721">
        <w:rPr>
          <w:rFonts w:cs="Arial"/>
          <w:bCs/>
          <w:sz w:val="24"/>
          <w:szCs w:val="24"/>
          <w:lang w:val="en-ZA"/>
        </w:rPr>
        <w:t xml:space="preserve">Kopaneng </w:t>
      </w:r>
      <w:r w:rsidR="008456BF">
        <w:rPr>
          <w:rFonts w:cs="Arial"/>
          <w:bCs/>
          <w:sz w:val="24"/>
          <w:szCs w:val="24"/>
          <w:lang w:val="en-ZA"/>
        </w:rPr>
        <w:t xml:space="preserve">does not </w:t>
      </w:r>
      <w:r w:rsidR="004B00A6">
        <w:rPr>
          <w:rFonts w:cs="Arial"/>
          <w:bCs/>
          <w:sz w:val="24"/>
          <w:szCs w:val="24"/>
          <w:lang w:val="en-ZA"/>
        </w:rPr>
        <w:t>possess</w:t>
      </w:r>
      <w:r w:rsidR="008456BF">
        <w:rPr>
          <w:rFonts w:cs="Arial"/>
          <w:bCs/>
          <w:sz w:val="24"/>
          <w:szCs w:val="24"/>
          <w:lang w:val="en-ZA"/>
        </w:rPr>
        <w:t xml:space="preserve"> assets of any significant value </w:t>
      </w:r>
      <w:r w:rsidR="000537AA">
        <w:rPr>
          <w:rFonts w:cs="Arial"/>
          <w:bCs/>
          <w:sz w:val="24"/>
          <w:szCs w:val="24"/>
          <w:lang w:val="en-ZA"/>
        </w:rPr>
        <w:t>save for some small amount in its bank account.</w:t>
      </w:r>
      <w:r w:rsidR="00B2309D">
        <w:rPr>
          <w:rFonts w:cs="Arial"/>
          <w:bCs/>
          <w:sz w:val="24"/>
          <w:szCs w:val="24"/>
          <w:lang w:val="en-ZA"/>
        </w:rPr>
        <w:t xml:space="preserve"> </w:t>
      </w:r>
      <w:r w:rsidR="00E80E00">
        <w:rPr>
          <w:rFonts w:cs="Arial"/>
          <w:bCs/>
          <w:sz w:val="24"/>
          <w:szCs w:val="24"/>
          <w:lang w:val="en-ZA"/>
        </w:rPr>
        <w:t>HPC</w:t>
      </w:r>
      <w:r w:rsidR="00BF1864">
        <w:rPr>
          <w:rFonts w:cs="Arial"/>
          <w:bCs/>
          <w:sz w:val="24"/>
          <w:szCs w:val="24"/>
          <w:lang w:val="en-ZA"/>
        </w:rPr>
        <w:t xml:space="preserve"> went on to state that</w:t>
      </w:r>
      <w:r w:rsidR="00E80E00">
        <w:rPr>
          <w:rFonts w:cs="Arial"/>
          <w:bCs/>
          <w:sz w:val="24"/>
          <w:szCs w:val="24"/>
          <w:lang w:val="en-ZA"/>
        </w:rPr>
        <w:t xml:space="preserve">, based on </w:t>
      </w:r>
      <w:r w:rsidR="003C1E3F">
        <w:rPr>
          <w:rFonts w:cs="Arial"/>
          <w:bCs/>
          <w:sz w:val="24"/>
          <w:szCs w:val="24"/>
          <w:lang w:val="en-ZA"/>
        </w:rPr>
        <w:t>the management reports</w:t>
      </w:r>
      <w:r w:rsidR="00E80E00">
        <w:rPr>
          <w:rFonts w:cs="Arial"/>
          <w:bCs/>
          <w:sz w:val="24"/>
          <w:szCs w:val="24"/>
          <w:lang w:val="en-ZA"/>
        </w:rPr>
        <w:t>,</w:t>
      </w:r>
      <w:r w:rsidR="003C1E3F">
        <w:rPr>
          <w:rFonts w:cs="Arial"/>
          <w:bCs/>
          <w:sz w:val="24"/>
          <w:szCs w:val="24"/>
          <w:lang w:val="en-ZA"/>
        </w:rPr>
        <w:t xml:space="preserve"> </w:t>
      </w:r>
      <w:r w:rsidR="003D39B1">
        <w:rPr>
          <w:rFonts w:cs="Arial"/>
          <w:bCs/>
          <w:sz w:val="24"/>
          <w:szCs w:val="24"/>
          <w:lang w:val="en-ZA"/>
        </w:rPr>
        <w:t xml:space="preserve">Kopaneng’s liabilities far exceeds its assets. </w:t>
      </w:r>
    </w:p>
    <w:p w14:paraId="5AB64F6D" w14:textId="77777777" w:rsidR="00361E0A" w:rsidRDefault="00203FE4" w:rsidP="008C18F4">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[7]</w:t>
      </w:r>
      <w:r>
        <w:rPr>
          <w:rFonts w:cs="Arial"/>
          <w:bCs/>
          <w:sz w:val="24"/>
          <w:szCs w:val="24"/>
          <w:lang w:val="en-ZA"/>
        </w:rPr>
        <w:tab/>
      </w:r>
      <w:r w:rsidR="003D39B1">
        <w:rPr>
          <w:rFonts w:cs="Arial"/>
          <w:bCs/>
          <w:sz w:val="24"/>
          <w:szCs w:val="24"/>
          <w:lang w:val="en-ZA"/>
        </w:rPr>
        <w:t>The amo</w:t>
      </w:r>
      <w:r w:rsidR="003172CF">
        <w:rPr>
          <w:rFonts w:cs="Arial"/>
          <w:bCs/>
          <w:sz w:val="24"/>
          <w:szCs w:val="24"/>
          <w:lang w:val="en-ZA"/>
        </w:rPr>
        <w:t>u</w:t>
      </w:r>
      <w:r w:rsidR="003D39B1">
        <w:rPr>
          <w:rFonts w:cs="Arial"/>
          <w:bCs/>
          <w:sz w:val="24"/>
          <w:szCs w:val="24"/>
          <w:lang w:val="en-ZA"/>
        </w:rPr>
        <w:t xml:space="preserve">nt </w:t>
      </w:r>
      <w:r>
        <w:rPr>
          <w:rFonts w:cs="Arial"/>
          <w:bCs/>
          <w:sz w:val="24"/>
          <w:szCs w:val="24"/>
          <w:lang w:val="en-ZA"/>
        </w:rPr>
        <w:t xml:space="preserve">allegedly </w:t>
      </w:r>
      <w:r w:rsidR="003D39B1">
        <w:rPr>
          <w:rFonts w:cs="Arial"/>
          <w:bCs/>
          <w:sz w:val="24"/>
          <w:szCs w:val="24"/>
          <w:lang w:val="en-ZA"/>
        </w:rPr>
        <w:t>due to Kopaneng</w:t>
      </w:r>
      <w:r w:rsidR="00BF1864">
        <w:rPr>
          <w:rFonts w:cs="Arial"/>
          <w:bCs/>
          <w:sz w:val="24"/>
          <w:szCs w:val="24"/>
          <w:lang w:val="en-ZA"/>
        </w:rPr>
        <w:t xml:space="preserve"> for payment by GIC</w:t>
      </w:r>
      <w:r w:rsidR="00C31BED">
        <w:rPr>
          <w:rFonts w:cs="Arial"/>
          <w:bCs/>
          <w:sz w:val="24"/>
          <w:szCs w:val="24"/>
          <w:lang w:val="en-ZA"/>
        </w:rPr>
        <w:t>,</w:t>
      </w:r>
      <w:r w:rsidR="003D39B1">
        <w:rPr>
          <w:rFonts w:cs="Arial"/>
          <w:bCs/>
          <w:sz w:val="24"/>
          <w:szCs w:val="24"/>
          <w:lang w:val="en-ZA"/>
        </w:rPr>
        <w:t xml:space="preserve"> in respect of the Opwag Project</w:t>
      </w:r>
      <w:r w:rsidR="00C31BED">
        <w:rPr>
          <w:rFonts w:cs="Arial"/>
          <w:bCs/>
          <w:sz w:val="24"/>
          <w:szCs w:val="24"/>
          <w:lang w:val="en-ZA"/>
        </w:rPr>
        <w:t>,</w:t>
      </w:r>
      <w:r w:rsidR="003D39B1">
        <w:rPr>
          <w:rFonts w:cs="Arial"/>
          <w:bCs/>
          <w:sz w:val="24"/>
          <w:szCs w:val="24"/>
          <w:lang w:val="en-ZA"/>
        </w:rPr>
        <w:t xml:space="preserve"> i</w:t>
      </w:r>
      <w:r w:rsidR="00C31BED">
        <w:rPr>
          <w:rFonts w:cs="Arial"/>
          <w:bCs/>
          <w:sz w:val="24"/>
          <w:szCs w:val="24"/>
          <w:lang w:val="en-ZA"/>
        </w:rPr>
        <w:t>s</w:t>
      </w:r>
      <w:r w:rsidR="003D39B1">
        <w:rPr>
          <w:rFonts w:cs="Arial"/>
          <w:bCs/>
          <w:sz w:val="24"/>
          <w:szCs w:val="24"/>
          <w:lang w:val="en-ZA"/>
        </w:rPr>
        <w:t xml:space="preserve"> R2 554 161.74 excluding VAT and consist of 10% </w:t>
      </w:r>
      <w:r w:rsidR="003172CF">
        <w:rPr>
          <w:rFonts w:cs="Arial"/>
          <w:bCs/>
          <w:sz w:val="24"/>
          <w:szCs w:val="24"/>
          <w:lang w:val="en-ZA"/>
        </w:rPr>
        <w:t>retention</w:t>
      </w:r>
      <w:r w:rsidR="003D39B1">
        <w:rPr>
          <w:rFonts w:cs="Arial"/>
          <w:bCs/>
          <w:sz w:val="24"/>
          <w:szCs w:val="24"/>
          <w:lang w:val="en-ZA"/>
        </w:rPr>
        <w:t xml:space="preserve"> </w:t>
      </w:r>
      <w:r w:rsidR="00B2309D">
        <w:rPr>
          <w:rFonts w:cs="Arial"/>
          <w:bCs/>
          <w:sz w:val="24"/>
          <w:szCs w:val="24"/>
          <w:lang w:val="en-ZA"/>
        </w:rPr>
        <w:t xml:space="preserve">fee </w:t>
      </w:r>
      <w:r w:rsidR="003D39B1">
        <w:rPr>
          <w:rFonts w:cs="Arial"/>
          <w:bCs/>
          <w:sz w:val="24"/>
          <w:szCs w:val="24"/>
          <w:lang w:val="en-ZA"/>
        </w:rPr>
        <w:t xml:space="preserve">for the project. 5% of the retention </w:t>
      </w:r>
      <w:r w:rsidR="00C31BED">
        <w:rPr>
          <w:rFonts w:cs="Arial"/>
          <w:bCs/>
          <w:sz w:val="24"/>
          <w:szCs w:val="24"/>
          <w:lang w:val="en-ZA"/>
        </w:rPr>
        <w:t>fee</w:t>
      </w:r>
      <w:r w:rsidR="003D39B1">
        <w:rPr>
          <w:rFonts w:cs="Arial"/>
          <w:bCs/>
          <w:sz w:val="24"/>
          <w:szCs w:val="24"/>
          <w:lang w:val="en-ZA"/>
        </w:rPr>
        <w:t xml:space="preserve"> would be </w:t>
      </w:r>
      <w:r>
        <w:rPr>
          <w:rFonts w:cs="Arial"/>
          <w:bCs/>
          <w:sz w:val="24"/>
          <w:szCs w:val="24"/>
          <w:lang w:val="en-ZA"/>
        </w:rPr>
        <w:t xml:space="preserve">payable by GIC </w:t>
      </w:r>
      <w:r w:rsidR="003D39B1">
        <w:rPr>
          <w:rFonts w:cs="Arial"/>
          <w:bCs/>
          <w:sz w:val="24"/>
          <w:szCs w:val="24"/>
          <w:lang w:val="en-ZA"/>
        </w:rPr>
        <w:t xml:space="preserve">to Kopaneng upon receipt of the final completion certificate and the remaining </w:t>
      </w:r>
      <w:r w:rsidR="007858ED">
        <w:rPr>
          <w:rFonts w:cs="Arial"/>
          <w:bCs/>
          <w:sz w:val="24"/>
          <w:szCs w:val="24"/>
          <w:lang w:val="en-ZA"/>
        </w:rPr>
        <w:t xml:space="preserve">5% </w:t>
      </w:r>
      <w:r w:rsidR="003D39B1">
        <w:rPr>
          <w:rFonts w:cs="Arial"/>
          <w:bCs/>
          <w:sz w:val="24"/>
          <w:szCs w:val="24"/>
          <w:lang w:val="en-ZA"/>
        </w:rPr>
        <w:t>would be</w:t>
      </w:r>
      <w:r w:rsidR="007858ED">
        <w:rPr>
          <w:rFonts w:cs="Arial"/>
          <w:bCs/>
          <w:sz w:val="24"/>
          <w:szCs w:val="24"/>
          <w:lang w:val="en-ZA"/>
        </w:rPr>
        <w:t xml:space="preserve"> payable </w:t>
      </w:r>
      <w:r w:rsidR="003D39B1">
        <w:rPr>
          <w:rFonts w:cs="Arial"/>
          <w:bCs/>
          <w:sz w:val="24"/>
          <w:szCs w:val="24"/>
          <w:lang w:val="en-ZA"/>
        </w:rPr>
        <w:t>in</w:t>
      </w:r>
      <w:r w:rsidR="007858ED">
        <w:rPr>
          <w:rFonts w:cs="Arial"/>
          <w:bCs/>
          <w:sz w:val="24"/>
          <w:szCs w:val="24"/>
          <w:lang w:val="en-ZA"/>
        </w:rPr>
        <w:t xml:space="preserve"> July </w:t>
      </w:r>
      <w:r w:rsidR="003D39B1">
        <w:rPr>
          <w:rFonts w:cs="Arial"/>
          <w:bCs/>
          <w:sz w:val="24"/>
          <w:szCs w:val="24"/>
          <w:lang w:val="en-ZA"/>
        </w:rPr>
        <w:t>2024</w:t>
      </w:r>
      <w:r w:rsidR="00FF5E83">
        <w:rPr>
          <w:rFonts w:cs="Arial"/>
          <w:bCs/>
          <w:sz w:val="24"/>
          <w:szCs w:val="24"/>
          <w:lang w:val="en-ZA"/>
        </w:rPr>
        <w:t xml:space="preserve">, a year after the </w:t>
      </w:r>
      <w:r w:rsidR="002D1B18">
        <w:rPr>
          <w:rFonts w:cs="Arial"/>
          <w:bCs/>
          <w:sz w:val="24"/>
          <w:szCs w:val="24"/>
          <w:lang w:val="en-ZA"/>
        </w:rPr>
        <w:t>final completion certificate</w:t>
      </w:r>
      <w:r w:rsidR="00C31BED">
        <w:rPr>
          <w:rFonts w:cs="Arial"/>
          <w:bCs/>
          <w:sz w:val="24"/>
          <w:szCs w:val="24"/>
          <w:lang w:val="en-ZA"/>
        </w:rPr>
        <w:t xml:space="preserve"> had been issued</w:t>
      </w:r>
      <w:r w:rsidR="003172CF">
        <w:rPr>
          <w:rFonts w:cs="Arial"/>
          <w:bCs/>
          <w:sz w:val="24"/>
          <w:szCs w:val="24"/>
          <w:lang w:val="en-ZA"/>
        </w:rPr>
        <w:t xml:space="preserve">. </w:t>
      </w:r>
      <w:r w:rsidR="004740CB">
        <w:rPr>
          <w:rFonts w:cs="Arial"/>
          <w:bCs/>
          <w:sz w:val="24"/>
          <w:szCs w:val="24"/>
          <w:lang w:val="en-ZA"/>
        </w:rPr>
        <w:t>HPC</w:t>
      </w:r>
      <w:r w:rsidR="000537AA">
        <w:rPr>
          <w:rFonts w:cs="Arial"/>
          <w:bCs/>
          <w:sz w:val="24"/>
          <w:szCs w:val="24"/>
          <w:lang w:val="en-ZA"/>
        </w:rPr>
        <w:t xml:space="preserve"> </w:t>
      </w:r>
      <w:r w:rsidR="008456BF">
        <w:rPr>
          <w:rFonts w:cs="Arial"/>
          <w:bCs/>
          <w:sz w:val="24"/>
          <w:szCs w:val="24"/>
          <w:lang w:val="en-ZA"/>
        </w:rPr>
        <w:t xml:space="preserve">fears </w:t>
      </w:r>
      <w:r w:rsidR="004B00A6">
        <w:rPr>
          <w:rFonts w:cs="Arial"/>
          <w:bCs/>
          <w:sz w:val="24"/>
          <w:szCs w:val="24"/>
          <w:lang w:val="en-ZA"/>
        </w:rPr>
        <w:t xml:space="preserve">that </w:t>
      </w:r>
      <w:r w:rsidR="008456BF">
        <w:rPr>
          <w:rFonts w:cs="Arial"/>
          <w:bCs/>
          <w:sz w:val="24"/>
          <w:szCs w:val="24"/>
          <w:lang w:val="en-ZA"/>
        </w:rPr>
        <w:t>should</w:t>
      </w:r>
      <w:r w:rsidR="004B00A6">
        <w:rPr>
          <w:rFonts w:cs="Arial"/>
          <w:bCs/>
          <w:sz w:val="24"/>
          <w:szCs w:val="24"/>
          <w:lang w:val="en-ZA"/>
        </w:rPr>
        <w:t xml:space="preserve"> </w:t>
      </w:r>
      <w:r w:rsidR="00284C0E">
        <w:rPr>
          <w:rFonts w:cs="Arial"/>
          <w:bCs/>
          <w:sz w:val="24"/>
          <w:szCs w:val="24"/>
          <w:lang w:val="en-ZA"/>
        </w:rPr>
        <w:t>GIC</w:t>
      </w:r>
      <w:r w:rsidR="004B00A6">
        <w:rPr>
          <w:rFonts w:cs="Arial"/>
          <w:bCs/>
          <w:sz w:val="24"/>
          <w:szCs w:val="24"/>
          <w:lang w:val="en-ZA"/>
        </w:rPr>
        <w:t xml:space="preserve"> pay any of the amounts it owes Kopaneng, the latter would not be able </w:t>
      </w:r>
      <w:r w:rsidR="0023568A">
        <w:rPr>
          <w:rFonts w:cs="Arial"/>
          <w:bCs/>
          <w:sz w:val="24"/>
          <w:szCs w:val="24"/>
          <w:lang w:val="en-ZA"/>
        </w:rPr>
        <w:t xml:space="preserve">to </w:t>
      </w:r>
      <w:r w:rsidR="004B00A6">
        <w:rPr>
          <w:rFonts w:cs="Arial"/>
          <w:bCs/>
          <w:sz w:val="24"/>
          <w:szCs w:val="24"/>
          <w:lang w:val="en-ZA"/>
        </w:rPr>
        <w:t xml:space="preserve">discharge its payment obligation to </w:t>
      </w:r>
      <w:r w:rsidR="004740CB">
        <w:rPr>
          <w:rFonts w:cs="Arial"/>
          <w:bCs/>
          <w:sz w:val="24"/>
          <w:szCs w:val="24"/>
          <w:lang w:val="en-ZA"/>
        </w:rPr>
        <w:t>HPC</w:t>
      </w:r>
      <w:r w:rsidR="005F7DAB">
        <w:rPr>
          <w:rFonts w:cs="Arial"/>
          <w:bCs/>
          <w:sz w:val="24"/>
          <w:szCs w:val="24"/>
          <w:lang w:val="en-ZA"/>
        </w:rPr>
        <w:t xml:space="preserve"> </w:t>
      </w:r>
      <w:r w:rsidR="003E23E4">
        <w:rPr>
          <w:rFonts w:cs="Arial"/>
          <w:bCs/>
          <w:sz w:val="24"/>
          <w:szCs w:val="24"/>
          <w:lang w:val="en-ZA"/>
        </w:rPr>
        <w:t>which holds no security for any monies due to it</w:t>
      </w:r>
      <w:r w:rsidR="004B00A6">
        <w:rPr>
          <w:rFonts w:cs="Arial"/>
          <w:bCs/>
          <w:sz w:val="24"/>
          <w:szCs w:val="24"/>
          <w:lang w:val="en-ZA"/>
        </w:rPr>
        <w:t xml:space="preserve">. </w:t>
      </w:r>
    </w:p>
    <w:p w14:paraId="1F11E177" w14:textId="77777777" w:rsidR="00411675" w:rsidRDefault="00411675" w:rsidP="0086578C">
      <w:pPr>
        <w:pStyle w:val="XClause1Head"/>
        <w:numPr>
          <w:ilvl w:val="0"/>
          <w:numId w:val="0"/>
        </w:numPr>
        <w:spacing w:line="360" w:lineRule="auto"/>
        <w:ind w:left="720" w:hanging="720"/>
        <w:rPr>
          <w:rFonts w:cs="Arial"/>
          <w:bCs/>
          <w:sz w:val="24"/>
          <w:szCs w:val="24"/>
          <w:lang w:val="en-ZA"/>
        </w:rPr>
      </w:pPr>
      <w:r>
        <w:rPr>
          <w:rFonts w:cs="Arial"/>
          <w:bCs/>
          <w:sz w:val="24"/>
          <w:szCs w:val="24"/>
          <w:lang w:val="en-ZA"/>
        </w:rPr>
        <w:lastRenderedPageBreak/>
        <w:t>[</w:t>
      </w:r>
      <w:r w:rsidR="003D26D7">
        <w:rPr>
          <w:rFonts w:cs="Arial"/>
          <w:bCs/>
          <w:sz w:val="24"/>
          <w:szCs w:val="24"/>
          <w:lang w:val="en-ZA"/>
        </w:rPr>
        <w:t>8</w:t>
      </w:r>
      <w:r>
        <w:rPr>
          <w:rFonts w:cs="Arial"/>
          <w:bCs/>
          <w:sz w:val="24"/>
          <w:szCs w:val="24"/>
          <w:lang w:val="en-ZA"/>
        </w:rPr>
        <w:t>]</w:t>
      </w:r>
      <w:r>
        <w:rPr>
          <w:rFonts w:cs="Arial"/>
          <w:bCs/>
          <w:sz w:val="24"/>
          <w:szCs w:val="24"/>
          <w:lang w:val="en-ZA"/>
        </w:rPr>
        <w:tab/>
      </w:r>
      <w:r w:rsidR="004740CB">
        <w:rPr>
          <w:rFonts w:cs="Arial"/>
          <w:bCs/>
          <w:sz w:val="24"/>
          <w:szCs w:val="24"/>
          <w:lang w:val="en-ZA"/>
        </w:rPr>
        <w:t>HPC</w:t>
      </w:r>
      <w:r w:rsidR="00BB2649">
        <w:rPr>
          <w:rFonts w:cs="Arial"/>
          <w:bCs/>
          <w:sz w:val="24"/>
          <w:szCs w:val="24"/>
          <w:lang w:val="en-ZA"/>
        </w:rPr>
        <w:t xml:space="preserve">’s attorneys </w:t>
      </w:r>
      <w:r w:rsidR="00361E0A">
        <w:rPr>
          <w:rFonts w:cs="Arial"/>
          <w:bCs/>
          <w:sz w:val="24"/>
          <w:szCs w:val="24"/>
          <w:lang w:val="en-ZA"/>
        </w:rPr>
        <w:t xml:space="preserve">dispatched a letter of demand </w:t>
      </w:r>
      <w:r w:rsidR="00BB2649">
        <w:rPr>
          <w:rFonts w:cs="Arial"/>
          <w:bCs/>
          <w:sz w:val="24"/>
          <w:szCs w:val="24"/>
          <w:lang w:val="en-ZA"/>
        </w:rPr>
        <w:t xml:space="preserve">dated 05 October 2023 </w:t>
      </w:r>
      <w:r w:rsidR="00361E0A">
        <w:rPr>
          <w:rFonts w:cs="Arial"/>
          <w:bCs/>
          <w:sz w:val="24"/>
          <w:szCs w:val="24"/>
          <w:lang w:val="en-ZA"/>
        </w:rPr>
        <w:t xml:space="preserve">to Kopaneng </w:t>
      </w:r>
      <w:r w:rsidR="00BB2649">
        <w:rPr>
          <w:rFonts w:cs="Arial"/>
          <w:bCs/>
          <w:sz w:val="24"/>
          <w:szCs w:val="24"/>
          <w:lang w:val="en-ZA"/>
        </w:rPr>
        <w:t>for the payment of R6 386 902.08</w:t>
      </w:r>
      <w:r w:rsidR="00361E0A">
        <w:rPr>
          <w:rFonts w:cs="Arial"/>
          <w:bCs/>
          <w:sz w:val="24"/>
          <w:szCs w:val="24"/>
          <w:lang w:val="en-ZA"/>
        </w:rPr>
        <w:t xml:space="preserve">. </w:t>
      </w:r>
      <w:r w:rsidR="00BB2649">
        <w:rPr>
          <w:rFonts w:cs="Arial"/>
          <w:bCs/>
          <w:sz w:val="24"/>
          <w:szCs w:val="24"/>
          <w:lang w:val="en-ZA"/>
        </w:rPr>
        <w:t>In addition, Kopaneng was p</w:t>
      </w:r>
      <w:r w:rsidR="00361E0A">
        <w:rPr>
          <w:rFonts w:cs="Arial"/>
          <w:bCs/>
          <w:sz w:val="24"/>
          <w:szCs w:val="24"/>
          <w:lang w:val="en-ZA"/>
        </w:rPr>
        <w:t xml:space="preserve">laced on terms that unless an agreement was </w:t>
      </w:r>
      <w:r w:rsidR="00AE06B5">
        <w:rPr>
          <w:rFonts w:cs="Arial"/>
          <w:bCs/>
          <w:sz w:val="24"/>
          <w:szCs w:val="24"/>
          <w:lang w:val="en-ZA"/>
        </w:rPr>
        <w:t>reached on</w:t>
      </w:r>
      <w:r w:rsidR="00CF7EBC">
        <w:rPr>
          <w:rFonts w:cs="Arial"/>
          <w:bCs/>
          <w:sz w:val="24"/>
          <w:szCs w:val="24"/>
          <w:lang w:val="en-ZA"/>
        </w:rPr>
        <w:t xml:space="preserve"> the payment of </w:t>
      </w:r>
      <w:r w:rsidR="004740CB">
        <w:rPr>
          <w:rFonts w:cs="Arial"/>
          <w:bCs/>
          <w:sz w:val="24"/>
          <w:szCs w:val="24"/>
          <w:lang w:val="en-ZA"/>
        </w:rPr>
        <w:t>HPC</w:t>
      </w:r>
      <w:r w:rsidR="00CF7EBC">
        <w:rPr>
          <w:rFonts w:cs="Arial"/>
          <w:bCs/>
          <w:sz w:val="24"/>
          <w:szCs w:val="24"/>
          <w:lang w:val="en-ZA"/>
        </w:rPr>
        <w:t xml:space="preserve">’s outstanding </w:t>
      </w:r>
      <w:r w:rsidR="00916B93">
        <w:rPr>
          <w:rFonts w:cs="Arial"/>
          <w:bCs/>
          <w:sz w:val="24"/>
          <w:szCs w:val="24"/>
          <w:lang w:val="en-ZA"/>
        </w:rPr>
        <w:t>debt</w:t>
      </w:r>
      <w:r w:rsidR="007A3E23">
        <w:rPr>
          <w:rFonts w:cs="Arial"/>
          <w:bCs/>
          <w:sz w:val="24"/>
          <w:szCs w:val="24"/>
          <w:lang w:val="en-ZA"/>
        </w:rPr>
        <w:t>,</w:t>
      </w:r>
      <w:r w:rsidR="00916B93">
        <w:rPr>
          <w:rFonts w:cs="Arial"/>
          <w:bCs/>
          <w:sz w:val="24"/>
          <w:szCs w:val="24"/>
          <w:lang w:val="en-ZA"/>
        </w:rPr>
        <w:t xml:space="preserve"> </w:t>
      </w:r>
      <w:r w:rsidR="00E10A14">
        <w:rPr>
          <w:rFonts w:cs="Arial"/>
          <w:bCs/>
          <w:sz w:val="24"/>
          <w:szCs w:val="24"/>
          <w:lang w:val="en-ZA"/>
        </w:rPr>
        <w:t>HPC</w:t>
      </w:r>
      <w:r w:rsidR="00CF7EBC">
        <w:rPr>
          <w:rFonts w:cs="Arial"/>
          <w:bCs/>
          <w:sz w:val="24"/>
          <w:szCs w:val="24"/>
          <w:lang w:val="en-ZA"/>
        </w:rPr>
        <w:t xml:space="preserve"> would </w:t>
      </w:r>
      <w:r w:rsidR="00361E0A">
        <w:rPr>
          <w:rFonts w:cs="Arial"/>
          <w:bCs/>
          <w:sz w:val="24"/>
          <w:szCs w:val="24"/>
          <w:lang w:val="en-ZA"/>
        </w:rPr>
        <w:t xml:space="preserve">apply to this </w:t>
      </w:r>
      <w:r w:rsidR="00CF7EBC">
        <w:rPr>
          <w:rFonts w:cs="Arial"/>
          <w:bCs/>
          <w:sz w:val="24"/>
          <w:szCs w:val="24"/>
          <w:lang w:val="en-ZA"/>
        </w:rPr>
        <w:t>C</w:t>
      </w:r>
      <w:r w:rsidR="00361E0A">
        <w:rPr>
          <w:rFonts w:cs="Arial"/>
          <w:bCs/>
          <w:sz w:val="24"/>
          <w:szCs w:val="24"/>
          <w:lang w:val="en-ZA"/>
        </w:rPr>
        <w:t xml:space="preserve">ourt for the liquidation of Kopaneng. </w:t>
      </w:r>
    </w:p>
    <w:p w14:paraId="0C03560B" w14:textId="77777777" w:rsidR="00FE2B92" w:rsidRDefault="00411675" w:rsidP="0086578C">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w:t>
      </w:r>
      <w:r w:rsidR="003D26D7">
        <w:rPr>
          <w:rFonts w:cs="Arial"/>
          <w:bCs/>
          <w:sz w:val="24"/>
          <w:szCs w:val="24"/>
          <w:lang w:val="en-ZA"/>
        </w:rPr>
        <w:t>9</w:t>
      </w:r>
      <w:r>
        <w:rPr>
          <w:rFonts w:cs="Arial"/>
          <w:bCs/>
          <w:sz w:val="24"/>
          <w:szCs w:val="24"/>
          <w:lang w:val="en-ZA"/>
        </w:rPr>
        <w:t>]</w:t>
      </w:r>
      <w:r>
        <w:rPr>
          <w:rFonts w:cs="Arial"/>
          <w:bCs/>
          <w:sz w:val="24"/>
          <w:szCs w:val="24"/>
          <w:lang w:val="en-ZA"/>
        </w:rPr>
        <w:tab/>
      </w:r>
      <w:r w:rsidR="0086578C">
        <w:rPr>
          <w:rFonts w:cs="Arial"/>
          <w:bCs/>
          <w:sz w:val="24"/>
          <w:szCs w:val="24"/>
          <w:lang w:val="en-ZA"/>
        </w:rPr>
        <w:t xml:space="preserve">HPC states that Ms </w:t>
      </w:r>
      <w:r w:rsidR="0057743B">
        <w:rPr>
          <w:rFonts w:cs="Arial"/>
          <w:bCs/>
          <w:sz w:val="24"/>
          <w:szCs w:val="24"/>
          <w:lang w:val="en-ZA"/>
        </w:rPr>
        <w:t>Selborne</w:t>
      </w:r>
      <w:r w:rsidR="0086578C">
        <w:rPr>
          <w:rFonts w:cs="Arial"/>
          <w:bCs/>
          <w:sz w:val="24"/>
          <w:szCs w:val="24"/>
          <w:lang w:val="en-ZA"/>
        </w:rPr>
        <w:t xml:space="preserve"> had on 16 October 2023 removed Mr Hansie Hanekom as a director of Kopaneng which left her as the only remaining director. It </w:t>
      </w:r>
      <w:r w:rsidR="00550ADA">
        <w:rPr>
          <w:rFonts w:cs="Arial"/>
          <w:bCs/>
          <w:sz w:val="24"/>
          <w:szCs w:val="24"/>
          <w:lang w:val="en-ZA"/>
        </w:rPr>
        <w:t xml:space="preserve">further </w:t>
      </w:r>
      <w:r w:rsidR="0086578C">
        <w:rPr>
          <w:rFonts w:cs="Arial"/>
          <w:bCs/>
          <w:sz w:val="24"/>
          <w:szCs w:val="24"/>
          <w:lang w:val="en-ZA"/>
        </w:rPr>
        <w:t xml:space="preserve">says that Ms </w:t>
      </w:r>
      <w:r w:rsidR="0057743B">
        <w:rPr>
          <w:rFonts w:cs="Arial"/>
          <w:bCs/>
          <w:sz w:val="24"/>
          <w:szCs w:val="24"/>
          <w:lang w:val="en-ZA"/>
        </w:rPr>
        <w:t>Selborne</w:t>
      </w:r>
      <w:r w:rsidR="0086578C">
        <w:rPr>
          <w:rFonts w:cs="Arial"/>
          <w:bCs/>
          <w:sz w:val="24"/>
          <w:szCs w:val="24"/>
          <w:lang w:val="en-ZA"/>
        </w:rPr>
        <w:t xml:space="preserve"> took steps to take control of Kopaneng’s bank account with the intention not to pay the amounts due to </w:t>
      </w:r>
      <w:r w:rsidR="00ED4B45">
        <w:rPr>
          <w:rFonts w:cs="Arial"/>
          <w:bCs/>
          <w:sz w:val="24"/>
          <w:szCs w:val="24"/>
          <w:lang w:val="en-ZA"/>
        </w:rPr>
        <w:t>HPC</w:t>
      </w:r>
      <w:r w:rsidR="00C6084F">
        <w:rPr>
          <w:rFonts w:cs="Arial"/>
          <w:bCs/>
          <w:sz w:val="24"/>
          <w:szCs w:val="24"/>
          <w:lang w:val="en-ZA"/>
        </w:rPr>
        <w:t xml:space="preserve">. </w:t>
      </w:r>
      <w:r w:rsidR="00955358">
        <w:rPr>
          <w:rFonts w:cs="Arial"/>
          <w:bCs/>
          <w:sz w:val="24"/>
          <w:szCs w:val="24"/>
          <w:lang w:val="en-ZA"/>
        </w:rPr>
        <w:t xml:space="preserve">HPC is of the view </w:t>
      </w:r>
      <w:r w:rsidR="00ED4B45">
        <w:rPr>
          <w:rFonts w:cs="Arial"/>
          <w:bCs/>
          <w:sz w:val="24"/>
          <w:szCs w:val="24"/>
          <w:lang w:val="en-ZA"/>
        </w:rPr>
        <w:t xml:space="preserve">that Ms </w:t>
      </w:r>
      <w:r w:rsidR="0057743B">
        <w:rPr>
          <w:rFonts w:cs="Arial"/>
          <w:bCs/>
          <w:sz w:val="24"/>
          <w:szCs w:val="24"/>
          <w:lang w:val="en-ZA"/>
        </w:rPr>
        <w:t>Selborne</w:t>
      </w:r>
      <w:r w:rsidR="00ED4B45">
        <w:rPr>
          <w:rFonts w:cs="Arial"/>
          <w:bCs/>
          <w:sz w:val="24"/>
          <w:szCs w:val="24"/>
          <w:lang w:val="en-ZA"/>
        </w:rPr>
        <w:t xml:space="preserve"> </w:t>
      </w:r>
      <w:r w:rsidR="0086578C">
        <w:rPr>
          <w:rFonts w:cs="Arial"/>
          <w:bCs/>
          <w:sz w:val="24"/>
          <w:szCs w:val="24"/>
          <w:lang w:val="en-ZA"/>
        </w:rPr>
        <w:t xml:space="preserve">may dissipate any monies </w:t>
      </w:r>
      <w:r w:rsidR="00284C0E">
        <w:rPr>
          <w:rFonts w:cs="Arial"/>
          <w:bCs/>
          <w:sz w:val="24"/>
          <w:szCs w:val="24"/>
          <w:lang w:val="en-ZA"/>
        </w:rPr>
        <w:t>GIC</w:t>
      </w:r>
      <w:r w:rsidR="007858ED">
        <w:rPr>
          <w:rFonts w:cs="Arial"/>
          <w:bCs/>
          <w:sz w:val="24"/>
          <w:szCs w:val="24"/>
          <w:lang w:val="en-ZA"/>
        </w:rPr>
        <w:t xml:space="preserve"> </w:t>
      </w:r>
      <w:r w:rsidR="0086578C">
        <w:rPr>
          <w:rFonts w:cs="Arial"/>
          <w:bCs/>
          <w:sz w:val="24"/>
          <w:szCs w:val="24"/>
          <w:lang w:val="en-ZA"/>
        </w:rPr>
        <w:t xml:space="preserve">paid to </w:t>
      </w:r>
      <w:r w:rsidR="007A3E23">
        <w:rPr>
          <w:rFonts w:cs="Arial"/>
          <w:bCs/>
          <w:sz w:val="24"/>
          <w:szCs w:val="24"/>
          <w:lang w:val="en-ZA"/>
        </w:rPr>
        <w:t>Kopaneng</w:t>
      </w:r>
      <w:r w:rsidR="0086578C">
        <w:rPr>
          <w:rFonts w:cs="Arial"/>
          <w:bCs/>
          <w:sz w:val="24"/>
          <w:szCs w:val="24"/>
          <w:lang w:val="en-ZA"/>
        </w:rPr>
        <w:t>.</w:t>
      </w:r>
      <w:r w:rsidR="00491552">
        <w:rPr>
          <w:rFonts w:cs="Arial"/>
          <w:bCs/>
          <w:sz w:val="24"/>
          <w:szCs w:val="24"/>
          <w:lang w:val="en-ZA"/>
        </w:rPr>
        <w:t xml:space="preserve"> Should HPC not obtain the relief it seeks, it </w:t>
      </w:r>
      <w:r w:rsidR="00550ADA">
        <w:rPr>
          <w:rFonts w:cs="Arial"/>
          <w:bCs/>
          <w:sz w:val="24"/>
          <w:szCs w:val="24"/>
          <w:lang w:val="en-ZA"/>
        </w:rPr>
        <w:t xml:space="preserve">was </w:t>
      </w:r>
      <w:r w:rsidR="00491552">
        <w:rPr>
          <w:rFonts w:cs="Arial"/>
          <w:bCs/>
          <w:sz w:val="24"/>
          <w:szCs w:val="24"/>
          <w:lang w:val="en-ZA"/>
        </w:rPr>
        <w:t>contended</w:t>
      </w:r>
      <w:r w:rsidR="00955358">
        <w:rPr>
          <w:rFonts w:cs="Arial"/>
          <w:bCs/>
          <w:sz w:val="24"/>
          <w:szCs w:val="24"/>
          <w:lang w:val="en-ZA"/>
        </w:rPr>
        <w:t>,</w:t>
      </w:r>
      <w:r w:rsidR="00491552">
        <w:rPr>
          <w:rFonts w:cs="Arial"/>
          <w:bCs/>
          <w:sz w:val="24"/>
          <w:szCs w:val="24"/>
          <w:lang w:val="en-ZA"/>
        </w:rPr>
        <w:t xml:space="preserve"> it would be impossible for it to recover any monies due to it from Kopaneng or Ms </w:t>
      </w:r>
      <w:r w:rsidR="0057743B">
        <w:rPr>
          <w:rFonts w:cs="Arial"/>
          <w:bCs/>
          <w:sz w:val="24"/>
          <w:szCs w:val="24"/>
          <w:lang w:val="en-ZA"/>
        </w:rPr>
        <w:t>Selborne</w:t>
      </w:r>
      <w:r w:rsidR="00491552">
        <w:rPr>
          <w:rFonts w:cs="Arial"/>
          <w:bCs/>
          <w:sz w:val="24"/>
          <w:szCs w:val="24"/>
          <w:lang w:val="en-ZA"/>
        </w:rPr>
        <w:t xml:space="preserve">. </w:t>
      </w:r>
    </w:p>
    <w:p w14:paraId="7708A63B" w14:textId="77777777" w:rsidR="00955358" w:rsidRPr="00955358" w:rsidRDefault="00955358" w:rsidP="0086578C">
      <w:pPr>
        <w:pStyle w:val="XClause1Head"/>
        <w:numPr>
          <w:ilvl w:val="0"/>
          <w:numId w:val="0"/>
        </w:numPr>
        <w:spacing w:line="360" w:lineRule="auto"/>
        <w:ind w:left="720" w:hanging="720"/>
        <w:rPr>
          <w:rFonts w:cs="Arial"/>
          <w:b/>
          <w:bCs/>
          <w:sz w:val="24"/>
          <w:szCs w:val="24"/>
          <w:lang w:val="en-ZA"/>
        </w:rPr>
      </w:pPr>
      <w:r w:rsidRPr="00955358">
        <w:rPr>
          <w:rFonts w:cs="Arial"/>
          <w:b/>
          <w:bCs/>
          <w:sz w:val="24"/>
          <w:szCs w:val="24"/>
          <w:lang w:val="en-ZA"/>
        </w:rPr>
        <w:t>The case for Ms Selborne and Kopaneng</w:t>
      </w:r>
    </w:p>
    <w:p w14:paraId="21DE1527" w14:textId="77777777" w:rsidR="00265CF0" w:rsidRDefault="00411675" w:rsidP="0086578C">
      <w:pPr>
        <w:pStyle w:val="XClause1Head"/>
        <w:numPr>
          <w:ilvl w:val="0"/>
          <w:numId w:val="0"/>
        </w:numPr>
        <w:spacing w:line="360" w:lineRule="auto"/>
        <w:ind w:left="720" w:hanging="720"/>
        <w:rPr>
          <w:rFonts w:cs="Arial"/>
          <w:color w:val="000000"/>
          <w:sz w:val="24"/>
          <w:szCs w:val="24"/>
        </w:rPr>
      </w:pPr>
      <w:r>
        <w:rPr>
          <w:rFonts w:cs="Arial"/>
          <w:bCs/>
          <w:sz w:val="24"/>
          <w:szCs w:val="24"/>
          <w:lang w:val="en-ZA"/>
        </w:rPr>
        <w:t>[</w:t>
      </w:r>
      <w:r w:rsidR="003D26D7">
        <w:rPr>
          <w:rFonts w:cs="Arial"/>
          <w:bCs/>
          <w:sz w:val="24"/>
          <w:szCs w:val="24"/>
          <w:lang w:val="en-ZA"/>
        </w:rPr>
        <w:t>10</w:t>
      </w:r>
      <w:r>
        <w:rPr>
          <w:rFonts w:cs="Arial"/>
          <w:bCs/>
          <w:sz w:val="24"/>
          <w:szCs w:val="24"/>
          <w:lang w:val="en-ZA"/>
        </w:rPr>
        <w:t>]</w:t>
      </w:r>
      <w:r>
        <w:rPr>
          <w:rFonts w:cs="Arial"/>
          <w:bCs/>
          <w:sz w:val="24"/>
          <w:szCs w:val="24"/>
          <w:lang w:val="en-ZA"/>
        </w:rPr>
        <w:tab/>
      </w:r>
      <w:r w:rsidR="00FE2B92">
        <w:rPr>
          <w:rFonts w:cs="Arial"/>
          <w:bCs/>
          <w:sz w:val="24"/>
          <w:szCs w:val="24"/>
          <w:lang w:val="en-ZA"/>
        </w:rPr>
        <w:t xml:space="preserve">Ms </w:t>
      </w:r>
      <w:r w:rsidR="0057743B">
        <w:rPr>
          <w:rFonts w:cs="Arial"/>
          <w:bCs/>
          <w:sz w:val="24"/>
          <w:szCs w:val="24"/>
          <w:lang w:val="en-ZA"/>
        </w:rPr>
        <w:t>Selborne</w:t>
      </w:r>
      <w:r w:rsidR="00A03079">
        <w:rPr>
          <w:rFonts w:cs="Arial"/>
          <w:bCs/>
          <w:sz w:val="24"/>
          <w:szCs w:val="24"/>
          <w:lang w:val="en-ZA"/>
        </w:rPr>
        <w:t xml:space="preserve"> </w:t>
      </w:r>
      <w:r w:rsidR="00FE2B92">
        <w:rPr>
          <w:rFonts w:cs="Arial"/>
          <w:bCs/>
          <w:sz w:val="24"/>
          <w:szCs w:val="24"/>
          <w:lang w:val="en-ZA"/>
        </w:rPr>
        <w:t xml:space="preserve">attested to an </w:t>
      </w:r>
      <w:r w:rsidR="00A03079">
        <w:rPr>
          <w:rFonts w:cs="Arial"/>
          <w:bCs/>
          <w:sz w:val="24"/>
          <w:szCs w:val="24"/>
          <w:lang w:val="en-ZA"/>
        </w:rPr>
        <w:t xml:space="preserve">answering </w:t>
      </w:r>
      <w:r w:rsidR="00FE2B92" w:rsidRPr="00265CF0">
        <w:rPr>
          <w:rFonts w:cs="Arial"/>
          <w:bCs/>
          <w:sz w:val="24"/>
          <w:szCs w:val="24"/>
          <w:lang w:val="en-ZA"/>
        </w:rPr>
        <w:t xml:space="preserve">affidavit on behalf of Kopaneng and herself.  HPC </w:t>
      </w:r>
      <w:r w:rsidR="00550ADA">
        <w:rPr>
          <w:rFonts w:cs="Arial"/>
          <w:bCs/>
          <w:sz w:val="24"/>
          <w:szCs w:val="24"/>
          <w:lang w:val="en-ZA"/>
        </w:rPr>
        <w:t xml:space="preserve">initially </w:t>
      </w:r>
      <w:r w:rsidR="00FE2B92" w:rsidRPr="00265CF0">
        <w:rPr>
          <w:rFonts w:cs="Arial"/>
          <w:bCs/>
          <w:sz w:val="24"/>
          <w:szCs w:val="24"/>
          <w:lang w:val="en-ZA"/>
        </w:rPr>
        <w:t xml:space="preserve">took issue that Ms </w:t>
      </w:r>
      <w:r w:rsidR="0057743B">
        <w:rPr>
          <w:rFonts w:cs="Arial"/>
          <w:bCs/>
          <w:sz w:val="24"/>
          <w:szCs w:val="24"/>
          <w:lang w:val="en-ZA"/>
        </w:rPr>
        <w:t>Selborne</w:t>
      </w:r>
      <w:r w:rsidR="00FE2B92" w:rsidRPr="00265CF0">
        <w:rPr>
          <w:rFonts w:cs="Arial"/>
          <w:bCs/>
          <w:sz w:val="24"/>
          <w:szCs w:val="24"/>
          <w:lang w:val="en-ZA"/>
        </w:rPr>
        <w:t xml:space="preserve"> could not represent Kopaneng. </w:t>
      </w:r>
      <w:r w:rsidR="00A03079" w:rsidRPr="00265CF0">
        <w:rPr>
          <w:rFonts w:cs="Arial"/>
          <w:bCs/>
          <w:sz w:val="24"/>
          <w:szCs w:val="24"/>
          <w:lang w:val="en-ZA"/>
        </w:rPr>
        <w:t>As support for this contention HPC relied on</w:t>
      </w:r>
      <w:r w:rsidR="00955358">
        <w:rPr>
          <w:rFonts w:cs="Arial"/>
          <w:bCs/>
          <w:sz w:val="24"/>
          <w:szCs w:val="24"/>
          <w:lang w:val="en-ZA"/>
        </w:rPr>
        <w:t xml:space="preserve"> </w:t>
      </w:r>
      <w:r w:rsidR="00265CF0" w:rsidRPr="00265CF0">
        <w:rPr>
          <w:rFonts w:cs="Arial"/>
          <w:i/>
          <w:iCs/>
          <w:color w:val="000000"/>
          <w:sz w:val="24"/>
          <w:szCs w:val="24"/>
        </w:rPr>
        <w:t>Yates Investments (Pty) Ltd v Commissioner for Inland Revenue</w:t>
      </w:r>
      <w:r w:rsidR="00265CF0" w:rsidRPr="00265CF0">
        <w:rPr>
          <w:rStyle w:val="FootnoteReference"/>
          <w:rFonts w:cs="Arial"/>
          <w:i/>
          <w:iCs/>
          <w:color w:val="000000"/>
          <w:sz w:val="24"/>
          <w:szCs w:val="24"/>
        </w:rPr>
        <w:footnoteReference w:id="1"/>
      </w:r>
      <w:r w:rsidR="00265CF0" w:rsidRPr="00265CF0">
        <w:rPr>
          <w:rFonts w:cs="Arial"/>
          <w:color w:val="000000"/>
          <w:sz w:val="24"/>
          <w:szCs w:val="24"/>
        </w:rPr>
        <w:t> </w:t>
      </w:r>
      <w:r w:rsidR="00265CF0" w:rsidRPr="00265CF0">
        <w:rPr>
          <w:rFonts w:cs="Arial"/>
          <w:bCs/>
          <w:sz w:val="24"/>
          <w:szCs w:val="24"/>
          <w:lang w:val="en-ZA"/>
        </w:rPr>
        <w:t xml:space="preserve">where it was held that </w:t>
      </w:r>
      <w:r w:rsidR="00265CF0" w:rsidRPr="00265CF0">
        <w:rPr>
          <w:rFonts w:cs="Arial"/>
          <w:color w:val="000000"/>
          <w:sz w:val="24"/>
          <w:szCs w:val="24"/>
        </w:rPr>
        <w:t>an artificial person, such as an incorporated company, cannot, as a general rule, be represented in a High Court except by an advocate </w:t>
      </w:r>
      <w:bookmarkStart w:id="2" w:name="0-0-0-1751"/>
      <w:bookmarkEnd w:id="2"/>
      <w:r w:rsidR="00265CF0" w:rsidRPr="00265CF0">
        <w:rPr>
          <w:rFonts w:cs="Arial"/>
          <w:color w:val="000000"/>
          <w:sz w:val="24"/>
          <w:szCs w:val="24"/>
        </w:rPr>
        <w:t>or by an attorney with the right of appearance</w:t>
      </w:r>
      <w:r w:rsidR="00265CF0">
        <w:rPr>
          <w:rFonts w:cs="Arial"/>
          <w:color w:val="000000"/>
          <w:sz w:val="24"/>
          <w:szCs w:val="24"/>
        </w:rPr>
        <w:t>.</w:t>
      </w:r>
      <w:r w:rsidR="001B3AA1">
        <w:rPr>
          <w:rFonts w:cs="Arial"/>
          <w:color w:val="000000"/>
          <w:sz w:val="24"/>
          <w:szCs w:val="24"/>
        </w:rPr>
        <w:t xml:space="preserve"> </w:t>
      </w:r>
      <w:r w:rsidR="00227D76">
        <w:rPr>
          <w:rFonts w:cs="Arial"/>
          <w:color w:val="000000"/>
          <w:sz w:val="24"/>
          <w:szCs w:val="24"/>
        </w:rPr>
        <w:t xml:space="preserve">It was contended </w:t>
      </w:r>
      <w:r w:rsidR="005931B5">
        <w:rPr>
          <w:rFonts w:cs="Arial"/>
          <w:color w:val="000000"/>
          <w:sz w:val="24"/>
          <w:szCs w:val="24"/>
        </w:rPr>
        <w:t xml:space="preserve">for HPC that </w:t>
      </w:r>
      <w:r w:rsidR="00227D76">
        <w:rPr>
          <w:rFonts w:cs="Arial"/>
          <w:color w:val="000000"/>
          <w:sz w:val="24"/>
          <w:szCs w:val="24"/>
        </w:rPr>
        <w:t xml:space="preserve">Kopaneng </w:t>
      </w:r>
      <w:r w:rsidR="00882321">
        <w:rPr>
          <w:rFonts w:cs="Arial"/>
          <w:color w:val="000000"/>
          <w:sz w:val="24"/>
          <w:szCs w:val="24"/>
        </w:rPr>
        <w:t>was not properly before court</w:t>
      </w:r>
      <w:r w:rsidR="00227D76">
        <w:rPr>
          <w:rFonts w:cs="Arial"/>
          <w:color w:val="000000"/>
          <w:sz w:val="24"/>
          <w:szCs w:val="24"/>
        </w:rPr>
        <w:t xml:space="preserve">. </w:t>
      </w:r>
      <w:r w:rsidR="005931B5">
        <w:rPr>
          <w:rFonts w:cs="Arial"/>
          <w:color w:val="000000"/>
          <w:sz w:val="24"/>
          <w:szCs w:val="24"/>
        </w:rPr>
        <w:t>However, o</w:t>
      </w:r>
      <w:r w:rsidR="00227D76">
        <w:rPr>
          <w:rFonts w:cs="Arial"/>
          <w:color w:val="000000"/>
          <w:sz w:val="24"/>
          <w:szCs w:val="24"/>
        </w:rPr>
        <w:t xml:space="preserve">n the date of the hearing of the application </w:t>
      </w:r>
      <w:r w:rsidR="003774F5">
        <w:rPr>
          <w:rFonts w:cs="Arial"/>
          <w:color w:val="000000"/>
          <w:sz w:val="24"/>
          <w:szCs w:val="24"/>
        </w:rPr>
        <w:t>Mr RL Kruger</w:t>
      </w:r>
      <w:r w:rsidR="005931B5">
        <w:rPr>
          <w:rFonts w:cs="Arial"/>
          <w:color w:val="000000"/>
          <w:sz w:val="24"/>
          <w:szCs w:val="24"/>
        </w:rPr>
        <w:t>, a practising advocate,</w:t>
      </w:r>
      <w:r w:rsidR="003774F5">
        <w:rPr>
          <w:rFonts w:cs="Arial"/>
          <w:color w:val="000000"/>
          <w:sz w:val="24"/>
          <w:szCs w:val="24"/>
        </w:rPr>
        <w:t xml:space="preserve"> appeared for Kopaneng and Ms </w:t>
      </w:r>
      <w:r w:rsidR="0057743B">
        <w:rPr>
          <w:rFonts w:cs="Arial"/>
          <w:color w:val="000000"/>
          <w:sz w:val="24"/>
          <w:szCs w:val="24"/>
        </w:rPr>
        <w:t>Selborne</w:t>
      </w:r>
      <w:r w:rsidR="003774F5">
        <w:rPr>
          <w:rFonts w:cs="Arial"/>
          <w:color w:val="000000"/>
          <w:sz w:val="24"/>
          <w:szCs w:val="24"/>
        </w:rPr>
        <w:t>.</w:t>
      </w:r>
    </w:p>
    <w:p w14:paraId="5FDE4C69" w14:textId="77777777" w:rsidR="00543BCD" w:rsidRDefault="00104331" w:rsidP="0086578C">
      <w:pPr>
        <w:pStyle w:val="XClause1Head"/>
        <w:numPr>
          <w:ilvl w:val="0"/>
          <w:numId w:val="0"/>
        </w:numPr>
        <w:spacing w:line="360" w:lineRule="auto"/>
        <w:ind w:left="720" w:hanging="720"/>
        <w:rPr>
          <w:rFonts w:cs="Arial"/>
          <w:color w:val="000000"/>
          <w:sz w:val="24"/>
          <w:szCs w:val="24"/>
        </w:rPr>
      </w:pPr>
      <w:r>
        <w:rPr>
          <w:rFonts w:cs="Arial"/>
          <w:color w:val="000000"/>
          <w:sz w:val="24"/>
          <w:szCs w:val="24"/>
        </w:rPr>
        <w:t>[1</w:t>
      </w:r>
      <w:r w:rsidR="003D26D7">
        <w:rPr>
          <w:rFonts w:cs="Arial"/>
          <w:color w:val="000000"/>
          <w:sz w:val="24"/>
          <w:szCs w:val="24"/>
        </w:rPr>
        <w:t>1</w:t>
      </w:r>
      <w:r>
        <w:rPr>
          <w:rFonts w:cs="Arial"/>
          <w:color w:val="000000"/>
          <w:sz w:val="24"/>
          <w:szCs w:val="24"/>
        </w:rPr>
        <w:t>]</w:t>
      </w:r>
      <w:r>
        <w:rPr>
          <w:rFonts w:cs="Arial"/>
          <w:color w:val="000000"/>
          <w:sz w:val="24"/>
          <w:szCs w:val="24"/>
        </w:rPr>
        <w:tab/>
      </w:r>
      <w:r w:rsidR="001B3AA1">
        <w:rPr>
          <w:rFonts w:cs="Arial"/>
          <w:color w:val="000000"/>
          <w:sz w:val="24"/>
          <w:szCs w:val="24"/>
        </w:rPr>
        <w:t xml:space="preserve">Ms </w:t>
      </w:r>
      <w:r w:rsidR="0057743B">
        <w:rPr>
          <w:rFonts w:cs="Arial"/>
          <w:color w:val="000000"/>
          <w:sz w:val="24"/>
          <w:szCs w:val="24"/>
        </w:rPr>
        <w:t>Selborne</w:t>
      </w:r>
      <w:r w:rsidR="001B3AA1">
        <w:rPr>
          <w:rFonts w:cs="Arial"/>
          <w:color w:val="000000"/>
          <w:sz w:val="24"/>
          <w:szCs w:val="24"/>
        </w:rPr>
        <w:t xml:space="preserve"> submitted that the application was </w:t>
      </w:r>
      <w:r w:rsidR="00507BD0">
        <w:rPr>
          <w:rFonts w:cs="Arial"/>
          <w:color w:val="000000"/>
          <w:sz w:val="24"/>
          <w:szCs w:val="24"/>
        </w:rPr>
        <w:t xml:space="preserve">an abuse of court process and </w:t>
      </w:r>
      <w:r w:rsidR="00543BCD">
        <w:rPr>
          <w:rFonts w:cs="Arial"/>
          <w:color w:val="000000"/>
          <w:sz w:val="24"/>
          <w:szCs w:val="24"/>
        </w:rPr>
        <w:t>not urgent</w:t>
      </w:r>
      <w:r w:rsidR="001B3AA1">
        <w:rPr>
          <w:rFonts w:cs="Arial"/>
          <w:color w:val="000000"/>
          <w:sz w:val="24"/>
          <w:szCs w:val="24"/>
        </w:rPr>
        <w:t xml:space="preserve">. </w:t>
      </w:r>
      <w:r w:rsidR="00626E1A">
        <w:rPr>
          <w:rFonts w:cs="Arial"/>
          <w:color w:val="000000"/>
          <w:sz w:val="24"/>
          <w:szCs w:val="24"/>
        </w:rPr>
        <w:t>She denied the a</w:t>
      </w:r>
      <w:r w:rsidR="00227D76">
        <w:rPr>
          <w:rFonts w:cs="Arial"/>
          <w:color w:val="000000"/>
          <w:sz w:val="24"/>
          <w:szCs w:val="24"/>
        </w:rPr>
        <w:t>llegation</w:t>
      </w:r>
      <w:r w:rsidR="00543BCD">
        <w:rPr>
          <w:rFonts w:cs="Arial"/>
          <w:color w:val="000000"/>
          <w:sz w:val="24"/>
          <w:szCs w:val="24"/>
        </w:rPr>
        <w:t>s</w:t>
      </w:r>
      <w:r w:rsidR="00227D76">
        <w:rPr>
          <w:rFonts w:cs="Arial"/>
          <w:color w:val="000000"/>
          <w:sz w:val="24"/>
          <w:szCs w:val="24"/>
        </w:rPr>
        <w:t xml:space="preserve"> set out in the founding papers. In particular</w:t>
      </w:r>
      <w:r w:rsidR="003A5E26">
        <w:rPr>
          <w:rFonts w:cs="Arial"/>
          <w:color w:val="000000"/>
          <w:sz w:val="24"/>
          <w:szCs w:val="24"/>
        </w:rPr>
        <w:t>,</w:t>
      </w:r>
      <w:r w:rsidR="00916B93" w:rsidRPr="00916B93">
        <w:rPr>
          <w:rFonts w:cs="Arial"/>
          <w:bCs/>
          <w:sz w:val="24"/>
          <w:szCs w:val="24"/>
          <w:lang w:val="en-ZA"/>
        </w:rPr>
        <w:t xml:space="preserve"> </w:t>
      </w:r>
      <w:r w:rsidR="00507BD0">
        <w:rPr>
          <w:rFonts w:cs="Arial"/>
          <w:bCs/>
          <w:sz w:val="24"/>
          <w:szCs w:val="24"/>
          <w:lang w:val="en-ZA"/>
        </w:rPr>
        <w:t xml:space="preserve">she </w:t>
      </w:r>
      <w:r w:rsidR="00916B93">
        <w:rPr>
          <w:rFonts w:cs="Arial"/>
          <w:bCs/>
          <w:sz w:val="24"/>
          <w:szCs w:val="24"/>
          <w:lang w:val="en-ZA"/>
        </w:rPr>
        <w:t xml:space="preserve">disputed that Kopaneng owed the specified amount to HPC </w:t>
      </w:r>
      <w:r w:rsidR="00F07B74">
        <w:rPr>
          <w:rFonts w:cs="Arial"/>
          <w:bCs/>
          <w:sz w:val="24"/>
          <w:szCs w:val="24"/>
          <w:lang w:val="en-ZA"/>
        </w:rPr>
        <w:t xml:space="preserve">and </w:t>
      </w:r>
      <w:r w:rsidR="00F07B74">
        <w:rPr>
          <w:rFonts w:cs="Arial"/>
          <w:color w:val="000000"/>
          <w:sz w:val="24"/>
          <w:szCs w:val="24"/>
        </w:rPr>
        <w:t xml:space="preserve">said that HPC inflated and duplicated its invoices. </w:t>
      </w:r>
      <w:r w:rsidR="001C33B1">
        <w:rPr>
          <w:rFonts w:cs="Arial"/>
          <w:color w:val="000000"/>
          <w:sz w:val="24"/>
          <w:szCs w:val="24"/>
        </w:rPr>
        <w:t xml:space="preserve">According to </w:t>
      </w:r>
      <w:r w:rsidR="00550ADA">
        <w:rPr>
          <w:rFonts w:cs="Arial"/>
          <w:color w:val="000000"/>
          <w:sz w:val="24"/>
          <w:szCs w:val="24"/>
        </w:rPr>
        <w:t>Ms Selborne</w:t>
      </w:r>
      <w:r w:rsidR="00144ABF">
        <w:rPr>
          <w:rFonts w:cs="Arial"/>
          <w:color w:val="000000"/>
          <w:sz w:val="24"/>
          <w:szCs w:val="24"/>
        </w:rPr>
        <w:t>,</w:t>
      </w:r>
      <w:r w:rsidR="00550ADA">
        <w:rPr>
          <w:rFonts w:cs="Arial"/>
          <w:color w:val="000000"/>
          <w:sz w:val="24"/>
          <w:szCs w:val="24"/>
        </w:rPr>
        <w:t xml:space="preserve"> </w:t>
      </w:r>
      <w:r w:rsidR="001C33B1">
        <w:rPr>
          <w:rFonts w:cs="Arial"/>
          <w:color w:val="000000"/>
          <w:sz w:val="24"/>
          <w:szCs w:val="24"/>
        </w:rPr>
        <w:t xml:space="preserve">HPC owes Kopaneng R7.2 Million, for which it would have a counterclaim. </w:t>
      </w:r>
      <w:r w:rsidR="00F07B74">
        <w:rPr>
          <w:rFonts w:cs="Arial"/>
          <w:color w:val="000000"/>
          <w:sz w:val="24"/>
          <w:szCs w:val="24"/>
        </w:rPr>
        <w:t xml:space="preserve">She </w:t>
      </w:r>
      <w:r w:rsidR="000D18DD">
        <w:rPr>
          <w:rFonts w:cs="Arial"/>
          <w:color w:val="000000"/>
          <w:sz w:val="24"/>
          <w:szCs w:val="24"/>
        </w:rPr>
        <w:t xml:space="preserve">also </w:t>
      </w:r>
      <w:r w:rsidR="00F07B74">
        <w:rPr>
          <w:rFonts w:cs="Arial"/>
          <w:color w:val="000000"/>
          <w:sz w:val="24"/>
          <w:szCs w:val="24"/>
        </w:rPr>
        <w:t xml:space="preserve">disputed that Kopaneng </w:t>
      </w:r>
      <w:r w:rsidR="00916B93">
        <w:rPr>
          <w:rFonts w:cs="Arial"/>
          <w:bCs/>
          <w:sz w:val="24"/>
          <w:szCs w:val="24"/>
          <w:lang w:val="en-ZA"/>
        </w:rPr>
        <w:t xml:space="preserve">was trading </w:t>
      </w:r>
      <w:r w:rsidR="00F07B74">
        <w:rPr>
          <w:rFonts w:cs="Arial"/>
          <w:bCs/>
          <w:sz w:val="24"/>
          <w:szCs w:val="24"/>
          <w:lang w:val="en-ZA"/>
        </w:rPr>
        <w:t>in i</w:t>
      </w:r>
      <w:r w:rsidR="00916B93">
        <w:rPr>
          <w:rFonts w:cs="Arial"/>
          <w:bCs/>
          <w:sz w:val="24"/>
          <w:szCs w:val="24"/>
          <w:lang w:val="en-ZA"/>
        </w:rPr>
        <w:t>nsolvent c</w:t>
      </w:r>
      <w:r w:rsidR="00507BD0">
        <w:rPr>
          <w:rFonts w:cs="Arial"/>
          <w:bCs/>
          <w:sz w:val="24"/>
          <w:szCs w:val="24"/>
          <w:lang w:val="en-ZA"/>
        </w:rPr>
        <w:t>ircumstances</w:t>
      </w:r>
      <w:r w:rsidR="005931B5">
        <w:rPr>
          <w:rFonts w:cs="Arial"/>
          <w:bCs/>
          <w:sz w:val="24"/>
          <w:szCs w:val="24"/>
          <w:lang w:val="en-ZA"/>
        </w:rPr>
        <w:t xml:space="preserve">. </w:t>
      </w:r>
      <w:r w:rsidR="00F07B74">
        <w:rPr>
          <w:rFonts w:cs="Arial"/>
          <w:bCs/>
          <w:sz w:val="24"/>
          <w:szCs w:val="24"/>
          <w:lang w:val="en-ZA"/>
        </w:rPr>
        <w:t xml:space="preserve">In her view, </w:t>
      </w:r>
      <w:r w:rsidR="001B3AA1">
        <w:rPr>
          <w:rFonts w:cs="Arial"/>
          <w:color w:val="000000"/>
          <w:sz w:val="24"/>
          <w:szCs w:val="24"/>
        </w:rPr>
        <w:t>HPC attempt</w:t>
      </w:r>
      <w:r w:rsidR="00F07B74">
        <w:rPr>
          <w:rFonts w:cs="Arial"/>
          <w:color w:val="000000"/>
          <w:sz w:val="24"/>
          <w:szCs w:val="24"/>
        </w:rPr>
        <w:t>ed</w:t>
      </w:r>
      <w:r w:rsidR="00CA3E79" w:rsidRPr="00CA3E79">
        <w:rPr>
          <w:rFonts w:cs="Arial"/>
          <w:color w:val="000000"/>
          <w:sz w:val="24"/>
          <w:szCs w:val="24"/>
        </w:rPr>
        <w:t xml:space="preserve"> </w:t>
      </w:r>
      <w:r w:rsidR="00CA3E79">
        <w:rPr>
          <w:rFonts w:cs="Arial"/>
          <w:color w:val="000000"/>
          <w:sz w:val="24"/>
          <w:szCs w:val="24"/>
        </w:rPr>
        <w:t xml:space="preserve">to evade a forensic investigation and invoice review or verification process already embarked upon by Kopaneng and herself by </w:t>
      </w:r>
      <w:r w:rsidR="00F07B74">
        <w:rPr>
          <w:rFonts w:cs="Arial"/>
          <w:color w:val="000000"/>
          <w:sz w:val="24"/>
          <w:szCs w:val="24"/>
        </w:rPr>
        <w:t>launching the</w:t>
      </w:r>
      <w:r w:rsidR="00CA3E79">
        <w:rPr>
          <w:rFonts w:cs="Arial"/>
          <w:color w:val="000000"/>
          <w:sz w:val="24"/>
          <w:szCs w:val="24"/>
        </w:rPr>
        <w:t xml:space="preserve"> present</w:t>
      </w:r>
      <w:r w:rsidR="00F07B74">
        <w:rPr>
          <w:rFonts w:cs="Arial"/>
          <w:color w:val="000000"/>
          <w:sz w:val="24"/>
          <w:szCs w:val="24"/>
        </w:rPr>
        <w:t xml:space="preserve"> application</w:t>
      </w:r>
      <w:r w:rsidR="00CA3E79">
        <w:rPr>
          <w:rFonts w:cs="Arial"/>
          <w:color w:val="000000"/>
          <w:sz w:val="24"/>
          <w:szCs w:val="24"/>
        </w:rPr>
        <w:t xml:space="preserve"> which was intended</w:t>
      </w:r>
      <w:r w:rsidR="001B3AA1">
        <w:rPr>
          <w:rFonts w:cs="Arial"/>
          <w:color w:val="000000"/>
          <w:sz w:val="24"/>
          <w:szCs w:val="24"/>
        </w:rPr>
        <w:t xml:space="preserve"> </w:t>
      </w:r>
      <w:r w:rsidR="008F24BD">
        <w:rPr>
          <w:rFonts w:cs="Arial"/>
          <w:color w:val="000000"/>
          <w:sz w:val="24"/>
          <w:szCs w:val="24"/>
        </w:rPr>
        <w:t xml:space="preserve">to </w:t>
      </w:r>
      <w:r w:rsidR="008E71C6">
        <w:rPr>
          <w:rFonts w:cs="Arial"/>
          <w:color w:val="000000"/>
          <w:sz w:val="24"/>
          <w:szCs w:val="24"/>
        </w:rPr>
        <w:t xml:space="preserve">delay and </w:t>
      </w:r>
      <w:r w:rsidR="008F24BD">
        <w:rPr>
          <w:rFonts w:cs="Arial"/>
          <w:color w:val="000000"/>
          <w:sz w:val="24"/>
          <w:szCs w:val="24"/>
        </w:rPr>
        <w:t xml:space="preserve">frustrate the </w:t>
      </w:r>
      <w:r w:rsidR="00543BCD">
        <w:rPr>
          <w:rFonts w:cs="Arial"/>
          <w:color w:val="000000"/>
          <w:sz w:val="24"/>
          <w:szCs w:val="24"/>
        </w:rPr>
        <w:t xml:space="preserve">said </w:t>
      </w:r>
      <w:r w:rsidR="008F24BD">
        <w:rPr>
          <w:rFonts w:cs="Arial"/>
          <w:color w:val="000000"/>
          <w:sz w:val="24"/>
          <w:szCs w:val="24"/>
        </w:rPr>
        <w:t>invest</w:t>
      </w:r>
      <w:r w:rsidR="008E71C6">
        <w:rPr>
          <w:rFonts w:cs="Arial"/>
          <w:color w:val="000000"/>
          <w:sz w:val="24"/>
          <w:szCs w:val="24"/>
        </w:rPr>
        <w:t xml:space="preserve">igation. </w:t>
      </w:r>
      <w:r w:rsidR="005D7155">
        <w:rPr>
          <w:rFonts w:cs="Arial"/>
          <w:color w:val="000000"/>
          <w:sz w:val="24"/>
          <w:szCs w:val="24"/>
        </w:rPr>
        <w:t xml:space="preserve">She held the view </w:t>
      </w:r>
      <w:r w:rsidR="005D7155">
        <w:rPr>
          <w:rFonts w:cs="Arial"/>
          <w:color w:val="000000"/>
          <w:sz w:val="24"/>
          <w:szCs w:val="24"/>
        </w:rPr>
        <w:lastRenderedPageBreak/>
        <w:t xml:space="preserve">that Kopaneng was used as a front and that </w:t>
      </w:r>
      <w:r w:rsidR="00C2192F">
        <w:rPr>
          <w:rFonts w:cs="Arial"/>
          <w:color w:val="000000"/>
          <w:sz w:val="24"/>
          <w:szCs w:val="24"/>
        </w:rPr>
        <w:t xml:space="preserve">HPC dealt with the </w:t>
      </w:r>
      <w:r w:rsidR="00550ADA">
        <w:rPr>
          <w:rFonts w:cs="Arial"/>
          <w:color w:val="000000"/>
          <w:sz w:val="24"/>
          <w:szCs w:val="24"/>
        </w:rPr>
        <w:t>Opwag P</w:t>
      </w:r>
      <w:r w:rsidR="00C2192F">
        <w:rPr>
          <w:rFonts w:cs="Arial"/>
          <w:color w:val="000000"/>
          <w:sz w:val="24"/>
          <w:szCs w:val="24"/>
        </w:rPr>
        <w:t>roject in a fraudulent manner</w:t>
      </w:r>
      <w:r w:rsidR="001C33B1">
        <w:rPr>
          <w:rFonts w:cs="Arial"/>
          <w:color w:val="000000"/>
          <w:sz w:val="24"/>
          <w:szCs w:val="24"/>
        </w:rPr>
        <w:t>.</w:t>
      </w:r>
      <w:r w:rsidR="00C2192F">
        <w:rPr>
          <w:rFonts w:cs="Arial"/>
          <w:color w:val="000000"/>
          <w:sz w:val="24"/>
          <w:szCs w:val="24"/>
        </w:rPr>
        <w:t xml:space="preserve"> </w:t>
      </w:r>
    </w:p>
    <w:p w14:paraId="6E2650C7" w14:textId="77777777" w:rsidR="00374029" w:rsidRDefault="00543BCD" w:rsidP="0086578C">
      <w:pPr>
        <w:pStyle w:val="XClause1Head"/>
        <w:numPr>
          <w:ilvl w:val="0"/>
          <w:numId w:val="0"/>
        </w:numPr>
        <w:spacing w:line="360" w:lineRule="auto"/>
        <w:ind w:left="720" w:hanging="720"/>
        <w:rPr>
          <w:rFonts w:cs="Arial"/>
          <w:color w:val="000000"/>
          <w:sz w:val="24"/>
          <w:szCs w:val="24"/>
        </w:rPr>
      </w:pPr>
      <w:r>
        <w:rPr>
          <w:rFonts w:cs="Arial"/>
          <w:color w:val="000000"/>
          <w:sz w:val="24"/>
          <w:szCs w:val="24"/>
        </w:rPr>
        <w:t>[1</w:t>
      </w:r>
      <w:r w:rsidR="003D26D7">
        <w:rPr>
          <w:rFonts w:cs="Arial"/>
          <w:color w:val="000000"/>
          <w:sz w:val="24"/>
          <w:szCs w:val="24"/>
        </w:rPr>
        <w:t>2</w:t>
      </w:r>
      <w:r>
        <w:rPr>
          <w:rFonts w:cs="Arial"/>
          <w:color w:val="000000"/>
          <w:sz w:val="24"/>
          <w:szCs w:val="24"/>
        </w:rPr>
        <w:t>]</w:t>
      </w:r>
      <w:r>
        <w:rPr>
          <w:rFonts w:cs="Arial"/>
          <w:color w:val="000000"/>
          <w:sz w:val="24"/>
          <w:szCs w:val="24"/>
        </w:rPr>
        <w:tab/>
        <w:t xml:space="preserve">Ms </w:t>
      </w:r>
      <w:r w:rsidR="0057743B">
        <w:rPr>
          <w:rFonts w:cs="Arial"/>
          <w:color w:val="000000"/>
          <w:sz w:val="24"/>
          <w:szCs w:val="24"/>
        </w:rPr>
        <w:t>Selborne</w:t>
      </w:r>
      <w:r>
        <w:rPr>
          <w:rFonts w:cs="Arial"/>
          <w:color w:val="000000"/>
          <w:sz w:val="24"/>
          <w:szCs w:val="24"/>
        </w:rPr>
        <w:t xml:space="preserve"> </w:t>
      </w:r>
      <w:r w:rsidR="00550ADA">
        <w:rPr>
          <w:rFonts w:cs="Arial"/>
          <w:color w:val="000000"/>
          <w:sz w:val="24"/>
          <w:szCs w:val="24"/>
        </w:rPr>
        <w:t xml:space="preserve">further </w:t>
      </w:r>
      <w:r w:rsidR="001C33B1">
        <w:rPr>
          <w:rFonts w:cs="Arial"/>
          <w:color w:val="000000"/>
          <w:sz w:val="24"/>
          <w:szCs w:val="24"/>
        </w:rPr>
        <w:t>intimated t</w:t>
      </w:r>
      <w:r w:rsidR="00626DBE">
        <w:rPr>
          <w:rFonts w:cs="Arial"/>
          <w:color w:val="000000"/>
          <w:sz w:val="24"/>
          <w:szCs w:val="24"/>
        </w:rPr>
        <w:t xml:space="preserve">hat any funds held by </w:t>
      </w:r>
      <w:r w:rsidR="00284C0E">
        <w:rPr>
          <w:rFonts w:cs="Arial"/>
          <w:color w:val="000000"/>
          <w:sz w:val="24"/>
          <w:szCs w:val="24"/>
        </w:rPr>
        <w:t>GIC</w:t>
      </w:r>
      <w:r w:rsidR="00626DBE">
        <w:rPr>
          <w:rFonts w:cs="Arial"/>
          <w:color w:val="000000"/>
          <w:sz w:val="24"/>
          <w:szCs w:val="24"/>
        </w:rPr>
        <w:t xml:space="preserve"> would be safer if deposited in Kopaneng’s accounts than placed in HPC’s hands. </w:t>
      </w:r>
      <w:r w:rsidR="001C33B1">
        <w:rPr>
          <w:rFonts w:cs="Arial"/>
          <w:color w:val="000000"/>
          <w:sz w:val="24"/>
          <w:szCs w:val="24"/>
        </w:rPr>
        <w:t>I</w:t>
      </w:r>
      <w:r w:rsidR="00FE3815">
        <w:rPr>
          <w:rFonts w:cs="Arial"/>
          <w:color w:val="000000"/>
          <w:sz w:val="24"/>
          <w:szCs w:val="24"/>
        </w:rPr>
        <w:t xml:space="preserve">n any event, she intimated, the application </w:t>
      </w:r>
      <w:r w:rsidR="001C33B1">
        <w:rPr>
          <w:rFonts w:cs="Arial"/>
          <w:color w:val="000000"/>
          <w:sz w:val="24"/>
          <w:szCs w:val="24"/>
        </w:rPr>
        <w:t xml:space="preserve">may </w:t>
      </w:r>
      <w:r w:rsidR="00FE3815">
        <w:rPr>
          <w:rFonts w:cs="Arial"/>
          <w:color w:val="000000"/>
          <w:sz w:val="24"/>
          <w:szCs w:val="24"/>
        </w:rPr>
        <w:t xml:space="preserve">be </w:t>
      </w:r>
      <w:r w:rsidR="00A77FDA">
        <w:rPr>
          <w:rFonts w:cs="Arial"/>
          <w:color w:val="000000"/>
          <w:sz w:val="24"/>
          <w:szCs w:val="24"/>
        </w:rPr>
        <w:t xml:space="preserve">rendered academic </w:t>
      </w:r>
      <w:r w:rsidR="00D1799E">
        <w:rPr>
          <w:rFonts w:cs="Arial"/>
          <w:color w:val="000000"/>
          <w:sz w:val="24"/>
          <w:szCs w:val="24"/>
        </w:rPr>
        <w:t xml:space="preserve">due to the impending </w:t>
      </w:r>
      <w:r w:rsidR="007E7962">
        <w:rPr>
          <w:rFonts w:cs="Arial"/>
          <w:color w:val="000000"/>
          <w:sz w:val="24"/>
          <w:szCs w:val="24"/>
        </w:rPr>
        <w:t xml:space="preserve">forensic </w:t>
      </w:r>
      <w:r w:rsidR="00D1799E">
        <w:rPr>
          <w:rFonts w:cs="Arial"/>
          <w:color w:val="000000"/>
          <w:sz w:val="24"/>
          <w:szCs w:val="24"/>
        </w:rPr>
        <w:t xml:space="preserve">investigation </w:t>
      </w:r>
      <w:r w:rsidR="00331F8B">
        <w:rPr>
          <w:rFonts w:cs="Arial"/>
          <w:color w:val="000000"/>
          <w:sz w:val="24"/>
          <w:szCs w:val="24"/>
        </w:rPr>
        <w:t>which</w:t>
      </w:r>
      <w:r w:rsidR="00550ADA">
        <w:rPr>
          <w:rFonts w:cs="Arial"/>
          <w:color w:val="000000"/>
          <w:sz w:val="24"/>
          <w:szCs w:val="24"/>
        </w:rPr>
        <w:t>,</w:t>
      </w:r>
      <w:r w:rsidR="00331F8B">
        <w:rPr>
          <w:rFonts w:cs="Arial"/>
          <w:color w:val="000000"/>
          <w:sz w:val="24"/>
          <w:szCs w:val="24"/>
        </w:rPr>
        <w:t xml:space="preserve"> she says</w:t>
      </w:r>
      <w:r w:rsidR="00550ADA">
        <w:rPr>
          <w:rFonts w:cs="Arial"/>
          <w:color w:val="000000"/>
          <w:sz w:val="24"/>
          <w:szCs w:val="24"/>
        </w:rPr>
        <w:t>,</w:t>
      </w:r>
      <w:r w:rsidR="00331F8B">
        <w:rPr>
          <w:rFonts w:cs="Arial"/>
          <w:color w:val="000000"/>
          <w:sz w:val="24"/>
          <w:szCs w:val="24"/>
        </w:rPr>
        <w:t xml:space="preserve"> the</w:t>
      </w:r>
      <w:r w:rsidR="00626DBE">
        <w:rPr>
          <w:rFonts w:cs="Arial"/>
          <w:color w:val="000000"/>
          <w:sz w:val="24"/>
          <w:szCs w:val="24"/>
        </w:rPr>
        <w:t xml:space="preserve"> parties </w:t>
      </w:r>
      <w:r w:rsidR="00331F8B">
        <w:rPr>
          <w:rFonts w:cs="Arial"/>
          <w:color w:val="000000"/>
          <w:sz w:val="24"/>
          <w:szCs w:val="24"/>
        </w:rPr>
        <w:t>ought to have agreed on a time</w:t>
      </w:r>
      <w:r w:rsidR="00626DBE">
        <w:rPr>
          <w:rFonts w:cs="Arial"/>
          <w:color w:val="000000"/>
          <w:sz w:val="24"/>
          <w:szCs w:val="24"/>
        </w:rPr>
        <w:t>-</w:t>
      </w:r>
      <w:r w:rsidR="00331F8B">
        <w:rPr>
          <w:rFonts w:cs="Arial"/>
          <w:color w:val="000000"/>
          <w:sz w:val="24"/>
          <w:szCs w:val="24"/>
        </w:rPr>
        <w:t>line for its completion</w:t>
      </w:r>
      <w:r w:rsidR="00DA1579">
        <w:rPr>
          <w:rFonts w:cs="Arial"/>
          <w:color w:val="000000"/>
          <w:sz w:val="24"/>
          <w:szCs w:val="24"/>
        </w:rPr>
        <w:t>. She contended that it was not in the interest of justice to grant the application as it was fatally flawed</w:t>
      </w:r>
      <w:r w:rsidR="003F1C71">
        <w:rPr>
          <w:rFonts w:cs="Arial"/>
          <w:color w:val="000000"/>
          <w:sz w:val="24"/>
          <w:szCs w:val="24"/>
        </w:rPr>
        <w:t xml:space="preserve"> and fell to be dismissed with costs.</w:t>
      </w:r>
    </w:p>
    <w:p w14:paraId="4EF5CD11" w14:textId="77777777" w:rsidR="001C33B1" w:rsidRPr="001C33B1" w:rsidRDefault="001C33B1" w:rsidP="0086578C">
      <w:pPr>
        <w:pStyle w:val="XClause1Head"/>
        <w:numPr>
          <w:ilvl w:val="0"/>
          <w:numId w:val="0"/>
        </w:numPr>
        <w:spacing w:line="360" w:lineRule="auto"/>
        <w:ind w:left="720" w:hanging="720"/>
        <w:rPr>
          <w:rFonts w:cs="Arial"/>
          <w:b/>
          <w:color w:val="000000"/>
          <w:sz w:val="24"/>
          <w:szCs w:val="24"/>
        </w:rPr>
      </w:pPr>
      <w:r w:rsidRPr="001C33B1">
        <w:rPr>
          <w:rFonts w:cs="Arial"/>
          <w:b/>
          <w:color w:val="000000"/>
          <w:sz w:val="24"/>
          <w:szCs w:val="24"/>
        </w:rPr>
        <w:t>HPC</w:t>
      </w:r>
      <w:r w:rsidR="00527EF8">
        <w:rPr>
          <w:rFonts w:cs="Arial"/>
          <w:b/>
          <w:color w:val="000000"/>
          <w:sz w:val="24"/>
          <w:szCs w:val="24"/>
        </w:rPr>
        <w:t>’s</w:t>
      </w:r>
      <w:r w:rsidRPr="001C33B1">
        <w:rPr>
          <w:rFonts w:cs="Arial"/>
          <w:b/>
          <w:color w:val="000000"/>
          <w:sz w:val="24"/>
          <w:szCs w:val="24"/>
        </w:rPr>
        <w:t xml:space="preserve"> brief reply</w:t>
      </w:r>
    </w:p>
    <w:p w14:paraId="46C8D8DF" w14:textId="77777777" w:rsidR="001B3AA1" w:rsidRDefault="00CD231C" w:rsidP="0086578C">
      <w:pPr>
        <w:pStyle w:val="XClause1Head"/>
        <w:numPr>
          <w:ilvl w:val="0"/>
          <w:numId w:val="0"/>
        </w:numPr>
        <w:spacing w:line="360" w:lineRule="auto"/>
        <w:ind w:left="720" w:hanging="720"/>
        <w:rPr>
          <w:rFonts w:cs="Arial"/>
          <w:color w:val="000000"/>
          <w:sz w:val="24"/>
          <w:szCs w:val="24"/>
        </w:rPr>
      </w:pPr>
      <w:r>
        <w:rPr>
          <w:rFonts w:cs="Arial"/>
          <w:color w:val="000000"/>
          <w:sz w:val="24"/>
          <w:szCs w:val="24"/>
        </w:rPr>
        <w:t>[1</w:t>
      </w:r>
      <w:r w:rsidR="003D26D7">
        <w:rPr>
          <w:rFonts w:cs="Arial"/>
          <w:color w:val="000000"/>
          <w:sz w:val="24"/>
          <w:szCs w:val="24"/>
        </w:rPr>
        <w:t>3</w:t>
      </w:r>
      <w:r>
        <w:rPr>
          <w:rFonts w:cs="Arial"/>
          <w:color w:val="000000"/>
          <w:sz w:val="24"/>
          <w:szCs w:val="24"/>
        </w:rPr>
        <w:t>]</w:t>
      </w:r>
      <w:r>
        <w:rPr>
          <w:rFonts w:cs="Arial"/>
          <w:color w:val="000000"/>
          <w:sz w:val="24"/>
          <w:szCs w:val="24"/>
        </w:rPr>
        <w:tab/>
      </w:r>
      <w:r w:rsidR="009A6694">
        <w:rPr>
          <w:rFonts w:cs="Arial"/>
          <w:color w:val="000000"/>
          <w:sz w:val="24"/>
          <w:szCs w:val="24"/>
        </w:rPr>
        <w:t>HPC</w:t>
      </w:r>
      <w:r w:rsidR="003F1C71">
        <w:rPr>
          <w:rFonts w:cs="Arial"/>
          <w:color w:val="000000"/>
          <w:sz w:val="24"/>
          <w:szCs w:val="24"/>
        </w:rPr>
        <w:t xml:space="preserve"> </w:t>
      </w:r>
      <w:r w:rsidR="007721F5">
        <w:rPr>
          <w:rFonts w:cs="Arial"/>
          <w:color w:val="000000"/>
          <w:sz w:val="24"/>
          <w:szCs w:val="24"/>
        </w:rPr>
        <w:t xml:space="preserve">repeatedly stated </w:t>
      </w:r>
      <w:r w:rsidR="00527EF8">
        <w:rPr>
          <w:rFonts w:cs="Arial"/>
          <w:color w:val="000000"/>
          <w:sz w:val="24"/>
          <w:szCs w:val="24"/>
        </w:rPr>
        <w:t xml:space="preserve">in its replying affidavit </w:t>
      </w:r>
      <w:r w:rsidR="007721F5">
        <w:rPr>
          <w:rFonts w:cs="Arial"/>
          <w:color w:val="000000"/>
          <w:sz w:val="24"/>
          <w:szCs w:val="24"/>
        </w:rPr>
        <w:t xml:space="preserve">that it </w:t>
      </w:r>
      <w:r w:rsidR="009A6694">
        <w:rPr>
          <w:rFonts w:cs="Arial"/>
          <w:color w:val="000000"/>
          <w:sz w:val="24"/>
          <w:szCs w:val="24"/>
        </w:rPr>
        <w:t>was also “desirous to fairly and amicably resolve the matter”</w:t>
      </w:r>
      <w:r w:rsidR="0035780D">
        <w:rPr>
          <w:rFonts w:cs="Arial"/>
          <w:color w:val="000000"/>
          <w:sz w:val="24"/>
          <w:szCs w:val="24"/>
        </w:rPr>
        <w:t xml:space="preserve"> </w:t>
      </w:r>
      <w:r w:rsidR="00DC080A">
        <w:rPr>
          <w:rFonts w:cs="Arial"/>
          <w:color w:val="000000"/>
          <w:sz w:val="24"/>
          <w:szCs w:val="24"/>
        </w:rPr>
        <w:t>and to cooperate with the investigation</w:t>
      </w:r>
      <w:r w:rsidR="007721F5">
        <w:rPr>
          <w:rFonts w:cs="Arial"/>
          <w:color w:val="000000"/>
          <w:sz w:val="24"/>
          <w:szCs w:val="24"/>
        </w:rPr>
        <w:t xml:space="preserve"> suggested by Ms </w:t>
      </w:r>
      <w:r w:rsidR="0057743B">
        <w:rPr>
          <w:rFonts w:cs="Arial"/>
          <w:color w:val="000000"/>
          <w:sz w:val="24"/>
          <w:szCs w:val="24"/>
        </w:rPr>
        <w:t>Selborne</w:t>
      </w:r>
      <w:r w:rsidR="009A6694">
        <w:rPr>
          <w:rFonts w:cs="Arial"/>
          <w:color w:val="000000"/>
          <w:sz w:val="24"/>
          <w:szCs w:val="24"/>
        </w:rPr>
        <w:t xml:space="preserve"> as </w:t>
      </w:r>
      <w:r w:rsidR="007E7962">
        <w:rPr>
          <w:rFonts w:cs="Arial"/>
          <w:color w:val="000000"/>
          <w:sz w:val="24"/>
          <w:szCs w:val="24"/>
        </w:rPr>
        <w:t xml:space="preserve">this </w:t>
      </w:r>
      <w:r w:rsidR="009A6694">
        <w:rPr>
          <w:rFonts w:cs="Arial"/>
          <w:color w:val="000000"/>
          <w:sz w:val="24"/>
          <w:szCs w:val="24"/>
        </w:rPr>
        <w:t xml:space="preserve">would avoid </w:t>
      </w:r>
      <w:r w:rsidR="007721F5">
        <w:rPr>
          <w:rFonts w:cs="Arial"/>
          <w:color w:val="000000"/>
          <w:sz w:val="24"/>
          <w:szCs w:val="24"/>
        </w:rPr>
        <w:t xml:space="preserve">the incurrence </w:t>
      </w:r>
      <w:r w:rsidR="00C52900">
        <w:rPr>
          <w:rFonts w:cs="Arial"/>
          <w:color w:val="000000"/>
          <w:sz w:val="24"/>
          <w:szCs w:val="24"/>
        </w:rPr>
        <w:t xml:space="preserve">of </w:t>
      </w:r>
      <w:r w:rsidR="009A6694">
        <w:rPr>
          <w:rFonts w:cs="Arial"/>
          <w:color w:val="000000"/>
          <w:sz w:val="24"/>
          <w:szCs w:val="24"/>
        </w:rPr>
        <w:t xml:space="preserve">further litigation costs. </w:t>
      </w:r>
      <w:r w:rsidR="00D1799E">
        <w:rPr>
          <w:rFonts w:cs="Arial"/>
          <w:color w:val="000000"/>
          <w:sz w:val="24"/>
          <w:szCs w:val="24"/>
        </w:rPr>
        <w:t xml:space="preserve">However, </w:t>
      </w:r>
      <w:r w:rsidR="00223D42">
        <w:rPr>
          <w:rFonts w:cs="Arial"/>
          <w:color w:val="000000"/>
          <w:sz w:val="24"/>
          <w:szCs w:val="24"/>
        </w:rPr>
        <w:t xml:space="preserve">HPC states </w:t>
      </w:r>
      <w:r w:rsidR="00FD28DF">
        <w:rPr>
          <w:rFonts w:cs="Arial"/>
          <w:color w:val="000000"/>
          <w:sz w:val="24"/>
          <w:szCs w:val="24"/>
        </w:rPr>
        <w:t xml:space="preserve">that </w:t>
      </w:r>
      <w:r w:rsidR="00223D42">
        <w:rPr>
          <w:rFonts w:cs="Arial"/>
          <w:color w:val="000000"/>
          <w:sz w:val="24"/>
          <w:szCs w:val="24"/>
        </w:rPr>
        <w:t>it is unaware of any forensic investigat</w:t>
      </w:r>
      <w:r w:rsidR="00DF2B8B">
        <w:rPr>
          <w:rFonts w:cs="Arial"/>
          <w:color w:val="000000"/>
          <w:sz w:val="24"/>
          <w:szCs w:val="24"/>
        </w:rPr>
        <w:t>ion which</w:t>
      </w:r>
      <w:r w:rsidR="00223D42">
        <w:rPr>
          <w:rFonts w:cs="Arial"/>
          <w:color w:val="000000"/>
          <w:sz w:val="24"/>
          <w:szCs w:val="24"/>
        </w:rPr>
        <w:t xml:space="preserve"> Kopaneng and Ms </w:t>
      </w:r>
      <w:r w:rsidR="0057743B">
        <w:rPr>
          <w:rFonts w:cs="Arial"/>
          <w:color w:val="000000"/>
          <w:sz w:val="24"/>
          <w:szCs w:val="24"/>
        </w:rPr>
        <w:t>Selborne</w:t>
      </w:r>
      <w:r w:rsidR="00223D42">
        <w:rPr>
          <w:rFonts w:cs="Arial"/>
          <w:color w:val="000000"/>
          <w:sz w:val="24"/>
          <w:szCs w:val="24"/>
        </w:rPr>
        <w:t xml:space="preserve"> </w:t>
      </w:r>
      <w:r w:rsidR="00D1799E">
        <w:rPr>
          <w:rFonts w:cs="Arial"/>
          <w:color w:val="000000"/>
          <w:sz w:val="24"/>
          <w:szCs w:val="24"/>
        </w:rPr>
        <w:t>commissioned</w:t>
      </w:r>
      <w:r w:rsidR="007721F5">
        <w:rPr>
          <w:rFonts w:cs="Arial"/>
          <w:color w:val="000000"/>
          <w:sz w:val="24"/>
          <w:szCs w:val="24"/>
        </w:rPr>
        <w:t xml:space="preserve">. It says </w:t>
      </w:r>
      <w:r w:rsidR="005669D2">
        <w:rPr>
          <w:rFonts w:cs="Arial"/>
          <w:color w:val="000000"/>
          <w:sz w:val="24"/>
          <w:szCs w:val="24"/>
        </w:rPr>
        <w:t xml:space="preserve">that </w:t>
      </w:r>
      <w:r w:rsidR="009A6694">
        <w:rPr>
          <w:rFonts w:cs="Arial"/>
          <w:color w:val="000000"/>
          <w:sz w:val="24"/>
          <w:szCs w:val="24"/>
        </w:rPr>
        <w:t xml:space="preserve">it had no choice but to file the application </w:t>
      </w:r>
      <w:r w:rsidR="005669D2">
        <w:rPr>
          <w:rFonts w:cs="Arial"/>
          <w:color w:val="000000"/>
          <w:sz w:val="24"/>
          <w:szCs w:val="24"/>
        </w:rPr>
        <w:t>to obviate any dissipation of the funds that GIC would pay to Kopaneng</w:t>
      </w:r>
      <w:r w:rsidR="00527EF8">
        <w:rPr>
          <w:rFonts w:cs="Arial"/>
          <w:color w:val="000000"/>
          <w:sz w:val="24"/>
          <w:szCs w:val="24"/>
        </w:rPr>
        <w:t xml:space="preserve"> in due course</w:t>
      </w:r>
      <w:r w:rsidR="009A6694">
        <w:rPr>
          <w:rFonts w:cs="Arial"/>
          <w:color w:val="000000"/>
          <w:sz w:val="24"/>
          <w:szCs w:val="24"/>
        </w:rPr>
        <w:t xml:space="preserve">. </w:t>
      </w:r>
    </w:p>
    <w:p w14:paraId="2234B8BB" w14:textId="77777777" w:rsidR="005669D2" w:rsidRPr="005669D2" w:rsidRDefault="005669D2" w:rsidP="0086578C">
      <w:pPr>
        <w:pStyle w:val="XClause1Head"/>
        <w:numPr>
          <w:ilvl w:val="0"/>
          <w:numId w:val="0"/>
        </w:numPr>
        <w:spacing w:line="360" w:lineRule="auto"/>
        <w:ind w:left="720" w:hanging="720"/>
        <w:rPr>
          <w:rFonts w:cs="Arial"/>
          <w:b/>
          <w:color w:val="000000"/>
          <w:sz w:val="24"/>
          <w:szCs w:val="24"/>
        </w:rPr>
      </w:pPr>
      <w:r w:rsidRPr="005669D2">
        <w:rPr>
          <w:rFonts w:cs="Arial"/>
          <w:b/>
          <w:color w:val="000000"/>
          <w:sz w:val="24"/>
          <w:szCs w:val="24"/>
        </w:rPr>
        <w:t xml:space="preserve">Discussion </w:t>
      </w:r>
    </w:p>
    <w:p w14:paraId="5B9FAFFB" w14:textId="77777777" w:rsidR="004341F7" w:rsidRDefault="00CD231C" w:rsidP="008C18F4">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[1</w:t>
      </w:r>
      <w:r w:rsidR="003D26D7">
        <w:rPr>
          <w:rFonts w:cs="Arial"/>
          <w:bCs/>
          <w:sz w:val="24"/>
          <w:szCs w:val="24"/>
          <w:lang w:val="en-ZA"/>
        </w:rPr>
        <w:t>4</w:t>
      </w:r>
      <w:r>
        <w:rPr>
          <w:rFonts w:cs="Arial"/>
          <w:bCs/>
          <w:sz w:val="24"/>
          <w:szCs w:val="24"/>
          <w:lang w:val="en-ZA"/>
        </w:rPr>
        <w:t>]</w:t>
      </w:r>
      <w:r>
        <w:rPr>
          <w:rFonts w:cs="Arial"/>
          <w:bCs/>
          <w:sz w:val="24"/>
          <w:szCs w:val="24"/>
          <w:lang w:val="en-ZA"/>
        </w:rPr>
        <w:tab/>
      </w:r>
      <w:r w:rsidR="006A5F41">
        <w:rPr>
          <w:rFonts w:cs="Arial"/>
          <w:bCs/>
          <w:sz w:val="24"/>
          <w:szCs w:val="24"/>
          <w:lang w:val="en-ZA"/>
        </w:rPr>
        <w:t xml:space="preserve">The dispute with regard to the amounts the parties owed </w:t>
      </w:r>
      <w:r w:rsidR="00FD28DF">
        <w:rPr>
          <w:rFonts w:cs="Arial"/>
          <w:bCs/>
          <w:sz w:val="24"/>
          <w:szCs w:val="24"/>
          <w:lang w:val="en-ZA"/>
        </w:rPr>
        <w:t xml:space="preserve">to </w:t>
      </w:r>
      <w:r w:rsidR="00527EF8">
        <w:rPr>
          <w:rFonts w:cs="Arial"/>
          <w:bCs/>
          <w:sz w:val="24"/>
          <w:szCs w:val="24"/>
          <w:lang w:val="en-ZA"/>
        </w:rPr>
        <w:t>each other</w:t>
      </w:r>
      <w:r w:rsidR="006A5F41">
        <w:rPr>
          <w:rFonts w:cs="Arial"/>
          <w:bCs/>
          <w:sz w:val="24"/>
          <w:szCs w:val="24"/>
          <w:lang w:val="en-ZA"/>
        </w:rPr>
        <w:t xml:space="preserve"> </w:t>
      </w:r>
      <w:r w:rsidR="00527EF8">
        <w:rPr>
          <w:rFonts w:cs="Arial"/>
          <w:bCs/>
          <w:sz w:val="24"/>
          <w:szCs w:val="24"/>
          <w:lang w:val="en-ZA"/>
        </w:rPr>
        <w:t>may well be</w:t>
      </w:r>
      <w:r w:rsidR="006A5F41">
        <w:rPr>
          <w:rFonts w:cs="Arial"/>
          <w:bCs/>
          <w:sz w:val="24"/>
          <w:szCs w:val="24"/>
          <w:lang w:val="en-ZA"/>
        </w:rPr>
        <w:t xml:space="preserve"> considered at the hearing in due course. </w:t>
      </w:r>
      <w:r w:rsidR="00D003A8">
        <w:rPr>
          <w:rFonts w:cs="Arial"/>
          <w:bCs/>
          <w:sz w:val="24"/>
          <w:szCs w:val="24"/>
          <w:lang w:val="en-ZA"/>
        </w:rPr>
        <w:t>It is not in dispu</w:t>
      </w:r>
      <w:r w:rsidR="00D06C6B">
        <w:rPr>
          <w:rFonts w:cs="Arial"/>
          <w:bCs/>
          <w:sz w:val="24"/>
          <w:szCs w:val="24"/>
          <w:lang w:val="en-ZA"/>
        </w:rPr>
        <w:t>t</w:t>
      </w:r>
      <w:r w:rsidR="00D003A8">
        <w:rPr>
          <w:rFonts w:cs="Arial"/>
          <w:bCs/>
          <w:sz w:val="24"/>
          <w:szCs w:val="24"/>
          <w:lang w:val="en-ZA"/>
        </w:rPr>
        <w:t>e that GIC is holding certain amoun</w:t>
      </w:r>
      <w:r w:rsidR="00D06C6B">
        <w:rPr>
          <w:rFonts w:cs="Arial"/>
          <w:bCs/>
          <w:sz w:val="24"/>
          <w:szCs w:val="24"/>
          <w:lang w:val="en-ZA"/>
        </w:rPr>
        <w:t>t</w:t>
      </w:r>
      <w:r w:rsidR="00D003A8">
        <w:rPr>
          <w:rFonts w:cs="Arial"/>
          <w:bCs/>
          <w:sz w:val="24"/>
          <w:szCs w:val="24"/>
          <w:lang w:val="en-ZA"/>
        </w:rPr>
        <w:t xml:space="preserve">s </w:t>
      </w:r>
      <w:r w:rsidR="00D06C6B">
        <w:rPr>
          <w:rFonts w:cs="Arial"/>
          <w:bCs/>
          <w:sz w:val="24"/>
          <w:szCs w:val="24"/>
          <w:lang w:val="en-ZA"/>
        </w:rPr>
        <w:t xml:space="preserve">due for </w:t>
      </w:r>
      <w:r w:rsidR="00D003A8">
        <w:rPr>
          <w:rFonts w:cs="Arial"/>
          <w:bCs/>
          <w:sz w:val="24"/>
          <w:szCs w:val="24"/>
          <w:lang w:val="en-ZA"/>
        </w:rPr>
        <w:t>payments</w:t>
      </w:r>
      <w:r w:rsidR="00D003A8" w:rsidRPr="00D003A8">
        <w:rPr>
          <w:rFonts w:cs="Arial"/>
          <w:bCs/>
          <w:sz w:val="24"/>
          <w:szCs w:val="24"/>
          <w:lang w:val="en-ZA"/>
        </w:rPr>
        <w:t xml:space="preserve"> </w:t>
      </w:r>
      <w:r w:rsidR="00D06C6B">
        <w:rPr>
          <w:rFonts w:cs="Arial"/>
          <w:bCs/>
          <w:sz w:val="24"/>
          <w:szCs w:val="24"/>
          <w:lang w:val="en-ZA"/>
        </w:rPr>
        <w:t xml:space="preserve">to </w:t>
      </w:r>
      <w:r w:rsidR="00D003A8">
        <w:rPr>
          <w:rFonts w:cs="Arial"/>
          <w:bCs/>
          <w:sz w:val="24"/>
          <w:szCs w:val="24"/>
          <w:lang w:val="en-ZA"/>
        </w:rPr>
        <w:t xml:space="preserve">Kopaneng. </w:t>
      </w:r>
      <w:r w:rsidR="001E2215">
        <w:rPr>
          <w:rFonts w:cs="Arial"/>
          <w:bCs/>
          <w:sz w:val="24"/>
          <w:szCs w:val="24"/>
          <w:lang w:val="en-ZA"/>
        </w:rPr>
        <w:t xml:space="preserve">What the proposed relief does is to </w:t>
      </w:r>
      <w:r w:rsidR="00D06C6B">
        <w:rPr>
          <w:rFonts w:cs="Arial"/>
          <w:bCs/>
          <w:sz w:val="24"/>
          <w:szCs w:val="24"/>
          <w:lang w:val="en-ZA"/>
        </w:rPr>
        <w:t xml:space="preserve">temporarily preserve or </w:t>
      </w:r>
      <w:r w:rsidR="001E2215">
        <w:rPr>
          <w:rFonts w:cs="Arial"/>
          <w:bCs/>
          <w:sz w:val="24"/>
          <w:szCs w:val="24"/>
          <w:lang w:val="en-ZA"/>
        </w:rPr>
        <w:t xml:space="preserve">safeguard the </w:t>
      </w:r>
      <w:r w:rsidR="00D06C6B">
        <w:rPr>
          <w:rFonts w:cs="Arial"/>
          <w:bCs/>
          <w:sz w:val="24"/>
          <w:szCs w:val="24"/>
          <w:lang w:val="en-ZA"/>
        </w:rPr>
        <w:t xml:space="preserve">said monies, through their payment into HPC’s attorneys trust account, </w:t>
      </w:r>
      <w:r w:rsidR="000B0B9B">
        <w:rPr>
          <w:rFonts w:cs="Arial"/>
          <w:bCs/>
          <w:sz w:val="24"/>
          <w:szCs w:val="24"/>
          <w:lang w:val="en-ZA"/>
        </w:rPr>
        <w:t xml:space="preserve">pending the agreement </w:t>
      </w:r>
      <w:r w:rsidR="006A5F41">
        <w:rPr>
          <w:rFonts w:cs="Arial"/>
          <w:bCs/>
          <w:sz w:val="24"/>
          <w:szCs w:val="24"/>
          <w:lang w:val="en-ZA"/>
        </w:rPr>
        <w:t xml:space="preserve">between </w:t>
      </w:r>
      <w:r w:rsidR="00710177">
        <w:rPr>
          <w:rFonts w:cs="Arial"/>
          <w:bCs/>
          <w:sz w:val="24"/>
          <w:szCs w:val="24"/>
          <w:lang w:val="en-ZA"/>
        </w:rPr>
        <w:t xml:space="preserve">the parties regarding the </w:t>
      </w:r>
      <w:r w:rsidR="000B0B9B">
        <w:rPr>
          <w:rFonts w:cs="Arial"/>
          <w:bCs/>
          <w:sz w:val="24"/>
          <w:szCs w:val="24"/>
          <w:lang w:val="en-ZA"/>
        </w:rPr>
        <w:t xml:space="preserve">allocation of those funds or the outcome of the action concerning the funds. </w:t>
      </w:r>
    </w:p>
    <w:p w14:paraId="182F060E" w14:textId="77777777" w:rsidR="005C679A" w:rsidRDefault="005C679A" w:rsidP="005C679A">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[1</w:t>
      </w:r>
      <w:r w:rsidR="003D26D7">
        <w:rPr>
          <w:rFonts w:cs="Arial"/>
          <w:bCs/>
          <w:sz w:val="24"/>
          <w:szCs w:val="24"/>
          <w:lang w:val="en-ZA"/>
        </w:rPr>
        <w:t>5</w:t>
      </w:r>
      <w:r>
        <w:rPr>
          <w:rFonts w:cs="Arial"/>
          <w:bCs/>
          <w:sz w:val="24"/>
          <w:szCs w:val="24"/>
          <w:lang w:val="en-ZA"/>
        </w:rPr>
        <w:t>]</w:t>
      </w:r>
      <w:r>
        <w:rPr>
          <w:rFonts w:cs="Arial"/>
          <w:bCs/>
          <w:sz w:val="24"/>
          <w:szCs w:val="24"/>
          <w:lang w:val="en-ZA"/>
        </w:rPr>
        <w:tab/>
        <w:t>Save to state that she has commissioned a forensic investigation into the affairs of Kopaneng and its accounts with HPC</w:t>
      </w:r>
      <w:r w:rsidR="00DF2B8B">
        <w:rPr>
          <w:rFonts w:cs="Arial"/>
          <w:bCs/>
          <w:sz w:val="24"/>
          <w:szCs w:val="24"/>
          <w:lang w:val="en-ZA"/>
        </w:rPr>
        <w:t>,</w:t>
      </w:r>
      <w:r>
        <w:rPr>
          <w:rFonts w:cs="Arial"/>
          <w:bCs/>
          <w:sz w:val="24"/>
          <w:szCs w:val="24"/>
          <w:lang w:val="en-ZA"/>
        </w:rPr>
        <w:t xml:space="preserve"> Ms Selborne failed to show what prejudice she stood to suffer if the relief was to be granted. Regardless of this application</w:t>
      </w:r>
      <w:r w:rsidR="00DF2B8B">
        <w:rPr>
          <w:rFonts w:cs="Arial"/>
          <w:bCs/>
          <w:sz w:val="24"/>
          <w:szCs w:val="24"/>
          <w:lang w:val="en-ZA"/>
        </w:rPr>
        <w:t>,</w:t>
      </w:r>
      <w:r>
        <w:rPr>
          <w:rFonts w:cs="Arial"/>
          <w:bCs/>
          <w:sz w:val="24"/>
          <w:szCs w:val="24"/>
          <w:lang w:val="en-ZA"/>
        </w:rPr>
        <w:t xml:space="preserve"> there was nothing preventing the parties from pursuing the investigation and verifying the amounts they allegedly owe each other. Ms Selborne also did not demonstrate that Kopaneng had sufficient assets (movable or immovable) to satisfy the present HPC’s claim were it to be found to be </w:t>
      </w:r>
      <w:r>
        <w:rPr>
          <w:rFonts w:cs="Arial"/>
          <w:bCs/>
          <w:sz w:val="24"/>
          <w:szCs w:val="24"/>
          <w:lang w:val="en-ZA"/>
        </w:rPr>
        <w:lastRenderedPageBreak/>
        <w:t>legitimate</w:t>
      </w:r>
      <w:r w:rsidR="003D6B1C">
        <w:rPr>
          <w:rFonts w:cs="Arial"/>
          <w:bCs/>
          <w:sz w:val="24"/>
          <w:szCs w:val="24"/>
          <w:lang w:val="en-ZA"/>
        </w:rPr>
        <w:t xml:space="preserve"> at the hearing in due course</w:t>
      </w:r>
      <w:r>
        <w:rPr>
          <w:rFonts w:cs="Arial"/>
          <w:bCs/>
          <w:sz w:val="24"/>
          <w:szCs w:val="24"/>
          <w:lang w:val="en-ZA"/>
        </w:rPr>
        <w:t>. She also did not controvert evidence that HPC was its main creditor and held no security for its claim.</w:t>
      </w:r>
      <w:r w:rsidRPr="007E77A5">
        <w:rPr>
          <w:rFonts w:cs="Arial"/>
          <w:sz w:val="27"/>
          <w:szCs w:val="27"/>
        </w:rPr>
        <w:t xml:space="preserve"> </w:t>
      </w:r>
    </w:p>
    <w:p w14:paraId="5F0800B4" w14:textId="77777777" w:rsidR="001B7211" w:rsidRDefault="00CD231C" w:rsidP="003F2E38">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[1</w:t>
      </w:r>
      <w:r w:rsidR="003D26D7">
        <w:rPr>
          <w:rFonts w:cs="Arial"/>
          <w:bCs/>
          <w:sz w:val="24"/>
          <w:szCs w:val="24"/>
          <w:lang w:val="en-ZA"/>
        </w:rPr>
        <w:t>6</w:t>
      </w:r>
      <w:r>
        <w:rPr>
          <w:rFonts w:cs="Arial"/>
          <w:bCs/>
          <w:sz w:val="24"/>
          <w:szCs w:val="24"/>
          <w:lang w:val="en-ZA"/>
        </w:rPr>
        <w:t>]</w:t>
      </w:r>
      <w:r>
        <w:rPr>
          <w:rFonts w:cs="Arial"/>
          <w:bCs/>
          <w:sz w:val="24"/>
          <w:szCs w:val="24"/>
          <w:lang w:val="en-ZA"/>
        </w:rPr>
        <w:tab/>
      </w:r>
      <w:r w:rsidR="00B6074B">
        <w:rPr>
          <w:rFonts w:cs="Arial"/>
          <w:bCs/>
          <w:sz w:val="24"/>
          <w:szCs w:val="24"/>
          <w:lang w:val="en-ZA"/>
        </w:rPr>
        <w:t>In my view</w:t>
      </w:r>
      <w:r>
        <w:rPr>
          <w:rFonts w:cs="Arial"/>
          <w:bCs/>
          <w:sz w:val="24"/>
          <w:szCs w:val="24"/>
          <w:lang w:val="en-ZA"/>
        </w:rPr>
        <w:t>,</w:t>
      </w:r>
      <w:r w:rsidR="00B6074B">
        <w:rPr>
          <w:rFonts w:cs="Arial"/>
          <w:bCs/>
          <w:sz w:val="24"/>
          <w:szCs w:val="24"/>
          <w:lang w:val="en-ZA"/>
        </w:rPr>
        <w:t xml:space="preserve"> t</w:t>
      </w:r>
      <w:r w:rsidR="004341F7">
        <w:rPr>
          <w:rFonts w:cs="Arial"/>
          <w:bCs/>
          <w:sz w:val="24"/>
          <w:szCs w:val="24"/>
          <w:lang w:val="en-ZA"/>
        </w:rPr>
        <w:t xml:space="preserve">he application was </w:t>
      </w:r>
      <w:r w:rsidR="00B6074B">
        <w:rPr>
          <w:rFonts w:cs="Arial"/>
          <w:bCs/>
          <w:sz w:val="24"/>
          <w:szCs w:val="24"/>
          <w:lang w:val="en-ZA"/>
        </w:rPr>
        <w:t xml:space="preserve">sufficiently </w:t>
      </w:r>
      <w:r w:rsidR="004341F7">
        <w:rPr>
          <w:rFonts w:cs="Arial"/>
          <w:bCs/>
          <w:sz w:val="24"/>
          <w:szCs w:val="24"/>
          <w:lang w:val="en-ZA"/>
        </w:rPr>
        <w:t xml:space="preserve">urgent and warranted being heard on </w:t>
      </w:r>
      <w:r w:rsidR="003F2E38">
        <w:rPr>
          <w:rFonts w:cs="Arial"/>
          <w:bCs/>
          <w:sz w:val="24"/>
          <w:szCs w:val="24"/>
          <w:lang w:val="en-ZA"/>
        </w:rPr>
        <w:t xml:space="preserve">a </w:t>
      </w:r>
      <w:r w:rsidR="004341F7">
        <w:rPr>
          <w:rFonts w:cs="Arial"/>
          <w:bCs/>
          <w:sz w:val="24"/>
          <w:szCs w:val="24"/>
          <w:lang w:val="en-ZA"/>
        </w:rPr>
        <w:t>truncated basis</w:t>
      </w:r>
      <w:r w:rsidR="0046432B">
        <w:rPr>
          <w:rFonts w:cs="Arial"/>
          <w:bCs/>
          <w:sz w:val="24"/>
          <w:szCs w:val="24"/>
          <w:lang w:val="en-ZA"/>
        </w:rPr>
        <w:t xml:space="preserve"> </w:t>
      </w:r>
      <w:r w:rsidR="00352DBD">
        <w:rPr>
          <w:rFonts w:cs="Arial"/>
          <w:bCs/>
          <w:sz w:val="24"/>
          <w:szCs w:val="24"/>
          <w:lang w:val="en-ZA"/>
        </w:rPr>
        <w:t xml:space="preserve">because nothing barred </w:t>
      </w:r>
      <w:r w:rsidR="0046432B">
        <w:rPr>
          <w:rFonts w:cs="Arial"/>
          <w:bCs/>
          <w:sz w:val="24"/>
          <w:szCs w:val="24"/>
          <w:lang w:val="en-ZA"/>
        </w:rPr>
        <w:t>GIC from paying out Kopaneng in respect of the project</w:t>
      </w:r>
      <w:r w:rsidR="004341F7">
        <w:rPr>
          <w:rFonts w:cs="Arial"/>
          <w:bCs/>
          <w:sz w:val="24"/>
          <w:szCs w:val="24"/>
          <w:lang w:val="en-ZA"/>
        </w:rPr>
        <w:t>. HPC had a clear right to have the monies protected pending the agreement</w:t>
      </w:r>
      <w:r w:rsidR="00EC4319">
        <w:rPr>
          <w:rFonts w:cs="Arial"/>
          <w:bCs/>
          <w:sz w:val="24"/>
          <w:szCs w:val="24"/>
          <w:lang w:val="en-ZA"/>
        </w:rPr>
        <w:t xml:space="preserve"> or </w:t>
      </w:r>
      <w:r w:rsidR="00895FB5">
        <w:rPr>
          <w:rFonts w:cs="Arial"/>
          <w:bCs/>
          <w:sz w:val="24"/>
          <w:szCs w:val="24"/>
          <w:lang w:val="en-ZA"/>
        </w:rPr>
        <w:t>the out</w:t>
      </w:r>
      <w:r w:rsidR="00F76F0D">
        <w:rPr>
          <w:rFonts w:cs="Arial"/>
          <w:bCs/>
          <w:sz w:val="24"/>
          <w:szCs w:val="24"/>
          <w:lang w:val="en-ZA"/>
        </w:rPr>
        <w:t>come</w:t>
      </w:r>
      <w:r w:rsidR="00895FB5">
        <w:rPr>
          <w:rFonts w:cs="Arial"/>
          <w:bCs/>
          <w:sz w:val="24"/>
          <w:szCs w:val="24"/>
          <w:lang w:val="en-ZA"/>
        </w:rPr>
        <w:t xml:space="preserve"> of the </w:t>
      </w:r>
      <w:r w:rsidR="00EC4319">
        <w:rPr>
          <w:rFonts w:cs="Arial"/>
          <w:bCs/>
          <w:sz w:val="24"/>
          <w:szCs w:val="24"/>
          <w:lang w:val="en-ZA"/>
        </w:rPr>
        <w:t>action</w:t>
      </w:r>
      <w:r w:rsidR="004341F7">
        <w:rPr>
          <w:rFonts w:cs="Arial"/>
          <w:bCs/>
          <w:sz w:val="24"/>
          <w:szCs w:val="24"/>
          <w:lang w:val="en-ZA"/>
        </w:rPr>
        <w:t xml:space="preserve">; it </w:t>
      </w:r>
      <w:r w:rsidR="00F76F0D">
        <w:rPr>
          <w:rFonts w:cs="Arial"/>
          <w:bCs/>
          <w:sz w:val="24"/>
          <w:szCs w:val="24"/>
          <w:lang w:val="en-ZA"/>
        </w:rPr>
        <w:t xml:space="preserve">also </w:t>
      </w:r>
      <w:r w:rsidR="004341F7">
        <w:rPr>
          <w:rFonts w:cs="Arial"/>
          <w:bCs/>
          <w:sz w:val="24"/>
          <w:szCs w:val="24"/>
          <w:lang w:val="en-ZA"/>
        </w:rPr>
        <w:t xml:space="preserve">had no alternative remedy </w:t>
      </w:r>
      <w:r w:rsidR="00EC4319">
        <w:rPr>
          <w:rFonts w:cs="Arial"/>
          <w:bCs/>
          <w:sz w:val="24"/>
          <w:szCs w:val="24"/>
          <w:lang w:val="en-ZA"/>
        </w:rPr>
        <w:t xml:space="preserve">but to approach this court </w:t>
      </w:r>
      <w:r w:rsidR="004341F7">
        <w:rPr>
          <w:rFonts w:cs="Arial"/>
          <w:bCs/>
          <w:sz w:val="24"/>
          <w:szCs w:val="24"/>
          <w:lang w:val="en-ZA"/>
        </w:rPr>
        <w:t>and would suffer irreparable harm if the interdict</w:t>
      </w:r>
      <w:r w:rsidR="003F2E38">
        <w:rPr>
          <w:rFonts w:cs="Arial"/>
          <w:bCs/>
          <w:sz w:val="24"/>
          <w:szCs w:val="24"/>
          <w:lang w:val="en-ZA"/>
        </w:rPr>
        <w:t>,</w:t>
      </w:r>
      <w:r w:rsidR="004341F7">
        <w:rPr>
          <w:rFonts w:cs="Arial"/>
          <w:bCs/>
          <w:sz w:val="24"/>
          <w:szCs w:val="24"/>
          <w:lang w:val="en-ZA"/>
        </w:rPr>
        <w:t xml:space="preserve"> </w:t>
      </w:r>
      <w:r w:rsidR="003F2E38">
        <w:rPr>
          <w:rFonts w:cs="Arial"/>
          <w:bCs/>
          <w:sz w:val="24"/>
          <w:szCs w:val="24"/>
          <w:lang w:val="en-ZA"/>
        </w:rPr>
        <w:t xml:space="preserve">which stood to benefit all parties, </w:t>
      </w:r>
      <w:r w:rsidR="004341F7">
        <w:rPr>
          <w:rFonts w:cs="Arial"/>
          <w:bCs/>
          <w:sz w:val="24"/>
          <w:szCs w:val="24"/>
          <w:lang w:val="en-ZA"/>
        </w:rPr>
        <w:t>was not granted.</w:t>
      </w:r>
      <w:r w:rsidR="0001644D">
        <w:rPr>
          <w:rFonts w:cs="Arial"/>
          <w:bCs/>
          <w:sz w:val="24"/>
          <w:szCs w:val="24"/>
          <w:lang w:val="en-ZA"/>
        </w:rPr>
        <w:t xml:space="preserve"> </w:t>
      </w:r>
      <w:r w:rsidR="005C679A" w:rsidRPr="007E7962">
        <w:rPr>
          <w:rFonts w:cs="Arial"/>
          <w:sz w:val="24"/>
          <w:szCs w:val="24"/>
        </w:rPr>
        <w:t>T</w:t>
      </w:r>
      <w:r w:rsidR="005C679A">
        <w:rPr>
          <w:rFonts w:cs="Arial"/>
          <w:bCs/>
          <w:sz w:val="24"/>
          <w:szCs w:val="24"/>
          <w:lang w:val="en-ZA"/>
        </w:rPr>
        <w:t xml:space="preserve">he balance of convenience favoured HPC with </w:t>
      </w:r>
      <w:r w:rsidR="00F76F0D">
        <w:rPr>
          <w:rFonts w:cs="Arial"/>
          <w:bCs/>
          <w:sz w:val="24"/>
          <w:szCs w:val="24"/>
          <w:lang w:val="en-ZA"/>
        </w:rPr>
        <w:t xml:space="preserve">very little inconvenience </w:t>
      </w:r>
      <w:r w:rsidR="005C679A">
        <w:rPr>
          <w:rFonts w:cs="Arial"/>
          <w:bCs/>
          <w:sz w:val="24"/>
          <w:szCs w:val="24"/>
          <w:lang w:val="en-ZA"/>
        </w:rPr>
        <w:t xml:space="preserve">to Kopaneng and Ms Selborne. </w:t>
      </w:r>
      <w:r w:rsidR="00F76F0D">
        <w:rPr>
          <w:rFonts w:cs="Arial"/>
          <w:bCs/>
          <w:sz w:val="24"/>
          <w:szCs w:val="24"/>
          <w:lang w:val="en-ZA"/>
        </w:rPr>
        <w:t>Accordingly, I am of the view, that the opposition was not well-founded</w:t>
      </w:r>
      <w:r w:rsidR="001B7211">
        <w:rPr>
          <w:rFonts w:cs="Arial"/>
          <w:bCs/>
          <w:sz w:val="24"/>
          <w:szCs w:val="24"/>
          <w:lang w:val="en-ZA"/>
        </w:rPr>
        <w:t>.</w:t>
      </w:r>
    </w:p>
    <w:p w14:paraId="510FED61" w14:textId="77777777" w:rsidR="003F2E38" w:rsidRDefault="001B7211" w:rsidP="003F2E38">
      <w:pPr>
        <w:pStyle w:val="XClause1Head"/>
        <w:numPr>
          <w:ilvl w:val="0"/>
          <w:numId w:val="0"/>
        </w:numPr>
        <w:spacing w:line="360" w:lineRule="auto"/>
        <w:ind w:left="720" w:hanging="720"/>
        <w:rPr>
          <w:rFonts w:cs="Arial"/>
          <w:bCs/>
          <w:sz w:val="24"/>
          <w:szCs w:val="24"/>
          <w:lang w:val="en-ZA"/>
        </w:rPr>
      </w:pPr>
      <w:r>
        <w:rPr>
          <w:rFonts w:cs="Arial"/>
          <w:color w:val="000000"/>
          <w:sz w:val="24"/>
          <w:szCs w:val="24"/>
        </w:rPr>
        <w:t>[1</w:t>
      </w:r>
      <w:r w:rsidR="003D26D7">
        <w:rPr>
          <w:rFonts w:cs="Arial"/>
          <w:color w:val="000000"/>
          <w:sz w:val="24"/>
          <w:szCs w:val="24"/>
        </w:rPr>
        <w:t>7</w:t>
      </w:r>
      <w:r>
        <w:rPr>
          <w:rFonts w:cs="Arial"/>
          <w:color w:val="000000"/>
          <w:sz w:val="24"/>
          <w:szCs w:val="24"/>
        </w:rPr>
        <w:t>]</w:t>
      </w:r>
      <w:r>
        <w:rPr>
          <w:rFonts w:cs="Arial"/>
          <w:color w:val="000000"/>
          <w:sz w:val="24"/>
          <w:szCs w:val="24"/>
        </w:rPr>
        <w:tab/>
        <w:t>W</w:t>
      </w:r>
      <w:r w:rsidRPr="007248B5">
        <w:rPr>
          <w:rFonts w:cs="Arial"/>
          <w:color w:val="000000"/>
          <w:sz w:val="24"/>
          <w:szCs w:val="24"/>
        </w:rPr>
        <w:t>hen this matter was called in Court </w:t>
      </w:r>
      <w:r>
        <w:rPr>
          <w:rFonts w:cs="Arial"/>
          <w:color w:val="000000"/>
          <w:sz w:val="24"/>
          <w:szCs w:val="24"/>
        </w:rPr>
        <w:t xml:space="preserve">on 03 November 2023 </w:t>
      </w:r>
      <w:r w:rsidRPr="007248B5">
        <w:rPr>
          <w:rFonts w:cs="Arial"/>
          <w:color w:val="000000"/>
          <w:sz w:val="24"/>
          <w:szCs w:val="24"/>
        </w:rPr>
        <w:t xml:space="preserve">Ms </w:t>
      </w:r>
      <w:r>
        <w:rPr>
          <w:rFonts w:cs="Arial"/>
          <w:color w:val="000000"/>
          <w:sz w:val="24"/>
          <w:szCs w:val="24"/>
        </w:rPr>
        <w:t>Selborne</w:t>
      </w:r>
      <w:r w:rsidRPr="007248B5">
        <w:rPr>
          <w:rFonts w:cs="Arial"/>
          <w:color w:val="000000"/>
          <w:sz w:val="24"/>
          <w:szCs w:val="24"/>
        </w:rPr>
        <w:t xml:space="preserve"> appeared in person and sought a postponement to enable her </w:t>
      </w:r>
      <w:r w:rsidRPr="007248B5">
        <w:rPr>
          <w:rFonts w:cs="Arial"/>
          <w:bCs/>
          <w:sz w:val="24"/>
          <w:szCs w:val="24"/>
          <w:lang w:val="en-ZA"/>
        </w:rPr>
        <w:t xml:space="preserve">to secure the services of a legal representative. There can be no question that </w:t>
      </w:r>
      <w:r w:rsidRPr="007248B5">
        <w:rPr>
          <w:rFonts w:cs="Arial"/>
          <w:color w:val="000000"/>
          <w:sz w:val="24"/>
          <w:szCs w:val="24"/>
        </w:rPr>
        <w:t xml:space="preserve">the application for the postponement interfered with </w:t>
      </w:r>
      <w:r>
        <w:rPr>
          <w:rFonts w:cs="Arial"/>
          <w:color w:val="000000"/>
          <w:sz w:val="24"/>
          <w:szCs w:val="24"/>
        </w:rPr>
        <w:t xml:space="preserve">her </w:t>
      </w:r>
      <w:r w:rsidRPr="007248B5">
        <w:rPr>
          <w:rFonts w:cs="Arial"/>
          <w:color w:val="000000"/>
          <w:sz w:val="24"/>
          <w:szCs w:val="24"/>
        </w:rPr>
        <w:t xml:space="preserve">opponent's procedural right to proceed with the application. </w:t>
      </w:r>
      <w:r>
        <w:rPr>
          <w:rFonts w:cs="Arial"/>
          <w:color w:val="000000"/>
          <w:sz w:val="24"/>
          <w:szCs w:val="24"/>
        </w:rPr>
        <w:t xml:space="preserve">However, she </w:t>
      </w:r>
      <w:r w:rsidRPr="007248B5">
        <w:rPr>
          <w:rFonts w:cs="Arial"/>
          <w:color w:val="000000"/>
          <w:sz w:val="24"/>
          <w:szCs w:val="24"/>
        </w:rPr>
        <w:t>was granted th</w:t>
      </w:r>
      <w:r>
        <w:rPr>
          <w:rFonts w:cs="Arial"/>
          <w:color w:val="000000"/>
          <w:sz w:val="24"/>
          <w:szCs w:val="24"/>
        </w:rPr>
        <w:t xml:space="preserve">at </w:t>
      </w:r>
      <w:r w:rsidRPr="007248B5">
        <w:rPr>
          <w:rFonts w:cs="Arial"/>
          <w:bCs/>
          <w:sz w:val="24"/>
          <w:szCs w:val="24"/>
          <w:lang w:val="en-ZA"/>
        </w:rPr>
        <w:t>indulgence whereas the wasted costs occasioned thereby were reserved for later argument and determination. Any prejudice resulting from a postponement is ordinarily cured by an appropriate costs order. T</w:t>
      </w:r>
      <w:r w:rsidRPr="007248B5">
        <w:rPr>
          <w:rFonts w:cs="Arial"/>
          <w:color w:val="000000"/>
          <w:sz w:val="24"/>
          <w:szCs w:val="24"/>
        </w:rPr>
        <w:t xml:space="preserve">he usual rule is that the party responsible for the postponement must pay the wasted costs. </w:t>
      </w:r>
      <w:r w:rsidRPr="007248B5">
        <w:rPr>
          <w:rFonts w:cs="Arial"/>
          <w:bCs/>
          <w:sz w:val="24"/>
          <w:szCs w:val="24"/>
          <w:lang w:val="en-ZA"/>
        </w:rPr>
        <w:t xml:space="preserve">It follows that Kopaneng and Ms </w:t>
      </w:r>
      <w:r>
        <w:rPr>
          <w:rFonts w:cs="Arial"/>
          <w:bCs/>
          <w:sz w:val="24"/>
          <w:szCs w:val="24"/>
          <w:lang w:val="en-ZA"/>
        </w:rPr>
        <w:t>Selborne</w:t>
      </w:r>
      <w:r w:rsidRPr="007248B5">
        <w:rPr>
          <w:rFonts w:cs="Arial"/>
          <w:bCs/>
          <w:sz w:val="24"/>
          <w:szCs w:val="24"/>
          <w:lang w:val="en-ZA"/>
        </w:rPr>
        <w:t xml:space="preserve"> ought to pay the </w:t>
      </w:r>
      <w:r w:rsidR="00FA5554">
        <w:rPr>
          <w:rFonts w:cs="Arial"/>
          <w:bCs/>
          <w:sz w:val="24"/>
          <w:szCs w:val="24"/>
          <w:lang w:val="en-ZA"/>
        </w:rPr>
        <w:t xml:space="preserve">wasted </w:t>
      </w:r>
      <w:r w:rsidRPr="007248B5">
        <w:rPr>
          <w:rFonts w:cs="Arial"/>
          <w:bCs/>
          <w:sz w:val="24"/>
          <w:szCs w:val="24"/>
          <w:lang w:val="en-ZA"/>
        </w:rPr>
        <w:t>costs occasioned by the postponement.</w:t>
      </w:r>
    </w:p>
    <w:p w14:paraId="6B1282F8" w14:textId="77777777" w:rsidR="006C4F57" w:rsidRPr="007248B5" w:rsidRDefault="00CD231C" w:rsidP="008C18F4">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[1</w:t>
      </w:r>
      <w:r w:rsidR="003D26D7">
        <w:rPr>
          <w:rFonts w:cs="Arial"/>
          <w:bCs/>
          <w:sz w:val="24"/>
          <w:szCs w:val="24"/>
          <w:lang w:val="en-ZA"/>
        </w:rPr>
        <w:t>8</w:t>
      </w:r>
      <w:r>
        <w:rPr>
          <w:rFonts w:cs="Arial"/>
          <w:bCs/>
          <w:sz w:val="24"/>
          <w:szCs w:val="24"/>
          <w:lang w:val="en-ZA"/>
        </w:rPr>
        <w:t>]</w:t>
      </w:r>
      <w:r>
        <w:rPr>
          <w:rFonts w:cs="Arial"/>
          <w:bCs/>
          <w:sz w:val="24"/>
          <w:szCs w:val="24"/>
          <w:lang w:val="en-ZA"/>
        </w:rPr>
        <w:tab/>
      </w:r>
      <w:r w:rsidR="00F76F0D">
        <w:rPr>
          <w:rFonts w:cs="Arial"/>
          <w:bCs/>
          <w:sz w:val="24"/>
          <w:szCs w:val="24"/>
          <w:lang w:val="en-ZA"/>
        </w:rPr>
        <w:t>On the aforegoing exposition</w:t>
      </w:r>
      <w:r w:rsidR="00E60551">
        <w:rPr>
          <w:rFonts w:cs="Arial"/>
          <w:bCs/>
          <w:sz w:val="24"/>
          <w:szCs w:val="24"/>
          <w:lang w:val="en-ZA"/>
        </w:rPr>
        <w:t>,</w:t>
      </w:r>
      <w:r w:rsidR="00F76F0D">
        <w:rPr>
          <w:rFonts w:cs="Arial"/>
          <w:bCs/>
          <w:sz w:val="24"/>
          <w:szCs w:val="24"/>
          <w:lang w:val="en-ZA"/>
        </w:rPr>
        <w:t xml:space="preserve"> </w:t>
      </w:r>
      <w:r w:rsidR="00EC559D">
        <w:rPr>
          <w:rFonts w:cs="Arial"/>
          <w:bCs/>
          <w:sz w:val="24"/>
          <w:szCs w:val="24"/>
          <w:lang w:val="en-ZA"/>
        </w:rPr>
        <w:t xml:space="preserve">HPC would have succeeded in obtaining the relief sought. </w:t>
      </w:r>
      <w:r w:rsidR="009B3A3F" w:rsidRPr="00467C94">
        <w:rPr>
          <w:rFonts w:cs="Arial"/>
          <w:color w:val="000000"/>
          <w:sz w:val="24"/>
          <w:szCs w:val="24"/>
        </w:rPr>
        <w:t xml:space="preserve">No persuasive argument was made to depart from </w:t>
      </w:r>
      <w:r w:rsidR="00467C94" w:rsidRPr="00467C94">
        <w:rPr>
          <w:rFonts w:cs="Arial"/>
          <w:color w:val="000000"/>
          <w:sz w:val="24"/>
          <w:szCs w:val="24"/>
        </w:rPr>
        <w:t>the general principle that </w:t>
      </w:r>
      <w:bookmarkStart w:id="3" w:name="LPHit1"/>
      <w:bookmarkEnd w:id="3"/>
      <w:r w:rsidR="00467C94" w:rsidRPr="00467C94">
        <w:rPr>
          <w:rFonts w:cs="Arial"/>
          <w:color w:val="000000"/>
          <w:sz w:val="24"/>
          <w:szCs w:val="24"/>
        </w:rPr>
        <w:t>costs </w:t>
      </w:r>
      <w:bookmarkStart w:id="4" w:name="LPHit2"/>
      <w:bookmarkEnd w:id="4"/>
      <w:r w:rsidR="00CE7541">
        <w:rPr>
          <w:rFonts w:cs="Arial"/>
          <w:color w:val="000000"/>
          <w:sz w:val="24"/>
          <w:szCs w:val="24"/>
        </w:rPr>
        <w:t xml:space="preserve">ordinarily </w:t>
      </w:r>
      <w:r w:rsidR="00467C94" w:rsidRPr="00467C94">
        <w:rPr>
          <w:rFonts w:cs="Arial"/>
          <w:color w:val="000000"/>
          <w:sz w:val="24"/>
          <w:szCs w:val="24"/>
        </w:rPr>
        <w:t xml:space="preserve">follow </w:t>
      </w:r>
      <w:r w:rsidR="00CE7541">
        <w:rPr>
          <w:rFonts w:cs="Arial"/>
          <w:color w:val="000000"/>
          <w:sz w:val="24"/>
          <w:szCs w:val="24"/>
        </w:rPr>
        <w:t>the event</w:t>
      </w:r>
      <w:r w:rsidR="00467C94" w:rsidRPr="00467C94">
        <w:rPr>
          <w:rFonts w:cs="Arial"/>
          <w:color w:val="000000"/>
          <w:sz w:val="24"/>
          <w:szCs w:val="24"/>
        </w:rPr>
        <w:t xml:space="preserve">. In the </w:t>
      </w:r>
      <w:r w:rsidR="00CE7541">
        <w:rPr>
          <w:rFonts w:cs="Arial"/>
          <w:color w:val="000000"/>
          <w:sz w:val="24"/>
          <w:szCs w:val="24"/>
        </w:rPr>
        <w:t xml:space="preserve">result, </w:t>
      </w:r>
      <w:r w:rsidR="00467C94" w:rsidRPr="00467C94">
        <w:rPr>
          <w:rFonts w:cs="Arial"/>
          <w:color w:val="000000"/>
          <w:sz w:val="24"/>
          <w:szCs w:val="24"/>
        </w:rPr>
        <w:t xml:space="preserve">Kopaneng and Ms </w:t>
      </w:r>
      <w:r w:rsidR="0057743B">
        <w:rPr>
          <w:rFonts w:cs="Arial"/>
          <w:color w:val="000000"/>
          <w:sz w:val="24"/>
          <w:szCs w:val="24"/>
        </w:rPr>
        <w:t>Selborne</w:t>
      </w:r>
      <w:r w:rsidR="00467C94" w:rsidRPr="00467C94">
        <w:rPr>
          <w:rFonts w:cs="Arial"/>
          <w:color w:val="000000"/>
          <w:sz w:val="24"/>
          <w:szCs w:val="24"/>
        </w:rPr>
        <w:t xml:space="preserve"> would have to bear th</w:t>
      </w:r>
      <w:r w:rsidR="00CE7541">
        <w:rPr>
          <w:rFonts w:cs="Arial"/>
          <w:color w:val="000000"/>
          <w:sz w:val="24"/>
          <w:szCs w:val="24"/>
        </w:rPr>
        <w:t xml:space="preserve">e </w:t>
      </w:r>
      <w:r w:rsidR="00467C94" w:rsidRPr="00467C94">
        <w:rPr>
          <w:rFonts w:cs="Arial"/>
          <w:color w:val="000000"/>
          <w:sz w:val="24"/>
          <w:szCs w:val="24"/>
        </w:rPr>
        <w:t>costs</w:t>
      </w:r>
      <w:r w:rsidR="00CE7541">
        <w:rPr>
          <w:rFonts w:cs="Arial"/>
          <w:color w:val="000000"/>
          <w:sz w:val="24"/>
          <w:szCs w:val="24"/>
        </w:rPr>
        <w:t xml:space="preserve"> of the application</w:t>
      </w:r>
      <w:r w:rsidR="00467C94" w:rsidRPr="00467C94">
        <w:rPr>
          <w:rFonts w:cs="Arial"/>
          <w:color w:val="000000"/>
          <w:sz w:val="24"/>
          <w:szCs w:val="24"/>
        </w:rPr>
        <w:t xml:space="preserve"> jointly and severally. </w:t>
      </w:r>
      <w:r w:rsidR="00B6074B">
        <w:rPr>
          <w:rFonts w:cs="Arial"/>
          <w:bCs/>
          <w:sz w:val="24"/>
          <w:szCs w:val="24"/>
          <w:lang w:val="en-ZA"/>
        </w:rPr>
        <w:t>An order is therefore made</w:t>
      </w:r>
      <w:r>
        <w:rPr>
          <w:rFonts w:cs="Arial"/>
          <w:bCs/>
          <w:sz w:val="24"/>
          <w:szCs w:val="24"/>
          <w:lang w:val="en-ZA"/>
        </w:rPr>
        <w:t>:</w:t>
      </w:r>
    </w:p>
    <w:p w14:paraId="4037510A" w14:textId="77777777" w:rsidR="002C797A" w:rsidRPr="002C797A" w:rsidRDefault="002C797A" w:rsidP="002C797A">
      <w:pPr>
        <w:pStyle w:val="XClause1Head"/>
        <w:numPr>
          <w:ilvl w:val="0"/>
          <w:numId w:val="0"/>
        </w:numPr>
        <w:spacing w:line="360" w:lineRule="auto"/>
        <w:rPr>
          <w:rFonts w:cs="Arial"/>
          <w:b/>
          <w:bCs/>
          <w:sz w:val="24"/>
          <w:szCs w:val="24"/>
          <w:lang w:val="en-ZA"/>
        </w:rPr>
      </w:pPr>
      <w:r w:rsidRPr="002C797A">
        <w:rPr>
          <w:rFonts w:cs="Arial"/>
          <w:b/>
          <w:bCs/>
          <w:sz w:val="24"/>
          <w:szCs w:val="24"/>
          <w:lang w:val="en-ZA"/>
        </w:rPr>
        <w:t>Order:</w:t>
      </w:r>
    </w:p>
    <w:p w14:paraId="252CCAAB" w14:textId="2A863ACD" w:rsidR="00D003A8" w:rsidRPr="00D003A8" w:rsidRDefault="00DA702C" w:rsidP="00DA702C">
      <w:pPr>
        <w:pStyle w:val="XClause1Head"/>
        <w:numPr>
          <w:ilvl w:val="0"/>
          <w:numId w:val="0"/>
        </w:numPr>
        <w:spacing w:line="360" w:lineRule="auto"/>
        <w:ind w:left="360" w:hanging="360"/>
        <w:rPr>
          <w:rFonts w:cs="Arial"/>
          <w:sz w:val="24"/>
        </w:rPr>
      </w:pPr>
      <w:r w:rsidRPr="00D003A8">
        <w:rPr>
          <w:rFonts w:cs="Arial"/>
          <w:sz w:val="24"/>
        </w:rPr>
        <w:t>1.</w:t>
      </w:r>
      <w:r w:rsidRPr="00D003A8">
        <w:rPr>
          <w:rFonts w:cs="Arial"/>
          <w:sz w:val="24"/>
        </w:rPr>
        <w:tab/>
      </w:r>
      <w:r w:rsidR="00551D81">
        <w:rPr>
          <w:rFonts w:cs="Arial"/>
          <w:sz w:val="24"/>
          <w:szCs w:val="24"/>
        </w:rPr>
        <w:t xml:space="preserve">The </w:t>
      </w:r>
      <w:r w:rsidR="00385A2B">
        <w:rPr>
          <w:rFonts w:cs="Arial"/>
          <w:sz w:val="24"/>
          <w:szCs w:val="24"/>
        </w:rPr>
        <w:t>first and second respondents,</w:t>
      </w:r>
      <w:r w:rsidR="00CE7541" w:rsidRPr="00CE7541">
        <w:rPr>
          <w:rFonts w:cs="Arial"/>
          <w:sz w:val="24"/>
          <w:szCs w:val="24"/>
        </w:rPr>
        <w:t xml:space="preserve"> </w:t>
      </w:r>
      <w:r w:rsidR="00CE7541">
        <w:rPr>
          <w:rFonts w:cs="Arial"/>
          <w:sz w:val="24"/>
          <w:szCs w:val="24"/>
        </w:rPr>
        <w:t>Kopaneng Construction &amp; Civils</w:t>
      </w:r>
      <w:r w:rsidR="00B6074B">
        <w:rPr>
          <w:rFonts w:cs="Arial"/>
          <w:sz w:val="24"/>
          <w:szCs w:val="24"/>
        </w:rPr>
        <w:t xml:space="preserve"> (Pty) Ltd</w:t>
      </w:r>
      <w:r w:rsidR="00CE7541">
        <w:rPr>
          <w:rFonts w:cs="Arial"/>
          <w:sz w:val="24"/>
          <w:szCs w:val="24"/>
        </w:rPr>
        <w:t xml:space="preserve"> and Ms Ezra Bridgitta Mouers Selborne</w:t>
      </w:r>
      <w:r w:rsidR="008A06B4">
        <w:rPr>
          <w:rFonts w:cs="Arial"/>
          <w:sz w:val="24"/>
          <w:szCs w:val="24"/>
        </w:rPr>
        <w:t>,</w:t>
      </w:r>
      <w:r w:rsidR="00CE7541">
        <w:rPr>
          <w:rFonts w:cs="Arial"/>
          <w:sz w:val="24"/>
          <w:szCs w:val="24"/>
        </w:rPr>
        <w:t xml:space="preserve"> </w:t>
      </w:r>
      <w:r w:rsidR="00D003A8">
        <w:rPr>
          <w:rFonts w:cs="Arial"/>
          <w:sz w:val="24"/>
          <w:szCs w:val="24"/>
        </w:rPr>
        <w:t xml:space="preserve">are </w:t>
      </w:r>
      <w:r w:rsidR="00B6074B">
        <w:rPr>
          <w:rFonts w:cs="Arial"/>
          <w:sz w:val="24"/>
          <w:szCs w:val="24"/>
        </w:rPr>
        <w:t>t</w:t>
      </w:r>
      <w:r w:rsidR="00D003A8">
        <w:rPr>
          <w:rFonts w:cs="Arial"/>
          <w:sz w:val="24"/>
          <w:szCs w:val="24"/>
        </w:rPr>
        <w:t>o pay costs of the application jointly and severally, the one paying the other to be absolved.</w:t>
      </w:r>
    </w:p>
    <w:p w14:paraId="4267DA63" w14:textId="7BD80D61" w:rsidR="00D003A8" w:rsidRPr="00D003A8" w:rsidRDefault="00DA702C" w:rsidP="00DA702C">
      <w:pPr>
        <w:pStyle w:val="XClause1Head"/>
        <w:numPr>
          <w:ilvl w:val="0"/>
          <w:numId w:val="0"/>
        </w:numPr>
        <w:spacing w:line="360" w:lineRule="auto"/>
        <w:ind w:left="360" w:hanging="360"/>
        <w:rPr>
          <w:rFonts w:cs="Arial"/>
          <w:sz w:val="24"/>
        </w:rPr>
      </w:pPr>
      <w:r w:rsidRPr="00D003A8">
        <w:rPr>
          <w:rFonts w:cs="Arial"/>
          <w:sz w:val="24"/>
        </w:rPr>
        <w:lastRenderedPageBreak/>
        <w:t>2.</w:t>
      </w:r>
      <w:r w:rsidRPr="00D003A8">
        <w:rPr>
          <w:rFonts w:cs="Arial"/>
          <w:sz w:val="24"/>
        </w:rPr>
        <w:tab/>
      </w:r>
      <w:r w:rsidR="00D003A8">
        <w:rPr>
          <w:rFonts w:cs="Arial"/>
          <w:sz w:val="24"/>
          <w:szCs w:val="24"/>
        </w:rPr>
        <w:t xml:space="preserve">The first and second respondents are to pay the wasted costs occasioned by the postponement of </w:t>
      </w:r>
      <w:r w:rsidR="00D003A8">
        <w:rPr>
          <w:rFonts w:cs="Arial"/>
          <w:color w:val="000000"/>
          <w:sz w:val="24"/>
          <w:szCs w:val="24"/>
        </w:rPr>
        <w:t>03 November 2023</w:t>
      </w:r>
      <w:r w:rsidR="00D003A8">
        <w:rPr>
          <w:rFonts w:cs="Arial"/>
          <w:sz w:val="24"/>
          <w:szCs w:val="24"/>
        </w:rPr>
        <w:t xml:space="preserve"> jointly and severally, the one paying the other to be absolved.</w:t>
      </w:r>
    </w:p>
    <w:p w14:paraId="2531E0C2" w14:textId="77777777" w:rsidR="004C0F6A" w:rsidRPr="004C0F6A" w:rsidRDefault="004C0F6A" w:rsidP="004C0F6A">
      <w:pPr>
        <w:spacing w:line="360" w:lineRule="auto"/>
        <w:jc w:val="both"/>
        <w:rPr>
          <w:rFonts w:ascii="Arial" w:hAnsi="Arial" w:cs="Arial"/>
          <w:sz w:val="24"/>
          <w:szCs w:val="24"/>
          <w:u w:val="single"/>
        </w:rPr>
      </w:pPr>
    </w:p>
    <w:p w14:paraId="05882F52" w14:textId="77777777" w:rsidR="004C0F6A" w:rsidRPr="004C0F6A" w:rsidRDefault="004C0F6A" w:rsidP="004C0F6A">
      <w:pPr>
        <w:spacing w:line="240" w:lineRule="auto"/>
        <w:jc w:val="right"/>
        <w:rPr>
          <w:rFonts w:ascii="Arial" w:hAnsi="Arial" w:cs="Arial"/>
          <w:iCs/>
          <w:sz w:val="24"/>
          <w:szCs w:val="24"/>
        </w:rPr>
      </w:pPr>
      <w:r w:rsidRPr="004C0F6A">
        <w:rPr>
          <w:rFonts w:ascii="Arial" w:hAnsi="Arial" w:cs="Arial"/>
          <w:iCs/>
          <w:sz w:val="24"/>
          <w:szCs w:val="24"/>
        </w:rPr>
        <w:t>_____________________</w:t>
      </w:r>
    </w:p>
    <w:p w14:paraId="548C2325" w14:textId="77777777" w:rsidR="004C0F6A" w:rsidRPr="004C0F6A" w:rsidRDefault="004C0F6A" w:rsidP="004C0F6A">
      <w:pPr>
        <w:spacing w:line="240" w:lineRule="auto"/>
        <w:jc w:val="right"/>
        <w:rPr>
          <w:rFonts w:ascii="Arial" w:hAnsi="Arial" w:cs="Arial"/>
          <w:iCs/>
          <w:sz w:val="24"/>
          <w:szCs w:val="24"/>
        </w:rPr>
      </w:pPr>
      <w:r w:rsidRPr="004C0F6A">
        <w:rPr>
          <w:rFonts w:ascii="Arial" w:hAnsi="Arial" w:cs="Arial"/>
          <w:iCs/>
          <w:sz w:val="24"/>
          <w:szCs w:val="24"/>
        </w:rPr>
        <w:t>MV PHATSHOANE</w:t>
      </w:r>
      <w:r w:rsidR="00543BC3">
        <w:rPr>
          <w:rFonts w:ascii="Arial" w:hAnsi="Arial" w:cs="Arial"/>
          <w:iCs/>
          <w:sz w:val="24"/>
          <w:szCs w:val="24"/>
        </w:rPr>
        <w:t xml:space="preserve"> </w:t>
      </w:r>
      <w:r w:rsidR="00F0669E">
        <w:rPr>
          <w:rFonts w:ascii="Arial" w:hAnsi="Arial" w:cs="Arial"/>
          <w:iCs/>
          <w:sz w:val="24"/>
          <w:szCs w:val="24"/>
        </w:rPr>
        <w:t>A</w:t>
      </w:r>
      <w:r w:rsidR="00543BC3">
        <w:rPr>
          <w:rFonts w:ascii="Arial" w:hAnsi="Arial" w:cs="Arial"/>
          <w:iCs/>
          <w:sz w:val="24"/>
          <w:szCs w:val="24"/>
        </w:rPr>
        <w:t>JP</w:t>
      </w:r>
    </w:p>
    <w:p w14:paraId="1F2D31CA" w14:textId="77777777" w:rsidR="004C0F6A" w:rsidRPr="004C0F6A" w:rsidRDefault="004C0F6A" w:rsidP="004C0F6A">
      <w:pPr>
        <w:spacing w:line="240" w:lineRule="auto"/>
        <w:rPr>
          <w:rFonts w:ascii="Arial" w:hAnsi="Arial" w:cs="Arial"/>
          <w:iCs/>
          <w:sz w:val="24"/>
          <w:szCs w:val="24"/>
        </w:rPr>
      </w:pPr>
    </w:p>
    <w:p w14:paraId="23DBC2B7" w14:textId="77777777" w:rsidR="004C0F6A" w:rsidRPr="004C0F6A" w:rsidRDefault="004C0F6A" w:rsidP="004C0F6A">
      <w:pPr>
        <w:spacing w:line="360" w:lineRule="auto"/>
        <w:jc w:val="both"/>
        <w:rPr>
          <w:rFonts w:ascii="Arial" w:hAnsi="Arial" w:cs="Arial"/>
          <w:iCs/>
          <w:sz w:val="24"/>
          <w:szCs w:val="24"/>
          <w:u w:val="single"/>
        </w:rPr>
      </w:pPr>
    </w:p>
    <w:p w14:paraId="40C9A007" w14:textId="77777777" w:rsidR="004C0F6A" w:rsidRDefault="004C0F6A" w:rsidP="004C0F6A">
      <w:pPr>
        <w:spacing w:line="360" w:lineRule="auto"/>
        <w:jc w:val="both"/>
        <w:rPr>
          <w:rFonts w:ascii="Arial" w:hAnsi="Arial" w:cs="Arial"/>
          <w:iCs/>
          <w:sz w:val="24"/>
          <w:szCs w:val="24"/>
          <w:u w:val="single"/>
        </w:rPr>
      </w:pPr>
    </w:p>
    <w:p w14:paraId="120CF334" w14:textId="77777777" w:rsidR="001E6598" w:rsidRPr="004C0F6A" w:rsidRDefault="001E6598" w:rsidP="004C0F6A">
      <w:pPr>
        <w:spacing w:line="360" w:lineRule="auto"/>
        <w:jc w:val="both"/>
        <w:rPr>
          <w:rFonts w:ascii="Arial" w:hAnsi="Arial" w:cs="Arial"/>
          <w:iCs/>
          <w:sz w:val="24"/>
          <w:szCs w:val="24"/>
          <w:u w:val="single"/>
        </w:rPr>
      </w:pPr>
    </w:p>
    <w:p w14:paraId="15DAD062" w14:textId="77777777" w:rsidR="004C0F6A" w:rsidRPr="00536D0D" w:rsidRDefault="004C0F6A" w:rsidP="004C0F6A">
      <w:pPr>
        <w:spacing w:after="0" w:line="360" w:lineRule="auto"/>
        <w:rPr>
          <w:rFonts w:ascii="Arial" w:hAnsi="Arial" w:cs="Arial"/>
          <w:sz w:val="24"/>
          <w:szCs w:val="24"/>
        </w:rPr>
      </w:pPr>
      <w:r w:rsidRPr="00536D0D">
        <w:rPr>
          <w:rFonts w:ascii="Arial" w:hAnsi="Arial" w:cs="Arial"/>
          <w:sz w:val="24"/>
          <w:szCs w:val="24"/>
        </w:rPr>
        <w:t>Appearances:</w:t>
      </w:r>
    </w:p>
    <w:p w14:paraId="067905D0" w14:textId="77777777" w:rsidR="004C0F6A" w:rsidRPr="004C0F6A" w:rsidRDefault="004C0F6A" w:rsidP="004C0F6A">
      <w:pPr>
        <w:spacing w:after="0" w:line="360" w:lineRule="auto"/>
        <w:rPr>
          <w:rFonts w:ascii="Arial" w:hAnsi="Arial" w:cs="Arial"/>
          <w:sz w:val="24"/>
          <w:szCs w:val="24"/>
        </w:rPr>
      </w:pPr>
    </w:p>
    <w:p w14:paraId="6BE0B79B" w14:textId="77777777" w:rsidR="004C0F6A" w:rsidRPr="004C0F6A" w:rsidRDefault="004C0F6A" w:rsidP="004C0F6A">
      <w:pPr>
        <w:spacing w:after="0" w:line="360" w:lineRule="auto"/>
        <w:rPr>
          <w:rFonts w:ascii="Arial" w:hAnsi="Arial" w:cs="Arial"/>
          <w:sz w:val="24"/>
          <w:szCs w:val="24"/>
        </w:rPr>
      </w:pPr>
      <w:r w:rsidRPr="004C0F6A">
        <w:rPr>
          <w:rFonts w:ascii="Arial" w:hAnsi="Arial" w:cs="Arial"/>
          <w:sz w:val="24"/>
          <w:szCs w:val="24"/>
        </w:rPr>
        <w:t>For the applicant:</w:t>
      </w:r>
      <w:r w:rsidRPr="004C0F6A">
        <w:rPr>
          <w:rFonts w:ascii="Arial" w:hAnsi="Arial" w:cs="Arial"/>
          <w:sz w:val="24"/>
          <w:szCs w:val="24"/>
        </w:rPr>
        <w:tab/>
      </w:r>
      <w:r w:rsidRPr="004C0F6A">
        <w:rPr>
          <w:rFonts w:ascii="Arial" w:hAnsi="Arial" w:cs="Arial"/>
          <w:sz w:val="24"/>
          <w:szCs w:val="24"/>
        </w:rPr>
        <w:tab/>
      </w:r>
      <w:r w:rsidRPr="004C0F6A">
        <w:rPr>
          <w:rFonts w:ascii="Arial" w:hAnsi="Arial" w:cs="Arial"/>
          <w:sz w:val="24"/>
          <w:szCs w:val="24"/>
        </w:rPr>
        <w:tab/>
      </w:r>
      <w:r w:rsidR="006C3A73">
        <w:rPr>
          <w:rFonts w:ascii="Arial" w:hAnsi="Arial" w:cs="Arial"/>
          <w:sz w:val="24"/>
          <w:szCs w:val="24"/>
        </w:rPr>
        <w:t xml:space="preserve">Adv </w:t>
      </w:r>
      <w:r w:rsidR="00035BB3">
        <w:rPr>
          <w:rFonts w:ascii="Arial" w:hAnsi="Arial" w:cs="Arial"/>
          <w:sz w:val="24"/>
          <w:szCs w:val="24"/>
        </w:rPr>
        <w:t>AG Van Tonder</w:t>
      </w:r>
      <w:r w:rsidRPr="004C0F6A">
        <w:rPr>
          <w:rFonts w:ascii="Arial" w:hAnsi="Arial" w:cs="Arial"/>
          <w:sz w:val="24"/>
          <w:szCs w:val="24"/>
        </w:rPr>
        <w:t xml:space="preserve"> </w:t>
      </w:r>
    </w:p>
    <w:p w14:paraId="26F0943F" w14:textId="77777777" w:rsidR="004C0F6A" w:rsidRPr="004C0F6A" w:rsidRDefault="004C0F6A" w:rsidP="004C0F6A">
      <w:pPr>
        <w:spacing w:after="0" w:line="360" w:lineRule="auto"/>
        <w:rPr>
          <w:rFonts w:ascii="Arial" w:hAnsi="Arial" w:cs="Arial"/>
          <w:bCs/>
          <w:sz w:val="24"/>
          <w:szCs w:val="24"/>
        </w:rPr>
      </w:pPr>
      <w:r w:rsidRPr="004C0F6A">
        <w:rPr>
          <w:rFonts w:ascii="Arial" w:hAnsi="Arial" w:cs="Arial"/>
          <w:bCs/>
          <w:sz w:val="24"/>
          <w:szCs w:val="24"/>
        </w:rPr>
        <w:t>Instructed by:</w:t>
      </w:r>
      <w:r w:rsidRPr="004C0F6A">
        <w:rPr>
          <w:rFonts w:ascii="Arial" w:hAnsi="Arial" w:cs="Arial"/>
          <w:bCs/>
          <w:sz w:val="24"/>
          <w:szCs w:val="24"/>
        </w:rPr>
        <w:tab/>
      </w:r>
      <w:r w:rsidRPr="004C0F6A">
        <w:rPr>
          <w:rFonts w:ascii="Arial" w:hAnsi="Arial" w:cs="Arial"/>
          <w:bCs/>
          <w:sz w:val="24"/>
          <w:szCs w:val="24"/>
        </w:rPr>
        <w:tab/>
      </w:r>
      <w:r w:rsidRPr="004C0F6A">
        <w:rPr>
          <w:rFonts w:ascii="Arial" w:hAnsi="Arial" w:cs="Arial"/>
          <w:bCs/>
          <w:sz w:val="24"/>
          <w:szCs w:val="24"/>
        </w:rPr>
        <w:tab/>
      </w:r>
      <w:r w:rsidR="003B1FDF">
        <w:rPr>
          <w:rFonts w:ascii="Arial" w:hAnsi="Arial" w:cs="Arial"/>
          <w:bCs/>
          <w:sz w:val="24"/>
          <w:szCs w:val="24"/>
        </w:rPr>
        <w:t>Duncan &amp; Rothman Inc</w:t>
      </w:r>
      <w:r w:rsidRPr="004C0F6A">
        <w:rPr>
          <w:rFonts w:ascii="Arial" w:hAnsi="Arial" w:cs="Arial"/>
          <w:bCs/>
          <w:sz w:val="24"/>
          <w:szCs w:val="24"/>
        </w:rPr>
        <w:t>, Kimberley.</w:t>
      </w:r>
    </w:p>
    <w:p w14:paraId="7673EDC1" w14:textId="77777777" w:rsidR="004C0F6A" w:rsidRPr="004C0F6A" w:rsidRDefault="004C0F6A" w:rsidP="004C0F6A">
      <w:pPr>
        <w:spacing w:after="0" w:line="360" w:lineRule="auto"/>
        <w:rPr>
          <w:rFonts w:ascii="Arial" w:hAnsi="Arial" w:cs="Arial"/>
          <w:bCs/>
          <w:sz w:val="24"/>
          <w:szCs w:val="24"/>
        </w:rPr>
      </w:pPr>
    </w:p>
    <w:p w14:paraId="58750025" w14:textId="77777777" w:rsidR="004C0F6A" w:rsidRPr="004C0F6A" w:rsidRDefault="004C0F6A" w:rsidP="004C0F6A">
      <w:pPr>
        <w:spacing w:after="0" w:line="360" w:lineRule="auto"/>
        <w:rPr>
          <w:rFonts w:ascii="Arial" w:hAnsi="Arial" w:cs="Arial"/>
          <w:bCs/>
          <w:sz w:val="24"/>
          <w:szCs w:val="24"/>
        </w:rPr>
      </w:pPr>
      <w:r w:rsidRPr="004C0F6A">
        <w:rPr>
          <w:rFonts w:ascii="Arial" w:hAnsi="Arial" w:cs="Arial"/>
          <w:bCs/>
          <w:sz w:val="24"/>
          <w:szCs w:val="24"/>
        </w:rPr>
        <w:t>For the respondents:</w:t>
      </w:r>
      <w:r w:rsidRPr="004C0F6A">
        <w:rPr>
          <w:rFonts w:ascii="Arial" w:hAnsi="Arial" w:cs="Arial"/>
          <w:bCs/>
          <w:sz w:val="24"/>
          <w:szCs w:val="24"/>
        </w:rPr>
        <w:tab/>
      </w:r>
      <w:r w:rsidRPr="004C0F6A">
        <w:rPr>
          <w:rFonts w:ascii="Arial" w:hAnsi="Arial" w:cs="Arial"/>
          <w:bCs/>
          <w:sz w:val="24"/>
          <w:szCs w:val="24"/>
        </w:rPr>
        <w:tab/>
      </w:r>
      <w:r w:rsidR="006C3A73">
        <w:rPr>
          <w:rFonts w:ascii="Arial" w:hAnsi="Arial" w:cs="Arial"/>
          <w:bCs/>
          <w:sz w:val="24"/>
          <w:szCs w:val="24"/>
        </w:rPr>
        <w:t xml:space="preserve">Adv </w:t>
      </w:r>
      <w:r w:rsidR="00AA341E">
        <w:rPr>
          <w:rFonts w:ascii="Arial" w:hAnsi="Arial" w:cs="Arial"/>
          <w:bCs/>
          <w:sz w:val="24"/>
          <w:szCs w:val="24"/>
        </w:rPr>
        <w:t>RL Kruger</w:t>
      </w:r>
      <w:r w:rsidR="006C3A73">
        <w:rPr>
          <w:rFonts w:ascii="Arial" w:hAnsi="Arial" w:cs="Arial"/>
          <w:bCs/>
          <w:sz w:val="24"/>
          <w:szCs w:val="24"/>
        </w:rPr>
        <w:t xml:space="preserve"> </w:t>
      </w:r>
    </w:p>
    <w:p w14:paraId="1B936F2C" w14:textId="77777777" w:rsidR="003B1FDF" w:rsidRPr="004C0F6A" w:rsidRDefault="004C0F6A" w:rsidP="00AA341E">
      <w:pPr>
        <w:spacing w:after="0" w:line="360" w:lineRule="auto"/>
        <w:rPr>
          <w:rFonts w:ascii="Arial" w:hAnsi="Arial" w:cs="Arial"/>
          <w:bCs/>
          <w:sz w:val="24"/>
          <w:szCs w:val="24"/>
        </w:rPr>
      </w:pPr>
      <w:r w:rsidRPr="004C0F6A">
        <w:rPr>
          <w:rFonts w:ascii="Arial" w:hAnsi="Arial" w:cs="Arial"/>
          <w:bCs/>
          <w:sz w:val="24"/>
          <w:szCs w:val="24"/>
        </w:rPr>
        <w:t>Instructed by:</w:t>
      </w:r>
      <w:r w:rsidRPr="004C0F6A">
        <w:rPr>
          <w:rFonts w:ascii="Arial" w:hAnsi="Arial" w:cs="Arial"/>
          <w:bCs/>
          <w:sz w:val="24"/>
          <w:szCs w:val="24"/>
        </w:rPr>
        <w:tab/>
      </w:r>
      <w:r w:rsidRPr="004C0F6A">
        <w:rPr>
          <w:rFonts w:ascii="Arial" w:hAnsi="Arial" w:cs="Arial"/>
          <w:bCs/>
          <w:sz w:val="24"/>
          <w:szCs w:val="24"/>
        </w:rPr>
        <w:tab/>
      </w:r>
      <w:r w:rsidRPr="004C0F6A">
        <w:rPr>
          <w:rFonts w:ascii="Arial" w:hAnsi="Arial" w:cs="Arial"/>
          <w:bCs/>
          <w:sz w:val="24"/>
          <w:szCs w:val="24"/>
        </w:rPr>
        <w:tab/>
      </w:r>
      <w:r w:rsidR="002343B4">
        <w:rPr>
          <w:rFonts w:ascii="Arial" w:hAnsi="Arial" w:cs="Arial"/>
          <w:bCs/>
          <w:sz w:val="24"/>
          <w:szCs w:val="24"/>
        </w:rPr>
        <w:t>The second respondent (</w:t>
      </w:r>
      <w:r w:rsidR="002343B4" w:rsidRPr="002343B4">
        <w:rPr>
          <w:rFonts w:ascii="Arial" w:hAnsi="Arial" w:cs="Arial"/>
          <w:bCs/>
          <w:i/>
          <w:sz w:val="24"/>
          <w:szCs w:val="24"/>
        </w:rPr>
        <w:t>in person</w:t>
      </w:r>
      <w:r w:rsidR="002343B4">
        <w:rPr>
          <w:rFonts w:ascii="Arial" w:hAnsi="Arial" w:cs="Arial"/>
          <w:bCs/>
          <w:sz w:val="24"/>
          <w:szCs w:val="24"/>
        </w:rPr>
        <w:t xml:space="preserve">) </w:t>
      </w:r>
    </w:p>
    <w:p w14:paraId="021CBBC3" w14:textId="77777777" w:rsidR="004C0F6A" w:rsidRPr="004C0F6A" w:rsidRDefault="003B1FDF" w:rsidP="004C0F6A">
      <w:pPr>
        <w:spacing w:after="0" w:line="360" w:lineRule="auto"/>
        <w:rPr>
          <w:rFonts w:ascii="Arial" w:hAnsi="Arial" w:cs="Arial"/>
          <w:bCs/>
          <w:sz w:val="24"/>
          <w:szCs w:val="24"/>
        </w:rPr>
      </w:pPr>
      <w:r>
        <w:rPr>
          <w:rFonts w:ascii="Arial" w:hAnsi="Arial" w:cs="Arial"/>
          <w:bCs/>
          <w:sz w:val="24"/>
          <w:szCs w:val="24"/>
        </w:rPr>
        <w:tab/>
      </w:r>
    </w:p>
    <w:p w14:paraId="235BD3FA" w14:textId="77777777" w:rsidR="004C0F6A" w:rsidRPr="004C0F6A" w:rsidRDefault="004C0F6A" w:rsidP="004C0F6A">
      <w:pPr>
        <w:spacing w:after="0" w:line="360" w:lineRule="auto"/>
        <w:rPr>
          <w:rFonts w:ascii="Verdana" w:hAnsi="Verdana"/>
          <w:color w:val="000000"/>
          <w:sz w:val="20"/>
          <w:szCs w:val="20"/>
        </w:rPr>
      </w:pPr>
    </w:p>
    <w:p w14:paraId="14DFD0C7" w14:textId="77777777" w:rsidR="00551D81" w:rsidRPr="004D190E" w:rsidRDefault="00551D81" w:rsidP="004C0F6A">
      <w:pPr>
        <w:pStyle w:val="XClause1Head"/>
        <w:numPr>
          <w:ilvl w:val="0"/>
          <w:numId w:val="0"/>
        </w:numPr>
        <w:spacing w:line="360" w:lineRule="auto"/>
        <w:rPr>
          <w:rFonts w:cs="Arial"/>
          <w:sz w:val="24"/>
        </w:rPr>
      </w:pPr>
      <w:r w:rsidRPr="0026190D">
        <w:rPr>
          <w:sz w:val="24"/>
          <w:szCs w:val="24"/>
        </w:rPr>
        <w:t xml:space="preserve"> </w:t>
      </w:r>
      <w:bookmarkEnd w:id="1"/>
    </w:p>
    <w:sectPr w:rsidR="00551D81" w:rsidRPr="004D190E" w:rsidSect="00CD02E4">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06FD0" w14:textId="77777777" w:rsidR="00E16F44" w:rsidRDefault="00E16F44" w:rsidP="00CF13C5">
      <w:pPr>
        <w:spacing w:after="0" w:line="240" w:lineRule="auto"/>
      </w:pPr>
      <w:r>
        <w:separator/>
      </w:r>
    </w:p>
  </w:endnote>
  <w:endnote w:type="continuationSeparator" w:id="0">
    <w:p w14:paraId="74ABCB05" w14:textId="77777777" w:rsidR="00E16F44" w:rsidRDefault="00E16F44" w:rsidP="00CF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57B1D" w14:textId="77777777" w:rsidR="00820C5E" w:rsidRDefault="00820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CC43C" w14:textId="77777777" w:rsidR="00820C5E" w:rsidRDefault="00820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75694" w14:textId="77777777" w:rsidR="00820C5E" w:rsidRDefault="0082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20C69" w14:textId="77777777" w:rsidR="00E16F44" w:rsidRDefault="00E16F44" w:rsidP="00CF13C5">
      <w:pPr>
        <w:spacing w:after="0" w:line="240" w:lineRule="auto"/>
      </w:pPr>
      <w:r>
        <w:separator/>
      </w:r>
    </w:p>
  </w:footnote>
  <w:footnote w:type="continuationSeparator" w:id="0">
    <w:p w14:paraId="51493403" w14:textId="77777777" w:rsidR="00E16F44" w:rsidRDefault="00E16F44" w:rsidP="00CF13C5">
      <w:pPr>
        <w:spacing w:after="0" w:line="240" w:lineRule="auto"/>
      </w:pPr>
      <w:r>
        <w:continuationSeparator/>
      </w:r>
    </w:p>
  </w:footnote>
  <w:footnote w:id="1">
    <w:p w14:paraId="3FFE8C8C" w14:textId="77777777" w:rsidR="00411675" w:rsidRPr="00265CF0" w:rsidRDefault="00411675">
      <w:pPr>
        <w:pStyle w:val="FootnoteText"/>
        <w:rPr>
          <w:lang w:val="en-US"/>
        </w:rPr>
      </w:pPr>
      <w:r>
        <w:rPr>
          <w:rStyle w:val="FootnoteReference"/>
        </w:rPr>
        <w:footnoteRef/>
      </w:r>
      <w:r>
        <w:t xml:space="preserve"> </w:t>
      </w:r>
      <w:r w:rsidRPr="00265CF0">
        <w:rPr>
          <w:rFonts w:ascii="Verdana" w:hAnsi="Verdana"/>
          <w:sz w:val="16"/>
          <w:szCs w:val="16"/>
        </w:rPr>
        <w:t>1956 (1) SA 364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ECE6D" w14:textId="77777777" w:rsidR="00820C5E" w:rsidRDefault="00820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7362919"/>
      <w:docPartObj>
        <w:docPartGallery w:val="Page Numbers (Top of Page)"/>
        <w:docPartUnique/>
      </w:docPartObj>
    </w:sdtPr>
    <w:sdtEndPr>
      <w:rPr>
        <w:noProof/>
      </w:rPr>
    </w:sdtEndPr>
    <w:sdtContent>
      <w:p w14:paraId="352D3FE8" w14:textId="77777777" w:rsidR="00411675" w:rsidRDefault="00411675">
        <w:pPr>
          <w:pStyle w:val="Header"/>
          <w:jc w:val="right"/>
        </w:pPr>
        <w:r>
          <w:fldChar w:fldCharType="begin"/>
        </w:r>
        <w:r>
          <w:instrText xml:space="preserve"> PAGE   \* MERGEFORMAT </w:instrText>
        </w:r>
        <w:r>
          <w:fldChar w:fldCharType="separate"/>
        </w:r>
        <w:r w:rsidR="00083492">
          <w:rPr>
            <w:noProof/>
          </w:rPr>
          <w:t>3</w:t>
        </w:r>
        <w:r>
          <w:rPr>
            <w:noProof/>
          </w:rPr>
          <w:fldChar w:fldCharType="end"/>
        </w:r>
      </w:p>
    </w:sdtContent>
  </w:sdt>
  <w:p w14:paraId="23F97D14" w14:textId="77777777" w:rsidR="00411675" w:rsidRDefault="00411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11FB7" w14:textId="77777777" w:rsidR="00820C5E" w:rsidRDefault="00820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53132"/>
    <w:multiLevelType w:val="multilevel"/>
    <w:tmpl w:val="1A68745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7ED714B"/>
    <w:multiLevelType w:val="multilevel"/>
    <w:tmpl w:val="3044FD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085A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121743"/>
    <w:multiLevelType w:val="hybridMultilevel"/>
    <w:tmpl w:val="5D7CCAE8"/>
    <w:lvl w:ilvl="0" w:tplc="6EE6D178">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340F86"/>
    <w:multiLevelType w:val="multilevel"/>
    <w:tmpl w:val="19F08C68"/>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6" w15:restartNumberingAfterBreak="0">
    <w:nsid w:val="706934F9"/>
    <w:multiLevelType w:val="hybridMultilevel"/>
    <w:tmpl w:val="CBE83F36"/>
    <w:lvl w:ilvl="0" w:tplc="C9E4E6F4">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1773BC8"/>
    <w:multiLevelType w:val="hybridMultilevel"/>
    <w:tmpl w:val="D8769E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22784807">
    <w:abstractNumId w:val="7"/>
  </w:num>
  <w:num w:numId="2" w16cid:durableId="847251213">
    <w:abstractNumId w:val="4"/>
  </w:num>
  <w:num w:numId="3" w16cid:durableId="743144933">
    <w:abstractNumId w:val="3"/>
  </w:num>
  <w:num w:numId="4" w16cid:durableId="1191070708">
    <w:abstractNumId w:val="6"/>
  </w:num>
  <w:num w:numId="5" w16cid:durableId="75713131">
    <w:abstractNumId w:val="5"/>
  </w:num>
  <w:num w:numId="6" w16cid:durableId="73362124">
    <w:abstractNumId w:val="0"/>
  </w:num>
  <w:num w:numId="7" w16cid:durableId="955020009">
    <w:abstractNumId w:val="2"/>
  </w:num>
  <w:num w:numId="8" w16cid:durableId="170840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D9"/>
    <w:rsid w:val="00003D15"/>
    <w:rsid w:val="00006B0D"/>
    <w:rsid w:val="000103C2"/>
    <w:rsid w:val="0001644D"/>
    <w:rsid w:val="000230F1"/>
    <w:rsid w:val="00023AD9"/>
    <w:rsid w:val="0002610E"/>
    <w:rsid w:val="00035BB3"/>
    <w:rsid w:val="00042491"/>
    <w:rsid w:val="0004426C"/>
    <w:rsid w:val="000537AA"/>
    <w:rsid w:val="00056DF8"/>
    <w:rsid w:val="000612A3"/>
    <w:rsid w:val="000743D0"/>
    <w:rsid w:val="00083492"/>
    <w:rsid w:val="000B0B9B"/>
    <w:rsid w:val="000B3187"/>
    <w:rsid w:val="000C23D5"/>
    <w:rsid w:val="000C4F2A"/>
    <w:rsid w:val="000D0298"/>
    <w:rsid w:val="000D0438"/>
    <w:rsid w:val="000D0E4C"/>
    <w:rsid w:val="000D18DD"/>
    <w:rsid w:val="000D5F50"/>
    <w:rsid w:val="000E0D03"/>
    <w:rsid w:val="000F047F"/>
    <w:rsid w:val="000F4057"/>
    <w:rsid w:val="00104331"/>
    <w:rsid w:val="0012044B"/>
    <w:rsid w:val="0012642E"/>
    <w:rsid w:val="00142C01"/>
    <w:rsid w:val="00142D1E"/>
    <w:rsid w:val="00144ABF"/>
    <w:rsid w:val="00144D24"/>
    <w:rsid w:val="00147120"/>
    <w:rsid w:val="00151FEB"/>
    <w:rsid w:val="00156CA7"/>
    <w:rsid w:val="00157854"/>
    <w:rsid w:val="00165017"/>
    <w:rsid w:val="00184789"/>
    <w:rsid w:val="00186EB9"/>
    <w:rsid w:val="00190607"/>
    <w:rsid w:val="001911FE"/>
    <w:rsid w:val="00191F2B"/>
    <w:rsid w:val="001932E2"/>
    <w:rsid w:val="0019439F"/>
    <w:rsid w:val="001953BD"/>
    <w:rsid w:val="00196237"/>
    <w:rsid w:val="001B10DE"/>
    <w:rsid w:val="001B156C"/>
    <w:rsid w:val="001B3AA1"/>
    <w:rsid w:val="001B5983"/>
    <w:rsid w:val="001B7211"/>
    <w:rsid w:val="001C2E60"/>
    <w:rsid w:val="001C33B1"/>
    <w:rsid w:val="001C42FC"/>
    <w:rsid w:val="001C44ED"/>
    <w:rsid w:val="001C7F61"/>
    <w:rsid w:val="001D4601"/>
    <w:rsid w:val="001E2215"/>
    <w:rsid w:val="001E6598"/>
    <w:rsid w:val="001F09B0"/>
    <w:rsid w:val="001F0B5A"/>
    <w:rsid w:val="001F58C4"/>
    <w:rsid w:val="002035AC"/>
    <w:rsid w:val="00203A63"/>
    <w:rsid w:val="00203FE4"/>
    <w:rsid w:val="00210565"/>
    <w:rsid w:val="00214AAD"/>
    <w:rsid w:val="00223D42"/>
    <w:rsid w:val="00223F38"/>
    <w:rsid w:val="00224A8C"/>
    <w:rsid w:val="00227D76"/>
    <w:rsid w:val="002343B4"/>
    <w:rsid w:val="0023568A"/>
    <w:rsid w:val="00235E85"/>
    <w:rsid w:val="00236C07"/>
    <w:rsid w:val="002451CF"/>
    <w:rsid w:val="002504EE"/>
    <w:rsid w:val="00265CF0"/>
    <w:rsid w:val="00273A46"/>
    <w:rsid w:val="00283A2F"/>
    <w:rsid w:val="00284C0E"/>
    <w:rsid w:val="002858A1"/>
    <w:rsid w:val="00286EB2"/>
    <w:rsid w:val="0029171E"/>
    <w:rsid w:val="002A1168"/>
    <w:rsid w:val="002A1CCB"/>
    <w:rsid w:val="002A2ED0"/>
    <w:rsid w:val="002C0579"/>
    <w:rsid w:val="002C05CC"/>
    <w:rsid w:val="002C797A"/>
    <w:rsid w:val="002D130E"/>
    <w:rsid w:val="002D1B18"/>
    <w:rsid w:val="002D351D"/>
    <w:rsid w:val="002E3C83"/>
    <w:rsid w:val="002F0554"/>
    <w:rsid w:val="002F5868"/>
    <w:rsid w:val="002F6FC8"/>
    <w:rsid w:val="00303DA3"/>
    <w:rsid w:val="00307327"/>
    <w:rsid w:val="00310F3F"/>
    <w:rsid w:val="00315721"/>
    <w:rsid w:val="003172CF"/>
    <w:rsid w:val="00317D3E"/>
    <w:rsid w:val="00321CA9"/>
    <w:rsid w:val="003229C8"/>
    <w:rsid w:val="00322ACE"/>
    <w:rsid w:val="00331F8B"/>
    <w:rsid w:val="00352A4D"/>
    <w:rsid w:val="00352DBD"/>
    <w:rsid w:val="0035350A"/>
    <w:rsid w:val="003536A5"/>
    <w:rsid w:val="00353C22"/>
    <w:rsid w:val="0035780D"/>
    <w:rsid w:val="00360732"/>
    <w:rsid w:val="00361E0A"/>
    <w:rsid w:val="00363681"/>
    <w:rsid w:val="00374029"/>
    <w:rsid w:val="00375248"/>
    <w:rsid w:val="003774F5"/>
    <w:rsid w:val="00377F69"/>
    <w:rsid w:val="00385A2B"/>
    <w:rsid w:val="003962F5"/>
    <w:rsid w:val="00396B3D"/>
    <w:rsid w:val="003A1ECE"/>
    <w:rsid w:val="003A5E26"/>
    <w:rsid w:val="003A766A"/>
    <w:rsid w:val="003B1FDF"/>
    <w:rsid w:val="003B36DA"/>
    <w:rsid w:val="003B43DB"/>
    <w:rsid w:val="003C1E3F"/>
    <w:rsid w:val="003C35D7"/>
    <w:rsid w:val="003C3CD1"/>
    <w:rsid w:val="003C52A4"/>
    <w:rsid w:val="003D26D7"/>
    <w:rsid w:val="003D2900"/>
    <w:rsid w:val="003D39B1"/>
    <w:rsid w:val="003D610E"/>
    <w:rsid w:val="003D690D"/>
    <w:rsid w:val="003D6B1C"/>
    <w:rsid w:val="003E23E4"/>
    <w:rsid w:val="003F1716"/>
    <w:rsid w:val="003F1C71"/>
    <w:rsid w:val="003F2E38"/>
    <w:rsid w:val="003F7FB8"/>
    <w:rsid w:val="00401FBE"/>
    <w:rsid w:val="00411675"/>
    <w:rsid w:val="00421AF1"/>
    <w:rsid w:val="00423434"/>
    <w:rsid w:val="00424F50"/>
    <w:rsid w:val="0042762E"/>
    <w:rsid w:val="004341F7"/>
    <w:rsid w:val="004346BE"/>
    <w:rsid w:val="0046432B"/>
    <w:rsid w:val="00467C94"/>
    <w:rsid w:val="004740CB"/>
    <w:rsid w:val="0047452C"/>
    <w:rsid w:val="0047452E"/>
    <w:rsid w:val="004749CD"/>
    <w:rsid w:val="004804FD"/>
    <w:rsid w:val="00486380"/>
    <w:rsid w:val="00491552"/>
    <w:rsid w:val="004948D8"/>
    <w:rsid w:val="004954AD"/>
    <w:rsid w:val="004B00A6"/>
    <w:rsid w:val="004B0D10"/>
    <w:rsid w:val="004B32F8"/>
    <w:rsid w:val="004C0F6A"/>
    <w:rsid w:val="004D190E"/>
    <w:rsid w:val="004D1C0D"/>
    <w:rsid w:val="004D2CFC"/>
    <w:rsid w:val="004D47B9"/>
    <w:rsid w:val="004D588A"/>
    <w:rsid w:val="004D59BF"/>
    <w:rsid w:val="004D7E6A"/>
    <w:rsid w:val="004E1FC9"/>
    <w:rsid w:val="004E2E55"/>
    <w:rsid w:val="004E51EC"/>
    <w:rsid w:val="004E6C7E"/>
    <w:rsid w:val="004F3397"/>
    <w:rsid w:val="00507105"/>
    <w:rsid w:val="00507BD0"/>
    <w:rsid w:val="00510F23"/>
    <w:rsid w:val="0052164E"/>
    <w:rsid w:val="0052704A"/>
    <w:rsid w:val="00527EF8"/>
    <w:rsid w:val="00531476"/>
    <w:rsid w:val="005325AC"/>
    <w:rsid w:val="00534898"/>
    <w:rsid w:val="00536D0D"/>
    <w:rsid w:val="00543BC3"/>
    <w:rsid w:val="00543BCD"/>
    <w:rsid w:val="00550ADA"/>
    <w:rsid w:val="00551D81"/>
    <w:rsid w:val="00554F93"/>
    <w:rsid w:val="005625E1"/>
    <w:rsid w:val="005669D2"/>
    <w:rsid w:val="00570302"/>
    <w:rsid w:val="005707F4"/>
    <w:rsid w:val="00573CDB"/>
    <w:rsid w:val="0057743B"/>
    <w:rsid w:val="00582FD8"/>
    <w:rsid w:val="00591C49"/>
    <w:rsid w:val="005931B5"/>
    <w:rsid w:val="005A08DD"/>
    <w:rsid w:val="005A6B67"/>
    <w:rsid w:val="005A74B3"/>
    <w:rsid w:val="005B125D"/>
    <w:rsid w:val="005C531E"/>
    <w:rsid w:val="005C61BC"/>
    <w:rsid w:val="005C679A"/>
    <w:rsid w:val="005D7155"/>
    <w:rsid w:val="005F0CDF"/>
    <w:rsid w:val="005F4500"/>
    <w:rsid w:val="005F5653"/>
    <w:rsid w:val="005F7DAB"/>
    <w:rsid w:val="0060584E"/>
    <w:rsid w:val="006141D1"/>
    <w:rsid w:val="006142A6"/>
    <w:rsid w:val="00626DBE"/>
    <w:rsid w:val="00626E1A"/>
    <w:rsid w:val="00641092"/>
    <w:rsid w:val="00645C6C"/>
    <w:rsid w:val="006516EF"/>
    <w:rsid w:val="0065191E"/>
    <w:rsid w:val="00651A10"/>
    <w:rsid w:val="00652FA8"/>
    <w:rsid w:val="00660C30"/>
    <w:rsid w:val="0066152E"/>
    <w:rsid w:val="00664174"/>
    <w:rsid w:val="00683C44"/>
    <w:rsid w:val="00685B76"/>
    <w:rsid w:val="00686A49"/>
    <w:rsid w:val="006A5F41"/>
    <w:rsid w:val="006A75D3"/>
    <w:rsid w:val="006B1B96"/>
    <w:rsid w:val="006C0345"/>
    <w:rsid w:val="006C3A73"/>
    <w:rsid w:val="006C4F57"/>
    <w:rsid w:val="006C6CB1"/>
    <w:rsid w:val="006D2BC9"/>
    <w:rsid w:val="006E7EEA"/>
    <w:rsid w:val="006F2217"/>
    <w:rsid w:val="006F699F"/>
    <w:rsid w:val="006F69DC"/>
    <w:rsid w:val="006F6C26"/>
    <w:rsid w:val="0070555B"/>
    <w:rsid w:val="00706A41"/>
    <w:rsid w:val="00710177"/>
    <w:rsid w:val="007122AF"/>
    <w:rsid w:val="007137CA"/>
    <w:rsid w:val="007204D9"/>
    <w:rsid w:val="00723520"/>
    <w:rsid w:val="007248B5"/>
    <w:rsid w:val="007259BB"/>
    <w:rsid w:val="00733C64"/>
    <w:rsid w:val="00734119"/>
    <w:rsid w:val="00735956"/>
    <w:rsid w:val="007411DE"/>
    <w:rsid w:val="00744EDE"/>
    <w:rsid w:val="00753975"/>
    <w:rsid w:val="007556FB"/>
    <w:rsid w:val="00763146"/>
    <w:rsid w:val="007721F5"/>
    <w:rsid w:val="0077428D"/>
    <w:rsid w:val="00777E0A"/>
    <w:rsid w:val="00780B55"/>
    <w:rsid w:val="007839AD"/>
    <w:rsid w:val="00783B81"/>
    <w:rsid w:val="007858ED"/>
    <w:rsid w:val="00792F5F"/>
    <w:rsid w:val="00795E5A"/>
    <w:rsid w:val="00796AEB"/>
    <w:rsid w:val="007970AA"/>
    <w:rsid w:val="007A2317"/>
    <w:rsid w:val="007A3131"/>
    <w:rsid w:val="007A3E23"/>
    <w:rsid w:val="007C76E1"/>
    <w:rsid w:val="007D31EB"/>
    <w:rsid w:val="007D77C1"/>
    <w:rsid w:val="007E77A5"/>
    <w:rsid w:val="007E7962"/>
    <w:rsid w:val="0080074D"/>
    <w:rsid w:val="00802C8A"/>
    <w:rsid w:val="00803C72"/>
    <w:rsid w:val="0081498B"/>
    <w:rsid w:val="00817B33"/>
    <w:rsid w:val="00820C5E"/>
    <w:rsid w:val="00821FDA"/>
    <w:rsid w:val="0084293A"/>
    <w:rsid w:val="008456BF"/>
    <w:rsid w:val="008475E7"/>
    <w:rsid w:val="00847E54"/>
    <w:rsid w:val="0085035B"/>
    <w:rsid w:val="00850CA2"/>
    <w:rsid w:val="00861996"/>
    <w:rsid w:val="0086578C"/>
    <w:rsid w:val="00866DC3"/>
    <w:rsid w:val="00870CEF"/>
    <w:rsid w:val="00875DDE"/>
    <w:rsid w:val="00882321"/>
    <w:rsid w:val="008875D8"/>
    <w:rsid w:val="00887DE0"/>
    <w:rsid w:val="00891BDB"/>
    <w:rsid w:val="00895A9C"/>
    <w:rsid w:val="00895FB5"/>
    <w:rsid w:val="008A06B4"/>
    <w:rsid w:val="008A11EB"/>
    <w:rsid w:val="008B367A"/>
    <w:rsid w:val="008B798C"/>
    <w:rsid w:val="008C18F4"/>
    <w:rsid w:val="008C3146"/>
    <w:rsid w:val="008E71C6"/>
    <w:rsid w:val="008F051B"/>
    <w:rsid w:val="008F24BD"/>
    <w:rsid w:val="008F3FB2"/>
    <w:rsid w:val="008F4F51"/>
    <w:rsid w:val="00902827"/>
    <w:rsid w:val="0090759E"/>
    <w:rsid w:val="009148E9"/>
    <w:rsid w:val="00916448"/>
    <w:rsid w:val="00916B93"/>
    <w:rsid w:val="00927743"/>
    <w:rsid w:val="00930709"/>
    <w:rsid w:val="00934507"/>
    <w:rsid w:val="00934AA1"/>
    <w:rsid w:val="0095267F"/>
    <w:rsid w:val="00955358"/>
    <w:rsid w:val="00971A6B"/>
    <w:rsid w:val="009761A7"/>
    <w:rsid w:val="00980162"/>
    <w:rsid w:val="00982069"/>
    <w:rsid w:val="00991924"/>
    <w:rsid w:val="00995488"/>
    <w:rsid w:val="009A0FF1"/>
    <w:rsid w:val="009A31F0"/>
    <w:rsid w:val="009A5CE5"/>
    <w:rsid w:val="009A6694"/>
    <w:rsid w:val="009B08C4"/>
    <w:rsid w:val="009B3A3F"/>
    <w:rsid w:val="009B4106"/>
    <w:rsid w:val="009E115A"/>
    <w:rsid w:val="009F22D8"/>
    <w:rsid w:val="009F7145"/>
    <w:rsid w:val="00A03079"/>
    <w:rsid w:val="00A059CF"/>
    <w:rsid w:val="00A1057E"/>
    <w:rsid w:val="00A10ECC"/>
    <w:rsid w:val="00A11445"/>
    <w:rsid w:val="00A229C0"/>
    <w:rsid w:val="00A361C9"/>
    <w:rsid w:val="00A45E42"/>
    <w:rsid w:val="00A6153B"/>
    <w:rsid w:val="00A675D0"/>
    <w:rsid w:val="00A74D31"/>
    <w:rsid w:val="00A77FDA"/>
    <w:rsid w:val="00A86635"/>
    <w:rsid w:val="00A91BD7"/>
    <w:rsid w:val="00AA341E"/>
    <w:rsid w:val="00AA6395"/>
    <w:rsid w:val="00AB135F"/>
    <w:rsid w:val="00AC64C6"/>
    <w:rsid w:val="00AE06B5"/>
    <w:rsid w:val="00AF3F79"/>
    <w:rsid w:val="00B21993"/>
    <w:rsid w:val="00B2309D"/>
    <w:rsid w:val="00B31878"/>
    <w:rsid w:val="00B31F3F"/>
    <w:rsid w:val="00B32E6F"/>
    <w:rsid w:val="00B36B00"/>
    <w:rsid w:val="00B51CBE"/>
    <w:rsid w:val="00B54499"/>
    <w:rsid w:val="00B55243"/>
    <w:rsid w:val="00B6074B"/>
    <w:rsid w:val="00B633F8"/>
    <w:rsid w:val="00B63DAE"/>
    <w:rsid w:val="00B645FD"/>
    <w:rsid w:val="00B82CE5"/>
    <w:rsid w:val="00B87CA1"/>
    <w:rsid w:val="00B94EB6"/>
    <w:rsid w:val="00B94F3C"/>
    <w:rsid w:val="00BA150F"/>
    <w:rsid w:val="00BA38D2"/>
    <w:rsid w:val="00BA5F21"/>
    <w:rsid w:val="00BB2649"/>
    <w:rsid w:val="00BB4F7F"/>
    <w:rsid w:val="00BD2CA0"/>
    <w:rsid w:val="00BE3531"/>
    <w:rsid w:val="00BE4C69"/>
    <w:rsid w:val="00BF1864"/>
    <w:rsid w:val="00BF3917"/>
    <w:rsid w:val="00C041C3"/>
    <w:rsid w:val="00C1736E"/>
    <w:rsid w:val="00C2192F"/>
    <w:rsid w:val="00C229EC"/>
    <w:rsid w:val="00C25F1A"/>
    <w:rsid w:val="00C31BED"/>
    <w:rsid w:val="00C52900"/>
    <w:rsid w:val="00C53CE7"/>
    <w:rsid w:val="00C552CA"/>
    <w:rsid w:val="00C6084F"/>
    <w:rsid w:val="00C622C0"/>
    <w:rsid w:val="00C64A4F"/>
    <w:rsid w:val="00C81272"/>
    <w:rsid w:val="00C8287D"/>
    <w:rsid w:val="00C82E4D"/>
    <w:rsid w:val="00C841FA"/>
    <w:rsid w:val="00C922BE"/>
    <w:rsid w:val="00C97354"/>
    <w:rsid w:val="00CA0F0C"/>
    <w:rsid w:val="00CA3E79"/>
    <w:rsid w:val="00CA57E1"/>
    <w:rsid w:val="00CB31A9"/>
    <w:rsid w:val="00CC20B6"/>
    <w:rsid w:val="00CC6168"/>
    <w:rsid w:val="00CD02E4"/>
    <w:rsid w:val="00CD231C"/>
    <w:rsid w:val="00CE4F1E"/>
    <w:rsid w:val="00CE67DF"/>
    <w:rsid w:val="00CE7541"/>
    <w:rsid w:val="00CE7F40"/>
    <w:rsid w:val="00CF13C5"/>
    <w:rsid w:val="00CF7EBC"/>
    <w:rsid w:val="00D003A8"/>
    <w:rsid w:val="00D01C04"/>
    <w:rsid w:val="00D04E1A"/>
    <w:rsid w:val="00D0547B"/>
    <w:rsid w:val="00D05B7F"/>
    <w:rsid w:val="00D06C6B"/>
    <w:rsid w:val="00D1799E"/>
    <w:rsid w:val="00D20A50"/>
    <w:rsid w:val="00D2304D"/>
    <w:rsid w:val="00D25365"/>
    <w:rsid w:val="00D274EF"/>
    <w:rsid w:val="00D36AE0"/>
    <w:rsid w:val="00D4700A"/>
    <w:rsid w:val="00D47ABC"/>
    <w:rsid w:val="00D54815"/>
    <w:rsid w:val="00D6570C"/>
    <w:rsid w:val="00D80641"/>
    <w:rsid w:val="00D9023F"/>
    <w:rsid w:val="00D92A36"/>
    <w:rsid w:val="00D9423D"/>
    <w:rsid w:val="00D972F4"/>
    <w:rsid w:val="00DA103B"/>
    <w:rsid w:val="00DA1579"/>
    <w:rsid w:val="00DA2B69"/>
    <w:rsid w:val="00DA38EC"/>
    <w:rsid w:val="00DA702C"/>
    <w:rsid w:val="00DB1B13"/>
    <w:rsid w:val="00DB2462"/>
    <w:rsid w:val="00DC080A"/>
    <w:rsid w:val="00DC1AA6"/>
    <w:rsid w:val="00DC639E"/>
    <w:rsid w:val="00DD0251"/>
    <w:rsid w:val="00DD4459"/>
    <w:rsid w:val="00DE25E2"/>
    <w:rsid w:val="00DF2B8B"/>
    <w:rsid w:val="00DF343B"/>
    <w:rsid w:val="00E0162C"/>
    <w:rsid w:val="00E03871"/>
    <w:rsid w:val="00E10A14"/>
    <w:rsid w:val="00E1213E"/>
    <w:rsid w:val="00E12624"/>
    <w:rsid w:val="00E16F44"/>
    <w:rsid w:val="00E2622C"/>
    <w:rsid w:val="00E356A6"/>
    <w:rsid w:val="00E4718E"/>
    <w:rsid w:val="00E569DE"/>
    <w:rsid w:val="00E60551"/>
    <w:rsid w:val="00E76EB0"/>
    <w:rsid w:val="00E80E00"/>
    <w:rsid w:val="00E8710F"/>
    <w:rsid w:val="00E9008E"/>
    <w:rsid w:val="00E91FDB"/>
    <w:rsid w:val="00EB570C"/>
    <w:rsid w:val="00EC20A4"/>
    <w:rsid w:val="00EC393A"/>
    <w:rsid w:val="00EC4319"/>
    <w:rsid w:val="00EC559D"/>
    <w:rsid w:val="00ED00AD"/>
    <w:rsid w:val="00ED08B3"/>
    <w:rsid w:val="00ED4B45"/>
    <w:rsid w:val="00ED5286"/>
    <w:rsid w:val="00ED6056"/>
    <w:rsid w:val="00EE1851"/>
    <w:rsid w:val="00EE4A18"/>
    <w:rsid w:val="00EE5DEC"/>
    <w:rsid w:val="00F04BC5"/>
    <w:rsid w:val="00F05477"/>
    <w:rsid w:val="00F0669E"/>
    <w:rsid w:val="00F07B74"/>
    <w:rsid w:val="00F264A8"/>
    <w:rsid w:val="00F30830"/>
    <w:rsid w:val="00F60575"/>
    <w:rsid w:val="00F6224C"/>
    <w:rsid w:val="00F6243A"/>
    <w:rsid w:val="00F64374"/>
    <w:rsid w:val="00F76F0D"/>
    <w:rsid w:val="00F8505A"/>
    <w:rsid w:val="00F91D14"/>
    <w:rsid w:val="00F97710"/>
    <w:rsid w:val="00FA20E3"/>
    <w:rsid w:val="00FA4E41"/>
    <w:rsid w:val="00FA5554"/>
    <w:rsid w:val="00FB32B6"/>
    <w:rsid w:val="00FD28DF"/>
    <w:rsid w:val="00FD6DD4"/>
    <w:rsid w:val="00FE2B92"/>
    <w:rsid w:val="00FE3815"/>
    <w:rsid w:val="00FF3AF8"/>
    <w:rsid w:val="00FF4CC9"/>
    <w:rsid w:val="00FF5E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B53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D9"/>
    <w:pPr>
      <w:ind w:left="720"/>
      <w:contextualSpacing/>
    </w:pPr>
  </w:style>
  <w:style w:type="paragraph" w:customStyle="1" w:styleId="XClause1Head">
    <w:name w:val="XClause1Head"/>
    <w:basedOn w:val="Normal"/>
    <w:link w:val="XClause1HeadChar"/>
    <w:rsid w:val="00551D81"/>
    <w:pPr>
      <w:numPr>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2Sub">
    <w:name w:val="XClause2Sub"/>
    <w:basedOn w:val="Normal"/>
    <w:rsid w:val="00551D81"/>
    <w:pPr>
      <w:numPr>
        <w:ilvl w:val="1"/>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3Sub">
    <w:name w:val="XClause3Sub"/>
    <w:basedOn w:val="Normal"/>
    <w:rsid w:val="00551D81"/>
    <w:pPr>
      <w:numPr>
        <w:ilvl w:val="2"/>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4Sub">
    <w:name w:val="XClause4Sub"/>
    <w:basedOn w:val="Normal"/>
    <w:rsid w:val="00551D81"/>
    <w:pPr>
      <w:numPr>
        <w:ilvl w:val="3"/>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5Sub">
    <w:name w:val="XClause5Sub"/>
    <w:basedOn w:val="Normal"/>
    <w:rsid w:val="00551D81"/>
    <w:pPr>
      <w:numPr>
        <w:ilvl w:val="4"/>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6Sub">
    <w:name w:val="XClause6Sub"/>
    <w:basedOn w:val="Normal"/>
    <w:rsid w:val="00551D81"/>
    <w:pPr>
      <w:numPr>
        <w:ilvl w:val="5"/>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7Sub">
    <w:name w:val="XClause7Sub"/>
    <w:basedOn w:val="Normal"/>
    <w:rsid w:val="00551D81"/>
    <w:pPr>
      <w:numPr>
        <w:ilvl w:val="6"/>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8Sub">
    <w:name w:val="XClause8Sub"/>
    <w:basedOn w:val="Normal"/>
    <w:rsid w:val="00551D81"/>
    <w:pPr>
      <w:numPr>
        <w:ilvl w:val="7"/>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9Sub">
    <w:name w:val="XClause9Sub"/>
    <w:basedOn w:val="Normal"/>
    <w:rsid w:val="00551D81"/>
    <w:pPr>
      <w:numPr>
        <w:ilvl w:val="8"/>
        <w:numId w:val="5"/>
      </w:numPr>
      <w:spacing w:after="240" w:line="360" w:lineRule="atLeast"/>
      <w:jc w:val="both"/>
    </w:pPr>
    <w:rPr>
      <w:rFonts w:ascii="Arial" w:eastAsia="Times New Roman" w:hAnsi="Arial" w:cs="Times New Roman"/>
      <w:sz w:val="20"/>
      <w:szCs w:val="20"/>
      <w:lang w:val="en-GB" w:eastAsia="en-GB"/>
    </w:rPr>
  </w:style>
  <w:style w:type="character" w:customStyle="1" w:styleId="XClause1HeadChar">
    <w:name w:val="XClause1Head Char"/>
    <w:link w:val="XClause1Head"/>
    <w:rsid w:val="00551D81"/>
    <w:rPr>
      <w:rFonts w:ascii="Arial" w:eastAsia="Times New Roman" w:hAnsi="Arial" w:cs="Times New Roman"/>
      <w:sz w:val="20"/>
      <w:szCs w:val="20"/>
      <w:lang w:val="en-GB" w:eastAsia="en-GB"/>
    </w:rPr>
  </w:style>
  <w:style w:type="character" w:customStyle="1" w:styleId="g1">
    <w:name w:val="g1"/>
    <w:basedOn w:val="DefaultParagraphFont"/>
    <w:rsid w:val="00A1057E"/>
  </w:style>
  <w:style w:type="character" w:styleId="Hyperlink">
    <w:name w:val="Hyperlink"/>
    <w:basedOn w:val="DefaultParagraphFont"/>
    <w:uiPriority w:val="99"/>
    <w:semiHidden/>
    <w:unhideWhenUsed/>
    <w:rsid w:val="00A1057E"/>
    <w:rPr>
      <w:color w:val="0000FF"/>
      <w:u w:val="single"/>
    </w:rPr>
  </w:style>
  <w:style w:type="character" w:customStyle="1" w:styleId="mc">
    <w:name w:val="mc"/>
    <w:basedOn w:val="DefaultParagraphFont"/>
    <w:rsid w:val="00A1057E"/>
  </w:style>
  <w:style w:type="paragraph" w:styleId="FootnoteText">
    <w:name w:val="footnote text"/>
    <w:basedOn w:val="Normal"/>
    <w:link w:val="FootnoteTextChar"/>
    <w:uiPriority w:val="99"/>
    <w:semiHidden/>
    <w:unhideWhenUsed/>
    <w:rsid w:val="00641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092"/>
    <w:rPr>
      <w:sz w:val="20"/>
      <w:szCs w:val="20"/>
    </w:rPr>
  </w:style>
  <w:style w:type="character" w:styleId="FootnoteReference">
    <w:name w:val="footnote reference"/>
    <w:basedOn w:val="DefaultParagraphFont"/>
    <w:uiPriority w:val="99"/>
    <w:semiHidden/>
    <w:unhideWhenUsed/>
    <w:rsid w:val="00641092"/>
    <w:rPr>
      <w:vertAlign w:val="superscript"/>
    </w:rPr>
  </w:style>
  <w:style w:type="paragraph" w:styleId="Header">
    <w:name w:val="header"/>
    <w:basedOn w:val="Normal"/>
    <w:link w:val="HeaderChar"/>
    <w:uiPriority w:val="99"/>
    <w:unhideWhenUsed/>
    <w:rsid w:val="00F62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43A"/>
  </w:style>
  <w:style w:type="paragraph" w:styleId="Footer">
    <w:name w:val="footer"/>
    <w:basedOn w:val="Normal"/>
    <w:link w:val="FooterChar"/>
    <w:uiPriority w:val="99"/>
    <w:unhideWhenUsed/>
    <w:rsid w:val="00F6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43A"/>
  </w:style>
  <w:style w:type="paragraph" w:styleId="BalloonText">
    <w:name w:val="Balloon Text"/>
    <w:basedOn w:val="Normal"/>
    <w:link w:val="BalloonTextChar"/>
    <w:uiPriority w:val="99"/>
    <w:semiHidden/>
    <w:unhideWhenUsed/>
    <w:rsid w:val="00C5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CE7"/>
    <w:rPr>
      <w:rFonts w:ascii="Segoe UI" w:hAnsi="Segoe UI" w:cs="Segoe UI"/>
      <w:sz w:val="18"/>
      <w:szCs w:val="18"/>
    </w:rPr>
  </w:style>
  <w:style w:type="character" w:styleId="CommentReference">
    <w:name w:val="annotation reference"/>
    <w:basedOn w:val="DefaultParagraphFont"/>
    <w:uiPriority w:val="99"/>
    <w:semiHidden/>
    <w:unhideWhenUsed/>
    <w:rsid w:val="00C53CE7"/>
    <w:rPr>
      <w:sz w:val="16"/>
      <w:szCs w:val="16"/>
    </w:rPr>
  </w:style>
  <w:style w:type="paragraph" w:styleId="CommentText">
    <w:name w:val="annotation text"/>
    <w:basedOn w:val="Normal"/>
    <w:link w:val="CommentTextChar"/>
    <w:uiPriority w:val="99"/>
    <w:semiHidden/>
    <w:unhideWhenUsed/>
    <w:rsid w:val="00C53CE7"/>
    <w:pPr>
      <w:spacing w:line="240" w:lineRule="auto"/>
    </w:pPr>
    <w:rPr>
      <w:sz w:val="20"/>
      <w:szCs w:val="20"/>
    </w:rPr>
  </w:style>
  <w:style w:type="character" w:customStyle="1" w:styleId="CommentTextChar">
    <w:name w:val="Comment Text Char"/>
    <w:basedOn w:val="DefaultParagraphFont"/>
    <w:link w:val="CommentText"/>
    <w:uiPriority w:val="99"/>
    <w:semiHidden/>
    <w:rsid w:val="00C53CE7"/>
    <w:rPr>
      <w:sz w:val="20"/>
      <w:szCs w:val="20"/>
    </w:rPr>
  </w:style>
  <w:style w:type="paragraph" w:styleId="CommentSubject">
    <w:name w:val="annotation subject"/>
    <w:basedOn w:val="CommentText"/>
    <w:next w:val="CommentText"/>
    <w:link w:val="CommentSubjectChar"/>
    <w:uiPriority w:val="99"/>
    <w:semiHidden/>
    <w:unhideWhenUsed/>
    <w:rsid w:val="00C53CE7"/>
    <w:rPr>
      <w:b/>
      <w:bCs/>
    </w:rPr>
  </w:style>
  <w:style w:type="character" w:customStyle="1" w:styleId="CommentSubjectChar">
    <w:name w:val="Comment Subject Char"/>
    <w:basedOn w:val="CommentTextChar"/>
    <w:link w:val="CommentSubject"/>
    <w:uiPriority w:val="99"/>
    <w:semiHidden/>
    <w:rsid w:val="00C53C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695418">
      <w:bodyDiv w:val="1"/>
      <w:marLeft w:val="0"/>
      <w:marRight w:val="0"/>
      <w:marTop w:val="0"/>
      <w:marBottom w:val="0"/>
      <w:divBdr>
        <w:top w:val="none" w:sz="0" w:space="0" w:color="auto"/>
        <w:left w:val="none" w:sz="0" w:space="0" w:color="auto"/>
        <w:bottom w:val="none" w:sz="0" w:space="0" w:color="auto"/>
        <w:right w:val="none" w:sz="0" w:space="0" w:color="auto"/>
      </w:divBdr>
      <w:divsChild>
        <w:div w:id="812910991">
          <w:marLeft w:val="0"/>
          <w:marRight w:val="0"/>
          <w:marTop w:val="120"/>
          <w:marBottom w:val="0"/>
          <w:divBdr>
            <w:top w:val="none" w:sz="0" w:space="0" w:color="auto"/>
            <w:left w:val="none" w:sz="0" w:space="0" w:color="auto"/>
            <w:bottom w:val="none" w:sz="0" w:space="0" w:color="auto"/>
            <w:right w:val="none" w:sz="0" w:space="0" w:color="auto"/>
          </w:divBdr>
        </w:div>
        <w:div w:id="1205872091">
          <w:marLeft w:val="0"/>
          <w:marRight w:val="0"/>
          <w:marTop w:val="240"/>
          <w:marBottom w:val="24"/>
          <w:divBdr>
            <w:top w:val="single" w:sz="8" w:space="2" w:color="808080"/>
            <w:left w:val="none" w:sz="0" w:space="0" w:color="auto"/>
            <w:bottom w:val="none" w:sz="0" w:space="0" w:color="auto"/>
            <w:right w:val="none" w:sz="0" w:space="0" w:color="auto"/>
          </w:divBdr>
        </w:div>
        <w:div w:id="1576629355">
          <w:marLeft w:val="0"/>
          <w:marRight w:val="0"/>
          <w:marTop w:val="120"/>
          <w:marBottom w:val="0"/>
          <w:divBdr>
            <w:top w:val="none" w:sz="0" w:space="0" w:color="auto"/>
            <w:left w:val="none" w:sz="0" w:space="0" w:color="auto"/>
            <w:bottom w:val="none" w:sz="0" w:space="0" w:color="auto"/>
            <w:right w:val="none" w:sz="0" w:space="0" w:color="auto"/>
          </w:divBdr>
        </w:div>
      </w:divsChild>
    </w:div>
    <w:div w:id="1640842596">
      <w:bodyDiv w:val="1"/>
      <w:marLeft w:val="0"/>
      <w:marRight w:val="0"/>
      <w:marTop w:val="0"/>
      <w:marBottom w:val="0"/>
      <w:divBdr>
        <w:top w:val="none" w:sz="0" w:space="0" w:color="auto"/>
        <w:left w:val="none" w:sz="0" w:space="0" w:color="auto"/>
        <w:bottom w:val="none" w:sz="0" w:space="0" w:color="auto"/>
        <w:right w:val="none" w:sz="0" w:space="0" w:color="auto"/>
      </w:divBdr>
      <w:divsChild>
        <w:div w:id="506753350">
          <w:marLeft w:val="0"/>
          <w:marRight w:val="0"/>
          <w:marTop w:val="120"/>
          <w:marBottom w:val="0"/>
          <w:divBdr>
            <w:top w:val="none" w:sz="0" w:space="0" w:color="auto"/>
            <w:left w:val="none" w:sz="0" w:space="0" w:color="auto"/>
            <w:bottom w:val="none" w:sz="0" w:space="0" w:color="auto"/>
            <w:right w:val="none" w:sz="0" w:space="0" w:color="auto"/>
          </w:divBdr>
        </w:div>
        <w:div w:id="938489418">
          <w:marLeft w:val="0"/>
          <w:marRight w:val="0"/>
          <w:marTop w:val="240"/>
          <w:marBottom w:val="24"/>
          <w:divBdr>
            <w:top w:val="single" w:sz="8" w:space="2" w:color="808080"/>
            <w:left w:val="none" w:sz="0" w:space="0" w:color="auto"/>
            <w:bottom w:val="none" w:sz="0" w:space="0" w:color="auto"/>
            <w:right w:val="none" w:sz="0" w:space="0" w:color="auto"/>
          </w:divBdr>
        </w:div>
        <w:div w:id="1462263034">
          <w:marLeft w:val="0"/>
          <w:marRight w:val="0"/>
          <w:marTop w:val="120"/>
          <w:marBottom w:val="0"/>
          <w:divBdr>
            <w:top w:val="none" w:sz="0" w:space="0" w:color="auto"/>
            <w:left w:val="none" w:sz="0" w:space="0" w:color="auto"/>
            <w:bottom w:val="none" w:sz="0" w:space="0" w:color="auto"/>
            <w:right w:val="none" w:sz="0" w:space="0" w:color="auto"/>
          </w:divBdr>
        </w:div>
        <w:div w:id="1606608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3" ma:contentTypeDescription="Create a new document." ma:contentTypeScope="" ma:versionID="ad5fb03f08e6b210f6878b53499a37f6">
  <xsd:schema xmlns:xsd="http://www.w3.org/2001/XMLSchema" xmlns:xs="http://www.w3.org/2001/XMLSchema" xmlns:p="http://schemas.microsoft.com/office/2006/metadata/properties" xmlns:ns3="5652ad7a-feb6-4809-a38f-6dfd0bb97631" xmlns:ns4="06925759-ab12-4bdf-a823-41c11c3fabf7" targetNamespace="http://schemas.microsoft.com/office/2006/metadata/properties" ma:root="true" ma:fieldsID="44f9ccdd751a731ce761af483a11fa78" ns3:_="" ns4:_="">
    <xsd:import namespace="5652ad7a-feb6-4809-a38f-6dfd0bb97631"/>
    <xsd:import namespace="06925759-ab12-4bdf-a823-41c11c3fab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C4957-3B20-4EAA-81B4-BEEA641FC163}">
  <ds:schemaRefs>
    <ds:schemaRef ds:uri="http://schemas.openxmlformats.org/officeDocument/2006/bibliography"/>
  </ds:schemaRefs>
</ds:datastoreItem>
</file>

<file path=customXml/itemProps2.xml><?xml version="1.0" encoding="utf-8"?>
<ds:datastoreItem xmlns:ds="http://schemas.openxmlformats.org/officeDocument/2006/customXml" ds:itemID="{C24F889A-7965-49BA-AA54-D2F6119C78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34787E-1D51-4F93-A490-DC24851E4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2ad7a-feb6-4809-a38f-6dfd0bb97631"/>
    <ds:schemaRef ds:uri="06925759-ab12-4bdf-a823-41c11c3fa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2A119-6464-4FD2-BBBE-8C13F55FB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10164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2024-03-07T16:14:00Z</dcterms:created>
  <dcterms:modified xsi:type="dcterms:W3CDTF">2024-04-21T21:55:00Z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12769b277d596fc1e084ba6b216c074c8a811fb166effb97fadd4cff233147f3</vt:lpwstr>
  </property>
  <property fmtid="{D5CDD505-2E9C-101B-9397-08002B2CF9AE}" pid="3" name="ContentTypeId">
    <vt:lpwstr>0x0101007268CC235A2AC34DB85E3EEC145134D1</vt:lpwstr>
  </property>
</Properties>
</file>