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29A" w:rsidRPr="00A73E1F" w:rsidRDefault="0065729A" w:rsidP="00A73E1F">
      <w:pPr>
        <w:spacing w:line="360" w:lineRule="auto"/>
        <w:contextualSpacing/>
        <w:jc w:val="both"/>
        <w:rPr>
          <w:rFonts w:ascii="Arial" w:hAnsi="Arial" w:cs="Arial"/>
          <w:b/>
          <w:sz w:val="24"/>
          <w:szCs w:val="24"/>
        </w:rPr>
      </w:pPr>
      <w:bookmarkStart w:id="0" w:name="_GoBack"/>
      <w:bookmarkEnd w:id="0"/>
    </w:p>
    <w:p w:rsidR="0065729A" w:rsidRPr="00A73E1F" w:rsidRDefault="0065729A" w:rsidP="00A73E1F">
      <w:pPr>
        <w:spacing w:line="360" w:lineRule="auto"/>
        <w:contextualSpacing/>
        <w:jc w:val="both"/>
        <w:rPr>
          <w:rFonts w:ascii="Arial" w:hAnsi="Arial" w:cs="Arial"/>
          <w:b/>
          <w:sz w:val="24"/>
          <w:szCs w:val="24"/>
        </w:rPr>
      </w:pPr>
    </w:p>
    <w:p w:rsidR="0065729A" w:rsidRPr="00A73E1F" w:rsidRDefault="0065729A" w:rsidP="00A73E1F">
      <w:pPr>
        <w:spacing w:line="360" w:lineRule="auto"/>
        <w:contextualSpacing/>
        <w:jc w:val="both"/>
        <w:rPr>
          <w:rFonts w:ascii="Arial" w:hAnsi="Arial" w:cs="Arial"/>
          <w:b/>
          <w:sz w:val="24"/>
          <w:szCs w:val="24"/>
        </w:rPr>
      </w:pPr>
    </w:p>
    <w:p w:rsidR="0065729A" w:rsidRPr="00A73E1F" w:rsidRDefault="0065729A" w:rsidP="00A73E1F">
      <w:pPr>
        <w:spacing w:line="360" w:lineRule="auto"/>
        <w:contextualSpacing/>
        <w:jc w:val="both"/>
        <w:rPr>
          <w:rFonts w:ascii="Arial" w:hAnsi="Arial" w:cs="Arial"/>
          <w:b/>
          <w:sz w:val="24"/>
          <w:szCs w:val="24"/>
        </w:rPr>
      </w:pPr>
    </w:p>
    <w:p w:rsidR="00597279" w:rsidRPr="00A73E1F" w:rsidRDefault="00597279" w:rsidP="00A73E1F">
      <w:pPr>
        <w:spacing w:line="360" w:lineRule="auto"/>
        <w:contextualSpacing/>
        <w:jc w:val="both"/>
        <w:rPr>
          <w:rFonts w:ascii="Arial" w:hAnsi="Arial" w:cs="Arial"/>
          <w:b/>
          <w:sz w:val="24"/>
          <w:szCs w:val="24"/>
        </w:rPr>
      </w:pPr>
      <w:r w:rsidRPr="00A73E1F">
        <w:rPr>
          <w:rFonts w:ascii="Arial" w:hAnsi="Arial" w:cs="Arial"/>
          <w:noProof/>
          <w:sz w:val="24"/>
          <w:szCs w:val="24"/>
          <w:lang w:eastAsia="en-ZA"/>
        </w:rPr>
        <w:drawing>
          <wp:anchor distT="0" distB="0" distL="114300" distR="114300" simplePos="0" relativeHeight="251659264" behindDoc="1" locked="0" layoutInCell="1" allowOverlap="1" wp14:anchorId="7C79F78F" wp14:editId="6E1B2C39">
            <wp:simplePos x="0" y="0"/>
            <wp:positionH relativeFrom="margin">
              <wp:align>center</wp:align>
            </wp:positionH>
            <wp:positionV relativeFrom="paragraph">
              <wp:posOffset>-776152</wp:posOffset>
            </wp:positionV>
            <wp:extent cx="1266825" cy="126301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3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7279" w:rsidRPr="00A73E1F" w:rsidRDefault="00597279" w:rsidP="00A73E1F">
      <w:pPr>
        <w:spacing w:line="360" w:lineRule="auto"/>
        <w:contextualSpacing/>
        <w:jc w:val="both"/>
        <w:rPr>
          <w:rFonts w:ascii="Arial" w:hAnsi="Arial" w:cs="Arial"/>
          <w:b/>
          <w:sz w:val="24"/>
          <w:szCs w:val="24"/>
        </w:rPr>
      </w:pPr>
    </w:p>
    <w:p w:rsidR="00597279" w:rsidRPr="00A73E1F" w:rsidRDefault="00597279" w:rsidP="00A73E1F">
      <w:pPr>
        <w:spacing w:line="360" w:lineRule="auto"/>
        <w:contextualSpacing/>
        <w:jc w:val="both"/>
        <w:rPr>
          <w:rFonts w:ascii="Arial" w:hAnsi="Arial" w:cs="Arial"/>
          <w:b/>
          <w:sz w:val="24"/>
          <w:szCs w:val="24"/>
        </w:rPr>
      </w:pPr>
    </w:p>
    <w:tbl>
      <w:tblPr>
        <w:tblpPr w:leftFromText="180" w:rightFromText="180" w:vertAnchor="page" w:horzAnchor="page" w:tblpX="6680" w:tblpY="406"/>
        <w:tblW w:w="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5"/>
      </w:tblGrid>
      <w:tr w:rsidR="0065729A" w:rsidRPr="00A73E1F" w:rsidTr="00A73E1F">
        <w:tc>
          <w:tcPr>
            <w:tcW w:w="4825" w:type="dxa"/>
          </w:tcPr>
          <w:p w:rsidR="0065729A" w:rsidRPr="00A73E1F" w:rsidRDefault="0065729A" w:rsidP="00A73E1F">
            <w:pPr>
              <w:tabs>
                <w:tab w:val="right" w:pos="4144"/>
              </w:tabs>
              <w:contextualSpacing/>
              <w:jc w:val="both"/>
              <w:rPr>
                <w:rFonts w:ascii="Calibri" w:hAnsi="Calibri" w:cs="Calibri"/>
              </w:rPr>
            </w:pPr>
            <w:r w:rsidRPr="00A73E1F">
              <w:rPr>
                <w:rFonts w:ascii="Calibri" w:hAnsi="Calibri" w:cs="Calibri"/>
              </w:rPr>
              <w:t xml:space="preserve">Reportable:  </w:t>
            </w:r>
            <w:r w:rsidRPr="00A73E1F">
              <w:rPr>
                <w:rFonts w:ascii="Calibri" w:hAnsi="Calibri" w:cs="Calibri"/>
              </w:rPr>
              <w:tab/>
              <w:t xml:space="preserve">                              </w:t>
            </w:r>
            <w:r w:rsidRPr="00A73E1F">
              <w:rPr>
                <w:rFonts w:ascii="Calibri" w:hAnsi="Calibri" w:cs="Calibri"/>
                <w:b/>
              </w:rPr>
              <w:t>YES</w:t>
            </w:r>
            <w:r w:rsidRPr="00A73E1F">
              <w:rPr>
                <w:rFonts w:ascii="Calibri" w:hAnsi="Calibri" w:cs="Calibri"/>
              </w:rPr>
              <w:t xml:space="preserve"> / NO</w:t>
            </w:r>
          </w:p>
          <w:p w:rsidR="0065729A" w:rsidRPr="00A73E1F" w:rsidRDefault="0065729A" w:rsidP="00A73E1F">
            <w:pPr>
              <w:tabs>
                <w:tab w:val="right" w:pos="4144"/>
              </w:tabs>
              <w:contextualSpacing/>
              <w:jc w:val="both"/>
              <w:rPr>
                <w:rFonts w:ascii="Calibri" w:hAnsi="Calibri" w:cs="Calibri"/>
              </w:rPr>
            </w:pPr>
            <w:r w:rsidRPr="00A73E1F">
              <w:rPr>
                <w:rFonts w:ascii="Calibri" w:hAnsi="Calibri" w:cs="Calibri"/>
              </w:rPr>
              <w:t xml:space="preserve">Circulate to Judges: </w:t>
            </w:r>
            <w:r w:rsidRPr="00A73E1F">
              <w:rPr>
                <w:rFonts w:ascii="Calibri" w:hAnsi="Calibri" w:cs="Calibri"/>
              </w:rPr>
              <w:tab/>
              <w:t xml:space="preserve">                     YES / NO</w:t>
            </w:r>
          </w:p>
          <w:p w:rsidR="0065729A" w:rsidRPr="00A73E1F" w:rsidRDefault="0065729A" w:rsidP="00A73E1F">
            <w:pPr>
              <w:tabs>
                <w:tab w:val="right" w:pos="4144"/>
              </w:tabs>
              <w:contextualSpacing/>
              <w:jc w:val="both"/>
              <w:rPr>
                <w:rFonts w:ascii="Calibri" w:hAnsi="Calibri" w:cs="Calibri"/>
              </w:rPr>
            </w:pPr>
            <w:r w:rsidRPr="00A73E1F">
              <w:rPr>
                <w:rFonts w:ascii="Calibri" w:hAnsi="Calibri" w:cs="Calibri"/>
              </w:rPr>
              <w:t>Circulate to Magistrates:</w:t>
            </w:r>
            <w:r w:rsidRPr="00A73E1F">
              <w:rPr>
                <w:rFonts w:ascii="Calibri" w:hAnsi="Calibri" w:cs="Calibri"/>
              </w:rPr>
              <w:tab/>
              <w:t xml:space="preserve">               YES / NO</w:t>
            </w:r>
          </w:p>
          <w:p w:rsidR="00A73E1F" w:rsidRDefault="0065729A" w:rsidP="00A73E1F">
            <w:pPr>
              <w:tabs>
                <w:tab w:val="right" w:pos="4144"/>
              </w:tabs>
              <w:contextualSpacing/>
              <w:jc w:val="both"/>
              <w:rPr>
                <w:rFonts w:ascii="Calibri" w:hAnsi="Calibri" w:cs="Calibri"/>
              </w:rPr>
            </w:pPr>
            <w:r w:rsidRPr="00A73E1F">
              <w:rPr>
                <w:rFonts w:ascii="Calibri" w:hAnsi="Calibri" w:cs="Calibri"/>
              </w:rPr>
              <w:t>Circulate to Regional Magistrates:</w:t>
            </w:r>
            <w:r w:rsidRPr="00A73E1F">
              <w:rPr>
                <w:rFonts w:ascii="Calibri" w:hAnsi="Calibri" w:cs="Calibri"/>
              </w:rPr>
              <w:tab/>
              <w:t xml:space="preserve"> YES / NO</w:t>
            </w:r>
          </w:p>
          <w:p w:rsidR="0065729A" w:rsidRPr="00A73E1F" w:rsidRDefault="0065729A" w:rsidP="00A73E1F">
            <w:pPr>
              <w:tabs>
                <w:tab w:val="right" w:pos="4144"/>
              </w:tabs>
              <w:contextualSpacing/>
              <w:jc w:val="both"/>
              <w:rPr>
                <w:rFonts w:ascii="Calibri" w:hAnsi="Calibri" w:cs="Calibri"/>
                <w:sz w:val="24"/>
                <w:szCs w:val="24"/>
              </w:rPr>
            </w:pPr>
            <w:r w:rsidRPr="00A73E1F">
              <w:rPr>
                <w:rFonts w:ascii="Calibri" w:hAnsi="Calibri" w:cs="Calibri"/>
              </w:rPr>
              <w:t xml:space="preserve">Edited  </w:t>
            </w:r>
            <w:r w:rsidR="00A73E1F">
              <w:rPr>
                <w:rFonts w:ascii="Calibri" w:hAnsi="Calibri" w:cs="Calibri"/>
              </w:rPr>
              <w:tab/>
            </w:r>
            <w:r w:rsidRPr="00A73E1F">
              <w:rPr>
                <w:rFonts w:ascii="Calibri" w:hAnsi="Calibri" w:cs="Calibri"/>
              </w:rPr>
              <w:t>YES/</w:t>
            </w:r>
            <w:r w:rsidRPr="00A73E1F">
              <w:rPr>
                <w:rFonts w:ascii="Calibri" w:hAnsi="Calibri" w:cs="Calibri"/>
                <w:b/>
              </w:rPr>
              <w:t>NO</w:t>
            </w:r>
          </w:p>
        </w:tc>
      </w:tr>
    </w:tbl>
    <w:p w:rsidR="0065729A" w:rsidRPr="00A73E1F" w:rsidRDefault="0065729A" w:rsidP="008649B3">
      <w:pPr>
        <w:contextualSpacing/>
        <w:jc w:val="center"/>
        <w:rPr>
          <w:rFonts w:ascii="Arial" w:hAnsi="Arial" w:cs="Arial"/>
          <w:b/>
          <w:sz w:val="28"/>
          <w:szCs w:val="28"/>
        </w:rPr>
      </w:pPr>
      <w:r w:rsidRPr="00A73E1F">
        <w:rPr>
          <w:rFonts w:ascii="Arial" w:hAnsi="Arial" w:cs="Arial"/>
          <w:b/>
          <w:sz w:val="28"/>
          <w:szCs w:val="28"/>
        </w:rPr>
        <w:t>IN THE HIGH COURT OF SOUTH AFRICA</w:t>
      </w:r>
    </w:p>
    <w:p w:rsidR="0065729A" w:rsidRDefault="009F6AF5" w:rsidP="008649B3">
      <w:pPr>
        <w:contextualSpacing/>
        <w:jc w:val="center"/>
        <w:rPr>
          <w:rFonts w:ascii="Arial" w:hAnsi="Arial" w:cs="Arial"/>
          <w:b/>
          <w:sz w:val="24"/>
          <w:szCs w:val="24"/>
        </w:rPr>
      </w:pPr>
      <w:r w:rsidRPr="00A73E1F">
        <w:rPr>
          <w:rFonts w:ascii="Arial" w:hAnsi="Arial" w:cs="Arial"/>
          <w:b/>
          <w:sz w:val="28"/>
          <w:szCs w:val="28"/>
        </w:rPr>
        <w:t>(</w:t>
      </w:r>
      <w:r w:rsidR="0065729A" w:rsidRPr="00A73E1F">
        <w:rPr>
          <w:rFonts w:ascii="Arial" w:hAnsi="Arial" w:cs="Arial"/>
          <w:b/>
          <w:sz w:val="28"/>
          <w:szCs w:val="28"/>
        </w:rPr>
        <w:t>NORTHERN CAPE DIVISION, KIMBERLEY</w:t>
      </w:r>
      <w:r w:rsidRPr="00A73E1F">
        <w:rPr>
          <w:rFonts w:ascii="Arial" w:hAnsi="Arial" w:cs="Arial"/>
          <w:b/>
          <w:sz w:val="28"/>
          <w:szCs w:val="28"/>
        </w:rPr>
        <w:t>)</w:t>
      </w:r>
    </w:p>
    <w:p w:rsidR="00A73E1F" w:rsidRPr="00A73E1F" w:rsidRDefault="00A73E1F" w:rsidP="00A73E1F">
      <w:pPr>
        <w:spacing w:line="360" w:lineRule="auto"/>
        <w:contextualSpacing/>
        <w:jc w:val="center"/>
        <w:rPr>
          <w:rFonts w:ascii="Arial" w:hAnsi="Arial" w:cs="Arial"/>
          <w:b/>
          <w:sz w:val="24"/>
          <w:szCs w:val="24"/>
        </w:rPr>
      </w:pPr>
    </w:p>
    <w:tbl>
      <w:tblPr>
        <w:tblStyle w:val="TableGrid"/>
        <w:tblW w:w="0" w:type="auto"/>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353"/>
      </w:tblGrid>
      <w:tr w:rsidR="0065729A" w:rsidRPr="00A73E1F" w:rsidTr="008649B3">
        <w:tc>
          <w:tcPr>
            <w:tcW w:w="2410" w:type="dxa"/>
          </w:tcPr>
          <w:p w:rsidR="0065729A" w:rsidRPr="00A73E1F" w:rsidRDefault="009F6AF5" w:rsidP="00A73E1F">
            <w:pPr>
              <w:contextualSpacing/>
              <w:jc w:val="both"/>
              <w:rPr>
                <w:rFonts w:ascii="Arial" w:hAnsi="Arial" w:cs="Arial"/>
                <w:sz w:val="24"/>
                <w:szCs w:val="24"/>
              </w:rPr>
            </w:pPr>
            <w:r w:rsidRPr="00A73E1F">
              <w:rPr>
                <w:rFonts w:ascii="Arial" w:hAnsi="Arial" w:cs="Arial"/>
                <w:sz w:val="24"/>
                <w:szCs w:val="24"/>
              </w:rPr>
              <w:t xml:space="preserve">COURT </w:t>
            </w:r>
            <w:r w:rsidRPr="00A73E1F">
              <w:rPr>
                <w:rFonts w:ascii="Arial" w:hAnsi="Arial" w:cs="Arial"/>
                <w:i/>
                <w:sz w:val="24"/>
                <w:szCs w:val="24"/>
              </w:rPr>
              <w:t>A QUO</w:t>
            </w:r>
            <w:r w:rsidR="0065729A" w:rsidRPr="00A73E1F">
              <w:rPr>
                <w:rFonts w:ascii="Arial" w:hAnsi="Arial" w:cs="Arial"/>
                <w:sz w:val="24"/>
                <w:szCs w:val="24"/>
              </w:rPr>
              <w:t>:</w:t>
            </w:r>
          </w:p>
        </w:tc>
        <w:tc>
          <w:tcPr>
            <w:tcW w:w="2353" w:type="dxa"/>
          </w:tcPr>
          <w:p w:rsidR="0065729A" w:rsidRPr="00A73E1F" w:rsidRDefault="0065729A" w:rsidP="00A73E1F">
            <w:pPr>
              <w:contextualSpacing/>
              <w:jc w:val="right"/>
              <w:rPr>
                <w:rFonts w:ascii="Arial" w:hAnsi="Arial" w:cs="Arial"/>
                <w:b/>
                <w:sz w:val="24"/>
                <w:szCs w:val="24"/>
              </w:rPr>
            </w:pPr>
            <w:r w:rsidRPr="00A73E1F">
              <w:rPr>
                <w:rFonts w:ascii="Arial" w:hAnsi="Arial" w:cs="Arial"/>
                <w:b/>
                <w:sz w:val="24"/>
                <w:szCs w:val="24"/>
              </w:rPr>
              <w:t>61/2021</w:t>
            </w:r>
          </w:p>
        </w:tc>
      </w:tr>
      <w:tr w:rsidR="0065729A" w:rsidRPr="00A73E1F" w:rsidTr="008649B3">
        <w:tc>
          <w:tcPr>
            <w:tcW w:w="2410" w:type="dxa"/>
          </w:tcPr>
          <w:p w:rsidR="0065729A" w:rsidRPr="00A73E1F" w:rsidRDefault="009F6AF5" w:rsidP="00A73E1F">
            <w:pPr>
              <w:contextualSpacing/>
              <w:jc w:val="both"/>
              <w:rPr>
                <w:rFonts w:ascii="Arial" w:hAnsi="Arial" w:cs="Arial"/>
                <w:sz w:val="24"/>
                <w:szCs w:val="24"/>
              </w:rPr>
            </w:pPr>
            <w:r w:rsidRPr="00A73E1F">
              <w:rPr>
                <w:rFonts w:ascii="Arial" w:hAnsi="Arial" w:cs="Arial"/>
                <w:sz w:val="24"/>
                <w:szCs w:val="24"/>
              </w:rPr>
              <w:t xml:space="preserve">COURT </w:t>
            </w:r>
            <w:r w:rsidRPr="00A73E1F">
              <w:rPr>
                <w:rFonts w:ascii="Arial" w:hAnsi="Arial" w:cs="Arial"/>
                <w:i/>
                <w:sz w:val="24"/>
                <w:szCs w:val="24"/>
              </w:rPr>
              <w:t>IN CASU</w:t>
            </w:r>
            <w:r w:rsidR="0065729A" w:rsidRPr="00A73E1F">
              <w:rPr>
                <w:rFonts w:ascii="Arial" w:hAnsi="Arial" w:cs="Arial"/>
                <w:sz w:val="24"/>
                <w:szCs w:val="24"/>
              </w:rPr>
              <w:t>:</w:t>
            </w:r>
          </w:p>
        </w:tc>
        <w:tc>
          <w:tcPr>
            <w:tcW w:w="2353" w:type="dxa"/>
          </w:tcPr>
          <w:p w:rsidR="0065729A" w:rsidRPr="00A73E1F" w:rsidRDefault="009F6AF5" w:rsidP="00A73E1F">
            <w:pPr>
              <w:contextualSpacing/>
              <w:jc w:val="right"/>
              <w:rPr>
                <w:rFonts w:ascii="Arial" w:hAnsi="Arial" w:cs="Arial"/>
                <w:b/>
                <w:sz w:val="24"/>
                <w:szCs w:val="24"/>
              </w:rPr>
            </w:pPr>
            <w:r w:rsidRPr="00A73E1F">
              <w:rPr>
                <w:rFonts w:ascii="Arial" w:hAnsi="Arial" w:cs="Arial"/>
                <w:b/>
                <w:sz w:val="24"/>
                <w:szCs w:val="24"/>
              </w:rPr>
              <w:t>CA&amp;R 68/23</w:t>
            </w:r>
            <w:r w:rsidR="0065729A" w:rsidRPr="00A73E1F">
              <w:rPr>
                <w:rFonts w:ascii="Arial" w:hAnsi="Arial" w:cs="Arial"/>
                <w:b/>
                <w:sz w:val="24"/>
                <w:szCs w:val="24"/>
              </w:rPr>
              <w:t xml:space="preserve"> </w:t>
            </w:r>
          </w:p>
        </w:tc>
      </w:tr>
      <w:tr w:rsidR="009F65BA" w:rsidRPr="00A73E1F" w:rsidTr="008649B3">
        <w:tc>
          <w:tcPr>
            <w:tcW w:w="2410" w:type="dxa"/>
          </w:tcPr>
          <w:p w:rsidR="0065729A" w:rsidRPr="00A73E1F" w:rsidRDefault="0065729A" w:rsidP="00A73E1F">
            <w:pPr>
              <w:contextualSpacing/>
              <w:jc w:val="both"/>
              <w:rPr>
                <w:rFonts w:ascii="Arial" w:hAnsi="Arial" w:cs="Arial"/>
                <w:sz w:val="24"/>
                <w:szCs w:val="24"/>
              </w:rPr>
            </w:pPr>
            <w:r w:rsidRPr="00A73E1F">
              <w:rPr>
                <w:rFonts w:ascii="Arial" w:hAnsi="Arial" w:cs="Arial"/>
                <w:sz w:val="24"/>
                <w:szCs w:val="24"/>
              </w:rPr>
              <w:t>DATE DELIVERED:</w:t>
            </w:r>
          </w:p>
        </w:tc>
        <w:tc>
          <w:tcPr>
            <w:tcW w:w="2353" w:type="dxa"/>
          </w:tcPr>
          <w:p w:rsidR="0065729A" w:rsidRPr="00A73E1F" w:rsidRDefault="008649B3" w:rsidP="00A73E1F">
            <w:pPr>
              <w:contextualSpacing/>
              <w:jc w:val="right"/>
              <w:rPr>
                <w:rFonts w:ascii="Arial" w:hAnsi="Arial" w:cs="Arial"/>
                <w:b/>
                <w:sz w:val="24"/>
                <w:szCs w:val="24"/>
              </w:rPr>
            </w:pPr>
            <w:r>
              <w:rPr>
                <w:rFonts w:ascii="Arial" w:hAnsi="Arial" w:cs="Arial"/>
                <w:b/>
                <w:sz w:val="24"/>
                <w:szCs w:val="24"/>
              </w:rPr>
              <w:t>26 JANUARY 2024</w:t>
            </w:r>
          </w:p>
        </w:tc>
      </w:tr>
    </w:tbl>
    <w:p w:rsidR="0065729A" w:rsidRPr="00A73E1F" w:rsidRDefault="0065729A" w:rsidP="00A73E1F">
      <w:pPr>
        <w:spacing w:line="360" w:lineRule="auto"/>
        <w:contextualSpacing/>
        <w:jc w:val="center"/>
        <w:rPr>
          <w:rFonts w:ascii="Arial" w:hAnsi="Arial" w:cs="Arial"/>
          <w:b/>
          <w:sz w:val="24"/>
          <w:szCs w:val="24"/>
        </w:rPr>
      </w:pPr>
    </w:p>
    <w:p w:rsidR="007C6F78" w:rsidRDefault="007C6F78" w:rsidP="00A73E1F">
      <w:pPr>
        <w:spacing w:line="360" w:lineRule="auto"/>
        <w:contextualSpacing/>
        <w:rPr>
          <w:rFonts w:ascii="Arial" w:hAnsi="Arial" w:cs="Arial"/>
          <w:i/>
          <w:sz w:val="24"/>
          <w:szCs w:val="24"/>
        </w:rPr>
      </w:pPr>
      <w:r w:rsidRPr="00A73E1F">
        <w:rPr>
          <w:rFonts w:ascii="Arial" w:hAnsi="Arial" w:cs="Arial"/>
          <w:i/>
          <w:sz w:val="24"/>
          <w:szCs w:val="24"/>
        </w:rPr>
        <w:t>Ex parte:</w:t>
      </w:r>
    </w:p>
    <w:p w:rsidR="00A73E1F" w:rsidRPr="00A73E1F" w:rsidRDefault="00A73E1F" w:rsidP="00A73E1F">
      <w:pPr>
        <w:spacing w:line="360" w:lineRule="auto"/>
        <w:contextualSpacing/>
        <w:rPr>
          <w:rFonts w:ascii="Arial" w:hAnsi="Arial" w:cs="Arial"/>
          <w:i/>
          <w:sz w:val="24"/>
          <w:szCs w:val="24"/>
        </w:rPr>
      </w:pPr>
    </w:p>
    <w:p w:rsidR="007C6F78" w:rsidRPr="00A73E1F" w:rsidRDefault="007C6F78" w:rsidP="00A73E1F">
      <w:pPr>
        <w:spacing w:line="360" w:lineRule="auto"/>
        <w:contextualSpacing/>
        <w:rPr>
          <w:rFonts w:ascii="Arial" w:hAnsi="Arial" w:cs="Arial"/>
          <w:b/>
          <w:sz w:val="24"/>
          <w:szCs w:val="24"/>
        </w:rPr>
      </w:pPr>
      <w:r w:rsidRPr="00A73E1F">
        <w:rPr>
          <w:rFonts w:ascii="Arial" w:hAnsi="Arial" w:cs="Arial"/>
          <w:b/>
          <w:sz w:val="24"/>
          <w:szCs w:val="24"/>
        </w:rPr>
        <w:t xml:space="preserve">DPP, NORTHERN CAPE </w:t>
      </w:r>
      <w:r w:rsidRPr="00A73E1F">
        <w:rPr>
          <w:rFonts w:ascii="Arial" w:hAnsi="Arial" w:cs="Arial"/>
          <w:b/>
          <w:sz w:val="24"/>
          <w:szCs w:val="24"/>
        </w:rPr>
        <w:tab/>
      </w:r>
      <w:r w:rsidRPr="00A73E1F">
        <w:rPr>
          <w:rFonts w:ascii="Arial" w:hAnsi="Arial" w:cs="Arial"/>
          <w:b/>
          <w:sz w:val="24"/>
          <w:szCs w:val="24"/>
        </w:rPr>
        <w:tab/>
      </w:r>
      <w:r w:rsidRPr="00A73E1F">
        <w:rPr>
          <w:rFonts w:ascii="Arial" w:hAnsi="Arial" w:cs="Arial"/>
          <w:b/>
          <w:sz w:val="24"/>
          <w:szCs w:val="24"/>
        </w:rPr>
        <w:tab/>
      </w:r>
      <w:r w:rsidRPr="00A73E1F">
        <w:rPr>
          <w:rFonts w:ascii="Arial" w:hAnsi="Arial" w:cs="Arial"/>
          <w:b/>
          <w:sz w:val="24"/>
          <w:szCs w:val="24"/>
        </w:rPr>
        <w:tab/>
      </w:r>
      <w:r w:rsidRPr="00A73E1F">
        <w:rPr>
          <w:rFonts w:ascii="Arial" w:hAnsi="Arial" w:cs="Arial"/>
          <w:b/>
          <w:sz w:val="24"/>
          <w:szCs w:val="24"/>
        </w:rPr>
        <w:tab/>
      </w:r>
      <w:r w:rsidRPr="00A73E1F">
        <w:rPr>
          <w:rFonts w:ascii="Arial" w:hAnsi="Arial" w:cs="Arial"/>
          <w:b/>
          <w:sz w:val="24"/>
          <w:szCs w:val="24"/>
        </w:rPr>
        <w:tab/>
      </w:r>
    </w:p>
    <w:p w:rsidR="00A73E1F" w:rsidRDefault="00A73E1F" w:rsidP="00A73E1F">
      <w:pPr>
        <w:spacing w:line="360" w:lineRule="auto"/>
        <w:contextualSpacing/>
        <w:rPr>
          <w:rFonts w:ascii="Arial" w:hAnsi="Arial" w:cs="Arial"/>
          <w:i/>
          <w:sz w:val="24"/>
          <w:szCs w:val="24"/>
        </w:rPr>
      </w:pPr>
    </w:p>
    <w:p w:rsidR="00D85E2C" w:rsidRPr="00A73E1F" w:rsidRDefault="00D85E2C" w:rsidP="00A73E1F">
      <w:pPr>
        <w:spacing w:line="360" w:lineRule="auto"/>
        <w:contextualSpacing/>
        <w:rPr>
          <w:rFonts w:ascii="Arial" w:hAnsi="Arial" w:cs="Arial"/>
          <w:i/>
          <w:sz w:val="24"/>
          <w:szCs w:val="24"/>
        </w:rPr>
      </w:pPr>
      <w:r w:rsidRPr="00A73E1F">
        <w:rPr>
          <w:rFonts w:ascii="Arial" w:hAnsi="Arial" w:cs="Arial"/>
          <w:i/>
          <w:sz w:val="24"/>
          <w:szCs w:val="24"/>
        </w:rPr>
        <w:t xml:space="preserve">In </w:t>
      </w:r>
      <w:r w:rsidR="007C6F78" w:rsidRPr="00A73E1F">
        <w:rPr>
          <w:rFonts w:ascii="Arial" w:hAnsi="Arial" w:cs="Arial"/>
          <w:i/>
          <w:sz w:val="24"/>
          <w:szCs w:val="24"/>
        </w:rPr>
        <w:t>re</w:t>
      </w:r>
      <w:r w:rsidRPr="00A73E1F">
        <w:rPr>
          <w:rFonts w:ascii="Arial" w:hAnsi="Arial" w:cs="Arial"/>
          <w:i/>
          <w:sz w:val="24"/>
          <w:szCs w:val="24"/>
        </w:rPr>
        <w:t>:</w:t>
      </w:r>
    </w:p>
    <w:p w:rsidR="00A73E1F" w:rsidRDefault="00A73E1F" w:rsidP="00A73E1F">
      <w:pPr>
        <w:tabs>
          <w:tab w:val="right" w:pos="8931"/>
        </w:tabs>
        <w:spacing w:line="360" w:lineRule="auto"/>
        <w:contextualSpacing/>
        <w:rPr>
          <w:rFonts w:ascii="Arial" w:hAnsi="Arial" w:cs="Arial"/>
          <w:b/>
          <w:sz w:val="24"/>
          <w:szCs w:val="24"/>
          <w:u w:val="single"/>
        </w:rPr>
      </w:pPr>
    </w:p>
    <w:p w:rsidR="009F6AF5" w:rsidRPr="00A73E1F" w:rsidRDefault="009F6AF5" w:rsidP="00A73E1F">
      <w:pPr>
        <w:tabs>
          <w:tab w:val="right" w:pos="8931"/>
        </w:tabs>
        <w:spacing w:line="360" w:lineRule="auto"/>
        <w:contextualSpacing/>
        <w:rPr>
          <w:rFonts w:ascii="Arial" w:hAnsi="Arial" w:cs="Arial"/>
          <w:b/>
          <w:sz w:val="24"/>
          <w:szCs w:val="24"/>
        </w:rPr>
      </w:pPr>
      <w:r w:rsidRPr="00A73E1F">
        <w:rPr>
          <w:rFonts w:ascii="Arial" w:hAnsi="Arial" w:cs="Arial"/>
          <w:b/>
          <w:sz w:val="24"/>
          <w:szCs w:val="24"/>
          <w:u w:val="single"/>
        </w:rPr>
        <w:t>THOMAS</w:t>
      </w:r>
      <w:r w:rsidRPr="00A73E1F">
        <w:rPr>
          <w:rFonts w:ascii="Arial" w:hAnsi="Arial" w:cs="Arial"/>
          <w:b/>
          <w:sz w:val="24"/>
          <w:szCs w:val="24"/>
        </w:rPr>
        <w:t>, CENTRICIA GOMOLEMO</w:t>
      </w:r>
      <w:r w:rsidR="0065729A" w:rsidRPr="00A73E1F">
        <w:rPr>
          <w:rFonts w:ascii="Arial" w:hAnsi="Arial" w:cs="Arial"/>
          <w:b/>
          <w:sz w:val="24"/>
          <w:szCs w:val="24"/>
        </w:rPr>
        <w:tab/>
      </w:r>
      <w:r w:rsidR="00D85E2C" w:rsidRPr="00A73E1F">
        <w:rPr>
          <w:rFonts w:ascii="Arial" w:hAnsi="Arial" w:cs="Arial"/>
          <w:sz w:val="24"/>
          <w:szCs w:val="24"/>
        </w:rPr>
        <w:t>Applicant</w:t>
      </w:r>
    </w:p>
    <w:p w:rsidR="00A73E1F" w:rsidRDefault="00A73E1F" w:rsidP="00A73E1F">
      <w:pPr>
        <w:spacing w:line="360" w:lineRule="auto"/>
        <w:contextualSpacing/>
        <w:rPr>
          <w:rFonts w:ascii="Arial" w:hAnsi="Arial" w:cs="Arial"/>
          <w:sz w:val="24"/>
          <w:szCs w:val="24"/>
        </w:rPr>
      </w:pPr>
    </w:p>
    <w:p w:rsidR="0065729A" w:rsidRPr="00A73E1F" w:rsidRDefault="00D85E2C" w:rsidP="00A73E1F">
      <w:pPr>
        <w:spacing w:line="360" w:lineRule="auto"/>
        <w:contextualSpacing/>
        <w:rPr>
          <w:rFonts w:ascii="Arial" w:hAnsi="Arial" w:cs="Arial"/>
          <w:sz w:val="24"/>
          <w:szCs w:val="24"/>
        </w:rPr>
      </w:pPr>
      <w:r w:rsidRPr="00A73E1F">
        <w:rPr>
          <w:rFonts w:ascii="Arial" w:hAnsi="Arial" w:cs="Arial"/>
          <w:sz w:val="24"/>
          <w:szCs w:val="24"/>
        </w:rPr>
        <w:t>and</w:t>
      </w:r>
    </w:p>
    <w:p w:rsidR="00A73E1F" w:rsidRDefault="00A73E1F" w:rsidP="00A73E1F">
      <w:pPr>
        <w:tabs>
          <w:tab w:val="right" w:pos="8931"/>
        </w:tabs>
        <w:spacing w:line="360" w:lineRule="auto"/>
        <w:contextualSpacing/>
        <w:rPr>
          <w:rFonts w:ascii="Arial" w:hAnsi="Arial" w:cs="Arial"/>
          <w:b/>
          <w:sz w:val="24"/>
          <w:szCs w:val="24"/>
          <w:u w:val="single"/>
        </w:rPr>
      </w:pPr>
    </w:p>
    <w:p w:rsidR="009F6AF5" w:rsidRPr="00A73E1F" w:rsidRDefault="009F6AF5" w:rsidP="00A73E1F">
      <w:pPr>
        <w:tabs>
          <w:tab w:val="right" w:pos="8931"/>
        </w:tabs>
        <w:spacing w:line="360" w:lineRule="auto"/>
        <w:contextualSpacing/>
        <w:rPr>
          <w:rFonts w:ascii="Arial" w:hAnsi="Arial" w:cs="Arial"/>
          <w:sz w:val="24"/>
          <w:szCs w:val="24"/>
        </w:rPr>
      </w:pPr>
      <w:r w:rsidRPr="00A73E1F">
        <w:rPr>
          <w:rFonts w:ascii="Arial" w:hAnsi="Arial" w:cs="Arial"/>
          <w:b/>
          <w:sz w:val="24"/>
          <w:szCs w:val="24"/>
          <w:u w:val="single"/>
        </w:rPr>
        <w:t>BALEPILE</w:t>
      </w:r>
      <w:r w:rsidRPr="00A73E1F">
        <w:rPr>
          <w:rFonts w:ascii="Arial" w:hAnsi="Arial" w:cs="Arial"/>
          <w:b/>
          <w:sz w:val="24"/>
          <w:szCs w:val="24"/>
        </w:rPr>
        <w:t>, GOITSEMODIMO GODFERY</w:t>
      </w:r>
      <w:r w:rsidR="0065729A" w:rsidRPr="00A73E1F">
        <w:rPr>
          <w:rFonts w:ascii="Arial" w:hAnsi="Arial" w:cs="Arial"/>
          <w:b/>
          <w:sz w:val="24"/>
          <w:szCs w:val="24"/>
        </w:rPr>
        <w:tab/>
      </w:r>
      <w:r w:rsidR="0065729A" w:rsidRPr="00A73E1F">
        <w:rPr>
          <w:rFonts w:ascii="Arial" w:hAnsi="Arial" w:cs="Arial"/>
          <w:sz w:val="24"/>
          <w:szCs w:val="24"/>
        </w:rPr>
        <w:t>Respondent</w:t>
      </w:r>
    </w:p>
    <w:p w:rsidR="00A73E1F" w:rsidRPr="00A73E1F" w:rsidRDefault="00A73E1F" w:rsidP="00A73E1F">
      <w:pPr>
        <w:tabs>
          <w:tab w:val="right" w:pos="8931"/>
        </w:tabs>
        <w:spacing w:line="360" w:lineRule="auto"/>
        <w:contextualSpacing/>
        <w:rPr>
          <w:rFonts w:ascii="Arial" w:hAnsi="Arial" w:cs="Arial"/>
          <w:i/>
          <w:sz w:val="24"/>
          <w:szCs w:val="24"/>
        </w:rPr>
      </w:pPr>
    </w:p>
    <w:p w:rsidR="00597279" w:rsidRPr="00A73E1F" w:rsidRDefault="00E64D66" w:rsidP="00A73E1F">
      <w:pPr>
        <w:tabs>
          <w:tab w:val="right" w:pos="8931"/>
        </w:tabs>
        <w:spacing w:line="360" w:lineRule="auto"/>
        <w:contextualSpacing/>
        <w:rPr>
          <w:rFonts w:ascii="Arial" w:hAnsi="Arial" w:cs="Arial"/>
          <w:b/>
          <w:sz w:val="24"/>
          <w:szCs w:val="24"/>
        </w:rPr>
      </w:pPr>
      <w:r w:rsidRPr="00A73E1F">
        <w:rPr>
          <w:rFonts w:ascii="Arial" w:hAnsi="Arial" w:cs="Arial"/>
          <w:i/>
          <w:sz w:val="24"/>
          <w:szCs w:val="24"/>
        </w:rPr>
        <w:t>Coram</w:t>
      </w:r>
      <w:r w:rsidR="009F6AF5" w:rsidRPr="00A73E1F">
        <w:rPr>
          <w:rFonts w:ascii="Arial" w:hAnsi="Arial" w:cs="Arial"/>
          <w:sz w:val="24"/>
          <w:szCs w:val="24"/>
        </w:rPr>
        <w:t xml:space="preserve">: </w:t>
      </w:r>
      <w:proofErr w:type="spellStart"/>
      <w:r w:rsidR="00A73E1F" w:rsidRPr="00A73E1F">
        <w:rPr>
          <w:rFonts w:ascii="Arial" w:hAnsi="Arial" w:cs="Arial"/>
          <w:b/>
          <w:sz w:val="24"/>
          <w:szCs w:val="24"/>
        </w:rPr>
        <w:t>Nxumalo</w:t>
      </w:r>
      <w:proofErr w:type="spellEnd"/>
      <w:r w:rsidR="00A73E1F" w:rsidRPr="00A73E1F">
        <w:rPr>
          <w:rFonts w:ascii="Arial" w:hAnsi="Arial" w:cs="Arial"/>
          <w:b/>
          <w:sz w:val="24"/>
          <w:szCs w:val="24"/>
        </w:rPr>
        <w:t xml:space="preserve"> J</w:t>
      </w:r>
    </w:p>
    <w:p w:rsidR="00A73E1F" w:rsidRPr="00A73E1F" w:rsidRDefault="00A73E1F" w:rsidP="00A73E1F">
      <w:pPr>
        <w:tabs>
          <w:tab w:val="right" w:pos="8931"/>
        </w:tabs>
        <w:spacing w:line="360" w:lineRule="auto"/>
        <w:contextualSpacing/>
        <w:rPr>
          <w:rFonts w:ascii="Arial" w:hAnsi="Arial" w:cs="Arial"/>
          <w:sz w:val="24"/>
          <w:szCs w:val="24"/>
        </w:rPr>
      </w:pPr>
    </w:p>
    <w:p w:rsidR="00A73E1F" w:rsidRPr="00A73E1F" w:rsidRDefault="00A73E1F" w:rsidP="00A73E1F">
      <w:pPr>
        <w:pBdr>
          <w:top w:val="single" w:sz="4" w:space="1" w:color="auto"/>
          <w:left w:val="single" w:sz="4" w:space="4" w:color="auto"/>
          <w:bottom w:val="single" w:sz="4" w:space="1" w:color="auto"/>
          <w:right w:val="single" w:sz="4" w:space="4" w:color="auto"/>
        </w:pBdr>
        <w:shd w:val="clear" w:color="auto" w:fill="A6A6A6"/>
        <w:spacing w:line="360" w:lineRule="auto"/>
        <w:contextualSpacing/>
        <w:jc w:val="center"/>
        <w:rPr>
          <w:rFonts w:ascii="Arial" w:hAnsi="Arial" w:cs="Arial"/>
          <w:b/>
          <w:sz w:val="24"/>
          <w:szCs w:val="24"/>
        </w:rPr>
      </w:pPr>
    </w:p>
    <w:p w:rsidR="00597279" w:rsidRPr="00A73E1F" w:rsidRDefault="009B40A0" w:rsidP="00A73E1F">
      <w:pPr>
        <w:pBdr>
          <w:top w:val="single" w:sz="4" w:space="1" w:color="auto"/>
          <w:left w:val="single" w:sz="4" w:space="4" w:color="auto"/>
          <w:bottom w:val="single" w:sz="4" w:space="1" w:color="auto"/>
          <w:right w:val="single" w:sz="4" w:space="4" w:color="auto"/>
        </w:pBdr>
        <w:shd w:val="clear" w:color="auto" w:fill="A6A6A6"/>
        <w:spacing w:line="360" w:lineRule="auto"/>
        <w:contextualSpacing/>
        <w:jc w:val="center"/>
        <w:rPr>
          <w:rFonts w:ascii="Arial" w:hAnsi="Arial" w:cs="Arial"/>
          <w:b/>
          <w:sz w:val="24"/>
          <w:szCs w:val="24"/>
        </w:rPr>
      </w:pPr>
      <w:r w:rsidRPr="00A73E1F">
        <w:rPr>
          <w:rFonts w:ascii="Arial" w:hAnsi="Arial" w:cs="Arial"/>
          <w:b/>
          <w:sz w:val="24"/>
          <w:szCs w:val="24"/>
        </w:rPr>
        <w:t>JUDGMENT</w:t>
      </w:r>
    </w:p>
    <w:p w:rsidR="00A73E1F" w:rsidRPr="00A73E1F" w:rsidRDefault="00A73E1F" w:rsidP="00A73E1F">
      <w:pPr>
        <w:pBdr>
          <w:top w:val="single" w:sz="4" w:space="1" w:color="auto"/>
          <w:left w:val="single" w:sz="4" w:space="4" w:color="auto"/>
          <w:bottom w:val="single" w:sz="4" w:space="1" w:color="auto"/>
          <w:right w:val="single" w:sz="4" w:space="4" w:color="auto"/>
        </w:pBdr>
        <w:shd w:val="clear" w:color="auto" w:fill="A6A6A6"/>
        <w:spacing w:line="360" w:lineRule="auto"/>
        <w:contextualSpacing/>
        <w:jc w:val="center"/>
        <w:rPr>
          <w:rFonts w:ascii="Arial" w:hAnsi="Arial" w:cs="Arial"/>
          <w:b/>
          <w:sz w:val="24"/>
          <w:szCs w:val="24"/>
        </w:rPr>
      </w:pPr>
    </w:p>
    <w:p w:rsidR="00A73E1F" w:rsidRPr="00A73E1F" w:rsidRDefault="00A73E1F" w:rsidP="00A73E1F">
      <w:pPr>
        <w:spacing w:line="360" w:lineRule="auto"/>
        <w:contextualSpacing/>
        <w:jc w:val="both"/>
        <w:rPr>
          <w:rFonts w:ascii="Arial" w:hAnsi="Arial" w:cs="Arial"/>
          <w:b/>
          <w:i/>
          <w:sz w:val="24"/>
          <w:szCs w:val="24"/>
        </w:rPr>
      </w:pPr>
    </w:p>
    <w:p w:rsidR="00D85E2C" w:rsidRPr="00A73E1F" w:rsidRDefault="008649B3" w:rsidP="00A73E1F">
      <w:pPr>
        <w:spacing w:line="360" w:lineRule="auto"/>
        <w:contextualSpacing/>
        <w:jc w:val="both"/>
        <w:rPr>
          <w:rFonts w:ascii="Arial" w:hAnsi="Arial" w:cs="Arial"/>
          <w:b/>
          <w:sz w:val="24"/>
          <w:szCs w:val="24"/>
        </w:rPr>
      </w:pPr>
      <w:r>
        <w:rPr>
          <w:rFonts w:ascii="Arial" w:hAnsi="Arial" w:cs="Arial"/>
          <w:b/>
          <w:sz w:val="24"/>
          <w:szCs w:val="24"/>
        </w:rPr>
        <w:t>NXUMALO J:</w:t>
      </w:r>
    </w:p>
    <w:p w:rsidR="00A73E1F" w:rsidRPr="00A73E1F" w:rsidRDefault="00A73E1F" w:rsidP="00A73E1F">
      <w:pPr>
        <w:spacing w:line="360" w:lineRule="auto"/>
        <w:contextualSpacing/>
        <w:jc w:val="both"/>
        <w:rPr>
          <w:rFonts w:ascii="Arial" w:hAnsi="Arial" w:cs="Arial"/>
          <w:b/>
          <w:sz w:val="24"/>
          <w:szCs w:val="24"/>
        </w:rPr>
      </w:pPr>
    </w:p>
    <w:p w:rsidR="00FB2A79" w:rsidRPr="00D12D46" w:rsidRDefault="00D12D46" w:rsidP="00D12D46">
      <w:pPr>
        <w:spacing w:line="360" w:lineRule="auto"/>
        <w:ind w:left="851" w:hanging="851"/>
        <w:jc w:val="both"/>
        <w:rPr>
          <w:rFonts w:ascii="Arial" w:hAnsi="Arial" w:cs="Arial"/>
          <w:b/>
          <w:sz w:val="24"/>
          <w:szCs w:val="24"/>
        </w:rPr>
      </w:pPr>
      <w:r w:rsidRPr="00A73E1F">
        <w:rPr>
          <w:rFonts w:ascii="Arial" w:hAnsi="Arial" w:cs="Arial"/>
          <w:sz w:val="24"/>
          <w:szCs w:val="24"/>
        </w:rPr>
        <w:lastRenderedPageBreak/>
        <w:t>1.</w:t>
      </w:r>
      <w:r w:rsidRPr="00A73E1F">
        <w:rPr>
          <w:rFonts w:ascii="Arial" w:hAnsi="Arial" w:cs="Arial"/>
          <w:sz w:val="24"/>
          <w:szCs w:val="24"/>
        </w:rPr>
        <w:tab/>
      </w:r>
      <w:r w:rsidR="007C6F78" w:rsidRPr="00D12D46">
        <w:rPr>
          <w:rFonts w:ascii="Arial" w:hAnsi="Arial" w:cs="Arial"/>
          <w:sz w:val="24"/>
          <w:szCs w:val="24"/>
        </w:rPr>
        <w:t xml:space="preserve">This </w:t>
      </w:r>
      <w:r w:rsidR="0069415D" w:rsidRPr="00D12D46">
        <w:rPr>
          <w:rFonts w:ascii="Arial" w:hAnsi="Arial" w:cs="Arial"/>
          <w:sz w:val="24"/>
          <w:szCs w:val="24"/>
        </w:rPr>
        <w:t xml:space="preserve">matter has been referred to me as a so-called </w:t>
      </w:r>
      <w:r w:rsidR="007C6F78" w:rsidRPr="00D12D46">
        <w:rPr>
          <w:rFonts w:ascii="Arial" w:hAnsi="Arial" w:cs="Arial"/>
          <w:sz w:val="24"/>
          <w:szCs w:val="24"/>
        </w:rPr>
        <w:t xml:space="preserve">special review of the court </w:t>
      </w:r>
      <w:r w:rsidR="007C6F78" w:rsidRPr="00D12D46">
        <w:rPr>
          <w:rFonts w:ascii="Arial" w:hAnsi="Arial" w:cs="Arial"/>
          <w:i/>
          <w:sz w:val="24"/>
          <w:szCs w:val="24"/>
        </w:rPr>
        <w:t>a quo’s</w:t>
      </w:r>
      <w:r w:rsidR="00E07216" w:rsidRPr="00D12D46">
        <w:rPr>
          <w:rFonts w:ascii="Arial" w:hAnsi="Arial" w:cs="Arial"/>
          <w:sz w:val="24"/>
          <w:szCs w:val="24"/>
        </w:rPr>
        <w:t xml:space="preserve"> </w:t>
      </w:r>
      <w:r w:rsidR="0069415D" w:rsidRPr="00D12D46">
        <w:rPr>
          <w:rFonts w:ascii="Arial" w:hAnsi="Arial" w:cs="Arial"/>
          <w:sz w:val="24"/>
          <w:szCs w:val="24"/>
        </w:rPr>
        <w:t>impugned default order against the respondent</w:t>
      </w:r>
      <w:r w:rsidR="00FB2A79" w:rsidRPr="00D12D46">
        <w:rPr>
          <w:rFonts w:ascii="Arial" w:hAnsi="Arial" w:cs="Arial"/>
          <w:sz w:val="24"/>
          <w:szCs w:val="24"/>
        </w:rPr>
        <w:t xml:space="preserve"> </w:t>
      </w:r>
      <w:r w:rsidR="00FB2A79" w:rsidRPr="00D12D46">
        <w:rPr>
          <w:rFonts w:ascii="Arial" w:hAnsi="Arial" w:cs="Arial"/>
          <w:i/>
          <w:sz w:val="24"/>
          <w:szCs w:val="24"/>
        </w:rPr>
        <w:t>a quo</w:t>
      </w:r>
      <w:r w:rsidR="0069415D" w:rsidRPr="00D12D46">
        <w:rPr>
          <w:rFonts w:ascii="Arial" w:hAnsi="Arial" w:cs="Arial"/>
          <w:sz w:val="24"/>
          <w:szCs w:val="24"/>
        </w:rPr>
        <w:t xml:space="preserve">, </w:t>
      </w:r>
      <w:r w:rsidR="00FB2A79" w:rsidRPr="00D12D46">
        <w:rPr>
          <w:rFonts w:ascii="Arial" w:hAnsi="Arial" w:cs="Arial"/>
          <w:sz w:val="24"/>
          <w:szCs w:val="24"/>
        </w:rPr>
        <w:t xml:space="preserve">dated 21 July 2022. </w:t>
      </w:r>
      <w:r w:rsidR="00A34B74" w:rsidRPr="00D12D46">
        <w:rPr>
          <w:rFonts w:ascii="Arial" w:hAnsi="Arial" w:cs="Arial"/>
          <w:sz w:val="24"/>
          <w:szCs w:val="24"/>
        </w:rPr>
        <w:t xml:space="preserve"> </w:t>
      </w:r>
      <w:r w:rsidR="00FB2A79" w:rsidRPr="00D12D46">
        <w:rPr>
          <w:rFonts w:ascii="Arial" w:hAnsi="Arial" w:cs="Arial"/>
          <w:sz w:val="24"/>
          <w:szCs w:val="24"/>
        </w:rPr>
        <w:t xml:space="preserve">The referral is at the behest </w:t>
      </w:r>
      <w:r w:rsidR="007C6F78" w:rsidRPr="00D12D46">
        <w:rPr>
          <w:rFonts w:ascii="Arial" w:hAnsi="Arial" w:cs="Arial"/>
          <w:sz w:val="24"/>
          <w:szCs w:val="24"/>
        </w:rPr>
        <w:t>of the Director of Public Prosecution, Northern Cape</w:t>
      </w:r>
      <w:r w:rsidR="00E07216" w:rsidRPr="00D12D46">
        <w:rPr>
          <w:rFonts w:ascii="Arial" w:hAnsi="Arial" w:cs="Arial"/>
          <w:sz w:val="24"/>
          <w:szCs w:val="24"/>
        </w:rPr>
        <w:t xml:space="preserve">. </w:t>
      </w:r>
      <w:r w:rsidR="007C6F78" w:rsidRPr="00D12D46">
        <w:rPr>
          <w:rFonts w:ascii="Arial" w:hAnsi="Arial" w:cs="Arial"/>
          <w:sz w:val="24"/>
          <w:szCs w:val="24"/>
        </w:rPr>
        <w:t xml:space="preserve">  </w:t>
      </w:r>
    </w:p>
    <w:p w:rsidR="00FB2A79" w:rsidRPr="00A73E1F" w:rsidRDefault="00FB2A79" w:rsidP="00A73E1F">
      <w:pPr>
        <w:pStyle w:val="ListParagraph"/>
        <w:spacing w:line="360" w:lineRule="auto"/>
        <w:ind w:left="851"/>
        <w:jc w:val="both"/>
        <w:rPr>
          <w:rFonts w:ascii="Arial" w:hAnsi="Arial" w:cs="Arial"/>
          <w:b/>
          <w:sz w:val="24"/>
          <w:szCs w:val="24"/>
        </w:rPr>
      </w:pPr>
    </w:p>
    <w:p w:rsidR="00FB2A79" w:rsidRPr="00D12D46" w:rsidRDefault="00D12D46" w:rsidP="00D12D46">
      <w:pPr>
        <w:spacing w:line="360" w:lineRule="auto"/>
        <w:ind w:left="851" w:hanging="851"/>
        <w:jc w:val="both"/>
        <w:rPr>
          <w:rFonts w:ascii="Arial" w:hAnsi="Arial" w:cs="Arial"/>
          <w:b/>
          <w:sz w:val="24"/>
          <w:szCs w:val="24"/>
        </w:rPr>
      </w:pPr>
      <w:r w:rsidRPr="00A73E1F">
        <w:rPr>
          <w:rFonts w:ascii="Arial" w:hAnsi="Arial" w:cs="Arial"/>
          <w:sz w:val="24"/>
          <w:szCs w:val="24"/>
        </w:rPr>
        <w:t>2.</w:t>
      </w:r>
      <w:r w:rsidRPr="00A73E1F">
        <w:rPr>
          <w:rFonts w:ascii="Arial" w:hAnsi="Arial" w:cs="Arial"/>
          <w:sz w:val="24"/>
          <w:szCs w:val="24"/>
        </w:rPr>
        <w:tab/>
      </w:r>
      <w:r w:rsidR="00FB2A79" w:rsidRPr="00D12D46">
        <w:rPr>
          <w:rFonts w:ascii="Arial" w:hAnsi="Arial" w:cs="Arial"/>
          <w:sz w:val="24"/>
          <w:szCs w:val="24"/>
        </w:rPr>
        <w:t xml:space="preserve">The relevant background facts pertaining to this matter may be surmised </w:t>
      </w:r>
      <w:r w:rsidR="00E91825" w:rsidRPr="00D12D46">
        <w:rPr>
          <w:rFonts w:ascii="Arial" w:hAnsi="Arial" w:cs="Arial"/>
          <w:sz w:val="24"/>
          <w:szCs w:val="24"/>
        </w:rPr>
        <w:t xml:space="preserve">from </w:t>
      </w:r>
      <w:r w:rsidR="000940FF" w:rsidRPr="00D12D46">
        <w:rPr>
          <w:rFonts w:ascii="Arial" w:hAnsi="Arial" w:cs="Arial"/>
          <w:sz w:val="24"/>
          <w:szCs w:val="24"/>
        </w:rPr>
        <w:t xml:space="preserve">the </w:t>
      </w:r>
      <w:r w:rsidR="00E91825" w:rsidRPr="00D12D46">
        <w:rPr>
          <w:rFonts w:ascii="Arial" w:hAnsi="Arial" w:cs="Arial"/>
          <w:sz w:val="24"/>
          <w:szCs w:val="24"/>
        </w:rPr>
        <w:t xml:space="preserve">opinions of the learned Acting Chief Public Prosecutor, </w:t>
      </w:r>
      <w:proofErr w:type="spellStart"/>
      <w:r w:rsidR="00E91825" w:rsidRPr="00D12D46">
        <w:rPr>
          <w:rFonts w:ascii="Arial" w:hAnsi="Arial" w:cs="Arial"/>
          <w:sz w:val="24"/>
          <w:szCs w:val="24"/>
        </w:rPr>
        <w:t>Upington</w:t>
      </w:r>
      <w:proofErr w:type="spellEnd"/>
      <w:r w:rsidR="00E91825" w:rsidRPr="00D12D46">
        <w:rPr>
          <w:rFonts w:ascii="Arial" w:hAnsi="Arial" w:cs="Arial"/>
          <w:sz w:val="24"/>
          <w:szCs w:val="24"/>
        </w:rPr>
        <w:t xml:space="preserve"> Cluster, Mr AC </w:t>
      </w:r>
      <w:proofErr w:type="spellStart"/>
      <w:r w:rsidR="00E91825" w:rsidRPr="00D12D46">
        <w:rPr>
          <w:rFonts w:ascii="Arial" w:hAnsi="Arial" w:cs="Arial"/>
          <w:sz w:val="24"/>
          <w:szCs w:val="24"/>
        </w:rPr>
        <w:t>Damara</w:t>
      </w:r>
      <w:r w:rsidR="00850509" w:rsidRPr="00D12D46">
        <w:rPr>
          <w:rFonts w:ascii="Arial" w:hAnsi="Arial" w:cs="Arial"/>
          <w:sz w:val="24"/>
          <w:szCs w:val="24"/>
        </w:rPr>
        <w:t>h</w:t>
      </w:r>
      <w:proofErr w:type="spellEnd"/>
      <w:r w:rsidR="00E91825" w:rsidRPr="00D12D46">
        <w:rPr>
          <w:rFonts w:ascii="Arial" w:hAnsi="Arial" w:cs="Arial"/>
          <w:sz w:val="24"/>
          <w:szCs w:val="24"/>
        </w:rPr>
        <w:t xml:space="preserve"> and the Chief Magistrate, Mr </w:t>
      </w:r>
      <w:r w:rsidR="004C1508" w:rsidRPr="00D12D46">
        <w:rPr>
          <w:rFonts w:ascii="Arial" w:hAnsi="Arial" w:cs="Arial"/>
          <w:sz w:val="24"/>
          <w:szCs w:val="24"/>
        </w:rPr>
        <w:t xml:space="preserve">OM </w:t>
      </w:r>
      <w:proofErr w:type="spellStart"/>
      <w:r w:rsidR="00E91825" w:rsidRPr="00D12D46">
        <w:rPr>
          <w:rFonts w:ascii="Arial" w:hAnsi="Arial" w:cs="Arial"/>
          <w:sz w:val="24"/>
          <w:szCs w:val="24"/>
        </w:rPr>
        <w:t>Krieling</w:t>
      </w:r>
      <w:proofErr w:type="spellEnd"/>
      <w:r w:rsidR="00E91825" w:rsidRPr="00D12D46">
        <w:rPr>
          <w:rFonts w:ascii="Arial" w:hAnsi="Arial" w:cs="Arial"/>
          <w:sz w:val="24"/>
          <w:szCs w:val="24"/>
        </w:rPr>
        <w:t>.</w:t>
      </w:r>
      <w:r w:rsidR="00F0600B" w:rsidRPr="00D12D46">
        <w:rPr>
          <w:rFonts w:ascii="Arial" w:hAnsi="Arial" w:cs="Arial"/>
          <w:sz w:val="24"/>
          <w:szCs w:val="24"/>
        </w:rPr>
        <w:t xml:space="preserve"> </w:t>
      </w:r>
      <w:r w:rsidR="00A34B74" w:rsidRPr="00D12D46">
        <w:rPr>
          <w:rFonts w:ascii="Arial" w:hAnsi="Arial" w:cs="Arial"/>
          <w:sz w:val="24"/>
          <w:szCs w:val="24"/>
        </w:rPr>
        <w:t xml:space="preserve"> </w:t>
      </w:r>
      <w:r w:rsidR="00F0600B" w:rsidRPr="00D12D46">
        <w:rPr>
          <w:rFonts w:ascii="Arial" w:hAnsi="Arial" w:cs="Arial"/>
          <w:sz w:val="24"/>
          <w:szCs w:val="24"/>
        </w:rPr>
        <w:t>It is therefore not imperative to repeat same here</w:t>
      </w:r>
      <w:r w:rsidR="00A34B74" w:rsidRPr="00D12D46">
        <w:rPr>
          <w:rFonts w:ascii="Arial" w:hAnsi="Arial" w:cs="Arial"/>
          <w:sz w:val="24"/>
          <w:szCs w:val="24"/>
        </w:rPr>
        <w:t>, s</w:t>
      </w:r>
      <w:r w:rsidR="00F0600B" w:rsidRPr="00D12D46">
        <w:rPr>
          <w:rFonts w:ascii="Arial" w:hAnsi="Arial" w:cs="Arial"/>
          <w:sz w:val="24"/>
          <w:szCs w:val="24"/>
        </w:rPr>
        <w:t xml:space="preserve">uffice it </w:t>
      </w:r>
      <w:r w:rsidR="004C1508" w:rsidRPr="00D12D46">
        <w:rPr>
          <w:rFonts w:ascii="Arial" w:hAnsi="Arial" w:cs="Arial"/>
          <w:sz w:val="24"/>
          <w:szCs w:val="24"/>
        </w:rPr>
        <w:t xml:space="preserve">only </w:t>
      </w:r>
      <w:r w:rsidR="00F0600B" w:rsidRPr="00D12D46">
        <w:rPr>
          <w:rFonts w:ascii="Arial" w:hAnsi="Arial" w:cs="Arial"/>
          <w:sz w:val="24"/>
          <w:szCs w:val="24"/>
        </w:rPr>
        <w:t xml:space="preserve">to point out that it </w:t>
      </w:r>
      <w:r w:rsidR="00CF1EFB" w:rsidRPr="00D12D46">
        <w:rPr>
          <w:rFonts w:ascii="Arial" w:hAnsi="Arial" w:cs="Arial"/>
          <w:sz w:val="24"/>
          <w:szCs w:val="24"/>
        </w:rPr>
        <w:t xml:space="preserve">appears to be </w:t>
      </w:r>
      <w:r w:rsidR="00F0600B" w:rsidRPr="00D12D46">
        <w:rPr>
          <w:rFonts w:ascii="Arial" w:hAnsi="Arial" w:cs="Arial"/>
          <w:sz w:val="24"/>
          <w:szCs w:val="24"/>
        </w:rPr>
        <w:t>common cause that</w:t>
      </w:r>
      <w:r w:rsidR="00FB2A79" w:rsidRPr="00D12D46">
        <w:rPr>
          <w:rFonts w:ascii="Arial" w:hAnsi="Arial" w:cs="Arial"/>
          <w:sz w:val="24"/>
          <w:szCs w:val="24"/>
        </w:rPr>
        <w:t xml:space="preserve"> the impugned order was erroneously granted by the said court, in the absence of the respondent </w:t>
      </w:r>
      <w:r w:rsidR="00FB2A79" w:rsidRPr="00D12D46">
        <w:rPr>
          <w:rFonts w:ascii="Arial" w:hAnsi="Arial" w:cs="Arial"/>
          <w:i/>
          <w:sz w:val="24"/>
          <w:szCs w:val="24"/>
        </w:rPr>
        <w:t>a quo</w:t>
      </w:r>
      <w:r w:rsidR="00FB2A79" w:rsidRPr="00D12D46">
        <w:rPr>
          <w:rFonts w:ascii="Arial" w:hAnsi="Arial" w:cs="Arial"/>
          <w:sz w:val="24"/>
          <w:szCs w:val="24"/>
        </w:rPr>
        <w:t xml:space="preserve">. </w:t>
      </w:r>
    </w:p>
    <w:p w:rsidR="00FB2A79" w:rsidRPr="00A73E1F" w:rsidRDefault="00FB2A79" w:rsidP="00A73E1F">
      <w:pPr>
        <w:pStyle w:val="ListParagraph"/>
        <w:spacing w:line="360" w:lineRule="auto"/>
        <w:rPr>
          <w:rFonts w:ascii="Arial" w:hAnsi="Arial" w:cs="Arial"/>
          <w:sz w:val="24"/>
          <w:szCs w:val="24"/>
        </w:rPr>
      </w:pPr>
    </w:p>
    <w:p w:rsidR="004C1508" w:rsidRPr="00D12D46" w:rsidRDefault="00D12D46" w:rsidP="00D12D46">
      <w:pPr>
        <w:spacing w:line="360" w:lineRule="auto"/>
        <w:ind w:left="851" w:hanging="851"/>
        <w:jc w:val="both"/>
        <w:rPr>
          <w:rFonts w:ascii="Arial" w:hAnsi="Arial" w:cs="Arial"/>
          <w:sz w:val="24"/>
          <w:szCs w:val="24"/>
        </w:rPr>
      </w:pPr>
      <w:r w:rsidRPr="00A73E1F">
        <w:rPr>
          <w:rFonts w:ascii="Arial" w:hAnsi="Arial" w:cs="Arial"/>
          <w:sz w:val="24"/>
          <w:szCs w:val="24"/>
        </w:rPr>
        <w:t>3.</w:t>
      </w:r>
      <w:r w:rsidRPr="00A73E1F">
        <w:rPr>
          <w:rFonts w:ascii="Arial" w:hAnsi="Arial" w:cs="Arial"/>
          <w:sz w:val="24"/>
          <w:szCs w:val="24"/>
        </w:rPr>
        <w:tab/>
      </w:r>
      <w:r w:rsidR="004C1508" w:rsidRPr="00D12D46">
        <w:rPr>
          <w:rFonts w:ascii="Arial" w:hAnsi="Arial" w:cs="Arial"/>
          <w:sz w:val="24"/>
          <w:szCs w:val="24"/>
        </w:rPr>
        <w:t xml:space="preserve">The learned Chief Magistrate </w:t>
      </w:r>
      <w:r w:rsidR="00CF1EFB" w:rsidRPr="00D12D46">
        <w:rPr>
          <w:rFonts w:ascii="Arial" w:hAnsi="Arial" w:cs="Arial"/>
          <w:sz w:val="24"/>
          <w:szCs w:val="24"/>
        </w:rPr>
        <w:t xml:space="preserve">in sum </w:t>
      </w:r>
      <w:r w:rsidR="004C1508" w:rsidRPr="00D12D46">
        <w:rPr>
          <w:rFonts w:ascii="Arial" w:hAnsi="Arial" w:cs="Arial"/>
          <w:sz w:val="24"/>
          <w:szCs w:val="24"/>
        </w:rPr>
        <w:t>is of the opinion that</w:t>
      </w:r>
      <w:r w:rsidR="00A34B74" w:rsidRPr="00D12D46">
        <w:rPr>
          <w:rFonts w:ascii="Arial" w:hAnsi="Arial" w:cs="Arial"/>
          <w:sz w:val="24"/>
          <w:szCs w:val="24"/>
        </w:rPr>
        <w:t>,</w:t>
      </w:r>
      <w:r w:rsidR="004C1508" w:rsidRPr="00D12D46">
        <w:rPr>
          <w:rFonts w:ascii="Arial" w:hAnsi="Arial" w:cs="Arial"/>
          <w:sz w:val="24"/>
          <w:szCs w:val="24"/>
        </w:rPr>
        <w:t xml:space="preserve"> regard being had to the facts and circumstances of this case, the respondent should be advised</w:t>
      </w:r>
      <w:r w:rsidR="00CF1EFB" w:rsidRPr="00D12D46">
        <w:rPr>
          <w:rFonts w:ascii="Arial" w:hAnsi="Arial" w:cs="Arial"/>
          <w:sz w:val="24"/>
          <w:szCs w:val="24"/>
        </w:rPr>
        <w:t xml:space="preserve"> to file an</w:t>
      </w:r>
      <w:r w:rsidR="004C1508" w:rsidRPr="00D12D46">
        <w:rPr>
          <w:rFonts w:ascii="Arial" w:hAnsi="Arial" w:cs="Arial"/>
          <w:sz w:val="24"/>
          <w:szCs w:val="24"/>
        </w:rPr>
        <w:t xml:space="preserve"> application to set</w:t>
      </w:r>
      <w:r w:rsidR="00A34B74" w:rsidRPr="00D12D46">
        <w:rPr>
          <w:rFonts w:ascii="Arial" w:hAnsi="Arial" w:cs="Arial"/>
          <w:sz w:val="24"/>
          <w:szCs w:val="24"/>
        </w:rPr>
        <w:t xml:space="preserve"> </w:t>
      </w:r>
      <w:r w:rsidR="004C1508" w:rsidRPr="00D12D46">
        <w:rPr>
          <w:rFonts w:ascii="Arial" w:hAnsi="Arial" w:cs="Arial"/>
          <w:sz w:val="24"/>
          <w:szCs w:val="24"/>
        </w:rPr>
        <w:t>aside the impugned order</w:t>
      </w:r>
      <w:r w:rsidR="00CF1EFB" w:rsidRPr="00D12D46">
        <w:rPr>
          <w:rFonts w:ascii="Arial" w:hAnsi="Arial" w:cs="Arial"/>
          <w:sz w:val="24"/>
          <w:szCs w:val="24"/>
        </w:rPr>
        <w:t xml:space="preserve"> in terms of </w:t>
      </w:r>
      <w:r w:rsidR="00A34B74" w:rsidRPr="00D12D46">
        <w:rPr>
          <w:rFonts w:ascii="Arial" w:hAnsi="Arial" w:cs="Arial"/>
          <w:sz w:val="24"/>
          <w:szCs w:val="24"/>
        </w:rPr>
        <w:t>S</w:t>
      </w:r>
      <w:r w:rsidR="00CF1EFB" w:rsidRPr="00D12D46">
        <w:rPr>
          <w:rFonts w:ascii="Arial" w:hAnsi="Arial" w:cs="Arial"/>
          <w:sz w:val="24"/>
          <w:szCs w:val="24"/>
        </w:rPr>
        <w:t>ection 18(4) of the Maintenance Act 99 of 1998.</w:t>
      </w:r>
      <w:r w:rsidR="00CF1EFB" w:rsidRPr="00A73E1F">
        <w:rPr>
          <w:rStyle w:val="FootnoteReference"/>
          <w:rFonts w:ascii="Arial" w:hAnsi="Arial" w:cs="Arial"/>
          <w:sz w:val="24"/>
          <w:szCs w:val="24"/>
        </w:rPr>
        <w:footnoteReference w:id="1"/>
      </w:r>
      <w:r w:rsidR="004C1508" w:rsidRPr="00D12D46">
        <w:rPr>
          <w:rFonts w:ascii="Arial" w:hAnsi="Arial" w:cs="Arial"/>
          <w:sz w:val="24"/>
          <w:szCs w:val="24"/>
        </w:rPr>
        <w:t xml:space="preserve"> </w:t>
      </w:r>
      <w:r w:rsidR="00A34B74" w:rsidRPr="00D12D46">
        <w:rPr>
          <w:rFonts w:ascii="Arial" w:hAnsi="Arial" w:cs="Arial"/>
          <w:sz w:val="24"/>
          <w:szCs w:val="24"/>
        </w:rPr>
        <w:t xml:space="preserve"> </w:t>
      </w:r>
      <w:r w:rsidR="004C1508" w:rsidRPr="00D12D46">
        <w:rPr>
          <w:rFonts w:ascii="Arial" w:hAnsi="Arial" w:cs="Arial"/>
          <w:sz w:val="24"/>
          <w:szCs w:val="24"/>
        </w:rPr>
        <w:t xml:space="preserve">In the premise, he maintains that it was therefore not necessary to send the matter on special review at this stage. </w:t>
      </w:r>
    </w:p>
    <w:p w:rsidR="004C1508" w:rsidRPr="00A73E1F" w:rsidRDefault="004C1508" w:rsidP="00A73E1F">
      <w:pPr>
        <w:pStyle w:val="ListParagraph"/>
        <w:spacing w:line="360" w:lineRule="auto"/>
        <w:rPr>
          <w:rFonts w:ascii="Arial" w:hAnsi="Arial" w:cs="Arial"/>
          <w:sz w:val="24"/>
          <w:szCs w:val="24"/>
        </w:rPr>
      </w:pPr>
    </w:p>
    <w:p w:rsidR="004223EC" w:rsidRPr="00D12D46" w:rsidRDefault="00D12D46" w:rsidP="00D12D46">
      <w:pPr>
        <w:spacing w:line="360" w:lineRule="auto"/>
        <w:ind w:left="851" w:hanging="851"/>
        <w:jc w:val="both"/>
        <w:rPr>
          <w:rFonts w:ascii="Arial" w:hAnsi="Arial" w:cs="Arial"/>
          <w:sz w:val="24"/>
          <w:szCs w:val="24"/>
        </w:rPr>
      </w:pPr>
      <w:r w:rsidRPr="00A73E1F">
        <w:rPr>
          <w:rFonts w:ascii="Arial" w:hAnsi="Arial" w:cs="Arial"/>
          <w:sz w:val="24"/>
          <w:szCs w:val="24"/>
        </w:rPr>
        <w:t>4.</w:t>
      </w:r>
      <w:r w:rsidRPr="00A73E1F">
        <w:rPr>
          <w:rFonts w:ascii="Arial" w:hAnsi="Arial" w:cs="Arial"/>
          <w:sz w:val="24"/>
          <w:szCs w:val="24"/>
        </w:rPr>
        <w:tab/>
      </w:r>
      <w:r w:rsidR="0025010F" w:rsidRPr="00D12D46">
        <w:rPr>
          <w:rFonts w:ascii="Arial" w:hAnsi="Arial" w:cs="Arial"/>
          <w:sz w:val="24"/>
          <w:szCs w:val="24"/>
        </w:rPr>
        <w:t xml:space="preserve">For his own part, </w:t>
      </w:r>
      <w:r w:rsidR="00F0600B" w:rsidRPr="00D12D46">
        <w:rPr>
          <w:rFonts w:ascii="Arial" w:hAnsi="Arial" w:cs="Arial"/>
          <w:sz w:val="24"/>
          <w:szCs w:val="24"/>
        </w:rPr>
        <w:t xml:space="preserve">Mr </w:t>
      </w:r>
      <w:proofErr w:type="spellStart"/>
      <w:r w:rsidR="00F0600B" w:rsidRPr="00D12D46">
        <w:rPr>
          <w:rFonts w:ascii="Arial" w:hAnsi="Arial" w:cs="Arial"/>
          <w:sz w:val="24"/>
          <w:szCs w:val="24"/>
        </w:rPr>
        <w:t>Damara</w:t>
      </w:r>
      <w:r w:rsidR="00850509" w:rsidRPr="00D12D46">
        <w:rPr>
          <w:rFonts w:ascii="Arial" w:hAnsi="Arial" w:cs="Arial"/>
          <w:sz w:val="24"/>
          <w:szCs w:val="24"/>
        </w:rPr>
        <w:t>h</w:t>
      </w:r>
      <w:proofErr w:type="spellEnd"/>
      <w:r w:rsidR="00F0600B" w:rsidRPr="00D12D46">
        <w:rPr>
          <w:rFonts w:ascii="Arial" w:hAnsi="Arial" w:cs="Arial"/>
          <w:sz w:val="24"/>
          <w:szCs w:val="24"/>
        </w:rPr>
        <w:t xml:space="preserve"> </w:t>
      </w:r>
      <w:r w:rsidR="004C1508" w:rsidRPr="00D12D46">
        <w:rPr>
          <w:rFonts w:ascii="Arial" w:hAnsi="Arial" w:cs="Arial"/>
          <w:sz w:val="24"/>
          <w:szCs w:val="24"/>
        </w:rPr>
        <w:t>is</w:t>
      </w:r>
      <w:r w:rsidR="007F59B5" w:rsidRPr="00D12D46">
        <w:rPr>
          <w:rFonts w:ascii="Arial" w:hAnsi="Arial" w:cs="Arial"/>
          <w:sz w:val="24"/>
          <w:szCs w:val="24"/>
        </w:rPr>
        <w:t>,</w:t>
      </w:r>
      <w:r w:rsidR="004C1508" w:rsidRPr="00D12D46">
        <w:rPr>
          <w:rFonts w:ascii="Arial" w:hAnsi="Arial" w:cs="Arial"/>
          <w:sz w:val="24"/>
          <w:szCs w:val="24"/>
        </w:rPr>
        <w:t xml:space="preserve"> </w:t>
      </w:r>
      <w:r w:rsidR="00850509" w:rsidRPr="00D12D46">
        <w:rPr>
          <w:rFonts w:ascii="Arial" w:hAnsi="Arial" w:cs="Arial"/>
          <w:sz w:val="24"/>
          <w:szCs w:val="24"/>
        </w:rPr>
        <w:t>in sum</w:t>
      </w:r>
      <w:r w:rsidR="007F59B5" w:rsidRPr="00D12D46">
        <w:rPr>
          <w:rFonts w:ascii="Arial" w:hAnsi="Arial" w:cs="Arial"/>
          <w:sz w:val="24"/>
          <w:szCs w:val="24"/>
        </w:rPr>
        <w:t>,</w:t>
      </w:r>
      <w:r w:rsidR="00CF1EFB" w:rsidRPr="00D12D46">
        <w:rPr>
          <w:rFonts w:ascii="Arial" w:hAnsi="Arial" w:cs="Arial"/>
          <w:sz w:val="24"/>
          <w:szCs w:val="24"/>
        </w:rPr>
        <w:t xml:space="preserve"> </w:t>
      </w:r>
      <w:r w:rsidR="004C1508" w:rsidRPr="00D12D46">
        <w:rPr>
          <w:rFonts w:ascii="Arial" w:hAnsi="Arial" w:cs="Arial"/>
          <w:sz w:val="24"/>
          <w:szCs w:val="24"/>
        </w:rPr>
        <w:t xml:space="preserve">of the opinion that </w:t>
      </w:r>
      <w:r w:rsidR="00F0600B" w:rsidRPr="00D12D46">
        <w:rPr>
          <w:rFonts w:ascii="Arial" w:hAnsi="Arial" w:cs="Arial"/>
          <w:sz w:val="24"/>
          <w:szCs w:val="24"/>
        </w:rPr>
        <w:t xml:space="preserve">even though </w:t>
      </w:r>
      <w:r w:rsidR="007F59B5" w:rsidRPr="00D12D46">
        <w:rPr>
          <w:rFonts w:ascii="Arial" w:hAnsi="Arial" w:cs="Arial"/>
          <w:sz w:val="24"/>
          <w:szCs w:val="24"/>
        </w:rPr>
        <w:t>S</w:t>
      </w:r>
      <w:r w:rsidR="00F0600B" w:rsidRPr="00D12D46">
        <w:rPr>
          <w:rFonts w:ascii="Arial" w:hAnsi="Arial" w:cs="Arial"/>
          <w:sz w:val="24"/>
          <w:szCs w:val="24"/>
        </w:rPr>
        <w:t>ection 18 provides for a procedure which the respondent may follow to set the impugned order aside</w:t>
      </w:r>
      <w:r w:rsidR="004C1508" w:rsidRPr="00D12D46">
        <w:rPr>
          <w:rFonts w:ascii="Arial" w:hAnsi="Arial" w:cs="Arial"/>
          <w:sz w:val="24"/>
          <w:szCs w:val="24"/>
        </w:rPr>
        <w:t xml:space="preserve">, same does </w:t>
      </w:r>
      <w:r w:rsidR="00CF1EFB" w:rsidRPr="00D12D46">
        <w:rPr>
          <w:rFonts w:ascii="Arial" w:hAnsi="Arial" w:cs="Arial"/>
          <w:sz w:val="24"/>
          <w:szCs w:val="24"/>
        </w:rPr>
        <w:t xml:space="preserve">not </w:t>
      </w:r>
      <w:r w:rsidR="004C1508" w:rsidRPr="00D12D46">
        <w:rPr>
          <w:rFonts w:ascii="Arial" w:hAnsi="Arial" w:cs="Arial"/>
          <w:sz w:val="24"/>
          <w:szCs w:val="24"/>
        </w:rPr>
        <w:t>find application in this instance. According to him</w:t>
      </w:r>
      <w:r w:rsidR="0025010F" w:rsidRPr="00D12D46">
        <w:rPr>
          <w:rFonts w:ascii="Arial" w:hAnsi="Arial" w:cs="Arial"/>
          <w:sz w:val="24"/>
          <w:szCs w:val="24"/>
        </w:rPr>
        <w:t>,</w:t>
      </w:r>
      <w:r w:rsidR="004C1508" w:rsidRPr="00D12D46">
        <w:rPr>
          <w:rFonts w:ascii="Arial" w:hAnsi="Arial" w:cs="Arial"/>
          <w:sz w:val="24"/>
          <w:szCs w:val="24"/>
        </w:rPr>
        <w:t xml:space="preserve"> this is simply </w:t>
      </w:r>
      <w:r w:rsidR="00CF1EFB" w:rsidRPr="00D12D46">
        <w:rPr>
          <w:rFonts w:ascii="Arial" w:hAnsi="Arial" w:cs="Arial"/>
          <w:sz w:val="24"/>
          <w:szCs w:val="24"/>
        </w:rPr>
        <w:t xml:space="preserve">so </w:t>
      </w:r>
      <w:r w:rsidR="004C1508" w:rsidRPr="00D12D46">
        <w:rPr>
          <w:rFonts w:ascii="Arial" w:hAnsi="Arial" w:cs="Arial"/>
          <w:sz w:val="24"/>
          <w:szCs w:val="24"/>
        </w:rPr>
        <w:t xml:space="preserve">because the learned Magistrate </w:t>
      </w:r>
      <w:r w:rsidR="00A9239C" w:rsidRPr="00D12D46">
        <w:rPr>
          <w:rFonts w:ascii="Arial" w:hAnsi="Arial" w:cs="Arial"/>
          <w:sz w:val="24"/>
          <w:szCs w:val="24"/>
        </w:rPr>
        <w:t xml:space="preserve">had no </w:t>
      </w:r>
      <w:r w:rsidR="002F57E1" w:rsidRPr="00D12D46">
        <w:rPr>
          <w:rFonts w:ascii="Arial" w:hAnsi="Arial" w:cs="Arial"/>
          <w:sz w:val="24"/>
          <w:szCs w:val="24"/>
        </w:rPr>
        <w:t>“</w:t>
      </w:r>
      <w:r w:rsidR="00A9239C" w:rsidRPr="00D12D46">
        <w:rPr>
          <w:rFonts w:ascii="Arial" w:hAnsi="Arial" w:cs="Arial"/>
          <w:i/>
          <w:sz w:val="24"/>
          <w:szCs w:val="24"/>
        </w:rPr>
        <w:t xml:space="preserve">locus </w:t>
      </w:r>
      <w:proofErr w:type="spellStart"/>
      <w:r w:rsidR="00F90F01" w:rsidRPr="00D12D46">
        <w:rPr>
          <w:rFonts w:ascii="Arial" w:hAnsi="Arial" w:cs="Arial"/>
          <w:i/>
          <w:sz w:val="24"/>
          <w:szCs w:val="24"/>
        </w:rPr>
        <w:t>standi</w:t>
      </w:r>
      <w:proofErr w:type="spellEnd"/>
      <w:r w:rsidR="00F90F01" w:rsidRPr="00D12D46">
        <w:rPr>
          <w:rFonts w:ascii="Arial" w:hAnsi="Arial" w:cs="Arial"/>
          <w:i/>
          <w:sz w:val="24"/>
          <w:szCs w:val="24"/>
        </w:rPr>
        <w:t xml:space="preserve">” </w:t>
      </w:r>
      <w:r w:rsidR="00F90F01" w:rsidRPr="00D12D46">
        <w:rPr>
          <w:rFonts w:ascii="Arial" w:hAnsi="Arial" w:cs="Arial"/>
          <w:sz w:val="24"/>
          <w:szCs w:val="24"/>
        </w:rPr>
        <w:t>to</w:t>
      </w:r>
      <w:r w:rsidR="0025010F" w:rsidRPr="00D12D46">
        <w:rPr>
          <w:rFonts w:ascii="Arial" w:hAnsi="Arial" w:cs="Arial"/>
          <w:sz w:val="24"/>
          <w:szCs w:val="24"/>
        </w:rPr>
        <w:t xml:space="preserve"> deal with the matter and the impugned proceedings were not in accordance with justice.</w:t>
      </w:r>
      <w:r w:rsidR="004223EC" w:rsidRPr="00D12D46">
        <w:rPr>
          <w:rFonts w:ascii="Arial" w:hAnsi="Arial" w:cs="Arial"/>
          <w:sz w:val="24"/>
          <w:szCs w:val="24"/>
        </w:rPr>
        <w:t xml:space="preserve"> </w:t>
      </w:r>
    </w:p>
    <w:p w:rsidR="004223EC" w:rsidRPr="00A73E1F" w:rsidRDefault="004223EC" w:rsidP="00A73E1F">
      <w:pPr>
        <w:pStyle w:val="ListParagraph"/>
        <w:spacing w:line="360" w:lineRule="auto"/>
        <w:rPr>
          <w:rFonts w:ascii="Arial" w:hAnsi="Arial" w:cs="Arial"/>
          <w:sz w:val="24"/>
          <w:szCs w:val="24"/>
        </w:rPr>
      </w:pPr>
    </w:p>
    <w:p w:rsidR="004223EC" w:rsidRPr="00D12D46" w:rsidRDefault="00D12D46" w:rsidP="00D12D46">
      <w:pPr>
        <w:spacing w:line="360" w:lineRule="auto"/>
        <w:ind w:left="851" w:hanging="851"/>
        <w:jc w:val="both"/>
        <w:rPr>
          <w:rFonts w:ascii="Arial" w:hAnsi="Arial" w:cs="Arial"/>
          <w:sz w:val="24"/>
          <w:szCs w:val="24"/>
        </w:rPr>
      </w:pPr>
      <w:r w:rsidRPr="00A73E1F">
        <w:rPr>
          <w:rFonts w:ascii="Arial" w:hAnsi="Arial" w:cs="Arial"/>
          <w:sz w:val="24"/>
          <w:szCs w:val="24"/>
        </w:rPr>
        <w:t>5.</w:t>
      </w:r>
      <w:r w:rsidRPr="00A73E1F">
        <w:rPr>
          <w:rFonts w:ascii="Arial" w:hAnsi="Arial" w:cs="Arial"/>
          <w:sz w:val="24"/>
          <w:szCs w:val="24"/>
        </w:rPr>
        <w:tab/>
      </w:r>
      <w:r w:rsidR="004223EC" w:rsidRPr="00D12D46">
        <w:rPr>
          <w:rFonts w:ascii="Arial" w:hAnsi="Arial" w:cs="Arial"/>
          <w:sz w:val="24"/>
          <w:szCs w:val="24"/>
        </w:rPr>
        <w:t>That</w:t>
      </w:r>
      <w:r w:rsidR="00CF1EFB" w:rsidRPr="00D12D46">
        <w:rPr>
          <w:rFonts w:ascii="Arial" w:hAnsi="Arial" w:cs="Arial"/>
          <w:sz w:val="24"/>
          <w:szCs w:val="24"/>
        </w:rPr>
        <w:t xml:space="preserve"> it </w:t>
      </w:r>
      <w:r w:rsidR="002F57E1" w:rsidRPr="00D12D46">
        <w:rPr>
          <w:rFonts w:ascii="Arial" w:hAnsi="Arial" w:cs="Arial"/>
          <w:sz w:val="24"/>
          <w:szCs w:val="24"/>
        </w:rPr>
        <w:t xml:space="preserve">therefore </w:t>
      </w:r>
      <w:r w:rsidR="00CF1EFB" w:rsidRPr="00D12D46">
        <w:rPr>
          <w:rFonts w:ascii="Arial" w:hAnsi="Arial" w:cs="Arial"/>
          <w:sz w:val="24"/>
          <w:szCs w:val="24"/>
        </w:rPr>
        <w:t>follows that the matter</w:t>
      </w:r>
      <w:r w:rsidR="004223EC" w:rsidRPr="00D12D46">
        <w:rPr>
          <w:rFonts w:ascii="Arial" w:hAnsi="Arial" w:cs="Arial"/>
          <w:sz w:val="24"/>
          <w:szCs w:val="24"/>
        </w:rPr>
        <w:t xml:space="preserve"> falls to </w:t>
      </w:r>
      <w:r w:rsidR="00CF1EFB" w:rsidRPr="00D12D46">
        <w:rPr>
          <w:rFonts w:ascii="Arial" w:hAnsi="Arial" w:cs="Arial"/>
          <w:sz w:val="24"/>
          <w:szCs w:val="24"/>
        </w:rPr>
        <w:t xml:space="preserve">be </w:t>
      </w:r>
      <w:r w:rsidR="004223EC" w:rsidRPr="00D12D46">
        <w:rPr>
          <w:rFonts w:ascii="Arial" w:hAnsi="Arial" w:cs="Arial"/>
          <w:sz w:val="24"/>
          <w:szCs w:val="24"/>
        </w:rPr>
        <w:t xml:space="preserve">submitted for special review </w:t>
      </w:r>
      <w:r w:rsidR="007F59B5" w:rsidRPr="00D12D46">
        <w:rPr>
          <w:rFonts w:ascii="Arial" w:hAnsi="Arial" w:cs="Arial"/>
          <w:sz w:val="24"/>
          <w:szCs w:val="24"/>
        </w:rPr>
        <w:t xml:space="preserve">for the default order to be set </w:t>
      </w:r>
      <w:r w:rsidR="004223EC" w:rsidRPr="00D12D46">
        <w:rPr>
          <w:rFonts w:ascii="Arial" w:hAnsi="Arial" w:cs="Arial"/>
          <w:sz w:val="24"/>
          <w:szCs w:val="24"/>
        </w:rPr>
        <w:t xml:space="preserve">aside and be referred back to the relevant Maintenance Officer to conduct a proper investigation in terms of the Act. </w:t>
      </w:r>
    </w:p>
    <w:p w:rsidR="004223EC" w:rsidRPr="00A73E1F" w:rsidRDefault="004223EC" w:rsidP="00A73E1F">
      <w:pPr>
        <w:pStyle w:val="ListParagraph"/>
        <w:spacing w:line="360" w:lineRule="auto"/>
        <w:rPr>
          <w:rFonts w:ascii="Arial" w:hAnsi="Arial" w:cs="Arial"/>
          <w:sz w:val="24"/>
          <w:szCs w:val="24"/>
        </w:rPr>
      </w:pPr>
    </w:p>
    <w:p w:rsidR="00056FF1" w:rsidRPr="00D12D46" w:rsidRDefault="00D12D46" w:rsidP="00D12D46">
      <w:pPr>
        <w:spacing w:line="360" w:lineRule="auto"/>
        <w:ind w:left="851" w:hanging="851"/>
        <w:jc w:val="both"/>
        <w:rPr>
          <w:rFonts w:ascii="Arial" w:hAnsi="Arial" w:cs="Arial"/>
          <w:sz w:val="24"/>
          <w:szCs w:val="24"/>
        </w:rPr>
      </w:pPr>
      <w:r w:rsidRPr="00A73E1F">
        <w:rPr>
          <w:rFonts w:ascii="Arial" w:hAnsi="Arial" w:cs="Arial"/>
          <w:sz w:val="24"/>
          <w:szCs w:val="24"/>
        </w:rPr>
        <w:t>6.</w:t>
      </w:r>
      <w:r w:rsidRPr="00A73E1F">
        <w:rPr>
          <w:rFonts w:ascii="Arial" w:hAnsi="Arial" w:cs="Arial"/>
          <w:sz w:val="24"/>
          <w:szCs w:val="24"/>
        </w:rPr>
        <w:tab/>
      </w:r>
      <w:r w:rsidR="00335363" w:rsidRPr="00D12D46">
        <w:rPr>
          <w:rFonts w:ascii="Arial" w:hAnsi="Arial" w:cs="Arial"/>
          <w:i/>
          <w:sz w:val="24"/>
          <w:szCs w:val="24"/>
        </w:rPr>
        <w:t xml:space="preserve">Locus </w:t>
      </w:r>
      <w:proofErr w:type="spellStart"/>
      <w:r w:rsidR="00335363" w:rsidRPr="00D12D46">
        <w:rPr>
          <w:rFonts w:ascii="Arial" w:hAnsi="Arial" w:cs="Arial"/>
          <w:i/>
          <w:sz w:val="24"/>
          <w:szCs w:val="24"/>
        </w:rPr>
        <w:t>standi</w:t>
      </w:r>
      <w:proofErr w:type="spellEnd"/>
      <w:r w:rsidR="00335363" w:rsidRPr="00D12D46">
        <w:rPr>
          <w:rFonts w:ascii="Arial" w:hAnsi="Arial" w:cs="Arial"/>
          <w:sz w:val="24"/>
          <w:szCs w:val="24"/>
        </w:rPr>
        <w:t xml:space="preserve"> in our law concerns the sufficiency and directness of a person’s interest in the litigation to be accepted as a litigating party. </w:t>
      </w:r>
      <w:r w:rsidR="007F59B5" w:rsidRPr="00D12D46">
        <w:rPr>
          <w:rFonts w:ascii="Arial" w:hAnsi="Arial" w:cs="Arial"/>
          <w:sz w:val="24"/>
          <w:szCs w:val="24"/>
        </w:rPr>
        <w:t xml:space="preserve"> </w:t>
      </w:r>
      <w:r w:rsidR="00335363" w:rsidRPr="00D12D46">
        <w:rPr>
          <w:rFonts w:ascii="Arial" w:hAnsi="Arial" w:cs="Arial"/>
          <w:sz w:val="24"/>
          <w:szCs w:val="24"/>
        </w:rPr>
        <w:t xml:space="preserve">It is also related to </w:t>
      </w:r>
      <w:r w:rsidR="00335363" w:rsidRPr="00D12D46">
        <w:rPr>
          <w:rFonts w:ascii="Arial" w:hAnsi="Arial" w:cs="Arial"/>
          <w:sz w:val="24"/>
          <w:szCs w:val="24"/>
        </w:rPr>
        <w:lastRenderedPageBreak/>
        <w:t xml:space="preserve">the capacity of a person to conclude a </w:t>
      </w:r>
      <w:proofErr w:type="spellStart"/>
      <w:r w:rsidR="00335363" w:rsidRPr="00D12D46">
        <w:rPr>
          <w:rFonts w:ascii="Arial" w:hAnsi="Arial" w:cs="Arial"/>
          <w:sz w:val="24"/>
          <w:szCs w:val="24"/>
        </w:rPr>
        <w:t>jural</w:t>
      </w:r>
      <w:proofErr w:type="spellEnd"/>
      <w:r w:rsidR="00335363" w:rsidRPr="00D12D46">
        <w:rPr>
          <w:rFonts w:ascii="Arial" w:hAnsi="Arial" w:cs="Arial"/>
          <w:sz w:val="24"/>
          <w:szCs w:val="24"/>
        </w:rPr>
        <w:t xml:space="preserve"> act.</w:t>
      </w:r>
      <w:r w:rsidR="00335363" w:rsidRPr="00A73E1F">
        <w:rPr>
          <w:rStyle w:val="FootnoteReference"/>
          <w:rFonts w:ascii="Arial" w:hAnsi="Arial" w:cs="Arial"/>
          <w:sz w:val="24"/>
          <w:szCs w:val="24"/>
        </w:rPr>
        <w:footnoteReference w:id="2"/>
      </w:r>
      <w:r w:rsidR="004223EC" w:rsidRPr="00D12D46">
        <w:rPr>
          <w:rFonts w:ascii="Arial" w:hAnsi="Arial" w:cs="Arial"/>
          <w:sz w:val="24"/>
          <w:szCs w:val="24"/>
        </w:rPr>
        <w:t xml:space="preserve"> </w:t>
      </w:r>
      <w:r w:rsidR="007F59B5" w:rsidRPr="00D12D46">
        <w:rPr>
          <w:rFonts w:ascii="Arial" w:hAnsi="Arial" w:cs="Arial"/>
          <w:sz w:val="24"/>
          <w:szCs w:val="24"/>
        </w:rPr>
        <w:t xml:space="preserve"> </w:t>
      </w:r>
      <w:r w:rsidR="00056FF1" w:rsidRPr="00D12D46">
        <w:rPr>
          <w:rFonts w:ascii="Arial" w:hAnsi="Arial" w:cs="Arial"/>
          <w:sz w:val="24"/>
          <w:szCs w:val="24"/>
        </w:rPr>
        <w:t xml:space="preserve">It does </w:t>
      </w:r>
      <w:r w:rsidR="00CF1EFB" w:rsidRPr="00D12D46">
        <w:rPr>
          <w:rFonts w:ascii="Arial" w:hAnsi="Arial" w:cs="Arial"/>
          <w:sz w:val="24"/>
          <w:szCs w:val="24"/>
        </w:rPr>
        <w:t xml:space="preserve">not </w:t>
      </w:r>
      <w:r w:rsidR="00056FF1" w:rsidRPr="00D12D46">
        <w:rPr>
          <w:rFonts w:ascii="Arial" w:hAnsi="Arial" w:cs="Arial"/>
          <w:sz w:val="24"/>
          <w:szCs w:val="24"/>
        </w:rPr>
        <w:t xml:space="preserve">concern the jurisdiction of a court. </w:t>
      </w:r>
    </w:p>
    <w:p w:rsidR="00056FF1" w:rsidRPr="00A73E1F" w:rsidRDefault="00056FF1" w:rsidP="00A73E1F">
      <w:pPr>
        <w:spacing w:line="360" w:lineRule="auto"/>
        <w:contextualSpacing/>
        <w:rPr>
          <w:rFonts w:ascii="Arial" w:hAnsi="Arial" w:cs="Arial"/>
          <w:sz w:val="24"/>
          <w:szCs w:val="24"/>
        </w:rPr>
      </w:pPr>
    </w:p>
    <w:p w:rsidR="00FB2A79" w:rsidRPr="00D12D46" w:rsidRDefault="00D12D46" w:rsidP="00D12D46">
      <w:pPr>
        <w:spacing w:line="360" w:lineRule="auto"/>
        <w:ind w:left="851" w:hanging="851"/>
        <w:jc w:val="both"/>
        <w:rPr>
          <w:rFonts w:ascii="Arial" w:hAnsi="Arial" w:cs="Arial"/>
          <w:sz w:val="24"/>
          <w:szCs w:val="24"/>
        </w:rPr>
      </w:pPr>
      <w:r w:rsidRPr="00A73E1F">
        <w:rPr>
          <w:rFonts w:ascii="Arial" w:hAnsi="Arial" w:cs="Arial"/>
          <w:sz w:val="24"/>
          <w:szCs w:val="24"/>
        </w:rPr>
        <w:t>7.</w:t>
      </w:r>
      <w:r w:rsidRPr="00A73E1F">
        <w:rPr>
          <w:rFonts w:ascii="Arial" w:hAnsi="Arial" w:cs="Arial"/>
          <w:sz w:val="24"/>
          <w:szCs w:val="24"/>
        </w:rPr>
        <w:tab/>
      </w:r>
      <w:r w:rsidR="00335363" w:rsidRPr="00D12D46">
        <w:rPr>
          <w:rFonts w:ascii="Arial" w:hAnsi="Arial" w:cs="Arial"/>
          <w:sz w:val="24"/>
          <w:szCs w:val="24"/>
        </w:rPr>
        <w:t xml:space="preserve">It </w:t>
      </w:r>
      <w:r w:rsidR="007F59B5" w:rsidRPr="00D12D46">
        <w:rPr>
          <w:rFonts w:ascii="Arial" w:hAnsi="Arial" w:cs="Arial"/>
          <w:sz w:val="24"/>
          <w:szCs w:val="24"/>
        </w:rPr>
        <w:t>is so that every Magistrate C</w:t>
      </w:r>
      <w:r w:rsidR="00056FF1" w:rsidRPr="00D12D46">
        <w:rPr>
          <w:rFonts w:ascii="Arial" w:hAnsi="Arial" w:cs="Arial"/>
          <w:sz w:val="24"/>
          <w:szCs w:val="24"/>
        </w:rPr>
        <w:t xml:space="preserve">ourt is a </w:t>
      </w:r>
      <w:r w:rsidR="007F59B5" w:rsidRPr="00D12D46">
        <w:rPr>
          <w:rFonts w:ascii="Arial" w:hAnsi="Arial" w:cs="Arial"/>
          <w:sz w:val="24"/>
          <w:szCs w:val="24"/>
        </w:rPr>
        <w:t>M</w:t>
      </w:r>
      <w:r w:rsidR="00056FF1" w:rsidRPr="00D12D46">
        <w:rPr>
          <w:rFonts w:ascii="Arial" w:hAnsi="Arial" w:cs="Arial"/>
          <w:sz w:val="24"/>
          <w:szCs w:val="24"/>
        </w:rPr>
        <w:t xml:space="preserve">aintenance </w:t>
      </w:r>
      <w:r w:rsidR="007F59B5" w:rsidRPr="00D12D46">
        <w:rPr>
          <w:rFonts w:ascii="Arial" w:hAnsi="Arial" w:cs="Arial"/>
          <w:sz w:val="24"/>
          <w:szCs w:val="24"/>
        </w:rPr>
        <w:t>C</w:t>
      </w:r>
      <w:r w:rsidR="00056FF1" w:rsidRPr="00D12D46">
        <w:rPr>
          <w:rFonts w:ascii="Arial" w:hAnsi="Arial" w:cs="Arial"/>
          <w:sz w:val="24"/>
          <w:szCs w:val="24"/>
        </w:rPr>
        <w:t xml:space="preserve">ourt within its area of jurisdiction for the purposes of the </w:t>
      </w:r>
      <w:r w:rsidR="00CF1EFB" w:rsidRPr="00D12D46">
        <w:rPr>
          <w:rFonts w:ascii="Arial" w:hAnsi="Arial" w:cs="Arial"/>
          <w:sz w:val="24"/>
          <w:szCs w:val="24"/>
        </w:rPr>
        <w:t>Act</w:t>
      </w:r>
      <w:r w:rsidR="007F59B5" w:rsidRPr="00D12D46">
        <w:rPr>
          <w:rFonts w:ascii="Arial" w:hAnsi="Arial" w:cs="Arial"/>
          <w:sz w:val="24"/>
          <w:szCs w:val="24"/>
        </w:rPr>
        <w:t>; regard being had to S</w:t>
      </w:r>
      <w:r w:rsidR="00056FF1" w:rsidRPr="00D12D46">
        <w:rPr>
          <w:rFonts w:ascii="Arial" w:hAnsi="Arial" w:cs="Arial"/>
          <w:sz w:val="24"/>
          <w:szCs w:val="24"/>
        </w:rPr>
        <w:t>ection 3 thereof.</w:t>
      </w:r>
      <w:r w:rsidR="007F59B5" w:rsidRPr="00D12D46">
        <w:rPr>
          <w:rFonts w:ascii="Arial" w:hAnsi="Arial" w:cs="Arial"/>
          <w:sz w:val="24"/>
          <w:szCs w:val="24"/>
        </w:rPr>
        <w:t xml:space="preserve"> </w:t>
      </w:r>
      <w:r w:rsidR="0062192F" w:rsidRPr="00D12D46">
        <w:rPr>
          <w:rFonts w:ascii="Arial" w:hAnsi="Arial" w:cs="Arial"/>
          <w:sz w:val="24"/>
          <w:szCs w:val="24"/>
        </w:rPr>
        <w:t xml:space="preserve"> Jurisdiction in this context means the power invested in a court by law to adjudicate upon</w:t>
      </w:r>
      <w:r w:rsidR="007B6D6F" w:rsidRPr="00D12D46">
        <w:rPr>
          <w:rFonts w:ascii="Arial" w:hAnsi="Arial" w:cs="Arial"/>
          <w:sz w:val="24"/>
          <w:szCs w:val="24"/>
        </w:rPr>
        <w:t>,</w:t>
      </w:r>
      <w:r w:rsidR="0062192F" w:rsidRPr="00D12D46">
        <w:rPr>
          <w:rFonts w:ascii="Arial" w:hAnsi="Arial" w:cs="Arial"/>
          <w:sz w:val="24"/>
          <w:szCs w:val="24"/>
        </w:rPr>
        <w:t xml:space="preserve"> determine and dispose of a matter.</w:t>
      </w:r>
      <w:r w:rsidR="0062192F" w:rsidRPr="00A73E1F">
        <w:rPr>
          <w:rStyle w:val="FootnoteReference"/>
          <w:rFonts w:ascii="Arial" w:hAnsi="Arial" w:cs="Arial"/>
          <w:sz w:val="24"/>
          <w:szCs w:val="24"/>
        </w:rPr>
        <w:footnoteReference w:id="3"/>
      </w:r>
      <w:r w:rsidR="0062192F" w:rsidRPr="00D12D46">
        <w:rPr>
          <w:rFonts w:ascii="Arial" w:hAnsi="Arial" w:cs="Arial"/>
          <w:sz w:val="24"/>
          <w:szCs w:val="24"/>
        </w:rPr>
        <w:t xml:space="preserve"> </w:t>
      </w:r>
      <w:r w:rsidR="00056FF1" w:rsidRPr="00D12D46">
        <w:rPr>
          <w:rFonts w:ascii="Arial" w:hAnsi="Arial" w:cs="Arial"/>
          <w:sz w:val="24"/>
          <w:szCs w:val="24"/>
        </w:rPr>
        <w:t xml:space="preserve"> </w:t>
      </w:r>
    </w:p>
    <w:p w:rsidR="004B3C5F" w:rsidRPr="00A73E1F" w:rsidRDefault="004B3C5F" w:rsidP="00A73E1F">
      <w:pPr>
        <w:pStyle w:val="ListParagraph"/>
        <w:spacing w:line="360" w:lineRule="auto"/>
        <w:rPr>
          <w:rFonts w:ascii="Arial" w:hAnsi="Arial" w:cs="Arial"/>
          <w:sz w:val="24"/>
          <w:szCs w:val="24"/>
        </w:rPr>
      </w:pPr>
    </w:p>
    <w:p w:rsidR="004B3C5F" w:rsidRPr="00D12D46" w:rsidRDefault="00D12D46" w:rsidP="00D12D46">
      <w:pPr>
        <w:spacing w:line="360" w:lineRule="auto"/>
        <w:ind w:left="851" w:hanging="851"/>
        <w:jc w:val="both"/>
        <w:rPr>
          <w:rFonts w:ascii="Arial" w:hAnsi="Arial" w:cs="Arial"/>
          <w:sz w:val="24"/>
          <w:szCs w:val="24"/>
        </w:rPr>
      </w:pPr>
      <w:r w:rsidRPr="00A73E1F">
        <w:rPr>
          <w:rFonts w:ascii="Arial" w:hAnsi="Arial" w:cs="Arial"/>
          <w:sz w:val="24"/>
          <w:szCs w:val="24"/>
        </w:rPr>
        <w:t>8.</w:t>
      </w:r>
      <w:r w:rsidRPr="00A73E1F">
        <w:rPr>
          <w:rFonts w:ascii="Arial" w:hAnsi="Arial" w:cs="Arial"/>
          <w:sz w:val="24"/>
          <w:szCs w:val="24"/>
        </w:rPr>
        <w:tab/>
      </w:r>
      <w:r w:rsidR="004B3C5F" w:rsidRPr="00D12D46">
        <w:rPr>
          <w:rFonts w:ascii="Arial" w:hAnsi="Arial" w:cs="Arial"/>
          <w:sz w:val="24"/>
          <w:szCs w:val="24"/>
        </w:rPr>
        <w:t>Section 18(4)(a)</w:t>
      </w:r>
      <w:r w:rsidR="00CF1EFB" w:rsidRPr="00D12D46">
        <w:rPr>
          <w:rFonts w:ascii="Arial" w:hAnsi="Arial" w:cs="Arial"/>
          <w:sz w:val="24"/>
          <w:szCs w:val="24"/>
        </w:rPr>
        <w:t xml:space="preserve"> of the</w:t>
      </w:r>
      <w:r w:rsidR="004B3C5F" w:rsidRPr="00D12D46">
        <w:rPr>
          <w:rFonts w:ascii="Arial" w:hAnsi="Arial" w:cs="Arial"/>
          <w:sz w:val="24"/>
          <w:szCs w:val="24"/>
        </w:rPr>
        <w:t xml:space="preserve"> Act, expressly and unambiguously authorises </w:t>
      </w:r>
      <w:r w:rsidR="00E00118" w:rsidRPr="00D12D46">
        <w:rPr>
          <w:rFonts w:ascii="Arial" w:hAnsi="Arial" w:cs="Arial"/>
          <w:sz w:val="24"/>
          <w:szCs w:val="24"/>
        </w:rPr>
        <w:t>a person</w:t>
      </w:r>
      <w:r w:rsidR="004B3C5F" w:rsidRPr="00D12D46">
        <w:rPr>
          <w:rFonts w:ascii="Arial" w:hAnsi="Arial" w:cs="Arial"/>
          <w:sz w:val="24"/>
          <w:szCs w:val="24"/>
        </w:rPr>
        <w:t xml:space="preserve"> </w:t>
      </w:r>
      <w:r w:rsidR="004B3C5F" w:rsidRPr="00D12D46">
        <w:rPr>
          <w:rFonts w:ascii="Arial" w:hAnsi="Arial" w:cs="Arial"/>
          <w:color w:val="000000"/>
          <w:sz w:val="24"/>
          <w:szCs w:val="24"/>
        </w:rPr>
        <w:t xml:space="preserve">in respect of whom a </w:t>
      </w:r>
      <w:r w:rsidR="007F59B5" w:rsidRPr="00D12D46">
        <w:rPr>
          <w:rFonts w:ascii="Arial" w:hAnsi="Arial" w:cs="Arial"/>
          <w:color w:val="000000"/>
          <w:sz w:val="24"/>
          <w:szCs w:val="24"/>
        </w:rPr>
        <w:t>M</w:t>
      </w:r>
      <w:r w:rsidR="004B3C5F" w:rsidRPr="00D12D46">
        <w:rPr>
          <w:rFonts w:ascii="Arial" w:hAnsi="Arial" w:cs="Arial"/>
          <w:color w:val="000000"/>
          <w:sz w:val="24"/>
          <w:szCs w:val="24"/>
        </w:rPr>
        <w:t xml:space="preserve">aintenance </w:t>
      </w:r>
      <w:r w:rsidR="007F59B5" w:rsidRPr="00D12D46">
        <w:rPr>
          <w:rFonts w:ascii="Arial" w:hAnsi="Arial" w:cs="Arial"/>
          <w:color w:val="000000"/>
          <w:sz w:val="24"/>
          <w:szCs w:val="24"/>
        </w:rPr>
        <w:t>C</w:t>
      </w:r>
      <w:r w:rsidR="004B3C5F" w:rsidRPr="00D12D46">
        <w:rPr>
          <w:rFonts w:ascii="Arial" w:hAnsi="Arial" w:cs="Arial"/>
          <w:color w:val="000000"/>
          <w:sz w:val="24"/>
          <w:szCs w:val="24"/>
        </w:rPr>
        <w:t xml:space="preserve">ourt </w:t>
      </w:r>
      <w:r w:rsidR="00E00118" w:rsidRPr="00D12D46">
        <w:rPr>
          <w:rFonts w:ascii="Arial" w:hAnsi="Arial" w:cs="Arial"/>
          <w:color w:val="000000"/>
          <w:sz w:val="24"/>
          <w:szCs w:val="24"/>
        </w:rPr>
        <w:t>has made an order by default to</w:t>
      </w:r>
      <w:r w:rsidR="004B3C5F" w:rsidRPr="00D12D46">
        <w:rPr>
          <w:rFonts w:ascii="Arial" w:hAnsi="Arial" w:cs="Arial"/>
          <w:color w:val="000000"/>
          <w:sz w:val="24"/>
          <w:szCs w:val="24"/>
        </w:rPr>
        <w:t xml:space="preserve"> apply to </w:t>
      </w:r>
      <w:r w:rsidR="0062192F" w:rsidRPr="00D12D46">
        <w:rPr>
          <w:rFonts w:ascii="Arial" w:hAnsi="Arial" w:cs="Arial"/>
          <w:color w:val="000000"/>
          <w:sz w:val="24"/>
          <w:szCs w:val="24"/>
        </w:rPr>
        <w:t xml:space="preserve">it </w:t>
      </w:r>
      <w:r w:rsidR="004B3C5F" w:rsidRPr="00D12D46">
        <w:rPr>
          <w:rFonts w:ascii="Arial" w:hAnsi="Arial" w:cs="Arial"/>
          <w:color w:val="000000"/>
          <w:sz w:val="24"/>
          <w:szCs w:val="24"/>
        </w:rPr>
        <w:t>for the variation or setting aside of the</w:t>
      </w:r>
      <w:r w:rsidR="00E00118" w:rsidRPr="00D12D46">
        <w:rPr>
          <w:rFonts w:ascii="Arial" w:hAnsi="Arial" w:cs="Arial"/>
          <w:color w:val="000000"/>
          <w:sz w:val="24"/>
          <w:szCs w:val="24"/>
        </w:rPr>
        <w:t xml:space="preserve"> impugned </w:t>
      </w:r>
      <w:r w:rsidR="004B3C5F" w:rsidRPr="00D12D46">
        <w:rPr>
          <w:rFonts w:ascii="Arial" w:hAnsi="Arial" w:cs="Arial"/>
          <w:color w:val="000000"/>
          <w:sz w:val="24"/>
          <w:szCs w:val="24"/>
        </w:rPr>
        <w:t>order.</w:t>
      </w:r>
      <w:r w:rsidR="00E00118" w:rsidRPr="00D12D46">
        <w:rPr>
          <w:rFonts w:ascii="Arial" w:hAnsi="Arial" w:cs="Arial"/>
          <w:color w:val="000000"/>
          <w:sz w:val="24"/>
          <w:szCs w:val="24"/>
        </w:rPr>
        <w:t xml:space="preserve"> </w:t>
      </w:r>
      <w:r w:rsidR="007F59B5" w:rsidRPr="00D12D46">
        <w:rPr>
          <w:rFonts w:ascii="Arial" w:hAnsi="Arial" w:cs="Arial"/>
          <w:color w:val="000000"/>
          <w:sz w:val="24"/>
          <w:szCs w:val="24"/>
        </w:rPr>
        <w:t xml:space="preserve"> </w:t>
      </w:r>
      <w:r w:rsidR="00E00118" w:rsidRPr="00D12D46">
        <w:rPr>
          <w:rFonts w:ascii="Arial" w:hAnsi="Arial" w:cs="Arial"/>
          <w:color w:val="000000"/>
          <w:sz w:val="24"/>
          <w:szCs w:val="24"/>
        </w:rPr>
        <w:t>Section 18(4)(b)</w:t>
      </w:r>
      <w:r w:rsidR="006F0E05" w:rsidRPr="00D12D46">
        <w:rPr>
          <w:rFonts w:ascii="Arial" w:hAnsi="Arial" w:cs="Arial"/>
          <w:color w:val="000000"/>
          <w:sz w:val="24"/>
          <w:szCs w:val="24"/>
        </w:rPr>
        <w:t xml:space="preserve"> of the Act</w:t>
      </w:r>
      <w:r w:rsidR="00E00118" w:rsidRPr="00D12D46">
        <w:rPr>
          <w:rFonts w:ascii="Arial" w:hAnsi="Arial" w:cs="Arial"/>
          <w:color w:val="000000"/>
          <w:sz w:val="24"/>
          <w:szCs w:val="24"/>
        </w:rPr>
        <w:t>, for its own part</w:t>
      </w:r>
      <w:r w:rsidR="00CF1EFB" w:rsidRPr="00D12D46">
        <w:rPr>
          <w:rFonts w:ascii="Arial" w:hAnsi="Arial" w:cs="Arial"/>
          <w:color w:val="000000"/>
          <w:sz w:val="24"/>
          <w:szCs w:val="24"/>
        </w:rPr>
        <w:t>,</w:t>
      </w:r>
      <w:r w:rsidR="00E00118" w:rsidRPr="00D12D46">
        <w:rPr>
          <w:rFonts w:ascii="Arial" w:hAnsi="Arial" w:cs="Arial"/>
          <w:color w:val="000000"/>
          <w:sz w:val="24"/>
          <w:szCs w:val="24"/>
        </w:rPr>
        <w:t xml:space="preserve"> expressly and peremptorily requires the said application to be made </w:t>
      </w:r>
      <w:r w:rsidR="00CF1EFB" w:rsidRPr="00D12D46">
        <w:rPr>
          <w:rFonts w:ascii="Arial" w:hAnsi="Arial" w:cs="Arial"/>
          <w:color w:val="000000"/>
          <w:sz w:val="24"/>
          <w:szCs w:val="24"/>
        </w:rPr>
        <w:t xml:space="preserve">in </w:t>
      </w:r>
      <w:r w:rsidR="00E00118" w:rsidRPr="00D12D46">
        <w:rPr>
          <w:rFonts w:ascii="Arial" w:hAnsi="Arial" w:cs="Arial"/>
          <w:color w:val="000000"/>
          <w:sz w:val="24"/>
          <w:szCs w:val="24"/>
        </w:rPr>
        <w:t xml:space="preserve">a </w:t>
      </w:r>
      <w:r w:rsidR="004B3C5F" w:rsidRPr="00D12D46">
        <w:rPr>
          <w:rFonts w:ascii="Arial" w:hAnsi="Arial" w:cs="Arial"/>
          <w:color w:val="000000"/>
          <w:sz w:val="24"/>
          <w:szCs w:val="24"/>
        </w:rPr>
        <w:t xml:space="preserve">prescribed manner within 20 days after the day on which the person became aware of the order by default or within such further period as the </w:t>
      </w:r>
      <w:r w:rsidR="007F59B5" w:rsidRPr="00D12D46">
        <w:rPr>
          <w:rFonts w:ascii="Arial" w:hAnsi="Arial" w:cs="Arial"/>
          <w:color w:val="000000"/>
          <w:sz w:val="24"/>
          <w:szCs w:val="24"/>
        </w:rPr>
        <w:t>M</w:t>
      </w:r>
      <w:r w:rsidR="004B3C5F" w:rsidRPr="00D12D46">
        <w:rPr>
          <w:rFonts w:ascii="Arial" w:hAnsi="Arial" w:cs="Arial"/>
          <w:color w:val="000000"/>
          <w:sz w:val="24"/>
          <w:szCs w:val="24"/>
        </w:rPr>
        <w:t xml:space="preserve">aintenance </w:t>
      </w:r>
      <w:r w:rsidR="007F59B5" w:rsidRPr="00D12D46">
        <w:rPr>
          <w:rFonts w:ascii="Arial" w:hAnsi="Arial" w:cs="Arial"/>
          <w:color w:val="000000"/>
          <w:sz w:val="24"/>
          <w:szCs w:val="24"/>
        </w:rPr>
        <w:t>C</w:t>
      </w:r>
      <w:r w:rsidR="004B3C5F" w:rsidRPr="00D12D46">
        <w:rPr>
          <w:rFonts w:ascii="Arial" w:hAnsi="Arial" w:cs="Arial"/>
          <w:color w:val="000000"/>
          <w:sz w:val="24"/>
          <w:szCs w:val="24"/>
        </w:rPr>
        <w:t>ourt may, on good cause shown, allow.</w:t>
      </w:r>
    </w:p>
    <w:p w:rsidR="00E00118" w:rsidRPr="00A73E1F" w:rsidRDefault="00E00118" w:rsidP="00A73E1F">
      <w:pPr>
        <w:pStyle w:val="ListParagraph"/>
        <w:spacing w:line="360" w:lineRule="auto"/>
        <w:rPr>
          <w:rFonts w:ascii="Arial" w:hAnsi="Arial" w:cs="Arial"/>
          <w:sz w:val="24"/>
          <w:szCs w:val="24"/>
        </w:rPr>
      </w:pPr>
    </w:p>
    <w:p w:rsidR="00860DDA" w:rsidRPr="00D12D46" w:rsidRDefault="00D12D46" w:rsidP="00D12D46">
      <w:pPr>
        <w:spacing w:line="360" w:lineRule="auto"/>
        <w:ind w:left="851" w:hanging="851"/>
        <w:jc w:val="both"/>
        <w:rPr>
          <w:rFonts w:ascii="Arial" w:hAnsi="Arial" w:cs="Arial"/>
          <w:sz w:val="24"/>
          <w:szCs w:val="24"/>
        </w:rPr>
      </w:pPr>
      <w:r w:rsidRPr="00A73E1F">
        <w:rPr>
          <w:rFonts w:ascii="Arial" w:hAnsi="Arial" w:cs="Arial"/>
          <w:sz w:val="24"/>
          <w:szCs w:val="24"/>
        </w:rPr>
        <w:t>9.</w:t>
      </w:r>
      <w:r w:rsidRPr="00A73E1F">
        <w:rPr>
          <w:rFonts w:ascii="Arial" w:hAnsi="Arial" w:cs="Arial"/>
          <w:sz w:val="24"/>
          <w:szCs w:val="24"/>
        </w:rPr>
        <w:tab/>
      </w:r>
      <w:r w:rsidR="004B3C5F" w:rsidRPr="00D12D46">
        <w:rPr>
          <w:rFonts w:ascii="Arial" w:hAnsi="Arial" w:cs="Arial"/>
          <w:color w:val="000000"/>
          <w:sz w:val="24"/>
          <w:szCs w:val="24"/>
        </w:rPr>
        <w:t>Any person who wishes to make an application under</w:t>
      </w:r>
      <w:r w:rsidR="00E00118" w:rsidRPr="00D12D46">
        <w:rPr>
          <w:rFonts w:ascii="Arial" w:hAnsi="Arial" w:cs="Arial"/>
          <w:color w:val="000000"/>
          <w:sz w:val="24"/>
          <w:szCs w:val="24"/>
        </w:rPr>
        <w:t xml:space="preserve"> </w:t>
      </w:r>
      <w:r w:rsidR="007F59B5" w:rsidRPr="00D12D46">
        <w:rPr>
          <w:rFonts w:ascii="Arial" w:hAnsi="Arial" w:cs="Arial"/>
          <w:color w:val="000000"/>
          <w:sz w:val="24"/>
          <w:szCs w:val="24"/>
        </w:rPr>
        <w:t>S</w:t>
      </w:r>
      <w:r w:rsidR="00E00118" w:rsidRPr="00D12D46">
        <w:rPr>
          <w:rFonts w:ascii="Arial" w:hAnsi="Arial" w:cs="Arial"/>
          <w:color w:val="000000"/>
          <w:sz w:val="24"/>
          <w:szCs w:val="24"/>
        </w:rPr>
        <w:t>ection 18(4)(a)</w:t>
      </w:r>
      <w:r w:rsidR="00676362" w:rsidRPr="00D12D46">
        <w:rPr>
          <w:rFonts w:ascii="Arial" w:hAnsi="Arial" w:cs="Arial"/>
          <w:color w:val="000000"/>
          <w:sz w:val="24"/>
          <w:szCs w:val="24"/>
        </w:rPr>
        <w:t xml:space="preserve"> of the Act</w:t>
      </w:r>
      <w:r w:rsidR="00E00118" w:rsidRPr="00D12D46">
        <w:rPr>
          <w:rFonts w:ascii="Arial" w:hAnsi="Arial" w:cs="Arial"/>
          <w:color w:val="000000"/>
          <w:sz w:val="24"/>
          <w:szCs w:val="24"/>
        </w:rPr>
        <w:t>, is required to</w:t>
      </w:r>
      <w:r w:rsidR="004B3C5F" w:rsidRPr="00D12D46">
        <w:rPr>
          <w:rFonts w:ascii="Arial" w:hAnsi="Arial" w:cs="Arial"/>
          <w:color w:val="000000"/>
          <w:sz w:val="24"/>
          <w:szCs w:val="24"/>
        </w:rPr>
        <w:t xml:space="preserve"> give notice of his or her intention to make the application to the person who lodged the complaint, which notice shall be served at least 14</w:t>
      </w:r>
      <w:r w:rsidR="007F59B5" w:rsidRPr="00D12D46">
        <w:rPr>
          <w:rFonts w:ascii="Arial" w:hAnsi="Arial" w:cs="Arial"/>
          <w:color w:val="000000"/>
          <w:sz w:val="24"/>
          <w:szCs w:val="24"/>
        </w:rPr>
        <w:t> </w:t>
      </w:r>
      <w:r w:rsidR="004B3C5F" w:rsidRPr="00D12D46">
        <w:rPr>
          <w:rFonts w:ascii="Arial" w:hAnsi="Arial" w:cs="Arial"/>
          <w:color w:val="000000"/>
          <w:sz w:val="24"/>
          <w:szCs w:val="24"/>
        </w:rPr>
        <w:t>days before the day on which the application is to be heard.</w:t>
      </w:r>
      <w:r w:rsidR="00E00118" w:rsidRPr="00A73E1F">
        <w:rPr>
          <w:rStyle w:val="FootnoteReference"/>
          <w:rFonts w:ascii="Arial" w:hAnsi="Arial" w:cs="Arial"/>
          <w:color w:val="000000"/>
          <w:sz w:val="24"/>
          <w:szCs w:val="24"/>
        </w:rPr>
        <w:footnoteReference w:id="4"/>
      </w:r>
      <w:r w:rsidR="00E00118" w:rsidRPr="00D12D46">
        <w:rPr>
          <w:rFonts w:ascii="Arial" w:hAnsi="Arial" w:cs="Arial"/>
          <w:color w:val="000000"/>
          <w:sz w:val="24"/>
          <w:szCs w:val="24"/>
        </w:rPr>
        <w:t xml:space="preserve"> </w:t>
      </w:r>
      <w:r w:rsidR="007F59B5" w:rsidRPr="00D12D46">
        <w:rPr>
          <w:rFonts w:ascii="Arial" w:hAnsi="Arial" w:cs="Arial"/>
          <w:color w:val="000000"/>
          <w:sz w:val="24"/>
          <w:szCs w:val="24"/>
        </w:rPr>
        <w:t xml:space="preserve"> The M</w:t>
      </w:r>
      <w:r w:rsidR="004B3C5F" w:rsidRPr="00D12D46">
        <w:rPr>
          <w:rFonts w:ascii="Arial" w:hAnsi="Arial" w:cs="Arial"/>
          <w:color w:val="000000"/>
          <w:sz w:val="24"/>
          <w:szCs w:val="24"/>
        </w:rPr>
        <w:t xml:space="preserve">aintenance </w:t>
      </w:r>
      <w:r w:rsidR="007F59B5" w:rsidRPr="00D12D46">
        <w:rPr>
          <w:rFonts w:ascii="Arial" w:hAnsi="Arial" w:cs="Arial"/>
          <w:color w:val="000000"/>
          <w:sz w:val="24"/>
          <w:szCs w:val="24"/>
        </w:rPr>
        <w:t>C</w:t>
      </w:r>
      <w:r w:rsidR="004B3C5F" w:rsidRPr="00D12D46">
        <w:rPr>
          <w:rFonts w:ascii="Arial" w:hAnsi="Arial" w:cs="Arial"/>
          <w:color w:val="000000"/>
          <w:sz w:val="24"/>
          <w:szCs w:val="24"/>
        </w:rPr>
        <w:t>ourt</w:t>
      </w:r>
      <w:r w:rsidR="002665FA" w:rsidRPr="00D12D46">
        <w:rPr>
          <w:rFonts w:ascii="Arial" w:hAnsi="Arial" w:cs="Arial"/>
          <w:color w:val="000000"/>
          <w:sz w:val="24"/>
          <w:szCs w:val="24"/>
        </w:rPr>
        <w:t>,</w:t>
      </w:r>
      <w:r w:rsidR="004B3C5F" w:rsidRPr="00D12D46">
        <w:rPr>
          <w:rFonts w:ascii="Arial" w:hAnsi="Arial" w:cs="Arial"/>
          <w:color w:val="000000"/>
          <w:sz w:val="24"/>
          <w:szCs w:val="24"/>
        </w:rPr>
        <w:t xml:space="preserve"> </w:t>
      </w:r>
      <w:r w:rsidR="002665FA" w:rsidRPr="00D12D46">
        <w:rPr>
          <w:rFonts w:ascii="Arial" w:hAnsi="Arial" w:cs="Arial"/>
          <w:color w:val="000000"/>
          <w:sz w:val="24"/>
          <w:szCs w:val="24"/>
        </w:rPr>
        <w:t xml:space="preserve">for its own part, is empowered to call upon </w:t>
      </w:r>
      <w:r w:rsidR="004B3C5F" w:rsidRPr="00D12D46">
        <w:rPr>
          <w:rFonts w:ascii="Arial" w:hAnsi="Arial" w:cs="Arial"/>
          <w:color w:val="000000"/>
          <w:sz w:val="24"/>
          <w:szCs w:val="24"/>
        </w:rPr>
        <w:t xml:space="preserve">the person who has made the application to adduce such evidence, either in writing or orally, in support of his or her application as </w:t>
      </w:r>
      <w:r w:rsidR="0062192F" w:rsidRPr="00D12D46">
        <w:rPr>
          <w:rFonts w:ascii="Arial" w:hAnsi="Arial" w:cs="Arial"/>
          <w:color w:val="000000"/>
          <w:sz w:val="24"/>
          <w:szCs w:val="24"/>
        </w:rPr>
        <w:t xml:space="preserve">it </w:t>
      </w:r>
      <w:r w:rsidR="002665FA" w:rsidRPr="00D12D46">
        <w:rPr>
          <w:rFonts w:ascii="Arial" w:hAnsi="Arial" w:cs="Arial"/>
          <w:color w:val="000000"/>
          <w:sz w:val="24"/>
          <w:szCs w:val="24"/>
        </w:rPr>
        <w:t xml:space="preserve">may consider necessary. </w:t>
      </w:r>
      <w:r w:rsidR="007F59B5" w:rsidRPr="00D12D46">
        <w:rPr>
          <w:rFonts w:ascii="Arial" w:hAnsi="Arial" w:cs="Arial"/>
          <w:color w:val="000000"/>
          <w:sz w:val="24"/>
          <w:szCs w:val="24"/>
        </w:rPr>
        <w:t xml:space="preserve"> </w:t>
      </w:r>
      <w:r w:rsidR="00850509" w:rsidRPr="00D12D46">
        <w:rPr>
          <w:rFonts w:ascii="Arial" w:hAnsi="Arial" w:cs="Arial"/>
          <w:color w:val="000000"/>
          <w:sz w:val="24"/>
          <w:szCs w:val="24"/>
        </w:rPr>
        <w:t>T</w:t>
      </w:r>
      <w:r w:rsidR="004B3C5F" w:rsidRPr="00D12D46">
        <w:rPr>
          <w:rFonts w:ascii="Arial" w:hAnsi="Arial" w:cs="Arial"/>
          <w:color w:val="000000"/>
          <w:sz w:val="24"/>
          <w:szCs w:val="24"/>
        </w:rPr>
        <w:t>he person</w:t>
      </w:r>
      <w:r w:rsidR="002665FA" w:rsidRPr="00D12D46">
        <w:rPr>
          <w:rFonts w:ascii="Arial" w:hAnsi="Arial" w:cs="Arial"/>
          <w:color w:val="000000"/>
          <w:sz w:val="24"/>
          <w:szCs w:val="24"/>
        </w:rPr>
        <w:t xml:space="preserve"> who has lodged the complaint may</w:t>
      </w:r>
      <w:r w:rsidR="006F0E05" w:rsidRPr="00D12D46">
        <w:rPr>
          <w:rFonts w:ascii="Arial" w:hAnsi="Arial" w:cs="Arial"/>
          <w:color w:val="000000"/>
          <w:sz w:val="24"/>
          <w:szCs w:val="24"/>
        </w:rPr>
        <w:t>,</w:t>
      </w:r>
      <w:r w:rsidR="004B3C5F" w:rsidRPr="00D12D46">
        <w:rPr>
          <w:rFonts w:ascii="Arial" w:hAnsi="Arial" w:cs="Arial"/>
          <w:color w:val="000000"/>
          <w:sz w:val="24"/>
          <w:szCs w:val="24"/>
        </w:rPr>
        <w:t xml:space="preserve"> </w:t>
      </w:r>
      <w:r w:rsidR="00850509" w:rsidRPr="00D12D46">
        <w:rPr>
          <w:rFonts w:ascii="Arial" w:hAnsi="Arial" w:cs="Arial"/>
          <w:color w:val="000000"/>
          <w:sz w:val="24"/>
          <w:szCs w:val="24"/>
        </w:rPr>
        <w:t>in turn</w:t>
      </w:r>
      <w:r w:rsidR="000940FF" w:rsidRPr="00D12D46">
        <w:rPr>
          <w:rFonts w:ascii="Arial" w:hAnsi="Arial" w:cs="Arial"/>
          <w:color w:val="000000"/>
          <w:sz w:val="24"/>
          <w:szCs w:val="24"/>
        </w:rPr>
        <w:t>,</w:t>
      </w:r>
      <w:r w:rsidR="00850509" w:rsidRPr="00D12D46">
        <w:rPr>
          <w:rFonts w:ascii="Arial" w:hAnsi="Arial" w:cs="Arial"/>
          <w:color w:val="000000"/>
          <w:sz w:val="24"/>
          <w:szCs w:val="24"/>
        </w:rPr>
        <w:t xml:space="preserve"> </w:t>
      </w:r>
      <w:r w:rsidR="004B3C5F" w:rsidRPr="00D12D46">
        <w:rPr>
          <w:rFonts w:ascii="Arial" w:hAnsi="Arial" w:cs="Arial"/>
          <w:color w:val="000000"/>
          <w:sz w:val="24"/>
          <w:szCs w:val="24"/>
        </w:rPr>
        <w:t xml:space="preserve">adduce such evidence, either in writing or orally, in rebuttal of the application as the </w:t>
      </w:r>
      <w:r w:rsidR="007F59B5" w:rsidRPr="00D12D46">
        <w:rPr>
          <w:rFonts w:ascii="Arial" w:hAnsi="Arial" w:cs="Arial"/>
          <w:color w:val="000000"/>
          <w:sz w:val="24"/>
          <w:szCs w:val="24"/>
        </w:rPr>
        <w:t>M</w:t>
      </w:r>
      <w:r w:rsidR="004B3C5F" w:rsidRPr="00D12D46">
        <w:rPr>
          <w:rFonts w:ascii="Arial" w:hAnsi="Arial" w:cs="Arial"/>
          <w:color w:val="000000"/>
          <w:sz w:val="24"/>
          <w:szCs w:val="24"/>
        </w:rPr>
        <w:t xml:space="preserve">aintenance </w:t>
      </w:r>
      <w:r w:rsidR="007F59B5" w:rsidRPr="00D12D46">
        <w:rPr>
          <w:rFonts w:ascii="Arial" w:hAnsi="Arial" w:cs="Arial"/>
          <w:color w:val="000000"/>
          <w:sz w:val="24"/>
          <w:szCs w:val="24"/>
        </w:rPr>
        <w:t>C</w:t>
      </w:r>
      <w:r w:rsidR="004B3C5F" w:rsidRPr="00D12D46">
        <w:rPr>
          <w:rFonts w:ascii="Arial" w:hAnsi="Arial" w:cs="Arial"/>
          <w:color w:val="000000"/>
          <w:sz w:val="24"/>
          <w:szCs w:val="24"/>
        </w:rPr>
        <w:t>ourt may consider necessary.</w:t>
      </w:r>
    </w:p>
    <w:p w:rsidR="00860DDA" w:rsidRPr="00A73E1F" w:rsidRDefault="00860DDA" w:rsidP="00A73E1F">
      <w:pPr>
        <w:pStyle w:val="ListParagraph"/>
        <w:spacing w:line="360" w:lineRule="auto"/>
        <w:rPr>
          <w:rFonts w:ascii="Arial" w:hAnsi="Arial" w:cs="Arial"/>
          <w:color w:val="000000"/>
          <w:sz w:val="24"/>
          <w:szCs w:val="24"/>
        </w:rPr>
      </w:pPr>
    </w:p>
    <w:p w:rsidR="00024CBB" w:rsidRPr="00D12D46" w:rsidRDefault="00D12D46" w:rsidP="00D12D46">
      <w:pPr>
        <w:spacing w:line="360" w:lineRule="auto"/>
        <w:ind w:left="851" w:hanging="851"/>
        <w:jc w:val="both"/>
        <w:rPr>
          <w:rFonts w:ascii="Arial" w:hAnsi="Arial" w:cs="Arial"/>
          <w:sz w:val="24"/>
          <w:szCs w:val="24"/>
        </w:rPr>
      </w:pPr>
      <w:r w:rsidRPr="00A73E1F">
        <w:rPr>
          <w:rFonts w:ascii="Arial" w:hAnsi="Arial" w:cs="Arial"/>
          <w:sz w:val="24"/>
          <w:szCs w:val="24"/>
        </w:rPr>
        <w:t>10.</w:t>
      </w:r>
      <w:r w:rsidRPr="00A73E1F">
        <w:rPr>
          <w:rFonts w:ascii="Arial" w:hAnsi="Arial" w:cs="Arial"/>
          <w:sz w:val="24"/>
          <w:szCs w:val="24"/>
        </w:rPr>
        <w:tab/>
      </w:r>
      <w:r w:rsidR="00024CBB" w:rsidRPr="00D12D46">
        <w:rPr>
          <w:rFonts w:ascii="Arial" w:hAnsi="Arial" w:cs="Arial"/>
          <w:sz w:val="24"/>
          <w:szCs w:val="24"/>
        </w:rPr>
        <w:t xml:space="preserve">Of significance is that </w:t>
      </w:r>
      <w:r w:rsidR="007F59B5" w:rsidRPr="00D12D46">
        <w:rPr>
          <w:rFonts w:ascii="Arial" w:hAnsi="Arial" w:cs="Arial"/>
          <w:sz w:val="24"/>
          <w:szCs w:val="24"/>
        </w:rPr>
        <w:t>S</w:t>
      </w:r>
      <w:r w:rsidR="00024CBB" w:rsidRPr="00D12D46">
        <w:rPr>
          <w:rFonts w:ascii="Arial" w:hAnsi="Arial" w:cs="Arial"/>
          <w:sz w:val="24"/>
          <w:szCs w:val="24"/>
        </w:rPr>
        <w:t>ection 18(6) of the Act contemporaneously permits any</w:t>
      </w:r>
      <w:r w:rsidR="00024CBB" w:rsidRPr="00D12D46">
        <w:rPr>
          <w:rFonts w:ascii="Arial" w:hAnsi="Arial" w:cs="Arial"/>
          <w:color w:val="000000"/>
          <w:sz w:val="24"/>
          <w:szCs w:val="24"/>
        </w:rPr>
        <w:t xml:space="preserve"> person in whose favour an order by default has been made to consent in writing to the variation or setting aside of such an order. </w:t>
      </w:r>
      <w:r w:rsidR="007F59B5" w:rsidRPr="00D12D46">
        <w:rPr>
          <w:rFonts w:ascii="Arial" w:hAnsi="Arial" w:cs="Arial"/>
          <w:color w:val="000000"/>
          <w:sz w:val="24"/>
          <w:szCs w:val="24"/>
        </w:rPr>
        <w:t xml:space="preserve"> </w:t>
      </w:r>
      <w:r w:rsidR="00024CBB" w:rsidRPr="00D12D46">
        <w:rPr>
          <w:rFonts w:ascii="Arial" w:hAnsi="Arial" w:cs="Arial"/>
          <w:color w:val="000000"/>
          <w:sz w:val="24"/>
          <w:szCs w:val="24"/>
        </w:rPr>
        <w:t xml:space="preserve">The consent in writing </w:t>
      </w:r>
      <w:r w:rsidR="00024CBB" w:rsidRPr="00D12D46">
        <w:rPr>
          <w:rFonts w:ascii="Arial" w:hAnsi="Arial" w:cs="Arial"/>
          <w:color w:val="000000"/>
          <w:sz w:val="24"/>
          <w:szCs w:val="24"/>
        </w:rPr>
        <w:lastRenderedPageBreak/>
        <w:t>shall be handed in at the hearing of the application for the variation or setting aside of the order by default.</w:t>
      </w:r>
    </w:p>
    <w:p w:rsidR="00024CBB" w:rsidRPr="00A73E1F" w:rsidRDefault="00024CBB" w:rsidP="00A73E1F">
      <w:pPr>
        <w:pStyle w:val="ListParagraph"/>
        <w:spacing w:line="360" w:lineRule="auto"/>
        <w:rPr>
          <w:rFonts w:ascii="Arial" w:hAnsi="Arial" w:cs="Arial"/>
          <w:color w:val="000000"/>
          <w:sz w:val="24"/>
          <w:szCs w:val="24"/>
        </w:rPr>
      </w:pPr>
    </w:p>
    <w:p w:rsidR="008370C0" w:rsidRPr="00D12D46" w:rsidRDefault="00D12D46" w:rsidP="00D12D46">
      <w:pPr>
        <w:spacing w:line="360" w:lineRule="auto"/>
        <w:ind w:left="851" w:hanging="851"/>
        <w:jc w:val="both"/>
        <w:rPr>
          <w:rFonts w:ascii="Arial" w:hAnsi="Arial" w:cs="Arial"/>
          <w:sz w:val="24"/>
          <w:szCs w:val="24"/>
        </w:rPr>
      </w:pPr>
      <w:r w:rsidRPr="00A73E1F">
        <w:rPr>
          <w:rFonts w:ascii="Arial" w:hAnsi="Arial" w:cs="Arial"/>
          <w:sz w:val="24"/>
          <w:szCs w:val="24"/>
        </w:rPr>
        <w:t>11.</w:t>
      </w:r>
      <w:r w:rsidRPr="00A73E1F">
        <w:rPr>
          <w:rFonts w:ascii="Arial" w:hAnsi="Arial" w:cs="Arial"/>
          <w:sz w:val="24"/>
          <w:szCs w:val="24"/>
        </w:rPr>
        <w:tab/>
      </w:r>
      <w:r w:rsidR="002665FA" w:rsidRPr="00D12D46">
        <w:rPr>
          <w:rFonts w:ascii="Arial" w:hAnsi="Arial" w:cs="Arial"/>
          <w:color w:val="000000"/>
          <w:sz w:val="24"/>
          <w:szCs w:val="24"/>
        </w:rPr>
        <w:t xml:space="preserve">It is </w:t>
      </w:r>
      <w:r w:rsidR="00024CBB" w:rsidRPr="00D12D46">
        <w:rPr>
          <w:rFonts w:ascii="Arial" w:hAnsi="Arial" w:cs="Arial"/>
          <w:color w:val="000000"/>
          <w:sz w:val="24"/>
          <w:szCs w:val="24"/>
        </w:rPr>
        <w:t xml:space="preserve">thus </w:t>
      </w:r>
      <w:r w:rsidR="002665FA" w:rsidRPr="00D12D46">
        <w:rPr>
          <w:rFonts w:ascii="Arial" w:hAnsi="Arial" w:cs="Arial"/>
          <w:color w:val="000000"/>
          <w:sz w:val="24"/>
          <w:szCs w:val="24"/>
        </w:rPr>
        <w:t>only after</w:t>
      </w:r>
      <w:r w:rsidR="004B3C5F" w:rsidRPr="00D12D46">
        <w:rPr>
          <w:rFonts w:ascii="Arial" w:hAnsi="Arial" w:cs="Arial"/>
          <w:color w:val="000000"/>
          <w:sz w:val="24"/>
          <w:szCs w:val="24"/>
        </w:rPr>
        <w:t xml:space="preserve"> consideration of the evidence,</w:t>
      </w:r>
      <w:r w:rsidR="002665FA" w:rsidRPr="00D12D46">
        <w:rPr>
          <w:rFonts w:ascii="Arial" w:hAnsi="Arial" w:cs="Arial"/>
          <w:color w:val="000000"/>
          <w:sz w:val="24"/>
          <w:szCs w:val="24"/>
        </w:rPr>
        <w:t xml:space="preserve"> that the </w:t>
      </w:r>
      <w:r w:rsidR="008649B3" w:rsidRPr="00D12D46">
        <w:rPr>
          <w:rFonts w:ascii="Arial" w:hAnsi="Arial" w:cs="Arial"/>
          <w:color w:val="000000"/>
          <w:sz w:val="24"/>
          <w:szCs w:val="24"/>
        </w:rPr>
        <w:t>M</w:t>
      </w:r>
      <w:r w:rsidR="002665FA" w:rsidRPr="00D12D46">
        <w:rPr>
          <w:rFonts w:ascii="Arial" w:hAnsi="Arial" w:cs="Arial"/>
          <w:color w:val="000000"/>
          <w:sz w:val="24"/>
          <w:szCs w:val="24"/>
        </w:rPr>
        <w:t xml:space="preserve">aintenance </w:t>
      </w:r>
      <w:r w:rsidR="008649B3" w:rsidRPr="00D12D46">
        <w:rPr>
          <w:rFonts w:ascii="Arial" w:hAnsi="Arial" w:cs="Arial"/>
          <w:color w:val="000000"/>
          <w:sz w:val="24"/>
          <w:szCs w:val="24"/>
        </w:rPr>
        <w:t>C</w:t>
      </w:r>
      <w:r w:rsidR="002665FA" w:rsidRPr="00D12D46">
        <w:rPr>
          <w:rFonts w:ascii="Arial" w:hAnsi="Arial" w:cs="Arial"/>
          <w:color w:val="000000"/>
          <w:sz w:val="24"/>
          <w:szCs w:val="24"/>
        </w:rPr>
        <w:t xml:space="preserve">ourt may </w:t>
      </w:r>
      <w:r w:rsidR="004B3C5F" w:rsidRPr="00D12D46">
        <w:rPr>
          <w:rFonts w:ascii="Arial" w:hAnsi="Arial" w:cs="Arial"/>
          <w:color w:val="000000"/>
          <w:sz w:val="24"/>
          <w:szCs w:val="24"/>
        </w:rPr>
        <w:t>make an order confirming the order by default referred to in</w:t>
      </w:r>
      <w:r w:rsidR="002665FA" w:rsidRPr="00D12D46">
        <w:rPr>
          <w:rFonts w:ascii="Arial" w:hAnsi="Arial" w:cs="Arial"/>
          <w:color w:val="000000"/>
          <w:sz w:val="24"/>
          <w:szCs w:val="24"/>
        </w:rPr>
        <w:t xml:space="preserve"> </w:t>
      </w:r>
      <w:r w:rsidR="008649B3" w:rsidRPr="00D12D46">
        <w:rPr>
          <w:rFonts w:ascii="Arial" w:hAnsi="Arial" w:cs="Arial"/>
          <w:color w:val="000000"/>
          <w:sz w:val="24"/>
          <w:szCs w:val="24"/>
        </w:rPr>
        <w:t>S</w:t>
      </w:r>
      <w:r w:rsidR="002665FA" w:rsidRPr="00D12D46">
        <w:rPr>
          <w:rFonts w:ascii="Arial" w:hAnsi="Arial" w:cs="Arial"/>
          <w:color w:val="000000"/>
          <w:sz w:val="24"/>
          <w:szCs w:val="24"/>
        </w:rPr>
        <w:t>ection 18(2)(a)</w:t>
      </w:r>
      <w:r w:rsidR="00676362" w:rsidRPr="00D12D46">
        <w:rPr>
          <w:rFonts w:ascii="Arial" w:hAnsi="Arial" w:cs="Arial"/>
          <w:color w:val="000000"/>
          <w:sz w:val="24"/>
          <w:szCs w:val="24"/>
        </w:rPr>
        <w:t xml:space="preserve"> of the Act</w:t>
      </w:r>
      <w:r w:rsidR="004B3C5F" w:rsidRPr="00D12D46">
        <w:rPr>
          <w:rFonts w:ascii="Arial" w:hAnsi="Arial" w:cs="Arial"/>
          <w:color w:val="000000"/>
          <w:sz w:val="24"/>
          <w:szCs w:val="24"/>
        </w:rPr>
        <w:t>;</w:t>
      </w:r>
      <w:r w:rsidR="002665FA" w:rsidRPr="00D12D46">
        <w:rPr>
          <w:rFonts w:ascii="Arial" w:hAnsi="Arial" w:cs="Arial"/>
          <w:color w:val="000000"/>
          <w:sz w:val="24"/>
          <w:szCs w:val="24"/>
        </w:rPr>
        <w:t xml:space="preserve"> or vary </w:t>
      </w:r>
      <w:r w:rsidR="006F0E05" w:rsidRPr="00D12D46">
        <w:rPr>
          <w:rFonts w:ascii="Arial" w:hAnsi="Arial" w:cs="Arial"/>
          <w:color w:val="000000"/>
          <w:sz w:val="24"/>
          <w:szCs w:val="24"/>
        </w:rPr>
        <w:t>same</w:t>
      </w:r>
      <w:r w:rsidR="004B3C5F" w:rsidRPr="00D12D46">
        <w:rPr>
          <w:rFonts w:ascii="Arial" w:hAnsi="Arial" w:cs="Arial"/>
          <w:color w:val="000000"/>
          <w:sz w:val="24"/>
          <w:szCs w:val="24"/>
        </w:rPr>
        <w:t xml:space="preserve">, if it appears to </w:t>
      </w:r>
      <w:r w:rsidR="006F0E05" w:rsidRPr="00D12D46">
        <w:rPr>
          <w:rFonts w:ascii="Arial" w:hAnsi="Arial" w:cs="Arial"/>
          <w:color w:val="000000"/>
          <w:sz w:val="24"/>
          <w:szCs w:val="24"/>
        </w:rPr>
        <w:t xml:space="preserve">it </w:t>
      </w:r>
      <w:r w:rsidR="004B3C5F" w:rsidRPr="00D12D46">
        <w:rPr>
          <w:rFonts w:ascii="Arial" w:hAnsi="Arial" w:cs="Arial"/>
          <w:color w:val="000000"/>
          <w:sz w:val="24"/>
          <w:szCs w:val="24"/>
        </w:rPr>
        <w:t>that good cause exis</w:t>
      </w:r>
      <w:r w:rsidR="002665FA" w:rsidRPr="00D12D46">
        <w:rPr>
          <w:rFonts w:ascii="Arial" w:hAnsi="Arial" w:cs="Arial"/>
          <w:color w:val="000000"/>
          <w:sz w:val="24"/>
          <w:szCs w:val="24"/>
        </w:rPr>
        <w:t xml:space="preserve">ts for such variation; or </w:t>
      </w:r>
      <w:r w:rsidR="006F0E05" w:rsidRPr="00D12D46">
        <w:rPr>
          <w:rFonts w:ascii="Arial" w:hAnsi="Arial" w:cs="Arial"/>
          <w:color w:val="000000"/>
          <w:sz w:val="24"/>
          <w:szCs w:val="24"/>
        </w:rPr>
        <w:t>set aside same</w:t>
      </w:r>
      <w:r w:rsidR="004B3C5F" w:rsidRPr="00D12D46">
        <w:rPr>
          <w:rFonts w:ascii="Arial" w:hAnsi="Arial" w:cs="Arial"/>
          <w:color w:val="000000"/>
          <w:sz w:val="24"/>
          <w:szCs w:val="24"/>
        </w:rPr>
        <w:t xml:space="preserve">, if it appears to </w:t>
      </w:r>
      <w:r w:rsidR="006F0E05" w:rsidRPr="00D12D46">
        <w:rPr>
          <w:rFonts w:ascii="Arial" w:hAnsi="Arial" w:cs="Arial"/>
          <w:color w:val="000000"/>
          <w:sz w:val="24"/>
          <w:szCs w:val="24"/>
        </w:rPr>
        <w:t xml:space="preserve">it </w:t>
      </w:r>
      <w:r w:rsidR="004B3C5F" w:rsidRPr="00D12D46">
        <w:rPr>
          <w:rFonts w:ascii="Arial" w:hAnsi="Arial" w:cs="Arial"/>
          <w:color w:val="000000"/>
          <w:sz w:val="24"/>
          <w:szCs w:val="24"/>
        </w:rPr>
        <w:t>that good cause exists for such setting aside, and convert the proceedings into a maintenance enquiry.</w:t>
      </w:r>
      <w:r w:rsidR="002C0486" w:rsidRPr="00A73E1F">
        <w:rPr>
          <w:rStyle w:val="FootnoteReference"/>
          <w:rFonts w:ascii="Arial" w:hAnsi="Arial" w:cs="Arial"/>
          <w:color w:val="000000"/>
          <w:sz w:val="24"/>
          <w:szCs w:val="24"/>
        </w:rPr>
        <w:footnoteReference w:id="5"/>
      </w:r>
    </w:p>
    <w:p w:rsidR="008A31F6" w:rsidRPr="00A73E1F" w:rsidRDefault="008A31F6" w:rsidP="00A73E1F">
      <w:pPr>
        <w:pStyle w:val="ListParagraph"/>
        <w:spacing w:line="360" w:lineRule="auto"/>
        <w:rPr>
          <w:rFonts w:ascii="Arial" w:hAnsi="Arial" w:cs="Arial"/>
          <w:sz w:val="24"/>
          <w:szCs w:val="24"/>
        </w:rPr>
      </w:pPr>
    </w:p>
    <w:p w:rsidR="008A31F6" w:rsidRPr="00D12D46" w:rsidRDefault="00D12D46" w:rsidP="00D12D46">
      <w:pPr>
        <w:spacing w:line="360" w:lineRule="auto"/>
        <w:ind w:left="851" w:hanging="851"/>
        <w:jc w:val="both"/>
        <w:rPr>
          <w:rFonts w:ascii="Arial" w:hAnsi="Arial" w:cs="Arial"/>
          <w:sz w:val="24"/>
          <w:szCs w:val="24"/>
        </w:rPr>
      </w:pPr>
      <w:r w:rsidRPr="00A73E1F">
        <w:rPr>
          <w:rFonts w:ascii="Arial" w:hAnsi="Arial" w:cs="Arial"/>
          <w:sz w:val="24"/>
          <w:szCs w:val="24"/>
        </w:rPr>
        <w:t>12.</w:t>
      </w:r>
      <w:r w:rsidRPr="00A73E1F">
        <w:rPr>
          <w:rFonts w:ascii="Arial" w:hAnsi="Arial" w:cs="Arial"/>
          <w:sz w:val="24"/>
          <w:szCs w:val="24"/>
        </w:rPr>
        <w:tab/>
      </w:r>
      <w:r w:rsidR="008A31F6" w:rsidRPr="00D12D46">
        <w:rPr>
          <w:rFonts w:ascii="Arial" w:hAnsi="Arial" w:cs="Arial"/>
          <w:sz w:val="24"/>
          <w:szCs w:val="24"/>
        </w:rPr>
        <w:t xml:space="preserve">Whilst it is conceded that rules, like maxims, are not all-embracing but admit </w:t>
      </w:r>
      <w:r w:rsidR="008649B3" w:rsidRPr="00D12D46">
        <w:rPr>
          <w:rFonts w:ascii="Arial" w:hAnsi="Arial" w:cs="Arial"/>
          <w:sz w:val="24"/>
          <w:szCs w:val="24"/>
        </w:rPr>
        <w:t>of modifications and exceptions, a</w:t>
      </w:r>
      <w:r w:rsidR="008A31F6" w:rsidRPr="00D12D46">
        <w:rPr>
          <w:rFonts w:ascii="Arial" w:hAnsi="Arial" w:cs="Arial"/>
          <w:sz w:val="24"/>
          <w:szCs w:val="24"/>
        </w:rPr>
        <w:t xml:space="preserve">nd whilst there are several cases where, although a statute created a new duty or obligation and provided a particular remedy, such remedy would be considered by our Courts to be merely cumulative. </w:t>
      </w:r>
      <w:r w:rsidR="008649B3" w:rsidRPr="00D12D46">
        <w:rPr>
          <w:rFonts w:ascii="Arial" w:hAnsi="Arial" w:cs="Arial"/>
          <w:sz w:val="24"/>
          <w:szCs w:val="24"/>
        </w:rPr>
        <w:t xml:space="preserve"> </w:t>
      </w:r>
      <w:r w:rsidR="008A31F6" w:rsidRPr="00D12D46">
        <w:rPr>
          <w:rFonts w:ascii="Arial" w:hAnsi="Arial" w:cs="Arial"/>
          <w:sz w:val="24"/>
          <w:szCs w:val="24"/>
        </w:rPr>
        <w:t xml:space="preserve">It is so, that whether on the creation of a new statutory duty, the new remedy likewise created by statutes is to be regarded as sole and exclusive or cumulative, depends upon the scope and meaning of the particular statute. It is a question of the intention of the Legislature. </w:t>
      </w:r>
    </w:p>
    <w:p w:rsidR="008A31F6" w:rsidRPr="00A73E1F" w:rsidRDefault="008A31F6" w:rsidP="00A73E1F">
      <w:pPr>
        <w:pStyle w:val="ListParagraph"/>
        <w:spacing w:line="360" w:lineRule="auto"/>
        <w:ind w:left="851"/>
        <w:jc w:val="both"/>
        <w:rPr>
          <w:rFonts w:ascii="Arial" w:hAnsi="Arial" w:cs="Arial"/>
          <w:sz w:val="24"/>
          <w:szCs w:val="24"/>
        </w:rPr>
      </w:pPr>
    </w:p>
    <w:p w:rsidR="008A31F6" w:rsidRPr="00D12D46" w:rsidRDefault="00D12D46" w:rsidP="00D12D46">
      <w:pPr>
        <w:spacing w:line="360" w:lineRule="auto"/>
        <w:ind w:left="851" w:hanging="851"/>
        <w:jc w:val="both"/>
        <w:rPr>
          <w:rFonts w:ascii="Arial" w:hAnsi="Arial" w:cs="Arial"/>
          <w:sz w:val="24"/>
          <w:szCs w:val="24"/>
        </w:rPr>
      </w:pPr>
      <w:r>
        <w:rPr>
          <w:rFonts w:ascii="Arial" w:hAnsi="Arial" w:cs="Arial"/>
          <w:sz w:val="24"/>
          <w:szCs w:val="24"/>
        </w:rPr>
        <w:t>13.</w:t>
      </w:r>
      <w:r>
        <w:rPr>
          <w:rFonts w:ascii="Arial" w:hAnsi="Arial" w:cs="Arial"/>
          <w:sz w:val="24"/>
          <w:szCs w:val="24"/>
        </w:rPr>
        <w:tab/>
      </w:r>
      <w:r w:rsidR="008A31F6" w:rsidRPr="00D12D46">
        <w:rPr>
          <w:rFonts w:ascii="Arial" w:hAnsi="Arial" w:cs="Arial"/>
          <w:sz w:val="24"/>
          <w:szCs w:val="24"/>
        </w:rPr>
        <w:t>In</w:t>
      </w:r>
      <w:r w:rsidR="008A31F6" w:rsidRPr="00D12D46">
        <w:rPr>
          <w:rFonts w:ascii="Arial" w:hAnsi="Arial" w:cs="Arial"/>
          <w:b/>
          <w:i/>
          <w:sz w:val="24"/>
          <w:szCs w:val="24"/>
        </w:rPr>
        <w:t xml:space="preserve"> South African Maritime Safety Authority v McKenzie</w:t>
      </w:r>
      <w:r w:rsidR="008A31F6" w:rsidRPr="00D12D46">
        <w:rPr>
          <w:rFonts w:ascii="Arial" w:hAnsi="Arial" w:cs="Arial"/>
          <w:sz w:val="24"/>
          <w:szCs w:val="24"/>
        </w:rPr>
        <w:t> 2010 (3) SA 601 (SCA), thus:</w:t>
      </w:r>
    </w:p>
    <w:p w:rsidR="008649B3" w:rsidRPr="008649B3" w:rsidRDefault="008649B3" w:rsidP="008649B3">
      <w:pPr>
        <w:pStyle w:val="ListParagraph"/>
        <w:rPr>
          <w:rFonts w:ascii="Arial" w:hAnsi="Arial" w:cs="Arial"/>
          <w:sz w:val="24"/>
          <w:szCs w:val="24"/>
        </w:rPr>
      </w:pPr>
    </w:p>
    <w:p w:rsidR="008A31F6" w:rsidRDefault="008A31F6" w:rsidP="008649B3">
      <w:pPr>
        <w:pStyle w:val="ListParagraph"/>
        <w:spacing w:line="360" w:lineRule="auto"/>
        <w:ind w:left="851"/>
        <w:jc w:val="both"/>
        <w:rPr>
          <w:i/>
          <w:sz w:val="24"/>
          <w:szCs w:val="24"/>
        </w:rPr>
      </w:pPr>
      <w:r w:rsidRPr="008649B3">
        <w:rPr>
          <w:i/>
          <w:sz w:val="24"/>
          <w:szCs w:val="24"/>
        </w:rPr>
        <w:t>“[16] Where a statute creates both a right and a means for enforcing that right the position is that:</w:t>
      </w:r>
    </w:p>
    <w:p w:rsidR="008649B3" w:rsidRPr="008649B3" w:rsidRDefault="008649B3" w:rsidP="008649B3">
      <w:pPr>
        <w:pStyle w:val="ListParagraph"/>
        <w:spacing w:line="360" w:lineRule="auto"/>
        <w:ind w:left="851"/>
        <w:jc w:val="both"/>
        <w:rPr>
          <w:i/>
          <w:sz w:val="24"/>
          <w:szCs w:val="24"/>
        </w:rPr>
      </w:pPr>
    </w:p>
    <w:p w:rsidR="008A31F6" w:rsidRDefault="008A31F6" w:rsidP="008649B3">
      <w:pPr>
        <w:pStyle w:val="ListParagraph"/>
        <w:spacing w:line="360" w:lineRule="auto"/>
        <w:ind w:left="851"/>
        <w:jc w:val="both"/>
        <w:rPr>
          <w:i/>
          <w:sz w:val="24"/>
          <w:szCs w:val="24"/>
        </w:rPr>
      </w:pPr>
      <w:r w:rsidRPr="008649B3">
        <w:rPr>
          <w:b/>
          <w:i/>
          <w:sz w:val="24"/>
          <w:szCs w:val="24"/>
        </w:rPr>
        <w:t>‘We must look at the provisions of the Act in question, its scope and its object, and see whether it was intended when laying down a special remedy that that special remedy should exclude ordinary remedies. I</w:t>
      </w:r>
      <w:r w:rsidRPr="008649B3">
        <w:rPr>
          <w:i/>
          <w:sz w:val="24"/>
          <w:szCs w:val="24"/>
        </w:rPr>
        <w:t>n other words, we have no right to assume, merely from the fact that a special remedy is laid down in a statute as a remedy for a</w:t>
      </w:r>
      <w:r w:rsidRPr="008649B3">
        <w:rPr>
          <w:sz w:val="24"/>
          <w:szCs w:val="24"/>
        </w:rPr>
        <w:t xml:space="preserve"> </w:t>
      </w:r>
      <w:r w:rsidRPr="008649B3">
        <w:rPr>
          <w:i/>
          <w:sz w:val="24"/>
          <w:szCs w:val="24"/>
        </w:rPr>
        <w:t>breach of a right given under statute, that other remedies are necessarily excluded.’</w:t>
      </w:r>
    </w:p>
    <w:p w:rsidR="008649B3" w:rsidRPr="008649B3" w:rsidRDefault="008649B3" w:rsidP="008649B3">
      <w:pPr>
        <w:pStyle w:val="ListParagraph"/>
        <w:spacing w:line="360" w:lineRule="auto"/>
        <w:ind w:left="851"/>
        <w:jc w:val="both"/>
        <w:rPr>
          <w:i/>
          <w:sz w:val="24"/>
          <w:szCs w:val="24"/>
        </w:rPr>
      </w:pPr>
    </w:p>
    <w:p w:rsidR="008A31F6" w:rsidRPr="00A73E1F" w:rsidRDefault="008A31F6" w:rsidP="008649B3">
      <w:pPr>
        <w:pStyle w:val="ListParagraph"/>
        <w:spacing w:line="360" w:lineRule="auto"/>
        <w:ind w:left="851"/>
        <w:jc w:val="both"/>
        <w:rPr>
          <w:rFonts w:ascii="Arial" w:hAnsi="Arial" w:cs="Arial"/>
          <w:i/>
          <w:sz w:val="24"/>
          <w:szCs w:val="24"/>
        </w:rPr>
      </w:pPr>
      <w:r w:rsidRPr="008649B3">
        <w:rPr>
          <w:b/>
          <w:i/>
          <w:sz w:val="24"/>
          <w:szCs w:val="24"/>
        </w:rPr>
        <w:lastRenderedPageBreak/>
        <w:t>If on a proper interpretation of the statute in question the legislature has confined a person harmed by a breach of the right conferred therein to the statutory remedy, then resort to other means of enforcement is excluded.</w:t>
      </w:r>
      <w:r w:rsidRPr="008649B3">
        <w:rPr>
          <w:i/>
          <w:sz w:val="24"/>
          <w:szCs w:val="24"/>
        </w:rPr>
        <w:t>  Accordingly, both the scope of the right itself and the means of enforcing that right are determined by the intention of the legislature as ascertained on a proper interpretation of the legislation.”</w:t>
      </w:r>
      <w:r w:rsidRPr="008649B3">
        <w:rPr>
          <w:rStyle w:val="FootnoteReference"/>
          <w:rFonts w:ascii="Arial" w:hAnsi="Arial" w:cs="Arial"/>
          <w:sz w:val="24"/>
          <w:szCs w:val="24"/>
        </w:rPr>
        <w:footnoteReference w:id="6"/>
      </w:r>
      <w:r w:rsidRPr="008649B3">
        <w:rPr>
          <w:rFonts w:ascii="Arial" w:hAnsi="Arial" w:cs="Arial"/>
          <w:sz w:val="24"/>
          <w:szCs w:val="24"/>
        </w:rPr>
        <w:t xml:space="preserve"> </w:t>
      </w:r>
    </w:p>
    <w:p w:rsidR="008A31F6" w:rsidRPr="00A73E1F" w:rsidRDefault="008A31F6" w:rsidP="00A73E1F">
      <w:pPr>
        <w:spacing w:line="360" w:lineRule="auto"/>
        <w:contextualSpacing/>
        <w:jc w:val="both"/>
        <w:rPr>
          <w:rFonts w:ascii="Arial" w:hAnsi="Arial" w:cs="Arial"/>
          <w:sz w:val="24"/>
          <w:szCs w:val="24"/>
        </w:rPr>
      </w:pPr>
    </w:p>
    <w:p w:rsidR="008649B3" w:rsidRPr="00D12D46" w:rsidRDefault="00D12D46" w:rsidP="00D12D46">
      <w:pPr>
        <w:spacing w:line="360" w:lineRule="auto"/>
        <w:ind w:left="720" w:hanging="720"/>
        <w:jc w:val="both"/>
        <w:rPr>
          <w:rFonts w:ascii="Arial" w:hAnsi="Arial" w:cs="Arial"/>
          <w:bCs/>
          <w:i/>
          <w:sz w:val="24"/>
          <w:szCs w:val="24"/>
          <w:shd w:val="clear" w:color="auto" w:fill="FFFFFF"/>
        </w:rPr>
      </w:pPr>
      <w:r w:rsidRPr="008649B3">
        <w:rPr>
          <w:rFonts w:ascii="Arial" w:hAnsi="Arial" w:cs="Arial"/>
          <w:bCs/>
          <w:sz w:val="24"/>
          <w:szCs w:val="24"/>
        </w:rPr>
        <w:t>14.</w:t>
      </w:r>
      <w:r w:rsidRPr="008649B3">
        <w:rPr>
          <w:rFonts w:ascii="Arial" w:hAnsi="Arial" w:cs="Arial"/>
          <w:bCs/>
          <w:sz w:val="24"/>
          <w:szCs w:val="24"/>
        </w:rPr>
        <w:tab/>
      </w:r>
      <w:r w:rsidR="008A31F6" w:rsidRPr="00D12D46">
        <w:rPr>
          <w:rFonts w:ascii="Arial" w:hAnsi="Arial" w:cs="Arial"/>
          <w:bCs/>
          <w:sz w:val="24"/>
          <w:szCs w:val="24"/>
          <w:shd w:val="clear" w:color="auto" w:fill="FFFFFF"/>
        </w:rPr>
        <w:t>In</w:t>
      </w:r>
      <w:r w:rsidR="008A31F6" w:rsidRPr="00D12D46">
        <w:rPr>
          <w:rFonts w:ascii="Arial" w:hAnsi="Arial" w:cs="Arial"/>
          <w:b/>
          <w:bCs/>
          <w:sz w:val="24"/>
          <w:szCs w:val="24"/>
          <w:shd w:val="clear" w:color="auto" w:fill="FFFFFF"/>
        </w:rPr>
        <w:t xml:space="preserve"> </w:t>
      </w:r>
      <w:r w:rsidR="008A31F6" w:rsidRPr="00D12D46">
        <w:rPr>
          <w:rFonts w:ascii="Arial" w:hAnsi="Arial" w:cs="Arial"/>
          <w:b/>
          <w:bCs/>
          <w:i/>
          <w:sz w:val="24"/>
          <w:szCs w:val="24"/>
          <w:shd w:val="clear" w:color="auto" w:fill="FFFFFF"/>
        </w:rPr>
        <w:t xml:space="preserve">National Industrial Council of the Leather Industry of SA v </w:t>
      </w:r>
      <w:proofErr w:type="spellStart"/>
      <w:r w:rsidR="008A31F6" w:rsidRPr="00D12D46">
        <w:rPr>
          <w:rFonts w:ascii="Arial" w:hAnsi="Arial" w:cs="Arial"/>
          <w:b/>
          <w:bCs/>
          <w:i/>
          <w:sz w:val="24"/>
          <w:szCs w:val="24"/>
          <w:shd w:val="clear" w:color="auto" w:fill="FFFFFF"/>
        </w:rPr>
        <w:t>Parshotam</w:t>
      </w:r>
      <w:proofErr w:type="spellEnd"/>
      <w:r w:rsidR="008A31F6" w:rsidRPr="00D12D46">
        <w:rPr>
          <w:rFonts w:ascii="Arial" w:hAnsi="Arial" w:cs="Arial"/>
          <w:b/>
          <w:bCs/>
          <w:i/>
          <w:sz w:val="24"/>
          <w:szCs w:val="24"/>
          <w:shd w:val="clear" w:color="auto" w:fill="FFFFFF"/>
        </w:rPr>
        <w:t xml:space="preserve"> &amp; Sons (P</w:t>
      </w:r>
      <w:r w:rsidR="008649B3" w:rsidRPr="00D12D46">
        <w:rPr>
          <w:rFonts w:ascii="Arial" w:hAnsi="Arial" w:cs="Arial"/>
          <w:b/>
          <w:bCs/>
          <w:i/>
          <w:sz w:val="24"/>
          <w:szCs w:val="24"/>
          <w:shd w:val="clear" w:color="auto" w:fill="FFFFFF"/>
        </w:rPr>
        <w:t>ty</w:t>
      </w:r>
      <w:r w:rsidR="008A31F6" w:rsidRPr="00D12D46">
        <w:rPr>
          <w:rFonts w:ascii="Arial" w:hAnsi="Arial" w:cs="Arial"/>
          <w:b/>
          <w:bCs/>
          <w:i/>
          <w:sz w:val="24"/>
          <w:szCs w:val="24"/>
          <w:shd w:val="clear" w:color="auto" w:fill="FFFFFF"/>
        </w:rPr>
        <w:t>) L</w:t>
      </w:r>
      <w:r w:rsidR="008649B3" w:rsidRPr="00D12D46">
        <w:rPr>
          <w:rFonts w:ascii="Arial" w:hAnsi="Arial" w:cs="Arial"/>
          <w:b/>
          <w:bCs/>
          <w:i/>
          <w:sz w:val="24"/>
          <w:szCs w:val="24"/>
          <w:shd w:val="clear" w:color="auto" w:fill="FFFFFF"/>
        </w:rPr>
        <w:t>td</w:t>
      </w:r>
      <w:r w:rsidR="008A31F6" w:rsidRPr="00D12D46">
        <w:rPr>
          <w:rFonts w:ascii="Arial" w:hAnsi="Arial" w:cs="Arial"/>
          <w:b/>
          <w:bCs/>
          <w:sz w:val="24"/>
          <w:szCs w:val="24"/>
        </w:rPr>
        <w:t xml:space="preserve"> </w:t>
      </w:r>
      <w:r w:rsidR="008A31F6" w:rsidRPr="00D12D46">
        <w:rPr>
          <w:rFonts w:ascii="Arial" w:hAnsi="Arial" w:cs="Arial"/>
          <w:bCs/>
          <w:sz w:val="24"/>
          <w:szCs w:val="24"/>
          <w:shd w:val="clear" w:color="auto" w:fill="FFFFFF"/>
        </w:rPr>
        <w:t>[1984] 3 All SA 25 (D), the court aptly observed thus:</w:t>
      </w:r>
    </w:p>
    <w:p w:rsidR="008A31F6" w:rsidRPr="00A73E1F" w:rsidRDefault="008A31F6" w:rsidP="008649B3">
      <w:pPr>
        <w:pStyle w:val="ListParagraph"/>
        <w:spacing w:line="360" w:lineRule="auto"/>
        <w:jc w:val="both"/>
        <w:rPr>
          <w:rFonts w:ascii="Arial" w:hAnsi="Arial" w:cs="Arial"/>
          <w:bCs/>
          <w:i/>
          <w:sz w:val="24"/>
          <w:szCs w:val="24"/>
          <w:shd w:val="clear" w:color="auto" w:fill="FFFFFF"/>
        </w:rPr>
      </w:pPr>
      <w:r w:rsidRPr="00A73E1F">
        <w:rPr>
          <w:rFonts w:ascii="Arial" w:hAnsi="Arial" w:cs="Arial"/>
          <w:bCs/>
          <w:sz w:val="24"/>
          <w:szCs w:val="24"/>
          <w:shd w:val="clear" w:color="auto" w:fill="FFFFFF"/>
        </w:rPr>
        <w:br/>
      </w:r>
      <w:proofErr w:type="gramStart"/>
      <w:r w:rsidRPr="008649B3">
        <w:rPr>
          <w:b/>
          <w:i/>
          <w:sz w:val="24"/>
          <w:szCs w:val="24"/>
        </w:rPr>
        <w:t>“ …</w:t>
      </w:r>
      <w:proofErr w:type="gramEnd"/>
      <w:r w:rsidRPr="008649B3">
        <w:rPr>
          <w:b/>
          <w:i/>
          <w:sz w:val="24"/>
          <w:szCs w:val="24"/>
        </w:rPr>
        <w:t>it is a general rule of construction that if it be clear from the language of a statute that a legislature, in creating an obligation, has confined the party complaining of its non-performance, or suffering from its breach , to a particular remedy , such party is restricted thereto and has no further legal remedy .</w:t>
      </w:r>
      <w:r w:rsidRPr="008649B3">
        <w:rPr>
          <w:i/>
          <w:sz w:val="24"/>
          <w:szCs w:val="24"/>
        </w:rPr>
        <w:t xml:space="preserve"> An exception to this general rule is, however, found in the right of the court to grant (unless the legislature has expressed a contrary intention) an ancillary remedy by way of interdict. (Madrassa </w:t>
      </w:r>
      <w:proofErr w:type="spellStart"/>
      <w:r w:rsidRPr="008649B3">
        <w:rPr>
          <w:i/>
          <w:sz w:val="24"/>
          <w:szCs w:val="24"/>
        </w:rPr>
        <w:t>Anjuman</w:t>
      </w:r>
      <w:proofErr w:type="spellEnd"/>
      <w:r w:rsidRPr="008649B3">
        <w:rPr>
          <w:i/>
          <w:sz w:val="24"/>
          <w:szCs w:val="24"/>
        </w:rPr>
        <w:t xml:space="preserve"> </w:t>
      </w:r>
      <w:proofErr w:type="spellStart"/>
      <w:r w:rsidRPr="008649B3">
        <w:rPr>
          <w:i/>
          <w:sz w:val="24"/>
          <w:szCs w:val="24"/>
        </w:rPr>
        <w:t>Islamia</w:t>
      </w:r>
      <w:proofErr w:type="spellEnd"/>
      <w:r w:rsidRPr="008649B3">
        <w:rPr>
          <w:i/>
          <w:sz w:val="24"/>
          <w:szCs w:val="24"/>
        </w:rPr>
        <w:t xml:space="preserve"> v Johannesburg Municipality 1917 AD 718.)”</w:t>
      </w:r>
      <w:r w:rsidRPr="008649B3">
        <w:rPr>
          <w:rStyle w:val="FootnoteReference"/>
          <w:rFonts w:ascii="Arial" w:hAnsi="Arial" w:cs="Arial"/>
          <w:sz w:val="24"/>
          <w:szCs w:val="24"/>
        </w:rPr>
        <w:footnoteReference w:id="7"/>
      </w:r>
    </w:p>
    <w:p w:rsidR="008A31F6" w:rsidRPr="00A73E1F" w:rsidRDefault="008A31F6" w:rsidP="00A73E1F">
      <w:pPr>
        <w:pStyle w:val="ListParagraph"/>
        <w:spacing w:line="360" w:lineRule="auto"/>
        <w:ind w:left="851"/>
        <w:jc w:val="both"/>
        <w:rPr>
          <w:rFonts w:ascii="Arial" w:hAnsi="Arial" w:cs="Arial"/>
          <w:sz w:val="24"/>
          <w:szCs w:val="24"/>
        </w:rPr>
      </w:pPr>
    </w:p>
    <w:p w:rsidR="008A31F6" w:rsidRPr="00D12D46" w:rsidRDefault="00D12D46" w:rsidP="00D12D46">
      <w:pPr>
        <w:spacing w:line="360" w:lineRule="auto"/>
        <w:ind w:left="851" w:hanging="851"/>
        <w:jc w:val="both"/>
        <w:rPr>
          <w:rFonts w:ascii="Arial" w:hAnsi="Arial" w:cs="Arial"/>
          <w:sz w:val="24"/>
          <w:szCs w:val="24"/>
        </w:rPr>
      </w:pPr>
      <w:r>
        <w:rPr>
          <w:rFonts w:ascii="Arial" w:hAnsi="Arial" w:cs="Arial"/>
          <w:sz w:val="24"/>
          <w:szCs w:val="24"/>
        </w:rPr>
        <w:t>15.</w:t>
      </w:r>
      <w:r>
        <w:rPr>
          <w:rFonts w:ascii="Arial" w:hAnsi="Arial" w:cs="Arial"/>
          <w:sz w:val="24"/>
          <w:szCs w:val="24"/>
        </w:rPr>
        <w:tab/>
      </w:r>
      <w:r w:rsidR="008A31F6" w:rsidRPr="00D12D46">
        <w:rPr>
          <w:rFonts w:ascii="Arial" w:hAnsi="Arial" w:cs="Arial"/>
          <w:sz w:val="24"/>
          <w:szCs w:val="24"/>
        </w:rPr>
        <w:t xml:space="preserve">In </w:t>
      </w:r>
      <w:r w:rsidR="008A31F6" w:rsidRPr="00D12D46">
        <w:rPr>
          <w:rFonts w:ascii="Arial" w:hAnsi="Arial" w:cs="Arial"/>
          <w:b/>
          <w:i/>
          <w:sz w:val="24"/>
          <w:szCs w:val="24"/>
        </w:rPr>
        <w:t>Madrassa</w:t>
      </w:r>
      <w:r w:rsidR="008A31F6" w:rsidRPr="00D12D46">
        <w:rPr>
          <w:rFonts w:ascii="Arial" w:hAnsi="Arial" w:cs="Arial"/>
          <w:sz w:val="24"/>
          <w:szCs w:val="24"/>
        </w:rPr>
        <w:t xml:space="preserve">, the court observed: </w:t>
      </w:r>
    </w:p>
    <w:p w:rsidR="008649B3" w:rsidRPr="00A73E1F" w:rsidRDefault="008649B3" w:rsidP="008649B3">
      <w:pPr>
        <w:pStyle w:val="ListParagraph"/>
        <w:spacing w:line="360" w:lineRule="auto"/>
        <w:ind w:left="851"/>
        <w:jc w:val="both"/>
        <w:rPr>
          <w:rFonts w:ascii="Arial" w:hAnsi="Arial" w:cs="Arial"/>
          <w:sz w:val="24"/>
          <w:szCs w:val="24"/>
        </w:rPr>
      </w:pPr>
    </w:p>
    <w:p w:rsidR="00850509" w:rsidRPr="008649B3" w:rsidRDefault="008A31F6" w:rsidP="00145BE1">
      <w:pPr>
        <w:pStyle w:val="ListParagraph"/>
        <w:spacing w:line="360" w:lineRule="auto"/>
        <w:ind w:left="851"/>
        <w:jc w:val="both"/>
        <w:rPr>
          <w:i/>
          <w:sz w:val="24"/>
          <w:szCs w:val="24"/>
          <w:shd w:val="clear" w:color="auto" w:fill="FFFFFF"/>
        </w:rPr>
      </w:pPr>
      <w:r w:rsidRPr="008649B3">
        <w:rPr>
          <w:i/>
          <w:sz w:val="24"/>
          <w:szCs w:val="24"/>
        </w:rPr>
        <w:t xml:space="preserve">“Now there is abundance of authority in the English Courts for the proposition that, as a general rule, where a Statute, as here, creates a special obligation and prescribes special remedies, no other remedy is available. This rule was laid down by Lord </w:t>
      </w:r>
      <w:proofErr w:type="spellStart"/>
      <w:r w:rsidRPr="008649B3">
        <w:rPr>
          <w:i/>
          <w:sz w:val="24"/>
          <w:szCs w:val="24"/>
        </w:rPr>
        <w:t>Tenterden</w:t>
      </w:r>
      <w:proofErr w:type="spellEnd"/>
      <w:r w:rsidRPr="008649B3">
        <w:rPr>
          <w:i/>
          <w:sz w:val="24"/>
          <w:szCs w:val="24"/>
        </w:rPr>
        <w:t xml:space="preserve"> in </w:t>
      </w:r>
      <w:r w:rsidRPr="008649B3">
        <w:rPr>
          <w:b/>
          <w:i/>
          <w:sz w:val="24"/>
          <w:szCs w:val="24"/>
        </w:rPr>
        <w:t>Doe v Bridges</w:t>
      </w:r>
      <w:r w:rsidRPr="008649B3">
        <w:rPr>
          <w:i/>
          <w:sz w:val="24"/>
          <w:szCs w:val="24"/>
        </w:rPr>
        <w:t> (1 B. &amp; Ald. 847).</w:t>
      </w:r>
    </w:p>
    <w:p w:rsidR="00980821" w:rsidRDefault="00980821" w:rsidP="00A73E1F">
      <w:pPr>
        <w:pStyle w:val="ListParagraph"/>
        <w:spacing w:line="360" w:lineRule="auto"/>
        <w:ind w:left="851"/>
        <w:jc w:val="both"/>
        <w:rPr>
          <w:rFonts w:ascii="Arial" w:hAnsi="Arial" w:cs="Arial"/>
          <w:sz w:val="24"/>
          <w:szCs w:val="24"/>
        </w:rPr>
      </w:pPr>
    </w:p>
    <w:p w:rsidR="00145BE1" w:rsidRPr="00D12D46" w:rsidRDefault="00D12D46" w:rsidP="00D12D46">
      <w:pPr>
        <w:spacing w:line="360" w:lineRule="auto"/>
        <w:ind w:left="851" w:hanging="851"/>
        <w:jc w:val="both"/>
        <w:rPr>
          <w:rFonts w:ascii="Arial" w:hAnsi="Arial" w:cs="Arial"/>
          <w:sz w:val="24"/>
          <w:szCs w:val="24"/>
        </w:rPr>
      </w:pPr>
      <w:r w:rsidRPr="00A73E1F">
        <w:rPr>
          <w:rFonts w:ascii="Arial" w:hAnsi="Arial" w:cs="Arial"/>
          <w:sz w:val="24"/>
          <w:szCs w:val="24"/>
        </w:rPr>
        <w:t>16.</w:t>
      </w:r>
      <w:r w:rsidRPr="00A73E1F">
        <w:rPr>
          <w:rFonts w:ascii="Arial" w:hAnsi="Arial" w:cs="Arial"/>
          <w:sz w:val="24"/>
          <w:szCs w:val="24"/>
        </w:rPr>
        <w:tab/>
      </w:r>
      <w:r w:rsidR="00145BE1" w:rsidRPr="00D12D46">
        <w:rPr>
          <w:rFonts w:ascii="Arial" w:hAnsi="Arial" w:cs="Arial"/>
          <w:sz w:val="24"/>
          <w:szCs w:val="24"/>
        </w:rPr>
        <w:t xml:space="preserve">It is so that it is not clear how it came about that the impugned order be granted, as there are no records of proceedings of that day made by the presiding Magistrate.  It is also so that, according to Mr </w:t>
      </w:r>
      <w:proofErr w:type="spellStart"/>
      <w:r w:rsidR="00145BE1" w:rsidRPr="00D12D46">
        <w:rPr>
          <w:rFonts w:ascii="Arial" w:hAnsi="Arial" w:cs="Arial"/>
          <w:sz w:val="24"/>
          <w:szCs w:val="24"/>
        </w:rPr>
        <w:t>Damarah</w:t>
      </w:r>
      <w:proofErr w:type="spellEnd"/>
      <w:r w:rsidR="00145BE1" w:rsidRPr="00D12D46">
        <w:rPr>
          <w:rFonts w:ascii="Arial" w:hAnsi="Arial" w:cs="Arial"/>
          <w:sz w:val="24"/>
          <w:szCs w:val="24"/>
        </w:rPr>
        <w:t xml:space="preserve"> who postponed the matter in his capacity as the Maintenance Officer, at all material times hereto there was no application whatsoever by him for an order by default either, serving before the learned Magistrate.</w:t>
      </w:r>
    </w:p>
    <w:p w:rsidR="00145BE1" w:rsidRPr="00A73E1F" w:rsidRDefault="00145BE1" w:rsidP="00145BE1">
      <w:pPr>
        <w:pStyle w:val="ListParagraph"/>
        <w:spacing w:line="360" w:lineRule="auto"/>
        <w:rPr>
          <w:rFonts w:ascii="Arial" w:hAnsi="Arial" w:cs="Arial"/>
          <w:sz w:val="24"/>
          <w:szCs w:val="24"/>
        </w:rPr>
      </w:pPr>
    </w:p>
    <w:p w:rsidR="00145BE1" w:rsidRPr="00D12D46" w:rsidRDefault="00D12D46" w:rsidP="00D12D46">
      <w:pPr>
        <w:spacing w:line="360" w:lineRule="auto"/>
        <w:ind w:left="851" w:hanging="851"/>
        <w:jc w:val="both"/>
        <w:rPr>
          <w:rFonts w:ascii="Arial" w:hAnsi="Arial" w:cs="Arial"/>
          <w:sz w:val="24"/>
          <w:szCs w:val="24"/>
        </w:rPr>
      </w:pPr>
      <w:r w:rsidRPr="00145BE1">
        <w:rPr>
          <w:rFonts w:ascii="Arial" w:hAnsi="Arial" w:cs="Arial"/>
          <w:sz w:val="24"/>
          <w:szCs w:val="24"/>
        </w:rPr>
        <w:lastRenderedPageBreak/>
        <w:t>17.</w:t>
      </w:r>
      <w:r w:rsidRPr="00145BE1">
        <w:rPr>
          <w:rFonts w:ascii="Arial" w:hAnsi="Arial" w:cs="Arial"/>
          <w:sz w:val="24"/>
          <w:szCs w:val="24"/>
        </w:rPr>
        <w:tab/>
      </w:r>
      <w:r w:rsidR="00145BE1" w:rsidRPr="00D12D46">
        <w:rPr>
          <w:rFonts w:ascii="Arial" w:hAnsi="Arial" w:cs="Arial"/>
          <w:sz w:val="24"/>
          <w:szCs w:val="24"/>
        </w:rPr>
        <w:t>It is further so that the Chief Magistrate is of the view that some irregularities may have occurred in this matter and that the impugned order might have been erroneously granted because the respondent was present earlier and later excused.</w:t>
      </w:r>
      <w:r w:rsidR="00145BE1" w:rsidRPr="00D12D46">
        <w:rPr>
          <w:rFonts w:ascii="Arial" w:hAnsi="Arial" w:cs="Arial"/>
          <w:color w:val="000000"/>
          <w:sz w:val="24"/>
          <w:szCs w:val="24"/>
        </w:rPr>
        <w:t xml:space="preserve"> </w:t>
      </w:r>
    </w:p>
    <w:p w:rsidR="00145BE1" w:rsidRPr="00145BE1" w:rsidRDefault="00145BE1" w:rsidP="00145BE1">
      <w:pPr>
        <w:pStyle w:val="ListParagraph"/>
        <w:rPr>
          <w:rFonts w:ascii="Arial" w:hAnsi="Arial" w:cs="Arial"/>
          <w:sz w:val="24"/>
          <w:szCs w:val="24"/>
        </w:rPr>
      </w:pPr>
    </w:p>
    <w:p w:rsidR="00145BE1" w:rsidRPr="00D12D46" w:rsidRDefault="00D12D46" w:rsidP="00D12D46">
      <w:pPr>
        <w:spacing w:line="360" w:lineRule="auto"/>
        <w:ind w:left="851" w:hanging="851"/>
        <w:jc w:val="both"/>
        <w:rPr>
          <w:rFonts w:ascii="Arial" w:hAnsi="Arial" w:cs="Arial"/>
          <w:sz w:val="24"/>
          <w:szCs w:val="24"/>
        </w:rPr>
      </w:pPr>
      <w:r w:rsidRPr="00145BE1">
        <w:rPr>
          <w:rFonts w:ascii="Arial" w:hAnsi="Arial" w:cs="Arial"/>
          <w:sz w:val="24"/>
          <w:szCs w:val="24"/>
        </w:rPr>
        <w:t>18.</w:t>
      </w:r>
      <w:r w:rsidRPr="00145BE1">
        <w:rPr>
          <w:rFonts w:ascii="Arial" w:hAnsi="Arial" w:cs="Arial"/>
          <w:sz w:val="24"/>
          <w:szCs w:val="24"/>
        </w:rPr>
        <w:tab/>
      </w:r>
      <w:r w:rsidR="00145BE1" w:rsidRPr="00D12D46">
        <w:rPr>
          <w:rFonts w:ascii="Arial" w:hAnsi="Arial" w:cs="Arial"/>
          <w:sz w:val="24"/>
          <w:szCs w:val="24"/>
        </w:rPr>
        <w:t>It can be deduced from the foregoing that the Act expressly and peremptorily prescribes special remedies for persons against whom Maintenance Courts have made orders by default to apply to the said courts for variation or setting aside of the said orders.  Put differently, on a proper interpretation of the Act, it is clear from its language that the Legislature has confined a party who seeks to impugn an order granted by default to the particular remedy contemplated in Section 18 of the Act.</w:t>
      </w:r>
    </w:p>
    <w:p w:rsidR="00145BE1" w:rsidRPr="00A73E1F" w:rsidRDefault="00145BE1" w:rsidP="00145BE1">
      <w:pPr>
        <w:pStyle w:val="ListParagraph"/>
        <w:spacing w:line="360" w:lineRule="auto"/>
        <w:rPr>
          <w:rFonts w:ascii="Arial" w:hAnsi="Arial" w:cs="Arial"/>
          <w:color w:val="000000"/>
          <w:sz w:val="24"/>
          <w:szCs w:val="24"/>
        </w:rPr>
      </w:pPr>
    </w:p>
    <w:p w:rsidR="00145BE1" w:rsidRPr="00D12D46" w:rsidRDefault="00D12D46" w:rsidP="00D12D46">
      <w:pPr>
        <w:spacing w:line="360" w:lineRule="auto"/>
        <w:ind w:left="851" w:hanging="851"/>
        <w:jc w:val="both"/>
        <w:rPr>
          <w:rFonts w:ascii="Arial" w:hAnsi="Arial" w:cs="Arial"/>
          <w:sz w:val="24"/>
          <w:szCs w:val="24"/>
        </w:rPr>
      </w:pPr>
      <w:r w:rsidRPr="00145BE1">
        <w:rPr>
          <w:rFonts w:ascii="Arial" w:hAnsi="Arial" w:cs="Arial"/>
          <w:sz w:val="24"/>
          <w:szCs w:val="24"/>
        </w:rPr>
        <w:t>19.</w:t>
      </w:r>
      <w:r w:rsidRPr="00145BE1">
        <w:rPr>
          <w:rFonts w:ascii="Arial" w:hAnsi="Arial" w:cs="Arial"/>
          <w:sz w:val="24"/>
          <w:szCs w:val="24"/>
        </w:rPr>
        <w:tab/>
      </w:r>
      <w:r w:rsidR="00145BE1" w:rsidRPr="00D12D46">
        <w:rPr>
          <w:rFonts w:ascii="Arial" w:hAnsi="Arial" w:cs="Arial"/>
          <w:color w:val="000000"/>
          <w:sz w:val="24"/>
          <w:szCs w:val="24"/>
        </w:rPr>
        <w:t xml:space="preserve">It is only after consideration of the evidence that the Maintenance Court may determine these permutations and make an order either confirming the order by default referred to in Section 18(2)(a) of the Act; or vary same, if it appears to it that good cause exists for such variation; or set aside same, if it appears to it that good cause exists for such setting aside, and convert the proceedings into a maintenance enquiry.  I am unfortunately not in a position to do so. </w:t>
      </w:r>
    </w:p>
    <w:p w:rsidR="00145BE1" w:rsidRPr="00A73E1F" w:rsidRDefault="00145BE1" w:rsidP="00145BE1">
      <w:pPr>
        <w:pStyle w:val="ListParagraph"/>
        <w:spacing w:line="360" w:lineRule="auto"/>
        <w:ind w:left="851"/>
        <w:jc w:val="both"/>
        <w:rPr>
          <w:rFonts w:ascii="Arial" w:hAnsi="Arial" w:cs="Arial"/>
          <w:sz w:val="24"/>
          <w:szCs w:val="24"/>
        </w:rPr>
      </w:pPr>
    </w:p>
    <w:p w:rsidR="00980821" w:rsidRPr="00D12D46" w:rsidRDefault="00D12D46" w:rsidP="00D12D46">
      <w:pPr>
        <w:spacing w:line="360" w:lineRule="auto"/>
        <w:ind w:left="851" w:hanging="851"/>
        <w:jc w:val="both"/>
        <w:rPr>
          <w:rFonts w:ascii="Arial" w:hAnsi="Arial" w:cs="Arial"/>
          <w:sz w:val="24"/>
          <w:szCs w:val="24"/>
        </w:rPr>
      </w:pPr>
      <w:r w:rsidRPr="00145BE1">
        <w:rPr>
          <w:rFonts w:ascii="Arial" w:hAnsi="Arial" w:cs="Arial"/>
          <w:sz w:val="24"/>
          <w:szCs w:val="24"/>
        </w:rPr>
        <w:t>20.</w:t>
      </w:r>
      <w:r w:rsidRPr="00145BE1">
        <w:rPr>
          <w:rFonts w:ascii="Arial" w:hAnsi="Arial" w:cs="Arial"/>
          <w:sz w:val="24"/>
          <w:szCs w:val="24"/>
        </w:rPr>
        <w:tab/>
      </w:r>
      <w:r w:rsidR="00C52B13" w:rsidRPr="00D12D46">
        <w:rPr>
          <w:rFonts w:ascii="Arial" w:hAnsi="Arial" w:cs="Arial"/>
          <w:sz w:val="24"/>
          <w:szCs w:val="24"/>
        </w:rPr>
        <w:t>Everyone is equal before the</w:t>
      </w:r>
      <w:r w:rsidR="00850509" w:rsidRPr="00D12D46">
        <w:rPr>
          <w:rFonts w:ascii="Arial" w:hAnsi="Arial" w:cs="Arial"/>
          <w:sz w:val="24"/>
          <w:szCs w:val="24"/>
        </w:rPr>
        <w:t xml:space="preserve"> law</w:t>
      </w:r>
      <w:r w:rsidR="00C52B13" w:rsidRPr="00D12D46">
        <w:rPr>
          <w:rFonts w:ascii="Arial" w:hAnsi="Arial" w:cs="Arial"/>
          <w:sz w:val="24"/>
          <w:szCs w:val="24"/>
        </w:rPr>
        <w:t xml:space="preserve"> and has the right to equal protection </w:t>
      </w:r>
      <w:r w:rsidR="00915BB2" w:rsidRPr="00D12D46">
        <w:rPr>
          <w:rFonts w:ascii="Arial" w:hAnsi="Arial" w:cs="Arial"/>
          <w:sz w:val="24"/>
          <w:szCs w:val="24"/>
        </w:rPr>
        <w:t xml:space="preserve">and benefit </w:t>
      </w:r>
      <w:r w:rsidR="00C52B13" w:rsidRPr="00D12D46">
        <w:rPr>
          <w:rFonts w:ascii="Arial" w:hAnsi="Arial" w:cs="Arial"/>
          <w:sz w:val="24"/>
          <w:szCs w:val="24"/>
        </w:rPr>
        <w:t>of the law.</w:t>
      </w:r>
      <w:r w:rsidR="00C52B13" w:rsidRPr="00A73E1F">
        <w:rPr>
          <w:rStyle w:val="FootnoteReference"/>
          <w:rFonts w:ascii="Arial" w:hAnsi="Arial" w:cs="Arial"/>
          <w:sz w:val="24"/>
          <w:szCs w:val="24"/>
        </w:rPr>
        <w:footnoteReference w:id="8"/>
      </w:r>
      <w:r w:rsidR="00C52B13" w:rsidRPr="00D12D46">
        <w:rPr>
          <w:rFonts w:ascii="Arial" w:hAnsi="Arial" w:cs="Arial"/>
          <w:sz w:val="24"/>
          <w:szCs w:val="24"/>
        </w:rPr>
        <w:t xml:space="preserve"> </w:t>
      </w:r>
      <w:r w:rsidR="008649B3" w:rsidRPr="00D12D46">
        <w:rPr>
          <w:rFonts w:ascii="Arial" w:hAnsi="Arial" w:cs="Arial"/>
          <w:sz w:val="24"/>
          <w:szCs w:val="24"/>
        </w:rPr>
        <w:t xml:space="preserve"> </w:t>
      </w:r>
      <w:r w:rsidR="00C52B13" w:rsidRPr="00D12D46">
        <w:rPr>
          <w:rFonts w:ascii="Arial" w:hAnsi="Arial" w:cs="Arial"/>
          <w:sz w:val="24"/>
          <w:szCs w:val="24"/>
        </w:rPr>
        <w:t>The parties in this matter have</w:t>
      </w:r>
      <w:r w:rsidR="00915BB2" w:rsidRPr="00D12D46">
        <w:rPr>
          <w:rFonts w:ascii="Arial" w:hAnsi="Arial" w:cs="Arial"/>
          <w:sz w:val="24"/>
          <w:szCs w:val="24"/>
        </w:rPr>
        <w:t xml:space="preserve"> the</w:t>
      </w:r>
      <w:r w:rsidR="00C52B13" w:rsidRPr="00D12D46">
        <w:rPr>
          <w:rFonts w:ascii="Arial" w:hAnsi="Arial" w:cs="Arial"/>
          <w:sz w:val="24"/>
          <w:szCs w:val="24"/>
        </w:rPr>
        <w:t xml:space="preserve"> right to have their dispute resolved by the application of law decided in a fair public hearing before a court or where appropriate, another independent and impartial tribunal or forum.</w:t>
      </w:r>
      <w:r w:rsidR="00C52B13" w:rsidRPr="00A73E1F">
        <w:rPr>
          <w:rStyle w:val="FootnoteReference"/>
          <w:rFonts w:ascii="Arial" w:hAnsi="Arial" w:cs="Arial"/>
          <w:sz w:val="24"/>
          <w:szCs w:val="24"/>
        </w:rPr>
        <w:footnoteReference w:id="9"/>
      </w:r>
    </w:p>
    <w:p w:rsidR="00024CBB" w:rsidRPr="00A73E1F" w:rsidRDefault="00024CBB" w:rsidP="00A73E1F">
      <w:pPr>
        <w:spacing w:line="360" w:lineRule="auto"/>
        <w:contextualSpacing/>
        <w:rPr>
          <w:rFonts w:ascii="Arial" w:hAnsi="Arial" w:cs="Arial"/>
          <w:sz w:val="24"/>
          <w:szCs w:val="24"/>
        </w:rPr>
      </w:pPr>
    </w:p>
    <w:p w:rsidR="00E64D66" w:rsidRPr="00D12D46" w:rsidRDefault="00D12D46" w:rsidP="00D12D46">
      <w:pPr>
        <w:spacing w:line="360" w:lineRule="auto"/>
        <w:ind w:left="851" w:hanging="851"/>
        <w:jc w:val="both"/>
        <w:rPr>
          <w:rFonts w:ascii="Arial" w:hAnsi="Arial" w:cs="Arial"/>
          <w:sz w:val="24"/>
          <w:szCs w:val="24"/>
        </w:rPr>
      </w:pPr>
      <w:r w:rsidRPr="00A73E1F">
        <w:rPr>
          <w:rFonts w:ascii="Arial" w:hAnsi="Arial" w:cs="Arial"/>
          <w:sz w:val="24"/>
          <w:szCs w:val="24"/>
        </w:rPr>
        <w:t>21.</w:t>
      </w:r>
      <w:r w:rsidRPr="00A73E1F">
        <w:rPr>
          <w:rFonts w:ascii="Arial" w:hAnsi="Arial" w:cs="Arial"/>
          <w:sz w:val="24"/>
          <w:szCs w:val="24"/>
        </w:rPr>
        <w:tab/>
      </w:r>
      <w:r w:rsidR="00024CBB" w:rsidRPr="00D12D46">
        <w:rPr>
          <w:rFonts w:ascii="Arial" w:hAnsi="Arial" w:cs="Arial"/>
          <w:sz w:val="24"/>
          <w:szCs w:val="24"/>
        </w:rPr>
        <w:t xml:space="preserve">I am </w:t>
      </w:r>
      <w:r w:rsidR="009A15E0" w:rsidRPr="00D12D46">
        <w:rPr>
          <w:rFonts w:ascii="Arial" w:hAnsi="Arial" w:cs="Arial"/>
          <w:sz w:val="24"/>
          <w:szCs w:val="24"/>
        </w:rPr>
        <w:t xml:space="preserve">therefore </w:t>
      </w:r>
      <w:r w:rsidR="00024CBB" w:rsidRPr="00D12D46">
        <w:rPr>
          <w:rFonts w:ascii="Arial" w:hAnsi="Arial" w:cs="Arial"/>
          <w:sz w:val="24"/>
          <w:szCs w:val="24"/>
        </w:rPr>
        <w:t xml:space="preserve">of the considered opinion that regard being had to the scope and meaning of the Act, the intention of the Legislature was to create a new remedy for persons against whom </w:t>
      </w:r>
      <w:r w:rsidR="008649B3" w:rsidRPr="00D12D46">
        <w:rPr>
          <w:rFonts w:ascii="Arial" w:hAnsi="Arial" w:cs="Arial"/>
          <w:sz w:val="24"/>
          <w:szCs w:val="24"/>
        </w:rPr>
        <w:t>Maintenance Court</w:t>
      </w:r>
      <w:r w:rsidR="00024CBB" w:rsidRPr="00D12D46">
        <w:rPr>
          <w:rFonts w:ascii="Arial" w:hAnsi="Arial" w:cs="Arial"/>
          <w:sz w:val="24"/>
          <w:szCs w:val="24"/>
        </w:rPr>
        <w:t xml:space="preserve">s have made orders by default to apply to the said courts for variation or setting aside of such orders. </w:t>
      </w:r>
    </w:p>
    <w:p w:rsidR="00024CBB" w:rsidRDefault="00024CBB" w:rsidP="00A73E1F">
      <w:pPr>
        <w:spacing w:line="360" w:lineRule="auto"/>
        <w:contextualSpacing/>
        <w:jc w:val="both"/>
        <w:rPr>
          <w:rFonts w:ascii="Arial" w:hAnsi="Arial" w:cs="Arial"/>
          <w:b/>
          <w:sz w:val="24"/>
          <w:szCs w:val="24"/>
        </w:rPr>
      </w:pPr>
    </w:p>
    <w:p w:rsidR="008649B3" w:rsidRDefault="008649B3" w:rsidP="00A73E1F">
      <w:pPr>
        <w:spacing w:line="360" w:lineRule="auto"/>
        <w:contextualSpacing/>
        <w:jc w:val="both"/>
        <w:rPr>
          <w:rFonts w:ascii="Arial" w:hAnsi="Arial" w:cs="Arial"/>
          <w:b/>
          <w:sz w:val="24"/>
          <w:szCs w:val="24"/>
        </w:rPr>
      </w:pPr>
    </w:p>
    <w:p w:rsidR="008649B3" w:rsidRPr="00A73E1F" w:rsidRDefault="008649B3" w:rsidP="00A73E1F">
      <w:pPr>
        <w:spacing w:line="360" w:lineRule="auto"/>
        <w:contextualSpacing/>
        <w:jc w:val="both"/>
        <w:rPr>
          <w:rFonts w:ascii="Arial" w:hAnsi="Arial" w:cs="Arial"/>
          <w:b/>
          <w:sz w:val="24"/>
          <w:szCs w:val="24"/>
        </w:rPr>
      </w:pPr>
    </w:p>
    <w:p w:rsidR="00F35940" w:rsidRPr="00A73E1F" w:rsidRDefault="00C25072" w:rsidP="00A73E1F">
      <w:pPr>
        <w:spacing w:line="360" w:lineRule="auto"/>
        <w:contextualSpacing/>
        <w:jc w:val="both"/>
        <w:rPr>
          <w:rFonts w:ascii="Arial" w:hAnsi="Arial" w:cs="Arial"/>
          <w:sz w:val="24"/>
          <w:szCs w:val="24"/>
        </w:rPr>
      </w:pPr>
      <w:r w:rsidRPr="008649B3">
        <w:rPr>
          <w:rFonts w:ascii="Arial" w:hAnsi="Arial" w:cs="Arial"/>
          <w:b/>
          <w:sz w:val="24"/>
          <w:szCs w:val="24"/>
          <w:u w:val="single"/>
        </w:rPr>
        <w:t>ORDER</w:t>
      </w:r>
      <w:r w:rsidR="008649B3">
        <w:rPr>
          <w:rFonts w:ascii="Arial" w:hAnsi="Arial" w:cs="Arial"/>
          <w:b/>
          <w:sz w:val="24"/>
          <w:szCs w:val="24"/>
        </w:rPr>
        <w:t>:</w:t>
      </w:r>
      <w:r w:rsidR="00F35940" w:rsidRPr="00A73E1F">
        <w:rPr>
          <w:rFonts w:ascii="Arial" w:hAnsi="Arial" w:cs="Arial"/>
          <w:sz w:val="24"/>
          <w:szCs w:val="24"/>
        </w:rPr>
        <w:t xml:space="preserve"> </w:t>
      </w:r>
    </w:p>
    <w:p w:rsidR="00F35940" w:rsidRPr="00A73E1F" w:rsidRDefault="00F35940" w:rsidP="00A73E1F">
      <w:pPr>
        <w:pStyle w:val="ListParagraph"/>
        <w:spacing w:line="360" w:lineRule="auto"/>
        <w:rPr>
          <w:rFonts w:ascii="Arial" w:hAnsi="Arial" w:cs="Arial"/>
          <w:sz w:val="24"/>
          <w:szCs w:val="24"/>
        </w:rPr>
      </w:pPr>
    </w:p>
    <w:p w:rsidR="008649B3" w:rsidRPr="00D12D46" w:rsidRDefault="00D12D46" w:rsidP="00D12D46">
      <w:pPr>
        <w:spacing w:line="360" w:lineRule="auto"/>
        <w:ind w:left="851" w:hanging="851"/>
        <w:jc w:val="both"/>
        <w:rPr>
          <w:rFonts w:ascii="Arial" w:hAnsi="Arial" w:cs="Arial"/>
          <w:sz w:val="24"/>
          <w:szCs w:val="24"/>
        </w:rPr>
      </w:pPr>
      <w:r>
        <w:rPr>
          <w:rFonts w:ascii="Arial" w:hAnsi="Arial" w:cs="Arial"/>
          <w:sz w:val="24"/>
          <w:szCs w:val="24"/>
        </w:rPr>
        <w:t>22.</w:t>
      </w:r>
      <w:r>
        <w:rPr>
          <w:rFonts w:ascii="Arial" w:hAnsi="Arial" w:cs="Arial"/>
          <w:sz w:val="24"/>
          <w:szCs w:val="24"/>
        </w:rPr>
        <w:tab/>
      </w:r>
      <w:r w:rsidR="00C52B13" w:rsidRPr="00D12D46">
        <w:rPr>
          <w:rFonts w:ascii="Arial" w:hAnsi="Arial" w:cs="Arial"/>
          <w:sz w:val="24"/>
          <w:szCs w:val="24"/>
        </w:rPr>
        <w:t>In the premise</w:t>
      </w:r>
      <w:r w:rsidR="008649B3" w:rsidRPr="00D12D46">
        <w:rPr>
          <w:rFonts w:ascii="Arial" w:hAnsi="Arial" w:cs="Arial"/>
          <w:sz w:val="24"/>
          <w:szCs w:val="24"/>
        </w:rPr>
        <w:t>:</w:t>
      </w:r>
    </w:p>
    <w:p w:rsidR="008649B3" w:rsidRDefault="008649B3" w:rsidP="008649B3">
      <w:pPr>
        <w:pStyle w:val="ListParagraph"/>
        <w:spacing w:line="360" w:lineRule="auto"/>
        <w:ind w:left="851"/>
        <w:jc w:val="both"/>
        <w:rPr>
          <w:rFonts w:ascii="Arial" w:hAnsi="Arial" w:cs="Arial"/>
          <w:sz w:val="24"/>
          <w:szCs w:val="24"/>
        </w:rPr>
      </w:pPr>
    </w:p>
    <w:p w:rsidR="00C52B13" w:rsidRPr="00D12D46" w:rsidRDefault="00D12D46" w:rsidP="00D12D46">
      <w:pPr>
        <w:spacing w:line="360" w:lineRule="auto"/>
        <w:ind w:left="1211" w:hanging="360"/>
        <w:jc w:val="both"/>
        <w:rPr>
          <w:rFonts w:ascii="Arial" w:hAnsi="Arial" w:cs="Arial"/>
          <w:b/>
          <w:sz w:val="24"/>
          <w:szCs w:val="24"/>
        </w:rPr>
      </w:pPr>
      <w:r w:rsidRPr="008649B3">
        <w:rPr>
          <w:rFonts w:ascii="Arial" w:hAnsi="Arial" w:cs="Arial"/>
          <w:b/>
          <w:sz w:val="24"/>
          <w:szCs w:val="24"/>
        </w:rPr>
        <w:t>1.</w:t>
      </w:r>
      <w:r w:rsidRPr="008649B3">
        <w:rPr>
          <w:rFonts w:ascii="Arial" w:hAnsi="Arial" w:cs="Arial"/>
          <w:b/>
          <w:sz w:val="24"/>
          <w:szCs w:val="24"/>
        </w:rPr>
        <w:tab/>
      </w:r>
      <w:r w:rsidR="008649B3" w:rsidRPr="00D12D46">
        <w:rPr>
          <w:rFonts w:ascii="Arial" w:hAnsi="Arial" w:cs="Arial"/>
          <w:b/>
          <w:sz w:val="24"/>
          <w:szCs w:val="24"/>
        </w:rPr>
        <w:t xml:space="preserve">THE SPECIAL REVIEW APPLICATION IS HEREBY REFUSED. </w:t>
      </w:r>
    </w:p>
    <w:p w:rsidR="00C52B13" w:rsidRPr="00A73E1F" w:rsidRDefault="00C52B13" w:rsidP="00A73E1F">
      <w:pPr>
        <w:pStyle w:val="ListParagraph"/>
        <w:spacing w:line="360" w:lineRule="auto"/>
        <w:rPr>
          <w:rFonts w:ascii="Arial" w:hAnsi="Arial" w:cs="Arial"/>
          <w:sz w:val="24"/>
          <w:szCs w:val="24"/>
        </w:rPr>
      </w:pPr>
    </w:p>
    <w:p w:rsidR="00687A69" w:rsidRPr="008649B3" w:rsidRDefault="00687A69" w:rsidP="00A73E1F">
      <w:pPr>
        <w:spacing w:line="360" w:lineRule="auto"/>
        <w:contextualSpacing/>
        <w:jc w:val="both"/>
        <w:rPr>
          <w:rFonts w:ascii="Arial" w:hAnsi="Arial" w:cs="Arial"/>
          <w:sz w:val="24"/>
          <w:szCs w:val="24"/>
        </w:rPr>
      </w:pPr>
    </w:p>
    <w:p w:rsidR="00687A69" w:rsidRPr="008649B3" w:rsidRDefault="00687A69" w:rsidP="00A73E1F">
      <w:pPr>
        <w:spacing w:line="360" w:lineRule="auto"/>
        <w:contextualSpacing/>
        <w:jc w:val="both"/>
        <w:rPr>
          <w:rFonts w:ascii="Arial" w:hAnsi="Arial" w:cs="Arial"/>
          <w:sz w:val="24"/>
          <w:szCs w:val="24"/>
        </w:rPr>
      </w:pPr>
    </w:p>
    <w:p w:rsidR="008649B3" w:rsidRPr="008649B3" w:rsidRDefault="008649B3" w:rsidP="008649B3">
      <w:pPr>
        <w:pStyle w:val="western"/>
        <w:shd w:val="clear" w:color="auto" w:fill="FFFFFF"/>
        <w:spacing w:before="0" w:beforeAutospacing="0" w:after="0" w:afterAutospacing="0" w:line="360" w:lineRule="auto"/>
        <w:jc w:val="both"/>
        <w:rPr>
          <w:rFonts w:ascii="Arial" w:hAnsi="Arial" w:cs="Arial"/>
          <w:color w:val="242121"/>
        </w:rPr>
      </w:pPr>
    </w:p>
    <w:p w:rsidR="008649B3" w:rsidRPr="008649B3" w:rsidRDefault="008649B3" w:rsidP="008649B3">
      <w:pPr>
        <w:tabs>
          <w:tab w:val="right" w:pos="8931"/>
        </w:tabs>
        <w:contextualSpacing/>
        <w:jc w:val="both"/>
        <w:rPr>
          <w:rFonts w:ascii="Arial" w:hAnsi="Arial" w:cs="Arial"/>
          <w:sz w:val="24"/>
          <w:szCs w:val="24"/>
        </w:rPr>
      </w:pPr>
      <w:r w:rsidRPr="008649B3">
        <w:rPr>
          <w:rFonts w:ascii="Arial" w:hAnsi="Arial" w:cs="Arial"/>
          <w:color w:val="242121"/>
          <w:sz w:val="24"/>
          <w:szCs w:val="24"/>
        </w:rPr>
        <w:t>_____________________________</w:t>
      </w:r>
    </w:p>
    <w:p w:rsidR="008649B3" w:rsidRPr="008649B3" w:rsidRDefault="008649B3" w:rsidP="008649B3">
      <w:pPr>
        <w:tabs>
          <w:tab w:val="right" w:pos="8931"/>
        </w:tabs>
        <w:contextualSpacing/>
        <w:jc w:val="both"/>
        <w:rPr>
          <w:rFonts w:ascii="Arial" w:hAnsi="Arial" w:cs="Arial"/>
          <w:b/>
          <w:sz w:val="24"/>
          <w:szCs w:val="24"/>
        </w:rPr>
      </w:pPr>
      <w:r w:rsidRPr="008649B3">
        <w:rPr>
          <w:rFonts w:ascii="Arial" w:hAnsi="Arial" w:cs="Arial"/>
          <w:b/>
          <w:sz w:val="24"/>
          <w:szCs w:val="24"/>
        </w:rPr>
        <w:t>JUDGE APS NXUMALO</w:t>
      </w:r>
    </w:p>
    <w:p w:rsidR="008649B3" w:rsidRPr="008649B3" w:rsidRDefault="008649B3" w:rsidP="008649B3">
      <w:pPr>
        <w:tabs>
          <w:tab w:val="right" w:pos="8931"/>
        </w:tabs>
        <w:contextualSpacing/>
        <w:jc w:val="both"/>
        <w:rPr>
          <w:rFonts w:ascii="Arial" w:hAnsi="Arial" w:cs="Arial"/>
          <w:b/>
          <w:sz w:val="24"/>
          <w:szCs w:val="24"/>
        </w:rPr>
      </w:pPr>
      <w:r w:rsidRPr="008649B3">
        <w:rPr>
          <w:rFonts w:ascii="Arial" w:hAnsi="Arial" w:cs="Arial"/>
          <w:sz w:val="24"/>
          <w:szCs w:val="24"/>
        </w:rPr>
        <w:t xml:space="preserve">HIGH COURT OF SOUTH AFRICA </w:t>
      </w:r>
    </w:p>
    <w:p w:rsidR="008649B3" w:rsidRPr="008649B3" w:rsidRDefault="008649B3" w:rsidP="008649B3">
      <w:pPr>
        <w:tabs>
          <w:tab w:val="right" w:pos="8931"/>
        </w:tabs>
        <w:contextualSpacing/>
        <w:jc w:val="both"/>
        <w:rPr>
          <w:rFonts w:ascii="Arial" w:hAnsi="Arial" w:cs="Arial"/>
          <w:b/>
          <w:sz w:val="24"/>
          <w:szCs w:val="24"/>
        </w:rPr>
      </w:pPr>
      <w:r w:rsidRPr="008649B3">
        <w:rPr>
          <w:rFonts w:ascii="Arial" w:hAnsi="Arial" w:cs="Arial"/>
          <w:sz w:val="24"/>
          <w:szCs w:val="24"/>
        </w:rPr>
        <w:t>NORTHERN CAPE DIVISION</w:t>
      </w:r>
    </w:p>
    <w:p w:rsidR="008649B3" w:rsidRPr="008649B3" w:rsidRDefault="008649B3" w:rsidP="008649B3">
      <w:pPr>
        <w:tabs>
          <w:tab w:val="right" w:pos="8931"/>
        </w:tabs>
        <w:contextualSpacing/>
        <w:jc w:val="both"/>
        <w:rPr>
          <w:rFonts w:ascii="Arial" w:hAnsi="Arial" w:cs="Arial"/>
          <w:b/>
          <w:sz w:val="24"/>
          <w:szCs w:val="24"/>
        </w:rPr>
      </w:pPr>
      <w:r w:rsidRPr="008649B3">
        <w:rPr>
          <w:rFonts w:ascii="Arial" w:hAnsi="Arial" w:cs="Arial"/>
          <w:sz w:val="24"/>
          <w:szCs w:val="24"/>
        </w:rPr>
        <w:t>KIMBERLEY</w:t>
      </w:r>
    </w:p>
    <w:p w:rsidR="00783D68" w:rsidRPr="008649B3" w:rsidRDefault="00783D68" w:rsidP="00A73E1F">
      <w:pPr>
        <w:spacing w:line="360" w:lineRule="auto"/>
        <w:contextualSpacing/>
        <w:jc w:val="both"/>
        <w:rPr>
          <w:rFonts w:ascii="Arial" w:hAnsi="Arial" w:cs="Arial"/>
          <w:sz w:val="24"/>
          <w:szCs w:val="24"/>
        </w:rPr>
      </w:pPr>
    </w:p>
    <w:p w:rsidR="00F219C8" w:rsidRPr="00A73E1F" w:rsidRDefault="00F219C8" w:rsidP="00A73E1F">
      <w:pPr>
        <w:pStyle w:val="ListParagraph"/>
        <w:spacing w:line="360" w:lineRule="auto"/>
        <w:rPr>
          <w:rFonts w:ascii="Arial" w:hAnsi="Arial" w:cs="Arial"/>
          <w:sz w:val="24"/>
          <w:szCs w:val="24"/>
        </w:rPr>
      </w:pPr>
    </w:p>
    <w:sectPr w:rsidR="00F219C8" w:rsidRPr="00A73E1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E00" w:rsidRDefault="005D7E00" w:rsidP="00837B8C">
      <w:r>
        <w:separator/>
      </w:r>
    </w:p>
  </w:endnote>
  <w:endnote w:type="continuationSeparator" w:id="0">
    <w:p w:rsidR="005D7E00" w:rsidRDefault="005D7E00" w:rsidP="0083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740066"/>
      <w:docPartObj>
        <w:docPartGallery w:val="Page Numbers (Bottom of Page)"/>
        <w:docPartUnique/>
      </w:docPartObj>
    </w:sdtPr>
    <w:sdtEndPr>
      <w:rPr>
        <w:rFonts w:ascii="Arial" w:hAnsi="Arial" w:cs="Arial"/>
        <w:color w:val="7F7F7F" w:themeColor="background1" w:themeShade="7F"/>
        <w:spacing w:val="60"/>
      </w:rPr>
    </w:sdtEndPr>
    <w:sdtContent>
      <w:p w:rsidR="005735BB" w:rsidRPr="00A73E1F" w:rsidRDefault="005735BB">
        <w:pPr>
          <w:pStyle w:val="Footer"/>
          <w:pBdr>
            <w:top w:val="single" w:sz="4" w:space="1" w:color="D9D9D9" w:themeColor="background1" w:themeShade="D9"/>
          </w:pBdr>
          <w:jc w:val="right"/>
          <w:rPr>
            <w:rFonts w:ascii="Arial" w:hAnsi="Arial" w:cs="Arial"/>
          </w:rPr>
        </w:pPr>
        <w:r w:rsidRPr="00A73E1F">
          <w:rPr>
            <w:rFonts w:ascii="Arial" w:hAnsi="Arial" w:cs="Arial"/>
          </w:rPr>
          <w:fldChar w:fldCharType="begin"/>
        </w:r>
        <w:r w:rsidRPr="00A73E1F">
          <w:rPr>
            <w:rFonts w:ascii="Arial" w:hAnsi="Arial" w:cs="Arial"/>
          </w:rPr>
          <w:instrText xml:space="preserve"> PAGE   \* MERGEFORMAT </w:instrText>
        </w:r>
        <w:r w:rsidRPr="00A73E1F">
          <w:rPr>
            <w:rFonts w:ascii="Arial" w:hAnsi="Arial" w:cs="Arial"/>
          </w:rPr>
          <w:fldChar w:fldCharType="separate"/>
        </w:r>
        <w:r w:rsidR="00D12D46">
          <w:rPr>
            <w:rFonts w:ascii="Arial" w:hAnsi="Arial" w:cs="Arial"/>
            <w:noProof/>
          </w:rPr>
          <w:t>7</w:t>
        </w:r>
        <w:r w:rsidRPr="00A73E1F">
          <w:rPr>
            <w:rFonts w:ascii="Arial" w:hAnsi="Arial" w:cs="Arial"/>
            <w:noProof/>
          </w:rPr>
          <w:fldChar w:fldCharType="end"/>
        </w:r>
        <w:r w:rsidRPr="00A73E1F">
          <w:rPr>
            <w:rFonts w:ascii="Arial" w:hAnsi="Arial" w:cs="Arial"/>
          </w:rPr>
          <w:t xml:space="preserve"> | </w:t>
        </w:r>
        <w:r w:rsidRPr="00A73E1F">
          <w:rPr>
            <w:rFonts w:ascii="Arial" w:hAnsi="Arial" w:cs="Arial"/>
            <w:color w:val="7F7F7F" w:themeColor="background1" w:themeShade="7F"/>
            <w:spacing w:val="60"/>
          </w:rPr>
          <w:t>Page</w:t>
        </w:r>
      </w:p>
    </w:sdtContent>
  </w:sdt>
  <w:p w:rsidR="007C6F78" w:rsidRPr="00CF1EFB" w:rsidRDefault="007C6F78" w:rsidP="005735BB">
    <w:pPr>
      <w:pStyle w:val="Foo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E00" w:rsidRDefault="005D7E00" w:rsidP="00837B8C">
      <w:r>
        <w:separator/>
      </w:r>
    </w:p>
  </w:footnote>
  <w:footnote w:type="continuationSeparator" w:id="0">
    <w:p w:rsidR="005D7E00" w:rsidRDefault="005D7E00" w:rsidP="00837B8C">
      <w:r>
        <w:continuationSeparator/>
      </w:r>
    </w:p>
  </w:footnote>
  <w:footnote w:id="1">
    <w:p w:rsidR="00CF1EFB" w:rsidRPr="007F59B5" w:rsidRDefault="00CF1EFB" w:rsidP="009F65BA">
      <w:pPr>
        <w:pStyle w:val="FootnoteText"/>
        <w:jc w:val="both"/>
      </w:pPr>
      <w:r w:rsidRPr="007F59B5">
        <w:rPr>
          <w:rStyle w:val="FootnoteReference"/>
        </w:rPr>
        <w:footnoteRef/>
      </w:r>
      <w:r w:rsidRPr="007F59B5">
        <w:t xml:space="preserve"> Hereinafter referred to as </w:t>
      </w:r>
      <w:r w:rsidR="007F59B5">
        <w:t>“</w:t>
      </w:r>
      <w:r w:rsidRPr="007F59B5">
        <w:rPr>
          <w:b/>
          <w:i/>
        </w:rPr>
        <w:t xml:space="preserve">the </w:t>
      </w:r>
      <w:r w:rsidR="007F59B5" w:rsidRPr="007F59B5">
        <w:rPr>
          <w:b/>
          <w:i/>
        </w:rPr>
        <w:t>Act</w:t>
      </w:r>
      <w:r w:rsidR="007F59B5">
        <w:t>”</w:t>
      </w:r>
      <w:r w:rsidRPr="007F59B5">
        <w:t xml:space="preserve">. </w:t>
      </w:r>
    </w:p>
  </w:footnote>
  <w:footnote w:id="2">
    <w:p w:rsidR="00335363" w:rsidRPr="007F59B5" w:rsidRDefault="00335363" w:rsidP="009F65BA">
      <w:pPr>
        <w:pStyle w:val="FootnoteText"/>
        <w:jc w:val="both"/>
      </w:pPr>
      <w:r w:rsidRPr="007F59B5">
        <w:rPr>
          <w:rStyle w:val="FootnoteReference"/>
        </w:rPr>
        <w:footnoteRef/>
      </w:r>
      <w:r w:rsidRPr="007F59B5">
        <w:t xml:space="preserve"> </w:t>
      </w:r>
      <w:r w:rsidRPr="007F59B5">
        <w:rPr>
          <w:b/>
          <w:i/>
        </w:rPr>
        <w:t xml:space="preserve">Gross v </w:t>
      </w:r>
      <w:proofErr w:type="spellStart"/>
      <w:r w:rsidRPr="007F59B5">
        <w:rPr>
          <w:b/>
          <w:i/>
        </w:rPr>
        <w:t>Pentz</w:t>
      </w:r>
      <w:proofErr w:type="spellEnd"/>
      <w:r w:rsidRPr="007F59B5">
        <w:t xml:space="preserve"> 1996 (4) SA 617 (A)</w:t>
      </w:r>
      <w:r w:rsidR="000B5D4D" w:rsidRPr="007F59B5">
        <w:t xml:space="preserve">; see also </w:t>
      </w:r>
      <w:r w:rsidR="000B5D4D" w:rsidRPr="007F59B5">
        <w:rPr>
          <w:b/>
          <w:i/>
          <w:iCs/>
        </w:rPr>
        <w:t xml:space="preserve">Jacobs v </w:t>
      </w:r>
      <w:proofErr w:type="spellStart"/>
      <w:r w:rsidR="000B5D4D" w:rsidRPr="007F59B5">
        <w:rPr>
          <w:b/>
          <w:i/>
          <w:iCs/>
        </w:rPr>
        <w:t>Waks</w:t>
      </w:r>
      <w:proofErr w:type="spellEnd"/>
      <w:r w:rsidR="000B5D4D" w:rsidRPr="007F59B5">
        <w:rPr>
          <w:i/>
          <w:iCs/>
        </w:rPr>
        <w:t> </w:t>
      </w:r>
      <w:r w:rsidR="000B5D4D" w:rsidRPr="007F59B5">
        <w:t>1992 (1) SA 521 (A) p. 534D</w:t>
      </w:r>
      <w:r w:rsidRPr="007F59B5">
        <w:t xml:space="preserve">. </w:t>
      </w:r>
    </w:p>
  </w:footnote>
  <w:footnote w:id="3">
    <w:p w:rsidR="0062192F" w:rsidRPr="007F59B5" w:rsidRDefault="0062192F" w:rsidP="009F65BA">
      <w:pPr>
        <w:pStyle w:val="FootnoteText"/>
        <w:jc w:val="both"/>
      </w:pPr>
      <w:r w:rsidRPr="007F59B5">
        <w:rPr>
          <w:rStyle w:val="FootnoteReference"/>
        </w:rPr>
        <w:footnoteRef/>
      </w:r>
      <w:r w:rsidRPr="007F59B5">
        <w:t xml:space="preserve"> </w:t>
      </w:r>
      <w:r w:rsidR="007B6D6F" w:rsidRPr="007F59B5">
        <w:rPr>
          <w:b/>
          <w:i/>
          <w:iCs/>
        </w:rPr>
        <w:t xml:space="preserve">Communication Workers Union and Another v Telkom SA Ltd and </w:t>
      </w:r>
      <w:r w:rsidR="00860DDA" w:rsidRPr="007F59B5">
        <w:rPr>
          <w:b/>
          <w:i/>
          <w:iCs/>
        </w:rPr>
        <w:t>Another</w:t>
      </w:r>
      <w:r w:rsidR="00860DDA" w:rsidRPr="007F59B5" w:rsidDel="007B6D6F">
        <w:rPr>
          <w:b/>
          <w:i/>
        </w:rPr>
        <w:t xml:space="preserve"> </w:t>
      </w:r>
      <w:r w:rsidR="00860DDA" w:rsidRPr="007F59B5">
        <w:t>1999</w:t>
      </w:r>
      <w:r w:rsidRPr="007F59B5">
        <w:t xml:space="preserve"> (2) SA 586 (T). </w:t>
      </w:r>
    </w:p>
  </w:footnote>
  <w:footnote w:id="4">
    <w:p w:rsidR="00E00118" w:rsidRPr="009F65BA" w:rsidRDefault="00E00118" w:rsidP="009F65BA">
      <w:pPr>
        <w:pStyle w:val="FootnoteText"/>
        <w:jc w:val="both"/>
        <w:rPr>
          <w:rFonts w:ascii="Arial" w:hAnsi="Arial" w:cs="Arial"/>
        </w:rPr>
      </w:pPr>
      <w:r w:rsidRPr="007F59B5">
        <w:rPr>
          <w:rStyle w:val="FootnoteReference"/>
        </w:rPr>
        <w:footnoteRef/>
      </w:r>
      <w:r w:rsidRPr="007F59B5">
        <w:t xml:space="preserve"> Section 18(</w:t>
      </w:r>
      <w:r w:rsidR="00475BB0" w:rsidRPr="007F59B5">
        <w:t>4</w:t>
      </w:r>
      <w:r w:rsidRPr="007F59B5">
        <w:t>)</w:t>
      </w:r>
      <w:r w:rsidR="00475BB0" w:rsidRPr="007F59B5">
        <w:t xml:space="preserve"> (c) of the Act.</w:t>
      </w:r>
    </w:p>
  </w:footnote>
  <w:footnote w:id="5">
    <w:p w:rsidR="002C0486" w:rsidRPr="008649B3" w:rsidRDefault="002C0486" w:rsidP="009F65BA">
      <w:pPr>
        <w:pStyle w:val="FootnoteText"/>
        <w:jc w:val="both"/>
        <w:rPr>
          <w:lang w:val="en-US"/>
        </w:rPr>
      </w:pPr>
      <w:r w:rsidRPr="008649B3">
        <w:rPr>
          <w:rStyle w:val="FootnoteReference"/>
        </w:rPr>
        <w:footnoteRef/>
      </w:r>
      <w:r w:rsidRPr="008649B3">
        <w:t xml:space="preserve"> </w:t>
      </w:r>
      <w:r w:rsidRPr="008649B3">
        <w:rPr>
          <w:lang w:val="en-US"/>
        </w:rPr>
        <w:t>Section 18(5) of the Act.</w:t>
      </w:r>
    </w:p>
  </w:footnote>
  <w:footnote w:id="6">
    <w:p w:rsidR="008A31F6" w:rsidRPr="008649B3" w:rsidRDefault="008A31F6" w:rsidP="008A31F6">
      <w:pPr>
        <w:pStyle w:val="FootnoteText"/>
      </w:pPr>
      <w:r w:rsidRPr="008649B3">
        <w:rPr>
          <w:rStyle w:val="FootnoteReference"/>
        </w:rPr>
        <w:footnoteRef/>
      </w:r>
      <w:r w:rsidRPr="008649B3">
        <w:t xml:space="preserve"> Emphasis supplied. </w:t>
      </w:r>
    </w:p>
  </w:footnote>
  <w:footnote w:id="7">
    <w:p w:rsidR="008A31F6" w:rsidRPr="008649B3" w:rsidRDefault="008A31F6" w:rsidP="008A31F6">
      <w:pPr>
        <w:pStyle w:val="FootnoteText"/>
      </w:pPr>
      <w:r w:rsidRPr="008649B3">
        <w:rPr>
          <w:rStyle w:val="FootnoteReference"/>
        </w:rPr>
        <w:footnoteRef/>
      </w:r>
      <w:r w:rsidRPr="008649B3">
        <w:t xml:space="preserve"> Emphasis supplied. </w:t>
      </w:r>
    </w:p>
  </w:footnote>
  <w:footnote w:id="8">
    <w:p w:rsidR="00C52B13" w:rsidRPr="008649B3" w:rsidRDefault="00C52B13" w:rsidP="009F65BA">
      <w:pPr>
        <w:pStyle w:val="FootnoteText"/>
        <w:jc w:val="both"/>
      </w:pPr>
      <w:r w:rsidRPr="008649B3">
        <w:rPr>
          <w:rStyle w:val="FootnoteReference"/>
        </w:rPr>
        <w:footnoteRef/>
      </w:r>
      <w:r w:rsidRPr="008649B3">
        <w:t xml:space="preserve"> Section 9</w:t>
      </w:r>
      <w:r w:rsidR="00915BB2" w:rsidRPr="008649B3">
        <w:t xml:space="preserve"> of the Constitution of the Republic of South Africa, 1996. </w:t>
      </w:r>
    </w:p>
  </w:footnote>
  <w:footnote w:id="9">
    <w:p w:rsidR="00C52B13" w:rsidRDefault="00C52B13" w:rsidP="009F65BA">
      <w:pPr>
        <w:pStyle w:val="FootnoteText"/>
        <w:jc w:val="both"/>
      </w:pPr>
      <w:r w:rsidRPr="008649B3">
        <w:rPr>
          <w:rStyle w:val="FootnoteReference"/>
        </w:rPr>
        <w:footnoteRef/>
      </w:r>
      <w:r w:rsidRPr="008649B3">
        <w:t xml:space="preserve"> Section 34, </w:t>
      </w:r>
      <w:r w:rsidRPr="008649B3">
        <w:rPr>
          <w:b/>
        </w:rPr>
        <w:t>ibid</w:t>
      </w:r>
      <w:r w:rsidRPr="008649B3">
        <w:t>.</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65C"/>
    <w:multiLevelType w:val="hybridMultilevel"/>
    <w:tmpl w:val="7760FF3E"/>
    <w:lvl w:ilvl="0" w:tplc="A0CA151A">
      <w:start w:val="5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8E5A2B"/>
    <w:multiLevelType w:val="multilevel"/>
    <w:tmpl w:val="08090023"/>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B1E274A"/>
    <w:multiLevelType w:val="multilevel"/>
    <w:tmpl w:val="4D72A66C"/>
    <w:lvl w:ilvl="0">
      <w:start w:val="1"/>
      <w:numFmt w:val="decimal"/>
      <w:lvlText w:val="%1."/>
      <w:lvlJc w:val="left"/>
      <w:pPr>
        <w:ind w:left="720" w:hanging="360"/>
      </w:pPr>
      <w:rPr>
        <w:rFonts w:hint="default"/>
      </w:rPr>
    </w:lvl>
    <w:lvl w:ilvl="1">
      <w:start w:val="1"/>
      <w:numFmt w:val="decimal"/>
      <w:isLgl/>
      <w:lvlText w:val="%1.%2"/>
      <w:lvlJc w:val="left"/>
      <w:pPr>
        <w:ind w:left="1436" w:hanging="58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3" w15:restartNumberingAfterBreak="0">
    <w:nsid w:val="0F7E07E1"/>
    <w:multiLevelType w:val="multilevel"/>
    <w:tmpl w:val="6FFEE4DC"/>
    <w:lvl w:ilvl="0">
      <w:start w:val="1"/>
      <w:numFmt w:val="decimal"/>
      <w:lvlText w:val="%1."/>
      <w:lvlJc w:val="left"/>
      <w:pPr>
        <w:ind w:left="720" w:hanging="360"/>
      </w:pPr>
      <w:rPr>
        <w:rFonts w:hint="default"/>
      </w:rPr>
    </w:lvl>
    <w:lvl w:ilvl="1">
      <w:start w:val="1"/>
      <w:numFmt w:val="decimal"/>
      <w:isLgl/>
      <w:lvlText w:val="%1.%2"/>
      <w:lvlJc w:val="left"/>
      <w:pPr>
        <w:ind w:left="1436" w:hanging="58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193B10E0"/>
    <w:multiLevelType w:val="multilevel"/>
    <w:tmpl w:val="F9F01CD6"/>
    <w:lvl w:ilvl="0">
      <w:start w:val="1"/>
      <w:numFmt w:val="decimal"/>
      <w:lvlText w:val="%1."/>
      <w:lvlJc w:val="left"/>
      <w:pPr>
        <w:ind w:left="720" w:hanging="360"/>
      </w:pPr>
      <w:rPr>
        <w:rFonts w:hint="default"/>
        <w:b w:val="0"/>
        <w:i w:val="0"/>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B7B71BB"/>
    <w:multiLevelType w:val="hybridMultilevel"/>
    <w:tmpl w:val="D32A6E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C96E79"/>
    <w:multiLevelType w:val="hybridMultilevel"/>
    <w:tmpl w:val="866698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4A16340"/>
    <w:multiLevelType w:val="multilevel"/>
    <w:tmpl w:val="F9F01CD6"/>
    <w:lvl w:ilvl="0">
      <w:start w:val="1"/>
      <w:numFmt w:val="decimal"/>
      <w:lvlText w:val="%1."/>
      <w:lvlJc w:val="left"/>
      <w:pPr>
        <w:ind w:left="720" w:hanging="360"/>
      </w:pPr>
      <w:rPr>
        <w:rFonts w:hint="default"/>
        <w:b w:val="0"/>
        <w:i w:val="0"/>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72B51F6"/>
    <w:multiLevelType w:val="hybridMultilevel"/>
    <w:tmpl w:val="0B3EC9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24E0EAC"/>
    <w:multiLevelType w:val="hybridMultilevel"/>
    <w:tmpl w:val="40B6E526"/>
    <w:lvl w:ilvl="0" w:tplc="90F234E4">
      <w:start w:val="4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88D46B2"/>
    <w:multiLevelType w:val="multilevel"/>
    <w:tmpl w:val="F9F01CD6"/>
    <w:lvl w:ilvl="0">
      <w:start w:val="1"/>
      <w:numFmt w:val="decimal"/>
      <w:lvlText w:val="%1."/>
      <w:lvlJc w:val="left"/>
      <w:pPr>
        <w:ind w:left="720" w:hanging="360"/>
      </w:pPr>
      <w:rPr>
        <w:rFonts w:hint="default"/>
        <w:b w:val="0"/>
        <w:i w:val="0"/>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D551A21"/>
    <w:multiLevelType w:val="multilevel"/>
    <w:tmpl w:val="F9F01CD6"/>
    <w:lvl w:ilvl="0">
      <w:start w:val="1"/>
      <w:numFmt w:val="decimal"/>
      <w:lvlText w:val="%1."/>
      <w:lvlJc w:val="left"/>
      <w:pPr>
        <w:ind w:left="720" w:hanging="360"/>
      </w:pPr>
      <w:rPr>
        <w:rFonts w:hint="default"/>
        <w:b w:val="0"/>
        <w:i w:val="0"/>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EF3284A"/>
    <w:multiLevelType w:val="hybridMultilevel"/>
    <w:tmpl w:val="8DB8752A"/>
    <w:lvl w:ilvl="0" w:tplc="1C090001">
      <w:start w:val="1"/>
      <w:numFmt w:val="bullet"/>
      <w:lvlText w:val=""/>
      <w:lvlJc w:val="left"/>
      <w:pPr>
        <w:ind w:left="1636" w:hanging="360"/>
      </w:pPr>
      <w:rPr>
        <w:rFonts w:ascii="Symbol" w:hAnsi="Symbol" w:hint="default"/>
      </w:rPr>
    </w:lvl>
    <w:lvl w:ilvl="1" w:tplc="1C090003" w:tentative="1">
      <w:start w:val="1"/>
      <w:numFmt w:val="bullet"/>
      <w:lvlText w:val="o"/>
      <w:lvlJc w:val="left"/>
      <w:pPr>
        <w:ind w:left="2356" w:hanging="360"/>
      </w:pPr>
      <w:rPr>
        <w:rFonts w:ascii="Courier New" w:hAnsi="Courier New" w:cs="Courier New" w:hint="default"/>
      </w:rPr>
    </w:lvl>
    <w:lvl w:ilvl="2" w:tplc="1C090005" w:tentative="1">
      <w:start w:val="1"/>
      <w:numFmt w:val="bullet"/>
      <w:lvlText w:val=""/>
      <w:lvlJc w:val="left"/>
      <w:pPr>
        <w:ind w:left="3076" w:hanging="360"/>
      </w:pPr>
      <w:rPr>
        <w:rFonts w:ascii="Wingdings" w:hAnsi="Wingdings" w:hint="default"/>
      </w:rPr>
    </w:lvl>
    <w:lvl w:ilvl="3" w:tplc="1C090001" w:tentative="1">
      <w:start w:val="1"/>
      <w:numFmt w:val="bullet"/>
      <w:lvlText w:val=""/>
      <w:lvlJc w:val="left"/>
      <w:pPr>
        <w:ind w:left="3796" w:hanging="360"/>
      </w:pPr>
      <w:rPr>
        <w:rFonts w:ascii="Symbol" w:hAnsi="Symbol" w:hint="default"/>
      </w:rPr>
    </w:lvl>
    <w:lvl w:ilvl="4" w:tplc="1C090003" w:tentative="1">
      <w:start w:val="1"/>
      <w:numFmt w:val="bullet"/>
      <w:lvlText w:val="o"/>
      <w:lvlJc w:val="left"/>
      <w:pPr>
        <w:ind w:left="4516" w:hanging="360"/>
      </w:pPr>
      <w:rPr>
        <w:rFonts w:ascii="Courier New" w:hAnsi="Courier New" w:cs="Courier New" w:hint="default"/>
      </w:rPr>
    </w:lvl>
    <w:lvl w:ilvl="5" w:tplc="1C090005" w:tentative="1">
      <w:start w:val="1"/>
      <w:numFmt w:val="bullet"/>
      <w:lvlText w:val=""/>
      <w:lvlJc w:val="left"/>
      <w:pPr>
        <w:ind w:left="5236" w:hanging="360"/>
      </w:pPr>
      <w:rPr>
        <w:rFonts w:ascii="Wingdings" w:hAnsi="Wingdings" w:hint="default"/>
      </w:rPr>
    </w:lvl>
    <w:lvl w:ilvl="6" w:tplc="1C090001" w:tentative="1">
      <w:start w:val="1"/>
      <w:numFmt w:val="bullet"/>
      <w:lvlText w:val=""/>
      <w:lvlJc w:val="left"/>
      <w:pPr>
        <w:ind w:left="5956" w:hanging="360"/>
      </w:pPr>
      <w:rPr>
        <w:rFonts w:ascii="Symbol" w:hAnsi="Symbol" w:hint="default"/>
      </w:rPr>
    </w:lvl>
    <w:lvl w:ilvl="7" w:tplc="1C090003" w:tentative="1">
      <w:start w:val="1"/>
      <w:numFmt w:val="bullet"/>
      <w:lvlText w:val="o"/>
      <w:lvlJc w:val="left"/>
      <w:pPr>
        <w:ind w:left="6676" w:hanging="360"/>
      </w:pPr>
      <w:rPr>
        <w:rFonts w:ascii="Courier New" w:hAnsi="Courier New" w:cs="Courier New" w:hint="default"/>
      </w:rPr>
    </w:lvl>
    <w:lvl w:ilvl="8" w:tplc="1C090005" w:tentative="1">
      <w:start w:val="1"/>
      <w:numFmt w:val="bullet"/>
      <w:lvlText w:val=""/>
      <w:lvlJc w:val="left"/>
      <w:pPr>
        <w:ind w:left="7396" w:hanging="360"/>
      </w:pPr>
      <w:rPr>
        <w:rFonts w:ascii="Wingdings" w:hAnsi="Wingdings" w:hint="default"/>
      </w:rPr>
    </w:lvl>
  </w:abstractNum>
  <w:abstractNum w:abstractNumId="13" w15:restartNumberingAfterBreak="0">
    <w:nsid w:val="43FB3C24"/>
    <w:multiLevelType w:val="hybridMultilevel"/>
    <w:tmpl w:val="29DC3A20"/>
    <w:lvl w:ilvl="0" w:tplc="3ECC8052">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15:restartNumberingAfterBreak="0">
    <w:nsid w:val="4B9711CE"/>
    <w:multiLevelType w:val="multilevel"/>
    <w:tmpl w:val="F9F01C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67750B5"/>
    <w:multiLevelType w:val="multilevel"/>
    <w:tmpl w:val="985C8C7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6" w15:restartNumberingAfterBreak="0">
    <w:nsid w:val="56CC12EC"/>
    <w:multiLevelType w:val="hybridMultilevel"/>
    <w:tmpl w:val="2E1A19DE"/>
    <w:lvl w:ilvl="0" w:tplc="9F6A3FFC">
      <w:start w:val="1"/>
      <w:numFmt w:val="decimal"/>
      <w:lvlText w:val="%1."/>
      <w:lvlJc w:val="left"/>
      <w:pPr>
        <w:ind w:left="1211" w:hanging="360"/>
      </w:pPr>
      <w:rPr>
        <w:rFonts w:hint="default"/>
        <w:b/>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7" w15:restartNumberingAfterBreak="0">
    <w:nsid w:val="68722AF2"/>
    <w:multiLevelType w:val="hybridMultilevel"/>
    <w:tmpl w:val="C66E1AD4"/>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8" w15:restartNumberingAfterBreak="0">
    <w:nsid w:val="6D494E98"/>
    <w:multiLevelType w:val="hybridMultilevel"/>
    <w:tmpl w:val="472E1338"/>
    <w:lvl w:ilvl="0" w:tplc="9170F050">
      <w:start w:val="1"/>
      <w:numFmt w:val="lowerLetter"/>
      <w:lvlText w:val="(%1)"/>
      <w:lvlJc w:val="left"/>
      <w:pPr>
        <w:ind w:left="1441" w:hanging="590"/>
      </w:pPr>
      <w:rPr>
        <w:rFonts w:hint="default"/>
        <w:b w:val="0"/>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9" w15:restartNumberingAfterBreak="0">
    <w:nsid w:val="724349ED"/>
    <w:multiLevelType w:val="hybridMultilevel"/>
    <w:tmpl w:val="D16215CE"/>
    <w:lvl w:ilvl="0" w:tplc="1C09000F">
      <w:start w:val="5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74C656B"/>
    <w:multiLevelType w:val="multilevel"/>
    <w:tmpl w:val="F9F01CD6"/>
    <w:lvl w:ilvl="0">
      <w:start w:val="1"/>
      <w:numFmt w:val="decimal"/>
      <w:lvlText w:val="%1."/>
      <w:lvlJc w:val="left"/>
      <w:pPr>
        <w:ind w:left="720" w:hanging="360"/>
      </w:pPr>
      <w:rPr>
        <w:rFonts w:hint="default"/>
        <w:b w:val="0"/>
        <w:i w:val="0"/>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C117056"/>
    <w:multiLevelType w:val="hybridMultilevel"/>
    <w:tmpl w:val="B77A6A60"/>
    <w:lvl w:ilvl="0" w:tplc="BF661DB8">
      <w:start w:val="1"/>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1"/>
  </w:num>
  <w:num w:numId="3">
    <w:abstractNumId w:val="10"/>
  </w:num>
  <w:num w:numId="4">
    <w:abstractNumId w:val="6"/>
  </w:num>
  <w:num w:numId="5">
    <w:abstractNumId w:val="12"/>
  </w:num>
  <w:num w:numId="6">
    <w:abstractNumId w:val="2"/>
  </w:num>
  <w:num w:numId="7">
    <w:abstractNumId w:val="3"/>
  </w:num>
  <w:num w:numId="8">
    <w:abstractNumId w:val="19"/>
  </w:num>
  <w:num w:numId="9">
    <w:abstractNumId w:val="9"/>
  </w:num>
  <w:num w:numId="10">
    <w:abstractNumId w:val="0"/>
  </w:num>
  <w:num w:numId="11">
    <w:abstractNumId w:val="17"/>
  </w:num>
  <w:num w:numId="12">
    <w:abstractNumId w:val="8"/>
  </w:num>
  <w:num w:numId="13">
    <w:abstractNumId w:val="5"/>
  </w:num>
  <w:num w:numId="14">
    <w:abstractNumId w:val="15"/>
  </w:num>
  <w:num w:numId="15">
    <w:abstractNumId w:val="11"/>
  </w:num>
  <w:num w:numId="16">
    <w:abstractNumId w:val="4"/>
  </w:num>
  <w:num w:numId="17">
    <w:abstractNumId w:val="20"/>
  </w:num>
  <w:num w:numId="18">
    <w:abstractNumId w:val="7"/>
  </w:num>
  <w:num w:numId="19">
    <w:abstractNumId w:val="18"/>
  </w:num>
  <w:num w:numId="20">
    <w:abstractNumId w:val="14"/>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79"/>
    <w:rsid w:val="00002866"/>
    <w:rsid w:val="00002879"/>
    <w:rsid w:val="0001265C"/>
    <w:rsid w:val="00024CBB"/>
    <w:rsid w:val="00025351"/>
    <w:rsid w:val="000375E4"/>
    <w:rsid w:val="000400E1"/>
    <w:rsid w:val="00056FF1"/>
    <w:rsid w:val="0005764E"/>
    <w:rsid w:val="000659A1"/>
    <w:rsid w:val="000815AC"/>
    <w:rsid w:val="00083EA1"/>
    <w:rsid w:val="000939D9"/>
    <w:rsid w:val="000940FF"/>
    <w:rsid w:val="0009458F"/>
    <w:rsid w:val="000A38D9"/>
    <w:rsid w:val="000A4A18"/>
    <w:rsid w:val="000A7B54"/>
    <w:rsid w:val="000B027E"/>
    <w:rsid w:val="000B5D4D"/>
    <w:rsid w:val="000B6DC3"/>
    <w:rsid w:val="000D4046"/>
    <w:rsid w:val="000D774C"/>
    <w:rsid w:val="000E1EB6"/>
    <w:rsid w:val="000E702C"/>
    <w:rsid w:val="00101892"/>
    <w:rsid w:val="00107DC2"/>
    <w:rsid w:val="00123463"/>
    <w:rsid w:val="001237DA"/>
    <w:rsid w:val="00135E94"/>
    <w:rsid w:val="00145BE1"/>
    <w:rsid w:val="00147976"/>
    <w:rsid w:val="00154529"/>
    <w:rsid w:val="00155D95"/>
    <w:rsid w:val="001622E8"/>
    <w:rsid w:val="00162918"/>
    <w:rsid w:val="0016384A"/>
    <w:rsid w:val="00164DEA"/>
    <w:rsid w:val="0017135D"/>
    <w:rsid w:val="00174F85"/>
    <w:rsid w:val="00176158"/>
    <w:rsid w:val="00191E4D"/>
    <w:rsid w:val="00196AF6"/>
    <w:rsid w:val="001A5CF4"/>
    <w:rsid w:val="001B14E3"/>
    <w:rsid w:val="001B1C48"/>
    <w:rsid w:val="001C2D62"/>
    <w:rsid w:val="001C5C77"/>
    <w:rsid w:val="001C5EB5"/>
    <w:rsid w:val="001C7EEE"/>
    <w:rsid w:val="001D7C4A"/>
    <w:rsid w:val="001E7ADA"/>
    <w:rsid w:val="00200EB5"/>
    <w:rsid w:val="002079CA"/>
    <w:rsid w:val="0024650B"/>
    <w:rsid w:val="0024688B"/>
    <w:rsid w:val="0024699D"/>
    <w:rsid w:val="0025010F"/>
    <w:rsid w:val="00254FB3"/>
    <w:rsid w:val="00265838"/>
    <w:rsid w:val="002665FA"/>
    <w:rsid w:val="00274D0C"/>
    <w:rsid w:val="00277105"/>
    <w:rsid w:val="00283C82"/>
    <w:rsid w:val="00286426"/>
    <w:rsid w:val="0029504B"/>
    <w:rsid w:val="002C0486"/>
    <w:rsid w:val="002C2FD4"/>
    <w:rsid w:val="002D2057"/>
    <w:rsid w:val="002E58B3"/>
    <w:rsid w:val="002F0BDE"/>
    <w:rsid w:val="002F57E1"/>
    <w:rsid w:val="00322A86"/>
    <w:rsid w:val="00335363"/>
    <w:rsid w:val="0034565C"/>
    <w:rsid w:val="003571A6"/>
    <w:rsid w:val="0036749F"/>
    <w:rsid w:val="00370A4D"/>
    <w:rsid w:val="0038343D"/>
    <w:rsid w:val="0038596A"/>
    <w:rsid w:val="003975EC"/>
    <w:rsid w:val="003A3FE5"/>
    <w:rsid w:val="003B0133"/>
    <w:rsid w:val="003B1508"/>
    <w:rsid w:val="003B5202"/>
    <w:rsid w:val="003C76A4"/>
    <w:rsid w:val="003E15A6"/>
    <w:rsid w:val="003E2C05"/>
    <w:rsid w:val="003E444F"/>
    <w:rsid w:val="003F37B2"/>
    <w:rsid w:val="003F570E"/>
    <w:rsid w:val="004223EC"/>
    <w:rsid w:val="00430078"/>
    <w:rsid w:val="00432532"/>
    <w:rsid w:val="00440101"/>
    <w:rsid w:val="00442218"/>
    <w:rsid w:val="00464D8E"/>
    <w:rsid w:val="00466844"/>
    <w:rsid w:val="00475BB0"/>
    <w:rsid w:val="004831B7"/>
    <w:rsid w:val="0049069C"/>
    <w:rsid w:val="0049502E"/>
    <w:rsid w:val="004975E5"/>
    <w:rsid w:val="004B3C5F"/>
    <w:rsid w:val="004B464C"/>
    <w:rsid w:val="004C1508"/>
    <w:rsid w:val="004F775C"/>
    <w:rsid w:val="005059E0"/>
    <w:rsid w:val="00517952"/>
    <w:rsid w:val="00527718"/>
    <w:rsid w:val="00530F50"/>
    <w:rsid w:val="00532F7A"/>
    <w:rsid w:val="005376D0"/>
    <w:rsid w:val="005715F2"/>
    <w:rsid w:val="005735BB"/>
    <w:rsid w:val="00575FAE"/>
    <w:rsid w:val="005770B4"/>
    <w:rsid w:val="005850DA"/>
    <w:rsid w:val="00593B8F"/>
    <w:rsid w:val="00595DE6"/>
    <w:rsid w:val="00597279"/>
    <w:rsid w:val="005A59D1"/>
    <w:rsid w:val="005B2949"/>
    <w:rsid w:val="005C1B33"/>
    <w:rsid w:val="005D7E00"/>
    <w:rsid w:val="005E11CC"/>
    <w:rsid w:val="005F7C37"/>
    <w:rsid w:val="006012CB"/>
    <w:rsid w:val="006035AA"/>
    <w:rsid w:val="0062192F"/>
    <w:rsid w:val="006229BA"/>
    <w:rsid w:val="006267A5"/>
    <w:rsid w:val="00631AB2"/>
    <w:rsid w:val="006479DF"/>
    <w:rsid w:val="00652FB4"/>
    <w:rsid w:val="0065729A"/>
    <w:rsid w:val="006644AD"/>
    <w:rsid w:val="00666244"/>
    <w:rsid w:val="00672065"/>
    <w:rsid w:val="00674682"/>
    <w:rsid w:val="00675664"/>
    <w:rsid w:val="0067572B"/>
    <w:rsid w:val="00676362"/>
    <w:rsid w:val="006804F6"/>
    <w:rsid w:val="0068164C"/>
    <w:rsid w:val="00682F15"/>
    <w:rsid w:val="00686989"/>
    <w:rsid w:val="00687A69"/>
    <w:rsid w:val="00691EE7"/>
    <w:rsid w:val="0069415D"/>
    <w:rsid w:val="006A20DF"/>
    <w:rsid w:val="006A360E"/>
    <w:rsid w:val="006B0FD1"/>
    <w:rsid w:val="006B2B79"/>
    <w:rsid w:val="006D6AA1"/>
    <w:rsid w:val="006D70F8"/>
    <w:rsid w:val="006E680E"/>
    <w:rsid w:val="006F0E05"/>
    <w:rsid w:val="00702F08"/>
    <w:rsid w:val="007119CB"/>
    <w:rsid w:val="00717299"/>
    <w:rsid w:val="007211B6"/>
    <w:rsid w:val="00725675"/>
    <w:rsid w:val="00733DA1"/>
    <w:rsid w:val="00736E3F"/>
    <w:rsid w:val="00750A54"/>
    <w:rsid w:val="00763720"/>
    <w:rsid w:val="0077316C"/>
    <w:rsid w:val="0077316F"/>
    <w:rsid w:val="00776F6B"/>
    <w:rsid w:val="00783D68"/>
    <w:rsid w:val="00784EB1"/>
    <w:rsid w:val="00785549"/>
    <w:rsid w:val="00786E15"/>
    <w:rsid w:val="007A005B"/>
    <w:rsid w:val="007A232E"/>
    <w:rsid w:val="007A26BA"/>
    <w:rsid w:val="007A3704"/>
    <w:rsid w:val="007A396E"/>
    <w:rsid w:val="007B6D6F"/>
    <w:rsid w:val="007C46A1"/>
    <w:rsid w:val="007C6F78"/>
    <w:rsid w:val="007E78C1"/>
    <w:rsid w:val="007F59B5"/>
    <w:rsid w:val="007F624B"/>
    <w:rsid w:val="007F7A98"/>
    <w:rsid w:val="008004BC"/>
    <w:rsid w:val="008055FF"/>
    <w:rsid w:val="00806522"/>
    <w:rsid w:val="00820AA5"/>
    <w:rsid w:val="0082192E"/>
    <w:rsid w:val="00836484"/>
    <w:rsid w:val="008370C0"/>
    <w:rsid w:val="00837B8C"/>
    <w:rsid w:val="00845122"/>
    <w:rsid w:val="0084554B"/>
    <w:rsid w:val="0084597C"/>
    <w:rsid w:val="0084783A"/>
    <w:rsid w:val="00850509"/>
    <w:rsid w:val="00852C51"/>
    <w:rsid w:val="00860DDA"/>
    <w:rsid w:val="008649B3"/>
    <w:rsid w:val="00867423"/>
    <w:rsid w:val="00897038"/>
    <w:rsid w:val="008A063E"/>
    <w:rsid w:val="008A31F6"/>
    <w:rsid w:val="008B2A14"/>
    <w:rsid w:val="008B2CEA"/>
    <w:rsid w:val="008B3000"/>
    <w:rsid w:val="008B421E"/>
    <w:rsid w:val="008C3857"/>
    <w:rsid w:val="008C4F9A"/>
    <w:rsid w:val="008D2C80"/>
    <w:rsid w:val="008E2257"/>
    <w:rsid w:val="008F76FB"/>
    <w:rsid w:val="00915BB2"/>
    <w:rsid w:val="009263C1"/>
    <w:rsid w:val="009267E6"/>
    <w:rsid w:val="009424A7"/>
    <w:rsid w:val="009477F1"/>
    <w:rsid w:val="00956687"/>
    <w:rsid w:val="00963FE6"/>
    <w:rsid w:val="00965432"/>
    <w:rsid w:val="00966DA1"/>
    <w:rsid w:val="00974386"/>
    <w:rsid w:val="00977660"/>
    <w:rsid w:val="00980821"/>
    <w:rsid w:val="009957CE"/>
    <w:rsid w:val="009A15E0"/>
    <w:rsid w:val="009B40A0"/>
    <w:rsid w:val="009B69F2"/>
    <w:rsid w:val="009C74D5"/>
    <w:rsid w:val="009D5CA8"/>
    <w:rsid w:val="009E3A93"/>
    <w:rsid w:val="009F2EE2"/>
    <w:rsid w:val="009F3DB9"/>
    <w:rsid w:val="009F5810"/>
    <w:rsid w:val="009F65BA"/>
    <w:rsid w:val="009F6AF5"/>
    <w:rsid w:val="00A07619"/>
    <w:rsid w:val="00A11048"/>
    <w:rsid w:val="00A148AF"/>
    <w:rsid w:val="00A179FB"/>
    <w:rsid w:val="00A2683C"/>
    <w:rsid w:val="00A26A50"/>
    <w:rsid w:val="00A34B74"/>
    <w:rsid w:val="00A556FE"/>
    <w:rsid w:val="00A62766"/>
    <w:rsid w:val="00A63447"/>
    <w:rsid w:val="00A65137"/>
    <w:rsid w:val="00A73E1F"/>
    <w:rsid w:val="00A9239C"/>
    <w:rsid w:val="00AA4EB0"/>
    <w:rsid w:val="00AA57CD"/>
    <w:rsid w:val="00AB25A9"/>
    <w:rsid w:val="00AC5CBA"/>
    <w:rsid w:val="00AD570E"/>
    <w:rsid w:val="00B06851"/>
    <w:rsid w:val="00B16703"/>
    <w:rsid w:val="00B3627A"/>
    <w:rsid w:val="00B533FE"/>
    <w:rsid w:val="00B549F3"/>
    <w:rsid w:val="00B61675"/>
    <w:rsid w:val="00B703A4"/>
    <w:rsid w:val="00BB131D"/>
    <w:rsid w:val="00BC3061"/>
    <w:rsid w:val="00BC3882"/>
    <w:rsid w:val="00BC4F38"/>
    <w:rsid w:val="00BC54A3"/>
    <w:rsid w:val="00BC6277"/>
    <w:rsid w:val="00BD71E5"/>
    <w:rsid w:val="00BD776B"/>
    <w:rsid w:val="00BE1C82"/>
    <w:rsid w:val="00BE51B0"/>
    <w:rsid w:val="00BF30C4"/>
    <w:rsid w:val="00C02AAA"/>
    <w:rsid w:val="00C0349C"/>
    <w:rsid w:val="00C034B8"/>
    <w:rsid w:val="00C07944"/>
    <w:rsid w:val="00C10CBE"/>
    <w:rsid w:val="00C25072"/>
    <w:rsid w:val="00C255B6"/>
    <w:rsid w:val="00C3070F"/>
    <w:rsid w:val="00C3266E"/>
    <w:rsid w:val="00C446C3"/>
    <w:rsid w:val="00C5252D"/>
    <w:rsid w:val="00C52B13"/>
    <w:rsid w:val="00C65866"/>
    <w:rsid w:val="00C66795"/>
    <w:rsid w:val="00C77EF6"/>
    <w:rsid w:val="00C80365"/>
    <w:rsid w:val="00C92B47"/>
    <w:rsid w:val="00C92CFC"/>
    <w:rsid w:val="00CA4578"/>
    <w:rsid w:val="00CB135C"/>
    <w:rsid w:val="00CB73F0"/>
    <w:rsid w:val="00CC4386"/>
    <w:rsid w:val="00CD1751"/>
    <w:rsid w:val="00CD437F"/>
    <w:rsid w:val="00CD78D5"/>
    <w:rsid w:val="00CE2AE5"/>
    <w:rsid w:val="00CF1EFB"/>
    <w:rsid w:val="00CF2332"/>
    <w:rsid w:val="00D12D46"/>
    <w:rsid w:val="00D17FF5"/>
    <w:rsid w:val="00D233D9"/>
    <w:rsid w:val="00D31554"/>
    <w:rsid w:val="00D3393F"/>
    <w:rsid w:val="00D36D5F"/>
    <w:rsid w:val="00D408E0"/>
    <w:rsid w:val="00D44E2B"/>
    <w:rsid w:val="00D47DFA"/>
    <w:rsid w:val="00D55895"/>
    <w:rsid w:val="00D6385C"/>
    <w:rsid w:val="00D7193F"/>
    <w:rsid w:val="00D7307C"/>
    <w:rsid w:val="00D8158B"/>
    <w:rsid w:val="00D83600"/>
    <w:rsid w:val="00D84039"/>
    <w:rsid w:val="00D855DE"/>
    <w:rsid w:val="00D85E2C"/>
    <w:rsid w:val="00D97899"/>
    <w:rsid w:val="00DA4A61"/>
    <w:rsid w:val="00DA696E"/>
    <w:rsid w:val="00DB4E58"/>
    <w:rsid w:val="00DB759C"/>
    <w:rsid w:val="00DC56DE"/>
    <w:rsid w:val="00DD0478"/>
    <w:rsid w:val="00DE18E3"/>
    <w:rsid w:val="00DE1E93"/>
    <w:rsid w:val="00DF6060"/>
    <w:rsid w:val="00E00118"/>
    <w:rsid w:val="00E01540"/>
    <w:rsid w:val="00E07216"/>
    <w:rsid w:val="00E11156"/>
    <w:rsid w:val="00E20A7A"/>
    <w:rsid w:val="00E416C2"/>
    <w:rsid w:val="00E60695"/>
    <w:rsid w:val="00E60B57"/>
    <w:rsid w:val="00E64D66"/>
    <w:rsid w:val="00E74C15"/>
    <w:rsid w:val="00E82660"/>
    <w:rsid w:val="00E91825"/>
    <w:rsid w:val="00E91FC7"/>
    <w:rsid w:val="00E92A1C"/>
    <w:rsid w:val="00EA2BB2"/>
    <w:rsid w:val="00EA6D2B"/>
    <w:rsid w:val="00EC4A8D"/>
    <w:rsid w:val="00ED4A2B"/>
    <w:rsid w:val="00EE6F6C"/>
    <w:rsid w:val="00EE7D0B"/>
    <w:rsid w:val="00EF01F2"/>
    <w:rsid w:val="00EF134F"/>
    <w:rsid w:val="00EF667C"/>
    <w:rsid w:val="00EF7176"/>
    <w:rsid w:val="00EF7234"/>
    <w:rsid w:val="00F04E58"/>
    <w:rsid w:val="00F0600B"/>
    <w:rsid w:val="00F07FEB"/>
    <w:rsid w:val="00F143A6"/>
    <w:rsid w:val="00F219C8"/>
    <w:rsid w:val="00F2418C"/>
    <w:rsid w:val="00F34870"/>
    <w:rsid w:val="00F35940"/>
    <w:rsid w:val="00F47829"/>
    <w:rsid w:val="00F47D14"/>
    <w:rsid w:val="00F652ED"/>
    <w:rsid w:val="00F8483B"/>
    <w:rsid w:val="00F90F01"/>
    <w:rsid w:val="00F9148E"/>
    <w:rsid w:val="00F9636D"/>
    <w:rsid w:val="00FA0AA2"/>
    <w:rsid w:val="00FB2A79"/>
    <w:rsid w:val="00FB348D"/>
    <w:rsid w:val="00FB3B7A"/>
    <w:rsid w:val="00FF6D57"/>
    <w:rsid w:val="00FF78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imes New Roman"/>
        <w:sz w:val="24"/>
        <w:szCs w:val="24"/>
        <w:vertAlign w:val="superscript"/>
        <w:lang w:val="en-Z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279"/>
    <w:pPr>
      <w:jc w:val="left"/>
    </w:pPr>
    <w:rPr>
      <w:rFonts w:ascii="Times New Roman" w:eastAsia="Times New Roman" w:hAnsi="Times New Roman"/>
      <w:sz w:val="20"/>
      <w:szCs w:val="20"/>
      <w:vertAlign w:val="baseline"/>
    </w:rPr>
  </w:style>
  <w:style w:type="paragraph" w:styleId="Heading1">
    <w:name w:val="heading 1"/>
    <w:basedOn w:val="Normal"/>
    <w:next w:val="Normal"/>
    <w:link w:val="Heading1Char"/>
    <w:qFormat/>
    <w:rsid w:val="00597279"/>
    <w:pPr>
      <w:keepNext/>
      <w:numPr>
        <w:numId w:val="1"/>
      </w:numPr>
      <w:jc w:val="center"/>
      <w:outlineLvl w:val="0"/>
    </w:pPr>
    <w:rPr>
      <w:rFonts w:ascii="Arial Black" w:hAnsi="Arial Black"/>
      <w:b/>
      <w:sz w:val="32"/>
    </w:rPr>
  </w:style>
  <w:style w:type="paragraph" w:styleId="Heading2">
    <w:name w:val="heading 2"/>
    <w:basedOn w:val="Normal"/>
    <w:next w:val="Normal"/>
    <w:link w:val="Heading2Char"/>
    <w:qFormat/>
    <w:rsid w:val="00597279"/>
    <w:pPr>
      <w:keepNext/>
      <w:numPr>
        <w:ilvl w:val="1"/>
        <w:numId w:val="1"/>
      </w:numPr>
      <w:outlineLvl w:val="1"/>
    </w:pPr>
    <w:rPr>
      <w:rFonts w:ascii="Arial" w:hAnsi="Arial"/>
      <w:b/>
      <w:sz w:val="28"/>
    </w:rPr>
  </w:style>
  <w:style w:type="paragraph" w:styleId="Heading3">
    <w:name w:val="heading 3"/>
    <w:basedOn w:val="Normal"/>
    <w:next w:val="Normal"/>
    <w:link w:val="Heading3Char"/>
    <w:qFormat/>
    <w:rsid w:val="00597279"/>
    <w:pPr>
      <w:keepNext/>
      <w:numPr>
        <w:ilvl w:val="2"/>
        <w:numId w:val="1"/>
      </w:numPr>
      <w:pBdr>
        <w:bottom w:val="single" w:sz="12" w:space="1" w:color="auto"/>
      </w:pBdr>
      <w:jc w:val="center"/>
      <w:outlineLvl w:val="2"/>
    </w:pPr>
    <w:rPr>
      <w:rFonts w:ascii="Arial Black" w:hAnsi="Arial Black"/>
      <w:b/>
      <w:sz w:val="28"/>
    </w:rPr>
  </w:style>
  <w:style w:type="paragraph" w:styleId="Heading4">
    <w:name w:val="heading 4"/>
    <w:basedOn w:val="Normal"/>
    <w:next w:val="Normal"/>
    <w:link w:val="Heading4Char"/>
    <w:qFormat/>
    <w:rsid w:val="00597279"/>
    <w:pPr>
      <w:keepNext/>
      <w:numPr>
        <w:ilvl w:val="3"/>
        <w:numId w:val="1"/>
      </w:numPr>
      <w:outlineLvl w:val="3"/>
    </w:pPr>
    <w:rPr>
      <w:rFonts w:ascii="Arial Black" w:hAnsi="Arial Black"/>
      <w:sz w:val="28"/>
    </w:rPr>
  </w:style>
  <w:style w:type="paragraph" w:styleId="Heading7">
    <w:name w:val="heading 7"/>
    <w:basedOn w:val="Normal"/>
    <w:next w:val="Normal"/>
    <w:link w:val="Heading7Char"/>
    <w:qFormat/>
    <w:rsid w:val="00597279"/>
    <w:pPr>
      <w:keepNext/>
      <w:numPr>
        <w:ilvl w:val="6"/>
        <w:numId w:val="1"/>
      </w:numPr>
      <w:spacing w:line="360" w:lineRule="auto"/>
      <w:jc w:val="both"/>
      <w:outlineLvl w:val="6"/>
    </w:pPr>
    <w:rPr>
      <w:rFonts w:ascii="Arial" w:hAnsi="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279"/>
    <w:rPr>
      <w:rFonts w:ascii="Arial Black" w:eastAsia="Times New Roman" w:hAnsi="Arial Black"/>
      <w:b/>
      <w:sz w:val="32"/>
      <w:szCs w:val="20"/>
      <w:vertAlign w:val="baseline"/>
    </w:rPr>
  </w:style>
  <w:style w:type="character" w:customStyle="1" w:styleId="Heading2Char">
    <w:name w:val="Heading 2 Char"/>
    <w:basedOn w:val="DefaultParagraphFont"/>
    <w:link w:val="Heading2"/>
    <w:rsid w:val="00597279"/>
    <w:rPr>
      <w:rFonts w:ascii="Arial" w:eastAsia="Times New Roman" w:hAnsi="Arial"/>
      <w:b/>
      <w:sz w:val="28"/>
      <w:szCs w:val="20"/>
      <w:vertAlign w:val="baseline"/>
    </w:rPr>
  </w:style>
  <w:style w:type="character" w:customStyle="1" w:styleId="Heading3Char">
    <w:name w:val="Heading 3 Char"/>
    <w:basedOn w:val="DefaultParagraphFont"/>
    <w:link w:val="Heading3"/>
    <w:rsid w:val="00597279"/>
    <w:rPr>
      <w:rFonts w:ascii="Arial Black" w:eastAsia="Times New Roman" w:hAnsi="Arial Black"/>
      <w:b/>
      <w:sz w:val="28"/>
      <w:szCs w:val="20"/>
      <w:vertAlign w:val="baseline"/>
    </w:rPr>
  </w:style>
  <w:style w:type="character" w:customStyle="1" w:styleId="Heading4Char">
    <w:name w:val="Heading 4 Char"/>
    <w:basedOn w:val="DefaultParagraphFont"/>
    <w:link w:val="Heading4"/>
    <w:rsid w:val="00597279"/>
    <w:rPr>
      <w:rFonts w:ascii="Arial Black" w:eastAsia="Times New Roman" w:hAnsi="Arial Black"/>
      <w:sz w:val="28"/>
      <w:szCs w:val="20"/>
      <w:vertAlign w:val="baseline"/>
    </w:rPr>
  </w:style>
  <w:style w:type="character" w:customStyle="1" w:styleId="Heading7Char">
    <w:name w:val="Heading 7 Char"/>
    <w:basedOn w:val="DefaultParagraphFont"/>
    <w:link w:val="Heading7"/>
    <w:rsid w:val="00597279"/>
    <w:rPr>
      <w:rFonts w:ascii="Arial" w:eastAsia="Times New Roman" w:hAnsi="Arial"/>
      <w:b/>
      <w:bCs/>
      <w:i/>
      <w:iCs/>
      <w:vertAlign w:val="baseline"/>
    </w:rPr>
  </w:style>
  <w:style w:type="table" w:styleId="TableGrid">
    <w:name w:val="Table Grid"/>
    <w:basedOn w:val="TableNormal"/>
    <w:uiPriority w:val="59"/>
    <w:rsid w:val="00597279"/>
    <w:pPr>
      <w:jc w:val="left"/>
    </w:pPr>
    <w:rPr>
      <w:rFonts w:asciiTheme="minorHAnsi" w:eastAsia="Batang" w:hAnsiTheme="minorHAnsi" w:cstheme="minorBidi"/>
      <w:sz w:val="22"/>
      <w:szCs w:val="22"/>
      <w:vertAlign w:val="baseline"/>
      <w:lang w:val="af-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279"/>
    <w:pPr>
      <w:ind w:left="720"/>
      <w:contextualSpacing/>
    </w:pPr>
  </w:style>
  <w:style w:type="paragraph" w:styleId="Header">
    <w:name w:val="header"/>
    <w:basedOn w:val="Normal"/>
    <w:link w:val="HeaderChar"/>
    <w:uiPriority w:val="99"/>
    <w:unhideWhenUsed/>
    <w:rsid w:val="00837B8C"/>
    <w:pPr>
      <w:tabs>
        <w:tab w:val="center" w:pos="4513"/>
        <w:tab w:val="right" w:pos="9026"/>
      </w:tabs>
    </w:pPr>
  </w:style>
  <w:style w:type="character" w:customStyle="1" w:styleId="HeaderChar">
    <w:name w:val="Header Char"/>
    <w:basedOn w:val="DefaultParagraphFont"/>
    <w:link w:val="Header"/>
    <w:uiPriority w:val="99"/>
    <w:rsid w:val="00837B8C"/>
    <w:rPr>
      <w:rFonts w:ascii="Times New Roman" w:eastAsia="Times New Roman" w:hAnsi="Times New Roman"/>
      <w:sz w:val="20"/>
      <w:szCs w:val="20"/>
      <w:vertAlign w:val="baseline"/>
    </w:rPr>
  </w:style>
  <w:style w:type="paragraph" w:styleId="Footer">
    <w:name w:val="footer"/>
    <w:basedOn w:val="Normal"/>
    <w:link w:val="FooterChar"/>
    <w:uiPriority w:val="99"/>
    <w:unhideWhenUsed/>
    <w:rsid w:val="00837B8C"/>
    <w:pPr>
      <w:tabs>
        <w:tab w:val="center" w:pos="4513"/>
        <w:tab w:val="right" w:pos="9026"/>
      </w:tabs>
    </w:pPr>
  </w:style>
  <w:style w:type="character" w:customStyle="1" w:styleId="FooterChar">
    <w:name w:val="Footer Char"/>
    <w:basedOn w:val="DefaultParagraphFont"/>
    <w:link w:val="Footer"/>
    <w:uiPriority w:val="99"/>
    <w:rsid w:val="00837B8C"/>
    <w:rPr>
      <w:rFonts w:ascii="Times New Roman" w:eastAsia="Times New Roman" w:hAnsi="Times New Roman"/>
      <w:sz w:val="20"/>
      <w:szCs w:val="20"/>
      <w:vertAlign w:val="baseline"/>
    </w:rPr>
  </w:style>
  <w:style w:type="paragraph" w:styleId="FootnoteText">
    <w:name w:val="footnote text"/>
    <w:basedOn w:val="Normal"/>
    <w:link w:val="FootnoteTextChar"/>
    <w:unhideWhenUsed/>
    <w:rsid w:val="00837B8C"/>
  </w:style>
  <w:style w:type="character" w:customStyle="1" w:styleId="FootnoteTextChar">
    <w:name w:val="Footnote Text Char"/>
    <w:basedOn w:val="DefaultParagraphFont"/>
    <w:link w:val="FootnoteText"/>
    <w:rsid w:val="00837B8C"/>
    <w:rPr>
      <w:rFonts w:ascii="Times New Roman" w:eastAsia="Times New Roman" w:hAnsi="Times New Roman"/>
      <w:sz w:val="20"/>
      <w:szCs w:val="20"/>
      <w:vertAlign w:val="baseline"/>
    </w:rPr>
  </w:style>
  <w:style w:type="character" w:styleId="FootnoteReference">
    <w:name w:val="footnote reference"/>
    <w:basedOn w:val="DefaultParagraphFont"/>
    <w:uiPriority w:val="99"/>
    <w:semiHidden/>
    <w:unhideWhenUsed/>
    <w:rsid w:val="00837B8C"/>
    <w:rPr>
      <w:vertAlign w:val="superscript"/>
    </w:rPr>
  </w:style>
  <w:style w:type="character" w:styleId="CommentReference">
    <w:name w:val="annotation reference"/>
    <w:basedOn w:val="DefaultParagraphFont"/>
    <w:uiPriority w:val="99"/>
    <w:semiHidden/>
    <w:unhideWhenUsed/>
    <w:rsid w:val="00FF6D57"/>
    <w:rPr>
      <w:sz w:val="16"/>
      <w:szCs w:val="16"/>
    </w:rPr>
  </w:style>
  <w:style w:type="paragraph" w:styleId="CommentText">
    <w:name w:val="annotation text"/>
    <w:basedOn w:val="Normal"/>
    <w:link w:val="CommentTextChar"/>
    <w:uiPriority w:val="99"/>
    <w:semiHidden/>
    <w:unhideWhenUsed/>
    <w:rsid w:val="00FF6D57"/>
  </w:style>
  <w:style w:type="character" w:customStyle="1" w:styleId="CommentTextChar">
    <w:name w:val="Comment Text Char"/>
    <w:basedOn w:val="DefaultParagraphFont"/>
    <w:link w:val="CommentText"/>
    <w:uiPriority w:val="99"/>
    <w:semiHidden/>
    <w:rsid w:val="00FF6D57"/>
    <w:rPr>
      <w:rFonts w:ascii="Times New Roman" w:eastAsia="Times New Roman" w:hAnsi="Times New Roman"/>
      <w:sz w:val="20"/>
      <w:szCs w:val="20"/>
      <w:vertAlign w:val="baseline"/>
    </w:rPr>
  </w:style>
  <w:style w:type="paragraph" w:styleId="CommentSubject">
    <w:name w:val="annotation subject"/>
    <w:basedOn w:val="CommentText"/>
    <w:next w:val="CommentText"/>
    <w:link w:val="CommentSubjectChar"/>
    <w:uiPriority w:val="99"/>
    <w:semiHidden/>
    <w:unhideWhenUsed/>
    <w:rsid w:val="00FF6D57"/>
    <w:rPr>
      <w:b/>
      <w:bCs/>
    </w:rPr>
  </w:style>
  <w:style w:type="character" w:customStyle="1" w:styleId="CommentSubjectChar">
    <w:name w:val="Comment Subject Char"/>
    <w:basedOn w:val="CommentTextChar"/>
    <w:link w:val="CommentSubject"/>
    <w:uiPriority w:val="99"/>
    <w:semiHidden/>
    <w:rsid w:val="00FF6D57"/>
    <w:rPr>
      <w:rFonts w:ascii="Times New Roman" w:eastAsia="Times New Roman" w:hAnsi="Times New Roman"/>
      <w:b/>
      <w:bCs/>
      <w:sz w:val="20"/>
      <w:szCs w:val="20"/>
      <w:vertAlign w:val="baseline"/>
    </w:rPr>
  </w:style>
  <w:style w:type="paragraph" w:styleId="BalloonText">
    <w:name w:val="Balloon Text"/>
    <w:basedOn w:val="Normal"/>
    <w:link w:val="BalloonTextChar"/>
    <w:uiPriority w:val="99"/>
    <w:semiHidden/>
    <w:unhideWhenUsed/>
    <w:rsid w:val="00FF6D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D57"/>
    <w:rPr>
      <w:rFonts w:ascii="Segoe UI" w:eastAsia="Times New Roman" w:hAnsi="Segoe UI" w:cs="Segoe UI"/>
      <w:sz w:val="18"/>
      <w:szCs w:val="18"/>
      <w:vertAlign w:val="baseline"/>
    </w:rPr>
  </w:style>
  <w:style w:type="paragraph" w:customStyle="1" w:styleId="Legal1">
    <w:name w:val="Legal 1"/>
    <w:uiPriority w:val="99"/>
    <w:rsid w:val="00A62766"/>
    <w:pPr>
      <w:widowControl w:val="0"/>
      <w:autoSpaceDE w:val="0"/>
      <w:autoSpaceDN w:val="0"/>
      <w:adjustRightInd w:val="0"/>
    </w:pPr>
    <w:rPr>
      <w:rFonts w:ascii="Times New Roman" w:eastAsiaTheme="minorEastAsia" w:hAnsi="Times New Roman"/>
      <w:vertAlign w:val="baseline"/>
      <w:lang w:val="en-US" w:eastAsia="en-ZA"/>
    </w:rPr>
  </w:style>
  <w:style w:type="paragraph" w:customStyle="1" w:styleId="normaltext">
    <w:name w:val="normaltext"/>
    <w:basedOn w:val="Normal"/>
    <w:rsid w:val="006229BA"/>
    <w:pPr>
      <w:spacing w:before="100" w:beforeAutospacing="1" w:after="100" w:afterAutospacing="1"/>
    </w:pPr>
    <w:rPr>
      <w:sz w:val="24"/>
      <w:szCs w:val="24"/>
      <w:lang w:eastAsia="en-ZA"/>
    </w:rPr>
  </w:style>
  <w:style w:type="paragraph" w:customStyle="1" w:styleId="footnote-x">
    <w:name w:val="footnote-x"/>
    <w:basedOn w:val="Normal"/>
    <w:rsid w:val="006229BA"/>
    <w:pPr>
      <w:spacing w:before="100" w:beforeAutospacing="1" w:after="100" w:afterAutospacing="1"/>
    </w:pPr>
    <w:rPr>
      <w:sz w:val="24"/>
      <w:szCs w:val="24"/>
      <w:lang w:eastAsia="en-ZA"/>
    </w:rPr>
  </w:style>
  <w:style w:type="paragraph" w:customStyle="1" w:styleId="pagenumber">
    <w:name w:val="pagenumber"/>
    <w:basedOn w:val="Normal"/>
    <w:rsid w:val="006229BA"/>
    <w:pPr>
      <w:spacing w:before="100" w:beforeAutospacing="1" w:after="100" w:afterAutospacing="1"/>
    </w:pPr>
    <w:rPr>
      <w:sz w:val="24"/>
      <w:szCs w:val="24"/>
      <w:lang w:eastAsia="en-ZA"/>
    </w:rPr>
  </w:style>
  <w:style w:type="paragraph" w:customStyle="1" w:styleId="lg-para3">
    <w:name w:val="lg-para3"/>
    <w:basedOn w:val="Normal"/>
    <w:rsid w:val="004B3C5F"/>
    <w:pPr>
      <w:spacing w:before="100" w:beforeAutospacing="1" w:after="100" w:afterAutospacing="1"/>
    </w:pPr>
    <w:rPr>
      <w:sz w:val="24"/>
      <w:szCs w:val="24"/>
      <w:lang w:val="en-US"/>
    </w:rPr>
  </w:style>
  <w:style w:type="paragraph" w:customStyle="1" w:styleId="lg-annotation">
    <w:name w:val="lg-annotation"/>
    <w:basedOn w:val="Normal"/>
    <w:rsid w:val="004B3C5F"/>
    <w:pPr>
      <w:spacing w:before="100" w:beforeAutospacing="1" w:after="100" w:afterAutospacing="1"/>
    </w:pPr>
    <w:rPr>
      <w:sz w:val="24"/>
      <w:szCs w:val="24"/>
      <w:lang w:val="en-US"/>
    </w:rPr>
  </w:style>
  <w:style w:type="character" w:styleId="Hyperlink">
    <w:name w:val="Hyperlink"/>
    <w:basedOn w:val="DefaultParagraphFont"/>
    <w:uiPriority w:val="99"/>
    <w:unhideWhenUsed/>
    <w:rsid w:val="004B3C5F"/>
    <w:rPr>
      <w:color w:val="0000FF"/>
      <w:u w:val="single"/>
    </w:rPr>
  </w:style>
  <w:style w:type="paragraph" w:customStyle="1" w:styleId="ws-link">
    <w:name w:val="ws-link"/>
    <w:basedOn w:val="Normal"/>
    <w:rsid w:val="004B3C5F"/>
    <w:pPr>
      <w:spacing w:before="100" w:beforeAutospacing="1" w:after="100" w:afterAutospacing="1"/>
    </w:pPr>
    <w:rPr>
      <w:sz w:val="24"/>
      <w:szCs w:val="24"/>
      <w:lang w:val="en-US"/>
    </w:rPr>
  </w:style>
  <w:style w:type="character" w:customStyle="1" w:styleId="popup-link">
    <w:name w:val="popup-link"/>
    <w:basedOn w:val="DefaultParagraphFont"/>
    <w:rsid w:val="004B3C5F"/>
  </w:style>
  <w:style w:type="paragraph" w:customStyle="1" w:styleId="lg-para4">
    <w:name w:val="lg-para4"/>
    <w:basedOn w:val="Normal"/>
    <w:rsid w:val="004B3C5F"/>
    <w:pPr>
      <w:spacing w:before="100" w:beforeAutospacing="1" w:after="100" w:afterAutospacing="1"/>
    </w:pPr>
    <w:rPr>
      <w:sz w:val="24"/>
      <w:szCs w:val="24"/>
      <w:lang w:val="en-US"/>
    </w:rPr>
  </w:style>
  <w:style w:type="paragraph" w:customStyle="1" w:styleId="lg-i">
    <w:name w:val="lg-i"/>
    <w:basedOn w:val="Normal"/>
    <w:rsid w:val="004B3C5F"/>
    <w:pPr>
      <w:spacing w:before="100" w:beforeAutospacing="1" w:after="100" w:afterAutospacing="1"/>
    </w:pPr>
    <w:rPr>
      <w:sz w:val="24"/>
      <w:szCs w:val="24"/>
      <w:lang w:val="en-US"/>
    </w:rPr>
  </w:style>
  <w:style w:type="paragraph" w:customStyle="1" w:styleId="lg-a-1">
    <w:name w:val="lg-a-1"/>
    <w:basedOn w:val="Normal"/>
    <w:rsid w:val="004B3C5F"/>
    <w:pPr>
      <w:spacing w:before="100" w:beforeAutospacing="1" w:after="100" w:afterAutospacing="1"/>
    </w:pPr>
    <w:rPr>
      <w:sz w:val="24"/>
      <w:szCs w:val="24"/>
      <w:lang w:val="en-US"/>
    </w:rPr>
  </w:style>
  <w:style w:type="paragraph" w:styleId="NormalWeb">
    <w:name w:val="Normal (Web)"/>
    <w:basedOn w:val="Normal"/>
    <w:uiPriority w:val="99"/>
    <w:semiHidden/>
    <w:unhideWhenUsed/>
    <w:rsid w:val="004B3C5F"/>
    <w:pPr>
      <w:spacing w:before="100" w:beforeAutospacing="1" w:after="100" w:afterAutospacing="1"/>
    </w:pPr>
    <w:rPr>
      <w:sz w:val="24"/>
      <w:szCs w:val="24"/>
      <w:lang w:val="en-US"/>
    </w:rPr>
  </w:style>
  <w:style w:type="paragraph" w:customStyle="1" w:styleId="western">
    <w:name w:val="western"/>
    <w:basedOn w:val="Normal"/>
    <w:rsid w:val="008649B3"/>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68238">
      <w:bodyDiv w:val="1"/>
      <w:marLeft w:val="0"/>
      <w:marRight w:val="0"/>
      <w:marTop w:val="0"/>
      <w:marBottom w:val="0"/>
      <w:divBdr>
        <w:top w:val="none" w:sz="0" w:space="0" w:color="auto"/>
        <w:left w:val="none" w:sz="0" w:space="0" w:color="auto"/>
        <w:bottom w:val="none" w:sz="0" w:space="0" w:color="auto"/>
        <w:right w:val="none" w:sz="0" w:space="0" w:color="auto"/>
      </w:divBdr>
      <w:divsChild>
        <w:div w:id="712923401">
          <w:marLeft w:val="0"/>
          <w:marRight w:val="0"/>
          <w:marTop w:val="120"/>
          <w:marBottom w:val="0"/>
          <w:divBdr>
            <w:top w:val="none" w:sz="0" w:space="0" w:color="auto"/>
            <w:left w:val="none" w:sz="0" w:space="0" w:color="auto"/>
            <w:bottom w:val="none" w:sz="0" w:space="0" w:color="auto"/>
            <w:right w:val="none" w:sz="0" w:space="0" w:color="auto"/>
          </w:divBdr>
        </w:div>
        <w:div w:id="1471629900">
          <w:marLeft w:val="567"/>
          <w:marRight w:val="0"/>
          <w:marTop w:val="60"/>
          <w:marBottom w:val="0"/>
          <w:divBdr>
            <w:top w:val="none" w:sz="0" w:space="0" w:color="auto"/>
            <w:left w:val="none" w:sz="0" w:space="0" w:color="auto"/>
            <w:bottom w:val="none" w:sz="0" w:space="0" w:color="auto"/>
            <w:right w:val="none" w:sz="0" w:space="0" w:color="auto"/>
          </w:divBdr>
        </w:div>
        <w:div w:id="1400321766">
          <w:marLeft w:val="0"/>
          <w:marRight w:val="0"/>
          <w:marTop w:val="120"/>
          <w:marBottom w:val="0"/>
          <w:divBdr>
            <w:top w:val="none" w:sz="0" w:space="0" w:color="auto"/>
            <w:left w:val="none" w:sz="0" w:space="0" w:color="auto"/>
            <w:bottom w:val="none" w:sz="0" w:space="0" w:color="auto"/>
            <w:right w:val="none" w:sz="0" w:space="0" w:color="auto"/>
          </w:divBdr>
        </w:div>
      </w:divsChild>
    </w:div>
    <w:div w:id="678241907">
      <w:bodyDiv w:val="1"/>
      <w:marLeft w:val="0"/>
      <w:marRight w:val="0"/>
      <w:marTop w:val="0"/>
      <w:marBottom w:val="0"/>
      <w:divBdr>
        <w:top w:val="none" w:sz="0" w:space="0" w:color="auto"/>
        <w:left w:val="none" w:sz="0" w:space="0" w:color="auto"/>
        <w:bottom w:val="none" w:sz="0" w:space="0" w:color="auto"/>
        <w:right w:val="none" w:sz="0" w:space="0" w:color="auto"/>
      </w:divBdr>
    </w:div>
    <w:div w:id="860317618">
      <w:bodyDiv w:val="1"/>
      <w:marLeft w:val="0"/>
      <w:marRight w:val="0"/>
      <w:marTop w:val="0"/>
      <w:marBottom w:val="0"/>
      <w:divBdr>
        <w:top w:val="none" w:sz="0" w:space="0" w:color="auto"/>
        <w:left w:val="none" w:sz="0" w:space="0" w:color="auto"/>
        <w:bottom w:val="none" w:sz="0" w:space="0" w:color="auto"/>
        <w:right w:val="none" w:sz="0" w:space="0" w:color="auto"/>
      </w:divBdr>
    </w:div>
    <w:div w:id="1218132302">
      <w:bodyDiv w:val="1"/>
      <w:marLeft w:val="0"/>
      <w:marRight w:val="0"/>
      <w:marTop w:val="0"/>
      <w:marBottom w:val="0"/>
      <w:divBdr>
        <w:top w:val="none" w:sz="0" w:space="0" w:color="auto"/>
        <w:left w:val="none" w:sz="0" w:space="0" w:color="auto"/>
        <w:bottom w:val="none" w:sz="0" w:space="0" w:color="auto"/>
        <w:right w:val="none" w:sz="0" w:space="0" w:color="auto"/>
      </w:divBdr>
      <w:divsChild>
        <w:div w:id="159736906">
          <w:marLeft w:val="0"/>
          <w:marRight w:val="0"/>
          <w:marTop w:val="60"/>
          <w:marBottom w:val="0"/>
          <w:divBdr>
            <w:top w:val="none" w:sz="0" w:space="0" w:color="auto"/>
            <w:left w:val="none" w:sz="0" w:space="0" w:color="auto"/>
            <w:bottom w:val="none" w:sz="0" w:space="0" w:color="auto"/>
            <w:right w:val="none" w:sz="0" w:space="0" w:color="auto"/>
          </w:divBdr>
        </w:div>
        <w:div w:id="507448849">
          <w:marLeft w:val="0"/>
          <w:marRight w:val="0"/>
          <w:marTop w:val="180"/>
          <w:marBottom w:val="60"/>
          <w:divBdr>
            <w:top w:val="single" w:sz="8" w:space="1" w:color="808080"/>
            <w:left w:val="none" w:sz="0" w:space="0" w:color="auto"/>
            <w:bottom w:val="none" w:sz="0" w:space="0" w:color="auto"/>
            <w:right w:val="none" w:sz="0" w:space="0" w:color="auto"/>
          </w:divBdr>
        </w:div>
        <w:div w:id="948319508">
          <w:marLeft w:val="0"/>
          <w:marRight w:val="0"/>
          <w:marTop w:val="60"/>
          <w:marBottom w:val="0"/>
          <w:divBdr>
            <w:top w:val="none" w:sz="0" w:space="0" w:color="auto"/>
            <w:left w:val="none" w:sz="0" w:space="0" w:color="auto"/>
            <w:bottom w:val="none" w:sz="0" w:space="0" w:color="auto"/>
            <w:right w:val="none" w:sz="0" w:space="0" w:color="auto"/>
          </w:divBdr>
        </w:div>
        <w:div w:id="1239829022">
          <w:marLeft w:val="0"/>
          <w:marRight w:val="0"/>
          <w:marTop w:val="60"/>
          <w:marBottom w:val="0"/>
          <w:divBdr>
            <w:top w:val="none" w:sz="0" w:space="0" w:color="auto"/>
            <w:left w:val="none" w:sz="0" w:space="0" w:color="auto"/>
            <w:bottom w:val="none" w:sz="0" w:space="0" w:color="auto"/>
            <w:right w:val="none" w:sz="0" w:space="0" w:color="auto"/>
          </w:divBdr>
        </w:div>
        <w:div w:id="46876886">
          <w:marLeft w:val="0"/>
          <w:marRight w:val="0"/>
          <w:marTop w:val="60"/>
          <w:marBottom w:val="0"/>
          <w:divBdr>
            <w:top w:val="none" w:sz="0" w:space="0" w:color="auto"/>
            <w:left w:val="none" w:sz="0" w:space="0" w:color="auto"/>
            <w:bottom w:val="none" w:sz="0" w:space="0" w:color="auto"/>
            <w:right w:val="none" w:sz="0" w:space="0" w:color="auto"/>
          </w:divBdr>
        </w:div>
      </w:divsChild>
    </w:div>
    <w:div w:id="1382434882">
      <w:bodyDiv w:val="1"/>
      <w:marLeft w:val="0"/>
      <w:marRight w:val="0"/>
      <w:marTop w:val="0"/>
      <w:marBottom w:val="0"/>
      <w:divBdr>
        <w:top w:val="none" w:sz="0" w:space="0" w:color="auto"/>
        <w:left w:val="none" w:sz="0" w:space="0" w:color="auto"/>
        <w:bottom w:val="none" w:sz="0" w:space="0" w:color="auto"/>
        <w:right w:val="none" w:sz="0" w:space="0" w:color="auto"/>
      </w:divBdr>
    </w:div>
    <w:div w:id="1819301549">
      <w:bodyDiv w:val="1"/>
      <w:marLeft w:val="0"/>
      <w:marRight w:val="0"/>
      <w:marTop w:val="0"/>
      <w:marBottom w:val="0"/>
      <w:divBdr>
        <w:top w:val="none" w:sz="0" w:space="0" w:color="auto"/>
        <w:left w:val="none" w:sz="0" w:space="0" w:color="auto"/>
        <w:bottom w:val="none" w:sz="0" w:space="0" w:color="auto"/>
        <w:right w:val="none" w:sz="0" w:space="0" w:color="auto"/>
      </w:divBdr>
    </w:div>
    <w:div w:id="1896618952">
      <w:bodyDiv w:val="1"/>
      <w:marLeft w:val="0"/>
      <w:marRight w:val="0"/>
      <w:marTop w:val="0"/>
      <w:marBottom w:val="0"/>
      <w:divBdr>
        <w:top w:val="none" w:sz="0" w:space="0" w:color="auto"/>
        <w:left w:val="none" w:sz="0" w:space="0" w:color="auto"/>
        <w:bottom w:val="none" w:sz="0" w:space="0" w:color="auto"/>
        <w:right w:val="none" w:sz="0" w:space="0" w:color="auto"/>
      </w:divBdr>
    </w:div>
    <w:div w:id="200778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2B5A1-4F10-4129-B5D7-2FE82DB7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2024-01-25T10:52:00Z</dcterms:created>
  <dcterms:modified xsi:type="dcterms:W3CDTF">2024-02-06T15:03:00Z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94dca4ebf5e141d44043bc2fab4a754f2e09262323e0adbbc89c6dc5b5ed543d</vt:lpwstr>
  </property>
</Properties>
</file>