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9819F" w14:textId="3BF4AD5C" w:rsidR="00A20FB4" w:rsidRDefault="00A20FB4" w:rsidP="00A53355">
      <w:pPr>
        <w:jc w:val="center"/>
        <w:rPr>
          <w:rFonts w:ascii="Verdana" w:hAnsi="Verdana"/>
          <w:sz w:val="24"/>
          <w:szCs w:val="24"/>
        </w:rPr>
      </w:pPr>
      <w:bookmarkStart w:id="0" w:name="_GoBack"/>
      <w:bookmarkEnd w:id="0"/>
    </w:p>
    <w:tbl>
      <w:tblPr>
        <w:tblpPr w:leftFromText="180" w:rightFromText="180" w:vertAnchor="text" w:horzAnchor="page" w:tblpX="7482" w:tblpY="-8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7"/>
      </w:tblGrid>
      <w:tr w:rsidR="009A1858" w:rsidRPr="00EB0EEF" w14:paraId="2AF082A1" w14:textId="77777777" w:rsidTr="00DC4D27">
        <w:trPr>
          <w:trHeight w:val="285"/>
        </w:trPr>
        <w:tc>
          <w:tcPr>
            <w:tcW w:w="3947" w:type="dxa"/>
          </w:tcPr>
          <w:p w14:paraId="39925F6F" w14:textId="77777777" w:rsidR="009A1858" w:rsidRPr="00E55B13" w:rsidRDefault="009A1858" w:rsidP="00DC4D27">
            <w:pPr>
              <w:tabs>
                <w:tab w:val="left" w:pos="2452"/>
              </w:tabs>
              <w:spacing w:after="0" w:line="276" w:lineRule="auto"/>
              <w:rPr>
                <w:rFonts w:ascii="Bookman Old Style" w:hAnsi="Bookman Old Style"/>
                <w:sz w:val="16"/>
                <w:szCs w:val="16"/>
              </w:rPr>
            </w:pPr>
            <w:r w:rsidRPr="00E55B13">
              <w:rPr>
                <w:rFonts w:ascii="Bookman Old Style" w:hAnsi="Bookman Old Style"/>
                <w:sz w:val="16"/>
                <w:szCs w:val="16"/>
              </w:rPr>
              <w:t xml:space="preserve">Reportable:                    </w:t>
            </w:r>
            <w:r>
              <w:rPr>
                <w:rFonts w:ascii="Bookman Old Style" w:hAnsi="Bookman Old Style"/>
                <w:sz w:val="16"/>
                <w:szCs w:val="16"/>
              </w:rPr>
              <w:t xml:space="preserve">                      </w:t>
            </w:r>
            <w:r w:rsidRPr="00E55B13">
              <w:rPr>
                <w:rFonts w:ascii="Bookman Old Style" w:hAnsi="Bookman Old Style"/>
                <w:sz w:val="16"/>
                <w:szCs w:val="16"/>
              </w:rPr>
              <w:t>YES/</w:t>
            </w:r>
            <w:r w:rsidRPr="00E56A13">
              <w:rPr>
                <w:rFonts w:ascii="Bookman Old Style" w:hAnsi="Bookman Old Style"/>
                <w:sz w:val="16"/>
                <w:szCs w:val="16"/>
              </w:rPr>
              <w:t>NO</w:t>
            </w:r>
          </w:p>
          <w:p w14:paraId="3F63FD5E" w14:textId="77777777" w:rsidR="009A1858" w:rsidRPr="00E56A13" w:rsidRDefault="009A1858" w:rsidP="00DC4D27">
            <w:pPr>
              <w:spacing w:after="0" w:line="276" w:lineRule="auto"/>
              <w:jc w:val="both"/>
              <w:rPr>
                <w:rFonts w:ascii="Bookman Old Style" w:hAnsi="Bookman Old Style"/>
                <w:sz w:val="16"/>
                <w:szCs w:val="16"/>
              </w:rPr>
            </w:pPr>
            <w:r w:rsidRPr="00E55B13">
              <w:rPr>
                <w:rFonts w:ascii="Bookman Old Style" w:hAnsi="Bookman Old Style"/>
                <w:sz w:val="16"/>
                <w:szCs w:val="16"/>
              </w:rPr>
              <w:t xml:space="preserve">Circulate to Judges:     </w:t>
            </w:r>
            <w:r>
              <w:rPr>
                <w:rFonts w:ascii="Bookman Old Style" w:hAnsi="Bookman Old Style"/>
                <w:sz w:val="16"/>
                <w:szCs w:val="16"/>
              </w:rPr>
              <w:t xml:space="preserve"> </w:t>
            </w:r>
            <w:r w:rsidRPr="00E55B13">
              <w:rPr>
                <w:rFonts w:ascii="Bookman Old Style" w:hAnsi="Bookman Old Style"/>
                <w:sz w:val="16"/>
                <w:szCs w:val="16"/>
              </w:rPr>
              <w:t xml:space="preserve"> </w:t>
            </w:r>
            <w:r>
              <w:rPr>
                <w:rFonts w:ascii="Bookman Old Style" w:hAnsi="Bookman Old Style"/>
                <w:sz w:val="16"/>
                <w:szCs w:val="16"/>
              </w:rPr>
              <w:t xml:space="preserve">                       </w:t>
            </w:r>
            <w:r w:rsidRPr="00E55B13">
              <w:rPr>
                <w:rFonts w:ascii="Bookman Old Style" w:hAnsi="Bookman Old Style"/>
                <w:sz w:val="16"/>
                <w:szCs w:val="16"/>
              </w:rPr>
              <w:t>YES/</w:t>
            </w:r>
            <w:r w:rsidRPr="00E56A13">
              <w:rPr>
                <w:rFonts w:ascii="Bookman Old Style" w:hAnsi="Bookman Old Style"/>
                <w:sz w:val="16"/>
                <w:szCs w:val="16"/>
              </w:rPr>
              <w:t>NO</w:t>
            </w:r>
          </w:p>
          <w:p w14:paraId="79FBC308" w14:textId="77777777" w:rsidR="009A1858" w:rsidRPr="00E55B13" w:rsidRDefault="009A1858" w:rsidP="00DC4D27">
            <w:pPr>
              <w:spacing w:after="0" w:line="276" w:lineRule="auto"/>
              <w:jc w:val="both"/>
              <w:rPr>
                <w:rFonts w:ascii="Bookman Old Style" w:hAnsi="Bookman Old Style"/>
                <w:sz w:val="16"/>
                <w:szCs w:val="16"/>
              </w:rPr>
            </w:pPr>
            <w:r w:rsidRPr="00E55B13">
              <w:rPr>
                <w:rFonts w:ascii="Bookman Old Style" w:hAnsi="Bookman Old Style"/>
                <w:sz w:val="16"/>
                <w:szCs w:val="16"/>
              </w:rPr>
              <w:t>Circulat</w:t>
            </w:r>
            <w:r>
              <w:rPr>
                <w:rFonts w:ascii="Bookman Old Style" w:hAnsi="Bookman Old Style"/>
                <w:sz w:val="16"/>
                <w:szCs w:val="16"/>
              </w:rPr>
              <w:t xml:space="preserve">e </w:t>
            </w:r>
            <w:r w:rsidRPr="00E55B13">
              <w:rPr>
                <w:rFonts w:ascii="Bookman Old Style" w:hAnsi="Bookman Old Style"/>
                <w:sz w:val="16"/>
                <w:szCs w:val="16"/>
              </w:rPr>
              <w:t>to</w:t>
            </w:r>
            <w:r>
              <w:rPr>
                <w:rFonts w:ascii="Bookman Old Style" w:hAnsi="Bookman Old Style"/>
                <w:sz w:val="16"/>
                <w:szCs w:val="16"/>
              </w:rPr>
              <w:t xml:space="preserve"> </w:t>
            </w:r>
            <w:r w:rsidRPr="00E55B13">
              <w:rPr>
                <w:rFonts w:ascii="Bookman Old Style" w:hAnsi="Bookman Old Style"/>
                <w:sz w:val="16"/>
                <w:szCs w:val="16"/>
              </w:rPr>
              <w:t xml:space="preserve">Magistrates:  </w:t>
            </w:r>
            <w:r>
              <w:rPr>
                <w:rFonts w:ascii="Bookman Old Style" w:hAnsi="Bookman Old Style"/>
                <w:sz w:val="16"/>
                <w:szCs w:val="16"/>
              </w:rPr>
              <w:t xml:space="preserve">                     </w:t>
            </w:r>
            <w:r w:rsidRPr="00E55B13">
              <w:rPr>
                <w:rFonts w:ascii="Bookman Old Style" w:hAnsi="Bookman Old Style"/>
                <w:sz w:val="16"/>
                <w:szCs w:val="16"/>
              </w:rPr>
              <w:t>YES/</w:t>
            </w:r>
            <w:r w:rsidRPr="00E56A13">
              <w:rPr>
                <w:rFonts w:ascii="Bookman Old Style" w:hAnsi="Bookman Old Style"/>
                <w:sz w:val="16"/>
                <w:szCs w:val="16"/>
              </w:rPr>
              <w:t>NO</w:t>
            </w:r>
          </w:p>
          <w:p w14:paraId="4A75F979" w14:textId="77777777" w:rsidR="009A1858" w:rsidRPr="00EB0EEF" w:rsidRDefault="009A1858" w:rsidP="00DC4D27">
            <w:pPr>
              <w:spacing w:after="0" w:line="276" w:lineRule="auto"/>
              <w:jc w:val="both"/>
              <w:rPr>
                <w:rFonts w:ascii="Bookman Old Style" w:hAnsi="Bookman Old Style"/>
                <w:sz w:val="18"/>
                <w:szCs w:val="18"/>
              </w:rPr>
            </w:pPr>
            <w:r w:rsidRPr="00E55B13">
              <w:rPr>
                <w:rFonts w:ascii="Bookman Old Style" w:hAnsi="Bookman Old Style"/>
                <w:sz w:val="16"/>
                <w:szCs w:val="16"/>
              </w:rPr>
              <w:t>Circulate to Regional Magistrates</w:t>
            </w:r>
            <w:r>
              <w:rPr>
                <w:rFonts w:ascii="Bookman Old Style" w:hAnsi="Bookman Old Style"/>
                <w:sz w:val="16"/>
                <w:szCs w:val="16"/>
              </w:rPr>
              <w:t>:</w:t>
            </w:r>
            <w:r w:rsidRPr="00E55B13">
              <w:rPr>
                <w:rFonts w:ascii="Bookman Old Style" w:hAnsi="Bookman Old Style"/>
                <w:sz w:val="16"/>
                <w:szCs w:val="16"/>
              </w:rPr>
              <w:t xml:space="preserve">  </w:t>
            </w:r>
            <w:r>
              <w:rPr>
                <w:rFonts w:ascii="Bookman Old Style" w:hAnsi="Bookman Old Style"/>
                <w:sz w:val="16"/>
                <w:szCs w:val="16"/>
              </w:rPr>
              <w:t xml:space="preserve">       </w:t>
            </w:r>
            <w:r w:rsidRPr="00E55B13">
              <w:rPr>
                <w:rFonts w:ascii="Bookman Old Style" w:hAnsi="Bookman Old Style"/>
                <w:sz w:val="16"/>
                <w:szCs w:val="16"/>
              </w:rPr>
              <w:t xml:space="preserve"> YES/</w:t>
            </w:r>
            <w:r w:rsidRPr="00E56A13">
              <w:rPr>
                <w:rFonts w:ascii="Bookman Old Style" w:hAnsi="Bookman Old Style"/>
                <w:sz w:val="16"/>
                <w:szCs w:val="16"/>
              </w:rPr>
              <w:t>NO</w:t>
            </w:r>
          </w:p>
        </w:tc>
      </w:tr>
    </w:tbl>
    <w:p w14:paraId="67D03500" w14:textId="77777777" w:rsidR="009A1858" w:rsidRPr="007C0159" w:rsidRDefault="009A1858" w:rsidP="009A1858">
      <w:pPr>
        <w:pStyle w:val="NormalEmail"/>
        <w:spacing w:before="60" w:after="60" w:line="360" w:lineRule="auto"/>
        <w:ind w:firstLine="0"/>
        <w:jc w:val="right"/>
        <w:rPr>
          <w:rFonts w:ascii="Bookman Old Style" w:hAnsi="Bookman Old Style"/>
          <w:iCs/>
          <w:noProof/>
          <w:lang w:val="en-ZA" w:eastAsia="en-ZA"/>
        </w:rPr>
      </w:pPr>
    </w:p>
    <w:p w14:paraId="398E2B06" w14:textId="77777777" w:rsidR="009A1858" w:rsidRDefault="009A1858" w:rsidP="009A1858">
      <w:pPr>
        <w:pStyle w:val="NormalEmail"/>
        <w:spacing w:before="60" w:after="60" w:line="360" w:lineRule="auto"/>
        <w:ind w:firstLine="0"/>
        <w:jc w:val="center"/>
        <w:rPr>
          <w:rFonts w:cs="Arial"/>
          <w:b/>
        </w:rPr>
      </w:pPr>
      <w:r w:rsidRPr="00444511">
        <w:rPr>
          <w:rFonts w:ascii="Times New Roman" w:hAnsi="Times New Roman"/>
          <w:i/>
          <w:noProof/>
          <w:lang w:val="en-ZA" w:eastAsia="en-ZA"/>
        </w:rPr>
        <w:drawing>
          <wp:inline distT="0" distB="0" distL="0" distR="0" wp14:anchorId="1E155FD8" wp14:editId="350AB311">
            <wp:extent cx="134175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746" cy="1089889"/>
                    </a:xfrm>
                    <a:prstGeom prst="rect">
                      <a:avLst/>
                    </a:prstGeom>
                    <a:noFill/>
                    <a:ln>
                      <a:noFill/>
                    </a:ln>
                  </pic:spPr>
                </pic:pic>
              </a:graphicData>
            </a:graphic>
          </wp:inline>
        </w:drawing>
      </w:r>
    </w:p>
    <w:p w14:paraId="3609A383" w14:textId="77777777" w:rsidR="009A1858" w:rsidRDefault="009A1858" w:rsidP="00A53355">
      <w:pPr>
        <w:jc w:val="center"/>
        <w:rPr>
          <w:rFonts w:ascii="Verdana" w:hAnsi="Verdana"/>
          <w:sz w:val="24"/>
          <w:szCs w:val="24"/>
        </w:rPr>
      </w:pPr>
    </w:p>
    <w:p w14:paraId="6BB147AD" w14:textId="0CAF2420" w:rsidR="00A53355" w:rsidRDefault="00A53355" w:rsidP="00A53355">
      <w:pPr>
        <w:jc w:val="center"/>
        <w:rPr>
          <w:rFonts w:ascii="Verdana" w:hAnsi="Verdana"/>
          <w:sz w:val="24"/>
          <w:szCs w:val="24"/>
        </w:rPr>
      </w:pPr>
      <w:r>
        <w:rPr>
          <w:rFonts w:ascii="Verdana" w:hAnsi="Verdana"/>
          <w:sz w:val="24"/>
          <w:szCs w:val="24"/>
        </w:rPr>
        <w:t>IN THE HIGH COURT OF SOUTH AFRICA</w:t>
      </w:r>
    </w:p>
    <w:p w14:paraId="0B179E5A" w14:textId="77777777" w:rsidR="00A53355" w:rsidRDefault="00A53355" w:rsidP="00A53355">
      <w:pPr>
        <w:jc w:val="center"/>
        <w:rPr>
          <w:rFonts w:ascii="Verdana" w:hAnsi="Verdana"/>
          <w:sz w:val="24"/>
          <w:szCs w:val="24"/>
        </w:rPr>
      </w:pPr>
      <w:r>
        <w:rPr>
          <w:rFonts w:ascii="Verdana" w:hAnsi="Verdana"/>
          <w:sz w:val="24"/>
          <w:szCs w:val="24"/>
        </w:rPr>
        <w:t>(NORTHERN CAPE DIVISION, KIMBERLEY)</w:t>
      </w:r>
    </w:p>
    <w:p w14:paraId="2422A8C1" w14:textId="77777777" w:rsidR="00A53355" w:rsidRDefault="00A53355" w:rsidP="00A53355">
      <w:pPr>
        <w:jc w:val="center"/>
        <w:rPr>
          <w:rFonts w:ascii="Verdana" w:hAnsi="Verdana"/>
          <w:sz w:val="24"/>
          <w:szCs w:val="24"/>
        </w:rPr>
      </w:pPr>
    </w:p>
    <w:p w14:paraId="60B0C795" w14:textId="77777777" w:rsidR="00A53355" w:rsidRDefault="00A53355" w:rsidP="00A53355">
      <w:pPr>
        <w:jc w:val="right"/>
        <w:rPr>
          <w:rFonts w:ascii="Verdana" w:hAnsi="Verdana"/>
          <w:sz w:val="24"/>
          <w:szCs w:val="24"/>
        </w:rPr>
      </w:pPr>
      <w:r>
        <w:rPr>
          <w:rFonts w:ascii="Verdana" w:hAnsi="Verdana"/>
          <w:sz w:val="24"/>
          <w:szCs w:val="24"/>
        </w:rPr>
        <w:t>Case No: CA&amp;R 1/2022</w:t>
      </w:r>
    </w:p>
    <w:p w14:paraId="78E5864D" w14:textId="77777777" w:rsidR="00A53355" w:rsidRDefault="00A53355" w:rsidP="00A53355">
      <w:pPr>
        <w:jc w:val="right"/>
        <w:rPr>
          <w:rFonts w:ascii="Verdana" w:hAnsi="Verdana"/>
          <w:sz w:val="24"/>
          <w:szCs w:val="24"/>
        </w:rPr>
      </w:pPr>
    </w:p>
    <w:p w14:paraId="185E3CC0" w14:textId="77777777" w:rsidR="00A53355" w:rsidRDefault="00A53355" w:rsidP="00A53355">
      <w:pPr>
        <w:rPr>
          <w:rFonts w:ascii="Verdana" w:hAnsi="Verdana"/>
          <w:sz w:val="24"/>
          <w:szCs w:val="24"/>
        </w:rPr>
      </w:pPr>
      <w:r>
        <w:rPr>
          <w:rFonts w:ascii="Verdana" w:hAnsi="Verdana"/>
          <w:sz w:val="24"/>
          <w:szCs w:val="24"/>
        </w:rPr>
        <w:t>In the matter between:</w:t>
      </w:r>
    </w:p>
    <w:p w14:paraId="724D4021" w14:textId="77777777" w:rsidR="00A53355" w:rsidRDefault="00A53355" w:rsidP="00A53355">
      <w:pPr>
        <w:rPr>
          <w:rFonts w:ascii="Verdana" w:hAnsi="Verdana"/>
          <w:sz w:val="24"/>
          <w:szCs w:val="24"/>
        </w:rPr>
      </w:pPr>
    </w:p>
    <w:p w14:paraId="18A21C8A" w14:textId="77777777" w:rsidR="00A53355" w:rsidRDefault="00A53355" w:rsidP="00A53355">
      <w:pPr>
        <w:rPr>
          <w:rFonts w:ascii="Verdana" w:hAnsi="Verdana"/>
          <w:sz w:val="24"/>
          <w:szCs w:val="24"/>
        </w:rPr>
      </w:pPr>
      <w:r>
        <w:rPr>
          <w:rFonts w:ascii="Verdana" w:hAnsi="Verdana"/>
          <w:sz w:val="24"/>
          <w:szCs w:val="24"/>
        </w:rPr>
        <w:t>HENDRIK KAMMIES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Appellant</w:t>
      </w:r>
    </w:p>
    <w:p w14:paraId="1E2D9900" w14:textId="77777777" w:rsidR="00A53355" w:rsidRDefault="00A53355" w:rsidP="00A53355">
      <w:pPr>
        <w:rPr>
          <w:rFonts w:ascii="Verdana" w:hAnsi="Verdana"/>
          <w:sz w:val="24"/>
          <w:szCs w:val="24"/>
        </w:rPr>
      </w:pPr>
    </w:p>
    <w:p w14:paraId="565357AF" w14:textId="77777777" w:rsidR="00A53355" w:rsidRDefault="00A53355" w:rsidP="00A53355">
      <w:pPr>
        <w:rPr>
          <w:rFonts w:ascii="Verdana" w:hAnsi="Verdana"/>
          <w:sz w:val="24"/>
          <w:szCs w:val="24"/>
        </w:rPr>
      </w:pPr>
      <w:r>
        <w:rPr>
          <w:rFonts w:ascii="Verdana" w:hAnsi="Verdana"/>
          <w:sz w:val="24"/>
          <w:szCs w:val="24"/>
        </w:rPr>
        <w:t>and</w:t>
      </w:r>
    </w:p>
    <w:p w14:paraId="5657C7BD" w14:textId="77777777" w:rsidR="00A53355" w:rsidRDefault="00A53355" w:rsidP="00A53355">
      <w:pPr>
        <w:rPr>
          <w:rFonts w:ascii="Verdana" w:hAnsi="Verdana"/>
          <w:sz w:val="24"/>
          <w:szCs w:val="24"/>
        </w:rPr>
      </w:pPr>
    </w:p>
    <w:p w14:paraId="00967E79" w14:textId="77777777" w:rsidR="00A53355" w:rsidRDefault="00A53355" w:rsidP="00A53355">
      <w:pPr>
        <w:rPr>
          <w:rFonts w:ascii="Verdana" w:hAnsi="Verdana"/>
          <w:sz w:val="24"/>
          <w:szCs w:val="24"/>
        </w:rPr>
      </w:pPr>
      <w:r>
        <w:rPr>
          <w:rFonts w:ascii="Verdana" w:hAnsi="Verdana"/>
          <w:sz w:val="24"/>
          <w:szCs w:val="24"/>
        </w:rPr>
        <w:t>THE STATE</w:t>
      </w:r>
    </w:p>
    <w:p w14:paraId="287E8F25" w14:textId="77777777" w:rsidR="00A53355" w:rsidRDefault="00A53355" w:rsidP="00A53355">
      <w:pPr>
        <w:rPr>
          <w:rFonts w:ascii="Verdana" w:hAnsi="Verdana"/>
          <w:sz w:val="24"/>
          <w:szCs w:val="24"/>
        </w:rPr>
      </w:pPr>
    </w:p>
    <w:p w14:paraId="1A465836" w14:textId="77777777" w:rsidR="00A53355" w:rsidRDefault="00A53355" w:rsidP="00A53355">
      <w:pPr>
        <w:pBdr>
          <w:bottom w:val="single" w:sz="12" w:space="1" w:color="auto"/>
        </w:pBdr>
        <w:rPr>
          <w:rFonts w:ascii="Verdana" w:hAnsi="Verdana"/>
          <w:sz w:val="24"/>
          <w:szCs w:val="24"/>
        </w:rPr>
      </w:pPr>
      <w:r>
        <w:rPr>
          <w:rFonts w:ascii="Verdana" w:hAnsi="Verdana"/>
          <w:sz w:val="24"/>
          <w:szCs w:val="24"/>
        </w:rPr>
        <w:t>Coram: Lever J et Nxumalo J</w:t>
      </w:r>
    </w:p>
    <w:p w14:paraId="17B2BF76" w14:textId="77777777" w:rsidR="00D86B72" w:rsidRDefault="00D86B72" w:rsidP="009A1858">
      <w:pPr>
        <w:pBdr>
          <w:bottom w:val="single" w:sz="12" w:space="1" w:color="auto"/>
        </w:pBdr>
        <w:spacing w:after="0"/>
        <w:rPr>
          <w:rFonts w:ascii="Verdana" w:hAnsi="Verdana"/>
          <w:sz w:val="24"/>
          <w:szCs w:val="24"/>
        </w:rPr>
      </w:pPr>
    </w:p>
    <w:p w14:paraId="3F67D7AA" w14:textId="77777777" w:rsidR="00A53355" w:rsidRDefault="00A53355" w:rsidP="009A1858">
      <w:pPr>
        <w:spacing w:after="0"/>
        <w:rPr>
          <w:rFonts w:ascii="Verdana" w:hAnsi="Verdana"/>
          <w:sz w:val="24"/>
          <w:szCs w:val="24"/>
        </w:rPr>
      </w:pPr>
    </w:p>
    <w:p w14:paraId="0DC96306" w14:textId="77777777" w:rsidR="00A53355" w:rsidRDefault="00A53355" w:rsidP="009A1858">
      <w:pPr>
        <w:spacing w:after="0"/>
        <w:jc w:val="center"/>
        <w:rPr>
          <w:rFonts w:ascii="Verdana" w:hAnsi="Verdana"/>
          <w:sz w:val="24"/>
          <w:szCs w:val="24"/>
        </w:rPr>
      </w:pPr>
      <w:r>
        <w:rPr>
          <w:rFonts w:ascii="Verdana" w:hAnsi="Verdana"/>
          <w:sz w:val="24"/>
          <w:szCs w:val="24"/>
        </w:rPr>
        <w:t>JUDGMENT</w:t>
      </w:r>
    </w:p>
    <w:p w14:paraId="01E89947" w14:textId="77777777" w:rsidR="00A53355" w:rsidRDefault="00A53355" w:rsidP="009A1858">
      <w:pPr>
        <w:pBdr>
          <w:bottom w:val="single" w:sz="12" w:space="1" w:color="auto"/>
        </w:pBdr>
        <w:spacing w:after="0"/>
        <w:rPr>
          <w:rFonts w:ascii="Verdana" w:hAnsi="Verdana"/>
          <w:sz w:val="24"/>
          <w:szCs w:val="24"/>
        </w:rPr>
      </w:pPr>
    </w:p>
    <w:p w14:paraId="534CDFD4" w14:textId="77777777" w:rsidR="00A53355" w:rsidRDefault="00A53355" w:rsidP="00A53355">
      <w:pPr>
        <w:rPr>
          <w:rFonts w:ascii="Verdana" w:hAnsi="Verdana"/>
          <w:sz w:val="24"/>
          <w:szCs w:val="24"/>
        </w:rPr>
      </w:pPr>
      <w:r>
        <w:rPr>
          <w:rFonts w:ascii="Verdana" w:hAnsi="Verdana"/>
          <w:sz w:val="24"/>
          <w:szCs w:val="24"/>
        </w:rPr>
        <w:t>Lever J</w:t>
      </w:r>
    </w:p>
    <w:p w14:paraId="267B6D34" w14:textId="70AE3CA0" w:rsidR="00A53355"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1.</w:t>
      </w:r>
      <w:r>
        <w:rPr>
          <w:rFonts w:ascii="Verdana" w:hAnsi="Verdana"/>
          <w:sz w:val="24"/>
          <w:szCs w:val="24"/>
        </w:rPr>
        <w:tab/>
      </w:r>
      <w:r w:rsidR="00A53355" w:rsidRPr="00BD756F">
        <w:rPr>
          <w:rFonts w:ascii="Verdana" w:hAnsi="Verdana"/>
          <w:sz w:val="24"/>
          <w:szCs w:val="24"/>
        </w:rPr>
        <w:t xml:space="preserve">The appellant was accused 2 in the court </w:t>
      </w:r>
      <w:r w:rsidR="00A53355" w:rsidRPr="00BD756F">
        <w:rPr>
          <w:rFonts w:ascii="Verdana" w:hAnsi="Verdana"/>
          <w:i/>
          <w:iCs/>
          <w:sz w:val="24"/>
          <w:szCs w:val="24"/>
        </w:rPr>
        <w:t>a quo</w:t>
      </w:r>
      <w:r w:rsidR="00A53355" w:rsidRPr="00BD756F">
        <w:rPr>
          <w:rFonts w:ascii="Verdana" w:hAnsi="Verdana"/>
          <w:sz w:val="24"/>
          <w:szCs w:val="24"/>
        </w:rPr>
        <w:t>. The appellant together with his co-accused</w:t>
      </w:r>
      <w:r w:rsidR="0006617C" w:rsidRPr="00BD756F">
        <w:rPr>
          <w:rFonts w:ascii="Verdana" w:hAnsi="Verdana"/>
          <w:sz w:val="24"/>
          <w:szCs w:val="24"/>
        </w:rPr>
        <w:t>,</w:t>
      </w:r>
      <w:r w:rsidR="00A53355" w:rsidRPr="00BD756F">
        <w:rPr>
          <w:rFonts w:ascii="Verdana" w:hAnsi="Verdana"/>
          <w:sz w:val="24"/>
          <w:szCs w:val="24"/>
        </w:rPr>
        <w:t xml:space="preserve"> faced 3 charges in the court </w:t>
      </w:r>
      <w:r w:rsidR="00A53355" w:rsidRPr="00BD756F">
        <w:rPr>
          <w:rFonts w:ascii="Verdana" w:hAnsi="Verdana"/>
          <w:i/>
          <w:iCs/>
          <w:sz w:val="24"/>
          <w:szCs w:val="24"/>
        </w:rPr>
        <w:t>a quo</w:t>
      </w:r>
      <w:r w:rsidR="00A53355" w:rsidRPr="00BD756F">
        <w:rPr>
          <w:rFonts w:ascii="Verdana" w:hAnsi="Verdana"/>
          <w:sz w:val="24"/>
          <w:szCs w:val="24"/>
        </w:rPr>
        <w:t xml:space="preserve">. </w:t>
      </w:r>
      <w:r w:rsidR="00DE6373" w:rsidRPr="00BD756F">
        <w:rPr>
          <w:rFonts w:ascii="Verdana" w:hAnsi="Verdana"/>
          <w:sz w:val="24"/>
          <w:szCs w:val="24"/>
        </w:rPr>
        <w:t xml:space="preserve">The first charge was one of kidnapping. Where both accused were alleged to have taken the victim from outside a shebeen to a shack </w:t>
      </w:r>
      <w:r w:rsidR="006B7181" w:rsidRPr="00BD756F">
        <w:rPr>
          <w:rFonts w:ascii="Verdana" w:hAnsi="Verdana"/>
          <w:sz w:val="24"/>
          <w:szCs w:val="24"/>
        </w:rPr>
        <w:t xml:space="preserve">some distance away where </w:t>
      </w:r>
      <w:r w:rsidR="006B7181" w:rsidRPr="00BD756F">
        <w:rPr>
          <w:rFonts w:ascii="Verdana" w:hAnsi="Verdana"/>
          <w:sz w:val="24"/>
          <w:szCs w:val="24"/>
        </w:rPr>
        <w:lastRenderedPageBreak/>
        <w:t>the crime which is the subject of the second charge was committed. The second charge was one of rape</w:t>
      </w:r>
      <w:r w:rsidR="0006617C" w:rsidRPr="00BD756F">
        <w:rPr>
          <w:rFonts w:ascii="Verdana" w:hAnsi="Verdana"/>
          <w:sz w:val="24"/>
          <w:szCs w:val="24"/>
        </w:rPr>
        <w:t>,</w:t>
      </w:r>
      <w:r w:rsidR="00DE6373" w:rsidRPr="00BD756F">
        <w:rPr>
          <w:rFonts w:ascii="Verdana" w:hAnsi="Verdana"/>
          <w:sz w:val="24"/>
          <w:szCs w:val="24"/>
        </w:rPr>
        <w:t xml:space="preserve"> </w:t>
      </w:r>
      <w:r w:rsidR="006B7181" w:rsidRPr="00BD756F">
        <w:rPr>
          <w:rFonts w:ascii="Verdana" w:hAnsi="Verdana"/>
          <w:sz w:val="24"/>
          <w:szCs w:val="24"/>
        </w:rPr>
        <w:t>where both accused allegedly raped the victim. Relevant to the current appeal, the charge made specific reference to the Criminal Law Amendment Act</w:t>
      </w:r>
      <w:r w:rsidR="006B7181">
        <w:rPr>
          <w:rStyle w:val="FootnoteReference"/>
          <w:rFonts w:ascii="Verdana" w:hAnsi="Verdana"/>
          <w:sz w:val="24"/>
          <w:szCs w:val="24"/>
        </w:rPr>
        <w:footnoteReference w:id="1"/>
      </w:r>
      <w:r w:rsidR="0079034E" w:rsidRPr="00BD756F">
        <w:rPr>
          <w:rFonts w:ascii="Verdana" w:hAnsi="Verdana"/>
          <w:sz w:val="24"/>
          <w:szCs w:val="24"/>
        </w:rPr>
        <w:t xml:space="preserve"> (the minimum sentence act)</w:t>
      </w:r>
      <w:r w:rsidR="006B7181" w:rsidRPr="00BD756F">
        <w:rPr>
          <w:rFonts w:ascii="Verdana" w:hAnsi="Verdana"/>
          <w:sz w:val="24"/>
          <w:szCs w:val="24"/>
        </w:rPr>
        <w:t xml:space="preserve"> and more particularly section 51 thereof</w:t>
      </w:r>
      <w:r w:rsidR="0006617C" w:rsidRPr="00BD756F">
        <w:rPr>
          <w:rFonts w:ascii="Verdana" w:hAnsi="Verdana"/>
          <w:sz w:val="24"/>
          <w:szCs w:val="24"/>
        </w:rPr>
        <w:t>,</w:t>
      </w:r>
      <w:r w:rsidR="006B7181" w:rsidRPr="00BD756F">
        <w:rPr>
          <w:rFonts w:ascii="Verdana" w:hAnsi="Verdana"/>
          <w:sz w:val="24"/>
          <w:szCs w:val="24"/>
        </w:rPr>
        <w:t xml:space="preserve"> as read with schedule 2 thereof. The third charge was one of malicious damage to property. This charge relates to the burning of certain article</w:t>
      </w:r>
      <w:r w:rsidR="0079034E" w:rsidRPr="00BD756F">
        <w:rPr>
          <w:rFonts w:ascii="Verdana" w:hAnsi="Verdana"/>
          <w:sz w:val="24"/>
          <w:szCs w:val="24"/>
        </w:rPr>
        <w:t>s</w:t>
      </w:r>
      <w:r w:rsidR="006B7181" w:rsidRPr="00BD756F">
        <w:rPr>
          <w:rFonts w:ascii="Verdana" w:hAnsi="Verdana"/>
          <w:sz w:val="24"/>
          <w:szCs w:val="24"/>
        </w:rPr>
        <w:t xml:space="preserve"> of clothing belonging to the victim.</w:t>
      </w:r>
    </w:p>
    <w:p w14:paraId="68193795" w14:textId="77777777" w:rsidR="00A53355" w:rsidRDefault="00A53355" w:rsidP="009A1858">
      <w:pPr>
        <w:pStyle w:val="ListParagraph"/>
        <w:spacing w:line="480" w:lineRule="auto"/>
        <w:ind w:left="360"/>
        <w:jc w:val="both"/>
        <w:rPr>
          <w:rFonts w:ascii="Verdana" w:hAnsi="Verdana"/>
          <w:sz w:val="24"/>
          <w:szCs w:val="24"/>
        </w:rPr>
      </w:pPr>
    </w:p>
    <w:p w14:paraId="2A764B36" w14:textId="6C192BE6" w:rsidR="00A53355"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2.</w:t>
      </w:r>
      <w:r>
        <w:rPr>
          <w:rFonts w:ascii="Verdana" w:hAnsi="Verdana"/>
          <w:sz w:val="24"/>
          <w:szCs w:val="24"/>
        </w:rPr>
        <w:tab/>
      </w:r>
      <w:r w:rsidR="0079034E" w:rsidRPr="00BD756F">
        <w:rPr>
          <w:rFonts w:ascii="Verdana" w:hAnsi="Verdana"/>
          <w:sz w:val="24"/>
          <w:szCs w:val="24"/>
        </w:rPr>
        <w:t>The appellant and his co-accused were found guilty on all three of the above charges. On the charge of kidnapping</w:t>
      </w:r>
      <w:r w:rsidR="0006617C" w:rsidRPr="00BD756F">
        <w:rPr>
          <w:rFonts w:ascii="Verdana" w:hAnsi="Verdana"/>
          <w:sz w:val="24"/>
          <w:szCs w:val="24"/>
        </w:rPr>
        <w:t>,</w:t>
      </w:r>
      <w:r w:rsidR="0079034E" w:rsidRPr="00BD756F">
        <w:rPr>
          <w:rFonts w:ascii="Verdana" w:hAnsi="Verdana"/>
          <w:sz w:val="24"/>
          <w:szCs w:val="24"/>
        </w:rPr>
        <w:t xml:space="preserve"> the appellant was sentenced to 3 years </w:t>
      </w:r>
      <w:r w:rsidR="00537C8A" w:rsidRPr="00BD756F">
        <w:rPr>
          <w:rFonts w:ascii="Verdana" w:hAnsi="Verdana"/>
          <w:sz w:val="24"/>
          <w:szCs w:val="24"/>
        </w:rPr>
        <w:t>in imprisonment</w:t>
      </w:r>
      <w:r w:rsidR="0079034E" w:rsidRPr="00BD756F">
        <w:rPr>
          <w:rFonts w:ascii="Verdana" w:hAnsi="Verdana"/>
          <w:sz w:val="24"/>
          <w:szCs w:val="24"/>
        </w:rPr>
        <w:t>. On the charge of rape, the appellant was sentenced to life imprisonment. On the charge of malicious damage to property, the appellant was sentenced to 2 years imprisonment. The sentences in respect of the first and third charges were ordered to run concurrently with the life sentence. The appellant’s co-perpetrator was given the same sentences.</w:t>
      </w:r>
    </w:p>
    <w:p w14:paraId="173028AB" w14:textId="77777777" w:rsidR="0079034E" w:rsidRPr="0079034E" w:rsidRDefault="0079034E" w:rsidP="00A20FB4">
      <w:pPr>
        <w:pStyle w:val="ListParagraph"/>
        <w:rPr>
          <w:rFonts w:ascii="Verdana" w:hAnsi="Verdana"/>
          <w:sz w:val="24"/>
          <w:szCs w:val="24"/>
        </w:rPr>
      </w:pPr>
    </w:p>
    <w:p w14:paraId="2D94D7A1" w14:textId="6B6F6624" w:rsidR="0079034E"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3.</w:t>
      </w:r>
      <w:r>
        <w:rPr>
          <w:rFonts w:ascii="Verdana" w:hAnsi="Verdana"/>
          <w:sz w:val="24"/>
          <w:szCs w:val="24"/>
        </w:rPr>
        <w:tab/>
      </w:r>
      <w:r w:rsidR="0079034E" w:rsidRPr="00BD756F">
        <w:rPr>
          <w:rFonts w:ascii="Verdana" w:hAnsi="Verdana"/>
          <w:sz w:val="24"/>
          <w:szCs w:val="24"/>
        </w:rPr>
        <w:t>The appellant does not appeal his convictions and only appeals against the sentences imposed. In substance, the appellant only appeals the life sentence imposed on him in respect of the conviction of rape.</w:t>
      </w:r>
    </w:p>
    <w:p w14:paraId="4220F51C" w14:textId="77777777" w:rsidR="0079034E" w:rsidRPr="0079034E" w:rsidRDefault="0079034E" w:rsidP="009A1858">
      <w:pPr>
        <w:pStyle w:val="ListParagraph"/>
        <w:jc w:val="both"/>
        <w:rPr>
          <w:rFonts w:ascii="Verdana" w:hAnsi="Verdana"/>
          <w:sz w:val="24"/>
          <w:szCs w:val="24"/>
        </w:rPr>
      </w:pPr>
    </w:p>
    <w:p w14:paraId="056800CD" w14:textId="4DFD55CC" w:rsidR="0079034E"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lastRenderedPageBreak/>
        <w:t>4.</w:t>
      </w:r>
      <w:r>
        <w:rPr>
          <w:rFonts w:ascii="Verdana" w:hAnsi="Verdana"/>
          <w:sz w:val="24"/>
          <w:szCs w:val="24"/>
        </w:rPr>
        <w:tab/>
      </w:r>
      <w:r w:rsidR="00DF5E37" w:rsidRPr="00BD756F">
        <w:rPr>
          <w:rFonts w:ascii="Verdana" w:hAnsi="Verdana"/>
          <w:sz w:val="24"/>
          <w:szCs w:val="24"/>
        </w:rPr>
        <w:t>It was common cause between the appellant and the State that section 51(1)</w:t>
      </w:r>
      <w:r w:rsidR="0006617C" w:rsidRPr="00BD756F">
        <w:rPr>
          <w:rFonts w:ascii="Verdana" w:hAnsi="Verdana"/>
          <w:sz w:val="24"/>
          <w:szCs w:val="24"/>
        </w:rPr>
        <w:t>,</w:t>
      </w:r>
      <w:r w:rsidR="00DF5E37" w:rsidRPr="00BD756F">
        <w:rPr>
          <w:rFonts w:ascii="Verdana" w:hAnsi="Verdana"/>
          <w:sz w:val="24"/>
          <w:szCs w:val="24"/>
        </w:rPr>
        <w:t xml:space="preserve"> as read with Schedule 2 Part I</w:t>
      </w:r>
      <w:r w:rsidR="0006617C" w:rsidRPr="00BD756F">
        <w:rPr>
          <w:rFonts w:ascii="Verdana" w:hAnsi="Verdana"/>
          <w:sz w:val="24"/>
          <w:szCs w:val="24"/>
        </w:rPr>
        <w:t>,</w:t>
      </w:r>
      <w:r w:rsidR="00DF5E37" w:rsidRPr="00BD756F">
        <w:rPr>
          <w:rFonts w:ascii="Verdana" w:hAnsi="Verdana"/>
          <w:sz w:val="24"/>
          <w:szCs w:val="24"/>
        </w:rPr>
        <w:t xml:space="preserve"> under the sentencing provisions for ‘rape’ item (a)(ii)  of the said minimum sentencing act applied.</w:t>
      </w:r>
    </w:p>
    <w:p w14:paraId="01F372D9" w14:textId="77777777" w:rsidR="00DF5E37" w:rsidRPr="00DF5E37" w:rsidRDefault="00DF5E37" w:rsidP="009A1858">
      <w:pPr>
        <w:pStyle w:val="ListParagraph"/>
        <w:jc w:val="both"/>
        <w:rPr>
          <w:rFonts w:ascii="Verdana" w:hAnsi="Verdana"/>
          <w:sz w:val="24"/>
          <w:szCs w:val="24"/>
        </w:rPr>
      </w:pPr>
    </w:p>
    <w:p w14:paraId="73898F0C" w14:textId="12F202F4" w:rsidR="00DF5E37"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5.</w:t>
      </w:r>
      <w:r>
        <w:rPr>
          <w:rFonts w:ascii="Verdana" w:hAnsi="Verdana"/>
          <w:sz w:val="24"/>
          <w:szCs w:val="24"/>
        </w:rPr>
        <w:tab/>
      </w:r>
      <w:r w:rsidR="00DF5E37" w:rsidRPr="00BD756F">
        <w:rPr>
          <w:rFonts w:ascii="Verdana" w:hAnsi="Verdana"/>
          <w:sz w:val="24"/>
          <w:szCs w:val="24"/>
        </w:rPr>
        <w:t xml:space="preserve">The consequence of this is that the minimum prescribed sentence for rape under those circumstances is life imprisonment. In order for the court </w:t>
      </w:r>
      <w:r w:rsidR="00DF5E37" w:rsidRPr="00BD756F">
        <w:rPr>
          <w:rFonts w:ascii="Verdana" w:hAnsi="Verdana"/>
          <w:i/>
          <w:iCs/>
          <w:sz w:val="24"/>
          <w:szCs w:val="24"/>
        </w:rPr>
        <w:t>a quo</w:t>
      </w:r>
      <w:r w:rsidR="00DF5E37" w:rsidRPr="00BD756F">
        <w:rPr>
          <w:rFonts w:ascii="Verdana" w:hAnsi="Verdana"/>
          <w:sz w:val="24"/>
          <w:szCs w:val="24"/>
        </w:rPr>
        <w:t xml:space="preserve"> to depart from this prescribed minimum sentence</w:t>
      </w:r>
      <w:r w:rsidR="0006617C" w:rsidRPr="00BD756F">
        <w:rPr>
          <w:rFonts w:ascii="Verdana" w:hAnsi="Verdana"/>
          <w:sz w:val="24"/>
          <w:szCs w:val="24"/>
        </w:rPr>
        <w:t>,</w:t>
      </w:r>
      <w:r w:rsidR="00DF5E37" w:rsidRPr="00BD756F">
        <w:rPr>
          <w:rFonts w:ascii="Verdana" w:hAnsi="Verdana"/>
          <w:sz w:val="24"/>
          <w:szCs w:val="24"/>
        </w:rPr>
        <w:t xml:space="preserve"> such court would have needed to find ‘substantial and compelling’ reasons to impose a lesser sentence</w:t>
      </w:r>
      <w:r w:rsidR="0006617C" w:rsidRPr="00BD756F">
        <w:rPr>
          <w:rFonts w:ascii="Verdana" w:hAnsi="Verdana"/>
          <w:sz w:val="24"/>
          <w:szCs w:val="24"/>
        </w:rPr>
        <w:t>,</w:t>
      </w:r>
      <w:r w:rsidR="00DF5E37" w:rsidRPr="00BD756F">
        <w:rPr>
          <w:rFonts w:ascii="Verdana" w:hAnsi="Verdana"/>
          <w:sz w:val="24"/>
          <w:szCs w:val="24"/>
        </w:rPr>
        <w:t xml:space="preserve"> as contemplated in section 51(3) of the said minimum sentencing act.</w:t>
      </w:r>
    </w:p>
    <w:p w14:paraId="7F41C39B" w14:textId="77777777" w:rsidR="00DF5E37" w:rsidRPr="00DF5E37" w:rsidRDefault="00DF5E37" w:rsidP="009A1858">
      <w:pPr>
        <w:pStyle w:val="ListParagraph"/>
        <w:jc w:val="both"/>
        <w:rPr>
          <w:rFonts w:ascii="Verdana" w:hAnsi="Verdana"/>
          <w:sz w:val="24"/>
          <w:szCs w:val="24"/>
        </w:rPr>
      </w:pPr>
    </w:p>
    <w:p w14:paraId="18FA1902" w14:textId="763D60E2" w:rsidR="00DF5E37"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6.</w:t>
      </w:r>
      <w:r>
        <w:rPr>
          <w:rFonts w:ascii="Verdana" w:hAnsi="Verdana"/>
          <w:sz w:val="24"/>
          <w:szCs w:val="24"/>
        </w:rPr>
        <w:tab/>
      </w:r>
      <w:r w:rsidR="00E66C1F" w:rsidRPr="00BD756F">
        <w:rPr>
          <w:rFonts w:ascii="Verdana" w:hAnsi="Verdana"/>
          <w:sz w:val="24"/>
          <w:szCs w:val="24"/>
        </w:rPr>
        <w:t xml:space="preserve">It is further common cause that the learned trial Magistrate in the court </w:t>
      </w:r>
      <w:r w:rsidR="00E66C1F" w:rsidRPr="00BD756F">
        <w:rPr>
          <w:rFonts w:ascii="Verdana" w:hAnsi="Verdana"/>
          <w:i/>
          <w:iCs/>
          <w:sz w:val="24"/>
          <w:szCs w:val="24"/>
        </w:rPr>
        <w:t>a quo</w:t>
      </w:r>
      <w:r w:rsidR="00E66C1F" w:rsidRPr="00BD756F">
        <w:rPr>
          <w:rFonts w:ascii="Verdana" w:hAnsi="Verdana"/>
          <w:sz w:val="24"/>
          <w:szCs w:val="24"/>
        </w:rPr>
        <w:t xml:space="preserve"> found that there were no substantial and compelling reasons to depart from the prescribed minimum sentence and in fact imposed the prescribed minimum sentence of life imprisonment on the appellant. This is in fact the substance of the appeal in this matter.</w:t>
      </w:r>
    </w:p>
    <w:p w14:paraId="4D9E1367" w14:textId="77777777" w:rsidR="00E66C1F" w:rsidRPr="00E66C1F" w:rsidRDefault="00E66C1F" w:rsidP="009A1858">
      <w:pPr>
        <w:pStyle w:val="ListParagraph"/>
        <w:jc w:val="both"/>
        <w:rPr>
          <w:rFonts w:ascii="Verdana" w:hAnsi="Verdana"/>
          <w:sz w:val="24"/>
          <w:szCs w:val="24"/>
        </w:rPr>
      </w:pPr>
    </w:p>
    <w:p w14:paraId="445B40AB" w14:textId="694008A7" w:rsidR="00E66C1F"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7.</w:t>
      </w:r>
      <w:r>
        <w:rPr>
          <w:rFonts w:ascii="Verdana" w:hAnsi="Verdana"/>
          <w:sz w:val="24"/>
          <w:szCs w:val="24"/>
        </w:rPr>
        <w:tab/>
      </w:r>
      <w:r w:rsidR="00083FF7" w:rsidRPr="00BD756F">
        <w:rPr>
          <w:rFonts w:ascii="Verdana" w:hAnsi="Verdana"/>
          <w:sz w:val="24"/>
          <w:szCs w:val="24"/>
        </w:rPr>
        <w:t>Further, there is an application for condonation in relation to the late filing of the Notice of Appeal. Originally, the appellant filed a notice of appeal against both the convictions and the imposition of the life sentence. However, the appellant only proceeded with the appeal on sentence.</w:t>
      </w:r>
    </w:p>
    <w:p w14:paraId="7BCCA953" w14:textId="77777777" w:rsidR="00083FF7" w:rsidRPr="00083FF7" w:rsidRDefault="00083FF7" w:rsidP="009A1858">
      <w:pPr>
        <w:pStyle w:val="ListParagraph"/>
        <w:jc w:val="both"/>
        <w:rPr>
          <w:rFonts w:ascii="Verdana" w:hAnsi="Verdana"/>
          <w:sz w:val="24"/>
          <w:szCs w:val="24"/>
        </w:rPr>
      </w:pPr>
    </w:p>
    <w:p w14:paraId="7588C0BF" w14:textId="40CA9D70" w:rsidR="00083FF7"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8.</w:t>
      </w:r>
      <w:r>
        <w:rPr>
          <w:rFonts w:ascii="Verdana" w:hAnsi="Verdana"/>
          <w:sz w:val="24"/>
          <w:szCs w:val="24"/>
        </w:rPr>
        <w:tab/>
      </w:r>
      <w:r w:rsidR="00083FF7" w:rsidRPr="00BD756F">
        <w:rPr>
          <w:rFonts w:ascii="Verdana" w:hAnsi="Verdana"/>
          <w:sz w:val="24"/>
          <w:szCs w:val="24"/>
        </w:rPr>
        <w:t>The State does not oppose the application for condonation.</w:t>
      </w:r>
    </w:p>
    <w:p w14:paraId="1A57594C" w14:textId="77777777" w:rsidR="00083FF7" w:rsidRPr="00083FF7" w:rsidRDefault="00083FF7" w:rsidP="009A1858">
      <w:pPr>
        <w:pStyle w:val="ListParagraph"/>
        <w:jc w:val="both"/>
        <w:rPr>
          <w:rFonts w:ascii="Verdana" w:hAnsi="Verdana"/>
          <w:sz w:val="24"/>
          <w:szCs w:val="24"/>
        </w:rPr>
      </w:pPr>
    </w:p>
    <w:p w14:paraId="24098078" w14:textId="572DFBE4" w:rsidR="008601CB"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9.</w:t>
      </w:r>
      <w:r>
        <w:rPr>
          <w:rFonts w:ascii="Verdana" w:hAnsi="Verdana"/>
          <w:sz w:val="24"/>
          <w:szCs w:val="24"/>
        </w:rPr>
        <w:tab/>
      </w:r>
      <w:r w:rsidR="00083FF7" w:rsidRPr="00BD756F">
        <w:rPr>
          <w:rFonts w:ascii="Verdana" w:hAnsi="Verdana"/>
          <w:sz w:val="24"/>
          <w:szCs w:val="24"/>
        </w:rPr>
        <w:t xml:space="preserve">The appellant personally drafted and filed a Notice of Appeal in circumstances where his family had assured him that they would acquire the services of a private attorney. However, the </w:t>
      </w:r>
      <w:r w:rsidR="0006617C" w:rsidRPr="00BD756F">
        <w:rPr>
          <w:rFonts w:ascii="Verdana" w:hAnsi="Verdana"/>
          <w:sz w:val="24"/>
          <w:szCs w:val="24"/>
        </w:rPr>
        <w:t>family</w:t>
      </w:r>
      <w:r w:rsidR="00083FF7" w:rsidRPr="00BD756F">
        <w:rPr>
          <w:rFonts w:ascii="Verdana" w:hAnsi="Verdana"/>
          <w:sz w:val="24"/>
          <w:szCs w:val="24"/>
        </w:rPr>
        <w:t xml:space="preserve"> was unable to secure the funds in order to appoint a private attorney. The Notice of Appeal </w:t>
      </w:r>
      <w:r w:rsidR="00210761" w:rsidRPr="00BD756F">
        <w:rPr>
          <w:rFonts w:ascii="Verdana" w:hAnsi="Verdana"/>
          <w:sz w:val="24"/>
          <w:szCs w:val="24"/>
        </w:rPr>
        <w:t xml:space="preserve">was personally drafted and filed by the appellant </w:t>
      </w:r>
      <w:r w:rsidR="00083FF7" w:rsidRPr="00BD756F">
        <w:rPr>
          <w:rFonts w:ascii="Verdana" w:hAnsi="Verdana"/>
          <w:sz w:val="24"/>
          <w:szCs w:val="24"/>
        </w:rPr>
        <w:t xml:space="preserve">approximately seven months out of time when </w:t>
      </w:r>
      <w:r w:rsidR="00210761" w:rsidRPr="00BD756F">
        <w:rPr>
          <w:rFonts w:ascii="Verdana" w:hAnsi="Verdana"/>
          <w:sz w:val="24"/>
          <w:szCs w:val="24"/>
        </w:rPr>
        <w:t>he</w:t>
      </w:r>
      <w:r w:rsidR="00083FF7" w:rsidRPr="00BD756F">
        <w:rPr>
          <w:rFonts w:ascii="Verdana" w:hAnsi="Verdana"/>
          <w:sz w:val="24"/>
          <w:szCs w:val="24"/>
        </w:rPr>
        <w:t xml:space="preserve"> realised that he </w:t>
      </w:r>
      <w:r w:rsidR="00210761" w:rsidRPr="00BD756F">
        <w:rPr>
          <w:rFonts w:ascii="Verdana" w:hAnsi="Verdana"/>
          <w:sz w:val="24"/>
          <w:szCs w:val="24"/>
        </w:rPr>
        <w:t xml:space="preserve">had no lawyer. </w:t>
      </w:r>
      <w:r w:rsidR="00083FF7" w:rsidRPr="00BD756F">
        <w:rPr>
          <w:rFonts w:ascii="Verdana" w:hAnsi="Verdana"/>
          <w:sz w:val="24"/>
          <w:szCs w:val="24"/>
        </w:rPr>
        <w:t xml:space="preserve">In these circumstances, it cannot be said that the </w:t>
      </w:r>
      <w:r w:rsidR="008601CB" w:rsidRPr="00BD756F">
        <w:rPr>
          <w:rFonts w:ascii="Verdana" w:hAnsi="Verdana"/>
          <w:sz w:val="24"/>
          <w:szCs w:val="24"/>
        </w:rPr>
        <w:t xml:space="preserve">appellant was negligent. The delay was not unreasonable in the circumstances. The issue is undeniably important to the appellant. While the prospects of success are not very strong, there is at least an arguable case. </w:t>
      </w:r>
    </w:p>
    <w:p w14:paraId="1B92367D" w14:textId="77777777" w:rsidR="008601CB" w:rsidRPr="008601CB" w:rsidRDefault="008601CB" w:rsidP="009A1858">
      <w:pPr>
        <w:pStyle w:val="ListParagraph"/>
        <w:jc w:val="both"/>
        <w:rPr>
          <w:rFonts w:ascii="Verdana" w:hAnsi="Verdana"/>
          <w:sz w:val="24"/>
          <w:szCs w:val="24"/>
        </w:rPr>
      </w:pPr>
    </w:p>
    <w:p w14:paraId="53412A68" w14:textId="2EB98133" w:rsidR="008601CB"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10.</w:t>
      </w:r>
      <w:r>
        <w:rPr>
          <w:rFonts w:ascii="Verdana" w:hAnsi="Verdana"/>
          <w:sz w:val="24"/>
          <w:szCs w:val="24"/>
        </w:rPr>
        <w:tab/>
      </w:r>
      <w:r w:rsidR="008601CB" w:rsidRPr="00BD756F">
        <w:rPr>
          <w:rFonts w:ascii="Verdana" w:hAnsi="Verdana"/>
          <w:sz w:val="24"/>
          <w:szCs w:val="24"/>
        </w:rPr>
        <w:t>Weighing up all of these interrelated considerations condonation for the late filing of the Notice of Appeal was granted at the hearing of this appeal.</w:t>
      </w:r>
    </w:p>
    <w:p w14:paraId="0604BF30" w14:textId="77777777" w:rsidR="008601CB" w:rsidRPr="008601CB" w:rsidRDefault="008601CB" w:rsidP="009A1858">
      <w:pPr>
        <w:pStyle w:val="ListParagraph"/>
        <w:jc w:val="both"/>
        <w:rPr>
          <w:rFonts w:ascii="Verdana" w:hAnsi="Verdana"/>
          <w:sz w:val="24"/>
          <w:szCs w:val="24"/>
        </w:rPr>
      </w:pPr>
    </w:p>
    <w:p w14:paraId="7F273B06" w14:textId="451600C4" w:rsidR="00083FF7"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11.</w:t>
      </w:r>
      <w:r>
        <w:rPr>
          <w:rFonts w:ascii="Verdana" w:hAnsi="Verdana"/>
          <w:sz w:val="24"/>
          <w:szCs w:val="24"/>
        </w:rPr>
        <w:tab/>
      </w:r>
      <w:r w:rsidR="004A58E4" w:rsidRPr="00BD756F">
        <w:rPr>
          <w:rFonts w:ascii="Verdana" w:hAnsi="Verdana"/>
          <w:sz w:val="24"/>
          <w:szCs w:val="24"/>
        </w:rPr>
        <w:t>Mr Stey</w:t>
      </w:r>
      <w:r w:rsidR="00B83CCC" w:rsidRPr="00BD756F">
        <w:rPr>
          <w:rFonts w:ascii="Verdana" w:hAnsi="Verdana"/>
          <w:sz w:val="24"/>
          <w:szCs w:val="24"/>
        </w:rPr>
        <w:t>n</w:t>
      </w:r>
      <w:r w:rsidR="004A58E4" w:rsidRPr="00BD756F">
        <w:rPr>
          <w:rFonts w:ascii="Verdana" w:hAnsi="Verdana"/>
          <w:sz w:val="24"/>
          <w:szCs w:val="24"/>
        </w:rPr>
        <w:t>berg submitted that in an appeal where the minimum sentencing act applied</w:t>
      </w:r>
      <w:r w:rsidR="00210761" w:rsidRPr="00BD756F">
        <w:rPr>
          <w:rFonts w:ascii="Verdana" w:hAnsi="Verdana"/>
          <w:sz w:val="24"/>
          <w:szCs w:val="24"/>
        </w:rPr>
        <w:t>,</w:t>
      </w:r>
      <w:r w:rsidR="004A58E4" w:rsidRPr="00BD756F">
        <w:rPr>
          <w:rFonts w:ascii="Verdana" w:hAnsi="Verdana"/>
          <w:sz w:val="24"/>
          <w:szCs w:val="24"/>
        </w:rPr>
        <w:t xml:space="preserve"> the approach on appeal is different from the normal approach to sentence on appeal. Where the minimum sentence act applied, the court of appeal has to look at the facts placed before the court </w:t>
      </w:r>
      <w:r w:rsidR="004A58E4" w:rsidRPr="00BD756F">
        <w:rPr>
          <w:rFonts w:ascii="Verdana" w:hAnsi="Verdana"/>
          <w:i/>
          <w:iCs/>
          <w:sz w:val="24"/>
          <w:szCs w:val="24"/>
        </w:rPr>
        <w:t>a quo</w:t>
      </w:r>
      <w:r w:rsidR="00083FF7" w:rsidRPr="00BD756F">
        <w:rPr>
          <w:rFonts w:ascii="Verdana" w:hAnsi="Verdana"/>
          <w:sz w:val="24"/>
          <w:szCs w:val="24"/>
        </w:rPr>
        <w:t xml:space="preserve"> </w:t>
      </w:r>
      <w:r w:rsidR="004A58E4" w:rsidRPr="00BD756F">
        <w:rPr>
          <w:rFonts w:ascii="Verdana" w:hAnsi="Verdana"/>
          <w:sz w:val="24"/>
          <w:szCs w:val="24"/>
        </w:rPr>
        <w:t xml:space="preserve">and decide whether they are ‘substantial and compelling’ or </w:t>
      </w:r>
      <w:r w:rsidR="004A58E4" w:rsidRPr="00BD756F">
        <w:rPr>
          <w:rFonts w:ascii="Verdana" w:hAnsi="Verdana"/>
          <w:sz w:val="24"/>
          <w:szCs w:val="24"/>
        </w:rPr>
        <w:lastRenderedPageBreak/>
        <w:t>not. In support of this contention, Mr Steynberg relied on the case of S v PB</w:t>
      </w:r>
      <w:r w:rsidR="002B6468" w:rsidRPr="00BD756F">
        <w:rPr>
          <w:rFonts w:ascii="Verdana" w:hAnsi="Verdana"/>
          <w:sz w:val="24"/>
          <w:szCs w:val="24"/>
        </w:rPr>
        <w:t>.</w:t>
      </w:r>
      <w:r w:rsidR="004A58E4">
        <w:rPr>
          <w:rStyle w:val="FootnoteReference"/>
          <w:rFonts w:ascii="Verdana" w:hAnsi="Verdana"/>
          <w:sz w:val="24"/>
          <w:szCs w:val="24"/>
        </w:rPr>
        <w:footnoteReference w:id="2"/>
      </w:r>
    </w:p>
    <w:p w14:paraId="1F1043ED" w14:textId="77777777" w:rsidR="00083FF7" w:rsidRPr="00083FF7" w:rsidRDefault="00083FF7" w:rsidP="009A1858">
      <w:pPr>
        <w:pStyle w:val="ListParagraph"/>
        <w:jc w:val="both"/>
        <w:rPr>
          <w:rFonts w:ascii="Verdana" w:hAnsi="Verdana"/>
          <w:sz w:val="24"/>
          <w:szCs w:val="24"/>
        </w:rPr>
      </w:pPr>
    </w:p>
    <w:p w14:paraId="4E0AA08E" w14:textId="749133E3" w:rsidR="00083FF7"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12.</w:t>
      </w:r>
      <w:r>
        <w:rPr>
          <w:rFonts w:ascii="Verdana" w:hAnsi="Verdana"/>
          <w:sz w:val="24"/>
          <w:szCs w:val="24"/>
        </w:rPr>
        <w:tab/>
      </w:r>
      <w:r w:rsidR="005827CC" w:rsidRPr="00BD756F">
        <w:rPr>
          <w:rFonts w:ascii="Verdana" w:hAnsi="Verdana"/>
          <w:sz w:val="24"/>
          <w:szCs w:val="24"/>
        </w:rPr>
        <w:t>Mr Steynberg then referred to the ‘determinative test’ as it was framed by the Supreme Court of Appeal in the case of S v MALGAS</w:t>
      </w:r>
      <w:r w:rsidR="005827CC">
        <w:rPr>
          <w:rStyle w:val="FootnoteReference"/>
          <w:rFonts w:ascii="Verdana" w:hAnsi="Verdana"/>
          <w:sz w:val="24"/>
          <w:szCs w:val="24"/>
        </w:rPr>
        <w:footnoteReference w:id="3"/>
      </w:r>
      <w:r w:rsidR="00AA7CD2" w:rsidRPr="00BD756F">
        <w:rPr>
          <w:rFonts w:ascii="Verdana" w:hAnsi="Verdana"/>
          <w:sz w:val="24"/>
          <w:szCs w:val="24"/>
        </w:rPr>
        <w:t>. The determinative test is a central part of the argument pursued by Mr Steynberg on behalf of the appellant.</w:t>
      </w:r>
    </w:p>
    <w:p w14:paraId="08BE500A" w14:textId="77777777" w:rsidR="00AA7CD2" w:rsidRPr="00AA7CD2" w:rsidRDefault="00AA7CD2" w:rsidP="009A1858">
      <w:pPr>
        <w:pStyle w:val="ListParagraph"/>
        <w:jc w:val="both"/>
        <w:rPr>
          <w:rFonts w:ascii="Verdana" w:hAnsi="Verdana"/>
          <w:sz w:val="24"/>
          <w:szCs w:val="24"/>
        </w:rPr>
      </w:pPr>
    </w:p>
    <w:p w14:paraId="08114B0E" w14:textId="391F5897" w:rsidR="00AA7CD2"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13.</w:t>
      </w:r>
      <w:r>
        <w:rPr>
          <w:rFonts w:ascii="Verdana" w:hAnsi="Verdana"/>
          <w:sz w:val="24"/>
          <w:szCs w:val="24"/>
        </w:rPr>
        <w:tab/>
      </w:r>
      <w:r w:rsidR="00AA7CD2" w:rsidRPr="00BD756F">
        <w:rPr>
          <w:rFonts w:ascii="Verdana" w:hAnsi="Verdana"/>
          <w:sz w:val="24"/>
          <w:szCs w:val="24"/>
        </w:rPr>
        <w:t>Mr Steynberg then refer</w:t>
      </w:r>
      <w:r w:rsidR="002B6468" w:rsidRPr="00BD756F">
        <w:rPr>
          <w:rFonts w:ascii="Verdana" w:hAnsi="Verdana"/>
          <w:sz w:val="24"/>
          <w:szCs w:val="24"/>
        </w:rPr>
        <w:t>red</w:t>
      </w:r>
      <w:r w:rsidR="00AA7CD2" w:rsidRPr="00BD756F">
        <w:rPr>
          <w:rFonts w:ascii="Verdana" w:hAnsi="Verdana"/>
          <w:sz w:val="24"/>
          <w:szCs w:val="24"/>
        </w:rPr>
        <w:t xml:space="preserve"> to the Constitutional Court decision in the matter of S v DODO</w:t>
      </w:r>
      <w:r w:rsidR="00AA7CD2">
        <w:rPr>
          <w:rStyle w:val="FootnoteReference"/>
          <w:rFonts w:ascii="Verdana" w:hAnsi="Verdana"/>
          <w:sz w:val="24"/>
          <w:szCs w:val="24"/>
        </w:rPr>
        <w:footnoteReference w:id="4"/>
      </w:r>
      <w:r w:rsidR="00AA7CD2" w:rsidRPr="00BD756F">
        <w:rPr>
          <w:rFonts w:ascii="Verdana" w:hAnsi="Verdana"/>
          <w:sz w:val="24"/>
          <w:szCs w:val="24"/>
        </w:rPr>
        <w:t xml:space="preserve"> </w:t>
      </w:r>
      <w:r w:rsidR="002B6468" w:rsidRPr="00BD756F">
        <w:rPr>
          <w:rFonts w:ascii="Verdana" w:hAnsi="Verdana"/>
          <w:sz w:val="24"/>
          <w:szCs w:val="24"/>
        </w:rPr>
        <w:t>and contended</w:t>
      </w:r>
      <w:r w:rsidR="00AA7CD2" w:rsidRPr="00BD756F">
        <w:rPr>
          <w:rFonts w:ascii="Verdana" w:hAnsi="Verdana"/>
          <w:sz w:val="24"/>
          <w:szCs w:val="24"/>
        </w:rPr>
        <w:t xml:space="preserve"> that the learned trial Magistrate in the court </w:t>
      </w:r>
      <w:r w:rsidR="00AA7CD2" w:rsidRPr="00BD756F">
        <w:rPr>
          <w:rFonts w:ascii="Verdana" w:hAnsi="Verdana"/>
          <w:i/>
          <w:iCs/>
          <w:sz w:val="24"/>
          <w:szCs w:val="24"/>
        </w:rPr>
        <w:t xml:space="preserve">a quo </w:t>
      </w:r>
      <w:r w:rsidR="00AA7CD2" w:rsidRPr="00BD756F">
        <w:rPr>
          <w:rFonts w:ascii="Verdana" w:hAnsi="Verdana"/>
          <w:sz w:val="24"/>
          <w:szCs w:val="24"/>
        </w:rPr>
        <w:t>did not even enquire into the proportionality of the life sentence of the appellant in the circumstances of his case</w:t>
      </w:r>
      <w:r w:rsidR="00384BAE" w:rsidRPr="00BD756F">
        <w:rPr>
          <w:rFonts w:ascii="Verdana" w:hAnsi="Verdana"/>
          <w:sz w:val="24"/>
          <w:szCs w:val="24"/>
        </w:rPr>
        <w:t>, which he submitted constitutes a misdirection</w:t>
      </w:r>
      <w:r w:rsidR="00AA7CD2" w:rsidRPr="00BD756F">
        <w:rPr>
          <w:rFonts w:ascii="Verdana" w:hAnsi="Verdana"/>
          <w:sz w:val="24"/>
          <w:szCs w:val="24"/>
        </w:rPr>
        <w:t>.</w:t>
      </w:r>
    </w:p>
    <w:p w14:paraId="1A790D23" w14:textId="77777777" w:rsidR="00AA7CD2" w:rsidRPr="00AA7CD2" w:rsidRDefault="00AA7CD2" w:rsidP="009A1858">
      <w:pPr>
        <w:pStyle w:val="ListParagraph"/>
        <w:jc w:val="both"/>
        <w:rPr>
          <w:rFonts w:ascii="Verdana" w:hAnsi="Verdana"/>
          <w:sz w:val="24"/>
          <w:szCs w:val="24"/>
        </w:rPr>
      </w:pPr>
    </w:p>
    <w:p w14:paraId="30F9C245" w14:textId="0CAB2946" w:rsidR="00AA7CD2"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14.</w:t>
      </w:r>
      <w:r>
        <w:rPr>
          <w:rFonts w:ascii="Verdana" w:hAnsi="Verdana"/>
          <w:sz w:val="24"/>
          <w:szCs w:val="24"/>
        </w:rPr>
        <w:tab/>
      </w:r>
      <w:r w:rsidR="00384BAE" w:rsidRPr="00BD756F">
        <w:rPr>
          <w:rFonts w:ascii="Verdana" w:hAnsi="Verdana"/>
          <w:sz w:val="24"/>
          <w:szCs w:val="24"/>
        </w:rPr>
        <w:t xml:space="preserve">What Mr Steynberg loses sight of in pursuing this argument is that the appellant and his co-perpetrator acted in concert and with a common intention and purpose to rape the victim. These facts emerge clearly from the record and cannot be gainsaid. This fundamentally alters the power relationship between the perpetrators and the victim. This in and of itself is an aggravating factor. The legislature has clearly treated this as an aggravating factor by providing </w:t>
      </w:r>
      <w:r w:rsidR="002B6468" w:rsidRPr="00BD756F">
        <w:rPr>
          <w:rFonts w:ascii="Verdana" w:hAnsi="Verdana"/>
          <w:sz w:val="24"/>
          <w:szCs w:val="24"/>
        </w:rPr>
        <w:t xml:space="preserve">that </w:t>
      </w:r>
      <w:r w:rsidR="00384BAE" w:rsidRPr="00BD756F">
        <w:rPr>
          <w:rFonts w:ascii="Verdana" w:hAnsi="Verdana"/>
          <w:sz w:val="24"/>
          <w:szCs w:val="24"/>
        </w:rPr>
        <w:t>when two or more co-</w:t>
      </w:r>
      <w:r w:rsidR="00384BAE" w:rsidRPr="00BD756F">
        <w:rPr>
          <w:rFonts w:ascii="Verdana" w:hAnsi="Verdana"/>
          <w:sz w:val="24"/>
          <w:szCs w:val="24"/>
        </w:rPr>
        <w:lastRenderedPageBreak/>
        <w:t>perpetrators act with common intent and common purpose</w:t>
      </w:r>
      <w:r w:rsidR="00560631" w:rsidRPr="00BD756F">
        <w:rPr>
          <w:rFonts w:ascii="Verdana" w:hAnsi="Verdana"/>
          <w:sz w:val="24"/>
          <w:szCs w:val="24"/>
        </w:rPr>
        <w:t xml:space="preserve"> in committing a rape,</w:t>
      </w:r>
      <w:r w:rsidR="00384BAE" w:rsidRPr="00BD756F">
        <w:rPr>
          <w:rFonts w:ascii="Verdana" w:hAnsi="Verdana"/>
          <w:sz w:val="24"/>
          <w:szCs w:val="24"/>
        </w:rPr>
        <w:t xml:space="preserve"> that in itself is worthy of a life sentence. In these circumstances, Mr Steynberg’s argument that this constitutes a misdirection by the learned trial Magistrate cannot be upheld.</w:t>
      </w:r>
    </w:p>
    <w:p w14:paraId="789EA0A3" w14:textId="77777777" w:rsidR="00560631" w:rsidRPr="00560631" w:rsidRDefault="00560631" w:rsidP="009A1858">
      <w:pPr>
        <w:pStyle w:val="ListParagraph"/>
        <w:jc w:val="both"/>
        <w:rPr>
          <w:rFonts w:ascii="Verdana" w:hAnsi="Verdana"/>
          <w:sz w:val="24"/>
          <w:szCs w:val="24"/>
        </w:rPr>
      </w:pPr>
    </w:p>
    <w:p w14:paraId="788589AB" w14:textId="02E16936" w:rsidR="00AE2E11"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15.</w:t>
      </w:r>
      <w:r>
        <w:rPr>
          <w:rFonts w:ascii="Verdana" w:hAnsi="Verdana"/>
          <w:sz w:val="24"/>
          <w:szCs w:val="24"/>
        </w:rPr>
        <w:tab/>
      </w:r>
      <w:r w:rsidR="00560631" w:rsidRPr="00BD756F">
        <w:rPr>
          <w:rFonts w:ascii="Verdana" w:hAnsi="Verdana"/>
          <w:sz w:val="24"/>
          <w:szCs w:val="24"/>
        </w:rPr>
        <w:t xml:space="preserve">The appellant’s personal circumstances are listed as: He is 31 years old; </w:t>
      </w:r>
      <w:r w:rsidR="002B6468" w:rsidRPr="00BD756F">
        <w:rPr>
          <w:rFonts w:ascii="Verdana" w:hAnsi="Verdana"/>
          <w:sz w:val="24"/>
          <w:szCs w:val="24"/>
        </w:rPr>
        <w:t>h</w:t>
      </w:r>
      <w:r w:rsidR="00560631" w:rsidRPr="00BD756F">
        <w:rPr>
          <w:rFonts w:ascii="Verdana" w:hAnsi="Verdana"/>
          <w:sz w:val="24"/>
          <w:szCs w:val="24"/>
        </w:rPr>
        <w:t xml:space="preserve">e is unmarried with one minor child; he earned R1500 every fortnight; he used this income to take care of himself and his child; the minor child stays with her mother who is unemployed; he </w:t>
      </w:r>
      <w:r w:rsidR="00E3790A" w:rsidRPr="00BD756F">
        <w:rPr>
          <w:rFonts w:ascii="Verdana" w:hAnsi="Verdana"/>
          <w:sz w:val="24"/>
          <w:szCs w:val="24"/>
        </w:rPr>
        <w:t xml:space="preserve">only </w:t>
      </w:r>
      <w:r w:rsidR="00560631" w:rsidRPr="00BD756F">
        <w:rPr>
          <w:rFonts w:ascii="Verdana" w:hAnsi="Verdana"/>
          <w:sz w:val="24"/>
          <w:szCs w:val="24"/>
        </w:rPr>
        <w:t>completed standard 2 at school; he has 4 previous convictions; and he spent 15 months in jail whilst the trial ran.</w:t>
      </w:r>
    </w:p>
    <w:p w14:paraId="35FF5A16" w14:textId="77777777" w:rsidR="00AE2E11" w:rsidRPr="00AE2E11" w:rsidRDefault="00AE2E11" w:rsidP="009A1858">
      <w:pPr>
        <w:pStyle w:val="ListParagraph"/>
        <w:jc w:val="both"/>
        <w:rPr>
          <w:rFonts w:ascii="Verdana" w:hAnsi="Verdana"/>
          <w:sz w:val="24"/>
          <w:szCs w:val="24"/>
        </w:rPr>
      </w:pPr>
    </w:p>
    <w:p w14:paraId="202FC64D" w14:textId="56FF1FE9" w:rsidR="00AE2E11"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16.</w:t>
      </w:r>
      <w:r>
        <w:rPr>
          <w:rFonts w:ascii="Verdana" w:hAnsi="Verdana"/>
          <w:sz w:val="24"/>
          <w:szCs w:val="24"/>
        </w:rPr>
        <w:tab/>
      </w:r>
      <w:r w:rsidR="00AE2E11" w:rsidRPr="00BD756F">
        <w:rPr>
          <w:rFonts w:ascii="Verdana" w:hAnsi="Verdana"/>
          <w:sz w:val="24"/>
          <w:szCs w:val="24"/>
        </w:rPr>
        <w:t>Mr Steynberg correctly conceded that where a long custodial sentence is called for</w:t>
      </w:r>
      <w:r w:rsidR="00E3790A" w:rsidRPr="00BD756F">
        <w:rPr>
          <w:rFonts w:ascii="Verdana" w:hAnsi="Verdana"/>
          <w:sz w:val="24"/>
          <w:szCs w:val="24"/>
        </w:rPr>
        <w:t>,</w:t>
      </w:r>
      <w:r w:rsidR="00AE2E11" w:rsidRPr="00BD756F">
        <w:rPr>
          <w:rFonts w:ascii="Verdana" w:hAnsi="Verdana"/>
          <w:sz w:val="24"/>
          <w:szCs w:val="24"/>
        </w:rPr>
        <w:t xml:space="preserve"> these factors as raised by the appellant recede into the background.</w:t>
      </w:r>
    </w:p>
    <w:p w14:paraId="63D73650" w14:textId="77777777" w:rsidR="00AE2E11" w:rsidRPr="00AE2E11" w:rsidRDefault="00AE2E11" w:rsidP="009A1858">
      <w:pPr>
        <w:pStyle w:val="ListParagraph"/>
        <w:jc w:val="both"/>
        <w:rPr>
          <w:rFonts w:ascii="Verdana" w:hAnsi="Verdana"/>
          <w:sz w:val="24"/>
          <w:szCs w:val="24"/>
        </w:rPr>
      </w:pPr>
    </w:p>
    <w:p w14:paraId="524B79B2" w14:textId="3E0FEB2E" w:rsidR="00AE2E11"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17.</w:t>
      </w:r>
      <w:r>
        <w:rPr>
          <w:rFonts w:ascii="Verdana" w:hAnsi="Verdana"/>
          <w:sz w:val="24"/>
          <w:szCs w:val="24"/>
        </w:rPr>
        <w:tab/>
      </w:r>
      <w:r w:rsidR="00AE2E11" w:rsidRPr="00BD756F">
        <w:rPr>
          <w:rFonts w:ascii="Verdana" w:hAnsi="Verdana"/>
          <w:sz w:val="24"/>
          <w:szCs w:val="24"/>
        </w:rPr>
        <w:t xml:space="preserve">Mr Steynberg then submitted that the learned trial Magistrate erred in treating the appellant and his co-perpetrator the same when it came to sentencing. He pointed out that the co-perpetrator had 25 previous convictions and the appellant only had 4 previous convictions. </w:t>
      </w:r>
    </w:p>
    <w:p w14:paraId="34888B50" w14:textId="77777777" w:rsidR="00AE2E11" w:rsidRPr="00AE2E11" w:rsidRDefault="00AE2E11" w:rsidP="009A1858">
      <w:pPr>
        <w:pStyle w:val="ListParagraph"/>
        <w:jc w:val="both"/>
        <w:rPr>
          <w:rFonts w:ascii="Verdana" w:hAnsi="Verdana"/>
          <w:sz w:val="24"/>
          <w:szCs w:val="24"/>
        </w:rPr>
      </w:pPr>
    </w:p>
    <w:p w14:paraId="75555A3F" w14:textId="46E87EEC" w:rsidR="00DA7D23"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18.</w:t>
      </w:r>
      <w:r>
        <w:rPr>
          <w:rFonts w:ascii="Verdana" w:hAnsi="Verdana"/>
          <w:sz w:val="24"/>
          <w:szCs w:val="24"/>
        </w:rPr>
        <w:tab/>
      </w:r>
      <w:r w:rsidR="00DA7D23" w:rsidRPr="00BD756F">
        <w:rPr>
          <w:rFonts w:ascii="Verdana" w:hAnsi="Verdana"/>
          <w:sz w:val="24"/>
          <w:szCs w:val="24"/>
        </w:rPr>
        <w:t>From the record</w:t>
      </w:r>
      <w:r w:rsidR="00E3790A" w:rsidRPr="00BD756F">
        <w:rPr>
          <w:rFonts w:ascii="Verdana" w:hAnsi="Verdana"/>
          <w:sz w:val="24"/>
          <w:szCs w:val="24"/>
        </w:rPr>
        <w:t>,</w:t>
      </w:r>
      <w:r w:rsidR="00DA7D23" w:rsidRPr="00BD756F">
        <w:rPr>
          <w:rFonts w:ascii="Verdana" w:hAnsi="Verdana"/>
          <w:sz w:val="24"/>
          <w:szCs w:val="24"/>
        </w:rPr>
        <w:t xml:space="preserve"> it is evident that the learned trial Magistrate had both relevant SAP 69’s placed before her. It is also evident that she considered the nature of the previous crimes and the sentences imposed </w:t>
      </w:r>
      <w:r w:rsidR="00DA7D23" w:rsidRPr="00BD756F">
        <w:rPr>
          <w:rFonts w:ascii="Verdana" w:hAnsi="Verdana"/>
          <w:sz w:val="24"/>
          <w:szCs w:val="24"/>
        </w:rPr>
        <w:lastRenderedPageBreak/>
        <w:t>in respect of the appellant and the co-perpetrator. The record also shows that in respect of the appellant and the co-perpetrator</w:t>
      </w:r>
      <w:r w:rsidR="00E3790A" w:rsidRPr="00BD756F">
        <w:rPr>
          <w:rFonts w:ascii="Verdana" w:hAnsi="Verdana"/>
          <w:sz w:val="24"/>
          <w:szCs w:val="24"/>
        </w:rPr>
        <w:t xml:space="preserve">, </w:t>
      </w:r>
      <w:r w:rsidR="00DA7D23" w:rsidRPr="00BD756F">
        <w:rPr>
          <w:rFonts w:ascii="Verdana" w:hAnsi="Verdana"/>
          <w:sz w:val="24"/>
          <w:szCs w:val="24"/>
        </w:rPr>
        <w:t>each had one previous conviction for assault GBH</w:t>
      </w:r>
      <w:r w:rsidR="00E3790A" w:rsidRPr="00BD756F">
        <w:rPr>
          <w:rFonts w:ascii="Verdana" w:hAnsi="Verdana"/>
          <w:sz w:val="24"/>
          <w:szCs w:val="24"/>
        </w:rPr>
        <w:t>,</w:t>
      </w:r>
      <w:r w:rsidR="00DA7D23" w:rsidRPr="00BD756F">
        <w:rPr>
          <w:rFonts w:ascii="Verdana" w:hAnsi="Verdana"/>
          <w:sz w:val="24"/>
          <w:szCs w:val="24"/>
        </w:rPr>
        <w:t xml:space="preserve"> which was particularly relevant in the case before her. In my view</w:t>
      </w:r>
      <w:r w:rsidR="00E3790A" w:rsidRPr="00BD756F">
        <w:rPr>
          <w:rFonts w:ascii="Verdana" w:hAnsi="Verdana"/>
          <w:sz w:val="24"/>
          <w:szCs w:val="24"/>
        </w:rPr>
        <w:t>,</w:t>
      </w:r>
      <w:r w:rsidR="00DA7D23" w:rsidRPr="00BD756F">
        <w:rPr>
          <w:rFonts w:ascii="Verdana" w:hAnsi="Verdana"/>
          <w:sz w:val="24"/>
          <w:szCs w:val="24"/>
        </w:rPr>
        <w:t xml:space="preserve"> the learned trial magistrate did not err in this regard. This is especially so in the light of the fact that there is a minimum prescribed sentence. Accordingly, at best the differences in previous convictions might form a</w:t>
      </w:r>
      <w:r w:rsidR="00611D8E" w:rsidRPr="00BD756F">
        <w:rPr>
          <w:rFonts w:ascii="Verdana" w:hAnsi="Verdana"/>
          <w:sz w:val="24"/>
          <w:szCs w:val="24"/>
        </w:rPr>
        <w:t xml:space="preserve"> partial</w:t>
      </w:r>
      <w:r w:rsidR="00DA7D23" w:rsidRPr="00BD756F">
        <w:rPr>
          <w:rFonts w:ascii="Verdana" w:hAnsi="Verdana"/>
          <w:sz w:val="24"/>
          <w:szCs w:val="24"/>
        </w:rPr>
        <w:t xml:space="preserve"> basis for a substantial and compelling reason not to apply the minimum prescribed sentence and impose a lesser sentence. </w:t>
      </w:r>
      <w:r w:rsidR="00611D8E" w:rsidRPr="00BD756F">
        <w:rPr>
          <w:rFonts w:ascii="Verdana" w:hAnsi="Verdana"/>
          <w:sz w:val="24"/>
          <w:szCs w:val="24"/>
        </w:rPr>
        <w:t xml:space="preserve">However, in no sense of the word can it be said that the learned trial Magistrate erred in this regard. </w:t>
      </w:r>
      <w:r w:rsidR="00DA7D23" w:rsidRPr="00BD756F">
        <w:rPr>
          <w:rFonts w:ascii="Verdana" w:hAnsi="Verdana"/>
          <w:sz w:val="24"/>
          <w:szCs w:val="24"/>
        </w:rPr>
        <w:t>In my view it does not constitute</w:t>
      </w:r>
      <w:r w:rsidR="00611D8E" w:rsidRPr="00BD756F">
        <w:rPr>
          <w:rFonts w:ascii="Verdana" w:hAnsi="Verdana"/>
          <w:sz w:val="24"/>
          <w:szCs w:val="24"/>
        </w:rPr>
        <w:t xml:space="preserve"> even</w:t>
      </w:r>
      <w:r w:rsidR="00DA7D23" w:rsidRPr="00BD756F">
        <w:rPr>
          <w:rFonts w:ascii="Verdana" w:hAnsi="Verdana"/>
          <w:sz w:val="24"/>
          <w:szCs w:val="24"/>
        </w:rPr>
        <w:t xml:space="preserve"> a</w:t>
      </w:r>
      <w:r w:rsidR="00611D8E" w:rsidRPr="00BD756F">
        <w:rPr>
          <w:rFonts w:ascii="Verdana" w:hAnsi="Verdana"/>
          <w:sz w:val="24"/>
          <w:szCs w:val="24"/>
        </w:rPr>
        <w:t xml:space="preserve"> partial basis to find a</w:t>
      </w:r>
      <w:r w:rsidR="00DA7D23" w:rsidRPr="00BD756F">
        <w:rPr>
          <w:rFonts w:ascii="Verdana" w:hAnsi="Verdana"/>
          <w:sz w:val="24"/>
          <w:szCs w:val="24"/>
        </w:rPr>
        <w:t xml:space="preserve"> substantial and compelling reason not to apply the prescribed minimum sentence.</w:t>
      </w:r>
    </w:p>
    <w:p w14:paraId="66740916" w14:textId="77777777" w:rsidR="00DA7D23" w:rsidRPr="00DA7D23" w:rsidRDefault="00DA7D23" w:rsidP="009A1858">
      <w:pPr>
        <w:pStyle w:val="ListParagraph"/>
        <w:jc w:val="both"/>
        <w:rPr>
          <w:rFonts w:ascii="Verdana" w:hAnsi="Verdana"/>
          <w:sz w:val="24"/>
          <w:szCs w:val="24"/>
        </w:rPr>
      </w:pPr>
    </w:p>
    <w:p w14:paraId="0C8D87E8" w14:textId="0570C3E7" w:rsidR="007D69A9"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19.</w:t>
      </w:r>
      <w:r>
        <w:rPr>
          <w:rFonts w:ascii="Verdana" w:hAnsi="Verdana"/>
          <w:sz w:val="24"/>
          <w:szCs w:val="24"/>
        </w:rPr>
        <w:tab/>
      </w:r>
      <w:r w:rsidR="00611D8E" w:rsidRPr="00BD756F">
        <w:rPr>
          <w:rFonts w:ascii="Verdana" w:hAnsi="Verdana"/>
          <w:sz w:val="24"/>
          <w:szCs w:val="24"/>
        </w:rPr>
        <w:t>Mr Steynberg then turns to the case of S v SMM</w:t>
      </w:r>
      <w:r w:rsidR="00611D8E">
        <w:rPr>
          <w:rStyle w:val="FootnoteReference"/>
          <w:rFonts w:ascii="Verdana" w:hAnsi="Verdana"/>
          <w:sz w:val="24"/>
          <w:szCs w:val="24"/>
        </w:rPr>
        <w:footnoteReference w:id="5"/>
      </w:r>
      <w:r w:rsidR="00611D8E" w:rsidRPr="00BD756F">
        <w:rPr>
          <w:rFonts w:ascii="Verdana" w:hAnsi="Verdana"/>
          <w:sz w:val="24"/>
          <w:szCs w:val="24"/>
        </w:rPr>
        <w:t xml:space="preserve"> which found in essence that a court can consider a lack of serious or lasting injury, cumulatively together with other factors as a basis for ‘substantial and compelling’ reason</w:t>
      </w:r>
      <w:r w:rsidR="00E3790A" w:rsidRPr="00BD756F">
        <w:rPr>
          <w:rFonts w:ascii="Verdana" w:hAnsi="Verdana"/>
          <w:sz w:val="24"/>
          <w:szCs w:val="24"/>
        </w:rPr>
        <w:t xml:space="preserve"> not</w:t>
      </w:r>
      <w:r w:rsidR="007D69A9" w:rsidRPr="00BD756F">
        <w:rPr>
          <w:rFonts w:ascii="Verdana" w:hAnsi="Verdana"/>
          <w:sz w:val="24"/>
          <w:szCs w:val="24"/>
        </w:rPr>
        <w:t xml:space="preserve"> to impose the legislated and prescribed minimum sentence.</w:t>
      </w:r>
    </w:p>
    <w:p w14:paraId="2CA38CE0" w14:textId="77777777" w:rsidR="007D69A9" w:rsidRPr="007D69A9" w:rsidRDefault="007D69A9" w:rsidP="009A1858">
      <w:pPr>
        <w:pStyle w:val="ListParagraph"/>
        <w:jc w:val="both"/>
        <w:rPr>
          <w:rFonts w:ascii="Verdana" w:hAnsi="Verdana"/>
          <w:sz w:val="24"/>
          <w:szCs w:val="24"/>
        </w:rPr>
      </w:pPr>
    </w:p>
    <w:p w14:paraId="19602CB1" w14:textId="38616A4A" w:rsidR="007D69A9"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20.</w:t>
      </w:r>
      <w:r>
        <w:rPr>
          <w:rFonts w:ascii="Verdana" w:hAnsi="Verdana"/>
          <w:sz w:val="24"/>
          <w:szCs w:val="24"/>
        </w:rPr>
        <w:tab/>
      </w:r>
      <w:r w:rsidR="007D69A9" w:rsidRPr="00BD756F">
        <w:rPr>
          <w:rFonts w:ascii="Verdana" w:hAnsi="Verdana"/>
          <w:sz w:val="24"/>
          <w:szCs w:val="24"/>
        </w:rPr>
        <w:t>Mr Steynberg then submits that the fact that the victim suffered no serious or lasting injury</w:t>
      </w:r>
      <w:r w:rsidR="00E3790A" w:rsidRPr="00BD756F">
        <w:rPr>
          <w:rFonts w:ascii="Verdana" w:hAnsi="Verdana"/>
          <w:sz w:val="24"/>
          <w:szCs w:val="24"/>
        </w:rPr>
        <w:t>,</w:t>
      </w:r>
      <w:r w:rsidR="007D69A9" w:rsidRPr="00BD756F">
        <w:rPr>
          <w:rFonts w:ascii="Verdana" w:hAnsi="Verdana"/>
          <w:sz w:val="24"/>
          <w:szCs w:val="24"/>
        </w:rPr>
        <w:t xml:space="preserve"> taken together with the fact that the appellant has the potential to be rehabilitated by a long term of imprisonment and </w:t>
      </w:r>
      <w:r w:rsidR="007D69A9" w:rsidRPr="00BD756F">
        <w:rPr>
          <w:rFonts w:ascii="Verdana" w:hAnsi="Verdana"/>
          <w:sz w:val="24"/>
          <w:szCs w:val="24"/>
        </w:rPr>
        <w:lastRenderedPageBreak/>
        <w:t>the personal circumstances taken cumulatively does constitute a substantial and compelling reason not to impose the prescribed minimum sentence.</w:t>
      </w:r>
    </w:p>
    <w:p w14:paraId="199F4870" w14:textId="77777777" w:rsidR="007D69A9" w:rsidRPr="007D69A9" w:rsidRDefault="007D69A9" w:rsidP="009A1858">
      <w:pPr>
        <w:pStyle w:val="ListParagraph"/>
        <w:jc w:val="both"/>
        <w:rPr>
          <w:rFonts w:ascii="Verdana" w:hAnsi="Verdana"/>
          <w:sz w:val="24"/>
          <w:szCs w:val="24"/>
        </w:rPr>
      </w:pPr>
    </w:p>
    <w:p w14:paraId="0EAAA4C4" w14:textId="10CCE11C" w:rsidR="00D95DCB"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21.</w:t>
      </w:r>
      <w:r>
        <w:rPr>
          <w:rFonts w:ascii="Verdana" w:hAnsi="Verdana"/>
          <w:sz w:val="24"/>
          <w:szCs w:val="24"/>
        </w:rPr>
        <w:tab/>
      </w:r>
      <w:r w:rsidR="007D69A9" w:rsidRPr="00BD756F">
        <w:rPr>
          <w:rFonts w:ascii="Verdana" w:hAnsi="Verdana"/>
          <w:sz w:val="24"/>
          <w:szCs w:val="24"/>
        </w:rPr>
        <w:t xml:space="preserve">The manner in which Mr Steynberg has raised the potential of the appellant to be rehabilitated by a long custodial sentence is nothing more </w:t>
      </w:r>
      <w:r w:rsidR="00BB511C" w:rsidRPr="00BD756F">
        <w:rPr>
          <w:rFonts w:ascii="Verdana" w:hAnsi="Verdana"/>
          <w:sz w:val="24"/>
          <w:szCs w:val="24"/>
        </w:rPr>
        <w:t>than the speculative hypothesis warned against by the SCA in the Malgas case</w:t>
      </w:r>
      <w:r w:rsidR="00BB511C">
        <w:rPr>
          <w:rStyle w:val="FootnoteReference"/>
          <w:rFonts w:ascii="Verdana" w:hAnsi="Verdana"/>
          <w:sz w:val="24"/>
          <w:szCs w:val="24"/>
        </w:rPr>
        <w:footnoteReference w:id="6"/>
      </w:r>
      <w:r w:rsidR="00BB511C" w:rsidRPr="00BD756F">
        <w:rPr>
          <w:rFonts w:ascii="Verdana" w:hAnsi="Verdana"/>
          <w:sz w:val="24"/>
          <w:szCs w:val="24"/>
        </w:rPr>
        <w:t>. The appellant has from the record shown no remorse for his violation of the victim. The appellant has shown no empathy for his victim. The appellant has shown no understanding of how this violation would inevitably have affected his victim.</w:t>
      </w:r>
      <w:r w:rsidR="00611D8E" w:rsidRPr="00BD756F">
        <w:rPr>
          <w:rFonts w:ascii="Verdana" w:hAnsi="Verdana"/>
          <w:sz w:val="24"/>
          <w:szCs w:val="24"/>
        </w:rPr>
        <w:t xml:space="preserve"> </w:t>
      </w:r>
      <w:r w:rsidR="00D95DCB" w:rsidRPr="00BD756F">
        <w:rPr>
          <w:rFonts w:ascii="Verdana" w:hAnsi="Verdana"/>
          <w:sz w:val="24"/>
          <w:szCs w:val="24"/>
        </w:rPr>
        <w:t>In these circumstances, I cannot support Mr Steynberg’s argument.</w:t>
      </w:r>
    </w:p>
    <w:p w14:paraId="437FAFE5" w14:textId="77777777" w:rsidR="00D95DCB" w:rsidRPr="00D95DCB" w:rsidRDefault="00D95DCB" w:rsidP="009A1858">
      <w:pPr>
        <w:pStyle w:val="ListParagraph"/>
        <w:jc w:val="both"/>
        <w:rPr>
          <w:rFonts w:ascii="Verdana" w:hAnsi="Verdana"/>
          <w:sz w:val="24"/>
          <w:szCs w:val="24"/>
        </w:rPr>
      </w:pPr>
    </w:p>
    <w:p w14:paraId="148BC2FB" w14:textId="32F4C58F" w:rsidR="00D95DCB" w:rsidRPr="00BD756F" w:rsidRDefault="00BD756F" w:rsidP="00BD756F">
      <w:pPr>
        <w:spacing w:line="480" w:lineRule="auto"/>
        <w:ind w:left="360" w:hanging="360"/>
        <w:jc w:val="both"/>
        <w:rPr>
          <w:rFonts w:ascii="Verdana" w:hAnsi="Verdana"/>
          <w:sz w:val="24"/>
          <w:szCs w:val="24"/>
        </w:rPr>
      </w:pPr>
      <w:r>
        <w:rPr>
          <w:rFonts w:ascii="Verdana" w:hAnsi="Verdana"/>
          <w:sz w:val="24"/>
          <w:szCs w:val="24"/>
        </w:rPr>
        <w:t>22.</w:t>
      </w:r>
      <w:r>
        <w:rPr>
          <w:rFonts w:ascii="Verdana" w:hAnsi="Verdana"/>
          <w:sz w:val="24"/>
          <w:szCs w:val="24"/>
        </w:rPr>
        <w:tab/>
      </w:r>
      <w:r w:rsidR="00D95DCB" w:rsidRPr="00BD756F">
        <w:rPr>
          <w:rFonts w:ascii="Verdana" w:hAnsi="Verdana"/>
          <w:sz w:val="24"/>
          <w:szCs w:val="24"/>
        </w:rPr>
        <w:t>Accordingly, I cannot find that the learned trial Magistrate erred in not finding substantial and compelling reasons to apply a lesser sentence. Also, from the record, I cannot find that any substantial and compelling reason exists to impose a lesser sentence. In these circumstances, the appeal stands to be dismissed.</w:t>
      </w:r>
    </w:p>
    <w:p w14:paraId="50C3C20B" w14:textId="77777777" w:rsidR="00D95DCB" w:rsidRPr="00D95DCB" w:rsidRDefault="00D95DCB" w:rsidP="009A1858">
      <w:pPr>
        <w:pStyle w:val="ListParagraph"/>
        <w:jc w:val="both"/>
        <w:rPr>
          <w:rFonts w:ascii="Verdana" w:hAnsi="Verdana"/>
          <w:sz w:val="24"/>
          <w:szCs w:val="24"/>
        </w:rPr>
      </w:pPr>
    </w:p>
    <w:p w14:paraId="00F7F5F1" w14:textId="77777777" w:rsidR="00D95DCB" w:rsidRDefault="00D95DCB" w:rsidP="009A1858">
      <w:pPr>
        <w:spacing w:line="480" w:lineRule="auto"/>
        <w:jc w:val="both"/>
        <w:rPr>
          <w:rFonts w:ascii="Verdana" w:hAnsi="Verdana"/>
          <w:sz w:val="24"/>
          <w:szCs w:val="24"/>
        </w:rPr>
      </w:pPr>
      <w:r>
        <w:rPr>
          <w:rFonts w:ascii="Verdana" w:hAnsi="Verdana"/>
          <w:sz w:val="24"/>
          <w:szCs w:val="24"/>
        </w:rPr>
        <w:t>The following Order is made:</w:t>
      </w:r>
    </w:p>
    <w:p w14:paraId="43A2DF24" w14:textId="435643C0" w:rsidR="00D95DCB" w:rsidRPr="00BD756F" w:rsidRDefault="00BD756F" w:rsidP="00BD756F">
      <w:pPr>
        <w:spacing w:line="480" w:lineRule="auto"/>
        <w:ind w:left="720" w:hanging="360"/>
        <w:jc w:val="both"/>
        <w:rPr>
          <w:rFonts w:ascii="Verdana" w:hAnsi="Verdana"/>
          <w:sz w:val="24"/>
          <w:szCs w:val="24"/>
        </w:rPr>
      </w:pPr>
      <w:r>
        <w:rPr>
          <w:rFonts w:ascii="Verdana" w:hAnsi="Verdana"/>
          <w:sz w:val="24"/>
          <w:szCs w:val="24"/>
        </w:rPr>
        <w:t>1)</w:t>
      </w:r>
      <w:r>
        <w:rPr>
          <w:rFonts w:ascii="Verdana" w:hAnsi="Verdana"/>
          <w:sz w:val="24"/>
          <w:szCs w:val="24"/>
        </w:rPr>
        <w:tab/>
      </w:r>
      <w:r w:rsidR="00D95DCB" w:rsidRPr="00BD756F">
        <w:rPr>
          <w:rFonts w:ascii="Verdana" w:hAnsi="Verdana"/>
          <w:sz w:val="24"/>
          <w:szCs w:val="24"/>
        </w:rPr>
        <w:t>The appeal is dismissed.</w:t>
      </w:r>
    </w:p>
    <w:p w14:paraId="5A573195" w14:textId="77777777" w:rsidR="00560631" w:rsidRDefault="00560631" w:rsidP="009A1858">
      <w:pPr>
        <w:pStyle w:val="ListParagraph"/>
        <w:spacing w:line="480" w:lineRule="auto"/>
        <w:jc w:val="both"/>
        <w:rPr>
          <w:rFonts w:ascii="Verdana" w:hAnsi="Verdana"/>
          <w:sz w:val="24"/>
          <w:szCs w:val="24"/>
        </w:rPr>
      </w:pPr>
      <w:r w:rsidRPr="00D95DCB">
        <w:rPr>
          <w:rFonts w:ascii="Verdana" w:hAnsi="Verdana"/>
          <w:sz w:val="24"/>
          <w:szCs w:val="24"/>
        </w:rPr>
        <w:lastRenderedPageBreak/>
        <w:t xml:space="preserve"> </w:t>
      </w:r>
    </w:p>
    <w:p w14:paraId="5E160DB3" w14:textId="77777777" w:rsidR="00D95DCB" w:rsidRDefault="00D95DCB" w:rsidP="009A1858">
      <w:pPr>
        <w:spacing w:after="0" w:line="240" w:lineRule="auto"/>
        <w:jc w:val="both"/>
        <w:rPr>
          <w:rFonts w:ascii="Verdana" w:hAnsi="Verdana"/>
          <w:sz w:val="24"/>
          <w:szCs w:val="24"/>
        </w:rPr>
      </w:pPr>
      <w:r>
        <w:rPr>
          <w:rFonts w:ascii="Verdana" w:hAnsi="Verdana"/>
          <w:sz w:val="24"/>
          <w:szCs w:val="24"/>
        </w:rPr>
        <w:t>_______________</w:t>
      </w:r>
    </w:p>
    <w:p w14:paraId="0F186D70" w14:textId="77777777" w:rsidR="00D95DCB" w:rsidRDefault="00D95DCB" w:rsidP="009A1858">
      <w:pPr>
        <w:spacing w:after="0" w:line="240" w:lineRule="auto"/>
        <w:jc w:val="both"/>
        <w:rPr>
          <w:rFonts w:ascii="Verdana" w:hAnsi="Verdana"/>
          <w:sz w:val="24"/>
          <w:szCs w:val="24"/>
        </w:rPr>
      </w:pPr>
      <w:r>
        <w:rPr>
          <w:rFonts w:ascii="Verdana" w:hAnsi="Verdana"/>
          <w:sz w:val="24"/>
          <w:szCs w:val="24"/>
        </w:rPr>
        <w:t>Lawrence Lever</w:t>
      </w:r>
    </w:p>
    <w:p w14:paraId="372B1A42" w14:textId="77777777" w:rsidR="00D95DCB" w:rsidRDefault="00D95DCB" w:rsidP="009A1858">
      <w:pPr>
        <w:spacing w:after="0" w:line="240" w:lineRule="auto"/>
        <w:jc w:val="both"/>
        <w:rPr>
          <w:rFonts w:ascii="Verdana" w:hAnsi="Verdana"/>
          <w:sz w:val="24"/>
          <w:szCs w:val="24"/>
        </w:rPr>
      </w:pPr>
      <w:r>
        <w:rPr>
          <w:rFonts w:ascii="Verdana" w:hAnsi="Verdana"/>
          <w:sz w:val="24"/>
          <w:szCs w:val="24"/>
        </w:rPr>
        <w:t>Judge</w:t>
      </w:r>
    </w:p>
    <w:p w14:paraId="5C524D6A" w14:textId="0ECF58DE" w:rsidR="00D95DCB" w:rsidRPr="00D95DCB" w:rsidRDefault="00D95DCB" w:rsidP="009A1858">
      <w:pPr>
        <w:spacing w:after="0" w:line="240" w:lineRule="auto"/>
        <w:jc w:val="both"/>
        <w:rPr>
          <w:rFonts w:ascii="Verdana" w:hAnsi="Verdana"/>
          <w:sz w:val="24"/>
          <w:szCs w:val="24"/>
        </w:rPr>
      </w:pPr>
      <w:r>
        <w:rPr>
          <w:rFonts w:ascii="Verdana" w:hAnsi="Verdana"/>
          <w:sz w:val="24"/>
          <w:szCs w:val="24"/>
        </w:rPr>
        <w:t>Northern Cape Division,</w:t>
      </w:r>
      <w:r w:rsidR="009A1858">
        <w:rPr>
          <w:rFonts w:ascii="Verdana" w:hAnsi="Verdana"/>
          <w:sz w:val="24"/>
          <w:szCs w:val="24"/>
        </w:rPr>
        <w:t xml:space="preserve"> </w:t>
      </w:r>
      <w:r>
        <w:rPr>
          <w:rFonts w:ascii="Verdana" w:hAnsi="Verdana"/>
          <w:sz w:val="24"/>
          <w:szCs w:val="24"/>
        </w:rPr>
        <w:t>Kimberley.</w:t>
      </w:r>
    </w:p>
    <w:p w14:paraId="5C70C335" w14:textId="77777777" w:rsidR="00A53355" w:rsidRDefault="00A53355" w:rsidP="009A1858">
      <w:pPr>
        <w:spacing w:after="0"/>
        <w:jc w:val="both"/>
        <w:rPr>
          <w:rFonts w:ascii="Verdana" w:hAnsi="Verdana"/>
          <w:sz w:val="24"/>
          <w:szCs w:val="24"/>
        </w:rPr>
      </w:pPr>
    </w:p>
    <w:p w14:paraId="6CFDB113" w14:textId="61C62D6C" w:rsidR="00D95DCB" w:rsidRDefault="00D95DCB" w:rsidP="009A1858">
      <w:pPr>
        <w:spacing w:after="0"/>
        <w:jc w:val="both"/>
        <w:rPr>
          <w:rFonts w:ascii="Verdana" w:hAnsi="Verdana"/>
          <w:sz w:val="24"/>
          <w:szCs w:val="24"/>
        </w:rPr>
      </w:pPr>
    </w:p>
    <w:p w14:paraId="0AC97422" w14:textId="73999BC9" w:rsidR="009A1858" w:rsidRDefault="009A1858" w:rsidP="009A1858">
      <w:pPr>
        <w:spacing w:after="0"/>
        <w:jc w:val="both"/>
        <w:rPr>
          <w:rFonts w:ascii="Verdana" w:hAnsi="Verdana"/>
          <w:sz w:val="24"/>
          <w:szCs w:val="24"/>
        </w:rPr>
      </w:pPr>
    </w:p>
    <w:p w14:paraId="66FA5113" w14:textId="77777777" w:rsidR="009A1858" w:rsidRDefault="009A1858" w:rsidP="009A1858">
      <w:pPr>
        <w:spacing w:after="0"/>
        <w:jc w:val="both"/>
        <w:rPr>
          <w:rFonts w:ascii="Verdana" w:hAnsi="Verdana"/>
          <w:sz w:val="24"/>
          <w:szCs w:val="24"/>
        </w:rPr>
      </w:pPr>
    </w:p>
    <w:p w14:paraId="5B7F2A86" w14:textId="77777777" w:rsidR="00D95DCB" w:rsidRDefault="00D95DCB" w:rsidP="009A1858">
      <w:pPr>
        <w:spacing w:after="0"/>
        <w:jc w:val="both"/>
        <w:rPr>
          <w:rFonts w:ascii="Verdana" w:hAnsi="Verdana"/>
          <w:sz w:val="24"/>
          <w:szCs w:val="24"/>
        </w:rPr>
      </w:pPr>
      <w:r>
        <w:rPr>
          <w:rFonts w:ascii="Verdana" w:hAnsi="Verdana"/>
          <w:sz w:val="24"/>
          <w:szCs w:val="24"/>
        </w:rPr>
        <w:t>I agree,</w:t>
      </w:r>
    </w:p>
    <w:p w14:paraId="388F4400" w14:textId="77777777" w:rsidR="00D95DCB" w:rsidRDefault="00D95DCB" w:rsidP="009A1858">
      <w:pPr>
        <w:spacing w:after="0"/>
        <w:jc w:val="both"/>
        <w:rPr>
          <w:rFonts w:ascii="Verdana" w:hAnsi="Verdana"/>
          <w:sz w:val="24"/>
          <w:szCs w:val="24"/>
        </w:rPr>
      </w:pPr>
    </w:p>
    <w:p w14:paraId="6B308E5C" w14:textId="66ABBE9A" w:rsidR="00D95DCB" w:rsidRDefault="00D95DCB" w:rsidP="009A1858">
      <w:pPr>
        <w:spacing w:after="0"/>
        <w:jc w:val="both"/>
        <w:rPr>
          <w:rFonts w:ascii="Verdana" w:hAnsi="Verdana"/>
          <w:sz w:val="24"/>
          <w:szCs w:val="24"/>
        </w:rPr>
      </w:pPr>
    </w:p>
    <w:p w14:paraId="65BC1054" w14:textId="77777777" w:rsidR="009A1858" w:rsidRDefault="009A1858" w:rsidP="009A1858">
      <w:pPr>
        <w:spacing w:after="0"/>
        <w:jc w:val="both"/>
        <w:rPr>
          <w:rFonts w:ascii="Verdana" w:hAnsi="Verdana"/>
          <w:sz w:val="24"/>
          <w:szCs w:val="24"/>
        </w:rPr>
      </w:pPr>
    </w:p>
    <w:p w14:paraId="40D261DF" w14:textId="77777777" w:rsidR="00D95DCB" w:rsidRDefault="00D95DCB" w:rsidP="009A1858">
      <w:pPr>
        <w:spacing w:after="0"/>
        <w:jc w:val="both"/>
        <w:rPr>
          <w:rFonts w:ascii="Verdana" w:hAnsi="Verdana"/>
          <w:sz w:val="24"/>
          <w:szCs w:val="24"/>
        </w:rPr>
      </w:pPr>
      <w:r>
        <w:rPr>
          <w:rFonts w:ascii="Verdana" w:hAnsi="Verdana"/>
          <w:sz w:val="24"/>
          <w:szCs w:val="24"/>
        </w:rPr>
        <w:t>________________</w:t>
      </w:r>
    </w:p>
    <w:p w14:paraId="62018AFE" w14:textId="77777777" w:rsidR="00D95DCB" w:rsidRDefault="00D95DCB" w:rsidP="009A1858">
      <w:pPr>
        <w:spacing w:after="0"/>
        <w:jc w:val="both"/>
        <w:rPr>
          <w:rFonts w:ascii="Verdana" w:hAnsi="Verdana"/>
          <w:sz w:val="24"/>
          <w:szCs w:val="24"/>
        </w:rPr>
      </w:pPr>
      <w:r>
        <w:rPr>
          <w:rFonts w:ascii="Verdana" w:hAnsi="Verdana"/>
          <w:sz w:val="24"/>
          <w:szCs w:val="24"/>
        </w:rPr>
        <w:t>APS Nxumalo</w:t>
      </w:r>
    </w:p>
    <w:p w14:paraId="703E0A16" w14:textId="77777777" w:rsidR="00D95DCB" w:rsidRDefault="00D95DCB" w:rsidP="009A1858">
      <w:pPr>
        <w:spacing w:after="0" w:line="240" w:lineRule="auto"/>
        <w:jc w:val="both"/>
        <w:rPr>
          <w:rFonts w:ascii="Verdana" w:hAnsi="Verdana"/>
          <w:sz w:val="24"/>
          <w:szCs w:val="24"/>
        </w:rPr>
      </w:pPr>
      <w:r>
        <w:rPr>
          <w:rFonts w:ascii="Verdana" w:hAnsi="Verdana"/>
          <w:sz w:val="24"/>
          <w:szCs w:val="24"/>
        </w:rPr>
        <w:t>Judge</w:t>
      </w:r>
    </w:p>
    <w:p w14:paraId="3EB34DAC" w14:textId="756D1A88" w:rsidR="00D95DCB" w:rsidRPr="00D95DCB" w:rsidRDefault="00D95DCB" w:rsidP="009A1858">
      <w:pPr>
        <w:spacing w:after="0" w:line="240" w:lineRule="auto"/>
        <w:jc w:val="both"/>
        <w:rPr>
          <w:rFonts w:ascii="Verdana" w:hAnsi="Verdana"/>
          <w:sz w:val="24"/>
          <w:szCs w:val="24"/>
        </w:rPr>
      </w:pPr>
      <w:r>
        <w:rPr>
          <w:rFonts w:ascii="Verdana" w:hAnsi="Verdana"/>
          <w:sz w:val="24"/>
          <w:szCs w:val="24"/>
        </w:rPr>
        <w:t>Northern Cape Division,</w:t>
      </w:r>
      <w:r w:rsidR="009A1858">
        <w:rPr>
          <w:rFonts w:ascii="Verdana" w:hAnsi="Verdana"/>
          <w:sz w:val="24"/>
          <w:szCs w:val="24"/>
        </w:rPr>
        <w:t xml:space="preserve"> </w:t>
      </w:r>
      <w:r>
        <w:rPr>
          <w:rFonts w:ascii="Verdana" w:hAnsi="Verdana"/>
          <w:sz w:val="24"/>
          <w:szCs w:val="24"/>
        </w:rPr>
        <w:t>Kimberley.</w:t>
      </w:r>
    </w:p>
    <w:p w14:paraId="7FB78A8F" w14:textId="6B186DBB" w:rsidR="00A53355" w:rsidRDefault="00A53355" w:rsidP="00A53355">
      <w:pPr>
        <w:rPr>
          <w:rFonts w:ascii="Verdana" w:hAnsi="Verdana"/>
          <w:sz w:val="24"/>
          <w:szCs w:val="24"/>
        </w:rPr>
      </w:pPr>
    </w:p>
    <w:p w14:paraId="25092678" w14:textId="77777777" w:rsidR="00D03C66" w:rsidRDefault="00D03C66" w:rsidP="00D03C66">
      <w:pPr>
        <w:spacing w:line="276" w:lineRule="auto"/>
        <w:contextualSpacing/>
        <w:jc w:val="both"/>
        <w:rPr>
          <w:rFonts w:ascii="Verdana" w:hAnsi="Verdana"/>
          <w:sz w:val="24"/>
          <w:szCs w:val="24"/>
        </w:rPr>
      </w:pPr>
    </w:p>
    <w:p w14:paraId="31CF956A" w14:textId="6D5D0802" w:rsidR="00D03C66" w:rsidRPr="00B112CB" w:rsidRDefault="00D03C66" w:rsidP="00D03C66">
      <w:pPr>
        <w:spacing w:line="276" w:lineRule="auto"/>
        <w:contextualSpacing/>
        <w:jc w:val="both"/>
        <w:rPr>
          <w:rFonts w:ascii="Verdana" w:hAnsi="Verdana"/>
          <w:b/>
        </w:rPr>
      </w:pPr>
      <w:r w:rsidRPr="00B112CB">
        <w:rPr>
          <w:rFonts w:ascii="Verdana" w:hAnsi="Verdana"/>
          <w:b/>
        </w:rPr>
        <w:t>REPRESENTATION:</w:t>
      </w:r>
    </w:p>
    <w:p w14:paraId="03A3D6FB" w14:textId="77777777" w:rsidR="00D03C66" w:rsidRPr="00B112CB" w:rsidRDefault="00D03C66" w:rsidP="00D03C66">
      <w:pPr>
        <w:spacing w:line="276" w:lineRule="auto"/>
        <w:contextualSpacing/>
        <w:jc w:val="both"/>
        <w:rPr>
          <w:rFonts w:ascii="Verdana" w:hAnsi="Verdana"/>
          <w:b/>
        </w:rPr>
      </w:pPr>
    </w:p>
    <w:p w14:paraId="3F7B1BFF" w14:textId="77777777" w:rsidR="00D03C66" w:rsidRPr="00B112CB" w:rsidRDefault="00D03C66" w:rsidP="00D03C66">
      <w:pPr>
        <w:spacing w:line="276" w:lineRule="auto"/>
        <w:contextualSpacing/>
        <w:jc w:val="both"/>
        <w:rPr>
          <w:rFonts w:ascii="Verdana" w:hAnsi="Verdana"/>
        </w:rPr>
      </w:pPr>
      <w:r w:rsidRPr="00B112CB">
        <w:rPr>
          <w:rFonts w:ascii="Verdana" w:hAnsi="Verdana"/>
        </w:rPr>
        <w:t>App</w:t>
      </w:r>
      <w:r>
        <w:rPr>
          <w:rFonts w:ascii="Verdana" w:hAnsi="Verdana"/>
        </w:rPr>
        <w:t>el</w:t>
      </w:r>
      <w:r w:rsidRPr="00B112CB">
        <w:rPr>
          <w:rFonts w:ascii="Verdana" w:hAnsi="Verdana"/>
        </w:rPr>
        <w:t xml:space="preserve">lant: </w:t>
      </w:r>
      <w:r w:rsidRPr="00B112CB">
        <w:rPr>
          <w:rFonts w:ascii="Verdana" w:hAnsi="Verdana"/>
        </w:rPr>
        <w:tab/>
      </w:r>
      <w:r w:rsidRPr="00B112CB">
        <w:rPr>
          <w:rFonts w:ascii="Verdana" w:hAnsi="Verdana"/>
        </w:rPr>
        <w:tab/>
        <w:t xml:space="preserve">Mr Steynberg oio LEGAL AID SOUTH AFRICA, </w:t>
      </w:r>
    </w:p>
    <w:p w14:paraId="70EDE40B" w14:textId="77777777" w:rsidR="00D03C66" w:rsidRPr="00B112CB" w:rsidRDefault="00D03C66" w:rsidP="00D03C66">
      <w:pPr>
        <w:spacing w:line="276" w:lineRule="auto"/>
        <w:contextualSpacing/>
        <w:jc w:val="both"/>
        <w:rPr>
          <w:rFonts w:ascii="Verdana" w:hAnsi="Verdana"/>
        </w:rPr>
      </w:pPr>
      <w:r w:rsidRPr="00B112CB">
        <w:rPr>
          <w:rFonts w:ascii="Verdana" w:hAnsi="Verdana"/>
        </w:rPr>
        <w:t xml:space="preserve"> </w:t>
      </w:r>
      <w:r w:rsidRPr="00B112CB">
        <w:rPr>
          <w:rFonts w:ascii="Verdana" w:hAnsi="Verdana"/>
        </w:rPr>
        <w:tab/>
      </w:r>
      <w:r w:rsidRPr="00B112CB">
        <w:rPr>
          <w:rFonts w:ascii="Verdana" w:hAnsi="Verdana"/>
        </w:rPr>
        <w:tab/>
      </w:r>
      <w:r w:rsidRPr="00B112CB">
        <w:rPr>
          <w:rFonts w:ascii="Verdana" w:hAnsi="Verdana"/>
        </w:rPr>
        <w:tab/>
        <w:t>KIMBERLEY</w:t>
      </w:r>
    </w:p>
    <w:p w14:paraId="7152751A" w14:textId="77777777" w:rsidR="00D03C66" w:rsidRPr="00B112CB" w:rsidRDefault="00D03C66" w:rsidP="00D03C66">
      <w:pPr>
        <w:spacing w:line="276" w:lineRule="auto"/>
        <w:contextualSpacing/>
        <w:jc w:val="both"/>
        <w:rPr>
          <w:rFonts w:ascii="Verdana" w:hAnsi="Verdana"/>
        </w:rPr>
      </w:pPr>
      <w:r w:rsidRPr="00B112CB">
        <w:rPr>
          <w:rFonts w:ascii="Verdana" w:hAnsi="Verdana"/>
        </w:rPr>
        <w:t xml:space="preserve"> </w:t>
      </w:r>
    </w:p>
    <w:p w14:paraId="03635113" w14:textId="1247C397" w:rsidR="00D03C66" w:rsidRPr="00B112CB" w:rsidRDefault="00D03C66" w:rsidP="00D03C66">
      <w:pPr>
        <w:spacing w:line="276" w:lineRule="auto"/>
        <w:contextualSpacing/>
        <w:jc w:val="both"/>
        <w:rPr>
          <w:rFonts w:ascii="Verdana" w:hAnsi="Verdana"/>
        </w:rPr>
      </w:pPr>
      <w:r w:rsidRPr="00B112CB">
        <w:rPr>
          <w:rFonts w:ascii="Verdana" w:hAnsi="Verdana"/>
        </w:rPr>
        <w:t>Respondent:</w:t>
      </w:r>
      <w:r w:rsidRPr="00B112CB">
        <w:rPr>
          <w:rFonts w:ascii="Verdana" w:hAnsi="Verdana"/>
        </w:rPr>
        <w:tab/>
      </w:r>
      <w:r>
        <w:rPr>
          <w:rFonts w:ascii="Verdana" w:hAnsi="Verdana"/>
        </w:rPr>
        <w:tab/>
      </w:r>
      <w:r w:rsidRPr="00B112CB">
        <w:rPr>
          <w:rFonts w:ascii="Verdana" w:hAnsi="Verdana"/>
        </w:rPr>
        <w:t xml:space="preserve">Adv </w:t>
      </w:r>
      <w:r w:rsidR="00595D10">
        <w:rPr>
          <w:rFonts w:ascii="Verdana" w:hAnsi="Verdana"/>
        </w:rPr>
        <w:t>Molefe</w:t>
      </w:r>
      <w:r w:rsidRPr="00B112CB">
        <w:rPr>
          <w:rFonts w:ascii="Verdana" w:hAnsi="Verdana"/>
        </w:rPr>
        <w:t xml:space="preserve"> oio OFFICE OF DIRECTOR OF PUBLIC  </w:t>
      </w:r>
    </w:p>
    <w:p w14:paraId="1429E54D" w14:textId="77777777" w:rsidR="00D03C66" w:rsidRPr="00B112CB" w:rsidRDefault="00D03C66" w:rsidP="00D03C66">
      <w:pPr>
        <w:spacing w:line="276" w:lineRule="auto"/>
        <w:contextualSpacing/>
        <w:jc w:val="both"/>
        <w:rPr>
          <w:rFonts w:ascii="Verdana" w:hAnsi="Verdana"/>
        </w:rPr>
      </w:pPr>
      <w:r w:rsidRPr="00B112CB">
        <w:rPr>
          <w:rFonts w:ascii="Verdana" w:hAnsi="Verdana"/>
        </w:rPr>
        <w:t xml:space="preserve"> </w:t>
      </w:r>
      <w:r w:rsidRPr="00B112CB">
        <w:rPr>
          <w:rFonts w:ascii="Verdana" w:hAnsi="Verdana"/>
        </w:rPr>
        <w:tab/>
      </w:r>
      <w:r w:rsidRPr="00B112CB">
        <w:rPr>
          <w:rFonts w:ascii="Verdana" w:hAnsi="Verdana"/>
        </w:rPr>
        <w:tab/>
      </w:r>
      <w:r w:rsidRPr="00B112CB">
        <w:rPr>
          <w:rFonts w:ascii="Verdana" w:hAnsi="Verdana"/>
        </w:rPr>
        <w:tab/>
        <w:t>PROSECUTIONS</w:t>
      </w:r>
    </w:p>
    <w:p w14:paraId="264E7292" w14:textId="77777777" w:rsidR="00D03C66" w:rsidRPr="00B112CB" w:rsidRDefault="00D03C66" w:rsidP="00D03C66">
      <w:pPr>
        <w:spacing w:line="276" w:lineRule="auto"/>
        <w:contextualSpacing/>
        <w:jc w:val="both"/>
        <w:rPr>
          <w:rFonts w:ascii="Verdana" w:hAnsi="Verdana"/>
        </w:rPr>
      </w:pPr>
    </w:p>
    <w:p w14:paraId="2A8E1C57" w14:textId="77777777" w:rsidR="00D03C66" w:rsidRPr="00B112CB" w:rsidRDefault="00D03C66" w:rsidP="00D03C66">
      <w:pPr>
        <w:spacing w:line="276" w:lineRule="auto"/>
        <w:contextualSpacing/>
        <w:jc w:val="both"/>
        <w:rPr>
          <w:rFonts w:ascii="Verdana" w:hAnsi="Verdana"/>
        </w:rPr>
      </w:pPr>
    </w:p>
    <w:p w14:paraId="28E1EC28" w14:textId="73330D02" w:rsidR="00D03C66" w:rsidRPr="00B112CB" w:rsidRDefault="00D03C66" w:rsidP="00D03C66">
      <w:pPr>
        <w:spacing w:line="360" w:lineRule="auto"/>
        <w:contextualSpacing/>
        <w:jc w:val="both"/>
        <w:rPr>
          <w:rFonts w:ascii="Verdana" w:hAnsi="Verdana"/>
        </w:rPr>
      </w:pPr>
      <w:r w:rsidRPr="00B112CB">
        <w:rPr>
          <w:rFonts w:ascii="Verdana" w:hAnsi="Verdana"/>
        </w:rPr>
        <w:t xml:space="preserve">Date of Hearing: </w:t>
      </w:r>
      <w:r w:rsidRPr="00B112CB">
        <w:rPr>
          <w:rFonts w:ascii="Verdana" w:hAnsi="Verdana"/>
        </w:rPr>
        <w:tab/>
      </w:r>
      <w:r w:rsidRPr="00B112CB">
        <w:rPr>
          <w:rFonts w:ascii="Verdana" w:hAnsi="Verdana"/>
        </w:rPr>
        <w:tab/>
      </w:r>
      <w:r w:rsidR="00595D10">
        <w:rPr>
          <w:rFonts w:ascii="Verdana" w:hAnsi="Verdana"/>
        </w:rPr>
        <w:t>28</w:t>
      </w:r>
      <w:r w:rsidRPr="00B112CB">
        <w:rPr>
          <w:rFonts w:ascii="Verdana" w:hAnsi="Verdana"/>
        </w:rPr>
        <w:t xml:space="preserve"> </w:t>
      </w:r>
      <w:r w:rsidR="00595D10">
        <w:rPr>
          <w:rFonts w:ascii="Verdana" w:hAnsi="Verdana"/>
        </w:rPr>
        <w:t>November</w:t>
      </w:r>
      <w:r w:rsidRPr="00B112CB">
        <w:rPr>
          <w:rFonts w:ascii="Verdana" w:hAnsi="Verdana"/>
        </w:rPr>
        <w:t xml:space="preserve"> 202</w:t>
      </w:r>
      <w:r w:rsidR="00595D10">
        <w:rPr>
          <w:rFonts w:ascii="Verdana" w:hAnsi="Verdana"/>
        </w:rPr>
        <w:t>2</w:t>
      </w:r>
    </w:p>
    <w:p w14:paraId="7E2D76FF" w14:textId="5BD26607" w:rsidR="00D03C66" w:rsidRPr="004C4A9F" w:rsidRDefault="00D03C66" w:rsidP="00D03C66">
      <w:pPr>
        <w:spacing w:line="360" w:lineRule="auto"/>
        <w:jc w:val="both"/>
        <w:rPr>
          <w:rFonts w:ascii="Verdana" w:hAnsi="Verdana"/>
          <w:sz w:val="24"/>
          <w:szCs w:val="24"/>
        </w:rPr>
      </w:pPr>
      <w:r w:rsidRPr="00B112CB">
        <w:rPr>
          <w:rFonts w:ascii="Verdana" w:hAnsi="Verdana"/>
        </w:rPr>
        <w:t>Date of Judgment:</w:t>
      </w:r>
      <w:r w:rsidRPr="00B112CB">
        <w:rPr>
          <w:rFonts w:ascii="Verdana" w:hAnsi="Verdana"/>
        </w:rPr>
        <w:tab/>
      </w:r>
      <w:r>
        <w:rPr>
          <w:rFonts w:ascii="Verdana" w:hAnsi="Verdana"/>
        </w:rPr>
        <w:tab/>
      </w:r>
      <w:r w:rsidR="00595D10">
        <w:rPr>
          <w:rFonts w:ascii="Verdana" w:hAnsi="Verdana"/>
        </w:rPr>
        <w:t>26</w:t>
      </w:r>
      <w:r w:rsidRPr="00B112CB">
        <w:rPr>
          <w:rFonts w:ascii="Verdana" w:hAnsi="Verdana"/>
        </w:rPr>
        <w:t xml:space="preserve"> </w:t>
      </w:r>
      <w:r w:rsidR="00595D10">
        <w:rPr>
          <w:rFonts w:ascii="Verdana" w:hAnsi="Verdana"/>
        </w:rPr>
        <w:t>January</w:t>
      </w:r>
      <w:r w:rsidRPr="00B112CB">
        <w:rPr>
          <w:rFonts w:ascii="Verdana" w:hAnsi="Verdana"/>
        </w:rPr>
        <w:t xml:space="preserve"> 202</w:t>
      </w:r>
      <w:r w:rsidR="00595D10">
        <w:rPr>
          <w:rFonts w:ascii="Verdana" w:hAnsi="Verdana"/>
        </w:rPr>
        <w:t>4</w:t>
      </w:r>
    </w:p>
    <w:p w14:paraId="23368536" w14:textId="77777777" w:rsidR="00D03C66" w:rsidRPr="00A53355" w:rsidRDefault="00D03C66" w:rsidP="00A53355">
      <w:pPr>
        <w:rPr>
          <w:rFonts w:ascii="Verdana" w:hAnsi="Verdana"/>
          <w:sz w:val="24"/>
          <w:szCs w:val="24"/>
        </w:rPr>
      </w:pPr>
    </w:p>
    <w:sectPr w:rsidR="00D03C66" w:rsidRPr="00A5335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2E71" w14:textId="77777777" w:rsidR="00284B6E" w:rsidRDefault="00284B6E" w:rsidP="006B7181">
      <w:pPr>
        <w:spacing w:after="0" w:line="240" w:lineRule="auto"/>
      </w:pPr>
      <w:r>
        <w:separator/>
      </w:r>
    </w:p>
  </w:endnote>
  <w:endnote w:type="continuationSeparator" w:id="0">
    <w:p w14:paraId="7ED1E59E" w14:textId="77777777" w:rsidR="00284B6E" w:rsidRDefault="00284B6E" w:rsidP="006B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865283"/>
      <w:docPartObj>
        <w:docPartGallery w:val="Page Numbers (Bottom of Page)"/>
        <w:docPartUnique/>
      </w:docPartObj>
    </w:sdtPr>
    <w:sdtEndPr/>
    <w:sdtContent>
      <w:sdt>
        <w:sdtPr>
          <w:id w:val="1728636285"/>
          <w:docPartObj>
            <w:docPartGallery w:val="Page Numbers (Top of Page)"/>
            <w:docPartUnique/>
          </w:docPartObj>
        </w:sdtPr>
        <w:sdtEndPr/>
        <w:sdtContent>
          <w:p w14:paraId="08490B45" w14:textId="10B51D73" w:rsidR="0079034E" w:rsidRDefault="007903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756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756F">
              <w:rPr>
                <w:b/>
                <w:bCs/>
                <w:noProof/>
              </w:rPr>
              <w:t>9</w:t>
            </w:r>
            <w:r>
              <w:rPr>
                <w:b/>
                <w:bCs/>
                <w:sz w:val="24"/>
                <w:szCs w:val="24"/>
              </w:rPr>
              <w:fldChar w:fldCharType="end"/>
            </w:r>
          </w:p>
        </w:sdtContent>
      </w:sdt>
    </w:sdtContent>
  </w:sdt>
  <w:p w14:paraId="7541FEAD" w14:textId="77777777" w:rsidR="0079034E" w:rsidRDefault="007903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4C766" w14:textId="77777777" w:rsidR="00284B6E" w:rsidRDefault="00284B6E" w:rsidP="006B7181">
      <w:pPr>
        <w:spacing w:after="0" w:line="240" w:lineRule="auto"/>
      </w:pPr>
      <w:r>
        <w:separator/>
      </w:r>
    </w:p>
  </w:footnote>
  <w:footnote w:type="continuationSeparator" w:id="0">
    <w:p w14:paraId="0DA8E56C" w14:textId="77777777" w:rsidR="00284B6E" w:rsidRDefault="00284B6E" w:rsidP="006B7181">
      <w:pPr>
        <w:spacing w:after="0" w:line="240" w:lineRule="auto"/>
      </w:pPr>
      <w:r>
        <w:continuationSeparator/>
      </w:r>
    </w:p>
  </w:footnote>
  <w:footnote w:id="1">
    <w:p w14:paraId="3B4675DC" w14:textId="77777777" w:rsidR="006B7181" w:rsidRDefault="006B7181">
      <w:pPr>
        <w:pStyle w:val="FootnoteText"/>
      </w:pPr>
      <w:r>
        <w:rPr>
          <w:rStyle w:val="FootnoteReference"/>
        </w:rPr>
        <w:footnoteRef/>
      </w:r>
      <w:r>
        <w:t xml:space="preserve"> Act 105 of 1997.</w:t>
      </w:r>
    </w:p>
  </w:footnote>
  <w:footnote w:id="2">
    <w:p w14:paraId="19245370" w14:textId="77777777" w:rsidR="004A58E4" w:rsidRDefault="004A58E4">
      <w:pPr>
        <w:pStyle w:val="FootnoteText"/>
      </w:pPr>
      <w:r>
        <w:rPr>
          <w:rStyle w:val="FootnoteReference"/>
        </w:rPr>
        <w:footnoteRef/>
      </w:r>
      <w:r>
        <w:rPr>
          <w:rStyle w:val="FootnoteReference"/>
        </w:rPr>
        <w:footnoteRef/>
      </w:r>
      <w:r>
        <w:t xml:space="preserve"> S v PB 2013 SACR 533 (SCA) at para [20].</w:t>
      </w:r>
    </w:p>
  </w:footnote>
  <w:footnote w:id="3">
    <w:p w14:paraId="21A1B35A" w14:textId="77777777" w:rsidR="005827CC" w:rsidRDefault="005827CC">
      <w:pPr>
        <w:pStyle w:val="FootnoteText"/>
      </w:pPr>
      <w:r>
        <w:rPr>
          <w:rStyle w:val="FootnoteReference"/>
        </w:rPr>
        <w:footnoteRef/>
      </w:r>
      <w:r>
        <w:t xml:space="preserve"> 2001 (1) SACR 469 (SCA) </w:t>
      </w:r>
      <w:r w:rsidR="00AA7CD2">
        <w:t>at para [25].</w:t>
      </w:r>
    </w:p>
  </w:footnote>
  <w:footnote w:id="4">
    <w:p w14:paraId="536A37FF" w14:textId="77777777" w:rsidR="00AA7CD2" w:rsidRDefault="00AA7CD2">
      <w:pPr>
        <w:pStyle w:val="FootnoteText"/>
      </w:pPr>
      <w:r>
        <w:rPr>
          <w:rStyle w:val="FootnoteReference"/>
        </w:rPr>
        <w:footnoteRef/>
      </w:r>
      <w:r>
        <w:t xml:space="preserve"> 2001 (1) SACR 549 (CC) at para [38].</w:t>
      </w:r>
    </w:p>
  </w:footnote>
  <w:footnote w:id="5">
    <w:p w14:paraId="2CF3033C" w14:textId="77777777" w:rsidR="00611D8E" w:rsidRDefault="00611D8E">
      <w:pPr>
        <w:pStyle w:val="FootnoteText"/>
      </w:pPr>
      <w:r>
        <w:rPr>
          <w:rStyle w:val="FootnoteReference"/>
        </w:rPr>
        <w:footnoteRef/>
      </w:r>
      <w:r>
        <w:t xml:space="preserve"> 2013 (2) SACR 292 (SCA) at 302c – g.</w:t>
      </w:r>
    </w:p>
  </w:footnote>
  <w:footnote w:id="6">
    <w:p w14:paraId="01CFE739" w14:textId="77777777" w:rsidR="00BB511C" w:rsidRDefault="00BB511C">
      <w:pPr>
        <w:pStyle w:val="FootnoteText"/>
      </w:pPr>
      <w:r>
        <w:rPr>
          <w:rStyle w:val="FootnoteReference"/>
        </w:rPr>
        <w:footnoteRef/>
      </w:r>
      <w:r>
        <w:t xml:space="preserve"> S v MALGAS 2001 (1) SACR 469 (SCA) at 477d.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396BEF"/>
    <w:multiLevelType w:val="hybridMultilevel"/>
    <w:tmpl w:val="7BAAA8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55"/>
    <w:rsid w:val="000268D5"/>
    <w:rsid w:val="0006617C"/>
    <w:rsid w:val="00076F0C"/>
    <w:rsid w:val="00083FF7"/>
    <w:rsid w:val="00185F28"/>
    <w:rsid w:val="001F2CBD"/>
    <w:rsid w:val="00210761"/>
    <w:rsid w:val="00284B6E"/>
    <w:rsid w:val="002B6468"/>
    <w:rsid w:val="003202F5"/>
    <w:rsid w:val="00384BAE"/>
    <w:rsid w:val="00406729"/>
    <w:rsid w:val="004A58E4"/>
    <w:rsid w:val="00504F66"/>
    <w:rsid w:val="00537C8A"/>
    <w:rsid w:val="00560631"/>
    <w:rsid w:val="005827CC"/>
    <w:rsid w:val="00595D10"/>
    <w:rsid w:val="00611D8E"/>
    <w:rsid w:val="00667C83"/>
    <w:rsid w:val="006B7181"/>
    <w:rsid w:val="0079034E"/>
    <w:rsid w:val="007D69A9"/>
    <w:rsid w:val="008601CB"/>
    <w:rsid w:val="008765B7"/>
    <w:rsid w:val="009A1858"/>
    <w:rsid w:val="009D30A0"/>
    <w:rsid w:val="00A20FB4"/>
    <w:rsid w:val="00A53355"/>
    <w:rsid w:val="00AA7CD2"/>
    <w:rsid w:val="00AE2E11"/>
    <w:rsid w:val="00B83A90"/>
    <w:rsid w:val="00B83CCC"/>
    <w:rsid w:val="00BB511C"/>
    <w:rsid w:val="00BB7109"/>
    <w:rsid w:val="00BD756F"/>
    <w:rsid w:val="00D03C66"/>
    <w:rsid w:val="00D24DFD"/>
    <w:rsid w:val="00D86B72"/>
    <w:rsid w:val="00D95DCB"/>
    <w:rsid w:val="00DA7D23"/>
    <w:rsid w:val="00DC2B95"/>
    <w:rsid w:val="00DE6373"/>
    <w:rsid w:val="00DF5E37"/>
    <w:rsid w:val="00E3790A"/>
    <w:rsid w:val="00E66C1F"/>
    <w:rsid w:val="00E846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4FB6"/>
  <w15:chartTrackingRefBased/>
  <w15:docId w15:val="{142DFC16-4D41-49A5-8011-171DB4E5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355"/>
    <w:pPr>
      <w:ind w:left="720"/>
      <w:contextualSpacing/>
    </w:pPr>
  </w:style>
  <w:style w:type="paragraph" w:styleId="FootnoteText">
    <w:name w:val="footnote text"/>
    <w:basedOn w:val="Normal"/>
    <w:link w:val="FootnoteTextChar"/>
    <w:uiPriority w:val="99"/>
    <w:semiHidden/>
    <w:unhideWhenUsed/>
    <w:rsid w:val="006B7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181"/>
    <w:rPr>
      <w:sz w:val="20"/>
      <w:szCs w:val="20"/>
    </w:rPr>
  </w:style>
  <w:style w:type="character" w:styleId="FootnoteReference">
    <w:name w:val="footnote reference"/>
    <w:basedOn w:val="DefaultParagraphFont"/>
    <w:uiPriority w:val="99"/>
    <w:semiHidden/>
    <w:unhideWhenUsed/>
    <w:rsid w:val="006B7181"/>
    <w:rPr>
      <w:vertAlign w:val="superscript"/>
    </w:rPr>
  </w:style>
  <w:style w:type="paragraph" w:styleId="Header">
    <w:name w:val="header"/>
    <w:basedOn w:val="Normal"/>
    <w:link w:val="HeaderChar"/>
    <w:uiPriority w:val="99"/>
    <w:unhideWhenUsed/>
    <w:rsid w:val="00790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34E"/>
  </w:style>
  <w:style w:type="paragraph" w:styleId="Footer">
    <w:name w:val="footer"/>
    <w:basedOn w:val="Normal"/>
    <w:link w:val="FooterChar"/>
    <w:uiPriority w:val="99"/>
    <w:unhideWhenUsed/>
    <w:rsid w:val="00790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34E"/>
  </w:style>
  <w:style w:type="paragraph" w:styleId="Revision">
    <w:name w:val="Revision"/>
    <w:hidden/>
    <w:uiPriority w:val="99"/>
    <w:semiHidden/>
    <w:rsid w:val="001F2CBD"/>
    <w:pPr>
      <w:spacing w:after="0" w:line="240" w:lineRule="auto"/>
    </w:pPr>
  </w:style>
  <w:style w:type="paragraph" w:styleId="BalloonText">
    <w:name w:val="Balloon Text"/>
    <w:basedOn w:val="Normal"/>
    <w:link w:val="BalloonTextChar"/>
    <w:uiPriority w:val="99"/>
    <w:semiHidden/>
    <w:unhideWhenUsed/>
    <w:rsid w:val="00667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C83"/>
    <w:rPr>
      <w:rFonts w:ascii="Segoe UI" w:hAnsi="Segoe UI" w:cs="Segoe UI"/>
      <w:sz w:val="18"/>
      <w:szCs w:val="18"/>
    </w:rPr>
  </w:style>
  <w:style w:type="paragraph" w:customStyle="1" w:styleId="NormalEmail">
    <w:name w:val="NormalEmail"/>
    <w:basedOn w:val="Normal"/>
    <w:rsid w:val="009A1858"/>
    <w:pPr>
      <w:suppressAutoHyphens/>
      <w:spacing w:after="0" w:line="240" w:lineRule="auto"/>
      <w:ind w:left="720" w:hanging="720"/>
      <w:jc w:val="both"/>
    </w:pPr>
    <w:rPr>
      <w:rFonts w:ascii="Arial" w:eastAsia="Times New Roman" w:hAnsi="Arial" w:cs="Times New Roman"/>
      <w:kern w:val="0"/>
      <w:sz w:val="24"/>
      <w:szCs w:val="24"/>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844184C12D44C8D0091563173ED9F" ma:contentTypeVersion="13" ma:contentTypeDescription="Create a new document." ma:contentTypeScope="" ma:versionID="9d261e6f90c57fa63ad9da5a4e27cd54">
  <xsd:schema xmlns:xsd="http://www.w3.org/2001/XMLSchema" xmlns:xs="http://www.w3.org/2001/XMLSchema" xmlns:p="http://schemas.microsoft.com/office/2006/metadata/properties" xmlns:ns3="579c4b10-d5e5-4d55-8de1-3fd43875ed9a" xmlns:ns4="f442f003-d18c-416b-b4f6-832017416810" targetNamespace="http://schemas.microsoft.com/office/2006/metadata/properties" ma:root="true" ma:fieldsID="031e320c069ebf46a6a9f480d1d51c0c" ns3:_="" ns4:_="">
    <xsd:import namespace="579c4b10-d5e5-4d55-8de1-3fd43875ed9a"/>
    <xsd:import namespace="f442f003-d18c-416b-b4f6-8320174168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c4b10-d5e5-4d55-8de1-3fd43875e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42f003-d18c-416b-b4f6-8320174168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2E99-8CC6-4494-A725-9477481031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C70D7D-BFC0-48BC-988D-08BDC272CA35}">
  <ds:schemaRefs>
    <ds:schemaRef ds:uri="http://schemas.microsoft.com/sharepoint/v3/contenttype/forms"/>
  </ds:schemaRefs>
</ds:datastoreItem>
</file>

<file path=customXml/itemProps3.xml><?xml version="1.0" encoding="utf-8"?>
<ds:datastoreItem xmlns:ds="http://schemas.openxmlformats.org/officeDocument/2006/customXml" ds:itemID="{DC0B2959-C3CB-4463-AEA9-3C1B5C38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c4b10-d5e5-4d55-8de1-3fd43875ed9a"/>
    <ds:schemaRef ds:uri="f442f003-d18c-416b-b4f6-832017416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67D40-57BC-46A9-BC06-86DDE949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Lever</dc:creator>
  <cp:keywords/>
  <dc:description/>
  <cp:lastModifiedBy>Mary Bruce</cp:lastModifiedBy>
  <cp:revision>8</cp:revision>
  <cp:lastPrinted>2024-01-19T06:39:00Z</cp:lastPrinted>
  <dcterms:created xsi:type="dcterms:W3CDTF">2024-01-19T08:39:00Z</dcterms:created>
  <dcterms:modified xsi:type="dcterms:W3CDTF">2024-02-06T15:10:00Z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0x010100F8D844184C12D44C8D0091563173ED9F</vt:lpwstr>
  </property>
</Properties>
</file>