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538CE" w14:textId="77777777" w:rsidR="00895B88" w:rsidRPr="000532D8" w:rsidRDefault="00895B88" w:rsidP="00C122C9">
      <w:pPr>
        <w:rPr>
          <w:rFonts w:cs="Arial"/>
          <w:b/>
          <w:bCs/>
          <w:szCs w:val="24"/>
        </w:rPr>
      </w:pPr>
      <w:bookmarkStart w:id="0" w:name="_Hlk32757618"/>
      <w:bookmarkStart w:id="1" w:name="_GoBack"/>
      <w:bookmarkEnd w:id="1"/>
    </w:p>
    <w:p w14:paraId="6D8461DC" w14:textId="0AAB271E" w:rsidR="00895B88" w:rsidRPr="000532D8" w:rsidRDefault="00895B88" w:rsidP="00895B88">
      <w:pPr>
        <w:jc w:val="center"/>
        <w:rPr>
          <w:rFonts w:cs="Arial"/>
          <w:b/>
          <w:bCs/>
          <w:szCs w:val="24"/>
        </w:rPr>
      </w:pPr>
      <w:r w:rsidRPr="000532D8">
        <w:rPr>
          <w:noProof/>
          <w:color w:val="1F497D"/>
          <w:szCs w:val="24"/>
          <w:lang w:eastAsia="en-ZA"/>
        </w:rPr>
        <w:fldChar w:fldCharType="begin"/>
      </w:r>
      <w:r w:rsidRPr="000532D8">
        <w:rPr>
          <w:noProof/>
          <w:color w:val="1F497D"/>
          <w:szCs w:val="24"/>
          <w:lang w:eastAsia="en-ZA"/>
        </w:rPr>
        <w:instrText xml:space="preserve"> INCLUDEPICTURE  "cid:image003.png@01D128E0.21B01BF0" \* MERGEFORMATINET </w:instrText>
      </w:r>
      <w:r w:rsidRPr="000532D8">
        <w:rPr>
          <w:noProof/>
          <w:color w:val="1F497D"/>
          <w:szCs w:val="24"/>
          <w:lang w:eastAsia="en-ZA"/>
        </w:rPr>
        <w:fldChar w:fldCharType="separate"/>
      </w:r>
      <w:r w:rsidRPr="000532D8">
        <w:rPr>
          <w:noProof/>
          <w:color w:val="1F497D"/>
          <w:szCs w:val="24"/>
          <w:lang w:eastAsia="en-ZA"/>
        </w:rPr>
        <w:fldChar w:fldCharType="begin"/>
      </w:r>
      <w:r w:rsidRPr="000532D8">
        <w:rPr>
          <w:noProof/>
          <w:color w:val="1F497D"/>
          <w:szCs w:val="24"/>
          <w:lang w:eastAsia="en-ZA"/>
        </w:rPr>
        <w:instrText xml:space="preserve"> INCLUDEPICTURE  "cid:image003.png@01D128E0.21B01BF0" \* MERGEFORMATINET </w:instrText>
      </w:r>
      <w:r w:rsidRPr="000532D8">
        <w:rPr>
          <w:noProof/>
          <w:color w:val="1F497D"/>
          <w:szCs w:val="24"/>
          <w:lang w:eastAsia="en-ZA"/>
        </w:rPr>
        <w:fldChar w:fldCharType="separate"/>
      </w:r>
      <w:r w:rsidRPr="000532D8">
        <w:rPr>
          <w:noProof/>
          <w:color w:val="1F497D"/>
          <w:szCs w:val="24"/>
          <w:lang w:val="en-ZA" w:eastAsia="en-ZA"/>
        </w:rPr>
        <w:drawing>
          <wp:inline distT="0" distB="0" distL="0" distR="0" wp14:anchorId="6308567B" wp14:editId="51EA8972">
            <wp:extent cx="1352550" cy="1352550"/>
            <wp:effectExtent l="0" t="0" r="635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0532D8">
        <w:rPr>
          <w:noProof/>
          <w:color w:val="1F497D"/>
          <w:szCs w:val="24"/>
          <w:lang w:eastAsia="en-ZA"/>
        </w:rPr>
        <w:fldChar w:fldCharType="end"/>
      </w:r>
      <w:r w:rsidRPr="000532D8">
        <w:rPr>
          <w:noProof/>
          <w:color w:val="1F497D"/>
          <w:szCs w:val="24"/>
          <w:lang w:eastAsia="en-ZA"/>
        </w:rPr>
        <w:fldChar w:fldCharType="end"/>
      </w:r>
    </w:p>
    <w:p w14:paraId="7E4484D0" w14:textId="33061089" w:rsidR="00AC1DA5" w:rsidRPr="000532D8" w:rsidRDefault="00AC1DA5" w:rsidP="00D17B4A">
      <w:pPr>
        <w:jc w:val="center"/>
        <w:rPr>
          <w:rFonts w:cs="Arial"/>
          <w:b/>
          <w:bCs/>
          <w:szCs w:val="24"/>
        </w:rPr>
      </w:pPr>
      <w:r w:rsidRPr="000532D8">
        <w:rPr>
          <w:rFonts w:cs="Arial"/>
          <w:b/>
          <w:bCs/>
          <w:szCs w:val="24"/>
        </w:rPr>
        <w:t>IN THE HIGH COURT OF SOUTH AFRICA</w:t>
      </w:r>
    </w:p>
    <w:p w14:paraId="25A80F6F" w14:textId="4D893FC7" w:rsidR="00AC1DA5" w:rsidRPr="000532D8" w:rsidRDefault="00172D67" w:rsidP="00D17B4A">
      <w:pPr>
        <w:jc w:val="center"/>
        <w:rPr>
          <w:rFonts w:cs="Arial"/>
          <w:b/>
          <w:bCs/>
          <w:szCs w:val="24"/>
        </w:rPr>
      </w:pPr>
      <w:r w:rsidRPr="000532D8">
        <w:rPr>
          <w:rFonts w:cs="Arial"/>
          <w:b/>
          <w:bCs/>
          <w:szCs w:val="24"/>
        </w:rPr>
        <w:t>WESTERN CAPE DIVISION, CAPE TOWN</w:t>
      </w:r>
    </w:p>
    <w:p w14:paraId="394C8191" w14:textId="77777777" w:rsidR="00127736" w:rsidRPr="000532D8" w:rsidRDefault="00127736" w:rsidP="00D17B4A">
      <w:pPr>
        <w:spacing w:line="240" w:lineRule="auto"/>
        <w:rPr>
          <w:rFonts w:cs="Arial"/>
          <w:szCs w:val="24"/>
        </w:rPr>
      </w:pPr>
    </w:p>
    <w:p w14:paraId="518CCE0F" w14:textId="44177CA5" w:rsidR="00EA3D52" w:rsidRPr="000532D8" w:rsidRDefault="00C122C9" w:rsidP="00C122C9">
      <w:pPr>
        <w:ind w:firstLine="720"/>
        <w:jc w:val="right"/>
        <w:rPr>
          <w:rFonts w:cs="Arial"/>
          <w:b/>
          <w:bCs/>
          <w:szCs w:val="24"/>
        </w:rPr>
      </w:pPr>
      <w:r w:rsidRPr="000532D8">
        <w:rPr>
          <w:rFonts w:cs="Arial"/>
          <w:b/>
          <w:bCs/>
          <w:szCs w:val="24"/>
        </w:rPr>
        <w:t xml:space="preserve"> </w:t>
      </w:r>
      <w:r w:rsidR="00AC1DA5" w:rsidRPr="000532D8">
        <w:rPr>
          <w:rFonts w:cs="Arial"/>
          <w:b/>
          <w:bCs/>
          <w:szCs w:val="24"/>
        </w:rPr>
        <w:t xml:space="preserve">CASE NO: </w:t>
      </w:r>
      <w:r w:rsidR="00172D67" w:rsidRPr="000532D8">
        <w:rPr>
          <w:rFonts w:cs="Arial"/>
          <w:b/>
          <w:bCs/>
          <w:szCs w:val="24"/>
        </w:rPr>
        <w:t xml:space="preserve"> 21244/</w:t>
      </w:r>
      <w:r w:rsidRPr="000532D8">
        <w:rPr>
          <w:rFonts w:cs="Arial"/>
          <w:b/>
          <w:bCs/>
          <w:szCs w:val="24"/>
        </w:rPr>
        <w:t>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12"/>
      </w:tblGrid>
      <w:tr w:rsidR="00CD34E5" w:rsidRPr="000532D8" w14:paraId="5685CBBE" w14:textId="77777777" w:rsidTr="00FA75B2">
        <w:tc>
          <w:tcPr>
            <w:tcW w:w="6804" w:type="dxa"/>
          </w:tcPr>
          <w:p w14:paraId="51AB92F7" w14:textId="77777777" w:rsidR="00127736" w:rsidRPr="000532D8" w:rsidRDefault="00127736" w:rsidP="000A4978">
            <w:pPr>
              <w:rPr>
                <w:rFonts w:cs="Arial"/>
                <w:szCs w:val="24"/>
                <w:lang w:val="en-ZA"/>
              </w:rPr>
            </w:pPr>
          </w:p>
          <w:p w14:paraId="2A62FD54" w14:textId="47137CE7" w:rsidR="00CD34E5" w:rsidRPr="000532D8" w:rsidRDefault="00CD34E5" w:rsidP="000A4978">
            <w:pPr>
              <w:rPr>
                <w:rFonts w:cs="Arial"/>
                <w:szCs w:val="24"/>
                <w:lang w:val="en-ZA"/>
              </w:rPr>
            </w:pPr>
            <w:r w:rsidRPr="000532D8">
              <w:rPr>
                <w:rFonts w:cs="Arial"/>
                <w:szCs w:val="24"/>
                <w:lang w:val="en-ZA"/>
              </w:rPr>
              <w:t>In the matter between:</w:t>
            </w:r>
          </w:p>
        </w:tc>
        <w:tc>
          <w:tcPr>
            <w:tcW w:w="2212" w:type="dxa"/>
          </w:tcPr>
          <w:p w14:paraId="329D45A6" w14:textId="436A32CC" w:rsidR="00CD34E5" w:rsidRPr="000532D8" w:rsidRDefault="00CD34E5" w:rsidP="000A4978">
            <w:pPr>
              <w:jc w:val="right"/>
              <w:rPr>
                <w:rFonts w:cs="Arial"/>
                <w:szCs w:val="24"/>
                <w:lang w:val="en-ZA"/>
              </w:rPr>
            </w:pPr>
          </w:p>
        </w:tc>
      </w:tr>
      <w:tr w:rsidR="00CD34E5" w:rsidRPr="000532D8" w14:paraId="53609CF2" w14:textId="77777777" w:rsidTr="00FA75B2">
        <w:tc>
          <w:tcPr>
            <w:tcW w:w="6804" w:type="dxa"/>
          </w:tcPr>
          <w:p w14:paraId="65E61B14" w14:textId="77777777" w:rsidR="00CD34E5" w:rsidRPr="000532D8" w:rsidRDefault="00CD34E5" w:rsidP="000A4978">
            <w:pPr>
              <w:rPr>
                <w:rFonts w:cs="Arial"/>
                <w:szCs w:val="24"/>
                <w:lang w:val="en-ZA"/>
              </w:rPr>
            </w:pPr>
          </w:p>
        </w:tc>
        <w:tc>
          <w:tcPr>
            <w:tcW w:w="2212" w:type="dxa"/>
          </w:tcPr>
          <w:p w14:paraId="78C7AD32" w14:textId="77777777" w:rsidR="00CD34E5" w:rsidRPr="000532D8" w:rsidRDefault="00CD34E5" w:rsidP="000A4978">
            <w:pPr>
              <w:jc w:val="right"/>
              <w:rPr>
                <w:rFonts w:cs="Arial"/>
                <w:szCs w:val="24"/>
                <w:lang w:val="en-ZA"/>
              </w:rPr>
            </w:pPr>
          </w:p>
          <w:p w14:paraId="47A9AD0D" w14:textId="77777777" w:rsidR="00127736" w:rsidRPr="000532D8" w:rsidRDefault="00127736" w:rsidP="000A4978">
            <w:pPr>
              <w:jc w:val="right"/>
              <w:rPr>
                <w:rFonts w:cs="Arial"/>
                <w:szCs w:val="24"/>
                <w:lang w:val="en-ZA"/>
              </w:rPr>
            </w:pPr>
          </w:p>
        </w:tc>
      </w:tr>
      <w:tr w:rsidR="00AC1DA5" w:rsidRPr="000532D8" w14:paraId="65BC18E3" w14:textId="77777777" w:rsidTr="00FA75B2">
        <w:tc>
          <w:tcPr>
            <w:tcW w:w="6804" w:type="dxa"/>
          </w:tcPr>
          <w:p w14:paraId="3C6C929D" w14:textId="162CA24A" w:rsidR="00AC1DA5" w:rsidRPr="000532D8" w:rsidRDefault="00213FB0" w:rsidP="003A15BA">
            <w:pPr>
              <w:spacing w:line="360" w:lineRule="auto"/>
              <w:rPr>
                <w:rFonts w:cs="Arial"/>
                <w:b/>
                <w:bCs/>
                <w:szCs w:val="24"/>
                <w:lang w:val="en-ZA"/>
              </w:rPr>
            </w:pPr>
            <w:r w:rsidRPr="000532D8">
              <w:rPr>
                <w:rFonts w:cs="Arial"/>
                <w:b/>
                <w:bCs/>
                <w:szCs w:val="24"/>
                <w:lang w:val="en-ZA"/>
              </w:rPr>
              <w:t xml:space="preserve">THE </w:t>
            </w:r>
            <w:r w:rsidR="00FA75B2" w:rsidRPr="000532D8">
              <w:rPr>
                <w:rFonts w:cs="Arial"/>
                <w:b/>
                <w:bCs/>
                <w:szCs w:val="24"/>
                <w:lang w:val="en-ZA"/>
              </w:rPr>
              <w:t>STANDARD BANK OF SOUTH AFRICA LIMITED</w:t>
            </w:r>
            <w:r w:rsidR="007B2C26" w:rsidRPr="000532D8">
              <w:rPr>
                <w:rFonts w:cs="Arial"/>
                <w:b/>
                <w:bCs/>
                <w:szCs w:val="24"/>
                <w:lang w:val="en-ZA"/>
              </w:rPr>
              <w:t xml:space="preserve"> </w:t>
            </w:r>
          </w:p>
        </w:tc>
        <w:tc>
          <w:tcPr>
            <w:tcW w:w="2212" w:type="dxa"/>
          </w:tcPr>
          <w:p w14:paraId="2C4171EB" w14:textId="62A526C3" w:rsidR="00AC1DA5" w:rsidRPr="000532D8" w:rsidRDefault="00FA75B2" w:rsidP="00AC1DA5">
            <w:pPr>
              <w:jc w:val="right"/>
              <w:rPr>
                <w:rFonts w:cs="Arial"/>
                <w:szCs w:val="24"/>
                <w:lang w:val="en-ZA"/>
              </w:rPr>
            </w:pPr>
            <w:r w:rsidRPr="000532D8">
              <w:rPr>
                <w:rFonts w:cs="Arial"/>
                <w:szCs w:val="24"/>
                <w:lang w:val="en-ZA"/>
              </w:rPr>
              <w:t>Applicant</w:t>
            </w:r>
          </w:p>
        </w:tc>
      </w:tr>
      <w:tr w:rsidR="00AC1DA5" w:rsidRPr="000532D8" w14:paraId="32E646F5" w14:textId="77777777" w:rsidTr="00FA75B2">
        <w:tc>
          <w:tcPr>
            <w:tcW w:w="6804" w:type="dxa"/>
          </w:tcPr>
          <w:p w14:paraId="55E422B8" w14:textId="77777777" w:rsidR="00AC1DA5" w:rsidRPr="000532D8" w:rsidRDefault="00AC1DA5" w:rsidP="00AC1DA5">
            <w:pPr>
              <w:rPr>
                <w:rFonts w:cs="Arial"/>
                <w:b/>
                <w:szCs w:val="24"/>
              </w:rPr>
            </w:pPr>
          </w:p>
        </w:tc>
        <w:tc>
          <w:tcPr>
            <w:tcW w:w="2212" w:type="dxa"/>
          </w:tcPr>
          <w:p w14:paraId="2C14BEBE" w14:textId="77777777" w:rsidR="00AC1DA5" w:rsidRPr="000532D8" w:rsidRDefault="00AC1DA5" w:rsidP="00AC1DA5">
            <w:pPr>
              <w:jc w:val="right"/>
              <w:rPr>
                <w:rFonts w:cs="Arial"/>
                <w:szCs w:val="24"/>
                <w:lang w:val="en-ZA"/>
              </w:rPr>
            </w:pPr>
          </w:p>
        </w:tc>
      </w:tr>
      <w:tr w:rsidR="00AC1DA5" w:rsidRPr="000532D8" w14:paraId="119C0EF7" w14:textId="77777777" w:rsidTr="00FA75B2">
        <w:tc>
          <w:tcPr>
            <w:tcW w:w="6804" w:type="dxa"/>
          </w:tcPr>
          <w:p w14:paraId="1BF39488" w14:textId="77777777" w:rsidR="00127736" w:rsidRPr="000532D8" w:rsidRDefault="00127736" w:rsidP="00AC1DA5">
            <w:pPr>
              <w:rPr>
                <w:rFonts w:cs="Arial"/>
                <w:bCs/>
                <w:szCs w:val="24"/>
              </w:rPr>
            </w:pPr>
          </w:p>
          <w:p w14:paraId="5001BF74" w14:textId="1EE6EBDF" w:rsidR="00AC1DA5" w:rsidRPr="000532D8" w:rsidRDefault="00AC1DA5" w:rsidP="00AC1DA5">
            <w:pPr>
              <w:rPr>
                <w:rFonts w:cs="Arial"/>
                <w:bCs/>
                <w:szCs w:val="24"/>
              </w:rPr>
            </w:pPr>
            <w:r w:rsidRPr="000532D8">
              <w:rPr>
                <w:rFonts w:cs="Arial"/>
                <w:bCs/>
                <w:szCs w:val="24"/>
              </w:rPr>
              <w:t>and</w:t>
            </w:r>
          </w:p>
        </w:tc>
        <w:tc>
          <w:tcPr>
            <w:tcW w:w="2212" w:type="dxa"/>
          </w:tcPr>
          <w:p w14:paraId="6E1AB4EE" w14:textId="77777777" w:rsidR="00AC1DA5" w:rsidRPr="000532D8" w:rsidRDefault="00AC1DA5" w:rsidP="00AC1DA5">
            <w:pPr>
              <w:jc w:val="right"/>
              <w:rPr>
                <w:rFonts w:cs="Arial"/>
                <w:szCs w:val="24"/>
                <w:lang w:val="en-ZA"/>
              </w:rPr>
            </w:pPr>
          </w:p>
        </w:tc>
      </w:tr>
      <w:tr w:rsidR="00127736" w:rsidRPr="000532D8" w14:paraId="43DD8067" w14:textId="77777777" w:rsidTr="00FA75B2">
        <w:tc>
          <w:tcPr>
            <w:tcW w:w="6804" w:type="dxa"/>
          </w:tcPr>
          <w:p w14:paraId="1C29AD6F" w14:textId="77777777" w:rsidR="00127736" w:rsidRPr="000532D8" w:rsidRDefault="00127736" w:rsidP="00AC1DA5">
            <w:pPr>
              <w:rPr>
                <w:rFonts w:cs="Arial"/>
                <w:bCs/>
                <w:szCs w:val="24"/>
              </w:rPr>
            </w:pPr>
          </w:p>
        </w:tc>
        <w:tc>
          <w:tcPr>
            <w:tcW w:w="2212" w:type="dxa"/>
          </w:tcPr>
          <w:p w14:paraId="05EF2EA7" w14:textId="77777777" w:rsidR="00127736" w:rsidRPr="000532D8" w:rsidRDefault="00127736" w:rsidP="00AC1DA5">
            <w:pPr>
              <w:jc w:val="right"/>
              <w:rPr>
                <w:rFonts w:cs="Arial"/>
                <w:szCs w:val="24"/>
                <w:lang w:val="en-ZA"/>
              </w:rPr>
            </w:pPr>
          </w:p>
        </w:tc>
      </w:tr>
      <w:tr w:rsidR="00AC1DA5" w:rsidRPr="000532D8" w14:paraId="0F604363" w14:textId="77777777" w:rsidTr="00FA75B2">
        <w:tc>
          <w:tcPr>
            <w:tcW w:w="6804" w:type="dxa"/>
          </w:tcPr>
          <w:p w14:paraId="2343FFA0" w14:textId="77777777" w:rsidR="00AC1DA5" w:rsidRPr="000532D8" w:rsidRDefault="00AC1DA5" w:rsidP="00AC1DA5">
            <w:pPr>
              <w:rPr>
                <w:rFonts w:cs="Arial"/>
                <w:b/>
                <w:szCs w:val="24"/>
              </w:rPr>
            </w:pPr>
          </w:p>
        </w:tc>
        <w:tc>
          <w:tcPr>
            <w:tcW w:w="2212" w:type="dxa"/>
          </w:tcPr>
          <w:p w14:paraId="02B25B2B" w14:textId="77777777" w:rsidR="00AC1DA5" w:rsidRPr="000532D8" w:rsidRDefault="00AC1DA5" w:rsidP="00AC1DA5">
            <w:pPr>
              <w:jc w:val="right"/>
              <w:rPr>
                <w:rFonts w:cs="Arial"/>
                <w:szCs w:val="24"/>
                <w:lang w:val="en-ZA"/>
              </w:rPr>
            </w:pPr>
          </w:p>
        </w:tc>
      </w:tr>
      <w:tr w:rsidR="00AC1DA5" w:rsidRPr="000532D8" w14:paraId="32D0F018" w14:textId="77777777" w:rsidTr="00FA75B2">
        <w:tc>
          <w:tcPr>
            <w:tcW w:w="6804" w:type="dxa"/>
          </w:tcPr>
          <w:p w14:paraId="3C71C5DB" w14:textId="0F02E217" w:rsidR="00AC1DA5" w:rsidRPr="000532D8" w:rsidRDefault="00677C2A" w:rsidP="00AC1DA5">
            <w:pPr>
              <w:rPr>
                <w:rFonts w:cs="Arial"/>
                <w:b/>
                <w:bCs/>
                <w:szCs w:val="24"/>
                <w:lang w:val="en-ZA"/>
              </w:rPr>
            </w:pPr>
            <w:r w:rsidRPr="000532D8">
              <w:rPr>
                <w:rFonts w:cs="Arial"/>
                <w:b/>
                <w:bCs/>
                <w:szCs w:val="24"/>
                <w:lang w:val="en-ZA"/>
              </w:rPr>
              <w:t>JONATHAN NICHOLAS FRIEDMAN</w:t>
            </w:r>
          </w:p>
        </w:tc>
        <w:tc>
          <w:tcPr>
            <w:tcW w:w="2212" w:type="dxa"/>
          </w:tcPr>
          <w:p w14:paraId="73C04982" w14:textId="39199CAE" w:rsidR="00AC1DA5" w:rsidRPr="000532D8" w:rsidRDefault="00FA75B2" w:rsidP="00AC1DA5">
            <w:pPr>
              <w:jc w:val="right"/>
              <w:rPr>
                <w:rFonts w:cs="Arial"/>
                <w:szCs w:val="24"/>
                <w:lang w:val="en-ZA"/>
              </w:rPr>
            </w:pPr>
            <w:r w:rsidRPr="000532D8">
              <w:rPr>
                <w:rFonts w:cs="Arial"/>
                <w:bCs/>
                <w:szCs w:val="24"/>
                <w:lang w:val="en-ZA"/>
              </w:rPr>
              <w:t xml:space="preserve">Respondent </w:t>
            </w:r>
          </w:p>
        </w:tc>
      </w:tr>
      <w:bookmarkEnd w:id="0"/>
    </w:tbl>
    <w:p w14:paraId="1F593200" w14:textId="77777777" w:rsidR="00127736" w:rsidRPr="000532D8" w:rsidRDefault="00127736" w:rsidP="00956A4C">
      <w:pPr>
        <w:pBdr>
          <w:bottom w:val="single" w:sz="12" w:space="1" w:color="auto"/>
        </w:pBdr>
        <w:spacing w:before="240" w:line="360" w:lineRule="auto"/>
        <w:jc w:val="both"/>
        <w:rPr>
          <w:rFonts w:cs="Arial"/>
          <w:szCs w:val="24"/>
        </w:rPr>
      </w:pPr>
    </w:p>
    <w:p w14:paraId="64C08FFA" w14:textId="5C003354" w:rsidR="00127736" w:rsidRPr="000532D8" w:rsidRDefault="00127736" w:rsidP="00956A4C">
      <w:pPr>
        <w:pBdr>
          <w:bottom w:val="single" w:sz="12" w:space="1" w:color="auto"/>
        </w:pBdr>
        <w:spacing w:before="240" w:line="360" w:lineRule="auto"/>
        <w:jc w:val="both"/>
        <w:rPr>
          <w:rFonts w:cs="Arial"/>
          <w:szCs w:val="24"/>
        </w:rPr>
      </w:pPr>
      <w:r w:rsidRPr="000532D8">
        <w:rPr>
          <w:rFonts w:cs="Arial"/>
          <w:szCs w:val="24"/>
        </w:rPr>
        <w:t>Hearing: Wednesday 14 February 2024</w:t>
      </w:r>
    </w:p>
    <w:p w14:paraId="281AB77E" w14:textId="5A34896E" w:rsidR="00127736" w:rsidRPr="000532D8" w:rsidRDefault="00127736" w:rsidP="00956A4C">
      <w:pPr>
        <w:pBdr>
          <w:bottom w:val="single" w:sz="12" w:space="1" w:color="auto"/>
        </w:pBdr>
        <w:spacing w:before="240" w:line="360" w:lineRule="auto"/>
        <w:jc w:val="both"/>
        <w:rPr>
          <w:rFonts w:cs="Arial"/>
          <w:bCs/>
          <w:szCs w:val="24"/>
        </w:rPr>
      </w:pPr>
      <w:r w:rsidRPr="000532D8">
        <w:rPr>
          <w:rFonts w:cs="Arial"/>
          <w:szCs w:val="24"/>
        </w:rPr>
        <w:t xml:space="preserve">Judgment: </w:t>
      </w:r>
      <w:r w:rsidRPr="000532D8">
        <w:rPr>
          <w:rFonts w:cs="Arial"/>
          <w:bCs/>
          <w:szCs w:val="24"/>
        </w:rPr>
        <w:t xml:space="preserve">Tuesday </w:t>
      </w:r>
      <w:r w:rsidR="00D068DB" w:rsidRPr="000532D8">
        <w:rPr>
          <w:rFonts w:cs="Arial"/>
          <w:bCs/>
          <w:szCs w:val="24"/>
        </w:rPr>
        <w:t xml:space="preserve">20 </w:t>
      </w:r>
      <w:r w:rsidRPr="000532D8">
        <w:rPr>
          <w:rFonts w:cs="Arial"/>
          <w:bCs/>
          <w:szCs w:val="24"/>
        </w:rPr>
        <w:t>February 2024</w:t>
      </w:r>
    </w:p>
    <w:p w14:paraId="5255B2C3" w14:textId="77777777" w:rsidR="00D17B4A" w:rsidRPr="000532D8" w:rsidRDefault="00D17B4A" w:rsidP="00956A4C">
      <w:pPr>
        <w:pBdr>
          <w:bottom w:val="single" w:sz="12" w:space="1" w:color="auto"/>
        </w:pBdr>
        <w:spacing w:before="240" w:line="360" w:lineRule="auto"/>
        <w:jc w:val="both"/>
        <w:rPr>
          <w:rFonts w:cs="Arial"/>
          <w:szCs w:val="24"/>
        </w:rPr>
      </w:pPr>
    </w:p>
    <w:p w14:paraId="2CC42322" w14:textId="77777777" w:rsidR="00895B88" w:rsidRPr="000532D8" w:rsidRDefault="00895B88" w:rsidP="00D17B4A">
      <w:pPr>
        <w:pStyle w:val="TOCHeading"/>
        <w:spacing w:line="240" w:lineRule="auto"/>
        <w:rPr>
          <w:rFonts w:ascii="Arial" w:eastAsiaTheme="minorHAnsi" w:hAnsi="Arial" w:cs="Arial"/>
          <w:color w:val="auto"/>
          <w:sz w:val="24"/>
          <w:szCs w:val="24"/>
          <w:lang w:val="en-GB"/>
        </w:rPr>
      </w:pPr>
    </w:p>
    <w:p w14:paraId="09A2F137" w14:textId="6945B326" w:rsidR="00895B88" w:rsidRPr="000532D8" w:rsidRDefault="00D17B4A" w:rsidP="00D17B4A">
      <w:pPr>
        <w:pBdr>
          <w:bottom w:val="single" w:sz="12" w:space="1" w:color="auto"/>
        </w:pBdr>
        <w:jc w:val="center"/>
        <w:rPr>
          <w:szCs w:val="24"/>
        </w:rPr>
      </w:pPr>
      <w:r w:rsidRPr="000532D8">
        <w:rPr>
          <w:b/>
          <w:bCs/>
          <w:szCs w:val="24"/>
        </w:rPr>
        <w:t>JUDGMENT</w:t>
      </w:r>
    </w:p>
    <w:p w14:paraId="339ECE5E" w14:textId="77777777" w:rsidR="00D17B4A" w:rsidRPr="000532D8" w:rsidRDefault="00D17B4A" w:rsidP="00D17B4A">
      <w:pPr>
        <w:pBdr>
          <w:bottom w:val="single" w:sz="12" w:space="1" w:color="auto"/>
        </w:pBdr>
        <w:spacing w:line="240" w:lineRule="auto"/>
        <w:rPr>
          <w:szCs w:val="24"/>
        </w:rPr>
      </w:pPr>
    </w:p>
    <w:p w14:paraId="67FE243C" w14:textId="77777777" w:rsidR="00D17B4A" w:rsidRPr="000532D8" w:rsidRDefault="00D17B4A" w:rsidP="00895B88">
      <w:pPr>
        <w:rPr>
          <w:szCs w:val="24"/>
        </w:rPr>
      </w:pPr>
    </w:p>
    <w:p w14:paraId="286A705C" w14:textId="77777777" w:rsidR="00895B88" w:rsidRPr="000532D8" w:rsidRDefault="00895B88" w:rsidP="005D6073">
      <w:pPr>
        <w:pStyle w:val="TOCHeading"/>
        <w:rPr>
          <w:rFonts w:ascii="Arial" w:eastAsiaTheme="minorHAnsi" w:hAnsi="Arial" w:cs="Arial"/>
          <w:color w:val="auto"/>
          <w:sz w:val="24"/>
          <w:szCs w:val="24"/>
          <w:lang w:val="en-GB"/>
        </w:rPr>
      </w:pPr>
    </w:p>
    <w:p w14:paraId="6BEE25C5" w14:textId="77777777" w:rsidR="00D17B4A" w:rsidRPr="000532D8" w:rsidRDefault="00D17B4A" w:rsidP="00D17B4A">
      <w:pPr>
        <w:rPr>
          <w:szCs w:val="24"/>
        </w:rPr>
      </w:pPr>
    </w:p>
    <w:p w14:paraId="4AC23434" w14:textId="2C3B7765" w:rsidR="00316CFC" w:rsidRPr="000532D8" w:rsidRDefault="00895B88" w:rsidP="00895B88">
      <w:pPr>
        <w:pStyle w:val="TOCHeading"/>
        <w:rPr>
          <w:rFonts w:ascii="Arial" w:eastAsiaTheme="minorHAnsi" w:hAnsi="Arial" w:cs="Arial"/>
          <w:b/>
          <w:bCs/>
          <w:color w:val="auto"/>
          <w:sz w:val="24"/>
          <w:szCs w:val="24"/>
          <w:lang w:val="en-GB"/>
        </w:rPr>
      </w:pPr>
      <w:r w:rsidRPr="000532D8">
        <w:rPr>
          <w:rFonts w:ascii="Arial" w:eastAsiaTheme="minorHAnsi" w:hAnsi="Arial" w:cs="Arial"/>
          <w:b/>
          <w:bCs/>
          <w:color w:val="auto"/>
          <w:sz w:val="24"/>
          <w:szCs w:val="24"/>
          <w:lang w:val="en-GB"/>
        </w:rPr>
        <w:lastRenderedPageBreak/>
        <w:t>KATZ AJ:</w:t>
      </w:r>
    </w:p>
    <w:p w14:paraId="4BE72330" w14:textId="77777777" w:rsidR="00895B88" w:rsidRPr="000532D8" w:rsidRDefault="00895B88" w:rsidP="00895B88">
      <w:pPr>
        <w:rPr>
          <w:szCs w:val="24"/>
        </w:rPr>
      </w:pPr>
    </w:p>
    <w:p w14:paraId="1A394827" w14:textId="206D4DDF" w:rsidR="00895B88" w:rsidRPr="000532D8" w:rsidRDefault="00CB6C81" w:rsidP="00CB6C81">
      <w:pPr>
        <w:pStyle w:val="Numberin1"/>
        <w:numPr>
          <w:ilvl w:val="0"/>
          <w:numId w:val="0"/>
        </w:numPr>
        <w:ind w:left="720" w:hanging="720"/>
        <w:rPr>
          <w:szCs w:val="24"/>
        </w:rPr>
      </w:pPr>
      <w:r w:rsidRPr="000532D8">
        <w:rPr>
          <w:szCs w:val="24"/>
        </w:rPr>
        <w:t>[1]</w:t>
      </w:r>
      <w:r w:rsidRPr="000532D8">
        <w:rPr>
          <w:szCs w:val="24"/>
        </w:rPr>
        <w:tab/>
      </w:r>
      <w:r w:rsidR="00E228BD" w:rsidRPr="000532D8">
        <w:rPr>
          <w:szCs w:val="24"/>
        </w:rPr>
        <w:t xml:space="preserve">On </w:t>
      </w:r>
      <w:r w:rsidR="00E228BD" w:rsidRPr="000532D8">
        <w:rPr>
          <w:b/>
          <w:bCs/>
          <w:szCs w:val="24"/>
        </w:rPr>
        <w:t>19 June 2023</w:t>
      </w:r>
      <w:r w:rsidR="00E228BD" w:rsidRPr="000532D8">
        <w:rPr>
          <w:szCs w:val="24"/>
        </w:rPr>
        <w:t xml:space="preserve"> </w:t>
      </w:r>
      <w:r w:rsidR="00C91BAC" w:rsidRPr="000532D8">
        <w:rPr>
          <w:szCs w:val="24"/>
        </w:rPr>
        <w:t>Standard Bank of South Africa Limited</w:t>
      </w:r>
      <w:r w:rsidR="00961834" w:rsidRPr="000532D8">
        <w:rPr>
          <w:szCs w:val="24"/>
        </w:rPr>
        <w:t xml:space="preserve"> </w:t>
      </w:r>
      <w:r w:rsidR="006629F7" w:rsidRPr="000532D8">
        <w:rPr>
          <w:szCs w:val="24"/>
        </w:rPr>
        <w:t>made application</w:t>
      </w:r>
      <w:r w:rsidR="009E22E6" w:rsidRPr="000532D8">
        <w:rPr>
          <w:szCs w:val="24"/>
        </w:rPr>
        <w:t xml:space="preserve"> for </w:t>
      </w:r>
      <w:r w:rsidR="006A7B84" w:rsidRPr="000532D8">
        <w:rPr>
          <w:szCs w:val="24"/>
        </w:rPr>
        <w:t>a monetary judgment against the respondent, Jonathan Nicholas Friedman (“</w:t>
      </w:r>
      <w:r w:rsidR="006A7B84" w:rsidRPr="000532D8">
        <w:rPr>
          <w:i/>
          <w:iCs/>
          <w:szCs w:val="24"/>
        </w:rPr>
        <w:t>Friedman</w:t>
      </w:r>
      <w:r w:rsidR="006A7B84" w:rsidRPr="000532D8">
        <w:rPr>
          <w:szCs w:val="24"/>
        </w:rPr>
        <w:t>”), in the amount of R110</w:t>
      </w:r>
      <w:r w:rsidR="00961834" w:rsidRPr="000532D8">
        <w:rPr>
          <w:szCs w:val="24"/>
        </w:rPr>
        <w:t> 000 000 (one hundred and ten million rand)</w:t>
      </w:r>
      <w:r w:rsidR="006A7B84" w:rsidRPr="000532D8">
        <w:rPr>
          <w:szCs w:val="24"/>
        </w:rPr>
        <w:t>, plus interest and costs</w:t>
      </w:r>
      <w:r w:rsidR="007D449B" w:rsidRPr="000532D8">
        <w:rPr>
          <w:szCs w:val="24"/>
        </w:rPr>
        <w:t>.</w:t>
      </w:r>
    </w:p>
    <w:p w14:paraId="67F93010" w14:textId="3F0AE7D9" w:rsidR="00D47745" w:rsidRPr="000532D8" w:rsidRDefault="00CB6C81" w:rsidP="00CB6C81">
      <w:pPr>
        <w:pStyle w:val="Numberin1"/>
        <w:numPr>
          <w:ilvl w:val="0"/>
          <w:numId w:val="0"/>
        </w:numPr>
        <w:ind w:left="720" w:hanging="720"/>
        <w:rPr>
          <w:szCs w:val="24"/>
        </w:rPr>
      </w:pPr>
      <w:r w:rsidRPr="000532D8">
        <w:rPr>
          <w:szCs w:val="24"/>
        </w:rPr>
        <w:t>[2]</w:t>
      </w:r>
      <w:r w:rsidRPr="000532D8">
        <w:rPr>
          <w:szCs w:val="24"/>
        </w:rPr>
        <w:tab/>
      </w:r>
      <w:r w:rsidR="00C91BAC" w:rsidRPr="000532D8">
        <w:rPr>
          <w:rFonts w:cs="Arial"/>
          <w:szCs w:val="24"/>
        </w:rPr>
        <w:t xml:space="preserve">Standard Bank claims </w:t>
      </w:r>
      <w:r w:rsidR="00F82845" w:rsidRPr="000532D8">
        <w:rPr>
          <w:rFonts w:cs="Arial"/>
          <w:szCs w:val="24"/>
        </w:rPr>
        <w:t>Friedman</w:t>
      </w:r>
      <w:r w:rsidR="0031583A" w:rsidRPr="000532D8">
        <w:rPr>
          <w:rFonts w:cs="Arial"/>
          <w:szCs w:val="24"/>
        </w:rPr>
        <w:t>’s</w:t>
      </w:r>
      <w:r w:rsidR="00F82845" w:rsidRPr="000532D8">
        <w:rPr>
          <w:rFonts w:cs="Arial"/>
          <w:szCs w:val="24"/>
        </w:rPr>
        <w:t xml:space="preserve"> indebted</w:t>
      </w:r>
      <w:r w:rsidR="00EE67C1" w:rsidRPr="000532D8">
        <w:rPr>
          <w:rFonts w:cs="Arial"/>
          <w:szCs w:val="24"/>
        </w:rPr>
        <w:t xml:space="preserve">ness </w:t>
      </w:r>
      <w:r w:rsidR="00F82845" w:rsidRPr="000532D8">
        <w:rPr>
          <w:rFonts w:cs="Arial"/>
          <w:szCs w:val="24"/>
        </w:rPr>
        <w:t xml:space="preserve">to </w:t>
      </w:r>
      <w:r w:rsidR="00C91BAC" w:rsidRPr="000532D8">
        <w:rPr>
          <w:rFonts w:cs="Arial"/>
          <w:szCs w:val="24"/>
        </w:rPr>
        <w:t xml:space="preserve">it </w:t>
      </w:r>
      <w:r w:rsidR="007A3A0D" w:rsidRPr="000532D8">
        <w:rPr>
          <w:rFonts w:cs="Arial"/>
          <w:szCs w:val="24"/>
        </w:rPr>
        <w:t xml:space="preserve">is </w:t>
      </w:r>
      <w:r w:rsidR="00C91BAC" w:rsidRPr="000532D8">
        <w:rPr>
          <w:rFonts w:cs="Arial"/>
          <w:szCs w:val="24"/>
        </w:rPr>
        <w:t>i</w:t>
      </w:r>
      <w:r w:rsidR="00F82845" w:rsidRPr="000532D8">
        <w:rPr>
          <w:rFonts w:cs="Arial"/>
          <w:szCs w:val="24"/>
        </w:rPr>
        <w:t xml:space="preserve">n terms of a </w:t>
      </w:r>
      <w:r w:rsidR="00FA71D9" w:rsidRPr="000532D8">
        <w:rPr>
          <w:rFonts w:cs="Arial"/>
          <w:szCs w:val="24"/>
        </w:rPr>
        <w:t>Guarantee</w:t>
      </w:r>
      <w:r w:rsidR="00F82845" w:rsidRPr="000532D8">
        <w:rPr>
          <w:rFonts w:cs="Arial"/>
          <w:szCs w:val="24"/>
        </w:rPr>
        <w:t>, limited up to the amount of R110</w:t>
      </w:r>
      <w:r w:rsidR="00E21368" w:rsidRPr="000532D8">
        <w:rPr>
          <w:rFonts w:cs="Arial"/>
          <w:szCs w:val="24"/>
        </w:rPr>
        <w:t> </w:t>
      </w:r>
      <w:r w:rsidR="0045198E" w:rsidRPr="000532D8">
        <w:rPr>
          <w:rFonts w:cs="Arial"/>
          <w:szCs w:val="24"/>
        </w:rPr>
        <w:t xml:space="preserve">million </w:t>
      </w:r>
      <w:r w:rsidR="00E21368" w:rsidRPr="000532D8">
        <w:rPr>
          <w:rFonts w:cs="Arial"/>
          <w:szCs w:val="24"/>
        </w:rPr>
        <w:t>plus interests and costs</w:t>
      </w:r>
      <w:r w:rsidR="00F82845" w:rsidRPr="000532D8">
        <w:rPr>
          <w:rFonts w:cs="Arial"/>
          <w:szCs w:val="24"/>
        </w:rPr>
        <w:t xml:space="preserve">, </w:t>
      </w:r>
      <w:r w:rsidR="00E21368" w:rsidRPr="000532D8">
        <w:rPr>
          <w:rFonts w:cs="Arial"/>
          <w:szCs w:val="24"/>
        </w:rPr>
        <w:t xml:space="preserve">in terms of which Friedman guaranteed </w:t>
      </w:r>
      <w:r w:rsidR="00F82845" w:rsidRPr="000532D8">
        <w:rPr>
          <w:rFonts w:cs="Arial"/>
          <w:szCs w:val="24"/>
        </w:rPr>
        <w:t xml:space="preserve">the </w:t>
      </w:r>
      <w:r w:rsidR="00E21368" w:rsidRPr="000532D8">
        <w:rPr>
          <w:rFonts w:cs="Arial"/>
          <w:szCs w:val="24"/>
        </w:rPr>
        <w:t xml:space="preserve">obligations </w:t>
      </w:r>
      <w:r w:rsidR="00F82845" w:rsidRPr="000532D8">
        <w:rPr>
          <w:rFonts w:cs="Arial"/>
          <w:szCs w:val="24"/>
        </w:rPr>
        <w:t>of</w:t>
      </w:r>
      <w:r w:rsidR="00DE5103" w:rsidRPr="000532D8">
        <w:rPr>
          <w:rFonts w:cs="Arial"/>
          <w:szCs w:val="24"/>
        </w:rPr>
        <w:t xml:space="preserve"> </w:t>
      </w:r>
      <w:r w:rsidR="003C137B" w:rsidRPr="000532D8">
        <w:rPr>
          <w:rFonts w:cs="Arial"/>
          <w:szCs w:val="24"/>
        </w:rPr>
        <w:t>Urban Lime Properties (South Africa) (Pty) Ltd</w:t>
      </w:r>
      <w:r w:rsidR="0031583A" w:rsidRPr="000532D8">
        <w:rPr>
          <w:rStyle w:val="FootnoteReference"/>
          <w:rFonts w:cs="Arial"/>
          <w:szCs w:val="24"/>
        </w:rPr>
        <w:footnoteReference w:id="1"/>
      </w:r>
      <w:r w:rsidR="003C137B" w:rsidRPr="000532D8">
        <w:rPr>
          <w:rFonts w:cs="Arial"/>
          <w:szCs w:val="24"/>
        </w:rPr>
        <w:t xml:space="preserve"> (registration no: 2006/023754/07) (“</w:t>
      </w:r>
      <w:r w:rsidR="003C137B" w:rsidRPr="000532D8">
        <w:rPr>
          <w:rFonts w:cs="Arial"/>
          <w:i/>
          <w:iCs/>
          <w:szCs w:val="24"/>
        </w:rPr>
        <w:t>Urban Lime</w:t>
      </w:r>
      <w:r w:rsidR="003C137B" w:rsidRPr="000532D8">
        <w:rPr>
          <w:rFonts w:cs="Arial"/>
          <w:szCs w:val="24"/>
        </w:rPr>
        <w:t>”)</w:t>
      </w:r>
      <w:r w:rsidR="00C91BAC" w:rsidRPr="000532D8">
        <w:rPr>
          <w:rStyle w:val="FootnoteReference"/>
          <w:rFonts w:cs="Arial"/>
          <w:szCs w:val="24"/>
        </w:rPr>
        <w:footnoteReference w:id="2"/>
      </w:r>
      <w:r w:rsidR="007A3A0D" w:rsidRPr="000532D8">
        <w:rPr>
          <w:rFonts w:cs="Arial"/>
          <w:szCs w:val="24"/>
        </w:rPr>
        <w:t xml:space="preserve"> </w:t>
      </w:r>
      <w:r w:rsidR="00E21368" w:rsidRPr="000532D8">
        <w:rPr>
          <w:rFonts w:cs="Arial"/>
          <w:szCs w:val="24"/>
        </w:rPr>
        <w:t xml:space="preserve">to Standard Bank </w:t>
      </w:r>
      <w:r w:rsidR="007A3A0D" w:rsidRPr="000532D8">
        <w:rPr>
          <w:rFonts w:cs="Arial"/>
          <w:szCs w:val="24"/>
        </w:rPr>
        <w:t xml:space="preserve">in respect of a loan </w:t>
      </w:r>
      <w:r w:rsidR="00903899" w:rsidRPr="000532D8">
        <w:rPr>
          <w:rFonts w:cs="Arial"/>
          <w:szCs w:val="24"/>
        </w:rPr>
        <w:t>f</w:t>
      </w:r>
      <w:r w:rsidR="007A3A0D" w:rsidRPr="000532D8">
        <w:rPr>
          <w:rFonts w:cs="Arial"/>
          <w:szCs w:val="24"/>
        </w:rPr>
        <w:t xml:space="preserve">acility </w:t>
      </w:r>
      <w:r w:rsidR="00903899" w:rsidRPr="000532D8">
        <w:rPr>
          <w:rFonts w:cs="Arial"/>
          <w:szCs w:val="24"/>
        </w:rPr>
        <w:t xml:space="preserve">agreement </w:t>
      </w:r>
      <w:r w:rsidR="007A3A0D" w:rsidRPr="000532D8">
        <w:rPr>
          <w:rFonts w:cs="Arial"/>
          <w:szCs w:val="24"/>
        </w:rPr>
        <w:t>granted by Standard Bank to it.</w:t>
      </w:r>
    </w:p>
    <w:p w14:paraId="741B0364" w14:textId="64056BF1" w:rsidR="00110511" w:rsidRPr="000532D8" w:rsidRDefault="00CB6C81" w:rsidP="00CB6C81">
      <w:pPr>
        <w:pStyle w:val="a"/>
        <w:numPr>
          <w:ilvl w:val="0"/>
          <w:numId w:val="0"/>
        </w:numPr>
        <w:ind w:left="720" w:hanging="720"/>
        <w:rPr>
          <w:rFonts w:cs="Arial"/>
          <w:szCs w:val="24"/>
        </w:rPr>
      </w:pPr>
      <w:r w:rsidRPr="000532D8">
        <w:rPr>
          <w:rFonts w:cs="Arial"/>
          <w:szCs w:val="24"/>
        </w:rPr>
        <w:t>[3]</w:t>
      </w:r>
      <w:r w:rsidRPr="000532D8">
        <w:rPr>
          <w:rFonts w:cs="Arial"/>
          <w:szCs w:val="24"/>
        </w:rPr>
        <w:tab/>
      </w:r>
      <w:r w:rsidR="00BD117C" w:rsidRPr="000532D8">
        <w:rPr>
          <w:rFonts w:cs="Arial"/>
          <w:szCs w:val="24"/>
        </w:rPr>
        <w:t>Friedman filed his answering affidavit on 31 August 2023.  Standard Bank filed its replying affidavit on 31 October 2023</w:t>
      </w:r>
      <w:r w:rsidR="004564FD" w:rsidRPr="000532D8">
        <w:rPr>
          <w:rFonts w:cs="Arial"/>
          <w:szCs w:val="24"/>
        </w:rPr>
        <w:t xml:space="preserve">. </w:t>
      </w:r>
    </w:p>
    <w:p w14:paraId="6C085902" w14:textId="3CE62425" w:rsidR="00892287" w:rsidRPr="000532D8" w:rsidRDefault="00CB6C81" w:rsidP="00CB6C81">
      <w:pPr>
        <w:pStyle w:val="a"/>
        <w:numPr>
          <w:ilvl w:val="0"/>
          <w:numId w:val="0"/>
        </w:numPr>
        <w:ind w:left="720" w:hanging="720"/>
        <w:rPr>
          <w:rFonts w:cs="Arial"/>
          <w:szCs w:val="24"/>
        </w:rPr>
      </w:pPr>
      <w:r w:rsidRPr="000532D8">
        <w:rPr>
          <w:rFonts w:cs="Arial"/>
          <w:szCs w:val="24"/>
        </w:rPr>
        <w:t>[4]</w:t>
      </w:r>
      <w:r w:rsidRPr="000532D8">
        <w:rPr>
          <w:rFonts w:cs="Arial"/>
          <w:szCs w:val="24"/>
        </w:rPr>
        <w:tab/>
      </w:r>
      <w:r w:rsidR="00127736" w:rsidRPr="000532D8">
        <w:rPr>
          <w:rFonts w:cs="Arial"/>
          <w:szCs w:val="24"/>
        </w:rPr>
        <w:t xml:space="preserve">Standard bank </w:t>
      </w:r>
      <w:r w:rsidR="00E21368" w:rsidRPr="000532D8">
        <w:rPr>
          <w:rFonts w:cs="Arial"/>
          <w:szCs w:val="24"/>
        </w:rPr>
        <w:t xml:space="preserve">launched </w:t>
      </w:r>
      <w:r w:rsidR="00127736" w:rsidRPr="000532D8">
        <w:rPr>
          <w:rFonts w:cs="Arial"/>
          <w:szCs w:val="24"/>
        </w:rPr>
        <w:t xml:space="preserve">the application in </w:t>
      </w:r>
      <w:r w:rsidR="00DE5103" w:rsidRPr="000532D8">
        <w:rPr>
          <w:rFonts w:cs="Arial"/>
          <w:szCs w:val="24"/>
        </w:rPr>
        <w:t xml:space="preserve">the </w:t>
      </w:r>
      <w:r w:rsidR="00E21368" w:rsidRPr="000532D8">
        <w:rPr>
          <w:rFonts w:cs="Arial"/>
          <w:szCs w:val="24"/>
        </w:rPr>
        <w:t xml:space="preserve">High Court, </w:t>
      </w:r>
      <w:r w:rsidR="00DE5103" w:rsidRPr="000532D8">
        <w:rPr>
          <w:rFonts w:cs="Arial"/>
          <w:szCs w:val="24"/>
        </w:rPr>
        <w:t xml:space="preserve">Gauteng Local Division, Johannesburg. </w:t>
      </w:r>
      <w:r w:rsidR="009B1C0C" w:rsidRPr="000532D8">
        <w:rPr>
          <w:rFonts w:cs="Arial"/>
          <w:szCs w:val="24"/>
        </w:rPr>
        <w:t>Friedman applied in terms of section 27 of the Superior Courts Act 10 of 2013 for the application to be transferred to the Western Cape Division as a matter of convenience and cost-effectiveness</w:t>
      </w:r>
      <w:r w:rsidR="00892287" w:rsidRPr="000532D8">
        <w:rPr>
          <w:rFonts w:cs="Arial"/>
          <w:szCs w:val="24"/>
        </w:rPr>
        <w:t xml:space="preserve"> because Standard Bank were </w:t>
      </w:r>
      <w:r w:rsidR="00E21368" w:rsidRPr="000532D8">
        <w:rPr>
          <w:rFonts w:cs="Arial"/>
          <w:szCs w:val="24"/>
        </w:rPr>
        <w:t xml:space="preserve">also </w:t>
      </w:r>
      <w:r w:rsidR="00892287" w:rsidRPr="000532D8">
        <w:rPr>
          <w:rFonts w:cs="Arial"/>
          <w:szCs w:val="24"/>
        </w:rPr>
        <w:t>seeking an order of liquidation against Urban Lime in this Division</w:t>
      </w:r>
      <w:r w:rsidR="009B1C0C" w:rsidRPr="000532D8">
        <w:rPr>
          <w:rFonts w:cs="Arial"/>
          <w:szCs w:val="24"/>
        </w:rPr>
        <w:t>.</w:t>
      </w:r>
      <w:r w:rsidR="009B1C0C" w:rsidRPr="000532D8">
        <w:rPr>
          <w:rStyle w:val="FootnoteReference"/>
          <w:rFonts w:cs="Arial"/>
          <w:szCs w:val="24"/>
        </w:rPr>
        <w:footnoteReference w:id="3"/>
      </w:r>
    </w:p>
    <w:p w14:paraId="4931746C" w14:textId="752F914D" w:rsidR="00892287" w:rsidRPr="000532D8" w:rsidRDefault="00CB6C81" w:rsidP="00CB6C81">
      <w:pPr>
        <w:pStyle w:val="a"/>
        <w:numPr>
          <w:ilvl w:val="0"/>
          <w:numId w:val="0"/>
        </w:numPr>
        <w:ind w:left="720" w:hanging="720"/>
        <w:rPr>
          <w:rFonts w:cs="Arial"/>
          <w:szCs w:val="24"/>
        </w:rPr>
      </w:pPr>
      <w:r w:rsidRPr="000532D8">
        <w:rPr>
          <w:rFonts w:cs="Arial"/>
          <w:szCs w:val="24"/>
        </w:rPr>
        <w:t>[5]</w:t>
      </w:r>
      <w:r w:rsidRPr="000532D8">
        <w:rPr>
          <w:rFonts w:cs="Arial"/>
          <w:szCs w:val="24"/>
        </w:rPr>
        <w:tab/>
      </w:r>
      <w:r w:rsidR="009B1C0C" w:rsidRPr="000532D8">
        <w:rPr>
          <w:rFonts w:cs="Arial"/>
          <w:szCs w:val="24"/>
        </w:rPr>
        <w:t>The</w:t>
      </w:r>
      <w:r w:rsidR="00274476" w:rsidRPr="000532D8">
        <w:rPr>
          <w:rFonts w:cs="Arial"/>
          <w:szCs w:val="24"/>
        </w:rPr>
        <w:t xml:space="preserve"> Acting Judge President </w:t>
      </w:r>
      <w:r w:rsidR="00BD117C" w:rsidRPr="000532D8">
        <w:rPr>
          <w:rFonts w:cs="Arial"/>
          <w:szCs w:val="24"/>
        </w:rPr>
        <w:t xml:space="preserve">on 18 December 2023 </w:t>
      </w:r>
      <w:r w:rsidR="00274476" w:rsidRPr="000532D8">
        <w:rPr>
          <w:rFonts w:cs="Arial"/>
          <w:szCs w:val="24"/>
        </w:rPr>
        <w:t xml:space="preserve">set the application down for hearing on the semi-urgent roll to be heard simultaneously </w:t>
      </w:r>
      <w:r w:rsidR="00127736" w:rsidRPr="000532D8">
        <w:rPr>
          <w:rFonts w:cs="Arial"/>
          <w:szCs w:val="24"/>
        </w:rPr>
        <w:t xml:space="preserve">on 14 February 2024 </w:t>
      </w:r>
      <w:r w:rsidR="00274476" w:rsidRPr="000532D8">
        <w:rPr>
          <w:rFonts w:cs="Arial"/>
          <w:szCs w:val="24"/>
        </w:rPr>
        <w:lastRenderedPageBreak/>
        <w:t xml:space="preserve">with </w:t>
      </w:r>
      <w:r w:rsidR="00892287" w:rsidRPr="000532D8">
        <w:rPr>
          <w:rFonts w:cs="Arial"/>
          <w:szCs w:val="24"/>
        </w:rPr>
        <w:t>the</w:t>
      </w:r>
      <w:r w:rsidR="00274476" w:rsidRPr="000532D8">
        <w:rPr>
          <w:rFonts w:cs="Arial"/>
          <w:szCs w:val="24"/>
        </w:rPr>
        <w:t xml:space="preserve"> liquidation application brought by </w:t>
      </w:r>
      <w:r w:rsidR="00E14A7C" w:rsidRPr="000532D8">
        <w:rPr>
          <w:rFonts w:cs="Arial"/>
          <w:szCs w:val="24"/>
        </w:rPr>
        <w:t>Standard Bank</w:t>
      </w:r>
      <w:r w:rsidR="00274476" w:rsidRPr="000532D8">
        <w:rPr>
          <w:rFonts w:cs="Arial"/>
          <w:szCs w:val="24"/>
        </w:rPr>
        <w:t xml:space="preserve"> against Urban Lime</w:t>
      </w:r>
      <w:r w:rsidR="00AB3F82" w:rsidRPr="000532D8">
        <w:rPr>
          <w:rFonts w:cs="Arial"/>
          <w:szCs w:val="24"/>
        </w:rPr>
        <w:t xml:space="preserve"> under case no. 9696/2023</w:t>
      </w:r>
      <w:r w:rsidR="00A93924" w:rsidRPr="000532D8">
        <w:rPr>
          <w:rFonts w:cs="Arial"/>
          <w:szCs w:val="24"/>
        </w:rPr>
        <w:t xml:space="preserve"> (“</w:t>
      </w:r>
      <w:r w:rsidR="00A93924" w:rsidRPr="000532D8">
        <w:rPr>
          <w:rFonts w:cs="Arial"/>
          <w:i/>
          <w:iCs/>
          <w:szCs w:val="24"/>
        </w:rPr>
        <w:t>the liquidation application</w:t>
      </w:r>
      <w:r w:rsidR="00A93924" w:rsidRPr="000532D8">
        <w:rPr>
          <w:rFonts w:cs="Arial"/>
          <w:szCs w:val="24"/>
        </w:rPr>
        <w:t>”)</w:t>
      </w:r>
      <w:r w:rsidR="00274476" w:rsidRPr="000532D8">
        <w:rPr>
          <w:rFonts w:cs="Arial"/>
          <w:szCs w:val="24"/>
        </w:rPr>
        <w:t>.</w:t>
      </w:r>
      <w:r w:rsidR="009B1C0C" w:rsidRPr="000532D8">
        <w:rPr>
          <w:rFonts w:cs="Arial"/>
          <w:szCs w:val="24"/>
        </w:rPr>
        <w:t xml:space="preserve"> There was no consolidation in terms of Uniform Rule 11 and the two applications </w:t>
      </w:r>
      <w:r w:rsidR="007A3A0D" w:rsidRPr="000532D8">
        <w:rPr>
          <w:rFonts w:cs="Arial"/>
          <w:szCs w:val="24"/>
        </w:rPr>
        <w:t xml:space="preserve">were and </w:t>
      </w:r>
      <w:r w:rsidR="00EE67C1" w:rsidRPr="000532D8">
        <w:rPr>
          <w:rFonts w:cs="Arial"/>
          <w:szCs w:val="24"/>
        </w:rPr>
        <w:t>are</w:t>
      </w:r>
      <w:r w:rsidR="009B1C0C" w:rsidRPr="000532D8">
        <w:rPr>
          <w:rFonts w:cs="Arial"/>
          <w:szCs w:val="24"/>
        </w:rPr>
        <w:t xml:space="preserve"> not consolidated into one </w:t>
      </w:r>
      <w:r w:rsidR="00895B88" w:rsidRPr="000532D8">
        <w:rPr>
          <w:rFonts w:cs="Arial"/>
          <w:szCs w:val="24"/>
        </w:rPr>
        <w:t>application.</w:t>
      </w:r>
    </w:p>
    <w:p w14:paraId="3BB8CF3E" w14:textId="2570D888" w:rsidR="00E21368" w:rsidRPr="000532D8" w:rsidRDefault="00CB6C81" w:rsidP="00CB6C81">
      <w:pPr>
        <w:pStyle w:val="a"/>
        <w:numPr>
          <w:ilvl w:val="0"/>
          <w:numId w:val="0"/>
        </w:numPr>
        <w:ind w:left="720" w:hanging="720"/>
        <w:rPr>
          <w:rFonts w:cs="Arial"/>
          <w:szCs w:val="24"/>
        </w:rPr>
      </w:pPr>
      <w:r w:rsidRPr="000532D8">
        <w:rPr>
          <w:rFonts w:cs="Arial"/>
          <w:szCs w:val="24"/>
        </w:rPr>
        <w:t>[6]</w:t>
      </w:r>
      <w:r w:rsidRPr="000532D8">
        <w:rPr>
          <w:rFonts w:cs="Arial"/>
          <w:szCs w:val="24"/>
        </w:rPr>
        <w:tab/>
      </w:r>
      <w:r w:rsidR="00784B7B" w:rsidRPr="000532D8">
        <w:rPr>
          <w:rFonts w:cs="Arial"/>
          <w:szCs w:val="24"/>
        </w:rPr>
        <w:t xml:space="preserve">On Friday </w:t>
      </w:r>
      <w:r w:rsidR="00784B7B" w:rsidRPr="000532D8">
        <w:rPr>
          <w:rFonts w:cs="Arial"/>
          <w:b/>
          <w:bCs/>
          <w:szCs w:val="24"/>
        </w:rPr>
        <w:t>9 February 2</w:t>
      </w:r>
      <w:r w:rsidR="00E14A7C" w:rsidRPr="000532D8">
        <w:rPr>
          <w:rFonts w:cs="Arial"/>
          <w:b/>
          <w:bCs/>
          <w:szCs w:val="24"/>
        </w:rPr>
        <w:t>0</w:t>
      </w:r>
      <w:r w:rsidR="00784B7B" w:rsidRPr="000532D8">
        <w:rPr>
          <w:rFonts w:cs="Arial"/>
          <w:b/>
          <w:bCs/>
          <w:szCs w:val="24"/>
        </w:rPr>
        <w:t>24</w:t>
      </w:r>
      <w:r w:rsidR="00784B7B" w:rsidRPr="000532D8">
        <w:rPr>
          <w:rFonts w:cs="Arial"/>
          <w:szCs w:val="24"/>
        </w:rPr>
        <w:t xml:space="preserve"> the respondent in the liquidation application </w:t>
      </w:r>
      <w:r w:rsidR="00E14A7C" w:rsidRPr="000532D8">
        <w:rPr>
          <w:rFonts w:cs="Arial"/>
          <w:szCs w:val="24"/>
        </w:rPr>
        <w:t xml:space="preserve">(Urban Lime) </w:t>
      </w:r>
      <w:r w:rsidR="00784B7B" w:rsidRPr="000532D8">
        <w:rPr>
          <w:rFonts w:cs="Arial"/>
          <w:szCs w:val="24"/>
        </w:rPr>
        <w:t>provided me with a copy of an application issued out of the High Court, Kwazulu-Natal Local Division, Durban under case number D 1740/2</w:t>
      </w:r>
      <w:r w:rsidR="0031583A" w:rsidRPr="000532D8">
        <w:rPr>
          <w:rFonts w:cs="Arial"/>
          <w:szCs w:val="24"/>
        </w:rPr>
        <w:t xml:space="preserve">024 in the matter of </w:t>
      </w:r>
      <w:r w:rsidR="0031583A" w:rsidRPr="000532D8">
        <w:rPr>
          <w:rFonts w:cs="Arial"/>
          <w:i/>
          <w:iCs/>
          <w:szCs w:val="24"/>
        </w:rPr>
        <w:t>Rivertown Central (Pty) Ltd v UL Prop SA (P</w:t>
      </w:r>
      <w:r w:rsidR="00E14A7C" w:rsidRPr="000532D8">
        <w:rPr>
          <w:rFonts w:cs="Arial"/>
          <w:i/>
          <w:iCs/>
          <w:szCs w:val="24"/>
        </w:rPr>
        <w:t>ty</w:t>
      </w:r>
      <w:r w:rsidR="0031583A" w:rsidRPr="000532D8">
        <w:rPr>
          <w:rFonts w:cs="Arial"/>
          <w:i/>
          <w:iCs/>
          <w:szCs w:val="24"/>
        </w:rPr>
        <w:t>) LTD</w:t>
      </w:r>
      <w:r w:rsidR="0031583A" w:rsidRPr="000532D8">
        <w:rPr>
          <w:rFonts w:cs="Arial"/>
          <w:szCs w:val="24"/>
        </w:rPr>
        <w:t xml:space="preserve">.  The KZN application seeks to place </w:t>
      </w:r>
      <w:r w:rsidR="00E14A7C" w:rsidRPr="000532D8">
        <w:rPr>
          <w:rFonts w:cs="Arial"/>
          <w:szCs w:val="24"/>
        </w:rPr>
        <w:t xml:space="preserve">Urban Lime </w:t>
      </w:r>
      <w:r w:rsidR="0031583A" w:rsidRPr="000532D8">
        <w:rPr>
          <w:rFonts w:cs="Arial"/>
          <w:szCs w:val="24"/>
        </w:rPr>
        <w:t xml:space="preserve">under supervision </w:t>
      </w:r>
      <w:r w:rsidR="001E06A6" w:rsidRPr="000532D8">
        <w:rPr>
          <w:rFonts w:cs="Arial"/>
          <w:szCs w:val="24"/>
        </w:rPr>
        <w:t xml:space="preserve">to </w:t>
      </w:r>
      <w:r w:rsidR="00895B88" w:rsidRPr="000532D8">
        <w:rPr>
          <w:rFonts w:cs="Arial"/>
          <w:szCs w:val="24"/>
        </w:rPr>
        <w:t>commence business</w:t>
      </w:r>
      <w:r w:rsidR="0031583A" w:rsidRPr="000532D8">
        <w:rPr>
          <w:rFonts w:cs="Arial"/>
          <w:szCs w:val="24"/>
        </w:rPr>
        <w:t xml:space="preserve"> rescue proceedings in terms of section 131(1) of the Companies Act 71 of 2008</w:t>
      </w:r>
      <w:r w:rsidR="001E06A6" w:rsidRPr="000532D8">
        <w:rPr>
          <w:rFonts w:cs="Arial"/>
          <w:szCs w:val="24"/>
        </w:rPr>
        <w:t xml:space="preserve">. </w:t>
      </w:r>
    </w:p>
    <w:p w14:paraId="7FA810C2" w14:textId="40C6CB44" w:rsidR="00E21368" w:rsidRPr="000532D8" w:rsidRDefault="00CB6C81" w:rsidP="00CB6C81">
      <w:pPr>
        <w:pStyle w:val="a"/>
        <w:numPr>
          <w:ilvl w:val="0"/>
          <w:numId w:val="0"/>
        </w:numPr>
        <w:ind w:left="720" w:hanging="720"/>
        <w:rPr>
          <w:rFonts w:cs="Arial"/>
          <w:szCs w:val="24"/>
        </w:rPr>
      </w:pPr>
      <w:r w:rsidRPr="000532D8">
        <w:rPr>
          <w:rFonts w:cs="Arial"/>
          <w:szCs w:val="24"/>
        </w:rPr>
        <w:t>[7]</w:t>
      </w:r>
      <w:r w:rsidRPr="000532D8">
        <w:rPr>
          <w:rFonts w:cs="Arial"/>
          <w:szCs w:val="24"/>
        </w:rPr>
        <w:tab/>
      </w:r>
      <w:r w:rsidR="0031583A" w:rsidRPr="000532D8">
        <w:rPr>
          <w:rFonts w:cs="Arial"/>
          <w:szCs w:val="24"/>
        </w:rPr>
        <w:t xml:space="preserve">Section 131(6) of the Companies Act effectively requires the liquidation </w:t>
      </w:r>
      <w:r w:rsidR="00127736" w:rsidRPr="000532D8">
        <w:rPr>
          <w:rFonts w:cs="Arial"/>
          <w:szCs w:val="24"/>
        </w:rPr>
        <w:t xml:space="preserve">application </w:t>
      </w:r>
      <w:r w:rsidR="0031583A" w:rsidRPr="000532D8">
        <w:rPr>
          <w:rFonts w:cs="Arial"/>
          <w:szCs w:val="24"/>
        </w:rPr>
        <w:t>to be suspended subject to various conditions.</w:t>
      </w:r>
      <w:r w:rsidR="00E14A7C" w:rsidRPr="000532D8">
        <w:rPr>
          <w:rStyle w:val="FootnoteReference"/>
          <w:rFonts w:cs="Arial"/>
          <w:szCs w:val="24"/>
        </w:rPr>
        <w:footnoteReference w:id="4"/>
      </w:r>
    </w:p>
    <w:p w14:paraId="763760A2" w14:textId="19CBF6C6" w:rsidR="0076309A" w:rsidRPr="000532D8" w:rsidRDefault="00CB6C81" w:rsidP="00CB6C81">
      <w:pPr>
        <w:pStyle w:val="a"/>
        <w:numPr>
          <w:ilvl w:val="0"/>
          <w:numId w:val="0"/>
        </w:numPr>
        <w:ind w:left="720" w:hanging="720"/>
        <w:rPr>
          <w:rFonts w:cs="Arial"/>
          <w:szCs w:val="24"/>
        </w:rPr>
      </w:pPr>
      <w:r w:rsidRPr="000532D8">
        <w:rPr>
          <w:rFonts w:cs="Arial"/>
          <w:szCs w:val="24"/>
        </w:rPr>
        <w:t>[8]</w:t>
      </w:r>
      <w:r w:rsidRPr="000532D8">
        <w:rPr>
          <w:rFonts w:cs="Arial"/>
          <w:szCs w:val="24"/>
        </w:rPr>
        <w:tab/>
      </w:r>
      <w:r w:rsidR="009B1C0C" w:rsidRPr="000532D8">
        <w:rPr>
          <w:rFonts w:cs="Arial"/>
          <w:szCs w:val="24"/>
        </w:rPr>
        <w:t xml:space="preserve">I </w:t>
      </w:r>
      <w:r w:rsidR="0031583A" w:rsidRPr="000532D8">
        <w:rPr>
          <w:rFonts w:cs="Arial"/>
          <w:szCs w:val="24"/>
        </w:rPr>
        <w:t xml:space="preserve">thus only </w:t>
      </w:r>
      <w:r w:rsidR="009B1C0C" w:rsidRPr="000532D8">
        <w:rPr>
          <w:rFonts w:cs="Arial"/>
          <w:szCs w:val="24"/>
        </w:rPr>
        <w:t xml:space="preserve">heard </w:t>
      </w:r>
      <w:r w:rsidR="0031583A" w:rsidRPr="000532D8">
        <w:rPr>
          <w:rFonts w:cs="Arial"/>
          <w:szCs w:val="24"/>
        </w:rPr>
        <w:t xml:space="preserve">the </w:t>
      </w:r>
      <w:r w:rsidR="009B1C0C" w:rsidRPr="000532D8">
        <w:rPr>
          <w:rFonts w:cs="Arial"/>
          <w:szCs w:val="24"/>
        </w:rPr>
        <w:t xml:space="preserve">monetary judgment application </w:t>
      </w:r>
      <w:r w:rsidR="0031583A" w:rsidRPr="000532D8">
        <w:rPr>
          <w:rFonts w:cs="Arial"/>
          <w:szCs w:val="24"/>
        </w:rPr>
        <w:t xml:space="preserve">and </w:t>
      </w:r>
      <w:r w:rsidR="0076309A" w:rsidRPr="000532D8">
        <w:rPr>
          <w:rFonts w:cs="Arial"/>
          <w:szCs w:val="24"/>
        </w:rPr>
        <w:t xml:space="preserve">removed </w:t>
      </w:r>
      <w:r w:rsidR="0031583A" w:rsidRPr="000532D8">
        <w:rPr>
          <w:rFonts w:cs="Arial"/>
          <w:szCs w:val="24"/>
        </w:rPr>
        <w:t>the liquidation application</w:t>
      </w:r>
      <w:r w:rsidR="0076309A" w:rsidRPr="000532D8">
        <w:rPr>
          <w:rFonts w:cs="Arial"/>
          <w:szCs w:val="24"/>
        </w:rPr>
        <w:t xml:space="preserve"> from the roll</w:t>
      </w:r>
      <w:r w:rsidR="0045198E" w:rsidRPr="000532D8">
        <w:rPr>
          <w:rFonts w:cs="Arial"/>
          <w:szCs w:val="24"/>
        </w:rPr>
        <w:t>. T</w:t>
      </w:r>
      <w:r w:rsidR="00350905" w:rsidRPr="000532D8">
        <w:rPr>
          <w:rFonts w:cs="Arial"/>
          <w:szCs w:val="24"/>
        </w:rPr>
        <w:t>h</w:t>
      </w:r>
      <w:r w:rsidR="009B1C0C" w:rsidRPr="000532D8">
        <w:rPr>
          <w:rFonts w:cs="Arial"/>
          <w:szCs w:val="24"/>
        </w:rPr>
        <w:t xml:space="preserve">is judgment </w:t>
      </w:r>
      <w:r w:rsidR="0031583A" w:rsidRPr="000532D8">
        <w:rPr>
          <w:rFonts w:cs="Arial"/>
          <w:szCs w:val="24"/>
        </w:rPr>
        <w:t xml:space="preserve">only deals with the monetary judgment </w:t>
      </w:r>
      <w:r w:rsidR="00895B88" w:rsidRPr="000532D8">
        <w:rPr>
          <w:rFonts w:cs="Arial"/>
          <w:szCs w:val="24"/>
        </w:rPr>
        <w:t>application.</w:t>
      </w:r>
    </w:p>
    <w:p w14:paraId="361C01F2" w14:textId="4238D83A" w:rsidR="00E21368" w:rsidRPr="000532D8" w:rsidRDefault="00CB6C81" w:rsidP="00CB6C81">
      <w:pPr>
        <w:pStyle w:val="a"/>
        <w:numPr>
          <w:ilvl w:val="0"/>
          <w:numId w:val="0"/>
        </w:numPr>
        <w:ind w:left="720" w:hanging="720"/>
        <w:rPr>
          <w:rFonts w:cs="Arial"/>
          <w:szCs w:val="24"/>
        </w:rPr>
      </w:pPr>
      <w:r w:rsidRPr="000532D8">
        <w:rPr>
          <w:rFonts w:cs="Arial"/>
          <w:szCs w:val="24"/>
        </w:rPr>
        <w:t>[9]</w:t>
      </w:r>
      <w:r w:rsidRPr="000532D8">
        <w:rPr>
          <w:rFonts w:cs="Arial"/>
          <w:szCs w:val="24"/>
        </w:rPr>
        <w:tab/>
      </w:r>
      <w:r w:rsidR="007A3A0D" w:rsidRPr="000532D8">
        <w:rPr>
          <w:rFonts w:cs="Arial"/>
          <w:szCs w:val="24"/>
        </w:rPr>
        <w:t xml:space="preserve">In the monetary claim </w:t>
      </w:r>
      <w:r w:rsidR="0076309A" w:rsidRPr="000532D8">
        <w:rPr>
          <w:rFonts w:cs="Arial"/>
          <w:szCs w:val="24"/>
        </w:rPr>
        <w:t>Friedman raised a number of defences</w:t>
      </w:r>
      <w:r w:rsidR="007A3A0D" w:rsidRPr="000532D8">
        <w:rPr>
          <w:rFonts w:cs="Arial"/>
          <w:szCs w:val="24"/>
        </w:rPr>
        <w:t>,</w:t>
      </w:r>
      <w:r w:rsidR="0076309A" w:rsidRPr="000532D8">
        <w:rPr>
          <w:rFonts w:cs="Arial"/>
          <w:szCs w:val="24"/>
        </w:rPr>
        <w:t xml:space="preserve"> including </w:t>
      </w:r>
      <w:r w:rsidR="007A3A0D" w:rsidRPr="000532D8">
        <w:rPr>
          <w:rFonts w:cs="Arial"/>
          <w:szCs w:val="24"/>
        </w:rPr>
        <w:t xml:space="preserve">what was </w:t>
      </w:r>
      <w:r w:rsidR="00E21368" w:rsidRPr="000532D8">
        <w:rPr>
          <w:rFonts w:cs="Arial"/>
          <w:szCs w:val="24"/>
        </w:rPr>
        <w:t>described by Standard Bank as</w:t>
      </w:r>
      <w:r w:rsidR="007A3A0D" w:rsidRPr="000532D8">
        <w:rPr>
          <w:rFonts w:cs="Arial"/>
          <w:szCs w:val="24"/>
        </w:rPr>
        <w:t xml:space="preserve"> </w:t>
      </w:r>
      <w:r w:rsidR="0076309A" w:rsidRPr="000532D8">
        <w:rPr>
          <w:rFonts w:cs="Arial"/>
          <w:szCs w:val="24"/>
        </w:rPr>
        <w:t xml:space="preserve">an </w:t>
      </w:r>
      <w:r w:rsidR="007A3A0D" w:rsidRPr="000532D8">
        <w:rPr>
          <w:rFonts w:cs="Arial"/>
          <w:szCs w:val="24"/>
        </w:rPr>
        <w:t xml:space="preserve">eccentric </w:t>
      </w:r>
      <w:r w:rsidR="0076309A" w:rsidRPr="000532D8">
        <w:rPr>
          <w:rFonts w:cs="Arial"/>
          <w:szCs w:val="24"/>
        </w:rPr>
        <w:t xml:space="preserve">interpretation of a particular clause of the Guarantee. Standard Bank dealt with the defences in its replying affidavit and </w:t>
      </w:r>
      <w:r w:rsidR="0045198E" w:rsidRPr="000532D8">
        <w:rPr>
          <w:rFonts w:cs="Arial"/>
          <w:szCs w:val="24"/>
        </w:rPr>
        <w:t xml:space="preserve">in </w:t>
      </w:r>
      <w:r w:rsidR="0076309A" w:rsidRPr="000532D8">
        <w:rPr>
          <w:rFonts w:cs="Arial"/>
          <w:szCs w:val="24"/>
        </w:rPr>
        <w:t xml:space="preserve">its heads of argument.  </w:t>
      </w:r>
      <w:r w:rsidR="008A4066" w:rsidRPr="000532D8">
        <w:rPr>
          <w:rFonts w:cs="Arial"/>
          <w:szCs w:val="24"/>
        </w:rPr>
        <w:t xml:space="preserve">As the case developed Friedman’s </w:t>
      </w:r>
      <w:r w:rsidR="008A4066" w:rsidRPr="000532D8">
        <w:rPr>
          <w:rFonts w:cs="Arial"/>
          <w:szCs w:val="24"/>
        </w:rPr>
        <w:lastRenderedPageBreak/>
        <w:t xml:space="preserve">defence ultimately boiled down to a single point. </w:t>
      </w:r>
      <w:r w:rsidR="004933B4" w:rsidRPr="000532D8">
        <w:rPr>
          <w:rFonts w:cs="Arial"/>
          <w:szCs w:val="24"/>
        </w:rPr>
        <w:t xml:space="preserve"> His other defences had fallen away.</w:t>
      </w:r>
    </w:p>
    <w:p w14:paraId="276B3428" w14:textId="5E0A0A45" w:rsidR="004933B4" w:rsidRPr="000532D8" w:rsidRDefault="00CB6C81" w:rsidP="00CB6C81">
      <w:pPr>
        <w:pStyle w:val="a"/>
        <w:numPr>
          <w:ilvl w:val="0"/>
          <w:numId w:val="0"/>
        </w:numPr>
        <w:ind w:left="720" w:hanging="720"/>
        <w:rPr>
          <w:rFonts w:cs="Arial"/>
          <w:szCs w:val="24"/>
        </w:rPr>
      </w:pPr>
      <w:r w:rsidRPr="000532D8">
        <w:rPr>
          <w:rFonts w:cs="Arial"/>
          <w:szCs w:val="24"/>
        </w:rPr>
        <w:t>[10]</w:t>
      </w:r>
      <w:r w:rsidRPr="000532D8">
        <w:rPr>
          <w:rFonts w:cs="Arial"/>
          <w:szCs w:val="24"/>
        </w:rPr>
        <w:tab/>
      </w:r>
      <w:r w:rsidR="004933B4" w:rsidRPr="000532D8">
        <w:rPr>
          <w:rFonts w:cs="Arial"/>
          <w:szCs w:val="24"/>
        </w:rPr>
        <w:t>I</w:t>
      </w:r>
      <w:r w:rsidR="0076309A" w:rsidRPr="000532D8">
        <w:rPr>
          <w:rFonts w:cs="Arial"/>
          <w:szCs w:val="24"/>
        </w:rPr>
        <w:t>t appear</w:t>
      </w:r>
      <w:r w:rsidR="0016229E" w:rsidRPr="000532D8">
        <w:rPr>
          <w:rFonts w:cs="Arial"/>
          <w:szCs w:val="24"/>
        </w:rPr>
        <w:t>s</w:t>
      </w:r>
      <w:r w:rsidR="0076309A" w:rsidRPr="000532D8">
        <w:rPr>
          <w:rFonts w:cs="Arial"/>
          <w:szCs w:val="24"/>
        </w:rPr>
        <w:t xml:space="preserve"> that Friedman</w:t>
      </w:r>
      <w:r w:rsidR="004933B4" w:rsidRPr="000532D8">
        <w:rPr>
          <w:rFonts w:cs="Arial"/>
          <w:szCs w:val="24"/>
        </w:rPr>
        <w:t>’s</w:t>
      </w:r>
      <w:r w:rsidR="0076309A" w:rsidRPr="000532D8">
        <w:rPr>
          <w:rFonts w:cs="Arial"/>
          <w:szCs w:val="24"/>
        </w:rPr>
        <w:t xml:space="preserve"> </w:t>
      </w:r>
      <w:r w:rsidR="00127736" w:rsidRPr="000532D8">
        <w:rPr>
          <w:rFonts w:cs="Arial"/>
          <w:szCs w:val="24"/>
        </w:rPr>
        <w:t xml:space="preserve">remaining </w:t>
      </w:r>
      <w:r w:rsidR="004933B4" w:rsidRPr="000532D8">
        <w:rPr>
          <w:rFonts w:cs="Arial"/>
          <w:szCs w:val="24"/>
        </w:rPr>
        <w:t>single</w:t>
      </w:r>
      <w:r w:rsidR="0076309A" w:rsidRPr="000532D8">
        <w:rPr>
          <w:rFonts w:cs="Arial"/>
          <w:szCs w:val="24"/>
        </w:rPr>
        <w:t xml:space="preserve"> point </w:t>
      </w:r>
      <w:r w:rsidR="004933B4" w:rsidRPr="000532D8">
        <w:rPr>
          <w:rFonts w:cs="Arial"/>
          <w:szCs w:val="24"/>
        </w:rPr>
        <w:t xml:space="preserve">was </w:t>
      </w:r>
      <w:r w:rsidR="0076309A" w:rsidRPr="000532D8">
        <w:rPr>
          <w:rFonts w:cs="Arial"/>
          <w:szCs w:val="24"/>
        </w:rPr>
        <w:t>not completely covered by Standard Bank</w:t>
      </w:r>
      <w:r w:rsidR="00127736" w:rsidRPr="000532D8">
        <w:rPr>
          <w:rFonts w:cs="Arial"/>
          <w:szCs w:val="24"/>
        </w:rPr>
        <w:t xml:space="preserve">’s </w:t>
      </w:r>
      <w:r w:rsidR="0016229E" w:rsidRPr="000532D8">
        <w:rPr>
          <w:rFonts w:cs="Arial"/>
          <w:szCs w:val="24"/>
        </w:rPr>
        <w:t>heads of argument</w:t>
      </w:r>
      <w:r w:rsidR="0076309A" w:rsidRPr="000532D8">
        <w:rPr>
          <w:rFonts w:cs="Arial"/>
          <w:szCs w:val="24"/>
        </w:rPr>
        <w:t>.  So</w:t>
      </w:r>
      <w:r w:rsidR="004933B4" w:rsidRPr="000532D8">
        <w:rPr>
          <w:rFonts w:cs="Arial"/>
          <w:szCs w:val="24"/>
        </w:rPr>
        <w:t>,</w:t>
      </w:r>
      <w:r w:rsidR="0076309A" w:rsidRPr="000532D8">
        <w:rPr>
          <w:rFonts w:cs="Arial"/>
          <w:szCs w:val="24"/>
        </w:rPr>
        <w:t xml:space="preserve"> when Mr </w:t>
      </w:r>
      <w:r w:rsidR="0076309A" w:rsidRPr="000532D8">
        <w:rPr>
          <w:rFonts w:cs="Arial"/>
          <w:i/>
          <w:iCs/>
          <w:szCs w:val="24"/>
        </w:rPr>
        <w:t>Woodland</w:t>
      </w:r>
      <w:r w:rsidR="0076309A" w:rsidRPr="000532D8">
        <w:rPr>
          <w:rFonts w:cs="Arial"/>
          <w:szCs w:val="24"/>
        </w:rPr>
        <w:t xml:space="preserve"> SC (who appeared with Ms </w:t>
      </w:r>
      <w:r w:rsidR="0076309A" w:rsidRPr="000532D8">
        <w:rPr>
          <w:rFonts w:cs="Arial"/>
          <w:i/>
          <w:iCs/>
          <w:szCs w:val="24"/>
        </w:rPr>
        <w:t>Morgan</w:t>
      </w:r>
      <w:r w:rsidR="0076309A" w:rsidRPr="000532D8">
        <w:rPr>
          <w:rFonts w:cs="Arial"/>
          <w:szCs w:val="24"/>
        </w:rPr>
        <w:t xml:space="preserve">) on behalf of Standard Bank </w:t>
      </w:r>
      <w:r w:rsidR="00E21368" w:rsidRPr="000532D8">
        <w:rPr>
          <w:rFonts w:cs="Arial"/>
          <w:szCs w:val="24"/>
        </w:rPr>
        <w:t xml:space="preserve">commenced </w:t>
      </w:r>
      <w:r w:rsidR="001E06A6" w:rsidRPr="000532D8">
        <w:rPr>
          <w:rFonts w:cs="Arial"/>
          <w:szCs w:val="24"/>
        </w:rPr>
        <w:t xml:space="preserve">oral </w:t>
      </w:r>
      <w:r w:rsidR="00E21368" w:rsidRPr="000532D8">
        <w:rPr>
          <w:rFonts w:cs="Arial"/>
          <w:szCs w:val="24"/>
        </w:rPr>
        <w:t xml:space="preserve">argument </w:t>
      </w:r>
      <w:r w:rsidR="0076309A" w:rsidRPr="000532D8">
        <w:rPr>
          <w:rFonts w:cs="Arial"/>
          <w:szCs w:val="24"/>
        </w:rPr>
        <w:t>he developed what I may call a fresh argument</w:t>
      </w:r>
      <w:r w:rsidR="00E21368" w:rsidRPr="000532D8">
        <w:rPr>
          <w:rFonts w:cs="Arial"/>
          <w:szCs w:val="24"/>
        </w:rPr>
        <w:t xml:space="preserve"> </w:t>
      </w:r>
      <w:r w:rsidR="0016229E" w:rsidRPr="000532D8">
        <w:rPr>
          <w:rFonts w:cs="Arial"/>
          <w:szCs w:val="24"/>
        </w:rPr>
        <w:t xml:space="preserve">and handed in a bundle of authorities which included </w:t>
      </w:r>
      <w:r w:rsidR="00E21368" w:rsidRPr="000532D8">
        <w:rPr>
          <w:rFonts w:cs="Arial"/>
          <w:szCs w:val="24"/>
        </w:rPr>
        <w:t>three cases not previously referred to</w:t>
      </w:r>
      <w:r w:rsidR="004933B4" w:rsidRPr="000532D8">
        <w:rPr>
          <w:rFonts w:cs="Arial"/>
          <w:szCs w:val="24"/>
        </w:rPr>
        <w:t>, to deal with the single point</w:t>
      </w:r>
      <w:r w:rsidR="0076309A" w:rsidRPr="000532D8">
        <w:rPr>
          <w:rFonts w:cs="Arial"/>
          <w:szCs w:val="24"/>
        </w:rPr>
        <w:t xml:space="preserve">.  </w:t>
      </w:r>
      <w:r w:rsidR="00E21368" w:rsidRPr="000532D8">
        <w:rPr>
          <w:rFonts w:cs="Arial"/>
          <w:szCs w:val="24"/>
        </w:rPr>
        <w:t>Mr Woodland’s</w:t>
      </w:r>
      <w:r w:rsidR="0076309A" w:rsidRPr="000532D8">
        <w:rPr>
          <w:rFonts w:cs="Arial"/>
          <w:szCs w:val="24"/>
        </w:rPr>
        <w:t xml:space="preserve"> </w:t>
      </w:r>
      <w:r w:rsidR="0016229E" w:rsidRPr="000532D8">
        <w:rPr>
          <w:rFonts w:cs="Arial"/>
          <w:szCs w:val="24"/>
        </w:rPr>
        <w:t xml:space="preserve">fresh </w:t>
      </w:r>
      <w:r w:rsidR="004933B4" w:rsidRPr="000532D8">
        <w:rPr>
          <w:rFonts w:cs="Arial"/>
          <w:szCs w:val="24"/>
        </w:rPr>
        <w:t>argument</w:t>
      </w:r>
      <w:r w:rsidR="00E21368" w:rsidRPr="000532D8">
        <w:rPr>
          <w:rFonts w:cs="Arial"/>
          <w:szCs w:val="24"/>
        </w:rPr>
        <w:t xml:space="preserve"> seemed not to have</w:t>
      </w:r>
      <w:r w:rsidR="0076309A" w:rsidRPr="000532D8">
        <w:rPr>
          <w:rFonts w:cs="Arial"/>
          <w:szCs w:val="24"/>
        </w:rPr>
        <w:t xml:space="preserve"> arise</w:t>
      </w:r>
      <w:r w:rsidR="00E21368" w:rsidRPr="000532D8">
        <w:rPr>
          <w:rFonts w:cs="Arial"/>
          <w:szCs w:val="24"/>
        </w:rPr>
        <w:t>n</w:t>
      </w:r>
      <w:r w:rsidR="0076309A" w:rsidRPr="000532D8">
        <w:rPr>
          <w:rFonts w:cs="Arial"/>
          <w:szCs w:val="24"/>
        </w:rPr>
        <w:t xml:space="preserve"> on the papers and it was not contained in the heads of argument.   Mr </w:t>
      </w:r>
      <w:r w:rsidR="0076309A" w:rsidRPr="000532D8">
        <w:rPr>
          <w:rFonts w:cs="Arial"/>
          <w:i/>
          <w:iCs/>
          <w:szCs w:val="24"/>
        </w:rPr>
        <w:t>Goodman</w:t>
      </w:r>
      <w:r w:rsidR="0076309A" w:rsidRPr="000532D8">
        <w:rPr>
          <w:rFonts w:cs="Arial"/>
          <w:szCs w:val="24"/>
        </w:rPr>
        <w:t xml:space="preserve"> (who appeared with Mr </w:t>
      </w:r>
      <w:r w:rsidR="0076309A" w:rsidRPr="000532D8">
        <w:rPr>
          <w:rFonts w:cs="Arial"/>
          <w:i/>
          <w:iCs/>
          <w:szCs w:val="24"/>
        </w:rPr>
        <w:t>Crookes</w:t>
      </w:r>
      <w:r w:rsidR="0076309A" w:rsidRPr="000532D8">
        <w:rPr>
          <w:rFonts w:cs="Arial"/>
          <w:szCs w:val="24"/>
        </w:rPr>
        <w:t>) for Friedman</w:t>
      </w:r>
      <w:r w:rsidR="001E06A6" w:rsidRPr="000532D8">
        <w:rPr>
          <w:rFonts w:cs="Arial"/>
          <w:szCs w:val="24"/>
        </w:rPr>
        <w:t xml:space="preserve"> had been provided by Mr Woodland with the new cases on the previous day.</w:t>
      </w:r>
      <w:r w:rsidR="0076309A" w:rsidRPr="000532D8">
        <w:rPr>
          <w:rFonts w:cs="Arial"/>
          <w:szCs w:val="24"/>
        </w:rPr>
        <w:t xml:space="preserve"> </w:t>
      </w:r>
    </w:p>
    <w:p w14:paraId="0E3BB6D4" w14:textId="2349B74F" w:rsidR="0077087C" w:rsidRPr="000532D8" w:rsidRDefault="00CB6C81" w:rsidP="00CB6C81">
      <w:pPr>
        <w:pStyle w:val="a"/>
        <w:numPr>
          <w:ilvl w:val="0"/>
          <w:numId w:val="0"/>
        </w:numPr>
        <w:ind w:left="720" w:hanging="720"/>
        <w:rPr>
          <w:rFonts w:cs="Arial"/>
          <w:szCs w:val="24"/>
        </w:rPr>
      </w:pPr>
      <w:r w:rsidRPr="000532D8">
        <w:rPr>
          <w:rFonts w:cs="Arial"/>
          <w:szCs w:val="24"/>
        </w:rPr>
        <w:t>[11]</w:t>
      </w:r>
      <w:r w:rsidRPr="000532D8">
        <w:rPr>
          <w:rFonts w:cs="Arial"/>
          <w:szCs w:val="24"/>
        </w:rPr>
        <w:tab/>
      </w:r>
      <w:r w:rsidR="0076309A" w:rsidRPr="000532D8">
        <w:rPr>
          <w:rFonts w:cs="Arial"/>
          <w:szCs w:val="24"/>
        </w:rPr>
        <w:t xml:space="preserve">Mr Goodman, quite correctly in my view, suggested that </w:t>
      </w:r>
      <w:r w:rsidR="0016229E" w:rsidRPr="000532D8">
        <w:rPr>
          <w:rFonts w:cs="Arial"/>
          <w:szCs w:val="24"/>
        </w:rPr>
        <w:t>Friedman’s</w:t>
      </w:r>
      <w:r w:rsidR="0076309A" w:rsidRPr="000532D8">
        <w:rPr>
          <w:rFonts w:cs="Arial"/>
          <w:szCs w:val="24"/>
        </w:rPr>
        <w:t xml:space="preserve"> </w:t>
      </w:r>
      <w:r w:rsidR="00F2239E" w:rsidRPr="000532D8">
        <w:rPr>
          <w:rFonts w:cs="Arial"/>
          <w:szCs w:val="24"/>
        </w:rPr>
        <w:t xml:space="preserve">defence </w:t>
      </w:r>
      <w:r w:rsidR="0016229E" w:rsidRPr="000532D8">
        <w:rPr>
          <w:rFonts w:cs="Arial"/>
          <w:szCs w:val="24"/>
        </w:rPr>
        <w:t xml:space="preserve">to the monetary claim </w:t>
      </w:r>
      <w:r w:rsidR="00F2239E" w:rsidRPr="000532D8">
        <w:rPr>
          <w:rFonts w:cs="Arial"/>
          <w:szCs w:val="24"/>
        </w:rPr>
        <w:t xml:space="preserve">effectively </w:t>
      </w:r>
      <w:r w:rsidR="0076309A" w:rsidRPr="000532D8">
        <w:rPr>
          <w:rFonts w:cs="Arial"/>
          <w:szCs w:val="24"/>
        </w:rPr>
        <w:t xml:space="preserve">turned on what could be regarded </w:t>
      </w:r>
      <w:r w:rsidR="004933B4" w:rsidRPr="000532D8">
        <w:rPr>
          <w:rFonts w:cs="Arial"/>
          <w:szCs w:val="24"/>
        </w:rPr>
        <w:t xml:space="preserve">as the single point, which he described </w:t>
      </w:r>
      <w:r w:rsidR="0076309A" w:rsidRPr="000532D8">
        <w:rPr>
          <w:rFonts w:cs="Arial"/>
          <w:szCs w:val="24"/>
        </w:rPr>
        <w:t xml:space="preserve">as a point </w:t>
      </w:r>
      <w:r w:rsidR="0076309A" w:rsidRPr="000532D8">
        <w:rPr>
          <w:rFonts w:cs="Arial"/>
          <w:i/>
          <w:iCs/>
          <w:szCs w:val="24"/>
        </w:rPr>
        <w:t>in limine.</w:t>
      </w:r>
      <w:r w:rsidR="0076309A" w:rsidRPr="000532D8">
        <w:rPr>
          <w:rFonts w:cs="Arial"/>
          <w:szCs w:val="24"/>
        </w:rPr>
        <w:t xml:space="preserve"> </w:t>
      </w:r>
      <w:r w:rsidR="0077087C" w:rsidRPr="000532D8">
        <w:rPr>
          <w:rFonts w:cs="Arial"/>
          <w:szCs w:val="24"/>
        </w:rPr>
        <w:t xml:space="preserve">He </w:t>
      </w:r>
      <w:r w:rsidR="00F2239E" w:rsidRPr="000532D8">
        <w:rPr>
          <w:rFonts w:cs="Arial"/>
          <w:szCs w:val="24"/>
        </w:rPr>
        <w:t>accepted that he would be</w:t>
      </w:r>
      <w:r w:rsidR="0077087C" w:rsidRPr="000532D8">
        <w:rPr>
          <w:rFonts w:cs="Arial"/>
          <w:szCs w:val="24"/>
        </w:rPr>
        <w:t xml:space="preserve"> hard pressed to argue that the </w:t>
      </w:r>
      <w:r w:rsidR="000532D8" w:rsidRPr="000532D8">
        <w:rPr>
          <w:rFonts w:cs="Arial"/>
          <w:szCs w:val="24"/>
        </w:rPr>
        <w:t xml:space="preserve">monetary judgment claim should not </w:t>
      </w:r>
      <w:r w:rsidR="0077087C" w:rsidRPr="000532D8">
        <w:rPr>
          <w:rFonts w:cs="Arial"/>
          <w:szCs w:val="24"/>
        </w:rPr>
        <w:t xml:space="preserve">be granted </w:t>
      </w:r>
      <w:r w:rsidR="005C2AD6" w:rsidRPr="000532D8">
        <w:rPr>
          <w:rFonts w:cs="Arial"/>
          <w:szCs w:val="24"/>
        </w:rPr>
        <w:t xml:space="preserve">if the </w:t>
      </w:r>
      <w:r w:rsidR="005C2AD6" w:rsidRPr="000532D8">
        <w:rPr>
          <w:rFonts w:cs="Arial"/>
          <w:i/>
          <w:iCs/>
          <w:szCs w:val="24"/>
        </w:rPr>
        <w:t xml:space="preserve">in limine </w:t>
      </w:r>
      <w:r w:rsidR="005C2AD6" w:rsidRPr="000532D8">
        <w:rPr>
          <w:rFonts w:cs="Arial"/>
          <w:szCs w:val="24"/>
        </w:rPr>
        <w:t xml:space="preserve">point </w:t>
      </w:r>
      <w:r w:rsidR="000532D8" w:rsidRPr="000532D8">
        <w:rPr>
          <w:rFonts w:cs="Arial"/>
          <w:szCs w:val="24"/>
        </w:rPr>
        <w:t xml:space="preserve">didn’t </w:t>
      </w:r>
      <w:r w:rsidR="005C2AD6" w:rsidRPr="000532D8">
        <w:rPr>
          <w:rFonts w:cs="Arial"/>
          <w:szCs w:val="24"/>
        </w:rPr>
        <w:t>succeed</w:t>
      </w:r>
      <w:r w:rsidR="000532D8" w:rsidRPr="000532D8">
        <w:rPr>
          <w:rFonts w:cs="Arial"/>
          <w:szCs w:val="24"/>
        </w:rPr>
        <w:t xml:space="preserve">. </w:t>
      </w:r>
    </w:p>
    <w:p w14:paraId="35182254" w14:textId="7806431D" w:rsidR="009A72CF" w:rsidRPr="000532D8" w:rsidRDefault="00CB6C81" w:rsidP="00CB6C81">
      <w:pPr>
        <w:pStyle w:val="a"/>
        <w:numPr>
          <w:ilvl w:val="0"/>
          <w:numId w:val="0"/>
        </w:numPr>
        <w:ind w:left="720" w:hanging="720"/>
        <w:rPr>
          <w:rFonts w:cs="Arial"/>
          <w:szCs w:val="24"/>
        </w:rPr>
      </w:pPr>
      <w:r w:rsidRPr="000532D8">
        <w:rPr>
          <w:rFonts w:cs="Arial"/>
          <w:szCs w:val="24"/>
        </w:rPr>
        <w:t>[12]</w:t>
      </w:r>
      <w:r w:rsidRPr="000532D8">
        <w:rPr>
          <w:rFonts w:cs="Arial"/>
          <w:szCs w:val="24"/>
        </w:rPr>
        <w:tab/>
      </w:r>
      <w:r w:rsidR="0077087C" w:rsidRPr="000532D8">
        <w:rPr>
          <w:rFonts w:cs="Arial"/>
          <w:szCs w:val="24"/>
        </w:rPr>
        <w:t xml:space="preserve">The point </w:t>
      </w:r>
      <w:r w:rsidR="0077087C" w:rsidRPr="000532D8">
        <w:rPr>
          <w:rFonts w:cs="Arial"/>
          <w:i/>
          <w:iCs/>
          <w:szCs w:val="24"/>
        </w:rPr>
        <w:t>in limine</w:t>
      </w:r>
      <w:r w:rsidR="0077087C" w:rsidRPr="000532D8">
        <w:rPr>
          <w:rFonts w:cs="Arial"/>
          <w:szCs w:val="24"/>
        </w:rPr>
        <w:t xml:space="preserve"> amount</w:t>
      </w:r>
      <w:r w:rsidR="0045198E" w:rsidRPr="000532D8">
        <w:rPr>
          <w:rFonts w:cs="Arial"/>
          <w:szCs w:val="24"/>
        </w:rPr>
        <w:t>ed</w:t>
      </w:r>
      <w:r w:rsidR="0077087C" w:rsidRPr="000532D8">
        <w:rPr>
          <w:rFonts w:cs="Arial"/>
          <w:szCs w:val="24"/>
        </w:rPr>
        <w:t xml:space="preserve"> to what may be described as a “pleading point.”  Standard Bank, so it was argued, had not pleaded a case in its founding affidavit that should lead to the relief being granted.</w:t>
      </w:r>
    </w:p>
    <w:p w14:paraId="17DFA3ED" w14:textId="2F62AFFD" w:rsidR="009A72CF" w:rsidRPr="000532D8" w:rsidRDefault="00CB6C81" w:rsidP="00CB6C81">
      <w:pPr>
        <w:pStyle w:val="a"/>
        <w:numPr>
          <w:ilvl w:val="0"/>
          <w:numId w:val="0"/>
        </w:numPr>
        <w:ind w:left="720" w:hanging="720"/>
        <w:rPr>
          <w:rFonts w:cs="Arial"/>
          <w:szCs w:val="24"/>
        </w:rPr>
      </w:pPr>
      <w:r w:rsidRPr="000532D8">
        <w:rPr>
          <w:rFonts w:cs="Arial"/>
          <w:szCs w:val="24"/>
        </w:rPr>
        <w:t>[13]</w:t>
      </w:r>
      <w:r w:rsidRPr="000532D8">
        <w:rPr>
          <w:rFonts w:cs="Arial"/>
          <w:szCs w:val="24"/>
        </w:rPr>
        <w:tab/>
      </w:r>
      <w:r w:rsidR="00F2239E" w:rsidRPr="000532D8">
        <w:rPr>
          <w:rFonts w:cs="Arial"/>
          <w:szCs w:val="24"/>
        </w:rPr>
        <w:t>The point was that on 19 June 2023</w:t>
      </w:r>
      <w:r w:rsidR="008A4066" w:rsidRPr="000532D8">
        <w:rPr>
          <w:rFonts w:cs="Arial"/>
          <w:szCs w:val="24"/>
        </w:rPr>
        <w:t>,</w:t>
      </w:r>
      <w:r w:rsidR="00F2239E" w:rsidRPr="000532D8">
        <w:rPr>
          <w:rFonts w:cs="Arial"/>
          <w:szCs w:val="24"/>
        </w:rPr>
        <w:t xml:space="preserve"> when the application was launched</w:t>
      </w:r>
      <w:r w:rsidR="008A4066" w:rsidRPr="000532D8">
        <w:rPr>
          <w:rFonts w:cs="Arial"/>
          <w:szCs w:val="24"/>
        </w:rPr>
        <w:t>,</w:t>
      </w:r>
      <w:r w:rsidR="00F2239E" w:rsidRPr="000532D8">
        <w:rPr>
          <w:rFonts w:cs="Arial"/>
          <w:szCs w:val="24"/>
        </w:rPr>
        <w:t xml:space="preserve"> Standard Bank in its founding affidavit could not </w:t>
      </w:r>
      <w:r w:rsidR="0045198E" w:rsidRPr="000532D8">
        <w:rPr>
          <w:rFonts w:cs="Arial"/>
          <w:szCs w:val="24"/>
        </w:rPr>
        <w:t xml:space="preserve">– and </w:t>
      </w:r>
      <w:r w:rsidR="00F2239E" w:rsidRPr="000532D8">
        <w:rPr>
          <w:rFonts w:cs="Arial"/>
          <w:szCs w:val="24"/>
        </w:rPr>
        <w:t xml:space="preserve">did not </w:t>
      </w:r>
      <w:r w:rsidR="0045198E" w:rsidRPr="000532D8">
        <w:rPr>
          <w:rFonts w:cs="Arial"/>
          <w:szCs w:val="24"/>
        </w:rPr>
        <w:t xml:space="preserve">– demonstrate </w:t>
      </w:r>
      <w:r w:rsidR="00F2239E" w:rsidRPr="000532D8">
        <w:rPr>
          <w:rFonts w:cs="Arial"/>
          <w:szCs w:val="24"/>
        </w:rPr>
        <w:t>that Friedman was indebted to Standard Bank in any amount.</w:t>
      </w:r>
      <w:r w:rsidR="0016229E" w:rsidRPr="000532D8">
        <w:rPr>
          <w:rFonts w:cs="Arial"/>
          <w:szCs w:val="24"/>
        </w:rPr>
        <w:t xml:space="preserve">   </w:t>
      </w:r>
      <w:r w:rsidR="00F2239E" w:rsidRPr="000532D8">
        <w:rPr>
          <w:rFonts w:cs="Arial"/>
          <w:szCs w:val="24"/>
        </w:rPr>
        <w:t xml:space="preserve">The reason for this was that at that date it </w:t>
      </w:r>
      <w:r w:rsidR="008A4066" w:rsidRPr="000532D8">
        <w:rPr>
          <w:rFonts w:cs="Arial"/>
          <w:szCs w:val="24"/>
        </w:rPr>
        <w:t>was</w:t>
      </w:r>
      <w:r w:rsidR="00F2239E" w:rsidRPr="000532D8">
        <w:rPr>
          <w:rFonts w:cs="Arial"/>
          <w:szCs w:val="24"/>
        </w:rPr>
        <w:t xml:space="preserve"> not </w:t>
      </w:r>
      <w:r w:rsidR="008A4066" w:rsidRPr="000532D8">
        <w:rPr>
          <w:rFonts w:cs="Arial"/>
          <w:szCs w:val="24"/>
        </w:rPr>
        <w:t xml:space="preserve">proved that </w:t>
      </w:r>
      <w:r w:rsidR="00F2239E" w:rsidRPr="000532D8">
        <w:rPr>
          <w:rFonts w:cs="Arial"/>
          <w:szCs w:val="24"/>
        </w:rPr>
        <w:t xml:space="preserve">Urban Lime </w:t>
      </w:r>
      <w:r w:rsidR="008A4066" w:rsidRPr="000532D8">
        <w:rPr>
          <w:rFonts w:cs="Arial"/>
          <w:szCs w:val="24"/>
        </w:rPr>
        <w:t xml:space="preserve">was indebted to </w:t>
      </w:r>
      <w:r w:rsidR="008A4066" w:rsidRPr="000532D8">
        <w:rPr>
          <w:rFonts w:cs="Arial"/>
          <w:szCs w:val="24"/>
        </w:rPr>
        <w:lastRenderedPageBreak/>
        <w:t xml:space="preserve">Standard Bank.  Thus, if Urban Lime was not so indebted, Friedman was similarly not indebted. </w:t>
      </w:r>
      <w:r w:rsidR="00F2239E" w:rsidRPr="000532D8">
        <w:rPr>
          <w:rFonts w:cs="Arial"/>
          <w:szCs w:val="24"/>
        </w:rPr>
        <w:t xml:space="preserve"> </w:t>
      </w:r>
      <w:r w:rsidR="0077087C" w:rsidRPr="000532D8">
        <w:rPr>
          <w:rFonts w:cs="Arial"/>
          <w:szCs w:val="24"/>
        </w:rPr>
        <w:t xml:space="preserve">   </w:t>
      </w:r>
    </w:p>
    <w:p w14:paraId="7E5A0270" w14:textId="1559C18B" w:rsidR="0031583A" w:rsidRPr="000532D8" w:rsidRDefault="00CB6C81" w:rsidP="00CB6C81">
      <w:pPr>
        <w:pStyle w:val="a"/>
        <w:numPr>
          <w:ilvl w:val="0"/>
          <w:numId w:val="0"/>
        </w:numPr>
        <w:ind w:left="720" w:hanging="720"/>
        <w:rPr>
          <w:rFonts w:cs="Arial"/>
          <w:szCs w:val="24"/>
        </w:rPr>
      </w:pPr>
      <w:r w:rsidRPr="000532D8">
        <w:rPr>
          <w:rFonts w:cs="Arial"/>
          <w:szCs w:val="24"/>
        </w:rPr>
        <w:t>[14]</w:t>
      </w:r>
      <w:r w:rsidRPr="000532D8">
        <w:rPr>
          <w:rFonts w:cs="Arial"/>
          <w:szCs w:val="24"/>
        </w:rPr>
        <w:tab/>
      </w:r>
      <w:r w:rsidR="007C7FF5" w:rsidRPr="000532D8">
        <w:rPr>
          <w:rFonts w:cs="Arial"/>
          <w:szCs w:val="24"/>
        </w:rPr>
        <w:t>Friedman a</w:t>
      </w:r>
      <w:r w:rsidR="008420DE" w:rsidRPr="000532D8">
        <w:rPr>
          <w:rFonts w:cs="Arial"/>
          <w:szCs w:val="24"/>
        </w:rPr>
        <w:t>ccepts</w:t>
      </w:r>
      <w:r w:rsidR="007C7FF5" w:rsidRPr="000532D8">
        <w:rPr>
          <w:rFonts w:cs="Arial"/>
          <w:szCs w:val="24"/>
        </w:rPr>
        <w:t xml:space="preserve"> the Guarantee was executed by him.</w:t>
      </w:r>
      <w:r w:rsidR="009A72CF" w:rsidRPr="000532D8">
        <w:rPr>
          <w:rFonts w:cs="Arial"/>
          <w:szCs w:val="24"/>
        </w:rPr>
        <w:t xml:space="preserve">  He effectively accepted that were Urban Lime to have been indebted as at 19 June 2023 to Standard Bank under the loan </w:t>
      </w:r>
      <w:r w:rsidR="00903899" w:rsidRPr="000532D8">
        <w:rPr>
          <w:rFonts w:cs="Arial"/>
          <w:szCs w:val="24"/>
        </w:rPr>
        <w:t>f</w:t>
      </w:r>
      <w:r w:rsidR="009A72CF" w:rsidRPr="000532D8">
        <w:rPr>
          <w:rFonts w:cs="Arial"/>
          <w:szCs w:val="24"/>
        </w:rPr>
        <w:t xml:space="preserve">acility </w:t>
      </w:r>
      <w:r w:rsidR="00903899" w:rsidRPr="000532D8">
        <w:rPr>
          <w:rFonts w:cs="Arial"/>
          <w:szCs w:val="24"/>
        </w:rPr>
        <w:t xml:space="preserve">agreement </w:t>
      </w:r>
      <w:r w:rsidR="009A72CF" w:rsidRPr="000532D8">
        <w:rPr>
          <w:rFonts w:cs="Arial"/>
          <w:szCs w:val="24"/>
        </w:rPr>
        <w:t>for the amount (</w:t>
      </w:r>
      <w:r w:rsidR="00284B62" w:rsidRPr="000532D8">
        <w:rPr>
          <w:rFonts w:cs="Arial"/>
          <w:szCs w:val="24"/>
        </w:rPr>
        <w:t xml:space="preserve">some </w:t>
      </w:r>
      <w:r w:rsidR="009A72CF" w:rsidRPr="000532D8">
        <w:rPr>
          <w:rFonts w:cs="Arial"/>
          <w:szCs w:val="24"/>
        </w:rPr>
        <w:t xml:space="preserve">R 357 </w:t>
      </w:r>
      <w:r w:rsidR="00284B62" w:rsidRPr="000532D8">
        <w:rPr>
          <w:rFonts w:cs="Arial"/>
          <w:szCs w:val="24"/>
        </w:rPr>
        <w:t xml:space="preserve">million) as </w:t>
      </w:r>
      <w:r w:rsidR="009A72CF" w:rsidRPr="000532D8">
        <w:rPr>
          <w:rFonts w:cs="Arial"/>
          <w:szCs w:val="24"/>
        </w:rPr>
        <w:t>claimed by Standard Bank</w:t>
      </w:r>
      <w:r w:rsidR="00284B62" w:rsidRPr="000532D8">
        <w:rPr>
          <w:rFonts w:cs="Arial"/>
          <w:szCs w:val="24"/>
        </w:rPr>
        <w:t xml:space="preserve"> he would be liable for </w:t>
      </w:r>
      <w:r w:rsidR="0016229E" w:rsidRPr="000532D8">
        <w:rPr>
          <w:rFonts w:cs="Arial"/>
          <w:szCs w:val="24"/>
        </w:rPr>
        <w:t xml:space="preserve">the full amount of the </w:t>
      </w:r>
      <w:r w:rsidR="00284B62" w:rsidRPr="000532D8">
        <w:rPr>
          <w:rFonts w:cs="Arial"/>
          <w:szCs w:val="24"/>
        </w:rPr>
        <w:t>Guarantee.</w:t>
      </w:r>
      <w:r w:rsidR="009A72CF" w:rsidRPr="000532D8">
        <w:rPr>
          <w:rFonts w:cs="Arial"/>
          <w:szCs w:val="24"/>
        </w:rPr>
        <w:t xml:space="preserve"> </w:t>
      </w:r>
    </w:p>
    <w:p w14:paraId="25B1874A" w14:textId="46E33449" w:rsidR="00284B62" w:rsidRPr="000532D8" w:rsidRDefault="00CB6C81" w:rsidP="00CB6C81">
      <w:pPr>
        <w:pStyle w:val="a"/>
        <w:numPr>
          <w:ilvl w:val="0"/>
          <w:numId w:val="0"/>
        </w:numPr>
        <w:ind w:left="720" w:hanging="720"/>
        <w:rPr>
          <w:rFonts w:cs="Arial"/>
          <w:szCs w:val="24"/>
        </w:rPr>
      </w:pPr>
      <w:r w:rsidRPr="000532D8">
        <w:rPr>
          <w:rFonts w:cs="Arial"/>
          <w:szCs w:val="24"/>
        </w:rPr>
        <w:t>[15]</w:t>
      </w:r>
      <w:r w:rsidRPr="000532D8">
        <w:rPr>
          <w:rFonts w:cs="Arial"/>
          <w:szCs w:val="24"/>
        </w:rPr>
        <w:tab/>
      </w:r>
      <w:r w:rsidR="00284B62" w:rsidRPr="000532D8">
        <w:rPr>
          <w:rFonts w:cs="Arial"/>
          <w:szCs w:val="24"/>
        </w:rPr>
        <w:t>I a</w:t>
      </w:r>
      <w:r w:rsidR="0016229E" w:rsidRPr="000532D8">
        <w:rPr>
          <w:rFonts w:cs="Arial"/>
          <w:szCs w:val="24"/>
        </w:rPr>
        <w:t>gree</w:t>
      </w:r>
      <w:r w:rsidR="00284B62" w:rsidRPr="000532D8">
        <w:rPr>
          <w:rFonts w:cs="Arial"/>
          <w:szCs w:val="24"/>
        </w:rPr>
        <w:t xml:space="preserve"> with Friedman’s position.</w:t>
      </w:r>
    </w:p>
    <w:p w14:paraId="4FE785F9" w14:textId="17377DD6" w:rsidR="00895B88" w:rsidRPr="000532D8" w:rsidRDefault="00CB6C81" w:rsidP="00CB6C81">
      <w:pPr>
        <w:pStyle w:val="Numberin1"/>
        <w:numPr>
          <w:ilvl w:val="0"/>
          <w:numId w:val="0"/>
        </w:numPr>
        <w:ind w:left="720" w:hanging="720"/>
        <w:rPr>
          <w:szCs w:val="24"/>
        </w:rPr>
      </w:pPr>
      <w:r w:rsidRPr="000532D8">
        <w:rPr>
          <w:szCs w:val="24"/>
        </w:rPr>
        <w:t>[16]</w:t>
      </w:r>
      <w:r w:rsidRPr="000532D8">
        <w:rPr>
          <w:szCs w:val="24"/>
        </w:rPr>
        <w:tab/>
      </w:r>
      <w:r w:rsidR="007C7FF5" w:rsidRPr="000532D8">
        <w:rPr>
          <w:szCs w:val="24"/>
        </w:rPr>
        <w:t>The material terms of the Guarantee are</w:t>
      </w:r>
      <w:r w:rsidR="0021760D" w:rsidRPr="000532D8">
        <w:rPr>
          <w:szCs w:val="24"/>
        </w:rPr>
        <w:t xml:space="preserve">, </w:t>
      </w:r>
      <w:r w:rsidR="0021760D" w:rsidRPr="000532D8">
        <w:rPr>
          <w:i/>
          <w:iCs/>
          <w:szCs w:val="24"/>
        </w:rPr>
        <w:t>inter alia:</w:t>
      </w:r>
    </w:p>
    <w:p w14:paraId="2C6D8D43" w14:textId="39C00974" w:rsidR="00895B88" w:rsidRPr="000532D8" w:rsidRDefault="00CB6C81" w:rsidP="00CB6C81">
      <w:pPr>
        <w:pStyle w:val="Numberin1"/>
        <w:numPr>
          <w:ilvl w:val="0"/>
          <w:numId w:val="0"/>
        </w:numPr>
        <w:ind w:left="1985" w:hanging="851"/>
        <w:rPr>
          <w:szCs w:val="24"/>
        </w:rPr>
      </w:pPr>
      <w:r w:rsidRPr="000532D8">
        <w:rPr>
          <w:szCs w:val="24"/>
        </w:rPr>
        <w:t>16.1.</w:t>
      </w:r>
      <w:r w:rsidRPr="000532D8">
        <w:rPr>
          <w:szCs w:val="24"/>
        </w:rPr>
        <w:tab/>
      </w:r>
      <w:r w:rsidR="0021760D" w:rsidRPr="000532D8">
        <w:rPr>
          <w:rFonts w:cs="Arial"/>
          <w:szCs w:val="24"/>
        </w:rPr>
        <w:t xml:space="preserve">As a principal and primary obligation, Friedman irrevocably and unconditionally guaranteed the due and </w:t>
      </w:r>
      <w:r w:rsidR="00946B66" w:rsidRPr="000532D8">
        <w:rPr>
          <w:rFonts w:cs="Arial"/>
          <w:szCs w:val="24"/>
        </w:rPr>
        <w:t>full</w:t>
      </w:r>
      <w:r w:rsidR="0021760D" w:rsidRPr="000532D8">
        <w:rPr>
          <w:rFonts w:cs="Arial"/>
          <w:szCs w:val="24"/>
        </w:rPr>
        <w:t xml:space="preserve"> performance </w:t>
      </w:r>
      <w:r w:rsidR="00946B66" w:rsidRPr="000532D8">
        <w:rPr>
          <w:rFonts w:cs="Arial"/>
          <w:szCs w:val="24"/>
        </w:rPr>
        <w:t xml:space="preserve">by the Borrower (Urban Lime) </w:t>
      </w:r>
      <w:r w:rsidR="0021760D" w:rsidRPr="000532D8">
        <w:rPr>
          <w:rFonts w:cs="Arial"/>
          <w:szCs w:val="24"/>
        </w:rPr>
        <w:t xml:space="preserve">of the </w:t>
      </w:r>
      <w:r w:rsidR="00A93924" w:rsidRPr="000532D8">
        <w:rPr>
          <w:rFonts w:cs="Arial"/>
          <w:szCs w:val="24"/>
        </w:rPr>
        <w:t>“</w:t>
      </w:r>
      <w:r w:rsidR="0021760D" w:rsidRPr="000532D8">
        <w:rPr>
          <w:rFonts w:cs="Arial"/>
          <w:szCs w:val="24"/>
        </w:rPr>
        <w:t>Guaranteed Obligations</w:t>
      </w:r>
      <w:r w:rsidR="00A93924" w:rsidRPr="000532D8">
        <w:rPr>
          <w:rFonts w:cs="Arial"/>
          <w:szCs w:val="24"/>
        </w:rPr>
        <w:t>”</w:t>
      </w:r>
      <w:r w:rsidR="0021760D" w:rsidRPr="000532D8">
        <w:rPr>
          <w:rFonts w:cs="Arial"/>
          <w:szCs w:val="24"/>
        </w:rPr>
        <w:t>.</w:t>
      </w:r>
    </w:p>
    <w:p w14:paraId="6274B743" w14:textId="058E28CE" w:rsidR="00895B88" w:rsidRPr="000532D8" w:rsidRDefault="00CB6C81" w:rsidP="00CB6C81">
      <w:pPr>
        <w:pStyle w:val="Numberin1"/>
        <w:numPr>
          <w:ilvl w:val="0"/>
          <w:numId w:val="0"/>
        </w:numPr>
        <w:ind w:left="1985" w:hanging="851"/>
        <w:rPr>
          <w:szCs w:val="24"/>
        </w:rPr>
      </w:pPr>
      <w:r w:rsidRPr="000532D8">
        <w:rPr>
          <w:szCs w:val="24"/>
        </w:rPr>
        <w:t>16.2.</w:t>
      </w:r>
      <w:r w:rsidRPr="000532D8">
        <w:rPr>
          <w:szCs w:val="24"/>
        </w:rPr>
        <w:tab/>
      </w:r>
      <w:r w:rsidR="0021760D" w:rsidRPr="000532D8">
        <w:rPr>
          <w:rFonts w:cs="Arial"/>
          <w:szCs w:val="24"/>
        </w:rPr>
        <w:t xml:space="preserve">The </w:t>
      </w:r>
      <w:r w:rsidR="00895B88" w:rsidRPr="000532D8">
        <w:rPr>
          <w:rFonts w:cs="Arial"/>
          <w:szCs w:val="24"/>
        </w:rPr>
        <w:t>Guaranteed</w:t>
      </w:r>
      <w:r w:rsidR="0021760D" w:rsidRPr="000532D8">
        <w:rPr>
          <w:rFonts w:cs="Arial"/>
          <w:szCs w:val="24"/>
        </w:rPr>
        <w:t xml:space="preserve"> Obligations refer to all present and future indebtedness of whatsoever nature and howsoever arising which w</w:t>
      </w:r>
      <w:r w:rsidR="00235329" w:rsidRPr="000532D8">
        <w:rPr>
          <w:rFonts w:cs="Arial"/>
          <w:szCs w:val="24"/>
        </w:rPr>
        <w:t>as</w:t>
      </w:r>
      <w:r w:rsidR="0021760D" w:rsidRPr="000532D8">
        <w:rPr>
          <w:rFonts w:cs="Arial"/>
          <w:szCs w:val="24"/>
        </w:rPr>
        <w:t xml:space="preserve"> or may become owing by Urban Lime to </w:t>
      </w:r>
      <w:r w:rsidR="00350905" w:rsidRPr="000532D8">
        <w:rPr>
          <w:rFonts w:cs="Arial"/>
          <w:szCs w:val="24"/>
        </w:rPr>
        <w:t xml:space="preserve">Standard </w:t>
      </w:r>
      <w:r w:rsidR="0016229E" w:rsidRPr="000532D8">
        <w:rPr>
          <w:rFonts w:cs="Arial"/>
          <w:szCs w:val="24"/>
        </w:rPr>
        <w:t>B</w:t>
      </w:r>
      <w:r w:rsidR="00350905" w:rsidRPr="000532D8">
        <w:rPr>
          <w:rFonts w:cs="Arial"/>
          <w:szCs w:val="24"/>
        </w:rPr>
        <w:t>ank</w:t>
      </w:r>
      <w:r w:rsidR="0021760D" w:rsidRPr="000532D8">
        <w:rPr>
          <w:rFonts w:cs="Arial"/>
          <w:szCs w:val="24"/>
        </w:rPr>
        <w:t>, up to the amount of R110 million, plus interest and certain costs, fees, charges and expenses.</w:t>
      </w:r>
    </w:p>
    <w:p w14:paraId="51ED7FC1" w14:textId="481FC324" w:rsidR="00895B88" w:rsidRPr="000532D8" w:rsidRDefault="00CB6C81" w:rsidP="00CB6C81">
      <w:pPr>
        <w:pStyle w:val="Numberin1"/>
        <w:numPr>
          <w:ilvl w:val="0"/>
          <w:numId w:val="0"/>
        </w:numPr>
        <w:ind w:left="1985" w:hanging="851"/>
        <w:rPr>
          <w:szCs w:val="24"/>
        </w:rPr>
      </w:pPr>
      <w:r w:rsidRPr="000532D8">
        <w:rPr>
          <w:szCs w:val="24"/>
        </w:rPr>
        <w:t>16.3.</w:t>
      </w:r>
      <w:r w:rsidRPr="000532D8">
        <w:rPr>
          <w:szCs w:val="24"/>
        </w:rPr>
        <w:tab/>
      </w:r>
      <w:r w:rsidR="0036111C" w:rsidRPr="000532D8">
        <w:rPr>
          <w:rFonts w:cs="Arial"/>
          <w:szCs w:val="24"/>
        </w:rPr>
        <w:t>The Guaranteed Obligations include all items which would be Guaranteed Obligations but for the winding-up</w:t>
      </w:r>
      <w:r w:rsidR="0051778E" w:rsidRPr="000532D8">
        <w:rPr>
          <w:rFonts w:cs="Arial"/>
          <w:szCs w:val="24"/>
        </w:rPr>
        <w:t xml:space="preserve"> or </w:t>
      </w:r>
      <w:r w:rsidR="0036111C" w:rsidRPr="000532D8">
        <w:rPr>
          <w:rFonts w:cs="Arial"/>
          <w:szCs w:val="24"/>
        </w:rPr>
        <w:t xml:space="preserve">business rescue of </w:t>
      </w:r>
      <w:r w:rsidR="00A93924" w:rsidRPr="000532D8">
        <w:rPr>
          <w:rFonts w:cs="Arial"/>
          <w:szCs w:val="24"/>
        </w:rPr>
        <w:t>Urban Lime</w:t>
      </w:r>
      <w:r w:rsidR="0036111C" w:rsidRPr="000532D8">
        <w:rPr>
          <w:rFonts w:cs="Arial"/>
          <w:szCs w:val="24"/>
        </w:rPr>
        <w:t>.</w:t>
      </w:r>
    </w:p>
    <w:p w14:paraId="120D5AEB" w14:textId="6D288FC1" w:rsidR="00895B88" w:rsidRPr="000532D8" w:rsidRDefault="00CB6C81" w:rsidP="00CB6C81">
      <w:pPr>
        <w:pStyle w:val="Numberin1"/>
        <w:numPr>
          <w:ilvl w:val="0"/>
          <w:numId w:val="0"/>
        </w:numPr>
        <w:ind w:left="1985" w:hanging="851"/>
        <w:rPr>
          <w:szCs w:val="24"/>
        </w:rPr>
      </w:pPr>
      <w:r w:rsidRPr="000532D8">
        <w:rPr>
          <w:szCs w:val="24"/>
        </w:rPr>
        <w:t>16.4.</w:t>
      </w:r>
      <w:r w:rsidRPr="000532D8">
        <w:rPr>
          <w:szCs w:val="24"/>
        </w:rPr>
        <w:tab/>
      </w:r>
      <w:r w:rsidR="0021760D" w:rsidRPr="000532D8">
        <w:rPr>
          <w:rFonts w:cs="Arial"/>
          <w:szCs w:val="24"/>
        </w:rPr>
        <w:t xml:space="preserve">Friedman undertook to pay </w:t>
      </w:r>
      <w:r w:rsidR="008420DE" w:rsidRPr="000532D8">
        <w:rPr>
          <w:rFonts w:cs="Arial"/>
          <w:szCs w:val="24"/>
        </w:rPr>
        <w:t>Standard Bank,</w:t>
      </w:r>
      <w:r w:rsidR="0021760D" w:rsidRPr="000532D8">
        <w:rPr>
          <w:rFonts w:cs="Arial"/>
          <w:szCs w:val="24"/>
        </w:rPr>
        <w:t xml:space="preserve"> </w:t>
      </w:r>
      <w:r w:rsidR="00964198" w:rsidRPr="000532D8">
        <w:rPr>
          <w:rFonts w:cs="Arial"/>
          <w:i/>
          <w:iCs/>
          <w:szCs w:val="24"/>
        </w:rPr>
        <w:t>inter alia</w:t>
      </w:r>
      <w:r w:rsidR="008420DE" w:rsidRPr="000532D8">
        <w:rPr>
          <w:rFonts w:cs="Arial"/>
          <w:i/>
          <w:iCs/>
          <w:szCs w:val="24"/>
        </w:rPr>
        <w:t>,</w:t>
      </w:r>
      <w:r w:rsidR="00964198" w:rsidRPr="000532D8">
        <w:rPr>
          <w:rFonts w:cs="Arial"/>
          <w:szCs w:val="24"/>
        </w:rPr>
        <w:t xml:space="preserve"> </w:t>
      </w:r>
      <w:r w:rsidR="0021760D" w:rsidRPr="000532D8">
        <w:rPr>
          <w:rFonts w:cs="Arial"/>
          <w:szCs w:val="24"/>
        </w:rPr>
        <w:t xml:space="preserve">whenever Urban Lime did not pay any amount or perform any obligation as </w:t>
      </w:r>
      <w:r w:rsidR="0021760D" w:rsidRPr="000532D8">
        <w:rPr>
          <w:rFonts w:cs="Arial"/>
          <w:szCs w:val="24"/>
        </w:rPr>
        <w:lastRenderedPageBreak/>
        <w:t xml:space="preserve">Borrower in terms of the </w:t>
      </w:r>
      <w:r w:rsidR="00B8668C" w:rsidRPr="000532D8">
        <w:rPr>
          <w:rFonts w:cs="Arial"/>
          <w:szCs w:val="24"/>
        </w:rPr>
        <w:t xml:space="preserve">Urban Lime </w:t>
      </w:r>
      <w:r w:rsidR="0021760D" w:rsidRPr="000532D8">
        <w:rPr>
          <w:rFonts w:cs="Arial"/>
          <w:szCs w:val="24"/>
        </w:rPr>
        <w:t>Facility Agreement</w:t>
      </w:r>
      <w:r w:rsidR="00946B66" w:rsidRPr="000532D8">
        <w:rPr>
          <w:rFonts w:cs="Arial"/>
          <w:szCs w:val="24"/>
        </w:rPr>
        <w:t xml:space="preserve"> (“</w:t>
      </w:r>
      <w:r w:rsidR="00946B66" w:rsidRPr="000532D8">
        <w:rPr>
          <w:rFonts w:cs="Arial"/>
          <w:i/>
          <w:iCs/>
          <w:szCs w:val="24"/>
        </w:rPr>
        <w:t>the Facility Agreement</w:t>
      </w:r>
      <w:r w:rsidR="00946B66" w:rsidRPr="000532D8">
        <w:rPr>
          <w:rFonts w:cs="Arial"/>
          <w:szCs w:val="24"/>
        </w:rPr>
        <w:t>”)</w:t>
      </w:r>
      <w:r w:rsidR="0021760D" w:rsidRPr="000532D8">
        <w:rPr>
          <w:rFonts w:cs="Arial"/>
          <w:szCs w:val="24"/>
        </w:rPr>
        <w:t>.</w:t>
      </w:r>
    </w:p>
    <w:p w14:paraId="77FC9FFC" w14:textId="685DAFA7" w:rsidR="0051778E" w:rsidRPr="000532D8" w:rsidRDefault="00CB6C81" w:rsidP="00CB6C81">
      <w:pPr>
        <w:pStyle w:val="Numberin1"/>
        <w:numPr>
          <w:ilvl w:val="0"/>
          <w:numId w:val="0"/>
        </w:numPr>
        <w:ind w:left="1985" w:hanging="851"/>
        <w:rPr>
          <w:szCs w:val="24"/>
        </w:rPr>
      </w:pPr>
      <w:r w:rsidRPr="000532D8">
        <w:rPr>
          <w:szCs w:val="24"/>
        </w:rPr>
        <w:t>16.5.</w:t>
      </w:r>
      <w:r w:rsidRPr="000532D8">
        <w:rPr>
          <w:szCs w:val="24"/>
        </w:rPr>
        <w:tab/>
      </w:r>
      <w:r w:rsidR="0051778E" w:rsidRPr="000532D8">
        <w:rPr>
          <w:rFonts w:cs="Arial"/>
          <w:szCs w:val="24"/>
        </w:rPr>
        <w:t xml:space="preserve">A default on the </w:t>
      </w:r>
      <w:r w:rsidR="00903899" w:rsidRPr="000532D8">
        <w:rPr>
          <w:rFonts w:cs="Arial"/>
          <w:szCs w:val="24"/>
        </w:rPr>
        <w:t>f</w:t>
      </w:r>
      <w:r w:rsidR="0051778E" w:rsidRPr="000532D8">
        <w:rPr>
          <w:rFonts w:cs="Arial"/>
          <w:szCs w:val="24"/>
        </w:rPr>
        <w:t xml:space="preserve">acility </w:t>
      </w:r>
      <w:r w:rsidR="00903899" w:rsidRPr="000532D8">
        <w:rPr>
          <w:rFonts w:cs="Arial"/>
          <w:szCs w:val="24"/>
        </w:rPr>
        <w:t>a</w:t>
      </w:r>
      <w:r w:rsidR="0051778E" w:rsidRPr="000532D8">
        <w:rPr>
          <w:rFonts w:cs="Arial"/>
          <w:szCs w:val="24"/>
        </w:rPr>
        <w:t>greement is defined as a default on the Guarantee.</w:t>
      </w:r>
    </w:p>
    <w:p w14:paraId="15797A05" w14:textId="646095BF" w:rsidR="00130B09" w:rsidRPr="000532D8" w:rsidRDefault="00CB6C81" w:rsidP="00CB6C81">
      <w:pPr>
        <w:pStyle w:val="Numberin1"/>
        <w:numPr>
          <w:ilvl w:val="0"/>
          <w:numId w:val="0"/>
        </w:numPr>
        <w:ind w:left="720" w:hanging="720"/>
        <w:rPr>
          <w:rFonts w:cs="Arial"/>
          <w:szCs w:val="24"/>
        </w:rPr>
      </w:pPr>
      <w:r w:rsidRPr="000532D8">
        <w:rPr>
          <w:rFonts w:cs="Arial"/>
          <w:szCs w:val="24"/>
        </w:rPr>
        <w:t>[17]</w:t>
      </w:r>
      <w:r w:rsidRPr="000532D8">
        <w:rPr>
          <w:rFonts w:cs="Arial"/>
          <w:szCs w:val="24"/>
        </w:rPr>
        <w:tab/>
      </w:r>
      <w:r w:rsidR="008420DE" w:rsidRPr="000532D8">
        <w:rPr>
          <w:rFonts w:cs="Arial"/>
          <w:szCs w:val="24"/>
        </w:rPr>
        <w:t xml:space="preserve">Standard Bank </w:t>
      </w:r>
      <w:r w:rsidR="0016229E" w:rsidRPr="000532D8">
        <w:rPr>
          <w:rFonts w:cs="Arial"/>
          <w:szCs w:val="24"/>
        </w:rPr>
        <w:t xml:space="preserve">correctly states </w:t>
      </w:r>
      <w:r w:rsidR="00E57C75" w:rsidRPr="000532D8">
        <w:rPr>
          <w:rFonts w:cs="Arial"/>
          <w:szCs w:val="24"/>
        </w:rPr>
        <w:t>the Guarantee gives rise to a principal obligation.</w:t>
      </w:r>
    </w:p>
    <w:p w14:paraId="58259E29" w14:textId="73CEECD5" w:rsidR="008420DE" w:rsidRPr="000532D8" w:rsidRDefault="00CB6C81" w:rsidP="00CB6C81">
      <w:pPr>
        <w:pStyle w:val="Numberin1"/>
        <w:numPr>
          <w:ilvl w:val="0"/>
          <w:numId w:val="0"/>
        </w:numPr>
        <w:ind w:left="720" w:hanging="720"/>
        <w:rPr>
          <w:rFonts w:cs="Arial"/>
          <w:szCs w:val="24"/>
        </w:rPr>
      </w:pPr>
      <w:r w:rsidRPr="000532D8">
        <w:rPr>
          <w:rFonts w:cs="Arial"/>
          <w:szCs w:val="24"/>
        </w:rPr>
        <w:t>[18]</w:t>
      </w:r>
      <w:r w:rsidRPr="000532D8">
        <w:rPr>
          <w:rFonts w:cs="Arial"/>
          <w:szCs w:val="24"/>
        </w:rPr>
        <w:tab/>
      </w:r>
      <w:r w:rsidR="00130B09" w:rsidRPr="000532D8">
        <w:rPr>
          <w:rFonts w:cs="Arial"/>
          <w:szCs w:val="24"/>
        </w:rPr>
        <w:t xml:space="preserve">The nature of </w:t>
      </w:r>
      <w:r w:rsidR="00A7479B" w:rsidRPr="000532D8">
        <w:rPr>
          <w:rFonts w:cs="Arial"/>
          <w:szCs w:val="24"/>
        </w:rPr>
        <w:t xml:space="preserve">a </w:t>
      </w:r>
      <w:r w:rsidR="00130B09" w:rsidRPr="000532D8">
        <w:rPr>
          <w:rFonts w:cs="Arial"/>
          <w:szCs w:val="24"/>
        </w:rPr>
        <w:t xml:space="preserve">guarantee </w:t>
      </w:r>
      <w:r w:rsidR="008420DE" w:rsidRPr="000532D8">
        <w:rPr>
          <w:rFonts w:cs="Arial"/>
          <w:szCs w:val="24"/>
        </w:rPr>
        <w:t xml:space="preserve">is to </w:t>
      </w:r>
      <w:r w:rsidR="00130B09" w:rsidRPr="000532D8">
        <w:rPr>
          <w:rFonts w:cs="Arial"/>
          <w:szCs w:val="24"/>
        </w:rPr>
        <w:t xml:space="preserve">be determined by its terms. </w:t>
      </w:r>
    </w:p>
    <w:p w14:paraId="367F064D" w14:textId="231EE89F" w:rsidR="00187E96" w:rsidRPr="000532D8" w:rsidRDefault="00CB6C81" w:rsidP="00CB6C81">
      <w:pPr>
        <w:pStyle w:val="Numberin1"/>
        <w:numPr>
          <w:ilvl w:val="0"/>
          <w:numId w:val="0"/>
        </w:numPr>
        <w:ind w:left="720" w:hanging="720"/>
        <w:rPr>
          <w:rFonts w:cs="Arial"/>
          <w:szCs w:val="24"/>
        </w:rPr>
      </w:pPr>
      <w:r w:rsidRPr="000532D8">
        <w:rPr>
          <w:rFonts w:cs="Arial"/>
          <w:szCs w:val="24"/>
        </w:rPr>
        <w:t>[19]</w:t>
      </w:r>
      <w:r w:rsidRPr="000532D8">
        <w:rPr>
          <w:rFonts w:cs="Arial"/>
          <w:szCs w:val="24"/>
        </w:rPr>
        <w:tab/>
      </w:r>
      <w:r w:rsidR="00130B09" w:rsidRPr="000532D8">
        <w:rPr>
          <w:rFonts w:cs="Arial"/>
          <w:szCs w:val="24"/>
        </w:rPr>
        <w:t>The Guarantee is not a suretyship but a principal undertaking.</w:t>
      </w:r>
      <w:r w:rsidR="00130B09" w:rsidRPr="000532D8">
        <w:rPr>
          <w:rStyle w:val="FootnoteReference"/>
          <w:rFonts w:cs="Arial"/>
          <w:szCs w:val="24"/>
        </w:rPr>
        <w:footnoteReference w:id="5"/>
      </w:r>
      <w:r w:rsidR="00130B09" w:rsidRPr="000532D8">
        <w:rPr>
          <w:rFonts w:cs="Arial"/>
          <w:szCs w:val="24"/>
        </w:rPr>
        <w:t xml:space="preserve"> </w:t>
      </w:r>
      <w:r w:rsidR="00E57C75" w:rsidRPr="000532D8">
        <w:rPr>
          <w:rFonts w:cs="Arial"/>
          <w:szCs w:val="24"/>
        </w:rPr>
        <w:t xml:space="preserve"> </w:t>
      </w:r>
    </w:p>
    <w:p w14:paraId="2DB35184" w14:textId="0C8345F1" w:rsidR="000447CC" w:rsidRPr="000532D8" w:rsidRDefault="00CB6C81" w:rsidP="00CB6C81">
      <w:pPr>
        <w:pStyle w:val="Numberin1"/>
        <w:numPr>
          <w:ilvl w:val="0"/>
          <w:numId w:val="0"/>
        </w:numPr>
        <w:ind w:left="720" w:hanging="720"/>
        <w:rPr>
          <w:rFonts w:cs="Arial"/>
          <w:szCs w:val="24"/>
        </w:rPr>
      </w:pPr>
      <w:r w:rsidRPr="000532D8">
        <w:rPr>
          <w:rFonts w:cs="Arial"/>
          <w:szCs w:val="24"/>
        </w:rPr>
        <w:t>[20]</w:t>
      </w:r>
      <w:r w:rsidRPr="000532D8">
        <w:rPr>
          <w:rFonts w:cs="Arial"/>
          <w:szCs w:val="24"/>
        </w:rPr>
        <w:tab/>
      </w:r>
      <w:r w:rsidR="00187E96" w:rsidRPr="000532D8">
        <w:rPr>
          <w:rFonts w:cs="Arial"/>
          <w:szCs w:val="24"/>
        </w:rPr>
        <w:t>In this regard, a</w:t>
      </w:r>
      <w:r w:rsidR="00E57C75" w:rsidRPr="000532D8">
        <w:rPr>
          <w:rFonts w:cs="Arial"/>
          <w:szCs w:val="24"/>
        </w:rPr>
        <w:t xml:space="preserve"> guarantor’s liability is independent of that of the principal debtor, </w:t>
      </w:r>
      <w:r w:rsidR="00E228BD" w:rsidRPr="000532D8">
        <w:rPr>
          <w:rFonts w:cs="Arial"/>
          <w:szCs w:val="24"/>
        </w:rPr>
        <w:t>(</w:t>
      </w:r>
      <w:r w:rsidR="00681922" w:rsidRPr="000532D8">
        <w:rPr>
          <w:rFonts w:cs="Arial"/>
          <w:szCs w:val="24"/>
        </w:rPr>
        <w:t xml:space="preserve">in this case </w:t>
      </w:r>
      <w:r w:rsidR="00E57C75" w:rsidRPr="000532D8">
        <w:rPr>
          <w:rFonts w:cs="Arial"/>
          <w:szCs w:val="24"/>
        </w:rPr>
        <w:t>Urban Lime</w:t>
      </w:r>
      <w:r w:rsidR="00E228BD" w:rsidRPr="000532D8">
        <w:rPr>
          <w:rFonts w:cs="Arial"/>
          <w:szCs w:val="24"/>
        </w:rPr>
        <w:t>)</w:t>
      </w:r>
      <w:r w:rsidR="0016229E" w:rsidRPr="000532D8">
        <w:rPr>
          <w:rFonts w:cs="Arial"/>
          <w:szCs w:val="24"/>
        </w:rPr>
        <w:t>,</w:t>
      </w:r>
      <w:r w:rsidR="00E57C75" w:rsidRPr="000532D8">
        <w:rPr>
          <w:rFonts w:cs="Arial"/>
          <w:szCs w:val="24"/>
        </w:rPr>
        <w:t xml:space="preserve"> and wholly independent of the underlying loan agreement.  Caney</w:t>
      </w:r>
      <w:r w:rsidR="00B2232C" w:rsidRPr="000532D8">
        <w:rPr>
          <w:rStyle w:val="FootnoteReference"/>
          <w:rFonts w:cs="Arial"/>
          <w:szCs w:val="24"/>
        </w:rPr>
        <w:footnoteReference w:id="6"/>
      </w:r>
      <w:r w:rsidR="00E57C75" w:rsidRPr="000532D8">
        <w:rPr>
          <w:rFonts w:cs="Arial"/>
          <w:szCs w:val="24"/>
        </w:rPr>
        <w:t xml:space="preserve"> explains </w:t>
      </w:r>
      <w:r w:rsidR="00187E96" w:rsidRPr="000532D8">
        <w:rPr>
          <w:rFonts w:cs="Arial"/>
          <w:szCs w:val="24"/>
        </w:rPr>
        <w:t xml:space="preserve">this as </w:t>
      </w:r>
      <w:r w:rsidR="00E57C75" w:rsidRPr="000532D8">
        <w:rPr>
          <w:rFonts w:cs="Arial"/>
          <w:szCs w:val="24"/>
        </w:rPr>
        <w:t xml:space="preserve">one of the differences between suretyship and guarantee: </w:t>
      </w:r>
    </w:p>
    <w:p w14:paraId="7335B501" w14:textId="477EA284" w:rsidR="00E228BD" w:rsidRPr="000532D8" w:rsidRDefault="00E57C75" w:rsidP="00895B88">
      <w:pPr>
        <w:pStyle w:val="Numberin1"/>
        <w:numPr>
          <w:ilvl w:val="0"/>
          <w:numId w:val="0"/>
        </w:numPr>
        <w:spacing w:line="360" w:lineRule="auto"/>
        <w:ind w:left="1440"/>
        <w:rPr>
          <w:rFonts w:cs="Arial"/>
          <w:szCs w:val="24"/>
        </w:rPr>
      </w:pPr>
      <w:r w:rsidRPr="000532D8">
        <w:rPr>
          <w:rFonts w:cs="Arial"/>
          <w:i/>
          <w:iCs/>
          <w:szCs w:val="24"/>
        </w:rPr>
        <w:t>“</w:t>
      </w:r>
      <w:r w:rsidR="00681922" w:rsidRPr="000532D8">
        <w:rPr>
          <w:rFonts w:cs="Arial"/>
          <w:i/>
          <w:iCs/>
          <w:szCs w:val="24"/>
        </w:rPr>
        <w:t>[T]</w:t>
      </w:r>
      <w:r w:rsidRPr="000532D8">
        <w:rPr>
          <w:rFonts w:cs="Arial"/>
          <w:i/>
          <w:iCs/>
          <w:szCs w:val="24"/>
        </w:rPr>
        <w:t>he guarantor’s obligation, as an obligation independent of that of the debtor, is to indemnify the creditor in respect of losses suffered through the debtor’s non-performance, whereas the surety, as we have seen, is only liable for losses resulting from the debtor’s breach of contract</w:t>
      </w:r>
      <w:r w:rsidR="00FB6CAE" w:rsidRPr="000532D8">
        <w:rPr>
          <w:rFonts w:cs="Arial"/>
          <w:i/>
          <w:iCs/>
          <w:szCs w:val="24"/>
        </w:rPr>
        <w:t>.</w:t>
      </w:r>
      <w:r w:rsidR="00681922" w:rsidRPr="000532D8">
        <w:rPr>
          <w:rFonts w:cs="Arial"/>
          <w:i/>
          <w:iCs/>
          <w:szCs w:val="24"/>
        </w:rPr>
        <w:t xml:space="preserve"> Thus if the creditor suffers grave losses when it turns out that the debtor’s contract is invalid, the guarantor’s obligation remains in force and he will have to pay those losses but the surety’s obligation falls away and he will not have to pay a penny.”</w:t>
      </w:r>
    </w:p>
    <w:p w14:paraId="645B37AD" w14:textId="7DE670D3" w:rsidR="0016229E" w:rsidRPr="000532D8" w:rsidRDefault="00CB6C81" w:rsidP="00CB6C81">
      <w:pPr>
        <w:pStyle w:val="Numberin1"/>
        <w:numPr>
          <w:ilvl w:val="0"/>
          <w:numId w:val="0"/>
        </w:numPr>
        <w:ind w:left="720" w:hanging="720"/>
        <w:rPr>
          <w:rFonts w:cs="Arial"/>
          <w:szCs w:val="24"/>
        </w:rPr>
      </w:pPr>
      <w:r w:rsidRPr="000532D8">
        <w:rPr>
          <w:rFonts w:cs="Arial"/>
          <w:szCs w:val="24"/>
        </w:rPr>
        <w:t>[21]</w:t>
      </w:r>
      <w:r w:rsidRPr="000532D8">
        <w:rPr>
          <w:rFonts w:cs="Arial"/>
          <w:szCs w:val="24"/>
        </w:rPr>
        <w:tab/>
      </w:r>
      <w:r w:rsidR="00681922" w:rsidRPr="000532D8">
        <w:rPr>
          <w:rFonts w:cs="Arial"/>
          <w:szCs w:val="24"/>
        </w:rPr>
        <w:t xml:space="preserve">It is apparent from the terms of the Guarantee, </w:t>
      </w:r>
      <w:r w:rsidR="00B2232C" w:rsidRPr="000532D8">
        <w:rPr>
          <w:rFonts w:cs="Arial"/>
          <w:szCs w:val="24"/>
        </w:rPr>
        <w:t xml:space="preserve">in particular </w:t>
      </w:r>
      <w:r w:rsidR="00681922" w:rsidRPr="000532D8">
        <w:rPr>
          <w:rFonts w:cs="Arial"/>
          <w:szCs w:val="24"/>
        </w:rPr>
        <w:t xml:space="preserve">clause 4.1, that the Guarantee is </w:t>
      </w:r>
      <w:r w:rsidR="00E228BD" w:rsidRPr="000532D8">
        <w:rPr>
          <w:rFonts w:cs="Arial"/>
          <w:szCs w:val="24"/>
        </w:rPr>
        <w:t>an</w:t>
      </w:r>
      <w:r w:rsidR="00681922" w:rsidRPr="000532D8">
        <w:rPr>
          <w:rFonts w:cs="Arial"/>
          <w:szCs w:val="24"/>
        </w:rPr>
        <w:t xml:space="preserve"> agreement indemnifying </w:t>
      </w:r>
      <w:r w:rsidR="00350905" w:rsidRPr="000532D8">
        <w:rPr>
          <w:rFonts w:cs="Arial"/>
          <w:szCs w:val="24"/>
        </w:rPr>
        <w:t>Standard Bank</w:t>
      </w:r>
      <w:r w:rsidR="00681922" w:rsidRPr="000532D8">
        <w:rPr>
          <w:rFonts w:cs="Arial"/>
          <w:szCs w:val="24"/>
        </w:rPr>
        <w:t xml:space="preserve"> from losses caused to </w:t>
      </w:r>
      <w:r w:rsidR="00350905" w:rsidRPr="000532D8">
        <w:rPr>
          <w:rFonts w:cs="Arial"/>
          <w:szCs w:val="24"/>
        </w:rPr>
        <w:lastRenderedPageBreak/>
        <w:t>it</w:t>
      </w:r>
      <w:r w:rsidR="00681922" w:rsidRPr="000532D8">
        <w:rPr>
          <w:rFonts w:cs="Arial"/>
          <w:szCs w:val="24"/>
        </w:rPr>
        <w:t xml:space="preserve"> by </w:t>
      </w:r>
      <w:r w:rsidR="00350905" w:rsidRPr="000532D8">
        <w:rPr>
          <w:rFonts w:cs="Arial"/>
          <w:szCs w:val="24"/>
        </w:rPr>
        <w:t>Friedman</w:t>
      </w:r>
      <w:r w:rsidR="00681922" w:rsidRPr="000532D8">
        <w:rPr>
          <w:rFonts w:cs="Arial"/>
          <w:szCs w:val="24"/>
        </w:rPr>
        <w:t xml:space="preserve"> whether those losses arise</w:t>
      </w:r>
      <w:r w:rsidR="008420DE" w:rsidRPr="000532D8">
        <w:rPr>
          <w:rFonts w:cs="Arial"/>
          <w:szCs w:val="24"/>
        </w:rPr>
        <w:t>,</w:t>
      </w:r>
      <w:r w:rsidR="00681922" w:rsidRPr="000532D8">
        <w:rPr>
          <w:rFonts w:cs="Arial"/>
          <w:szCs w:val="24"/>
        </w:rPr>
        <w:t xml:space="preserve"> </w:t>
      </w:r>
      <w:r w:rsidR="00681922" w:rsidRPr="000532D8">
        <w:rPr>
          <w:rFonts w:cs="Arial"/>
          <w:i/>
          <w:iCs/>
          <w:szCs w:val="24"/>
        </w:rPr>
        <w:t>inter alia</w:t>
      </w:r>
      <w:r w:rsidR="008420DE" w:rsidRPr="000532D8">
        <w:rPr>
          <w:rFonts w:cs="Arial"/>
          <w:i/>
          <w:iCs/>
          <w:szCs w:val="24"/>
        </w:rPr>
        <w:t>,</w:t>
      </w:r>
      <w:r w:rsidR="00681922" w:rsidRPr="000532D8">
        <w:rPr>
          <w:rFonts w:cs="Arial"/>
          <w:szCs w:val="24"/>
        </w:rPr>
        <w:t xml:space="preserve"> from </w:t>
      </w:r>
      <w:r w:rsidR="00B2232C" w:rsidRPr="000532D8">
        <w:rPr>
          <w:rFonts w:cs="Arial"/>
          <w:szCs w:val="24"/>
        </w:rPr>
        <w:t xml:space="preserve">Urban Lime </w:t>
      </w:r>
      <w:r w:rsidR="00681922" w:rsidRPr="000532D8">
        <w:rPr>
          <w:rFonts w:cs="Arial"/>
          <w:szCs w:val="24"/>
        </w:rPr>
        <w:t xml:space="preserve">not paying an amount owed in terms of the underlying loan agreement </w:t>
      </w:r>
      <w:r w:rsidR="000447CC" w:rsidRPr="000532D8">
        <w:rPr>
          <w:rFonts w:cs="Arial"/>
          <w:szCs w:val="24"/>
        </w:rPr>
        <w:t>or whether any obligation in terms thereof becomes unenforceable, invalid or illegal.</w:t>
      </w:r>
    </w:p>
    <w:p w14:paraId="357270A0" w14:textId="4D4F7FCB" w:rsidR="00284B62" w:rsidRPr="000532D8" w:rsidRDefault="00CB6C81" w:rsidP="00CB6C81">
      <w:pPr>
        <w:pStyle w:val="Numberin1"/>
        <w:numPr>
          <w:ilvl w:val="0"/>
          <w:numId w:val="0"/>
        </w:numPr>
        <w:ind w:left="720" w:hanging="720"/>
        <w:rPr>
          <w:rFonts w:cs="Arial"/>
          <w:szCs w:val="24"/>
        </w:rPr>
      </w:pPr>
      <w:r w:rsidRPr="000532D8">
        <w:rPr>
          <w:rFonts w:cs="Arial"/>
          <w:szCs w:val="24"/>
        </w:rPr>
        <w:t>[22]</w:t>
      </w:r>
      <w:r w:rsidRPr="000532D8">
        <w:rPr>
          <w:rFonts w:cs="Arial"/>
          <w:szCs w:val="24"/>
        </w:rPr>
        <w:tab/>
      </w:r>
      <w:r w:rsidR="00284B62" w:rsidRPr="000532D8">
        <w:rPr>
          <w:rFonts w:cs="Arial"/>
          <w:szCs w:val="24"/>
        </w:rPr>
        <w:t>T</w:t>
      </w:r>
      <w:r w:rsidR="000447CC" w:rsidRPr="000532D8">
        <w:rPr>
          <w:rFonts w:cs="Arial"/>
          <w:szCs w:val="24"/>
        </w:rPr>
        <w:t xml:space="preserve">here is no accessory relationship between the Guarantee and the underlying loan </w:t>
      </w:r>
      <w:r w:rsidR="00D129C8" w:rsidRPr="000532D8">
        <w:rPr>
          <w:rFonts w:cs="Arial"/>
          <w:szCs w:val="24"/>
        </w:rPr>
        <w:t>agreement,</w:t>
      </w:r>
      <w:r w:rsidR="000447CC" w:rsidRPr="000532D8">
        <w:rPr>
          <w:rFonts w:cs="Arial"/>
          <w:szCs w:val="24"/>
        </w:rPr>
        <w:t xml:space="preserve"> and the rights and obligations of the parties </w:t>
      </w:r>
      <w:r w:rsidR="00350905" w:rsidRPr="000532D8">
        <w:rPr>
          <w:rFonts w:cs="Arial"/>
          <w:szCs w:val="24"/>
        </w:rPr>
        <w:t xml:space="preserve">are determined </w:t>
      </w:r>
      <w:r w:rsidR="000447CC" w:rsidRPr="000532D8">
        <w:rPr>
          <w:rFonts w:cs="Arial"/>
          <w:szCs w:val="24"/>
        </w:rPr>
        <w:t>by having reference to the Guarantee, not the underlying loan agreement</w:t>
      </w:r>
      <w:r w:rsidR="00150892" w:rsidRPr="000532D8">
        <w:rPr>
          <w:rFonts w:cs="Arial"/>
          <w:szCs w:val="24"/>
        </w:rPr>
        <w:t>.</w:t>
      </w:r>
      <w:r w:rsidR="00150892" w:rsidRPr="000532D8">
        <w:rPr>
          <w:rStyle w:val="FootnoteReference"/>
          <w:rFonts w:cs="Arial"/>
          <w:szCs w:val="24"/>
        </w:rPr>
        <w:footnoteReference w:id="7"/>
      </w:r>
    </w:p>
    <w:p w14:paraId="0FAF0597" w14:textId="2F6192F5" w:rsidR="00700A9B" w:rsidRPr="000532D8" w:rsidRDefault="00CB6C81" w:rsidP="00CB6C81">
      <w:pPr>
        <w:pStyle w:val="Numberin1"/>
        <w:numPr>
          <w:ilvl w:val="0"/>
          <w:numId w:val="0"/>
        </w:numPr>
        <w:ind w:left="720" w:hanging="720"/>
        <w:rPr>
          <w:rFonts w:cs="Arial"/>
          <w:szCs w:val="24"/>
        </w:rPr>
      </w:pPr>
      <w:r w:rsidRPr="000532D8">
        <w:rPr>
          <w:rFonts w:cs="Arial"/>
          <w:szCs w:val="24"/>
        </w:rPr>
        <w:t>[23]</w:t>
      </w:r>
      <w:r w:rsidRPr="000532D8">
        <w:rPr>
          <w:rFonts w:cs="Arial"/>
          <w:szCs w:val="24"/>
        </w:rPr>
        <w:tab/>
      </w:r>
      <w:r w:rsidR="00284B62" w:rsidRPr="000532D8">
        <w:rPr>
          <w:rFonts w:cs="Arial"/>
          <w:szCs w:val="24"/>
        </w:rPr>
        <w:t xml:space="preserve">As stated above, </w:t>
      </w:r>
      <w:r w:rsidR="0020365D" w:rsidRPr="000532D8">
        <w:rPr>
          <w:rFonts w:cs="Arial"/>
          <w:szCs w:val="24"/>
        </w:rPr>
        <w:t xml:space="preserve">Friedman denies that he is liable to Standard Bank under the </w:t>
      </w:r>
      <w:r w:rsidR="00DE481A" w:rsidRPr="000532D8">
        <w:rPr>
          <w:rFonts w:cs="Arial"/>
          <w:szCs w:val="24"/>
        </w:rPr>
        <w:t>G</w:t>
      </w:r>
      <w:r w:rsidR="0020365D" w:rsidRPr="000532D8">
        <w:rPr>
          <w:rFonts w:cs="Arial"/>
          <w:szCs w:val="24"/>
        </w:rPr>
        <w:t>uarantee</w:t>
      </w:r>
      <w:r w:rsidR="00E228BD" w:rsidRPr="000532D8">
        <w:rPr>
          <w:rFonts w:cs="Arial"/>
          <w:szCs w:val="24"/>
        </w:rPr>
        <w:t>, other than for any amount due and payable</w:t>
      </w:r>
      <w:r w:rsidR="0016229E" w:rsidRPr="000532D8">
        <w:rPr>
          <w:rFonts w:cs="Arial"/>
          <w:szCs w:val="24"/>
        </w:rPr>
        <w:t xml:space="preserve"> by Urban Lime to Standard </w:t>
      </w:r>
      <w:r w:rsidR="000532D8" w:rsidRPr="000532D8">
        <w:rPr>
          <w:rFonts w:cs="Arial"/>
          <w:szCs w:val="24"/>
        </w:rPr>
        <w:t>B</w:t>
      </w:r>
      <w:r w:rsidR="0016229E" w:rsidRPr="000532D8">
        <w:rPr>
          <w:rFonts w:cs="Arial"/>
          <w:szCs w:val="24"/>
        </w:rPr>
        <w:t>ank</w:t>
      </w:r>
      <w:r w:rsidR="00E228BD" w:rsidRPr="000532D8">
        <w:rPr>
          <w:rFonts w:cs="Arial"/>
          <w:szCs w:val="24"/>
        </w:rPr>
        <w:t xml:space="preserve"> </w:t>
      </w:r>
      <w:r w:rsidR="00DE481A" w:rsidRPr="000532D8">
        <w:rPr>
          <w:rFonts w:cs="Arial"/>
          <w:b/>
          <w:bCs/>
          <w:szCs w:val="24"/>
        </w:rPr>
        <w:t>at the time</w:t>
      </w:r>
      <w:r w:rsidR="00DE481A" w:rsidRPr="000532D8">
        <w:rPr>
          <w:rFonts w:cs="Arial"/>
          <w:szCs w:val="24"/>
        </w:rPr>
        <w:t xml:space="preserve"> </w:t>
      </w:r>
      <w:r w:rsidR="0020365D" w:rsidRPr="000532D8">
        <w:rPr>
          <w:rFonts w:cs="Arial"/>
          <w:szCs w:val="24"/>
        </w:rPr>
        <w:t>this application was made</w:t>
      </w:r>
      <w:r w:rsidR="00E228BD" w:rsidRPr="000532D8">
        <w:rPr>
          <w:rFonts w:cs="Arial"/>
          <w:szCs w:val="24"/>
        </w:rPr>
        <w:t>.</w:t>
      </w:r>
      <w:r w:rsidR="00284B62" w:rsidRPr="000532D8">
        <w:rPr>
          <w:rFonts w:cs="Arial"/>
          <w:szCs w:val="24"/>
        </w:rPr>
        <w:t xml:space="preserve">  </w:t>
      </w:r>
      <w:r w:rsidR="00E228BD" w:rsidRPr="000532D8">
        <w:rPr>
          <w:rFonts w:cs="Arial"/>
          <w:szCs w:val="24"/>
        </w:rPr>
        <w:t>Friedman says that on 19 June 2023</w:t>
      </w:r>
      <w:r w:rsidR="0016229E" w:rsidRPr="000532D8">
        <w:rPr>
          <w:rFonts w:cs="Arial"/>
          <w:szCs w:val="24"/>
        </w:rPr>
        <w:t>,</w:t>
      </w:r>
      <w:r w:rsidR="00E228BD" w:rsidRPr="000532D8">
        <w:rPr>
          <w:rFonts w:cs="Arial"/>
          <w:szCs w:val="24"/>
        </w:rPr>
        <w:t xml:space="preserve"> when this application was launched</w:t>
      </w:r>
      <w:r w:rsidR="0016229E" w:rsidRPr="000532D8">
        <w:rPr>
          <w:rFonts w:cs="Arial"/>
          <w:szCs w:val="24"/>
        </w:rPr>
        <w:t>,</w:t>
      </w:r>
      <w:r w:rsidR="00E228BD" w:rsidRPr="000532D8">
        <w:rPr>
          <w:rFonts w:cs="Arial"/>
          <w:szCs w:val="24"/>
        </w:rPr>
        <w:t xml:space="preserve"> his indebtedness didn’t arise because Standard Bank had cancelled the contract with Urban Lime without having executed an acceleration clause (clause </w:t>
      </w:r>
      <w:r w:rsidR="00700A9B" w:rsidRPr="000532D8">
        <w:rPr>
          <w:rFonts w:cs="Arial"/>
          <w:szCs w:val="24"/>
        </w:rPr>
        <w:t>21</w:t>
      </w:r>
      <w:r w:rsidR="00E228BD" w:rsidRPr="000532D8">
        <w:rPr>
          <w:rFonts w:cs="Arial"/>
          <w:szCs w:val="24"/>
        </w:rPr>
        <w:t xml:space="preserve">.19) contained in the Facility agreement.   </w:t>
      </w:r>
    </w:p>
    <w:p w14:paraId="4095DFC8" w14:textId="68F8E477" w:rsidR="003A5A40" w:rsidRPr="000532D8" w:rsidRDefault="00CB6C81" w:rsidP="00CB6C81">
      <w:pPr>
        <w:pStyle w:val="Numberin1"/>
        <w:numPr>
          <w:ilvl w:val="0"/>
          <w:numId w:val="0"/>
        </w:numPr>
        <w:ind w:left="720" w:hanging="720"/>
        <w:rPr>
          <w:rFonts w:cs="Arial"/>
          <w:szCs w:val="24"/>
        </w:rPr>
      </w:pPr>
      <w:r w:rsidRPr="000532D8">
        <w:rPr>
          <w:rFonts w:cs="Arial"/>
          <w:szCs w:val="24"/>
        </w:rPr>
        <w:t>[24]</w:t>
      </w:r>
      <w:r w:rsidRPr="000532D8">
        <w:rPr>
          <w:rFonts w:cs="Arial"/>
          <w:szCs w:val="24"/>
        </w:rPr>
        <w:tab/>
      </w:r>
      <w:r w:rsidR="0014190A" w:rsidRPr="000532D8">
        <w:rPr>
          <w:rFonts w:cs="Arial"/>
          <w:szCs w:val="24"/>
        </w:rPr>
        <w:t xml:space="preserve">The </w:t>
      </w:r>
      <w:r w:rsidR="00284B62" w:rsidRPr="000532D8">
        <w:rPr>
          <w:rFonts w:cs="Arial"/>
          <w:szCs w:val="24"/>
        </w:rPr>
        <w:t>point advanced</w:t>
      </w:r>
      <w:r w:rsidR="0014190A" w:rsidRPr="000532D8">
        <w:rPr>
          <w:rFonts w:cs="Arial"/>
          <w:szCs w:val="24"/>
        </w:rPr>
        <w:t xml:space="preserve"> is that in the face of the alleged breaches by Urban Lime, Standard Bank made an election not to uphold their contract</w:t>
      </w:r>
      <w:r w:rsidR="00284B62" w:rsidRPr="000532D8">
        <w:rPr>
          <w:rFonts w:cs="Arial"/>
          <w:szCs w:val="24"/>
        </w:rPr>
        <w:t xml:space="preserve"> (the loan </w:t>
      </w:r>
      <w:r w:rsidR="00903899" w:rsidRPr="000532D8">
        <w:rPr>
          <w:rFonts w:cs="Arial"/>
          <w:szCs w:val="24"/>
        </w:rPr>
        <w:t>f</w:t>
      </w:r>
      <w:r w:rsidR="00284B62" w:rsidRPr="000532D8">
        <w:rPr>
          <w:rFonts w:cs="Arial"/>
          <w:szCs w:val="24"/>
        </w:rPr>
        <w:t>acility</w:t>
      </w:r>
      <w:r w:rsidR="00903899" w:rsidRPr="000532D8">
        <w:rPr>
          <w:rFonts w:cs="Arial"/>
          <w:szCs w:val="24"/>
        </w:rPr>
        <w:t xml:space="preserve"> agreement</w:t>
      </w:r>
      <w:r w:rsidR="00284B62" w:rsidRPr="000532D8">
        <w:rPr>
          <w:rFonts w:cs="Arial"/>
          <w:szCs w:val="24"/>
        </w:rPr>
        <w:t>)</w:t>
      </w:r>
      <w:r w:rsidR="0014190A" w:rsidRPr="000532D8">
        <w:rPr>
          <w:rFonts w:cs="Arial"/>
          <w:szCs w:val="24"/>
        </w:rPr>
        <w:t>, but to cancel it.</w:t>
      </w:r>
      <w:r w:rsidR="00086505" w:rsidRPr="000532D8">
        <w:rPr>
          <w:rFonts w:cs="Arial"/>
          <w:szCs w:val="24"/>
        </w:rPr>
        <w:t xml:space="preserve">  F</w:t>
      </w:r>
      <w:r w:rsidR="007A281A" w:rsidRPr="000532D8">
        <w:rPr>
          <w:rFonts w:cs="Arial"/>
          <w:szCs w:val="24"/>
        </w:rPr>
        <w:t xml:space="preserve">riedman avers that when </w:t>
      </w:r>
      <w:r w:rsidR="00086505" w:rsidRPr="000532D8">
        <w:rPr>
          <w:rFonts w:cs="Arial"/>
          <w:szCs w:val="24"/>
        </w:rPr>
        <w:t>Standard Bank’s</w:t>
      </w:r>
      <w:r w:rsidR="007A281A" w:rsidRPr="000532D8">
        <w:rPr>
          <w:rFonts w:cs="Arial"/>
          <w:szCs w:val="24"/>
        </w:rPr>
        <w:t xml:space="preserve"> founding affidavit was deposed to on 19 June 2023 all accrued amounts of interest that were subject to the Guarantee had been paid in full by Urban Lime.</w:t>
      </w:r>
    </w:p>
    <w:p w14:paraId="5C79FF8F" w14:textId="264966C9" w:rsidR="00D46EA0" w:rsidRPr="000532D8" w:rsidRDefault="00CB6C81" w:rsidP="00CB6C81">
      <w:pPr>
        <w:pStyle w:val="Numberin1"/>
        <w:numPr>
          <w:ilvl w:val="0"/>
          <w:numId w:val="0"/>
        </w:numPr>
        <w:ind w:left="720" w:hanging="720"/>
        <w:rPr>
          <w:rFonts w:cs="Arial"/>
          <w:szCs w:val="24"/>
        </w:rPr>
      </w:pPr>
      <w:r w:rsidRPr="000532D8">
        <w:rPr>
          <w:rFonts w:cs="Arial"/>
          <w:szCs w:val="24"/>
        </w:rPr>
        <w:t>[25]</w:t>
      </w:r>
      <w:r w:rsidRPr="000532D8">
        <w:rPr>
          <w:rFonts w:cs="Arial"/>
          <w:szCs w:val="24"/>
        </w:rPr>
        <w:tab/>
      </w:r>
      <w:r w:rsidR="003A5A40" w:rsidRPr="000532D8">
        <w:rPr>
          <w:rFonts w:cs="Arial"/>
          <w:szCs w:val="24"/>
        </w:rPr>
        <w:t>The</w:t>
      </w:r>
      <w:r w:rsidR="00903899" w:rsidRPr="000532D8">
        <w:rPr>
          <w:rFonts w:cs="Arial"/>
          <w:szCs w:val="24"/>
        </w:rPr>
        <w:t xml:space="preserve"> f</w:t>
      </w:r>
      <w:r w:rsidR="003A5A40" w:rsidRPr="000532D8">
        <w:rPr>
          <w:rFonts w:cs="Arial"/>
          <w:szCs w:val="24"/>
        </w:rPr>
        <w:t xml:space="preserve">acility agreement </w:t>
      </w:r>
      <w:r w:rsidR="00D46EA0" w:rsidRPr="000532D8">
        <w:rPr>
          <w:rFonts w:cs="Arial"/>
          <w:szCs w:val="24"/>
        </w:rPr>
        <w:t xml:space="preserve">(clause 7 read with clause 2.1.24) </w:t>
      </w:r>
      <w:r w:rsidR="003A5A40" w:rsidRPr="000532D8">
        <w:rPr>
          <w:rFonts w:cs="Arial"/>
          <w:szCs w:val="24"/>
        </w:rPr>
        <w:t xml:space="preserve">between Urban Lime and Standard </w:t>
      </w:r>
      <w:r w:rsidR="00D46EA0" w:rsidRPr="000532D8">
        <w:rPr>
          <w:rFonts w:cs="Arial"/>
          <w:szCs w:val="24"/>
        </w:rPr>
        <w:t>B</w:t>
      </w:r>
      <w:r w:rsidR="003A5A40" w:rsidRPr="000532D8">
        <w:rPr>
          <w:rFonts w:cs="Arial"/>
          <w:szCs w:val="24"/>
        </w:rPr>
        <w:t>ank required</w:t>
      </w:r>
      <w:r w:rsidR="00D46EA0" w:rsidRPr="000532D8">
        <w:rPr>
          <w:rFonts w:cs="Arial"/>
          <w:szCs w:val="24"/>
        </w:rPr>
        <w:t xml:space="preserve">, </w:t>
      </w:r>
      <w:r w:rsidR="00D46EA0" w:rsidRPr="000532D8">
        <w:rPr>
          <w:rFonts w:cs="Arial"/>
          <w:i/>
          <w:iCs/>
          <w:szCs w:val="24"/>
        </w:rPr>
        <w:t>inter alia</w:t>
      </w:r>
      <w:r w:rsidR="00D46EA0" w:rsidRPr="000532D8">
        <w:rPr>
          <w:rFonts w:cs="Arial"/>
          <w:szCs w:val="24"/>
        </w:rPr>
        <w:t>,</w:t>
      </w:r>
      <w:r w:rsidR="003A5A40" w:rsidRPr="000532D8">
        <w:rPr>
          <w:rFonts w:cs="Arial"/>
          <w:szCs w:val="24"/>
        </w:rPr>
        <w:t xml:space="preserve"> all amounts owing to</w:t>
      </w:r>
      <w:r w:rsidR="00D46EA0" w:rsidRPr="000532D8">
        <w:rPr>
          <w:rFonts w:cs="Arial"/>
          <w:szCs w:val="24"/>
        </w:rPr>
        <w:t xml:space="preserve"> be paid by 29 September 2023. On default by Urban Lime of any its obligations under the </w:t>
      </w:r>
      <w:r w:rsidR="00D46EA0" w:rsidRPr="000532D8">
        <w:rPr>
          <w:rFonts w:cs="Arial"/>
          <w:szCs w:val="24"/>
        </w:rPr>
        <w:lastRenderedPageBreak/>
        <w:t>facility Standard Bank had the right to accelerate Urban lime’s obligations</w:t>
      </w:r>
      <w:r w:rsidR="004564FD" w:rsidRPr="000532D8">
        <w:rPr>
          <w:rFonts w:cs="Arial"/>
          <w:szCs w:val="24"/>
        </w:rPr>
        <w:t xml:space="preserve">. </w:t>
      </w:r>
    </w:p>
    <w:p w14:paraId="71DAABA0" w14:textId="49FA66DF" w:rsidR="00EF3A95" w:rsidRPr="000532D8" w:rsidRDefault="00CB6C81" w:rsidP="00CB6C81">
      <w:pPr>
        <w:pStyle w:val="Numberin1"/>
        <w:numPr>
          <w:ilvl w:val="0"/>
          <w:numId w:val="0"/>
        </w:numPr>
        <w:ind w:left="720" w:hanging="720"/>
        <w:rPr>
          <w:rFonts w:cs="Arial"/>
          <w:szCs w:val="24"/>
        </w:rPr>
      </w:pPr>
      <w:r w:rsidRPr="000532D8">
        <w:rPr>
          <w:rFonts w:cs="Arial"/>
          <w:szCs w:val="24"/>
        </w:rPr>
        <w:t>[26]</w:t>
      </w:r>
      <w:r w:rsidRPr="000532D8">
        <w:rPr>
          <w:rFonts w:cs="Arial"/>
          <w:szCs w:val="24"/>
        </w:rPr>
        <w:tab/>
      </w:r>
      <w:r w:rsidR="00D46EA0" w:rsidRPr="000532D8">
        <w:rPr>
          <w:rFonts w:cs="Arial"/>
          <w:szCs w:val="24"/>
        </w:rPr>
        <w:t xml:space="preserve">Standard Bank cancelled the </w:t>
      </w:r>
      <w:r w:rsidR="00903899" w:rsidRPr="000532D8">
        <w:rPr>
          <w:rFonts w:cs="Arial"/>
          <w:szCs w:val="24"/>
        </w:rPr>
        <w:t>f</w:t>
      </w:r>
      <w:r w:rsidR="00D46EA0" w:rsidRPr="000532D8">
        <w:rPr>
          <w:rFonts w:cs="Arial"/>
          <w:szCs w:val="24"/>
        </w:rPr>
        <w:t xml:space="preserve">acility agreement on 17 April 2023. </w:t>
      </w:r>
    </w:p>
    <w:p w14:paraId="6A9EAD77" w14:textId="0A8FCEBA" w:rsidR="002001FB" w:rsidRPr="000532D8" w:rsidRDefault="00CB6C81" w:rsidP="00CB6C81">
      <w:pPr>
        <w:pStyle w:val="a"/>
        <w:numPr>
          <w:ilvl w:val="0"/>
          <w:numId w:val="0"/>
        </w:numPr>
        <w:ind w:left="720" w:hanging="720"/>
        <w:rPr>
          <w:rFonts w:cs="Arial"/>
          <w:szCs w:val="24"/>
        </w:rPr>
      </w:pPr>
      <w:r w:rsidRPr="000532D8">
        <w:rPr>
          <w:rFonts w:cs="Arial"/>
          <w:szCs w:val="24"/>
        </w:rPr>
        <w:t>[27]</w:t>
      </w:r>
      <w:r w:rsidRPr="000532D8">
        <w:rPr>
          <w:rFonts w:cs="Arial"/>
          <w:szCs w:val="24"/>
        </w:rPr>
        <w:tab/>
      </w:r>
      <w:r w:rsidR="00284B62" w:rsidRPr="000532D8">
        <w:rPr>
          <w:rFonts w:cs="Arial"/>
          <w:szCs w:val="24"/>
        </w:rPr>
        <w:t xml:space="preserve">Mr Woodland’s fresh point seems to be that </w:t>
      </w:r>
      <w:r w:rsidR="00284B62" w:rsidRPr="000532D8">
        <w:rPr>
          <w:rFonts w:cs="Arial"/>
          <w:i/>
          <w:iCs/>
          <w:szCs w:val="24"/>
        </w:rPr>
        <w:t>when</w:t>
      </w:r>
      <w:r w:rsidR="00284B62" w:rsidRPr="000532D8">
        <w:rPr>
          <w:rFonts w:cs="Arial"/>
          <w:szCs w:val="24"/>
        </w:rPr>
        <w:t xml:space="preserve"> </w:t>
      </w:r>
      <w:r w:rsidR="00700A9B" w:rsidRPr="000532D8">
        <w:rPr>
          <w:rFonts w:cs="Arial"/>
          <w:szCs w:val="24"/>
        </w:rPr>
        <w:t xml:space="preserve">Standard Bank cancelled </w:t>
      </w:r>
      <w:r w:rsidR="00284B62" w:rsidRPr="000532D8">
        <w:rPr>
          <w:rFonts w:cs="Arial"/>
          <w:szCs w:val="24"/>
        </w:rPr>
        <w:t xml:space="preserve">its </w:t>
      </w:r>
      <w:r w:rsidR="00700A9B" w:rsidRPr="000532D8">
        <w:rPr>
          <w:rFonts w:cs="Arial"/>
          <w:szCs w:val="24"/>
        </w:rPr>
        <w:t xml:space="preserve">contract with Urban Lime </w:t>
      </w:r>
      <w:r w:rsidR="00D46EA0" w:rsidRPr="000532D8">
        <w:rPr>
          <w:rFonts w:cs="Arial"/>
          <w:szCs w:val="24"/>
        </w:rPr>
        <w:t xml:space="preserve">the </w:t>
      </w:r>
      <w:r w:rsidR="00284B62" w:rsidRPr="000532D8">
        <w:rPr>
          <w:rFonts w:cs="Arial"/>
          <w:szCs w:val="24"/>
        </w:rPr>
        <w:t xml:space="preserve">acceleration clause contained in the </w:t>
      </w:r>
      <w:r w:rsidR="00D46EA0" w:rsidRPr="000532D8">
        <w:rPr>
          <w:rFonts w:cs="Arial"/>
          <w:szCs w:val="24"/>
        </w:rPr>
        <w:t>f</w:t>
      </w:r>
      <w:r w:rsidR="00284B62" w:rsidRPr="000532D8">
        <w:rPr>
          <w:rFonts w:cs="Arial"/>
          <w:szCs w:val="24"/>
        </w:rPr>
        <w:t>acil</w:t>
      </w:r>
      <w:r w:rsidR="002001FB" w:rsidRPr="000532D8">
        <w:rPr>
          <w:rFonts w:cs="Arial"/>
          <w:szCs w:val="24"/>
        </w:rPr>
        <w:t>i</w:t>
      </w:r>
      <w:r w:rsidR="00284B62" w:rsidRPr="000532D8">
        <w:rPr>
          <w:rFonts w:cs="Arial"/>
          <w:szCs w:val="24"/>
        </w:rPr>
        <w:t>ty</w:t>
      </w:r>
      <w:r w:rsidR="00D46EA0" w:rsidRPr="000532D8">
        <w:rPr>
          <w:rFonts w:cs="Arial"/>
          <w:szCs w:val="24"/>
        </w:rPr>
        <w:t xml:space="preserve"> agreement </w:t>
      </w:r>
      <w:r w:rsidR="002001FB" w:rsidRPr="000532D8">
        <w:rPr>
          <w:rFonts w:cs="Arial"/>
          <w:szCs w:val="24"/>
        </w:rPr>
        <w:t>had already accrued.</w:t>
      </w:r>
    </w:p>
    <w:p w14:paraId="3506A42D" w14:textId="4378C0F8" w:rsidR="004849FD" w:rsidRPr="000532D8" w:rsidRDefault="00CB6C81" w:rsidP="00CB6C81">
      <w:pPr>
        <w:pStyle w:val="a"/>
        <w:numPr>
          <w:ilvl w:val="0"/>
          <w:numId w:val="0"/>
        </w:numPr>
        <w:ind w:left="720" w:hanging="720"/>
        <w:rPr>
          <w:rFonts w:cs="Arial"/>
          <w:szCs w:val="24"/>
        </w:rPr>
      </w:pPr>
      <w:r w:rsidRPr="000532D8">
        <w:rPr>
          <w:rFonts w:cs="Arial"/>
          <w:szCs w:val="24"/>
        </w:rPr>
        <w:t>[28]</w:t>
      </w:r>
      <w:r w:rsidRPr="000532D8">
        <w:rPr>
          <w:rFonts w:cs="Arial"/>
          <w:szCs w:val="24"/>
        </w:rPr>
        <w:tab/>
      </w:r>
      <w:r w:rsidR="002001FB" w:rsidRPr="000532D8">
        <w:rPr>
          <w:rFonts w:cs="Arial"/>
          <w:szCs w:val="24"/>
        </w:rPr>
        <w:t xml:space="preserve">Reliance was placed on </w:t>
      </w:r>
      <w:r w:rsidR="002001FB" w:rsidRPr="000532D8">
        <w:rPr>
          <w:rFonts w:cs="Arial"/>
          <w:i/>
          <w:iCs/>
          <w:szCs w:val="24"/>
        </w:rPr>
        <w:t>Nash v Golden Dumps</w:t>
      </w:r>
      <w:r w:rsidR="002001FB" w:rsidRPr="000532D8">
        <w:rPr>
          <w:rFonts w:cs="Arial"/>
          <w:szCs w:val="24"/>
        </w:rPr>
        <w:t>,</w:t>
      </w:r>
      <w:r w:rsidR="002001FB" w:rsidRPr="000532D8">
        <w:rPr>
          <w:rStyle w:val="FootnoteReference"/>
          <w:rFonts w:cs="Arial"/>
          <w:szCs w:val="24"/>
        </w:rPr>
        <w:footnoteReference w:id="8"/>
      </w:r>
      <w:r w:rsidR="002001FB" w:rsidRPr="000532D8">
        <w:rPr>
          <w:rFonts w:cs="Arial"/>
          <w:szCs w:val="24"/>
        </w:rPr>
        <w:t xml:space="preserve">  with reference to </w:t>
      </w:r>
      <w:r w:rsidR="002001FB" w:rsidRPr="000532D8">
        <w:rPr>
          <w:rFonts w:cs="Arial"/>
          <w:i/>
          <w:iCs/>
          <w:szCs w:val="24"/>
        </w:rPr>
        <w:t>Crest Enterprises (Pty) Ltd v Rycklof Beleggings (Edms) Bpk</w:t>
      </w:r>
      <w:r w:rsidR="002001FB" w:rsidRPr="000532D8">
        <w:rPr>
          <w:rStyle w:val="FootnoteReference"/>
          <w:rFonts w:cs="Arial"/>
          <w:szCs w:val="24"/>
        </w:rPr>
        <w:footnoteReference w:id="9"/>
      </w:r>
      <w:r w:rsidR="002001FB" w:rsidRPr="000532D8">
        <w:rPr>
          <w:rFonts w:cs="Arial"/>
          <w:szCs w:val="24"/>
        </w:rPr>
        <w:t xml:space="preserve"> and </w:t>
      </w:r>
      <w:r w:rsidR="002001FB" w:rsidRPr="000532D8">
        <w:rPr>
          <w:rFonts w:cs="Arial"/>
          <w:i/>
          <w:iCs/>
          <w:szCs w:val="24"/>
        </w:rPr>
        <w:t>Walker’s Fruit Farms Ltd v Sumner</w:t>
      </w:r>
      <w:r w:rsidR="002001FB" w:rsidRPr="000532D8">
        <w:rPr>
          <w:rFonts w:cs="Arial"/>
          <w:szCs w:val="24"/>
        </w:rPr>
        <w:t>,</w:t>
      </w:r>
      <w:r w:rsidR="002001FB" w:rsidRPr="000532D8">
        <w:rPr>
          <w:rStyle w:val="FootnoteReference"/>
          <w:rFonts w:cs="Arial"/>
          <w:szCs w:val="24"/>
        </w:rPr>
        <w:footnoteReference w:id="10"/>
      </w:r>
      <w:r w:rsidR="002001FB" w:rsidRPr="000532D8">
        <w:rPr>
          <w:rFonts w:cs="Arial"/>
          <w:szCs w:val="24"/>
        </w:rPr>
        <w:t xml:space="preserve"> where the following was stated:</w:t>
      </w:r>
    </w:p>
    <w:p w14:paraId="37ED33E2" w14:textId="7FA41586" w:rsidR="004564FD" w:rsidRPr="000532D8" w:rsidRDefault="002001FB" w:rsidP="002001FB">
      <w:pPr>
        <w:pStyle w:val="ListParagraph"/>
        <w:ind w:left="1440"/>
        <w:rPr>
          <w:rFonts w:cs="Arial"/>
          <w:szCs w:val="24"/>
        </w:rPr>
      </w:pPr>
      <w:r w:rsidRPr="000532D8">
        <w:rPr>
          <w:rFonts w:cs="Arial"/>
          <w:szCs w:val="24"/>
        </w:rPr>
        <w:t>“"</w:t>
      </w:r>
      <w:r w:rsidR="00895B88" w:rsidRPr="000532D8">
        <w:rPr>
          <w:rFonts w:cs="Arial"/>
          <w:szCs w:val="24"/>
        </w:rPr>
        <w:t>.... the</w:t>
      </w:r>
      <w:r w:rsidRPr="000532D8">
        <w:rPr>
          <w:rFonts w:cs="Arial"/>
          <w:szCs w:val="24"/>
        </w:rPr>
        <w:t xml:space="preserve"> rule in the Walker case, supra, is confined to cases where, </w:t>
      </w:r>
      <w:r w:rsidRPr="000532D8">
        <w:rPr>
          <w:rFonts w:cs="Arial"/>
          <w:szCs w:val="24"/>
          <w:u w:val="single"/>
        </w:rPr>
        <w:t>prior to</w:t>
      </w:r>
      <w:r w:rsidRPr="000532D8">
        <w:rPr>
          <w:rFonts w:cs="Arial"/>
          <w:szCs w:val="24"/>
        </w:rPr>
        <w:t xml:space="preserve"> the rescission of a contract by one party's acceptance of the other's repudiation, </w:t>
      </w:r>
      <w:r w:rsidRPr="000532D8">
        <w:rPr>
          <w:rFonts w:cs="Arial"/>
          <w:szCs w:val="24"/>
          <w:u w:val="single"/>
        </w:rPr>
        <w:t>there exists a right which is accrued, due, and enforceable as a cause of action independent of any executory part of the contract</w:t>
      </w:r>
      <w:r w:rsidR="00B65999" w:rsidRPr="000532D8">
        <w:rPr>
          <w:rFonts w:cs="Arial"/>
          <w:szCs w:val="24"/>
        </w:rPr>
        <w:t xml:space="preserve"> “</w:t>
      </w:r>
    </w:p>
    <w:p w14:paraId="75F0E775" w14:textId="77777777" w:rsidR="002001FB" w:rsidRPr="000532D8" w:rsidRDefault="002001FB" w:rsidP="00895B88">
      <w:pPr>
        <w:pStyle w:val="ListParagraph"/>
        <w:ind w:left="1440"/>
        <w:rPr>
          <w:szCs w:val="24"/>
        </w:rPr>
      </w:pPr>
    </w:p>
    <w:p w14:paraId="1F28C2EF" w14:textId="6D3FCBC2" w:rsidR="00B65999" w:rsidRPr="000532D8" w:rsidRDefault="00CB6C81" w:rsidP="00CB6C81">
      <w:pPr>
        <w:pStyle w:val="a"/>
        <w:numPr>
          <w:ilvl w:val="0"/>
          <w:numId w:val="0"/>
        </w:numPr>
        <w:ind w:left="720" w:hanging="720"/>
        <w:rPr>
          <w:rFonts w:cs="Arial"/>
          <w:szCs w:val="24"/>
        </w:rPr>
      </w:pPr>
      <w:r w:rsidRPr="000532D8">
        <w:rPr>
          <w:rFonts w:cs="Arial"/>
          <w:szCs w:val="24"/>
        </w:rPr>
        <w:t>[29]</w:t>
      </w:r>
      <w:r w:rsidRPr="000532D8">
        <w:rPr>
          <w:rFonts w:cs="Arial"/>
          <w:szCs w:val="24"/>
        </w:rPr>
        <w:tab/>
      </w:r>
      <w:r w:rsidR="00B65999" w:rsidRPr="000532D8">
        <w:rPr>
          <w:rFonts w:cs="Arial"/>
          <w:szCs w:val="24"/>
        </w:rPr>
        <w:t xml:space="preserve">So, the argument followed that when Standard Bank cancelled the </w:t>
      </w:r>
      <w:r w:rsidR="00D46EA0" w:rsidRPr="000532D8">
        <w:rPr>
          <w:rFonts w:cs="Arial"/>
          <w:szCs w:val="24"/>
        </w:rPr>
        <w:t>f</w:t>
      </w:r>
      <w:r w:rsidR="00B65999" w:rsidRPr="000532D8">
        <w:rPr>
          <w:rFonts w:cs="Arial"/>
          <w:szCs w:val="24"/>
        </w:rPr>
        <w:t xml:space="preserve">acility </w:t>
      </w:r>
      <w:r w:rsidR="00D46EA0" w:rsidRPr="000532D8">
        <w:rPr>
          <w:rFonts w:cs="Arial"/>
          <w:szCs w:val="24"/>
        </w:rPr>
        <w:t xml:space="preserve">agreement </w:t>
      </w:r>
      <w:r w:rsidR="00B65999" w:rsidRPr="000532D8">
        <w:rPr>
          <w:rFonts w:cs="Arial"/>
          <w:szCs w:val="24"/>
        </w:rPr>
        <w:t xml:space="preserve">(on 17 April 2023) </w:t>
      </w:r>
      <w:r w:rsidR="005C2AD6" w:rsidRPr="000532D8">
        <w:rPr>
          <w:rFonts w:cs="Arial"/>
          <w:szCs w:val="24"/>
        </w:rPr>
        <w:t xml:space="preserve">its </w:t>
      </w:r>
      <w:r w:rsidR="00B65999" w:rsidRPr="000532D8">
        <w:rPr>
          <w:rFonts w:cs="Arial"/>
          <w:szCs w:val="24"/>
        </w:rPr>
        <w:t xml:space="preserve">right to accelerate the date for payment had accrued.  Standard Bank could even </w:t>
      </w:r>
      <w:r w:rsidR="00B65999" w:rsidRPr="000532D8">
        <w:rPr>
          <w:rFonts w:cs="Arial"/>
          <w:i/>
          <w:iCs/>
          <w:szCs w:val="24"/>
        </w:rPr>
        <w:t>after</w:t>
      </w:r>
      <w:r w:rsidR="00B65999" w:rsidRPr="000532D8">
        <w:rPr>
          <w:rFonts w:cs="Arial"/>
          <w:szCs w:val="24"/>
        </w:rPr>
        <w:t xml:space="preserve"> cancellation accelerate the date for Urban Lime’s performance and thus the R 357 million had become due</w:t>
      </w:r>
      <w:r w:rsidR="005652CF" w:rsidRPr="000532D8">
        <w:rPr>
          <w:rFonts w:cs="Arial"/>
          <w:szCs w:val="24"/>
        </w:rPr>
        <w:t xml:space="preserve"> and payable</w:t>
      </w:r>
      <w:r w:rsidR="004564FD" w:rsidRPr="000532D8">
        <w:rPr>
          <w:rFonts w:cs="Arial"/>
          <w:szCs w:val="24"/>
        </w:rPr>
        <w:t xml:space="preserve">. </w:t>
      </w:r>
    </w:p>
    <w:p w14:paraId="6522CF26" w14:textId="2158F871" w:rsidR="008E05FF" w:rsidRPr="000532D8" w:rsidRDefault="00CB6C81" w:rsidP="00CB6C81">
      <w:pPr>
        <w:pStyle w:val="a"/>
        <w:numPr>
          <w:ilvl w:val="0"/>
          <w:numId w:val="0"/>
        </w:numPr>
        <w:ind w:left="720" w:hanging="720"/>
        <w:rPr>
          <w:rFonts w:cs="Arial"/>
          <w:szCs w:val="24"/>
        </w:rPr>
      </w:pPr>
      <w:r w:rsidRPr="000532D8">
        <w:rPr>
          <w:rFonts w:cs="Arial"/>
          <w:szCs w:val="24"/>
        </w:rPr>
        <w:t>[30]</w:t>
      </w:r>
      <w:r w:rsidRPr="000532D8">
        <w:rPr>
          <w:rFonts w:cs="Arial"/>
          <w:szCs w:val="24"/>
        </w:rPr>
        <w:tab/>
      </w:r>
      <w:r w:rsidR="00B65999" w:rsidRPr="000532D8">
        <w:rPr>
          <w:rFonts w:cs="Arial"/>
          <w:szCs w:val="24"/>
        </w:rPr>
        <w:t xml:space="preserve">Friedman did not take issue with Standard Bank’s right to rely </w:t>
      </w:r>
      <w:r w:rsidR="008E05FF" w:rsidRPr="000532D8">
        <w:rPr>
          <w:rFonts w:cs="Arial"/>
          <w:szCs w:val="24"/>
        </w:rPr>
        <w:t>(</w:t>
      </w:r>
      <w:r w:rsidR="00B65999" w:rsidRPr="000532D8">
        <w:rPr>
          <w:rFonts w:cs="Arial"/>
          <w:szCs w:val="24"/>
        </w:rPr>
        <w:t xml:space="preserve">as a matter of principle or </w:t>
      </w:r>
      <w:r w:rsidR="00587CE1" w:rsidRPr="000532D8">
        <w:rPr>
          <w:rFonts w:cs="Arial"/>
          <w:szCs w:val="24"/>
        </w:rPr>
        <w:t xml:space="preserve">on the </w:t>
      </w:r>
      <w:r w:rsidR="00B65999" w:rsidRPr="000532D8">
        <w:rPr>
          <w:rFonts w:cs="Arial"/>
          <w:szCs w:val="24"/>
        </w:rPr>
        <w:t>fact</w:t>
      </w:r>
      <w:r w:rsidR="00587CE1" w:rsidRPr="000532D8">
        <w:rPr>
          <w:rFonts w:cs="Arial"/>
          <w:szCs w:val="24"/>
        </w:rPr>
        <w:t>s</w:t>
      </w:r>
      <w:r w:rsidR="008E05FF" w:rsidRPr="000532D8">
        <w:rPr>
          <w:rFonts w:cs="Arial"/>
          <w:szCs w:val="24"/>
        </w:rPr>
        <w:t>)</w:t>
      </w:r>
      <w:r w:rsidR="00D46EA0" w:rsidRPr="000532D8">
        <w:rPr>
          <w:rStyle w:val="FootnoteReference"/>
          <w:rFonts w:cs="Arial"/>
          <w:szCs w:val="24"/>
        </w:rPr>
        <w:footnoteReference w:id="11"/>
      </w:r>
      <w:r w:rsidR="00B65999" w:rsidRPr="000532D8">
        <w:rPr>
          <w:rFonts w:cs="Arial"/>
          <w:szCs w:val="24"/>
        </w:rPr>
        <w:t xml:space="preserve"> on the acceleration clause in the </w:t>
      </w:r>
      <w:r w:rsidR="00D46EA0" w:rsidRPr="000532D8">
        <w:rPr>
          <w:rFonts w:cs="Arial"/>
          <w:szCs w:val="24"/>
        </w:rPr>
        <w:t>f</w:t>
      </w:r>
      <w:r w:rsidR="00B65999" w:rsidRPr="000532D8">
        <w:rPr>
          <w:rFonts w:cs="Arial"/>
          <w:szCs w:val="24"/>
        </w:rPr>
        <w:t>acility agreement.</w:t>
      </w:r>
      <w:r w:rsidR="008E05FF" w:rsidRPr="000532D8">
        <w:rPr>
          <w:rFonts w:cs="Arial"/>
          <w:szCs w:val="24"/>
        </w:rPr>
        <w:t xml:space="preserve"> His issue was </w:t>
      </w:r>
      <w:r w:rsidR="008E05FF" w:rsidRPr="000532D8">
        <w:rPr>
          <w:rFonts w:cs="Arial"/>
          <w:i/>
          <w:iCs/>
          <w:szCs w:val="24"/>
        </w:rPr>
        <w:t>when</w:t>
      </w:r>
      <w:r w:rsidR="008E05FF" w:rsidRPr="000532D8">
        <w:rPr>
          <w:rFonts w:cs="Arial"/>
          <w:szCs w:val="24"/>
        </w:rPr>
        <w:t xml:space="preserve"> that right was exercised.</w:t>
      </w:r>
      <w:r w:rsidR="00B65999" w:rsidRPr="000532D8">
        <w:rPr>
          <w:rFonts w:cs="Arial"/>
          <w:szCs w:val="24"/>
        </w:rPr>
        <w:t xml:space="preserve"> </w:t>
      </w:r>
      <w:r w:rsidR="008E05FF" w:rsidRPr="000532D8">
        <w:rPr>
          <w:rFonts w:cs="Arial"/>
          <w:szCs w:val="24"/>
        </w:rPr>
        <w:t xml:space="preserve">He claimed that once the contract </w:t>
      </w:r>
      <w:r w:rsidR="008E05FF" w:rsidRPr="000532D8">
        <w:rPr>
          <w:rFonts w:cs="Arial"/>
          <w:szCs w:val="24"/>
        </w:rPr>
        <w:lastRenderedPageBreak/>
        <w:t xml:space="preserve">was cancelled by Standard Bank it was too late for it </w:t>
      </w:r>
      <w:r w:rsidR="005C2AD6" w:rsidRPr="000532D8">
        <w:rPr>
          <w:rFonts w:cs="Arial"/>
          <w:szCs w:val="24"/>
        </w:rPr>
        <w:t xml:space="preserve">to </w:t>
      </w:r>
      <w:r w:rsidR="008E05FF" w:rsidRPr="000532D8">
        <w:rPr>
          <w:rFonts w:cs="Arial"/>
          <w:szCs w:val="24"/>
        </w:rPr>
        <w:t>rely on any provision (such as the acceleration clause) in what was now a non-extant contract.</w:t>
      </w:r>
    </w:p>
    <w:p w14:paraId="2AB7B837" w14:textId="4D4669E3" w:rsidR="008E05FF" w:rsidRPr="000532D8" w:rsidRDefault="00CB6C81" w:rsidP="00CB6C81">
      <w:pPr>
        <w:pStyle w:val="a"/>
        <w:numPr>
          <w:ilvl w:val="0"/>
          <w:numId w:val="0"/>
        </w:numPr>
        <w:ind w:left="720" w:hanging="720"/>
        <w:rPr>
          <w:rFonts w:cs="Arial"/>
          <w:szCs w:val="24"/>
        </w:rPr>
      </w:pPr>
      <w:r w:rsidRPr="000532D8">
        <w:rPr>
          <w:rFonts w:cs="Arial"/>
          <w:szCs w:val="24"/>
        </w:rPr>
        <w:t>[31]</w:t>
      </w:r>
      <w:r w:rsidRPr="000532D8">
        <w:rPr>
          <w:rFonts w:cs="Arial"/>
          <w:szCs w:val="24"/>
        </w:rPr>
        <w:tab/>
      </w:r>
      <w:r w:rsidR="008E05FF" w:rsidRPr="000532D8">
        <w:rPr>
          <w:rFonts w:cs="Arial"/>
          <w:szCs w:val="24"/>
        </w:rPr>
        <w:t>To quote from the heads of argument:</w:t>
      </w:r>
    </w:p>
    <w:p w14:paraId="70933236" w14:textId="6C810062" w:rsidR="008E05FF" w:rsidRPr="000532D8" w:rsidRDefault="008E05FF" w:rsidP="008E05FF">
      <w:pPr>
        <w:pStyle w:val="ListParagraph"/>
        <w:ind w:left="1440"/>
        <w:jc w:val="both"/>
        <w:rPr>
          <w:rFonts w:cs="Arial"/>
          <w:i/>
          <w:iCs/>
          <w:szCs w:val="24"/>
        </w:rPr>
      </w:pPr>
      <w:r w:rsidRPr="000532D8">
        <w:rPr>
          <w:rFonts w:cs="Arial"/>
          <w:szCs w:val="24"/>
        </w:rPr>
        <w:t>“</w:t>
      </w:r>
      <w:r w:rsidRPr="000532D8">
        <w:rPr>
          <w:rFonts w:cs="Arial"/>
          <w:i/>
          <w:iCs/>
          <w:szCs w:val="24"/>
        </w:rPr>
        <w:t>17.</w:t>
      </w:r>
      <w:r w:rsidRPr="000532D8">
        <w:rPr>
          <w:rFonts w:cs="Arial"/>
          <w:i/>
          <w:iCs/>
          <w:szCs w:val="24"/>
        </w:rPr>
        <w:tab/>
        <w:t xml:space="preserve">Accepting as correct that ULPSA </w:t>
      </w:r>
      <w:r w:rsidRPr="000532D8">
        <w:rPr>
          <w:rFonts w:cs="Arial"/>
          <w:szCs w:val="24"/>
        </w:rPr>
        <w:t>[Urban Lime]</w:t>
      </w:r>
      <w:r w:rsidRPr="000532D8">
        <w:rPr>
          <w:rFonts w:cs="Arial"/>
          <w:i/>
          <w:iCs/>
          <w:szCs w:val="24"/>
        </w:rPr>
        <w:t xml:space="preserve"> was in breach of the agreement, the remedy available to the applicant, as the innocent party, was to elect to uphold the agreement and claim specific performance and/or damages, or to cancel the agreement and claim restitution and damages.</w:t>
      </w:r>
    </w:p>
    <w:p w14:paraId="5588CAD5" w14:textId="2D846A69" w:rsidR="008E05FF" w:rsidRPr="000532D8" w:rsidRDefault="008E05FF" w:rsidP="008E05FF">
      <w:pPr>
        <w:pStyle w:val="ListParagraph"/>
        <w:ind w:left="1440"/>
        <w:jc w:val="both"/>
        <w:rPr>
          <w:rFonts w:cs="Arial"/>
          <w:i/>
          <w:iCs/>
          <w:szCs w:val="24"/>
        </w:rPr>
      </w:pPr>
      <w:r w:rsidRPr="000532D8">
        <w:rPr>
          <w:rFonts w:cs="Arial"/>
          <w:i/>
          <w:iCs/>
          <w:szCs w:val="24"/>
        </w:rPr>
        <w:t xml:space="preserve"> </w:t>
      </w:r>
      <w:r w:rsidRPr="000532D8">
        <w:rPr>
          <w:rFonts w:cs="Arial"/>
          <w:i/>
          <w:iCs/>
          <w:szCs w:val="24"/>
        </w:rPr>
        <w:tab/>
        <w:t>13 Swart v Vosloo 1965 (1) SA 100 (A) at 104H-105A</w:t>
      </w:r>
    </w:p>
    <w:p w14:paraId="3C57B374" w14:textId="6F281AA6" w:rsidR="008E05FF" w:rsidRPr="000532D8" w:rsidRDefault="008E05FF" w:rsidP="008E05FF">
      <w:pPr>
        <w:pStyle w:val="ListParagraph"/>
        <w:ind w:left="1440"/>
        <w:jc w:val="both"/>
        <w:rPr>
          <w:rFonts w:cs="Arial"/>
          <w:i/>
          <w:iCs/>
          <w:szCs w:val="24"/>
        </w:rPr>
      </w:pPr>
      <w:r w:rsidRPr="000532D8">
        <w:rPr>
          <w:rFonts w:cs="Arial"/>
          <w:i/>
          <w:iCs/>
          <w:szCs w:val="24"/>
        </w:rPr>
        <w:t xml:space="preserve"> </w:t>
      </w:r>
    </w:p>
    <w:p w14:paraId="46C99D48" w14:textId="4CD64439" w:rsidR="008E05FF" w:rsidRPr="000532D8" w:rsidRDefault="008E05FF" w:rsidP="008E05FF">
      <w:pPr>
        <w:pStyle w:val="ListParagraph"/>
        <w:ind w:left="1440"/>
        <w:jc w:val="both"/>
        <w:rPr>
          <w:rFonts w:cs="Arial"/>
          <w:i/>
          <w:iCs/>
          <w:szCs w:val="24"/>
        </w:rPr>
      </w:pPr>
      <w:r w:rsidRPr="000532D8">
        <w:rPr>
          <w:rFonts w:cs="Arial"/>
          <w:i/>
          <w:iCs/>
          <w:szCs w:val="24"/>
        </w:rPr>
        <w:t>18.</w:t>
      </w:r>
      <w:r w:rsidRPr="000532D8">
        <w:rPr>
          <w:rFonts w:cs="Arial"/>
          <w:i/>
          <w:iCs/>
          <w:szCs w:val="24"/>
        </w:rPr>
        <w:tab/>
        <w:t xml:space="preserve">The election is one that is taken </w:t>
      </w:r>
      <w:r w:rsidR="000532D8" w:rsidRPr="000532D8">
        <w:rPr>
          <w:rFonts w:cs="Arial"/>
          <w:i/>
          <w:iCs/>
          <w:szCs w:val="24"/>
        </w:rPr>
        <w:t>once and</w:t>
      </w:r>
      <w:r w:rsidRPr="000532D8">
        <w:rPr>
          <w:rFonts w:cs="Arial"/>
          <w:i/>
          <w:iCs/>
          <w:szCs w:val="24"/>
        </w:rPr>
        <w:t xml:space="preserve"> takes effect upon communication of the election.</w:t>
      </w:r>
    </w:p>
    <w:p w14:paraId="116E1E0B" w14:textId="4EE9A665" w:rsidR="008E05FF" w:rsidRPr="000532D8" w:rsidRDefault="008E05FF" w:rsidP="008E05FF">
      <w:pPr>
        <w:pStyle w:val="ListParagraph"/>
        <w:ind w:left="2160"/>
        <w:jc w:val="both"/>
        <w:rPr>
          <w:rFonts w:cs="Arial"/>
          <w:i/>
          <w:iCs/>
          <w:szCs w:val="24"/>
        </w:rPr>
      </w:pPr>
      <w:r w:rsidRPr="000532D8">
        <w:rPr>
          <w:rFonts w:cs="Arial"/>
          <w:i/>
          <w:iCs/>
          <w:szCs w:val="24"/>
        </w:rPr>
        <w:t xml:space="preserve">14  As was said by Nicholas AJA in Culverwell v Brown 1990 (1) SA 7 (A) at 17B: </w:t>
      </w:r>
    </w:p>
    <w:p w14:paraId="48833DE6" w14:textId="77777777" w:rsidR="008E05FF" w:rsidRPr="000532D8" w:rsidRDefault="008E05FF" w:rsidP="008E05FF">
      <w:pPr>
        <w:pStyle w:val="ListParagraph"/>
        <w:ind w:left="2160"/>
        <w:jc w:val="both"/>
        <w:rPr>
          <w:rFonts w:cs="Arial"/>
          <w:i/>
          <w:iCs/>
          <w:szCs w:val="24"/>
        </w:rPr>
      </w:pPr>
      <w:r w:rsidRPr="000532D8">
        <w:rPr>
          <w:rFonts w:cs="Arial"/>
          <w:i/>
          <w:iCs/>
          <w:szCs w:val="24"/>
        </w:rPr>
        <w:t>“Having once made his election, the injured party was bound by it - the choice of one remedy necessarily involves the abandonment of the other inconsistent remedy. He cannot both approbate and reprobate. Quod semel placuit in electionibus amplius displicere non potest.</w:t>
      </w:r>
    </w:p>
    <w:p w14:paraId="0B8C4F1F" w14:textId="6DEA7958" w:rsidR="008E05FF" w:rsidRPr="000532D8" w:rsidRDefault="008E05FF" w:rsidP="008E05FF">
      <w:pPr>
        <w:pStyle w:val="ListParagraph"/>
        <w:ind w:left="2160"/>
        <w:jc w:val="both"/>
        <w:rPr>
          <w:rFonts w:cs="Arial"/>
          <w:i/>
          <w:iCs/>
          <w:szCs w:val="24"/>
        </w:rPr>
      </w:pPr>
      <w:r w:rsidRPr="000532D8">
        <w:rPr>
          <w:rFonts w:cs="Arial"/>
          <w:i/>
          <w:iCs/>
          <w:szCs w:val="24"/>
        </w:rPr>
        <w:t>Plainly, where a party elects to terminate the contract, he cannot thereafter change his mind: the contract is gone. ”</w:t>
      </w:r>
    </w:p>
    <w:p w14:paraId="6DDC0824" w14:textId="77777777" w:rsidR="008E05FF" w:rsidRPr="000532D8" w:rsidRDefault="008E05FF" w:rsidP="008E05FF">
      <w:pPr>
        <w:pStyle w:val="ListParagraph"/>
        <w:ind w:left="1440"/>
        <w:jc w:val="both"/>
        <w:rPr>
          <w:rFonts w:cs="Arial"/>
          <w:i/>
          <w:iCs/>
          <w:szCs w:val="24"/>
        </w:rPr>
      </w:pPr>
    </w:p>
    <w:p w14:paraId="30B2D575" w14:textId="1F61A229" w:rsidR="008E05FF" w:rsidRPr="000532D8" w:rsidRDefault="008E05FF" w:rsidP="008E05FF">
      <w:pPr>
        <w:pStyle w:val="ListParagraph"/>
        <w:ind w:left="1440"/>
        <w:jc w:val="both"/>
        <w:rPr>
          <w:rFonts w:cs="Arial"/>
          <w:i/>
          <w:iCs/>
          <w:szCs w:val="24"/>
        </w:rPr>
      </w:pPr>
      <w:r w:rsidRPr="000532D8">
        <w:rPr>
          <w:rFonts w:cs="Arial"/>
          <w:i/>
          <w:iCs/>
          <w:szCs w:val="24"/>
        </w:rPr>
        <w:t>19.</w:t>
      </w:r>
      <w:r w:rsidRPr="000532D8">
        <w:rPr>
          <w:rFonts w:cs="Arial"/>
          <w:i/>
          <w:iCs/>
          <w:szCs w:val="24"/>
        </w:rPr>
        <w:tab/>
        <w:t>According to the founding affidavit, in the face of the alleged breaches, the applicant made an election, not to uphold the contract, but to cancel the contract.</w:t>
      </w:r>
      <w:r w:rsidR="005652CF" w:rsidRPr="000532D8">
        <w:rPr>
          <w:rFonts w:cs="Arial"/>
          <w:i/>
          <w:iCs/>
          <w:szCs w:val="24"/>
        </w:rPr>
        <w:t>”</w:t>
      </w:r>
      <w:r w:rsidRPr="000532D8">
        <w:rPr>
          <w:rFonts w:cs="Arial"/>
          <w:i/>
          <w:iCs/>
          <w:szCs w:val="24"/>
        </w:rPr>
        <w:t xml:space="preserve">  </w:t>
      </w:r>
    </w:p>
    <w:p w14:paraId="24D2EA3B" w14:textId="77777777" w:rsidR="008E05FF" w:rsidRPr="000532D8" w:rsidRDefault="008E05FF" w:rsidP="008E05FF">
      <w:pPr>
        <w:pStyle w:val="ListParagraph"/>
        <w:jc w:val="both"/>
        <w:rPr>
          <w:rFonts w:cs="Arial"/>
          <w:szCs w:val="24"/>
        </w:rPr>
      </w:pPr>
    </w:p>
    <w:p w14:paraId="2C82CB02" w14:textId="4F1755E1" w:rsidR="008E05FF" w:rsidRPr="000532D8" w:rsidRDefault="00CB6C81" w:rsidP="00CB6C81">
      <w:pPr>
        <w:pStyle w:val="a"/>
        <w:numPr>
          <w:ilvl w:val="0"/>
          <w:numId w:val="0"/>
        </w:numPr>
        <w:ind w:left="720" w:hanging="720"/>
        <w:rPr>
          <w:rFonts w:cs="Arial"/>
          <w:szCs w:val="24"/>
        </w:rPr>
      </w:pPr>
      <w:r w:rsidRPr="000532D8">
        <w:rPr>
          <w:rFonts w:cs="Arial"/>
          <w:szCs w:val="24"/>
        </w:rPr>
        <w:t>[32]</w:t>
      </w:r>
      <w:r w:rsidRPr="000532D8">
        <w:rPr>
          <w:rFonts w:cs="Arial"/>
          <w:szCs w:val="24"/>
        </w:rPr>
        <w:tab/>
      </w:r>
      <w:r w:rsidR="005652CF" w:rsidRPr="000532D8">
        <w:rPr>
          <w:rFonts w:cs="Arial"/>
          <w:szCs w:val="24"/>
        </w:rPr>
        <w:t xml:space="preserve">In the founding affidavit, Standard </w:t>
      </w:r>
      <w:r w:rsidR="00877998" w:rsidRPr="000532D8">
        <w:rPr>
          <w:rFonts w:cs="Arial"/>
          <w:szCs w:val="24"/>
        </w:rPr>
        <w:t>B</w:t>
      </w:r>
      <w:r w:rsidR="005652CF" w:rsidRPr="000532D8">
        <w:rPr>
          <w:rFonts w:cs="Arial"/>
          <w:szCs w:val="24"/>
        </w:rPr>
        <w:t>ank’s deponent (at par 34) stated:</w:t>
      </w:r>
    </w:p>
    <w:p w14:paraId="147F71E6" w14:textId="0D0BF4FC" w:rsidR="00877998" w:rsidRPr="000532D8" w:rsidRDefault="00877998" w:rsidP="00895B88">
      <w:pPr>
        <w:pStyle w:val="a"/>
        <w:numPr>
          <w:ilvl w:val="0"/>
          <w:numId w:val="0"/>
        </w:numPr>
        <w:ind w:left="1440"/>
        <w:rPr>
          <w:rFonts w:cs="Arial"/>
          <w:szCs w:val="24"/>
        </w:rPr>
      </w:pPr>
      <w:r w:rsidRPr="000532D8">
        <w:rPr>
          <w:rFonts w:cs="Arial"/>
          <w:szCs w:val="24"/>
        </w:rPr>
        <w:t>“</w:t>
      </w:r>
      <w:r w:rsidRPr="000532D8">
        <w:rPr>
          <w:rFonts w:cs="Arial"/>
          <w:i/>
          <w:iCs/>
          <w:szCs w:val="24"/>
        </w:rPr>
        <w:t>Given Urban Lime’s continuing defaults, and its failure to remedy its breaches of the Agreement, the applicant exercised its rights in terms of clause 2.19 of the Facility Agreement and (i) cancelled the Agreement, and (ii) declared that the full amount together with accrued interest became immediately due and payable</w:t>
      </w:r>
      <w:r w:rsidRPr="000532D8">
        <w:rPr>
          <w:rFonts w:cs="Arial"/>
          <w:szCs w:val="24"/>
        </w:rPr>
        <w:t>.”</w:t>
      </w:r>
    </w:p>
    <w:p w14:paraId="4207E393" w14:textId="27C1C10A" w:rsidR="00877998" w:rsidRPr="000532D8" w:rsidRDefault="00CB6C81" w:rsidP="00CB6C81">
      <w:pPr>
        <w:pStyle w:val="a"/>
        <w:numPr>
          <w:ilvl w:val="0"/>
          <w:numId w:val="0"/>
        </w:numPr>
        <w:ind w:left="720" w:hanging="720"/>
        <w:rPr>
          <w:rFonts w:cs="Arial"/>
          <w:szCs w:val="24"/>
        </w:rPr>
      </w:pPr>
      <w:r w:rsidRPr="000532D8">
        <w:rPr>
          <w:rFonts w:cs="Arial"/>
          <w:szCs w:val="24"/>
        </w:rPr>
        <w:t>[33]</w:t>
      </w:r>
      <w:r w:rsidRPr="000532D8">
        <w:rPr>
          <w:rFonts w:cs="Arial"/>
          <w:szCs w:val="24"/>
        </w:rPr>
        <w:tab/>
      </w:r>
      <w:r w:rsidR="00877998" w:rsidRPr="000532D8">
        <w:rPr>
          <w:rFonts w:cs="Arial"/>
          <w:szCs w:val="24"/>
        </w:rPr>
        <w:t xml:space="preserve">The exercise of Standard </w:t>
      </w:r>
      <w:r w:rsidR="00A626C8" w:rsidRPr="000532D8">
        <w:rPr>
          <w:rFonts w:cs="Arial"/>
          <w:szCs w:val="24"/>
        </w:rPr>
        <w:t>B</w:t>
      </w:r>
      <w:r w:rsidR="00877998" w:rsidRPr="000532D8">
        <w:rPr>
          <w:rFonts w:cs="Arial"/>
          <w:szCs w:val="24"/>
        </w:rPr>
        <w:t>ank’s rights w</w:t>
      </w:r>
      <w:r w:rsidR="00A626C8" w:rsidRPr="000532D8">
        <w:rPr>
          <w:rFonts w:cs="Arial"/>
          <w:szCs w:val="24"/>
        </w:rPr>
        <w:t>as</w:t>
      </w:r>
      <w:r w:rsidR="00877998" w:rsidRPr="000532D8">
        <w:rPr>
          <w:rFonts w:cs="Arial"/>
          <w:szCs w:val="24"/>
        </w:rPr>
        <w:t xml:space="preserve"> contained in a letter sent by its </w:t>
      </w:r>
      <w:r w:rsidR="00877998" w:rsidRPr="000532D8">
        <w:rPr>
          <w:rFonts w:cs="Arial"/>
          <w:szCs w:val="24"/>
        </w:rPr>
        <w:lastRenderedPageBreak/>
        <w:t xml:space="preserve">attorneys to Friedman on </w:t>
      </w:r>
      <w:r w:rsidR="00877998" w:rsidRPr="000532D8">
        <w:rPr>
          <w:rFonts w:cs="Arial"/>
          <w:b/>
          <w:bCs/>
          <w:szCs w:val="24"/>
        </w:rPr>
        <w:t>17 April 2023</w:t>
      </w:r>
      <w:r w:rsidR="00877998" w:rsidRPr="000532D8">
        <w:rPr>
          <w:rFonts w:cs="Arial"/>
          <w:szCs w:val="24"/>
        </w:rPr>
        <w:t>.</w:t>
      </w:r>
    </w:p>
    <w:p w14:paraId="3B81AB4E" w14:textId="2FEF72F3" w:rsidR="00877998" w:rsidRPr="000532D8" w:rsidRDefault="00877998" w:rsidP="00877998">
      <w:pPr>
        <w:pStyle w:val="a"/>
        <w:numPr>
          <w:ilvl w:val="0"/>
          <w:numId w:val="0"/>
        </w:numPr>
        <w:ind w:left="720"/>
        <w:rPr>
          <w:rFonts w:cs="Arial"/>
          <w:szCs w:val="24"/>
        </w:rPr>
      </w:pPr>
      <w:r w:rsidRPr="000532D8">
        <w:rPr>
          <w:rFonts w:cs="Arial"/>
          <w:szCs w:val="24"/>
        </w:rPr>
        <w:t>Paragraph 8 of the letter states:</w:t>
      </w:r>
    </w:p>
    <w:p w14:paraId="0A80319D" w14:textId="1EC224D7" w:rsidR="00877998" w:rsidRPr="000532D8" w:rsidRDefault="00877998" w:rsidP="00895B88">
      <w:pPr>
        <w:pStyle w:val="a"/>
        <w:numPr>
          <w:ilvl w:val="0"/>
          <w:numId w:val="0"/>
        </w:numPr>
        <w:ind w:left="1440"/>
        <w:rPr>
          <w:rFonts w:cs="Arial"/>
          <w:szCs w:val="24"/>
        </w:rPr>
      </w:pPr>
      <w:r w:rsidRPr="000532D8">
        <w:rPr>
          <w:rFonts w:cs="Arial"/>
          <w:szCs w:val="24"/>
        </w:rPr>
        <w:t>“</w:t>
      </w:r>
      <w:r w:rsidRPr="000532D8">
        <w:rPr>
          <w:rFonts w:cs="Arial"/>
          <w:i/>
          <w:iCs/>
          <w:szCs w:val="24"/>
        </w:rPr>
        <w:t xml:space="preserve">We have been instructed by our client to notify you (as we hereby do) that in the exercise of our client’s rights in terms of clause 2.19 of the agreement, the Agreement is hereby and immediately cancelled, and the full amount of the Loan, in the amount of R 370, 296, 379.85 (three hundred and seventy million two hundred and ninety-six thousand three hundred and seventy nine rand </w:t>
      </w:r>
      <w:r w:rsidR="00A626C8" w:rsidRPr="000532D8">
        <w:rPr>
          <w:rFonts w:cs="Arial"/>
          <w:i/>
          <w:iCs/>
          <w:szCs w:val="24"/>
        </w:rPr>
        <w:t>and eighty-five cents is immediately due and payable</w:t>
      </w:r>
      <w:r w:rsidR="00A626C8" w:rsidRPr="000532D8">
        <w:rPr>
          <w:rFonts w:cs="Arial"/>
          <w:szCs w:val="24"/>
        </w:rPr>
        <w:t>.”</w:t>
      </w:r>
      <w:r w:rsidRPr="000532D8">
        <w:rPr>
          <w:rFonts w:cs="Arial"/>
          <w:szCs w:val="24"/>
        </w:rPr>
        <w:t xml:space="preserve">  </w:t>
      </w:r>
    </w:p>
    <w:p w14:paraId="6C25919B" w14:textId="4A227A7C" w:rsidR="00A626C8" w:rsidRPr="000532D8" w:rsidRDefault="00CB6C81" w:rsidP="00CB6C81">
      <w:pPr>
        <w:pStyle w:val="a"/>
        <w:numPr>
          <w:ilvl w:val="0"/>
          <w:numId w:val="0"/>
        </w:numPr>
        <w:ind w:left="720" w:hanging="720"/>
        <w:rPr>
          <w:rFonts w:cs="Arial"/>
          <w:szCs w:val="24"/>
        </w:rPr>
      </w:pPr>
      <w:r w:rsidRPr="000532D8">
        <w:rPr>
          <w:rFonts w:cs="Arial"/>
          <w:szCs w:val="24"/>
        </w:rPr>
        <w:t>[34]</w:t>
      </w:r>
      <w:r w:rsidRPr="000532D8">
        <w:rPr>
          <w:rFonts w:cs="Arial"/>
          <w:szCs w:val="24"/>
        </w:rPr>
        <w:tab/>
      </w:r>
      <w:r w:rsidR="00A626C8" w:rsidRPr="000532D8">
        <w:rPr>
          <w:rFonts w:cs="Arial"/>
          <w:szCs w:val="24"/>
        </w:rPr>
        <w:t xml:space="preserve">Accepting the letter may not be a model of legal clarity, the question that strikes me, leaving aside the </w:t>
      </w:r>
      <w:r w:rsidR="00A626C8" w:rsidRPr="000532D8">
        <w:rPr>
          <w:rFonts w:cs="Arial"/>
          <w:i/>
          <w:iCs/>
          <w:szCs w:val="24"/>
        </w:rPr>
        <w:t>Walker’s Fruit Farm</w:t>
      </w:r>
      <w:r w:rsidR="00A626C8" w:rsidRPr="000532D8">
        <w:rPr>
          <w:rFonts w:cs="Arial"/>
          <w:szCs w:val="24"/>
        </w:rPr>
        <w:t xml:space="preserve"> “accrued point,” that arises is whether Standard Bank’s “election” in the manner and timing of its cancellation precluded it from relying on the acceleration clause when it did so in the same letter.   </w:t>
      </w:r>
    </w:p>
    <w:p w14:paraId="6C3DFB10" w14:textId="2A95A688" w:rsidR="00A626C8" w:rsidRPr="000532D8" w:rsidRDefault="00CB6C81" w:rsidP="00CB6C81">
      <w:pPr>
        <w:pStyle w:val="a"/>
        <w:numPr>
          <w:ilvl w:val="0"/>
          <w:numId w:val="0"/>
        </w:numPr>
        <w:ind w:left="720" w:hanging="720"/>
        <w:rPr>
          <w:rFonts w:cs="Arial"/>
          <w:szCs w:val="24"/>
        </w:rPr>
      </w:pPr>
      <w:r w:rsidRPr="000532D8">
        <w:rPr>
          <w:rFonts w:cs="Arial"/>
          <w:szCs w:val="24"/>
        </w:rPr>
        <w:t>[35]</w:t>
      </w:r>
      <w:r w:rsidRPr="000532D8">
        <w:rPr>
          <w:rFonts w:cs="Arial"/>
          <w:szCs w:val="24"/>
        </w:rPr>
        <w:tab/>
      </w:r>
      <w:r w:rsidR="00A626C8" w:rsidRPr="000532D8">
        <w:rPr>
          <w:rFonts w:cs="Arial"/>
          <w:szCs w:val="24"/>
        </w:rPr>
        <w:t>In other words, had Standard Bank executed the acceleration option at some point earlier than the exercise of the cancellation clause</w:t>
      </w:r>
      <w:r w:rsidR="00D129C8" w:rsidRPr="000532D8">
        <w:rPr>
          <w:rFonts w:cs="Arial"/>
          <w:szCs w:val="24"/>
        </w:rPr>
        <w:t xml:space="preserve">, there would have been no problem. </w:t>
      </w:r>
    </w:p>
    <w:p w14:paraId="523515EC" w14:textId="2AC6E03F" w:rsidR="00E933BA" w:rsidRPr="000532D8" w:rsidRDefault="00CB6C81" w:rsidP="00CB6C81">
      <w:pPr>
        <w:pStyle w:val="a"/>
        <w:numPr>
          <w:ilvl w:val="0"/>
          <w:numId w:val="0"/>
        </w:numPr>
        <w:ind w:left="720" w:hanging="720"/>
        <w:rPr>
          <w:rFonts w:cs="Arial"/>
          <w:szCs w:val="24"/>
        </w:rPr>
      </w:pPr>
      <w:r w:rsidRPr="000532D8">
        <w:rPr>
          <w:rFonts w:cs="Arial"/>
          <w:szCs w:val="24"/>
        </w:rPr>
        <w:t>[36]</w:t>
      </w:r>
      <w:r w:rsidRPr="000532D8">
        <w:rPr>
          <w:rFonts w:cs="Arial"/>
          <w:szCs w:val="24"/>
        </w:rPr>
        <w:tab/>
      </w:r>
      <w:r w:rsidR="00A626C8" w:rsidRPr="000532D8">
        <w:rPr>
          <w:rFonts w:cs="Arial"/>
          <w:szCs w:val="24"/>
        </w:rPr>
        <w:t xml:space="preserve">But because acceleration and cancellation occurred simultaneously in the same letter of 17 April 2023 it was too late for acceleration.  The agreement had been cancelled </w:t>
      </w:r>
      <w:r w:rsidR="00E933BA" w:rsidRPr="000532D8">
        <w:rPr>
          <w:rFonts w:cs="Arial"/>
          <w:szCs w:val="24"/>
        </w:rPr>
        <w:t xml:space="preserve">and in the words of </w:t>
      </w:r>
      <w:r w:rsidR="00E933BA" w:rsidRPr="000532D8">
        <w:rPr>
          <w:rFonts w:cs="Arial"/>
          <w:i/>
          <w:iCs/>
          <w:szCs w:val="24"/>
        </w:rPr>
        <w:t xml:space="preserve">Culverwell </w:t>
      </w:r>
      <w:r w:rsidR="00E933BA" w:rsidRPr="000532D8">
        <w:rPr>
          <w:rFonts w:cs="Arial"/>
          <w:szCs w:val="24"/>
        </w:rPr>
        <w:t>the contract “was gone.”</w:t>
      </w:r>
    </w:p>
    <w:p w14:paraId="748BC027" w14:textId="45A6CB02" w:rsidR="00E933BA" w:rsidRPr="000532D8" w:rsidRDefault="00CB6C81" w:rsidP="00CB6C81">
      <w:pPr>
        <w:pStyle w:val="a"/>
        <w:numPr>
          <w:ilvl w:val="0"/>
          <w:numId w:val="0"/>
        </w:numPr>
        <w:ind w:left="720" w:hanging="720"/>
        <w:rPr>
          <w:rFonts w:cs="Arial"/>
          <w:szCs w:val="24"/>
        </w:rPr>
      </w:pPr>
      <w:r w:rsidRPr="000532D8">
        <w:rPr>
          <w:rFonts w:cs="Arial"/>
          <w:szCs w:val="24"/>
        </w:rPr>
        <w:t>[37]</w:t>
      </w:r>
      <w:r w:rsidRPr="000532D8">
        <w:rPr>
          <w:rFonts w:cs="Arial"/>
          <w:szCs w:val="24"/>
        </w:rPr>
        <w:tab/>
      </w:r>
      <w:r w:rsidR="00E933BA" w:rsidRPr="000532D8">
        <w:rPr>
          <w:rFonts w:cs="Arial"/>
          <w:szCs w:val="24"/>
        </w:rPr>
        <w:t xml:space="preserve">In resolving this </w:t>
      </w:r>
      <w:r w:rsidR="00895B88" w:rsidRPr="000532D8">
        <w:rPr>
          <w:rFonts w:cs="Arial"/>
          <w:szCs w:val="24"/>
        </w:rPr>
        <w:t>issue,</w:t>
      </w:r>
      <w:r w:rsidR="00E933BA" w:rsidRPr="000532D8">
        <w:rPr>
          <w:rFonts w:cs="Arial"/>
          <w:szCs w:val="24"/>
        </w:rPr>
        <w:t xml:space="preserve"> I have had regard to the terms of the Facility agreement </w:t>
      </w:r>
      <w:r w:rsidR="00E933BA" w:rsidRPr="000532D8">
        <w:rPr>
          <w:rFonts w:cs="Arial"/>
          <w:szCs w:val="24"/>
        </w:rPr>
        <w:lastRenderedPageBreak/>
        <w:t>as a whole,</w:t>
      </w:r>
      <w:r w:rsidR="00E933BA" w:rsidRPr="000532D8">
        <w:rPr>
          <w:rStyle w:val="FootnoteReference"/>
          <w:rFonts w:cs="Arial"/>
          <w:szCs w:val="24"/>
        </w:rPr>
        <w:footnoteReference w:id="12"/>
      </w:r>
      <w:r w:rsidR="00E933BA" w:rsidRPr="000532D8">
        <w:rPr>
          <w:rFonts w:cs="Arial"/>
          <w:szCs w:val="24"/>
        </w:rPr>
        <w:t xml:space="preserve"> and in particular the clause dealing with acceleration (21.19). Indeed, clause 21.19.1.1 provides that upon the occurrence of a default </w:t>
      </w:r>
      <w:r w:rsidR="005C2AD6" w:rsidRPr="000532D8">
        <w:rPr>
          <w:rFonts w:cs="Arial"/>
          <w:szCs w:val="24"/>
        </w:rPr>
        <w:t>(</w:t>
      </w:r>
      <w:r w:rsidR="00E933BA" w:rsidRPr="000532D8">
        <w:rPr>
          <w:rFonts w:cs="Arial"/>
          <w:szCs w:val="24"/>
        </w:rPr>
        <w:t>which is what occurred in this case</w:t>
      </w:r>
      <w:r w:rsidR="005C2AD6" w:rsidRPr="000532D8">
        <w:rPr>
          <w:rFonts w:cs="Arial"/>
          <w:szCs w:val="24"/>
        </w:rPr>
        <w:t>)</w:t>
      </w:r>
      <w:r w:rsidR="00E933BA" w:rsidRPr="000532D8">
        <w:rPr>
          <w:rFonts w:cs="Arial"/>
          <w:szCs w:val="24"/>
        </w:rPr>
        <w:t xml:space="preserve"> Standard </w:t>
      </w:r>
      <w:r w:rsidR="0061778A" w:rsidRPr="000532D8">
        <w:rPr>
          <w:rFonts w:cs="Arial"/>
          <w:szCs w:val="24"/>
        </w:rPr>
        <w:t>B</w:t>
      </w:r>
      <w:r w:rsidR="00E933BA" w:rsidRPr="000532D8">
        <w:rPr>
          <w:rFonts w:cs="Arial"/>
          <w:szCs w:val="24"/>
        </w:rPr>
        <w:t>ank as Lender may:</w:t>
      </w:r>
    </w:p>
    <w:p w14:paraId="58A314EE" w14:textId="77777777" w:rsidR="00C85542" w:rsidRPr="000532D8" w:rsidRDefault="00C85542" w:rsidP="00E933BA">
      <w:pPr>
        <w:pStyle w:val="ListParagraph"/>
        <w:ind w:left="1440"/>
        <w:rPr>
          <w:rFonts w:cs="Arial"/>
          <w:szCs w:val="24"/>
        </w:rPr>
      </w:pPr>
    </w:p>
    <w:p w14:paraId="6CA9B8EB" w14:textId="466F6DC1" w:rsidR="00C85542" w:rsidRPr="000532D8" w:rsidRDefault="00895B88" w:rsidP="00E933BA">
      <w:pPr>
        <w:pStyle w:val="ListParagraph"/>
        <w:ind w:left="1440"/>
        <w:rPr>
          <w:rFonts w:cs="Arial"/>
          <w:szCs w:val="24"/>
        </w:rPr>
      </w:pPr>
      <w:r w:rsidRPr="000532D8">
        <w:rPr>
          <w:rFonts w:cs="Arial"/>
          <w:szCs w:val="24"/>
        </w:rPr>
        <w:t>“Acceleration</w:t>
      </w:r>
    </w:p>
    <w:p w14:paraId="168DF9F7" w14:textId="42630AFF" w:rsidR="00C85542" w:rsidRPr="000532D8" w:rsidRDefault="00C85542" w:rsidP="00E933BA">
      <w:pPr>
        <w:pStyle w:val="ListParagraph"/>
        <w:ind w:left="1440"/>
        <w:rPr>
          <w:rFonts w:cs="Arial"/>
          <w:szCs w:val="24"/>
        </w:rPr>
      </w:pPr>
      <w:r w:rsidRPr="000532D8">
        <w:rPr>
          <w:rFonts w:cs="Arial"/>
          <w:szCs w:val="24"/>
        </w:rPr>
        <w:t xml:space="preserve">   </w:t>
      </w:r>
    </w:p>
    <w:p w14:paraId="7C0E4037" w14:textId="4240BFCC" w:rsidR="00E933BA" w:rsidRPr="000532D8" w:rsidRDefault="00C85542" w:rsidP="00E933BA">
      <w:pPr>
        <w:pStyle w:val="ListParagraph"/>
        <w:ind w:left="1440"/>
        <w:rPr>
          <w:rFonts w:cs="Arial"/>
          <w:szCs w:val="24"/>
        </w:rPr>
      </w:pPr>
      <w:r w:rsidRPr="000532D8">
        <w:rPr>
          <w:rFonts w:cs="Arial"/>
          <w:szCs w:val="24"/>
        </w:rPr>
        <w:t xml:space="preserve">21.19.1.1 </w:t>
      </w:r>
      <w:r w:rsidRPr="000532D8">
        <w:rPr>
          <w:rFonts w:cs="Arial"/>
          <w:szCs w:val="24"/>
        </w:rPr>
        <w:tab/>
      </w:r>
      <w:r w:rsidR="00E933BA" w:rsidRPr="000532D8">
        <w:rPr>
          <w:rFonts w:cs="Arial"/>
          <w:b/>
          <w:bCs/>
          <w:i/>
          <w:iCs/>
          <w:szCs w:val="24"/>
        </w:rPr>
        <w:t>cancel all or any part of the Facil</w:t>
      </w:r>
      <w:r w:rsidR="0061778A" w:rsidRPr="000532D8">
        <w:rPr>
          <w:rFonts w:cs="Arial"/>
          <w:b/>
          <w:bCs/>
          <w:i/>
          <w:iCs/>
          <w:szCs w:val="24"/>
        </w:rPr>
        <w:t>i</w:t>
      </w:r>
      <w:r w:rsidR="00E933BA" w:rsidRPr="000532D8">
        <w:rPr>
          <w:rFonts w:cs="Arial"/>
          <w:b/>
          <w:bCs/>
          <w:i/>
          <w:iCs/>
          <w:szCs w:val="24"/>
        </w:rPr>
        <w:t>ty whereu</w:t>
      </w:r>
      <w:r w:rsidR="0061778A" w:rsidRPr="000532D8">
        <w:rPr>
          <w:rFonts w:cs="Arial"/>
          <w:b/>
          <w:bCs/>
          <w:i/>
          <w:iCs/>
          <w:szCs w:val="24"/>
        </w:rPr>
        <w:t>p</w:t>
      </w:r>
      <w:r w:rsidR="00E933BA" w:rsidRPr="000532D8">
        <w:rPr>
          <w:rFonts w:cs="Arial"/>
          <w:b/>
          <w:bCs/>
          <w:i/>
          <w:iCs/>
          <w:szCs w:val="24"/>
        </w:rPr>
        <w:t>on it shall immediately be cancelled</w:t>
      </w:r>
      <w:r w:rsidR="00E933BA" w:rsidRPr="000532D8">
        <w:rPr>
          <w:rFonts w:cs="Arial"/>
          <w:szCs w:val="24"/>
        </w:rPr>
        <w:t xml:space="preserve">.” </w:t>
      </w:r>
    </w:p>
    <w:p w14:paraId="02E52708" w14:textId="77777777" w:rsidR="00E933BA" w:rsidRPr="000532D8" w:rsidRDefault="00E933BA" w:rsidP="00E933BA">
      <w:pPr>
        <w:pStyle w:val="ListParagraph"/>
        <w:rPr>
          <w:rFonts w:cs="Arial"/>
          <w:szCs w:val="24"/>
        </w:rPr>
      </w:pPr>
    </w:p>
    <w:p w14:paraId="44B1EB5B" w14:textId="77777777" w:rsidR="00E933BA" w:rsidRPr="000532D8" w:rsidRDefault="00E933BA" w:rsidP="00E933BA">
      <w:pPr>
        <w:pStyle w:val="ListParagraph"/>
        <w:rPr>
          <w:rFonts w:cs="Arial"/>
          <w:szCs w:val="24"/>
        </w:rPr>
      </w:pPr>
    </w:p>
    <w:p w14:paraId="510EE1FB" w14:textId="4A8AB0A0" w:rsidR="00C85542" w:rsidRPr="000532D8" w:rsidRDefault="00CB6C81" w:rsidP="00CB6C81">
      <w:pPr>
        <w:pStyle w:val="a"/>
        <w:numPr>
          <w:ilvl w:val="0"/>
          <w:numId w:val="0"/>
        </w:numPr>
        <w:ind w:left="720" w:hanging="720"/>
        <w:rPr>
          <w:rFonts w:cs="Arial"/>
          <w:szCs w:val="24"/>
        </w:rPr>
      </w:pPr>
      <w:r w:rsidRPr="000532D8">
        <w:rPr>
          <w:rFonts w:cs="Arial"/>
          <w:szCs w:val="24"/>
        </w:rPr>
        <w:t>[38]</w:t>
      </w:r>
      <w:r w:rsidRPr="000532D8">
        <w:rPr>
          <w:rFonts w:cs="Arial"/>
          <w:szCs w:val="24"/>
        </w:rPr>
        <w:tab/>
      </w:r>
      <w:r w:rsidR="00C85542" w:rsidRPr="000532D8">
        <w:rPr>
          <w:rFonts w:cs="Arial"/>
          <w:szCs w:val="24"/>
        </w:rPr>
        <w:t>The acceleration clause itself contemplates cancellation.</w:t>
      </w:r>
    </w:p>
    <w:p w14:paraId="5DD75F92" w14:textId="69C520DD" w:rsidR="0061778A" w:rsidRPr="000532D8" w:rsidRDefault="00CB6C81" w:rsidP="00CB6C81">
      <w:pPr>
        <w:pStyle w:val="a"/>
        <w:numPr>
          <w:ilvl w:val="0"/>
          <w:numId w:val="0"/>
        </w:numPr>
        <w:ind w:left="720" w:hanging="720"/>
        <w:rPr>
          <w:rFonts w:cs="Arial"/>
          <w:szCs w:val="24"/>
        </w:rPr>
      </w:pPr>
      <w:r w:rsidRPr="000532D8">
        <w:rPr>
          <w:rFonts w:cs="Arial"/>
          <w:szCs w:val="24"/>
        </w:rPr>
        <w:t>[39]</w:t>
      </w:r>
      <w:r w:rsidRPr="000532D8">
        <w:rPr>
          <w:rFonts w:cs="Arial"/>
          <w:szCs w:val="24"/>
        </w:rPr>
        <w:tab/>
      </w:r>
      <w:r w:rsidR="0061778A" w:rsidRPr="000532D8">
        <w:rPr>
          <w:rFonts w:cs="Arial"/>
          <w:szCs w:val="24"/>
        </w:rPr>
        <w:t>Frie</w:t>
      </w:r>
      <w:r w:rsidR="00C85542" w:rsidRPr="000532D8">
        <w:rPr>
          <w:rFonts w:cs="Arial"/>
          <w:szCs w:val="24"/>
        </w:rPr>
        <w:t>d</w:t>
      </w:r>
      <w:r w:rsidR="0061778A" w:rsidRPr="000532D8">
        <w:rPr>
          <w:rFonts w:cs="Arial"/>
          <w:szCs w:val="24"/>
        </w:rPr>
        <w:t xml:space="preserve">man argues in paragraph 23 of his heads of argument that: “It is clear that the remedy asserted against </w:t>
      </w:r>
      <w:r w:rsidR="00D129C8" w:rsidRPr="000532D8">
        <w:rPr>
          <w:rFonts w:cs="Arial"/>
          <w:szCs w:val="24"/>
        </w:rPr>
        <w:t xml:space="preserve">Urban Lime </w:t>
      </w:r>
      <w:r w:rsidR="0061778A" w:rsidRPr="000532D8">
        <w:rPr>
          <w:rFonts w:cs="Arial"/>
          <w:szCs w:val="24"/>
        </w:rPr>
        <w:t>is one for an acceleration of benefits under the contract – a claim for the primary future obligations under the contract to be immediately performed.  In law, that remedy is not available to the applicant after communication of its election to cancel the agreement (as opposed to the cancellation of the facility, which would have given rise to the election in clause 21.19 of the facility agreement).”</w:t>
      </w:r>
    </w:p>
    <w:p w14:paraId="7FD9168D" w14:textId="2D607DC1" w:rsidR="0080021D" w:rsidRPr="000532D8" w:rsidRDefault="00CB6C81" w:rsidP="00CB6C81">
      <w:pPr>
        <w:pStyle w:val="a"/>
        <w:numPr>
          <w:ilvl w:val="0"/>
          <w:numId w:val="0"/>
        </w:numPr>
        <w:ind w:left="720" w:hanging="720"/>
        <w:rPr>
          <w:rFonts w:cs="Arial"/>
          <w:szCs w:val="24"/>
        </w:rPr>
      </w:pPr>
      <w:r w:rsidRPr="000532D8">
        <w:rPr>
          <w:rFonts w:cs="Arial"/>
          <w:szCs w:val="24"/>
        </w:rPr>
        <w:t>[40]</w:t>
      </w:r>
      <w:r w:rsidRPr="000532D8">
        <w:rPr>
          <w:rFonts w:cs="Arial"/>
          <w:szCs w:val="24"/>
        </w:rPr>
        <w:tab/>
      </w:r>
      <w:r w:rsidR="0061778A" w:rsidRPr="000532D8">
        <w:rPr>
          <w:rFonts w:cs="Arial"/>
          <w:szCs w:val="24"/>
        </w:rPr>
        <w:t>And he explains that the remedies in clause 21.19 are primary contractual remedies.</w:t>
      </w:r>
    </w:p>
    <w:p w14:paraId="62052FF9" w14:textId="53458732" w:rsidR="00E933BA" w:rsidRPr="000532D8" w:rsidRDefault="00CB6C81" w:rsidP="00CB6C81">
      <w:pPr>
        <w:pStyle w:val="a"/>
        <w:numPr>
          <w:ilvl w:val="0"/>
          <w:numId w:val="0"/>
        </w:numPr>
        <w:ind w:left="720" w:hanging="720"/>
        <w:rPr>
          <w:rFonts w:cs="Arial"/>
          <w:szCs w:val="24"/>
        </w:rPr>
      </w:pPr>
      <w:r w:rsidRPr="000532D8">
        <w:rPr>
          <w:rFonts w:cs="Arial"/>
          <w:szCs w:val="24"/>
        </w:rPr>
        <w:t>[41]</w:t>
      </w:r>
      <w:r w:rsidRPr="000532D8">
        <w:rPr>
          <w:rFonts w:cs="Arial"/>
          <w:szCs w:val="24"/>
        </w:rPr>
        <w:tab/>
      </w:r>
      <w:r w:rsidR="0080021D" w:rsidRPr="000532D8">
        <w:rPr>
          <w:rFonts w:cs="Arial"/>
          <w:szCs w:val="24"/>
        </w:rPr>
        <w:t xml:space="preserve">As I understand Friedman’s argument, he could not have complained if Standard Bank had accelerated on, say 16 April 2023, and cancelled on 17 April 2023. Or if the acceleration had occurred on the same day, but a few hours or even minutes earlier than the cancellation.  But they occurred at the same </w:t>
      </w:r>
      <w:r w:rsidR="0080021D" w:rsidRPr="000532D8">
        <w:rPr>
          <w:rFonts w:cs="Arial"/>
          <w:szCs w:val="24"/>
        </w:rPr>
        <w:lastRenderedPageBreak/>
        <w:t xml:space="preserve">time and were communicated in the same letter. </w:t>
      </w:r>
      <w:r w:rsidR="0061778A" w:rsidRPr="000532D8">
        <w:rPr>
          <w:rFonts w:cs="Arial"/>
          <w:szCs w:val="24"/>
        </w:rPr>
        <w:t xml:space="preserve"> </w:t>
      </w:r>
    </w:p>
    <w:p w14:paraId="47F75A51" w14:textId="1C390A1C" w:rsidR="00605799" w:rsidRPr="000532D8" w:rsidRDefault="00CB6C81" w:rsidP="00CB6C81">
      <w:pPr>
        <w:pStyle w:val="a"/>
        <w:numPr>
          <w:ilvl w:val="0"/>
          <w:numId w:val="0"/>
        </w:numPr>
        <w:ind w:left="720" w:hanging="720"/>
        <w:rPr>
          <w:rFonts w:cs="Arial"/>
          <w:szCs w:val="24"/>
        </w:rPr>
      </w:pPr>
      <w:r w:rsidRPr="000532D8">
        <w:rPr>
          <w:rFonts w:cs="Arial"/>
          <w:szCs w:val="24"/>
        </w:rPr>
        <w:t>[42]</w:t>
      </w:r>
      <w:r w:rsidRPr="000532D8">
        <w:rPr>
          <w:rFonts w:cs="Arial"/>
          <w:szCs w:val="24"/>
        </w:rPr>
        <w:tab/>
      </w:r>
      <w:r w:rsidR="00FF3198" w:rsidRPr="000532D8">
        <w:rPr>
          <w:rFonts w:cs="Arial"/>
          <w:szCs w:val="24"/>
        </w:rPr>
        <w:t>T</w:t>
      </w:r>
      <w:r w:rsidR="00AE1B45" w:rsidRPr="000532D8">
        <w:rPr>
          <w:rFonts w:cs="Arial"/>
          <w:szCs w:val="24"/>
        </w:rPr>
        <w:t>h</w:t>
      </w:r>
      <w:r w:rsidR="00FF3198" w:rsidRPr="000532D8">
        <w:rPr>
          <w:rFonts w:cs="Arial"/>
          <w:szCs w:val="24"/>
        </w:rPr>
        <w:t xml:space="preserve">e </w:t>
      </w:r>
      <w:r w:rsidR="00AE1B45" w:rsidRPr="000532D8">
        <w:rPr>
          <w:rFonts w:cs="Arial"/>
          <w:szCs w:val="24"/>
        </w:rPr>
        <w:t xml:space="preserve">interpretation </w:t>
      </w:r>
      <w:r w:rsidR="00FF3198" w:rsidRPr="000532D8">
        <w:rPr>
          <w:rFonts w:cs="Arial"/>
          <w:szCs w:val="24"/>
        </w:rPr>
        <w:t xml:space="preserve">contended for by Friedman </w:t>
      </w:r>
      <w:r w:rsidR="00AE1B45" w:rsidRPr="000532D8">
        <w:rPr>
          <w:rFonts w:cs="Arial"/>
          <w:szCs w:val="24"/>
        </w:rPr>
        <w:t xml:space="preserve">is inconsistent with the principles governing the interpretation of contracts. </w:t>
      </w:r>
      <w:r w:rsidR="0080021D" w:rsidRPr="000532D8">
        <w:rPr>
          <w:rFonts w:cs="Arial"/>
          <w:szCs w:val="24"/>
        </w:rPr>
        <w:t xml:space="preserve">Common sense and a business- like approach to the matter </w:t>
      </w:r>
      <w:r w:rsidR="00FF3198" w:rsidRPr="000532D8">
        <w:rPr>
          <w:rFonts w:cs="Arial"/>
          <w:szCs w:val="24"/>
        </w:rPr>
        <w:t xml:space="preserve">reveal the fault lines in Friedman’s argument. </w:t>
      </w:r>
    </w:p>
    <w:p w14:paraId="6A2ACF3A" w14:textId="6298D53A" w:rsidR="00AE1B45" w:rsidRPr="000532D8" w:rsidRDefault="00CB6C81" w:rsidP="00CB6C81">
      <w:pPr>
        <w:pStyle w:val="a"/>
        <w:numPr>
          <w:ilvl w:val="0"/>
          <w:numId w:val="0"/>
        </w:numPr>
        <w:ind w:left="720" w:hanging="720"/>
        <w:rPr>
          <w:rFonts w:cs="Arial"/>
          <w:szCs w:val="24"/>
        </w:rPr>
      </w:pPr>
      <w:r w:rsidRPr="000532D8">
        <w:rPr>
          <w:rFonts w:cs="Arial"/>
          <w:szCs w:val="24"/>
        </w:rPr>
        <w:t>[43]</w:t>
      </w:r>
      <w:r w:rsidRPr="000532D8">
        <w:rPr>
          <w:rFonts w:cs="Arial"/>
          <w:szCs w:val="24"/>
        </w:rPr>
        <w:tab/>
      </w:r>
      <w:r w:rsidR="00AE1B45" w:rsidRPr="000532D8">
        <w:rPr>
          <w:rFonts w:cs="Arial"/>
          <w:szCs w:val="24"/>
        </w:rPr>
        <w:t>For more than a century, the Courts have held that an interpretation that promotes an absurd result will not be given effect to.</w:t>
      </w:r>
      <w:r w:rsidR="00AE1B45" w:rsidRPr="000532D8">
        <w:rPr>
          <w:rStyle w:val="FootnoteReference"/>
          <w:rFonts w:cs="Arial"/>
          <w:szCs w:val="24"/>
        </w:rPr>
        <w:footnoteReference w:id="13"/>
      </w:r>
      <w:r w:rsidR="00AE1B45" w:rsidRPr="000532D8">
        <w:rPr>
          <w:rFonts w:cs="Arial"/>
          <w:szCs w:val="24"/>
        </w:rPr>
        <w:t xml:space="preserve"> And relatedly, an interpretation that is sensible, will be preferred over one that is not.</w:t>
      </w:r>
      <w:r w:rsidR="00B72DB3" w:rsidRPr="000532D8">
        <w:rPr>
          <w:rStyle w:val="FootnoteReference"/>
          <w:rFonts w:cs="Arial"/>
          <w:szCs w:val="24"/>
        </w:rPr>
        <w:footnoteReference w:id="14"/>
      </w:r>
      <w:r w:rsidR="00AE1B45" w:rsidRPr="000532D8">
        <w:rPr>
          <w:rFonts w:cs="Arial"/>
          <w:szCs w:val="24"/>
        </w:rPr>
        <w:t xml:space="preserve"> </w:t>
      </w:r>
    </w:p>
    <w:p w14:paraId="50071BB9" w14:textId="2FE0EAB4" w:rsidR="00FF3198" w:rsidRPr="000532D8" w:rsidRDefault="00CB6C81" w:rsidP="00CB6C81">
      <w:pPr>
        <w:pStyle w:val="a"/>
        <w:numPr>
          <w:ilvl w:val="0"/>
          <w:numId w:val="0"/>
        </w:numPr>
        <w:ind w:left="720" w:hanging="720"/>
        <w:rPr>
          <w:rFonts w:cs="Arial"/>
          <w:szCs w:val="24"/>
        </w:rPr>
      </w:pPr>
      <w:r w:rsidRPr="000532D8">
        <w:rPr>
          <w:rFonts w:cs="Arial"/>
          <w:szCs w:val="24"/>
        </w:rPr>
        <w:t>[44]</w:t>
      </w:r>
      <w:r w:rsidRPr="000532D8">
        <w:rPr>
          <w:rFonts w:cs="Arial"/>
          <w:szCs w:val="24"/>
        </w:rPr>
        <w:tab/>
      </w:r>
      <w:r w:rsidR="00FF3198" w:rsidRPr="000532D8">
        <w:rPr>
          <w:rFonts w:cs="Arial"/>
          <w:szCs w:val="24"/>
        </w:rPr>
        <w:t>Of course, if an agreement is cancelled, a party may not</w:t>
      </w:r>
      <w:r w:rsidR="00FF3198" w:rsidRPr="000532D8">
        <w:rPr>
          <w:rFonts w:cs="Arial"/>
          <w:b/>
          <w:bCs/>
          <w:i/>
          <w:iCs/>
          <w:szCs w:val="24"/>
        </w:rPr>
        <w:t xml:space="preserve"> later </w:t>
      </w:r>
      <w:r w:rsidR="00FF3198" w:rsidRPr="000532D8">
        <w:rPr>
          <w:rFonts w:cs="Arial"/>
          <w:szCs w:val="24"/>
        </w:rPr>
        <w:t xml:space="preserve">seek to invoke the rights that exist under the contract. The reason for this is that the contract is dead. But there is nothing in law that precludes parties from exercising their rights simultaneous with cancellation. Here, Standard Bank </w:t>
      </w:r>
      <w:r w:rsidR="00895B88" w:rsidRPr="000532D8">
        <w:rPr>
          <w:rFonts w:cs="Arial"/>
          <w:szCs w:val="24"/>
        </w:rPr>
        <w:t>sought to</w:t>
      </w:r>
      <w:r w:rsidR="00FF3198" w:rsidRPr="000532D8">
        <w:rPr>
          <w:rFonts w:cs="Arial"/>
          <w:szCs w:val="24"/>
        </w:rPr>
        <w:t xml:space="preserve"> invoke its right to acceleration</w:t>
      </w:r>
      <w:r w:rsidR="00C85542" w:rsidRPr="000532D8">
        <w:rPr>
          <w:rFonts w:cs="Arial"/>
          <w:szCs w:val="24"/>
        </w:rPr>
        <w:t xml:space="preserve"> </w:t>
      </w:r>
      <w:r w:rsidR="00C85542" w:rsidRPr="000532D8">
        <w:rPr>
          <w:rFonts w:cs="Arial"/>
          <w:b/>
          <w:bCs/>
          <w:i/>
          <w:iCs/>
          <w:szCs w:val="24"/>
        </w:rPr>
        <w:t>not after</w:t>
      </w:r>
      <w:r w:rsidR="00C85542" w:rsidRPr="000532D8">
        <w:rPr>
          <w:rFonts w:cs="Arial"/>
          <w:szCs w:val="24"/>
        </w:rPr>
        <w:t xml:space="preserve"> cancellation, but at the same time as </w:t>
      </w:r>
      <w:r w:rsidR="00D068DB" w:rsidRPr="000532D8">
        <w:rPr>
          <w:rFonts w:cs="Arial"/>
          <w:szCs w:val="24"/>
        </w:rPr>
        <w:t>cancellation.</w:t>
      </w:r>
      <w:r w:rsidR="00C85542" w:rsidRPr="000532D8">
        <w:rPr>
          <w:rFonts w:cs="Arial"/>
          <w:szCs w:val="24"/>
        </w:rPr>
        <w:t xml:space="preserve"> </w:t>
      </w:r>
      <w:r w:rsidR="00D068DB" w:rsidRPr="000532D8">
        <w:rPr>
          <w:rFonts w:cs="Arial"/>
          <w:szCs w:val="24"/>
        </w:rPr>
        <w:t>It was entitled to do so in terms of clause 21.19 of the agreement which incorporates the right of cancellation under the heading “acceleration”.</w:t>
      </w:r>
      <w:r w:rsidR="00C956AC" w:rsidRPr="000532D8">
        <w:rPr>
          <w:rStyle w:val="FootnoteReference"/>
          <w:rFonts w:cs="Arial"/>
          <w:szCs w:val="24"/>
        </w:rPr>
        <w:footnoteReference w:id="15"/>
      </w:r>
      <w:r w:rsidR="00D068DB" w:rsidRPr="000532D8">
        <w:rPr>
          <w:rFonts w:cs="Arial"/>
          <w:szCs w:val="24"/>
        </w:rPr>
        <w:t xml:space="preserve"> </w:t>
      </w:r>
    </w:p>
    <w:p w14:paraId="714907E3" w14:textId="739B8241" w:rsidR="004564FD" w:rsidRPr="000532D8" w:rsidRDefault="00CB6C81" w:rsidP="00CB6C81">
      <w:pPr>
        <w:pStyle w:val="a"/>
        <w:numPr>
          <w:ilvl w:val="0"/>
          <w:numId w:val="0"/>
        </w:numPr>
        <w:ind w:left="720" w:hanging="720"/>
        <w:rPr>
          <w:rFonts w:cs="Arial"/>
          <w:szCs w:val="24"/>
        </w:rPr>
      </w:pPr>
      <w:r w:rsidRPr="000532D8">
        <w:rPr>
          <w:rFonts w:cs="Arial"/>
          <w:szCs w:val="24"/>
        </w:rPr>
        <w:t>[45]</w:t>
      </w:r>
      <w:r w:rsidRPr="000532D8">
        <w:rPr>
          <w:rFonts w:cs="Arial"/>
          <w:szCs w:val="24"/>
        </w:rPr>
        <w:tab/>
      </w:r>
      <w:r w:rsidR="004564FD" w:rsidRPr="000532D8">
        <w:rPr>
          <w:rFonts w:cs="Arial"/>
          <w:szCs w:val="24"/>
        </w:rPr>
        <w:t>But quite apart from the fact that the agreement incorporates cancellation as a permissible election that may be made under the heading “acceleration”, it would also</w:t>
      </w:r>
      <w:r w:rsidR="00605799" w:rsidRPr="000532D8">
        <w:rPr>
          <w:rFonts w:cs="Arial"/>
          <w:szCs w:val="24"/>
        </w:rPr>
        <w:t xml:space="preserve"> be placing form over substance to insist on acceleration taking place a minute before cancellation, but not simultaneously in the same letter. </w:t>
      </w:r>
    </w:p>
    <w:p w14:paraId="10C24E70" w14:textId="0E266FCB" w:rsidR="00877998" w:rsidRPr="000532D8" w:rsidRDefault="00CB6C81" w:rsidP="00CB6C81">
      <w:pPr>
        <w:pStyle w:val="a"/>
        <w:numPr>
          <w:ilvl w:val="0"/>
          <w:numId w:val="0"/>
        </w:numPr>
        <w:ind w:left="720" w:hanging="720"/>
        <w:rPr>
          <w:rFonts w:cs="Arial"/>
          <w:szCs w:val="24"/>
        </w:rPr>
      </w:pPr>
      <w:r w:rsidRPr="000532D8">
        <w:rPr>
          <w:rFonts w:cs="Arial"/>
          <w:szCs w:val="24"/>
        </w:rPr>
        <w:lastRenderedPageBreak/>
        <w:t>[46]</w:t>
      </w:r>
      <w:r w:rsidRPr="000532D8">
        <w:rPr>
          <w:rFonts w:cs="Arial"/>
          <w:szCs w:val="24"/>
        </w:rPr>
        <w:tab/>
      </w:r>
      <w:r w:rsidR="00D068DB" w:rsidRPr="000532D8">
        <w:rPr>
          <w:rFonts w:cs="Arial"/>
          <w:szCs w:val="24"/>
        </w:rPr>
        <w:t>Friedman’s approach requires this Court to conclude that Standard Bank would have been entitled to cancel in a separate letter sent hours</w:t>
      </w:r>
      <w:r w:rsidR="00C956AC" w:rsidRPr="000532D8">
        <w:rPr>
          <w:rFonts w:cs="Arial"/>
          <w:szCs w:val="24"/>
        </w:rPr>
        <w:t xml:space="preserve"> or indeed minutes</w:t>
      </w:r>
      <w:r w:rsidR="00D068DB" w:rsidRPr="000532D8">
        <w:rPr>
          <w:rFonts w:cs="Arial"/>
          <w:szCs w:val="24"/>
        </w:rPr>
        <w:t xml:space="preserve"> after exercising the right of acceleration</w:t>
      </w:r>
      <w:r w:rsidR="00C956AC" w:rsidRPr="000532D8">
        <w:rPr>
          <w:rFonts w:cs="Arial"/>
          <w:szCs w:val="24"/>
        </w:rPr>
        <w:t xml:space="preserve">, but not simultaneously. What purpose is served by this formality? </w:t>
      </w:r>
      <w:r w:rsidR="00825A0F" w:rsidRPr="000532D8">
        <w:rPr>
          <w:rFonts w:cs="Arial"/>
          <w:szCs w:val="24"/>
        </w:rPr>
        <w:t xml:space="preserve">In my view, there is none. It does not promote the purpose of the agreement, nor does it advance </w:t>
      </w:r>
      <w:r w:rsidR="00B17FF3" w:rsidRPr="000532D8">
        <w:rPr>
          <w:rFonts w:cs="Arial"/>
          <w:szCs w:val="24"/>
        </w:rPr>
        <w:t>any of the policy considerations that underlie the law of contract.</w:t>
      </w:r>
      <w:r w:rsidR="00B17FF3" w:rsidRPr="000532D8" w:rsidDel="00825A0F">
        <w:rPr>
          <w:rFonts w:cs="Arial"/>
          <w:szCs w:val="24"/>
        </w:rPr>
        <w:t xml:space="preserve"> </w:t>
      </w:r>
    </w:p>
    <w:p w14:paraId="4186B97A" w14:textId="2F6D4615" w:rsidR="00B17FF3" w:rsidRPr="000532D8" w:rsidRDefault="00CB6C81" w:rsidP="00CB6C81">
      <w:pPr>
        <w:pStyle w:val="a"/>
        <w:numPr>
          <w:ilvl w:val="0"/>
          <w:numId w:val="0"/>
        </w:numPr>
        <w:ind w:left="720" w:hanging="720"/>
        <w:rPr>
          <w:rFonts w:cs="Arial"/>
          <w:szCs w:val="24"/>
        </w:rPr>
      </w:pPr>
      <w:r w:rsidRPr="000532D8">
        <w:rPr>
          <w:rFonts w:cs="Arial"/>
          <w:szCs w:val="24"/>
        </w:rPr>
        <w:t>[47]</w:t>
      </w:r>
      <w:r w:rsidRPr="000532D8">
        <w:rPr>
          <w:rFonts w:cs="Arial"/>
          <w:szCs w:val="24"/>
        </w:rPr>
        <w:tab/>
      </w:r>
      <w:r w:rsidR="00B17FF3" w:rsidRPr="000532D8">
        <w:rPr>
          <w:szCs w:val="24"/>
          <w:lang w:val="en-US"/>
        </w:rPr>
        <w:t xml:space="preserve">In some cases, there are tensions between various policy considerations that inform the law of contract under the Constitution. Cases such as </w:t>
      </w:r>
      <w:r w:rsidR="00B17FF3" w:rsidRPr="000532D8">
        <w:rPr>
          <w:i/>
          <w:iCs/>
          <w:szCs w:val="24"/>
          <w:lang w:val="en-US"/>
        </w:rPr>
        <w:t>Beadica 231</w:t>
      </w:r>
      <w:r w:rsidR="004564FD" w:rsidRPr="000532D8">
        <w:rPr>
          <w:rStyle w:val="FootnoteReference"/>
          <w:szCs w:val="24"/>
          <w:lang w:val="en-US"/>
        </w:rPr>
        <w:footnoteReference w:id="16"/>
      </w:r>
      <w:r w:rsidR="00B17FF3" w:rsidRPr="000532D8">
        <w:rPr>
          <w:szCs w:val="24"/>
          <w:lang w:val="en-US"/>
        </w:rPr>
        <w:t xml:space="preserve"> </w:t>
      </w:r>
      <w:r w:rsidR="00B17FF3" w:rsidRPr="000532D8">
        <w:rPr>
          <w:i/>
          <w:iCs/>
          <w:szCs w:val="24"/>
          <w:lang w:val="en-US"/>
        </w:rPr>
        <w:t>and Pridwin Preparatory School</w:t>
      </w:r>
      <w:r w:rsidR="004564FD" w:rsidRPr="000532D8">
        <w:rPr>
          <w:rStyle w:val="FootnoteReference"/>
          <w:szCs w:val="24"/>
          <w:lang w:val="en-US"/>
        </w:rPr>
        <w:footnoteReference w:id="17"/>
      </w:r>
      <w:r w:rsidR="004564FD" w:rsidRPr="000532D8">
        <w:rPr>
          <w:szCs w:val="24"/>
          <w:lang w:val="en-US"/>
        </w:rPr>
        <w:t xml:space="preserve"> </w:t>
      </w:r>
      <w:r w:rsidR="00B17FF3" w:rsidRPr="000532D8">
        <w:rPr>
          <w:szCs w:val="24"/>
          <w:lang w:val="en-US"/>
        </w:rPr>
        <w:t xml:space="preserve">illustrate the tension that can exist between legal certainty and predictability on the one hand (both values of the rule of law), and fairness, </w:t>
      </w:r>
      <w:r w:rsidR="004564FD" w:rsidRPr="000532D8">
        <w:rPr>
          <w:szCs w:val="24"/>
          <w:lang w:val="en-US"/>
        </w:rPr>
        <w:t>dignity,</w:t>
      </w:r>
      <w:r w:rsidR="00B17FF3" w:rsidRPr="000532D8">
        <w:rPr>
          <w:szCs w:val="24"/>
          <w:lang w:val="en-US"/>
        </w:rPr>
        <w:t xml:space="preserve"> and equality on the other hand (also values of the rule of law). </w:t>
      </w:r>
      <w:r w:rsidR="004564FD" w:rsidRPr="000532D8">
        <w:rPr>
          <w:szCs w:val="24"/>
          <w:lang w:val="en-US"/>
        </w:rPr>
        <w:t xml:space="preserve">But unlike </w:t>
      </w:r>
      <w:r w:rsidR="004564FD" w:rsidRPr="000532D8">
        <w:rPr>
          <w:i/>
          <w:iCs/>
          <w:szCs w:val="24"/>
          <w:lang w:val="en-US"/>
        </w:rPr>
        <w:t xml:space="preserve">Beadica </w:t>
      </w:r>
      <w:r w:rsidR="004564FD" w:rsidRPr="000532D8">
        <w:rPr>
          <w:szCs w:val="24"/>
          <w:lang w:val="en-US"/>
        </w:rPr>
        <w:t xml:space="preserve">and </w:t>
      </w:r>
      <w:r w:rsidR="004564FD" w:rsidRPr="000532D8">
        <w:rPr>
          <w:i/>
          <w:iCs/>
          <w:szCs w:val="24"/>
          <w:lang w:val="en-US"/>
        </w:rPr>
        <w:t xml:space="preserve">Pridwin, </w:t>
      </w:r>
      <w:r w:rsidR="004564FD" w:rsidRPr="000532D8">
        <w:rPr>
          <w:szCs w:val="24"/>
          <w:lang w:val="en-US"/>
        </w:rPr>
        <w:t>this case does</w:t>
      </w:r>
      <w:r w:rsidR="00B17FF3" w:rsidRPr="000532D8">
        <w:rPr>
          <w:szCs w:val="24"/>
          <w:lang w:val="en-US"/>
        </w:rPr>
        <w:t xml:space="preserve"> not give rise to the same difficulty because the formality insisted</w:t>
      </w:r>
      <w:r w:rsidR="000532D8">
        <w:rPr>
          <w:szCs w:val="24"/>
          <w:lang w:val="en-US"/>
        </w:rPr>
        <w:t xml:space="preserve"> on</w:t>
      </w:r>
      <w:r w:rsidR="00B17FF3" w:rsidRPr="000532D8">
        <w:rPr>
          <w:szCs w:val="24"/>
          <w:lang w:val="en-US"/>
        </w:rPr>
        <w:t xml:space="preserve"> by Friedman does not promote</w:t>
      </w:r>
      <w:r w:rsidR="004564FD" w:rsidRPr="000532D8">
        <w:rPr>
          <w:szCs w:val="24"/>
          <w:lang w:val="en-US"/>
        </w:rPr>
        <w:t xml:space="preserve"> one or more of the traditional justifications associated with formality (i.e. certainty, predictability</w:t>
      </w:r>
      <w:r w:rsidR="000532D8">
        <w:rPr>
          <w:szCs w:val="24"/>
          <w:lang w:val="en-US"/>
        </w:rPr>
        <w:t xml:space="preserve"> and </w:t>
      </w:r>
      <w:r w:rsidR="004564FD" w:rsidRPr="000532D8">
        <w:rPr>
          <w:szCs w:val="24"/>
          <w:lang w:val="en-US"/>
        </w:rPr>
        <w:t xml:space="preserve">clarity). </w:t>
      </w:r>
    </w:p>
    <w:p w14:paraId="50D9F06C" w14:textId="3526E007" w:rsidR="00C85542" w:rsidRPr="000532D8" w:rsidRDefault="00CB6C81" w:rsidP="00CB6C81">
      <w:pPr>
        <w:pStyle w:val="a"/>
        <w:numPr>
          <w:ilvl w:val="0"/>
          <w:numId w:val="0"/>
        </w:numPr>
        <w:ind w:left="720" w:hanging="720"/>
        <w:rPr>
          <w:rFonts w:cs="Arial"/>
          <w:szCs w:val="24"/>
        </w:rPr>
      </w:pPr>
      <w:r w:rsidRPr="000532D8">
        <w:rPr>
          <w:rFonts w:cs="Arial"/>
          <w:szCs w:val="24"/>
        </w:rPr>
        <w:t>[48]</w:t>
      </w:r>
      <w:r w:rsidRPr="000532D8">
        <w:rPr>
          <w:rFonts w:cs="Arial"/>
          <w:szCs w:val="24"/>
        </w:rPr>
        <w:tab/>
      </w:r>
      <w:r w:rsidR="00C85542" w:rsidRPr="000532D8">
        <w:rPr>
          <w:rFonts w:cs="Arial"/>
          <w:szCs w:val="24"/>
        </w:rPr>
        <w:t xml:space="preserve">Friedman does not complain there was anything unfair or prejudicial to him in Standard Bank simultaneously accelerating and cancelling its Urban Lime agreement. Indeed, how could he?  </w:t>
      </w:r>
    </w:p>
    <w:p w14:paraId="3A9E5BA3" w14:textId="5EA32DF4" w:rsidR="004564FD" w:rsidRPr="000532D8" w:rsidRDefault="00CB6C81" w:rsidP="00CB6C81">
      <w:pPr>
        <w:pStyle w:val="a"/>
        <w:numPr>
          <w:ilvl w:val="0"/>
          <w:numId w:val="0"/>
        </w:numPr>
        <w:ind w:left="720" w:hanging="720"/>
        <w:rPr>
          <w:rFonts w:cs="Arial"/>
          <w:szCs w:val="24"/>
        </w:rPr>
      </w:pPr>
      <w:r w:rsidRPr="000532D8">
        <w:rPr>
          <w:rFonts w:cs="Arial"/>
          <w:szCs w:val="24"/>
        </w:rPr>
        <w:t>[49]</w:t>
      </w:r>
      <w:r w:rsidRPr="000532D8">
        <w:rPr>
          <w:rFonts w:cs="Arial"/>
          <w:szCs w:val="24"/>
        </w:rPr>
        <w:tab/>
      </w:r>
      <w:r w:rsidR="00C85542" w:rsidRPr="000532D8">
        <w:rPr>
          <w:rFonts w:cs="Arial"/>
          <w:szCs w:val="24"/>
        </w:rPr>
        <w:t>Standard Bank acted within its rights in terms of the contract at all times</w:t>
      </w:r>
      <w:r w:rsidR="004564FD" w:rsidRPr="000532D8">
        <w:rPr>
          <w:rFonts w:cs="Arial"/>
          <w:szCs w:val="24"/>
        </w:rPr>
        <w:t>, and accordingly, there can be and is nothing problematic about it executing acceleration and cancellation in the same letter.</w:t>
      </w:r>
    </w:p>
    <w:p w14:paraId="65FB5767" w14:textId="183FB22D" w:rsidR="00605799" w:rsidRPr="000532D8" w:rsidRDefault="00CB6C81" w:rsidP="00CB6C81">
      <w:pPr>
        <w:pStyle w:val="a"/>
        <w:numPr>
          <w:ilvl w:val="0"/>
          <w:numId w:val="0"/>
        </w:numPr>
        <w:ind w:left="720" w:hanging="720"/>
        <w:rPr>
          <w:rFonts w:cs="Arial"/>
          <w:szCs w:val="24"/>
        </w:rPr>
      </w:pPr>
      <w:r w:rsidRPr="000532D8">
        <w:rPr>
          <w:rFonts w:cs="Arial"/>
          <w:szCs w:val="24"/>
        </w:rPr>
        <w:lastRenderedPageBreak/>
        <w:t>[50]</w:t>
      </w:r>
      <w:r w:rsidRPr="000532D8">
        <w:rPr>
          <w:rFonts w:cs="Arial"/>
          <w:szCs w:val="24"/>
        </w:rPr>
        <w:tab/>
      </w:r>
      <w:r w:rsidR="00605799" w:rsidRPr="000532D8">
        <w:rPr>
          <w:rFonts w:cs="Arial"/>
          <w:szCs w:val="24"/>
        </w:rPr>
        <w:t>In conclusion, I am of the view that Standard Bank proved that at the date of the launch of this application</w:t>
      </w:r>
      <w:r w:rsidR="000532D8">
        <w:rPr>
          <w:rFonts w:cs="Arial"/>
          <w:szCs w:val="24"/>
        </w:rPr>
        <w:t xml:space="preserve"> that </w:t>
      </w:r>
      <w:r w:rsidR="00605799" w:rsidRPr="000532D8">
        <w:rPr>
          <w:rFonts w:cs="Arial"/>
          <w:szCs w:val="24"/>
        </w:rPr>
        <w:t xml:space="preserve">Friedman was indebted to it under the </w:t>
      </w:r>
      <w:r w:rsidR="00A267F1" w:rsidRPr="000532D8">
        <w:rPr>
          <w:rFonts w:cs="Arial"/>
          <w:szCs w:val="24"/>
        </w:rPr>
        <w:t>Guarantee</w:t>
      </w:r>
      <w:r w:rsidR="00605799" w:rsidRPr="000532D8">
        <w:rPr>
          <w:rFonts w:cs="Arial"/>
          <w:szCs w:val="24"/>
        </w:rPr>
        <w:t xml:space="preserve"> in the amount claimed.</w:t>
      </w:r>
    </w:p>
    <w:p w14:paraId="198CC491" w14:textId="1EA0C203" w:rsidR="007D2D1B" w:rsidRPr="000532D8" w:rsidRDefault="00CB6C81" w:rsidP="00CB6C81">
      <w:pPr>
        <w:pStyle w:val="a"/>
        <w:numPr>
          <w:ilvl w:val="0"/>
          <w:numId w:val="0"/>
        </w:numPr>
        <w:ind w:left="720" w:hanging="720"/>
        <w:rPr>
          <w:rFonts w:cs="Arial"/>
          <w:szCs w:val="24"/>
        </w:rPr>
      </w:pPr>
      <w:r w:rsidRPr="000532D8">
        <w:rPr>
          <w:rFonts w:cs="Arial"/>
          <w:szCs w:val="24"/>
        </w:rPr>
        <w:t>[51]</w:t>
      </w:r>
      <w:r w:rsidRPr="000532D8">
        <w:rPr>
          <w:rFonts w:cs="Arial"/>
          <w:szCs w:val="24"/>
        </w:rPr>
        <w:tab/>
      </w:r>
      <w:r w:rsidR="00B72DB3" w:rsidRPr="000532D8">
        <w:rPr>
          <w:rFonts w:cs="Arial"/>
          <w:szCs w:val="24"/>
        </w:rPr>
        <w:t>I</w:t>
      </w:r>
      <w:r w:rsidR="00924538" w:rsidRPr="000532D8">
        <w:rPr>
          <w:rFonts w:cs="Arial"/>
          <w:szCs w:val="24"/>
        </w:rPr>
        <w:t xml:space="preserve"> therefore</w:t>
      </w:r>
      <w:r w:rsidR="00B72DB3" w:rsidRPr="000532D8">
        <w:rPr>
          <w:rFonts w:cs="Arial"/>
          <w:szCs w:val="24"/>
        </w:rPr>
        <w:t xml:space="preserve"> </w:t>
      </w:r>
      <w:r w:rsidR="00605799" w:rsidRPr="000532D8">
        <w:rPr>
          <w:rFonts w:cs="Arial"/>
          <w:szCs w:val="24"/>
        </w:rPr>
        <w:t>make the following order</w:t>
      </w:r>
      <w:r w:rsidR="007D2D1B" w:rsidRPr="000532D8">
        <w:rPr>
          <w:rFonts w:cs="Arial"/>
          <w:szCs w:val="24"/>
        </w:rPr>
        <w:t>s</w:t>
      </w:r>
      <w:r w:rsidR="00605799" w:rsidRPr="000532D8">
        <w:rPr>
          <w:rFonts w:cs="Arial"/>
          <w:szCs w:val="24"/>
        </w:rPr>
        <w:t>:</w:t>
      </w:r>
      <w:r w:rsidR="007D2D1B" w:rsidRPr="000532D8">
        <w:rPr>
          <w:szCs w:val="24"/>
        </w:rPr>
        <w:t xml:space="preserve"> </w:t>
      </w:r>
    </w:p>
    <w:p w14:paraId="79B237CE" w14:textId="5B211147" w:rsidR="00895B88" w:rsidRPr="000532D8" w:rsidRDefault="00CB6C81" w:rsidP="00CB6C81">
      <w:pPr>
        <w:pStyle w:val="a"/>
        <w:numPr>
          <w:ilvl w:val="0"/>
          <w:numId w:val="0"/>
        </w:numPr>
        <w:ind w:left="1985" w:hanging="851"/>
        <w:rPr>
          <w:rFonts w:cs="Arial"/>
          <w:szCs w:val="24"/>
        </w:rPr>
      </w:pPr>
      <w:r w:rsidRPr="000532D8">
        <w:rPr>
          <w:rFonts w:cs="Arial"/>
          <w:szCs w:val="24"/>
        </w:rPr>
        <w:t>51.1.</w:t>
      </w:r>
      <w:r w:rsidRPr="000532D8">
        <w:rPr>
          <w:rFonts w:cs="Arial"/>
          <w:szCs w:val="24"/>
        </w:rPr>
        <w:tab/>
      </w:r>
      <w:r w:rsidR="007D2D1B" w:rsidRPr="000532D8">
        <w:rPr>
          <w:rFonts w:cs="Arial"/>
          <w:szCs w:val="24"/>
        </w:rPr>
        <w:t>The respondent must pay the applicant the sum of R110,000,000.00 (one hundred and ten million rands), together with interest calculated at the prime rate of interest published by the applicant from time to time as being its prime rate plus 2% (per annum, compounded monthly in arrears and quoted on the basis of a 365-day year), from 9 May 2023 to date of payment, both days inclusive.</w:t>
      </w:r>
    </w:p>
    <w:p w14:paraId="0FE95708" w14:textId="249DF732" w:rsidR="007D2D1B" w:rsidRPr="000532D8" w:rsidRDefault="00CB6C81" w:rsidP="00CB6C81">
      <w:pPr>
        <w:pStyle w:val="a"/>
        <w:numPr>
          <w:ilvl w:val="0"/>
          <w:numId w:val="0"/>
        </w:numPr>
        <w:ind w:left="1985" w:hanging="851"/>
        <w:rPr>
          <w:rFonts w:cs="Arial"/>
          <w:szCs w:val="24"/>
        </w:rPr>
      </w:pPr>
      <w:r w:rsidRPr="000532D8">
        <w:rPr>
          <w:rFonts w:cs="Arial"/>
          <w:szCs w:val="24"/>
        </w:rPr>
        <w:t>51.2.</w:t>
      </w:r>
      <w:r w:rsidRPr="000532D8">
        <w:rPr>
          <w:rFonts w:cs="Arial"/>
          <w:szCs w:val="24"/>
        </w:rPr>
        <w:tab/>
      </w:r>
      <w:r w:rsidR="007D2D1B" w:rsidRPr="000532D8">
        <w:rPr>
          <w:rFonts w:cs="Arial"/>
          <w:szCs w:val="24"/>
        </w:rPr>
        <w:t>The respondent m</w:t>
      </w:r>
      <w:r w:rsidR="00A267F1" w:rsidRPr="000532D8">
        <w:rPr>
          <w:rFonts w:cs="Arial"/>
          <w:szCs w:val="24"/>
        </w:rPr>
        <w:t>ust pay</w:t>
      </w:r>
      <w:r w:rsidR="007D2D1B" w:rsidRPr="000532D8">
        <w:rPr>
          <w:rFonts w:cs="Arial"/>
          <w:szCs w:val="24"/>
        </w:rPr>
        <w:t xml:space="preserve"> applicant’s costs of suit on the attorney and own client scale,</w:t>
      </w:r>
      <w:r w:rsidR="007D2D1B" w:rsidRPr="000532D8">
        <w:rPr>
          <w:rStyle w:val="FootnoteReference"/>
          <w:rFonts w:cs="Arial"/>
          <w:szCs w:val="24"/>
        </w:rPr>
        <w:footnoteReference w:id="18"/>
      </w:r>
      <w:r w:rsidR="007D2D1B" w:rsidRPr="000532D8">
        <w:rPr>
          <w:rFonts w:cs="Arial"/>
          <w:szCs w:val="24"/>
        </w:rPr>
        <w:t xml:space="preserve"> including the costs of two counsel. </w:t>
      </w:r>
    </w:p>
    <w:p w14:paraId="57D4D7FF" w14:textId="70A6EE68" w:rsidR="005652CF" w:rsidRPr="000532D8" w:rsidRDefault="00895B88" w:rsidP="007D2D1B">
      <w:pPr>
        <w:pStyle w:val="a"/>
        <w:numPr>
          <w:ilvl w:val="0"/>
          <w:numId w:val="0"/>
        </w:numPr>
        <w:ind w:left="720" w:hanging="720"/>
        <w:jc w:val="right"/>
        <w:rPr>
          <w:rFonts w:cs="Arial"/>
          <w:b/>
          <w:bCs/>
          <w:szCs w:val="24"/>
        </w:rPr>
      </w:pPr>
      <w:r w:rsidRPr="000532D8">
        <w:rPr>
          <w:rFonts w:cs="Arial"/>
          <w:b/>
          <w:bCs/>
          <w:szCs w:val="24"/>
        </w:rPr>
        <w:t>____________________</w:t>
      </w:r>
    </w:p>
    <w:p w14:paraId="56D2DFEB" w14:textId="51221F20" w:rsidR="000532D8" w:rsidRPr="000532D8" w:rsidRDefault="00895B88" w:rsidP="000532D8">
      <w:pPr>
        <w:pStyle w:val="a"/>
        <w:numPr>
          <w:ilvl w:val="0"/>
          <w:numId w:val="0"/>
        </w:numPr>
        <w:ind w:left="720" w:hanging="720"/>
        <w:jc w:val="right"/>
        <w:rPr>
          <w:rFonts w:cs="Arial"/>
          <w:b/>
          <w:bCs/>
          <w:szCs w:val="24"/>
        </w:rPr>
      </w:pPr>
      <w:r w:rsidRPr="000532D8">
        <w:rPr>
          <w:rFonts w:cs="Arial"/>
          <w:b/>
          <w:bCs/>
          <w:szCs w:val="24"/>
        </w:rPr>
        <w:t>KATZ AJ</w:t>
      </w:r>
    </w:p>
    <w:p w14:paraId="04570D73" w14:textId="1F7E997C" w:rsidR="00605799" w:rsidRPr="000532D8" w:rsidRDefault="00127736" w:rsidP="005652CF">
      <w:pPr>
        <w:pStyle w:val="a"/>
        <w:numPr>
          <w:ilvl w:val="0"/>
          <w:numId w:val="0"/>
        </w:numPr>
        <w:ind w:left="720" w:hanging="720"/>
        <w:rPr>
          <w:rFonts w:cs="Arial"/>
          <w:szCs w:val="24"/>
        </w:rPr>
      </w:pPr>
      <w:r w:rsidRPr="000532D8">
        <w:rPr>
          <w:rFonts w:cs="Arial"/>
          <w:szCs w:val="24"/>
        </w:rPr>
        <w:t>Appearances</w:t>
      </w:r>
    </w:p>
    <w:p w14:paraId="47AD286A" w14:textId="16F0AA73" w:rsidR="00605799" w:rsidRPr="000532D8" w:rsidRDefault="00127736" w:rsidP="005652CF">
      <w:pPr>
        <w:pStyle w:val="a"/>
        <w:numPr>
          <w:ilvl w:val="0"/>
          <w:numId w:val="0"/>
        </w:numPr>
        <w:ind w:left="720" w:hanging="720"/>
        <w:rPr>
          <w:rFonts w:cs="Arial"/>
          <w:szCs w:val="24"/>
        </w:rPr>
      </w:pPr>
      <w:r w:rsidRPr="000532D8">
        <w:rPr>
          <w:rFonts w:cs="Arial"/>
          <w:szCs w:val="24"/>
        </w:rPr>
        <w:t>For the applicant:</w:t>
      </w:r>
      <w:r w:rsidRPr="000532D8">
        <w:rPr>
          <w:rFonts w:cs="Arial"/>
          <w:szCs w:val="24"/>
        </w:rPr>
        <w:tab/>
        <w:t>Mr G Woodland SC</w:t>
      </w:r>
    </w:p>
    <w:p w14:paraId="0B797966" w14:textId="0BE11215" w:rsidR="00127736" w:rsidRPr="000532D8" w:rsidRDefault="00127736" w:rsidP="005652CF">
      <w:pPr>
        <w:pStyle w:val="a"/>
        <w:numPr>
          <w:ilvl w:val="0"/>
          <w:numId w:val="0"/>
        </w:numPr>
        <w:ind w:left="720" w:hanging="720"/>
        <w:rPr>
          <w:rFonts w:cs="Arial"/>
          <w:szCs w:val="24"/>
        </w:rPr>
      </w:pPr>
      <w:r w:rsidRPr="000532D8">
        <w:rPr>
          <w:rFonts w:cs="Arial"/>
          <w:szCs w:val="24"/>
        </w:rPr>
        <w:tab/>
      </w:r>
      <w:r w:rsidRPr="000532D8">
        <w:rPr>
          <w:rFonts w:cs="Arial"/>
          <w:szCs w:val="24"/>
        </w:rPr>
        <w:tab/>
      </w:r>
      <w:r w:rsidRPr="000532D8">
        <w:rPr>
          <w:rFonts w:cs="Arial"/>
          <w:szCs w:val="24"/>
        </w:rPr>
        <w:tab/>
        <w:t xml:space="preserve">with Ms </w:t>
      </w:r>
      <w:r w:rsidR="00D17B4A" w:rsidRPr="000532D8">
        <w:rPr>
          <w:rFonts w:cs="Arial"/>
          <w:szCs w:val="24"/>
        </w:rPr>
        <w:t>Claire</w:t>
      </w:r>
      <w:r w:rsidRPr="000532D8">
        <w:rPr>
          <w:rFonts w:cs="Arial"/>
          <w:szCs w:val="24"/>
        </w:rPr>
        <w:t xml:space="preserve"> Morgan</w:t>
      </w:r>
    </w:p>
    <w:p w14:paraId="43C2CD78" w14:textId="77777777" w:rsidR="00127736" w:rsidRPr="000532D8" w:rsidRDefault="00127736" w:rsidP="005652CF">
      <w:pPr>
        <w:pStyle w:val="a"/>
        <w:numPr>
          <w:ilvl w:val="0"/>
          <w:numId w:val="0"/>
        </w:numPr>
        <w:ind w:left="720" w:hanging="720"/>
        <w:rPr>
          <w:rFonts w:cs="Arial"/>
          <w:szCs w:val="24"/>
        </w:rPr>
      </w:pPr>
      <w:r w:rsidRPr="000532D8">
        <w:rPr>
          <w:rFonts w:cs="Arial"/>
          <w:szCs w:val="24"/>
        </w:rPr>
        <w:tab/>
      </w:r>
      <w:r w:rsidRPr="000532D8">
        <w:rPr>
          <w:rFonts w:cs="Arial"/>
          <w:szCs w:val="24"/>
        </w:rPr>
        <w:tab/>
      </w:r>
      <w:r w:rsidRPr="000532D8">
        <w:rPr>
          <w:rFonts w:cs="Arial"/>
          <w:szCs w:val="24"/>
        </w:rPr>
        <w:tab/>
        <w:t>instructed by Mr A Harris of Bowman Gilfillan Inc</w:t>
      </w:r>
    </w:p>
    <w:p w14:paraId="535E97BC" w14:textId="77777777" w:rsidR="00127736" w:rsidRPr="000532D8" w:rsidRDefault="00127736" w:rsidP="005652CF">
      <w:pPr>
        <w:pStyle w:val="a"/>
        <w:numPr>
          <w:ilvl w:val="0"/>
          <w:numId w:val="0"/>
        </w:numPr>
        <w:ind w:left="720" w:hanging="720"/>
        <w:rPr>
          <w:rFonts w:cs="Arial"/>
          <w:szCs w:val="24"/>
        </w:rPr>
      </w:pPr>
      <w:r w:rsidRPr="000532D8">
        <w:rPr>
          <w:rFonts w:cs="Arial"/>
          <w:szCs w:val="24"/>
        </w:rPr>
        <w:lastRenderedPageBreak/>
        <w:t>For the respondent:</w:t>
      </w:r>
      <w:r w:rsidRPr="000532D8">
        <w:rPr>
          <w:rFonts w:cs="Arial"/>
          <w:szCs w:val="24"/>
        </w:rPr>
        <w:tab/>
        <w:t>Mr R Goodman SC</w:t>
      </w:r>
    </w:p>
    <w:p w14:paraId="35A9556A" w14:textId="77777777" w:rsidR="00127736" w:rsidRPr="000532D8" w:rsidRDefault="00127736" w:rsidP="005652CF">
      <w:pPr>
        <w:pStyle w:val="a"/>
        <w:numPr>
          <w:ilvl w:val="0"/>
          <w:numId w:val="0"/>
        </w:numPr>
        <w:ind w:left="720" w:hanging="720"/>
        <w:rPr>
          <w:rFonts w:cs="Arial"/>
          <w:szCs w:val="24"/>
        </w:rPr>
      </w:pPr>
      <w:r w:rsidRPr="000532D8">
        <w:rPr>
          <w:rFonts w:cs="Arial"/>
          <w:szCs w:val="24"/>
        </w:rPr>
        <w:tab/>
      </w:r>
      <w:r w:rsidRPr="000532D8">
        <w:rPr>
          <w:rFonts w:cs="Arial"/>
          <w:szCs w:val="24"/>
        </w:rPr>
        <w:tab/>
      </w:r>
      <w:r w:rsidRPr="000532D8">
        <w:rPr>
          <w:rFonts w:cs="Arial"/>
          <w:szCs w:val="24"/>
        </w:rPr>
        <w:tab/>
        <w:t>with Mr T Crookes</w:t>
      </w:r>
    </w:p>
    <w:p w14:paraId="2BD55430" w14:textId="415748E8" w:rsidR="00605799" w:rsidRPr="000532D8" w:rsidRDefault="00127736" w:rsidP="005652CF">
      <w:pPr>
        <w:pStyle w:val="a"/>
        <w:numPr>
          <w:ilvl w:val="0"/>
          <w:numId w:val="0"/>
        </w:numPr>
        <w:ind w:left="720" w:hanging="720"/>
        <w:rPr>
          <w:rFonts w:cs="Arial"/>
          <w:szCs w:val="24"/>
        </w:rPr>
      </w:pPr>
      <w:r w:rsidRPr="000532D8">
        <w:rPr>
          <w:rFonts w:cs="Arial"/>
          <w:szCs w:val="24"/>
        </w:rPr>
        <w:tab/>
      </w:r>
      <w:r w:rsidRPr="000532D8">
        <w:rPr>
          <w:rFonts w:cs="Arial"/>
          <w:szCs w:val="24"/>
        </w:rPr>
        <w:tab/>
      </w:r>
      <w:r w:rsidRPr="000532D8">
        <w:rPr>
          <w:rFonts w:cs="Arial"/>
          <w:szCs w:val="24"/>
        </w:rPr>
        <w:tab/>
        <w:t>instructed by Mr J Aukett of Aukett Atto</w:t>
      </w:r>
      <w:r w:rsidR="00903899" w:rsidRPr="000532D8">
        <w:rPr>
          <w:rFonts w:cs="Arial"/>
          <w:szCs w:val="24"/>
        </w:rPr>
        <w:t>r</w:t>
      </w:r>
      <w:r w:rsidRPr="000532D8">
        <w:rPr>
          <w:rFonts w:cs="Arial"/>
          <w:szCs w:val="24"/>
        </w:rPr>
        <w:t xml:space="preserve">neys </w:t>
      </w:r>
      <w:r w:rsidRPr="000532D8">
        <w:rPr>
          <w:rFonts w:cs="Arial"/>
          <w:szCs w:val="24"/>
        </w:rPr>
        <w:tab/>
      </w:r>
    </w:p>
    <w:p w14:paraId="14774289" w14:textId="77777777" w:rsidR="00903899" w:rsidRPr="000532D8" w:rsidRDefault="00903899" w:rsidP="00B65999">
      <w:pPr>
        <w:pStyle w:val="a"/>
        <w:numPr>
          <w:ilvl w:val="0"/>
          <w:numId w:val="0"/>
        </w:numPr>
        <w:ind w:left="720" w:hanging="720"/>
        <w:rPr>
          <w:rFonts w:cs="Arial"/>
          <w:szCs w:val="24"/>
        </w:rPr>
      </w:pPr>
    </w:p>
    <w:p w14:paraId="41C5D25C" w14:textId="77777777" w:rsidR="00903899" w:rsidRPr="000532D8" w:rsidRDefault="00903899" w:rsidP="00B65999">
      <w:pPr>
        <w:pStyle w:val="a"/>
        <w:numPr>
          <w:ilvl w:val="0"/>
          <w:numId w:val="0"/>
        </w:numPr>
        <w:ind w:left="720" w:hanging="720"/>
        <w:rPr>
          <w:rFonts w:cs="Arial"/>
          <w:szCs w:val="24"/>
        </w:rPr>
      </w:pPr>
    </w:p>
    <w:p w14:paraId="449A28CC" w14:textId="77777777" w:rsidR="00903899" w:rsidRPr="000532D8" w:rsidRDefault="00903899" w:rsidP="00B65999">
      <w:pPr>
        <w:pStyle w:val="a"/>
        <w:numPr>
          <w:ilvl w:val="0"/>
          <w:numId w:val="0"/>
        </w:numPr>
        <w:ind w:left="720" w:hanging="720"/>
        <w:rPr>
          <w:rFonts w:cs="Arial"/>
          <w:szCs w:val="24"/>
        </w:rPr>
      </w:pPr>
    </w:p>
    <w:p w14:paraId="72DA46E2" w14:textId="77777777" w:rsidR="00903899" w:rsidRPr="000532D8" w:rsidRDefault="00903899" w:rsidP="00B65999">
      <w:pPr>
        <w:pStyle w:val="a"/>
        <w:numPr>
          <w:ilvl w:val="0"/>
          <w:numId w:val="0"/>
        </w:numPr>
        <w:ind w:left="720" w:hanging="720"/>
        <w:rPr>
          <w:rFonts w:cs="Arial"/>
          <w:szCs w:val="24"/>
        </w:rPr>
      </w:pPr>
    </w:p>
    <w:p w14:paraId="7B47D37E" w14:textId="77777777" w:rsidR="00903899" w:rsidRPr="000532D8" w:rsidRDefault="00903899" w:rsidP="00B65999">
      <w:pPr>
        <w:pStyle w:val="a"/>
        <w:numPr>
          <w:ilvl w:val="0"/>
          <w:numId w:val="0"/>
        </w:numPr>
        <w:ind w:left="720" w:hanging="720"/>
        <w:rPr>
          <w:rFonts w:cs="Arial"/>
          <w:szCs w:val="24"/>
        </w:rPr>
      </w:pPr>
    </w:p>
    <w:p w14:paraId="70C8CB98" w14:textId="77777777" w:rsidR="00903899" w:rsidRPr="000532D8" w:rsidRDefault="00903899" w:rsidP="00B65999">
      <w:pPr>
        <w:pStyle w:val="a"/>
        <w:numPr>
          <w:ilvl w:val="0"/>
          <w:numId w:val="0"/>
        </w:numPr>
        <w:ind w:left="720" w:hanging="720"/>
        <w:rPr>
          <w:rFonts w:cs="Arial"/>
          <w:szCs w:val="24"/>
        </w:rPr>
      </w:pPr>
    </w:p>
    <w:p w14:paraId="081B4453" w14:textId="77777777" w:rsidR="00903899" w:rsidRPr="000532D8" w:rsidRDefault="00903899" w:rsidP="00B65999">
      <w:pPr>
        <w:pStyle w:val="a"/>
        <w:numPr>
          <w:ilvl w:val="0"/>
          <w:numId w:val="0"/>
        </w:numPr>
        <w:ind w:left="720" w:hanging="720"/>
        <w:rPr>
          <w:rFonts w:cs="Arial"/>
          <w:szCs w:val="24"/>
        </w:rPr>
      </w:pPr>
    </w:p>
    <w:p w14:paraId="6B961051" w14:textId="77777777" w:rsidR="00903899" w:rsidRPr="000532D8" w:rsidRDefault="00903899" w:rsidP="00B65999">
      <w:pPr>
        <w:pStyle w:val="a"/>
        <w:numPr>
          <w:ilvl w:val="0"/>
          <w:numId w:val="0"/>
        </w:numPr>
        <w:ind w:left="720" w:hanging="720"/>
        <w:rPr>
          <w:rFonts w:cs="Arial"/>
          <w:szCs w:val="24"/>
        </w:rPr>
      </w:pPr>
    </w:p>
    <w:p w14:paraId="614C16F6" w14:textId="77777777" w:rsidR="00903899" w:rsidRPr="000532D8" w:rsidRDefault="00903899" w:rsidP="00B65999">
      <w:pPr>
        <w:pStyle w:val="a"/>
        <w:numPr>
          <w:ilvl w:val="0"/>
          <w:numId w:val="0"/>
        </w:numPr>
        <w:ind w:left="720" w:hanging="720"/>
        <w:rPr>
          <w:rFonts w:cs="Arial"/>
          <w:szCs w:val="24"/>
        </w:rPr>
      </w:pPr>
    </w:p>
    <w:p w14:paraId="593AF910" w14:textId="77777777" w:rsidR="00903899" w:rsidRPr="000532D8" w:rsidRDefault="00903899" w:rsidP="00B65999">
      <w:pPr>
        <w:pStyle w:val="a"/>
        <w:numPr>
          <w:ilvl w:val="0"/>
          <w:numId w:val="0"/>
        </w:numPr>
        <w:ind w:left="720" w:hanging="720"/>
        <w:rPr>
          <w:rFonts w:cs="Arial"/>
          <w:szCs w:val="24"/>
        </w:rPr>
      </w:pPr>
    </w:p>
    <w:p w14:paraId="12F87EAC" w14:textId="77777777" w:rsidR="00903899" w:rsidRPr="000532D8" w:rsidRDefault="00903899" w:rsidP="00B65999">
      <w:pPr>
        <w:pStyle w:val="a"/>
        <w:numPr>
          <w:ilvl w:val="0"/>
          <w:numId w:val="0"/>
        </w:numPr>
        <w:ind w:left="720" w:hanging="720"/>
        <w:rPr>
          <w:rFonts w:cs="Arial"/>
          <w:szCs w:val="24"/>
        </w:rPr>
      </w:pPr>
    </w:p>
    <w:p w14:paraId="1ED06564" w14:textId="77777777" w:rsidR="00127736" w:rsidRPr="000532D8" w:rsidRDefault="00127736">
      <w:pPr>
        <w:rPr>
          <w:rFonts w:eastAsia="Times New Roman" w:cs="Arial"/>
          <w:b/>
          <w:bCs/>
          <w:szCs w:val="24"/>
          <w:lang w:eastAsia="en-ZA"/>
        </w:rPr>
      </w:pPr>
    </w:p>
    <w:p w14:paraId="173EDB99" w14:textId="561AABC2" w:rsidR="00D46B0F" w:rsidRPr="000532D8" w:rsidRDefault="00D46B0F" w:rsidP="00D46B0F">
      <w:pPr>
        <w:pStyle w:val="SingleSpacing"/>
        <w:keepLines/>
        <w:tabs>
          <w:tab w:val="clear" w:pos="4111"/>
        </w:tabs>
        <w:spacing w:line="276" w:lineRule="auto"/>
        <w:jc w:val="right"/>
        <w:rPr>
          <w:rFonts w:cs="Arial"/>
          <w:szCs w:val="24"/>
        </w:rPr>
      </w:pPr>
    </w:p>
    <w:sectPr w:rsidR="00D46B0F" w:rsidRPr="000532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2A827" w14:textId="77777777" w:rsidR="00490CA1" w:rsidRDefault="00490CA1" w:rsidP="001F3839">
      <w:pPr>
        <w:spacing w:after="0" w:line="240" w:lineRule="auto"/>
      </w:pPr>
      <w:r>
        <w:separator/>
      </w:r>
    </w:p>
  </w:endnote>
  <w:endnote w:type="continuationSeparator" w:id="0">
    <w:p w14:paraId="6F36C840" w14:textId="77777777" w:rsidR="00490CA1" w:rsidRDefault="00490CA1" w:rsidP="001F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86F3" w14:textId="77777777" w:rsidR="00213FB0" w:rsidRDefault="00213F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2372"/>
      <w:docPartObj>
        <w:docPartGallery w:val="Page Numbers (Bottom of Page)"/>
        <w:docPartUnique/>
      </w:docPartObj>
    </w:sdtPr>
    <w:sdtEndPr>
      <w:rPr>
        <w:noProof/>
      </w:rPr>
    </w:sdtEndPr>
    <w:sdtContent>
      <w:p w14:paraId="7A117890" w14:textId="0DAA7556" w:rsidR="00B120F9" w:rsidRDefault="00B120F9">
        <w:pPr>
          <w:pStyle w:val="Footer"/>
          <w:jc w:val="center"/>
        </w:pPr>
        <w:r>
          <w:fldChar w:fldCharType="begin"/>
        </w:r>
        <w:r>
          <w:instrText xml:space="preserve"> PAGE   \* MERGEFORMAT </w:instrText>
        </w:r>
        <w:r>
          <w:fldChar w:fldCharType="separate"/>
        </w:r>
        <w:r w:rsidR="00CB6C81">
          <w:rPr>
            <w:noProof/>
          </w:rPr>
          <w:t>1</w:t>
        </w:r>
        <w:r>
          <w:rPr>
            <w:noProof/>
          </w:rPr>
          <w:fldChar w:fldCharType="end"/>
        </w:r>
      </w:p>
    </w:sdtContent>
  </w:sdt>
  <w:p w14:paraId="0D1D2281" w14:textId="77777777" w:rsidR="00B120F9" w:rsidRDefault="00B120F9">
    <w:pPr>
      <w:pStyle w:val="Footer"/>
    </w:pPr>
  </w:p>
  <w:p w14:paraId="3B29FF4E" w14:textId="77777777" w:rsidR="00F530F9" w:rsidRDefault="00F530F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584E" w14:textId="77777777" w:rsidR="00213FB0" w:rsidRDefault="00213F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66E88" w14:textId="77777777" w:rsidR="00490CA1" w:rsidRDefault="00490CA1" w:rsidP="001F3839">
      <w:pPr>
        <w:spacing w:after="0" w:line="240" w:lineRule="auto"/>
      </w:pPr>
      <w:r>
        <w:separator/>
      </w:r>
    </w:p>
  </w:footnote>
  <w:footnote w:type="continuationSeparator" w:id="0">
    <w:p w14:paraId="090CCF3F" w14:textId="77777777" w:rsidR="00490CA1" w:rsidRDefault="00490CA1" w:rsidP="001F3839">
      <w:pPr>
        <w:spacing w:after="0" w:line="240" w:lineRule="auto"/>
      </w:pPr>
      <w:r>
        <w:continuationSeparator/>
      </w:r>
    </w:p>
  </w:footnote>
  <w:footnote w:id="1">
    <w:p w14:paraId="3F00CAF2" w14:textId="5ADD9612" w:rsidR="0031583A" w:rsidRPr="0031583A" w:rsidRDefault="0031583A" w:rsidP="00B17FF3">
      <w:pPr>
        <w:pStyle w:val="FootnoteText"/>
        <w:jc w:val="both"/>
        <w:rPr>
          <w:lang w:val="en-US"/>
        </w:rPr>
      </w:pPr>
      <w:r>
        <w:rPr>
          <w:rStyle w:val="FootnoteReference"/>
        </w:rPr>
        <w:footnoteRef/>
      </w:r>
      <w:r>
        <w:t xml:space="preserve"> </w:t>
      </w:r>
      <w:r>
        <w:rPr>
          <w:lang w:val="en-US"/>
        </w:rPr>
        <w:t xml:space="preserve">Urban Lime changed its name </w:t>
      </w:r>
      <w:r w:rsidR="00892287">
        <w:rPr>
          <w:lang w:val="en-US"/>
        </w:rPr>
        <w:t xml:space="preserve">on 3 October 2023 to UL Prop SA.  </w:t>
      </w:r>
      <w:r>
        <w:rPr>
          <w:lang w:val="en-US"/>
        </w:rPr>
        <w:t xml:space="preserve"> </w:t>
      </w:r>
    </w:p>
  </w:footnote>
  <w:footnote w:id="2">
    <w:p w14:paraId="30815B39" w14:textId="6DC671A8" w:rsidR="00C91BAC" w:rsidRPr="00C91BAC" w:rsidRDefault="00C91BAC" w:rsidP="00B17FF3">
      <w:pPr>
        <w:pStyle w:val="FootnoteText"/>
        <w:jc w:val="both"/>
        <w:rPr>
          <w:lang w:val="en-US"/>
        </w:rPr>
      </w:pPr>
      <w:r>
        <w:rPr>
          <w:rStyle w:val="FootnoteReference"/>
        </w:rPr>
        <w:footnoteRef/>
      </w:r>
      <w:r>
        <w:t xml:space="preserve"> The respondent is a director and the chief executive officer of Urban Lime.</w:t>
      </w:r>
    </w:p>
  </w:footnote>
  <w:footnote w:id="3">
    <w:p w14:paraId="75D9A902" w14:textId="6DC7C5F5" w:rsidR="009B1C0C" w:rsidRPr="009B1C0C" w:rsidRDefault="009B1C0C" w:rsidP="00B17FF3">
      <w:pPr>
        <w:pStyle w:val="FootnoteText"/>
        <w:jc w:val="both"/>
        <w:rPr>
          <w:lang w:val="en-US"/>
        </w:rPr>
      </w:pPr>
      <w:r>
        <w:rPr>
          <w:rStyle w:val="FootnoteReference"/>
        </w:rPr>
        <w:footnoteRef/>
      </w:r>
      <w:r>
        <w:t xml:space="preserve"> On 3 October 2023 the Johannesburg High Court ordered the removal of the application from that court to the Western Cape Division for hearing and determination</w:t>
      </w:r>
    </w:p>
  </w:footnote>
  <w:footnote w:id="4">
    <w:p w14:paraId="44D119BA" w14:textId="6F962420" w:rsidR="00E14A7C" w:rsidRPr="00E14A7C" w:rsidRDefault="00E14A7C" w:rsidP="00B17FF3">
      <w:pPr>
        <w:pStyle w:val="FootnoteText"/>
        <w:jc w:val="both"/>
        <w:rPr>
          <w:lang w:val="en-US"/>
        </w:rPr>
      </w:pPr>
      <w:r>
        <w:rPr>
          <w:rStyle w:val="FootnoteReference"/>
        </w:rPr>
        <w:footnoteRef/>
      </w:r>
      <w:r>
        <w:t xml:space="preserve"> </w:t>
      </w:r>
      <w:r w:rsidR="00350905">
        <w:t xml:space="preserve">Section 131 </w:t>
      </w:r>
      <w:r w:rsidR="00350905" w:rsidRPr="00350905">
        <w:t xml:space="preserve">(6) </w:t>
      </w:r>
      <w:r w:rsidR="00350905">
        <w:t>states: “</w:t>
      </w:r>
      <w:r w:rsidR="00350905" w:rsidRPr="00350905">
        <w:t>If liquidation proceedings have already been commenced by or against the company at the time an application is made in terms of subsection (1), the application will suspend those liquidation proceedings until-</w:t>
      </w:r>
      <w:r w:rsidR="00D17B4A" w:rsidRPr="00350905">
        <w:t xml:space="preserve">  (</w:t>
      </w:r>
      <w:r w:rsidR="00350905" w:rsidRPr="00350905">
        <w:t>a) the court has adjudicated upon the application; or   (b) the business rescue proceedings end, if the court makes the order applied for.</w:t>
      </w:r>
      <w:r w:rsidR="00350905">
        <w:t>”</w:t>
      </w:r>
    </w:p>
  </w:footnote>
  <w:footnote w:id="5">
    <w:p w14:paraId="7658C0C9" w14:textId="0FA440AD" w:rsidR="00130B09" w:rsidRDefault="00130B09" w:rsidP="00B17FF3">
      <w:pPr>
        <w:pStyle w:val="FootnoteText"/>
        <w:jc w:val="both"/>
      </w:pPr>
      <w:r>
        <w:rPr>
          <w:rStyle w:val="FootnoteReference"/>
        </w:rPr>
        <w:footnoteRef/>
      </w:r>
      <w:r>
        <w:t xml:space="preserve"> See </w:t>
      </w:r>
      <w:r w:rsidRPr="004D1DE3">
        <w:rPr>
          <w:i/>
          <w:iCs/>
          <w:lang w:eastAsia="en-GB"/>
        </w:rPr>
        <w:t>List v Jungers</w:t>
      </w:r>
      <w:r w:rsidRPr="0058087F">
        <w:rPr>
          <w:lang w:eastAsia="en-GB"/>
        </w:rPr>
        <w:t xml:space="preserve"> </w:t>
      </w:r>
      <w:r w:rsidRPr="004D1DE3">
        <w:rPr>
          <w:lang w:eastAsia="en-GB"/>
        </w:rPr>
        <w:t>1979 (3) SA 106 (A)</w:t>
      </w:r>
      <w:r w:rsidRPr="0058087F">
        <w:rPr>
          <w:lang w:eastAsia="en-GB"/>
        </w:rPr>
        <w:t>.</w:t>
      </w:r>
    </w:p>
  </w:footnote>
  <w:footnote w:id="6">
    <w:p w14:paraId="2B2A166E" w14:textId="07DFCF75" w:rsidR="00B2232C" w:rsidRDefault="00B2232C" w:rsidP="00B17FF3">
      <w:pPr>
        <w:pStyle w:val="FootnoteText"/>
        <w:jc w:val="both"/>
      </w:pPr>
      <w:r>
        <w:rPr>
          <w:rStyle w:val="FootnoteReference"/>
        </w:rPr>
        <w:footnoteRef/>
      </w:r>
      <w:r>
        <w:t xml:space="preserve"> </w:t>
      </w:r>
      <w:r w:rsidRPr="00150892">
        <w:rPr>
          <w:rFonts w:cs="Arial"/>
        </w:rPr>
        <w:t>Forsyth &amp; Pretorius,</w:t>
      </w:r>
      <w:r w:rsidRPr="00150892">
        <w:rPr>
          <w:rFonts w:cs="Arial"/>
          <w:i/>
          <w:iCs/>
        </w:rPr>
        <w:t xml:space="preserve"> Caneys The Law of Suretyship </w:t>
      </w:r>
      <w:r w:rsidRPr="00150892">
        <w:rPr>
          <w:rFonts w:cs="Arial"/>
        </w:rPr>
        <w:t>6</w:t>
      </w:r>
      <w:r w:rsidRPr="00150892">
        <w:rPr>
          <w:rFonts w:cs="Arial"/>
          <w:vertAlign w:val="superscript"/>
        </w:rPr>
        <w:t>th</w:t>
      </w:r>
      <w:r w:rsidRPr="00150892">
        <w:rPr>
          <w:rFonts w:cs="Arial"/>
        </w:rPr>
        <w:t xml:space="preserve"> ed (2010) at 33</w:t>
      </w:r>
      <w:r>
        <w:rPr>
          <w:rFonts w:cs="Arial"/>
        </w:rPr>
        <w:t>.</w:t>
      </w:r>
    </w:p>
  </w:footnote>
  <w:footnote w:id="7">
    <w:p w14:paraId="04C425E2" w14:textId="11947E8D" w:rsidR="00150892" w:rsidRPr="007F30F8" w:rsidRDefault="00150892" w:rsidP="00B17FF3">
      <w:pPr>
        <w:pStyle w:val="FootnoteText"/>
        <w:jc w:val="both"/>
        <w:rPr>
          <w:lang w:val="en-ZA"/>
        </w:rPr>
      </w:pPr>
      <w:r>
        <w:rPr>
          <w:rStyle w:val="FootnoteReference"/>
        </w:rPr>
        <w:footnoteRef/>
      </w:r>
      <w:r>
        <w:t xml:space="preserve"> </w:t>
      </w:r>
      <w:r w:rsidRPr="00150892">
        <w:rPr>
          <w:rFonts w:cs="Arial"/>
          <w:i/>
          <w:iCs/>
        </w:rPr>
        <w:t xml:space="preserve">Lombard Insurance v Landmark Holdings (Pty) Ltd &amp; Others </w:t>
      </w:r>
      <w:r w:rsidRPr="00150892">
        <w:rPr>
          <w:rFonts w:cs="Arial"/>
        </w:rPr>
        <w:t>2010 (2) SA 86 (SCA) at paras [19] and [20].</w:t>
      </w:r>
    </w:p>
  </w:footnote>
  <w:footnote w:id="8">
    <w:p w14:paraId="1C56AC19" w14:textId="53EA6618" w:rsidR="002001FB" w:rsidRPr="002001FB" w:rsidRDefault="002001FB" w:rsidP="00895B88">
      <w:pPr>
        <w:pStyle w:val="FootnoteText"/>
        <w:jc w:val="both"/>
        <w:rPr>
          <w:lang w:val="en-US"/>
        </w:rPr>
      </w:pPr>
      <w:r>
        <w:rPr>
          <w:rStyle w:val="FootnoteReference"/>
        </w:rPr>
        <w:footnoteRef/>
      </w:r>
      <w:r>
        <w:t xml:space="preserve"> </w:t>
      </w:r>
      <w:r w:rsidRPr="002001FB">
        <w:t>[1985] ZASCA 6; [1985] 2 All SA 161 (A) (27 March 1985)</w:t>
      </w:r>
    </w:p>
  </w:footnote>
  <w:footnote w:id="9">
    <w:p w14:paraId="76EAA1F2" w14:textId="60273BB5" w:rsidR="002001FB" w:rsidRPr="002001FB" w:rsidRDefault="002001FB" w:rsidP="00895B88">
      <w:pPr>
        <w:pStyle w:val="FootnoteText"/>
        <w:jc w:val="both"/>
        <w:rPr>
          <w:lang w:val="en-US"/>
        </w:rPr>
      </w:pPr>
      <w:r>
        <w:rPr>
          <w:rStyle w:val="FootnoteReference"/>
        </w:rPr>
        <w:footnoteRef/>
      </w:r>
      <w:r>
        <w:t xml:space="preserve"> 1972 (2) SA 853 (A)</w:t>
      </w:r>
    </w:p>
  </w:footnote>
  <w:footnote w:id="10">
    <w:p w14:paraId="0C351B3C" w14:textId="58DA0B82" w:rsidR="002001FB" w:rsidRPr="002001FB" w:rsidRDefault="002001FB" w:rsidP="00895B88">
      <w:pPr>
        <w:pStyle w:val="FootnoteText"/>
        <w:jc w:val="both"/>
        <w:rPr>
          <w:lang w:val="en-US"/>
        </w:rPr>
      </w:pPr>
      <w:r>
        <w:rPr>
          <w:rStyle w:val="FootnoteReference"/>
        </w:rPr>
        <w:footnoteRef/>
      </w:r>
      <w:r>
        <w:t xml:space="preserve"> !930 TPD 394</w:t>
      </w:r>
    </w:p>
  </w:footnote>
  <w:footnote w:id="11">
    <w:p w14:paraId="409E0ECF" w14:textId="4ACF41B9" w:rsidR="00D46EA0" w:rsidRPr="00D46EA0" w:rsidRDefault="00D46EA0" w:rsidP="00895B88">
      <w:pPr>
        <w:pStyle w:val="FootnoteText"/>
        <w:jc w:val="both"/>
        <w:rPr>
          <w:lang w:val="en-US"/>
        </w:rPr>
      </w:pPr>
      <w:r>
        <w:rPr>
          <w:rStyle w:val="FootnoteReference"/>
        </w:rPr>
        <w:footnoteRef/>
      </w:r>
      <w:r>
        <w:t xml:space="preserve"> </w:t>
      </w:r>
      <w:r>
        <w:rPr>
          <w:lang w:val="en-US"/>
        </w:rPr>
        <w:t xml:space="preserve">Friedman appears to have acknowledged that Urban Lime was at 17 April 2023 in default and Standard Bank </w:t>
      </w:r>
      <w:r w:rsidR="00C85542">
        <w:rPr>
          <w:lang w:val="en-US"/>
        </w:rPr>
        <w:t>was entitled to accelerate in terms of clause 21.19 because Urban Lime had defaulted.</w:t>
      </w:r>
    </w:p>
  </w:footnote>
  <w:footnote w:id="12">
    <w:p w14:paraId="5C0F9131" w14:textId="7CFC2D4B" w:rsidR="00E933BA" w:rsidRPr="00E933BA" w:rsidRDefault="00E933BA" w:rsidP="00895B88">
      <w:pPr>
        <w:pStyle w:val="FootnoteText"/>
        <w:jc w:val="both"/>
        <w:rPr>
          <w:lang w:val="en-US"/>
        </w:rPr>
      </w:pPr>
      <w:r>
        <w:rPr>
          <w:rStyle w:val="FootnoteReference"/>
        </w:rPr>
        <w:footnoteRef/>
      </w:r>
      <w:r>
        <w:t xml:space="preserve"> </w:t>
      </w:r>
      <w:r>
        <w:rPr>
          <w:lang w:val="en-US"/>
        </w:rPr>
        <w:t xml:space="preserve">In doing </w:t>
      </w:r>
      <w:r w:rsidR="00D17B4A">
        <w:rPr>
          <w:lang w:val="en-US"/>
        </w:rPr>
        <w:t xml:space="preserve">so </w:t>
      </w:r>
      <w:r>
        <w:rPr>
          <w:lang w:val="en-US"/>
        </w:rPr>
        <w:t xml:space="preserve">I have had regard to the text, context and purpose </w:t>
      </w:r>
      <w:r w:rsidR="0061778A">
        <w:rPr>
          <w:lang w:val="en-US"/>
        </w:rPr>
        <w:t xml:space="preserve">of the </w:t>
      </w:r>
      <w:r w:rsidR="00903899">
        <w:rPr>
          <w:lang w:val="en-US"/>
        </w:rPr>
        <w:t>f</w:t>
      </w:r>
      <w:r w:rsidR="0061778A">
        <w:rPr>
          <w:lang w:val="en-US"/>
        </w:rPr>
        <w:t xml:space="preserve">acility agreement.  </w:t>
      </w:r>
      <w:r w:rsidR="0061778A" w:rsidRPr="0061778A">
        <w:rPr>
          <w:i/>
          <w:iCs/>
          <w:lang w:val="en-US"/>
        </w:rPr>
        <w:t>Natal Joint Municipal Pension Fund v Endumeni Municipality</w:t>
      </w:r>
      <w:r w:rsidR="00D17B4A">
        <w:rPr>
          <w:lang w:val="en-US"/>
        </w:rPr>
        <w:t xml:space="preserve"> </w:t>
      </w:r>
      <w:r w:rsidR="0061778A" w:rsidRPr="0061778A">
        <w:rPr>
          <w:lang w:val="en-US"/>
        </w:rPr>
        <w:t>2012 (4) SA 593 (SCA)</w:t>
      </w:r>
      <w:r w:rsidR="0061778A">
        <w:rPr>
          <w:lang w:val="en-US"/>
        </w:rPr>
        <w:t>.</w:t>
      </w:r>
    </w:p>
  </w:footnote>
  <w:footnote w:id="13">
    <w:p w14:paraId="3BFC8458" w14:textId="5946C8E8" w:rsidR="00AE1B45" w:rsidRPr="00895B88" w:rsidRDefault="00AE1B45" w:rsidP="00895B88">
      <w:pPr>
        <w:pStyle w:val="FootnoteText"/>
        <w:jc w:val="both"/>
        <w:rPr>
          <w:lang w:val="en-US"/>
        </w:rPr>
      </w:pPr>
      <w:r>
        <w:rPr>
          <w:rStyle w:val="FootnoteReference"/>
        </w:rPr>
        <w:footnoteRef/>
      </w:r>
      <w:r>
        <w:t xml:space="preserve"> </w:t>
      </w:r>
      <w:r>
        <w:rPr>
          <w:lang w:val="en-US"/>
        </w:rPr>
        <w:t xml:space="preserve">See for example, </w:t>
      </w:r>
      <w:r>
        <w:rPr>
          <w:i/>
          <w:iCs/>
          <w:lang w:val="en-US"/>
        </w:rPr>
        <w:t xml:space="preserve">Venter v Rex </w:t>
      </w:r>
      <w:r>
        <w:rPr>
          <w:lang w:val="en-US"/>
        </w:rPr>
        <w:t xml:space="preserve">1907 TS 910 at 914 – 5, cited with approval a majority of the Constitutional Court in </w:t>
      </w:r>
      <w:r>
        <w:rPr>
          <w:i/>
          <w:iCs/>
          <w:lang w:val="en-US"/>
        </w:rPr>
        <w:t xml:space="preserve">Smit v Minister of Justice and Correctional Services and Others </w:t>
      </w:r>
      <w:r>
        <w:rPr>
          <w:lang w:val="en-US"/>
        </w:rPr>
        <w:t xml:space="preserve">2021 (1) SACR 482(CC). Although </w:t>
      </w:r>
      <w:r w:rsidR="00825A0F">
        <w:rPr>
          <w:lang w:val="en-US"/>
        </w:rPr>
        <w:t>both</w:t>
      </w:r>
      <w:r>
        <w:rPr>
          <w:lang w:val="en-US"/>
        </w:rPr>
        <w:t xml:space="preserve"> cases deal with the interpretation of statutes, </w:t>
      </w:r>
      <w:r w:rsidR="00FF3198">
        <w:rPr>
          <w:i/>
          <w:iCs/>
          <w:lang w:val="en-US"/>
        </w:rPr>
        <w:t xml:space="preserve">Endumeni </w:t>
      </w:r>
      <w:r w:rsidR="00FF3198">
        <w:rPr>
          <w:lang w:val="en-US"/>
        </w:rPr>
        <w:t>makes it clear that</w:t>
      </w:r>
      <w:r>
        <w:rPr>
          <w:lang w:val="en-US"/>
        </w:rPr>
        <w:t xml:space="preserve"> all written documents are to be interpreted</w:t>
      </w:r>
      <w:r w:rsidR="00FF3198">
        <w:rPr>
          <w:lang w:val="en-US"/>
        </w:rPr>
        <w:t xml:space="preserve"> through the same iterative process. </w:t>
      </w:r>
    </w:p>
  </w:footnote>
  <w:footnote w:id="14">
    <w:p w14:paraId="3A5E94F7" w14:textId="510ABB19" w:rsidR="00B72DB3" w:rsidRPr="00B72DB3" w:rsidRDefault="00B72DB3">
      <w:pPr>
        <w:pStyle w:val="FootnoteText"/>
        <w:rPr>
          <w:lang w:val="en-US"/>
        </w:rPr>
      </w:pPr>
      <w:r>
        <w:rPr>
          <w:rStyle w:val="FootnoteReference"/>
        </w:rPr>
        <w:footnoteRef/>
      </w:r>
      <w:r>
        <w:t xml:space="preserve"> </w:t>
      </w:r>
      <w:r>
        <w:rPr>
          <w:i/>
          <w:iCs/>
          <w:lang w:val="en-US"/>
        </w:rPr>
        <w:t xml:space="preserve">Endumeni </w:t>
      </w:r>
      <w:r>
        <w:rPr>
          <w:lang w:val="en-US"/>
        </w:rPr>
        <w:t xml:space="preserve">above n.12 at para [18]. </w:t>
      </w:r>
    </w:p>
  </w:footnote>
  <w:footnote w:id="15">
    <w:p w14:paraId="0BEC7CED" w14:textId="69568727" w:rsidR="00C956AC" w:rsidRPr="00895B88" w:rsidRDefault="00C956AC" w:rsidP="00895B88">
      <w:pPr>
        <w:pStyle w:val="FootnoteText"/>
        <w:jc w:val="both"/>
        <w:rPr>
          <w:lang w:val="en-US"/>
        </w:rPr>
      </w:pPr>
      <w:r>
        <w:rPr>
          <w:rStyle w:val="FootnoteReference"/>
        </w:rPr>
        <w:footnoteRef/>
      </w:r>
      <w:r>
        <w:t xml:space="preserve"> </w:t>
      </w:r>
      <w:r>
        <w:rPr>
          <w:lang w:val="en-US"/>
        </w:rPr>
        <w:t xml:space="preserve">Reliance on the heading of a clause is a permissible tool in the interpretation exercise. See </w:t>
      </w:r>
      <w:r w:rsidR="00825A0F" w:rsidRPr="00E35372">
        <w:rPr>
          <w:i/>
          <w:iCs/>
        </w:rPr>
        <w:t xml:space="preserve">Nelson Mandela Foundation v AfriForum NPC and Others </w:t>
      </w:r>
      <w:r w:rsidR="00825A0F" w:rsidRPr="00E35372">
        <w:t>2019 (6) SA 327(EqC); [2019] 4 All SA 237 (EqC)</w:t>
      </w:r>
      <w:r w:rsidR="00825A0F">
        <w:t xml:space="preserve">. This interpretation of the </w:t>
      </w:r>
      <w:r w:rsidR="00D17B4A">
        <w:t>Equality</w:t>
      </w:r>
      <w:r w:rsidR="00825A0F">
        <w:t xml:space="preserve"> Court was upheld by the Constitutional Court in </w:t>
      </w:r>
      <w:r w:rsidR="00825A0F">
        <w:rPr>
          <w:i/>
          <w:iCs/>
        </w:rPr>
        <w:t xml:space="preserve">Qwelane v South African Human Rights Commission </w:t>
      </w:r>
      <w:r w:rsidR="00825A0F">
        <w:t>2021 (6) SA 579 (CC) at [113].</w:t>
      </w:r>
    </w:p>
  </w:footnote>
  <w:footnote w:id="16">
    <w:p w14:paraId="0CB010C3" w14:textId="5C43F123" w:rsidR="004564FD" w:rsidRPr="00895B88" w:rsidRDefault="004564FD">
      <w:pPr>
        <w:pStyle w:val="FootnoteText"/>
        <w:rPr>
          <w:lang w:val="en-US"/>
        </w:rPr>
      </w:pPr>
      <w:r>
        <w:rPr>
          <w:rStyle w:val="FootnoteReference"/>
        </w:rPr>
        <w:footnoteRef/>
      </w:r>
      <w:r>
        <w:t xml:space="preserve"> </w:t>
      </w:r>
      <w:r>
        <w:rPr>
          <w:lang w:val="en-US"/>
        </w:rPr>
        <w:t xml:space="preserve">2020 (5) SA 247 (CC). </w:t>
      </w:r>
    </w:p>
  </w:footnote>
  <w:footnote w:id="17">
    <w:p w14:paraId="2DCD8F26" w14:textId="37880E5F" w:rsidR="004564FD" w:rsidRPr="00895B88" w:rsidRDefault="004564FD">
      <w:pPr>
        <w:pStyle w:val="FootnoteText"/>
        <w:rPr>
          <w:lang w:val="en-US"/>
        </w:rPr>
      </w:pPr>
      <w:r>
        <w:rPr>
          <w:rStyle w:val="FootnoteReference"/>
        </w:rPr>
        <w:footnoteRef/>
      </w:r>
      <w:r>
        <w:t xml:space="preserve"> </w:t>
      </w:r>
      <w:r>
        <w:rPr>
          <w:lang w:val="en-US"/>
        </w:rPr>
        <w:t xml:space="preserve">2020 (5) SA 327 (CC). </w:t>
      </w:r>
    </w:p>
  </w:footnote>
  <w:footnote w:id="18">
    <w:p w14:paraId="1CA7159D" w14:textId="52BD3161" w:rsidR="007D2D1B" w:rsidRPr="007D2D1B" w:rsidRDefault="007D2D1B" w:rsidP="00895B88">
      <w:pPr>
        <w:pStyle w:val="FootnoteText"/>
        <w:jc w:val="both"/>
        <w:rPr>
          <w:lang w:val="en-US"/>
        </w:rPr>
      </w:pPr>
      <w:r>
        <w:rPr>
          <w:rStyle w:val="FootnoteReference"/>
        </w:rPr>
        <w:footnoteRef/>
      </w:r>
      <w:r>
        <w:t xml:space="preserve"> </w:t>
      </w:r>
      <w:r>
        <w:rPr>
          <w:lang w:val="en-US"/>
        </w:rPr>
        <w:t xml:space="preserve">Clause 14 of the Guarantee provides for a costs order to this effect.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554B" w14:textId="77777777" w:rsidR="00213FB0" w:rsidRDefault="00213F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84BB" w14:textId="77777777" w:rsidR="00213FB0" w:rsidRDefault="00213F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5672" w14:textId="77777777" w:rsidR="00213FB0" w:rsidRDefault="00213F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655"/>
    <w:multiLevelType w:val="hybridMultilevel"/>
    <w:tmpl w:val="A4C23032"/>
    <w:lvl w:ilvl="0" w:tplc="5F0835E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D5456"/>
    <w:multiLevelType w:val="multilevel"/>
    <w:tmpl w:val="450A24F6"/>
    <w:styleLink w:val="CurrentList4"/>
    <w:lvl w:ilvl="0">
      <w:start w:val="1"/>
      <w:numFmt w:val="decimal"/>
      <w:lvlText w:val="[%1]"/>
      <w:lvlJc w:val="left"/>
      <w:pPr>
        <w:ind w:left="720" w:hanging="720"/>
      </w:pPr>
      <w:rPr>
        <w:rFonts w:hint="default"/>
        <w:u w:val="none"/>
      </w:rPr>
    </w:lvl>
    <w:lvl w:ilvl="1">
      <w:start w:val="1"/>
      <w:numFmt w:val="decimal"/>
      <w:isLgl/>
      <w:lvlText w:val="%2%1[1.1]"/>
      <w:lvlJc w:val="left"/>
      <w:pPr>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3600"/>
        </w:tabs>
        <w:ind w:left="360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2" w15:restartNumberingAfterBreak="0">
    <w:nsid w:val="139A2370"/>
    <w:multiLevelType w:val="hybridMultilevel"/>
    <w:tmpl w:val="AD504C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23078"/>
    <w:multiLevelType w:val="hybridMultilevel"/>
    <w:tmpl w:val="0FE873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F7DDF"/>
    <w:multiLevelType w:val="multilevel"/>
    <w:tmpl w:val="8E0CCB58"/>
    <w:lvl w:ilvl="0">
      <w:start w:val="1"/>
      <w:numFmt w:val="decimal"/>
      <w:lvlText w:val="%1."/>
      <w:lvlJc w:val="left"/>
      <w:pPr>
        <w:ind w:left="680" w:hanging="680"/>
      </w:pPr>
      <w:rPr>
        <w:rFonts w:hint="default"/>
      </w:rPr>
    </w:lvl>
    <w:lvl w:ilvl="1">
      <w:start w:val="1"/>
      <w:numFmt w:val="decimal"/>
      <w:lvlText w:val="%1.%2."/>
      <w:lvlJc w:val="center"/>
      <w:pPr>
        <w:ind w:left="1247" w:hanging="88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9333E6"/>
    <w:multiLevelType w:val="singleLevel"/>
    <w:tmpl w:val="93D857FA"/>
    <w:lvl w:ilvl="0">
      <w:start w:val="1"/>
      <w:numFmt w:val="lowerLetter"/>
      <w:lvlText w:val="(%1)"/>
      <w:lvlJc w:val="left"/>
      <w:pPr>
        <w:tabs>
          <w:tab w:val="num" w:pos="1440"/>
        </w:tabs>
        <w:ind w:left="1440" w:hanging="720"/>
      </w:pPr>
      <w:rPr>
        <w:rFonts w:hint="default"/>
      </w:rPr>
    </w:lvl>
  </w:abstractNum>
  <w:abstractNum w:abstractNumId="6" w15:restartNumberingAfterBreak="0">
    <w:nsid w:val="245D4D91"/>
    <w:multiLevelType w:val="multilevel"/>
    <w:tmpl w:val="03FC1846"/>
    <w:lvl w:ilvl="0">
      <w:start w:val="1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592921"/>
    <w:multiLevelType w:val="hybridMultilevel"/>
    <w:tmpl w:val="539CF5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C4760"/>
    <w:multiLevelType w:val="multilevel"/>
    <w:tmpl w:val="32A8BEF0"/>
    <w:styleLink w:val="CurrentList3"/>
    <w:lvl w:ilvl="0">
      <w:start w:val="1"/>
      <w:numFmt w:val="none"/>
      <w:isLgl/>
      <w:lvlText w:val="[1] "/>
      <w:lvlJc w:val="left"/>
      <w:pPr>
        <w:ind w:left="720" w:hanging="720"/>
      </w:pPr>
      <w:rPr>
        <w:rFonts w:hint="default"/>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3600"/>
        </w:tabs>
        <w:ind w:left="360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9" w15:restartNumberingAfterBreak="0">
    <w:nsid w:val="3DEB2393"/>
    <w:multiLevelType w:val="multilevel"/>
    <w:tmpl w:val="CA0CAF38"/>
    <w:lvl w:ilvl="0">
      <w:start w:val="1"/>
      <w:numFmt w:val="decimal"/>
      <w:pStyle w:val="Numberin1"/>
      <w:lvlText w:val="[%1]"/>
      <w:lvlJc w:val="left"/>
      <w:pPr>
        <w:ind w:left="720" w:hanging="720"/>
      </w:pPr>
      <w:rPr>
        <w:rFonts w:hint="default"/>
        <w:u w:val="none"/>
      </w:rPr>
    </w:lvl>
    <w:lvl w:ilvl="1">
      <w:start w:val="1"/>
      <w:numFmt w:val="none"/>
      <w:isLgl/>
      <w:lvlText w:val="[.1] "/>
      <w:lvlJc w:val="left"/>
      <w:pPr>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3600"/>
        </w:tabs>
        <w:ind w:left="360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10" w15:restartNumberingAfterBreak="0">
    <w:nsid w:val="4322344F"/>
    <w:multiLevelType w:val="multilevel"/>
    <w:tmpl w:val="D67ABE28"/>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6246C6"/>
    <w:multiLevelType w:val="hybridMultilevel"/>
    <w:tmpl w:val="DD6887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DB684B"/>
    <w:multiLevelType w:val="multilevel"/>
    <w:tmpl w:val="A3EE5918"/>
    <w:lvl w:ilvl="0">
      <w:start w:val="51"/>
      <w:numFmt w:val="decimal"/>
      <w:lvlText w:val="%1."/>
      <w:lvlJc w:val="left"/>
      <w:pPr>
        <w:ind w:left="520" w:hanging="520"/>
      </w:pPr>
      <w:rPr>
        <w:rFonts w:hint="default"/>
      </w:rPr>
    </w:lvl>
    <w:lvl w:ilvl="1">
      <w:start w:val="1"/>
      <w:numFmt w:val="decimal"/>
      <w:lvlText w:val="%1.%2."/>
      <w:lvlJc w:val="left"/>
      <w:pPr>
        <w:ind w:left="2376" w:hanging="720"/>
      </w:pPr>
      <w:rPr>
        <w:rFonts w:hint="default"/>
      </w:rPr>
    </w:lvl>
    <w:lvl w:ilvl="2">
      <w:start w:val="1"/>
      <w:numFmt w:val="decimal"/>
      <w:lvlText w:val="%1.%2.%3."/>
      <w:lvlJc w:val="left"/>
      <w:pPr>
        <w:ind w:left="4032" w:hanging="720"/>
      </w:pPr>
      <w:rPr>
        <w:rFonts w:hint="default"/>
      </w:rPr>
    </w:lvl>
    <w:lvl w:ilvl="3">
      <w:start w:val="1"/>
      <w:numFmt w:val="decimal"/>
      <w:lvlText w:val="%1.%2.%3.%4."/>
      <w:lvlJc w:val="left"/>
      <w:pPr>
        <w:ind w:left="6048" w:hanging="1080"/>
      </w:pPr>
      <w:rPr>
        <w:rFonts w:hint="default"/>
      </w:rPr>
    </w:lvl>
    <w:lvl w:ilvl="4">
      <w:start w:val="1"/>
      <w:numFmt w:val="decimal"/>
      <w:lvlText w:val="%1.%2.%3.%4.%5."/>
      <w:lvlJc w:val="left"/>
      <w:pPr>
        <w:ind w:left="7704" w:hanging="1080"/>
      </w:pPr>
      <w:rPr>
        <w:rFonts w:hint="default"/>
      </w:rPr>
    </w:lvl>
    <w:lvl w:ilvl="5">
      <w:start w:val="1"/>
      <w:numFmt w:val="decimal"/>
      <w:lvlText w:val="%1.%2.%3.%4.%5.%6."/>
      <w:lvlJc w:val="left"/>
      <w:pPr>
        <w:ind w:left="9720" w:hanging="1440"/>
      </w:pPr>
      <w:rPr>
        <w:rFonts w:hint="default"/>
      </w:rPr>
    </w:lvl>
    <w:lvl w:ilvl="6">
      <w:start w:val="1"/>
      <w:numFmt w:val="decimal"/>
      <w:lvlText w:val="%1.%2.%3.%4.%5.%6.%7."/>
      <w:lvlJc w:val="left"/>
      <w:pPr>
        <w:ind w:left="11376" w:hanging="1440"/>
      </w:pPr>
      <w:rPr>
        <w:rFonts w:hint="default"/>
      </w:rPr>
    </w:lvl>
    <w:lvl w:ilvl="7">
      <w:start w:val="1"/>
      <w:numFmt w:val="decimal"/>
      <w:lvlText w:val="%1.%2.%3.%4.%5.%6.%7.%8."/>
      <w:lvlJc w:val="left"/>
      <w:pPr>
        <w:ind w:left="13392" w:hanging="1800"/>
      </w:pPr>
      <w:rPr>
        <w:rFonts w:hint="default"/>
      </w:rPr>
    </w:lvl>
    <w:lvl w:ilvl="8">
      <w:start w:val="1"/>
      <w:numFmt w:val="decimal"/>
      <w:lvlText w:val="%1.%2.%3.%4.%5.%6.%7.%8.%9."/>
      <w:lvlJc w:val="left"/>
      <w:pPr>
        <w:ind w:left="15408" w:hanging="2160"/>
      </w:pPr>
      <w:rPr>
        <w:rFonts w:hint="default"/>
      </w:rPr>
    </w:lvl>
  </w:abstractNum>
  <w:abstractNum w:abstractNumId="13" w15:restartNumberingAfterBreak="0">
    <w:nsid w:val="577C6677"/>
    <w:multiLevelType w:val="hybridMultilevel"/>
    <w:tmpl w:val="F92808E6"/>
    <w:lvl w:ilvl="0" w:tplc="04488B7A">
      <w:start w:val="1"/>
      <w:numFmt w:val="decimal"/>
      <w:lvlText w:val="%1."/>
      <w:lvlJc w:val="left"/>
      <w:pPr>
        <w:ind w:left="794" w:hanging="43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9A51D9"/>
    <w:multiLevelType w:val="hybridMultilevel"/>
    <w:tmpl w:val="9E7CABD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E45FF1"/>
    <w:multiLevelType w:val="multilevel"/>
    <w:tmpl w:val="436CEE4C"/>
    <w:lvl w:ilvl="0">
      <w:start w:val="1"/>
      <w:numFmt w:val="decimal"/>
      <w:pStyle w:val="XClause1Head"/>
      <w:isLgl/>
      <w:lvlText w:val="%1."/>
      <w:lvlJc w:val="left"/>
      <w:pPr>
        <w:tabs>
          <w:tab w:val="num" w:pos="720"/>
        </w:tabs>
        <w:ind w:left="720" w:hanging="720"/>
      </w:pPr>
      <w:rPr>
        <w:rFonts w:cs="Times New Roman" w:hint="default"/>
        <w:b w:val="0"/>
        <w:i w:val="0"/>
      </w:rPr>
    </w:lvl>
    <w:lvl w:ilvl="1">
      <w:start w:val="1"/>
      <w:numFmt w:val="decimal"/>
      <w:pStyle w:val="XClause2Sub"/>
      <w:lvlText w:val="%1.%2."/>
      <w:lvlJc w:val="left"/>
      <w:pPr>
        <w:tabs>
          <w:tab w:val="num" w:pos="1997"/>
        </w:tabs>
        <w:ind w:left="1997" w:hanging="720"/>
      </w:pPr>
      <w:rPr>
        <w:rFonts w:cs="Times New Roman" w:hint="default"/>
      </w:rPr>
    </w:lvl>
    <w:lvl w:ilvl="2">
      <w:start w:val="1"/>
      <w:numFmt w:val="decimal"/>
      <w:pStyle w:val="XClause3Sub"/>
      <w:lvlText w:val="%1.%2.%3."/>
      <w:lvlJc w:val="left"/>
      <w:pPr>
        <w:tabs>
          <w:tab w:val="num" w:pos="2552"/>
        </w:tabs>
        <w:ind w:left="2552" w:hanging="1112"/>
      </w:pPr>
      <w:rPr>
        <w:rFonts w:cs="Times New Roman" w:hint="default"/>
      </w:rPr>
    </w:lvl>
    <w:lvl w:ilvl="3">
      <w:start w:val="1"/>
      <w:numFmt w:val="decimal"/>
      <w:pStyle w:val="XClause4Sub"/>
      <w:lvlText w:val="%1.%2.%3.%4."/>
      <w:lvlJc w:val="left"/>
      <w:pPr>
        <w:tabs>
          <w:tab w:val="num" w:pos="3600"/>
        </w:tabs>
        <w:ind w:left="3600" w:hanging="1048"/>
      </w:pPr>
      <w:rPr>
        <w:rFonts w:cs="Times New Roman" w:hint="default"/>
      </w:rPr>
    </w:lvl>
    <w:lvl w:ilvl="4">
      <w:start w:val="1"/>
      <w:numFmt w:val="decimal"/>
      <w:pStyle w:val="XClause5Sub"/>
      <w:lvlText w:val="%1.%2.%3.%4.%5."/>
      <w:lvlJc w:val="left"/>
      <w:pPr>
        <w:tabs>
          <w:tab w:val="num" w:pos="5041"/>
        </w:tabs>
        <w:ind w:left="5041" w:hanging="1441"/>
      </w:pPr>
      <w:rPr>
        <w:rFonts w:cs="Times New Roman" w:hint="default"/>
      </w:rPr>
    </w:lvl>
    <w:lvl w:ilvl="5">
      <w:start w:val="1"/>
      <w:numFmt w:val="decimal"/>
      <w:pStyle w:val="XClause6Sub"/>
      <w:lvlText w:val="%1.%2.%3.%4.%5.%6."/>
      <w:lvlJc w:val="left"/>
      <w:pPr>
        <w:tabs>
          <w:tab w:val="num" w:pos="6481"/>
        </w:tabs>
        <w:ind w:left="6481" w:hanging="1440"/>
      </w:pPr>
      <w:rPr>
        <w:rFonts w:cs="Times New Roman" w:hint="default"/>
      </w:rPr>
    </w:lvl>
    <w:lvl w:ilvl="6">
      <w:start w:val="1"/>
      <w:numFmt w:val="decimal"/>
      <w:pStyle w:val="XClause7Sub"/>
      <w:lvlText w:val="%1.%2.%3.%4.%5.%6.%7."/>
      <w:lvlJc w:val="left"/>
      <w:pPr>
        <w:tabs>
          <w:tab w:val="num" w:pos="7201"/>
        </w:tabs>
        <w:ind w:left="7201" w:hanging="1871"/>
      </w:pPr>
      <w:rPr>
        <w:rFonts w:cs="Times New Roman" w:hint="default"/>
      </w:rPr>
    </w:lvl>
    <w:lvl w:ilvl="7">
      <w:start w:val="1"/>
      <w:numFmt w:val="decimal"/>
      <w:pStyle w:val="XClause8Sub"/>
      <w:lvlText w:val="%1.%2.%3.%4.%5.%6.%7.%8."/>
      <w:lvlJc w:val="left"/>
      <w:pPr>
        <w:tabs>
          <w:tab w:val="num" w:pos="7921"/>
        </w:tabs>
        <w:ind w:left="7921" w:hanging="1967"/>
      </w:pPr>
      <w:rPr>
        <w:rFonts w:cs="Times New Roman" w:hint="default"/>
      </w:rPr>
    </w:lvl>
    <w:lvl w:ilvl="8">
      <w:start w:val="1"/>
      <w:numFmt w:val="decimal"/>
      <w:pStyle w:val="XClause9Sub"/>
      <w:isLgl/>
      <w:lvlText w:val="%1.%2.%3.%4.%5.%6.%7.%8.%9."/>
      <w:lvlJc w:val="left"/>
      <w:pPr>
        <w:tabs>
          <w:tab w:val="num" w:pos="8222"/>
        </w:tabs>
        <w:ind w:left="8222" w:hanging="1730"/>
      </w:pPr>
      <w:rPr>
        <w:rFonts w:cs="Times New Roman" w:hint="default"/>
      </w:rPr>
    </w:lvl>
  </w:abstractNum>
  <w:abstractNum w:abstractNumId="16" w15:restartNumberingAfterBreak="0">
    <w:nsid w:val="5DFB415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3B13F79"/>
    <w:multiLevelType w:val="multilevel"/>
    <w:tmpl w:val="2E5A98B6"/>
    <w:styleLink w:val="CurrentList2"/>
    <w:lvl w:ilvl="0">
      <w:start w:val="1"/>
      <w:numFmt w:val="decimal"/>
      <w:isLgl/>
      <w:lvlText w:val="%1."/>
      <w:lvlJc w:val="left"/>
      <w:pPr>
        <w:tabs>
          <w:tab w:val="num" w:pos="720"/>
        </w:tabs>
        <w:ind w:left="720" w:hanging="720"/>
      </w:pPr>
      <w:rPr>
        <w:u w:val="none"/>
      </w:rPr>
    </w:lvl>
    <w:lvl w:ilvl="1">
      <w:start w:val="1"/>
      <w:numFmt w:val="decimal"/>
      <w:isLgl/>
      <w:lvlText w:val="%1.%2"/>
      <w:lvlJc w:val="left"/>
      <w:pPr>
        <w:tabs>
          <w:tab w:val="num" w:pos="1656"/>
        </w:tabs>
        <w:ind w:left="1656" w:hanging="936"/>
      </w:pPr>
      <w:rPr>
        <w:u w:val="none"/>
      </w:rPr>
    </w:lvl>
    <w:lvl w:ilvl="2">
      <w:start w:val="1"/>
      <w:numFmt w:val="decimal"/>
      <w:isLgl/>
      <w:lvlText w:val="%1.%2.%3"/>
      <w:lvlJc w:val="left"/>
      <w:pPr>
        <w:tabs>
          <w:tab w:val="num" w:pos="2736"/>
        </w:tabs>
        <w:ind w:left="2736" w:hanging="1080"/>
      </w:pPr>
      <w:rPr>
        <w:u w:val="none"/>
      </w:rPr>
    </w:lvl>
    <w:lvl w:ilvl="3">
      <w:start w:val="1"/>
      <w:numFmt w:val="decimal"/>
      <w:isLgl/>
      <w:lvlText w:val="%1.%2.%3.%4"/>
      <w:lvlJc w:val="left"/>
      <w:pPr>
        <w:tabs>
          <w:tab w:val="num" w:pos="3600"/>
        </w:tabs>
        <w:ind w:left="3600" w:hanging="1440"/>
      </w:pPr>
      <w:rPr>
        <w:u w:val="none"/>
      </w:rPr>
    </w:lvl>
    <w:lvl w:ilvl="4">
      <w:start w:val="1"/>
      <w:numFmt w:val="decimal"/>
      <w:isLgl/>
      <w:lvlText w:val="%1.%2.%3.%4.%5"/>
      <w:lvlJc w:val="left"/>
      <w:pPr>
        <w:tabs>
          <w:tab w:val="num" w:pos="4320"/>
        </w:tabs>
        <w:ind w:left="4320" w:hanging="1440"/>
      </w:pPr>
      <w:rPr>
        <w:u w:val="none"/>
      </w:rPr>
    </w:lvl>
    <w:lvl w:ilvl="5">
      <w:start w:val="1"/>
      <w:numFmt w:val="decimal"/>
      <w:isLgl/>
      <w:lvlText w:val="%1.%2.%3.%4.%5.%6"/>
      <w:lvlJc w:val="left"/>
      <w:pPr>
        <w:tabs>
          <w:tab w:val="num" w:pos="5328"/>
        </w:tabs>
        <w:ind w:left="5328" w:hanging="1728"/>
      </w:pPr>
      <w:rPr>
        <w:u w:val="none"/>
      </w:rPr>
    </w:lvl>
    <w:lvl w:ilvl="6">
      <w:start w:val="1"/>
      <w:numFmt w:val="decimal"/>
      <w:isLgl/>
      <w:lvlText w:val="%1.%2.%3.%4.%5.%6.%7"/>
      <w:lvlJc w:val="left"/>
      <w:pPr>
        <w:tabs>
          <w:tab w:val="num" w:pos="6192"/>
        </w:tabs>
        <w:ind w:left="6192" w:hanging="1872"/>
      </w:pPr>
      <w:rPr>
        <w:u w:val="none"/>
      </w:rPr>
    </w:lvl>
    <w:lvl w:ilvl="7">
      <w:start w:val="1"/>
      <w:numFmt w:val="decimal"/>
      <w:isLgl/>
      <w:lvlText w:val="%1.%2.%3.%4.%5.%6.%7.%8"/>
      <w:lvlJc w:val="left"/>
      <w:pPr>
        <w:tabs>
          <w:tab w:val="num" w:pos="7128"/>
        </w:tabs>
        <w:ind w:left="7128" w:hanging="2088"/>
      </w:pPr>
      <w:rPr>
        <w:u w:val="none"/>
      </w:rPr>
    </w:lvl>
    <w:lvl w:ilvl="8">
      <w:start w:val="1"/>
      <w:numFmt w:val="decimal"/>
      <w:isLgl/>
      <w:lvlText w:val="%1.%2.%3.%4.%5.%6.%7.%8.%9"/>
      <w:lvlJc w:val="left"/>
      <w:pPr>
        <w:tabs>
          <w:tab w:val="num" w:pos="8064"/>
        </w:tabs>
        <w:ind w:left="8064" w:hanging="2304"/>
      </w:pPr>
      <w:rPr>
        <w:u w:val="none"/>
      </w:rPr>
    </w:lvl>
  </w:abstractNum>
  <w:abstractNum w:abstractNumId="18" w15:restartNumberingAfterBreak="0">
    <w:nsid w:val="6E741CC6"/>
    <w:multiLevelType w:val="multilevel"/>
    <w:tmpl w:val="E6307DDA"/>
    <w:lvl w:ilvl="0">
      <w:start w:val="1"/>
      <w:numFmt w:val="decimal"/>
      <w:lvlText w:val="%1."/>
      <w:lvlJc w:val="left"/>
      <w:pPr>
        <w:ind w:left="907" w:hanging="907"/>
      </w:pPr>
      <w:rPr>
        <w:rFonts w:hint="default"/>
      </w:rPr>
    </w:lvl>
    <w:lvl w:ilvl="1">
      <w:start w:val="1"/>
      <w:numFmt w:val="decimal"/>
      <w:lvlText w:val="%1.%2."/>
      <w:lvlJc w:val="left"/>
      <w:pPr>
        <w:ind w:left="1361" w:hanging="1001"/>
      </w:pPr>
      <w:rPr>
        <w:rFonts w:hint="default"/>
      </w:rPr>
    </w:lvl>
    <w:lvl w:ilvl="2">
      <w:start w:val="1"/>
      <w:numFmt w:val="decimal"/>
      <w:lvlText w:val="%1.%2.%3."/>
      <w:lvlJc w:val="left"/>
      <w:pPr>
        <w:ind w:left="1871" w:hanging="11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9B5864"/>
    <w:multiLevelType w:val="multilevel"/>
    <w:tmpl w:val="2E5A98B6"/>
    <w:styleLink w:val="CurrentList1"/>
    <w:lvl w:ilvl="0">
      <w:start w:val="1"/>
      <w:numFmt w:val="decimal"/>
      <w:isLgl/>
      <w:lvlText w:val="%1."/>
      <w:lvlJc w:val="left"/>
      <w:pPr>
        <w:tabs>
          <w:tab w:val="num" w:pos="720"/>
        </w:tabs>
        <w:ind w:left="720" w:hanging="720"/>
      </w:pPr>
      <w:rPr>
        <w:u w:val="none"/>
      </w:rPr>
    </w:lvl>
    <w:lvl w:ilvl="1">
      <w:start w:val="1"/>
      <w:numFmt w:val="decimal"/>
      <w:isLgl/>
      <w:lvlText w:val="%1.%2"/>
      <w:lvlJc w:val="left"/>
      <w:pPr>
        <w:tabs>
          <w:tab w:val="num" w:pos="1656"/>
        </w:tabs>
        <w:ind w:left="1656" w:hanging="936"/>
      </w:pPr>
      <w:rPr>
        <w:u w:val="none"/>
      </w:rPr>
    </w:lvl>
    <w:lvl w:ilvl="2">
      <w:start w:val="1"/>
      <w:numFmt w:val="decimal"/>
      <w:isLgl/>
      <w:lvlText w:val="%1.%2.%3"/>
      <w:lvlJc w:val="left"/>
      <w:pPr>
        <w:tabs>
          <w:tab w:val="num" w:pos="2736"/>
        </w:tabs>
        <w:ind w:left="2736" w:hanging="1080"/>
      </w:pPr>
      <w:rPr>
        <w:u w:val="none"/>
      </w:rPr>
    </w:lvl>
    <w:lvl w:ilvl="3">
      <w:start w:val="1"/>
      <w:numFmt w:val="decimal"/>
      <w:isLgl/>
      <w:lvlText w:val="%1.%2.%3.%4"/>
      <w:lvlJc w:val="left"/>
      <w:pPr>
        <w:tabs>
          <w:tab w:val="num" w:pos="3600"/>
        </w:tabs>
        <w:ind w:left="3600" w:hanging="1440"/>
      </w:pPr>
      <w:rPr>
        <w:u w:val="none"/>
      </w:rPr>
    </w:lvl>
    <w:lvl w:ilvl="4">
      <w:start w:val="1"/>
      <w:numFmt w:val="decimal"/>
      <w:isLgl/>
      <w:lvlText w:val="%1.%2.%3.%4.%5"/>
      <w:lvlJc w:val="left"/>
      <w:pPr>
        <w:tabs>
          <w:tab w:val="num" w:pos="4320"/>
        </w:tabs>
        <w:ind w:left="4320" w:hanging="1440"/>
      </w:pPr>
      <w:rPr>
        <w:u w:val="none"/>
      </w:rPr>
    </w:lvl>
    <w:lvl w:ilvl="5">
      <w:start w:val="1"/>
      <w:numFmt w:val="decimal"/>
      <w:isLgl/>
      <w:lvlText w:val="%1.%2.%3.%4.%5.%6"/>
      <w:lvlJc w:val="left"/>
      <w:pPr>
        <w:tabs>
          <w:tab w:val="num" w:pos="5328"/>
        </w:tabs>
        <w:ind w:left="5328" w:hanging="1728"/>
      </w:pPr>
      <w:rPr>
        <w:u w:val="none"/>
      </w:rPr>
    </w:lvl>
    <w:lvl w:ilvl="6">
      <w:start w:val="1"/>
      <w:numFmt w:val="decimal"/>
      <w:isLgl/>
      <w:lvlText w:val="%1.%2.%3.%4.%5.%6.%7"/>
      <w:lvlJc w:val="left"/>
      <w:pPr>
        <w:tabs>
          <w:tab w:val="num" w:pos="6192"/>
        </w:tabs>
        <w:ind w:left="6192" w:hanging="1872"/>
      </w:pPr>
      <w:rPr>
        <w:u w:val="none"/>
      </w:rPr>
    </w:lvl>
    <w:lvl w:ilvl="7">
      <w:start w:val="1"/>
      <w:numFmt w:val="decimal"/>
      <w:isLgl/>
      <w:lvlText w:val="%1.%2.%3.%4.%5.%6.%7.%8"/>
      <w:lvlJc w:val="left"/>
      <w:pPr>
        <w:tabs>
          <w:tab w:val="num" w:pos="7128"/>
        </w:tabs>
        <w:ind w:left="7128" w:hanging="2088"/>
      </w:pPr>
      <w:rPr>
        <w:u w:val="none"/>
      </w:rPr>
    </w:lvl>
    <w:lvl w:ilvl="8">
      <w:start w:val="1"/>
      <w:numFmt w:val="decimal"/>
      <w:isLgl/>
      <w:lvlText w:val="%1.%2.%3.%4.%5.%6.%7.%8.%9"/>
      <w:lvlJc w:val="left"/>
      <w:pPr>
        <w:tabs>
          <w:tab w:val="num" w:pos="8064"/>
        </w:tabs>
        <w:ind w:left="8064" w:hanging="2304"/>
      </w:pPr>
      <w:rPr>
        <w:u w:val="none"/>
      </w:rPr>
    </w:lvl>
  </w:abstractNum>
  <w:abstractNum w:abstractNumId="20" w15:restartNumberingAfterBreak="0">
    <w:nsid w:val="74C2776A"/>
    <w:multiLevelType w:val="multilevel"/>
    <w:tmpl w:val="33EA1708"/>
    <w:lvl w:ilvl="0">
      <w:start w:val="1"/>
      <w:numFmt w:val="decimal"/>
      <w:lvlText w:val="%1"/>
      <w:lvlJc w:val="left"/>
      <w:pPr>
        <w:tabs>
          <w:tab w:val="num" w:pos="964"/>
        </w:tabs>
        <w:ind w:left="964" w:hanging="964"/>
      </w:pPr>
      <w:rPr>
        <w:rFonts w:hint="default"/>
        <w:sz w:val="24"/>
      </w:rPr>
    </w:lvl>
    <w:lvl w:ilvl="1">
      <w:start w:val="1"/>
      <w:numFmt w:val="decimal"/>
      <w:lvlText w:val="%1.%2"/>
      <w:lvlJc w:val="left"/>
      <w:pPr>
        <w:tabs>
          <w:tab w:val="num" w:pos="1985"/>
        </w:tabs>
        <w:ind w:left="1985" w:hanging="1021"/>
      </w:pPr>
      <w:rPr>
        <w:rFonts w:hint="default"/>
        <w:sz w:val="24"/>
      </w:rPr>
    </w:lvl>
    <w:lvl w:ilvl="2">
      <w:start w:val="1"/>
      <w:numFmt w:val="decimal"/>
      <w:lvlText w:val="%1.%2.%3"/>
      <w:lvlJc w:val="left"/>
      <w:pPr>
        <w:tabs>
          <w:tab w:val="num" w:pos="3119"/>
        </w:tabs>
        <w:ind w:left="3119" w:hanging="1134"/>
      </w:pPr>
      <w:rPr>
        <w:rFonts w:hint="default"/>
        <w:sz w:val="24"/>
      </w:rPr>
    </w:lvl>
    <w:lvl w:ilvl="3">
      <w:start w:val="1"/>
      <w:numFmt w:val="decimal"/>
      <w:lvlText w:val="%1.%4.%2.%3"/>
      <w:lvlJc w:val="left"/>
      <w:pPr>
        <w:tabs>
          <w:tab w:val="num" w:pos="3686"/>
        </w:tabs>
        <w:ind w:left="3686" w:hanging="851"/>
      </w:pPr>
      <w:rPr>
        <w:rFonts w:hint="default"/>
      </w:rPr>
    </w:lvl>
    <w:lvl w:ilvl="4">
      <w:start w:val="1"/>
      <w:numFmt w:val="decimal"/>
      <w:lvlText w:val="%1.%2.%3.%5.1"/>
      <w:lvlJc w:val="left"/>
      <w:pPr>
        <w:tabs>
          <w:tab w:val="num" w:pos="4820"/>
        </w:tabs>
        <w:ind w:left="4820" w:hanging="1134"/>
      </w:pPr>
      <w:rPr>
        <w:rFonts w:hint="default"/>
      </w:rPr>
    </w:lvl>
    <w:lvl w:ilvl="5">
      <w:start w:val="1"/>
      <w:numFmt w:val="decimal"/>
      <w:lvlText w:val="%6%1%5"/>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5"/>
  </w:num>
  <w:num w:numId="3">
    <w:abstractNumId w:val="9"/>
  </w:num>
  <w:num w:numId="4">
    <w:abstractNumId w:val="3"/>
  </w:num>
  <w:num w:numId="5">
    <w:abstractNumId w:val="10"/>
  </w:num>
  <w:num w:numId="6">
    <w:abstractNumId w:val="15"/>
  </w:num>
  <w:num w:numId="7">
    <w:abstractNumId w:val="20"/>
  </w:num>
  <w:num w:numId="8">
    <w:abstractNumId w:val="7"/>
  </w:num>
  <w:num w:numId="9">
    <w:abstractNumId w:val="16"/>
  </w:num>
  <w:num w:numId="10">
    <w:abstractNumId w:val="18"/>
  </w:num>
  <w:num w:numId="11">
    <w:abstractNumId w:val="2"/>
  </w:num>
  <w:num w:numId="12">
    <w:abstractNumId w:val="11"/>
  </w:num>
  <w:num w:numId="13">
    <w:abstractNumId w:val="9"/>
  </w:num>
  <w:num w:numId="14">
    <w:abstractNumId w:val="9"/>
  </w:num>
  <w:num w:numId="15">
    <w:abstractNumId w:val="13"/>
  </w:num>
  <w:num w:numId="16">
    <w:abstractNumId w:val="14"/>
  </w:num>
  <w:num w:numId="17">
    <w:abstractNumId w:val="0"/>
  </w:num>
  <w:num w:numId="18">
    <w:abstractNumId w:val="9"/>
  </w:num>
  <w:num w:numId="19">
    <w:abstractNumId w:val="19"/>
  </w:num>
  <w:num w:numId="20">
    <w:abstractNumId w:val="17"/>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FD07D9-DD13-41F6-8FC4-8808AD4762BF}"/>
    <w:docVar w:name="dgnword-eventsink" w:val="513315760"/>
  </w:docVars>
  <w:rsids>
    <w:rsidRoot w:val="00FB3FCE"/>
    <w:rsid w:val="00000FCB"/>
    <w:rsid w:val="00001619"/>
    <w:rsid w:val="00003171"/>
    <w:rsid w:val="000037CF"/>
    <w:rsid w:val="0000428D"/>
    <w:rsid w:val="00004CBF"/>
    <w:rsid w:val="00005F39"/>
    <w:rsid w:val="00006AC2"/>
    <w:rsid w:val="00007856"/>
    <w:rsid w:val="00007C9A"/>
    <w:rsid w:val="0001082C"/>
    <w:rsid w:val="000121C1"/>
    <w:rsid w:val="00012589"/>
    <w:rsid w:val="0001345C"/>
    <w:rsid w:val="00013BB9"/>
    <w:rsid w:val="0001491D"/>
    <w:rsid w:val="00015478"/>
    <w:rsid w:val="00016A1E"/>
    <w:rsid w:val="00017064"/>
    <w:rsid w:val="000172D3"/>
    <w:rsid w:val="00023AAF"/>
    <w:rsid w:val="0002480A"/>
    <w:rsid w:val="00024ED2"/>
    <w:rsid w:val="00025C41"/>
    <w:rsid w:val="000265A9"/>
    <w:rsid w:val="00027446"/>
    <w:rsid w:val="000278AB"/>
    <w:rsid w:val="00027B2F"/>
    <w:rsid w:val="00030D46"/>
    <w:rsid w:val="00031E2C"/>
    <w:rsid w:val="00034402"/>
    <w:rsid w:val="000358CA"/>
    <w:rsid w:val="00037E31"/>
    <w:rsid w:val="00040174"/>
    <w:rsid w:val="00040386"/>
    <w:rsid w:val="00040E3C"/>
    <w:rsid w:val="000412CF"/>
    <w:rsid w:val="000414EA"/>
    <w:rsid w:val="00041B7F"/>
    <w:rsid w:val="00042B42"/>
    <w:rsid w:val="00043EB5"/>
    <w:rsid w:val="000443CF"/>
    <w:rsid w:val="000447CC"/>
    <w:rsid w:val="00045053"/>
    <w:rsid w:val="0004789F"/>
    <w:rsid w:val="0005051E"/>
    <w:rsid w:val="0005088D"/>
    <w:rsid w:val="00050E98"/>
    <w:rsid w:val="000518F3"/>
    <w:rsid w:val="00052F04"/>
    <w:rsid w:val="000530C2"/>
    <w:rsid w:val="000532D8"/>
    <w:rsid w:val="00054D83"/>
    <w:rsid w:val="00055857"/>
    <w:rsid w:val="000567FA"/>
    <w:rsid w:val="00061591"/>
    <w:rsid w:val="00062297"/>
    <w:rsid w:val="00062789"/>
    <w:rsid w:val="000636A3"/>
    <w:rsid w:val="00063D1B"/>
    <w:rsid w:val="00064686"/>
    <w:rsid w:val="00067CDA"/>
    <w:rsid w:val="00067DCE"/>
    <w:rsid w:val="0007483D"/>
    <w:rsid w:val="00077E7C"/>
    <w:rsid w:val="00081F0F"/>
    <w:rsid w:val="00082284"/>
    <w:rsid w:val="0008266E"/>
    <w:rsid w:val="00082A8C"/>
    <w:rsid w:val="00084AA4"/>
    <w:rsid w:val="00085248"/>
    <w:rsid w:val="000856DE"/>
    <w:rsid w:val="00086206"/>
    <w:rsid w:val="00086345"/>
    <w:rsid w:val="00086505"/>
    <w:rsid w:val="00086AC6"/>
    <w:rsid w:val="00086CF3"/>
    <w:rsid w:val="000870BB"/>
    <w:rsid w:val="00087A7A"/>
    <w:rsid w:val="00087F46"/>
    <w:rsid w:val="00090454"/>
    <w:rsid w:val="0009185D"/>
    <w:rsid w:val="00091B19"/>
    <w:rsid w:val="00092FC5"/>
    <w:rsid w:val="00095145"/>
    <w:rsid w:val="000955E2"/>
    <w:rsid w:val="000967C4"/>
    <w:rsid w:val="000969FB"/>
    <w:rsid w:val="00097176"/>
    <w:rsid w:val="0009754D"/>
    <w:rsid w:val="000A0CD2"/>
    <w:rsid w:val="000A135E"/>
    <w:rsid w:val="000A4978"/>
    <w:rsid w:val="000A51AD"/>
    <w:rsid w:val="000A58A8"/>
    <w:rsid w:val="000A60FE"/>
    <w:rsid w:val="000A625C"/>
    <w:rsid w:val="000A643D"/>
    <w:rsid w:val="000A65E6"/>
    <w:rsid w:val="000A7240"/>
    <w:rsid w:val="000B0118"/>
    <w:rsid w:val="000B01A7"/>
    <w:rsid w:val="000B0508"/>
    <w:rsid w:val="000B1C93"/>
    <w:rsid w:val="000B38CE"/>
    <w:rsid w:val="000B410B"/>
    <w:rsid w:val="000B437C"/>
    <w:rsid w:val="000B43E8"/>
    <w:rsid w:val="000B4DD9"/>
    <w:rsid w:val="000B5737"/>
    <w:rsid w:val="000B5B56"/>
    <w:rsid w:val="000B6088"/>
    <w:rsid w:val="000B6C7F"/>
    <w:rsid w:val="000B7CFA"/>
    <w:rsid w:val="000C3EF1"/>
    <w:rsid w:val="000C3EF3"/>
    <w:rsid w:val="000C4C15"/>
    <w:rsid w:val="000C72D0"/>
    <w:rsid w:val="000D029B"/>
    <w:rsid w:val="000D0FB6"/>
    <w:rsid w:val="000D1C6C"/>
    <w:rsid w:val="000D357F"/>
    <w:rsid w:val="000D4EDC"/>
    <w:rsid w:val="000D5466"/>
    <w:rsid w:val="000D548C"/>
    <w:rsid w:val="000D59A7"/>
    <w:rsid w:val="000D600D"/>
    <w:rsid w:val="000D6193"/>
    <w:rsid w:val="000E0820"/>
    <w:rsid w:val="000E0F9F"/>
    <w:rsid w:val="000E143C"/>
    <w:rsid w:val="000E181A"/>
    <w:rsid w:val="000E1C26"/>
    <w:rsid w:val="000E2998"/>
    <w:rsid w:val="000E4E24"/>
    <w:rsid w:val="000E676D"/>
    <w:rsid w:val="000F011B"/>
    <w:rsid w:val="000F0501"/>
    <w:rsid w:val="000F068A"/>
    <w:rsid w:val="000F0F8D"/>
    <w:rsid w:val="000F1FA2"/>
    <w:rsid w:val="000F28C2"/>
    <w:rsid w:val="000F4B64"/>
    <w:rsid w:val="000F5ED5"/>
    <w:rsid w:val="000F6A0C"/>
    <w:rsid w:val="000F796F"/>
    <w:rsid w:val="000F7C50"/>
    <w:rsid w:val="001025F7"/>
    <w:rsid w:val="0010675F"/>
    <w:rsid w:val="00110511"/>
    <w:rsid w:val="00112586"/>
    <w:rsid w:val="00112DCE"/>
    <w:rsid w:val="001153EB"/>
    <w:rsid w:val="001157CD"/>
    <w:rsid w:val="00115CB5"/>
    <w:rsid w:val="00117792"/>
    <w:rsid w:val="00117C01"/>
    <w:rsid w:val="001207B3"/>
    <w:rsid w:val="001212F0"/>
    <w:rsid w:val="001223E5"/>
    <w:rsid w:val="00123AB6"/>
    <w:rsid w:val="00123AC7"/>
    <w:rsid w:val="0012469C"/>
    <w:rsid w:val="00126644"/>
    <w:rsid w:val="00126FB7"/>
    <w:rsid w:val="00127736"/>
    <w:rsid w:val="00130631"/>
    <w:rsid w:val="00130B09"/>
    <w:rsid w:val="00130F2C"/>
    <w:rsid w:val="001317D6"/>
    <w:rsid w:val="00132E26"/>
    <w:rsid w:val="00133698"/>
    <w:rsid w:val="00135489"/>
    <w:rsid w:val="00135FEF"/>
    <w:rsid w:val="001405F1"/>
    <w:rsid w:val="00140E78"/>
    <w:rsid w:val="001413C6"/>
    <w:rsid w:val="0014190A"/>
    <w:rsid w:val="00143D47"/>
    <w:rsid w:val="0014520E"/>
    <w:rsid w:val="00146E68"/>
    <w:rsid w:val="00147FC7"/>
    <w:rsid w:val="00150892"/>
    <w:rsid w:val="00150940"/>
    <w:rsid w:val="001514AF"/>
    <w:rsid w:val="0015292E"/>
    <w:rsid w:val="001534B2"/>
    <w:rsid w:val="00153506"/>
    <w:rsid w:val="00153602"/>
    <w:rsid w:val="00153F0C"/>
    <w:rsid w:val="00155CDD"/>
    <w:rsid w:val="00155F71"/>
    <w:rsid w:val="001572B7"/>
    <w:rsid w:val="0015766F"/>
    <w:rsid w:val="0016074D"/>
    <w:rsid w:val="0016105C"/>
    <w:rsid w:val="00161307"/>
    <w:rsid w:val="001618E5"/>
    <w:rsid w:val="0016229E"/>
    <w:rsid w:val="00163449"/>
    <w:rsid w:val="00163559"/>
    <w:rsid w:val="00163C40"/>
    <w:rsid w:val="00163EF6"/>
    <w:rsid w:val="00165A01"/>
    <w:rsid w:val="00165F75"/>
    <w:rsid w:val="00166528"/>
    <w:rsid w:val="00167618"/>
    <w:rsid w:val="00167C13"/>
    <w:rsid w:val="0017022D"/>
    <w:rsid w:val="00172D67"/>
    <w:rsid w:val="00176C6B"/>
    <w:rsid w:val="001808F4"/>
    <w:rsid w:val="00180DB6"/>
    <w:rsid w:val="00181BDD"/>
    <w:rsid w:val="001837C5"/>
    <w:rsid w:val="001862AE"/>
    <w:rsid w:val="00186726"/>
    <w:rsid w:val="00187E96"/>
    <w:rsid w:val="00187FD1"/>
    <w:rsid w:val="0019049B"/>
    <w:rsid w:val="00190CE8"/>
    <w:rsid w:val="00195F11"/>
    <w:rsid w:val="00196EAA"/>
    <w:rsid w:val="00197DA0"/>
    <w:rsid w:val="00197FED"/>
    <w:rsid w:val="001A0382"/>
    <w:rsid w:val="001A1514"/>
    <w:rsid w:val="001A1A7D"/>
    <w:rsid w:val="001A2192"/>
    <w:rsid w:val="001A24F8"/>
    <w:rsid w:val="001A2534"/>
    <w:rsid w:val="001A4556"/>
    <w:rsid w:val="001A4888"/>
    <w:rsid w:val="001A4E68"/>
    <w:rsid w:val="001A6E02"/>
    <w:rsid w:val="001A7227"/>
    <w:rsid w:val="001B032E"/>
    <w:rsid w:val="001B0DC2"/>
    <w:rsid w:val="001B0F8D"/>
    <w:rsid w:val="001B10CF"/>
    <w:rsid w:val="001B24F3"/>
    <w:rsid w:val="001B2CC6"/>
    <w:rsid w:val="001B2FE5"/>
    <w:rsid w:val="001B3199"/>
    <w:rsid w:val="001B33F7"/>
    <w:rsid w:val="001B4109"/>
    <w:rsid w:val="001B41A6"/>
    <w:rsid w:val="001B492E"/>
    <w:rsid w:val="001B4D64"/>
    <w:rsid w:val="001B5909"/>
    <w:rsid w:val="001B5E3D"/>
    <w:rsid w:val="001B67A1"/>
    <w:rsid w:val="001B6B15"/>
    <w:rsid w:val="001B7AD6"/>
    <w:rsid w:val="001B7F9E"/>
    <w:rsid w:val="001C1946"/>
    <w:rsid w:val="001C2408"/>
    <w:rsid w:val="001C3D69"/>
    <w:rsid w:val="001C4DFA"/>
    <w:rsid w:val="001C4FEF"/>
    <w:rsid w:val="001C6164"/>
    <w:rsid w:val="001C6591"/>
    <w:rsid w:val="001C6C27"/>
    <w:rsid w:val="001C7295"/>
    <w:rsid w:val="001D1131"/>
    <w:rsid w:val="001D1CF8"/>
    <w:rsid w:val="001D2784"/>
    <w:rsid w:val="001D3941"/>
    <w:rsid w:val="001D3F71"/>
    <w:rsid w:val="001D48C9"/>
    <w:rsid w:val="001D60CF"/>
    <w:rsid w:val="001D64B7"/>
    <w:rsid w:val="001D64D4"/>
    <w:rsid w:val="001D78F7"/>
    <w:rsid w:val="001E050C"/>
    <w:rsid w:val="001E06A6"/>
    <w:rsid w:val="001E07B0"/>
    <w:rsid w:val="001E1941"/>
    <w:rsid w:val="001E1E0E"/>
    <w:rsid w:val="001E26DE"/>
    <w:rsid w:val="001E2CCA"/>
    <w:rsid w:val="001E31B0"/>
    <w:rsid w:val="001E332A"/>
    <w:rsid w:val="001E4784"/>
    <w:rsid w:val="001E4872"/>
    <w:rsid w:val="001E5260"/>
    <w:rsid w:val="001E6585"/>
    <w:rsid w:val="001E6C34"/>
    <w:rsid w:val="001E6FB1"/>
    <w:rsid w:val="001E73AB"/>
    <w:rsid w:val="001E7572"/>
    <w:rsid w:val="001E783D"/>
    <w:rsid w:val="001F129D"/>
    <w:rsid w:val="001F221E"/>
    <w:rsid w:val="001F3839"/>
    <w:rsid w:val="001F3D01"/>
    <w:rsid w:val="001F43A5"/>
    <w:rsid w:val="001F4628"/>
    <w:rsid w:val="001F46FC"/>
    <w:rsid w:val="001F4DDD"/>
    <w:rsid w:val="001F5287"/>
    <w:rsid w:val="001F707A"/>
    <w:rsid w:val="001F7602"/>
    <w:rsid w:val="0020018D"/>
    <w:rsid w:val="002001FB"/>
    <w:rsid w:val="00200AE8"/>
    <w:rsid w:val="00201347"/>
    <w:rsid w:val="0020365D"/>
    <w:rsid w:val="002044F9"/>
    <w:rsid w:val="00204594"/>
    <w:rsid w:val="00207A66"/>
    <w:rsid w:val="00211CCD"/>
    <w:rsid w:val="00211E71"/>
    <w:rsid w:val="00212106"/>
    <w:rsid w:val="0021289A"/>
    <w:rsid w:val="002128A7"/>
    <w:rsid w:val="00213FB0"/>
    <w:rsid w:val="00214DB7"/>
    <w:rsid w:val="00215126"/>
    <w:rsid w:val="00215164"/>
    <w:rsid w:val="00216432"/>
    <w:rsid w:val="0021760D"/>
    <w:rsid w:val="0021798D"/>
    <w:rsid w:val="00217E82"/>
    <w:rsid w:val="00220693"/>
    <w:rsid w:val="00220F5D"/>
    <w:rsid w:val="002213E0"/>
    <w:rsid w:val="0022354E"/>
    <w:rsid w:val="00224686"/>
    <w:rsid w:val="00225198"/>
    <w:rsid w:val="00225231"/>
    <w:rsid w:val="00225BE7"/>
    <w:rsid w:val="00232F10"/>
    <w:rsid w:val="00235329"/>
    <w:rsid w:val="002368FD"/>
    <w:rsid w:val="00240126"/>
    <w:rsid w:val="002402CA"/>
    <w:rsid w:val="00241C27"/>
    <w:rsid w:val="00241D1D"/>
    <w:rsid w:val="00241E0A"/>
    <w:rsid w:val="002420E8"/>
    <w:rsid w:val="00242100"/>
    <w:rsid w:val="00242F42"/>
    <w:rsid w:val="0024388F"/>
    <w:rsid w:val="00243C8A"/>
    <w:rsid w:val="00245861"/>
    <w:rsid w:val="00245E11"/>
    <w:rsid w:val="002468D7"/>
    <w:rsid w:val="00246C64"/>
    <w:rsid w:val="00250362"/>
    <w:rsid w:val="00256E79"/>
    <w:rsid w:val="00257329"/>
    <w:rsid w:val="0025796F"/>
    <w:rsid w:val="00257BC5"/>
    <w:rsid w:val="00257DD8"/>
    <w:rsid w:val="00257E60"/>
    <w:rsid w:val="002606CD"/>
    <w:rsid w:val="00260DFD"/>
    <w:rsid w:val="00261ED5"/>
    <w:rsid w:val="00262DF9"/>
    <w:rsid w:val="00263115"/>
    <w:rsid w:val="002644E1"/>
    <w:rsid w:val="0026476D"/>
    <w:rsid w:val="0026573A"/>
    <w:rsid w:val="00265993"/>
    <w:rsid w:val="00266933"/>
    <w:rsid w:val="002669FD"/>
    <w:rsid w:val="00267D05"/>
    <w:rsid w:val="00270982"/>
    <w:rsid w:val="00270F92"/>
    <w:rsid w:val="00271A6C"/>
    <w:rsid w:val="00272B8E"/>
    <w:rsid w:val="00273196"/>
    <w:rsid w:val="00274476"/>
    <w:rsid w:val="002744E8"/>
    <w:rsid w:val="00274AE3"/>
    <w:rsid w:val="0027571B"/>
    <w:rsid w:val="002813F7"/>
    <w:rsid w:val="00282C78"/>
    <w:rsid w:val="00282DAA"/>
    <w:rsid w:val="002839E5"/>
    <w:rsid w:val="00284228"/>
    <w:rsid w:val="00284B62"/>
    <w:rsid w:val="00285299"/>
    <w:rsid w:val="00285B2E"/>
    <w:rsid w:val="00285C28"/>
    <w:rsid w:val="00285CD3"/>
    <w:rsid w:val="00286F27"/>
    <w:rsid w:val="002874EF"/>
    <w:rsid w:val="00287966"/>
    <w:rsid w:val="00290751"/>
    <w:rsid w:val="00290819"/>
    <w:rsid w:val="00290DCF"/>
    <w:rsid w:val="002910AD"/>
    <w:rsid w:val="00291334"/>
    <w:rsid w:val="002922C2"/>
    <w:rsid w:val="0029322C"/>
    <w:rsid w:val="002938C4"/>
    <w:rsid w:val="00293E53"/>
    <w:rsid w:val="00293F17"/>
    <w:rsid w:val="00295CA6"/>
    <w:rsid w:val="0029605C"/>
    <w:rsid w:val="00296085"/>
    <w:rsid w:val="00296570"/>
    <w:rsid w:val="0029674A"/>
    <w:rsid w:val="002A09B0"/>
    <w:rsid w:val="002A1532"/>
    <w:rsid w:val="002A1E41"/>
    <w:rsid w:val="002A23BF"/>
    <w:rsid w:val="002A2D52"/>
    <w:rsid w:val="002A398F"/>
    <w:rsid w:val="002A4833"/>
    <w:rsid w:val="002A5EFE"/>
    <w:rsid w:val="002A666D"/>
    <w:rsid w:val="002A6E27"/>
    <w:rsid w:val="002B058A"/>
    <w:rsid w:val="002B0E2F"/>
    <w:rsid w:val="002B21E0"/>
    <w:rsid w:val="002B4100"/>
    <w:rsid w:val="002B4A5E"/>
    <w:rsid w:val="002B6EF1"/>
    <w:rsid w:val="002C0CA4"/>
    <w:rsid w:val="002C0DD8"/>
    <w:rsid w:val="002C1411"/>
    <w:rsid w:val="002C1BE6"/>
    <w:rsid w:val="002C2F66"/>
    <w:rsid w:val="002C346F"/>
    <w:rsid w:val="002C394C"/>
    <w:rsid w:val="002C468D"/>
    <w:rsid w:val="002C4A1F"/>
    <w:rsid w:val="002C4C8A"/>
    <w:rsid w:val="002C5833"/>
    <w:rsid w:val="002C598A"/>
    <w:rsid w:val="002C7C78"/>
    <w:rsid w:val="002C7C84"/>
    <w:rsid w:val="002D01E2"/>
    <w:rsid w:val="002D0B64"/>
    <w:rsid w:val="002D34AB"/>
    <w:rsid w:val="002D5CE3"/>
    <w:rsid w:val="002D6677"/>
    <w:rsid w:val="002E0F9B"/>
    <w:rsid w:val="002E155A"/>
    <w:rsid w:val="002E53FA"/>
    <w:rsid w:val="002E6E7A"/>
    <w:rsid w:val="002F0C43"/>
    <w:rsid w:val="002F16DE"/>
    <w:rsid w:val="002F3D49"/>
    <w:rsid w:val="002F5598"/>
    <w:rsid w:val="002F5961"/>
    <w:rsid w:val="002F6809"/>
    <w:rsid w:val="002F716E"/>
    <w:rsid w:val="003008E8"/>
    <w:rsid w:val="00301B01"/>
    <w:rsid w:val="00301DBB"/>
    <w:rsid w:val="0030330E"/>
    <w:rsid w:val="00303F3C"/>
    <w:rsid w:val="00304A20"/>
    <w:rsid w:val="003064CA"/>
    <w:rsid w:val="003065CF"/>
    <w:rsid w:val="00310699"/>
    <w:rsid w:val="00311E71"/>
    <w:rsid w:val="003124C4"/>
    <w:rsid w:val="00313776"/>
    <w:rsid w:val="003140D1"/>
    <w:rsid w:val="00315000"/>
    <w:rsid w:val="0031583A"/>
    <w:rsid w:val="00316853"/>
    <w:rsid w:val="00316CFC"/>
    <w:rsid w:val="003178D8"/>
    <w:rsid w:val="00320DAF"/>
    <w:rsid w:val="00320E57"/>
    <w:rsid w:val="003211EE"/>
    <w:rsid w:val="0032193D"/>
    <w:rsid w:val="003219B0"/>
    <w:rsid w:val="003230B4"/>
    <w:rsid w:val="00323152"/>
    <w:rsid w:val="003240E8"/>
    <w:rsid w:val="00326942"/>
    <w:rsid w:val="0032786E"/>
    <w:rsid w:val="00330F00"/>
    <w:rsid w:val="00331B19"/>
    <w:rsid w:val="00332190"/>
    <w:rsid w:val="003338C3"/>
    <w:rsid w:val="00333A60"/>
    <w:rsid w:val="003340E6"/>
    <w:rsid w:val="0033461D"/>
    <w:rsid w:val="00335008"/>
    <w:rsid w:val="003357DB"/>
    <w:rsid w:val="00335E34"/>
    <w:rsid w:val="00335E37"/>
    <w:rsid w:val="00337737"/>
    <w:rsid w:val="00337896"/>
    <w:rsid w:val="003405FB"/>
    <w:rsid w:val="00340631"/>
    <w:rsid w:val="00340979"/>
    <w:rsid w:val="0034109F"/>
    <w:rsid w:val="00341113"/>
    <w:rsid w:val="00341413"/>
    <w:rsid w:val="0034518D"/>
    <w:rsid w:val="00345260"/>
    <w:rsid w:val="00346F7F"/>
    <w:rsid w:val="00347D4B"/>
    <w:rsid w:val="00350905"/>
    <w:rsid w:val="00351235"/>
    <w:rsid w:val="00351663"/>
    <w:rsid w:val="00351919"/>
    <w:rsid w:val="003529A0"/>
    <w:rsid w:val="00353031"/>
    <w:rsid w:val="00354EB3"/>
    <w:rsid w:val="00355298"/>
    <w:rsid w:val="003552B0"/>
    <w:rsid w:val="00360C4A"/>
    <w:rsid w:val="00360F91"/>
    <w:rsid w:val="0036111C"/>
    <w:rsid w:val="003613F8"/>
    <w:rsid w:val="00361786"/>
    <w:rsid w:val="00361DDF"/>
    <w:rsid w:val="00363A15"/>
    <w:rsid w:val="00363F75"/>
    <w:rsid w:val="00366FF7"/>
    <w:rsid w:val="0036740E"/>
    <w:rsid w:val="00367510"/>
    <w:rsid w:val="00367950"/>
    <w:rsid w:val="0037027B"/>
    <w:rsid w:val="00370CF9"/>
    <w:rsid w:val="00373B28"/>
    <w:rsid w:val="00374819"/>
    <w:rsid w:val="00375487"/>
    <w:rsid w:val="0037607B"/>
    <w:rsid w:val="003767BC"/>
    <w:rsid w:val="00376E21"/>
    <w:rsid w:val="003773FD"/>
    <w:rsid w:val="00377EAF"/>
    <w:rsid w:val="003802D2"/>
    <w:rsid w:val="00380AFD"/>
    <w:rsid w:val="00380B9B"/>
    <w:rsid w:val="00380D4F"/>
    <w:rsid w:val="00381770"/>
    <w:rsid w:val="0038316F"/>
    <w:rsid w:val="00383970"/>
    <w:rsid w:val="00383E28"/>
    <w:rsid w:val="003843D0"/>
    <w:rsid w:val="00384D15"/>
    <w:rsid w:val="00390150"/>
    <w:rsid w:val="00390B91"/>
    <w:rsid w:val="00390D0E"/>
    <w:rsid w:val="00391A8B"/>
    <w:rsid w:val="0039200E"/>
    <w:rsid w:val="0039372C"/>
    <w:rsid w:val="00393E67"/>
    <w:rsid w:val="00395109"/>
    <w:rsid w:val="003968ED"/>
    <w:rsid w:val="00397A35"/>
    <w:rsid w:val="00397A8F"/>
    <w:rsid w:val="003A0113"/>
    <w:rsid w:val="003A0F63"/>
    <w:rsid w:val="003A15BA"/>
    <w:rsid w:val="003A418D"/>
    <w:rsid w:val="003A5602"/>
    <w:rsid w:val="003A5A40"/>
    <w:rsid w:val="003A6575"/>
    <w:rsid w:val="003A6F15"/>
    <w:rsid w:val="003A7A18"/>
    <w:rsid w:val="003B14F3"/>
    <w:rsid w:val="003B3DD3"/>
    <w:rsid w:val="003B49A0"/>
    <w:rsid w:val="003B51D3"/>
    <w:rsid w:val="003B5200"/>
    <w:rsid w:val="003B53EF"/>
    <w:rsid w:val="003B6222"/>
    <w:rsid w:val="003B6431"/>
    <w:rsid w:val="003B6A72"/>
    <w:rsid w:val="003B7350"/>
    <w:rsid w:val="003C0AF9"/>
    <w:rsid w:val="003C0FAF"/>
    <w:rsid w:val="003C137B"/>
    <w:rsid w:val="003C191C"/>
    <w:rsid w:val="003C252A"/>
    <w:rsid w:val="003C26C7"/>
    <w:rsid w:val="003C2C83"/>
    <w:rsid w:val="003C3FA7"/>
    <w:rsid w:val="003C666D"/>
    <w:rsid w:val="003C6B7B"/>
    <w:rsid w:val="003C7335"/>
    <w:rsid w:val="003C76C7"/>
    <w:rsid w:val="003D1043"/>
    <w:rsid w:val="003D1BC4"/>
    <w:rsid w:val="003D2735"/>
    <w:rsid w:val="003D27E2"/>
    <w:rsid w:val="003D5004"/>
    <w:rsid w:val="003D5BA4"/>
    <w:rsid w:val="003D5D98"/>
    <w:rsid w:val="003D7A17"/>
    <w:rsid w:val="003E0668"/>
    <w:rsid w:val="003E074B"/>
    <w:rsid w:val="003E11FC"/>
    <w:rsid w:val="003E1E03"/>
    <w:rsid w:val="003E4D94"/>
    <w:rsid w:val="003E52ED"/>
    <w:rsid w:val="003E5846"/>
    <w:rsid w:val="003E5A04"/>
    <w:rsid w:val="003E74B8"/>
    <w:rsid w:val="003F064D"/>
    <w:rsid w:val="003F1370"/>
    <w:rsid w:val="003F22C8"/>
    <w:rsid w:val="003F2938"/>
    <w:rsid w:val="003F2BBC"/>
    <w:rsid w:val="003F3B20"/>
    <w:rsid w:val="003F608D"/>
    <w:rsid w:val="003F79E8"/>
    <w:rsid w:val="0040019C"/>
    <w:rsid w:val="00400F6C"/>
    <w:rsid w:val="004011AC"/>
    <w:rsid w:val="00401638"/>
    <w:rsid w:val="00401A4F"/>
    <w:rsid w:val="00401ABF"/>
    <w:rsid w:val="00401F84"/>
    <w:rsid w:val="004059DF"/>
    <w:rsid w:val="00406623"/>
    <w:rsid w:val="004104B4"/>
    <w:rsid w:val="00412756"/>
    <w:rsid w:val="00413281"/>
    <w:rsid w:val="004145FD"/>
    <w:rsid w:val="004162BD"/>
    <w:rsid w:val="00416633"/>
    <w:rsid w:val="004169C7"/>
    <w:rsid w:val="00417696"/>
    <w:rsid w:val="00417846"/>
    <w:rsid w:val="00422579"/>
    <w:rsid w:val="00422C79"/>
    <w:rsid w:val="00424138"/>
    <w:rsid w:val="00424C50"/>
    <w:rsid w:val="004254A6"/>
    <w:rsid w:val="0042561B"/>
    <w:rsid w:val="00426CAF"/>
    <w:rsid w:val="0042775F"/>
    <w:rsid w:val="004327AB"/>
    <w:rsid w:val="00432A49"/>
    <w:rsid w:val="00433C29"/>
    <w:rsid w:val="004342E3"/>
    <w:rsid w:val="0043447C"/>
    <w:rsid w:val="00434593"/>
    <w:rsid w:val="00436409"/>
    <w:rsid w:val="004366AD"/>
    <w:rsid w:val="0043737C"/>
    <w:rsid w:val="00437BAE"/>
    <w:rsid w:val="00440722"/>
    <w:rsid w:val="00440923"/>
    <w:rsid w:val="00440CF3"/>
    <w:rsid w:val="00442104"/>
    <w:rsid w:val="004462DF"/>
    <w:rsid w:val="00447203"/>
    <w:rsid w:val="0044726D"/>
    <w:rsid w:val="00447BFD"/>
    <w:rsid w:val="00450BA8"/>
    <w:rsid w:val="004512CF"/>
    <w:rsid w:val="0045198E"/>
    <w:rsid w:val="00453219"/>
    <w:rsid w:val="00454010"/>
    <w:rsid w:val="00454041"/>
    <w:rsid w:val="004543C0"/>
    <w:rsid w:val="004562C1"/>
    <w:rsid w:val="004564FD"/>
    <w:rsid w:val="00461546"/>
    <w:rsid w:val="004618A6"/>
    <w:rsid w:val="00463946"/>
    <w:rsid w:val="004640EF"/>
    <w:rsid w:val="00464970"/>
    <w:rsid w:val="00465B73"/>
    <w:rsid w:val="00466DBA"/>
    <w:rsid w:val="0047347D"/>
    <w:rsid w:val="004738B0"/>
    <w:rsid w:val="00473B3D"/>
    <w:rsid w:val="00473E6B"/>
    <w:rsid w:val="00474AB6"/>
    <w:rsid w:val="0047544F"/>
    <w:rsid w:val="00477E8A"/>
    <w:rsid w:val="0048040E"/>
    <w:rsid w:val="004813B1"/>
    <w:rsid w:val="0048338E"/>
    <w:rsid w:val="004833F9"/>
    <w:rsid w:val="00483540"/>
    <w:rsid w:val="004849FD"/>
    <w:rsid w:val="00485F59"/>
    <w:rsid w:val="004868D8"/>
    <w:rsid w:val="00486B32"/>
    <w:rsid w:val="00486E3A"/>
    <w:rsid w:val="0048763E"/>
    <w:rsid w:val="00490CA1"/>
    <w:rsid w:val="00490ECA"/>
    <w:rsid w:val="004912A6"/>
    <w:rsid w:val="00491731"/>
    <w:rsid w:val="0049223A"/>
    <w:rsid w:val="00492667"/>
    <w:rsid w:val="004931B4"/>
    <w:rsid w:val="004933B4"/>
    <w:rsid w:val="004959C1"/>
    <w:rsid w:val="00496252"/>
    <w:rsid w:val="004A0B47"/>
    <w:rsid w:val="004A16D0"/>
    <w:rsid w:val="004A1F01"/>
    <w:rsid w:val="004A24AB"/>
    <w:rsid w:val="004A2C85"/>
    <w:rsid w:val="004A2CCD"/>
    <w:rsid w:val="004A3420"/>
    <w:rsid w:val="004A42B3"/>
    <w:rsid w:val="004A44E8"/>
    <w:rsid w:val="004A6219"/>
    <w:rsid w:val="004A6AF2"/>
    <w:rsid w:val="004B022C"/>
    <w:rsid w:val="004B15B1"/>
    <w:rsid w:val="004B2317"/>
    <w:rsid w:val="004B4EB1"/>
    <w:rsid w:val="004B633F"/>
    <w:rsid w:val="004B6393"/>
    <w:rsid w:val="004B65B0"/>
    <w:rsid w:val="004B6812"/>
    <w:rsid w:val="004C0915"/>
    <w:rsid w:val="004C09B0"/>
    <w:rsid w:val="004C364F"/>
    <w:rsid w:val="004C3BFE"/>
    <w:rsid w:val="004C3E65"/>
    <w:rsid w:val="004C475F"/>
    <w:rsid w:val="004C555F"/>
    <w:rsid w:val="004C6081"/>
    <w:rsid w:val="004C6D22"/>
    <w:rsid w:val="004C75D5"/>
    <w:rsid w:val="004D06A7"/>
    <w:rsid w:val="004D114E"/>
    <w:rsid w:val="004D1FB2"/>
    <w:rsid w:val="004D31F9"/>
    <w:rsid w:val="004D3CC1"/>
    <w:rsid w:val="004D3E99"/>
    <w:rsid w:val="004D4B5E"/>
    <w:rsid w:val="004D5B94"/>
    <w:rsid w:val="004D6D8E"/>
    <w:rsid w:val="004D77EF"/>
    <w:rsid w:val="004D7F0C"/>
    <w:rsid w:val="004E0B29"/>
    <w:rsid w:val="004E0B89"/>
    <w:rsid w:val="004E1F11"/>
    <w:rsid w:val="004E1FBA"/>
    <w:rsid w:val="004E511F"/>
    <w:rsid w:val="004E7E57"/>
    <w:rsid w:val="004F09EA"/>
    <w:rsid w:val="004F1A93"/>
    <w:rsid w:val="004F398F"/>
    <w:rsid w:val="004F4561"/>
    <w:rsid w:val="004F5FBA"/>
    <w:rsid w:val="005005B6"/>
    <w:rsid w:val="00500A09"/>
    <w:rsid w:val="00501700"/>
    <w:rsid w:val="0050230F"/>
    <w:rsid w:val="005035AE"/>
    <w:rsid w:val="005038CD"/>
    <w:rsid w:val="00503DA3"/>
    <w:rsid w:val="005042A7"/>
    <w:rsid w:val="00504E9A"/>
    <w:rsid w:val="00505478"/>
    <w:rsid w:val="005067DD"/>
    <w:rsid w:val="005072E8"/>
    <w:rsid w:val="005108B4"/>
    <w:rsid w:val="00510D38"/>
    <w:rsid w:val="005135D8"/>
    <w:rsid w:val="00515D96"/>
    <w:rsid w:val="0051758E"/>
    <w:rsid w:val="0051778E"/>
    <w:rsid w:val="005203CC"/>
    <w:rsid w:val="005222F9"/>
    <w:rsid w:val="00522874"/>
    <w:rsid w:val="0052355A"/>
    <w:rsid w:val="0052422B"/>
    <w:rsid w:val="00524A4D"/>
    <w:rsid w:val="00525DD9"/>
    <w:rsid w:val="00526413"/>
    <w:rsid w:val="00526F59"/>
    <w:rsid w:val="00530126"/>
    <w:rsid w:val="00531B27"/>
    <w:rsid w:val="00532C74"/>
    <w:rsid w:val="0053401D"/>
    <w:rsid w:val="00534592"/>
    <w:rsid w:val="0053520D"/>
    <w:rsid w:val="0053692D"/>
    <w:rsid w:val="00536E43"/>
    <w:rsid w:val="00537D71"/>
    <w:rsid w:val="00537DED"/>
    <w:rsid w:val="00540F22"/>
    <w:rsid w:val="0054296D"/>
    <w:rsid w:val="0054332D"/>
    <w:rsid w:val="0054503A"/>
    <w:rsid w:val="00545700"/>
    <w:rsid w:val="005458FA"/>
    <w:rsid w:val="00546F3E"/>
    <w:rsid w:val="0054789C"/>
    <w:rsid w:val="005519CD"/>
    <w:rsid w:val="0055257D"/>
    <w:rsid w:val="00552CB0"/>
    <w:rsid w:val="00553291"/>
    <w:rsid w:val="00553877"/>
    <w:rsid w:val="0055454F"/>
    <w:rsid w:val="00554720"/>
    <w:rsid w:val="0055548E"/>
    <w:rsid w:val="00555EE3"/>
    <w:rsid w:val="00556CAD"/>
    <w:rsid w:val="005572DC"/>
    <w:rsid w:val="00560665"/>
    <w:rsid w:val="005622CF"/>
    <w:rsid w:val="00562A7F"/>
    <w:rsid w:val="00563D4C"/>
    <w:rsid w:val="00564288"/>
    <w:rsid w:val="005652CF"/>
    <w:rsid w:val="00565441"/>
    <w:rsid w:val="005671F0"/>
    <w:rsid w:val="00567573"/>
    <w:rsid w:val="005711D5"/>
    <w:rsid w:val="005715B6"/>
    <w:rsid w:val="0057386D"/>
    <w:rsid w:val="005761D8"/>
    <w:rsid w:val="00576C43"/>
    <w:rsid w:val="00576D1A"/>
    <w:rsid w:val="005826C3"/>
    <w:rsid w:val="00582CB4"/>
    <w:rsid w:val="00584547"/>
    <w:rsid w:val="00584D08"/>
    <w:rsid w:val="00585F3B"/>
    <w:rsid w:val="00587CE1"/>
    <w:rsid w:val="00590283"/>
    <w:rsid w:val="0059036B"/>
    <w:rsid w:val="005911EB"/>
    <w:rsid w:val="00591505"/>
    <w:rsid w:val="00591AFC"/>
    <w:rsid w:val="005928F9"/>
    <w:rsid w:val="00596C54"/>
    <w:rsid w:val="005A0AC8"/>
    <w:rsid w:val="005A0E6E"/>
    <w:rsid w:val="005A2394"/>
    <w:rsid w:val="005A27A0"/>
    <w:rsid w:val="005A30BA"/>
    <w:rsid w:val="005A3571"/>
    <w:rsid w:val="005A3A7C"/>
    <w:rsid w:val="005A3BBE"/>
    <w:rsid w:val="005A4108"/>
    <w:rsid w:val="005A4E18"/>
    <w:rsid w:val="005A50F9"/>
    <w:rsid w:val="005A6093"/>
    <w:rsid w:val="005A6C9C"/>
    <w:rsid w:val="005A7699"/>
    <w:rsid w:val="005A7F16"/>
    <w:rsid w:val="005B057F"/>
    <w:rsid w:val="005B116A"/>
    <w:rsid w:val="005B1330"/>
    <w:rsid w:val="005B14DB"/>
    <w:rsid w:val="005B2E4C"/>
    <w:rsid w:val="005B5545"/>
    <w:rsid w:val="005B594F"/>
    <w:rsid w:val="005B5DE1"/>
    <w:rsid w:val="005B7339"/>
    <w:rsid w:val="005B7702"/>
    <w:rsid w:val="005C1A3A"/>
    <w:rsid w:val="005C2AD6"/>
    <w:rsid w:val="005C3BD9"/>
    <w:rsid w:val="005C6A59"/>
    <w:rsid w:val="005C749A"/>
    <w:rsid w:val="005D077D"/>
    <w:rsid w:val="005D0A40"/>
    <w:rsid w:val="005D2064"/>
    <w:rsid w:val="005D242F"/>
    <w:rsid w:val="005D3B30"/>
    <w:rsid w:val="005D415F"/>
    <w:rsid w:val="005D4E88"/>
    <w:rsid w:val="005D5A6A"/>
    <w:rsid w:val="005D6073"/>
    <w:rsid w:val="005E00B1"/>
    <w:rsid w:val="005E1A02"/>
    <w:rsid w:val="005E3468"/>
    <w:rsid w:val="005E39BC"/>
    <w:rsid w:val="005E3E1E"/>
    <w:rsid w:val="005E737B"/>
    <w:rsid w:val="005E7BBA"/>
    <w:rsid w:val="005E7CA3"/>
    <w:rsid w:val="005F1247"/>
    <w:rsid w:val="005F2117"/>
    <w:rsid w:val="005F34A7"/>
    <w:rsid w:val="005F7615"/>
    <w:rsid w:val="005F76A8"/>
    <w:rsid w:val="005F79B0"/>
    <w:rsid w:val="00600A50"/>
    <w:rsid w:val="0060174B"/>
    <w:rsid w:val="006025AF"/>
    <w:rsid w:val="0060270E"/>
    <w:rsid w:val="00602A16"/>
    <w:rsid w:val="00602F1F"/>
    <w:rsid w:val="00604BE6"/>
    <w:rsid w:val="00604C31"/>
    <w:rsid w:val="00605633"/>
    <w:rsid w:val="00605799"/>
    <w:rsid w:val="0060665D"/>
    <w:rsid w:val="0060711F"/>
    <w:rsid w:val="006103D7"/>
    <w:rsid w:val="00610B2A"/>
    <w:rsid w:val="00610D81"/>
    <w:rsid w:val="00611941"/>
    <w:rsid w:val="00612D7E"/>
    <w:rsid w:val="006135ED"/>
    <w:rsid w:val="00614539"/>
    <w:rsid w:val="00614852"/>
    <w:rsid w:val="006153A8"/>
    <w:rsid w:val="00616B45"/>
    <w:rsid w:val="00616B5F"/>
    <w:rsid w:val="0061778A"/>
    <w:rsid w:val="0061792D"/>
    <w:rsid w:val="006208DB"/>
    <w:rsid w:val="00620FBC"/>
    <w:rsid w:val="00621F28"/>
    <w:rsid w:val="00623212"/>
    <w:rsid w:val="00624164"/>
    <w:rsid w:val="00626591"/>
    <w:rsid w:val="00630B5D"/>
    <w:rsid w:val="006313E1"/>
    <w:rsid w:val="00631AC9"/>
    <w:rsid w:val="00631CD9"/>
    <w:rsid w:val="006341D1"/>
    <w:rsid w:val="00634B8C"/>
    <w:rsid w:val="00635872"/>
    <w:rsid w:val="00640229"/>
    <w:rsid w:val="006416E7"/>
    <w:rsid w:val="0064170B"/>
    <w:rsid w:val="00641815"/>
    <w:rsid w:val="00642707"/>
    <w:rsid w:val="00642D49"/>
    <w:rsid w:val="00643286"/>
    <w:rsid w:val="00645507"/>
    <w:rsid w:val="00645FE9"/>
    <w:rsid w:val="00647055"/>
    <w:rsid w:val="006476DE"/>
    <w:rsid w:val="00647B74"/>
    <w:rsid w:val="00652AF1"/>
    <w:rsid w:val="0065341B"/>
    <w:rsid w:val="0065553F"/>
    <w:rsid w:val="0065558F"/>
    <w:rsid w:val="00655AE9"/>
    <w:rsid w:val="006607E3"/>
    <w:rsid w:val="00661342"/>
    <w:rsid w:val="00661E29"/>
    <w:rsid w:val="00662230"/>
    <w:rsid w:val="006629F7"/>
    <w:rsid w:val="006640F1"/>
    <w:rsid w:val="0066477D"/>
    <w:rsid w:val="00665860"/>
    <w:rsid w:val="00665E1C"/>
    <w:rsid w:val="00665F78"/>
    <w:rsid w:val="0066601C"/>
    <w:rsid w:val="00666052"/>
    <w:rsid w:val="006668C7"/>
    <w:rsid w:val="00666CB3"/>
    <w:rsid w:val="00673521"/>
    <w:rsid w:val="00673FCD"/>
    <w:rsid w:val="006750CE"/>
    <w:rsid w:val="006754A8"/>
    <w:rsid w:val="006757C3"/>
    <w:rsid w:val="006765F8"/>
    <w:rsid w:val="00676B94"/>
    <w:rsid w:val="00677C2A"/>
    <w:rsid w:val="00680DB2"/>
    <w:rsid w:val="00681922"/>
    <w:rsid w:val="00686193"/>
    <w:rsid w:val="00687173"/>
    <w:rsid w:val="006908D7"/>
    <w:rsid w:val="00690B90"/>
    <w:rsid w:val="006927D5"/>
    <w:rsid w:val="00693552"/>
    <w:rsid w:val="00693FFB"/>
    <w:rsid w:val="00695FCD"/>
    <w:rsid w:val="00696E5B"/>
    <w:rsid w:val="006A252A"/>
    <w:rsid w:val="006A2D97"/>
    <w:rsid w:val="006A3650"/>
    <w:rsid w:val="006A6877"/>
    <w:rsid w:val="006A6E45"/>
    <w:rsid w:val="006A6EB9"/>
    <w:rsid w:val="006A7969"/>
    <w:rsid w:val="006A7B84"/>
    <w:rsid w:val="006B08B8"/>
    <w:rsid w:val="006B1279"/>
    <w:rsid w:val="006B2315"/>
    <w:rsid w:val="006B2C16"/>
    <w:rsid w:val="006C0C12"/>
    <w:rsid w:val="006C1F18"/>
    <w:rsid w:val="006C2AAC"/>
    <w:rsid w:val="006C2D7E"/>
    <w:rsid w:val="006C4CDA"/>
    <w:rsid w:val="006C5C85"/>
    <w:rsid w:val="006C73FD"/>
    <w:rsid w:val="006D1F97"/>
    <w:rsid w:val="006D2A40"/>
    <w:rsid w:val="006D2EA0"/>
    <w:rsid w:val="006D34D9"/>
    <w:rsid w:val="006D3BF9"/>
    <w:rsid w:val="006D3D10"/>
    <w:rsid w:val="006D4C4B"/>
    <w:rsid w:val="006D4E8F"/>
    <w:rsid w:val="006D66A1"/>
    <w:rsid w:val="006E0A41"/>
    <w:rsid w:val="006E2BFC"/>
    <w:rsid w:val="006E3203"/>
    <w:rsid w:val="006E4038"/>
    <w:rsid w:val="006E424F"/>
    <w:rsid w:val="006E536B"/>
    <w:rsid w:val="006E6218"/>
    <w:rsid w:val="006E6AD5"/>
    <w:rsid w:val="006F06BC"/>
    <w:rsid w:val="006F184D"/>
    <w:rsid w:val="006F198F"/>
    <w:rsid w:val="006F23F9"/>
    <w:rsid w:val="006F5801"/>
    <w:rsid w:val="006F611C"/>
    <w:rsid w:val="006F701C"/>
    <w:rsid w:val="00700A9B"/>
    <w:rsid w:val="00700C5A"/>
    <w:rsid w:val="007010F8"/>
    <w:rsid w:val="00702F41"/>
    <w:rsid w:val="00703B04"/>
    <w:rsid w:val="00703C85"/>
    <w:rsid w:val="007147DC"/>
    <w:rsid w:val="0071571C"/>
    <w:rsid w:val="00720F1A"/>
    <w:rsid w:val="00721359"/>
    <w:rsid w:val="0072158C"/>
    <w:rsid w:val="00722BB6"/>
    <w:rsid w:val="00725575"/>
    <w:rsid w:val="0072563F"/>
    <w:rsid w:val="007257B4"/>
    <w:rsid w:val="00726405"/>
    <w:rsid w:val="00730DDA"/>
    <w:rsid w:val="00731671"/>
    <w:rsid w:val="00731C09"/>
    <w:rsid w:val="00731E5F"/>
    <w:rsid w:val="00731FE1"/>
    <w:rsid w:val="00732E0F"/>
    <w:rsid w:val="007338B0"/>
    <w:rsid w:val="00734267"/>
    <w:rsid w:val="00734FAF"/>
    <w:rsid w:val="0073575B"/>
    <w:rsid w:val="00736C72"/>
    <w:rsid w:val="00737636"/>
    <w:rsid w:val="0074068A"/>
    <w:rsid w:val="00740F51"/>
    <w:rsid w:val="00741D17"/>
    <w:rsid w:val="00742C14"/>
    <w:rsid w:val="007443BF"/>
    <w:rsid w:val="00744921"/>
    <w:rsid w:val="00746068"/>
    <w:rsid w:val="00746493"/>
    <w:rsid w:val="0074791F"/>
    <w:rsid w:val="00751673"/>
    <w:rsid w:val="00753716"/>
    <w:rsid w:val="00754129"/>
    <w:rsid w:val="00760005"/>
    <w:rsid w:val="0076050F"/>
    <w:rsid w:val="0076075F"/>
    <w:rsid w:val="00761815"/>
    <w:rsid w:val="00761D63"/>
    <w:rsid w:val="0076305E"/>
    <w:rsid w:val="0076309A"/>
    <w:rsid w:val="00763574"/>
    <w:rsid w:val="0076483E"/>
    <w:rsid w:val="00764DBA"/>
    <w:rsid w:val="007655CD"/>
    <w:rsid w:val="00765BBA"/>
    <w:rsid w:val="00767457"/>
    <w:rsid w:val="0077087C"/>
    <w:rsid w:val="00771D5A"/>
    <w:rsid w:val="0077354F"/>
    <w:rsid w:val="00773C65"/>
    <w:rsid w:val="00775C1D"/>
    <w:rsid w:val="00775EBF"/>
    <w:rsid w:val="00775FB7"/>
    <w:rsid w:val="00777E84"/>
    <w:rsid w:val="00780B4E"/>
    <w:rsid w:val="0078167E"/>
    <w:rsid w:val="00781E81"/>
    <w:rsid w:val="00782E12"/>
    <w:rsid w:val="00782E73"/>
    <w:rsid w:val="00782F36"/>
    <w:rsid w:val="00783806"/>
    <w:rsid w:val="00784B7B"/>
    <w:rsid w:val="00785085"/>
    <w:rsid w:val="00785FFC"/>
    <w:rsid w:val="0078611C"/>
    <w:rsid w:val="00787C12"/>
    <w:rsid w:val="00787C3D"/>
    <w:rsid w:val="00790680"/>
    <w:rsid w:val="00791543"/>
    <w:rsid w:val="00791A0D"/>
    <w:rsid w:val="00791C8D"/>
    <w:rsid w:val="0079312E"/>
    <w:rsid w:val="007933B8"/>
    <w:rsid w:val="00793F95"/>
    <w:rsid w:val="0079408C"/>
    <w:rsid w:val="00795853"/>
    <w:rsid w:val="00795C11"/>
    <w:rsid w:val="00796167"/>
    <w:rsid w:val="007A1257"/>
    <w:rsid w:val="007A2385"/>
    <w:rsid w:val="007A281A"/>
    <w:rsid w:val="007A3A0D"/>
    <w:rsid w:val="007A42E4"/>
    <w:rsid w:val="007A5ECB"/>
    <w:rsid w:val="007A6258"/>
    <w:rsid w:val="007B132C"/>
    <w:rsid w:val="007B13CB"/>
    <w:rsid w:val="007B14E9"/>
    <w:rsid w:val="007B16BB"/>
    <w:rsid w:val="007B2251"/>
    <w:rsid w:val="007B2C26"/>
    <w:rsid w:val="007B3D45"/>
    <w:rsid w:val="007B427E"/>
    <w:rsid w:val="007B4A90"/>
    <w:rsid w:val="007B7624"/>
    <w:rsid w:val="007B763A"/>
    <w:rsid w:val="007C024A"/>
    <w:rsid w:val="007C2ABC"/>
    <w:rsid w:val="007C426C"/>
    <w:rsid w:val="007C4838"/>
    <w:rsid w:val="007C50B9"/>
    <w:rsid w:val="007C58F2"/>
    <w:rsid w:val="007C5C42"/>
    <w:rsid w:val="007C755E"/>
    <w:rsid w:val="007C7B52"/>
    <w:rsid w:val="007C7FF5"/>
    <w:rsid w:val="007D0EC3"/>
    <w:rsid w:val="007D0FC4"/>
    <w:rsid w:val="007D15D8"/>
    <w:rsid w:val="007D16DC"/>
    <w:rsid w:val="007D1A61"/>
    <w:rsid w:val="007D22BD"/>
    <w:rsid w:val="007D2BC4"/>
    <w:rsid w:val="007D2D1B"/>
    <w:rsid w:val="007D449B"/>
    <w:rsid w:val="007D6F86"/>
    <w:rsid w:val="007D7772"/>
    <w:rsid w:val="007D7ED8"/>
    <w:rsid w:val="007E0284"/>
    <w:rsid w:val="007E055D"/>
    <w:rsid w:val="007E1690"/>
    <w:rsid w:val="007E357D"/>
    <w:rsid w:val="007E3B90"/>
    <w:rsid w:val="007E3CE8"/>
    <w:rsid w:val="007E52BF"/>
    <w:rsid w:val="007E73E6"/>
    <w:rsid w:val="007E7641"/>
    <w:rsid w:val="007F0DD3"/>
    <w:rsid w:val="007F1CAA"/>
    <w:rsid w:val="007F2645"/>
    <w:rsid w:val="007F2646"/>
    <w:rsid w:val="007F2E10"/>
    <w:rsid w:val="007F2E27"/>
    <w:rsid w:val="007F31C7"/>
    <w:rsid w:val="007F4A65"/>
    <w:rsid w:val="007F591B"/>
    <w:rsid w:val="007F5BE0"/>
    <w:rsid w:val="007F6762"/>
    <w:rsid w:val="007F71B1"/>
    <w:rsid w:val="007F7A66"/>
    <w:rsid w:val="0080021D"/>
    <w:rsid w:val="00801574"/>
    <w:rsid w:val="00801AA6"/>
    <w:rsid w:val="00801F80"/>
    <w:rsid w:val="00802994"/>
    <w:rsid w:val="00804175"/>
    <w:rsid w:val="00805E9B"/>
    <w:rsid w:val="00811FC1"/>
    <w:rsid w:val="00812163"/>
    <w:rsid w:val="008122F9"/>
    <w:rsid w:val="00813E2B"/>
    <w:rsid w:val="00814118"/>
    <w:rsid w:val="00814EAA"/>
    <w:rsid w:val="00817155"/>
    <w:rsid w:val="008171A5"/>
    <w:rsid w:val="008177BA"/>
    <w:rsid w:val="00820C23"/>
    <w:rsid w:val="00820FE0"/>
    <w:rsid w:val="008234FE"/>
    <w:rsid w:val="00824A75"/>
    <w:rsid w:val="00825A0F"/>
    <w:rsid w:val="0082676F"/>
    <w:rsid w:val="00827FFA"/>
    <w:rsid w:val="00833EA1"/>
    <w:rsid w:val="008341D0"/>
    <w:rsid w:val="00834B09"/>
    <w:rsid w:val="00834DA8"/>
    <w:rsid w:val="008364AF"/>
    <w:rsid w:val="008370A1"/>
    <w:rsid w:val="00840665"/>
    <w:rsid w:val="00840D62"/>
    <w:rsid w:val="00840F19"/>
    <w:rsid w:val="008420DE"/>
    <w:rsid w:val="008423F9"/>
    <w:rsid w:val="00842C7C"/>
    <w:rsid w:val="00843109"/>
    <w:rsid w:val="00843B59"/>
    <w:rsid w:val="00844A3B"/>
    <w:rsid w:val="00844CBF"/>
    <w:rsid w:val="008450A9"/>
    <w:rsid w:val="008471E9"/>
    <w:rsid w:val="00847A58"/>
    <w:rsid w:val="0085375F"/>
    <w:rsid w:val="00854313"/>
    <w:rsid w:val="00854FAC"/>
    <w:rsid w:val="00855575"/>
    <w:rsid w:val="008559C9"/>
    <w:rsid w:val="00856802"/>
    <w:rsid w:val="0085741A"/>
    <w:rsid w:val="00857840"/>
    <w:rsid w:val="008600D3"/>
    <w:rsid w:val="00860CE1"/>
    <w:rsid w:val="00862100"/>
    <w:rsid w:val="00862910"/>
    <w:rsid w:val="00864FEB"/>
    <w:rsid w:val="00865C1E"/>
    <w:rsid w:val="00865E65"/>
    <w:rsid w:val="00866F90"/>
    <w:rsid w:val="00867666"/>
    <w:rsid w:val="00872EC2"/>
    <w:rsid w:val="0087524D"/>
    <w:rsid w:val="00875448"/>
    <w:rsid w:val="00877998"/>
    <w:rsid w:val="0088397D"/>
    <w:rsid w:val="00884298"/>
    <w:rsid w:val="008857D4"/>
    <w:rsid w:val="00886DDD"/>
    <w:rsid w:val="0088762F"/>
    <w:rsid w:val="00887B03"/>
    <w:rsid w:val="008908BC"/>
    <w:rsid w:val="00890A52"/>
    <w:rsid w:val="008911E5"/>
    <w:rsid w:val="00891852"/>
    <w:rsid w:val="00891ADA"/>
    <w:rsid w:val="00892287"/>
    <w:rsid w:val="0089287C"/>
    <w:rsid w:val="00893354"/>
    <w:rsid w:val="0089542D"/>
    <w:rsid w:val="00895B88"/>
    <w:rsid w:val="00895CE8"/>
    <w:rsid w:val="00896951"/>
    <w:rsid w:val="008A17B8"/>
    <w:rsid w:val="008A2F51"/>
    <w:rsid w:val="008A3EF2"/>
    <w:rsid w:val="008A4066"/>
    <w:rsid w:val="008A4DBB"/>
    <w:rsid w:val="008A55B3"/>
    <w:rsid w:val="008A5BFB"/>
    <w:rsid w:val="008A60E3"/>
    <w:rsid w:val="008A714E"/>
    <w:rsid w:val="008A76DD"/>
    <w:rsid w:val="008B0071"/>
    <w:rsid w:val="008B045D"/>
    <w:rsid w:val="008B04B0"/>
    <w:rsid w:val="008B100F"/>
    <w:rsid w:val="008B179B"/>
    <w:rsid w:val="008B1994"/>
    <w:rsid w:val="008B579B"/>
    <w:rsid w:val="008B6780"/>
    <w:rsid w:val="008B6949"/>
    <w:rsid w:val="008B6A31"/>
    <w:rsid w:val="008B6BF7"/>
    <w:rsid w:val="008B7128"/>
    <w:rsid w:val="008B7766"/>
    <w:rsid w:val="008C0030"/>
    <w:rsid w:val="008C06AF"/>
    <w:rsid w:val="008C10F8"/>
    <w:rsid w:val="008C1A6B"/>
    <w:rsid w:val="008C2DC8"/>
    <w:rsid w:val="008C334B"/>
    <w:rsid w:val="008C5CDC"/>
    <w:rsid w:val="008C6670"/>
    <w:rsid w:val="008C6CE7"/>
    <w:rsid w:val="008D1504"/>
    <w:rsid w:val="008D250F"/>
    <w:rsid w:val="008D2A62"/>
    <w:rsid w:val="008D33EE"/>
    <w:rsid w:val="008D48BC"/>
    <w:rsid w:val="008D4DEB"/>
    <w:rsid w:val="008D659C"/>
    <w:rsid w:val="008D6A73"/>
    <w:rsid w:val="008D731B"/>
    <w:rsid w:val="008D792B"/>
    <w:rsid w:val="008E040E"/>
    <w:rsid w:val="008E05FF"/>
    <w:rsid w:val="008E14BE"/>
    <w:rsid w:val="008E15C1"/>
    <w:rsid w:val="008E187C"/>
    <w:rsid w:val="008E3206"/>
    <w:rsid w:val="008E3245"/>
    <w:rsid w:val="008E3CFA"/>
    <w:rsid w:val="008E4077"/>
    <w:rsid w:val="008E5B68"/>
    <w:rsid w:val="008E71D2"/>
    <w:rsid w:val="008E7ABC"/>
    <w:rsid w:val="008E7E03"/>
    <w:rsid w:val="008F0C5F"/>
    <w:rsid w:val="008F165D"/>
    <w:rsid w:val="008F2012"/>
    <w:rsid w:val="008F2379"/>
    <w:rsid w:val="008F29FA"/>
    <w:rsid w:val="008F3B80"/>
    <w:rsid w:val="008F4221"/>
    <w:rsid w:val="008F5051"/>
    <w:rsid w:val="008F53DB"/>
    <w:rsid w:val="008F6610"/>
    <w:rsid w:val="008F6F78"/>
    <w:rsid w:val="008F7545"/>
    <w:rsid w:val="00900493"/>
    <w:rsid w:val="00900AE2"/>
    <w:rsid w:val="00902C71"/>
    <w:rsid w:val="00903899"/>
    <w:rsid w:val="009041A5"/>
    <w:rsid w:val="0090508D"/>
    <w:rsid w:val="009054B1"/>
    <w:rsid w:val="00905791"/>
    <w:rsid w:val="00905A12"/>
    <w:rsid w:val="00906E05"/>
    <w:rsid w:val="0090782C"/>
    <w:rsid w:val="0091021F"/>
    <w:rsid w:val="00910593"/>
    <w:rsid w:val="00910836"/>
    <w:rsid w:val="00912C0D"/>
    <w:rsid w:val="00912DA5"/>
    <w:rsid w:val="00914FD3"/>
    <w:rsid w:val="009153A1"/>
    <w:rsid w:val="00915953"/>
    <w:rsid w:val="009166BD"/>
    <w:rsid w:val="0091679E"/>
    <w:rsid w:val="009202B1"/>
    <w:rsid w:val="009216FB"/>
    <w:rsid w:val="00921D6E"/>
    <w:rsid w:val="00922492"/>
    <w:rsid w:val="00924109"/>
    <w:rsid w:val="00924538"/>
    <w:rsid w:val="00924C09"/>
    <w:rsid w:val="00927584"/>
    <w:rsid w:val="00930612"/>
    <w:rsid w:val="0093080A"/>
    <w:rsid w:val="00931F09"/>
    <w:rsid w:val="00932B46"/>
    <w:rsid w:val="00932C0D"/>
    <w:rsid w:val="00933192"/>
    <w:rsid w:val="009331DF"/>
    <w:rsid w:val="0093420C"/>
    <w:rsid w:val="00934B7D"/>
    <w:rsid w:val="009360C7"/>
    <w:rsid w:val="00936991"/>
    <w:rsid w:val="00946B66"/>
    <w:rsid w:val="009471E7"/>
    <w:rsid w:val="00950CF9"/>
    <w:rsid w:val="00953203"/>
    <w:rsid w:val="00953A57"/>
    <w:rsid w:val="0095612C"/>
    <w:rsid w:val="00956573"/>
    <w:rsid w:val="0095676E"/>
    <w:rsid w:val="00956A4C"/>
    <w:rsid w:val="00960E03"/>
    <w:rsid w:val="00961310"/>
    <w:rsid w:val="00961315"/>
    <w:rsid w:val="00961834"/>
    <w:rsid w:val="0096184C"/>
    <w:rsid w:val="00961A64"/>
    <w:rsid w:val="00961CC1"/>
    <w:rsid w:val="00961D12"/>
    <w:rsid w:val="0096226E"/>
    <w:rsid w:val="009622D8"/>
    <w:rsid w:val="00962B27"/>
    <w:rsid w:val="009636A5"/>
    <w:rsid w:val="00964185"/>
    <w:rsid w:val="00964198"/>
    <w:rsid w:val="0096489E"/>
    <w:rsid w:val="00966599"/>
    <w:rsid w:val="009674D6"/>
    <w:rsid w:val="00970309"/>
    <w:rsid w:val="00970B82"/>
    <w:rsid w:val="0097198F"/>
    <w:rsid w:val="00971CBA"/>
    <w:rsid w:val="0097381D"/>
    <w:rsid w:val="00975207"/>
    <w:rsid w:val="009817F6"/>
    <w:rsid w:val="00984645"/>
    <w:rsid w:val="0098575B"/>
    <w:rsid w:val="00986DAE"/>
    <w:rsid w:val="0099241C"/>
    <w:rsid w:val="00992979"/>
    <w:rsid w:val="00992E9F"/>
    <w:rsid w:val="00994D7F"/>
    <w:rsid w:val="00994DDC"/>
    <w:rsid w:val="00994F6A"/>
    <w:rsid w:val="00995363"/>
    <w:rsid w:val="0099577C"/>
    <w:rsid w:val="0099607A"/>
    <w:rsid w:val="00996151"/>
    <w:rsid w:val="00996ED7"/>
    <w:rsid w:val="00997179"/>
    <w:rsid w:val="009973CB"/>
    <w:rsid w:val="009A055B"/>
    <w:rsid w:val="009A0827"/>
    <w:rsid w:val="009A3949"/>
    <w:rsid w:val="009A61B5"/>
    <w:rsid w:val="009A6204"/>
    <w:rsid w:val="009A6D67"/>
    <w:rsid w:val="009A72CF"/>
    <w:rsid w:val="009A7E5A"/>
    <w:rsid w:val="009B1C0C"/>
    <w:rsid w:val="009B4DE2"/>
    <w:rsid w:val="009B70A5"/>
    <w:rsid w:val="009B7207"/>
    <w:rsid w:val="009B79C1"/>
    <w:rsid w:val="009C01D3"/>
    <w:rsid w:val="009C101D"/>
    <w:rsid w:val="009C38CB"/>
    <w:rsid w:val="009C5BDD"/>
    <w:rsid w:val="009C5EA5"/>
    <w:rsid w:val="009D323B"/>
    <w:rsid w:val="009D3DED"/>
    <w:rsid w:val="009D4C07"/>
    <w:rsid w:val="009D4D1C"/>
    <w:rsid w:val="009D5788"/>
    <w:rsid w:val="009D5B06"/>
    <w:rsid w:val="009D677B"/>
    <w:rsid w:val="009E0E20"/>
    <w:rsid w:val="009E154B"/>
    <w:rsid w:val="009E22E6"/>
    <w:rsid w:val="009E2318"/>
    <w:rsid w:val="009E50F9"/>
    <w:rsid w:val="009F1594"/>
    <w:rsid w:val="009F17AA"/>
    <w:rsid w:val="009F1AF3"/>
    <w:rsid w:val="009F1DD4"/>
    <w:rsid w:val="009F1E89"/>
    <w:rsid w:val="009F2284"/>
    <w:rsid w:val="009F2BA3"/>
    <w:rsid w:val="009F2BF3"/>
    <w:rsid w:val="009F3DFE"/>
    <w:rsid w:val="009F5804"/>
    <w:rsid w:val="009F7988"/>
    <w:rsid w:val="009F7DF9"/>
    <w:rsid w:val="00A00092"/>
    <w:rsid w:val="00A01454"/>
    <w:rsid w:val="00A01E7E"/>
    <w:rsid w:val="00A02224"/>
    <w:rsid w:val="00A0350E"/>
    <w:rsid w:val="00A047B0"/>
    <w:rsid w:val="00A056C3"/>
    <w:rsid w:val="00A05997"/>
    <w:rsid w:val="00A06596"/>
    <w:rsid w:val="00A07282"/>
    <w:rsid w:val="00A07D45"/>
    <w:rsid w:val="00A1015B"/>
    <w:rsid w:val="00A1071B"/>
    <w:rsid w:val="00A10B05"/>
    <w:rsid w:val="00A11F16"/>
    <w:rsid w:val="00A11F8F"/>
    <w:rsid w:val="00A12201"/>
    <w:rsid w:val="00A1327B"/>
    <w:rsid w:val="00A13556"/>
    <w:rsid w:val="00A13AEC"/>
    <w:rsid w:val="00A144FC"/>
    <w:rsid w:val="00A14C4D"/>
    <w:rsid w:val="00A14F57"/>
    <w:rsid w:val="00A15382"/>
    <w:rsid w:val="00A164D8"/>
    <w:rsid w:val="00A17CC0"/>
    <w:rsid w:val="00A2064B"/>
    <w:rsid w:val="00A229C2"/>
    <w:rsid w:val="00A22A5A"/>
    <w:rsid w:val="00A2381E"/>
    <w:rsid w:val="00A256D0"/>
    <w:rsid w:val="00A267F1"/>
    <w:rsid w:val="00A30B65"/>
    <w:rsid w:val="00A3215A"/>
    <w:rsid w:val="00A33390"/>
    <w:rsid w:val="00A339FC"/>
    <w:rsid w:val="00A33F81"/>
    <w:rsid w:val="00A35368"/>
    <w:rsid w:val="00A35A94"/>
    <w:rsid w:val="00A36887"/>
    <w:rsid w:val="00A37772"/>
    <w:rsid w:val="00A37AB7"/>
    <w:rsid w:val="00A41315"/>
    <w:rsid w:val="00A43173"/>
    <w:rsid w:val="00A47710"/>
    <w:rsid w:val="00A51BC8"/>
    <w:rsid w:val="00A52B80"/>
    <w:rsid w:val="00A53605"/>
    <w:rsid w:val="00A54E93"/>
    <w:rsid w:val="00A55684"/>
    <w:rsid w:val="00A558AF"/>
    <w:rsid w:val="00A55BF4"/>
    <w:rsid w:val="00A55FC1"/>
    <w:rsid w:val="00A56C98"/>
    <w:rsid w:val="00A605A4"/>
    <w:rsid w:val="00A626C8"/>
    <w:rsid w:val="00A62C08"/>
    <w:rsid w:val="00A63432"/>
    <w:rsid w:val="00A641F2"/>
    <w:rsid w:val="00A664FF"/>
    <w:rsid w:val="00A66D33"/>
    <w:rsid w:val="00A74179"/>
    <w:rsid w:val="00A7479B"/>
    <w:rsid w:val="00A7592D"/>
    <w:rsid w:val="00A75A14"/>
    <w:rsid w:val="00A7651B"/>
    <w:rsid w:val="00A7708D"/>
    <w:rsid w:val="00A802C3"/>
    <w:rsid w:val="00A80525"/>
    <w:rsid w:val="00A80A1E"/>
    <w:rsid w:val="00A81183"/>
    <w:rsid w:val="00A817E8"/>
    <w:rsid w:val="00A822E9"/>
    <w:rsid w:val="00A82758"/>
    <w:rsid w:val="00A8298D"/>
    <w:rsid w:val="00A8364E"/>
    <w:rsid w:val="00A83BCB"/>
    <w:rsid w:val="00A84041"/>
    <w:rsid w:val="00A8520B"/>
    <w:rsid w:val="00A867C1"/>
    <w:rsid w:val="00A91B55"/>
    <w:rsid w:val="00A93924"/>
    <w:rsid w:val="00A9451A"/>
    <w:rsid w:val="00A9545D"/>
    <w:rsid w:val="00A95D00"/>
    <w:rsid w:val="00A96223"/>
    <w:rsid w:val="00A9636C"/>
    <w:rsid w:val="00AA030A"/>
    <w:rsid w:val="00AA1044"/>
    <w:rsid w:val="00AA1DFA"/>
    <w:rsid w:val="00AA2238"/>
    <w:rsid w:val="00AA2B31"/>
    <w:rsid w:val="00AA3011"/>
    <w:rsid w:val="00AA3770"/>
    <w:rsid w:val="00AA462C"/>
    <w:rsid w:val="00AA53DE"/>
    <w:rsid w:val="00AA5BFA"/>
    <w:rsid w:val="00AA6F5D"/>
    <w:rsid w:val="00AB14E3"/>
    <w:rsid w:val="00AB3F82"/>
    <w:rsid w:val="00AB412A"/>
    <w:rsid w:val="00AB44EA"/>
    <w:rsid w:val="00AB707E"/>
    <w:rsid w:val="00AB730B"/>
    <w:rsid w:val="00AB79A3"/>
    <w:rsid w:val="00AB7ACD"/>
    <w:rsid w:val="00AB7E99"/>
    <w:rsid w:val="00AC175D"/>
    <w:rsid w:val="00AC1DA5"/>
    <w:rsid w:val="00AC224D"/>
    <w:rsid w:val="00AC2438"/>
    <w:rsid w:val="00AC4A63"/>
    <w:rsid w:val="00AC4FB6"/>
    <w:rsid w:val="00AC5250"/>
    <w:rsid w:val="00AD02E0"/>
    <w:rsid w:val="00AD0854"/>
    <w:rsid w:val="00AD09B2"/>
    <w:rsid w:val="00AD10C3"/>
    <w:rsid w:val="00AD1529"/>
    <w:rsid w:val="00AD2174"/>
    <w:rsid w:val="00AD3B47"/>
    <w:rsid w:val="00AD7237"/>
    <w:rsid w:val="00AD7857"/>
    <w:rsid w:val="00AE0146"/>
    <w:rsid w:val="00AE0FCF"/>
    <w:rsid w:val="00AE1998"/>
    <w:rsid w:val="00AE1B45"/>
    <w:rsid w:val="00AE1C5B"/>
    <w:rsid w:val="00AE20A3"/>
    <w:rsid w:val="00AE3850"/>
    <w:rsid w:val="00AE3876"/>
    <w:rsid w:val="00AE56EE"/>
    <w:rsid w:val="00AE5F9D"/>
    <w:rsid w:val="00AE6268"/>
    <w:rsid w:val="00AE65F7"/>
    <w:rsid w:val="00AE690C"/>
    <w:rsid w:val="00AE6FA0"/>
    <w:rsid w:val="00AF1751"/>
    <w:rsid w:val="00AF227A"/>
    <w:rsid w:val="00AF2357"/>
    <w:rsid w:val="00AF32C5"/>
    <w:rsid w:val="00AF3BB6"/>
    <w:rsid w:val="00AF4EDF"/>
    <w:rsid w:val="00AF575F"/>
    <w:rsid w:val="00AF5C90"/>
    <w:rsid w:val="00AF65AD"/>
    <w:rsid w:val="00B00C15"/>
    <w:rsid w:val="00B01438"/>
    <w:rsid w:val="00B02580"/>
    <w:rsid w:val="00B0296A"/>
    <w:rsid w:val="00B03214"/>
    <w:rsid w:val="00B05953"/>
    <w:rsid w:val="00B070E8"/>
    <w:rsid w:val="00B07922"/>
    <w:rsid w:val="00B07E2F"/>
    <w:rsid w:val="00B1021D"/>
    <w:rsid w:val="00B120F9"/>
    <w:rsid w:val="00B13884"/>
    <w:rsid w:val="00B13B7B"/>
    <w:rsid w:val="00B155C7"/>
    <w:rsid w:val="00B16235"/>
    <w:rsid w:val="00B16CF4"/>
    <w:rsid w:val="00B17FF3"/>
    <w:rsid w:val="00B21B73"/>
    <w:rsid w:val="00B2232C"/>
    <w:rsid w:val="00B235B1"/>
    <w:rsid w:val="00B23F2C"/>
    <w:rsid w:val="00B2655D"/>
    <w:rsid w:val="00B30C0E"/>
    <w:rsid w:val="00B31B16"/>
    <w:rsid w:val="00B32985"/>
    <w:rsid w:val="00B34239"/>
    <w:rsid w:val="00B34AC7"/>
    <w:rsid w:val="00B34E2A"/>
    <w:rsid w:val="00B3616C"/>
    <w:rsid w:val="00B366B2"/>
    <w:rsid w:val="00B37D64"/>
    <w:rsid w:val="00B40F24"/>
    <w:rsid w:val="00B41B33"/>
    <w:rsid w:val="00B445D6"/>
    <w:rsid w:val="00B44A93"/>
    <w:rsid w:val="00B454EC"/>
    <w:rsid w:val="00B45860"/>
    <w:rsid w:val="00B462F8"/>
    <w:rsid w:val="00B521C7"/>
    <w:rsid w:val="00B52915"/>
    <w:rsid w:val="00B52CE5"/>
    <w:rsid w:val="00B5373F"/>
    <w:rsid w:val="00B5403B"/>
    <w:rsid w:val="00B5486A"/>
    <w:rsid w:val="00B54A17"/>
    <w:rsid w:val="00B54CA0"/>
    <w:rsid w:val="00B55962"/>
    <w:rsid w:val="00B57C98"/>
    <w:rsid w:val="00B603A9"/>
    <w:rsid w:val="00B62376"/>
    <w:rsid w:val="00B643DC"/>
    <w:rsid w:val="00B64E16"/>
    <w:rsid w:val="00B65574"/>
    <w:rsid w:val="00B65999"/>
    <w:rsid w:val="00B659F4"/>
    <w:rsid w:val="00B66A5B"/>
    <w:rsid w:val="00B67ECB"/>
    <w:rsid w:val="00B709B9"/>
    <w:rsid w:val="00B71086"/>
    <w:rsid w:val="00B729AF"/>
    <w:rsid w:val="00B72DB3"/>
    <w:rsid w:val="00B74D0B"/>
    <w:rsid w:val="00B77797"/>
    <w:rsid w:val="00B77BB5"/>
    <w:rsid w:val="00B77CA4"/>
    <w:rsid w:val="00B803E3"/>
    <w:rsid w:val="00B80968"/>
    <w:rsid w:val="00B80C80"/>
    <w:rsid w:val="00B823D1"/>
    <w:rsid w:val="00B825DD"/>
    <w:rsid w:val="00B85E11"/>
    <w:rsid w:val="00B8668C"/>
    <w:rsid w:val="00B901A0"/>
    <w:rsid w:val="00B93475"/>
    <w:rsid w:val="00B93D94"/>
    <w:rsid w:val="00B94062"/>
    <w:rsid w:val="00B960E5"/>
    <w:rsid w:val="00B967BC"/>
    <w:rsid w:val="00B97527"/>
    <w:rsid w:val="00B97AD6"/>
    <w:rsid w:val="00BA0045"/>
    <w:rsid w:val="00BA0B55"/>
    <w:rsid w:val="00BA0D48"/>
    <w:rsid w:val="00BA0F42"/>
    <w:rsid w:val="00BA3BC5"/>
    <w:rsid w:val="00BA517A"/>
    <w:rsid w:val="00BA60ED"/>
    <w:rsid w:val="00BA7E9E"/>
    <w:rsid w:val="00BB011F"/>
    <w:rsid w:val="00BB1970"/>
    <w:rsid w:val="00BB5475"/>
    <w:rsid w:val="00BB552C"/>
    <w:rsid w:val="00BB571B"/>
    <w:rsid w:val="00BB60BE"/>
    <w:rsid w:val="00BB6CF4"/>
    <w:rsid w:val="00BB7520"/>
    <w:rsid w:val="00BC30AA"/>
    <w:rsid w:val="00BC3452"/>
    <w:rsid w:val="00BC38E5"/>
    <w:rsid w:val="00BC4520"/>
    <w:rsid w:val="00BC4D70"/>
    <w:rsid w:val="00BC4F5D"/>
    <w:rsid w:val="00BC5224"/>
    <w:rsid w:val="00BC641D"/>
    <w:rsid w:val="00BC78B3"/>
    <w:rsid w:val="00BD0D9E"/>
    <w:rsid w:val="00BD117C"/>
    <w:rsid w:val="00BD1C15"/>
    <w:rsid w:val="00BD2B3A"/>
    <w:rsid w:val="00BD3429"/>
    <w:rsid w:val="00BD4A8D"/>
    <w:rsid w:val="00BD50E2"/>
    <w:rsid w:val="00BD596A"/>
    <w:rsid w:val="00BD633C"/>
    <w:rsid w:val="00BD6A29"/>
    <w:rsid w:val="00BD6D53"/>
    <w:rsid w:val="00BD7EBC"/>
    <w:rsid w:val="00BE0140"/>
    <w:rsid w:val="00BE2DB9"/>
    <w:rsid w:val="00BE63DB"/>
    <w:rsid w:val="00BE7C13"/>
    <w:rsid w:val="00BF1A21"/>
    <w:rsid w:val="00BF4B89"/>
    <w:rsid w:val="00BF4E5E"/>
    <w:rsid w:val="00BF50EE"/>
    <w:rsid w:val="00BF5C3E"/>
    <w:rsid w:val="00BF6645"/>
    <w:rsid w:val="00BF77AA"/>
    <w:rsid w:val="00C009A5"/>
    <w:rsid w:val="00C00A48"/>
    <w:rsid w:val="00C01271"/>
    <w:rsid w:val="00C01394"/>
    <w:rsid w:val="00C01984"/>
    <w:rsid w:val="00C01B24"/>
    <w:rsid w:val="00C01B2B"/>
    <w:rsid w:val="00C01F6C"/>
    <w:rsid w:val="00C04E97"/>
    <w:rsid w:val="00C05870"/>
    <w:rsid w:val="00C05C03"/>
    <w:rsid w:val="00C07161"/>
    <w:rsid w:val="00C121F1"/>
    <w:rsid w:val="00C122C9"/>
    <w:rsid w:val="00C133D3"/>
    <w:rsid w:val="00C14C7B"/>
    <w:rsid w:val="00C16D12"/>
    <w:rsid w:val="00C203E1"/>
    <w:rsid w:val="00C20C50"/>
    <w:rsid w:val="00C21DA4"/>
    <w:rsid w:val="00C22108"/>
    <w:rsid w:val="00C226D6"/>
    <w:rsid w:val="00C23488"/>
    <w:rsid w:val="00C255FA"/>
    <w:rsid w:val="00C2590B"/>
    <w:rsid w:val="00C25E0A"/>
    <w:rsid w:val="00C26227"/>
    <w:rsid w:val="00C30357"/>
    <w:rsid w:val="00C306D7"/>
    <w:rsid w:val="00C327A6"/>
    <w:rsid w:val="00C32C1E"/>
    <w:rsid w:val="00C34005"/>
    <w:rsid w:val="00C3409D"/>
    <w:rsid w:val="00C34237"/>
    <w:rsid w:val="00C34CDE"/>
    <w:rsid w:val="00C34FD2"/>
    <w:rsid w:val="00C374E3"/>
    <w:rsid w:val="00C37792"/>
    <w:rsid w:val="00C37B13"/>
    <w:rsid w:val="00C400FB"/>
    <w:rsid w:val="00C42795"/>
    <w:rsid w:val="00C435B6"/>
    <w:rsid w:val="00C43ABF"/>
    <w:rsid w:val="00C43CF1"/>
    <w:rsid w:val="00C43EDB"/>
    <w:rsid w:val="00C45410"/>
    <w:rsid w:val="00C45D0E"/>
    <w:rsid w:val="00C45EC0"/>
    <w:rsid w:val="00C478ED"/>
    <w:rsid w:val="00C47BFC"/>
    <w:rsid w:val="00C50103"/>
    <w:rsid w:val="00C5063A"/>
    <w:rsid w:val="00C50F18"/>
    <w:rsid w:val="00C5116F"/>
    <w:rsid w:val="00C536D2"/>
    <w:rsid w:val="00C53AF6"/>
    <w:rsid w:val="00C5463D"/>
    <w:rsid w:val="00C56AC6"/>
    <w:rsid w:val="00C57B63"/>
    <w:rsid w:val="00C6135F"/>
    <w:rsid w:val="00C61A94"/>
    <w:rsid w:val="00C63FF3"/>
    <w:rsid w:val="00C648C2"/>
    <w:rsid w:val="00C64BA0"/>
    <w:rsid w:val="00C653B9"/>
    <w:rsid w:val="00C653DD"/>
    <w:rsid w:val="00C70844"/>
    <w:rsid w:val="00C70C05"/>
    <w:rsid w:val="00C70D49"/>
    <w:rsid w:val="00C71BD6"/>
    <w:rsid w:val="00C720FC"/>
    <w:rsid w:val="00C73448"/>
    <w:rsid w:val="00C73CBB"/>
    <w:rsid w:val="00C73EA3"/>
    <w:rsid w:val="00C80E2C"/>
    <w:rsid w:val="00C82459"/>
    <w:rsid w:val="00C832B1"/>
    <w:rsid w:val="00C85542"/>
    <w:rsid w:val="00C85C21"/>
    <w:rsid w:val="00C860B9"/>
    <w:rsid w:val="00C86E8A"/>
    <w:rsid w:val="00C86FB3"/>
    <w:rsid w:val="00C87C13"/>
    <w:rsid w:val="00C906F5"/>
    <w:rsid w:val="00C9071D"/>
    <w:rsid w:val="00C90D53"/>
    <w:rsid w:val="00C91BAC"/>
    <w:rsid w:val="00C93142"/>
    <w:rsid w:val="00C939DE"/>
    <w:rsid w:val="00C93B51"/>
    <w:rsid w:val="00C94281"/>
    <w:rsid w:val="00C956AC"/>
    <w:rsid w:val="00C95CCC"/>
    <w:rsid w:val="00C968EB"/>
    <w:rsid w:val="00CA17D6"/>
    <w:rsid w:val="00CA1E06"/>
    <w:rsid w:val="00CA248C"/>
    <w:rsid w:val="00CA2AE7"/>
    <w:rsid w:val="00CA3424"/>
    <w:rsid w:val="00CA42D6"/>
    <w:rsid w:val="00CA51C4"/>
    <w:rsid w:val="00CA53F0"/>
    <w:rsid w:val="00CA6A56"/>
    <w:rsid w:val="00CA7139"/>
    <w:rsid w:val="00CA7188"/>
    <w:rsid w:val="00CA7F17"/>
    <w:rsid w:val="00CB01FC"/>
    <w:rsid w:val="00CB0399"/>
    <w:rsid w:val="00CB0854"/>
    <w:rsid w:val="00CB1411"/>
    <w:rsid w:val="00CB2EAC"/>
    <w:rsid w:val="00CB2F26"/>
    <w:rsid w:val="00CB36E6"/>
    <w:rsid w:val="00CB3854"/>
    <w:rsid w:val="00CB3E7D"/>
    <w:rsid w:val="00CB4947"/>
    <w:rsid w:val="00CB646C"/>
    <w:rsid w:val="00CB6C81"/>
    <w:rsid w:val="00CB71C6"/>
    <w:rsid w:val="00CB7EC0"/>
    <w:rsid w:val="00CC383E"/>
    <w:rsid w:val="00CC4114"/>
    <w:rsid w:val="00CC4246"/>
    <w:rsid w:val="00CC4345"/>
    <w:rsid w:val="00CC4633"/>
    <w:rsid w:val="00CC66BB"/>
    <w:rsid w:val="00CD13CC"/>
    <w:rsid w:val="00CD15F4"/>
    <w:rsid w:val="00CD3284"/>
    <w:rsid w:val="00CD34C8"/>
    <w:rsid w:val="00CD34E5"/>
    <w:rsid w:val="00CD3C4F"/>
    <w:rsid w:val="00CD46FB"/>
    <w:rsid w:val="00CD4C3A"/>
    <w:rsid w:val="00CD5B25"/>
    <w:rsid w:val="00CD5CA8"/>
    <w:rsid w:val="00CD656F"/>
    <w:rsid w:val="00CD6FEC"/>
    <w:rsid w:val="00CE017A"/>
    <w:rsid w:val="00CE172C"/>
    <w:rsid w:val="00CE18EC"/>
    <w:rsid w:val="00CE1D74"/>
    <w:rsid w:val="00CE1ECE"/>
    <w:rsid w:val="00CE2775"/>
    <w:rsid w:val="00CE30EE"/>
    <w:rsid w:val="00CE47AF"/>
    <w:rsid w:val="00CE4C11"/>
    <w:rsid w:val="00CE4E75"/>
    <w:rsid w:val="00CE53F0"/>
    <w:rsid w:val="00CE5DAC"/>
    <w:rsid w:val="00CE5F15"/>
    <w:rsid w:val="00CE7664"/>
    <w:rsid w:val="00CE7DEE"/>
    <w:rsid w:val="00CF0728"/>
    <w:rsid w:val="00CF0945"/>
    <w:rsid w:val="00CF3146"/>
    <w:rsid w:val="00CF3F62"/>
    <w:rsid w:val="00CF40DE"/>
    <w:rsid w:val="00CF47C1"/>
    <w:rsid w:val="00CF6170"/>
    <w:rsid w:val="00CF6EA4"/>
    <w:rsid w:val="00CF7400"/>
    <w:rsid w:val="00CF7A4E"/>
    <w:rsid w:val="00D002C4"/>
    <w:rsid w:val="00D0264A"/>
    <w:rsid w:val="00D0409B"/>
    <w:rsid w:val="00D04415"/>
    <w:rsid w:val="00D04C0A"/>
    <w:rsid w:val="00D05DA6"/>
    <w:rsid w:val="00D0616F"/>
    <w:rsid w:val="00D06846"/>
    <w:rsid w:val="00D068DB"/>
    <w:rsid w:val="00D07A40"/>
    <w:rsid w:val="00D10130"/>
    <w:rsid w:val="00D10ACA"/>
    <w:rsid w:val="00D11A8B"/>
    <w:rsid w:val="00D129C8"/>
    <w:rsid w:val="00D12A0F"/>
    <w:rsid w:val="00D13DBC"/>
    <w:rsid w:val="00D14480"/>
    <w:rsid w:val="00D15BC8"/>
    <w:rsid w:val="00D16386"/>
    <w:rsid w:val="00D16856"/>
    <w:rsid w:val="00D17906"/>
    <w:rsid w:val="00D17B4A"/>
    <w:rsid w:val="00D20CAD"/>
    <w:rsid w:val="00D21A6D"/>
    <w:rsid w:val="00D22C03"/>
    <w:rsid w:val="00D256BB"/>
    <w:rsid w:val="00D27478"/>
    <w:rsid w:val="00D27D32"/>
    <w:rsid w:val="00D30DBC"/>
    <w:rsid w:val="00D30F5F"/>
    <w:rsid w:val="00D32D0E"/>
    <w:rsid w:val="00D32D72"/>
    <w:rsid w:val="00D34BAE"/>
    <w:rsid w:val="00D34E31"/>
    <w:rsid w:val="00D34FEA"/>
    <w:rsid w:val="00D36685"/>
    <w:rsid w:val="00D36EA6"/>
    <w:rsid w:val="00D37E33"/>
    <w:rsid w:val="00D40366"/>
    <w:rsid w:val="00D41BC9"/>
    <w:rsid w:val="00D41D71"/>
    <w:rsid w:val="00D423DA"/>
    <w:rsid w:val="00D42CBE"/>
    <w:rsid w:val="00D43BC6"/>
    <w:rsid w:val="00D44662"/>
    <w:rsid w:val="00D4488E"/>
    <w:rsid w:val="00D45665"/>
    <w:rsid w:val="00D45706"/>
    <w:rsid w:val="00D45BD0"/>
    <w:rsid w:val="00D4617F"/>
    <w:rsid w:val="00D46B0F"/>
    <w:rsid w:val="00D46C8D"/>
    <w:rsid w:val="00D46EA0"/>
    <w:rsid w:val="00D47745"/>
    <w:rsid w:val="00D478A5"/>
    <w:rsid w:val="00D5044A"/>
    <w:rsid w:val="00D55803"/>
    <w:rsid w:val="00D56A93"/>
    <w:rsid w:val="00D573D4"/>
    <w:rsid w:val="00D57B3C"/>
    <w:rsid w:val="00D61256"/>
    <w:rsid w:val="00D61D56"/>
    <w:rsid w:val="00D620D0"/>
    <w:rsid w:val="00D62E4A"/>
    <w:rsid w:val="00D63FBF"/>
    <w:rsid w:val="00D642B1"/>
    <w:rsid w:val="00D643BF"/>
    <w:rsid w:val="00D6507D"/>
    <w:rsid w:val="00D66300"/>
    <w:rsid w:val="00D7046C"/>
    <w:rsid w:val="00D705B2"/>
    <w:rsid w:val="00D71045"/>
    <w:rsid w:val="00D71525"/>
    <w:rsid w:val="00D719DE"/>
    <w:rsid w:val="00D71D85"/>
    <w:rsid w:val="00D72123"/>
    <w:rsid w:val="00D72B77"/>
    <w:rsid w:val="00D72D43"/>
    <w:rsid w:val="00D72E99"/>
    <w:rsid w:val="00D736ED"/>
    <w:rsid w:val="00D73A23"/>
    <w:rsid w:val="00D746F7"/>
    <w:rsid w:val="00D74D12"/>
    <w:rsid w:val="00D755D9"/>
    <w:rsid w:val="00D76CBC"/>
    <w:rsid w:val="00D8069E"/>
    <w:rsid w:val="00D81401"/>
    <w:rsid w:val="00D8196B"/>
    <w:rsid w:val="00D81A82"/>
    <w:rsid w:val="00D82370"/>
    <w:rsid w:val="00D82DF9"/>
    <w:rsid w:val="00D8387D"/>
    <w:rsid w:val="00D83AF7"/>
    <w:rsid w:val="00D84A63"/>
    <w:rsid w:val="00D84A7F"/>
    <w:rsid w:val="00D857AF"/>
    <w:rsid w:val="00D8695F"/>
    <w:rsid w:val="00D9058F"/>
    <w:rsid w:val="00D90ADC"/>
    <w:rsid w:val="00D90F5B"/>
    <w:rsid w:val="00D919BE"/>
    <w:rsid w:val="00D94503"/>
    <w:rsid w:val="00D9499A"/>
    <w:rsid w:val="00D96920"/>
    <w:rsid w:val="00D96D13"/>
    <w:rsid w:val="00D96EF6"/>
    <w:rsid w:val="00D96F7E"/>
    <w:rsid w:val="00D97114"/>
    <w:rsid w:val="00DA232F"/>
    <w:rsid w:val="00DA5229"/>
    <w:rsid w:val="00DA554D"/>
    <w:rsid w:val="00DA5994"/>
    <w:rsid w:val="00DA69D5"/>
    <w:rsid w:val="00DB13D7"/>
    <w:rsid w:val="00DB288E"/>
    <w:rsid w:val="00DB2DA1"/>
    <w:rsid w:val="00DC14CC"/>
    <w:rsid w:val="00DC1CBD"/>
    <w:rsid w:val="00DC2233"/>
    <w:rsid w:val="00DC2B29"/>
    <w:rsid w:val="00DC443A"/>
    <w:rsid w:val="00DC443D"/>
    <w:rsid w:val="00DC4BEA"/>
    <w:rsid w:val="00DC51E7"/>
    <w:rsid w:val="00DC6F51"/>
    <w:rsid w:val="00DC7134"/>
    <w:rsid w:val="00DC760F"/>
    <w:rsid w:val="00DC7D6F"/>
    <w:rsid w:val="00DD0157"/>
    <w:rsid w:val="00DD03C8"/>
    <w:rsid w:val="00DD2592"/>
    <w:rsid w:val="00DD683D"/>
    <w:rsid w:val="00DD7B5B"/>
    <w:rsid w:val="00DE094A"/>
    <w:rsid w:val="00DE1056"/>
    <w:rsid w:val="00DE251F"/>
    <w:rsid w:val="00DE2E0B"/>
    <w:rsid w:val="00DE4029"/>
    <w:rsid w:val="00DE481A"/>
    <w:rsid w:val="00DE5103"/>
    <w:rsid w:val="00DE6019"/>
    <w:rsid w:val="00DE6893"/>
    <w:rsid w:val="00DF279A"/>
    <w:rsid w:val="00DF3067"/>
    <w:rsid w:val="00DF3868"/>
    <w:rsid w:val="00DF454D"/>
    <w:rsid w:val="00DF53C0"/>
    <w:rsid w:val="00E000E4"/>
    <w:rsid w:val="00E046E7"/>
    <w:rsid w:val="00E04FCC"/>
    <w:rsid w:val="00E05B07"/>
    <w:rsid w:val="00E05C5B"/>
    <w:rsid w:val="00E10535"/>
    <w:rsid w:val="00E10C18"/>
    <w:rsid w:val="00E11AE1"/>
    <w:rsid w:val="00E1297C"/>
    <w:rsid w:val="00E1466C"/>
    <w:rsid w:val="00E14A7C"/>
    <w:rsid w:val="00E14E36"/>
    <w:rsid w:val="00E16348"/>
    <w:rsid w:val="00E169DE"/>
    <w:rsid w:val="00E16E34"/>
    <w:rsid w:val="00E17207"/>
    <w:rsid w:val="00E20B66"/>
    <w:rsid w:val="00E20E70"/>
    <w:rsid w:val="00E21368"/>
    <w:rsid w:val="00E228BD"/>
    <w:rsid w:val="00E23461"/>
    <w:rsid w:val="00E24E93"/>
    <w:rsid w:val="00E25C5A"/>
    <w:rsid w:val="00E2622E"/>
    <w:rsid w:val="00E265B5"/>
    <w:rsid w:val="00E279C5"/>
    <w:rsid w:val="00E3102B"/>
    <w:rsid w:val="00E31C33"/>
    <w:rsid w:val="00E31DE8"/>
    <w:rsid w:val="00E32E38"/>
    <w:rsid w:val="00E3486B"/>
    <w:rsid w:val="00E353F8"/>
    <w:rsid w:val="00E37A5F"/>
    <w:rsid w:val="00E37C8F"/>
    <w:rsid w:val="00E40F42"/>
    <w:rsid w:val="00E4103C"/>
    <w:rsid w:val="00E41129"/>
    <w:rsid w:val="00E41144"/>
    <w:rsid w:val="00E41E3E"/>
    <w:rsid w:val="00E42808"/>
    <w:rsid w:val="00E45D68"/>
    <w:rsid w:val="00E4715A"/>
    <w:rsid w:val="00E474C8"/>
    <w:rsid w:val="00E50390"/>
    <w:rsid w:val="00E5069A"/>
    <w:rsid w:val="00E508F7"/>
    <w:rsid w:val="00E50C5C"/>
    <w:rsid w:val="00E52688"/>
    <w:rsid w:val="00E52A6A"/>
    <w:rsid w:val="00E544FD"/>
    <w:rsid w:val="00E549B0"/>
    <w:rsid w:val="00E55113"/>
    <w:rsid w:val="00E553A8"/>
    <w:rsid w:val="00E55B7E"/>
    <w:rsid w:val="00E56035"/>
    <w:rsid w:val="00E56FF3"/>
    <w:rsid w:val="00E5775A"/>
    <w:rsid w:val="00E57C75"/>
    <w:rsid w:val="00E6026D"/>
    <w:rsid w:val="00E6477C"/>
    <w:rsid w:val="00E647F9"/>
    <w:rsid w:val="00E64DA7"/>
    <w:rsid w:val="00E64F1C"/>
    <w:rsid w:val="00E660FA"/>
    <w:rsid w:val="00E70444"/>
    <w:rsid w:val="00E72FD7"/>
    <w:rsid w:val="00E75735"/>
    <w:rsid w:val="00E75FB5"/>
    <w:rsid w:val="00E77301"/>
    <w:rsid w:val="00E77E14"/>
    <w:rsid w:val="00E80354"/>
    <w:rsid w:val="00E817CB"/>
    <w:rsid w:val="00E8221B"/>
    <w:rsid w:val="00E84E9D"/>
    <w:rsid w:val="00E867E2"/>
    <w:rsid w:val="00E92164"/>
    <w:rsid w:val="00E92E0A"/>
    <w:rsid w:val="00E931C3"/>
    <w:rsid w:val="00E933BA"/>
    <w:rsid w:val="00E970A8"/>
    <w:rsid w:val="00E970DA"/>
    <w:rsid w:val="00E97C3B"/>
    <w:rsid w:val="00E97C8E"/>
    <w:rsid w:val="00E97D60"/>
    <w:rsid w:val="00EA0FC1"/>
    <w:rsid w:val="00EA13A9"/>
    <w:rsid w:val="00EA237A"/>
    <w:rsid w:val="00EA2772"/>
    <w:rsid w:val="00EA3D52"/>
    <w:rsid w:val="00EA4738"/>
    <w:rsid w:val="00EA4C50"/>
    <w:rsid w:val="00EB1176"/>
    <w:rsid w:val="00EB1458"/>
    <w:rsid w:val="00EB16B5"/>
    <w:rsid w:val="00EB1937"/>
    <w:rsid w:val="00EB5D52"/>
    <w:rsid w:val="00EB6FD2"/>
    <w:rsid w:val="00EB7B1F"/>
    <w:rsid w:val="00EC02E3"/>
    <w:rsid w:val="00EC0517"/>
    <w:rsid w:val="00EC073A"/>
    <w:rsid w:val="00EC08F8"/>
    <w:rsid w:val="00EC1B17"/>
    <w:rsid w:val="00EC465E"/>
    <w:rsid w:val="00EC4883"/>
    <w:rsid w:val="00EC5CEE"/>
    <w:rsid w:val="00EC6F2F"/>
    <w:rsid w:val="00ED0090"/>
    <w:rsid w:val="00ED0894"/>
    <w:rsid w:val="00ED0EA9"/>
    <w:rsid w:val="00ED2F9C"/>
    <w:rsid w:val="00EE056E"/>
    <w:rsid w:val="00EE0D87"/>
    <w:rsid w:val="00EE22AD"/>
    <w:rsid w:val="00EE2DD8"/>
    <w:rsid w:val="00EE3087"/>
    <w:rsid w:val="00EE4278"/>
    <w:rsid w:val="00EE5CC7"/>
    <w:rsid w:val="00EE67C1"/>
    <w:rsid w:val="00EF137A"/>
    <w:rsid w:val="00EF21DA"/>
    <w:rsid w:val="00EF2450"/>
    <w:rsid w:val="00EF2D5D"/>
    <w:rsid w:val="00EF30C8"/>
    <w:rsid w:val="00EF3A95"/>
    <w:rsid w:val="00EF3AB0"/>
    <w:rsid w:val="00EF59E1"/>
    <w:rsid w:val="00EF5BAE"/>
    <w:rsid w:val="00EF74F7"/>
    <w:rsid w:val="00EF796A"/>
    <w:rsid w:val="00F01687"/>
    <w:rsid w:val="00F04F8A"/>
    <w:rsid w:val="00F050E8"/>
    <w:rsid w:val="00F06E73"/>
    <w:rsid w:val="00F108A0"/>
    <w:rsid w:val="00F10DF1"/>
    <w:rsid w:val="00F111B8"/>
    <w:rsid w:val="00F11250"/>
    <w:rsid w:val="00F173DC"/>
    <w:rsid w:val="00F201E0"/>
    <w:rsid w:val="00F2110E"/>
    <w:rsid w:val="00F2124F"/>
    <w:rsid w:val="00F2159B"/>
    <w:rsid w:val="00F2239E"/>
    <w:rsid w:val="00F23858"/>
    <w:rsid w:val="00F23F0A"/>
    <w:rsid w:val="00F24730"/>
    <w:rsid w:val="00F24A72"/>
    <w:rsid w:val="00F25C32"/>
    <w:rsid w:val="00F26359"/>
    <w:rsid w:val="00F272D3"/>
    <w:rsid w:val="00F30373"/>
    <w:rsid w:val="00F306A2"/>
    <w:rsid w:val="00F31834"/>
    <w:rsid w:val="00F31F62"/>
    <w:rsid w:val="00F32F41"/>
    <w:rsid w:val="00F34AC1"/>
    <w:rsid w:val="00F409A8"/>
    <w:rsid w:val="00F4167F"/>
    <w:rsid w:val="00F41E3C"/>
    <w:rsid w:val="00F42536"/>
    <w:rsid w:val="00F42D1A"/>
    <w:rsid w:val="00F42D6B"/>
    <w:rsid w:val="00F4480E"/>
    <w:rsid w:val="00F44E4F"/>
    <w:rsid w:val="00F45144"/>
    <w:rsid w:val="00F4535C"/>
    <w:rsid w:val="00F46F2B"/>
    <w:rsid w:val="00F471B0"/>
    <w:rsid w:val="00F473F2"/>
    <w:rsid w:val="00F50D77"/>
    <w:rsid w:val="00F530F9"/>
    <w:rsid w:val="00F54A99"/>
    <w:rsid w:val="00F54BBE"/>
    <w:rsid w:val="00F56634"/>
    <w:rsid w:val="00F56666"/>
    <w:rsid w:val="00F631D7"/>
    <w:rsid w:val="00F6485D"/>
    <w:rsid w:val="00F64FBD"/>
    <w:rsid w:val="00F6530E"/>
    <w:rsid w:val="00F65ADF"/>
    <w:rsid w:val="00F6626D"/>
    <w:rsid w:val="00F679EF"/>
    <w:rsid w:val="00F70CF6"/>
    <w:rsid w:val="00F70D8A"/>
    <w:rsid w:val="00F73D2D"/>
    <w:rsid w:val="00F73F57"/>
    <w:rsid w:val="00F7427B"/>
    <w:rsid w:val="00F8027C"/>
    <w:rsid w:val="00F82845"/>
    <w:rsid w:val="00F83441"/>
    <w:rsid w:val="00F85010"/>
    <w:rsid w:val="00F852AF"/>
    <w:rsid w:val="00F854C0"/>
    <w:rsid w:val="00F85D3D"/>
    <w:rsid w:val="00F9163D"/>
    <w:rsid w:val="00F92615"/>
    <w:rsid w:val="00F9543D"/>
    <w:rsid w:val="00F96AA0"/>
    <w:rsid w:val="00F9796D"/>
    <w:rsid w:val="00FA09EA"/>
    <w:rsid w:val="00FA0EB6"/>
    <w:rsid w:val="00FA12AB"/>
    <w:rsid w:val="00FA1AB0"/>
    <w:rsid w:val="00FA222C"/>
    <w:rsid w:val="00FA275E"/>
    <w:rsid w:val="00FA3860"/>
    <w:rsid w:val="00FA5605"/>
    <w:rsid w:val="00FA5C53"/>
    <w:rsid w:val="00FA71D9"/>
    <w:rsid w:val="00FA75B2"/>
    <w:rsid w:val="00FB3FCE"/>
    <w:rsid w:val="00FB4890"/>
    <w:rsid w:val="00FB552C"/>
    <w:rsid w:val="00FB5F9B"/>
    <w:rsid w:val="00FB601B"/>
    <w:rsid w:val="00FB6104"/>
    <w:rsid w:val="00FB6CAE"/>
    <w:rsid w:val="00FB6DAB"/>
    <w:rsid w:val="00FB6E4A"/>
    <w:rsid w:val="00FB7799"/>
    <w:rsid w:val="00FC2A09"/>
    <w:rsid w:val="00FC2AAD"/>
    <w:rsid w:val="00FC32F6"/>
    <w:rsid w:val="00FC3A56"/>
    <w:rsid w:val="00FC3CDD"/>
    <w:rsid w:val="00FC642D"/>
    <w:rsid w:val="00FC6966"/>
    <w:rsid w:val="00FD013D"/>
    <w:rsid w:val="00FD05C3"/>
    <w:rsid w:val="00FD15F9"/>
    <w:rsid w:val="00FD1C2B"/>
    <w:rsid w:val="00FD2A5E"/>
    <w:rsid w:val="00FD2CE3"/>
    <w:rsid w:val="00FD2E8D"/>
    <w:rsid w:val="00FD3EC1"/>
    <w:rsid w:val="00FD52E2"/>
    <w:rsid w:val="00FD57A8"/>
    <w:rsid w:val="00FD614F"/>
    <w:rsid w:val="00FD7093"/>
    <w:rsid w:val="00FD7466"/>
    <w:rsid w:val="00FE0DEE"/>
    <w:rsid w:val="00FE1B84"/>
    <w:rsid w:val="00FE2062"/>
    <w:rsid w:val="00FE20F8"/>
    <w:rsid w:val="00FE25AB"/>
    <w:rsid w:val="00FE2626"/>
    <w:rsid w:val="00FE2FEE"/>
    <w:rsid w:val="00FE3D59"/>
    <w:rsid w:val="00FE48E0"/>
    <w:rsid w:val="00FE6844"/>
    <w:rsid w:val="00FE7CAB"/>
    <w:rsid w:val="00FF0104"/>
    <w:rsid w:val="00FF0FEC"/>
    <w:rsid w:val="00FF21CB"/>
    <w:rsid w:val="00FF3198"/>
    <w:rsid w:val="00FF3E9D"/>
    <w:rsid w:val="00FF5245"/>
    <w:rsid w:val="00FF5E84"/>
    <w:rsid w:val="00FF6B76"/>
    <w:rsid w:val="00FF6C64"/>
    <w:rsid w:val="00FF76E3"/>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522D"/>
  <w15:chartTrackingRefBased/>
  <w15:docId w15:val="{3E8E36E1-CA1B-4C58-9660-FAFB9232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CE"/>
  </w:style>
  <w:style w:type="paragraph" w:styleId="Heading1">
    <w:name w:val="heading 1"/>
    <w:basedOn w:val="Normal"/>
    <w:next w:val="Normal"/>
    <w:link w:val="Heading1Char"/>
    <w:uiPriority w:val="9"/>
    <w:qFormat/>
    <w:rsid w:val="00332190"/>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8E32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839"/>
    <w:pPr>
      <w:ind w:left="720"/>
      <w:contextualSpacing/>
    </w:pPr>
  </w:style>
  <w:style w:type="paragraph" w:styleId="FootnoteText">
    <w:name w:val="footnote text"/>
    <w:aliases w:val="Footnote Text Char1,Footnote Text Char Char,Footnote Text Char1 Char,Footnote Text Char Char Char,Footnote Text Char Char1, Char Char Char, Char Char,Char Char Char,Char Char,Footnote Text Char2,Footnote Text Char2 Char1 Char Char Char"/>
    <w:basedOn w:val="Normal"/>
    <w:link w:val="FootnoteTextChar"/>
    <w:uiPriority w:val="99"/>
    <w:unhideWhenUsed/>
    <w:qFormat/>
    <w:rsid w:val="001F3839"/>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 Char Char Char Char, Char Char Char1,Char Char Char Char,Char Char Char1"/>
    <w:basedOn w:val="DefaultParagraphFont"/>
    <w:link w:val="FootnoteText"/>
    <w:uiPriority w:val="99"/>
    <w:rsid w:val="001F3839"/>
    <w:rPr>
      <w:sz w:val="20"/>
      <w:szCs w:val="20"/>
    </w:rPr>
  </w:style>
  <w:style w:type="character" w:styleId="FootnoteReference">
    <w:name w:val="footnote reference"/>
    <w:aliases w:val="Footnote Reference + Superscript,Footnotes refss,(NECG) Footnote Reference,Appel note de bas de page,Ref,de nota al pie,註腳內容"/>
    <w:basedOn w:val="DefaultParagraphFont"/>
    <w:uiPriority w:val="99"/>
    <w:unhideWhenUsed/>
    <w:rsid w:val="001F3839"/>
    <w:rPr>
      <w:vertAlign w:val="superscript"/>
    </w:rPr>
  </w:style>
  <w:style w:type="paragraph" w:styleId="Header">
    <w:name w:val="header"/>
    <w:basedOn w:val="Normal"/>
    <w:link w:val="HeaderChar"/>
    <w:uiPriority w:val="99"/>
    <w:unhideWhenUsed/>
    <w:rsid w:val="00EE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CC7"/>
  </w:style>
  <w:style w:type="paragraph" w:styleId="Footer">
    <w:name w:val="footer"/>
    <w:basedOn w:val="Normal"/>
    <w:link w:val="FooterChar"/>
    <w:uiPriority w:val="99"/>
    <w:unhideWhenUsed/>
    <w:rsid w:val="00EE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CC7"/>
  </w:style>
  <w:style w:type="character" w:customStyle="1" w:styleId="mc">
    <w:name w:val="mc"/>
    <w:basedOn w:val="DefaultParagraphFont"/>
    <w:rsid w:val="008423F9"/>
  </w:style>
  <w:style w:type="paragraph" w:customStyle="1" w:styleId="Numberin1">
    <w:name w:val="Number in 1"/>
    <w:basedOn w:val="Normal"/>
    <w:rsid w:val="00BB571B"/>
    <w:pPr>
      <w:widowControl w:val="0"/>
      <w:numPr>
        <w:numId w:val="3"/>
      </w:numPr>
      <w:spacing w:before="240" w:after="120" w:line="480" w:lineRule="auto"/>
      <w:jc w:val="both"/>
    </w:pPr>
    <w:rPr>
      <w:rFonts w:eastAsia="Times New Roman"/>
      <w:szCs w:val="20"/>
      <w:lang w:eastAsia="en-ZA"/>
    </w:rPr>
  </w:style>
  <w:style w:type="paragraph" w:customStyle="1" w:styleId="a">
    <w:name w:val=".."/>
    <w:basedOn w:val="Numberin1"/>
    <w:qFormat/>
    <w:rsid w:val="00BB571B"/>
  </w:style>
  <w:style w:type="paragraph" w:customStyle="1" w:styleId="BowLevel1ListAlt">
    <w:name w:val="Bow_Level 1 List Alt+["/>
    <w:basedOn w:val="Normal"/>
    <w:rsid w:val="000F4B64"/>
    <w:pPr>
      <w:numPr>
        <w:numId w:val="5"/>
      </w:numPr>
      <w:spacing w:after="200" w:line="360" w:lineRule="auto"/>
      <w:jc w:val="both"/>
    </w:pPr>
    <w:rPr>
      <w:rFonts w:ascii="Century Gothic" w:eastAsia="Times New Roman" w:hAnsi="Century Gothic"/>
      <w:sz w:val="18"/>
      <w:szCs w:val="18"/>
      <w:lang w:val="en-US"/>
    </w:rPr>
  </w:style>
  <w:style w:type="paragraph" w:customStyle="1" w:styleId="BowLevel2ListAlt">
    <w:name w:val="Bow_Level 2 List Alt ]"/>
    <w:basedOn w:val="Normal"/>
    <w:rsid w:val="000F4B64"/>
    <w:pPr>
      <w:numPr>
        <w:ilvl w:val="1"/>
        <w:numId w:val="5"/>
      </w:numPr>
      <w:spacing w:after="200" w:line="360" w:lineRule="auto"/>
      <w:jc w:val="both"/>
    </w:pPr>
    <w:rPr>
      <w:rFonts w:ascii="Century Gothic" w:eastAsia="Times New Roman" w:hAnsi="Century Gothic"/>
      <w:sz w:val="18"/>
      <w:szCs w:val="18"/>
      <w:lang w:val="en-ZA"/>
    </w:rPr>
  </w:style>
  <w:style w:type="paragraph" w:customStyle="1" w:styleId="BowLevel3ListAlt">
    <w:name w:val="Bow_Level 3 List Alt+'"/>
    <w:basedOn w:val="Normal"/>
    <w:rsid w:val="000F4B64"/>
    <w:pPr>
      <w:numPr>
        <w:ilvl w:val="2"/>
        <w:numId w:val="5"/>
      </w:numPr>
      <w:spacing w:after="200" w:line="360" w:lineRule="auto"/>
      <w:jc w:val="both"/>
    </w:pPr>
    <w:rPr>
      <w:rFonts w:ascii="Century Gothic" w:eastAsia="Times New Roman" w:hAnsi="Century Gothic"/>
      <w:sz w:val="18"/>
      <w:szCs w:val="18"/>
      <w:lang w:val="en-US"/>
    </w:rPr>
  </w:style>
  <w:style w:type="paragraph" w:customStyle="1" w:styleId="BowLevel4ListAlt">
    <w:name w:val="Bow_Level 4 List Alt+/"/>
    <w:basedOn w:val="Normal"/>
    <w:rsid w:val="000F4B64"/>
    <w:pPr>
      <w:numPr>
        <w:ilvl w:val="3"/>
        <w:numId w:val="5"/>
      </w:numPr>
      <w:spacing w:after="200" w:line="360" w:lineRule="auto"/>
      <w:jc w:val="both"/>
    </w:pPr>
    <w:rPr>
      <w:rFonts w:ascii="Century Gothic" w:eastAsia="Times New Roman" w:hAnsi="Century Gothic"/>
      <w:sz w:val="18"/>
      <w:szCs w:val="18"/>
      <w:lang w:val="en-ZA"/>
    </w:rPr>
  </w:style>
  <w:style w:type="paragraph" w:customStyle="1" w:styleId="BowLevel5ListAlt">
    <w:name w:val="Bow_Level 5 List Alt+."/>
    <w:basedOn w:val="Normal"/>
    <w:rsid w:val="000F4B64"/>
    <w:pPr>
      <w:numPr>
        <w:ilvl w:val="4"/>
        <w:numId w:val="5"/>
      </w:numPr>
      <w:spacing w:after="200" w:line="360" w:lineRule="auto"/>
      <w:jc w:val="both"/>
    </w:pPr>
    <w:rPr>
      <w:rFonts w:ascii="Century Gothic" w:eastAsia="Times New Roman" w:hAnsi="Century Gothic"/>
      <w:sz w:val="18"/>
      <w:szCs w:val="18"/>
      <w:lang w:val="en-US"/>
    </w:rPr>
  </w:style>
  <w:style w:type="paragraph" w:customStyle="1" w:styleId="BowLevel6ListAlt">
    <w:name w:val="Bow_Level 6 List Alt+"/>
    <w:basedOn w:val="Normal"/>
    <w:rsid w:val="000F4B64"/>
    <w:pPr>
      <w:numPr>
        <w:ilvl w:val="5"/>
        <w:numId w:val="5"/>
      </w:numPr>
      <w:spacing w:after="200" w:line="360" w:lineRule="auto"/>
      <w:jc w:val="both"/>
    </w:pPr>
    <w:rPr>
      <w:rFonts w:ascii="Century Gothic" w:eastAsia="Times New Roman" w:hAnsi="Century Gothic"/>
      <w:sz w:val="18"/>
      <w:szCs w:val="18"/>
      <w:lang w:val="en-US"/>
    </w:rPr>
  </w:style>
  <w:style w:type="paragraph" w:customStyle="1" w:styleId="BowLevel7ListAltM">
    <w:name w:val="Bow_Level 7 List Alt+M"/>
    <w:basedOn w:val="Normal"/>
    <w:rsid w:val="000F4B64"/>
    <w:pPr>
      <w:numPr>
        <w:ilvl w:val="6"/>
        <w:numId w:val="5"/>
      </w:numPr>
      <w:spacing w:after="200" w:line="360" w:lineRule="auto"/>
      <w:jc w:val="both"/>
    </w:pPr>
    <w:rPr>
      <w:rFonts w:ascii="Century Gothic" w:eastAsia="Times New Roman" w:hAnsi="Century Gothic"/>
      <w:sz w:val="18"/>
      <w:szCs w:val="18"/>
      <w:lang w:val="en-US"/>
    </w:rPr>
  </w:style>
  <w:style w:type="character" w:styleId="Hyperlink">
    <w:name w:val="Hyperlink"/>
    <w:basedOn w:val="DefaultParagraphFont"/>
    <w:uiPriority w:val="99"/>
    <w:unhideWhenUsed/>
    <w:rsid w:val="000C72D0"/>
    <w:rPr>
      <w:rFonts w:ascii="Century Gothic" w:hAnsi="Century Gothic"/>
      <w:color w:val="0563C1" w:themeColor="hyperlink"/>
      <w:sz w:val="18"/>
      <w:u w:val="single"/>
    </w:rPr>
  </w:style>
  <w:style w:type="paragraph" w:customStyle="1" w:styleId="XClause1Head">
    <w:name w:val="XClause1Head"/>
    <w:basedOn w:val="Normal"/>
    <w:uiPriority w:val="99"/>
    <w:rsid w:val="00D20CAD"/>
    <w:pPr>
      <w:numPr>
        <w:numId w:val="6"/>
      </w:numPr>
      <w:spacing w:after="240" w:line="360" w:lineRule="atLeast"/>
      <w:jc w:val="both"/>
    </w:pPr>
    <w:rPr>
      <w:rFonts w:eastAsia="Times New Roman"/>
      <w:sz w:val="20"/>
      <w:szCs w:val="20"/>
      <w:lang w:eastAsia="en-GB"/>
    </w:rPr>
  </w:style>
  <w:style w:type="paragraph" w:customStyle="1" w:styleId="XClause2Sub">
    <w:name w:val="XClause2Sub"/>
    <w:basedOn w:val="Normal"/>
    <w:uiPriority w:val="99"/>
    <w:rsid w:val="00D20CAD"/>
    <w:pPr>
      <w:numPr>
        <w:ilvl w:val="1"/>
        <w:numId w:val="6"/>
      </w:numPr>
      <w:spacing w:after="240" w:line="360" w:lineRule="atLeast"/>
      <w:jc w:val="both"/>
    </w:pPr>
    <w:rPr>
      <w:rFonts w:eastAsia="Times New Roman"/>
      <w:sz w:val="20"/>
      <w:szCs w:val="20"/>
      <w:lang w:eastAsia="en-GB"/>
    </w:rPr>
  </w:style>
  <w:style w:type="paragraph" w:customStyle="1" w:styleId="XClause3Sub">
    <w:name w:val="XClause3Sub"/>
    <w:basedOn w:val="Normal"/>
    <w:uiPriority w:val="99"/>
    <w:rsid w:val="00D20CAD"/>
    <w:pPr>
      <w:numPr>
        <w:ilvl w:val="2"/>
        <w:numId w:val="6"/>
      </w:numPr>
      <w:spacing w:after="240" w:line="360" w:lineRule="atLeast"/>
      <w:jc w:val="both"/>
    </w:pPr>
    <w:rPr>
      <w:rFonts w:eastAsia="Times New Roman"/>
      <w:sz w:val="20"/>
      <w:szCs w:val="20"/>
      <w:lang w:eastAsia="en-GB"/>
    </w:rPr>
  </w:style>
  <w:style w:type="paragraph" w:customStyle="1" w:styleId="XClause4Sub">
    <w:name w:val="XClause4Sub"/>
    <w:basedOn w:val="Normal"/>
    <w:uiPriority w:val="99"/>
    <w:rsid w:val="00D20CAD"/>
    <w:pPr>
      <w:numPr>
        <w:ilvl w:val="3"/>
        <w:numId w:val="6"/>
      </w:numPr>
      <w:spacing w:after="240" w:line="360" w:lineRule="atLeast"/>
      <w:jc w:val="both"/>
    </w:pPr>
    <w:rPr>
      <w:rFonts w:eastAsia="Times New Roman"/>
      <w:sz w:val="20"/>
      <w:szCs w:val="20"/>
      <w:lang w:eastAsia="en-GB"/>
    </w:rPr>
  </w:style>
  <w:style w:type="paragraph" w:customStyle="1" w:styleId="XClause5Sub">
    <w:name w:val="XClause5Sub"/>
    <w:basedOn w:val="Normal"/>
    <w:uiPriority w:val="99"/>
    <w:rsid w:val="00D20CAD"/>
    <w:pPr>
      <w:numPr>
        <w:ilvl w:val="4"/>
        <w:numId w:val="6"/>
      </w:numPr>
      <w:spacing w:after="240" w:line="360" w:lineRule="atLeast"/>
      <w:jc w:val="both"/>
    </w:pPr>
    <w:rPr>
      <w:rFonts w:eastAsia="Times New Roman"/>
      <w:sz w:val="20"/>
      <w:szCs w:val="20"/>
      <w:lang w:eastAsia="en-GB"/>
    </w:rPr>
  </w:style>
  <w:style w:type="paragraph" w:customStyle="1" w:styleId="XClause6Sub">
    <w:name w:val="XClause6Sub"/>
    <w:basedOn w:val="Normal"/>
    <w:uiPriority w:val="99"/>
    <w:rsid w:val="00D20CAD"/>
    <w:pPr>
      <w:numPr>
        <w:ilvl w:val="5"/>
        <w:numId w:val="6"/>
      </w:numPr>
      <w:spacing w:after="240" w:line="360" w:lineRule="atLeast"/>
      <w:jc w:val="both"/>
    </w:pPr>
    <w:rPr>
      <w:rFonts w:eastAsia="Times New Roman"/>
      <w:sz w:val="20"/>
      <w:szCs w:val="20"/>
      <w:lang w:eastAsia="en-GB"/>
    </w:rPr>
  </w:style>
  <w:style w:type="paragraph" w:customStyle="1" w:styleId="XClause7Sub">
    <w:name w:val="XClause7Sub"/>
    <w:basedOn w:val="Normal"/>
    <w:uiPriority w:val="99"/>
    <w:rsid w:val="00D20CAD"/>
    <w:pPr>
      <w:numPr>
        <w:ilvl w:val="6"/>
        <w:numId w:val="6"/>
      </w:numPr>
      <w:spacing w:after="240" w:line="360" w:lineRule="atLeast"/>
      <w:jc w:val="both"/>
    </w:pPr>
    <w:rPr>
      <w:rFonts w:eastAsia="Times New Roman"/>
      <w:sz w:val="20"/>
      <w:szCs w:val="20"/>
      <w:lang w:eastAsia="en-GB"/>
    </w:rPr>
  </w:style>
  <w:style w:type="paragraph" w:customStyle="1" w:styleId="XClause8Sub">
    <w:name w:val="XClause8Sub"/>
    <w:basedOn w:val="Normal"/>
    <w:uiPriority w:val="99"/>
    <w:rsid w:val="00D20CAD"/>
    <w:pPr>
      <w:numPr>
        <w:ilvl w:val="7"/>
        <w:numId w:val="6"/>
      </w:numPr>
      <w:spacing w:after="240" w:line="360" w:lineRule="atLeast"/>
      <w:jc w:val="both"/>
    </w:pPr>
    <w:rPr>
      <w:rFonts w:eastAsia="Times New Roman"/>
      <w:sz w:val="20"/>
      <w:szCs w:val="20"/>
      <w:lang w:eastAsia="en-GB"/>
    </w:rPr>
  </w:style>
  <w:style w:type="paragraph" w:customStyle="1" w:styleId="XClause9Sub">
    <w:name w:val="XClause9Sub"/>
    <w:basedOn w:val="Normal"/>
    <w:uiPriority w:val="99"/>
    <w:rsid w:val="00D20CAD"/>
    <w:pPr>
      <w:numPr>
        <w:ilvl w:val="8"/>
        <w:numId w:val="6"/>
      </w:numPr>
      <w:spacing w:after="240" w:line="360" w:lineRule="atLeast"/>
      <w:jc w:val="both"/>
    </w:pPr>
    <w:rPr>
      <w:rFonts w:eastAsia="Times New Roman"/>
      <w:sz w:val="20"/>
      <w:szCs w:val="20"/>
      <w:lang w:eastAsia="en-GB"/>
    </w:rPr>
  </w:style>
  <w:style w:type="paragraph" w:customStyle="1" w:styleId="prb-anytext">
    <w:name w:val="prb-anytext"/>
    <w:basedOn w:val="Normal"/>
    <w:rsid w:val="00AF2357"/>
    <w:pPr>
      <w:spacing w:before="100" w:beforeAutospacing="1" w:after="100" w:afterAutospacing="1" w:line="240" w:lineRule="auto"/>
    </w:pPr>
    <w:rPr>
      <w:rFonts w:ascii="Times New Roman" w:eastAsia="Times New Roman" w:hAnsi="Times New Roman"/>
      <w:szCs w:val="24"/>
      <w:lang w:eastAsia="en-GB"/>
    </w:rPr>
  </w:style>
  <w:style w:type="paragraph" w:customStyle="1" w:styleId="pri">
    <w:name w:val="pri"/>
    <w:basedOn w:val="Normal"/>
    <w:rsid w:val="00AF2357"/>
    <w:pPr>
      <w:spacing w:before="100" w:beforeAutospacing="1" w:after="100" w:afterAutospacing="1" w:line="240" w:lineRule="auto"/>
    </w:pPr>
    <w:rPr>
      <w:rFonts w:ascii="Times New Roman" w:eastAsia="Times New Roman" w:hAnsi="Times New Roman"/>
      <w:szCs w:val="24"/>
      <w:lang w:eastAsia="en-GB"/>
    </w:rPr>
  </w:style>
  <w:style w:type="numbering" w:styleId="111111">
    <w:name w:val="Outline List 2"/>
    <w:basedOn w:val="NoList"/>
    <w:rsid w:val="00804175"/>
    <w:pPr>
      <w:numPr>
        <w:numId w:val="9"/>
      </w:numPr>
    </w:pPr>
  </w:style>
  <w:style w:type="character" w:customStyle="1" w:styleId="FontStyle11">
    <w:name w:val="Font Style11"/>
    <w:basedOn w:val="DefaultParagraphFont"/>
    <w:uiPriority w:val="99"/>
    <w:rsid w:val="00804175"/>
    <w:rPr>
      <w:lang w:val="en-US" w:eastAsia="zh-CN" w:bidi="hi-IN"/>
    </w:rPr>
  </w:style>
  <w:style w:type="table" w:styleId="TableGrid">
    <w:name w:val="Table Grid"/>
    <w:basedOn w:val="TableNormal"/>
    <w:uiPriority w:val="39"/>
    <w:rsid w:val="00CD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CFC"/>
    <w:rPr>
      <w:rFonts w:ascii="Segoe UI" w:hAnsi="Segoe UI" w:cs="Segoe UI"/>
      <w:sz w:val="18"/>
      <w:szCs w:val="18"/>
    </w:rPr>
  </w:style>
  <w:style w:type="paragraph" w:customStyle="1" w:styleId="SingleSpacing">
    <w:name w:val="SingleSpacing"/>
    <w:basedOn w:val="Normal"/>
    <w:rsid w:val="00D46B0F"/>
    <w:pPr>
      <w:keepNext/>
      <w:tabs>
        <w:tab w:val="left" w:pos="4111"/>
      </w:tabs>
      <w:suppressAutoHyphens/>
      <w:spacing w:after="0" w:line="240" w:lineRule="auto"/>
      <w:jc w:val="both"/>
    </w:pPr>
    <w:rPr>
      <w:rFonts w:eastAsia="Times New Roman"/>
      <w:szCs w:val="20"/>
      <w:lang w:val="en-ZA"/>
    </w:rPr>
  </w:style>
  <w:style w:type="character" w:customStyle="1" w:styleId="UnresolvedMention">
    <w:name w:val="Unresolved Mention"/>
    <w:basedOn w:val="DefaultParagraphFont"/>
    <w:uiPriority w:val="99"/>
    <w:semiHidden/>
    <w:unhideWhenUsed/>
    <w:rsid w:val="004366AD"/>
    <w:rPr>
      <w:color w:val="605E5C"/>
      <w:shd w:val="clear" w:color="auto" w:fill="E1DFDD"/>
    </w:rPr>
  </w:style>
  <w:style w:type="character" w:styleId="CommentReference">
    <w:name w:val="annotation reference"/>
    <w:basedOn w:val="DefaultParagraphFont"/>
    <w:uiPriority w:val="99"/>
    <w:semiHidden/>
    <w:unhideWhenUsed/>
    <w:rsid w:val="0089542D"/>
    <w:rPr>
      <w:sz w:val="16"/>
      <w:szCs w:val="16"/>
    </w:rPr>
  </w:style>
  <w:style w:type="paragraph" w:styleId="CommentText">
    <w:name w:val="annotation text"/>
    <w:basedOn w:val="Normal"/>
    <w:link w:val="CommentTextChar"/>
    <w:uiPriority w:val="99"/>
    <w:semiHidden/>
    <w:unhideWhenUsed/>
    <w:rsid w:val="0089542D"/>
    <w:pPr>
      <w:spacing w:line="240" w:lineRule="auto"/>
    </w:pPr>
    <w:rPr>
      <w:sz w:val="20"/>
      <w:szCs w:val="20"/>
    </w:rPr>
  </w:style>
  <w:style w:type="character" w:customStyle="1" w:styleId="CommentTextChar">
    <w:name w:val="Comment Text Char"/>
    <w:basedOn w:val="DefaultParagraphFont"/>
    <w:link w:val="CommentText"/>
    <w:uiPriority w:val="99"/>
    <w:semiHidden/>
    <w:rsid w:val="0089542D"/>
    <w:rPr>
      <w:sz w:val="20"/>
      <w:szCs w:val="20"/>
    </w:rPr>
  </w:style>
  <w:style w:type="paragraph" w:styleId="CommentSubject">
    <w:name w:val="annotation subject"/>
    <w:basedOn w:val="CommentText"/>
    <w:next w:val="CommentText"/>
    <w:link w:val="CommentSubjectChar"/>
    <w:uiPriority w:val="99"/>
    <w:semiHidden/>
    <w:unhideWhenUsed/>
    <w:rsid w:val="0089542D"/>
    <w:rPr>
      <w:b/>
      <w:bCs/>
    </w:rPr>
  </w:style>
  <w:style w:type="character" w:customStyle="1" w:styleId="CommentSubjectChar">
    <w:name w:val="Comment Subject Char"/>
    <w:basedOn w:val="CommentTextChar"/>
    <w:link w:val="CommentSubject"/>
    <w:uiPriority w:val="99"/>
    <w:semiHidden/>
    <w:rsid w:val="0089542D"/>
    <w:rPr>
      <w:b/>
      <w:bCs/>
      <w:sz w:val="20"/>
      <w:szCs w:val="20"/>
    </w:rPr>
  </w:style>
  <w:style w:type="character" w:customStyle="1" w:styleId="Heading1Char">
    <w:name w:val="Heading 1 Char"/>
    <w:basedOn w:val="DefaultParagraphFont"/>
    <w:link w:val="Heading1"/>
    <w:uiPriority w:val="9"/>
    <w:rsid w:val="00332190"/>
    <w:rPr>
      <w:rFonts w:asciiTheme="majorHAnsi" w:eastAsiaTheme="majorEastAsia" w:hAnsiTheme="majorHAnsi" w:cstheme="majorBidi"/>
      <w:color w:val="2F5496" w:themeColor="accent1" w:themeShade="BF"/>
      <w:sz w:val="32"/>
    </w:rPr>
  </w:style>
  <w:style w:type="paragraph" w:styleId="TOCHeading">
    <w:name w:val="TOC Heading"/>
    <w:basedOn w:val="Heading1"/>
    <w:next w:val="Normal"/>
    <w:uiPriority w:val="39"/>
    <w:unhideWhenUsed/>
    <w:qFormat/>
    <w:rsid w:val="00332190"/>
    <w:pPr>
      <w:outlineLvl w:val="9"/>
    </w:pPr>
    <w:rPr>
      <w:lang w:val="en-US"/>
    </w:rPr>
  </w:style>
  <w:style w:type="paragraph" w:styleId="TOC1">
    <w:name w:val="toc 1"/>
    <w:basedOn w:val="Normal"/>
    <w:next w:val="Normal"/>
    <w:autoRedefine/>
    <w:uiPriority w:val="39"/>
    <w:unhideWhenUsed/>
    <w:rsid w:val="00332190"/>
    <w:pPr>
      <w:spacing w:after="100"/>
    </w:pPr>
  </w:style>
  <w:style w:type="character" w:customStyle="1" w:styleId="Heading2Char">
    <w:name w:val="Heading 2 Char"/>
    <w:basedOn w:val="DefaultParagraphFont"/>
    <w:link w:val="Heading2"/>
    <w:uiPriority w:val="9"/>
    <w:rsid w:val="008E32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76E21"/>
    <w:pPr>
      <w:spacing w:after="100"/>
      <w:ind w:left="240"/>
    </w:pPr>
  </w:style>
  <w:style w:type="paragraph" w:styleId="Revision">
    <w:name w:val="Revision"/>
    <w:hidden/>
    <w:uiPriority w:val="99"/>
    <w:semiHidden/>
    <w:rsid w:val="00213FB0"/>
    <w:pPr>
      <w:spacing w:after="0" w:line="240" w:lineRule="auto"/>
    </w:pPr>
  </w:style>
  <w:style w:type="numbering" w:customStyle="1" w:styleId="CurrentList1">
    <w:name w:val="Current List1"/>
    <w:uiPriority w:val="99"/>
    <w:rsid w:val="00895B88"/>
    <w:pPr>
      <w:numPr>
        <w:numId w:val="19"/>
      </w:numPr>
    </w:pPr>
  </w:style>
  <w:style w:type="numbering" w:customStyle="1" w:styleId="CurrentList2">
    <w:name w:val="Current List2"/>
    <w:uiPriority w:val="99"/>
    <w:rsid w:val="00895B88"/>
    <w:pPr>
      <w:numPr>
        <w:numId w:val="20"/>
      </w:numPr>
    </w:pPr>
  </w:style>
  <w:style w:type="numbering" w:customStyle="1" w:styleId="CurrentList3">
    <w:name w:val="Current List3"/>
    <w:uiPriority w:val="99"/>
    <w:rsid w:val="00895B88"/>
    <w:pPr>
      <w:numPr>
        <w:numId w:val="21"/>
      </w:numPr>
    </w:pPr>
  </w:style>
  <w:style w:type="numbering" w:customStyle="1" w:styleId="CurrentList4">
    <w:name w:val="Current List4"/>
    <w:uiPriority w:val="99"/>
    <w:rsid w:val="00895B8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852">
      <w:bodyDiv w:val="1"/>
      <w:marLeft w:val="0"/>
      <w:marRight w:val="0"/>
      <w:marTop w:val="0"/>
      <w:marBottom w:val="0"/>
      <w:divBdr>
        <w:top w:val="none" w:sz="0" w:space="0" w:color="auto"/>
        <w:left w:val="none" w:sz="0" w:space="0" w:color="auto"/>
        <w:bottom w:val="none" w:sz="0" w:space="0" w:color="auto"/>
        <w:right w:val="none" w:sz="0" w:space="0" w:color="auto"/>
      </w:divBdr>
    </w:div>
    <w:div w:id="426384172">
      <w:bodyDiv w:val="1"/>
      <w:marLeft w:val="0"/>
      <w:marRight w:val="0"/>
      <w:marTop w:val="0"/>
      <w:marBottom w:val="0"/>
      <w:divBdr>
        <w:top w:val="none" w:sz="0" w:space="0" w:color="auto"/>
        <w:left w:val="none" w:sz="0" w:space="0" w:color="auto"/>
        <w:bottom w:val="none" w:sz="0" w:space="0" w:color="auto"/>
        <w:right w:val="none" w:sz="0" w:space="0" w:color="auto"/>
      </w:divBdr>
    </w:div>
    <w:div w:id="2023581645">
      <w:bodyDiv w:val="1"/>
      <w:marLeft w:val="0"/>
      <w:marRight w:val="0"/>
      <w:marTop w:val="0"/>
      <w:marBottom w:val="0"/>
      <w:divBdr>
        <w:top w:val="none" w:sz="0" w:space="0" w:color="auto"/>
        <w:left w:val="none" w:sz="0" w:space="0" w:color="auto"/>
        <w:bottom w:val="none" w:sz="0" w:space="0" w:color="auto"/>
        <w:right w:val="none" w:sz="0" w:space="0" w:color="auto"/>
      </w:divBdr>
    </w:div>
    <w:div w:id="203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 C T A c t i v e ! 5 4 4 0 1 0 8 . 1 < / d o c u m e n t i d >  
     < s e n d e r i d > A R A M R O O P < / s e n d e r i d >  
     < s e n d e r e m a i l > A A N I S A H . R A M R O O P @ B O W M A N S L A W . C O M < / s e n d e r e m a i l >  
     < l a s t m o d i f i e d > 2 0 2 4 - 0 1 - 2 4 T 1 0 : 0 6 : 0 0 . 0 0 0 0 0 0 0 + 0 2 : 0 0 < / l a s t m o d i f i e d >  
     < d a t a b a s e > C T A c t i v e 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C9F0-EB83-42F0-8E4A-EA8F599807EF}">
  <ds:schemaRefs>
    <ds:schemaRef ds:uri="http://www.imanage.com/work/xmlschema"/>
  </ds:schemaRefs>
</ds:datastoreItem>
</file>

<file path=customXml/itemProps2.xml><?xml version="1.0" encoding="utf-8"?>
<ds:datastoreItem xmlns:ds="http://schemas.openxmlformats.org/officeDocument/2006/customXml" ds:itemID="{05D2C78B-9E5D-47BB-9B94-C40127B2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Katz SC</dc:creator>
  <cp:keywords/>
  <dc:description/>
  <cp:lastModifiedBy>Mary Bruce</cp:lastModifiedBy>
  <cp:revision>3</cp:revision>
  <cp:lastPrinted>2024-02-19T08:21:00Z</cp:lastPrinted>
  <dcterms:created xsi:type="dcterms:W3CDTF">2024-02-20T06:47:00Z</dcterms:created>
  <dcterms:modified xsi:type="dcterms:W3CDTF">2024-02-22T11:34:00Z</dcterms:modified>
</cp:coreProperties>
</file>