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E724" w14:textId="77777777" w:rsidR="00FD32D6" w:rsidRPr="00B70E14" w:rsidRDefault="00FD32D6" w:rsidP="00FD32D6">
      <w:pPr>
        <w:jc w:val="center"/>
        <w:rPr>
          <w:rFonts w:eastAsia="Calibri"/>
        </w:rPr>
      </w:pPr>
      <w:bookmarkStart w:id="0" w:name="_GoBack"/>
      <w:bookmarkEnd w:id="0"/>
      <w:r w:rsidRPr="00B70E14">
        <w:rPr>
          <w:rFonts w:ascii="Calibri" w:eastAsia="Calibri" w:hAnsi="Calibri" w:cs="Times New Roman"/>
          <w:noProof/>
          <w:lang w:eastAsia="en-ZA"/>
        </w:rPr>
        <w:drawing>
          <wp:inline distT="0" distB="0" distL="0" distR="0" wp14:anchorId="6DA30CDF" wp14:editId="2331B948">
            <wp:extent cx="1200150" cy="1609725"/>
            <wp:effectExtent l="0" t="0" r="0" b="9525"/>
            <wp:docPr id="1" name="Picture 1" descr="Description: cid:image001.png@01D297F1.1FE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297F1.1FEB9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14:paraId="2AD70B6C" w14:textId="77777777" w:rsidR="00FD32D6" w:rsidRPr="00B70E14" w:rsidRDefault="00FD32D6" w:rsidP="00397BD3">
      <w:pPr>
        <w:spacing w:line="480" w:lineRule="auto"/>
        <w:jc w:val="center"/>
        <w:rPr>
          <w:rFonts w:eastAsia="Calibri"/>
          <w:b/>
          <w:sz w:val="24"/>
          <w:szCs w:val="24"/>
          <w:lang w:val="en-GB"/>
        </w:rPr>
      </w:pPr>
      <w:r w:rsidRPr="00B70E14">
        <w:rPr>
          <w:rFonts w:ascii="Arial Narrow" w:eastAsia="Calibri" w:hAnsi="Arial Narrow" w:cs="Times New Roman"/>
          <w:sz w:val="24"/>
          <w:szCs w:val="24"/>
          <w:lang w:val="en-GB"/>
        </w:rPr>
        <w:t xml:space="preserve">     </w:t>
      </w:r>
      <w:r w:rsidRPr="00B70E14">
        <w:rPr>
          <w:rFonts w:ascii="Arial Narrow" w:eastAsia="Calibri" w:hAnsi="Arial Narrow" w:cs="Times New Roman"/>
          <w:b/>
          <w:sz w:val="24"/>
          <w:szCs w:val="24"/>
          <w:lang w:val="en-GB"/>
        </w:rPr>
        <w:t xml:space="preserve">   </w:t>
      </w:r>
      <w:r w:rsidRPr="00B70E14">
        <w:rPr>
          <w:rFonts w:eastAsia="Calibri"/>
          <w:b/>
          <w:sz w:val="24"/>
          <w:szCs w:val="24"/>
          <w:lang w:val="en-GB"/>
        </w:rPr>
        <w:t>IN THE HIGH COURT OF SOUTH AFRICA</w:t>
      </w:r>
    </w:p>
    <w:p w14:paraId="16DE02AE" w14:textId="77777777" w:rsidR="00FD32D6" w:rsidRPr="00B70E14" w:rsidRDefault="00FD32D6" w:rsidP="00397BD3">
      <w:pPr>
        <w:tabs>
          <w:tab w:val="center" w:pos="4513"/>
          <w:tab w:val="right" w:pos="9026"/>
        </w:tabs>
        <w:spacing w:line="480" w:lineRule="auto"/>
        <w:jc w:val="center"/>
        <w:rPr>
          <w:rFonts w:eastAsia="Calibri"/>
          <w:b/>
          <w:sz w:val="24"/>
          <w:szCs w:val="24"/>
          <w:lang w:val="en-GB"/>
        </w:rPr>
      </w:pPr>
      <w:r w:rsidRPr="00B70E14">
        <w:rPr>
          <w:rFonts w:eastAsia="Calibri"/>
          <w:b/>
          <w:sz w:val="24"/>
          <w:szCs w:val="24"/>
          <w:lang w:val="en-GB"/>
        </w:rPr>
        <w:t xml:space="preserve">      (WESTERN CAPE DIVISION, CAPE TOWN)</w:t>
      </w:r>
    </w:p>
    <w:p w14:paraId="5E199BE2" w14:textId="749F7F5F" w:rsidR="00FD32D6" w:rsidRPr="00C97579" w:rsidRDefault="00C97579" w:rsidP="00C97579">
      <w:pPr>
        <w:tabs>
          <w:tab w:val="center" w:pos="4513"/>
          <w:tab w:val="right" w:pos="9026"/>
        </w:tabs>
        <w:spacing w:line="480" w:lineRule="auto"/>
        <w:jc w:val="right"/>
        <w:rPr>
          <w:rFonts w:eastAsia="Calibri"/>
          <w:b/>
          <w:sz w:val="24"/>
          <w:szCs w:val="24"/>
          <w:u w:val="single"/>
          <w:lang w:val="en-GB"/>
        </w:rPr>
      </w:pPr>
      <w:r>
        <w:rPr>
          <w:rFonts w:eastAsia="Calibri"/>
          <w:b/>
          <w:sz w:val="24"/>
          <w:szCs w:val="24"/>
          <w:u w:val="single"/>
          <w:lang w:val="en-GB"/>
        </w:rPr>
        <w:t>REPORTABLE</w:t>
      </w:r>
    </w:p>
    <w:p w14:paraId="177E22AB" w14:textId="37FB44C1" w:rsidR="00FD32D6" w:rsidRPr="00397BD3" w:rsidRDefault="00932081" w:rsidP="00397BD3">
      <w:pPr>
        <w:tabs>
          <w:tab w:val="center" w:pos="4513"/>
          <w:tab w:val="right" w:pos="9026"/>
        </w:tabs>
        <w:spacing w:line="480" w:lineRule="auto"/>
        <w:rPr>
          <w:rFonts w:ascii="Arial" w:eastAsia="Calibri" w:hAnsi="Arial" w:cs="Arial"/>
          <w:b/>
          <w:sz w:val="24"/>
          <w:szCs w:val="24"/>
          <w:lang w:val="en-GB"/>
        </w:rPr>
      </w:pP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00FD32D6" w:rsidRPr="00397BD3">
        <w:rPr>
          <w:rFonts w:ascii="Arial" w:eastAsia="Calibri" w:hAnsi="Arial" w:cs="Arial"/>
          <w:sz w:val="24"/>
          <w:szCs w:val="24"/>
          <w:lang w:val="en-GB"/>
        </w:rPr>
        <w:t xml:space="preserve">Case No.: </w:t>
      </w:r>
      <w:r w:rsidR="00FD32D6" w:rsidRPr="00397BD3">
        <w:rPr>
          <w:rFonts w:ascii="Arial" w:eastAsia="Calibri" w:hAnsi="Arial" w:cs="Arial"/>
          <w:b/>
          <w:sz w:val="24"/>
          <w:szCs w:val="24"/>
          <w:lang w:val="en-GB"/>
        </w:rPr>
        <w:t>A230/2023</w:t>
      </w:r>
    </w:p>
    <w:p w14:paraId="5D04AD5F" w14:textId="77777777" w:rsidR="00FD32D6" w:rsidRPr="00397BD3" w:rsidRDefault="00FD32D6" w:rsidP="00397BD3">
      <w:pPr>
        <w:tabs>
          <w:tab w:val="center" w:pos="4513"/>
          <w:tab w:val="right" w:pos="9026"/>
        </w:tabs>
        <w:spacing w:line="480" w:lineRule="auto"/>
        <w:rPr>
          <w:rFonts w:ascii="Arial" w:eastAsia="Calibri" w:hAnsi="Arial" w:cs="Arial"/>
          <w:sz w:val="24"/>
          <w:szCs w:val="24"/>
          <w:lang w:val="en-GB"/>
        </w:rPr>
      </w:pPr>
    </w:p>
    <w:p w14:paraId="177BF8A5" w14:textId="77777777" w:rsidR="00FD32D6" w:rsidRPr="00397BD3" w:rsidRDefault="00FD32D6" w:rsidP="00397BD3">
      <w:pPr>
        <w:tabs>
          <w:tab w:val="center" w:pos="4513"/>
          <w:tab w:val="right" w:pos="9026"/>
        </w:tabs>
        <w:spacing w:line="480" w:lineRule="auto"/>
        <w:rPr>
          <w:rFonts w:ascii="Arial" w:eastAsia="Calibri" w:hAnsi="Arial" w:cs="Arial"/>
          <w:sz w:val="24"/>
          <w:szCs w:val="24"/>
          <w:lang w:val="en-GB"/>
        </w:rPr>
      </w:pPr>
      <w:r w:rsidRPr="00397BD3">
        <w:rPr>
          <w:rFonts w:ascii="Arial" w:eastAsia="Calibri" w:hAnsi="Arial" w:cs="Arial"/>
          <w:sz w:val="24"/>
          <w:szCs w:val="24"/>
          <w:lang w:val="en-GB"/>
        </w:rPr>
        <w:t xml:space="preserve">In the matter between:  </w:t>
      </w:r>
    </w:p>
    <w:p w14:paraId="061A36FC" w14:textId="4C0534A8"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b/>
          <w:sz w:val="24"/>
          <w:szCs w:val="24"/>
          <w:lang w:val="en-GB"/>
        </w:rPr>
        <w:t>PEARL RAKEN</w:t>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t xml:space="preserve"> </w:t>
      </w:r>
      <w:r w:rsidR="00932081" w:rsidRPr="00397BD3">
        <w:rPr>
          <w:rFonts w:ascii="Arial" w:eastAsia="Calibri" w:hAnsi="Arial" w:cs="Arial"/>
          <w:b/>
          <w:sz w:val="24"/>
          <w:szCs w:val="24"/>
          <w:lang w:val="en-GB"/>
        </w:rPr>
        <w:tab/>
      </w:r>
      <w:r w:rsidR="00932081"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sz w:val="24"/>
          <w:szCs w:val="24"/>
          <w:lang w:val="en-GB"/>
        </w:rPr>
        <w:t>Appellant</w:t>
      </w:r>
    </w:p>
    <w:p w14:paraId="67F83EED" w14:textId="3C0C5E4E"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v</w:t>
      </w:r>
    </w:p>
    <w:p w14:paraId="39930BB9" w14:textId="3369CA89" w:rsidR="00FD32D6" w:rsidRPr="00397BD3" w:rsidRDefault="00932081" w:rsidP="00397BD3">
      <w:pPr>
        <w:spacing w:after="200" w:line="480" w:lineRule="auto"/>
        <w:jc w:val="both"/>
        <w:rPr>
          <w:rFonts w:ascii="Arial" w:eastAsia="Calibri" w:hAnsi="Arial" w:cs="Arial"/>
          <w:sz w:val="24"/>
          <w:szCs w:val="24"/>
          <w:lang w:val="en-GB"/>
        </w:rPr>
      </w:pPr>
      <w:r w:rsidRPr="00397BD3">
        <w:rPr>
          <w:rFonts w:ascii="Arial" w:eastAsia="Calibri" w:hAnsi="Arial" w:cs="Arial"/>
          <w:b/>
          <w:sz w:val="24"/>
          <w:szCs w:val="24"/>
          <w:lang w:val="en-GB"/>
        </w:rPr>
        <w:t xml:space="preserve">BRADLEY </w:t>
      </w:r>
      <w:r w:rsidR="005D0917">
        <w:rPr>
          <w:rFonts w:ascii="Arial" w:eastAsia="Calibri" w:hAnsi="Arial" w:cs="Arial"/>
          <w:b/>
          <w:sz w:val="24"/>
          <w:szCs w:val="24"/>
          <w:lang w:val="en-GB"/>
        </w:rPr>
        <w:t xml:space="preserve">J </w:t>
      </w:r>
      <w:r w:rsidRPr="00397BD3">
        <w:rPr>
          <w:rFonts w:ascii="Arial" w:eastAsia="Calibri" w:hAnsi="Arial" w:cs="Arial"/>
          <w:b/>
          <w:sz w:val="24"/>
          <w:szCs w:val="24"/>
          <w:lang w:val="en-GB"/>
        </w:rPr>
        <w:t>STERN</w:t>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00FD32D6" w:rsidRPr="00397BD3">
        <w:rPr>
          <w:rFonts w:ascii="Arial" w:eastAsia="Calibri" w:hAnsi="Arial" w:cs="Arial"/>
          <w:b/>
          <w:sz w:val="24"/>
          <w:szCs w:val="24"/>
          <w:lang w:val="en-GB"/>
        </w:rPr>
        <w:t xml:space="preserve"> </w:t>
      </w:r>
      <w:r w:rsidR="00FD32D6" w:rsidRPr="00397BD3">
        <w:rPr>
          <w:rFonts w:ascii="Arial" w:eastAsia="Calibri" w:hAnsi="Arial" w:cs="Arial"/>
          <w:b/>
          <w:sz w:val="24"/>
          <w:szCs w:val="24"/>
          <w:lang w:val="en-GB"/>
        </w:rPr>
        <w:tab/>
      </w:r>
      <w:r w:rsidR="00FD32D6" w:rsidRPr="00397BD3">
        <w:rPr>
          <w:rFonts w:ascii="Arial" w:eastAsia="Calibri" w:hAnsi="Arial" w:cs="Arial"/>
          <w:sz w:val="24"/>
          <w:szCs w:val="24"/>
          <w:lang w:val="en-GB"/>
        </w:rPr>
        <w:tab/>
      </w:r>
      <w:r w:rsidR="00FD32D6" w:rsidRPr="00397BD3">
        <w:rPr>
          <w:rFonts w:ascii="Arial" w:eastAsia="Calibri" w:hAnsi="Arial" w:cs="Arial"/>
          <w:sz w:val="24"/>
          <w:szCs w:val="24"/>
          <w:lang w:val="en-GB"/>
        </w:rPr>
        <w:tab/>
        <w:t>1</w:t>
      </w:r>
      <w:r w:rsidR="00FD32D6" w:rsidRPr="00397BD3">
        <w:rPr>
          <w:rFonts w:ascii="Arial" w:eastAsia="Calibri" w:hAnsi="Arial" w:cs="Arial"/>
          <w:sz w:val="24"/>
          <w:szCs w:val="24"/>
          <w:vertAlign w:val="superscript"/>
          <w:lang w:val="en-GB"/>
        </w:rPr>
        <w:t>st</w:t>
      </w:r>
      <w:r w:rsidR="00FD32D6" w:rsidRPr="00397BD3">
        <w:rPr>
          <w:rFonts w:ascii="Arial" w:eastAsia="Calibri" w:hAnsi="Arial" w:cs="Arial"/>
          <w:sz w:val="24"/>
          <w:szCs w:val="24"/>
          <w:lang w:val="en-GB"/>
        </w:rPr>
        <w:t xml:space="preserve"> Respondent</w:t>
      </w:r>
    </w:p>
    <w:p w14:paraId="788F5840" w14:textId="07D96A00" w:rsidR="00FD32D6" w:rsidRPr="00397BD3" w:rsidRDefault="00932081" w:rsidP="00397BD3">
      <w:pPr>
        <w:spacing w:after="200" w:line="480" w:lineRule="auto"/>
        <w:jc w:val="both"/>
        <w:rPr>
          <w:rFonts w:ascii="Arial" w:eastAsia="Calibri" w:hAnsi="Arial" w:cs="Arial"/>
          <w:sz w:val="24"/>
          <w:szCs w:val="24"/>
          <w:lang w:val="en-GB"/>
        </w:rPr>
      </w:pPr>
      <w:r w:rsidRPr="00397BD3">
        <w:rPr>
          <w:rFonts w:ascii="Arial" w:eastAsia="Calibri" w:hAnsi="Arial" w:cs="Arial"/>
          <w:b/>
          <w:sz w:val="24"/>
          <w:szCs w:val="24"/>
          <w:lang w:val="en-GB"/>
        </w:rPr>
        <w:t>MICA C STERN</w:t>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Pr="00397BD3">
        <w:rPr>
          <w:rFonts w:ascii="Arial" w:eastAsia="Calibri" w:hAnsi="Arial" w:cs="Arial"/>
          <w:b/>
          <w:sz w:val="24"/>
          <w:szCs w:val="24"/>
          <w:lang w:val="en-GB"/>
        </w:rPr>
        <w:tab/>
      </w:r>
      <w:r w:rsidR="00FD32D6" w:rsidRPr="00397BD3">
        <w:rPr>
          <w:rFonts w:ascii="Arial" w:eastAsia="Calibri" w:hAnsi="Arial" w:cs="Arial"/>
          <w:sz w:val="24"/>
          <w:szCs w:val="24"/>
          <w:lang w:val="en-GB"/>
        </w:rPr>
        <w:tab/>
      </w:r>
      <w:r w:rsidR="00FD32D6" w:rsidRPr="00397BD3">
        <w:rPr>
          <w:rFonts w:ascii="Arial" w:eastAsia="Calibri" w:hAnsi="Arial" w:cs="Arial"/>
          <w:sz w:val="24"/>
          <w:szCs w:val="24"/>
          <w:lang w:val="en-GB"/>
        </w:rPr>
        <w:tab/>
        <w:t>2</w:t>
      </w:r>
      <w:r w:rsidR="00FD32D6" w:rsidRPr="00397BD3">
        <w:rPr>
          <w:rFonts w:ascii="Arial" w:eastAsia="Calibri" w:hAnsi="Arial" w:cs="Arial"/>
          <w:sz w:val="24"/>
          <w:szCs w:val="24"/>
          <w:vertAlign w:val="superscript"/>
          <w:lang w:val="en-GB"/>
        </w:rPr>
        <w:t>nd</w:t>
      </w:r>
      <w:r w:rsidR="00FD32D6" w:rsidRPr="00397BD3">
        <w:rPr>
          <w:rFonts w:ascii="Arial" w:eastAsia="Calibri" w:hAnsi="Arial" w:cs="Arial"/>
          <w:sz w:val="24"/>
          <w:szCs w:val="24"/>
          <w:lang w:val="en-GB"/>
        </w:rPr>
        <w:t xml:space="preserve"> Respondent</w:t>
      </w:r>
    </w:p>
    <w:p w14:paraId="0429AE36" w14:textId="77777777" w:rsidR="00FD32D6" w:rsidRPr="00397BD3" w:rsidRDefault="00FD32D6" w:rsidP="00397BD3">
      <w:pPr>
        <w:pBdr>
          <w:bottom w:val="single" w:sz="12" w:space="1" w:color="auto"/>
        </w:pBdr>
        <w:spacing w:after="200" w:line="480" w:lineRule="auto"/>
        <w:jc w:val="both"/>
        <w:rPr>
          <w:rFonts w:ascii="Arial" w:eastAsia="Calibri" w:hAnsi="Arial" w:cs="Arial"/>
          <w:sz w:val="24"/>
          <w:szCs w:val="24"/>
          <w:lang w:val="en-GB"/>
        </w:rPr>
      </w:pPr>
    </w:p>
    <w:p w14:paraId="4523DE76" w14:textId="77777777" w:rsidR="00932081" w:rsidRPr="00397BD3" w:rsidRDefault="00932081" w:rsidP="00397BD3">
      <w:pPr>
        <w:spacing w:after="0" w:line="480" w:lineRule="auto"/>
        <w:jc w:val="both"/>
        <w:rPr>
          <w:rFonts w:ascii="Arial" w:eastAsia="Calibri" w:hAnsi="Arial" w:cs="Arial"/>
          <w:sz w:val="24"/>
          <w:szCs w:val="24"/>
          <w:lang w:val="en-GB"/>
        </w:rPr>
      </w:pPr>
    </w:p>
    <w:p w14:paraId="4E0CF029" w14:textId="1802F955"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Coram</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t>:</w:t>
      </w:r>
      <w:r w:rsidRPr="00397BD3">
        <w:rPr>
          <w:rFonts w:ascii="Arial" w:eastAsia="Calibri" w:hAnsi="Arial" w:cs="Arial"/>
          <w:sz w:val="24"/>
          <w:szCs w:val="24"/>
          <w:lang w:val="en-GB"/>
        </w:rPr>
        <w:tab/>
        <w:t>Salie, J</w:t>
      </w:r>
      <w:r w:rsidR="00932081" w:rsidRPr="00397BD3">
        <w:rPr>
          <w:rFonts w:ascii="Arial" w:eastAsia="Calibri" w:hAnsi="Arial" w:cs="Arial"/>
          <w:sz w:val="24"/>
          <w:szCs w:val="24"/>
          <w:lang w:val="en-GB"/>
        </w:rPr>
        <w:t xml:space="preserve"> et Bhoopchand, AJ</w:t>
      </w:r>
    </w:p>
    <w:p w14:paraId="6166249E" w14:textId="6C0F8918"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Date of Hearing</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t>:</w:t>
      </w:r>
      <w:r w:rsidRPr="00397BD3">
        <w:rPr>
          <w:rFonts w:ascii="Arial" w:eastAsia="Calibri" w:hAnsi="Arial" w:cs="Arial"/>
          <w:sz w:val="24"/>
          <w:szCs w:val="24"/>
          <w:lang w:val="en-GB"/>
        </w:rPr>
        <w:tab/>
      </w:r>
      <w:r w:rsidR="00932081" w:rsidRPr="00397BD3">
        <w:rPr>
          <w:rFonts w:ascii="Arial" w:eastAsia="Calibri" w:hAnsi="Arial" w:cs="Arial"/>
          <w:sz w:val="24"/>
          <w:szCs w:val="24"/>
          <w:lang w:val="en-GB"/>
        </w:rPr>
        <w:t>16 February 2024</w:t>
      </w:r>
    </w:p>
    <w:p w14:paraId="2697A56E" w14:textId="051955CC"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Date of Judgment</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t>:</w:t>
      </w:r>
      <w:r w:rsidRPr="00397BD3">
        <w:rPr>
          <w:rFonts w:ascii="Arial" w:eastAsia="Calibri" w:hAnsi="Arial" w:cs="Arial"/>
          <w:sz w:val="24"/>
          <w:szCs w:val="24"/>
          <w:lang w:val="en-GB"/>
        </w:rPr>
        <w:tab/>
      </w:r>
      <w:r w:rsidR="00932081" w:rsidRPr="00397BD3">
        <w:rPr>
          <w:rFonts w:ascii="Arial" w:eastAsia="Calibri" w:hAnsi="Arial" w:cs="Arial"/>
          <w:sz w:val="24"/>
          <w:szCs w:val="24"/>
          <w:lang w:val="en-GB"/>
        </w:rPr>
        <w:t>16 February 2024</w:t>
      </w:r>
    </w:p>
    <w:p w14:paraId="22B2333F" w14:textId="0340FB81" w:rsidR="00FD32D6" w:rsidRPr="00397BD3" w:rsidRDefault="00932081"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For Appellant</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00FD32D6" w:rsidRPr="00397BD3">
        <w:rPr>
          <w:rFonts w:ascii="Arial" w:eastAsia="Calibri" w:hAnsi="Arial" w:cs="Arial"/>
          <w:sz w:val="24"/>
          <w:szCs w:val="24"/>
          <w:lang w:val="en-GB"/>
        </w:rPr>
        <w:tab/>
      </w:r>
      <w:r w:rsidR="00FD32D6" w:rsidRPr="00397BD3">
        <w:rPr>
          <w:rFonts w:ascii="Arial" w:eastAsia="Calibri" w:hAnsi="Arial" w:cs="Arial"/>
          <w:sz w:val="24"/>
          <w:szCs w:val="24"/>
          <w:lang w:val="en-GB"/>
        </w:rPr>
        <w:tab/>
      </w:r>
      <w:r w:rsidR="00FD32D6" w:rsidRPr="00397BD3">
        <w:rPr>
          <w:rFonts w:ascii="Arial" w:eastAsia="Calibri" w:hAnsi="Arial" w:cs="Arial"/>
          <w:sz w:val="24"/>
          <w:szCs w:val="24"/>
          <w:lang w:val="en-GB"/>
        </w:rPr>
        <w:tab/>
        <w:t>:</w:t>
      </w:r>
      <w:r w:rsidR="00FD32D6" w:rsidRPr="00397BD3">
        <w:rPr>
          <w:rFonts w:ascii="Arial" w:eastAsia="Calibri" w:hAnsi="Arial" w:cs="Arial"/>
          <w:sz w:val="24"/>
          <w:szCs w:val="24"/>
          <w:lang w:val="en-GB"/>
        </w:rPr>
        <w:tab/>
      </w:r>
      <w:r w:rsidRPr="00397BD3">
        <w:rPr>
          <w:rFonts w:ascii="Arial" w:eastAsia="Calibri" w:hAnsi="Arial" w:cs="Arial"/>
          <w:sz w:val="24"/>
          <w:szCs w:val="24"/>
          <w:lang w:val="en-GB"/>
        </w:rPr>
        <w:t>In Person</w:t>
      </w:r>
    </w:p>
    <w:p w14:paraId="652200AE" w14:textId="15F2ACA4"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lastRenderedPageBreak/>
        <w:t xml:space="preserve">Counsel </w:t>
      </w:r>
      <w:r w:rsidR="00932081" w:rsidRPr="00397BD3">
        <w:rPr>
          <w:rFonts w:ascii="Arial" w:eastAsia="Calibri" w:hAnsi="Arial" w:cs="Arial"/>
          <w:sz w:val="24"/>
          <w:szCs w:val="24"/>
          <w:lang w:val="en-GB"/>
        </w:rPr>
        <w:t xml:space="preserve">for </w:t>
      </w:r>
      <w:r w:rsidRPr="00397BD3">
        <w:rPr>
          <w:rFonts w:ascii="Arial" w:eastAsia="Calibri" w:hAnsi="Arial" w:cs="Arial"/>
          <w:sz w:val="24"/>
          <w:szCs w:val="24"/>
          <w:lang w:val="en-GB"/>
        </w:rPr>
        <w:t>Respondents</w:t>
      </w:r>
      <w:r w:rsidRPr="00397BD3">
        <w:rPr>
          <w:rFonts w:ascii="Arial" w:eastAsia="Calibri" w:hAnsi="Arial" w:cs="Arial"/>
          <w:sz w:val="24"/>
          <w:szCs w:val="24"/>
          <w:lang w:val="en-GB"/>
        </w:rPr>
        <w:tab/>
      </w:r>
      <w:r w:rsidR="00932081" w:rsidRPr="00397BD3">
        <w:rPr>
          <w:rFonts w:ascii="Arial" w:eastAsia="Calibri" w:hAnsi="Arial" w:cs="Arial"/>
          <w:sz w:val="24"/>
          <w:szCs w:val="24"/>
          <w:lang w:val="en-GB"/>
        </w:rPr>
        <w:tab/>
      </w:r>
      <w:r w:rsidR="00932081" w:rsidRPr="00397BD3">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t xml:space="preserve">Adv. </w:t>
      </w:r>
      <w:r w:rsidR="00932081" w:rsidRPr="00397BD3">
        <w:rPr>
          <w:rFonts w:ascii="Arial" w:eastAsia="Calibri" w:hAnsi="Arial" w:cs="Arial"/>
          <w:sz w:val="24"/>
          <w:szCs w:val="24"/>
          <w:lang w:val="en-GB"/>
        </w:rPr>
        <w:t>D Goldberg</w:t>
      </w:r>
    </w:p>
    <w:p w14:paraId="4479D635" w14:textId="12AFCE9B" w:rsidR="00FD32D6" w:rsidRPr="00397BD3" w:rsidRDefault="00FD32D6" w:rsidP="00397BD3">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Instructed by</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t>:</w:t>
      </w:r>
      <w:r w:rsidRPr="00397BD3">
        <w:rPr>
          <w:rFonts w:ascii="Arial" w:eastAsia="Calibri" w:hAnsi="Arial" w:cs="Arial"/>
          <w:sz w:val="24"/>
          <w:szCs w:val="24"/>
          <w:lang w:val="en-GB"/>
        </w:rPr>
        <w:tab/>
      </w:r>
      <w:r w:rsidR="00932081" w:rsidRPr="00397BD3">
        <w:rPr>
          <w:rFonts w:ascii="Arial" w:eastAsia="Calibri" w:hAnsi="Arial" w:cs="Arial"/>
          <w:sz w:val="24"/>
          <w:szCs w:val="24"/>
          <w:lang w:val="en-GB"/>
        </w:rPr>
        <w:t>Rubenstein Attorneys</w:t>
      </w:r>
    </w:p>
    <w:p w14:paraId="33AC26D8" w14:textId="77777777" w:rsidR="00FD32D6" w:rsidRPr="00397BD3" w:rsidRDefault="00FD32D6" w:rsidP="00397BD3">
      <w:pPr>
        <w:pBdr>
          <w:bottom w:val="single" w:sz="12" w:space="1" w:color="auto"/>
        </w:pBdr>
        <w:spacing w:after="0" w:line="240" w:lineRule="auto"/>
        <w:jc w:val="both"/>
        <w:rPr>
          <w:rFonts w:ascii="Arial" w:eastAsia="Calibri" w:hAnsi="Arial" w:cs="Arial"/>
          <w:sz w:val="24"/>
          <w:szCs w:val="24"/>
          <w:lang w:val="en-GB"/>
        </w:rPr>
      </w:pPr>
    </w:p>
    <w:p w14:paraId="6E5AED0E" w14:textId="77777777" w:rsidR="00FD32D6" w:rsidRPr="00397BD3" w:rsidRDefault="00FD32D6" w:rsidP="00397BD3">
      <w:pPr>
        <w:spacing w:after="0" w:line="240" w:lineRule="auto"/>
        <w:jc w:val="center"/>
        <w:rPr>
          <w:rFonts w:ascii="Arial" w:eastAsia="Calibri" w:hAnsi="Arial" w:cs="Arial"/>
          <w:b/>
          <w:sz w:val="24"/>
          <w:szCs w:val="24"/>
          <w:lang w:val="en-GB"/>
        </w:rPr>
      </w:pPr>
    </w:p>
    <w:p w14:paraId="314521F5" w14:textId="4EA941DC" w:rsidR="00FD32D6" w:rsidRPr="00397BD3" w:rsidRDefault="00FD32D6" w:rsidP="00397BD3">
      <w:pPr>
        <w:pBdr>
          <w:bottom w:val="single" w:sz="12" w:space="1" w:color="auto"/>
        </w:pBdr>
        <w:spacing w:after="0" w:line="240" w:lineRule="auto"/>
        <w:jc w:val="center"/>
        <w:rPr>
          <w:rFonts w:ascii="Arial" w:eastAsia="Calibri" w:hAnsi="Arial" w:cs="Arial"/>
          <w:b/>
          <w:sz w:val="24"/>
          <w:szCs w:val="24"/>
          <w:lang w:val="en-GB"/>
        </w:rPr>
      </w:pPr>
      <w:r w:rsidRPr="00397BD3">
        <w:rPr>
          <w:rFonts w:ascii="Arial" w:eastAsia="Calibri" w:hAnsi="Arial" w:cs="Arial"/>
          <w:b/>
          <w:sz w:val="24"/>
          <w:szCs w:val="24"/>
          <w:lang w:val="en-GB"/>
        </w:rPr>
        <w:t>JUDGMENT DELIVERED</w:t>
      </w:r>
      <w:r w:rsidR="00932081" w:rsidRPr="00397BD3">
        <w:rPr>
          <w:rFonts w:ascii="Arial" w:eastAsia="Calibri" w:hAnsi="Arial" w:cs="Arial"/>
          <w:b/>
          <w:sz w:val="24"/>
          <w:szCs w:val="24"/>
          <w:lang w:val="en-GB"/>
        </w:rPr>
        <w:t>:  FRIDAY, 16 FEBRUARY 2024</w:t>
      </w:r>
    </w:p>
    <w:p w14:paraId="4E506BD7" w14:textId="77777777" w:rsidR="00932081" w:rsidRPr="00397BD3" w:rsidRDefault="00932081" w:rsidP="00397BD3">
      <w:pPr>
        <w:pBdr>
          <w:bottom w:val="single" w:sz="12" w:space="1" w:color="auto"/>
        </w:pBdr>
        <w:spacing w:after="0" w:line="480" w:lineRule="auto"/>
        <w:jc w:val="center"/>
        <w:rPr>
          <w:rFonts w:ascii="Arial" w:eastAsia="Calibri" w:hAnsi="Arial" w:cs="Arial"/>
          <w:b/>
          <w:sz w:val="24"/>
          <w:szCs w:val="24"/>
          <w:lang w:val="en-GB"/>
        </w:rPr>
      </w:pPr>
    </w:p>
    <w:p w14:paraId="44346ED3" w14:textId="77777777" w:rsidR="00FD32D6" w:rsidRPr="00397BD3" w:rsidRDefault="00FD32D6" w:rsidP="00397BD3">
      <w:pPr>
        <w:spacing w:line="480" w:lineRule="auto"/>
        <w:rPr>
          <w:rFonts w:ascii="Arial" w:eastAsia="Calibri" w:hAnsi="Arial" w:cs="Arial"/>
          <w:sz w:val="24"/>
          <w:szCs w:val="24"/>
          <w:lang w:val="en-GB"/>
        </w:rPr>
      </w:pPr>
    </w:p>
    <w:p w14:paraId="2A8C5EAF" w14:textId="3690F129" w:rsidR="00FD32D6" w:rsidRPr="00397BD3" w:rsidRDefault="00932081" w:rsidP="00397BD3">
      <w:pPr>
        <w:spacing w:line="480" w:lineRule="auto"/>
        <w:rPr>
          <w:rFonts w:ascii="Arial" w:hAnsi="Arial" w:cs="Arial"/>
          <w:b/>
          <w:sz w:val="24"/>
          <w:szCs w:val="24"/>
          <w:u w:val="single"/>
        </w:rPr>
      </w:pPr>
      <w:r w:rsidRPr="00397BD3">
        <w:rPr>
          <w:rFonts w:ascii="Arial" w:hAnsi="Arial" w:cs="Arial"/>
          <w:b/>
          <w:sz w:val="24"/>
          <w:szCs w:val="24"/>
          <w:u w:val="single"/>
        </w:rPr>
        <w:t>BHOOPCHAND, AJ</w:t>
      </w:r>
      <w:r w:rsidR="00FD32D6" w:rsidRPr="00397BD3">
        <w:rPr>
          <w:rFonts w:ascii="Arial" w:hAnsi="Arial" w:cs="Arial"/>
          <w:b/>
          <w:sz w:val="24"/>
          <w:szCs w:val="24"/>
          <w:u w:val="single"/>
        </w:rPr>
        <w:t>:</w:t>
      </w:r>
    </w:p>
    <w:p w14:paraId="4B766127" w14:textId="77777777" w:rsidR="00BE300F" w:rsidRPr="00397BD3" w:rsidRDefault="00BE300F" w:rsidP="00397BD3">
      <w:pPr>
        <w:spacing w:line="480" w:lineRule="auto"/>
        <w:ind w:left="360" w:firstLine="0"/>
        <w:jc w:val="both"/>
        <w:rPr>
          <w:rFonts w:ascii="Arial" w:hAnsi="Arial" w:cs="Arial"/>
          <w:bCs/>
          <w:sz w:val="24"/>
          <w:szCs w:val="24"/>
          <w:lang w:val="en-US"/>
        </w:rPr>
      </w:pPr>
    </w:p>
    <w:p w14:paraId="3E5C266A" w14:textId="08B70ED0" w:rsidR="0043684E" w:rsidRPr="004B1C0E" w:rsidRDefault="004B1C0E" w:rsidP="004B1C0E">
      <w:pPr>
        <w:spacing w:line="480" w:lineRule="auto"/>
        <w:ind w:left="720" w:hanging="720"/>
        <w:jc w:val="both"/>
        <w:rPr>
          <w:rFonts w:ascii="Arial" w:hAnsi="Arial" w:cs="Arial"/>
          <w:bCs/>
          <w:sz w:val="24"/>
          <w:szCs w:val="24"/>
          <w:lang w:val="en-US"/>
        </w:rPr>
      </w:pPr>
      <w:r w:rsidRPr="00397BD3">
        <w:rPr>
          <w:rFonts w:ascii="Arial" w:hAnsi="Arial" w:cs="Arial"/>
          <w:bCs/>
          <w:sz w:val="24"/>
          <w:szCs w:val="24"/>
          <w:lang w:val="en-US"/>
        </w:rPr>
        <w:t>1.</w:t>
      </w:r>
      <w:r w:rsidRPr="00397BD3">
        <w:rPr>
          <w:rFonts w:ascii="Arial" w:hAnsi="Arial" w:cs="Arial"/>
          <w:bCs/>
          <w:sz w:val="24"/>
          <w:szCs w:val="24"/>
          <w:lang w:val="en-US"/>
        </w:rPr>
        <w:tab/>
      </w:r>
      <w:r w:rsidR="0043684E" w:rsidRPr="004B1C0E">
        <w:rPr>
          <w:rFonts w:ascii="Arial" w:hAnsi="Arial" w:cs="Arial"/>
          <w:bCs/>
          <w:sz w:val="24"/>
          <w:szCs w:val="24"/>
          <w:lang w:val="en-US"/>
        </w:rPr>
        <w:t xml:space="preserve">This is an appeal of an eviction order </w:t>
      </w:r>
      <w:r w:rsidR="00F944F2" w:rsidRPr="004B1C0E">
        <w:rPr>
          <w:rFonts w:ascii="Arial" w:hAnsi="Arial" w:cs="Arial"/>
          <w:bCs/>
          <w:sz w:val="24"/>
          <w:szCs w:val="24"/>
          <w:lang w:val="en-US"/>
        </w:rPr>
        <w:t xml:space="preserve">made </w:t>
      </w:r>
      <w:r w:rsidR="0043684E" w:rsidRPr="004B1C0E">
        <w:rPr>
          <w:rFonts w:ascii="Arial" w:hAnsi="Arial" w:cs="Arial"/>
          <w:bCs/>
          <w:sz w:val="24"/>
          <w:szCs w:val="24"/>
          <w:lang w:val="en-US"/>
        </w:rPr>
        <w:t xml:space="preserve">against the Appellant by the Magistrate’s Court, Cape Town. The order was granted </w:t>
      </w:r>
      <w:r w:rsidR="00A249C2" w:rsidRPr="004B1C0E">
        <w:rPr>
          <w:rFonts w:ascii="Arial" w:hAnsi="Arial" w:cs="Arial"/>
          <w:bCs/>
          <w:sz w:val="24"/>
          <w:szCs w:val="24"/>
          <w:lang w:val="en-US"/>
        </w:rPr>
        <w:t xml:space="preserve">in terms of section 4(8) of the Prevention of Illegal Eviction from and Unlawful Occupation of Land, Act 19 of 1998 (“PIE” </w:t>
      </w:r>
      <w:r w:rsidR="0043684E" w:rsidRPr="004B1C0E">
        <w:rPr>
          <w:rFonts w:ascii="Arial" w:hAnsi="Arial" w:cs="Arial"/>
          <w:bCs/>
          <w:sz w:val="24"/>
          <w:szCs w:val="24"/>
          <w:lang w:val="en-US"/>
        </w:rPr>
        <w:t xml:space="preserve">on 5 September 2023). </w:t>
      </w:r>
    </w:p>
    <w:p w14:paraId="703A81A7" w14:textId="77777777" w:rsidR="0043684E" w:rsidRPr="00397BD3" w:rsidRDefault="0043684E" w:rsidP="00397BD3">
      <w:pPr>
        <w:pStyle w:val="ListParagraph"/>
        <w:spacing w:line="480" w:lineRule="auto"/>
        <w:rPr>
          <w:rFonts w:ascii="Arial" w:hAnsi="Arial" w:cs="Arial"/>
          <w:bCs/>
          <w:sz w:val="24"/>
          <w:szCs w:val="24"/>
          <w:lang w:val="en-US"/>
        </w:rPr>
      </w:pPr>
    </w:p>
    <w:p w14:paraId="0F8CD902" w14:textId="7E2BFCF3"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w:t>
      </w:r>
      <w:r w:rsidRPr="00397BD3">
        <w:rPr>
          <w:rFonts w:ascii="Arial" w:hAnsi="Arial" w:cs="Arial"/>
          <w:sz w:val="24"/>
          <w:szCs w:val="24"/>
        </w:rPr>
        <w:tab/>
      </w:r>
      <w:r w:rsidR="0043684E" w:rsidRPr="004B1C0E">
        <w:rPr>
          <w:rFonts w:ascii="Arial" w:hAnsi="Arial" w:cs="Arial"/>
          <w:bCs/>
          <w:sz w:val="24"/>
          <w:szCs w:val="24"/>
          <w:lang w:val="en-US"/>
        </w:rPr>
        <w:t>The Appellant entered into a one-year lease agreement in August 2020 to rent the Respondents</w:t>
      </w:r>
      <w:r w:rsidR="00C449B0" w:rsidRPr="004B1C0E">
        <w:rPr>
          <w:rFonts w:ascii="Arial" w:hAnsi="Arial" w:cs="Arial"/>
          <w:bCs/>
          <w:sz w:val="24"/>
          <w:szCs w:val="24"/>
          <w:lang w:val="en-US"/>
        </w:rPr>
        <w:t>’</w:t>
      </w:r>
      <w:r w:rsidR="0043684E" w:rsidRPr="004B1C0E">
        <w:rPr>
          <w:rFonts w:ascii="Arial" w:hAnsi="Arial" w:cs="Arial"/>
          <w:bCs/>
          <w:sz w:val="24"/>
          <w:szCs w:val="24"/>
          <w:lang w:val="en-US"/>
        </w:rPr>
        <w:t xml:space="preserve"> </w:t>
      </w:r>
      <w:r w:rsidR="007E1A6E" w:rsidRPr="004B1C0E">
        <w:rPr>
          <w:rFonts w:ascii="Arial" w:hAnsi="Arial" w:cs="Arial"/>
          <w:bCs/>
          <w:sz w:val="24"/>
          <w:szCs w:val="24"/>
          <w:lang w:val="en-US"/>
        </w:rPr>
        <w:t xml:space="preserve">upmarket </w:t>
      </w:r>
      <w:r w:rsidR="0043684E" w:rsidRPr="004B1C0E">
        <w:rPr>
          <w:rFonts w:ascii="Arial" w:hAnsi="Arial" w:cs="Arial"/>
          <w:bCs/>
          <w:sz w:val="24"/>
          <w:szCs w:val="24"/>
          <w:lang w:val="en-US"/>
        </w:rPr>
        <w:t xml:space="preserve">Fresnaye property. The written lease was not formally renewed </w:t>
      </w:r>
      <w:r w:rsidR="00B606D2" w:rsidRPr="004B1C0E">
        <w:rPr>
          <w:rFonts w:ascii="Arial" w:hAnsi="Arial" w:cs="Arial"/>
          <w:bCs/>
          <w:sz w:val="24"/>
          <w:szCs w:val="24"/>
          <w:lang w:val="en-US"/>
        </w:rPr>
        <w:t xml:space="preserve">on expiry. </w:t>
      </w:r>
      <w:r w:rsidR="0043684E" w:rsidRPr="004B1C0E">
        <w:rPr>
          <w:rFonts w:ascii="Arial" w:hAnsi="Arial" w:cs="Arial"/>
          <w:bCs/>
          <w:sz w:val="24"/>
          <w:szCs w:val="24"/>
          <w:lang w:val="en-US"/>
        </w:rPr>
        <w:t xml:space="preserve">Appellant continued renting the property. In February 2023, thirty months after the parties signed the initial lease, the Respondents issued the Appellant with a one-month notice to vacate their property in terms of section 5(5) of the Rental Housing Act 50 of 1999 (“the Rental Housing Act”). The Appellant did not vacate the property. Section 5(5) of the Rental Housing Act addresses the position where a lease is not formally renewed on expiry but is perpetuated by the tacit consent of the landlord. The lease becomes periodic </w:t>
      </w:r>
      <w:r w:rsidR="00A268F0" w:rsidRPr="004B1C0E">
        <w:rPr>
          <w:rFonts w:ascii="Arial" w:hAnsi="Arial" w:cs="Arial"/>
          <w:bCs/>
          <w:sz w:val="24"/>
          <w:szCs w:val="24"/>
          <w:lang w:val="en-US"/>
        </w:rPr>
        <w:t xml:space="preserve">in nature </w:t>
      </w:r>
      <w:r w:rsidR="0043684E" w:rsidRPr="004B1C0E">
        <w:rPr>
          <w:rFonts w:ascii="Arial" w:hAnsi="Arial" w:cs="Arial"/>
          <w:bCs/>
          <w:sz w:val="24"/>
          <w:szCs w:val="24"/>
          <w:lang w:val="en-US"/>
        </w:rPr>
        <w:t xml:space="preserve">and is considered to be on the same terms and conditions as the expired lease. If either party chooses to terminate the </w:t>
      </w:r>
      <w:r w:rsidR="0043684E" w:rsidRPr="004B1C0E">
        <w:rPr>
          <w:rFonts w:ascii="Arial" w:hAnsi="Arial" w:cs="Arial"/>
          <w:bCs/>
          <w:sz w:val="24"/>
          <w:szCs w:val="24"/>
          <w:lang w:val="en-US"/>
        </w:rPr>
        <w:lastRenderedPageBreak/>
        <w:t xml:space="preserve">lease, they must give the other party at least one month’s written notice of this intention. </w:t>
      </w:r>
      <w:r w:rsidR="005F6ACB" w:rsidRPr="004B1C0E">
        <w:rPr>
          <w:rFonts w:ascii="Arial" w:hAnsi="Arial" w:cs="Arial"/>
          <w:bCs/>
          <w:sz w:val="24"/>
          <w:szCs w:val="24"/>
          <w:lang w:val="en-US"/>
        </w:rPr>
        <w:t>The Appellant’s lease was lawfully terminated.</w:t>
      </w:r>
    </w:p>
    <w:p w14:paraId="172BAEB6" w14:textId="77777777" w:rsidR="00397BD3" w:rsidRPr="00397BD3" w:rsidRDefault="00397BD3" w:rsidP="00397BD3">
      <w:pPr>
        <w:pStyle w:val="ListParagraph"/>
        <w:rPr>
          <w:rFonts w:ascii="Arial" w:hAnsi="Arial" w:cs="Arial"/>
          <w:sz w:val="24"/>
          <w:szCs w:val="24"/>
        </w:rPr>
      </w:pPr>
    </w:p>
    <w:p w14:paraId="44BEB346" w14:textId="1B091EC3" w:rsidR="00A61F97" w:rsidRPr="004B1C0E" w:rsidRDefault="004B1C0E" w:rsidP="004B1C0E">
      <w:pPr>
        <w:spacing w:line="480" w:lineRule="auto"/>
        <w:ind w:left="720" w:hanging="720"/>
        <w:jc w:val="both"/>
        <w:rPr>
          <w:rFonts w:ascii="Arial" w:hAnsi="Arial" w:cs="Arial"/>
          <w:bCs/>
          <w:sz w:val="24"/>
          <w:szCs w:val="24"/>
          <w:lang w:val="en-US"/>
        </w:rPr>
      </w:pPr>
      <w:r w:rsidRPr="00397BD3">
        <w:rPr>
          <w:rFonts w:ascii="Arial" w:hAnsi="Arial" w:cs="Arial"/>
          <w:bCs/>
          <w:sz w:val="24"/>
          <w:szCs w:val="24"/>
          <w:lang w:val="en-US"/>
        </w:rPr>
        <w:t>3.</w:t>
      </w:r>
      <w:r w:rsidRPr="00397BD3">
        <w:rPr>
          <w:rFonts w:ascii="Arial" w:hAnsi="Arial" w:cs="Arial"/>
          <w:bCs/>
          <w:sz w:val="24"/>
          <w:szCs w:val="24"/>
          <w:lang w:val="en-US"/>
        </w:rPr>
        <w:tab/>
      </w:r>
      <w:r w:rsidR="0025517C" w:rsidRPr="004B1C0E">
        <w:rPr>
          <w:rFonts w:ascii="Arial" w:hAnsi="Arial" w:cs="Arial"/>
          <w:bCs/>
          <w:sz w:val="24"/>
          <w:szCs w:val="24"/>
          <w:lang w:val="en-US"/>
        </w:rPr>
        <w:t>I</w:t>
      </w:r>
      <w:r w:rsidR="005509D2" w:rsidRPr="004B1C0E">
        <w:rPr>
          <w:rFonts w:ascii="Arial" w:hAnsi="Arial" w:cs="Arial"/>
          <w:bCs/>
          <w:sz w:val="24"/>
          <w:szCs w:val="24"/>
          <w:lang w:val="en-US"/>
        </w:rPr>
        <w:t>n April 2023, t</w:t>
      </w:r>
      <w:r w:rsidR="0043684E" w:rsidRPr="004B1C0E">
        <w:rPr>
          <w:rFonts w:ascii="Arial" w:hAnsi="Arial" w:cs="Arial"/>
          <w:bCs/>
          <w:sz w:val="24"/>
          <w:szCs w:val="24"/>
          <w:lang w:val="en-US"/>
        </w:rPr>
        <w:t xml:space="preserve">he Respondents commenced eviction proceedings against the Appellant and other occupiers of their property. The Appellant initially opposed the order for eviction but by the time the case was decided the only issues that remained for determination were the date of her departure from the property and costs. </w:t>
      </w:r>
      <w:r w:rsidR="00D01B0B" w:rsidRPr="004B1C0E">
        <w:rPr>
          <w:rFonts w:ascii="Arial" w:hAnsi="Arial" w:cs="Arial"/>
          <w:bCs/>
          <w:sz w:val="24"/>
          <w:szCs w:val="24"/>
          <w:lang w:val="en-US"/>
        </w:rPr>
        <w:t>T</w:t>
      </w:r>
      <w:r w:rsidR="0043684E" w:rsidRPr="004B1C0E">
        <w:rPr>
          <w:rFonts w:ascii="Arial" w:hAnsi="Arial" w:cs="Arial"/>
          <w:bCs/>
          <w:sz w:val="24"/>
          <w:szCs w:val="24"/>
          <w:lang w:val="en-US"/>
        </w:rPr>
        <w:t xml:space="preserve">he court below ordered the Appellant and others living with her to vacate the property on 31 October 2023 failing which </w:t>
      </w:r>
      <w:r w:rsidR="00A05FBD" w:rsidRPr="004B1C0E">
        <w:rPr>
          <w:rFonts w:ascii="Arial" w:hAnsi="Arial" w:cs="Arial"/>
          <w:bCs/>
          <w:sz w:val="24"/>
          <w:szCs w:val="24"/>
          <w:lang w:val="en-US"/>
        </w:rPr>
        <w:t xml:space="preserve">the Appellant </w:t>
      </w:r>
      <w:r w:rsidR="000060C5" w:rsidRPr="004B1C0E">
        <w:rPr>
          <w:rFonts w:ascii="Arial" w:hAnsi="Arial" w:cs="Arial"/>
          <w:bCs/>
          <w:sz w:val="24"/>
          <w:szCs w:val="24"/>
          <w:lang w:val="en-US"/>
        </w:rPr>
        <w:t xml:space="preserve">and the others were </w:t>
      </w:r>
      <w:r w:rsidR="0043684E" w:rsidRPr="004B1C0E">
        <w:rPr>
          <w:rFonts w:ascii="Arial" w:hAnsi="Arial" w:cs="Arial"/>
          <w:bCs/>
          <w:sz w:val="24"/>
          <w:szCs w:val="24"/>
          <w:lang w:val="en-US"/>
        </w:rPr>
        <w:t xml:space="preserve">to be evicted on 1 November 2023. </w:t>
      </w:r>
    </w:p>
    <w:p w14:paraId="62F06B28" w14:textId="77777777" w:rsidR="00A61F97" w:rsidRPr="00397BD3" w:rsidRDefault="00A61F97" w:rsidP="00397BD3">
      <w:pPr>
        <w:pStyle w:val="ListParagraph"/>
        <w:spacing w:line="480" w:lineRule="auto"/>
        <w:rPr>
          <w:rFonts w:ascii="Arial" w:hAnsi="Arial" w:cs="Arial"/>
          <w:bCs/>
          <w:sz w:val="24"/>
          <w:szCs w:val="24"/>
          <w:lang w:val="en-US"/>
        </w:rPr>
      </w:pPr>
    </w:p>
    <w:p w14:paraId="7833DF8E" w14:textId="0A1BDCB9" w:rsidR="0043684E" w:rsidRPr="004B1C0E" w:rsidRDefault="004B1C0E" w:rsidP="004B1C0E">
      <w:pPr>
        <w:spacing w:line="480" w:lineRule="auto"/>
        <w:ind w:left="720" w:hanging="720"/>
        <w:jc w:val="both"/>
        <w:rPr>
          <w:rFonts w:ascii="Arial" w:hAnsi="Arial" w:cs="Arial"/>
          <w:bCs/>
          <w:sz w:val="24"/>
          <w:szCs w:val="24"/>
          <w:lang w:val="en-US"/>
        </w:rPr>
      </w:pPr>
      <w:r>
        <w:rPr>
          <w:rFonts w:ascii="Arial" w:hAnsi="Arial" w:cs="Arial"/>
          <w:bCs/>
          <w:sz w:val="24"/>
          <w:szCs w:val="24"/>
          <w:lang w:val="en-US"/>
        </w:rPr>
        <w:t>4.</w:t>
      </w:r>
      <w:r>
        <w:rPr>
          <w:rFonts w:ascii="Arial" w:hAnsi="Arial" w:cs="Arial"/>
          <w:bCs/>
          <w:sz w:val="24"/>
          <w:szCs w:val="24"/>
          <w:lang w:val="en-US"/>
        </w:rPr>
        <w:tab/>
      </w:r>
      <w:r w:rsidR="0043684E" w:rsidRPr="004B1C0E">
        <w:rPr>
          <w:rFonts w:ascii="Arial" w:hAnsi="Arial" w:cs="Arial"/>
          <w:bCs/>
          <w:sz w:val="24"/>
          <w:szCs w:val="24"/>
          <w:lang w:val="en-US"/>
        </w:rPr>
        <w:t>The Appellant was legally represented at the hearings</w:t>
      </w:r>
      <w:r w:rsidR="00A61F97" w:rsidRPr="004B1C0E">
        <w:rPr>
          <w:rFonts w:ascii="Arial" w:hAnsi="Arial" w:cs="Arial"/>
          <w:bCs/>
          <w:sz w:val="24"/>
          <w:szCs w:val="24"/>
          <w:lang w:val="en-US"/>
        </w:rPr>
        <w:t xml:space="preserve"> in the Magistrate’s court.</w:t>
      </w:r>
      <w:r w:rsidR="00112CDC" w:rsidRPr="004B1C0E">
        <w:rPr>
          <w:rFonts w:ascii="Arial" w:hAnsi="Arial" w:cs="Arial"/>
          <w:bCs/>
          <w:sz w:val="24"/>
          <w:szCs w:val="24"/>
          <w:lang w:val="en-US"/>
        </w:rPr>
        <w:t xml:space="preserve"> The Appellant is unrepresented in this court. </w:t>
      </w:r>
      <w:r w:rsidR="00C44C3D" w:rsidRPr="004B1C0E">
        <w:rPr>
          <w:rFonts w:ascii="Arial" w:hAnsi="Arial" w:cs="Arial"/>
          <w:bCs/>
          <w:sz w:val="24"/>
          <w:szCs w:val="24"/>
          <w:lang w:val="en-US"/>
        </w:rPr>
        <w:t>It is unclear as to why the Appellant did not secure legal representation</w:t>
      </w:r>
      <w:r w:rsidR="0066164F" w:rsidRPr="004B1C0E">
        <w:rPr>
          <w:rFonts w:ascii="Arial" w:hAnsi="Arial" w:cs="Arial"/>
          <w:bCs/>
          <w:sz w:val="24"/>
          <w:szCs w:val="24"/>
          <w:lang w:val="en-US"/>
        </w:rPr>
        <w:t xml:space="preserve"> for this appeal. Whilst there is an obligation to enquire </w:t>
      </w:r>
      <w:r w:rsidR="007E42FA" w:rsidRPr="004B1C0E">
        <w:rPr>
          <w:rFonts w:ascii="Arial" w:hAnsi="Arial" w:cs="Arial"/>
          <w:bCs/>
          <w:sz w:val="24"/>
          <w:szCs w:val="24"/>
          <w:lang w:val="en-US"/>
        </w:rPr>
        <w:t xml:space="preserve">from the unrepresented Appellant whether she requires legal assistance, </w:t>
      </w:r>
      <w:r w:rsidR="006C0F02" w:rsidRPr="004B1C0E">
        <w:rPr>
          <w:rFonts w:ascii="Arial" w:hAnsi="Arial" w:cs="Arial"/>
          <w:bCs/>
          <w:sz w:val="24"/>
          <w:szCs w:val="24"/>
          <w:lang w:val="en-US"/>
        </w:rPr>
        <w:t>the absence of any in the circumstances of this case do</w:t>
      </w:r>
      <w:r w:rsidR="00F95E2D" w:rsidRPr="004B1C0E">
        <w:rPr>
          <w:rFonts w:ascii="Arial" w:hAnsi="Arial" w:cs="Arial"/>
          <w:bCs/>
          <w:sz w:val="24"/>
          <w:szCs w:val="24"/>
          <w:lang w:val="en-US"/>
        </w:rPr>
        <w:t>es</w:t>
      </w:r>
      <w:r w:rsidR="006C0F02" w:rsidRPr="004B1C0E">
        <w:rPr>
          <w:rFonts w:ascii="Arial" w:hAnsi="Arial" w:cs="Arial"/>
          <w:bCs/>
          <w:sz w:val="24"/>
          <w:szCs w:val="24"/>
          <w:lang w:val="en-US"/>
        </w:rPr>
        <w:t xml:space="preserve"> not point to </w:t>
      </w:r>
      <w:r w:rsidR="0042249C" w:rsidRPr="004B1C0E">
        <w:rPr>
          <w:rFonts w:ascii="Arial" w:hAnsi="Arial" w:cs="Arial"/>
          <w:bCs/>
          <w:sz w:val="24"/>
          <w:szCs w:val="24"/>
          <w:lang w:val="en-US"/>
        </w:rPr>
        <w:t xml:space="preserve">affordability or inexperience in securing legal assistance. </w:t>
      </w:r>
      <w:r w:rsidR="00BF0DA4" w:rsidRPr="004B1C0E">
        <w:rPr>
          <w:rFonts w:ascii="Arial" w:hAnsi="Arial" w:cs="Arial"/>
          <w:bCs/>
          <w:sz w:val="24"/>
          <w:szCs w:val="24"/>
          <w:lang w:val="en-US"/>
        </w:rPr>
        <w:t xml:space="preserve">This court is nevertheless obliged to assist an unrepresented Appellant. </w:t>
      </w:r>
      <w:r w:rsidR="00D73706" w:rsidRPr="004B1C0E">
        <w:rPr>
          <w:rFonts w:ascii="Arial" w:hAnsi="Arial" w:cs="Arial"/>
          <w:bCs/>
          <w:sz w:val="24"/>
          <w:szCs w:val="24"/>
          <w:lang w:val="en-US"/>
        </w:rPr>
        <w:t xml:space="preserve">Lay litigants are </w:t>
      </w:r>
      <w:r w:rsidR="00851303" w:rsidRPr="004B1C0E">
        <w:rPr>
          <w:rFonts w:ascii="Arial" w:hAnsi="Arial" w:cs="Arial"/>
          <w:bCs/>
          <w:sz w:val="24"/>
          <w:szCs w:val="24"/>
          <w:lang w:val="en-US"/>
        </w:rPr>
        <w:t>not</w:t>
      </w:r>
      <w:r w:rsidR="00D73706" w:rsidRPr="004B1C0E">
        <w:rPr>
          <w:rFonts w:ascii="Arial" w:hAnsi="Arial" w:cs="Arial"/>
          <w:bCs/>
          <w:sz w:val="24"/>
          <w:szCs w:val="24"/>
          <w:lang w:val="en-US"/>
        </w:rPr>
        <w:t xml:space="preserve"> held to the same standards of pleadings </w:t>
      </w:r>
      <w:r w:rsidR="00851303" w:rsidRPr="004B1C0E">
        <w:rPr>
          <w:rFonts w:ascii="Arial" w:hAnsi="Arial" w:cs="Arial"/>
          <w:bCs/>
          <w:sz w:val="24"/>
          <w:szCs w:val="24"/>
          <w:lang w:val="en-US"/>
        </w:rPr>
        <w:t xml:space="preserve">and presentation of their cases as </w:t>
      </w:r>
      <w:r w:rsidR="00C15381" w:rsidRPr="004B1C0E">
        <w:rPr>
          <w:rFonts w:ascii="Arial" w:hAnsi="Arial" w:cs="Arial"/>
          <w:bCs/>
          <w:sz w:val="24"/>
          <w:szCs w:val="24"/>
          <w:lang w:val="en-US"/>
        </w:rPr>
        <w:t>trained lawyers</w:t>
      </w:r>
      <w:r w:rsidR="00851303" w:rsidRPr="004B1C0E">
        <w:rPr>
          <w:rFonts w:ascii="Arial" w:hAnsi="Arial" w:cs="Arial"/>
          <w:bCs/>
          <w:sz w:val="24"/>
          <w:szCs w:val="24"/>
          <w:lang w:val="en-US"/>
        </w:rPr>
        <w:t>.</w:t>
      </w:r>
      <w:r w:rsidR="00851303" w:rsidRPr="00397BD3">
        <w:rPr>
          <w:rStyle w:val="FootnoteReference"/>
          <w:rFonts w:ascii="Arial" w:hAnsi="Arial" w:cs="Arial"/>
          <w:bCs/>
          <w:sz w:val="24"/>
          <w:szCs w:val="24"/>
          <w:lang w:val="en-US"/>
        </w:rPr>
        <w:footnoteReference w:id="1"/>
      </w:r>
      <w:r w:rsidR="00C15381" w:rsidRPr="004B1C0E">
        <w:rPr>
          <w:rFonts w:ascii="Arial" w:hAnsi="Arial" w:cs="Arial"/>
          <w:bCs/>
          <w:sz w:val="24"/>
          <w:szCs w:val="24"/>
          <w:lang w:val="en-US"/>
        </w:rPr>
        <w:t xml:space="preserve"> </w:t>
      </w:r>
      <w:r w:rsidR="00041797" w:rsidRPr="004B1C0E">
        <w:rPr>
          <w:rFonts w:ascii="Arial" w:hAnsi="Arial" w:cs="Arial"/>
          <w:bCs/>
          <w:sz w:val="24"/>
          <w:szCs w:val="24"/>
          <w:lang w:val="en-US"/>
        </w:rPr>
        <w:t xml:space="preserve">Invariably, the court </w:t>
      </w:r>
      <w:r w:rsidR="00587BA6" w:rsidRPr="004B1C0E">
        <w:rPr>
          <w:rFonts w:ascii="Arial" w:hAnsi="Arial" w:cs="Arial"/>
          <w:bCs/>
          <w:sz w:val="24"/>
          <w:szCs w:val="24"/>
          <w:lang w:val="en-US"/>
        </w:rPr>
        <w:t xml:space="preserve">is expected to be lenient, </w:t>
      </w:r>
      <w:r w:rsidR="007D6AEA" w:rsidRPr="004B1C0E">
        <w:rPr>
          <w:rFonts w:ascii="Arial" w:hAnsi="Arial" w:cs="Arial"/>
          <w:bCs/>
          <w:sz w:val="24"/>
          <w:szCs w:val="24"/>
          <w:lang w:val="en-US"/>
        </w:rPr>
        <w:t xml:space="preserve">forgiving </w:t>
      </w:r>
      <w:r w:rsidR="00DD5567" w:rsidRPr="004B1C0E">
        <w:rPr>
          <w:rFonts w:ascii="Arial" w:hAnsi="Arial" w:cs="Arial"/>
          <w:bCs/>
          <w:sz w:val="24"/>
          <w:szCs w:val="24"/>
          <w:lang w:val="en-US"/>
        </w:rPr>
        <w:t xml:space="preserve">procedural irregularities, </w:t>
      </w:r>
      <w:r w:rsidR="00612F23" w:rsidRPr="004B1C0E">
        <w:rPr>
          <w:rFonts w:ascii="Arial" w:hAnsi="Arial" w:cs="Arial"/>
          <w:bCs/>
          <w:sz w:val="24"/>
          <w:szCs w:val="24"/>
          <w:lang w:val="en-US"/>
        </w:rPr>
        <w:t xml:space="preserve">omissions in the </w:t>
      </w:r>
      <w:r w:rsidR="007D2D93" w:rsidRPr="004B1C0E">
        <w:rPr>
          <w:rFonts w:ascii="Arial" w:hAnsi="Arial" w:cs="Arial"/>
          <w:bCs/>
          <w:sz w:val="24"/>
          <w:szCs w:val="24"/>
          <w:lang w:val="en-US"/>
        </w:rPr>
        <w:t>papers, and the quality of the argument</w:t>
      </w:r>
      <w:r w:rsidR="00587BA6" w:rsidRPr="004B1C0E">
        <w:rPr>
          <w:rFonts w:ascii="Arial" w:hAnsi="Arial" w:cs="Arial"/>
          <w:bCs/>
          <w:sz w:val="24"/>
          <w:szCs w:val="24"/>
          <w:lang w:val="en-US"/>
        </w:rPr>
        <w:t xml:space="preserve"> </w:t>
      </w:r>
      <w:r w:rsidR="00DF2968" w:rsidRPr="004B1C0E">
        <w:rPr>
          <w:rFonts w:ascii="Arial" w:hAnsi="Arial" w:cs="Arial"/>
          <w:bCs/>
          <w:sz w:val="24"/>
          <w:szCs w:val="24"/>
          <w:lang w:val="en-US"/>
        </w:rPr>
        <w:t>made</w:t>
      </w:r>
      <w:r w:rsidR="00A67400" w:rsidRPr="004B1C0E">
        <w:rPr>
          <w:rFonts w:ascii="Arial" w:hAnsi="Arial" w:cs="Arial"/>
          <w:bCs/>
          <w:sz w:val="24"/>
          <w:szCs w:val="24"/>
          <w:lang w:val="en-US"/>
        </w:rPr>
        <w:t>.</w:t>
      </w:r>
      <w:r w:rsidR="007A270B" w:rsidRPr="004B1C0E">
        <w:rPr>
          <w:rFonts w:ascii="Arial" w:hAnsi="Arial" w:cs="Arial"/>
          <w:bCs/>
          <w:sz w:val="24"/>
          <w:szCs w:val="24"/>
          <w:lang w:val="en-US"/>
        </w:rPr>
        <w:t xml:space="preserve"> </w:t>
      </w:r>
      <w:r w:rsidR="007D6AEA" w:rsidRPr="004B1C0E">
        <w:rPr>
          <w:rFonts w:ascii="Arial" w:hAnsi="Arial" w:cs="Arial"/>
          <w:bCs/>
          <w:sz w:val="24"/>
          <w:szCs w:val="24"/>
          <w:lang w:val="en-US"/>
        </w:rPr>
        <w:t xml:space="preserve">In assisting the </w:t>
      </w:r>
      <w:r w:rsidR="00802DDD" w:rsidRPr="004B1C0E">
        <w:rPr>
          <w:rFonts w:ascii="Arial" w:hAnsi="Arial" w:cs="Arial"/>
          <w:bCs/>
          <w:sz w:val="24"/>
          <w:szCs w:val="24"/>
          <w:lang w:val="en-US"/>
        </w:rPr>
        <w:t xml:space="preserve">unrepresented </w:t>
      </w:r>
      <w:r w:rsidR="00595986" w:rsidRPr="004B1C0E">
        <w:rPr>
          <w:rFonts w:ascii="Arial" w:hAnsi="Arial" w:cs="Arial"/>
          <w:bCs/>
          <w:sz w:val="24"/>
          <w:szCs w:val="24"/>
          <w:lang w:val="en-US"/>
        </w:rPr>
        <w:t xml:space="preserve">Appellant </w:t>
      </w:r>
      <w:r w:rsidR="00F57896" w:rsidRPr="004B1C0E">
        <w:rPr>
          <w:rFonts w:ascii="Arial" w:hAnsi="Arial" w:cs="Arial"/>
          <w:bCs/>
          <w:sz w:val="24"/>
          <w:szCs w:val="24"/>
          <w:lang w:val="en-US"/>
        </w:rPr>
        <w:t xml:space="preserve">in </w:t>
      </w:r>
      <w:r w:rsidR="00A67400" w:rsidRPr="004B1C0E">
        <w:rPr>
          <w:rFonts w:ascii="Arial" w:hAnsi="Arial" w:cs="Arial"/>
          <w:bCs/>
          <w:sz w:val="24"/>
          <w:szCs w:val="24"/>
          <w:lang w:val="en-US"/>
        </w:rPr>
        <w:t>the presentation of</w:t>
      </w:r>
      <w:r w:rsidR="00595986" w:rsidRPr="004B1C0E">
        <w:rPr>
          <w:rFonts w:ascii="Arial" w:hAnsi="Arial" w:cs="Arial"/>
          <w:bCs/>
          <w:sz w:val="24"/>
          <w:szCs w:val="24"/>
          <w:lang w:val="en-US"/>
        </w:rPr>
        <w:t xml:space="preserve"> her case</w:t>
      </w:r>
      <w:r w:rsidR="00F57896" w:rsidRPr="004B1C0E">
        <w:rPr>
          <w:rFonts w:ascii="Arial" w:hAnsi="Arial" w:cs="Arial"/>
          <w:bCs/>
          <w:sz w:val="24"/>
          <w:szCs w:val="24"/>
          <w:lang w:val="en-US"/>
        </w:rPr>
        <w:t>, th</w:t>
      </w:r>
      <w:r w:rsidR="007A270B" w:rsidRPr="004B1C0E">
        <w:rPr>
          <w:rFonts w:ascii="Arial" w:hAnsi="Arial" w:cs="Arial"/>
          <w:bCs/>
          <w:sz w:val="24"/>
          <w:szCs w:val="24"/>
          <w:lang w:val="en-US"/>
        </w:rPr>
        <w:t xml:space="preserve">e court has to guard against </w:t>
      </w:r>
      <w:r w:rsidR="00AB6A4D" w:rsidRPr="004B1C0E">
        <w:rPr>
          <w:rFonts w:ascii="Arial" w:hAnsi="Arial" w:cs="Arial"/>
          <w:bCs/>
          <w:sz w:val="24"/>
          <w:szCs w:val="24"/>
          <w:lang w:val="en-US"/>
        </w:rPr>
        <w:t xml:space="preserve">any prejudice to </w:t>
      </w:r>
      <w:r w:rsidR="001D44D4" w:rsidRPr="004B1C0E">
        <w:rPr>
          <w:rFonts w:ascii="Arial" w:hAnsi="Arial" w:cs="Arial"/>
          <w:bCs/>
          <w:sz w:val="24"/>
          <w:szCs w:val="24"/>
          <w:lang w:val="en-US"/>
        </w:rPr>
        <w:t xml:space="preserve">her opponent, </w:t>
      </w:r>
      <w:r w:rsidR="00AB6A4D" w:rsidRPr="004B1C0E">
        <w:rPr>
          <w:rFonts w:ascii="Arial" w:hAnsi="Arial" w:cs="Arial"/>
          <w:bCs/>
          <w:sz w:val="24"/>
          <w:szCs w:val="24"/>
          <w:lang w:val="en-US"/>
        </w:rPr>
        <w:t xml:space="preserve">ensure </w:t>
      </w:r>
      <w:r w:rsidR="00AB6A4D" w:rsidRPr="004B1C0E">
        <w:rPr>
          <w:rFonts w:ascii="Arial" w:hAnsi="Arial" w:cs="Arial"/>
          <w:bCs/>
          <w:sz w:val="24"/>
          <w:szCs w:val="24"/>
          <w:lang w:val="en-US"/>
        </w:rPr>
        <w:lastRenderedPageBreak/>
        <w:t xml:space="preserve">that the Rules are </w:t>
      </w:r>
      <w:r w:rsidR="001B58E7" w:rsidRPr="004B1C0E">
        <w:rPr>
          <w:rFonts w:ascii="Arial" w:hAnsi="Arial" w:cs="Arial"/>
          <w:bCs/>
          <w:sz w:val="24"/>
          <w:szCs w:val="24"/>
          <w:lang w:val="en-US"/>
        </w:rPr>
        <w:t xml:space="preserve">largely </w:t>
      </w:r>
      <w:r w:rsidR="006E6248" w:rsidRPr="004B1C0E">
        <w:rPr>
          <w:rFonts w:ascii="Arial" w:hAnsi="Arial" w:cs="Arial"/>
          <w:bCs/>
          <w:sz w:val="24"/>
          <w:szCs w:val="24"/>
          <w:lang w:val="en-US"/>
        </w:rPr>
        <w:t>followed,</w:t>
      </w:r>
      <w:r w:rsidR="001B58E7" w:rsidRPr="004B1C0E">
        <w:rPr>
          <w:rFonts w:ascii="Arial" w:hAnsi="Arial" w:cs="Arial"/>
          <w:bCs/>
          <w:sz w:val="24"/>
          <w:szCs w:val="24"/>
          <w:lang w:val="en-US"/>
        </w:rPr>
        <w:t xml:space="preserve"> and the court system does not fall into disarray from </w:t>
      </w:r>
      <w:r w:rsidR="00AF1E8E" w:rsidRPr="004B1C0E">
        <w:rPr>
          <w:rFonts w:ascii="Arial" w:hAnsi="Arial" w:cs="Arial"/>
          <w:bCs/>
          <w:sz w:val="24"/>
          <w:szCs w:val="24"/>
          <w:lang w:val="en-US"/>
        </w:rPr>
        <w:t xml:space="preserve">belated requests for legal representation or </w:t>
      </w:r>
      <w:r w:rsidR="00583772" w:rsidRPr="004B1C0E">
        <w:rPr>
          <w:rFonts w:ascii="Arial" w:hAnsi="Arial" w:cs="Arial"/>
          <w:bCs/>
          <w:sz w:val="24"/>
          <w:szCs w:val="24"/>
          <w:lang w:val="en-US"/>
        </w:rPr>
        <w:t>poorly motivated applications for postponement</w:t>
      </w:r>
      <w:r w:rsidR="00AF1E8E" w:rsidRPr="004B1C0E">
        <w:rPr>
          <w:rFonts w:ascii="Arial" w:hAnsi="Arial" w:cs="Arial"/>
          <w:bCs/>
          <w:sz w:val="24"/>
          <w:szCs w:val="24"/>
          <w:lang w:val="en-US"/>
        </w:rPr>
        <w:t>.</w:t>
      </w:r>
      <w:r w:rsidR="007D2D93" w:rsidRPr="004B1C0E">
        <w:rPr>
          <w:rFonts w:ascii="Arial" w:hAnsi="Arial" w:cs="Arial"/>
          <w:bCs/>
          <w:sz w:val="24"/>
          <w:szCs w:val="24"/>
          <w:lang w:val="en-US"/>
        </w:rPr>
        <w:t xml:space="preserve"> </w:t>
      </w:r>
      <w:r w:rsidR="002805A7" w:rsidRPr="004B1C0E">
        <w:rPr>
          <w:rFonts w:ascii="Arial" w:hAnsi="Arial" w:cs="Arial"/>
          <w:bCs/>
          <w:sz w:val="24"/>
          <w:szCs w:val="24"/>
          <w:lang w:val="en-US"/>
        </w:rPr>
        <w:t xml:space="preserve">The challenge posed by the unrepresented </w:t>
      </w:r>
      <w:r w:rsidR="00AE5776" w:rsidRPr="004B1C0E">
        <w:rPr>
          <w:rFonts w:ascii="Arial" w:hAnsi="Arial" w:cs="Arial"/>
          <w:bCs/>
          <w:sz w:val="24"/>
          <w:szCs w:val="24"/>
          <w:lang w:val="en-US"/>
        </w:rPr>
        <w:t xml:space="preserve">Appellant is compounded when </w:t>
      </w:r>
      <w:r w:rsidR="00943654" w:rsidRPr="004B1C0E">
        <w:rPr>
          <w:rFonts w:ascii="Arial" w:hAnsi="Arial" w:cs="Arial"/>
          <w:bCs/>
          <w:sz w:val="24"/>
          <w:szCs w:val="24"/>
          <w:lang w:val="en-US"/>
        </w:rPr>
        <w:t xml:space="preserve">the Appellant </w:t>
      </w:r>
      <w:r w:rsidR="00AE5776" w:rsidRPr="004B1C0E">
        <w:rPr>
          <w:rFonts w:ascii="Arial" w:hAnsi="Arial" w:cs="Arial"/>
          <w:bCs/>
          <w:sz w:val="24"/>
          <w:szCs w:val="24"/>
          <w:lang w:val="en-US"/>
        </w:rPr>
        <w:t xml:space="preserve">absents herself from the scheduled hearing of her appeal. </w:t>
      </w:r>
      <w:r w:rsidR="00041797" w:rsidRPr="004B1C0E">
        <w:rPr>
          <w:rFonts w:ascii="Arial" w:hAnsi="Arial" w:cs="Arial"/>
          <w:bCs/>
          <w:sz w:val="24"/>
          <w:szCs w:val="24"/>
          <w:lang w:val="en-US"/>
        </w:rPr>
        <w:t xml:space="preserve"> </w:t>
      </w:r>
    </w:p>
    <w:p w14:paraId="0A1E44C9" w14:textId="77777777" w:rsidR="00CE1C85" w:rsidRDefault="00CE1C85" w:rsidP="00CE1C85">
      <w:pPr>
        <w:pStyle w:val="ListParagraph"/>
        <w:spacing w:line="480" w:lineRule="auto"/>
        <w:ind w:firstLine="0"/>
        <w:jc w:val="both"/>
        <w:rPr>
          <w:rFonts w:ascii="Arial" w:hAnsi="Arial" w:cs="Arial"/>
          <w:bCs/>
          <w:sz w:val="24"/>
          <w:szCs w:val="24"/>
          <w:lang w:val="en-US"/>
        </w:rPr>
      </w:pPr>
    </w:p>
    <w:p w14:paraId="51157D07" w14:textId="66DABC72" w:rsidR="00CE1C85" w:rsidRPr="004B1C0E" w:rsidRDefault="004B1C0E" w:rsidP="004B1C0E">
      <w:pPr>
        <w:spacing w:line="480" w:lineRule="auto"/>
        <w:ind w:left="720" w:hanging="720"/>
        <w:jc w:val="both"/>
        <w:rPr>
          <w:rFonts w:ascii="Arial" w:hAnsi="Arial" w:cs="Arial"/>
          <w:bCs/>
          <w:sz w:val="24"/>
          <w:szCs w:val="24"/>
          <w:lang w:val="en-US"/>
        </w:rPr>
      </w:pPr>
      <w:r>
        <w:rPr>
          <w:rFonts w:ascii="Arial" w:hAnsi="Arial" w:cs="Arial"/>
          <w:bCs/>
          <w:sz w:val="24"/>
          <w:szCs w:val="24"/>
          <w:lang w:val="en-US"/>
        </w:rPr>
        <w:t>5.</w:t>
      </w:r>
      <w:r>
        <w:rPr>
          <w:rFonts w:ascii="Arial" w:hAnsi="Arial" w:cs="Arial"/>
          <w:bCs/>
          <w:sz w:val="24"/>
          <w:szCs w:val="24"/>
          <w:lang w:val="en-US"/>
        </w:rPr>
        <w:tab/>
      </w:r>
      <w:r w:rsidR="00CE1C85" w:rsidRPr="004B1C0E">
        <w:rPr>
          <w:rFonts w:ascii="Arial" w:hAnsi="Arial" w:cs="Arial"/>
          <w:bCs/>
          <w:sz w:val="24"/>
          <w:szCs w:val="24"/>
          <w:lang w:val="en-US"/>
        </w:rPr>
        <w:t>The Appellant sent a flurry of emails commencing at 22h24 on the night before the hearing alleging, among others, that she was involved in an accident on Monday, 12 February 2024 and assaulted by the Sheriff on an unknown date.  The Appellant indicated that she could not attend Court.</w:t>
      </w:r>
    </w:p>
    <w:p w14:paraId="7BC04BA9" w14:textId="77777777" w:rsidR="00CE1C85" w:rsidRPr="00CE1C85" w:rsidRDefault="00CE1C85" w:rsidP="00CE1C85">
      <w:pPr>
        <w:pStyle w:val="ListParagraph"/>
        <w:rPr>
          <w:rFonts w:ascii="Arial" w:hAnsi="Arial" w:cs="Arial"/>
          <w:bCs/>
          <w:sz w:val="24"/>
          <w:szCs w:val="24"/>
          <w:lang w:val="en-US"/>
        </w:rPr>
      </w:pPr>
    </w:p>
    <w:p w14:paraId="2AF0A0F8" w14:textId="15BA20FE" w:rsidR="00CE1C85" w:rsidRPr="004B1C0E" w:rsidRDefault="004B1C0E" w:rsidP="004B1C0E">
      <w:pPr>
        <w:spacing w:line="480" w:lineRule="auto"/>
        <w:ind w:left="720" w:hanging="720"/>
        <w:jc w:val="both"/>
        <w:rPr>
          <w:rFonts w:ascii="Arial" w:hAnsi="Arial" w:cs="Arial"/>
          <w:bCs/>
          <w:sz w:val="24"/>
          <w:szCs w:val="24"/>
          <w:lang w:val="en-US"/>
        </w:rPr>
      </w:pPr>
      <w:r w:rsidRPr="00397BD3">
        <w:rPr>
          <w:rFonts w:ascii="Arial" w:hAnsi="Arial" w:cs="Arial"/>
          <w:bCs/>
          <w:sz w:val="24"/>
          <w:szCs w:val="24"/>
          <w:lang w:val="en-US"/>
        </w:rPr>
        <w:t>6.</w:t>
      </w:r>
      <w:r w:rsidRPr="00397BD3">
        <w:rPr>
          <w:rFonts w:ascii="Arial" w:hAnsi="Arial" w:cs="Arial"/>
          <w:bCs/>
          <w:sz w:val="24"/>
          <w:szCs w:val="24"/>
          <w:lang w:val="en-US"/>
        </w:rPr>
        <w:tab/>
      </w:r>
      <w:r w:rsidR="00CE1C85" w:rsidRPr="004B1C0E">
        <w:rPr>
          <w:rFonts w:ascii="Arial" w:hAnsi="Arial" w:cs="Arial"/>
          <w:bCs/>
          <w:sz w:val="24"/>
          <w:szCs w:val="24"/>
          <w:lang w:val="en-US"/>
        </w:rPr>
        <w:t>The Appellant is not required to be present in a Court dealing with her appeal.  Had Appellant obtained legal representation there would be no concern about her matter proceeding.  About one hour before the scheduled hearing of this appeal, Appellant made a request to be heard virtually.  The Court is concerned that the Appellant’s last minute communications are an abuse of the Court and its process.  This Court has taken all of the new information into consideration in deciding how to proceed with this matter and the decision we make regarding the outcome of this appeal.</w:t>
      </w:r>
    </w:p>
    <w:p w14:paraId="79144D55" w14:textId="77777777" w:rsidR="0043684E" w:rsidRPr="00397BD3" w:rsidRDefault="0043684E" w:rsidP="00397BD3">
      <w:pPr>
        <w:pStyle w:val="ListParagraph"/>
        <w:spacing w:line="480" w:lineRule="auto"/>
        <w:rPr>
          <w:rFonts w:ascii="Arial" w:hAnsi="Arial" w:cs="Arial"/>
          <w:bCs/>
          <w:sz w:val="24"/>
          <w:szCs w:val="24"/>
          <w:lang w:val="en-US"/>
        </w:rPr>
      </w:pPr>
    </w:p>
    <w:p w14:paraId="1AE7B4BC" w14:textId="7EC3402F" w:rsidR="0043684E" w:rsidRPr="004B1C0E" w:rsidRDefault="004B1C0E" w:rsidP="004B1C0E">
      <w:pPr>
        <w:spacing w:line="480" w:lineRule="auto"/>
        <w:ind w:left="720" w:hanging="720"/>
        <w:jc w:val="both"/>
        <w:rPr>
          <w:rFonts w:ascii="Arial" w:hAnsi="Arial" w:cs="Arial"/>
          <w:bCs/>
          <w:sz w:val="24"/>
          <w:szCs w:val="24"/>
          <w:lang w:val="en-US"/>
        </w:rPr>
      </w:pPr>
      <w:r w:rsidRPr="00397BD3">
        <w:rPr>
          <w:rFonts w:ascii="Arial" w:hAnsi="Arial" w:cs="Arial"/>
          <w:bCs/>
          <w:sz w:val="24"/>
          <w:szCs w:val="24"/>
          <w:lang w:val="en-US"/>
        </w:rPr>
        <w:t>7.</w:t>
      </w:r>
      <w:r w:rsidRPr="00397BD3">
        <w:rPr>
          <w:rFonts w:ascii="Arial" w:hAnsi="Arial" w:cs="Arial"/>
          <w:bCs/>
          <w:sz w:val="24"/>
          <w:szCs w:val="24"/>
          <w:lang w:val="en-US"/>
        </w:rPr>
        <w:tab/>
      </w:r>
      <w:r w:rsidR="005104BA" w:rsidRPr="004B1C0E">
        <w:rPr>
          <w:rFonts w:ascii="Arial" w:hAnsi="Arial" w:cs="Arial"/>
          <w:bCs/>
          <w:sz w:val="24"/>
          <w:szCs w:val="24"/>
          <w:lang w:val="en-US"/>
        </w:rPr>
        <w:t>On 25 January 2024</w:t>
      </w:r>
      <w:r w:rsidR="00B21416" w:rsidRPr="004B1C0E">
        <w:rPr>
          <w:rFonts w:ascii="Arial" w:hAnsi="Arial" w:cs="Arial"/>
          <w:bCs/>
          <w:sz w:val="24"/>
          <w:szCs w:val="24"/>
          <w:lang w:val="en-US"/>
        </w:rPr>
        <w:t xml:space="preserve">, </w:t>
      </w:r>
      <w:r w:rsidR="00E84091" w:rsidRPr="004B1C0E">
        <w:rPr>
          <w:rFonts w:ascii="Arial" w:hAnsi="Arial" w:cs="Arial"/>
          <w:bCs/>
          <w:sz w:val="24"/>
          <w:szCs w:val="24"/>
          <w:lang w:val="en-US"/>
        </w:rPr>
        <w:t>the Appellant a</w:t>
      </w:r>
      <w:r w:rsidR="0043684E" w:rsidRPr="004B1C0E">
        <w:rPr>
          <w:rFonts w:ascii="Arial" w:hAnsi="Arial" w:cs="Arial"/>
          <w:bCs/>
          <w:sz w:val="24"/>
          <w:szCs w:val="24"/>
          <w:lang w:val="en-US"/>
        </w:rPr>
        <w:t xml:space="preserve">pplied for a postponement by filing an affidavit (“the postponement affidavit”) without a notice of motion. </w:t>
      </w:r>
      <w:r w:rsidR="0043684E" w:rsidRPr="004B1C0E">
        <w:rPr>
          <w:rFonts w:ascii="Arial" w:hAnsi="Arial" w:cs="Arial"/>
          <w:sz w:val="24"/>
          <w:szCs w:val="24"/>
        </w:rPr>
        <w:t xml:space="preserve">The postponement affidavit contains a terse two-paragraph statement </w:t>
      </w:r>
      <w:r w:rsidR="00A95A49" w:rsidRPr="004B1C0E">
        <w:rPr>
          <w:rFonts w:ascii="Arial" w:hAnsi="Arial" w:cs="Arial"/>
          <w:sz w:val="24"/>
          <w:szCs w:val="24"/>
        </w:rPr>
        <w:t>rel</w:t>
      </w:r>
      <w:r w:rsidR="00A065E3" w:rsidRPr="004B1C0E">
        <w:rPr>
          <w:rFonts w:ascii="Arial" w:hAnsi="Arial" w:cs="Arial"/>
          <w:sz w:val="24"/>
          <w:szCs w:val="24"/>
        </w:rPr>
        <w:t>evant to the application</w:t>
      </w:r>
      <w:r w:rsidR="005B63C4" w:rsidRPr="004B1C0E">
        <w:rPr>
          <w:rFonts w:ascii="Arial" w:hAnsi="Arial" w:cs="Arial"/>
          <w:sz w:val="24"/>
          <w:szCs w:val="24"/>
        </w:rPr>
        <w:t>. T</w:t>
      </w:r>
      <w:r w:rsidR="0043684E" w:rsidRPr="004B1C0E">
        <w:rPr>
          <w:rFonts w:ascii="Arial" w:hAnsi="Arial" w:cs="Arial"/>
          <w:sz w:val="24"/>
          <w:szCs w:val="24"/>
        </w:rPr>
        <w:t xml:space="preserve">he Appellant sought a postponement due to medical reasons. </w:t>
      </w:r>
      <w:r w:rsidR="0043684E" w:rsidRPr="004B1C0E">
        <w:rPr>
          <w:rFonts w:ascii="Arial" w:hAnsi="Arial" w:cs="Arial"/>
          <w:sz w:val="24"/>
          <w:szCs w:val="24"/>
        </w:rPr>
        <w:lastRenderedPageBreak/>
        <w:t>The court was referred to a medical report attached to the affidavit</w:t>
      </w:r>
      <w:r w:rsidR="00E03A94" w:rsidRPr="004B1C0E">
        <w:rPr>
          <w:rFonts w:ascii="Arial" w:hAnsi="Arial" w:cs="Arial"/>
          <w:sz w:val="24"/>
          <w:szCs w:val="24"/>
        </w:rPr>
        <w:t>. T</w:t>
      </w:r>
      <w:r w:rsidR="0043684E" w:rsidRPr="004B1C0E">
        <w:rPr>
          <w:rFonts w:ascii="Arial" w:hAnsi="Arial" w:cs="Arial"/>
          <w:sz w:val="24"/>
          <w:szCs w:val="24"/>
        </w:rPr>
        <w:t xml:space="preserve">he Appellant alleged that the doctor suggested a period of three to four months of </w:t>
      </w:r>
      <w:r w:rsidR="002871B4" w:rsidRPr="004B1C0E">
        <w:rPr>
          <w:rFonts w:ascii="Arial" w:hAnsi="Arial" w:cs="Arial"/>
          <w:sz w:val="24"/>
          <w:szCs w:val="24"/>
        </w:rPr>
        <w:t>“</w:t>
      </w:r>
      <w:r w:rsidR="0043684E" w:rsidRPr="004B1C0E">
        <w:rPr>
          <w:rFonts w:ascii="Arial" w:hAnsi="Arial" w:cs="Arial"/>
          <w:sz w:val="24"/>
          <w:szCs w:val="24"/>
        </w:rPr>
        <w:t>rehabilitation for trauma counselling and recovery</w:t>
      </w:r>
      <w:r w:rsidR="002871B4" w:rsidRPr="004B1C0E">
        <w:rPr>
          <w:rFonts w:ascii="Arial" w:hAnsi="Arial" w:cs="Arial"/>
          <w:sz w:val="24"/>
          <w:szCs w:val="24"/>
        </w:rPr>
        <w:t>”</w:t>
      </w:r>
      <w:r w:rsidR="0043684E" w:rsidRPr="004B1C0E">
        <w:rPr>
          <w:rFonts w:ascii="Arial" w:hAnsi="Arial" w:cs="Arial"/>
          <w:sz w:val="24"/>
          <w:szCs w:val="24"/>
        </w:rPr>
        <w:t>.</w:t>
      </w:r>
    </w:p>
    <w:p w14:paraId="08EA7234" w14:textId="5B027287"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8.</w:t>
      </w:r>
      <w:r w:rsidRPr="00397BD3">
        <w:rPr>
          <w:rFonts w:ascii="Arial" w:hAnsi="Arial" w:cs="Arial"/>
          <w:sz w:val="24"/>
          <w:szCs w:val="24"/>
        </w:rPr>
        <w:tab/>
      </w:r>
      <w:r w:rsidR="0043684E" w:rsidRPr="004B1C0E">
        <w:rPr>
          <w:rFonts w:ascii="Arial" w:hAnsi="Arial" w:cs="Arial"/>
          <w:sz w:val="24"/>
          <w:szCs w:val="24"/>
        </w:rPr>
        <w:t>An applicant requesting a postponement seeks an indulgence for which she must provide a comprehensive explanation of the reasons necessitating the postponement. As this court is a court of first instance as far as the application for a postponement is concerned, this court exercises its discretion to grant or disallow the application in the true or narrow sense.</w:t>
      </w:r>
      <w:r w:rsidR="0043684E" w:rsidRPr="00397BD3">
        <w:rPr>
          <w:rStyle w:val="FootnoteReference"/>
          <w:rFonts w:ascii="Arial" w:hAnsi="Arial" w:cs="Arial"/>
          <w:sz w:val="24"/>
          <w:szCs w:val="24"/>
        </w:rPr>
        <w:footnoteReference w:id="2"/>
      </w:r>
      <w:r w:rsidR="0043684E" w:rsidRPr="004B1C0E">
        <w:rPr>
          <w:rFonts w:ascii="Arial" w:hAnsi="Arial" w:cs="Arial"/>
          <w:sz w:val="24"/>
          <w:szCs w:val="24"/>
        </w:rPr>
        <w:t xml:space="preserve"> Where a party to litigation raises illness as a reason for seeking a postponement, the application must be supported by proper medical evidence.</w:t>
      </w:r>
      <w:r w:rsidR="0043684E" w:rsidRPr="00397BD3">
        <w:rPr>
          <w:rStyle w:val="FootnoteReference"/>
          <w:rFonts w:ascii="Arial" w:hAnsi="Arial" w:cs="Arial"/>
          <w:sz w:val="24"/>
          <w:szCs w:val="24"/>
        </w:rPr>
        <w:footnoteReference w:id="3"/>
      </w:r>
      <w:r w:rsidR="0043684E" w:rsidRPr="004B1C0E">
        <w:rPr>
          <w:rFonts w:ascii="Arial" w:hAnsi="Arial" w:cs="Arial"/>
          <w:sz w:val="24"/>
          <w:szCs w:val="24"/>
        </w:rPr>
        <w:t xml:space="preserve"> </w:t>
      </w:r>
    </w:p>
    <w:p w14:paraId="252BF841" w14:textId="77777777" w:rsidR="0043684E" w:rsidRPr="00397BD3" w:rsidRDefault="0043684E" w:rsidP="00397BD3">
      <w:pPr>
        <w:pStyle w:val="ListParagraph"/>
        <w:spacing w:line="480" w:lineRule="auto"/>
        <w:rPr>
          <w:rFonts w:ascii="Arial" w:hAnsi="Arial" w:cs="Arial"/>
          <w:sz w:val="24"/>
          <w:szCs w:val="24"/>
        </w:rPr>
      </w:pPr>
    </w:p>
    <w:p w14:paraId="22DF9468" w14:textId="03806978"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9.</w:t>
      </w:r>
      <w:r w:rsidRPr="00397BD3">
        <w:rPr>
          <w:rFonts w:ascii="Arial" w:hAnsi="Arial" w:cs="Arial"/>
          <w:sz w:val="24"/>
          <w:szCs w:val="24"/>
        </w:rPr>
        <w:tab/>
      </w:r>
      <w:r w:rsidR="0043684E" w:rsidRPr="004B1C0E">
        <w:rPr>
          <w:rFonts w:ascii="Arial" w:hAnsi="Arial" w:cs="Arial"/>
          <w:sz w:val="24"/>
          <w:szCs w:val="24"/>
        </w:rPr>
        <w:t xml:space="preserve">The medical report attached to the postponement affidavit </w:t>
      </w:r>
      <w:r w:rsidR="00037089" w:rsidRPr="004B1C0E">
        <w:rPr>
          <w:rFonts w:ascii="Arial" w:hAnsi="Arial" w:cs="Arial"/>
          <w:sz w:val="24"/>
          <w:szCs w:val="24"/>
        </w:rPr>
        <w:t>asserts</w:t>
      </w:r>
      <w:r w:rsidR="0043684E" w:rsidRPr="004B1C0E">
        <w:rPr>
          <w:rFonts w:ascii="Arial" w:hAnsi="Arial" w:cs="Arial"/>
          <w:sz w:val="24"/>
          <w:szCs w:val="24"/>
        </w:rPr>
        <w:t xml:space="preserve"> that the doctor consulted with the Appellant on 17 January 2024. The report does not </w:t>
      </w:r>
      <w:r w:rsidR="006544CE" w:rsidRPr="004B1C0E">
        <w:rPr>
          <w:rFonts w:ascii="Arial" w:hAnsi="Arial" w:cs="Arial"/>
          <w:sz w:val="24"/>
          <w:szCs w:val="24"/>
        </w:rPr>
        <w:t xml:space="preserve">indicate </w:t>
      </w:r>
      <w:r w:rsidR="0043684E" w:rsidRPr="004B1C0E">
        <w:rPr>
          <w:rFonts w:ascii="Arial" w:hAnsi="Arial" w:cs="Arial"/>
          <w:sz w:val="24"/>
          <w:szCs w:val="24"/>
        </w:rPr>
        <w:t xml:space="preserve">whether the doctor assessed the Appellant’s mental state or examined the Appellant physically. The content of the report is largely in the nature of a recital of the Appellant’s history as provided to the doctor. The doctor then recommended that all legal cases and matters be delayed to enable the Appellant to recover. </w:t>
      </w:r>
    </w:p>
    <w:p w14:paraId="764D157F" w14:textId="77777777" w:rsidR="0043684E" w:rsidRPr="00397BD3" w:rsidRDefault="0043684E" w:rsidP="00397BD3">
      <w:pPr>
        <w:pStyle w:val="ListParagraph"/>
        <w:spacing w:line="480" w:lineRule="auto"/>
        <w:rPr>
          <w:rFonts w:ascii="Arial" w:hAnsi="Arial" w:cs="Arial"/>
          <w:sz w:val="24"/>
          <w:szCs w:val="24"/>
        </w:rPr>
      </w:pPr>
    </w:p>
    <w:p w14:paraId="063EA06D" w14:textId="79039DA8"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10.</w:t>
      </w:r>
      <w:r w:rsidRPr="00397BD3">
        <w:rPr>
          <w:rFonts w:ascii="Arial" w:hAnsi="Arial" w:cs="Arial"/>
          <w:sz w:val="24"/>
          <w:szCs w:val="24"/>
        </w:rPr>
        <w:tab/>
      </w:r>
      <w:r w:rsidR="0043684E" w:rsidRPr="004B1C0E">
        <w:rPr>
          <w:rFonts w:ascii="Arial" w:hAnsi="Arial" w:cs="Arial"/>
          <w:sz w:val="24"/>
          <w:szCs w:val="24"/>
        </w:rPr>
        <w:t xml:space="preserve">The medical report does not support the Appellant’s allegation that she is to receive three to four months of trauma counselling for rehabilitation and recovery. The First Respondent obtained a letter from the Appellant’s doctor </w:t>
      </w:r>
      <w:r w:rsidR="0043684E" w:rsidRPr="004B1C0E">
        <w:rPr>
          <w:rFonts w:ascii="Arial" w:hAnsi="Arial" w:cs="Arial"/>
          <w:sz w:val="24"/>
          <w:szCs w:val="24"/>
        </w:rPr>
        <w:lastRenderedPageBreak/>
        <w:t xml:space="preserve">seeking clarity on the aforegoing allegation. </w:t>
      </w:r>
      <w:r w:rsidR="00FB41DE" w:rsidRPr="004B1C0E">
        <w:rPr>
          <w:rFonts w:ascii="Arial" w:hAnsi="Arial" w:cs="Arial"/>
          <w:sz w:val="24"/>
          <w:szCs w:val="24"/>
        </w:rPr>
        <w:t xml:space="preserve">The First Respondent does not state in his affidavit </w:t>
      </w:r>
      <w:r w:rsidR="007F09D9" w:rsidRPr="004B1C0E">
        <w:rPr>
          <w:rFonts w:ascii="Arial" w:hAnsi="Arial" w:cs="Arial"/>
          <w:sz w:val="24"/>
          <w:szCs w:val="24"/>
        </w:rPr>
        <w:t xml:space="preserve">whether he </w:t>
      </w:r>
      <w:r w:rsidR="0043684E" w:rsidRPr="004B1C0E">
        <w:rPr>
          <w:rFonts w:ascii="Arial" w:hAnsi="Arial" w:cs="Arial"/>
          <w:sz w:val="24"/>
          <w:szCs w:val="24"/>
        </w:rPr>
        <w:t>obtained the Appellant's consent to make contact with her doctor</w:t>
      </w:r>
      <w:r w:rsidR="002459C6" w:rsidRPr="004B1C0E">
        <w:rPr>
          <w:rFonts w:ascii="Arial" w:hAnsi="Arial" w:cs="Arial"/>
          <w:sz w:val="24"/>
          <w:szCs w:val="24"/>
        </w:rPr>
        <w:t xml:space="preserve"> and </w:t>
      </w:r>
      <w:r w:rsidR="00FF0CFA" w:rsidRPr="004B1C0E">
        <w:rPr>
          <w:rFonts w:ascii="Arial" w:hAnsi="Arial" w:cs="Arial"/>
          <w:sz w:val="24"/>
          <w:szCs w:val="24"/>
        </w:rPr>
        <w:t>acquire information relating to the Appellant’s ailments</w:t>
      </w:r>
      <w:r w:rsidR="0043684E" w:rsidRPr="004B1C0E">
        <w:rPr>
          <w:rFonts w:ascii="Arial" w:hAnsi="Arial" w:cs="Arial"/>
          <w:sz w:val="24"/>
          <w:szCs w:val="24"/>
        </w:rPr>
        <w:t xml:space="preserve">. In the absence of consent from the Appellant, the propriety of the First Respondent’s actions </w:t>
      </w:r>
      <w:r w:rsidR="00AF1C0A" w:rsidRPr="004B1C0E">
        <w:rPr>
          <w:rFonts w:ascii="Arial" w:hAnsi="Arial" w:cs="Arial"/>
          <w:sz w:val="24"/>
          <w:szCs w:val="24"/>
        </w:rPr>
        <w:t xml:space="preserve">is placed in question and </w:t>
      </w:r>
      <w:r w:rsidR="0043684E" w:rsidRPr="004B1C0E">
        <w:rPr>
          <w:rFonts w:ascii="Arial" w:hAnsi="Arial" w:cs="Arial"/>
          <w:sz w:val="24"/>
          <w:szCs w:val="24"/>
        </w:rPr>
        <w:t xml:space="preserve">cannot be condoned.  </w:t>
      </w:r>
    </w:p>
    <w:p w14:paraId="2B9D2FAB" w14:textId="77777777" w:rsidR="0043684E" w:rsidRPr="00397BD3" w:rsidRDefault="0043684E" w:rsidP="00397BD3">
      <w:pPr>
        <w:pStyle w:val="ListParagraph"/>
        <w:spacing w:line="480" w:lineRule="auto"/>
        <w:rPr>
          <w:rFonts w:ascii="Arial" w:hAnsi="Arial" w:cs="Arial"/>
          <w:sz w:val="24"/>
          <w:szCs w:val="24"/>
        </w:rPr>
      </w:pPr>
    </w:p>
    <w:p w14:paraId="483A8431" w14:textId="460D2685"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11.</w:t>
      </w:r>
      <w:r w:rsidRPr="00397BD3">
        <w:rPr>
          <w:rFonts w:ascii="Arial" w:hAnsi="Arial" w:cs="Arial"/>
          <w:sz w:val="24"/>
          <w:szCs w:val="24"/>
        </w:rPr>
        <w:tab/>
      </w:r>
      <w:r w:rsidR="0043684E" w:rsidRPr="004B1C0E">
        <w:rPr>
          <w:rFonts w:ascii="Arial" w:hAnsi="Arial" w:cs="Arial"/>
          <w:sz w:val="24"/>
          <w:szCs w:val="24"/>
        </w:rPr>
        <w:t>The report does not specify when the Appellant's ailments began, whether the Appellant had consulted any doctor previously for her symptoms, or whether the Appellant received treatment</w:t>
      </w:r>
      <w:r w:rsidR="00261CAB" w:rsidRPr="004B1C0E">
        <w:rPr>
          <w:rFonts w:ascii="Arial" w:hAnsi="Arial" w:cs="Arial"/>
          <w:sz w:val="24"/>
          <w:szCs w:val="24"/>
        </w:rPr>
        <w:t xml:space="preserve">. The report suggests </w:t>
      </w:r>
      <w:r w:rsidR="0043684E" w:rsidRPr="004B1C0E">
        <w:rPr>
          <w:rFonts w:ascii="Arial" w:hAnsi="Arial" w:cs="Arial"/>
          <w:sz w:val="24"/>
          <w:szCs w:val="24"/>
        </w:rPr>
        <w:t>that the Appellant suffer</w:t>
      </w:r>
      <w:r w:rsidR="00152C63" w:rsidRPr="004B1C0E">
        <w:rPr>
          <w:rFonts w:ascii="Arial" w:hAnsi="Arial" w:cs="Arial"/>
          <w:sz w:val="24"/>
          <w:szCs w:val="24"/>
        </w:rPr>
        <w:t>ed</w:t>
      </w:r>
      <w:r w:rsidR="0043684E" w:rsidRPr="004B1C0E">
        <w:rPr>
          <w:rFonts w:ascii="Arial" w:hAnsi="Arial" w:cs="Arial"/>
          <w:sz w:val="24"/>
          <w:szCs w:val="24"/>
        </w:rPr>
        <w:t xml:space="preserve"> </w:t>
      </w:r>
      <w:r w:rsidR="009B675A" w:rsidRPr="004B1C0E">
        <w:rPr>
          <w:rFonts w:ascii="Arial" w:hAnsi="Arial" w:cs="Arial"/>
          <w:sz w:val="24"/>
          <w:szCs w:val="24"/>
        </w:rPr>
        <w:t xml:space="preserve">protracted </w:t>
      </w:r>
      <w:r w:rsidR="002B0C2C" w:rsidRPr="004B1C0E">
        <w:rPr>
          <w:rFonts w:ascii="Arial" w:hAnsi="Arial" w:cs="Arial"/>
          <w:sz w:val="24"/>
          <w:szCs w:val="24"/>
        </w:rPr>
        <w:t xml:space="preserve">complaints of </w:t>
      </w:r>
      <w:r w:rsidR="0043684E" w:rsidRPr="004B1C0E">
        <w:rPr>
          <w:rFonts w:ascii="Arial" w:hAnsi="Arial" w:cs="Arial"/>
          <w:sz w:val="24"/>
          <w:szCs w:val="24"/>
        </w:rPr>
        <w:t xml:space="preserve">a psychological nature The report is silent on whether the Appellant would be able to attend court </w:t>
      </w:r>
      <w:r w:rsidR="00690366" w:rsidRPr="004B1C0E">
        <w:rPr>
          <w:rFonts w:ascii="Arial" w:hAnsi="Arial" w:cs="Arial"/>
          <w:sz w:val="24"/>
          <w:szCs w:val="24"/>
        </w:rPr>
        <w:t xml:space="preserve">on the day of the appeal hearing or </w:t>
      </w:r>
      <w:r w:rsidR="002D4B19" w:rsidRPr="004B1C0E">
        <w:rPr>
          <w:rFonts w:ascii="Arial" w:hAnsi="Arial" w:cs="Arial"/>
          <w:sz w:val="24"/>
          <w:szCs w:val="24"/>
        </w:rPr>
        <w:t xml:space="preserve">whether </w:t>
      </w:r>
      <w:r w:rsidR="00150BA3" w:rsidRPr="004B1C0E">
        <w:rPr>
          <w:rFonts w:ascii="Arial" w:hAnsi="Arial" w:cs="Arial"/>
          <w:sz w:val="24"/>
          <w:szCs w:val="24"/>
        </w:rPr>
        <w:t xml:space="preserve">her illness bars her from </w:t>
      </w:r>
      <w:r w:rsidR="0043684E" w:rsidRPr="004B1C0E">
        <w:rPr>
          <w:rFonts w:ascii="Arial" w:hAnsi="Arial" w:cs="Arial"/>
          <w:sz w:val="24"/>
          <w:szCs w:val="24"/>
        </w:rPr>
        <w:t>present</w:t>
      </w:r>
      <w:r w:rsidR="002D4B19" w:rsidRPr="004B1C0E">
        <w:rPr>
          <w:rFonts w:ascii="Arial" w:hAnsi="Arial" w:cs="Arial"/>
          <w:sz w:val="24"/>
          <w:szCs w:val="24"/>
        </w:rPr>
        <w:t>ing</w:t>
      </w:r>
      <w:r w:rsidR="0043684E" w:rsidRPr="004B1C0E">
        <w:rPr>
          <w:rFonts w:ascii="Arial" w:hAnsi="Arial" w:cs="Arial"/>
          <w:sz w:val="24"/>
          <w:szCs w:val="24"/>
        </w:rPr>
        <w:t xml:space="preserve"> her appeal</w:t>
      </w:r>
      <w:r w:rsidR="00574BC5" w:rsidRPr="004B1C0E">
        <w:rPr>
          <w:rFonts w:ascii="Arial" w:hAnsi="Arial" w:cs="Arial"/>
          <w:sz w:val="24"/>
          <w:szCs w:val="24"/>
        </w:rPr>
        <w:t>.</w:t>
      </w:r>
      <w:r w:rsidR="0043684E" w:rsidRPr="004B1C0E">
        <w:rPr>
          <w:rFonts w:ascii="Arial" w:hAnsi="Arial" w:cs="Arial"/>
          <w:sz w:val="24"/>
          <w:szCs w:val="24"/>
        </w:rPr>
        <w:t xml:space="preserve">  </w:t>
      </w:r>
    </w:p>
    <w:p w14:paraId="07EE3A2D" w14:textId="77777777" w:rsidR="0043684E" w:rsidRPr="00397BD3" w:rsidRDefault="0043684E" w:rsidP="00397BD3">
      <w:pPr>
        <w:pStyle w:val="ListParagraph"/>
        <w:spacing w:line="480" w:lineRule="auto"/>
        <w:rPr>
          <w:rFonts w:ascii="Arial" w:hAnsi="Arial" w:cs="Arial"/>
          <w:sz w:val="24"/>
          <w:szCs w:val="24"/>
        </w:rPr>
      </w:pPr>
    </w:p>
    <w:p w14:paraId="593A72D0" w14:textId="01615AC6" w:rsidR="0043684E" w:rsidRPr="004B1C0E" w:rsidRDefault="004B1C0E" w:rsidP="004B1C0E">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3684E" w:rsidRPr="004B1C0E">
        <w:rPr>
          <w:rFonts w:ascii="Arial" w:hAnsi="Arial" w:cs="Arial"/>
          <w:sz w:val="24"/>
          <w:szCs w:val="24"/>
        </w:rPr>
        <w:t>The Appellant does not provide any reason in the postponement affidavit as to why she waited from 17 January 2024 to 25 January 2024, the day before her appeal heads of argument were due, to file the postponement affidavit. The content of the postponement affidavit fa</w:t>
      </w:r>
      <w:r w:rsidR="00872D6F" w:rsidRPr="004B1C0E">
        <w:rPr>
          <w:rFonts w:ascii="Arial" w:hAnsi="Arial" w:cs="Arial"/>
          <w:sz w:val="24"/>
          <w:szCs w:val="24"/>
        </w:rPr>
        <w:t xml:space="preserve">lls </w:t>
      </w:r>
      <w:r w:rsidR="00C54F45" w:rsidRPr="004B1C0E">
        <w:rPr>
          <w:rFonts w:ascii="Arial" w:hAnsi="Arial" w:cs="Arial"/>
          <w:sz w:val="24"/>
          <w:szCs w:val="24"/>
        </w:rPr>
        <w:t xml:space="preserve">short of satisfying </w:t>
      </w:r>
      <w:r w:rsidR="0043684E" w:rsidRPr="004B1C0E">
        <w:rPr>
          <w:rFonts w:ascii="Arial" w:hAnsi="Arial" w:cs="Arial"/>
          <w:sz w:val="24"/>
          <w:szCs w:val="24"/>
        </w:rPr>
        <w:t xml:space="preserve">the requirements </w:t>
      </w:r>
      <w:r w:rsidR="00443AD7" w:rsidRPr="004B1C0E">
        <w:rPr>
          <w:rFonts w:ascii="Arial" w:hAnsi="Arial" w:cs="Arial"/>
          <w:sz w:val="24"/>
          <w:szCs w:val="24"/>
        </w:rPr>
        <w:t xml:space="preserve">for seeking </w:t>
      </w:r>
      <w:r w:rsidR="0043684E" w:rsidRPr="004B1C0E">
        <w:rPr>
          <w:rFonts w:ascii="Arial" w:hAnsi="Arial" w:cs="Arial"/>
          <w:sz w:val="24"/>
          <w:szCs w:val="24"/>
        </w:rPr>
        <w:t xml:space="preserve">a postponement.  </w:t>
      </w:r>
    </w:p>
    <w:p w14:paraId="5CBA30C1" w14:textId="77777777" w:rsidR="00397BD3" w:rsidRPr="00397BD3" w:rsidRDefault="00397BD3" w:rsidP="00397BD3">
      <w:pPr>
        <w:pStyle w:val="ListParagraph"/>
        <w:rPr>
          <w:rFonts w:ascii="Arial" w:hAnsi="Arial" w:cs="Arial"/>
          <w:sz w:val="24"/>
          <w:szCs w:val="24"/>
        </w:rPr>
      </w:pPr>
    </w:p>
    <w:p w14:paraId="4915EF5C" w14:textId="68CFF063"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13.</w:t>
      </w:r>
      <w:r w:rsidRPr="00397BD3">
        <w:rPr>
          <w:rFonts w:ascii="Arial" w:hAnsi="Arial" w:cs="Arial"/>
          <w:sz w:val="24"/>
          <w:szCs w:val="24"/>
        </w:rPr>
        <w:tab/>
      </w:r>
      <w:r w:rsidR="0043684E" w:rsidRPr="004B1C0E">
        <w:rPr>
          <w:rFonts w:ascii="Arial" w:hAnsi="Arial" w:cs="Arial"/>
          <w:sz w:val="24"/>
          <w:szCs w:val="24"/>
        </w:rPr>
        <w:t xml:space="preserve">The court has </w:t>
      </w:r>
      <w:r w:rsidR="00150BA3" w:rsidRPr="004B1C0E">
        <w:rPr>
          <w:rFonts w:ascii="Arial" w:hAnsi="Arial" w:cs="Arial"/>
          <w:sz w:val="24"/>
          <w:szCs w:val="24"/>
        </w:rPr>
        <w:t>the</w:t>
      </w:r>
      <w:r w:rsidR="0043684E" w:rsidRPr="004B1C0E">
        <w:rPr>
          <w:rFonts w:ascii="Arial" w:hAnsi="Arial" w:cs="Arial"/>
          <w:sz w:val="24"/>
          <w:szCs w:val="24"/>
        </w:rPr>
        <w:t xml:space="preserve"> discretion to grant or refuse an application for a postponement.</w:t>
      </w:r>
      <w:r w:rsidR="0043684E" w:rsidRPr="00397BD3">
        <w:rPr>
          <w:rStyle w:val="FootnoteReference"/>
          <w:rFonts w:ascii="Arial" w:hAnsi="Arial" w:cs="Arial"/>
          <w:sz w:val="24"/>
          <w:szCs w:val="24"/>
        </w:rPr>
        <w:footnoteReference w:id="4"/>
      </w:r>
      <w:r w:rsidR="0043684E" w:rsidRPr="004B1C0E">
        <w:rPr>
          <w:rFonts w:ascii="Arial" w:hAnsi="Arial" w:cs="Arial"/>
          <w:sz w:val="24"/>
          <w:szCs w:val="24"/>
        </w:rPr>
        <w:t xml:space="preserve"> The application must be timeously made, bona fide, and not used as a delaying tactic. The First Respondent's affidavit opposing the postponement is replete with allegations suggesting that </w:t>
      </w:r>
      <w:r w:rsidR="001C54DF" w:rsidRPr="004B1C0E">
        <w:rPr>
          <w:rFonts w:ascii="Arial" w:hAnsi="Arial" w:cs="Arial"/>
          <w:sz w:val="24"/>
          <w:szCs w:val="24"/>
        </w:rPr>
        <w:t xml:space="preserve">the Appellant is </w:t>
      </w:r>
      <w:r w:rsidR="001C54DF" w:rsidRPr="004B1C0E">
        <w:rPr>
          <w:rFonts w:ascii="Arial" w:hAnsi="Arial" w:cs="Arial"/>
          <w:sz w:val="24"/>
          <w:szCs w:val="24"/>
        </w:rPr>
        <w:lastRenderedPageBreak/>
        <w:t xml:space="preserve">delaying her departure </w:t>
      </w:r>
      <w:r w:rsidR="00D470CD" w:rsidRPr="004B1C0E">
        <w:rPr>
          <w:rFonts w:ascii="Arial" w:hAnsi="Arial" w:cs="Arial"/>
          <w:sz w:val="24"/>
          <w:szCs w:val="24"/>
        </w:rPr>
        <w:t>from their property by moving this appeal.</w:t>
      </w:r>
      <w:r w:rsidR="00B80F5A" w:rsidRPr="004B1C0E">
        <w:rPr>
          <w:rFonts w:ascii="Arial" w:hAnsi="Arial" w:cs="Arial"/>
          <w:sz w:val="24"/>
          <w:szCs w:val="24"/>
        </w:rPr>
        <w:t xml:space="preserve"> </w:t>
      </w:r>
      <w:r w:rsidR="0043684E" w:rsidRPr="004B1C0E">
        <w:rPr>
          <w:rFonts w:ascii="Arial" w:hAnsi="Arial" w:cs="Arial"/>
          <w:sz w:val="24"/>
          <w:szCs w:val="24"/>
        </w:rPr>
        <w:t xml:space="preserve">Considerations of prejudice and the balance of convenience usually tilt a court towards granting or refusing a postponement. An order granting the postponement and allowing the Respondents' costs </w:t>
      </w:r>
      <w:r w:rsidR="00B80F5A" w:rsidRPr="004B1C0E">
        <w:rPr>
          <w:rFonts w:ascii="Arial" w:hAnsi="Arial" w:cs="Arial"/>
          <w:sz w:val="24"/>
          <w:szCs w:val="24"/>
        </w:rPr>
        <w:t xml:space="preserve">as solace </w:t>
      </w:r>
      <w:r w:rsidR="0043684E" w:rsidRPr="004B1C0E">
        <w:rPr>
          <w:rFonts w:ascii="Arial" w:hAnsi="Arial" w:cs="Arial"/>
          <w:sz w:val="24"/>
          <w:szCs w:val="24"/>
        </w:rPr>
        <w:t xml:space="preserve">will not relieve the prejudice suffered by them. They have three minor children and have been sheltering </w:t>
      </w:r>
      <w:r w:rsidR="00B80F5A" w:rsidRPr="004B1C0E">
        <w:rPr>
          <w:rFonts w:ascii="Arial" w:hAnsi="Arial" w:cs="Arial"/>
          <w:sz w:val="24"/>
          <w:szCs w:val="24"/>
        </w:rPr>
        <w:t xml:space="preserve">under </w:t>
      </w:r>
      <w:r w:rsidR="009A2344" w:rsidRPr="004B1C0E">
        <w:rPr>
          <w:rFonts w:ascii="Arial" w:hAnsi="Arial" w:cs="Arial"/>
          <w:sz w:val="24"/>
          <w:szCs w:val="24"/>
        </w:rPr>
        <w:t xml:space="preserve">unfavourable conditions </w:t>
      </w:r>
      <w:r w:rsidR="0043684E" w:rsidRPr="004B1C0E">
        <w:rPr>
          <w:rFonts w:ascii="Arial" w:hAnsi="Arial" w:cs="Arial"/>
          <w:sz w:val="24"/>
          <w:szCs w:val="24"/>
        </w:rPr>
        <w:t>with the Second Respondent's mother for three and a half months, the period that has elapsed since the Appellant initially agreed to depart their property</w:t>
      </w:r>
      <w:r w:rsidR="009A2344" w:rsidRPr="004B1C0E">
        <w:rPr>
          <w:rFonts w:ascii="Arial" w:hAnsi="Arial" w:cs="Arial"/>
          <w:sz w:val="24"/>
          <w:szCs w:val="24"/>
        </w:rPr>
        <w:t>.</w:t>
      </w:r>
      <w:r w:rsidR="0043684E" w:rsidRPr="004B1C0E">
        <w:rPr>
          <w:rFonts w:ascii="Arial" w:hAnsi="Arial" w:cs="Arial"/>
          <w:sz w:val="24"/>
          <w:szCs w:val="24"/>
        </w:rPr>
        <w:t xml:space="preserve"> The balance of convenience favours a refusal of the application rather than granting it. </w:t>
      </w:r>
      <w:r w:rsidR="00F02471" w:rsidRPr="004B1C0E">
        <w:rPr>
          <w:rFonts w:ascii="Arial" w:hAnsi="Arial" w:cs="Arial"/>
          <w:sz w:val="24"/>
          <w:szCs w:val="24"/>
        </w:rPr>
        <w:t xml:space="preserve">The Appellant, </w:t>
      </w:r>
      <w:r w:rsidR="00075E71" w:rsidRPr="004B1C0E">
        <w:rPr>
          <w:rFonts w:ascii="Arial" w:hAnsi="Arial" w:cs="Arial"/>
          <w:sz w:val="24"/>
          <w:szCs w:val="24"/>
        </w:rPr>
        <w:t>un</w:t>
      </w:r>
      <w:r w:rsidR="00CB0096" w:rsidRPr="004B1C0E">
        <w:rPr>
          <w:rFonts w:ascii="Arial" w:hAnsi="Arial" w:cs="Arial"/>
          <w:sz w:val="24"/>
          <w:szCs w:val="24"/>
        </w:rPr>
        <w:t xml:space="preserve">fettered by </w:t>
      </w:r>
      <w:r w:rsidR="00340F6A" w:rsidRPr="004B1C0E">
        <w:rPr>
          <w:rFonts w:ascii="Arial" w:hAnsi="Arial" w:cs="Arial"/>
          <w:sz w:val="24"/>
          <w:szCs w:val="24"/>
        </w:rPr>
        <w:t>imp</w:t>
      </w:r>
      <w:r w:rsidR="00EE505B" w:rsidRPr="004B1C0E">
        <w:rPr>
          <w:rFonts w:ascii="Arial" w:hAnsi="Arial" w:cs="Arial"/>
          <w:sz w:val="24"/>
          <w:szCs w:val="24"/>
        </w:rPr>
        <w:t xml:space="preserve">ecunity, has had sufficient </w:t>
      </w:r>
      <w:r w:rsidR="00167E7F" w:rsidRPr="004B1C0E">
        <w:rPr>
          <w:rFonts w:ascii="Arial" w:hAnsi="Arial" w:cs="Arial"/>
          <w:sz w:val="24"/>
          <w:szCs w:val="24"/>
        </w:rPr>
        <w:t xml:space="preserve">time to secure other accommodation. </w:t>
      </w:r>
      <w:r w:rsidR="001D725D" w:rsidRPr="004B1C0E">
        <w:rPr>
          <w:rFonts w:ascii="Arial" w:hAnsi="Arial" w:cs="Arial"/>
          <w:sz w:val="24"/>
          <w:szCs w:val="24"/>
        </w:rPr>
        <w:t xml:space="preserve"> </w:t>
      </w:r>
      <w:r w:rsidR="0043684E" w:rsidRPr="004B1C0E">
        <w:rPr>
          <w:rFonts w:ascii="Arial" w:hAnsi="Arial" w:cs="Arial"/>
          <w:sz w:val="24"/>
          <w:szCs w:val="24"/>
        </w:rPr>
        <w:t xml:space="preserve">  </w:t>
      </w:r>
    </w:p>
    <w:p w14:paraId="698C88B1" w14:textId="77777777" w:rsidR="0043684E" w:rsidRPr="00397BD3" w:rsidRDefault="0043684E" w:rsidP="00397BD3">
      <w:pPr>
        <w:pStyle w:val="ListParagraph"/>
        <w:spacing w:line="480" w:lineRule="auto"/>
        <w:rPr>
          <w:rFonts w:ascii="Arial" w:hAnsi="Arial" w:cs="Arial"/>
          <w:sz w:val="24"/>
          <w:szCs w:val="24"/>
        </w:rPr>
      </w:pPr>
    </w:p>
    <w:p w14:paraId="4F64DA32" w14:textId="4A0E0F2A" w:rsidR="0043684E" w:rsidRPr="004B1C0E" w:rsidRDefault="004B1C0E" w:rsidP="004B1C0E">
      <w:pPr>
        <w:tabs>
          <w:tab w:val="left" w:pos="630"/>
        </w:tabs>
        <w:spacing w:line="480" w:lineRule="auto"/>
        <w:ind w:left="720" w:hanging="720"/>
        <w:jc w:val="both"/>
        <w:rPr>
          <w:rFonts w:ascii="Arial" w:hAnsi="Arial" w:cs="Arial"/>
          <w:sz w:val="24"/>
          <w:szCs w:val="24"/>
        </w:rPr>
      </w:pPr>
      <w:r w:rsidRPr="00397BD3">
        <w:rPr>
          <w:rFonts w:ascii="Arial" w:hAnsi="Arial" w:cs="Arial"/>
          <w:sz w:val="24"/>
          <w:szCs w:val="24"/>
        </w:rPr>
        <w:t>14.</w:t>
      </w:r>
      <w:r w:rsidRPr="00397BD3">
        <w:rPr>
          <w:rFonts w:ascii="Arial" w:hAnsi="Arial" w:cs="Arial"/>
          <w:sz w:val="24"/>
          <w:szCs w:val="24"/>
        </w:rPr>
        <w:tab/>
      </w:r>
      <w:r w:rsidR="0043684E" w:rsidRPr="004B1C0E">
        <w:rPr>
          <w:rFonts w:ascii="Arial" w:hAnsi="Arial" w:cs="Arial"/>
          <w:sz w:val="24"/>
          <w:szCs w:val="24"/>
        </w:rPr>
        <w:t xml:space="preserve">The Appellant was legally represented during her appearances in the Magistrate’s court. She failed to file a proper application for a postponement and there is no explanation as to why she could have not sought the services of a legal representative to present her appeal in this court. The application for a postponement must therefore fail. </w:t>
      </w:r>
      <w:r w:rsidR="00343F25" w:rsidRPr="004B1C0E">
        <w:rPr>
          <w:rFonts w:ascii="Arial" w:hAnsi="Arial" w:cs="Arial"/>
          <w:sz w:val="24"/>
          <w:szCs w:val="24"/>
        </w:rPr>
        <w:t xml:space="preserve">I </w:t>
      </w:r>
      <w:r w:rsidR="0043684E" w:rsidRPr="004B1C0E">
        <w:rPr>
          <w:rFonts w:ascii="Arial" w:hAnsi="Arial" w:cs="Arial"/>
          <w:sz w:val="24"/>
          <w:szCs w:val="24"/>
        </w:rPr>
        <w:t xml:space="preserve">turn to deal with the appeal.    </w:t>
      </w:r>
    </w:p>
    <w:p w14:paraId="6B139F95" w14:textId="77777777" w:rsidR="0043684E" w:rsidRPr="00397BD3" w:rsidRDefault="0043684E" w:rsidP="00397BD3">
      <w:pPr>
        <w:pStyle w:val="ListParagraph"/>
        <w:spacing w:line="480" w:lineRule="auto"/>
        <w:rPr>
          <w:rFonts w:ascii="Arial" w:hAnsi="Arial" w:cs="Arial"/>
          <w:sz w:val="24"/>
          <w:szCs w:val="24"/>
        </w:rPr>
      </w:pPr>
    </w:p>
    <w:p w14:paraId="6ADDF4C9" w14:textId="1E0BC064"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15.</w:t>
      </w:r>
      <w:r w:rsidRPr="00397BD3">
        <w:rPr>
          <w:rFonts w:ascii="Arial" w:hAnsi="Arial" w:cs="Arial"/>
          <w:sz w:val="24"/>
          <w:szCs w:val="24"/>
        </w:rPr>
        <w:tab/>
      </w:r>
      <w:r w:rsidR="00DB0572" w:rsidRPr="004B1C0E">
        <w:rPr>
          <w:rFonts w:ascii="Arial" w:hAnsi="Arial" w:cs="Arial"/>
          <w:sz w:val="24"/>
          <w:szCs w:val="24"/>
        </w:rPr>
        <w:t xml:space="preserve">Section 84 of the Magistrates’ Courts Act 32 of 1944, required the Appellant to raise her appeal within the period and in the manner prescribed by the rules. Rule 51 of the Magistrate’s Courts </w:t>
      </w:r>
      <w:r w:rsidR="002F3C02" w:rsidRPr="004B1C0E">
        <w:rPr>
          <w:rFonts w:ascii="Arial" w:hAnsi="Arial" w:cs="Arial"/>
          <w:sz w:val="24"/>
          <w:szCs w:val="24"/>
        </w:rPr>
        <w:t>R</w:t>
      </w:r>
      <w:r w:rsidR="00DB0572" w:rsidRPr="004B1C0E">
        <w:rPr>
          <w:rFonts w:ascii="Arial" w:hAnsi="Arial" w:cs="Arial"/>
          <w:sz w:val="24"/>
          <w:szCs w:val="24"/>
        </w:rPr>
        <w:t>ules contain</w:t>
      </w:r>
      <w:r w:rsidR="00A14B63" w:rsidRPr="004B1C0E">
        <w:rPr>
          <w:rFonts w:ascii="Arial" w:hAnsi="Arial" w:cs="Arial"/>
          <w:sz w:val="24"/>
          <w:szCs w:val="24"/>
        </w:rPr>
        <w:t>s</w:t>
      </w:r>
      <w:r w:rsidR="00DB0572" w:rsidRPr="004B1C0E">
        <w:rPr>
          <w:rFonts w:ascii="Arial" w:hAnsi="Arial" w:cs="Arial"/>
          <w:sz w:val="24"/>
          <w:szCs w:val="24"/>
        </w:rPr>
        <w:t xml:space="preserve"> the requirements for the noting of a civil appeal. </w:t>
      </w:r>
      <w:r w:rsidR="00D744AD" w:rsidRPr="004B1C0E">
        <w:rPr>
          <w:rFonts w:ascii="Arial" w:hAnsi="Arial" w:cs="Arial"/>
          <w:sz w:val="24"/>
          <w:szCs w:val="24"/>
        </w:rPr>
        <w:t>Rules 51(1), 51(</w:t>
      </w:r>
      <w:r w:rsidR="00304CC5" w:rsidRPr="004B1C0E">
        <w:rPr>
          <w:rFonts w:ascii="Arial" w:hAnsi="Arial" w:cs="Arial"/>
          <w:sz w:val="24"/>
          <w:szCs w:val="24"/>
        </w:rPr>
        <w:t>3), 51(4), 51(7), and 51(8) find application in this appeal.</w:t>
      </w:r>
      <w:r w:rsidR="00427B51" w:rsidRPr="004B1C0E">
        <w:rPr>
          <w:rFonts w:ascii="Arial" w:hAnsi="Arial" w:cs="Arial"/>
          <w:sz w:val="24"/>
          <w:szCs w:val="24"/>
        </w:rPr>
        <w:t xml:space="preserve"> </w:t>
      </w:r>
      <w:r w:rsidR="0043684E" w:rsidRPr="004B1C0E">
        <w:rPr>
          <w:rFonts w:ascii="Arial" w:hAnsi="Arial" w:cs="Arial"/>
          <w:sz w:val="24"/>
          <w:szCs w:val="24"/>
        </w:rPr>
        <w:t xml:space="preserve">The Respondents </w:t>
      </w:r>
      <w:r w:rsidR="00DB0572" w:rsidRPr="004B1C0E">
        <w:rPr>
          <w:rFonts w:ascii="Arial" w:hAnsi="Arial" w:cs="Arial"/>
          <w:sz w:val="24"/>
          <w:szCs w:val="24"/>
        </w:rPr>
        <w:t xml:space="preserve">contend </w:t>
      </w:r>
      <w:r w:rsidR="0043684E" w:rsidRPr="004B1C0E">
        <w:rPr>
          <w:rFonts w:ascii="Arial" w:hAnsi="Arial" w:cs="Arial"/>
          <w:sz w:val="24"/>
          <w:szCs w:val="24"/>
        </w:rPr>
        <w:t>that the Appellant failed to comply with Rule 51(7)</w:t>
      </w:r>
      <w:r w:rsidR="0028075A" w:rsidRPr="004B1C0E">
        <w:rPr>
          <w:rFonts w:ascii="Arial" w:hAnsi="Arial" w:cs="Arial"/>
          <w:sz w:val="24"/>
          <w:szCs w:val="24"/>
        </w:rPr>
        <w:t xml:space="preserve">. The </w:t>
      </w:r>
      <w:r w:rsidR="0043684E" w:rsidRPr="004B1C0E">
        <w:rPr>
          <w:rFonts w:ascii="Arial" w:hAnsi="Arial" w:cs="Arial"/>
          <w:sz w:val="24"/>
          <w:szCs w:val="24"/>
        </w:rPr>
        <w:t xml:space="preserve">Appellant did not file a notice of appeal stating whether </w:t>
      </w:r>
      <w:r w:rsidR="0028075A" w:rsidRPr="004B1C0E">
        <w:rPr>
          <w:rFonts w:ascii="Arial" w:hAnsi="Arial" w:cs="Arial"/>
          <w:sz w:val="24"/>
          <w:szCs w:val="24"/>
        </w:rPr>
        <w:t xml:space="preserve">she </w:t>
      </w:r>
      <w:r w:rsidR="00ED18A3" w:rsidRPr="004B1C0E">
        <w:rPr>
          <w:rFonts w:ascii="Arial" w:hAnsi="Arial" w:cs="Arial"/>
          <w:sz w:val="24"/>
          <w:szCs w:val="24"/>
        </w:rPr>
        <w:t>appealed</w:t>
      </w:r>
      <w:r w:rsidR="0028075A" w:rsidRPr="004B1C0E">
        <w:rPr>
          <w:rFonts w:ascii="Arial" w:hAnsi="Arial" w:cs="Arial"/>
          <w:sz w:val="24"/>
          <w:szCs w:val="24"/>
        </w:rPr>
        <w:t xml:space="preserve"> </w:t>
      </w:r>
      <w:r w:rsidR="00B27159" w:rsidRPr="004B1C0E">
        <w:rPr>
          <w:rFonts w:ascii="Arial" w:hAnsi="Arial" w:cs="Arial"/>
          <w:sz w:val="24"/>
          <w:szCs w:val="24"/>
        </w:rPr>
        <w:t>the whole or part of the judgment</w:t>
      </w:r>
      <w:r w:rsidR="00ED18A3" w:rsidRPr="004B1C0E">
        <w:rPr>
          <w:rFonts w:ascii="Arial" w:hAnsi="Arial" w:cs="Arial"/>
          <w:sz w:val="24"/>
          <w:szCs w:val="24"/>
        </w:rPr>
        <w:t>, nor did she</w:t>
      </w:r>
      <w:r w:rsidR="000470FA" w:rsidRPr="004B1C0E">
        <w:rPr>
          <w:rFonts w:ascii="Arial" w:hAnsi="Arial" w:cs="Arial"/>
          <w:sz w:val="24"/>
          <w:szCs w:val="24"/>
        </w:rPr>
        <w:t xml:space="preserve"> identify </w:t>
      </w:r>
      <w:r w:rsidR="000470FA" w:rsidRPr="004B1C0E">
        <w:rPr>
          <w:rFonts w:ascii="Arial" w:hAnsi="Arial" w:cs="Arial"/>
          <w:sz w:val="24"/>
          <w:szCs w:val="24"/>
        </w:rPr>
        <w:lastRenderedPageBreak/>
        <w:t xml:space="preserve">the </w:t>
      </w:r>
      <w:r w:rsidR="00517B4A" w:rsidRPr="004B1C0E">
        <w:rPr>
          <w:rFonts w:ascii="Arial" w:hAnsi="Arial" w:cs="Arial"/>
          <w:sz w:val="24"/>
          <w:szCs w:val="24"/>
        </w:rPr>
        <w:t xml:space="preserve">findings of fact </w:t>
      </w:r>
      <w:r w:rsidR="00976DB7" w:rsidRPr="004B1C0E">
        <w:rPr>
          <w:rFonts w:ascii="Arial" w:hAnsi="Arial" w:cs="Arial"/>
          <w:sz w:val="24"/>
          <w:szCs w:val="24"/>
        </w:rPr>
        <w:t xml:space="preserve">or rulings of law </w:t>
      </w:r>
      <w:r w:rsidR="00CE5220" w:rsidRPr="004B1C0E">
        <w:rPr>
          <w:rFonts w:ascii="Arial" w:hAnsi="Arial" w:cs="Arial"/>
          <w:sz w:val="24"/>
          <w:szCs w:val="24"/>
        </w:rPr>
        <w:t xml:space="preserve">she </w:t>
      </w:r>
      <w:r w:rsidR="00E147F5" w:rsidRPr="004B1C0E">
        <w:rPr>
          <w:rFonts w:ascii="Arial" w:hAnsi="Arial" w:cs="Arial"/>
          <w:sz w:val="24"/>
          <w:szCs w:val="24"/>
        </w:rPr>
        <w:t xml:space="preserve">contests. </w:t>
      </w:r>
      <w:r w:rsidR="009B7AB3" w:rsidRPr="004B1C0E">
        <w:rPr>
          <w:rFonts w:ascii="Arial" w:hAnsi="Arial" w:cs="Arial"/>
          <w:sz w:val="24"/>
          <w:szCs w:val="24"/>
        </w:rPr>
        <w:t xml:space="preserve">The Respondents are correct. </w:t>
      </w:r>
      <w:r w:rsidR="00F5266A" w:rsidRPr="004B1C0E">
        <w:rPr>
          <w:rFonts w:ascii="Arial" w:hAnsi="Arial" w:cs="Arial"/>
          <w:sz w:val="24"/>
          <w:szCs w:val="24"/>
        </w:rPr>
        <w:t xml:space="preserve">The Appellant’s notice of appeal fails </w:t>
      </w:r>
      <w:r w:rsidR="00C46A7B" w:rsidRPr="004B1C0E">
        <w:rPr>
          <w:rFonts w:ascii="Arial" w:hAnsi="Arial" w:cs="Arial"/>
          <w:sz w:val="24"/>
          <w:szCs w:val="24"/>
        </w:rPr>
        <w:t xml:space="preserve">to satisfy </w:t>
      </w:r>
      <w:r w:rsidR="00F5266A" w:rsidRPr="004B1C0E">
        <w:rPr>
          <w:rFonts w:ascii="Arial" w:hAnsi="Arial" w:cs="Arial"/>
          <w:sz w:val="24"/>
          <w:szCs w:val="24"/>
        </w:rPr>
        <w:t xml:space="preserve">both </w:t>
      </w:r>
      <w:r w:rsidR="00C46A7B" w:rsidRPr="004B1C0E">
        <w:rPr>
          <w:rFonts w:ascii="Arial" w:hAnsi="Arial" w:cs="Arial"/>
          <w:sz w:val="24"/>
          <w:szCs w:val="24"/>
        </w:rPr>
        <w:t xml:space="preserve">requirements of </w:t>
      </w:r>
      <w:r w:rsidR="00F7755C" w:rsidRPr="004B1C0E">
        <w:rPr>
          <w:rFonts w:ascii="Arial" w:hAnsi="Arial" w:cs="Arial"/>
          <w:sz w:val="24"/>
          <w:szCs w:val="24"/>
        </w:rPr>
        <w:t xml:space="preserve">Rule 51(7). </w:t>
      </w:r>
      <w:r w:rsidR="009B7AB3" w:rsidRPr="004B1C0E">
        <w:rPr>
          <w:rFonts w:ascii="Arial" w:hAnsi="Arial" w:cs="Arial"/>
          <w:sz w:val="24"/>
          <w:szCs w:val="24"/>
        </w:rPr>
        <w:t xml:space="preserve"> </w:t>
      </w:r>
      <w:r w:rsidR="0043684E" w:rsidRPr="004B1C0E">
        <w:rPr>
          <w:rFonts w:ascii="Arial" w:hAnsi="Arial" w:cs="Arial"/>
          <w:sz w:val="24"/>
          <w:szCs w:val="24"/>
        </w:rPr>
        <w:t xml:space="preserve">This is not the lone instance of the Appellant's failure to comply with the noting and prosecution of her appeal. </w:t>
      </w:r>
    </w:p>
    <w:p w14:paraId="6004C551" w14:textId="77777777" w:rsidR="0043684E" w:rsidRPr="00397BD3" w:rsidRDefault="0043684E" w:rsidP="00397BD3">
      <w:pPr>
        <w:pStyle w:val="ListParagraph"/>
        <w:spacing w:line="480" w:lineRule="auto"/>
        <w:rPr>
          <w:rFonts w:ascii="Arial" w:hAnsi="Arial" w:cs="Arial"/>
          <w:sz w:val="24"/>
          <w:szCs w:val="24"/>
        </w:rPr>
      </w:pPr>
    </w:p>
    <w:p w14:paraId="3212AFD5" w14:textId="7E069C04"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16.</w:t>
      </w:r>
      <w:r w:rsidRPr="00397BD3">
        <w:rPr>
          <w:rFonts w:ascii="Arial" w:hAnsi="Arial" w:cs="Arial"/>
          <w:sz w:val="24"/>
          <w:szCs w:val="24"/>
        </w:rPr>
        <w:tab/>
      </w:r>
      <w:r w:rsidR="00F25E40" w:rsidRPr="004B1C0E">
        <w:rPr>
          <w:rFonts w:ascii="Arial" w:hAnsi="Arial" w:cs="Arial"/>
          <w:bCs/>
          <w:sz w:val="24"/>
          <w:szCs w:val="24"/>
          <w:lang w:val="en-US"/>
        </w:rPr>
        <w:t xml:space="preserve">The Appellant initiated this appeal process belatedly and has </w:t>
      </w:r>
      <w:r w:rsidR="00A67400" w:rsidRPr="004B1C0E">
        <w:rPr>
          <w:rFonts w:ascii="Arial" w:hAnsi="Arial" w:cs="Arial"/>
          <w:bCs/>
          <w:sz w:val="24"/>
          <w:szCs w:val="24"/>
          <w:lang w:val="en-US"/>
        </w:rPr>
        <w:t xml:space="preserve">not </w:t>
      </w:r>
      <w:r w:rsidR="0015483B" w:rsidRPr="004B1C0E">
        <w:rPr>
          <w:rFonts w:ascii="Arial" w:hAnsi="Arial" w:cs="Arial"/>
          <w:bCs/>
          <w:sz w:val="24"/>
          <w:szCs w:val="24"/>
          <w:lang w:val="en-US"/>
        </w:rPr>
        <w:t xml:space="preserve">adhered </w:t>
      </w:r>
      <w:r w:rsidR="00F25E40" w:rsidRPr="004B1C0E">
        <w:rPr>
          <w:rFonts w:ascii="Arial" w:hAnsi="Arial" w:cs="Arial"/>
          <w:bCs/>
          <w:sz w:val="24"/>
          <w:szCs w:val="24"/>
          <w:lang w:val="en-US"/>
        </w:rPr>
        <w:t xml:space="preserve">strictly </w:t>
      </w:r>
      <w:r w:rsidR="00FE7D58" w:rsidRPr="004B1C0E">
        <w:rPr>
          <w:rFonts w:ascii="Arial" w:hAnsi="Arial" w:cs="Arial"/>
          <w:bCs/>
          <w:sz w:val="24"/>
          <w:szCs w:val="24"/>
          <w:lang w:val="en-US"/>
        </w:rPr>
        <w:t>to</w:t>
      </w:r>
      <w:r w:rsidR="00F25E40" w:rsidRPr="004B1C0E">
        <w:rPr>
          <w:rFonts w:ascii="Arial" w:hAnsi="Arial" w:cs="Arial"/>
          <w:bCs/>
          <w:sz w:val="24"/>
          <w:szCs w:val="24"/>
          <w:lang w:val="en-US"/>
        </w:rPr>
        <w:t xml:space="preserve"> the time periods </w:t>
      </w:r>
      <w:r w:rsidR="00107D98" w:rsidRPr="004B1C0E">
        <w:rPr>
          <w:rFonts w:ascii="Arial" w:hAnsi="Arial" w:cs="Arial"/>
          <w:bCs/>
          <w:sz w:val="24"/>
          <w:szCs w:val="24"/>
          <w:lang w:val="en-US"/>
        </w:rPr>
        <w:t>or the prescribed content of her pap</w:t>
      </w:r>
      <w:r w:rsidR="00E77275" w:rsidRPr="004B1C0E">
        <w:rPr>
          <w:rFonts w:ascii="Arial" w:hAnsi="Arial" w:cs="Arial"/>
          <w:bCs/>
          <w:sz w:val="24"/>
          <w:szCs w:val="24"/>
          <w:lang w:val="en-US"/>
        </w:rPr>
        <w:t xml:space="preserve">ers. </w:t>
      </w:r>
      <w:r w:rsidR="0043684E" w:rsidRPr="004B1C0E">
        <w:rPr>
          <w:rFonts w:ascii="Arial" w:hAnsi="Arial" w:cs="Arial"/>
          <w:sz w:val="24"/>
          <w:szCs w:val="24"/>
        </w:rPr>
        <w:t xml:space="preserve">The Appellant failed to </w:t>
      </w:r>
      <w:r w:rsidR="001845D9" w:rsidRPr="004B1C0E">
        <w:rPr>
          <w:rFonts w:ascii="Arial" w:hAnsi="Arial" w:cs="Arial"/>
          <w:sz w:val="24"/>
          <w:szCs w:val="24"/>
        </w:rPr>
        <w:t xml:space="preserve">file a written request to the Magistrate </w:t>
      </w:r>
      <w:r w:rsidR="00393880" w:rsidRPr="004B1C0E">
        <w:rPr>
          <w:rFonts w:ascii="Arial" w:hAnsi="Arial" w:cs="Arial"/>
          <w:sz w:val="24"/>
          <w:szCs w:val="24"/>
        </w:rPr>
        <w:t>to provide a written judgment within ten days of the Magistrate’s order</w:t>
      </w:r>
      <w:r w:rsidR="00A42755" w:rsidRPr="004B1C0E">
        <w:rPr>
          <w:rFonts w:ascii="Arial" w:hAnsi="Arial" w:cs="Arial"/>
          <w:sz w:val="24"/>
          <w:szCs w:val="24"/>
        </w:rPr>
        <w:t xml:space="preserve"> granted on 5 September 2023</w:t>
      </w:r>
      <w:r w:rsidR="00393880" w:rsidRPr="004B1C0E">
        <w:rPr>
          <w:rFonts w:ascii="Arial" w:hAnsi="Arial" w:cs="Arial"/>
          <w:sz w:val="24"/>
          <w:szCs w:val="24"/>
        </w:rPr>
        <w:t xml:space="preserve">. </w:t>
      </w:r>
      <w:r w:rsidR="00E7237B" w:rsidRPr="004B1C0E">
        <w:rPr>
          <w:rFonts w:ascii="Arial" w:hAnsi="Arial" w:cs="Arial"/>
          <w:sz w:val="24"/>
          <w:szCs w:val="24"/>
        </w:rPr>
        <w:t>The A</w:t>
      </w:r>
      <w:r w:rsidR="000D79EB" w:rsidRPr="004B1C0E">
        <w:rPr>
          <w:rFonts w:ascii="Arial" w:hAnsi="Arial" w:cs="Arial"/>
          <w:sz w:val="24"/>
          <w:szCs w:val="24"/>
        </w:rPr>
        <w:t>ppellant</w:t>
      </w:r>
      <w:r w:rsidR="00594E9F" w:rsidRPr="004B1C0E">
        <w:rPr>
          <w:rFonts w:ascii="Arial" w:hAnsi="Arial" w:cs="Arial"/>
          <w:sz w:val="24"/>
          <w:szCs w:val="24"/>
        </w:rPr>
        <w:t xml:space="preserve">’s Rule 51 request </w:t>
      </w:r>
      <w:r w:rsidR="00305863" w:rsidRPr="004B1C0E">
        <w:rPr>
          <w:rFonts w:ascii="Arial" w:hAnsi="Arial" w:cs="Arial"/>
          <w:sz w:val="24"/>
          <w:szCs w:val="24"/>
        </w:rPr>
        <w:t xml:space="preserve">was out of time. </w:t>
      </w:r>
      <w:r w:rsidR="0043684E" w:rsidRPr="004B1C0E">
        <w:rPr>
          <w:rFonts w:ascii="Arial" w:hAnsi="Arial" w:cs="Arial"/>
          <w:sz w:val="24"/>
          <w:szCs w:val="24"/>
        </w:rPr>
        <w:t xml:space="preserve">Instead, the Appellant filed her request </w:t>
      </w:r>
      <w:r w:rsidR="00442BB9" w:rsidRPr="004B1C0E">
        <w:rPr>
          <w:rFonts w:ascii="Arial" w:hAnsi="Arial" w:cs="Arial"/>
          <w:sz w:val="24"/>
          <w:szCs w:val="24"/>
        </w:rPr>
        <w:t>for reasons</w:t>
      </w:r>
      <w:r w:rsidR="00237A46" w:rsidRPr="004B1C0E">
        <w:rPr>
          <w:rFonts w:ascii="Arial" w:hAnsi="Arial" w:cs="Arial"/>
          <w:sz w:val="24"/>
          <w:szCs w:val="24"/>
        </w:rPr>
        <w:t xml:space="preserve"> </w:t>
      </w:r>
      <w:r w:rsidR="0043684E" w:rsidRPr="004B1C0E">
        <w:rPr>
          <w:rFonts w:ascii="Arial" w:hAnsi="Arial" w:cs="Arial"/>
          <w:sz w:val="24"/>
          <w:szCs w:val="24"/>
        </w:rPr>
        <w:t>together with a notice of leave to appeal</w:t>
      </w:r>
      <w:r w:rsidR="000553B7" w:rsidRPr="004B1C0E">
        <w:rPr>
          <w:rFonts w:ascii="Arial" w:hAnsi="Arial" w:cs="Arial"/>
          <w:sz w:val="24"/>
          <w:szCs w:val="24"/>
        </w:rPr>
        <w:t xml:space="preserve"> supported by an affidavit </w:t>
      </w:r>
      <w:r w:rsidR="00D60EAA" w:rsidRPr="004B1C0E">
        <w:rPr>
          <w:rFonts w:ascii="Arial" w:hAnsi="Arial" w:cs="Arial"/>
          <w:sz w:val="24"/>
          <w:szCs w:val="24"/>
        </w:rPr>
        <w:t xml:space="preserve">of appeal on 6 October 2023. The </w:t>
      </w:r>
      <w:r w:rsidR="00B20EB4" w:rsidRPr="004B1C0E">
        <w:rPr>
          <w:rFonts w:ascii="Arial" w:hAnsi="Arial" w:cs="Arial"/>
          <w:sz w:val="24"/>
          <w:szCs w:val="24"/>
        </w:rPr>
        <w:t xml:space="preserve">notice of leave to appeal states that leave is sought </w:t>
      </w:r>
      <w:r w:rsidR="000D79EB" w:rsidRPr="004B1C0E">
        <w:rPr>
          <w:rFonts w:ascii="Arial" w:hAnsi="Arial" w:cs="Arial"/>
          <w:sz w:val="24"/>
          <w:szCs w:val="24"/>
        </w:rPr>
        <w:t xml:space="preserve">in terms of </w:t>
      </w:r>
      <w:r w:rsidR="0043684E" w:rsidRPr="004B1C0E">
        <w:rPr>
          <w:rFonts w:ascii="Arial" w:hAnsi="Arial" w:cs="Arial"/>
          <w:sz w:val="24"/>
          <w:szCs w:val="24"/>
        </w:rPr>
        <w:t>Rules 51(3), (4), (7), and (8). Rule 51(3) require</w:t>
      </w:r>
      <w:r w:rsidR="00E71919" w:rsidRPr="004B1C0E">
        <w:rPr>
          <w:rFonts w:ascii="Arial" w:hAnsi="Arial" w:cs="Arial"/>
          <w:sz w:val="24"/>
          <w:szCs w:val="24"/>
        </w:rPr>
        <w:t xml:space="preserve">d the Appellant </w:t>
      </w:r>
      <w:r w:rsidR="003441DE" w:rsidRPr="004B1C0E">
        <w:rPr>
          <w:rFonts w:ascii="Arial" w:hAnsi="Arial" w:cs="Arial"/>
          <w:sz w:val="24"/>
          <w:szCs w:val="24"/>
        </w:rPr>
        <w:t xml:space="preserve">to </w:t>
      </w:r>
      <w:r w:rsidR="0043684E" w:rsidRPr="004B1C0E">
        <w:rPr>
          <w:rFonts w:ascii="Arial" w:hAnsi="Arial" w:cs="Arial"/>
          <w:sz w:val="24"/>
          <w:szCs w:val="24"/>
        </w:rPr>
        <w:t xml:space="preserve">note an appeal within twenty days of receiving the written judgment. </w:t>
      </w:r>
      <w:r w:rsidR="00AD7085" w:rsidRPr="004B1C0E">
        <w:rPr>
          <w:rFonts w:ascii="Arial" w:hAnsi="Arial" w:cs="Arial"/>
          <w:sz w:val="24"/>
          <w:szCs w:val="24"/>
        </w:rPr>
        <w:t xml:space="preserve">The Appellant’s notice of appeal (and supporting affidavit) was prematurely filed. </w:t>
      </w:r>
      <w:r w:rsidR="00DD25B2" w:rsidRPr="004B1C0E">
        <w:rPr>
          <w:rFonts w:ascii="Arial" w:hAnsi="Arial" w:cs="Arial"/>
          <w:sz w:val="24"/>
          <w:szCs w:val="24"/>
        </w:rPr>
        <w:t xml:space="preserve">In noting an appeal, all that was required of the Appellant was </w:t>
      </w:r>
      <w:r w:rsidR="0056060D" w:rsidRPr="004B1C0E">
        <w:rPr>
          <w:rFonts w:ascii="Arial" w:hAnsi="Arial" w:cs="Arial"/>
          <w:sz w:val="24"/>
          <w:szCs w:val="24"/>
        </w:rPr>
        <w:t xml:space="preserve">to file a notice </w:t>
      </w:r>
      <w:r w:rsidR="00103E7C" w:rsidRPr="004B1C0E">
        <w:rPr>
          <w:rFonts w:ascii="Arial" w:hAnsi="Arial" w:cs="Arial"/>
          <w:sz w:val="24"/>
          <w:szCs w:val="24"/>
        </w:rPr>
        <w:t xml:space="preserve">with the grounds of appeal set out in the body of the notice. </w:t>
      </w:r>
      <w:r w:rsidR="00832155" w:rsidRPr="004B1C0E">
        <w:rPr>
          <w:rFonts w:ascii="Arial" w:hAnsi="Arial" w:cs="Arial"/>
          <w:sz w:val="24"/>
          <w:szCs w:val="24"/>
        </w:rPr>
        <w:t xml:space="preserve">Appellant filed a notice </w:t>
      </w:r>
      <w:r w:rsidR="00CA5096" w:rsidRPr="004B1C0E">
        <w:rPr>
          <w:rFonts w:ascii="Arial" w:hAnsi="Arial" w:cs="Arial"/>
          <w:sz w:val="24"/>
          <w:szCs w:val="24"/>
        </w:rPr>
        <w:t xml:space="preserve">of the type prescribed </w:t>
      </w:r>
      <w:r w:rsidR="0097501F" w:rsidRPr="004B1C0E">
        <w:rPr>
          <w:rFonts w:ascii="Arial" w:hAnsi="Arial" w:cs="Arial"/>
          <w:sz w:val="24"/>
          <w:szCs w:val="24"/>
        </w:rPr>
        <w:t>(</w:t>
      </w:r>
      <w:r w:rsidR="0094550C" w:rsidRPr="004B1C0E">
        <w:rPr>
          <w:rFonts w:ascii="Arial" w:hAnsi="Arial" w:cs="Arial"/>
          <w:sz w:val="24"/>
          <w:szCs w:val="24"/>
        </w:rPr>
        <w:t xml:space="preserve">together with a </w:t>
      </w:r>
      <w:r w:rsidR="0097501F" w:rsidRPr="004B1C0E">
        <w:rPr>
          <w:rFonts w:ascii="Arial" w:hAnsi="Arial" w:cs="Arial"/>
          <w:sz w:val="24"/>
          <w:szCs w:val="24"/>
        </w:rPr>
        <w:t xml:space="preserve">supporting affidavit) </w:t>
      </w:r>
      <w:r w:rsidR="00CA5096" w:rsidRPr="004B1C0E">
        <w:rPr>
          <w:rFonts w:ascii="Arial" w:hAnsi="Arial" w:cs="Arial"/>
          <w:sz w:val="24"/>
          <w:szCs w:val="24"/>
        </w:rPr>
        <w:t xml:space="preserve">in this court. </w:t>
      </w:r>
      <w:r w:rsidR="00E13AEE" w:rsidRPr="004B1C0E">
        <w:rPr>
          <w:rFonts w:ascii="Arial" w:hAnsi="Arial" w:cs="Arial"/>
          <w:sz w:val="24"/>
          <w:szCs w:val="24"/>
        </w:rPr>
        <w:t>Appellant</w:t>
      </w:r>
      <w:r w:rsidR="007D1CBF" w:rsidRPr="004B1C0E">
        <w:rPr>
          <w:rFonts w:ascii="Arial" w:hAnsi="Arial" w:cs="Arial"/>
          <w:sz w:val="24"/>
          <w:szCs w:val="24"/>
        </w:rPr>
        <w:t xml:space="preserve"> provided security for the Respondents</w:t>
      </w:r>
      <w:r w:rsidR="0094550C" w:rsidRPr="004B1C0E">
        <w:rPr>
          <w:rFonts w:ascii="Arial" w:hAnsi="Arial" w:cs="Arial"/>
          <w:sz w:val="24"/>
          <w:szCs w:val="24"/>
        </w:rPr>
        <w:t>’</w:t>
      </w:r>
      <w:r w:rsidR="007D1CBF" w:rsidRPr="004B1C0E">
        <w:rPr>
          <w:rFonts w:ascii="Arial" w:hAnsi="Arial" w:cs="Arial"/>
          <w:sz w:val="24"/>
          <w:szCs w:val="24"/>
        </w:rPr>
        <w:t xml:space="preserve"> costs</w:t>
      </w:r>
      <w:r w:rsidR="004A1B69" w:rsidRPr="004B1C0E">
        <w:rPr>
          <w:rFonts w:ascii="Arial" w:hAnsi="Arial" w:cs="Arial"/>
          <w:sz w:val="24"/>
          <w:szCs w:val="24"/>
        </w:rPr>
        <w:t xml:space="preserve">, in compliance with one </w:t>
      </w:r>
      <w:r w:rsidR="0087618E" w:rsidRPr="004B1C0E">
        <w:rPr>
          <w:rFonts w:ascii="Arial" w:hAnsi="Arial" w:cs="Arial"/>
          <w:sz w:val="24"/>
          <w:szCs w:val="24"/>
        </w:rPr>
        <w:t xml:space="preserve">part </w:t>
      </w:r>
      <w:r w:rsidR="004A1B69" w:rsidRPr="004B1C0E">
        <w:rPr>
          <w:rFonts w:ascii="Arial" w:hAnsi="Arial" w:cs="Arial"/>
          <w:sz w:val="24"/>
          <w:szCs w:val="24"/>
        </w:rPr>
        <w:t>of Rule 51(4)</w:t>
      </w:r>
      <w:r w:rsidR="002325E4" w:rsidRPr="004B1C0E">
        <w:rPr>
          <w:rFonts w:ascii="Arial" w:hAnsi="Arial" w:cs="Arial"/>
          <w:sz w:val="24"/>
          <w:szCs w:val="24"/>
        </w:rPr>
        <w:t xml:space="preserve">. </w:t>
      </w:r>
      <w:r w:rsidR="00305C26" w:rsidRPr="004B1C0E">
        <w:rPr>
          <w:rFonts w:ascii="Arial" w:hAnsi="Arial" w:cs="Arial"/>
          <w:sz w:val="24"/>
          <w:szCs w:val="24"/>
        </w:rPr>
        <w:t>The A</w:t>
      </w:r>
      <w:r w:rsidR="00E13AEE" w:rsidRPr="004B1C0E">
        <w:rPr>
          <w:rFonts w:ascii="Arial" w:hAnsi="Arial" w:cs="Arial"/>
          <w:sz w:val="24"/>
          <w:szCs w:val="24"/>
        </w:rPr>
        <w:t xml:space="preserve">ppellant failed </w:t>
      </w:r>
      <w:r w:rsidR="002325E4" w:rsidRPr="004B1C0E">
        <w:rPr>
          <w:rFonts w:ascii="Arial" w:hAnsi="Arial" w:cs="Arial"/>
          <w:sz w:val="24"/>
          <w:szCs w:val="24"/>
        </w:rPr>
        <w:t xml:space="preserve">to comply strictly with </w:t>
      </w:r>
      <w:r w:rsidR="00A40FA3" w:rsidRPr="004B1C0E">
        <w:rPr>
          <w:rFonts w:ascii="Arial" w:hAnsi="Arial" w:cs="Arial"/>
          <w:sz w:val="24"/>
          <w:szCs w:val="24"/>
        </w:rPr>
        <w:t>Rule</w:t>
      </w:r>
      <w:r w:rsidR="002325E4" w:rsidRPr="004B1C0E">
        <w:rPr>
          <w:rFonts w:ascii="Arial" w:hAnsi="Arial" w:cs="Arial"/>
          <w:sz w:val="24"/>
          <w:szCs w:val="24"/>
        </w:rPr>
        <w:t>s 51(3) and 51(4)</w:t>
      </w:r>
      <w:r w:rsidR="001B12BC" w:rsidRPr="004B1C0E">
        <w:rPr>
          <w:rFonts w:ascii="Arial" w:hAnsi="Arial" w:cs="Arial"/>
          <w:sz w:val="24"/>
          <w:szCs w:val="24"/>
        </w:rPr>
        <w:t xml:space="preserve">. </w:t>
      </w:r>
      <w:r w:rsidR="00351267" w:rsidRPr="004B1C0E">
        <w:rPr>
          <w:rFonts w:ascii="Arial" w:hAnsi="Arial" w:cs="Arial"/>
          <w:sz w:val="24"/>
          <w:szCs w:val="24"/>
        </w:rPr>
        <w:t xml:space="preserve">Rule 51(8) </w:t>
      </w:r>
      <w:r w:rsidR="000D7A14" w:rsidRPr="004B1C0E">
        <w:rPr>
          <w:rFonts w:ascii="Arial" w:hAnsi="Arial" w:cs="Arial"/>
          <w:sz w:val="24"/>
          <w:szCs w:val="24"/>
        </w:rPr>
        <w:t xml:space="preserve">required the Magistrate to provide a statement </w:t>
      </w:r>
      <w:r w:rsidR="00F01BFA" w:rsidRPr="004B1C0E">
        <w:rPr>
          <w:rFonts w:ascii="Arial" w:hAnsi="Arial" w:cs="Arial"/>
          <w:sz w:val="24"/>
          <w:szCs w:val="24"/>
        </w:rPr>
        <w:t xml:space="preserve">dealing with </w:t>
      </w:r>
      <w:r w:rsidR="00305C26" w:rsidRPr="004B1C0E">
        <w:rPr>
          <w:rFonts w:ascii="Arial" w:hAnsi="Arial" w:cs="Arial"/>
          <w:sz w:val="24"/>
          <w:szCs w:val="24"/>
        </w:rPr>
        <w:t>t</w:t>
      </w:r>
      <w:r w:rsidR="00F01BFA" w:rsidRPr="004B1C0E">
        <w:rPr>
          <w:rFonts w:ascii="Arial" w:hAnsi="Arial" w:cs="Arial"/>
          <w:sz w:val="24"/>
          <w:szCs w:val="24"/>
        </w:rPr>
        <w:t xml:space="preserve">he facts </w:t>
      </w:r>
      <w:r w:rsidR="003D0230" w:rsidRPr="004B1C0E">
        <w:rPr>
          <w:rFonts w:ascii="Arial" w:hAnsi="Arial" w:cs="Arial"/>
          <w:sz w:val="24"/>
          <w:szCs w:val="24"/>
        </w:rPr>
        <w:t>that were proved and the grounds of appeal raised by the Appellant</w:t>
      </w:r>
      <w:r w:rsidR="00395241" w:rsidRPr="004B1C0E">
        <w:rPr>
          <w:rFonts w:ascii="Arial" w:hAnsi="Arial" w:cs="Arial"/>
          <w:sz w:val="24"/>
          <w:szCs w:val="24"/>
        </w:rPr>
        <w:t xml:space="preserve"> </w:t>
      </w:r>
      <w:r w:rsidR="00AD37DF" w:rsidRPr="004B1C0E">
        <w:rPr>
          <w:rFonts w:ascii="Arial" w:hAnsi="Arial" w:cs="Arial"/>
          <w:sz w:val="24"/>
          <w:szCs w:val="24"/>
        </w:rPr>
        <w:t>against her</w:t>
      </w:r>
      <w:r w:rsidR="0087618E" w:rsidRPr="004B1C0E">
        <w:rPr>
          <w:rFonts w:ascii="Arial" w:hAnsi="Arial" w:cs="Arial"/>
          <w:sz w:val="24"/>
          <w:szCs w:val="24"/>
        </w:rPr>
        <w:t xml:space="preserve"> </w:t>
      </w:r>
      <w:r w:rsidR="00395241" w:rsidRPr="004B1C0E">
        <w:rPr>
          <w:rFonts w:ascii="Arial" w:hAnsi="Arial" w:cs="Arial"/>
          <w:sz w:val="24"/>
          <w:szCs w:val="24"/>
        </w:rPr>
        <w:t xml:space="preserve">findings of fact and rulings of law. </w:t>
      </w:r>
      <w:r w:rsidR="00C4610E" w:rsidRPr="004B1C0E">
        <w:rPr>
          <w:rFonts w:ascii="Arial" w:hAnsi="Arial" w:cs="Arial"/>
          <w:sz w:val="24"/>
          <w:szCs w:val="24"/>
        </w:rPr>
        <w:t>This statement is optional if the Magistrate is satisfied that her written judgment addresses these aspects</w:t>
      </w:r>
      <w:r w:rsidR="0093261B" w:rsidRPr="004B1C0E">
        <w:rPr>
          <w:rFonts w:ascii="Arial" w:hAnsi="Arial" w:cs="Arial"/>
          <w:sz w:val="24"/>
          <w:szCs w:val="24"/>
        </w:rPr>
        <w:t xml:space="preserve">. There is no Rule 51(8) statement in the record. </w:t>
      </w:r>
      <w:r w:rsidR="00C4610E" w:rsidRPr="004B1C0E">
        <w:rPr>
          <w:rFonts w:ascii="Arial" w:hAnsi="Arial" w:cs="Arial"/>
          <w:sz w:val="24"/>
          <w:szCs w:val="24"/>
        </w:rPr>
        <w:t xml:space="preserve"> </w:t>
      </w:r>
      <w:r w:rsidR="000D7A14" w:rsidRPr="004B1C0E">
        <w:rPr>
          <w:rFonts w:ascii="Arial" w:hAnsi="Arial" w:cs="Arial"/>
          <w:sz w:val="24"/>
          <w:szCs w:val="24"/>
        </w:rPr>
        <w:t xml:space="preserve"> </w:t>
      </w:r>
    </w:p>
    <w:p w14:paraId="11F05E71" w14:textId="77777777" w:rsidR="0043684E" w:rsidRPr="00397BD3" w:rsidRDefault="0043684E" w:rsidP="00397BD3">
      <w:pPr>
        <w:pStyle w:val="ListParagraph"/>
        <w:spacing w:line="480" w:lineRule="auto"/>
        <w:rPr>
          <w:rFonts w:ascii="Arial" w:hAnsi="Arial" w:cs="Arial"/>
          <w:sz w:val="24"/>
          <w:szCs w:val="24"/>
        </w:rPr>
      </w:pPr>
    </w:p>
    <w:p w14:paraId="06B60D63" w14:textId="1830307D" w:rsidR="00AA69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17.</w:t>
      </w:r>
      <w:r w:rsidRPr="00397BD3">
        <w:rPr>
          <w:rFonts w:ascii="Arial" w:hAnsi="Arial" w:cs="Arial"/>
          <w:sz w:val="24"/>
          <w:szCs w:val="24"/>
        </w:rPr>
        <w:tab/>
      </w:r>
      <w:r w:rsidR="0091547A" w:rsidRPr="004B1C0E">
        <w:rPr>
          <w:rFonts w:ascii="Arial" w:hAnsi="Arial" w:cs="Arial"/>
          <w:sz w:val="24"/>
          <w:szCs w:val="24"/>
        </w:rPr>
        <w:t xml:space="preserve">The </w:t>
      </w:r>
      <w:r w:rsidR="00610405" w:rsidRPr="004B1C0E">
        <w:rPr>
          <w:rFonts w:ascii="Arial" w:hAnsi="Arial" w:cs="Arial"/>
          <w:sz w:val="24"/>
          <w:szCs w:val="24"/>
        </w:rPr>
        <w:t xml:space="preserve">pertinent </w:t>
      </w:r>
      <w:r w:rsidR="0091547A" w:rsidRPr="004B1C0E">
        <w:rPr>
          <w:rFonts w:ascii="Arial" w:hAnsi="Arial" w:cs="Arial"/>
          <w:sz w:val="24"/>
          <w:szCs w:val="24"/>
        </w:rPr>
        <w:t xml:space="preserve">question that </w:t>
      </w:r>
      <w:r w:rsidR="00495DA1" w:rsidRPr="004B1C0E">
        <w:rPr>
          <w:rFonts w:ascii="Arial" w:hAnsi="Arial" w:cs="Arial"/>
          <w:sz w:val="24"/>
          <w:szCs w:val="24"/>
        </w:rPr>
        <w:t xml:space="preserve">arises </w:t>
      </w:r>
      <w:r w:rsidR="00610405" w:rsidRPr="004B1C0E">
        <w:rPr>
          <w:rFonts w:ascii="Arial" w:hAnsi="Arial" w:cs="Arial"/>
          <w:sz w:val="24"/>
          <w:szCs w:val="24"/>
        </w:rPr>
        <w:t xml:space="preserve">from the </w:t>
      </w:r>
      <w:r w:rsidR="00891FC4" w:rsidRPr="004B1C0E">
        <w:rPr>
          <w:rFonts w:ascii="Arial" w:hAnsi="Arial" w:cs="Arial"/>
          <w:sz w:val="24"/>
          <w:szCs w:val="24"/>
        </w:rPr>
        <w:t xml:space="preserve">irregular steps taken by the Appellant </w:t>
      </w:r>
      <w:r w:rsidR="00495DA1" w:rsidRPr="004B1C0E">
        <w:rPr>
          <w:rFonts w:ascii="Arial" w:hAnsi="Arial" w:cs="Arial"/>
          <w:sz w:val="24"/>
          <w:szCs w:val="24"/>
        </w:rPr>
        <w:t>is whether the appeal is properly before this court</w:t>
      </w:r>
      <w:r w:rsidR="00621E87" w:rsidRPr="004B1C0E">
        <w:rPr>
          <w:rFonts w:ascii="Arial" w:hAnsi="Arial" w:cs="Arial"/>
          <w:sz w:val="24"/>
          <w:szCs w:val="24"/>
        </w:rPr>
        <w:t xml:space="preserve">. </w:t>
      </w:r>
      <w:r w:rsidR="0087206E" w:rsidRPr="004B1C0E">
        <w:rPr>
          <w:rFonts w:ascii="Arial" w:hAnsi="Arial" w:cs="Arial"/>
          <w:sz w:val="24"/>
          <w:szCs w:val="24"/>
        </w:rPr>
        <w:t xml:space="preserve">Stated differently, does </w:t>
      </w:r>
      <w:r w:rsidR="008E6151" w:rsidRPr="004B1C0E">
        <w:rPr>
          <w:rFonts w:ascii="Arial" w:hAnsi="Arial" w:cs="Arial"/>
          <w:sz w:val="24"/>
          <w:szCs w:val="24"/>
        </w:rPr>
        <w:t xml:space="preserve">this court </w:t>
      </w:r>
      <w:r w:rsidR="003E5C33" w:rsidRPr="004B1C0E">
        <w:rPr>
          <w:rFonts w:ascii="Arial" w:hAnsi="Arial" w:cs="Arial"/>
          <w:sz w:val="24"/>
          <w:szCs w:val="24"/>
        </w:rPr>
        <w:t xml:space="preserve">have the </w:t>
      </w:r>
      <w:r w:rsidR="005B05D3" w:rsidRPr="004B1C0E">
        <w:rPr>
          <w:rFonts w:ascii="Arial" w:hAnsi="Arial" w:cs="Arial"/>
          <w:sz w:val="24"/>
          <w:szCs w:val="24"/>
        </w:rPr>
        <w:t xml:space="preserve">requisite jurisdiction to entertain this appeal </w:t>
      </w:r>
      <w:r w:rsidR="00072F21" w:rsidRPr="004B1C0E">
        <w:rPr>
          <w:rFonts w:ascii="Arial" w:hAnsi="Arial" w:cs="Arial"/>
          <w:sz w:val="24"/>
          <w:szCs w:val="24"/>
        </w:rPr>
        <w:t>given the irregularities identified in the noting of this appeal</w:t>
      </w:r>
      <w:r w:rsidR="001F2EBD" w:rsidRPr="004B1C0E">
        <w:rPr>
          <w:rFonts w:ascii="Arial" w:hAnsi="Arial" w:cs="Arial"/>
          <w:sz w:val="24"/>
          <w:szCs w:val="24"/>
        </w:rPr>
        <w:t>?</w:t>
      </w:r>
      <w:r w:rsidR="00072F21" w:rsidRPr="004B1C0E">
        <w:rPr>
          <w:rFonts w:ascii="Arial" w:hAnsi="Arial" w:cs="Arial"/>
          <w:sz w:val="24"/>
          <w:szCs w:val="24"/>
        </w:rPr>
        <w:t xml:space="preserve"> </w:t>
      </w:r>
      <w:r w:rsidR="00AA7761" w:rsidRPr="004B1C0E">
        <w:rPr>
          <w:rFonts w:ascii="Arial" w:hAnsi="Arial" w:cs="Arial"/>
          <w:sz w:val="24"/>
          <w:szCs w:val="24"/>
        </w:rPr>
        <w:t xml:space="preserve">There are mitigating circumstances </w:t>
      </w:r>
      <w:r w:rsidR="00413A2A" w:rsidRPr="004B1C0E">
        <w:rPr>
          <w:rFonts w:ascii="Arial" w:hAnsi="Arial" w:cs="Arial"/>
          <w:sz w:val="24"/>
          <w:szCs w:val="24"/>
        </w:rPr>
        <w:t>evident from the record</w:t>
      </w:r>
      <w:r w:rsidR="00D36DC4" w:rsidRPr="004B1C0E">
        <w:rPr>
          <w:rFonts w:ascii="Arial" w:hAnsi="Arial" w:cs="Arial"/>
          <w:sz w:val="24"/>
          <w:szCs w:val="24"/>
        </w:rPr>
        <w:t xml:space="preserve"> and the court must guard against </w:t>
      </w:r>
      <w:r w:rsidR="00402C95" w:rsidRPr="004B1C0E">
        <w:rPr>
          <w:rFonts w:ascii="Arial" w:hAnsi="Arial" w:cs="Arial"/>
          <w:sz w:val="24"/>
          <w:szCs w:val="24"/>
        </w:rPr>
        <w:t>form over substance in the case of an unrepresented Appellant</w:t>
      </w:r>
      <w:r w:rsidR="00413A2A" w:rsidRPr="004B1C0E">
        <w:rPr>
          <w:rFonts w:ascii="Arial" w:hAnsi="Arial" w:cs="Arial"/>
          <w:sz w:val="24"/>
          <w:szCs w:val="24"/>
        </w:rPr>
        <w:t xml:space="preserve">. </w:t>
      </w:r>
    </w:p>
    <w:p w14:paraId="112C47FD" w14:textId="77777777" w:rsidR="00AA694E" w:rsidRPr="00397BD3" w:rsidRDefault="00AA694E" w:rsidP="00397BD3">
      <w:pPr>
        <w:pStyle w:val="ListParagraph"/>
        <w:spacing w:line="480" w:lineRule="auto"/>
        <w:rPr>
          <w:rFonts w:ascii="Arial" w:hAnsi="Arial" w:cs="Arial"/>
          <w:sz w:val="24"/>
          <w:szCs w:val="24"/>
        </w:rPr>
      </w:pPr>
    </w:p>
    <w:p w14:paraId="4243A55B" w14:textId="1C42E5F8" w:rsidR="00144466"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18.</w:t>
      </w:r>
      <w:r w:rsidRPr="00397BD3">
        <w:rPr>
          <w:rFonts w:ascii="Arial" w:hAnsi="Arial" w:cs="Arial"/>
          <w:sz w:val="24"/>
          <w:szCs w:val="24"/>
        </w:rPr>
        <w:tab/>
      </w:r>
      <w:r w:rsidR="001F2EBD" w:rsidRPr="004B1C0E">
        <w:rPr>
          <w:rFonts w:ascii="Arial" w:hAnsi="Arial" w:cs="Arial"/>
          <w:sz w:val="24"/>
          <w:szCs w:val="24"/>
        </w:rPr>
        <w:t>The A</w:t>
      </w:r>
      <w:r w:rsidR="00DB42C9" w:rsidRPr="004B1C0E">
        <w:rPr>
          <w:rFonts w:ascii="Arial" w:hAnsi="Arial" w:cs="Arial"/>
          <w:sz w:val="24"/>
          <w:szCs w:val="24"/>
        </w:rPr>
        <w:t xml:space="preserve">ppellant filed the Rule 51(1) register </w:t>
      </w:r>
      <w:r w:rsidR="00CB3D59" w:rsidRPr="004B1C0E">
        <w:rPr>
          <w:rFonts w:ascii="Arial" w:hAnsi="Arial" w:cs="Arial"/>
          <w:sz w:val="24"/>
          <w:szCs w:val="24"/>
        </w:rPr>
        <w:t xml:space="preserve">of the court below </w:t>
      </w:r>
      <w:r w:rsidR="00DC304D" w:rsidRPr="004B1C0E">
        <w:rPr>
          <w:rFonts w:ascii="Arial" w:hAnsi="Arial" w:cs="Arial"/>
          <w:sz w:val="24"/>
          <w:szCs w:val="24"/>
        </w:rPr>
        <w:t xml:space="preserve">in support of her contention that the Magistrate </w:t>
      </w:r>
      <w:r w:rsidR="006E3907" w:rsidRPr="004B1C0E">
        <w:rPr>
          <w:rFonts w:ascii="Arial" w:hAnsi="Arial" w:cs="Arial"/>
          <w:sz w:val="24"/>
          <w:szCs w:val="24"/>
        </w:rPr>
        <w:t xml:space="preserve">was not forthcoming </w:t>
      </w:r>
      <w:r w:rsidR="00A608FF" w:rsidRPr="004B1C0E">
        <w:rPr>
          <w:rFonts w:ascii="Arial" w:hAnsi="Arial" w:cs="Arial"/>
          <w:sz w:val="24"/>
          <w:szCs w:val="24"/>
        </w:rPr>
        <w:t xml:space="preserve">in providing her reasons for </w:t>
      </w:r>
      <w:r w:rsidR="007F3901" w:rsidRPr="004B1C0E">
        <w:rPr>
          <w:rFonts w:ascii="Arial" w:hAnsi="Arial" w:cs="Arial"/>
          <w:sz w:val="24"/>
          <w:szCs w:val="24"/>
        </w:rPr>
        <w:t xml:space="preserve">the decision. </w:t>
      </w:r>
      <w:r w:rsidR="00A608FF" w:rsidRPr="004B1C0E">
        <w:rPr>
          <w:rFonts w:ascii="Arial" w:hAnsi="Arial" w:cs="Arial"/>
          <w:sz w:val="24"/>
          <w:szCs w:val="24"/>
        </w:rPr>
        <w:t xml:space="preserve"> </w:t>
      </w:r>
      <w:r w:rsidR="00907D3F" w:rsidRPr="004B1C0E">
        <w:rPr>
          <w:rFonts w:ascii="Arial" w:hAnsi="Arial" w:cs="Arial"/>
          <w:sz w:val="24"/>
          <w:szCs w:val="24"/>
        </w:rPr>
        <w:t xml:space="preserve">The register assists in determining whether </w:t>
      </w:r>
      <w:r w:rsidR="0039250B" w:rsidRPr="004B1C0E">
        <w:rPr>
          <w:rFonts w:ascii="Arial" w:hAnsi="Arial" w:cs="Arial"/>
          <w:sz w:val="24"/>
          <w:szCs w:val="24"/>
        </w:rPr>
        <w:t xml:space="preserve">the Appellant complied with </w:t>
      </w:r>
      <w:r w:rsidR="00C06DF6" w:rsidRPr="004B1C0E">
        <w:rPr>
          <w:rFonts w:ascii="Arial" w:hAnsi="Arial" w:cs="Arial"/>
          <w:sz w:val="24"/>
          <w:szCs w:val="24"/>
        </w:rPr>
        <w:t>the requirements of Rule</w:t>
      </w:r>
      <w:r w:rsidR="008117CC" w:rsidRPr="004B1C0E">
        <w:rPr>
          <w:rFonts w:ascii="Arial" w:hAnsi="Arial" w:cs="Arial"/>
          <w:sz w:val="24"/>
          <w:szCs w:val="24"/>
        </w:rPr>
        <w:t>s</w:t>
      </w:r>
      <w:r w:rsidR="00C06DF6" w:rsidRPr="004B1C0E">
        <w:rPr>
          <w:rFonts w:ascii="Arial" w:hAnsi="Arial" w:cs="Arial"/>
          <w:sz w:val="24"/>
          <w:szCs w:val="24"/>
        </w:rPr>
        <w:t xml:space="preserve"> 51(3) and 51(4)</w:t>
      </w:r>
      <w:r w:rsidR="00F13295" w:rsidRPr="004B1C0E">
        <w:rPr>
          <w:rFonts w:ascii="Arial" w:hAnsi="Arial" w:cs="Arial"/>
          <w:sz w:val="24"/>
          <w:szCs w:val="24"/>
        </w:rPr>
        <w:t>, at least, as far as th</w:t>
      </w:r>
      <w:r w:rsidR="008117CC" w:rsidRPr="004B1C0E">
        <w:rPr>
          <w:rFonts w:ascii="Arial" w:hAnsi="Arial" w:cs="Arial"/>
          <w:sz w:val="24"/>
          <w:szCs w:val="24"/>
        </w:rPr>
        <w:t xml:space="preserve">at </w:t>
      </w:r>
      <w:r w:rsidR="00F13295" w:rsidRPr="004B1C0E">
        <w:rPr>
          <w:rFonts w:ascii="Arial" w:hAnsi="Arial" w:cs="Arial"/>
          <w:sz w:val="24"/>
          <w:szCs w:val="24"/>
        </w:rPr>
        <w:t xml:space="preserve">court was concerned. </w:t>
      </w:r>
      <w:r w:rsidR="00C06DF6" w:rsidRPr="004B1C0E">
        <w:rPr>
          <w:rFonts w:ascii="Arial" w:hAnsi="Arial" w:cs="Arial"/>
          <w:sz w:val="24"/>
          <w:szCs w:val="24"/>
        </w:rPr>
        <w:t>T</w:t>
      </w:r>
      <w:r w:rsidR="0043684E" w:rsidRPr="004B1C0E">
        <w:rPr>
          <w:rFonts w:ascii="Arial" w:hAnsi="Arial" w:cs="Arial"/>
          <w:sz w:val="24"/>
          <w:szCs w:val="24"/>
        </w:rPr>
        <w:t>he Rule 51(1) register</w:t>
      </w:r>
      <w:r w:rsidR="001679EE" w:rsidRPr="004B1C0E">
        <w:rPr>
          <w:rFonts w:ascii="Arial" w:hAnsi="Arial" w:cs="Arial"/>
          <w:sz w:val="24"/>
          <w:szCs w:val="24"/>
        </w:rPr>
        <w:t xml:space="preserve"> </w:t>
      </w:r>
      <w:r w:rsidR="0043684E" w:rsidRPr="004B1C0E">
        <w:rPr>
          <w:rFonts w:ascii="Arial" w:hAnsi="Arial" w:cs="Arial"/>
          <w:sz w:val="24"/>
          <w:szCs w:val="24"/>
        </w:rPr>
        <w:t xml:space="preserve">records that the </w:t>
      </w:r>
      <w:r w:rsidR="00731A35" w:rsidRPr="004B1C0E">
        <w:rPr>
          <w:rFonts w:ascii="Arial" w:hAnsi="Arial" w:cs="Arial"/>
          <w:sz w:val="24"/>
          <w:szCs w:val="24"/>
        </w:rPr>
        <w:t>a</w:t>
      </w:r>
      <w:r w:rsidR="0043684E" w:rsidRPr="004B1C0E">
        <w:rPr>
          <w:rFonts w:ascii="Arial" w:hAnsi="Arial" w:cs="Arial"/>
          <w:sz w:val="24"/>
          <w:szCs w:val="24"/>
        </w:rPr>
        <w:t>ppeal was noted on the 6 October 2023 and the Rule 51(1), and 51(3) notices were dispatched to the Magistrate</w:t>
      </w:r>
      <w:r w:rsidR="00A25904" w:rsidRPr="004B1C0E">
        <w:rPr>
          <w:rFonts w:ascii="Arial" w:hAnsi="Arial" w:cs="Arial"/>
          <w:sz w:val="24"/>
          <w:szCs w:val="24"/>
        </w:rPr>
        <w:t xml:space="preserve"> </w:t>
      </w:r>
      <w:r w:rsidR="0012197A" w:rsidRPr="004B1C0E">
        <w:rPr>
          <w:rFonts w:ascii="Arial" w:hAnsi="Arial" w:cs="Arial"/>
          <w:sz w:val="24"/>
          <w:szCs w:val="24"/>
        </w:rPr>
        <w:t xml:space="preserve">on the </w:t>
      </w:r>
      <w:r w:rsidR="00A25904" w:rsidRPr="004B1C0E">
        <w:rPr>
          <w:rFonts w:ascii="Arial" w:hAnsi="Arial" w:cs="Arial"/>
          <w:sz w:val="24"/>
          <w:szCs w:val="24"/>
        </w:rPr>
        <w:t>10 October 2023</w:t>
      </w:r>
      <w:r w:rsidR="0043684E" w:rsidRPr="004B1C0E">
        <w:rPr>
          <w:rFonts w:ascii="Arial" w:hAnsi="Arial" w:cs="Arial"/>
          <w:sz w:val="24"/>
          <w:szCs w:val="24"/>
        </w:rPr>
        <w:t xml:space="preserve">. The Magistrate initially declined to provide a written judgment </w:t>
      </w:r>
      <w:r w:rsidR="00BD2940" w:rsidRPr="004B1C0E">
        <w:rPr>
          <w:rFonts w:ascii="Arial" w:hAnsi="Arial" w:cs="Arial"/>
          <w:sz w:val="24"/>
          <w:szCs w:val="24"/>
        </w:rPr>
        <w:t>as the request for reasons was out of time</w:t>
      </w:r>
      <w:r w:rsidR="00882D4B" w:rsidRPr="004B1C0E">
        <w:rPr>
          <w:rFonts w:ascii="Arial" w:hAnsi="Arial" w:cs="Arial"/>
          <w:sz w:val="24"/>
          <w:szCs w:val="24"/>
        </w:rPr>
        <w:t>,</w:t>
      </w:r>
      <w:r w:rsidR="0012197A" w:rsidRPr="004B1C0E">
        <w:rPr>
          <w:rFonts w:ascii="Arial" w:hAnsi="Arial" w:cs="Arial"/>
          <w:sz w:val="24"/>
          <w:szCs w:val="24"/>
        </w:rPr>
        <w:t xml:space="preserve"> </w:t>
      </w:r>
      <w:r w:rsidR="0043684E" w:rsidRPr="004B1C0E">
        <w:rPr>
          <w:rFonts w:ascii="Arial" w:hAnsi="Arial" w:cs="Arial"/>
          <w:sz w:val="24"/>
          <w:szCs w:val="24"/>
        </w:rPr>
        <w:t xml:space="preserve">but </w:t>
      </w:r>
      <w:r w:rsidR="00882D4B" w:rsidRPr="004B1C0E">
        <w:rPr>
          <w:rFonts w:ascii="Arial" w:hAnsi="Arial" w:cs="Arial"/>
          <w:sz w:val="24"/>
          <w:szCs w:val="24"/>
        </w:rPr>
        <w:t xml:space="preserve">she </w:t>
      </w:r>
      <w:r w:rsidR="0043684E" w:rsidRPr="004B1C0E">
        <w:rPr>
          <w:rFonts w:ascii="Arial" w:hAnsi="Arial" w:cs="Arial"/>
          <w:sz w:val="24"/>
          <w:szCs w:val="24"/>
        </w:rPr>
        <w:t xml:space="preserve">subsequently acquiesced. </w:t>
      </w:r>
      <w:r w:rsidR="0012197A" w:rsidRPr="004B1C0E">
        <w:rPr>
          <w:rFonts w:ascii="Arial" w:hAnsi="Arial" w:cs="Arial"/>
          <w:sz w:val="24"/>
          <w:szCs w:val="24"/>
        </w:rPr>
        <w:t xml:space="preserve">The Magistrate had access to the </w:t>
      </w:r>
      <w:r w:rsidR="00105B1A" w:rsidRPr="004B1C0E">
        <w:rPr>
          <w:rFonts w:ascii="Arial" w:hAnsi="Arial" w:cs="Arial"/>
          <w:sz w:val="24"/>
          <w:szCs w:val="24"/>
        </w:rPr>
        <w:t>Appellant</w:t>
      </w:r>
      <w:r w:rsidR="00C065F0" w:rsidRPr="004B1C0E">
        <w:rPr>
          <w:rFonts w:ascii="Arial" w:hAnsi="Arial" w:cs="Arial"/>
          <w:sz w:val="24"/>
          <w:szCs w:val="24"/>
        </w:rPr>
        <w:t>'</w:t>
      </w:r>
      <w:r w:rsidR="00105B1A" w:rsidRPr="004B1C0E">
        <w:rPr>
          <w:rFonts w:ascii="Arial" w:hAnsi="Arial" w:cs="Arial"/>
          <w:sz w:val="24"/>
          <w:szCs w:val="24"/>
        </w:rPr>
        <w:t xml:space="preserve">s notice of leave to appeal </w:t>
      </w:r>
      <w:r w:rsidR="00A11028" w:rsidRPr="004B1C0E">
        <w:rPr>
          <w:rFonts w:ascii="Arial" w:hAnsi="Arial" w:cs="Arial"/>
          <w:sz w:val="24"/>
          <w:szCs w:val="24"/>
        </w:rPr>
        <w:t xml:space="preserve">and </w:t>
      </w:r>
      <w:r w:rsidR="00795A12" w:rsidRPr="004B1C0E">
        <w:rPr>
          <w:rFonts w:ascii="Arial" w:hAnsi="Arial" w:cs="Arial"/>
          <w:sz w:val="24"/>
          <w:szCs w:val="24"/>
        </w:rPr>
        <w:t xml:space="preserve">supporting </w:t>
      </w:r>
      <w:r w:rsidR="0027716B" w:rsidRPr="004B1C0E">
        <w:rPr>
          <w:rFonts w:ascii="Arial" w:hAnsi="Arial" w:cs="Arial"/>
          <w:sz w:val="24"/>
          <w:szCs w:val="24"/>
        </w:rPr>
        <w:t>affidavit</w:t>
      </w:r>
      <w:r w:rsidR="00795A12" w:rsidRPr="004B1C0E">
        <w:rPr>
          <w:rFonts w:ascii="Arial" w:hAnsi="Arial" w:cs="Arial"/>
          <w:sz w:val="24"/>
          <w:szCs w:val="24"/>
        </w:rPr>
        <w:t xml:space="preserve"> at the time she provided her reasons</w:t>
      </w:r>
      <w:r w:rsidR="00C065F0" w:rsidRPr="004B1C0E">
        <w:rPr>
          <w:rFonts w:ascii="Arial" w:hAnsi="Arial" w:cs="Arial"/>
          <w:sz w:val="24"/>
          <w:szCs w:val="24"/>
        </w:rPr>
        <w:t xml:space="preserve"> </w:t>
      </w:r>
      <w:r w:rsidR="00795A12" w:rsidRPr="004B1C0E">
        <w:rPr>
          <w:rFonts w:ascii="Arial" w:hAnsi="Arial" w:cs="Arial"/>
          <w:sz w:val="24"/>
          <w:szCs w:val="24"/>
        </w:rPr>
        <w:t xml:space="preserve">on </w:t>
      </w:r>
      <w:r w:rsidR="0027716B" w:rsidRPr="004B1C0E">
        <w:rPr>
          <w:rFonts w:ascii="Arial" w:hAnsi="Arial" w:cs="Arial"/>
          <w:sz w:val="24"/>
          <w:szCs w:val="24"/>
        </w:rPr>
        <w:t xml:space="preserve">30 October 2023. </w:t>
      </w:r>
      <w:r w:rsidR="00713D6C" w:rsidRPr="004B1C0E">
        <w:rPr>
          <w:rFonts w:ascii="Arial" w:hAnsi="Arial" w:cs="Arial"/>
          <w:sz w:val="24"/>
          <w:szCs w:val="24"/>
        </w:rPr>
        <w:t xml:space="preserve">The </w:t>
      </w:r>
      <w:r w:rsidR="002E015E" w:rsidRPr="004B1C0E">
        <w:rPr>
          <w:rFonts w:ascii="Arial" w:hAnsi="Arial" w:cs="Arial"/>
          <w:sz w:val="24"/>
          <w:szCs w:val="24"/>
        </w:rPr>
        <w:t>Magistrate’s written judgment</w:t>
      </w:r>
      <w:r w:rsidR="00DE6012" w:rsidRPr="004B1C0E">
        <w:rPr>
          <w:rFonts w:ascii="Arial" w:hAnsi="Arial" w:cs="Arial"/>
          <w:sz w:val="24"/>
          <w:szCs w:val="24"/>
        </w:rPr>
        <w:t xml:space="preserve">, unsurprisingly, does not </w:t>
      </w:r>
      <w:r w:rsidR="002A5A36" w:rsidRPr="004B1C0E">
        <w:rPr>
          <w:rFonts w:ascii="Arial" w:hAnsi="Arial" w:cs="Arial"/>
          <w:sz w:val="24"/>
          <w:szCs w:val="24"/>
        </w:rPr>
        <w:t>address the findings of fact and the rulings of law the Appellant appeals</w:t>
      </w:r>
      <w:r w:rsidR="00315872" w:rsidRPr="004B1C0E">
        <w:rPr>
          <w:rFonts w:ascii="Arial" w:hAnsi="Arial" w:cs="Arial"/>
          <w:sz w:val="24"/>
          <w:szCs w:val="24"/>
        </w:rPr>
        <w:t>.</w:t>
      </w:r>
      <w:r w:rsidR="002E015E" w:rsidRPr="004B1C0E">
        <w:rPr>
          <w:rFonts w:ascii="Arial" w:hAnsi="Arial" w:cs="Arial"/>
          <w:sz w:val="24"/>
          <w:szCs w:val="24"/>
        </w:rPr>
        <w:t xml:space="preserve"> </w:t>
      </w:r>
      <w:r w:rsidR="002F5704" w:rsidRPr="004B1C0E">
        <w:rPr>
          <w:rFonts w:ascii="Arial" w:hAnsi="Arial" w:cs="Arial"/>
          <w:sz w:val="24"/>
          <w:szCs w:val="24"/>
        </w:rPr>
        <w:t xml:space="preserve">If a Magistrate’s written judgment is not requested before the </w:t>
      </w:r>
      <w:r w:rsidR="00651D91" w:rsidRPr="004B1C0E">
        <w:rPr>
          <w:rFonts w:ascii="Arial" w:hAnsi="Arial" w:cs="Arial"/>
          <w:sz w:val="24"/>
          <w:szCs w:val="24"/>
        </w:rPr>
        <w:t>filing of the notices of appeal</w:t>
      </w:r>
      <w:r w:rsidR="00FF5673" w:rsidRPr="004B1C0E">
        <w:rPr>
          <w:rFonts w:ascii="Arial" w:hAnsi="Arial" w:cs="Arial"/>
          <w:sz w:val="24"/>
          <w:szCs w:val="24"/>
        </w:rPr>
        <w:t xml:space="preserve">, </w:t>
      </w:r>
      <w:r w:rsidR="00B34C1E" w:rsidRPr="004B1C0E">
        <w:rPr>
          <w:rFonts w:ascii="Arial" w:hAnsi="Arial" w:cs="Arial"/>
          <w:sz w:val="24"/>
          <w:szCs w:val="24"/>
        </w:rPr>
        <w:t xml:space="preserve">and </w:t>
      </w:r>
      <w:r w:rsidR="00FF5673" w:rsidRPr="004B1C0E">
        <w:rPr>
          <w:rFonts w:ascii="Arial" w:hAnsi="Arial" w:cs="Arial"/>
          <w:sz w:val="24"/>
          <w:szCs w:val="24"/>
        </w:rPr>
        <w:t xml:space="preserve">the </w:t>
      </w:r>
      <w:r w:rsidR="001271CF" w:rsidRPr="004B1C0E">
        <w:rPr>
          <w:rFonts w:ascii="Arial" w:hAnsi="Arial" w:cs="Arial"/>
          <w:sz w:val="24"/>
          <w:szCs w:val="24"/>
        </w:rPr>
        <w:t xml:space="preserve">Appellant is in a position to file </w:t>
      </w:r>
      <w:r w:rsidR="0087014E" w:rsidRPr="004B1C0E">
        <w:rPr>
          <w:rFonts w:ascii="Arial" w:hAnsi="Arial" w:cs="Arial"/>
          <w:sz w:val="24"/>
          <w:szCs w:val="24"/>
        </w:rPr>
        <w:t xml:space="preserve">a valid notice of appeal, the </w:t>
      </w:r>
      <w:r w:rsidR="00FF5673" w:rsidRPr="004B1C0E">
        <w:rPr>
          <w:rFonts w:ascii="Arial" w:hAnsi="Arial" w:cs="Arial"/>
          <w:sz w:val="24"/>
          <w:szCs w:val="24"/>
        </w:rPr>
        <w:t>Magistrate</w:t>
      </w:r>
      <w:r w:rsidR="00C45CB9" w:rsidRPr="004B1C0E">
        <w:rPr>
          <w:rFonts w:ascii="Arial" w:hAnsi="Arial" w:cs="Arial"/>
          <w:sz w:val="24"/>
          <w:szCs w:val="24"/>
        </w:rPr>
        <w:t xml:space="preserve"> is expected to </w:t>
      </w:r>
      <w:r w:rsidR="00E5679E" w:rsidRPr="004B1C0E">
        <w:rPr>
          <w:rFonts w:ascii="Arial" w:hAnsi="Arial" w:cs="Arial"/>
          <w:sz w:val="24"/>
          <w:szCs w:val="24"/>
        </w:rPr>
        <w:t>respond in terms of Rule 51(8)</w:t>
      </w:r>
      <w:r w:rsidR="00140646" w:rsidRPr="004B1C0E">
        <w:rPr>
          <w:rFonts w:ascii="Arial" w:hAnsi="Arial" w:cs="Arial"/>
          <w:sz w:val="24"/>
          <w:szCs w:val="24"/>
        </w:rPr>
        <w:t xml:space="preserve"> to the latter notice</w:t>
      </w:r>
      <w:r w:rsidR="00E5679E" w:rsidRPr="004B1C0E">
        <w:rPr>
          <w:rFonts w:ascii="Arial" w:hAnsi="Arial" w:cs="Arial"/>
          <w:sz w:val="24"/>
          <w:szCs w:val="24"/>
        </w:rPr>
        <w:t>.</w:t>
      </w:r>
      <w:r w:rsidR="00CB3CE6" w:rsidRPr="00397BD3">
        <w:rPr>
          <w:rStyle w:val="FootnoteReference"/>
          <w:rFonts w:ascii="Arial" w:hAnsi="Arial" w:cs="Arial"/>
          <w:sz w:val="24"/>
          <w:szCs w:val="24"/>
        </w:rPr>
        <w:footnoteReference w:id="5"/>
      </w:r>
      <w:r w:rsidR="0095298A" w:rsidRPr="004B1C0E">
        <w:rPr>
          <w:rFonts w:ascii="Arial" w:hAnsi="Arial" w:cs="Arial"/>
          <w:sz w:val="24"/>
          <w:szCs w:val="24"/>
        </w:rPr>
        <w:t xml:space="preserve"> </w:t>
      </w:r>
      <w:r w:rsidR="005F3CD9" w:rsidRPr="004B1C0E">
        <w:rPr>
          <w:rFonts w:ascii="Arial" w:hAnsi="Arial" w:cs="Arial"/>
          <w:sz w:val="24"/>
          <w:szCs w:val="24"/>
        </w:rPr>
        <w:lastRenderedPageBreak/>
        <w:t xml:space="preserve">Compliance with the requirements of Rule 51(8) </w:t>
      </w:r>
      <w:r w:rsidR="00CA221F" w:rsidRPr="004B1C0E">
        <w:rPr>
          <w:rFonts w:ascii="Arial" w:hAnsi="Arial" w:cs="Arial"/>
          <w:sz w:val="24"/>
          <w:szCs w:val="24"/>
        </w:rPr>
        <w:t>falls</w:t>
      </w:r>
      <w:r w:rsidR="00C75575" w:rsidRPr="004B1C0E">
        <w:rPr>
          <w:rFonts w:ascii="Arial" w:hAnsi="Arial" w:cs="Arial"/>
          <w:sz w:val="24"/>
          <w:szCs w:val="24"/>
        </w:rPr>
        <w:t xml:space="preserve"> upon </w:t>
      </w:r>
      <w:r w:rsidR="00E055EC" w:rsidRPr="004B1C0E">
        <w:rPr>
          <w:rFonts w:ascii="Arial" w:hAnsi="Arial" w:cs="Arial"/>
          <w:sz w:val="24"/>
          <w:szCs w:val="24"/>
        </w:rPr>
        <w:t>the Magistrate and the clerk of her court.</w:t>
      </w:r>
      <w:r w:rsidR="002B76FD" w:rsidRPr="004B1C0E">
        <w:rPr>
          <w:rFonts w:ascii="Arial" w:hAnsi="Arial" w:cs="Arial"/>
          <w:sz w:val="24"/>
          <w:szCs w:val="24"/>
        </w:rPr>
        <w:t xml:space="preserve"> </w:t>
      </w:r>
      <w:r w:rsidR="00E5679E" w:rsidRPr="004B1C0E">
        <w:rPr>
          <w:rFonts w:ascii="Arial" w:hAnsi="Arial" w:cs="Arial"/>
          <w:sz w:val="24"/>
          <w:szCs w:val="24"/>
        </w:rPr>
        <w:t xml:space="preserve"> </w:t>
      </w:r>
      <w:r w:rsidR="008F65E3" w:rsidRPr="004B1C0E">
        <w:rPr>
          <w:rFonts w:ascii="Arial" w:hAnsi="Arial" w:cs="Arial"/>
          <w:sz w:val="24"/>
          <w:szCs w:val="24"/>
        </w:rPr>
        <w:t xml:space="preserve"> </w:t>
      </w:r>
    </w:p>
    <w:p w14:paraId="382B60B6" w14:textId="77777777" w:rsidR="00144466" w:rsidRPr="00397BD3" w:rsidRDefault="00144466" w:rsidP="00397BD3">
      <w:pPr>
        <w:pStyle w:val="ListParagraph"/>
        <w:spacing w:line="480" w:lineRule="auto"/>
        <w:rPr>
          <w:rFonts w:ascii="Arial" w:hAnsi="Arial" w:cs="Arial"/>
          <w:sz w:val="24"/>
          <w:szCs w:val="24"/>
        </w:rPr>
      </w:pPr>
    </w:p>
    <w:p w14:paraId="4D63C348" w14:textId="0AB00781"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19.</w:t>
      </w:r>
      <w:r w:rsidRPr="00397BD3">
        <w:rPr>
          <w:rFonts w:ascii="Arial" w:hAnsi="Arial" w:cs="Arial"/>
          <w:sz w:val="24"/>
          <w:szCs w:val="24"/>
        </w:rPr>
        <w:tab/>
      </w:r>
      <w:r w:rsidR="00887B3C" w:rsidRPr="004B1C0E">
        <w:rPr>
          <w:rFonts w:ascii="Arial" w:hAnsi="Arial" w:cs="Arial"/>
          <w:sz w:val="24"/>
          <w:szCs w:val="24"/>
        </w:rPr>
        <w:t xml:space="preserve">The procedural irregularities </w:t>
      </w:r>
      <w:r w:rsidR="005A76BF" w:rsidRPr="004B1C0E">
        <w:rPr>
          <w:rFonts w:ascii="Arial" w:hAnsi="Arial" w:cs="Arial"/>
          <w:sz w:val="24"/>
          <w:szCs w:val="24"/>
        </w:rPr>
        <w:t xml:space="preserve">weigh heavily against the Appellant. </w:t>
      </w:r>
      <w:r w:rsidR="00B26C36" w:rsidRPr="004B1C0E">
        <w:rPr>
          <w:rFonts w:ascii="Arial" w:hAnsi="Arial" w:cs="Arial"/>
          <w:sz w:val="24"/>
          <w:szCs w:val="24"/>
        </w:rPr>
        <w:t xml:space="preserve">Whilst this court has the power to </w:t>
      </w:r>
      <w:r w:rsidR="003E492C" w:rsidRPr="004B1C0E">
        <w:rPr>
          <w:rFonts w:ascii="Arial" w:hAnsi="Arial" w:cs="Arial"/>
          <w:sz w:val="24"/>
          <w:szCs w:val="24"/>
        </w:rPr>
        <w:t xml:space="preserve">condone </w:t>
      </w:r>
      <w:r w:rsidR="00E40B2E" w:rsidRPr="004B1C0E">
        <w:rPr>
          <w:rFonts w:ascii="Arial" w:hAnsi="Arial" w:cs="Arial"/>
          <w:sz w:val="24"/>
          <w:szCs w:val="24"/>
        </w:rPr>
        <w:t>omissions</w:t>
      </w:r>
      <w:r w:rsidR="00BB350B" w:rsidRPr="004B1C0E">
        <w:rPr>
          <w:rFonts w:ascii="Arial" w:hAnsi="Arial" w:cs="Arial"/>
          <w:sz w:val="24"/>
          <w:szCs w:val="24"/>
        </w:rPr>
        <w:t xml:space="preserve"> in the papers and irregularities in the noting and prosecution of an appeal, </w:t>
      </w:r>
      <w:r w:rsidR="00E40B2E" w:rsidRPr="004B1C0E">
        <w:rPr>
          <w:rFonts w:ascii="Arial" w:hAnsi="Arial" w:cs="Arial"/>
          <w:sz w:val="24"/>
          <w:szCs w:val="24"/>
        </w:rPr>
        <w:t xml:space="preserve">there are no applications for condonation before us. Whilst we are </w:t>
      </w:r>
      <w:r w:rsidR="0048663E" w:rsidRPr="004B1C0E">
        <w:rPr>
          <w:rFonts w:ascii="Arial" w:hAnsi="Arial" w:cs="Arial"/>
          <w:sz w:val="24"/>
          <w:szCs w:val="24"/>
        </w:rPr>
        <w:t xml:space="preserve">cognisant of the difficulties </w:t>
      </w:r>
      <w:r w:rsidR="00FF2B25" w:rsidRPr="004B1C0E">
        <w:rPr>
          <w:rFonts w:ascii="Arial" w:hAnsi="Arial" w:cs="Arial"/>
          <w:sz w:val="24"/>
          <w:szCs w:val="24"/>
        </w:rPr>
        <w:t xml:space="preserve">of an unassisted and unrepresented party, </w:t>
      </w:r>
      <w:r w:rsidR="00E235BE" w:rsidRPr="004B1C0E">
        <w:rPr>
          <w:rFonts w:ascii="Arial" w:hAnsi="Arial" w:cs="Arial"/>
          <w:sz w:val="24"/>
          <w:szCs w:val="24"/>
        </w:rPr>
        <w:t xml:space="preserve">there has to be a limit to which this court can </w:t>
      </w:r>
      <w:r w:rsidR="00C57256" w:rsidRPr="004B1C0E">
        <w:rPr>
          <w:rFonts w:ascii="Arial" w:hAnsi="Arial" w:cs="Arial"/>
          <w:sz w:val="24"/>
          <w:szCs w:val="24"/>
        </w:rPr>
        <w:t xml:space="preserve">condone non-compliance with the rules. </w:t>
      </w:r>
      <w:r w:rsidR="009563EE" w:rsidRPr="004B1C0E">
        <w:rPr>
          <w:rFonts w:ascii="Arial" w:hAnsi="Arial" w:cs="Arial"/>
          <w:sz w:val="24"/>
          <w:szCs w:val="24"/>
        </w:rPr>
        <w:t>In the absence of a clear exposition of the grounds of appeal and the findings of fact and law that the Appellant appe</w:t>
      </w:r>
      <w:r w:rsidR="006020C3" w:rsidRPr="004B1C0E">
        <w:rPr>
          <w:rFonts w:ascii="Arial" w:hAnsi="Arial" w:cs="Arial"/>
          <w:sz w:val="24"/>
          <w:szCs w:val="24"/>
        </w:rPr>
        <w:t>a</w:t>
      </w:r>
      <w:r w:rsidR="009563EE" w:rsidRPr="004B1C0E">
        <w:rPr>
          <w:rFonts w:ascii="Arial" w:hAnsi="Arial" w:cs="Arial"/>
          <w:sz w:val="24"/>
          <w:szCs w:val="24"/>
        </w:rPr>
        <w:t xml:space="preserve">ls </w:t>
      </w:r>
      <w:r w:rsidR="006020C3" w:rsidRPr="004B1C0E">
        <w:rPr>
          <w:rFonts w:ascii="Arial" w:hAnsi="Arial" w:cs="Arial"/>
          <w:sz w:val="24"/>
          <w:szCs w:val="24"/>
        </w:rPr>
        <w:t>against, there is</w:t>
      </w:r>
      <w:r w:rsidR="007F4F4F" w:rsidRPr="004B1C0E">
        <w:rPr>
          <w:rFonts w:ascii="Arial" w:hAnsi="Arial" w:cs="Arial"/>
          <w:sz w:val="24"/>
          <w:szCs w:val="24"/>
        </w:rPr>
        <w:t>, in effect, n</w:t>
      </w:r>
      <w:r w:rsidR="006020C3" w:rsidRPr="004B1C0E">
        <w:rPr>
          <w:rFonts w:ascii="Arial" w:hAnsi="Arial" w:cs="Arial"/>
          <w:sz w:val="24"/>
          <w:szCs w:val="24"/>
        </w:rPr>
        <w:t>o appeal before us.</w:t>
      </w:r>
      <w:r w:rsidR="00094A71" w:rsidRPr="004B1C0E">
        <w:rPr>
          <w:rFonts w:ascii="Arial" w:hAnsi="Arial" w:cs="Arial"/>
          <w:sz w:val="24"/>
          <w:szCs w:val="24"/>
        </w:rPr>
        <w:t xml:space="preserve"> </w:t>
      </w:r>
      <w:r w:rsidR="001C6290" w:rsidRPr="004B1C0E">
        <w:rPr>
          <w:rFonts w:ascii="Arial" w:hAnsi="Arial" w:cs="Arial"/>
          <w:sz w:val="24"/>
          <w:szCs w:val="24"/>
        </w:rPr>
        <w:t xml:space="preserve">This </w:t>
      </w:r>
      <w:r w:rsidR="00324FB9" w:rsidRPr="004B1C0E">
        <w:rPr>
          <w:rFonts w:ascii="Arial" w:hAnsi="Arial" w:cs="Arial"/>
          <w:sz w:val="24"/>
          <w:szCs w:val="24"/>
        </w:rPr>
        <w:t xml:space="preserve">court need not make a decision </w:t>
      </w:r>
      <w:r w:rsidR="00C2547C" w:rsidRPr="004B1C0E">
        <w:rPr>
          <w:rFonts w:ascii="Arial" w:hAnsi="Arial" w:cs="Arial"/>
          <w:sz w:val="24"/>
          <w:szCs w:val="24"/>
        </w:rPr>
        <w:t xml:space="preserve">on this appeal based on the </w:t>
      </w:r>
      <w:r w:rsidR="00ED529B" w:rsidRPr="004B1C0E">
        <w:rPr>
          <w:rFonts w:ascii="Arial" w:hAnsi="Arial" w:cs="Arial"/>
          <w:sz w:val="24"/>
          <w:szCs w:val="24"/>
        </w:rPr>
        <w:t xml:space="preserve">extent of the </w:t>
      </w:r>
      <w:r w:rsidR="00C2547C" w:rsidRPr="004B1C0E">
        <w:rPr>
          <w:rFonts w:ascii="Arial" w:hAnsi="Arial" w:cs="Arial"/>
          <w:sz w:val="24"/>
          <w:szCs w:val="24"/>
        </w:rPr>
        <w:t xml:space="preserve">irregularities before considering the Appellant’s prospects </w:t>
      </w:r>
      <w:r w:rsidR="00641B0C" w:rsidRPr="004B1C0E">
        <w:rPr>
          <w:rFonts w:ascii="Arial" w:hAnsi="Arial" w:cs="Arial"/>
          <w:sz w:val="24"/>
          <w:szCs w:val="24"/>
        </w:rPr>
        <w:t xml:space="preserve">of success </w:t>
      </w:r>
      <w:r w:rsidR="00C2547C" w:rsidRPr="004B1C0E">
        <w:rPr>
          <w:rFonts w:ascii="Arial" w:hAnsi="Arial" w:cs="Arial"/>
          <w:sz w:val="24"/>
          <w:szCs w:val="24"/>
        </w:rPr>
        <w:t xml:space="preserve">on </w:t>
      </w:r>
      <w:r w:rsidR="009613FA" w:rsidRPr="004B1C0E">
        <w:rPr>
          <w:rFonts w:ascii="Arial" w:hAnsi="Arial" w:cs="Arial"/>
          <w:sz w:val="24"/>
          <w:szCs w:val="24"/>
        </w:rPr>
        <w:t xml:space="preserve">the merits of her </w:t>
      </w:r>
      <w:r w:rsidR="00C2547C" w:rsidRPr="004B1C0E">
        <w:rPr>
          <w:rFonts w:ascii="Arial" w:hAnsi="Arial" w:cs="Arial"/>
          <w:sz w:val="24"/>
          <w:szCs w:val="24"/>
        </w:rPr>
        <w:t xml:space="preserve">appeal. </w:t>
      </w:r>
      <w:r w:rsidR="0043684E" w:rsidRPr="004B1C0E">
        <w:rPr>
          <w:rFonts w:ascii="Arial" w:hAnsi="Arial" w:cs="Arial"/>
          <w:sz w:val="24"/>
          <w:szCs w:val="24"/>
        </w:rPr>
        <w:t xml:space="preserve"> </w:t>
      </w:r>
    </w:p>
    <w:p w14:paraId="07477DC5" w14:textId="77777777" w:rsidR="0043684E" w:rsidRPr="00397BD3" w:rsidRDefault="0043684E" w:rsidP="00397BD3">
      <w:pPr>
        <w:pStyle w:val="ListParagraph"/>
        <w:spacing w:line="480" w:lineRule="auto"/>
        <w:rPr>
          <w:rFonts w:ascii="Arial" w:hAnsi="Arial" w:cs="Arial"/>
          <w:sz w:val="24"/>
          <w:szCs w:val="24"/>
        </w:rPr>
      </w:pPr>
    </w:p>
    <w:p w14:paraId="5CB0B586" w14:textId="14BE0E1B"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20.</w:t>
      </w:r>
      <w:r w:rsidRPr="00397BD3">
        <w:rPr>
          <w:rFonts w:ascii="Arial" w:hAnsi="Arial" w:cs="Arial"/>
          <w:sz w:val="24"/>
          <w:szCs w:val="24"/>
        </w:rPr>
        <w:tab/>
      </w:r>
      <w:r w:rsidR="0043684E" w:rsidRPr="004B1C0E">
        <w:rPr>
          <w:rFonts w:ascii="Arial" w:hAnsi="Arial" w:cs="Arial"/>
          <w:sz w:val="24"/>
          <w:szCs w:val="24"/>
        </w:rPr>
        <w:t>The grounds of appeal raised by the Appellant are ambiguous</w:t>
      </w:r>
      <w:r w:rsidR="00641B0C" w:rsidRPr="004B1C0E">
        <w:rPr>
          <w:rFonts w:ascii="Arial" w:hAnsi="Arial" w:cs="Arial"/>
          <w:sz w:val="24"/>
          <w:szCs w:val="24"/>
        </w:rPr>
        <w:t xml:space="preserve"> and largely, if not wholly irrelevant to an appeal</w:t>
      </w:r>
      <w:r w:rsidR="0043684E" w:rsidRPr="004B1C0E">
        <w:rPr>
          <w:rFonts w:ascii="Arial" w:hAnsi="Arial" w:cs="Arial"/>
          <w:sz w:val="24"/>
          <w:szCs w:val="24"/>
        </w:rPr>
        <w:t xml:space="preserve">. </w:t>
      </w:r>
      <w:r w:rsidR="00552993" w:rsidRPr="004B1C0E">
        <w:rPr>
          <w:rFonts w:ascii="Arial" w:hAnsi="Arial" w:cs="Arial"/>
          <w:sz w:val="24"/>
          <w:szCs w:val="24"/>
        </w:rPr>
        <w:t xml:space="preserve">The Appellant levels </w:t>
      </w:r>
      <w:r w:rsidR="0043684E" w:rsidRPr="004B1C0E">
        <w:rPr>
          <w:rFonts w:ascii="Arial" w:hAnsi="Arial" w:cs="Arial"/>
          <w:sz w:val="24"/>
          <w:szCs w:val="24"/>
        </w:rPr>
        <w:t xml:space="preserve">allegations of bias, prejudice, and discrimination against the Magistrate, and allegations of racism, harassment, maliciousness, and manipulative behaviour against the Respondents. The </w:t>
      </w:r>
      <w:r w:rsidR="007017A8" w:rsidRPr="004B1C0E">
        <w:rPr>
          <w:rFonts w:ascii="Arial" w:hAnsi="Arial" w:cs="Arial"/>
          <w:sz w:val="24"/>
          <w:szCs w:val="24"/>
        </w:rPr>
        <w:t xml:space="preserve">Appellant alleges that the </w:t>
      </w:r>
      <w:r w:rsidR="0043684E" w:rsidRPr="004B1C0E">
        <w:rPr>
          <w:rFonts w:ascii="Arial" w:hAnsi="Arial" w:cs="Arial"/>
          <w:sz w:val="24"/>
          <w:szCs w:val="24"/>
        </w:rPr>
        <w:t xml:space="preserve">Respondents refused her a letter of reference which would have helped her to secure other accommodation. The Appellant alleged further that the merits of the eviction application were pending a review in this court. </w:t>
      </w:r>
      <w:r w:rsidR="00A4347B" w:rsidRPr="004B1C0E">
        <w:rPr>
          <w:rFonts w:ascii="Arial" w:hAnsi="Arial" w:cs="Arial"/>
          <w:sz w:val="24"/>
          <w:szCs w:val="24"/>
        </w:rPr>
        <w:t xml:space="preserve">Seeking clarity of the grounds of appeal from the supporting affidavit is unhelpful </w:t>
      </w:r>
      <w:r w:rsidR="00A82C56" w:rsidRPr="004B1C0E">
        <w:rPr>
          <w:rFonts w:ascii="Arial" w:hAnsi="Arial" w:cs="Arial"/>
          <w:sz w:val="24"/>
          <w:szCs w:val="24"/>
        </w:rPr>
        <w:t xml:space="preserve">as it </w:t>
      </w:r>
      <w:r w:rsidR="0043684E" w:rsidRPr="004B1C0E">
        <w:rPr>
          <w:rFonts w:ascii="Arial" w:hAnsi="Arial" w:cs="Arial"/>
          <w:bCs/>
          <w:sz w:val="24"/>
          <w:szCs w:val="24"/>
          <w:lang w:val="en-US"/>
        </w:rPr>
        <w:t>reflects the content of the notice, apart from an added reference to an ailing sister.</w:t>
      </w:r>
      <w:r w:rsidR="00012B39" w:rsidRPr="004B1C0E">
        <w:rPr>
          <w:rFonts w:ascii="Arial" w:hAnsi="Arial" w:cs="Arial"/>
          <w:bCs/>
          <w:sz w:val="24"/>
          <w:szCs w:val="24"/>
          <w:lang w:val="en-US"/>
        </w:rPr>
        <w:t xml:space="preserve"> </w:t>
      </w:r>
      <w:r w:rsidR="0043684E" w:rsidRPr="004B1C0E">
        <w:rPr>
          <w:rFonts w:ascii="Arial" w:hAnsi="Arial" w:cs="Arial"/>
          <w:bCs/>
          <w:sz w:val="24"/>
          <w:szCs w:val="24"/>
          <w:lang w:val="en-US"/>
        </w:rPr>
        <w:t xml:space="preserve">  </w:t>
      </w:r>
    </w:p>
    <w:p w14:paraId="0230B00C" w14:textId="77777777" w:rsidR="0043684E" w:rsidRPr="00397BD3" w:rsidRDefault="0043684E" w:rsidP="00397BD3">
      <w:pPr>
        <w:pStyle w:val="ListParagraph"/>
        <w:spacing w:line="480" w:lineRule="auto"/>
        <w:rPr>
          <w:rFonts w:ascii="Arial" w:hAnsi="Arial" w:cs="Arial"/>
          <w:sz w:val="24"/>
          <w:szCs w:val="24"/>
        </w:rPr>
      </w:pPr>
    </w:p>
    <w:p w14:paraId="20DE7216" w14:textId="22FC4A2B"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21.</w:t>
      </w:r>
      <w:r w:rsidRPr="00397BD3">
        <w:rPr>
          <w:rFonts w:ascii="Arial" w:hAnsi="Arial" w:cs="Arial"/>
          <w:sz w:val="24"/>
          <w:szCs w:val="24"/>
        </w:rPr>
        <w:tab/>
      </w:r>
      <w:r w:rsidR="0043684E" w:rsidRPr="004B1C0E">
        <w:rPr>
          <w:rFonts w:ascii="Arial" w:hAnsi="Arial" w:cs="Arial"/>
          <w:sz w:val="24"/>
          <w:szCs w:val="24"/>
        </w:rPr>
        <w:t>As the Appellant had occupied the Respondent’s property for longer than six months, section (4)7 of PIE applied to her eviction. The court below was required to make a just and equitable order after considering all relevant factors including the rights and needs of children, the disabled, the elderly, households that are headed by women</w:t>
      </w:r>
      <w:r w:rsidR="00BD6011" w:rsidRPr="004B1C0E">
        <w:rPr>
          <w:rFonts w:ascii="Arial" w:hAnsi="Arial" w:cs="Arial"/>
          <w:sz w:val="24"/>
          <w:szCs w:val="24"/>
        </w:rPr>
        <w:t>, and the availability of municipal or other accommodation.</w:t>
      </w:r>
      <w:r w:rsidR="0043684E" w:rsidRPr="004B1C0E">
        <w:rPr>
          <w:rFonts w:ascii="Arial" w:hAnsi="Arial" w:cs="Arial"/>
          <w:sz w:val="24"/>
          <w:szCs w:val="24"/>
        </w:rPr>
        <w:t xml:space="preserve"> The Magistrate provided comprehensive reasons for her decision and on the totality of the evidence available to her, </w:t>
      </w:r>
      <w:r w:rsidR="00AE5691" w:rsidRPr="004B1C0E">
        <w:rPr>
          <w:rFonts w:ascii="Arial" w:hAnsi="Arial" w:cs="Arial"/>
          <w:sz w:val="24"/>
          <w:szCs w:val="24"/>
        </w:rPr>
        <w:t xml:space="preserve">she concluded that </w:t>
      </w:r>
      <w:r w:rsidR="0043684E" w:rsidRPr="004B1C0E">
        <w:rPr>
          <w:rFonts w:ascii="Arial" w:hAnsi="Arial" w:cs="Arial"/>
          <w:sz w:val="24"/>
          <w:szCs w:val="24"/>
        </w:rPr>
        <w:t xml:space="preserve">an eviction order was just and equitable. The Magistrate considered the prescribed requirements included in section 4(7) of PIE and the applicable principles enunciated in the relevant case law. The Magistrate understood that each case had to be decided on its own merits. </w:t>
      </w:r>
    </w:p>
    <w:p w14:paraId="10CB728A" w14:textId="77777777" w:rsidR="0043684E" w:rsidRPr="00397BD3" w:rsidRDefault="0043684E" w:rsidP="00397BD3">
      <w:pPr>
        <w:pStyle w:val="ListParagraph"/>
        <w:spacing w:line="480" w:lineRule="auto"/>
        <w:rPr>
          <w:rFonts w:ascii="Arial" w:hAnsi="Arial" w:cs="Arial"/>
          <w:sz w:val="24"/>
          <w:szCs w:val="24"/>
        </w:rPr>
      </w:pPr>
    </w:p>
    <w:p w14:paraId="67F5D99E" w14:textId="15907C6E"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22.</w:t>
      </w:r>
      <w:r w:rsidRPr="00397BD3">
        <w:rPr>
          <w:rFonts w:ascii="Arial" w:hAnsi="Arial" w:cs="Arial"/>
          <w:sz w:val="24"/>
          <w:szCs w:val="24"/>
        </w:rPr>
        <w:tab/>
      </w:r>
      <w:r w:rsidR="0043684E" w:rsidRPr="004B1C0E">
        <w:rPr>
          <w:rFonts w:ascii="Arial" w:hAnsi="Arial" w:cs="Arial"/>
          <w:sz w:val="24"/>
          <w:szCs w:val="24"/>
        </w:rPr>
        <w:t xml:space="preserve">The Magistrate noted the circumstances of both the Appellant and the Respondents. The Appellant was self-employed, received spousal maintenance, and had a minor son who lived with her. The Appellant declined assistance from the City of Cape Town as she preferred to secure accommodation of her choice. The Appellant paid a premium </w:t>
      </w:r>
      <w:r w:rsidR="00CE67B0" w:rsidRPr="004B1C0E">
        <w:rPr>
          <w:rFonts w:ascii="Arial" w:hAnsi="Arial" w:cs="Arial"/>
          <w:sz w:val="24"/>
          <w:szCs w:val="24"/>
        </w:rPr>
        <w:t>to rent t</w:t>
      </w:r>
      <w:r w:rsidR="00EB2C7D" w:rsidRPr="004B1C0E">
        <w:rPr>
          <w:rFonts w:ascii="Arial" w:hAnsi="Arial" w:cs="Arial"/>
          <w:sz w:val="24"/>
          <w:szCs w:val="24"/>
        </w:rPr>
        <w:t xml:space="preserve">he Respondents property </w:t>
      </w:r>
      <w:r w:rsidR="0043684E" w:rsidRPr="004B1C0E">
        <w:rPr>
          <w:rFonts w:ascii="Arial" w:hAnsi="Arial" w:cs="Arial"/>
          <w:sz w:val="24"/>
          <w:szCs w:val="24"/>
        </w:rPr>
        <w:t xml:space="preserve">and </w:t>
      </w:r>
      <w:r w:rsidR="0042475B" w:rsidRPr="004B1C0E">
        <w:rPr>
          <w:rFonts w:ascii="Arial" w:hAnsi="Arial" w:cs="Arial"/>
          <w:sz w:val="24"/>
          <w:szCs w:val="24"/>
        </w:rPr>
        <w:t xml:space="preserve">her ability to afford </w:t>
      </w:r>
      <w:r w:rsidR="00431AC2" w:rsidRPr="004B1C0E">
        <w:rPr>
          <w:rFonts w:ascii="Arial" w:hAnsi="Arial" w:cs="Arial"/>
          <w:sz w:val="24"/>
          <w:szCs w:val="24"/>
        </w:rPr>
        <w:t xml:space="preserve">other </w:t>
      </w:r>
      <w:r w:rsidR="0043684E" w:rsidRPr="004B1C0E">
        <w:rPr>
          <w:rFonts w:ascii="Arial" w:hAnsi="Arial" w:cs="Arial"/>
          <w:sz w:val="24"/>
          <w:szCs w:val="24"/>
        </w:rPr>
        <w:t xml:space="preserve">accommodation was not an issue. The Appellant did not oppose the eviction and had initially agreed to depart the property on 31 October 2023. At the final hearing, the Appellant </w:t>
      </w:r>
      <w:r w:rsidR="00CB5A7A" w:rsidRPr="004B1C0E">
        <w:rPr>
          <w:rFonts w:ascii="Arial" w:hAnsi="Arial" w:cs="Arial"/>
          <w:sz w:val="24"/>
          <w:szCs w:val="24"/>
        </w:rPr>
        <w:t xml:space="preserve">disavowed </w:t>
      </w:r>
      <w:r w:rsidR="00A469DE" w:rsidRPr="004B1C0E">
        <w:rPr>
          <w:rFonts w:ascii="Arial" w:hAnsi="Arial" w:cs="Arial"/>
          <w:sz w:val="24"/>
          <w:szCs w:val="24"/>
        </w:rPr>
        <w:t xml:space="preserve">the agreement and </w:t>
      </w:r>
      <w:r w:rsidR="0043684E" w:rsidRPr="004B1C0E">
        <w:rPr>
          <w:rFonts w:ascii="Arial" w:hAnsi="Arial" w:cs="Arial"/>
          <w:sz w:val="24"/>
          <w:szCs w:val="24"/>
        </w:rPr>
        <w:t>sought an extension for a further month</w:t>
      </w:r>
      <w:r w:rsidR="00410E19" w:rsidRPr="004B1C0E">
        <w:rPr>
          <w:rFonts w:ascii="Arial" w:hAnsi="Arial" w:cs="Arial"/>
          <w:sz w:val="24"/>
          <w:szCs w:val="24"/>
        </w:rPr>
        <w:t xml:space="preserve">, citing the </w:t>
      </w:r>
      <w:r w:rsidR="0043684E" w:rsidRPr="004B1C0E">
        <w:rPr>
          <w:rFonts w:ascii="Arial" w:hAnsi="Arial" w:cs="Arial"/>
          <w:sz w:val="24"/>
          <w:szCs w:val="24"/>
        </w:rPr>
        <w:t>Respondent's refusal to provide her with a letter of reference as the reason for the extension.</w:t>
      </w:r>
      <w:r w:rsidR="0040337A" w:rsidRPr="004B1C0E">
        <w:rPr>
          <w:rFonts w:ascii="Arial" w:hAnsi="Arial" w:cs="Arial"/>
          <w:sz w:val="24"/>
          <w:szCs w:val="24"/>
        </w:rPr>
        <w:t xml:space="preserve"> </w:t>
      </w:r>
    </w:p>
    <w:p w14:paraId="5DAA7929" w14:textId="77777777" w:rsidR="0043684E" w:rsidRPr="00397BD3" w:rsidRDefault="0043684E" w:rsidP="00397BD3">
      <w:pPr>
        <w:pStyle w:val="ListParagraph"/>
        <w:spacing w:line="480" w:lineRule="auto"/>
        <w:rPr>
          <w:rFonts w:ascii="Arial" w:hAnsi="Arial" w:cs="Arial"/>
          <w:sz w:val="24"/>
          <w:szCs w:val="24"/>
        </w:rPr>
      </w:pPr>
    </w:p>
    <w:p w14:paraId="6FF6EFE9" w14:textId="5C9B0231"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23.</w:t>
      </w:r>
      <w:r w:rsidRPr="00397BD3">
        <w:rPr>
          <w:rFonts w:ascii="Arial" w:hAnsi="Arial" w:cs="Arial"/>
          <w:sz w:val="24"/>
          <w:szCs w:val="24"/>
        </w:rPr>
        <w:tab/>
      </w:r>
      <w:r w:rsidR="0043684E" w:rsidRPr="004B1C0E">
        <w:rPr>
          <w:rFonts w:ascii="Arial" w:hAnsi="Arial" w:cs="Arial"/>
          <w:sz w:val="24"/>
          <w:szCs w:val="24"/>
        </w:rPr>
        <w:t>As for the Respondents, they were financially stressed and needed to generate income from the</w:t>
      </w:r>
      <w:r w:rsidR="001800A4" w:rsidRPr="004B1C0E">
        <w:rPr>
          <w:rFonts w:ascii="Arial" w:hAnsi="Arial" w:cs="Arial"/>
          <w:sz w:val="24"/>
          <w:szCs w:val="24"/>
        </w:rPr>
        <w:t xml:space="preserve">ir </w:t>
      </w:r>
      <w:r w:rsidR="0043684E" w:rsidRPr="004B1C0E">
        <w:rPr>
          <w:rFonts w:ascii="Arial" w:hAnsi="Arial" w:cs="Arial"/>
          <w:sz w:val="24"/>
          <w:szCs w:val="24"/>
        </w:rPr>
        <w:t>property</w:t>
      </w:r>
      <w:r w:rsidR="001800A4" w:rsidRPr="004B1C0E">
        <w:rPr>
          <w:rFonts w:ascii="Arial" w:hAnsi="Arial" w:cs="Arial"/>
          <w:sz w:val="24"/>
          <w:szCs w:val="24"/>
        </w:rPr>
        <w:t xml:space="preserve">. </w:t>
      </w:r>
      <w:r w:rsidR="0043684E" w:rsidRPr="004B1C0E">
        <w:rPr>
          <w:rFonts w:ascii="Arial" w:hAnsi="Arial" w:cs="Arial"/>
          <w:sz w:val="24"/>
          <w:szCs w:val="24"/>
        </w:rPr>
        <w:t>The Respondents had three minor children</w:t>
      </w:r>
      <w:r w:rsidR="001800A4" w:rsidRPr="004B1C0E">
        <w:rPr>
          <w:rFonts w:ascii="Arial" w:hAnsi="Arial" w:cs="Arial"/>
          <w:sz w:val="24"/>
          <w:szCs w:val="24"/>
        </w:rPr>
        <w:t xml:space="preserve">. The lease on the house they rented </w:t>
      </w:r>
      <w:r w:rsidR="00A17DF0" w:rsidRPr="004B1C0E">
        <w:rPr>
          <w:rFonts w:ascii="Arial" w:hAnsi="Arial" w:cs="Arial"/>
          <w:sz w:val="24"/>
          <w:szCs w:val="24"/>
        </w:rPr>
        <w:t xml:space="preserve">was </w:t>
      </w:r>
      <w:r w:rsidR="00101203" w:rsidRPr="004B1C0E">
        <w:rPr>
          <w:rFonts w:ascii="Arial" w:hAnsi="Arial" w:cs="Arial"/>
          <w:sz w:val="24"/>
          <w:szCs w:val="24"/>
        </w:rPr>
        <w:t>coming to an end.</w:t>
      </w:r>
      <w:r w:rsidR="00AD32B3" w:rsidRPr="004B1C0E">
        <w:rPr>
          <w:rFonts w:ascii="Arial" w:hAnsi="Arial" w:cs="Arial"/>
          <w:sz w:val="24"/>
          <w:szCs w:val="24"/>
        </w:rPr>
        <w:t xml:space="preserve"> The Respondents </w:t>
      </w:r>
      <w:r w:rsidR="003B3C0F" w:rsidRPr="004B1C0E">
        <w:rPr>
          <w:rFonts w:ascii="Arial" w:hAnsi="Arial" w:cs="Arial"/>
          <w:sz w:val="24"/>
          <w:szCs w:val="24"/>
        </w:rPr>
        <w:t xml:space="preserve">needed to move to </w:t>
      </w:r>
      <w:r w:rsidR="0043684E" w:rsidRPr="004B1C0E">
        <w:rPr>
          <w:rFonts w:ascii="Arial" w:hAnsi="Arial" w:cs="Arial"/>
          <w:sz w:val="24"/>
          <w:szCs w:val="24"/>
        </w:rPr>
        <w:t>their property</w:t>
      </w:r>
      <w:r w:rsidR="003B3C0F" w:rsidRPr="004B1C0E">
        <w:rPr>
          <w:rFonts w:ascii="Arial" w:hAnsi="Arial" w:cs="Arial"/>
          <w:sz w:val="24"/>
          <w:szCs w:val="24"/>
        </w:rPr>
        <w:t xml:space="preserve">. </w:t>
      </w:r>
      <w:r w:rsidR="0043684E" w:rsidRPr="004B1C0E">
        <w:rPr>
          <w:rFonts w:ascii="Arial" w:hAnsi="Arial" w:cs="Arial"/>
          <w:bCs/>
          <w:sz w:val="24"/>
          <w:szCs w:val="24"/>
          <w:lang w:val="en-US"/>
        </w:rPr>
        <w:t xml:space="preserve">The </w:t>
      </w:r>
      <w:r w:rsidR="009F2CA8" w:rsidRPr="004B1C0E">
        <w:rPr>
          <w:rFonts w:ascii="Arial" w:hAnsi="Arial" w:cs="Arial"/>
          <w:bCs/>
          <w:sz w:val="24"/>
          <w:szCs w:val="24"/>
          <w:lang w:val="en-US"/>
        </w:rPr>
        <w:t>Appellant’s outstanding arrears did inform the Respondent</w:t>
      </w:r>
      <w:r w:rsidR="002721C0" w:rsidRPr="004B1C0E">
        <w:rPr>
          <w:rFonts w:ascii="Arial" w:hAnsi="Arial" w:cs="Arial"/>
          <w:bCs/>
          <w:sz w:val="24"/>
          <w:szCs w:val="24"/>
          <w:lang w:val="en-US"/>
        </w:rPr>
        <w:t>s’ decision to cancel the lease and institute eviction proceedings</w:t>
      </w:r>
      <w:r w:rsidR="00902DC0" w:rsidRPr="004B1C0E">
        <w:rPr>
          <w:rFonts w:ascii="Arial" w:hAnsi="Arial" w:cs="Arial"/>
          <w:bCs/>
          <w:sz w:val="24"/>
          <w:szCs w:val="24"/>
          <w:lang w:val="en-US"/>
        </w:rPr>
        <w:t>.</w:t>
      </w:r>
    </w:p>
    <w:p w14:paraId="6F5EAB90" w14:textId="77777777" w:rsidR="0043684E" w:rsidRPr="00397BD3" w:rsidRDefault="0043684E" w:rsidP="00397BD3">
      <w:pPr>
        <w:pStyle w:val="ListParagraph"/>
        <w:spacing w:line="480" w:lineRule="auto"/>
        <w:rPr>
          <w:rFonts w:ascii="Arial" w:hAnsi="Arial" w:cs="Arial"/>
          <w:sz w:val="24"/>
          <w:szCs w:val="24"/>
        </w:rPr>
      </w:pPr>
    </w:p>
    <w:p w14:paraId="1DE89F23" w14:textId="5C072429"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24.</w:t>
      </w:r>
      <w:r w:rsidRPr="00397BD3">
        <w:rPr>
          <w:rFonts w:ascii="Arial" w:hAnsi="Arial" w:cs="Arial"/>
          <w:sz w:val="24"/>
          <w:szCs w:val="24"/>
        </w:rPr>
        <w:tab/>
      </w:r>
      <w:r w:rsidR="0043684E" w:rsidRPr="004B1C0E">
        <w:rPr>
          <w:rFonts w:ascii="Arial" w:hAnsi="Arial" w:cs="Arial"/>
          <w:bCs/>
          <w:sz w:val="24"/>
          <w:szCs w:val="24"/>
          <w:lang w:val="en-US"/>
        </w:rPr>
        <w:t>The court below found on the totality of the evidence that an eviction order would be just and equitable</w:t>
      </w:r>
      <w:r w:rsidR="00F95EDF" w:rsidRPr="004B1C0E">
        <w:rPr>
          <w:rFonts w:ascii="Arial" w:hAnsi="Arial" w:cs="Arial"/>
          <w:bCs/>
          <w:sz w:val="24"/>
          <w:szCs w:val="24"/>
          <w:lang w:val="en-US"/>
        </w:rPr>
        <w:t xml:space="preserve">. </w:t>
      </w:r>
      <w:r w:rsidR="00932992" w:rsidRPr="004B1C0E">
        <w:rPr>
          <w:rFonts w:ascii="Arial" w:hAnsi="Arial" w:cs="Arial"/>
          <w:bCs/>
          <w:sz w:val="24"/>
          <w:szCs w:val="24"/>
          <w:lang w:val="en-US"/>
        </w:rPr>
        <w:t xml:space="preserve">The prejudice to the Respondents weighed </w:t>
      </w:r>
      <w:r w:rsidR="0043684E" w:rsidRPr="004B1C0E">
        <w:rPr>
          <w:rFonts w:ascii="Arial" w:hAnsi="Arial" w:cs="Arial"/>
          <w:bCs/>
          <w:sz w:val="24"/>
          <w:szCs w:val="24"/>
          <w:lang w:val="en-US"/>
        </w:rPr>
        <w:t xml:space="preserve">more heavily </w:t>
      </w:r>
      <w:r w:rsidR="000242EA" w:rsidRPr="004B1C0E">
        <w:rPr>
          <w:rFonts w:ascii="Arial" w:hAnsi="Arial" w:cs="Arial"/>
          <w:bCs/>
          <w:sz w:val="24"/>
          <w:szCs w:val="24"/>
          <w:lang w:val="en-US"/>
        </w:rPr>
        <w:t xml:space="preserve">than that suffered by the Appellant. </w:t>
      </w:r>
      <w:r w:rsidR="0043684E" w:rsidRPr="004B1C0E">
        <w:rPr>
          <w:rFonts w:ascii="Arial" w:hAnsi="Arial" w:cs="Arial"/>
          <w:bCs/>
          <w:sz w:val="24"/>
          <w:szCs w:val="24"/>
          <w:lang w:val="en-US"/>
        </w:rPr>
        <w:t>The court found, in addition, that the date of 31 October 2023 was a just and equitable date as it would give the Appellant ample time to secure alternative accommodation. The court ordered each party to pay its own costs as the matter proceeded on an unopposed basis</w:t>
      </w:r>
      <w:r w:rsidR="00176C08" w:rsidRPr="004B1C0E">
        <w:rPr>
          <w:rFonts w:ascii="Arial" w:hAnsi="Arial" w:cs="Arial"/>
          <w:bCs/>
          <w:sz w:val="24"/>
          <w:szCs w:val="24"/>
          <w:lang w:val="en-US"/>
        </w:rPr>
        <w:t xml:space="preserve"> and </w:t>
      </w:r>
      <w:r w:rsidR="0043684E" w:rsidRPr="004B1C0E">
        <w:rPr>
          <w:rFonts w:ascii="Arial" w:hAnsi="Arial" w:cs="Arial"/>
          <w:bCs/>
          <w:sz w:val="24"/>
          <w:szCs w:val="24"/>
          <w:lang w:val="en-US"/>
        </w:rPr>
        <w:t xml:space="preserve">would provide the Appellant with an opportunity to focus on securing other accommodation. The order regarding the date of the Appellant's departure from the property was </w:t>
      </w:r>
      <w:r w:rsidR="008C7D07" w:rsidRPr="004B1C0E">
        <w:rPr>
          <w:rFonts w:ascii="Arial" w:hAnsi="Arial" w:cs="Arial"/>
          <w:bCs/>
          <w:sz w:val="24"/>
          <w:szCs w:val="24"/>
          <w:lang w:val="en-US"/>
        </w:rPr>
        <w:t xml:space="preserve">consonant with </w:t>
      </w:r>
      <w:r w:rsidR="004A0452" w:rsidRPr="004B1C0E">
        <w:rPr>
          <w:rFonts w:ascii="Arial" w:hAnsi="Arial" w:cs="Arial"/>
          <w:bCs/>
          <w:sz w:val="24"/>
          <w:szCs w:val="24"/>
          <w:lang w:val="en-US"/>
        </w:rPr>
        <w:t xml:space="preserve">that initially agreed to between </w:t>
      </w:r>
      <w:r w:rsidR="00CE1C85" w:rsidRPr="004B1C0E">
        <w:rPr>
          <w:rFonts w:ascii="Arial" w:hAnsi="Arial" w:cs="Arial"/>
          <w:bCs/>
          <w:sz w:val="24"/>
          <w:szCs w:val="24"/>
          <w:lang w:val="en-US"/>
        </w:rPr>
        <w:t>the parties</w:t>
      </w:r>
      <w:r w:rsidR="004A0452" w:rsidRPr="004B1C0E">
        <w:rPr>
          <w:rFonts w:ascii="Arial" w:hAnsi="Arial" w:cs="Arial"/>
          <w:bCs/>
          <w:sz w:val="24"/>
          <w:szCs w:val="24"/>
          <w:lang w:val="en-US"/>
        </w:rPr>
        <w:t xml:space="preserve">. </w:t>
      </w:r>
      <w:r w:rsidR="0043684E" w:rsidRPr="004B1C0E">
        <w:rPr>
          <w:rFonts w:ascii="Arial" w:hAnsi="Arial" w:cs="Arial"/>
          <w:bCs/>
          <w:sz w:val="24"/>
          <w:szCs w:val="24"/>
          <w:lang w:val="en-US"/>
        </w:rPr>
        <w:t xml:space="preserve">It </w:t>
      </w:r>
      <w:r w:rsidR="0043684E" w:rsidRPr="004B1C0E">
        <w:rPr>
          <w:rFonts w:ascii="Arial" w:hAnsi="Arial" w:cs="Arial"/>
          <w:sz w:val="24"/>
          <w:szCs w:val="24"/>
        </w:rPr>
        <w:t xml:space="preserve">is apparent from the content of the Magistrate's reasons that she </w:t>
      </w:r>
      <w:r w:rsidR="009B0A00" w:rsidRPr="004B1C0E">
        <w:rPr>
          <w:rFonts w:ascii="Arial" w:hAnsi="Arial" w:cs="Arial"/>
          <w:sz w:val="24"/>
          <w:szCs w:val="24"/>
        </w:rPr>
        <w:t xml:space="preserve">applied the </w:t>
      </w:r>
      <w:r w:rsidR="0043684E" w:rsidRPr="004B1C0E">
        <w:rPr>
          <w:rFonts w:ascii="Arial" w:hAnsi="Arial" w:cs="Arial"/>
          <w:sz w:val="24"/>
          <w:szCs w:val="24"/>
        </w:rPr>
        <w:t xml:space="preserve">section 4(7) </w:t>
      </w:r>
      <w:r w:rsidR="00511001" w:rsidRPr="004B1C0E">
        <w:rPr>
          <w:rFonts w:ascii="Arial" w:hAnsi="Arial" w:cs="Arial"/>
          <w:sz w:val="24"/>
          <w:szCs w:val="24"/>
        </w:rPr>
        <w:t>requisites</w:t>
      </w:r>
      <w:r w:rsidR="0043684E" w:rsidRPr="004B1C0E">
        <w:rPr>
          <w:rFonts w:ascii="Arial" w:hAnsi="Arial" w:cs="Arial"/>
          <w:sz w:val="24"/>
          <w:szCs w:val="24"/>
        </w:rPr>
        <w:t xml:space="preserve"> </w:t>
      </w:r>
      <w:r w:rsidR="004A2668" w:rsidRPr="004B1C0E">
        <w:rPr>
          <w:rFonts w:ascii="Arial" w:hAnsi="Arial" w:cs="Arial"/>
          <w:sz w:val="24"/>
          <w:szCs w:val="24"/>
        </w:rPr>
        <w:t xml:space="preserve">properly </w:t>
      </w:r>
      <w:r w:rsidR="0043684E" w:rsidRPr="004B1C0E">
        <w:rPr>
          <w:rFonts w:ascii="Arial" w:hAnsi="Arial" w:cs="Arial"/>
          <w:sz w:val="24"/>
          <w:szCs w:val="24"/>
        </w:rPr>
        <w:t xml:space="preserve">and arrived at a decision that was just, equitable and judicially </w:t>
      </w:r>
      <w:r w:rsidR="00902DC0" w:rsidRPr="004B1C0E">
        <w:rPr>
          <w:rFonts w:ascii="Arial" w:hAnsi="Arial" w:cs="Arial"/>
          <w:sz w:val="24"/>
          <w:szCs w:val="24"/>
        </w:rPr>
        <w:t>defensible.</w:t>
      </w:r>
      <w:r w:rsidR="0043684E" w:rsidRPr="004B1C0E">
        <w:rPr>
          <w:rFonts w:ascii="Arial" w:hAnsi="Arial" w:cs="Arial"/>
          <w:sz w:val="24"/>
          <w:szCs w:val="24"/>
        </w:rPr>
        <w:t xml:space="preserve">             </w:t>
      </w:r>
    </w:p>
    <w:p w14:paraId="002DC3E1" w14:textId="77777777" w:rsidR="0043684E" w:rsidRPr="00397BD3" w:rsidRDefault="0043684E" w:rsidP="00397BD3">
      <w:pPr>
        <w:pStyle w:val="ListParagraph"/>
        <w:spacing w:line="480" w:lineRule="auto"/>
        <w:rPr>
          <w:rFonts w:ascii="Arial" w:hAnsi="Arial" w:cs="Arial"/>
          <w:sz w:val="24"/>
          <w:szCs w:val="24"/>
        </w:rPr>
      </w:pPr>
    </w:p>
    <w:p w14:paraId="76C0511F" w14:textId="1B2D20B8" w:rsidR="0043684E" w:rsidRPr="004B1C0E" w:rsidRDefault="004B1C0E" w:rsidP="004B1C0E">
      <w:pPr>
        <w:spacing w:line="480" w:lineRule="auto"/>
        <w:ind w:left="720" w:hanging="633"/>
        <w:jc w:val="both"/>
        <w:rPr>
          <w:rFonts w:ascii="Arial" w:hAnsi="Arial" w:cs="Arial"/>
          <w:sz w:val="24"/>
          <w:szCs w:val="24"/>
        </w:rPr>
      </w:pPr>
      <w:r w:rsidRPr="00397BD3">
        <w:rPr>
          <w:rFonts w:ascii="Arial" w:hAnsi="Arial" w:cs="Arial"/>
          <w:sz w:val="24"/>
          <w:szCs w:val="24"/>
        </w:rPr>
        <w:t>25.</w:t>
      </w:r>
      <w:r w:rsidRPr="00397BD3">
        <w:rPr>
          <w:rFonts w:ascii="Arial" w:hAnsi="Arial" w:cs="Arial"/>
          <w:sz w:val="24"/>
          <w:szCs w:val="24"/>
        </w:rPr>
        <w:tab/>
      </w:r>
      <w:r w:rsidR="0043684E" w:rsidRPr="004B1C0E">
        <w:rPr>
          <w:rFonts w:ascii="Arial" w:hAnsi="Arial" w:cs="Arial"/>
          <w:sz w:val="24"/>
          <w:szCs w:val="24"/>
        </w:rPr>
        <w:t xml:space="preserve">Where a court of first instance is called upon to exercise a discretion, the identification of the type of discretion applied determines the standard within </w:t>
      </w:r>
      <w:r w:rsidR="0043684E" w:rsidRPr="004B1C0E">
        <w:rPr>
          <w:rFonts w:ascii="Arial" w:hAnsi="Arial" w:cs="Arial"/>
          <w:sz w:val="24"/>
          <w:szCs w:val="24"/>
        </w:rPr>
        <w:lastRenderedPageBreak/>
        <w:t>which the appeal court will interfere, if at all.</w:t>
      </w:r>
      <w:r w:rsidR="0043684E" w:rsidRPr="00397BD3">
        <w:rPr>
          <w:rStyle w:val="FootnoteReference"/>
          <w:rFonts w:ascii="Arial" w:hAnsi="Arial" w:cs="Arial"/>
          <w:sz w:val="24"/>
          <w:szCs w:val="24"/>
        </w:rPr>
        <w:footnoteReference w:id="6"/>
      </w:r>
      <w:r w:rsidR="0043684E" w:rsidRPr="004B1C0E">
        <w:rPr>
          <w:rFonts w:ascii="Arial" w:hAnsi="Arial" w:cs="Arial"/>
          <w:sz w:val="24"/>
          <w:szCs w:val="24"/>
        </w:rPr>
        <w:t xml:space="preserve">  If the court of first instance chose one of several equally permissible options available to it, it is exercising </w:t>
      </w:r>
      <w:r w:rsidR="00FB37C2" w:rsidRPr="004B1C0E">
        <w:rPr>
          <w:rFonts w:ascii="Arial" w:hAnsi="Arial" w:cs="Arial"/>
          <w:sz w:val="24"/>
          <w:szCs w:val="24"/>
        </w:rPr>
        <w:t xml:space="preserve">its </w:t>
      </w:r>
      <w:r w:rsidR="0043684E" w:rsidRPr="004B1C0E">
        <w:rPr>
          <w:rFonts w:ascii="Arial" w:hAnsi="Arial" w:cs="Arial"/>
          <w:sz w:val="24"/>
          <w:szCs w:val="24"/>
        </w:rPr>
        <w:t>discretion in the true (strict or narrow) sense. The court of appeal will not interfere merely because it preferred another of the available courses.</w:t>
      </w:r>
      <w:r w:rsidR="0043684E" w:rsidRPr="00397BD3">
        <w:rPr>
          <w:rStyle w:val="FootnoteReference"/>
          <w:rFonts w:ascii="Arial" w:hAnsi="Arial" w:cs="Arial"/>
          <w:sz w:val="24"/>
          <w:szCs w:val="24"/>
        </w:rPr>
        <w:footnoteReference w:id="7"/>
      </w:r>
      <w:r w:rsidR="0043684E" w:rsidRPr="004B1C0E">
        <w:rPr>
          <w:rFonts w:ascii="Arial" w:hAnsi="Arial" w:cs="Arial"/>
          <w:sz w:val="24"/>
          <w:szCs w:val="24"/>
        </w:rPr>
        <w:t xml:space="preserve">  When a court of first instance has regard to a number of disparate and incommensurable features in coming to a decision, it is exercising </w:t>
      </w:r>
      <w:r w:rsidR="00A47BAA" w:rsidRPr="004B1C0E">
        <w:rPr>
          <w:rFonts w:ascii="Arial" w:hAnsi="Arial" w:cs="Arial"/>
          <w:sz w:val="24"/>
          <w:szCs w:val="24"/>
        </w:rPr>
        <w:t xml:space="preserve">its </w:t>
      </w:r>
      <w:r w:rsidR="0043684E" w:rsidRPr="004B1C0E">
        <w:rPr>
          <w:rFonts w:ascii="Arial" w:hAnsi="Arial" w:cs="Arial"/>
          <w:sz w:val="24"/>
          <w:szCs w:val="24"/>
        </w:rPr>
        <w:t>discretion in the loose (broad or wide) sense.</w:t>
      </w:r>
      <w:r w:rsidR="0043684E" w:rsidRPr="00397BD3">
        <w:rPr>
          <w:rStyle w:val="FootnoteReference"/>
          <w:rFonts w:ascii="Arial" w:hAnsi="Arial" w:cs="Arial"/>
          <w:sz w:val="24"/>
          <w:szCs w:val="24"/>
        </w:rPr>
        <w:footnoteReference w:id="8"/>
      </w:r>
      <w:r w:rsidR="0043684E" w:rsidRPr="004B1C0E">
        <w:rPr>
          <w:rFonts w:ascii="Arial" w:hAnsi="Arial" w:cs="Arial"/>
          <w:sz w:val="24"/>
          <w:szCs w:val="24"/>
        </w:rPr>
        <w:t xml:space="preserve"> </w:t>
      </w:r>
      <w:r w:rsidR="00635421" w:rsidRPr="004B1C0E">
        <w:rPr>
          <w:rFonts w:ascii="Arial" w:hAnsi="Arial" w:cs="Arial"/>
          <w:sz w:val="24"/>
          <w:szCs w:val="24"/>
        </w:rPr>
        <w:t>A</w:t>
      </w:r>
      <w:r w:rsidR="0043684E" w:rsidRPr="004B1C0E">
        <w:rPr>
          <w:rFonts w:ascii="Arial" w:hAnsi="Arial" w:cs="Arial"/>
          <w:sz w:val="24"/>
          <w:szCs w:val="24"/>
        </w:rPr>
        <w:t xml:space="preserve">n appeal court is equally capable of determining the matter </w:t>
      </w:r>
      <w:r w:rsidR="00A47BAA" w:rsidRPr="004B1C0E">
        <w:rPr>
          <w:rFonts w:ascii="Arial" w:hAnsi="Arial" w:cs="Arial"/>
          <w:sz w:val="24"/>
          <w:szCs w:val="24"/>
        </w:rPr>
        <w:t>in the latter instan</w:t>
      </w:r>
      <w:r w:rsidR="0049087B" w:rsidRPr="004B1C0E">
        <w:rPr>
          <w:rFonts w:ascii="Arial" w:hAnsi="Arial" w:cs="Arial"/>
          <w:sz w:val="24"/>
          <w:szCs w:val="24"/>
        </w:rPr>
        <w:t xml:space="preserve">t </w:t>
      </w:r>
      <w:r w:rsidR="0043684E" w:rsidRPr="004B1C0E">
        <w:rPr>
          <w:rFonts w:ascii="Arial" w:hAnsi="Arial" w:cs="Arial"/>
          <w:sz w:val="24"/>
          <w:szCs w:val="24"/>
        </w:rPr>
        <w:t>and substituting its decision for that of the court of</w:t>
      </w:r>
      <w:r w:rsidR="0049087B" w:rsidRPr="004B1C0E">
        <w:rPr>
          <w:rFonts w:ascii="Arial" w:hAnsi="Arial" w:cs="Arial"/>
          <w:sz w:val="24"/>
          <w:szCs w:val="24"/>
        </w:rPr>
        <w:t xml:space="preserve"> </w:t>
      </w:r>
      <w:r w:rsidR="0043684E" w:rsidRPr="004B1C0E">
        <w:rPr>
          <w:rFonts w:ascii="Arial" w:hAnsi="Arial" w:cs="Arial"/>
          <w:sz w:val="24"/>
          <w:szCs w:val="24"/>
        </w:rPr>
        <w:t>first instance, without determining whether the discretion was exercised judicially</w:t>
      </w:r>
      <w:r w:rsidR="00371C2F" w:rsidRPr="004B1C0E">
        <w:rPr>
          <w:rFonts w:ascii="Arial" w:hAnsi="Arial" w:cs="Arial"/>
          <w:sz w:val="24"/>
          <w:szCs w:val="24"/>
        </w:rPr>
        <w:t>. The appe</w:t>
      </w:r>
      <w:r w:rsidR="00EB3493" w:rsidRPr="004B1C0E">
        <w:rPr>
          <w:rFonts w:ascii="Arial" w:hAnsi="Arial" w:cs="Arial"/>
          <w:sz w:val="24"/>
          <w:szCs w:val="24"/>
        </w:rPr>
        <w:t xml:space="preserve">al court </w:t>
      </w:r>
      <w:r w:rsidR="0043684E" w:rsidRPr="004B1C0E">
        <w:rPr>
          <w:rFonts w:ascii="Arial" w:hAnsi="Arial" w:cs="Arial"/>
          <w:sz w:val="24"/>
          <w:szCs w:val="24"/>
        </w:rPr>
        <w:t>would</w:t>
      </w:r>
      <w:r w:rsidR="00EB3493" w:rsidRPr="004B1C0E">
        <w:rPr>
          <w:rFonts w:ascii="Arial" w:hAnsi="Arial" w:cs="Arial"/>
          <w:sz w:val="24"/>
          <w:szCs w:val="24"/>
        </w:rPr>
        <w:t xml:space="preserve">, however, </w:t>
      </w:r>
      <w:r w:rsidR="0043684E" w:rsidRPr="004B1C0E">
        <w:rPr>
          <w:rFonts w:ascii="Arial" w:hAnsi="Arial" w:cs="Arial"/>
          <w:sz w:val="24"/>
          <w:szCs w:val="24"/>
        </w:rPr>
        <w:t>proceed guardedly as its power to interfere may be curtailed by broader policy considerations.</w:t>
      </w:r>
      <w:r w:rsidR="0043684E" w:rsidRPr="00397BD3">
        <w:rPr>
          <w:rStyle w:val="FootnoteReference"/>
          <w:rFonts w:ascii="Arial" w:hAnsi="Arial" w:cs="Arial"/>
          <w:sz w:val="24"/>
          <w:szCs w:val="24"/>
        </w:rPr>
        <w:footnoteReference w:id="9"/>
      </w:r>
      <w:r w:rsidR="0043684E" w:rsidRPr="004B1C0E">
        <w:rPr>
          <w:rFonts w:ascii="Arial" w:hAnsi="Arial" w:cs="Arial"/>
          <w:sz w:val="24"/>
          <w:szCs w:val="24"/>
        </w:rPr>
        <w:t xml:space="preserve">  </w:t>
      </w:r>
    </w:p>
    <w:p w14:paraId="4AF50FEB" w14:textId="77777777" w:rsidR="0043684E" w:rsidRPr="00397BD3" w:rsidRDefault="0043684E" w:rsidP="00397BD3">
      <w:pPr>
        <w:pStyle w:val="ListParagraph"/>
        <w:spacing w:line="480" w:lineRule="auto"/>
        <w:rPr>
          <w:rFonts w:ascii="Arial" w:hAnsi="Arial" w:cs="Arial"/>
          <w:sz w:val="24"/>
          <w:szCs w:val="24"/>
        </w:rPr>
      </w:pPr>
    </w:p>
    <w:p w14:paraId="426BBDEE" w14:textId="5DA403DF"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26.</w:t>
      </w:r>
      <w:r w:rsidRPr="00397BD3">
        <w:rPr>
          <w:rFonts w:ascii="Arial" w:hAnsi="Arial" w:cs="Arial"/>
          <w:sz w:val="24"/>
          <w:szCs w:val="24"/>
        </w:rPr>
        <w:tab/>
      </w:r>
      <w:r w:rsidR="0043684E" w:rsidRPr="004B1C0E">
        <w:rPr>
          <w:rFonts w:ascii="Arial" w:hAnsi="Arial" w:cs="Arial"/>
          <w:sz w:val="24"/>
          <w:szCs w:val="24"/>
        </w:rPr>
        <w:t xml:space="preserve">When a court of first instance exercises a discretion to determine whether or not to grant an order of eviction or determine a date for the eviction in terms of PIE, it has to consider </w:t>
      </w:r>
      <w:r w:rsidR="004A3E75" w:rsidRPr="004B1C0E">
        <w:rPr>
          <w:rFonts w:ascii="Arial" w:hAnsi="Arial" w:cs="Arial"/>
          <w:sz w:val="24"/>
          <w:szCs w:val="24"/>
        </w:rPr>
        <w:t xml:space="preserve">all </w:t>
      </w:r>
      <w:r w:rsidR="0043684E" w:rsidRPr="004B1C0E">
        <w:rPr>
          <w:rFonts w:ascii="Arial" w:hAnsi="Arial" w:cs="Arial"/>
          <w:sz w:val="24"/>
          <w:szCs w:val="24"/>
        </w:rPr>
        <w:t xml:space="preserve">information relevant to the case </w:t>
      </w:r>
      <w:r w:rsidR="00762825" w:rsidRPr="004B1C0E">
        <w:rPr>
          <w:rFonts w:ascii="Arial" w:hAnsi="Arial" w:cs="Arial"/>
          <w:sz w:val="24"/>
          <w:szCs w:val="24"/>
        </w:rPr>
        <w:t xml:space="preserve">in addition to certain prescribed factors </w:t>
      </w:r>
      <w:r w:rsidR="0043684E" w:rsidRPr="004B1C0E">
        <w:rPr>
          <w:rFonts w:ascii="Arial" w:hAnsi="Arial" w:cs="Arial"/>
          <w:sz w:val="24"/>
          <w:szCs w:val="24"/>
        </w:rPr>
        <w:t>before deciding whether it is just and equitable to grant or refuse the order. The court exercises a wide and not a narrow discretion.</w:t>
      </w:r>
      <w:r w:rsidR="0043684E" w:rsidRPr="00397BD3">
        <w:rPr>
          <w:rStyle w:val="FootnoteReference"/>
          <w:rFonts w:ascii="Arial" w:hAnsi="Arial" w:cs="Arial"/>
          <w:sz w:val="24"/>
          <w:szCs w:val="24"/>
        </w:rPr>
        <w:footnoteReference w:id="10"/>
      </w:r>
      <w:r w:rsidR="0043684E" w:rsidRPr="004B1C0E">
        <w:rPr>
          <w:rFonts w:ascii="Arial" w:hAnsi="Arial" w:cs="Arial"/>
          <w:sz w:val="24"/>
          <w:szCs w:val="24"/>
        </w:rPr>
        <w:t xml:space="preserve"> The Respondent's Counsel argued that the discretion exercised by the Magistrate was a narrow one and that this court was limited in interfering with the order. </w:t>
      </w:r>
      <w:r w:rsidR="00961E3D" w:rsidRPr="004B1C0E">
        <w:rPr>
          <w:rFonts w:ascii="Arial" w:hAnsi="Arial" w:cs="Arial"/>
          <w:sz w:val="24"/>
          <w:szCs w:val="24"/>
        </w:rPr>
        <w:t xml:space="preserve">The court </w:t>
      </w:r>
      <w:r w:rsidR="0043684E" w:rsidRPr="004B1C0E">
        <w:rPr>
          <w:rFonts w:ascii="Arial" w:hAnsi="Arial" w:cs="Arial"/>
          <w:sz w:val="24"/>
          <w:szCs w:val="24"/>
        </w:rPr>
        <w:t>disagree</w:t>
      </w:r>
      <w:r w:rsidR="00961E3D" w:rsidRPr="004B1C0E">
        <w:rPr>
          <w:rFonts w:ascii="Arial" w:hAnsi="Arial" w:cs="Arial"/>
          <w:sz w:val="24"/>
          <w:szCs w:val="24"/>
        </w:rPr>
        <w:t>s</w:t>
      </w:r>
      <w:r w:rsidR="0043684E" w:rsidRPr="004B1C0E">
        <w:rPr>
          <w:rFonts w:ascii="Arial" w:hAnsi="Arial" w:cs="Arial"/>
          <w:sz w:val="24"/>
          <w:szCs w:val="24"/>
        </w:rPr>
        <w:t xml:space="preserve"> with Counsel’s characterisation of the discretion, but </w:t>
      </w:r>
      <w:r w:rsidR="00961E3D" w:rsidRPr="004B1C0E">
        <w:rPr>
          <w:rFonts w:ascii="Arial" w:hAnsi="Arial" w:cs="Arial"/>
          <w:sz w:val="24"/>
          <w:szCs w:val="24"/>
        </w:rPr>
        <w:t xml:space="preserve">it </w:t>
      </w:r>
      <w:r w:rsidR="006544D4" w:rsidRPr="004B1C0E">
        <w:rPr>
          <w:rFonts w:ascii="Arial" w:hAnsi="Arial" w:cs="Arial"/>
          <w:sz w:val="24"/>
          <w:szCs w:val="24"/>
        </w:rPr>
        <w:lastRenderedPageBreak/>
        <w:t xml:space="preserve">declines any interference with </w:t>
      </w:r>
      <w:r w:rsidR="0043684E" w:rsidRPr="004B1C0E">
        <w:rPr>
          <w:rFonts w:ascii="Arial" w:hAnsi="Arial" w:cs="Arial"/>
          <w:sz w:val="24"/>
          <w:szCs w:val="24"/>
        </w:rPr>
        <w:t xml:space="preserve">the decision of the lower court for the reasons already </w:t>
      </w:r>
      <w:r w:rsidR="006544D4" w:rsidRPr="004B1C0E">
        <w:rPr>
          <w:rFonts w:ascii="Arial" w:hAnsi="Arial" w:cs="Arial"/>
          <w:sz w:val="24"/>
          <w:szCs w:val="24"/>
        </w:rPr>
        <w:t xml:space="preserve">canvassed. </w:t>
      </w:r>
      <w:r w:rsidR="0043684E" w:rsidRPr="004B1C0E">
        <w:rPr>
          <w:rFonts w:ascii="Arial" w:hAnsi="Arial" w:cs="Arial"/>
          <w:sz w:val="24"/>
          <w:szCs w:val="24"/>
        </w:rPr>
        <w:t xml:space="preserve">     </w:t>
      </w:r>
    </w:p>
    <w:p w14:paraId="3A621F70" w14:textId="77777777" w:rsidR="0043684E" w:rsidRPr="00397BD3" w:rsidRDefault="0043684E" w:rsidP="00397BD3">
      <w:pPr>
        <w:pStyle w:val="ListParagraph"/>
        <w:spacing w:line="480" w:lineRule="auto"/>
        <w:rPr>
          <w:rFonts w:ascii="Arial" w:hAnsi="Arial" w:cs="Arial"/>
          <w:sz w:val="24"/>
          <w:szCs w:val="24"/>
        </w:rPr>
      </w:pPr>
    </w:p>
    <w:p w14:paraId="615CEC91" w14:textId="2C0004E4"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27.</w:t>
      </w:r>
      <w:r w:rsidRPr="00397BD3">
        <w:rPr>
          <w:rFonts w:ascii="Arial" w:hAnsi="Arial" w:cs="Arial"/>
          <w:sz w:val="24"/>
          <w:szCs w:val="24"/>
        </w:rPr>
        <w:tab/>
      </w:r>
      <w:r w:rsidR="006544D4" w:rsidRPr="004B1C0E">
        <w:rPr>
          <w:rFonts w:ascii="Arial" w:hAnsi="Arial" w:cs="Arial"/>
          <w:sz w:val="24"/>
          <w:szCs w:val="24"/>
        </w:rPr>
        <w:t xml:space="preserve">The </w:t>
      </w:r>
      <w:r w:rsidR="00DF6B92" w:rsidRPr="004B1C0E">
        <w:rPr>
          <w:rFonts w:ascii="Arial" w:hAnsi="Arial" w:cs="Arial"/>
          <w:sz w:val="24"/>
          <w:szCs w:val="24"/>
        </w:rPr>
        <w:t>Appellant</w:t>
      </w:r>
      <w:r w:rsidR="00BB42AA" w:rsidRPr="004B1C0E">
        <w:rPr>
          <w:rFonts w:ascii="Arial" w:hAnsi="Arial" w:cs="Arial"/>
          <w:sz w:val="24"/>
          <w:szCs w:val="24"/>
        </w:rPr>
        <w:t xml:space="preserve"> has no prospects of success on appeal</w:t>
      </w:r>
      <w:r w:rsidR="0081592E" w:rsidRPr="004B1C0E">
        <w:rPr>
          <w:rFonts w:ascii="Arial" w:hAnsi="Arial" w:cs="Arial"/>
          <w:sz w:val="24"/>
          <w:szCs w:val="24"/>
        </w:rPr>
        <w:t xml:space="preserve">. This court cannot reasonably come to a different conclusion on the law and the facts. </w:t>
      </w:r>
      <w:r w:rsidR="008710B1" w:rsidRPr="004B1C0E">
        <w:rPr>
          <w:rFonts w:ascii="Arial" w:hAnsi="Arial" w:cs="Arial"/>
          <w:sz w:val="24"/>
          <w:szCs w:val="24"/>
        </w:rPr>
        <w:t>The Magistrate</w:t>
      </w:r>
      <w:r w:rsidR="009F7782" w:rsidRPr="004B1C0E">
        <w:rPr>
          <w:rFonts w:ascii="Arial" w:hAnsi="Arial" w:cs="Arial"/>
          <w:sz w:val="24"/>
          <w:szCs w:val="24"/>
        </w:rPr>
        <w:t xml:space="preserve">’s decision was eminently reasonable </w:t>
      </w:r>
      <w:r w:rsidR="009E7D93" w:rsidRPr="004B1C0E">
        <w:rPr>
          <w:rFonts w:ascii="Arial" w:hAnsi="Arial" w:cs="Arial"/>
          <w:sz w:val="24"/>
          <w:szCs w:val="24"/>
        </w:rPr>
        <w:t xml:space="preserve">and was </w:t>
      </w:r>
      <w:r w:rsidR="00FB526D" w:rsidRPr="004B1C0E">
        <w:rPr>
          <w:rFonts w:ascii="Arial" w:hAnsi="Arial" w:cs="Arial"/>
          <w:sz w:val="24"/>
          <w:szCs w:val="24"/>
        </w:rPr>
        <w:t xml:space="preserve">equally </w:t>
      </w:r>
      <w:r w:rsidR="009E7D93" w:rsidRPr="004B1C0E">
        <w:rPr>
          <w:rFonts w:ascii="Arial" w:hAnsi="Arial" w:cs="Arial"/>
          <w:sz w:val="24"/>
          <w:szCs w:val="24"/>
        </w:rPr>
        <w:t xml:space="preserve">capable of duplication by </w:t>
      </w:r>
      <w:r w:rsidR="008710B1" w:rsidRPr="004B1C0E">
        <w:rPr>
          <w:rFonts w:ascii="Arial" w:hAnsi="Arial" w:cs="Arial"/>
          <w:sz w:val="24"/>
          <w:szCs w:val="24"/>
        </w:rPr>
        <w:t>a court directing itself properly to the relevant facts and principles</w:t>
      </w:r>
      <w:r w:rsidR="00A518EB" w:rsidRPr="004B1C0E">
        <w:rPr>
          <w:rFonts w:ascii="Arial" w:hAnsi="Arial" w:cs="Arial"/>
          <w:sz w:val="24"/>
          <w:szCs w:val="24"/>
        </w:rPr>
        <w:t xml:space="preserve">. </w:t>
      </w:r>
      <w:r w:rsidR="007872DC" w:rsidRPr="004B1C0E">
        <w:rPr>
          <w:rFonts w:ascii="Arial" w:hAnsi="Arial" w:cs="Arial"/>
          <w:sz w:val="24"/>
          <w:szCs w:val="24"/>
        </w:rPr>
        <w:t>T</w:t>
      </w:r>
      <w:r w:rsidR="0043684E" w:rsidRPr="004B1C0E">
        <w:rPr>
          <w:rFonts w:ascii="Arial" w:hAnsi="Arial" w:cs="Arial"/>
          <w:sz w:val="24"/>
          <w:szCs w:val="24"/>
        </w:rPr>
        <w:t xml:space="preserve">here are no grounds for this court to </w:t>
      </w:r>
      <w:r w:rsidR="00FB526D" w:rsidRPr="004B1C0E">
        <w:rPr>
          <w:rFonts w:ascii="Arial" w:hAnsi="Arial" w:cs="Arial"/>
          <w:sz w:val="24"/>
          <w:szCs w:val="24"/>
        </w:rPr>
        <w:t xml:space="preserve">disturb </w:t>
      </w:r>
      <w:r w:rsidR="0043684E" w:rsidRPr="004B1C0E">
        <w:rPr>
          <w:rFonts w:ascii="Arial" w:hAnsi="Arial" w:cs="Arial"/>
          <w:sz w:val="24"/>
          <w:szCs w:val="24"/>
        </w:rPr>
        <w:t>the order granted by the Magistrate</w:t>
      </w:r>
      <w:r w:rsidR="007872DC" w:rsidRPr="004B1C0E">
        <w:rPr>
          <w:rFonts w:ascii="Arial" w:hAnsi="Arial" w:cs="Arial"/>
          <w:sz w:val="24"/>
          <w:szCs w:val="24"/>
        </w:rPr>
        <w:t xml:space="preserve">. </w:t>
      </w:r>
      <w:r w:rsidR="00FA70E1" w:rsidRPr="004B1C0E">
        <w:rPr>
          <w:rFonts w:ascii="Arial" w:hAnsi="Arial" w:cs="Arial"/>
          <w:sz w:val="24"/>
          <w:szCs w:val="24"/>
        </w:rPr>
        <w:t>In the premises, the litany of irregularities coupled with the prospects</w:t>
      </w:r>
      <w:r w:rsidR="00FB526D" w:rsidRPr="004B1C0E">
        <w:rPr>
          <w:rFonts w:ascii="Arial" w:hAnsi="Arial" w:cs="Arial"/>
          <w:sz w:val="24"/>
          <w:szCs w:val="24"/>
        </w:rPr>
        <w:t xml:space="preserve"> of success</w:t>
      </w:r>
      <w:r w:rsidR="00FA70E1" w:rsidRPr="004B1C0E">
        <w:rPr>
          <w:rFonts w:ascii="Arial" w:hAnsi="Arial" w:cs="Arial"/>
          <w:sz w:val="24"/>
          <w:szCs w:val="24"/>
        </w:rPr>
        <w:t xml:space="preserve">, are fatal to this appeal </w:t>
      </w:r>
      <w:r w:rsidR="0043684E" w:rsidRPr="004B1C0E">
        <w:rPr>
          <w:rFonts w:ascii="Arial" w:hAnsi="Arial" w:cs="Arial"/>
          <w:sz w:val="24"/>
          <w:szCs w:val="24"/>
        </w:rPr>
        <w:t>The appeal must therefore fail.</w:t>
      </w:r>
    </w:p>
    <w:p w14:paraId="3DCD5098" w14:textId="6763B2DB" w:rsidR="0043684E" w:rsidRPr="004B1C0E" w:rsidRDefault="004B1C0E" w:rsidP="004B1C0E">
      <w:pPr>
        <w:spacing w:line="48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3684E" w:rsidRPr="004B1C0E">
        <w:rPr>
          <w:rFonts w:ascii="Arial" w:hAnsi="Arial" w:cs="Arial"/>
          <w:sz w:val="24"/>
          <w:szCs w:val="24"/>
        </w:rPr>
        <w:t>The Respondents seek costs on a punitive scale. Punitive cost orders are awarded in exceptional circumstances.</w:t>
      </w:r>
      <w:r w:rsidR="0043684E" w:rsidRPr="00397BD3">
        <w:rPr>
          <w:rStyle w:val="FootnoteReference"/>
          <w:rFonts w:ascii="Arial" w:hAnsi="Arial" w:cs="Arial"/>
          <w:sz w:val="24"/>
          <w:szCs w:val="24"/>
        </w:rPr>
        <w:footnoteReference w:id="11"/>
      </w:r>
      <w:r w:rsidR="0043684E" w:rsidRPr="004B1C0E">
        <w:rPr>
          <w:rFonts w:ascii="Arial" w:hAnsi="Arial" w:cs="Arial"/>
          <w:sz w:val="24"/>
          <w:szCs w:val="24"/>
        </w:rPr>
        <w:t xml:space="preserve"> Punitive cost orders are reserved for parties who conduct themselves in a clearly and </w:t>
      </w:r>
      <w:r w:rsidR="00F41E23" w:rsidRPr="004B1C0E">
        <w:rPr>
          <w:rFonts w:ascii="Arial" w:hAnsi="Arial" w:cs="Arial"/>
          <w:sz w:val="24"/>
          <w:szCs w:val="24"/>
        </w:rPr>
        <w:t>“</w:t>
      </w:r>
      <w:r w:rsidR="0043684E" w:rsidRPr="004B1C0E">
        <w:rPr>
          <w:rFonts w:ascii="Arial" w:hAnsi="Arial" w:cs="Arial"/>
          <w:sz w:val="24"/>
          <w:szCs w:val="24"/>
        </w:rPr>
        <w:t>indubitably vexatious and reprehensible manner</w:t>
      </w:r>
      <w:r w:rsidR="00F41E23" w:rsidRPr="004B1C0E">
        <w:rPr>
          <w:rFonts w:ascii="Arial" w:hAnsi="Arial" w:cs="Arial"/>
          <w:sz w:val="24"/>
          <w:szCs w:val="24"/>
        </w:rPr>
        <w:t>”</w:t>
      </w:r>
      <w:r w:rsidR="0043684E" w:rsidRPr="004B1C0E">
        <w:rPr>
          <w:rFonts w:ascii="Arial" w:hAnsi="Arial" w:cs="Arial"/>
          <w:sz w:val="24"/>
          <w:szCs w:val="24"/>
        </w:rPr>
        <w:t xml:space="preserve">. We are not convinced that the Appellant has crossed that threshold. </w:t>
      </w:r>
    </w:p>
    <w:p w14:paraId="324F5505" w14:textId="77777777" w:rsidR="00397BD3" w:rsidRPr="00397BD3" w:rsidRDefault="00397BD3" w:rsidP="004842D7">
      <w:pPr>
        <w:pStyle w:val="ListParagraph"/>
        <w:spacing w:line="480" w:lineRule="auto"/>
        <w:rPr>
          <w:rFonts w:ascii="Arial" w:hAnsi="Arial" w:cs="Arial"/>
          <w:sz w:val="24"/>
          <w:szCs w:val="24"/>
        </w:rPr>
      </w:pPr>
    </w:p>
    <w:p w14:paraId="08F4179A" w14:textId="0C0BA98D" w:rsidR="0043684E" w:rsidRPr="004B1C0E" w:rsidRDefault="004B1C0E" w:rsidP="004B1C0E">
      <w:pPr>
        <w:spacing w:line="480" w:lineRule="auto"/>
        <w:ind w:left="720" w:hanging="720"/>
        <w:jc w:val="both"/>
        <w:rPr>
          <w:rFonts w:ascii="Arial" w:hAnsi="Arial" w:cs="Arial"/>
          <w:sz w:val="24"/>
          <w:szCs w:val="24"/>
        </w:rPr>
      </w:pPr>
      <w:r w:rsidRPr="00397BD3">
        <w:rPr>
          <w:rFonts w:ascii="Arial" w:hAnsi="Arial" w:cs="Arial"/>
          <w:sz w:val="24"/>
          <w:szCs w:val="24"/>
        </w:rPr>
        <w:t>29.</w:t>
      </w:r>
      <w:r w:rsidRPr="00397BD3">
        <w:rPr>
          <w:rFonts w:ascii="Arial" w:hAnsi="Arial" w:cs="Arial"/>
          <w:sz w:val="24"/>
          <w:szCs w:val="24"/>
        </w:rPr>
        <w:tab/>
      </w:r>
      <w:r w:rsidR="00397BD3" w:rsidRPr="004B1C0E">
        <w:rPr>
          <w:rFonts w:ascii="Arial" w:hAnsi="Arial" w:cs="Arial"/>
          <w:b/>
          <w:sz w:val="24"/>
          <w:szCs w:val="24"/>
          <w:u w:val="single"/>
        </w:rPr>
        <w:t>WHEREFORE IT IS ORDERED</w:t>
      </w:r>
      <w:r w:rsidR="00397BD3" w:rsidRPr="004B1C0E">
        <w:rPr>
          <w:rFonts w:ascii="Arial" w:hAnsi="Arial" w:cs="Arial"/>
          <w:sz w:val="24"/>
          <w:szCs w:val="24"/>
        </w:rPr>
        <w:t>:</w:t>
      </w:r>
    </w:p>
    <w:p w14:paraId="173A2831" w14:textId="77777777" w:rsidR="0043684E" w:rsidRPr="00397BD3" w:rsidRDefault="0043684E" w:rsidP="00397BD3">
      <w:pPr>
        <w:pStyle w:val="ListParagraph"/>
        <w:spacing w:line="480" w:lineRule="auto"/>
        <w:rPr>
          <w:rFonts w:ascii="Arial" w:hAnsi="Arial" w:cs="Arial"/>
          <w:sz w:val="24"/>
          <w:szCs w:val="24"/>
        </w:rPr>
      </w:pPr>
    </w:p>
    <w:p w14:paraId="2D24B0F3" w14:textId="3C3EAAC9" w:rsidR="0043684E" w:rsidRDefault="00761BB2" w:rsidP="00397BD3">
      <w:pPr>
        <w:tabs>
          <w:tab w:val="left" w:pos="900"/>
        </w:tabs>
        <w:spacing w:line="480" w:lineRule="auto"/>
        <w:ind w:left="720" w:hanging="180"/>
        <w:jc w:val="both"/>
        <w:rPr>
          <w:rFonts w:ascii="Arial" w:hAnsi="Arial" w:cs="Arial"/>
          <w:i/>
          <w:sz w:val="24"/>
          <w:szCs w:val="24"/>
        </w:rPr>
      </w:pPr>
      <w:r w:rsidRPr="00397BD3">
        <w:rPr>
          <w:rFonts w:ascii="Arial" w:hAnsi="Arial" w:cs="Arial"/>
          <w:sz w:val="24"/>
          <w:szCs w:val="24"/>
        </w:rPr>
        <w:t>i]</w:t>
      </w:r>
      <w:r w:rsidRPr="00397BD3">
        <w:rPr>
          <w:rFonts w:ascii="Arial" w:hAnsi="Arial" w:cs="Arial"/>
          <w:sz w:val="24"/>
          <w:szCs w:val="24"/>
        </w:rPr>
        <w:tab/>
      </w:r>
      <w:r w:rsidR="00397BD3" w:rsidRPr="00397BD3">
        <w:rPr>
          <w:rFonts w:ascii="Arial" w:hAnsi="Arial" w:cs="Arial"/>
          <w:sz w:val="24"/>
          <w:szCs w:val="24"/>
        </w:rPr>
        <w:tab/>
      </w:r>
      <w:r w:rsidR="0043684E" w:rsidRPr="00397BD3">
        <w:rPr>
          <w:rFonts w:ascii="Arial" w:hAnsi="Arial" w:cs="Arial"/>
          <w:i/>
          <w:sz w:val="24"/>
          <w:szCs w:val="24"/>
        </w:rPr>
        <w:t>The application for postponement is dismissed with costs,</w:t>
      </w:r>
    </w:p>
    <w:p w14:paraId="1C84A45C" w14:textId="0A5A6114" w:rsidR="0043684E" w:rsidRPr="00397BD3" w:rsidRDefault="00397BD3" w:rsidP="00397BD3">
      <w:pPr>
        <w:tabs>
          <w:tab w:val="left" w:pos="900"/>
        </w:tabs>
        <w:spacing w:line="480" w:lineRule="auto"/>
        <w:ind w:hanging="27"/>
        <w:jc w:val="both"/>
        <w:rPr>
          <w:rFonts w:ascii="Arial" w:hAnsi="Arial" w:cs="Arial"/>
          <w:sz w:val="24"/>
          <w:szCs w:val="24"/>
        </w:rPr>
      </w:pPr>
      <w:r w:rsidRPr="00397BD3">
        <w:rPr>
          <w:rFonts w:ascii="Arial" w:hAnsi="Arial" w:cs="Arial"/>
          <w:sz w:val="24"/>
          <w:szCs w:val="24"/>
        </w:rPr>
        <w:t>ii]</w:t>
      </w:r>
      <w:r w:rsidRPr="00397BD3">
        <w:rPr>
          <w:rFonts w:ascii="Arial" w:hAnsi="Arial" w:cs="Arial"/>
          <w:sz w:val="24"/>
          <w:szCs w:val="24"/>
        </w:rPr>
        <w:tab/>
      </w:r>
      <w:r w:rsidR="0043684E" w:rsidRPr="00397BD3">
        <w:rPr>
          <w:rFonts w:ascii="Arial" w:hAnsi="Arial" w:cs="Arial"/>
          <w:i/>
          <w:sz w:val="24"/>
          <w:szCs w:val="24"/>
        </w:rPr>
        <w:t>The appeal is dismissed with costs.</w:t>
      </w:r>
    </w:p>
    <w:p w14:paraId="48359BB5" w14:textId="5D827F9D" w:rsidR="002B6E3B" w:rsidRDefault="002B6E3B" w:rsidP="00397BD3">
      <w:pPr>
        <w:pStyle w:val="ListParagraph"/>
        <w:tabs>
          <w:tab w:val="left" w:pos="709"/>
        </w:tabs>
        <w:snapToGrid w:val="0"/>
        <w:spacing w:before="240" w:line="480" w:lineRule="auto"/>
        <w:jc w:val="both"/>
        <w:rPr>
          <w:rFonts w:ascii="Arial" w:hAnsi="Arial" w:cs="Arial"/>
          <w:bCs/>
          <w:sz w:val="24"/>
          <w:szCs w:val="24"/>
        </w:rPr>
      </w:pPr>
    </w:p>
    <w:p w14:paraId="726680A6" w14:textId="77777777" w:rsidR="004842D7" w:rsidRDefault="004842D7" w:rsidP="00397BD3">
      <w:pPr>
        <w:pStyle w:val="ListParagraph"/>
        <w:tabs>
          <w:tab w:val="left" w:pos="709"/>
        </w:tabs>
        <w:snapToGrid w:val="0"/>
        <w:spacing w:before="240" w:line="480" w:lineRule="auto"/>
        <w:jc w:val="both"/>
        <w:rPr>
          <w:rFonts w:ascii="Arial" w:hAnsi="Arial" w:cs="Arial"/>
          <w:bCs/>
          <w:sz w:val="24"/>
          <w:szCs w:val="24"/>
        </w:rPr>
      </w:pPr>
    </w:p>
    <w:p w14:paraId="31F8B7EF" w14:textId="061E01BE" w:rsidR="00FD32D6" w:rsidRPr="00397BD3" w:rsidRDefault="00FD32D6" w:rsidP="00397BD3">
      <w:pPr>
        <w:pStyle w:val="ListParagraph"/>
        <w:tabs>
          <w:tab w:val="left" w:pos="709"/>
        </w:tabs>
        <w:snapToGrid w:val="0"/>
        <w:spacing w:before="240" w:line="480" w:lineRule="auto"/>
        <w:jc w:val="both"/>
        <w:rPr>
          <w:rFonts w:ascii="Arial" w:hAnsi="Arial" w:cs="Arial"/>
          <w:b/>
          <w:bCs/>
          <w:sz w:val="24"/>
          <w:szCs w:val="24"/>
        </w:rPr>
      </w:pPr>
      <w:r w:rsidRPr="00397BD3">
        <w:rPr>
          <w:rFonts w:ascii="Arial" w:hAnsi="Arial" w:cs="Arial"/>
          <w:bCs/>
          <w:sz w:val="24"/>
          <w:szCs w:val="24"/>
        </w:rPr>
        <w:lastRenderedPageBreak/>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
          <w:bCs/>
          <w:sz w:val="24"/>
          <w:szCs w:val="24"/>
        </w:rPr>
        <w:t>______________</w:t>
      </w:r>
      <w:r w:rsidR="00397BD3" w:rsidRPr="00397BD3">
        <w:rPr>
          <w:rFonts w:ascii="Arial" w:hAnsi="Arial" w:cs="Arial"/>
          <w:b/>
          <w:bCs/>
          <w:sz w:val="24"/>
          <w:szCs w:val="24"/>
        </w:rPr>
        <w:t>_____________</w:t>
      </w:r>
    </w:p>
    <w:p w14:paraId="2DB50A3E" w14:textId="2318414A" w:rsidR="00FD32D6" w:rsidRDefault="00FD32D6" w:rsidP="00CE1C85">
      <w:pPr>
        <w:pStyle w:val="ListParagraph"/>
        <w:tabs>
          <w:tab w:val="left" w:pos="709"/>
        </w:tabs>
        <w:snapToGrid w:val="0"/>
        <w:spacing w:before="240"/>
        <w:jc w:val="both"/>
        <w:rPr>
          <w:rFonts w:ascii="Arial" w:hAnsi="Arial" w:cs="Arial"/>
          <w:b/>
          <w:bCs/>
          <w:sz w:val="24"/>
          <w:szCs w:val="24"/>
        </w:rPr>
      </w:pP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00397BD3" w:rsidRPr="00397BD3">
        <w:rPr>
          <w:rFonts w:ascii="Arial" w:hAnsi="Arial" w:cs="Arial"/>
          <w:b/>
          <w:bCs/>
          <w:sz w:val="24"/>
          <w:szCs w:val="24"/>
        </w:rPr>
        <w:t>BHOOPCHAND</w:t>
      </w:r>
      <w:r w:rsidR="002B6E3B">
        <w:rPr>
          <w:rFonts w:ascii="Arial" w:hAnsi="Arial" w:cs="Arial"/>
          <w:b/>
          <w:bCs/>
          <w:sz w:val="24"/>
          <w:szCs w:val="24"/>
        </w:rPr>
        <w:t>, AJ</w:t>
      </w:r>
    </w:p>
    <w:p w14:paraId="748D83FA" w14:textId="2E966173" w:rsidR="002B6E3B" w:rsidRPr="00397BD3" w:rsidRDefault="002B6E3B" w:rsidP="00CE1C85">
      <w:pPr>
        <w:pStyle w:val="ListParagraph"/>
        <w:tabs>
          <w:tab w:val="left" w:pos="709"/>
        </w:tabs>
        <w:snapToGrid w:val="0"/>
        <w:spacing w:before="240"/>
        <w:ind w:left="5040"/>
        <w:jc w:val="both"/>
        <w:rPr>
          <w:rFonts w:ascii="Arial" w:hAnsi="Arial" w:cs="Arial"/>
          <w:b/>
          <w:bCs/>
          <w:sz w:val="24"/>
          <w:szCs w:val="24"/>
        </w:rPr>
      </w:pPr>
      <w:r>
        <w:rPr>
          <w:rFonts w:ascii="Arial" w:hAnsi="Arial" w:cs="Arial"/>
          <w:b/>
          <w:bCs/>
          <w:sz w:val="24"/>
          <w:szCs w:val="24"/>
        </w:rPr>
        <w:tab/>
        <w:t>ACTING JUDGE OF THE HIGH COURT, WESTERN CAPE</w:t>
      </w:r>
    </w:p>
    <w:p w14:paraId="1556ABC4" w14:textId="6C01AF3F" w:rsidR="00FD32D6" w:rsidRDefault="00FD32D6" w:rsidP="004842D7">
      <w:pPr>
        <w:pStyle w:val="ListParagraph"/>
        <w:tabs>
          <w:tab w:val="left" w:pos="709"/>
        </w:tabs>
        <w:snapToGrid w:val="0"/>
        <w:spacing w:before="240" w:line="276" w:lineRule="auto"/>
        <w:jc w:val="both"/>
        <w:rPr>
          <w:rFonts w:ascii="Arial" w:hAnsi="Arial" w:cs="Arial"/>
          <w:b/>
          <w:bCs/>
          <w:sz w:val="24"/>
          <w:szCs w:val="24"/>
        </w:rPr>
      </w:pPr>
    </w:p>
    <w:p w14:paraId="61F7C346" w14:textId="4677E378" w:rsidR="00397BD3" w:rsidRDefault="00397BD3" w:rsidP="00397BD3">
      <w:pPr>
        <w:spacing w:line="480" w:lineRule="auto"/>
        <w:ind w:left="720"/>
        <w:jc w:val="both"/>
        <w:rPr>
          <w:rFonts w:ascii="Arial" w:hAnsi="Arial" w:cs="Arial"/>
          <w:sz w:val="24"/>
          <w:szCs w:val="24"/>
        </w:rPr>
      </w:pPr>
      <w:r w:rsidRPr="00397BD3">
        <w:rPr>
          <w:rFonts w:ascii="Arial" w:hAnsi="Arial" w:cs="Arial"/>
          <w:sz w:val="24"/>
          <w:szCs w:val="24"/>
        </w:rPr>
        <w:t>I agree and it is so ordered:</w:t>
      </w:r>
    </w:p>
    <w:p w14:paraId="005E5DF8" w14:textId="77777777" w:rsidR="00CE1C85" w:rsidRDefault="00CE1C85" w:rsidP="004842D7">
      <w:pPr>
        <w:ind w:left="720"/>
        <w:jc w:val="both"/>
        <w:rPr>
          <w:rFonts w:ascii="Arial" w:hAnsi="Arial" w:cs="Arial"/>
          <w:sz w:val="24"/>
          <w:szCs w:val="24"/>
        </w:rPr>
      </w:pPr>
    </w:p>
    <w:p w14:paraId="53AB8B6F" w14:textId="4B0C15FE" w:rsidR="00FD32D6" w:rsidRPr="00397BD3" w:rsidRDefault="00FD32D6" w:rsidP="00397BD3">
      <w:pPr>
        <w:pStyle w:val="ListParagraph"/>
        <w:tabs>
          <w:tab w:val="left" w:pos="709"/>
        </w:tabs>
        <w:snapToGrid w:val="0"/>
        <w:spacing w:before="240" w:line="480" w:lineRule="auto"/>
        <w:jc w:val="both"/>
        <w:rPr>
          <w:rFonts w:ascii="Arial" w:hAnsi="Arial" w:cs="Arial"/>
          <w:b/>
          <w:bCs/>
          <w:sz w:val="24"/>
          <w:szCs w:val="24"/>
        </w:rPr>
      </w:pP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Cs/>
          <w:sz w:val="24"/>
          <w:szCs w:val="24"/>
        </w:rPr>
        <w:tab/>
      </w:r>
      <w:r w:rsidRPr="00397BD3">
        <w:rPr>
          <w:rFonts w:ascii="Arial" w:hAnsi="Arial" w:cs="Arial"/>
          <w:b/>
          <w:bCs/>
          <w:sz w:val="24"/>
          <w:szCs w:val="24"/>
        </w:rPr>
        <w:t>_______________</w:t>
      </w:r>
      <w:r w:rsidR="002B6E3B">
        <w:rPr>
          <w:rFonts w:ascii="Arial" w:hAnsi="Arial" w:cs="Arial"/>
          <w:b/>
          <w:bCs/>
          <w:sz w:val="24"/>
          <w:szCs w:val="24"/>
        </w:rPr>
        <w:t>_____________</w:t>
      </w:r>
    </w:p>
    <w:p w14:paraId="771103A1" w14:textId="45814086" w:rsidR="00FD32D6" w:rsidRDefault="00FD32D6" w:rsidP="00CE1C85">
      <w:pPr>
        <w:pStyle w:val="ListParagraph"/>
        <w:tabs>
          <w:tab w:val="left" w:pos="709"/>
        </w:tabs>
        <w:snapToGrid w:val="0"/>
        <w:spacing w:before="240"/>
        <w:jc w:val="both"/>
        <w:rPr>
          <w:rFonts w:ascii="Arial" w:hAnsi="Arial" w:cs="Arial"/>
          <w:b/>
          <w:bCs/>
          <w:sz w:val="24"/>
          <w:szCs w:val="24"/>
        </w:rPr>
      </w:pP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Pr="00397BD3">
        <w:rPr>
          <w:rFonts w:ascii="Arial" w:hAnsi="Arial" w:cs="Arial"/>
          <w:b/>
          <w:bCs/>
          <w:sz w:val="24"/>
          <w:szCs w:val="24"/>
        </w:rPr>
        <w:tab/>
      </w:r>
      <w:r w:rsidR="00397BD3" w:rsidRPr="00397BD3">
        <w:rPr>
          <w:rFonts w:ascii="Arial" w:hAnsi="Arial" w:cs="Arial"/>
          <w:b/>
          <w:bCs/>
          <w:sz w:val="24"/>
          <w:szCs w:val="24"/>
        </w:rPr>
        <w:t>SALIE</w:t>
      </w:r>
      <w:r w:rsidR="002B6E3B">
        <w:rPr>
          <w:rFonts w:ascii="Arial" w:hAnsi="Arial" w:cs="Arial"/>
          <w:b/>
          <w:bCs/>
          <w:sz w:val="24"/>
          <w:szCs w:val="24"/>
        </w:rPr>
        <w:t>, J</w:t>
      </w:r>
    </w:p>
    <w:p w14:paraId="0A9532B8" w14:textId="49ED3832" w:rsidR="002B6E3B" w:rsidRPr="00397BD3" w:rsidRDefault="002B6E3B" w:rsidP="00CE1C85">
      <w:pPr>
        <w:pStyle w:val="ListParagraph"/>
        <w:tabs>
          <w:tab w:val="left" w:pos="709"/>
        </w:tabs>
        <w:snapToGrid w:val="0"/>
        <w:spacing w:before="240"/>
        <w:ind w:left="5040"/>
        <w:jc w:val="both"/>
        <w:rPr>
          <w:rFonts w:ascii="Arial" w:hAnsi="Arial" w:cs="Arial"/>
          <w:b/>
          <w:bCs/>
          <w:sz w:val="24"/>
          <w:szCs w:val="24"/>
        </w:rPr>
      </w:pPr>
      <w:r>
        <w:rPr>
          <w:rFonts w:ascii="Arial" w:hAnsi="Arial" w:cs="Arial"/>
          <w:b/>
          <w:bCs/>
          <w:sz w:val="24"/>
          <w:szCs w:val="24"/>
        </w:rPr>
        <w:tab/>
        <w:t>JUDGE OF THE HIGH COURT, WESTERN CAPE</w:t>
      </w:r>
    </w:p>
    <w:p w14:paraId="62C51D50" w14:textId="77777777" w:rsidR="00FD32D6" w:rsidRPr="00397BD3" w:rsidRDefault="00FD32D6" w:rsidP="00397BD3">
      <w:pPr>
        <w:pStyle w:val="ListParagraph"/>
        <w:tabs>
          <w:tab w:val="left" w:pos="709"/>
        </w:tabs>
        <w:snapToGrid w:val="0"/>
        <w:spacing w:before="240" w:line="480" w:lineRule="auto"/>
        <w:jc w:val="both"/>
        <w:rPr>
          <w:rFonts w:ascii="Arial" w:hAnsi="Arial" w:cs="Arial"/>
          <w:bCs/>
          <w:sz w:val="24"/>
          <w:szCs w:val="24"/>
        </w:rPr>
      </w:pPr>
    </w:p>
    <w:sectPr w:rsidR="00FD32D6" w:rsidRPr="00397BD3" w:rsidSect="0040554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40AD" w14:textId="77777777" w:rsidR="00F50340" w:rsidRDefault="00F50340" w:rsidP="0043684E">
      <w:pPr>
        <w:spacing w:after="0" w:line="240" w:lineRule="auto"/>
      </w:pPr>
      <w:r>
        <w:separator/>
      </w:r>
    </w:p>
  </w:endnote>
  <w:endnote w:type="continuationSeparator" w:id="0">
    <w:p w14:paraId="6CA7FA2D" w14:textId="77777777" w:rsidR="00F50340" w:rsidRDefault="00F50340" w:rsidP="0043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1016" w14:textId="77777777" w:rsidR="00F50340" w:rsidRDefault="00F50340" w:rsidP="0043684E">
      <w:pPr>
        <w:spacing w:after="0" w:line="240" w:lineRule="auto"/>
      </w:pPr>
      <w:r>
        <w:separator/>
      </w:r>
    </w:p>
  </w:footnote>
  <w:footnote w:type="continuationSeparator" w:id="0">
    <w:p w14:paraId="4E2ADE6C" w14:textId="77777777" w:rsidR="00F50340" w:rsidRDefault="00F50340" w:rsidP="0043684E">
      <w:pPr>
        <w:spacing w:after="0" w:line="240" w:lineRule="auto"/>
      </w:pPr>
      <w:r>
        <w:continuationSeparator/>
      </w:r>
    </w:p>
  </w:footnote>
  <w:footnote w:id="1">
    <w:p w14:paraId="72B3D9B9" w14:textId="5457E90C" w:rsidR="00851303" w:rsidRDefault="00851303">
      <w:pPr>
        <w:pStyle w:val="FootnoteText"/>
      </w:pPr>
      <w:r>
        <w:rPr>
          <w:rStyle w:val="FootnoteReference"/>
        </w:rPr>
        <w:footnoteRef/>
      </w:r>
      <w:r>
        <w:t xml:space="preserve"> </w:t>
      </w:r>
      <w:r w:rsidR="005C4853">
        <w:t xml:space="preserve">Xinwa and Others v Volkswagen </w:t>
      </w:r>
      <w:r w:rsidR="0013127D">
        <w:t>of South Africa (Pty) Ltd</w:t>
      </w:r>
      <w:r w:rsidR="00E1770C">
        <w:t xml:space="preserve"> 2003 (4) SA 390 (CC)</w:t>
      </w:r>
      <w:r w:rsidR="008A32F1">
        <w:t xml:space="preserve"> at para 13</w:t>
      </w:r>
    </w:p>
  </w:footnote>
  <w:footnote w:id="2">
    <w:p w14:paraId="27A222A8" w14:textId="77777777" w:rsidR="0043684E" w:rsidRDefault="0043684E" w:rsidP="0043684E">
      <w:pPr>
        <w:pStyle w:val="FootnoteText"/>
      </w:pPr>
      <w:r>
        <w:rPr>
          <w:rStyle w:val="FootnoteReference"/>
        </w:rPr>
        <w:footnoteRef/>
      </w:r>
      <w:r>
        <w:t xml:space="preserve"> Psychological Society of South Africa v Qwelane &amp; others 2017 (8) BCLR 1039 (CC) at para 30</w:t>
      </w:r>
    </w:p>
  </w:footnote>
  <w:footnote w:id="3">
    <w:p w14:paraId="12185A94" w14:textId="34C4A4C5" w:rsidR="0043684E" w:rsidRDefault="0043684E" w:rsidP="0043684E">
      <w:pPr>
        <w:pStyle w:val="FootnoteText"/>
      </w:pPr>
      <w:r>
        <w:rPr>
          <w:rStyle w:val="FootnoteReference"/>
        </w:rPr>
        <w:footnoteRef/>
      </w:r>
      <w:r>
        <w:t xml:space="preserve"> See Van Loggerenberg, Erasmus, Superior Court Practice, Second Edition, Volume 2, Juta, at pages D1-553- D1-560 for a full exposition on </w:t>
      </w:r>
      <w:r w:rsidR="00D021C5">
        <w:t xml:space="preserve">the principles relating to </w:t>
      </w:r>
      <w:r>
        <w:t xml:space="preserve">applications for postponement  </w:t>
      </w:r>
    </w:p>
  </w:footnote>
  <w:footnote w:id="4">
    <w:p w14:paraId="4B57A78C" w14:textId="77777777" w:rsidR="0043684E" w:rsidRPr="004A5415" w:rsidRDefault="0043684E" w:rsidP="0043684E">
      <w:pPr>
        <w:autoSpaceDE w:val="0"/>
        <w:autoSpaceDN w:val="0"/>
        <w:adjustRightInd w:val="0"/>
        <w:spacing w:after="0" w:line="240" w:lineRule="auto"/>
        <w:ind w:left="0" w:firstLine="0"/>
        <w:rPr>
          <w:rFonts w:ascii="Arial" w:hAnsi="Arial" w:cs="Arial"/>
          <w:sz w:val="20"/>
          <w:szCs w:val="20"/>
        </w:rPr>
      </w:pPr>
      <w:r>
        <w:rPr>
          <w:rStyle w:val="FootnoteReference"/>
        </w:rPr>
        <w:footnoteRef/>
      </w:r>
      <w:r>
        <w:t xml:space="preserve"> </w:t>
      </w:r>
      <w:r w:rsidRPr="004A5415">
        <w:rPr>
          <w:rFonts w:ascii="Arial" w:hAnsi="Arial" w:cs="Arial"/>
          <w:kern w:val="0"/>
          <w:sz w:val="20"/>
          <w:szCs w:val="20"/>
        </w:rPr>
        <w:t>Magistrate M Pangarker v Botha (446/13) [2014] ZASCA 78 (29 May 2014)</w:t>
      </w:r>
      <w:r>
        <w:rPr>
          <w:rFonts w:ascii="Arial" w:hAnsi="Arial" w:cs="Arial"/>
          <w:kern w:val="0"/>
          <w:sz w:val="20"/>
          <w:szCs w:val="20"/>
        </w:rPr>
        <w:t xml:space="preserve"> at para 23</w:t>
      </w:r>
    </w:p>
  </w:footnote>
  <w:footnote w:id="5">
    <w:p w14:paraId="69D130A3" w14:textId="2F0D1AE2" w:rsidR="00CB3CE6" w:rsidRDefault="00CB3CE6">
      <w:pPr>
        <w:pStyle w:val="FootnoteText"/>
      </w:pPr>
      <w:r>
        <w:rPr>
          <w:rStyle w:val="FootnoteReference"/>
        </w:rPr>
        <w:footnoteRef/>
      </w:r>
      <w:r>
        <w:t xml:space="preserve"> </w:t>
      </w:r>
      <w:r w:rsidR="00B83E37">
        <w:t xml:space="preserve">Regering van Bophuthatswana v Van Zyl </w:t>
      </w:r>
      <w:r w:rsidR="00705630">
        <w:t xml:space="preserve">1981 (1) SA </w:t>
      </w:r>
      <w:r w:rsidR="00210FA3">
        <w:t>484 (NC) at 487 D-E</w:t>
      </w:r>
    </w:p>
  </w:footnote>
  <w:footnote w:id="6">
    <w:p w14:paraId="7CC38025" w14:textId="77777777" w:rsidR="0043684E" w:rsidRDefault="0043684E" w:rsidP="0043684E">
      <w:pPr>
        <w:pStyle w:val="FootnoteText"/>
      </w:pPr>
      <w:r>
        <w:rPr>
          <w:rStyle w:val="FootnoteReference"/>
        </w:rPr>
        <w:footnoteRef/>
      </w:r>
      <w:r>
        <w:t xml:space="preserve"> Trencon Construction (Pty) Ltd v Industrial Dev Corp of SA Ltd 2015(5) SA 245 (CC) at para 83</w:t>
      </w:r>
    </w:p>
  </w:footnote>
  <w:footnote w:id="7">
    <w:p w14:paraId="731806EC" w14:textId="77777777" w:rsidR="0043684E" w:rsidRDefault="0043684E" w:rsidP="0043684E">
      <w:pPr>
        <w:pStyle w:val="FootnoteText"/>
      </w:pPr>
      <w:r>
        <w:rPr>
          <w:rStyle w:val="FootnoteReference"/>
        </w:rPr>
        <w:footnoteRef/>
      </w:r>
      <w:r>
        <w:t xml:space="preserve"> Media Workers Association of South Africa &amp; Others v Press Corporation of South Africa Limited [1992] ZASCA 149, 1992 (4) SA 791 (A) at 800E   </w:t>
      </w:r>
    </w:p>
  </w:footnote>
  <w:footnote w:id="8">
    <w:p w14:paraId="7BCE72C2" w14:textId="77777777" w:rsidR="0043684E" w:rsidRDefault="0043684E" w:rsidP="0043684E">
      <w:pPr>
        <w:pStyle w:val="FootnoteText"/>
      </w:pPr>
      <w:r>
        <w:rPr>
          <w:rStyle w:val="FootnoteReference"/>
        </w:rPr>
        <w:footnoteRef/>
      </w:r>
      <w:r>
        <w:t xml:space="preserve"> Knox D’Arcy Ltd and Others v Jamieson and Others [1996] ZASCA 58, 1996(4) SA 348 (SCA) at 361I  </w:t>
      </w:r>
    </w:p>
  </w:footnote>
  <w:footnote w:id="9">
    <w:p w14:paraId="3A157363" w14:textId="77777777" w:rsidR="0043684E" w:rsidRPr="00901C0F" w:rsidRDefault="0043684E" w:rsidP="0043684E">
      <w:pPr>
        <w:pStyle w:val="FootnoteText"/>
      </w:pPr>
      <w:r>
        <w:rPr>
          <w:rStyle w:val="FootnoteReference"/>
        </w:rPr>
        <w:footnoteRef/>
      </w:r>
      <w:r>
        <w:t xml:space="preserve"> </w:t>
      </w:r>
      <w:r w:rsidRPr="00901C0F">
        <w:t>Media Workers Association supra at 800H</w:t>
      </w:r>
    </w:p>
  </w:footnote>
  <w:footnote w:id="10">
    <w:p w14:paraId="63F880FE" w14:textId="0E54B56F" w:rsidR="0043684E" w:rsidRPr="00901C0F" w:rsidRDefault="0043684E" w:rsidP="0043684E">
      <w:pPr>
        <w:pStyle w:val="FootnoteText"/>
      </w:pPr>
      <w:r w:rsidRPr="00901C0F">
        <w:rPr>
          <w:rStyle w:val="FootnoteReference"/>
        </w:rPr>
        <w:footnoteRef/>
      </w:r>
      <w:r w:rsidRPr="00901C0F">
        <w:t xml:space="preserve"> </w:t>
      </w:r>
      <w:r w:rsidR="008B5EED">
        <w:t>Ndlovu v Ngcobo</w:t>
      </w:r>
      <w:r w:rsidR="006E5B8A">
        <w:t xml:space="preserve">, </w:t>
      </w:r>
      <w:r w:rsidRPr="00901C0F">
        <w:rPr>
          <w:color w:val="232020"/>
          <w:sz w:val="23"/>
          <w:szCs w:val="23"/>
        </w:rPr>
        <w:t xml:space="preserve">Bekker and </w:t>
      </w:r>
      <w:r w:rsidR="006E5B8A">
        <w:rPr>
          <w:color w:val="232020"/>
          <w:sz w:val="23"/>
          <w:szCs w:val="23"/>
        </w:rPr>
        <w:t xml:space="preserve">Another </w:t>
      </w:r>
      <w:r w:rsidRPr="00901C0F">
        <w:rPr>
          <w:color w:val="232020"/>
          <w:sz w:val="23"/>
          <w:szCs w:val="23"/>
        </w:rPr>
        <w:t>v Jika 2003 (1) SA 113 (SCA) at</w:t>
      </w:r>
      <w:r w:rsidR="00B713CF">
        <w:rPr>
          <w:color w:val="232020"/>
          <w:sz w:val="23"/>
          <w:szCs w:val="23"/>
        </w:rPr>
        <w:t xml:space="preserve"> 124 B-D</w:t>
      </w:r>
      <w:r w:rsidR="008B5EED">
        <w:rPr>
          <w:color w:val="232020"/>
          <w:sz w:val="23"/>
          <w:szCs w:val="23"/>
        </w:rPr>
        <w:t xml:space="preserve">, </w:t>
      </w:r>
      <w:r w:rsidR="00B713CF">
        <w:rPr>
          <w:color w:val="232020"/>
          <w:sz w:val="23"/>
          <w:szCs w:val="23"/>
        </w:rPr>
        <w:t>(para 18)</w:t>
      </w:r>
      <w:r w:rsidRPr="00901C0F">
        <w:rPr>
          <w:color w:val="232020"/>
          <w:sz w:val="23"/>
          <w:szCs w:val="23"/>
        </w:rPr>
        <w:t xml:space="preserve"> </w:t>
      </w:r>
    </w:p>
  </w:footnote>
  <w:footnote w:id="11">
    <w:p w14:paraId="4F797CEB" w14:textId="77777777" w:rsidR="0043684E" w:rsidRPr="00901C0F" w:rsidRDefault="0043684E" w:rsidP="0043684E">
      <w:pPr>
        <w:pStyle w:val="FootnoteText"/>
      </w:pPr>
      <w:r w:rsidRPr="00901C0F">
        <w:rPr>
          <w:rStyle w:val="FootnoteReference"/>
        </w:rPr>
        <w:footnoteRef/>
      </w:r>
      <w:r w:rsidRPr="00901C0F">
        <w:t xml:space="preserve"> Ward v Sulzer 1973 (3) SA 701(A) at 707, Herold v Sinclair 1954 (2) SA 531 (A) at 537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438397"/>
      <w:docPartObj>
        <w:docPartGallery w:val="Page Numbers (Top of Page)"/>
        <w:docPartUnique/>
      </w:docPartObj>
    </w:sdtPr>
    <w:sdtEndPr>
      <w:rPr>
        <w:noProof/>
      </w:rPr>
    </w:sdtEndPr>
    <w:sdtContent>
      <w:p w14:paraId="467F6178" w14:textId="5D7CF7ED" w:rsidR="0043684E" w:rsidRDefault="0043684E">
        <w:pPr>
          <w:pStyle w:val="Header"/>
          <w:jc w:val="center"/>
        </w:pPr>
        <w:r>
          <w:fldChar w:fldCharType="begin"/>
        </w:r>
        <w:r>
          <w:instrText xml:space="preserve"> PAGE   \* MERGEFORMAT </w:instrText>
        </w:r>
        <w:r>
          <w:fldChar w:fldCharType="separate"/>
        </w:r>
        <w:r w:rsidR="004B1C0E">
          <w:rPr>
            <w:noProof/>
          </w:rPr>
          <w:t>15</w:t>
        </w:r>
        <w:r>
          <w:rPr>
            <w:noProof/>
          </w:rPr>
          <w:fldChar w:fldCharType="end"/>
        </w:r>
      </w:p>
    </w:sdtContent>
  </w:sdt>
  <w:p w14:paraId="36BDB6CF" w14:textId="77777777" w:rsidR="0043684E" w:rsidRDefault="004368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D98"/>
    <w:multiLevelType w:val="multilevel"/>
    <w:tmpl w:val="06E26B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xNrAwMDYysLQ0NrZU0lEKTi0uzszPAykwqgUAE2jugywAAAA="/>
  </w:docVars>
  <w:rsids>
    <w:rsidRoot w:val="0043684E"/>
    <w:rsid w:val="000060C5"/>
    <w:rsid w:val="00012B39"/>
    <w:rsid w:val="00017AEF"/>
    <w:rsid w:val="00023E08"/>
    <w:rsid w:val="000242EA"/>
    <w:rsid w:val="00037089"/>
    <w:rsid w:val="00041797"/>
    <w:rsid w:val="000470FA"/>
    <w:rsid w:val="00051950"/>
    <w:rsid w:val="0005435B"/>
    <w:rsid w:val="000553B7"/>
    <w:rsid w:val="0006065F"/>
    <w:rsid w:val="00072F21"/>
    <w:rsid w:val="00075E71"/>
    <w:rsid w:val="0009028A"/>
    <w:rsid w:val="00094A71"/>
    <w:rsid w:val="000A24BE"/>
    <w:rsid w:val="000A4689"/>
    <w:rsid w:val="000D0496"/>
    <w:rsid w:val="000D79EB"/>
    <w:rsid w:val="000D7A14"/>
    <w:rsid w:val="000F345C"/>
    <w:rsid w:val="00101203"/>
    <w:rsid w:val="0010234C"/>
    <w:rsid w:val="00103E7C"/>
    <w:rsid w:val="00105B1A"/>
    <w:rsid w:val="001073DE"/>
    <w:rsid w:val="00107D98"/>
    <w:rsid w:val="00112CDC"/>
    <w:rsid w:val="0012197A"/>
    <w:rsid w:val="001271CF"/>
    <w:rsid w:val="0013127D"/>
    <w:rsid w:val="0014018D"/>
    <w:rsid w:val="00140646"/>
    <w:rsid w:val="00144466"/>
    <w:rsid w:val="00150BA3"/>
    <w:rsid w:val="00152C63"/>
    <w:rsid w:val="00153E4C"/>
    <w:rsid w:val="0015483B"/>
    <w:rsid w:val="001651BF"/>
    <w:rsid w:val="00165396"/>
    <w:rsid w:val="00165682"/>
    <w:rsid w:val="001679EE"/>
    <w:rsid w:val="00167E7F"/>
    <w:rsid w:val="00176C08"/>
    <w:rsid w:val="001800A4"/>
    <w:rsid w:val="001845D9"/>
    <w:rsid w:val="001853F3"/>
    <w:rsid w:val="001A4B01"/>
    <w:rsid w:val="001B12BC"/>
    <w:rsid w:val="001B58E7"/>
    <w:rsid w:val="001C363E"/>
    <w:rsid w:val="001C54DF"/>
    <w:rsid w:val="001C6290"/>
    <w:rsid w:val="001D05EA"/>
    <w:rsid w:val="001D44D4"/>
    <w:rsid w:val="001D725D"/>
    <w:rsid w:val="001F2EBD"/>
    <w:rsid w:val="001F3DDF"/>
    <w:rsid w:val="00210FA3"/>
    <w:rsid w:val="00224845"/>
    <w:rsid w:val="00227D86"/>
    <w:rsid w:val="002325E4"/>
    <w:rsid w:val="00237A46"/>
    <w:rsid w:val="002459C6"/>
    <w:rsid w:val="00251B95"/>
    <w:rsid w:val="002529F0"/>
    <w:rsid w:val="0025517C"/>
    <w:rsid w:val="00261CAB"/>
    <w:rsid w:val="002641E9"/>
    <w:rsid w:val="002721C0"/>
    <w:rsid w:val="0027716B"/>
    <w:rsid w:val="002805A7"/>
    <w:rsid w:val="0028075A"/>
    <w:rsid w:val="00284102"/>
    <w:rsid w:val="002871B4"/>
    <w:rsid w:val="00287A50"/>
    <w:rsid w:val="002A0215"/>
    <w:rsid w:val="002A5A36"/>
    <w:rsid w:val="002B0C2C"/>
    <w:rsid w:val="002B6E3B"/>
    <w:rsid w:val="002B76FD"/>
    <w:rsid w:val="002D14B8"/>
    <w:rsid w:val="002D4B19"/>
    <w:rsid w:val="002E015E"/>
    <w:rsid w:val="002E20D1"/>
    <w:rsid w:val="002F3C02"/>
    <w:rsid w:val="002F5704"/>
    <w:rsid w:val="002F7739"/>
    <w:rsid w:val="00304CC5"/>
    <w:rsid w:val="00305863"/>
    <w:rsid w:val="00305C26"/>
    <w:rsid w:val="00315872"/>
    <w:rsid w:val="00324FB9"/>
    <w:rsid w:val="00333704"/>
    <w:rsid w:val="00337DB0"/>
    <w:rsid w:val="00340F6A"/>
    <w:rsid w:val="003416C2"/>
    <w:rsid w:val="00343F25"/>
    <w:rsid w:val="003441DE"/>
    <w:rsid w:val="00351267"/>
    <w:rsid w:val="00371C2F"/>
    <w:rsid w:val="003745B9"/>
    <w:rsid w:val="0039000F"/>
    <w:rsid w:val="0039250B"/>
    <w:rsid w:val="00393880"/>
    <w:rsid w:val="00395241"/>
    <w:rsid w:val="003976F7"/>
    <w:rsid w:val="00397BD3"/>
    <w:rsid w:val="003B3C0F"/>
    <w:rsid w:val="003D0230"/>
    <w:rsid w:val="003E492C"/>
    <w:rsid w:val="003E5C33"/>
    <w:rsid w:val="00400AC7"/>
    <w:rsid w:val="00402C95"/>
    <w:rsid w:val="0040337A"/>
    <w:rsid w:val="00405545"/>
    <w:rsid w:val="00410E19"/>
    <w:rsid w:val="00412A7A"/>
    <w:rsid w:val="00413A2A"/>
    <w:rsid w:val="0042249C"/>
    <w:rsid w:val="0042475B"/>
    <w:rsid w:val="00427B51"/>
    <w:rsid w:val="00431AC2"/>
    <w:rsid w:val="0043684E"/>
    <w:rsid w:val="00442BB9"/>
    <w:rsid w:val="00443AD7"/>
    <w:rsid w:val="0045053E"/>
    <w:rsid w:val="0046286B"/>
    <w:rsid w:val="00471985"/>
    <w:rsid w:val="004842D7"/>
    <w:rsid w:val="004864D2"/>
    <w:rsid w:val="0048663E"/>
    <w:rsid w:val="0049087B"/>
    <w:rsid w:val="00495DA1"/>
    <w:rsid w:val="004A0452"/>
    <w:rsid w:val="004A1B69"/>
    <w:rsid w:val="004A2668"/>
    <w:rsid w:val="004A3E75"/>
    <w:rsid w:val="004B1C0E"/>
    <w:rsid w:val="004D0A76"/>
    <w:rsid w:val="004D1E90"/>
    <w:rsid w:val="004F6CF6"/>
    <w:rsid w:val="00506506"/>
    <w:rsid w:val="005104BA"/>
    <w:rsid w:val="00511001"/>
    <w:rsid w:val="00513322"/>
    <w:rsid w:val="00517B4A"/>
    <w:rsid w:val="0052431A"/>
    <w:rsid w:val="00524A4F"/>
    <w:rsid w:val="00534F5A"/>
    <w:rsid w:val="00547B11"/>
    <w:rsid w:val="005509D2"/>
    <w:rsid w:val="005515FD"/>
    <w:rsid w:val="00552993"/>
    <w:rsid w:val="00555441"/>
    <w:rsid w:val="0056060D"/>
    <w:rsid w:val="00566B89"/>
    <w:rsid w:val="00574BC5"/>
    <w:rsid w:val="00583772"/>
    <w:rsid w:val="00587BA6"/>
    <w:rsid w:val="00594E9F"/>
    <w:rsid w:val="00595986"/>
    <w:rsid w:val="005A6281"/>
    <w:rsid w:val="005A76BF"/>
    <w:rsid w:val="005B05D3"/>
    <w:rsid w:val="005B63C4"/>
    <w:rsid w:val="005C17A6"/>
    <w:rsid w:val="005C4853"/>
    <w:rsid w:val="005D0917"/>
    <w:rsid w:val="005F3CD9"/>
    <w:rsid w:val="005F6ACB"/>
    <w:rsid w:val="006020C3"/>
    <w:rsid w:val="00610405"/>
    <w:rsid w:val="00612F23"/>
    <w:rsid w:val="00621E87"/>
    <w:rsid w:val="00635421"/>
    <w:rsid w:val="00641B0C"/>
    <w:rsid w:val="00651D91"/>
    <w:rsid w:val="006544CE"/>
    <w:rsid w:val="006544D4"/>
    <w:rsid w:val="0066164F"/>
    <w:rsid w:val="00674D57"/>
    <w:rsid w:val="00675A7E"/>
    <w:rsid w:val="0068003B"/>
    <w:rsid w:val="00690366"/>
    <w:rsid w:val="006905FC"/>
    <w:rsid w:val="006A029C"/>
    <w:rsid w:val="006C0F02"/>
    <w:rsid w:val="006E2123"/>
    <w:rsid w:val="006E3907"/>
    <w:rsid w:val="006E5B8A"/>
    <w:rsid w:val="006E6248"/>
    <w:rsid w:val="007017A8"/>
    <w:rsid w:val="00705630"/>
    <w:rsid w:val="00713D6C"/>
    <w:rsid w:val="007314D5"/>
    <w:rsid w:val="00731A35"/>
    <w:rsid w:val="0075207A"/>
    <w:rsid w:val="00761BB2"/>
    <w:rsid w:val="00762825"/>
    <w:rsid w:val="00781692"/>
    <w:rsid w:val="0078662F"/>
    <w:rsid w:val="007872DC"/>
    <w:rsid w:val="00795A12"/>
    <w:rsid w:val="0079777D"/>
    <w:rsid w:val="007A270B"/>
    <w:rsid w:val="007A5437"/>
    <w:rsid w:val="007C2598"/>
    <w:rsid w:val="007C344D"/>
    <w:rsid w:val="007C7F5F"/>
    <w:rsid w:val="007D1CBF"/>
    <w:rsid w:val="007D2D93"/>
    <w:rsid w:val="007D6AEA"/>
    <w:rsid w:val="007E1A6E"/>
    <w:rsid w:val="007E42FA"/>
    <w:rsid w:val="007F09D9"/>
    <w:rsid w:val="007F3901"/>
    <w:rsid w:val="007F4F4F"/>
    <w:rsid w:val="00802DDD"/>
    <w:rsid w:val="008117CC"/>
    <w:rsid w:val="0081592E"/>
    <w:rsid w:val="00815FD2"/>
    <w:rsid w:val="00832155"/>
    <w:rsid w:val="008432F0"/>
    <w:rsid w:val="0084349D"/>
    <w:rsid w:val="00851303"/>
    <w:rsid w:val="00863DBC"/>
    <w:rsid w:val="0087014E"/>
    <w:rsid w:val="008710B1"/>
    <w:rsid w:val="0087206E"/>
    <w:rsid w:val="00872D6F"/>
    <w:rsid w:val="0087618E"/>
    <w:rsid w:val="00882D4B"/>
    <w:rsid w:val="00887B3C"/>
    <w:rsid w:val="00891482"/>
    <w:rsid w:val="00891FC4"/>
    <w:rsid w:val="008A32F1"/>
    <w:rsid w:val="008B4A28"/>
    <w:rsid w:val="008B5EED"/>
    <w:rsid w:val="008C7495"/>
    <w:rsid w:val="008C7D07"/>
    <w:rsid w:val="008E6151"/>
    <w:rsid w:val="008F65E3"/>
    <w:rsid w:val="008F74FF"/>
    <w:rsid w:val="00901B0A"/>
    <w:rsid w:val="00901C0F"/>
    <w:rsid w:val="00902DC0"/>
    <w:rsid w:val="009033B5"/>
    <w:rsid w:val="00907187"/>
    <w:rsid w:val="00907D3F"/>
    <w:rsid w:val="0091547A"/>
    <w:rsid w:val="00932081"/>
    <w:rsid w:val="0093261B"/>
    <w:rsid w:val="00932992"/>
    <w:rsid w:val="00943654"/>
    <w:rsid w:val="00944698"/>
    <w:rsid w:val="0094550C"/>
    <w:rsid w:val="0095298A"/>
    <w:rsid w:val="009563EE"/>
    <w:rsid w:val="009613FA"/>
    <w:rsid w:val="00961E3D"/>
    <w:rsid w:val="00970032"/>
    <w:rsid w:val="009703D9"/>
    <w:rsid w:val="0097242A"/>
    <w:rsid w:val="0097501F"/>
    <w:rsid w:val="00975372"/>
    <w:rsid w:val="00976DB7"/>
    <w:rsid w:val="00991264"/>
    <w:rsid w:val="00995897"/>
    <w:rsid w:val="009A0EA0"/>
    <w:rsid w:val="009A2344"/>
    <w:rsid w:val="009B0A00"/>
    <w:rsid w:val="009B4B1E"/>
    <w:rsid w:val="009B675A"/>
    <w:rsid w:val="009B7AB3"/>
    <w:rsid w:val="009D4396"/>
    <w:rsid w:val="009E19DA"/>
    <w:rsid w:val="009E7D93"/>
    <w:rsid w:val="009F2CA8"/>
    <w:rsid w:val="009F70DE"/>
    <w:rsid w:val="009F7782"/>
    <w:rsid w:val="00A05FBD"/>
    <w:rsid w:val="00A065E3"/>
    <w:rsid w:val="00A07000"/>
    <w:rsid w:val="00A11028"/>
    <w:rsid w:val="00A147CD"/>
    <w:rsid w:val="00A14B63"/>
    <w:rsid w:val="00A17DF0"/>
    <w:rsid w:val="00A249C2"/>
    <w:rsid w:val="00A25904"/>
    <w:rsid w:val="00A268F0"/>
    <w:rsid w:val="00A40FA3"/>
    <w:rsid w:val="00A42755"/>
    <w:rsid w:val="00A4347B"/>
    <w:rsid w:val="00A469DE"/>
    <w:rsid w:val="00A47BAA"/>
    <w:rsid w:val="00A518EB"/>
    <w:rsid w:val="00A54EF0"/>
    <w:rsid w:val="00A608FF"/>
    <w:rsid w:val="00A61F97"/>
    <w:rsid w:val="00A67400"/>
    <w:rsid w:val="00A82C56"/>
    <w:rsid w:val="00A842F3"/>
    <w:rsid w:val="00A95A49"/>
    <w:rsid w:val="00AA694E"/>
    <w:rsid w:val="00AA7761"/>
    <w:rsid w:val="00AB6A4D"/>
    <w:rsid w:val="00AD32B3"/>
    <w:rsid w:val="00AD37AC"/>
    <w:rsid w:val="00AD37DF"/>
    <w:rsid w:val="00AD7085"/>
    <w:rsid w:val="00AE3164"/>
    <w:rsid w:val="00AE5691"/>
    <w:rsid w:val="00AE5776"/>
    <w:rsid w:val="00AF1C0A"/>
    <w:rsid w:val="00AF1E8E"/>
    <w:rsid w:val="00B00D5C"/>
    <w:rsid w:val="00B172B3"/>
    <w:rsid w:val="00B2059A"/>
    <w:rsid w:val="00B20EB4"/>
    <w:rsid w:val="00B21416"/>
    <w:rsid w:val="00B26C36"/>
    <w:rsid w:val="00B27159"/>
    <w:rsid w:val="00B34C1E"/>
    <w:rsid w:val="00B4353E"/>
    <w:rsid w:val="00B56382"/>
    <w:rsid w:val="00B606D2"/>
    <w:rsid w:val="00B70AD5"/>
    <w:rsid w:val="00B713CF"/>
    <w:rsid w:val="00B80F5A"/>
    <w:rsid w:val="00B83E37"/>
    <w:rsid w:val="00B91C38"/>
    <w:rsid w:val="00B9489E"/>
    <w:rsid w:val="00B9676B"/>
    <w:rsid w:val="00BB350B"/>
    <w:rsid w:val="00BB42AA"/>
    <w:rsid w:val="00BD20DE"/>
    <w:rsid w:val="00BD2940"/>
    <w:rsid w:val="00BD6011"/>
    <w:rsid w:val="00BE300F"/>
    <w:rsid w:val="00BF0DA4"/>
    <w:rsid w:val="00C065F0"/>
    <w:rsid w:val="00C06DF6"/>
    <w:rsid w:val="00C15381"/>
    <w:rsid w:val="00C2547C"/>
    <w:rsid w:val="00C41DC0"/>
    <w:rsid w:val="00C449B0"/>
    <w:rsid w:val="00C44C3D"/>
    <w:rsid w:val="00C45CB9"/>
    <w:rsid w:val="00C4610E"/>
    <w:rsid w:val="00C46A7B"/>
    <w:rsid w:val="00C54F45"/>
    <w:rsid w:val="00C57256"/>
    <w:rsid w:val="00C75575"/>
    <w:rsid w:val="00C97579"/>
    <w:rsid w:val="00CA221F"/>
    <w:rsid w:val="00CA5096"/>
    <w:rsid w:val="00CB0096"/>
    <w:rsid w:val="00CB28FE"/>
    <w:rsid w:val="00CB3CE6"/>
    <w:rsid w:val="00CB3D59"/>
    <w:rsid w:val="00CB5A7A"/>
    <w:rsid w:val="00CC5527"/>
    <w:rsid w:val="00CD1F89"/>
    <w:rsid w:val="00CE1C85"/>
    <w:rsid w:val="00CE5220"/>
    <w:rsid w:val="00CE67B0"/>
    <w:rsid w:val="00D01B0B"/>
    <w:rsid w:val="00D021C5"/>
    <w:rsid w:val="00D12D15"/>
    <w:rsid w:val="00D2037C"/>
    <w:rsid w:val="00D36DC4"/>
    <w:rsid w:val="00D470CD"/>
    <w:rsid w:val="00D60EAA"/>
    <w:rsid w:val="00D73706"/>
    <w:rsid w:val="00D744AD"/>
    <w:rsid w:val="00DB0572"/>
    <w:rsid w:val="00DB3114"/>
    <w:rsid w:val="00DB42C9"/>
    <w:rsid w:val="00DC304D"/>
    <w:rsid w:val="00DD25B2"/>
    <w:rsid w:val="00DD5567"/>
    <w:rsid w:val="00DD6AF7"/>
    <w:rsid w:val="00DE6012"/>
    <w:rsid w:val="00DF2968"/>
    <w:rsid w:val="00DF6B92"/>
    <w:rsid w:val="00E03A94"/>
    <w:rsid w:val="00E055EC"/>
    <w:rsid w:val="00E13AEE"/>
    <w:rsid w:val="00E147F5"/>
    <w:rsid w:val="00E1770C"/>
    <w:rsid w:val="00E235BE"/>
    <w:rsid w:val="00E40B2E"/>
    <w:rsid w:val="00E5679E"/>
    <w:rsid w:val="00E60605"/>
    <w:rsid w:val="00E70D8E"/>
    <w:rsid w:val="00E71919"/>
    <w:rsid w:val="00E7237B"/>
    <w:rsid w:val="00E77275"/>
    <w:rsid w:val="00E81816"/>
    <w:rsid w:val="00E84091"/>
    <w:rsid w:val="00EA3AE8"/>
    <w:rsid w:val="00EB2C7D"/>
    <w:rsid w:val="00EB3493"/>
    <w:rsid w:val="00EC7FAA"/>
    <w:rsid w:val="00ED18A3"/>
    <w:rsid w:val="00ED529B"/>
    <w:rsid w:val="00ED53BA"/>
    <w:rsid w:val="00EE4C25"/>
    <w:rsid w:val="00EE505B"/>
    <w:rsid w:val="00EF52E1"/>
    <w:rsid w:val="00F01A00"/>
    <w:rsid w:val="00F01BFA"/>
    <w:rsid w:val="00F02471"/>
    <w:rsid w:val="00F04AB9"/>
    <w:rsid w:val="00F13295"/>
    <w:rsid w:val="00F161BA"/>
    <w:rsid w:val="00F174DC"/>
    <w:rsid w:val="00F217D1"/>
    <w:rsid w:val="00F25B77"/>
    <w:rsid w:val="00F25E40"/>
    <w:rsid w:val="00F36E7D"/>
    <w:rsid w:val="00F41E23"/>
    <w:rsid w:val="00F50340"/>
    <w:rsid w:val="00F5266A"/>
    <w:rsid w:val="00F57896"/>
    <w:rsid w:val="00F603B6"/>
    <w:rsid w:val="00F7755C"/>
    <w:rsid w:val="00F944F2"/>
    <w:rsid w:val="00F95E2D"/>
    <w:rsid w:val="00F95EDF"/>
    <w:rsid w:val="00FA1D8C"/>
    <w:rsid w:val="00FA70E1"/>
    <w:rsid w:val="00FB37C2"/>
    <w:rsid w:val="00FB41DE"/>
    <w:rsid w:val="00FB526D"/>
    <w:rsid w:val="00FD32D6"/>
    <w:rsid w:val="00FE7D58"/>
    <w:rsid w:val="00FF0CFA"/>
    <w:rsid w:val="00FF2B25"/>
    <w:rsid w:val="00FF56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764D9"/>
  <w15:chartTrackingRefBased/>
  <w15:docId w15:val="{5EF5D43D-0691-4652-B92F-62758585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20" w:line="360" w:lineRule="auto"/>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4E"/>
  </w:style>
  <w:style w:type="paragraph" w:styleId="Heading1">
    <w:name w:val="heading 1"/>
    <w:basedOn w:val="Normal"/>
    <w:next w:val="Normal"/>
    <w:link w:val="Heading1Char"/>
    <w:uiPriority w:val="9"/>
    <w:qFormat/>
    <w:rsid w:val="004368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68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68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68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68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68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68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68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68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97"/>
    <w:pPr>
      <w:ind w:left="720"/>
      <w:contextualSpacing/>
    </w:pPr>
  </w:style>
  <w:style w:type="character" w:customStyle="1" w:styleId="Heading1Char">
    <w:name w:val="Heading 1 Char"/>
    <w:basedOn w:val="DefaultParagraphFont"/>
    <w:link w:val="Heading1"/>
    <w:uiPriority w:val="9"/>
    <w:rsid w:val="004368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68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68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68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68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68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68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68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684E"/>
    <w:rPr>
      <w:rFonts w:eastAsiaTheme="majorEastAsia" w:cstheme="majorBidi"/>
      <w:color w:val="272727" w:themeColor="text1" w:themeTint="D8"/>
    </w:rPr>
  </w:style>
  <w:style w:type="paragraph" w:styleId="Title">
    <w:name w:val="Title"/>
    <w:basedOn w:val="Normal"/>
    <w:next w:val="Normal"/>
    <w:link w:val="TitleChar"/>
    <w:uiPriority w:val="10"/>
    <w:qFormat/>
    <w:rsid w:val="004368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8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684E"/>
    <w:pPr>
      <w:numPr>
        <w:ilvl w:val="1"/>
      </w:numPr>
      <w:spacing w:after="160"/>
      <w:ind w:left="567" w:hanging="56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68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684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3684E"/>
    <w:rPr>
      <w:i/>
      <w:iCs/>
      <w:color w:val="404040" w:themeColor="text1" w:themeTint="BF"/>
    </w:rPr>
  </w:style>
  <w:style w:type="character" w:styleId="IntenseEmphasis">
    <w:name w:val="Intense Emphasis"/>
    <w:basedOn w:val="DefaultParagraphFont"/>
    <w:uiPriority w:val="21"/>
    <w:qFormat/>
    <w:rsid w:val="0043684E"/>
    <w:rPr>
      <w:i/>
      <w:iCs/>
      <w:color w:val="0F4761" w:themeColor="accent1" w:themeShade="BF"/>
    </w:rPr>
  </w:style>
  <w:style w:type="paragraph" w:styleId="IntenseQuote">
    <w:name w:val="Intense Quote"/>
    <w:basedOn w:val="Normal"/>
    <w:next w:val="Normal"/>
    <w:link w:val="IntenseQuoteChar"/>
    <w:uiPriority w:val="30"/>
    <w:qFormat/>
    <w:rsid w:val="004368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684E"/>
    <w:rPr>
      <w:i/>
      <w:iCs/>
      <w:color w:val="0F4761" w:themeColor="accent1" w:themeShade="BF"/>
    </w:rPr>
  </w:style>
  <w:style w:type="character" w:styleId="IntenseReference">
    <w:name w:val="Intense Reference"/>
    <w:basedOn w:val="DefaultParagraphFont"/>
    <w:uiPriority w:val="32"/>
    <w:qFormat/>
    <w:rsid w:val="0043684E"/>
    <w:rPr>
      <w:b/>
      <w:bCs/>
      <w:smallCaps/>
      <w:color w:val="0F4761" w:themeColor="accent1" w:themeShade="BF"/>
      <w:spacing w:val="5"/>
    </w:rPr>
  </w:style>
  <w:style w:type="paragraph" w:styleId="FootnoteText">
    <w:name w:val="footnote text"/>
    <w:basedOn w:val="Normal"/>
    <w:link w:val="FootnoteTextChar"/>
    <w:uiPriority w:val="99"/>
    <w:semiHidden/>
    <w:unhideWhenUsed/>
    <w:rsid w:val="0043684E"/>
    <w:pPr>
      <w:spacing w:after="0" w:line="240" w:lineRule="auto"/>
      <w:ind w:left="0" w:firstLine="0"/>
    </w:pPr>
    <w:rPr>
      <w:kern w:val="0"/>
      <w:sz w:val="20"/>
      <w:szCs w:val="20"/>
      <w14:ligatures w14:val="none"/>
    </w:rPr>
  </w:style>
  <w:style w:type="character" w:customStyle="1" w:styleId="FootnoteTextChar">
    <w:name w:val="Footnote Text Char"/>
    <w:basedOn w:val="DefaultParagraphFont"/>
    <w:link w:val="FootnoteText"/>
    <w:uiPriority w:val="99"/>
    <w:semiHidden/>
    <w:rsid w:val="0043684E"/>
    <w:rPr>
      <w:kern w:val="0"/>
      <w:sz w:val="20"/>
      <w:szCs w:val="20"/>
      <w14:ligatures w14:val="none"/>
    </w:rPr>
  </w:style>
  <w:style w:type="character" w:styleId="FootnoteReference">
    <w:name w:val="footnote reference"/>
    <w:basedOn w:val="DefaultParagraphFont"/>
    <w:uiPriority w:val="99"/>
    <w:semiHidden/>
    <w:unhideWhenUsed/>
    <w:rsid w:val="0043684E"/>
    <w:rPr>
      <w:vertAlign w:val="superscript"/>
    </w:rPr>
  </w:style>
  <w:style w:type="paragraph" w:styleId="Header">
    <w:name w:val="header"/>
    <w:basedOn w:val="Normal"/>
    <w:link w:val="HeaderChar"/>
    <w:uiPriority w:val="99"/>
    <w:unhideWhenUsed/>
    <w:rsid w:val="0043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4E"/>
  </w:style>
  <w:style w:type="paragraph" w:styleId="Footer">
    <w:name w:val="footer"/>
    <w:basedOn w:val="Normal"/>
    <w:link w:val="FooterChar"/>
    <w:uiPriority w:val="99"/>
    <w:unhideWhenUsed/>
    <w:rsid w:val="0043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4E"/>
  </w:style>
  <w:style w:type="paragraph" w:styleId="BalloonText">
    <w:name w:val="Balloon Text"/>
    <w:basedOn w:val="Normal"/>
    <w:link w:val="BalloonTextChar"/>
    <w:uiPriority w:val="99"/>
    <w:semiHidden/>
    <w:unhideWhenUsed/>
    <w:rsid w:val="002B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DC7A-4B60-45CC-AD91-7F79D408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Bhoopchand SC</dc:creator>
  <cp:keywords/>
  <dc:description/>
  <cp:lastModifiedBy>Mary Bruce</cp:lastModifiedBy>
  <cp:revision>5</cp:revision>
  <cp:lastPrinted>2024-02-28T15:45:00Z</cp:lastPrinted>
  <dcterms:created xsi:type="dcterms:W3CDTF">2024-02-28T15:42:00Z</dcterms:created>
  <dcterms:modified xsi:type="dcterms:W3CDTF">2024-03-01T14:05:00Z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86d46e878dfb953a2c34af31df306ba7c066aebe9c3e2ac5f5b16de64b035c5a</vt:lpwstr>
  </property>
</Properties>
</file>