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C944B" w14:textId="221ABD6A" w:rsidR="00446541" w:rsidRDefault="00DC5114" w:rsidP="00446541">
      <w:pPr>
        <w:jc w:val="center"/>
      </w:pPr>
      <w:bookmarkStart w:id="0" w:name="_GoBack"/>
      <w:bookmarkEnd w:id="0"/>
      <w:r>
        <w:rPr>
          <w:noProof/>
        </w:rPr>
        <w:drawing>
          <wp:inline distT="0" distB="0" distL="0" distR="0" wp14:anchorId="27C8E1ED" wp14:editId="1B978857">
            <wp:extent cx="1198880" cy="120904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880" cy="1209040"/>
                    </a:xfrm>
                    <a:prstGeom prst="rect">
                      <a:avLst/>
                    </a:prstGeom>
                    <a:noFill/>
                  </pic:spPr>
                </pic:pic>
              </a:graphicData>
            </a:graphic>
          </wp:inline>
        </w:drawing>
      </w:r>
    </w:p>
    <w:p w14:paraId="313C944C" w14:textId="77777777" w:rsidR="00446541" w:rsidRDefault="00446541" w:rsidP="00446541">
      <w:pPr>
        <w:jc w:val="center"/>
        <w:rPr>
          <w:rFonts w:ascii="Albertville Extrabold" w:hAnsi="Albertville Extrabold"/>
          <w:sz w:val="18"/>
          <w:szCs w:val="18"/>
        </w:rPr>
      </w:pPr>
    </w:p>
    <w:p w14:paraId="63DB0551" w14:textId="77777777" w:rsidR="00166088" w:rsidRDefault="00446541" w:rsidP="00166088">
      <w:pPr>
        <w:pStyle w:val="Frontpageheading"/>
        <w:spacing w:line="240" w:lineRule="auto"/>
        <w:rPr>
          <w:sz w:val="28"/>
          <w:szCs w:val="28"/>
        </w:rPr>
      </w:pPr>
      <w:r w:rsidRPr="002A6990">
        <w:rPr>
          <w:sz w:val="28"/>
          <w:szCs w:val="28"/>
        </w:rPr>
        <w:t xml:space="preserve">In the high </w:t>
      </w:r>
      <w:r>
        <w:rPr>
          <w:sz w:val="28"/>
          <w:szCs w:val="28"/>
        </w:rPr>
        <w:t>Court</w:t>
      </w:r>
      <w:r w:rsidRPr="002A6990">
        <w:rPr>
          <w:sz w:val="28"/>
          <w:szCs w:val="28"/>
        </w:rPr>
        <w:t xml:space="preserve"> of South Africa</w:t>
      </w:r>
    </w:p>
    <w:p w14:paraId="313C944E" w14:textId="7D849F2A" w:rsidR="00446541" w:rsidRDefault="00446541" w:rsidP="00166088">
      <w:pPr>
        <w:pStyle w:val="Frontpageheading"/>
        <w:spacing w:line="240" w:lineRule="auto"/>
        <w:rPr>
          <w:sz w:val="28"/>
          <w:szCs w:val="28"/>
        </w:rPr>
      </w:pPr>
      <w:r w:rsidRPr="002A6990">
        <w:rPr>
          <w:sz w:val="28"/>
          <w:szCs w:val="28"/>
        </w:rPr>
        <w:t>(western cape DIVISION, cape town)</w:t>
      </w:r>
    </w:p>
    <w:p w14:paraId="6D989759" w14:textId="77777777" w:rsidR="00166088" w:rsidRDefault="00446541" w:rsidP="00446541">
      <w:pPr>
        <w:spacing w:line="360" w:lineRule="auto"/>
        <w:jc w:val="both"/>
        <w:rPr>
          <w:rFonts w:ascii="Arial" w:hAnsi="Arial" w:cs="Arial"/>
          <w:b/>
        </w:rPr>
      </w:pPr>
      <w:r>
        <w:rPr>
          <w:rFonts w:ascii="Arial" w:hAnsi="Arial" w:cs="Arial"/>
          <w:b/>
        </w:rPr>
        <w:t xml:space="preserve">                                                                       </w:t>
      </w:r>
      <w:r w:rsidR="00A95F5B">
        <w:rPr>
          <w:rFonts w:ascii="Arial" w:hAnsi="Arial" w:cs="Arial"/>
          <w:b/>
        </w:rPr>
        <w:t xml:space="preserve">                           </w:t>
      </w:r>
    </w:p>
    <w:p w14:paraId="313C9450" w14:textId="11F3154A" w:rsidR="00446541" w:rsidRDefault="00446541" w:rsidP="00166088">
      <w:pPr>
        <w:spacing w:line="360" w:lineRule="auto"/>
        <w:ind w:left="6480"/>
        <w:jc w:val="both"/>
        <w:rPr>
          <w:rFonts w:ascii="Arial" w:hAnsi="Arial" w:cs="Arial"/>
          <w:b/>
        </w:rPr>
      </w:pPr>
      <w:r>
        <w:rPr>
          <w:rFonts w:ascii="Arial" w:hAnsi="Arial" w:cs="Arial"/>
          <w:b/>
        </w:rPr>
        <w:t>CASE NO: A</w:t>
      </w:r>
      <w:r w:rsidR="008E38A4">
        <w:rPr>
          <w:rFonts w:ascii="Arial" w:hAnsi="Arial" w:cs="Arial"/>
          <w:b/>
        </w:rPr>
        <w:t>83/2023</w:t>
      </w:r>
    </w:p>
    <w:p w14:paraId="313C9451" w14:textId="77777777" w:rsidR="00446541" w:rsidRPr="00AB1228" w:rsidRDefault="00446541" w:rsidP="00446541">
      <w:pPr>
        <w:jc w:val="center"/>
        <w:rPr>
          <w:rFonts w:ascii="Arial" w:hAnsi="Arial" w:cs="Arial"/>
          <w:b/>
          <w:i/>
        </w:rPr>
      </w:pPr>
      <w:r w:rsidRPr="00AB1228">
        <w:rPr>
          <w:rFonts w:ascii="Arial" w:hAnsi="Arial" w:cs="Arial"/>
          <w:b/>
          <w:i/>
        </w:rPr>
        <w:t>Before:</w:t>
      </w:r>
    </w:p>
    <w:p w14:paraId="313C9452" w14:textId="1C81E468" w:rsidR="00446541" w:rsidRPr="00AB1228" w:rsidRDefault="00446541" w:rsidP="00446541">
      <w:pPr>
        <w:jc w:val="center"/>
        <w:rPr>
          <w:rFonts w:ascii="Arial" w:hAnsi="Arial" w:cs="Arial"/>
          <w:i/>
        </w:rPr>
      </w:pPr>
      <w:r w:rsidRPr="00AB1228">
        <w:rPr>
          <w:rFonts w:ascii="Arial" w:hAnsi="Arial" w:cs="Arial"/>
          <w:i/>
        </w:rPr>
        <w:t xml:space="preserve"> The Hon M</w:t>
      </w:r>
      <w:r w:rsidR="006A179A">
        <w:rPr>
          <w:rFonts w:ascii="Arial" w:hAnsi="Arial" w:cs="Arial"/>
          <w:i/>
        </w:rPr>
        <w:t>r</w:t>
      </w:r>
      <w:r w:rsidRPr="00AB1228">
        <w:rPr>
          <w:rFonts w:ascii="Arial" w:hAnsi="Arial" w:cs="Arial"/>
          <w:i/>
        </w:rPr>
        <w:t xml:space="preserve"> Justice </w:t>
      </w:r>
      <w:r w:rsidR="008E38A4">
        <w:rPr>
          <w:rFonts w:ascii="Arial" w:hAnsi="Arial" w:cs="Arial"/>
          <w:i/>
        </w:rPr>
        <w:t>Henney</w:t>
      </w:r>
    </w:p>
    <w:p w14:paraId="313C9453" w14:textId="3E80231D" w:rsidR="00446541" w:rsidRPr="00AB1228" w:rsidRDefault="00A95F5B" w:rsidP="00446541">
      <w:pPr>
        <w:jc w:val="center"/>
        <w:rPr>
          <w:rFonts w:ascii="Arial" w:hAnsi="Arial" w:cs="Arial"/>
          <w:i/>
        </w:rPr>
      </w:pPr>
      <w:r>
        <w:rPr>
          <w:rFonts w:ascii="Arial" w:hAnsi="Arial" w:cs="Arial"/>
          <w:i/>
        </w:rPr>
        <w:t xml:space="preserve">The Hon Mr Justice </w:t>
      </w:r>
      <w:r w:rsidR="008E38A4">
        <w:rPr>
          <w:rFonts w:ascii="Arial" w:hAnsi="Arial" w:cs="Arial"/>
          <w:i/>
        </w:rPr>
        <w:t>Nuku</w:t>
      </w:r>
    </w:p>
    <w:p w14:paraId="313C9454" w14:textId="6E18867C" w:rsidR="00446541" w:rsidRPr="00AB1228" w:rsidRDefault="00A95F5B" w:rsidP="00446541">
      <w:pPr>
        <w:jc w:val="center"/>
        <w:rPr>
          <w:rFonts w:ascii="Arial" w:hAnsi="Arial" w:cs="Arial"/>
          <w:i/>
        </w:rPr>
      </w:pPr>
      <w:r>
        <w:rPr>
          <w:rFonts w:ascii="Arial" w:hAnsi="Arial" w:cs="Arial"/>
          <w:i/>
        </w:rPr>
        <w:t>The Hon Mr Justice Sher</w:t>
      </w:r>
    </w:p>
    <w:p w14:paraId="313C9455" w14:textId="77777777" w:rsidR="00446541" w:rsidRDefault="00446541" w:rsidP="00446541">
      <w:pPr>
        <w:spacing w:line="360" w:lineRule="auto"/>
        <w:jc w:val="both"/>
        <w:rPr>
          <w:rFonts w:ascii="Arial" w:hAnsi="Arial" w:cs="Arial"/>
          <w:b/>
        </w:rPr>
      </w:pPr>
    </w:p>
    <w:p w14:paraId="313C9456" w14:textId="77777777" w:rsidR="00446541" w:rsidRPr="003A295F" w:rsidRDefault="00446541" w:rsidP="00446541">
      <w:pPr>
        <w:spacing w:line="360" w:lineRule="auto"/>
        <w:jc w:val="both"/>
        <w:rPr>
          <w:rFonts w:ascii="Arial" w:hAnsi="Arial" w:cs="Arial"/>
          <w:bCs/>
        </w:rPr>
      </w:pPr>
      <w:r w:rsidRPr="003A295F">
        <w:rPr>
          <w:rFonts w:ascii="Arial" w:hAnsi="Arial" w:cs="Arial"/>
          <w:bCs/>
        </w:rPr>
        <w:t>In the matter between:</w:t>
      </w:r>
    </w:p>
    <w:p w14:paraId="313C9457" w14:textId="77777777" w:rsidR="00446541" w:rsidRPr="003A295F" w:rsidRDefault="00446541" w:rsidP="00446541">
      <w:pPr>
        <w:spacing w:line="360" w:lineRule="auto"/>
        <w:jc w:val="both"/>
        <w:rPr>
          <w:rFonts w:ascii="Arial" w:hAnsi="Arial" w:cs="Arial"/>
          <w:b/>
        </w:rPr>
      </w:pPr>
    </w:p>
    <w:p w14:paraId="313C9458" w14:textId="07A15648" w:rsidR="00446541" w:rsidRPr="00DF7D44" w:rsidRDefault="008E38A4" w:rsidP="00666B9F">
      <w:pPr>
        <w:spacing w:line="360" w:lineRule="auto"/>
        <w:rPr>
          <w:rFonts w:ascii="Arial" w:hAnsi="Arial" w:cs="Arial"/>
          <w:bCs/>
        </w:rPr>
      </w:pPr>
      <w:r w:rsidRPr="003A295F">
        <w:rPr>
          <w:rFonts w:ascii="Arial" w:hAnsi="Arial" w:cs="Arial"/>
          <w:b/>
        </w:rPr>
        <w:t>BASELINE CIVIL CONTRACTORS (PTY) LTD</w:t>
      </w:r>
      <w:r w:rsidR="00446541" w:rsidRPr="003A295F">
        <w:rPr>
          <w:rFonts w:ascii="Arial" w:hAnsi="Arial" w:cs="Arial"/>
          <w:b/>
        </w:rPr>
        <w:t xml:space="preserve">  </w:t>
      </w:r>
      <w:r w:rsidRPr="003A295F">
        <w:rPr>
          <w:rFonts w:ascii="Arial" w:hAnsi="Arial" w:cs="Arial"/>
          <w:b/>
        </w:rPr>
        <w:tab/>
      </w:r>
      <w:r w:rsidR="003A295F">
        <w:rPr>
          <w:rFonts w:ascii="Arial" w:hAnsi="Arial" w:cs="Arial"/>
          <w:b/>
        </w:rPr>
        <w:tab/>
      </w:r>
      <w:r w:rsidR="003A295F">
        <w:rPr>
          <w:rFonts w:ascii="Arial" w:hAnsi="Arial" w:cs="Arial"/>
          <w:b/>
        </w:rPr>
        <w:tab/>
      </w:r>
      <w:r w:rsidR="003A295F">
        <w:rPr>
          <w:rFonts w:ascii="Arial" w:hAnsi="Arial" w:cs="Arial"/>
          <w:b/>
        </w:rPr>
        <w:tab/>
      </w:r>
      <w:r w:rsidR="00446541" w:rsidRPr="00DF7D44">
        <w:rPr>
          <w:rFonts w:ascii="Arial" w:hAnsi="Arial" w:cs="Arial"/>
          <w:bCs/>
        </w:rPr>
        <w:t>Appellant</w:t>
      </w:r>
    </w:p>
    <w:p w14:paraId="094820B5" w14:textId="77777777" w:rsidR="003A295F" w:rsidRPr="003A295F" w:rsidRDefault="003A295F" w:rsidP="00446541">
      <w:pPr>
        <w:spacing w:line="360" w:lineRule="auto"/>
        <w:jc w:val="both"/>
        <w:rPr>
          <w:rFonts w:ascii="Arial" w:hAnsi="Arial" w:cs="Arial"/>
          <w:b/>
        </w:rPr>
      </w:pPr>
    </w:p>
    <w:p w14:paraId="313C9459" w14:textId="18C99AE6" w:rsidR="00446541" w:rsidRPr="00B05C5E" w:rsidRDefault="00446541" w:rsidP="00446541">
      <w:pPr>
        <w:spacing w:line="360" w:lineRule="auto"/>
        <w:jc w:val="both"/>
        <w:rPr>
          <w:rFonts w:ascii="Arial" w:hAnsi="Arial" w:cs="Arial"/>
          <w:bCs/>
        </w:rPr>
      </w:pPr>
      <w:r w:rsidRPr="00B05C5E">
        <w:rPr>
          <w:rFonts w:ascii="Arial" w:hAnsi="Arial" w:cs="Arial"/>
          <w:bCs/>
        </w:rPr>
        <w:t>and</w:t>
      </w:r>
    </w:p>
    <w:p w14:paraId="495484CC" w14:textId="77777777" w:rsidR="003A295F" w:rsidRPr="003A295F" w:rsidRDefault="003A295F" w:rsidP="00446541">
      <w:pPr>
        <w:pBdr>
          <w:bottom w:val="single" w:sz="12" w:space="1" w:color="auto"/>
        </w:pBdr>
        <w:spacing w:line="360" w:lineRule="auto"/>
        <w:jc w:val="both"/>
        <w:rPr>
          <w:rFonts w:ascii="Arial" w:hAnsi="Arial" w:cs="Arial"/>
          <w:b/>
        </w:rPr>
      </w:pPr>
    </w:p>
    <w:p w14:paraId="313C945A" w14:textId="2F1B673E" w:rsidR="00446541" w:rsidRPr="00DF7D44" w:rsidRDefault="008E38A4" w:rsidP="00446541">
      <w:pPr>
        <w:pBdr>
          <w:bottom w:val="single" w:sz="12" w:space="1" w:color="auto"/>
        </w:pBdr>
        <w:spacing w:line="360" w:lineRule="auto"/>
        <w:jc w:val="both"/>
        <w:rPr>
          <w:rFonts w:ascii="Arial" w:hAnsi="Arial" w:cs="Arial"/>
          <w:bCs/>
        </w:rPr>
      </w:pPr>
      <w:r w:rsidRPr="003A295F">
        <w:rPr>
          <w:rFonts w:ascii="Arial" w:hAnsi="Arial" w:cs="Arial"/>
          <w:b/>
        </w:rPr>
        <w:t xml:space="preserve">THE COMMISSIONER FOR THE </w:t>
      </w:r>
      <w:r w:rsidR="00A95F5B" w:rsidRPr="003A295F">
        <w:rPr>
          <w:rFonts w:ascii="Arial" w:hAnsi="Arial" w:cs="Arial"/>
          <w:b/>
        </w:rPr>
        <w:tab/>
      </w:r>
      <w:r w:rsidR="00446541" w:rsidRPr="003A295F">
        <w:rPr>
          <w:rFonts w:ascii="Arial" w:hAnsi="Arial" w:cs="Arial"/>
          <w:b/>
        </w:rPr>
        <w:tab/>
      </w:r>
      <w:r w:rsidR="00446541" w:rsidRPr="003A295F">
        <w:rPr>
          <w:rFonts w:ascii="Arial" w:hAnsi="Arial" w:cs="Arial"/>
          <w:b/>
        </w:rPr>
        <w:tab/>
      </w:r>
      <w:r w:rsidR="00446541" w:rsidRPr="003A295F">
        <w:rPr>
          <w:rFonts w:ascii="Arial" w:hAnsi="Arial" w:cs="Arial"/>
          <w:b/>
        </w:rPr>
        <w:tab/>
      </w:r>
      <w:r w:rsidR="00446541" w:rsidRPr="003A295F">
        <w:rPr>
          <w:rFonts w:ascii="Arial" w:hAnsi="Arial" w:cs="Arial"/>
          <w:b/>
        </w:rPr>
        <w:tab/>
        <w:t xml:space="preserve">      </w:t>
      </w:r>
      <w:r w:rsidR="00446541" w:rsidRPr="00DF7D44">
        <w:rPr>
          <w:rFonts w:ascii="Arial" w:hAnsi="Arial" w:cs="Arial"/>
          <w:bCs/>
        </w:rPr>
        <w:t>Respondent</w:t>
      </w:r>
    </w:p>
    <w:p w14:paraId="46EECF91" w14:textId="2E7774E9" w:rsidR="008E38A4" w:rsidRPr="003A295F" w:rsidRDefault="003A295F" w:rsidP="00446541">
      <w:pPr>
        <w:pBdr>
          <w:bottom w:val="single" w:sz="12" w:space="1" w:color="auto"/>
        </w:pBdr>
        <w:spacing w:line="360" w:lineRule="auto"/>
        <w:jc w:val="both"/>
        <w:rPr>
          <w:rFonts w:ascii="Arial" w:hAnsi="Arial" w:cs="Arial"/>
          <w:b/>
        </w:rPr>
      </w:pPr>
      <w:r w:rsidRPr="003A295F">
        <w:rPr>
          <w:rFonts w:ascii="Arial" w:hAnsi="Arial" w:cs="Arial"/>
          <w:b/>
        </w:rPr>
        <w:t>SOUTH AFRICAN REVENUE SERVICE</w:t>
      </w:r>
    </w:p>
    <w:p w14:paraId="313C945C" w14:textId="77777777" w:rsidR="00446541" w:rsidRPr="003A295F" w:rsidRDefault="00446541" w:rsidP="00446541">
      <w:pPr>
        <w:pBdr>
          <w:bottom w:val="single" w:sz="12" w:space="1" w:color="auto"/>
        </w:pBdr>
        <w:jc w:val="both"/>
        <w:rPr>
          <w:rFonts w:ascii="Arial" w:hAnsi="Arial" w:cs="Arial"/>
          <w:b/>
          <w:i/>
        </w:rPr>
      </w:pPr>
    </w:p>
    <w:p w14:paraId="313C945D" w14:textId="672ABB22" w:rsidR="00446541" w:rsidRDefault="00446541" w:rsidP="00446541">
      <w:pPr>
        <w:pBdr>
          <w:bottom w:val="single" w:sz="12" w:space="1" w:color="auto"/>
        </w:pBdr>
        <w:jc w:val="both"/>
        <w:rPr>
          <w:rFonts w:ascii="Arial" w:hAnsi="Arial" w:cs="Arial"/>
          <w:i/>
        </w:rPr>
      </w:pPr>
      <w:r w:rsidRPr="003A295F">
        <w:rPr>
          <w:rFonts w:ascii="Arial" w:hAnsi="Arial" w:cs="Arial"/>
          <w:i/>
        </w:rPr>
        <w:t xml:space="preserve">Hearing: </w:t>
      </w:r>
      <w:r w:rsidR="003A295F" w:rsidRPr="003A295F">
        <w:rPr>
          <w:rFonts w:ascii="Arial" w:hAnsi="Arial" w:cs="Arial"/>
          <w:i/>
        </w:rPr>
        <w:t>26 January 2024</w:t>
      </w:r>
    </w:p>
    <w:p w14:paraId="6B318121" w14:textId="4B427B32" w:rsidR="00CF6FDD" w:rsidRPr="003A295F" w:rsidRDefault="00CF6FDD" w:rsidP="00446541">
      <w:pPr>
        <w:pBdr>
          <w:bottom w:val="single" w:sz="12" w:space="1" w:color="auto"/>
        </w:pBdr>
        <w:jc w:val="both"/>
        <w:rPr>
          <w:rFonts w:ascii="Arial" w:hAnsi="Arial" w:cs="Arial"/>
          <w:i/>
        </w:rPr>
      </w:pPr>
      <w:r>
        <w:rPr>
          <w:rFonts w:ascii="Arial" w:hAnsi="Arial" w:cs="Arial"/>
          <w:i/>
        </w:rPr>
        <w:t>Further submissions:  22 April 2024</w:t>
      </w:r>
    </w:p>
    <w:p w14:paraId="313C945E" w14:textId="182FF4EF" w:rsidR="00446541" w:rsidRPr="003A295F" w:rsidRDefault="00446541" w:rsidP="00446541">
      <w:pPr>
        <w:pBdr>
          <w:bottom w:val="single" w:sz="12" w:space="1" w:color="auto"/>
        </w:pBdr>
        <w:jc w:val="both"/>
        <w:rPr>
          <w:rFonts w:ascii="Arial" w:hAnsi="Arial" w:cs="Arial"/>
          <w:i/>
        </w:rPr>
      </w:pPr>
    </w:p>
    <w:p w14:paraId="313C9460" w14:textId="77777777" w:rsidR="00446541" w:rsidRDefault="00446541" w:rsidP="00446541">
      <w:pPr>
        <w:pBdr>
          <w:bottom w:val="single" w:sz="12" w:space="1" w:color="auto"/>
        </w:pBdr>
        <w:spacing w:line="360" w:lineRule="auto"/>
        <w:jc w:val="both"/>
        <w:rPr>
          <w:rFonts w:ascii="Arial" w:hAnsi="Arial" w:cs="Arial"/>
          <w:b/>
        </w:rPr>
      </w:pPr>
    </w:p>
    <w:p w14:paraId="313C9461" w14:textId="77777777" w:rsidR="00446541" w:rsidRDefault="00446541" w:rsidP="00446541">
      <w:pPr>
        <w:spacing w:line="360" w:lineRule="auto"/>
      </w:pPr>
    </w:p>
    <w:p w14:paraId="313C9462" w14:textId="3FC4A09C" w:rsidR="00446541" w:rsidRDefault="00446541" w:rsidP="00446541">
      <w:pPr>
        <w:pBdr>
          <w:bottom w:val="single" w:sz="12" w:space="1" w:color="auto"/>
        </w:pBdr>
        <w:spacing w:line="360" w:lineRule="auto"/>
        <w:jc w:val="center"/>
        <w:rPr>
          <w:rFonts w:ascii="Arial" w:hAnsi="Arial" w:cs="Arial"/>
          <w:b/>
        </w:rPr>
      </w:pPr>
      <w:r>
        <w:rPr>
          <w:rFonts w:ascii="Arial" w:hAnsi="Arial" w:cs="Arial"/>
          <w:b/>
        </w:rPr>
        <w:t>JUDGMENT</w:t>
      </w:r>
      <w:r w:rsidR="0041196A">
        <w:rPr>
          <w:rFonts w:ascii="Arial" w:hAnsi="Arial" w:cs="Arial"/>
          <w:b/>
        </w:rPr>
        <w:t xml:space="preserve"> DELIVERED (VIA EMAIL) ON 26 APRIL 2024</w:t>
      </w:r>
    </w:p>
    <w:p w14:paraId="313C9463" w14:textId="77777777" w:rsidR="00446541" w:rsidRDefault="00446541" w:rsidP="00446541">
      <w:pPr>
        <w:pBdr>
          <w:bottom w:val="single" w:sz="12" w:space="1" w:color="auto"/>
        </w:pBdr>
        <w:spacing w:line="360" w:lineRule="auto"/>
        <w:jc w:val="center"/>
        <w:rPr>
          <w:rFonts w:ascii="Arial" w:hAnsi="Arial" w:cs="Arial"/>
          <w:b/>
        </w:rPr>
      </w:pPr>
    </w:p>
    <w:p w14:paraId="67D030F7" w14:textId="77777777" w:rsidR="00CB56E7" w:rsidRDefault="00CB56E7" w:rsidP="00446541">
      <w:pPr>
        <w:spacing w:line="480" w:lineRule="auto"/>
        <w:jc w:val="both"/>
        <w:rPr>
          <w:rFonts w:ascii="Arial" w:hAnsi="Arial" w:cs="Arial"/>
          <w:b/>
          <w:i/>
        </w:rPr>
      </w:pPr>
    </w:p>
    <w:p w14:paraId="313C9465" w14:textId="2020BA0C" w:rsidR="00446541" w:rsidRPr="00036727" w:rsidRDefault="00E77F09" w:rsidP="00446541">
      <w:pPr>
        <w:spacing w:line="480" w:lineRule="auto"/>
        <w:jc w:val="both"/>
        <w:rPr>
          <w:rFonts w:ascii="Arial" w:hAnsi="Arial" w:cs="Arial"/>
          <w:b/>
          <w:iCs/>
        </w:rPr>
      </w:pPr>
      <w:r w:rsidRPr="00036727">
        <w:rPr>
          <w:rFonts w:ascii="Arial" w:hAnsi="Arial" w:cs="Arial"/>
          <w:b/>
          <w:iCs/>
        </w:rPr>
        <w:t>HENNEY</w:t>
      </w:r>
      <w:r w:rsidR="00036727">
        <w:rPr>
          <w:rFonts w:ascii="Arial" w:hAnsi="Arial" w:cs="Arial"/>
          <w:b/>
          <w:iCs/>
        </w:rPr>
        <w:t xml:space="preserve"> et SHER</w:t>
      </w:r>
      <w:r w:rsidR="00446541" w:rsidRPr="00036727">
        <w:rPr>
          <w:rFonts w:ascii="Arial" w:hAnsi="Arial" w:cs="Arial"/>
          <w:b/>
          <w:iCs/>
        </w:rPr>
        <w:t xml:space="preserve"> J</w:t>
      </w:r>
      <w:r w:rsidR="0047185D">
        <w:rPr>
          <w:rFonts w:ascii="Arial" w:hAnsi="Arial" w:cs="Arial"/>
          <w:b/>
          <w:iCs/>
        </w:rPr>
        <w:t>J</w:t>
      </w:r>
      <w:r w:rsidR="00036727">
        <w:rPr>
          <w:rFonts w:ascii="Arial" w:hAnsi="Arial" w:cs="Arial"/>
          <w:b/>
          <w:iCs/>
        </w:rPr>
        <w:t xml:space="preserve"> (NUKU J concurring):</w:t>
      </w:r>
    </w:p>
    <w:p w14:paraId="621C160F" w14:textId="77777777" w:rsidR="00197953" w:rsidRDefault="00197953" w:rsidP="00197953">
      <w:pPr>
        <w:jc w:val="both"/>
        <w:rPr>
          <w:rFonts w:ascii="Arial" w:hAnsi="Arial" w:cs="Arial"/>
          <w:lang w:val="en-US"/>
        </w:rPr>
      </w:pPr>
      <w:r w:rsidRPr="003A295F">
        <w:rPr>
          <w:rFonts w:ascii="Arial" w:hAnsi="Arial" w:cs="Arial"/>
          <w:u w:val="single"/>
          <w:lang w:val="en-US"/>
        </w:rPr>
        <w:t>Introduction and Background</w:t>
      </w:r>
      <w:r>
        <w:rPr>
          <w:rFonts w:ascii="Arial" w:hAnsi="Arial" w:cs="Arial"/>
          <w:lang w:val="en-US"/>
        </w:rPr>
        <w:t>:</w:t>
      </w:r>
    </w:p>
    <w:p w14:paraId="425F3B75" w14:textId="77777777" w:rsidR="00CB56E7" w:rsidRDefault="00CB56E7" w:rsidP="00197953">
      <w:pPr>
        <w:spacing w:line="480" w:lineRule="auto"/>
        <w:jc w:val="both"/>
        <w:rPr>
          <w:rFonts w:ascii="Arial" w:hAnsi="Arial" w:cs="Arial"/>
          <w:lang w:val="en-US"/>
        </w:rPr>
      </w:pPr>
    </w:p>
    <w:p w14:paraId="33A60A6A" w14:textId="62DF1B13" w:rsidR="00B056B5" w:rsidRDefault="00B05C5E" w:rsidP="00197953">
      <w:pPr>
        <w:spacing w:line="480" w:lineRule="auto"/>
        <w:jc w:val="both"/>
        <w:rPr>
          <w:rFonts w:ascii="Arial" w:hAnsi="Arial" w:cs="Arial"/>
          <w:lang w:val="en-US"/>
        </w:rPr>
      </w:pPr>
      <w:r>
        <w:rPr>
          <w:rFonts w:ascii="Arial" w:hAnsi="Arial" w:cs="Arial"/>
          <w:lang w:val="en-US"/>
        </w:rPr>
        <w:lastRenderedPageBreak/>
        <w:t>[1]</w:t>
      </w:r>
      <w:r w:rsidR="00601B72">
        <w:rPr>
          <w:rFonts w:ascii="Arial" w:hAnsi="Arial" w:cs="Arial"/>
          <w:lang w:val="en-US"/>
        </w:rPr>
        <w:tab/>
        <w:t xml:space="preserve">This is an appeal </w:t>
      </w:r>
      <w:r w:rsidR="003B34C8">
        <w:rPr>
          <w:rFonts w:ascii="Arial" w:hAnsi="Arial" w:cs="Arial"/>
          <w:lang w:val="en-US"/>
        </w:rPr>
        <w:t>against</w:t>
      </w:r>
      <w:r w:rsidR="00601B72">
        <w:rPr>
          <w:rFonts w:ascii="Arial" w:hAnsi="Arial" w:cs="Arial"/>
          <w:lang w:val="en-US"/>
        </w:rPr>
        <w:t xml:space="preserve"> a decision of the tax court</w:t>
      </w:r>
      <w:r w:rsidR="00D20E9D">
        <w:rPr>
          <w:rFonts w:ascii="Arial" w:hAnsi="Arial" w:cs="Arial"/>
          <w:lang w:val="en-US"/>
        </w:rPr>
        <w:t xml:space="preserve">, </w:t>
      </w:r>
      <w:r w:rsidR="00B056B5">
        <w:rPr>
          <w:rFonts w:ascii="Arial" w:hAnsi="Arial" w:cs="Arial"/>
          <w:lang w:val="en-US"/>
        </w:rPr>
        <w:t xml:space="preserve">in an interlocutory </w:t>
      </w:r>
      <w:r w:rsidR="00874B68">
        <w:rPr>
          <w:rFonts w:ascii="Arial" w:hAnsi="Arial" w:cs="Arial"/>
          <w:lang w:val="en-US"/>
        </w:rPr>
        <w:t>a</w:t>
      </w:r>
      <w:r w:rsidR="00B056B5">
        <w:rPr>
          <w:rFonts w:ascii="Arial" w:hAnsi="Arial" w:cs="Arial"/>
          <w:lang w:val="en-US"/>
        </w:rPr>
        <w:t xml:space="preserve">pplication in </w:t>
      </w:r>
      <w:r w:rsidR="00874B68">
        <w:rPr>
          <w:rFonts w:ascii="Arial" w:hAnsi="Arial" w:cs="Arial"/>
          <w:lang w:val="en-US"/>
        </w:rPr>
        <w:t xml:space="preserve">a </w:t>
      </w:r>
      <w:r w:rsidR="00D20E9D">
        <w:rPr>
          <w:rFonts w:ascii="Arial" w:hAnsi="Arial" w:cs="Arial"/>
          <w:lang w:val="en-US"/>
        </w:rPr>
        <w:t xml:space="preserve">pending </w:t>
      </w:r>
      <w:r w:rsidR="00874B68">
        <w:rPr>
          <w:rFonts w:ascii="Arial" w:hAnsi="Arial" w:cs="Arial"/>
          <w:lang w:val="en-US"/>
        </w:rPr>
        <w:t>tax appeal</w:t>
      </w:r>
      <w:r w:rsidR="003B34C8">
        <w:rPr>
          <w:rFonts w:ascii="Arial" w:hAnsi="Arial" w:cs="Arial"/>
          <w:lang w:val="en-US"/>
        </w:rPr>
        <w:t xml:space="preserve">. </w:t>
      </w:r>
      <w:r w:rsidR="008474FC">
        <w:rPr>
          <w:rFonts w:ascii="Arial" w:hAnsi="Arial" w:cs="Arial"/>
          <w:lang w:val="en-US"/>
        </w:rPr>
        <w:t>T</w:t>
      </w:r>
      <w:r w:rsidR="003B34C8">
        <w:rPr>
          <w:rFonts w:ascii="Arial" w:hAnsi="Arial" w:cs="Arial"/>
          <w:lang w:val="en-US"/>
        </w:rPr>
        <w:t xml:space="preserve">he appellant sought a declarator that a ground of appeal which it had noted in </w:t>
      </w:r>
      <w:r w:rsidR="00D20E9D">
        <w:rPr>
          <w:rFonts w:ascii="Arial" w:hAnsi="Arial" w:cs="Arial"/>
          <w:lang w:val="en-US"/>
        </w:rPr>
        <w:t>the</w:t>
      </w:r>
      <w:r w:rsidR="003B34C8">
        <w:rPr>
          <w:rFonts w:ascii="Arial" w:hAnsi="Arial" w:cs="Arial"/>
          <w:lang w:val="en-US"/>
        </w:rPr>
        <w:t xml:space="preserve"> statement</w:t>
      </w:r>
      <w:r w:rsidR="008474FC">
        <w:rPr>
          <w:rFonts w:ascii="Arial" w:hAnsi="Arial" w:cs="Arial"/>
          <w:lang w:val="en-US"/>
        </w:rPr>
        <w:t xml:space="preserve"> </w:t>
      </w:r>
      <w:r w:rsidR="003B34C8">
        <w:rPr>
          <w:rFonts w:ascii="Arial" w:hAnsi="Arial" w:cs="Arial"/>
          <w:lang w:val="en-US"/>
        </w:rPr>
        <w:t>which it filed in terms of rule 32</w:t>
      </w:r>
      <w:r w:rsidR="003B34C8" w:rsidRPr="00D63745">
        <w:rPr>
          <w:rFonts w:ascii="Arial" w:hAnsi="Arial" w:cs="Arial"/>
          <w:lang w:val="en-US"/>
        </w:rPr>
        <w:t xml:space="preserve"> </w:t>
      </w:r>
      <w:r w:rsidR="003B34C8">
        <w:rPr>
          <w:rFonts w:ascii="Arial" w:hAnsi="Arial" w:cs="Arial"/>
          <w:lang w:val="en-US"/>
        </w:rPr>
        <w:t>of the Tax Court Rules</w:t>
      </w:r>
      <w:r w:rsidR="009112B8">
        <w:rPr>
          <w:rFonts w:ascii="Arial" w:hAnsi="Arial" w:cs="Arial"/>
          <w:lang w:val="en-US"/>
        </w:rPr>
        <w:t xml:space="preserve"> (‘the TCR’)</w:t>
      </w:r>
      <w:r w:rsidR="0047185D">
        <w:rPr>
          <w:rFonts w:ascii="Arial" w:hAnsi="Arial" w:cs="Arial"/>
          <w:lang w:val="en-US"/>
        </w:rPr>
        <w:t>,</w:t>
      </w:r>
      <w:r w:rsidR="00B338EC">
        <w:rPr>
          <w:rStyle w:val="FootnoteReference"/>
          <w:rFonts w:ascii="Arial" w:hAnsi="Arial" w:cs="Arial"/>
          <w:lang w:val="en-US"/>
        </w:rPr>
        <w:footnoteReference w:id="1"/>
      </w:r>
      <w:r w:rsidR="00F47C80">
        <w:rPr>
          <w:rFonts w:ascii="Arial" w:hAnsi="Arial" w:cs="Arial"/>
          <w:lang w:val="en-US"/>
        </w:rPr>
        <w:t xml:space="preserve"> </w:t>
      </w:r>
      <w:r w:rsidR="003B34C8">
        <w:rPr>
          <w:rFonts w:ascii="Arial" w:hAnsi="Arial" w:cs="Arial"/>
          <w:lang w:val="en-US"/>
        </w:rPr>
        <w:t xml:space="preserve">in which </w:t>
      </w:r>
      <w:r w:rsidR="008474FC">
        <w:rPr>
          <w:rFonts w:ascii="Arial" w:hAnsi="Arial" w:cs="Arial"/>
          <w:lang w:val="en-US"/>
        </w:rPr>
        <w:t>it</w:t>
      </w:r>
      <w:r w:rsidR="003B34C8">
        <w:rPr>
          <w:rFonts w:ascii="Arial" w:hAnsi="Arial" w:cs="Arial"/>
          <w:lang w:val="en-US"/>
        </w:rPr>
        <w:t xml:space="preserve"> had set out its grounds of appeal against the disallowance of an objection it had lodged to an income tax assessment</w:t>
      </w:r>
      <w:r w:rsidR="008474FC">
        <w:rPr>
          <w:rFonts w:ascii="Arial" w:hAnsi="Arial" w:cs="Arial"/>
          <w:lang w:val="en-US"/>
        </w:rPr>
        <w:t>,</w:t>
      </w:r>
      <w:r w:rsidR="003B34C8">
        <w:rPr>
          <w:rFonts w:ascii="Arial" w:hAnsi="Arial" w:cs="Arial"/>
          <w:lang w:val="en-US"/>
        </w:rPr>
        <w:t xml:space="preserve"> </w:t>
      </w:r>
      <w:r w:rsidR="008474FC">
        <w:rPr>
          <w:rFonts w:ascii="Arial" w:hAnsi="Arial" w:cs="Arial"/>
          <w:lang w:val="en-US"/>
        </w:rPr>
        <w:t>was permissible. Th</w:t>
      </w:r>
      <w:r w:rsidR="003B34C8">
        <w:rPr>
          <w:rFonts w:ascii="Arial" w:hAnsi="Arial" w:cs="Arial"/>
          <w:lang w:val="en-US"/>
        </w:rPr>
        <w:t xml:space="preserve">e </w:t>
      </w:r>
      <w:r w:rsidR="00B056B5">
        <w:rPr>
          <w:rFonts w:ascii="Arial" w:hAnsi="Arial" w:cs="Arial"/>
          <w:lang w:val="en-US"/>
        </w:rPr>
        <w:t xml:space="preserve">Commissioner of the SA Revenue Service (‘the respondent’) </w:t>
      </w:r>
      <w:r w:rsidR="008474FC">
        <w:rPr>
          <w:rFonts w:ascii="Arial" w:hAnsi="Arial" w:cs="Arial"/>
          <w:lang w:val="en-US"/>
        </w:rPr>
        <w:t>had contended that it was not</w:t>
      </w:r>
      <w:r w:rsidR="00B25CD3">
        <w:rPr>
          <w:rFonts w:ascii="Arial" w:hAnsi="Arial" w:cs="Arial"/>
          <w:lang w:val="en-US"/>
        </w:rPr>
        <w:t>.</w:t>
      </w:r>
      <w:r w:rsidR="008474FC">
        <w:rPr>
          <w:rFonts w:ascii="Arial" w:hAnsi="Arial" w:cs="Arial"/>
          <w:lang w:val="en-US"/>
        </w:rPr>
        <w:t xml:space="preserve"> The tax court found in favour of the respondent.</w:t>
      </w:r>
      <w:r w:rsidR="00D63745">
        <w:rPr>
          <w:rFonts w:ascii="Arial" w:hAnsi="Arial" w:cs="Arial"/>
          <w:lang w:val="en-US"/>
        </w:rPr>
        <w:t xml:space="preserve"> </w:t>
      </w:r>
    </w:p>
    <w:p w14:paraId="0E187F5A" w14:textId="64A5471D" w:rsidR="00601B72" w:rsidRDefault="00B056B5" w:rsidP="00197953">
      <w:pPr>
        <w:spacing w:line="480" w:lineRule="auto"/>
        <w:jc w:val="both"/>
        <w:rPr>
          <w:rFonts w:ascii="Arial" w:hAnsi="Arial" w:cs="Arial"/>
          <w:lang w:val="en-US"/>
        </w:rPr>
      </w:pPr>
      <w:r>
        <w:rPr>
          <w:rFonts w:ascii="Arial" w:hAnsi="Arial" w:cs="Arial"/>
          <w:lang w:val="en-US"/>
        </w:rPr>
        <w:t xml:space="preserve"> </w:t>
      </w:r>
      <w:r w:rsidR="00601B72">
        <w:rPr>
          <w:rFonts w:ascii="Arial" w:hAnsi="Arial" w:cs="Arial"/>
          <w:lang w:val="en-US"/>
        </w:rPr>
        <w:t xml:space="preserve"> </w:t>
      </w:r>
      <w:r w:rsidR="00B05C5E">
        <w:rPr>
          <w:rFonts w:ascii="Arial" w:hAnsi="Arial" w:cs="Arial"/>
          <w:lang w:val="en-US"/>
        </w:rPr>
        <w:tab/>
      </w:r>
    </w:p>
    <w:p w14:paraId="6A87394E" w14:textId="5E3AFBBC" w:rsidR="00197953" w:rsidRDefault="00601B72" w:rsidP="00197953">
      <w:pPr>
        <w:spacing w:line="480" w:lineRule="auto"/>
        <w:jc w:val="both"/>
        <w:rPr>
          <w:rFonts w:ascii="Arial" w:hAnsi="Arial" w:cs="Arial"/>
          <w:lang w:val="en-US"/>
        </w:rPr>
      </w:pPr>
      <w:r>
        <w:rPr>
          <w:rFonts w:ascii="Arial" w:hAnsi="Arial" w:cs="Arial"/>
          <w:lang w:val="en-US"/>
        </w:rPr>
        <w:t>[2]</w:t>
      </w:r>
      <w:r>
        <w:rPr>
          <w:rFonts w:ascii="Arial" w:hAnsi="Arial" w:cs="Arial"/>
          <w:lang w:val="en-US"/>
        </w:rPr>
        <w:tab/>
      </w:r>
      <w:r w:rsidR="00197953">
        <w:rPr>
          <w:rFonts w:ascii="Arial" w:hAnsi="Arial" w:cs="Arial"/>
          <w:lang w:val="en-US"/>
        </w:rPr>
        <w:t xml:space="preserve">The appellant is in an </w:t>
      </w:r>
      <w:r w:rsidR="00197953" w:rsidRPr="009D3314">
        <w:rPr>
          <w:rFonts w:ascii="Arial" w:hAnsi="Arial" w:cs="Arial"/>
          <w:i/>
          <w:iCs/>
          <w:lang w:val="en-US"/>
        </w:rPr>
        <w:t>en commandite</w:t>
      </w:r>
      <w:r w:rsidR="00197953">
        <w:rPr>
          <w:rFonts w:ascii="Arial" w:hAnsi="Arial" w:cs="Arial"/>
          <w:lang w:val="en-US"/>
        </w:rPr>
        <w:t xml:space="preserve"> partnership with an entity known as Baseline Group Limited Liability Partnership (BECP)</w:t>
      </w:r>
      <w:r w:rsidR="00197953">
        <w:rPr>
          <w:rStyle w:val="FootnoteReference"/>
          <w:rFonts w:ascii="Arial" w:hAnsi="Arial" w:cs="Arial"/>
          <w:lang w:val="en-US"/>
        </w:rPr>
        <w:footnoteReference w:id="2"/>
      </w:r>
      <w:r w:rsidR="00197953">
        <w:rPr>
          <w:rFonts w:ascii="Arial" w:hAnsi="Arial" w:cs="Arial"/>
          <w:lang w:val="en-US"/>
        </w:rPr>
        <w:t xml:space="preserve"> in terms of a partnership agreement. </w:t>
      </w:r>
      <w:r w:rsidR="00265751">
        <w:rPr>
          <w:rFonts w:ascii="Arial" w:hAnsi="Arial" w:cs="Arial"/>
          <w:lang w:val="en-US"/>
        </w:rPr>
        <w:t>I</w:t>
      </w:r>
      <w:r w:rsidR="002A4E70">
        <w:rPr>
          <w:rFonts w:ascii="Arial" w:hAnsi="Arial" w:cs="Arial"/>
          <w:lang w:val="en-US"/>
        </w:rPr>
        <w:t>n it</w:t>
      </w:r>
      <w:r w:rsidR="006F3534">
        <w:rPr>
          <w:rFonts w:ascii="Arial" w:hAnsi="Arial" w:cs="Arial"/>
          <w:lang w:val="en-US"/>
        </w:rPr>
        <w:t xml:space="preserve">s </w:t>
      </w:r>
      <w:r w:rsidR="00214B29">
        <w:rPr>
          <w:rFonts w:ascii="Arial" w:hAnsi="Arial" w:cs="Arial"/>
          <w:lang w:val="en-US"/>
        </w:rPr>
        <w:t xml:space="preserve">2018 </w:t>
      </w:r>
      <w:r w:rsidR="006F3534">
        <w:rPr>
          <w:rFonts w:ascii="Arial" w:hAnsi="Arial" w:cs="Arial"/>
          <w:lang w:val="en-US"/>
        </w:rPr>
        <w:t xml:space="preserve">annual financial statements </w:t>
      </w:r>
      <w:r w:rsidR="00265751">
        <w:rPr>
          <w:rFonts w:ascii="Arial" w:hAnsi="Arial" w:cs="Arial"/>
          <w:lang w:val="en-US"/>
        </w:rPr>
        <w:t xml:space="preserve">the appellant listed </w:t>
      </w:r>
      <w:r w:rsidR="00197953">
        <w:rPr>
          <w:rFonts w:ascii="Arial" w:hAnsi="Arial" w:cs="Arial"/>
          <w:lang w:val="en-US"/>
        </w:rPr>
        <w:t>a</w:t>
      </w:r>
      <w:r w:rsidR="000454D3">
        <w:rPr>
          <w:rFonts w:ascii="Arial" w:hAnsi="Arial" w:cs="Arial"/>
          <w:lang w:val="en-US"/>
        </w:rPr>
        <w:t xml:space="preserve"> </w:t>
      </w:r>
      <w:r w:rsidR="00197953">
        <w:rPr>
          <w:rFonts w:ascii="Arial" w:hAnsi="Arial" w:cs="Arial"/>
          <w:lang w:val="en-US"/>
        </w:rPr>
        <w:t xml:space="preserve">gross income of </w:t>
      </w:r>
      <w:r w:rsidR="005629BE">
        <w:rPr>
          <w:rFonts w:ascii="Arial" w:hAnsi="Arial" w:cs="Arial"/>
          <w:lang w:val="en-US"/>
        </w:rPr>
        <w:t>R</w:t>
      </w:r>
      <w:r w:rsidR="00B25CD3">
        <w:rPr>
          <w:rFonts w:ascii="Arial" w:hAnsi="Arial" w:cs="Arial"/>
          <w:lang w:val="en-US"/>
        </w:rPr>
        <w:t xml:space="preserve"> </w:t>
      </w:r>
      <w:r w:rsidR="005629BE">
        <w:rPr>
          <w:rFonts w:ascii="Arial" w:hAnsi="Arial" w:cs="Arial"/>
          <w:lang w:val="en-US"/>
        </w:rPr>
        <w:t>320 846 361,00</w:t>
      </w:r>
      <w:r w:rsidR="000454D3" w:rsidRPr="000454D3">
        <w:rPr>
          <w:rFonts w:ascii="Arial" w:hAnsi="Arial" w:cs="Arial"/>
          <w:lang w:val="en-US"/>
        </w:rPr>
        <w:t xml:space="preserve"> </w:t>
      </w:r>
      <w:r w:rsidR="00214B29">
        <w:rPr>
          <w:rFonts w:ascii="Arial" w:hAnsi="Arial" w:cs="Arial"/>
          <w:lang w:val="en-US"/>
        </w:rPr>
        <w:t xml:space="preserve">and </w:t>
      </w:r>
      <w:r w:rsidR="000454D3">
        <w:rPr>
          <w:rFonts w:ascii="Arial" w:hAnsi="Arial" w:cs="Arial"/>
          <w:lang w:val="en-US"/>
        </w:rPr>
        <w:t>in its</w:t>
      </w:r>
      <w:r w:rsidR="00214B29">
        <w:rPr>
          <w:rFonts w:ascii="Arial" w:hAnsi="Arial" w:cs="Arial"/>
          <w:lang w:val="en-US"/>
        </w:rPr>
        <w:t xml:space="preserve"> income tax </w:t>
      </w:r>
      <w:r w:rsidR="000454D3">
        <w:rPr>
          <w:rFonts w:ascii="Arial" w:hAnsi="Arial" w:cs="Arial"/>
          <w:lang w:val="en-US"/>
        </w:rPr>
        <w:t>return</w:t>
      </w:r>
      <w:r w:rsidR="00197953">
        <w:rPr>
          <w:rFonts w:ascii="Arial" w:hAnsi="Arial" w:cs="Arial"/>
          <w:lang w:val="en-US"/>
        </w:rPr>
        <w:t xml:space="preserve"> declared that </w:t>
      </w:r>
      <w:r w:rsidR="000454D3">
        <w:rPr>
          <w:rFonts w:ascii="Arial" w:hAnsi="Arial" w:cs="Arial"/>
          <w:lang w:val="en-US"/>
        </w:rPr>
        <w:t>th</w:t>
      </w:r>
      <w:r w:rsidR="00214B29">
        <w:rPr>
          <w:rFonts w:ascii="Arial" w:hAnsi="Arial" w:cs="Arial"/>
          <w:lang w:val="en-US"/>
        </w:rPr>
        <w:t>is</w:t>
      </w:r>
      <w:r w:rsidR="000454D3">
        <w:rPr>
          <w:rFonts w:ascii="Arial" w:hAnsi="Arial" w:cs="Arial"/>
          <w:lang w:val="en-US"/>
        </w:rPr>
        <w:t xml:space="preserve"> </w:t>
      </w:r>
      <w:r w:rsidR="00197953">
        <w:rPr>
          <w:rFonts w:ascii="Arial" w:hAnsi="Arial" w:cs="Arial"/>
          <w:lang w:val="en-US"/>
        </w:rPr>
        <w:t>gross income had been received and</w:t>
      </w:r>
      <w:r w:rsidR="00214B29">
        <w:rPr>
          <w:rFonts w:ascii="Arial" w:hAnsi="Arial" w:cs="Arial"/>
          <w:lang w:val="en-US"/>
        </w:rPr>
        <w:t>/or</w:t>
      </w:r>
      <w:r w:rsidR="00197953">
        <w:rPr>
          <w:rFonts w:ascii="Arial" w:hAnsi="Arial" w:cs="Arial"/>
          <w:lang w:val="en-US"/>
        </w:rPr>
        <w:t xml:space="preserve"> </w:t>
      </w:r>
      <w:r w:rsidR="00265751">
        <w:rPr>
          <w:rFonts w:ascii="Arial" w:hAnsi="Arial" w:cs="Arial"/>
          <w:lang w:val="en-US"/>
        </w:rPr>
        <w:t xml:space="preserve">had </w:t>
      </w:r>
      <w:r w:rsidR="00197953">
        <w:rPr>
          <w:rFonts w:ascii="Arial" w:hAnsi="Arial" w:cs="Arial"/>
          <w:lang w:val="en-US"/>
        </w:rPr>
        <w:t>accrued to it for the 2018 tax year.</w:t>
      </w:r>
      <w:r w:rsidR="001E5534">
        <w:rPr>
          <w:rFonts w:ascii="Arial" w:hAnsi="Arial" w:cs="Arial"/>
          <w:lang w:val="en-US"/>
        </w:rPr>
        <w:t xml:space="preserve"> Consequently, i</w:t>
      </w:r>
      <w:r w:rsidR="00F14725">
        <w:rPr>
          <w:rFonts w:ascii="Arial" w:hAnsi="Arial" w:cs="Arial"/>
          <w:lang w:val="en-US"/>
        </w:rPr>
        <w:t>ts</w:t>
      </w:r>
      <w:r w:rsidR="00197953">
        <w:rPr>
          <w:rFonts w:ascii="Arial" w:hAnsi="Arial" w:cs="Arial"/>
          <w:lang w:val="en-US"/>
        </w:rPr>
        <w:t xml:space="preserve"> income assessment </w:t>
      </w:r>
      <w:r w:rsidR="00214B29">
        <w:rPr>
          <w:rFonts w:ascii="Arial" w:hAnsi="Arial" w:cs="Arial"/>
          <w:lang w:val="en-US"/>
        </w:rPr>
        <w:t xml:space="preserve">by </w:t>
      </w:r>
      <w:r w:rsidR="001E5534">
        <w:rPr>
          <w:rFonts w:ascii="Arial" w:hAnsi="Arial" w:cs="Arial"/>
          <w:lang w:val="en-US"/>
        </w:rPr>
        <w:t>the respondent</w:t>
      </w:r>
      <w:r w:rsidR="00214B29">
        <w:rPr>
          <w:rFonts w:ascii="Arial" w:hAnsi="Arial" w:cs="Arial"/>
          <w:lang w:val="en-US"/>
        </w:rPr>
        <w:t xml:space="preserve"> </w:t>
      </w:r>
      <w:r w:rsidR="00197953">
        <w:rPr>
          <w:rFonts w:ascii="Arial" w:hAnsi="Arial" w:cs="Arial"/>
          <w:lang w:val="en-US"/>
        </w:rPr>
        <w:t xml:space="preserve">for the 2018 tax year also </w:t>
      </w:r>
      <w:r w:rsidR="00F14725">
        <w:rPr>
          <w:rFonts w:ascii="Arial" w:hAnsi="Arial" w:cs="Arial"/>
          <w:lang w:val="en-US"/>
        </w:rPr>
        <w:t>reflect</w:t>
      </w:r>
      <w:r w:rsidR="00265751">
        <w:rPr>
          <w:rFonts w:ascii="Arial" w:hAnsi="Arial" w:cs="Arial"/>
          <w:lang w:val="en-US"/>
        </w:rPr>
        <w:t>ed</w:t>
      </w:r>
      <w:r w:rsidR="00197953">
        <w:rPr>
          <w:rFonts w:ascii="Arial" w:hAnsi="Arial" w:cs="Arial"/>
          <w:lang w:val="en-US"/>
        </w:rPr>
        <w:t xml:space="preserve"> gross income in th</w:t>
      </w:r>
      <w:r w:rsidR="00D20E9D">
        <w:rPr>
          <w:rFonts w:ascii="Arial" w:hAnsi="Arial" w:cs="Arial"/>
          <w:lang w:val="en-US"/>
        </w:rPr>
        <w:t>is</w:t>
      </w:r>
      <w:r w:rsidR="00197953">
        <w:rPr>
          <w:rFonts w:ascii="Arial" w:hAnsi="Arial" w:cs="Arial"/>
          <w:lang w:val="en-US"/>
        </w:rPr>
        <w:t xml:space="preserve"> amount. Th</w:t>
      </w:r>
      <w:r w:rsidR="00D20E9D">
        <w:rPr>
          <w:rFonts w:ascii="Arial" w:hAnsi="Arial" w:cs="Arial"/>
          <w:lang w:val="en-US"/>
        </w:rPr>
        <w:t>e</w:t>
      </w:r>
      <w:r w:rsidR="00197953">
        <w:rPr>
          <w:rFonts w:ascii="Arial" w:hAnsi="Arial" w:cs="Arial"/>
          <w:lang w:val="en-US"/>
        </w:rPr>
        <w:t xml:space="preserve"> amount </w:t>
      </w:r>
      <w:r w:rsidR="00214B29">
        <w:rPr>
          <w:rFonts w:ascii="Arial" w:hAnsi="Arial" w:cs="Arial"/>
          <w:lang w:val="en-US"/>
        </w:rPr>
        <w:t>was</w:t>
      </w:r>
      <w:r w:rsidR="00197953">
        <w:rPr>
          <w:rFonts w:ascii="Arial" w:hAnsi="Arial" w:cs="Arial"/>
          <w:lang w:val="en-US"/>
        </w:rPr>
        <w:t xml:space="preserve"> </w:t>
      </w:r>
      <w:r w:rsidR="00214B29">
        <w:rPr>
          <w:rFonts w:ascii="Arial" w:hAnsi="Arial" w:cs="Arial"/>
          <w:lang w:val="en-US"/>
        </w:rPr>
        <w:t xml:space="preserve">also </w:t>
      </w:r>
      <w:r w:rsidR="00197953">
        <w:rPr>
          <w:rFonts w:ascii="Arial" w:hAnsi="Arial" w:cs="Arial"/>
          <w:lang w:val="en-US"/>
        </w:rPr>
        <w:t xml:space="preserve">consistently reflected in </w:t>
      </w:r>
      <w:r w:rsidR="00214B29">
        <w:rPr>
          <w:rFonts w:ascii="Arial" w:hAnsi="Arial" w:cs="Arial"/>
          <w:lang w:val="en-US"/>
        </w:rPr>
        <w:t xml:space="preserve">subsequent </w:t>
      </w:r>
      <w:r w:rsidR="00197953">
        <w:rPr>
          <w:rFonts w:ascii="Arial" w:hAnsi="Arial" w:cs="Arial"/>
          <w:lang w:val="en-US"/>
        </w:rPr>
        <w:t xml:space="preserve">assessments after the partial allowance of </w:t>
      </w:r>
      <w:r w:rsidR="005561F4">
        <w:rPr>
          <w:rFonts w:ascii="Arial" w:hAnsi="Arial" w:cs="Arial"/>
          <w:lang w:val="en-US"/>
        </w:rPr>
        <w:t>the</w:t>
      </w:r>
      <w:r w:rsidR="00197953">
        <w:rPr>
          <w:rFonts w:ascii="Arial" w:hAnsi="Arial" w:cs="Arial"/>
          <w:lang w:val="en-US"/>
        </w:rPr>
        <w:t xml:space="preserve"> objection</w:t>
      </w:r>
      <w:r w:rsidR="00214B29">
        <w:rPr>
          <w:rFonts w:ascii="Arial" w:hAnsi="Arial" w:cs="Arial"/>
          <w:lang w:val="en-US"/>
        </w:rPr>
        <w:t xml:space="preserve"> which the appellant lodged</w:t>
      </w:r>
      <w:r w:rsidR="00197953">
        <w:rPr>
          <w:rFonts w:ascii="Arial" w:hAnsi="Arial" w:cs="Arial"/>
          <w:lang w:val="en-US"/>
        </w:rPr>
        <w:t>.</w:t>
      </w:r>
    </w:p>
    <w:p w14:paraId="7F671B3D" w14:textId="77777777" w:rsidR="00F14725" w:rsidRDefault="00F14725" w:rsidP="00197953">
      <w:pPr>
        <w:spacing w:line="480" w:lineRule="auto"/>
        <w:jc w:val="both"/>
        <w:rPr>
          <w:rFonts w:ascii="Arial" w:hAnsi="Arial" w:cs="Arial"/>
          <w:lang w:val="en-US"/>
        </w:rPr>
      </w:pPr>
    </w:p>
    <w:p w14:paraId="60AE48D7" w14:textId="417E745A" w:rsidR="00197953" w:rsidRDefault="00F14725" w:rsidP="00197953">
      <w:pPr>
        <w:spacing w:line="480" w:lineRule="auto"/>
        <w:jc w:val="both"/>
        <w:rPr>
          <w:rFonts w:ascii="Arial" w:hAnsi="Arial" w:cs="Arial"/>
          <w:lang w:val="en-US"/>
        </w:rPr>
      </w:pPr>
      <w:r>
        <w:rPr>
          <w:rFonts w:ascii="Arial" w:hAnsi="Arial" w:cs="Arial"/>
          <w:lang w:val="en-US"/>
        </w:rPr>
        <w:t>[</w:t>
      </w:r>
      <w:r w:rsidR="00601B72">
        <w:rPr>
          <w:rFonts w:ascii="Arial" w:hAnsi="Arial" w:cs="Arial"/>
          <w:lang w:val="en-US"/>
        </w:rPr>
        <w:t>3</w:t>
      </w:r>
      <w:r>
        <w:rPr>
          <w:rFonts w:ascii="Arial" w:hAnsi="Arial" w:cs="Arial"/>
          <w:lang w:val="en-US"/>
        </w:rPr>
        <w:t>]</w:t>
      </w:r>
      <w:r>
        <w:rPr>
          <w:rFonts w:ascii="Arial" w:hAnsi="Arial" w:cs="Arial"/>
          <w:lang w:val="en-US"/>
        </w:rPr>
        <w:tab/>
      </w:r>
      <w:r w:rsidR="00D20E9D">
        <w:rPr>
          <w:rFonts w:ascii="Arial" w:hAnsi="Arial" w:cs="Arial"/>
          <w:lang w:val="en-US"/>
        </w:rPr>
        <w:t>In its return t</w:t>
      </w:r>
      <w:r w:rsidR="00197953">
        <w:rPr>
          <w:rFonts w:ascii="Arial" w:hAnsi="Arial" w:cs="Arial"/>
          <w:lang w:val="en-US"/>
        </w:rPr>
        <w:t xml:space="preserve">he appellant claimed </w:t>
      </w:r>
      <w:r w:rsidR="00D20E9D">
        <w:rPr>
          <w:rFonts w:ascii="Arial" w:hAnsi="Arial" w:cs="Arial"/>
          <w:lang w:val="en-US"/>
        </w:rPr>
        <w:t>a</w:t>
      </w:r>
      <w:r w:rsidR="005561F4">
        <w:rPr>
          <w:rFonts w:ascii="Arial" w:hAnsi="Arial" w:cs="Arial"/>
          <w:lang w:val="en-US"/>
        </w:rPr>
        <w:t xml:space="preserve"> total</w:t>
      </w:r>
      <w:r w:rsidR="00197953">
        <w:rPr>
          <w:rFonts w:ascii="Arial" w:hAnsi="Arial" w:cs="Arial"/>
          <w:lang w:val="en-US"/>
        </w:rPr>
        <w:t xml:space="preserve"> of R</w:t>
      </w:r>
      <w:r w:rsidR="00166088">
        <w:rPr>
          <w:rFonts w:ascii="Arial" w:hAnsi="Arial" w:cs="Arial"/>
          <w:lang w:val="en-US"/>
        </w:rPr>
        <w:t xml:space="preserve"> </w:t>
      </w:r>
      <w:r w:rsidR="00197953">
        <w:rPr>
          <w:rFonts w:ascii="Arial" w:hAnsi="Arial" w:cs="Arial"/>
          <w:lang w:val="en-US"/>
        </w:rPr>
        <w:t xml:space="preserve">73 215 161,00 </w:t>
      </w:r>
      <w:r w:rsidR="005561F4">
        <w:rPr>
          <w:rFonts w:ascii="Arial" w:hAnsi="Arial" w:cs="Arial"/>
          <w:lang w:val="en-US"/>
        </w:rPr>
        <w:t>in lieu of</w:t>
      </w:r>
      <w:r w:rsidR="00214B29">
        <w:rPr>
          <w:rFonts w:ascii="Arial" w:hAnsi="Arial" w:cs="Arial"/>
          <w:lang w:val="en-US"/>
        </w:rPr>
        <w:t xml:space="preserve"> deductible </w:t>
      </w:r>
      <w:r w:rsidR="00197953">
        <w:rPr>
          <w:rFonts w:ascii="Arial" w:hAnsi="Arial" w:cs="Arial"/>
          <w:lang w:val="en-US"/>
        </w:rPr>
        <w:t>expense</w:t>
      </w:r>
      <w:r w:rsidR="005561F4">
        <w:rPr>
          <w:rFonts w:ascii="Arial" w:hAnsi="Arial" w:cs="Arial"/>
          <w:lang w:val="en-US"/>
        </w:rPr>
        <w:t>s</w:t>
      </w:r>
      <w:r w:rsidR="00214B29">
        <w:rPr>
          <w:rFonts w:ascii="Arial" w:hAnsi="Arial" w:cs="Arial"/>
          <w:lang w:val="en-US"/>
        </w:rPr>
        <w:t xml:space="preserve"> for</w:t>
      </w:r>
      <w:r w:rsidR="00197953">
        <w:rPr>
          <w:rFonts w:ascii="Arial" w:hAnsi="Arial" w:cs="Arial"/>
          <w:lang w:val="en-US"/>
        </w:rPr>
        <w:t xml:space="preserve"> the 2018 tax year. Th</w:t>
      </w:r>
      <w:r w:rsidR="00214B29">
        <w:rPr>
          <w:rFonts w:ascii="Arial" w:hAnsi="Arial" w:cs="Arial"/>
          <w:lang w:val="en-US"/>
        </w:rPr>
        <w:t>e</w:t>
      </w:r>
      <w:r w:rsidR="00197953">
        <w:rPr>
          <w:rFonts w:ascii="Arial" w:hAnsi="Arial" w:cs="Arial"/>
          <w:lang w:val="en-US"/>
        </w:rPr>
        <w:t xml:space="preserve"> deduction</w:t>
      </w:r>
      <w:r w:rsidR="005561F4">
        <w:rPr>
          <w:rFonts w:ascii="Arial" w:hAnsi="Arial" w:cs="Arial"/>
          <w:lang w:val="en-US"/>
        </w:rPr>
        <w:t>s</w:t>
      </w:r>
      <w:r w:rsidR="00197953">
        <w:rPr>
          <w:rFonts w:ascii="Arial" w:hAnsi="Arial" w:cs="Arial"/>
          <w:lang w:val="en-US"/>
        </w:rPr>
        <w:t xml:space="preserve"> include</w:t>
      </w:r>
      <w:r w:rsidR="00214B29">
        <w:rPr>
          <w:rFonts w:ascii="Arial" w:hAnsi="Arial" w:cs="Arial"/>
          <w:lang w:val="en-US"/>
        </w:rPr>
        <w:t>d</w:t>
      </w:r>
      <w:r w:rsidR="00197953">
        <w:rPr>
          <w:rFonts w:ascii="Arial" w:hAnsi="Arial" w:cs="Arial"/>
          <w:lang w:val="en-US"/>
        </w:rPr>
        <w:t xml:space="preserve"> </w:t>
      </w:r>
      <w:r w:rsidR="005561F4">
        <w:rPr>
          <w:rFonts w:ascii="Arial" w:hAnsi="Arial" w:cs="Arial"/>
          <w:lang w:val="en-US"/>
        </w:rPr>
        <w:t>one in the</w:t>
      </w:r>
      <w:r w:rsidR="00197953">
        <w:rPr>
          <w:rFonts w:ascii="Arial" w:hAnsi="Arial" w:cs="Arial"/>
          <w:lang w:val="en-US"/>
        </w:rPr>
        <w:t xml:space="preserve"> amount of </w:t>
      </w:r>
      <w:r w:rsidR="00C80D52">
        <w:rPr>
          <w:rFonts w:ascii="Arial" w:hAnsi="Arial" w:cs="Arial"/>
          <w:lang w:val="en-US"/>
        </w:rPr>
        <w:t xml:space="preserve">               </w:t>
      </w:r>
      <w:r w:rsidR="00197953">
        <w:rPr>
          <w:rFonts w:ascii="Arial" w:hAnsi="Arial" w:cs="Arial"/>
          <w:lang w:val="en-US"/>
        </w:rPr>
        <w:t>R</w:t>
      </w:r>
      <w:r w:rsidR="00166088">
        <w:rPr>
          <w:rFonts w:ascii="Arial" w:hAnsi="Arial" w:cs="Arial"/>
          <w:lang w:val="en-US"/>
        </w:rPr>
        <w:t xml:space="preserve"> </w:t>
      </w:r>
      <w:r w:rsidR="00197953">
        <w:rPr>
          <w:rFonts w:ascii="Arial" w:hAnsi="Arial" w:cs="Arial"/>
          <w:lang w:val="en-US"/>
        </w:rPr>
        <w:t>11 072</w:t>
      </w:r>
      <w:r>
        <w:rPr>
          <w:rFonts w:ascii="Arial" w:hAnsi="Arial" w:cs="Arial"/>
          <w:lang w:val="en-US"/>
        </w:rPr>
        <w:t> </w:t>
      </w:r>
      <w:r w:rsidR="00197953">
        <w:rPr>
          <w:rFonts w:ascii="Arial" w:hAnsi="Arial" w:cs="Arial"/>
          <w:lang w:val="en-US"/>
        </w:rPr>
        <w:t>237</w:t>
      </w:r>
      <w:r w:rsidR="008F4ECD">
        <w:rPr>
          <w:rFonts w:ascii="Arial" w:hAnsi="Arial" w:cs="Arial"/>
          <w:lang w:val="en-US"/>
        </w:rPr>
        <w:t>,00</w:t>
      </w:r>
      <w:r>
        <w:rPr>
          <w:rFonts w:ascii="Arial" w:hAnsi="Arial" w:cs="Arial"/>
          <w:lang w:val="en-US"/>
        </w:rPr>
        <w:t xml:space="preserve"> </w:t>
      </w:r>
      <w:r w:rsidR="00197953">
        <w:rPr>
          <w:rFonts w:ascii="Arial" w:hAnsi="Arial" w:cs="Arial"/>
          <w:lang w:val="en-US"/>
        </w:rPr>
        <w:t>(‘the disputed amount</w:t>
      </w:r>
      <w:r w:rsidR="006F3534">
        <w:rPr>
          <w:rFonts w:ascii="Arial" w:hAnsi="Arial" w:cs="Arial"/>
          <w:lang w:val="en-US"/>
        </w:rPr>
        <w:t>’</w:t>
      </w:r>
      <w:r w:rsidR="00197953">
        <w:rPr>
          <w:rFonts w:ascii="Arial" w:hAnsi="Arial" w:cs="Arial"/>
          <w:lang w:val="en-US"/>
        </w:rPr>
        <w:t>)</w:t>
      </w:r>
      <w:r w:rsidR="005561F4">
        <w:rPr>
          <w:rFonts w:ascii="Arial" w:hAnsi="Arial" w:cs="Arial"/>
          <w:lang w:val="en-US"/>
        </w:rPr>
        <w:t>,</w:t>
      </w:r>
      <w:r w:rsidR="00197953">
        <w:rPr>
          <w:rFonts w:ascii="Arial" w:hAnsi="Arial" w:cs="Arial"/>
          <w:lang w:val="en-US"/>
        </w:rPr>
        <w:t xml:space="preserve"> which relate</w:t>
      </w:r>
      <w:r w:rsidR="00214B29">
        <w:rPr>
          <w:rFonts w:ascii="Arial" w:hAnsi="Arial" w:cs="Arial"/>
          <w:lang w:val="en-US"/>
        </w:rPr>
        <w:t>d</w:t>
      </w:r>
      <w:r w:rsidR="00197953">
        <w:rPr>
          <w:rFonts w:ascii="Arial" w:hAnsi="Arial" w:cs="Arial"/>
          <w:lang w:val="en-US"/>
        </w:rPr>
        <w:t xml:space="preserve"> to </w:t>
      </w:r>
      <w:r w:rsidR="00D20E9D">
        <w:rPr>
          <w:rFonts w:ascii="Arial" w:hAnsi="Arial" w:cs="Arial"/>
          <w:lang w:val="en-US"/>
        </w:rPr>
        <w:t>a</w:t>
      </w:r>
      <w:r w:rsidR="00197953">
        <w:rPr>
          <w:rFonts w:ascii="Arial" w:hAnsi="Arial" w:cs="Arial"/>
          <w:lang w:val="en-US"/>
        </w:rPr>
        <w:t xml:space="preserve"> distribution of profits</w:t>
      </w:r>
      <w:r w:rsidR="00214B29">
        <w:rPr>
          <w:rFonts w:ascii="Arial" w:hAnsi="Arial" w:cs="Arial"/>
          <w:lang w:val="en-US"/>
        </w:rPr>
        <w:t xml:space="preserve"> which the appellant allegedly</w:t>
      </w:r>
      <w:r w:rsidR="00197953">
        <w:rPr>
          <w:rFonts w:ascii="Arial" w:hAnsi="Arial" w:cs="Arial"/>
          <w:lang w:val="en-US"/>
        </w:rPr>
        <w:t xml:space="preserve"> paid to </w:t>
      </w:r>
      <w:r w:rsidR="001E5534">
        <w:rPr>
          <w:rFonts w:ascii="Arial" w:hAnsi="Arial" w:cs="Arial"/>
          <w:lang w:val="en-US"/>
        </w:rPr>
        <w:t>the BECP.</w:t>
      </w:r>
      <w:r w:rsidR="00197953">
        <w:rPr>
          <w:rFonts w:ascii="Arial" w:hAnsi="Arial" w:cs="Arial"/>
          <w:lang w:val="en-US"/>
        </w:rPr>
        <w:t xml:space="preserve"> </w:t>
      </w:r>
    </w:p>
    <w:p w14:paraId="075C3867" w14:textId="77777777" w:rsidR="00F14725" w:rsidRDefault="00F14725" w:rsidP="00197953">
      <w:pPr>
        <w:spacing w:line="480" w:lineRule="auto"/>
        <w:jc w:val="both"/>
        <w:rPr>
          <w:rFonts w:ascii="Arial" w:hAnsi="Arial" w:cs="Arial"/>
          <w:lang w:val="en-US"/>
        </w:rPr>
      </w:pPr>
    </w:p>
    <w:p w14:paraId="2B20C7EB" w14:textId="030AB96F" w:rsidR="006E6691" w:rsidRDefault="00F14725" w:rsidP="00197953">
      <w:pPr>
        <w:spacing w:line="480" w:lineRule="auto"/>
        <w:jc w:val="both"/>
        <w:rPr>
          <w:rFonts w:ascii="Arial" w:hAnsi="Arial" w:cs="Arial"/>
          <w:lang w:val="en-US"/>
        </w:rPr>
      </w:pPr>
      <w:r>
        <w:rPr>
          <w:rFonts w:ascii="Arial" w:hAnsi="Arial" w:cs="Arial"/>
          <w:lang w:val="en-US"/>
        </w:rPr>
        <w:lastRenderedPageBreak/>
        <w:t>[</w:t>
      </w:r>
      <w:r w:rsidR="00601B72">
        <w:rPr>
          <w:rFonts w:ascii="Arial" w:hAnsi="Arial" w:cs="Arial"/>
          <w:lang w:val="en-US"/>
        </w:rPr>
        <w:t>4</w:t>
      </w:r>
      <w:r>
        <w:rPr>
          <w:rFonts w:ascii="Arial" w:hAnsi="Arial" w:cs="Arial"/>
          <w:lang w:val="en-US"/>
        </w:rPr>
        <w:t>]</w:t>
      </w:r>
      <w:r>
        <w:rPr>
          <w:rFonts w:ascii="Arial" w:hAnsi="Arial" w:cs="Arial"/>
          <w:lang w:val="en-US"/>
        </w:rPr>
        <w:tab/>
      </w:r>
      <w:r w:rsidR="00D20E9D">
        <w:rPr>
          <w:rFonts w:ascii="Arial" w:hAnsi="Arial" w:cs="Arial"/>
          <w:lang w:val="en-US"/>
        </w:rPr>
        <w:t>T</w:t>
      </w:r>
      <w:r w:rsidR="00197953">
        <w:rPr>
          <w:rFonts w:ascii="Arial" w:hAnsi="Arial" w:cs="Arial"/>
          <w:lang w:val="en-US"/>
        </w:rPr>
        <w:t xml:space="preserve">he appellant </w:t>
      </w:r>
      <w:r w:rsidR="00910BBA">
        <w:rPr>
          <w:rFonts w:ascii="Arial" w:hAnsi="Arial" w:cs="Arial"/>
          <w:lang w:val="en-US"/>
        </w:rPr>
        <w:t>sou</w:t>
      </w:r>
      <w:r w:rsidR="00CE7B48">
        <w:rPr>
          <w:rFonts w:ascii="Arial" w:hAnsi="Arial" w:cs="Arial"/>
          <w:lang w:val="en-US"/>
        </w:rPr>
        <w:t>g</w:t>
      </w:r>
      <w:r w:rsidR="00910BBA">
        <w:rPr>
          <w:rFonts w:ascii="Arial" w:hAnsi="Arial" w:cs="Arial"/>
          <w:lang w:val="en-US"/>
        </w:rPr>
        <w:t>h</w:t>
      </w:r>
      <w:r w:rsidR="00CE7B48">
        <w:rPr>
          <w:rFonts w:ascii="Arial" w:hAnsi="Arial" w:cs="Arial"/>
          <w:lang w:val="en-US"/>
        </w:rPr>
        <w:t>t</w:t>
      </w:r>
      <w:r w:rsidR="00910BBA">
        <w:rPr>
          <w:rFonts w:ascii="Arial" w:hAnsi="Arial" w:cs="Arial"/>
          <w:lang w:val="en-US"/>
        </w:rPr>
        <w:t xml:space="preserve"> to </w:t>
      </w:r>
      <w:r w:rsidR="00197953">
        <w:rPr>
          <w:rFonts w:ascii="Arial" w:hAnsi="Arial" w:cs="Arial"/>
          <w:lang w:val="en-US"/>
        </w:rPr>
        <w:t>d</w:t>
      </w:r>
      <w:r w:rsidR="001E5534">
        <w:rPr>
          <w:rFonts w:ascii="Arial" w:hAnsi="Arial" w:cs="Arial"/>
          <w:lang w:val="en-US"/>
        </w:rPr>
        <w:t>educt</w:t>
      </w:r>
      <w:r w:rsidR="00197953">
        <w:rPr>
          <w:rFonts w:ascii="Arial" w:hAnsi="Arial" w:cs="Arial"/>
          <w:lang w:val="en-US"/>
        </w:rPr>
        <w:t xml:space="preserve"> the disputed amount from its taxable income on the basis that </w:t>
      </w:r>
      <w:r w:rsidR="00910BBA">
        <w:rPr>
          <w:rFonts w:ascii="Arial" w:hAnsi="Arial" w:cs="Arial"/>
          <w:lang w:val="en-US"/>
        </w:rPr>
        <w:t xml:space="preserve">the deduction </w:t>
      </w:r>
      <w:r w:rsidR="00CE7B48">
        <w:rPr>
          <w:rFonts w:ascii="Arial" w:hAnsi="Arial" w:cs="Arial"/>
          <w:lang w:val="en-US"/>
        </w:rPr>
        <w:t xml:space="preserve">was </w:t>
      </w:r>
      <w:r w:rsidR="00910BBA">
        <w:rPr>
          <w:rFonts w:ascii="Arial" w:hAnsi="Arial" w:cs="Arial"/>
          <w:lang w:val="en-US"/>
        </w:rPr>
        <w:t xml:space="preserve">allowed for in terms of </w:t>
      </w:r>
      <w:r w:rsidR="00197953">
        <w:rPr>
          <w:rFonts w:ascii="Arial" w:hAnsi="Arial" w:cs="Arial"/>
          <w:lang w:val="en-US"/>
        </w:rPr>
        <w:t>section 11(a) read with section 23(g) of the Income Tax Act, 58 of 1962 (</w:t>
      </w:r>
      <w:r w:rsidR="005561F4">
        <w:rPr>
          <w:rFonts w:ascii="Arial" w:hAnsi="Arial" w:cs="Arial"/>
          <w:lang w:val="en-US"/>
        </w:rPr>
        <w:t>‘</w:t>
      </w:r>
      <w:r w:rsidR="00197953">
        <w:rPr>
          <w:rFonts w:ascii="Arial" w:hAnsi="Arial" w:cs="Arial"/>
          <w:lang w:val="en-US"/>
        </w:rPr>
        <w:t xml:space="preserve">the </w:t>
      </w:r>
      <w:r w:rsidR="00166088">
        <w:rPr>
          <w:rFonts w:ascii="Arial" w:hAnsi="Arial" w:cs="Arial"/>
          <w:lang w:val="en-US"/>
        </w:rPr>
        <w:t>ITA</w:t>
      </w:r>
      <w:r w:rsidR="005561F4">
        <w:rPr>
          <w:rFonts w:ascii="Arial" w:hAnsi="Arial" w:cs="Arial"/>
          <w:lang w:val="en-US"/>
        </w:rPr>
        <w:t>’</w:t>
      </w:r>
      <w:r w:rsidR="00197953">
        <w:rPr>
          <w:rFonts w:ascii="Arial" w:hAnsi="Arial" w:cs="Arial"/>
          <w:lang w:val="en-US"/>
        </w:rPr>
        <w:t>)</w:t>
      </w:r>
      <w:r w:rsidR="001E5534">
        <w:rPr>
          <w:rFonts w:ascii="Arial" w:hAnsi="Arial" w:cs="Arial"/>
          <w:lang w:val="en-US"/>
        </w:rPr>
        <w:t>,</w:t>
      </w:r>
      <w:r w:rsidR="00197953">
        <w:rPr>
          <w:rFonts w:ascii="Arial" w:hAnsi="Arial" w:cs="Arial"/>
          <w:lang w:val="en-US"/>
        </w:rPr>
        <w:t xml:space="preserve"> in that th</w:t>
      </w:r>
      <w:r w:rsidR="001E5534">
        <w:rPr>
          <w:rFonts w:ascii="Arial" w:hAnsi="Arial" w:cs="Arial"/>
          <w:lang w:val="en-US"/>
        </w:rPr>
        <w:t>e</w:t>
      </w:r>
      <w:r w:rsidR="00197953">
        <w:rPr>
          <w:rFonts w:ascii="Arial" w:hAnsi="Arial" w:cs="Arial"/>
          <w:lang w:val="en-US"/>
        </w:rPr>
        <w:t xml:space="preserve"> </w:t>
      </w:r>
      <w:r w:rsidR="001E5534">
        <w:rPr>
          <w:rFonts w:ascii="Arial" w:hAnsi="Arial" w:cs="Arial"/>
          <w:lang w:val="en-US"/>
        </w:rPr>
        <w:t>payment</w:t>
      </w:r>
      <w:r w:rsidR="00197953">
        <w:rPr>
          <w:rFonts w:ascii="Arial" w:hAnsi="Arial" w:cs="Arial"/>
          <w:lang w:val="en-US"/>
        </w:rPr>
        <w:t xml:space="preserve"> </w:t>
      </w:r>
      <w:r w:rsidR="001E5534">
        <w:rPr>
          <w:rFonts w:ascii="Arial" w:hAnsi="Arial" w:cs="Arial"/>
          <w:lang w:val="en-US"/>
        </w:rPr>
        <w:t xml:space="preserve">of this amount </w:t>
      </w:r>
      <w:r w:rsidR="00197953">
        <w:rPr>
          <w:rFonts w:ascii="Arial" w:hAnsi="Arial" w:cs="Arial"/>
          <w:lang w:val="en-US"/>
        </w:rPr>
        <w:t xml:space="preserve">to </w:t>
      </w:r>
      <w:r w:rsidR="00DF4656">
        <w:rPr>
          <w:rFonts w:ascii="Arial" w:hAnsi="Arial" w:cs="Arial"/>
          <w:lang w:val="en-US"/>
        </w:rPr>
        <w:t xml:space="preserve">the </w:t>
      </w:r>
      <w:r w:rsidR="001E5534">
        <w:rPr>
          <w:rFonts w:ascii="Arial" w:hAnsi="Arial" w:cs="Arial"/>
          <w:lang w:val="en-US"/>
        </w:rPr>
        <w:t xml:space="preserve">BECP </w:t>
      </w:r>
      <w:r w:rsidR="00197953">
        <w:rPr>
          <w:rFonts w:ascii="Arial" w:hAnsi="Arial" w:cs="Arial"/>
          <w:lang w:val="en-US"/>
        </w:rPr>
        <w:t>was an expenditure</w:t>
      </w:r>
      <w:r w:rsidR="005561F4">
        <w:rPr>
          <w:rFonts w:ascii="Arial" w:hAnsi="Arial" w:cs="Arial"/>
          <w:lang w:val="en-US"/>
        </w:rPr>
        <w:t xml:space="preserve"> which had been</w:t>
      </w:r>
      <w:r w:rsidR="00197953">
        <w:rPr>
          <w:rFonts w:ascii="Arial" w:hAnsi="Arial" w:cs="Arial"/>
          <w:lang w:val="en-US"/>
        </w:rPr>
        <w:t xml:space="preserve"> incurred in the production of income.</w:t>
      </w:r>
      <w:r w:rsidR="005561F4" w:rsidRPr="005561F4">
        <w:rPr>
          <w:rFonts w:ascii="Arial" w:hAnsi="Arial" w:cs="Arial"/>
          <w:lang w:val="en-US"/>
        </w:rPr>
        <w:t xml:space="preserve"> </w:t>
      </w:r>
      <w:r w:rsidR="005561F4">
        <w:rPr>
          <w:rFonts w:ascii="Arial" w:hAnsi="Arial" w:cs="Arial"/>
          <w:lang w:val="en-US"/>
        </w:rPr>
        <w:t>It is trite that</w:t>
      </w:r>
      <w:bookmarkStart w:id="1" w:name="_Hlk164836867"/>
      <w:r w:rsidR="00AB3E77" w:rsidRPr="00AB3E77">
        <w:rPr>
          <w:rFonts w:ascii="Arial" w:hAnsi="Arial" w:cs="Arial"/>
          <w:lang w:val="en-US"/>
        </w:rPr>
        <w:t xml:space="preserve"> </w:t>
      </w:r>
      <w:r w:rsidR="00AB3E77">
        <w:rPr>
          <w:rFonts w:ascii="Arial" w:hAnsi="Arial" w:cs="Arial"/>
          <w:lang w:val="en-US"/>
        </w:rPr>
        <w:t>the appellant bore the onus of proving that this was a deductible expense.</w:t>
      </w:r>
      <w:r w:rsidR="005561F4">
        <w:rPr>
          <w:rStyle w:val="FootnoteReference"/>
          <w:rFonts w:ascii="Arial" w:hAnsi="Arial" w:cs="Arial"/>
          <w:lang w:val="en-US"/>
        </w:rPr>
        <w:footnoteReference w:id="3"/>
      </w:r>
      <w:r w:rsidR="005561F4">
        <w:rPr>
          <w:rFonts w:ascii="Arial" w:hAnsi="Arial" w:cs="Arial"/>
          <w:lang w:val="en-US"/>
        </w:rPr>
        <w:t xml:space="preserve"> </w:t>
      </w:r>
      <w:bookmarkEnd w:id="1"/>
    </w:p>
    <w:p w14:paraId="24F02675" w14:textId="77777777" w:rsidR="00AB3E77" w:rsidRDefault="00AB3E77" w:rsidP="00197953">
      <w:pPr>
        <w:spacing w:line="480" w:lineRule="auto"/>
        <w:jc w:val="both"/>
        <w:rPr>
          <w:rFonts w:ascii="Arial" w:hAnsi="Arial" w:cs="Arial"/>
          <w:lang w:val="en-US"/>
        </w:rPr>
      </w:pPr>
    </w:p>
    <w:p w14:paraId="327B09A3" w14:textId="06A757BB" w:rsidR="00197953" w:rsidRDefault="002D472D" w:rsidP="00197953">
      <w:pPr>
        <w:spacing w:line="480" w:lineRule="auto"/>
        <w:jc w:val="both"/>
        <w:rPr>
          <w:rFonts w:ascii="Arial" w:hAnsi="Arial" w:cs="Arial"/>
          <w:lang w:val="en-US"/>
        </w:rPr>
      </w:pPr>
      <w:r>
        <w:rPr>
          <w:rFonts w:ascii="Arial" w:hAnsi="Arial" w:cs="Arial"/>
          <w:lang w:val="en-US"/>
        </w:rPr>
        <w:t>[</w:t>
      </w:r>
      <w:r w:rsidR="00601B72">
        <w:rPr>
          <w:rFonts w:ascii="Arial" w:hAnsi="Arial" w:cs="Arial"/>
          <w:lang w:val="en-US"/>
        </w:rPr>
        <w:t>5</w:t>
      </w:r>
      <w:r>
        <w:rPr>
          <w:rFonts w:ascii="Arial" w:hAnsi="Arial" w:cs="Arial"/>
          <w:lang w:val="en-US"/>
        </w:rPr>
        <w:t>]</w:t>
      </w:r>
      <w:r>
        <w:rPr>
          <w:rFonts w:ascii="Arial" w:hAnsi="Arial" w:cs="Arial"/>
          <w:lang w:val="en-US"/>
        </w:rPr>
        <w:tab/>
      </w:r>
      <w:r w:rsidR="00197953">
        <w:rPr>
          <w:rFonts w:ascii="Arial" w:hAnsi="Arial" w:cs="Arial"/>
          <w:lang w:val="en-US"/>
        </w:rPr>
        <w:t xml:space="preserve">The </w:t>
      </w:r>
      <w:r w:rsidR="005561F4">
        <w:rPr>
          <w:rFonts w:ascii="Arial" w:hAnsi="Arial" w:cs="Arial"/>
          <w:lang w:val="en-US"/>
        </w:rPr>
        <w:t xml:space="preserve">disputed </w:t>
      </w:r>
      <w:r w:rsidR="00197953">
        <w:rPr>
          <w:rFonts w:ascii="Arial" w:hAnsi="Arial" w:cs="Arial"/>
          <w:lang w:val="en-US"/>
        </w:rPr>
        <w:t>amount was disallowed as a deduction by the respondent</w:t>
      </w:r>
      <w:r w:rsidR="009E4696">
        <w:rPr>
          <w:rFonts w:ascii="Arial" w:hAnsi="Arial" w:cs="Arial"/>
          <w:lang w:val="en-US"/>
        </w:rPr>
        <w:t xml:space="preserve"> </w:t>
      </w:r>
      <w:r w:rsidR="00197953">
        <w:rPr>
          <w:rFonts w:ascii="Arial" w:hAnsi="Arial" w:cs="Arial"/>
          <w:lang w:val="en-US"/>
        </w:rPr>
        <w:t xml:space="preserve">because it </w:t>
      </w:r>
      <w:r w:rsidR="009422D7">
        <w:rPr>
          <w:rFonts w:ascii="Arial" w:hAnsi="Arial" w:cs="Arial"/>
          <w:lang w:val="en-US"/>
        </w:rPr>
        <w:t>considered that it c</w:t>
      </w:r>
      <w:r w:rsidR="00197953">
        <w:rPr>
          <w:rFonts w:ascii="Arial" w:hAnsi="Arial" w:cs="Arial"/>
          <w:lang w:val="en-US"/>
        </w:rPr>
        <w:t xml:space="preserve">onstituted an expense </w:t>
      </w:r>
      <w:r w:rsidR="009422D7">
        <w:rPr>
          <w:rFonts w:ascii="Arial" w:hAnsi="Arial" w:cs="Arial"/>
          <w:lang w:val="en-US"/>
        </w:rPr>
        <w:t xml:space="preserve">that had been </w:t>
      </w:r>
      <w:r w:rsidR="00197953">
        <w:rPr>
          <w:rFonts w:ascii="Arial" w:hAnsi="Arial" w:cs="Arial"/>
          <w:lang w:val="en-US"/>
        </w:rPr>
        <w:t xml:space="preserve">incurred after the income </w:t>
      </w:r>
      <w:r w:rsidR="009422D7">
        <w:rPr>
          <w:rFonts w:ascii="Arial" w:hAnsi="Arial" w:cs="Arial"/>
          <w:lang w:val="en-US"/>
        </w:rPr>
        <w:t>had been</w:t>
      </w:r>
      <w:r w:rsidR="00197953">
        <w:rPr>
          <w:rFonts w:ascii="Arial" w:hAnsi="Arial" w:cs="Arial"/>
          <w:lang w:val="en-US"/>
        </w:rPr>
        <w:t xml:space="preserve"> earned</w:t>
      </w:r>
      <w:r w:rsidR="009422D7">
        <w:rPr>
          <w:rFonts w:ascii="Arial" w:hAnsi="Arial" w:cs="Arial"/>
          <w:lang w:val="en-US"/>
        </w:rPr>
        <w:t xml:space="preserve"> and not during the production thereof</w:t>
      </w:r>
      <w:r w:rsidR="00197953">
        <w:rPr>
          <w:rFonts w:ascii="Arial" w:hAnsi="Arial" w:cs="Arial"/>
          <w:lang w:val="en-US"/>
        </w:rPr>
        <w:t xml:space="preserve">. </w:t>
      </w:r>
      <w:r w:rsidR="00166088">
        <w:rPr>
          <w:rFonts w:ascii="Arial" w:hAnsi="Arial" w:cs="Arial"/>
          <w:lang w:val="en-US"/>
        </w:rPr>
        <w:t>In its view t</w:t>
      </w:r>
      <w:r w:rsidR="009422D7">
        <w:rPr>
          <w:rFonts w:ascii="Arial" w:hAnsi="Arial" w:cs="Arial"/>
          <w:lang w:val="en-US"/>
        </w:rPr>
        <w:t>he amount</w:t>
      </w:r>
      <w:r w:rsidR="00197953">
        <w:rPr>
          <w:rFonts w:ascii="Arial" w:hAnsi="Arial" w:cs="Arial"/>
          <w:lang w:val="en-US"/>
        </w:rPr>
        <w:t xml:space="preserve"> was paid </w:t>
      </w:r>
      <w:r w:rsidR="009422D7">
        <w:rPr>
          <w:rFonts w:ascii="Arial" w:hAnsi="Arial" w:cs="Arial"/>
          <w:lang w:val="en-US"/>
        </w:rPr>
        <w:t xml:space="preserve">over </w:t>
      </w:r>
      <w:r w:rsidR="00197953">
        <w:rPr>
          <w:rFonts w:ascii="Arial" w:hAnsi="Arial" w:cs="Arial"/>
          <w:lang w:val="en-US"/>
        </w:rPr>
        <w:t>on a voluntary basis</w:t>
      </w:r>
      <w:r w:rsidR="00166088">
        <w:rPr>
          <w:rFonts w:ascii="Arial" w:hAnsi="Arial" w:cs="Arial"/>
          <w:lang w:val="en-US"/>
        </w:rPr>
        <w:t>,</w:t>
      </w:r>
      <w:r w:rsidR="00197953">
        <w:rPr>
          <w:rFonts w:ascii="Arial" w:hAnsi="Arial" w:cs="Arial"/>
          <w:lang w:val="en-US"/>
        </w:rPr>
        <w:t xml:space="preserve"> and if it had not it</w:t>
      </w:r>
      <w:r w:rsidR="00166088">
        <w:rPr>
          <w:rFonts w:ascii="Arial" w:hAnsi="Arial" w:cs="Arial"/>
          <w:lang w:val="en-US"/>
        </w:rPr>
        <w:t xml:space="preserve"> been paid it</w:t>
      </w:r>
      <w:r w:rsidR="00197953">
        <w:rPr>
          <w:rFonts w:ascii="Arial" w:hAnsi="Arial" w:cs="Arial"/>
          <w:lang w:val="en-US"/>
        </w:rPr>
        <w:t xml:space="preserve"> would not have affected the production of past or future income. </w:t>
      </w:r>
    </w:p>
    <w:p w14:paraId="24BBADBE" w14:textId="77777777" w:rsidR="002D472D" w:rsidRDefault="002D472D" w:rsidP="00197953">
      <w:pPr>
        <w:spacing w:line="480" w:lineRule="auto"/>
        <w:jc w:val="both"/>
        <w:rPr>
          <w:rFonts w:ascii="Arial" w:hAnsi="Arial" w:cs="Arial"/>
          <w:lang w:val="en-US"/>
        </w:rPr>
      </w:pPr>
    </w:p>
    <w:p w14:paraId="52480174" w14:textId="3C79576A" w:rsidR="00197953" w:rsidRDefault="002D472D" w:rsidP="00197953">
      <w:pPr>
        <w:spacing w:line="480" w:lineRule="auto"/>
        <w:jc w:val="both"/>
        <w:rPr>
          <w:rFonts w:ascii="Arial" w:hAnsi="Arial" w:cs="Arial"/>
          <w:lang w:val="en-US"/>
        </w:rPr>
      </w:pPr>
      <w:r>
        <w:rPr>
          <w:rFonts w:ascii="Arial" w:hAnsi="Arial" w:cs="Arial"/>
          <w:lang w:val="en-US"/>
        </w:rPr>
        <w:t>[</w:t>
      </w:r>
      <w:r w:rsidR="00601B72">
        <w:rPr>
          <w:rFonts w:ascii="Arial" w:hAnsi="Arial" w:cs="Arial"/>
          <w:lang w:val="en-US"/>
        </w:rPr>
        <w:t>6</w:t>
      </w:r>
      <w:r>
        <w:rPr>
          <w:rFonts w:ascii="Arial" w:hAnsi="Arial" w:cs="Arial"/>
          <w:lang w:val="en-US"/>
        </w:rPr>
        <w:t>]</w:t>
      </w:r>
      <w:r>
        <w:rPr>
          <w:rFonts w:ascii="Arial" w:hAnsi="Arial" w:cs="Arial"/>
          <w:lang w:val="en-US"/>
        </w:rPr>
        <w:tab/>
      </w:r>
      <w:r w:rsidR="00197953">
        <w:rPr>
          <w:rFonts w:ascii="Arial" w:hAnsi="Arial" w:cs="Arial"/>
          <w:lang w:val="en-US"/>
        </w:rPr>
        <w:t xml:space="preserve">The appellant objected to </w:t>
      </w:r>
      <w:r w:rsidR="001F195A">
        <w:rPr>
          <w:rFonts w:ascii="Arial" w:hAnsi="Arial" w:cs="Arial"/>
          <w:lang w:val="en-US"/>
        </w:rPr>
        <w:t xml:space="preserve">the </w:t>
      </w:r>
      <w:r w:rsidR="005561F4">
        <w:rPr>
          <w:rFonts w:ascii="Arial" w:hAnsi="Arial" w:cs="Arial"/>
          <w:lang w:val="en-US"/>
        </w:rPr>
        <w:t>disallowance</w:t>
      </w:r>
      <w:r w:rsidR="002826DA">
        <w:rPr>
          <w:rFonts w:ascii="Arial" w:hAnsi="Arial" w:cs="Arial"/>
          <w:lang w:val="en-US"/>
        </w:rPr>
        <w:t>,</w:t>
      </w:r>
      <w:r w:rsidR="00197953">
        <w:rPr>
          <w:rFonts w:ascii="Arial" w:hAnsi="Arial" w:cs="Arial"/>
          <w:lang w:val="en-US"/>
        </w:rPr>
        <w:t xml:space="preserve"> which </w:t>
      </w:r>
      <w:r w:rsidR="00D20E9D">
        <w:rPr>
          <w:rFonts w:ascii="Arial" w:hAnsi="Arial" w:cs="Arial"/>
          <w:lang w:val="en-US"/>
        </w:rPr>
        <w:t>was contained in</w:t>
      </w:r>
      <w:r w:rsidR="001F195A">
        <w:rPr>
          <w:rFonts w:ascii="Arial" w:hAnsi="Arial" w:cs="Arial"/>
          <w:lang w:val="en-US"/>
        </w:rPr>
        <w:t xml:space="preserve"> </w:t>
      </w:r>
      <w:r w:rsidR="00197953">
        <w:rPr>
          <w:rFonts w:ascii="Arial" w:hAnsi="Arial" w:cs="Arial"/>
          <w:lang w:val="en-US"/>
        </w:rPr>
        <w:t>a</w:t>
      </w:r>
      <w:r w:rsidR="00166088">
        <w:rPr>
          <w:rFonts w:ascii="Arial" w:hAnsi="Arial" w:cs="Arial"/>
          <w:lang w:val="en-US"/>
        </w:rPr>
        <w:t>n</w:t>
      </w:r>
      <w:r w:rsidR="00197953">
        <w:rPr>
          <w:rFonts w:ascii="Arial" w:hAnsi="Arial" w:cs="Arial"/>
          <w:lang w:val="en-US"/>
        </w:rPr>
        <w:t xml:space="preserve"> additional assessment </w:t>
      </w:r>
      <w:r w:rsidR="00166088">
        <w:rPr>
          <w:rFonts w:ascii="Arial" w:hAnsi="Arial" w:cs="Arial"/>
          <w:lang w:val="en-US"/>
        </w:rPr>
        <w:t>on 25 March 2020</w:t>
      </w:r>
      <w:r w:rsidR="005561F4">
        <w:rPr>
          <w:rFonts w:ascii="Arial" w:hAnsi="Arial" w:cs="Arial"/>
          <w:lang w:val="en-US"/>
        </w:rPr>
        <w:t>,</w:t>
      </w:r>
      <w:r w:rsidR="00166088">
        <w:rPr>
          <w:rFonts w:ascii="Arial" w:hAnsi="Arial" w:cs="Arial"/>
          <w:lang w:val="en-US"/>
        </w:rPr>
        <w:t xml:space="preserve"> </w:t>
      </w:r>
      <w:r w:rsidR="00C80D52">
        <w:rPr>
          <w:rFonts w:ascii="Arial" w:hAnsi="Arial" w:cs="Arial"/>
          <w:lang w:val="en-US"/>
        </w:rPr>
        <w:t xml:space="preserve">and </w:t>
      </w:r>
      <w:r w:rsidR="00166088">
        <w:rPr>
          <w:rFonts w:ascii="Arial" w:hAnsi="Arial" w:cs="Arial"/>
          <w:lang w:val="en-US"/>
        </w:rPr>
        <w:t xml:space="preserve">which </w:t>
      </w:r>
      <w:r w:rsidR="00197953">
        <w:rPr>
          <w:rFonts w:ascii="Arial" w:hAnsi="Arial" w:cs="Arial"/>
          <w:lang w:val="en-US"/>
        </w:rPr>
        <w:t>follow</w:t>
      </w:r>
      <w:r w:rsidR="00166088">
        <w:rPr>
          <w:rFonts w:ascii="Arial" w:hAnsi="Arial" w:cs="Arial"/>
          <w:lang w:val="en-US"/>
        </w:rPr>
        <w:t>ed</w:t>
      </w:r>
      <w:r w:rsidR="00197953">
        <w:rPr>
          <w:rFonts w:ascii="Arial" w:hAnsi="Arial" w:cs="Arial"/>
          <w:lang w:val="en-US"/>
        </w:rPr>
        <w:t xml:space="preserve"> </w:t>
      </w:r>
      <w:r w:rsidR="001F195A">
        <w:rPr>
          <w:rFonts w:ascii="Arial" w:hAnsi="Arial" w:cs="Arial"/>
          <w:lang w:val="en-US"/>
        </w:rPr>
        <w:t xml:space="preserve">upon </w:t>
      </w:r>
      <w:r w:rsidR="00197953">
        <w:rPr>
          <w:rFonts w:ascii="Arial" w:hAnsi="Arial" w:cs="Arial"/>
          <w:lang w:val="en-US"/>
        </w:rPr>
        <w:t xml:space="preserve">a verification and audit process </w:t>
      </w:r>
      <w:r w:rsidR="009422D7">
        <w:rPr>
          <w:rFonts w:ascii="Arial" w:hAnsi="Arial" w:cs="Arial"/>
          <w:lang w:val="en-US"/>
        </w:rPr>
        <w:t>which was performed</w:t>
      </w:r>
      <w:r w:rsidR="00197953">
        <w:rPr>
          <w:rFonts w:ascii="Arial" w:hAnsi="Arial" w:cs="Arial"/>
          <w:lang w:val="en-US"/>
        </w:rPr>
        <w:t xml:space="preserve"> by the respondent. Th</w:t>
      </w:r>
      <w:r w:rsidR="009422D7">
        <w:rPr>
          <w:rFonts w:ascii="Arial" w:hAnsi="Arial" w:cs="Arial"/>
          <w:lang w:val="en-US"/>
        </w:rPr>
        <w:t>e</w:t>
      </w:r>
      <w:r w:rsidR="00197953">
        <w:rPr>
          <w:rFonts w:ascii="Arial" w:hAnsi="Arial" w:cs="Arial"/>
          <w:lang w:val="en-US"/>
        </w:rPr>
        <w:t xml:space="preserve"> objection was lodged on 23 June 2020.</w:t>
      </w:r>
      <w:r w:rsidR="00B73CB9">
        <w:rPr>
          <w:rFonts w:ascii="Arial" w:hAnsi="Arial" w:cs="Arial"/>
          <w:lang w:val="en-US"/>
        </w:rPr>
        <w:t xml:space="preserve"> </w:t>
      </w:r>
      <w:r w:rsidR="001F195A">
        <w:rPr>
          <w:rFonts w:ascii="Arial" w:hAnsi="Arial" w:cs="Arial"/>
          <w:lang w:val="en-US"/>
        </w:rPr>
        <w:t xml:space="preserve">In terms of it the appellant objected to </w:t>
      </w:r>
      <w:r w:rsidR="005561F4">
        <w:rPr>
          <w:rFonts w:ascii="Arial" w:hAnsi="Arial" w:cs="Arial"/>
          <w:lang w:val="en-US"/>
        </w:rPr>
        <w:t>several</w:t>
      </w:r>
      <w:r w:rsidR="001F195A">
        <w:rPr>
          <w:rFonts w:ascii="Arial" w:hAnsi="Arial" w:cs="Arial"/>
          <w:lang w:val="en-US"/>
        </w:rPr>
        <w:t xml:space="preserve"> aspects</w:t>
      </w:r>
      <w:r w:rsidR="005561F4">
        <w:rPr>
          <w:rFonts w:ascii="Arial" w:hAnsi="Arial" w:cs="Arial"/>
          <w:lang w:val="en-US"/>
        </w:rPr>
        <w:t xml:space="preserve"> of the additional assessment</w:t>
      </w:r>
      <w:r w:rsidR="001F195A">
        <w:rPr>
          <w:rFonts w:ascii="Arial" w:hAnsi="Arial" w:cs="Arial"/>
          <w:lang w:val="en-US"/>
        </w:rPr>
        <w:t xml:space="preserve">, aside from the respondent’s refusal to allow it to claim the deduction of </w:t>
      </w:r>
      <w:r w:rsidR="005561F4">
        <w:rPr>
          <w:rFonts w:ascii="Arial" w:hAnsi="Arial" w:cs="Arial"/>
          <w:lang w:val="en-US"/>
        </w:rPr>
        <w:t xml:space="preserve">                                </w:t>
      </w:r>
      <w:r w:rsidR="001F195A">
        <w:rPr>
          <w:rFonts w:ascii="Arial" w:hAnsi="Arial" w:cs="Arial"/>
          <w:lang w:val="en-US"/>
        </w:rPr>
        <w:t>R</w:t>
      </w:r>
      <w:r w:rsidR="00166088">
        <w:rPr>
          <w:rFonts w:ascii="Arial" w:hAnsi="Arial" w:cs="Arial"/>
          <w:lang w:val="en-US"/>
        </w:rPr>
        <w:t xml:space="preserve"> </w:t>
      </w:r>
      <w:r w:rsidR="001F195A">
        <w:rPr>
          <w:rFonts w:ascii="Arial" w:hAnsi="Arial" w:cs="Arial"/>
          <w:lang w:val="en-US"/>
        </w:rPr>
        <w:t xml:space="preserve">11 072 237,00. The appellant was partially successful in its objection. </w:t>
      </w:r>
      <w:r w:rsidR="00197953">
        <w:rPr>
          <w:rFonts w:ascii="Arial" w:hAnsi="Arial" w:cs="Arial"/>
          <w:lang w:val="en-US"/>
        </w:rPr>
        <w:t xml:space="preserve">On 28 September 2020 the respondent </w:t>
      </w:r>
      <w:r w:rsidR="001F195A">
        <w:rPr>
          <w:rFonts w:ascii="Arial" w:hAnsi="Arial" w:cs="Arial"/>
          <w:lang w:val="en-US"/>
        </w:rPr>
        <w:t>issued a revised</w:t>
      </w:r>
      <w:r w:rsidR="009E4696">
        <w:rPr>
          <w:rFonts w:ascii="Arial" w:hAnsi="Arial" w:cs="Arial"/>
          <w:lang w:val="en-US"/>
        </w:rPr>
        <w:t>, reduced</w:t>
      </w:r>
      <w:r w:rsidR="001F195A">
        <w:rPr>
          <w:rFonts w:ascii="Arial" w:hAnsi="Arial" w:cs="Arial"/>
          <w:lang w:val="en-US"/>
        </w:rPr>
        <w:t xml:space="preserve"> assessment in terms of </w:t>
      </w:r>
      <w:r w:rsidR="001F195A">
        <w:rPr>
          <w:rFonts w:ascii="Arial" w:hAnsi="Arial" w:cs="Arial"/>
          <w:lang w:val="en-US"/>
        </w:rPr>
        <w:lastRenderedPageBreak/>
        <w:t xml:space="preserve">which it </w:t>
      </w:r>
      <w:r w:rsidR="00197953">
        <w:rPr>
          <w:rFonts w:ascii="Arial" w:hAnsi="Arial" w:cs="Arial"/>
          <w:lang w:val="en-US"/>
        </w:rPr>
        <w:t xml:space="preserve">partially </w:t>
      </w:r>
      <w:r w:rsidR="00DF4656">
        <w:rPr>
          <w:rFonts w:ascii="Arial" w:hAnsi="Arial" w:cs="Arial"/>
          <w:lang w:val="en-US"/>
        </w:rPr>
        <w:t>upheld</w:t>
      </w:r>
      <w:r w:rsidR="00197953">
        <w:rPr>
          <w:rFonts w:ascii="Arial" w:hAnsi="Arial" w:cs="Arial"/>
          <w:lang w:val="en-US"/>
        </w:rPr>
        <w:t xml:space="preserve"> </w:t>
      </w:r>
      <w:r w:rsidR="00DF4656">
        <w:rPr>
          <w:rFonts w:ascii="Arial" w:hAnsi="Arial" w:cs="Arial"/>
          <w:lang w:val="en-US"/>
        </w:rPr>
        <w:t xml:space="preserve">certain </w:t>
      </w:r>
      <w:r w:rsidR="001F195A">
        <w:rPr>
          <w:rFonts w:ascii="Arial" w:hAnsi="Arial" w:cs="Arial"/>
          <w:lang w:val="en-US"/>
        </w:rPr>
        <w:t xml:space="preserve">aspects </w:t>
      </w:r>
      <w:r w:rsidR="00B25CD3">
        <w:rPr>
          <w:rFonts w:ascii="Arial" w:hAnsi="Arial" w:cs="Arial"/>
          <w:lang w:val="en-US"/>
        </w:rPr>
        <w:t xml:space="preserve">of </w:t>
      </w:r>
      <w:r w:rsidR="00197953">
        <w:rPr>
          <w:rFonts w:ascii="Arial" w:hAnsi="Arial" w:cs="Arial"/>
          <w:lang w:val="en-US"/>
        </w:rPr>
        <w:t>the objection</w:t>
      </w:r>
      <w:r w:rsidR="00B25CD3">
        <w:rPr>
          <w:rFonts w:ascii="Arial" w:hAnsi="Arial" w:cs="Arial"/>
          <w:lang w:val="en-US"/>
        </w:rPr>
        <w:t xml:space="preserve"> </w:t>
      </w:r>
      <w:r w:rsidR="00DF4656">
        <w:rPr>
          <w:rFonts w:ascii="Arial" w:hAnsi="Arial" w:cs="Arial"/>
          <w:lang w:val="en-US"/>
        </w:rPr>
        <w:t>but not</w:t>
      </w:r>
      <w:r w:rsidR="00B25CD3">
        <w:rPr>
          <w:rFonts w:ascii="Arial" w:hAnsi="Arial" w:cs="Arial"/>
          <w:lang w:val="en-US"/>
        </w:rPr>
        <w:t xml:space="preserve"> others</w:t>
      </w:r>
      <w:r w:rsidR="00197953">
        <w:rPr>
          <w:rFonts w:ascii="Arial" w:hAnsi="Arial" w:cs="Arial"/>
          <w:lang w:val="en-US"/>
        </w:rPr>
        <w:t xml:space="preserve">, </w:t>
      </w:r>
      <w:r w:rsidR="00CE7B48">
        <w:rPr>
          <w:rFonts w:ascii="Arial" w:hAnsi="Arial" w:cs="Arial"/>
          <w:lang w:val="en-US"/>
        </w:rPr>
        <w:t>but</w:t>
      </w:r>
      <w:r w:rsidR="00197953">
        <w:rPr>
          <w:rFonts w:ascii="Arial" w:hAnsi="Arial" w:cs="Arial"/>
          <w:lang w:val="en-US"/>
        </w:rPr>
        <w:t xml:space="preserve"> </w:t>
      </w:r>
      <w:r w:rsidR="001F195A">
        <w:rPr>
          <w:rFonts w:ascii="Arial" w:hAnsi="Arial" w:cs="Arial"/>
          <w:lang w:val="en-US"/>
        </w:rPr>
        <w:t xml:space="preserve">its stance </w:t>
      </w:r>
      <w:r w:rsidR="00910BBA">
        <w:rPr>
          <w:rFonts w:ascii="Arial" w:hAnsi="Arial" w:cs="Arial"/>
          <w:lang w:val="en-US"/>
        </w:rPr>
        <w:t>regarding</w:t>
      </w:r>
      <w:r w:rsidR="00197953">
        <w:rPr>
          <w:rFonts w:ascii="Arial" w:hAnsi="Arial" w:cs="Arial"/>
          <w:lang w:val="en-US"/>
        </w:rPr>
        <w:t xml:space="preserve"> the disputed amount remained unchanged. On 9 November 2020 the appellant </w:t>
      </w:r>
      <w:r w:rsidR="003C1EF3">
        <w:rPr>
          <w:rFonts w:ascii="Arial" w:hAnsi="Arial" w:cs="Arial"/>
          <w:lang w:val="en-US"/>
        </w:rPr>
        <w:t>noted</w:t>
      </w:r>
      <w:r w:rsidR="00197953">
        <w:rPr>
          <w:rFonts w:ascii="Arial" w:hAnsi="Arial" w:cs="Arial"/>
          <w:lang w:val="en-US"/>
        </w:rPr>
        <w:t xml:space="preserve"> an appeal in response to the disallowance of the objection</w:t>
      </w:r>
      <w:r w:rsidR="005561F4">
        <w:rPr>
          <w:rFonts w:ascii="Arial" w:hAnsi="Arial" w:cs="Arial"/>
          <w:lang w:val="en-US"/>
        </w:rPr>
        <w:t xml:space="preserve"> pertaining to the disputed amount</w:t>
      </w:r>
      <w:r w:rsidR="00197953">
        <w:rPr>
          <w:rFonts w:ascii="Arial" w:hAnsi="Arial" w:cs="Arial"/>
          <w:lang w:val="en-US"/>
        </w:rPr>
        <w:t xml:space="preserve">. In </w:t>
      </w:r>
      <w:r w:rsidR="001F195A">
        <w:rPr>
          <w:rFonts w:ascii="Arial" w:hAnsi="Arial" w:cs="Arial"/>
          <w:lang w:val="en-US"/>
        </w:rPr>
        <w:t xml:space="preserve">its </w:t>
      </w:r>
      <w:r w:rsidR="00197953">
        <w:rPr>
          <w:rFonts w:ascii="Arial" w:hAnsi="Arial" w:cs="Arial"/>
          <w:lang w:val="en-US"/>
        </w:rPr>
        <w:t>notice of appeal, the appellant stated the following</w:t>
      </w:r>
      <w:r w:rsidR="00997CC1">
        <w:rPr>
          <w:rFonts w:ascii="Arial" w:hAnsi="Arial" w:cs="Arial"/>
          <w:lang w:val="en-US"/>
        </w:rPr>
        <w:t xml:space="preserve">: </w:t>
      </w:r>
      <w:r w:rsidR="00197953">
        <w:rPr>
          <w:rStyle w:val="FootnoteReference"/>
          <w:rFonts w:ascii="Arial" w:hAnsi="Arial" w:cs="Arial"/>
          <w:lang w:val="en-US"/>
        </w:rPr>
        <w:footnoteReference w:id="4"/>
      </w:r>
      <w:r w:rsidR="00197953">
        <w:rPr>
          <w:rFonts w:ascii="Arial" w:hAnsi="Arial" w:cs="Arial"/>
          <w:lang w:val="en-US"/>
        </w:rPr>
        <w:t xml:space="preserve"> </w:t>
      </w:r>
    </w:p>
    <w:p w14:paraId="2F6CB262" w14:textId="5BA06EE9" w:rsidR="00197953" w:rsidRPr="00166088" w:rsidRDefault="00E40259" w:rsidP="00997CC1">
      <w:pPr>
        <w:spacing w:before="240"/>
        <w:jc w:val="both"/>
        <w:rPr>
          <w:rFonts w:ascii="Arial" w:hAnsi="Arial" w:cs="Arial"/>
          <w:i/>
          <w:iCs/>
          <w:sz w:val="20"/>
          <w:szCs w:val="20"/>
          <w:u w:val="single"/>
          <w:lang w:val="en-US"/>
        </w:rPr>
      </w:pPr>
      <w:r w:rsidRPr="00166088">
        <w:rPr>
          <w:rFonts w:ascii="Arial" w:hAnsi="Arial" w:cs="Arial"/>
          <w:i/>
          <w:iCs/>
          <w:sz w:val="20"/>
          <w:szCs w:val="20"/>
          <w:u w:val="single"/>
          <w:lang w:val="en-US"/>
        </w:rPr>
        <w:t>‘</w:t>
      </w:r>
      <w:r w:rsidR="00197953" w:rsidRPr="00166088">
        <w:rPr>
          <w:rFonts w:ascii="Arial" w:hAnsi="Arial" w:cs="Arial"/>
          <w:i/>
          <w:iCs/>
          <w:sz w:val="20"/>
          <w:szCs w:val="20"/>
          <w:u w:val="single"/>
          <w:lang w:val="en-US"/>
        </w:rPr>
        <w:t>REQUEST:</w:t>
      </w:r>
    </w:p>
    <w:p w14:paraId="78041B03" w14:textId="16C5D016" w:rsidR="00197953" w:rsidRDefault="00197953" w:rsidP="00997CC1">
      <w:pPr>
        <w:jc w:val="both"/>
        <w:rPr>
          <w:rFonts w:ascii="Arial" w:hAnsi="Arial" w:cs="Arial"/>
          <w:i/>
          <w:iCs/>
          <w:sz w:val="20"/>
          <w:szCs w:val="20"/>
          <w:lang w:val="en-US"/>
        </w:rPr>
      </w:pPr>
      <w:r w:rsidRPr="00166088">
        <w:rPr>
          <w:rFonts w:ascii="Arial" w:hAnsi="Arial" w:cs="Arial"/>
          <w:i/>
          <w:iCs/>
          <w:sz w:val="20"/>
          <w:szCs w:val="20"/>
          <w:lang w:val="en-US"/>
        </w:rPr>
        <w:t>The matters (sic) in dispute relates to complex issues where the taxpayer was and still is of the opinion that the expense claimed in respect of the profit share distribution is deductible in terms of section 11(a) of the ITA.</w:t>
      </w:r>
      <w:r w:rsidR="00E40259" w:rsidRPr="00166088">
        <w:rPr>
          <w:rFonts w:ascii="Arial" w:hAnsi="Arial" w:cs="Arial"/>
          <w:i/>
          <w:iCs/>
          <w:sz w:val="20"/>
          <w:szCs w:val="20"/>
          <w:lang w:val="en-US"/>
        </w:rPr>
        <w:t>’</w:t>
      </w:r>
    </w:p>
    <w:p w14:paraId="615E9FD5" w14:textId="77777777" w:rsidR="003C1EF3" w:rsidRPr="00166088" w:rsidRDefault="003C1EF3" w:rsidP="00197953">
      <w:pPr>
        <w:spacing w:line="480" w:lineRule="auto"/>
        <w:jc w:val="both"/>
        <w:rPr>
          <w:rFonts w:ascii="Arial" w:hAnsi="Arial" w:cs="Arial"/>
          <w:i/>
          <w:iCs/>
          <w:sz w:val="20"/>
          <w:szCs w:val="20"/>
          <w:lang w:val="en-US"/>
        </w:rPr>
      </w:pPr>
    </w:p>
    <w:p w14:paraId="03D25068" w14:textId="36B7A3FF" w:rsidR="00CD383A" w:rsidRDefault="003C1EF3" w:rsidP="00197953">
      <w:pPr>
        <w:spacing w:line="480" w:lineRule="auto"/>
        <w:jc w:val="both"/>
        <w:rPr>
          <w:rFonts w:ascii="Arial" w:hAnsi="Arial" w:cs="Arial"/>
          <w:lang w:val="en-US"/>
        </w:rPr>
      </w:pPr>
      <w:r>
        <w:rPr>
          <w:rFonts w:ascii="Arial" w:hAnsi="Arial" w:cs="Arial"/>
          <w:lang w:val="en-US"/>
        </w:rPr>
        <w:t>[7]</w:t>
      </w:r>
      <w:r>
        <w:rPr>
          <w:rFonts w:ascii="Arial" w:hAnsi="Arial" w:cs="Arial"/>
          <w:lang w:val="en-US"/>
        </w:rPr>
        <w:tab/>
      </w:r>
      <w:r w:rsidR="00166088">
        <w:rPr>
          <w:rFonts w:ascii="Arial" w:hAnsi="Arial" w:cs="Arial"/>
          <w:lang w:val="en-US"/>
        </w:rPr>
        <w:t>O</w:t>
      </w:r>
      <w:r w:rsidR="00AB5DE2">
        <w:rPr>
          <w:rFonts w:ascii="Arial" w:hAnsi="Arial" w:cs="Arial"/>
          <w:lang w:val="en-US"/>
        </w:rPr>
        <w:t>n 31 August 202</w:t>
      </w:r>
      <w:r w:rsidR="00166088">
        <w:rPr>
          <w:rFonts w:ascii="Arial" w:hAnsi="Arial" w:cs="Arial"/>
          <w:lang w:val="en-US"/>
        </w:rPr>
        <w:t>2</w:t>
      </w:r>
      <w:r w:rsidR="00AB5DE2">
        <w:rPr>
          <w:rFonts w:ascii="Arial" w:hAnsi="Arial" w:cs="Arial"/>
          <w:lang w:val="en-US"/>
        </w:rPr>
        <w:t xml:space="preserve"> </w:t>
      </w:r>
      <w:r w:rsidR="00197953">
        <w:rPr>
          <w:rFonts w:ascii="Arial" w:hAnsi="Arial" w:cs="Arial"/>
          <w:lang w:val="en-US"/>
        </w:rPr>
        <w:t xml:space="preserve">the respondent filed </w:t>
      </w:r>
      <w:r w:rsidR="00166088">
        <w:rPr>
          <w:rFonts w:ascii="Arial" w:hAnsi="Arial" w:cs="Arial"/>
          <w:lang w:val="en-US"/>
        </w:rPr>
        <w:t>its</w:t>
      </w:r>
      <w:r w:rsidR="00197953">
        <w:rPr>
          <w:rFonts w:ascii="Arial" w:hAnsi="Arial" w:cs="Arial"/>
          <w:lang w:val="en-US"/>
        </w:rPr>
        <w:t xml:space="preserve"> </w:t>
      </w:r>
      <w:r w:rsidR="00AB5DE2">
        <w:rPr>
          <w:rFonts w:ascii="Arial" w:hAnsi="Arial" w:cs="Arial"/>
          <w:lang w:val="en-US"/>
        </w:rPr>
        <w:t>statement</w:t>
      </w:r>
      <w:r w:rsidR="00197953">
        <w:rPr>
          <w:rFonts w:ascii="Arial" w:hAnsi="Arial" w:cs="Arial"/>
          <w:lang w:val="en-US"/>
        </w:rPr>
        <w:t xml:space="preserve"> in terms of rule 31(2) of the </w:t>
      </w:r>
      <w:r w:rsidR="00AB5DE2">
        <w:rPr>
          <w:rFonts w:ascii="Arial" w:hAnsi="Arial" w:cs="Arial"/>
          <w:lang w:val="en-US"/>
        </w:rPr>
        <w:t>TCR</w:t>
      </w:r>
      <w:r w:rsidR="00197953">
        <w:rPr>
          <w:rFonts w:ascii="Arial" w:hAnsi="Arial" w:cs="Arial"/>
          <w:lang w:val="en-US"/>
        </w:rPr>
        <w:t xml:space="preserve"> in </w:t>
      </w:r>
      <w:r w:rsidR="00AB5DE2">
        <w:rPr>
          <w:rFonts w:ascii="Arial" w:hAnsi="Arial" w:cs="Arial"/>
          <w:lang w:val="en-US"/>
        </w:rPr>
        <w:t xml:space="preserve">which it set out its grounds for </w:t>
      </w:r>
      <w:r w:rsidR="00197953">
        <w:rPr>
          <w:rFonts w:ascii="Arial" w:hAnsi="Arial" w:cs="Arial"/>
          <w:lang w:val="en-US"/>
        </w:rPr>
        <w:t xml:space="preserve">opposing the appeal. </w:t>
      </w:r>
      <w:r w:rsidR="00AB5DE2">
        <w:rPr>
          <w:rFonts w:ascii="Arial" w:hAnsi="Arial" w:cs="Arial"/>
          <w:lang w:val="en-US"/>
        </w:rPr>
        <w:t xml:space="preserve">It </w:t>
      </w:r>
      <w:r w:rsidR="00197953">
        <w:rPr>
          <w:rFonts w:ascii="Arial" w:hAnsi="Arial" w:cs="Arial"/>
          <w:lang w:val="en-US"/>
        </w:rPr>
        <w:t>sa</w:t>
      </w:r>
      <w:r w:rsidR="004D3AAA">
        <w:rPr>
          <w:rFonts w:ascii="Arial" w:hAnsi="Arial" w:cs="Arial"/>
          <w:lang w:val="en-US"/>
        </w:rPr>
        <w:t>i</w:t>
      </w:r>
      <w:r w:rsidR="00AB5DE2">
        <w:rPr>
          <w:rFonts w:ascii="Arial" w:hAnsi="Arial" w:cs="Arial"/>
          <w:lang w:val="en-US"/>
        </w:rPr>
        <w:t>d</w:t>
      </w:r>
      <w:r w:rsidR="00197953">
        <w:rPr>
          <w:rFonts w:ascii="Arial" w:hAnsi="Arial" w:cs="Arial"/>
          <w:lang w:val="en-US"/>
        </w:rPr>
        <w:t xml:space="preserve"> the following</w:t>
      </w:r>
      <w:r w:rsidR="00AB5DE2">
        <w:rPr>
          <w:rFonts w:ascii="Arial" w:hAnsi="Arial" w:cs="Arial"/>
          <w:lang w:val="en-US"/>
        </w:rPr>
        <w:t xml:space="preserve"> </w:t>
      </w:r>
      <w:r w:rsidR="00772B37">
        <w:rPr>
          <w:rFonts w:ascii="Arial" w:hAnsi="Arial" w:cs="Arial"/>
          <w:lang w:val="en-US"/>
        </w:rPr>
        <w:t>regarding</w:t>
      </w:r>
      <w:r w:rsidR="00AB5DE2">
        <w:rPr>
          <w:rFonts w:ascii="Arial" w:hAnsi="Arial" w:cs="Arial"/>
          <w:lang w:val="en-US"/>
        </w:rPr>
        <w:t xml:space="preserve"> the disputed amount:</w:t>
      </w:r>
      <w:r w:rsidR="00197953">
        <w:rPr>
          <w:rStyle w:val="FootnoteReference"/>
          <w:rFonts w:ascii="Arial" w:hAnsi="Arial" w:cs="Arial"/>
          <w:lang w:val="en-US"/>
        </w:rPr>
        <w:footnoteReference w:id="5"/>
      </w:r>
      <w:r w:rsidR="00197953">
        <w:rPr>
          <w:rFonts w:ascii="Arial" w:hAnsi="Arial" w:cs="Arial"/>
          <w:lang w:val="en-US"/>
        </w:rPr>
        <w:t xml:space="preserve"> </w:t>
      </w:r>
    </w:p>
    <w:p w14:paraId="53BF853D" w14:textId="6AEA1564" w:rsidR="00197953" w:rsidRPr="00FC0E88" w:rsidRDefault="00E40259" w:rsidP="00997CC1">
      <w:pPr>
        <w:jc w:val="both"/>
        <w:rPr>
          <w:rFonts w:ascii="Arial" w:hAnsi="Arial" w:cs="Arial"/>
          <w:i/>
          <w:iCs/>
          <w:sz w:val="20"/>
          <w:szCs w:val="20"/>
          <w:u w:val="single"/>
          <w:lang w:val="en-US"/>
        </w:rPr>
      </w:pPr>
      <w:r w:rsidRPr="00FC0E88">
        <w:rPr>
          <w:rFonts w:ascii="Arial" w:hAnsi="Arial" w:cs="Arial"/>
          <w:i/>
          <w:iCs/>
          <w:sz w:val="20"/>
          <w:szCs w:val="20"/>
          <w:u w:val="single"/>
          <w:lang w:val="en-US"/>
        </w:rPr>
        <w:t>‘</w:t>
      </w:r>
      <w:r w:rsidR="00197953" w:rsidRPr="00FC0E88">
        <w:rPr>
          <w:rFonts w:ascii="Arial" w:hAnsi="Arial" w:cs="Arial"/>
          <w:i/>
          <w:iCs/>
          <w:sz w:val="20"/>
          <w:szCs w:val="20"/>
          <w:u w:val="single"/>
          <w:lang w:val="en-US"/>
        </w:rPr>
        <w:t>DISALLOWANCE OF DEDUCTIONS:</w:t>
      </w:r>
    </w:p>
    <w:p w14:paraId="756762B4" w14:textId="7F426001" w:rsidR="00197953" w:rsidRPr="00FC0E88" w:rsidRDefault="00197953" w:rsidP="00997CC1">
      <w:pPr>
        <w:jc w:val="both"/>
        <w:rPr>
          <w:rFonts w:ascii="Arial" w:hAnsi="Arial" w:cs="Arial"/>
          <w:i/>
          <w:iCs/>
          <w:sz w:val="20"/>
          <w:szCs w:val="20"/>
          <w:lang w:val="en-US"/>
        </w:rPr>
      </w:pPr>
      <w:r w:rsidRPr="00FC0E88">
        <w:rPr>
          <w:rFonts w:ascii="Arial" w:hAnsi="Arial" w:cs="Arial"/>
          <w:i/>
          <w:iCs/>
          <w:sz w:val="20"/>
          <w:szCs w:val="20"/>
          <w:lang w:val="en-US"/>
        </w:rPr>
        <w:t xml:space="preserve">19. The Appellant claimed a </w:t>
      </w:r>
      <w:r w:rsidR="00AB5DE2" w:rsidRPr="00FC0E88">
        <w:rPr>
          <w:rFonts w:ascii="Arial" w:hAnsi="Arial" w:cs="Arial"/>
          <w:i/>
          <w:iCs/>
          <w:sz w:val="20"/>
          <w:szCs w:val="20"/>
          <w:lang w:val="en-US"/>
        </w:rPr>
        <w:t>d</w:t>
      </w:r>
      <w:r w:rsidRPr="00FC0E88">
        <w:rPr>
          <w:rFonts w:ascii="Arial" w:hAnsi="Arial" w:cs="Arial"/>
          <w:i/>
          <w:iCs/>
          <w:sz w:val="20"/>
          <w:szCs w:val="20"/>
          <w:lang w:val="en-US"/>
        </w:rPr>
        <w:t xml:space="preserve">eduction in terms of section 11(a) of the ITA in the amount of </w:t>
      </w:r>
      <w:r w:rsidR="005D7D20">
        <w:rPr>
          <w:rFonts w:ascii="Arial" w:hAnsi="Arial" w:cs="Arial"/>
          <w:i/>
          <w:iCs/>
          <w:sz w:val="20"/>
          <w:szCs w:val="20"/>
          <w:lang w:val="en-US"/>
        </w:rPr>
        <w:t xml:space="preserve">                          </w:t>
      </w:r>
      <w:r w:rsidRPr="00FC0E88">
        <w:rPr>
          <w:rFonts w:ascii="Arial" w:hAnsi="Arial" w:cs="Arial"/>
          <w:i/>
          <w:iCs/>
          <w:sz w:val="20"/>
          <w:szCs w:val="20"/>
          <w:lang w:val="en-US"/>
        </w:rPr>
        <w:t>R 11 072 237.00 for the 2018 tax year. The amount relates to the distribution of profits to a related part</w:t>
      </w:r>
      <w:r w:rsidR="004027A6">
        <w:rPr>
          <w:rFonts w:ascii="Arial" w:hAnsi="Arial" w:cs="Arial"/>
          <w:i/>
          <w:iCs/>
          <w:sz w:val="20"/>
          <w:szCs w:val="20"/>
          <w:lang w:val="en-US"/>
        </w:rPr>
        <w:t>y</w:t>
      </w:r>
      <w:r w:rsidR="00910BBA">
        <w:rPr>
          <w:rFonts w:ascii="Arial" w:hAnsi="Arial" w:cs="Arial"/>
          <w:i/>
          <w:iCs/>
          <w:sz w:val="20"/>
          <w:szCs w:val="20"/>
          <w:lang w:val="en-US"/>
        </w:rPr>
        <w:t xml:space="preserve">, </w:t>
      </w:r>
      <w:r w:rsidR="004027A6">
        <w:rPr>
          <w:rFonts w:ascii="Arial" w:hAnsi="Arial" w:cs="Arial"/>
          <w:i/>
          <w:iCs/>
          <w:sz w:val="20"/>
          <w:szCs w:val="20"/>
          <w:lang w:val="en-US"/>
        </w:rPr>
        <w:t>referred to</w:t>
      </w:r>
      <w:r w:rsidRPr="00FC0E88">
        <w:rPr>
          <w:rFonts w:ascii="Arial" w:hAnsi="Arial" w:cs="Arial"/>
          <w:i/>
          <w:iCs/>
          <w:sz w:val="20"/>
          <w:szCs w:val="20"/>
          <w:lang w:val="en-US"/>
        </w:rPr>
        <w:t xml:space="preserve"> in </w:t>
      </w:r>
      <w:r w:rsidR="00AB5DE2" w:rsidRPr="00FC0E88">
        <w:rPr>
          <w:rFonts w:ascii="Arial" w:hAnsi="Arial" w:cs="Arial"/>
          <w:i/>
          <w:iCs/>
          <w:sz w:val="20"/>
          <w:szCs w:val="20"/>
          <w:lang w:val="en-US"/>
        </w:rPr>
        <w:t>a</w:t>
      </w:r>
      <w:r w:rsidRPr="00FC0E88">
        <w:rPr>
          <w:rFonts w:ascii="Arial" w:hAnsi="Arial" w:cs="Arial"/>
          <w:i/>
          <w:iCs/>
          <w:sz w:val="20"/>
          <w:szCs w:val="20"/>
          <w:lang w:val="en-US"/>
        </w:rPr>
        <w:t>ppellant’s financial statements</w:t>
      </w:r>
      <w:r w:rsidR="00AB5DE2" w:rsidRPr="00FC0E88">
        <w:rPr>
          <w:rFonts w:ascii="Arial" w:hAnsi="Arial" w:cs="Arial"/>
          <w:i/>
          <w:iCs/>
          <w:sz w:val="20"/>
          <w:szCs w:val="20"/>
          <w:lang w:val="en-US"/>
        </w:rPr>
        <w:t>,</w:t>
      </w:r>
      <w:r w:rsidRPr="00FC0E88">
        <w:rPr>
          <w:rFonts w:ascii="Arial" w:hAnsi="Arial" w:cs="Arial"/>
          <w:i/>
          <w:iCs/>
          <w:sz w:val="20"/>
          <w:szCs w:val="20"/>
          <w:lang w:val="en-US"/>
        </w:rPr>
        <w:t xml:space="preserve"> as the Baseline En Commandite Partnership.</w:t>
      </w:r>
    </w:p>
    <w:p w14:paraId="1A4282A9" w14:textId="306A00F2" w:rsidR="00197953" w:rsidRPr="00FC0E88" w:rsidRDefault="00197953" w:rsidP="00997CC1">
      <w:pPr>
        <w:jc w:val="both"/>
        <w:rPr>
          <w:rFonts w:ascii="Arial" w:hAnsi="Arial" w:cs="Arial"/>
          <w:i/>
          <w:iCs/>
          <w:sz w:val="20"/>
          <w:szCs w:val="20"/>
          <w:lang w:val="en-US"/>
        </w:rPr>
      </w:pPr>
      <w:r w:rsidRPr="00FC0E88">
        <w:rPr>
          <w:rFonts w:ascii="Arial" w:hAnsi="Arial" w:cs="Arial"/>
          <w:i/>
          <w:iCs/>
          <w:sz w:val="20"/>
          <w:szCs w:val="20"/>
          <w:lang w:val="en-US"/>
        </w:rPr>
        <w:t>20. SARS has disallowed the deduction claimed on the basis that the claim is not in accordance with Sections 11(a) and 23(g) of the ITA.</w:t>
      </w:r>
    </w:p>
    <w:p w14:paraId="049B5D32" w14:textId="441A1765" w:rsidR="00197953" w:rsidRPr="00FC0E88" w:rsidRDefault="00197953" w:rsidP="00997CC1">
      <w:pPr>
        <w:jc w:val="both"/>
        <w:rPr>
          <w:rFonts w:ascii="Arial" w:hAnsi="Arial" w:cs="Arial"/>
          <w:i/>
          <w:iCs/>
          <w:sz w:val="20"/>
          <w:szCs w:val="20"/>
          <w:lang w:val="en-US"/>
        </w:rPr>
      </w:pPr>
      <w:r w:rsidRPr="00FC0E88">
        <w:rPr>
          <w:rFonts w:ascii="Arial" w:hAnsi="Arial" w:cs="Arial"/>
          <w:i/>
          <w:iCs/>
          <w:sz w:val="20"/>
          <w:szCs w:val="20"/>
          <w:lang w:val="en-US"/>
        </w:rPr>
        <w:t xml:space="preserve">21. The appellant alleges that it should be entitled to </w:t>
      </w:r>
      <w:r w:rsidR="000C12F7" w:rsidRPr="00FC0E88">
        <w:rPr>
          <w:rFonts w:ascii="Arial" w:hAnsi="Arial" w:cs="Arial"/>
          <w:i/>
          <w:iCs/>
          <w:sz w:val="20"/>
          <w:szCs w:val="20"/>
          <w:lang w:val="en-US"/>
        </w:rPr>
        <w:t xml:space="preserve">a </w:t>
      </w:r>
      <w:r w:rsidRPr="00FC0E88">
        <w:rPr>
          <w:rFonts w:ascii="Arial" w:hAnsi="Arial" w:cs="Arial"/>
          <w:i/>
          <w:iCs/>
          <w:sz w:val="20"/>
          <w:szCs w:val="20"/>
          <w:lang w:val="en-US"/>
        </w:rPr>
        <w:t>deduction claimed in terms of Section 11(a) of the ITA and bears the burden of proving such.</w:t>
      </w:r>
      <w:r w:rsidR="002D526E" w:rsidRPr="00FC0E88">
        <w:rPr>
          <w:rFonts w:ascii="Arial" w:hAnsi="Arial" w:cs="Arial"/>
          <w:i/>
          <w:iCs/>
          <w:sz w:val="20"/>
          <w:szCs w:val="20"/>
          <w:lang w:val="en-US"/>
        </w:rPr>
        <w:t>’</w:t>
      </w:r>
    </w:p>
    <w:p w14:paraId="0A23CFE0" w14:textId="77777777" w:rsidR="002D526E" w:rsidRDefault="002D526E" w:rsidP="00997CC1">
      <w:pPr>
        <w:jc w:val="both"/>
        <w:rPr>
          <w:rFonts w:ascii="Arial" w:hAnsi="Arial" w:cs="Arial"/>
          <w:i/>
          <w:iCs/>
          <w:lang w:val="en-US"/>
        </w:rPr>
      </w:pPr>
    </w:p>
    <w:p w14:paraId="5ED2CC06" w14:textId="785CD139" w:rsidR="00FC0E88" w:rsidRDefault="003C1EF3" w:rsidP="00197953">
      <w:pPr>
        <w:spacing w:line="480" w:lineRule="auto"/>
        <w:jc w:val="both"/>
        <w:rPr>
          <w:rFonts w:ascii="Arial" w:hAnsi="Arial" w:cs="Arial"/>
          <w:lang w:val="en-US"/>
        </w:rPr>
      </w:pPr>
      <w:r>
        <w:rPr>
          <w:rFonts w:ascii="Arial" w:hAnsi="Arial" w:cs="Arial"/>
          <w:lang w:val="en-US"/>
        </w:rPr>
        <w:t>[8]</w:t>
      </w:r>
      <w:r>
        <w:rPr>
          <w:rFonts w:ascii="Arial" w:hAnsi="Arial" w:cs="Arial"/>
          <w:lang w:val="en-US"/>
        </w:rPr>
        <w:tab/>
      </w:r>
      <w:r w:rsidR="00197953" w:rsidRPr="002B6E36">
        <w:rPr>
          <w:rFonts w:ascii="Arial" w:hAnsi="Arial" w:cs="Arial"/>
          <w:lang w:val="en-US"/>
        </w:rPr>
        <w:t>On 30 November 2021 the appellant</w:t>
      </w:r>
      <w:r w:rsidR="003A0527">
        <w:rPr>
          <w:rFonts w:ascii="Arial" w:hAnsi="Arial" w:cs="Arial"/>
          <w:lang w:val="en-US"/>
        </w:rPr>
        <w:t xml:space="preserve"> </w:t>
      </w:r>
      <w:r w:rsidR="00FC0E88" w:rsidRPr="002B6E36">
        <w:rPr>
          <w:rFonts w:ascii="Arial" w:hAnsi="Arial" w:cs="Arial"/>
          <w:lang w:val="en-US"/>
        </w:rPr>
        <w:t>filed</w:t>
      </w:r>
      <w:r w:rsidR="00197953" w:rsidRPr="002B6E36">
        <w:rPr>
          <w:rFonts w:ascii="Arial" w:hAnsi="Arial" w:cs="Arial"/>
          <w:lang w:val="en-US"/>
        </w:rPr>
        <w:t xml:space="preserve"> </w:t>
      </w:r>
      <w:r w:rsidR="00910BBA">
        <w:rPr>
          <w:rFonts w:ascii="Arial" w:hAnsi="Arial" w:cs="Arial"/>
          <w:lang w:val="en-US"/>
        </w:rPr>
        <w:t>its</w:t>
      </w:r>
      <w:r w:rsidR="00197953" w:rsidRPr="002B6E36">
        <w:rPr>
          <w:rFonts w:ascii="Arial" w:hAnsi="Arial" w:cs="Arial"/>
          <w:lang w:val="en-US"/>
        </w:rPr>
        <w:t xml:space="preserve"> </w:t>
      </w:r>
      <w:r w:rsidR="003A0527">
        <w:rPr>
          <w:rFonts w:ascii="Arial" w:hAnsi="Arial" w:cs="Arial"/>
          <w:lang w:val="en-US"/>
        </w:rPr>
        <w:t>s</w:t>
      </w:r>
      <w:r w:rsidR="00197953" w:rsidRPr="002B6E36">
        <w:rPr>
          <w:rFonts w:ascii="Arial" w:hAnsi="Arial" w:cs="Arial"/>
          <w:lang w:val="en-US"/>
        </w:rPr>
        <w:t xml:space="preserve">tatement of </w:t>
      </w:r>
      <w:r w:rsidR="003A0527">
        <w:rPr>
          <w:rFonts w:ascii="Arial" w:hAnsi="Arial" w:cs="Arial"/>
          <w:lang w:val="en-US"/>
        </w:rPr>
        <w:t>its g</w:t>
      </w:r>
      <w:r w:rsidR="00197953" w:rsidRPr="002B6E36">
        <w:rPr>
          <w:rFonts w:ascii="Arial" w:hAnsi="Arial" w:cs="Arial"/>
          <w:lang w:val="en-US"/>
        </w:rPr>
        <w:t xml:space="preserve">rounds of </w:t>
      </w:r>
      <w:r w:rsidR="003A0527">
        <w:rPr>
          <w:rFonts w:ascii="Arial" w:hAnsi="Arial" w:cs="Arial"/>
          <w:lang w:val="en-US"/>
        </w:rPr>
        <w:t>a</w:t>
      </w:r>
      <w:r w:rsidR="00197953" w:rsidRPr="002B6E36">
        <w:rPr>
          <w:rFonts w:ascii="Arial" w:hAnsi="Arial" w:cs="Arial"/>
          <w:lang w:val="en-US"/>
        </w:rPr>
        <w:t>ppeal</w:t>
      </w:r>
      <w:r w:rsidR="00DF4656">
        <w:rPr>
          <w:rFonts w:ascii="Arial" w:hAnsi="Arial" w:cs="Arial"/>
          <w:lang w:val="en-US"/>
        </w:rPr>
        <w:t>,</w:t>
      </w:r>
      <w:r w:rsidR="002D526E" w:rsidRPr="002B6E36">
        <w:rPr>
          <w:rFonts w:ascii="Arial" w:hAnsi="Arial" w:cs="Arial"/>
          <w:lang w:val="en-US"/>
        </w:rPr>
        <w:t xml:space="preserve"> </w:t>
      </w:r>
      <w:r w:rsidR="00FC0E88">
        <w:rPr>
          <w:rFonts w:ascii="Arial" w:hAnsi="Arial" w:cs="Arial"/>
          <w:lang w:val="en-US"/>
        </w:rPr>
        <w:t>in terms of</w:t>
      </w:r>
      <w:r w:rsidR="00197953" w:rsidRPr="002B6E36">
        <w:rPr>
          <w:rFonts w:ascii="Arial" w:hAnsi="Arial" w:cs="Arial"/>
          <w:lang w:val="en-US"/>
        </w:rPr>
        <w:t xml:space="preserve"> </w:t>
      </w:r>
      <w:r w:rsidR="002D526E" w:rsidRPr="002B6E36">
        <w:rPr>
          <w:rFonts w:ascii="Arial" w:hAnsi="Arial" w:cs="Arial"/>
          <w:lang w:val="en-US"/>
        </w:rPr>
        <w:t xml:space="preserve">the </w:t>
      </w:r>
      <w:r w:rsidR="005D7D20">
        <w:rPr>
          <w:rFonts w:ascii="Arial" w:hAnsi="Arial" w:cs="Arial"/>
          <w:lang w:val="en-US"/>
        </w:rPr>
        <w:t xml:space="preserve">applicable </w:t>
      </w:r>
      <w:r w:rsidR="00197953" w:rsidRPr="002B6E36">
        <w:rPr>
          <w:rFonts w:ascii="Arial" w:hAnsi="Arial" w:cs="Arial"/>
          <w:lang w:val="en-US"/>
        </w:rPr>
        <w:t>provisions of rule 32 that w</w:t>
      </w:r>
      <w:r w:rsidR="003A0527">
        <w:rPr>
          <w:rFonts w:ascii="Arial" w:hAnsi="Arial" w:cs="Arial"/>
          <w:lang w:val="en-US"/>
        </w:rPr>
        <w:t>ere</w:t>
      </w:r>
      <w:r w:rsidR="00197953" w:rsidRPr="002B6E36">
        <w:rPr>
          <w:rFonts w:ascii="Arial" w:hAnsi="Arial" w:cs="Arial"/>
          <w:lang w:val="en-US"/>
        </w:rPr>
        <w:t xml:space="preserve"> in operation at that </w:t>
      </w:r>
      <w:r w:rsidR="003A0527">
        <w:rPr>
          <w:rFonts w:ascii="Arial" w:hAnsi="Arial" w:cs="Arial"/>
          <w:lang w:val="en-US"/>
        </w:rPr>
        <w:t>time, which read as</w:t>
      </w:r>
      <w:r w:rsidR="00197953">
        <w:rPr>
          <w:rFonts w:ascii="Arial" w:hAnsi="Arial" w:cs="Arial"/>
          <w:lang w:val="en-US"/>
        </w:rPr>
        <w:t xml:space="preserve"> follow</w:t>
      </w:r>
      <w:r w:rsidR="003A0527">
        <w:rPr>
          <w:rFonts w:ascii="Arial" w:hAnsi="Arial" w:cs="Arial"/>
          <w:lang w:val="en-US"/>
        </w:rPr>
        <w:t>s</w:t>
      </w:r>
      <w:r w:rsidR="00197953">
        <w:rPr>
          <w:rFonts w:ascii="Arial" w:hAnsi="Arial" w:cs="Arial"/>
          <w:lang w:val="en-US"/>
        </w:rPr>
        <w:t xml:space="preserve">: </w:t>
      </w:r>
    </w:p>
    <w:p w14:paraId="57530BCC" w14:textId="485ACF62" w:rsidR="00197953" w:rsidRPr="00FC0E88" w:rsidRDefault="002D526E" w:rsidP="00997CC1">
      <w:pPr>
        <w:jc w:val="both"/>
        <w:rPr>
          <w:rFonts w:ascii="Arial" w:hAnsi="Arial" w:cs="Arial"/>
          <w:i/>
          <w:iCs/>
          <w:sz w:val="20"/>
          <w:szCs w:val="20"/>
          <w:lang w:val="en-US"/>
        </w:rPr>
      </w:pPr>
      <w:r w:rsidRPr="00FC0E88">
        <w:rPr>
          <w:rFonts w:ascii="Arial" w:hAnsi="Arial" w:cs="Arial"/>
          <w:sz w:val="20"/>
          <w:szCs w:val="20"/>
          <w:lang w:val="en-US"/>
        </w:rPr>
        <w:t>‘</w:t>
      </w:r>
      <w:r w:rsidR="00197953" w:rsidRPr="00FC0E88">
        <w:rPr>
          <w:rFonts w:ascii="Arial" w:hAnsi="Arial" w:cs="Arial"/>
          <w:i/>
          <w:iCs/>
          <w:sz w:val="20"/>
          <w:szCs w:val="20"/>
          <w:lang w:val="en-US"/>
        </w:rPr>
        <w:t>32.  Statement of grounds of appeal</w:t>
      </w:r>
    </w:p>
    <w:p w14:paraId="27F879A3" w14:textId="77777777" w:rsidR="00197953" w:rsidRPr="00FC0E88" w:rsidRDefault="00197953" w:rsidP="00997CC1">
      <w:pPr>
        <w:ind w:left="360" w:hanging="360"/>
        <w:jc w:val="both"/>
        <w:rPr>
          <w:rFonts w:ascii="Arial" w:hAnsi="Arial" w:cs="Arial"/>
          <w:i/>
          <w:iCs/>
          <w:sz w:val="20"/>
          <w:szCs w:val="20"/>
          <w:lang w:val="en-US"/>
        </w:rPr>
      </w:pPr>
      <w:r w:rsidRPr="00FC0E88">
        <w:rPr>
          <w:rFonts w:ascii="Arial" w:hAnsi="Arial" w:cs="Arial"/>
          <w:i/>
          <w:iCs/>
          <w:sz w:val="20"/>
          <w:szCs w:val="20"/>
          <w:lang w:val="en-US"/>
        </w:rPr>
        <w:t>(1) The appellant must deliver to SARS a statement of grounds of appeal within 45 days after delivery of-</w:t>
      </w:r>
    </w:p>
    <w:p w14:paraId="025F249B" w14:textId="77777777" w:rsidR="00197953" w:rsidRPr="00FC0E88" w:rsidRDefault="00197953" w:rsidP="00997CC1">
      <w:pPr>
        <w:ind w:left="720" w:hanging="360"/>
        <w:jc w:val="both"/>
        <w:rPr>
          <w:rFonts w:ascii="Arial" w:hAnsi="Arial" w:cs="Arial"/>
          <w:i/>
          <w:iCs/>
          <w:sz w:val="20"/>
          <w:szCs w:val="20"/>
          <w:lang w:val="en-US"/>
        </w:rPr>
      </w:pPr>
      <w:r w:rsidRPr="00FC0E88">
        <w:rPr>
          <w:rFonts w:ascii="Arial" w:hAnsi="Arial" w:cs="Arial"/>
          <w:i/>
          <w:iCs/>
          <w:sz w:val="20"/>
          <w:szCs w:val="20"/>
          <w:lang w:val="en-US"/>
        </w:rPr>
        <w:t>(a) the required documents by SARS, where the appellant was requested to make discovery under rule 36 (1); or</w:t>
      </w:r>
    </w:p>
    <w:p w14:paraId="170BFF3D" w14:textId="77777777" w:rsidR="00197953" w:rsidRPr="00FC0E88" w:rsidRDefault="00197953" w:rsidP="00997CC1">
      <w:pPr>
        <w:ind w:left="360"/>
        <w:jc w:val="both"/>
        <w:rPr>
          <w:rFonts w:ascii="Arial" w:hAnsi="Arial" w:cs="Arial"/>
          <w:i/>
          <w:iCs/>
          <w:sz w:val="20"/>
          <w:szCs w:val="20"/>
          <w:lang w:val="en-US"/>
        </w:rPr>
      </w:pPr>
      <w:r w:rsidRPr="00FC0E88">
        <w:rPr>
          <w:rFonts w:ascii="Arial" w:hAnsi="Arial" w:cs="Arial"/>
          <w:i/>
          <w:iCs/>
          <w:sz w:val="20"/>
          <w:szCs w:val="20"/>
          <w:lang w:val="en-US"/>
        </w:rPr>
        <w:t>(b) the statement by SARS under rule 31.</w:t>
      </w:r>
    </w:p>
    <w:p w14:paraId="424B9217" w14:textId="77777777" w:rsidR="00197953" w:rsidRPr="00FC0E88" w:rsidRDefault="00197953" w:rsidP="00997CC1">
      <w:pPr>
        <w:jc w:val="both"/>
        <w:rPr>
          <w:rFonts w:ascii="Arial" w:hAnsi="Arial" w:cs="Arial"/>
          <w:i/>
          <w:iCs/>
          <w:sz w:val="20"/>
          <w:szCs w:val="20"/>
          <w:lang w:val="en-US"/>
        </w:rPr>
      </w:pPr>
      <w:r w:rsidRPr="00FC0E88">
        <w:rPr>
          <w:rFonts w:ascii="Arial" w:hAnsi="Arial" w:cs="Arial"/>
          <w:i/>
          <w:iCs/>
          <w:sz w:val="20"/>
          <w:szCs w:val="20"/>
          <w:lang w:val="en-US"/>
        </w:rPr>
        <w:t>(2) The statement must set out clearly and concisely-</w:t>
      </w:r>
    </w:p>
    <w:p w14:paraId="68305F69" w14:textId="77777777" w:rsidR="00197953" w:rsidRPr="00FC0E88" w:rsidRDefault="00197953" w:rsidP="00997CC1">
      <w:pPr>
        <w:ind w:left="360"/>
        <w:jc w:val="both"/>
        <w:rPr>
          <w:rFonts w:ascii="Arial" w:hAnsi="Arial" w:cs="Arial"/>
          <w:i/>
          <w:iCs/>
          <w:sz w:val="20"/>
          <w:szCs w:val="20"/>
          <w:lang w:val="en-US"/>
        </w:rPr>
      </w:pPr>
      <w:r w:rsidRPr="00FC0E88">
        <w:rPr>
          <w:rFonts w:ascii="Arial" w:hAnsi="Arial" w:cs="Arial"/>
          <w:i/>
          <w:iCs/>
          <w:sz w:val="20"/>
          <w:szCs w:val="20"/>
          <w:lang w:val="en-US"/>
        </w:rPr>
        <w:t>(a) the grounds upon which the appellant appeals;</w:t>
      </w:r>
    </w:p>
    <w:p w14:paraId="22C91DEE" w14:textId="77777777" w:rsidR="00197953" w:rsidRPr="00FC0E88" w:rsidRDefault="00197953" w:rsidP="00997CC1">
      <w:pPr>
        <w:ind w:left="720" w:hanging="360"/>
        <w:jc w:val="both"/>
        <w:rPr>
          <w:rFonts w:ascii="Arial" w:hAnsi="Arial" w:cs="Arial"/>
          <w:i/>
          <w:iCs/>
          <w:sz w:val="20"/>
          <w:szCs w:val="20"/>
          <w:lang w:val="en-US"/>
        </w:rPr>
      </w:pPr>
      <w:r w:rsidRPr="00FC0E88">
        <w:rPr>
          <w:rFonts w:ascii="Arial" w:hAnsi="Arial" w:cs="Arial"/>
          <w:i/>
          <w:iCs/>
          <w:sz w:val="20"/>
          <w:szCs w:val="20"/>
          <w:lang w:val="en-US"/>
        </w:rPr>
        <w:t>(b) which of the facts or the legal grounds in the statement under rule 31 are admitted and which of those facts or legal grounds are opposed; and</w:t>
      </w:r>
    </w:p>
    <w:p w14:paraId="188E04B0" w14:textId="77777777" w:rsidR="00197953" w:rsidRPr="00FC0E88" w:rsidRDefault="00197953" w:rsidP="00997CC1">
      <w:pPr>
        <w:ind w:left="630" w:hanging="270"/>
        <w:jc w:val="both"/>
        <w:rPr>
          <w:rFonts w:ascii="Arial" w:hAnsi="Arial" w:cs="Arial"/>
          <w:i/>
          <w:iCs/>
          <w:sz w:val="20"/>
          <w:szCs w:val="20"/>
          <w:lang w:val="en-US"/>
        </w:rPr>
      </w:pPr>
      <w:r w:rsidRPr="00FC0E88">
        <w:rPr>
          <w:rFonts w:ascii="Arial" w:hAnsi="Arial" w:cs="Arial"/>
          <w:i/>
          <w:iCs/>
          <w:sz w:val="20"/>
          <w:szCs w:val="20"/>
          <w:lang w:val="en-US"/>
        </w:rPr>
        <w:t>(c) the material facts and the legal grounds upon which the appellant relies for the appeal and opposing the facts or legal grounds in the statement under rule 31.</w:t>
      </w:r>
    </w:p>
    <w:p w14:paraId="1B568385" w14:textId="20171BF2" w:rsidR="00197953" w:rsidRPr="00FC0E88" w:rsidRDefault="00197953" w:rsidP="00997CC1">
      <w:pPr>
        <w:ind w:left="360" w:hanging="360"/>
        <w:jc w:val="both"/>
        <w:rPr>
          <w:rFonts w:ascii="Arial" w:hAnsi="Arial" w:cs="Arial"/>
          <w:i/>
          <w:iCs/>
          <w:sz w:val="20"/>
          <w:szCs w:val="20"/>
          <w:lang w:val="en-US"/>
        </w:rPr>
      </w:pPr>
      <w:r w:rsidRPr="00FC0E88">
        <w:rPr>
          <w:rFonts w:ascii="Arial" w:hAnsi="Arial" w:cs="Arial"/>
          <w:i/>
          <w:iCs/>
          <w:sz w:val="20"/>
          <w:szCs w:val="20"/>
          <w:lang w:val="en-US"/>
        </w:rPr>
        <w:t>(3) The appellant may not include in the statement a ground of appeal that constitutes a new ground of objection against a part or amount of the disputed assessment not objected to under rule 7.</w:t>
      </w:r>
      <w:r w:rsidR="002D526E" w:rsidRPr="00FC0E88">
        <w:rPr>
          <w:rFonts w:ascii="Arial" w:hAnsi="Arial" w:cs="Arial"/>
          <w:i/>
          <w:iCs/>
          <w:sz w:val="20"/>
          <w:szCs w:val="20"/>
          <w:lang w:val="en-US"/>
        </w:rPr>
        <w:t>’</w:t>
      </w:r>
    </w:p>
    <w:p w14:paraId="1D4160B1" w14:textId="77777777" w:rsidR="00CD383A" w:rsidRDefault="00CD383A" w:rsidP="00997CC1">
      <w:pPr>
        <w:jc w:val="both"/>
        <w:rPr>
          <w:rFonts w:ascii="Arial" w:hAnsi="Arial" w:cs="Arial"/>
          <w:lang w:val="en-US"/>
        </w:rPr>
      </w:pPr>
    </w:p>
    <w:p w14:paraId="3D15C3FA" w14:textId="4F647527" w:rsidR="00073CEC" w:rsidRDefault="002E02AF" w:rsidP="00197953">
      <w:pPr>
        <w:spacing w:line="480" w:lineRule="auto"/>
        <w:jc w:val="both"/>
        <w:rPr>
          <w:rFonts w:ascii="Arial" w:hAnsi="Arial" w:cs="Arial"/>
          <w:lang w:val="en-US"/>
        </w:rPr>
      </w:pPr>
      <w:r>
        <w:rPr>
          <w:rFonts w:ascii="Arial" w:hAnsi="Arial" w:cs="Arial"/>
          <w:lang w:val="en-US"/>
        </w:rPr>
        <w:lastRenderedPageBreak/>
        <w:t>[</w:t>
      </w:r>
      <w:r w:rsidR="00FE442A">
        <w:rPr>
          <w:rFonts w:ascii="Arial" w:hAnsi="Arial" w:cs="Arial"/>
          <w:lang w:val="en-US"/>
        </w:rPr>
        <w:t>9</w:t>
      </w:r>
      <w:r>
        <w:rPr>
          <w:rFonts w:ascii="Arial" w:hAnsi="Arial" w:cs="Arial"/>
          <w:lang w:val="en-US"/>
        </w:rPr>
        <w:t>]</w:t>
      </w:r>
      <w:r>
        <w:rPr>
          <w:rFonts w:ascii="Arial" w:hAnsi="Arial" w:cs="Arial"/>
          <w:lang w:val="en-US"/>
        </w:rPr>
        <w:tab/>
      </w:r>
      <w:r w:rsidR="00197953">
        <w:rPr>
          <w:rFonts w:ascii="Arial" w:hAnsi="Arial" w:cs="Arial"/>
          <w:lang w:val="en-US"/>
        </w:rPr>
        <w:t xml:space="preserve">The proceedings before the </w:t>
      </w:r>
      <w:r w:rsidR="00D20E9D">
        <w:rPr>
          <w:rFonts w:ascii="Arial" w:hAnsi="Arial" w:cs="Arial"/>
          <w:lang w:val="en-US"/>
        </w:rPr>
        <w:t xml:space="preserve">tax </w:t>
      </w:r>
      <w:r w:rsidR="00197953">
        <w:rPr>
          <w:rFonts w:ascii="Arial" w:hAnsi="Arial" w:cs="Arial"/>
          <w:lang w:val="en-US"/>
        </w:rPr>
        <w:t>court</w:t>
      </w:r>
      <w:r w:rsidR="00134AC8" w:rsidRPr="003A0527">
        <w:rPr>
          <w:rFonts w:ascii="Arial" w:hAnsi="Arial" w:cs="Arial"/>
          <w:i/>
          <w:iCs/>
          <w:lang w:val="en-US"/>
        </w:rPr>
        <w:t xml:space="preserve"> </w:t>
      </w:r>
      <w:r w:rsidR="005D7D20">
        <w:rPr>
          <w:rFonts w:ascii="Arial" w:hAnsi="Arial" w:cs="Arial"/>
          <w:lang w:val="en-US"/>
        </w:rPr>
        <w:t xml:space="preserve">were </w:t>
      </w:r>
      <w:r w:rsidR="00D50197">
        <w:rPr>
          <w:rFonts w:ascii="Arial" w:hAnsi="Arial" w:cs="Arial"/>
          <w:lang w:val="en-US"/>
        </w:rPr>
        <w:t>conducted</w:t>
      </w:r>
      <w:r w:rsidR="00134AC8">
        <w:rPr>
          <w:rFonts w:ascii="Arial" w:hAnsi="Arial" w:cs="Arial"/>
          <w:lang w:val="en-US"/>
        </w:rPr>
        <w:t xml:space="preserve"> </w:t>
      </w:r>
      <w:r w:rsidR="00197953">
        <w:rPr>
          <w:rFonts w:ascii="Arial" w:hAnsi="Arial" w:cs="Arial"/>
          <w:lang w:val="en-US"/>
        </w:rPr>
        <w:t>in terms of the</w:t>
      </w:r>
      <w:r w:rsidR="00134AC8">
        <w:rPr>
          <w:rFonts w:ascii="Arial" w:hAnsi="Arial" w:cs="Arial"/>
          <w:lang w:val="en-US"/>
        </w:rPr>
        <w:t xml:space="preserve"> </w:t>
      </w:r>
      <w:r w:rsidR="00D20E9D">
        <w:rPr>
          <w:rFonts w:ascii="Arial" w:hAnsi="Arial" w:cs="Arial"/>
          <w:lang w:val="en-US"/>
        </w:rPr>
        <w:t xml:space="preserve">prevailing </w:t>
      </w:r>
      <w:r w:rsidR="00197953">
        <w:rPr>
          <w:rFonts w:ascii="Arial" w:hAnsi="Arial" w:cs="Arial"/>
          <w:lang w:val="en-US"/>
        </w:rPr>
        <w:t>provisions of rule 32(3)</w:t>
      </w:r>
      <w:r w:rsidR="00D20E9D">
        <w:rPr>
          <w:rFonts w:ascii="Arial" w:hAnsi="Arial" w:cs="Arial"/>
          <w:lang w:val="en-US"/>
        </w:rPr>
        <w:t>.</w:t>
      </w:r>
      <w:r w:rsidR="00197953">
        <w:rPr>
          <w:rFonts w:ascii="Arial" w:hAnsi="Arial" w:cs="Arial"/>
          <w:lang w:val="en-US"/>
        </w:rPr>
        <w:t xml:space="preserve"> </w:t>
      </w:r>
      <w:r w:rsidR="00D50197">
        <w:rPr>
          <w:rFonts w:ascii="Arial" w:hAnsi="Arial" w:cs="Arial"/>
          <w:lang w:val="en-US"/>
        </w:rPr>
        <w:t xml:space="preserve">As a </w:t>
      </w:r>
      <w:r w:rsidR="00D20E9D">
        <w:rPr>
          <w:rFonts w:ascii="Arial" w:hAnsi="Arial" w:cs="Arial"/>
          <w:lang w:val="en-US"/>
        </w:rPr>
        <w:t>result,</w:t>
      </w:r>
      <w:r w:rsidR="00D50197">
        <w:rPr>
          <w:rFonts w:ascii="Arial" w:hAnsi="Arial" w:cs="Arial"/>
          <w:lang w:val="en-US"/>
        </w:rPr>
        <w:t xml:space="preserve"> its</w:t>
      </w:r>
      <w:r w:rsidR="00197953">
        <w:rPr>
          <w:rFonts w:ascii="Arial" w:hAnsi="Arial" w:cs="Arial"/>
          <w:lang w:val="en-US"/>
        </w:rPr>
        <w:t xml:space="preserve"> judgment</w:t>
      </w:r>
      <w:r w:rsidR="00DF4656">
        <w:rPr>
          <w:rFonts w:ascii="Arial" w:hAnsi="Arial" w:cs="Arial"/>
          <w:i/>
          <w:iCs/>
          <w:lang w:val="en-US"/>
        </w:rPr>
        <w:t xml:space="preserve">, </w:t>
      </w:r>
      <w:r w:rsidR="00DF4656" w:rsidRPr="00DF4656">
        <w:rPr>
          <w:rFonts w:ascii="Arial" w:hAnsi="Arial" w:cs="Arial"/>
          <w:lang w:val="en-US"/>
        </w:rPr>
        <w:t xml:space="preserve">which </w:t>
      </w:r>
      <w:r w:rsidR="00197953">
        <w:rPr>
          <w:rFonts w:ascii="Arial" w:hAnsi="Arial" w:cs="Arial"/>
          <w:lang w:val="en-US"/>
        </w:rPr>
        <w:t>was handed down on 29 November 2022</w:t>
      </w:r>
      <w:r w:rsidR="00DF4656">
        <w:rPr>
          <w:rFonts w:ascii="Arial" w:hAnsi="Arial" w:cs="Arial"/>
          <w:lang w:val="en-US"/>
        </w:rPr>
        <w:t>,</w:t>
      </w:r>
      <w:r w:rsidR="00197953">
        <w:rPr>
          <w:rFonts w:ascii="Arial" w:hAnsi="Arial" w:cs="Arial"/>
          <w:lang w:val="en-US"/>
        </w:rPr>
        <w:t xml:space="preserve"> dealt with the interpretation of the </w:t>
      </w:r>
      <w:r w:rsidR="00134AC8">
        <w:rPr>
          <w:rFonts w:ascii="Arial" w:hAnsi="Arial" w:cs="Arial"/>
          <w:lang w:val="en-US"/>
        </w:rPr>
        <w:t>subrule as</w:t>
      </w:r>
      <w:r w:rsidR="00197953">
        <w:rPr>
          <w:rFonts w:ascii="Arial" w:hAnsi="Arial" w:cs="Arial"/>
          <w:lang w:val="en-US"/>
        </w:rPr>
        <w:t xml:space="preserve"> it </w:t>
      </w:r>
      <w:r w:rsidR="00264FF1">
        <w:rPr>
          <w:rFonts w:ascii="Arial" w:hAnsi="Arial" w:cs="Arial"/>
          <w:lang w:val="en-US"/>
        </w:rPr>
        <w:t xml:space="preserve">then </w:t>
      </w:r>
      <w:r w:rsidR="00197953">
        <w:rPr>
          <w:rFonts w:ascii="Arial" w:hAnsi="Arial" w:cs="Arial"/>
          <w:lang w:val="en-US"/>
        </w:rPr>
        <w:t xml:space="preserve">stood. The issue for consideration </w:t>
      </w:r>
      <w:r w:rsidR="00134AC8">
        <w:rPr>
          <w:rFonts w:ascii="Arial" w:hAnsi="Arial" w:cs="Arial"/>
          <w:lang w:val="en-US"/>
        </w:rPr>
        <w:t xml:space="preserve">by the </w:t>
      </w:r>
      <w:r w:rsidR="00D20E9D">
        <w:rPr>
          <w:rFonts w:ascii="Arial" w:hAnsi="Arial" w:cs="Arial"/>
          <w:lang w:val="en-US"/>
        </w:rPr>
        <w:t xml:space="preserve">tax </w:t>
      </w:r>
      <w:r w:rsidR="00134AC8">
        <w:rPr>
          <w:rFonts w:ascii="Arial" w:hAnsi="Arial" w:cs="Arial"/>
          <w:lang w:val="en-US"/>
        </w:rPr>
        <w:t xml:space="preserve">court </w:t>
      </w:r>
      <w:r w:rsidR="00197953">
        <w:rPr>
          <w:rFonts w:ascii="Arial" w:hAnsi="Arial" w:cs="Arial"/>
          <w:lang w:val="en-US"/>
        </w:rPr>
        <w:t xml:space="preserve">was whether the </w:t>
      </w:r>
      <w:r w:rsidR="001708BA">
        <w:rPr>
          <w:rFonts w:ascii="Arial" w:hAnsi="Arial" w:cs="Arial"/>
          <w:lang w:val="en-US"/>
        </w:rPr>
        <w:t>appellant</w:t>
      </w:r>
      <w:r w:rsidR="00197953">
        <w:rPr>
          <w:rFonts w:ascii="Arial" w:hAnsi="Arial" w:cs="Arial"/>
          <w:lang w:val="en-US"/>
        </w:rPr>
        <w:t xml:space="preserve"> was permitted to rely on </w:t>
      </w:r>
      <w:r w:rsidR="008035EA">
        <w:rPr>
          <w:rFonts w:ascii="Arial" w:hAnsi="Arial" w:cs="Arial"/>
          <w:lang w:val="en-US"/>
        </w:rPr>
        <w:t>a</w:t>
      </w:r>
      <w:r w:rsidR="00197953">
        <w:rPr>
          <w:rFonts w:ascii="Arial" w:hAnsi="Arial" w:cs="Arial"/>
          <w:lang w:val="en-US"/>
        </w:rPr>
        <w:t xml:space="preserve"> </w:t>
      </w:r>
      <w:r w:rsidR="00217C23">
        <w:rPr>
          <w:rFonts w:ascii="Arial" w:hAnsi="Arial" w:cs="Arial"/>
          <w:lang w:val="en-US"/>
        </w:rPr>
        <w:t>g</w:t>
      </w:r>
      <w:r w:rsidR="00197953">
        <w:rPr>
          <w:rFonts w:ascii="Arial" w:hAnsi="Arial" w:cs="Arial"/>
          <w:lang w:val="en-US"/>
        </w:rPr>
        <w:t xml:space="preserve">round of appeal </w:t>
      </w:r>
      <w:r w:rsidR="00FE442A">
        <w:rPr>
          <w:rFonts w:ascii="Arial" w:hAnsi="Arial" w:cs="Arial"/>
          <w:lang w:val="en-US"/>
        </w:rPr>
        <w:t xml:space="preserve">which was set out in its statement in terms of rule 32, </w:t>
      </w:r>
      <w:r w:rsidR="008035EA">
        <w:rPr>
          <w:rFonts w:ascii="Arial" w:hAnsi="Arial" w:cs="Arial"/>
          <w:lang w:val="en-US"/>
        </w:rPr>
        <w:t>which</w:t>
      </w:r>
      <w:r w:rsidR="00197953">
        <w:rPr>
          <w:rFonts w:ascii="Arial" w:hAnsi="Arial" w:cs="Arial"/>
          <w:lang w:val="en-US"/>
        </w:rPr>
        <w:t xml:space="preserve"> </w:t>
      </w:r>
      <w:r w:rsidR="00FE442A">
        <w:rPr>
          <w:rFonts w:ascii="Arial" w:hAnsi="Arial" w:cs="Arial"/>
          <w:lang w:val="en-US"/>
        </w:rPr>
        <w:t xml:space="preserve">effectively </w:t>
      </w:r>
      <w:r w:rsidR="00197953">
        <w:rPr>
          <w:rFonts w:ascii="Arial" w:hAnsi="Arial" w:cs="Arial"/>
          <w:lang w:val="en-US"/>
        </w:rPr>
        <w:t>constitute</w:t>
      </w:r>
      <w:r w:rsidR="008035EA">
        <w:rPr>
          <w:rFonts w:ascii="Arial" w:hAnsi="Arial" w:cs="Arial"/>
          <w:lang w:val="en-US"/>
        </w:rPr>
        <w:t>d</w:t>
      </w:r>
      <w:r w:rsidR="00197953">
        <w:rPr>
          <w:rFonts w:ascii="Arial" w:hAnsi="Arial" w:cs="Arial"/>
          <w:lang w:val="en-US"/>
        </w:rPr>
        <w:t xml:space="preserve"> a ground of objection</w:t>
      </w:r>
      <w:r w:rsidR="008035EA">
        <w:rPr>
          <w:rFonts w:ascii="Arial" w:hAnsi="Arial" w:cs="Arial"/>
          <w:lang w:val="en-US"/>
        </w:rPr>
        <w:t xml:space="preserve"> which had not been raised before</w:t>
      </w:r>
      <w:r w:rsidR="00197953">
        <w:rPr>
          <w:rFonts w:ascii="Arial" w:hAnsi="Arial" w:cs="Arial"/>
          <w:lang w:val="en-US"/>
        </w:rPr>
        <w:t xml:space="preserve">. </w:t>
      </w:r>
      <w:r>
        <w:rPr>
          <w:rFonts w:ascii="Arial" w:hAnsi="Arial" w:cs="Arial"/>
          <w:lang w:val="en-US"/>
        </w:rPr>
        <w:t xml:space="preserve">  </w:t>
      </w:r>
    </w:p>
    <w:p w14:paraId="78FB48D2" w14:textId="77777777" w:rsidR="00073CEC" w:rsidRDefault="00073CEC" w:rsidP="00197953">
      <w:pPr>
        <w:spacing w:line="480" w:lineRule="auto"/>
        <w:jc w:val="both"/>
        <w:rPr>
          <w:rFonts w:ascii="Arial" w:hAnsi="Arial" w:cs="Arial"/>
          <w:lang w:val="en-US"/>
        </w:rPr>
      </w:pPr>
    </w:p>
    <w:p w14:paraId="05BB407C" w14:textId="3731CE65" w:rsidR="00073CEC" w:rsidRDefault="00073CEC" w:rsidP="00197953">
      <w:pPr>
        <w:spacing w:line="480" w:lineRule="auto"/>
        <w:jc w:val="both"/>
        <w:rPr>
          <w:rFonts w:ascii="Arial" w:hAnsi="Arial" w:cs="Arial"/>
          <w:i/>
          <w:iCs/>
          <w:lang w:val="en-US"/>
        </w:rPr>
      </w:pPr>
      <w:r>
        <w:rPr>
          <w:rFonts w:ascii="Arial" w:hAnsi="Arial" w:cs="Arial"/>
          <w:lang w:val="en-US"/>
        </w:rPr>
        <w:t>[</w:t>
      </w:r>
      <w:r w:rsidR="00FE442A">
        <w:rPr>
          <w:rFonts w:ascii="Arial" w:hAnsi="Arial" w:cs="Arial"/>
          <w:lang w:val="en-US"/>
        </w:rPr>
        <w:t>10</w:t>
      </w:r>
      <w:r>
        <w:rPr>
          <w:rFonts w:ascii="Arial" w:hAnsi="Arial" w:cs="Arial"/>
          <w:lang w:val="en-US"/>
        </w:rPr>
        <w:t>]</w:t>
      </w:r>
      <w:r>
        <w:rPr>
          <w:rFonts w:ascii="Arial" w:hAnsi="Arial" w:cs="Arial"/>
          <w:lang w:val="en-US"/>
        </w:rPr>
        <w:tab/>
      </w:r>
      <w:r w:rsidR="00197953">
        <w:rPr>
          <w:rFonts w:ascii="Arial" w:hAnsi="Arial" w:cs="Arial"/>
          <w:lang w:val="en-US"/>
        </w:rPr>
        <w:t>On 10 March 2023</w:t>
      </w:r>
      <w:r w:rsidR="00DA3BBF">
        <w:rPr>
          <w:rFonts w:ascii="Arial" w:hAnsi="Arial" w:cs="Arial"/>
          <w:lang w:val="en-US"/>
        </w:rPr>
        <w:t>,</w:t>
      </w:r>
      <w:r w:rsidR="00197953">
        <w:rPr>
          <w:rFonts w:ascii="Arial" w:hAnsi="Arial" w:cs="Arial"/>
          <w:lang w:val="en-US"/>
        </w:rPr>
        <w:t xml:space="preserve"> </w:t>
      </w:r>
      <w:r w:rsidR="00971124">
        <w:rPr>
          <w:rFonts w:ascii="Arial" w:hAnsi="Arial" w:cs="Arial"/>
          <w:lang w:val="en-US"/>
        </w:rPr>
        <w:t>the new</w:t>
      </w:r>
      <w:r w:rsidR="00217C23">
        <w:rPr>
          <w:rFonts w:ascii="Arial" w:hAnsi="Arial" w:cs="Arial"/>
          <w:lang w:val="en-US"/>
        </w:rPr>
        <w:t xml:space="preserve"> i.e.</w:t>
      </w:r>
      <w:r w:rsidR="00971124">
        <w:rPr>
          <w:rFonts w:ascii="Arial" w:hAnsi="Arial" w:cs="Arial"/>
          <w:lang w:val="en-US"/>
        </w:rPr>
        <w:t xml:space="preserve"> current T</w:t>
      </w:r>
      <w:r w:rsidR="004F1EC4">
        <w:rPr>
          <w:rFonts w:ascii="Arial" w:hAnsi="Arial" w:cs="Arial"/>
          <w:lang w:val="en-US"/>
        </w:rPr>
        <w:t>CR</w:t>
      </w:r>
      <w:r w:rsidR="00971124">
        <w:rPr>
          <w:rFonts w:ascii="Arial" w:hAnsi="Arial" w:cs="Arial"/>
          <w:lang w:val="en-US"/>
        </w:rPr>
        <w:t xml:space="preserve"> were promulgated. In its new form </w:t>
      </w:r>
      <w:r w:rsidR="00197953">
        <w:rPr>
          <w:rFonts w:ascii="Arial" w:hAnsi="Arial" w:cs="Arial"/>
          <w:lang w:val="en-US"/>
        </w:rPr>
        <w:t xml:space="preserve">rule 32(3) </w:t>
      </w:r>
      <w:r w:rsidR="004F1EC4">
        <w:rPr>
          <w:rFonts w:ascii="Arial" w:hAnsi="Arial" w:cs="Arial"/>
          <w:lang w:val="en-US"/>
        </w:rPr>
        <w:t xml:space="preserve">now </w:t>
      </w:r>
      <w:r w:rsidR="008035EA">
        <w:rPr>
          <w:rFonts w:ascii="Arial" w:hAnsi="Arial" w:cs="Arial"/>
          <w:lang w:val="en-US"/>
        </w:rPr>
        <w:t>read</w:t>
      </w:r>
      <w:r w:rsidR="00217C23">
        <w:rPr>
          <w:rFonts w:ascii="Arial" w:hAnsi="Arial" w:cs="Arial"/>
          <w:lang w:val="en-US"/>
        </w:rPr>
        <w:t>s</w:t>
      </w:r>
      <w:r w:rsidR="008035EA">
        <w:rPr>
          <w:rFonts w:ascii="Arial" w:hAnsi="Arial" w:cs="Arial"/>
          <w:lang w:val="en-US"/>
        </w:rPr>
        <w:t xml:space="preserve"> </w:t>
      </w:r>
      <w:r w:rsidR="00197953">
        <w:rPr>
          <w:rFonts w:ascii="Arial" w:hAnsi="Arial" w:cs="Arial"/>
          <w:lang w:val="en-US"/>
        </w:rPr>
        <w:t>as follows:</w:t>
      </w:r>
    </w:p>
    <w:p w14:paraId="65CB0C07" w14:textId="4669854F" w:rsidR="009567E7" w:rsidRDefault="008C3905" w:rsidP="00677D95">
      <w:pPr>
        <w:ind w:firstLine="720"/>
        <w:jc w:val="both"/>
        <w:rPr>
          <w:rFonts w:ascii="Arial" w:hAnsi="Arial" w:cs="Arial"/>
          <w:lang w:val="en-US"/>
        </w:rPr>
      </w:pPr>
      <w:r w:rsidRPr="00217C23">
        <w:rPr>
          <w:rFonts w:ascii="Arial" w:hAnsi="Arial" w:cs="Arial"/>
          <w:sz w:val="20"/>
          <w:szCs w:val="20"/>
          <w:lang w:val="en-US"/>
        </w:rPr>
        <w:t>‘</w:t>
      </w:r>
      <w:r w:rsidR="00197953" w:rsidRPr="00217C23">
        <w:rPr>
          <w:rFonts w:ascii="Arial" w:hAnsi="Arial" w:cs="Arial"/>
          <w:sz w:val="20"/>
          <w:szCs w:val="20"/>
          <w:lang w:val="en-US"/>
        </w:rPr>
        <w:t xml:space="preserve">32(3) The appellant may include in the statement </w:t>
      </w:r>
      <w:r w:rsidRPr="00217C23">
        <w:rPr>
          <w:rFonts w:ascii="Arial" w:hAnsi="Arial" w:cs="Arial"/>
          <w:sz w:val="20"/>
          <w:szCs w:val="20"/>
          <w:lang w:val="en-US"/>
        </w:rPr>
        <w:t>a</w:t>
      </w:r>
      <w:r w:rsidR="00197953" w:rsidRPr="00217C23">
        <w:rPr>
          <w:rFonts w:ascii="Arial" w:hAnsi="Arial" w:cs="Arial"/>
          <w:sz w:val="20"/>
          <w:szCs w:val="20"/>
          <w:lang w:val="en-US"/>
        </w:rPr>
        <w:t xml:space="preserve"> new ground of appeal unless it constitutes a ground of objection against a part or amount of the disputed assessment not objected </w:t>
      </w:r>
      <w:r w:rsidR="008035EA" w:rsidRPr="00217C23">
        <w:rPr>
          <w:rFonts w:ascii="Arial" w:hAnsi="Arial" w:cs="Arial"/>
          <w:sz w:val="20"/>
          <w:szCs w:val="20"/>
          <w:lang w:val="en-US"/>
        </w:rPr>
        <w:t xml:space="preserve">to </w:t>
      </w:r>
      <w:r w:rsidR="00197953" w:rsidRPr="00217C23">
        <w:rPr>
          <w:rFonts w:ascii="Arial" w:hAnsi="Arial" w:cs="Arial"/>
          <w:sz w:val="20"/>
          <w:szCs w:val="20"/>
          <w:lang w:val="en-US"/>
        </w:rPr>
        <w:t>under rule 7.</w:t>
      </w:r>
      <w:r w:rsidRPr="00217C23">
        <w:rPr>
          <w:rFonts w:ascii="Arial" w:hAnsi="Arial" w:cs="Arial"/>
          <w:sz w:val="20"/>
          <w:szCs w:val="20"/>
          <w:lang w:val="en-US"/>
        </w:rPr>
        <w:t>’</w:t>
      </w:r>
    </w:p>
    <w:p w14:paraId="57B31322" w14:textId="77777777" w:rsidR="00FE442A" w:rsidRDefault="00FE442A" w:rsidP="00971124">
      <w:pPr>
        <w:spacing w:line="480" w:lineRule="auto"/>
        <w:jc w:val="both"/>
        <w:rPr>
          <w:rFonts w:ascii="Arial" w:hAnsi="Arial" w:cs="Arial"/>
          <w:lang w:val="en-US"/>
        </w:rPr>
      </w:pPr>
    </w:p>
    <w:p w14:paraId="64853603" w14:textId="752398E7" w:rsidR="008E03F7" w:rsidRDefault="00FE442A" w:rsidP="00197953">
      <w:pPr>
        <w:spacing w:line="480" w:lineRule="auto"/>
        <w:jc w:val="both"/>
        <w:rPr>
          <w:rFonts w:ascii="Arial" w:hAnsi="Arial" w:cs="Arial"/>
          <w:lang w:val="en-US"/>
        </w:rPr>
      </w:pPr>
      <w:r>
        <w:rPr>
          <w:rFonts w:ascii="Arial" w:hAnsi="Arial" w:cs="Arial"/>
          <w:lang w:val="en-US"/>
        </w:rPr>
        <w:t>[11]</w:t>
      </w:r>
      <w:r>
        <w:rPr>
          <w:rFonts w:ascii="Arial" w:hAnsi="Arial" w:cs="Arial"/>
          <w:lang w:val="en-US"/>
        </w:rPr>
        <w:tab/>
      </w:r>
      <w:r w:rsidR="008035EA">
        <w:rPr>
          <w:rFonts w:ascii="Arial" w:hAnsi="Arial" w:cs="Arial"/>
          <w:lang w:val="en-US"/>
        </w:rPr>
        <w:t xml:space="preserve">Rule 66 expressly stipulates that the provisions of the </w:t>
      </w:r>
      <w:r w:rsidR="00971124">
        <w:rPr>
          <w:rFonts w:ascii="Arial" w:hAnsi="Arial" w:cs="Arial"/>
          <w:lang w:val="en-US"/>
        </w:rPr>
        <w:t xml:space="preserve">new, </w:t>
      </w:r>
      <w:r w:rsidR="008035EA">
        <w:rPr>
          <w:rFonts w:ascii="Arial" w:hAnsi="Arial" w:cs="Arial"/>
          <w:lang w:val="en-US"/>
        </w:rPr>
        <w:t xml:space="preserve">amended </w:t>
      </w:r>
      <w:r w:rsidR="00971124">
        <w:rPr>
          <w:rFonts w:ascii="Arial" w:hAnsi="Arial" w:cs="Arial"/>
          <w:lang w:val="en-US"/>
        </w:rPr>
        <w:t xml:space="preserve">rules </w:t>
      </w:r>
      <w:r w:rsidR="008035EA">
        <w:rPr>
          <w:rFonts w:ascii="Arial" w:hAnsi="Arial" w:cs="Arial"/>
          <w:lang w:val="en-US"/>
        </w:rPr>
        <w:t xml:space="preserve">are </w:t>
      </w:r>
      <w:r w:rsidR="00971124">
        <w:rPr>
          <w:rFonts w:ascii="Arial" w:hAnsi="Arial" w:cs="Arial"/>
          <w:lang w:val="en-US"/>
        </w:rPr>
        <w:t xml:space="preserve">to apply to any prior, as well as to any continuing ‘action’ or proceeding. Thus, </w:t>
      </w:r>
      <w:r w:rsidR="00264FF1">
        <w:rPr>
          <w:rFonts w:ascii="Arial" w:hAnsi="Arial" w:cs="Arial"/>
          <w:lang w:val="en-US"/>
        </w:rPr>
        <w:t xml:space="preserve">in terms of rule 66(1) </w:t>
      </w:r>
      <w:r w:rsidR="00971124">
        <w:rPr>
          <w:rFonts w:ascii="Arial" w:hAnsi="Arial" w:cs="Arial"/>
          <w:lang w:val="en-US"/>
        </w:rPr>
        <w:t xml:space="preserve">the </w:t>
      </w:r>
      <w:r w:rsidR="00971124" w:rsidRPr="009F76E2">
        <w:rPr>
          <w:rFonts w:ascii="Arial" w:hAnsi="Arial" w:cs="Arial"/>
          <w:lang w:val="en-US"/>
        </w:rPr>
        <w:t xml:space="preserve">new </w:t>
      </w:r>
      <w:r w:rsidR="00197953" w:rsidRPr="009F76E2">
        <w:rPr>
          <w:rFonts w:ascii="Arial" w:hAnsi="Arial" w:cs="Arial"/>
          <w:lang w:val="en-US"/>
        </w:rPr>
        <w:t>rules apply to</w:t>
      </w:r>
      <w:r w:rsidR="00197953" w:rsidRPr="002F40C6">
        <w:rPr>
          <w:rFonts w:ascii="Arial" w:hAnsi="Arial" w:cs="Arial"/>
          <w:i/>
          <w:iCs/>
          <w:lang w:val="en-US"/>
        </w:rPr>
        <w:t xml:space="preserve"> </w:t>
      </w:r>
      <w:r w:rsidR="00971124">
        <w:rPr>
          <w:rFonts w:ascii="Arial" w:hAnsi="Arial" w:cs="Arial"/>
          <w:i/>
          <w:iCs/>
          <w:lang w:val="en-US"/>
        </w:rPr>
        <w:t>‘</w:t>
      </w:r>
      <w:r w:rsidR="00197953" w:rsidRPr="002F40C6">
        <w:rPr>
          <w:rFonts w:ascii="Arial" w:hAnsi="Arial" w:cs="Arial"/>
          <w:i/>
          <w:iCs/>
          <w:lang w:val="en-US"/>
        </w:rPr>
        <w:t>an act or proceeding taken, occurring or instituted before the</w:t>
      </w:r>
      <w:r w:rsidR="00971124">
        <w:rPr>
          <w:rFonts w:ascii="Arial" w:hAnsi="Arial" w:cs="Arial"/>
          <w:i/>
          <w:iCs/>
          <w:lang w:val="en-US"/>
        </w:rPr>
        <w:t>ir</w:t>
      </w:r>
      <w:r w:rsidR="00197953" w:rsidRPr="002F40C6">
        <w:rPr>
          <w:rFonts w:ascii="Arial" w:hAnsi="Arial" w:cs="Arial"/>
          <w:i/>
          <w:iCs/>
          <w:lang w:val="en-US"/>
        </w:rPr>
        <w:t xml:space="preserve"> commencement date</w:t>
      </w:r>
      <w:r w:rsidR="00971124">
        <w:rPr>
          <w:rFonts w:ascii="Arial" w:hAnsi="Arial" w:cs="Arial"/>
          <w:i/>
          <w:iCs/>
          <w:lang w:val="en-US"/>
        </w:rPr>
        <w:t>,</w:t>
      </w:r>
      <w:r w:rsidR="008C3905">
        <w:rPr>
          <w:rFonts w:ascii="Arial" w:hAnsi="Arial" w:cs="Arial"/>
          <w:i/>
          <w:iCs/>
          <w:lang w:val="en-US"/>
        </w:rPr>
        <w:t xml:space="preserve"> without prejudice</w:t>
      </w:r>
      <w:r w:rsidR="00197953" w:rsidRPr="002F40C6">
        <w:rPr>
          <w:rFonts w:ascii="Arial" w:hAnsi="Arial" w:cs="Arial"/>
          <w:i/>
          <w:iCs/>
          <w:lang w:val="en-US"/>
        </w:rPr>
        <w:t xml:space="preserve"> to </w:t>
      </w:r>
      <w:r w:rsidR="00971124">
        <w:rPr>
          <w:rFonts w:ascii="Arial" w:hAnsi="Arial" w:cs="Arial"/>
          <w:i/>
          <w:iCs/>
          <w:lang w:val="en-US"/>
        </w:rPr>
        <w:t xml:space="preserve">an </w:t>
      </w:r>
      <w:r w:rsidR="00197953" w:rsidRPr="002F40C6">
        <w:rPr>
          <w:rFonts w:ascii="Arial" w:hAnsi="Arial" w:cs="Arial"/>
          <w:i/>
          <w:iCs/>
          <w:lang w:val="en-US"/>
        </w:rPr>
        <w:t>action taken or proceedings conducted before the commencement date of the comparable provisions</w:t>
      </w:r>
      <w:r w:rsidR="00971124">
        <w:rPr>
          <w:rFonts w:ascii="Arial" w:hAnsi="Arial" w:cs="Arial"/>
          <w:i/>
          <w:iCs/>
          <w:lang w:val="en-US"/>
        </w:rPr>
        <w:t>’</w:t>
      </w:r>
      <w:r w:rsidR="009F76E2">
        <w:rPr>
          <w:rFonts w:ascii="Arial" w:hAnsi="Arial" w:cs="Arial"/>
          <w:i/>
          <w:iCs/>
          <w:lang w:val="en-US"/>
        </w:rPr>
        <w:t xml:space="preserve"> </w:t>
      </w:r>
      <w:r w:rsidR="009F76E2">
        <w:rPr>
          <w:rFonts w:ascii="Arial" w:hAnsi="Arial" w:cs="Arial"/>
          <w:lang w:val="en-US"/>
        </w:rPr>
        <w:t>in the new rules</w:t>
      </w:r>
      <w:r w:rsidR="00264FF1">
        <w:rPr>
          <w:rFonts w:ascii="Arial" w:hAnsi="Arial" w:cs="Arial"/>
          <w:lang w:val="en-US"/>
        </w:rPr>
        <w:t xml:space="preserve">. Rule 66(2) stipulates </w:t>
      </w:r>
      <w:r w:rsidR="00264FF1" w:rsidRPr="00264FF1">
        <w:rPr>
          <w:rFonts w:ascii="Arial" w:hAnsi="Arial" w:cs="Arial"/>
          <w:i/>
          <w:iCs/>
          <w:lang w:val="en-US"/>
        </w:rPr>
        <w:t>inter alia</w:t>
      </w:r>
      <w:r w:rsidR="00264FF1">
        <w:rPr>
          <w:rFonts w:ascii="Arial" w:hAnsi="Arial" w:cs="Arial"/>
          <w:lang w:val="en-US"/>
        </w:rPr>
        <w:t xml:space="preserve"> that any objection, appeal to the tax court, or interlocutory application or application in a procedural matter, which was taken or instituted under the previous rules but not completed as </w:t>
      </w:r>
      <w:r w:rsidR="000E70F4">
        <w:rPr>
          <w:rFonts w:ascii="Arial" w:hAnsi="Arial" w:cs="Arial"/>
          <w:lang w:val="en-US"/>
        </w:rPr>
        <w:t xml:space="preserve">at </w:t>
      </w:r>
      <w:r w:rsidR="00264FF1">
        <w:rPr>
          <w:rFonts w:ascii="Arial" w:hAnsi="Arial" w:cs="Arial"/>
          <w:lang w:val="en-US"/>
        </w:rPr>
        <w:t xml:space="preserve">the date of commencement of the new rules, must be continued and </w:t>
      </w:r>
      <w:r w:rsidR="00CB2AC2">
        <w:rPr>
          <w:rFonts w:ascii="Arial" w:hAnsi="Arial" w:cs="Arial"/>
          <w:lang w:val="en-US"/>
        </w:rPr>
        <w:t>‘</w:t>
      </w:r>
      <w:r w:rsidR="00264FF1">
        <w:rPr>
          <w:rFonts w:ascii="Arial" w:hAnsi="Arial" w:cs="Arial"/>
          <w:lang w:val="en-US"/>
        </w:rPr>
        <w:t>concluded</w:t>
      </w:r>
      <w:r w:rsidR="00CB2AC2">
        <w:rPr>
          <w:rFonts w:ascii="Arial" w:hAnsi="Arial" w:cs="Arial"/>
          <w:lang w:val="en-US"/>
        </w:rPr>
        <w:t>’</w:t>
      </w:r>
      <w:r w:rsidR="00264FF1">
        <w:rPr>
          <w:rFonts w:ascii="Arial" w:hAnsi="Arial" w:cs="Arial"/>
          <w:lang w:val="en-US"/>
        </w:rPr>
        <w:t xml:space="preserve"> under the new rules, as if </w:t>
      </w:r>
      <w:r w:rsidR="000E70F4">
        <w:rPr>
          <w:rFonts w:ascii="Arial" w:hAnsi="Arial" w:cs="Arial"/>
          <w:lang w:val="en-US"/>
        </w:rPr>
        <w:t xml:space="preserve">it was </w:t>
      </w:r>
      <w:r w:rsidR="00264FF1">
        <w:rPr>
          <w:rFonts w:ascii="Arial" w:hAnsi="Arial" w:cs="Arial"/>
          <w:lang w:val="en-US"/>
        </w:rPr>
        <w:t>taken or instituted under them.</w:t>
      </w:r>
      <w:r>
        <w:rPr>
          <w:rFonts w:ascii="Arial" w:hAnsi="Arial" w:cs="Arial"/>
          <w:lang w:val="en-US"/>
        </w:rPr>
        <w:t xml:space="preserve"> </w:t>
      </w:r>
      <w:r w:rsidR="00720165">
        <w:rPr>
          <w:rFonts w:ascii="Arial" w:hAnsi="Arial" w:cs="Arial"/>
          <w:lang w:val="en-US"/>
        </w:rPr>
        <w:t>Given</w:t>
      </w:r>
      <w:r w:rsidR="00197953">
        <w:rPr>
          <w:rFonts w:ascii="Arial" w:hAnsi="Arial" w:cs="Arial"/>
          <w:lang w:val="en-US"/>
        </w:rPr>
        <w:t xml:space="preserve"> these provisions</w:t>
      </w:r>
      <w:r w:rsidR="008C3905">
        <w:rPr>
          <w:rFonts w:ascii="Arial" w:hAnsi="Arial" w:cs="Arial"/>
          <w:lang w:val="en-US"/>
        </w:rPr>
        <w:t>,</w:t>
      </w:r>
      <w:r w:rsidR="00197953">
        <w:rPr>
          <w:rFonts w:ascii="Arial" w:hAnsi="Arial" w:cs="Arial"/>
          <w:lang w:val="en-US"/>
        </w:rPr>
        <w:t xml:space="preserve"> the </w:t>
      </w:r>
      <w:r w:rsidR="00720165">
        <w:rPr>
          <w:rFonts w:ascii="Arial" w:hAnsi="Arial" w:cs="Arial"/>
          <w:lang w:val="en-US"/>
        </w:rPr>
        <w:t xml:space="preserve">parties </w:t>
      </w:r>
      <w:r w:rsidR="001B56B2">
        <w:rPr>
          <w:rFonts w:ascii="Arial" w:hAnsi="Arial" w:cs="Arial"/>
          <w:lang w:val="en-US"/>
        </w:rPr>
        <w:t xml:space="preserve">agreed </w:t>
      </w:r>
      <w:r w:rsidR="00720165">
        <w:rPr>
          <w:rFonts w:ascii="Arial" w:hAnsi="Arial" w:cs="Arial"/>
          <w:lang w:val="en-US"/>
        </w:rPr>
        <w:t>that the</w:t>
      </w:r>
      <w:r w:rsidR="00197953">
        <w:rPr>
          <w:rFonts w:ascii="Arial" w:hAnsi="Arial" w:cs="Arial"/>
          <w:lang w:val="en-US"/>
        </w:rPr>
        <w:t xml:space="preserve"> appeal </w:t>
      </w:r>
      <w:r w:rsidR="00264FF1">
        <w:rPr>
          <w:rFonts w:ascii="Arial" w:hAnsi="Arial" w:cs="Arial"/>
          <w:lang w:val="en-US"/>
        </w:rPr>
        <w:t>should</w:t>
      </w:r>
      <w:r w:rsidR="00197953">
        <w:rPr>
          <w:rFonts w:ascii="Arial" w:hAnsi="Arial" w:cs="Arial"/>
          <w:lang w:val="en-US"/>
        </w:rPr>
        <w:t xml:space="preserve"> </w:t>
      </w:r>
      <w:r w:rsidR="00720165">
        <w:rPr>
          <w:rFonts w:ascii="Arial" w:hAnsi="Arial" w:cs="Arial"/>
          <w:lang w:val="en-US"/>
        </w:rPr>
        <w:t>be dealt with</w:t>
      </w:r>
      <w:r w:rsidR="00197953">
        <w:rPr>
          <w:rFonts w:ascii="Arial" w:hAnsi="Arial" w:cs="Arial"/>
          <w:lang w:val="en-US"/>
        </w:rPr>
        <w:t xml:space="preserve"> as if it </w:t>
      </w:r>
      <w:r w:rsidR="00720165">
        <w:rPr>
          <w:rFonts w:ascii="Arial" w:hAnsi="Arial" w:cs="Arial"/>
          <w:lang w:val="en-US"/>
        </w:rPr>
        <w:t>had been</w:t>
      </w:r>
      <w:r w:rsidR="00197953">
        <w:rPr>
          <w:rFonts w:ascii="Arial" w:hAnsi="Arial" w:cs="Arial"/>
          <w:lang w:val="en-US"/>
        </w:rPr>
        <w:t xml:space="preserve"> instituted under the </w:t>
      </w:r>
      <w:r w:rsidR="008E03F7">
        <w:rPr>
          <w:rFonts w:ascii="Arial" w:hAnsi="Arial" w:cs="Arial"/>
          <w:lang w:val="en-US"/>
        </w:rPr>
        <w:t xml:space="preserve">legislative regime which is applicable in terms of the </w:t>
      </w:r>
      <w:r w:rsidR="00197953">
        <w:rPr>
          <w:rFonts w:ascii="Arial" w:hAnsi="Arial" w:cs="Arial"/>
          <w:lang w:val="en-US"/>
        </w:rPr>
        <w:t xml:space="preserve">new rules, </w:t>
      </w:r>
      <w:r w:rsidR="00264FF1">
        <w:rPr>
          <w:rFonts w:ascii="Arial" w:hAnsi="Arial" w:cs="Arial"/>
          <w:lang w:val="en-US"/>
        </w:rPr>
        <w:t xml:space="preserve">and </w:t>
      </w:r>
      <w:r w:rsidR="00D20E9D">
        <w:rPr>
          <w:rFonts w:ascii="Arial" w:hAnsi="Arial" w:cs="Arial"/>
          <w:lang w:val="en-US"/>
        </w:rPr>
        <w:t xml:space="preserve">that </w:t>
      </w:r>
      <w:r w:rsidR="00264FF1">
        <w:rPr>
          <w:rFonts w:ascii="Arial" w:hAnsi="Arial" w:cs="Arial"/>
          <w:lang w:val="en-US"/>
        </w:rPr>
        <w:t xml:space="preserve">the proceedings a </w:t>
      </w:r>
      <w:r w:rsidR="00264FF1" w:rsidRPr="00FE442A">
        <w:rPr>
          <w:rFonts w:ascii="Arial" w:hAnsi="Arial" w:cs="Arial"/>
          <w:i/>
          <w:iCs/>
          <w:lang w:val="en-US"/>
        </w:rPr>
        <w:t>quo</w:t>
      </w:r>
      <w:r w:rsidR="00264FF1">
        <w:rPr>
          <w:rFonts w:ascii="Arial" w:hAnsi="Arial" w:cs="Arial"/>
          <w:lang w:val="en-US"/>
        </w:rPr>
        <w:t xml:space="preserve"> should </w:t>
      </w:r>
      <w:r w:rsidR="008E03F7">
        <w:rPr>
          <w:rFonts w:ascii="Arial" w:hAnsi="Arial" w:cs="Arial"/>
          <w:lang w:val="en-US"/>
        </w:rPr>
        <w:t xml:space="preserve">accordingly </w:t>
      </w:r>
      <w:r w:rsidR="00264FF1">
        <w:rPr>
          <w:rFonts w:ascii="Arial" w:hAnsi="Arial" w:cs="Arial"/>
          <w:lang w:val="en-US"/>
        </w:rPr>
        <w:t>be co</w:t>
      </w:r>
      <w:r w:rsidR="000E70F4">
        <w:rPr>
          <w:rFonts w:ascii="Arial" w:hAnsi="Arial" w:cs="Arial"/>
          <w:lang w:val="en-US"/>
        </w:rPr>
        <w:t>n</w:t>
      </w:r>
      <w:r w:rsidR="00264FF1">
        <w:rPr>
          <w:rFonts w:ascii="Arial" w:hAnsi="Arial" w:cs="Arial"/>
          <w:lang w:val="en-US"/>
        </w:rPr>
        <w:t>sidered</w:t>
      </w:r>
      <w:r w:rsidR="00197953">
        <w:rPr>
          <w:rFonts w:ascii="Arial" w:hAnsi="Arial" w:cs="Arial"/>
          <w:lang w:val="en-US"/>
        </w:rPr>
        <w:t xml:space="preserve"> in t</w:t>
      </w:r>
      <w:r w:rsidR="008C3905">
        <w:rPr>
          <w:rFonts w:ascii="Arial" w:hAnsi="Arial" w:cs="Arial"/>
          <w:lang w:val="en-US"/>
        </w:rPr>
        <w:t>erms of the amended rule</w:t>
      </w:r>
      <w:r w:rsidR="00197953">
        <w:rPr>
          <w:rFonts w:ascii="Arial" w:hAnsi="Arial" w:cs="Arial"/>
          <w:lang w:val="en-US"/>
        </w:rPr>
        <w:t xml:space="preserve"> 32(3) </w:t>
      </w:r>
      <w:r w:rsidR="004B64EB">
        <w:rPr>
          <w:rFonts w:ascii="Arial" w:hAnsi="Arial" w:cs="Arial"/>
          <w:lang w:val="en-US"/>
        </w:rPr>
        <w:t xml:space="preserve">(‘the new </w:t>
      </w:r>
      <w:r w:rsidR="000E70F4">
        <w:rPr>
          <w:rFonts w:ascii="Arial" w:hAnsi="Arial" w:cs="Arial"/>
          <w:lang w:val="en-US"/>
        </w:rPr>
        <w:t>sub</w:t>
      </w:r>
      <w:r w:rsidR="004B64EB">
        <w:rPr>
          <w:rFonts w:ascii="Arial" w:hAnsi="Arial" w:cs="Arial"/>
          <w:lang w:val="en-US"/>
        </w:rPr>
        <w:t>rule 32’)</w:t>
      </w:r>
      <w:r w:rsidR="00197953">
        <w:rPr>
          <w:rFonts w:ascii="Arial" w:hAnsi="Arial" w:cs="Arial"/>
          <w:lang w:val="en-US"/>
        </w:rPr>
        <w:t>.</w:t>
      </w:r>
    </w:p>
    <w:p w14:paraId="7CFB21FE" w14:textId="77777777" w:rsidR="008E03F7" w:rsidRDefault="008E03F7" w:rsidP="00197953">
      <w:pPr>
        <w:spacing w:line="480" w:lineRule="auto"/>
        <w:jc w:val="both"/>
        <w:rPr>
          <w:rFonts w:ascii="Arial" w:hAnsi="Arial" w:cs="Arial"/>
          <w:lang w:val="en-US"/>
        </w:rPr>
      </w:pPr>
    </w:p>
    <w:p w14:paraId="4394B14E" w14:textId="6973B0B3" w:rsidR="008356D8" w:rsidRDefault="008E03F7" w:rsidP="00197953">
      <w:pPr>
        <w:spacing w:line="480" w:lineRule="auto"/>
        <w:jc w:val="both"/>
        <w:rPr>
          <w:rFonts w:ascii="Arial" w:hAnsi="Arial" w:cs="Arial"/>
          <w:lang w:val="en-US"/>
        </w:rPr>
      </w:pPr>
      <w:r>
        <w:rPr>
          <w:rFonts w:ascii="Arial" w:hAnsi="Arial" w:cs="Arial"/>
          <w:lang w:val="en-US"/>
        </w:rPr>
        <w:lastRenderedPageBreak/>
        <w:t>[12]</w:t>
      </w:r>
      <w:r>
        <w:rPr>
          <w:rFonts w:ascii="Arial" w:hAnsi="Arial" w:cs="Arial"/>
          <w:lang w:val="en-US"/>
        </w:rPr>
        <w:tab/>
      </w:r>
      <w:r w:rsidR="00720165">
        <w:rPr>
          <w:rFonts w:ascii="Arial" w:hAnsi="Arial" w:cs="Arial"/>
          <w:lang w:val="en-US"/>
        </w:rPr>
        <w:t>The respondent contends that there is no real difference</w:t>
      </w:r>
      <w:r w:rsidR="000E70F4">
        <w:rPr>
          <w:rFonts w:ascii="Arial" w:hAnsi="Arial" w:cs="Arial"/>
          <w:lang w:val="en-US"/>
        </w:rPr>
        <w:t xml:space="preserve"> in the meaning</w:t>
      </w:r>
      <w:r w:rsidR="00CB2AC2">
        <w:rPr>
          <w:rFonts w:ascii="Arial" w:hAnsi="Arial" w:cs="Arial"/>
          <w:lang w:val="en-US"/>
        </w:rPr>
        <w:t xml:space="preserve"> of the old and the new subrule</w:t>
      </w:r>
      <w:r w:rsidR="000E70F4">
        <w:rPr>
          <w:rFonts w:ascii="Arial" w:hAnsi="Arial" w:cs="Arial"/>
          <w:lang w:val="en-US"/>
        </w:rPr>
        <w:t xml:space="preserve">: whereas the subrule was previously worded in </w:t>
      </w:r>
      <w:r w:rsidR="001B56B2">
        <w:rPr>
          <w:rFonts w:ascii="Arial" w:hAnsi="Arial" w:cs="Arial"/>
          <w:lang w:val="en-US"/>
        </w:rPr>
        <w:t xml:space="preserve">prohibitory or </w:t>
      </w:r>
      <w:r w:rsidR="000E70F4">
        <w:rPr>
          <w:rFonts w:ascii="Arial" w:hAnsi="Arial" w:cs="Arial"/>
          <w:lang w:val="en-US"/>
        </w:rPr>
        <w:t xml:space="preserve">exclusionary terms, the new subrule is worded in permissive terms, but the </w:t>
      </w:r>
      <w:r w:rsidR="00FE442A">
        <w:rPr>
          <w:rFonts w:ascii="Arial" w:hAnsi="Arial" w:cs="Arial"/>
          <w:lang w:val="en-US"/>
        </w:rPr>
        <w:t>ambit</w:t>
      </w:r>
      <w:r w:rsidR="000E70F4">
        <w:rPr>
          <w:rFonts w:ascii="Arial" w:hAnsi="Arial" w:cs="Arial"/>
          <w:lang w:val="en-US"/>
        </w:rPr>
        <w:t xml:space="preserve"> of what may be raised as a </w:t>
      </w:r>
      <w:r w:rsidR="00FE442A">
        <w:rPr>
          <w:rFonts w:ascii="Arial" w:hAnsi="Arial" w:cs="Arial"/>
          <w:lang w:val="en-US"/>
        </w:rPr>
        <w:t>‘</w:t>
      </w:r>
      <w:r w:rsidR="000E70F4">
        <w:rPr>
          <w:rFonts w:ascii="Arial" w:hAnsi="Arial" w:cs="Arial"/>
          <w:lang w:val="en-US"/>
        </w:rPr>
        <w:t>new</w:t>
      </w:r>
      <w:r w:rsidR="00FE442A">
        <w:rPr>
          <w:rFonts w:ascii="Arial" w:hAnsi="Arial" w:cs="Arial"/>
          <w:lang w:val="en-US"/>
        </w:rPr>
        <w:t>’</w:t>
      </w:r>
      <w:r w:rsidR="000E70F4">
        <w:rPr>
          <w:rFonts w:ascii="Arial" w:hAnsi="Arial" w:cs="Arial"/>
          <w:lang w:val="en-US"/>
        </w:rPr>
        <w:t xml:space="preserve"> ground of appeal essentially remain</w:t>
      </w:r>
      <w:r w:rsidR="00FE442A">
        <w:rPr>
          <w:rFonts w:ascii="Arial" w:hAnsi="Arial" w:cs="Arial"/>
          <w:lang w:val="en-US"/>
        </w:rPr>
        <w:t>s</w:t>
      </w:r>
      <w:r w:rsidR="000E70F4">
        <w:rPr>
          <w:rFonts w:ascii="Arial" w:hAnsi="Arial" w:cs="Arial"/>
          <w:lang w:val="en-US"/>
        </w:rPr>
        <w:t xml:space="preserve"> the same. The appellant, on the other hand, contends that the permissive wording of the new subrule is intended to expand upon what may be raised as a new ground, on appeal</w:t>
      </w:r>
      <w:r w:rsidR="00FE442A">
        <w:rPr>
          <w:rFonts w:ascii="Arial" w:hAnsi="Arial" w:cs="Arial"/>
          <w:lang w:val="en-US"/>
        </w:rPr>
        <w:t xml:space="preserve">, and goes further than what was previously </w:t>
      </w:r>
      <w:r w:rsidR="004C49F1">
        <w:rPr>
          <w:rFonts w:ascii="Arial" w:hAnsi="Arial" w:cs="Arial"/>
          <w:lang w:val="en-US"/>
        </w:rPr>
        <w:t>envisaged</w:t>
      </w:r>
      <w:r w:rsidR="000E70F4">
        <w:rPr>
          <w:rFonts w:ascii="Arial" w:hAnsi="Arial" w:cs="Arial"/>
          <w:lang w:val="en-US"/>
        </w:rPr>
        <w:t xml:space="preserve">. </w:t>
      </w:r>
      <w:r w:rsidR="00CB2AC2">
        <w:rPr>
          <w:rFonts w:ascii="Arial" w:hAnsi="Arial" w:cs="Arial"/>
          <w:lang w:val="en-US"/>
        </w:rPr>
        <w:t>According to the appellant the effect of the new subrule is to allow an appellant to raise a</w:t>
      </w:r>
      <w:r w:rsidR="003A7EC8">
        <w:rPr>
          <w:rFonts w:ascii="Arial" w:hAnsi="Arial" w:cs="Arial"/>
          <w:lang w:val="en-US"/>
        </w:rPr>
        <w:t>ny</w:t>
      </w:r>
      <w:r w:rsidR="00CB2AC2">
        <w:rPr>
          <w:rFonts w:ascii="Arial" w:hAnsi="Arial" w:cs="Arial"/>
          <w:lang w:val="en-US"/>
        </w:rPr>
        <w:t xml:space="preserve"> ‘new’ ground of appeal which goes beyond what was </w:t>
      </w:r>
      <w:r w:rsidR="00D20E9D">
        <w:rPr>
          <w:rFonts w:ascii="Arial" w:hAnsi="Arial" w:cs="Arial"/>
          <w:lang w:val="en-US"/>
        </w:rPr>
        <w:t xml:space="preserve">previously </w:t>
      </w:r>
      <w:r w:rsidR="00CB2AC2">
        <w:rPr>
          <w:rFonts w:ascii="Arial" w:hAnsi="Arial" w:cs="Arial"/>
          <w:lang w:val="en-US"/>
        </w:rPr>
        <w:t xml:space="preserve">raised </w:t>
      </w:r>
      <w:r w:rsidR="004D3AAA">
        <w:rPr>
          <w:rFonts w:ascii="Arial" w:hAnsi="Arial" w:cs="Arial"/>
          <w:lang w:val="en-US"/>
        </w:rPr>
        <w:t xml:space="preserve">as a ground </w:t>
      </w:r>
      <w:r w:rsidR="00CB2AC2">
        <w:rPr>
          <w:rFonts w:ascii="Arial" w:hAnsi="Arial" w:cs="Arial"/>
          <w:lang w:val="en-US"/>
        </w:rPr>
        <w:t xml:space="preserve">in its </w:t>
      </w:r>
      <w:r w:rsidR="001B56B2">
        <w:rPr>
          <w:rFonts w:ascii="Arial" w:hAnsi="Arial" w:cs="Arial"/>
          <w:lang w:val="en-US"/>
        </w:rPr>
        <w:t xml:space="preserve">notice of </w:t>
      </w:r>
      <w:r w:rsidR="00CB2AC2">
        <w:rPr>
          <w:rFonts w:ascii="Arial" w:hAnsi="Arial" w:cs="Arial"/>
          <w:lang w:val="en-US"/>
        </w:rPr>
        <w:t xml:space="preserve">objection. The respondent contends that on a proper interpretation the new subrule does not allow an appellant to do this.     </w:t>
      </w:r>
      <w:r w:rsidR="000E70F4">
        <w:rPr>
          <w:rFonts w:ascii="Arial" w:hAnsi="Arial" w:cs="Arial"/>
          <w:lang w:val="en-US"/>
        </w:rPr>
        <w:t xml:space="preserve">  </w:t>
      </w:r>
    </w:p>
    <w:p w14:paraId="650B0BAE" w14:textId="77777777" w:rsidR="000E70F4" w:rsidRDefault="000E70F4" w:rsidP="00197953">
      <w:pPr>
        <w:spacing w:line="480" w:lineRule="auto"/>
        <w:jc w:val="both"/>
        <w:rPr>
          <w:rFonts w:ascii="Arial" w:hAnsi="Arial" w:cs="Arial"/>
          <w:lang w:val="en-US"/>
        </w:rPr>
      </w:pPr>
    </w:p>
    <w:p w14:paraId="0F0FC4E2" w14:textId="4FD8DDC5" w:rsidR="00197953" w:rsidRDefault="008356D8" w:rsidP="00197953">
      <w:pPr>
        <w:spacing w:line="480" w:lineRule="auto"/>
        <w:jc w:val="both"/>
        <w:rPr>
          <w:rFonts w:ascii="Arial" w:hAnsi="Arial" w:cs="Arial"/>
          <w:lang w:val="en-US"/>
        </w:rPr>
      </w:pPr>
      <w:r>
        <w:rPr>
          <w:rFonts w:ascii="Arial" w:hAnsi="Arial" w:cs="Arial"/>
          <w:lang w:val="en-US"/>
        </w:rPr>
        <w:t>[</w:t>
      </w:r>
      <w:r w:rsidR="004C49F1">
        <w:rPr>
          <w:rFonts w:ascii="Arial" w:hAnsi="Arial" w:cs="Arial"/>
          <w:lang w:val="en-US"/>
        </w:rPr>
        <w:t>1</w:t>
      </w:r>
      <w:r w:rsidR="008E03F7">
        <w:rPr>
          <w:rFonts w:ascii="Arial" w:hAnsi="Arial" w:cs="Arial"/>
          <w:lang w:val="en-US"/>
        </w:rPr>
        <w:t>3</w:t>
      </w:r>
      <w:r>
        <w:rPr>
          <w:rFonts w:ascii="Arial" w:hAnsi="Arial" w:cs="Arial"/>
          <w:lang w:val="en-US"/>
        </w:rPr>
        <w:t>]</w:t>
      </w:r>
      <w:r>
        <w:rPr>
          <w:rFonts w:ascii="Arial" w:hAnsi="Arial" w:cs="Arial"/>
          <w:lang w:val="en-US"/>
        </w:rPr>
        <w:tab/>
      </w:r>
      <w:r w:rsidR="00197953">
        <w:rPr>
          <w:rFonts w:ascii="Arial" w:hAnsi="Arial" w:cs="Arial"/>
          <w:lang w:val="en-US"/>
        </w:rPr>
        <w:t xml:space="preserve">In </w:t>
      </w:r>
      <w:r w:rsidR="004C49F1">
        <w:rPr>
          <w:rFonts w:ascii="Arial" w:hAnsi="Arial" w:cs="Arial"/>
          <w:lang w:val="en-US"/>
        </w:rPr>
        <w:t>the</w:t>
      </w:r>
      <w:r w:rsidR="00197953">
        <w:rPr>
          <w:rFonts w:ascii="Arial" w:hAnsi="Arial" w:cs="Arial"/>
          <w:lang w:val="en-US"/>
        </w:rPr>
        <w:t xml:space="preserve"> statement of </w:t>
      </w:r>
      <w:r w:rsidR="007E7504">
        <w:rPr>
          <w:rFonts w:ascii="Arial" w:hAnsi="Arial" w:cs="Arial"/>
          <w:lang w:val="en-US"/>
        </w:rPr>
        <w:t xml:space="preserve">its </w:t>
      </w:r>
      <w:r w:rsidR="00197953">
        <w:rPr>
          <w:rFonts w:ascii="Arial" w:hAnsi="Arial" w:cs="Arial"/>
          <w:lang w:val="en-US"/>
        </w:rPr>
        <w:t>grounds of appeal the appellant sa</w:t>
      </w:r>
      <w:r w:rsidR="000E70F4">
        <w:rPr>
          <w:rFonts w:ascii="Arial" w:hAnsi="Arial" w:cs="Arial"/>
          <w:lang w:val="en-US"/>
        </w:rPr>
        <w:t>id that</w:t>
      </w:r>
      <w:r w:rsidR="00197953">
        <w:rPr>
          <w:rFonts w:ascii="Arial" w:hAnsi="Arial" w:cs="Arial"/>
          <w:lang w:val="en-US"/>
        </w:rPr>
        <w:t xml:space="preserve"> it wishe</w:t>
      </w:r>
      <w:r w:rsidR="000E70F4">
        <w:rPr>
          <w:rFonts w:ascii="Arial" w:hAnsi="Arial" w:cs="Arial"/>
          <w:lang w:val="en-US"/>
        </w:rPr>
        <w:t>d</w:t>
      </w:r>
      <w:r w:rsidR="00197953">
        <w:rPr>
          <w:rFonts w:ascii="Arial" w:hAnsi="Arial" w:cs="Arial"/>
          <w:lang w:val="en-US"/>
        </w:rPr>
        <w:t xml:space="preserve"> to draw attention to the fact that it </w:t>
      </w:r>
      <w:r w:rsidR="000E70F4">
        <w:rPr>
          <w:rFonts w:ascii="Arial" w:hAnsi="Arial" w:cs="Arial"/>
          <w:lang w:val="en-US"/>
        </w:rPr>
        <w:t xml:space="preserve">was </w:t>
      </w:r>
      <w:r w:rsidR="00197953">
        <w:rPr>
          <w:rFonts w:ascii="Arial" w:hAnsi="Arial" w:cs="Arial"/>
          <w:lang w:val="en-US"/>
        </w:rPr>
        <w:t>rel</w:t>
      </w:r>
      <w:r w:rsidR="000E70F4">
        <w:rPr>
          <w:rFonts w:ascii="Arial" w:hAnsi="Arial" w:cs="Arial"/>
          <w:lang w:val="en-US"/>
        </w:rPr>
        <w:t>ying</w:t>
      </w:r>
      <w:r w:rsidR="00197953">
        <w:rPr>
          <w:rFonts w:ascii="Arial" w:hAnsi="Arial" w:cs="Arial"/>
          <w:lang w:val="en-US"/>
        </w:rPr>
        <w:t xml:space="preserve"> on a ground not previously relied upon, </w:t>
      </w:r>
      <w:r w:rsidR="00FE6834">
        <w:rPr>
          <w:rFonts w:ascii="Arial" w:hAnsi="Arial" w:cs="Arial"/>
          <w:lang w:val="en-US"/>
        </w:rPr>
        <w:t>to wit</w:t>
      </w:r>
      <w:r w:rsidR="00197953">
        <w:rPr>
          <w:rFonts w:ascii="Arial" w:hAnsi="Arial" w:cs="Arial"/>
          <w:lang w:val="en-US"/>
        </w:rPr>
        <w:t xml:space="preserve"> that the amount of R</w:t>
      </w:r>
      <w:r w:rsidR="0020131B">
        <w:rPr>
          <w:rFonts w:ascii="Arial" w:hAnsi="Arial" w:cs="Arial"/>
          <w:lang w:val="en-US"/>
        </w:rPr>
        <w:t xml:space="preserve"> </w:t>
      </w:r>
      <w:r w:rsidR="00197953">
        <w:rPr>
          <w:rFonts w:ascii="Arial" w:hAnsi="Arial" w:cs="Arial"/>
          <w:lang w:val="en-US"/>
        </w:rPr>
        <w:t>11 072</w:t>
      </w:r>
      <w:r w:rsidR="00C247C7">
        <w:rPr>
          <w:rFonts w:ascii="Arial" w:hAnsi="Arial" w:cs="Arial"/>
          <w:lang w:val="en-US"/>
        </w:rPr>
        <w:t> </w:t>
      </w:r>
      <w:r w:rsidR="00197953">
        <w:rPr>
          <w:rFonts w:ascii="Arial" w:hAnsi="Arial" w:cs="Arial"/>
          <w:lang w:val="en-US"/>
        </w:rPr>
        <w:t>237</w:t>
      </w:r>
      <w:r w:rsidR="00C247C7">
        <w:rPr>
          <w:rFonts w:ascii="Arial" w:hAnsi="Arial" w:cs="Arial"/>
          <w:lang w:val="en-US"/>
        </w:rPr>
        <w:t>,00</w:t>
      </w:r>
      <w:r w:rsidR="00197953">
        <w:rPr>
          <w:rFonts w:ascii="Arial" w:hAnsi="Arial" w:cs="Arial"/>
          <w:lang w:val="en-US"/>
        </w:rPr>
        <w:t xml:space="preserve"> was n</w:t>
      </w:r>
      <w:r w:rsidR="00FE6834">
        <w:rPr>
          <w:rFonts w:ascii="Arial" w:hAnsi="Arial" w:cs="Arial"/>
          <w:lang w:val="en-US"/>
        </w:rPr>
        <w:t>either</w:t>
      </w:r>
      <w:r w:rsidR="00197953">
        <w:rPr>
          <w:rFonts w:ascii="Arial" w:hAnsi="Arial" w:cs="Arial"/>
          <w:lang w:val="en-US"/>
        </w:rPr>
        <w:t xml:space="preserve"> receive</w:t>
      </w:r>
      <w:r w:rsidR="00E834B5">
        <w:rPr>
          <w:rFonts w:ascii="Arial" w:hAnsi="Arial" w:cs="Arial"/>
          <w:lang w:val="en-US"/>
        </w:rPr>
        <w:t>d</w:t>
      </w:r>
      <w:r w:rsidR="00197953">
        <w:rPr>
          <w:rFonts w:ascii="Arial" w:hAnsi="Arial" w:cs="Arial"/>
          <w:lang w:val="en-US"/>
        </w:rPr>
        <w:t xml:space="preserve"> by</w:t>
      </w:r>
      <w:r w:rsidR="007E7504">
        <w:rPr>
          <w:rFonts w:ascii="Arial" w:hAnsi="Arial" w:cs="Arial"/>
          <w:lang w:val="en-US"/>
        </w:rPr>
        <w:t>,</w:t>
      </w:r>
      <w:r w:rsidR="00197953">
        <w:rPr>
          <w:rFonts w:ascii="Arial" w:hAnsi="Arial" w:cs="Arial"/>
          <w:lang w:val="en-US"/>
        </w:rPr>
        <w:t xml:space="preserve"> nor accrue</w:t>
      </w:r>
      <w:r w:rsidR="004C49F1">
        <w:rPr>
          <w:rFonts w:ascii="Arial" w:hAnsi="Arial" w:cs="Arial"/>
          <w:lang w:val="en-US"/>
        </w:rPr>
        <w:t>d</w:t>
      </w:r>
      <w:r w:rsidR="00197953">
        <w:rPr>
          <w:rFonts w:ascii="Arial" w:hAnsi="Arial" w:cs="Arial"/>
          <w:lang w:val="en-US"/>
        </w:rPr>
        <w:t xml:space="preserve"> to</w:t>
      </w:r>
      <w:r w:rsidR="004C49F1">
        <w:rPr>
          <w:rFonts w:ascii="Arial" w:hAnsi="Arial" w:cs="Arial"/>
          <w:lang w:val="en-US"/>
        </w:rPr>
        <w:t xml:space="preserve"> it</w:t>
      </w:r>
      <w:r w:rsidR="007E7504">
        <w:rPr>
          <w:rFonts w:ascii="Arial" w:hAnsi="Arial" w:cs="Arial"/>
          <w:lang w:val="en-US"/>
        </w:rPr>
        <w:t>,</w:t>
      </w:r>
      <w:r w:rsidR="00197953">
        <w:rPr>
          <w:rFonts w:ascii="Arial" w:hAnsi="Arial" w:cs="Arial"/>
          <w:lang w:val="en-US"/>
        </w:rPr>
        <w:t xml:space="preserve"> but </w:t>
      </w:r>
      <w:r w:rsidR="003E0A12">
        <w:rPr>
          <w:rFonts w:ascii="Arial" w:hAnsi="Arial" w:cs="Arial"/>
          <w:lang w:val="en-US"/>
        </w:rPr>
        <w:t xml:space="preserve">had </w:t>
      </w:r>
      <w:r w:rsidR="00197953">
        <w:rPr>
          <w:rFonts w:ascii="Arial" w:hAnsi="Arial" w:cs="Arial"/>
          <w:lang w:val="en-US"/>
        </w:rPr>
        <w:t xml:space="preserve">accrued to and was received by </w:t>
      </w:r>
      <w:r w:rsidR="007E7504">
        <w:rPr>
          <w:rFonts w:ascii="Arial" w:hAnsi="Arial" w:cs="Arial"/>
          <w:lang w:val="en-US"/>
        </w:rPr>
        <w:t xml:space="preserve">the </w:t>
      </w:r>
      <w:r w:rsidR="00197953">
        <w:rPr>
          <w:rFonts w:ascii="Arial" w:hAnsi="Arial" w:cs="Arial"/>
          <w:lang w:val="en-US"/>
        </w:rPr>
        <w:t>B</w:t>
      </w:r>
      <w:r w:rsidR="007E7504">
        <w:rPr>
          <w:rFonts w:ascii="Arial" w:hAnsi="Arial" w:cs="Arial"/>
          <w:lang w:val="en-US"/>
        </w:rPr>
        <w:t>E</w:t>
      </w:r>
      <w:r w:rsidR="00FE6834">
        <w:rPr>
          <w:rFonts w:ascii="Arial" w:hAnsi="Arial" w:cs="Arial"/>
          <w:lang w:val="en-US"/>
        </w:rPr>
        <w:t>C</w:t>
      </w:r>
      <w:r w:rsidR="00197953">
        <w:rPr>
          <w:rFonts w:ascii="Arial" w:hAnsi="Arial" w:cs="Arial"/>
          <w:lang w:val="en-US"/>
        </w:rPr>
        <w:t xml:space="preserve">P by virtue of the agreement </w:t>
      </w:r>
      <w:r w:rsidR="004C49F1">
        <w:rPr>
          <w:rFonts w:ascii="Arial" w:hAnsi="Arial" w:cs="Arial"/>
          <w:lang w:val="en-US"/>
        </w:rPr>
        <w:t>that was in place</w:t>
      </w:r>
      <w:r w:rsidR="00197953">
        <w:rPr>
          <w:rFonts w:ascii="Arial" w:hAnsi="Arial" w:cs="Arial"/>
          <w:lang w:val="en-US"/>
        </w:rPr>
        <w:t xml:space="preserve"> between </w:t>
      </w:r>
      <w:r w:rsidR="003E0A12">
        <w:rPr>
          <w:rFonts w:ascii="Arial" w:hAnsi="Arial" w:cs="Arial"/>
          <w:lang w:val="en-US"/>
        </w:rPr>
        <w:t>it</w:t>
      </w:r>
      <w:r w:rsidR="00197953">
        <w:rPr>
          <w:rFonts w:ascii="Arial" w:hAnsi="Arial" w:cs="Arial"/>
          <w:lang w:val="en-US"/>
        </w:rPr>
        <w:t xml:space="preserve"> and the BECP.</w:t>
      </w:r>
    </w:p>
    <w:p w14:paraId="798170D1" w14:textId="77777777" w:rsidR="008356D8" w:rsidRDefault="008356D8" w:rsidP="00197953">
      <w:pPr>
        <w:spacing w:line="480" w:lineRule="auto"/>
        <w:jc w:val="both"/>
        <w:rPr>
          <w:rFonts w:ascii="Arial" w:hAnsi="Arial" w:cs="Arial"/>
          <w:lang w:val="en-US"/>
        </w:rPr>
      </w:pPr>
    </w:p>
    <w:p w14:paraId="18048C4D" w14:textId="7CCD3E39" w:rsidR="00197953" w:rsidRDefault="008356D8" w:rsidP="00197953">
      <w:pPr>
        <w:spacing w:line="480" w:lineRule="auto"/>
        <w:jc w:val="both"/>
        <w:rPr>
          <w:rFonts w:ascii="Arial" w:hAnsi="Arial" w:cs="Arial"/>
          <w:lang w:val="en-US"/>
        </w:rPr>
      </w:pPr>
      <w:r>
        <w:rPr>
          <w:rFonts w:ascii="Arial" w:hAnsi="Arial" w:cs="Arial"/>
          <w:lang w:val="en-US"/>
        </w:rPr>
        <w:t>[</w:t>
      </w:r>
      <w:r w:rsidR="004C49F1">
        <w:rPr>
          <w:rFonts w:ascii="Arial" w:hAnsi="Arial" w:cs="Arial"/>
          <w:lang w:val="en-US"/>
        </w:rPr>
        <w:t>1</w:t>
      </w:r>
      <w:r w:rsidR="008E03F7">
        <w:rPr>
          <w:rFonts w:ascii="Arial" w:hAnsi="Arial" w:cs="Arial"/>
          <w:lang w:val="en-US"/>
        </w:rPr>
        <w:t>4</w:t>
      </w:r>
      <w:r>
        <w:rPr>
          <w:rFonts w:ascii="Arial" w:hAnsi="Arial" w:cs="Arial"/>
          <w:lang w:val="en-US"/>
        </w:rPr>
        <w:t>]</w:t>
      </w:r>
      <w:r>
        <w:rPr>
          <w:rFonts w:ascii="Arial" w:hAnsi="Arial" w:cs="Arial"/>
          <w:lang w:val="en-US"/>
        </w:rPr>
        <w:tab/>
      </w:r>
      <w:r w:rsidR="00197953">
        <w:rPr>
          <w:rFonts w:ascii="Arial" w:hAnsi="Arial" w:cs="Arial"/>
          <w:lang w:val="en-US"/>
        </w:rPr>
        <w:t xml:space="preserve">It </w:t>
      </w:r>
      <w:r w:rsidR="008E03F7">
        <w:rPr>
          <w:rFonts w:ascii="Arial" w:hAnsi="Arial" w:cs="Arial"/>
          <w:lang w:val="en-US"/>
        </w:rPr>
        <w:t>c</w:t>
      </w:r>
      <w:r w:rsidR="00CE7B48">
        <w:rPr>
          <w:rFonts w:ascii="Arial" w:hAnsi="Arial" w:cs="Arial"/>
          <w:lang w:val="en-US"/>
        </w:rPr>
        <w:t>laimed</w:t>
      </w:r>
      <w:r w:rsidR="00197953">
        <w:rPr>
          <w:rFonts w:ascii="Arial" w:hAnsi="Arial" w:cs="Arial"/>
          <w:lang w:val="en-US"/>
        </w:rPr>
        <w:t xml:space="preserve"> that it </w:t>
      </w:r>
      <w:r w:rsidR="007E7504">
        <w:rPr>
          <w:rFonts w:ascii="Arial" w:hAnsi="Arial" w:cs="Arial"/>
          <w:lang w:val="en-US"/>
        </w:rPr>
        <w:t>wa</w:t>
      </w:r>
      <w:r w:rsidR="00197953">
        <w:rPr>
          <w:rFonts w:ascii="Arial" w:hAnsi="Arial" w:cs="Arial"/>
          <w:lang w:val="en-US"/>
        </w:rPr>
        <w:t xml:space="preserve">s entitled to rely on this new ground in terms of rule 32(3), </w:t>
      </w:r>
      <w:r w:rsidR="00CE7B48">
        <w:rPr>
          <w:rFonts w:ascii="Arial" w:hAnsi="Arial" w:cs="Arial"/>
          <w:lang w:val="en-US"/>
        </w:rPr>
        <w:t>(</w:t>
      </w:r>
      <w:r w:rsidR="00197953">
        <w:rPr>
          <w:rFonts w:ascii="Arial" w:hAnsi="Arial" w:cs="Arial"/>
          <w:lang w:val="en-US"/>
        </w:rPr>
        <w:t xml:space="preserve">as </w:t>
      </w:r>
      <w:r w:rsidR="007E7504">
        <w:rPr>
          <w:rFonts w:ascii="Arial" w:hAnsi="Arial" w:cs="Arial"/>
          <w:lang w:val="en-US"/>
        </w:rPr>
        <w:t>it was worded at the time</w:t>
      </w:r>
      <w:r w:rsidR="00CE7B48">
        <w:rPr>
          <w:rFonts w:ascii="Arial" w:hAnsi="Arial" w:cs="Arial"/>
          <w:lang w:val="en-US"/>
        </w:rPr>
        <w:t>)</w:t>
      </w:r>
      <w:r w:rsidR="007E7504">
        <w:rPr>
          <w:rFonts w:ascii="Arial" w:hAnsi="Arial" w:cs="Arial"/>
          <w:lang w:val="en-US"/>
        </w:rPr>
        <w:t xml:space="preserve">, </w:t>
      </w:r>
      <w:r w:rsidR="004C49F1">
        <w:rPr>
          <w:rFonts w:ascii="Arial" w:hAnsi="Arial" w:cs="Arial"/>
          <w:lang w:val="en-US"/>
        </w:rPr>
        <w:t xml:space="preserve">as </w:t>
      </w:r>
      <w:r w:rsidR="007E7504">
        <w:rPr>
          <w:rFonts w:ascii="Arial" w:hAnsi="Arial" w:cs="Arial"/>
          <w:lang w:val="en-US"/>
        </w:rPr>
        <w:t xml:space="preserve">it was </w:t>
      </w:r>
      <w:r w:rsidR="00197953">
        <w:rPr>
          <w:rFonts w:ascii="Arial" w:hAnsi="Arial" w:cs="Arial"/>
          <w:lang w:val="en-US"/>
        </w:rPr>
        <w:t xml:space="preserve">not a new ground of objection against a </w:t>
      </w:r>
      <w:r w:rsidR="007E7504">
        <w:rPr>
          <w:rFonts w:ascii="Arial" w:hAnsi="Arial" w:cs="Arial"/>
          <w:lang w:val="en-US"/>
        </w:rPr>
        <w:t>‘</w:t>
      </w:r>
      <w:r w:rsidR="00197953">
        <w:rPr>
          <w:rFonts w:ascii="Arial" w:hAnsi="Arial" w:cs="Arial"/>
          <w:lang w:val="en-US"/>
        </w:rPr>
        <w:t>part or amount</w:t>
      </w:r>
      <w:r w:rsidR="007E7504">
        <w:rPr>
          <w:rFonts w:ascii="Arial" w:hAnsi="Arial" w:cs="Arial"/>
          <w:lang w:val="en-US"/>
        </w:rPr>
        <w:t>’</w:t>
      </w:r>
      <w:r w:rsidR="00197953">
        <w:rPr>
          <w:rFonts w:ascii="Arial" w:hAnsi="Arial" w:cs="Arial"/>
          <w:lang w:val="en-US"/>
        </w:rPr>
        <w:t xml:space="preserve"> of the disputed assessment </w:t>
      </w:r>
      <w:r w:rsidR="004C49F1">
        <w:rPr>
          <w:rFonts w:ascii="Arial" w:hAnsi="Arial" w:cs="Arial"/>
          <w:lang w:val="en-US"/>
        </w:rPr>
        <w:t xml:space="preserve">which was </w:t>
      </w:r>
      <w:r w:rsidR="00197953">
        <w:rPr>
          <w:rFonts w:ascii="Arial" w:hAnsi="Arial" w:cs="Arial"/>
          <w:lang w:val="en-US"/>
        </w:rPr>
        <w:t xml:space="preserve">not </w:t>
      </w:r>
      <w:r w:rsidR="007E7504">
        <w:rPr>
          <w:rFonts w:ascii="Arial" w:hAnsi="Arial" w:cs="Arial"/>
          <w:lang w:val="en-US"/>
        </w:rPr>
        <w:t xml:space="preserve">previously </w:t>
      </w:r>
      <w:r w:rsidR="00197953">
        <w:rPr>
          <w:rFonts w:ascii="Arial" w:hAnsi="Arial" w:cs="Arial"/>
          <w:lang w:val="en-US"/>
        </w:rPr>
        <w:t>objected to under rule 7.</w:t>
      </w:r>
    </w:p>
    <w:p w14:paraId="21903814" w14:textId="77777777" w:rsidR="008356D8" w:rsidRDefault="008356D8" w:rsidP="00197953">
      <w:pPr>
        <w:spacing w:line="480" w:lineRule="auto"/>
        <w:jc w:val="both"/>
        <w:rPr>
          <w:rFonts w:ascii="Arial" w:hAnsi="Arial" w:cs="Arial"/>
          <w:lang w:val="en-US"/>
        </w:rPr>
      </w:pPr>
    </w:p>
    <w:p w14:paraId="3A187DB9" w14:textId="6474ECB6" w:rsidR="00197953" w:rsidRDefault="006649F1" w:rsidP="00197953">
      <w:pPr>
        <w:spacing w:line="480" w:lineRule="auto"/>
        <w:jc w:val="both"/>
        <w:rPr>
          <w:rFonts w:ascii="Arial" w:hAnsi="Arial" w:cs="Arial"/>
          <w:lang w:val="en-US"/>
        </w:rPr>
      </w:pPr>
      <w:r>
        <w:rPr>
          <w:rFonts w:ascii="Arial" w:hAnsi="Arial" w:cs="Arial"/>
          <w:lang w:val="en-US"/>
        </w:rPr>
        <w:t>[1</w:t>
      </w:r>
      <w:r w:rsidR="008E03F7">
        <w:rPr>
          <w:rFonts w:ascii="Arial" w:hAnsi="Arial" w:cs="Arial"/>
          <w:lang w:val="en-US"/>
        </w:rPr>
        <w:t>5</w:t>
      </w:r>
      <w:r>
        <w:rPr>
          <w:rFonts w:ascii="Arial" w:hAnsi="Arial" w:cs="Arial"/>
          <w:lang w:val="en-US"/>
        </w:rPr>
        <w:t>]</w:t>
      </w:r>
      <w:r>
        <w:rPr>
          <w:rFonts w:ascii="Arial" w:hAnsi="Arial" w:cs="Arial"/>
          <w:lang w:val="en-US"/>
        </w:rPr>
        <w:tab/>
      </w:r>
      <w:r w:rsidR="007E7504">
        <w:rPr>
          <w:rFonts w:ascii="Arial" w:hAnsi="Arial" w:cs="Arial"/>
          <w:lang w:val="en-US"/>
        </w:rPr>
        <w:t xml:space="preserve">The new ground simply allowed it to claim </w:t>
      </w:r>
      <w:r w:rsidR="00FE6834">
        <w:rPr>
          <w:rFonts w:ascii="Arial" w:hAnsi="Arial" w:cs="Arial"/>
          <w:lang w:val="en-US"/>
        </w:rPr>
        <w:t>(</w:t>
      </w:r>
      <w:r w:rsidR="007E7504">
        <w:rPr>
          <w:rFonts w:ascii="Arial" w:hAnsi="Arial" w:cs="Arial"/>
          <w:lang w:val="en-US"/>
        </w:rPr>
        <w:t>in</w:t>
      </w:r>
      <w:r w:rsidR="00197953">
        <w:rPr>
          <w:rFonts w:ascii="Arial" w:hAnsi="Arial" w:cs="Arial"/>
          <w:lang w:val="en-US"/>
        </w:rPr>
        <w:t xml:space="preserve"> the alternative </w:t>
      </w:r>
      <w:r w:rsidR="007E7504">
        <w:rPr>
          <w:rFonts w:ascii="Arial" w:hAnsi="Arial" w:cs="Arial"/>
          <w:lang w:val="en-US"/>
        </w:rPr>
        <w:t>to the claim that that the disputed amount was</w:t>
      </w:r>
      <w:r w:rsidR="00197953">
        <w:rPr>
          <w:rFonts w:ascii="Arial" w:hAnsi="Arial" w:cs="Arial"/>
          <w:lang w:val="en-US"/>
        </w:rPr>
        <w:t xml:space="preserve"> deductible from the appellant’s income as expenditure </w:t>
      </w:r>
      <w:r w:rsidR="00197953">
        <w:rPr>
          <w:rFonts w:ascii="Arial" w:hAnsi="Arial" w:cs="Arial"/>
          <w:lang w:val="en-US"/>
        </w:rPr>
        <w:lastRenderedPageBreak/>
        <w:t>incurred in the production of income</w:t>
      </w:r>
      <w:r w:rsidR="00FE6834">
        <w:rPr>
          <w:rFonts w:ascii="Arial" w:hAnsi="Arial" w:cs="Arial"/>
          <w:lang w:val="en-US"/>
        </w:rPr>
        <w:t>)</w:t>
      </w:r>
      <w:r w:rsidR="00197953">
        <w:rPr>
          <w:rFonts w:ascii="Arial" w:hAnsi="Arial" w:cs="Arial"/>
          <w:lang w:val="en-US"/>
        </w:rPr>
        <w:t xml:space="preserve">, </w:t>
      </w:r>
      <w:r w:rsidR="007E7504">
        <w:rPr>
          <w:rFonts w:ascii="Arial" w:hAnsi="Arial" w:cs="Arial"/>
          <w:lang w:val="en-US"/>
        </w:rPr>
        <w:t xml:space="preserve">that it was </w:t>
      </w:r>
      <w:r w:rsidR="00197953">
        <w:rPr>
          <w:rFonts w:ascii="Arial" w:hAnsi="Arial" w:cs="Arial"/>
          <w:lang w:val="en-US"/>
        </w:rPr>
        <w:t>neither</w:t>
      </w:r>
      <w:r w:rsidR="007E7504">
        <w:rPr>
          <w:rFonts w:ascii="Arial" w:hAnsi="Arial" w:cs="Arial"/>
          <w:lang w:val="en-US"/>
        </w:rPr>
        <w:t xml:space="preserve"> a</w:t>
      </w:r>
      <w:r w:rsidR="00197953">
        <w:rPr>
          <w:rFonts w:ascii="Arial" w:hAnsi="Arial" w:cs="Arial"/>
          <w:lang w:val="en-US"/>
        </w:rPr>
        <w:t xml:space="preserve"> receipt by</w:t>
      </w:r>
      <w:r w:rsidR="007E7504">
        <w:rPr>
          <w:rFonts w:ascii="Arial" w:hAnsi="Arial" w:cs="Arial"/>
          <w:lang w:val="en-US"/>
        </w:rPr>
        <w:t>,</w:t>
      </w:r>
      <w:r w:rsidR="00197953">
        <w:rPr>
          <w:rFonts w:ascii="Arial" w:hAnsi="Arial" w:cs="Arial"/>
          <w:lang w:val="en-US"/>
        </w:rPr>
        <w:t xml:space="preserve"> nor an accrual to the appellant </w:t>
      </w:r>
      <w:r w:rsidR="00CE7B48">
        <w:rPr>
          <w:rFonts w:ascii="Arial" w:hAnsi="Arial" w:cs="Arial"/>
          <w:lang w:val="en-US"/>
        </w:rPr>
        <w:t xml:space="preserve">‘on its own behalf’ or </w:t>
      </w:r>
      <w:r w:rsidR="007E7504">
        <w:rPr>
          <w:rFonts w:ascii="Arial" w:hAnsi="Arial" w:cs="Arial"/>
          <w:lang w:val="en-US"/>
        </w:rPr>
        <w:t xml:space="preserve">for its </w:t>
      </w:r>
      <w:r w:rsidR="002C57BE">
        <w:rPr>
          <w:rFonts w:ascii="Arial" w:hAnsi="Arial" w:cs="Arial"/>
          <w:lang w:val="en-US"/>
        </w:rPr>
        <w:t xml:space="preserve">‘own </w:t>
      </w:r>
      <w:r w:rsidR="007E7504">
        <w:rPr>
          <w:rFonts w:ascii="Arial" w:hAnsi="Arial" w:cs="Arial"/>
          <w:lang w:val="en-US"/>
        </w:rPr>
        <w:t>benefit</w:t>
      </w:r>
      <w:r w:rsidR="002C57BE">
        <w:rPr>
          <w:rFonts w:ascii="Arial" w:hAnsi="Arial" w:cs="Arial"/>
          <w:lang w:val="en-US"/>
        </w:rPr>
        <w:t>’</w:t>
      </w:r>
      <w:r w:rsidR="007E7504">
        <w:rPr>
          <w:rFonts w:ascii="Arial" w:hAnsi="Arial" w:cs="Arial"/>
          <w:lang w:val="en-US"/>
        </w:rPr>
        <w:t>.</w:t>
      </w:r>
      <w:r w:rsidR="00197953">
        <w:rPr>
          <w:rFonts w:ascii="Arial" w:hAnsi="Arial" w:cs="Arial"/>
          <w:lang w:val="en-US"/>
        </w:rPr>
        <w:t xml:space="preserve"> Rather, the </w:t>
      </w:r>
      <w:r w:rsidR="007E7504">
        <w:rPr>
          <w:rFonts w:ascii="Arial" w:hAnsi="Arial" w:cs="Arial"/>
          <w:lang w:val="en-US"/>
        </w:rPr>
        <w:t xml:space="preserve">disputed </w:t>
      </w:r>
      <w:r w:rsidR="00197953">
        <w:rPr>
          <w:rFonts w:ascii="Arial" w:hAnsi="Arial" w:cs="Arial"/>
          <w:lang w:val="en-US"/>
        </w:rPr>
        <w:t xml:space="preserve">amount was </w:t>
      </w:r>
      <w:r w:rsidR="00F1518B">
        <w:rPr>
          <w:rFonts w:ascii="Arial" w:hAnsi="Arial" w:cs="Arial"/>
          <w:lang w:val="en-US"/>
        </w:rPr>
        <w:t>‘</w:t>
      </w:r>
      <w:r w:rsidR="00197953">
        <w:rPr>
          <w:rFonts w:ascii="Arial" w:hAnsi="Arial" w:cs="Arial"/>
          <w:lang w:val="en-US"/>
        </w:rPr>
        <w:t>impressed with an obligation</w:t>
      </w:r>
      <w:r w:rsidR="00F1518B">
        <w:rPr>
          <w:rFonts w:ascii="Arial" w:hAnsi="Arial" w:cs="Arial"/>
          <w:lang w:val="en-US"/>
        </w:rPr>
        <w:t>’ (sic) to</w:t>
      </w:r>
      <w:r w:rsidR="00197953">
        <w:rPr>
          <w:rFonts w:ascii="Arial" w:hAnsi="Arial" w:cs="Arial"/>
          <w:lang w:val="en-US"/>
        </w:rPr>
        <w:t xml:space="preserve"> </w:t>
      </w:r>
      <w:r w:rsidR="004C49F1">
        <w:rPr>
          <w:rFonts w:ascii="Arial" w:hAnsi="Arial" w:cs="Arial"/>
          <w:lang w:val="en-US"/>
        </w:rPr>
        <w:t>be</w:t>
      </w:r>
      <w:r w:rsidR="007E7504">
        <w:rPr>
          <w:rFonts w:ascii="Arial" w:hAnsi="Arial" w:cs="Arial"/>
          <w:lang w:val="en-US"/>
        </w:rPr>
        <w:t xml:space="preserve"> paid over </w:t>
      </w:r>
      <w:r w:rsidR="00197953">
        <w:rPr>
          <w:rFonts w:ascii="Arial" w:hAnsi="Arial" w:cs="Arial"/>
          <w:lang w:val="en-US"/>
        </w:rPr>
        <w:t xml:space="preserve">to the </w:t>
      </w:r>
      <w:r w:rsidR="00F641B0">
        <w:rPr>
          <w:rFonts w:ascii="Arial" w:hAnsi="Arial" w:cs="Arial"/>
          <w:lang w:val="en-US"/>
        </w:rPr>
        <w:t>BECP</w:t>
      </w:r>
      <w:r w:rsidR="00197953">
        <w:rPr>
          <w:rFonts w:ascii="Arial" w:hAnsi="Arial" w:cs="Arial"/>
          <w:lang w:val="en-US"/>
        </w:rPr>
        <w:t xml:space="preserve"> and in law </w:t>
      </w:r>
      <w:r w:rsidR="00D0016D">
        <w:rPr>
          <w:rFonts w:ascii="Arial" w:hAnsi="Arial" w:cs="Arial"/>
          <w:lang w:val="en-US"/>
        </w:rPr>
        <w:t>it accrued</w:t>
      </w:r>
      <w:r w:rsidR="00197953">
        <w:rPr>
          <w:rFonts w:ascii="Arial" w:hAnsi="Arial" w:cs="Arial"/>
          <w:lang w:val="en-US"/>
        </w:rPr>
        <w:t xml:space="preserve"> to and was received by the BECP.</w:t>
      </w:r>
      <w:r w:rsidR="00F641B0">
        <w:rPr>
          <w:rFonts w:ascii="Arial" w:hAnsi="Arial" w:cs="Arial"/>
          <w:lang w:val="en-US"/>
        </w:rPr>
        <w:t xml:space="preserve"> </w:t>
      </w:r>
      <w:r w:rsidR="00DA3B57">
        <w:rPr>
          <w:rFonts w:ascii="Arial" w:hAnsi="Arial" w:cs="Arial"/>
          <w:lang w:val="en-US"/>
        </w:rPr>
        <w:t>It</w:t>
      </w:r>
      <w:r w:rsidR="00197953">
        <w:rPr>
          <w:rFonts w:ascii="Arial" w:hAnsi="Arial" w:cs="Arial"/>
          <w:lang w:val="en-US"/>
        </w:rPr>
        <w:t xml:space="preserve"> </w:t>
      </w:r>
      <w:r w:rsidR="00DA3B57">
        <w:rPr>
          <w:rFonts w:ascii="Arial" w:hAnsi="Arial" w:cs="Arial"/>
          <w:lang w:val="en-US"/>
        </w:rPr>
        <w:t>therefore</w:t>
      </w:r>
      <w:r w:rsidR="00197953">
        <w:rPr>
          <w:rFonts w:ascii="Arial" w:hAnsi="Arial" w:cs="Arial"/>
          <w:lang w:val="en-US"/>
        </w:rPr>
        <w:t xml:space="preserve"> did not form part of the appellant’s </w:t>
      </w:r>
      <w:r w:rsidR="00E834B5">
        <w:rPr>
          <w:rFonts w:ascii="Arial" w:hAnsi="Arial" w:cs="Arial"/>
          <w:lang w:val="en-US"/>
        </w:rPr>
        <w:t>‘</w:t>
      </w:r>
      <w:r w:rsidR="00197953">
        <w:rPr>
          <w:rFonts w:ascii="Arial" w:hAnsi="Arial" w:cs="Arial"/>
          <w:lang w:val="en-US"/>
        </w:rPr>
        <w:t>gross income</w:t>
      </w:r>
      <w:r w:rsidR="00E834B5">
        <w:rPr>
          <w:rFonts w:ascii="Arial" w:hAnsi="Arial" w:cs="Arial"/>
          <w:lang w:val="en-US"/>
        </w:rPr>
        <w:t>’</w:t>
      </w:r>
      <w:r w:rsidR="00197953">
        <w:rPr>
          <w:rFonts w:ascii="Arial" w:hAnsi="Arial" w:cs="Arial"/>
          <w:lang w:val="en-US"/>
        </w:rPr>
        <w:t xml:space="preserve"> and was accordingly </w:t>
      </w:r>
      <w:r w:rsidR="00DA3B57">
        <w:rPr>
          <w:rFonts w:ascii="Arial" w:hAnsi="Arial" w:cs="Arial"/>
          <w:lang w:val="en-US"/>
        </w:rPr>
        <w:t xml:space="preserve">to be </w:t>
      </w:r>
      <w:r w:rsidR="00197953">
        <w:rPr>
          <w:rFonts w:ascii="Arial" w:hAnsi="Arial" w:cs="Arial"/>
          <w:lang w:val="en-US"/>
        </w:rPr>
        <w:t>excluded from the appellant’s taxable income.</w:t>
      </w:r>
    </w:p>
    <w:p w14:paraId="5765C9AB" w14:textId="77777777" w:rsidR="00FA42CD" w:rsidRDefault="00FA42CD" w:rsidP="00197953">
      <w:pPr>
        <w:spacing w:line="480" w:lineRule="auto"/>
        <w:jc w:val="both"/>
        <w:rPr>
          <w:rFonts w:ascii="Arial" w:hAnsi="Arial" w:cs="Arial"/>
          <w:lang w:val="en-US"/>
        </w:rPr>
      </w:pPr>
    </w:p>
    <w:p w14:paraId="702497E5" w14:textId="74A9FBA6" w:rsidR="00197953" w:rsidRDefault="002B5580" w:rsidP="00197953">
      <w:pPr>
        <w:spacing w:line="480" w:lineRule="auto"/>
        <w:jc w:val="both"/>
        <w:rPr>
          <w:rFonts w:ascii="Arial" w:hAnsi="Arial" w:cs="Arial"/>
          <w:lang w:val="en-US"/>
        </w:rPr>
      </w:pPr>
      <w:r>
        <w:rPr>
          <w:rFonts w:ascii="Arial" w:hAnsi="Arial" w:cs="Arial"/>
          <w:lang w:val="en-US"/>
        </w:rPr>
        <w:t>[1</w:t>
      </w:r>
      <w:r w:rsidR="008E03F7">
        <w:rPr>
          <w:rFonts w:ascii="Arial" w:hAnsi="Arial" w:cs="Arial"/>
          <w:lang w:val="en-US"/>
        </w:rPr>
        <w:t>6</w:t>
      </w:r>
      <w:r>
        <w:rPr>
          <w:rFonts w:ascii="Arial" w:hAnsi="Arial" w:cs="Arial"/>
          <w:lang w:val="en-US"/>
        </w:rPr>
        <w:t>]</w:t>
      </w:r>
      <w:r>
        <w:rPr>
          <w:rFonts w:ascii="Arial" w:hAnsi="Arial" w:cs="Arial"/>
          <w:lang w:val="en-US"/>
        </w:rPr>
        <w:tab/>
      </w:r>
      <w:r w:rsidR="00FA42CD">
        <w:rPr>
          <w:rFonts w:ascii="Arial" w:hAnsi="Arial" w:cs="Arial"/>
          <w:lang w:val="en-US"/>
        </w:rPr>
        <w:t xml:space="preserve">The respondent filed </w:t>
      </w:r>
      <w:r w:rsidR="005A66A6">
        <w:rPr>
          <w:rFonts w:ascii="Arial" w:hAnsi="Arial" w:cs="Arial"/>
          <w:lang w:val="en-US"/>
        </w:rPr>
        <w:t>a</w:t>
      </w:r>
      <w:r w:rsidR="00FA42CD">
        <w:rPr>
          <w:rFonts w:ascii="Arial" w:hAnsi="Arial" w:cs="Arial"/>
          <w:lang w:val="en-US"/>
        </w:rPr>
        <w:t xml:space="preserve"> reply in terms of rule 33 </w:t>
      </w:r>
      <w:r>
        <w:rPr>
          <w:rFonts w:ascii="Arial" w:hAnsi="Arial" w:cs="Arial"/>
          <w:lang w:val="en-US"/>
        </w:rPr>
        <w:t>on 17 February 2022</w:t>
      </w:r>
      <w:r w:rsidR="005A66A6">
        <w:rPr>
          <w:rFonts w:ascii="Arial" w:hAnsi="Arial" w:cs="Arial"/>
          <w:lang w:val="en-US"/>
        </w:rPr>
        <w:t>, in which it</w:t>
      </w:r>
      <w:r w:rsidR="00197953">
        <w:rPr>
          <w:rFonts w:ascii="Arial" w:hAnsi="Arial" w:cs="Arial"/>
          <w:lang w:val="en-US"/>
        </w:rPr>
        <w:t xml:space="preserve"> denie</w:t>
      </w:r>
      <w:r w:rsidR="005A66A6">
        <w:rPr>
          <w:rFonts w:ascii="Arial" w:hAnsi="Arial" w:cs="Arial"/>
          <w:lang w:val="en-US"/>
        </w:rPr>
        <w:t>d</w:t>
      </w:r>
      <w:r w:rsidR="00197953">
        <w:rPr>
          <w:rFonts w:ascii="Arial" w:hAnsi="Arial" w:cs="Arial"/>
          <w:lang w:val="en-US"/>
        </w:rPr>
        <w:t xml:space="preserve"> that the appellant </w:t>
      </w:r>
      <w:r w:rsidR="005A66A6">
        <w:rPr>
          <w:rFonts w:ascii="Arial" w:hAnsi="Arial" w:cs="Arial"/>
          <w:lang w:val="en-US"/>
        </w:rPr>
        <w:t>wa</w:t>
      </w:r>
      <w:r w:rsidR="00197953">
        <w:rPr>
          <w:rFonts w:ascii="Arial" w:hAnsi="Arial" w:cs="Arial"/>
          <w:lang w:val="en-US"/>
        </w:rPr>
        <w:t xml:space="preserve">s entitled to </w:t>
      </w:r>
      <w:r w:rsidR="005A66A6">
        <w:rPr>
          <w:rFonts w:ascii="Arial" w:hAnsi="Arial" w:cs="Arial"/>
          <w:lang w:val="en-US"/>
        </w:rPr>
        <w:t xml:space="preserve">raise the purported </w:t>
      </w:r>
      <w:r w:rsidR="00197953">
        <w:rPr>
          <w:rFonts w:ascii="Arial" w:hAnsi="Arial" w:cs="Arial"/>
          <w:lang w:val="en-US"/>
        </w:rPr>
        <w:t>exclu</w:t>
      </w:r>
      <w:r w:rsidR="005A66A6">
        <w:rPr>
          <w:rFonts w:ascii="Arial" w:hAnsi="Arial" w:cs="Arial"/>
          <w:lang w:val="en-US"/>
        </w:rPr>
        <w:t xml:space="preserve">sion of </w:t>
      </w:r>
      <w:r w:rsidR="00197953">
        <w:rPr>
          <w:rFonts w:ascii="Arial" w:hAnsi="Arial" w:cs="Arial"/>
          <w:lang w:val="en-US"/>
        </w:rPr>
        <w:t>the</w:t>
      </w:r>
      <w:r w:rsidR="00E834B5">
        <w:rPr>
          <w:rFonts w:ascii="Arial" w:hAnsi="Arial" w:cs="Arial"/>
          <w:lang w:val="en-US"/>
        </w:rPr>
        <w:t xml:space="preserve"> disputed</w:t>
      </w:r>
      <w:r w:rsidR="00197953">
        <w:rPr>
          <w:rFonts w:ascii="Arial" w:hAnsi="Arial" w:cs="Arial"/>
          <w:lang w:val="en-US"/>
        </w:rPr>
        <w:t xml:space="preserve"> amount of R11 072</w:t>
      </w:r>
      <w:r w:rsidR="00C247C7">
        <w:rPr>
          <w:rFonts w:ascii="Arial" w:hAnsi="Arial" w:cs="Arial"/>
          <w:lang w:val="en-US"/>
        </w:rPr>
        <w:t> </w:t>
      </w:r>
      <w:r w:rsidR="00197953">
        <w:rPr>
          <w:rFonts w:ascii="Arial" w:hAnsi="Arial" w:cs="Arial"/>
          <w:lang w:val="en-US"/>
        </w:rPr>
        <w:t>237</w:t>
      </w:r>
      <w:r w:rsidR="00C247C7">
        <w:rPr>
          <w:rFonts w:ascii="Arial" w:hAnsi="Arial" w:cs="Arial"/>
          <w:lang w:val="en-US"/>
        </w:rPr>
        <w:t>,00</w:t>
      </w:r>
      <w:r w:rsidR="00197953">
        <w:rPr>
          <w:rFonts w:ascii="Arial" w:hAnsi="Arial" w:cs="Arial"/>
          <w:lang w:val="en-US"/>
        </w:rPr>
        <w:t xml:space="preserve"> from </w:t>
      </w:r>
      <w:r w:rsidR="00CA439B">
        <w:rPr>
          <w:rFonts w:ascii="Arial" w:hAnsi="Arial" w:cs="Arial"/>
          <w:lang w:val="en-US"/>
        </w:rPr>
        <w:t xml:space="preserve">its </w:t>
      </w:r>
      <w:r w:rsidR="00197953">
        <w:rPr>
          <w:rFonts w:ascii="Arial" w:hAnsi="Arial" w:cs="Arial"/>
          <w:lang w:val="en-US"/>
        </w:rPr>
        <w:t>gross income for the 2018 tax year as an issue in th</w:t>
      </w:r>
      <w:r w:rsidR="005A66A6">
        <w:rPr>
          <w:rFonts w:ascii="Arial" w:hAnsi="Arial" w:cs="Arial"/>
          <w:lang w:val="en-US"/>
        </w:rPr>
        <w:t>e</w:t>
      </w:r>
      <w:r w:rsidR="00197953">
        <w:rPr>
          <w:rFonts w:ascii="Arial" w:hAnsi="Arial" w:cs="Arial"/>
          <w:lang w:val="en-US"/>
        </w:rPr>
        <w:t xml:space="preserve"> appeal; </w:t>
      </w:r>
      <w:r w:rsidR="005A66A6">
        <w:rPr>
          <w:rFonts w:ascii="Arial" w:hAnsi="Arial" w:cs="Arial"/>
          <w:lang w:val="en-US"/>
        </w:rPr>
        <w:t xml:space="preserve">and </w:t>
      </w:r>
      <w:r w:rsidR="00197953">
        <w:rPr>
          <w:rFonts w:ascii="Arial" w:hAnsi="Arial" w:cs="Arial"/>
          <w:lang w:val="en-US"/>
        </w:rPr>
        <w:t>denie</w:t>
      </w:r>
      <w:r w:rsidR="005A66A6">
        <w:rPr>
          <w:rFonts w:ascii="Arial" w:hAnsi="Arial" w:cs="Arial"/>
          <w:lang w:val="en-US"/>
        </w:rPr>
        <w:t>d</w:t>
      </w:r>
      <w:r w:rsidR="00197953">
        <w:rPr>
          <w:rFonts w:ascii="Arial" w:hAnsi="Arial" w:cs="Arial"/>
          <w:lang w:val="en-US"/>
        </w:rPr>
        <w:t xml:space="preserve"> that the amount had accrued to</w:t>
      </w:r>
      <w:r w:rsidR="005A66A6">
        <w:rPr>
          <w:rFonts w:ascii="Arial" w:hAnsi="Arial" w:cs="Arial"/>
          <w:lang w:val="en-US"/>
        </w:rPr>
        <w:t xml:space="preserve"> or </w:t>
      </w:r>
      <w:r w:rsidR="00FE6834">
        <w:rPr>
          <w:rFonts w:ascii="Arial" w:hAnsi="Arial" w:cs="Arial"/>
          <w:lang w:val="en-US"/>
        </w:rPr>
        <w:t xml:space="preserve">had </w:t>
      </w:r>
      <w:r w:rsidR="005A66A6">
        <w:rPr>
          <w:rFonts w:ascii="Arial" w:hAnsi="Arial" w:cs="Arial"/>
          <w:lang w:val="en-US"/>
        </w:rPr>
        <w:t>been received by</w:t>
      </w:r>
      <w:r w:rsidR="00197953">
        <w:rPr>
          <w:rFonts w:ascii="Arial" w:hAnsi="Arial" w:cs="Arial"/>
          <w:lang w:val="en-US"/>
        </w:rPr>
        <w:t xml:space="preserve"> the BECP</w:t>
      </w:r>
      <w:r w:rsidR="005A66A6">
        <w:rPr>
          <w:rFonts w:ascii="Arial" w:hAnsi="Arial" w:cs="Arial"/>
          <w:lang w:val="en-US"/>
        </w:rPr>
        <w:t>.</w:t>
      </w:r>
    </w:p>
    <w:p w14:paraId="063BB6ED" w14:textId="77777777" w:rsidR="00B93C6F" w:rsidRDefault="00B93C6F" w:rsidP="00197953">
      <w:pPr>
        <w:spacing w:line="480" w:lineRule="auto"/>
        <w:jc w:val="both"/>
        <w:rPr>
          <w:rFonts w:ascii="Arial" w:hAnsi="Arial" w:cs="Arial"/>
          <w:lang w:val="en-US"/>
        </w:rPr>
      </w:pPr>
    </w:p>
    <w:p w14:paraId="073C05EC" w14:textId="2FF3245C" w:rsidR="00B02A39" w:rsidRDefault="00B93C6F" w:rsidP="00197953">
      <w:pPr>
        <w:spacing w:line="480" w:lineRule="auto"/>
        <w:jc w:val="both"/>
        <w:rPr>
          <w:rFonts w:ascii="Arial" w:hAnsi="Arial" w:cs="Arial"/>
          <w:lang w:val="en-US"/>
        </w:rPr>
      </w:pPr>
      <w:r>
        <w:rPr>
          <w:rFonts w:ascii="Arial" w:hAnsi="Arial" w:cs="Arial"/>
          <w:lang w:val="en-US"/>
        </w:rPr>
        <w:t>[1</w:t>
      </w:r>
      <w:r w:rsidR="00EB4CBA">
        <w:rPr>
          <w:rFonts w:ascii="Arial" w:hAnsi="Arial" w:cs="Arial"/>
          <w:lang w:val="en-US"/>
        </w:rPr>
        <w:t>7</w:t>
      </w:r>
      <w:r>
        <w:rPr>
          <w:rFonts w:ascii="Arial" w:hAnsi="Arial" w:cs="Arial"/>
          <w:lang w:val="en-US"/>
        </w:rPr>
        <w:t>]</w:t>
      </w:r>
      <w:r w:rsidR="00487651">
        <w:rPr>
          <w:rFonts w:ascii="Arial" w:hAnsi="Arial" w:cs="Arial"/>
          <w:lang w:val="en-US"/>
        </w:rPr>
        <w:tab/>
      </w:r>
      <w:r w:rsidR="00197953">
        <w:rPr>
          <w:rFonts w:ascii="Arial" w:hAnsi="Arial" w:cs="Arial"/>
          <w:lang w:val="en-US"/>
        </w:rPr>
        <w:t xml:space="preserve">It </w:t>
      </w:r>
      <w:r w:rsidR="005A66A6">
        <w:rPr>
          <w:rFonts w:ascii="Arial" w:hAnsi="Arial" w:cs="Arial"/>
          <w:lang w:val="en-US"/>
        </w:rPr>
        <w:t xml:space="preserve">pointed out </w:t>
      </w:r>
      <w:r w:rsidR="00197953">
        <w:rPr>
          <w:rFonts w:ascii="Arial" w:hAnsi="Arial" w:cs="Arial"/>
          <w:lang w:val="en-US"/>
        </w:rPr>
        <w:t xml:space="preserve">that </w:t>
      </w:r>
      <w:r w:rsidR="00EB4CBA">
        <w:rPr>
          <w:rFonts w:ascii="Arial" w:hAnsi="Arial" w:cs="Arial"/>
          <w:lang w:val="en-US"/>
        </w:rPr>
        <w:t xml:space="preserve">in its </w:t>
      </w:r>
      <w:r w:rsidR="00A311EA">
        <w:rPr>
          <w:rFonts w:ascii="Arial" w:hAnsi="Arial" w:cs="Arial"/>
          <w:lang w:val="en-US"/>
        </w:rPr>
        <w:t xml:space="preserve">2018 </w:t>
      </w:r>
      <w:r w:rsidR="00EB4CBA">
        <w:rPr>
          <w:rFonts w:ascii="Arial" w:hAnsi="Arial" w:cs="Arial"/>
          <w:lang w:val="en-US"/>
        </w:rPr>
        <w:t xml:space="preserve">financial statements </w:t>
      </w:r>
      <w:r w:rsidR="00197953">
        <w:rPr>
          <w:rFonts w:ascii="Arial" w:hAnsi="Arial" w:cs="Arial"/>
          <w:lang w:val="en-US"/>
        </w:rPr>
        <w:t xml:space="preserve">the appellant </w:t>
      </w:r>
      <w:r w:rsidR="005A66A6">
        <w:rPr>
          <w:rFonts w:ascii="Arial" w:hAnsi="Arial" w:cs="Arial"/>
          <w:lang w:val="en-US"/>
        </w:rPr>
        <w:t xml:space="preserve">had </w:t>
      </w:r>
      <w:r w:rsidR="00A311EA">
        <w:rPr>
          <w:rFonts w:ascii="Arial" w:hAnsi="Arial" w:cs="Arial"/>
          <w:lang w:val="en-US"/>
        </w:rPr>
        <w:t>reflected</w:t>
      </w:r>
      <w:r w:rsidR="00197953">
        <w:rPr>
          <w:rFonts w:ascii="Arial" w:hAnsi="Arial" w:cs="Arial"/>
          <w:lang w:val="en-US"/>
        </w:rPr>
        <w:t xml:space="preserve"> the </w:t>
      </w:r>
      <w:r w:rsidR="005A66A6">
        <w:rPr>
          <w:rFonts w:ascii="Arial" w:hAnsi="Arial" w:cs="Arial"/>
          <w:lang w:val="en-US"/>
        </w:rPr>
        <w:t xml:space="preserve">disputed </w:t>
      </w:r>
      <w:r w:rsidR="00197953">
        <w:rPr>
          <w:rFonts w:ascii="Arial" w:hAnsi="Arial" w:cs="Arial"/>
          <w:lang w:val="en-US"/>
        </w:rPr>
        <w:t xml:space="preserve">amount </w:t>
      </w:r>
      <w:r w:rsidR="00EB4CBA">
        <w:rPr>
          <w:rFonts w:ascii="Arial" w:hAnsi="Arial" w:cs="Arial"/>
          <w:lang w:val="en-US"/>
        </w:rPr>
        <w:t>as part of</w:t>
      </w:r>
      <w:r w:rsidR="005A66A6">
        <w:rPr>
          <w:rFonts w:ascii="Arial" w:hAnsi="Arial" w:cs="Arial"/>
          <w:lang w:val="en-US"/>
        </w:rPr>
        <w:t xml:space="preserve"> its gross income </w:t>
      </w:r>
      <w:r w:rsidR="00197953">
        <w:rPr>
          <w:rFonts w:ascii="Arial" w:hAnsi="Arial" w:cs="Arial"/>
          <w:lang w:val="en-US"/>
        </w:rPr>
        <w:t>and ha</w:t>
      </w:r>
      <w:r w:rsidR="005A66A6">
        <w:rPr>
          <w:rFonts w:ascii="Arial" w:hAnsi="Arial" w:cs="Arial"/>
          <w:lang w:val="en-US"/>
        </w:rPr>
        <w:t>d</w:t>
      </w:r>
      <w:r w:rsidR="00197953">
        <w:rPr>
          <w:rFonts w:ascii="Arial" w:hAnsi="Arial" w:cs="Arial"/>
          <w:lang w:val="en-US"/>
        </w:rPr>
        <w:t xml:space="preserve"> </w:t>
      </w:r>
      <w:r w:rsidR="00EB4CBA">
        <w:rPr>
          <w:rFonts w:ascii="Arial" w:hAnsi="Arial" w:cs="Arial"/>
          <w:lang w:val="en-US"/>
        </w:rPr>
        <w:t xml:space="preserve">likewise </w:t>
      </w:r>
      <w:r w:rsidR="00197953">
        <w:rPr>
          <w:rFonts w:ascii="Arial" w:hAnsi="Arial" w:cs="Arial"/>
          <w:lang w:val="en-US"/>
        </w:rPr>
        <w:t xml:space="preserve">declared the amount </w:t>
      </w:r>
      <w:r w:rsidR="00EB4CBA">
        <w:rPr>
          <w:rFonts w:ascii="Arial" w:hAnsi="Arial" w:cs="Arial"/>
          <w:lang w:val="en-US"/>
        </w:rPr>
        <w:t>a</w:t>
      </w:r>
      <w:r w:rsidR="00197953">
        <w:rPr>
          <w:rFonts w:ascii="Arial" w:hAnsi="Arial" w:cs="Arial"/>
          <w:lang w:val="en-US"/>
        </w:rPr>
        <w:t xml:space="preserve">s part of </w:t>
      </w:r>
      <w:r w:rsidR="00AB70D4">
        <w:rPr>
          <w:rFonts w:ascii="Arial" w:hAnsi="Arial" w:cs="Arial"/>
          <w:lang w:val="en-US"/>
        </w:rPr>
        <w:t>its</w:t>
      </w:r>
      <w:r w:rsidR="00197953">
        <w:rPr>
          <w:rFonts w:ascii="Arial" w:hAnsi="Arial" w:cs="Arial"/>
          <w:lang w:val="en-US"/>
        </w:rPr>
        <w:t xml:space="preserve"> gross income for the 2018 tax year </w:t>
      </w:r>
      <w:r w:rsidR="005A66A6">
        <w:rPr>
          <w:rFonts w:ascii="Arial" w:hAnsi="Arial" w:cs="Arial"/>
          <w:lang w:val="en-US"/>
        </w:rPr>
        <w:t>in</w:t>
      </w:r>
      <w:r w:rsidR="00197953">
        <w:rPr>
          <w:rFonts w:ascii="Arial" w:hAnsi="Arial" w:cs="Arial"/>
          <w:lang w:val="en-US"/>
        </w:rPr>
        <w:t xml:space="preserve"> </w:t>
      </w:r>
      <w:r w:rsidR="00EB4CBA">
        <w:rPr>
          <w:rFonts w:ascii="Arial" w:hAnsi="Arial" w:cs="Arial"/>
          <w:lang w:val="en-US"/>
        </w:rPr>
        <w:t>the</w:t>
      </w:r>
      <w:r w:rsidR="00197953">
        <w:rPr>
          <w:rFonts w:ascii="Arial" w:hAnsi="Arial" w:cs="Arial"/>
          <w:lang w:val="en-US"/>
        </w:rPr>
        <w:t xml:space="preserve"> ITR14 return</w:t>
      </w:r>
      <w:r w:rsidR="005A66A6">
        <w:rPr>
          <w:rFonts w:ascii="Arial" w:hAnsi="Arial" w:cs="Arial"/>
          <w:lang w:val="en-US"/>
        </w:rPr>
        <w:t xml:space="preserve"> which it had</w:t>
      </w:r>
      <w:r w:rsidR="00197953">
        <w:rPr>
          <w:rFonts w:ascii="Arial" w:hAnsi="Arial" w:cs="Arial"/>
          <w:lang w:val="en-US"/>
        </w:rPr>
        <w:t xml:space="preserve"> submitted. The appellant </w:t>
      </w:r>
      <w:r w:rsidR="00EB4CBA">
        <w:rPr>
          <w:rFonts w:ascii="Arial" w:hAnsi="Arial" w:cs="Arial"/>
          <w:lang w:val="en-US"/>
        </w:rPr>
        <w:t xml:space="preserve">had only sought to have the amount excluded from its taxable income as a deduction in terms of section 11(a) of the ITA. </w:t>
      </w:r>
      <w:r w:rsidR="0072509F">
        <w:rPr>
          <w:rFonts w:ascii="Arial" w:hAnsi="Arial" w:cs="Arial"/>
          <w:lang w:val="en-US"/>
        </w:rPr>
        <w:t>In the circumstances t</w:t>
      </w:r>
      <w:r w:rsidR="00EB4CBA">
        <w:rPr>
          <w:rFonts w:ascii="Arial" w:hAnsi="Arial" w:cs="Arial"/>
          <w:lang w:val="en-US"/>
        </w:rPr>
        <w:t xml:space="preserve">he appellant had been assessed on the basis that the amount was </w:t>
      </w:r>
      <w:r w:rsidR="00D0016D">
        <w:rPr>
          <w:rFonts w:ascii="Arial" w:hAnsi="Arial" w:cs="Arial"/>
          <w:lang w:val="en-US"/>
        </w:rPr>
        <w:t xml:space="preserve">included in </w:t>
      </w:r>
      <w:r w:rsidR="0072509F">
        <w:rPr>
          <w:rFonts w:ascii="Arial" w:hAnsi="Arial" w:cs="Arial"/>
          <w:lang w:val="en-US"/>
        </w:rPr>
        <w:t>its</w:t>
      </w:r>
      <w:r w:rsidR="00EB4CBA">
        <w:rPr>
          <w:rFonts w:ascii="Arial" w:hAnsi="Arial" w:cs="Arial"/>
          <w:lang w:val="en-US"/>
        </w:rPr>
        <w:t xml:space="preserve"> gross income, and the appellant had </w:t>
      </w:r>
      <w:r w:rsidR="00197953">
        <w:rPr>
          <w:rFonts w:ascii="Arial" w:hAnsi="Arial" w:cs="Arial"/>
          <w:lang w:val="en-US"/>
        </w:rPr>
        <w:t>n</w:t>
      </w:r>
      <w:r w:rsidR="00EB4CBA">
        <w:rPr>
          <w:rFonts w:ascii="Arial" w:hAnsi="Arial" w:cs="Arial"/>
          <w:lang w:val="en-US"/>
        </w:rPr>
        <w:t xml:space="preserve">ever </w:t>
      </w:r>
      <w:r w:rsidR="00197953">
        <w:rPr>
          <w:rFonts w:ascii="Arial" w:hAnsi="Arial" w:cs="Arial"/>
          <w:lang w:val="en-US"/>
        </w:rPr>
        <w:t xml:space="preserve">objected </w:t>
      </w:r>
      <w:r w:rsidR="00EB4CBA">
        <w:rPr>
          <w:rFonts w:ascii="Arial" w:hAnsi="Arial" w:cs="Arial"/>
          <w:lang w:val="en-US"/>
        </w:rPr>
        <w:t>to th</w:t>
      </w:r>
      <w:r w:rsidR="00D0016D">
        <w:rPr>
          <w:rFonts w:ascii="Arial" w:hAnsi="Arial" w:cs="Arial"/>
          <w:lang w:val="en-US"/>
        </w:rPr>
        <w:t>is</w:t>
      </w:r>
      <w:r w:rsidR="00EB4CBA">
        <w:rPr>
          <w:rFonts w:ascii="Arial" w:hAnsi="Arial" w:cs="Arial"/>
          <w:lang w:val="en-US"/>
        </w:rPr>
        <w:t xml:space="preserve"> inclusion in the </w:t>
      </w:r>
      <w:r w:rsidR="00A311EA">
        <w:rPr>
          <w:rFonts w:ascii="Arial" w:hAnsi="Arial" w:cs="Arial"/>
          <w:lang w:val="en-US"/>
        </w:rPr>
        <w:t xml:space="preserve">SARS </w:t>
      </w:r>
      <w:r w:rsidR="00EB4CBA">
        <w:rPr>
          <w:rFonts w:ascii="Arial" w:hAnsi="Arial" w:cs="Arial"/>
          <w:lang w:val="en-US"/>
        </w:rPr>
        <w:t xml:space="preserve">assessment. </w:t>
      </w:r>
    </w:p>
    <w:p w14:paraId="6A7A21FC" w14:textId="77777777" w:rsidR="00D0016D" w:rsidRDefault="00D0016D" w:rsidP="00197953">
      <w:pPr>
        <w:spacing w:line="480" w:lineRule="auto"/>
        <w:jc w:val="both"/>
        <w:rPr>
          <w:rFonts w:ascii="Arial" w:hAnsi="Arial" w:cs="Arial"/>
          <w:lang w:val="en-US"/>
        </w:rPr>
      </w:pPr>
    </w:p>
    <w:p w14:paraId="77065C34" w14:textId="6B3F5E26" w:rsidR="00DB7D0B" w:rsidRDefault="00B02A39" w:rsidP="00197953">
      <w:pPr>
        <w:spacing w:line="480" w:lineRule="auto"/>
        <w:jc w:val="both"/>
        <w:rPr>
          <w:rFonts w:ascii="Arial" w:hAnsi="Arial" w:cs="Arial"/>
          <w:lang w:val="en-US"/>
        </w:rPr>
      </w:pPr>
      <w:r>
        <w:rPr>
          <w:rFonts w:ascii="Arial" w:hAnsi="Arial" w:cs="Arial"/>
          <w:lang w:val="en-US"/>
        </w:rPr>
        <w:t>[1</w:t>
      </w:r>
      <w:r w:rsidR="00EB4CBA">
        <w:rPr>
          <w:rFonts w:ascii="Arial" w:hAnsi="Arial" w:cs="Arial"/>
          <w:lang w:val="en-US"/>
        </w:rPr>
        <w:t>8</w:t>
      </w:r>
      <w:r>
        <w:rPr>
          <w:rFonts w:ascii="Arial" w:hAnsi="Arial" w:cs="Arial"/>
          <w:lang w:val="en-US"/>
        </w:rPr>
        <w:t>]</w:t>
      </w:r>
      <w:r>
        <w:rPr>
          <w:rFonts w:ascii="Arial" w:hAnsi="Arial" w:cs="Arial"/>
          <w:lang w:val="en-US"/>
        </w:rPr>
        <w:tab/>
      </w:r>
      <w:r w:rsidR="0072509F">
        <w:rPr>
          <w:rFonts w:ascii="Arial" w:hAnsi="Arial" w:cs="Arial"/>
          <w:lang w:val="en-US"/>
        </w:rPr>
        <w:t>The respondent</w:t>
      </w:r>
      <w:r w:rsidR="00197953">
        <w:rPr>
          <w:rFonts w:ascii="Arial" w:hAnsi="Arial" w:cs="Arial"/>
          <w:lang w:val="en-US"/>
        </w:rPr>
        <w:t xml:space="preserve"> </w:t>
      </w:r>
      <w:r w:rsidR="00D0016D">
        <w:rPr>
          <w:rFonts w:ascii="Arial" w:hAnsi="Arial" w:cs="Arial"/>
          <w:lang w:val="en-US"/>
        </w:rPr>
        <w:t>contended</w:t>
      </w:r>
      <w:r w:rsidR="00197953">
        <w:rPr>
          <w:rFonts w:ascii="Arial" w:hAnsi="Arial" w:cs="Arial"/>
          <w:lang w:val="en-US"/>
        </w:rPr>
        <w:t xml:space="preserve"> that </w:t>
      </w:r>
      <w:r w:rsidR="00EB4CBA">
        <w:rPr>
          <w:rFonts w:ascii="Arial" w:hAnsi="Arial" w:cs="Arial"/>
          <w:lang w:val="en-US"/>
        </w:rPr>
        <w:t xml:space="preserve">as </w:t>
      </w:r>
      <w:r w:rsidR="00197953">
        <w:rPr>
          <w:rFonts w:ascii="Arial" w:hAnsi="Arial" w:cs="Arial"/>
          <w:lang w:val="en-US"/>
        </w:rPr>
        <w:t>the appellant ha</w:t>
      </w:r>
      <w:r w:rsidR="00EB4CBA">
        <w:rPr>
          <w:rFonts w:ascii="Arial" w:hAnsi="Arial" w:cs="Arial"/>
          <w:lang w:val="en-US"/>
        </w:rPr>
        <w:t>d</w:t>
      </w:r>
      <w:r w:rsidR="00197953">
        <w:rPr>
          <w:rFonts w:ascii="Arial" w:hAnsi="Arial" w:cs="Arial"/>
          <w:lang w:val="en-US"/>
        </w:rPr>
        <w:t xml:space="preserve"> admitted </w:t>
      </w:r>
      <w:r w:rsidR="0072509F">
        <w:rPr>
          <w:rFonts w:ascii="Arial" w:hAnsi="Arial" w:cs="Arial"/>
          <w:lang w:val="en-US"/>
        </w:rPr>
        <w:t xml:space="preserve">that </w:t>
      </w:r>
      <w:r w:rsidR="00197953">
        <w:rPr>
          <w:rFonts w:ascii="Arial" w:hAnsi="Arial" w:cs="Arial"/>
          <w:lang w:val="en-US"/>
        </w:rPr>
        <w:t xml:space="preserve">the </w:t>
      </w:r>
      <w:r w:rsidR="00EB4CBA">
        <w:rPr>
          <w:rFonts w:ascii="Arial" w:hAnsi="Arial" w:cs="Arial"/>
          <w:lang w:val="en-US"/>
        </w:rPr>
        <w:t xml:space="preserve">disputed </w:t>
      </w:r>
      <w:r w:rsidR="00197953">
        <w:rPr>
          <w:rFonts w:ascii="Arial" w:hAnsi="Arial" w:cs="Arial"/>
          <w:lang w:val="en-US"/>
        </w:rPr>
        <w:t xml:space="preserve">amount </w:t>
      </w:r>
      <w:r w:rsidR="002D49F1">
        <w:rPr>
          <w:rFonts w:ascii="Arial" w:hAnsi="Arial" w:cs="Arial"/>
          <w:lang w:val="en-US"/>
        </w:rPr>
        <w:t>had</w:t>
      </w:r>
      <w:r w:rsidR="00197953">
        <w:rPr>
          <w:rFonts w:ascii="Arial" w:hAnsi="Arial" w:cs="Arial"/>
          <w:lang w:val="en-US"/>
        </w:rPr>
        <w:t xml:space="preserve"> form</w:t>
      </w:r>
      <w:r w:rsidR="00EB4CBA">
        <w:rPr>
          <w:rFonts w:ascii="Arial" w:hAnsi="Arial" w:cs="Arial"/>
          <w:lang w:val="en-US"/>
        </w:rPr>
        <w:t>ed</w:t>
      </w:r>
      <w:r w:rsidR="00197953">
        <w:rPr>
          <w:rFonts w:ascii="Arial" w:hAnsi="Arial" w:cs="Arial"/>
          <w:lang w:val="en-US"/>
        </w:rPr>
        <w:t xml:space="preserve"> part of its gross income </w:t>
      </w:r>
      <w:r w:rsidR="00A311EA">
        <w:rPr>
          <w:rFonts w:ascii="Arial" w:hAnsi="Arial" w:cs="Arial"/>
          <w:lang w:val="en-US"/>
        </w:rPr>
        <w:t>in</w:t>
      </w:r>
      <w:r w:rsidR="00197953">
        <w:rPr>
          <w:rFonts w:ascii="Arial" w:hAnsi="Arial" w:cs="Arial"/>
          <w:lang w:val="en-US"/>
        </w:rPr>
        <w:t xml:space="preserve"> the 2018 tax year</w:t>
      </w:r>
      <w:r w:rsidR="00DB7D0B">
        <w:rPr>
          <w:rFonts w:ascii="Arial" w:hAnsi="Arial" w:cs="Arial"/>
          <w:lang w:val="en-US"/>
        </w:rPr>
        <w:t>,</w:t>
      </w:r>
      <w:r w:rsidR="002D49F1">
        <w:rPr>
          <w:rFonts w:ascii="Arial" w:hAnsi="Arial" w:cs="Arial"/>
          <w:lang w:val="en-US"/>
        </w:rPr>
        <w:t xml:space="preserve"> </w:t>
      </w:r>
      <w:r w:rsidR="001B56B2">
        <w:rPr>
          <w:rFonts w:ascii="Arial" w:hAnsi="Arial" w:cs="Arial"/>
          <w:lang w:val="en-US"/>
        </w:rPr>
        <w:t>by</w:t>
      </w:r>
      <w:r w:rsidR="002D49F1">
        <w:rPr>
          <w:rFonts w:ascii="Arial" w:hAnsi="Arial" w:cs="Arial"/>
          <w:lang w:val="en-US"/>
        </w:rPr>
        <w:t xml:space="preserve"> now seeking to </w:t>
      </w:r>
      <w:r w:rsidR="002D49F1">
        <w:rPr>
          <w:rFonts w:ascii="Arial" w:hAnsi="Arial" w:cs="Arial"/>
          <w:lang w:val="en-US"/>
        </w:rPr>
        <w:lastRenderedPageBreak/>
        <w:t>exclude it</w:t>
      </w:r>
      <w:r w:rsidR="0072509F">
        <w:rPr>
          <w:rFonts w:ascii="Arial" w:hAnsi="Arial" w:cs="Arial"/>
          <w:lang w:val="en-US"/>
        </w:rPr>
        <w:t xml:space="preserve"> a</w:t>
      </w:r>
      <w:r w:rsidR="002D49F1">
        <w:rPr>
          <w:rFonts w:ascii="Arial" w:hAnsi="Arial" w:cs="Arial"/>
          <w:lang w:val="en-US"/>
        </w:rPr>
        <w:t xml:space="preserve"> </w:t>
      </w:r>
      <w:r w:rsidR="00197953">
        <w:rPr>
          <w:rFonts w:ascii="Arial" w:hAnsi="Arial" w:cs="Arial"/>
          <w:lang w:val="en-US"/>
        </w:rPr>
        <w:t>misrepresent</w:t>
      </w:r>
      <w:r w:rsidR="002D49F1">
        <w:rPr>
          <w:rFonts w:ascii="Arial" w:hAnsi="Arial" w:cs="Arial"/>
          <w:lang w:val="en-US"/>
        </w:rPr>
        <w:t xml:space="preserve">ation </w:t>
      </w:r>
      <w:r w:rsidR="001B56B2">
        <w:rPr>
          <w:rFonts w:ascii="Arial" w:hAnsi="Arial" w:cs="Arial"/>
          <w:lang w:val="en-US"/>
        </w:rPr>
        <w:t xml:space="preserve">was being made </w:t>
      </w:r>
      <w:r w:rsidR="002D49F1">
        <w:rPr>
          <w:rFonts w:ascii="Arial" w:hAnsi="Arial" w:cs="Arial"/>
          <w:lang w:val="en-US"/>
        </w:rPr>
        <w:t>in</w:t>
      </w:r>
      <w:r w:rsidR="00197953">
        <w:rPr>
          <w:rFonts w:ascii="Arial" w:hAnsi="Arial" w:cs="Arial"/>
          <w:lang w:val="en-US"/>
        </w:rPr>
        <w:t xml:space="preserve"> its declaration</w:t>
      </w:r>
      <w:r w:rsidR="00D0016D">
        <w:rPr>
          <w:rFonts w:ascii="Arial" w:hAnsi="Arial" w:cs="Arial"/>
          <w:lang w:val="en-US"/>
        </w:rPr>
        <w:t>s</w:t>
      </w:r>
      <w:r w:rsidR="00197953">
        <w:rPr>
          <w:rFonts w:ascii="Arial" w:hAnsi="Arial" w:cs="Arial"/>
          <w:lang w:val="en-US"/>
        </w:rPr>
        <w:t xml:space="preserve"> and </w:t>
      </w:r>
      <w:r w:rsidR="00D0016D">
        <w:rPr>
          <w:rFonts w:ascii="Arial" w:hAnsi="Arial" w:cs="Arial"/>
          <w:lang w:val="en-US"/>
        </w:rPr>
        <w:t>as to</w:t>
      </w:r>
      <w:r w:rsidR="0072509F">
        <w:rPr>
          <w:rFonts w:ascii="Arial" w:hAnsi="Arial" w:cs="Arial"/>
          <w:lang w:val="en-US"/>
        </w:rPr>
        <w:t xml:space="preserve"> </w:t>
      </w:r>
      <w:r w:rsidR="00197953">
        <w:rPr>
          <w:rFonts w:ascii="Arial" w:hAnsi="Arial" w:cs="Arial"/>
          <w:lang w:val="en-US"/>
        </w:rPr>
        <w:t xml:space="preserve">the nature of </w:t>
      </w:r>
      <w:r w:rsidR="002D49F1">
        <w:rPr>
          <w:rFonts w:ascii="Arial" w:hAnsi="Arial" w:cs="Arial"/>
          <w:lang w:val="en-US"/>
        </w:rPr>
        <w:t>its</w:t>
      </w:r>
      <w:r w:rsidR="00197953">
        <w:rPr>
          <w:rFonts w:ascii="Arial" w:hAnsi="Arial" w:cs="Arial"/>
          <w:lang w:val="en-US"/>
        </w:rPr>
        <w:t xml:space="preserve"> appeal</w:t>
      </w:r>
      <w:r w:rsidR="00A311EA">
        <w:rPr>
          <w:rFonts w:ascii="Arial" w:hAnsi="Arial" w:cs="Arial"/>
          <w:lang w:val="en-US"/>
        </w:rPr>
        <w:t>,</w:t>
      </w:r>
      <w:r w:rsidR="00D0016D">
        <w:rPr>
          <w:rFonts w:ascii="Arial" w:hAnsi="Arial" w:cs="Arial"/>
          <w:lang w:val="en-US"/>
        </w:rPr>
        <w:t xml:space="preserve"> in</w:t>
      </w:r>
      <w:r w:rsidR="00197953">
        <w:rPr>
          <w:rFonts w:ascii="Arial" w:hAnsi="Arial" w:cs="Arial"/>
          <w:lang w:val="en-US"/>
        </w:rPr>
        <w:t xml:space="preserve"> </w:t>
      </w:r>
      <w:r w:rsidR="002D49F1">
        <w:rPr>
          <w:rFonts w:ascii="Arial" w:hAnsi="Arial" w:cs="Arial"/>
          <w:lang w:val="en-US"/>
        </w:rPr>
        <w:t>its</w:t>
      </w:r>
      <w:r w:rsidR="00197953">
        <w:rPr>
          <w:rFonts w:ascii="Arial" w:hAnsi="Arial" w:cs="Arial"/>
          <w:lang w:val="en-US"/>
        </w:rPr>
        <w:t xml:space="preserve"> </w:t>
      </w:r>
      <w:r w:rsidR="002D49F1">
        <w:rPr>
          <w:rFonts w:ascii="Arial" w:hAnsi="Arial" w:cs="Arial"/>
          <w:lang w:val="en-US"/>
        </w:rPr>
        <w:t>r</w:t>
      </w:r>
      <w:r w:rsidR="00197953">
        <w:rPr>
          <w:rFonts w:ascii="Arial" w:hAnsi="Arial" w:cs="Arial"/>
          <w:lang w:val="en-US"/>
        </w:rPr>
        <w:t>ule 32 statement.</w:t>
      </w:r>
      <w:r w:rsidR="00DB7D0B">
        <w:rPr>
          <w:rFonts w:ascii="Arial" w:hAnsi="Arial" w:cs="Arial"/>
          <w:lang w:val="en-US"/>
        </w:rPr>
        <w:t xml:space="preserve"> </w:t>
      </w:r>
    </w:p>
    <w:p w14:paraId="509F1191" w14:textId="77777777" w:rsidR="00DB7D0B" w:rsidRDefault="00DB7D0B" w:rsidP="00197953">
      <w:pPr>
        <w:spacing w:line="480" w:lineRule="auto"/>
        <w:jc w:val="both"/>
        <w:rPr>
          <w:rFonts w:ascii="Arial" w:hAnsi="Arial" w:cs="Arial"/>
          <w:lang w:val="en-US"/>
        </w:rPr>
      </w:pPr>
    </w:p>
    <w:p w14:paraId="0AE44E76" w14:textId="20591F17" w:rsidR="00197953" w:rsidRDefault="00DB7D0B" w:rsidP="00197953">
      <w:pPr>
        <w:spacing w:line="480" w:lineRule="auto"/>
        <w:jc w:val="both"/>
        <w:rPr>
          <w:rFonts w:ascii="Arial" w:hAnsi="Arial" w:cs="Arial"/>
          <w:lang w:val="en-US"/>
        </w:rPr>
      </w:pPr>
      <w:r>
        <w:rPr>
          <w:rFonts w:ascii="Arial" w:hAnsi="Arial" w:cs="Arial"/>
          <w:lang w:val="en-US"/>
        </w:rPr>
        <w:t>[19]</w:t>
      </w:r>
      <w:r>
        <w:rPr>
          <w:rFonts w:ascii="Arial" w:hAnsi="Arial" w:cs="Arial"/>
          <w:lang w:val="en-US"/>
        </w:rPr>
        <w:tab/>
      </w:r>
      <w:r w:rsidR="003A7EC8">
        <w:rPr>
          <w:rFonts w:ascii="Arial" w:hAnsi="Arial" w:cs="Arial"/>
          <w:lang w:val="en-US"/>
        </w:rPr>
        <w:t>The respondent</w:t>
      </w:r>
      <w:r w:rsidR="00A942A1">
        <w:rPr>
          <w:rFonts w:ascii="Arial" w:hAnsi="Arial" w:cs="Arial"/>
          <w:lang w:val="en-US"/>
        </w:rPr>
        <w:t xml:space="preserve"> pointed out that in </w:t>
      </w:r>
      <w:r w:rsidR="00197953">
        <w:rPr>
          <w:rFonts w:ascii="Arial" w:hAnsi="Arial" w:cs="Arial"/>
          <w:lang w:val="en-US"/>
        </w:rPr>
        <w:t>its notice of objection in terms of rule 7</w:t>
      </w:r>
      <w:r w:rsidR="005922B0">
        <w:rPr>
          <w:rFonts w:ascii="Arial" w:hAnsi="Arial" w:cs="Arial"/>
          <w:lang w:val="en-US"/>
        </w:rPr>
        <w:t xml:space="preserve"> </w:t>
      </w:r>
      <w:r w:rsidR="0072509F">
        <w:rPr>
          <w:rFonts w:ascii="Arial" w:hAnsi="Arial" w:cs="Arial"/>
          <w:lang w:val="en-US"/>
        </w:rPr>
        <w:t>the appellant</w:t>
      </w:r>
      <w:r w:rsidR="00197953">
        <w:rPr>
          <w:rFonts w:ascii="Arial" w:hAnsi="Arial" w:cs="Arial"/>
          <w:lang w:val="en-US"/>
        </w:rPr>
        <w:t xml:space="preserve"> </w:t>
      </w:r>
      <w:r>
        <w:rPr>
          <w:rFonts w:ascii="Arial" w:hAnsi="Arial" w:cs="Arial"/>
          <w:lang w:val="en-US"/>
        </w:rPr>
        <w:t xml:space="preserve">had </w:t>
      </w:r>
      <w:r w:rsidR="00197953">
        <w:rPr>
          <w:rFonts w:ascii="Arial" w:hAnsi="Arial" w:cs="Arial"/>
          <w:lang w:val="en-US"/>
        </w:rPr>
        <w:t>not object</w:t>
      </w:r>
      <w:r>
        <w:rPr>
          <w:rFonts w:ascii="Arial" w:hAnsi="Arial" w:cs="Arial"/>
          <w:lang w:val="en-US"/>
        </w:rPr>
        <w:t>ed</w:t>
      </w:r>
      <w:r w:rsidR="00197953">
        <w:rPr>
          <w:rFonts w:ascii="Arial" w:hAnsi="Arial" w:cs="Arial"/>
          <w:lang w:val="en-US"/>
        </w:rPr>
        <w:t xml:space="preserve"> to the </w:t>
      </w:r>
      <w:r>
        <w:rPr>
          <w:rFonts w:ascii="Arial" w:hAnsi="Arial" w:cs="Arial"/>
          <w:lang w:val="en-US"/>
        </w:rPr>
        <w:t xml:space="preserve">disputed </w:t>
      </w:r>
      <w:r w:rsidR="00197953">
        <w:rPr>
          <w:rFonts w:ascii="Arial" w:hAnsi="Arial" w:cs="Arial"/>
          <w:lang w:val="en-US"/>
        </w:rPr>
        <w:t>amount</w:t>
      </w:r>
      <w:r>
        <w:rPr>
          <w:rFonts w:ascii="Arial" w:hAnsi="Arial" w:cs="Arial"/>
          <w:lang w:val="en-US"/>
        </w:rPr>
        <w:t xml:space="preserve"> </w:t>
      </w:r>
      <w:r w:rsidR="00197953">
        <w:rPr>
          <w:rFonts w:ascii="Arial" w:hAnsi="Arial" w:cs="Arial"/>
          <w:lang w:val="en-US"/>
        </w:rPr>
        <w:t>being included in its gross income</w:t>
      </w:r>
      <w:r w:rsidR="0072509F">
        <w:rPr>
          <w:rFonts w:ascii="Arial" w:hAnsi="Arial" w:cs="Arial"/>
          <w:lang w:val="en-US"/>
        </w:rPr>
        <w:t>,</w:t>
      </w:r>
      <w:r w:rsidR="00197953">
        <w:rPr>
          <w:rFonts w:ascii="Arial" w:hAnsi="Arial" w:cs="Arial"/>
          <w:lang w:val="en-US"/>
        </w:rPr>
        <w:t xml:space="preserve"> as part of the assessment under dispute</w:t>
      </w:r>
      <w:r w:rsidR="00385B32">
        <w:rPr>
          <w:rFonts w:ascii="Arial" w:hAnsi="Arial" w:cs="Arial"/>
          <w:lang w:val="en-US"/>
        </w:rPr>
        <w:t>,</w:t>
      </w:r>
      <w:r w:rsidR="00197953">
        <w:rPr>
          <w:rFonts w:ascii="Arial" w:hAnsi="Arial" w:cs="Arial"/>
          <w:lang w:val="en-US"/>
        </w:rPr>
        <w:t xml:space="preserve"> and </w:t>
      </w:r>
      <w:r>
        <w:rPr>
          <w:rFonts w:ascii="Arial" w:hAnsi="Arial" w:cs="Arial"/>
          <w:lang w:val="en-US"/>
        </w:rPr>
        <w:t>had</w:t>
      </w:r>
      <w:r w:rsidR="00197953">
        <w:rPr>
          <w:rFonts w:ascii="Arial" w:hAnsi="Arial" w:cs="Arial"/>
          <w:lang w:val="en-US"/>
        </w:rPr>
        <w:t xml:space="preserve"> not allege</w:t>
      </w:r>
      <w:r>
        <w:rPr>
          <w:rFonts w:ascii="Arial" w:hAnsi="Arial" w:cs="Arial"/>
          <w:lang w:val="en-US"/>
        </w:rPr>
        <w:t>d</w:t>
      </w:r>
      <w:r w:rsidR="00197953">
        <w:rPr>
          <w:rFonts w:ascii="Arial" w:hAnsi="Arial" w:cs="Arial"/>
          <w:lang w:val="en-US"/>
        </w:rPr>
        <w:t xml:space="preserve"> that </w:t>
      </w:r>
      <w:r w:rsidR="00385B32">
        <w:rPr>
          <w:rFonts w:ascii="Arial" w:hAnsi="Arial" w:cs="Arial"/>
          <w:lang w:val="en-US"/>
        </w:rPr>
        <w:t>it h</w:t>
      </w:r>
      <w:r w:rsidR="00197953">
        <w:rPr>
          <w:rFonts w:ascii="Arial" w:hAnsi="Arial" w:cs="Arial"/>
          <w:lang w:val="en-US"/>
        </w:rPr>
        <w:t xml:space="preserve">ad been received by or </w:t>
      </w:r>
      <w:r>
        <w:rPr>
          <w:rFonts w:ascii="Arial" w:hAnsi="Arial" w:cs="Arial"/>
          <w:lang w:val="en-US"/>
        </w:rPr>
        <w:t xml:space="preserve">had </w:t>
      </w:r>
      <w:r w:rsidR="00197953">
        <w:rPr>
          <w:rFonts w:ascii="Arial" w:hAnsi="Arial" w:cs="Arial"/>
          <w:lang w:val="en-US"/>
        </w:rPr>
        <w:t>accrued to another party.</w:t>
      </w:r>
      <w:r w:rsidR="005922B0">
        <w:rPr>
          <w:rFonts w:ascii="Arial" w:hAnsi="Arial" w:cs="Arial"/>
          <w:lang w:val="en-US"/>
        </w:rPr>
        <w:t xml:space="preserve"> </w:t>
      </w:r>
      <w:r w:rsidR="00197953">
        <w:rPr>
          <w:rFonts w:ascii="Arial" w:hAnsi="Arial" w:cs="Arial"/>
          <w:lang w:val="en-US"/>
        </w:rPr>
        <w:t xml:space="preserve">It </w:t>
      </w:r>
      <w:r w:rsidR="0072509F">
        <w:rPr>
          <w:rFonts w:ascii="Arial" w:hAnsi="Arial" w:cs="Arial"/>
          <w:lang w:val="en-US"/>
        </w:rPr>
        <w:t xml:space="preserve">had </w:t>
      </w:r>
      <w:r w:rsidR="00197953">
        <w:rPr>
          <w:rFonts w:ascii="Arial" w:hAnsi="Arial" w:cs="Arial"/>
          <w:lang w:val="en-US"/>
        </w:rPr>
        <w:t xml:space="preserve">instead </w:t>
      </w:r>
      <w:r>
        <w:rPr>
          <w:rFonts w:ascii="Arial" w:hAnsi="Arial" w:cs="Arial"/>
          <w:lang w:val="en-US"/>
        </w:rPr>
        <w:t xml:space="preserve">lodged </w:t>
      </w:r>
      <w:r w:rsidR="00197953">
        <w:rPr>
          <w:rFonts w:ascii="Arial" w:hAnsi="Arial" w:cs="Arial"/>
          <w:lang w:val="en-US"/>
        </w:rPr>
        <w:t>a</w:t>
      </w:r>
      <w:r w:rsidR="0072509F">
        <w:rPr>
          <w:rFonts w:ascii="Arial" w:hAnsi="Arial" w:cs="Arial"/>
          <w:lang w:val="en-US"/>
        </w:rPr>
        <w:t>n</w:t>
      </w:r>
      <w:r w:rsidR="00197953">
        <w:rPr>
          <w:rFonts w:ascii="Arial" w:hAnsi="Arial" w:cs="Arial"/>
          <w:lang w:val="en-US"/>
        </w:rPr>
        <w:t xml:space="preserve"> objection that ma</w:t>
      </w:r>
      <w:r>
        <w:rPr>
          <w:rFonts w:ascii="Arial" w:hAnsi="Arial" w:cs="Arial"/>
          <w:lang w:val="en-US"/>
        </w:rPr>
        <w:t>de</w:t>
      </w:r>
      <w:r w:rsidR="00197953">
        <w:rPr>
          <w:rFonts w:ascii="Arial" w:hAnsi="Arial" w:cs="Arial"/>
          <w:lang w:val="en-US"/>
        </w:rPr>
        <w:t xml:space="preserve"> no reference to the amount not forming part of its gross </w:t>
      </w:r>
      <w:r w:rsidR="0072509F">
        <w:rPr>
          <w:rFonts w:ascii="Arial" w:hAnsi="Arial" w:cs="Arial"/>
          <w:lang w:val="en-US"/>
        </w:rPr>
        <w:t>income</w:t>
      </w:r>
      <w:r w:rsidR="00385B32">
        <w:rPr>
          <w:rFonts w:ascii="Arial" w:hAnsi="Arial" w:cs="Arial"/>
          <w:lang w:val="en-US"/>
        </w:rPr>
        <w:t>;</w:t>
      </w:r>
      <w:r w:rsidR="0072509F">
        <w:rPr>
          <w:rFonts w:ascii="Arial" w:hAnsi="Arial" w:cs="Arial"/>
          <w:lang w:val="en-US"/>
        </w:rPr>
        <w:t xml:space="preserve"> and</w:t>
      </w:r>
      <w:r>
        <w:rPr>
          <w:rFonts w:ascii="Arial" w:hAnsi="Arial" w:cs="Arial"/>
          <w:lang w:val="en-US"/>
        </w:rPr>
        <w:t xml:space="preserve"> had</w:t>
      </w:r>
      <w:r w:rsidR="00197953">
        <w:rPr>
          <w:rFonts w:ascii="Arial" w:hAnsi="Arial" w:cs="Arial"/>
          <w:lang w:val="en-US"/>
        </w:rPr>
        <w:t xml:space="preserve"> </w:t>
      </w:r>
      <w:r>
        <w:rPr>
          <w:rFonts w:ascii="Arial" w:hAnsi="Arial" w:cs="Arial"/>
          <w:lang w:val="en-US"/>
        </w:rPr>
        <w:t xml:space="preserve">been </w:t>
      </w:r>
      <w:r w:rsidR="00197953">
        <w:rPr>
          <w:rFonts w:ascii="Arial" w:hAnsi="Arial" w:cs="Arial"/>
          <w:lang w:val="en-US"/>
        </w:rPr>
        <w:t>silent on its alleged accrual to another party.</w:t>
      </w:r>
    </w:p>
    <w:p w14:paraId="4D39E448" w14:textId="77777777" w:rsidR="003F3806" w:rsidRDefault="003F3806" w:rsidP="00197953">
      <w:pPr>
        <w:spacing w:line="480" w:lineRule="auto"/>
        <w:jc w:val="both"/>
        <w:rPr>
          <w:rFonts w:ascii="Arial" w:hAnsi="Arial" w:cs="Arial"/>
          <w:lang w:val="en-US"/>
        </w:rPr>
      </w:pPr>
    </w:p>
    <w:p w14:paraId="44A39859" w14:textId="3E1B54A4" w:rsidR="00197953" w:rsidRDefault="003F3806" w:rsidP="00197953">
      <w:pPr>
        <w:spacing w:line="480" w:lineRule="auto"/>
        <w:jc w:val="both"/>
        <w:rPr>
          <w:rFonts w:ascii="Arial" w:hAnsi="Arial" w:cs="Arial"/>
          <w:lang w:val="en-US"/>
        </w:rPr>
      </w:pPr>
      <w:r>
        <w:rPr>
          <w:rFonts w:ascii="Arial" w:hAnsi="Arial" w:cs="Arial"/>
          <w:lang w:val="en-US"/>
        </w:rPr>
        <w:t>[</w:t>
      </w:r>
      <w:r w:rsidR="00311320">
        <w:rPr>
          <w:rFonts w:ascii="Arial" w:hAnsi="Arial" w:cs="Arial"/>
          <w:lang w:val="en-US"/>
        </w:rPr>
        <w:t>20</w:t>
      </w:r>
      <w:r>
        <w:rPr>
          <w:rFonts w:ascii="Arial" w:hAnsi="Arial" w:cs="Arial"/>
          <w:lang w:val="en-US"/>
        </w:rPr>
        <w:t>]</w:t>
      </w:r>
      <w:r>
        <w:rPr>
          <w:rFonts w:ascii="Arial" w:hAnsi="Arial" w:cs="Arial"/>
          <w:lang w:val="en-US"/>
        </w:rPr>
        <w:tab/>
      </w:r>
      <w:r w:rsidR="00197953" w:rsidRPr="008F5C12">
        <w:rPr>
          <w:rFonts w:ascii="Arial" w:hAnsi="Arial" w:cs="Arial"/>
          <w:lang w:val="en-US"/>
        </w:rPr>
        <w:t xml:space="preserve">The objection </w:t>
      </w:r>
      <w:r w:rsidR="00385B32">
        <w:rPr>
          <w:rFonts w:ascii="Arial" w:hAnsi="Arial" w:cs="Arial"/>
          <w:lang w:val="en-US"/>
        </w:rPr>
        <w:t xml:space="preserve">only </w:t>
      </w:r>
      <w:r w:rsidR="00311320">
        <w:rPr>
          <w:rFonts w:ascii="Arial" w:hAnsi="Arial" w:cs="Arial"/>
          <w:lang w:val="en-US"/>
        </w:rPr>
        <w:t xml:space="preserve">treated </w:t>
      </w:r>
      <w:r w:rsidR="00197953" w:rsidRPr="008F5C12">
        <w:rPr>
          <w:rFonts w:ascii="Arial" w:hAnsi="Arial" w:cs="Arial"/>
          <w:lang w:val="en-US"/>
        </w:rPr>
        <w:t xml:space="preserve">the amount as having been received by </w:t>
      </w:r>
      <w:r w:rsidR="00311320">
        <w:rPr>
          <w:rFonts w:ascii="Arial" w:hAnsi="Arial" w:cs="Arial"/>
          <w:lang w:val="en-US"/>
        </w:rPr>
        <w:t>the appellant</w:t>
      </w:r>
      <w:r w:rsidR="00197953" w:rsidRPr="008F5C12">
        <w:rPr>
          <w:rFonts w:ascii="Arial" w:hAnsi="Arial" w:cs="Arial"/>
          <w:lang w:val="en-US"/>
        </w:rPr>
        <w:t xml:space="preserve"> as gross income</w:t>
      </w:r>
      <w:r w:rsidR="00311320">
        <w:rPr>
          <w:rFonts w:ascii="Arial" w:hAnsi="Arial" w:cs="Arial"/>
          <w:lang w:val="en-US"/>
        </w:rPr>
        <w:t xml:space="preserve">, </w:t>
      </w:r>
      <w:r w:rsidR="00385B32">
        <w:rPr>
          <w:rFonts w:ascii="Arial" w:hAnsi="Arial" w:cs="Arial"/>
          <w:lang w:val="en-US"/>
        </w:rPr>
        <w:t>which was to be</w:t>
      </w:r>
      <w:r w:rsidR="00197953" w:rsidRPr="008F5C12">
        <w:rPr>
          <w:rFonts w:ascii="Arial" w:hAnsi="Arial" w:cs="Arial"/>
          <w:lang w:val="en-US"/>
        </w:rPr>
        <w:t xml:space="preserve"> deducted </w:t>
      </w:r>
      <w:r w:rsidR="00385B32">
        <w:rPr>
          <w:rFonts w:ascii="Arial" w:hAnsi="Arial" w:cs="Arial"/>
          <w:lang w:val="en-US"/>
        </w:rPr>
        <w:t>a</w:t>
      </w:r>
      <w:r w:rsidR="00DB7D0B">
        <w:rPr>
          <w:rFonts w:ascii="Arial" w:hAnsi="Arial" w:cs="Arial"/>
          <w:lang w:val="en-US"/>
        </w:rPr>
        <w:t xml:space="preserve">s an expense, </w:t>
      </w:r>
      <w:r w:rsidR="00DB7D0B" w:rsidRPr="008F5C12">
        <w:rPr>
          <w:rFonts w:ascii="Arial" w:hAnsi="Arial" w:cs="Arial"/>
          <w:lang w:val="en-US"/>
        </w:rPr>
        <w:t>in</w:t>
      </w:r>
      <w:r w:rsidR="00197953" w:rsidRPr="008F5C12">
        <w:rPr>
          <w:rFonts w:ascii="Arial" w:hAnsi="Arial" w:cs="Arial"/>
          <w:lang w:val="en-US"/>
        </w:rPr>
        <w:t xml:space="preserve"> terms of section 11(a) of the </w:t>
      </w:r>
      <w:r w:rsidR="00311320">
        <w:rPr>
          <w:rFonts w:ascii="Arial" w:hAnsi="Arial" w:cs="Arial"/>
          <w:lang w:val="en-US"/>
        </w:rPr>
        <w:t>ITA</w:t>
      </w:r>
      <w:r w:rsidR="00197953" w:rsidRPr="008F5C12">
        <w:rPr>
          <w:rFonts w:ascii="Arial" w:hAnsi="Arial" w:cs="Arial"/>
          <w:lang w:val="en-US"/>
        </w:rPr>
        <w:t>.</w:t>
      </w:r>
      <w:r>
        <w:rPr>
          <w:rFonts w:ascii="Arial" w:hAnsi="Arial" w:cs="Arial"/>
          <w:lang w:val="en-US"/>
        </w:rPr>
        <w:t xml:space="preserve">  </w:t>
      </w:r>
      <w:r w:rsidR="00197953">
        <w:rPr>
          <w:rFonts w:ascii="Arial" w:hAnsi="Arial" w:cs="Arial"/>
          <w:lang w:val="en-US"/>
        </w:rPr>
        <w:t xml:space="preserve">The respondent </w:t>
      </w:r>
      <w:r w:rsidR="00DB7D0B">
        <w:rPr>
          <w:rFonts w:ascii="Arial" w:hAnsi="Arial" w:cs="Arial"/>
          <w:lang w:val="en-US"/>
        </w:rPr>
        <w:t xml:space="preserve">contended </w:t>
      </w:r>
      <w:r w:rsidR="00197953">
        <w:rPr>
          <w:rFonts w:ascii="Arial" w:hAnsi="Arial" w:cs="Arial"/>
          <w:lang w:val="en-US"/>
        </w:rPr>
        <w:t>that</w:t>
      </w:r>
      <w:r w:rsidR="00A311EA">
        <w:rPr>
          <w:rFonts w:ascii="Arial" w:hAnsi="Arial" w:cs="Arial"/>
          <w:lang w:val="en-US"/>
        </w:rPr>
        <w:t>, in the circumstances,</w:t>
      </w:r>
      <w:r w:rsidR="00197953">
        <w:rPr>
          <w:rFonts w:ascii="Arial" w:hAnsi="Arial" w:cs="Arial"/>
          <w:lang w:val="en-US"/>
        </w:rPr>
        <w:t xml:space="preserve"> the appellant </w:t>
      </w:r>
      <w:r w:rsidR="00DB7D0B">
        <w:rPr>
          <w:rFonts w:ascii="Arial" w:hAnsi="Arial" w:cs="Arial"/>
          <w:lang w:val="en-US"/>
        </w:rPr>
        <w:t>wa</w:t>
      </w:r>
      <w:r w:rsidR="00197953">
        <w:rPr>
          <w:rFonts w:ascii="Arial" w:hAnsi="Arial" w:cs="Arial"/>
          <w:lang w:val="en-US"/>
        </w:rPr>
        <w:t xml:space="preserve">s precluded from relying on this </w:t>
      </w:r>
      <w:r w:rsidR="00DB7D0B">
        <w:rPr>
          <w:rFonts w:ascii="Arial" w:hAnsi="Arial" w:cs="Arial"/>
          <w:lang w:val="en-US"/>
        </w:rPr>
        <w:t>‘</w:t>
      </w:r>
      <w:r w:rsidR="00197953">
        <w:rPr>
          <w:rFonts w:ascii="Arial" w:hAnsi="Arial" w:cs="Arial"/>
          <w:lang w:val="en-US"/>
        </w:rPr>
        <w:t>new</w:t>
      </w:r>
      <w:r w:rsidR="00DB7D0B">
        <w:rPr>
          <w:rFonts w:ascii="Arial" w:hAnsi="Arial" w:cs="Arial"/>
          <w:lang w:val="en-US"/>
        </w:rPr>
        <w:t>’</w:t>
      </w:r>
      <w:r w:rsidR="00197953">
        <w:rPr>
          <w:rFonts w:ascii="Arial" w:hAnsi="Arial" w:cs="Arial"/>
          <w:lang w:val="en-US"/>
        </w:rPr>
        <w:t xml:space="preserve"> ground of appeal as</w:t>
      </w:r>
      <w:r w:rsidR="00A942A1">
        <w:rPr>
          <w:rFonts w:ascii="Arial" w:hAnsi="Arial" w:cs="Arial"/>
          <w:lang w:val="en-US"/>
        </w:rPr>
        <w:t>, in effect, it</w:t>
      </w:r>
      <w:r w:rsidR="00197953">
        <w:rPr>
          <w:rFonts w:ascii="Arial" w:hAnsi="Arial" w:cs="Arial"/>
          <w:lang w:val="en-US"/>
        </w:rPr>
        <w:t xml:space="preserve"> constitute</w:t>
      </w:r>
      <w:r w:rsidR="00DB7D0B">
        <w:rPr>
          <w:rFonts w:ascii="Arial" w:hAnsi="Arial" w:cs="Arial"/>
          <w:lang w:val="en-US"/>
        </w:rPr>
        <w:t>d</w:t>
      </w:r>
      <w:r w:rsidR="00197953">
        <w:rPr>
          <w:rFonts w:ascii="Arial" w:hAnsi="Arial" w:cs="Arial"/>
          <w:lang w:val="en-US"/>
        </w:rPr>
        <w:t xml:space="preserve"> a new ground of objection against a </w:t>
      </w:r>
      <w:r w:rsidR="00DB7D0B">
        <w:rPr>
          <w:rFonts w:ascii="Arial" w:hAnsi="Arial" w:cs="Arial"/>
          <w:lang w:val="en-US"/>
        </w:rPr>
        <w:t>‘</w:t>
      </w:r>
      <w:r w:rsidR="00197953">
        <w:rPr>
          <w:rFonts w:ascii="Arial" w:hAnsi="Arial" w:cs="Arial"/>
          <w:lang w:val="en-US"/>
        </w:rPr>
        <w:t>part or amount</w:t>
      </w:r>
      <w:r w:rsidR="00DB7D0B">
        <w:rPr>
          <w:rFonts w:ascii="Arial" w:hAnsi="Arial" w:cs="Arial"/>
          <w:lang w:val="en-US"/>
        </w:rPr>
        <w:t>’</w:t>
      </w:r>
      <w:r w:rsidR="00197953">
        <w:rPr>
          <w:rFonts w:ascii="Arial" w:hAnsi="Arial" w:cs="Arial"/>
          <w:lang w:val="en-US"/>
        </w:rPr>
        <w:t xml:space="preserve"> of the </w:t>
      </w:r>
      <w:r w:rsidR="00DB7D0B">
        <w:rPr>
          <w:rFonts w:ascii="Arial" w:hAnsi="Arial" w:cs="Arial"/>
          <w:lang w:val="en-US"/>
        </w:rPr>
        <w:t xml:space="preserve">original </w:t>
      </w:r>
      <w:r w:rsidR="00197953">
        <w:rPr>
          <w:rFonts w:ascii="Arial" w:hAnsi="Arial" w:cs="Arial"/>
          <w:lang w:val="en-US"/>
        </w:rPr>
        <w:t xml:space="preserve">assessment </w:t>
      </w:r>
      <w:r w:rsidR="00DB7D0B">
        <w:rPr>
          <w:rFonts w:ascii="Arial" w:hAnsi="Arial" w:cs="Arial"/>
          <w:lang w:val="en-US"/>
        </w:rPr>
        <w:t xml:space="preserve">which was </w:t>
      </w:r>
      <w:r w:rsidR="00197953">
        <w:rPr>
          <w:rFonts w:ascii="Arial" w:hAnsi="Arial" w:cs="Arial"/>
          <w:lang w:val="en-US"/>
        </w:rPr>
        <w:t xml:space="preserve">not </w:t>
      </w:r>
      <w:r w:rsidR="003A7EC8">
        <w:rPr>
          <w:rFonts w:ascii="Arial" w:hAnsi="Arial" w:cs="Arial"/>
          <w:lang w:val="en-US"/>
        </w:rPr>
        <w:t xml:space="preserve">previously </w:t>
      </w:r>
      <w:r w:rsidR="00197953">
        <w:rPr>
          <w:rFonts w:ascii="Arial" w:hAnsi="Arial" w:cs="Arial"/>
          <w:lang w:val="en-US"/>
        </w:rPr>
        <w:t xml:space="preserve">objected to under rule 7. These </w:t>
      </w:r>
      <w:r w:rsidR="00FC2F2A">
        <w:rPr>
          <w:rFonts w:ascii="Arial" w:hAnsi="Arial" w:cs="Arial"/>
          <w:lang w:val="en-US"/>
        </w:rPr>
        <w:t xml:space="preserve">contentions </w:t>
      </w:r>
      <w:r w:rsidR="00CC281D">
        <w:rPr>
          <w:rFonts w:ascii="Arial" w:hAnsi="Arial" w:cs="Arial"/>
          <w:lang w:val="en-US"/>
        </w:rPr>
        <w:t>are</w:t>
      </w:r>
      <w:r w:rsidR="00197953">
        <w:rPr>
          <w:rFonts w:ascii="Arial" w:hAnsi="Arial" w:cs="Arial"/>
          <w:lang w:val="en-US"/>
        </w:rPr>
        <w:t xml:space="preserve"> broadly similar to th</w:t>
      </w:r>
      <w:r w:rsidR="00FC2F2A">
        <w:rPr>
          <w:rFonts w:ascii="Arial" w:hAnsi="Arial" w:cs="Arial"/>
          <w:lang w:val="en-US"/>
        </w:rPr>
        <w:t xml:space="preserve">ose </w:t>
      </w:r>
      <w:r w:rsidR="00197953">
        <w:rPr>
          <w:rFonts w:ascii="Arial" w:hAnsi="Arial" w:cs="Arial"/>
          <w:lang w:val="en-US"/>
        </w:rPr>
        <w:t xml:space="preserve">which </w:t>
      </w:r>
      <w:r w:rsidR="00FC2F2A">
        <w:rPr>
          <w:rFonts w:ascii="Arial" w:hAnsi="Arial" w:cs="Arial"/>
          <w:lang w:val="en-US"/>
        </w:rPr>
        <w:t>the respondent a</w:t>
      </w:r>
      <w:r w:rsidR="00197953">
        <w:rPr>
          <w:rFonts w:ascii="Arial" w:hAnsi="Arial" w:cs="Arial"/>
          <w:lang w:val="en-US"/>
        </w:rPr>
        <w:t>dvances in its opposition to th</w:t>
      </w:r>
      <w:r w:rsidR="00FC2F2A">
        <w:rPr>
          <w:rFonts w:ascii="Arial" w:hAnsi="Arial" w:cs="Arial"/>
          <w:lang w:val="en-US"/>
        </w:rPr>
        <w:t>e</w:t>
      </w:r>
      <w:r w:rsidR="00197953">
        <w:rPr>
          <w:rFonts w:ascii="Arial" w:hAnsi="Arial" w:cs="Arial"/>
          <w:lang w:val="en-US"/>
        </w:rPr>
        <w:t xml:space="preserve"> appeal</w:t>
      </w:r>
      <w:r w:rsidR="00A434E0">
        <w:rPr>
          <w:rFonts w:ascii="Arial" w:hAnsi="Arial" w:cs="Arial"/>
          <w:lang w:val="en-US"/>
        </w:rPr>
        <w:t xml:space="preserve"> before us</w:t>
      </w:r>
      <w:r w:rsidR="00197953">
        <w:rPr>
          <w:rFonts w:ascii="Arial" w:hAnsi="Arial" w:cs="Arial"/>
          <w:lang w:val="en-US"/>
        </w:rPr>
        <w:t>.</w:t>
      </w:r>
    </w:p>
    <w:p w14:paraId="531864E0" w14:textId="77777777" w:rsidR="00197953" w:rsidRDefault="00197953" w:rsidP="00197953">
      <w:pPr>
        <w:spacing w:line="480" w:lineRule="auto"/>
        <w:jc w:val="both"/>
        <w:rPr>
          <w:rFonts w:ascii="Arial" w:hAnsi="Arial" w:cs="Arial"/>
          <w:lang w:val="en-US"/>
        </w:rPr>
      </w:pPr>
      <w:r>
        <w:rPr>
          <w:rFonts w:ascii="Arial" w:hAnsi="Arial" w:cs="Arial"/>
          <w:lang w:val="en-US"/>
        </w:rPr>
        <w:t xml:space="preserve"> </w:t>
      </w:r>
    </w:p>
    <w:p w14:paraId="69E2B758" w14:textId="60BDEA44" w:rsidR="00197953" w:rsidRPr="003F3806" w:rsidRDefault="00197953" w:rsidP="00197953">
      <w:pPr>
        <w:spacing w:line="480" w:lineRule="auto"/>
        <w:jc w:val="both"/>
        <w:rPr>
          <w:rFonts w:ascii="Arial" w:hAnsi="Arial" w:cs="Arial"/>
          <w:u w:val="single"/>
          <w:lang w:val="en-US"/>
        </w:rPr>
      </w:pPr>
      <w:r w:rsidRPr="003F3806">
        <w:rPr>
          <w:rFonts w:ascii="Arial" w:hAnsi="Arial" w:cs="Arial"/>
          <w:u w:val="single"/>
          <w:lang w:val="en-US"/>
        </w:rPr>
        <w:t xml:space="preserve">The proceedings before the </w:t>
      </w:r>
      <w:r w:rsidR="00677D95">
        <w:rPr>
          <w:rFonts w:ascii="Arial" w:hAnsi="Arial" w:cs="Arial"/>
          <w:u w:val="single"/>
          <w:lang w:val="en-US"/>
        </w:rPr>
        <w:t xml:space="preserve">tax </w:t>
      </w:r>
      <w:r w:rsidRPr="003F3806">
        <w:rPr>
          <w:rFonts w:ascii="Arial" w:hAnsi="Arial" w:cs="Arial"/>
          <w:u w:val="single"/>
          <w:lang w:val="en-US"/>
        </w:rPr>
        <w:t>court:</w:t>
      </w:r>
    </w:p>
    <w:p w14:paraId="1A5593A6" w14:textId="3DC1D2A1" w:rsidR="00EA26F3" w:rsidRDefault="003F3806" w:rsidP="00197953">
      <w:pPr>
        <w:spacing w:line="480" w:lineRule="auto"/>
        <w:jc w:val="both"/>
        <w:rPr>
          <w:rFonts w:ascii="Arial" w:hAnsi="Arial" w:cs="Arial"/>
          <w:lang w:val="en-US"/>
        </w:rPr>
      </w:pPr>
      <w:r>
        <w:rPr>
          <w:rFonts w:ascii="Arial" w:hAnsi="Arial" w:cs="Arial"/>
          <w:lang w:val="en-US"/>
        </w:rPr>
        <w:t>[</w:t>
      </w:r>
      <w:r w:rsidR="00385B32">
        <w:rPr>
          <w:rFonts w:ascii="Arial" w:hAnsi="Arial" w:cs="Arial"/>
          <w:lang w:val="en-US"/>
        </w:rPr>
        <w:t>21</w:t>
      </w:r>
      <w:r>
        <w:rPr>
          <w:rFonts w:ascii="Arial" w:hAnsi="Arial" w:cs="Arial"/>
          <w:lang w:val="en-US"/>
        </w:rPr>
        <w:t>]</w:t>
      </w:r>
      <w:r>
        <w:rPr>
          <w:rFonts w:ascii="Arial" w:hAnsi="Arial" w:cs="Arial"/>
          <w:lang w:val="en-US"/>
        </w:rPr>
        <w:tab/>
      </w:r>
      <w:r w:rsidR="00197953">
        <w:rPr>
          <w:rFonts w:ascii="Arial" w:hAnsi="Arial" w:cs="Arial"/>
          <w:lang w:val="en-US"/>
        </w:rPr>
        <w:t xml:space="preserve">The appellant launched </w:t>
      </w:r>
      <w:r w:rsidR="00A311EA">
        <w:rPr>
          <w:rFonts w:ascii="Arial" w:hAnsi="Arial" w:cs="Arial"/>
          <w:lang w:val="en-US"/>
        </w:rPr>
        <w:t>its</w:t>
      </w:r>
      <w:r w:rsidR="00197953">
        <w:rPr>
          <w:rFonts w:ascii="Arial" w:hAnsi="Arial" w:cs="Arial"/>
          <w:lang w:val="en-US"/>
        </w:rPr>
        <w:t xml:space="preserve"> interlocutory application in the </w:t>
      </w:r>
      <w:r w:rsidR="00791DFE">
        <w:rPr>
          <w:rFonts w:ascii="Arial" w:hAnsi="Arial" w:cs="Arial"/>
          <w:lang w:val="en-US"/>
        </w:rPr>
        <w:t>t</w:t>
      </w:r>
      <w:r w:rsidR="00197953">
        <w:rPr>
          <w:rFonts w:ascii="Arial" w:hAnsi="Arial" w:cs="Arial"/>
          <w:lang w:val="en-US"/>
        </w:rPr>
        <w:t xml:space="preserve">ax </w:t>
      </w:r>
      <w:r w:rsidR="00791DFE">
        <w:rPr>
          <w:rFonts w:ascii="Arial" w:hAnsi="Arial" w:cs="Arial"/>
          <w:lang w:val="en-US"/>
        </w:rPr>
        <w:t>c</w:t>
      </w:r>
      <w:r w:rsidR="00197953">
        <w:rPr>
          <w:rFonts w:ascii="Arial" w:hAnsi="Arial" w:cs="Arial"/>
          <w:lang w:val="en-US"/>
        </w:rPr>
        <w:t>ourt in terms of s 117(3) of the TAA</w:t>
      </w:r>
      <w:r w:rsidR="00791DFE">
        <w:rPr>
          <w:rFonts w:ascii="Arial" w:hAnsi="Arial" w:cs="Arial"/>
          <w:lang w:val="en-US"/>
        </w:rPr>
        <w:t>,</w:t>
      </w:r>
      <w:r w:rsidR="00197953">
        <w:rPr>
          <w:rFonts w:ascii="Arial" w:hAnsi="Arial" w:cs="Arial"/>
          <w:lang w:val="en-US"/>
        </w:rPr>
        <w:t xml:space="preserve"> read with </w:t>
      </w:r>
      <w:r w:rsidR="00791DFE">
        <w:rPr>
          <w:rFonts w:ascii="Arial" w:hAnsi="Arial" w:cs="Arial"/>
          <w:lang w:val="en-US"/>
        </w:rPr>
        <w:t>r</w:t>
      </w:r>
      <w:r w:rsidR="00197953">
        <w:rPr>
          <w:rFonts w:ascii="Arial" w:hAnsi="Arial" w:cs="Arial"/>
          <w:lang w:val="en-US"/>
        </w:rPr>
        <w:t xml:space="preserve">ule 51(2). It sought an order directing that it </w:t>
      </w:r>
      <w:r w:rsidR="00F10605">
        <w:rPr>
          <w:rFonts w:ascii="Arial" w:hAnsi="Arial" w:cs="Arial"/>
          <w:lang w:val="en-US"/>
        </w:rPr>
        <w:t>wa</w:t>
      </w:r>
      <w:r w:rsidR="00197953">
        <w:rPr>
          <w:rFonts w:ascii="Arial" w:hAnsi="Arial" w:cs="Arial"/>
          <w:lang w:val="en-US"/>
        </w:rPr>
        <w:t xml:space="preserve">s entitled to rely on the new ground of appeal in </w:t>
      </w:r>
      <w:r w:rsidR="00F10605">
        <w:rPr>
          <w:rFonts w:ascii="Arial" w:hAnsi="Arial" w:cs="Arial"/>
          <w:lang w:val="en-US"/>
        </w:rPr>
        <w:t xml:space="preserve">its </w:t>
      </w:r>
      <w:r w:rsidR="00A434E0">
        <w:rPr>
          <w:rFonts w:ascii="Arial" w:hAnsi="Arial" w:cs="Arial"/>
          <w:lang w:val="en-US"/>
        </w:rPr>
        <w:t xml:space="preserve">rule 32 </w:t>
      </w:r>
      <w:r w:rsidR="00197953">
        <w:rPr>
          <w:rFonts w:ascii="Arial" w:hAnsi="Arial" w:cs="Arial"/>
          <w:lang w:val="en-US"/>
        </w:rPr>
        <w:t>statement.</w:t>
      </w:r>
      <w:r w:rsidR="00241A8E">
        <w:rPr>
          <w:rFonts w:ascii="Arial" w:hAnsi="Arial" w:cs="Arial"/>
          <w:lang w:val="en-US"/>
        </w:rPr>
        <w:t xml:space="preserve"> </w:t>
      </w:r>
      <w:r w:rsidR="00197953">
        <w:rPr>
          <w:rFonts w:ascii="Arial" w:hAnsi="Arial" w:cs="Arial"/>
          <w:lang w:val="en-US"/>
        </w:rPr>
        <w:t>Th</w:t>
      </w:r>
      <w:r w:rsidR="00F10605">
        <w:rPr>
          <w:rFonts w:ascii="Arial" w:hAnsi="Arial" w:cs="Arial"/>
          <w:lang w:val="en-US"/>
        </w:rPr>
        <w:t>e</w:t>
      </w:r>
      <w:r w:rsidR="00197953">
        <w:rPr>
          <w:rFonts w:ascii="Arial" w:hAnsi="Arial" w:cs="Arial"/>
          <w:lang w:val="en-US"/>
        </w:rPr>
        <w:t xml:space="preserve"> application was dismissed by the </w:t>
      </w:r>
      <w:r w:rsidR="00A311EA">
        <w:rPr>
          <w:rFonts w:ascii="Arial" w:hAnsi="Arial" w:cs="Arial"/>
          <w:lang w:val="en-US"/>
        </w:rPr>
        <w:t xml:space="preserve">tax </w:t>
      </w:r>
      <w:r w:rsidR="00197953">
        <w:rPr>
          <w:rFonts w:ascii="Arial" w:hAnsi="Arial" w:cs="Arial"/>
          <w:lang w:val="en-US"/>
        </w:rPr>
        <w:t>court</w:t>
      </w:r>
      <w:r w:rsidR="00F10605">
        <w:rPr>
          <w:rFonts w:ascii="Arial" w:hAnsi="Arial" w:cs="Arial"/>
          <w:lang w:val="en-US"/>
        </w:rPr>
        <w:t>,</w:t>
      </w:r>
      <w:r w:rsidR="00F10605" w:rsidRPr="00F10605">
        <w:rPr>
          <w:rFonts w:ascii="Arial" w:hAnsi="Arial" w:cs="Arial"/>
          <w:lang w:val="en-US"/>
        </w:rPr>
        <w:t xml:space="preserve"> </w:t>
      </w:r>
      <w:r w:rsidR="00F10605">
        <w:rPr>
          <w:rFonts w:ascii="Arial" w:hAnsi="Arial" w:cs="Arial"/>
          <w:lang w:val="en-US"/>
        </w:rPr>
        <w:t>with costs</w:t>
      </w:r>
      <w:r w:rsidR="00197953">
        <w:rPr>
          <w:rFonts w:ascii="Arial" w:hAnsi="Arial" w:cs="Arial"/>
          <w:lang w:val="en-US"/>
        </w:rPr>
        <w:t>.</w:t>
      </w:r>
    </w:p>
    <w:p w14:paraId="128E8583" w14:textId="77777777" w:rsidR="00EA26F3" w:rsidRPr="00EA26F3" w:rsidRDefault="00EA26F3" w:rsidP="00197953">
      <w:pPr>
        <w:spacing w:line="480" w:lineRule="auto"/>
        <w:jc w:val="both"/>
        <w:rPr>
          <w:rFonts w:ascii="Arial" w:hAnsi="Arial" w:cs="Arial"/>
          <w:u w:val="single"/>
          <w:lang w:val="en-US"/>
        </w:rPr>
      </w:pPr>
    </w:p>
    <w:p w14:paraId="606C99FF" w14:textId="47E2DAA2" w:rsidR="00241A8E" w:rsidRPr="00B93C58" w:rsidRDefault="00241A8E" w:rsidP="00197953">
      <w:pPr>
        <w:spacing w:line="480" w:lineRule="auto"/>
        <w:jc w:val="both"/>
        <w:rPr>
          <w:rFonts w:ascii="Arial" w:hAnsi="Arial" w:cs="Arial"/>
          <w:b/>
          <w:bCs/>
          <w:lang w:val="en-US"/>
        </w:rPr>
      </w:pPr>
      <w:r>
        <w:rPr>
          <w:rFonts w:ascii="Arial" w:hAnsi="Arial" w:cs="Arial"/>
          <w:lang w:val="en-US"/>
        </w:rPr>
        <w:lastRenderedPageBreak/>
        <w:t>[</w:t>
      </w:r>
      <w:r w:rsidR="00D84BCE">
        <w:rPr>
          <w:rFonts w:ascii="Arial" w:hAnsi="Arial" w:cs="Arial"/>
          <w:lang w:val="en-US"/>
        </w:rPr>
        <w:t>22</w:t>
      </w:r>
      <w:r>
        <w:rPr>
          <w:rFonts w:ascii="Arial" w:hAnsi="Arial" w:cs="Arial"/>
          <w:lang w:val="en-US"/>
        </w:rPr>
        <w:t>]</w:t>
      </w:r>
      <w:r>
        <w:rPr>
          <w:rFonts w:ascii="Arial" w:hAnsi="Arial" w:cs="Arial"/>
          <w:lang w:val="en-US"/>
        </w:rPr>
        <w:tab/>
      </w:r>
      <w:r w:rsidR="00A311EA">
        <w:rPr>
          <w:rFonts w:ascii="Arial" w:hAnsi="Arial" w:cs="Arial"/>
          <w:lang w:val="en-US"/>
        </w:rPr>
        <w:t>I</w:t>
      </w:r>
      <w:r w:rsidR="00197953">
        <w:rPr>
          <w:rFonts w:ascii="Arial" w:hAnsi="Arial" w:cs="Arial"/>
          <w:lang w:val="en-US"/>
        </w:rPr>
        <w:t>n d</w:t>
      </w:r>
      <w:r w:rsidR="00A434E0">
        <w:rPr>
          <w:rFonts w:ascii="Arial" w:hAnsi="Arial" w:cs="Arial"/>
          <w:lang w:val="en-US"/>
        </w:rPr>
        <w:t>oing so</w:t>
      </w:r>
      <w:r w:rsidR="00197953">
        <w:rPr>
          <w:rFonts w:ascii="Arial" w:hAnsi="Arial" w:cs="Arial"/>
          <w:lang w:val="en-US"/>
        </w:rPr>
        <w:t xml:space="preserve"> </w:t>
      </w:r>
      <w:r w:rsidR="00A311EA">
        <w:rPr>
          <w:rFonts w:ascii="Arial" w:hAnsi="Arial" w:cs="Arial"/>
          <w:lang w:val="en-US"/>
        </w:rPr>
        <w:t>the tax court pointed out</w:t>
      </w:r>
      <w:r w:rsidR="00197953">
        <w:rPr>
          <w:rStyle w:val="FootnoteReference"/>
          <w:rFonts w:ascii="Arial" w:hAnsi="Arial" w:cs="Arial"/>
          <w:lang w:val="en-US"/>
        </w:rPr>
        <w:footnoteReference w:id="6"/>
      </w:r>
      <w:r w:rsidR="00197953">
        <w:rPr>
          <w:rFonts w:ascii="Arial" w:hAnsi="Arial" w:cs="Arial"/>
          <w:lang w:val="en-US"/>
        </w:rPr>
        <w:t xml:space="preserve"> that </w:t>
      </w:r>
      <w:r w:rsidR="00A311EA">
        <w:rPr>
          <w:rFonts w:ascii="Arial" w:hAnsi="Arial" w:cs="Arial"/>
          <w:lang w:val="en-US"/>
        </w:rPr>
        <w:t>a</w:t>
      </w:r>
      <w:r w:rsidR="00197953">
        <w:rPr>
          <w:rFonts w:ascii="Arial" w:hAnsi="Arial" w:cs="Arial"/>
          <w:lang w:val="en-US"/>
        </w:rPr>
        <w:t xml:space="preserve"> deduction </w:t>
      </w:r>
      <w:r w:rsidR="00A311EA">
        <w:rPr>
          <w:rFonts w:ascii="Arial" w:hAnsi="Arial" w:cs="Arial"/>
          <w:lang w:val="en-US"/>
        </w:rPr>
        <w:t xml:space="preserve">in terms of </w:t>
      </w:r>
      <w:r w:rsidR="00197953">
        <w:rPr>
          <w:rFonts w:ascii="Arial" w:hAnsi="Arial" w:cs="Arial"/>
          <w:lang w:val="en-US"/>
        </w:rPr>
        <w:t>s</w:t>
      </w:r>
      <w:r w:rsidR="00AD26CC">
        <w:rPr>
          <w:rFonts w:ascii="Arial" w:hAnsi="Arial" w:cs="Arial"/>
          <w:lang w:val="en-US"/>
        </w:rPr>
        <w:t xml:space="preserve"> </w:t>
      </w:r>
      <w:r w:rsidR="00197953">
        <w:rPr>
          <w:rFonts w:ascii="Arial" w:hAnsi="Arial" w:cs="Arial"/>
          <w:lang w:val="en-US"/>
        </w:rPr>
        <w:t xml:space="preserve">11(a) </w:t>
      </w:r>
      <w:r w:rsidR="00AE5FB1">
        <w:rPr>
          <w:rFonts w:ascii="Arial" w:hAnsi="Arial" w:cs="Arial"/>
          <w:lang w:val="en-US"/>
        </w:rPr>
        <w:t>read with s</w:t>
      </w:r>
      <w:r w:rsidR="00197953">
        <w:rPr>
          <w:rFonts w:ascii="Arial" w:hAnsi="Arial" w:cs="Arial"/>
          <w:lang w:val="en-US"/>
        </w:rPr>
        <w:t xml:space="preserve"> 23(g) </w:t>
      </w:r>
      <w:r w:rsidR="00A311EA">
        <w:rPr>
          <w:rFonts w:ascii="Arial" w:hAnsi="Arial" w:cs="Arial"/>
          <w:lang w:val="en-US"/>
        </w:rPr>
        <w:t>of the ITA i</w:t>
      </w:r>
      <w:r w:rsidR="00197953">
        <w:rPr>
          <w:rFonts w:ascii="Arial" w:hAnsi="Arial" w:cs="Arial"/>
          <w:lang w:val="en-US"/>
        </w:rPr>
        <w:t xml:space="preserve">s founded on establishing </w:t>
      </w:r>
      <w:r w:rsidR="00AE5FB1">
        <w:rPr>
          <w:rFonts w:ascii="Arial" w:hAnsi="Arial" w:cs="Arial"/>
          <w:lang w:val="en-US"/>
        </w:rPr>
        <w:t>that</w:t>
      </w:r>
      <w:r w:rsidR="00197953">
        <w:rPr>
          <w:rFonts w:ascii="Arial" w:hAnsi="Arial" w:cs="Arial"/>
          <w:lang w:val="en-US"/>
        </w:rPr>
        <w:t xml:space="preserve"> the amount </w:t>
      </w:r>
      <w:r w:rsidR="00A311EA">
        <w:rPr>
          <w:rFonts w:ascii="Arial" w:hAnsi="Arial" w:cs="Arial"/>
          <w:lang w:val="en-US"/>
        </w:rPr>
        <w:t xml:space="preserve">in question </w:t>
      </w:r>
      <w:r w:rsidR="00197953">
        <w:rPr>
          <w:rFonts w:ascii="Arial" w:hAnsi="Arial" w:cs="Arial"/>
          <w:lang w:val="en-US"/>
        </w:rPr>
        <w:t xml:space="preserve">was expended in the production of income for the purposes of trade. </w:t>
      </w:r>
      <w:r w:rsidR="00197953" w:rsidRPr="00677D95">
        <w:rPr>
          <w:rFonts w:ascii="Arial" w:hAnsi="Arial" w:cs="Arial"/>
          <w:lang w:val="en-US"/>
        </w:rPr>
        <w:t xml:space="preserve">It was the appellant’s version </w:t>
      </w:r>
      <w:r w:rsidR="00A311EA" w:rsidRPr="00677D95">
        <w:rPr>
          <w:rFonts w:ascii="Arial" w:hAnsi="Arial" w:cs="Arial"/>
          <w:lang w:val="en-US"/>
        </w:rPr>
        <w:t>during</w:t>
      </w:r>
      <w:r w:rsidR="00197953" w:rsidRPr="00677D95">
        <w:rPr>
          <w:rFonts w:ascii="Arial" w:hAnsi="Arial" w:cs="Arial"/>
          <w:lang w:val="en-US"/>
        </w:rPr>
        <w:t xml:space="preserve"> the audit that </w:t>
      </w:r>
      <w:r w:rsidR="00AE5FB1">
        <w:rPr>
          <w:rFonts w:ascii="Arial" w:hAnsi="Arial" w:cs="Arial"/>
          <w:lang w:val="en-US"/>
        </w:rPr>
        <w:t>its</w:t>
      </w:r>
      <w:r w:rsidR="00197953" w:rsidRPr="00677D95">
        <w:rPr>
          <w:rFonts w:ascii="Arial" w:hAnsi="Arial" w:cs="Arial"/>
          <w:lang w:val="en-US"/>
        </w:rPr>
        <w:t xml:space="preserve"> payment of the </w:t>
      </w:r>
      <w:r w:rsidR="00A311EA" w:rsidRPr="00677D95">
        <w:rPr>
          <w:rFonts w:ascii="Arial" w:hAnsi="Arial" w:cs="Arial"/>
          <w:lang w:val="en-US"/>
        </w:rPr>
        <w:t xml:space="preserve">disputed amount </w:t>
      </w:r>
      <w:r w:rsidR="00B93C58" w:rsidRPr="00677D95">
        <w:rPr>
          <w:rFonts w:ascii="Arial" w:hAnsi="Arial" w:cs="Arial"/>
          <w:lang w:val="en-US"/>
        </w:rPr>
        <w:t xml:space="preserve">to the BECP as a </w:t>
      </w:r>
      <w:r w:rsidR="00AE5FB1">
        <w:rPr>
          <w:rFonts w:ascii="Arial" w:hAnsi="Arial" w:cs="Arial"/>
          <w:lang w:val="en-US"/>
        </w:rPr>
        <w:t>‘</w:t>
      </w:r>
      <w:r w:rsidR="00197953" w:rsidRPr="00677D95">
        <w:rPr>
          <w:rFonts w:ascii="Arial" w:hAnsi="Arial" w:cs="Arial"/>
          <w:lang w:val="en-US"/>
        </w:rPr>
        <w:t>profit distribution</w:t>
      </w:r>
      <w:r w:rsidR="00AE5FB1">
        <w:rPr>
          <w:rFonts w:ascii="Arial" w:hAnsi="Arial" w:cs="Arial"/>
          <w:lang w:val="en-US"/>
        </w:rPr>
        <w:t>’</w:t>
      </w:r>
      <w:r w:rsidR="00197953" w:rsidRPr="00677D95">
        <w:rPr>
          <w:rFonts w:ascii="Arial" w:hAnsi="Arial" w:cs="Arial"/>
          <w:lang w:val="en-US"/>
        </w:rPr>
        <w:t xml:space="preserve"> met these requirements</w:t>
      </w:r>
      <w:r w:rsidR="00677D95">
        <w:rPr>
          <w:rFonts w:ascii="Arial" w:hAnsi="Arial" w:cs="Arial"/>
          <w:lang w:val="en-US"/>
        </w:rPr>
        <w:t>.</w:t>
      </w:r>
      <w:r w:rsidR="00B93C58">
        <w:rPr>
          <w:rFonts w:ascii="Arial" w:hAnsi="Arial" w:cs="Arial"/>
          <w:lang w:val="en-US"/>
        </w:rPr>
        <w:t xml:space="preserve"> </w:t>
      </w:r>
    </w:p>
    <w:p w14:paraId="1E4A1CB2" w14:textId="77777777" w:rsidR="00241A8E" w:rsidRDefault="00241A8E" w:rsidP="00197953">
      <w:pPr>
        <w:spacing w:line="480" w:lineRule="auto"/>
        <w:jc w:val="both"/>
        <w:rPr>
          <w:rFonts w:ascii="Arial" w:hAnsi="Arial" w:cs="Arial"/>
          <w:lang w:val="en-US"/>
        </w:rPr>
      </w:pPr>
    </w:p>
    <w:p w14:paraId="61060A62" w14:textId="75FD2B13" w:rsidR="00197953" w:rsidRDefault="00241A8E" w:rsidP="00197953">
      <w:pPr>
        <w:spacing w:line="480" w:lineRule="auto"/>
        <w:jc w:val="both"/>
        <w:rPr>
          <w:rFonts w:ascii="Arial" w:hAnsi="Arial" w:cs="Arial"/>
          <w:lang w:val="en-US"/>
        </w:rPr>
      </w:pPr>
      <w:r>
        <w:rPr>
          <w:rFonts w:ascii="Arial" w:hAnsi="Arial" w:cs="Arial"/>
          <w:lang w:val="en-US"/>
        </w:rPr>
        <w:t>[</w:t>
      </w:r>
      <w:r w:rsidR="00D84BCE">
        <w:rPr>
          <w:rFonts w:ascii="Arial" w:hAnsi="Arial" w:cs="Arial"/>
          <w:lang w:val="en-US"/>
        </w:rPr>
        <w:t>23</w:t>
      </w:r>
      <w:r>
        <w:rPr>
          <w:rFonts w:ascii="Arial" w:hAnsi="Arial" w:cs="Arial"/>
          <w:lang w:val="en-US"/>
        </w:rPr>
        <w:t>]</w:t>
      </w:r>
      <w:r>
        <w:rPr>
          <w:rFonts w:ascii="Arial" w:hAnsi="Arial" w:cs="Arial"/>
          <w:lang w:val="en-US"/>
        </w:rPr>
        <w:tab/>
      </w:r>
      <w:r w:rsidR="00677D95">
        <w:rPr>
          <w:rFonts w:ascii="Arial" w:hAnsi="Arial" w:cs="Arial"/>
          <w:lang w:val="en-US"/>
        </w:rPr>
        <w:t>T</w:t>
      </w:r>
      <w:r w:rsidR="00197953">
        <w:rPr>
          <w:rFonts w:ascii="Arial" w:hAnsi="Arial" w:cs="Arial"/>
          <w:lang w:val="en-US"/>
        </w:rPr>
        <w:t xml:space="preserve">he </w:t>
      </w:r>
      <w:r w:rsidR="00B93C58">
        <w:rPr>
          <w:rFonts w:ascii="Arial" w:hAnsi="Arial" w:cs="Arial"/>
          <w:lang w:val="en-US"/>
        </w:rPr>
        <w:t xml:space="preserve">tax </w:t>
      </w:r>
      <w:r w:rsidR="00197953">
        <w:rPr>
          <w:rFonts w:ascii="Arial" w:hAnsi="Arial" w:cs="Arial"/>
          <w:lang w:val="en-US"/>
        </w:rPr>
        <w:t xml:space="preserve">court </w:t>
      </w:r>
      <w:r w:rsidR="00B93C58">
        <w:rPr>
          <w:rFonts w:ascii="Arial" w:hAnsi="Arial" w:cs="Arial"/>
          <w:lang w:val="en-US"/>
        </w:rPr>
        <w:t>noted</w:t>
      </w:r>
      <w:r w:rsidR="00197953">
        <w:rPr>
          <w:rFonts w:ascii="Arial" w:hAnsi="Arial" w:cs="Arial"/>
          <w:lang w:val="en-US"/>
        </w:rPr>
        <w:t xml:space="preserve"> that the appellant </w:t>
      </w:r>
      <w:r w:rsidR="00B93C58">
        <w:rPr>
          <w:rFonts w:ascii="Arial" w:hAnsi="Arial" w:cs="Arial"/>
          <w:lang w:val="en-US"/>
        </w:rPr>
        <w:t xml:space="preserve">had </w:t>
      </w:r>
      <w:r w:rsidR="00197953">
        <w:rPr>
          <w:rFonts w:ascii="Arial" w:hAnsi="Arial" w:cs="Arial"/>
          <w:lang w:val="en-US"/>
        </w:rPr>
        <w:t>never alleged an alternative manner of accounting for this payment</w:t>
      </w:r>
      <w:r w:rsidR="00B93C58">
        <w:rPr>
          <w:rFonts w:ascii="Arial" w:hAnsi="Arial" w:cs="Arial"/>
          <w:lang w:val="en-US"/>
        </w:rPr>
        <w:t xml:space="preserve">, prior to </w:t>
      </w:r>
      <w:r w:rsidR="00677D95">
        <w:rPr>
          <w:rFonts w:ascii="Arial" w:hAnsi="Arial" w:cs="Arial"/>
          <w:lang w:val="en-US"/>
        </w:rPr>
        <w:t>the averment in its rule 32(3) statement.</w:t>
      </w:r>
      <w:r w:rsidR="00197953">
        <w:rPr>
          <w:rFonts w:ascii="Arial" w:hAnsi="Arial" w:cs="Arial"/>
          <w:lang w:val="en-US"/>
        </w:rPr>
        <w:t xml:space="preserve"> It </w:t>
      </w:r>
      <w:r w:rsidR="00B93C58">
        <w:rPr>
          <w:rFonts w:ascii="Arial" w:hAnsi="Arial" w:cs="Arial"/>
          <w:lang w:val="en-US"/>
        </w:rPr>
        <w:t>wa</w:t>
      </w:r>
      <w:r w:rsidR="00197953">
        <w:rPr>
          <w:rFonts w:ascii="Arial" w:hAnsi="Arial" w:cs="Arial"/>
          <w:lang w:val="en-US"/>
        </w:rPr>
        <w:t>s thus not correct to say, as the appellant d</w:t>
      </w:r>
      <w:r w:rsidR="00B93C58">
        <w:rPr>
          <w:rFonts w:ascii="Arial" w:hAnsi="Arial" w:cs="Arial"/>
          <w:lang w:val="en-US"/>
        </w:rPr>
        <w:t>id</w:t>
      </w:r>
      <w:r w:rsidR="00197953">
        <w:rPr>
          <w:rFonts w:ascii="Arial" w:hAnsi="Arial" w:cs="Arial"/>
          <w:lang w:val="en-US"/>
        </w:rPr>
        <w:t xml:space="preserve">, that the dispute between the parties </w:t>
      </w:r>
      <w:r w:rsidR="00B93C58">
        <w:rPr>
          <w:rFonts w:ascii="Arial" w:hAnsi="Arial" w:cs="Arial"/>
          <w:lang w:val="en-US"/>
        </w:rPr>
        <w:t xml:space="preserve">simply </w:t>
      </w:r>
      <w:r w:rsidR="00197953">
        <w:rPr>
          <w:rFonts w:ascii="Arial" w:hAnsi="Arial" w:cs="Arial"/>
          <w:lang w:val="en-US"/>
        </w:rPr>
        <w:t xml:space="preserve">related to the correct tax treatment to be applied to the </w:t>
      </w:r>
      <w:r w:rsidR="00B93C58">
        <w:rPr>
          <w:rFonts w:ascii="Arial" w:hAnsi="Arial" w:cs="Arial"/>
          <w:lang w:val="en-US"/>
        </w:rPr>
        <w:t xml:space="preserve">disputed </w:t>
      </w:r>
      <w:r w:rsidR="00197953">
        <w:rPr>
          <w:rFonts w:ascii="Arial" w:hAnsi="Arial" w:cs="Arial"/>
          <w:lang w:val="en-US"/>
        </w:rPr>
        <w:t xml:space="preserve">amount </w:t>
      </w:r>
      <w:r w:rsidR="00B93C58">
        <w:rPr>
          <w:rFonts w:ascii="Arial" w:hAnsi="Arial" w:cs="Arial"/>
          <w:lang w:val="en-US"/>
        </w:rPr>
        <w:t xml:space="preserve">which was </w:t>
      </w:r>
      <w:r w:rsidR="00197953">
        <w:rPr>
          <w:rFonts w:ascii="Arial" w:hAnsi="Arial" w:cs="Arial"/>
          <w:lang w:val="en-US"/>
        </w:rPr>
        <w:t>paid to the BECP</w:t>
      </w:r>
      <w:r w:rsidR="00517BEF">
        <w:rPr>
          <w:rFonts w:ascii="Arial" w:hAnsi="Arial" w:cs="Arial"/>
          <w:lang w:val="en-US"/>
        </w:rPr>
        <w:t>, and was otherwise immaterial</w:t>
      </w:r>
      <w:r w:rsidR="00197953">
        <w:rPr>
          <w:rFonts w:ascii="Arial" w:hAnsi="Arial" w:cs="Arial"/>
          <w:lang w:val="en-US"/>
        </w:rPr>
        <w:t xml:space="preserve">. The appellant </w:t>
      </w:r>
      <w:r w:rsidR="00B93C58">
        <w:rPr>
          <w:rFonts w:ascii="Arial" w:hAnsi="Arial" w:cs="Arial"/>
          <w:lang w:val="en-US"/>
        </w:rPr>
        <w:t xml:space="preserve">had </w:t>
      </w:r>
      <w:r w:rsidR="00197953">
        <w:rPr>
          <w:rFonts w:ascii="Arial" w:hAnsi="Arial" w:cs="Arial"/>
          <w:lang w:val="en-US"/>
        </w:rPr>
        <w:t>at all relevant times proposed and declared only one manner of tax treatment for this payment, and that was for it to be regarded as a valid deducti</w:t>
      </w:r>
      <w:r w:rsidR="00B93C58">
        <w:rPr>
          <w:rFonts w:ascii="Arial" w:hAnsi="Arial" w:cs="Arial"/>
          <w:lang w:val="en-US"/>
        </w:rPr>
        <w:t>ble expense,</w:t>
      </w:r>
      <w:r w:rsidR="00197953">
        <w:rPr>
          <w:rFonts w:ascii="Arial" w:hAnsi="Arial" w:cs="Arial"/>
          <w:lang w:val="en-US"/>
        </w:rPr>
        <w:t xml:space="preserve"> in terms of ss 11(a) and 23(g) of the </w:t>
      </w:r>
      <w:r w:rsidR="00C31099">
        <w:rPr>
          <w:rFonts w:ascii="Arial" w:hAnsi="Arial" w:cs="Arial"/>
          <w:lang w:val="en-US"/>
        </w:rPr>
        <w:t>ITA</w:t>
      </w:r>
      <w:r w:rsidR="00197953">
        <w:rPr>
          <w:rFonts w:ascii="Arial" w:hAnsi="Arial" w:cs="Arial"/>
          <w:lang w:val="en-US"/>
        </w:rPr>
        <w:t>.</w:t>
      </w:r>
    </w:p>
    <w:p w14:paraId="49EE1864" w14:textId="77777777" w:rsidR="00AD26CC" w:rsidRDefault="00AD26CC" w:rsidP="00197953">
      <w:pPr>
        <w:spacing w:line="480" w:lineRule="auto"/>
        <w:jc w:val="both"/>
        <w:rPr>
          <w:rFonts w:ascii="Arial" w:hAnsi="Arial" w:cs="Arial"/>
          <w:lang w:val="en-US"/>
        </w:rPr>
      </w:pPr>
    </w:p>
    <w:p w14:paraId="2ED31A8E" w14:textId="3032CB48" w:rsidR="00D9614C" w:rsidRDefault="00D9614C" w:rsidP="00197953">
      <w:pPr>
        <w:spacing w:line="480" w:lineRule="auto"/>
        <w:jc w:val="both"/>
        <w:rPr>
          <w:rFonts w:ascii="Arial" w:hAnsi="Arial" w:cs="Arial"/>
          <w:lang w:val="en-US"/>
        </w:rPr>
      </w:pPr>
      <w:r>
        <w:rPr>
          <w:rFonts w:ascii="Arial" w:hAnsi="Arial" w:cs="Arial"/>
          <w:lang w:val="en-US"/>
        </w:rPr>
        <w:t>[</w:t>
      </w:r>
      <w:r w:rsidR="00D84BCE">
        <w:rPr>
          <w:rFonts w:ascii="Arial" w:hAnsi="Arial" w:cs="Arial"/>
          <w:lang w:val="en-US"/>
        </w:rPr>
        <w:t>24</w:t>
      </w:r>
      <w:r>
        <w:rPr>
          <w:rFonts w:ascii="Arial" w:hAnsi="Arial" w:cs="Arial"/>
          <w:lang w:val="en-US"/>
        </w:rPr>
        <w:t>]</w:t>
      </w:r>
      <w:r>
        <w:rPr>
          <w:rFonts w:ascii="Arial" w:hAnsi="Arial" w:cs="Arial"/>
          <w:lang w:val="en-US"/>
        </w:rPr>
        <w:tab/>
      </w:r>
      <w:r w:rsidR="00197953">
        <w:rPr>
          <w:rFonts w:ascii="Arial" w:hAnsi="Arial" w:cs="Arial"/>
          <w:lang w:val="en-US"/>
        </w:rPr>
        <w:t xml:space="preserve">The </w:t>
      </w:r>
      <w:r w:rsidR="00B93C58">
        <w:rPr>
          <w:rFonts w:ascii="Arial" w:hAnsi="Arial" w:cs="Arial"/>
          <w:lang w:val="en-US"/>
        </w:rPr>
        <w:t xml:space="preserve">tax </w:t>
      </w:r>
      <w:r w:rsidR="00197953">
        <w:rPr>
          <w:rFonts w:ascii="Arial" w:hAnsi="Arial" w:cs="Arial"/>
          <w:lang w:val="en-US"/>
        </w:rPr>
        <w:t xml:space="preserve">court went on to find </w:t>
      </w:r>
      <w:r w:rsidR="00FA76CD">
        <w:rPr>
          <w:rFonts w:ascii="Arial" w:hAnsi="Arial" w:cs="Arial"/>
          <w:lang w:val="en-US"/>
        </w:rPr>
        <w:t xml:space="preserve">that </w:t>
      </w:r>
      <w:r w:rsidR="00197953">
        <w:rPr>
          <w:rFonts w:ascii="Arial" w:hAnsi="Arial" w:cs="Arial"/>
          <w:lang w:val="en-US"/>
        </w:rPr>
        <w:t xml:space="preserve">the appellant </w:t>
      </w:r>
      <w:r w:rsidR="00B93C58">
        <w:rPr>
          <w:rFonts w:ascii="Arial" w:hAnsi="Arial" w:cs="Arial"/>
          <w:lang w:val="en-US"/>
        </w:rPr>
        <w:t xml:space="preserve">had </w:t>
      </w:r>
      <w:r w:rsidR="00197953">
        <w:rPr>
          <w:rFonts w:ascii="Arial" w:hAnsi="Arial" w:cs="Arial"/>
          <w:lang w:val="en-US"/>
        </w:rPr>
        <w:t xml:space="preserve">never indicated that the payment to the BECP did not form part of its gross income. This would have been relevant </w:t>
      </w:r>
      <w:r w:rsidR="00517BEF">
        <w:rPr>
          <w:rFonts w:ascii="Arial" w:hAnsi="Arial" w:cs="Arial"/>
          <w:lang w:val="en-US"/>
        </w:rPr>
        <w:t>for</w:t>
      </w:r>
      <w:r w:rsidR="00197953">
        <w:rPr>
          <w:rFonts w:ascii="Arial" w:hAnsi="Arial" w:cs="Arial"/>
          <w:lang w:val="en-US"/>
        </w:rPr>
        <w:t xml:space="preserve"> the audit as it would have afforded the </w:t>
      </w:r>
      <w:r w:rsidR="003F2E0F">
        <w:rPr>
          <w:rFonts w:ascii="Arial" w:hAnsi="Arial" w:cs="Arial"/>
          <w:lang w:val="en-US"/>
        </w:rPr>
        <w:t xml:space="preserve">Commissioner </w:t>
      </w:r>
      <w:r w:rsidR="0020131B">
        <w:rPr>
          <w:rFonts w:ascii="Arial" w:hAnsi="Arial" w:cs="Arial"/>
          <w:lang w:val="en-US"/>
        </w:rPr>
        <w:t>an</w:t>
      </w:r>
      <w:r w:rsidR="00197953">
        <w:rPr>
          <w:rFonts w:ascii="Arial" w:hAnsi="Arial" w:cs="Arial"/>
          <w:lang w:val="en-US"/>
        </w:rPr>
        <w:t xml:space="preserve"> opportunity to </w:t>
      </w:r>
      <w:r>
        <w:rPr>
          <w:rFonts w:ascii="Arial" w:hAnsi="Arial" w:cs="Arial"/>
          <w:lang w:val="en-US"/>
        </w:rPr>
        <w:t>scrutinize</w:t>
      </w:r>
      <w:r w:rsidR="00197953">
        <w:rPr>
          <w:rFonts w:ascii="Arial" w:hAnsi="Arial" w:cs="Arial"/>
          <w:lang w:val="en-US"/>
        </w:rPr>
        <w:t xml:space="preserve"> the transaction further</w:t>
      </w:r>
      <w:r w:rsidR="00835CEE">
        <w:rPr>
          <w:rFonts w:ascii="Arial" w:hAnsi="Arial" w:cs="Arial"/>
          <w:lang w:val="en-US"/>
        </w:rPr>
        <w:t>,</w:t>
      </w:r>
      <w:r w:rsidR="00197953">
        <w:rPr>
          <w:rFonts w:ascii="Arial" w:hAnsi="Arial" w:cs="Arial"/>
          <w:lang w:val="en-US"/>
        </w:rPr>
        <w:t xml:space="preserve"> on the basis that it involved </w:t>
      </w:r>
      <w:r w:rsidR="00B93C58">
        <w:rPr>
          <w:rFonts w:ascii="Arial" w:hAnsi="Arial" w:cs="Arial"/>
          <w:lang w:val="en-US"/>
        </w:rPr>
        <w:t>an</w:t>
      </w:r>
      <w:r w:rsidR="00197953">
        <w:rPr>
          <w:rFonts w:ascii="Arial" w:hAnsi="Arial" w:cs="Arial"/>
          <w:lang w:val="en-US"/>
        </w:rPr>
        <w:t xml:space="preserve"> amount</w:t>
      </w:r>
      <w:r w:rsidR="00B93C58">
        <w:rPr>
          <w:rFonts w:ascii="Arial" w:hAnsi="Arial" w:cs="Arial"/>
          <w:lang w:val="en-US"/>
        </w:rPr>
        <w:t xml:space="preserve"> which was</w:t>
      </w:r>
      <w:r w:rsidR="00197953">
        <w:rPr>
          <w:rFonts w:ascii="Arial" w:hAnsi="Arial" w:cs="Arial"/>
          <w:lang w:val="en-US"/>
        </w:rPr>
        <w:t xml:space="preserve"> previously declared as revenue </w:t>
      </w:r>
      <w:r w:rsidR="00B93C58">
        <w:rPr>
          <w:rFonts w:ascii="Arial" w:hAnsi="Arial" w:cs="Arial"/>
          <w:lang w:val="en-US"/>
        </w:rPr>
        <w:t xml:space="preserve">in the hands of the appellant, which </w:t>
      </w:r>
      <w:r w:rsidR="00197953">
        <w:rPr>
          <w:rFonts w:ascii="Arial" w:hAnsi="Arial" w:cs="Arial"/>
          <w:lang w:val="en-US"/>
        </w:rPr>
        <w:t xml:space="preserve">now </w:t>
      </w:r>
      <w:r w:rsidR="00B93C58">
        <w:rPr>
          <w:rFonts w:ascii="Arial" w:hAnsi="Arial" w:cs="Arial"/>
          <w:lang w:val="en-US"/>
        </w:rPr>
        <w:t>was</w:t>
      </w:r>
      <w:r w:rsidR="00197953">
        <w:rPr>
          <w:rFonts w:ascii="Arial" w:hAnsi="Arial" w:cs="Arial"/>
          <w:lang w:val="en-US"/>
        </w:rPr>
        <w:t xml:space="preserve"> alleged to be income </w:t>
      </w:r>
      <w:r w:rsidR="0020131B">
        <w:rPr>
          <w:rFonts w:ascii="Arial" w:hAnsi="Arial" w:cs="Arial"/>
          <w:lang w:val="en-US"/>
        </w:rPr>
        <w:t>which accrued to</w:t>
      </w:r>
      <w:r w:rsidR="00197953">
        <w:rPr>
          <w:rFonts w:ascii="Arial" w:hAnsi="Arial" w:cs="Arial"/>
          <w:lang w:val="en-US"/>
        </w:rPr>
        <w:t xml:space="preserve"> a </w:t>
      </w:r>
      <w:r>
        <w:rPr>
          <w:rFonts w:ascii="Arial" w:hAnsi="Arial" w:cs="Arial"/>
          <w:lang w:val="en-US"/>
        </w:rPr>
        <w:t>third party</w:t>
      </w:r>
      <w:r w:rsidR="00197953">
        <w:rPr>
          <w:rFonts w:ascii="Arial" w:hAnsi="Arial" w:cs="Arial"/>
          <w:lang w:val="en-US"/>
        </w:rPr>
        <w:t xml:space="preserve"> instead. The amount paid as a profit distribution to the BECP </w:t>
      </w:r>
      <w:r w:rsidR="009C22E4">
        <w:rPr>
          <w:rFonts w:ascii="Arial" w:hAnsi="Arial" w:cs="Arial"/>
          <w:lang w:val="en-US"/>
        </w:rPr>
        <w:t>had been</w:t>
      </w:r>
      <w:r w:rsidR="00197953">
        <w:rPr>
          <w:rFonts w:ascii="Arial" w:hAnsi="Arial" w:cs="Arial"/>
          <w:lang w:val="en-US"/>
        </w:rPr>
        <w:t xml:space="preserve"> </w:t>
      </w:r>
      <w:r w:rsidR="00B93C58">
        <w:rPr>
          <w:rFonts w:ascii="Arial" w:hAnsi="Arial" w:cs="Arial"/>
          <w:lang w:val="en-US"/>
        </w:rPr>
        <w:t xml:space="preserve">treated, </w:t>
      </w:r>
      <w:r w:rsidR="00197953">
        <w:rPr>
          <w:rFonts w:ascii="Arial" w:hAnsi="Arial" w:cs="Arial"/>
          <w:lang w:val="en-US"/>
        </w:rPr>
        <w:t>from the outset</w:t>
      </w:r>
      <w:r w:rsidR="00B93C58">
        <w:rPr>
          <w:rFonts w:ascii="Arial" w:hAnsi="Arial" w:cs="Arial"/>
          <w:lang w:val="en-US"/>
        </w:rPr>
        <w:t>,</w:t>
      </w:r>
      <w:r w:rsidR="00197953">
        <w:rPr>
          <w:rFonts w:ascii="Arial" w:hAnsi="Arial" w:cs="Arial"/>
          <w:lang w:val="en-US"/>
        </w:rPr>
        <w:t xml:space="preserve"> as a deduction and </w:t>
      </w:r>
      <w:r w:rsidR="00A42837">
        <w:rPr>
          <w:rFonts w:ascii="Arial" w:hAnsi="Arial" w:cs="Arial"/>
          <w:lang w:val="en-US"/>
        </w:rPr>
        <w:t>had been</w:t>
      </w:r>
      <w:r w:rsidR="00197953">
        <w:rPr>
          <w:rFonts w:ascii="Arial" w:hAnsi="Arial" w:cs="Arial"/>
          <w:lang w:val="en-US"/>
        </w:rPr>
        <w:t xml:space="preserve"> queried by the Commissioner </w:t>
      </w:r>
      <w:r w:rsidR="00517BEF">
        <w:rPr>
          <w:rFonts w:ascii="Arial" w:hAnsi="Arial" w:cs="Arial"/>
          <w:lang w:val="en-US"/>
        </w:rPr>
        <w:t xml:space="preserve">during the verification and audit process, </w:t>
      </w:r>
      <w:r w:rsidR="00197953">
        <w:rPr>
          <w:rFonts w:ascii="Arial" w:hAnsi="Arial" w:cs="Arial"/>
          <w:lang w:val="en-US"/>
        </w:rPr>
        <w:t xml:space="preserve">on that basis only. </w:t>
      </w:r>
    </w:p>
    <w:p w14:paraId="6D676AFE" w14:textId="77777777" w:rsidR="00D9614C" w:rsidRDefault="00D9614C" w:rsidP="00197953">
      <w:pPr>
        <w:spacing w:line="480" w:lineRule="auto"/>
        <w:jc w:val="both"/>
        <w:rPr>
          <w:rFonts w:ascii="Arial" w:hAnsi="Arial" w:cs="Arial"/>
          <w:lang w:val="en-US"/>
        </w:rPr>
      </w:pPr>
    </w:p>
    <w:p w14:paraId="3FC935DB" w14:textId="33F8FBDC" w:rsidR="00197953" w:rsidRDefault="00D9614C" w:rsidP="00197953">
      <w:pPr>
        <w:spacing w:line="480" w:lineRule="auto"/>
        <w:jc w:val="both"/>
        <w:rPr>
          <w:rFonts w:ascii="Arial" w:hAnsi="Arial" w:cs="Arial"/>
          <w:lang w:val="en-US"/>
        </w:rPr>
      </w:pPr>
      <w:r>
        <w:rPr>
          <w:rFonts w:ascii="Arial" w:hAnsi="Arial" w:cs="Arial"/>
          <w:lang w:val="en-US"/>
        </w:rPr>
        <w:t>[2</w:t>
      </w:r>
      <w:r w:rsidR="00D84BCE">
        <w:rPr>
          <w:rFonts w:ascii="Arial" w:hAnsi="Arial" w:cs="Arial"/>
          <w:lang w:val="en-US"/>
        </w:rPr>
        <w:t>5</w:t>
      </w:r>
      <w:r>
        <w:rPr>
          <w:rFonts w:ascii="Arial" w:hAnsi="Arial" w:cs="Arial"/>
          <w:lang w:val="en-US"/>
        </w:rPr>
        <w:t>]</w:t>
      </w:r>
      <w:r>
        <w:rPr>
          <w:rFonts w:ascii="Arial" w:hAnsi="Arial" w:cs="Arial"/>
          <w:lang w:val="en-US"/>
        </w:rPr>
        <w:tab/>
      </w:r>
      <w:r w:rsidR="00197953">
        <w:rPr>
          <w:rFonts w:ascii="Arial" w:hAnsi="Arial" w:cs="Arial"/>
          <w:lang w:val="en-US"/>
        </w:rPr>
        <w:t xml:space="preserve">The </w:t>
      </w:r>
      <w:r w:rsidR="000606C4">
        <w:rPr>
          <w:rFonts w:ascii="Arial" w:hAnsi="Arial" w:cs="Arial"/>
          <w:lang w:val="en-US"/>
        </w:rPr>
        <w:t xml:space="preserve">tax </w:t>
      </w:r>
      <w:r w:rsidR="00197953">
        <w:rPr>
          <w:rFonts w:ascii="Arial" w:hAnsi="Arial" w:cs="Arial"/>
          <w:lang w:val="en-US"/>
        </w:rPr>
        <w:t xml:space="preserve">court </w:t>
      </w:r>
      <w:r w:rsidR="00EC673B">
        <w:rPr>
          <w:rFonts w:ascii="Arial" w:hAnsi="Arial" w:cs="Arial"/>
          <w:lang w:val="en-US"/>
        </w:rPr>
        <w:t xml:space="preserve">pointed out </w:t>
      </w:r>
      <w:r w:rsidR="00197953">
        <w:rPr>
          <w:rFonts w:ascii="Arial" w:hAnsi="Arial" w:cs="Arial"/>
          <w:lang w:val="en-US"/>
        </w:rPr>
        <w:t xml:space="preserve">that the exercise </w:t>
      </w:r>
      <w:r w:rsidR="00EC673B">
        <w:rPr>
          <w:rFonts w:ascii="Arial" w:hAnsi="Arial" w:cs="Arial"/>
          <w:lang w:val="en-US"/>
        </w:rPr>
        <w:t>of</w:t>
      </w:r>
      <w:r w:rsidR="00197953">
        <w:rPr>
          <w:rFonts w:ascii="Arial" w:hAnsi="Arial" w:cs="Arial"/>
          <w:lang w:val="en-US"/>
        </w:rPr>
        <w:t xml:space="preserve"> determin</w:t>
      </w:r>
      <w:r w:rsidR="00EC673B">
        <w:rPr>
          <w:rFonts w:ascii="Arial" w:hAnsi="Arial" w:cs="Arial"/>
          <w:lang w:val="en-US"/>
        </w:rPr>
        <w:t>ing</w:t>
      </w:r>
      <w:r w:rsidR="00197953">
        <w:rPr>
          <w:rFonts w:ascii="Arial" w:hAnsi="Arial" w:cs="Arial"/>
          <w:lang w:val="en-US"/>
        </w:rPr>
        <w:t xml:space="preserve"> </w:t>
      </w:r>
      <w:r w:rsidR="00EC673B">
        <w:rPr>
          <w:rFonts w:ascii="Arial" w:hAnsi="Arial" w:cs="Arial"/>
          <w:lang w:val="en-US"/>
        </w:rPr>
        <w:t xml:space="preserve">whether </w:t>
      </w:r>
      <w:r w:rsidR="00197953">
        <w:rPr>
          <w:rFonts w:ascii="Arial" w:hAnsi="Arial" w:cs="Arial"/>
          <w:lang w:val="en-US"/>
        </w:rPr>
        <w:t xml:space="preserve">an </w:t>
      </w:r>
      <w:r w:rsidR="00EC673B">
        <w:rPr>
          <w:rFonts w:ascii="Arial" w:hAnsi="Arial" w:cs="Arial"/>
          <w:lang w:val="en-US"/>
        </w:rPr>
        <w:t xml:space="preserve">amount qualifies as an </w:t>
      </w:r>
      <w:r w:rsidR="00197953">
        <w:rPr>
          <w:rFonts w:ascii="Arial" w:hAnsi="Arial" w:cs="Arial"/>
          <w:lang w:val="en-US"/>
        </w:rPr>
        <w:t>expense is to be contrasted with the test for determining gross income. The two processes are distinct. I</w:t>
      </w:r>
      <w:r w:rsidR="00EC673B">
        <w:rPr>
          <w:rFonts w:ascii="Arial" w:hAnsi="Arial" w:cs="Arial"/>
          <w:lang w:val="en-US"/>
        </w:rPr>
        <w:t xml:space="preserve">n its view, </w:t>
      </w:r>
      <w:r w:rsidR="00197953">
        <w:rPr>
          <w:rFonts w:ascii="Arial" w:hAnsi="Arial" w:cs="Arial"/>
          <w:lang w:val="en-US"/>
        </w:rPr>
        <w:t xml:space="preserve">it </w:t>
      </w:r>
      <w:r w:rsidR="00EC673B">
        <w:rPr>
          <w:rFonts w:ascii="Arial" w:hAnsi="Arial" w:cs="Arial"/>
          <w:lang w:val="en-US"/>
        </w:rPr>
        <w:t xml:space="preserve">was not </w:t>
      </w:r>
      <w:r w:rsidR="00197953">
        <w:rPr>
          <w:rFonts w:ascii="Arial" w:hAnsi="Arial" w:cs="Arial"/>
          <w:lang w:val="en-US"/>
        </w:rPr>
        <w:t xml:space="preserve">correct to </w:t>
      </w:r>
      <w:r w:rsidR="00FA76CD">
        <w:rPr>
          <w:rFonts w:ascii="Arial" w:hAnsi="Arial" w:cs="Arial"/>
          <w:lang w:val="en-US"/>
        </w:rPr>
        <w:t xml:space="preserve">assert that </w:t>
      </w:r>
      <w:r w:rsidR="00197953">
        <w:rPr>
          <w:rFonts w:ascii="Arial" w:hAnsi="Arial" w:cs="Arial"/>
          <w:lang w:val="en-US"/>
        </w:rPr>
        <w:t xml:space="preserve">an objection against an </w:t>
      </w:r>
      <w:r w:rsidR="00EC673B">
        <w:rPr>
          <w:rFonts w:ascii="Arial" w:hAnsi="Arial" w:cs="Arial"/>
          <w:lang w:val="en-US"/>
        </w:rPr>
        <w:t xml:space="preserve">amount </w:t>
      </w:r>
      <w:r w:rsidR="006A3A98">
        <w:rPr>
          <w:rFonts w:ascii="Arial" w:hAnsi="Arial" w:cs="Arial"/>
          <w:lang w:val="en-US"/>
        </w:rPr>
        <w:t xml:space="preserve">which </w:t>
      </w:r>
      <w:r w:rsidR="00CB79D1">
        <w:rPr>
          <w:rFonts w:ascii="Arial" w:hAnsi="Arial" w:cs="Arial"/>
          <w:lang w:val="en-US"/>
        </w:rPr>
        <w:t>i</w:t>
      </w:r>
      <w:r w:rsidR="006A3A98">
        <w:rPr>
          <w:rFonts w:ascii="Arial" w:hAnsi="Arial" w:cs="Arial"/>
          <w:lang w:val="en-US"/>
        </w:rPr>
        <w:t>s claimed</w:t>
      </w:r>
      <w:r w:rsidR="00EC673B">
        <w:rPr>
          <w:rFonts w:ascii="Arial" w:hAnsi="Arial" w:cs="Arial"/>
          <w:lang w:val="en-US"/>
        </w:rPr>
        <w:t xml:space="preserve"> as a deductible expense</w:t>
      </w:r>
      <w:r w:rsidR="006A3A98">
        <w:rPr>
          <w:rFonts w:ascii="Arial" w:hAnsi="Arial" w:cs="Arial"/>
          <w:lang w:val="en-US"/>
        </w:rPr>
        <w:t xml:space="preserve">, but </w:t>
      </w:r>
      <w:r w:rsidR="00517BEF">
        <w:rPr>
          <w:rFonts w:ascii="Arial" w:hAnsi="Arial" w:cs="Arial"/>
          <w:lang w:val="en-US"/>
        </w:rPr>
        <w:t xml:space="preserve">which is </w:t>
      </w:r>
      <w:r w:rsidR="006A3A98">
        <w:rPr>
          <w:rFonts w:ascii="Arial" w:hAnsi="Arial" w:cs="Arial"/>
          <w:lang w:val="en-US"/>
        </w:rPr>
        <w:t>disallowed,</w:t>
      </w:r>
      <w:r w:rsidR="00EC673B">
        <w:rPr>
          <w:rFonts w:ascii="Arial" w:hAnsi="Arial" w:cs="Arial"/>
          <w:lang w:val="en-US"/>
        </w:rPr>
        <w:t xml:space="preserve"> </w:t>
      </w:r>
      <w:r w:rsidR="00CB79D1">
        <w:rPr>
          <w:rFonts w:ascii="Arial" w:hAnsi="Arial" w:cs="Arial"/>
          <w:lang w:val="en-US"/>
        </w:rPr>
        <w:t>i</w:t>
      </w:r>
      <w:r w:rsidR="00EC673B">
        <w:rPr>
          <w:rFonts w:ascii="Arial" w:hAnsi="Arial" w:cs="Arial"/>
          <w:lang w:val="en-US"/>
        </w:rPr>
        <w:t xml:space="preserve">s </w:t>
      </w:r>
      <w:r w:rsidR="00A42837">
        <w:rPr>
          <w:rFonts w:ascii="Arial" w:hAnsi="Arial" w:cs="Arial"/>
          <w:lang w:val="en-US"/>
        </w:rPr>
        <w:t xml:space="preserve">to be treated as </w:t>
      </w:r>
      <w:r w:rsidR="00197953">
        <w:rPr>
          <w:rFonts w:ascii="Arial" w:hAnsi="Arial" w:cs="Arial"/>
          <w:lang w:val="en-US"/>
        </w:rPr>
        <w:t>equivalent</w:t>
      </w:r>
      <w:r w:rsidR="00FA76CD">
        <w:rPr>
          <w:rFonts w:ascii="Arial" w:hAnsi="Arial" w:cs="Arial"/>
          <w:lang w:val="en-US"/>
        </w:rPr>
        <w:t xml:space="preserve"> to</w:t>
      </w:r>
      <w:r w:rsidR="00197953">
        <w:rPr>
          <w:rFonts w:ascii="Arial" w:hAnsi="Arial" w:cs="Arial"/>
          <w:lang w:val="en-US"/>
        </w:rPr>
        <w:t xml:space="preserve"> an objection against the </w:t>
      </w:r>
      <w:r w:rsidR="00EC673B">
        <w:rPr>
          <w:rFonts w:ascii="Arial" w:hAnsi="Arial" w:cs="Arial"/>
          <w:lang w:val="en-US"/>
        </w:rPr>
        <w:t xml:space="preserve">amount being included as part of </w:t>
      </w:r>
      <w:r w:rsidR="00197953">
        <w:rPr>
          <w:rFonts w:ascii="Arial" w:hAnsi="Arial" w:cs="Arial"/>
          <w:lang w:val="en-US"/>
        </w:rPr>
        <w:t>gross income</w:t>
      </w:r>
      <w:r w:rsidR="00D84BCE">
        <w:rPr>
          <w:rFonts w:ascii="Arial" w:hAnsi="Arial" w:cs="Arial"/>
          <w:lang w:val="en-US"/>
        </w:rPr>
        <w:t>,</w:t>
      </w:r>
      <w:r w:rsidR="00197953">
        <w:rPr>
          <w:rFonts w:ascii="Arial" w:hAnsi="Arial" w:cs="Arial"/>
          <w:lang w:val="en-US"/>
        </w:rPr>
        <w:t xml:space="preserve"> for the purposes of </w:t>
      </w:r>
      <w:r w:rsidR="006A3A98">
        <w:rPr>
          <w:rFonts w:ascii="Arial" w:hAnsi="Arial" w:cs="Arial"/>
          <w:lang w:val="en-US"/>
        </w:rPr>
        <w:t>r</w:t>
      </w:r>
      <w:r w:rsidR="00197953">
        <w:rPr>
          <w:rFonts w:ascii="Arial" w:hAnsi="Arial" w:cs="Arial"/>
          <w:lang w:val="en-US"/>
        </w:rPr>
        <w:t>ule 32(3).</w:t>
      </w:r>
    </w:p>
    <w:p w14:paraId="43DA2D05" w14:textId="77777777" w:rsidR="00D9614C" w:rsidRDefault="00D9614C" w:rsidP="00197953">
      <w:pPr>
        <w:spacing w:line="480" w:lineRule="auto"/>
        <w:jc w:val="both"/>
        <w:rPr>
          <w:rFonts w:ascii="Arial" w:hAnsi="Arial" w:cs="Arial"/>
          <w:lang w:val="en-US"/>
        </w:rPr>
      </w:pPr>
    </w:p>
    <w:p w14:paraId="74314600" w14:textId="4E8CC33E" w:rsidR="00D9614C" w:rsidRDefault="00D9614C" w:rsidP="00197953">
      <w:pPr>
        <w:spacing w:line="480" w:lineRule="auto"/>
        <w:jc w:val="both"/>
        <w:rPr>
          <w:rFonts w:ascii="Arial" w:hAnsi="Arial" w:cs="Arial"/>
          <w:lang w:val="en-US"/>
        </w:rPr>
      </w:pPr>
      <w:r>
        <w:rPr>
          <w:rFonts w:ascii="Arial" w:hAnsi="Arial" w:cs="Arial"/>
          <w:lang w:val="en-US"/>
        </w:rPr>
        <w:t>[2</w:t>
      </w:r>
      <w:r w:rsidR="00D84BCE">
        <w:rPr>
          <w:rFonts w:ascii="Arial" w:hAnsi="Arial" w:cs="Arial"/>
          <w:lang w:val="en-US"/>
        </w:rPr>
        <w:t>6</w:t>
      </w:r>
      <w:r>
        <w:rPr>
          <w:rFonts w:ascii="Arial" w:hAnsi="Arial" w:cs="Arial"/>
          <w:lang w:val="en-US"/>
        </w:rPr>
        <w:t>]</w:t>
      </w:r>
      <w:r>
        <w:rPr>
          <w:rFonts w:ascii="Arial" w:hAnsi="Arial" w:cs="Arial"/>
          <w:lang w:val="en-US"/>
        </w:rPr>
        <w:tab/>
      </w:r>
      <w:r w:rsidR="00B102F8">
        <w:rPr>
          <w:rFonts w:ascii="Arial" w:hAnsi="Arial" w:cs="Arial"/>
          <w:lang w:val="en-US"/>
        </w:rPr>
        <w:t>It</w:t>
      </w:r>
      <w:r w:rsidR="006A3A98">
        <w:rPr>
          <w:rFonts w:ascii="Arial" w:hAnsi="Arial" w:cs="Arial"/>
          <w:lang w:val="en-US"/>
        </w:rPr>
        <w:t xml:space="preserve"> </w:t>
      </w:r>
      <w:r w:rsidR="00197953">
        <w:rPr>
          <w:rFonts w:ascii="Arial" w:hAnsi="Arial" w:cs="Arial"/>
          <w:lang w:val="en-US"/>
        </w:rPr>
        <w:t xml:space="preserve">referred to the decision </w:t>
      </w:r>
      <w:r w:rsidR="008203FF">
        <w:rPr>
          <w:rFonts w:ascii="Arial" w:hAnsi="Arial" w:cs="Arial"/>
          <w:lang w:val="en-US"/>
        </w:rPr>
        <w:t>in</w:t>
      </w:r>
      <w:r w:rsidR="00197953">
        <w:rPr>
          <w:rFonts w:ascii="Arial" w:hAnsi="Arial" w:cs="Arial"/>
          <w:lang w:val="en-US"/>
        </w:rPr>
        <w:t xml:space="preserve"> </w:t>
      </w:r>
      <w:r w:rsidR="00197953" w:rsidRPr="003451AE">
        <w:rPr>
          <w:rFonts w:ascii="Arial" w:hAnsi="Arial" w:cs="Arial"/>
          <w:i/>
          <w:iCs/>
          <w:lang w:val="en-US"/>
        </w:rPr>
        <w:t>Matla Coal Ltd v Commissioner of</w:t>
      </w:r>
      <w:r w:rsidR="00197953">
        <w:rPr>
          <w:rFonts w:ascii="Arial" w:hAnsi="Arial" w:cs="Arial"/>
          <w:lang w:val="en-US"/>
        </w:rPr>
        <w:t xml:space="preserve"> </w:t>
      </w:r>
      <w:r w:rsidR="00197953" w:rsidRPr="003451AE">
        <w:rPr>
          <w:rFonts w:ascii="Arial" w:hAnsi="Arial" w:cs="Arial"/>
          <w:i/>
          <w:iCs/>
          <w:lang w:val="en-US"/>
        </w:rPr>
        <w:t>Inland Revenue</w:t>
      </w:r>
      <w:r w:rsidR="00197953">
        <w:rPr>
          <w:rStyle w:val="FootnoteReference"/>
          <w:rFonts w:ascii="Arial" w:hAnsi="Arial" w:cs="Arial"/>
          <w:lang w:val="en-US"/>
        </w:rPr>
        <w:footnoteReference w:id="7"/>
      </w:r>
      <w:r w:rsidR="00197953">
        <w:rPr>
          <w:rFonts w:ascii="Arial" w:hAnsi="Arial" w:cs="Arial"/>
          <w:lang w:val="en-US"/>
        </w:rPr>
        <w:t xml:space="preserve"> and stated that the correct approach that should be followed</w:t>
      </w:r>
      <w:r w:rsidR="00401171" w:rsidRPr="00401171">
        <w:rPr>
          <w:rFonts w:ascii="Arial" w:hAnsi="Arial" w:cs="Arial"/>
          <w:lang w:val="en-US"/>
        </w:rPr>
        <w:t xml:space="preserve"> </w:t>
      </w:r>
      <w:r w:rsidR="00401171">
        <w:rPr>
          <w:rFonts w:ascii="Arial" w:hAnsi="Arial" w:cs="Arial"/>
          <w:lang w:val="en-US"/>
        </w:rPr>
        <w:t xml:space="preserve">in dealing with the provisions </w:t>
      </w:r>
      <w:r w:rsidR="00CB79D1">
        <w:rPr>
          <w:rFonts w:ascii="Arial" w:hAnsi="Arial" w:cs="Arial"/>
          <w:lang w:val="en-US"/>
        </w:rPr>
        <w:t xml:space="preserve">of </w:t>
      </w:r>
      <w:r w:rsidR="00401171">
        <w:rPr>
          <w:rFonts w:ascii="Arial" w:hAnsi="Arial" w:cs="Arial"/>
          <w:lang w:val="en-US"/>
        </w:rPr>
        <w:t>rule 32(3),</w:t>
      </w:r>
      <w:r w:rsidR="00197953">
        <w:rPr>
          <w:rFonts w:ascii="Arial" w:hAnsi="Arial" w:cs="Arial"/>
          <w:lang w:val="en-US"/>
        </w:rPr>
        <w:t xml:space="preserve"> as outlined in </w:t>
      </w:r>
      <w:r w:rsidR="00197953" w:rsidRPr="003451AE">
        <w:rPr>
          <w:rFonts w:ascii="Arial" w:hAnsi="Arial" w:cs="Arial"/>
          <w:i/>
          <w:iCs/>
          <w:lang w:val="en-US"/>
        </w:rPr>
        <w:t>Matla</w:t>
      </w:r>
      <w:r w:rsidR="00401171">
        <w:rPr>
          <w:rFonts w:ascii="Arial" w:hAnsi="Arial" w:cs="Arial"/>
          <w:lang w:val="en-US"/>
        </w:rPr>
        <w:t>,</w:t>
      </w:r>
      <w:r w:rsidR="00197953">
        <w:rPr>
          <w:rFonts w:ascii="Arial" w:hAnsi="Arial" w:cs="Arial"/>
          <w:lang w:val="en-US"/>
        </w:rPr>
        <w:t xml:space="preserve"> </w:t>
      </w:r>
      <w:r w:rsidR="00D84BCE">
        <w:rPr>
          <w:rFonts w:ascii="Arial" w:hAnsi="Arial" w:cs="Arial"/>
          <w:lang w:val="en-US"/>
        </w:rPr>
        <w:t>was</w:t>
      </w:r>
      <w:r w:rsidR="00197953">
        <w:rPr>
          <w:rFonts w:ascii="Arial" w:hAnsi="Arial" w:cs="Arial"/>
          <w:lang w:val="en-US"/>
        </w:rPr>
        <w:t xml:space="preserve"> that </w:t>
      </w:r>
      <w:r w:rsidR="000606C4">
        <w:rPr>
          <w:rFonts w:ascii="Arial" w:hAnsi="Arial" w:cs="Arial"/>
          <w:lang w:val="en-US"/>
        </w:rPr>
        <w:t>i</w:t>
      </w:r>
      <w:r w:rsidR="00197953">
        <w:rPr>
          <w:rFonts w:ascii="Arial" w:hAnsi="Arial" w:cs="Arial"/>
          <w:lang w:val="en-US"/>
        </w:rPr>
        <w:t xml:space="preserve">t should </w:t>
      </w:r>
      <w:r w:rsidR="000606C4">
        <w:rPr>
          <w:rFonts w:ascii="Arial" w:hAnsi="Arial" w:cs="Arial"/>
          <w:lang w:val="en-US"/>
        </w:rPr>
        <w:t>consider</w:t>
      </w:r>
      <w:r w:rsidR="00197953">
        <w:rPr>
          <w:rFonts w:ascii="Arial" w:hAnsi="Arial" w:cs="Arial"/>
          <w:lang w:val="en-US"/>
        </w:rPr>
        <w:t xml:space="preserve"> the substance of the objection </w:t>
      </w:r>
      <w:r w:rsidR="00D84BCE">
        <w:rPr>
          <w:rFonts w:ascii="Arial" w:hAnsi="Arial" w:cs="Arial"/>
          <w:lang w:val="en-US"/>
        </w:rPr>
        <w:t xml:space="preserve">to determine </w:t>
      </w:r>
      <w:r w:rsidR="00197953">
        <w:rPr>
          <w:rFonts w:ascii="Arial" w:hAnsi="Arial" w:cs="Arial"/>
          <w:lang w:val="en-US"/>
        </w:rPr>
        <w:t>whether it cover</w:t>
      </w:r>
      <w:r w:rsidR="00D84BCE">
        <w:rPr>
          <w:rFonts w:ascii="Arial" w:hAnsi="Arial" w:cs="Arial"/>
          <w:lang w:val="en-US"/>
        </w:rPr>
        <w:t>ed</w:t>
      </w:r>
      <w:r w:rsidR="00197953">
        <w:rPr>
          <w:rFonts w:ascii="Arial" w:hAnsi="Arial" w:cs="Arial"/>
          <w:lang w:val="en-US"/>
        </w:rPr>
        <w:t xml:space="preserve"> the point which </w:t>
      </w:r>
      <w:r w:rsidR="00D84BCE">
        <w:rPr>
          <w:rFonts w:ascii="Arial" w:hAnsi="Arial" w:cs="Arial"/>
          <w:lang w:val="en-US"/>
        </w:rPr>
        <w:t>the</w:t>
      </w:r>
      <w:r w:rsidR="00197953">
        <w:rPr>
          <w:rFonts w:ascii="Arial" w:hAnsi="Arial" w:cs="Arial"/>
          <w:lang w:val="en-US"/>
        </w:rPr>
        <w:t xml:space="preserve"> </w:t>
      </w:r>
      <w:r w:rsidR="001708BA">
        <w:rPr>
          <w:rFonts w:ascii="Arial" w:hAnsi="Arial" w:cs="Arial"/>
          <w:lang w:val="en-US"/>
        </w:rPr>
        <w:t>appellant</w:t>
      </w:r>
      <w:r w:rsidR="00197953">
        <w:rPr>
          <w:rFonts w:ascii="Arial" w:hAnsi="Arial" w:cs="Arial"/>
          <w:lang w:val="en-US"/>
        </w:rPr>
        <w:t xml:space="preserve"> wishe</w:t>
      </w:r>
      <w:r w:rsidR="00D84BCE">
        <w:rPr>
          <w:rFonts w:ascii="Arial" w:hAnsi="Arial" w:cs="Arial"/>
          <w:lang w:val="en-US"/>
        </w:rPr>
        <w:t>d</w:t>
      </w:r>
      <w:r w:rsidR="00197953">
        <w:rPr>
          <w:rFonts w:ascii="Arial" w:hAnsi="Arial" w:cs="Arial"/>
          <w:lang w:val="en-US"/>
        </w:rPr>
        <w:t xml:space="preserve"> to advance on appeal</w:t>
      </w:r>
      <w:r w:rsidR="00D84BCE">
        <w:rPr>
          <w:rFonts w:ascii="Arial" w:hAnsi="Arial" w:cs="Arial"/>
          <w:lang w:val="en-US"/>
        </w:rPr>
        <w:t>,</w:t>
      </w:r>
      <w:r w:rsidR="00197953">
        <w:rPr>
          <w:rFonts w:ascii="Arial" w:hAnsi="Arial" w:cs="Arial"/>
          <w:lang w:val="en-US"/>
        </w:rPr>
        <w:t xml:space="preserve"> and that </w:t>
      </w:r>
      <w:r w:rsidR="00D84BCE">
        <w:rPr>
          <w:rFonts w:ascii="Arial" w:hAnsi="Arial" w:cs="Arial"/>
          <w:lang w:val="en-US"/>
        </w:rPr>
        <w:t>in each case the matter</w:t>
      </w:r>
      <w:r w:rsidR="00197953">
        <w:rPr>
          <w:rFonts w:ascii="Arial" w:hAnsi="Arial" w:cs="Arial"/>
          <w:lang w:val="en-US"/>
        </w:rPr>
        <w:t xml:space="preserve"> </w:t>
      </w:r>
      <w:r w:rsidR="000606C4">
        <w:rPr>
          <w:rFonts w:ascii="Arial" w:hAnsi="Arial" w:cs="Arial"/>
          <w:lang w:val="en-US"/>
        </w:rPr>
        <w:t>was to</w:t>
      </w:r>
      <w:r w:rsidR="00197953">
        <w:rPr>
          <w:rFonts w:ascii="Arial" w:hAnsi="Arial" w:cs="Arial"/>
          <w:lang w:val="en-US"/>
        </w:rPr>
        <w:t xml:space="preserve"> be adjudged on </w:t>
      </w:r>
      <w:r w:rsidR="00D84BCE">
        <w:rPr>
          <w:rFonts w:ascii="Arial" w:hAnsi="Arial" w:cs="Arial"/>
          <w:lang w:val="en-US"/>
        </w:rPr>
        <w:t>its own,</w:t>
      </w:r>
      <w:r w:rsidR="00197953">
        <w:rPr>
          <w:rFonts w:ascii="Arial" w:hAnsi="Arial" w:cs="Arial"/>
          <w:lang w:val="en-US"/>
        </w:rPr>
        <w:t xml:space="preserve"> particular facts. </w:t>
      </w:r>
    </w:p>
    <w:p w14:paraId="2F31EBEA" w14:textId="77777777" w:rsidR="00D9614C" w:rsidRDefault="00D9614C" w:rsidP="00197953">
      <w:pPr>
        <w:spacing w:line="480" w:lineRule="auto"/>
        <w:jc w:val="both"/>
        <w:rPr>
          <w:rFonts w:ascii="Arial" w:hAnsi="Arial" w:cs="Arial"/>
          <w:lang w:val="en-US"/>
        </w:rPr>
      </w:pPr>
    </w:p>
    <w:p w14:paraId="6A6B6866" w14:textId="435F2D92" w:rsidR="00BB4513" w:rsidRDefault="00D9614C" w:rsidP="00197953">
      <w:pPr>
        <w:spacing w:line="480" w:lineRule="auto"/>
        <w:jc w:val="both"/>
        <w:rPr>
          <w:rFonts w:ascii="Arial" w:hAnsi="Arial" w:cs="Arial"/>
          <w:lang w:val="en-US"/>
        </w:rPr>
      </w:pPr>
      <w:r>
        <w:rPr>
          <w:rFonts w:ascii="Arial" w:hAnsi="Arial" w:cs="Arial"/>
          <w:lang w:val="en-US"/>
        </w:rPr>
        <w:t>[2</w:t>
      </w:r>
      <w:r w:rsidR="00D84BCE">
        <w:rPr>
          <w:rFonts w:ascii="Arial" w:hAnsi="Arial" w:cs="Arial"/>
          <w:lang w:val="en-US"/>
        </w:rPr>
        <w:t>7</w:t>
      </w:r>
      <w:r>
        <w:rPr>
          <w:rFonts w:ascii="Arial" w:hAnsi="Arial" w:cs="Arial"/>
          <w:lang w:val="en-US"/>
        </w:rPr>
        <w:t>]</w:t>
      </w:r>
      <w:r>
        <w:rPr>
          <w:rFonts w:ascii="Arial" w:hAnsi="Arial" w:cs="Arial"/>
          <w:lang w:val="en-US"/>
        </w:rPr>
        <w:tab/>
      </w:r>
      <w:r w:rsidR="00B102F8">
        <w:rPr>
          <w:rFonts w:ascii="Arial" w:hAnsi="Arial" w:cs="Arial"/>
          <w:lang w:val="en-US"/>
        </w:rPr>
        <w:t>I</w:t>
      </w:r>
      <w:r w:rsidR="00197953">
        <w:rPr>
          <w:rFonts w:ascii="Arial" w:hAnsi="Arial" w:cs="Arial"/>
          <w:lang w:val="en-US"/>
        </w:rPr>
        <w:t xml:space="preserve">t </w:t>
      </w:r>
      <w:r w:rsidR="00D84BCE">
        <w:rPr>
          <w:rFonts w:ascii="Arial" w:hAnsi="Arial" w:cs="Arial"/>
          <w:lang w:val="en-US"/>
        </w:rPr>
        <w:t xml:space="preserve">expressed the view </w:t>
      </w:r>
      <w:r w:rsidR="00197953">
        <w:rPr>
          <w:rFonts w:ascii="Arial" w:hAnsi="Arial" w:cs="Arial"/>
          <w:lang w:val="en-US"/>
        </w:rPr>
        <w:t xml:space="preserve">that in following this approach within the ambit now posed by </w:t>
      </w:r>
      <w:r w:rsidR="00A063D2">
        <w:rPr>
          <w:rFonts w:ascii="Arial" w:hAnsi="Arial" w:cs="Arial"/>
          <w:lang w:val="en-US"/>
        </w:rPr>
        <w:t>the new r</w:t>
      </w:r>
      <w:r w:rsidR="00197953">
        <w:rPr>
          <w:rFonts w:ascii="Arial" w:hAnsi="Arial" w:cs="Arial"/>
          <w:lang w:val="en-US"/>
        </w:rPr>
        <w:t xml:space="preserve">ule 32(3) - the previous </w:t>
      </w:r>
      <w:r w:rsidR="00A063D2">
        <w:rPr>
          <w:rFonts w:ascii="Arial" w:hAnsi="Arial" w:cs="Arial"/>
          <w:lang w:val="en-US"/>
        </w:rPr>
        <w:t>r</w:t>
      </w:r>
      <w:r w:rsidR="00197953">
        <w:rPr>
          <w:rFonts w:ascii="Arial" w:hAnsi="Arial" w:cs="Arial"/>
          <w:lang w:val="en-US"/>
        </w:rPr>
        <w:t xml:space="preserve">ule must still be valid, otherwise new grounds of appeal would be permissible irrespective of whether they bear any relation to the pleaded case. It </w:t>
      </w:r>
      <w:r w:rsidR="00A063D2">
        <w:rPr>
          <w:rFonts w:ascii="Arial" w:hAnsi="Arial" w:cs="Arial"/>
          <w:lang w:val="en-US"/>
        </w:rPr>
        <w:t>held</w:t>
      </w:r>
      <w:r w:rsidR="00197953">
        <w:rPr>
          <w:rFonts w:ascii="Arial" w:hAnsi="Arial" w:cs="Arial"/>
          <w:lang w:val="en-US"/>
        </w:rPr>
        <w:t xml:space="preserve"> that the appellant d</w:t>
      </w:r>
      <w:r w:rsidR="00A063D2">
        <w:rPr>
          <w:rFonts w:ascii="Arial" w:hAnsi="Arial" w:cs="Arial"/>
          <w:lang w:val="en-US"/>
        </w:rPr>
        <w:t>id</w:t>
      </w:r>
      <w:r w:rsidR="00197953">
        <w:rPr>
          <w:rFonts w:ascii="Arial" w:hAnsi="Arial" w:cs="Arial"/>
          <w:lang w:val="en-US"/>
        </w:rPr>
        <w:t xml:space="preserve"> not have a blanket right to introduce a</w:t>
      </w:r>
      <w:r w:rsidR="00A063D2">
        <w:rPr>
          <w:rFonts w:ascii="Arial" w:hAnsi="Arial" w:cs="Arial"/>
          <w:lang w:val="en-US"/>
        </w:rPr>
        <w:t>ny</w:t>
      </w:r>
      <w:r w:rsidR="00197953">
        <w:rPr>
          <w:rFonts w:ascii="Arial" w:hAnsi="Arial" w:cs="Arial"/>
          <w:lang w:val="en-US"/>
        </w:rPr>
        <w:t xml:space="preserve"> new ground</w:t>
      </w:r>
      <w:r w:rsidR="00FB189C">
        <w:rPr>
          <w:rFonts w:ascii="Arial" w:hAnsi="Arial" w:cs="Arial"/>
          <w:lang w:val="en-US"/>
        </w:rPr>
        <w:t xml:space="preserve"> of appeal,</w:t>
      </w:r>
      <w:r w:rsidR="00197953">
        <w:rPr>
          <w:rFonts w:ascii="Arial" w:hAnsi="Arial" w:cs="Arial"/>
          <w:lang w:val="en-US"/>
        </w:rPr>
        <w:t xml:space="preserve"> because it </w:t>
      </w:r>
      <w:r w:rsidR="00A063D2">
        <w:rPr>
          <w:rFonts w:ascii="Arial" w:hAnsi="Arial" w:cs="Arial"/>
          <w:lang w:val="en-US"/>
        </w:rPr>
        <w:t>was</w:t>
      </w:r>
      <w:r w:rsidR="00197953">
        <w:rPr>
          <w:rFonts w:ascii="Arial" w:hAnsi="Arial" w:cs="Arial"/>
          <w:lang w:val="en-US"/>
        </w:rPr>
        <w:t xml:space="preserve"> limited by </w:t>
      </w:r>
      <w:r w:rsidR="00A063D2">
        <w:rPr>
          <w:rFonts w:ascii="Arial" w:hAnsi="Arial" w:cs="Arial"/>
          <w:lang w:val="en-US"/>
        </w:rPr>
        <w:t>the confines of the sub</w:t>
      </w:r>
      <w:r w:rsidR="00197953">
        <w:rPr>
          <w:rFonts w:ascii="Arial" w:hAnsi="Arial" w:cs="Arial"/>
          <w:lang w:val="en-US"/>
        </w:rPr>
        <w:t xml:space="preserve">rule. </w:t>
      </w:r>
    </w:p>
    <w:p w14:paraId="7ED40F9F" w14:textId="77777777" w:rsidR="00EB524C" w:rsidRDefault="00EB524C" w:rsidP="00197953">
      <w:pPr>
        <w:spacing w:line="480" w:lineRule="auto"/>
        <w:jc w:val="both"/>
        <w:rPr>
          <w:rFonts w:ascii="Arial" w:hAnsi="Arial" w:cs="Arial"/>
          <w:lang w:val="en-US"/>
        </w:rPr>
      </w:pPr>
    </w:p>
    <w:p w14:paraId="2523EDC0" w14:textId="475EA977" w:rsidR="00197953" w:rsidRDefault="007A1302" w:rsidP="00197953">
      <w:pPr>
        <w:spacing w:line="480" w:lineRule="auto"/>
        <w:jc w:val="both"/>
        <w:rPr>
          <w:rFonts w:ascii="Arial" w:hAnsi="Arial" w:cs="Arial"/>
          <w:lang w:val="en-US"/>
        </w:rPr>
      </w:pPr>
      <w:r>
        <w:rPr>
          <w:rFonts w:ascii="Arial" w:hAnsi="Arial" w:cs="Arial"/>
          <w:lang w:val="en-US"/>
        </w:rPr>
        <w:t>[2</w:t>
      </w:r>
      <w:r w:rsidR="00D84BCE">
        <w:rPr>
          <w:rFonts w:ascii="Arial" w:hAnsi="Arial" w:cs="Arial"/>
          <w:lang w:val="en-US"/>
        </w:rPr>
        <w:t>8</w:t>
      </w:r>
      <w:r>
        <w:rPr>
          <w:rFonts w:ascii="Arial" w:hAnsi="Arial" w:cs="Arial"/>
          <w:lang w:val="en-US"/>
        </w:rPr>
        <w:t>]</w:t>
      </w:r>
      <w:r>
        <w:rPr>
          <w:rFonts w:ascii="Arial" w:hAnsi="Arial" w:cs="Arial"/>
          <w:lang w:val="en-US"/>
        </w:rPr>
        <w:tab/>
      </w:r>
      <w:r w:rsidR="00B102F8">
        <w:rPr>
          <w:rFonts w:ascii="Arial" w:hAnsi="Arial" w:cs="Arial"/>
          <w:lang w:val="en-US"/>
        </w:rPr>
        <w:t>T</w:t>
      </w:r>
      <w:r w:rsidR="00197953">
        <w:rPr>
          <w:rFonts w:ascii="Arial" w:hAnsi="Arial" w:cs="Arial"/>
          <w:lang w:val="en-US"/>
        </w:rPr>
        <w:t xml:space="preserve">he wording of </w:t>
      </w:r>
      <w:r w:rsidR="00A063D2">
        <w:rPr>
          <w:rFonts w:ascii="Arial" w:hAnsi="Arial" w:cs="Arial"/>
          <w:lang w:val="en-US"/>
        </w:rPr>
        <w:t>the sub</w:t>
      </w:r>
      <w:r w:rsidR="00197953">
        <w:rPr>
          <w:rFonts w:ascii="Arial" w:hAnsi="Arial" w:cs="Arial"/>
          <w:lang w:val="en-US"/>
        </w:rPr>
        <w:t>rule</w:t>
      </w:r>
      <w:r w:rsidR="00A063D2">
        <w:rPr>
          <w:rFonts w:ascii="Arial" w:hAnsi="Arial" w:cs="Arial"/>
          <w:lang w:val="en-US"/>
        </w:rPr>
        <w:t xml:space="preserve"> </w:t>
      </w:r>
      <w:r w:rsidR="00197953">
        <w:rPr>
          <w:rFonts w:ascii="Arial" w:hAnsi="Arial" w:cs="Arial"/>
          <w:lang w:val="en-US"/>
        </w:rPr>
        <w:t>clearly indicate</w:t>
      </w:r>
      <w:r w:rsidR="00A063D2">
        <w:rPr>
          <w:rFonts w:ascii="Arial" w:hAnsi="Arial" w:cs="Arial"/>
          <w:lang w:val="en-US"/>
        </w:rPr>
        <w:t>d</w:t>
      </w:r>
      <w:r w:rsidR="00197953">
        <w:rPr>
          <w:rFonts w:ascii="Arial" w:hAnsi="Arial" w:cs="Arial"/>
          <w:lang w:val="en-US"/>
        </w:rPr>
        <w:t xml:space="preserve"> that </w:t>
      </w:r>
      <w:r w:rsidR="00A063D2">
        <w:rPr>
          <w:rFonts w:ascii="Arial" w:hAnsi="Arial" w:cs="Arial"/>
          <w:lang w:val="en-US"/>
        </w:rPr>
        <w:t>a</w:t>
      </w:r>
      <w:r w:rsidR="00197953">
        <w:rPr>
          <w:rFonts w:ascii="Arial" w:hAnsi="Arial" w:cs="Arial"/>
          <w:lang w:val="en-US"/>
        </w:rPr>
        <w:t xml:space="preserve"> connection should remain between amount</w:t>
      </w:r>
      <w:r w:rsidR="006A5F70">
        <w:rPr>
          <w:rFonts w:ascii="Arial" w:hAnsi="Arial" w:cs="Arial"/>
          <w:lang w:val="en-US"/>
        </w:rPr>
        <w:t>s</w:t>
      </w:r>
      <w:r w:rsidR="00197953">
        <w:rPr>
          <w:rFonts w:ascii="Arial" w:hAnsi="Arial" w:cs="Arial"/>
          <w:lang w:val="en-US"/>
        </w:rPr>
        <w:t xml:space="preserve"> </w:t>
      </w:r>
      <w:r>
        <w:rPr>
          <w:rFonts w:ascii="Arial" w:hAnsi="Arial" w:cs="Arial"/>
          <w:lang w:val="en-US"/>
        </w:rPr>
        <w:t>previously</w:t>
      </w:r>
      <w:r w:rsidR="00197953">
        <w:rPr>
          <w:rFonts w:ascii="Arial" w:hAnsi="Arial" w:cs="Arial"/>
          <w:lang w:val="en-US"/>
        </w:rPr>
        <w:t xml:space="preserve"> disputed </w:t>
      </w:r>
      <w:r w:rsidR="00A063D2">
        <w:rPr>
          <w:rFonts w:ascii="Arial" w:hAnsi="Arial" w:cs="Arial"/>
          <w:lang w:val="en-US"/>
        </w:rPr>
        <w:t>in</w:t>
      </w:r>
      <w:r w:rsidR="00197953">
        <w:rPr>
          <w:rFonts w:ascii="Arial" w:hAnsi="Arial" w:cs="Arial"/>
          <w:lang w:val="en-US"/>
        </w:rPr>
        <w:t xml:space="preserve"> the </w:t>
      </w:r>
      <w:r w:rsidR="00A063D2">
        <w:rPr>
          <w:rFonts w:ascii="Arial" w:hAnsi="Arial" w:cs="Arial"/>
          <w:lang w:val="en-US"/>
        </w:rPr>
        <w:t xml:space="preserve">tax </w:t>
      </w:r>
      <w:r w:rsidR="00197953">
        <w:rPr>
          <w:rFonts w:ascii="Arial" w:hAnsi="Arial" w:cs="Arial"/>
          <w:lang w:val="en-US"/>
        </w:rPr>
        <w:t>assessment and the new ground</w:t>
      </w:r>
      <w:r w:rsidR="00A063D2">
        <w:rPr>
          <w:rFonts w:ascii="Arial" w:hAnsi="Arial" w:cs="Arial"/>
          <w:lang w:val="en-US"/>
        </w:rPr>
        <w:t xml:space="preserve"> </w:t>
      </w:r>
      <w:r w:rsidR="00A063D2">
        <w:rPr>
          <w:rFonts w:ascii="Arial" w:hAnsi="Arial" w:cs="Arial"/>
          <w:lang w:val="en-US"/>
        </w:rPr>
        <w:lastRenderedPageBreak/>
        <w:t>raised on appeal</w:t>
      </w:r>
      <w:r w:rsidR="006A5F70">
        <w:rPr>
          <w:rFonts w:ascii="Arial" w:hAnsi="Arial" w:cs="Arial"/>
          <w:lang w:val="en-US"/>
        </w:rPr>
        <w:t xml:space="preserve">; </w:t>
      </w:r>
      <w:r w:rsidR="007559FB">
        <w:rPr>
          <w:rFonts w:ascii="Arial" w:hAnsi="Arial" w:cs="Arial"/>
          <w:lang w:val="en-US"/>
        </w:rPr>
        <w:t>in essence a</w:t>
      </w:r>
      <w:r w:rsidR="00197953">
        <w:rPr>
          <w:rFonts w:ascii="Arial" w:hAnsi="Arial" w:cs="Arial"/>
          <w:lang w:val="en-US"/>
        </w:rPr>
        <w:t xml:space="preserve"> taxpayer c</w:t>
      </w:r>
      <w:r w:rsidR="00A063D2">
        <w:rPr>
          <w:rFonts w:ascii="Arial" w:hAnsi="Arial" w:cs="Arial"/>
          <w:lang w:val="en-US"/>
        </w:rPr>
        <w:t>ould not</w:t>
      </w:r>
      <w:r w:rsidR="00197953">
        <w:rPr>
          <w:rFonts w:ascii="Arial" w:hAnsi="Arial" w:cs="Arial"/>
          <w:lang w:val="en-US"/>
        </w:rPr>
        <w:t xml:space="preserve"> make out an entirely new case on appeal. </w:t>
      </w:r>
    </w:p>
    <w:p w14:paraId="6E649465" w14:textId="77777777" w:rsidR="00197953" w:rsidRDefault="00197953" w:rsidP="00197953">
      <w:pPr>
        <w:spacing w:line="480" w:lineRule="auto"/>
        <w:jc w:val="both"/>
        <w:rPr>
          <w:rFonts w:ascii="Arial" w:hAnsi="Arial" w:cs="Arial"/>
          <w:lang w:val="en-US"/>
        </w:rPr>
      </w:pPr>
    </w:p>
    <w:p w14:paraId="239DE8FE" w14:textId="7BD72AFF" w:rsidR="00197953" w:rsidRDefault="007A1302" w:rsidP="00197953">
      <w:pPr>
        <w:spacing w:line="480" w:lineRule="auto"/>
        <w:jc w:val="both"/>
        <w:rPr>
          <w:rFonts w:ascii="Arial" w:hAnsi="Arial" w:cs="Arial"/>
          <w:lang w:val="en-US"/>
        </w:rPr>
      </w:pPr>
      <w:r>
        <w:rPr>
          <w:rFonts w:ascii="Arial" w:hAnsi="Arial" w:cs="Arial"/>
          <w:lang w:val="en-US"/>
        </w:rPr>
        <w:t>[2</w:t>
      </w:r>
      <w:r w:rsidR="00B102F8">
        <w:rPr>
          <w:rFonts w:ascii="Arial" w:hAnsi="Arial" w:cs="Arial"/>
          <w:lang w:val="en-US"/>
        </w:rPr>
        <w:t>9</w:t>
      </w:r>
      <w:r>
        <w:rPr>
          <w:rFonts w:ascii="Arial" w:hAnsi="Arial" w:cs="Arial"/>
          <w:lang w:val="en-US"/>
        </w:rPr>
        <w:t>]</w:t>
      </w:r>
      <w:r>
        <w:rPr>
          <w:rFonts w:ascii="Arial" w:hAnsi="Arial" w:cs="Arial"/>
          <w:lang w:val="en-US"/>
        </w:rPr>
        <w:tab/>
      </w:r>
      <w:r w:rsidR="00197953">
        <w:rPr>
          <w:rFonts w:ascii="Arial" w:hAnsi="Arial" w:cs="Arial"/>
          <w:lang w:val="en-US"/>
        </w:rPr>
        <w:t xml:space="preserve">In the </w:t>
      </w:r>
      <w:r w:rsidR="00A063D2">
        <w:rPr>
          <w:rFonts w:ascii="Arial" w:hAnsi="Arial" w:cs="Arial"/>
          <w:lang w:val="en-US"/>
        </w:rPr>
        <w:t xml:space="preserve">tax </w:t>
      </w:r>
      <w:r w:rsidR="00197953">
        <w:rPr>
          <w:rFonts w:ascii="Arial" w:hAnsi="Arial" w:cs="Arial"/>
          <w:lang w:val="en-US"/>
        </w:rPr>
        <w:t>court</w:t>
      </w:r>
      <w:r w:rsidR="00A063D2">
        <w:rPr>
          <w:rFonts w:ascii="Arial" w:hAnsi="Arial" w:cs="Arial"/>
          <w:lang w:val="en-US"/>
        </w:rPr>
        <w:t>’s</w:t>
      </w:r>
      <w:r w:rsidR="00197953">
        <w:rPr>
          <w:rFonts w:ascii="Arial" w:hAnsi="Arial" w:cs="Arial"/>
          <w:lang w:val="en-US"/>
        </w:rPr>
        <w:t xml:space="preserve"> view this interpretation of the </w:t>
      </w:r>
      <w:r w:rsidR="00A063D2">
        <w:rPr>
          <w:rFonts w:ascii="Arial" w:hAnsi="Arial" w:cs="Arial"/>
          <w:lang w:val="en-US"/>
        </w:rPr>
        <w:t xml:space="preserve">ambit of the subrule </w:t>
      </w:r>
      <w:r w:rsidR="00197953">
        <w:rPr>
          <w:rFonts w:ascii="Arial" w:hAnsi="Arial" w:cs="Arial"/>
          <w:lang w:val="en-US"/>
        </w:rPr>
        <w:t xml:space="preserve">was confirmed in </w:t>
      </w:r>
      <w:r w:rsidR="00197953" w:rsidRPr="008409D5">
        <w:rPr>
          <w:rFonts w:ascii="Arial" w:hAnsi="Arial" w:cs="Arial"/>
          <w:i/>
          <w:lang w:val="en-US"/>
        </w:rPr>
        <w:t>ITC 1912</w:t>
      </w:r>
      <w:r w:rsidR="000606C4">
        <w:rPr>
          <w:rFonts w:ascii="Arial" w:hAnsi="Arial" w:cs="Arial"/>
          <w:i/>
          <w:lang w:val="en-US"/>
        </w:rPr>
        <w:t xml:space="preserve">, </w:t>
      </w:r>
      <w:r w:rsidR="00197953">
        <w:rPr>
          <w:rStyle w:val="FootnoteReference"/>
          <w:rFonts w:ascii="Arial" w:hAnsi="Arial" w:cs="Arial"/>
          <w:lang w:val="en-US"/>
        </w:rPr>
        <w:footnoteReference w:id="8"/>
      </w:r>
      <w:r w:rsidR="00197953">
        <w:rPr>
          <w:rFonts w:ascii="Arial" w:hAnsi="Arial" w:cs="Arial"/>
          <w:lang w:val="en-US"/>
        </w:rPr>
        <w:t xml:space="preserve"> where the taxpayer introduced a new ground</w:t>
      </w:r>
      <w:r w:rsidR="006806CE">
        <w:rPr>
          <w:rFonts w:ascii="Arial" w:hAnsi="Arial" w:cs="Arial"/>
          <w:lang w:val="en-US"/>
        </w:rPr>
        <w:t xml:space="preserve"> </w:t>
      </w:r>
      <w:r w:rsidR="00A063D2">
        <w:rPr>
          <w:rFonts w:ascii="Arial" w:hAnsi="Arial" w:cs="Arial"/>
          <w:lang w:val="en-US"/>
        </w:rPr>
        <w:t xml:space="preserve">in respect of </w:t>
      </w:r>
      <w:r w:rsidR="00197953" w:rsidRPr="00BD3BE2">
        <w:rPr>
          <w:rFonts w:ascii="Arial" w:hAnsi="Arial" w:cs="Arial"/>
          <w:lang w:val="en-US"/>
        </w:rPr>
        <w:t>the same disputed amount</w:t>
      </w:r>
      <w:r w:rsidR="00A063D2">
        <w:rPr>
          <w:rFonts w:ascii="Arial" w:hAnsi="Arial" w:cs="Arial"/>
          <w:lang w:val="en-US"/>
        </w:rPr>
        <w:t>,</w:t>
      </w:r>
      <w:r w:rsidR="00197953" w:rsidRPr="00BD3BE2">
        <w:rPr>
          <w:rFonts w:ascii="Arial" w:hAnsi="Arial" w:cs="Arial"/>
          <w:lang w:val="en-US"/>
        </w:rPr>
        <w:t xml:space="preserve"> wh</w:t>
      </w:r>
      <w:r w:rsidR="00A063D2">
        <w:rPr>
          <w:rFonts w:ascii="Arial" w:hAnsi="Arial" w:cs="Arial"/>
          <w:lang w:val="en-US"/>
        </w:rPr>
        <w:t>ich</w:t>
      </w:r>
      <w:r w:rsidR="00197953" w:rsidRPr="00BD3BE2">
        <w:rPr>
          <w:rFonts w:ascii="Arial" w:hAnsi="Arial" w:cs="Arial"/>
          <w:lang w:val="en-US"/>
        </w:rPr>
        <w:t xml:space="preserve"> it </w:t>
      </w:r>
      <w:r w:rsidR="00A063D2">
        <w:rPr>
          <w:rFonts w:ascii="Arial" w:hAnsi="Arial" w:cs="Arial"/>
          <w:lang w:val="en-US"/>
        </w:rPr>
        <w:t xml:space="preserve">had </w:t>
      </w:r>
      <w:r w:rsidR="00197953" w:rsidRPr="00BD3BE2">
        <w:rPr>
          <w:rFonts w:ascii="Arial" w:hAnsi="Arial" w:cs="Arial"/>
          <w:lang w:val="en-US"/>
        </w:rPr>
        <w:t>alleged was a capital receipt</w:t>
      </w:r>
      <w:r w:rsidR="00197953">
        <w:rPr>
          <w:rFonts w:ascii="Arial" w:hAnsi="Arial" w:cs="Arial"/>
          <w:lang w:val="en-US"/>
        </w:rPr>
        <w:t xml:space="preserve">. </w:t>
      </w:r>
      <w:r w:rsidR="00A063D2">
        <w:rPr>
          <w:rFonts w:ascii="Arial" w:hAnsi="Arial" w:cs="Arial"/>
          <w:lang w:val="en-US"/>
        </w:rPr>
        <w:t>W</w:t>
      </w:r>
      <w:r w:rsidR="00197953">
        <w:rPr>
          <w:rFonts w:ascii="Arial" w:hAnsi="Arial" w:cs="Arial"/>
          <w:lang w:val="en-US"/>
        </w:rPr>
        <w:t>ith re</w:t>
      </w:r>
      <w:r w:rsidR="00A063D2">
        <w:rPr>
          <w:rFonts w:ascii="Arial" w:hAnsi="Arial" w:cs="Arial"/>
          <w:lang w:val="en-US"/>
        </w:rPr>
        <w:t>ference</w:t>
      </w:r>
      <w:r w:rsidR="00197953">
        <w:rPr>
          <w:rFonts w:ascii="Arial" w:hAnsi="Arial" w:cs="Arial"/>
          <w:lang w:val="en-US"/>
        </w:rPr>
        <w:t xml:space="preserve"> to the </w:t>
      </w:r>
      <w:r w:rsidR="00197953" w:rsidRPr="00B46F29">
        <w:rPr>
          <w:rFonts w:ascii="Arial" w:hAnsi="Arial" w:cs="Arial"/>
          <w:i/>
          <w:iCs/>
          <w:lang w:val="en-US"/>
        </w:rPr>
        <w:t>Matla Coal</w:t>
      </w:r>
      <w:r w:rsidR="00197953">
        <w:rPr>
          <w:rFonts w:ascii="Arial" w:hAnsi="Arial" w:cs="Arial"/>
          <w:lang w:val="en-US"/>
        </w:rPr>
        <w:t xml:space="preserve"> case, </w:t>
      </w:r>
      <w:r w:rsidR="000606C4">
        <w:rPr>
          <w:rFonts w:ascii="Arial" w:hAnsi="Arial" w:cs="Arial"/>
          <w:lang w:val="en-US"/>
        </w:rPr>
        <w:t>the tax court</w:t>
      </w:r>
      <w:r w:rsidR="00A063D2">
        <w:rPr>
          <w:rFonts w:ascii="Arial" w:hAnsi="Arial" w:cs="Arial"/>
          <w:lang w:val="en-US"/>
        </w:rPr>
        <w:t xml:space="preserve"> pointed out that </w:t>
      </w:r>
      <w:r w:rsidR="00197953">
        <w:rPr>
          <w:rFonts w:ascii="Arial" w:hAnsi="Arial" w:cs="Arial"/>
          <w:lang w:val="en-US"/>
        </w:rPr>
        <w:t>the initial</w:t>
      </w:r>
      <w:r w:rsidR="00587C62">
        <w:rPr>
          <w:rFonts w:ascii="Arial" w:hAnsi="Arial" w:cs="Arial"/>
          <w:lang w:val="en-US"/>
        </w:rPr>
        <w:t xml:space="preserve"> ground of objection</w:t>
      </w:r>
      <w:r w:rsidR="00197953">
        <w:rPr>
          <w:rFonts w:ascii="Arial" w:hAnsi="Arial" w:cs="Arial"/>
          <w:lang w:val="en-US"/>
        </w:rPr>
        <w:t xml:space="preserve"> </w:t>
      </w:r>
      <w:r w:rsidR="00A063D2">
        <w:rPr>
          <w:rFonts w:ascii="Arial" w:hAnsi="Arial" w:cs="Arial"/>
          <w:lang w:val="en-US"/>
        </w:rPr>
        <w:t xml:space="preserve">there </w:t>
      </w:r>
      <w:r w:rsidR="00197953">
        <w:rPr>
          <w:rFonts w:ascii="Arial" w:hAnsi="Arial" w:cs="Arial"/>
          <w:lang w:val="en-US"/>
        </w:rPr>
        <w:t xml:space="preserve">was that the </w:t>
      </w:r>
      <w:r w:rsidR="000E6A35">
        <w:rPr>
          <w:rFonts w:ascii="Arial" w:hAnsi="Arial" w:cs="Arial"/>
          <w:lang w:val="en-US"/>
        </w:rPr>
        <w:t>disputed amount</w:t>
      </w:r>
      <w:r w:rsidR="00197953">
        <w:rPr>
          <w:rFonts w:ascii="Arial" w:hAnsi="Arial" w:cs="Arial"/>
          <w:lang w:val="en-US"/>
        </w:rPr>
        <w:t xml:space="preserve"> was capital</w:t>
      </w:r>
      <w:r w:rsidR="000E6A35">
        <w:rPr>
          <w:rFonts w:ascii="Arial" w:hAnsi="Arial" w:cs="Arial"/>
          <w:lang w:val="en-US"/>
        </w:rPr>
        <w:t xml:space="preserve"> in nature</w:t>
      </w:r>
      <w:r w:rsidR="00587C62">
        <w:rPr>
          <w:rFonts w:ascii="Arial" w:hAnsi="Arial" w:cs="Arial"/>
          <w:lang w:val="en-US"/>
        </w:rPr>
        <w:t>,</w:t>
      </w:r>
      <w:r w:rsidR="00197953">
        <w:rPr>
          <w:rFonts w:ascii="Arial" w:hAnsi="Arial" w:cs="Arial"/>
          <w:lang w:val="en-US"/>
        </w:rPr>
        <w:t xml:space="preserve"> as it had been received in the course of a restraint agreement. </w:t>
      </w:r>
      <w:r w:rsidR="00197953" w:rsidRPr="008A297A">
        <w:rPr>
          <w:rFonts w:ascii="Arial" w:hAnsi="Arial" w:cs="Arial"/>
          <w:lang w:val="en-US"/>
        </w:rPr>
        <w:t xml:space="preserve">The new ground </w:t>
      </w:r>
      <w:r w:rsidR="00A063D2">
        <w:rPr>
          <w:rFonts w:ascii="Arial" w:hAnsi="Arial" w:cs="Arial"/>
          <w:lang w:val="en-US"/>
        </w:rPr>
        <w:t xml:space="preserve">which was raised on appeal </w:t>
      </w:r>
      <w:r w:rsidR="00197953" w:rsidRPr="008A297A">
        <w:rPr>
          <w:rFonts w:ascii="Arial" w:hAnsi="Arial" w:cs="Arial"/>
          <w:lang w:val="en-US"/>
        </w:rPr>
        <w:t xml:space="preserve">was </w:t>
      </w:r>
      <w:r w:rsidR="00B23219" w:rsidRPr="008A297A">
        <w:rPr>
          <w:rFonts w:ascii="Arial" w:hAnsi="Arial" w:cs="Arial"/>
          <w:lang w:val="en-US"/>
        </w:rPr>
        <w:t xml:space="preserve">that </w:t>
      </w:r>
      <w:r w:rsidR="00197953" w:rsidRPr="008A297A">
        <w:rPr>
          <w:rFonts w:ascii="Arial" w:hAnsi="Arial" w:cs="Arial"/>
          <w:lang w:val="en-US"/>
        </w:rPr>
        <w:t xml:space="preserve">the </w:t>
      </w:r>
      <w:r w:rsidR="00A063D2">
        <w:rPr>
          <w:rFonts w:ascii="Arial" w:hAnsi="Arial" w:cs="Arial"/>
          <w:lang w:val="en-US"/>
        </w:rPr>
        <w:t xml:space="preserve">disputed </w:t>
      </w:r>
      <w:r w:rsidR="00197953" w:rsidRPr="008A297A">
        <w:rPr>
          <w:rFonts w:ascii="Arial" w:hAnsi="Arial" w:cs="Arial"/>
          <w:lang w:val="en-US"/>
        </w:rPr>
        <w:t>amount was</w:t>
      </w:r>
      <w:r w:rsidR="00B23219" w:rsidRPr="008A297A">
        <w:rPr>
          <w:rFonts w:ascii="Arial" w:hAnsi="Arial" w:cs="Arial"/>
          <w:lang w:val="en-US"/>
        </w:rPr>
        <w:t xml:space="preserve"> still</w:t>
      </w:r>
      <w:r w:rsidR="00197953" w:rsidRPr="008A297A">
        <w:rPr>
          <w:rFonts w:ascii="Arial" w:hAnsi="Arial" w:cs="Arial"/>
          <w:lang w:val="en-US"/>
        </w:rPr>
        <w:t xml:space="preserve"> a capital receipt</w:t>
      </w:r>
      <w:r w:rsidR="00197953">
        <w:rPr>
          <w:rFonts w:ascii="Arial" w:hAnsi="Arial" w:cs="Arial"/>
          <w:lang w:val="en-US"/>
        </w:rPr>
        <w:t>, but on the basis that it related to the sale of coal rights on capital</w:t>
      </w:r>
      <w:r w:rsidR="00B23219">
        <w:rPr>
          <w:rFonts w:ascii="Arial" w:hAnsi="Arial" w:cs="Arial"/>
          <w:lang w:val="en-US"/>
        </w:rPr>
        <w:t xml:space="preserve"> account</w:t>
      </w:r>
      <w:r w:rsidR="00197953">
        <w:rPr>
          <w:rFonts w:ascii="Arial" w:hAnsi="Arial" w:cs="Arial"/>
          <w:lang w:val="en-US"/>
        </w:rPr>
        <w:t xml:space="preserve">. </w:t>
      </w:r>
      <w:r w:rsidR="00A063D2">
        <w:rPr>
          <w:rFonts w:ascii="Arial" w:hAnsi="Arial" w:cs="Arial"/>
          <w:lang w:val="en-US"/>
        </w:rPr>
        <w:t xml:space="preserve">Thus, </w:t>
      </w:r>
      <w:r w:rsidR="00197953">
        <w:rPr>
          <w:rFonts w:ascii="Arial" w:hAnsi="Arial" w:cs="Arial"/>
          <w:lang w:val="en-US"/>
        </w:rPr>
        <w:t>in</w:t>
      </w:r>
      <w:r w:rsidR="00B46F29">
        <w:rPr>
          <w:rFonts w:ascii="Arial" w:hAnsi="Arial" w:cs="Arial"/>
          <w:lang w:val="en-US"/>
        </w:rPr>
        <w:t xml:space="preserve"> </w:t>
      </w:r>
      <w:r w:rsidR="00197953" w:rsidRPr="00B46F29">
        <w:rPr>
          <w:rFonts w:ascii="Arial" w:hAnsi="Arial" w:cs="Arial"/>
          <w:i/>
          <w:iCs/>
          <w:lang w:val="en-US"/>
        </w:rPr>
        <w:t>Matla Coal</w:t>
      </w:r>
      <w:r w:rsidR="00197953">
        <w:rPr>
          <w:rFonts w:ascii="Arial" w:hAnsi="Arial" w:cs="Arial"/>
          <w:lang w:val="en-US"/>
        </w:rPr>
        <w:t xml:space="preserve"> the new ground related to the same </w:t>
      </w:r>
      <w:r w:rsidR="00A063D2">
        <w:rPr>
          <w:rFonts w:ascii="Arial" w:hAnsi="Arial" w:cs="Arial"/>
          <w:lang w:val="en-US"/>
        </w:rPr>
        <w:t xml:space="preserve">amount which had been received </w:t>
      </w:r>
      <w:r w:rsidR="00197953">
        <w:rPr>
          <w:rFonts w:ascii="Arial" w:hAnsi="Arial" w:cs="Arial"/>
          <w:lang w:val="en-US"/>
        </w:rPr>
        <w:t xml:space="preserve">and the same treatment </w:t>
      </w:r>
      <w:r w:rsidR="00A063D2">
        <w:rPr>
          <w:rFonts w:ascii="Arial" w:hAnsi="Arial" w:cs="Arial"/>
          <w:lang w:val="en-US"/>
        </w:rPr>
        <w:t xml:space="preserve">thereof as a capital </w:t>
      </w:r>
      <w:r w:rsidR="00197953">
        <w:rPr>
          <w:rFonts w:ascii="Arial" w:hAnsi="Arial" w:cs="Arial"/>
          <w:lang w:val="en-US"/>
        </w:rPr>
        <w:t>receipt</w:t>
      </w:r>
      <w:r w:rsidR="00A063D2">
        <w:rPr>
          <w:rFonts w:ascii="Arial" w:hAnsi="Arial" w:cs="Arial"/>
          <w:lang w:val="en-US"/>
        </w:rPr>
        <w:t>, with</w:t>
      </w:r>
      <w:r w:rsidR="00197953">
        <w:rPr>
          <w:rFonts w:ascii="Arial" w:hAnsi="Arial" w:cs="Arial"/>
          <w:lang w:val="en-US"/>
        </w:rPr>
        <w:t xml:space="preserve"> the only di</w:t>
      </w:r>
      <w:r w:rsidR="00587C62">
        <w:rPr>
          <w:rFonts w:ascii="Arial" w:hAnsi="Arial" w:cs="Arial"/>
          <w:lang w:val="en-US"/>
        </w:rPr>
        <w:t>fference</w:t>
      </w:r>
      <w:r w:rsidR="00197953">
        <w:rPr>
          <w:rFonts w:ascii="Arial" w:hAnsi="Arial" w:cs="Arial"/>
          <w:lang w:val="en-US"/>
        </w:rPr>
        <w:t xml:space="preserve"> being the basis upon which the amount c</w:t>
      </w:r>
      <w:r w:rsidR="00A063D2">
        <w:rPr>
          <w:rFonts w:ascii="Arial" w:hAnsi="Arial" w:cs="Arial"/>
          <w:lang w:val="en-US"/>
        </w:rPr>
        <w:t xml:space="preserve">ould </w:t>
      </w:r>
      <w:r w:rsidR="00197953">
        <w:rPr>
          <w:rFonts w:ascii="Arial" w:hAnsi="Arial" w:cs="Arial"/>
          <w:lang w:val="en-US"/>
        </w:rPr>
        <w:t xml:space="preserve">be regarded as capital, or the manner in which capital status was to be conferred on </w:t>
      </w:r>
      <w:r w:rsidR="00A063D2">
        <w:rPr>
          <w:rFonts w:ascii="Arial" w:hAnsi="Arial" w:cs="Arial"/>
          <w:lang w:val="en-US"/>
        </w:rPr>
        <w:t>it</w:t>
      </w:r>
      <w:r w:rsidR="00197953">
        <w:rPr>
          <w:rFonts w:ascii="Arial" w:hAnsi="Arial" w:cs="Arial"/>
          <w:lang w:val="en-US"/>
        </w:rPr>
        <w:t>.</w:t>
      </w:r>
    </w:p>
    <w:p w14:paraId="3B9FE8E2" w14:textId="77777777" w:rsidR="003127DC" w:rsidRDefault="003127DC" w:rsidP="00197953">
      <w:pPr>
        <w:spacing w:line="480" w:lineRule="auto"/>
        <w:jc w:val="both"/>
        <w:rPr>
          <w:rFonts w:ascii="Arial" w:hAnsi="Arial" w:cs="Arial"/>
          <w:lang w:val="en-US"/>
        </w:rPr>
      </w:pPr>
    </w:p>
    <w:p w14:paraId="44ADB583" w14:textId="283BEBA7" w:rsidR="00EB524C" w:rsidRDefault="0023161F" w:rsidP="00197953">
      <w:pPr>
        <w:spacing w:line="480" w:lineRule="auto"/>
        <w:jc w:val="both"/>
        <w:rPr>
          <w:rFonts w:ascii="Arial" w:hAnsi="Arial" w:cs="Arial"/>
          <w:lang w:val="en-US"/>
        </w:rPr>
      </w:pPr>
      <w:r>
        <w:rPr>
          <w:rFonts w:ascii="Arial" w:hAnsi="Arial" w:cs="Arial"/>
          <w:lang w:val="en-US"/>
        </w:rPr>
        <w:t>[</w:t>
      </w:r>
      <w:r w:rsidR="000E6A35">
        <w:rPr>
          <w:rFonts w:ascii="Arial" w:hAnsi="Arial" w:cs="Arial"/>
          <w:lang w:val="en-US"/>
        </w:rPr>
        <w:t>30</w:t>
      </w:r>
      <w:r>
        <w:rPr>
          <w:rFonts w:ascii="Arial" w:hAnsi="Arial" w:cs="Arial"/>
          <w:lang w:val="en-US"/>
        </w:rPr>
        <w:t>]</w:t>
      </w:r>
      <w:r>
        <w:rPr>
          <w:rFonts w:ascii="Arial" w:hAnsi="Arial" w:cs="Arial"/>
          <w:lang w:val="en-US"/>
        </w:rPr>
        <w:tab/>
      </w:r>
      <w:r w:rsidR="00197953">
        <w:rPr>
          <w:rFonts w:ascii="Arial" w:hAnsi="Arial" w:cs="Arial"/>
          <w:lang w:val="en-US"/>
        </w:rPr>
        <w:t xml:space="preserve">The </w:t>
      </w:r>
      <w:r w:rsidR="000606C4">
        <w:rPr>
          <w:rFonts w:ascii="Arial" w:hAnsi="Arial" w:cs="Arial"/>
          <w:lang w:val="en-US"/>
        </w:rPr>
        <w:t xml:space="preserve">tax </w:t>
      </w:r>
      <w:r w:rsidR="00197953">
        <w:rPr>
          <w:rFonts w:ascii="Arial" w:hAnsi="Arial" w:cs="Arial"/>
          <w:lang w:val="en-US"/>
        </w:rPr>
        <w:t xml:space="preserve">court held </w:t>
      </w:r>
      <w:r w:rsidR="001B5A9E">
        <w:rPr>
          <w:rFonts w:ascii="Arial" w:hAnsi="Arial" w:cs="Arial"/>
          <w:lang w:val="en-US"/>
        </w:rPr>
        <w:t xml:space="preserve">that </w:t>
      </w:r>
      <w:r w:rsidR="00197953">
        <w:rPr>
          <w:rFonts w:ascii="Arial" w:hAnsi="Arial" w:cs="Arial"/>
          <w:lang w:val="en-US"/>
        </w:rPr>
        <w:t xml:space="preserve">in this </w:t>
      </w:r>
      <w:r w:rsidR="000606C4">
        <w:rPr>
          <w:rFonts w:ascii="Arial" w:hAnsi="Arial" w:cs="Arial"/>
          <w:lang w:val="en-US"/>
        </w:rPr>
        <w:t>matter</w:t>
      </w:r>
      <w:r w:rsidR="00A47BB1">
        <w:rPr>
          <w:rFonts w:ascii="Arial" w:hAnsi="Arial" w:cs="Arial"/>
          <w:lang w:val="en-US"/>
        </w:rPr>
        <w:t xml:space="preserve"> </w:t>
      </w:r>
      <w:r w:rsidR="00197953">
        <w:rPr>
          <w:rFonts w:ascii="Arial" w:hAnsi="Arial" w:cs="Arial"/>
          <w:lang w:val="en-US"/>
        </w:rPr>
        <w:t>the new ground s</w:t>
      </w:r>
      <w:r w:rsidR="009C0E3B">
        <w:rPr>
          <w:rFonts w:ascii="Arial" w:hAnsi="Arial" w:cs="Arial"/>
          <w:lang w:val="en-US"/>
        </w:rPr>
        <w:t>ought</w:t>
      </w:r>
      <w:r w:rsidR="00197953">
        <w:rPr>
          <w:rFonts w:ascii="Arial" w:hAnsi="Arial" w:cs="Arial"/>
          <w:lang w:val="en-US"/>
        </w:rPr>
        <w:t xml:space="preserve"> an alteration on appeal of </w:t>
      </w:r>
      <w:r w:rsidR="009C0E3B">
        <w:rPr>
          <w:rFonts w:ascii="Arial" w:hAnsi="Arial" w:cs="Arial"/>
          <w:lang w:val="en-US"/>
        </w:rPr>
        <w:t>a</w:t>
      </w:r>
      <w:r w:rsidR="00197953">
        <w:rPr>
          <w:rFonts w:ascii="Arial" w:hAnsi="Arial" w:cs="Arial"/>
          <w:lang w:val="en-US"/>
        </w:rPr>
        <w:t xml:space="preserve"> different </w:t>
      </w:r>
      <w:r w:rsidR="001B5A9E">
        <w:rPr>
          <w:rFonts w:ascii="Arial" w:hAnsi="Arial" w:cs="Arial"/>
          <w:lang w:val="en-US"/>
        </w:rPr>
        <w:t>part</w:t>
      </w:r>
      <w:r w:rsidR="00197953">
        <w:rPr>
          <w:rFonts w:ascii="Arial" w:hAnsi="Arial" w:cs="Arial"/>
          <w:lang w:val="en-US"/>
        </w:rPr>
        <w:t xml:space="preserve"> of the assessment</w:t>
      </w:r>
      <w:r w:rsidR="009C0E3B">
        <w:rPr>
          <w:rFonts w:ascii="Arial" w:hAnsi="Arial" w:cs="Arial"/>
          <w:lang w:val="en-US"/>
        </w:rPr>
        <w:t xml:space="preserve"> (i.e gross income)</w:t>
      </w:r>
      <w:r w:rsidR="00197953">
        <w:rPr>
          <w:rFonts w:ascii="Arial" w:hAnsi="Arial" w:cs="Arial"/>
          <w:lang w:val="en-US"/>
        </w:rPr>
        <w:t xml:space="preserve">, </w:t>
      </w:r>
      <w:r w:rsidR="00E04C99">
        <w:rPr>
          <w:rFonts w:ascii="Arial" w:hAnsi="Arial" w:cs="Arial"/>
          <w:lang w:val="en-US"/>
        </w:rPr>
        <w:t>al</w:t>
      </w:r>
      <w:r w:rsidR="00197953">
        <w:rPr>
          <w:rFonts w:ascii="Arial" w:hAnsi="Arial" w:cs="Arial"/>
          <w:lang w:val="en-US"/>
        </w:rPr>
        <w:t xml:space="preserve">though </w:t>
      </w:r>
      <w:r w:rsidR="00E04C99">
        <w:rPr>
          <w:rFonts w:ascii="Arial" w:hAnsi="Arial" w:cs="Arial"/>
          <w:lang w:val="en-US"/>
        </w:rPr>
        <w:t>the appellant</w:t>
      </w:r>
      <w:r w:rsidR="00197953">
        <w:rPr>
          <w:rFonts w:ascii="Arial" w:hAnsi="Arial" w:cs="Arial"/>
          <w:lang w:val="en-US"/>
        </w:rPr>
        <w:t xml:space="preserve"> </w:t>
      </w:r>
      <w:r w:rsidR="00B23219">
        <w:rPr>
          <w:rFonts w:ascii="Arial" w:hAnsi="Arial" w:cs="Arial"/>
          <w:lang w:val="en-US"/>
        </w:rPr>
        <w:t>relie</w:t>
      </w:r>
      <w:r w:rsidR="009C0E3B">
        <w:rPr>
          <w:rFonts w:ascii="Arial" w:hAnsi="Arial" w:cs="Arial"/>
          <w:lang w:val="en-US"/>
        </w:rPr>
        <w:t>d</w:t>
      </w:r>
      <w:r w:rsidR="00B23219">
        <w:rPr>
          <w:rFonts w:ascii="Arial" w:hAnsi="Arial" w:cs="Arial"/>
          <w:lang w:val="en-US"/>
        </w:rPr>
        <w:t xml:space="preserve"> on</w:t>
      </w:r>
      <w:r w:rsidR="00197953">
        <w:rPr>
          <w:rFonts w:ascii="Arial" w:hAnsi="Arial" w:cs="Arial"/>
          <w:lang w:val="en-US"/>
        </w:rPr>
        <w:t xml:space="preserve"> the </w:t>
      </w:r>
      <w:r w:rsidR="001B5A9E">
        <w:rPr>
          <w:rFonts w:ascii="Arial" w:hAnsi="Arial" w:cs="Arial"/>
          <w:lang w:val="en-US"/>
        </w:rPr>
        <w:t xml:space="preserve">same, </w:t>
      </w:r>
      <w:r w:rsidR="00197953">
        <w:rPr>
          <w:rFonts w:ascii="Arial" w:hAnsi="Arial" w:cs="Arial"/>
          <w:lang w:val="en-US"/>
        </w:rPr>
        <w:t>disputed amount of R</w:t>
      </w:r>
      <w:r w:rsidR="00CB79D1">
        <w:rPr>
          <w:rFonts w:ascii="Arial" w:hAnsi="Arial" w:cs="Arial"/>
          <w:lang w:val="en-US"/>
        </w:rPr>
        <w:t xml:space="preserve"> </w:t>
      </w:r>
      <w:r w:rsidR="00197953">
        <w:rPr>
          <w:rFonts w:ascii="Arial" w:hAnsi="Arial" w:cs="Arial"/>
          <w:lang w:val="en-US"/>
        </w:rPr>
        <w:t xml:space="preserve">11 million </w:t>
      </w:r>
      <w:r w:rsidR="001B5A9E">
        <w:rPr>
          <w:rFonts w:ascii="Arial" w:hAnsi="Arial" w:cs="Arial"/>
          <w:lang w:val="en-US"/>
        </w:rPr>
        <w:t xml:space="preserve">odd </w:t>
      </w:r>
      <w:r w:rsidR="00197953">
        <w:rPr>
          <w:rFonts w:ascii="Arial" w:hAnsi="Arial" w:cs="Arial"/>
          <w:lang w:val="en-US"/>
        </w:rPr>
        <w:t xml:space="preserve">as a tool to achieve such alteration. It </w:t>
      </w:r>
      <w:r w:rsidR="009C0E3B">
        <w:rPr>
          <w:rFonts w:ascii="Arial" w:hAnsi="Arial" w:cs="Arial"/>
          <w:lang w:val="en-US"/>
        </w:rPr>
        <w:t xml:space="preserve">held </w:t>
      </w:r>
      <w:r w:rsidR="00197953">
        <w:rPr>
          <w:rFonts w:ascii="Arial" w:hAnsi="Arial" w:cs="Arial"/>
          <w:lang w:val="en-US"/>
        </w:rPr>
        <w:t>that</w:t>
      </w:r>
      <w:r w:rsidR="009C0E3B">
        <w:rPr>
          <w:rFonts w:ascii="Arial" w:hAnsi="Arial" w:cs="Arial"/>
          <w:lang w:val="en-US"/>
        </w:rPr>
        <w:t>,</w:t>
      </w:r>
      <w:r w:rsidR="00197953">
        <w:rPr>
          <w:rFonts w:ascii="Arial" w:hAnsi="Arial" w:cs="Arial"/>
          <w:lang w:val="en-US"/>
        </w:rPr>
        <w:t xml:space="preserve"> having regard to the substance of the </w:t>
      </w:r>
      <w:r w:rsidR="001708BA">
        <w:rPr>
          <w:rFonts w:ascii="Arial" w:hAnsi="Arial" w:cs="Arial"/>
          <w:lang w:val="en-US"/>
        </w:rPr>
        <w:t>appellant</w:t>
      </w:r>
      <w:r w:rsidR="00A47BB1">
        <w:rPr>
          <w:rFonts w:ascii="Arial" w:hAnsi="Arial" w:cs="Arial"/>
          <w:lang w:val="en-US"/>
        </w:rPr>
        <w:t>’</w:t>
      </w:r>
      <w:r w:rsidR="00197953">
        <w:rPr>
          <w:rFonts w:ascii="Arial" w:hAnsi="Arial" w:cs="Arial"/>
          <w:lang w:val="en-US"/>
        </w:rPr>
        <w:t>s objection</w:t>
      </w:r>
      <w:r w:rsidR="009C0E3B">
        <w:rPr>
          <w:rFonts w:ascii="Arial" w:hAnsi="Arial" w:cs="Arial"/>
          <w:lang w:val="en-US"/>
        </w:rPr>
        <w:t>, it could not</w:t>
      </w:r>
      <w:r w:rsidR="00197953">
        <w:rPr>
          <w:rFonts w:ascii="Arial" w:hAnsi="Arial" w:cs="Arial"/>
          <w:lang w:val="en-US"/>
        </w:rPr>
        <w:t xml:space="preserve"> be correct that an objection to the disallowance of an </w:t>
      </w:r>
      <w:r w:rsidR="009C0E3B">
        <w:rPr>
          <w:rFonts w:ascii="Arial" w:hAnsi="Arial" w:cs="Arial"/>
          <w:lang w:val="en-US"/>
        </w:rPr>
        <w:t xml:space="preserve">amount which was claimed as an </w:t>
      </w:r>
      <w:r w:rsidR="00197953">
        <w:rPr>
          <w:rFonts w:ascii="Arial" w:hAnsi="Arial" w:cs="Arial"/>
          <w:lang w:val="en-US"/>
        </w:rPr>
        <w:t xml:space="preserve">expense </w:t>
      </w:r>
      <w:r w:rsidR="009C0E3B">
        <w:rPr>
          <w:rFonts w:ascii="Arial" w:hAnsi="Arial" w:cs="Arial"/>
          <w:lang w:val="en-US"/>
        </w:rPr>
        <w:t>(for</w:t>
      </w:r>
      <w:r w:rsidR="00197953">
        <w:rPr>
          <w:rFonts w:ascii="Arial" w:hAnsi="Arial" w:cs="Arial"/>
          <w:lang w:val="en-US"/>
        </w:rPr>
        <w:t xml:space="preserve"> failing to meet the requirements of s</w:t>
      </w:r>
      <w:r w:rsidR="009C0E3B">
        <w:rPr>
          <w:rFonts w:ascii="Arial" w:hAnsi="Arial" w:cs="Arial"/>
          <w:lang w:val="en-US"/>
        </w:rPr>
        <w:t>s</w:t>
      </w:r>
      <w:r w:rsidR="00197953">
        <w:rPr>
          <w:rFonts w:ascii="Arial" w:hAnsi="Arial" w:cs="Arial"/>
          <w:lang w:val="en-US"/>
        </w:rPr>
        <w:t xml:space="preserve"> 11(a) and 23(g) of the </w:t>
      </w:r>
      <w:r w:rsidR="009C0E3B">
        <w:rPr>
          <w:rFonts w:ascii="Arial" w:hAnsi="Arial" w:cs="Arial"/>
          <w:lang w:val="en-US"/>
        </w:rPr>
        <w:t xml:space="preserve">ITA), should be considered </w:t>
      </w:r>
      <w:r w:rsidR="00197953">
        <w:rPr>
          <w:rFonts w:ascii="Arial" w:hAnsi="Arial" w:cs="Arial"/>
          <w:lang w:val="en-US"/>
        </w:rPr>
        <w:t xml:space="preserve">equivalent to an objection against the gross </w:t>
      </w:r>
      <w:r w:rsidR="009C0E3B">
        <w:rPr>
          <w:rFonts w:ascii="Arial" w:hAnsi="Arial" w:cs="Arial"/>
          <w:lang w:val="en-US"/>
        </w:rPr>
        <w:t xml:space="preserve">income </w:t>
      </w:r>
      <w:r w:rsidR="001B5A9E">
        <w:rPr>
          <w:rFonts w:ascii="Arial" w:hAnsi="Arial" w:cs="Arial"/>
          <w:lang w:val="en-US"/>
        </w:rPr>
        <w:t>part</w:t>
      </w:r>
      <w:r w:rsidR="00197953">
        <w:rPr>
          <w:rFonts w:ascii="Arial" w:hAnsi="Arial" w:cs="Arial"/>
          <w:lang w:val="en-US"/>
        </w:rPr>
        <w:t xml:space="preserve"> of </w:t>
      </w:r>
      <w:r w:rsidR="00CB79D1">
        <w:rPr>
          <w:rFonts w:ascii="Arial" w:hAnsi="Arial" w:cs="Arial"/>
          <w:lang w:val="en-US"/>
        </w:rPr>
        <w:t>an</w:t>
      </w:r>
      <w:r w:rsidR="00197953">
        <w:rPr>
          <w:rFonts w:ascii="Arial" w:hAnsi="Arial" w:cs="Arial"/>
          <w:lang w:val="en-US"/>
        </w:rPr>
        <w:t xml:space="preserve"> assessment</w:t>
      </w:r>
      <w:r w:rsidR="00A47BB1">
        <w:rPr>
          <w:rFonts w:ascii="Arial" w:hAnsi="Arial" w:cs="Arial"/>
          <w:lang w:val="en-US"/>
        </w:rPr>
        <w:t>,</w:t>
      </w:r>
      <w:r w:rsidR="00197953">
        <w:rPr>
          <w:rFonts w:ascii="Arial" w:hAnsi="Arial" w:cs="Arial"/>
          <w:lang w:val="en-US"/>
        </w:rPr>
        <w:t xml:space="preserve"> </w:t>
      </w:r>
      <w:r w:rsidR="000E6A35">
        <w:rPr>
          <w:rFonts w:ascii="Arial" w:hAnsi="Arial" w:cs="Arial"/>
          <w:lang w:val="en-US"/>
        </w:rPr>
        <w:t xml:space="preserve">on the basis that </w:t>
      </w:r>
      <w:r w:rsidR="001B5A9E">
        <w:rPr>
          <w:rFonts w:ascii="Arial" w:hAnsi="Arial" w:cs="Arial"/>
          <w:lang w:val="en-US"/>
        </w:rPr>
        <w:t>the quantum thereof</w:t>
      </w:r>
      <w:r w:rsidR="00197953">
        <w:rPr>
          <w:rFonts w:ascii="Arial" w:hAnsi="Arial" w:cs="Arial"/>
          <w:lang w:val="en-US"/>
        </w:rPr>
        <w:t xml:space="preserve"> </w:t>
      </w:r>
      <w:r w:rsidR="009C0E3B">
        <w:rPr>
          <w:rFonts w:ascii="Arial" w:hAnsi="Arial" w:cs="Arial"/>
          <w:lang w:val="en-US"/>
        </w:rPr>
        <w:t>was similarly</w:t>
      </w:r>
      <w:r w:rsidR="00197953">
        <w:rPr>
          <w:rFonts w:ascii="Arial" w:hAnsi="Arial" w:cs="Arial"/>
          <w:lang w:val="en-US"/>
        </w:rPr>
        <w:t xml:space="preserve"> to be </w:t>
      </w:r>
      <w:r w:rsidR="00197953">
        <w:rPr>
          <w:rFonts w:ascii="Arial" w:hAnsi="Arial" w:cs="Arial"/>
          <w:lang w:val="en-US"/>
        </w:rPr>
        <w:lastRenderedPageBreak/>
        <w:t xml:space="preserve">reduced </w:t>
      </w:r>
      <w:r w:rsidR="001B5A9E">
        <w:rPr>
          <w:rFonts w:ascii="Arial" w:hAnsi="Arial" w:cs="Arial"/>
          <w:lang w:val="en-US"/>
        </w:rPr>
        <w:t xml:space="preserve">in the same, disputed amount, </w:t>
      </w:r>
      <w:r w:rsidR="000E6A35">
        <w:rPr>
          <w:rFonts w:ascii="Arial" w:hAnsi="Arial" w:cs="Arial"/>
          <w:lang w:val="en-US"/>
        </w:rPr>
        <w:t>as</w:t>
      </w:r>
      <w:r w:rsidR="00197953">
        <w:rPr>
          <w:rFonts w:ascii="Arial" w:hAnsi="Arial" w:cs="Arial"/>
          <w:lang w:val="en-US"/>
        </w:rPr>
        <w:t xml:space="preserve"> </w:t>
      </w:r>
      <w:r w:rsidR="001B5A9E">
        <w:rPr>
          <w:rFonts w:ascii="Arial" w:hAnsi="Arial" w:cs="Arial"/>
          <w:lang w:val="en-US"/>
        </w:rPr>
        <w:t xml:space="preserve">it </w:t>
      </w:r>
      <w:r w:rsidR="00197953">
        <w:rPr>
          <w:rFonts w:ascii="Arial" w:hAnsi="Arial" w:cs="Arial"/>
          <w:lang w:val="en-US"/>
        </w:rPr>
        <w:t>accrue</w:t>
      </w:r>
      <w:r w:rsidR="009C0E3B">
        <w:rPr>
          <w:rFonts w:ascii="Arial" w:hAnsi="Arial" w:cs="Arial"/>
          <w:lang w:val="en-US"/>
        </w:rPr>
        <w:t>d</w:t>
      </w:r>
      <w:r w:rsidR="00197953">
        <w:rPr>
          <w:rFonts w:ascii="Arial" w:hAnsi="Arial" w:cs="Arial"/>
          <w:lang w:val="en-US"/>
        </w:rPr>
        <w:t xml:space="preserve"> to a non-taxpayer third-party</w:t>
      </w:r>
      <w:r w:rsidR="009C0E3B">
        <w:rPr>
          <w:rFonts w:ascii="Arial" w:hAnsi="Arial" w:cs="Arial"/>
          <w:lang w:val="en-US"/>
        </w:rPr>
        <w:t>, the BECP</w:t>
      </w:r>
      <w:r w:rsidR="000E6A35">
        <w:rPr>
          <w:rFonts w:ascii="Arial" w:hAnsi="Arial" w:cs="Arial"/>
          <w:lang w:val="en-US"/>
        </w:rPr>
        <w:t xml:space="preserve"> and not the appellant</w:t>
      </w:r>
      <w:r w:rsidR="00197953">
        <w:rPr>
          <w:rFonts w:ascii="Arial" w:hAnsi="Arial" w:cs="Arial"/>
          <w:lang w:val="en-US"/>
        </w:rPr>
        <w:t>.</w:t>
      </w:r>
      <w:r>
        <w:rPr>
          <w:rFonts w:ascii="Arial" w:hAnsi="Arial" w:cs="Arial"/>
          <w:lang w:val="en-US"/>
        </w:rPr>
        <w:t xml:space="preserve"> </w:t>
      </w:r>
      <w:r w:rsidR="00197953">
        <w:rPr>
          <w:rFonts w:ascii="Arial" w:hAnsi="Arial" w:cs="Arial"/>
          <w:lang w:val="en-US"/>
        </w:rPr>
        <w:t>In the proceedings</w:t>
      </w:r>
      <w:r w:rsidR="000E6A35">
        <w:rPr>
          <w:rFonts w:ascii="Arial" w:hAnsi="Arial" w:cs="Arial"/>
          <w:lang w:val="en-US"/>
        </w:rPr>
        <w:t xml:space="preserve"> before us</w:t>
      </w:r>
      <w:r w:rsidR="00197953">
        <w:rPr>
          <w:rFonts w:ascii="Arial" w:hAnsi="Arial" w:cs="Arial"/>
          <w:lang w:val="en-US"/>
        </w:rPr>
        <w:t>, the dispute hinges on the same issue, but in relation to the interpretation thereof in terms of the new version of rule 32(3)</w:t>
      </w:r>
      <w:r w:rsidR="000E6A35">
        <w:rPr>
          <w:rFonts w:ascii="Arial" w:hAnsi="Arial" w:cs="Arial"/>
          <w:lang w:val="en-US"/>
        </w:rPr>
        <w:t>,</w:t>
      </w:r>
      <w:r w:rsidR="00197953">
        <w:rPr>
          <w:rFonts w:ascii="Arial" w:hAnsi="Arial" w:cs="Arial"/>
          <w:lang w:val="en-US"/>
        </w:rPr>
        <w:t xml:space="preserve"> </w:t>
      </w:r>
      <w:r w:rsidR="001B5A9E">
        <w:rPr>
          <w:rFonts w:ascii="Arial" w:hAnsi="Arial" w:cs="Arial"/>
          <w:lang w:val="en-US"/>
        </w:rPr>
        <w:t>which</w:t>
      </w:r>
      <w:r w:rsidR="00197953">
        <w:rPr>
          <w:rFonts w:ascii="Arial" w:hAnsi="Arial" w:cs="Arial"/>
          <w:lang w:val="en-US"/>
        </w:rPr>
        <w:t xml:space="preserve"> came into operation on 10 March 2023.</w:t>
      </w:r>
    </w:p>
    <w:p w14:paraId="54E52F8B" w14:textId="77777777" w:rsidR="006127E6" w:rsidRDefault="006127E6" w:rsidP="00197953">
      <w:pPr>
        <w:spacing w:line="480" w:lineRule="auto"/>
        <w:jc w:val="both"/>
        <w:rPr>
          <w:rFonts w:ascii="Arial" w:hAnsi="Arial" w:cs="Arial"/>
          <w:lang w:val="en-US"/>
        </w:rPr>
      </w:pPr>
    </w:p>
    <w:p w14:paraId="3A03D5CB" w14:textId="0606AE65" w:rsidR="00197953" w:rsidRPr="0023161F" w:rsidRDefault="00197953" w:rsidP="00197953">
      <w:pPr>
        <w:spacing w:line="480" w:lineRule="auto"/>
        <w:jc w:val="both"/>
        <w:rPr>
          <w:rFonts w:ascii="Arial" w:hAnsi="Arial" w:cs="Arial"/>
          <w:u w:val="single"/>
          <w:lang w:val="en-US"/>
        </w:rPr>
      </w:pPr>
      <w:r w:rsidRPr="0023161F">
        <w:rPr>
          <w:rFonts w:ascii="Arial" w:hAnsi="Arial" w:cs="Arial"/>
          <w:u w:val="single"/>
          <w:lang w:val="en-US"/>
        </w:rPr>
        <w:t>Appellant’s submissions in th</w:t>
      </w:r>
      <w:r w:rsidR="000E6A35">
        <w:rPr>
          <w:rFonts w:ascii="Arial" w:hAnsi="Arial" w:cs="Arial"/>
          <w:u w:val="single"/>
          <w:lang w:val="en-US"/>
        </w:rPr>
        <w:t>e</w:t>
      </w:r>
      <w:r w:rsidRPr="0023161F">
        <w:rPr>
          <w:rFonts w:ascii="Arial" w:hAnsi="Arial" w:cs="Arial"/>
          <w:u w:val="single"/>
          <w:lang w:val="en-US"/>
        </w:rPr>
        <w:t xml:space="preserve"> appeal:</w:t>
      </w:r>
    </w:p>
    <w:p w14:paraId="402D90EE" w14:textId="54B892CF" w:rsidR="00197953" w:rsidRDefault="0023161F" w:rsidP="00197953">
      <w:pPr>
        <w:spacing w:line="480" w:lineRule="auto"/>
        <w:jc w:val="both"/>
        <w:rPr>
          <w:rFonts w:ascii="Arial" w:hAnsi="Arial" w:cs="Arial"/>
          <w:lang w:val="en-US"/>
        </w:rPr>
      </w:pPr>
      <w:r>
        <w:rPr>
          <w:rFonts w:ascii="Arial" w:hAnsi="Arial" w:cs="Arial"/>
          <w:lang w:val="en-US"/>
        </w:rPr>
        <w:t>[</w:t>
      </w:r>
      <w:r w:rsidR="000E6A35">
        <w:rPr>
          <w:rFonts w:ascii="Arial" w:hAnsi="Arial" w:cs="Arial"/>
          <w:lang w:val="en-US"/>
        </w:rPr>
        <w:t>31</w:t>
      </w:r>
      <w:r>
        <w:rPr>
          <w:rFonts w:ascii="Arial" w:hAnsi="Arial" w:cs="Arial"/>
          <w:lang w:val="en-US"/>
        </w:rPr>
        <w:t>]</w:t>
      </w:r>
      <w:r>
        <w:rPr>
          <w:rFonts w:ascii="Arial" w:hAnsi="Arial" w:cs="Arial"/>
          <w:lang w:val="en-US"/>
        </w:rPr>
        <w:tab/>
      </w:r>
      <w:r w:rsidR="00197953">
        <w:rPr>
          <w:rFonts w:ascii="Arial" w:hAnsi="Arial" w:cs="Arial"/>
          <w:lang w:val="en-US"/>
        </w:rPr>
        <w:t>The appellant submit</w:t>
      </w:r>
      <w:r w:rsidR="007C48FD">
        <w:rPr>
          <w:rFonts w:ascii="Arial" w:hAnsi="Arial" w:cs="Arial"/>
          <w:lang w:val="en-US"/>
        </w:rPr>
        <w:t>s</w:t>
      </w:r>
      <w:r w:rsidR="00197953">
        <w:rPr>
          <w:rFonts w:ascii="Arial" w:hAnsi="Arial" w:cs="Arial"/>
          <w:lang w:val="en-US"/>
        </w:rPr>
        <w:t xml:space="preserve"> that</w:t>
      </w:r>
      <w:r w:rsidR="009C0E3B">
        <w:rPr>
          <w:rFonts w:ascii="Arial" w:hAnsi="Arial" w:cs="Arial"/>
          <w:lang w:val="en-US"/>
        </w:rPr>
        <w:t>,</w:t>
      </w:r>
      <w:r w:rsidR="00E81B67">
        <w:rPr>
          <w:rFonts w:ascii="Arial" w:hAnsi="Arial" w:cs="Arial"/>
          <w:lang w:val="en-US"/>
        </w:rPr>
        <w:t xml:space="preserve"> in</w:t>
      </w:r>
      <w:r w:rsidR="00197953">
        <w:rPr>
          <w:rFonts w:ascii="Arial" w:hAnsi="Arial" w:cs="Arial"/>
          <w:lang w:val="en-US"/>
        </w:rPr>
        <w:t xml:space="preserve"> dismissing its application</w:t>
      </w:r>
      <w:r w:rsidR="00FB669C">
        <w:rPr>
          <w:rFonts w:ascii="Arial" w:hAnsi="Arial" w:cs="Arial"/>
          <w:lang w:val="en-US"/>
        </w:rPr>
        <w:t>,</w:t>
      </w:r>
      <w:r w:rsidR="00197953">
        <w:rPr>
          <w:rFonts w:ascii="Arial" w:hAnsi="Arial" w:cs="Arial"/>
          <w:lang w:val="en-US"/>
        </w:rPr>
        <w:t xml:space="preserve"> </w:t>
      </w:r>
      <w:r w:rsidR="00FB669C">
        <w:rPr>
          <w:rFonts w:ascii="Arial" w:hAnsi="Arial" w:cs="Arial"/>
          <w:lang w:val="en-US"/>
        </w:rPr>
        <w:t xml:space="preserve">the tax court erred </w:t>
      </w:r>
      <w:r w:rsidR="00197953">
        <w:rPr>
          <w:rFonts w:ascii="Arial" w:hAnsi="Arial" w:cs="Arial"/>
          <w:lang w:val="en-US"/>
        </w:rPr>
        <w:t>on the following grounds:</w:t>
      </w:r>
    </w:p>
    <w:p w14:paraId="2F1DDF8A" w14:textId="3ADB4F38" w:rsidR="00197953" w:rsidRPr="00741C84" w:rsidRDefault="00741C84" w:rsidP="00741C84">
      <w:pPr>
        <w:spacing w:line="480" w:lineRule="auto"/>
        <w:ind w:left="720" w:hanging="360"/>
        <w:jc w:val="both"/>
        <w:rPr>
          <w:rFonts w:ascii="Arial" w:hAnsi="Arial" w:cs="Arial"/>
          <w:lang w:val="en-US"/>
        </w:rPr>
      </w:pPr>
      <w:r>
        <w:rPr>
          <w:rFonts w:ascii="Arial" w:eastAsiaTheme="minorHAnsi" w:hAnsi="Arial" w:cs="Arial"/>
          <w:lang w:val="en-US" w:eastAsia="en-US"/>
        </w:rPr>
        <w:t>a)</w:t>
      </w:r>
      <w:r>
        <w:rPr>
          <w:rFonts w:ascii="Arial" w:eastAsiaTheme="minorHAnsi" w:hAnsi="Arial" w:cs="Arial"/>
          <w:lang w:val="en-US" w:eastAsia="en-US"/>
        </w:rPr>
        <w:tab/>
      </w:r>
      <w:r w:rsidR="00EA7881" w:rsidRPr="00741C84">
        <w:rPr>
          <w:rFonts w:ascii="Arial" w:hAnsi="Arial" w:cs="Arial"/>
          <w:lang w:val="en-US"/>
        </w:rPr>
        <w:t>I</w:t>
      </w:r>
      <w:r w:rsidR="00197953" w:rsidRPr="00741C84">
        <w:rPr>
          <w:rFonts w:ascii="Arial" w:hAnsi="Arial" w:cs="Arial"/>
          <w:lang w:val="en-US"/>
        </w:rPr>
        <w:t xml:space="preserve">t interpreted the appellant’s case under rule 32(3) in an unduly technical and rigid manner in circumstances where the authorities clearly </w:t>
      </w:r>
      <w:r w:rsidR="00E04C99" w:rsidRPr="00741C84">
        <w:rPr>
          <w:rFonts w:ascii="Arial" w:hAnsi="Arial" w:cs="Arial"/>
          <w:lang w:val="en-US"/>
        </w:rPr>
        <w:t>held</w:t>
      </w:r>
      <w:r w:rsidR="00197953" w:rsidRPr="00741C84">
        <w:rPr>
          <w:rFonts w:ascii="Arial" w:hAnsi="Arial" w:cs="Arial"/>
          <w:lang w:val="en-US"/>
        </w:rPr>
        <w:t xml:space="preserve"> that this </w:t>
      </w:r>
      <w:r w:rsidR="009C0E3B" w:rsidRPr="00741C84">
        <w:rPr>
          <w:rFonts w:ascii="Arial" w:hAnsi="Arial" w:cs="Arial"/>
          <w:lang w:val="en-US"/>
        </w:rPr>
        <w:t>wa</w:t>
      </w:r>
      <w:r w:rsidR="00197953" w:rsidRPr="00741C84">
        <w:rPr>
          <w:rFonts w:ascii="Arial" w:hAnsi="Arial" w:cs="Arial"/>
          <w:lang w:val="en-US"/>
        </w:rPr>
        <w:t xml:space="preserve">s not the correct approach </w:t>
      </w:r>
      <w:r w:rsidR="00E81B67" w:rsidRPr="00741C84">
        <w:rPr>
          <w:rFonts w:ascii="Arial" w:hAnsi="Arial" w:cs="Arial"/>
          <w:lang w:val="en-US"/>
        </w:rPr>
        <w:t xml:space="preserve">and that </w:t>
      </w:r>
      <w:r w:rsidR="009C0E3B" w:rsidRPr="00741C84">
        <w:rPr>
          <w:rFonts w:ascii="Arial" w:hAnsi="Arial" w:cs="Arial"/>
          <w:lang w:val="en-US"/>
        </w:rPr>
        <w:t>a</w:t>
      </w:r>
      <w:r w:rsidR="00197953" w:rsidRPr="00741C84">
        <w:rPr>
          <w:rFonts w:ascii="Arial" w:hAnsi="Arial" w:cs="Arial"/>
          <w:lang w:val="en-US"/>
        </w:rPr>
        <w:t xml:space="preserve"> court should look at the substance </w:t>
      </w:r>
      <w:r w:rsidR="00EC2CA9" w:rsidRPr="00741C84">
        <w:rPr>
          <w:rFonts w:ascii="Arial" w:hAnsi="Arial" w:cs="Arial"/>
          <w:lang w:val="en-US"/>
        </w:rPr>
        <w:t>there</w:t>
      </w:r>
      <w:r w:rsidR="00197953" w:rsidRPr="00741C84">
        <w:rPr>
          <w:rFonts w:ascii="Arial" w:hAnsi="Arial" w:cs="Arial"/>
          <w:lang w:val="en-US"/>
        </w:rPr>
        <w:t>of</w:t>
      </w:r>
      <w:r w:rsidR="00EC2CA9" w:rsidRPr="00741C84">
        <w:rPr>
          <w:rFonts w:ascii="Arial" w:hAnsi="Arial" w:cs="Arial"/>
          <w:lang w:val="en-US"/>
        </w:rPr>
        <w:t>;</w:t>
      </w:r>
      <w:r w:rsidR="00197953" w:rsidRPr="00741C84">
        <w:rPr>
          <w:rFonts w:ascii="Arial" w:hAnsi="Arial" w:cs="Arial"/>
          <w:lang w:val="en-US"/>
        </w:rPr>
        <w:t xml:space="preserve"> </w:t>
      </w:r>
    </w:p>
    <w:p w14:paraId="28158C3F" w14:textId="22E3A0E3" w:rsidR="00197953" w:rsidRPr="00741C84" w:rsidRDefault="00741C84" w:rsidP="00741C84">
      <w:pPr>
        <w:spacing w:line="480" w:lineRule="auto"/>
        <w:ind w:left="720" w:hanging="360"/>
        <w:jc w:val="both"/>
        <w:rPr>
          <w:rFonts w:ascii="Arial" w:hAnsi="Arial" w:cs="Arial"/>
          <w:lang w:val="en-US"/>
        </w:rPr>
      </w:pPr>
      <w:r>
        <w:rPr>
          <w:rFonts w:ascii="Arial" w:eastAsiaTheme="minorHAnsi" w:hAnsi="Arial" w:cs="Arial"/>
          <w:lang w:val="en-US" w:eastAsia="en-US"/>
        </w:rPr>
        <w:t>b)</w:t>
      </w:r>
      <w:r>
        <w:rPr>
          <w:rFonts w:ascii="Arial" w:eastAsiaTheme="minorHAnsi" w:hAnsi="Arial" w:cs="Arial"/>
          <w:lang w:val="en-US" w:eastAsia="en-US"/>
        </w:rPr>
        <w:tab/>
      </w:r>
      <w:r w:rsidR="00B86940" w:rsidRPr="00741C84">
        <w:rPr>
          <w:rFonts w:ascii="Arial" w:hAnsi="Arial" w:cs="Arial"/>
          <w:lang w:val="en-US"/>
        </w:rPr>
        <w:t>As</w:t>
      </w:r>
      <w:r w:rsidR="00197953" w:rsidRPr="00741C84">
        <w:rPr>
          <w:rFonts w:ascii="Arial" w:hAnsi="Arial" w:cs="Arial"/>
          <w:lang w:val="en-US"/>
        </w:rPr>
        <w:t xml:space="preserve"> the appellant objected to a specific amount in the disputed assessment, rule 32(3) permit</w:t>
      </w:r>
      <w:r w:rsidR="00603863" w:rsidRPr="00741C84">
        <w:rPr>
          <w:rFonts w:ascii="Arial" w:hAnsi="Arial" w:cs="Arial"/>
          <w:lang w:val="en-US"/>
        </w:rPr>
        <w:t>ted</w:t>
      </w:r>
      <w:r w:rsidR="00197953" w:rsidRPr="00741C84">
        <w:rPr>
          <w:rFonts w:ascii="Arial" w:hAnsi="Arial" w:cs="Arial"/>
          <w:lang w:val="en-US"/>
        </w:rPr>
        <w:t xml:space="preserve"> it to </w:t>
      </w:r>
      <w:r w:rsidR="00603863" w:rsidRPr="00741C84">
        <w:rPr>
          <w:rFonts w:ascii="Arial" w:hAnsi="Arial" w:cs="Arial"/>
          <w:lang w:val="en-US"/>
        </w:rPr>
        <w:t>‘</w:t>
      </w:r>
      <w:r w:rsidR="00197953" w:rsidRPr="00741C84">
        <w:rPr>
          <w:rFonts w:ascii="Arial" w:hAnsi="Arial" w:cs="Arial"/>
          <w:lang w:val="en-US"/>
        </w:rPr>
        <w:t>reframe or repackage</w:t>
      </w:r>
      <w:r w:rsidR="00603863" w:rsidRPr="00741C84">
        <w:rPr>
          <w:rFonts w:ascii="Arial" w:hAnsi="Arial" w:cs="Arial"/>
          <w:lang w:val="en-US"/>
        </w:rPr>
        <w:t>’</w:t>
      </w:r>
      <w:r w:rsidR="00197953" w:rsidRPr="00741C84">
        <w:rPr>
          <w:rFonts w:ascii="Arial" w:hAnsi="Arial" w:cs="Arial"/>
          <w:lang w:val="en-US"/>
        </w:rPr>
        <w:t xml:space="preserve"> its arguments on appeal in relation to the amount</w:t>
      </w:r>
      <w:r w:rsidR="00D93B41" w:rsidRPr="00741C84">
        <w:rPr>
          <w:rFonts w:ascii="Arial" w:hAnsi="Arial" w:cs="Arial"/>
          <w:lang w:val="en-US"/>
        </w:rPr>
        <w:t xml:space="preserve">, and </w:t>
      </w:r>
      <w:r w:rsidR="00197953" w:rsidRPr="00741C84">
        <w:rPr>
          <w:rFonts w:ascii="Arial" w:hAnsi="Arial" w:cs="Arial"/>
          <w:lang w:val="en-US"/>
        </w:rPr>
        <w:t xml:space="preserve">SARS </w:t>
      </w:r>
      <w:r w:rsidR="00603863" w:rsidRPr="00741C84">
        <w:rPr>
          <w:rFonts w:ascii="Arial" w:hAnsi="Arial" w:cs="Arial"/>
          <w:lang w:val="en-US"/>
        </w:rPr>
        <w:t>wa</w:t>
      </w:r>
      <w:r w:rsidR="00197953" w:rsidRPr="00741C84">
        <w:rPr>
          <w:rFonts w:ascii="Arial" w:hAnsi="Arial" w:cs="Arial"/>
          <w:lang w:val="en-US"/>
        </w:rPr>
        <w:t xml:space="preserve">s not disadvantaged </w:t>
      </w:r>
      <w:r w:rsidR="00D93B41" w:rsidRPr="00741C84">
        <w:rPr>
          <w:rFonts w:ascii="Arial" w:hAnsi="Arial" w:cs="Arial"/>
          <w:lang w:val="en-US"/>
        </w:rPr>
        <w:t xml:space="preserve">in relation to the new ground of appeal </w:t>
      </w:r>
      <w:r w:rsidR="00197953" w:rsidRPr="00741C84">
        <w:rPr>
          <w:rFonts w:ascii="Arial" w:hAnsi="Arial" w:cs="Arial"/>
          <w:lang w:val="en-US"/>
        </w:rPr>
        <w:t xml:space="preserve">as it </w:t>
      </w:r>
      <w:r w:rsidR="00D93B41" w:rsidRPr="00741C84">
        <w:rPr>
          <w:rFonts w:ascii="Arial" w:hAnsi="Arial" w:cs="Arial"/>
          <w:lang w:val="en-US"/>
        </w:rPr>
        <w:t>had a right</w:t>
      </w:r>
      <w:r w:rsidR="00197953" w:rsidRPr="00741C84">
        <w:rPr>
          <w:rFonts w:ascii="Arial" w:hAnsi="Arial" w:cs="Arial"/>
          <w:lang w:val="en-US"/>
        </w:rPr>
        <w:t xml:space="preserve"> </w:t>
      </w:r>
      <w:r w:rsidR="00D93B41" w:rsidRPr="00741C84">
        <w:rPr>
          <w:rFonts w:ascii="Arial" w:hAnsi="Arial" w:cs="Arial"/>
          <w:lang w:val="en-US"/>
        </w:rPr>
        <w:t xml:space="preserve">to call for </w:t>
      </w:r>
      <w:r w:rsidR="00197953" w:rsidRPr="00741C84">
        <w:rPr>
          <w:rFonts w:ascii="Arial" w:hAnsi="Arial" w:cs="Arial"/>
          <w:lang w:val="en-US"/>
        </w:rPr>
        <w:t>discovery in terms of rule 3</w:t>
      </w:r>
      <w:r w:rsidR="00A66282" w:rsidRPr="00741C84">
        <w:rPr>
          <w:rFonts w:ascii="Arial" w:hAnsi="Arial" w:cs="Arial"/>
          <w:lang w:val="en-US"/>
        </w:rPr>
        <w:t>6</w:t>
      </w:r>
      <w:r w:rsidR="00D93B41" w:rsidRPr="00741C84">
        <w:rPr>
          <w:rFonts w:ascii="Arial" w:hAnsi="Arial" w:cs="Arial"/>
          <w:lang w:val="en-US"/>
        </w:rPr>
        <w:t>,</w:t>
      </w:r>
      <w:r w:rsidR="00197953" w:rsidRPr="00741C84">
        <w:rPr>
          <w:rFonts w:ascii="Arial" w:hAnsi="Arial" w:cs="Arial"/>
          <w:lang w:val="en-US"/>
        </w:rPr>
        <w:t xml:space="preserve"> and </w:t>
      </w:r>
      <w:r w:rsidR="00E81B67" w:rsidRPr="00741C84">
        <w:rPr>
          <w:rFonts w:ascii="Arial" w:hAnsi="Arial" w:cs="Arial"/>
          <w:lang w:val="en-US"/>
        </w:rPr>
        <w:t>ha</w:t>
      </w:r>
      <w:r w:rsidR="00B86940" w:rsidRPr="00741C84">
        <w:rPr>
          <w:rFonts w:ascii="Arial" w:hAnsi="Arial" w:cs="Arial"/>
          <w:lang w:val="en-US"/>
        </w:rPr>
        <w:t>d</w:t>
      </w:r>
      <w:r w:rsidR="00197953" w:rsidRPr="00741C84">
        <w:rPr>
          <w:rFonts w:ascii="Arial" w:hAnsi="Arial" w:cs="Arial"/>
          <w:lang w:val="en-US"/>
        </w:rPr>
        <w:t xml:space="preserve"> a right </w:t>
      </w:r>
      <w:r w:rsidR="00D93B41" w:rsidRPr="00741C84">
        <w:rPr>
          <w:rFonts w:ascii="Arial" w:hAnsi="Arial" w:cs="Arial"/>
          <w:lang w:val="en-US"/>
        </w:rPr>
        <w:t>to file a statement in</w:t>
      </w:r>
      <w:r w:rsidR="00197953" w:rsidRPr="00741C84">
        <w:rPr>
          <w:rFonts w:ascii="Arial" w:hAnsi="Arial" w:cs="Arial"/>
          <w:lang w:val="en-US"/>
        </w:rPr>
        <w:t xml:space="preserve"> reply</w:t>
      </w:r>
      <w:r w:rsidR="00D93B41" w:rsidRPr="00741C84">
        <w:rPr>
          <w:rFonts w:ascii="Arial" w:hAnsi="Arial" w:cs="Arial"/>
          <w:lang w:val="en-US"/>
        </w:rPr>
        <w:t>,</w:t>
      </w:r>
      <w:r w:rsidR="00197953" w:rsidRPr="00741C84">
        <w:rPr>
          <w:rFonts w:ascii="Arial" w:hAnsi="Arial" w:cs="Arial"/>
          <w:lang w:val="en-US"/>
        </w:rPr>
        <w:t xml:space="preserve"> in terms of rule 33;</w:t>
      </w:r>
    </w:p>
    <w:p w14:paraId="5DB221EE" w14:textId="33212A95" w:rsidR="00197953" w:rsidRPr="00741C84" w:rsidRDefault="00741C84" w:rsidP="00741C84">
      <w:pPr>
        <w:spacing w:line="480" w:lineRule="auto"/>
        <w:ind w:left="720" w:hanging="360"/>
        <w:jc w:val="both"/>
        <w:rPr>
          <w:rFonts w:ascii="Arial" w:hAnsi="Arial" w:cs="Arial"/>
          <w:lang w:val="en-US"/>
        </w:rPr>
      </w:pPr>
      <w:r>
        <w:rPr>
          <w:rFonts w:ascii="Arial" w:eastAsiaTheme="minorHAnsi" w:hAnsi="Arial" w:cs="Arial"/>
          <w:lang w:val="en-US" w:eastAsia="en-US"/>
        </w:rPr>
        <w:t>c)</w:t>
      </w:r>
      <w:r>
        <w:rPr>
          <w:rFonts w:ascii="Arial" w:eastAsiaTheme="minorHAnsi" w:hAnsi="Arial" w:cs="Arial"/>
          <w:lang w:val="en-US" w:eastAsia="en-US"/>
        </w:rPr>
        <w:tab/>
      </w:r>
      <w:r w:rsidR="00E81B67" w:rsidRPr="00741C84">
        <w:rPr>
          <w:rFonts w:ascii="Arial" w:hAnsi="Arial" w:cs="Arial"/>
          <w:lang w:val="en-US"/>
        </w:rPr>
        <w:t>T</w:t>
      </w:r>
      <w:r w:rsidR="00197953" w:rsidRPr="00741C84">
        <w:rPr>
          <w:rFonts w:ascii="Arial" w:hAnsi="Arial" w:cs="Arial"/>
          <w:lang w:val="en-US"/>
        </w:rPr>
        <w:t xml:space="preserve">he </w:t>
      </w:r>
      <w:r w:rsidR="00B86940" w:rsidRPr="00741C84">
        <w:rPr>
          <w:rFonts w:ascii="Arial" w:hAnsi="Arial" w:cs="Arial"/>
          <w:lang w:val="en-US"/>
        </w:rPr>
        <w:t>‘</w:t>
      </w:r>
      <w:r w:rsidR="00197953" w:rsidRPr="00741C84">
        <w:rPr>
          <w:rFonts w:ascii="Arial" w:hAnsi="Arial" w:cs="Arial"/>
          <w:lang w:val="en-US"/>
        </w:rPr>
        <w:t>amount</w:t>
      </w:r>
      <w:r w:rsidR="00B86940" w:rsidRPr="00741C84">
        <w:rPr>
          <w:rFonts w:ascii="Arial" w:hAnsi="Arial" w:cs="Arial"/>
          <w:lang w:val="en-US"/>
        </w:rPr>
        <w:t>’</w:t>
      </w:r>
      <w:r w:rsidR="00197953" w:rsidRPr="00741C84">
        <w:rPr>
          <w:rFonts w:ascii="Arial" w:hAnsi="Arial" w:cs="Arial"/>
          <w:lang w:val="en-US"/>
        </w:rPr>
        <w:t xml:space="preserve"> contemplated in rule 32(3), correctly interpreted, refer</w:t>
      </w:r>
      <w:r w:rsidR="00B86940" w:rsidRPr="00741C84">
        <w:rPr>
          <w:rFonts w:ascii="Arial" w:hAnsi="Arial" w:cs="Arial"/>
          <w:lang w:val="en-US"/>
        </w:rPr>
        <w:t>red</w:t>
      </w:r>
      <w:r w:rsidR="00197953" w:rsidRPr="00741C84">
        <w:rPr>
          <w:rFonts w:ascii="Arial" w:hAnsi="Arial" w:cs="Arial"/>
          <w:lang w:val="en-US"/>
        </w:rPr>
        <w:t xml:space="preserve"> to an actual amount </w:t>
      </w:r>
      <w:r w:rsidR="00B86940" w:rsidRPr="00741C84">
        <w:rPr>
          <w:rFonts w:ascii="Arial" w:hAnsi="Arial" w:cs="Arial"/>
          <w:lang w:val="en-US"/>
        </w:rPr>
        <w:t xml:space="preserve">as </w:t>
      </w:r>
      <w:r w:rsidR="00197953" w:rsidRPr="00741C84">
        <w:rPr>
          <w:rFonts w:ascii="Arial" w:hAnsi="Arial" w:cs="Arial"/>
          <w:lang w:val="en-US"/>
        </w:rPr>
        <w:t xml:space="preserve">stated in the disputed assessment </w:t>
      </w:r>
      <w:r w:rsidR="00E81B67" w:rsidRPr="00741C84">
        <w:rPr>
          <w:rFonts w:ascii="Arial" w:hAnsi="Arial" w:cs="Arial"/>
          <w:lang w:val="en-US"/>
        </w:rPr>
        <w:t xml:space="preserve">and not </w:t>
      </w:r>
      <w:r w:rsidR="00197953" w:rsidRPr="00741C84">
        <w:rPr>
          <w:rFonts w:ascii="Arial" w:hAnsi="Arial" w:cs="Arial"/>
          <w:lang w:val="en-US"/>
        </w:rPr>
        <w:t>an amount that require</w:t>
      </w:r>
      <w:r w:rsidR="00B86940" w:rsidRPr="00741C84">
        <w:rPr>
          <w:rFonts w:ascii="Arial" w:hAnsi="Arial" w:cs="Arial"/>
          <w:lang w:val="en-US"/>
        </w:rPr>
        <w:t>d</w:t>
      </w:r>
      <w:r w:rsidR="00197953" w:rsidRPr="00741C84">
        <w:rPr>
          <w:rFonts w:ascii="Arial" w:hAnsi="Arial" w:cs="Arial"/>
          <w:lang w:val="en-US"/>
        </w:rPr>
        <w:t xml:space="preserve"> the application of law to define</w:t>
      </w:r>
      <w:r w:rsidR="00DE2FAD" w:rsidRPr="00741C84">
        <w:rPr>
          <w:rFonts w:ascii="Arial" w:hAnsi="Arial" w:cs="Arial"/>
          <w:lang w:val="en-US"/>
        </w:rPr>
        <w:t>,</w:t>
      </w:r>
      <w:r w:rsidR="00197953" w:rsidRPr="00741C84">
        <w:rPr>
          <w:rFonts w:ascii="Arial" w:hAnsi="Arial" w:cs="Arial"/>
          <w:lang w:val="en-US"/>
        </w:rPr>
        <w:t xml:space="preserve"> in other words it </w:t>
      </w:r>
      <w:r w:rsidR="00B86940" w:rsidRPr="00741C84">
        <w:rPr>
          <w:rFonts w:ascii="Arial" w:hAnsi="Arial" w:cs="Arial"/>
          <w:lang w:val="en-US"/>
        </w:rPr>
        <w:t>was</w:t>
      </w:r>
      <w:r w:rsidR="00197953" w:rsidRPr="00741C84">
        <w:rPr>
          <w:rFonts w:ascii="Arial" w:hAnsi="Arial" w:cs="Arial"/>
          <w:lang w:val="en-US"/>
        </w:rPr>
        <w:t xml:space="preserve"> an ingredient of the general formula for the definition of </w:t>
      </w:r>
      <w:r w:rsidR="00E81B67" w:rsidRPr="00741C84">
        <w:rPr>
          <w:rFonts w:ascii="Arial" w:hAnsi="Arial" w:cs="Arial"/>
          <w:lang w:val="en-US"/>
        </w:rPr>
        <w:t>‘</w:t>
      </w:r>
      <w:r w:rsidR="00197953" w:rsidRPr="00741C84">
        <w:rPr>
          <w:rFonts w:ascii="Arial" w:hAnsi="Arial" w:cs="Arial"/>
          <w:lang w:val="en-US"/>
        </w:rPr>
        <w:t>gross income</w:t>
      </w:r>
      <w:r w:rsidR="00E81B67" w:rsidRPr="00741C84">
        <w:rPr>
          <w:rFonts w:ascii="Arial" w:hAnsi="Arial" w:cs="Arial"/>
          <w:lang w:val="en-US"/>
        </w:rPr>
        <w:t>’;</w:t>
      </w:r>
    </w:p>
    <w:p w14:paraId="15CC8786" w14:textId="15EE3990" w:rsidR="00197953" w:rsidRPr="00741C84" w:rsidRDefault="00741C84" w:rsidP="00741C84">
      <w:pPr>
        <w:spacing w:line="480" w:lineRule="auto"/>
        <w:ind w:left="720" w:hanging="360"/>
        <w:jc w:val="both"/>
        <w:rPr>
          <w:rFonts w:ascii="Arial" w:hAnsi="Arial" w:cs="Arial"/>
          <w:lang w:val="en-US"/>
        </w:rPr>
      </w:pPr>
      <w:r>
        <w:rPr>
          <w:rFonts w:ascii="Arial" w:eastAsiaTheme="minorHAnsi" w:hAnsi="Arial" w:cs="Arial"/>
          <w:lang w:val="en-US" w:eastAsia="en-US"/>
        </w:rPr>
        <w:t>d)</w:t>
      </w:r>
      <w:r>
        <w:rPr>
          <w:rFonts w:ascii="Arial" w:eastAsiaTheme="minorHAnsi" w:hAnsi="Arial" w:cs="Arial"/>
          <w:lang w:val="en-US" w:eastAsia="en-US"/>
        </w:rPr>
        <w:tab/>
      </w:r>
      <w:r w:rsidR="00197953" w:rsidRPr="00741C84">
        <w:rPr>
          <w:rFonts w:ascii="Arial" w:hAnsi="Arial" w:cs="Arial"/>
          <w:lang w:val="en-US"/>
        </w:rPr>
        <w:t>Th</w:t>
      </w:r>
      <w:r w:rsidR="00B86940" w:rsidRPr="00741C84">
        <w:rPr>
          <w:rFonts w:ascii="Arial" w:hAnsi="Arial" w:cs="Arial"/>
          <w:lang w:val="en-US"/>
        </w:rPr>
        <w:t>e</w:t>
      </w:r>
      <w:r w:rsidR="00197953" w:rsidRPr="00741C84">
        <w:rPr>
          <w:rFonts w:ascii="Arial" w:hAnsi="Arial" w:cs="Arial"/>
          <w:lang w:val="en-US"/>
        </w:rPr>
        <w:t xml:space="preserve"> tax court failed to appreciate that the provisions of rule 32(3) </w:t>
      </w:r>
      <w:r w:rsidR="00501434" w:rsidRPr="00741C84">
        <w:rPr>
          <w:rFonts w:ascii="Arial" w:hAnsi="Arial" w:cs="Arial"/>
          <w:lang w:val="en-US"/>
        </w:rPr>
        <w:t>should not be interpreted in a manner that</w:t>
      </w:r>
      <w:r w:rsidR="00197953" w:rsidRPr="00741C84">
        <w:rPr>
          <w:rFonts w:ascii="Arial" w:hAnsi="Arial" w:cs="Arial"/>
          <w:lang w:val="en-US"/>
        </w:rPr>
        <w:t xml:space="preserve"> result</w:t>
      </w:r>
      <w:r w:rsidR="00501434" w:rsidRPr="00741C84">
        <w:rPr>
          <w:rFonts w:ascii="Arial" w:hAnsi="Arial" w:cs="Arial"/>
          <w:lang w:val="en-US"/>
        </w:rPr>
        <w:t>ed</w:t>
      </w:r>
      <w:r w:rsidR="00197953" w:rsidRPr="00741C84">
        <w:rPr>
          <w:rFonts w:ascii="Arial" w:hAnsi="Arial" w:cs="Arial"/>
          <w:lang w:val="en-US"/>
        </w:rPr>
        <w:t xml:space="preserve"> in the appellant</w:t>
      </w:r>
      <w:r w:rsidR="00DE2FAD" w:rsidRPr="00741C84">
        <w:rPr>
          <w:rFonts w:ascii="Arial" w:hAnsi="Arial" w:cs="Arial"/>
          <w:lang w:val="en-US"/>
        </w:rPr>
        <w:t xml:space="preserve"> being</w:t>
      </w:r>
      <w:r w:rsidR="00197953" w:rsidRPr="00741C84">
        <w:rPr>
          <w:rFonts w:ascii="Arial" w:hAnsi="Arial" w:cs="Arial"/>
          <w:lang w:val="en-US"/>
        </w:rPr>
        <w:t xml:space="preserve"> prohibited from fully ventilating the dispute in trial proceedings </w:t>
      </w:r>
      <w:r w:rsidR="00501434" w:rsidRPr="00741C84">
        <w:rPr>
          <w:rFonts w:ascii="Arial" w:hAnsi="Arial" w:cs="Arial"/>
          <w:lang w:val="en-US"/>
        </w:rPr>
        <w:t>in</w:t>
      </w:r>
      <w:r w:rsidR="00197953" w:rsidRPr="00741C84">
        <w:rPr>
          <w:rFonts w:ascii="Arial" w:hAnsi="Arial" w:cs="Arial"/>
          <w:lang w:val="en-US"/>
        </w:rPr>
        <w:t xml:space="preserve"> the tax appeal</w:t>
      </w:r>
      <w:r w:rsidR="00501434" w:rsidRPr="00741C84">
        <w:rPr>
          <w:rFonts w:ascii="Arial" w:hAnsi="Arial" w:cs="Arial"/>
          <w:lang w:val="en-US"/>
        </w:rPr>
        <w:t>,</w:t>
      </w:r>
      <w:r w:rsidR="00197953" w:rsidRPr="00741C84">
        <w:rPr>
          <w:rFonts w:ascii="Arial" w:hAnsi="Arial" w:cs="Arial"/>
          <w:lang w:val="en-US"/>
        </w:rPr>
        <w:t xml:space="preserve"> </w:t>
      </w:r>
      <w:r w:rsidR="00DE2FAD" w:rsidRPr="00741C84">
        <w:rPr>
          <w:rFonts w:ascii="Arial" w:hAnsi="Arial" w:cs="Arial"/>
          <w:lang w:val="en-US"/>
        </w:rPr>
        <w:t>as</w:t>
      </w:r>
      <w:r w:rsidR="00197953" w:rsidRPr="00741C84">
        <w:rPr>
          <w:rFonts w:ascii="Arial" w:hAnsi="Arial" w:cs="Arial"/>
          <w:lang w:val="en-US"/>
        </w:rPr>
        <w:t xml:space="preserve"> it w</w:t>
      </w:r>
      <w:r w:rsidR="00501434" w:rsidRPr="00741C84">
        <w:rPr>
          <w:rFonts w:ascii="Arial" w:hAnsi="Arial" w:cs="Arial"/>
          <w:lang w:val="en-US"/>
        </w:rPr>
        <w:t>ould otherwise</w:t>
      </w:r>
      <w:r w:rsidR="00197953" w:rsidRPr="00741C84">
        <w:rPr>
          <w:rFonts w:ascii="Arial" w:hAnsi="Arial" w:cs="Arial"/>
          <w:lang w:val="en-US"/>
        </w:rPr>
        <w:t xml:space="preserve"> not be able to raise points which </w:t>
      </w:r>
      <w:r w:rsidR="00501434" w:rsidRPr="00741C84">
        <w:rPr>
          <w:rFonts w:ascii="Arial" w:hAnsi="Arial" w:cs="Arial"/>
          <w:lang w:val="en-US"/>
        </w:rPr>
        <w:t>we</w:t>
      </w:r>
      <w:r w:rsidR="00197953" w:rsidRPr="00741C84">
        <w:rPr>
          <w:rFonts w:ascii="Arial" w:hAnsi="Arial" w:cs="Arial"/>
          <w:lang w:val="en-US"/>
        </w:rPr>
        <w:t xml:space="preserve">re objectively available to it. In </w:t>
      </w:r>
      <w:r w:rsidR="00197953" w:rsidRPr="00741C84">
        <w:rPr>
          <w:rFonts w:ascii="Arial" w:hAnsi="Arial" w:cs="Arial"/>
          <w:lang w:val="en-US"/>
        </w:rPr>
        <w:lastRenderedPageBreak/>
        <w:t>this regard</w:t>
      </w:r>
      <w:r w:rsidR="005E1247" w:rsidRPr="00741C84">
        <w:rPr>
          <w:rFonts w:ascii="Arial" w:hAnsi="Arial" w:cs="Arial"/>
          <w:lang w:val="en-US"/>
        </w:rPr>
        <w:t>,</w:t>
      </w:r>
      <w:r w:rsidR="00197953" w:rsidRPr="00741C84">
        <w:rPr>
          <w:rFonts w:ascii="Arial" w:hAnsi="Arial" w:cs="Arial"/>
          <w:lang w:val="en-US"/>
        </w:rPr>
        <w:t xml:space="preserve"> it relie</w:t>
      </w:r>
      <w:r w:rsidR="00501434" w:rsidRPr="00741C84">
        <w:rPr>
          <w:rFonts w:ascii="Arial" w:hAnsi="Arial" w:cs="Arial"/>
          <w:lang w:val="en-US"/>
        </w:rPr>
        <w:t>d</w:t>
      </w:r>
      <w:r w:rsidR="00197953" w:rsidRPr="00741C84">
        <w:rPr>
          <w:rFonts w:ascii="Arial" w:hAnsi="Arial" w:cs="Arial"/>
          <w:lang w:val="en-US"/>
        </w:rPr>
        <w:t xml:space="preserve"> on the decision in </w:t>
      </w:r>
      <w:r w:rsidR="00197953" w:rsidRPr="00741C84">
        <w:rPr>
          <w:rFonts w:ascii="Arial" w:hAnsi="Arial" w:cs="Arial"/>
          <w:i/>
          <w:lang w:val="en-US"/>
        </w:rPr>
        <w:t>ITC 1912</w:t>
      </w:r>
      <w:r w:rsidR="004B64EB">
        <w:rPr>
          <w:rStyle w:val="FootnoteReference"/>
          <w:rFonts w:ascii="Arial" w:hAnsi="Arial" w:cs="Arial"/>
          <w:i/>
          <w:lang w:val="en-US"/>
        </w:rPr>
        <w:footnoteReference w:id="9"/>
      </w:r>
      <w:r w:rsidR="00197953" w:rsidRPr="00741C84">
        <w:rPr>
          <w:rFonts w:ascii="Arial" w:hAnsi="Arial" w:cs="Arial"/>
          <w:lang w:val="en-US"/>
        </w:rPr>
        <w:t xml:space="preserve"> </w:t>
      </w:r>
      <w:r w:rsidR="00501434" w:rsidRPr="00741C84">
        <w:rPr>
          <w:rFonts w:ascii="Arial" w:hAnsi="Arial" w:cs="Arial"/>
          <w:lang w:val="en-US"/>
        </w:rPr>
        <w:t>and</w:t>
      </w:r>
      <w:r w:rsidR="00197953" w:rsidRPr="00741C84">
        <w:rPr>
          <w:rFonts w:ascii="Arial" w:hAnsi="Arial" w:cs="Arial"/>
          <w:lang w:val="en-US"/>
        </w:rPr>
        <w:t xml:space="preserve"> </w:t>
      </w:r>
      <w:r w:rsidR="005B426A" w:rsidRPr="00741C84">
        <w:rPr>
          <w:rFonts w:ascii="Arial" w:hAnsi="Arial" w:cs="Arial"/>
          <w:lang w:val="en-US"/>
        </w:rPr>
        <w:t>i</w:t>
      </w:r>
      <w:r w:rsidR="00197953" w:rsidRPr="00741C84">
        <w:rPr>
          <w:rFonts w:ascii="Arial" w:hAnsi="Arial" w:cs="Arial"/>
          <w:lang w:val="en-US"/>
        </w:rPr>
        <w:t xml:space="preserve">ts constitutional right </w:t>
      </w:r>
      <w:r w:rsidR="00501434" w:rsidRPr="00741C84">
        <w:rPr>
          <w:rFonts w:ascii="Arial" w:hAnsi="Arial" w:cs="Arial"/>
          <w:lang w:val="en-US"/>
        </w:rPr>
        <w:t>of</w:t>
      </w:r>
      <w:r w:rsidR="00197953" w:rsidRPr="00741C84">
        <w:rPr>
          <w:rFonts w:ascii="Arial" w:hAnsi="Arial" w:cs="Arial"/>
          <w:lang w:val="en-US"/>
        </w:rPr>
        <w:t xml:space="preserve"> access to court</w:t>
      </w:r>
      <w:r w:rsidR="005B426A" w:rsidRPr="00741C84">
        <w:rPr>
          <w:rFonts w:ascii="Arial" w:hAnsi="Arial" w:cs="Arial"/>
          <w:lang w:val="en-US"/>
        </w:rPr>
        <w:t>,</w:t>
      </w:r>
      <w:r w:rsidR="005B426A">
        <w:rPr>
          <w:rStyle w:val="FootnoteReference"/>
          <w:rFonts w:ascii="Arial" w:hAnsi="Arial" w:cs="Arial"/>
          <w:lang w:val="en-US"/>
        </w:rPr>
        <w:footnoteReference w:id="10"/>
      </w:r>
      <w:r w:rsidR="00197953" w:rsidRPr="00741C84">
        <w:rPr>
          <w:rFonts w:ascii="Arial" w:hAnsi="Arial" w:cs="Arial"/>
          <w:lang w:val="en-US"/>
        </w:rPr>
        <w:t xml:space="preserve"> which guarantees a fair hearing</w:t>
      </w:r>
      <w:r w:rsidR="00501434" w:rsidRPr="00741C84">
        <w:rPr>
          <w:rFonts w:ascii="Arial" w:hAnsi="Arial" w:cs="Arial"/>
          <w:lang w:val="en-US"/>
        </w:rPr>
        <w:t>,</w:t>
      </w:r>
      <w:r w:rsidR="004B64EB" w:rsidRPr="00741C84">
        <w:rPr>
          <w:rFonts w:ascii="Arial" w:hAnsi="Arial" w:cs="Arial"/>
          <w:lang w:val="en-US"/>
        </w:rPr>
        <w:t xml:space="preserve"> an</w:t>
      </w:r>
      <w:r w:rsidR="00197953" w:rsidRPr="00741C84">
        <w:rPr>
          <w:rFonts w:ascii="Arial" w:hAnsi="Arial" w:cs="Arial"/>
          <w:lang w:val="en-US"/>
        </w:rPr>
        <w:t>d th</w:t>
      </w:r>
      <w:r w:rsidR="00501434" w:rsidRPr="00741C84">
        <w:rPr>
          <w:rFonts w:ascii="Arial" w:hAnsi="Arial" w:cs="Arial"/>
          <w:lang w:val="en-US"/>
        </w:rPr>
        <w:t>e requirement that</w:t>
      </w:r>
      <w:r w:rsidR="00197953" w:rsidRPr="00741C84">
        <w:rPr>
          <w:rFonts w:ascii="Arial" w:hAnsi="Arial" w:cs="Arial"/>
          <w:lang w:val="en-US"/>
        </w:rPr>
        <w:t xml:space="preserve"> legislation should be interpreted in a constitutionally compliant manner</w:t>
      </w:r>
      <w:r w:rsidR="00501434" w:rsidRPr="00741C84">
        <w:rPr>
          <w:rFonts w:ascii="Arial" w:hAnsi="Arial" w:cs="Arial"/>
          <w:lang w:val="en-US"/>
        </w:rPr>
        <w:t>,</w:t>
      </w:r>
      <w:r w:rsidR="00197953" w:rsidRPr="00741C84">
        <w:rPr>
          <w:rFonts w:ascii="Arial" w:hAnsi="Arial" w:cs="Arial"/>
          <w:lang w:val="en-US"/>
        </w:rPr>
        <w:t xml:space="preserve"> through the prism of the Bill of Rights.</w:t>
      </w:r>
    </w:p>
    <w:p w14:paraId="7090DC75" w14:textId="77777777" w:rsidR="005E1247" w:rsidRDefault="005E1247" w:rsidP="00197953">
      <w:pPr>
        <w:spacing w:line="480" w:lineRule="auto"/>
        <w:jc w:val="both"/>
        <w:rPr>
          <w:rFonts w:ascii="Arial" w:hAnsi="Arial" w:cs="Arial"/>
          <w:lang w:val="en-US"/>
        </w:rPr>
      </w:pPr>
    </w:p>
    <w:p w14:paraId="4864EAEF" w14:textId="3E200089" w:rsidR="00197953" w:rsidRDefault="005E1247" w:rsidP="00197953">
      <w:pPr>
        <w:spacing w:line="480" w:lineRule="auto"/>
        <w:jc w:val="both"/>
        <w:rPr>
          <w:rFonts w:ascii="Arial" w:hAnsi="Arial" w:cs="Arial"/>
          <w:lang w:val="en-US"/>
        </w:rPr>
      </w:pPr>
      <w:r>
        <w:rPr>
          <w:rFonts w:ascii="Arial" w:hAnsi="Arial" w:cs="Arial"/>
          <w:lang w:val="en-US"/>
        </w:rPr>
        <w:t>[</w:t>
      </w:r>
      <w:r w:rsidR="00640CDF">
        <w:rPr>
          <w:rFonts w:ascii="Arial" w:hAnsi="Arial" w:cs="Arial"/>
          <w:lang w:val="en-US"/>
        </w:rPr>
        <w:t>3</w:t>
      </w:r>
      <w:r>
        <w:rPr>
          <w:rFonts w:ascii="Arial" w:hAnsi="Arial" w:cs="Arial"/>
          <w:lang w:val="en-US"/>
        </w:rPr>
        <w:t>2]</w:t>
      </w:r>
      <w:r>
        <w:rPr>
          <w:rFonts w:ascii="Arial" w:hAnsi="Arial" w:cs="Arial"/>
          <w:lang w:val="en-US"/>
        </w:rPr>
        <w:tab/>
      </w:r>
      <w:r w:rsidR="00197953">
        <w:rPr>
          <w:rFonts w:ascii="Arial" w:hAnsi="Arial" w:cs="Arial"/>
          <w:lang w:val="en-US"/>
        </w:rPr>
        <w:t xml:space="preserve">The appellant </w:t>
      </w:r>
      <w:r w:rsidR="00640CDF">
        <w:rPr>
          <w:rFonts w:ascii="Arial" w:hAnsi="Arial" w:cs="Arial"/>
          <w:lang w:val="en-US"/>
        </w:rPr>
        <w:t>admitted</w:t>
      </w:r>
      <w:r w:rsidR="00197953">
        <w:rPr>
          <w:rFonts w:ascii="Arial" w:hAnsi="Arial" w:cs="Arial"/>
          <w:lang w:val="en-US"/>
        </w:rPr>
        <w:t xml:space="preserve"> that the ground of appeal </w:t>
      </w:r>
      <w:r w:rsidR="00640CDF">
        <w:rPr>
          <w:rFonts w:ascii="Arial" w:hAnsi="Arial" w:cs="Arial"/>
          <w:lang w:val="en-US"/>
        </w:rPr>
        <w:t>which is in contention wa</w:t>
      </w:r>
      <w:r w:rsidR="00197953">
        <w:rPr>
          <w:rFonts w:ascii="Arial" w:hAnsi="Arial" w:cs="Arial"/>
          <w:lang w:val="en-US"/>
        </w:rPr>
        <w:t xml:space="preserve">s </w:t>
      </w:r>
      <w:r w:rsidR="004B64EB">
        <w:rPr>
          <w:rFonts w:ascii="Arial" w:hAnsi="Arial" w:cs="Arial"/>
          <w:lang w:val="en-US"/>
        </w:rPr>
        <w:t>‘</w:t>
      </w:r>
      <w:r w:rsidR="00197953">
        <w:rPr>
          <w:rFonts w:ascii="Arial" w:hAnsi="Arial" w:cs="Arial"/>
          <w:lang w:val="en-US"/>
        </w:rPr>
        <w:t>new</w:t>
      </w:r>
      <w:r w:rsidR="004B64EB">
        <w:rPr>
          <w:rFonts w:ascii="Arial" w:hAnsi="Arial" w:cs="Arial"/>
          <w:lang w:val="en-US"/>
        </w:rPr>
        <w:t>’</w:t>
      </w:r>
      <w:r w:rsidR="00197953">
        <w:rPr>
          <w:rFonts w:ascii="Arial" w:hAnsi="Arial" w:cs="Arial"/>
          <w:lang w:val="en-US"/>
        </w:rPr>
        <w:t xml:space="preserve"> in the sense that </w:t>
      </w:r>
      <w:r w:rsidR="00640CDF">
        <w:rPr>
          <w:rFonts w:ascii="Arial" w:hAnsi="Arial" w:cs="Arial"/>
          <w:lang w:val="en-US"/>
        </w:rPr>
        <w:t>it</w:t>
      </w:r>
      <w:r w:rsidR="00197953">
        <w:rPr>
          <w:rFonts w:ascii="Arial" w:hAnsi="Arial" w:cs="Arial"/>
          <w:lang w:val="en-US"/>
        </w:rPr>
        <w:t xml:space="preserve"> had not previously relied on it in its objection to the disputed assessment.</w:t>
      </w:r>
      <w:r>
        <w:rPr>
          <w:rFonts w:ascii="Arial" w:hAnsi="Arial" w:cs="Arial"/>
          <w:lang w:val="en-US"/>
        </w:rPr>
        <w:t xml:space="preserve"> </w:t>
      </w:r>
      <w:r w:rsidR="00CF2FCF">
        <w:rPr>
          <w:rFonts w:ascii="Arial" w:hAnsi="Arial" w:cs="Arial"/>
          <w:lang w:val="en-US"/>
        </w:rPr>
        <w:t>I</w:t>
      </w:r>
      <w:r w:rsidR="00197953">
        <w:rPr>
          <w:rFonts w:ascii="Arial" w:hAnsi="Arial" w:cs="Arial"/>
          <w:lang w:val="en-US"/>
        </w:rPr>
        <w:t>t submit</w:t>
      </w:r>
      <w:r w:rsidR="00640CDF">
        <w:rPr>
          <w:rFonts w:ascii="Arial" w:hAnsi="Arial" w:cs="Arial"/>
          <w:lang w:val="en-US"/>
        </w:rPr>
        <w:t>ted</w:t>
      </w:r>
      <w:r w:rsidR="00197953">
        <w:rPr>
          <w:rFonts w:ascii="Arial" w:hAnsi="Arial" w:cs="Arial"/>
          <w:lang w:val="en-US"/>
        </w:rPr>
        <w:t xml:space="preserve"> that </w:t>
      </w:r>
      <w:r w:rsidR="00CF2FCF">
        <w:rPr>
          <w:rFonts w:ascii="Arial" w:hAnsi="Arial" w:cs="Arial"/>
          <w:lang w:val="en-US"/>
        </w:rPr>
        <w:t>even though</w:t>
      </w:r>
      <w:r w:rsidR="00197953">
        <w:rPr>
          <w:rFonts w:ascii="Arial" w:hAnsi="Arial" w:cs="Arial"/>
          <w:lang w:val="en-US"/>
        </w:rPr>
        <w:t xml:space="preserve"> the rules were amended </w:t>
      </w:r>
      <w:r w:rsidR="004B64EB">
        <w:rPr>
          <w:rFonts w:ascii="Arial" w:hAnsi="Arial" w:cs="Arial"/>
          <w:lang w:val="en-US"/>
        </w:rPr>
        <w:t xml:space="preserve">on </w:t>
      </w:r>
      <w:r w:rsidR="00197953">
        <w:rPr>
          <w:rFonts w:ascii="Arial" w:hAnsi="Arial" w:cs="Arial"/>
          <w:lang w:val="en-US"/>
        </w:rPr>
        <w:t>10 March 20</w:t>
      </w:r>
      <w:r w:rsidR="00F00F78">
        <w:rPr>
          <w:rFonts w:ascii="Arial" w:hAnsi="Arial" w:cs="Arial"/>
          <w:lang w:val="en-US"/>
        </w:rPr>
        <w:t>2</w:t>
      </w:r>
      <w:r w:rsidR="00197953">
        <w:rPr>
          <w:rFonts w:ascii="Arial" w:hAnsi="Arial" w:cs="Arial"/>
          <w:lang w:val="en-US"/>
        </w:rPr>
        <w:t xml:space="preserve">3, after the </w:t>
      </w:r>
      <w:r w:rsidR="00640CDF">
        <w:rPr>
          <w:rFonts w:ascii="Arial" w:hAnsi="Arial" w:cs="Arial"/>
          <w:lang w:val="en-US"/>
        </w:rPr>
        <w:t>t</w:t>
      </w:r>
      <w:r w:rsidR="00197953">
        <w:rPr>
          <w:rFonts w:ascii="Arial" w:hAnsi="Arial" w:cs="Arial"/>
          <w:lang w:val="en-US"/>
        </w:rPr>
        <w:t>ax court handed down judgment on 29 November 20</w:t>
      </w:r>
      <w:r w:rsidR="004B64EB">
        <w:rPr>
          <w:rFonts w:ascii="Arial" w:hAnsi="Arial" w:cs="Arial"/>
          <w:lang w:val="en-US"/>
        </w:rPr>
        <w:t>2</w:t>
      </w:r>
      <w:r w:rsidR="00197953">
        <w:rPr>
          <w:rFonts w:ascii="Arial" w:hAnsi="Arial" w:cs="Arial"/>
          <w:lang w:val="en-US"/>
        </w:rPr>
        <w:t xml:space="preserve">2, </w:t>
      </w:r>
      <w:r w:rsidR="00640CDF">
        <w:rPr>
          <w:rFonts w:ascii="Arial" w:hAnsi="Arial" w:cs="Arial"/>
          <w:lang w:val="en-US"/>
        </w:rPr>
        <w:t>the</w:t>
      </w:r>
      <w:r w:rsidR="00197953">
        <w:rPr>
          <w:rFonts w:ascii="Arial" w:hAnsi="Arial" w:cs="Arial"/>
          <w:lang w:val="en-US"/>
        </w:rPr>
        <w:t xml:space="preserve"> appeal f</w:t>
      </w:r>
      <w:r w:rsidR="00640CDF">
        <w:rPr>
          <w:rFonts w:ascii="Arial" w:hAnsi="Arial" w:cs="Arial"/>
          <w:lang w:val="en-US"/>
        </w:rPr>
        <w:t>ell</w:t>
      </w:r>
      <w:r w:rsidR="00197953">
        <w:rPr>
          <w:rFonts w:ascii="Arial" w:hAnsi="Arial" w:cs="Arial"/>
          <w:lang w:val="en-US"/>
        </w:rPr>
        <w:t xml:space="preserve"> to be determined in terms of the provisions of the new </w:t>
      </w:r>
      <w:r w:rsidR="00640CDF">
        <w:rPr>
          <w:rFonts w:ascii="Arial" w:hAnsi="Arial" w:cs="Arial"/>
          <w:lang w:val="en-US"/>
        </w:rPr>
        <w:t xml:space="preserve">subrule i.e. the </w:t>
      </w:r>
      <w:r w:rsidR="00197953">
        <w:rPr>
          <w:rFonts w:ascii="Arial" w:hAnsi="Arial" w:cs="Arial"/>
          <w:lang w:val="en-US"/>
        </w:rPr>
        <w:t>amendment to rule 32</w:t>
      </w:r>
      <w:r w:rsidR="00640CDF">
        <w:rPr>
          <w:rFonts w:ascii="Arial" w:hAnsi="Arial" w:cs="Arial"/>
          <w:lang w:val="en-US"/>
        </w:rPr>
        <w:t>(3),</w:t>
      </w:r>
      <w:r w:rsidR="00197953">
        <w:rPr>
          <w:rFonts w:ascii="Arial" w:hAnsi="Arial" w:cs="Arial"/>
          <w:lang w:val="en-US"/>
        </w:rPr>
        <w:t xml:space="preserve"> in terms of the provisions of </w:t>
      </w:r>
      <w:r w:rsidR="00640CDF">
        <w:rPr>
          <w:rFonts w:ascii="Arial" w:hAnsi="Arial" w:cs="Arial"/>
          <w:lang w:val="en-US"/>
        </w:rPr>
        <w:t>r</w:t>
      </w:r>
      <w:r w:rsidR="00197953">
        <w:rPr>
          <w:rFonts w:ascii="Arial" w:hAnsi="Arial" w:cs="Arial"/>
          <w:lang w:val="en-US"/>
        </w:rPr>
        <w:t>ule 66(2)</w:t>
      </w:r>
      <w:r w:rsidR="00640CDF">
        <w:rPr>
          <w:rFonts w:ascii="Arial" w:hAnsi="Arial" w:cs="Arial"/>
          <w:lang w:val="en-US"/>
        </w:rPr>
        <w:t>,</w:t>
      </w:r>
      <w:r w:rsidR="00197953">
        <w:rPr>
          <w:rFonts w:ascii="Arial" w:hAnsi="Arial" w:cs="Arial"/>
          <w:lang w:val="en-US"/>
        </w:rPr>
        <w:t xml:space="preserve"> as previously </w:t>
      </w:r>
      <w:r w:rsidR="00CF2FCF">
        <w:rPr>
          <w:rFonts w:ascii="Arial" w:hAnsi="Arial" w:cs="Arial"/>
          <w:lang w:val="en-US"/>
        </w:rPr>
        <w:t>alluded</w:t>
      </w:r>
      <w:r w:rsidR="00197953">
        <w:rPr>
          <w:rFonts w:ascii="Arial" w:hAnsi="Arial" w:cs="Arial"/>
          <w:lang w:val="en-US"/>
        </w:rPr>
        <w:t xml:space="preserve"> to. The appellant submit</w:t>
      </w:r>
      <w:r w:rsidR="00640CDF">
        <w:rPr>
          <w:rFonts w:ascii="Arial" w:hAnsi="Arial" w:cs="Arial"/>
          <w:lang w:val="en-US"/>
        </w:rPr>
        <w:t>ted</w:t>
      </w:r>
      <w:r w:rsidR="00197953">
        <w:rPr>
          <w:rFonts w:ascii="Arial" w:hAnsi="Arial" w:cs="Arial"/>
          <w:lang w:val="en-US"/>
        </w:rPr>
        <w:t xml:space="preserve"> that even under the previous </w:t>
      </w:r>
      <w:r w:rsidR="00EC2CA9">
        <w:rPr>
          <w:rFonts w:ascii="Arial" w:hAnsi="Arial" w:cs="Arial"/>
          <w:lang w:val="en-US"/>
        </w:rPr>
        <w:t>iteration of sub</w:t>
      </w:r>
      <w:r w:rsidR="00197953">
        <w:rPr>
          <w:rFonts w:ascii="Arial" w:hAnsi="Arial" w:cs="Arial"/>
          <w:lang w:val="en-US"/>
        </w:rPr>
        <w:t>rule</w:t>
      </w:r>
      <w:r w:rsidR="00EC2CA9">
        <w:rPr>
          <w:rFonts w:ascii="Arial" w:hAnsi="Arial" w:cs="Arial"/>
          <w:lang w:val="en-US"/>
        </w:rPr>
        <w:t xml:space="preserve"> 32(3)</w:t>
      </w:r>
      <w:r w:rsidR="00197953">
        <w:rPr>
          <w:rFonts w:ascii="Arial" w:hAnsi="Arial" w:cs="Arial"/>
          <w:lang w:val="en-US"/>
        </w:rPr>
        <w:t xml:space="preserve"> the </w:t>
      </w:r>
      <w:r w:rsidR="00640CDF">
        <w:rPr>
          <w:rFonts w:ascii="Arial" w:hAnsi="Arial" w:cs="Arial"/>
          <w:lang w:val="en-US"/>
        </w:rPr>
        <w:t>‘</w:t>
      </w:r>
      <w:r w:rsidR="00197953">
        <w:rPr>
          <w:rFonts w:ascii="Arial" w:hAnsi="Arial" w:cs="Arial"/>
          <w:lang w:val="en-US"/>
        </w:rPr>
        <w:t>new</w:t>
      </w:r>
      <w:r w:rsidR="00640CDF">
        <w:rPr>
          <w:rFonts w:ascii="Arial" w:hAnsi="Arial" w:cs="Arial"/>
          <w:lang w:val="en-US"/>
        </w:rPr>
        <w:t>’</w:t>
      </w:r>
      <w:r w:rsidR="00197953">
        <w:rPr>
          <w:rFonts w:ascii="Arial" w:hAnsi="Arial" w:cs="Arial"/>
          <w:lang w:val="en-US"/>
        </w:rPr>
        <w:t xml:space="preserve"> ground of appeal </w:t>
      </w:r>
      <w:r w:rsidR="00640CDF">
        <w:rPr>
          <w:rFonts w:ascii="Arial" w:hAnsi="Arial" w:cs="Arial"/>
          <w:lang w:val="en-US"/>
        </w:rPr>
        <w:t>w</w:t>
      </w:r>
      <w:r w:rsidR="00197953">
        <w:rPr>
          <w:rFonts w:ascii="Arial" w:hAnsi="Arial" w:cs="Arial"/>
          <w:lang w:val="en-US"/>
        </w:rPr>
        <w:t>ould have been permitted.</w:t>
      </w:r>
    </w:p>
    <w:p w14:paraId="4CF1FD30" w14:textId="77777777" w:rsidR="005E1247" w:rsidRDefault="005E1247" w:rsidP="00197953">
      <w:pPr>
        <w:spacing w:line="480" w:lineRule="auto"/>
        <w:jc w:val="both"/>
        <w:rPr>
          <w:rFonts w:ascii="Arial" w:hAnsi="Arial" w:cs="Arial"/>
          <w:lang w:val="en-US"/>
        </w:rPr>
      </w:pPr>
    </w:p>
    <w:p w14:paraId="66958595" w14:textId="6B683EE7" w:rsidR="00197953" w:rsidRDefault="00F355E8" w:rsidP="00197953">
      <w:pPr>
        <w:spacing w:line="480" w:lineRule="auto"/>
        <w:jc w:val="both"/>
        <w:rPr>
          <w:rFonts w:ascii="Arial" w:hAnsi="Arial" w:cs="Arial"/>
          <w:lang w:val="en-US"/>
        </w:rPr>
      </w:pPr>
      <w:r>
        <w:rPr>
          <w:rFonts w:ascii="Arial" w:hAnsi="Arial" w:cs="Arial"/>
          <w:lang w:val="en-US"/>
        </w:rPr>
        <w:t>[</w:t>
      </w:r>
      <w:r w:rsidR="0057380C">
        <w:rPr>
          <w:rFonts w:ascii="Arial" w:hAnsi="Arial" w:cs="Arial"/>
          <w:lang w:val="en-US"/>
        </w:rPr>
        <w:t>33</w:t>
      </w:r>
      <w:r>
        <w:rPr>
          <w:rFonts w:ascii="Arial" w:hAnsi="Arial" w:cs="Arial"/>
          <w:lang w:val="en-US"/>
        </w:rPr>
        <w:t>]</w:t>
      </w:r>
      <w:r>
        <w:rPr>
          <w:rFonts w:ascii="Arial" w:hAnsi="Arial" w:cs="Arial"/>
          <w:lang w:val="en-US"/>
        </w:rPr>
        <w:tab/>
      </w:r>
      <w:r w:rsidR="00197953">
        <w:rPr>
          <w:rFonts w:ascii="Arial" w:hAnsi="Arial" w:cs="Arial"/>
          <w:lang w:val="en-US"/>
        </w:rPr>
        <w:t xml:space="preserve">According to the appellant the new </w:t>
      </w:r>
      <w:r w:rsidR="00CF2FCF">
        <w:rPr>
          <w:rFonts w:ascii="Arial" w:hAnsi="Arial" w:cs="Arial"/>
          <w:lang w:val="en-US"/>
        </w:rPr>
        <w:t>sub</w:t>
      </w:r>
      <w:r w:rsidR="004B64EB">
        <w:rPr>
          <w:rFonts w:ascii="Arial" w:hAnsi="Arial" w:cs="Arial"/>
          <w:lang w:val="en-US"/>
        </w:rPr>
        <w:t>r</w:t>
      </w:r>
      <w:r w:rsidR="00197953">
        <w:rPr>
          <w:rFonts w:ascii="Arial" w:hAnsi="Arial" w:cs="Arial"/>
          <w:lang w:val="en-US"/>
        </w:rPr>
        <w:t>ule</w:t>
      </w:r>
      <w:r w:rsidR="00F74A1D">
        <w:rPr>
          <w:rFonts w:ascii="Arial" w:hAnsi="Arial" w:cs="Arial"/>
          <w:lang w:val="en-US"/>
        </w:rPr>
        <w:t xml:space="preserve"> </w:t>
      </w:r>
      <w:r w:rsidR="00EC2B4A">
        <w:rPr>
          <w:rFonts w:ascii="Arial" w:hAnsi="Arial" w:cs="Arial"/>
          <w:lang w:val="en-US"/>
        </w:rPr>
        <w:t>i</w:t>
      </w:r>
      <w:r w:rsidR="00F74A1D">
        <w:rPr>
          <w:rFonts w:ascii="Arial" w:hAnsi="Arial" w:cs="Arial"/>
          <w:lang w:val="en-US"/>
        </w:rPr>
        <w:t>s</w:t>
      </w:r>
      <w:r w:rsidR="00197953">
        <w:rPr>
          <w:rFonts w:ascii="Arial" w:hAnsi="Arial" w:cs="Arial"/>
          <w:lang w:val="en-US"/>
        </w:rPr>
        <w:t xml:space="preserve"> more explicit in permitting taxpayers to include new grounds of appeal in their </w:t>
      </w:r>
      <w:r w:rsidR="004B64EB">
        <w:rPr>
          <w:rFonts w:ascii="Arial" w:hAnsi="Arial" w:cs="Arial"/>
          <w:lang w:val="en-US"/>
        </w:rPr>
        <w:t>r</w:t>
      </w:r>
      <w:r w:rsidR="00197953">
        <w:rPr>
          <w:rFonts w:ascii="Arial" w:hAnsi="Arial" w:cs="Arial"/>
          <w:lang w:val="en-US"/>
        </w:rPr>
        <w:t>ule 32 statements</w:t>
      </w:r>
      <w:r w:rsidR="00EC2CA9">
        <w:rPr>
          <w:rFonts w:ascii="Arial" w:hAnsi="Arial" w:cs="Arial"/>
          <w:lang w:val="en-US"/>
        </w:rPr>
        <w:t>,</w:t>
      </w:r>
      <w:r w:rsidR="00197953">
        <w:rPr>
          <w:rFonts w:ascii="Arial" w:hAnsi="Arial" w:cs="Arial"/>
          <w:lang w:val="en-US"/>
        </w:rPr>
        <w:t xml:space="preserve"> </w:t>
      </w:r>
      <w:r>
        <w:rPr>
          <w:rFonts w:ascii="Arial" w:hAnsi="Arial" w:cs="Arial"/>
          <w:lang w:val="en-US"/>
        </w:rPr>
        <w:t xml:space="preserve">than </w:t>
      </w:r>
      <w:r w:rsidR="00F74A1D">
        <w:rPr>
          <w:rFonts w:ascii="Arial" w:hAnsi="Arial" w:cs="Arial"/>
          <w:lang w:val="en-US"/>
        </w:rPr>
        <w:t xml:space="preserve">was </w:t>
      </w:r>
      <w:r>
        <w:rPr>
          <w:rFonts w:ascii="Arial" w:hAnsi="Arial" w:cs="Arial"/>
          <w:lang w:val="en-US"/>
        </w:rPr>
        <w:t>permitted</w:t>
      </w:r>
      <w:r w:rsidR="00197953">
        <w:rPr>
          <w:rFonts w:ascii="Arial" w:hAnsi="Arial" w:cs="Arial"/>
          <w:lang w:val="en-US"/>
        </w:rPr>
        <w:t xml:space="preserve"> by the previous </w:t>
      </w:r>
      <w:r w:rsidR="00F74A1D">
        <w:rPr>
          <w:rFonts w:ascii="Arial" w:hAnsi="Arial" w:cs="Arial"/>
          <w:lang w:val="en-US"/>
        </w:rPr>
        <w:t>one</w:t>
      </w:r>
      <w:r w:rsidR="00197953">
        <w:rPr>
          <w:rFonts w:ascii="Arial" w:hAnsi="Arial" w:cs="Arial"/>
          <w:lang w:val="en-US"/>
        </w:rPr>
        <w:t>.</w:t>
      </w:r>
      <w:r w:rsidR="005E1247">
        <w:rPr>
          <w:rFonts w:ascii="Arial" w:hAnsi="Arial" w:cs="Arial"/>
          <w:lang w:val="en-US"/>
        </w:rPr>
        <w:t xml:space="preserve">  </w:t>
      </w:r>
      <w:r w:rsidR="00164411">
        <w:rPr>
          <w:rFonts w:ascii="Arial" w:hAnsi="Arial" w:cs="Arial"/>
          <w:lang w:val="en-US"/>
        </w:rPr>
        <w:t>I</w:t>
      </w:r>
      <w:r w:rsidR="00197953">
        <w:rPr>
          <w:rFonts w:ascii="Arial" w:hAnsi="Arial" w:cs="Arial"/>
          <w:lang w:val="en-US"/>
        </w:rPr>
        <w:t xml:space="preserve">f regard </w:t>
      </w:r>
      <w:r w:rsidR="00F00F78">
        <w:rPr>
          <w:rFonts w:ascii="Arial" w:hAnsi="Arial" w:cs="Arial"/>
          <w:lang w:val="en-US"/>
        </w:rPr>
        <w:t>w</w:t>
      </w:r>
      <w:r w:rsidR="00A42837">
        <w:rPr>
          <w:rFonts w:ascii="Arial" w:hAnsi="Arial" w:cs="Arial"/>
          <w:lang w:val="en-US"/>
        </w:rPr>
        <w:t>as</w:t>
      </w:r>
      <w:r w:rsidR="00197953">
        <w:rPr>
          <w:rFonts w:ascii="Arial" w:hAnsi="Arial" w:cs="Arial"/>
          <w:lang w:val="en-US"/>
        </w:rPr>
        <w:t xml:space="preserve"> had to the historical development of the </w:t>
      </w:r>
      <w:r w:rsidR="00EC2CA9">
        <w:rPr>
          <w:rFonts w:ascii="Arial" w:hAnsi="Arial" w:cs="Arial"/>
          <w:lang w:val="en-US"/>
        </w:rPr>
        <w:t>TCR</w:t>
      </w:r>
      <w:r w:rsidR="00197953">
        <w:rPr>
          <w:rFonts w:ascii="Arial" w:hAnsi="Arial" w:cs="Arial"/>
          <w:lang w:val="en-US"/>
        </w:rPr>
        <w:t xml:space="preserve"> it </w:t>
      </w:r>
      <w:r w:rsidR="00E14EFD">
        <w:rPr>
          <w:rFonts w:ascii="Arial" w:hAnsi="Arial" w:cs="Arial"/>
          <w:lang w:val="en-US"/>
        </w:rPr>
        <w:t>w</w:t>
      </w:r>
      <w:r w:rsidR="00F00F78">
        <w:rPr>
          <w:rFonts w:ascii="Arial" w:hAnsi="Arial" w:cs="Arial"/>
          <w:lang w:val="en-US"/>
        </w:rPr>
        <w:t>ould</w:t>
      </w:r>
      <w:r w:rsidR="00197953">
        <w:rPr>
          <w:rFonts w:ascii="Arial" w:hAnsi="Arial" w:cs="Arial"/>
          <w:lang w:val="en-US"/>
        </w:rPr>
        <w:t xml:space="preserve"> be noted that there ha</w:t>
      </w:r>
      <w:r w:rsidR="00E14EFD">
        <w:rPr>
          <w:rFonts w:ascii="Arial" w:hAnsi="Arial" w:cs="Arial"/>
          <w:lang w:val="en-US"/>
        </w:rPr>
        <w:t>s</w:t>
      </w:r>
      <w:r w:rsidR="00197953">
        <w:rPr>
          <w:rFonts w:ascii="Arial" w:hAnsi="Arial" w:cs="Arial"/>
          <w:lang w:val="en-US"/>
        </w:rPr>
        <w:t xml:space="preserve"> been a gradual progression which clearly demonstrate</w:t>
      </w:r>
      <w:r w:rsidR="00E14EFD">
        <w:rPr>
          <w:rFonts w:ascii="Arial" w:hAnsi="Arial" w:cs="Arial"/>
          <w:lang w:val="en-US"/>
        </w:rPr>
        <w:t>s</w:t>
      </w:r>
      <w:r w:rsidR="00197953">
        <w:rPr>
          <w:rFonts w:ascii="Arial" w:hAnsi="Arial" w:cs="Arial"/>
          <w:lang w:val="en-US"/>
        </w:rPr>
        <w:t xml:space="preserve"> a move towards greater flexibility regarding the contents of </w:t>
      </w:r>
      <w:r w:rsidR="00E14EFD">
        <w:rPr>
          <w:rFonts w:ascii="Arial" w:hAnsi="Arial" w:cs="Arial"/>
          <w:lang w:val="en-US"/>
        </w:rPr>
        <w:t>the ‘</w:t>
      </w:r>
      <w:r w:rsidR="00FE0F21">
        <w:rPr>
          <w:rFonts w:ascii="Arial" w:hAnsi="Arial" w:cs="Arial"/>
          <w:lang w:val="en-US"/>
        </w:rPr>
        <w:t>pleadings</w:t>
      </w:r>
      <w:r w:rsidR="00E14EFD">
        <w:rPr>
          <w:rFonts w:ascii="Arial" w:hAnsi="Arial" w:cs="Arial"/>
          <w:lang w:val="en-US"/>
        </w:rPr>
        <w:t>’</w:t>
      </w:r>
      <w:r w:rsidR="00FE0F21">
        <w:rPr>
          <w:rFonts w:ascii="Arial" w:hAnsi="Arial" w:cs="Arial"/>
          <w:lang w:val="en-US"/>
        </w:rPr>
        <w:t xml:space="preserve"> </w:t>
      </w:r>
      <w:r w:rsidR="00197953">
        <w:rPr>
          <w:rFonts w:ascii="Arial" w:hAnsi="Arial" w:cs="Arial"/>
          <w:lang w:val="en-US"/>
        </w:rPr>
        <w:t xml:space="preserve">before the tax court. </w:t>
      </w:r>
      <w:r w:rsidR="003F7752">
        <w:rPr>
          <w:rFonts w:ascii="Arial" w:hAnsi="Arial" w:cs="Arial"/>
          <w:lang w:val="en-US"/>
        </w:rPr>
        <w:t>I</w:t>
      </w:r>
      <w:r w:rsidR="00197953">
        <w:rPr>
          <w:rFonts w:ascii="Arial" w:hAnsi="Arial" w:cs="Arial"/>
          <w:lang w:val="en-US"/>
        </w:rPr>
        <w:t xml:space="preserve">nitially </w:t>
      </w:r>
      <w:r w:rsidR="003F7752">
        <w:rPr>
          <w:rFonts w:ascii="Arial" w:hAnsi="Arial" w:cs="Arial"/>
          <w:lang w:val="en-US"/>
        </w:rPr>
        <w:t xml:space="preserve">the </w:t>
      </w:r>
      <w:r w:rsidR="00EC2CA9">
        <w:rPr>
          <w:rFonts w:ascii="Arial" w:hAnsi="Arial" w:cs="Arial"/>
          <w:lang w:val="en-US"/>
        </w:rPr>
        <w:t>TCR</w:t>
      </w:r>
      <w:r w:rsidR="003F7752">
        <w:rPr>
          <w:rFonts w:ascii="Arial" w:hAnsi="Arial" w:cs="Arial"/>
          <w:lang w:val="en-US"/>
        </w:rPr>
        <w:t xml:space="preserve"> </w:t>
      </w:r>
      <w:r w:rsidR="00197953">
        <w:rPr>
          <w:rFonts w:ascii="Arial" w:hAnsi="Arial" w:cs="Arial"/>
          <w:lang w:val="en-US"/>
        </w:rPr>
        <w:t xml:space="preserve">made no provision for the inclusion </w:t>
      </w:r>
      <w:r w:rsidR="00197953">
        <w:rPr>
          <w:rFonts w:ascii="Arial" w:hAnsi="Arial" w:cs="Arial"/>
          <w:lang w:val="en-US"/>
        </w:rPr>
        <w:lastRenderedPageBreak/>
        <w:t xml:space="preserve">of </w:t>
      </w:r>
      <w:r w:rsidR="0050507E">
        <w:rPr>
          <w:rFonts w:ascii="Arial" w:hAnsi="Arial" w:cs="Arial"/>
          <w:lang w:val="en-US"/>
        </w:rPr>
        <w:t>‘</w:t>
      </w:r>
      <w:r w:rsidR="00197953">
        <w:rPr>
          <w:rFonts w:ascii="Arial" w:hAnsi="Arial" w:cs="Arial"/>
          <w:lang w:val="en-US"/>
        </w:rPr>
        <w:t>new</w:t>
      </w:r>
      <w:r w:rsidR="0050507E">
        <w:rPr>
          <w:rFonts w:ascii="Arial" w:hAnsi="Arial" w:cs="Arial"/>
          <w:lang w:val="en-US"/>
        </w:rPr>
        <w:t>’</w:t>
      </w:r>
      <w:r w:rsidR="00197953">
        <w:rPr>
          <w:rFonts w:ascii="Arial" w:hAnsi="Arial" w:cs="Arial"/>
          <w:lang w:val="en-US"/>
        </w:rPr>
        <w:t xml:space="preserve"> grounds of appeal in rule 32 statements, but this rigidity was abandoned in three consecutive amendments</w:t>
      </w:r>
      <w:r w:rsidR="00EC2CA9">
        <w:rPr>
          <w:rFonts w:ascii="Arial" w:hAnsi="Arial" w:cs="Arial"/>
          <w:lang w:val="en-US"/>
        </w:rPr>
        <w:t xml:space="preserve"> which </w:t>
      </w:r>
      <w:r w:rsidR="00197953">
        <w:rPr>
          <w:rFonts w:ascii="Arial" w:hAnsi="Arial" w:cs="Arial"/>
          <w:lang w:val="en-US"/>
        </w:rPr>
        <w:t>culminat</w:t>
      </w:r>
      <w:r w:rsidR="00EC2CA9">
        <w:rPr>
          <w:rFonts w:ascii="Arial" w:hAnsi="Arial" w:cs="Arial"/>
          <w:lang w:val="en-US"/>
        </w:rPr>
        <w:t>ed</w:t>
      </w:r>
      <w:r w:rsidR="00197953">
        <w:rPr>
          <w:rFonts w:ascii="Arial" w:hAnsi="Arial" w:cs="Arial"/>
          <w:lang w:val="en-US"/>
        </w:rPr>
        <w:t xml:space="preserve"> in the new </w:t>
      </w:r>
      <w:r w:rsidR="00EC2CA9">
        <w:rPr>
          <w:rFonts w:ascii="Arial" w:hAnsi="Arial" w:cs="Arial"/>
          <w:lang w:val="en-US"/>
        </w:rPr>
        <w:t>TCR</w:t>
      </w:r>
      <w:r w:rsidR="00197953">
        <w:rPr>
          <w:rFonts w:ascii="Arial" w:hAnsi="Arial" w:cs="Arial"/>
          <w:lang w:val="en-US"/>
        </w:rPr>
        <w:t>.</w:t>
      </w:r>
      <w:r w:rsidR="0050507E">
        <w:rPr>
          <w:rStyle w:val="FootnoteReference"/>
          <w:rFonts w:ascii="Arial" w:hAnsi="Arial" w:cs="Arial"/>
          <w:lang w:val="en-US"/>
        </w:rPr>
        <w:footnoteReference w:id="11"/>
      </w:r>
      <w:r>
        <w:rPr>
          <w:rFonts w:ascii="Arial" w:hAnsi="Arial" w:cs="Arial"/>
          <w:lang w:val="en-US"/>
        </w:rPr>
        <w:t xml:space="preserve">  </w:t>
      </w:r>
      <w:r w:rsidR="003F7752">
        <w:rPr>
          <w:rFonts w:ascii="Arial" w:hAnsi="Arial" w:cs="Arial"/>
          <w:lang w:val="en-US"/>
        </w:rPr>
        <w:t>Furthermore</w:t>
      </w:r>
      <w:r>
        <w:rPr>
          <w:rFonts w:ascii="Arial" w:hAnsi="Arial" w:cs="Arial"/>
          <w:lang w:val="en-US"/>
        </w:rPr>
        <w:t>,</w:t>
      </w:r>
      <w:r w:rsidR="00197953">
        <w:rPr>
          <w:rFonts w:ascii="Arial" w:hAnsi="Arial" w:cs="Arial"/>
          <w:lang w:val="en-US"/>
        </w:rPr>
        <w:t xml:space="preserve"> the appellant </w:t>
      </w:r>
      <w:r w:rsidR="00F00F78">
        <w:rPr>
          <w:rFonts w:ascii="Arial" w:hAnsi="Arial" w:cs="Arial"/>
          <w:lang w:val="en-US"/>
        </w:rPr>
        <w:t>submit</w:t>
      </w:r>
      <w:r w:rsidR="00CB79D1">
        <w:rPr>
          <w:rFonts w:ascii="Arial" w:hAnsi="Arial" w:cs="Arial"/>
          <w:lang w:val="en-US"/>
        </w:rPr>
        <w:t>ted</w:t>
      </w:r>
      <w:r w:rsidR="00197953">
        <w:rPr>
          <w:rFonts w:ascii="Arial" w:hAnsi="Arial" w:cs="Arial"/>
          <w:lang w:val="en-US"/>
        </w:rPr>
        <w:t xml:space="preserve"> that </w:t>
      </w:r>
      <w:r w:rsidR="00EC2B4A">
        <w:rPr>
          <w:rFonts w:ascii="Arial" w:hAnsi="Arial" w:cs="Arial"/>
          <w:lang w:val="en-US"/>
        </w:rPr>
        <w:t xml:space="preserve">even </w:t>
      </w:r>
      <w:r w:rsidR="00197953">
        <w:rPr>
          <w:rFonts w:ascii="Arial" w:hAnsi="Arial" w:cs="Arial"/>
          <w:lang w:val="en-US"/>
        </w:rPr>
        <w:t xml:space="preserve">under the most </w:t>
      </w:r>
      <w:r w:rsidR="003F7752">
        <w:rPr>
          <w:rFonts w:ascii="Arial" w:hAnsi="Arial" w:cs="Arial"/>
          <w:lang w:val="en-US"/>
        </w:rPr>
        <w:t>rigid</w:t>
      </w:r>
      <w:r w:rsidR="00EC2B4A">
        <w:rPr>
          <w:rFonts w:ascii="Arial" w:hAnsi="Arial" w:cs="Arial"/>
          <w:lang w:val="en-US"/>
        </w:rPr>
        <w:t xml:space="preserve">, </w:t>
      </w:r>
      <w:r w:rsidR="00197953">
        <w:rPr>
          <w:rFonts w:ascii="Arial" w:hAnsi="Arial" w:cs="Arial"/>
          <w:lang w:val="en-US"/>
        </w:rPr>
        <w:t xml:space="preserve">initial version of the </w:t>
      </w:r>
      <w:r w:rsidR="00EC2CA9">
        <w:rPr>
          <w:rFonts w:ascii="Arial" w:hAnsi="Arial" w:cs="Arial"/>
          <w:lang w:val="en-US"/>
        </w:rPr>
        <w:t>TCR</w:t>
      </w:r>
      <w:r w:rsidR="00197953">
        <w:rPr>
          <w:rFonts w:ascii="Arial" w:hAnsi="Arial" w:cs="Arial"/>
          <w:lang w:val="en-US"/>
        </w:rPr>
        <w:t xml:space="preserve"> </w:t>
      </w:r>
      <w:r w:rsidR="00F00F78">
        <w:rPr>
          <w:rFonts w:ascii="Arial" w:hAnsi="Arial" w:cs="Arial"/>
          <w:lang w:val="en-US"/>
        </w:rPr>
        <w:t xml:space="preserve">tax </w:t>
      </w:r>
      <w:r w:rsidR="00197953">
        <w:rPr>
          <w:rFonts w:ascii="Arial" w:hAnsi="Arial" w:cs="Arial"/>
          <w:lang w:val="en-US"/>
        </w:rPr>
        <w:t xml:space="preserve">courts allowed the inclusion of </w:t>
      </w:r>
      <w:r w:rsidR="003F7752">
        <w:rPr>
          <w:rFonts w:ascii="Arial" w:hAnsi="Arial" w:cs="Arial"/>
          <w:lang w:val="en-US"/>
        </w:rPr>
        <w:t>‘</w:t>
      </w:r>
      <w:r w:rsidR="00197953">
        <w:rPr>
          <w:rFonts w:ascii="Arial" w:hAnsi="Arial" w:cs="Arial"/>
          <w:lang w:val="en-US"/>
        </w:rPr>
        <w:t>new</w:t>
      </w:r>
      <w:r w:rsidR="003F7752">
        <w:rPr>
          <w:rFonts w:ascii="Arial" w:hAnsi="Arial" w:cs="Arial"/>
          <w:lang w:val="en-US"/>
        </w:rPr>
        <w:t>’</w:t>
      </w:r>
      <w:r w:rsidR="00197953">
        <w:rPr>
          <w:rFonts w:ascii="Arial" w:hAnsi="Arial" w:cs="Arial"/>
          <w:lang w:val="en-US"/>
        </w:rPr>
        <w:t xml:space="preserve"> grounds of appeal</w:t>
      </w:r>
      <w:r w:rsidR="00A42837">
        <w:rPr>
          <w:rFonts w:ascii="Arial" w:hAnsi="Arial" w:cs="Arial"/>
          <w:lang w:val="en-US"/>
        </w:rPr>
        <w:t>,</w:t>
      </w:r>
      <w:r w:rsidR="00197953">
        <w:rPr>
          <w:rFonts w:ascii="Arial" w:hAnsi="Arial" w:cs="Arial"/>
          <w:lang w:val="en-US"/>
        </w:rPr>
        <w:t xml:space="preserve"> and the approach adopted in the case law ha</w:t>
      </w:r>
      <w:r w:rsidR="00F645AF">
        <w:rPr>
          <w:rFonts w:ascii="Arial" w:hAnsi="Arial" w:cs="Arial"/>
          <w:lang w:val="en-US"/>
        </w:rPr>
        <w:t>d</w:t>
      </w:r>
      <w:r w:rsidR="00197953">
        <w:rPr>
          <w:rFonts w:ascii="Arial" w:hAnsi="Arial" w:cs="Arial"/>
          <w:lang w:val="en-US"/>
        </w:rPr>
        <w:t xml:space="preserve"> never been unduly technical or rigid but rather realistic and pragmatic.</w:t>
      </w:r>
    </w:p>
    <w:p w14:paraId="0F114352" w14:textId="77777777" w:rsidR="00F355E8" w:rsidRDefault="00F355E8" w:rsidP="00197953">
      <w:pPr>
        <w:spacing w:line="480" w:lineRule="auto"/>
        <w:jc w:val="both"/>
        <w:rPr>
          <w:rFonts w:ascii="Arial" w:hAnsi="Arial" w:cs="Arial"/>
          <w:lang w:val="en-US"/>
        </w:rPr>
      </w:pPr>
    </w:p>
    <w:p w14:paraId="258C47C5" w14:textId="57D25BD4" w:rsidR="007158AB" w:rsidRDefault="00F355E8" w:rsidP="00197953">
      <w:pPr>
        <w:spacing w:line="480" w:lineRule="auto"/>
        <w:jc w:val="both"/>
        <w:rPr>
          <w:rFonts w:ascii="Arial" w:hAnsi="Arial" w:cs="Arial"/>
          <w:lang w:val="en-US"/>
        </w:rPr>
      </w:pPr>
      <w:r>
        <w:rPr>
          <w:rFonts w:ascii="Arial" w:hAnsi="Arial" w:cs="Arial"/>
          <w:lang w:val="en-US"/>
        </w:rPr>
        <w:t>[3</w:t>
      </w:r>
      <w:r w:rsidR="00F00F78">
        <w:rPr>
          <w:rFonts w:ascii="Arial" w:hAnsi="Arial" w:cs="Arial"/>
          <w:lang w:val="en-US"/>
        </w:rPr>
        <w:t>4</w:t>
      </w:r>
      <w:r>
        <w:rPr>
          <w:rFonts w:ascii="Arial" w:hAnsi="Arial" w:cs="Arial"/>
          <w:lang w:val="en-US"/>
        </w:rPr>
        <w:t>]</w:t>
      </w:r>
      <w:r>
        <w:rPr>
          <w:rFonts w:ascii="Arial" w:hAnsi="Arial" w:cs="Arial"/>
          <w:lang w:val="en-US"/>
        </w:rPr>
        <w:tab/>
      </w:r>
      <w:r w:rsidR="00197953">
        <w:rPr>
          <w:rFonts w:ascii="Arial" w:hAnsi="Arial" w:cs="Arial"/>
          <w:lang w:val="en-US"/>
        </w:rPr>
        <w:t xml:space="preserve">The most important aspect of this progression </w:t>
      </w:r>
      <w:r w:rsidR="00F645AF">
        <w:rPr>
          <w:rFonts w:ascii="Arial" w:hAnsi="Arial" w:cs="Arial"/>
          <w:lang w:val="en-US"/>
        </w:rPr>
        <w:t>wa</w:t>
      </w:r>
      <w:r w:rsidR="00197953">
        <w:rPr>
          <w:rFonts w:ascii="Arial" w:hAnsi="Arial" w:cs="Arial"/>
          <w:lang w:val="en-US"/>
        </w:rPr>
        <w:t xml:space="preserve">s that the new </w:t>
      </w:r>
      <w:r w:rsidR="00F645AF">
        <w:rPr>
          <w:rFonts w:ascii="Arial" w:hAnsi="Arial" w:cs="Arial"/>
          <w:lang w:val="en-US"/>
        </w:rPr>
        <w:t>TCR</w:t>
      </w:r>
      <w:r w:rsidR="00BE48AB">
        <w:rPr>
          <w:rFonts w:ascii="Arial" w:hAnsi="Arial" w:cs="Arial"/>
          <w:lang w:val="en-US"/>
        </w:rPr>
        <w:t xml:space="preserve"> (as </w:t>
      </w:r>
      <w:r w:rsidR="00F645AF">
        <w:rPr>
          <w:rFonts w:ascii="Arial" w:hAnsi="Arial" w:cs="Arial"/>
          <w:lang w:val="en-US"/>
        </w:rPr>
        <w:t xml:space="preserve">did </w:t>
      </w:r>
      <w:r w:rsidR="00197953">
        <w:rPr>
          <w:rFonts w:ascii="Arial" w:hAnsi="Arial" w:cs="Arial"/>
          <w:lang w:val="en-US"/>
        </w:rPr>
        <w:t xml:space="preserve">the previous </w:t>
      </w:r>
      <w:r w:rsidR="00BE48AB">
        <w:rPr>
          <w:rFonts w:ascii="Arial" w:hAnsi="Arial" w:cs="Arial"/>
          <w:lang w:val="en-US"/>
        </w:rPr>
        <w:t>ones)</w:t>
      </w:r>
      <w:r w:rsidR="00197953">
        <w:rPr>
          <w:rFonts w:ascii="Arial" w:hAnsi="Arial" w:cs="Arial"/>
          <w:lang w:val="en-US"/>
        </w:rPr>
        <w:t>, expressly cater</w:t>
      </w:r>
      <w:r w:rsidR="00F645AF">
        <w:rPr>
          <w:rFonts w:ascii="Arial" w:hAnsi="Arial" w:cs="Arial"/>
          <w:lang w:val="en-US"/>
        </w:rPr>
        <w:t>ed</w:t>
      </w:r>
      <w:r w:rsidR="00197953">
        <w:rPr>
          <w:rFonts w:ascii="Arial" w:hAnsi="Arial" w:cs="Arial"/>
          <w:lang w:val="en-US"/>
        </w:rPr>
        <w:t xml:space="preserve"> for the inclusion of </w:t>
      </w:r>
      <w:r w:rsidR="00BE48AB">
        <w:rPr>
          <w:rFonts w:ascii="Arial" w:hAnsi="Arial" w:cs="Arial"/>
          <w:lang w:val="en-US"/>
        </w:rPr>
        <w:t>‘</w:t>
      </w:r>
      <w:r w:rsidR="00197953">
        <w:rPr>
          <w:rFonts w:ascii="Arial" w:hAnsi="Arial" w:cs="Arial"/>
          <w:lang w:val="en-US"/>
        </w:rPr>
        <w:t>new</w:t>
      </w:r>
      <w:r w:rsidR="00BE48AB">
        <w:rPr>
          <w:rFonts w:ascii="Arial" w:hAnsi="Arial" w:cs="Arial"/>
          <w:lang w:val="en-US"/>
        </w:rPr>
        <w:t>’</w:t>
      </w:r>
      <w:r w:rsidR="00197953">
        <w:rPr>
          <w:rFonts w:ascii="Arial" w:hAnsi="Arial" w:cs="Arial"/>
          <w:lang w:val="en-US"/>
        </w:rPr>
        <w:t xml:space="preserve"> grounds of appeal </w:t>
      </w:r>
      <w:r w:rsidR="00F645AF">
        <w:rPr>
          <w:rFonts w:ascii="Arial" w:hAnsi="Arial" w:cs="Arial"/>
          <w:lang w:val="en-US"/>
        </w:rPr>
        <w:t>to be lodged in rule 32 statements</w:t>
      </w:r>
      <w:r w:rsidR="00F645AF" w:rsidRPr="00D02940">
        <w:rPr>
          <w:rFonts w:ascii="Arial" w:hAnsi="Arial" w:cs="Arial"/>
          <w:lang w:val="en-US"/>
        </w:rPr>
        <w:t xml:space="preserve"> </w:t>
      </w:r>
      <w:r w:rsidR="00197953" w:rsidRPr="00D02940">
        <w:rPr>
          <w:rFonts w:ascii="Arial" w:hAnsi="Arial" w:cs="Arial"/>
          <w:lang w:val="en-US"/>
        </w:rPr>
        <w:t>and ma</w:t>
      </w:r>
      <w:r w:rsidR="00F645AF">
        <w:rPr>
          <w:rFonts w:ascii="Arial" w:hAnsi="Arial" w:cs="Arial"/>
          <w:lang w:val="en-US"/>
        </w:rPr>
        <w:t>d</w:t>
      </w:r>
      <w:r w:rsidR="00197953" w:rsidRPr="00D02940">
        <w:rPr>
          <w:rFonts w:ascii="Arial" w:hAnsi="Arial" w:cs="Arial"/>
          <w:lang w:val="en-US"/>
        </w:rPr>
        <w:t xml:space="preserve">e corresponding allowances </w:t>
      </w:r>
      <w:r w:rsidR="00197953">
        <w:rPr>
          <w:rFonts w:ascii="Arial" w:hAnsi="Arial" w:cs="Arial"/>
          <w:lang w:val="en-US"/>
        </w:rPr>
        <w:t>in rule 33</w:t>
      </w:r>
      <w:r w:rsidR="00F645AF" w:rsidRPr="00F645AF">
        <w:rPr>
          <w:rFonts w:ascii="Arial" w:hAnsi="Arial" w:cs="Arial"/>
          <w:lang w:val="en-US"/>
        </w:rPr>
        <w:t xml:space="preserve"> </w:t>
      </w:r>
      <w:r w:rsidR="00F645AF" w:rsidRPr="00D02940">
        <w:rPr>
          <w:rFonts w:ascii="Arial" w:hAnsi="Arial" w:cs="Arial"/>
          <w:lang w:val="en-US"/>
        </w:rPr>
        <w:t>to ensure fairness towards SARS</w:t>
      </w:r>
      <w:r w:rsidR="00BE48AB">
        <w:rPr>
          <w:rFonts w:ascii="Arial" w:hAnsi="Arial" w:cs="Arial"/>
          <w:lang w:val="en-US"/>
        </w:rPr>
        <w:t>,</w:t>
      </w:r>
      <w:r w:rsidR="00197953">
        <w:rPr>
          <w:rFonts w:ascii="Arial" w:hAnsi="Arial" w:cs="Arial"/>
          <w:lang w:val="en-US"/>
        </w:rPr>
        <w:t xml:space="preserve"> </w:t>
      </w:r>
      <w:r w:rsidR="00F645AF">
        <w:rPr>
          <w:rFonts w:ascii="Arial" w:hAnsi="Arial" w:cs="Arial"/>
          <w:lang w:val="en-US"/>
        </w:rPr>
        <w:t xml:space="preserve">by </w:t>
      </w:r>
      <w:r w:rsidR="00197953">
        <w:rPr>
          <w:rFonts w:ascii="Arial" w:hAnsi="Arial" w:cs="Arial"/>
          <w:lang w:val="en-US"/>
        </w:rPr>
        <w:t>provid</w:t>
      </w:r>
      <w:r w:rsidR="00F645AF">
        <w:rPr>
          <w:rFonts w:ascii="Arial" w:hAnsi="Arial" w:cs="Arial"/>
          <w:lang w:val="en-US"/>
        </w:rPr>
        <w:t xml:space="preserve">ing it </w:t>
      </w:r>
      <w:r w:rsidR="00197953">
        <w:rPr>
          <w:rFonts w:ascii="Arial" w:hAnsi="Arial" w:cs="Arial"/>
          <w:lang w:val="en-US"/>
        </w:rPr>
        <w:t xml:space="preserve">with </w:t>
      </w:r>
      <w:r w:rsidR="00BE48AB">
        <w:rPr>
          <w:rFonts w:ascii="Arial" w:hAnsi="Arial" w:cs="Arial"/>
          <w:lang w:val="en-US"/>
        </w:rPr>
        <w:t>a</w:t>
      </w:r>
      <w:r w:rsidR="00197953">
        <w:rPr>
          <w:rFonts w:ascii="Arial" w:hAnsi="Arial" w:cs="Arial"/>
          <w:lang w:val="en-US"/>
        </w:rPr>
        <w:t xml:space="preserve"> right of reply in respect of </w:t>
      </w:r>
      <w:r w:rsidR="00124562">
        <w:rPr>
          <w:rFonts w:ascii="Arial" w:hAnsi="Arial" w:cs="Arial"/>
          <w:lang w:val="en-US"/>
        </w:rPr>
        <w:t xml:space="preserve">any </w:t>
      </w:r>
      <w:r w:rsidR="00F645AF">
        <w:rPr>
          <w:rFonts w:ascii="Arial" w:hAnsi="Arial" w:cs="Arial"/>
          <w:lang w:val="en-US"/>
        </w:rPr>
        <w:t>such new</w:t>
      </w:r>
      <w:r w:rsidR="00124562">
        <w:rPr>
          <w:rFonts w:ascii="Arial" w:hAnsi="Arial" w:cs="Arial"/>
          <w:lang w:val="en-US"/>
        </w:rPr>
        <w:t xml:space="preserve"> </w:t>
      </w:r>
      <w:r w:rsidR="00197953">
        <w:rPr>
          <w:rFonts w:ascii="Arial" w:hAnsi="Arial" w:cs="Arial"/>
          <w:lang w:val="en-US"/>
        </w:rPr>
        <w:t xml:space="preserve">grounds. </w:t>
      </w:r>
    </w:p>
    <w:p w14:paraId="4397BE17" w14:textId="77777777" w:rsidR="007158AB" w:rsidRDefault="007158AB" w:rsidP="00197953">
      <w:pPr>
        <w:spacing w:line="480" w:lineRule="auto"/>
        <w:jc w:val="both"/>
        <w:rPr>
          <w:rFonts w:ascii="Arial" w:hAnsi="Arial" w:cs="Arial"/>
          <w:lang w:val="en-US"/>
        </w:rPr>
      </w:pPr>
    </w:p>
    <w:p w14:paraId="0D117ABC" w14:textId="13B7C4C5" w:rsidR="00197953" w:rsidRDefault="007158AB" w:rsidP="00197953">
      <w:pPr>
        <w:spacing w:line="480" w:lineRule="auto"/>
        <w:jc w:val="both"/>
        <w:rPr>
          <w:rFonts w:ascii="Arial" w:hAnsi="Arial" w:cs="Arial"/>
          <w:lang w:val="en-US"/>
        </w:rPr>
      </w:pPr>
      <w:r>
        <w:rPr>
          <w:rFonts w:ascii="Arial" w:hAnsi="Arial" w:cs="Arial"/>
          <w:lang w:val="en-US"/>
        </w:rPr>
        <w:t>[3</w:t>
      </w:r>
      <w:r w:rsidR="00BE48AB">
        <w:rPr>
          <w:rFonts w:ascii="Arial" w:hAnsi="Arial" w:cs="Arial"/>
          <w:lang w:val="en-US"/>
        </w:rPr>
        <w:t>5</w:t>
      </w:r>
      <w:r>
        <w:rPr>
          <w:rFonts w:ascii="Arial" w:hAnsi="Arial" w:cs="Arial"/>
          <w:lang w:val="en-US"/>
        </w:rPr>
        <w:t>]</w:t>
      </w:r>
      <w:r>
        <w:rPr>
          <w:rFonts w:ascii="Arial" w:hAnsi="Arial" w:cs="Arial"/>
          <w:lang w:val="en-US"/>
        </w:rPr>
        <w:tab/>
      </w:r>
      <w:r w:rsidR="00197953">
        <w:rPr>
          <w:rFonts w:ascii="Arial" w:hAnsi="Arial" w:cs="Arial"/>
          <w:lang w:val="en-US"/>
        </w:rPr>
        <w:t xml:space="preserve">Furthermore, rule 36(2) provides that </w:t>
      </w:r>
      <w:r w:rsidR="00124562">
        <w:rPr>
          <w:rFonts w:ascii="Arial" w:hAnsi="Arial" w:cs="Arial"/>
          <w:lang w:val="en-US"/>
        </w:rPr>
        <w:t xml:space="preserve">within 10 days of delivery of a rule 32 statement </w:t>
      </w:r>
      <w:r w:rsidR="00197953">
        <w:rPr>
          <w:rFonts w:ascii="Arial" w:hAnsi="Arial" w:cs="Arial"/>
          <w:lang w:val="en-US"/>
        </w:rPr>
        <w:t xml:space="preserve">SARS can </w:t>
      </w:r>
      <w:r w:rsidR="00124562">
        <w:rPr>
          <w:rFonts w:ascii="Arial" w:hAnsi="Arial" w:cs="Arial"/>
          <w:lang w:val="en-US"/>
        </w:rPr>
        <w:t>call for</w:t>
      </w:r>
      <w:r w:rsidR="00197953">
        <w:rPr>
          <w:rFonts w:ascii="Arial" w:hAnsi="Arial" w:cs="Arial"/>
          <w:lang w:val="en-US"/>
        </w:rPr>
        <w:t xml:space="preserve"> discovery </w:t>
      </w:r>
      <w:r w:rsidR="00124562">
        <w:rPr>
          <w:rFonts w:ascii="Arial" w:hAnsi="Arial" w:cs="Arial"/>
          <w:lang w:val="en-US"/>
        </w:rPr>
        <w:t xml:space="preserve">of </w:t>
      </w:r>
      <w:r w:rsidR="00197953">
        <w:rPr>
          <w:rFonts w:ascii="Arial" w:hAnsi="Arial" w:cs="Arial"/>
          <w:lang w:val="en-US"/>
        </w:rPr>
        <w:t xml:space="preserve">all documentation </w:t>
      </w:r>
      <w:r w:rsidR="00124562">
        <w:rPr>
          <w:rFonts w:ascii="Arial" w:hAnsi="Arial" w:cs="Arial"/>
          <w:lang w:val="en-US"/>
        </w:rPr>
        <w:t xml:space="preserve">relevant </w:t>
      </w:r>
      <w:r w:rsidR="00197953">
        <w:rPr>
          <w:rFonts w:ascii="Arial" w:hAnsi="Arial" w:cs="Arial"/>
          <w:lang w:val="en-US"/>
        </w:rPr>
        <w:t>to any new ground of appeal that ha</w:t>
      </w:r>
      <w:r w:rsidR="00124562">
        <w:rPr>
          <w:rFonts w:ascii="Arial" w:hAnsi="Arial" w:cs="Arial"/>
          <w:lang w:val="en-US"/>
        </w:rPr>
        <w:t>s</w:t>
      </w:r>
      <w:r w:rsidR="00197953">
        <w:rPr>
          <w:rFonts w:ascii="Arial" w:hAnsi="Arial" w:cs="Arial"/>
          <w:lang w:val="en-US"/>
        </w:rPr>
        <w:t xml:space="preserve"> been raised, which </w:t>
      </w:r>
      <w:r w:rsidR="00124562">
        <w:rPr>
          <w:rFonts w:ascii="Arial" w:hAnsi="Arial" w:cs="Arial"/>
          <w:lang w:val="en-US"/>
        </w:rPr>
        <w:t xml:space="preserve">will </w:t>
      </w:r>
      <w:r w:rsidR="00197953">
        <w:rPr>
          <w:rFonts w:ascii="Arial" w:hAnsi="Arial" w:cs="Arial"/>
          <w:lang w:val="en-US"/>
        </w:rPr>
        <w:t xml:space="preserve">ensure that SARS is not </w:t>
      </w:r>
      <w:r w:rsidR="00D02940">
        <w:rPr>
          <w:rFonts w:ascii="Arial" w:hAnsi="Arial" w:cs="Arial"/>
          <w:lang w:val="en-US"/>
        </w:rPr>
        <w:t>‘</w:t>
      </w:r>
      <w:r w:rsidR="00197953">
        <w:rPr>
          <w:rFonts w:ascii="Arial" w:hAnsi="Arial" w:cs="Arial"/>
          <w:lang w:val="en-US"/>
        </w:rPr>
        <w:t>ambushed</w:t>
      </w:r>
      <w:r w:rsidR="00D02940">
        <w:rPr>
          <w:rFonts w:ascii="Arial" w:hAnsi="Arial" w:cs="Arial"/>
          <w:lang w:val="en-US"/>
        </w:rPr>
        <w:t>’</w:t>
      </w:r>
      <w:r w:rsidR="00197953">
        <w:rPr>
          <w:rFonts w:ascii="Arial" w:hAnsi="Arial" w:cs="Arial"/>
          <w:lang w:val="en-US"/>
        </w:rPr>
        <w:t xml:space="preserve"> in the ensuing trial </w:t>
      </w:r>
      <w:r w:rsidR="00124562">
        <w:rPr>
          <w:rFonts w:ascii="Arial" w:hAnsi="Arial" w:cs="Arial"/>
          <w:lang w:val="en-US"/>
        </w:rPr>
        <w:t xml:space="preserve">(appeal) </w:t>
      </w:r>
      <w:r w:rsidR="00197953">
        <w:rPr>
          <w:rFonts w:ascii="Arial" w:hAnsi="Arial" w:cs="Arial"/>
          <w:lang w:val="en-US"/>
        </w:rPr>
        <w:t>proceeding</w:t>
      </w:r>
      <w:r w:rsidR="00124562">
        <w:rPr>
          <w:rFonts w:ascii="Arial" w:hAnsi="Arial" w:cs="Arial"/>
          <w:lang w:val="en-US"/>
        </w:rPr>
        <w:t>s</w:t>
      </w:r>
      <w:r w:rsidR="00197953">
        <w:rPr>
          <w:rFonts w:ascii="Arial" w:hAnsi="Arial" w:cs="Arial"/>
          <w:lang w:val="en-US"/>
        </w:rPr>
        <w:t>. Initially</w:t>
      </w:r>
      <w:r>
        <w:rPr>
          <w:rFonts w:ascii="Arial" w:hAnsi="Arial" w:cs="Arial"/>
          <w:lang w:val="en-US"/>
        </w:rPr>
        <w:t>,</w:t>
      </w:r>
      <w:r w:rsidR="00197953">
        <w:rPr>
          <w:rFonts w:ascii="Arial" w:hAnsi="Arial" w:cs="Arial"/>
          <w:lang w:val="en-US"/>
        </w:rPr>
        <w:t xml:space="preserve"> there were no </w:t>
      </w:r>
      <w:r w:rsidR="00F645AF">
        <w:rPr>
          <w:rFonts w:ascii="Arial" w:hAnsi="Arial" w:cs="Arial"/>
          <w:lang w:val="en-US"/>
        </w:rPr>
        <w:t>TCR</w:t>
      </w:r>
      <w:r w:rsidR="00197953">
        <w:rPr>
          <w:rFonts w:ascii="Arial" w:hAnsi="Arial" w:cs="Arial"/>
          <w:lang w:val="en-US"/>
        </w:rPr>
        <w:t xml:space="preserve"> and </w:t>
      </w:r>
      <w:r w:rsidR="00124562">
        <w:rPr>
          <w:rFonts w:ascii="Arial" w:hAnsi="Arial" w:cs="Arial"/>
          <w:lang w:val="en-US"/>
        </w:rPr>
        <w:t xml:space="preserve">the </w:t>
      </w:r>
      <w:r w:rsidR="00197953">
        <w:rPr>
          <w:rFonts w:ascii="Arial" w:hAnsi="Arial" w:cs="Arial"/>
          <w:lang w:val="en-US"/>
        </w:rPr>
        <w:t xml:space="preserve">procedure for tax appeals was set out in the </w:t>
      </w:r>
      <w:r w:rsidR="00D02940">
        <w:rPr>
          <w:rFonts w:ascii="Arial" w:hAnsi="Arial" w:cs="Arial"/>
          <w:lang w:val="en-US"/>
        </w:rPr>
        <w:t>A</w:t>
      </w:r>
      <w:r w:rsidR="00197953">
        <w:rPr>
          <w:rFonts w:ascii="Arial" w:hAnsi="Arial" w:cs="Arial"/>
          <w:lang w:val="en-US"/>
        </w:rPr>
        <w:t xml:space="preserve">ct, </w:t>
      </w:r>
      <w:r w:rsidR="00124562">
        <w:rPr>
          <w:rFonts w:ascii="Arial" w:hAnsi="Arial" w:cs="Arial"/>
          <w:lang w:val="en-US"/>
        </w:rPr>
        <w:t xml:space="preserve">a period </w:t>
      </w:r>
      <w:r w:rsidR="00197953">
        <w:rPr>
          <w:rFonts w:ascii="Arial" w:hAnsi="Arial" w:cs="Arial"/>
          <w:lang w:val="en-US"/>
        </w:rPr>
        <w:t xml:space="preserve">which the appellants described as the </w:t>
      </w:r>
      <w:r w:rsidR="00D02940">
        <w:rPr>
          <w:rFonts w:ascii="Arial" w:hAnsi="Arial" w:cs="Arial"/>
          <w:lang w:val="en-US"/>
        </w:rPr>
        <w:t>‘</w:t>
      </w:r>
      <w:r w:rsidR="00197953">
        <w:rPr>
          <w:rFonts w:ascii="Arial" w:hAnsi="Arial" w:cs="Arial"/>
          <w:lang w:val="en-US"/>
        </w:rPr>
        <w:t>no</w:t>
      </w:r>
      <w:r w:rsidR="00BE5A94">
        <w:rPr>
          <w:rFonts w:ascii="Arial" w:hAnsi="Arial" w:cs="Arial"/>
          <w:lang w:val="en-US"/>
        </w:rPr>
        <w:t xml:space="preserve"> </w:t>
      </w:r>
      <w:r w:rsidR="00197953">
        <w:rPr>
          <w:rFonts w:ascii="Arial" w:hAnsi="Arial" w:cs="Arial"/>
          <w:lang w:val="en-US"/>
        </w:rPr>
        <w:t>rule</w:t>
      </w:r>
      <w:r w:rsidR="00D02940">
        <w:rPr>
          <w:rFonts w:ascii="Arial" w:hAnsi="Arial" w:cs="Arial"/>
          <w:lang w:val="en-US"/>
        </w:rPr>
        <w:t>s</w:t>
      </w:r>
      <w:r w:rsidR="00197953">
        <w:rPr>
          <w:rFonts w:ascii="Arial" w:hAnsi="Arial" w:cs="Arial"/>
          <w:lang w:val="en-US"/>
        </w:rPr>
        <w:t xml:space="preserve"> period</w:t>
      </w:r>
      <w:r w:rsidR="00D02940">
        <w:rPr>
          <w:rFonts w:ascii="Arial" w:hAnsi="Arial" w:cs="Arial"/>
          <w:lang w:val="en-US"/>
        </w:rPr>
        <w:t>’</w:t>
      </w:r>
      <w:r w:rsidR="00197953">
        <w:rPr>
          <w:rFonts w:ascii="Arial" w:hAnsi="Arial" w:cs="Arial"/>
          <w:lang w:val="en-US"/>
        </w:rPr>
        <w:t>.</w:t>
      </w:r>
      <w:r>
        <w:rPr>
          <w:rFonts w:ascii="Arial" w:hAnsi="Arial" w:cs="Arial"/>
          <w:lang w:val="en-US"/>
        </w:rPr>
        <w:t xml:space="preserve"> </w:t>
      </w:r>
      <w:r w:rsidR="00197953">
        <w:rPr>
          <w:rFonts w:ascii="Arial" w:hAnsi="Arial" w:cs="Arial"/>
          <w:lang w:val="en-US"/>
        </w:rPr>
        <w:t xml:space="preserve">Under this dispensation the </w:t>
      </w:r>
      <w:r w:rsidR="00D02940">
        <w:rPr>
          <w:rFonts w:ascii="Arial" w:hAnsi="Arial" w:cs="Arial"/>
          <w:lang w:val="en-US"/>
        </w:rPr>
        <w:t>A</w:t>
      </w:r>
      <w:r w:rsidR="00197953">
        <w:rPr>
          <w:rFonts w:ascii="Arial" w:hAnsi="Arial" w:cs="Arial"/>
          <w:lang w:val="en-US"/>
        </w:rPr>
        <w:t>ct provided</w:t>
      </w:r>
      <w:r w:rsidR="00A42837">
        <w:rPr>
          <w:rFonts w:ascii="Arial" w:hAnsi="Arial" w:cs="Arial"/>
          <w:lang w:val="en-US"/>
        </w:rPr>
        <w:t xml:space="preserve"> that</w:t>
      </w:r>
      <w:r w:rsidR="00124562">
        <w:rPr>
          <w:rFonts w:ascii="Arial" w:hAnsi="Arial" w:cs="Arial"/>
          <w:lang w:val="en-US"/>
        </w:rPr>
        <w:t>,</w:t>
      </w:r>
      <w:r w:rsidR="00197953">
        <w:rPr>
          <w:rFonts w:ascii="Arial" w:hAnsi="Arial" w:cs="Arial"/>
          <w:lang w:val="en-US"/>
        </w:rPr>
        <w:t xml:space="preserve"> for the purpose of the proceedings in the tax court</w:t>
      </w:r>
      <w:r w:rsidR="00124562">
        <w:rPr>
          <w:rFonts w:ascii="Arial" w:hAnsi="Arial" w:cs="Arial"/>
          <w:lang w:val="en-US"/>
        </w:rPr>
        <w:t>,</w:t>
      </w:r>
      <w:r w:rsidR="00197953">
        <w:rPr>
          <w:rFonts w:ascii="Arial" w:hAnsi="Arial" w:cs="Arial"/>
          <w:lang w:val="en-US"/>
        </w:rPr>
        <w:t xml:space="preserve"> taxpayers were limited to the grounds </w:t>
      </w:r>
      <w:r w:rsidR="00A42837">
        <w:rPr>
          <w:rFonts w:ascii="Arial" w:hAnsi="Arial" w:cs="Arial"/>
          <w:lang w:val="en-US"/>
        </w:rPr>
        <w:t xml:space="preserve">they </w:t>
      </w:r>
      <w:r w:rsidR="00197953">
        <w:rPr>
          <w:rFonts w:ascii="Arial" w:hAnsi="Arial" w:cs="Arial"/>
          <w:lang w:val="en-US"/>
        </w:rPr>
        <w:t>s</w:t>
      </w:r>
      <w:r w:rsidR="00124562">
        <w:rPr>
          <w:rFonts w:ascii="Arial" w:hAnsi="Arial" w:cs="Arial"/>
          <w:lang w:val="en-US"/>
        </w:rPr>
        <w:t>et out</w:t>
      </w:r>
      <w:r w:rsidR="00197953">
        <w:rPr>
          <w:rFonts w:ascii="Arial" w:hAnsi="Arial" w:cs="Arial"/>
          <w:lang w:val="en-US"/>
        </w:rPr>
        <w:t xml:space="preserve"> in the</w:t>
      </w:r>
      <w:r w:rsidR="00124562">
        <w:rPr>
          <w:rFonts w:ascii="Arial" w:hAnsi="Arial" w:cs="Arial"/>
          <w:lang w:val="en-US"/>
        </w:rPr>
        <w:t>ir</w:t>
      </w:r>
      <w:r w:rsidR="00197953">
        <w:rPr>
          <w:rFonts w:ascii="Arial" w:hAnsi="Arial" w:cs="Arial"/>
          <w:lang w:val="en-US"/>
        </w:rPr>
        <w:t xml:space="preserve"> notice of objection.</w:t>
      </w:r>
    </w:p>
    <w:p w14:paraId="0BBFB64F" w14:textId="77777777" w:rsidR="007158AB" w:rsidRDefault="007158AB" w:rsidP="00197953">
      <w:pPr>
        <w:spacing w:line="480" w:lineRule="auto"/>
        <w:jc w:val="both"/>
        <w:rPr>
          <w:rFonts w:ascii="Arial" w:hAnsi="Arial" w:cs="Arial"/>
          <w:lang w:val="en-US"/>
        </w:rPr>
      </w:pPr>
    </w:p>
    <w:p w14:paraId="2D655FD3" w14:textId="6AF57B1F" w:rsidR="007158AB" w:rsidRDefault="007158AB" w:rsidP="00197953">
      <w:pPr>
        <w:spacing w:line="480" w:lineRule="auto"/>
        <w:jc w:val="both"/>
        <w:rPr>
          <w:rFonts w:ascii="Arial" w:hAnsi="Arial" w:cs="Arial"/>
          <w:lang w:val="en-US"/>
        </w:rPr>
      </w:pPr>
      <w:r>
        <w:rPr>
          <w:rFonts w:ascii="Arial" w:hAnsi="Arial" w:cs="Arial"/>
          <w:lang w:val="en-US"/>
        </w:rPr>
        <w:t>[3</w:t>
      </w:r>
      <w:r w:rsidR="00BD6EF6">
        <w:rPr>
          <w:rFonts w:ascii="Arial" w:hAnsi="Arial" w:cs="Arial"/>
          <w:lang w:val="en-US"/>
        </w:rPr>
        <w:t>6</w:t>
      </w:r>
      <w:r>
        <w:rPr>
          <w:rFonts w:ascii="Arial" w:hAnsi="Arial" w:cs="Arial"/>
          <w:lang w:val="en-US"/>
        </w:rPr>
        <w:t>]</w:t>
      </w:r>
      <w:r>
        <w:rPr>
          <w:rFonts w:ascii="Arial" w:hAnsi="Arial" w:cs="Arial"/>
          <w:lang w:val="en-US"/>
        </w:rPr>
        <w:tab/>
      </w:r>
      <w:r w:rsidR="00197953">
        <w:rPr>
          <w:rFonts w:ascii="Arial" w:hAnsi="Arial" w:cs="Arial"/>
          <w:lang w:val="en-US"/>
        </w:rPr>
        <w:t xml:space="preserve">The appellant </w:t>
      </w:r>
      <w:r w:rsidR="00BD6EF6">
        <w:rPr>
          <w:rFonts w:ascii="Arial" w:hAnsi="Arial" w:cs="Arial"/>
          <w:lang w:val="en-US"/>
        </w:rPr>
        <w:t>pointed out</w:t>
      </w:r>
      <w:r w:rsidR="00197953">
        <w:rPr>
          <w:rFonts w:ascii="Arial" w:hAnsi="Arial" w:cs="Arial"/>
          <w:lang w:val="en-US"/>
        </w:rPr>
        <w:t xml:space="preserve"> that already during </w:t>
      </w:r>
      <w:r w:rsidR="00D02940">
        <w:rPr>
          <w:rFonts w:ascii="Arial" w:hAnsi="Arial" w:cs="Arial"/>
          <w:lang w:val="en-US"/>
        </w:rPr>
        <w:t>the ‘</w:t>
      </w:r>
      <w:r w:rsidR="00197953">
        <w:rPr>
          <w:rFonts w:ascii="Arial" w:hAnsi="Arial" w:cs="Arial"/>
          <w:lang w:val="en-US"/>
        </w:rPr>
        <w:t>no</w:t>
      </w:r>
      <w:r w:rsidR="00BE5A94">
        <w:rPr>
          <w:rFonts w:ascii="Arial" w:hAnsi="Arial" w:cs="Arial"/>
          <w:lang w:val="en-US"/>
        </w:rPr>
        <w:t xml:space="preserve"> </w:t>
      </w:r>
      <w:r w:rsidR="00197953">
        <w:rPr>
          <w:rFonts w:ascii="Arial" w:hAnsi="Arial" w:cs="Arial"/>
          <w:lang w:val="en-US"/>
        </w:rPr>
        <w:t>rules period</w:t>
      </w:r>
      <w:r w:rsidR="00D02940">
        <w:rPr>
          <w:rFonts w:ascii="Arial" w:hAnsi="Arial" w:cs="Arial"/>
          <w:lang w:val="en-US"/>
        </w:rPr>
        <w:t>’</w:t>
      </w:r>
      <w:r w:rsidR="00197953">
        <w:rPr>
          <w:rFonts w:ascii="Arial" w:hAnsi="Arial" w:cs="Arial"/>
          <w:lang w:val="en-US"/>
        </w:rPr>
        <w:t xml:space="preserve"> Corbett J</w:t>
      </w:r>
      <w:r w:rsidR="00677D95">
        <w:rPr>
          <w:rFonts w:ascii="Arial" w:hAnsi="Arial" w:cs="Arial"/>
          <w:lang w:val="en-US"/>
        </w:rPr>
        <w:t>A</w:t>
      </w:r>
      <w:r w:rsidR="00197953">
        <w:rPr>
          <w:rFonts w:ascii="Arial" w:hAnsi="Arial" w:cs="Arial"/>
          <w:lang w:val="en-US"/>
        </w:rPr>
        <w:t xml:space="preserve"> </w:t>
      </w:r>
      <w:r w:rsidR="00BD6EF6">
        <w:rPr>
          <w:rFonts w:ascii="Arial" w:hAnsi="Arial" w:cs="Arial"/>
          <w:lang w:val="en-US"/>
        </w:rPr>
        <w:t xml:space="preserve">(as he then was) </w:t>
      </w:r>
      <w:r w:rsidR="00F645AF">
        <w:rPr>
          <w:rFonts w:ascii="Arial" w:hAnsi="Arial" w:cs="Arial"/>
          <w:lang w:val="en-US"/>
        </w:rPr>
        <w:t>noted</w:t>
      </w:r>
      <w:r w:rsidR="008F52E7">
        <w:rPr>
          <w:rFonts w:ascii="Arial" w:hAnsi="Arial" w:cs="Arial"/>
          <w:lang w:val="en-US"/>
        </w:rPr>
        <w:t>,</w:t>
      </w:r>
      <w:r w:rsidR="00BD6EF6">
        <w:rPr>
          <w:rFonts w:ascii="Arial" w:hAnsi="Arial" w:cs="Arial"/>
          <w:lang w:val="en-US"/>
        </w:rPr>
        <w:t xml:space="preserve"> </w:t>
      </w:r>
      <w:r w:rsidR="00197953">
        <w:rPr>
          <w:rFonts w:ascii="Arial" w:hAnsi="Arial" w:cs="Arial"/>
          <w:lang w:val="en-US"/>
        </w:rPr>
        <w:t xml:space="preserve">in </w:t>
      </w:r>
      <w:r w:rsidR="00197953" w:rsidRPr="00774645">
        <w:rPr>
          <w:rFonts w:ascii="Arial" w:hAnsi="Arial" w:cs="Arial"/>
          <w:i/>
          <w:iCs/>
          <w:lang w:val="en-US"/>
        </w:rPr>
        <w:t>Matla Coal</w:t>
      </w:r>
      <w:r w:rsidR="00197953">
        <w:rPr>
          <w:rFonts w:ascii="Arial" w:hAnsi="Arial" w:cs="Arial"/>
          <w:lang w:val="en-US"/>
        </w:rPr>
        <w:t xml:space="preserve">, that there </w:t>
      </w:r>
      <w:r w:rsidR="00F645AF">
        <w:rPr>
          <w:rFonts w:ascii="Arial" w:hAnsi="Arial" w:cs="Arial"/>
          <w:lang w:val="en-US"/>
        </w:rPr>
        <w:t>had been a</w:t>
      </w:r>
      <w:r w:rsidR="00197953">
        <w:rPr>
          <w:rFonts w:ascii="Arial" w:hAnsi="Arial" w:cs="Arial"/>
          <w:lang w:val="en-US"/>
        </w:rPr>
        <w:t xml:space="preserve"> shifting </w:t>
      </w:r>
      <w:r w:rsidR="00F645AF">
        <w:rPr>
          <w:rFonts w:ascii="Arial" w:hAnsi="Arial" w:cs="Arial"/>
          <w:lang w:val="en-US"/>
        </w:rPr>
        <w:t>of</w:t>
      </w:r>
      <w:r w:rsidR="00A42837">
        <w:rPr>
          <w:rFonts w:ascii="Arial" w:hAnsi="Arial" w:cs="Arial"/>
          <w:lang w:val="en-US"/>
        </w:rPr>
        <w:t xml:space="preserve"> attitude to</w:t>
      </w:r>
      <w:r w:rsidR="00F645AF">
        <w:rPr>
          <w:rFonts w:ascii="Arial" w:hAnsi="Arial" w:cs="Arial"/>
          <w:lang w:val="en-US"/>
        </w:rPr>
        <w:t>wards</w:t>
      </w:r>
      <w:r w:rsidR="00197953">
        <w:rPr>
          <w:rFonts w:ascii="Arial" w:hAnsi="Arial" w:cs="Arial"/>
          <w:lang w:val="en-US"/>
        </w:rPr>
        <w:t xml:space="preserve"> grounds of objection </w:t>
      </w:r>
      <w:r w:rsidR="00A42837">
        <w:rPr>
          <w:rFonts w:ascii="Arial" w:hAnsi="Arial" w:cs="Arial"/>
          <w:lang w:val="en-US"/>
        </w:rPr>
        <w:t>which were filed in response t</w:t>
      </w:r>
      <w:r w:rsidR="00197953">
        <w:rPr>
          <w:rFonts w:ascii="Arial" w:hAnsi="Arial" w:cs="Arial"/>
          <w:lang w:val="en-US"/>
        </w:rPr>
        <w:t xml:space="preserve">o an assessment, </w:t>
      </w:r>
      <w:r w:rsidR="00A42837">
        <w:rPr>
          <w:rFonts w:ascii="Arial" w:hAnsi="Arial" w:cs="Arial"/>
          <w:lang w:val="en-US"/>
        </w:rPr>
        <w:t xml:space="preserve">to one where </w:t>
      </w:r>
      <w:r w:rsidR="00197953">
        <w:rPr>
          <w:rFonts w:ascii="Arial" w:hAnsi="Arial" w:cs="Arial"/>
          <w:lang w:val="en-US"/>
        </w:rPr>
        <w:t xml:space="preserve">the </w:t>
      </w:r>
      <w:r w:rsidR="00BD6EF6">
        <w:rPr>
          <w:rFonts w:ascii="Arial" w:hAnsi="Arial" w:cs="Arial"/>
          <w:lang w:val="en-US"/>
        </w:rPr>
        <w:lastRenderedPageBreak/>
        <w:t xml:space="preserve">tax </w:t>
      </w:r>
      <w:r w:rsidR="00197953">
        <w:rPr>
          <w:rFonts w:ascii="Arial" w:hAnsi="Arial" w:cs="Arial"/>
          <w:lang w:val="en-US"/>
        </w:rPr>
        <w:t xml:space="preserve">court </w:t>
      </w:r>
      <w:r w:rsidR="00D91267">
        <w:rPr>
          <w:rFonts w:ascii="Arial" w:hAnsi="Arial" w:cs="Arial"/>
          <w:lang w:val="en-US"/>
        </w:rPr>
        <w:t xml:space="preserve">was </w:t>
      </w:r>
      <w:r w:rsidR="00197953">
        <w:rPr>
          <w:rFonts w:ascii="Arial" w:hAnsi="Arial" w:cs="Arial"/>
          <w:lang w:val="en-US"/>
        </w:rPr>
        <w:t>not unduly technical or rigid in its approach</w:t>
      </w:r>
      <w:r w:rsidR="00D91267">
        <w:rPr>
          <w:rFonts w:ascii="Arial" w:hAnsi="Arial" w:cs="Arial"/>
          <w:lang w:val="en-US"/>
        </w:rPr>
        <w:t xml:space="preserve"> thereto</w:t>
      </w:r>
      <w:r w:rsidR="00197953">
        <w:rPr>
          <w:rFonts w:ascii="Arial" w:hAnsi="Arial" w:cs="Arial"/>
          <w:lang w:val="en-US"/>
        </w:rPr>
        <w:t xml:space="preserve"> but </w:t>
      </w:r>
      <w:r w:rsidR="00D91267">
        <w:rPr>
          <w:rFonts w:ascii="Arial" w:hAnsi="Arial" w:cs="Arial"/>
          <w:lang w:val="en-US"/>
        </w:rPr>
        <w:t>w</w:t>
      </w:r>
      <w:r w:rsidR="00197953">
        <w:rPr>
          <w:rFonts w:ascii="Arial" w:hAnsi="Arial" w:cs="Arial"/>
          <w:lang w:val="en-US"/>
        </w:rPr>
        <w:t>ould have regard to the substance of the objection</w:t>
      </w:r>
      <w:r w:rsidR="00D91267">
        <w:rPr>
          <w:rFonts w:ascii="Arial" w:hAnsi="Arial" w:cs="Arial"/>
          <w:lang w:val="en-US"/>
        </w:rPr>
        <w:t>;</w:t>
      </w:r>
      <w:r w:rsidR="00197953">
        <w:rPr>
          <w:rFonts w:ascii="Arial" w:hAnsi="Arial" w:cs="Arial"/>
          <w:lang w:val="en-US"/>
        </w:rPr>
        <w:t xml:space="preserve"> and</w:t>
      </w:r>
      <w:r w:rsidR="00D02940">
        <w:rPr>
          <w:rFonts w:ascii="Arial" w:hAnsi="Arial" w:cs="Arial"/>
          <w:lang w:val="en-US"/>
        </w:rPr>
        <w:t xml:space="preserve"> the</w:t>
      </w:r>
      <w:r w:rsidR="00197953">
        <w:rPr>
          <w:rFonts w:ascii="Arial" w:hAnsi="Arial" w:cs="Arial"/>
          <w:lang w:val="en-US"/>
        </w:rPr>
        <w:t xml:space="preserve"> issue as to whether it cover</w:t>
      </w:r>
      <w:r w:rsidR="00613894">
        <w:rPr>
          <w:rFonts w:ascii="Arial" w:hAnsi="Arial" w:cs="Arial"/>
          <w:lang w:val="en-US"/>
        </w:rPr>
        <w:t>ed</w:t>
      </w:r>
      <w:r w:rsidR="00197953">
        <w:rPr>
          <w:rFonts w:ascii="Arial" w:hAnsi="Arial" w:cs="Arial"/>
          <w:lang w:val="en-US"/>
        </w:rPr>
        <w:t xml:space="preserve"> the point </w:t>
      </w:r>
      <w:r w:rsidR="00D02940">
        <w:rPr>
          <w:rFonts w:ascii="Arial" w:hAnsi="Arial" w:cs="Arial"/>
          <w:lang w:val="en-US"/>
        </w:rPr>
        <w:t>which the appellant wishe</w:t>
      </w:r>
      <w:r w:rsidR="00613894">
        <w:rPr>
          <w:rFonts w:ascii="Arial" w:hAnsi="Arial" w:cs="Arial"/>
          <w:lang w:val="en-US"/>
        </w:rPr>
        <w:t xml:space="preserve">d </w:t>
      </w:r>
      <w:r w:rsidR="00197953">
        <w:rPr>
          <w:rFonts w:ascii="Arial" w:hAnsi="Arial" w:cs="Arial"/>
          <w:lang w:val="en-US"/>
        </w:rPr>
        <w:t xml:space="preserve">to advance on appeal </w:t>
      </w:r>
      <w:r w:rsidR="00613894">
        <w:rPr>
          <w:rFonts w:ascii="Arial" w:hAnsi="Arial" w:cs="Arial"/>
          <w:lang w:val="en-US"/>
        </w:rPr>
        <w:t xml:space="preserve">was </w:t>
      </w:r>
      <w:r w:rsidR="00197953">
        <w:rPr>
          <w:rFonts w:ascii="Arial" w:hAnsi="Arial" w:cs="Arial"/>
          <w:lang w:val="en-US"/>
        </w:rPr>
        <w:t>a</w:t>
      </w:r>
      <w:r w:rsidR="00D02940">
        <w:rPr>
          <w:rFonts w:ascii="Arial" w:hAnsi="Arial" w:cs="Arial"/>
          <w:lang w:val="en-US"/>
        </w:rPr>
        <w:t>d</w:t>
      </w:r>
      <w:r w:rsidR="00197953">
        <w:rPr>
          <w:rFonts w:ascii="Arial" w:hAnsi="Arial" w:cs="Arial"/>
          <w:lang w:val="en-US"/>
        </w:rPr>
        <w:t>judge</w:t>
      </w:r>
      <w:r w:rsidR="00BD6EF6">
        <w:rPr>
          <w:rFonts w:ascii="Arial" w:hAnsi="Arial" w:cs="Arial"/>
          <w:lang w:val="en-US"/>
        </w:rPr>
        <w:t>d</w:t>
      </w:r>
      <w:r w:rsidR="00197953">
        <w:rPr>
          <w:rFonts w:ascii="Arial" w:hAnsi="Arial" w:cs="Arial"/>
          <w:lang w:val="en-US"/>
        </w:rPr>
        <w:t xml:space="preserve"> on the particular facts. During this </w:t>
      </w:r>
      <w:r w:rsidR="00BD6EF6">
        <w:rPr>
          <w:rFonts w:ascii="Arial" w:hAnsi="Arial" w:cs="Arial"/>
          <w:lang w:val="en-US"/>
        </w:rPr>
        <w:t xml:space="preserve">period </w:t>
      </w:r>
      <w:r w:rsidR="00197953">
        <w:rPr>
          <w:rFonts w:ascii="Arial" w:hAnsi="Arial" w:cs="Arial"/>
          <w:lang w:val="en-US"/>
        </w:rPr>
        <w:t xml:space="preserve">a flexible approach was </w:t>
      </w:r>
      <w:r w:rsidR="00F645AF">
        <w:rPr>
          <w:rFonts w:ascii="Arial" w:hAnsi="Arial" w:cs="Arial"/>
          <w:lang w:val="en-US"/>
        </w:rPr>
        <w:t xml:space="preserve">adopted in instances </w:t>
      </w:r>
      <w:r w:rsidR="00197953">
        <w:rPr>
          <w:rFonts w:ascii="Arial" w:hAnsi="Arial" w:cs="Arial"/>
          <w:lang w:val="en-US"/>
        </w:rPr>
        <w:t>where a taxpayer wishe</w:t>
      </w:r>
      <w:r w:rsidR="00BD6EF6">
        <w:rPr>
          <w:rFonts w:ascii="Arial" w:hAnsi="Arial" w:cs="Arial"/>
          <w:lang w:val="en-US"/>
        </w:rPr>
        <w:t>d</w:t>
      </w:r>
      <w:r w:rsidR="00197953">
        <w:rPr>
          <w:rFonts w:ascii="Arial" w:hAnsi="Arial" w:cs="Arial"/>
          <w:lang w:val="en-US"/>
        </w:rPr>
        <w:t xml:space="preserve"> to introduce a </w:t>
      </w:r>
      <w:r w:rsidR="00BD6EF6">
        <w:rPr>
          <w:rFonts w:ascii="Arial" w:hAnsi="Arial" w:cs="Arial"/>
          <w:lang w:val="en-US"/>
        </w:rPr>
        <w:t>‘</w:t>
      </w:r>
      <w:r w:rsidR="00197953">
        <w:rPr>
          <w:rFonts w:ascii="Arial" w:hAnsi="Arial" w:cs="Arial"/>
          <w:lang w:val="en-US"/>
        </w:rPr>
        <w:t>new</w:t>
      </w:r>
      <w:r w:rsidR="00BD6EF6">
        <w:rPr>
          <w:rFonts w:ascii="Arial" w:hAnsi="Arial" w:cs="Arial"/>
          <w:lang w:val="en-US"/>
        </w:rPr>
        <w:t>’</w:t>
      </w:r>
      <w:r w:rsidR="00197953">
        <w:rPr>
          <w:rFonts w:ascii="Arial" w:hAnsi="Arial" w:cs="Arial"/>
          <w:lang w:val="en-US"/>
        </w:rPr>
        <w:t xml:space="preserve"> ground of appeal</w:t>
      </w:r>
      <w:r w:rsidR="00F645AF">
        <w:rPr>
          <w:rFonts w:ascii="Arial" w:hAnsi="Arial" w:cs="Arial"/>
          <w:lang w:val="en-US"/>
        </w:rPr>
        <w:t>,</w:t>
      </w:r>
      <w:r w:rsidR="00197953">
        <w:rPr>
          <w:rFonts w:ascii="Arial" w:hAnsi="Arial" w:cs="Arial"/>
          <w:lang w:val="en-US"/>
        </w:rPr>
        <w:t xml:space="preserve"> other than </w:t>
      </w:r>
      <w:r w:rsidR="00BD6EF6">
        <w:rPr>
          <w:rFonts w:ascii="Arial" w:hAnsi="Arial" w:cs="Arial"/>
          <w:lang w:val="en-US"/>
        </w:rPr>
        <w:t>a ground on</w:t>
      </w:r>
      <w:r w:rsidR="00197953">
        <w:rPr>
          <w:rFonts w:ascii="Arial" w:hAnsi="Arial" w:cs="Arial"/>
          <w:lang w:val="en-US"/>
        </w:rPr>
        <w:t xml:space="preserve"> which it </w:t>
      </w:r>
      <w:r w:rsidR="00BD6EF6">
        <w:rPr>
          <w:rFonts w:ascii="Arial" w:hAnsi="Arial" w:cs="Arial"/>
          <w:lang w:val="en-US"/>
        </w:rPr>
        <w:t xml:space="preserve">had initially </w:t>
      </w:r>
      <w:r w:rsidR="00197953">
        <w:rPr>
          <w:rFonts w:ascii="Arial" w:hAnsi="Arial" w:cs="Arial"/>
          <w:lang w:val="en-US"/>
        </w:rPr>
        <w:t xml:space="preserve">objected to </w:t>
      </w:r>
      <w:r w:rsidR="00BD6EF6">
        <w:rPr>
          <w:rFonts w:ascii="Arial" w:hAnsi="Arial" w:cs="Arial"/>
          <w:lang w:val="en-US"/>
        </w:rPr>
        <w:t>an assessment</w:t>
      </w:r>
      <w:r w:rsidR="00197953">
        <w:rPr>
          <w:rFonts w:ascii="Arial" w:hAnsi="Arial" w:cs="Arial"/>
          <w:lang w:val="en-US"/>
        </w:rPr>
        <w:t>.</w:t>
      </w:r>
      <w:r>
        <w:rPr>
          <w:rFonts w:ascii="Arial" w:hAnsi="Arial" w:cs="Arial"/>
          <w:lang w:val="en-US"/>
        </w:rPr>
        <w:t xml:space="preserve"> </w:t>
      </w:r>
      <w:r w:rsidR="00613894">
        <w:rPr>
          <w:rFonts w:ascii="Arial" w:hAnsi="Arial" w:cs="Arial"/>
          <w:lang w:val="en-US"/>
        </w:rPr>
        <w:t>With the</w:t>
      </w:r>
      <w:r w:rsidR="00197953">
        <w:rPr>
          <w:rFonts w:ascii="Arial" w:hAnsi="Arial" w:cs="Arial"/>
          <w:lang w:val="en-US"/>
        </w:rPr>
        <w:t xml:space="preserve"> shift to the so-called </w:t>
      </w:r>
      <w:r w:rsidR="00BE5A94">
        <w:rPr>
          <w:rFonts w:ascii="Arial" w:hAnsi="Arial" w:cs="Arial"/>
          <w:lang w:val="en-US"/>
        </w:rPr>
        <w:t>‘</w:t>
      </w:r>
      <w:r w:rsidR="00197953">
        <w:rPr>
          <w:rFonts w:ascii="Arial" w:hAnsi="Arial" w:cs="Arial"/>
          <w:lang w:val="en-US"/>
        </w:rPr>
        <w:t>first rules period</w:t>
      </w:r>
      <w:r w:rsidR="00BE5A94">
        <w:rPr>
          <w:rFonts w:ascii="Arial" w:hAnsi="Arial" w:cs="Arial"/>
          <w:lang w:val="en-US"/>
        </w:rPr>
        <w:t>’</w:t>
      </w:r>
      <w:r w:rsidR="00197953">
        <w:rPr>
          <w:rFonts w:ascii="Arial" w:hAnsi="Arial" w:cs="Arial"/>
          <w:lang w:val="en-US"/>
        </w:rPr>
        <w:t xml:space="preserve"> a more </w:t>
      </w:r>
      <w:r w:rsidR="00613894">
        <w:rPr>
          <w:rFonts w:ascii="Arial" w:hAnsi="Arial" w:cs="Arial"/>
          <w:lang w:val="en-US"/>
        </w:rPr>
        <w:t>‘</w:t>
      </w:r>
      <w:r w:rsidR="00197953">
        <w:rPr>
          <w:rFonts w:ascii="Arial" w:hAnsi="Arial" w:cs="Arial"/>
          <w:lang w:val="en-US"/>
        </w:rPr>
        <w:t>progressive</w:t>
      </w:r>
      <w:r w:rsidR="00613894">
        <w:rPr>
          <w:rFonts w:ascii="Arial" w:hAnsi="Arial" w:cs="Arial"/>
          <w:lang w:val="en-US"/>
        </w:rPr>
        <w:t>’</w:t>
      </w:r>
      <w:r w:rsidR="00197953">
        <w:rPr>
          <w:rFonts w:ascii="Arial" w:hAnsi="Arial" w:cs="Arial"/>
          <w:lang w:val="en-US"/>
        </w:rPr>
        <w:t xml:space="preserve"> system of pleadings was introduced</w:t>
      </w:r>
      <w:r w:rsidR="00D91267">
        <w:rPr>
          <w:rFonts w:ascii="Arial" w:hAnsi="Arial" w:cs="Arial"/>
          <w:lang w:val="en-US"/>
        </w:rPr>
        <w:t>,</w:t>
      </w:r>
      <w:r w:rsidR="00197953">
        <w:rPr>
          <w:rFonts w:ascii="Arial" w:hAnsi="Arial" w:cs="Arial"/>
          <w:lang w:val="en-US"/>
        </w:rPr>
        <w:t xml:space="preserve"> in that they made provision </w:t>
      </w:r>
      <w:r w:rsidR="00D91267">
        <w:rPr>
          <w:rFonts w:ascii="Arial" w:hAnsi="Arial" w:cs="Arial"/>
          <w:lang w:val="en-US"/>
        </w:rPr>
        <w:t>(in</w:t>
      </w:r>
      <w:r w:rsidR="00F645AF">
        <w:rPr>
          <w:rFonts w:ascii="Arial" w:hAnsi="Arial" w:cs="Arial"/>
          <w:lang w:val="en-US"/>
        </w:rPr>
        <w:t xml:space="preserve"> then</w:t>
      </w:r>
      <w:r w:rsidR="00D91267">
        <w:rPr>
          <w:rFonts w:ascii="Arial" w:hAnsi="Arial" w:cs="Arial"/>
          <w:lang w:val="en-US"/>
        </w:rPr>
        <w:t xml:space="preserve"> </w:t>
      </w:r>
      <w:r w:rsidR="00197953">
        <w:rPr>
          <w:rFonts w:ascii="Arial" w:hAnsi="Arial" w:cs="Arial"/>
          <w:lang w:val="en-US"/>
        </w:rPr>
        <w:t>rule 13</w:t>
      </w:r>
      <w:r w:rsidR="00D91267">
        <w:rPr>
          <w:rFonts w:ascii="Arial" w:hAnsi="Arial" w:cs="Arial"/>
          <w:lang w:val="en-US"/>
        </w:rPr>
        <w:t>)</w:t>
      </w:r>
      <w:r w:rsidR="00197953">
        <w:rPr>
          <w:rFonts w:ascii="Arial" w:hAnsi="Arial" w:cs="Arial"/>
          <w:lang w:val="en-US"/>
        </w:rPr>
        <w:t xml:space="preserve"> for the amendment of the relevant statements </w:t>
      </w:r>
      <w:r w:rsidR="00D91267">
        <w:rPr>
          <w:rFonts w:ascii="Arial" w:hAnsi="Arial" w:cs="Arial"/>
          <w:lang w:val="en-US"/>
        </w:rPr>
        <w:t xml:space="preserve">which were </w:t>
      </w:r>
      <w:r w:rsidR="00613894">
        <w:rPr>
          <w:rFonts w:ascii="Arial" w:hAnsi="Arial" w:cs="Arial"/>
          <w:lang w:val="en-US"/>
        </w:rPr>
        <w:t>to be lodged by</w:t>
      </w:r>
      <w:r w:rsidR="00197953">
        <w:rPr>
          <w:rFonts w:ascii="Arial" w:hAnsi="Arial" w:cs="Arial"/>
          <w:lang w:val="en-US"/>
        </w:rPr>
        <w:t xml:space="preserve"> the parties</w:t>
      </w:r>
      <w:r w:rsidR="00613894">
        <w:rPr>
          <w:rFonts w:ascii="Arial" w:hAnsi="Arial" w:cs="Arial"/>
          <w:lang w:val="en-US"/>
        </w:rPr>
        <w:t xml:space="preserve"> </w:t>
      </w:r>
      <w:r w:rsidR="00F645AF">
        <w:rPr>
          <w:rFonts w:ascii="Arial" w:hAnsi="Arial" w:cs="Arial"/>
          <w:lang w:val="en-US"/>
        </w:rPr>
        <w:t>(</w:t>
      </w:r>
      <w:r w:rsidR="00D91267">
        <w:rPr>
          <w:rFonts w:ascii="Arial" w:hAnsi="Arial" w:cs="Arial"/>
          <w:lang w:val="en-US"/>
        </w:rPr>
        <w:t>in terms of</w:t>
      </w:r>
      <w:r w:rsidR="008F52E7">
        <w:rPr>
          <w:rFonts w:ascii="Arial" w:hAnsi="Arial" w:cs="Arial"/>
          <w:lang w:val="en-US"/>
        </w:rPr>
        <w:t xml:space="preserve"> </w:t>
      </w:r>
      <w:r w:rsidR="00613894">
        <w:rPr>
          <w:rFonts w:ascii="Arial" w:hAnsi="Arial" w:cs="Arial"/>
          <w:lang w:val="en-US"/>
        </w:rPr>
        <w:t>r</w:t>
      </w:r>
      <w:r w:rsidR="00197953">
        <w:rPr>
          <w:rFonts w:ascii="Arial" w:hAnsi="Arial" w:cs="Arial"/>
          <w:lang w:val="en-US"/>
        </w:rPr>
        <w:t>ules 10 and 11</w:t>
      </w:r>
      <w:r w:rsidR="00613894">
        <w:rPr>
          <w:rFonts w:ascii="Arial" w:hAnsi="Arial" w:cs="Arial"/>
          <w:lang w:val="en-US"/>
        </w:rPr>
        <w:t xml:space="preserve">, which </w:t>
      </w:r>
      <w:r w:rsidR="00197953">
        <w:rPr>
          <w:rFonts w:ascii="Arial" w:hAnsi="Arial" w:cs="Arial"/>
          <w:lang w:val="en-US"/>
        </w:rPr>
        <w:t>were the predecessors of the current rule</w:t>
      </w:r>
      <w:r w:rsidR="00613894">
        <w:rPr>
          <w:rFonts w:ascii="Arial" w:hAnsi="Arial" w:cs="Arial"/>
          <w:lang w:val="en-US"/>
        </w:rPr>
        <w:t>s</w:t>
      </w:r>
      <w:r w:rsidR="00197953">
        <w:rPr>
          <w:rFonts w:ascii="Arial" w:hAnsi="Arial" w:cs="Arial"/>
          <w:lang w:val="en-US"/>
        </w:rPr>
        <w:t xml:space="preserve"> 31 and 32</w:t>
      </w:r>
      <w:r w:rsidR="00F645AF">
        <w:rPr>
          <w:rFonts w:ascii="Arial" w:hAnsi="Arial" w:cs="Arial"/>
          <w:lang w:val="en-US"/>
        </w:rPr>
        <w:t>)</w:t>
      </w:r>
      <w:r w:rsidR="00197953">
        <w:rPr>
          <w:rFonts w:ascii="Arial" w:hAnsi="Arial" w:cs="Arial"/>
          <w:lang w:val="en-US"/>
        </w:rPr>
        <w:t xml:space="preserve">. </w:t>
      </w:r>
    </w:p>
    <w:p w14:paraId="6F7EB1B4" w14:textId="77777777" w:rsidR="007158AB" w:rsidRDefault="007158AB" w:rsidP="00197953">
      <w:pPr>
        <w:spacing w:line="480" w:lineRule="auto"/>
        <w:jc w:val="both"/>
        <w:rPr>
          <w:rFonts w:ascii="Arial" w:hAnsi="Arial" w:cs="Arial"/>
          <w:lang w:val="en-US"/>
        </w:rPr>
      </w:pPr>
    </w:p>
    <w:p w14:paraId="3CED87D0" w14:textId="3DEE5F33" w:rsidR="00197953" w:rsidRDefault="00722873" w:rsidP="00197953">
      <w:pPr>
        <w:spacing w:line="480" w:lineRule="auto"/>
        <w:jc w:val="both"/>
        <w:rPr>
          <w:rFonts w:ascii="Arial" w:hAnsi="Arial" w:cs="Arial"/>
          <w:lang w:val="en-US"/>
        </w:rPr>
      </w:pPr>
      <w:r>
        <w:rPr>
          <w:rFonts w:ascii="Arial" w:hAnsi="Arial" w:cs="Arial"/>
          <w:lang w:val="en-US"/>
        </w:rPr>
        <w:t>[3</w:t>
      </w:r>
      <w:r w:rsidR="008508EE">
        <w:rPr>
          <w:rFonts w:ascii="Arial" w:hAnsi="Arial" w:cs="Arial"/>
          <w:lang w:val="en-US"/>
        </w:rPr>
        <w:t>7</w:t>
      </w:r>
      <w:r>
        <w:rPr>
          <w:rFonts w:ascii="Arial" w:hAnsi="Arial" w:cs="Arial"/>
          <w:lang w:val="en-US"/>
        </w:rPr>
        <w:t>]</w:t>
      </w:r>
      <w:r>
        <w:rPr>
          <w:rFonts w:ascii="Arial" w:hAnsi="Arial" w:cs="Arial"/>
          <w:lang w:val="en-US"/>
        </w:rPr>
        <w:tab/>
      </w:r>
      <w:r w:rsidR="00197953">
        <w:rPr>
          <w:rFonts w:ascii="Arial" w:hAnsi="Arial" w:cs="Arial"/>
          <w:lang w:val="en-US"/>
        </w:rPr>
        <w:t>The appellant submit</w:t>
      </w:r>
      <w:r w:rsidR="008F52E7">
        <w:rPr>
          <w:rFonts w:ascii="Arial" w:hAnsi="Arial" w:cs="Arial"/>
          <w:lang w:val="en-US"/>
        </w:rPr>
        <w:t>ted</w:t>
      </w:r>
      <w:r w:rsidR="00197953">
        <w:rPr>
          <w:rFonts w:ascii="Arial" w:hAnsi="Arial" w:cs="Arial"/>
          <w:lang w:val="en-US"/>
        </w:rPr>
        <w:t xml:space="preserve"> that although the dispensation under the </w:t>
      </w:r>
      <w:r w:rsidR="00D34B71">
        <w:rPr>
          <w:rFonts w:ascii="Arial" w:hAnsi="Arial" w:cs="Arial"/>
          <w:lang w:val="en-US"/>
        </w:rPr>
        <w:t>‘</w:t>
      </w:r>
      <w:r w:rsidR="00197953">
        <w:rPr>
          <w:rFonts w:ascii="Arial" w:hAnsi="Arial" w:cs="Arial"/>
          <w:lang w:val="en-US"/>
        </w:rPr>
        <w:t>first rules period</w:t>
      </w:r>
      <w:r w:rsidR="00D34B71">
        <w:rPr>
          <w:rFonts w:ascii="Arial" w:hAnsi="Arial" w:cs="Arial"/>
          <w:lang w:val="en-US"/>
        </w:rPr>
        <w:t>’</w:t>
      </w:r>
      <w:r w:rsidR="00197953">
        <w:rPr>
          <w:rFonts w:ascii="Arial" w:hAnsi="Arial" w:cs="Arial"/>
          <w:lang w:val="en-US"/>
        </w:rPr>
        <w:t xml:space="preserve"> was less stringent than that which applied during the </w:t>
      </w:r>
      <w:r w:rsidR="00D34B71">
        <w:rPr>
          <w:rFonts w:ascii="Arial" w:hAnsi="Arial" w:cs="Arial"/>
          <w:lang w:val="en-US"/>
        </w:rPr>
        <w:t>‘</w:t>
      </w:r>
      <w:r w:rsidR="00197953">
        <w:rPr>
          <w:rFonts w:ascii="Arial" w:hAnsi="Arial" w:cs="Arial"/>
          <w:lang w:val="en-US"/>
        </w:rPr>
        <w:t>no rules period</w:t>
      </w:r>
      <w:r w:rsidR="00D34B71">
        <w:rPr>
          <w:rFonts w:ascii="Arial" w:hAnsi="Arial" w:cs="Arial"/>
          <w:lang w:val="en-US"/>
        </w:rPr>
        <w:t>’</w:t>
      </w:r>
      <w:r w:rsidR="00197953">
        <w:rPr>
          <w:rFonts w:ascii="Arial" w:hAnsi="Arial" w:cs="Arial"/>
          <w:lang w:val="en-US"/>
        </w:rPr>
        <w:t xml:space="preserve">, it should be noted that </w:t>
      </w:r>
      <w:r w:rsidR="00A66282">
        <w:rPr>
          <w:rFonts w:ascii="Arial" w:hAnsi="Arial" w:cs="Arial"/>
          <w:lang w:val="en-US"/>
        </w:rPr>
        <w:t xml:space="preserve">the previous </w:t>
      </w:r>
      <w:r w:rsidR="00197953">
        <w:rPr>
          <w:rFonts w:ascii="Arial" w:hAnsi="Arial" w:cs="Arial"/>
          <w:lang w:val="en-US"/>
        </w:rPr>
        <w:t>rules 10 and 11 contained no provisions equivalent to those in rule</w:t>
      </w:r>
      <w:r w:rsidR="00F645AF">
        <w:rPr>
          <w:rFonts w:ascii="Arial" w:hAnsi="Arial" w:cs="Arial"/>
          <w:lang w:val="en-US"/>
        </w:rPr>
        <w:t>s</w:t>
      </w:r>
      <w:r w:rsidR="00197953">
        <w:rPr>
          <w:rFonts w:ascii="Arial" w:hAnsi="Arial" w:cs="Arial"/>
          <w:lang w:val="en-US"/>
        </w:rPr>
        <w:t xml:space="preserve"> 31(3) and 32(3)</w:t>
      </w:r>
      <w:r w:rsidR="006F228D">
        <w:rPr>
          <w:rFonts w:ascii="Arial" w:hAnsi="Arial" w:cs="Arial"/>
          <w:lang w:val="en-US"/>
        </w:rPr>
        <w:t>,</w:t>
      </w:r>
      <w:r w:rsidR="00197953">
        <w:rPr>
          <w:rFonts w:ascii="Arial" w:hAnsi="Arial" w:cs="Arial"/>
          <w:lang w:val="en-US"/>
        </w:rPr>
        <w:t xml:space="preserve"> which expressly afford both parties </w:t>
      </w:r>
      <w:r w:rsidR="00F645AF">
        <w:rPr>
          <w:rFonts w:ascii="Arial" w:hAnsi="Arial" w:cs="Arial"/>
          <w:lang w:val="en-US"/>
        </w:rPr>
        <w:t xml:space="preserve">the </w:t>
      </w:r>
      <w:r w:rsidR="00D34B71">
        <w:rPr>
          <w:rFonts w:ascii="Arial" w:hAnsi="Arial" w:cs="Arial"/>
          <w:lang w:val="en-US"/>
        </w:rPr>
        <w:t>flexibility</w:t>
      </w:r>
      <w:r w:rsidR="00F645AF">
        <w:rPr>
          <w:rFonts w:ascii="Arial" w:hAnsi="Arial" w:cs="Arial"/>
          <w:lang w:val="en-US"/>
        </w:rPr>
        <w:t>,</w:t>
      </w:r>
      <w:r w:rsidR="00197953">
        <w:rPr>
          <w:rFonts w:ascii="Arial" w:hAnsi="Arial" w:cs="Arial"/>
          <w:lang w:val="en-US"/>
        </w:rPr>
        <w:t xml:space="preserve"> </w:t>
      </w:r>
      <w:r w:rsidR="00F645AF">
        <w:rPr>
          <w:rFonts w:ascii="Arial" w:hAnsi="Arial" w:cs="Arial"/>
          <w:lang w:val="en-US"/>
        </w:rPr>
        <w:t xml:space="preserve">when filing their appeal statements in the tax court, </w:t>
      </w:r>
      <w:r w:rsidR="00197953">
        <w:rPr>
          <w:rFonts w:ascii="Arial" w:hAnsi="Arial" w:cs="Arial"/>
          <w:lang w:val="en-US"/>
        </w:rPr>
        <w:t xml:space="preserve">to expand on their positions as </w:t>
      </w:r>
      <w:r w:rsidR="00D91267">
        <w:rPr>
          <w:rFonts w:ascii="Arial" w:hAnsi="Arial" w:cs="Arial"/>
          <w:lang w:val="en-US"/>
        </w:rPr>
        <w:t xml:space="preserve">previously </w:t>
      </w:r>
      <w:r w:rsidR="00197953">
        <w:rPr>
          <w:rFonts w:ascii="Arial" w:hAnsi="Arial" w:cs="Arial"/>
          <w:lang w:val="en-US"/>
        </w:rPr>
        <w:t>articulated during the objection procedure</w:t>
      </w:r>
      <w:r w:rsidR="00F645AF">
        <w:rPr>
          <w:rFonts w:ascii="Arial" w:hAnsi="Arial" w:cs="Arial"/>
          <w:lang w:val="en-US"/>
        </w:rPr>
        <w:t>.</w:t>
      </w:r>
      <w:r w:rsidR="00197953">
        <w:rPr>
          <w:rFonts w:ascii="Arial" w:hAnsi="Arial" w:cs="Arial"/>
          <w:lang w:val="en-US"/>
        </w:rPr>
        <w:t xml:space="preserve"> </w:t>
      </w:r>
    </w:p>
    <w:p w14:paraId="1307826B" w14:textId="77777777" w:rsidR="00C81DD1" w:rsidRDefault="00C81DD1" w:rsidP="00197953">
      <w:pPr>
        <w:spacing w:line="480" w:lineRule="auto"/>
        <w:jc w:val="both"/>
        <w:rPr>
          <w:rFonts w:ascii="Arial" w:hAnsi="Arial" w:cs="Arial"/>
          <w:lang w:val="en-US"/>
        </w:rPr>
      </w:pPr>
    </w:p>
    <w:p w14:paraId="7F8013FF" w14:textId="1476F074" w:rsidR="00197953" w:rsidRDefault="00C81DD1" w:rsidP="00197953">
      <w:pPr>
        <w:spacing w:line="480" w:lineRule="auto"/>
        <w:jc w:val="both"/>
        <w:rPr>
          <w:rFonts w:ascii="Arial" w:hAnsi="Arial" w:cs="Arial"/>
          <w:lang w:val="en-US"/>
        </w:rPr>
      </w:pPr>
      <w:r>
        <w:rPr>
          <w:rFonts w:ascii="Arial" w:hAnsi="Arial" w:cs="Arial"/>
          <w:lang w:val="en-US"/>
        </w:rPr>
        <w:t>[3</w:t>
      </w:r>
      <w:r w:rsidR="008F52E7">
        <w:rPr>
          <w:rFonts w:ascii="Arial" w:hAnsi="Arial" w:cs="Arial"/>
          <w:lang w:val="en-US"/>
        </w:rPr>
        <w:t>8</w:t>
      </w:r>
      <w:r>
        <w:rPr>
          <w:rFonts w:ascii="Arial" w:hAnsi="Arial" w:cs="Arial"/>
          <w:lang w:val="en-US"/>
        </w:rPr>
        <w:t>]</w:t>
      </w:r>
      <w:r>
        <w:rPr>
          <w:rFonts w:ascii="Arial" w:hAnsi="Arial" w:cs="Arial"/>
          <w:lang w:val="en-US"/>
        </w:rPr>
        <w:tab/>
      </w:r>
      <w:r w:rsidR="005606B1">
        <w:rPr>
          <w:rFonts w:ascii="Arial" w:hAnsi="Arial" w:cs="Arial"/>
          <w:lang w:val="en-US"/>
        </w:rPr>
        <w:t xml:space="preserve">The appellant </w:t>
      </w:r>
      <w:r w:rsidR="00D65D0B">
        <w:rPr>
          <w:rFonts w:ascii="Arial" w:hAnsi="Arial" w:cs="Arial"/>
          <w:lang w:val="en-US"/>
        </w:rPr>
        <w:t>pointed out</w:t>
      </w:r>
      <w:r w:rsidR="005606B1">
        <w:rPr>
          <w:rFonts w:ascii="Arial" w:hAnsi="Arial" w:cs="Arial"/>
          <w:lang w:val="en-US"/>
        </w:rPr>
        <w:t xml:space="preserve"> that d</w:t>
      </w:r>
      <w:r w:rsidR="00197953">
        <w:rPr>
          <w:rFonts w:ascii="Arial" w:hAnsi="Arial" w:cs="Arial"/>
          <w:lang w:val="en-US"/>
        </w:rPr>
        <w:t xml:space="preserve">uring the </w:t>
      </w:r>
      <w:r w:rsidR="005606B1">
        <w:rPr>
          <w:rFonts w:ascii="Arial" w:hAnsi="Arial" w:cs="Arial"/>
          <w:lang w:val="en-US"/>
        </w:rPr>
        <w:t xml:space="preserve">period when the </w:t>
      </w:r>
      <w:r w:rsidR="00197953">
        <w:rPr>
          <w:rFonts w:ascii="Arial" w:hAnsi="Arial" w:cs="Arial"/>
          <w:lang w:val="en-US"/>
        </w:rPr>
        <w:t xml:space="preserve">previous </w:t>
      </w:r>
      <w:r w:rsidR="00F645AF">
        <w:rPr>
          <w:rFonts w:ascii="Arial" w:hAnsi="Arial" w:cs="Arial"/>
          <w:lang w:val="en-US"/>
        </w:rPr>
        <w:t>TCR</w:t>
      </w:r>
      <w:r w:rsidR="005606B1">
        <w:rPr>
          <w:rFonts w:ascii="Arial" w:hAnsi="Arial" w:cs="Arial"/>
          <w:lang w:val="en-US"/>
        </w:rPr>
        <w:t xml:space="preserve"> </w:t>
      </w:r>
      <w:r w:rsidR="00197953">
        <w:rPr>
          <w:rFonts w:ascii="Arial" w:hAnsi="Arial" w:cs="Arial"/>
          <w:lang w:val="en-US"/>
        </w:rPr>
        <w:t xml:space="preserve">were in force </w:t>
      </w:r>
      <w:r w:rsidR="005606B1">
        <w:rPr>
          <w:rFonts w:ascii="Arial" w:hAnsi="Arial" w:cs="Arial"/>
          <w:lang w:val="en-US"/>
        </w:rPr>
        <w:t xml:space="preserve">the tax court held, </w:t>
      </w:r>
      <w:r w:rsidR="00197953">
        <w:rPr>
          <w:rFonts w:ascii="Arial" w:hAnsi="Arial" w:cs="Arial"/>
          <w:lang w:val="en-US"/>
        </w:rPr>
        <w:t xml:space="preserve">in </w:t>
      </w:r>
      <w:r w:rsidR="00197953" w:rsidRPr="008409D5">
        <w:rPr>
          <w:rFonts w:ascii="Arial" w:hAnsi="Arial" w:cs="Arial"/>
          <w:i/>
          <w:lang w:val="en-US"/>
        </w:rPr>
        <w:t>ITC 1843</w:t>
      </w:r>
      <w:r w:rsidR="005606B1">
        <w:rPr>
          <w:rFonts w:ascii="Arial" w:hAnsi="Arial" w:cs="Arial"/>
          <w:i/>
          <w:lang w:val="en-US"/>
        </w:rPr>
        <w:t>,</w:t>
      </w:r>
      <w:r w:rsidR="00197953">
        <w:rPr>
          <w:rStyle w:val="FootnoteReference"/>
          <w:rFonts w:ascii="Arial" w:hAnsi="Arial" w:cs="Arial"/>
          <w:lang w:val="en-US"/>
        </w:rPr>
        <w:footnoteReference w:id="12"/>
      </w:r>
      <w:r w:rsidR="005606B1">
        <w:rPr>
          <w:rFonts w:ascii="Arial" w:hAnsi="Arial" w:cs="Arial"/>
          <w:i/>
          <w:lang w:val="en-US"/>
        </w:rPr>
        <w:t xml:space="preserve"> </w:t>
      </w:r>
      <w:r w:rsidR="005606B1">
        <w:rPr>
          <w:rFonts w:ascii="Arial" w:hAnsi="Arial" w:cs="Arial"/>
          <w:iCs/>
          <w:lang w:val="en-US"/>
        </w:rPr>
        <w:t>that</w:t>
      </w:r>
      <w:r w:rsidR="00197953">
        <w:rPr>
          <w:rFonts w:ascii="Arial" w:hAnsi="Arial" w:cs="Arial"/>
          <w:lang w:val="en-US"/>
        </w:rPr>
        <w:t xml:space="preserve"> where a taxpayer objected to the inclusion by SARS of new grounds in its r</w:t>
      </w:r>
      <w:r w:rsidR="00F30106">
        <w:rPr>
          <w:rFonts w:ascii="Arial" w:hAnsi="Arial" w:cs="Arial"/>
          <w:lang w:val="en-US"/>
        </w:rPr>
        <w:t>ule 10</w:t>
      </w:r>
      <w:r w:rsidR="00197953">
        <w:rPr>
          <w:rFonts w:ascii="Arial" w:hAnsi="Arial" w:cs="Arial"/>
          <w:lang w:val="en-US"/>
        </w:rPr>
        <w:t xml:space="preserve"> statement</w:t>
      </w:r>
      <w:r w:rsidR="00F645AF">
        <w:rPr>
          <w:rFonts w:ascii="Arial" w:hAnsi="Arial" w:cs="Arial"/>
          <w:lang w:val="en-US"/>
        </w:rPr>
        <w:t>,</w:t>
      </w:r>
      <w:r w:rsidR="00197953">
        <w:rPr>
          <w:rFonts w:ascii="Arial" w:hAnsi="Arial" w:cs="Arial"/>
          <w:lang w:val="en-US"/>
        </w:rPr>
        <w:t xml:space="preserve"> on the basis that this burdened the taxpayer with an unfair </w:t>
      </w:r>
      <w:r w:rsidR="00F30106">
        <w:rPr>
          <w:rFonts w:ascii="Arial" w:hAnsi="Arial" w:cs="Arial"/>
          <w:lang w:val="en-US"/>
        </w:rPr>
        <w:t>dis</w:t>
      </w:r>
      <w:r w:rsidR="00197953">
        <w:rPr>
          <w:rFonts w:ascii="Arial" w:hAnsi="Arial" w:cs="Arial"/>
          <w:lang w:val="en-US"/>
        </w:rPr>
        <w:t xml:space="preserve">advantage, </w:t>
      </w:r>
      <w:r w:rsidR="00A66282">
        <w:rPr>
          <w:rFonts w:ascii="Arial" w:hAnsi="Arial" w:cs="Arial"/>
          <w:lang w:val="en-US"/>
        </w:rPr>
        <w:t xml:space="preserve">this </w:t>
      </w:r>
      <w:r w:rsidR="00197953">
        <w:rPr>
          <w:rFonts w:ascii="Arial" w:hAnsi="Arial" w:cs="Arial"/>
          <w:lang w:val="en-US"/>
        </w:rPr>
        <w:t>cut both ways because the taxpayer w</w:t>
      </w:r>
      <w:r w:rsidR="005606B1">
        <w:rPr>
          <w:rFonts w:ascii="Arial" w:hAnsi="Arial" w:cs="Arial"/>
          <w:lang w:val="en-US"/>
        </w:rPr>
        <w:t>ould</w:t>
      </w:r>
      <w:r w:rsidR="00197953">
        <w:rPr>
          <w:rFonts w:ascii="Arial" w:hAnsi="Arial" w:cs="Arial"/>
          <w:lang w:val="en-US"/>
        </w:rPr>
        <w:t xml:space="preserve"> be entitled</w:t>
      </w:r>
      <w:r w:rsidR="005606B1">
        <w:rPr>
          <w:rFonts w:ascii="Arial" w:hAnsi="Arial" w:cs="Arial"/>
          <w:lang w:val="en-US"/>
        </w:rPr>
        <w:t xml:space="preserve">, in response, </w:t>
      </w:r>
      <w:r w:rsidR="00197953">
        <w:rPr>
          <w:rFonts w:ascii="Arial" w:hAnsi="Arial" w:cs="Arial"/>
          <w:lang w:val="en-US"/>
        </w:rPr>
        <w:t>to</w:t>
      </w:r>
      <w:r>
        <w:rPr>
          <w:rFonts w:ascii="Arial" w:hAnsi="Arial" w:cs="Arial"/>
          <w:lang w:val="en-US"/>
        </w:rPr>
        <w:t xml:space="preserve"> </w:t>
      </w:r>
      <w:r w:rsidR="00197953">
        <w:rPr>
          <w:rFonts w:ascii="Arial" w:hAnsi="Arial" w:cs="Arial"/>
          <w:lang w:val="en-US"/>
        </w:rPr>
        <w:t xml:space="preserve">add additional grounds or additional </w:t>
      </w:r>
      <w:r w:rsidR="00197953" w:rsidRPr="008409D5">
        <w:rPr>
          <w:rFonts w:ascii="Arial" w:hAnsi="Arial" w:cs="Arial"/>
        </w:rPr>
        <w:t>defences</w:t>
      </w:r>
      <w:r w:rsidR="00197953">
        <w:rPr>
          <w:rFonts w:ascii="Arial" w:hAnsi="Arial" w:cs="Arial"/>
          <w:lang w:val="en-US"/>
        </w:rPr>
        <w:t xml:space="preserve"> in </w:t>
      </w:r>
      <w:r w:rsidR="00CB79D1">
        <w:rPr>
          <w:rFonts w:ascii="Arial" w:hAnsi="Arial" w:cs="Arial"/>
          <w:lang w:val="en-US"/>
        </w:rPr>
        <w:t>its</w:t>
      </w:r>
      <w:r w:rsidR="00197953">
        <w:rPr>
          <w:rFonts w:ascii="Arial" w:hAnsi="Arial" w:cs="Arial"/>
          <w:lang w:val="en-US"/>
        </w:rPr>
        <w:t xml:space="preserve"> statement.</w:t>
      </w:r>
    </w:p>
    <w:p w14:paraId="45BAB610" w14:textId="77777777" w:rsidR="00E911A1" w:rsidRDefault="00E911A1" w:rsidP="00197953">
      <w:pPr>
        <w:spacing w:line="480" w:lineRule="auto"/>
        <w:jc w:val="both"/>
        <w:rPr>
          <w:rFonts w:ascii="Arial" w:hAnsi="Arial" w:cs="Arial"/>
          <w:lang w:val="en-US"/>
        </w:rPr>
      </w:pPr>
    </w:p>
    <w:p w14:paraId="6B1AFF3B" w14:textId="10E2F51F" w:rsidR="00166DE3" w:rsidRDefault="00343FA8" w:rsidP="00197953">
      <w:pPr>
        <w:spacing w:line="480" w:lineRule="auto"/>
        <w:jc w:val="both"/>
        <w:rPr>
          <w:rFonts w:ascii="Arial" w:hAnsi="Arial" w:cs="Arial"/>
          <w:lang w:val="en-US"/>
        </w:rPr>
      </w:pPr>
      <w:r>
        <w:rPr>
          <w:rFonts w:ascii="Arial" w:hAnsi="Arial" w:cs="Arial"/>
          <w:lang w:val="en-US"/>
        </w:rPr>
        <w:t>[3</w:t>
      </w:r>
      <w:r w:rsidR="005606B1">
        <w:rPr>
          <w:rFonts w:ascii="Arial" w:hAnsi="Arial" w:cs="Arial"/>
          <w:lang w:val="en-US"/>
        </w:rPr>
        <w:t>9</w:t>
      </w:r>
      <w:r>
        <w:rPr>
          <w:rFonts w:ascii="Arial" w:hAnsi="Arial" w:cs="Arial"/>
          <w:lang w:val="en-US"/>
        </w:rPr>
        <w:t>]</w:t>
      </w:r>
      <w:r>
        <w:rPr>
          <w:rFonts w:ascii="Arial" w:hAnsi="Arial" w:cs="Arial"/>
          <w:lang w:val="en-US"/>
        </w:rPr>
        <w:tab/>
      </w:r>
      <w:r w:rsidR="00197953">
        <w:rPr>
          <w:rFonts w:ascii="Arial" w:hAnsi="Arial" w:cs="Arial"/>
          <w:lang w:val="en-US"/>
        </w:rPr>
        <w:t xml:space="preserve">The appellant </w:t>
      </w:r>
      <w:r w:rsidR="008666F1">
        <w:rPr>
          <w:rFonts w:ascii="Arial" w:hAnsi="Arial" w:cs="Arial"/>
          <w:lang w:val="en-US"/>
        </w:rPr>
        <w:t xml:space="preserve">further </w:t>
      </w:r>
      <w:r w:rsidR="00E911A1">
        <w:rPr>
          <w:rFonts w:ascii="Arial" w:hAnsi="Arial" w:cs="Arial"/>
          <w:lang w:val="en-US"/>
        </w:rPr>
        <w:t>relie</w:t>
      </w:r>
      <w:r w:rsidR="005606B1">
        <w:rPr>
          <w:rFonts w:ascii="Arial" w:hAnsi="Arial" w:cs="Arial"/>
          <w:lang w:val="en-US"/>
        </w:rPr>
        <w:t>d</w:t>
      </w:r>
      <w:r w:rsidR="00E911A1">
        <w:rPr>
          <w:rFonts w:ascii="Arial" w:hAnsi="Arial" w:cs="Arial"/>
          <w:lang w:val="en-US"/>
        </w:rPr>
        <w:t xml:space="preserve"> </w:t>
      </w:r>
      <w:r w:rsidR="00197953">
        <w:rPr>
          <w:rFonts w:ascii="Arial" w:hAnsi="Arial" w:cs="Arial"/>
          <w:lang w:val="en-US"/>
        </w:rPr>
        <w:t xml:space="preserve">on </w:t>
      </w:r>
      <w:r w:rsidR="005606B1">
        <w:rPr>
          <w:rFonts w:ascii="Arial" w:hAnsi="Arial" w:cs="Arial"/>
          <w:lang w:val="en-US"/>
        </w:rPr>
        <w:t>the decision in</w:t>
      </w:r>
      <w:r w:rsidR="00197953">
        <w:rPr>
          <w:rFonts w:ascii="Arial" w:hAnsi="Arial" w:cs="Arial"/>
          <w:lang w:val="en-US"/>
        </w:rPr>
        <w:t xml:space="preserve"> </w:t>
      </w:r>
      <w:r w:rsidR="00197953" w:rsidRPr="008409D5">
        <w:rPr>
          <w:rFonts w:ascii="Arial" w:hAnsi="Arial" w:cs="Arial"/>
          <w:i/>
        </w:rPr>
        <w:t>ITC 1912</w:t>
      </w:r>
      <w:r w:rsidR="00B25249">
        <w:rPr>
          <w:rStyle w:val="FootnoteReference"/>
          <w:rFonts w:ascii="Arial" w:hAnsi="Arial" w:cs="Arial"/>
          <w:lang w:val="en-US"/>
        </w:rPr>
        <w:footnoteReference w:id="13"/>
      </w:r>
      <w:r w:rsidR="00197953">
        <w:rPr>
          <w:rFonts w:ascii="Arial" w:hAnsi="Arial" w:cs="Arial"/>
          <w:lang w:val="en-US"/>
        </w:rPr>
        <w:t xml:space="preserve"> where the court had occasion to consider the previous </w:t>
      </w:r>
      <w:r w:rsidR="00F645AF">
        <w:rPr>
          <w:rFonts w:ascii="Arial" w:hAnsi="Arial" w:cs="Arial"/>
          <w:lang w:val="en-US"/>
        </w:rPr>
        <w:t xml:space="preserve">iteration of </w:t>
      </w:r>
      <w:r w:rsidR="00D65D0B">
        <w:rPr>
          <w:rFonts w:ascii="Arial" w:hAnsi="Arial" w:cs="Arial"/>
          <w:lang w:val="en-US"/>
        </w:rPr>
        <w:t>sub</w:t>
      </w:r>
      <w:r w:rsidR="00197953">
        <w:rPr>
          <w:rFonts w:ascii="Arial" w:hAnsi="Arial" w:cs="Arial"/>
          <w:lang w:val="en-US"/>
        </w:rPr>
        <w:t>rule 32(3). The appellant submit</w:t>
      </w:r>
      <w:r w:rsidR="005606B1">
        <w:rPr>
          <w:rFonts w:ascii="Arial" w:hAnsi="Arial" w:cs="Arial"/>
          <w:lang w:val="en-US"/>
        </w:rPr>
        <w:t>ted</w:t>
      </w:r>
      <w:r w:rsidR="00197953">
        <w:rPr>
          <w:rFonts w:ascii="Arial" w:hAnsi="Arial" w:cs="Arial"/>
          <w:lang w:val="en-US"/>
        </w:rPr>
        <w:t xml:space="preserve"> that the facts in th</w:t>
      </w:r>
      <w:r w:rsidR="005606B1">
        <w:rPr>
          <w:rFonts w:ascii="Arial" w:hAnsi="Arial" w:cs="Arial"/>
          <w:lang w:val="en-US"/>
        </w:rPr>
        <w:t>at</w:t>
      </w:r>
      <w:r w:rsidR="00197953">
        <w:rPr>
          <w:rFonts w:ascii="Arial" w:hAnsi="Arial" w:cs="Arial"/>
          <w:lang w:val="en-US"/>
        </w:rPr>
        <w:t xml:space="preserve"> </w:t>
      </w:r>
      <w:r w:rsidR="005606B1">
        <w:rPr>
          <w:rFonts w:ascii="Arial" w:hAnsi="Arial" w:cs="Arial"/>
          <w:lang w:val="en-US"/>
        </w:rPr>
        <w:t>matter</w:t>
      </w:r>
      <w:r w:rsidR="00197953">
        <w:rPr>
          <w:rFonts w:ascii="Arial" w:hAnsi="Arial" w:cs="Arial"/>
          <w:lang w:val="en-US"/>
        </w:rPr>
        <w:t xml:space="preserve"> </w:t>
      </w:r>
      <w:r w:rsidR="005606B1">
        <w:rPr>
          <w:rFonts w:ascii="Arial" w:hAnsi="Arial" w:cs="Arial"/>
          <w:lang w:val="en-US"/>
        </w:rPr>
        <w:t>we</w:t>
      </w:r>
      <w:r w:rsidR="00197953">
        <w:rPr>
          <w:rFonts w:ascii="Arial" w:hAnsi="Arial" w:cs="Arial"/>
          <w:lang w:val="en-US"/>
        </w:rPr>
        <w:t>re analogous to th</w:t>
      </w:r>
      <w:r w:rsidR="005606B1">
        <w:rPr>
          <w:rFonts w:ascii="Arial" w:hAnsi="Arial" w:cs="Arial"/>
          <w:lang w:val="en-US"/>
        </w:rPr>
        <w:t>ose in</w:t>
      </w:r>
      <w:r w:rsidR="00197953">
        <w:rPr>
          <w:rFonts w:ascii="Arial" w:hAnsi="Arial" w:cs="Arial"/>
          <w:lang w:val="en-US"/>
        </w:rPr>
        <w:t xml:space="preserve"> the present matter, </w:t>
      </w:r>
      <w:r w:rsidR="005606B1">
        <w:rPr>
          <w:rFonts w:ascii="Arial" w:hAnsi="Arial" w:cs="Arial"/>
          <w:lang w:val="en-US"/>
        </w:rPr>
        <w:t xml:space="preserve">as the </w:t>
      </w:r>
      <w:r w:rsidR="00197953">
        <w:rPr>
          <w:rFonts w:ascii="Arial" w:hAnsi="Arial" w:cs="Arial"/>
          <w:lang w:val="en-US"/>
        </w:rPr>
        <w:t xml:space="preserve">taxpayer </w:t>
      </w:r>
      <w:r w:rsidR="005606B1">
        <w:rPr>
          <w:rFonts w:ascii="Arial" w:hAnsi="Arial" w:cs="Arial"/>
          <w:lang w:val="en-US"/>
        </w:rPr>
        <w:t xml:space="preserve">had </w:t>
      </w:r>
      <w:r w:rsidR="00197953">
        <w:rPr>
          <w:rFonts w:ascii="Arial" w:hAnsi="Arial" w:cs="Arial"/>
          <w:lang w:val="en-US"/>
        </w:rPr>
        <w:t xml:space="preserve">included a new ground of appeal in </w:t>
      </w:r>
      <w:r w:rsidR="00D65D0B">
        <w:rPr>
          <w:rFonts w:ascii="Arial" w:hAnsi="Arial" w:cs="Arial"/>
          <w:lang w:val="en-US"/>
        </w:rPr>
        <w:t>its</w:t>
      </w:r>
      <w:r w:rsidR="00197953">
        <w:rPr>
          <w:rFonts w:ascii="Arial" w:hAnsi="Arial" w:cs="Arial"/>
          <w:lang w:val="en-US"/>
        </w:rPr>
        <w:t xml:space="preserve"> rule 32 statement </w:t>
      </w:r>
      <w:r w:rsidR="00CB79D1">
        <w:rPr>
          <w:rFonts w:ascii="Arial" w:hAnsi="Arial" w:cs="Arial"/>
          <w:lang w:val="en-US"/>
        </w:rPr>
        <w:t>which</w:t>
      </w:r>
      <w:r w:rsidR="00197953">
        <w:rPr>
          <w:rFonts w:ascii="Arial" w:hAnsi="Arial" w:cs="Arial"/>
          <w:lang w:val="en-US"/>
        </w:rPr>
        <w:t xml:space="preserve"> had not been included in </w:t>
      </w:r>
      <w:r w:rsidR="00D65D0B">
        <w:rPr>
          <w:rFonts w:ascii="Arial" w:hAnsi="Arial" w:cs="Arial"/>
          <w:lang w:val="en-US"/>
        </w:rPr>
        <w:t>e</w:t>
      </w:r>
      <w:r w:rsidR="00197953">
        <w:rPr>
          <w:rFonts w:ascii="Arial" w:hAnsi="Arial" w:cs="Arial"/>
          <w:lang w:val="en-US"/>
        </w:rPr>
        <w:t xml:space="preserve">ither its rule 7 </w:t>
      </w:r>
      <w:r w:rsidR="00D65D0B">
        <w:rPr>
          <w:rFonts w:ascii="Arial" w:hAnsi="Arial" w:cs="Arial"/>
          <w:lang w:val="en-US"/>
        </w:rPr>
        <w:t xml:space="preserve">notice of objection </w:t>
      </w:r>
      <w:r w:rsidR="00197953">
        <w:rPr>
          <w:rFonts w:ascii="Arial" w:hAnsi="Arial" w:cs="Arial"/>
          <w:lang w:val="en-US"/>
        </w:rPr>
        <w:t xml:space="preserve">or its rule 10 notice of appeal. This was expressly </w:t>
      </w:r>
      <w:r w:rsidR="00D65D0B">
        <w:rPr>
          <w:rFonts w:ascii="Arial" w:hAnsi="Arial" w:cs="Arial"/>
          <w:lang w:val="en-US"/>
        </w:rPr>
        <w:t>pointed out</w:t>
      </w:r>
      <w:r w:rsidR="00197953">
        <w:rPr>
          <w:rFonts w:ascii="Arial" w:hAnsi="Arial" w:cs="Arial"/>
          <w:lang w:val="en-US"/>
        </w:rPr>
        <w:t xml:space="preserve"> by the taxpayer </w:t>
      </w:r>
      <w:r w:rsidR="00D65D0B">
        <w:rPr>
          <w:rFonts w:ascii="Arial" w:hAnsi="Arial" w:cs="Arial"/>
          <w:lang w:val="en-US"/>
        </w:rPr>
        <w:t>in its</w:t>
      </w:r>
      <w:r w:rsidR="00197953">
        <w:rPr>
          <w:rFonts w:ascii="Arial" w:hAnsi="Arial" w:cs="Arial"/>
          <w:lang w:val="en-US"/>
        </w:rPr>
        <w:t xml:space="preserve"> rule 32 statement</w:t>
      </w:r>
      <w:r w:rsidR="00D65D0B">
        <w:rPr>
          <w:rFonts w:ascii="Arial" w:hAnsi="Arial" w:cs="Arial"/>
          <w:lang w:val="en-US"/>
        </w:rPr>
        <w:t>,</w:t>
      </w:r>
      <w:r w:rsidR="00197953">
        <w:rPr>
          <w:rFonts w:ascii="Arial" w:hAnsi="Arial" w:cs="Arial"/>
          <w:lang w:val="en-US"/>
        </w:rPr>
        <w:t xml:space="preserve"> </w:t>
      </w:r>
      <w:r w:rsidR="00D91267">
        <w:rPr>
          <w:rFonts w:ascii="Arial" w:hAnsi="Arial" w:cs="Arial"/>
          <w:lang w:val="en-US"/>
        </w:rPr>
        <w:t>where</w:t>
      </w:r>
      <w:r w:rsidR="00197953">
        <w:rPr>
          <w:rFonts w:ascii="Arial" w:hAnsi="Arial" w:cs="Arial"/>
          <w:lang w:val="en-US"/>
        </w:rPr>
        <w:t xml:space="preserve"> it </w:t>
      </w:r>
      <w:r w:rsidR="00D91267">
        <w:rPr>
          <w:rFonts w:ascii="Arial" w:hAnsi="Arial" w:cs="Arial"/>
          <w:lang w:val="en-US"/>
        </w:rPr>
        <w:t xml:space="preserve">had </w:t>
      </w:r>
      <w:r w:rsidR="00197953">
        <w:rPr>
          <w:rFonts w:ascii="Arial" w:hAnsi="Arial" w:cs="Arial"/>
          <w:lang w:val="en-US"/>
        </w:rPr>
        <w:t>claimed that the new ground</w:t>
      </w:r>
      <w:r w:rsidR="00D91267">
        <w:rPr>
          <w:rFonts w:ascii="Arial" w:hAnsi="Arial" w:cs="Arial"/>
          <w:lang w:val="en-US"/>
        </w:rPr>
        <w:t xml:space="preserve"> it raised</w:t>
      </w:r>
      <w:r w:rsidR="00197953">
        <w:rPr>
          <w:rFonts w:ascii="Arial" w:hAnsi="Arial" w:cs="Arial"/>
          <w:lang w:val="en-US"/>
        </w:rPr>
        <w:t xml:space="preserve"> was not prohibited</w:t>
      </w:r>
      <w:r w:rsidR="00D65D0B">
        <w:rPr>
          <w:rFonts w:ascii="Arial" w:hAnsi="Arial" w:cs="Arial"/>
          <w:lang w:val="en-US"/>
        </w:rPr>
        <w:t>,</w:t>
      </w:r>
      <w:r w:rsidR="00197953">
        <w:rPr>
          <w:rFonts w:ascii="Arial" w:hAnsi="Arial" w:cs="Arial"/>
          <w:lang w:val="en-US"/>
        </w:rPr>
        <w:t xml:space="preserve"> because it related neither </w:t>
      </w:r>
      <w:r w:rsidR="00CB79D1">
        <w:rPr>
          <w:rFonts w:ascii="Arial" w:hAnsi="Arial" w:cs="Arial"/>
          <w:lang w:val="en-US"/>
        </w:rPr>
        <w:t xml:space="preserve">to </w:t>
      </w:r>
      <w:r w:rsidR="00197953">
        <w:rPr>
          <w:rFonts w:ascii="Arial" w:hAnsi="Arial" w:cs="Arial"/>
          <w:lang w:val="en-US"/>
        </w:rPr>
        <w:t xml:space="preserve">a part nor an amount that had not been objected to under rule 7. </w:t>
      </w:r>
      <w:r w:rsidR="00D65D0B">
        <w:rPr>
          <w:rFonts w:ascii="Arial" w:hAnsi="Arial" w:cs="Arial"/>
          <w:lang w:val="en-US"/>
        </w:rPr>
        <w:t>A</w:t>
      </w:r>
      <w:r w:rsidR="00197953">
        <w:rPr>
          <w:rFonts w:ascii="Arial" w:hAnsi="Arial" w:cs="Arial"/>
          <w:lang w:val="en-US"/>
        </w:rPr>
        <w:t xml:space="preserve">s in this </w:t>
      </w:r>
      <w:r w:rsidR="00D65D0B">
        <w:rPr>
          <w:rFonts w:ascii="Arial" w:hAnsi="Arial" w:cs="Arial"/>
          <w:lang w:val="en-US"/>
        </w:rPr>
        <w:t>matter</w:t>
      </w:r>
      <w:r w:rsidR="00166DE3">
        <w:rPr>
          <w:rFonts w:ascii="Arial" w:hAnsi="Arial" w:cs="Arial"/>
          <w:lang w:val="en-US"/>
        </w:rPr>
        <w:t>,</w:t>
      </w:r>
      <w:r w:rsidR="00197953">
        <w:rPr>
          <w:rFonts w:ascii="Arial" w:hAnsi="Arial" w:cs="Arial"/>
          <w:lang w:val="en-US"/>
        </w:rPr>
        <w:t xml:space="preserve"> SARS</w:t>
      </w:r>
      <w:r w:rsidR="00D91267">
        <w:rPr>
          <w:rFonts w:ascii="Arial" w:hAnsi="Arial" w:cs="Arial"/>
          <w:lang w:val="en-US"/>
        </w:rPr>
        <w:t xml:space="preserve"> had</w:t>
      </w:r>
      <w:r w:rsidR="00197953">
        <w:rPr>
          <w:rFonts w:ascii="Arial" w:hAnsi="Arial" w:cs="Arial"/>
          <w:lang w:val="en-US"/>
        </w:rPr>
        <w:t xml:space="preserve"> brought an interlocutory application to strike out the new ground on the basis that it was not permissible in terms of the rules.  </w:t>
      </w:r>
    </w:p>
    <w:p w14:paraId="76C438EC" w14:textId="77777777" w:rsidR="00166DE3" w:rsidRDefault="00166DE3" w:rsidP="00197953">
      <w:pPr>
        <w:spacing w:line="480" w:lineRule="auto"/>
        <w:jc w:val="both"/>
        <w:rPr>
          <w:rFonts w:ascii="Arial" w:hAnsi="Arial" w:cs="Arial"/>
          <w:lang w:val="en-US"/>
        </w:rPr>
      </w:pPr>
    </w:p>
    <w:p w14:paraId="45E6098A" w14:textId="648982FB" w:rsidR="000B0665" w:rsidRDefault="005B6E32" w:rsidP="00197953">
      <w:pPr>
        <w:spacing w:line="480" w:lineRule="auto"/>
        <w:jc w:val="both"/>
        <w:rPr>
          <w:rFonts w:ascii="Arial" w:hAnsi="Arial" w:cs="Arial"/>
          <w:lang w:val="en-US"/>
        </w:rPr>
      </w:pPr>
      <w:r>
        <w:rPr>
          <w:rFonts w:ascii="Arial" w:hAnsi="Arial" w:cs="Arial"/>
          <w:lang w:val="en-US"/>
        </w:rPr>
        <w:t>[</w:t>
      </w:r>
      <w:r w:rsidR="00D65D0B">
        <w:rPr>
          <w:rFonts w:ascii="Arial" w:hAnsi="Arial" w:cs="Arial"/>
          <w:lang w:val="en-US"/>
        </w:rPr>
        <w:t>40</w:t>
      </w:r>
      <w:r>
        <w:rPr>
          <w:rFonts w:ascii="Arial" w:hAnsi="Arial" w:cs="Arial"/>
          <w:lang w:val="en-US"/>
        </w:rPr>
        <w:t>]</w:t>
      </w:r>
      <w:r>
        <w:rPr>
          <w:rFonts w:ascii="Arial" w:hAnsi="Arial" w:cs="Arial"/>
          <w:lang w:val="en-US"/>
        </w:rPr>
        <w:tab/>
      </w:r>
      <w:r w:rsidR="00197953">
        <w:rPr>
          <w:rFonts w:ascii="Arial" w:hAnsi="Arial" w:cs="Arial"/>
          <w:lang w:val="en-US"/>
        </w:rPr>
        <w:t xml:space="preserve">The appellant relies on this decision for its submission that it </w:t>
      </w:r>
      <w:r w:rsidR="00D65D0B">
        <w:rPr>
          <w:rFonts w:ascii="Arial" w:hAnsi="Arial" w:cs="Arial"/>
          <w:lang w:val="en-US"/>
        </w:rPr>
        <w:t>is</w:t>
      </w:r>
      <w:r w:rsidR="00197953">
        <w:rPr>
          <w:rFonts w:ascii="Arial" w:hAnsi="Arial" w:cs="Arial"/>
          <w:lang w:val="en-US"/>
        </w:rPr>
        <w:t xml:space="preserve"> </w:t>
      </w:r>
      <w:r w:rsidR="00A66282">
        <w:rPr>
          <w:rFonts w:ascii="Arial" w:hAnsi="Arial" w:cs="Arial"/>
          <w:lang w:val="en-US"/>
        </w:rPr>
        <w:t>apparent</w:t>
      </w:r>
      <w:r w:rsidR="00D91267">
        <w:rPr>
          <w:rFonts w:ascii="Arial" w:hAnsi="Arial" w:cs="Arial"/>
          <w:lang w:val="en-US"/>
        </w:rPr>
        <w:t>,</w:t>
      </w:r>
      <w:r w:rsidR="00197953">
        <w:rPr>
          <w:rFonts w:ascii="Arial" w:hAnsi="Arial" w:cs="Arial"/>
          <w:lang w:val="en-US"/>
        </w:rPr>
        <w:t xml:space="preserve"> from the scheme of the rules</w:t>
      </w:r>
      <w:r w:rsidR="00D91267">
        <w:rPr>
          <w:rFonts w:ascii="Arial" w:hAnsi="Arial" w:cs="Arial"/>
          <w:lang w:val="en-US"/>
        </w:rPr>
        <w:t>,</w:t>
      </w:r>
      <w:r w:rsidR="00197953">
        <w:rPr>
          <w:rFonts w:ascii="Arial" w:hAnsi="Arial" w:cs="Arial"/>
          <w:lang w:val="en-US"/>
        </w:rPr>
        <w:t xml:space="preserve"> that taxpayers </w:t>
      </w:r>
      <w:r w:rsidR="00D65D0B">
        <w:rPr>
          <w:rFonts w:ascii="Arial" w:hAnsi="Arial" w:cs="Arial"/>
          <w:lang w:val="en-US"/>
        </w:rPr>
        <w:t>a</w:t>
      </w:r>
      <w:r w:rsidR="00197953">
        <w:rPr>
          <w:rFonts w:ascii="Arial" w:hAnsi="Arial" w:cs="Arial"/>
          <w:lang w:val="en-US"/>
        </w:rPr>
        <w:t>re no longer restricted</w:t>
      </w:r>
      <w:r w:rsidR="00D65D0B">
        <w:rPr>
          <w:rFonts w:ascii="Arial" w:hAnsi="Arial" w:cs="Arial"/>
          <w:lang w:val="en-US"/>
        </w:rPr>
        <w:t>,</w:t>
      </w:r>
      <w:r w:rsidR="00197953">
        <w:rPr>
          <w:rFonts w:ascii="Arial" w:hAnsi="Arial" w:cs="Arial"/>
          <w:lang w:val="en-US"/>
        </w:rPr>
        <w:t xml:space="preserve"> on appeal, to the grounds of objection originally filed by them</w:t>
      </w:r>
      <w:r w:rsidR="00D65D0B">
        <w:rPr>
          <w:rFonts w:ascii="Arial" w:hAnsi="Arial" w:cs="Arial"/>
          <w:lang w:val="en-US"/>
        </w:rPr>
        <w:t xml:space="preserve">, </w:t>
      </w:r>
      <w:r w:rsidR="008666F1">
        <w:rPr>
          <w:rFonts w:ascii="Arial" w:hAnsi="Arial" w:cs="Arial"/>
          <w:lang w:val="en-US"/>
        </w:rPr>
        <w:t>as</w:t>
      </w:r>
      <w:r w:rsidR="00197953">
        <w:rPr>
          <w:rFonts w:ascii="Arial" w:hAnsi="Arial" w:cs="Arial"/>
          <w:lang w:val="en-US"/>
        </w:rPr>
        <w:t xml:space="preserve"> provision </w:t>
      </w:r>
      <w:r w:rsidR="00D65D0B">
        <w:rPr>
          <w:rFonts w:ascii="Arial" w:hAnsi="Arial" w:cs="Arial"/>
          <w:lang w:val="en-US"/>
        </w:rPr>
        <w:t>is</w:t>
      </w:r>
      <w:r w:rsidR="00197953">
        <w:rPr>
          <w:rFonts w:ascii="Arial" w:hAnsi="Arial" w:cs="Arial"/>
          <w:lang w:val="en-US"/>
        </w:rPr>
        <w:t xml:space="preserve"> made for new grounds to be advanced in terms of </w:t>
      </w:r>
      <w:r w:rsidR="00D65D0B">
        <w:rPr>
          <w:rFonts w:ascii="Arial" w:hAnsi="Arial" w:cs="Arial"/>
          <w:lang w:val="en-US"/>
        </w:rPr>
        <w:t xml:space="preserve">both </w:t>
      </w:r>
      <w:r w:rsidR="00197953">
        <w:rPr>
          <w:rFonts w:ascii="Arial" w:hAnsi="Arial" w:cs="Arial"/>
          <w:lang w:val="en-US"/>
        </w:rPr>
        <w:t>rule</w:t>
      </w:r>
      <w:r w:rsidR="00E04C99">
        <w:rPr>
          <w:rFonts w:ascii="Arial" w:hAnsi="Arial" w:cs="Arial"/>
          <w:lang w:val="en-US"/>
        </w:rPr>
        <w:t>s</w:t>
      </w:r>
      <w:r w:rsidR="00197953">
        <w:rPr>
          <w:rFonts w:ascii="Arial" w:hAnsi="Arial" w:cs="Arial"/>
          <w:lang w:val="en-US"/>
        </w:rPr>
        <w:t xml:space="preserve"> 10(</w:t>
      </w:r>
      <w:r w:rsidR="00E04C99">
        <w:rPr>
          <w:rFonts w:ascii="Arial" w:hAnsi="Arial" w:cs="Arial"/>
          <w:lang w:val="en-US"/>
        </w:rPr>
        <w:t>3</w:t>
      </w:r>
      <w:r w:rsidR="00197953">
        <w:rPr>
          <w:rFonts w:ascii="Arial" w:hAnsi="Arial" w:cs="Arial"/>
          <w:lang w:val="en-US"/>
        </w:rPr>
        <w:t>)</w:t>
      </w:r>
      <w:r w:rsidR="00E04C99">
        <w:rPr>
          <w:rFonts w:ascii="Arial" w:hAnsi="Arial" w:cs="Arial"/>
          <w:lang w:val="en-US"/>
        </w:rPr>
        <w:t>-10(4)</w:t>
      </w:r>
      <w:r w:rsidR="00197953">
        <w:rPr>
          <w:rFonts w:ascii="Arial" w:hAnsi="Arial" w:cs="Arial"/>
          <w:lang w:val="en-US"/>
        </w:rPr>
        <w:t xml:space="preserve"> and rule 33, which provides that SARS may file a reply to the taxpayer</w:t>
      </w:r>
      <w:r w:rsidR="008666F1">
        <w:rPr>
          <w:rFonts w:ascii="Arial" w:hAnsi="Arial" w:cs="Arial"/>
          <w:lang w:val="en-US"/>
        </w:rPr>
        <w:t>’</w:t>
      </w:r>
      <w:r w:rsidR="00197953">
        <w:rPr>
          <w:rFonts w:ascii="Arial" w:hAnsi="Arial" w:cs="Arial"/>
          <w:lang w:val="en-US"/>
        </w:rPr>
        <w:t>s rule 32 statement</w:t>
      </w:r>
      <w:r w:rsidR="00D91267">
        <w:rPr>
          <w:rFonts w:ascii="Arial" w:hAnsi="Arial" w:cs="Arial"/>
          <w:lang w:val="en-US"/>
        </w:rPr>
        <w:t>,</w:t>
      </w:r>
      <w:r w:rsidR="00197953">
        <w:rPr>
          <w:rFonts w:ascii="Arial" w:hAnsi="Arial" w:cs="Arial"/>
          <w:lang w:val="en-US"/>
        </w:rPr>
        <w:t xml:space="preserve"> which must deal with any new grounds</w:t>
      </w:r>
      <w:r w:rsidR="00D65D0B">
        <w:rPr>
          <w:rFonts w:ascii="Arial" w:hAnsi="Arial" w:cs="Arial"/>
          <w:lang w:val="en-US"/>
        </w:rPr>
        <w:t xml:space="preserve"> advanced by the taxpayer</w:t>
      </w:r>
      <w:r w:rsidR="00197953">
        <w:rPr>
          <w:rFonts w:ascii="Arial" w:hAnsi="Arial" w:cs="Arial"/>
          <w:lang w:val="en-US"/>
        </w:rPr>
        <w:t xml:space="preserve">. </w:t>
      </w:r>
    </w:p>
    <w:p w14:paraId="5E027A3F" w14:textId="77777777" w:rsidR="000B0665" w:rsidRDefault="000B0665" w:rsidP="00197953">
      <w:pPr>
        <w:spacing w:line="480" w:lineRule="auto"/>
        <w:jc w:val="both"/>
        <w:rPr>
          <w:rFonts w:ascii="Arial" w:hAnsi="Arial" w:cs="Arial"/>
          <w:lang w:val="en-US"/>
        </w:rPr>
      </w:pPr>
    </w:p>
    <w:p w14:paraId="2D616BEB" w14:textId="17A9303F" w:rsidR="00BF4DFB" w:rsidRDefault="005B6E32" w:rsidP="00197953">
      <w:pPr>
        <w:spacing w:line="480" w:lineRule="auto"/>
        <w:jc w:val="both"/>
        <w:rPr>
          <w:rFonts w:ascii="Arial" w:hAnsi="Arial" w:cs="Arial"/>
          <w:lang w:val="en-US"/>
        </w:rPr>
      </w:pPr>
      <w:r>
        <w:rPr>
          <w:rFonts w:ascii="Arial" w:hAnsi="Arial" w:cs="Arial"/>
          <w:lang w:val="en-US"/>
        </w:rPr>
        <w:t>[</w:t>
      </w:r>
      <w:r w:rsidR="00D65D0B">
        <w:rPr>
          <w:rFonts w:ascii="Arial" w:hAnsi="Arial" w:cs="Arial"/>
          <w:lang w:val="en-US"/>
        </w:rPr>
        <w:t>41</w:t>
      </w:r>
      <w:r>
        <w:rPr>
          <w:rFonts w:ascii="Arial" w:hAnsi="Arial" w:cs="Arial"/>
          <w:lang w:val="en-US"/>
        </w:rPr>
        <w:t>]</w:t>
      </w:r>
      <w:r>
        <w:rPr>
          <w:rFonts w:ascii="Arial" w:hAnsi="Arial" w:cs="Arial"/>
          <w:lang w:val="en-US"/>
        </w:rPr>
        <w:tab/>
      </w:r>
      <w:r w:rsidR="00197953">
        <w:rPr>
          <w:rFonts w:ascii="Arial" w:hAnsi="Arial" w:cs="Arial"/>
          <w:lang w:val="en-US"/>
        </w:rPr>
        <w:t xml:space="preserve">Further innovations were </w:t>
      </w:r>
      <w:r w:rsidR="00D65D0B">
        <w:rPr>
          <w:rFonts w:ascii="Arial" w:hAnsi="Arial" w:cs="Arial"/>
          <w:lang w:val="en-US"/>
        </w:rPr>
        <w:t>introduced in</w:t>
      </w:r>
      <w:r w:rsidR="00197953">
        <w:rPr>
          <w:rFonts w:ascii="Arial" w:hAnsi="Arial" w:cs="Arial"/>
          <w:lang w:val="en-US"/>
        </w:rPr>
        <w:t xml:space="preserve"> </w:t>
      </w:r>
      <w:r w:rsidR="00AB267F">
        <w:rPr>
          <w:rFonts w:ascii="Arial" w:hAnsi="Arial" w:cs="Arial"/>
          <w:lang w:val="en-US"/>
        </w:rPr>
        <w:t xml:space="preserve">terms of </w:t>
      </w:r>
      <w:r w:rsidR="00197953">
        <w:rPr>
          <w:rFonts w:ascii="Arial" w:hAnsi="Arial" w:cs="Arial"/>
          <w:lang w:val="en-US"/>
        </w:rPr>
        <w:t xml:space="preserve">rule 31(3) and 32(3), and it was also significant that </w:t>
      </w:r>
      <w:r w:rsidR="00B53844">
        <w:rPr>
          <w:rFonts w:ascii="Arial" w:hAnsi="Arial" w:cs="Arial"/>
          <w:lang w:val="en-US"/>
        </w:rPr>
        <w:t>in terms of rule</w:t>
      </w:r>
      <w:r w:rsidR="00E33F5A">
        <w:rPr>
          <w:rFonts w:ascii="Arial" w:hAnsi="Arial" w:cs="Arial"/>
          <w:lang w:val="en-US"/>
        </w:rPr>
        <w:t xml:space="preserve"> 35</w:t>
      </w:r>
      <w:r w:rsidR="00B53844">
        <w:rPr>
          <w:rFonts w:ascii="Arial" w:hAnsi="Arial" w:cs="Arial"/>
          <w:lang w:val="en-US"/>
        </w:rPr>
        <w:t xml:space="preserve"> </w:t>
      </w:r>
      <w:r w:rsidR="00D65D0B">
        <w:rPr>
          <w:rFonts w:ascii="Arial" w:hAnsi="Arial" w:cs="Arial"/>
          <w:lang w:val="en-US"/>
        </w:rPr>
        <w:t xml:space="preserve">the </w:t>
      </w:r>
      <w:r w:rsidR="00197953">
        <w:rPr>
          <w:rFonts w:ascii="Arial" w:hAnsi="Arial" w:cs="Arial"/>
          <w:lang w:val="en-US"/>
        </w:rPr>
        <w:t xml:space="preserve">statements </w:t>
      </w:r>
      <w:r w:rsidR="00D91267">
        <w:rPr>
          <w:rFonts w:ascii="Arial" w:hAnsi="Arial" w:cs="Arial"/>
          <w:lang w:val="en-US"/>
        </w:rPr>
        <w:t xml:space="preserve">lodged </w:t>
      </w:r>
      <w:r w:rsidR="00197953">
        <w:rPr>
          <w:rFonts w:ascii="Arial" w:hAnsi="Arial" w:cs="Arial"/>
          <w:lang w:val="en-US"/>
        </w:rPr>
        <w:t>under rules 31 and 32 c</w:t>
      </w:r>
      <w:r w:rsidR="00B53844">
        <w:rPr>
          <w:rFonts w:ascii="Arial" w:hAnsi="Arial" w:cs="Arial"/>
          <w:lang w:val="en-US"/>
        </w:rPr>
        <w:t>an now</w:t>
      </w:r>
      <w:r w:rsidR="00197953">
        <w:rPr>
          <w:rFonts w:ascii="Arial" w:hAnsi="Arial" w:cs="Arial"/>
          <w:lang w:val="en-US"/>
        </w:rPr>
        <w:t xml:space="preserve"> be amended</w:t>
      </w:r>
      <w:r w:rsidR="000361F4">
        <w:rPr>
          <w:rFonts w:ascii="Arial" w:hAnsi="Arial" w:cs="Arial"/>
          <w:lang w:val="en-US"/>
        </w:rPr>
        <w:t>,</w:t>
      </w:r>
      <w:r w:rsidR="00197953">
        <w:rPr>
          <w:rFonts w:ascii="Arial" w:hAnsi="Arial" w:cs="Arial"/>
          <w:lang w:val="en-US"/>
        </w:rPr>
        <w:t xml:space="preserve"> either by agreement or upon application to the </w:t>
      </w:r>
      <w:r w:rsidR="000361F4">
        <w:rPr>
          <w:rFonts w:ascii="Arial" w:hAnsi="Arial" w:cs="Arial"/>
          <w:lang w:val="en-US"/>
        </w:rPr>
        <w:t xml:space="preserve">tax </w:t>
      </w:r>
      <w:r w:rsidR="00197953">
        <w:rPr>
          <w:rFonts w:ascii="Arial" w:hAnsi="Arial" w:cs="Arial"/>
          <w:lang w:val="en-US"/>
        </w:rPr>
        <w:t>court. According to the appellant</w:t>
      </w:r>
      <w:r>
        <w:rPr>
          <w:rFonts w:ascii="Arial" w:hAnsi="Arial" w:cs="Arial"/>
          <w:lang w:val="en-US"/>
        </w:rPr>
        <w:t>,</w:t>
      </w:r>
      <w:r w:rsidR="00197953">
        <w:rPr>
          <w:rFonts w:ascii="Arial" w:hAnsi="Arial" w:cs="Arial"/>
          <w:lang w:val="en-US"/>
        </w:rPr>
        <w:t xml:space="preserve"> this was</w:t>
      </w:r>
      <w:r w:rsidR="00E33F5A">
        <w:rPr>
          <w:rFonts w:ascii="Arial" w:hAnsi="Arial" w:cs="Arial"/>
          <w:lang w:val="en-US"/>
        </w:rPr>
        <w:t xml:space="preserve"> a </w:t>
      </w:r>
      <w:r w:rsidR="00197953">
        <w:rPr>
          <w:rFonts w:ascii="Arial" w:hAnsi="Arial" w:cs="Arial"/>
          <w:lang w:val="en-US"/>
        </w:rPr>
        <w:t xml:space="preserve">further </w:t>
      </w:r>
      <w:r w:rsidR="00E33F5A">
        <w:rPr>
          <w:rFonts w:ascii="Arial" w:hAnsi="Arial" w:cs="Arial"/>
          <w:lang w:val="en-US"/>
        </w:rPr>
        <w:t>indication</w:t>
      </w:r>
      <w:r w:rsidR="00197953">
        <w:rPr>
          <w:rFonts w:ascii="Arial" w:hAnsi="Arial" w:cs="Arial"/>
          <w:lang w:val="en-US"/>
        </w:rPr>
        <w:t xml:space="preserve"> of an intention to broaden, rather than </w:t>
      </w:r>
      <w:r w:rsidR="00B53844">
        <w:rPr>
          <w:rFonts w:ascii="Arial" w:hAnsi="Arial" w:cs="Arial"/>
          <w:lang w:val="en-US"/>
        </w:rPr>
        <w:t>to limit</w:t>
      </w:r>
      <w:r w:rsidR="00197953">
        <w:rPr>
          <w:rFonts w:ascii="Arial" w:hAnsi="Arial" w:cs="Arial"/>
          <w:lang w:val="en-US"/>
        </w:rPr>
        <w:t>, the ambit of the issues that c</w:t>
      </w:r>
      <w:r w:rsidR="00B53844">
        <w:rPr>
          <w:rFonts w:ascii="Arial" w:hAnsi="Arial" w:cs="Arial"/>
          <w:lang w:val="en-US"/>
        </w:rPr>
        <w:t>an</w:t>
      </w:r>
      <w:r w:rsidR="00197953">
        <w:rPr>
          <w:rFonts w:ascii="Arial" w:hAnsi="Arial" w:cs="Arial"/>
          <w:lang w:val="en-US"/>
        </w:rPr>
        <w:t xml:space="preserve"> be dealt with in the tax appeal </w:t>
      </w:r>
      <w:r w:rsidR="00197953">
        <w:rPr>
          <w:rFonts w:ascii="Arial" w:hAnsi="Arial" w:cs="Arial"/>
          <w:lang w:val="en-US"/>
        </w:rPr>
        <w:lastRenderedPageBreak/>
        <w:t xml:space="preserve">process. The changes demonstrated a new flexibility in the </w:t>
      </w:r>
      <w:r w:rsidR="00E33F5A">
        <w:rPr>
          <w:rFonts w:ascii="Arial" w:hAnsi="Arial" w:cs="Arial"/>
          <w:lang w:val="en-US"/>
        </w:rPr>
        <w:t>pro</w:t>
      </w:r>
      <w:r w:rsidR="00197953">
        <w:rPr>
          <w:rFonts w:ascii="Arial" w:hAnsi="Arial" w:cs="Arial"/>
          <w:lang w:val="en-US"/>
        </w:rPr>
        <w:t xml:space="preserve">cess and a move away from the rigidity </w:t>
      </w:r>
      <w:r w:rsidR="00E71AAB">
        <w:rPr>
          <w:rFonts w:ascii="Arial" w:hAnsi="Arial" w:cs="Arial"/>
          <w:lang w:val="en-US"/>
        </w:rPr>
        <w:t>which</w:t>
      </w:r>
      <w:r w:rsidR="00197953">
        <w:rPr>
          <w:rFonts w:ascii="Arial" w:hAnsi="Arial" w:cs="Arial"/>
          <w:lang w:val="en-US"/>
        </w:rPr>
        <w:t xml:space="preserve"> </w:t>
      </w:r>
      <w:r w:rsidR="00197953" w:rsidRPr="008409D5">
        <w:rPr>
          <w:rFonts w:ascii="Arial" w:hAnsi="Arial" w:cs="Arial"/>
        </w:rPr>
        <w:t>characterised</w:t>
      </w:r>
      <w:r w:rsidR="00197953">
        <w:rPr>
          <w:rFonts w:ascii="Arial" w:hAnsi="Arial" w:cs="Arial"/>
          <w:lang w:val="en-US"/>
        </w:rPr>
        <w:t xml:space="preserve"> the previous regime.</w:t>
      </w:r>
      <w:r>
        <w:rPr>
          <w:rFonts w:ascii="Arial" w:hAnsi="Arial" w:cs="Arial"/>
          <w:lang w:val="en-US"/>
        </w:rPr>
        <w:t xml:space="preserve">  </w:t>
      </w:r>
    </w:p>
    <w:p w14:paraId="7DBE799E" w14:textId="77777777" w:rsidR="00BF4DFB" w:rsidRDefault="00BF4DFB" w:rsidP="00197953">
      <w:pPr>
        <w:spacing w:line="480" w:lineRule="auto"/>
        <w:jc w:val="both"/>
        <w:rPr>
          <w:rFonts w:ascii="Arial" w:hAnsi="Arial" w:cs="Arial"/>
          <w:lang w:val="en-US"/>
        </w:rPr>
      </w:pPr>
    </w:p>
    <w:p w14:paraId="6A8A53A5" w14:textId="0A72CB07" w:rsidR="00197953" w:rsidRDefault="00BF4DFB" w:rsidP="00197953">
      <w:pPr>
        <w:spacing w:line="480" w:lineRule="auto"/>
        <w:jc w:val="both"/>
        <w:rPr>
          <w:rFonts w:ascii="Arial" w:hAnsi="Arial" w:cs="Arial"/>
          <w:lang w:val="en-US"/>
        </w:rPr>
      </w:pPr>
      <w:r>
        <w:rPr>
          <w:rFonts w:ascii="Arial" w:hAnsi="Arial" w:cs="Arial"/>
          <w:lang w:val="en-US"/>
        </w:rPr>
        <w:t>[</w:t>
      </w:r>
      <w:r w:rsidR="000361F4">
        <w:rPr>
          <w:rFonts w:ascii="Arial" w:hAnsi="Arial" w:cs="Arial"/>
          <w:lang w:val="en-US"/>
        </w:rPr>
        <w:t>42</w:t>
      </w:r>
      <w:r>
        <w:rPr>
          <w:rFonts w:ascii="Arial" w:hAnsi="Arial" w:cs="Arial"/>
          <w:lang w:val="en-US"/>
        </w:rPr>
        <w:t>]</w:t>
      </w:r>
      <w:r>
        <w:rPr>
          <w:rFonts w:ascii="Arial" w:hAnsi="Arial" w:cs="Arial"/>
          <w:lang w:val="en-US"/>
        </w:rPr>
        <w:tab/>
      </w:r>
      <w:r w:rsidR="00715747">
        <w:rPr>
          <w:rFonts w:ascii="Arial" w:hAnsi="Arial" w:cs="Arial"/>
          <w:lang w:val="en-US"/>
        </w:rPr>
        <w:t>T</w:t>
      </w:r>
      <w:r w:rsidR="00197953">
        <w:rPr>
          <w:rFonts w:ascii="Arial" w:hAnsi="Arial" w:cs="Arial"/>
          <w:lang w:val="en-US"/>
        </w:rPr>
        <w:t xml:space="preserve">he </w:t>
      </w:r>
      <w:r w:rsidR="00A66282">
        <w:rPr>
          <w:rFonts w:ascii="Arial" w:hAnsi="Arial" w:cs="Arial"/>
          <w:lang w:val="en-US"/>
        </w:rPr>
        <w:t xml:space="preserve">appellant contended that the </w:t>
      </w:r>
      <w:r w:rsidR="00197953">
        <w:rPr>
          <w:rFonts w:ascii="Arial" w:hAnsi="Arial" w:cs="Arial"/>
          <w:lang w:val="en-US"/>
        </w:rPr>
        <w:t xml:space="preserve">interpretation </w:t>
      </w:r>
      <w:r w:rsidR="000361F4">
        <w:rPr>
          <w:rFonts w:ascii="Arial" w:hAnsi="Arial" w:cs="Arial"/>
          <w:lang w:val="en-US"/>
        </w:rPr>
        <w:t>which</w:t>
      </w:r>
      <w:r w:rsidR="00197953">
        <w:rPr>
          <w:rFonts w:ascii="Arial" w:hAnsi="Arial" w:cs="Arial"/>
          <w:lang w:val="en-US"/>
        </w:rPr>
        <w:t xml:space="preserve"> the </w:t>
      </w:r>
      <w:r w:rsidR="000361F4">
        <w:rPr>
          <w:rFonts w:ascii="Arial" w:hAnsi="Arial" w:cs="Arial"/>
          <w:lang w:val="en-US"/>
        </w:rPr>
        <w:t xml:space="preserve">tax </w:t>
      </w:r>
      <w:r w:rsidR="00197953">
        <w:rPr>
          <w:rFonts w:ascii="Arial" w:hAnsi="Arial" w:cs="Arial"/>
          <w:lang w:val="en-US"/>
        </w:rPr>
        <w:t xml:space="preserve">court adopted in </w:t>
      </w:r>
      <w:r w:rsidR="00197953" w:rsidRPr="008409D5">
        <w:rPr>
          <w:rFonts w:ascii="Arial" w:hAnsi="Arial" w:cs="Arial"/>
          <w:i/>
          <w:lang w:val="en-US"/>
        </w:rPr>
        <w:t>ITC 1912</w:t>
      </w:r>
      <w:r w:rsidR="00197953">
        <w:rPr>
          <w:rFonts w:ascii="Arial" w:hAnsi="Arial" w:cs="Arial"/>
          <w:lang w:val="en-US"/>
        </w:rPr>
        <w:t xml:space="preserve"> of </w:t>
      </w:r>
      <w:r w:rsidR="00E71AAB">
        <w:rPr>
          <w:rFonts w:ascii="Arial" w:hAnsi="Arial" w:cs="Arial"/>
          <w:lang w:val="en-US"/>
        </w:rPr>
        <w:t>(</w:t>
      </w:r>
      <w:r w:rsidR="00197953">
        <w:rPr>
          <w:rFonts w:ascii="Arial" w:hAnsi="Arial" w:cs="Arial"/>
          <w:lang w:val="en-US"/>
        </w:rPr>
        <w:t>the previous</w:t>
      </w:r>
      <w:r w:rsidR="000361F4">
        <w:rPr>
          <w:rFonts w:ascii="Arial" w:hAnsi="Arial" w:cs="Arial"/>
          <w:lang w:val="en-US"/>
        </w:rPr>
        <w:t>)</w:t>
      </w:r>
      <w:r w:rsidR="00197953">
        <w:rPr>
          <w:rFonts w:ascii="Arial" w:hAnsi="Arial" w:cs="Arial"/>
          <w:lang w:val="en-US"/>
        </w:rPr>
        <w:t xml:space="preserve"> rule 32(3)</w:t>
      </w:r>
      <w:r w:rsidR="00E04C99">
        <w:rPr>
          <w:rFonts w:ascii="Arial" w:hAnsi="Arial" w:cs="Arial"/>
          <w:lang w:val="en-US"/>
        </w:rPr>
        <w:t>)</w:t>
      </w:r>
      <w:r w:rsidR="00197953">
        <w:rPr>
          <w:rFonts w:ascii="Arial" w:hAnsi="Arial" w:cs="Arial"/>
          <w:lang w:val="en-US"/>
        </w:rPr>
        <w:t xml:space="preserve"> </w:t>
      </w:r>
      <w:r w:rsidR="000361F4">
        <w:rPr>
          <w:rFonts w:ascii="Arial" w:hAnsi="Arial" w:cs="Arial"/>
          <w:lang w:val="en-US"/>
        </w:rPr>
        <w:t>wa</w:t>
      </w:r>
      <w:r w:rsidR="00197953">
        <w:rPr>
          <w:rFonts w:ascii="Arial" w:hAnsi="Arial" w:cs="Arial"/>
          <w:lang w:val="en-US"/>
        </w:rPr>
        <w:t>s correct and more consistent with the established, unitary approach to statutory interpretation</w:t>
      </w:r>
      <w:r w:rsidR="0072297E">
        <w:rPr>
          <w:rFonts w:ascii="Arial" w:hAnsi="Arial" w:cs="Arial"/>
          <w:lang w:val="en-US"/>
        </w:rPr>
        <w:t>,</w:t>
      </w:r>
      <w:r w:rsidR="00197953">
        <w:rPr>
          <w:rFonts w:ascii="Arial" w:hAnsi="Arial" w:cs="Arial"/>
          <w:lang w:val="en-US"/>
        </w:rPr>
        <w:t xml:space="preserve"> whereby the language of </w:t>
      </w:r>
      <w:r w:rsidR="00E110B0">
        <w:rPr>
          <w:rFonts w:ascii="Arial" w:hAnsi="Arial" w:cs="Arial"/>
          <w:lang w:val="en-US"/>
        </w:rPr>
        <w:t>the sub</w:t>
      </w:r>
      <w:r w:rsidR="00197953">
        <w:rPr>
          <w:rFonts w:ascii="Arial" w:hAnsi="Arial" w:cs="Arial"/>
          <w:lang w:val="en-US"/>
        </w:rPr>
        <w:t xml:space="preserve">rule must be considered in </w:t>
      </w:r>
      <w:r w:rsidR="000361F4">
        <w:rPr>
          <w:rFonts w:ascii="Arial" w:hAnsi="Arial" w:cs="Arial"/>
          <w:lang w:val="en-US"/>
        </w:rPr>
        <w:t>the context</w:t>
      </w:r>
      <w:r w:rsidR="00197953">
        <w:rPr>
          <w:rFonts w:ascii="Arial" w:hAnsi="Arial" w:cs="Arial"/>
          <w:lang w:val="en-US"/>
        </w:rPr>
        <w:t xml:space="preserve"> of the </w:t>
      </w:r>
      <w:r w:rsidR="00E110B0">
        <w:rPr>
          <w:rFonts w:ascii="Arial" w:hAnsi="Arial" w:cs="Arial"/>
          <w:lang w:val="en-US"/>
        </w:rPr>
        <w:t>TCR</w:t>
      </w:r>
      <w:r w:rsidR="00197953">
        <w:rPr>
          <w:rFonts w:ascii="Arial" w:hAnsi="Arial" w:cs="Arial"/>
          <w:lang w:val="en-US"/>
        </w:rPr>
        <w:t xml:space="preserve"> as a whole and the </w:t>
      </w:r>
      <w:r w:rsidR="00EF205C">
        <w:rPr>
          <w:rFonts w:ascii="Arial" w:hAnsi="Arial" w:cs="Arial"/>
          <w:lang w:val="en-US"/>
        </w:rPr>
        <w:t>circumstances attendant</w:t>
      </w:r>
      <w:r w:rsidR="00197953">
        <w:rPr>
          <w:rFonts w:ascii="Arial" w:hAnsi="Arial" w:cs="Arial"/>
          <w:lang w:val="en-US"/>
        </w:rPr>
        <w:t xml:space="preserve"> upon their coming into existence. In this regard</w:t>
      </w:r>
      <w:r w:rsidR="005B6E32">
        <w:rPr>
          <w:rFonts w:ascii="Arial" w:hAnsi="Arial" w:cs="Arial"/>
          <w:lang w:val="en-US"/>
        </w:rPr>
        <w:t>,</w:t>
      </w:r>
      <w:r w:rsidR="00197953">
        <w:rPr>
          <w:rFonts w:ascii="Arial" w:hAnsi="Arial" w:cs="Arial"/>
          <w:lang w:val="en-US"/>
        </w:rPr>
        <w:t xml:space="preserve"> </w:t>
      </w:r>
      <w:r w:rsidR="0072297E">
        <w:rPr>
          <w:rFonts w:ascii="Arial" w:hAnsi="Arial" w:cs="Arial"/>
          <w:lang w:val="en-US"/>
        </w:rPr>
        <w:t xml:space="preserve">the appellant </w:t>
      </w:r>
      <w:r w:rsidR="00197953">
        <w:rPr>
          <w:rFonts w:ascii="Arial" w:hAnsi="Arial" w:cs="Arial"/>
          <w:lang w:val="en-US"/>
        </w:rPr>
        <w:t>relie</w:t>
      </w:r>
      <w:r w:rsidR="000361F4">
        <w:rPr>
          <w:rFonts w:ascii="Arial" w:hAnsi="Arial" w:cs="Arial"/>
          <w:lang w:val="en-US"/>
        </w:rPr>
        <w:t>d</w:t>
      </w:r>
      <w:r w:rsidR="00197953">
        <w:rPr>
          <w:rFonts w:ascii="Arial" w:hAnsi="Arial" w:cs="Arial"/>
          <w:lang w:val="en-US"/>
        </w:rPr>
        <w:t xml:space="preserve"> on the oft</w:t>
      </w:r>
      <w:r w:rsidR="000361F4">
        <w:rPr>
          <w:rFonts w:ascii="Arial" w:hAnsi="Arial" w:cs="Arial"/>
          <w:lang w:val="en-US"/>
        </w:rPr>
        <w:t>-cited</w:t>
      </w:r>
      <w:r w:rsidR="00197953">
        <w:rPr>
          <w:rFonts w:ascii="Arial" w:hAnsi="Arial" w:cs="Arial"/>
          <w:lang w:val="en-US"/>
        </w:rPr>
        <w:t xml:space="preserve"> </w:t>
      </w:r>
      <w:r w:rsidR="000361F4">
        <w:rPr>
          <w:rFonts w:ascii="Arial" w:hAnsi="Arial" w:cs="Arial"/>
          <w:lang w:val="en-US"/>
        </w:rPr>
        <w:t>decision in</w:t>
      </w:r>
      <w:r w:rsidR="00197953">
        <w:rPr>
          <w:rFonts w:ascii="Arial" w:hAnsi="Arial" w:cs="Arial"/>
          <w:lang w:val="en-US"/>
        </w:rPr>
        <w:t xml:space="preserve"> </w:t>
      </w:r>
      <w:r w:rsidR="00197953" w:rsidRPr="005B6E32">
        <w:rPr>
          <w:rFonts w:ascii="Arial" w:hAnsi="Arial" w:cs="Arial"/>
          <w:i/>
          <w:iCs/>
          <w:lang w:val="en-US"/>
        </w:rPr>
        <w:t>Natal Joint Municipal Pension Fund v Endumeni</w:t>
      </w:r>
      <w:r w:rsidR="0072297E">
        <w:rPr>
          <w:rFonts w:ascii="Arial" w:hAnsi="Arial" w:cs="Arial"/>
          <w:i/>
          <w:iCs/>
          <w:lang w:val="en-US"/>
        </w:rPr>
        <w:t xml:space="preserve"> Municipality</w:t>
      </w:r>
      <w:r w:rsidR="00AA0547">
        <w:rPr>
          <w:rFonts w:ascii="Arial" w:hAnsi="Arial" w:cs="Arial"/>
          <w:i/>
          <w:iCs/>
          <w:lang w:val="en-US"/>
        </w:rPr>
        <w:t xml:space="preserve"> </w:t>
      </w:r>
      <w:r w:rsidR="00AA0547">
        <w:rPr>
          <w:rFonts w:ascii="Arial" w:hAnsi="Arial" w:cs="Arial"/>
          <w:lang w:val="en-US"/>
        </w:rPr>
        <w:t>(‘</w:t>
      </w:r>
      <w:r w:rsidR="00AA0547" w:rsidRPr="00AA0547">
        <w:rPr>
          <w:rFonts w:ascii="Arial" w:hAnsi="Arial" w:cs="Arial"/>
          <w:i/>
          <w:iCs/>
          <w:lang w:val="en-US"/>
        </w:rPr>
        <w:t>Endumeni</w:t>
      </w:r>
      <w:r w:rsidR="00AA0547">
        <w:rPr>
          <w:rFonts w:ascii="Arial" w:hAnsi="Arial" w:cs="Arial"/>
          <w:lang w:val="en-US"/>
        </w:rPr>
        <w:t>’)</w:t>
      </w:r>
      <w:r w:rsidR="000361F4">
        <w:rPr>
          <w:rFonts w:ascii="Arial" w:hAnsi="Arial" w:cs="Arial"/>
          <w:lang w:val="en-US"/>
        </w:rPr>
        <w:t>.</w:t>
      </w:r>
      <w:r w:rsidR="00197953">
        <w:rPr>
          <w:rStyle w:val="FootnoteReference"/>
          <w:rFonts w:ascii="Arial" w:hAnsi="Arial" w:cs="Arial"/>
          <w:lang w:val="en-US"/>
        </w:rPr>
        <w:footnoteReference w:id="14"/>
      </w:r>
    </w:p>
    <w:p w14:paraId="5FC7823C" w14:textId="77777777" w:rsidR="005B6E32" w:rsidRDefault="005B6E32" w:rsidP="00197953">
      <w:pPr>
        <w:spacing w:line="480" w:lineRule="auto"/>
        <w:jc w:val="both"/>
        <w:rPr>
          <w:rFonts w:ascii="Arial" w:hAnsi="Arial" w:cs="Arial"/>
          <w:lang w:val="en-US"/>
        </w:rPr>
      </w:pPr>
    </w:p>
    <w:p w14:paraId="57B7CF29" w14:textId="699BC1B8" w:rsidR="00197953" w:rsidRDefault="00BF4DFB" w:rsidP="00197953">
      <w:pPr>
        <w:spacing w:line="480" w:lineRule="auto"/>
        <w:jc w:val="both"/>
        <w:rPr>
          <w:rFonts w:ascii="Arial" w:hAnsi="Arial" w:cs="Arial"/>
          <w:lang w:val="en-US"/>
        </w:rPr>
      </w:pPr>
      <w:r>
        <w:rPr>
          <w:rFonts w:ascii="Arial" w:hAnsi="Arial" w:cs="Arial"/>
          <w:lang w:val="en-US"/>
        </w:rPr>
        <w:t>[</w:t>
      </w:r>
      <w:r w:rsidR="000443EE">
        <w:rPr>
          <w:rFonts w:ascii="Arial" w:hAnsi="Arial" w:cs="Arial"/>
          <w:lang w:val="en-US"/>
        </w:rPr>
        <w:t>4</w:t>
      </w:r>
      <w:r>
        <w:rPr>
          <w:rFonts w:ascii="Arial" w:hAnsi="Arial" w:cs="Arial"/>
          <w:lang w:val="en-US"/>
        </w:rPr>
        <w:t>3]</w:t>
      </w:r>
      <w:r>
        <w:rPr>
          <w:rFonts w:ascii="Arial" w:hAnsi="Arial" w:cs="Arial"/>
          <w:lang w:val="en-US"/>
        </w:rPr>
        <w:tab/>
      </w:r>
      <w:r w:rsidR="00197953">
        <w:rPr>
          <w:rFonts w:ascii="Arial" w:hAnsi="Arial" w:cs="Arial"/>
          <w:lang w:val="en-US"/>
        </w:rPr>
        <w:t>The appellant submit</w:t>
      </w:r>
      <w:r w:rsidR="000443EE">
        <w:rPr>
          <w:rFonts w:ascii="Arial" w:hAnsi="Arial" w:cs="Arial"/>
          <w:lang w:val="en-US"/>
        </w:rPr>
        <w:t>ted</w:t>
      </w:r>
      <w:r w:rsidR="00197953">
        <w:rPr>
          <w:rFonts w:ascii="Arial" w:hAnsi="Arial" w:cs="Arial"/>
          <w:lang w:val="en-US"/>
        </w:rPr>
        <w:t xml:space="preserve"> that the historical development of the </w:t>
      </w:r>
      <w:r w:rsidR="00E71AAB">
        <w:rPr>
          <w:rFonts w:ascii="Arial" w:hAnsi="Arial" w:cs="Arial"/>
          <w:lang w:val="en-US"/>
        </w:rPr>
        <w:t>TCR</w:t>
      </w:r>
      <w:r w:rsidR="00197953">
        <w:rPr>
          <w:rFonts w:ascii="Arial" w:hAnsi="Arial" w:cs="Arial"/>
          <w:lang w:val="en-US"/>
        </w:rPr>
        <w:t xml:space="preserve"> indicate</w:t>
      </w:r>
      <w:r w:rsidR="00EF205C">
        <w:rPr>
          <w:rFonts w:ascii="Arial" w:hAnsi="Arial" w:cs="Arial"/>
          <w:lang w:val="en-US"/>
        </w:rPr>
        <w:t>s</w:t>
      </w:r>
      <w:r w:rsidR="00197953">
        <w:rPr>
          <w:rFonts w:ascii="Arial" w:hAnsi="Arial" w:cs="Arial"/>
          <w:lang w:val="en-US"/>
        </w:rPr>
        <w:t xml:space="preserve"> a gradual change which </w:t>
      </w:r>
      <w:r w:rsidR="0072297E">
        <w:rPr>
          <w:rFonts w:ascii="Arial" w:hAnsi="Arial" w:cs="Arial"/>
          <w:lang w:val="en-US"/>
        </w:rPr>
        <w:t>h</w:t>
      </w:r>
      <w:r w:rsidR="00197953">
        <w:rPr>
          <w:rFonts w:ascii="Arial" w:hAnsi="Arial" w:cs="Arial"/>
          <w:lang w:val="en-US"/>
        </w:rPr>
        <w:t xml:space="preserve">as been </w:t>
      </w:r>
      <w:r w:rsidR="00EF205C">
        <w:rPr>
          <w:rFonts w:ascii="Arial" w:hAnsi="Arial" w:cs="Arial"/>
          <w:lang w:val="en-US"/>
        </w:rPr>
        <w:t>aimed</w:t>
      </w:r>
      <w:r w:rsidR="00197953">
        <w:rPr>
          <w:rFonts w:ascii="Arial" w:hAnsi="Arial" w:cs="Arial"/>
          <w:lang w:val="en-US"/>
        </w:rPr>
        <w:t xml:space="preserve"> at achieving a fairer and more accommodating dispensation than that which </w:t>
      </w:r>
      <w:r w:rsidR="0072297E">
        <w:rPr>
          <w:rFonts w:ascii="Arial" w:hAnsi="Arial" w:cs="Arial"/>
          <w:lang w:val="en-US"/>
        </w:rPr>
        <w:t xml:space="preserve">initially </w:t>
      </w:r>
      <w:r w:rsidR="00197953">
        <w:rPr>
          <w:rFonts w:ascii="Arial" w:hAnsi="Arial" w:cs="Arial"/>
          <w:lang w:val="en-US"/>
        </w:rPr>
        <w:t>applied</w:t>
      </w:r>
      <w:r w:rsidR="0072297E">
        <w:rPr>
          <w:rFonts w:ascii="Arial" w:hAnsi="Arial" w:cs="Arial"/>
          <w:lang w:val="en-US"/>
        </w:rPr>
        <w:t>.</w:t>
      </w:r>
      <w:r w:rsidR="00197953">
        <w:rPr>
          <w:rFonts w:ascii="Arial" w:hAnsi="Arial" w:cs="Arial"/>
          <w:lang w:val="en-US"/>
        </w:rPr>
        <w:t xml:space="preserve"> </w:t>
      </w:r>
      <w:r w:rsidR="0072297E">
        <w:rPr>
          <w:rFonts w:ascii="Arial" w:hAnsi="Arial" w:cs="Arial"/>
          <w:lang w:val="en-US"/>
        </w:rPr>
        <w:t>D</w:t>
      </w:r>
      <w:r w:rsidR="00197953">
        <w:rPr>
          <w:rFonts w:ascii="Arial" w:hAnsi="Arial" w:cs="Arial"/>
          <w:lang w:val="en-US"/>
        </w:rPr>
        <w:t xml:space="preserve">uring the </w:t>
      </w:r>
      <w:r w:rsidR="000443EE">
        <w:rPr>
          <w:rFonts w:ascii="Arial" w:hAnsi="Arial" w:cs="Arial"/>
          <w:lang w:val="en-US"/>
        </w:rPr>
        <w:t>‘</w:t>
      </w:r>
      <w:r w:rsidR="00197953">
        <w:rPr>
          <w:rFonts w:ascii="Arial" w:hAnsi="Arial" w:cs="Arial"/>
          <w:lang w:val="en-US"/>
        </w:rPr>
        <w:t>no</w:t>
      </w:r>
      <w:r w:rsidR="000443EE">
        <w:rPr>
          <w:rFonts w:ascii="Arial" w:hAnsi="Arial" w:cs="Arial"/>
          <w:lang w:val="en-US"/>
        </w:rPr>
        <w:t xml:space="preserve"> rules’</w:t>
      </w:r>
      <w:r w:rsidR="00197953">
        <w:rPr>
          <w:rFonts w:ascii="Arial" w:hAnsi="Arial" w:cs="Arial"/>
          <w:lang w:val="en-US"/>
        </w:rPr>
        <w:t xml:space="preserve"> period taxpayers were </w:t>
      </w:r>
      <w:r w:rsidR="00EF205C">
        <w:rPr>
          <w:rFonts w:ascii="Arial" w:hAnsi="Arial" w:cs="Arial"/>
          <w:lang w:val="en-US"/>
        </w:rPr>
        <w:t xml:space="preserve">strictly </w:t>
      </w:r>
      <w:r w:rsidR="00197953">
        <w:rPr>
          <w:rFonts w:ascii="Arial" w:hAnsi="Arial" w:cs="Arial"/>
          <w:lang w:val="en-US"/>
        </w:rPr>
        <w:t>constrained to the ambit of their objections even where they often only engaged professional advisers at the stage when the</w:t>
      </w:r>
      <w:r w:rsidR="000443EE">
        <w:rPr>
          <w:rFonts w:ascii="Arial" w:hAnsi="Arial" w:cs="Arial"/>
          <w:lang w:val="en-US"/>
        </w:rPr>
        <w:t xml:space="preserve">ir </w:t>
      </w:r>
      <w:r w:rsidR="00197953">
        <w:rPr>
          <w:rFonts w:ascii="Arial" w:hAnsi="Arial" w:cs="Arial"/>
          <w:lang w:val="en-US"/>
        </w:rPr>
        <w:t xml:space="preserve">statements </w:t>
      </w:r>
      <w:r w:rsidR="000443EE">
        <w:rPr>
          <w:rFonts w:ascii="Arial" w:hAnsi="Arial" w:cs="Arial"/>
          <w:lang w:val="en-US"/>
        </w:rPr>
        <w:t xml:space="preserve">of appeal </w:t>
      </w:r>
      <w:r w:rsidR="00197953">
        <w:rPr>
          <w:rFonts w:ascii="Arial" w:hAnsi="Arial" w:cs="Arial"/>
          <w:lang w:val="en-US"/>
        </w:rPr>
        <w:t>had to be prepared.</w:t>
      </w:r>
    </w:p>
    <w:p w14:paraId="777F02EE" w14:textId="77777777" w:rsidR="00BF4DFB" w:rsidRDefault="00BF4DFB" w:rsidP="00197953">
      <w:pPr>
        <w:spacing w:line="480" w:lineRule="auto"/>
        <w:jc w:val="both"/>
        <w:rPr>
          <w:rFonts w:ascii="Arial" w:hAnsi="Arial" w:cs="Arial"/>
          <w:lang w:val="en-US"/>
        </w:rPr>
      </w:pPr>
    </w:p>
    <w:p w14:paraId="1C53AC34" w14:textId="36612257" w:rsidR="00523191" w:rsidRDefault="00BF4DFB" w:rsidP="00197953">
      <w:pPr>
        <w:spacing w:line="480" w:lineRule="auto"/>
        <w:jc w:val="both"/>
        <w:rPr>
          <w:rFonts w:ascii="Arial" w:hAnsi="Arial" w:cs="Arial"/>
          <w:lang w:val="en-US"/>
        </w:rPr>
      </w:pPr>
      <w:r>
        <w:rPr>
          <w:rFonts w:ascii="Arial" w:hAnsi="Arial" w:cs="Arial"/>
          <w:lang w:val="en-US"/>
        </w:rPr>
        <w:t>[4</w:t>
      </w:r>
      <w:r w:rsidR="000443EE">
        <w:rPr>
          <w:rFonts w:ascii="Arial" w:hAnsi="Arial" w:cs="Arial"/>
          <w:lang w:val="en-US"/>
        </w:rPr>
        <w:t>4</w:t>
      </w:r>
      <w:r>
        <w:rPr>
          <w:rFonts w:ascii="Arial" w:hAnsi="Arial" w:cs="Arial"/>
          <w:lang w:val="en-US"/>
        </w:rPr>
        <w:t>]</w:t>
      </w:r>
      <w:r>
        <w:rPr>
          <w:rFonts w:ascii="Arial" w:hAnsi="Arial" w:cs="Arial"/>
          <w:lang w:val="en-US"/>
        </w:rPr>
        <w:tab/>
      </w:r>
      <w:r w:rsidR="00E71AAB">
        <w:rPr>
          <w:rFonts w:ascii="Arial" w:hAnsi="Arial" w:cs="Arial"/>
          <w:lang w:val="en-US"/>
        </w:rPr>
        <w:t>T</w:t>
      </w:r>
      <w:r w:rsidR="00197953">
        <w:rPr>
          <w:rFonts w:ascii="Arial" w:hAnsi="Arial" w:cs="Arial"/>
          <w:lang w:val="en-US"/>
        </w:rPr>
        <w:t xml:space="preserve">he fundamental difficulty with </w:t>
      </w:r>
      <w:r w:rsidR="0072297E">
        <w:rPr>
          <w:rFonts w:ascii="Arial" w:hAnsi="Arial" w:cs="Arial"/>
          <w:lang w:val="en-US"/>
        </w:rPr>
        <w:t xml:space="preserve">the </w:t>
      </w:r>
      <w:r w:rsidR="00197953">
        <w:rPr>
          <w:rFonts w:ascii="Arial" w:hAnsi="Arial" w:cs="Arial"/>
          <w:lang w:val="en-US"/>
        </w:rPr>
        <w:t xml:space="preserve">respondent’s approach to the interpretation of the </w:t>
      </w:r>
      <w:r w:rsidR="00BA0439">
        <w:rPr>
          <w:rFonts w:ascii="Arial" w:hAnsi="Arial" w:cs="Arial"/>
          <w:lang w:val="en-US"/>
        </w:rPr>
        <w:t>sub</w:t>
      </w:r>
      <w:r w:rsidR="006F0A43">
        <w:rPr>
          <w:rFonts w:ascii="Arial" w:hAnsi="Arial" w:cs="Arial"/>
          <w:lang w:val="en-US"/>
        </w:rPr>
        <w:t>rule</w:t>
      </w:r>
      <w:r w:rsidR="00E04C99">
        <w:rPr>
          <w:rFonts w:ascii="Arial" w:hAnsi="Arial" w:cs="Arial"/>
          <w:lang w:val="en-US"/>
        </w:rPr>
        <w:t>, according to the appellant,</w:t>
      </w:r>
      <w:r w:rsidR="006F0A43">
        <w:rPr>
          <w:rFonts w:ascii="Arial" w:hAnsi="Arial" w:cs="Arial"/>
          <w:lang w:val="en-US"/>
        </w:rPr>
        <w:t xml:space="preserve"> </w:t>
      </w:r>
      <w:r w:rsidR="009D3AAE">
        <w:rPr>
          <w:rFonts w:ascii="Arial" w:hAnsi="Arial" w:cs="Arial"/>
          <w:lang w:val="en-US"/>
        </w:rPr>
        <w:t>is</w:t>
      </w:r>
      <w:r w:rsidR="00197953">
        <w:rPr>
          <w:rFonts w:ascii="Arial" w:hAnsi="Arial" w:cs="Arial"/>
          <w:lang w:val="en-US"/>
        </w:rPr>
        <w:t xml:space="preserve"> that it simply d</w:t>
      </w:r>
      <w:r w:rsidR="009D3AAE">
        <w:rPr>
          <w:rFonts w:ascii="Arial" w:hAnsi="Arial" w:cs="Arial"/>
          <w:lang w:val="en-US"/>
        </w:rPr>
        <w:t>oes</w:t>
      </w:r>
      <w:r w:rsidR="00197953">
        <w:rPr>
          <w:rFonts w:ascii="Arial" w:hAnsi="Arial" w:cs="Arial"/>
          <w:lang w:val="en-US"/>
        </w:rPr>
        <w:t xml:space="preserve"> not account for </w:t>
      </w:r>
      <w:r w:rsidR="00BA0439">
        <w:rPr>
          <w:rFonts w:ascii="Arial" w:hAnsi="Arial" w:cs="Arial"/>
          <w:lang w:val="en-US"/>
        </w:rPr>
        <w:t>its</w:t>
      </w:r>
      <w:r w:rsidR="00197953">
        <w:rPr>
          <w:rFonts w:ascii="Arial" w:hAnsi="Arial" w:cs="Arial"/>
          <w:lang w:val="en-US"/>
        </w:rPr>
        <w:t xml:space="preserve"> actual wording, which provide</w:t>
      </w:r>
      <w:r w:rsidR="009D3AAE">
        <w:rPr>
          <w:rFonts w:ascii="Arial" w:hAnsi="Arial" w:cs="Arial"/>
          <w:lang w:val="en-US"/>
        </w:rPr>
        <w:t>s</w:t>
      </w:r>
      <w:r w:rsidR="00197953">
        <w:rPr>
          <w:rFonts w:ascii="Arial" w:hAnsi="Arial" w:cs="Arial"/>
          <w:lang w:val="en-US"/>
        </w:rPr>
        <w:t xml:space="preserve"> that </w:t>
      </w:r>
      <w:r w:rsidR="006C7165">
        <w:rPr>
          <w:rFonts w:ascii="Arial" w:hAnsi="Arial" w:cs="Arial"/>
          <w:lang w:val="en-US"/>
        </w:rPr>
        <w:t>an</w:t>
      </w:r>
      <w:r w:rsidR="00197953">
        <w:rPr>
          <w:rFonts w:ascii="Arial" w:hAnsi="Arial" w:cs="Arial"/>
          <w:lang w:val="en-US"/>
        </w:rPr>
        <w:t xml:space="preserve"> appellant taxpayer </w:t>
      </w:r>
      <w:r w:rsidR="00523191">
        <w:rPr>
          <w:rFonts w:ascii="Arial" w:hAnsi="Arial" w:cs="Arial"/>
          <w:lang w:val="en-US"/>
        </w:rPr>
        <w:t>c</w:t>
      </w:r>
      <w:r w:rsidR="009D3AAE">
        <w:rPr>
          <w:rFonts w:ascii="Arial" w:hAnsi="Arial" w:cs="Arial"/>
          <w:lang w:val="en-US"/>
        </w:rPr>
        <w:t>an</w:t>
      </w:r>
      <w:r w:rsidR="00197953">
        <w:rPr>
          <w:rFonts w:ascii="Arial" w:hAnsi="Arial" w:cs="Arial"/>
          <w:lang w:val="en-US"/>
        </w:rPr>
        <w:t xml:space="preserve"> include in its statement a </w:t>
      </w:r>
      <w:r w:rsidR="00523191">
        <w:rPr>
          <w:rFonts w:ascii="Arial" w:hAnsi="Arial" w:cs="Arial"/>
          <w:lang w:val="en-US"/>
        </w:rPr>
        <w:t xml:space="preserve">‘new’ </w:t>
      </w:r>
      <w:r w:rsidR="00197953">
        <w:rPr>
          <w:rFonts w:ascii="Arial" w:hAnsi="Arial" w:cs="Arial"/>
          <w:lang w:val="en-US"/>
        </w:rPr>
        <w:t xml:space="preserve">ground of appeal </w:t>
      </w:r>
      <w:r w:rsidR="00523191">
        <w:rPr>
          <w:rFonts w:ascii="Arial" w:hAnsi="Arial" w:cs="Arial"/>
          <w:lang w:val="en-US"/>
        </w:rPr>
        <w:t>unless it</w:t>
      </w:r>
      <w:r w:rsidR="00197953">
        <w:rPr>
          <w:rFonts w:ascii="Arial" w:hAnsi="Arial" w:cs="Arial"/>
          <w:lang w:val="en-US"/>
        </w:rPr>
        <w:t xml:space="preserve"> constitute</w:t>
      </w:r>
      <w:r w:rsidR="009D3AAE">
        <w:rPr>
          <w:rFonts w:ascii="Arial" w:hAnsi="Arial" w:cs="Arial"/>
          <w:lang w:val="en-US"/>
        </w:rPr>
        <w:t>s</w:t>
      </w:r>
      <w:r w:rsidR="00197953">
        <w:rPr>
          <w:rFonts w:ascii="Arial" w:hAnsi="Arial" w:cs="Arial"/>
          <w:lang w:val="en-US"/>
        </w:rPr>
        <w:t xml:space="preserve"> </w:t>
      </w:r>
      <w:r w:rsidR="00523191">
        <w:rPr>
          <w:rFonts w:ascii="Arial" w:hAnsi="Arial" w:cs="Arial"/>
          <w:lang w:val="en-US"/>
        </w:rPr>
        <w:t xml:space="preserve">an objection </w:t>
      </w:r>
      <w:r w:rsidR="00197953">
        <w:rPr>
          <w:rFonts w:ascii="Arial" w:hAnsi="Arial" w:cs="Arial"/>
          <w:lang w:val="en-US"/>
        </w:rPr>
        <w:t xml:space="preserve">against a part or amount of the disputed assessment not </w:t>
      </w:r>
      <w:r w:rsidR="00523191">
        <w:rPr>
          <w:rFonts w:ascii="Arial" w:hAnsi="Arial" w:cs="Arial"/>
          <w:lang w:val="en-US"/>
        </w:rPr>
        <w:t xml:space="preserve">previously </w:t>
      </w:r>
      <w:r w:rsidR="00197953">
        <w:rPr>
          <w:rFonts w:ascii="Arial" w:hAnsi="Arial" w:cs="Arial"/>
          <w:lang w:val="en-US"/>
        </w:rPr>
        <w:t>objected to under rule 7</w:t>
      </w:r>
      <w:r w:rsidR="00523191" w:rsidRPr="00523191">
        <w:rPr>
          <w:rFonts w:ascii="Arial" w:hAnsi="Arial" w:cs="Arial"/>
          <w:lang w:val="en-US"/>
        </w:rPr>
        <w:t xml:space="preserve"> </w:t>
      </w:r>
      <w:r w:rsidR="00523191">
        <w:rPr>
          <w:rFonts w:ascii="Arial" w:hAnsi="Arial" w:cs="Arial"/>
          <w:lang w:val="en-US"/>
        </w:rPr>
        <w:t>i.e. a ‘new’ ground of objection</w:t>
      </w:r>
      <w:r w:rsidR="00197953">
        <w:rPr>
          <w:rFonts w:ascii="Arial" w:hAnsi="Arial" w:cs="Arial"/>
          <w:lang w:val="en-US"/>
        </w:rPr>
        <w:t>.</w:t>
      </w:r>
      <w:r w:rsidR="00523191">
        <w:rPr>
          <w:rFonts w:ascii="Arial" w:hAnsi="Arial" w:cs="Arial"/>
          <w:lang w:val="en-US"/>
        </w:rPr>
        <w:t xml:space="preserve"> </w:t>
      </w:r>
      <w:r w:rsidR="00197953">
        <w:rPr>
          <w:rFonts w:ascii="Arial" w:hAnsi="Arial" w:cs="Arial"/>
          <w:lang w:val="en-US"/>
        </w:rPr>
        <w:t>According to the appellant</w:t>
      </w:r>
      <w:r w:rsidR="0072297E">
        <w:rPr>
          <w:rFonts w:ascii="Arial" w:hAnsi="Arial" w:cs="Arial"/>
          <w:lang w:val="en-US"/>
        </w:rPr>
        <w:t>,</w:t>
      </w:r>
      <w:r w:rsidR="00197953">
        <w:rPr>
          <w:rFonts w:ascii="Arial" w:hAnsi="Arial" w:cs="Arial"/>
          <w:lang w:val="en-US"/>
        </w:rPr>
        <w:t xml:space="preserve"> the respondent </w:t>
      </w:r>
      <w:r w:rsidR="00E71AAB">
        <w:rPr>
          <w:rFonts w:ascii="Arial" w:hAnsi="Arial" w:cs="Arial"/>
          <w:lang w:val="en-US"/>
        </w:rPr>
        <w:t xml:space="preserve">has </w:t>
      </w:r>
      <w:r w:rsidR="00197953">
        <w:rPr>
          <w:rFonts w:ascii="Arial" w:hAnsi="Arial" w:cs="Arial"/>
          <w:lang w:val="en-US"/>
        </w:rPr>
        <w:t xml:space="preserve">failed to ascribe </w:t>
      </w:r>
      <w:r w:rsidR="006C7165">
        <w:rPr>
          <w:rFonts w:ascii="Arial" w:hAnsi="Arial" w:cs="Arial"/>
          <w:lang w:val="en-US"/>
        </w:rPr>
        <w:t xml:space="preserve">a </w:t>
      </w:r>
      <w:r w:rsidR="009D3AAE">
        <w:rPr>
          <w:rFonts w:ascii="Arial" w:hAnsi="Arial" w:cs="Arial"/>
          <w:lang w:val="en-US"/>
        </w:rPr>
        <w:t xml:space="preserve">proper </w:t>
      </w:r>
      <w:r w:rsidR="00197953">
        <w:rPr>
          <w:rFonts w:ascii="Arial" w:hAnsi="Arial" w:cs="Arial"/>
          <w:lang w:val="en-US"/>
        </w:rPr>
        <w:lastRenderedPageBreak/>
        <w:t xml:space="preserve">meaning to the </w:t>
      </w:r>
      <w:r w:rsidR="00523191">
        <w:rPr>
          <w:rFonts w:ascii="Arial" w:hAnsi="Arial" w:cs="Arial"/>
          <w:lang w:val="en-US"/>
        </w:rPr>
        <w:t>phrase</w:t>
      </w:r>
      <w:r w:rsidR="00197953">
        <w:rPr>
          <w:rFonts w:ascii="Arial" w:hAnsi="Arial" w:cs="Arial"/>
          <w:lang w:val="en-US"/>
        </w:rPr>
        <w:t xml:space="preserve"> </w:t>
      </w:r>
      <w:r w:rsidR="00767FE0">
        <w:rPr>
          <w:rFonts w:ascii="Arial" w:hAnsi="Arial" w:cs="Arial"/>
          <w:lang w:val="en-US"/>
        </w:rPr>
        <w:t>‘</w:t>
      </w:r>
      <w:r w:rsidR="00197953">
        <w:rPr>
          <w:rFonts w:ascii="Arial" w:hAnsi="Arial" w:cs="Arial"/>
          <w:lang w:val="en-US"/>
        </w:rPr>
        <w:t>against a part or amount of the disputed assessment not objected to</w:t>
      </w:r>
      <w:r w:rsidR="00E04C99">
        <w:rPr>
          <w:rFonts w:ascii="Arial" w:hAnsi="Arial" w:cs="Arial"/>
          <w:lang w:val="en-US"/>
        </w:rPr>
        <w:t>’</w:t>
      </w:r>
      <w:r w:rsidR="00197953">
        <w:rPr>
          <w:rFonts w:ascii="Arial" w:hAnsi="Arial" w:cs="Arial"/>
          <w:lang w:val="en-US"/>
        </w:rPr>
        <w:t xml:space="preserve"> under rule 7.</w:t>
      </w:r>
      <w:r>
        <w:rPr>
          <w:rFonts w:ascii="Arial" w:hAnsi="Arial" w:cs="Arial"/>
          <w:lang w:val="en-US"/>
        </w:rPr>
        <w:t xml:space="preserve">  </w:t>
      </w:r>
      <w:r w:rsidR="00197953">
        <w:rPr>
          <w:rFonts w:ascii="Arial" w:hAnsi="Arial" w:cs="Arial"/>
          <w:lang w:val="en-US"/>
        </w:rPr>
        <w:t xml:space="preserve"> </w:t>
      </w:r>
    </w:p>
    <w:p w14:paraId="562D9FF4" w14:textId="77777777" w:rsidR="00523191" w:rsidRDefault="00523191" w:rsidP="00197953">
      <w:pPr>
        <w:spacing w:line="480" w:lineRule="auto"/>
        <w:jc w:val="both"/>
        <w:rPr>
          <w:rFonts w:ascii="Arial" w:hAnsi="Arial" w:cs="Arial"/>
          <w:lang w:val="en-US"/>
        </w:rPr>
      </w:pPr>
    </w:p>
    <w:p w14:paraId="6A9D58A8" w14:textId="0531D34F" w:rsidR="00197953" w:rsidRDefault="00523191" w:rsidP="00197953">
      <w:pPr>
        <w:spacing w:line="480" w:lineRule="auto"/>
        <w:jc w:val="both"/>
        <w:rPr>
          <w:rFonts w:ascii="Arial" w:hAnsi="Arial" w:cs="Arial"/>
          <w:lang w:val="en-US"/>
        </w:rPr>
      </w:pPr>
      <w:r>
        <w:rPr>
          <w:rFonts w:ascii="Arial" w:hAnsi="Arial" w:cs="Arial"/>
          <w:lang w:val="en-US"/>
        </w:rPr>
        <w:t>[45]</w:t>
      </w:r>
      <w:r>
        <w:rPr>
          <w:rFonts w:ascii="Arial" w:hAnsi="Arial" w:cs="Arial"/>
          <w:lang w:val="en-US"/>
        </w:rPr>
        <w:tab/>
      </w:r>
      <w:r w:rsidR="00197953">
        <w:rPr>
          <w:rFonts w:ascii="Arial" w:hAnsi="Arial" w:cs="Arial"/>
          <w:lang w:val="en-US"/>
        </w:rPr>
        <w:t>The appellant place</w:t>
      </w:r>
      <w:r>
        <w:rPr>
          <w:rFonts w:ascii="Arial" w:hAnsi="Arial" w:cs="Arial"/>
          <w:lang w:val="en-US"/>
        </w:rPr>
        <w:t>d</w:t>
      </w:r>
      <w:r w:rsidR="00197953">
        <w:rPr>
          <w:rFonts w:ascii="Arial" w:hAnsi="Arial" w:cs="Arial"/>
          <w:lang w:val="en-US"/>
        </w:rPr>
        <w:t xml:space="preserve"> great reliance on the decision of Kei</w:t>
      </w:r>
      <w:r>
        <w:rPr>
          <w:rFonts w:ascii="Arial" w:hAnsi="Arial" w:cs="Arial"/>
          <w:lang w:val="en-US"/>
        </w:rPr>
        <w:t>gh</w:t>
      </w:r>
      <w:r w:rsidR="00197953">
        <w:rPr>
          <w:rFonts w:ascii="Arial" w:hAnsi="Arial" w:cs="Arial"/>
          <w:lang w:val="en-US"/>
        </w:rPr>
        <w:t xml:space="preserve">tley J in </w:t>
      </w:r>
      <w:r w:rsidR="00197953" w:rsidRPr="008409D5">
        <w:rPr>
          <w:rFonts w:ascii="Arial" w:hAnsi="Arial" w:cs="Arial"/>
          <w:i/>
          <w:lang w:val="en-US"/>
        </w:rPr>
        <w:t>ITC 1912</w:t>
      </w:r>
      <w:r w:rsidR="00197953">
        <w:rPr>
          <w:rFonts w:ascii="Arial" w:hAnsi="Arial" w:cs="Arial"/>
          <w:lang w:val="en-US"/>
        </w:rPr>
        <w:t xml:space="preserve"> with regards to the interpretation of rule 32(3). According to </w:t>
      </w:r>
      <w:r>
        <w:rPr>
          <w:rFonts w:ascii="Arial" w:hAnsi="Arial" w:cs="Arial"/>
          <w:lang w:val="en-US"/>
        </w:rPr>
        <w:t>it</w:t>
      </w:r>
      <w:r w:rsidR="00BF4DFB">
        <w:rPr>
          <w:rFonts w:ascii="Arial" w:hAnsi="Arial" w:cs="Arial"/>
          <w:lang w:val="en-US"/>
        </w:rPr>
        <w:t>,</w:t>
      </w:r>
      <w:r w:rsidR="00197953">
        <w:rPr>
          <w:rFonts w:ascii="Arial" w:hAnsi="Arial" w:cs="Arial"/>
          <w:lang w:val="en-US"/>
        </w:rPr>
        <w:t xml:space="preserve"> the linguistic problems inherent in the respondent’s interpretation of rule 32(3) c</w:t>
      </w:r>
      <w:r w:rsidR="009D3AAE">
        <w:rPr>
          <w:rFonts w:ascii="Arial" w:hAnsi="Arial" w:cs="Arial"/>
          <w:lang w:val="en-US"/>
        </w:rPr>
        <w:t>an</w:t>
      </w:r>
      <w:r w:rsidR="00197953">
        <w:rPr>
          <w:rFonts w:ascii="Arial" w:hAnsi="Arial" w:cs="Arial"/>
          <w:lang w:val="en-US"/>
        </w:rPr>
        <w:t xml:space="preserve">not be ascribed to bad drafting. </w:t>
      </w:r>
      <w:r w:rsidR="00197953" w:rsidRPr="00A762E5">
        <w:rPr>
          <w:rFonts w:ascii="Arial" w:hAnsi="Arial" w:cs="Arial"/>
          <w:lang w:val="en-US"/>
        </w:rPr>
        <w:t xml:space="preserve">This </w:t>
      </w:r>
      <w:r w:rsidR="009D3AAE">
        <w:rPr>
          <w:rFonts w:ascii="Arial" w:hAnsi="Arial" w:cs="Arial"/>
          <w:lang w:val="en-US"/>
        </w:rPr>
        <w:t>i</w:t>
      </w:r>
      <w:r w:rsidR="00197953" w:rsidRPr="00A762E5">
        <w:rPr>
          <w:rFonts w:ascii="Arial" w:hAnsi="Arial" w:cs="Arial"/>
          <w:lang w:val="en-US"/>
        </w:rPr>
        <w:t xml:space="preserve">s clear if </w:t>
      </w:r>
      <w:r w:rsidR="00271713" w:rsidRPr="00A762E5">
        <w:rPr>
          <w:rFonts w:ascii="Arial" w:hAnsi="Arial" w:cs="Arial"/>
          <w:lang w:val="en-US"/>
        </w:rPr>
        <w:t xml:space="preserve">one </w:t>
      </w:r>
      <w:r w:rsidR="00197953" w:rsidRPr="00A762E5">
        <w:rPr>
          <w:rFonts w:ascii="Arial" w:hAnsi="Arial" w:cs="Arial"/>
          <w:lang w:val="en-US"/>
        </w:rPr>
        <w:t>consider</w:t>
      </w:r>
      <w:r w:rsidR="009D3AAE">
        <w:rPr>
          <w:rFonts w:ascii="Arial" w:hAnsi="Arial" w:cs="Arial"/>
          <w:lang w:val="en-US"/>
        </w:rPr>
        <w:t>s</w:t>
      </w:r>
      <w:r w:rsidR="00197953" w:rsidRPr="00A762E5">
        <w:rPr>
          <w:rFonts w:ascii="Arial" w:hAnsi="Arial" w:cs="Arial"/>
          <w:lang w:val="en-US"/>
        </w:rPr>
        <w:t xml:space="preserve"> </w:t>
      </w:r>
      <w:r w:rsidR="00197953">
        <w:rPr>
          <w:rFonts w:ascii="Arial" w:hAnsi="Arial" w:cs="Arial"/>
          <w:lang w:val="en-US"/>
        </w:rPr>
        <w:t xml:space="preserve">that </w:t>
      </w:r>
      <w:r w:rsidR="001A4B11">
        <w:rPr>
          <w:rFonts w:ascii="Arial" w:hAnsi="Arial" w:cs="Arial"/>
          <w:lang w:val="en-US"/>
        </w:rPr>
        <w:t xml:space="preserve">the import of </w:t>
      </w:r>
      <w:r w:rsidR="00197953">
        <w:rPr>
          <w:rFonts w:ascii="Arial" w:hAnsi="Arial" w:cs="Arial"/>
          <w:lang w:val="en-US"/>
        </w:rPr>
        <w:t>rules 10(3) and 10(4)</w:t>
      </w:r>
      <w:r w:rsidR="00D22658">
        <w:rPr>
          <w:rFonts w:ascii="Arial" w:hAnsi="Arial" w:cs="Arial"/>
          <w:lang w:val="en-US"/>
        </w:rPr>
        <w:t xml:space="preserve"> </w:t>
      </w:r>
      <w:r w:rsidR="00E71AAB">
        <w:rPr>
          <w:rFonts w:ascii="Arial" w:hAnsi="Arial" w:cs="Arial"/>
          <w:lang w:val="en-US"/>
        </w:rPr>
        <w:t>is</w:t>
      </w:r>
      <w:r w:rsidR="00197953">
        <w:rPr>
          <w:rFonts w:ascii="Arial" w:hAnsi="Arial" w:cs="Arial"/>
          <w:lang w:val="en-US"/>
        </w:rPr>
        <w:t xml:space="preserve"> substantially the same as rule 32(3), yet rule 10(4) expressly provide</w:t>
      </w:r>
      <w:r w:rsidR="009D3AAE">
        <w:rPr>
          <w:rFonts w:ascii="Arial" w:hAnsi="Arial" w:cs="Arial"/>
          <w:lang w:val="en-US"/>
        </w:rPr>
        <w:t>s</w:t>
      </w:r>
      <w:r w:rsidR="00197953">
        <w:rPr>
          <w:rFonts w:ascii="Arial" w:hAnsi="Arial" w:cs="Arial"/>
          <w:lang w:val="en-US"/>
        </w:rPr>
        <w:t xml:space="preserve"> that if the taxpayer</w:t>
      </w:r>
      <w:r w:rsidR="00E71AAB" w:rsidRPr="00E71AAB">
        <w:rPr>
          <w:rFonts w:ascii="Arial" w:hAnsi="Arial" w:cs="Arial"/>
          <w:lang w:val="en-US"/>
        </w:rPr>
        <w:t xml:space="preserve"> </w:t>
      </w:r>
      <w:r w:rsidR="00E71AAB">
        <w:rPr>
          <w:rFonts w:ascii="Arial" w:hAnsi="Arial" w:cs="Arial"/>
          <w:lang w:val="en-US"/>
        </w:rPr>
        <w:t>relies,</w:t>
      </w:r>
      <w:r w:rsidR="00197953">
        <w:rPr>
          <w:rFonts w:ascii="Arial" w:hAnsi="Arial" w:cs="Arial"/>
          <w:lang w:val="en-US"/>
        </w:rPr>
        <w:t xml:space="preserve"> in a notice of appeal</w:t>
      </w:r>
      <w:r w:rsidR="00E71AAB">
        <w:rPr>
          <w:rFonts w:ascii="Arial" w:hAnsi="Arial" w:cs="Arial"/>
          <w:lang w:val="en-US"/>
        </w:rPr>
        <w:t>,</w:t>
      </w:r>
      <w:r w:rsidR="00197953">
        <w:rPr>
          <w:rFonts w:ascii="Arial" w:hAnsi="Arial" w:cs="Arial"/>
          <w:lang w:val="en-US"/>
        </w:rPr>
        <w:t xml:space="preserve"> on a ground </w:t>
      </w:r>
      <w:r w:rsidR="001A4B11">
        <w:rPr>
          <w:rFonts w:ascii="Arial" w:hAnsi="Arial" w:cs="Arial"/>
          <w:lang w:val="en-US"/>
        </w:rPr>
        <w:t xml:space="preserve">which was </w:t>
      </w:r>
      <w:r w:rsidR="00197953">
        <w:rPr>
          <w:rFonts w:ascii="Arial" w:hAnsi="Arial" w:cs="Arial"/>
          <w:lang w:val="en-US"/>
        </w:rPr>
        <w:t xml:space="preserve">not raised in </w:t>
      </w:r>
      <w:r w:rsidR="001A4B11">
        <w:rPr>
          <w:rFonts w:ascii="Arial" w:hAnsi="Arial" w:cs="Arial"/>
          <w:lang w:val="en-US"/>
        </w:rPr>
        <w:t>its</w:t>
      </w:r>
      <w:r w:rsidR="00197953">
        <w:rPr>
          <w:rFonts w:ascii="Arial" w:hAnsi="Arial" w:cs="Arial"/>
          <w:lang w:val="en-US"/>
        </w:rPr>
        <w:t xml:space="preserve"> objection under rule 7,</w:t>
      </w:r>
      <w:r w:rsidR="00BF4DFB">
        <w:rPr>
          <w:rFonts w:ascii="Arial" w:hAnsi="Arial" w:cs="Arial"/>
          <w:lang w:val="en-US"/>
        </w:rPr>
        <w:t xml:space="preserve"> </w:t>
      </w:r>
      <w:r w:rsidR="00197953">
        <w:rPr>
          <w:rFonts w:ascii="Arial" w:hAnsi="Arial" w:cs="Arial"/>
          <w:lang w:val="en-US"/>
        </w:rPr>
        <w:t>SARS c</w:t>
      </w:r>
      <w:r w:rsidR="00E71AAB">
        <w:rPr>
          <w:rFonts w:ascii="Arial" w:hAnsi="Arial" w:cs="Arial"/>
          <w:lang w:val="en-US"/>
        </w:rPr>
        <w:t>an</w:t>
      </w:r>
      <w:r w:rsidR="00197953">
        <w:rPr>
          <w:rFonts w:ascii="Arial" w:hAnsi="Arial" w:cs="Arial"/>
          <w:lang w:val="en-US"/>
        </w:rPr>
        <w:t xml:space="preserve"> require </w:t>
      </w:r>
      <w:r w:rsidR="009D3AAE">
        <w:rPr>
          <w:rFonts w:ascii="Arial" w:hAnsi="Arial" w:cs="Arial"/>
          <w:lang w:val="en-US"/>
        </w:rPr>
        <w:t>it</w:t>
      </w:r>
      <w:r w:rsidR="00197953">
        <w:rPr>
          <w:rFonts w:ascii="Arial" w:hAnsi="Arial" w:cs="Arial"/>
          <w:lang w:val="en-US"/>
        </w:rPr>
        <w:t xml:space="preserve">, within 15 days after delivery of </w:t>
      </w:r>
      <w:r w:rsidR="00B10E5E">
        <w:rPr>
          <w:rFonts w:ascii="Arial" w:hAnsi="Arial" w:cs="Arial"/>
          <w:lang w:val="en-US"/>
        </w:rPr>
        <w:t>its</w:t>
      </w:r>
      <w:r w:rsidR="00197953">
        <w:rPr>
          <w:rFonts w:ascii="Arial" w:hAnsi="Arial" w:cs="Arial"/>
          <w:lang w:val="en-US"/>
        </w:rPr>
        <w:t xml:space="preserve"> </w:t>
      </w:r>
      <w:r w:rsidR="009D3AAE">
        <w:rPr>
          <w:rFonts w:ascii="Arial" w:hAnsi="Arial" w:cs="Arial"/>
          <w:lang w:val="en-US"/>
        </w:rPr>
        <w:t xml:space="preserve">rule 10 </w:t>
      </w:r>
      <w:r w:rsidR="001A4B11">
        <w:rPr>
          <w:rFonts w:ascii="Arial" w:hAnsi="Arial" w:cs="Arial"/>
          <w:lang w:val="en-US"/>
        </w:rPr>
        <w:t>notice</w:t>
      </w:r>
      <w:r w:rsidR="00197953">
        <w:rPr>
          <w:rFonts w:ascii="Arial" w:hAnsi="Arial" w:cs="Arial"/>
          <w:lang w:val="en-US"/>
        </w:rPr>
        <w:t xml:space="preserve">, to produce the </w:t>
      </w:r>
      <w:r w:rsidR="001A4B11">
        <w:rPr>
          <w:rFonts w:ascii="Arial" w:hAnsi="Arial" w:cs="Arial"/>
          <w:lang w:val="en-US"/>
        </w:rPr>
        <w:t>‘</w:t>
      </w:r>
      <w:r w:rsidR="00197953">
        <w:rPr>
          <w:rFonts w:ascii="Arial" w:hAnsi="Arial" w:cs="Arial"/>
          <w:lang w:val="en-US"/>
        </w:rPr>
        <w:t xml:space="preserve">substantiating documents necessary to decide </w:t>
      </w:r>
      <w:r w:rsidR="001A4B11">
        <w:rPr>
          <w:rFonts w:ascii="Arial" w:hAnsi="Arial" w:cs="Arial"/>
          <w:lang w:val="en-US"/>
        </w:rPr>
        <w:t xml:space="preserve">on </w:t>
      </w:r>
      <w:r w:rsidR="00197953">
        <w:rPr>
          <w:rFonts w:ascii="Arial" w:hAnsi="Arial" w:cs="Arial"/>
          <w:lang w:val="en-US"/>
        </w:rPr>
        <w:t>the further progress</w:t>
      </w:r>
      <w:r w:rsidR="001A4B11">
        <w:rPr>
          <w:rFonts w:ascii="Arial" w:hAnsi="Arial" w:cs="Arial"/>
          <w:lang w:val="en-US"/>
        </w:rPr>
        <w:t>’</w:t>
      </w:r>
      <w:r w:rsidR="00197953">
        <w:rPr>
          <w:rFonts w:ascii="Arial" w:hAnsi="Arial" w:cs="Arial"/>
          <w:lang w:val="en-US"/>
        </w:rPr>
        <w:t xml:space="preserve"> of the appeal. </w:t>
      </w:r>
      <w:r w:rsidR="001A4B11">
        <w:rPr>
          <w:rFonts w:ascii="Arial" w:hAnsi="Arial" w:cs="Arial"/>
          <w:lang w:val="en-US"/>
        </w:rPr>
        <w:t>The appellant submit</w:t>
      </w:r>
      <w:r w:rsidR="009D3AAE">
        <w:rPr>
          <w:rFonts w:ascii="Arial" w:hAnsi="Arial" w:cs="Arial"/>
          <w:lang w:val="en-US"/>
        </w:rPr>
        <w:t>s</w:t>
      </w:r>
      <w:r w:rsidR="001A4B11">
        <w:rPr>
          <w:rFonts w:ascii="Arial" w:hAnsi="Arial" w:cs="Arial"/>
          <w:lang w:val="en-US"/>
        </w:rPr>
        <w:t xml:space="preserve"> that</w:t>
      </w:r>
      <w:r w:rsidR="00E71AAB">
        <w:rPr>
          <w:rFonts w:ascii="Arial" w:hAnsi="Arial" w:cs="Arial"/>
          <w:lang w:val="en-US"/>
        </w:rPr>
        <w:t>, in the light of this</w:t>
      </w:r>
      <w:r w:rsidR="001A4B11">
        <w:rPr>
          <w:rFonts w:ascii="Arial" w:hAnsi="Arial" w:cs="Arial"/>
          <w:lang w:val="en-US"/>
        </w:rPr>
        <w:t xml:space="preserve"> r</w:t>
      </w:r>
      <w:r w:rsidR="00197953">
        <w:rPr>
          <w:rFonts w:ascii="Arial" w:hAnsi="Arial" w:cs="Arial"/>
          <w:lang w:val="en-US"/>
        </w:rPr>
        <w:t>ule</w:t>
      </w:r>
      <w:r w:rsidR="001A4B11">
        <w:rPr>
          <w:rFonts w:ascii="Arial" w:hAnsi="Arial" w:cs="Arial"/>
          <w:lang w:val="en-US"/>
        </w:rPr>
        <w:t>s</w:t>
      </w:r>
      <w:r w:rsidR="00197953">
        <w:rPr>
          <w:rFonts w:ascii="Arial" w:hAnsi="Arial" w:cs="Arial"/>
          <w:lang w:val="en-US"/>
        </w:rPr>
        <w:t xml:space="preserve"> 10(3) and 10(4) would be contradictory</w:t>
      </w:r>
      <w:r w:rsidR="00E71AAB">
        <w:rPr>
          <w:rFonts w:ascii="Arial" w:hAnsi="Arial" w:cs="Arial"/>
          <w:lang w:val="en-US"/>
        </w:rPr>
        <w:t xml:space="preserve"> and would nullify one another</w:t>
      </w:r>
      <w:r w:rsidR="00197953">
        <w:rPr>
          <w:rFonts w:ascii="Arial" w:hAnsi="Arial" w:cs="Arial"/>
          <w:lang w:val="en-US"/>
        </w:rPr>
        <w:t xml:space="preserve"> unless the former was </w:t>
      </w:r>
      <w:r w:rsidR="00E71AAB">
        <w:rPr>
          <w:rFonts w:ascii="Arial" w:hAnsi="Arial" w:cs="Arial"/>
          <w:lang w:val="en-US"/>
        </w:rPr>
        <w:t xml:space="preserve">read and </w:t>
      </w:r>
      <w:r w:rsidR="00197953">
        <w:rPr>
          <w:rFonts w:ascii="Arial" w:hAnsi="Arial" w:cs="Arial"/>
          <w:lang w:val="en-US"/>
        </w:rPr>
        <w:t xml:space="preserve">interpreted to </w:t>
      </w:r>
      <w:r w:rsidR="00E71AAB">
        <w:rPr>
          <w:rFonts w:ascii="Arial" w:hAnsi="Arial" w:cs="Arial"/>
          <w:lang w:val="en-US"/>
        </w:rPr>
        <w:t>allow</w:t>
      </w:r>
      <w:r w:rsidR="00197953">
        <w:rPr>
          <w:rFonts w:ascii="Arial" w:hAnsi="Arial" w:cs="Arial"/>
          <w:lang w:val="en-US"/>
        </w:rPr>
        <w:t xml:space="preserve"> </w:t>
      </w:r>
      <w:r w:rsidR="00E71AAB" w:rsidRPr="001A32B4">
        <w:rPr>
          <w:rFonts w:ascii="Arial" w:hAnsi="Arial" w:cs="Arial"/>
          <w:i/>
          <w:iCs/>
          <w:lang w:val="en-US"/>
        </w:rPr>
        <w:t>any</w:t>
      </w:r>
      <w:r w:rsidR="00E71AAB">
        <w:rPr>
          <w:rFonts w:ascii="Arial" w:hAnsi="Arial" w:cs="Arial"/>
          <w:lang w:val="en-US"/>
        </w:rPr>
        <w:t xml:space="preserve"> </w:t>
      </w:r>
      <w:r w:rsidR="00197953">
        <w:rPr>
          <w:rFonts w:ascii="Arial" w:hAnsi="Arial" w:cs="Arial"/>
          <w:lang w:val="en-US"/>
        </w:rPr>
        <w:t xml:space="preserve">new grounds </w:t>
      </w:r>
      <w:r w:rsidR="00935B37">
        <w:rPr>
          <w:rFonts w:ascii="Arial" w:hAnsi="Arial" w:cs="Arial"/>
          <w:lang w:val="en-US"/>
        </w:rPr>
        <w:t>to be put forward</w:t>
      </w:r>
      <w:r w:rsidR="00935B37" w:rsidRPr="00935B37">
        <w:rPr>
          <w:rFonts w:ascii="Arial" w:hAnsi="Arial" w:cs="Arial"/>
          <w:lang w:val="en-US"/>
        </w:rPr>
        <w:t xml:space="preserve"> </w:t>
      </w:r>
      <w:r w:rsidR="00935B37">
        <w:rPr>
          <w:rFonts w:ascii="Arial" w:hAnsi="Arial" w:cs="Arial"/>
          <w:lang w:val="en-US"/>
        </w:rPr>
        <w:t>on appeal</w:t>
      </w:r>
      <w:r w:rsidR="00E71AAB">
        <w:rPr>
          <w:rFonts w:ascii="Arial" w:hAnsi="Arial" w:cs="Arial"/>
          <w:lang w:val="en-US"/>
        </w:rPr>
        <w:t xml:space="preserve">, </w:t>
      </w:r>
      <w:r w:rsidR="00E04C99">
        <w:rPr>
          <w:rFonts w:ascii="Arial" w:hAnsi="Arial" w:cs="Arial"/>
          <w:lang w:val="en-US"/>
        </w:rPr>
        <w:t xml:space="preserve">as envisaged in rule 10(4), </w:t>
      </w:r>
      <w:r w:rsidR="00E71AAB">
        <w:rPr>
          <w:rFonts w:ascii="Arial" w:hAnsi="Arial" w:cs="Arial"/>
          <w:lang w:val="en-US"/>
        </w:rPr>
        <w:t xml:space="preserve">which had </w:t>
      </w:r>
      <w:r w:rsidR="00197953">
        <w:rPr>
          <w:rFonts w:ascii="Arial" w:hAnsi="Arial" w:cs="Arial"/>
          <w:lang w:val="en-US"/>
        </w:rPr>
        <w:t xml:space="preserve">not </w:t>
      </w:r>
      <w:r w:rsidR="00E71AAB">
        <w:rPr>
          <w:rFonts w:ascii="Arial" w:hAnsi="Arial" w:cs="Arial"/>
          <w:lang w:val="en-US"/>
        </w:rPr>
        <w:t xml:space="preserve">been </w:t>
      </w:r>
      <w:r w:rsidR="00197953">
        <w:rPr>
          <w:rFonts w:ascii="Arial" w:hAnsi="Arial" w:cs="Arial"/>
          <w:lang w:val="en-US"/>
        </w:rPr>
        <w:t xml:space="preserve">raised in </w:t>
      </w:r>
      <w:r w:rsidR="001A4B11">
        <w:rPr>
          <w:rFonts w:ascii="Arial" w:hAnsi="Arial" w:cs="Arial"/>
          <w:lang w:val="en-US"/>
        </w:rPr>
        <w:t xml:space="preserve">terms of a notice of objection under </w:t>
      </w:r>
      <w:r w:rsidR="00197953">
        <w:rPr>
          <w:rFonts w:ascii="Arial" w:hAnsi="Arial" w:cs="Arial"/>
          <w:lang w:val="en-US"/>
        </w:rPr>
        <w:t>rule 7.</w:t>
      </w:r>
    </w:p>
    <w:p w14:paraId="790DD2A5" w14:textId="77777777" w:rsidR="00BF4DFB" w:rsidRDefault="00BF4DFB" w:rsidP="00197953">
      <w:pPr>
        <w:spacing w:line="480" w:lineRule="auto"/>
        <w:jc w:val="both"/>
        <w:rPr>
          <w:rFonts w:ascii="Arial" w:hAnsi="Arial" w:cs="Arial"/>
          <w:lang w:val="en-US"/>
        </w:rPr>
      </w:pPr>
    </w:p>
    <w:p w14:paraId="30D731FD" w14:textId="3DF8694D" w:rsidR="003D35E1" w:rsidRDefault="00D22658" w:rsidP="00197953">
      <w:pPr>
        <w:spacing w:line="480" w:lineRule="auto"/>
        <w:jc w:val="both"/>
        <w:rPr>
          <w:rFonts w:ascii="Arial" w:hAnsi="Arial" w:cs="Arial"/>
          <w:lang w:val="en-US"/>
        </w:rPr>
      </w:pPr>
      <w:r>
        <w:rPr>
          <w:rFonts w:ascii="Arial" w:hAnsi="Arial" w:cs="Arial"/>
          <w:lang w:val="en-US"/>
        </w:rPr>
        <w:t>[4</w:t>
      </w:r>
      <w:r w:rsidR="001A4B11">
        <w:rPr>
          <w:rFonts w:ascii="Arial" w:hAnsi="Arial" w:cs="Arial"/>
          <w:lang w:val="en-US"/>
        </w:rPr>
        <w:t>6</w:t>
      </w:r>
      <w:r>
        <w:rPr>
          <w:rFonts w:ascii="Arial" w:hAnsi="Arial" w:cs="Arial"/>
          <w:lang w:val="en-US"/>
        </w:rPr>
        <w:t>]</w:t>
      </w:r>
      <w:r>
        <w:rPr>
          <w:rFonts w:ascii="Arial" w:hAnsi="Arial" w:cs="Arial"/>
          <w:lang w:val="en-US"/>
        </w:rPr>
        <w:tab/>
      </w:r>
      <w:r w:rsidR="00197953">
        <w:rPr>
          <w:rFonts w:ascii="Arial" w:hAnsi="Arial" w:cs="Arial"/>
          <w:lang w:val="en-US"/>
        </w:rPr>
        <w:t>Th</w:t>
      </w:r>
      <w:r w:rsidR="00E71AAB">
        <w:rPr>
          <w:rFonts w:ascii="Arial" w:hAnsi="Arial" w:cs="Arial"/>
          <w:lang w:val="en-US"/>
        </w:rPr>
        <w:t>us, the</w:t>
      </w:r>
      <w:r w:rsidR="00197953">
        <w:rPr>
          <w:rFonts w:ascii="Arial" w:hAnsi="Arial" w:cs="Arial"/>
          <w:lang w:val="en-US"/>
        </w:rPr>
        <w:t xml:space="preserve"> appellant reiterate</w:t>
      </w:r>
      <w:r w:rsidR="001A4B11">
        <w:rPr>
          <w:rFonts w:ascii="Arial" w:hAnsi="Arial" w:cs="Arial"/>
          <w:lang w:val="en-US"/>
        </w:rPr>
        <w:t>d</w:t>
      </w:r>
      <w:r w:rsidR="00197953">
        <w:rPr>
          <w:rFonts w:ascii="Arial" w:hAnsi="Arial" w:cs="Arial"/>
          <w:lang w:val="en-US"/>
        </w:rPr>
        <w:t xml:space="preserve"> that it was </w:t>
      </w:r>
      <w:r w:rsidR="00CB7149">
        <w:rPr>
          <w:rFonts w:ascii="Arial" w:hAnsi="Arial" w:cs="Arial"/>
          <w:lang w:val="en-US"/>
        </w:rPr>
        <w:t>apparent</w:t>
      </w:r>
      <w:r w:rsidR="00197953">
        <w:rPr>
          <w:rFonts w:ascii="Arial" w:hAnsi="Arial" w:cs="Arial"/>
          <w:lang w:val="en-US"/>
        </w:rPr>
        <w:t xml:space="preserve"> from the scheme of the rules that taxpayers were no longer restricted</w:t>
      </w:r>
      <w:r w:rsidR="00ED6E2E">
        <w:rPr>
          <w:rFonts w:ascii="Arial" w:hAnsi="Arial" w:cs="Arial"/>
          <w:lang w:val="en-US"/>
        </w:rPr>
        <w:t>,</w:t>
      </w:r>
      <w:r w:rsidR="00197953">
        <w:rPr>
          <w:rFonts w:ascii="Arial" w:hAnsi="Arial" w:cs="Arial"/>
          <w:lang w:val="en-US"/>
        </w:rPr>
        <w:t xml:space="preserve"> on appeal, to the grounds of objection originally filed by them</w:t>
      </w:r>
      <w:r w:rsidR="00DB14CF">
        <w:rPr>
          <w:rFonts w:ascii="Arial" w:hAnsi="Arial" w:cs="Arial"/>
          <w:lang w:val="en-US"/>
        </w:rPr>
        <w:t xml:space="preserve">.  </w:t>
      </w:r>
      <w:r w:rsidR="00197953">
        <w:rPr>
          <w:rFonts w:ascii="Arial" w:hAnsi="Arial" w:cs="Arial"/>
          <w:lang w:val="en-US"/>
        </w:rPr>
        <w:t xml:space="preserve">According to </w:t>
      </w:r>
      <w:r w:rsidR="00ED6E2E">
        <w:rPr>
          <w:rFonts w:ascii="Arial" w:hAnsi="Arial" w:cs="Arial"/>
          <w:lang w:val="en-US"/>
        </w:rPr>
        <w:t>it</w:t>
      </w:r>
      <w:r>
        <w:rPr>
          <w:rFonts w:ascii="Arial" w:hAnsi="Arial" w:cs="Arial"/>
          <w:lang w:val="en-US"/>
        </w:rPr>
        <w:t>,</w:t>
      </w:r>
      <w:r w:rsidR="00197953">
        <w:rPr>
          <w:rFonts w:ascii="Arial" w:hAnsi="Arial" w:cs="Arial"/>
          <w:lang w:val="en-US"/>
        </w:rPr>
        <w:t xml:space="preserve"> the position </w:t>
      </w:r>
      <w:r w:rsidR="00ED6E2E">
        <w:rPr>
          <w:rFonts w:ascii="Arial" w:hAnsi="Arial" w:cs="Arial"/>
          <w:lang w:val="en-US"/>
        </w:rPr>
        <w:t xml:space="preserve">which </w:t>
      </w:r>
      <w:r w:rsidR="00197953">
        <w:rPr>
          <w:rFonts w:ascii="Arial" w:hAnsi="Arial" w:cs="Arial"/>
          <w:lang w:val="en-US"/>
        </w:rPr>
        <w:t xml:space="preserve">obtained under the previous rule 32(3) has now been cast in a more direct, </w:t>
      </w:r>
      <w:r w:rsidR="00ED6E2E">
        <w:rPr>
          <w:rFonts w:ascii="Arial" w:hAnsi="Arial" w:cs="Arial"/>
          <w:lang w:val="en-US"/>
        </w:rPr>
        <w:t>assertive,</w:t>
      </w:r>
      <w:r w:rsidR="00197953">
        <w:rPr>
          <w:rFonts w:ascii="Arial" w:hAnsi="Arial" w:cs="Arial"/>
          <w:lang w:val="en-US"/>
        </w:rPr>
        <w:t xml:space="preserve"> and permissive manner. </w:t>
      </w:r>
      <w:r w:rsidR="00ED6E2E">
        <w:rPr>
          <w:rFonts w:ascii="Arial" w:hAnsi="Arial" w:cs="Arial"/>
          <w:lang w:val="en-US"/>
        </w:rPr>
        <w:t>Thus, r</w:t>
      </w:r>
      <w:r w:rsidR="00197953">
        <w:rPr>
          <w:rFonts w:ascii="Arial" w:hAnsi="Arial" w:cs="Arial"/>
          <w:lang w:val="en-US"/>
        </w:rPr>
        <w:t xml:space="preserve">ule 32(3) </w:t>
      </w:r>
      <w:r w:rsidR="009D3AAE">
        <w:rPr>
          <w:rFonts w:ascii="Arial" w:hAnsi="Arial" w:cs="Arial"/>
          <w:lang w:val="en-US"/>
        </w:rPr>
        <w:t>i</w:t>
      </w:r>
      <w:r w:rsidR="00197953">
        <w:rPr>
          <w:rFonts w:ascii="Arial" w:hAnsi="Arial" w:cs="Arial"/>
          <w:lang w:val="en-US"/>
        </w:rPr>
        <w:t xml:space="preserve">s not aimed at prohibiting the introduction of a new ground of objection not </w:t>
      </w:r>
      <w:r w:rsidR="008B03BF">
        <w:rPr>
          <w:rFonts w:ascii="Arial" w:hAnsi="Arial" w:cs="Arial"/>
          <w:lang w:val="en-US"/>
        </w:rPr>
        <w:t xml:space="preserve">previously </w:t>
      </w:r>
      <w:r w:rsidR="00197953">
        <w:rPr>
          <w:rFonts w:ascii="Arial" w:hAnsi="Arial" w:cs="Arial"/>
          <w:lang w:val="en-US"/>
        </w:rPr>
        <w:t xml:space="preserve">raised under rule 7. Its ambit </w:t>
      </w:r>
      <w:r w:rsidR="009D3AAE">
        <w:rPr>
          <w:rFonts w:ascii="Arial" w:hAnsi="Arial" w:cs="Arial"/>
          <w:lang w:val="en-US"/>
        </w:rPr>
        <w:t>is</w:t>
      </w:r>
      <w:r w:rsidR="00197953">
        <w:rPr>
          <w:rFonts w:ascii="Arial" w:hAnsi="Arial" w:cs="Arial"/>
          <w:lang w:val="en-US"/>
        </w:rPr>
        <w:t xml:space="preserve"> more limited</w:t>
      </w:r>
      <w:r w:rsidR="008B03BF">
        <w:rPr>
          <w:rFonts w:ascii="Arial" w:hAnsi="Arial" w:cs="Arial"/>
          <w:lang w:val="en-US"/>
        </w:rPr>
        <w:t>,</w:t>
      </w:r>
      <w:r w:rsidR="00197953">
        <w:rPr>
          <w:rFonts w:ascii="Arial" w:hAnsi="Arial" w:cs="Arial"/>
          <w:lang w:val="en-US"/>
        </w:rPr>
        <w:t xml:space="preserve"> because what a taxpayer </w:t>
      </w:r>
      <w:r w:rsidR="008B03BF">
        <w:rPr>
          <w:rFonts w:ascii="Arial" w:hAnsi="Arial" w:cs="Arial"/>
          <w:lang w:val="en-US"/>
        </w:rPr>
        <w:t xml:space="preserve">only </w:t>
      </w:r>
      <w:r w:rsidR="00197953">
        <w:rPr>
          <w:rFonts w:ascii="Arial" w:hAnsi="Arial" w:cs="Arial"/>
          <w:lang w:val="en-US"/>
        </w:rPr>
        <w:t>c</w:t>
      </w:r>
      <w:r w:rsidR="009D3AAE">
        <w:rPr>
          <w:rFonts w:ascii="Arial" w:hAnsi="Arial" w:cs="Arial"/>
          <w:lang w:val="en-US"/>
        </w:rPr>
        <w:t>an</w:t>
      </w:r>
      <w:r w:rsidR="00197953">
        <w:rPr>
          <w:rFonts w:ascii="Arial" w:hAnsi="Arial" w:cs="Arial"/>
          <w:lang w:val="en-US"/>
        </w:rPr>
        <w:t xml:space="preserve">not do </w:t>
      </w:r>
      <w:r w:rsidR="009D3AAE">
        <w:rPr>
          <w:rFonts w:ascii="Arial" w:hAnsi="Arial" w:cs="Arial"/>
          <w:lang w:val="en-US"/>
        </w:rPr>
        <w:t>i</w:t>
      </w:r>
      <w:r w:rsidR="00197953">
        <w:rPr>
          <w:rFonts w:ascii="Arial" w:hAnsi="Arial" w:cs="Arial"/>
          <w:lang w:val="en-US"/>
        </w:rPr>
        <w:t xml:space="preserve">s to use rule 32 to appeal against a portion of </w:t>
      </w:r>
      <w:r w:rsidR="009D3AAE">
        <w:rPr>
          <w:rFonts w:ascii="Arial" w:hAnsi="Arial" w:cs="Arial"/>
          <w:lang w:val="en-US"/>
        </w:rPr>
        <w:t>an</w:t>
      </w:r>
      <w:r w:rsidR="00197953">
        <w:rPr>
          <w:rFonts w:ascii="Arial" w:hAnsi="Arial" w:cs="Arial"/>
          <w:lang w:val="en-US"/>
        </w:rPr>
        <w:t xml:space="preserve"> assessment not previously objected to under rule 7.</w:t>
      </w:r>
      <w:r>
        <w:rPr>
          <w:rFonts w:ascii="Arial" w:hAnsi="Arial" w:cs="Arial"/>
          <w:lang w:val="en-US"/>
        </w:rPr>
        <w:t xml:space="preserve"> </w:t>
      </w:r>
      <w:r w:rsidR="00B10E5E">
        <w:rPr>
          <w:rFonts w:ascii="Arial" w:hAnsi="Arial" w:cs="Arial"/>
          <w:lang w:val="en-US"/>
        </w:rPr>
        <w:t>But it may do so in respect of an amount which was previously objected to.</w:t>
      </w:r>
      <w:r>
        <w:rPr>
          <w:rFonts w:ascii="Arial" w:hAnsi="Arial" w:cs="Arial"/>
          <w:lang w:val="en-US"/>
        </w:rPr>
        <w:t xml:space="preserve"> </w:t>
      </w:r>
    </w:p>
    <w:p w14:paraId="4CFF63CD" w14:textId="77777777" w:rsidR="003D35E1" w:rsidRDefault="003D35E1" w:rsidP="00197953">
      <w:pPr>
        <w:spacing w:line="480" w:lineRule="auto"/>
        <w:jc w:val="both"/>
        <w:rPr>
          <w:rFonts w:ascii="Arial" w:hAnsi="Arial" w:cs="Arial"/>
          <w:lang w:val="en-US"/>
        </w:rPr>
      </w:pPr>
    </w:p>
    <w:p w14:paraId="286C2537" w14:textId="2DD88249" w:rsidR="00197953" w:rsidRDefault="003D35E1" w:rsidP="00197953">
      <w:pPr>
        <w:spacing w:line="480" w:lineRule="auto"/>
        <w:jc w:val="both"/>
        <w:rPr>
          <w:rFonts w:ascii="Arial" w:hAnsi="Arial" w:cs="Arial"/>
          <w:lang w:val="en-US"/>
        </w:rPr>
      </w:pPr>
      <w:r>
        <w:rPr>
          <w:rFonts w:ascii="Arial" w:hAnsi="Arial" w:cs="Arial"/>
          <w:lang w:val="en-US"/>
        </w:rPr>
        <w:t>[4</w:t>
      </w:r>
      <w:r w:rsidR="008B03BF">
        <w:rPr>
          <w:rFonts w:ascii="Arial" w:hAnsi="Arial" w:cs="Arial"/>
          <w:lang w:val="en-US"/>
        </w:rPr>
        <w:t>7</w:t>
      </w:r>
      <w:r>
        <w:rPr>
          <w:rFonts w:ascii="Arial" w:hAnsi="Arial" w:cs="Arial"/>
          <w:lang w:val="en-US"/>
        </w:rPr>
        <w:t>]</w:t>
      </w:r>
      <w:r>
        <w:rPr>
          <w:rFonts w:ascii="Arial" w:hAnsi="Arial" w:cs="Arial"/>
          <w:lang w:val="en-US"/>
        </w:rPr>
        <w:tab/>
      </w:r>
      <w:r w:rsidR="00197953">
        <w:rPr>
          <w:rFonts w:ascii="Arial" w:hAnsi="Arial" w:cs="Arial"/>
          <w:lang w:val="en-US"/>
        </w:rPr>
        <w:t>Thus, according to the appellant a taxpayer c</w:t>
      </w:r>
      <w:r w:rsidR="001A32B4">
        <w:rPr>
          <w:rFonts w:ascii="Arial" w:hAnsi="Arial" w:cs="Arial"/>
          <w:lang w:val="en-US"/>
        </w:rPr>
        <w:t>an</w:t>
      </w:r>
      <w:r w:rsidR="00197953">
        <w:rPr>
          <w:rFonts w:ascii="Arial" w:hAnsi="Arial" w:cs="Arial"/>
          <w:lang w:val="en-US"/>
        </w:rPr>
        <w:t xml:space="preserve"> </w:t>
      </w:r>
      <w:r w:rsidR="008B03BF">
        <w:rPr>
          <w:rFonts w:ascii="Arial" w:hAnsi="Arial" w:cs="Arial"/>
          <w:lang w:val="en-US"/>
        </w:rPr>
        <w:t>raise</w:t>
      </w:r>
      <w:r w:rsidR="00197953">
        <w:rPr>
          <w:rFonts w:ascii="Arial" w:hAnsi="Arial" w:cs="Arial"/>
          <w:lang w:val="en-US"/>
        </w:rPr>
        <w:t xml:space="preserve"> </w:t>
      </w:r>
      <w:r w:rsidR="0085340C">
        <w:rPr>
          <w:rFonts w:ascii="Arial" w:hAnsi="Arial" w:cs="Arial"/>
          <w:lang w:val="en-US"/>
        </w:rPr>
        <w:t xml:space="preserve">a </w:t>
      </w:r>
      <w:r w:rsidR="00197953">
        <w:rPr>
          <w:rFonts w:ascii="Arial" w:hAnsi="Arial" w:cs="Arial"/>
          <w:lang w:val="en-US"/>
        </w:rPr>
        <w:t xml:space="preserve">new ground in its rule 32 statement </w:t>
      </w:r>
      <w:r w:rsidR="008B03BF">
        <w:rPr>
          <w:rFonts w:ascii="Arial" w:hAnsi="Arial" w:cs="Arial"/>
          <w:lang w:val="en-US"/>
        </w:rPr>
        <w:t>if</w:t>
      </w:r>
      <w:r w:rsidR="00197953">
        <w:rPr>
          <w:rFonts w:ascii="Arial" w:hAnsi="Arial" w:cs="Arial"/>
          <w:lang w:val="en-US"/>
        </w:rPr>
        <w:t xml:space="preserve"> it relate</w:t>
      </w:r>
      <w:r w:rsidR="009D3AAE">
        <w:rPr>
          <w:rFonts w:ascii="Arial" w:hAnsi="Arial" w:cs="Arial"/>
          <w:lang w:val="en-US"/>
        </w:rPr>
        <w:t>s</w:t>
      </w:r>
      <w:r w:rsidR="00197953">
        <w:rPr>
          <w:rFonts w:ascii="Arial" w:hAnsi="Arial" w:cs="Arial"/>
          <w:lang w:val="en-US"/>
        </w:rPr>
        <w:t xml:space="preserve"> to a </w:t>
      </w:r>
      <w:r w:rsidR="008B03BF">
        <w:rPr>
          <w:rFonts w:ascii="Arial" w:hAnsi="Arial" w:cs="Arial"/>
          <w:lang w:val="en-US"/>
        </w:rPr>
        <w:t>‘</w:t>
      </w:r>
      <w:r w:rsidR="00197953">
        <w:rPr>
          <w:rFonts w:ascii="Arial" w:hAnsi="Arial" w:cs="Arial"/>
          <w:lang w:val="en-US"/>
        </w:rPr>
        <w:t>part or amount</w:t>
      </w:r>
      <w:r w:rsidR="008B03BF">
        <w:rPr>
          <w:rFonts w:ascii="Arial" w:hAnsi="Arial" w:cs="Arial"/>
          <w:lang w:val="en-US"/>
        </w:rPr>
        <w:t>’</w:t>
      </w:r>
      <w:r w:rsidR="00197953">
        <w:rPr>
          <w:rFonts w:ascii="Arial" w:hAnsi="Arial" w:cs="Arial"/>
          <w:lang w:val="en-US"/>
        </w:rPr>
        <w:t xml:space="preserve"> in the assessment </w:t>
      </w:r>
      <w:r w:rsidR="008B03BF">
        <w:rPr>
          <w:rFonts w:ascii="Arial" w:hAnsi="Arial" w:cs="Arial"/>
          <w:lang w:val="en-US"/>
        </w:rPr>
        <w:t>which</w:t>
      </w:r>
      <w:r w:rsidR="00197953">
        <w:rPr>
          <w:rFonts w:ascii="Arial" w:hAnsi="Arial" w:cs="Arial"/>
          <w:lang w:val="en-US"/>
        </w:rPr>
        <w:t xml:space="preserve"> had been placed in dispute</w:t>
      </w:r>
      <w:r w:rsidR="008B03BF">
        <w:rPr>
          <w:rFonts w:ascii="Arial" w:hAnsi="Arial" w:cs="Arial"/>
          <w:lang w:val="en-US"/>
        </w:rPr>
        <w:t>,</w:t>
      </w:r>
      <w:r w:rsidR="00197953">
        <w:rPr>
          <w:rFonts w:ascii="Arial" w:hAnsi="Arial" w:cs="Arial"/>
          <w:lang w:val="en-US"/>
        </w:rPr>
        <w:t xml:space="preserve"> by the objection </w:t>
      </w:r>
      <w:r w:rsidR="008B03BF">
        <w:rPr>
          <w:rFonts w:ascii="Arial" w:hAnsi="Arial" w:cs="Arial"/>
          <w:lang w:val="en-US"/>
        </w:rPr>
        <w:t xml:space="preserve">which it </w:t>
      </w:r>
      <w:r w:rsidR="00197953">
        <w:rPr>
          <w:rFonts w:ascii="Arial" w:hAnsi="Arial" w:cs="Arial"/>
          <w:lang w:val="en-US"/>
        </w:rPr>
        <w:t>lodged in terms of rule 7.</w:t>
      </w:r>
      <w:r>
        <w:rPr>
          <w:rFonts w:ascii="Arial" w:hAnsi="Arial" w:cs="Arial"/>
          <w:lang w:val="en-US"/>
        </w:rPr>
        <w:t xml:space="preserve"> </w:t>
      </w:r>
      <w:r w:rsidR="00197953">
        <w:rPr>
          <w:rFonts w:ascii="Arial" w:hAnsi="Arial" w:cs="Arial"/>
          <w:lang w:val="en-US"/>
        </w:rPr>
        <w:t>Th</w:t>
      </w:r>
      <w:r w:rsidR="008B03BF">
        <w:rPr>
          <w:rFonts w:ascii="Arial" w:hAnsi="Arial" w:cs="Arial"/>
          <w:lang w:val="en-US"/>
        </w:rPr>
        <w:t>e</w:t>
      </w:r>
      <w:r w:rsidR="00197953">
        <w:rPr>
          <w:rFonts w:ascii="Arial" w:hAnsi="Arial" w:cs="Arial"/>
          <w:lang w:val="en-US"/>
        </w:rPr>
        <w:t xml:space="preserve"> change place</w:t>
      </w:r>
      <w:r w:rsidR="009D3AAE">
        <w:rPr>
          <w:rFonts w:ascii="Arial" w:hAnsi="Arial" w:cs="Arial"/>
          <w:lang w:val="en-US"/>
        </w:rPr>
        <w:t>s</w:t>
      </w:r>
      <w:r w:rsidR="00197953">
        <w:rPr>
          <w:rFonts w:ascii="Arial" w:hAnsi="Arial" w:cs="Arial"/>
          <w:lang w:val="en-US"/>
        </w:rPr>
        <w:t xml:space="preserve"> the taxpayer in an equivalent position with SARS which, under rule 31(3), c</w:t>
      </w:r>
      <w:r w:rsidR="009D3AAE">
        <w:rPr>
          <w:rFonts w:ascii="Arial" w:hAnsi="Arial" w:cs="Arial"/>
          <w:lang w:val="en-US"/>
        </w:rPr>
        <w:t>an</w:t>
      </w:r>
      <w:r w:rsidR="00197953">
        <w:rPr>
          <w:rFonts w:ascii="Arial" w:hAnsi="Arial" w:cs="Arial"/>
          <w:lang w:val="en-US"/>
        </w:rPr>
        <w:t xml:space="preserve"> include a new ground in its statement, provided that it d</w:t>
      </w:r>
      <w:r w:rsidR="009D3AAE">
        <w:rPr>
          <w:rFonts w:ascii="Arial" w:hAnsi="Arial" w:cs="Arial"/>
          <w:lang w:val="en-US"/>
        </w:rPr>
        <w:t>oes</w:t>
      </w:r>
      <w:r w:rsidR="00197953">
        <w:rPr>
          <w:rFonts w:ascii="Arial" w:hAnsi="Arial" w:cs="Arial"/>
          <w:lang w:val="en-US"/>
        </w:rPr>
        <w:t xml:space="preserve"> not amount to a</w:t>
      </w:r>
      <w:r w:rsidR="008B03BF">
        <w:rPr>
          <w:rFonts w:ascii="Arial" w:hAnsi="Arial" w:cs="Arial"/>
          <w:lang w:val="en-US"/>
        </w:rPr>
        <w:t xml:space="preserve"> ’</w:t>
      </w:r>
      <w:r w:rsidR="00197953">
        <w:rPr>
          <w:rFonts w:ascii="Arial" w:hAnsi="Arial" w:cs="Arial"/>
          <w:lang w:val="en-US"/>
        </w:rPr>
        <w:t xml:space="preserve">novation of the </w:t>
      </w:r>
      <w:r w:rsidR="008B03BF">
        <w:rPr>
          <w:rFonts w:ascii="Arial" w:hAnsi="Arial" w:cs="Arial"/>
          <w:lang w:val="en-US"/>
        </w:rPr>
        <w:t xml:space="preserve">whole of the factual or legal </w:t>
      </w:r>
      <w:r w:rsidR="00B10E5E">
        <w:rPr>
          <w:rFonts w:ascii="Arial" w:hAnsi="Arial" w:cs="Arial"/>
          <w:lang w:val="en-US"/>
        </w:rPr>
        <w:t>basis’</w:t>
      </w:r>
      <w:r w:rsidR="008B03BF">
        <w:rPr>
          <w:rFonts w:ascii="Arial" w:hAnsi="Arial" w:cs="Arial"/>
          <w:lang w:val="en-US"/>
        </w:rPr>
        <w:t xml:space="preserve"> </w:t>
      </w:r>
      <w:r w:rsidR="00B10E5E">
        <w:rPr>
          <w:rFonts w:ascii="Arial" w:hAnsi="Arial" w:cs="Arial"/>
          <w:lang w:val="en-US"/>
        </w:rPr>
        <w:t xml:space="preserve">(sic) </w:t>
      </w:r>
      <w:r w:rsidR="008B03BF">
        <w:rPr>
          <w:rFonts w:ascii="Arial" w:hAnsi="Arial" w:cs="Arial"/>
          <w:lang w:val="en-US"/>
        </w:rPr>
        <w:t xml:space="preserve">of the </w:t>
      </w:r>
      <w:r w:rsidR="00197953">
        <w:rPr>
          <w:rFonts w:ascii="Arial" w:hAnsi="Arial" w:cs="Arial"/>
          <w:lang w:val="en-US"/>
        </w:rPr>
        <w:t>assessment.</w:t>
      </w:r>
    </w:p>
    <w:p w14:paraId="620E29DA" w14:textId="77777777" w:rsidR="003D35E1" w:rsidRDefault="003D35E1" w:rsidP="00197953">
      <w:pPr>
        <w:spacing w:line="480" w:lineRule="auto"/>
        <w:jc w:val="both"/>
        <w:rPr>
          <w:rFonts w:ascii="Arial" w:hAnsi="Arial" w:cs="Arial"/>
          <w:lang w:val="en-US"/>
        </w:rPr>
      </w:pPr>
    </w:p>
    <w:p w14:paraId="14E2027B" w14:textId="373C1B3B" w:rsidR="003D76D2" w:rsidRDefault="003D76D2" w:rsidP="00197953">
      <w:pPr>
        <w:spacing w:line="480" w:lineRule="auto"/>
        <w:jc w:val="both"/>
        <w:rPr>
          <w:rFonts w:ascii="Arial" w:hAnsi="Arial" w:cs="Arial"/>
          <w:lang w:val="en-US"/>
        </w:rPr>
      </w:pPr>
      <w:r>
        <w:rPr>
          <w:rFonts w:ascii="Arial" w:hAnsi="Arial" w:cs="Arial"/>
          <w:lang w:val="en-US"/>
        </w:rPr>
        <w:t>[4</w:t>
      </w:r>
      <w:r w:rsidR="008B03BF">
        <w:rPr>
          <w:rFonts w:ascii="Arial" w:hAnsi="Arial" w:cs="Arial"/>
          <w:lang w:val="en-US"/>
        </w:rPr>
        <w:t>8</w:t>
      </w:r>
      <w:r>
        <w:rPr>
          <w:rFonts w:ascii="Arial" w:hAnsi="Arial" w:cs="Arial"/>
          <w:lang w:val="en-US"/>
        </w:rPr>
        <w:t>]</w:t>
      </w:r>
      <w:r>
        <w:rPr>
          <w:rFonts w:ascii="Arial" w:hAnsi="Arial" w:cs="Arial"/>
          <w:lang w:val="en-US"/>
        </w:rPr>
        <w:tab/>
      </w:r>
      <w:r w:rsidR="00197953">
        <w:rPr>
          <w:rFonts w:ascii="Arial" w:hAnsi="Arial" w:cs="Arial"/>
          <w:lang w:val="en-US"/>
        </w:rPr>
        <w:t>In respect of this matter</w:t>
      </w:r>
      <w:r w:rsidR="00EA4EEE">
        <w:rPr>
          <w:rFonts w:ascii="Arial" w:hAnsi="Arial" w:cs="Arial"/>
          <w:lang w:val="en-US"/>
        </w:rPr>
        <w:t>,</w:t>
      </w:r>
      <w:r w:rsidR="00197953">
        <w:rPr>
          <w:rFonts w:ascii="Arial" w:hAnsi="Arial" w:cs="Arial"/>
          <w:lang w:val="en-US"/>
        </w:rPr>
        <w:t xml:space="preserve"> the appellant contend</w:t>
      </w:r>
      <w:r w:rsidR="001F1E93">
        <w:rPr>
          <w:rFonts w:ascii="Arial" w:hAnsi="Arial" w:cs="Arial"/>
          <w:lang w:val="en-US"/>
        </w:rPr>
        <w:t>ed</w:t>
      </w:r>
      <w:r w:rsidR="00197953">
        <w:rPr>
          <w:rFonts w:ascii="Arial" w:hAnsi="Arial" w:cs="Arial"/>
          <w:lang w:val="en-US"/>
        </w:rPr>
        <w:t xml:space="preserve"> that it </w:t>
      </w:r>
      <w:r w:rsidR="00517070">
        <w:rPr>
          <w:rFonts w:ascii="Arial" w:hAnsi="Arial" w:cs="Arial"/>
          <w:lang w:val="en-US"/>
        </w:rPr>
        <w:t>wa</w:t>
      </w:r>
      <w:r w:rsidR="001F1E93">
        <w:rPr>
          <w:rFonts w:ascii="Arial" w:hAnsi="Arial" w:cs="Arial"/>
          <w:lang w:val="en-US"/>
        </w:rPr>
        <w:t>s</w:t>
      </w:r>
      <w:r w:rsidR="00197953">
        <w:rPr>
          <w:rFonts w:ascii="Arial" w:hAnsi="Arial" w:cs="Arial"/>
          <w:lang w:val="en-US"/>
        </w:rPr>
        <w:t xml:space="preserve"> common cause that the new ground </w:t>
      </w:r>
      <w:r w:rsidR="008B03BF">
        <w:rPr>
          <w:rFonts w:ascii="Arial" w:hAnsi="Arial" w:cs="Arial"/>
          <w:lang w:val="en-US"/>
        </w:rPr>
        <w:t xml:space="preserve">it advanced </w:t>
      </w:r>
      <w:r w:rsidR="00197953">
        <w:rPr>
          <w:rFonts w:ascii="Arial" w:hAnsi="Arial" w:cs="Arial"/>
          <w:lang w:val="en-US"/>
        </w:rPr>
        <w:t xml:space="preserve">was </w:t>
      </w:r>
      <w:r w:rsidR="008B03BF">
        <w:rPr>
          <w:rFonts w:ascii="Arial" w:hAnsi="Arial" w:cs="Arial"/>
          <w:lang w:val="en-US"/>
        </w:rPr>
        <w:t xml:space="preserve">one raised </w:t>
      </w:r>
      <w:r w:rsidR="00197953">
        <w:rPr>
          <w:rFonts w:ascii="Arial" w:hAnsi="Arial" w:cs="Arial"/>
          <w:lang w:val="en-US"/>
        </w:rPr>
        <w:t xml:space="preserve">in respect of </w:t>
      </w:r>
      <w:r w:rsidR="008B03BF">
        <w:rPr>
          <w:rFonts w:ascii="Arial" w:hAnsi="Arial" w:cs="Arial"/>
          <w:lang w:val="en-US"/>
        </w:rPr>
        <w:t xml:space="preserve">an amount which was the </w:t>
      </w:r>
      <w:r w:rsidR="00197953">
        <w:rPr>
          <w:rFonts w:ascii="Arial" w:hAnsi="Arial" w:cs="Arial"/>
          <w:lang w:val="en-US"/>
        </w:rPr>
        <w:t xml:space="preserve">same </w:t>
      </w:r>
      <w:r w:rsidR="008B03BF">
        <w:rPr>
          <w:rFonts w:ascii="Arial" w:hAnsi="Arial" w:cs="Arial"/>
          <w:lang w:val="en-US"/>
        </w:rPr>
        <w:t>as the one in</w:t>
      </w:r>
      <w:r w:rsidR="00197953">
        <w:rPr>
          <w:rFonts w:ascii="Arial" w:hAnsi="Arial" w:cs="Arial"/>
          <w:lang w:val="en-US"/>
        </w:rPr>
        <w:t xml:space="preserve"> the </w:t>
      </w:r>
      <w:r w:rsidR="008B03BF">
        <w:rPr>
          <w:rFonts w:ascii="Arial" w:hAnsi="Arial" w:cs="Arial"/>
          <w:lang w:val="en-US"/>
        </w:rPr>
        <w:t>assessment,</w:t>
      </w:r>
      <w:r w:rsidR="00197953">
        <w:rPr>
          <w:rFonts w:ascii="Arial" w:hAnsi="Arial" w:cs="Arial"/>
          <w:lang w:val="en-US"/>
        </w:rPr>
        <w:t xml:space="preserve"> </w:t>
      </w:r>
      <w:r w:rsidR="008B03BF">
        <w:rPr>
          <w:rFonts w:ascii="Arial" w:hAnsi="Arial" w:cs="Arial"/>
          <w:lang w:val="en-US"/>
        </w:rPr>
        <w:t xml:space="preserve">which had been </w:t>
      </w:r>
      <w:r w:rsidR="00197953">
        <w:rPr>
          <w:rFonts w:ascii="Arial" w:hAnsi="Arial" w:cs="Arial"/>
          <w:lang w:val="en-US"/>
        </w:rPr>
        <w:t xml:space="preserve">objected to under rule 7, and </w:t>
      </w:r>
      <w:r w:rsidR="001F1E93">
        <w:rPr>
          <w:rFonts w:ascii="Arial" w:hAnsi="Arial" w:cs="Arial"/>
          <w:lang w:val="en-US"/>
        </w:rPr>
        <w:t>it was</w:t>
      </w:r>
      <w:r w:rsidR="00197953">
        <w:rPr>
          <w:rFonts w:ascii="Arial" w:hAnsi="Arial" w:cs="Arial"/>
          <w:lang w:val="en-US"/>
        </w:rPr>
        <w:t xml:space="preserve"> therefore </w:t>
      </w:r>
      <w:r w:rsidR="00F45F42">
        <w:rPr>
          <w:rFonts w:ascii="Arial" w:hAnsi="Arial" w:cs="Arial"/>
          <w:lang w:val="en-US"/>
        </w:rPr>
        <w:t xml:space="preserve">a </w:t>
      </w:r>
      <w:r w:rsidR="00197953">
        <w:rPr>
          <w:rFonts w:ascii="Arial" w:hAnsi="Arial" w:cs="Arial"/>
          <w:lang w:val="en-US"/>
        </w:rPr>
        <w:t>permissible ground. In this regard</w:t>
      </w:r>
      <w:r w:rsidR="00EA4EEE">
        <w:rPr>
          <w:rFonts w:ascii="Arial" w:hAnsi="Arial" w:cs="Arial"/>
          <w:lang w:val="en-US"/>
        </w:rPr>
        <w:t>,</w:t>
      </w:r>
      <w:r w:rsidR="00197953">
        <w:rPr>
          <w:rFonts w:ascii="Arial" w:hAnsi="Arial" w:cs="Arial"/>
          <w:lang w:val="en-US"/>
        </w:rPr>
        <w:t xml:space="preserve"> </w:t>
      </w:r>
      <w:bookmarkStart w:id="2" w:name="_Hlk160454850"/>
      <w:r w:rsidR="00197953">
        <w:rPr>
          <w:rFonts w:ascii="Arial" w:hAnsi="Arial" w:cs="Arial"/>
          <w:lang w:val="en-US"/>
        </w:rPr>
        <w:t xml:space="preserve">both the </w:t>
      </w:r>
      <w:r w:rsidR="008B03BF">
        <w:rPr>
          <w:rFonts w:ascii="Arial" w:hAnsi="Arial" w:cs="Arial"/>
          <w:lang w:val="en-US"/>
        </w:rPr>
        <w:t>previously raised ‘</w:t>
      </w:r>
      <w:r w:rsidR="00197953">
        <w:rPr>
          <w:rFonts w:ascii="Arial" w:hAnsi="Arial" w:cs="Arial"/>
          <w:lang w:val="en-US"/>
        </w:rPr>
        <w:t>deduction</w:t>
      </w:r>
      <w:r w:rsidR="008B03BF">
        <w:rPr>
          <w:rFonts w:ascii="Arial" w:hAnsi="Arial" w:cs="Arial"/>
          <w:lang w:val="en-US"/>
        </w:rPr>
        <w:t>’</w:t>
      </w:r>
      <w:r w:rsidR="00197953">
        <w:rPr>
          <w:rFonts w:ascii="Arial" w:hAnsi="Arial" w:cs="Arial"/>
          <w:lang w:val="en-US"/>
        </w:rPr>
        <w:t xml:space="preserve"> ground </w:t>
      </w:r>
      <w:r w:rsidR="005A43E6">
        <w:rPr>
          <w:rFonts w:ascii="Arial" w:hAnsi="Arial" w:cs="Arial"/>
          <w:lang w:val="en-US"/>
        </w:rPr>
        <w:t xml:space="preserve">(of objection) </w:t>
      </w:r>
      <w:r w:rsidR="00197953">
        <w:rPr>
          <w:rFonts w:ascii="Arial" w:hAnsi="Arial" w:cs="Arial"/>
          <w:lang w:val="en-US"/>
        </w:rPr>
        <w:t>and the</w:t>
      </w:r>
      <w:r w:rsidR="008B03BF">
        <w:rPr>
          <w:rFonts w:ascii="Arial" w:hAnsi="Arial" w:cs="Arial"/>
          <w:lang w:val="en-US"/>
        </w:rPr>
        <w:t xml:space="preserve"> new</w:t>
      </w:r>
      <w:r w:rsidR="005A43E6">
        <w:rPr>
          <w:rFonts w:ascii="Arial" w:hAnsi="Arial" w:cs="Arial"/>
          <w:lang w:val="en-US"/>
        </w:rPr>
        <w:t>, alternative</w:t>
      </w:r>
      <w:r w:rsidR="00197953">
        <w:rPr>
          <w:rFonts w:ascii="Arial" w:hAnsi="Arial" w:cs="Arial"/>
          <w:lang w:val="en-US"/>
        </w:rPr>
        <w:t xml:space="preserve"> </w:t>
      </w:r>
      <w:r w:rsidR="008B03BF">
        <w:rPr>
          <w:rFonts w:ascii="Arial" w:hAnsi="Arial" w:cs="Arial"/>
          <w:lang w:val="en-US"/>
        </w:rPr>
        <w:t>‘</w:t>
      </w:r>
      <w:r w:rsidR="00197953">
        <w:rPr>
          <w:rFonts w:ascii="Arial" w:hAnsi="Arial" w:cs="Arial"/>
          <w:lang w:val="en-US"/>
        </w:rPr>
        <w:t>receipt/ accrual</w:t>
      </w:r>
      <w:r w:rsidR="008B03BF">
        <w:rPr>
          <w:rFonts w:ascii="Arial" w:hAnsi="Arial" w:cs="Arial"/>
          <w:lang w:val="en-US"/>
        </w:rPr>
        <w:t>’</w:t>
      </w:r>
      <w:r w:rsidR="00197953">
        <w:rPr>
          <w:rFonts w:ascii="Arial" w:hAnsi="Arial" w:cs="Arial"/>
          <w:lang w:val="en-US"/>
        </w:rPr>
        <w:t xml:space="preserve"> ground</w:t>
      </w:r>
      <w:r w:rsidR="005A43E6">
        <w:rPr>
          <w:rFonts w:ascii="Arial" w:hAnsi="Arial" w:cs="Arial"/>
          <w:lang w:val="en-US"/>
        </w:rPr>
        <w:t xml:space="preserve"> (</w:t>
      </w:r>
      <w:r w:rsidR="00197953">
        <w:rPr>
          <w:rFonts w:ascii="Arial" w:hAnsi="Arial" w:cs="Arial"/>
          <w:lang w:val="en-US"/>
        </w:rPr>
        <w:t>of appeal</w:t>
      </w:r>
      <w:r w:rsidR="005A43E6">
        <w:rPr>
          <w:rFonts w:ascii="Arial" w:hAnsi="Arial" w:cs="Arial"/>
          <w:lang w:val="en-US"/>
        </w:rPr>
        <w:t>)</w:t>
      </w:r>
      <w:r w:rsidR="00197953">
        <w:rPr>
          <w:rFonts w:ascii="Arial" w:hAnsi="Arial" w:cs="Arial"/>
          <w:lang w:val="en-US"/>
        </w:rPr>
        <w:t xml:space="preserve"> </w:t>
      </w:r>
      <w:r w:rsidR="00DD72B2">
        <w:rPr>
          <w:rFonts w:ascii="Arial" w:hAnsi="Arial" w:cs="Arial"/>
          <w:lang w:val="en-US"/>
        </w:rPr>
        <w:t>postulated</w:t>
      </w:r>
      <w:r w:rsidR="00197953">
        <w:rPr>
          <w:rFonts w:ascii="Arial" w:hAnsi="Arial" w:cs="Arial"/>
          <w:lang w:val="en-US"/>
        </w:rPr>
        <w:t xml:space="preserve"> that the </w:t>
      </w:r>
      <w:r w:rsidR="00517070">
        <w:rPr>
          <w:rFonts w:ascii="Arial" w:hAnsi="Arial" w:cs="Arial"/>
          <w:lang w:val="en-US"/>
        </w:rPr>
        <w:t xml:space="preserve">same, </w:t>
      </w:r>
      <w:r w:rsidR="00197953">
        <w:rPr>
          <w:rFonts w:ascii="Arial" w:hAnsi="Arial" w:cs="Arial"/>
          <w:lang w:val="en-US"/>
        </w:rPr>
        <w:t>disputed amount should be excluded</w:t>
      </w:r>
      <w:r w:rsidR="008B03BF">
        <w:rPr>
          <w:rFonts w:ascii="Arial" w:hAnsi="Arial" w:cs="Arial"/>
          <w:lang w:val="en-US"/>
        </w:rPr>
        <w:t>, ultimately,</w:t>
      </w:r>
      <w:r w:rsidR="00197953">
        <w:rPr>
          <w:rFonts w:ascii="Arial" w:hAnsi="Arial" w:cs="Arial"/>
          <w:lang w:val="en-US"/>
        </w:rPr>
        <w:t xml:space="preserve"> from the appellant’s taxable income. </w:t>
      </w:r>
    </w:p>
    <w:p w14:paraId="54BA92CA" w14:textId="77777777" w:rsidR="003D76D2" w:rsidRDefault="003D76D2" w:rsidP="00197953">
      <w:pPr>
        <w:spacing w:line="480" w:lineRule="auto"/>
        <w:jc w:val="both"/>
        <w:rPr>
          <w:rFonts w:ascii="Arial" w:hAnsi="Arial" w:cs="Arial"/>
          <w:lang w:val="en-US"/>
        </w:rPr>
      </w:pPr>
    </w:p>
    <w:p w14:paraId="39402CBC" w14:textId="203DE630" w:rsidR="00EA4EEE" w:rsidRDefault="003D76D2" w:rsidP="00197953">
      <w:pPr>
        <w:spacing w:line="480" w:lineRule="auto"/>
        <w:jc w:val="both"/>
        <w:rPr>
          <w:rFonts w:ascii="Arial" w:hAnsi="Arial" w:cs="Arial"/>
          <w:lang w:val="en-US"/>
        </w:rPr>
      </w:pPr>
      <w:r>
        <w:rPr>
          <w:rFonts w:ascii="Arial" w:hAnsi="Arial" w:cs="Arial"/>
          <w:lang w:val="en-US"/>
        </w:rPr>
        <w:t>[4</w:t>
      </w:r>
      <w:r w:rsidR="008B03BF">
        <w:rPr>
          <w:rFonts w:ascii="Arial" w:hAnsi="Arial" w:cs="Arial"/>
          <w:lang w:val="en-US"/>
        </w:rPr>
        <w:t>9</w:t>
      </w:r>
      <w:r>
        <w:rPr>
          <w:rFonts w:ascii="Arial" w:hAnsi="Arial" w:cs="Arial"/>
          <w:lang w:val="en-US"/>
        </w:rPr>
        <w:t>]</w:t>
      </w:r>
      <w:r>
        <w:rPr>
          <w:rFonts w:ascii="Arial" w:hAnsi="Arial" w:cs="Arial"/>
          <w:lang w:val="en-US"/>
        </w:rPr>
        <w:tab/>
      </w:r>
      <w:r w:rsidR="008B03BF">
        <w:rPr>
          <w:rFonts w:ascii="Arial" w:hAnsi="Arial" w:cs="Arial"/>
          <w:lang w:val="en-US"/>
        </w:rPr>
        <w:t>T</w:t>
      </w:r>
      <w:r w:rsidR="00197953">
        <w:rPr>
          <w:rFonts w:ascii="Arial" w:hAnsi="Arial" w:cs="Arial"/>
          <w:lang w:val="en-US"/>
        </w:rPr>
        <w:t xml:space="preserve">he distinction between the two grounds </w:t>
      </w:r>
      <w:r w:rsidR="008B03BF">
        <w:rPr>
          <w:rFonts w:ascii="Arial" w:hAnsi="Arial" w:cs="Arial"/>
          <w:lang w:val="en-US"/>
        </w:rPr>
        <w:t>wa</w:t>
      </w:r>
      <w:r w:rsidR="00197953">
        <w:rPr>
          <w:rFonts w:ascii="Arial" w:hAnsi="Arial" w:cs="Arial"/>
          <w:lang w:val="en-US"/>
        </w:rPr>
        <w:t xml:space="preserve">s that whereas the deduction ground </w:t>
      </w:r>
      <w:r w:rsidR="008B03BF">
        <w:rPr>
          <w:rFonts w:ascii="Arial" w:hAnsi="Arial" w:cs="Arial"/>
          <w:lang w:val="en-US"/>
        </w:rPr>
        <w:t xml:space="preserve">was aimed at having </w:t>
      </w:r>
      <w:r w:rsidR="00197953">
        <w:rPr>
          <w:rFonts w:ascii="Arial" w:hAnsi="Arial" w:cs="Arial"/>
          <w:lang w:val="en-US"/>
        </w:rPr>
        <w:t xml:space="preserve">the disputed amount excluded </w:t>
      </w:r>
      <w:r w:rsidR="005A43E6">
        <w:rPr>
          <w:rFonts w:ascii="Arial" w:hAnsi="Arial" w:cs="Arial"/>
          <w:lang w:val="en-US"/>
        </w:rPr>
        <w:t xml:space="preserve">directly </w:t>
      </w:r>
      <w:r w:rsidR="00197953">
        <w:rPr>
          <w:rFonts w:ascii="Arial" w:hAnsi="Arial" w:cs="Arial"/>
          <w:lang w:val="en-US"/>
        </w:rPr>
        <w:t xml:space="preserve">from the </w:t>
      </w:r>
      <w:r w:rsidR="008B03BF">
        <w:rPr>
          <w:rFonts w:ascii="Arial" w:hAnsi="Arial" w:cs="Arial"/>
          <w:lang w:val="en-US"/>
        </w:rPr>
        <w:t xml:space="preserve">appellant’s </w:t>
      </w:r>
      <w:r w:rsidR="00197953">
        <w:rPr>
          <w:rFonts w:ascii="Arial" w:hAnsi="Arial" w:cs="Arial"/>
          <w:lang w:val="en-US"/>
        </w:rPr>
        <w:t xml:space="preserve">taxable income </w:t>
      </w:r>
      <w:r w:rsidR="008B03BF">
        <w:rPr>
          <w:rFonts w:ascii="Arial" w:hAnsi="Arial" w:cs="Arial"/>
          <w:lang w:val="en-US"/>
        </w:rPr>
        <w:t xml:space="preserve">via, and </w:t>
      </w:r>
      <w:r w:rsidR="005A43E6">
        <w:rPr>
          <w:rFonts w:ascii="Arial" w:hAnsi="Arial" w:cs="Arial"/>
          <w:lang w:val="en-US"/>
        </w:rPr>
        <w:t xml:space="preserve">as, </w:t>
      </w:r>
      <w:r w:rsidR="00197953">
        <w:rPr>
          <w:rFonts w:ascii="Arial" w:hAnsi="Arial" w:cs="Arial"/>
          <w:lang w:val="en-US"/>
        </w:rPr>
        <w:t>a</w:t>
      </w:r>
      <w:r w:rsidR="005A43E6">
        <w:rPr>
          <w:rFonts w:ascii="Arial" w:hAnsi="Arial" w:cs="Arial"/>
          <w:lang w:val="en-US"/>
        </w:rPr>
        <w:t xml:space="preserve"> deductible expense</w:t>
      </w:r>
      <w:r w:rsidR="00197953">
        <w:rPr>
          <w:rFonts w:ascii="Arial" w:hAnsi="Arial" w:cs="Arial"/>
          <w:lang w:val="en-US"/>
        </w:rPr>
        <w:t xml:space="preserve">, the receipt/accrual ground </w:t>
      </w:r>
      <w:r w:rsidR="005A43E6">
        <w:rPr>
          <w:rFonts w:ascii="Arial" w:hAnsi="Arial" w:cs="Arial"/>
          <w:lang w:val="en-US"/>
        </w:rPr>
        <w:t xml:space="preserve">aimed at having it excluded </w:t>
      </w:r>
      <w:r w:rsidR="00DD72B2">
        <w:rPr>
          <w:rFonts w:ascii="Arial" w:hAnsi="Arial" w:cs="Arial"/>
          <w:lang w:val="en-US"/>
        </w:rPr>
        <w:t>indirectly from</w:t>
      </w:r>
      <w:r w:rsidR="005A0466">
        <w:rPr>
          <w:rFonts w:ascii="Arial" w:hAnsi="Arial" w:cs="Arial"/>
          <w:lang w:val="en-US"/>
        </w:rPr>
        <w:t xml:space="preserve"> it,</w:t>
      </w:r>
      <w:r w:rsidR="00DD72B2">
        <w:rPr>
          <w:rFonts w:ascii="Arial" w:hAnsi="Arial" w:cs="Arial"/>
          <w:lang w:val="en-US"/>
        </w:rPr>
        <w:t xml:space="preserve"> via and as, a </w:t>
      </w:r>
      <w:r w:rsidR="001A32B4">
        <w:rPr>
          <w:rFonts w:ascii="Arial" w:hAnsi="Arial" w:cs="Arial"/>
          <w:lang w:val="en-US"/>
        </w:rPr>
        <w:t xml:space="preserve">first </w:t>
      </w:r>
      <w:r w:rsidR="00DD72B2">
        <w:rPr>
          <w:rFonts w:ascii="Arial" w:hAnsi="Arial" w:cs="Arial"/>
          <w:lang w:val="en-US"/>
        </w:rPr>
        <w:t xml:space="preserve">deduction </w:t>
      </w:r>
      <w:r w:rsidR="005A43E6">
        <w:rPr>
          <w:rFonts w:ascii="Arial" w:hAnsi="Arial" w:cs="Arial"/>
          <w:lang w:val="en-US"/>
        </w:rPr>
        <w:t>from</w:t>
      </w:r>
      <w:r w:rsidR="00197953">
        <w:rPr>
          <w:rFonts w:ascii="Arial" w:hAnsi="Arial" w:cs="Arial"/>
          <w:lang w:val="en-US"/>
        </w:rPr>
        <w:t xml:space="preserve"> the appellant’s gross income</w:t>
      </w:r>
      <w:bookmarkEnd w:id="2"/>
      <w:r w:rsidR="00DD72B2">
        <w:rPr>
          <w:rFonts w:ascii="Arial" w:hAnsi="Arial" w:cs="Arial"/>
          <w:lang w:val="en-US"/>
        </w:rPr>
        <w:t>.</w:t>
      </w:r>
      <w:r w:rsidR="00197953">
        <w:rPr>
          <w:rFonts w:ascii="Arial" w:hAnsi="Arial" w:cs="Arial"/>
          <w:lang w:val="en-US"/>
        </w:rPr>
        <w:t xml:space="preserve"> </w:t>
      </w:r>
      <w:r w:rsidR="001F1E93">
        <w:rPr>
          <w:rFonts w:ascii="Arial" w:hAnsi="Arial" w:cs="Arial"/>
          <w:lang w:val="en-US"/>
        </w:rPr>
        <w:t>But</w:t>
      </w:r>
      <w:r w:rsidR="005A43E6">
        <w:rPr>
          <w:rFonts w:ascii="Arial" w:hAnsi="Arial" w:cs="Arial"/>
          <w:lang w:val="en-US"/>
        </w:rPr>
        <w:t>, on either ground the net result would be the same.</w:t>
      </w:r>
    </w:p>
    <w:p w14:paraId="3790AC54" w14:textId="77777777" w:rsidR="00EA4EEE" w:rsidRDefault="00EA4EEE" w:rsidP="00197953">
      <w:pPr>
        <w:spacing w:line="480" w:lineRule="auto"/>
        <w:jc w:val="both"/>
        <w:rPr>
          <w:rFonts w:ascii="Arial" w:hAnsi="Arial" w:cs="Arial"/>
          <w:lang w:val="en-US"/>
        </w:rPr>
      </w:pPr>
    </w:p>
    <w:p w14:paraId="48035ABB" w14:textId="79C7B5ED" w:rsidR="003D76D2" w:rsidRDefault="003D76D2" w:rsidP="00197953">
      <w:pPr>
        <w:spacing w:line="480" w:lineRule="auto"/>
        <w:jc w:val="both"/>
        <w:rPr>
          <w:rFonts w:ascii="Arial" w:hAnsi="Arial" w:cs="Arial"/>
          <w:lang w:val="en-US"/>
        </w:rPr>
      </w:pPr>
      <w:r>
        <w:rPr>
          <w:rFonts w:ascii="Arial" w:hAnsi="Arial" w:cs="Arial"/>
          <w:lang w:val="en-US"/>
        </w:rPr>
        <w:t>[</w:t>
      </w:r>
      <w:r w:rsidR="005A43E6">
        <w:rPr>
          <w:rFonts w:ascii="Arial" w:hAnsi="Arial" w:cs="Arial"/>
          <w:lang w:val="en-US"/>
        </w:rPr>
        <w:t>50</w:t>
      </w:r>
      <w:r>
        <w:rPr>
          <w:rFonts w:ascii="Arial" w:hAnsi="Arial" w:cs="Arial"/>
          <w:lang w:val="en-US"/>
        </w:rPr>
        <w:t>]</w:t>
      </w:r>
      <w:r>
        <w:rPr>
          <w:rFonts w:ascii="Arial" w:hAnsi="Arial" w:cs="Arial"/>
          <w:lang w:val="en-US"/>
        </w:rPr>
        <w:tab/>
      </w:r>
      <w:r w:rsidR="00197953">
        <w:rPr>
          <w:rFonts w:ascii="Arial" w:hAnsi="Arial" w:cs="Arial"/>
          <w:lang w:val="en-US"/>
        </w:rPr>
        <w:t xml:space="preserve">SARS was not prejudiced </w:t>
      </w:r>
      <w:r w:rsidR="005A43E6">
        <w:rPr>
          <w:rFonts w:ascii="Arial" w:hAnsi="Arial" w:cs="Arial"/>
          <w:lang w:val="en-US"/>
        </w:rPr>
        <w:t>by</w:t>
      </w:r>
      <w:r w:rsidR="00197953">
        <w:rPr>
          <w:rFonts w:ascii="Arial" w:hAnsi="Arial" w:cs="Arial"/>
          <w:lang w:val="en-US"/>
        </w:rPr>
        <w:t xml:space="preserve"> this because it could re</w:t>
      </w:r>
      <w:r w:rsidR="00DD72B2">
        <w:rPr>
          <w:rFonts w:ascii="Arial" w:hAnsi="Arial" w:cs="Arial"/>
          <w:lang w:val="en-US"/>
        </w:rPr>
        <w:t xml:space="preserve">spond </w:t>
      </w:r>
      <w:r w:rsidR="00197953">
        <w:rPr>
          <w:rFonts w:ascii="Arial" w:hAnsi="Arial" w:cs="Arial"/>
          <w:lang w:val="en-US"/>
        </w:rPr>
        <w:t xml:space="preserve">to the new </w:t>
      </w:r>
      <w:r w:rsidR="00003365">
        <w:rPr>
          <w:rFonts w:ascii="Arial" w:hAnsi="Arial" w:cs="Arial"/>
          <w:lang w:val="en-US"/>
        </w:rPr>
        <w:t>ground in</w:t>
      </w:r>
      <w:r w:rsidR="005A43E6">
        <w:rPr>
          <w:rFonts w:ascii="Arial" w:hAnsi="Arial" w:cs="Arial"/>
          <w:lang w:val="en-US"/>
        </w:rPr>
        <w:t xml:space="preserve"> its reply in terms of rule 33, </w:t>
      </w:r>
      <w:r w:rsidR="00197953">
        <w:rPr>
          <w:rFonts w:ascii="Arial" w:hAnsi="Arial" w:cs="Arial"/>
          <w:lang w:val="en-US"/>
        </w:rPr>
        <w:t>and it w</w:t>
      </w:r>
      <w:r w:rsidR="004F6F38">
        <w:rPr>
          <w:rFonts w:ascii="Arial" w:hAnsi="Arial" w:cs="Arial"/>
          <w:lang w:val="en-US"/>
        </w:rPr>
        <w:t>ould</w:t>
      </w:r>
      <w:r w:rsidR="00197953">
        <w:rPr>
          <w:rFonts w:ascii="Arial" w:hAnsi="Arial" w:cs="Arial"/>
          <w:lang w:val="en-US"/>
        </w:rPr>
        <w:t xml:space="preserve"> have the full </w:t>
      </w:r>
      <w:r w:rsidR="00197953" w:rsidRPr="008409D5">
        <w:rPr>
          <w:rFonts w:ascii="Arial" w:hAnsi="Arial" w:cs="Arial"/>
        </w:rPr>
        <w:t>armoury</w:t>
      </w:r>
      <w:r w:rsidR="00197953">
        <w:rPr>
          <w:rFonts w:ascii="Arial" w:hAnsi="Arial" w:cs="Arial"/>
          <w:lang w:val="en-US"/>
        </w:rPr>
        <w:t xml:space="preserve"> of amendment, </w:t>
      </w:r>
      <w:r w:rsidR="001A32B4">
        <w:rPr>
          <w:rFonts w:ascii="Arial" w:hAnsi="Arial" w:cs="Arial"/>
          <w:lang w:val="en-US"/>
        </w:rPr>
        <w:t xml:space="preserve">further </w:t>
      </w:r>
      <w:r w:rsidR="00197953">
        <w:rPr>
          <w:rFonts w:ascii="Arial" w:hAnsi="Arial" w:cs="Arial"/>
          <w:lang w:val="en-US"/>
        </w:rPr>
        <w:t xml:space="preserve">discovery and the leading of evidence to </w:t>
      </w:r>
      <w:r w:rsidR="00DD72B2">
        <w:rPr>
          <w:rFonts w:ascii="Arial" w:hAnsi="Arial" w:cs="Arial"/>
          <w:lang w:val="en-US"/>
        </w:rPr>
        <w:t xml:space="preserve">assist it to </w:t>
      </w:r>
      <w:r w:rsidR="00197953">
        <w:rPr>
          <w:rFonts w:ascii="Arial" w:hAnsi="Arial" w:cs="Arial"/>
          <w:lang w:val="en-US"/>
        </w:rPr>
        <w:t xml:space="preserve">deal with </w:t>
      </w:r>
      <w:r w:rsidR="005A43E6">
        <w:rPr>
          <w:rFonts w:ascii="Arial" w:hAnsi="Arial" w:cs="Arial"/>
          <w:lang w:val="en-US"/>
        </w:rPr>
        <w:t>both</w:t>
      </w:r>
      <w:r w:rsidR="00197953">
        <w:rPr>
          <w:rFonts w:ascii="Arial" w:hAnsi="Arial" w:cs="Arial"/>
          <w:lang w:val="en-US"/>
        </w:rPr>
        <w:t xml:space="preserve"> </w:t>
      </w:r>
      <w:r w:rsidR="005A43E6">
        <w:rPr>
          <w:rFonts w:ascii="Arial" w:hAnsi="Arial" w:cs="Arial"/>
          <w:lang w:val="en-US"/>
        </w:rPr>
        <w:t xml:space="preserve">the main and the alternative </w:t>
      </w:r>
      <w:r w:rsidR="00197953">
        <w:rPr>
          <w:rFonts w:ascii="Arial" w:hAnsi="Arial" w:cs="Arial"/>
          <w:lang w:val="en-US"/>
        </w:rPr>
        <w:t>ground</w:t>
      </w:r>
      <w:r w:rsidR="005A43E6">
        <w:rPr>
          <w:rFonts w:ascii="Arial" w:hAnsi="Arial" w:cs="Arial"/>
          <w:lang w:val="en-US"/>
        </w:rPr>
        <w:t>s</w:t>
      </w:r>
      <w:r w:rsidR="00197953">
        <w:rPr>
          <w:rFonts w:ascii="Arial" w:hAnsi="Arial" w:cs="Arial"/>
          <w:lang w:val="en-US"/>
        </w:rPr>
        <w:t xml:space="preserve"> at the hearing of the appeal.</w:t>
      </w:r>
      <w:r>
        <w:rPr>
          <w:rFonts w:ascii="Arial" w:hAnsi="Arial" w:cs="Arial"/>
          <w:lang w:val="en-US"/>
        </w:rPr>
        <w:t xml:space="preserve"> </w:t>
      </w:r>
      <w:r w:rsidR="00197953">
        <w:rPr>
          <w:rFonts w:ascii="Arial" w:hAnsi="Arial" w:cs="Arial"/>
          <w:lang w:val="en-US"/>
        </w:rPr>
        <w:t xml:space="preserve">There </w:t>
      </w:r>
      <w:r w:rsidR="00DD72B2">
        <w:rPr>
          <w:rFonts w:ascii="Arial" w:hAnsi="Arial" w:cs="Arial"/>
          <w:lang w:val="en-US"/>
        </w:rPr>
        <w:t>was</w:t>
      </w:r>
      <w:r w:rsidR="00197953">
        <w:rPr>
          <w:rFonts w:ascii="Arial" w:hAnsi="Arial" w:cs="Arial"/>
          <w:lang w:val="en-US"/>
        </w:rPr>
        <w:t xml:space="preserve"> th</w:t>
      </w:r>
      <w:r w:rsidR="00E4188C">
        <w:rPr>
          <w:rFonts w:ascii="Arial" w:hAnsi="Arial" w:cs="Arial"/>
          <w:lang w:val="en-US"/>
        </w:rPr>
        <w:t>us</w:t>
      </w:r>
      <w:r w:rsidR="00197953">
        <w:rPr>
          <w:rFonts w:ascii="Arial" w:hAnsi="Arial" w:cs="Arial"/>
          <w:lang w:val="en-US"/>
        </w:rPr>
        <w:t xml:space="preserve"> no merit in</w:t>
      </w:r>
      <w:r w:rsidR="00E4188C">
        <w:rPr>
          <w:rFonts w:ascii="Arial" w:hAnsi="Arial" w:cs="Arial"/>
          <w:lang w:val="en-US"/>
        </w:rPr>
        <w:t xml:space="preserve"> the</w:t>
      </w:r>
      <w:r w:rsidR="00197953">
        <w:rPr>
          <w:rFonts w:ascii="Arial" w:hAnsi="Arial" w:cs="Arial"/>
          <w:lang w:val="en-US"/>
        </w:rPr>
        <w:t xml:space="preserve"> </w:t>
      </w:r>
      <w:r w:rsidR="00E4188C">
        <w:rPr>
          <w:rFonts w:ascii="Arial" w:hAnsi="Arial" w:cs="Arial"/>
          <w:lang w:val="en-US"/>
        </w:rPr>
        <w:t>respondent</w:t>
      </w:r>
      <w:r w:rsidR="00197953">
        <w:rPr>
          <w:rFonts w:ascii="Arial" w:hAnsi="Arial" w:cs="Arial"/>
          <w:lang w:val="en-US"/>
        </w:rPr>
        <w:t xml:space="preserve">’s submission that insofar as the rule permitted new grounds </w:t>
      </w:r>
      <w:r w:rsidR="00DD72B2">
        <w:rPr>
          <w:rFonts w:ascii="Arial" w:hAnsi="Arial" w:cs="Arial"/>
          <w:lang w:val="en-US"/>
        </w:rPr>
        <w:t xml:space="preserve">to be raised </w:t>
      </w:r>
      <w:r w:rsidR="00197953">
        <w:rPr>
          <w:rFonts w:ascii="Arial" w:hAnsi="Arial" w:cs="Arial"/>
          <w:lang w:val="en-US"/>
        </w:rPr>
        <w:t>in the rule 32 statement, this did not extend to</w:t>
      </w:r>
      <w:r w:rsidR="00E4188C">
        <w:rPr>
          <w:rFonts w:ascii="Arial" w:hAnsi="Arial" w:cs="Arial"/>
          <w:lang w:val="en-US"/>
        </w:rPr>
        <w:t xml:space="preserve"> </w:t>
      </w:r>
      <w:r w:rsidR="00197953">
        <w:rPr>
          <w:rFonts w:ascii="Arial" w:hAnsi="Arial" w:cs="Arial"/>
          <w:lang w:val="en-US"/>
        </w:rPr>
        <w:t xml:space="preserve">new grounds that were in substance not the same as those </w:t>
      </w:r>
      <w:r w:rsidR="00DD72B2">
        <w:rPr>
          <w:rFonts w:ascii="Arial" w:hAnsi="Arial" w:cs="Arial"/>
          <w:lang w:val="en-US"/>
        </w:rPr>
        <w:t xml:space="preserve">which were </w:t>
      </w:r>
      <w:r w:rsidR="00197953">
        <w:rPr>
          <w:rFonts w:ascii="Arial" w:hAnsi="Arial" w:cs="Arial"/>
          <w:lang w:val="en-US"/>
        </w:rPr>
        <w:t xml:space="preserve">contained in the objection. </w:t>
      </w:r>
    </w:p>
    <w:p w14:paraId="35F7562B" w14:textId="77777777" w:rsidR="003D76D2" w:rsidRDefault="003D76D2" w:rsidP="00197953">
      <w:pPr>
        <w:spacing w:line="480" w:lineRule="auto"/>
        <w:jc w:val="both"/>
        <w:rPr>
          <w:rFonts w:ascii="Arial" w:hAnsi="Arial" w:cs="Arial"/>
          <w:lang w:val="en-US"/>
        </w:rPr>
      </w:pPr>
    </w:p>
    <w:p w14:paraId="19369893" w14:textId="084F7A85" w:rsidR="00197953" w:rsidRDefault="003D76D2" w:rsidP="00197953">
      <w:pPr>
        <w:spacing w:line="480" w:lineRule="auto"/>
        <w:jc w:val="both"/>
        <w:rPr>
          <w:rFonts w:ascii="Arial" w:hAnsi="Arial" w:cs="Arial"/>
          <w:lang w:val="en-US"/>
        </w:rPr>
      </w:pPr>
      <w:r>
        <w:rPr>
          <w:rFonts w:ascii="Arial" w:hAnsi="Arial" w:cs="Arial"/>
          <w:lang w:val="en-US"/>
        </w:rPr>
        <w:t>[</w:t>
      </w:r>
      <w:r w:rsidR="00DD72B2">
        <w:rPr>
          <w:rFonts w:ascii="Arial" w:hAnsi="Arial" w:cs="Arial"/>
          <w:lang w:val="en-US"/>
        </w:rPr>
        <w:t>51</w:t>
      </w:r>
      <w:r>
        <w:rPr>
          <w:rFonts w:ascii="Arial" w:hAnsi="Arial" w:cs="Arial"/>
          <w:lang w:val="en-US"/>
        </w:rPr>
        <w:t>]</w:t>
      </w:r>
      <w:r>
        <w:rPr>
          <w:rFonts w:ascii="Arial" w:hAnsi="Arial" w:cs="Arial"/>
          <w:lang w:val="en-US"/>
        </w:rPr>
        <w:tab/>
      </w:r>
      <w:r w:rsidR="00EC6BD2">
        <w:rPr>
          <w:rFonts w:ascii="Arial" w:hAnsi="Arial" w:cs="Arial"/>
          <w:lang w:val="en-US"/>
        </w:rPr>
        <w:t>T</w:t>
      </w:r>
      <w:r w:rsidR="00197953">
        <w:rPr>
          <w:rFonts w:ascii="Arial" w:hAnsi="Arial" w:cs="Arial"/>
          <w:lang w:val="en-US"/>
        </w:rPr>
        <w:t xml:space="preserve">here </w:t>
      </w:r>
      <w:r w:rsidR="00DD72B2">
        <w:rPr>
          <w:rFonts w:ascii="Arial" w:hAnsi="Arial" w:cs="Arial"/>
          <w:lang w:val="en-US"/>
        </w:rPr>
        <w:t>wa</w:t>
      </w:r>
      <w:r w:rsidR="00197953">
        <w:rPr>
          <w:rFonts w:ascii="Arial" w:hAnsi="Arial" w:cs="Arial"/>
          <w:lang w:val="en-US"/>
        </w:rPr>
        <w:t>s nothing in the language or the structure of the tax appeal process</w:t>
      </w:r>
      <w:r w:rsidR="00DD72B2">
        <w:rPr>
          <w:rFonts w:ascii="Arial" w:hAnsi="Arial" w:cs="Arial"/>
          <w:lang w:val="en-US"/>
        </w:rPr>
        <w:t>,</w:t>
      </w:r>
      <w:r w:rsidR="00197953">
        <w:rPr>
          <w:rFonts w:ascii="Arial" w:hAnsi="Arial" w:cs="Arial"/>
          <w:lang w:val="en-US"/>
        </w:rPr>
        <w:t xml:space="preserve"> established under the previous rules</w:t>
      </w:r>
      <w:r w:rsidR="00E00EBC">
        <w:rPr>
          <w:rFonts w:ascii="Arial" w:hAnsi="Arial" w:cs="Arial"/>
          <w:lang w:val="en-US"/>
        </w:rPr>
        <w:t>,</w:t>
      </w:r>
      <w:r w:rsidR="00197953">
        <w:rPr>
          <w:rFonts w:ascii="Arial" w:hAnsi="Arial" w:cs="Arial"/>
          <w:lang w:val="en-US"/>
        </w:rPr>
        <w:t xml:space="preserve"> to suggest that any distinction should be drawn between grounds that </w:t>
      </w:r>
      <w:r w:rsidR="00214B3C">
        <w:rPr>
          <w:rFonts w:ascii="Arial" w:hAnsi="Arial" w:cs="Arial"/>
          <w:lang w:val="en-US"/>
        </w:rPr>
        <w:t xml:space="preserve">were </w:t>
      </w:r>
      <w:r w:rsidR="00197953">
        <w:rPr>
          <w:rFonts w:ascii="Arial" w:hAnsi="Arial" w:cs="Arial"/>
          <w:lang w:val="en-US"/>
        </w:rPr>
        <w:t>cover</w:t>
      </w:r>
      <w:r w:rsidR="00214B3C">
        <w:rPr>
          <w:rFonts w:ascii="Arial" w:hAnsi="Arial" w:cs="Arial"/>
          <w:lang w:val="en-US"/>
        </w:rPr>
        <w:t xml:space="preserve">ed </w:t>
      </w:r>
      <w:r w:rsidR="00197953" w:rsidRPr="006874F0">
        <w:rPr>
          <w:rFonts w:ascii="Arial" w:hAnsi="Arial" w:cs="Arial"/>
          <w:lang w:val="en-US"/>
        </w:rPr>
        <w:t>in substance in the objection</w:t>
      </w:r>
      <w:r w:rsidR="00197953">
        <w:rPr>
          <w:rFonts w:ascii="Arial" w:hAnsi="Arial" w:cs="Arial"/>
          <w:lang w:val="en-US"/>
        </w:rPr>
        <w:t xml:space="preserve"> and those that were not. </w:t>
      </w:r>
      <w:bookmarkStart w:id="3" w:name="_Hlk159251538"/>
      <w:r w:rsidR="00197953">
        <w:rPr>
          <w:rFonts w:ascii="Arial" w:hAnsi="Arial" w:cs="Arial"/>
          <w:lang w:val="en-US"/>
        </w:rPr>
        <w:t xml:space="preserve">The provisions offered no assistance </w:t>
      </w:r>
      <w:r w:rsidR="001A32B4">
        <w:rPr>
          <w:rFonts w:ascii="Arial" w:hAnsi="Arial" w:cs="Arial"/>
          <w:lang w:val="en-US"/>
        </w:rPr>
        <w:t>as to</w:t>
      </w:r>
      <w:r w:rsidR="00197953">
        <w:rPr>
          <w:rFonts w:ascii="Arial" w:hAnsi="Arial" w:cs="Arial"/>
          <w:lang w:val="en-US"/>
        </w:rPr>
        <w:t xml:space="preserve"> where the line should be drawn between these categories, and there </w:t>
      </w:r>
      <w:r w:rsidR="00DD72B2">
        <w:rPr>
          <w:rFonts w:ascii="Arial" w:hAnsi="Arial" w:cs="Arial"/>
          <w:lang w:val="en-US"/>
        </w:rPr>
        <w:t>was</w:t>
      </w:r>
      <w:r w:rsidR="00197953">
        <w:rPr>
          <w:rFonts w:ascii="Arial" w:hAnsi="Arial" w:cs="Arial"/>
          <w:lang w:val="en-US"/>
        </w:rPr>
        <w:t xml:space="preserve"> no hint in the</w:t>
      </w:r>
      <w:r w:rsidR="00D84733">
        <w:rPr>
          <w:rFonts w:ascii="Arial" w:hAnsi="Arial" w:cs="Arial"/>
          <w:lang w:val="en-US"/>
        </w:rPr>
        <w:t>ir</w:t>
      </w:r>
      <w:r w:rsidR="00197953">
        <w:rPr>
          <w:rFonts w:ascii="Arial" w:hAnsi="Arial" w:cs="Arial"/>
          <w:lang w:val="en-US"/>
        </w:rPr>
        <w:t xml:space="preserve"> language </w:t>
      </w:r>
      <w:r w:rsidR="00D84733">
        <w:rPr>
          <w:rFonts w:ascii="Arial" w:hAnsi="Arial" w:cs="Arial"/>
          <w:lang w:val="en-US"/>
        </w:rPr>
        <w:t>t</w:t>
      </w:r>
      <w:r w:rsidR="00197953">
        <w:rPr>
          <w:rFonts w:ascii="Arial" w:hAnsi="Arial" w:cs="Arial"/>
          <w:lang w:val="en-US"/>
        </w:rPr>
        <w:t xml:space="preserve">hat they were ever intended to have this </w:t>
      </w:r>
      <w:r w:rsidR="004F6F38">
        <w:rPr>
          <w:rFonts w:ascii="Arial" w:hAnsi="Arial" w:cs="Arial"/>
          <w:lang w:val="en-US"/>
        </w:rPr>
        <w:t xml:space="preserve">limited </w:t>
      </w:r>
      <w:r w:rsidR="00197953">
        <w:rPr>
          <w:rFonts w:ascii="Arial" w:hAnsi="Arial" w:cs="Arial"/>
          <w:lang w:val="en-US"/>
        </w:rPr>
        <w:t>purpose.</w:t>
      </w:r>
      <w:r w:rsidR="00BD5F4C">
        <w:rPr>
          <w:rFonts w:ascii="Arial" w:hAnsi="Arial" w:cs="Arial"/>
          <w:lang w:val="en-US"/>
        </w:rPr>
        <w:t xml:space="preserve"> </w:t>
      </w:r>
    </w:p>
    <w:p w14:paraId="5725EC8C" w14:textId="77777777" w:rsidR="001319C7" w:rsidRDefault="001319C7" w:rsidP="00197953">
      <w:pPr>
        <w:spacing w:line="480" w:lineRule="auto"/>
        <w:jc w:val="both"/>
        <w:rPr>
          <w:rFonts w:ascii="Arial" w:hAnsi="Arial" w:cs="Arial"/>
          <w:lang w:val="en-US"/>
        </w:rPr>
      </w:pPr>
    </w:p>
    <w:p w14:paraId="5E87FA4B" w14:textId="14407352" w:rsidR="00197953" w:rsidRPr="00AB1497" w:rsidRDefault="001319C7" w:rsidP="00197953">
      <w:pPr>
        <w:spacing w:line="480" w:lineRule="auto"/>
        <w:jc w:val="both"/>
        <w:rPr>
          <w:rFonts w:ascii="Arial" w:hAnsi="Arial" w:cs="Arial"/>
          <w:lang w:val="en-US"/>
        </w:rPr>
      </w:pPr>
      <w:r>
        <w:rPr>
          <w:rFonts w:ascii="Arial" w:hAnsi="Arial" w:cs="Arial"/>
          <w:lang w:val="en-US"/>
        </w:rPr>
        <w:t>[</w:t>
      </w:r>
      <w:r w:rsidR="00DD72B2">
        <w:rPr>
          <w:rFonts w:ascii="Arial" w:hAnsi="Arial" w:cs="Arial"/>
          <w:lang w:val="en-US"/>
        </w:rPr>
        <w:t>52</w:t>
      </w:r>
      <w:r>
        <w:rPr>
          <w:rFonts w:ascii="Arial" w:hAnsi="Arial" w:cs="Arial"/>
          <w:lang w:val="en-US"/>
        </w:rPr>
        <w:t>]</w:t>
      </w:r>
      <w:r>
        <w:rPr>
          <w:rFonts w:ascii="Arial" w:hAnsi="Arial" w:cs="Arial"/>
          <w:lang w:val="en-US"/>
        </w:rPr>
        <w:tab/>
      </w:r>
      <w:r w:rsidR="001A32B4">
        <w:rPr>
          <w:rFonts w:ascii="Arial" w:hAnsi="Arial" w:cs="Arial"/>
          <w:lang w:val="en-US"/>
        </w:rPr>
        <w:t>According to the appellant, i</w:t>
      </w:r>
      <w:r w:rsidR="006874F0">
        <w:rPr>
          <w:rFonts w:ascii="Arial" w:hAnsi="Arial" w:cs="Arial"/>
          <w:lang w:val="en-US"/>
        </w:rPr>
        <w:t xml:space="preserve">n </w:t>
      </w:r>
      <w:r w:rsidR="006874F0" w:rsidRPr="00DD72B2">
        <w:rPr>
          <w:rFonts w:ascii="Arial" w:hAnsi="Arial" w:cs="Arial"/>
          <w:i/>
          <w:iCs/>
          <w:lang w:val="en-US"/>
        </w:rPr>
        <w:t>ITC</w:t>
      </w:r>
      <w:r w:rsidR="000D37E0" w:rsidRPr="00DD72B2">
        <w:rPr>
          <w:rFonts w:ascii="Arial" w:hAnsi="Arial" w:cs="Arial"/>
          <w:i/>
          <w:iCs/>
          <w:lang w:val="en-US"/>
        </w:rPr>
        <w:t xml:space="preserve"> 1912</w:t>
      </w:r>
      <w:r w:rsidR="000D37E0">
        <w:rPr>
          <w:rFonts w:ascii="Arial" w:hAnsi="Arial" w:cs="Arial"/>
          <w:lang w:val="en-US"/>
        </w:rPr>
        <w:t xml:space="preserve"> </w:t>
      </w:r>
      <w:r w:rsidR="006860AC">
        <w:rPr>
          <w:rFonts w:ascii="Arial" w:hAnsi="Arial" w:cs="Arial"/>
          <w:lang w:val="en-US"/>
        </w:rPr>
        <w:t>the tax court</w:t>
      </w:r>
      <w:r w:rsidR="000D37E0">
        <w:rPr>
          <w:rFonts w:ascii="Arial" w:hAnsi="Arial" w:cs="Arial"/>
          <w:lang w:val="en-US"/>
        </w:rPr>
        <w:t xml:space="preserve"> </w:t>
      </w:r>
      <w:r w:rsidR="00DD72B2">
        <w:rPr>
          <w:rFonts w:ascii="Arial" w:hAnsi="Arial" w:cs="Arial"/>
          <w:lang w:val="en-US"/>
        </w:rPr>
        <w:t>held</w:t>
      </w:r>
      <w:r w:rsidR="000D37E0">
        <w:rPr>
          <w:rFonts w:ascii="Arial" w:hAnsi="Arial" w:cs="Arial"/>
          <w:lang w:val="en-US"/>
        </w:rPr>
        <w:t xml:space="preserve"> </w:t>
      </w:r>
      <w:r w:rsidR="00197953">
        <w:rPr>
          <w:rFonts w:ascii="Arial" w:hAnsi="Arial" w:cs="Arial"/>
          <w:lang w:val="en-US"/>
        </w:rPr>
        <w:t>that</w:t>
      </w:r>
      <w:r w:rsidR="00DD72B2">
        <w:rPr>
          <w:rFonts w:ascii="Arial" w:hAnsi="Arial" w:cs="Arial"/>
          <w:lang w:val="en-US"/>
        </w:rPr>
        <w:t>,</w:t>
      </w:r>
      <w:r w:rsidR="00197953">
        <w:rPr>
          <w:rFonts w:ascii="Arial" w:hAnsi="Arial" w:cs="Arial"/>
          <w:lang w:val="en-US"/>
        </w:rPr>
        <w:t xml:space="preserve"> on a proper </w:t>
      </w:r>
      <w:r w:rsidR="00DD72B2">
        <w:rPr>
          <w:rFonts w:ascii="Arial" w:hAnsi="Arial" w:cs="Arial"/>
          <w:lang w:val="en-US"/>
        </w:rPr>
        <w:t>comparison</w:t>
      </w:r>
      <w:r w:rsidR="00197953">
        <w:rPr>
          <w:rFonts w:ascii="Arial" w:hAnsi="Arial" w:cs="Arial"/>
          <w:lang w:val="en-US"/>
        </w:rPr>
        <w:t xml:space="preserve"> of the </w:t>
      </w:r>
      <w:r w:rsidR="00DD72B2">
        <w:rPr>
          <w:rFonts w:ascii="Arial" w:hAnsi="Arial" w:cs="Arial"/>
          <w:lang w:val="en-US"/>
        </w:rPr>
        <w:t xml:space="preserve">old and the new </w:t>
      </w:r>
      <w:r w:rsidR="00197953">
        <w:rPr>
          <w:rFonts w:ascii="Arial" w:hAnsi="Arial" w:cs="Arial"/>
          <w:lang w:val="en-US"/>
        </w:rPr>
        <w:t>grounds</w:t>
      </w:r>
      <w:r w:rsidR="001A32B4">
        <w:rPr>
          <w:rFonts w:ascii="Arial" w:hAnsi="Arial" w:cs="Arial"/>
          <w:lang w:val="en-US"/>
        </w:rPr>
        <w:t xml:space="preserve"> which had been raised</w:t>
      </w:r>
      <w:r w:rsidR="00197953">
        <w:rPr>
          <w:rFonts w:ascii="Arial" w:hAnsi="Arial" w:cs="Arial"/>
          <w:lang w:val="en-US"/>
        </w:rPr>
        <w:t xml:space="preserve">, the new ground </w:t>
      </w:r>
      <w:r w:rsidR="00CF3EFD">
        <w:rPr>
          <w:rFonts w:ascii="Arial" w:hAnsi="Arial" w:cs="Arial"/>
          <w:lang w:val="en-US"/>
        </w:rPr>
        <w:t xml:space="preserve">simply </w:t>
      </w:r>
      <w:r w:rsidR="00197953">
        <w:rPr>
          <w:rFonts w:ascii="Arial" w:hAnsi="Arial" w:cs="Arial"/>
          <w:lang w:val="en-US"/>
        </w:rPr>
        <w:t xml:space="preserve">involved a </w:t>
      </w:r>
      <w:r w:rsidR="005A432C">
        <w:rPr>
          <w:rFonts w:ascii="Arial" w:hAnsi="Arial" w:cs="Arial"/>
          <w:lang w:val="en-US"/>
        </w:rPr>
        <w:t>‘</w:t>
      </w:r>
      <w:r w:rsidR="00197953">
        <w:rPr>
          <w:rFonts w:ascii="Arial" w:hAnsi="Arial" w:cs="Arial"/>
          <w:lang w:val="en-US"/>
        </w:rPr>
        <w:t>repackaging</w:t>
      </w:r>
      <w:r w:rsidR="005A432C">
        <w:rPr>
          <w:rFonts w:ascii="Arial" w:hAnsi="Arial" w:cs="Arial"/>
          <w:lang w:val="en-US"/>
        </w:rPr>
        <w:t>’</w:t>
      </w:r>
      <w:r w:rsidR="00197953">
        <w:rPr>
          <w:rFonts w:ascii="Arial" w:hAnsi="Arial" w:cs="Arial"/>
          <w:lang w:val="en-US"/>
        </w:rPr>
        <w:t xml:space="preserve"> of the </w:t>
      </w:r>
      <w:r w:rsidR="005A432C">
        <w:rPr>
          <w:rFonts w:ascii="Arial" w:hAnsi="Arial" w:cs="Arial"/>
          <w:lang w:val="en-US"/>
        </w:rPr>
        <w:t>‘</w:t>
      </w:r>
      <w:r w:rsidR="00197953">
        <w:rPr>
          <w:rFonts w:ascii="Arial" w:hAnsi="Arial" w:cs="Arial"/>
          <w:lang w:val="en-US"/>
        </w:rPr>
        <w:t xml:space="preserve">legal </w:t>
      </w:r>
      <w:r w:rsidR="00CF3EFD">
        <w:rPr>
          <w:rFonts w:ascii="Arial" w:hAnsi="Arial" w:cs="Arial"/>
          <w:lang w:val="en-US"/>
        </w:rPr>
        <w:t>basis’</w:t>
      </w:r>
      <w:r w:rsidR="00197953">
        <w:rPr>
          <w:rFonts w:ascii="Arial" w:hAnsi="Arial" w:cs="Arial"/>
          <w:lang w:val="en-US"/>
        </w:rPr>
        <w:t xml:space="preserve"> on which the taxpayer </w:t>
      </w:r>
      <w:r w:rsidR="00CF3EFD">
        <w:rPr>
          <w:rFonts w:ascii="Arial" w:hAnsi="Arial" w:cs="Arial"/>
          <w:lang w:val="en-US"/>
        </w:rPr>
        <w:t xml:space="preserve">had </w:t>
      </w:r>
      <w:r w:rsidR="00197953">
        <w:rPr>
          <w:rFonts w:ascii="Arial" w:hAnsi="Arial" w:cs="Arial"/>
          <w:lang w:val="en-US"/>
        </w:rPr>
        <w:t>contend</w:t>
      </w:r>
      <w:r w:rsidR="00DD72B2">
        <w:rPr>
          <w:rFonts w:ascii="Arial" w:hAnsi="Arial" w:cs="Arial"/>
          <w:lang w:val="en-US"/>
        </w:rPr>
        <w:t>ed</w:t>
      </w:r>
      <w:r w:rsidR="00197953">
        <w:rPr>
          <w:rFonts w:ascii="Arial" w:hAnsi="Arial" w:cs="Arial"/>
          <w:lang w:val="en-US"/>
        </w:rPr>
        <w:t xml:space="preserve"> that the losses </w:t>
      </w:r>
      <w:r w:rsidR="00DD72B2">
        <w:rPr>
          <w:rFonts w:ascii="Arial" w:hAnsi="Arial" w:cs="Arial"/>
          <w:lang w:val="en-US"/>
        </w:rPr>
        <w:t xml:space="preserve">it </w:t>
      </w:r>
      <w:r w:rsidR="00197953">
        <w:rPr>
          <w:rFonts w:ascii="Arial" w:hAnsi="Arial" w:cs="Arial"/>
          <w:lang w:val="en-US"/>
        </w:rPr>
        <w:t xml:space="preserve">suffered in executing </w:t>
      </w:r>
      <w:r w:rsidR="00DD72B2">
        <w:rPr>
          <w:rFonts w:ascii="Arial" w:hAnsi="Arial" w:cs="Arial"/>
          <w:lang w:val="en-US"/>
        </w:rPr>
        <w:t>a</w:t>
      </w:r>
      <w:r w:rsidR="00197953">
        <w:rPr>
          <w:rFonts w:ascii="Arial" w:hAnsi="Arial" w:cs="Arial"/>
          <w:lang w:val="en-US"/>
        </w:rPr>
        <w:t xml:space="preserve"> scheme amounted to capital losses. In substance, </w:t>
      </w:r>
      <w:r w:rsidR="00DD72B2">
        <w:rPr>
          <w:rFonts w:ascii="Arial" w:hAnsi="Arial" w:cs="Arial"/>
          <w:lang w:val="en-US"/>
        </w:rPr>
        <w:t>t</w:t>
      </w:r>
      <w:r w:rsidR="00197953">
        <w:rPr>
          <w:rFonts w:ascii="Arial" w:hAnsi="Arial" w:cs="Arial"/>
          <w:lang w:val="en-US"/>
        </w:rPr>
        <w:t xml:space="preserve">he new ground </w:t>
      </w:r>
      <w:r w:rsidR="001A32B4">
        <w:rPr>
          <w:rFonts w:ascii="Arial" w:hAnsi="Arial" w:cs="Arial"/>
          <w:lang w:val="en-US"/>
        </w:rPr>
        <w:t xml:space="preserve">thus </w:t>
      </w:r>
      <w:r w:rsidR="00DD72B2">
        <w:rPr>
          <w:rFonts w:ascii="Arial" w:hAnsi="Arial" w:cs="Arial"/>
          <w:lang w:val="en-US"/>
        </w:rPr>
        <w:t>reflected</w:t>
      </w:r>
      <w:r w:rsidR="00197953">
        <w:rPr>
          <w:rFonts w:ascii="Arial" w:hAnsi="Arial" w:cs="Arial"/>
          <w:lang w:val="en-US"/>
        </w:rPr>
        <w:t xml:space="preserve"> </w:t>
      </w:r>
      <w:r w:rsidR="00EE6152">
        <w:rPr>
          <w:rFonts w:ascii="Arial" w:hAnsi="Arial" w:cs="Arial"/>
          <w:lang w:val="en-US"/>
        </w:rPr>
        <w:t xml:space="preserve">that </w:t>
      </w:r>
      <w:r w:rsidR="00197953">
        <w:rPr>
          <w:rFonts w:ascii="Arial" w:hAnsi="Arial" w:cs="Arial"/>
          <w:lang w:val="en-US"/>
        </w:rPr>
        <w:t xml:space="preserve">the same issue was before the </w:t>
      </w:r>
      <w:r w:rsidR="00CF3EFD">
        <w:rPr>
          <w:rFonts w:ascii="Arial" w:hAnsi="Arial" w:cs="Arial"/>
          <w:lang w:val="en-US"/>
        </w:rPr>
        <w:t xml:space="preserve">tax </w:t>
      </w:r>
      <w:r w:rsidR="00197953" w:rsidRPr="00AB1497">
        <w:rPr>
          <w:rFonts w:ascii="Arial" w:hAnsi="Arial" w:cs="Arial"/>
          <w:lang w:val="en-US"/>
        </w:rPr>
        <w:t>court</w:t>
      </w:r>
      <w:r w:rsidR="006860AC">
        <w:rPr>
          <w:rFonts w:ascii="Arial" w:hAnsi="Arial" w:cs="Arial"/>
          <w:lang w:val="en-US"/>
        </w:rPr>
        <w:t>,</w:t>
      </w:r>
      <w:r w:rsidR="00197953" w:rsidRPr="00AB1497">
        <w:rPr>
          <w:rFonts w:ascii="Arial" w:hAnsi="Arial" w:cs="Arial"/>
          <w:lang w:val="en-US"/>
        </w:rPr>
        <w:t xml:space="preserve"> on appeal</w:t>
      </w:r>
      <w:r w:rsidR="00DD72B2">
        <w:rPr>
          <w:rFonts w:ascii="Arial" w:hAnsi="Arial" w:cs="Arial"/>
          <w:lang w:val="en-US"/>
        </w:rPr>
        <w:t xml:space="preserve">, as </w:t>
      </w:r>
      <w:r w:rsidR="00D735DB">
        <w:rPr>
          <w:rFonts w:ascii="Arial" w:hAnsi="Arial" w:cs="Arial"/>
          <w:lang w:val="en-US"/>
        </w:rPr>
        <w:t>had been</w:t>
      </w:r>
      <w:r w:rsidR="00EE6152">
        <w:rPr>
          <w:rFonts w:ascii="Arial" w:hAnsi="Arial" w:cs="Arial"/>
          <w:lang w:val="en-US"/>
        </w:rPr>
        <w:t xml:space="preserve"> </w:t>
      </w:r>
      <w:r w:rsidR="00DD72B2">
        <w:rPr>
          <w:rFonts w:ascii="Arial" w:hAnsi="Arial" w:cs="Arial"/>
          <w:lang w:val="en-US"/>
        </w:rPr>
        <w:t xml:space="preserve">raised on </w:t>
      </w:r>
      <w:r w:rsidR="00700C9F">
        <w:rPr>
          <w:rFonts w:ascii="Arial" w:hAnsi="Arial" w:cs="Arial"/>
          <w:lang w:val="en-US"/>
        </w:rPr>
        <w:t xml:space="preserve">objection to the </w:t>
      </w:r>
      <w:r w:rsidR="00DD72B2">
        <w:rPr>
          <w:rFonts w:ascii="Arial" w:hAnsi="Arial" w:cs="Arial"/>
          <w:lang w:val="en-US"/>
        </w:rPr>
        <w:t>assessment</w:t>
      </w:r>
      <w:r w:rsidR="006D22E9">
        <w:rPr>
          <w:rFonts w:ascii="Arial" w:hAnsi="Arial" w:cs="Arial"/>
          <w:lang w:val="en-US"/>
        </w:rPr>
        <w:t>.</w:t>
      </w:r>
    </w:p>
    <w:p w14:paraId="568A1A4A" w14:textId="77777777" w:rsidR="001319C7" w:rsidRDefault="001319C7" w:rsidP="00197953">
      <w:pPr>
        <w:spacing w:line="480" w:lineRule="auto"/>
        <w:jc w:val="both"/>
        <w:rPr>
          <w:rFonts w:ascii="Arial" w:hAnsi="Arial" w:cs="Arial"/>
          <w:lang w:val="en-US"/>
        </w:rPr>
      </w:pPr>
    </w:p>
    <w:p w14:paraId="219A069C" w14:textId="25F9005F" w:rsidR="00197953" w:rsidRDefault="001319C7" w:rsidP="00197953">
      <w:pPr>
        <w:spacing w:line="480" w:lineRule="auto"/>
        <w:jc w:val="both"/>
        <w:rPr>
          <w:rFonts w:ascii="Arial" w:hAnsi="Arial" w:cs="Arial"/>
          <w:lang w:val="en-US"/>
        </w:rPr>
      </w:pPr>
      <w:r>
        <w:rPr>
          <w:rFonts w:ascii="Arial" w:hAnsi="Arial" w:cs="Arial"/>
          <w:lang w:val="en-US"/>
        </w:rPr>
        <w:t>[</w:t>
      </w:r>
      <w:r w:rsidR="00554498">
        <w:rPr>
          <w:rFonts w:ascii="Arial" w:hAnsi="Arial" w:cs="Arial"/>
          <w:lang w:val="en-US"/>
        </w:rPr>
        <w:t>53</w:t>
      </w:r>
      <w:r>
        <w:rPr>
          <w:rFonts w:ascii="Arial" w:hAnsi="Arial" w:cs="Arial"/>
          <w:lang w:val="en-US"/>
        </w:rPr>
        <w:t>]</w:t>
      </w:r>
      <w:r>
        <w:rPr>
          <w:rFonts w:ascii="Arial" w:hAnsi="Arial" w:cs="Arial"/>
          <w:lang w:val="en-US"/>
        </w:rPr>
        <w:tab/>
      </w:r>
      <w:r w:rsidR="005857C3">
        <w:rPr>
          <w:rFonts w:ascii="Arial" w:hAnsi="Arial" w:cs="Arial"/>
          <w:lang w:val="en-US"/>
        </w:rPr>
        <w:t>T</w:t>
      </w:r>
      <w:r w:rsidR="00E155BB">
        <w:rPr>
          <w:rFonts w:ascii="Arial" w:hAnsi="Arial" w:cs="Arial"/>
          <w:lang w:val="en-US"/>
        </w:rPr>
        <w:t xml:space="preserve">he appellant </w:t>
      </w:r>
      <w:r w:rsidR="003023DC">
        <w:rPr>
          <w:rFonts w:ascii="Arial" w:hAnsi="Arial" w:cs="Arial"/>
          <w:lang w:val="en-US"/>
        </w:rPr>
        <w:t>submit</w:t>
      </w:r>
      <w:r w:rsidR="00D735DB">
        <w:rPr>
          <w:rFonts w:ascii="Arial" w:hAnsi="Arial" w:cs="Arial"/>
          <w:lang w:val="en-US"/>
        </w:rPr>
        <w:t>ted</w:t>
      </w:r>
      <w:r w:rsidR="003023DC">
        <w:rPr>
          <w:rFonts w:ascii="Arial" w:hAnsi="Arial" w:cs="Arial"/>
          <w:lang w:val="en-US"/>
        </w:rPr>
        <w:t xml:space="preserve"> that the circumstances of this </w:t>
      </w:r>
      <w:r w:rsidR="00D56FF6">
        <w:rPr>
          <w:rFonts w:ascii="Arial" w:hAnsi="Arial" w:cs="Arial"/>
          <w:lang w:val="en-US"/>
        </w:rPr>
        <w:t>matter</w:t>
      </w:r>
      <w:r w:rsidR="003023DC">
        <w:rPr>
          <w:rFonts w:ascii="Arial" w:hAnsi="Arial" w:cs="Arial"/>
          <w:lang w:val="en-US"/>
        </w:rPr>
        <w:t xml:space="preserve"> </w:t>
      </w:r>
      <w:r w:rsidR="00D735DB">
        <w:rPr>
          <w:rFonts w:ascii="Arial" w:hAnsi="Arial" w:cs="Arial"/>
          <w:lang w:val="en-US"/>
        </w:rPr>
        <w:t>we</w:t>
      </w:r>
      <w:r w:rsidR="005857C3">
        <w:rPr>
          <w:rFonts w:ascii="Arial" w:hAnsi="Arial" w:cs="Arial"/>
          <w:lang w:val="en-US"/>
        </w:rPr>
        <w:t>re</w:t>
      </w:r>
      <w:r w:rsidR="003023DC">
        <w:rPr>
          <w:rFonts w:ascii="Arial" w:hAnsi="Arial" w:cs="Arial"/>
          <w:lang w:val="en-US"/>
        </w:rPr>
        <w:t xml:space="preserve"> </w:t>
      </w:r>
      <w:r w:rsidR="00D56FF6">
        <w:rPr>
          <w:rFonts w:ascii="Arial" w:hAnsi="Arial" w:cs="Arial"/>
          <w:lang w:val="en-US"/>
        </w:rPr>
        <w:t>analogous</w:t>
      </w:r>
      <w:r w:rsidR="000C51B3">
        <w:rPr>
          <w:rFonts w:ascii="Arial" w:hAnsi="Arial" w:cs="Arial"/>
          <w:lang w:val="en-US"/>
        </w:rPr>
        <w:t xml:space="preserve"> to those in </w:t>
      </w:r>
      <w:r w:rsidR="000C51B3" w:rsidRPr="000C51B3">
        <w:rPr>
          <w:rFonts w:ascii="Arial" w:hAnsi="Arial" w:cs="Arial"/>
          <w:i/>
          <w:iCs/>
          <w:lang w:val="en-US"/>
        </w:rPr>
        <w:t>ITC 1912</w:t>
      </w:r>
      <w:r w:rsidR="005857C3">
        <w:rPr>
          <w:rFonts w:ascii="Arial" w:hAnsi="Arial" w:cs="Arial"/>
          <w:lang w:val="en-US"/>
        </w:rPr>
        <w:t xml:space="preserve">, in that </w:t>
      </w:r>
      <w:r w:rsidR="00F0361A">
        <w:rPr>
          <w:rFonts w:ascii="Arial" w:hAnsi="Arial" w:cs="Arial"/>
          <w:lang w:val="en-US"/>
        </w:rPr>
        <w:t xml:space="preserve">it </w:t>
      </w:r>
      <w:r w:rsidR="00197953">
        <w:rPr>
          <w:rFonts w:ascii="Arial" w:hAnsi="Arial" w:cs="Arial"/>
          <w:lang w:val="en-US"/>
        </w:rPr>
        <w:t>ha</w:t>
      </w:r>
      <w:r w:rsidR="005857C3">
        <w:rPr>
          <w:rFonts w:ascii="Arial" w:hAnsi="Arial" w:cs="Arial"/>
          <w:lang w:val="en-US"/>
        </w:rPr>
        <w:t>s simply</w:t>
      </w:r>
      <w:r w:rsidR="00197953">
        <w:rPr>
          <w:rFonts w:ascii="Arial" w:hAnsi="Arial" w:cs="Arial"/>
          <w:lang w:val="en-US"/>
        </w:rPr>
        <w:t xml:space="preserve"> adopted a different approach to the same issue</w:t>
      </w:r>
      <w:r w:rsidR="002C120F">
        <w:rPr>
          <w:rFonts w:ascii="Arial" w:hAnsi="Arial" w:cs="Arial"/>
          <w:lang w:val="en-US"/>
        </w:rPr>
        <w:t xml:space="preserve"> and amount</w:t>
      </w:r>
      <w:r w:rsidR="005857C3">
        <w:rPr>
          <w:rFonts w:ascii="Arial" w:hAnsi="Arial" w:cs="Arial"/>
          <w:lang w:val="en-US"/>
        </w:rPr>
        <w:t>,</w:t>
      </w:r>
      <w:r w:rsidR="00197953">
        <w:rPr>
          <w:rFonts w:ascii="Arial" w:hAnsi="Arial" w:cs="Arial"/>
          <w:lang w:val="en-US"/>
        </w:rPr>
        <w:t xml:space="preserve"> </w:t>
      </w:r>
      <w:r w:rsidR="005857C3">
        <w:rPr>
          <w:rFonts w:ascii="Arial" w:hAnsi="Arial" w:cs="Arial"/>
          <w:lang w:val="en-US"/>
        </w:rPr>
        <w:t xml:space="preserve">which </w:t>
      </w:r>
      <w:r w:rsidR="00197953">
        <w:rPr>
          <w:rFonts w:ascii="Arial" w:hAnsi="Arial" w:cs="Arial"/>
          <w:lang w:val="en-US"/>
        </w:rPr>
        <w:t>w</w:t>
      </w:r>
      <w:r w:rsidR="000C51B3">
        <w:rPr>
          <w:rFonts w:ascii="Arial" w:hAnsi="Arial" w:cs="Arial"/>
          <w:lang w:val="en-US"/>
        </w:rPr>
        <w:t>ill</w:t>
      </w:r>
      <w:r w:rsidR="00197953">
        <w:rPr>
          <w:rFonts w:ascii="Arial" w:hAnsi="Arial" w:cs="Arial"/>
          <w:lang w:val="en-US"/>
        </w:rPr>
        <w:t xml:space="preserve"> not place SARS at an unfair </w:t>
      </w:r>
      <w:r w:rsidR="004C50A8">
        <w:rPr>
          <w:rFonts w:ascii="Arial" w:hAnsi="Arial" w:cs="Arial"/>
          <w:lang w:val="en-US"/>
        </w:rPr>
        <w:t>dis</w:t>
      </w:r>
      <w:r w:rsidR="00197953" w:rsidRPr="004C50A8">
        <w:rPr>
          <w:rFonts w:ascii="Arial" w:hAnsi="Arial" w:cs="Arial"/>
          <w:lang w:val="en-US"/>
        </w:rPr>
        <w:t>advantage</w:t>
      </w:r>
      <w:r w:rsidR="00197953">
        <w:rPr>
          <w:rFonts w:ascii="Arial" w:hAnsi="Arial" w:cs="Arial"/>
          <w:lang w:val="en-US"/>
        </w:rPr>
        <w:t>. It w</w:t>
      </w:r>
      <w:r w:rsidR="000C51B3">
        <w:rPr>
          <w:rFonts w:ascii="Arial" w:hAnsi="Arial" w:cs="Arial"/>
          <w:lang w:val="en-US"/>
        </w:rPr>
        <w:t>ill</w:t>
      </w:r>
      <w:r w:rsidR="00197953">
        <w:rPr>
          <w:rFonts w:ascii="Arial" w:hAnsi="Arial" w:cs="Arial"/>
          <w:lang w:val="en-US"/>
        </w:rPr>
        <w:t xml:space="preserve"> have all the tools at its disposal to ensure that the issues </w:t>
      </w:r>
      <w:r w:rsidR="00FE122F">
        <w:rPr>
          <w:rFonts w:ascii="Arial" w:hAnsi="Arial" w:cs="Arial"/>
          <w:lang w:val="en-US"/>
        </w:rPr>
        <w:t>a</w:t>
      </w:r>
      <w:r w:rsidR="00197953">
        <w:rPr>
          <w:rFonts w:ascii="Arial" w:hAnsi="Arial" w:cs="Arial"/>
          <w:lang w:val="en-US"/>
        </w:rPr>
        <w:t xml:space="preserve">re fully ventilated at the appeal hearing. </w:t>
      </w:r>
      <w:r w:rsidR="005857C3">
        <w:rPr>
          <w:rFonts w:ascii="Arial" w:hAnsi="Arial" w:cs="Arial"/>
          <w:lang w:val="en-US"/>
        </w:rPr>
        <w:t xml:space="preserve">SARS </w:t>
      </w:r>
      <w:r w:rsidR="001A32B4">
        <w:rPr>
          <w:rFonts w:ascii="Arial" w:hAnsi="Arial" w:cs="Arial"/>
          <w:lang w:val="en-US"/>
        </w:rPr>
        <w:t xml:space="preserve">had </w:t>
      </w:r>
      <w:r w:rsidR="00197953">
        <w:rPr>
          <w:rFonts w:ascii="Arial" w:hAnsi="Arial" w:cs="Arial"/>
          <w:lang w:val="en-US"/>
        </w:rPr>
        <w:t xml:space="preserve">conceded at the hearing </w:t>
      </w:r>
      <w:r w:rsidR="005857C3">
        <w:rPr>
          <w:rFonts w:ascii="Arial" w:hAnsi="Arial" w:cs="Arial"/>
          <w:lang w:val="en-US"/>
        </w:rPr>
        <w:t xml:space="preserve">a </w:t>
      </w:r>
      <w:r w:rsidR="005857C3" w:rsidRPr="005857C3">
        <w:rPr>
          <w:rFonts w:ascii="Arial" w:hAnsi="Arial" w:cs="Arial"/>
          <w:i/>
          <w:iCs/>
          <w:lang w:val="en-US"/>
        </w:rPr>
        <w:t>quo</w:t>
      </w:r>
      <w:r w:rsidR="005857C3">
        <w:rPr>
          <w:rFonts w:ascii="Arial" w:hAnsi="Arial" w:cs="Arial"/>
          <w:lang w:val="en-US"/>
        </w:rPr>
        <w:t xml:space="preserve"> </w:t>
      </w:r>
      <w:r w:rsidR="00197953">
        <w:rPr>
          <w:rFonts w:ascii="Arial" w:hAnsi="Arial" w:cs="Arial"/>
          <w:lang w:val="en-US"/>
        </w:rPr>
        <w:t xml:space="preserve">that if the application </w:t>
      </w:r>
      <w:r w:rsidR="00FE122F">
        <w:rPr>
          <w:rFonts w:ascii="Arial" w:hAnsi="Arial" w:cs="Arial"/>
          <w:lang w:val="en-US"/>
        </w:rPr>
        <w:t xml:space="preserve">to strike the new ground </w:t>
      </w:r>
      <w:r w:rsidR="00197953">
        <w:rPr>
          <w:rFonts w:ascii="Arial" w:hAnsi="Arial" w:cs="Arial"/>
          <w:lang w:val="en-US"/>
        </w:rPr>
        <w:t>w</w:t>
      </w:r>
      <w:r w:rsidR="006E5CBA">
        <w:rPr>
          <w:rFonts w:ascii="Arial" w:hAnsi="Arial" w:cs="Arial"/>
          <w:lang w:val="en-US"/>
        </w:rPr>
        <w:t>as</w:t>
      </w:r>
      <w:r w:rsidR="00197953">
        <w:rPr>
          <w:rFonts w:ascii="Arial" w:hAnsi="Arial" w:cs="Arial"/>
          <w:lang w:val="en-US"/>
        </w:rPr>
        <w:t xml:space="preserve"> not successful, there would be no prejudice to it in the </w:t>
      </w:r>
      <w:r w:rsidR="001A32B4">
        <w:rPr>
          <w:rFonts w:ascii="Arial" w:hAnsi="Arial" w:cs="Arial"/>
          <w:lang w:val="en-US"/>
        </w:rPr>
        <w:t xml:space="preserve">ensuing </w:t>
      </w:r>
      <w:r w:rsidR="00197953">
        <w:rPr>
          <w:rFonts w:ascii="Arial" w:hAnsi="Arial" w:cs="Arial"/>
          <w:lang w:val="en-US"/>
        </w:rPr>
        <w:t>appeal.</w:t>
      </w:r>
    </w:p>
    <w:p w14:paraId="7E50E854" w14:textId="77777777" w:rsidR="001319C7" w:rsidRDefault="001319C7" w:rsidP="00197953">
      <w:pPr>
        <w:spacing w:line="480" w:lineRule="auto"/>
        <w:jc w:val="both"/>
        <w:rPr>
          <w:rFonts w:ascii="Arial" w:hAnsi="Arial" w:cs="Arial"/>
          <w:lang w:val="en-US"/>
        </w:rPr>
      </w:pPr>
    </w:p>
    <w:p w14:paraId="74DD68EB" w14:textId="1CB7D2B2" w:rsidR="00197953" w:rsidRDefault="001319C7" w:rsidP="00197953">
      <w:pPr>
        <w:spacing w:line="480" w:lineRule="auto"/>
        <w:jc w:val="both"/>
        <w:rPr>
          <w:rFonts w:ascii="Arial" w:hAnsi="Arial" w:cs="Arial"/>
          <w:lang w:val="en-US"/>
        </w:rPr>
      </w:pPr>
      <w:r>
        <w:rPr>
          <w:rFonts w:ascii="Arial" w:hAnsi="Arial" w:cs="Arial"/>
          <w:lang w:val="en-US"/>
        </w:rPr>
        <w:t>[5</w:t>
      </w:r>
      <w:r w:rsidR="005857C3">
        <w:rPr>
          <w:rFonts w:ascii="Arial" w:hAnsi="Arial" w:cs="Arial"/>
          <w:lang w:val="en-US"/>
        </w:rPr>
        <w:t>4</w:t>
      </w:r>
      <w:r>
        <w:rPr>
          <w:rFonts w:ascii="Arial" w:hAnsi="Arial" w:cs="Arial"/>
          <w:lang w:val="en-US"/>
        </w:rPr>
        <w:t>]</w:t>
      </w:r>
      <w:r>
        <w:rPr>
          <w:rFonts w:ascii="Arial" w:hAnsi="Arial" w:cs="Arial"/>
          <w:lang w:val="en-US"/>
        </w:rPr>
        <w:tab/>
      </w:r>
      <w:r w:rsidR="00FE122F">
        <w:rPr>
          <w:rFonts w:ascii="Arial" w:hAnsi="Arial" w:cs="Arial"/>
          <w:lang w:val="en-US"/>
        </w:rPr>
        <w:t>G</w:t>
      </w:r>
      <w:r w:rsidR="00197953">
        <w:rPr>
          <w:rFonts w:ascii="Arial" w:hAnsi="Arial" w:cs="Arial"/>
          <w:lang w:val="en-US"/>
        </w:rPr>
        <w:t xml:space="preserve">iven the circumstances, </w:t>
      </w:r>
      <w:r w:rsidR="00A31FC6">
        <w:rPr>
          <w:rFonts w:ascii="Arial" w:hAnsi="Arial" w:cs="Arial"/>
          <w:lang w:val="en-US"/>
        </w:rPr>
        <w:t xml:space="preserve">by </w:t>
      </w:r>
      <w:r w:rsidR="00A31FC6" w:rsidRPr="006E7FE4">
        <w:rPr>
          <w:rFonts w:ascii="Arial" w:hAnsi="Arial" w:cs="Arial"/>
          <w:lang w:val="en-US"/>
        </w:rPr>
        <w:t xml:space="preserve">upholding the </w:t>
      </w:r>
      <w:bookmarkEnd w:id="3"/>
      <w:r w:rsidR="00197953" w:rsidRPr="006E7FE4">
        <w:rPr>
          <w:rFonts w:ascii="Arial" w:hAnsi="Arial" w:cs="Arial"/>
          <w:lang w:val="en-US"/>
        </w:rPr>
        <w:t>application</w:t>
      </w:r>
      <w:r w:rsidR="006E7FE4">
        <w:rPr>
          <w:rFonts w:ascii="Arial" w:hAnsi="Arial" w:cs="Arial"/>
          <w:lang w:val="en-US"/>
        </w:rPr>
        <w:t xml:space="preserve"> to</w:t>
      </w:r>
      <w:r w:rsidR="00197953">
        <w:rPr>
          <w:rFonts w:ascii="Arial" w:hAnsi="Arial" w:cs="Arial"/>
          <w:lang w:val="en-US"/>
        </w:rPr>
        <w:t xml:space="preserve"> strike out the new grounds of appeal from the rule 32 statement </w:t>
      </w:r>
      <w:r w:rsidR="00FE122F">
        <w:rPr>
          <w:rFonts w:ascii="Arial" w:hAnsi="Arial" w:cs="Arial"/>
          <w:lang w:val="en-US"/>
        </w:rPr>
        <w:t xml:space="preserve">the tax court </w:t>
      </w:r>
      <w:r w:rsidR="004747A9">
        <w:rPr>
          <w:rFonts w:ascii="Arial" w:hAnsi="Arial" w:cs="Arial"/>
          <w:lang w:val="en-US"/>
        </w:rPr>
        <w:t>place</w:t>
      </w:r>
      <w:r w:rsidR="00FE122F">
        <w:rPr>
          <w:rFonts w:ascii="Arial" w:hAnsi="Arial" w:cs="Arial"/>
          <w:lang w:val="en-US"/>
        </w:rPr>
        <w:t>d</w:t>
      </w:r>
      <w:r w:rsidR="004747A9">
        <w:rPr>
          <w:rFonts w:ascii="Arial" w:hAnsi="Arial" w:cs="Arial"/>
          <w:lang w:val="en-US"/>
        </w:rPr>
        <w:t xml:space="preserve"> </w:t>
      </w:r>
      <w:r w:rsidR="00197953">
        <w:rPr>
          <w:rFonts w:ascii="Arial" w:hAnsi="Arial" w:cs="Arial"/>
          <w:lang w:val="en-US"/>
        </w:rPr>
        <w:t xml:space="preserve">form </w:t>
      </w:r>
      <w:r w:rsidR="0076098D">
        <w:rPr>
          <w:rFonts w:ascii="Arial" w:hAnsi="Arial" w:cs="Arial"/>
          <w:lang w:val="en-US"/>
        </w:rPr>
        <w:t>and</w:t>
      </w:r>
      <w:r w:rsidR="00197953">
        <w:rPr>
          <w:rFonts w:ascii="Arial" w:hAnsi="Arial" w:cs="Arial"/>
          <w:lang w:val="en-US"/>
        </w:rPr>
        <w:t xml:space="preserve"> technicalit</w:t>
      </w:r>
      <w:r w:rsidR="006C7165">
        <w:rPr>
          <w:rFonts w:ascii="Arial" w:hAnsi="Arial" w:cs="Arial"/>
          <w:lang w:val="en-US"/>
        </w:rPr>
        <w:t>y</w:t>
      </w:r>
      <w:r w:rsidR="00197953">
        <w:rPr>
          <w:rFonts w:ascii="Arial" w:hAnsi="Arial" w:cs="Arial"/>
          <w:lang w:val="en-US"/>
        </w:rPr>
        <w:t xml:space="preserve"> </w:t>
      </w:r>
      <w:r w:rsidR="00F64FFA">
        <w:rPr>
          <w:rFonts w:ascii="Arial" w:hAnsi="Arial" w:cs="Arial"/>
          <w:lang w:val="en-US"/>
        </w:rPr>
        <w:t xml:space="preserve">over </w:t>
      </w:r>
      <w:r w:rsidR="00FE122F">
        <w:rPr>
          <w:rFonts w:ascii="Arial" w:hAnsi="Arial" w:cs="Arial"/>
          <w:lang w:val="en-US"/>
        </w:rPr>
        <w:t>substance,</w:t>
      </w:r>
      <w:r w:rsidR="00F64FFA">
        <w:rPr>
          <w:rFonts w:ascii="Arial" w:hAnsi="Arial" w:cs="Arial"/>
          <w:lang w:val="en-US"/>
        </w:rPr>
        <w:t xml:space="preserve"> </w:t>
      </w:r>
      <w:r w:rsidR="00197953">
        <w:rPr>
          <w:rFonts w:ascii="Arial" w:hAnsi="Arial" w:cs="Arial"/>
          <w:lang w:val="en-US"/>
        </w:rPr>
        <w:t xml:space="preserve">and </w:t>
      </w:r>
      <w:r w:rsidR="00FE122F">
        <w:rPr>
          <w:rFonts w:ascii="Arial" w:hAnsi="Arial" w:cs="Arial"/>
          <w:lang w:val="en-US"/>
        </w:rPr>
        <w:t xml:space="preserve">it </w:t>
      </w:r>
      <w:r w:rsidR="00197953">
        <w:rPr>
          <w:rFonts w:ascii="Arial" w:hAnsi="Arial" w:cs="Arial"/>
          <w:lang w:val="en-US"/>
        </w:rPr>
        <w:t xml:space="preserve">would be contrary to the interests of justice </w:t>
      </w:r>
      <w:r w:rsidR="00FE122F">
        <w:rPr>
          <w:rFonts w:ascii="Arial" w:hAnsi="Arial" w:cs="Arial"/>
          <w:lang w:val="en-US"/>
        </w:rPr>
        <w:t>to allow its decision to stand</w:t>
      </w:r>
      <w:r w:rsidR="00197953">
        <w:rPr>
          <w:rFonts w:ascii="Arial" w:hAnsi="Arial" w:cs="Arial"/>
          <w:lang w:val="en-US"/>
        </w:rPr>
        <w:t>.</w:t>
      </w:r>
      <w:r>
        <w:rPr>
          <w:rFonts w:ascii="Arial" w:hAnsi="Arial" w:cs="Arial"/>
          <w:lang w:val="en-US"/>
        </w:rPr>
        <w:t xml:space="preserve"> </w:t>
      </w:r>
      <w:r w:rsidR="00197953" w:rsidRPr="006E7FE4">
        <w:rPr>
          <w:rFonts w:ascii="Arial" w:hAnsi="Arial" w:cs="Arial"/>
          <w:lang w:val="en-US"/>
        </w:rPr>
        <w:t xml:space="preserve">The clarification brought about </w:t>
      </w:r>
      <w:r w:rsidR="006E5CBA" w:rsidRPr="006E7FE4">
        <w:rPr>
          <w:rFonts w:ascii="Arial" w:hAnsi="Arial" w:cs="Arial"/>
          <w:lang w:val="en-US"/>
        </w:rPr>
        <w:t xml:space="preserve">by </w:t>
      </w:r>
      <w:r w:rsidR="00197953" w:rsidRPr="006E7FE4">
        <w:rPr>
          <w:rFonts w:ascii="Arial" w:hAnsi="Arial" w:cs="Arial"/>
          <w:lang w:val="en-US"/>
        </w:rPr>
        <w:t xml:space="preserve">the new </w:t>
      </w:r>
      <w:r w:rsidR="00FE122F">
        <w:rPr>
          <w:rFonts w:ascii="Arial" w:hAnsi="Arial" w:cs="Arial"/>
          <w:lang w:val="en-US"/>
        </w:rPr>
        <w:t>sub</w:t>
      </w:r>
      <w:r w:rsidR="00197953" w:rsidRPr="006E7FE4">
        <w:rPr>
          <w:rFonts w:ascii="Arial" w:hAnsi="Arial" w:cs="Arial"/>
          <w:lang w:val="en-US"/>
        </w:rPr>
        <w:t>rule ma</w:t>
      </w:r>
      <w:r w:rsidR="002C67C0">
        <w:rPr>
          <w:rFonts w:ascii="Arial" w:hAnsi="Arial" w:cs="Arial"/>
          <w:lang w:val="en-US"/>
        </w:rPr>
        <w:t>de</w:t>
      </w:r>
      <w:r w:rsidR="00197953" w:rsidRPr="006E7FE4">
        <w:rPr>
          <w:rFonts w:ascii="Arial" w:hAnsi="Arial" w:cs="Arial"/>
          <w:lang w:val="en-US"/>
        </w:rPr>
        <w:t xml:space="preserve"> it clear that the taxpayer may introduce new grounds of appeal as long </w:t>
      </w:r>
      <w:r w:rsidR="002826DA" w:rsidRPr="006E7FE4">
        <w:rPr>
          <w:rFonts w:ascii="Arial" w:hAnsi="Arial" w:cs="Arial"/>
          <w:lang w:val="en-US"/>
        </w:rPr>
        <w:t>a</w:t>
      </w:r>
      <w:r w:rsidR="00197953" w:rsidRPr="006E7FE4">
        <w:rPr>
          <w:rFonts w:ascii="Arial" w:hAnsi="Arial" w:cs="Arial"/>
          <w:lang w:val="en-US"/>
        </w:rPr>
        <w:t xml:space="preserve">s </w:t>
      </w:r>
      <w:r w:rsidR="00FE122F">
        <w:rPr>
          <w:rFonts w:ascii="Arial" w:hAnsi="Arial" w:cs="Arial"/>
          <w:lang w:val="en-US"/>
        </w:rPr>
        <w:t xml:space="preserve">it </w:t>
      </w:r>
      <w:r w:rsidR="0076098D">
        <w:rPr>
          <w:rFonts w:ascii="Arial" w:hAnsi="Arial" w:cs="Arial"/>
          <w:lang w:val="en-US"/>
        </w:rPr>
        <w:t xml:space="preserve">previously </w:t>
      </w:r>
      <w:r w:rsidR="00197953" w:rsidRPr="006E7FE4">
        <w:rPr>
          <w:rFonts w:ascii="Arial" w:hAnsi="Arial" w:cs="Arial"/>
          <w:lang w:val="en-US"/>
        </w:rPr>
        <w:t>objected to the (i) part or</w:t>
      </w:r>
      <w:r w:rsidRPr="006E7FE4">
        <w:rPr>
          <w:rFonts w:ascii="Arial" w:hAnsi="Arial" w:cs="Arial"/>
          <w:lang w:val="en-US"/>
        </w:rPr>
        <w:t xml:space="preserve"> </w:t>
      </w:r>
      <w:r w:rsidR="00197953" w:rsidRPr="006E7FE4">
        <w:rPr>
          <w:rFonts w:ascii="Arial" w:hAnsi="Arial" w:cs="Arial"/>
          <w:lang w:val="en-US"/>
        </w:rPr>
        <w:t xml:space="preserve">(ii) the </w:t>
      </w:r>
      <w:r w:rsidR="00FE122F">
        <w:rPr>
          <w:rFonts w:ascii="Arial" w:hAnsi="Arial" w:cs="Arial"/>
          <w:lang w:val="en-US"/>
        </w:rPr>
        <w:t xml:space="preserve">same </w:t>
      </w:r>
      <w:r w:rsidR="00197953" w:rsidRPr="006E7FE4">
        <w:rPr>
          <w:rFonts w:ascii="Arial" w:hAnsi="Arial" w:cs="Arial"/>
          <w:lang w:val="en-US"/>
        </w:rPr>
        <w:t xml:space="preserve">amount </w:t>
      </w:r>
      <w:r w:rsidR="00FE122F">
        <w:rPr>
          <w:rFonts w:ascii="Arial" w:hAnsi="Arial" w:cs="Arial"/>
          <w:lang w:val="en-US"/>
        </w:rPr>
        <w:t>of, or in,</w:t>
      </w:r>
      <w:r w:rsidR="00197953" w:rsidRPr="006E7FE4">
        <w:rPr>
          <w:rFonts w:ascii="Arial" w:hAnsi="Arial" w:cs="Arial"/>
          <w:lang w:val="en-US"/>
        </w:rPr>
        <w:t xml:space="preserve"> the disputed assessment</w:t>
      </w:r>
      <w:r w:rsidR="00FE122F">
        <w:rPr>
          <w:rFonts w:ascii="Arial" w:hAnsi="Arial" w:cs="Arial"/>
          <w:lang w:val="en-US"/>
        </w:rPr>
        <w:t>,</w:t>
      </w:r>
      <w:r w:rsidR="00197953" w:rsidRPr="006E7FE4">
        <w:rPr>
          <w:rFonts w:ascii="Arial" w:hAnsi="Arial" w:cs="Arial"/>
          <w:lang w:val="en-US"/>
        </w:rPr>
        <w:t xml:space="preserve"> in relation to which </w:t>
      </w:r>
      <w:r w:rsidR="006E7FE4">
        <w:rPr>
          <w:rFonts w:ascii="Arial" w:hAnsi="Arial" w:cs="Arial"/>
          <w:lang w:val="en-US"/>
        </w:rPr>
        <w:t xml:space="preserve">it </w:t>
      </w:r>
      <w:r w:rsidR="00197953" w:rsidRPr="006E7FE4">
        <w:rPr>
          <w:rFonts w:ascii="Arial" w:hAnsi="Arial" w:cs="Arial"/>
          <w:lang w:val="en-US"/>
        </w:rPr>
        <w:t xml:space="preserve">seeks to introduce </w:t>
      </w:r>
      <w:r w:rsidR="0076098D">
        <w:rPr>
          <w:rFonts w:ascii="Arial" w:hAnsi="Arial" w:cs="Arial"/>
          <w:lang w:val="en-US"/>
        </w:rPr>
        <w:t>such new grounds</w:t>
      </w:r>
      <w:r w:rsidR="00197953" w:rsidRPr="006E7FE4">
        <w:rPr>
          <w:rFonts w:ascii="Arial" w:hAnsi="Arial" w:cs="Arial"/>
          <w:lang w:val="en-US"/>
        </w:rPr>
        <w:t>.</w:t>
      </w:r>
      <w:r w:rsidR="00197953">
        <w:rPr>
          <w:rFonts w:ascii="Arial" w:hAnsi="Arial" w:cs="Arial"/>
          <w:lang w:val="en-US"/>
        </w:rPr>
        <w:t xml:space="preserve"> </w:t>
      </w:r>
      <w:r w:rsidR="00FE122F">
        <w:rPr>
          <w:rFonts w:ascii="Arial" w:hAnsi="Arial" w:cs="Arial"/>
          <w:lang w:val="en-US"/>
        </w:rPr>
        <w:t>P</w:t>
      </w:r>
      <w:r w:rsidR="00197953">
        <w:rPr>
          <w:rFonts w:ascii="Arial" w:hAnsi="Arial" w:cs="Arial"/>
          <w:lang w:val="en-US"/>
        </w:rPr>
        <w:t xml:space="preserve">urposively, the object of both the previous and </w:t>
      </w:r>
      <w:r w:rsidR="00FE122F">
        <w:rPr>
          <w:rFonts w:ascii="Arial" w:hAnsi="Arial" w:cs="Arial"/>
          <w:lang w:val="en-US"/>
        </w:rPr>
        <w:t>the current</w:t>
      </w:r>
      <w:r w:rsidR="00197953">
        <w:rPr>
          <w:rFonts w:ascii="Arial" w:hAnsi="Arial" w:cs="Arial"/>
          <w:lang w:val="en-US"/>
        </w:rPr>
        <w:t xml:space="preserve"> tax court rules (especially rules 10, 31, 32 and 33) </w:t>
      </w:r>
      <w:r w:rsidR="00FE122F">
        <w:rPr>
          <w:rFonts w:ascii="Arial" w:hAnsi="Arial" w:cs="Arial"/>
          <w:lang w:val="en-US"/>
        </w:rPr>
        <w:t>was/</w:t>
      </w:r>
      <w:r w:rsidR="00197953">
        <w:rPr>
          <w:rFonts w:ascii="Arial" w:hAnsi="Arial" w:cs="Arial"/>
          <w:lang w:val="en-US"/>
        </w:rPr>
        <w:t xml:space="preserve">is to </w:t>
      </w:r>
      <w:r w:rsidR="00FE122F">
        <w:rPr>
          <w:rFonts w:ascii="Arial" w:hAnsi="Arial" w:cs="Arial"/>
          <w:lang w:val="en-US"/>
        </w:rPr>
        <w:t>allow for a</w:t>
      </w:r>
      <w:r w:rsidR="00197953">
        <w:rPr>
          <w:rFonts w:ascii="Arial" w:hAnsi="Arial" w:cs="Arial"/>
          <w:lang w:val="en-US"/>
        </w:rPr>
        <w:t xml:space="preserve"> proper ventilation of the issues in </w:t>
      </w:r>
      <w:r w:rsidR="00FE122F">
        <w:rPr>
          <w:rFonts w:ascii="Arial" w:hAnsi="Arial" w:cs="Arial"/>
          <w:lang w:val="en-US"/>
        </w:rPr>
        <w:t>a</w:t>
      </w:r>
      <w:r w:rsidR="00197953">
        <w:rPr>
          <w:rFonts w:ascii="Arial" w:hAnsi="Arial" w:cs="Arial"/>
          <w:lang w:val="en-US"/>
        </w:rPr>
        <w:t xml:space="preserve"> tax court appeal</w:t>
      </w:r>
      <w:r w:rsidR="00FE122F">
        <w:rPr>
          <w:rFonts w:ascii="Arial" w:hAnsi="Arial" w:cs="Arial"/>
          <w:lang w:val="en-US"/>
        </w:rPr>
        <w:t>,</w:t>
      </w:r>
      <w:r w:rsidR="00197953">
        <w:rPr>
          <w:rFonts w:ascii="Arial" w:hAnsi="Arial" w:cs="Arial"/>
          <w:lang w:val="en-US"/>
        </w:rPr>
        <w:t xml:space="preserve"> while ensuring that neither party is </w:t>
      </w:r>
      <w:r w:rsidR="002F6447">
        <w:rPr>
          <w:rFonts w:ascii="Arial" w:hAnsi="Arial" w:cs="Arial"/>
          <w:lang w:val="en-US"/>
        </w:rPr>
        <w:t>‘</w:t>
      </w:r>
      <w:r w:rsidR="00197953">
        <w:rPr>
          <w:rFonts w:ascii="Arial" w:hAnsi="Arial" w:cs="Arial"/>
          <w:lang w:val="en-US"/>
        </w:rPr>
        <w:t>ambushed</w:t>
      </w:r>
      <w:r w:rsidR="002F6447">
        <w:rPr>
          <w:rFonts w:ascii="Arial" w:hAnsi="Arial" w:cs="Arial"/>
          <w:lang w:val="en-US"/>
        </w:rPr>
        <w:t>’</w:t>
      </w:r>
      <w:r w:rsidR="00197953">
        <w:rPr>
          <w:rFonts w:ascii="Arial" w:hAnsi="Arial" w:cs="Arial"/>
          <w:lang w:val="en-US"/>
        </w:rPr>
        <w:t xml:space="preserve"> during the litigation process.</w:t>
      </w:r>
    </w:p>
    <w:p w14:paraId="69DFDF41" w14:textId="77777777" w:rsidR="001319C7" w:rsidRDefault="001319C7" w:rsidP="00197953">
      <w:pPr>
        <w:spacing w:line="480" w:lineRule="auto"/>
        <w:jc w:val="both"/>
        <w:rPr>
          <w:rFonts w:ascii="Arial" w:hAnsi="Arial" w:cs="Arial"/>
          <w:lang w:val="en-US"/>
        </w:rPr>
      </w:pPr>
    </w:p>
    <w:p w14:paraId="6D0EEB0A" w14:textId="0DAF2471" w:rsidR="00197953" w:rsidRDefault="001319C7" w:rsidP="00197953">
      <w:pPr>
        <w:spacing w:line="480" w:lineRule="auto"/>
        <w:jc w:val="both"/>
        <w:rPr>
          <w:rFonts w:ascii="Arial" w:hAnsi="Arial" w:cs="Arial"/>
          <w:lang w:val="en-US"/>
        </w:rPr>
      </w:pPr>
      <w:r>
        <w:rPr>
          <w:rFonts w:ascii="Arial" w:hAnsi="Arial" w:cs="Arial"/>
          <w:lang w:val="en-US"/>
        </w:rPr>
        <w:t>[5</w:t>
      </w:r>
      <w:r w:rsidR="00A214D9">
        <w:rPr>
          <w:rFonts w:ascii="Arial" w:hAnsi="Arial" w:cs="Arial"/>
          <w:lang w:val="en-US"/>
        </w:rPr>
        <w:t>5</w:t>
      </w:r>
      <w:r>
        <w:rPr>
          <w:rFonts w:ascii="Arial" w:hAnsi="Arial" w:cs="Arial"/>
          <w:lang w:val="en-US"/>
        </w:rPr>
        <w:t>]</w:t>
      </w:r>
      <w:r>
        <w:rPr>
          <w:rFonts w:ascii="Arial" w:hAnsi="Arial" w:cs="Arial"/>
          <w:lang w:val="en-US"/>
        </w:rPr>
        <w:tab/>
      </w:r>
      <w:r w:rsidR="009B78D3">
        <w:rPr>
          <w:rFonts w:ascii="Arial" w:hAnsi="Arial" w:cs="Arial"/>
          <w:lang w:val="en-US"/>
        </w:rPr>
        <w:t xml:space="preserve">Whilst the appellant </w:t>
      </w:r>
      <w:r w:rsidR="00A214D9">
        <w:rPr>
          <w:rFonts w:ascii="Arial" w:hAnsi="Arial" w:cs="Arial"/>
          <w:lang w:val="en-US"/>
        </w:rPr>
        <w:t xml:space="preserve">was </w:t>
      </w:r>
      <w:r w:rsidR="00197953">
        <w:rPr>
          <w:rFonts w:ascii="Arial" w:hAnsi="Arial" w:cs="Arial"/>
          <w:lang w:val="en-US"/>
        </w:rPr>
        <w:t xml:space="preserve">not able to rely on any decision that </w:t>
      </w:r>
      <w:r w:rsidR="00CE4D63">
        <w:rPr>
          <w:rFonts w:ascii="Arial" w:hAnsi="Arial" w:cs="Arial"/>
          <w:lang w:val="en-US"/>
        </w:rPr>
        <w:t xml:space="preserve">has </w:t>
      </w:r>
      <w:r w:rsidR="00197953">
        <w:rPr>
          <w:rFonts w:ascii="Arial" w:hAnsi="Arial" w:cs="Arial"/>
          <w:lang w:val="en-US"/>
        </w:rPr>
        <w:t xml:space="preserve">dealt </w:t>
      </w:r>
      <w:r w:rsidR="002C67C0">
        <w:rPr>
          <w:rFonts w:ascii="Arial" w:hAnsi="Arial" w:cs="Arial"/>
          <w:lang w:val="en-US"/>
        </w:rPr>
        <w:t>directly</w:t>
      </w:r>
      <w:r w:rsidR="00D735DB">
        <w:rPr>
          <w:rFonts w:ascii="Arial" w:hAnsi="Arial" w:cs="Arial"/>
          <w:lang w:val="en-US"/>
        </w:rPr>
        <w:t xml:space="preserve"> i.e. four-square</w:t>
      </w:r>
      <w:r w:rsidR="002C67C0">
        <w:rPr>
          <w:rFonts w:ascii="Arial" w:hAnsi="Arial" w:cs="Arial"/>
          <w:lang w:val="en-US"/>
        </w:rPr>
        <w:t xml:space="preserve"> </w:t>
      </w:r>
      <w:r w:rsidR="00197953">
        <w:rPr>
          <w:rFonts w:ascii="Arial" w:hAnsi="Arial" w:cs="Arial"/>
          <w:lang w:val="en-US"/>
        </w:rPr>
        <w:t xml:space="preserve">with the new </w:t>
      </w:r>
      <w:r w:rsidR="00A214D9">
        <w:rPr>
          <w:rFonts w:ascii="Arial" w:hAnsi="Arial" w:cs="Arial"/>
          <w:lang w:val="en-US"/>
        </w:rPr>
        <w:t>sub</w:t>
      </w:r>
      <w:r w:rsidR="00197953">
        <w:rPr>
          <w:rFonts w:ascii="Arial" w:hAnsi="Arial" w:cs="Arial"/>
          <w:lang w:val="en-US"/>
        </w:rPr>
        <w:t xml:space="preserve">rule, </w:t>
      </w:r>
      <w:r w:rsidR="00A214D9">
        <w:rPr>
          <w:rFonts w:ascii="Arial" w:hAnsi="Arial" w:cs="Arial"/>
          <w:lang w:val="en-US"/>
        </w:rPr>
        <w:t xml:space="preserve">it </w:t>
      </w:r>
      <w:r w:rsidR="00197953">
        <w:rPr>
          <w:rFonts w:ascii="Arial" w:hAnsi="Arial" w:cs="Arial"/>
          <w:lang w:val="en-US"/>
        </w:rPr>
        <w:t>re</w:t>
      </w:r>
      <w:r w:rsidR="00CE4D63">
        <w:rPr>
          <w:rFonts w:ascii="Arial" w:hAnsi="Arial" w:cs="Arial"/>
          <w:lang w:val="en-US"/>
        </w:rPr>
        <w:t>ferred to</w:t>
      </w:r>
      <w:r w:rsidR="00197953">
        <w:rPr>
          <w:rFonts w:ascii="Arial" w:hAnsi="Arial" w:cs="Arial"/>
          <w:lang w:val="en-US"/>
        </w:rPr>
        <w:t xml:space="preserve"> the decision </w:t>
      </w:r>
      <w:r w:rsidR="00A214D9">
        <w:rPr>
          <w:rFonts w:ascii="Arial" w:hAnsi="Arial" w:cs="Arial"/>
          <w:lang w:val="en-US"/>
        </w:rPr>
        <w:t>in</w:t>
      </w:r>
      <w:r w:rsidR="00197953">
        <w:rPr>
          <w:rFonts w:ascii="Arial" w:hAnsi="Arial" w:cs="Arial"/>
          <w:lang w:val="en-US"/>
        </w:rPr>
        <w:t xml:space="preserve"> </w:t>
      </w:r>
      <w:r w:rsidR="00197953" w:rsidRPr="00DE4ABF">
        <w:rPr>
          <w:rFonts w:ascii="Arial" w:hAnsi="Arial" w:cs="Arial"/>
          <w:i/>
          <w:iCs/>
          <w:lang w:val="en-US"/>
        </w:rPr>
        <w:t>Commissioner, South African Revenue Service v Free State Development Corporation</w:t>
      </w:r>
      <w:r w:rsidR="00197953">
        <w:rPr>
          <w:rStyle w:val="FootnoteReference"/>
          <w:rFonts w:ascii="Arial" w:hAnsi="Arial" w:cs="Arial"/>
          <w:lang w:val="en-US"/>
        </w:rPr>
        <w:footnoteReference w:id="15"/>
      </w:r>
      <w:r w:rsidR="0050617B">
        <w:rPr>
          <w:rFonts w:ascii="Arial" w:hAnsi="Arial" w:cs="Arial"/>
          <w:i/>
          <w:iCs/>
          <w:lang w:val="en-US"/>
        </w:rPr>
        <w:t xml:space="preserve"> </w:t>
      </w:r>
      <w:r w:rsidR="00255145">
        <w:rPr>
          <w:rFonts w:ascii="Arial" w:hAnsi="Arial" w:cs="Arial"/>
          <w:lang w:val="en-US"/>
        </w:rPr>
        <w:t>(</w:t>
      </w:r>
      <w:r w:rsidR="002F6447">
        <w:rPr>
          <w:rFonts w:ascii="Arial" w:hAnsi="Arial" w:cs="Arial"/>
          <w:lang w:val="en-US"/>
        </w:rPr>
        <w:t>‘</w:t>
      </w:r>
      <w:r w:rsidR="00255145" w:rsidRPr="00A214D9">
        <w:rPr>
          <w:rFonts w:ascii="Arial" w:hAnsi="Arial" w:cs="Arial"/>
          <w:i/>
          <w:iCs/>
          <w:lang w:val="en-US"/>
        </w:rPr>
        <w:t>Free State Development Corporation</w:t>
      </w:r>
      <w:r w:rsidR="002F6447" w:rsidRPr="00A214D9">
        <w:rPr>
          <w:rFonts w:ascii="Arial" w:hAnsi="Arial" w:cs="Arial"/>
          <w:i/>
          <w:iCs/>
          <w:lang w:val="en-US"/>
        </w:rPr>
        <w:t>’</w:t>
      </w:r>
      <w:r w:rsidR="00255145">
        <w:rPr>
          <w:rFonts w:ascii="Arial" w:hAnsi="Arial" w:cs="Arial"/>
          <w:lang w:val="en-US"/>
        </w:rPr>
        <w:t>)</w:t>
      </w:r>
      <w:r w:rsidR="00197953">
        <w:rPr>
          <w:rFonts w:ascii="Arial" w:hAnsi="Arial" w:cs="Arial"/>
          <w:lang w:val="en-US"/>
        </w:rPr>
        <w:t xml:space="preserve">, which </w:t>
      </w:r>
      <w:r w:rsidR="00A2338E">
        <w:rPr>
          <w:rFonts w:ascii="Arial" w:hAnsi="Arial" w:cs="Arial"/>
          <w:lang w:val="en-US"/>
        </w:rPr>
        <w:t>concerned</w:t>
      </w:r>
      <w:r w:rsidR="00197953">
        <w:rPr>
          <w:rFonts w:ascii="Arial" w:hAnsi="Arial" w:cs="Arial"/>
          <w:lang w:val="en-US"/>
        </w:rPr>
        <w:t xml:space="preserve"> an amendment to a taxpayer’s rule 32 statement, </w:t>
      </w:r>
      <w:r w:rsidR="0050617B">
        <w:rPr>
          <w:rFonts w:ascii="Arial" w:hAnsi="Arial" w:cs="Arial"/>
          <w:lang w:val="en-US"/>
        </w:rPr>
        <w:t xml:space="preserve">where the </w:t>
      </w:r>
      <w:r w:rsidR="00A214D9">
        <w:rPr>
          <w:rFonts w:ascii="Arial" w:hAnsi="Arial" w:cs="Arial"/>
          <w:lang w:val="en-US"/>
        </w:rPr>
        <w:t>SCA held</w:t>
      </w:r>
      <w:r w:rsidR="0050617B">
        <w:rPr>
          <w:rFonts w:ascii="Arial" w:hAnsi="Arial" w:cs="Arial"/>
          <w:lang w:val="en-US"/>
        </w:rPr>
        <w:t xml:space="preserve"> </w:t>
      </w:r>
      <w:r w:rsidR="00197953">
        <w:rPr>
          <w:rFonts w:ascii="Arial" w:hAnsi="Arial" w:cs="Arial"/>
          <w:lang w:val="en-US"/>
        </w:rPr>
        <w:t>that no amendment could validly</w:t>
      </w:r>
      <w:r w:rsidR="002F6447">
        <w:rPr>
          <w:rFonts w:ascii="Arial" w:hAnsi="Arial" w:cs="Arial"/>
          <w:lang w:val="en-US"/>
        </w:rPr>
        <w:t xml:space="preserve"> be</w:t>
      </w:r>
      <w:r w:rsidR="00197953">
        <w:rPr>
          <w:rFonts w:ascii="Arial" w:hAnsi="Arial" w:cs="Arial"/>
          <w:lang w:val="en-US"/>
        </w:rPr>
        <w:t xml:space="preserve"> allowed if it did not meet the requirements of rule 32(3) in the first place.</w:t>
      </w:r>
    </w:p>
    <w:p w14:paraId="0F692483" w14:textId="77777777" w:rsidR="00DE4ABF" w:rsidRDefault="00DE4ABF" w:rsidP="00197953">
      <w:pPr>
        <w:spacing w:line="480" w:lineRule="auto"/>
        <w:jc w:val="both"/>
        <w:rPr>
          <w:rFonts w:ascii="Arial" w:hAnsi="Arial" w:cs="Arial"/>
          <w:lang w:val="en-US"/>
        </w:rPr>
      </w:pPr>
    </w:p>
    <w:p w14:paraId="705BDF95" w14:textId="56DA546B" w:rsidR="00197953" w:rsidRDefault="00DE4ABF" w:rsidP="00197953">
      <w:pPr>
        <w:spacing w:line="480" w:lineRule="auto"/>
        <w:jc w:val="both"/>
        <w:rPr>
          <w:rFonts w:ascii="Arial" w:hAnsi="Arial" w:cs="Arial"/>
          <w:lang w:val="en-US"/>
        </w:rPr>
      </w:pPr>
      <w:r>
        <w:rPr>
          <w:rFonts w:ascii="Arial" w:hAnsi="Arial" w:cs="Arial"/>
          <w:lang w:val="en-US"/>
        </w:rPr>
        <w:t>[5</w:t>
      </w:r>
      <w:r w:rsidR="00A2338E">
        <w:rPr>
          <w:rFonts w:ascii="Arial" w:hAnsi="Arial" w:cs="Arial"/>
          <w:lang w:val="en-US"/>
        </w:rPr>
        <w:t>6</w:t>
      </w:r>
      <w:r>
        <w:rPr>
          <w:rFonts w:ascii="Arial" w:hAnsi="Arial" w:cs="Arial"/>
          <w:lang w:val="en-US"/>
        </w:rPr>
        <w:t>]</w:t>
      </w:r>
      <w:r>
        <w:rPr>
          <w:rFonts w:ascii="Arial" w:hAnsi="Arial" w:cs="Arial"/>
          <w:lang w:val="en-US"/>
        </w:rPr>
        <w:tab/>
      </w:r>
      <w:r w:rsidR="00F35226">
        <w:rPr>
          <w:rFonts w:ascii="Arial" w:hAnsi="Arial" w:cs="Arial"/>
          <w:lang w:val="en-US"/>
        </w:rPr>
        <w:t>The appellant</w:t>
      </w:r>
      <w:r w:rsidR="00B126B1">
        <w:rPr>
          <w:rFonts w:ascii="Arial" w:hAnsi="Arial" w:cs="Arial"/>
          <w:lang w:val="en-US"/>
        </w:rPr>
        <w:t xml:space="preserve"> relie</w:t>
      </w:r>
      <w:r w:rsidR="00A2338E">
        <w:rPr>
          <w:rFonts w:ascii="Arial" w:hAnsi="Arial" w:cs="Arial"/>
          <w:lang w:val="en-US"/>
        </w:rPr>
        <w:t>d</w:t>
      </w:r>
      <w:r w:rsidR="00B126B1">
        <w:rPr>
          <w:rFonts w:ascii="Arial" w:hAnsi="Arial" w:cs="Arial"/>
          <w:lang w:val="en-US"/>
        </w:rPr>
        <w:t xml:space="preserve"> on </w:t>
      </w:r>
      <w:r w:rsidR="00A2338E">
        <w:rPr>
          <w:rFonts w:ascii="Arial" w:hAnsi="Arial" w:cs="Arial"/>
          <w:lang w:val="en-US"/>
        </w:rPr>
        <w:t>para</w:t>
      </w:r>
      <w:r w:rsidR="00FE6503">
        <w:rPr>
          <w:rFonts w:ascii="Arial" w:hAnsi="Arial" w:cs="Arial"/>
          <w:lang w:val="en-US"/>
        </w:rPr>
        <w:t>s 40-41 of</w:t>
      </w:r>
      <w:r w:rsidR="00B126B1">
        <w:rPr>
          <w:rFonts w:ascii="Arial" w:hAnsi="Arial" w:cs="Arial"/>
          <w:lang w:val="en-US"/>
        </w:rPr>
        <w:t xml:space="preserve"> the judgment</w:t>
      </w:r>
      <w:r w:rsidR="00D735DB">
        <w:rPr>
          <w:rFonts w:ascii="Arial" w:hAnsi="Arial" w:cs="Arial"/>
          <w:lang w:val="en-US"/>
        </w:rPr>
        <w:t>,</w:t>
      </w:r>
      <w:r w:rsidR="00B126B1">
        <w:rPr>
          <w:rFonts w:ascii="Arial" w:hAnsi="Arial" w:cs="Arial"/>
          <w:lang w:val="en-US"/>
        </w:rPr>
        <w:t xml:space="preserve"> </w:t>
      </w:r>
      <w:r w:rsidR="00A2338E">
        <w:rPr>
          <w:rFonts w:ascii="Arial" w:hAnsi="Arial" w:cs="Arial"/>
          <w:lang w:val="en-US"/>
        </w:rPr>
        <w:t>which held</w:t>
      </w:r>
      <w:r w:rsidR="00197953">
        <w:rPr>
          <w:rFonts w:ascii="Arial" w:hAnsi="Arial" w:cs="Arial"/>
          <w:lang w:val="en-US"/>
        </w:rPr>
        <w:t xml:space="preserve"> that if an issue has been foreshadowed in </w:t>
      </w:r>
      <w:r w:rsidR="00FE6503">
        <w:rPr>
          <w:rFonts w:ascii="Arial" w:hAnsi="Arial" w:cs="Arial"/>
          <w:lang w:val="en-US"/>
        </w:rPr>
        <w:t>an</w:t>
      </w:r>
      <w:r w:rsidR="00197953">
        <w:rPr>
          <w:rFonts w:ascii="Arial" w:hAnsi="Arial" w:cs="Arial"/>
          <w:lang w:val="en-US"/>
        </w:rPr>
        <w:t xml:space="preserve"> objection</w:t>
      </w:r>
      <w:r w:rsidR="002C67C0">
        <w:rPr>
          <w:rFonts w:ascii="Arial" w:hAnsi="Arial" w:cs="Arial"/>
          <w:lang w:val="en-US"/>
        </w:rPr>
        <w:t>,</w:t>
      </w:r>
      <w:r w:rsidR="00197953">
        <w:rPr>
          <w:rFonts w:ascii="Arial" w:hAnsi="Arial" w:cs="Arial"/>
          <w:lang w:val="en-US"/>
        </w:rPr>
        <w:t xml:space="preserve"> </w:t>
      </w:r>
      <w:r w:rsidR="00FE6503">
        <w:rPr>
          <w:rFonts w:ascii="Arial" w:hAnsi="Arial" w:cs="Arial"/>
          <w:lang w:val="en-US"/>
        </w:rPr>
        <w:t>albeit</w:t>
      </w:r>
      <w:r w:rsidR="00197953">
        <w:rPr>
          <w:rFonts w:ascii="Arial" w:hAnsi="Arial" w:cs="Arial"/>
          <w:lang w:val="en-US"/>
        </w:rPr>
        <w:t xml:space="preserve"> not expressly stated, there w</w:t>
      </w:r>
      <w:r w:rsidR="001A32B4">
        <w:rPr>
          <w:rFonts w:ascii="Arial" w:hAnsi="Arial" w:cs="Arial"/>
          <w:lang w:val="en-US"/>
        </w:rPr>
        <w:t>ill</w:t>
      </w:r>
      <w:r w:rsidR="00197953">
        <w:rPr>
          <w:rFonts w:ascii="Arial" w:hAnsi="Arial" w:cs="Arial"/>
          <w:lang w:val="en-US"/>
        </w:rPr>
        <w:t xml:space="preserve"> be no  prejudice to the other party </w:t>
      </w:r>
      <w:r w:rsidR="00FE6503">
        <w:rPr>
          <w:rFonts w:ascii="Arial" w:hAnsi="Arial" w:cs="Arial"/>
          <w:lang w:val="en-US"/>
        </w:rPr>
        <w:t>in allowing a</w:t>
      </w:r>
      <w:r w:rsidR="00197953">
        <w:rPr>
          <w:rFonts w:ascii="Arial" w:hAnsi="Arial" w:cs="Arial"/>
          <w:lang w:val="en-US"/>
        </w:rPr>
        <w:t>n amendment</w:t>
      </w:r>
      <w:r w:rsidR="00FE6503">
        <w:rPr>
          <w:rFonts w:ascii="Arial" w:hAnsi="Arial" w:cs="Arial"/>
          <w:lang w:val="en-US"/>
        </w:rPr>
        <w:t xml:space="preserve"> to a statement</w:t>
      </w:r>
      <w:r w:rsidR="009216A0">
        <w:rPr>
          <w:rFonts w:ascii="Arial" w:hAnsi="Arial" w:cs="Arial"/>
          <w:lang w:val="en-US"/>
        </w:rPr>
        <w:t xml:space="preserve"> which was</w:t>
      </w:r>
      <w:r w:rsidR="00FE6503">
        <w:rPr>
          <w:rFonts w:ascii="Arial" w:hAnsi="Arial" w:cs="Arial"/>
          <w:lang w:val="en-US"/>
        </w:rPr>
        <w:t xml:space="preserve"> filed in terms of rule 32 and it </w:t>
      </w:r>
      <w:r w:rsidR="00197953">
        <w:rPr>
          <w:rFonts w:ascii="Arial" w:hAnsi="Arial" w:cs="Arial"/>
          <w:lang w:val="en-US"/>
        </w:rPr>
        <w:t>should be granted</w:t>
      </w:r>
      <w:r w:rsidR="00FE6503">
        <w:rPr>
          <w:rFonts w:ascii="Arial" w:hAnsi="Arial" w:cs="Arial"/>
          <w:lang w:val="en-US"/>
        </w:rPr>
        <w:t xml:space="preserve">, in order </w:t>
      </w:r>
      <w:r w:rsidR="00197953">
        <w:rPr>
          <w:rFonts w:ascii="Arial" w:hAnsi="Arial" w:cs="Arial"/>
          <w:lang w:val="en-US"/>
        </w:rPr>
        <w:t>to allow the true legal issues between the parties to be ventilated.</w:t>
      </w:r>
    </w:p>
    <w:p w14:paraId="690D15BD" w14:textId="77777777" w:rsidR="00DE4ABF" w:rsidRDefault="00DE4ABF" w:rsidP="00197953">
      <w:pPr>
        <w:spacing w:line="480" w:lineRule="auto"/>
        <w:jc w:val="both"/>
        <w:rPr>
          <w:rFonts w:ascii="Arial" w:hAnsi="Arial" w:cs="Arial"/>
          <w:lang w:val="en-US"/>
        </w:rPr>
      </w:pPr>
    </w:p>
    <w:p w14:paraId="0F9D4833" w14:textId="61935E34" w:rsidR="00197953" w:rsidRPr="00DE4ABF" w:rsidRDefault="00197953" w:rsidP="00197953">
      <w:pPr>
        <w:spacing w:line="480" w:lineRule="auto"/>
        <w:jc w:val="both"/>
        <w:rPr>
          <w:rFonts w:ascii="Arial" w:hAnsi="Arial" w:cs="Arial"/>
          <w:u w:val="single"/>
          <w:lang w:val="en-US"/>
        </w:rPr>
      </w:pPr>
      <w:r w:rsidRPr="00DE4ABF">
        <w:rPr>
          <w:rFonts w:ascii="Arial" w:hAnsi="Arial" w:cs="Arial"/>
          <w:u w:val="single"/>
          <w:lang w:val="en-US"/>
        </w:rPr>
        <w:t xml:space="preserve">The </w:t>
      </w:r>
      <w:r w:rsidR="00F35226">
        <w:rPr>
          <w:rFonts w:ascii="Arial" w:hAnsi="Arial" w:cs="Arial"/>
          <w:u w:val="single"/>
          <w:lang w:val="en-US"/>
        </w:rPr>
        <w:t>r</w:t>
      </w:r>
      <w:r w:rsidRPr="00DE4ABF">
        <w:rPr>
          <w:rFonts w:ascii="Arial" w:hAnsi="Arial" w:cs="Arial"/>
          <w:u w:val="single"/>
          <w:lang w:val="en-US"/>
        </w:rPr>
        <w:t xml:space="preserve">espondent’s </w:t>
      </w:r>
      <w:r w:rsidR="00F35226">
        <w:rPr>
          <w:rFonts w:ascii="Arial" w:hAnsi="Arial" w:cs="Arial"/>
          <w:u w:val="single"/>
          <w:lang w:val="en-US"/>
        </w:rPr>
        <w:t>c</w:t>
      </w:r>
      <w:r w:rsidRPr="00DE4ABF">
        <w:rPr>
          <w:rFonts w:ascii="Arial" w:hAnsi="Arial" w:cs="Arial"/>
          <w:u w:val="single"/>
          <w:lang w:val="en-US"/>
        </w:rPr>
        <w:t>ase:</w:t>
      </w:r>
    </w:p>
    <w:p w14:paraId="1FE783C0" w14:textId="1AF1A1BC" w:rsidR="00197953" w:rsidRDefault="00DE4ABF" w:rsidP="00197953">
      <w:pPr>
        <w:spacing w:line="480" w:lineRule="auto"/>
        <w:jc w:val="both"/>
        <w:rPr>
          <w:rFonts w:ascii="Arial" w:hAnsi="Arial" w:cs="Arial"/>
          <w:lang w:val="en-US"/>
        </w:rPr>
      </w:pPr>
      <w:r>
        <w:rPr>
          <w:rFonts w:ascii="Arial" w:hAnsi="Arial" w:cs="Arial"/>
          <w:lang w:val="en-US"/>
        </w:rPr>
        <w:t>[5</w:t>
      </w:r>
      <w:r w:rsidR="007F06A3">
        <w:rPr>
          <w:rFonts w:ascii="Arial" w:hAnsi="Arial" w:cs="Arial"/>
          <w:lang w:val="en-US"/>
        </w:rPr>
        <w:t>7</w:t>
      </w:r>
      <w:r>
        <w:rPr>
          <w:rFonts w:ascii="Arial" w:hAnsi="Arial" w:cs="Arial"/>
          <w:lang w:val="en-US"/>
        </w:rPr>
        <w:t>]</w:t>
      </w:r>
      <w:r>
        <w:rPr>
          <w:rFonts w:ascii="Arial" w:hAnsi="Arial" w:cs="Arial"/>
          <w:lang w:val="en-US"/>
        </w:rPr>
        <w:tab/>
      </w:r>
      <w:r w:rsidR="00197953">
        <w:rPr>
          <w:rFonts w:ascii="Arial" w:hAnsi="Arial" w:cs="Arial"/>
          <w:lang w:val="en-US"/>
        </w:rPr>
        <w:t>The respondent submits that although rule 32(3) ha</w:t>
      </w:r>
      <w:r w:rsidR="00F35226">
        <w:rPr>
          <w:rFonts w:ascii="Arial" w:hAnsi="Arial" w:cs="Arial"/>
          <w:lang w:val="en-US"/>
        </w:rPr>
        <w:t>s</w:t>
      </w:r>
      <w:r w:rsidR="00197953">
        <w:rPr>
          <w:rFonts w:ascii="Arial" w:hAnsi="Arial" w:cs="Arial"/>
          <w:lang w:val="en-US"/>
        </w:rPr>
        <w:t xml:space="preserve"> been </w:t>
      </w:r>
      <w:r w:rsidR="009216A0">
        <w:rPr>
          <w:rFonts w:ascii="Arial" w:hAnsi="Arial" w:cs="Arial"/>
          <w:lang w:val="en-US"/>
        </w:rPr>
        <w:t>amended</w:t>
      </w:r>
      <w:r w:rsidR="00197953">
        <w:rPr>
          <w:rFonts w:ascii="Arial" w:hAnsi="Arial" w:cs="Arial"/>
          <w:lang w:val="en-US"/>
        </w:rPr>
        <w:t xml:space="preserve"> since the hearing of the matter before the </w:t>
      </w:r>
      <w:r w:rsidR="007F06A3">
        <w:rPr>
          <w:rFonts w:ascii="Arial" w:hAnsi="Arial" w:cs="Arial"/>
          <w:lang w:val="en-US"/>
        </w:rPr>
        <w:t xml:space="preserve">tax </w:t>
      </w:r>
      <w:r w:rsidR="00197953">
        <w:rPr>
          <w:rFonts w:ascii="Arial" w:hAnsi="Arial" w:cs="Arial"/>
          <w:lang w:val="en-US"/>
        </w:rPr>
        <w:t xml:space="preserve">court, the new rule does not confer any greater scope for the appellant to include new grounds in </w:t>
      </w:r>
      <w:r w:rsidR="005629BE">
        <w:rPr>
          <w:rFonts w:ascii="Arial" w:hAnsi="Arial" w:cs="Arial"/>
          <w:lang w:val="en-US"/>
        </w:rPr>
        <w:t xml:space="preserve">its </w:t>
      </w:r>
      <w:r w:rsidR="00197953">
        <w:rPr>
          <w:rFonts w:ascii="Arial" w:hAnsi="Arial" w:cs="Arial"/>
          <w:lang w:val="en-US"/>
        </w:rPr>
        <w:t>rule 32 statement. I</w:t>
      </w:r>
      <w:r w:rsidR="005629BE">
        <w:rPr>
          <w:rFonts w:ascii="Arial" w:hAnsi="Arial" w:cs="Arial"/>
          <w:lang w:val="en-US"/>
        </w:rPr>
        <w:t>nstead, it</w:t>
      </w:r>
      <w:r w:rsidR="00197953">
        <w:rPr>
          <w:rFonts w:ascii="Arial" w:hAnsi="Arial" w:cs="Arial"/>
          <w:lang w:val="en-US"/>
        </w:rPr>
        <w:t xml:space="preserve"> leaves in place the same limitations on the introduction of new grounds that were present in the previous rule.</w:t>
      </w:r>
    </w:p>
    <w:p w14:paraId="7EA8D18B" w14:textId="77777777" w:rsidR="00DE4ABF" w:rsidRDefault="00DE4ABF" w:rsidP="00197953">
      <w:pPr>
        <w:spacing w:line="480" w:lineRule="auto"/>
        <w:jc w:val="both"/>
        <w:rPr>
          <w:rFonts w:ascii="Arial" w:hAnsi="Arial" w:cs="Arial"/>
          <w:lang w:val="en-US"/>
        </w:rPr>
      </w:pPr>
    </w:p>
    <w:p w14:paraId="27C8DF3B" w14:textId="391E76A6" w:rsidR="00DE4ABF" w:rsidRDefault="00DE4ABF" w:rsidP="00197953">
      <w:pPr>
        <w:spacing w:line="480" w:lineRule="auto"/>
        <w:jc w:val="both"/>
        <w:rPr>
          <w:rFonts w:ascii="Arial" w:hAnsi="Arial" w:cs="Arial"/>
          <w:lang w:val="en-US"/>
        </w:rPr>
      </w:pPr>
      <w:r>
        <w:rPr>
          <w:rFonts w:ascii="Arial" w:hAnsi="Arial" w:cs="Arial"/>
          <w:lang w:val="en-US"/>
        </w:rPr>
        <w:t>[5</w:t>
      </w:r>
      <w:r w:rsidR="007F06A3">
        <w:rPr>
          <w:rFonts w:ascii="Arial" w:hAnsi="Arial" w:cs="Arial"/>
          <w:lang w:val="en-US"/>
        </w:rPr>
        <w:t>8</w:t>
      </w:r>
      <w:r>
        <w:rPr>
          <w:rFonts w:ascii="Arial" w:hAnsi="Arial" w:cs="Arial"/>
          <w:lang w:val="en-US"/>
        </w:rPr>
        <w:t>]</w:t>
      </w:r>
      <w:r>
        <w:rPr>
          <w:rFonts w:ascii="Arial" w:hAnsi="Arial" w:cs="Arial"/>
          <w:lang w:val="en-US"/>
        </w:rPr>
        <w:tab/>
      </w:r>
      <w:r w:rsidR="00197953">
        <w:rPr>
          <w:rFonts w:ascii="Arial" w:hAnsi="Arial" w:cs="Arial"/>
          <w:lang w:val="en-US"/>
        </w:rPr>
        <w:t xml:space="preserve">According to the respondent the issue that needs to be dealt with is an acceptable interpretation of rule 32(3), which includes the terms </w:t>
      </w:r>
      <w:r w:rsidR="005629BE">
        <w:rPr>
          <w:rFonts w:ascii="Arial" w:hAnsi="Arial" w:cs="Arial"/>
          <w:lang w:val="en-US"/>
        </w:rPr>
        <w:t>‘</w:t>
      </w:r>
      <w:r w:rsidR="00197953">
        <w:rPr>
          <w:rFonts w:ascii="Arial" w:hAnsi="Arial" w:cs="Arial"/>
          <w:lang w:val="en-US"/>
        </w:rPr>
        <w:t>part</w:t>
      </w:r>
      <w:r w:rsidR="005629BE">
        <w:rPr>
          <w:rFonts w:ascii="Arial" w:hAnsi="Arial" w:cs="Arial"/>
          <w:lang w:val="en-US"/>
        </w:rPr>
        <w:t>’</w:t>
      </w:r>
      <w:r w:rsidR="00197953">
        <w:rPr>
          <w:rFonts w:ascii="Arial" w:hAnsi="Arial" w:cs="Arial"/>
          <w:lang w:val="en-US"/>
        </w:rPr>
        <w:t xml:space="preserve"> and </w:t>
      </w:r>
      <w:r w:rsidR="005629BE">
        <w:rPr>
          <w:rFonts w:ascii="Arial" w:hAnsi="Arial" w:cs="Arial"/>
          <w:lang w:val="en-US"/>
        </w:rPr>
        <w:t>‘</w:t>
      </w:r>
      <w:r w:rsidR="00197953">
        <w:rPr>
          <w:rFonts w:ascii="Arial" w:hAnsi="Arial" w:cs="Arial"/>
          <w:lang w:val="en-US"/>
        </w:rPr>
        <w:t>amount</w:t>
      </w:r>
      <w:r w:rsidR="005629BE">
        <w:rPr>
          <w:rFonts w:ascii="Arial" w:hAnsi="Arial" w:cs="Arial"/>
          <w:lang w:val="en-US"/>
        </w:rPr>
        <w:t>’</w:t>
      </w:r>
      <w:r w:rsidR="00197953">
        <w:rPr>
          <w:rFonts w:ascii="Arial" w:hAnsi="Arial" w:cs="Arial"/>
          <w:lang w:val="en-US"/>
        </w:rPr>
        <w:t xml:space="preserve"> as used in the provision.</w:t>
      </w:r>
      <w:r>
        <w:rPr>
          <w:rFonts w:ascii="Arial" w:hAnsi="Arial" w:cs="Arial"/>
          <w:lang w:val="en-US"/>
        </w:rPr>
        <w:t xml:space="preserve"> </w:t>
      </w:r>
      <w:r w:rsidR="00197953">
        <w:rPr>
          <w:rFonts w:ascii="Arial" w:hAnsi="Arial" w:cs="Arial"/>
          <w:lang w:val="en-US"/>
        </w:rPr>
        <w:t xml:space="preserve">The respondent </w:t>
      </w:r>
      <w:r w:rsidR="002C67C0">
        <w:rPr>
          <w:rFonts w:ascii="Arial" w:hAnsi="Arial" w:cs="Arial"/>
          <w:lang w:val="en-US"/>
        </w:rPr>
        <w:t>contends</w:t>
      </w:r>
      <w:r w:rsidR="00197953">
        <w:rPr>
          <w:rFonts w:ascii="Arial" w:hAnsi="Arial" w:cs="Arial"/>
          <w:lang w:val="en-US"/>
        </w:rPr>
        <w:t xml:space="preserve"> that the appellant has not </w:t>
      </w:r>
      <w:r w:rsidR="005629BE">
        <w:rPr>
          <w:rFonts w:ascii="Arial" w:hAnsi="Arial" w:cs="Arial"/>
          <w:lang w:val="en-US"/>
        </w:rPr>
        <w:t xml:space="preserve">provided </w:t>
      </w:r>
      <w:r w:rsidR="00197953">
        <w:rPr>
          <w:rFonts w:ascii="Arial" w:hAnsi="Arial" w:cs="Arial"/>
          <w:lang w:val="en-US"/>
        </w:rPr>
        <w:t xml:space="preserve">an acceptable interpretation </w:t>
      </w:r>
      <w:r w:rsidR="007F06A3">
        <w:rPr>
          <w:rFonts w:ascii="Arial" w:hAnsi="Arial" w:cs="Arial"/>
          <w:lang w:val="en-US"/>
        </w:rPr>
        <w:t>o</w:t>
      </w:r>
      <w:r w:rsidR="00197953">
        <w:rPr>
          <w:rFonts w:ascii="Arial" w:hAnsi="Arial" w:cs="Arial"/>
          <w:lang w:val="en-US"/>
        </w:rPr>
        <w:t xml:space="preserve">f the </w:t>
      </w:r>
      <w:r w:rsidR="007F06A3">
        <w:rPr>
          <w:rFonts w:ascii="Arial" w:hAnsi="Arial" w:cs="Arial"/>
          <w:lang w:val="en-US"/>
        </w:rPr>
        <w:t>sub</w:t>
      </w:r>
      <w:r w:rsidR="00197953">
        <w:rPr>
          <w:rFonts w:ascii="Arial" w:hAnsi="Arial" w:cs="Arial"/>
          <w:lang w:val="en-US"/>
        </w:rPr>
        <w:t xml:space="preserve">rule </w:t>
      </w:r>
      <w:r w:rsidR="00651904">
        <w:rPr>
          <w:rFonts w:ascii="Arial" w:hAnsi="Arial" w:cs="Arial"/>
          <w:lang w:val="en-US"/>
        </w:rPr>
        <w:t>which</w:t>
      </w:r>
      <w:r w:rsidR="00197953">
        <w:rPr>
          <w:rFonts w:ascii="Arial" w:hAnsi="Arial" w:cs="Arial"/>
          <w:lang w:val="en-US"/>
        </w:rPr>
        <w:t xml:space="preserve"> would allow it to introduce the new ground it has.</w:t>
      </w:r>
      <w:r>
        <w:rPr>
          <w:rFonts w:ascii="Arial" w:hAnsi="Arial" w:cs="Arial"/>
          <w:lang w:val="en-US"/>
        </w:rPr>
        <w:t xml:space="preserve"> </w:t>
      </w:r>
    </w:p>
    <w:p w14:paraId="14AFB212" w14:textId="77777777" w:rsidR="00DE4ABF" w:rsidRDefault="00DE4ABF" w:rsidP="00197953">
      <w:pPr>
        <w:spacing w:line="480" w:lineRule="auto"/>
        <w:jc w:val="both"/>
        <w:rPr>
          <w:rFonts w:ascii="Arial" w:hAnsi="Arial" w:cs="Arial"/>
          <w:lang w:val="en-US"/>
        </w:rPr>
      </w:pPr>
    </w:p>
    <w:p w14:paraId="34DE46F7" w14:textId="6FA48522" w:rsidR="00197953" w:rsidRDefault="00DE4ABF" w:rsidP="00197953">
      <w:pPr>
        <w:spacing w:line="480" w:lineRule="auto"/>
        <w:jc w:val="both"/>
        <w:rPr>
          <w:rFonts w:ascii="Arial" w:hAnsi="Arial" w:cs="Arial"/>
          <w:lang w:val="en-US"/>
        </w:rPr>
      </w:pPr>
      <w:r>
        <w:rPr>
          <w:rFonts w:ascii="Arial" w:hAnsi="Arial" w:cs="Arial"/>
          <w:lang w:val="en-US"/>
        </w:rPr>
        <w:t>[5</w:t>
      </w:r>
      <w:r w:rsidR="007F06A3">
        <w:rPr>
          <w:rFonts w:ascii="Arial" w:hAnsi="Arial" w:cs="Arial"/>
          <w:lang w:val="en-US"/>
        </w:rPr>
        <w:t>9</w:t>
      </w:r>
      <w:r>
        <w:rPr>
          <w:rFonts w:ascii="Arial" w:hAnsi="Arial" w:cs="Arial"/>
          <w:lang w:val="en-US"/>
        </w:rPr>
        <w:t>]</w:t>
      </w:r>
      <w:r>
        <w:rPr>
          <w:rFonts w:ascii="Arial" w:hAnsi="Arial" w:cs="Arial"/>
          <w:lang w:val="en-US"/>
        </w:rPr>
        <w:tab/>
      </w:r>
      <w:r w:rsidR="007F06A3">
        <w:rPr>
          <w:rFonts w:ascii="Arial" w:hAnsi="Arial" w:cs="Arial"/>
          <w:lang w:val="en-US"/>
        </w:rPr>
        <w:t xml:space="preserve">The </w:t>
      </w:r>
      <w:r w:rsidR="00651904">
        <w:rPr>
          <w:rFonts w:ascii="Arial" w:hAnsi="Arial" w:cs="Arial"/>
          <w:lang w:val="en-US"/>
        </w:rPr>
        <w:t xml:space="preserve">respondent </w:t>
      </w:r>
      <w:r w:rsidR="001A32B4">
        <w:rPr>
          <w:rFonts w:ascii="Arial" w:hAnsi="Arial" w:cs="Arial"/>
          <w:lang w:val="en-US"/>
        </w:rPr>
        <w:t xml:space="preserve">reiterates </w:t>
      </w:r>
      <w:r w:rsidR="00651904">
        <w:rPr>
          <w:rFonts w:ascii="Arial" w:hAnsi="Arial" w:cs="Arial"/>
          <w:lang w:val="en-US"/>
        </w:rPr>
        <w:t xml:space="preserve">that the </w:t>
      </w:r>
      <w:r w:rsidR="007F06A3">
        <w:rPr>
          <w:rFonts w:ascii="Arial" w:hAnsi="Arial" w:cs="Arial"/>
          <w:lang w:val="en-US"/>
        </w:rPr>
        <w:t>appellant listed a gross income of</w:t>
      </w:r>
      <w:r w:rsidR="002C67C0">
        <w:rPr>
          <w:rFonts w:ascii="Arial" w:hAnsi="Arial" w:cs="Arial"/>
          <w:lang w:val="en-US"/>
        </w:rPr>
        <w:t xml:space="preserve"> </w:t>
      </w:r>
      <w:r w:rsidR="00A102A0">
        <w:rPr>
          <w:rFonts w:ascii="Arial" w:hAnsi="Arial" w:cs="Arial"/>
          <w:lang w:val="en-US"/>
        </w:rPr>
        <w:t xml:space="preserve"> </w:t>
      </w:r>
      <w:r w:rsidR="001A32B4">
        <w:rPr>
          <w:rFonts w:ascii="Arial" w:hAnsi="Arial" w:cs="Arial"/>
          <w:lang w:val="en-US"/>
        </w:rPr>
        <w:t xml:space="preserve"> </w:t>
      </w:r>
      <w:r w:rsidR="00A102A0">
        <w:rPr>
          <w:rFonts w:ascii="Arial" w:hAnsi="Arial" w:cs="Arial"/>
          <w:lang w:val="en-US"/>
        </w:rPr>
        <w:t xml:space="preserve">                   </w:t>
      </w:r>
      <w:r w:rsidR="007F06A3">
        <w:rPr>
          <w:rFonts w:ascii="Arial" w:hAnsi="Arial" w:cs="Arial"/>
          <w:lang w:val="en-US"/>
        </w:rPr>
        <w:t>R 320 846 361,00 for the 2018 tax year</w:t>
      </w:r>
      <w:r w:rsidR="00651904">
        <w:rPr>
          <w:rFonts w:ascii="Arial" w:hAnsi="Arial" w:cs="Arial"/>
          <w:lang w:val="en-US"/>
        </w:rPr>
        <w:t>,</w:t>
      </w:r>
      <w:r w:rsidR="007F06A3">
        <w:rPr>
          <w:rFonts w:ascii="Arial" w:hAnsi="Arial" w:cs="Arial"/>
          <w:lang w:val="en-US"/>
        </w:rPr>
        <w:t xml:space="preserve"> in its tax return for that period. </w:t>
      </w:r>
      <w:r w:rsidR="00197953">
        <w:rPr>
          <w:rFonts w:ascii="Arial" w:hAnsi="Arial" w:cs="Arial"/>
          <w:lang w:val="en-US"/>
        </w:rPr>
        <w:t xml:space="preserve">It therefore declared this amount of gross income had been received </w:t>
      </w:r>
      <w:r w:rsidR="007F06A3">
        <w:rPr>
          <w:rFonts w:ascii="Arial" w:hAnsi="Arial" w:cs="Arial"/>
          <w:lang w:val="en-US"/>
        </w:rPr>
        <w:t>by</w:t>
      </w:r>
      <w:r w:rsidR="00651904">
        <w:rPr>
          <w:rFonts w:ascii="Arial" w:hAnsi="Arial" w:cs="Arial"/>
          <w:lang w:val="en-US"/>
        </w:rPr>
        <w:t>,</w:t>
      </w:r>
      <w:r w:rsidR="007F06A3">
        <w:rPr>
          <w:rFonts w:ascii="Arial" w:hAnsi="Arial" w:cs="Arial"/>
          <w:lang w:val="en-US"/>
        </w:rPr>
        <w:t xml:space="preserve"> or</w:t>
      </w:r>
      <w:r w:rsidR="00197953">
        <w:rPr>
          <w:rFonts w:ascii="Arial" w:hAnsi="Arial" w:cs="Arial"/>
          <w:lang w:val="en-US"/>
        </w:rPr>
        <w:t xml:space="preserve"> had accrued to</w:t>
      </w:r>
      <w:r w:rsidR="00651904">
        <w:rPr>
          <w:rFonts w:ascii="Arial" w:hAnsi="Arial" w:cs="Arial"/>
          <w:lang w:val="en-US"/>
        </w:rPr>
        <w:t>,</w:t>
      </w:r>
      <w:r w:rsidR="00197953">
        <w:rPr>
          <w:rFonts w:ascii="Arial" w:hAnsi="Arial" w:cs="Arial"/>
          <w:lang w:val="en-US"/>
        </w:rPr>
        <w:t xml:space="preserve"> it</w:t>
      </w:r>
      <w:r w:rsidR="00493B34">
        <w:rPr>
          <w:rFonts w:ascii="Arial" w:hAnsi="Arial" w:cs="Arial"/>
          <w:lang w:val="en-US"/>
        </w:rPr>
        <w:t>.</w:t>
      </w:r>
      <w:r w:rsidR="00197953">
        <w:rPr>
          <w:rFonts w:ascii="Arial" w:hAnsi="Arial" w:cs="Arial"/>
          <w:lang w:val="en-US"/>
        </w:rPr>
        <w:t xml:space="preserve"> </w:t>
      </w:r>
      <w:r w:rsidR="00A102A0">
        <w:rPr>
          <w:rFonts w:ascii="Arial" w:hAnsi="Arial" w:cs="Arial"/>
          <w:lang w:val="en-US"/>
        </w:rPr>
        <w:t>This was</w:t>
      </w:r>
      <w:r w:rsidR="00197953">
        <w:rPr>
          <w:rFonts w:ascii="Arial" w:hAnsi="Arial" w:cs="Arial"/>
          <w:lang w:val="en-US"/>
        </w:rPr>
        <w:t xml:space="preserve"> consistently reflected in assessments up to and including the re</w:t>
      </w:r>
      <w:r w:rsidR="007F06A3">
        <w:rPr>
          <w:rFonts w:ascii="Arial" w:hAnsi="Arial" w:cs="Arial"/>
          <w:lang w:val="en-US"/>
        </w:rPr>
        <w:t>vised</w:t>
      </w:r>
      <w:r w:rsidR="00197953">
        <w:rPr>
          <w:rFonts w:ascii="Arial" w:hAnsi="Arial" w:cs="Arial"/>
          <w:lang w:val="en-US"/>
        </w:rPr>
        <w:t xml:space="preserve"> assessment </w:t>
      </w:r>
      <w:r w:rsidR="007F06A3">
        <w:rPr>
          <w:rFonts w:ascii="Arial" w:hAnsi="Arial" w:cs="Arial"/>
          <w:lang w:val="en-US"/>
        </w:rPr>
        <w:t xml:space="preserve">which was </w:t>
      </w:r>
      <w:r w:rsidR="00197953">
        <w:rPr>
          <w:rFonts w:ascii="Arial" w:hAnsi="Arial" w:cs="Arial"/>
          <w:lang w:val="en-US"/>
        </w:rPr>
        <w:t>issued</w:t>
      </w:r>
      <w:r w:rsidR="007F06A3">
        <w:rPr>
          <w:rFonts w:ascii="Arial" w:hAnsi="Arial" w:cs="Arial"/>
          <w:lang w:val="en-US"/>
        </w:rPr>
        <w:t>,</w:t>
      </w:r>
      <w:r w:rsidR="00197953">
        <w:rPr>
          <w:rFonts w:ascii="Arial" w:hAnsi="Arial" w:cs="Arial"/>
          <w:lang w:val="en-US"/>
        </w:rPr>
        <w:t xml:space="preserve"> after the partial allowance of the objection. This was </w:t>
      </w:r>
      <w:r w:rsidR="007F06A3">
        <w:rPr>
          <w:rFonts w:ascii="Arial" w:hAnsi="Arial" w:cs="Arial"/>
          <w:lang w:val="en-US"/>
        </w:rPr>
        <w:t>so</w:t>
      </w:r>
      <w:r w:rsidR="00197953">
        <w:rPr>
          <w:rFonts w:ascii="Arial" w:hAnsi="Arial" w:cs="Arial"/>
          <w:lang w:val="en-US"/>
        </w:rPr>
        <w:t xml:space="preserve"> </w:t>
      </w:r>
      <w:r w:rsidR="002C120F">
        <w:rPr>
          <w:rFonts w:ascii="Arial" w:hAnsi="Arial" w:cs="Arial"/>
          <w:lang w:val="en-US"/>
        </w:rPr>
        <w:t>also</w:t>
      </w:r>
      <w:r w:rsidR="00197953">
        <w:rPr>
          <w:rFonts w:ascii="Arial" w:hAnsi="Arial" w:cs="Arial"/>
          <w:lang w:val="en-US"/>
        </w:rPr>
        <w:t xml:space="preserve"> after SARS undertook an audit into the </w:t>
      </w:r>
      <w:r w:rsidR="00276615">
        <w:rPr>
          <w:rFonts w:ascii="Arial" w:hAnsi="Arial" w:cs="Arial"/>
          <w:lang w:val="en-US"/>
        </w:rPr>
        <w:t>appellant’s tax</w:t>
      </w:r>
      <w:r w:rsidR="00197953">
        <w:rPr>
          <w:rFonts w:ascii="Arial" w:hAnsi="Arial" w:cs="Arial"/>
          <w:lang w:val="en-US"/>
        </w:rPr>
        <w:t xml:space="preserve"> affairs for the 2016 t</w:t>
      </w:r>
      <w:r w:rsidR="005629BE">
        <w:rPr>
          <w:rFonts w:ascii="Arial" w:hAnsi="Arial" w:cs="Arial"/>
          <w:lang w:val="en-US"/>
        </w:rPr>
        <w:t>o</w:t>
      </w:r>
      <w:r w:rsidR="00197953">
        <w:rPr>
          <w:rFonts w:ascii="Arial" w:hAnsi="Arial" w:cs="Arial"/>
          <w:lang w:val="en-US"/>
        </w:rPr>
        <w:t xml:space="preserve"> 2018 tax years</w:t>
      </w:r>
      <w:r w:rsidR="0012318B">
        <w:rPr>
          <w:rFonts w:ascii="Arial" w:hAnsi="Arial" w:cs="Arial"/>
          <w:lang w:val="en-US"/>
        </w:rPr>
        <w:t xml:space="preserve">. A letter </w:t>
      </w:r>
      <w:r w:rsidR="00197953">
        <w:rPr>
          <w:rFonts w:ascii="Arial" w:hAnsi="Arial" w:cs="Arial"/>
          <w:lang w:val="en-US"/>
        </w:rPr>
        <w:t xml:space="preserve">dated 2 March 2019 </w:t>
      </w:r>
      <w:r w:rsidR="00276615">
        <w:rPr>
          <w:rFonts w:ascii="Arial" w:hAnsi="Arial" w:cs="Arial"/>
          <w:lang w:val="en-US"/>
        </w:rPr>
        <w:t xml:space="preserve">was sent to the appellant </w:t>
      </w:r>
      <w:r w:rsidR="00197953">
        <w:rPr>
          <w:rFonts w:ascii="Arial" w:hAnsi="Arial" w:cs="Arial"/>
          <w:lang w:val="en-US"/>
        </w:rPr>
        <w:t>wherein it was afforded the opportunity to submit a revised ITR14 return if there were errors present</w:t>
      </w:r>
      <w:r w:rsidR="007F06A3">
        <w:rPr>
          <w:rFonts w:ascii="Arial" w:hAnsi="Arial" w:cs="Arial"/>
          <w:lang w:val="en-US"/>
        </w:rPr>
        <w:t xml:space="preserve"> in its original </w:t>
      </w:r>
      <w:r w:rsidR="00276615">
        <w:rPr>
          <w:rFonts w:ascii="Arial" w:hAnsi="Arial" w:cs="Arial"/>
          <w:lang w:val="en-US"/>
        </w:rPr>
        <w:t>return</w:t>
      </w:r>
      <w:r w:rsidR="00197953">
        <w:rPr>
          <w:rFonts w:ascii="Arial" w:hAnsi="Arial" w:cs="Arial"/>
          <w:lang w:val="en-US"/>
        </w:rPr>
        <w:t xml:space="preserve">. </w:t>
      </w:r>
      <w:r w:rsidR="00276615">
        <w:rPr>
          <w:rFonts w:ascii="Arial" w:hAnsi="Arial" w:cs="Arial"/>
          <w:lang w:val="en-US"/>
        </w:rPr>
        <w:t xml:space="preserve">The appellant did not submit an amended return.  </w:t>
      </w:r>
      <w:r w:rsidR="00197953">
        <w:rPr>
          <w:rFonts w:ascii="Arial" w:hAnsi="Arial" w:cs="Arial"/>
          <w:lang w:val="en-US"/>
        </w:rPr>
        <w:t xml:space="preserve">On none of the </w:t>
      </w:r>
      <w:r w:rsidR="007F06A3">
        <w:rPr>
          <w:rFonts w:ascii="Arial" w:hAnsi="Arial" w:cs="Arial"/>
          <w:lang w:val="en-US"/>
        </w:rPr>
        <w:t xml:space="preserve">available </w:t>
      </w:r>
      <w:r w:rsidR="00A102A0">
        <w:rPr>
          <w:rFonts w:ascii="Arial" w:hAnsi="Arial" w:cs="Arial"/>
          <w:lang w:val="en-US"/>
        </w:rPr>
        <w:t>opportun</w:t>
      </w:r>
      <w:r w:rsidR="009B5EF4">
        <w:rPr>
          <w:rFonts w:ascii="Arial" w:hAnsi="Arial" w:cs="Arial"/>
          <w:lang w:val="en-US"/>
        </w:rPr>
        <w:t>i</w:t>
      </w:r>
      <w:r w:rsidR="00A102A0">
        <w:rPr>
          <w:rFonts w:ascii="Arial" w:hAnsi="Arial" w:cs="Arial"/>
          <w:lang w:val="en-US"/>
        </w:rPr>
        <w:t>ties</w:t>
      </w:r>
      <w:r w:rsidR="00197953">
        <w:rPr>
          <w:rFonts w:ascii="Arial" w:hAnsi="Arial" w:cs="Arial"/>
          <w:lang w:val="en-US"/>
        </w:rPr>
        <w:t xml:space="preserve"> </w:t>
      </w:r>
      <w:r w:rsidR="0012318B">
        <w:rPr>
          <w:rFonts w:ascii="Arial" w:hAnsi="Arial" w:cs="Arial"/>
          <w:lang w:val="en-US"/>
        </w:rPr>
        <w:t xml:space="preserve">did </w:t>
      </w:r>
      <w:r w:rsidR="00197953">
        <w:rPr>
          <w:rFonts w:ascii="Arial" w:hAnsi="Arial" w:cs="Arial"/>
          <w:lang w:val="en-US"/>
        </w:rPr>
        <w:t xml:space="preserve">the appellant allege any errors in </w:t>
      </w:r>
      <w:r w:rsidR="007F06A3">
        <w:rPr>
          <w:rFonts w:ascii="Arial" w:hAnsi="Arial" w:cs="Arial"/>
          <w:lang w:val="en-US"/>
        </w:rPr>
        <w:t xml:space="preserve">its </w:t>
      </w:r>
      <w:r w:rsidR="00197953">
        <w:rPr>
          <w:rFonts w:ascii="Arial" w:hAnsi="Arial" w:cs="Arial"/>
          <w:lang w:val="en-US"/>
        </w:rPr>
        <w:t>ITR14 return</w:t>
      </w:r>
      <w:r w:rsidR="00A102A0">
        <w:rPr>
          <w:rFonts w:ascii="Arial" w:hAnsi="Arial" w:cs="Arial"/>
          <w:lang w:val="en-US"/>
        </w:rPr>
        <w:t xml:space="preserve">, in </w:t>
      </w:r>
      <w:r w:rsidR="00197953">
        <w:rPr>
          <w:rFonts w:ascii="Arial" w:hAnsi="Arial" w:cs="Arial"/>
          <w:lang w:val="en-US"/>
        </w:rPr>
        <w:t xml:space="preserve">which </w:t>
      </w:r>
      <w:r w:rsidR="00A102A0">
        <w:rPr>
          <w:rFonts w:ascii="Arial" w:hAnsi="Arial" w:cs="Arial"/>
          <w:lang w:val="en-US"/>
        </w:rPr>
        <w:t xml:space="preserve">it </w:t>
      </w:r>
      <w:r w:rsidR="00197953">
        <w:rPr>
          <w:rFonts w:ascii="Arial" w:hAnsi="Arial" w:cs="Arial"/>
          <w:lang w:val="en-US"/>
        </w:rPr>
        <w:t xml:space="preserve">declared </w:t>
      </w:r>
      <w:r w:rsidR="00A102A0">
        <w:rPr>
          <w:rFonts w:ascii="Arial" w:hAnsi="Arial" w:cs="Arial"/>
          <w:lang w:val="en-US"/>
        </w:rPr>
        <w:t xml:space="preserve">that </w:t>
      </w:r>
      <w:r w:rsidR="00197953">
        <w:rPr>
          <w:rFonts w:ascii="Arial" w:hAnsi="Arial" w:cs="Arial"/>
          <w:lang w:val="en-US"/>
        </w:rPr>
        <w:t>gross income in the amount of R320 846</w:t>
      </w:r>
      <w:r w:rsidR="00BD5F4C">
        <w:rPr>
          <w:rFonts w:ascii="Arial" w:hAnsi="Arial" w:cs="Arial"/>
          <w:lang w:val="en-US"/>
        </w:rPr>
        <w:t> </w:t>
      </w:r>
      <w:r w:rsidR="00197953">
        <w:rPr>
          <w:rFonts w:ascii="Arial" w:hAnsi="Arial" w:cs="Arial"/>
          <w:lang w:val="en-US"/>
        </w:rPr>
        <w:t>361</w:t>
      </w:r>
      <w:r w:rsidR="00BD5F4C">
        <w:rPr>
          <w:rFonts w:ascii="Arial" w:hAnsi="Arial" w:cs="Arial"/>
          <w:lang w:val="en-US"/>
        </w:rPr>
        <w:t>,00</w:t>
      </w:r>
      <w:r w:rsidR="00197953">
        <w:rPr>
          <w:rFonts w:ascii="Arial" w:hAnsi="Arial" w:cs="Arial"/>
          <w:lang w:val="en-US"/>
        </w:rPr>
        <w:t xml:space="preserve"> was received </w:t>
      </w:r>
      <w:r w:rsidR="00276615">
        <w:rPr>
          <w:rFonts w:ascii="Arial" w:hAnsi="Arial" w:cs="Arial"/>
          <w:lang w:val="en-US"/>
        </w:rPr>
        <w:t>by or</w:t>
      </w:r>
      <w:r w:rsidR="00197953">
        <w:rPr>
          <w:rFonts w:ascii="Arial" w:hAnsi="Arial" w:cs="Arial"/>
          <w:lang w:val="en-US"/>
        </w:rPr>
        <w:t xml:space="preserve"> accrued </w:t>
      </w:r>
      <w:r w:rsidR="007F06A3">
        <w:rPr>
          <w:rFonts w:ascii="Arial" w:hAnsi="Arial" w:cs="Arial"/>
          <w:lang w:val="en-US"/>
        </w:rPr>
        <w:t>to it</w:t>
      </w:r>
      <w:r w:rsidR="00493B34">
        <w:rPr>
          <w:rFonts w:ascii="Arial" w:hAnsi="Arial" w:cs="Arial"/>
          <w:lang w:val="en-US"/>
        </w:rPr>
        <w:t>,</w:t>
      </w:r>
      <w:r w:rsidR="007F06A3">
        <w:rPr>
          <w:rFonts w:ascii="Arial" w:hAnsi="Arial" w:cs="Arial"/>
          <w:lang w:val="en-US"/>
        </w:rPr>
        <w:t xml:space="preserve"> </w:t>
      </w:r>
      <w:r w:rsidR="00197953">
        <w:rPr>
          <w:rFonts w:ascii="Arial" w:hAnsi="Arial" w:cs="Arial"/>
          <w:lang w:val="en-US"/>
        </w:rPr>
        <w:t xml:space="preserve">in the 2018 tax year. </w:t>
      </w:r>
      <w:r w:rsidR="00276615">
        <w:rPr>
          <w:rFonts w:ascii="Arial" w:hAnsi="Arial" w:cs="Arial"/>
          <w:lang w:val="en-US"/>
        </w:rPr>
        <w:t>As a result, t</w:t>
      </w:r>
      <w:r w:rsidR="00197953">
        <w:rPr>
          <w:rFonts w:ascii="Arial" w:hAnsi="Arial" w:cs="Arial"/>
          <w:lang w:val="en-US"/>
        </w:rPr>
        <w:t xml:space="preserve">he additional </w:t>
      </w:r>
      <w:r w:rsidR="009673BC">
        <w:rPr>
          <w:rFonts w:ascii="Arial" w:hAnsi="Arial" w:cs="Arial"/>
          <w:lang w:val="en-US"/>
        </w:rPr>
        <w:t xml:space="preserve">and revised </w:t>
      </w:r>
      <w:r w:rsidR="00197953">
        <w:rPr>
          <w:rFonts w:ascii="Arial" w:hAnsi="Arial" w:cs="Arial"/>
          <w:lang w:val="en-US"/>
        </w:rPr>
        <w:t>assessment</w:t>
      </w:r>
      <w:r w:rsidR="009673BC">
        <w:rPr>
          <w:rFonts w:ascii="Arial" w:hAnsi="Arial" w:cs="Arial"/>
          <w:lang w:val="en-US"/>
        </w:rPr>
        <w:t>s</w:t>
      </w:r>
      <w:r w:rsidR="00197953">
        <w:rPr>
          <w:rFonts w:ascii="Arial" w:hAnsi="Arial" w:cs="Arial"/>
          <w:lang w:val="en-US"/>
        </w:rPr>
        <w:t xml:space="preserve"> </w:t>
      </w:r>
      <w:r w:rsidR="007F06A3">
        <w:rPr>
          <w:rFonts w:ascii="Arial" w:hAnsi="Arial" w:cs="Arial"/>
          <w:lang w:val="en-US"/>
        </w:rPr>
        <w:t xml:space="preserve">did not </w:t>
      </w:r>
      <w:r w:rsidR="00276615">
        <w:rPr>
          <w:rFonts w:ascii="Arial" w:hAnsi="Arial" w:cs="Arial"/>
          <w:lang w:val="en-US"/>
        </w:rPr>
        <w:t>effect</w:t>
      </w:r>
      <w:r w:rsidR="00197953">
        <w:rPr>
          <w:rFonts w:ascii="Arial" w:hAnsi="Arial" w:cs="Arial"/>
          <w:lang w:val="en-US"/>
        </w:rPr>
        <w:t xml:space="preserve"> any adjustment to the appellant</w:t>
      </w:r>
      <w:r w:rsidR="0012318B">
        <w:rPr>
          <w:rFonts w:ascii="Arial" w:hAnsi="Arial" w:cs="Arial"/>
          <w:lang w:val="en-US"/>
        </w:rPr>
        <w:t>’s</w:t>
      </w:r>
      <w:r w:rsidR="00197953">
        <w:rPr>
          <w:rFonts w:ascii="Arial" w:hAnsi="Arial" w:cs="Arial"/>
          <w:lang w:val="en-US"/>
        </w:rPr>
        <w:t xml:space="preserve"> gross </w:t>
      </w:r>
      <w:r w:rsidR="007F06A3">
        <w:rPr>
          <w:rFonts w:ascii="Arial" w:hAnsi="Arial" w:cs="Arial"/>
          <w:lang w:val="en-US"/>
        </w:rPr>
        <w:t xml:space="preserve">declared </w:t>
      </w:r>
      <w:r w:rsidR="00197953">
        <w:rPr>
          <w:rFonts w:ascii="Arial" w:hAnsi="Arial" w:cs="Arial"/>
          <w:lang w:val="en-US"/>
        </w:rPr>
        <w:t>income of R</w:t>
      </w:r>
      <w:r w:rsidR="007F06A3">
        <w:rPr>
          <w:rFonts w:ascii="Arial" w:hAnsi="Arial" w:cs="Arial"/>
          <w:lang w:val="en-US"/>
        </w:rPr>
        <w:t xml:space="preserve"> </w:t>
      </w:r>
      <w:r w:rsidR="00197953">
        <w:rPr>
          <w:rFonts w:ascii="Arial" w:hAnsi="Arial" w:cs="Arial"/>
          <w:lang w:val="en-US"/>
        </w:rPr>
        <w:t>320 846</w:t>
      </w:r>
      <w:r w:rsidR="00460A37">
        <w:rPr>
          <w:rFonts w:ascii="Arial" w:hAnsi="Arial" w:cs="Arial"/>
          <w:lang w:val="en-US"/>
        </w:rPr>
        <w:t> </w:t>
      </w:r>
      <w:r w:rsidR="00197953">
        <w:rPr>
          <w:rFonts w:ascii="Arial" w:hAnsi="Arial" w:cs="Arial"/>
          <w:lang w:val="en-US"/>
        </w:rPr>
        <w:t>361</w:t>
      </w:r>
      <w:r w:rsidR="00460A37">
        <w:rPr>
          <w:rFonts w:ascii="Arial" w:hAnsi="Arial" w:cs="Arial"/>
          <w:lang w:val="en-US"/>
        </w:rPr>
        <w:t>,00</w:t>
      </w:r>
      <w:r w:rsidR="00197953">
        <w:rPr>
          <w:rFonts w:ascii="Arial" w:hAnsi="Arial" w:cs="Arial"/>
          <w:lang w:val="en-US"/>
        </w:rPr>
        <w:t>.</w:t>
      </w:r>
    </w:p>
    <w:p w14:paraId="63EF427B" w14:textId="77777777" w:rsidR="00CD13A9" w:rsidRDefault="00CD13A9" w:rsidP="00197953">
      <w:pPr>
        <w:spacing w:line="480" w:lineRule="auto"/>
        <w:jc w:val="both"/>
        <w:rPr>
          <w:rFonts w:ascii="Arial" w:hAnsi="Arial" w:cs="Arial"/>
          <w:lang w:val="en-US"/>
        </w:rPr>
      </w:pPr>
    </w:p>
    <w:p w14:paraId="083B9ADF" w14:textId="72E8B8EB" w:rsidR="00CD13A9" w:rsidRDefault="00CD13A9" w:rsidP="00197953">
      <w:pPr>
        <w:spacing w:line="480" w:lineRule="auto"/>
        <w:jc w:val="both"/>
        <w:rPr>
          <w:rFonts w:ascii="Arial" w:hAnsi="Arial" w:cs="Arial"/>
          <w:lang w:val="en-US"/>
        </w:rPr>
      </w:pPr>
      <w:r>
        <w:rPr>
          <w:rFonts w:ascii="Arial" w:hAnsi="Arial" w:cs="Arial"/>
          <w:lang w:val="en-US"/>
        </w:rPr>
        <w:t>[6</w:t>
      </w:r>
      <w:r w:rsidR="007F06A3">
        <w:rPr>
          <w:rFonts w:ascii="Arial" w:hAnsi="Arial" w:cs="Arial"/>
          <w:lang w:val="en-US"/>
        </w:rPr>
        <w:t>0</w:t>
      </w:r>
      <w:r>
        <w:rPr>
          <w:rFonts w:ascii="Arial" w:hAnsi="Arial" w:cs="Arial"/>
          <w:lang w:val="en-US"/>
        </w:rPr>
        <w:t>]</w:t>
      </w:r>
      <w:r>
        <w:rPr>
          <w:rFonts w:ascii="Arial" w:hAnsi="Arial" w:cs="Arial"/>
          <w:lang w:val="en-US"/>
        </w:rPr>
        <w:tab/>
      </w:r>
      <w:r w:rsidR="007D7489">
        <w:rPr>
          <w:rFonts w:ascii="Arial" w:hAnsi="Arial" w:cs="Arial"/>
          <w:lang w:val="en-US"/>
        </w:rPr>
        <w:t xml:space="preserve">Consequently, </w:t>
      </w:r>
      <w:r w:rsidR="00197953">
        <w:rPr>
          <w:rFonts w:ascii="Arial" w:hAnsi="Arial" w:cs="Arial"/>
          <w:lang w:val="en-US"/>
        </w:rPr>
        <w:t xml:space="preserve">SARS </w:t>
      </w:r>
      <w:r w:rsidR="007D7489">
        <w:rPr>
          <w:rFonts w:ascii="Arial" w:hAnsi="Arial" w:cs="Arial"/>
          <w:lang w:val="en-US"/>
        </w:rPr>
        <w:t xml:space="preserve">only </w:t>
      </w:r>
      <w:r w:rsidR="00197953">
        <w:rPr>
          <w:rFonts w:ascii="Arial" w:hAnsi="Arial" w:cs="Arial"/>
          <w:lang w:val="en-US"/>
        </w:rPr>
        <w:t>disallowed the deduction of R</w:t>
      </w:r>
      <w:r w:rsidR="007F06A3">
        <w:rPr>
          <w:rFonts w:ascii="Arial" w:hAnsi="Arial" w:cs="Arial"/>
          <w:lang w:val="en-US"/>
        </w:rPr>
        <w:t xml:space="preserve"> </w:t>
      </w:r>
      <w:r w:rsidR="00197953">
        <w:rPr>
          <w:rFonts w:ascii="Arial" w:hAnsi="Arial" w:cs="Arial"/>
          <w:lang w:val="en-US"/>
        </w:rPr>
        <w:t>11 072</w:t>
      </w:r>
      <w:r w:rsidR="00460A37">
        <w:rPr>
          <w:rFonts w:ascii="Arial" w:hAnsi="Arial" w:cs="Arial"/>
          <w:lang w:val="en-US"/>
        </w:rPr>
        <w:t> </w:t>
      </w:r>
      <w:r w:rsidR="00197953">
        <w:rPr>
          <w:rFonts w:ascii="Arial" w:hAnsi="Arial" w:cs="Arial"/>
          <w:lang w:val="en-US"/>
        </w:rPr>
        <w:t>237</w:t>
      </w:r>
      <w:r w:rsidR="00460A37">
        <w:rPr>
          <w:rFonts w:ascii="Arial" w:hAnsi="Arial" w:cs="Arial"/>
          <w:lang w:val="en-US"/>
        </w:rPr>
        <w:t>,00</w:t>
      </w:r>
      <w:r w:rsidR="00197953">
        <w:rPr>
          <w:rFonts w:ascii="Arial" w:hAnsi="Arial" w:cs="Arial"/>
          <w:lang w:val="en-US"/>
        </w:rPr>
        <w:t xml:space="preserve"> </w:t>
      </w:r>
      <w:r w:rsidR="0012318B">
        <w:rPr>
          <w:rFonts w:ascii="Arial" w:hAnsi="Arial" w:cs="Arial"/>
          <w:lang w:val="en-US"/>
        </w:rPr>
        <w:t>as</w:t>
      </w:r>
      <w:r w:rsidR="00197953">
        <w:rPr>
          <w:rFonts w:ascii="Arial" w:hAnsi="Arial" w:cs="Arial"/>
          <w:lang w:val="en-US"/>
        </w:rPr>
        <w:t xml:space="preserve"> </w:t>
      </w:r>
      <w:r w:rsidR="009B4286">
        <w:rPr>
          <w:rFonts w:ascii="Arial" w:hAnsi="Arial" w:cs="Arial"/>
          <w:lang w:val="en-US"/>
        </w:rPr>
        <w:t xml:space="preserve">referred to </w:t>
      </w:r>
      <w:r w:rsidR="00197953">
        <w:rPr>
          <w:rFonts w:ascii="Arial" w:hAnsi="Arial" w:cs="Arial"/>
          <w:lang w:val="en-US"/>
        </w:rPr>
        <w:t xml:space="preserve">previously. </w:t>
      </w:r>
      <w:r w:rsidR="007F06A3">
        <w:rPr>
          <w:rFonts w:ascii="Arial" w:hAnsi="Arial" w:cs="Arial"/>
          <w:lang w:val="en-US"/>
        </w:rPr>
        <w:t>The appellant</w:t>
      </w:r>
      <w:r w:rsidR="00197953">
        <w:rPr>
          <w:rFonts w:ascii="Arial" w:hAnsi="Arial" w:cs="Arial"/>
          <w:lang w:val="en-US"/>
        </w:rPr>
        <w:t xml:space="preserve"> never objected to </w:t>
      </w:r>
      <w:r w:rsidR="007D7489">
        <w:rPr>
          <w:rFonts w:ascii="Arial" w:hAnsi="Arial" w:cs="Arial"/>
          <w:lang w:val="en-US"/>
        </w:rPr>
        <w:t>th</w:t>
      </w:r>
      <w:r w:rsidR="00197953">
        <w:rPr>
          <w:rFonts w:ascii="Arial" w:hAnsi="Arial" w:cs="Arial"/>
          <w:lang w:val="en-US"/>
        </w:rPr>
        <w:t xml:space="preserve">e gross income </w:t>
      </w:r>
      <w:r w:rsidR="007F06A3">
        <w:rPr>
          <w:rFonts w:ascii="Arial" w:hAnsi="Arial" w:cs="Arial"/>
          <w:lang w:val="en-US"/>
        </w:rPr>
        <w:t xml:space="preserve">part </w:t>
      </w:r>
      <w:r w:rsidR="00197953">
        <w:rPr>
          <w:rFonts w:ascii="Arial" w:hAnsi="Arial" w:cs="Arial"/>
          <w:lang w:val="en-US"/>
        </w:rPr>
        <w:t xml:space="preserve">of the </w:t>
      </w:r>
      <w:r w:rsidR="00276615">
        <w:rPr>
          <w:rFonts w:ascii="Arial" w:hAnsi="Arial" w:cs="Arial"/>
          <w:lang w:val="en-US"/>
        </w:rPr>
        <w:t>assessment,</w:t>
      </w:r>
      <w:r w:rsidR="00197953">
        <w:rPr>
          <w:rFonts w:ascii="Arial" w:hAnsi="Arial" w:cs="Arial"/>
          <w:lang w:val="en-US"/>
        </w:rPr>
        <w:t xml:space="preserve"> and </w:t>
      </w:r>
      <w:r w:rsidR="0012318B">
        <w:rPr>
          <w:rFonts w:ascii="Arial" w:hAnsi="Arial" w:cs="Arial"/>
          <w:lang w:val="en-US"/>
        </w:rPr>
        <w:t xml:space="preserve">it </w:t>
      </w:r>
      <w:r w:rsidR="00197953">
        <w:rPr>
          <w:rFonts w:ascii="Arial" w:hAnsi="Arial" w:cs="Arial"/>
          <w:lang w:val="en-US"/>
        </w:rPr>
        <w:t xml:space="preserve">did not allege that the gross income amount </w:t>
      </w:r>
      <w:r w:rsidR="007D7489">
        <w:rPr>
          <w:rFonts w:ascii="Arial" w:hAnsi="Arial" w:cs="Arial"/>
          <w:lang w:val="en-US"/>
        </w:rPr>
        <w:t xml:space="preserve">had been </w:t>
      </w:r>
      <w:r w:rsidR="009673BC">
        <w:rPr>
          <w:rFonts w:ascii="Arial" w:hAnsi="Arial" w:cs="Arial"/>
          <w:lang w:val="en-US"/>
        </w:rPr>
        <w:t>reflected incorrectly therein</w:t>
      </w:r>
      <w:r w:rsidR="0012318B">
        <w:rPr>
          <w:rFonts w:ascii="Arial" w:hAnsi="Arial" w:cs="Arial"/>
          <w:lang w:val="en-US"/>
        </w:rPr>
        <w:t>,</w:t>
      </w:r>
      <w:r w:rsidR="00197953">
        <w:rPr>
          <w:rFonts w:ascii="Arial" w:hAnsi="Arial" w:cs="Arial"/>
          <w:lang w:val="en-US"/>
        </w:rPr>
        <w:t xml:space="preserve"> </w:t>
      </w:r>
      <w:r w:rsidR="0012318B">
        <w:rPr>
          <w:rFonts w:ascii="Arial" w:hAnsi="Arial" w:cs="Arial"/>
          <w:lang w:val="en-US"/>
        </w:rPr>
        <w:t>e</w:t>
      </w:r>
      <w:r w:rsidR="00197953">
        <w:rPr>
          <w:rFonts w:ascii="Arial" w:hAnsi="Arial" w:cs="Arial"/>
          <w:lang w:val="en-US"/>
        </w:rPr>
        <w:t xml:space="preserve">ven when </w:t>
      </w:r>
      <w:r w:rsidR="007F06A3">
        <w:rPr>
          <w:rFonts w:ascii="Arial" w:hAnsi="Arial" w:cs="Arial"/>
          <w:lang w:val="en-US"/>
        </w:rPr>
        <w:t xml:space="preserve">it lodged </w:t>
      </w:r>
      <w:r w:rsidR="00276615">
        <w:rPr>
          <w:rFonts w:ascii="Arial" w:hAnsi="Arial" w:cs="Arial"/>
          <w:lang w:val="en-US"/>
        </w:rPr>
        <w:t xml:space="preserve">its notice of </w:t>
      </w:r>
      <w:r w:rsidR="00197953">
        <w:rPr>
          <w:rFonts w:ascii="Arial" w:hAnsi="Arial" w:cs="Arial"/>
          <w:lang w:val="en-US"/>
        </w:rPr>
        <w:t>appeal</w:t>
      </w:r>
      <w:r w:rsidR="00276615">
        <w:rPr>
          <w:rFonts w:ascii="Arial" w:hAnsi="Arial" w:cs="Arial"/>
          <w:lang w:val="en-US"/>
        </w:rPr>
        <w:t xml:space="preserve"> in terms of rule 10,</w:t>
      </w:r>
      <w:r w:rsidR="00197953">
        <w:rPr>
          <w:rFonts w:ascii="Arial" w:hAnsi="Arial" w:cs="Arial"/>
          <w:lang w:val="en-US"/>
        </w:rPr>
        <w:t xml:space="preserve"> against the </w:t>
      </w:r>
      <w:r w:rsidR="005D0D89">
        <w:rPr>
          <w:rFonts w:ascii="Arial" w:hAnsi="Arial" w:cs="Arial"/>
          <w:lang w:val="en-US"/>
        </w:rPr>
        <w:t xml:space="preserve">respondent’s </w:t>
      </w:r>
      <w:r w:rsidR="00197953">
        <w:rPr>
          <w:rFonts w:ascii="Arial" w:hAnsi="Arial" w:cs="Arial"/>
          <w:lang w:val="en-US"/>
        </w:rPr>
        <w:t>disallowance of the deduction</w:t>
      </w:r>
      <w:r w:rsidR="0012318B">
        <w:rPr>
          <w:rFonts w:ascii="Arial" w:hAnsi="Arial" w:cs="Arial"/>
          <w:lang w:val="en-US"/>
        </w:rPr>
        <w:t>.</w:t>
      </w:r>
      <w:r w:rsidR="00197953">
        <w:rPr>
          <w:rFonts w:ascii="Arial" w:hAnsi="Arial" w:cs="Arial"/>
          <w:lang w:val="en-US"/>
        </w:rPr>
        <w:t xml:space="preserve"> </w:t>
      </w:r>
    </w:p>
    <w:p w14:paraId="2F4B6EAC" w14:textId="77777777" w:rsidR="00CD13A9" w:rsidRDefault="00CD13A9" w:rsidP="00197953">
      <w:pPr>
        <w:spacing w:line="480" w:lineRule="auto"/>
        <w:jc w:val="both"/>
        <w:rPr>
          <w:rFonts w:ascii="Arial" w:hAnsi="Arial" w:cs="Arial"/>
          <w:lang w:val="en-US"/>
        </w:rPr>
      </w:pPr>
    </w:p>
    <w:p w14:paraId="3AFDC2A5" w14:textId="4B57C319" w:rsidR="00197953" w:rsidRDefault="00CD13A9" w:rsidP="00197953">
      <w:pPr>
        <w:spacing w:line="480" w:lineRule="auto"/>
        <w:jc w:val="both"/>
        <w:rPr>
          <w:rFonts w:ascii="Arial" w:hAnsi="Arial" w:cs="Arial"/>
          <w:lang w:val="en-US"/>
        </w:rPr>
      </w:pPr>
      <w:r>
        <w:rPr>
          <w:rFonts w:ascii="Arial" w:hAnsi="Arial" w:cs="Arial"/>
          <w:lang w:val="en-US"/>
        </w:rPr>
        <w:t>[</w:t>
      </w:r>
      <w:r w:rsidR="00B16F6F">
        <w:rPr>
          <w:rFonts w:ascii="Arial" w:hAnsi="Arial" w:cs="Arial"/>
          <w:lang w:val="en-US"/>
        </w:rPr>
        <w:t>61</w:t>
      </w:r>
      <w:r>
        <w:rPr>
          <w:rFonts w:ascii="Arial" w:hAnsi="Arial" w:cs="Arial"/>
          <w:lang w:val="en-US"/>
        </w:rPr>
        <w:t>]</w:t>
      </w:r>
      <w:r>
        <w:rPr>
          <w:rFonts w:ascii="Arial" w:hAnsi="Arial" w:cs="Arial"/>
          <w:lang w:val="en-US"/>
        </w:rPr>
        <w:tab/>
      </w:r>
      <w:r w:rsidR="00197953">
        <w:rPr>
          <w:rFonts w:ascii="Arial" w:hAnsi="Arial" w:cs="Arial"/>
          <w:lang w:val="en-US"/>
        </w:rPr>
        <w:t xml:space="preserve">It was only when pleadings </w:t>
      </w:r>
      <w:r w:rsidR="00B16F6F">
        <w:rPr>
          <w:rFonts w:ascii="Arial" w:hAnsi="Arial" w:cs="Arial"/>
          <w:lang w:val="en-US"/>
        </w:rPr>
        <w:t>were filed</w:t>
      </w:r>
      <w:r w:rsidR="00197953">
        <w:rPr>
          <w:rFonts w:ascii="Arial" w:hAnsi="Arial" w:cs="Arial"/>
          <w:lang w:val="en-US"/>
        </w:rPr>
        <w:t xml:space="preserve"> in the tax appeal and the appellant delivered </w:t>
      </w:r>
      <w:r w:rsidR="00276615">
        <w:rPr>
          <w:rFonts w:ascii="Arial" w:hAnsi="Arial" w:cs="Arial"/>
          <w:lang w:val="en-US"/>
        </w:rPr>
        <w:t>its</w:t>
      </w:r>
      <w:r w:rsidR="00197953">
        <w:rPr>
          <w:rFonts w:ascii="Arial" w:hAnsi="Arial" w:cs="Arial"/>
          <w:lang w:val="en-US"/>
        </w:rPr>
        <w:t xml:space="preserve"> rule 32 statement </w:t>
      </w:r>
      <w:r w:rsidR="00276615">
        <w:rPr>
          <w:rFonts w:ascii="Arial" w:hAnsi="Arial" w:cs="Arial"/>
          <w:lang w:val="en-US"/>
        </w:rPr>
        <w:t xml:space="preserve">in </w:t>
      </w:r>
      <w:r w:rsidR="009673BC">
        <w:rPr>
          <w:rFonts w:ascii="Arial" w:hAnsi="Arial" w:cs="Arial"/>
          <w:lang w:val="en-US"/>
        </w:rPr>
        <w:t xml:space="preserve">respect </w:t>
      </w:r>
      <w:r w:rsidR="00B16F6F">
        <w:rPr>
          <w:rFonts w:ascii="Arial" w:hAnsi="Arial" w:cs="Arial"/>
          <w:lang w:val="en-US"/>
        </w:rPr>
        <w:t>there</w:t>
      </w:r>
      <w:r w:rsidR="00197953">
        <w:rPr>
          <w:rFonts w:ascii="Arial" w:hAnsi="Arial" w:cs="Arial"/>
          <w:lang w:val="en-US"/>
        </w:rPr>
        <w:t>of</w:t>
      </w:r>
      <w:r w:rsidR="004C7BCC">
        <w:rPr>
          <w:rFonts w:ascii="Arial" w:hAnsi="Arial" w:cs="Arial"/>
          <w:lang w:val="en-US"/>
        </w:rPr>
        <w:t>,</w:t>
      </w:r>
      <w:r w:rsidR="00197953">
        <w:rPr>
          <w:rFonts w:ascii="Arial" w:hAnsi="Arial" w:cs="Arial"/>
          <w:lang w:val="en-US"/>
        </w:rPr>
        <w:t xml:space="preserve"> that it </w:t>
      </w:r>
      <w:r w:rsidR="00B16F6F">
        <w:rPr>
          <w:rFonts w:ascii="Arial" w:hAnsi="Arial" w:cs="Arial"/>
          <w:lang w:val="en-US"/>
        </w:rPr>
        <w:t xml:space="preserve">sought to </w:t>
      </w:r>
      <w:r w:rsidR="00197953">
        <w:rPr>
          <w:rFonts w:ascii="Arial" w:hAnsi="Arial" w:cs="Arial"/>
          <w:lang w:val="en-US"/>
        </w:rPr>
        <w:t xml:space="preserve">introduce a new ground of appeal </w:t>
      </w:r>
      <w:r w:rsidR="009673BC">
        <w:rPr>
          <w:rFonts w:ascii="Arial" w:hAnsi="Arial" w:cs="Arial"/>
          <w:lang w:val="en-US"/>
        </w:rPr>
        <w:t xml:space="preserve">in which it </w:t>
      </w:r>
      <w:r w:rsidR="00197953">
        <w:rPr>
          <w:rFonts w:ascii="Arial" w:hAnsi="Arial" w:cs="Arial"/>
          <w:lang w:val="en-US"/>
        </w:rPr>
        <w:t>alleg</w:t>
      </w:r>
      <w:r w:rsidR="009673BC">
        <w:rPr>
          <w:rFonts w:ascii="Arial" w:hAnsi="Arial" w:cs="Arial"/>
          <w:lang w:val="en-US"/>
        </w:rPr>
        <w:t>ed</w:t>
      </w:r>
      <w:r w:rsidR="00197953">
        <w:rPr>
          <w:rFonts w:ascii="Arial" w:hAnsi="Arial" w:cs="Arial"/>
          <w:lang w:val="en-US"/>
        </w:rPr>
        <w:t xml:space="preserve"> that the gross income d</w:t>
      </w:r>
      <w:r w:rsidR="00B16F6F">
        <w:rPr>
          <w:rFonts w:ascii="Arial" w:hAnsi="Arial" w:cs="Arial"/>
          <w:lang w:val="en-US"/>
        </w:rPr>
        <w:t>eclared</w:t>
      </w:r>
      <w:r w:rsidR="00197953">
        <w:rPr>
          <w:rFonts w:ascii="Arial" w:hAnsi="Arial" w:cs="Arial"/>
          <w:lang w:val="en-US"/>
        </w:rPr>
        <w:t xml:space="preserve"> in the disputed assessment </w:t>
      </w:r>
      <w:r w:rsidR="00B16F6F">
        <w:rPr>
          <w:rFonts w:ascii="Arial" w:hAnsi="Arial" w:cs="Arial"/>
          <w:lang w:val="en-US"/>
        </w:rPr>
        <w:t>wa</w:t>
      </w:r>
      <w:r w:rsidR="00197953">
        <w:rPr>
          <w:rFonts w:ascii="Arial" w:hAnsi="Arial" w:cs="Arial"/>
          <w:lang w:val="en-US"/>
        </w:rPr>
        <w:t>s incorrect</w:t>
      </w:r>
      <w:r w:rsidR="002631DA">
        <w:rPr>
          <w:rFonts w:ascii="Arial" w:hAnsi="Arial" w:cs="Arial"/>
          <w:lang w:val="en-US"/>
        </w:rPr>
        <w:t xml:space="preserve"> and</w:t>
      </w:r>
      <w:r w:rsidR="00197953">
        <w:rPr>
          <w:rFonts w:ascii="Arial" w:hAnsi="Arial" w:cs="Arial"/>
          <w:lang w:val="en-US"/>
        </w:rPr>
        <w:t xml:space="preserve"> should be reduced on appeal by R</w:t>
      </w:r>
      <w:r w:rsidR="00B16F6F">
        <w:rPr>
          <w:rFonts w:ascii="Arial" w:hAnsi="Arial" w:cs="Arial"/>
          <w:lang w:val="en-US"/>
        </w:rPr>
        <w:t xml:space="preserve"> </w:t>
      </w:r>
      <w:r w:rsidR="00197953">
        <w:rPr>
          <w:rFonts w:ascii="Arial" w:hAnsi="Arial" w:cs="Arial"/>
          <w:lang w:val="en-US"/>
        </w:rPr>
        <w:t>11 072</w:t>
      </w:r>
      <w:r w:rsidR="00460A37">
        <w:rPr>
          <w:rFonts w:ascii="Arial" w:hAnsi="Arial" w:cs="Arial"/>
          <w:lang w:val="en-US"/>
        </w:rPr>
        <w:t> </w:t>
      </w:r>
      <w:r w:rsidR="00197953">
        <w:rPr>
          <w:rFonts w:ascii="Arial" w:hAnsi="Arial" w:cs="Arial"/>
          <w:lang w:val="en-US"/>
        </w:rPr>
        <w:t>237</w:t>
      </w:r>
      <w:r w:rsidR="00460A37">
        <w:rPr>
          <w:rFonts w:ascii="Arial" w:hAnsi="Arial" w:cs="Arial"/>
          <w:lang w:val="en-US"/>
        </w:rPr>
        <w:t>,00</w:t>
      </w:r>
      <w:r w:rsidR="00197953">
        <w:rPr>
          <w:rFonts w:ascii="Arial" w:hAnsi="Arial" w:cs="Arial"/>
          <w:lang w:val="en-US"/>
        </w:rPr>
        <w:t>.</w:t>
      </w:r>
      <w:r w:rsidR="00660A57">
        <w:rPr>
          <w:rFonts w:ascii="Arial" w:hAnsi="Arial" w:cs="Arial"/>
          <w:lang w:val="en-US"/>
        </w:rPr>
        <w:t xml:space="preserve">  </w:t>
      </w:r>
    </w:p>
    <w:p w14:paraId="59A6BE65" w14:textId="77777777" w:rsidR="00660A57" w:rsidRDefault="00660A57" w:rsidP="00197953">
      <w:pPr>
        <w:spacing w:line="480" w:lineRule="auto"/>
        <w:jc w:val="both"/>
        <w:rPr>
          <w:rFonts w:ascii="Arial" w:hAnsi="Arial" w:cs="Arial"/>
          <w:lang w:val="en-US"/>
        </w:rPr>
      </w:pPr>
    </w:p>
    <w:p w14:paraId="70E15CEF" w14:textId="0A947F73" w:rsidR="00197953" w:rsidRPr="003C3E36" w:rsidRDefault="00660A57" w:rsidP="00197953">
      <w:pPr>
        <w:spacing w:line="480" w:lineRule="auto"/>
        <w:jc w:val="both"/>
        <w:rPr>
          <w:rFonts w:ascii="Arial" w:hAnsi="Arial" w:cs="Arial"/>
          <w:lang w:val="en-US"/>
        </w:rPr>
      </w:pPr>
      <w:r>
        <w:rPr>
          <w:rFonts w:ascii="Arial" w:hAnsi="Arial" w:cs="Arial"/>
          <w:lang w:val="en-US"/>
        </w:rPr>
        <w:t>[</w:t>
      </w:r>
      <w:r w:rsidR="00B16F6F">
        <w:rPr>
          <w:rFonts w:ascii="Arial" w:hAnsi="Arial" w:cs="Arial"/>
          <w:lang w:val="en-US"/>
        </w:rPr>
        <w:t>62</w:t>
      </w:r>
      <w:r>
        <w:rPr>
          <w:rFonts w:ascii="Arial" w:hAnsi="Arial" w:cs="Arial"/>
          <w:lang w:val="en-US"/>
        </w:rPr>
        <w:t>]</w:t>
      </w:r>
      <w:r>
        <w:rPr>
          <w:rFonts w:ascii="Arial" w:hAnsi="Arial" w:cs="Arial"/>
          <w:lang w:val="en-US"/>
        </w:rPr>
        <w:tab/>
      </w:r>
      <w:r w:rsidR="005D0D89">
        <w:rPr>
          <w:rFonts w:ascii="Arial" w:hAnsi="Arial" w:cs="Arial"/>
          <w:lang w:val="en-US"/>
        </w:rPr>
        <w:t>T</w:t>
      </w:r>
      <w:r w:rsidR="00197953">
        <w:rPr>
          <w:rFonts w:ascii="Arial" w:hAnsi="Arial" w:cs="Arial"/>
          <w:lang w:val="en-US"/>
        </w:rPr>
        <w:t xml:space="preserve">he appellant </w:t>
      </w:r>
      <w:r w:rsidR="00276615">
        <w:rPr>
          <w:rFonts w:ascii="Arial" w:hAnsi="Arial" w:cs="Arial"/>
          <w:lang w:val="en-US"/>
        </w:rPr>
        <w:t>wa</w:t>
      </w:r>
      <w:r w:rsidR="009936F0">
        <w:rPr>
          <w:rFonts w:ascii="Arial" w:hAnsi="Arial" w:cs="Arial"/>
          <w:lang w:val="en-US"/>
        </w:rPr>
        <w:t xml:space="preserve">s </w:t>
      </w:r>
      <w:r w:rsidR="005D0D89">
        <w:rPr>
          <w:rFonts w:ascii="Arial" w:hAnsi="Arial" w:cs="Arial"/>
          <w:lang w:val="en-US"/>
        </w:rPr>
        <w:t xml:space="preserve">therefore </w:t>
      </w:r>
      <w:r w:rsidR="00197953">
        <w:rPr>
          <w:rFonts w:ascii="Arial" w:hAnsi="Arial" w:cs="Arial"/>
          <w:lang w:val="en-US"/>
        </w:rPr>
        <w:t>attempt</w:t>
      </w:r>
      <w:r w:rsidR="009936F0">
        <w:rPr>
          <w:rFonts w:ascii="Arial" w:hAnsi="Arial" w:cs="Arial"/>
          <w:lang w:val="en-US"/>
        </w:rPr>
        <w:t>ing</w:t>
      </w:r>
      <w:r w:rsidR="009B4286">
        <w:rPr>
          <w:rFonts w:ascii="Arial" w:hAnsi="Arial" w:cs="Arial"/>
          <w:lang w:val="en-US"/>
        </w:rPr>
        <w:t xml:space="preserve"> </w:t>
      </w:r>
      <w:r w:rsidR="00197953">
        <w:rPr>
          <w:rFonts w:ascii="Arial" w:hAnsi="Arial" w:cs="Arial"/>
          <w:lang w:val="en-US"/>
        </w:rPr>
        <w:t xml:space="preserve">to retroactively challenge the gross </w:t>
      </w:r>
      <w:r w:rsidR="0002272E">
        <w:rPr>
          <w:rFonts w:ascii="Arial" w:hAnsi="Arial" w:cs="Arial"/>
          <w:lang w:val="en-US"/>
        </w:rPr>
        <w:t xml:space="preserve">income </w:t>
      </w:r>
      <w:r w:rsidR="00197953">
        <w:rPr>
          <w:rFonts w:ascii="Arial" w:hAnsi="Arial" w:cs="Arial"/>
          <w:lang w:val="en-US"/>
        </w:rPr>
        <w:t xml:space="preserve">amount </w:t>
      </w:r>
      <w:r w:rsidR="009936F0">
        <w:rPr>
          <w:rFonts w:ascii="Arial" w:hAnsi="Arial" w:cs="Arial"/>
          <w:lang w:val="en-US"/>
        </w:rPr>
        <w:t>in</w:t>
      </w:r>
      <w:r w:rsidR="00197953">
        <w:rPr>
          <w:rFonts w:ascii="Arial" w:hAnsi="Arial" w:cs="Arial"/>
          <w:lang w:val="en-US"/>
        </w:rPr>
        <w:t xml:space="preserve"> the disputed assessment</w:t>
      </w:r>
      <w:r w:rsidR="005D0D89">
        <w:rPr>
          <w:rFonts w:ascii="Arial" w:hAnsi="Arial" w:cs="Arial"/>
          <w:lang w:val="en-US"/>
        </w:rPr>
        <w:t>, by claiming i</w:t>
      </w:r>
      <w:r w:rsidR="009936F0">
        <w:rPr>
          <w:rFonts w:ascii="Arial" w:hAnsi="Arial" w:cs="Arial"/>
          <w:lang w:val="en-US"/>
        </w:rPr>
        <w:t>n its rule 32</w:t>
      </w:r>
      <w:r w:rsidR="00197953">
        <w:rPr>
          <w:rFonts w:ascii="Arial" w:hAnsi="Arial" w:cs="Arial"/>
          <w:lang w:val="en-US"/>
        </w:rPr>
        <w:t xml:space="preserve"> statement that the expenditure of</w:t>
      </w:r>
      <w:r w:rsidR="009936F0">
        <w:rPr>
          <w:rFonts w:ascii="Arial" w:hAnsi="Arial" w:cs="Arial"/>
          <w:lang w:val="en-US"/>
        </w:rPr>
        <w:t xml:space="preserve"> </w:t>
      </w:r>
      <w:r w:rsidR="00197953">
        <w:rPr>
          <w:rFonts w:ascii="Arial" w:hAnsi="Arial" w:cs="Arial"/>
          <w:lang w:val="en-US"/>
        </w:rPr>
        <w:t>R</w:t>
      </w:r>
      <w:r w:rsidR="009936F0">
        <w:rPr>
          <w:rFonts w:ascii="Arial" w:hAnsi="Arial" w:cs="Arial"/>
          <w:lang w:val="en-US"/>
        </w:rPr>
        <w:t xml:space="preserve"> </w:t>
      </w:r>
      <w:r w:rsidR="00197953">
        <w:rPr>
          <w:rFonts w:ascii="Arial" w:hAnsi="Arial" w:cs="Arial"/>
          <w:lang w:val="en-US"/>
        </w:rPr>
        <w:t>11 072</w:t>
      </w:r>
      <w:r w:rsidR="00460A37">
        <w:rPr>
          <w:rFonts w:ascii="Arial" w:hAnsi="Arial" w:cs="Arial"/>
          <w:lang w:val="en-US"/>
        </w:rPr>
        <w:t> </w:t>
      </w:r>
      <w:r w:rsidR="00B7730A">
        <w:rPr>
          <w:rFonts w:ascii="Arial" w:hAnsi="Arial" w:cs="Arial"/>
          <w:lang w:val="en-US"/>
        </w:rPr>
        <w:t>23</w:t>
      </w:r>
      <w:r w:rsidR="00197953">
        <w:rPr>
          <w:rFonts w:ascii="Arial" w:hAnsi="Arial" w:cs="Arial"/>
          <w:lang w:val="en-US"/>
        </w:rPr>
        <w:t>7</w:t>
      </w:r>
      <w:r w:rsidR="00460A37">
        <w:rPr>
          <w:rFonts w:ascii="Arial" w:hAnsi="Arial" w:cs="Arial"/>
          <w:lang w:val="en-US"/>
        </w:rPr>
        <w:t>,00</w:t>
      </w:r>
      <w:r w:rsidR="00197953">
        <w:rPr>
          <w:rFonts w:ascii="Arial" w:hAnsi="Arial" w:cs="Arial"/>
          <w:lang w:val="en-US"/>
        </w:rPr>
        <w:t xml:space="preserve"> </w:t>
      </w:r>
      <w:r w:rsidR="009936F0">
        <w:rPr>
          <w:rFonts w:ascii="Arial" w:hAnsi="Arial" w:cs="Arial"/>
          <w:lang w:val="en-US"/>
        </w:rPr>
        <w:t xml:space="preserve">which </w:t>
      </w:r>
      <w:r w:rsidR="00197953">
        <w:rPr>
          <w:rFonts w:ascii="Arial" w:hAnsi="Arial" w:cs="Arial"/>
          <w:lang w:val="en-US"/>
        </w:rPr>
        <w:t>was paid as a profit distribution to BECP</w:t>
      </w:r>
      <w:r w:rsidR="00276615">
        <w:rPr>
          <w:rFonts w:ascii="Arial" w:hAnsi="Arial" w:cs="Arial"/>
          <w:lang w:val="en-US"/>
        </w:rPr>
        <w:t>,</w:t>
      </w:r>
      <w:r w:rsidR="00197953">
        <w:rPr>
          <w:rFonts w:ascii="Arial" w:hAnsi="Arial" w:cs="Arial"/>
          <w:lang w:val="en-US"/>
        </w:rPr>
        <w:t xml:space="preserve"> </w:t>
      </w:r>
      <w:r w:rsidR="00197953" w:rsidRPr="003C3E36">
        <w:rPr>
          <w:rFonts w:ascii="Arial" w:hAnsi="Arial" w:cs="Arial"/>
          <w:lang w:val="en-US"/>
        </w:rPr>
        <w:t xml:space="preserve">was neither a receipt nor an accrual </w:t>
      </w:r>
      <w:r w:rsidR="00276615">
        <w:rPr>
          <w:rFonts w:ascii="Arial" w:hAnsi="Arial" w:cs="Arial"/>
          <w:lang w:val="en-US"/>
        </w:rPr>
        <w:t>by</w:t>
      </w:r>
      <w:r w:rsidR="005D0D89">
        <w:rPr>
          <w:rFonts w:ascii="Arial" w:hAnsi="Arial" w:cs="Arial"/>
          <w:lang w:val="en-US"/>
        </w:rPr>
        <w:t>,</w:t>
      </w:r>
      <w:r w:rsidR="00276615">
        <w:rPr>
          <w:rFonts w:ascii="Arial" w:hAnsi="Arial" w:cs="Arial"/>
          <w:lang w:val="en-US"/>
        </w:rPr>
        <w:t xml:space="preserve"> or to</w:t>
      </w:r>
      <w:r w:rsidR="005D0D89">
        <w:rPr>
          <w:rFonts w:ascii="Arial" w:hAnsi="Arial" w:cs="Arial"/>
          <w:lang w:val="en-US"/>
        </w:rPr>
        <w:t>,</w:t>
      </w:r>
      <w:r w:rsidR="00197953" w:rsidRPr="003C3E36">
        <w:rPr>
          <w:rFonts w:ascii="Arial" w:hAnsi="Arial" w:cs="Arial"/>
          <w:lang w:val="en-US"/>
        </w:rPr>
        <w:t xml:space="preserve"> </w:t>
      </w:r>
      <w:r w:rsidR="00276615">
        <w:rPr>
          <w:rFonts w:ascii="Arial" w:hAnsi="Arial" w:cs="Arial"/>
          <w:lang w:val="en-US"/>
        </w:rPr>
        <w:t>i</w:t>
      </w:r>
      <w:r w:rsidR="00197953" w:rsidRPr="003C3E36">
        <w:rPr>
          <w:rFonts w:ascii="Arial" w:hAnsi="Arial" w:cs="Arial"/>
          <w:lang w:val="en-US"/>
        </w:rPr>
        <w:t>t.</w:t>
      </w:r>
      <w:r w:rsidR="00AE0553" w:rsidRPr="00AE0553">
        <w:rPr>
          <w:rFonts w:ascii="Arial" w:hAnsi="Arial" w:cs="Arial"/>
          <w:lang w:val="en-US"/>
        </w:rPr>
        <w:t xml:space="preserve"> </w:t>
      </w:r>
      <w:r w:rsidR="00AE0553">
        <w:rPr>
          <w:rFonts w:ascii="Arial" w:hAnsi="Arial" w:cs="Arial"/>
          <w:lang w:val="en-US"/>
        </w:rPr>
        <w:t xml:space="preserve">The new ground was raised against the gross income part of the disputed assessment </w:t>
      </w:r>
      <w:r w:rsidR="0002272E">
        <w:rPr>
          <w:rFonts w:ascii="Arial" w:hAnsi="Arial" w:cs="Arial"/>
          <w:lang w:val="en-US"/>
        </w:rPr>
        <w:t xml:space="preserve">in a manner or form </w:t>
      </w:r>
      <w:r w:rsidR="00AE0553">
        <w:rPr>
          <w:rFonts w:ascii="Arial" w:hAnsi="Arial" w:cs="Arial"/>
          <w:lang w:val="en-US"/>
        </w:rPr>
        <w:t>which was not specifically disputed</w:t>
      </w:r>
      <w:r w:rsidR="0002272E">
        <w:rPr>
          <w:rFonts w:ascii="Arial" w:hAnsi="Arial" w:cs="Arial"/>
          <w:lang w:val="en-US"/>
        </w:rPr>
        <w:t xml:space="preserve"> before</w:t>
      </w:r>
      <w:r w:rsidR="00AE0553">
        <w:rPr>
          <w:rFonts w:ascii="Arial" w:hAnsi="Arial" w:cs="Arial"/>
          <w:lang w:val="en-US"/>
        </w:rPr>
        <w:t>.</w:t>
      </w:r>
    </w:p>
    <w:p w14:paraId="19066A70" w14:textId="77777777" w:rsidR="00660A57" w:rsidRDefault="00660A57" w:rsidP="00197953">
      <w:pPr>
        <w:spacing w:line="480" w:lineRule="auto"/>
        <w:jc w:val="both"/>
        <w:rPr>
          <w:rFonts w:ascii="Arial" w:hAnsi="Arial" w:cs="Arial"/>
          <w:lang w:val="en-US"/>
        </w:rPr>
      </w:pPr>
    </w:p>
    <w:p w14:paraId="213F3EB4" w14:textId="048962DF" w:rsidR="00660A57" w:rsidRDefault="00660A57" w:rsidP="00197953">
      <w:pPr>
        <w:spacing w:line="480" w:lineRule="auto"/>
        <w:jc w:val="both"/>
        <w:rPr>
          <w:rFonts w:ascii="Arial" w:hAnsi="Arial" w:cs="Arial"/>
          <w:lang w:val="en-US"/>
        </w:rPr>
      </w:pPr>
      <w:r>
        <w:rPr>
          <w:rFonts w:ascii="Arial" w:hAnsi="Arial" w:cs="Arial"/>
          <w:lang w:val="en-US"/>
        </w:rPr>
        <w:t>[</w:t>
      </w:r>
      <w:r w:rsidR="009936F0">
        <w:rPr>
          <w:rFonts w:ascii="Arial" w:hAnsi="Arial" w:cs="Arial"/>
          <w:lang w:val="en-US"/>
        </w:rPr>
        <w:t>63</w:t>
      </w:r>
      <w:r>
        <w:rPr>
          <w:rFonts w:ascii="Arial" w:hAnsi="Arial" w:cs="Arial"/>
          <w:lang w:val="en-US"/>
        </w:rPr>
        <w:t>]</w:t>
      </w:r>
      <w:r>
        <w:rPr>
          <w:rFonts w:ascii="Arial" w:hAnsi="Arial" w:cs="Arial"/>
          <w:lang w:val="en-US"/>
        </w:rPr>
        <w:tab/>
      </w:r>
      <w:r w:rsidR="00AE0553">
        <w:rPr>
          <w:rFonts w:ascii="Arial" w:hAnsi="Arial" w:cs="Arial"/>
          <w:lang w:val="en-US"/>
        </w:rPr>
        <w:t xml:space="preserve">The respondent noted </w:t>
      </w:r>
      <w:r w:rsidR="00206A26">
        <w:rPr>
          <w:rFonts w:ascii="Arial" w:hAnsi="Arial" w:cs="Arial"/>
          <w:lang w:val="en-US"/>
        </w:rPr>
        <w:t>the appellant</w:t>
      </w:r>
      <w:r w:rsidR="00197953">
        <w:rPr>
          <w:rFonts w:ascii="Arial" w:hAnsi="Arial" w:cs="Arial"/>
          <w:lang w:val="en-US"/>
        </w:rPr>
        <w:t xml:space="preserve"> </w:t>
      </w:r>
      <w:r w:rsidR="00206A26">
        <w:rPr>
          <w:rFonts w:ascii="Arial" w:hAnsi="Arial" w:cs="Arial"/>
          <w:lang w:val="en-US"/>
        </w:rPr>
        <w:t>claimed</w:t>
      </w:r>
      <w:r w:rsidR="00197953">
        <w:rPr>
          <w:rFonts w:ascii="Arial" w:hAnsi="Arial" w:cs="Arial"/>
          <w:lang w:val="en-US"/>
        </w:rPr>
        <w:t xml:space="preserve"> that</w:t>
      </w:r>
      <w:r w:rsidR="00276615">
        <w:rPr>
          <w:rFonts w:ascii="Arial" w:hAnsi="Arial" w:cs="Arial"/>
          <w:lang w:val="en-US"/>
        </w:rPr>
        <w:t>, as</w:t>
      </w:r>
      <w:r w:rsidR="00197953">
        <w:rPr>
          <w:rFonts w:ascii="Arial" w:hAnsi="Arial" w:cs="Arial"/>
          <w:lang w:val="en-US"/>
        </w:rPr>
        <w:t xml:space="preserve"> it </w:t>
      </w:r>
      <w:r w:rsidR="00206A26">
        <w:rPr>
          <w:rFonts w:ascii="Arial" w:hAnsi="Arial" w:cs="Arial"/>
          <w:lang w:val="en-US"/>
        </w:rPr>
        <w:t xml:space="preserve">had </w:t>
      </w:r>
      <w:r w:rsidR="00197953">
        <w:rPr>
          <w:rFonts w:ascii="Arial" w:hAnsi="Arial" w:cs="Arial"/>
          <w:lang w:val="en-US"/>
        </w:rPr>
        <w:t xml:space="preserve">objected to the </w:t>
      </w:r>
      <w:r w:rsidR="00276615">
        <w:rPr>
          <w:rFonts w:ascii="Arial" w:hAnsi="Arial" w:cs="Arial"/>
          <w:lang w:val="en-US"/>
        </w:rPr>
        <w:t>‘</w:t>
      </w:r>
      <w:r w:rsidR="00197953">
        <w:rPr>
          <w:rFonts w:ascii="Arial" w:hAnsi="Arial" w:cs="Arial"/>
          <w:lang w:val="en-US"/>
        </w:rPr>
        <w:t>whole</w:t>
      </w:r>
      <w:r w:rsidR="00276615">
        <w:rPr>
          <w:rFonts w:ascii="Arial" w:hAnsi="Arial" w:cs="Arial"/>
          <w:lang w:val="en-US"/>
        </w:rPr>
        <w:t>’</w:t>
      </w:r>
      <w:r w:rsidR="00197953">
        <w:rPr>
          <w:rFonts w:ascii="Arial" w:hAnsi="Arial" w:cs="Arial"/>
          <w:lang w:val="en-US"/>
        </w:rPr>
        <w:t xml:space="preserve"> of the disputed assessment</w:t>
      </w:r>
      <w:r w:rsidR="00AE0553">
        <w:rPr>
          <w:rFonts w:ascii="Arial" w:hAnsi="Arial" w:cs="Arial"/>
          <w:lang w:val="en-US"/>
        </w:rPr>
        <w:t>,</w:t>
      </w:r>
      <w:r w:rsidR="00197953">
        <w:rPr>
          <w:rFonts w:ascii="Arial" w:hAnsi="Arial" w:cs="Arial"/>
          <w:lang w:val="en-US"/>
        </w:rPr>
        <w:t xml:space="preserve"> </w:t>
      </w:r>
      <w:r w:rsidR="00276615">
        <w:rPr>
          <w:rFonts w:ascii="Arial" w:hAnsi="Arial" w:cs="Arial"/>
          <w:lang w:val="en-US"/>
        </w:rPr>
        <w:t>there</w:t>
      </w:r>
      <w:r w:rsidR="00197953">
        <w:rPr>
          <w:rFonts w:ascii="Arial" w:hAnsi="Arial" w:cs="Arial"/>
          <w:lang w:val="en-US"/>
        </w:rPr>
        <w:t xml:space="preserve"> accordingly was no </w:t>
      </w:r>
      <w:r w:rsidR="00206A26">
        <w:rPr>
          <w:rFonts w:ascii="Arial" w:hAnsi="Arial" w:cs="Arial"/>
          <w:lang w:val="en-US"/>
        </w:rPr>
        <w:t>‘</w:t>
      </w:r>
      <w:r w:rsidR="00197953">
        <w:rPr>
          <w:rFonts w:ascii="Arial" w:hAnsi="Arial" w:cs="Arial"/>
          <w:lang w:val="en-US"/>
        </w:rPr>
        <w:t>part or amount</w:t>
      </w:r>
      <w:r w:rsidR="00206A26">
        <w:rPr>
          <w:rFonts w:ascii="Arial" w:hAnsi="Arial" w:cs="Arial"/>
          <w:lang w:val="en-US"/>
        </w:rPr>
        <w:t>’</w:t>
      </w:r>
      <w:r w:rsidR="00197953">
        <w:rPr>
          <w:rFonts w:ascii="Arial" w:hAnsi="Arial" w:cs="Arial"/>
          <w:lang w:val="en-US"/>
        </w:rPr>
        <w:t xml:space="preserve"> of </w:t>
      </w:r>
      <w:r w:rsidR="00206A26">
        <w:rPr>
          <w:rFonts w:ascii="Arial" w:hAnsi="Arial" w:cs="Arial"/>
          <w:lang w:val="en-US"/>
        </w:rPr>
        <w:t>it</w:t>
      </w:r>
      <w:r w:rsidR="00197953">
        <w:rPr>
          <w:rFonts w:ascii="Arial" w:hAnsi="Arial" w:cs="Arial"/>
          <w:lang w:val="en-US"/>
        </w:rPr>
        <w:t xml:space="preserve"> </w:t>
      </w:r>
      <w:r w:rsidR="00206A26">
        <w:rPr>
          <w:rFonts w:ascii="Arial" w:hAnsi="Arial" w:cs="Arial"/>
          <w:lang w:val="en-US"/>
        </w:rPr>
        <w:t xml:space="preserve">which was </w:t>
      </w:r>
      <w:r w:rsidR="00197953">
        <w:rPr>
          <w:rFonts w:ascii="Arial" w:hAnsi="Arial" w:cs="Arial"/>
          <w:lang w:val="en-US"/>
        </w:rPr>
        <w:t xml:space="preserve">not </w:t>
      </w:r>
      <w:r w:rsidR="00206A26">
        <w:rPr>
          <w:rFonts w:ascii="Arial" w:hAnsi="Arial" w:cs="Arial"/>
          <w:lang w:val="en-US"/>
        </w:rPr>
        <w:t>o</w:t>
      </w:r>
      <w:r w:rsidR="00197953">
        <w:rPr>
          <w:rFonts w:ascii="Arial" w:hAnsi="Arial" w:cs="Arial"/>
          <w:lang w:val="en-US"/>
        </w:rPr>
        <w:t>bject</w:t>
      </w:r>
      <w:r w:rsidR="00206A26">
        <w:rPr>
          <w:rFonts w:ascii="Arial" w:hAnsi="Arial" w:cs="Arial"/>
          <w:lang w:val="en-US"/>
        </w:rPr>
        <w:t>ed</w:t>
      </w:r>
      <w:r w:rsidR="00197953">
        <w:rPr>
          <w:rFonts w:ascii="Arial" w:hAnsi="Arial" w:cs="Arial"/>
          <w:lang w:val="en-US"/>
        </w:rPr>
        <w:t xml:space="preserve"> to </w:t>
      </w:r>
      <w:r w:rsidR="00206A26">
        <w:rPr>
          <w:rFonts w:ascii="Arial" w:hAnsi="Arial" w:cs="Arial"/>
          <w:lang w:val="en-US"/>
        </w:rPr>
        <w:t xml:space="preserve">under </w:t>
      </w:r>
      <w:r w:rsidR="00197953">
        <w:rPr>
          <w:rFonts w:ascii="Arial" w:hAnsi="Arial" w:cs="Arial"/>
          <w:lang w:val="en-US"/>
        </w:rPr>
        <w:t>rule 7</w:t>
      </w:r>
      <w:r w:rsidR="00206A26">
        <w:rPr>
          <w:rFonts w:ascii="Arial" w:hAnsi="Arial" w:cs="Arial"/>
          <w:lang w:val="en-US"/>
        </w:rPr>
        <w:t>,</w:t>
      </w:r>
      <w:r w:rsidR="00197953">
        <w:rPr>
          <w:rFonts w:ascii="Arial" w:hAnsi="Arial" w:cs="Arial"/>
          <w:lang w:val="en-US"/>
        </w:rPr>
        <w:t xml:space="preserve"> as contemplated in </w:t>
      </w:r>
      <w:r w:rsidR="00206A26">
        <w:rPr>
          <w:rFonts w:ascii="Arial" w:hAnsi="Arial" w:cs="Arial"/>
          <w:lang w:val="en-US"/>
        </w:rPr>
        <w:t>sub</w:t>
      </w:r>
      <w:r w:rsidR="00197953">
        <w:rPr>
          <w:rFonts w:ascii="Arial" w:hAnsi="Arial" w:cs="Arial"/>
          <w:lang w:val="en-US"/>
        </w:rPr>
        <w:t xml:space="preserve">rule 32(3). </w:t>
      </w:r>
    </w:p>
    <w:p w14:paraId="6953C2E8" w14:textId="77777777" w:rsidR="00660A57" w:rsidRDefault="00660A57" w:rsidP="00197953">
      <w:pPr>
        <w:spacing w:line="480" w:lineRule="auto"/>
        <w:jc w:val="both"/>
        <w:rPr>
          <w:rFonts w:ascii="Arial" w:hAnsi="Arial" w:cs="Arial"/>
          <w:lang w:val="en-US"/>
        </w:rPr>
      </w:pPr>
    </w:p>
    <w:p w14:paraId="10B7208F" w14:textId="039C2C74" w:rsidR="00197953" w:rsidRDefault="00660A57" w:rsidP="00197953">
      <w:pPr>
        <w:spacing w:line="480" w:lineRule="auto"/>
        <w:jc w:val="both"/>
        <w:rPr>
          <w:rFonts w:ascii="Arial" w:hAnsi="Arial" w:cs="Arial"/>
          <w:lang w:val="en-US"/>
        </w:rPr>
      </w:pPr>
      <w:r>
        <w:rPr>
          <w:rFonts w:ascii="Arial" w:hAnsi="Arial" w:cs="Arial"/>
          <w:lang w:val="en-US"/>
        </w:rPr>
        <w:t>[6</w:t>
      </w:r>
      <w:r w:rsidR="00206A26">
        <w:rPr>
          <w:rFonts w:ascii="Arial" w:hAnsi="Arial" w:cs="Arial"/>
          <w:lang w:val="en-US"/>
        </w:rPr>
        <w:t>4</w:t>
      </w:r>
      <w:r>
        <w:rPr>
          <w:rFonts w:ascii="Arial" w:hAnsi="Arial" w:cs="Arial"/>
          <w:lang w:val="en-US"/>
        </w:rPr>
        <w:t>]</w:t>
      </w:r>
      <w:r>
        <w:rPr>
          <w:rFonts w:ascii="Arial" w:hAnsi="Arial" w:cs="Arial"/>
          <w:lang w:val="en-US"/>
        </w:rPr>
        <w:tab/>
      </w:r>
      <w:r w:rsidR="00AE0553">
        <w:rPr>
          <w:rFonts w:ascii="Arial" w:hAnsi="Arial" w:cs="Arial"/>
          <w:lang w:val="en-US"/>
        </w:rPr>
        <w:t>However, t</w:t>
      </w:r>
      <w:r w:rsidR="00206A26">
        <w:rPr>
          <w:rFonts w:ascii="Arial" w:hAnsi="Arial" w:cs="Arial"/>
          <w:lang w:val="en-US"/>
        </w:rPr>
        <w:t>he respondent contended that d</w:t>
      </w:r>
      <w:r w:rsidR="00197953">
        <w:rPr>
          <w:rFonts w:ascii="Arial" w:hAnsi="Arial" w:cs="Arial"/>
          <w:lang w:val="en-US"/>
        </w:rPr>
        <w:t>uring argument</w:t>
      </w:r>
      <w:r w:rsidR="00206A26">
        <w:rPr>
          <w:rFonts w:ascii="Arial" w:hAnsi="Arial" w:cs="Arial"/>
          <w:lang w:val="en-US"/>
        </w:rPr>
        <w:t xml:space="preserve"> (both </w:t>
      </w:r>
      <w:r w:rsidR="00197953">
        <w:rPr>
          <w:rFonts w:ascii="Arial" w:hAnsi="Arial" w:cs="Arial"/>
          <w:lang w:val="en-US"/>
        </w:rPr>
        <w:t>a</w:t>
      </w:r>
      <w:r w:rsidR="00206A26">
        <w:rPr>
          <w:rFonts w:ascii="Arial" w:hAnsi="Arial" w:cs="Arial"/>
          <w:lang w:val="en-US"/>
        </w:rPr>
        <w:t xml:space="preserve"> </w:t>
      </w:r>
      <w:r w:rsidR="00206A26" w:rsidRPr="00206A26">
        <w:rPr>
          <w:rFonts w:ascii="Arial" w:hAnsi="Arial" w:cs="Arial"/>
          <w:i/>
          <w:iCs/>
          <w:lang w:val="en-US"/>
        </w:rPr>
        <w:t>quo</w:t>
      </w:r>
      <w:r w:rsidR="00206A26">
        <w:rPr>
          <w:rFonts w:ascii="Arial" w:hAnsi="Arial" w:cs="Arial"/>
          <w:lang w:val="en-US"/>
        </w:rPr>
        <w:t xml:space="preserve"> and at the</w:t>
      </w:r>
      <w:r w:rsidR="00197953">
        <w:rPr>
          <w:rFonts w:ascii="Arial" w:hAnsi="Arial" w:cs="Arial"/>
          <w:lang w:val="en-US"/>
        </w:rPr>
        <w:t xml:space="preserve"> appeal</w:t>
      </w:r>
      <w:r w:rsidR="00206A26">
        <w:rPr>
          <w:rFonts w:ascii="Arial" w:hAnsi="Arial" w:cs="Arial"/>
          <w:lang w:val="en-US"/>
        </w:rPr>
        <w:t>)</w:t>
      </w:r>
      <w:r w:rsidR="00197953">
        <w:rPr>
          <w:rFonts w:ascii="Arial" w:hAnsi="Arial" w:cs="Arial"/>
          <w:lang w:val="en-US"/>
        </w:rPr>
        <w:t xml:space="preserve"> the appellant abandoned this </w:t>
      </w:r>
      <w:r w:rsidR="005D0D89">
        <w:rPr>
          <w:rFonts w:ascii="Arial" w:hAnsi="Arial" w:cs="Arial"/>
          <w:lang w:val="en-US"/>
        </w:rPr>
        <w:t>submission</w:t>
      </w:r>
      <w:r w:rsidR="009673BC">
        <w:rPr>
          <w:rFonts w:ascii="Arial" w:hAnsi="Arial" w:cs="Arial"/>
          <w:lang w:val="en-US"/>
        </w:rPr>
        <w:t>,</w:t>
      </w:r>
      <w:r w:rsidR="00197953">
        <w:rPr>
          <w:rFonts w:ascii="Arial" w:hAnsi="Arial" w:cs="Arial"/>
          <w:lang w:val="en-US"/>
        </w:rPr>
        <w:t xml:space="preserve"> </w:t>
      </w:r>
      <w:r w:rsidR="002631DA">
        <w:rPr>
          <w:rFonts w:ascii="Arial" w:hAnsi="Arial" w:cs="Arial"/>
          <w:lang w:val="en-US"/>
        </w:rPr>
        <w:t>as</w:t>
      </w:r>
      <w:r w:rsidR="00197953">
        <w:rPr>
          <w:rFonts w:ascii="Arial" w:hAnsi="Arial" w:cs="Arial"/>
          <w:lang w:val="en-US"/>
        </w:rPr>
        <w:t xml:space="preserve"> the evidence show</w:t>
      </w:r>
      <w:r w:rsidR="00206A26">
        <w:rPr>
          <w:rFonts w:ascii="Arial" w:hAnsi="Arial" w:cs="Arial"/>
          <w:lang w:val="en-US"/>
        </w:rPr>
        <w:t>ed</w:t>
      </w:r>
      <w:r w:rsidR="00197953">
        <w:rPr>
          <w:rFonts w:ascii="Arial" w:hAnsi="Arial" w:cs="Arial"/>
          <w:lang w:val="en-US"/>
        </w:rPr>
        <w:t xml:space="preserve"> </w:t>
      </w:r>
      <w:r w:rsidR="00A921C8">
        <w:rPr>
          <w:rFonts w:ascii="Arial" w:hAnsi="Arial" w:cs="Arial"/>
          <w:lang w:val="en-US"/>
        </w:rPr>
        <w:t xml:space="preserve">overwhelmingly </w:t>
      </w:r>
      <w:r w:rsidR="00197953">
        <w:rPr>
          <w:rFonts w:ascii="Arial" w:hAnsi="Arial" w:cs="Arial"/>
          <w:lang w:val="en-US"/>
        </w:rPr>
        <w:t xml:space="preserve">that </w:t>
      </w:r>
      <w:r w:rsidR="00A921C8">
        <w:rPr>
          <w:rFonts w:ascii="Arial" w:hAnsi="Arial" w:cs="Arial"/>
          <w:lang w:val="en-US"/>
        </w:rPr>
        <w:t>it</w:t>
      </w:r>
      <w:r w:rsidR="00197953">
        <w:rPr>
          <w:rFonts w:ascii="Arial" w:hAnsi="Arial" w:cs="Arial"/>
          <w:lang w:val="en-US"/>
        </w:rPr>
        <w:t xml:space="preserve"> ha</w:t>
      </w:r>
      <w:r w:rsidR="00A921C8">
        <w:rPr>
          <w:rFonts w:ascii="Arial" w:hAnsi="Arial" w:cs="Arial"/>
          <w:lang w:val="en-US"/>
        </w:rPr>
        <w:t>d</w:t>
      </w:r>
      <w:r w:rsidR="00197953">
        <w:rPr>
          <w:rFonts w:ascii="Arial" w:hAnsi="Arial" w:cs="Arial"/>
          <w:lang w:val="en-US"/>
        </w:rPr>
        <w:t xml:space="preserve"> only objected to the disallowance</w:t>
      </w:r>
      <w:r w:rsidR="00197953" w:rsidRPr="00D87F9C">
        <w:rPr>
          <w:rFonts w:ascii="Arial" w:hAnsi="Arial" w:cs="Arial"/>
          <w:lang w:val="en-US"/>
        </w:rPr>
        <w:t xml:space="preserve"> </w:t>
      </w:r>
      <w:r w:rsidR="00197953">
        <w:rPr>
          <w:rFonts w:ascii="Arial" w:hAnsi="Arial" w:cs="Arial"/>
          <w:lang w:val="en-US"/>
        </w:rPr>
        <w:t>of the disputed amount as a deductible expense</w:t>
      </w:r>
      <w:r w:rsidR="00A921C8">
        <w:rPr>
          <w:rFonts w:ascii="Arial" w:hAnsi="Arial" w:cs="Arial"/>
          <w:lang w:val="en-US"/>
        </w:rPr>
        <w:t>, and certain other aspects of the assessment</w:t>
      </w:r>
      <w:r w:rsidR="00197953">
        <w:rPr>
          <w:rFonts w:ascii="Arial" w:hAnsi="Arial" w:cs="Arial"/>
          <w:lang w:val="en-US"/>
        </w:rPr>
        <w:t xml:space="preserve">. Such a stance would in any event be contrary to </w:t>
      </w:r>
      <w:r w:rsidR="00A921C8">
        <w:rPr>
          <w:rFonts w:ascii="Arial" w:hAnsi="Arial" w:cs="Arial"/>
          <w:lang w:val="en-US"/>
        </w:rPr>
        <w:t>its</w:t>
      </w:r>
      <w:r w:rsidR="00197953">
        <w:rPr>
          <w:rFonts w:ascii="Arial" w:hAnsi="Arial" w:cs="Arial"/>
          <w:lang w:val="en-US"/>
        </w:rPr>
        <w:t xml:space="preserve"> clear intention as </w:t>
      </w:r>
      <w:r w:rsidR="00AE0553">
        <w:rPr>
          <w:rFonts w:ascii="Arial" w:hAnsi="Arial" w:cs="Arial"/>
          <w:lang w:val="en-US"/>
        </w:rPr>
        <w:t>evinced</w:t>
      </w:r>
      <w:r w:rsidR="00197953">
        <w:rPr>
          <w:rFonts w:ascii="Arial" w:hAnsi="Arial" w:cs="Arial"/>
          <w:lang w:val="en-US"/>
        </w:rPr>
        <w:t xml:space="preserve"> in </w:t>
      </w:r>
      <w:r w:rsidR="00A921C8">
        <w:rPr>
          <w:rFonts w:ascii="Arial" w:hAnsi="Arial" w:cs="Arial"/>
          <w:lang w:val="en-US"/>
        </w:rPr>
        <w:t>its</w:t>
      </w:r>
      <w:r w:rsidR="00197953">
        <w:rPr>
          <w:rFonts w:ascii="Arial" w:hAnsi="Arial" w:cs="Arial"/>
          <w:lang w:val="en-US"/>
        </w:rPr>
        <w:t xml:space="preserve"> rule 32 statement, where </w:t>
      </w:r>
      <w:r w:rsidR="00A921C8">
        <w:rPr>
          <w:rFonts w:ascii="Arial" w:hAnsi="Arial" w:cs="Arial"/>
          <w:lang w:val="en-US"/>
        </w:rPr>
        <w:t>it</w:t>
      </w:r>
      <w:r w:rsidR="00197953">
        <w:rPr>
          <w:rFonts w:ascii="Arial" w:hAnsi="Arial" w:cs="Arial"/>
          <w:lang w:val="en-US"/>
        </w:rPr>
        <w:t xml:space="preserve"> </w:t>
      </w:r>
      <w:r w:rsidR="00276615">
        <w:rPr>
          <w:rFonts w:ascii="Arial" w:hAnsi="Arial" w:cs="Arial"/>
          <w:lang w:val="en-US"/>
        </w:rPr>
        <w:t>declared</w:t>
      </w:r>
      <w:r w:rsidR="00197953">
        <w:rPr>
          <w:rFonts w:ascii="Arial" w:hAnsi="Arial" w:cs="Arial"/>
          <w:lang w:val="en-US"/>
        </w:rPr>
        <w:t xml:space="preserve"> that it relie</w:t>
      </w:r>
      <w:r w:rsidR="003C1165">
        <w:rPr>
          <w:rFonts w:ascii="Arial" w:hAnsi="Arial" w:cs="Arial"/>
          <w:lang w:val="en-US"/>
        </w:rPr>
        <w:t>d</w:t>
      </w:r>
      <w:r w:rsidR="00197953">
        <w:rPr>
          <w:rFonts w:ascii="Arial" w:hAnsi="Arial" w:cs="Arial"/>
          <w:lang w:val="en-US"/>
        </w:rPr>
        <w:t xml:space="preserve"> on </w:t>
      </w:r>
      <w:r w:rsidR="003C1165">
        <w:rPr>
          <w:rFonts w:ascii="Arial" w:hAnsi="Arial" w:cs="Arial"/>
          <w:lang w:val="en-US"/>
        </w:rPr>
        <w:t>‘</w:t>
      </w:r>
      <w:r w:rsidR="00197953">
        <w:rPr>
          <w:rFonts w:ascii="Arial" w:hAnsi="Arial" w:cs="Arial"/>
          <w:lang w:val="en-US"/>
        </w:rPr>
        <w:t>a ground of appeal not previously relied upon</w:t>
      </w:r>
      <w:r w:rsidR="002631DA">
        <w:rPr>
          <w:rFonts w:ascii="Arial" w:hAnsi="Arial" w:cs="Arial"/>
          <w:lang w:val="en-US"/>
        </w:rPr>
        <w:t>’</w:t>
      </w:r>
      <w:r w:rsidR="00197953">
        <w:rPr>
          <w:rStyle w:val="FootnoteReference"/>
          <w:rFonts w:ascii="Arial" w:hAnsi="Arial" w:cs="Arial"/>
          <w:lang w:val="en-US"/>
        </w:rPr>
        <w:footnoteReference w:id="16"/>
      </w:r>
      <w:r w:rsidR="00197953">
        <w:rPr>
          <w:rFonts w:ascii="Arial" w:hAnsi="Arial" w:cs="Arial"/>
          <w:lang w:val="en-US"/>
        </w:rPr>
        <w:t xml:space="preserve"> </w:t>
      </w:r>
      <w:r w:rsidR="00AE0553">
        <w:rPr>
          <w:rFonts w:ascii="Arial" w:hAnsi="Arial" w:cs="Arial"/>
          <w:lang w:val="en-US"/>
        </w:rPr>
        <w:t xml:space="preserve">in relation to the disputed </w:t>
      </w:r>
      <w:r w:rsidR="0002272E">
        <w:rPr>
          <w:rFonts w:ascii="Arial" w:hAnsi="Arial" w:cs="Arial"/>
          <w:lang w:val="en-US"/>
        </w:rPr>
        <w:t>amount and</w:t>
      </w:r>
      <w:r w:rsidR="000A6ECB">
        <w:rPr>
          <w:rFonts w:ascii="Arial" w:hAnsi="Arial" w:cs="Arial"/>
          <w:lang w:val="en-US"/>
        </w:rPr>
        <w:t xml:space="preserve"> claimed</w:t>
      </w:r>
      <w:r w:rsidR="00197953">
        <w:rPr>
          <w:rFonts w:ascii="Arial" w:hAnsi="Arial" w:cs="Arial"/>
          <w:lang w:val="en-US"/>
        </w:rPr>
        <w:t xml:space="preserve"> that </w:t>
      </w:r>
      <w:r w:rsidR="000A6ECB">
        <w:rPr>
          <w:rFonts w:ascii="Arial" w:hAnsi="Arial" w:cs="Arial"/>
          <w:lang w:val="en-US"/>
        </w:rPr>
        <w:t>it was</w:t>
      </w:r>
      <w:r w:rsidR="00197953">
        <w:rPr>
          <w:rFonts w:ascii="Arial" w:hAnsi="Arial" w:cs="Arial"/>
          <w:lang w:val="en-US"/>
        </w:rPr>
        <w:t xml:space="preserve"> entitled to </w:t>
      </w:r>
      <w:r w:rsidR="00AA0547">
        <w:rPr>
          <w:rFonts w:ascii="Arial" w:hAnsi="Arial" w:cs="Arial"/>
          <w:lang w:val="en-US"/>
        </w:rPr>
        <w:t xml:space="preserve">do so </w:t>
      </w:r>
      <w:r w:rsidR="00197953">
        <w:rPr>
          <w:rFonts w:ascii="Arial" w:hAnsi="Arial" w:cs="Arial"/>
          <w:lang w:val="en-US"/>
        </w:rPr>
        <w:t>in terms of rule 32(3)</w:t>
      </w:r>
      <w:r w:rsidR="004F2AE9">
        <w:rPr>
          <w:rFonts w:ascii="Arial" w:hAnsi="Arial" w:cs="Arial"/>
          <w:lang w:val="en-US"/>
        </w:rPr>
        <w:t>.</w:t>
      </w:r>
      <w:r w:rsidR="00197953">
        <w:rPr>
          <w:rStyle w:val="FootnoteReference"/>
          <w:rFonts w:ascii="Arial" w:hAnsi="Arial" w:cs="Arial"/>
          <w:lang w:val="en-US"/>
        </w:rPr>
        <w:footnoteReference w:id="17"/>
      </w:r>
      <w:r w:rsidR="007F2AEC">
        <w:rPr>
          <w:rFonts w:ascii="Arial" w:hAnsi="Arial" w:cs="Arial"/>
          <w:lang w:val="en-US"/>
        </w:rPr>
        <w:t xml:space="preserve">  </w:t>
      </w:r>
    </w:p>
    <w:p w14:paraId="387853CA" w14:textId="77777777" w:rsidR="00197953" w:rsidRDefault="00197953" w:rsidP="00197953">
      <w:pPr>
        <w:spacing w:line="480" w:lineRule="auto"/>
        <w:jc w:val="both"/>
        <w:rPr>
          <w:rFonts w:ascii="Arial" w:hAnsi="Arial" w:cs="Arial"/>
          <w:lang w:val="en-US"/>
        </w:rPr>
      </w:pPr>
      <w:r>
        <w:rPr>
          <w:rFonts w:ascii="Arial" w:hAnsi="Arial" w:cs="Arial"/>
          <w:lang w:val="en-US"/>
        </w:rPr>
        <w:t xml:space="preserve"> </w:t>
      </w:r>
    </w:p>
    <w:p w14:paraId="33531853" w14:textId="3D3BC7B1" w:rsidR="005816DF" w:rsidRDefault="00197953" w:rsidP="00197953">
      <w:pPr>
        <w:spacing w:line="480" w:lineRule="auto"/>
        <w:jc w:val="both"/>
        <w:rPr>
          <w:rFonts w:ascii="Arial" w:hAnsi="Arial" w:cs="Arial"/>
          <w:lang w:val="en-US"/>
        </w:rPr>
      </w:pPr>
      <w:r w:rsidRPr="007F2AEC">
        <w:rPr>
          <w:rFonts w:ascii="Arial" w:hAnsi="Arial" w:cs="Arial"/>
          <w:u w:val="single"/>
          <w:lang w:val="en-US"/>
        </w:rPr>
        <w:t>Evaluation:</w:t>
      </w:r>
      <w:r w:rsidRPr="007F2AEC">
        <w:rPr>
          <w:rFonts w:ascii="Arial" w:hAnsi="Arial" w:cs="Arial"/>
          <w:u w:val="single"/>
          <w:lang w:val="en-US"/>
        </w:rPr>
        <w:br/>
      </w:r>
      <w:r w:rsidR="007F2AEC">
        <w:rPr>
          <w:rFonts w:ascii="Arial" w:hAnsi="Arial" w:cs="Arial"/>
          <w:lang w:val="en-US"/>
        </w:rPr>
        <w:t>[6</w:t>
      </w:r>
      <w:r w:rsidR="00B63866">
        <w:rPr>
          <w:rFonts w:ascii="Arial" w:hAnsi="Arial" w:cs="Arial"/>
          <w:lang w:val="en-US"/>
        </w:rPr>
        <w:t>5</w:t>
      </w:r>
      <w:r w:rsidR="007F2AEC">
        <w:rPr>
          <w:rFonts w:ascii="Arial" w:hAnsi="Arial" w:cs="Arial"/>
          <w:lang w:val="en-US"/>
        </w:rPr>
        <w:t>]</w:t>
      </w:r>
      <w:r w:rsidR="007F2AEC">
        <w:rPr>
          <w:rFonts w:ascii="Arial" w:hAnsi="Arial" w:cs="Arial"/>
          <w:lang w:val="en-US"/>
        </w:rPr>
        <w:tab/>
      </w:r>
      <w:r>
        <w:rPr>
          <w:rFonts w:ascii="Arial" w:hAnsi="Arial" w:cs="Arial"/>
          <w:lang w:val="en-US"/>
        </w:rPr>
        <w:t>Th</w:t>
      </w:r>
      <w:r w:rsidR="00704003">
        <w:rPr>
          <w:rFonts w:ascii="Arial" w:hAnsi="Arial" w:cs="Arial"/>
          <w:lang w:val="en-US"/>
        </w:rPr>
        <w:t xml:space="preserve">e </w:t>
      </w:r>
      <w:r w:rsidR="00B63866">
        <w:rPr>
          <w:rFonts w:ascii="Arial" w:hAnsi="Arial" w:cs="Arial"/>
          <w:lang w:val="en-US"/>
        </w:rPr>
        <w:t xml:space="preserve">central </w:t>
      </w:r>
      <w:r>
        <w:rPr>
          <w:rFonts w:ascii="Arial" w:hAnsi="Arial" w:cs="Arial"/>
          <w:lang w:val="en-US"/>
        </w:rPr>
        <w:t>issue in this appeal</w:t>
      </w:r>
      <w:r w:rsidR="00EB51A8">
        <w:rPr>
          <w:rFonts w:ascii="Arial" w:hAnsi="Arial" w:cs="Arial"/>
          <w:lang w:val="en-US"/>
        </w:rPr>
        <w:t>,</w:t>
      </w:r>
      <w:r>
        <w:rPr>
          <w:rFonts w:ascii="Arial" w:hAnsi="Arial" w:cs="Arial"/>
          <w:lang w:val="en-US"/>
        </w:rPr>
        <w:t xml:space="preserve"> as in the </w:t>
      </w:r>
      <w:r w:rsidR="0000075E">
        <w:rPr>
          <w:rFonts w:ascii="Arial" w:hAnsi="Arial" w:cs="Arial"/>
          <w:lang w:val="en-US"/>
        </w:rPr>
        <w:t xml:space="preserve">tax </w:t>
      </w:r>
      <w:r>
        <w:rPr>
          <w:rFonts w:ascii="Arial" w:hAnsi="Arial" w:cs="Arial"/>
          <w:lang w:val="en-US"/>
        </w:rPr>
        <w:t>court</w:t>
      </w:r>
      <w:r w:rsidR="00F670B3">
        <w:rPr>
          <w:rFonts w:ascii="Arial" w:hAnsi="Arial" w:cs="Arial"/>
          <w:lang w:val="en-US"/>
        </w:rPr>
        <w:t>,</w:t>
      </w:r>
      <w:r>
        <w:rPr>
          <w:rFonts w:ascii="Arial" w:hAnsi="Arial" w:cs="Arial"/>
          <w:lang w:val="en-US"/>
        </w:rPr>
        <w:t xml:space="preserve"> </w:t>
      </w:r>
      <w:r w:rsidR="00B6016A">
        <w:rPr>
          <w:rFonts w:ascii="Arial" w:hAnsi="Arial" w:cs="Arial"/>
          <w:lang w:val="en-US"/>
        </w:rPr>
        <w:t>concerns</w:t>
      </w:r>
      <w:r>
        <w:rPr>
          <w:rFonts w:ascii="Arial" w:hAnsi="Arial" w:cs="Arial"/>
          <w:lang w:val="en-US"/>
        </w:rPr>
        <w:t xml:space="preserve"> the proper interpretation of rule 32(3)</w:t>
      </w:r>
      <w:r w:rsidR="000A6ECB">
        <w:rPr>
          <w:rFonts w:ascii="Arial" w:hAnsi="Arial" w:cs="Arial"/>
          <w:lang w:val="en-US"/>
        </w:rPr>
        <w:t>,</w:t>
      </w:r>
      <w:r>
        <w:rPr>
          <w:rFonts w:ascii="Arial" w:hAnsi="Arial" w:cs="Arial"/>
          <w:lang w:val="en-US"/>
        </w:rPr>
        <w:t xml:space="preserve"> as amended</w:t>
      </w:r>
      <w:r w:rsidR="000A6ECB">
        <w:rPr>
          <w:rFonts w:ascii="Arial" w:hAnsi="Arial" w:cs="Arial"/>
          <w:lang w:val="en-US"/>
        </w:rPr>
        <w:t>,</w:t>
      </w:r>
      <w:r>
        <w:rPr>
          <w:rFonts w:ascii="Arial" w:hAnsi="Arial" w:cs="Arial"/>
          <w:lang w:val="en-US"/>
        </w:rPr>
        <w:t xml:space="preserve"> and the circumstances under which a taxpayer </w:t>
      </w:r>
      <w:r w:rsidR="00B6016A">
        <w:rPr>
          <w:rFonts w:ascii="Arial" w:hAnsi="Arial" w:cs="Arial"/>
          <w:lang w:val="en-US"/>
        </w:rPr>
        <w:t xml:space="preserve">may raise a new ground of appeal </w:t>
      </w:r>
      <w:r>
        <w:rPr>
          <w:rFonts w:ascii="Arial" w:hAnsi="Arial" w:cs="Arial"/>
          <w:lang w:val="en-US"/>
        </w:rPr>
        <w:t>in terms of th</w:t>
      </w:r>
      <w:r w:rsidR="000A6ECB">
        <w:rPr>
          <w:rFonts w:ascii="Arial" w:hAnsi="Arial" w:cs="Arial"/>
          <w:lang w:val="en-US"/>
        </w:rPr>
        <w:t>e</w:t>
      </w:r>
      <w:r>
        <w:rPr>
          <w:rFonts w:ascii="Arial" w:hAnsi="Arial" w:cs="Arial"/>
          <w:lang w:val="en-US"/>
        </w:rPr>
        <w:t xml:space="preserve"> </w:t>
      </w:r>
      <w:r w:rsidR="00B6016A">
        <w:rPr>
          <w:rFonts w:ascii="Arial" w:hAnsi="Arial" w:cs="Arial"/>
          <w:lang w:val="en-US"/>
        </w:rPr>
        <w:t>sub</w:t>
      </w:r>
      <w:r>
        <w:rPr>
          <w:rFonts w:ascii="Arial" w:hAnsi="Arial" w:cs="Arial"/>
          <w:lang w:val="en-US"/>
        </w:rPr>
        <w:t xml:space="preserve">rule. </w:t>
      </w:r>
      <w:r w:rsidR="00B6016A">
        <w:rPr>
          <w:rFonts w:ascii="Arial" w:hAnsi="Arial" w:cs="Arial"/>
          <w:lang w:val="en-US"/>
        </w:rPr>
        <w:t>As a starting point t</w:t>
      </w:r>
      <w:r>
        <w:rPr>
          <w:rFonts w:ascii="Arial" w:hAnsi="Arial" w:cs="Arial"/>
          <w:lang w:val="en-US"/>
        </w:rPr>
        <w:t xml:space="preserve">he language of </w:t>
      </w:r>
      <w:r w:rsidR="00B6016A">
        <w:rPr>
          <w:rFonts w:ascii="Arial" w:hAnsi="Arial" w:cs="Arial"/>
          <w:lang w:val="en-US"/>
        </w:rPr>
        <w:t>the sub</w:t>
      </w:r>
      <w:r>
        <w:rPr>
          <w:rFonts w:ascii="Arial" w:hAnsi="Arial" w:cs="Arial"/>
          <w:lang w:val="en-US"/>
        </w:rPr>
        <w:t xml:space="preserve">rule </w:t>
      </w:r>
      <w:r w:rsidR="00B6016A">
        <w:rPr>
          <w:rFonts w:ascii="Arial" w:hAnsi="Arial" w:cs="Arial"/>
          <w:lang w:val="en-US"/>
        </w:rPr>
        <w:t>appears</w:t>
      </w:r>
      <w:r>
        <w:rPr>
          <w:rFonts w:ascii="Arial" w:hAnsi="Arial" w:cs="Arial"/>
          <w:lang w:val="en-US"/>
        </w:rPr>
        <w:t xml:space="preserve"> to limit </w:t>
      </w:r>
      <w:r w:rsidR="00B6016A">
        <w:rPr>
          <w:rFonts w:ascii="Arial" w:hAnsi="Arial" w:cs="Arial"/>
          <w:lang w:val="en-US"/>
        </w:rPr>
        <w:t>its</w:t>
      </w:r>
      <w:r>
        <w:rPr>
          <w:rFonts w:ascii="Arial" w:hAnsi="Arial" w:cs="Arial"/>
          <w:lang w:val="en-US"/>
        </w:rPr>
        <w:t xml:space="preserve"> reach</w:t>
      </w:r>
      <w:r w:rsidR="00B6016A">
        <w:rPr>
          <w:rFonts w:ascii="Arial" w:hAnsi="Arial" w:cs="Arial"/>
          <w:lang w:val="en-US"/>
        </w:rPr>
        <w:t>,</w:t>
      </w:r>
      <w:r>
        <w:rPr>
          <w:rFonts w:ascii="Arial" w:hAnsi="Arial" w:cs="Arial"/>
          <w:lang w:val="en-US"/>
        </w:rPr>
        <w:t xml:space="preserve"> in line with </w:t>
      </w:r>
      <w:r w:rsidR="00B6016A">
        <w:rPr>
          <w:rFonts w:ascii="Arial" w:hAnsi="Arial" w:cs="Arial"/>
          <w:lang w:val="en-US"/>
        </w:rPr>
        <w:t xml:space="preserve">the principles applicable </w:t>
      </w:r>
      <w:r>
        <w:rPr>
          <w:rFonts w:ascii="Arial" w:hAnsi="Arial" w:cs="Arial"/>
          <w:lang w:val="en-US"/>
        </w:rPr>
        <w:t>general</w:t>
      </w:r>
      <w:r w:rsidR="00B6016A">
        <w:rPr>
          <w:rFonts w:ascii="Arial" w:hAnsi="Arial" w:cs="Arial"/>
          <w:lang w:val="en-US"/>
        </w:rPr>
        <w:t>ly</w:t>
      </w:r>
      <w:r w:rsidR="0000075E">
        <w:rPr>
          <w:rFonts w:ascii="Arial" w:hAnsi="Arial" w:cs="Arial"/>
          <w:lang w:val="en-US"/>
        </w:rPr>
        <w:t xml:space="preserve"> in</w:t>
      </w:r>
      <w:r>
        <w:rPr>
          <w:rFonts w:ascii="Arial" w:hAnsi="Arial" w:cs="Arial"/>
          <w:lang w:val="en-US"/>
        </w:rPr>
        <w:t xml:space="preserve"> regard to pleadings.</w:t>
      </w:r>
      <w:r w:rsidR="007F2AEC">
        <w:rPr>
          <w:rFonts w:ascii="Arial" w:hAnsi="Arial" w:cs="Arial"/>
          <w:lang w:val="en-US"/>
        </w:rPr>
        <w:t xml:space="preserve"> </w:t>
      </w:r>
      <w:r>
        <w:rPr>
          <w:rFonts w:ascii="Arial" w:hAnsi="Arial" w:cs="Arial"/>
          <w:lang w:val="en-US"/>
        </w:rPr>
        <w:t>It is well established</w:t>
      </w:r>
      <w:r w:rsidR="00C27057">
        <w:rPr>
          <w:rFonts w:ascii="Arial" w:hAnsi="Arial" w:cs="Arial"/>
          <w:lang w:val="en-US"/>
        </w:rPr>
        <w:t>,</w:t>
      </w:r>
      <w:r>
        <w:rPr>
          <w:rFonts w:ascii="Arial" w:hAnsi="Arial" w:cs="Arial"/>
          <w:lang w:val="en-US"/>
        </w:rPr>
        <w:t xml:space="preserve"> as set out in </w:t>
      </w:r>
      <w:r w:rsidRPr="007F2AEC">
        <w:rPr>
          <w:rFonts w:ascii="Arial" w:hAnsi="Arial" w:cs="Arial"/>
          <w:i/>
          <w:iCs/>
          <w:lang w:val="en-US"/>
        </w:rPr>
        <w:t>Endumeni</w:t>
      </w:r>
      <w:r w:rsidR="00C27057">
        <w:rPr>
          <w:rFonts w:ascii="Arial" w:hAnsi="Arial" w:cs="Arial"/>
          <w:i/>
          <w:iCs/>
          <w:lang w:val="en-US"/>
        </w:rPr>
        <w:t>,</w:t>
      </w:r>
      <w:r>
        <w:rPr>
          <w:rFonts w:ascii="Arial" w:hAnsi="Arial" w:cs="Arial"/>
          <w:lang w:val="en-US"/>
        </w:rPr>
        <w:t xml:space="preserve"> that</w:t>
      </w:r>
      <w:r w:rsidR="001F1689">
        <w:rPr>
          <w:rFonts w:ascii="Arial" w:hAnsi="Arial" w:cs="Arial"/>
          <w:lang w:val="en-US"/>
        </w:rPr>
        <w:t>:</w:t>
      </w:r>
    </w:p>
    <w:p w14:paraId="6C43437B" w14:textId="198B4771" w:rsidR="005816DF" w:rsidRDefault="00C27057" w:rsidP="000A6ECB">
      <w:pPr>
        <w:jc w:val="both"/>
        <w:rPr>
          <w:rFonts w:ascii="Arial" w:hAnsi="Arial" w:cs="Arial"/>
          <w:lang w:val="en-US"/>
        </w:rPr>
      </w:pPr>
      <w:r w:rsidRPr="005816DF">
        <w:rPr>
          <w:rFonts w:ascii="Arial" w:hAnsi="Arial" w:cs="Arial"/>
          <w:sz w:val="20"/>
          <w:szCs w:val="20"/>
          <w:lang w:val="en-US"/>
        </w:rPr>
        <w:t>‘</w:t>
      </w:r>
      <w:r w:rsidR="005816DF" w:rsidRPr="005816DF">
        <w:rPr>
          <w:rFonts w:ascii="Arial" w:hAnsi="Arial" w:cs="Arial"/>
          <w:sz w:val="20"/>
          <w:szCs w:val="20"/>
          <w:lang w:val="en-US"/>
        </w:rPr>
        <w:t>I</w:t>
      </w:r>
      <w:r w:rsidR="00197953" w:rsidRPr="005816DF">
        <w:rPr>
          <w:rFonts w:ascii="Arial" w:hAnsi="Arial" w:cs="Arial"/>
          <w:sz w:val="20"/>
          <w:szCs w:val="20"/>
          <w:lang w:val="en-US"/>
        </w:rPr>
        <w:t xml:space="preserve">nterpretation </w:t>
      </w:r>
      <w:r w:rsidR="005118A8" w:rsidRPr="005816DF">
        <w:rPr>
          <w:rFonts w:ascii="Arial" w:hAnsi="Arial" w:cs="Arial"/>
          <w:sz w:val="20"/>
          <w:szCs w:val="20"/>
          <w:lang w:val="en-US"/>
        </w:rPr>
        <w:t>i</w:t>
      </w:r>
      <w:r w:rsidRPr="005816DF">
        <w:rPr>
          <w:rFonts w:ascii="Arial" w:hAnsi="Arial" w:cs="Arial"/>
          <w:sz w:val="20"/>
          <w:szCs w:val="20"/>
          <w:lang w:val="en-US"/>
        </w:rPr>
        <w:t>s</w:t>
      </w:r>
      <w:r w:rsidR="005118A8" w:rsidRPr="005816DF">
        <w:rPr>
          <w:rFonts w:ascii="Arial" w:hAnsi="Arial" w:cs="Arial"/>
          <w:sz w:val="20"/>
          <w:szCs w:val="20"/>
          <w:lang w:val="en-US"/>
        </w:rPr>
        <w:t xml:space="preserve"> the process of attributing</w:t>
      </w:r>
      <w:r w:rsidR="008472F4" w:rsidRPr="005816DF">
        <w:rPr>
          <w:rFonts w:ascii="Arial" w:hAnsi="Arial" w:cs="Arial"/>
          <w:sz w:val="20"/>
          <w:szCs w:val="20"/>
          <w:lang w:val="en-US"/>
        </w:rPr>
        <w:t xml:space="preserve"> meaning to the words used in a </w:t>
      </w:r>
      <w:r w:rsidR="00197953" w:rsidRPr="005816DF">
        <w:rPr>
          <w:rFonts w:ascii="Arial" w:hAnsi="Arial" w:cs="Arial"/>
          <w:sz w:val="20"/>
          <w:szCs w:val="20"/>
          <w:lang w:val="en-US"/>
        </w:rPr>
        <w:t>document, be it legislation, some other statutory instrument, or contract</w:t>
      </w:r>
      <w:r w:rsidRPr="005816DF">
        <w:rPr>
          <w:rFonts w:ascii="Arial" w:hAnsi="Arial" w:cs="Arial"/>
          <w:sz w:val="20"/>
          <w:szCs w:val="20"/>
          <w:lang w:val="en-US"/>
        </w:rPr>
        <w:t>,</w:t>
      </w:r>
      <w:r w:rsidR="00197953" w:rsidRPr="005816DF">
        <w:rPr>
          <w:rFonts w:ascii="Arial" w:hAnsi="Arial" w:cs="Arial"/>
          <w:sz w:val="20"/>
          <w:szCs w:val="20"/>
          <w:lang w:val="en-US"/>
        </w:rPr>
        <w:t xml:space="preserve"> having regard to the context provided by reading the particular </w:t>
      </w:r>
      <w:r w:rsidR="00BB27A9" w:rsidRPr="005816DF">
        <w:rPr>
          <w:rFonts w:ascii="Arial" w:hAnsi="Arial" w:cs="Arial"/>
          <w:sz w:val="20"/>
          <w:szCs w:val="20"/>
          <w:lang w:val="en-US"/>
        </w:rPr>
        <w:t>provision</w:t>
      </w:r>
      <w:r w:rsidRPr="005816DF">
        <w:rPr>
          <w:rFonts w:ascii="Arial" w:hAnsi="Arial" w:cs="Arial"/>
          <w:sz w:val="20"/>
          <w:szCs w:val="20"/>
          <w:lang w:val="en-US"/>
        </w:rPr>
        <w:t xml:space="preserve"> . . .</w:t>
      </w:r>
      <w:r w:rsidR="00BB27A9" w:rsidRPr="005816DF">
        <w:rPr>
          <w:rFonts w:ascii="Arial" w:hAnsi="Arial" w:cs="Arial"/>
          <w:sz w:val="20"/>
          <w:szCs w:val="20"/>
          <w:lang w:val="en-US"/>
        </w:rPr>
        <w:t xml:space="preserve"> </w:t>
      </w:r>
      <w:r w:rsidR="00197953" w:rsidRPr="005816DF">
        <w:rPr>
          <w:rFonts w:ascii="Arial" w:hAnsi="Arial" w:cs="Arial"/>
          <w:sz w:val="20"/>
          <w:szCs w:val="20"/>
          <w:lang w:val="en-US"/>
        </w:rPr>
        <w:t xml:space="preserve">in the light of the document as a whole </w:t>
      </w:r>
      <w:r w:rsidRPr="005816DF">
        <w:rPr>
          <w:rFonts w:ascii="Arial" w:hAnsi="Arial" w:cs="Arial"/>
          <w:sz w:val="20"/>
          <w:szCs w:val="20"/>
          <w:lang w:val="en-US"/>
        </w:rPr>
        <w:t xml:space="preserve">and </w:t>
      </w:r>
      <w:r w:rsidR="00197953" w:rsidRPr="005816DF">
        <w:rPr>
          <w:rFonts w:ascii="Arial" w:hAnsi="Arial" w:cs="Arial"/>
          <w:sz w:val="20"/>
          <w:szCs w:val="20"/>
          <w:lang w:val="en-US"/>
        </w:rPr>
        <w:t>the circumstance</w:t>
      </w:r>
      <w:r w:rsidRPr="005816DF">
        <w:rPr>
          <w:rFonts w:ascii="Arial" w:hAnsi="Arial" w:cs="Arial"/>
          <w:sz w:val="20"/>
          <w:szCs w:val="20"/>
          <w:lang w:val="en-US"/>
        </w:rPr>
        <w:t>s</w:t>
      </w:r>
      <w:r w:rsidR="00197953" w:rsidRPr="005816DF">
        <w:rPr>
          <w:rFonts w:ascii="Arial" w:hAnsi="Arial" w:cs="Arial"/>
          <w:sz w:val="20"/>
          <w:szCs w:val="20"/>
          <w:lang w:val="en-US"/>
        </w:rPr>
        <w:t xml:space="preserve"> attend</w:t>
      </w:r>
      <w:r w:rsidR="00B6016A" w:rsidRPr="005816DF">
        <w:rPr>
          <w:rFonts w:ascii="Arial" w:hAnsi="Arial" w:cs="Arial"/>
          <w:sz w:val="20"/>
          <w:szCs w:val="20"/>
          <w:lang w:val="en-US"/>
        </w:rPr>
        <w:t>ant</w:t>
      </w:r>
      <w:r w:rsidR="00197953" w:rsidRPr="005816DF">
        <w:rPr>
          <w:rFonts w:ascii="Arial" w:hAnsi="Arial" w:cs="Arial"/>
          <w:sz w:val="20"/>
          <w:szCs w:val="20"/>
          <w:lang w:val="en-US"/>
        </w:rPr>
        <w:t xml:space="preserve"> upon its coming into existence</w:t>
      </w:r>
      <w:r w:rsidRPr="005816DF">
        <w:rPr>
          <w:rFonts w:ascii="Arial" w:hAnsi="Arial" w:cs="Arial"/>
          <w:sz w:val="20"/>
          <w:szCs w:val="20"/>
          <w:lang w:val="en-US"/>
        </w:rPr>
        <w:t>’</w:t>
      </w:r>
      <w:r w:rsidR="005D0D89">
        <w:rPr>
          <w:rFonts w:ascii="Arial" w:hAnsi="Arial" w:cs="Arial"/>
          <w:sz w:val="20"/>
          <w:szCs w:val="20"/>
          <w:lang w:val="en-US"/>
        </w:rPr>
        <w:t>.</w:t>
      </w:r>
      <w:r w:rsidRPr="005816DF">
        <w:rPr>
          <w:rStyle w:val="FootnoteReference"/>
          <w:rFonts w:ascii="Arial" w:hAnsi="Arial" w:cs="Arial"/>
          <w:sz w:val="20"/>
          <w:szCs w:val="20"/>
          <w:lang w:val="en-US"/>
        </w:rPr>
        <w:footnoteReference w:id="18"/>
      </w:r>
      <w:r w:rsidR="00197953">
        <w:rPr>
          <w:rFonts w:ascii="Arial" w:hAnsi="Arial" w:cs="Arial"/>
          <w:lang w:val="en-US"/>
        </w:rPr>
        <w:t xml:space="preserve"> </w:t>
      </w:r>
    </w:p>
    <w:p w14:paraId="29B67C4F" w14:textId="77777777" w:rsidR="000A6ECB" w:rsidRDefault="000A6ECB" w:rsidP="000A6ECB">
      <w:pPr>
        <w:jc w:val="both"/>
        <w:rPr>
          <w:rFonts w:ascii="Arial" w:hAnsi="Arial" w:cs="Arial"/>
          <w:lang w:val="en-US"/>
        </w:rPr>
      </w:pPr>
    </w:p>
    <w:p w14:paraId="38681F68" w14:textId="747347D1" w:rsidR="00197953" w:rsidRDefault="00197953" w:rsidP="00197953">
      <w:pPr>
        <w:spacing w:line="480" w:lineRule="auto"/>
        <w:jc w:val="both"/>
        <w:rPr>
          <w:rFonts w:ascii="Arial" w:hAnsi="Arial" w:cs="Arial"/>
          <w:lang w:val="en-US"/>
        </w:rPr>
      </w:pPr>
      <w:r>
        <w:rPr>
          <w:rFonts w:ascii="Arial" w:hAnsi="Arial" w:cs="Arial"/>
          <w:lang w:val="en-US"/>
        </w:rPr>
        <w:t xml:space="preserve">This </w:t>
      </w:r>
      <w:r w:rsidR="00B6016A">
        <w:rPr>
          <w:rFonts w:ascii="Arial" w:hAnsi="Arial" w:cs="Arial"/>
          <w:lang w:val="en-US"/>
        </w:rPr>
        <w:t>is</w:t>
      </w:r>
      <w:r>
        <w:rPr>
          <w:rFonts w:ascii="Arial" w:hAnsi="Arial" w:cs="Arial"/>
          <w:lang w:val="en-US"/>
        </w:rPr>
        <w:t xml:space="preserve"> a unitary exercise </w:t>
      </w:r>
      <w:r w:rsidR="00B6016A">
        <w:rPr>
          <w:rFonts w:ascii="Arial" w:hAnsi="Arial" w:cs="Arial"/>
          <w:lang w:val="en-US"/>
        </w:rPr>
        <w:t>which is required to have</w:t>
      </w:r>
      <w:r>
        <w:rPr>
          <w:rFonts w:ascii="Arial" w:hAnsi="Arial" w:cs="Arial"/>
          <w:lang w:val="en-US"/>
        </w:rPr>
        <w:t xml:space="preserve"> regard </w:t>
      </w:r>
      <w:r w:rsidR="00E6770F">
        <w:rPr>
          <w:rFonts w:ascii="Arial" w:hAnsi="Arial" w:cs="Arial"/>
          <w:lang w:val="en-US"/>
        </w:rPr>
        <w:t>for</w:t>
      </w:r>
      <w:r>
        <w:rPr>
          <w:rFonts w:ascii="Arial" w:hAnsi="Arial" w:cs="Arial"/>
          <w:lang w:val="en-US"/>
        </w:rPr>
        <w:t xml:space="preserve"> the language used in the light of the ordinary rules of grammar and syntax</w:t>
      </w:r>
      <w:r w:rsidR="00B6016A">
        <w:rPr>
          <w:rFonts w:ascii="Arial" w:hAnsi="Arial" w:cs="Arial"/>
          <w:lang w:val="en-US"/>
        </w:rPr>
        <w:t>,</w:t>
      </w:r>
      <w:r>
        <w:rPr>
          <w:rFonts w:ascii="Arial" w:hAnsi="Arial" w:cs="Arial"/>
          <w:lang w:val="en-US"/>
        </w:rPr>
        <w:t xml:space="preserve"> the context in which the provision appears</w:t>
      </w:r>
      <w:r w:rsidR="00B6016A">
        <w:rPr>
          <w:rFonts w:ascii="Arial" w:hAnsi="Arial" w:cs="Arial"/>
          <w:lang w:val="en-US"/>
        </w:rPr>
        <w:t>,</w:t>
      </w:r>
      <w:r>
        <w:rPr>
          <w:rFonts w:ascii="Arial" w:hAnsi="Arial" w:cs="Arial"/>
          <w:lang w:val="en-US"/>
        </w:rPr>
        <w:t xml:space="preserve"> the apparent purpose </w:t>
      </w:r>
      <w:r w:rsidR="00E318EF">
        <w:rPr>
          <w:rFonts w:ascii="Arial" w:hAnsi="Arial" w:cs="Arial"/>
          <w:lang w:val="en-US"/>
        </w:rPr>
        <w:t>at</w:t>
      </w:r>
      <w:r>
        <w:rPr>
          <w:rFonts w:ascii="Arial" w:hAnsi="Arial" w:cs="Arial"/>
          <w:lang w:val="en-US"/>
        </w:rPr>
        <w:t xml:space="preserve"> which it is directed, and the material known to those responsible for its production.</w:t>
      </w:r>
      <w:r w:rsidR="00A942D5" w:rsidRPr="00A942D5">
        <w:rPr>
          <w:rFonts w:ascii="Arial" w:hAnsi="Arial" w:cs="Arial"/>
          <w:lang w:val="en-US"/>
        </w:rPr>
        <w:t xml:space="preserve"> </w:t>
      </w:r>
      <w:r w:rsidR="00A942D5">
        <w:rPr>
          <w:rFonts w:ascii="Arial" w:hAnsi="Arial" w:cs="Arial"/>
          <w:lang w:val="en-US"/>
        </w:rPr>
        <w:t xml:space="preserve">In this regard context does not mean only those provisions of the subrule which immediately precede and follow </w:t>
      </w:r>
      <w:r w:rsidR="00E6770F">
        <w:rPr>
          <w:rFonts w:ascii="Arial" w:hAnsi="Arial" w:cs="Arial"/>
          <w:lang w:val="en-US"/>
        </w:rPr>
        <w:t>it but</w:t>
      </w:r>
      <w:r w:rsidR="00A942D5">
        <w:rPr>
          <w:rFonts w:ascii="Arial" w:hAnsi="Arial" w:cs="Arial"/>
          <w:lang w:val="en-US"/>
        </w:rPr>
        <w:t xml:space="preserve"> includes the entire legislative enactment i.e. the TCR, in which </w:t>
      </w:r>
      <w:r w:rsidR="00E6770F">
        <w:rPr>
          <w:rFonts w:ascii="Arial" w:hAnsi="Arial" w:cs="Arial"/>
          <w:lang w:val="en-US"/>
        </w:rPr>
        <w:t>they</w:t>
      </w:r>
      <w:r w:rsidR="00A942D5">
        <w:rPr>
          <w:rFonts w:ascii="Arial" w:hAnsi="Arial" w:cs="Arial"/>
          <w:lang w:val="en-US"/>
        </w:rPr>
        <w:t xml:space="preserve"> appear.</w:t>
      </w:r>
      <w:r w:rsidR="00A942D5">
        <w:rPr>
          <w:rStyle w:val="FootnoteReference"/>
          <w:rFonts w:ascii="Arial" w:hAnsi="Arial" w:cs="Arial"/>
          <w:lang w:val="en-US"/>
        </w:rPr>
        <w:footnoteReference w:id="19"/>
      </w:r>
    </w:p>
    <w:p w14:paraId="0A8ED8C6" w14:textId="77777777" w:rsidR="007F2AEC" w:rsidRDefault="007F2AEC" w:rsidP="00197953">
      <w:pPr>
        <w:spacing w:line="480" w:lineRule="auto"/>
        <w:jc w:val="both"/>
        <w:rPr>
          <w:rFonts w:ascii="Arial" w:hAnsi="Arial" w:cs="Arial"/>
          <w:lang w:val="en-US"/>
        </w:rPr>
      </w:pPr>
    </w:p>
    <w:p w14:paraId="6735E21F" w14:textId="2EE29BC0" w:rsidR="00B63866" w:rsidRDefault="007F2AEC" w:rsidP="00197953">
      <w:pPr>
        <w:spacing w:line="480" w:lineRule="auto"/>
        <w:jc w:val="both"/>
        <w:rPr>
          <w:rFonts w:ascii="Arial" w:hAnsi="Arial" w:cs="Arial"/>
          <w:lang w:val="en-US"/>
        </w:rPr>
      </w:pPr>
      <w:r>
        <w:rPr>
          <w:rFonts w:ascii="Arial" w:hAnsi="Arial" w:cs="Arial"/>
          <w:lang w:val="en-US"/>
        </w:rPr>
        <w:t>[6</w:t>
      </w:r>
      <w:r w:rsidR="00B63866">
        <w:rPr>
          <w:rFonts w:ascii="Arial" w:hAnsi="Arial" w:cs="Arial"/>
          <w:lang w:val="en-US"/>
        </w:rPr>
        <w:t>6</w:t>
      </w:r>
      <w:r>
        <w:rPr>
          <w:rFonts w:ascii="Arial" w:hAnsi="Arial" w:cs="Arial"/>
          <w:lang w:val="en-US"/>
        </w:rPr>
        <w:t>]</w:t>
      </w:r>
      <w:r>
        <w:rPr>
          <w:rFonts w:ascii="Arial" w:hAnsi="Arial" w:cs="Arial"/>
          <w:lang w:val="en-US"/>
        </w:rPr>
        <w:tab/>
      </w:r>
      <w:r w:rsidR="00B6016A">
        <w:rPr>
          <w:rFonts w:ascii="Arial" w:hAnsi="Arial" w:cs="Arial"/>
          <w:lang w:val="en-US"/>
        </w:rPr>
        <w:t xml:space="preserve">As a starting point </w:t>
      </w:r>
      <w:r w:rsidR="002776A9">
        <w:rPr>
          <w:rFonts w:ascii="Arial" w:hAnsi="Arial" w:cs="Arial"/>
          <w:lang w:val="en-US"/>
        </w:rPr>
        <w:t>one must consider</w:t>
      </w:r>
      <w:r w:rsidR="00197953">
        <w:rPr>
          <w:rFonts w:ascii="Arial" w:hAnsi="Arial" w:cs="Arial"/>
          <w:lang w:val="en-US"/>
        </w:rPr>
        <w:t xml:space="preserve"> the provisions of rule 7</w:t>
      </w:r>
      <w:r w:rsidR="000A6ECB">
        <w:rPr>
          <w:rFonts w:ascii="Arial" w:hAnsi="Arial" w:cs="Arial"/>
          <w:lang w:val="en-US"/>
        </w:rPr>
        <w:t>,</w:t>
      </w:r>
      <w:r w:rsidR="00197953">
        <w:rPr>
          <w:rFonts w:ascii="Arial" w:hAnsi="Arial" w:cs="Arial"/>
          <w:lang w:val="en-US"/>
        </w:rPr>
        <w:t xml:space="preserve"> which set out the requirements for </w:t>
      </w:r>
      <w:r w:rsidR="000A6ECB">
        <w:rPr>
          <w:rFonts w:ascii="Arial" w:hAnsi="Arial" w:cs="Arial"/>
          <w:lang w:val="en-US"/>
        </w:rPr>
        <w:t xml:space="preserve">the </w:t>
      </w:r>
      <w:r w:rsidR="00197953">
        <w:rPr>
          <w:rFonts w:ascii="Arial" w:hAnsi="Arial" w:cs="Arial"/>
          <w:lang w:val="en-US"/>
        </w:rPr>
        <w:t>lodging of an object</w:t>
      </w:r>
      <w:r w:rsidR="00C27057">
        <w:rPr>
          <w:rFonts w:ascii="Arial" w:hAnsi="Arial" w:cs="Arial"/>
          <w:lang w:val="en-US"/>
        </w:rPr>
        <w:t>ion</w:t>
      </w:r>
      <w:r w:rsidR="00197953">
        <w:rPr>
          <w:rFonts w:ascii="Arial" w:hAnsi="Arial" w:cs="Arial"/>
          <w:lang w:val="en-US"/>
        </w:rPr>
        <w:t xml:space="preserve"> against an assessment. An interpretation of rule 32(3) without having regard to the provisions of rule 7 would not be proper</w:t>
      </w:r>
      <w:r w:rsidR="00B63866">
        <w:rPr>
          <w:rFonts w:ascii="Arial" w:hAnsi="Arial" w:cs="Arial"/>
          <w:lang w:val="en-US"/>
        </w:rPr>
        <w:t>,</w:t>
      </w:r>
      <w:r w:rsidR="00C27057">
        <w:rPr>
          <w:rFonts w:ascii="Arial" w:hAnsi="Arial" w:cs="Arial"/>
          <w:lang w:val="en-US"/>
        </w:rPr>
        <w:t xml:space="preserve"> as</w:t>
      </w:r>
      <w:r w:rsidR="00197953">
        <w:rPr>
          <w:rFonts w:ascii="Arial" w:hAnsi="Arial" w:cs="Arial"/>
          <w:lang w:val="en-US"/>
        </w:rPr>
        <w:t xml:space="preserve"> it lays the foundation</w:t>
      </w:r>
      <w:r w:rsidR="006E16ED">
        <w:rPr>
          <w:rFonts w:ascii="Arial" w:hAnsi="Arial" w:cs="Arial"/>
          <w:lang w:val="en-US"/>
        </w:rPr>
        <w:t xml:space="preserve"> for the </w:t>
      </w:r>
      <w:r w:rsidR="002776A9">
        <w:rPr>
          <w:rFonts w:ascii="Arial" w:hAnsi="Arial" w:cs="Arial"/>
          <w:lang w:val="en-US"/>
        </w:rPr>
        <w:t xml:space="preserve">appeal process that follows </w:t>
      </w:r>
      <w:r w:rsidR="00C54595">
        <w:rPr>
          <w:rFonts w:ascii="Arial" w:hAnsi="Arial" w:cs="Arial"/>
          <w:lang w:val="en-US"/>
        </w:rPr>
        <w:t xml:space="preserve">in the event of </w:t>
      </w:r>
      <w:r w:rsidR="0002272E">
        <w:rPr>
          <w:rFonts w:ascii="Arial" w:hAnsi="Arial" w:cs="Arial"/>
          <w:lang w:val="en-US"/>
        </w:rPr>
        <w:t>the disallowance</w:t>
      </w:r>
      <w:r w:rsidR="002776A9">
        <w:rPr>
          <w:rFonts w:ascii="Arial" w:hAnsi="Arial" w:cs="Arial"/>
          <w:lang w:val="en-US"/>
        </w:rPr>
        <w:t xml:space="preserve"> of an objection</w:t>
      </w:r>
      <w:r w:rsidR="00197953">
        <w:rPr>
          <w:rFonts w:ascii="Arial" w:hAnsi="Arial" w:cs="Arial"/>
          <w:lang w:val="en-US"/>
        </w:rPr>
        <w:t>.</w:t>
      </w:r>
      <w:r w:rsidR="00A942D5">
        <w:rPr>
          <w:rFonts w:ascii="Arial" w:hAnsi="Arial" w:cs="Arial"/>
          <w:lang w:val="en-US"/>
        </w:rPr>
        <w:t xml:space="preserve"> </w:t>
      </w:r>
      <w:r w:rsidR="00B63866">
        <w:rPr>
          <w:rFonts w:ascii="Arial" w:hAnsi="Arial" w:cs="Arial"/>
          <w:lang w:val="en-US"/>
        </w:rPr>
        <w:t>R</w:t>
      </w:r>
      <w:r w:rsidR="00197953">
        <w:rPr>
          <w:rFonts w:ascii="Arial" w:hAnsi="Arial" w:cs="Arial"/>
          <w:lang w:val="en-US"/>
        </w:rPr>
        <w:t>ule 7(2) states that</w:t>
      </w:r>
      <w:r w:rsidR="00B63866">
        <w:rPr>
          <w:rFonts w:ascii="Arial" w:hAnsi="Arial" w:cs="Arial"/>
          <w:lang w:val="en-US"/>
        </w:rPr>
        <w:t>:</w:t>
      </w:r>
    </w:p>
    <w:p w14:paraId="1E26ACB6" w14:textId="4B5A6DDF" w:rsidR="00B84696" w:rsidRPr="00B63866" w:rsidRDefault="00197953" w:rsidP="00197953">
      <w:pPr>
        <w:spacing w:line="480" w:lineRule="auto"/>
        <w:jc w:val="both"/>
        <w:rPr>
          <w:rFonts w:ascii="Arial" w:hAnsi="Arial" w:cs="Arial"/>
          <w:i/>
          <w:iCs/>
          <w:sz w:val="20"/>
          <w:szCs w:val="20"/>
          <w:lang w:val="en-US"/>
        </w:rPr>
      </w:pPr>
      <w:r>
        <w:rPr>
          <w:rFonts w:ascii="Arial" w:hAnsi="Arial" w:cs="Arial"/>
          <w:lang w:val="en-US"/>
        </w:rPr>
        <w:t xml:space="preserve"> </w:t>
      </w:r>
      <w:r w:rsidR="00B84696" w:rsidRPr="00B63866">
        <w:rPr>
          <w:rFonts w:ascii="Arial" w:hAnsi="Arial" w:cs="Arial"/>
          <w:sz w:val="20"/>
          <w:szCs w:val="20"/>
          <w:lang w:val="en-US"/>
        </w:rPr>
        <w:t>‘</w:t>
      </w:r>
      <w:r w:rsidRPr="00B63866">
        <w:rPr>
          <w:rFonts w:ascii="Arial" w:hAnsi="Arial" w:cs="Arial"/>
          <w:i/>
          <w:iCs/>
          <w:sz w:val="20"/>
          <w:szCs w:val="20"/>
          <w:lang w:val="en-US"/>
        </w:rPr>
        <w:t xml:space="preserve">a taxpayer who lodges an objection </w:t>
      </w:r>
      <w:r w:rsidR="00B84696" w:rsidRPr="00B63866">
        <w:rPr>
          <w:rFonts w:ascii="Arial" w:hAnsi="Arial" w:cs="Arial"/>
          <w:i/>
          <w:iCs/>
          <w:sz w:val="20"/>
          <w:szCs w:val="20"/>
          <w:lang w:val="en-US"/>
        </w:rPr>
        <w:t xml:space="preserve">to an assessment </w:t>
      </w:r>
      <w:r w:rsidRPr="00B63866">
        <w:rPr>
          <w:rFonts w:ascii="Arial" w:hAnsi="Arial" w:cs="Arial"/>
          <w:i/>
          <w:iCs/>
          <w:sz w:val="20"/>
          <w:szCs w:val="20"/>
          <w:lang w:val="en-US"/>
        </w:rPr>
        <w:t>must –</w:t>
      </w:r>
    </w:p>
    <w:p w14:paraId="77204939" w14:textId="4CBC7CDC" w:rsidR="00197953" w:rsidRPr="00B63866" w:rsidRDefault="00197953" w:rsidP="00197953">
      <w:pPr>
        <w:spacing w:line="480" w:lineRule="auto"/>
        <w:jc w:val="both"/>
        <w:rPr>
          <w:rFonts w:ascii="Arial" w:hAnsi="Arial" w:cs="Arial"/>
          <w:i/>
          <w:iCs/>
          <w:sz w:val="20"/>
          <w:szCs w:val="20"/>
          <w:lang w:val="en-US"/>
        </w:rPr>
      </w:pPr>
      <w:r w:rsidRPr="00B63866">
        <w:rPr>
          <w:rFonts w:ascii="Arial" w:hAnsi="Arial" w:cs="Arial"/>
          <w:i/>
          <w:iCs/>
          <w:sz w:val="20"/>
          <w:szCs w:val="20"/>
          <w:lang w:val="en-US"/>
        </w:rPr>
        <w:t>(a) complete the prescribed form in full;</w:t>
      </w:r>
    </w:p>
    <w:p w14:paraId="2CA60978" w14:textId="35B4389D" w:rsidR="00197953" w:rsidRPr="00B63866" w:rsidRDefault="00197953" w:rsidP="00197953">
      <w:pPr>
        <w:spacing w:line="480" w:lineRule="auto"/>
        <w:jc w:val="both"/>
        <w:rPr>
          <w:rFonts w:ascii="Arial" w:hAnsi="Arial" w:cs="Arial"/>
          <w:i/>
          <w:iCs/>
          <w:sz w:val="20"/>
          <w:szCs w:val="20"/>
          <w:lang w:val="en-US"/>
        </w:rPr>
      </w:pPr>
      <w:r w:rsidRPr="00B63866">
        <w:rPr>
          <w:rFonts w:ascii="Arial" w:hAnsi="Arial" w:cs="Arial"/>
          <w:i/>
          <w:iCs/>
          <w:sz w:val="20"/>
          <w:szCs w:val="20"/>
          <w:lang w:val="en-US"/>
        </w:rPr>
        <w:t>(b) set out the ground</w:t>
      </w:r>
      <w:r w:rsidR="00B84696" w:rsidRPr="00B63866">
        <w:rPr>
          <w:rFonts w:ascii="Arial" w:hAnsi="Arial" w:cs="Arial"/>
          <w:i/>
          <w:iCs/>
          <w:sz w:val="20"/>
          <w:szCs w:val="20"/>
          <w:lang w:val="en-US"/>
        </w:rPr>
        <w:t>s</w:t>
      </w:r>
      <w:r w:rsidRPr="00B63866">
        <w:rPr>
          <w:rFonts w:ascii="Arial" w:hAnsi="Arial" w:cs="Arial"/>
          <w:i/>
          <w:iCs/>
          <w:sz w:val="20"/>
          <w:szCs w:val="20"/>
          <w:lang w:val="en-US"/>
        </w:rPr>
        <w:t xml:space="preserve"> of objection </w:t>
      </w:r>
      <w:r w:rsidRPr="002776A9">
        <w:rPr>
          <w:rFonts w:ascii="Arial" w:hAnsi="Arial" w:cs="Arial"/>
          <w:i/>
          <w:iCs/>
          <w:sz w:val="20"/>
          <w:szCs w:val="20"/>
          <w:u w:val="single"/>
          <w:lang w:val="en-US"/>
        </w:rPr>
        <w:t>in detail</w:t>
      </w:r>
      <w:r w:rsidRPr="00B63866">
        <w:rPr>
          <w:rFonts w:ascii="Arial" w:hAnsi="Arial" w:cs="Arial"/>
          <w:i/>
          <w:iCs/>
          <w:sz w:val="20"/>
          <w:szCs w:val="20"/>
          <w:lang w:val="en-US"/>
        </w:rPr>
        <w:t xml:space="preserve"> including-</w:t>
      </w:r>
    </w:p>
    <w:p w14:paraId="78C5FA83" w14:textId="0A03131D" w:rsidR="00197953" w:rsidRPr="00B63866" w:rsidRDefault="00197953" w:rsidP="00B84696">
      <w:pPr>
        <w:spacing w:line="480" w:lineRule="auto"/>
        <w:ind w:left="360"/>
        <w:jc w:val="both"/>
        <w:rPr>
          <w:rFonts w:ascii="Arial" w:hAnsi="Arial" w:cs="Arial"/>
          <w:i/>
          <w:iCs/>
          <w:sz w:val="20"/>
          <w:szCs w:val="20"/>
          <w:lang w:val="en-US"/>
        </w:rPr>
      </w:pPr>
      <w:r w:rsidRPr="00B63866">
        <w:rPr>
          <w:rFonts w:ascii="Arial" w:hAnsi="Arial" w:cs="Arial"/>
          <w:i/>
          <w:iCs/>
          <w:sz w:val="20"/>
          <w:szCs w:val="20"/>
          <w:lang w:val="en-US"/>
        </w:rPr>
        <w:t xml:space="preserve">(i) </w:t>
      </w:r>
      <w:r w:rsidRPr="00B63866">
        <w:rPr>
          <w:rFonts w:ascii="Arial" w:hAnsi="Arial" w:cs="Arial"/>
          <w:i/>
          <w:iCs/>
          <w:sz w:val="20"/>
          <w:szCs w:val="20"/>
          <w:u w:val="single"/>
          <w:lang w:val="en-US"/>
        </w:rPr>
        <w:t>specifying the part</w:t>
      </w:r>
      <w:r w:rsidRPr="00B63866">
        <w:rPr>
          <w:rFonts w:ascii="Arial" w:hAnsi="Arial" w:cs="Arial"/>
          <w:i/>
          <w:iCs/>
          <w:sz w:val="20"/>
          <w:szCs w:val="20"/>
          <w:lang w:val="en-US"/>
        </w:rPr>
        <w:t xml:space="preserve"> or </w:t>
      </w:r>
      <w:r w:rsidRPr="00B63866">
        <w:rPr>
          <w:rFonts w:ascii="Arial" w:hAnsi="Arial" w:cs="Arial"/>
          <w:i/>
          <w:iCs/>
          <w:sz w:val="20"/>
          <w:szCs w:val="20"/>
          <w:u w:val="single"/>
          <w:lang w:val="en-US"/>
        </w:rPr>
        <w:t xml:space="preserve">specific amount </w:t>
      </w:r>
      <w:r w:rsidRPr="00B63866">
        <w:rPr>
          <w:rFonts w:ascii="Arial" w:hAnsi="Arial" w:cs="Arial"/>
          <w:i/>
          <w:iCs/>
          <w:sz w:val="20"/>
          <w:szCs w:val="20"/>
          <w:lang w:val="en-US"/>
        </w:rPr>
        <w:t>of the disputed assessment</w:t>
      </w:r>
      <w:r w:rsidR="00B84696" w:rsidRPr="00B63866">
        <w:rPr>
          <w:rFonts w:ascii="Arial" w:hAnsi="Arial" w:cs="Arial"/>
          <w:i/>
          <w:iCs/>
          <w:sz w:val="20"/>
          <w:szCs w:val="20"/>
          <w:lang w:val="en-US"/>
        </w:rPr>
        <w:t xml:space="preserve"> objected to</w:t>
      </w:r>
      <w:r w:rsidRPr="00B63866">
        <w:rPr>
          <w:rFonts w:ascii="Arial" w:hAnsi="Arial" w:cs="Arial"/>
          <w:i/>
          <w:iCs/>
          <w:sz w:val="20"/>
          <w:szCs w:val="20"/>
          <w:lang w:val="en-US"/>
        </w:rPr>
        <w:t>;</w:t>
      </w:r>
    </w:p>
    <w:p w14:paraId="5E285D16" w14:textId="77777777" w:rsidR="00197953" w:rsidRPr="00B63866" w:rsidRDefault="00197953" w:rsidP="00B84696">
      <w:pPr>
        <w:spacing w:line="480" w:lineRule="auto"/>
        <w:ind w:left="360"/>
        <w:jc w:val="both"/>
        <w:rPr>
          <w:rFonts w:ascii="Arial" w:hAnsi="Arial" w:cs="Arial"/>
          <w:i/>
          <w:iCs/>
          <w:sz w:val="20"/>
          <w:szCs w:val="20"/>
          <w:lang w:val="en-US"/>
        </w:rPr>
      </w:pPr>
      <w:r w:rsidRPr="00B63866">
        <w:rPr>
          <w:rFonts w:ascii="Arial" w:hAnsi="Arial" w:cs="Arial"/>
          <w:i/>
          <w:iCs/>
          <w:sz w:val="20"/>
          <w:szCs w:val="20"/>
          <w:lang w:val="en-US"/>
        </w:rPr>
        <w:t xml:space="preserve">(ii) </w:t>
      </w:r>
      <w:r w:rsidRPr="00B63866">
        <w:rPr>
          <w:rFonts w:ascii="Arial" w:hAnsi="Arial" w:cs="Arial"/>
          <w:i/>
          <w:iCs/>
          <w:sz w:val="20"/>
          <w:szCs w:val="20"/>
          <w:u w:val="single"/>
          <w:lang w:val="en-US"/>
        </w:rPr>
        <w:t>specifying which of the grounds of assessment are disputed</w:t>
      </w:r>
      <w:r w:rsidRPr="00B63866">
        <w:rPr>
          <w:rFonts w:ascii="Arial" w:hAnsi="Arial" w:cs="Arial"/>
          <w:i/>
          <w:iCs/>
          <w:sz w:val="20"/>
          <w:szCs w:val="20"/>
          <w:lang w:val="en-US"/>
        </w:rPr>
        <w:t>; and</w:t>
      </w:r>
    </w:p>
    <w:p w14:paraId="4D880B9A" w14:textId="6B66A1D8" w:rsidR="00197953" w:rsidRDefault="00197953" w:rsidP="00B84696">
      <w:pPr>
        <w:spacing w:line="480" w:lineRule="auto"/>
        <w:ind w:left="360"/>
        <w:jc w:val="both"/>
        <w:rPr>
          <w:rFonts w:ascii="Arial" w:hAnsi="Arial" w:cs="Arial"/>
          <w:lang w:val="en-US"/>
        </w:rPr>
      </w:pPr>
      <w:r w:rsidRPr="00B63866">
        <w:rPr>
          <w:rFonts w:ascii="Arial" w:hAnsi="Arial" w:cs="Arial"/>
          <w:i/>
          <w:iCs/>
          <w:sz w:val="20"/>
          <w:szCs w:val="20"/>
          <w:lang w:val="en-US"/>
        </w:rPr>
        <w:t>(iii) submitting the documents required to substantiate</w:t>
      </w:r>
      <w:r w:rsidR="00B84696" w:rsidRPr="00B63866">
        <w:rPr>
          <w:rFonts w:ascii="Arial" w:hAnsi="Arial" w:cs="Arial"/>
          <w:i/>
          <w:iCs/>
          <w:sz w:val="20"/>
          <w:szCs w:val="20"/>
          <w:lang w:val="en-US"/>
        </w:rPr>
        <w:t xml:space="preserve"> the</w:t>
      </w:r>
      <w:r w:rsidRPr="00B63866">
        <w:rPr>
          <w:rFonts w:ascii="Arial" w:hAnsi="Arial" w:cs="Arial"/>
          <w:i/>
          <w:iCs/>
          <w:sz w:val="20"/>
          <w:szCs w:val="20"/>
          <w:lang w:val="en-US"/>
        </w:rPr>
        <w:t xml:space="preserve"> grounds of objection that the taxpayer has not previously </w:t>
      </w:r>
      <w:r w:rsidR="00B84696" w:rsidRPr="00B63866">
        <w:rPr>
          <w:rFonts w:ascii="Arial" w:hAnsi="Arial" w:cs="Arial"/>
          <w:i/>
          <w:iCs/>
          <w:sz w:val="20"/>
          <w:szCs w:val="20"/>
          <w:lang w:val="en-US"/>
        </w:rPr>
        <w:t>delivered to SARS for purposes of the disputed assessment</w:t>
      </w:r>
      <w:r w:rsidRPr="00B63866">
        <w:rPr>
          <w:rFonts w:ascii="Arial" w:hAnsi="Arial" w:cs="Arial"/>
          <w:sz w:val="20"/>
          <w:szCs w:val="20"/>
          <w:lang w:val="en-US"/>
        </w:rPr>
        <w:t>.</w:t>
      </w:r>
      <w:r w:rsidR="00B84696" w:rsidRPr="00B63866">
        <w:rPr>
          <w:rFonts w:ascii="Arial" w:hAnsi="Arial" w:cs="Arial"/>
          <w:sz w:val="20"/>
          <w:szCs w:val="20"/>
          <w:lang w:val="en-US"/>
        </w:rPr>
        <w:t>’</w:t>
      </w:r>
      <w:r>
        <w:rPr>
          <w:rFonts w:ascii="Arial" w:hAnsi="Arial" w:cs="Arial"/>
          <w:lang w:val="en-US"/>
        </w:rPr>
        <w:t xml:space="preserve"> (</w:t>
      </w:r>
      <w:r w:rsidR="00B63866">
        <w:rPr>
          <w:rFonts w:ascii="Arial" w:hAnsi="Arial" w:cs="Arial"/>
          <w:lang w:val="en-US"/>
        </w:rPr>
        <w:t>our emphasis</w:t>
      </w:r>
      <w:r>
        <w:rPr>
          <w:rFonts w:ascii="Arial" w:hAnsi="Arial" w:cs="Arial"/>
          <w:lang w:val="en-US"/>
        </w:rPr>
        <w:t>)</w:t>
      </w:r>
    </w:p>
    <w:p w14:paraId="5B466074" w14:textId="77777777" w:rsidR="007F2AEC" w:rsidRDefault="007F2AEC" w:rsidP="00197953">
      <w:pPr>
        <w:spacing w:line="480" w:lineRule="auto"/>
        <w:jc w:val="both"/>
        <w:rPr>
          <w:rFonts w:ascii="Arial" w:hAnsi="Arial" w:cs="Arial"/>
          <w:lang w:val="en-US"/>
        </w:rPr>
      </w:pPr>
    </w:p>
    <w:p w14:paraId="48954D5B" w14:textId="6F8C58EB" w:rsidR="002107E3" w:rsidRDefault="002107E3" w:rsidP="00197953">
      <w:pPr>
        <w:spacing w:line="480" w:lineRule="auto"/>
        <w:jc w:val="both"/>
        <w:rPr>
          <w:rFonts w:ascii="Arial" w:hAnsi="Arial" w:cs="Arial"/>
          <w:lang w:val="en-US"/>
        </w:rPr>
      </w:pPr>
      <w:r>
        <w:rPr>
          <w:rFonts w:ascii="Arial" w:hAnsi="Arial" w:cs="Arial"/>
          <w:lang w:val="en-US"/>
        </w:rPr>
        <w:t>[6</w:t>
      </w:r>
      <w:r w:rsidR="00B63866">
        <w:rPr>
          <w:rFonts w:ascii="Arial" w:hAnsi="Arial" w:cs="Arial"/>
          <w:lang w:val="en-US"/>
        </w:rPr>
        <w:t>7</w:t>
      </w:r>
      <w:r>
        <w:rPr>
          <w:rFonts w:ascii="Arial" w:hAnsi="Arial" w:cs="Arial"/>
          <w:lang w:val="en-US"/>
        </w:rPr>
        <w:t>]</w:t>
      </w:r>
      <w:r>
        <w:rPr>
          <w:rFonts w:ascii="Arial" w:hAnsi="Arial" w:cs="Arial"/>
          <w:lang w:val="en-US"/>
        </w:rPr>
        <w:tab/>
      </w:r>
      <w:r w:rsidR="00197953">
        <w:rPr>
          <w:rFonts w:ascii="Arial" w:hAnsi="Arial" w:cs="Arial"/>
          <w:lang w:val="en-US"/>
        </w:rPr>
        <w:t xml:space="preserve">Rule 7 clearly </w:t>
      </w:r>
      <w:r w:rsidR="00B63866">
        <w:rPr>
          <w:rFonts w:ascii="Arial" w:hAnsi="Arial" w:cs="Arial"/>
          <w:lang w:val="en-US"/>
        </w:rPr>
        <w:t>stipulates</w:t>
      </w:r>
      <w:r w:rsidR="007F2AEC">
        <w:rPr>
          <w:rFonts w:ascii="Arial" w:hAnsi="Arial" w:cs="Arial"/>
          <w:lang w:val="en-US"/>
        </w:rPr>
        <w:t xml:space="preserve"> that</w:t>
      </w:r>
      <w:r w:rsidR="00197953">
        <w:rPr>
          <w:rFonts w:ascii="Arial" w:hAnsi="Arial" w:cs="Arial"/>
          <w:lang w:val="en-US"/>
        </w:rPr>
        <w:t xml:space="preserve"> the ground</w:t>
      </w:r>
      <w:r w:rsidR="001F1689">
        <w:rPr>
          <w:rFonts w:ascii="Arial" w:hAnsi="Arial" w:cs="Arial"/>
          <w:lang w:val="en-US"/>
        </w:rPr>
        <w:t>s</w:t>
      </w:r>
      <w:r w:rsidR="00197953">
        <w:rPr>
          <w:rFonts w:ascii="Arial" w:hAnsi="Arial" w:cs="Arial"/>
          <w:lang w:val="en-US"/>
        </w:rPr>
        <w:t xml:space="preserve"> of objection must specify the </w:t>
      </w:r>
      <w:r w:rsidR="000A6ECB">
        <w:rPr>
          <w:rFonts w:ascii="Arial" w:hAnsi="Arial" w:cs="Arial"/>
          <w:lang w:val="en-US"/>
        </w:rPr>
        <w:t>‘</w:t>
      </w:r>
      <w:r w:rsidR="00197953">
        <w:rPr>
          <w:rFonts w:ascii="Arial" w:hAnsi="Arial" w:cs="Arial"/>
          <w:lang w:val="en-US"/>
        </w:rPr>
        <w:t>part</w:t>
      </w:r>
      <w:r w:rsidR="000A6ECB">
        <w:rPr>
          <w:rFonts w:ascii="Arial" w:hAnsi="Arial" w:cs="Arial"/>
          <w:lang w:val="en-US"/>
        </w:rPr>
        <w:t>’</w:t>
      </w:r>
      <w:r w:rsidR="00197953">
        <w:rPr>
          <w:rFonts w:ascii="Arial" w:hAnsi="Arial" w:cs="Arial"/>
          <w:lang w:val="en-US"/>
        </w:rPr>
        <w:t xml:space="preserve"> </w:t>
      </w:r>
      <w:r w:rsidR="0072065B">
        <w:rPr>
          <w:rFonts w:ascii="Arial" w:hAnsi="Arial" w:cs="Arial"/>
          <w:lang w:val="en-US"/>
        </w:rPr>
        <w:t>and/</w:t>
      </w:r>
      <w:r w:rsidR="00B63866">
        <w:rPr>
          <w:rFonts w:ascii="Arial" w:hAnsi="Arial" w:cs="Arial"/>
          <w:lang w:val="en-US"/>
        </w:rPr>
        <w:t>or the</w:t>
      </w:r>
      <w:r w:rsidR="00197953">
        <w:rPr>
          <w:rFonts w:ascii="Arial" w:hAnsi="Arial" w:cs="Arial"/>
          <w:lang w:val="en-US"/>
        </w:rPr>
        <w:t xml:space="preserve"> </w:t>
      </w:r>
      <w:r w:rsidR="000A6ECB">
        <w:rPr>
          <w:rFonts w:ascii="Arial" w:hAnsi="Arial" w:cs="Arial"/>
          <w:lang w:val="en-US"/>
        </w:rPr>
        <w:t>‘</w:t>
      </w:r>
      <w:r w:rsidR="00197953">
        <w:rPr>
          <w:rFonts w:ascii="Arial" w:hAnsi="Arial" w:cs="Arial"/>
          <w:lang w:val="en-US"/>
        </w:rPr>
        <w:t>amount</w:t>
      </w:r>
      <w:r w:rsidR="000A6ECB">
        <w:rPr>
          <w:rFonts w:ascii="Arial" w:hAnsi="Arial" w:cs="Arial"/>
          <w:lang w:val="en-US"/>
        </w:rPr>
        <w:t>’</w:t>
      </w:r>
      <w:r w:rsidR="00197953">
        <w:rPr>
          <w:rFonts w:ascii="Arial" w:hAnsi="Arial" w:cs="Arial"/>
          <w:lang w:val="en-US"/>
        </w:rPr>
        <w:t xml:space="preserve"> of the disputed assessment</w:t>
      </w:r>
      <w:r w:rsidR="00B63866">
        <w:rPr>
          <w:rFonts w:ascii="Arial" w:hAnsi="Arial" w:cs="Arial"/>
          <w:lang w:val="en-US"/>
        </w:rPr>
        <w:t xml:space="preserve"> which is objected to</w:t>
      </w:r>
      <w:r w:rsidR="00197953">
        <w:rPr>
          <w:rFonts w:ascii="Arial" w:hAnsi="Arial" w:cs="Arial"/>
          <w:lang w:val="en-US"/>
        </w:rPr>
        <w:t xml:space="preserve">, </w:t>
      </w:r>
      <w:r w:rsidR="00B84696">
        <w:rPr>
          <w:rFonts w:ascii="Arial" w:hAnsi="Arial" w:cs="Arial"/>
          <w:lang w:val="en-US"/>
        </w:rPr>
        <w:t xml:space="preserve">in order </w:t>
      </w:r>
      <w:r w:rsidR="00197953">
        <w:rPr>
          <w:rFonts w:ascii="Arial" w:hAnsi="Arial" w:cs="Arial"/>
          <w:lang w:val="en-US"/>
        </w:rPr>
        <w:t>for SARS to</w:t>
      </w:r>
      <w:r w:rsidR="00B63866">
        <w:rPr>
          <w:rFonts w:ascii="Arial" w:hAnsi="Arial" w:cs="Arial"/>
          <w:lang w:val="en-US"/>
        </w:rPr>
        <w:t xml:space="preserve"> be able</w:t>
      </w:r>
      <w:r w:rsidR="00197953">
        <w:rPr>
          <w:rFonts w:ascii="Arial" w:hAnsi="Arial" w:cs="Arial"/>
          <w:lang w:val="en-US"/>
        </w:rPr>
        <w:t xml:space="preserve"> </w:t>
      </w:r>
      <w:r w:rsidR="000A6ECB">
        <w:rPr>
          <w:rFonts w:ascii="Arial" w:hAnsi="Arial" w:cs="Arial"/>
          <w:lang w:val="en-US"/>
        </w:rPr>
        <w:t xml:space="preserve">to </w:t>
      </w:r>
      <w:r w:rsidR="00197953">
        <w:rPr>
          <w:rFonts w:ascii="Arial" w:hAnsi="Arial" w:cs="Arial"/>
          <w:lang w:val="en-US"/>
        </w:rPr>
        <w:t>deal with the objection</w:t>
      </w:r>
      <w:r w:rsidR="00B63866">
        <w:rPr>
          <w:rFonts w:ascii="Arial" w:hAnsi="Arial" w:cs="Arial"/>
          <w:lang w:val="en-US"/>
        </w:rPr>
        <w:t xml:space="preserve">. </w:t>
      </w:r>
      <w:r w:rsidR="00197953">
        <w:rPr>
          <w:rFonts w:ascii="Arial" w:hAnsi="Arial" w:cs="Arial"/>
          <w:lang w:val="en-US"/>
        </w:rPr>
        <w:t xml:space="preserve">It does not leave room for any uncertainty or ambiguity. </w:t>
      </w:r>
    </w:p>
    <w:p w14:paraId="0BBED070" w14:textId="77777777" w:rsidR="002107E3" w:rsidRDefault="002107E3" w:rsidP="00197953">
      <w:pPr>
        <w:spacing w:line="480" w:lineRule="auto"/>
        <w:jc w:val="both"/>
        <w:rPr>
          <w:rFonts w:ascii="Arial" w:hAnsi="Arial" w:cs="Arial"/>
          <w:lang w:val="en-US"/>
        </w:rPr>
      </w:pPr>
    </w:p>
    <w:p w14:paraId="6E3A9504" w14:textId="3974A249" w:rsidR="002107E3" w:rsidRDefault="002107E3" w:rsidP="00197953">
      <w:pPr>
        <w:spacing w:line="480" w:lineRule="auto"/>
        <w:jc w:val="both"/>
        <w:rPr>
          <w:rFonts w:ascii="Arial" w:hAnsi="Arial" w:cs="Arial"/>
          <w:lang w:val="en-US"/>
        </w:rPr>
      </w:pPr>
      <w:r>
        <w:rPr>
          <w:rFonts w:ascii="Arial" w:hAnsi="Arial" w:cs="Arial"/>
          <w:lang w:val="en-US"/>
        </w:rPr>
        <w:t>[6</w:t>
      </w:r>
      <w:r w:rsidR="00B63866">
        <w:rPr>
          <w:rFonts w:ascii="Arial" w:hAnsi="Arial" w:cs="Arial"/>
          <w:lang w:val="en-US"/>
        </w:rPr>
        <w:t>8</w:t>
      </w:r>
      <w:r>
        <w:rPr>
          <w:rFonts w:ascii="Arial" w:hAnsi="Arial" w:cs="Arial"/>
          <w:lang w:val="en-US"/>
        </w:rPr>
        <w:t>]</w:t>
      </w:r>
      <w:r>
        <w:rPr>
          <w:rFonts w:ascii="Arial" w:hAnsi="Arial" w:cs="Arial"/>
          <w:lang w:val="en-US"/>
        </w:rPr>
        <w:tab/>
      </w:r>
      <w:r w:rsidR="00197953">
        <w:rPr>
          <w:rFonts w:ascii="Arial" w:hAnsi="Arial" w:cs="Arial"/>
          <w:lang w:val="en-US"/>
        </w:rPr>
        <w:t>An objection by a taxpayer in an unspecifi</w:t>
      </w:r>
      <w:r w:rsidR="00B63866">
        <w:rPr>
          <w:rFonts w:ascii="Arial" w:hAnsi="Arial" w:cs="Arial"/>
          <w:lang w:val="en-US"/>
        </w:rPr>
        <w:t>c</w:t>
      </w:r>
      <w:r w:rsidR="00197953">
        <w:rPr>
          <w:rFonts w:ascii="Arial" w:hAnsi="Arial" w:cs="Arial"/>
          <w:lang w:val="en-US"/>
        </w:rPr>
        <w:t xml:space="preserve"> form</w:t>
      </w:r>
      <w:r w:rsidR="00B84696">
        <w:rPr>
          <w:rFonts w:ascii="Arial" w:hAnsi="Arial" w:cs="Arial"/>
          <w:lang w:val="en-US"/>
        </w:rPr>
        <w:t>,</w:t>
      </w:r>
      <w:r w:rsidR="00197953">
        <w:rPr>
          <w:rFonts w:ascii="Arial" w:hAnsi="Arial" w:cs="Arial"/>
          <w:lang w:val="en-US"/>
        </w:rPr>
        <w:t xml:space="preserve"> either in respect of a part or </w:t>
      </w:r>
      <w:r w:rsidR="0099656B">
        <w:rPr>
          <w:rFonts w:ascii="Arial" w:hAnsi="Arial" w:cs="Arial"/>
          <w:lang w:val="en-US"/>
        </w:rPr>
        <w:t xml:space="preserve">an </w:t>
      </w:r>
      <w:r w:rsidR="00197953">
        <w:rPr>
          <w:rFonts w:ascii="Arial" w:hAnsi="Arial" w:cs="Arial"/>
          <w:lang w:val="en-US"/>
        </w:rPr>
        <w:t xml:space="preserve">amount of an assessment </w:t>
      </w:r>
      <w:r w:rsidR="00B63866">
        <w:rPr>
          <w:rFonts w:ascii="Arial" w:hAnsi="Arial" w:cs="Arial"/>
          <w:lang w:val="en-US"/>
        </w:rPr>
        <w:t>which is disputed</w:t>
      </w:r>
      <w:r w:rsidR="0099656B">
        <w:rPr>
          <w:rFonts w:ascii="Arial" w:hAnsi="Arial" w:cs="Arial"/>
          <w:lang w:val="en-US"/>
        </w:rPr>
        <w:t>,</w:t>
      </w:r>
      <w:r w:rsidR="00B63866">
        <w:rPr>
          <w:rFonts w:ascii="Arial" w:hAnsi="Arial" w:cs="Arial"/>
          <w:lang w:val="en-US"/>
        </w:rPr>
        <w:t xml:space="preserve"> </w:t>
      </w:r>
      <w:r w:rsidR="00197953">
        <w:rPr>
          <w:rFonts w:ascii="Arial" w:hAnsi="Arial" w:cs="Arial"/>
          <w:lang w:val="en-US"/>
        </w:rPr>
        <w:t xml:space="preserve">would therefore </w:t>
      </w:r>
      <w:r w:rsidR="00866DD6">
        <w:rPr>
          <w:rFonts w:ascii="Arial" w:hAnsi="Arial" w:cs="Arial"/>
          <w:lang w:val="en-US"/>
        </w:rPr>
        <w:t xml:space="preserve">seemingly </w:t>
      </w:r>
      <w:r w:rsidR="00197953">
        <w:rPr>
          <w:rFonts w:ascii="Arial" w:hAnsi="Arial" w:cs="Arial"/>
          <w:lang w:val="en-US"/>
        </w:rPr>
        <w:t xml:space="preserve">fall foul of the provisions of rule 7 and </w:t>
      </w:r>
      <w:r w:rsidR="00B63866">
        <w:rPr>
          <w:rFonts w:ascii="Arial" w:hAnsi="Arial" w:cs="Arial"/>
          <w:lang w:val="en-US"/>
        </w:rPr>
        <w:t>would</w:t>
      </w:r>
      <w:r w:rsidR="00197953">
        <w:rPr>
          <w:rFonts w:ascii="Arial" w:hAnsi="Arial" w:cs="Arial"/>
          <w:lang w:val="en-US"/>
        </w:rPr>
        <w:t xml:space="preserve"> be regarded as invalid for </w:t>
      </w:r>
      <w:r w:rsidR="00B84696">
        <w:rPr>
          <w:rFonts w:ascii="Arial" w:hAnsi="Arial" w:cs="Arial"/>
          <w:lang w:val="en-US"/>
        </w:rPr>
        <w:t>lack</w:t>
      </w:r>
      <w:r w:rsidR="00197953">
        <w:rPr>
          <w:rFonts w:ascii="Arial" w:hAnsi="Arial" w:cs="Arial"/>
          <w:lang w:val="en-US"/>
        </w:rPr>
        <w:t xml:space="preserve"> of compliance with the rule.</w:t>
      </w:r>
      <w:r>
        <w:rPr>
          <w:rFonts w:ascii="Arial" w:hAnsi="Arial" w:cs="Arial"/>
          <w:lang w:val="en-US"/>
        </w:rPr>
        <w:t xml:space="preserve"> </w:t>
      </w:r>
      <w:r w:rsidR="00037453">
        <w:rPr>
          <w:rFonts w:ascii="Arial" w:hAnsi="Arial" w:cs="Arial"/>
          <w:lang w:val="en-US"/>
        </w:rPr>
        <w:t>As we see it, a</w:t>
      </w:r>
      <w:r w:rsidR="00197953">
        <w:rPr>
          <w:rFonts w:ascii="Arial" w:hAnsi="Arial" w:cs="Arial"/>
          <w:lang w:val="en-US"/>
        </w:rPr>
        <w:t>n objection may</w:t>
      </w:r>
      <w:r w:rsidR="0099656B">
        <w:rPr>
          <w:rFonts w:ascii="Arial" w:hAnsi="Arial" w:cs="Arial"/>
          <w:lang w:val="en-US"/>
        </w:rPr>
        <w:t>,</w:t>
      </w:r>
      <w:r w:rsidR="00197953">
        <w:rPr>
          <w:rFonts w:ascii="Arial" w:hAnsi="Arial" w:cs="Arial"/>
          <w:lang w:val="en-US"/>
        </w:rPr>
        <w:t xml:space="preserve"> therefore</w:t>
      </w:r>
      <w:r w:rsidR="00291925">
        <w:rPr>
          <w:rFonts w:ascii="Arial" w:hAnsi="Arial" w:cs="Arial"/>
          <w:lang w:val="en-US"/>
        </w:rPr>
        <w:t>,</w:t>
      </w:r>
      <w:r w:rsidR="00197953">
        <w:rPr>
          <w:rFonts w:ascii="Arial" w:hAnsi="Arial" w:cs="Arial"/>
          <w:lang w:val="en-US"/>
        </w:rPr>
        <w:t xml:space="preserve"> not be </w:t>
      </w:r>
      <w:r w:rsidR="00B63866">
        <w:rPr>
          <w:rFonts w:ascii="Arial" w:hAnsi="Arial" w:cs="Arial"/>
          <w:lang w:val="en-US"/>
        </w:rPr>
        <w:t xml:space="preserve">a globular one </w:t>
      </w:r>
      <w:r w:rsidR="004D1AC5">
        <w:rPr>
          <w:rFonts w:ascii="Arial" w:hAnsi="Arial" w:cs="Arial"/>
          <w:lang w:val="en-US"/>
        </w:rPr>
        <w:t>i.e</w:t>
      </w:r>
      <w:r w:rsidR="00866DD6">
        <w:rPr>
          <w:rFonts w:ascii="Arial" w:hAnsi="Arial" w:cs="Arial"/>
          <w:lang w:val="en-US"/>
        </w:rPr>
        <w:t>.</w:t>
      </w:r>
      <w:r w:rsidR="004D1AC5">
        <w:rPr>
          <w:rFonts w:ascii="Arial" w:hAnsi="Arial" w:cs="Arial"/>
          <w:lang w:val="en-US"/>
        </w:rPr>
        <w:t xml:space="preserve"> one raised </w:t>
      </w:r>
      <w:r w:rsidR="00197953">
        <w:rPr>
          <w:rFonts w:ascii="Arial" w:hAnsi="Arial" w:cs="Arial"/>
          <w:lang w:val="en-US"/>
        </w:rPr>
        <w:t xml:space="preserve">against the </w:t>
      </w:r>
      <w:r w:rsidR="002776A9">
        <w:rPr>
          <w:rFonts w:ascii="Arial" w:hAnsi="Arial" w:cs="Arial"/>
          <w:lang w:val="en-US"/>
        </w:rPr>
        <w:t>‘</w:t>
      </w:r>
      <w:r w:rsidR="00197953">
        <w:rPr>
          <w:rFonts w:ascii="Arial" w:hAnsi="Arial" w:cs="Arial"/>
          <w:lang w:val="en-US"/>
        </w:rPr>
        <w:t>whole</w:t>
      </w:r>
      <w:r w:rsidR="002776A9">
        <w:rPr>
          <w:rFonts w:ascii="Arial" w:hAnsi="Arial" w:cs="Arial"/>
          <w:lang w:val="en-US"/>
        </w:rPr>
        <w:t>’</w:t>
      </w:r>
      <w:r w:rsidR="00197953">
        <w:rPr>
          <w:rFonts w:ascii="Arial" w:hAnsi="Arial" w:cs="Arial"/>
          <w:lang w:val="en-US"/>
        </w:rPr>
        <w:t xml:space="preserve"> of an assessment</w:t>
      </w:r>
      <w:r w:rsidR="00291925">
        <w:rPr>
          <w:rFonts w:ascii="Arial" w:hAnsi="Arial" w:cs="Arial"/>
          <w:lang w:val="en-US"/>
        </w:rPr>
        <w:t xml:space="preserve"> </w:t>
      </w:r>
      <w:r w:rsidR="00037453">
        <w:rPr>
          <w:rFonts w:ascii="Arial" w:hAnsi="Arial" w:cs="Arial"/>
          <w:lang w:val="en-US"/>
        </w:rPr>
        <w:t xml:space="preserve">without more, </w:t>
      </w:r>
      <w:r w:rsidR="00291925">
        <w:rPr>
          <w:rFonts w:ascii="Arial" w:hAnsi="Arial" w:cs="Arial"/>
          <w:lang w:val="en-US"/>
        </w:rPr>
        <w:t xml:space="preserve">but </w:t>
      </w:r>
      <w:r w:rsidR="00797DD8">
        <w:rPr>
          <w:rFonts w:ascii="Arial" w:hAnsi="Arial" w:cs="Arial"/>
          <w:lang w:val="en-US"/>
        </w:rPr>
        <w:t xml:space="preserve">must be </w:t>
      </w:r>
      <w:r w:rsidR="00197953">
        <w:rPr>
          <w:rFonts w:ascii="Arial" w:hAnsi="Arial" w:cs="Arial"/>
          <w:lang w:val="en-US"/>
        </w:rPr>
        <w:t>specifi</w:t>
      </w:r>
      <w:r w:rsidR="0099656B">
        <w:rPr>
          <w:rFonts w:ascii="Arial" w:hAnsi="Arial" w:cs="Arial"/>
          <w:lang w:val="en-US"/>
        </w:rPr>
        <w:t>c</w:t>
      </w:r>
      <w:r w:rsidR="00197953">
        <w:rPr>
          <w:rFonts w:ascii="Arial" w:hAnsi="Arial" w:cs="Arial"/>
          <w:lang w:val="en-US"/>
        </w:rPr>
        <w:t xml:space="preserve">, </w:t>
      </w:r>
      <w:r w:rsidR="0099656B">
        <w:rPr>
          <w:rFonts w:ascii="Arial" w:hAnsi="Arial" w:cs="Arial"/>
          <w:lang w:val="en-US"/>
        </w:rPr>
        <w:t>in that</w:t>
      </w:r>
      <w:r w:rsidR="00197953">
        <w:rPr>
          <w:rFonts w:ascii="Arial" w:hAnsi="Arial" w:cs="Arial"/>
          <w:lang w:val="en-US"/>
        </w:rPr>
        <w:t xml:space="preserve"> the part </w:t>
      </w:r>
      <w:r w:rsidR="0072065B">
        <w:rPr>
          <w:rFonts w:ascii="Arial" w:hAnsi="Arial" w:cs="Arial"/>
          <w:lang w:val="en-US"/>
        </w:rPr>
        <w:t>and/</w:t>
      </w:r>
      <w:r w:rsidR="00197953">
        <w:rPr>
          <w:rFonts w:ascii="Arial" w:hAnsi="Arial" w:cs="Arial"/>
          <w:lang w:val="en-US"/>
        </w:rPr>
        <w:t xml:space="preserve">or amount </w:t>
      </w:r>
      <w:r w:rsidR="00037453">
        <w:rPr>
          <w:rFonts w:ascii="Arial" w:hAnsi="Arial" w:cs="Arial"/>
          <w:lang w:val="en-US"/>
        </w:rPr>
        <w:t xml:space="preserve">which is </w:t>
      </w:r>
      <w:r w:rsidR="0099656B">
        <w:rPr>
          <w:rFonts w:ascii="Arial" w:hAnsi="Arial" w:cs="Arial"/>
          <w:lang w:val="en-US"/>
        </w:rPr>
        <w:t>disputed</w:t>
      </w:r>
      <w:r w:rsidR="00197953">
        <w:rPr>
          <w:rFonts w:ascii="Arial" w:hAnsi="Arial" w:cs="Arial"/>
          <w:lang w:val="en-US"/>
        </w:rPr>
        <w:t xml:space="preserve"> must be specified. </w:t>
      </w:r>
      <w:r w:rsidR="00866DD6">
        <w:rPr>
          <w:rFonts w:ascii="Arial" w:hAnsi="Arial" w:cs="Arial"/>
          <w:lang w:val="en-US"/>
        </w:rPr>
        <w:t>In the circumstances, a</w:t>
      </w:r>
      <w:r w:rsidR="0099656B">
        <w:rPr>
          <w:rFonts w:ascii="Arial" w:hAnsi="Arial" w:cs="Arial"/>
          <w:lang w:val="en-US"/>
        </w:rPr>
        <w:t xml:space="preserve"> </w:t>
      </w:r>
      <w:r w:rsidR="00C54595">
        <w:rPr>
          <w:rFonts w:ascii="Arial" w:hAnsi="Arial" w:cs="Arial"/>
          <w:lang w:val="en-US"/>
        </w:rPr>
        <w:t xml:space="preserve">simple </w:t>
      </w:r>
      <w:r w:rsidR="008F29AD">
        <w:rPr>
          <w:rFonts w:ascii="Arial" w:hAnsi="Arial" w:cs="Arial"/>
          <w:lang w:val="en-US"/>
        </w:rPr>
        <w:t xml:space="preserve">claim </w:t>
      </w:r>
      <w:r w:rsidR="00197953" w:rsidRPr="008F29AD">
        <w:rPr>
          <w:rFonts w:ascii="Arial" w:hAnsi="Arial" w:cs="Arial"/>
          <w:lang w:val="en-US"/>
        </w:rPr>
        <w:t xml:space="preserve">that </w:t>
      </w:r>
      <w:r w:rsidR="0099656B">
        <w:rPr>
          <w:rFonts w:ascii="Arial" w:hAnsi="Arial" w:cs="Arial"/>
          <w:lang w:val="en-US"/>
        </w:rPr>
        <w:t>the appellant’s</w:t>
      </w:r>
      <w:r w:rsidR="00C943B9">
        <w:rPr>
          <w:rFonts w:ascii="Arial" w:hAnsi="Arial" w:cs="Arial"/>
          <w:lang w:val="en-US"/>
        </w:rPr>
        <w:t xml:space="preserve"> </w:t>
      </w:r>
      <w:r w:rsidR="00197953" w:rsidRPr="008F29AD">
        <w:rPr>
          <w:rFonts w:ascii="Arial" w:hAnsi="Arial" w:cs="Arial"/>
          <w:lang w:val="en-US"/>
        </w:rPr>
        <w:t xml:space="preserve">objection </w:t>
      </w:r>
      <w:r w:rsidR="00C943B9">
        <w:rPr>
          <w:rFonts w:ascii="Arial" w:hAnsi="Arial" w:cs="Arial"/>
          <w:lang w:val="en-US"/>
        </w:rPr>
        <w:t>in terms of rule 7 was ag</w:t>
      </w:r>
      <w:r w:rsidR="00197953" w:rsidRPr="008F29AD">
        <w:rPr>
          <w:rFonts w:ascii="Arial" w:hAnsi="Arial" w:cs="Arial"/>
          <w:lang w:val="en-US"/>
        </w:rPr>
        <w:t xml:space="preserve">ainst the </w:t>
      </w:r>
      <w:r w:rsidR="0099656B">
        <w:rPr>
          <w:rFonts w:ascii="Arial" w:hAnsi="Arial" w:cs="Arial"/>
          <w:lang w:val="en-US"/>
        </w:rPr>
        <w:t>‘</w:t>
      </w:r>
      <w:r w:rsidR="00197953" w:rsidRPr="008F29AD">
        <w:rPr>
          <w:rFonts w:ascii="Arial" w:hAnsi="Arial" w:cs="Arial"/>
          <w:lang w:val="en-US"/>
        </w:rPr>
        <w:t>whole</w:t>
      </w:r>
      <w:r w:rsidR="0099656B">
        <w:rPr>
          <w:rFonts w:ascii="Arial" w:hAnsi="Arial" w:cs="Arial"/>
          <w:lang w:val="en-US"/>
        </w:rPr>
        <w:t>’</w:t>
      </w:r>
      <w:r w:rsidR="00197953" w:rsidRPr="008F29AD">
        <w:rPr>
          <w:rFonts w:ascii="Arial" w:hAnsi="Arial" w:cs="Arial"/>
          <w:lang w:val="en-US"/>
        </w:rPr>
        <w:t xml:space="preserve"> of</w:t>
      </w:r>
      <w:r w:rsidR="00B84696" w:rsidRPr="008F29AD">
        <w:rPr>
          <w:rFonts w:ascii="Arial" w:hAnsi="Arial" w:cs="Arial"/>
          <w:lang w:val="en-US"/>
        </w:rPr>
        <w:t xml:space="preserve"> the</w:t>
      </w:r>
      <w:r w:rsidR="00197953" w:rsidRPr="008F29AD">
        <w:rPr>
          <w:rFonts w:ascii="Arial" w:hAnsi="Arial" w:cs="Arial"/>
          <w:lang w:val="en-US"/>
        </w:rPr>
        <w:t xml:space="preserve"> disputed assessment</w:t>
      </w:r>
      <w:r w:rsidR="0099656B">
        <w:rPr>
          <w:rFonts w:ascii="Arial" w:hAnsi="Arial" w:cs="Arial"/>
          <w:lang w:val="en-US"/>
        </w:rPr>
        <w:t>, and as such</w:t>
      </w:r>
      <w:r w:rsidR="00197953" w:rsidRPr="008F29AD">
        <w:rPr>
          <w:rFonts w:ascii="Arial" w:hAnsi="Arial" w:cs="Arial"/>
          <w:lang w:val="en-US"/>
        </w:rPr>
        <w:t xml:space="preserve"> </w:t>
      </w:r>
      <w:r w:rsidR="0072065B">
        <w:rPr>
          <w:rFonts w:ascii="Arial" w:hAnsi="Arial" w:cs="Arial"/>
          <w:lang w:val="en-US"/>
        </w:rPr>
        <w:t xml:space="preserve">thereby </w:t>
      </w:r>
      <w:r w:rsidR="00197953" w:rsidRPr="008F29AD">
        <w:rPr>
          <w:rFonts w:ascii="Arial" w:hAnsi="Arial" w:cs="Arial"/>
          <w:lang w:val="en-US"/>
        </w:rPr>
        <w:t xml:space="preserve">also </w:t>
      </w:r>
      <w:r w:rsidR="00C54595">
        <w:rPr>
          <w:rFonts w:ascii="Arial" w:hAnsi="Arial" w:cs="Arial"/>
          <w:lang w:val="en-US"/>
        </w:rPr>
        <w:t xml:space="preserve">implicitly </w:t>
      </w:r>
      <w:r w:rsidR="00197953" w:rsidRPr="008F29AD">
        <w:rPr>
          <w:rFonts w:ascii="Arial" w:hAnsi="Arial" w:cs="Arial"/>
          <w:lang w:val="en-US"/>
        </w:rPr>
        <w:t xml:space="preserve">included an objection against </w:t>
      </w:r>
      <w:r w:rsidR="0072065B">
        <w:rPr>
          <w:rFonts w:ascii="Arial" w:hAnsi="Arial" w:cs="Arial"/>
          <w:lang w:val="en-US"/>
        </w:rPr>
        <w:t xml:space="preserve">the assessment of its </w:t>
      </w:r>
      <w:r w:rsidR="00197953" w:rsidRPr="008F29AD">
        <w:rPr>
          <w:rFonts w:ascii="Arial" w:hAnsi="Arial" w:cs="Arial"/>
          <w:lang w:val="en-US"/>
        </w:rPr>
        <w:t>gross income</w:t>
      </w:r>
      <w:r w:rsidR="0072065B">
        <w:rPr>
          <w:rFonts w:ascii="Arial" w:hAnsi="Arial" w:cs="Arial"/>
          <w:lang w:val="en-US"/>
        </w:rPr>
        <w:t>, either in part or in respect of an amount contained in it</w:t>
      </w:r>
      <w:r w:rsidR="002C5839">
        <w:rPr>
          <w:rFonts w:ascii="Arial" w:hAnsi="Arial" w:cs="Arial"/>
          <w:lang w:val="en-US"/>
        </w:rPr>
        <w:t xml:space="preserve">, </w:t>
      </w:r>
      <w:r w:rsidR="0072065B">
        <w:rPr>
          <w:rFonts w:ascii="Arial" w:hAnsi="Arial" w:cs="Arial"/>
          <w:lang w:val="en-US"/>
        </w:rPr>
        <w:t>would not be valid or permissible, on a proper</w:t>
      </w:r>
      <w:r w:rsidR="002C5839">
        <w:rPr>
          <w:rFonts w:ascii="Arial" w:hAnsi="Arial" w:cs="Arial"/>
          <w:lang w:val="en-US"/>
        </w:rPr>
        <w:t xml:space="preserve"> </w:t>
      </w:r>
      <w:r w:rsidR="0072065B">
        <w:rPr>
          <w:rFonts w:ascii="Arial" w:hAnsi="Arial" w:cs="Arial"/>
          <w:lang w:val="en-US"/>
        </w:rPr>
        <w:t>application</w:t>
      </w:r>
      <w:r w:rsidR="002C5839">
        <w:rPr>
          <w:rFonts w:ascii="Arial" w:hAnsi="Arial" w:cs="Arial"/>
          <w:lang w:val="en-US"/>
        </w:rPr>
        <w:t xml:space="preserve"> of rule 7(2)(b)</w:t>
      </w:r>
      <w:r w:rsidR="00197953" w:rsidRPr="008F29AD">
        <w:rPr>
          <w:rFonts w:ascii="Arial" w:hAnsi="Arial" w:cs="Arial"/>
          <w:lang w:val="en-US"/>
        </w:rPr>
        <w:t>.</w:t>
      </w:r>
      <w:r w:rsidR="0068048E">
        <w:rPr>
          <w:rFonts w:ascii="Arial" w:hAnsi="Arial" w:cs="Arial"/>
          <w:lang w:val="en-US"/>
        </w:rPr>
        <w:t xml:space="preserve"> As </w:t>
      </w:r>
      <w:r w:rsidR="00BA1819">
        <w:rPr>
          <w:rFonts w:ascii="Arial" w:hAnsi="Arial" w:cs="Arial"/>
          <w:lang w:val="en-US"/>
        </w:rPr>
        <w:t>is</w:t>
      </w:r>
      <w:r w:rsidR="0068048E">
        <w:rPr>
          <w:rFonts w:ascii="Arial" w:hAnsi="Arial" w:cs="Arial"/>
          <w:lang w:val="en-US"/>
        </w:rPr>
        <w:t xml:space="preserve"> evident from the assessment which </w:t>
      </w:r>
      <w:r w:rsidR="00A74BEB">
        <w:rPr>
          <w:rFonts w:ascii="Arial" w:hAnsi="Arial" w:cs="Arial"/>
          <w:lang w:val="en-US"/>
        </w:rPr>
        <w:t>is in issue</w:t>
      </w:r>
      <w:r w:rsidR="00BA1819">
        <w:rPr>
          <w:rFonts w:ascii="Arial" w:hAnsi="Arial" w:cs="Arial"/>
          <w:lang w:val="en-US"/>
        </w:rPr>
        <w:t xml:space="preserve"> (which dealt with income tax)</w:t>
      </w:r>
      <w:r w:rsidR="0068048E">
        <w:rPr>
          <w:rFonts w:ascii="Arial" w:hAnsi="Arial" w:cs="Arial"/>
          <w:lang w:val="en-US"/>
        </w:rPr>
        <w:t xml:space="preserve">, it consists of very many parts which contain many items and amounts. </w:t>
      </w:r>
      <w:r w:rsidR="00197953">
        <w:rPr>
          <w:rFonts w:ascii="Arial" w:hAnsi="Arial" w:cs="Arial"/>
          <w:lang w:val="en-US"/>
        </w:rPr>
        <w:t xml:space="preserve"> </w:t>
      </w:r>
    </w:p>
    <w:p w14:paraId="6AEF0F39" w14:textId="77777777" w:rsidR="002107E3" w:rsidRDefault="002107E3" w:rsidP="00197953">
      <w:pPr>
        <w:spacing w:line="480" w:lineRule="auto"/>
        <w:jc w:val="both"/>
        <w:rPr>
          <w:rFonts w:ascii="Arial" w:hAnsi="Arial" w:cs="Arial"/>
          <w:lang w:val="en-US"/>
        </w:rPr>
      </w:pPr>
    </w:p>
    <w:p w14:paraId="627414EE" w14:textId="3F5FD927" w:rsidR="0095523F" w:rsidRDefault="002107E3" w:rsidP="00197953">
      <w:pPr>
        <w:spacing w:line="480" w:lineRule="auto"/>
        <w:jc w:val="both"/>
        <w:rPr>
          <w:rFonts w:ascii="Arial" w:hAnsi="Arial" w:cs="Arial"/>
          <w:lang w:val="en-US"/>
        </w:rPr>
      </w:pPr>
      <w:r>
        <w:rPr>
          <w:rFonts w:ascii="Arial" w:hAnsi="Arial" w:cs="Arial"/>
          <w:lang w:val="en-US"/>
        </w:rPr>
        <w:t>[6</w:t>
      </w:r>
      <w:r w:rsidR="0072065B">
        <w:rPr>
          <w:rFonts w:ascii="Arial" w:hAnsi="Arial" w:cs="Arial"/>
          <w:lang w:val="en-US"/>
        </w:rPr>
        <w:t>9</w:t>
      </w:r>
      <w:r>
        <w:rPr>
          <w:rFonts w:ascii="Arial" w:hAnsi="Arial" w:cs="Arial"/>
          <w:lang w:val="en-US"/>
        </w:rPr>
        <w:t>]</w:t>
      </w:r>
      <w:r>
        <w:rPr>
          <w:rFonts w:ascii="Arial" w:hAnsi="Arial" w:cs="Arial"/>
          <w:lang w:val="en-US"/>
        </w:rPr>
        <w:tab/>
      </w:r>
      <w:r w:rsidR="00037453">
        <w:rPr>
          <w:rFonts w:ascii="Arial" w:hAnsi="Arial" w:cs="Arial"/>
          <w:lang w:val="en-US"/>
        </w:rPr>
        <w:t xml:space="preserve">But, even if a taxpayer is not precluded from lodging an </w:t>
      </w:r>
      <w:r w:rsidR="002776A9">
        <w:rPr>
          <w:rFonts w:ascii="Arial" w:hAnsi="Arial" w:cs="Arial"/>
          <w:lang w:val="en-US"/>
        </w:rPr>
        <w:t xml:space="preserve">unspecific </w:t>
      </w:r>
      <w:r w:rsidR="00037453">
        <w:rPr>
          <w:rFonts w:ascii="Arial" w:hAnsi="Arial" w:cs="Arial"/>
          <w:lang w:val="en-US"/>
        </w:rPr>
        <w:t xml:space="preserve">objection against the </w:t>
      </w:r>
      <w:r w:rsidR="002776A9">
        <w:rPr>
          <w:rFonts w:ascii="Arial" w:hAnsi="Arial" w:cs="Arial"/>
          <w:lang w:val="en-US"/>
        </w:rPr>
        <w:t>‘</w:t>
      </w:r>
      <w:r w:rsidR="00037453">
        <w:rPr>
          <w:rFonts w:ascii="Arial" w:hAnsi="Arial" w:cs="Arial"/>
          <w:lang w:val="en-US"/>
        </w:rPr>
        <w:t>whole</w:t>
      </w:r>
      <w:r w:rsidR="002776A9">
        <w:rPr>
          <w:rFonts w:ascii="Arial" w:hAnsi="Arial" w:cs="Arial"/>
          <w:lang w:val="en-US"/>
        </w:rPr>
        <w:t>’</w:t>
      </w:r>
      <w:r w:rsidR="00037453">
        <w:rPr>
          <w:rFonts w:ascii="Arial" w:hAnsi="Arial" w:cs="Arial"/>
          <w:lang w:val="en-US"/>
        </w:rPr>
        <w:t xml:space="preserve"> of an assessment</w:t>
      </w:r>
      <w:r w:rsidR="002776A9">
        <w:rPr>
          <w:rFonts w:ascii="Arial" w:hAnsi="Arial" w:cs="Arial"/>
          <w:lang w:val="en-US"/>
        </w:rPr>
        <w:t xml:space="preserve"> (in this regard there may, for example, be instances where an assessment only has one part and/or amount in it, which is disputed</w:t>
      </w:r>
      <w:r w:rsidR="00037453">
        <w:rPr>
          <w:rFonts w:ascii="Arial" w:hAnsi="Arial" w:cs="Arial"/>
          <w:lang w:val="en-US"/>
        </w:rPr>
        <w:t xml:space="preserve">, </w:t>
      </w:r>
      <w:r w:rsidR="002776A9">
        <w:rPr>
          <w:rFonts w:ascii="Arial" w:hAnsi="Arial" w:cs="Arial"/>
          <w:lang w:val="en-US"/>
        </w:rPr>
        <w:t xml:space="preserve">and an objection against the ‘whole’ assessment would effectively amount to an objection to the part and/or amount therein), </w:t>
      </w:r>
      <w:r w:rsidR="00037453">
        <w:rPr>
          <w:rFonts w:ascii="Arial" w:hAnsi="Arial" w:cs="Arial"/>
          <w:lang w:val="en-US"/>
        </w:rPr>
        <w:t>it is evident that the appellant did not do so in this matter, a</w:t>
      </w:r>
      <w:r w:rsidR="001F1689">
        <w:rPr>
          <w:rFonts w:ascii="Arial" w:hAnsi="Arial" w:cs="Arial"/>
          <w:lang w:val="en-US"/>
        </w:rPr>
        <w:t>s</w:t>
      </w:r>
      <w:r w:rsidR="00037453">
        <w:rPr>
          <w:rFonts w:ascii="Arial" w:hAnsi="Arial" w:cs="Arial"/>
          <w:lang w:val="en-US"/>
        </w:rPr>
        <w:t xml:space="preserve"> its grounds of objection pertained to </w:t>
      </w:r>
      <w:r w:rsidR="00197953">
        <w:rPr>
          <w:rFonts w:ascii="Arial" w:hAnsi="Arial" w:cs="Arial"/>
          <w:lang w:val="en-US"/>
        </w:rPr>
        <w:t>specifi</w:t>
      </w:r>
      <w:r w:rsidR="00037453">
        <w:rPr>
          <w:rFonts w:ascii="Arial" w:hAnsi="Arial" w:cs="Arial"/>
          <w:lang w:val="en-US"/>
        </w:rPr>
        <w:t xml:space="preserve">c parts of, and amounts in, the </w:t>
      </w:r>
      <w:r w:rsidR="00591158">
        <w:rPr>
          <w:rFonts w:ascii="Arial" w:hAnsi="Arial" w:cs="Arial"/>
          <w:lang w:val="en-US"/>
        </w:rPr>
        <w:t xml:space="preserve">additional </w:t>
      </w:r>
      <w:r w:rsidR="00037453">
        <w:rPr>
          <w:rFonts w:ascii="Arial" w:hAnsi="Arial" w:cs="Arial"/>
          <w:lang w:val="en-US"/>
        </w:rPr>
        <w:t>assessment</w:t>
      </w:r>
      <w:r w:rsidR="00591158">
        <w:rPr>
          <w:rFonts w:ascii="Arial" w:hAnsi="Arial" w:cs="Arial"/>
          <w:lang w:val="en-US"/>
        </w:rPr>
        <w:t>.</w:t>
      </w:r>
      <w:r w:rsidR="00591158" w:rsidRPr="00591158">
        <w:rPr>
          <w:rFonts w:ascii="Arial" w:hAnsi="Arial" w:cs="Arial"/>
          <w:lang w:val="en-US"/>
        </w:rPr>
        <w:t xml:space="preserve"> </w:t>
      </w:r>
      <w:r w:rsidR="00591158">
        <w:rPr>
          <w:rFonts w:ascii="Arial" w:hAnsi="Arial" w:cs="Arial"/>
          <w:lang w:val="en-US"/>
        </w:rPr>
        <w:t xml:space="preserve">In this regard, in its letter of objection </w:t>
      </w:r>
      <w:r w:rsidR="00197953">
        <w:rPr>
          <w:rStyle w:val="FootnoteReference"/>
          <w:rFonts w:ascii="Arial" w:hAnsi="Arial" w:cs="Arial"/>
          <w:lang w:val="en-US"/>
        </w:rPr>
        <w:footnoteReference w:id="20"/>
      </w:r>
      <w:r w:rsidR="00197953">
        <w:rPr>
          <w:rFonts w:ascii="Arial" w:hAnsi="Arial" w:cs="Arial"/>
          <w:lang w:val="en-US"/>
        </w:rPr>
        <w:t xml:space="preserve"> </w:t>
      </w:r>
      <w:r w:rsidR="000A5547">
        <w:rPr>
          <w:rFonts w:ascii="Arial" w:hAnsi="Arial" w:cs="Arial"/>
          <w:lang w:val="en-US"/>
        </w:rPr>
        <w:t xml:space="preserve">it complained about 5 </w:t>
      </w:r>
      <w:r w:rsidR="00866DD6">
        <w:rPr>
          <w:rFonts w:ascii="Arial" w:hAnsi="Arial" w:cs="Arial"/>
          <w:lang w:val="en-US"/>
        </w:rPr>
        <w:t xml:space="preserve">specific parts and amounts </w:t>
      </w:r>
      <w:r w:rsidR="000A5547">
        <w:rPr>
          <w:rFonts w:ascii="Arial" w:hAnsi="Arial" w:cs="Arial"/>
          <w:lang w:val="en-US"/>
        </w:rPr>
        <w:t>of</w:t>
      </w:r>
      <w:r w:rsidR="00866DD6">
        <w:rPr>
          <w:rFonts w:ascii="Arial" w:hAnsi="Arial" w:cs="Arial"/>
          <w:lang w:val="en-US"/>
        </w:rPr>
        <w:t xml:space="preserve">, and in, </w:t>
      </w:r>
      <w:r w:rsidR="000A5547">
        <w:rPr>
          <w:rFonts w:ascii="Arial" w:hAnsi="Arial" w:cs="Arial"/>
          <w:lang w:val="en-US"/>
        </w:rPr>
        <w:t>the assessment</w:t>
      </w:r>
      <w:r w:rsidR="00591158">
        <w:rPr>
          <w:rFonts w:ascii="Arial" w:hAnsi="Arial" w:cs="Arial"/>
          <w:lang w:val="en-US"/>
        </w:rPr>
        <w:t xml:space="preserve">: (i) the inclusion of an amount of R 4 197 000 in its gross income, which it contended was exempt from tax </w:t>
      </w:r>
      <w:r w:rsidR="00591158">
        <w:rPr>
          <w:rStyle w:val="FootnoteReference"/>
          <w:rFonts w:ascii="Arial" w:hAnsi="Arial" w:cs="Arial"/>
          <w:lang w:val="en-US"/>
        </w:rPr>
        <w:footnoteReference w:id="21"/>
      </w:r>
      <w:r w:rsidR="00591158">
        <w:rPr>
          <w:rFonts w:ascii="Arial" w:hAnsi="Arial" w:cs="Arial"/>
          <w:lang w:val="en-US"/>
        </w:rPr>
        <w:t xml:space="preserve"> as an employment tax incentive credit</w:t>
      </w:r>
      <w:r w:rsidR="000A5547">
        <w:rPr>
          <w:rFonts w:ascii="Arial" w:hAnsi="Arial" w:cs="Arial"/>
          <w:lang w:val="en-US"/>
        </w:rPr>
        <w:t xml:space="preserve"> </w:t>
      </w:r>
      <w:r w:rsidR="00591158">
        <w:rPr>
          <w:rFonts w:ascii="Arial" w:hAnsi="Arial" w:cs="Arial"/>
          <w:lang w:val="en-US"/>
        </w:rPr>
        <w:t xml:space="preserve">(ii) the disallowance of </w:t>
      </w:r>
      <w:r w:rsidR="00866DD6">
        <w:rPr>
          <w:rFonts w:ascii="Arial" w:hAnsi="Arial" w:cs="Arial"/>
          <w:lang w:val="en-US"/>
        </w:rPr>
        <w:t>an amount of R 300 000 (paid as rental for a property it occupied) as a deductible expense from taxable income</w:t>
      </w:r>
      <w:r w:rsidR="00866DD6">
        <w:rPr>
          <w:rStyle w:val="FootnoteReference"/>
          <w:rFonts w:ascii="Arial" w:hAnsi="Arial" w:cs="Arial"/>
          <w:lang w:val="en-US"/>
        </w:rPr>
        <w:footnoteReference w:id="22"/>
      </w:r>
      <w:r w:rsidR="00866DD6">
        <w:rPr>
          <w:rFonts w:ascii="Arial" w:hAnsi="Arial" w:cs="Arial"/>
          <w:lang w:val="en-US"/>
        </w:rPr>
        <w:t xml:space="preserve"> (iii) the disallowance of the disputed amount of R 11 072 237 (paid to BECP) as a deductible expense from taxable income (iv) the levying of an understatement penalty of 10% of the tax value of the disputed amount and (v) the levying of interest on the basis of an underestimation of provisional tax.  </w:t>
      </w:r>
      <w:r w:rsidR="00502116">
        <w:rPr>
          <w:rFonts w:ascii="Arial" w:hAnsi="Arial" w:cs="Arial"/>
          <w:lang w:val="en-US"/>
        </w:rPr>
        <w:t>I</w:t>
      </w:r>
      <w:r w:rsidR="00866DD6">
        <w:rPr>
          <w:rFonts w:ascii="Arial" w:hAnsi="Arial" w:cs="Arial"/>
          <w:lang w:val="en-US"/>
        </w:rPr>
        <w:t xml:space="preserve">n </w:t>
      </w:r>
      <w:r w:rsidR="00037453">
        <w:rPr>
          <w:rFonts w:ascii="Arial" w:hAnsi="Arial" w:cs="Arial"/>
          <w:lang w:val="en-US"/>
        </w:rPr>
        <w:t xml:space="preserve">regard to its treatment of the </w:t>
      </w:r>
      <w:r w:rsidR="00866DD6">
        <w:rPr>
          <w:rFonts w:ascii="Arial" w:hAnsi="Arial" w:cs="Arial"/>
          <w:lang w:val="en-US"/>
        </w:rPr>
        <w:t xml:space="preserve">disputed </w:t>
      </w:r>
      <w:r w:rsidR="00037453">
        <w:rPr>
          <w:rFonts w:ascii="Arial" w:hAnsi="Arial" w:cs="Arial"/>
          <w:lang w:val="en-US"/>
        </w:rPr>
        <w:t>amount which is in issue in this matter i</w:t>
      </w:r>
      <w:r w:rsidR="00291925">
        <w:rPr>
          <w:rFonts w:ascii="Arial" w:hAnsi="Arial" w:cs="Arial"/>
          <w:lang w:val="en-US"/>
        </w:rPr>
        <w:t>t</w:t>
      </w:r>
      <w:r w:rsidR="00197953">
        <w:rPr>
          <w:rFonts w:ascii="Arial" w:hAnsi="Arial" w:cs="Arial"/>
          <w:lang w:val="en-US"/>
        </w:rPr>
        <w:t xml:space="preserve"> specified that the </w:t>
      </w:r>
      <w:r w:rsidR="0072065B">
        <w:rPr>
          <w:rFonts w:ascii="Arial" w:hAnsi="Arial" w:cs="Arial"/>
          <w:lang w:val="en-US"/>
        </w:rPr>
        <w:t>‘</w:t>
      </w:r>
      <w:r w:rsidR="00197953">
        <w:rPr>
          <w:rFonts w:ascii="Arial" w:hAnsi="Arial" w:cs="Arial"/>
          <w:lang w:val="en-US"/>
        </w:rPr>
        <w:t>part</w:t>
      </w:r>
      <w:r w:rsidR="0072065B">
        <w:rPr>
          <w:rFonts w:ascii="Arial" w:hAnsi="Arial" w:cs="Arial"/>
          <w:lang w:val="en-US"/>
        </w:rPr>
        <w:t>’</w:t>
      </w:r>
      <w:r w:rsidR="00197953">
        <w:rPr>
          <w:rFonts w:ascii="Arial" w:hAnsi="Arial" w:cs="Arial"/>
          <w:lang w:val="en-US"/>
        </w:rPr>
        <w:t xml:space="preserve"> </w:t>
      </w:r>
      <w:r w:rsidR="0072065B">
        <w:rPr>
          <w:rFonts w:ascii="Arial" w:hAnsi="Arial" w:cs="Arial"/>
          <w:lang w:val="en-US"/>
        </w:rPr>
        <w:t>and the ‘amount’ which it</w:t>
      </w:r>
      <w:r w:rsidR="00197953">
        <w:rPr>
          <w:rFonts w:ascii="Arial" w:hAnsi="Arial" w:cs="Arial"/>
          <w:lang w:val="en-US"/>
        </w:rPr>
        <w:t xml:space="preserve"> objected </w:t>
      </w:r>
      <w:r w:rsidR="00BB27A9">
        <w:rPr>
          <w:rFonts w:ascii="Arial" w:hAnsi="Arial" w:cs="Arial"/>
          <w:lang w:val="en-US"/>
        </w:rPr>
        <w:t>to</w:t>
      </w:r>
      <w:r w:rsidR="00197953">
        <w:rPr>
          <w:rFonts w:ascii="Arial" w:hAnsi="Arial" w:cs="Arial"/>
          <w:lang w:val="en-US"/>
        </w:rPr>
        <w:t xml:space="preserve"> was </w:t>
      </w:r>
      <w:r w:rsidR="0072065B">
        <w:rPr>
          <w:rFonts w:ascii="Arial" w:hAnsi="Arial" w:cs="Arial"/>
          <w:lang w:val="en-US"/>
        </w:rPr>
        <w:t xml:space="preserve">the assessment made in respect of its </w:t>
      </w:r>
      <w:r w:rsidR="0072065B" w:rsidRPr="009E743D">
        <w:rPr>
          <w:rFonts w:ascii="Arial" w:hAnsi="Arial" w:cs="Arial"/>
          <w:i/>
          <w:iCs/>
          <w:lang w:val="en-US"/>
        </w:rPr>
        <w:t>taxable income</w:t>
      </w:r>
      <w:r w:rsidR="0072065B">
        <w:rPr>
          <w:rFonts w:ascii="Arial" w:hAnsi="Arial" w:cs="Arial"/>
          <w:lang w:val="en-US"/>
        </w:rPr>
        <w:t xml:space="preserve">, due to </w:t>
      </w:r>
      <w:r w:rsidR="00197953">
        <w:rPr>
          <w:rFonts w:ascii="Arial" w:hAnsi="Arial" w:cs="Arial"/>
          <w:lang w:val="en-US"/>
        </w:rPr>
        <w:t xml:space="preserve">the disallowance of the </w:t>
      </w:r>
      <w:r w:rsidR="0072065B">
        <w:rPr>
          <w:rFonts w:ascii="Arial" w:hAnsi="Arial" w:cs="Arial"/>
          <w:lang w:val="en-US"/>
        </w:rPr>
        <w:t xml:space="preserve">claimed </w:t>
      </w:r>
      <w:r w:rsidR="00197953">
        <w:rPr>
          <w:rFonts w:ascii="Arial" w:hAnsi="Arial" w:cs="Arial"/>
          <w:lang w:val="en-US"/>
        </w:rPr>
        <w:t>deduction of the disputed amount</w:t>
      </w:r>
      <w:r w:rsidR="0072065B">
        <w:rPr>
          <w:rFonts w:ascii="Arial" w:hAnsi="Arial" w:cs="Arial"/>
          <w:lang w:val="en-US"/>
        </w:rPr>
        <w:t>, as an expense</w:t>
      </w:r>
      <w:r w:rsidR="00197953">
        <w:rPr>
          <w:rFonts w:ascii="Arial" w:hAnsi="Arial" w:cs="Arial"/>
          <w:lang w:val="en-US"/>
        </w:rPr>
        <w:t>.</w:t>
      </w:r>
      <w:r>
        <w:rPr>
          <w:rFonts w:ascii="Arial" w:hAnsi="Arial" w:cs="Arial"/>
          <w:lang w:val="en-US"/>
        </w:rPr>
        <w:t xml:space="preserve"> </w:t>
      </w:r>
      <w:r w:rsidR="004E78E2">
        <w:rPr>
          <w:rFonts w:ascii="Arial" w:hAnsi="Arial" w:cs="Arial"/>
          <w:lang w:val="en-US"/>
        </w:rPr>
        <w:t xml:space="preserve">Insofar as its gross income was concerned, it lodged no objection against the </w:t>
      </w:r>
      <w:r w:rsidR="00C54595">
        <w:rPr>
          <w:rFonts w:ascii="Arial" w:hAnsi="Arial" w:cs="Arial"/>
          <w:lang w:val="en-US"/>
        </w:rPr>
        <w:t>‘</w:t>
      </w:r>
      <w:r w:rsidR="004E78E2">
        <w:rPr>
          <w:rFonts w:ascii="Arial" w:hAnsi="Arial" w:cs="Arial"/>
          <w:lang w:val="en-US"/>
        </w:rPr>
        <w:t>whole</w:t>
      </w:r>
      <w:r w:rsidR="00C54595">
        <w:rPr>
          <w:rFonts w:ascii="Arial" w:hAnsi="Arial" w:cs="Arial"/>
          <w:lang w:val="en-US"/>
        </w:rPr>
        <w:t>’</w:t>
      </w:r>
      <w:r w:rsidR="004E78E2">
        <w:rPr>
          <w:rFonts w:ascii="Arial" w:hAnsi="Arial" w:cs="Arial"/>
          <w:lang w:val="en-US"/>
        </w:rPr>
        <w:t xml:space="preserve"> thereof (either in amount and/or part). It objected (only) to the inclusion of a specific amount therein, as referred to in paragraph (i).</w:t>
      </w:r>
    </w:p>
    <w:p w14:paraId="1BBC3DB3" w14:textId="77777777" w:rsidR="0095523F" w:rsidRDefault="0095523F" w:rsidP="00197953">
      <w:pPr>
        <w:spacing w:line="480" w:lineRule="auto"/>
        <w:jc w:val="both"/>
        <w:rPr>
          <w:rFonts w:ascii="Arial" w:hAnsi="Arial" w:cs="Arial"/>
          <w:lang w:val="en-US"/>
        </w:rPr>
      </w:pPr>
    </w:p>
    <w:p w14:paraId="4BCBEB28" w14:textId="000354C4" w:rsidR="00197953" w:rsidRDefault="0095523F" w:rsidP="00197953">
      <w:pPr>
        <w:spacing w:line="480" w:lineRule="auto"/>
        <w:jc w:val="both"/>
        <w:rPr>
          <w:rFonts w:ascii="Arial" w:hAnsi="Arial" w:cs="Arial"/>
          <w:lang w:val="en-US"/>
        </w:rPr>
      </w:pPr>
      <w:r>
        <w:rPr>
          <w:rFonts w:ascii="Arial" w:hAnsi="Arial" w:cs="Arial"/>
          <w:lang w:val="en-US"/>
        </w:rPr>
        <w:t>[</w:t>
      </w:r>
      <w:r w:rsidR="00A25C9C">
        <w:rPr>
          <w:rFonts w:ascii="Arial" w:hAnsi="Arial" w:cs="Arial"/>
          <w:lang w:val="en-US"/>
        </w:rPr>
        <w:t>70</w:t>
      </w:r>
      <w:r>
        <w:rPr>
          <w:rFonts w:ascii="Arial" w:hAnsi="Arial" w:cs="Arial"/>
          <w:lang w:val="en-US"/>
        </w:rPr>
        <w:t>]</w:t>
      </w:r>
      <w:r>
        <w:rPr>
          <w:rFonts w:ascii="Arial" w:hAnsi="Arial" w:cs="Arial"/>
          <w:lang w:val="en-US"/>
        </w:rPr>
        <w:tab/>
      </w:r>
      <w:r w:rsidR="00E708B7">
        <w:rPr>
          <w:rFonts w:ascii="Arial" w:hAnsi="Arial" w:cs="Arial"/>
          <w:lang w:val="en-US"/>
        </w:rPr>
        <w:t xml:space="preserve">As we see it, </w:t>
      </w:r>
      <w:r w:rsidR="009E743D">
        <w:rPr>
          <w:rFonts w:ascii="Arial" w:hAnsi="Arial" w:cs="Arial"/>
          <w:lang w:val="en-US"/>
        </w:rPr>
        <w:t xml:space="preserve">given the provisions of rule 7(b)(i) </w:t>
      </w:r>
      <w:r w:rsidR="00E708B7">
        <w:rPr>
          <w:rFonts w:ascii="Arial" w:hAnsi="Arial" w:cs="Arial"/>
          <w:lang w:val="en-US"/>
        </w:rPr>
        <w:t>a</w:t>
      </w:r>
      <w:r w:rsidR="00A25C9C">
        <w:rPr>
          <w:rFonts w:ascii="Arial" w:hAnsi="Arial" w:cs="Arial"/>
          <w:lang w:val="en-US"/>
        </w:rPr>
        <w:t>ny</w:t>
      </w:r>
      <w:r w:rsidR="00197953">
        <w:rPr>
          <w:rFonts w:ascii="Arial" w:hAnsi="Arial" w:cs="Arial"/>
          <w:lang w:val="en-US"/>
        </w:rPr>
        <w:t xml:space="preserve"> </w:t>
      </w:r>
      <w:r w:rsidR="00A25C9C">
        <w:rPr>
          <w:rFonts w:ascii="Arial" w:hAnsi="Arial" w:cs="Arial"/>
          <w:lang w:val="en-US"/>
        </w:rPr>
        <w:t>‘</w:t>
      </w:r>
      <w:r w:rsidR="00197953">
        <w:rPr>
          <w:rFonts w:ascii="Arial" w:hAnsi="Arial" w:cs="Arial"/>
          <w:lang w:val="en-US"/>
        </w:rPr>
        <w:t>new</w:t>
      </w:r>
      <w:r w:rsidR="00A25C9C">
        <w:rPr>
          <w:rFonts w:ascii="Arial" w:hAnsi="Arial" w:cs="Arial"/>
          <w:lang w:val="en-US"/>
        </w:rPr>
        <w:t>’</w:t>
      </w:r>
      <w:r w:rsidR="00197953">
        <w:rPr>
          <w:rFonts w:ascii="Arial" w:hAnsi="Arial" w:cs="Arial"/>
          <w:lang w:val="en-US"/>
        </w:rPr>
        <w:t xml:space="preserve"> ground of appeal </w:t>
      </w:r>
      <w:r w:rsidR="00A25C9C">
        <w:rPr>
          <w:rFonts w:ascii="Arial" w:hAnsi="Arial" w:cs="Arial"/>
          <w:lang w:val="en-US"/>
        </w:rPr>
        <w:t xml:space="preserve">noted </w:t>
      </w:r>
      <w:r w:rsidR="00197953">
        <w:rPr>
          <w:rFonts w:ascii="Arial" w:hAnsi="Arial" w:cs="Arial"/>
          <w:lang w:val="en-US"/>
        </w:rPr>
        <w:t xml:space="preserve">in </w:t>
      </w:r>
      <w:r w:rsidR="00A25C9C">
        <w:rPr>
          <w:rFonts w:ascii="Arial" w:hAnsi="Arial" w:cs="Arial"/>
          <w:lang w:val="en-US"/>
        </w:rPr>
        <w:t xml:space="preserve">a </w:t>
      </w:r>
      <w:r w:rsidR="00197953">
        <w:rPr>
          <w:rFonts w:ascii="Arial" w:hAnsi="Arial" w:cs="Arial"/>
          <w:lang w:val="en-US"/>
        </w:rPr>
        <w:t xml:space="preserve">rule 10(3) </w:t>
      </w:r>
      <w:r w:rsidR="00A25C9C">
        <w:rPr>
          <w:rFonts w:ascii="Arial" w:hAnsi="Arial" w:cs="Arial"/>
          <w:lang w:val="en-US"/>
        </w:rPr>
        <w:t xml:space="preserve">notice of appeal </w:t>
      </w:r>
      <w:r w:rsidR="00197953">
        <w:rPr>
          <w:rFonts w:ascii="Arial" w:hAnsi="Arial" w:cs="Arial"/>
          <w:lang w:val="en-US"/>
        </w:rPr>
        <w:t>and</w:t>
      </w:r>
      <w:r w:rsidR="00A25C9C">
        <w:rPr>
          <w:rFonts w:ascii="Arial" w:hAnsi="Arial" w:cs="Arial"/>
          <w:lang w:val="en-US"/>
        </w:rPr>
        <w:t xml:space="preserve"> a statement in terms of </w:t>
      </w:r>
      <w:r w:rsidR="00197953">
        <w:rPr>
          <w:rFonts w:ascii="Arial" w:hAnsi="Arial" w:cs="Arial"/>
          <w:lang w:val="en-US"/>
        </w:rPr>
        <w:t xml:space="preserve">rule 32(3) </w:t>
      </w:r>
      <w:r w:rsidR="00A25C9C">
        <w:rPr>
          <w:rFonts w:ascii="Arial" w:hAnsi="Arial" w:cs="Arial"/>
          <w:lang w:val="en-US"/>
        </w:rPr>
        <w:t xml:space="preserve">by a taxpayer </w:t>
      </w:r>
      <w:r w:rsidR="00197953">
        <w:rPr>
          <w:rFonts w:ascii="Arial" w:hAnsi="Arial" w:cs="Arial"/>
          <w:lang w:val="en-US"/>
        </w:rPr>
        <w:t xml:space="preserve">must be against </w:t>
      </w:r>
      <w:r w:rsidR="00A25C9C">
        <w:rPr>
          <w:rFonts w:ascii="Arial" w:hAnsi="Arial" w:cs="Arial"/>
          <w:lang w:val="en-US"/>
        </w:rPr>
        <w:t xml:space="preserve">a </w:t>
      </w:r>
      <w:r w:rsidR="00197953">
        <w:rPr>
          <w:rFonts w:ascii="Arial" w:hAnsi="Arial" w:cs="Arial"/>
          <w:lang w:val="en-US"/>
        </w:rPr>
        <w:t xml:space="preserve">specified or identified </w:t>
      </w:r>
      <w:r w:rsidR="00A25C9C">
        <w:rPr>
          <w:rFonts w:ascii="Arial" w:hAnsi="Arial" w:cs="Arial"/>
          <w:lang w:val="en-US"/>
        </w:rPr>
        <w:t>‘</w:t>
      </w:r>
      <w:r w:rsidR="00197953">
        <w:rPr>
          <w:rFonts w:ascii="Arial" w:hAnsi="Arial" w:cs="Arial"/>
          <w:lang w:val="en-US"/>
        </w:rPr>
        <w:t>part</w:t>
      </w:r>
      <w:r w:rsidR="00A25C9C">
        <w:rPr>
          <w:rFonts w:ascii="Arial" w:hAnsi="Arial" w:cs="Arial"/>
          <w:lang w:val="en-US"/>
        </w:rPr>
        <w:t>’ and/or ‘amount’</w:t>
      </w:r>
      <w:r w:rsidR="00197953">
        <w:rPr>
          <w:rFonts w:ascii="Arial" w:hAnsi="Arial" w:cs="Arial"/>
          <w:lang w:val="en-US"/>
        </w:rPr>
        <w:t xml:space="preserve"> of</w:t>
      </w:r>
      <w:r w:rsidR="00A25C9C">
        <w:rPr>
          <w:rFonts w:ascii="Arial" w:hAnsi="Arial" w:cs="Arial"/>
          <w:lang w:val="en-US"/>
        </w:rPr>
        <w:t>, or in,</w:t>
      </w:r>
      <w:r w:rsidR="00197953">
        <w:rPr>
          <w:rFonts w:ascii="Arial" w:hAnsi="Arial" w:cs="Arial"/>
          <w:lang w:val="en-US"/>
        </w:rPr>
        <w:t xml:space="preserve"> the disputed assessment referred to in rule 7.</w:t>
      </w:r>
      <w:r>
        <w:rPr>
          <w:rFonts w:ascii="Arial" w:hAnsi="Arial" w:cs="Arial"/>
          <w:lang w:val="en-US"/>
        </w:rPr>
        <w:t xml:space="preserve"> </w:t>
      </w:r>
      <w:r w:rsidR="00A25C9C">
        <w:rPr>
          <w:rFonts w:ascii="Arial" w:hAnsi="Arial" w:cs="Arial"/>
          <w:lang w:val="en-US"/>
        </w:rPr>
        <w:t xml:space="preserve">Any new ground of appeal which the appellant sought to raise in its rule 32(3) statement </w:t>
      </w:r>
      <w:r w:rsidR="00197953">
        <w:rPr>
          <w:rFonts w:ascii="Arial" w:hAnsi="Arial" w:cs="Arial"/>
          <w:lang w:val="en-US"/>
        </w:rPr>
        <w:t xml:space="preserve">could therefore only be </w:t>
      </w:r>
      <w:r w:rsidR="00A25C9C">
        <w:rPr>
          <w:rFonts w:ascii="Arial" w:hAnsi="Arial" w:cs="Arial"/>
          <w:lang w:val="en-US"/>
        </w:rPr>
        <w:t xml:space="preserve">noted in relation to the </w:t>
      </w:r>
      <w:r w:rsidR="00A25C9C" w:rsidRPr="004D1AC5">
        <w:rPr>
          <w:rFonts w:ascii="Arial" w:hAnsi="Arial" w:cs="Arial"/>
          <w:i/>
          <w:iCs/>
          <w:lang w:val="en-US"/>
        </w:rPr>
        <w:t>selfsame</w:t>
      </w:r>
      <w:r w:rsidR="00A25C9C">
        <w:rPr>
          <w:rFonts w:ascii="Arial" w:hAnsi="Arial" w:cs="Arial"/>
          <w:lang w:val="en-US"/>
        </w:rPr>
        <w:t xml:space="preserve"> </w:t>
      </w:r>
      <w:r w:rsidR="00197953">
        <w:rPr>
          <w:rFonts w:ascii="Arial" w:hAnsi="Arial" w:cs="Arial"/>
          <w:lang w:val="en-US"/>
        </w:rPr>
        <w:t>part of</w:t>
      </w:r>
      <w:r w:rsidR="00A25C9C" w:rsidRPr="00A25C9C">
        <w:rPr>
          <w:rFonts w:ascii="Arial" w:hAnsi="Arial" w:cs="Arial"/>
          <w:lang w:val="en-US"/>
        </w:rPr>
        <w:t xml:space="preserve"> </w:t>
      </w:r>
      <w:r w:rsidR="00A25C9C">
        <w:rPr>
          <w:rFonts w:ascii="Arial" w:hAnsi="Arial" w:cs="Arial"/>
          <w:lang w:val="en-US"/>
        </w:rPr>
        <w:t>and amount in t</w:t>
      </w:r>
      <w:r w:rsidR="00197953">
        <w:rPr>
          <w:rFonts w:ascii="Arial" w:hAnsi="Arial" w:cs="Arial"/>
          <w:lang w:val="en-US"/>
        </w:rPr>
        <w:t>he assessment</w:t>
      </w:r>
      <w:r w:rsidR="00A25C9C">
        <w:rPr>
          <w:rFonts w:ascii="Arial" w:hAnsi="Arial" w:cs="Arial"/>
          <w:lang w:val="en-US"/>
        </w:rPr>
        <w:t>, which was</w:t>
      </w:r>
      <w:r w:rsidR="009E743D">
        <w:rPr>
          <w:rFonts w:ascii="Arial" w:hAnsi="Arial" w:cs="Arial"/>
          <w:lang w:val="en-US"/>
        </w:rPr>
        <w:t xml:space="preserve"> previously</w:t>
      </w:r>
      <w:r w:rsidR="00A25C9C">
        <w:rPr>
          <w:rFonts w:ascii="Arial" w:hAnsi="Arial" w:cs="Arial"/>
          <w:lang w:val="en-US"/>
        </w:rPr>
        <w:t xml:space="preserve"> objected to</w:t>
      </w:r>
      <w:r w:rsidR="00197953">
        <w:rPr>
          <w:rFonts w:ascii="Arial" w:hAnsi="Arial" w:cs="Arial"/>
          <w:lang w:val="en-US"/>
        </w:rPr>
        <w:t>.</w:t>
      </w:r>
      <w:r w:rsidR="000A6ECB">
        <w:rPr>
          <w:rFonts w:ascii="Arial" w:hAnsi="Arial" w:cs="Arial"/>
          <w:lang w:val="en-US"/>
        </w:rPr>
        <w:t xml:space="preserve"> We will revert to this aspect</w:t>
      </w:r>
      <w:r w:rsidR="00E708B7">
        <w:rPr>
          <w:rFonts w:ascii="Arial" w:hAnsi="Arial" w:cs="Arial"/>
          <w:lang w:val="en-US"/>
        </w:rPr>
        <w:t xml:space="preserve"> shortly</w:t>
      </w:r>
      <w:r w:rsidR="000A6ECB">
        <w:rPr>
          <w:rFonts w:ascii="Arial" w:hAnsi="Arial" w:cs="Arial"/>
          <w:lang w:val="en-US"/>
        </w:rPr>
        <w:t>.</w:t>
      </w:r>
    </w:p>
    <w:p w14:paraId="1AB68046" w14:textId="77777777" w:rsidR="007D7499" w:rsidRDefault="007D7499" w:rsidP="00197953">
      <w:pPr>
        <w:spacing w:line="480" w:lineRule="auto"/>
        <w:jc w:val="both"/>
        <w:rPr>
          <w:rFonts w:ascii="Arial" w:hAnsi="Arial" w:cs="Arial"/>
          <w:lang w:val="en-US"/>
        </w:rPr>
      </w:pPr>
    </w:p>
    <w:p w14:paraId="56B9AAB6" w14:textId="2804B56A" w:rsidR="00BF3869" w:rsidRDefault="0095523F" w:rsidP="00197953">
      <w:pPr>
        <w:spacing w:line="480" w:lineRule="auto"/>
        <w:jc w:val="both"/>
        <w:rPr>
          <w:rFonts w:ascii="Arial" w:hAnsi="Arial" w:cs="Arial"/>
          <w:i/>
          <w:lang w:val="en-US"/>
        </w:rPr>
      </w:pPr>
      <w:r>
        <w:rPr>
          <w:rFonts w:ascii="Arial" w:hAnsi="Arial" w:cs="Arial"/>
          <w:lang w:val="en-US"/>
        </w:rPr>
        <w:t>[7</w:t>
      </w:r>
      <w:r w:rsidR="00A25C9C">
        <w:rPr>
          <w:rFonts w:ascii="Arial" w:hAnsi="Arial" w:cs="Arial"/>
          <w:lang w:val="en-US"/>
        </w:rPr>
        <w:t>1</w:t>
      </w:r>
      <w:r>
        <w:rPr>
          <w:rFonts w:ascii="Arial" w:hAnsi="Arial" w:cs="Arial"/>
          <w:lang w:val="en-US"/>
        </w:rPr>
        <w:t>]</w:t>
      </w:r>
      <w:r>
        <w:rPr>
          <w:rFonts w:ascii="Arial" w:hAnsi="Arial" w:cs="Arial"/>
          <w:lang w:val="en-US"/>
        </w:rPr>
        <w:tab/>
      </w:r>
      <w:r w:rsidR="00A25C9C">
        <w:rPr>
          <w:rFonts w:ascii="Arial" w:hAnsi="Arial" w:cs="Arial"/>
          <w:lang w:val="en-US"/>
        </w:rPr>
        <w:t xml:space="preserve">The appellant concedes that rule 32(3) should not be interpreted in isolation and must be considered in the </w:t>
      </w:r>
      <w:r w:rsidR="00A43586">
        <w:rPr>
          <w:rFonts w:ascii="Arial" w:hAnsi="Arial" w:cs="Arial"/>
          <w:lang w:val="en-US"/>
        </w:rPr>
        <w:t>context</w:t>
      </w:r>
      <w:r w:rsidR="00A25C9C">
        <w:rPr>
          <w:rFonts w:ascii="Arial" w:hAnsi="Arial" w:cs="Arial"/>
          <w:lang w:val="en-US"/>
        </w:rPr>
        <w:t xml:space="preserve"> of rules 10(3) and 10(4)</w:t>
      </w:r>
      <w:r w:rsidR="004D1AC5">
        <w:rPr>
          <w:rFonts w:ascii="Arial" w:hAnsi="Arial" w:cs="Arial"/>
          <w:lang w:val="en-US"/>
        </w:rPr>
        <w:t>, which deal with the noting of an appeal to the disallowance of an objection</w:t>
      </w:r>
      <w:r w:rsidR="00A43586">
        <w:rPr>
          <w:rFonts w:ascii="Arial" w:hAnsi="Arial" w:cs="Arial"/>
          <w:lang w:val="en-US"/>
        </w:rPr>
        <w:t>. Notwithstanding this</w:t>
      </w:r>
      <w:r w:rsidR="00C54595">
        <w:rPr>
          <w:rFonts w:ascii="Arial" w:hAnsi="Arial" w:cs="Arial"/>
          <w:lang w:val="en-US"/>
        </w:rPr>
        <w:t>, as pointed out</w:t>
      </w:r>
      <w:r w:rsidR="00197953">
        <w:rPr>
          <w:rFonts w:ascii="Arial" w:hAnsi="Arial" w:cs="Arial"/>
          <w:lang w:val="en-US"/>
        </w:rPr>
        <w:t xml:space="preserve"> </w:t>
      </w:r>
      <w:r w:rsidR="00A43586">
        <w:rPr>
          <w:rFonts w:ascii="Arial" w:hAnsi="Arial" w:cs="Arial"/>
          <w:lang w:val="en-US"/>
        </w:rPr>
        <w:t xml:space="preserve">the </w:t>
      </w:r>
      <w:r w:rsidR="00197953">
        <w:rPr>
          <w:rFonts w:ascii="Arial" w:hAnsi="Arial" w:cs="Arial"/>
          <w:lang w:val="en-US"/>
        </w:rPr>
        <w:t>appellant</w:t>
      </w:r>
      <w:r w:rsidR="00A25C9C" w:rsidRPr="00A25C9C">
        <w:rPr>
          <w:rFonts w:ascii="Arial" w:hAnsi="Arial" w:cs="Arial"/>
          <w:lang w:val="en-US"/>
        </w:rPr>
        <w:t xml:space="preserve"> </w:t>
      </w:r>
      <w:r w:rsidR="00A25C9C">
        <w:rPr>
          <w:rFonts w:ascii="Arial" w:hAnsi="Arial" w:cs="Arial"/>
          <w:lang w:val="en-US"/>
        </w:rPr>
        <w:t>contends</w:t>
      </w:r>
      <w:r w:rsidR="00291925">
        <w:rPr>
          <w:rFonts w:ascii="Arial" w:hAnsi="Arial" w:cs="Arial"/>
          <w:lang w:val="en-US"/>
        </w:rPr>
        <w:t>,</w:t>
      </w:r>
      <w:r w:rsidR="00197953">
        <w:rPr>
          <w:rFonts w:ascii="Arial" w:hAnsi="Arial" w:cs="Arial"/>
          <w:lang w:val="en-US"/>
        </w:rPr>
        <w:t xml:space="preserve"> relying on </w:t>
      </w:r>
      <w:r w:rsidR="00197953" w:rsidRPr="008409D5">
        <w:rPr>
          <w:rFonts w:ascii="Arial" w:hAnsi="Arial" w:cs="Arial"/>
          <w:i/>
          <w:lang w:val="en-US"/>
        </w:rPr>
        <w:t>ITC 1912</w:t>
      </w:r>
      <w:r w:rsidR="00A25C9C">
        <w:rPr>
          <w:rFonts w:ascii="Arial" w:hAnsi="Arial" w:cs="Arial"/>
          <w:i/>
          <w:lang w:val="en-US"/>
        </w:rPr>
        <w:t>,</w:t>
      </w:r>
      <w:r w:rsidR="00197953">
        <w:rPr>
          <w:rFonts w:ascii="Arial" w:hAnsi="Arial" w:cs="Arial"/>
          <w:lang w:val="en-US"/>
        </w:rPr>
        <w:t xml:space="preserve"> that if regard should be had to the scheme of the </w:t>
      </w:r>
      <w:r w:rsidR="009E743D">
        <w:rPr>
          <w:rFonts w:ascii="Arial" w:hAnsi="Arial" w:cs="Arial"/>
          <w:lang w:val="en-US"/>
        </w:rPr>
        <w:t xml:space="preserve">TCR, </w:t>
      </w:r>
      <w:r w:rsidR="00197953">
        <w:rPr>
          <w:rFonts w:ascii="Arial" w:hAnsi="Arial" w:cs="Arial"/>
          <w:lang w:val="en-US"/>
        </w:rPr>
        <w:t xml:space="preserve">taxpayers are no longer restricted on appeal to the grounds of objection that </w:t>
      </w:r>
      <w:r w:rsidR="00A43586">
        <w:rPr>
          <w:rFonts w:ascii="Arial" w:hAnsi="Arial" w:cs="Arial"/>
          <w:lang w:val="en-US"/>
        </w:rPr>
        <w:t>are</w:t>
      </w:r>
      <w:r w:rsidR="00197953">
        <w:rPr>
          <w:rFonts w:ascii="Arial" w:hAnsi="Arial" w:cs="Arial"/>
          <w:lang w:val="en-US"/>
        </w:rPr>
        <w:t xml:space="preserve"> filed by them in terms of rule 7. </w:t>
      </w:r>
      <w:r w:rsidR="00A43586">
        <w:rPr>
          <w:rFonts w:ascii="Arial" w:hAnsi="Arial" w:cs="Arial"/>
          <w:lang w:val="en-US"/>
        </w:rPr>
        <w:t xml:space="preserve">This may be so as a general proposition, </w:t>
      </w:r>
      <w:r w:rsidR="00197953">
        <w:rPr>
          <w:rFonts w:ascii="Arial" w:hAnsi="Arial" w:cs="Arial"/>
          <w:lang w:val="en-US"/>
        </w:rPr>
        <w:t>as stated by Kei</w:t>
      </w:r>
      <w:r w:rsidR="00944D91">
        <w:rPr>
          <w:rFonts w:ascii="Arial" w:hAnsi="Arial" w:cs="Arial"/>
          <w:lang w:val="en-US"/>
        </w:rPr>
        <w:t>ghtl</w:t>
      </w:r>
      <w:r w:rsidR="00197953">
        <w:rPr>
          <w:rFonts w:ascii="Arial" w:hAnsi="Arial" w:cs="Arial"/>
          <w:lang w:val="en-US"/>
        </w:rPr>
        <w:t xml:space="preserve">ey J in </w:t>
      </w:r>
      <w:r w:rsidR="00197953" w:rsidRPr="008409D5">
        <w:rPr>
          <w:rFonts w:ascii="Arial" w:hAnsi="Arial" w:cs="Arial"/>
          <w:i/>
          <w:lang w:val="en-US"/>
        </w:rPr>
        <w:t>ITC 1912</w:t>
      </w:r>
      <w:r w:rsidR="00197953">
        <w:rPr>
          <w:rFonts w:ascii="Arial" w:hAnsi="Arial" w:cs="Arial"/>
          <w:lang w:val="en-US"/>
        </w:rPr>
        <w:t xml:space="preserve">, </w:t>
      </w:r>
      <w:r w:rsidR="00291925">
        <w:rPr>
          <w:rFonts w:ascii="Arial" w:hAnsi="Arial" w:cs="Arial"/>
          <w:lang w:val="en-US"/>
        </w:rPr>
        <w:t>however</w:t>
      </w:r>
      <w:r w:rsidR="00197953">
        <w:rPr>
          <w:rFonts w:ascii="Arial" w:hAnsi="Arial" w:cs="Arial"/>
          <w:lang w:val="en-US"/>
        </w:rPr>
        <w:t xml:space="preserve"> in </w:t>
      </w:r>
      <w:r w:rsidR="00A43586">
        <w:rPr>
          <w:rFonts w:ascii="Arial" w:hAnsi="Arial" w:cs="Arial"/>
          <w:lang w:val="en-US"/>
        </w:rPr>
        <w:t>our</w:t>
      </w:r>
      <w:r w:rsidR="00197953">
        <w:rPr>
          <w:rFonts w:ascii="Arial" w:hAnsi="Arial" w:cs="Arial"/>
          <w:lang w:val="en-US"/>
        </w:rPr>
        <w:t xml:space="preserve"> view the </w:t>
      </w:r>
      <w:r w:rsidR="00A43586">
        <w:rPr>
          <w:rFonts w:ascii="Arial" w:hAnsi="Arial" w:cs="Arial"/>
          <w:lang w:val="en-US"/>
        </w:rPr>
        <w:t>subr</w:t>
      </w:r>
      <w:r w:rsidR="00197953">
        <w:rPr>
          <w:rFonts w:ascii="Arial" w:hAnsi="Arial" w:cs="Arial"/>
          <w:lang w:val="en-US"/>
        </w:rPr>
        <w:t xml:space="preserve">ules </w:t>
      </w:r>
      <w:r>
        <w:rPr>
          <w:rFonts w:ascii="Arial" w:hAnsi="Arial" w:cs="Arial"/>
          <w:lang w:val="en-US"/>
        </w:rPr>
        <w:t>do</w:t>
      </w:r>
      <w:r w:rsidR="00197953">
        <w:rPr>
          <w:rFonts w:ascii="Arial" w:hAnsi="Arial" w:cs="Arial"/>
          <w:lang w:val="en-US"/>
        </w:rPr>
        <w:t xml:space="preserve"> not assist the appellant in the interpretation it seeks.</w:t>
      </w:r>
      <w:r w:rsidR="00BF3869">
        <w:rPr>
          <w:rFonts w:ascii="Arial" w:hAnsi="Arial" w:cs="Arial"/>
          <w:lang w:val="en-US"/>
        </w:rPr>
        <w:t xml:space="preserve"> </w:t>
      </w:r>
      <w:r w:rsidR="00197953">
        <w:rPr>
          <w:rFonts w:ascii="Arial" w:hAnsi="Arial" w:cs="Arial"/>
          <w:lang w:val="en-US"/>
        </w:rPr>
        <w:t>In this regard</w:t>
      </w:r>
      <w:r>
        <w:rPr>
          <w:rFonts w:ascii="Arial" w:hAnsi="Arial" w:cs="Arial"/>
          <w:lang w:val="en-US"/>
        </w:rPr>
        <w:t>,</w:t>
      </w:r>
      <w:r w:rsidR="00197953">
        <w:rPr>
          <w:rFonts w:ascii="Arial" w:hAnsi="Arial" w:cs="Arial"/>
          <w:lang w:val="en-US"/>
        </w:rPr>
        <w:t xml:space="preserve"> the</w:t>
      </w:r>
      <w:r w:rsidR="004D1AC5">
        <w:rPr>
          <w:rFonts w:ascii="Arial" w:hAnsi="Arial" w:cs="Arial"/>
          <w:lang w:val="en-US"/>
        </w:rPr>
        <w:t xml:space="preserve"> appellant</w:t>
      </w:r>
      <w:r w:rsidR="00197953">
        <w:rPr>
          <w:rFonts w:ascii="Arial" w:hAnsi="Arial" w:cs="Arial"/>
          <w:lang w:val="en-US"/>
        </w:rPr>
        <w:t xml:space="preserve"> submit</w:t>
      </w:r>
      <w:r w:rsidR="000A6ECB">
        <w:rPr>
          <w:rFonts w:ascii="Arial" w:hAnsi="Arial" w:cs="Arial"/>
          <w:lang w:val="en-US"/>
        </w:rPr>
        <w:t>s</w:t>
      </w:r>
      <w:r w:rsidR="00197953">
        <w:rPr>
          <w:rFonts w:ascii="Arial" w:hAnsi="Arial" w:cs="Arial"/>
          <w:lang w:val="en-US"/>
        </w:rPr>
        <w:t xml:space="preserve"> that </w:t>
      </w:r>
      <w:r w:rsidR="004D1AC5">
        <w:rPr>
          <w:rFonts w:ascii="Arial" w:hAnsi="Arial" w:cs="Arial"/>
          <w:lang w:val="en-US"/>
        </w:rPr>
        <w:t xml:space="preserve">the contents of </w:t>
      </w:r>
      <w:r w:rsidR="00197953">
        <w:rPr>
          <w:rFonts w:ascii="Arial" w:hAnsi="Arial" w:cs="Arial"/>
          <w:lang w:val="en-US"/>
        </w:rPr>
        <w:t xml:space="preserve">rules 10(3) and 10(4) </w:t>
      </w:r>
      <w:r w:rsidR="004D1AC5">
        <w:rPr>
          <w:rFonts w:ascii="Arial" w:hAnsi="Arial" w:cs="Arial"/>
          <w:lang w:val="en-US"/>
        </w:rPr>
        <w:t>should</w:t>
      </w:r>
      <w:r w:rsidR="00197953">
        <w:rPr>
          <w:rFonts w:ascii="Arial" w:hAnsi="Arial" w:cs="Arial"/>
          <w:lang w:val="en-US"/>
        </w:rPr>
        <w:t xml:space="preserve"> be regarded </w:t>
      </w:r>
      <w:r w:rsidR="004D1AC5">
        <w:rPr>
          <w:rFonts w:ascii="Arial" w:hAnsi="Arial" w:cs="Arial"/>
          <w:lang w:val="en-US"/>
        </w:rPr>
        <w:t xml:space="preserve">merely </w:t>
      </w:r>
      <w:r w:rsidR="00197953">
        <w:rPr>
          <w:rFonts w:ascii="Arial" w:hAnsi="Arial" w:cs="Arial"/>
          <w:lang w:val="en-US"/>
        </w:rPr>
        <w:t>as an interpretive aid</w:t>
      </w:r>
      <w:r w:rsidR="004D1AC5">
        <w:rPr>
          <w:rFonts w:ascii="Arial" w:hAnsi="Arial" w:cs="Arial"/>
          <w:lang w:val="en-US"/>
        </w:rPr>
        <w:t xml:space="preserve"> which </w:t>
      </w:r>
      <w:r w:rsidR="00FD71F3">
        <w:rPr>
          <w:rFonts w:ascii="Arial" w:hAnsi="Arial" w:cs="Arial"/>
          <w:lang w:val="en-US"/>
        </w:rPr>
        <w:t>impels</w:t>
      </w:r>
      <w:r w:rsidR="004D1AC5">
        <w:rPr>
          <w:rFonts w:ascii="Arial" w:hAnsi="Arial" w:cs="Arial"/>
          <w:lang w:val="en-US"/>
        </w:rPr>
        <w:t xml:space="preserve"> one to </w:t>
      </w:r>
      <w:r w:rsidR="0030730E">
        <w:rPr>
          <w:rFonts w:ascii="Arial" w:hAnsi="Arial" w:cs="Arial"/>
          <w:lang w:val="en-US"/>
        </w:rPr>
        <w:t>conclude</w:t>
      </w:r>
      <w:r w:rsidR="00197953">
        <w:rPr>
          <w:rFonts w:ascii="Arial" w:hAnsi="Arial" w:cs="Arial"/>
          <w:lang w:val="en-US"/>
        </w:rPr>
        <w:t xml:space="preserve"> that </w:t>
      </w:r>
      <w:r w:rsidR="00197953" w:rsidRPr="009E743D">
        <w:rPr>
          <w:rFonts w:ascii="Arial" w:hAnsi="Arial" w:cs="Arial"/>
          <w:i/>
          <w:iCs/>
          <w:lang w:val="en-US"/>
        </w:rPr>
        <w:t>any</w:t>
      </w:r>
      <w:r w:rsidR="00197953">
        <w:rPr>
          <w:rFonts w:ascii="Arial" w:hAnsi="Arial" w:cs="Arial"/>
          <w:lang w:val="en-US"/>
        </w:rPr>
        <w:t xml:space="preserve"> new</w:t>
      </w:r>
      <w:r w:rsidR="004D1AC5">
        <w:rPr>
          <w:rFonts w:ascii="Arial" w:hAnsi="Arial" w:cs="Arial"/>
          <w:lang w:val="en-US"/>
        </w:rPr>
        <w:t>,</w:t>
      </w:r>
      <w:r w:rsidR="00197953">
        <w:rPr>
          <w:rFonts w:ascii="Arial" w:hAnsi="Arial" w:cs="Arial"/>
          <w:lang w:val="en-US"/>
        </w:rPr>
        <w:t xml:space="preserve"> perceivable ground of appeal </w:t>
      </w:r>
      <w:r w:rsidR="004D1AC5">
        <w:rPr>
          <w:rFonts w:ascii="Arial" w:hAnsi="Arial" w:cs="Arial"/>
          <w:lang w:val="en-US"/>
        </w:rPr>
        <w:t>may</w:t>
      </w:r>
      <w:r w:rsidR="00197953">
        <w:rPr>
          <w:rFonts w:ascii="Arial" w:hAnsi="Arial" w:cs="Arial"/>
          <w:lang w:val="en-US"/>
        </w:rPr>
        <w:t xml:space="preserve"> be raised by a taxpayer in an appeal before </w:t>
      </w:r>
      <w:r w:rsidR="004D1AC5">
        <w:rPr>
          <w:rFonts w:ascii="Arial" w:hAnsi="Arial" w:cs="Arial"/>
          <w:lang w:val="en-US"/>
        </w:rPr>
        <w:t>a</w:t>
      </w:r>
      <w:r w:rsidR="00197953">
        <w:rPr>
          <w:rFonts w:ascii="Arial" w:hAnsi="Arial" w:cs="Arial"/>
          <w:lang w:val="en-US"/>
        </w:rPr>
        <w:t xml:space="preserve"> tax court</w:t>
      </w:r>
      <w:r w:rsidR="00291925">
        <w:rPr>
          <w:rFonts w:ascii="Arial" w:hAnsi="Arial" w:cs="Arial"/>
          <w:lang w:val="en-US"/>
        </w:rPr>
        <w:t>,</w:t>
      </w:r>
      <w:r w:rsidR="00197953">
        <w:rPr>
          <w:rFonts w:ascii="Arial" w:hAnsi="Arial" w:cs="Arial"/>
          <w:lang w:val="en-US"/>
        </w:rPr>
        <w:t xml:space="preserve"> even one </w:t>
      </w:r>
      <w:r w:rsidR="00BF3869">
        <w:rPr>
          <w:rFonts w:ascii="Arial" w:hAnsi="Arial" w:cs="Arial"/>
          <w:lang w:val="en-US"/>
        </w:rPr>
        <w:t xml:space="preserve">that was not previously </w:t>
      </w:r>
      <w:r w:rsidR="00197953">
        <w:rPr>
          <w:rFonts w:ascii="Arial" w:hAnsi="Arial" w:cs="Arial"/>
          <w:lang w:val="en-US"/>
        </w:rPr>
        <w:t xml:space="preserve">raised in </w:t>
      </w:r>
      <w:r w:rsidR="00BF3869">
        <w:rPr>
          <w:rFonts w:ascii="Arial" w:hAnsi="Arial" w:cs="Arial"/>
          <w:lang w:val="en-US"/>
        </w:rPr>
        <w:t xml:space="preserve">an objection under </w:t>
      </w:r>
      <w:r w:rsidR="00197953">
        <w:rPr>
          <w:rFonts w:ascii="Arial" w:hAnsi="Arial" w:cs="Arial"/>
          <w:lang w:val="en-US"/>
        </w:rPr>
        <w:t xml:space="preserve">rule 7. </w:t>
      </w:r>
      <w:r w:rsidR="00BF3869">
        <w:rPr>
          <w:rFonts w:ascii="Arial" w:hAnsi="Arial" w:cs="Arial"/>
          <w:lang w:val="en-US"/>
        </w:rPr>
        <w:t>We</w:t>
      </w:r>
      <w:r w:rsidR="00197953">
        <w:rPr>
          <w:rFonts w:ascii="Arial" w:hAnsi="Arial" w:cs="Arial"/>
          <w:lang w:val="en-US"/>
        </w:rPr>
        <w:t xml:space="preserve"> do not agree with th</w:t>
      </w:r>
      <w:r w:rsidR="00FD71F3">
        <w:rPr>
          <w:rFonts w:ascii="Arial" w:hAnsi="Arial" w:cs="Arial"/>
          <w:lang w:val="en-US"/>
        </w:rPr>
        <w:t>is</w:t>
      </w:r>
      <w:r w:rsidR="00197953">
        <w:rPr>
          <w:rFonts w:ascii="Arial" w:hAnsi="Arial" w:cs="Arial"/>
          <w:lang w:val="en-US"/>
        </w:rPr>
        <w:t xml:space="preserve"> submission, and this is not what Kei</w:t>
      </w:r>
      <w:r w:rsidR="00944D91">
        <w:rPr>
          <w:rFonts w:ascii="Arial" w:hAnsi="Arial" w:cs="Arial"/>
          <w:lang w:val="en-US"/>
        </w:rPr>
        <w:t>ghtl</w:t>
      </w:r>
      <w:r w:rsidR="00197953">
        <w:rPr>
          <w:rFonts w:ascii="Arial" w:hAnsi="Arial" w:cs="Arial"/>
          <w:lang w:val="en-US"/>
        </w:rPr>
        <w:t xml:space="preserve">ey J </w:t>
      </w:r>
      <w:r w:rsidR="00BF3869">
        <w:rPr>
          <w:rFonts w:ascii="Arial" w:hAnsi="Arial" w:cs="Arial"/>
          <w:lang w:val="en-US"/>
        </w:rPr>
        <w:t>held</w:t>
      </w:r>
      <w:r w:rsidR="00197953">
        <w:rPr>
          <w:rFonts w:ascii="Arial" w:hAnsi="Arial" w:cs="Arial"/>
          <w:lang w:val="en-US"/>
        </w:rPr>
        <w:t xml:space="preserve"> in </w:t>
      </w:r>
      <w:r w:rsidR="00197953" w:rsidRPr="008409D5">
        <w:rPr>
          <w:rFonts w:ascii="Arial" w:hAnsi="Arial" w:cs="Arial"/>
          <w:i/>
          <w:lang w:val="en-US"/>
        </w:rPr>
        <w:t>ITC 1912</w:t>
      </w:r>
      <w:r w:rsidR="00BF3869">
        <w:rPr>
          <w:rFonts w:ascii="Arial" w:hAnsi="Arial" w:cs="Arial"/>
          <w:i/>
          <w:lang w:val="en-US"/>
        </w:rPr>
        <w:t xml:space="preserve">. </w:t>
      </w:r>
    </w:p>
    <w:p w14:paraId="6FA9CE86" w14:textId="77777777" w:rsidR="00BF3869" w:rsidRDefault="00BF3869" w:rsidP="00197953">
      <w:pPr>
        <w:spacing w:line="480" w:lineRule="auto"/>
        <w:jc w:val="both"/>
        <w:rPr>
          <w:rFonts w:ascii="Arial" w:hAnsi="Arial" w:cs="Arial"/>
          <w:i/>
          <w:lang w:val="en-US"/>
        </w:rPr>
      </w:pPr>
    </w:p>
    <w:p w14:paraId="7D1111F4" w14:textId="3CF585B2" w:rsidR="0095523F" w:rsidRDefault="00BF3869" w:rsidP="00197953">
      <w:pPr>
        <w:spacing w:line="480" w:lineRule="auto"/>
        <w:jc w:val="both"/>
        <w:rPr>
          <w:rFonts w:ascii="Arial" w:hAnsi="Arial" w:cs="Arial"/>
          <w:lang w:val="en-US"/>
        </w:rPr>
      </w:pPr>
      <w:r>
        <w:rPr>
          <w:rFonts w:ascii="Arial" w:hAnsi="Arial" w:cs="Arial"/>
          <w:iCs/>
          <w:lang w:val="en-US"/>
        </w:rPr>
        <w:t>[72]</w:t>
      </w:r>
      <w:r>
        <w:rPr>
          <w:rFonts w:ascii="Arial" w:hAnsi="Arial" w:cs="Arial"/>
          <w:iCs/>
          <w:lang w:val="en-US"/>
        </w:rPr>
        <w:tab/>
        <w:t>R</w:t>
      </w:r>
      <w:r w:rsidR="00197953">
        <w:rPr>
          <w:rFonts w:ascii="Arial" w:hAnsi="Arial" w:cs="Arial"/>
          <w:lang w:val="en-US"/>
        </w:rPr>
        <w:t xml:space="preserve">ule 10(3) only permits a taxpayer to lodge an appeal against </w:t>
      </w:r>
      <w:r>
        <w:rPr>
          <w:rFonts w:ascii="Arial" w:hAnsi="Arial" w:cs="Arial"/>
          <w:lang w:val="en-US"/>
        </w:rPr>
        <w:t>the disallowance of an objection,</w:t>
      </w:r>
      <w:r w:rsidR="00197953">
        <w:rPr>
          <w:rFonts w:ascii="Arial" w:hAnsi="Arial" w:cs="Arial"/>
          <w:lang w:val="en-US"/>
        </w:rPr>
        <w:t xml:space="preserve"> on a </w:t>
      </w:r>
      <w:r>
        <w:rPr>
          <w:rFonts w:ascii="Arial" w:hAnsi="Arial" w:cs="Arial"/>
          <w:lang w:val="en-US"/>
        </w:rPr>
        <w:t>‘</w:t>
      </w:r>
      <w:r w:rsidR="00197953">
        <w:rPr>
          <w:rFonts w:ascii="Arial" w:hAnsi="Arial" w:cs="Arial"/>
          <w:lang w:val="en-US"/>
        </w:rPr>
        <w:t>new</w:t>
      </w:r>
      <w:r>
        <w:rPr>
          <w:rFonts w:ascii="Arial" w:hAnsi="Arial" w:cs="Arial"/>
          <w:lang w:val="en-US"/>
        </w:rPr>
        <w:t>’</w:t>
      </w:r>
      <w:r w:rsidR="00197953">
        <w:rPr>
          <w:rFonts w:ascii="Arial" w:hAnsi="Arial" w:cs="Arial"/>
          <w:lang w:val="en-US"/>
        </w:rPr>
        <w:t xml:space="preserve"> ground </w:t>
      </w:r>
      <w:r>
        <w:rPr>
          <w:rFonts w:ascii="Arial" w:hAnsi="Arial" w:cs="Arial"/>
          <w:lang w:val="en-US"/>
        </w:rPr>
        <w:t xml:space="preserve">which was </w:t>
      </w:r>
      <w:r w:rsidR="00197953">
        <w:rPr>
          <w:rFonts w:ascii="Arial" w:hAnsi="Arial" w:cs="Arial"/>
          <w:lang w:val="en-US"/>
        </w:rPr>
        <w:t xml:space="preserve">not </w:t>
      </w:r>
      <w:r>
        <w:rPr>
          <w:rFonts w:ascii="Arial" w:hAnsi="Arial" w:cs="Arial"/>
          <w:lang w:val="en-US"/>
        </w:rPr>
        <w:t xml:space="preserve">previously </w:t>
      </w:r>
      <w:r w:rsidR="00197953">
        <w:rPr>
          <w:rFonts w:ascii="Arial" w:hAnsi="Arial" w:cs="Arial"/>
          <w:lang w:val="en-US"/>
        </w:rPr>
        <w:t xml:space="preserve">raised in respect of </w:t>
      </w:r>
      <w:r>
        <w:rPr>
          <w:rFonts w:ascii="Arial" w:hAnsi="Arial" w:cs="Arial"/>
          <w:lang w:val="en-US"/>
        </w:rPr>
        <w:t xml:space="preserve">a disputed assessment, </w:t>
      </w:r>
      <w:r w:rsidRPr="00C54595">
        <w:rPr>
          <w:rFonts w:ascii="Arial" w:hAnsi="Arial" w:cs="Arial"/>
          <w:i/>
          <w:iCs/>
          <w:lang w:val="en-US"/>
        </w:rPr>
        <w:t>if it does not constitute a ‘new’ objection</w:t>
      </w:r>
      <w:r>
        <w:rPr>
          <w:rFonts w:ascii="Arial" w:hAnsi="Arial" w:cs="Arial"/>
          <w:lang w:val="en-US"/>
        </w:rPr>
        <w:t xml:space="preserve"> against </w:t>
      </w:r>
      <w:r w:rsidR="00197953">
        <w:rPr>
          <w:rFonts w:ascii="Arial" w:hAnsi="Arial" w:cs="Arial"/>
          <w:lang w:val="en-US"/>
        </w:rPr>
        <w:t xml:space="preserve">a specific part or amount </w:t>
      </w:r>
      <w:r>
        <w:rPr>
          <w:rFonts w:ascii="Arial" w:hAnsi="Arial" w:cs="Arial"/>
          <w:lang w:val="en-US"/>
        </w:rPr>
        <w:t xml:space="preserve">of the </w:t>
      </w:r>
      <w:r w:rsidR="00197953">
        <w:rPr>
          <w:rFonts w:ascii="Arial" w:hAnsi="Arial" w:cs="Arial"/>
          <w:lang w:val="en-US"/>
        </w:rPr>
        <w:t>assessment</w:t>
      </w:r>
      <w:r>
        <w:rPr>
          <w:rFonts w:ascii="Arial" w:hAnsi="Arial" w:cs="Arial"/>
          <w:lang w:val="en-US"/>
        </w:rPr>
        <w:t>, which was</w:t>
      </w:r>
      <w:r w:rsidR="00197953">
        <w:rPr>
          <w:rFonts w:ascii="Arial" w:hAnsi="Arial" w:cs="Arial"/>
          <w:lang w:val="en-US"/>
        </w:rPr>
        <w:t xml:space="preserve"> not objected to under rule 7. Put differently</w:t>
      </w:r>
      <w:r w:rsidR="0095523F">
        <w:rPr>
          <w:rFonts w:ascii="Arial" w:hAnsi="Arial" w:cs="Arial"/>
          <w:lang w:val="en-US"/>
        </w:rPr>
        <w:t>,</w:t>
      </w:r>
      <w:r w:rsidR="009E743D">
        <w:rPr>
          <w:rFonts w:ascii="Arial" w:hAnsi="Arial" w:cs="Arial"/>
          <w:lang w:val="en-US"/>
        </w:rPr>
        <w:t xml:space="preserve"> (in the context of the new, permissive wording of the subrule),</w:t>
      </w:r>
      <w:r w:rsidR="00197953">
        <w:rPr>
          <w:rFonts w:ascii="Arial" w:hAnsi="Arial" w:cs="Arial"/>
          <w:lang w:val="en-US"/>
        </w:rPr>
        <w:t xml:space="preserve"> a taxpayer is allowed to appeal on a new ground not raised in </w:t>
      </w:r>
      <w:r>
        <w:rPr>
          <w:rFonts w:ascii="Arial" w:hAnsi="Arial" w:cs="Arial"/>
          <w:lang w:val="en-US"/>
        </w:rPr>
        <w:t>its</w:t>
      </w:r>
      <w:r w:rsidR="00197953">
        <w:rPr>
          <w:rFonts w:ascii="Arial" w:hAnsi="Arial" w:cs="Arial"/>
          <w:lang w:val="en-US"/>
        </w:rPr>
        <w:t xml:space="preserve"> notice of objection under rule 7, </w:t>
      </w:r>
      <w:r>
        <w:rPr>
          <w:rFonts w:ascii="Arial" w:hAnsi="Arial" w:cs="Arial"/>
          <w:lang w:val="en-US"/>
        </w:rPr>
        <w:t>as long as the new ground does not effectively constitute a new objection</w:t>
      </w:r>
      <w:r w:rsidR="00197953">
        <w:rPr>
          <w:rFonts w:ascii="Arial" w:hAnsi="Arial" w:cs="Arial"/>
          <w:lang w:val="en-US"/>
        </w:rPr>
        <w:t xml:space="preserve"> against a </w:t>
      </w:r>
      <w:r w:rsidR="003006BC">
        <w:rPr>
          <w:rFonts w:ascii="Arial" w:hAnsi="Arial" w:cs="Arial"/>
          <w:lang w:val="en-US"/>
        </w:rPr>
        <w:t>‘</w:t>
      </w:r>
      <w:r w:rsidR="00197953">
        <w:rPr>
          <w:rFonts w:ascii="Arial" w:hAnsi="Arial" w:cs="Arial"/>
          <w:lang w:val="en-US"/>
        </w:rPr>
        <w:t>part or amount</w:t>
      </w:r>
      <w:r w:rsidR="003006BC">
        <w:rPr>
          <w:rFonts w:ascii="Arial" w:hAnsi="Arial" w:cs="Arial"/>
          <w:lang w:val="en-US"/>
        </w:rPr>
        <w:t>’</w:t>
      </w:r>
      <w:r w:rsidR="00197953">
        <w:rPr>
          <w:rFonts w:ascii="Arial" w:hAnsi="Arial" w:cs="Arial"/>
          <w:lang w:val="en-US"/>
        </w:rPr>
        <w:t xml:space="preserve"> that was </w:t>
      </w:r>
      <w:r>
        <w:rPr>
          <w:rFonts w:ascii="Arial" w:hAnsi="Arial" w:cs="Arial"/>
          <w:lang w:val="en-US"/>
        </w:rPr>
        <w:t xml:space="preserve">not </w:t>
      </w:r>
      <w:r w:rsidR="00197953">
        <w:rPr>
          <w:rFonts w:ascii="Arial" w:hAnsi="Arial" w:cs="Arial"/>
          <w:lang w:val="en-US"/>
        </w:rPr>
        <w:t xml:space="preserve">previously objected </w:t>
      </w:r>
      <w:r w:rsidR="00214034">
        <w:rPr>
          <w:rFonts w:ascii="Arial" w:hAnsi="Arial" w:cs="Arial"/>
          <w:lang w:val="en-US"/>
        </w:rPr>
        <w:t>to</w:t>
      </w:r>
      <w:r w:rsidR="00C8311E">
        <w:rPr>
          <w:rFonts w:ascii="Arial" w:hAnsi="Arial" w:cs="Arial"/>
          <w:lang w:val="en-US"/>
        </w:rPr>
        <w:t>.</w:t>
      </w:r>
    </w:p>
    <w:p w14:paraId="1977CF00" w14:textId="77777777" w:rsidR="00C8311E" w:rsidRDefault="00C8311E" w:rsidP="00197953">
      <w:pPr>
        <w:spacing w:line="480" w:lineRule="auto"/>
        <w:jc w:val="both"/>
        <w:rPr>
          <w:rFonts w:ascii="Arial" w:hAnsi="Arial" w:cs="Arial"/>
          <w:lang w:val="en-US"/>
        </w:rPr>
      </w:pPr>
    </w:p>
    <w:p w14:paraId="7C892C21" w14:textId="21B1518B" w:rsidR="00E53788" w:rsidRDefault="0021035F" w:rsidP="00197953">
      <w:pPr>
        <w:spacing w:line="480" w:lineRule="auto"/>
        <w:jc w:val="both"/>
        <w:rPr>
          <w:rFonts w:ascii="Arial" w:hAnsi="Arial" w:cs="Arial"/>
          <w:lang w:val="en-US"/>
        </w:rPr>
      </w:pPr>
      <w:r>
        <w:rPr>
          <w:rFonts w:ascii="Arial" w:hAnsi="Arial" w:cs="Arial"/>
          <w:lang w:val="en-US"/>
        </w:rPr>
        <w:t>[</w:t>
      </w:r>
      <w:r w:rsidR="00C8311E">
        <w:rPr>
          <w:rFonts w:ascii="Arial" w:hAnsi="Arial" w:cs="Arial"/>
          <w:lang w:val="en-US"/>
        </w:rPr>
        <w:t>73</w:t>
      </w:r>
      <w:r>
        <w:rPr>
          <w:rFonts w:ascii="Arial" w:hAnsi="Arial" w:cs="Arial"/>
          <w:lang w:val="en-US"/>
        </w:rPr>
        <w:t>]</w:t>
      </w:r>
      <w:r>
        <w:rPr>
          <w:rFonts w:ascii="Arial" w:hAnsi="Arial" w:cs="Arial"/>
          <w:lang w:val="en-US"/>
        </w:rPr>
        <w:tab/>
      </w:r>
      <w:r w:rsidR="00E708B7">
        <w:rPr>
          <w:rFonts w:ascii="Arial" w:hAnsi="Arial" w:cs="Arial"/>
          <w:lang w:val="en-US"/>
        </w:rPr>
        <w:t>Thus, in our view, a</w:t>
      </w:r>
      <w:r w:rsidR="00C8311E">
        <w:rPr>
          <w:rFonts w:ascii="Arial" w:hAnsi="Arial" w:cs="Arial"/>
          <w:lang w:val="en-US"/>
        </w:rPr>
        <w:t>n</w:t>
      </w:r>
      <w:r w:rsidR="003006BC">
        <w:rPr>
          <w:rFonts w:ascii="Arial" w:hAnsi="Arial" w:cs="Arial"/>
          <w:lang w:val="en-US"/>
        </w:rPr>
        <w:t>y</w:t>
      </w:r>
      <w:r w:rsidR="00197953">
        <w:rPr>
          <w:rFonts w:ascii="Arial" w:hAnsi="Arial" w:cs="Arial"/>
          <w:lang w:val="en-US"/>
        </w:rPr>
        <w:t xml:space="preserve"> new ground of appeal that may be </w:t>
      </w:r>
      <w:r w:rsidR="00C8311E">
        <w:rPr>
          <w:rFonts w:ascii="Arial" w:hAnsi="Arial" w:cs="Arial"/>
          <w:lang w:val="en-US"/>
        </w:rPr>
        <w:t xml:space="preserve">raised </w:t>
      </w:r>
      <w:r w:rsidR="00197953">
        <w:rPr>
          <w:rFonts w:ascii="Arial" w:hAnsi="Arial" w:cs="Arial"/>
          <w:lang w:val="en-US"/>
        </w:rPr>
        <w:t xml:space="preserve">is </w:t>
      </w:r>
      <w:r w:rsidR="00FD71F3">
        <w:rPr>
          <w:rFonts w:ascii="Arial" w:hAnsi="Arial" w:cs="Arial"/>
          <w:lang w:val="en-US"/>
        </w:rPr>
        <w:t xml:space="preserve">therefore </w:t>
      </w:r>
      <w:r w:rsidR="00197953">
        <w:rPr>
          <w:rFonts w:ascii="Arial" w:hAnsi="Arial" w:cs="Arial"/>
          <w:lang w:val="en-US"/>
        </w:rPr>
        <w:t xml:space="preserve">subject to the </w:t>
      </w:r>
      <w:r w:rsidR="00C8311E">
        <w:rPr>
          <w:rFonts w:ascii="Arial" w:hAnsi="Arial" w:cs="Arial"/>
          <w:lang w:val="en-US"/>
        </w:rPr>
        <w:t xml:space="preserve">bounds and </w:t>
      </w:r>
      <w:r w:rsidR="00197953">
        <w:rPr>
          <w:rFonts w:ascii="Arial" w:hAnsi="Arial" w:cs="Arial"/>
          <w:lang w:val="en-US"/>
        </w:rPr>
        <w:t>limitation</w:t>
      </w:r>
      <w:r w:rsidR="00C8311E">
        <w:rPr>
          <w:rFonts w:ascii="Arial" w:hAnsi="Arial" w:cs="Arial"/>
          <w:lang w:val="en-US"/>
        </w:rPr>
        <w:t>s</w:t>
      </w:r>
      <w:r w:rsidR="00197953">
        <w:rPr>
          <w:rFonts w:ascii="Arial" w:hAnsi="Arial" w:cs="Arial"/>
          <w:lang w:val="en-US"/>
        </w:rPr>
        <w:t xml:space="preserve"> set out in rule </w:t>
      </w:r>
      <w:r w:rsidR="00E708B7">
        <w:rPr>
          <w:rFonts w:ascii="Arial" w:hAnsi="Arial" w:cs="Arial"/>
          <w:lang w:val="en-US"/>
        </w:rPr>
        <w:t>10(3) and</w:t>
      </w:r>
      <w:r w:rsidR="00C8311E">
        <w:rPr>
          <w:rFonts w:ascii="Arial" w:hAnsi="Arial" w:cs="Arial"/>
          <w:lang w:val="en-US"/>
        </w:rPr>
        <w:t xml:space="preserve"> must be</w:t>
      </w:r>
      <w:r w:rsidR="00197953">
        <w:rPr>
          <w:rFonts w:ascii="Arial" w:hAnsi="Arial" w:cs="Arial"/>
          <w:lang w:val="en-US"/>
        </w:rPr>
        <w:t xml:space="preserve"> a new ground </w:t>
      </w:r>
      <w:r w:rsidR="00C8311E">
        <w:rPr>
          <w:rFonts w:ascii="Arial" w:hAnsi="Arial" w:cs="Arial"/>
          <w:lang w:val="en-US"/>
        </w:rPr>
        <w:t>raised in</w:t>
      </w:r>
      <w:r w:rsidR="00197953">
        <w:rPr>
          <w:rFonts w:ascii="Arial" w:hAnsi="Arial" w:cs="Arial"/>
          <w:lang w:val="en-US"/>
        </w:rPr>
        <w:t xml:space="preserve"> relation to </w:t>
      </w:r>
      <w:r w:rsidR="00C8311E">
        <w:rPr>
          <w:rFonts w:ascii="Arial" w:hAnsi="Arial" w:cs="Arial"/>
          <w:lang w:val="en-US"/>
        </w:rPr>
        <w:t xml:space="preserve">the </w:t>
      </w:r>
      <w:r w:rsidR="00C8311E" w:rsidRPr="00E708B7">
        <w:rPr>
          <w:rFonts w:ascii="Arial" w:hAnsi="Arial" w:cs="Arial"/>
          <w:i/>
          <w:iCs/>
          <w:lang w:val="en-US"/>
        </w:rPr>
        <w:t>selfsame</w:t>
      </w:r>
      <w:r w:rsidR="00197953">
        <w:rPr>
          <w:rFonts w:ascii="Arial" w:hAnsi="Arial" w:cs="Arial"/>
          <w:lang w:val="en-US"/>
        </w:rPr>
        <w:t xml:space="preserve"> part of</w:t>
      </w:r>
      <w:r w:rsidR="00C8311E">
        <w:rPr>
          <w:rFonts w:ascii="Arial" w:hAnsi="Arial" w:cs="Arial"/>
          <w:lang w:val="en-US"/>
        </w:rPr>
        <w:t>, and/or amount in,</w:t>
      </w:r>
      <w:r w:rsidR="00197953">
        <w:rPr>
          <w:rFonts w:ascii="Arial" w:hAnsi="Arial" w:cs="Arial"/>
          <w:lang w:val="en-US"/>
        </w:rPr>
        <w:t xml:space="preserve"> the disputed assessment</w:t>
      </w:r>
      <w:r w:rsidR="00C8311E">
        <w:rPr>
          <w:rFonts w:ascii="Arial" w:hAnsi="Arial" w:cs="Arial"/>
          <w:lang w:val="en-US"/>
        </w:rPr>
        <w:t xml:space="preserve"> </w:t>
      </w:r>
      <w:r w:rsidR="00197953">
        <w:rPr>
          <w:rFonts w:ascii="Arial" w:hAnsi="Arial" w:cs="Arial"/>
          <w:lang w:val="en-US"/>
        </w:rPr>
        <w:t xml:space="preserve">that was initially </w:t>
      </w:r>
      <w:r w:rsidR="00C8311E">
        <w:rPr>
          <w:rFonts w:ascii="Arial" w:hAnsi="Arial" w:cs="Arial"/>
          <w:lang w:val="en-US"/>
        </w:rPr>
        <w:t>objected to</w:t>
      </w:r>
      <w:r w:rsidR="00197953">
        <w:rPr>
          <w:rFonts w:ascii="Arial" w:hAnsi="Arial" w:cs="Arial"/>
          <w:lang w:val="en-US"/>
        </w:rPr>
        <w:t xml:space="preserve"> under</w:t>
      </w:r>
      <w:r w:rsidR="00C8311E">
        <w:rPr>
          <w:rFonts w:ascii="Arial" w:hAnsi="Arial" w:cs="Arial"/>
          <w:lang w:val="en-US"/>
        </w:rPr>
        <w:t xml:space="preserve"> and in terms of</w:t>
      </w:r>
      <w:r w:rsidR="00197953">
        <w:rPr>
          <w:rFonts w:ascii="Arial" w:hAnsi="Arial" w:cs="Arial"/>
          <w:lang w:val="en-US"/>
        </w:rPr>
        <w:t xml:space="preserve"> rule 7. </w:t>
      </w:r>
    </w:p>
    <w:p w14:paraId="798FA3B6" w14:textId="77777777" w:rsidR="00E53788" w:rsidRDefault="00E53788" w:rsidP="00197953">
      <w:pPr>
        <w:spacing w:line="480" w:lineRule="auto"/>
        <w:jc w:val="both"/>
        <w:rPr>
          <w:rFonts w:ascii="Arial" w:hAnsi="Arial" w:cs="Arial"/>
          <w:lang w:val="en-US"/>
        </w:rPr>
      </w:pPr>
    </w:p>
    <w:p w14:paraId="08D22773" w14:textId="3E9A4073" w:rsidR="003006BC" w:rsidRDefault="002A0D0E" w:rsidP="00197953">
      <w:pPr>
        <w:spacing w:line="480" w:lineRule="auto"/>
        <w:jc w:val="both"/>
        <w:rPr>
          <w:rFonts w:ascii="Arial" w:hAnsi="Arial" w:cs="Arial"/>
          <w:lang w:val="en-US"/>
        </w:rPr>
      </w:pPr>
      <w:r>
        <w:rPr>
          <w:rFonts w:ascii="Arial" w:hAnsi="Arial" w:cs="Arial"/>
          <w:lang w:val="en-US"/>
        </w:rPr>
        <w:t>[7</w:t>
      </w:r>
      <w:r w:rsidR="00C8311E">
        <w:rPr>
          <w:rFonts w:ascii="Arial" w:hAnsi="Arial" w:cs="Arial"/>
          <w:lang w:val="en-US"/>
        </w:rPr>
        <w:t>4</w:t>
      </w:r>
      <w:r>
        <w:rPr>
          <w:rFonts w:ascii="Arial" w:hAnsi="Arial" w:cs="Arial"/>
          <w:lang w:val="en-US"/>
        </w:rPr>
        <w:t>]</w:t>
      </w:r>
      <w:r>
        <w:rPr>
          <w:rFonts w:ascii="Arial" w:hAnsi="Arial" w:cs="Arial"/>
          <w:lang w:val="en-US"/>
        </w:rPr>
        <w:tab/>
      </w:r>
      <w:r w:rsidR="00197953">
        <w:rPr>
          <w:rFonts w:ascii="Arial" w:hAnsi="Arial" w:cs="Arial"/>
          <w:lang w:val="en-US"/>
        </w:rPr>
        <w:t xml:space="preserve">In </w:t>
      </w:r>
      <w:r w:rsidR="00C8311E">
        <w:rPr>
          <w:rFonts w:ascii="Arial" w:hAnsi="Arial" w:cs="Arial"/>
          <w:lang w:val="en-US"/>
        </w:rPr>
        <w:t>our</w:t>
      </w:r>
      <w:r w:rsidR="00197953">
        <w:rPr>
          <w:rFonts w:ascii="Arial" w:hAnsi="Arial" w:cs="Arial"/>
          <w:lang w:val="en-US"/>
        </w:rPr>
        <w:t xml:space="preserve"> view, rule 10(3) does not give a taxpayer an unrestricted right</w:t>
      </w:r>
      <w:r w:rsidR="00C8311E">
        <w:rPr>
          <w:rFonts w:ascii="Arial" w:hAnsi="Arial" w:cs="Arial"/>
          <w:lang w:val="en-US"/>
        </w:rPr>
        <w:t>,</w:t>
      </w:r>
      <w:r w:rsidR="00197953">
        <w:rPr>
          <w:rFonts w:ascii="Arial" w:hAnsi="Arial" w:cs="Arial"/>
          <w:lang w:val="en-US"/>
        </w:rPr>
        <w:t xml:space="preserve"> on appeal</w:t>
      </w:r>
      <w:r w:rsidR="00C8311E">
        <w:rPr>
          <w:rFonts w:ascii="Arial" w:hAnsi="Arial" w:cs="Arial"/>
          <w:lang w:val="en-US"/>
        </w:rPr>
        <w:t>,</w:t>
      </w:r>
      <w:r w:rsidR="00197953">
        <w:rPr>
          <w:rFonts w:ascii="Arial" w:hAnsi="Arial" w:cs="Arial"/>
          <w:lang w:val="en-US"/>
        </w:rPr>
        <w:t xml:space="preserve"> to </w:t>
      </w:r>
      <w:r w:rsidR="000040FB">
        <w:rPr>
          <w:rFonts w:ascii="Arial" w:hAnsi="Arial" w:cs="Arial"/>
          <w:lang w:val="en-US"/>
        </w:rPr>
        <w:t xml:space="preserve">effectively </w:t>
      </w:r>
      <w:r w:rsidR="00197953">
        <w:rPr>
          <w:rFonts w:ascii="Arial" w:hAnsi="Arial" w:cs="Arial"/>
          <w:lang w:val="en-US"/>
        </w:rPr>
        <w:t xml:space="preserve">raise new grounds of objection not originally </w:t>
      </w:r>
      <w:r w:rsidR="00C8311E">
        <w:rPr>
          <w:rFonts w:ascii="Arial" w:hAnsi="Arial" w:cs="Arial"/>
          <w:lang w:val="en-US"/>
        </w:rPr>
        <w:t>lodged</w:t>
      </w:r>
      <w:r w:rsidR="00197953">
        <w:rPr>
          <w:rFonts w:ascii="Arial" w:hAnsi="Arial" w:cs="Arial"/>
          <w:lang w:val="en-US"/>
        </w:rPr>
        <w:t xml:space="preserve"> by them in terms of rule 7. Such an interpretation would render rule 10(3) a</w:t>
      </w:r>
      <w:r w:rsidR="00C8311E">
        <w:rPr>
          <w:rFonts w:ascii="Arial" w:hAnsi="Arial" w:cs="Arial"/>
          <w:lang w:val="en-US"/>
        </w:rPr>
        <w:t>nd</w:t>
      </w:r>
      <w:r w:rsidR="00197953">
        <w:rPr>
          <w:rFonts w:ascii="Arial" w:hAnsi="Arial" w:cs="Arial"/>
          <w:lang w:val="en-US"/>
        </w:rPr>
        <w:t xml:space="preserve"> </w:t>
      </w:r>
      <w:r w:rsidR="00C8311E">
        <w:rPr>
          <w:rFonts w:ascii="Arial" w:hAnsi="Arial" w:cs="Arial"/>
          <w:lang w:val="en-US"/>
        </w:rPr>
        <w:t xml:space="preserve">rule </w:t>
      </w:r>
      <w:r w:rsidR="00197953">
        <w:rPr>
          <w:rFonts w:ascii="Arial" w:hAnsi="Arial" w:cs="Arial"/>
          <w:lang w:val="en-US"/>
        </w:rPr>
        <w:t xml:space="preserve">7 </w:t>
      </w:r>
      <w:r w:rsidR="00C8311E">
        <w:rPr>
          <w:rFonts w:ascii="Arial" w:hAnsi="Arial" w:cs="Arial"/>
          <w:lang w:val="en-US"/>
        </w:rPr>
        <w:t xml:space="preserve">nugatory and </w:t>
      </w:r>
      <w:r w:rsidR="00197953">
        <w:rPr>
          <w:rFonts w:ascii="Arial" w:hAnsi="Arial" w:cs="Arial"/>
          <w:lang w:val="en-US"/>
        </w:rPr>
        <w:t>meaningless. The same goes for rule 32(3), thus as was stated by Ke</w:t>
      </w:r>
      <w:r w:rsidR="00944D91">
        <w:rPr>
          <w:rFonts w:ascii="Arial" w:hAnsi="Arial" w:cs="Arial"/>
          <w:lang w:val="en-US"/>
        </w:rPr>
        <w:t>ight</w:t>
      </w:r>
      <w:r w:rsidR="00197953">
        <w:rPr>
          <w:rFonts w:ascii="Arial" w:hAnsi="Arial" w:cs="Arial"/>
          <w:lang w:val="en-US"/>
        </w:rPr>
        <w:t xml:space="preserve">ley J in </w:t>
      </w:r>
      <w:r w:rsidR="00197953" w:rsidRPr="008409D5">
        <w:rPr>
          <w:rFonts w:ascii="Arial" w:hAnsi="Arial" w:cs="Arial"/>
          <w:i/>
          <w:lang w:val="en-US"/>
        </w:rPr>
        <w:t>ITC 1912</w:t>
      </w:r>
      <w:r w:rsidR="00C8311E">
        <w:rPr>
          <w:rFonts w:ascii="Arial" w:hAnsi="Arial" w:cs="Arial"/>
          <w:i/>
          <w:lang w:val="en-US"/>
        </w:rPr>
        <w:t xml:space="preserve">: </w:t>
      </w:r>
      <w:r w:rsidR="00197953">
        <w:rPr>
          <w:rStyle w:val="FootnoteReference"/>
          <w:rFonts w:ascii="Arial" w:hAnsi="Arial" w:cs="Arial"/>
          <w:lang w:val="en-US"/>
        </w:rPr>
        <w:footnoteReference w:id="23"/>
      </w:r>
      <w:r w:rsidR="00197953">
        <w:rPr>
          <w:rFonts w:ascii="Arial" w:hAnsi="Arial" w:cs="Arial"/>
          <w:lang w:val="en-US"/>
        </w:rPr>
        <w:t xml:space="preserve"> </w:t>
      </w:r>
    </w:p>
    <w:p w14:paraId="4E6EB9B8" w14:textId="2CEBF027" w:rsidR="00197953" w:rsidRDefault="00F97667" w:rsidP="00CB2578">
      <w:pPr>
        <w:jc w:val="both"/>
        <w:rPr>
          <w:rFonts w:ascii="Arial" w:hAnsi="Arial" w:cs="Arial"/>
          <w:i/>
          <w:iCs/>
          <w:lang w:val="en-US"/>
        </w:rPr>
      </w:pPr>
      <w:r w:rsidRPr="00C8311E">
        <w:rPr>
          <w:rFonts w:ascii="Arial" w:hAnsi="Arial" w:cs="Arial"/>
          <w:sz w:val="20"/>
          <w:szCs w:val="20"/>
          <w:lang w:val="en-US"/>
        </w:rPr>
        <w:t>‘</w:t>
      </w:r>
      <w:r w:rsidR="00197953" w:rsidRPr="00C8311E">
        <w:rPr>
          <w:rFonts w:ascii="Arial" w:hAnsi="Arial" w:cs="Arial"/>
          <w:i/>
          <w:iCs/>
          <w:sz w:val="20"/>
          <w:szCs w:val="20"/>
          <w:lang w:val="en-US"/>
        </w:rPr>
        <w:t xml:space="preserve">This must mean that the excised phrase, </w:t>
      </w:r>
      <w:r w:rsidR="00B5185F" w:rsidRPr="00C8311E">
        <w:rPr>
          <w:rFonts w:ascii="Arial" w:hAnsi="Arial" w:cs="Arial"/>
          <w:i/>
          <w:iCs/>
          <w:sz w:val="20"/>
          <w:szCs w:val="20"/>
          <w:lang w:val="en-US"/>
        </w:rPr>
        <w:t>“</w:t>
      </w:r>
      <w:r w:rsidR="00197953" w:rsidRPr="00C8311E">
        <w:rPr>
          <w:rFonts w:ascii="Arial" w:hAnsi="Arial" w:cs="Arial"/>
          <w:i/>
          <w:iCs/>
          <w:sz w:val="20"/>
          <w:szCs w:val="20"/>
          <w:lang w:val="en-US"/>
        </w:rPr>
        <w:t>a part or amount of the disputed assessment</w:t>
      </w:r>
      <w:r w:rsidR="00B5185F" w:rsidRPr="00C8311E">
        <w:rPr>
          <w:rFonts w:ascii="Arial" w:hAnsi="Arial" w:cs="Arial"/>
          <w:i/>
          <w:iCs/>
          <w:sz w:val="20"/>
          <w:szCs w:val="20"/>
          <w:lang w:val="en-US"/>
        </w:rPr>
        <w:t>”</w:t>
      </w:r>
      <w:r w:rsidR="00C44DFC" w:rsidRPr="00C8311E">
        <w:rPr>
          <w:rFonts w:ascii="Arial" w:hAnsi="Arial" w:cs="Arial"/>
          <w:i/>
          <w:iCs/>
          <w:sz w:val="20"/>
          <w:szCs w:val="20"/>
          <w:lang w:val="en-US"/>
        </w:rPr>
        <w:t>,</w:t>
      </w:r>
      <w:r w:rsidR="00197953" w:rsidRPr="00C8311E">
        <w:rPr>
          <w:rFonts w:ascii="Arial" w:hAnsi="Arial" w:cs="Arial"/>
          <w:i/>
          <w:iCs/>
          <w:sz w:val="20"/>
          <w:szCs w:val="20"/>
          <w:lang w:val="en-US"/>
        </w:rPr>
        <w:t xml:space="preserve"> is the working part, or focus</w:t>
      </w:r>
      <w:r w:rsidR="00C44DFC" w:rsidRPr="00C8311E">
        <w:rPr>
          <w:rFonts w:ascii="Arial" w:hAnsi="Arial" w:cs="Arial"/>
          <w:i/>
          <w:iCs/>
          <w:sz w:val="20"/>
          <w:szCs w:val="20"/>
          <w:lang w:val="en-US"/>
        </w:rPr>
        <w:t>,</w:t>
      </w:r>
      <w:r w:rsidR="00197953" w:rsidRPr="00C8311E">
        <w:rPr>
          <w:rFonts w:ascii="Arial" w:hAnsi="Arial" w:cs="Arial"/>
          <w:i/>
          <w:iCs/>
          <w:sz w:val="20"/>
          <w:szCs w:val="20"/>
          <w:lang w:val="en-US"/>
        </w:rPr>
        <w:t xml:space="preserve"> of the prohibition. In other words, </w:t>
      </w:r>
      <w:r w:rsidR="00197953" w:rsidRPr="00C8311E">
        <w:rPr>
          <w:rFonts w:ascii="Arial" w:hAnsi="Arial" w:cs="Arial"/>
          <w:i/>
          <w:iCs/>
          <w:sz w:val="20"/>
          <w:szCs w:val="20"/>
          <w:u w:val="single"/>
          <w:lang w:val="en-US"/>
        </w:rPr>
        <w:t>what is prohibited</w:t>
      </w:r>
      <w:r w:rsidR="00C44DFC" w:rsidRPr="00C8311E">
        <w:rPr>
          <w:rFonts w:ascii="Arial" w:hAnsi="Arial" w:cs="Arial"/>
          <w:i/>
          <w:iCs/>
          <w:sz w:val="20"/>
          <w:szCs w:val="20"/>
          <w:u w:val="single"/>
          <w:lang w:val="en-US"/>
        </w:rPr>
        <w:t xml:space="preserve"> is</w:t>
      </w:r>
      <w:r w:rsidR="00197953" w:rsidRPr="00C8311E">
        <w:rPr>
          <w:rFonts w:ascii="Arial" w:hAnsi="Arial" w:cs="Arial"/>
          <w:i/>
          <w:iCs/>
          <w:sz w:val="20"/>
          <w:szCs w:val="20"/>
          <w:u w:val="single"/>
          <w:lang w:val="en-US"/>
        </w:rPr>
        <w:t xml:space="preserve"> for a taxpayer to appeal against a portion of the assessment in respect of which no objection was ever raised.</w:t>
      </w:r>
      <w:r w:rsidR="00197953" w:rsidRPr="00C8311E">
        <w:rPr>
          <w:rFonts w:ascii="Arial" w:hAnsi="Arial" w:cs="Arial"/>
          <w:i/>
          <w:iCs/>
          <w:sz w:val="20"/>
          <w:szCs w:val="20"/>
          <w:lang w:val="en-US"/>
        </w:rPr>
        <w:t xml:space="preserve"> For example, if an objection was raised to the penalties imposed but not </w:t>
      </w:r>
      <w:r w:rsidR="00C44DFC" w:rsidRPr="00C8311E">
        <w:rPr>
          <w:rFonts w:ascii="Arial" w:hAnsi="Arial" w:cs="Arial"/>
          <w:i/>
          <w:iCs/>
          <w:sz w:val="20"/>
          <w:szCs w:val="20"/>
          <w:lang w:val="en-US"/>
        </w:rPr>
        <w:t>to</w:t>
      </w:r>
      <w:r w:rsidR="00197953" w:rsidRPr="00C8311E">
        <w:rPr>
          <w:rFonts w:ascii="Arial" w:hAnsi="Arial" w:cs="Arial"/>
          <w:i/>
          <w:iCs/>
          <w:sz w:val="20"/>
          <w:szCs w:val="20"/>
          <w:lang w:val="en-US"/>
        </w:rPr>
        <w:t xml:space="preserve"> the VAT portion of the assessment, </w:t>
      </w:r>
      <w:r w:rsidR="00C44DFC" w:rsidRPr="00C8311E">
        <w:rPr>
          <w:rFonts w:ascii="Arial" w:hAnsi="Arial" w:cs="Arial"/>
          <w:i/>
          <w:iCs/>
          <w:sz w:val="20"/>
          <w:szCs w:val="20"/>
          <w:lang w:val="en-US"/>
        </w:rPr>
        <w:t xml:space="preserve">an </w:t>
      </w:r>
      <w:r w:rsidR="00197953" w:rsidRPr="00C8311E">
        <w:rPr>
          <w:rFonts w:ascii="Arial" w:hAnsi="Arial" w:cs="Arial"/>
          <w:i/>
          <w:iCs/>
          <w:sz w:val="20"/>
          <w:szCs w:val="20"/>
          <w:lang w:val="en-US"/>
        </w:rPr>
        <w:t xml:space="preserve">appellant is not permitted, through the guise of an appeal, effectively to raise a subsequent objection to the VAT portion. This is essentially what occurred in the </w:t>
      </w:r>
      <w:r w:rsidR="00197953" w:rsidRPr="00C8311E">
        <w:rPr>
          <w:rFonts w:ascii="Arial" w:hAnsi="Arial" w:cs="Arial"/>
          <w:sz w:val="20"/>
          <w:szCs w:val="20"/>
          <w:lang w:val="en-US"/>
        </w:rPr>
        <w:t xml:space="preserve">Computek </w:t>
      </w:r>
      <w:r w:rsidR="00197953" w:rsidRPr="00C8311E">
        <w:rPr>
          <w:rFonts w:ascii="Arial" w:hAnsi="Arial" w:cs="Arial"/>
          <w:i/>
          <w:iCs/>
          <w:sz w:val="20"/>
          <w:szCs w:val="20"/>
          <w:lang w:val="en-US"/>
        </w:rPr>
        <w:t>case, relied on by SARS.</w:t>
      </w:r>
      <w:r w:rsidR="00C44DFC" w:rsidRPr="00C8311E">
        <w:rPr>
          <w:rFonts w:ascii="Arial" w:hAnsi="Arial" w:cs="Arial"/>
          <w:i/>
          <w:iCs/>
          <w:sz w:val="20"/>
          <w:szCs w:val="20"/>
          <w:lang w:val="en-US"/>
        </w:rPr>
        <w:t xml:space="preserve"> . .</w:t>
      </w:r>
      <w:r w:rsidR="00B5185F" w:rsidRPr="00C8311E">
        <w:rPr>
          <w:rFonts w:ascii="Arial" w:hAnsi="Arial" w:cs="Arial"/>
          <w:i/>
          <w:iCs/>
          <w:sz w:val="20"/>
          <w:szCs w:val="20"/>
          <w:lang w:val="en-US"/>
        </w:rPr>
        <w:t>’</w:t>
      </w:r>
      <w:r w:rsidR="0021035F">
        <w:rPr>
          <w:rFonts w:ascii="Arial" w:hAnsi="Arial" w:cs="Arial"/>
          <w:i/>
          <w:iCs/>
          <w:lang w:val="en-US"/>
        </w:rPr>
        <w:t xml:space="preserve"> </w:t>
      </w:r>
      <w:r w:rsidR="00197953">
        <w:rPr>
          <w:rFonts w:ascii="Arial" w:hAnsi="Arial" w:cs="Arial"/>
          <w:i/>
          <w:iCs/>
          <w:lang w:val="en-US"/>
        </w:rPr>
        <w:t>(footnotes omitted- o</w:t>
      </w:r>
      <w:r w:rsidR="003006BC">
        <w:rPr>
          <w:rFonts w:ascii="Arial" w:hAnsi="Arial" w:cs="Arial"/>
          <w:i/>
          <w:iCs/>
          <w:lang w:val="en-US"/>
        </w:rPr>
        <w:t>ur</w:t>
      </w:r>
      <w:r w:rsidR="00197953">
        <w:rPr>
          <w:rFonts w:ascii="Arial" w:hAnsi="Arial" w:cs="Arial"/>
          <w:i/>
          <w:iCs/>
          <w:lang w:val="en-US"/>
        </w:rPr>
        <w:t xml:space="preserve"> underlining)</w:t>
      </w:r>
    </w:p>
    <w:p w14:paraId="31337F16" w14:textId="77777777" w:rsidR="000040FB" w:rsidRDefault="000040FB" w:rsidP="00197953">
      <w:pPr>
        <w:spacing w:line="480" w:lineRule="auto"/>
        <w:jc w:val="both"/>
        <w:rPr>
          <w:rFonts w:ascii="Arial" w:hAnsi="Arial" w:cs="Arial"/>
          <w:lang w:val="en-US"/>
        </w:rPr>
      </w:pPr>
    </w:p>
    <w:p w14:paraId="6142AD55" w14:textId="7DB6AD81" w:rsidR="000040FB" w:rsidRDefault="002A0D0E" w:rsidP="00197953">
      <w:pPr>
        <w:spacing w:line="480" w:lineRule="auto"/>
        <w:jc w:val="both"/>
        <w:rPr>
          <w:rFonts w:ascii="Arial" w:hAnsi="Arial" w:cs="Arial"/>
          <w:lang w:val="en-US"/>
        </w:rPr>
      </w:pPr>
      <w:r>
        <w:rPr>
          <w:rFonts w:ascii="Arial" w:hAnsi="Arial" w:cs="Arial"/>
          <w:lang w:val="en-US"/>
        </w:rPr>
        <w:t>[7</w:t>
      </w:r>
      <w:r w:rsidR="00AE4318">
        <w:rPr>
          <w:rFonts w:ascii="Arial" w:hAnsi="Arial" w:cs="Arial"/>
          <w:lang w:val="en-US"/>
        </w:rPr>
        <w:t>5</w:t>
      </w:r>
      <w:r>
        <w:rPr>
          <w:rFonts w:ascii="Arial" w:hAnsi="Arial" w:cs="Arial"/>
          <w:lang w:val="en-US"/>
        </w:rPr>
        <w:t>]</w:t>
      </w:r>
      <w:r>
        <w:rPr>
          <w:rFonts w:ascii="Arial" w:hAnsi="Arial" w:cs="Arial"/>
          <w:lang w:val="en-US"/>
        </w:rPr>
        <w:tab/>
      </w:r>
      <w:r w:rsidR="000040FB">
        <w:rPr>
          <w:rFonts w:ascii="Arial" w:hAnsi="Arial" w:cs="Arial"/>
          <w:lang w:val="en-US"/>
        </w:rPr>
        <w:t>As t</w:t>
      </w:r>
      <w:r w:rsidR="00197953">
        <w:rPr>
          <w:rFonts w:ascii="Arial" w:hAnsi="Arial" w:cs="Arial"/>
          <w:lang w:val="en-US"/>
        </w:rPr>
        <w:t xml:space="preserve">he court in </w:t>
      </w:r>
      <w:r w:rsidR="00197953" w:rsidRPr="008409D5">
        <w:rPr>
          <w:rFonts w:ascii="Arial" w:hAnsi="Arial" w:cs="Arial"/>
          <w:i/>
          <w:lang w:val="en-US"/>
        </w:rPr>
        <w:t>ITC 1912</w:t>
      </w:r>
      <w:r w:rsidR="00197953">
        <w:rPr>
          <w:rFonts w:ascii="Arial" w:hAnsi="Arial" w:cs="Arial"/>
          <w:lang w:val="en-US"/>
        </w:rPr>
        <w:t xml:space="preserve"> </w:t>
      </w:r>
      <w:r w:rsidR="000040FB">
        <w:rPr>
          <w:rFonts w:ascii="Arial" w:hAnsi="Arial" w:cs="Arial"/>
          <w:lang w:val="en-US"/>
        </w:rPr>
        <w:t xml:space="preserve">similarly </w:t>
      </w:r>
      <w:r w:rsidR="00197953">
        <w:rPr>
          <w:rFonts w:ascii="Arial" w:hAnsi="Arial" w:cs="Arial"/>
          <w:lang w:val="en-US"/>
        </w:rPr>
        <w:t>stated</w:t>
      </w:r>
      <w:r w:rsidR="000040FB">
        <w:rPr>
          <w:rFonts w:ascii="Arial" w:hAnsi="Arial" w:cs="Arial"/>
          <w:lang w:val="en-US"/>
        </w:rPr>
        <w:t>:</w:t>
      </w:r>
      <w:r w:rsidR="00197953">
        <w:rPr>
          <w:rStyle w:val="FootnoteReference"/>
          <w:rFonts w:ascii="Arial" w:hAnsi="Arial" w:cs="Arial"/>
          <w:lang w:val="en-US"/>
        </w:rPr>
        <w:footnoteReference w:id="24"/>
      </w:r>
      <w:r w:rsidR="000040FB">
        <w:rPr>
          <w:rFonts w:ascii="Arial" w:hAnsi="Arial" w:cs="Arial"/>
          <w:lang w:val="en-US"/>
        </w:rPr>
        <w:t xml:space="preserve"> </w:t>
      </w:r>
    </w:p>
    <w:p w14:paraId="6ABF0C85" w14:textId="5D50C9B1" w:rsidR="000040FB" w:rsidRDefault="000040FB" w:rsidP="00CB2578">
      <w:pPr>
        <w:jc w:val="both"/>
        <w:rPr>
          <w:rFonts w:ascii="Arial" w:hAnsi="Arial" w:cs="Arial"/>
          <w:lang w:val="en-US"/>
        </w:rPr>
      </w:pPr>
      <w:r>
        <w:rPr>
          <w:rFonts w:ascii="Arial" w:hAnsi="Arial" w:cs="Arial"/>
          <w:lang w:val="en-US"/>
        </w:rPr>
        <w:t>‘</w:t>
      </w:r>
      <w:r w:rsidR="00197953" w:rsidRPr="000040FB">
        <w:rPr>
          <w:rFonts w:ascii="Arial" w:hAnsi="Arial" w:cs="Arial"/>
          <w:i/>
          <w:iCs/>
          <w:sz w:val="20"/>
          <w:szCs w:val="20"/>
          <w:lang w:val="en-US"/>
        </w:rPr>
        <w:t xml:space="preserve">An appellant may raise </w:t>
      </w:r>
      <w:r w:rsidR="00944D91" w:rsidRPr="000040FB">
        <w:rPr>
          <w:rFonts w:ascii="Arial" w:hAnsi="Arial" w:cs="Arial"/>
          <w:i/>
          <w:iCs/>
          <w:sz w:val="20"/>
          <w:szCs w:val="20"/>
          <w:lang w:val="en-US"/>
        </w:rPr>
        <w:t xml:space="preserve">a </w:t>
      </w:r>
      <w:r w:rsidR="00197953" w:rsidRPr="000040FB">
        <w:rPr>
          <w:rFonts w:ascii="Arial" w:hAnsi="Arial" w:cs="Arial"/>
          <w:i/>
          <w:iCs/>
          <w:sz w:val="20"/>
          <w:szCs w:val="20"/>
          <w:lang w:val="en-US"/>
        </w:rPr>
        <w:t>new ground of objection in the TCR 32 statement</w:t>
      </w:r>
      <w:r w:rsidR="00C44DFC" w:rsidRPr="000040FB">
        <w:rPr>
          <w:rFonts w:ascii="Arial" w:hAnsi="Arial" w:cs="Arial"/>
          <w:i/>
          <w:iCs/>
          <w:sz w:val="20"/>
          <w:szCs w:val="20"/>
          <w:lang w:val="en-US"/>
        </w:rPr>
        <w:t>,</w:t>
      </w:r>
      <w:r w:rsidR="00197953" w:rsidRPr="000040FB">
        <w:rPr>
          <w:rFonts w:ascii="Arial" w:hAnsi="Arial" w:cs="Arial"/>
          <w:i/>
          <w:iCs/>
          <w:sz w:val="20"/>
          <w:szCs w:val="20"/>
          <w:lang w:val="en-US"/>
        </w:rPr>
        <w:t xml:space="preserve"> provided that it relates to a part or an amount in the assessment that was placed in dispute by the objection stated under T</w:t>
      </w:r>
      <w:r w:rsidR="00C44DFC" w:rsidRPr="000040FB">
        <w:rPr>
          <w:rFonts w:ascii="Arial" w:hAnsi="Arial" w:cs="Arial"/>
          <w:i/>
          <w:iCs/>
          <w:sz w:val="20"/>
          <w:szCs w:val="20"/>
          <w:lang w:val="en-US"/>
        </w:rPr>
        <w:t>C</w:t>
      </w:r>
      <w:r w:rsidR="00197953" w:rsidRPr="000040FB">
        <w:rPr>
          <w:rFonts w:ascii="Arial" w:hAnsi="Arial" w:cs="Arial"/>
          <w:i/>
          <w:iCs/>
          <w:sz w:val="20"/>
          <w:szCs w:val="20"/>
          <w:lang w:val="en-US"/>
        </w:rPr>
        <w:t>R</w:t>
      </w:r>
      <w:r w:rsidR="00197953" w:rsidRPr="000040FB">
        <w:rPr>
          <w:rFonts w:ascii="Arial" w:hAnsi="Arial" w:cs="Arial"/>
          <w:sz w:val="20"/>
          <w:szCs w:val="20"/>
          <w:lang w:val="en-US"/>
        </w:rPr>
        <w:t xml:space="preserve"> 7</w:t>
      </w:r>
      <w:r w:rsidR="00C44DFC" w:rsidRPr="000040FB">
        <w:rPr>
          <w:rFonts w:ascii="Arial" w:hAnsi="Arial" w:cs="Arial"/>
          <w:sz w:val="20"/>
          <w:szCs w:val="20"/>
          <w:lang w:val="en-US"/>
        </w:rPr>
        <w:t>.</w:t>
      </w:r>
      <w:r w:rsidR="003A7F5D" w:rsidRPr="000040FB">
        <w:rPr>
          <w:rFonts w:ascii="Arial" w:hAnsi="Arial" w:cs="Arial"/>
          <w:sz w:val="20"/>
          <w:szCs w:val="20"/>
          <w:lang w:val="en-US"/>
        </w:rPr>
        <w:t>’.</w:t>
      </w:r>
      <w:r w:rsidR="002A0D0E" w:rsidRPr="000040FB">
        <w:rPr>
          <w:rFonts w:ascii="Arial" w:hAnsi="Arial" w:cs="Arial"/>
          <w:sz w:val="20"/>
          <w:szCs w:val="20"/>
          <w:lang w:val="en-US"/>
        </w:rPr>
        <w:t xml:space="preserve"> </w:t>
      </w:r>
    </w:p>
    <w:p w14:paraId="7809814F" w14:textId="77777777" w:rsidR="00CB2578" w:rsidRDefault="00CB2578" w:rsidP="00197953">
      <w:pPr>
        <w:spacing w:line="480" w:lineRule="auto"/>
        <w:jc w:val="both"/>
        <w:rPr>
          <w:rFonts w:ascii="Arial" w:hAnsi="Arial" w:cs="Arial"/>
          <w:lang w:val="en-US"/>
        </w:rPr>
      </w:pPr>
    </w:p>
    <w:p w14:paraId="08D3F005" w14:textId="3D7FAE5D" w:rsidR="00F10DD3" w:rsidRDefault="000040FB" w:rsidP="00197953">
      <w:pPr>
        <w:spacing w:line="480" w:lineRule="auto"/>
        <w:jc w:val="both"/>
        <w:rPr>
          <w:rFonts w:ascii="Arial" w:hAnsi="Arial" w:cs="Arial"/>
          <w:lang w:val="en-US"/>
        </w:rPr>
      </w:pPr>
      <w:r>
        <w:rPr>
          <w:rFonts w:ascii="Arial" w:hAnsi="Arial" w:cs="Arial"/>
          <w:lang w:val="en-US"/>
        </w:rPr>
        <w:t>In the circumstances</w:t>
      </w:r>
      <w:r w:rsidR="003A7F5D">
        <w:rPr>
          <w:rFonts w:ascii="Arial" w:hAnsi="Arial" w:cs="Arial"/>
          <w:lang w:val="en-US"/>
        </w:rPr>
        <w:t xml:space="preserve">, </w:t>
      </w:r>
      <w:r>
        <w:rPr>
          <w:rFonts w:ascii="Arial" w:hAnsi="Arial" w:cs="Arial"/>
          <w:lang w:val="en-US"/>
        </w:rPr>
        <w:t>we</w:t>
      </w:r>
      <w:r w:rsidR="00197953">
        <w:rPr>
          <w:rFonts w:ascii="Arial" w:hAnsi="Arial" w:cs="Arial"/>
          <w:lang w:val="en-US"/>
        </w:rPr>
        <w:t xml:space="preserve"> do not agree with the submission that it </w:t>
      </w:r>
      <w:r>
        <w:rPr>
          <w:rFonts w:ascii="Arial" w:hAnsi="Arial" w:cs="Arial"/>
          <w:lang w:val="en-US"/>
        </w:rPr>
        <w:t xml:space="preserve">is </w:t>
      </w:r>
      <w:r w:rsidR="00197953">
        <w:rPr>
          <w:rFonts w:ascii="Arial" w:hAnsi="Arial" w:cs="Arial"/>
          <w:lang w:val="en-US"/>
        </w:rPr>
        <w:t xml:space="preserve">clear from the scheme of the rules that taxpayers </w:t>
      </w:r>
      <w:r>
        <w:rPr>
          <w:rFonts w:ascii="Arial" w:hAnsi="Arial" w:cs="Arial"/>
          <w:lang w:val="en-US"/>
        </w:rPr>
        <w:t>a</w:t>
      </w:r>
      <w:r w:rsidR="00197953">
        <w:rPr>
          <w:rFonts w:ascii="Arial" w:hAnsi="Arial" w:cs="Arial"/>
          <w:lang w:val="en-US"/>
        </w:rPr>
        <w:t>re no longer restricted</w:t>
      </w:r>
      <w:r w:rsidR="003006BC">
        <w:rPr>
          <w:rFonts w:ascii="Arial" w:hAnsi="Arial" w:cs="Arial"/>
          <w:lang w:val="en-US"/>
        </w:rPr>
        <w:t>,</w:t>
      </w:r>
      <w:r w:rsidR="00197953">
        <w:rPr>
          <w:rFonts w:ascii="Arial" w:hAnsi="Arial" w:cs="Arial"/>
          <w:lang w:val="en-US"/>
        </w:rPr>
        <w:t xml:space="preserve"> on appeal, to the grounds of objection originally filed by them</w:t>
      </w:r>
      <w:r w:rsidR="00FD71F3">
        <w:rPr>
          <w:rFonts w:ascii="Arial" w:hAnsi="Arial" w:cs="Arial"/>
          <w:lang w:val="en-US"/>
        </w:rPr>
        <w:t>,</w:t>
      </w:r>
      <w:r w:rsidR="00197953">
        <w:rPr>
          <w:rFonts w:ascii="Arial" w:hAnsi="Arial" w:cs="Arial"/>
          <w:lang w:val="en-US"/>
        </w:rPr>
        <w:t xml:space="preserve"> </w:t>
      </w:r>
      <w:r w:rsidR="00CA3BC4">
        <w:rPr>
          <w:rFonts w:ascii="Arial" w:hAnsi="Arial" w:cs="Arial"/>
          <w:lang w:val="en-US"/>
        </w:rPr>
        <w:t>b</w:t>
      </w:r>
      <w:r w:rsidR="00197953">
        <w:rPr>
          <w:rFonts w:ascii="Arial" w:hAnsi="Arial" w:cs="Arial"/>
          <w:lang w:val="en-US"/>
        </w:rPr>
        <w:t xml:space="preserve">ecause provision </w:t>
      </w:r>
      <w:r>
        <w:rPr>
          <w:rFonts w:ascii="Arial" w:hAnsi="Arial" w:cs="Arial"/>
          <w:lang w:val="en-US"/>
        </w:rPr>
        <w:t>is</w:t>
      </w:r>
      <w:r w:rsidR="00197953">
        <w:rPr>
          <w:rFonts w:ascii="Arial" w:hAnsi="Arial" w:cs="Arial"/>
          <w:lang w:val="en-US"/>
        </w:rPr>
        <w:t xml:space="preserve"> made for new grounds to be advanced in </w:t>
      </w:r>
      <w:r w:rsidR="003C31BC">
        <w:rPr>
          <w:rFonts w:ascii="Arial" w:hAnsi="Arial" w:cs="Arial"/>
          <w:lang w:val="en-US"/>
        </w:rPr>
        <w:t xml:space="preserve">terms of </w:t>
      </w:r>
      <w:r w:rsidR="00197953">
        <w:rPr>
          <w:rFonts w:ascii="Arial" w:hAnsi="Arial" w:cs="Arial"/>
          <w:lang w:val="en-US"/>
        </w:rPr>
        <w:t>rule</w:t>
      </w:r>
      <w:r w:rsidR="004D507A">
        <w:rPr>
          <w:rFonts w:ascii="Arial" w:hAnsi="Arial" w:cs="Arial"/>
          <w:lang w:val="en-US"/>
        </w:rPr>
        <w:t xml:space="preserve"> 10(3)</w:t>
      </w:r>
      <w:r w:rsidR="00197953">
        <w:rPr>
          <w:rFonts w:ascii="Arial" w:hAnsi="Arial" w:cs="Arial"/>
          <w:lang w:val="en-US"/>
        </w:rPr>
        <w:t xml:space="preserve"> and rule 3</w:t>
      </w:r>
      <w:r>
        <w:rPr>
          <w:rFonts w:ascii="Arial" w:hAnsi="Arial" w:cs="Arial"/>
          <w:lang w:val="en-US"/>
        </w:rPr>
        <w:t>2</w:t>
      </w:r>
      <w:r w:rsidR="009E743D">
        <w:rPr>
          <w:rFonts w:ascii="Arial" w:hAnsi="Arial" w:cs="Arial"/>
          <w:lang w:val="en-US"/>
        </w:rPr>
        <w:t>(3)</w:t>
      </w:r>
      <w:r w:rsidR="00197953">
        <w:rPr>
          <w:rFonts w:ascii="Arial" w:hAnsi="Arial" w:cs="Arial"/>
          <w:lang w:val="en-US"/>
        </w:rPr>
        <w:t xml:space="preserve">. These rules were clearly enacted for the purpose of </w:t>
      </w:r>
      <w:r>
        <w:rPr>
          <w:rFonts w:ascii="Arial" w:hAnsi="Arial" w:cs="Arial"/>
          <w:lang w:val="en-US"/>
        </w:rPr>
        <w:t xml:space="preserve">allowing </w:t>
      </w:r>
      <w:r w:rsidR="00197953">
        <w:rPr>
          <w:rFonts w:ascii="Arial" w:hAnsi="Arial" w:cs="Arial"/>
          <w:lang w:val="en-US"/>
        </w:rPr>
        <w:t>new ground</w:t>
      </w:r>
      <w:r>
        <w:rPr>
          <w:rFonts w:ascii="Arial" w:hAnsi="Arial" w:cs="Arial"/>
          <w:lang w:val="en-US"/>
        </w:rPr>
        <w:t>s</w:t>
      </w:r>
      <w:r w:rsidR="00197953">
        <w:rPr>
          <w:rFonts w:ascii="Arial" w:hAnsi="Arial" w:cs="Arial"/>
          <w:lang w:val="en-US"/>
        </w:rPr>
        <w:t xml:space="preserve"> of appeal </w:t>
      </w:r>
      <w:r>
        <w:rPr>
          <w:rFonts w:ascii="Arial" w:hAnsi="Arial" w:cs="Arial"/>
          <w:lang w:val="en-US"/>
        </w:rPr>
        <w:t xml:space="preserve">to be added, only </w:t>
      </w:r>
      <w:r w:rsidR="00197953">
        <w:rPr>
          <w:rFonts w:ascii="Arial" w:hAnsi="Arial" w:cs="Arial"/>
          <w:lang w:val="en-US"/>
        </w:rPr>
        <w:t xml:space="preserve">as contemplated </w:t>
      </w:r>
      <w:r>
        <w:rPr>
          <w:rFonts w:ascii="Arial" w:hAnsi="Arial" w:cs="Arial"/>
          <w:lang w:val="en-US"/>
        </w:rPr>
        <w:t xml:space="preserve">within the confines </w:t>
      </w:r>
      <w:r w:rsidR="00E708B7">
        <w:rPr>
          <w:rFonts w:ascii="Arial" w:hAnsi="Arial" w:cs="Arial"/>
          <w:lang w:val="en-US"/>
        </w:rPr>
        <w:t xml:space="preserve">of, and </w:t>
      </w:r>
      <w:r w:rsidR="00197953">
        <w:rPr>
          <w:rFonts w:ascii="Arial" w:hAnsi="Arial" w:cs="Arial"/>
          <w:lang w:val="en-US"/>
        </w:rPr>
        <w:t>subject t</w:t>
      </w:r>
      <w:r w:rsidR="00E708B7">
        <w:rPr>
          <w:rFonts w:ascii="Arial" w:hAnsi="Arial" w:cs="Arial"/>
          <w:lang w:val="en-US"/>
        </w:rPr>
        <w:t xml:space="preserve">o, </w:t>
      </w:r>
      <w:r w:rsidR="00197953">
        <w:rPr>
          <w:rFonts w:ascii="Arial" w:hAnsi="Arial" w:cs="Arial"/>
          <w:lang w:val="en-US"/>
        </w:rPr>
        <w:t>the limitation</w:t>
      </w:r>
      <w:r>
        <w:rPr>
          <w:rFonts w:ascii="Arial" w:hAnsi="Arial" w:cs="Arial"/>
          <w:lang w:val="en-US"/>
        </w:rPr>
        <w:t>s</w:t>
      </w:r>
      <w:r w:rsidR="00197953">
        <w:rPr>
          <w:rFonts w:ascii="Arial" w:hAnsi="Arial" w:cs="Arial"/>
          <w:lang w:val="en-US"/>
        </w:rPr>
        <w:t xml:space="preserve"> set out in</w:t>
      </w:r>
      <w:r w:rsidR="00E708B7">
        <w:rPr>
          <w:rFonts w:ascii="Arial" w:hAnsi="Arial" w:cs="Arial"/>
          <w:lang w:val="en-US"/>
        </w:rPr>
        <w:t xml:space="preserve"> these subrules, read</w:t>
      </w:r>
      <w:r w:rsidR="00197953">
        <w:rPr>
          <w:rFonts w:ascii="Arial" w:hAnsi="Arial" w:cs="Arial"/>
          <w:lang w:val="en-US"/>
        </w:rPr>
        <w:t xml:space="preserve"> with rule 7.</w:t>
      </w:r>
      <w:r w:rsidR="00F10DD3">
        <w:rPr>
          <w:rFonts w:ascii="Arial" w:hAnsi="Arial" w:cs="Arial"/>
          <w:lang w:val="en-US"/>
        </w:rPr>
        <w:t xml:space="preserve"> </w:t>
      </w:r>
    </w:p>
    <w:p w14:paraId="66BAEDDC" w14:textId="77777777" w:rsidR="00F10DD3" w:rsidRDefault="00F10DD3" w:rsidP="00197953">
      <w:pPr>
        <w:spacing w:line="480" w:lineRule="auto"/>
        <w:jc w:val="both"/>
        <w:rPr>
          <w:rFonts w:ascii="Arial" w:hAnsi="Arial" w:cs="Arial"/>
          <w:lang w:val="en-US"/>
        </w:rPr>
      </w:pPr>
    </w:p>
    <w:p w14:paraId="1EBDB6C4" w14:textId="5CAA6886" w:rsidR="00197953" w:rsidRDefault="0054338A" w:rsidP="00197953">
      <w:pPr>
        <w:spacing w:line="480" w:lineRule="auto"/>
        <w:jc w:val="both"/>
        <w:rPr>
          <w:rFonts w:ascii="Arial" w:hAnsi="Arial" w:cs="Arial"/>
          <w:lang w:val="en-US"/>
        </w:rPr>
      </w:pPr>
      <w:r>
        <w:rPr>
          <w:rFonts w:ascii="Arial" w:hAnsi="Arial" w:cs="Arial"/>
          <w:lang w:val="en-US"/>
        </w:rPr>
        <w:t>[7</w:t>
      </w:r>
      <w:r w:rsidR="000040FB">
        <w:rPr>
          <w:rFonts w:ascii="Arial" w:hAnsi="Arial" w:cs="Arial"/>
          <w:lang w:val="en-US"/>
        </w:rPr>
        <w:t>6</w:t>
      </w:r>
      <w:r>
        <w:rPr>
          <w:rFonts w:ascii="Arial" w:hAnsi="Arial" w:cs="Arial"/>
          <w:lang w:val="en-US"/>
        </w:rPr>
        <w:t>]</w:t>
      </w:r>
      <w:r>
        <w:rPr>
          <w:rFonts w:ascii="Arial" w:hAnsi="Arial" w:cs="Arial"/>
          <w:lang w:val="en-US"/>
        </w:rPr>
        <w:tab/>
      </w:r>
      <w:r w:rsidR="003C31BC">
        <w:rPr>
          <w:rFonts w:ascii="Arial" w:hAnsi="Arial" w:cs="Arial"/>
          <w:lang w:val="en-US"/>
        </w:rPr>
        <w:t xml:space="preserve">As for </w:t>
      </w:r>
      <w:r w:rsidR="000040FB">
        <w:rPr>
          <w:rFonts w:ascii="Arial" w:hAnsi="Arial" w:cs="Arial"/>
          <w:lang w:val="en-US"/>
        </w:rPr>
        <w:t>the discovery provision in</w:t>
      </w:r>
      <w:r w:rsidR="00197953">
        <w:rPr>
          <w:rFonts w:ascii="Arial" w:hAnsi="Arial" w:cs="Arial"/>
          <w:lang w:val="en-US"/>
        </w:rPr>
        <w:t xml:space="preserve"> rule 10(4)</w:t>
      </w:r>
      <w:r w:rsidR="003C31BC">
        <w:rPr>
          <w:rFonts w:ascii="Arial" w:hAnsi="Arial" w:cs="Arial"/>
          <w:lang w:val="en-US"/>
        </w:rPr>
        <w:t>, its</w:t>
      </w:r>
      <w:r w:rsidR="003C31BC" w:rsidRPr="003C31BC">
        <w:rPr>
          <w:rFonts w:ascii="Arial" w:hAnsi="Arial" w:cs="Arial"/>
          <w:lang w:val="en-US"/>
        </w:rPr>
        <w:t xml:space="preserve"> </w:t>
      </w:r>
      <w:r w:rsidR="003C31BC">
        <w:rPr>
          <w:rFonts w:ascii="Arial" w:hAnsi="Arial" w:cs="Arial"/>
          <w:lang w:val="en-US"/>
        </w:rPr>
        <w:t xml:space="preserve">purpose </w:t>
      </w:r>
      <w:r w:rsidR="00197953">
        <w:rPr>
          <w:rFonts w:ascii="Arial" w:hAnsi="Arial" w:cs="Arial"/>
          <w:lang w:val="en-US"/>
        </w:rPr>
        <w:t>is to</w:t>
      </w:r>
      <w:r w:rsidR="000040FB">
        <w:rPr>
          <w:rFonts w:ascii="Arial" w:hAnsi="Arial" w:cs="Arial"/>
          <w:lang w:val="en-US"/>
        </w:rPr>
        <w:t xml:space="preserve"> allow </w:t>
      </w:r>
      <w:r w:rsidR="00197953">
        <w:rPr>
          <w:rFonts w:ascii="Arial" w:hAnsi="Arial" w:cs="Arial"/>
          <w:lang w:val="en-US"/>
        </w:rPr>
        <w:t xml:space="preserve">SARS </w:t>
      </w:r>
      <w:r w:rsidR="000040FB">
        <w:rPr>
          <w:rFonts w:ascii="Arial" w:hAnsi="Arial" w:cs="Arial"/>
          <w:lang w:val="en-US"/>
        </w:rPr>
        <w:t>to call for</w:t>
      </w:r>
      <w:r w:rsidR="00197953">
        <w:rPr>
          <w:rFonts w:ascii="Arial" w:hAnsi="Arial" w:cs="Arial"/>
          <w:lang w:val="en-US"/>
        </w:rPr>
        <w:t xml:space="preserve"> the necessary information </w:t>
      </w:r>
      <w:r w:rsidR="007A6CF3">
        <w:rPr>
          <w:rFonts w:ascii="Arial" w:hAnsi="Arial" w:cs="Arial"/>
          <w:lang w:val="en-US"/>
        </w:rPr>
        <w:t>to</w:t>
      </w:r>
      <w:r w:rsidR="00197953">
        <w:rPr>
          <w:rFonts w:ascii="Arial" w:hAnsi="Arial" w:cs="Arial"/>
          <w:lang w:val="en-US"/>
        </w:rPr>
        <w:t xml:space="preserve"> </w:t>
      </w:r>
      <w:r w:rsidR="000040FB">
        <w:rPr>
          <w:rFonts w:ascii="Arial" w:hAnsi="Arial" w:cs="Arial"/>
          <w:lang w:val="en-US"/>
        </w:rPr>
        <w:t xml:space="preserve">enable it to </w:t>
      </w:r>
      <w:r w:rsidR="00197953">
        <w:rPr>
          <w:rFonts w:ascii="Arial" w:hAnsi="Arial" w:cs="Arial"/>
          <w:lang w:val="en-US"/>
        </w:rPr>
        <w:t xml:space="preserve">make a decision </w:t>
      </w:r>
      <w:r w:rsidR="000040FB">
        <w:rPr>
          <w:rFonts w:ascii="Arial" w:hAnsi="Arial" w:cs="Arial"/>
          <w:lang w:val="en-US"/>
        </w:rPr>
        <w:t xml:space="preserve">as to the merits of </w:t>
      </w:r>
      <w:r w:rsidR="00197953">
        <w:rPr>
          <w:rFonts w:ascii="Arial" w:hAnsi="Arial" w:cs="Arial"/>
          <w:lang w:val="en-US"/>
        </w:rPr>
        <w:t>a</w:t>
      </w:r>
      <w:r w:rsidR="000040FB">
        <w:rPr>
          <w:rFonts w:ascii="Arial" w:hAnsi="Arial" w:cs="Arial"/>
          <w:lang w:val="en-US"/>
        </w:rPr>
        <w:t>ny</w:t>
      </w:r>
      <w:r w:rsidR="00197953">
        <w:rPr>
          <w:rFonts w:ascii="Arial" w:hAnsi="Arial" w:cs="Arial"/>
          <w:lang w:val="en-US"/>
        </w:rPr>
        <w:t xml:space="preserve"> new ground of appeal </w:t>
      </w:r>
      <w:r w:rsidR="007A6CF3">
        <w:rPr>
          <w:rFonts w:ascii="Arial" w:hAnsi="Arial" w:cs="Arial"/>
          <w:lang w:val="en-US"/>
        </w:rPr>
        <w:t xml:space="preserve">which has been raised, </w:t>
      </w:r>
      <w:r w:rsidR="00197953">
        <w:rPr>
          <w:rFonts w:ascii="Arial" w:hAnsi="Arial" w:cs="Arial"/>
          <w:lang w:val="en-US"/>
        </w:rPr>
        <w:t>as envisaged by rule 10(3)</w:t>
      </w:r>
      <w:r w:rsidR="003C31BC">
        <w:rPr>
          <w:rFonts w:ascii="Arial" w:hAnsi="Arial" w:cs="Arial"/>
          <w:lang w:val="en-US"/>
        </w:rPr>
        <w:t>.</w:t>
      </w:r>
      <w:r w:rsidR="00197953">
        <w:rPr>
          <w:rFonts w:ascii="Arial" w:hAnsi="Arial" w:cs="Arial"/>
          <w:lang w:val="en-US"/>
        </w:rPr>
        <w:t xml:space="preserve"> </w:t>
      </w:r>
      <w:r w:rsidR="004D507A">
        <w:rPr>
          <w:rFonts w:ascii="Arial" w:hAnsi="Arial" w:cs="Arial"/>
          <w:lang w:val="en-US"/>
        </w:rPr>
        <w:t>The subrule does not allow for grounds of appeal to be raised beyond the confines of those referred to in subrule 10(3). R</w:t>
      </w:r>
      <w:r w:rsidR="00197953">
        <w:rPr>
          <w:rFonts w:ascii="Arial" w:hAnsi="Arial" w:cs="Arial"/>
          <w:lang w:val="en-US"/>
        </w:rPr>
        <w:t xml:space="preserve">ule </w:t>
      </w:r>
      <w:r w:rsidR="004D507A">
        <w:rPr>
          <w:rFonts w:ascii="Arial" w:hAnsi="Arial" w:cs="Arial"/>
          <w:lang w:val="en-US"/>
        </w:rPr>
        <w:t xml:space="preserve">10(4) simply </w:t>
      </w:r>
      <w:r w:rsidR="000040FB">
        <w:rPr>
          <w:rFonts w:ascii="Arial" w:hAnsi="Arial" w:cs="Arial"/>
          <w:lang w:val="en-US"/>
        </w:rPr>
        <w:t>allows</w:t>
      </w:r>
      <w:r w:rsidR="004E047F">
        <w:rPr>
          <w:rFonts w:ascii="Arial" w:hAnsi="Arial" w:cs="Arial"/>
          <w:lang w:val="en-US"/>
        </w:rPr>
        <w:t xml:space="preserve"> SARS to </w:t>
      </w:r>
      <w:r w:rsidR="004D507A">
        <w:rPr>
          <w:rFonts w:ascii="Arial" w:hAnsi="Arial" w:cs="Arial"/>
          <w:lang w:val="en-US"/>
        </w:rPr>
        <w:t>call upon</w:t>
      </w:r>
      <w:r w:rsidR="000040FB">
        <w:rPr>
          <w:rFonts w:ascii="Arial" w:hAnsi="Arial" w:cs="Arial"/>
          <w:lang w:val="en-US"/>
        </w:rPr>
        <w:t xml:space="preserve"> the</w:t>
      </w:r>
      <w:r w:rsidR="004E047F">
        <w:rPr>
          <w:rFonts w:ascii="Arial" w:hAnsi="Arial" w:cs="Arial"/>
          <w:lang w:val="en-US"/>
        </w:rPr>
        <w:t xml:space="preserve"> taxpayer </w:t>
      </w:r>
      <w:r w:rsidR="00197953">
        <w:rPr>
          <w:rFonts w:ascii="Arial" w:hAnsi="Arial" w:cs="Arial"/>
          <w:lang w:val="en-US"/>
        </w:rPr>
        <w:t xml:space="preserve">to produce substantiating documents </w:t>
      </w:r>
      <w:r w:rsidR="003A7F5D">
        <w:rPr>
          <w:rFonts w:ascii="Arial" w:hAnsi="Arial" w:cs="Arial"/>
          <w:lang w:val="en-US"/>
        </w:rPr>
        <w:t xml:space="preserve">in order to </w:t>
      </w:r>
      <w:r w:rsidR="00197953">
        <w:rPr>
          <w:rFonts w:ascii="Arial" w:hAnsi="Arial" w:cs="Arial"/>
          <w:lang w:val="en-US"/>
        </w:rPr>
        <w:t xml:space="preserve">ascertain whether a </w:t>
      </w:r>
      <w:r w:rsidR="0050018C">
        <w:rPr>
          <w:rFonts w:ascii="Arial" w:hAnsi="Arial" w:cs="Arial"/>
          <w:lang w:val="en-US"/>
        </w:rPr>
        <w:t>genuine</w:t>
      </w:r>
      <w:r w:rsidR="000040FB">
        <w:rPr>
          <w:rFonts w:ascii="Arial" w:hAnsi="Arial" w:cs="Arial"/>
          <w:lang w:val="en-US"/>
        </w:rPr>
        <w:t>,</w:t>
      </w:r>
      <w:r w:rsidR="0050018C">
        <w:rPr>
          <w:rFonts w:ascii="Arial" w:hAnsi="Arial" w:cs="Arial"/>
          <w:lang w:val="en-US"/>
        </w:rPr>
        <w:t xml:space="preserve"> </w:t>
      </w:r>
      <w:r w:rsidR="00197953">
        <w:rPr>
          <w:rFonts w:ascii="Arial" w:hAnsi="Arial" w:cs="Arial"/>
          <w:lang w:val="en-US"/>
        </w:rPr>
        <w:t xml:space="preserve">new ground not previously raised in respect of a part of an assessment, or an amount </w:t>
      </w:r>
      <w:r w:rsidR="000040FB">
        <w:rPr>
          <w:rFonts w:ascii="Arial" w:hAnsi="Arial" w:cs="Arial"/>
          <w:lang w:val="en-US"/>
        </w:rPr>
        <w:t xml:space="preserve">therein, </w:t>
      </w:r>
      <w:r w:rsidR="00197953">
        <w:rPr>
          <w:rFonts w:ascii="Arial" w:hAnsi="Arial" w:cs="Arial"/>
          <w:lang w:val="en-US"/>
        </w:rPr>
        <w:t>ha</w:t>
      </w:r>
      <w:r w:rsidR="000040FB">
        <w:rPr>
          <w:rFonts w:ascii="Arial" w:hAnsi="Arial" w:cs="Arial"/>
          <w:lang w:val="en-US"/>
        </w:rPr>
        <w:t>s</w:t>
      </w:r>
      <w:r w:rsidR="00197953">
        <w:rPr>
          <w:rFonts w:ascii="Arial" w:hAnsi="Arial" w:cs="Arial"/>
          <w:lang w:val="en-US"/>
        </w:rPr>
        <w:t xml:space="preserve"> been established. </w:t>
      </w:r>
      <w:r w:rsidR="00855811">
        <w:rPr>
          <w:rFonts w:ascii="Arial" w:hAnsi="Arial" w:cs="Arial"/>
          <w:lang w:val="en-US"/>
        </w:rPr>
        <w:t xml:space="preserve">It is a process </w:t>
      </w:r>
      <w:r w:rsidR="000040FB">
        <w:rPr>
          <w:rFonts w:ascii="Arial" w:hAnsi="Arial" w:cs="Arial"/>
          <w:lang w:val="en-US"/>
        </w:rPr>
        <w:t xml:space="preserve">which SARS may activate </w:t>
      </w:r>
      <w:r w:rsidR="007C08E9">
        <w:rPr>
          <w:rFonts w:ascii="Arial" w:hAnsi="Arial" w:cs="Arial"/>
          <w:lang w:val="en-US"/>
        </w:rPr>
        <w:t xml:space="preserve">before </w:t>
      </w:r>
      <w:r w:rsidR="000040FB">
        <w:rPr>
          <w:rFonts w:ascii="Arial" w:hAnsi="Arial" w:cs="Arial"/>
          <w:lang w:val="en-US"/>
        </w:rPr>
        <w:t xml:space="preserve">it has to file its statement in terms of </w:t>
      </w:r>
      <w:r w:rsidR="0042338F">
        <w:rPr>
          <w:rFonts w:ascii="Arial" w:hAnsi="Arial" w:cs="Arial"/>
          <w:lang w:val="en-US"/>
        </w:rPr>
        <w:t xml:space="preserve">rule 31, in which it </w:t>
      </w:r>
      <w:r w:rsidR="00307BE4">
        <w:rPr>
          <w:rFonts w:ascii="Arial" w:hAnsi="Arial" w:cs="Arial"/>
          <w:lang w:val="en-US"/>
        </w:rPr>
        <w:t>is require</w:t>
      </w:r>
      <w:r w:rsidR="003C31BC">
        <w:rPr>
          <w:rFonts w:ascii="Arial" w:hAnsi="Arial" w:cs="Arial"/>
          <w:lang w:val="en-US"/>
        </w:rPr>
        <w:t>d</w:t>
      </w:r>
      <w:r w:rsidR="00307BE4">
        <w:rPr>
          <w:rFonts w:ascii="Arial" w:hAnsi="Arial" w:cs="Arial"/>
          <w:lang w:val="en-US"/>
        </w:rPr>
        <w:t xml:space="preserve"> to </w:t>
      </w:r>
      <w:r w:rsidR="0042338F">
        <w:rPr>
          <w:rFonts w:ascii="Arial" w:hAnsi="Arial" w:cs="Arial"/>
          <w:lang w:val="en-US"/>
        </w:rPr>
        <w:t>set</w:t>
      </w:r>
      <w:r w:rsidR="00E52C85">
        <w:rPr>
          <w:rFonts w:ascii="Arial" w:hAnsi="Arial" w:cs="Arial"/>
          <w:lang w:val="en-US"/>
        </w:rPr>
        <w:t xml:space="preserve"> </w:t>
      </w:r>
      <w:r w:rsidR="0042338F">
        <w:rPr>
          <w:rFonts w:ascii="Arial" w:hAnsi="Arial" w:cs="Arial"/>
          <w:lang w:val="en-US"/>
        </w:rPr>
        <w:t>out, clearly and concisely, its grounds for arriving at its assessment and which of the facts or legal grounds in the taxpayer’s notice of appeal are admitted and which are opposed, together with the material</w:t>
      </w:r>
      <w:r w:rsidR="0042338F" w:rsidRPr="0042338F">
        <w:rPr>
          <w:rFonts w:ascii="Arial" w:hAnsi="Arial" w:cs="Arial"/>
          <w:lang w:val="en-US"/>
        </w:rPr>
        <w:t xml:space="preserve"> </w:t>
      </w:r>
      <w:r w:rsidR="0042338F">
        <w:rPr>
          <w:rFonts w:ascii="Arial" w:hAnsi="Arial" w:cs="Arial"/>
          <w:lang w:val="en-US"/>
        </w:rPr>
        <w:t xml:space="preserve">facts and legal grounds on which it opposes the appeal. </w:t>
      </w:r>
      <w:r w:rsidR="00E52C85">
        <w:rPr>
          <w:rFonts w:ascii="Arial" w:hAnsi="Arial" w:cs="Arial"/>
          <w:lang w:val="en-US"/>
        </w:rPr>
        <w:t xml:space="preserve">SARS </w:t>
      </w:r>
      <w:r w:rsidR="0042338F">
        <w:rPr>
          <w:rFonts w:ascii="Arial" w:hAnsi="Arial" w:cs="Arial"/>
          <w:lang w:val="en-US"/>
        </w:rPr>
        <w:t xml:space="preserve">might, </w:t>
      </w:r>
      <w:r w:rsidR="00E52C85">
        <w:rPr>
          <w:rFonts w:ascii="Arial" w:hAnsi="Arial" w:cs="Arial"/>
          <w:lang w:val="en-US"/>
        </w:rPr>
        <w:t>after</w:t>
      </w:r>
      <w:r w:rsidR="008F63E6">
        <w:rPr>
          <w:rFonts w:ascii="Arial" w:hAnsi="Arial" w:cs="Arial"/>
          <w:lang w:val="en-US"/>
        </w:rPr>
        <w:t xml:space="preserve"> having received the documents </w:t>
      </w:r>
      <w:r w:rsidR="0042338F">
        <w:rPr>
          <w:rFonts w:ascii="Arial" w:hAnsi="Arial" w:cs="Arial"/>
          <w:lang w:val="en-US"/>
        </w:rPr>
        <w:t xml:space="preserve">substantiating </w:t>
      </w:r>
      <w:r w:rsidR="007A6CF3">
        <w:rPr>
          <w:rFonts w:ascii="Arial" w:hAnsi="Arial" w:cs="Arial"/>
          <w:lang w:val="en-US"/>
        </w:rPr>
        <w:t xml:space="preserve">the </w:t>
      </w:r>
      <w:r w:rsidR="00543CBD">
        <w:rPr>
          <w:rFonts w:ascii="Arial" w:hAnsi="Arial" w:cs="Arial"/>
          <w:lang w:val="en-US"/>
        </w:rPr>
        <w:t xml:space="preserve">appellant’s </w:t>
      </w:r>
      <w:r w:rsidR="0042338F">
        <w:rPr>
          <w:rFonts w:ascii="Arial" w:hAnsi="Arial" w:cs="Arial"/>
          <w:lang w:val="en-US"/>
        </w:rPr>
        <w:t>new ground</w:t>
      </w:r>
      <w:r w:rsidR="007A6CF3">
        <w:rPr>
          <w:rFonts w:ascii="Arial" w:hAnsi="Arial" w:cs="Arial"/>
          <w:lang w:val="en-US"/>
        </w:rPr>
        <w:t>(s)</w:t>
      </w:r>
      <w:r w:rsidR="0042338F">
        <w:rPr>
          <w:rFonts w:ascii="Arial" w:hAnsi="Arial" w:cs="Arial"/>
          <w:lang w:val="en-US"/>
        </w:rPr>
        <w:t xml:space="preserve"> of appeal, reconsider its position and concede the appeal, either in whole or in part, or it may in turn set out in its rule 31 statement a new ground for</w:t>
      </w:r>
      <w:r w:rsidR="00543CBD">
        <w:rPr>
          <w:rFonts w:ascii="Arial" w:hAnsi="Arial" w:cs="Arial"/>
          <w:lang w:val="en-US"/>
        </w:rPr>
        <w:t xml:space="preserve"> </w:t>
      </w:r>
      <w:r w:rsidR="00350542">
        <w:rPr>
          <w:rFonts w:ascii="Arial" w:hAnsi="Arial" w:cs="Arial"/>
          <w:lang w:val="en-US"/>
        </w:rPr>
        <w:t>(</w:t>
      </w:r>
      <w:r w:rsidR="00543CBD">
        <w:rPr>
          <w:rFonts w:ascii="Arial" w:hAnsi="Arial" w:cs="Arial"/>
          <w:lang w:val="en-US"/>
        </w:rPr>
        <w:t>i.e. justifying</w:t>
      </w:r>
      <w:r w:rsidR="00350542">
        <w:rPr>
          <w:rFonts w:ascii="Arial" w:hAnsi="Arial" w:cs="Arial"/>
          <w:lang w:val="en-US"/>
        </w:rPr>
        <w:t>)</w:t>
      </w:r>
      <w:r w:rsidR="0042338F">
        <w:rPr>
          <w:rFonts w:ascii="Arial" w:hAnsi="Arial" w:cs="Arial"/>
          <w:lang w:val="en-US"/>
        </w:rPr>
        <w:t xml:space="preserve"> its assessment</w:t>
      </w:r>
      <w:r w:rsidR="007A6CF3">
        <w:rPr>
          <w:rFonts w:ascii="Arial" w:hAnsi="Arial" w:cs="Arial"/>
          <w:lang w:val="en-US"/>
        </w:rPr>
        <w:t>,</w:t>
      </w:r>
      <w:r w:rsidR="0042338F">
        <w:rPr>
          <w:rFonts w:ascii="Arial" w:hAnsi="Arial" w:cs="Arial"/>
          <w:lang w:val="en-US"/>
        </w:rPr>
        <w:t xml:space="preserve"> or the basis </w:t>
      </w:r>
      <w:r w:rsidR="001418F4">
        <w:rPr>
          <w:rFonts w:ascii="Arial" w:hAnsi="Arial" w:cs="Arial"/>
          <w:lang w:val="en-US"/>
        </w:rPr>
        <w:t>of</w:t>
      </w:r>
      <w:r w:rsidR="0042338F">
        <w:rPr>
          <w:rFonts w:ascii="Arial" w:hAnsi="Arial" w:cs="Arial"/>
          <w:lang w:val="en-US"/>
        </w:rPr>
        <w:t xml:space="preserve"> its disallowance of the appellant’s objection, in whole or in part</w:t>
      </w:r>
      <w:r w:rsidR="00543CBD">
        <w:rPr>
          <w:rFonts w:ascii="Arial" w:hAnsi="Arial" w:cs="Arial"/>
          <w:lang w:val="en-US"/>
        </w:rPr>
        <w:t>, i</w:t>
      </w:r>
      <w:r w:rsidR="0042338F">
        <w:rPr>
          <w:rFonts w:ascii="Arial" w:hAnsi="Arial" w:cs="Arial"/>
          <w:lang w:val="en-US"/>
        </w:rPr>
        <w:t xml:space="preserve">n </w:t>
      </w:r>
      <w:r w:rsidR="00543CBD">
        <w:rPr>
          <w:rFonts w:ascii="Arial" w:hAnsi="Arial" w:cs="Arial"/>
          <w:lang w:val="en-US"/>
        </w:rPr>
        <w:t xml:space="preserve">terms of </w:t>
      </w:r>
      <w:r w:rsidR="0042338F">
        <w:rPr>
          <w:rFonts w:ascii="Arial" w:hAnsi="Arial" w:cs="Arial"/>
          <w:lang w:val="en-US"/>
        </w:rPr>
        <w:t>rule 31(3).</w:t>
      </w:r>
      <w:r w:rsidR="007A6CF3">
        <w:rPr>
          <w:rStyle w:val="FootnoteReference"/>
          <w:rFonts w:ascii="Arial" w:hAnsi="Arial" w:cs="Arial"/>
          <w:lang w:val="en-US"/>
        </w:rPr>
        <w:footnoteReference w:id="25"/>
      </w:r>
      <w:r w:rsidR="00C54595">
        <w:rPr>
          <w:rFonts w:ascii="Arial" w:hAnsi="Arial" w:cs="Arial"/>
          <w:lang w:val="en-US"/>
        </w:rPr>
        <w:t xml:space="preserve"> </w:t>
      </w:r>
    </w:p>
    <w:p w14:paraId="4A5D49C7" w14:textId="77777777" w:rsidR="00F10DD3" w:rsidRDefault="00F10DD3" w:rsidP="00197953">
      <w:pPr>
        <w:spacing w:line="480" w:lineRule="auto"/>
        <w:jc w:val="both"/>
        <w:rPr>
          <w:rFonts w:ascii="Arial" w:hAnsi="Arial" w:cs="Arial"/>
          <w:lang w:val="en-US"/>
        </w:rPr>
      </w:pPr>
    </w:p>
    <w:p w14:paraId="68B7FD4E" w14:textId="68E9AAFD" w:rsidR="00197953" w:rsidRDefault="006F0F0B" w:rsidP="006F0F0B">
      <w:pPr>
        <w:spacing w:line="480" w:lineRule="auto"/>
        <w:jc w:val="both"/>
        <w:rPr>
          <w:rFonts w:ascii="Arial" w:hAnsi="Arial" w:cs="Arial"/>
          <w:lang w:val="en-US"/>
        </w:rPr>
      </w:pPr>
      <w:r>
        <w:rPr>
          <w:rFonts w:ascii="Arial" w:hAnsi="Arial" w:cs="Arial"/>
          <w:lang w:val="en-US"/>
        </w:rPr>
        <w:t>[7</w:t>
      </w:r>
      <w:r w:rsidR="001418F4">
        <w:rPr>
          <w:rFonts w:ascii="Arial" w:hAnsi="Arial" w:cs="Arial"/>
          <w:lang w:val="en-US"/>
        </w:rPr>
        <w:t>7</w:t>
      </w:r>
      <w:r>
        <w:rPr>
          <w:rFonts w:ascii="Arial" w:hAnsi="Arial" w:cs="Arial"/>
          <w:lang w:val="en-US"/>
        </w:rPr>
        <w:t>]</w:t>
      </w:r>
      <w:r>
        <w:rPr>
          <w:rFonts w:ascii="Arial" w:hAnsi="Arial" w:cs="Arial"/>
          <w:lang w:val="en-US"/>
        </w:rPr>
        <w:tab/>
      </w:r>
      <w:r w:rsidR="001418F4">
        <w:rPr>
          <w:rFonts w:ascii="Arial" w:hAnsi="Arial" w:cs="Arial"/>
          <w:lang w:val="en-US"/>
        </w:rPr>
        <w:t xml:space="preserve">But, just as the taxpayer is restricted from raising (new) grounds on appeal that amount to new objections not previously raised, in terms of subrule </w:t>
      </w:r>
      <w:r w:rsidR="00197953">
        <w:rPr>
          <w:rFonts w:ascii="Arial" w:hAnsi="Arial" w:cs="Arial"/>
          <w:lang w:val="en-US"/>
        </w:rPr>
        <w:t xml:space="preserve">31(3) SARS </w:t>
      </w:r>
      <w:r w:rsidR="001418F4">
        <w:rPr>
          <w:rFonts w:ascii="Arial" w:hAnsi="Arial" w:cs="Arial"/>
          <w:lang w:val="en-US"/>
        </w:rPr>
        <w:t>too does not have an unfettered right to raise new grounds on appeal: these may not constitute ‘</w:t>
      </w:r>
      <w:r w:rsidR="00197953">
        <w:rPr>
          <w:rFonts w:ascii="Arial" w:hAnsi="Arial" w:cs="Arial"/>
          <w:lang w:val="en-US"/>
        </w:rPr>
        <w:t xml:space="preserve">a novation of the </w:t>
      </w:r>
      <w:r w:rsidR="00197953" w:rsidRPr="00543CBD">
        <w:rPr>
          <w:rFonts w:ascii="Arial" w:hAnsi="Arial" w:cs="Arial"/>
          <w:lang w:val="en-US"/>
        </w:rPr>
        <w:t>whole</w:t>
      </w:r>
      <w:r w:rsidR="00197953">
        <w:rPr>
          <w:rFonts w:ascii="Arial" w:hAnsi="Arial" w:cs="Arial"/>
          <w:lang w:val="en-US"/>
        </w:rPr>
        <w:t xml:space="preserve"> of the factual or legal basis of the disputed assessment</w:t>
      </w:r>
      <w:r w:rsidR="001418F4">
        <w:rPr>
          <w:rFonts w:ascii="Arial" w:hAnsi="Arial" w:cs="Arial"/>
          <w:lang w:val="en-US"/>
        </w:rPr>
        <w:t xml:space="preserve">,’ </w:t>
      </w:r>
      <w:r w:rsidR="00197953">
        <w:rPr>
          <w:rFonts w:ascii="Arial" w:hAnsi="Arial" w:cs="Arial"/>
          <w:lang w:val="en-US"/>
        </w:rPr>
        <w:t xml:space="preserve">or </w:t>
      </w:r>
      <w:r w:rsidR="001418F4">
        <w:rPr>
          <w:rFonts w:ascii="Arial" w:hAnsi="Arial" w:cs="Arial"/>
          <w:lang w:val="en-US"/>
        </w:rPr>
        <w:t xml:space="preserve">grounds </w:t>
      </w:r>
      <w:r w:rsidR="00197953">
        <w:rPr>
          <w:rFonts w:ascii="Arial" w:hAnsi="Arial" w:cs="Arial"/>
          <w:lang w:val="en-US"/>
        </w:rPr>
        <w:t>which require the issue of a revised assessment.</w:t>
      </w:r>
    </w:p>
    <w:p w14:paraId="7972C198" w14:textId="77777777" w:rsidR="006F0F0B" w:rsidRDefault="006F0F0B" w:rsidP="006F0F0B">
      <w:pPr>
        <w:spacing w:line="480" w:lineRule="auto"/>
        <w:jc w:val="both"/>
        <w:rPr>
          <w:rFonts w:ascii="Arial" w:hAnsi="Arial" w:cs="Arial"/>
          <w:lang w:val="en-US"/>
        </w:rPr>
      </w:pPr>
    </w:p>
    <w:p w14:paraId="5F4AD299" w14:textId="6429154F" w:rsidR="00A60D4B" w:rsidRDefault="006F0F0B" w:rsidP="006F0F0B">
      <w:pPr>
        <w:spacing w:line="480" w:lineRule="auto"/>
        <w:jc w:val="both"/>
        <w:rPr>
          <w:rFonts w:ascii="Arial" w:hAnsi="Arial" w:cs="Arial"/>
          <w:lang w:val="en-US"/>
        </w:rPr>
      </w:pPr>
      <w:r>
        <w:rPr>
          <w:rFonts w:ascii="Arial" w:hAnsi="Arial" w:cs="Arial"/>
          <w:lang w:val="en-US"/>
        </w:rPr>
        <w:t>[7</w:t>
      </w:r>
      <w:r w:rsidR="00830AB1">
        <w:rPr>
          <w:rFonts w:ascii="Arial" w:hAnsi="Arial" w:cs="Arial"/>
          <w:lang w:val="en-US"/>
        </w:rPr>
        <w:t>8</w:t>
      </w:r>
      <w:r>
        <w:rPr>
          <w:rFonts w:ascii="Arial" w:hAnsi="Arial" w:cs="Arial"/>
          <w:lang w:val="en-US"/>
        </w:rPr>
        <w:t>]</w:t>
      </w:r>
      <w:r>
        <w:rPr>
          <w:rFonts w:ascii="Arial" w:hAnsi="Arial" w:cs="Arial"/>
          <w:lang w:val="en-US"/>
        </w:rPr>
        <w:tab/>
      </w:r>
      <w:r w:rsidR="00197953">
        <w:rPr>
          <w:rFonts w:ascii="Arial" w:hAnsi="Arial" w:cs="Arial"/>
          <w:lang w:val="en-US"/>
        </w:rPr>
        <w:t>The appellant submits that permitting a taxpayer to raise a total</w:t>
      </w:r>
      <w:r w:rsidR="00C36AC9">
        <w:rPr>
          <w:rFonts w:ascii="Arial" w:hAnsi="Arial" w:cs="Arial"/>
          <w:lang w:val="en-US"/>
        </w:rPr>
        <w:t>ly</w:t>
      </w:r>
      <w:r w:rsidR="00197953">
        <w:rPr>
          <w:rFonts w:ascii="Arial" w:hAnsi="Arial" w:cs="Arial"/>
          <w:lang w:val="en-US"/>
        </w:rPr>
        <w:t xml:space="preserve"> new ground of appeal in terms of rule 32(3)</w:t>
      </w:r>
      <w:r w:rsidR="00C57922">
        <w:rPr>
          <w:rFonts w:ascii="Arial" w:hAnsi="Arial" w:cs="Arial"/>
          <w:lang w:val="en-US"/>
        </w:rPr>
        <w:t>,</w:t>
      </w:r>
      <w:r w:rsidR="00197953">
        <w:rPr>
          <w:rFonts w:ascii="Arial" w:hAnsi="Arial" w:cs="Arial"/>
          <w:lang w:val="en-US"/>
        </w:rPr>
        <w:t xml:space="preserve"> was aimed at placing the taxpayer in an equivalent position to SARS</w:t>
      </w:r>
      <w:r w:rsidR="00C36AC9">
        <w:rPr>
          <w:rFonts w:ascii="Arial" w:hAnsi="Arial" w:cs="Arial"/>
          <w:lang w:val="en-US"/>
        </w:rPr>
        <w:t>,</w:t>
      </w:r>
      <w:r w:rsidR="00197953">
        <w:rPr>
          <w:rFonts w:ascii="Arial" w:hAnsi="Arial" w:cs="Arial"/>
          <w:lang w:val="en-US"/>
        </w:rPr>
        <w:t xml:space="preserve"> which under rule 31(3)</w:t>
      </w:r>
      <w:r w:rsidR="00543CBD">
        <w:rPr>
          <w:rFonts w:ascii="Arial" w:hAnsi="Arial" w:cs="Arial"/>
          <w:lang w:val="en-US"/>
        </w:rPr>
        <w:t xml:space="preserve"> can now</w:t>
      </w:r>
      <w:r w:rsidR="00197953">
        <w:rPr>
          <w:rFonts w:ascii="Arial" w:hAnsi="Arial" w:cs="Arial"/>
          <w:lang w:val="en-US"/>
        </w:rPr>
        <w:t xml:space="preserve"> include a</w:t>
      </w:r>
      <w:r w:rsidR="004D507A">
        <w:rPr>
          <w:rFonts w:ascii="Arial" w:hAnsi="Arial" w:cs="Arial"/>
          <w:lang w:val="en-US"/>
        </w:rPr>
        <w:t>ny</w:t>
      </w:r>
      <w:r w:rsidR="00197953">
        <w:rPr>
          <w:rFonts w:ascii="Arial" w:hAnsi="Arial" w:cs="Arial"/>
          <w:lang w:val="en-US"/>
        </w:rPr>
        <w:t xml:space="preserve"> new ground </w:t>
      </w:r>
      <w:r w:rsidR="00543CBD">
        <w:rPr>
          <w:rFonts w:ascii="Arial" w:hAnsi="Arial" w:cs="Arial"/>
          <w:lang w:val="en-US"/>
        </w:rPr>
        <w:t xml:space="preserve">justifying </w:t>
      </w:r>
      <w:r w:rsidR="00307BE4">
        <w:rPr>
          <w:rFonts w:ascii="Arial" w:hAnsi="Arial" w:cs="Arial"/>
          <w:lang w:val="en-US"/>
        </w:rPr>
        <w:t>an assessment or the disallowance of an objection</w:t>
      </w:r>
      <w:r w:rsidR="00197953">
        <w:rPr>
          <w:rFonts w:ascii="Arial" w:hAnsi="Arial" w:cs="Arial"/>
          <w:lang w:val="en-US"/>
        </w:rPr>
        <w:t xml:space="preserve">. </w:t>
      </w:r>
      <w:r w:rsidR="00C36AC9">
        <w:rPr>
          <w:rFonts w:ascii="Arial" w:hAnsi="Arial" w:cs="Arial"/>
          <w:lang w:val="en-US"/>
        </w:rPr>
        <w:t>T</w:t>
      </w:r>
      <w:r w:rsidR="00197953">
        <w:rPr>
          <w:rFonts w:ascii="Arial" w:hAnsi="Arial" w:cs="Arial"/>
          <w:lang w:val="en-US"/>
        </w:rPr>
        <w:t>he bald statement made by the appellant is not correct</w:t>
      </w:r>
      <w:r w:rsidR="00C36AC9">
        <w:rPr>
          <w:rFonts w:ascii="Arial" w:hAnsi="Arial" w:cs="Arial"/>
          <w:lang w:val="en-US"/>
        </w:rPr>
        <w:t xml:space="preserve">: </w:t>
      </w:r>
      <w:r w:rsidR="00E708B7">
        <w:rPr>
          <w:rFonts w:ascii="Arial" w:hAnsi="Arial" w:cs="Arial"/>
          <w:lang w:val="en-US"/>
        </w:rPr>
        <w:t xml:space="preserve">as previously pointed out </w:t>
      </w:r>
      <w:r w:rsidR="00197953">
        <w:rPr>
          <w:rFonts w:ascii="Arial" w:hAnsi="Arial" w:cs="Arial"/>
          <w:lang w:val="en-US"/>
        </w:rPr>
        <w:t xml:space="preserve">a taxpayer is not </w:t>
      </w:r>
      <w:r w:rsidR="00C36AC9">
        <w:rPr>
          <w:rFonts w:ascii="Arial" w:hAnsi="Arial" w:cs="Arial"/>
          <w:lang w:val="en-US"/>
        </w:rPr>
        <w:t>un</w:t>
      </w:r>
      <w:r w:rsidR="00197953">
        <w:rPr>
          <w:rFonts w:ascii="Arial" w:hAnsi="Arial" w:cs="Arial"/>
          <w:lang w:val="en-US"/>
        </w:rPr>
        <w:t xml:space="preserve">restricted </w:t>
      </w:r>
      <w:r w:rsidR="00307BE4">
        <w:rPr>
          <w:rFonts w:ascii="Arial" w:hAnsi="Arial" w:cs="Arial"/>
          <w:lang w:val="en-US"/>
        </w:rPr>
        <w:t>regarding</w:t>
      </w:r>
      <w:r w:rsidR="00197953">
        <w:rPr>
          <w:rFonts w:ascii="Arial" w:hAnsi="Arial" w:cs="Arial"/>
          <w:lang w:val="en-US"/>
        </w:rPr>
        <w:t xml:space="preserve"> which grounds of appeal it may include under rule 32(3)</w:t>
      </w:r>
      <w:r w:rsidR="002B6861">
        <w:rPr>
          <w:rFonts w:ascii="Arial" w:hAnsi="Arial" w:cs="Arial"/>
          <w:lang w:val="en-US"/>
        </w:rPr>
        <w:t xml:space="preserve">. </w:t>
      </w:r>
      <w:r w:rsidR="00B542A7">
        <w:rPr>
          <w:rFonts w:ascii="Arial" w:hAnsi="Arial" w:cs="Arial"/>
          <w:lang w:val="en-US"/>
        </w:rPr>
        <w:t xml:space="preserve">The appellant wants to </w:t>
      </w:r>
      <w:r w:rsidR="00C36AC9">
        <w:rPr>
          <w:rFonts w:ascii="Arial" w:hAnsi="Arial" w:cs="Arial"/>
          <w:lang w:val="en-US"/>
        </w:rPr>
        <w:t xml:space="preserve">argue in effect </w:t>
      </w:r>
      <w:r w:rsidR="00B542A7">
        <w:rPr>
          <w:rFonts w:ascii="Arial" w:hAnsi="Arial" w:cs="Arial"/>
          <w:lang w:val="en-US"/>
        </w:rPr>
        <w:t>that</w:t>
      </w:r>
      <w:r w:rsidR="00C36AC9">
        <w:rPr>
          <w:rFonts w:ascii="Arial" w:hAnsi="Arial" w:cs="Arial"/>
          <w:lang w:val="en-US"/>
        </w:rPr>
        <w:t>,</w:t>
      </w:r>
      <w:r w:rsidR="00B542A7">
        <w:rPr>
          <w:rFonts w:ascii="Arial" w:hAnsi="Arial" w:cs="Arial"/>
          <w:lang w:val="en-US"/>
        </w:rPr>
        <w:t xml:space="preserve"> </w:t>
      </w:r>
      <w:r w:rsidR="009E743D">
        <w:rPr>
          <w:rFonts w:ascii="Arial" w:hAnsi="Arial" w:cs="Arial"/>
          <w:lang w:val="en-US"/>
        </w:rPr>
        <w:t>as</w:t>
      </w:r>
      <w:r w:rsidR="00B542A7">
        <w:rPr>
          <w:rFonts w:ascii="Arial" w:hAnsi="Arial" w:cs="Arial"/>
          <w:lang w:val="en-US"/>
        </w:rPr>
        <w:t xml:space="preserve"> SARS </w:t>
      </w:r>
      <w:r w:rsidR="00C57922">
        <w:rPr>
          <w:rFonts w:ascii="Arial" w:hAnsi="Arial" w:cs="Arial"/>
          <w:lang w:val="en-US"/>
        </w:rPr>
        <w:t>is</w:t>
      </w:r>
      <w:r w:rsidR="00D725C8">
        <w:rPr>
          <w:rFonts w:ascii="Arial" w:hAnsi="Arial" w:cs="Arial"/>
          <w:lang w:val="en-US"/>
        </w:rPr>
        <w:t xml:space="preserve"> entitled to file a new </w:t>
      </w:r>
      <w:r w:rsidR="00C81CF5">
        <w:rPr>
          <w:rFonts w:ascii="Arial" w:hAnsi="Arial" w:cs="Arial"/>
          <w:lang w:val="en-US"/>
        </w:rPr>
        <w:t>ground of assessment</w:t>
      </w:r>
      <w:r w:rsidR="00C36AC9">
        <w:rPr>
          <w:rFonts w:ascii="Arial" w:hAnsi="Arial" w:cs="Arial"/>
          <w:lang w:val="en-US"/>
        </w:rPr>
        <w:t xml:space="preserve"> in its rule 31 statement</w:t>
      </w:r>
      <w:r w:rsidR="00C81CF5">
        <w:rPr>
          <w:rFonts w:ascii="Arial" w:hAnsi="Arial" w:cs="Arial"/>
          <w:lang w:val="en-US"/>
        </w:rPr>
        <w:t xml:space="preserve">, this paves the way for </w:t>
      </w:r>
      <w:r w:rsidR="00BA2399">
        <w:rPr>
          <w:rFonts w:ascii="Arial" w:hAnsi="Arial" w:cs="Arial"/>
          <w:lang w:val="en-US"/>
        </w:rPr>
        <w:t>the appellant</w:t>
      </w:r>
      <w:r w:rsidR="00C81CF5">
        <w:rPr>
          <w:rFonts w:ascii="Arial" w:hAnsi="Arial" w:cs="Arial"/>
          <w:lang w:val="en-US"/>
        </w:rPr>
        <w:t xml:space="preserve"> to include </w:t>
      </w:r>
      <w:r w:rsidR="00C81CF5" w:rsidRPr="009E743D">
        <w:rPr>
          <w:rFonts w:ascii="Arial" w:hAnsi="Arial" w:cs="Arial"/>
          <w:i/>
          <w:iCs/>
          <w:lang w:val="en-US"/>
        </w:rPr>
        <w:t>any</w:t>
      </w:r>
      <w:r w:rsidR="00C81CF5">
        <w:rPr>
          <w:rFonts w:ascii="Arial" w:hAnsi="Arial" w:cs="Arial"/>
          <w:lang w:val="en-US"/>
        </w:rPr>
        <w:t xml:space="preserve"> new</w:t>
      </w:r>
      <w:r w:rsidR="004340B9">
        <w:rPr>
          <w:rFonts w:ascii="Arial" w:hAnsi="Arial" w:cs="Arial"/>
          <w:lang w:val="en-US"/>
        </w:rPr>
        <w:t xml:space="preserve"> grounds of appeal in its rule 3</w:t>
      </w:r>
      <w:r w:rsidR="00BA2399">
        <w:rPr>
          <w:rFonts w:ascii="Arial" w:hAnsi="Arial" w:cs="Arial"/>
          <w:lang w:val="en-US"/>
        </w:rPr>
        <w:t>2</w:t>
      </w:r>
      <w:r w:rsidR="004340B9">
        <w:rPr>
          <w:rFonts w:ascii="Arial" w:hAnsi="Arial" w:cs="Arial"/>
          <w:lang w:val="en-US"/>
        </w:rPr>
        <w:t xml:space="preserve"> statement</w:t>
      </w:r>
      <w:r w:rsidR="00BA2399">
        <w:rPr>
          <w:rFonts w:ascii="Arial" w:hAnsi="Arial" w:cs="Arial"/>
          <w:lang w:val="en-US"/>
        </w:rPr>
        <w:t>, in response thereto</w:t>
      </w:r>
      <w:r w:rsidR="004340B9">
        <w:rPr>
          <w:rFonts w:ascii="Arial" w:hAnsi="Arial" w:cs="Arial"/>
          <w:lang w:val="en-US"/>
        </w:rPr>
        <w:t>. This</w:t>
      </w:r>
      <w:r w:rsidR="00C57922">
        <w:rPr>
          <w:rFonts w:ascii="Arial" w:hAnsi="Arial" w:cs="Arial"/>
          <w:lang w:val="en-US"/>
        </w:rPr>
        <w:t>,</w:t>
      </w:r>
      <w:r w:rsidR="004340B9">
        <w:rPr>
          <w:rFonts w:ascii="Arial" w:hAnsi="Arial" w:cs="Arial"/>
          <w:lang w:val="en-US"/>
        </w:rPr>
        <w:t xml:space="preserve"> in </w:t>
      </w:r>
      <w:r w:rsidR="00C36AC9">
        <w:rPr>
          <w:rFonts w:ascii="Arial" w:hAnsi="Arial" w:cs="Arial"/>
          <w:lang w:val="en-US"/>
        </w:rPr>
        <w:t xml:space="preserve">our </w:t>
      </w:r>
      <w:r w:rsidR="004340B9">
        <w:rPr>
          <w:rFonts w:ascii="Arial" w:hAnsi="Arial" w:cs="Arial"/>
          <w:lang w:val="en-US"/>
        </w:rPr>
        <w:t>view, i</w:t>
      </w:r>
      <w:r w:rsidR="00C86C39">
        <w:rPr>
          <w:rFonts w:ascii="Arial" w:hAnsi="Arial" w:cs="Arial"/>
          <w:lang w:val="en-US"/>
        </w:rPr>
        <w:t xml:space="preserve">s an exaggerated </w:t>
      </w:r>
      <w:r w:rsidR="008A16EB">
        <w:rPr>
          <w:rFonts w:ascii="Arial" w:hAnsi="Arial" w:cs="Arial"/>
          <w:lang w:val="en-US"/>
        </w:rPr>
        <w:t xml:space="preserve">and misplaced </w:t>
      </w:r>
      <w:r w:rsidR="00C36AC9">
        <w:rPr>
          <w:rFonts w:ascii="Arial" w:hAnsi="Arial" w:cs="Arial"/>
          <w:lang w:val="en-US"/>
        </w:rPr>
        <w:t>interpretation</w:t>
      </w:r>
      <w:r w:rsidR="00156D7E">
        <w:rPr>
          <w:rFonts w:ascii="Arial" w:hAnsi="Arial" w:cs="Arial"/>
          <w:lang w:val="en-US"/>
        </w:rPr>
        <w:t xml:space="preserve"> of the imp</w:t>
      </w:r>
      <w:r w:rsidR="00307BE4">
        <w:rPr>
          <w:rFonts w:ascii="Arial" w:hAnsi="Arial" w:cs="Arial"/>
          <w:lang w:val="en-US"/>
        </w:rPr>
        <w:t>ort</w:t>
      </w:r>
      <w:r w:rsidR="00156D7E">
        <w:rPr>
          <w:rFonts w:ascii="Arial" w:hAnsi="Arial" w:cs="Arial"/>
          <w:lang w:val="en-US"/>
        </w:rPr>
        <w:t xml:space="preserve"> of </w:t>
      </w:r>
      <w:r w:rsidR="00C36AC9">
        <w:rPr>
          <w:rFonts w:ascii="Arial" w:hAnsi="Arial" w:cs="Arial"/>
          <w:lang w:val="en-US"/>
        </w:rPr>
        <w:t>sub</w:t>
      </w:r>
      <w:r w:rsidR="00156D7E">
        <w:rPr>
          <w:rFonts w:ascii="Arial" w:hAnsi="Arial" w:cs="Arial"/>
          <w:lang w:val="en-US"/>
        </w:rPr>
        <w:t>rule</w:t>
      </w:r>
      <w:r w:rsidR="00C36AC9">
        <w:rPr>
          <w:rFonts w:ascii="Arial" w:hAnsi="Arial" w:cs="Arial"/>
          <w:lang w:val="en-US"/>
        </w:rPr>
        <w:t xml:space="preserve"> 31(3)</w:t>
      </w:r>
      <w:r w:rsidR="00156D7E">
        <w:rPr>
          <w:rFonts w:ascii="Arial" w:hAnsi="Arial" w:cs="Arial"/>
          <w:lang w:val="en-US"/>
        </w:rPr>
        <w:t>.</w:t>
      </w:r>
      <w:r w:rsidR="00197953">
        <w:rPr>
          <w:rFonts w:ascii="Arial" w:hAnsi="Arial" w:cs="Arial"/>
          <w:lang w:val="en-US"/>
        </w:rPr>
        <w:t xml:space="preserve">  </w:t>
      </w:r>
      <w:r>
        <w:rPr>
          <w:rFonts w:ascii="Arial" w:hAnsi="Arial" w:cs="Arial"/>
          <w:lang w:val="en-US"/>
        </w:rPr>
        <w:t xml:space="preserve"> </w:t>
      </w:r>
    </w:p>
    <w:p w14:paraId="05E281E4" w14:textId="77777777" w:rsidR="009E66F7" w:rsidRDefault="009E66F7" w:rsidP="006F0F0B">
      <w:pPr>
        <w:spacing w:line="480" w:lineRule="auto"/>
        <w:jc w:val="both"/>
        <w:rPr>
          <w:rFonts w:ascii="Arial" w:hAnsi="Arial" w:cs="Arial"/>
          <w:lang w:val="en-US"/>
        </w:rPr>
      </w:pPr>
    </w:p>
    <w:p w14:paraId="757D975D" w14:textId="740DE37B" w:rsidR="00197953" w:rsidRDefault="00A60D4B" w:rsidP="006F0F0B">
      <w:pPr>
        <w:spacing w:line="480" w:lineRule="auto"/>
        <w:jc w:val="both"/>
        <w:rPr>
          <w:rFonts w:ascii="Arial" w:hAnsi="Arial" w:cs="Arial"/>
          <w:lang w:val="en-US"/>
        </w:rPr>
      </w:pPr>
      <w:r>
        <w:rPr>
          <w:rFonts w:ascii="Arial" w:hAnsi="Arial" w:cs="Arial"/>
          <w:lang w:val="en-US"/>
        </w:rPr>
        <w:t>[7</w:t>
      </w:r>
      <w:r w:rsidR="00830AB1">
        <w:rPr>
          <w:rFonts w:ascii="Arial" w:hAnsi="Arial" w:cs="Arial"/>
          <w:lang w:val="en-US"/>
        </w:rPr>
        <w:t>9</w:t>
      </w:r>
      <w:r>
        <w:rPr>
          <w:rFonts w:ascii="Arial" w:hAnsi="Arial" w:cs="Arial"/>
          <w:lang w:val="en-US"/>
        </w:rPr>
        <w:t>]</w:t>
      </w:r>
      <w:r>
        <w:rPr>
          <w:rFonts w:ascii="Arial" w:hAnsi="Arial" w:cs="Arial"/>
          <w:lang w:val="en-US"/>
        </w:rPr>
        <w:tab/>
      </w:r>
      <w:r w:rsidR="00C36AC9">
        <w:rPr>
          <w:rFonts w:ascii="Arial" w:hAnsi="Arial" w:cs="Arial"/>
          <w:lang w:val="en-US"/>
        </w:rPr>
        <w:t>We</w:t>
      </w:r>
      <w:r w:rsidR="00A809B3">
        <w:rPr>
          <w:rFonts w:ascii="Arial" w:hAnsi="Arial" w:cs="Arial"/>
          <w:lang w:val="en-US"/>
        </w:rPr>
        <w:t xml:space="preserve"> say this because </w:t>
      </w:r>
      <w:r w:rsidR="00197953">
        <w:rPr>
          <w:rFonts w:ascii="Arial" w:hAnsi="Arial" w:cs="Arial"/>
          <w:lang w:val="en-US"/>
        </w:rPr>
        <w:t xml:space="preserve">SARS is </w:t>
      </w:r>
      <w:r w:rsidR="00C36AC9">
        <w:rPr>
          <w:rFonts w:ascii="Arial" w:hAnsi="Arial" w:cs="Arial"/>
          <w:lang w:val="en-US"/>
        </w:rPr>
        <w:t xml:space="preserve">clearly </w:t>
      </w:r>
      <w:r w:rsidR="00197953">
        <w:rPr>
          <w:rFonts w:ascii="Arial" w:hAnsi="Arial" w:cs="Arial"/>
          <w:lang w:val="en-US"/>
        </w:rPr>
        <w:t>also not permitted to include</w:t>
      </w:r>
      <w:r w:rsidR="00C36AC9">
        <w:rPr>
          <w:rFonts w:ascii="Arial" w:hAnsi="Arial" w:cs="Arial"/>
          <w:lang w:val="en-US"/>
        </w:rPr>
        <w:t>,</w:t>
      </w:r>
      <w:r w:rsidR="00197953">
        <w:rPr>
          <w:rFonts w:ascii="Arial" w:hAnsi="Arial" w:cs="Arial"/>
          <w:lang w:val="en-US"/>
        </w:rPr>
        <w:t xml:space="preserve"> in an unrestricted manner</w:t>
      </w:r>
      <w:r w:rsidR="00C36AC9">
        <w:rPr>
          <w:rFonts w:ascii="Arial" w:hAnsi="Arial" w:cs="Arial"/>
          <w:lang w:val="en-US"/>
        </w:rPr>
        <w:t>,</w:t>
      </w:r>
      <w:r w:rsidR="00197953">
        <w:rPr>
          <w:rFonts w:ascii="Arial" w:hAnsi="Arial" w:cs="Arial"/>
          <w:lang w:val="en-US"/>
        </w:rPr>
        <w:t xml:space="preserve"> any new ground of assessment</w:t>
      </w:r>
      <w:r w:rsidR="00E708B7">
        <w:rPr>
          <w:rFonts w:ascii="Arial" w:hAnsi="Arial" w:cs="Arial"/>
          <w:lang w:val="en-US"/>
        </w:rPr>
        <w:t>,</w:t>
      </w:r>
      <w:r w:rsidR="00307BE4">
        <w:rPr>
          <w:rFonts w:ascii="Arial" w:hAnsi="Arial" w:cs="Arial"/>
          <w:lang w:val="en-US"/>
        </w:rPr>
        <w:t xml:space="preserve"> on appeal</w:t>
      </w:r>
      <w:r w:rsidR="00197953">
        <w:rPr>
          <w:rFonts w:ascii="Arial" w:hAnsi="Arial" w:cs="Arial"/>
          <w:lang w:val="en-US"/>
        </w:rPr>
        <w:t xml:space="preserve">. </w:t>
      </w:r>
      <w:r w:rsidR="00E708B7">
        <w:rPr>
          <w:rFonts w:ascii="Arial" w:hAnsi="Arial" w:cs="Arial"/>
          <w:lang w:val="en-US"/>
        </w:rPr>
        <w:t>It</w:t>
      </w:r>
      <w:r w:rsidR="00197953">
        <w:rPr>
          <w:rFonts w:ascii="Arial" w:hAnsi="Arial" w:cs="Arial"/>
          <w:lang w:val="en-US"/>
        </w:rPr>
        <w:t xml:space="preserve"> </w:t>
      </w:r>
      <w:r w:rsidR="00C57922">
        <w:rPr>
          <w:rFonts w:ascii="Arial" w:hAnsi="Arial" w:cs="Arial"/>
          <w:lang w:val="en-US"/>
        </w:rPr>
        <w:t>is</w:t>
      </w:r>
      <w:r w:rsidR="00197953">
        <w:rPr>
          <w:rFonts w:ascii="Arial" w:hAnsi="Arial" w:cs="Arial"/>
          <w:lang w:val="en-US"/>
        </w:rPr>
        <w:t xml:space="preserve"> placed under </w:t>
      </w:r>
      <w:r w:rsidR="00C36AC9">
        <w:rPr>
          <w:rFonts w:ascii="Arial" w:hAnsi="Arial" w:cs="Arial"/>
          <w:lang w:val="en-US"/>
        </w:rPr>
        <w:t>a</w:t>
      </w:r>
      <w:r w:rsidR="00197953">
        <w:rPr>
          <w:rFonts w:ascii="Arial" w:hAnsi="Arial" w:cs="Arial"/>
          <w:lang w:val="en-US"/>
        </w:rPr>
        <w:t xml:space="preserve"> s</w:t>
      </w:r>
      <w:r w:rsidR="00C36AC9">
        <w:rPr>
          <w:rFonts w:ascii="Arial" w:hAnsi="Arial" w:cs="Arial"/>
          <w:lang w:val="en-US"/>
        </w:rPr>
        <w:t>imilar</w:t>
      </w:r>
      <w:r w:rsidR="00197953">
        <w:rPr>
          <w:rFonts w:ascii="Arial" w:hAnsi="Arial" w:cs="Arial"/>
          <w:lang w:val="en-US"/>
        </w:rPr>
        <w:t xml:space="preserve"> restriction as </w:t>
      </w:r>
      <w:r w:rsidR="00C36AC9">
        <w:rPr>
          <w:rFonts w:ascii="Arial" w:hAnsi="Arial" w:cs="Arial"/>
          <w:lang w:val="en-US"/>
        </w:rPr>
        <w:t>the</w:t>
      </w:r>
      <w:r w:rsidR="00197953">
        <w:rPr>
          <w:rFonts w:ascii="Arial" w:hAnsi="Arial" w:cs="Arial"/>
          <w:lang w:val="en-US"/>
        </w:rPr>
        <w:t xml:space="preserve"> taxpayer. </w:t>
      </w:r>
      <w:r w:rsidR="00C36AC9">
        <w:rPr>
          <w:rFonts w:ascii="Arial" w:hAnsi="Arial" w:cs="Arial"/>
          <w:lang w:val="en-US"/>
        </w:rPr>
        <w:t>A</w:t>
      </w:r>
      <w:r w:rsidR="00197953">
        <w:rPr>
          <w:rFonts w:ascii="Arial" w:hAnsi="Arial" w:cs="Arial"/>
          <w:lang w:val="en-US"/>
        </w:rPr>
        <w:t xml:space="preserve"> new ground of assessment that SARS </w:t>
      </w:r>
      <w:r w:rsidR="00C36AC9">
        <w:rPr>
          <w:rFonts w:ascii="Arial" w:hAnsi="Arial" w:cs="Arial"/>
          <w:lang w:val="en-US"/>
        </w:rPr>
        <w:t>wishes</w:t>
      </w:r>
      <w:r w:rsidR="00197953">
        <w:rPr>
          <w:rFonts w:ascii="Arial" w:hAnsi="Arial" w:cs="Arial"/>
          <w:lang w:val="en-US"/>
        </w:rPr>
        <w:t xml:space="preserve"> to raise</w:t>
      </w:r>
      <w:r w:rsidR="00307BE4">
        <w:rPr>
          <w:rFonts w:ascii="Arial" w:hAnsi="Arial" w:cs="Arial"/>
          <w:lang w:val="en-US"/>
        </w:rPr>
        <w:t xml:space="preserve"> is not permissible if it amounts to</w:t>
      </w:r>
      <w:r w:rsidR="00197953">
        <w:rPr>
          <w:rFonts w:ascii="Arial" w:hAnsi="Arial" w:cs="Arial"/>
          <w:lang w:val="en-US"/>
        </w:rPr>
        <w:t xml:space="preserve"> a novation of the </w:t>
      </w:r>
      <w:r w:rsidR="00C36AC9">
        <w:rPr>
          <w:rFonts w:ascii="Arial" w:hAnsi="Arial" w:cs="Arial"/>
          <w:lang w:val="en-US"/>
        </w:rPr>
        <w:t>f</w:t>
      </w:r>
      <w:r w:rsidR="00197953">
        <w:rPr>
          <w:rFonts w:ascii="Arial" w:hAnsi="Arial" w:cs="Arial"/>
          <w:lang w:val="en-US"/>
        </w:rPr>
        <w:t xml:space="preserve">actual or </w:t>
      </w:r>
      <w:r w:rsidR="00C57922">
        <w:rPr>
          <w:rFonts w:ascii="Arial" w:hAnsi="Arial" w:cs="Arial"/>
          <w:lang w:val="en-US"/>
        </w:rPr>
        <w:t>‘</w:t>
      </w:r>
      <w:r w:rsidR="00197953">
        <w:rPr>
          <w:rFonts w:ascii="Arial" w:hAnsi="Arial" w:cs="Arial"/>
          <w:lang w:val="en-US"/>
        </w:rPr>
        <w:t xml:space="preserve">legal’ basis of the </w:t>
      </w:r>
      <w:r w:rsidR="00307BE4">
        <w:rPr>
          <w:rFonts w:ascii="Arial" w:hAnsi="Arial" w:cs="Arial"/>
          <w:lang w:val="en-US"/>
        </w:rPr>
        <w:t>assessment</w:t>
      </w:r>
      <w:r w:rsidR="00E708B7">
        <w:rPr>
          <w:rFonts w:ascii="Arial" w:hAnsi="Arial" w:cs="Arial"/>
          <w:lang w:val="en-US"/>
        </w:rPr>
        <w:t xml:space="preserve"> it levied</w:t>
      </w:r>
      <w:r w:rsidR="00307BE4">
        <w:rPr>
          <w:rFonts w:ascii="Arial" w:hAnsi="Arial" w:cs="Arial"/>
          <w:lang w:val="en-US"/>
        </w:rPr>
        <w:t xml:space="preserve">. </w:t>
      </w:r>
      <w:r w:rsidR="009E743D">
        <w:rPr>
          <w:rFonts w:ascii="Arial" w:hAnsi="Arial" w:cs="Arial"/>
          <w:lang w:val="en-US"/>
        </w:rPr>
        <w:t>But, e</w:t>
      </w:r>
      <w:r w:rsidR="00307BE4">
        <w:rPr>
          <w:rFonts w:ascii="Arial" w:hAnsi="Arial" w:cs="Arial"/>
          <w:lang w:val="en-US"/>
        </w:rPr>
        <w:t xml:space="preserve">ven if it </w:t>
      </w:r>
      <w:r w:rsidR="00C36AC9">
        <w:rPr>
          <w:rFonts w:ascii="Arial" w:hAnsi="Arial" w:cs="Arial"/>
          <w:lang w:val="en-US"/>
        </w:rPr>
        <w:t xml:space="preserve">does not go that </w:t>
      </w:r>
      <w:r w:rsidR="00625B4F">
        <w:rPr>
          <w:rFonts w:ascii="Arial" w:hAnsi="Arial" w:cs="Arial"/>
          <w:lang w:val="en-US"/>
        </w:rPr>
        <w:t>far but would be</w:t>
      </w:r>
      <w:r w:rsidR="009E743D">
        <w:rPr>
          <w:rFonts w:ascii="Arial" w:hAnsi="Arial" w:cs="Arial"/>
          <w:lang w:val="en-US"/>
        </w:rPr>
        <w:t xml:space="preserve"> a ground which</w:t>
      </w:r>
      <w:r w:rsidR="004D507A">
        <w:rPr>
          <w:rFonts w:ascii="Arial" w:hAnsi="Arial" w:cs="Arial"/>
          <w:lang w:val="en-US"/>
        </w:rPr>
        <w:t>,</w:t>
      </w:r>
      <w:r w:rsidR="009E743D">
        <w:rPr>
          <w:rFonts w:ascii="Arial" w:hAnsi="Arial" w:cs="Arial"/>
          <w:lang w:val="en-US"/>
        </w:rPr>
        <w:t xml:space="preserve"> if upheld</w:t>
      </w:r>
      <w:r w:rsidR="004D507A">
        <w:rPr>
          <w:rFonts w:ascii="Arial" w:hAnsi="Arial" w:cs="Arial"/>
          <w:lang w:val="en-US"/>
        </w:rPr>
        <w:t>,</w:t>
      </w:r>
      <w:r w:rsidR="009E743D">
        <w:rPr>
          <w:rFonts w:ascii="Arial" w:hAnsi="Arial" w:cs="Arial"/>
          <w:lang w:val="en-US"/>
        </w:rPr>
        <w:t xml:space="preserve"> would be</w:t>
      </w:r>
      <w:r w:rsidR="00625B4F">
        <w:rPr>
          <w:rFonts w:ascii="Arial" w:hAnsi="Arial" w:cs="Arial"/>
          <w:lang w:val="en-US"/>
        </w:rPr>
        <w:t xml:space="preserve"> sufficient to cause or result in a revised assessment, it may not be raised</w:t>
      </w:r>
      <w:r w:rsidR="00197953">
        <w:rPr>
          <w:rFonts w:ascii="Arial" w:hAnsi="Arial" w:cs="Arial"/>
          <w:lang w:val="en-US"/>
        </w:rPr>
        <w:t>.</w:t>
      </w:r>
      <w:r w:rsidR="00CB2578">
        <w:rPr>
          <w:rFonts w:ascii="Arial" w:hAnsi="Arial" w:cs="Arial"/>
          <w:lang w:val="en-US"/>
        </w:rPr>
        <w:t xml:space="preserve"> This is a serious limitation on the introduction of any new ground by SARS, in response to an appeal.</w:t>
      </w:r>
      <w:r w:rsidR="00197953">
        <w:rPr>
          <w:rFonts w:ascii="Arial" w:hAnsi="Arial" w:cs="Arial"/>
          <w:lang w:val="en-US"/>
        </w:rPr>
        <w:t xml:space="preserve"> </w:t>
      </w:r>
      <w:r w:rsidR="00307BE4">
        <w:rPr>
          <w:rFonts w:ascii="Arial" w:hAnsi="Arial" w:cs="Arial"/>
          <w:lang w:val="en-US"/>
        </w:rPr>
        <w:t>In essence therefore, it seems to us that t</w:t>
      </w:r>
      <w:r w:rsidR="00197953">
        <w:rPr>
          <w:rFonts w:ascii="Arial" w:hAnsi="Arial" w:cs="Arial"/>
          <w:lang w:val="en-US"/>
        </w:rPr>
        <w:t xml:space="preserve">he factual </w:t>
      </w:r>
      <w:r w:rsidR="00307BE4">
        <w:rPr>
          <w:rFonts w:ascii="Arial" w:hAnsi="Arial" w:cs="Arial"/>
          <w:lang w:val="en-US"/>
        </w:rPr>
        <w:t>and/</w:t>
      </w:r>
      <w:r w:rsidR="00197953">
        <w:rPr>
          <w:rFonts w:ascii="Arial" w:hAnsi="Arial" w:cs="Arial"/>
          <w:lang w:val="en-US"/>
        </w:rPr>
        <w:t xml:space="preserve">or legal basis of </w:t>
      </w:r>
      <w:r w:rsidR="00307BE4">
        <w:rPr>
          <w:rFonts w:ascii="Arial" w:hAnsi="Arial" w:cs="Arial"/>
          <w:lang w:val="en-US"/>
        </w:rPr>
        <w:t>any</w:t>
      </w:r>
      <w:r w:rsidR="00197953">
        <w:rPr>
          <w:rFonts w:ascii="Arial" w:hAnsi="Arial" w:cs="Arial"/>
          <w:lang w:val="en-US"/>
        </w:rPr>
        <w:t xml:space="preserve"> new ground of assessment </w:t>
      </w:r>
      <w:r w:rsidR="005F70E6">
        <w:rPr>
          <w:rFonts w:ascii="Arial" w:hAnsi="Arial" w:cs="Arial"/>
          <w:lang w:val="en-US"/>
        </w:rPr>
        <w:t xml:space="preserve">which is put forward by SARS </w:t>
      </w:r>
      <w:r w:rsidR="00E708B7">
        <w:rPr>
          <w:rFonts w:ascii="Arial" w:hAnsi="Arial" w:cs="Arial"/>
          <w:lang w:val="en-US"/>
        </w:rPr>
        <w:t xml:space="preserve">in its rule 31 statement </w:t>
      </w:r>
      <w:r w:rsidR="00197953">
        <w:rPr>
          <w:rFonts w:ascii="Arial" w:hAnsi="Arial" w:cs="Arial"/>
          <w:lang w:val="en-US"/>
        </w:rPr>
        <w:t xml:space="preserve">must </w:t>
      </w:r>
      <w:r w:rsidR="00307BE4">
        <w:rPr>
          <w:rFonts w:ascii="Arial" w:hAnsi="Arial" w:cs="Arial"/>
          <w:lang w:val="en-US"/>
        </w:rPr>
        <w:t>not be such as to contr</w:t>
      </w:r>
      <w:r w:rsidR="00E708B7">
        <w:rPr>
          <w:rFonts w:ascii="Arial" w:hAnsi="Arial" w:cs="Arial"/>
          <w:lang w:val="en-US"/>
        </w:rPr>
        <w:t>adict</w:t>
      </w:r>
      <w:r w:rsidR="00307BE4">
        <w:rPr>
          <w:rFonts w:ascii="Arial" w:hAnsi="Arial" w:cs="Arial"/>
          <w:lang w:val="en-US"/>
        </w:rPr>
        <w:t xml:space="preserve"> </w:t>
      </w:r>
      <w:r w:rsidR="00197953">
        <w:rPr>
          <w:rFonts w:ascii="Arial" w:hAnsi="Arial" w:cs="Arial"/>
          <w:lang w:val="en-US"/>
        </w:rPr>
        <w:t xml:space="preserve">the original </w:t>
      </w:r>
      <w:r w:rsidR="00E708B7">
        <w:rPr>
          <w:rFonts w:ascii="Arial" w:hAnsi="Arial" w:cs="Arial"/>
          <w:lang w:val="en-US"/>
        </w:rPr>
        <w:t xml:space="preserve">basis or </w:t>
      </w:r>
      <w:r w:rsidR="00197953">
        <w:rPr>
          <w:rFonts w:ascii="Arial" w:hAnsi="Arial" w:cs="Arial"/>
          <w:lang w:val="en-US"/>
        </w:rPr>
        <w:t xml:space="preserve">grounds upon which </w:t>
      </w:r>
      <w:r w:rsidR="00BA2399">
        <w:rPr>
          <w:rFonts w:ascii="Arial" w:hAnsi="Arial" w:cs="Arial"/>
          <w:lang w:val="en-US"/>
        </w:rPr>
        <w:t xml:space="preserve">it assessed </w:t>
      </w:r>
      <w:r w:rsidR="00197953">
        <w:rPr>
          <w:rFonts w:ascii="Arial" w:hAnsi="Arial" w:cs="Arial"/>
          <w:lang w:val="en-US"/>
        </w:rPr>
        <w:t>the taxpayer.</w:t>
      </w:r>
      <w:r w:rsidR="00446F70">
        <w:rPr>
          <w:rFonts w:ascii="Arial" w:hAnsi="Arial" w:cs="Arial"/>
          <w:lang w:val="en-US"/>
        </w:rPr>
        <w:t xml:space="preserve"> Just as the taxpayer is confined, on appeal, to the grounds of dispute it raised in its objection to an assessment, SARS is confined to the basis of the assessment</w:t>
      </w:r>
      <w:r w:rsidR="00715E06">
        <w:rPr>
          <w:rFonts w:ascii="Arial" w:hAnsi="Arial" w:cs="Arial"/>
          <w:lang w:val="en-US"/>
        </w:rPr>
        <w:t xml:space="preserve"> it levied, to which objection was taken</w:t>
      </w:r>
      <w:r w:rsidR="00446F70">
        <w:rPr>
          <w:rFonts w:ascii="Arial" w:hAnsi="Arial" w:cs="Arial"/>
          <w:lang w:val="en-US"/>
        </w:rPr>
        <w:t xml:space="preserve">. This makes sense: what is intended is that the parties are to set out </w:t>
      </w:r>
      <w:r w:rsidR="009968DD">
        <w:rPr>
          <w:rFonts w:ascii="Arial" w:hAnsi="Arial" w:cs="Arial"/>
          <w:lang w:val="en-US"/>
        </w:rPr>
        <w:t xml:space="preserve">and traverse </w:t>
      </w:r>
      <w:r w:rsidR="00446F70">
        <w:rPr>
          <w:rFonts w:ascii="Arial" w:hAnsi="Arial" w:cs="Arial"/>
          <w:lang w:val="en-US"/>
        </w:rPr>
        <w:t xml:space="preserve">the basis of their positions in the dispute resolution process which is provided for by way of objection, so that </w:t>
      </w:r>
      <w:r w:rsidR="009968DD">
        <w:rPr>
          <w:rFonts w:ascii="Arial" w:hAnsi="Arial" w:cs="Arial"/>
          <w:lang w:val="en-US"/>
        </w:rPr>
        <w:t xml:space="preserve">if unresolved during this process, </w:t>
      </w:r>
      <w:r w:rsidR="00446F70">
        <w:rPr>
          <w:rFonts w:ascii="Arial" w:hAnsi="Arial" w:cs="Arial"/>
          <w:lang w:val="en-US"/>
        </w:rPr>
        <w:t xml:space="preserve">these may </w:t>
      </w:r>
      <w:r w:rsidR="00BA2399">
        <w:rPr>
          <w:rFonts w:ascii="Arial" w:hAnsi="Arial" w:cs="Arial"/>
          <w:lang w:val="en-US"/>
        </w:rPr>
        <w:t xml:space="preserve">then </w:t>
      </w:r>
      <w:r w:rsidR="00446F70">
        <w:rPr>
          <w:rFonts w:ascii="Arial" w:hAnsi="Arial" w:cs="Arial"/>
          <w:lang w:val="en-US"/>
        </w:rPr>
        <w:t xml:space="preserve">be contested on appeal. To allow an unfettered right to raise a fundamentally new basis for contestation on appeal would defeat the object of giving the parties an equal, transparent and fair opportunity to </w:t>
      </w:r>
      <w:r w:rsidR="009968DD">
        <w:rPr>
          <w:rFonts w:ascii="Arial" w:hAnsi="Arial" w:cs="Arial"/>
          <w:lang w:val="en-US"/>
        </w:rPr>
        <w:t>resolve</w:t>
      </w:r>
      <w:r w:rsidR="00446F70">
        <w:rPr>
          <w:rFonts w:ascii="Arial" w:hAnsi="Arial" w:cs="Arial"/>
          <w:lang w:val="en-US"/>
        </w:rPr>
        <w:t xml:space="preserve"> their differences before then</w:t>
      </w:r>
      <w:r w:rsidR="00715E06">
        <w:rPr>
          <w:rFonts w:ascii="Arial" w:hAnsi="Arial" w:cs="Arial"/>
          <w:lang w:val="en-US"/>
        </w:rPr>
        <w:t>,</w:t>
      </w:r>
      <w:r w:rsidR="009968DD">
        <w:rPr>
          <w:rFonts w:ascii="Arial" w:hAnsi="Arial" w:cs="Arial"/>
          <w:lang w:val="en-US"/>
        </w:rPr>
        <w:t xml:space="preserve"> by means of the dispute resolution process provided for</w:t>
      </w:r>
      <w:r w:rsidR="004D507A">
        <w:rPr>
          <w:rFonts w:ascii="Arial" w:hAnsi="Arial" w:cs="Arial"/>
          <w:lang w:val="en-US"/>
        </w:rPr>
        <w:t xml:space="preserve"> in </w:t>
      </w:r>
      <w:r w:rsidR="00715E06">
        <w:rPr>
          <w:rFonts w:ascii="Arial" w:hAnsi="Arial" w:cs="Arial"/>
          <w:lang w:val="en-US"/>
        </w:rPr>
        <w:t xml:space="preserve">raising and </w:t>
      </w:r>
      <w:r w:rsidR="004D507A">
        <w:rPr>
          <w:rFonts w:ascii="Arial" w:hAnsi="Arial" w:cs="Arial"/>
          <w:lang w:val="en-US"/>
        </w:rPr>
        <w:t>dealing with objections</w:t>
      </w:r>
      <w:r w:rsidR="00446F70">
        <w:rPr>
          <w:rFonts w:ascii="Arial" w:hAnsi="Arial" w:cs="Arial"/>
          <w:lang w:val="en-US"/>
        </w:rPr>
        <w:t xml:space="preserve">. Allowing the parties to have an unfettered right to raise </w:t>
      </w:r>
      <w:r w:rsidR="00715E06">
        <w:rPr>
          <w:rFonts w:ascii="Arial" w:hAnsi="Arial" w:cs="Arial"/>
          <w:lang w:val="en-US"/>
        </w:rPr>
        <w:t xml:space="preserve">any </w:t>
      </w:r>
      <w:r w:rsidR="00446F70">
        <w:rPr>
          <w:rFonts w:ascii="Arial" w:hAnsi="Arial" w:cs="Arial"/>
          <w:lang w:val="en-US"/>
        </w:rPr>
        <w:t xml:space="preserve">new grounds of contestation at the ‘appeal’ stage would undermine the </w:t>
      </w:r>
      <w:r w:rsidR="009968DD">
        <w:rPr>
          <w:rFonts w:ascii="Arial" w:hAnsi="Arial" w:cs="Arial"/>
          <w:lang w:val="en-US"/>
        </w:rPr>
        <w:t xml:space="preserve">whole pre-appeal </w:t>
      </w:r>
      <w:r w:rsidR="005E567A">
        <w:rPr>
          <w:rFonts w:ascii="Arial" w:hAnsi="Arial" w:cs="Arial"/>
          <w:lang w:val="en-US"/>
        </w:rPr>
        <w:t xml:space="preserve">objection </w:t>
      </w:r>
      <w:r w:rsidR="009968DD">
        <w:rPr>
          <w:rFonts w:ascii="Arial" w:hAnsi="Arial" w:cs="Arial"/>
          <w:lang w:val="en-US"/>
        </w:rPr>
        <w:t>dispute resolution process</w:t>
      </w:r>
      <w:r w:rsidR="00BA2399">
        <w:rPr>
          <w:rFonts w:ascii="Arial" w:hAnsi="Arial" w:cs="Arial"/>
          <w:lang w:val="en-US"/>
        </w:rPr>
        <w:t xml:space="preserve">, and discourage the parties from engaging in it responsibly and with due care and </w:t>
      </w:r>
      <w:r w:rsidR="005E567A">
        <w:rPr>
          <w:rFonts w:ascii="Arial" w:hAnsi="Arial" w:cs="Arial"/>
          <w:lang w:val="en-US"/>
        </w:rPr>
        <w:t>diligence</w:t>
      </w:r>
      <w:r w:rsidR="009968DD">
        <w:rPr>
          <w:rFonts w:ascii="Arial" w:hAnsi="Arial" w:cs="Arial"/>
          <w:lang w:val="en-US"/>
        </w:rPr>
        <w:t>.</w:t>
      </w:r>
      <w:r w:rsidR="00446F70">
        <w:rPr>
          <w:rFonts w:ascii="Arial" w:hAnsi="Arial" w:cs="Arial"/>
          <w:lang w:val="en-US"/>
        </w:rPr>
        <w:t xml:space="preserve">           </w:t>
      </w:r>
    </w:p>
    <w:p w14:paraId="6E24B88D" w14:textId="77777777" w:rsidR="00197953" w:rsidRDefault="00197953" w:rsidP="00197953">
      <w:pPr>
        <w:spacing w:line="480" w:lineRule="auto"/>
        <w:ind w:left="360"/>
        <w:jc w:val="both"/>
        <w:rPr>
          <w:rFonts w:ascii="Arial" w:hAnsi="Arial" w:cs="Arial"/>
          <w:lang w:val="en-US"/>
        </w:rPr>
      </w:pPr>
    </w:p>
    <w:p w14:paraId="3A4150B6" w14:textId="0330DFDE" w:rsidR="00830AB1" w:rsidRDefault="00A60D4B" w:rsidP="002044ED">
      <w:pPr>
        <w:spacing w:line="480" w:lineRule="auto"/>
        <w:jc w:val="both"/>
        <w:rPr>
          <w:rFonts w:ascii="Arial" w:hAnsi="Arial" w:cs="Arial"/>
          <w:lang w:val="en-US"/>
        </w:rPr>
      </w:pPr>
      <w:r>
        <w:rPr>
          <w:rFonts w:ascii="Arial" w:hAnsi="Arial" w:cs="Arial"/>
          <w:lang w:val="en-US"/>
        </w:rPr>
        <w:t>[</w:t>
      </w:r>
      <w:r w:rsidR="00830AB1">
        <w:rPr>
          <w:rFonts w:ascii="Arial" w:hAnsi="Arial" w:cs="Arial"/>
          <w:lang w:val="en-US"/>
        </w:rPr>
        <w:t>80</w:t>
      </w:r>
      <w:r>
        <w:rPr>
          <w:rFonts w:ascii="Arial" w:hAnsi="Arial" w:cs="Arial"/>
          <w:lang w:val="en-US"/>
        </w:rPr>
        <w:t>]</w:t>
      </w:r>
      <w:r>
        <w:rPr>
          <w:rFonts w:ascii="Arial" w:hAnsi="Arial" w:cs="Arial"/>
          <w:lang w:val="en-US"/>
        </w:rPr>
        <w:tab/>
      </w:r>
      <w:r w:rsidR="009968DD">
        <w:rPr>
          <w:rFonts w:ascii="Arial" w:hAnsi="Arial" w:cs="Arial"/>
          <w:lang w:val="en-US"/>
        </w:rPr>
        <w:t>By way of illustration of what we are saying, th</w:t>
      </w:r>
      <w:r w:rsidR="00197953">
        <w:rPr>
          <w:rFonts w:ascii="Arial" w:hAnsi="Arial" w:cs="Arial"/>
          <w:lang w:val="en-US"/>
        </w:rPr>
        <w:t xml:space="preserve">e basis upon which SARS </w:t>
      </w:r>
      <w:r w:rsidR="009968DD">
        <w:rPr>
          <w:rFonts w:ascii="Arial" w:hAnsi="Arial" w:cs="Arial"/>
          <w:lang w:val="en-US"/>
        </w:rPr>
        <w:t>is</w:t>
      </w:r>
      <w:r w:rsidR="00197953">
        <w:rPr>
          <w:rFonts w:ascii="Arial" w:hAnsi="Arial" w:cs="Arial"/>
          <w:lang w:val="en-US"/>
        </w:rPr>
        <w:t xml:space="preserve"> permitted to include a new ground of assessment was discussed in </w:t>
      </w:r>
      <w:r w:rsidR="00197953" w:rsidRPr="00A60D4B">
        <w:rPr>
          <w:rFonts w:ascii="Arial" w:hAnsi="Arial" w:cs="Arial"/>
          <w:i/>
          <w:iCs/>
          <w:lang w:val="en-US"/>
        </w:rPr>
        <w:t>Sasol Oil (Pty) Ltd v CSAR</w:t>
      </w:r>
      <w:r w:rsidR="000371A8">
        <w:rPr>
          <w:rFonts w:ascii="Arial" w:hAnsi="Arial" w:cs="Arial"/>
          <w:i/>
          <w:iCs/>
          <w:lang w:val="en-US"/>
        </w:rPr>
        <w:t>.</w:t>
      </w:r>
      <w:r w:rsidR="00197953">
        <w:rPr>
          <w:rStyle w:val="FootnoteReference"/>
          <w:rFonts w:ascii="Arial" w:hAnsi="Arial" w:cs="Arial"/>
          <w:lang w:val="en-US"/>
        </w:rPr>
        <w:footnoteReference w:id="26"/>
      </w:r>
      <w:r w:rsidR="00A2209B">
        <w:rPr>
          <w:rFonts w:ascii="Arial" w:hAnsi="Arial" w:cs="Arial"/>
          <w:lang w:val="en-US"/>
        </w:rPr>
        <w:t xml:space="preserve"> </w:t>
      </w:r>
      <w:r w:rsidR="00197953">
        <w:rPr>
          <w:rFonts w:ascii="Arial" w:hAnsi="Arial" w:cs="Arial"/>
          <w:lang w:val="en-US"/>
        </w:rPr>
        <w:t>SARS</w:t>
      </w:r>
      <w:r w:rsidR="000371A8">
        <w:rPr>
          <w:rFonts w:ascii="Arial" w:hAnsi="Arial" w:cs="Arial"/>
          <w:lang w:val="en-US"/>
        </w:rPr>
        <w:t xml:space="preserve"> had</w:t>
      </w:r>
      <w:r w:rsidR="00197953">
        <w:rPr>
          <w:rFonts w:ascii="Arial" w:hAnsi="Arial" w:cs="Arial"/>
          <w:lang w:val="en-US"/>
        </w:rPr>
        <w:t xml:space="preserve"> in </w:t>
      </w:r>
      <w:r w:rsidR="000371A8">
        <w:rPr>
          <w:rFonts w:ascii="Arial" w:hAnsi="Arial" w:cs="Arial"/>
          <w:lang w:val="en-US"/>
        </w:rPr>
        <w:t>its</w:t>
      </w:r>
      <w:r w:rsidR="00197953">
        <w:rPr>
          <w:rFonts w:ascii="Arial" w:hAnsi="Arial" w:cs="Arial"/>
          <w:lang w:val="en-US"/>
        </w:rPr>
        <w:t xml:space="preserve"> </w:t>
      </w:r>
      <w:r w:rsidR="009968DD">
        <w:rPr>
          <w:rFonts w:ascii="Arial" w:hAnsi="Arial" w:cs="Arial"/>
          <w:lang w:val="en-US"/>
        </w:rPr>
        <w:t>(</w:t>
      </w:r>
      <w:r w:rsidR="0049618A">
        <w:rPr>
          <w:rFonts w:ascii="Arial" w:hAnsi="Arial" w:cs="Arial"/>
          <w:lang w:val="en-US"/>
        </w:rPr>
        <w:t>then rule 10(3)</w:t>
      </w:r>
      <w:r w:rsidR="009968DD">
        <w:rPr>
          <w:rFonts w:ascii="Arial" w:hAnsi="Arial" w:cs="Arial"/>
          <w:lang w:val="en-US"/>
        </w:rPr>
        <w:t>)</w:t>
      </w:r>
      <w:r w:rsidR="000371A8">
        <w:rPr>
          <w:rFonts w:ascii="Arial" w:hAnsi="Arial" w:cs="Arial"/>
          <w:lang w:val="en-US"/>
        </w:rPr>
        <w:t xml:space="preserve"> </w:t>
      </w:r>
      <w:r w:rsidR="00197953">
        <w:rPr>
          <w:rFonts w:ascii="Arial" w:hAnsi="Arial" w:cs="Arial"/>
          <w:lang w:val="en-US"/>
        </w:rPr>
        <w:t>statement</w:t>
      </w:r>
      <w:r w:rsidR="009968DD">
        <w:rPr>
          <w:rFonts w:ascii="Arial" w:hAnsi="Arial" w:cs="Arial"/>
          <w:lang w:val="en-US"/>
        </w:rPr>
        <w:t xml:space="preserve">, </w:t>
      </w:r>
      <w:r w:rsidR="0049618A">
        <w:rPr>
          <w:rFonts w:ascii="Arial" w:hAnsi="Arial" w:cs="Arial"/>
          <w:lang w:val="en-US"/>
        </w:rPr>
        <w:t xml:space="preserve">in which it </w:t>
      </w:r>
      <w:r w:rsidR="00830AB1">
        <w:rPr>
          <w:rFonts w:ascii="Arial" w:hAnsi="Arial" w:cs="Arial"/>
          <w:lang w:val="en-US"/>
        </w:rPr>
        <w:t>set out</w:t>
      </w:r>
      <w:r w:rsidR="0049618A">
        <w:rPr>
          <w:rFonts w:ascii="Arial" w:hAnsi="Arial" w:cs="Arial"/>
          <w:lang w:val="en-US"/>
        </w:rPr>
        <w:t xml:space="preserve"> why it had disallowed the taxpayer’s objections</w:t>
      </w:r>
      <w:r w:rsidR="00A2209B">
        <w:rPr>
          <w:rFonts w:ascii="Arial" w:hAnsi="Arial" w:cs="Arial"/>
          <w:lang w:val="en-US"/>
        </w:rPr>
        <w:t>,</w:t>
      </w:r>
      <w:r w:rsidR="00197953">
        <w:rPr>
          <w:rFonts w:ascii="Arial" w:hAnsi="Arial" w:cs="Arial"/>
          <w:lang w:val="en-US"/>
        </w:rPr>
        <w:t xml:space="preserve"> included new ground</w:t>
      </w:r>
      <w:r w:rsidR="0049618A">
        <w:rPr>
          <w:rFonts w:ascii="Arial" w:hAnsi="Arial" w:cs="Arial"/>
          <w:lang w:val="en-US"/>
        </w:rPr>
        <w:t>s</w:t>
      </w:r>
      <w:r w:rsidR="00197953">
        <w:rPr>
          <w:rFonts w:ascii="Arial" w:hAnsi="Arial" w:cs="Arial"/>
          <w:lang w:val="en-US"/>
        </w:rPr>
        <w:t xml:space="preserve"> of assessment which</w:t>
      </w:r>
      <w:r w:rsidR="00830AB1">
        <w:rPr>
          <w:rFonts w:ascii="Arial" w:hAnsi="Arial" w:cs="Arial"/>
          <w:lang w:val="en-US"/>
        </w:rPr>
        <w:t>,</w:t>
      </w:r>
      <w:r w:rsidR="00197953">
        <w:rPr>
          <w:rFonts w:ascii="Arial" w:hAnsi="Arial" w:cs="Arial"/>
          <w:lang w:val="en-US"/>
        </w:rPr>
        <w:t xml:space="preserve"> according to </w:t>
      </w:r>
      <w:r w:rsidR="000371A8">
        <w:rPr>
          <w:rFonts w:ascii="Arial" w:hAnsi="Arial" w:cs="Arial"/>
          <w:lang w:val="en-US"/>
        </w:rPr>
        <w:t>it,</w:t>
      </w:r>
      <w:r w:rsidR="00197953">
        <w:rPr>
          <w:rFonts w:ascii="Arial" w:hAnsi="Arial" w:cs="Arial"/>
          <w:lang w:val="en-US"/>
        </w:rPr>
        <w:t xml:space="preserve"> </w:t>
      </w:r>
      <w:r w:rsidR="000371A8">
        <w:rPr>
          <w:rFonts w:ascii="Arial" w:hAnsi="Arial" w:cs="Arial"/>
          <w:lang w:val="en-US"/>
        </w:rPr>
        <w:t>pertained</w:t>
      </w:r>
      <w:r w:rsidR="00197953">
        <w:rPr>
          <w:rFonts w:ascii="Arial" w:hAnsi="Arial" w:cs="Arial"/>
          <w:lang w:val="en-US"/>
        </w:rPr>
        <w:t xml:space="preserve"> to the same </w:t>
      </w:r>
      <w:r w:rsidR="0049618A">
        <w:rPr>
          <w:rFonts w:ascii="Arial" w:hAnsi="Arial" w:cs="Arial"/>
          <w:lang w:val="en-US"/>
        </w:rPr>
        <w:t xml:space="preserve">disputed </w:t>
      </w:r>
      <w:r w:rsidR="00197953">
        <w:rPr>
          <w:rFonts w:ascii="Arial" w:hAnsi="Arial" w:cs="Arial"/>
          <w:lang w:val="en-US"/>
        </w:rPr>
        <w:t xml:space="preserve">amount and emanated from the same agreements </w:t>
      </w:r>
      <w:r w:rsidR="0049618A">
        <w:rPr>
          <w:rFonts w:ascii="Arial" w:hAnsi="Arial" w:cs="Arial"/>
          <w:lang w:val="en-US"/>
        </w:rPr>
        <w:t>in respect of</w:t>
      </w:r>
      <w:r w:rsidR="00197953">
        <w:rPr>
          <w:rFonts w:ascii="Arial" w:hAnsi="Arial" w:cs="Arial"/>
          <w:lang w:val="en-US"/>
        </w:rPr>
        <w:t xml:space="preserve"> which </w:t>
      </w:r>
      <w:r w:rsidR="000371A8">
        <w:rPr>
          <w:rFonts w:ascii="Arial" w:hAnsi="Arial" w:cs="Arial"/>
          <w:lang w:val="en-US"/>
        </w:rPr>
        <w:t>it</w:t>
      </w:r>
      <w:r w:rsidR="00197953">
        <w:rPr>
          <w:rFonts w:ascii="Arial" w:hAnsi="Arial" w:cs="Arial"/>
          <w:lang w:val="en-US"/>
        </w:rPr>
        <w:t xml:space="preserve"> </w:t>
      </w:r>
      <w:r w:rsidR="00830AB1">
        <w:rPr>
          <w:rFonts w:ascii="Arial" w:hAnsi="Arial" w:cs="Arial"/>
          <w:lang w:val="en-US"/>
        </w:rPr>
        <w:t xml:space="preserve">had </w:t>
      </w:r>
      <w:r w:rsidR="00197953">
        <w:rPr>
          <w:rFonts w:ascii="Arial" w:hAnsi="Arial" w:cs="Arial"/>
          <w:lang w:val="en-US"/>
        </w:rPr>
        <w:t>already assessed the taxpayer</w:t>
      </w:r>
      <w:r w:rsidR="00830AB1">
        <w:rPr>
          <w:rFonts w:ascii="Arial" w:hAnsi="Arial" w:cs="Arial"/>
          <w:lang w:val="en-US"/>
        </w:rPr>
        <w:t>. I</w:t>
      </w:r>
      <w:r w:rsidR="000371A8">
        <w:rPr>
          <w:rFonts w:ascii="Arial" w:hAnsi="Arial" w:cs="Arial"/>
          <w:lang w:val="en-US"/>
        </w:rPr>
        <w:t>t</w:t>
      </w:r>
      <w:r w:rsidR="00197953">
        <w:rPr>
          <w:rFonts w:ascii="Arial" w:hAnsi="Arial" w:cs="Arial"/>
          <w:lang w:val="en-US"/>
        </w:rPr>
        <w:t xml:space="preserve"> submitted</w:t>
      </w:r>
      <w:r w:rsidR="00A2209B">
        <w:rPr>
          <w:rFonts w:ascii="Arial" w:hAnsi="Arial" w:cs="Arial"/>
          <w:lang w:val="en-US"/>
        </w:rPr>
        <w:t xml:space="preserve"> that</w:t>
      </w:r>
      <w:r w:rsidR="00197953">
        <w:rPr>
          <w:rFonts w:ascii="Arial" w:hAnsi="Arial" w:cs="Arial"/>
          <w:lang w:val="en-US"/>
        </w:rPr>
        <w:t xml:space="preserve"> it was permissible </w:t>
      </w:r>
      <w:r w:rsidR="000371A8">
        <w:rPr>
          <w:rFonts w:ascii="Arial" w:hAnsi="Arial" w:cs="Arial"/>
          <w:lang w:val="en-US"/>
        </w:rPr>
        <w:t xml:space="preserve">for it to </w:t>
      </w:r>
      <w:r w:rsidR="0049618A">
        <w:rPr>
          <w:rFonts w:ascii="Arial" w:hAnsi="Arial" w:cs="Arial"/>
          <w:lang w:val="en-US"/>
        </w:rPr>
        <w:t>do s</w:t>
      </w:r>
      <w:r w:rsidR="000371A8">
        <w:rPr>
          <w:rFonts w:ascii="Arial" w:hAnsi="Arial" w:cs="Arial"/>
          <w:lang w:val="en-US"/>
        </w:rPr>
        <w:t xml:space="preserve">o </w:t>
      </w:r>
      <w:r w:rsidR="00197953">
        <w:rPr>
          <w:rFonts w:ascii="Arial" w:hAnsi="Arial" w:cs="Arial"/>
          <w:lang w:val="en-US"/>
        </w:rPr>
        <w:t>because a</w:t>
      </w:r>
      <w:r w:rsidR="00CB2578">
        <w:rPr>
          <w:rFonts w:ascii="Arial" w:hAnsi="Arial" w:cs="Arial"/>
          <w:lang w:val="en-US"/>
        </w:rPr>
        <w:t>ny</w:t>
      </w:r>
      <w:r w:rsidR="00197953">
        <w:rPr>
          <w:rFonts w:ascii="Arial" w:hAnsi="Arial" w:cs="Arial"/>
          <w:lang w:val="en-US"/>
        </w:rPr>
        <w:t xml:space="preserve"> </w:t>
      </w:r>
      <w:r w:rsidR="005E567A">
        <w:rPr>
          <w:rFonts w:ascii="Arial" w:hAnsi="Arial" w:cs="Arial"/>
          <w:lang w:val="en-US"/>
        </w:rPr>
        <w:t xml:space="preserve">sustainable </w:t>
      </w:r>
      <w:r w:rsidR="00197953">
        <w:rPr>
          <w:rFonts w:ascii="Arial" w:hAnsi="Arial" w:cs="Arial"/>
          <w:lang w:val="en-US"/>
        </w:rPr>
        <w:t xml:space="preserve">grounds for disallowing </w:t>
      </w:r>
      <w:r w:rsidR="0049618A">
        <w:rPr>
          <w:rFonts w:ascii="Arial" w:hAnsi="Arial" w:cs="Arial"/>
          <w:lang w:val="en-US"/>
        </w:rPr>
        <w:t>a</w:t>
      </w:r>
      <w:r w:rsidR="00197953">
        <w:rPr>
          <w:rFonts w:ascii="Arial" w:hAnsi="Arial" w:cs="Arial"/>
          <w:lang w:val="en-US"/>
        </w:rPr>
        <w:t xml:space="preserve"> taxpayer’s objection could </w:t>
      </w:r>
      <w:r w:rsidR="005E567A">
        <w:rPr>
          <w:rFonts w:ascii="Arial" w:hAnsi="Arial" w:cs="Arial"/>
          <w:lang w:val="en-US"/>
        </w:rPr>
        <w:t xml:space="preserve">surely </w:t>
      </w:r>
      <w:r w:rsidR="00197953">
        <w:rPr>
          <w:rFonts w:ascii="Arial" w:hAnsi="Arial" w:cs="Arial"/>
          <w:lang w:val="en-US"/>
        </w:rPr>
        <w:t xml:space="preserve">be </w:t>
      </w:r>
      <w:r w:rsidR="000371A8">
        <w:rPr>
          <w:rFonts w:ascii="Arial" w:hAnsi="Arial" w:cs="Arial"/>
          <w:lang w:val="en-US"/>
        </w:rPr>
        <w:t>raised</w:t>
      </w:r>
      <w:r w:rsidR="00A2209B">
        <w:rPr>
          <w:rFonts w:ascii="Arial" w:hAnsi="Arial" w:cs="Arial"/>
          <w:lang w:val="en-US"/>
        </w:rPr>
        <w:t>,</w:t>
      </w:r>
      <w:r w:rsidR="00197953">
        <w:rPr>
          <w:rFonts w:ascii="Arial" w:hAnsi="Arial" w:cs="Arial"/>
          <w:lang w:val="en-US"/>
        </w:rPr>
        <w:t xml:space="preserve"> even grounds that</w:t>
      </w:r>
      <w:r w:rsidR="0049618A">
        <w:rPr>
          <w:rFonts w:ascii="Arial" w:hAnsi="Arial" w:cs="Arial"/>
          <w:lang w:val="en-US"/>
        </w:rPr>
        <w:t xml:space="preserve"> </w:t>
      </w:r>
      <w:r w:rsidR="000371A8">
        <w:rPr>
          <w:rFonts w:ascii="Arial" w:hAnsi="Arial" w:cs="Arial"/>
          <w:lang w:val="en-US"/>
        </w:rPr>
        <w:t>had</w:t>
      </w:r>
      <w:r w:rsidR="00197953">
        <w:rPr>
          <w:rFonts w:ascii="Arial" w:hAnsi="Arial" w:cs="Arial"/>
          <w:lang w:val="en-US"/>
        </w:rPr>
        <w:t xml:space="preserve"> not previously </w:t>
      </w:r>
      <w:r w:rsidR="0049618A">
        <w:rPr>
          <w:rFonts w:ascii="Arial" w:hAnsi="Arial" w:cs="Arial"/>
          <w:lang w:val="en-US"/>
        </w:rPr>
        <w:t xml:space="preserve">been </w:t>
      </w:r>
      <w:r w:rsidR="00197953">
        <w:rPr>
          <w:rFonts w:ascii="Arial" w:hAnsi="Arial" w:cs="Arial"/>
          <w:lang w:val="en-US"/>
        </w:rPr>
        <w:t xml:space="preserve">relied upon. </w:t>
      </w:r>
      <w:r w:rsidR="00830AB1">
        <w:rPr>
          <w:rFonts w:ascii="Arial" w:hAnsi="Arial" w:cs="Arial"/>
          <w:lang w:val="en-US"/>
        </w:rPr>
        <w:t xml:space="preserve">The taxpayer made application to review and set aside the </w:t>
      </w:r>
      <w:r w:rsidR="00B66B6C">
        <w:rPr>
          <w:rFonts w:ascii="Arial" w:hAnsi="Arial" w:cs="Arial"/>
          <w:lang w:val="en-US"/>
        </w:rPr>
        <w:t xml:space="preserve">rule 10(3) </w:t>
      </w:r>
      <w:r w:rsidR="00830AB1">
        <w:rPr>
          <w:rFonts w:ascii="Arial" w:hAnsi="Arial" w:cs="Arial"/>
          <w:lang w:val="en-US"/>
        </w:rPr>
        <w:t xml:space="preserve">statement. </w:t>
      </w:r>
      <w:r w:rsidR="00197953">
        <w:rPr>
          <w:rFonts w:ascii="Arial" w:hAnsi="Arial" w:cs="Arial"/>
          <w:lang w:val="en-US"/>
        </w:rPr>
        <w:t xml:space="preserve">The </w:t>
      </w:r>
      <w:r w:rsidR="000371A8">
        <w:rPr>
          <w:rFonts w:ascii="Arial" w:hAnsi="Arial" w:cs="Arial"/>
          <w:lang w:val="en-US"/>
        </w:rPr>
        <w:t>C</w:t>
      </w:r>
      <w:r w:rsidR="00197953">
        <w:rPr>
          <w:rFonts w:ascii="Arial" w:hAnsi="Arial" w:cs="Arial"/>
          <w:lang w:val="en-US"/>
        </w:rPr>
        <w:t xml:space="preserve">ourt held that </w:t>
      </w:r>
      <w:r w:rsidR="00830AB1">
        <w:rPr>
          <w:rFonts w:ascii="Arial" w:hAnsi="Arial" w:cs="Arial"/>
          <w:lang w:val="en-US"/>
        </w:rPr>
        <w:t>as</w:t>
      </w:r>
      <w:r w:rsidR="00197953">
        <w:rPr>
          <w:rFonts w:ascii="Arial" w:hAnsi="Arial" w:cs="Arial"/>
          <w:lang w:val="en-US"/>
        </w:rPr>
        <w:t xml:space="preserve"> the factual and legal basis </w:t>
      </w:r>
      <w:r w:rsidR="0049618A">
        <w:rPr>
          <w:rFonts w:ascii="Arial" w:hAnsi="Arial" w:cs="Arial"/>
          <w:lang w:val="en-US"/>
        </w:rPr>
        <w:t>of the new grounds was</w:t>
      </w:r>
      <w:r w:rsidR="00197953">
        <w:rPr>
          <w:rFonts w:ascii="Arial" w:hAnsi="Arial" w:cs="Arial"/>
          <w:lang w:val="en-US"/>
        </w:rPr>
        <w:t xml:space="preserve"> completely different from the initial ground</w:t>
      </w:r>
      <w:r w:rsidR="0049618A">
        <w:rPr>
          <w:rFonts w:ascii="Arial" w:hAnsi="Arial" w:cs="Arial"/>
          <w:lang w:val="en-US"/>
        </w:rPr>
        <w:t>s</w:t>
      </w:r>
      <w:r w:rsidR="00197953">
        <w:rPr>
          <w:rFonts w:ascii="Arial" w:hAnsi="Arial" w:cs="Arial"/>
          <w:lang w:val="en-US"/>
        </w:rPr>
        <w:t xml:space="preserve"> of </w:t>
      </w:r>
      <w:r w:rsidR="005E567A">
        <w:rPr>
          <w:rFonts w:ascii="Arial" w:hAnsi="Arial" w:cs="Arial"/>
          <w:lang w:val="en-US"/>
        </w:rPr>
        <w:t xml:space="preserve">the </w:t>
      </w:r>
      <w:r w:rsidR="00197953">
        <w:rPr>
          <w:rFonts w:ascii="Arial" w:hAnsi="Arial" w:cs="Arial"/>
          <w:lang w:val="en-US"/>
        </w:rPr>
        <w:t>assessment</w:t>
      </w:r>
      <w:r w:rsidR="00A2209B">
        <w:rPr>
          <w:rFonts w:ascii="Arial" w:hAnsi="Arial" w:cs="Arial"/>
          <w:lang w:val="en-US"/>
        </w:rPr>
        <w:t>,</w:t>
      </w:r>
      <w:r w:rsidR="00197953">
        <w:rPr>
          <w:rFonts w:ascii="Arial" w:hAnsi="Arial" w:cs="Arial"/>
          <w:lang w:val="en-US"/>
        </w:rPr>
        <w:t xml:space="preserve"> it </w:t>
      </w:r>
      <w:r w:rsidR="0049618A">
        <w:rPr>
          <w:rFonts w:ascii="Arial" w:hAnsi="Arial" w:cs="Arial"/>
          <w:lang w:val="en-US"/>
        </w:rPr>
        <w:t>wa</w:t>
      </w:r>
      <w:r w:rsidR="00197953">
        <w:rPr>
          <w:rFonts w:ascii="Arial" w:hAnsi="Arial" w:cs="Arial"/>
          <w:lang w:val="en-US"/>
        </w:rPr>
        <w:t xml:space="preserve">s impermissible for SARS to include </w:t>
      </w:r>
      <w:r w:rsidR="0049618A">
        <w:rPr>
          <w:rFonts w:ascii="Arial" w:hAnsi="Arial" w:cs="Arial"/>
          <w:lang w:val="en-US"/>
        </w:rPr>
        <w:t>them</w:t>
      </w:r>
      <w:r w:rsidR="00197953">
        <w:rPr>
          <w:rFonts w:ascii="Arial" w:hAnsi="Arial" w:cs="Arial"/>
          <w:lang w:val="en-US"/>
        </w:rPr>
        <w:t xml:space="preserve"> in </w:t>
      </w:r>
      <w:r w:rsidR="0049618A">
        <w:rPr>
          <w:rFonts w:ascii="Arial" w:hAnsi="Arial" w:cs="Arial"/>
          <w:lang w:val="en-US"/>
        </w:rPr>
        <w:t xml:space="preserve">the </w:t>
      </w:r>
      <w:r w:rsidR="00197953">
        <w:rPr>
          <w:rFonts w:ascii="Arial" w:hAnsi="Arial" w:cs="Arial"/>
          <w:lang w:val="en-US"/>
        </w:rPr>
        <w:t>statement.</w:t>
      </w:r>
      <w:r w:rsidR="00981D6C">
        <w:rPr>
          <w:rFonts w:ascii="Arial" w:hAnsi="Arial" w:cs="Arial"/>
          <w:lang w:val="en-US"/>
        </w:rPr>
        <w:t xml:space="preserve">  </w:t>
      </w:r>
    </w:p>
    <w:p w14:paraId="125D7FB0" w14:textId="77777777" w:rsidR="00830AB1" w:rsidRDefault="00830AB1" w:rsidP="002044ED">
      <w:pPr>
        <w:spacing w:line="480" w:lineRule="auto"/>
        <w:jc w:val="both"/>
        <w:rPr>
          <w:rFonts w:ascii="Arial" w:hAnsi="Arial" w:cs="Arial"/>
          <w:lang w:val="en-US"/>
        </w:rPr>
      </w:pPr>
    </w:p>
    <w:p w14:paraId="1D29C921" w14:textId="00F9D14F" w:rsidR="007A1AA8" w:rsidRDefault="00830AB1" w:rsidP="002044ED">
      <w:pPr>
        <w:spacing w:line="480" w:lineRule="auto"/>
        <w:jc w:val="both"/>
        <w:rPr>
          <w:rFonts w:ascii="Arial" w:hAnsi="Arial" w:cs="Arial"/>
          <w:lang w:val="en-US"/>
        </w:rPr>
      </w:pPr>
      <w:r>
        <w:rPr>
          <w:rFonts w:ascii="Arial" w:hAnsi="Arial" w:cs="Arial"/>
          <w:lang w:val="en-US"/>
        </w:rPr>
        <w:t>[81]</w:t>
      </w:r>
      <w:r>
        <w:rPr>
          <w:rFonts w:ascii="Arial" w:hAnsi="Arial" w:cs="Arial"/>
          <w:lang w:val="en-US"/>
        </w:rPr>
        <w:tab/>
      </w:r>
      <w:r w:rsidR="00197953">
        <w:rPr>
          <w:rFonts w:ascii="Arial" w:hAnsi="Arial" w:cs="Arial"/>
          <w:lang w:val="en-US"/>
        </w:rPr>
        <w:t>From this</w:t>
      </w:r>
      <w:r w:rsidR="00A2209B">
        <w:rPr>
          <w:rFonts w:ascii="Arial" w:hAnsi="Arial" w:cs="Arial"/>
          <w:lang w:val="en-US"/>
        </w:rPr>
        <w:t>,</w:t>
      </w:r>
      <w:r w:rsidR="00197953">
        <w:rPr>
          <w:rFonts w:ascii="Arial" w:hAnsi="Arial" w:cs="Arial"/>
          <w:lang w:val="en-US"/>
        </w:rPr>
        <w:t xml:space="preserve"> and on a proper reading of the provision</w:t>
      </w:r>
      <w:r w:rsidR="00981D6C">
        <w:rPr>
          <w:rFonts w:ascii="Arial" w:hAnsi="Arial" w:cs="Arial"/>
          <w:lang w:val="en-US"/>
        </w:rPr>
        <w:t>,</w:t>
      </w:r>
      <w:r w:rsidR="00197953">
        <w:rPr>
          <w:rFonts w:ascii="Arial" w:hAnsi="Arial" w:cs="Arial"/>
          <w:lang w:val="en-US"/>
        </w:rPr>
        <w:t xml:space="preserve"> it </w:t>
      </w:r>
      <w:r w:rsidR="00B66B6C">
        <w:rPr>
          <w:rFonts w:ascii="Arial" w:hAnsi="Arial" w:cs="Arial"/>
          <w:lang w:val="en-US"/>
        </w:rPr>
        <w:t>appears</w:t>
      </w:r>
      <w:r w:rsidR="00197953">
        <w:rPr>
          <w:rFonts w:ascii="Arial" w:hAnsi="Arial" w:cs="Arial"/>
          <w:lang w:val="en-US"/>
        </w:rPr>
        <w:t xml:space="preserve"> that the enactment of rule 31(3) was </w:t>
      </w:r>
      <w:r w:rsidR="004D507A">
        <w:rPr>
          <w:rFonts w:ascii="Arial" w:hAnsi="Arial" w:cs="Arial"/>
          <w:lang w:val="en-US"/>
        </w:rPr>
        <w:t xml:space="preserve">indeed </w:t>
      </w:r>
      <w:r w:rsidR="00197953">
        <w:rPr>
          <w:rFonts w:ascii="Arial" w:hAnsi="Arial" w:cs="Arial"/>
          <w:lang w:val="en-US"/>
        </w:rPr>
        <w:t xml:space="preserve">aimed at placing the taxpayer in an equivalent position to SARS, </w:t>
      </w:r>
      <w:r w:rsidR="00B66B6C">
        <w:rPr>
          <w:rFonts w:ascii="Arial" w:hAnsi="Arial" w:cs="Arial"/>
          <w:lang w:val="en-US"/>
        </w:rPr>
        <w:t xml:space="preserve">in that </w:t>
      </w:r>
      <w:r w:rsidR="00197953">
        <w:rPr>
          <w:rFonts w:ascii="Arial" w:hAnsi="Arial" w:cs="Arial"/>
          <w:lang w:val="en-US"/>
        </w:rPr>
        <w:t xml:space="preserve">it equally seeks to prevent SARS from impermissibly including new grounds </w:t>
      </w:r>
      <w:r w:rsidR="00B66B6C">
        <w:rPr>
          <w:rFonts w:ascii="Arial" w:hAnsi="Arial" w:cs="Arial"/>
          <w:lang w:val="en-US"/>
        </w:rPr>
        <w:t>o</w:t>
      </w:r>
      <w:r w:rsidR="00CB2578">
        <w:rPr>
          <w:rFonts w:ascii="Arial" w:hAnsi="Arial" w:cs="Arial"/>
          <w:lang w:val="en-US"/>
        </w:rPr>
        <w:t>f</w:t>
      </w:r>
      <w:r w:rsidR="00B66B6C">
        <w:rPr>
          <w:rFonts w:ascii="Arial" w:hAnsi="Arial" w:cs="Arial"/>
          <w:lang w:val="en-US"/>
        </w:rPr>
        <w:t xml:space="preserve"> appeal </w:t>
      </w:r>
      <w:r w:rsidR="00197953">
        <w:rPr>
          <w:rFonts w:ascii="Arial" w:hAnsi="Arial" w:cs="Arial"/>
          <w:lang w:val="en-US"/>
        </w:rPr>
        <w:t>which are founded on a completely different factual or legal basis</w:t>
      </w:r>
      <w:r w:rsidR="00CB2578">
        <w:rPr>
          <w:rFonts w:ascii="Arial" w:hAnsi="Arial" w:cs="Arial"/>
          <w:lang w:val="en-US"/>
        </w:rPr>
        <w:t xml:space="preserve">, or which would </w:t>
      </w:r>
      <w:r w:rsidR="00E708B7">
        <w:rPr>
          <w:rFonts w:ascii="Arial" w:hAnsi="Arial" w:cs="Arial"/>
          <w:lang w:val="en-US"/>
        </w:rPr>
        <w:t xml:space="preserve">materially </w:t>
      </w:r>
      <w:r w:rsidR="00CB2578">
        <w:rPr>
          <w:rFonts w:ascii="Arial" w:hAnsi="Arial" w:cs="Arial"/>
          <w:lang w:val="en-US"/>
        </w:rPr>
        <w:t xml:space="preserve">alter the assessment that </w:t>
      </w:r>
      <w:r w:rsidR="00E708B7">
        <w:rPr>
          <w:rFonts w:ascii="Arial" w:hAnsi="Arial" w:cs="Arial"/>
          <w:lang w:val="en-US"/>
        </w:rPr>
        <w:t>it</w:t>
      </w:r>
      <w:r w:rsidR="00CB2578">
        <w:rPr>
          <w:rFonts w:ascii="Arial" w:hAnsi="Arial" w:cs="Arial"/>
          <w:lang w:val="en-US"/>
        </w:rPr>
        <w:t xml:space="preserve"> made</w:t>
      </w:r>
      <w:r w:rsidR="004D507A">
        <w:rPr>
          <w:rFonts w:ascii="Arial" w:hAnsi="Arial" w:cs="Arial"/>
          <w:lang w:val="en-US"/>
        </w:rPr>
        <w:t xml:space="preserve"> and which is being disputed</w:t>
      </w:r>
      <w:r w:rsidR="00197953">
        <w:rPr>
          <w:rFonts w:ascii="Arial" w:hAnsi="Arial" w:cs="Arial"/>
          <w:lang w:val="en-US"/>
        </w:rPr>
        <w:t xml:space="preserve">. It restricts SARS from </w:t>
      </w:r>
      <w:r w:rsidR="004D507A">
        <w:rPr>
          <w:rFonts w:ascii="Arial" w:hAnsi="Arial" w:cs="Arial"/>
          <w:lang w:val="en-US"/>
        </w:rPr>
        <w:t xml:space="preserve">raising </w:t>
      </w:r>
      <w:r w:rsidR="00197953">
        <w:rPr>
          <w:rFonts w:ascii="Arial" w:hAnsi="Arial" w:cs="Arial"/>
          <w:lang w:val="en-US"/>
        </w:rPr>
        <w:t>a new ground of assessment</w:t>
      </w:r>
      <w:r w:rsidR="00CB2578">
        <w:rPr>
          <w:rFonts w:ascii="Arial" w:hAnsi="Arial" w:cs="Arial"/>
          <w:lang w:val="en-US"/>
        </w:rPr>
        <w:t>,</w:t>
      </w:r>
      <w:r w:rsidR="00197953">
        <w:rPr>
          <w:rFonts w:ascii="Arial" w:hAnsi="Arial" w:cs="Arial"/>
          <w:lang w:val="en-US"/>
        </w:rPr>
        <w:t xml:space="preserve"> </w:t>
      </w:r>
      <w:r w:rsidR="00B66B6C">
        <w:rPr>
          <w:rFonts w:ascii="Arial" w:hAnsi="Arial" w:cs="Arial"/>
          <w:lang w:val="en-US"/>
        </w:rPr>
        <w:t>on appeal</w:t>
      </w:r>
      <w:r w:rsidR="00CB2578">
        <w:rPr>
          <w:rFonts w:ascii="Arial" w:hAnsi="Arial" w:cs="Arial"/>
          <w:lang w:val="en-US"/>
        </w:rPr>
        <w:t xml:space="preserve">, </w:t>
      </w:r>
      <w:r w:rsidR="00197953">
        <w:rPr>
          <w:rFonts w:ascii="Arial" w:hAnsi="Arial" w:cs="Arial"/>
          <w:lang w:val="en-US"/>
        </w:rPr>
        <w:t xml:space="preserve">on a legal and factual basis that </w:t>
      </w:r>
      <w:r w:rsidR="00B66B6C">
        <w:rPr>
          <w:rFonts w:ascii="Arial" w:hAnsi="Arial" w:cs="Arial"/>
          <w:lang w:val="en-US"/>
        </w:rPr>
        <w:t xml:space="preserve">did not </w:t>
      </w:r>
      <w:r w:rsidR="00197953">
        <w:rPr>
          <w:rFonts w:ascii="Arial" w:hAnsi="Arial" w:cs="Arial"/>
          <w:lang w:val="en-US"/>
        </w:rPr>
        <w:t xml:space="preserve">form </w:t>
      </w:r>
      <w:r w:rsidR="00E708B7">
        <w:rPr>
          <w:rFonts w:ascii="Arial" w:hAnsi="Arial" w:cs="Arial"/>
          <w:lang w:val="en-US"/>
        </w:rPr>
        <w:t>the basis</w:t>
      </w:r>
      <w:r w:rsidR="00197953">
        <w:rPr>
          <w:rFonts w:ascii="Arial" w:hAnsi="Arial" w:cs="Arial"/>
          <w:lang w:val="en-US"/>
        </w:rPr>
        <w:t xml:space="preserve"> </w:t>
      </w:r>
      <w:r w:rsidR="00CB221C">
        <w:rPr>
          <w:rFonts w:ascii="Arial" w:hAnsi="Arial" w:cs="Arial"/>
          <w:lang w:val="en-US"/>
        </w:rPr>
        <w:t>of or</w:t>
      </w:r>
      <w:r w:rsidR="004D507A">
        <w:rPr>
          <w:rFonts w:ascii="Arial" w:hAnsi="Arial" w:cs="Arial"/>
          <w:lang w:val="en-US"/>
        </w:rPr>
        <w:t xml:space="preserve"> underpin</w:t>
      </w:r>
      <w:r w:rsidR="00197953">
        <w:rPr>
          <w:rFonts w:ascii="Arial" w:hAnsi="Arial" w:cs="Arial"/>
          <w:lang w:val="en-US"/>
        </w:rPr>
        <w:t xml:space="preserve"> </w:t>
      </w:r>
      <w:r w:rsidR="00075B95">
        <w:rPr>
          <w:rFonts w:ascii="Arial" w:hAnsi="Arial" w:cs="Arial"/>
          <w:lang w:val="en-US"/>
        </w:rPr>
        <w:t>the assessment</w:t>
      </w:r>
      <w:r w:rsidR="00715E06">
        <w:rPr>
          <w:rFonts w:ascii="Arial" w:hAnsi="Arial" w:cs="Arial"/>
          <w:lang w:val="en-US"/>
        </w:rPr>
        <w:t xml:space="preserve"> it levied</w:t>
      </w:r>
      <w:r w:rsidR="00197953">
        <w:rPr>
          <w:rFonts w:ascii="Arial" w:hAnsi="Arial" w:cs="Arial"/>
          <w:lang w:val="en-US"/>
        </w:rPr>
        <w:t xml:space="preserve">. It certainly does not place SARS in a better position than the </w:t>
      </w:r>
      <w:r w:rsidR="00075B95">
        <w:rPr>
          <w:rFonts w:ascii="Arial" w:hAnsi="Arial" w:cs="Arial"/>
          <w:lang w:val="en-US"/>
        </w:rPr>
        <w:t>taxpayer or</w:t>
      </w:r>
      <w:r w:rsidR="00715E06">
        <w:rPr>
          <w:rFonts w:ascii="Arial" w:hAnsi="Arial" w:cs="Arial"/>
          <w:lang w:val="en-US"/>
        </w:rPr>
        <w:t xml:space="preserve"> grant it an unfettered right to raise new grounds of assessment on appeal.</w:t>
      </w:r>
      <w:r w:rsidR="00CF25B9">
        <w:rPr>
          <w:rFonts w:ascii="Arial" w:hAnsi="Arial" w:cs="Arial"/>
          <w:lang w:val="en-US"/>
        </w:rPr>
        <w:t xml:space="preserve">  </w:t>
      </w:r>
    </w:p>
    <w:p w14:paraId="489AA1FA" w14:textId="77777777" w:rsidR="007A1AA8" w:rsidRDefault="007A1AA8" w:rsidP="002044ED">
      <w:pPr>
        <w:spacing w:line="480" w:lineRule="auto"/>
        <w:jc w:val="both"/>
        <w:rPr>
          <w:rFonts w:ascii="Arial" w:hAnsi="Arial" w:cs="Arial"/>
          <w:lang w:val="en-US"/>
        </w:rPr>
      </w:pPr>
    </w:p>
    <w:p w14:paraId="4F36EC6D" w14:textId="4C8BFA59" w:rsidR="002B4E3B" w:rsidRDefault="007A1AA8" w:rsidP="002044ED">
      <w:pPr>
        <w:spacing w:line="480" w:lineRule="auto"/>
        <w:jc w:val="both"/>
        <w:rPr>
          <w:rFonts w:ascii="Arial" w:hAnsi="Arial" w:cs="Arial"/>
          <w:lang w:val="en-US"/>
        </w:rPr>
      </w:pPr>
      <w:r>
        <w:rPr>
          <w:rFonts w:ascii="Arial" w:hAnsi="Arial" w:cs="Arial"/>
          <w:lang w:val="en-US"/>
        </w:rPr>
        <w:t>[8</w:t>
      </w:r>
      <w:r w:rsidR="00B66B6C">
        <w:rPr>
          <w:rFonts w:ascii="Arial" w:hAnsi="Arial" w:cs="Arial"/>
          <w:lang w:val="en-US"/>
        </w:rPr>
        <w:t>2</w:t>
      </w:r>
      <w:r>
        <w:rPr>
          <w:rFonts w:ascii="Arial" w:hAnsi="Arial" w:cs="Arial"/>
          <w:lang w:val="en-US"/>
        </w:rPr>
        <w:t>]</w:t>
      </w:r>
      <w:r>
        <w:rPr>
          <w:rFonts w:ascii="Arial" w:hAnsi="Arial" w:cs="Arial"/>
          <w:lang w:val="en-US"/>
        </w:rPr>
        <w:tab/>
      </w:r>
      <w:r w:rsidR="00197953">
        <w:rPr>
          <w:rFonts w:ascii="Arial" w:hAnsi="Arial" w:cs="Arial"/>
          <w:lang w:val="en-US"/>
        </w:rPr>
        <w:t xml:space="preserve">This </w:t>
      </w:r>
      <w:r w:rsidR="00CB2578">
        <w:rPr>
          <w:rFonts w:ascii="Arial" w:hAnsi="Arial" w:cs="Arial"/>
          <w:lang w:val="en-US"/>
        </w:rPr>
        <w:t>harmonizes</w:t>
      </w:r>
      <w:r w:rsidR="00197953">
        <w:rPr>
          <w:rFonts w:ascii="Arial" w:hAnsi="Arial" w:cs="Arial"/>
          <w:lang w:val="en-US"/>
        </w:rPr>
        <w:t xml:space="preserve"> with the overall interpretation </w:t>
      </w:r>
      <w:r w:rsidR="00075B95">
        <w:rPr>
          <w:rFonts w:ascii="Arial" w:hAnsi="Arial" w:cs="Arial"/>
          <w:lang w:val="en-US"/>
        </w:rPr>
        <w:t>set</w:t>
      </w:r>
      <w:r w:rsidR="00197953">
        <w:rPr>
          <w:rFonts w:ascii="Arial" w:hAnsi="Arial" w:cs="Arial"/>
          <w:lang w:val="en-US"/>
        </w:rPr>
        <w:t xml:space="preserve"> out above</w:t>
      </w:r>
      <w:r w:rsidR="0030769E">
        <w:rPr>
          <w:rFonts w:ascii="Arial" w:hAnsi="Arial" w:cs="Arial"/>
          <w:lang w:val="en-US"/>
        </w:rPr>
        <w:t>,</w:t>
      </w:r>
      <w:r w:rsidR="00197953">
        <w:rPr>
          <w:rFonts w:ascii="Arial" w:hAnsi="Arial" w:cs="Arial"/>
          <w:lang w:val="en-US"/>
        </w:rPr>
        <w:t xml:space="preserve"> that </w:t>
      </w:r>
      <w:r w:rsidR="00B66B6C">
        <w:rPr>
          <w:rFonts w:ascii="Arial" w:hAnsi="Arial" w:cs="Arial"/>
          <w:lang w:val="en-US"/>
        </w:rPr>
        <w:t>any</w:t>
      </w:r>
      <w:r w:rsidR="00197953">
        <w:rPr>
          <w:rFonts w:ascii="Arial" w:hAnsi="Arial" w:cs="Arial"/>
          <w:lang w:val="en-US"/>
        </w:rPr>
        <w:t xml:space="preserve"> new ground of appeal </w:t>
      </w:r>
      <w:r w:rsidR="00B66B6C">
        <w:rPr>
          <w:rFonts w:ascii="Arial" w:hAnsi="Arial" w:cs="Arial"/>
          <w:lang w:val="en-US"/>
        </w:rPr>
        <w:t xml:space="preserve">which is raised by the taxpayer </w:t>
      </w:r>
      <w:r w:rsidR="00197953">
        <w:rPr>
          <w:rFonts w:ascii="Arial" w:hAnsi="Arial" w:cs="Arial"/>
          <w:lang w:val="en-US"/>
        </w:rPr>
        <w:t xml:space="preserve">is restricted to the specific part or amount of the disputed assessment </w:t>
      </w:r>
      <w:r w:rsidR="00B66B6C">
        <w:rPr>
          <w:rFonts w:ascii="Arial" w:hAnsi="Arial" w:cs="Arial"/>
          <w:lang w:val="en-US"/>
        </w:rPr>
        <w:t xml:space="preserve">previously </w:t>
      </w:r>
      <w:r w:rsidR="00197953">
        <w:rPr>
          <w:rFonts w:ascii="Arial" w:hAnsi="Arial" w:cs="Arial"/>
          <w:lang w:val="en-US"/>
        </w:rPr>
        <w:t xml:space="preserve">objected to under rule 7. </w:t>
      </w:r>
    </w:p>
    <w:p w14:paraId="1C99D306" w14:textId="77777777" w:rsidR="002B4E3B" w:rsidRDefault="002B4E3B" w:rsidP="002044ED">
      <w:pPr>
        <w:spacing w:line="480" w:lineRule="auto"/>
        <w:jc w:val="both"/>
        <w:rPr>
          <w:rFonts w:ascii="Arial" w:hAnsi="Arial" w:cs="Arial"/>
          <w:lang w:val="en-US"/>
        </w:rPr>
      </w:pPr>
    </w:p>
    <w:p w14:paraId="575E920E" w14:textId="79F3946A" w:rsidR="00E24F19" w:rsidRDefault="002B4E3B" w:rsidP="002B4E3B">
      <w:pPr>
        <w:spacing w:line="480" w:lineRule="auto"/>
        <w:jc w:val="both"/>
        <w:rPr>
          <w:rFonts w:ascii="Arial" w:hAnsi="Arial" w:cs="Arial"/>
          <w:lang w:val="en-US"/>
        </w:rPr>
      </w:pPr>
      <w:r>
        <w:rPr>
          <w:rFonts w:ascii="Arial" w:hAnsi="Arial" w:cs="Arial"/>
          <w:lang w:val="en-US"/>
        </w:rPr>
        <w:t>[8</w:t>
      </w:r>
      <w:r w:rsidR="00B66B6C">
        <w:rPr>
          <w:rFonts w:ascii="Arial" w:hAnsi="Arial" w:cs="Arial"/>
          <w:lang w:val="en-US"/>
        </w:rPr>
        <w:t>3</w:t>
      </w:r>
      <w:r>
        <w:rPr>
          <w:rFonts w:ascii="Arial" w:hAnsi="Arial" w:cs="Arial"/>
          <w:lang w:val="en-US"/>
        </w:rPr>
        <w:t>]</w:t>
      </w:r>
      <w:r>
        <w:rPr>
          <w:rFonts w:ascii="Arial" w:hAnsi="Arial" w:cs="Arial"/>
          <w:lang w:val="en-US"/>
        </w:rPr>
        <w:tab/>
      </w:r>
      <w:r w:rsidR="00CB2578">
        <w:rPr>
          <w:rFonts w:ascii="Arial" w:hAnsi="Arial" w:cs="Arial"/>
          <w:lang w:val="en-US"/>
        </w:rPr>
        <w:t>I</w:t>
      </w:r>
      <w:r w:rsidR="00197953">
        <w:rPr>
          <w:rFonts w:ascii="Arial" w:hAnsi="Arial" w:cs="Arial"/>
          <w:lang w:val="en-US"/>
        </w:rPr>
        <w:t xml:space="preserve">f rule 32(3) should be interpreted to grant a taxpayer an unrestricted right to raise </w:t>
      </w:r>
      <w:r w:rsidR="00197953" w:rsidRPr="009968DD">
        <w:rPr>
          <w:rFonts w:ascii="Arial" w:hAnsi="Arial" w:cs="Arial"/>
          <w:i/>
          <w:iCs/>
          <w:lang w:val="en-US"/>
        </w:rPr>
        <w:t>any</w:t>
      </w:r>
      <w:r w:rsidR="00197953">
        <w:rPr>
          <w:rFonts w:ascii="Arial" w:hAnsi="Arial" w:cs="Arial"/>
          <w:lang w:val="en-US"/>
        </w:rPr>
        <w:t xml:space="preserve"> new ground of appeal</w:t>
      </w:r>
      <w:r w:rsidR="00CB2578">
        <w:rPr>
          <w:rFonts w:ascii="Arial" w:hAnsi="Arial" w:cs="Arial"/>
          <w:lang w:val="en-US"/>
        </w:rPr>
        <w:t xml:space="preserve">, even </w:t>
      </w:r>
      <w:r w:rsidR="009968DD">
        <w:rPr>
          <w:rFonts w:ascii="Arial" w:hAnsi="Arial" w:cs="Arial"/>
          <w:lang w:val="en-US"/>
        </w:rPr>
        <w:t xml:space="preserve">one </w:t>
      </w:r>
      <w:r w:rsidR="00197953">
        <w:rPr>
          <w:rFonts w:ascii="Arial" w:hAnsi="Arial" w:cs="Arial"/>
          <w:lang w:val="en-US"/>
        </w:rPr>
        <w:t xml:space="preserve">not originally </w:t>
      </w:r>
      <w:r w:rsidR="00B66B6C">
        <w:rPr>
          <w:rFonts w:ascii="Arial" w:hAnsi="Arial" w:cs="Arial"/>
          <w:lang w:val="en-US"/>
        </w:rPr>
        <w:t>noted as a ground</w:t>
      </w:r>
      <w:r w:rsidR="00197953">
        <w:rPr>
          <w:rFonts w:ascii="Arial" w:hAnsi="Arial" w:cs="Arial"/>
          <w:lang w:val="en-US"/>
        </w:rPr>
        <w:t xml:space="preserve"> in </w:t>
      </w:r>
      <w:r w:rsidR="00CB2578">
        <w:rPr>
          <w:rFonts w:ascii="Arial" w:hAnsi="Arial" w:cs="Arial"/>
          <w:lang w:val="en-US"/>
        </w:rPr>
        <w:t>its</w:t>
      </w:r>
      <w:r w:rsidR="00197953">
        <w:rPr>
          <w:rFonts w:ascii="Arial" w:hAnsi="Arial" w:cs="Arial"/>
          <w:lang w:val="en-US"/>
        </w:rPr>
        <w:t xml:space="preserve"> rule 7 grounds of objection, SARS will </w:t>
      </w:r>
      <w:r w:rsidR="005D3B93">
        <w:rPr>
          <w:rFonts w:ascii="Arial" w:hAnsi="Arial" w:cs="Arial"/>
          <w:lang w:val="en-US"/>
        </w:rPr>
        <w:t xml:space="preserve">in turn </w:t>
      </w:r>
      <w:r w:rsidR="00197953">
        <w:rPr>
          <w:rFonts w:ascii="Arial" w:hAnsi="Arial" w:cs="Arial"/>
          <w:lang w:val="en-US"/>
        </w:rPr>
        <w:t>be prejudiced and not be in an equivalent position to that of the taxpayer</w:t>
      </w:r>
      <w:r w:rsidR="00166A08">
        <w:rPr>
          <w:rFonts w:ascii="Arial" w:hAnsi="Arial" w:cs="Arial"/>
          <w:lang w:val="en-US"/>
        </w:rPr>
        <w:t xml:space="preserve">. As </w:t>
      </w:r>
      <w:r w:rsidR="00197953">
        <w:rPr>
          <w:rFonts w:ascii="Arial" w:hAnsi="Arial" w:cs="Arial"/>
          <w:lang w:val="en-US"/>
        </w:rPr>
        <w:t>Corbett JA said</w:t>
      </w:r>
      <w:r w:rsidR="00663F2F">
        <w:rPr>
          <w:rFonts w:ascii="Arial" w:hAnsi="Arial" w:cs="Arial"/>
          <w:lang w:val="en-US"/>
        </w:rPr>
        <w:t xml:space="preserve"> </w:t>
      </w:r>
      <w:r w:rsidR="00197953">
        <w:rPr>
          <w:rFonts w:ascii="Arial" w:hAnsi="Arial" w:cs="Arial"/>
          <w:lang w:val="en-US"/>
        </w:rPr>
        <w:t xml:space="preserve">in </w:t>
      </w:r>
      <w:r w:rsidR="00197953" w:rsidRPr="008409D5">
        <w:rPr>
          <w:rFonts w:ascii="Arial" w:hAnsi="Arial" w:cs="Arial"/>
          <w:i/>
          <w:lang w:val="en-US"/>
        </w:rPr>
        <w:t>Matla</w:t>
      </w:r>
      <w:r w:rsidR="00197953">
        <w:rPr>
          <w:rStyle w:val="FootnoteReference"/>
          <w:rFonts w:ascii="Arial" w:hAnsi="Arial" w:cs="Arial"/>
          <w:lang w:val="en-US"/>
        </w:rPr>
        <w:footnoteReference w:id="27"/>
      </w:r>
      <w:r w:rsidR="004D507A">
        <w:rPr>
          <w:rFonts w:ascii="Arial" w:hAnsi="Arial" w:cs="Arial"/>
          <w:lang w:val="en-US"/>
        </w:rPr>
        <w:t>(during the ‘no rules’ period),</w:t>
      </w:r>
      <w:r w:rsidR="00197953">
        <w:rPr>
          <w:rFonts w:ascii="Arial" w:hAnsi="Arial" w:cs="Arial"/>
          <w:lang w:val="en-US"/>
        </w:rPr>
        <w:t xml:space="preserve"> </w:t>
      </w:r>
      <w:r w:rsidR="00E24F19">
        <w:rPr>
          <w:rFonts w:ascii="Arial" w:hAnsi="Arial" w:cs="Arial"/>
          <w:lang w:val="en-US"/>
        </w:rPr>
        <w:t xml:space="preserve">in relation to a predecessor provision in the ITA which provided that in an appeal against the disallowance of an objection the taxpayer was limited to the grounds raised in its notice of objection: </w:t>
      </w:r>
    </w:p>
    <w:p w14:paraId="3A6040C3" w14:textId="2CF7577A" w:rsidR="00CB2578" w:rsidRDefault="00C44DFC" w:rsidP="003E6440">
      <w:pPr>
        <w:jc w:val="both"/>
        <w:rPr>
          <w:rFonts w:ascii="Arial" w:hAnsi="Arial" w:cs="Arial"/>
          <w:lang w:val="en-US"/>
        </w:rPr>
      </w:pPr>
      <w:r w:rsidRPr="00E24F19">
        <w:rPr>
          <w:rFonts w:ascii="Arial" w:hAnsi="Arial" w:cs="Arial"/>
          <w:sz w:val="20"/>
          <w:szCs w:val="20"/>
          <w:lang w:val="en-US"/>
        </w:rPr>
        <w:t>‘</w:t>
      </w:r>
      <w:r w:rsidR="00197953" w:rsidRPr="00E24F19">
        <w:rPr>
          <w:rFonts w:ascii="Arial" w:hAnsi="Arial" w:cs="Arial"/>
          <w:i/>
          <w:iCs/>
          <w:sz w:val="20"/>
          <w:szCs w:val="20"/>
          <w:lang w:val="en-US"/>
        </w:rPr>
        <w:t>It is naturally important the provisions of s</w:t>
      </w:r>
      <w:r w:rsidR="00166A08" w:rsidRPr="00E24F19">
        <w:rPr>
          <w:rFonts w:ascii="Arial" w:hAnsi="Arial" w:cs="Arial"/>
          <w:i/>
          <w:iCs/>
          <w:sz w:val="20"/>
          <w:szCs w:val="20"/>
          <w:lang w:val="en-US"/>
        </w:rPr>
        <w:t xml:space="preserve"> </w:t>
      </w:r>
      <w:r w:rsidR="00197953" w:rsidRPr="00E24F19">
        <w:rPr>
          <w:rFonts w:ascii="Arial" w:hAnsi="Arial" w:cs="Arial"/>
          <w:i/>
          <w:iCs/>
          <w:sz w:val="20"/>
          <w:szCs w:val="20"/>
          <w:lang w:val="en-US"/>
        </w:rPr>
        <w:t>83(7)</w:t>
      </w:r>
      <w:r w:rsidR="00FC0BFB" w:rsidRPr="00E24F19">
        <w:rPr>
          <w:rFonts w:ascii="Arial" w:hAnsi="Arial" w:cs="Arial"/>
          <w:i/>
          <w:iCs/>
          <w:sz w:val="20"/>
          <w:szCs w:val="20"/>
          <w:lang w:val="en-US"/>
        </w:rPr>
        <w:t>(b)</w:t>
      </w:r>
      <w:r w:rsidR="00197953" w:rsidRPr="00E24F19">
        <w:rPr>
          <w:rFonts w:ascii="Arial" w:hAnsi="Arial" w:cs="Arial"/>
          <w:i/>
          <w:iCs/>
          <w:sz w:val="20"/>
          <w:szCs w:val="20"/>
          <w:lang w:val="en-US"/>
        </w:rPr>
        <w:t xml:space="preserve"> be adhered to, for otherwise the Commissioner may be prejudiced by an appellant shifting the grounds of </w:t>
      </w:r>
      <w:r w:rsidR="00663F2F" w:rsidRPr="00E24F19">
        <w:rPr>
          <w:rFonts w:ascii="Arial" w:hAnsi="Arial" w:cs="Arial"/>
          <w:i/>
          <w:iCs/>
          <w:sz w:val="20"/>
          <w:szCs w:val="20"/>
          <w:lang w:val="en-US"/>
        </w:rPr>
        <w:t>o</w:t>
      </w:r>
      <w:r w:rsidR="00197953" w:rsidRPr="00E24F19">
        <w:rPr>
          <w:rFonts w:ascii="Arial" w:hAnsi="Arial" w:cs="Arial"/>
          <w:i/>
          <w:iCs/>
          <w:sz w:val="20"/>
          <w:szCs w:val="20"/>
          <w:lang w:val="en-US"/>
        </w:rPr>
        <w:t>bjection to the assessment in issue.</w:t>
      </w:r>
      <w:r w:rsidR="00FC0BFB" w:rsidRPr="00E24F19">
        <w:rPr>
          <w:rFonts w:ascii="Arial" w:hAnsi="Arial" w:cs="Arial"/>
          <w:i/>
          <w:iCs/>
          <w:sz w:val="20"/>
          <w:szCs w:val="20"/>
          <w:lang w:val="en-US"/>
        </w:rPr>
        <w:t xml:space="preserve"> . .’</w:t>
      </w:r>
      <w:r w:rsidR="002B4E3B">
        <w:rPr>
          <w:rFonts w:ascii="Arial" w:hAnsi="Arial" w:cs="Arial"/>
          <w:lang w:val="en-US"/>
        </w:rPr>
        <w:t xml:space="preserve">  </w:t>
      </w:r>
    </w:p>
    <w:p w14:paraId="67275C34" w14:textId="77777777" w:rsidR="003E6440" w:rsidRDefault="003E6440" w:rsidP="002B4E3B">
      <w:pPr>
        <w:spacing w:line="480" w:lineRule="auto"/>
        <w:jc w:val="both"/>
        <w:rPr>
          <w:rFonts w:ascii="Arial" w:hAnsi="Arial" w:cs="Arial"/>
          <w:lang w:val="en-US"/>
        </w:rPr>
      </w:pPr>
    </w:p>
    <w:p w14:paraId="48E14C2D" w14:textId="27E3BF1C" w:rsidR="00102870" w:rsidRDefault="00197953" w:rsidP="002B4E3B">
      <w:pPr>
        <w:spacing w:line="480" w:lineRule="auto"/>
        <w:jc w:val="both"/>
        <w:rPr>
          <w:rFonts w:ascii="Arial" w:hAnsi="Arial" w:cs="Arial"/>
          <w:lang w:val="en-US"/>
        </w:rPr>
      </w:pPr>
      <w:r>
        <w:rPr>
          <w:rFonts w:ascii="Arial" w:hAnsi="Arial" w:cs="Arial"/>
          <w:lang w:val="en-US"/>
        </w:rPr>
        <w:t xml:space="preserve">In </w:t>
      </w:r>
      <w:r w:rsidRPr="002B4E3B">
        <w:rPr>
          <w:rFonts w:ascii="Arial" w:hAnsi="Arial" w:cs="Arial"/>
          <w:i/>
          <w:iCs/>
          <w:lang w:val="en-US"/>
        </w:rPr>
        <w:t>HR Computek (Pty) Ltd v The Commissioner for the South African Revenue Service</w:t>
      </w:r>
      <w:r>
        <w:rPr>
          <w:rStyle w:val="FootnoteReference"/>
          <w:rFonts w:ascii="Arial" w:hAnsi="Arial" w:cs="Arial"/>
          <w:lang w:val="en-US"/>
        </w:rPr>
        <w:footnoteReference w:id="28"/>
      </w:r>
      <w:r>
        <w:rPr>
          <w:rFonts w:ascii="Arial" w:hAnsi="Arial" w:cs="Arial"/>
          <w:lang w:val="en-US"/>
        </w:rPr>
        <w:t xml:space="preserve"> Ponnan JA </w:t>
      </w:r>
      <w:r w:rsidR="00E24F19">
        <w:rPr>
          <w:rFonts w:ascii="Arial" w:hAnsi="Arial" w:cs="Arial"/>
          <w:lang w:val="en-US"/>
        </w:rPr>
        <w:t>reiterated this</w:t>
      </w:r>
      <w:r>
        <w:rPr>
          <w:rFonts w:ascii="Arial" w:hAnsi="Arial" w:cs="Arial"/>
          <w:lang w:val="en-US"/>
        </w:rPr>
        <w:t xml:space="preserve"> in </w:t>
      </w:r>
      <w:r w:rsidR="00E24F19">
        <w:rPr>
          <w:rFonts w:ascii="Arial" w:hAnsi="Arial" w:cs="Arial"/>
          <w:lang w:val="en-US"/>
        </w:rPr>
        <w:t>the</w:t>
      </w:r>
      <w:r>
        <w:rPr>
          <w:rFonts w:ascii="Arial" w:hAnsi="Arial" w:cs="Arial"/>
          <w:lang w:val="en-US"/>
        </w:rPr>
        <w:t xml:space="preserve"> context </w:t>
      </w:r>
      <w:r w:rsidR="00E24F19">
        <w:rPr>
          <w:rFonts w:ascii="Arial" w:hAnsi="Arial" w:cs="Arial"/>
          <w:lang w:val="en-US"/>
        </w:rPr>
        <w:t xml:space="preserve">of </w:t>
      </w:r>
      <w:r w:rsidR="008F512F">
        <w:rPr>
          <w:rFonts w:ascii="Arial" w:hAnsi="Arial" w:cs="Arial"/>
          <w:lang w:val="en-US"/>
        </w:rPr>
        <w:t>appeals against revised</w:t>
      </w:r>
      <w:r w:rsidR="00E24F19">
        <w:rPr>
          <w:rFonts w:ascii="Arial" w:hAnsi="Arial" w:cs="Arial"/>
          <w:lang w:val="en-US"/>
        </w:rPr>
        <w:t xml:space="preserve"> VAT assessment</w:t>
      </w:r>
      <w:r w:rsidR="008F512F">
        <w:rPr>
          <w:rFonts w:ascii="Arial" w:hAnsi="Arial" w:cs="Arial"/>
          <w:lang w:val="en-US"/>
        </w:rPr>
        <w:t>s</w:t>
      </w:r>
      <w:r w:rsidR="00E24F19">
        <w:rPr>
          <w:rFonts w:ascii="Arial" w:hAnsi="Arial" w:cs="Arial"/>
          <w:lang w:val="en-US"/>
        </w:rPr>
        <w:t xml:space="preserve"> </w:t>
      </w:r>
      <w:r>
        <w:rPr>
          <w:rFonts w:ascii="Arial" w:hAnsi="Arial" w:cs="Arial"/>
          <w:lang w:val="en-US"/>
        </w:rPr>
        <w:t>where he said</w:t>
      </w:r>
      <w:r w:rsidR="00FC0BFB">
        <w:rPr>
          <w:rFonts w:ascii="Arial" w:hAnsi="Arial" w:cs="Arial"/>
          <w:lang w:val="en-US"/>
        </w:rPr>
        <w:t>:</w:t>
      </w:r>
    </w:p>
    <w:p w14:paraId="391ABB19" w14:textId="1C3F3447" w:rsidR="00197953" w:rsidRPr="003E6440" w:rsidRDefault="00FC0BFB" w:rsidP="00CB2578">
      <w:pPr>
        <w:jc w:val="both"/>
        <w:rPr>
          <w:rFonts w:ascii="Arial" w:hAnsi="Arial" w:cs="Arial"/>
          <w:i/>
          <w:iCs/>
          <w:sz w:val="20"/>
          <w:szCs w:val="20"/>
        </w:rPr>
      </w:pPr>
      <w:r>
        <w:rPr>
          <w:rFonts w:ascii="Arial" w:hAnsi="Arial" w:cs="Arial"/>
          <w:lang w:val="en-US"/>
        </w:rPr>
        <w:t xml:space="preserve"> </w:t>
      </w:r>
      <w:r w:rsidRPr="00102870">
        <w:rPr>
          <w:rFonts w:ascii="Arial" w:hAnsi="Arial" w:cs="Arial"/>
          <w:sz w:val="20"/>
          <w:szCs w:val="20"/>
          <w:lang w:val="en-US"/>
        </w:rPr>
        <w:t>‘</w:t>
      </w:r>
      <w:r w:rsidR="00197953" w:rsidRPr="00102870">
        <w:rPr>
          <w:rFonts w:ascii="Arial" w:hAnsi="Arial" w:cs="Arial"/>
          <w:i/>
          <w:iCs/>
          <w:sz w:val="20"/>
          <w:szCs w:val="20"/>
        </w:rPr>
        <w:t>Here, although we do not have a similar statutory provision to that encountered in </w:t>
      </w:r>
      <w:r w:rsidR="00197953" w:rsidRPr="00E24F19">
        <w:rPr>
          <w:rFonts w:ascii="Arial" w:hAnsi="Arial" w:cs="Arial"/>
          <w:sz w:val="20"/>
          <w:szCs w:val="20"/>
        </w:rPr>
        <w:t>Matla Coal</w:t>
      </w:r>
      <w:r w:rsidR="00197953" w:rsidRPr="00102870">
        <w:rPr>
          <w:rFonts w:ascii="Arial" w:hAnsi="Arial" w:cs="Arial"/>
          <w:i/>
          <w:iCs/>
          <w:sz w:val="20"/>
          <w:szCs w:val="20"/>
        </w:rPr>
        <w:t>, I can conceive of no reason why the principle that is established there should not apply with equal force to an objection and appeal under the VAT Act.</w:t>
      </w:r>
      <w:r w:rsidR="00336633" w:rsidRPr="00102870">
        <w:rPr>
          <w:rFonts w:ascii="Arial" w:hAnsi="Arial" w:cs="Arial"/>
          <w:i/>
          <w:iCs/>
          <w:sz w:val="20"/>
          <w:szCs w:val="20"/>
        </w:rPr>
        <w:t xml:space="preserve"> </w:t>
      </w:r>
      <w:r w:rsidR="00197953" w:rsidRPr="00102870">
        <w:rPr>
          <w:rFonts w:ascii="Arial" w:hAnsi="Arial" w:cs="Arial"/>
          <w:i/>
          <w:iCs/>
          <w:sz w:val="20"/>
          <w:szCs w:val="20"/>
        </w:rPr>
        <w:t>The rationale for such a principle is </w:t>
      </w:r>
      <w:r w:rsidR="00197953" w:rsidRPr="00102870">
        <w:rPr>
          <w:rFonts w:ascii="Arial" w:hAnsi="Arial" w:cs="Arial"/>
          <w:i/>
          <w:iCs/>
          <w:sz w:val="20"/>
          <w:szCs w:val="20"/>
          <w:lang w:val="en-GB"/>
        </w:rPr>
        <w:t>explained</w:t>
      </w:r>
      <w:r w:rsidR="00197953" w:rsidRPr="00102870">
        <w:rPr>
          <w:rFonts w:ascii="Arial" w:hAnsi="Arial" w:cs="Arial"/>
          <w:i/>
          <w:iCs/>
          <w:sz w:val="20"/>
          <w:szCs w:val="20"/>
        </w:rPr>
        <w:t> by </w:t>
      </w:r>
      <w:r w:rsidR="00197953" w:rsidRPr="00102870">
        <w:rPr>
          <w:rFonts w:ascii="Arial" w:hAnsi="Arial" w:cs="Arial"/>
          <w:i/>
          <w:iCs/>
          <w:sz w:val="20"/>
          <w:szCs w:val="20"/>
          <w:lang w:val="en-GB"/>
        </w:rPr>
        <w:t>Cloete JA (</w:t>
      </w:r>
      <w:r w:rsidR="00197953" w:rsidRPr="003E6440">
        <w:rPr>
          <w:rFonts w:ascii="Arial" w:hAnsi="Arial" w:cs="Arial"/>
          <w:sz w:val="20"/>
          <w:szCs w:val="20"/>
          <w:lang w:val="en-GB"/>
        </w:rPr>
        <w:t xml:space="preserve">Commissioner, South African Revenue Service v Brummeria Renaissance (Pty) Ltd &amp; </w:t>
      </w:r>
      <w:r w:rsidR="00E24F19" w:rsidRPr="003E6440">
        <w:rPr>
          <w:rFonts w:ascii="Arial" w:hAnsi="Arial" w:cs="Arial"/>
          <w:sz w:val="20"/>
          <w:szCs w:val="20"/>
          <w:lang w:val="en-GB"/>
        </w:rPr>
        <w:t>O</w:t>
      </w:r>
      <w:r w:rsidR="00197953" w:rsidRPr="003E6440">
        <w:rPr>
          <w:rFonts w:ascii="Arial" w:hAnsi="Arial" w:cs="Arial"/>
          <w:sz w:val="20"/>
          <w:szCs w:val="20"/>
          <w:lang w:val="en-GB"/>
        </w:rPr>
        <w:t>thers</w:t>
      </w:r>
      <w:r w:rsidR="00197953" w:rsidRPr="003E6440">
        <w:rPr>
          <w:rFonts w:ascii="Arial" w:hAnsi="Arial" w:cs="Arial"/>
          <w:sz w:val="20"/>
          <w:szCs w:val="20"/>
        </w:rPr>
        <w:t> </w:t>
      </w:r>
      <w:hyperlink r:id="rId9" w:tooltip="View LawCiteRecord" w:history="1">
        <w:r w:rsidR="00197953" w:rsidRPr="003E6440">
          <w:rPr>
            <w:rStyle w:val="Hyperlink"/>
            <w:rFonts w:ascii="Arial" w:eastAsiaTheme="majorEastAsia" w:hAnsi="Arial" w:cs="Arial"/>
            <w:bCs/>
            <w:color w:val="auto"/>
            <w:sz w:val="20"/>
            <w:szCs w:val="20"/>
            <w:u w:val="none"/>
            <w:lang w:val="en-GB"/>
          </w:rPr>
          <w:t>2007 (6) SA 601</w:t>
        </w:r>
      </w:hyperlink>
      <w:r w:rsidR="00197953" w:rsidRPr="003E6440">
        <w:rPr>
          <w:rFonts w:ascii="Arial" w:hAnsi="Arial" w:cs="Arial"/>
          <w:sz w:val="20"/>
          <w:szCs w:val="20"/>
          <w:lang w:val="en-GB"/>
        </w:rPr>
        <w:t> (SCA) para 26</w:t>
      </w:r>
      <w:r w:rsidR="00197953" w:rsidRPr="003E6440">
        <w:rPr>
          <w:rFonts w:ascii="Arial" w:hAnsi="Arial" w:cs="Arial"/>
          <w:i/>
          <w:iCs/>
          <w:sz w:val="20"/>
          <w:szCs w:val="20"/>
          <w:lang w:val="en-GB"/>
        </w:rPr>
        <w:t>) thus:</w:t>
      </w:r>
    </w:p>
    <w:p w14:paraId="518884C6" w14:textId="60809317" w:rsidR="00197953" w:rsidRPr="00D87D6B" w:rsidRDefault="00FC0BFB" w:rsidP="00CB2578">
      <w:pPr>
        <w:pStyle w:val="western"/>
        <w:shd w:val="clear" w:color="auto" w:fill="FFFFFF"/>
        <w:spacing w:before="144" w:beforeAutospacing="0" w:after="0" w:afterAutospacing="0"/>
        <w:jc w:val="both"/>
        <w:rPr>
          <w:rFonts w:ascii="Arial" w:hAnsi="Arial" w:cs="Arial"/>
          <w:i/>
          <w:iCs/>
          <w:sz w:val="20"/>
          <w:szCs w:val="20"/>
        </w:rPr>
      </w:pPr>
      <w:r w:rsidRPr="003E6440">
        <w:rPr>
          <w:rFonts w:ascii="Arial" w:hAnsi="Arial" w:cs="Arial"/>
          <w:i/>
          <w:iCs/>
          <w:sz w:val="20"/>
          <w:szCs w:val="20"/>
        </w:rPr>
        <w:t>“</w:t>
      </w:r>
      <w:r w:rsidR="00197953" w:rsidRPr="003E6440">
        <w:rPr>
          <w:rFonts w:ascii="Arial" w:hAnsi="Arial" w:cs="Arial"/>
          <w:i/>
          <w:iCs/>
          <w:sz w:val="20"/>
          <w:szCs w:val="20"/>
          <w:lang w:val="en-GB"/>
        </w:rPr>
        <w:t>. . . It is obviously in the public interest that the Commissioner should collect tax that is payable by a taxpayer. But it is also in the public interest that disputes should come to an end – interest reipublicae ut sit finis litium; and it would be unfair to an honest taxpayer if the Commissioner were to be allowed to continue to change the basis upon which the taxpayer were assessed until the Commissioner got it right – memories fade; witnesses become unavailable; documents are lost. That is why s 79(1) seeks to achieve a balance: it allows the Commissioner three years to collect the tax, which the Legislature regarded as a fair period of time; but it does not protect a taxpayer guilty of fraud, misrepresentation or non-disclosure. If either of the Commissioner's arguments were to be upheld, this balance would be unfairly tilted against the honest taxpayer</w:t>
      </w:r>
      <w:r w:rsidR="00197953" w:rsidRPr="00D87D6B">
        <w:rPr>
          <w:rFonts w:ascii="Arial" w:hAnsi="Arial" w:cs="Arial"/>
          <w:i/>
          <w:iCs/>
          <w:sz w:val="20"/>
          <w:szCs w:val="20"/>
          <w:lang w:val="en-GB"/>
        </w:rPr>
        <w:t>.'</w:t>
      </w:r>
    </w:p>
    <w:p w14:paraId="32161738" w14:textId="77777777" w:rsidR="008F512F" w:rsidRDefault="008F512F" w:rsidP="00197953">
      <w:pPr>
        <w:spacing w:line="480" w:lineRule="auto"/>
        <w:jc w:val="both"/>
        <w:rPr>
          <w:rFonts w:ascii="Arial" w:hAnsi="Arial" w:cs="Arial"/>
        </w:rPr>
      </w:pPr>
    </w:p>
    <w:p w14:paraId="7D5A7FD6" w14:textId="030A02B2" w:rsidR="00197953" w:rsidRDefault="008F512F" w:rsidP="00197953">
      <w:pPr>
        <w:spacing w:line="480" w:lineRule="auto"/>
        <w:jc w:val="both"/>
        <w:rPr>
          <w:rFonts w:ascii="Arial" w:hAnsi="Arial" w:cs="Arial"/>
        </w:rPr>
      </w:pPr>
      <w:r>
        <w:rPr>
          <w:rFonts w:ascii="Arial" w:hAnsi="Arial" w:cs="Arial"/>
        </w:rPr>
        <w:t xml:space="preserve">In </w:t>
      </w:r>
      <w:r w:rsidRPr="008F512F">
        <w:rPr>
          <w:rFonts w:ascii="Arial" w:hAnsi="Arial" w:cs="Arial"/>
          <w:i/>
          <w:iCs/>
        </w:rPr>
        <w:t>HR Computek</w:t>
      </w:r>
      <w:r>
        <w:rPr>
          <w:rFonts w:ascii="Arial" w:hAnsi="Arial" w:cs="Arial"/>
        </w:rPr>
        <w:t xml:space="preserve"> the SCA held that, </w:t>
      </w:r>
      <w:r w:rsidRPr="008F512F">
        <w:rPr>
          <w:rFonts w:ascii="Arial" w:hAnsi="Arial" w:cs="Arial"/>
        </w:rPr>
        <w:t xml:space="preserve">having not raised an objection to </w:t>
      </w:r>
      <w:r>
        <w:rPr>
          <w:rFonts w:ascii="Arial" w:hAnsi="Arial" w:cs="Arial"/>
        </w:rPr>
        <w:t>a</w:t>
      </w:r>
      <w:r w:rsidRPr="008F512F">
        <w:rPr>
          <w:rFonts w:ascii="Arial" w:hAnsi="Arial" w:cs="Arial"/>
        </w:rPr>
        <w:t xml:space="preserve"> capital assessment in its notice of objection, the taxpayer was precluded from raising it on appeal before the tax court. </w:t>
      </w:r>
    </w:p>
    <w:p w14:paraId="629D9C68" w14:textId="77777777" w:rsidR="008F512F" w:rsidRPr="0012559F" w:rsidRDefault="008F512F" w:rsidP="00197953">
      <w:pPr>
        <w:spacing w:line="480" w:lineRule="auto"/>
        <w:jc w:val="both"/>
        <w:rPr>
          <w:rFonts w:ascii="Arial" w:hAnsi="Arial" w:cs="Arial"/>
          <w:lang w:val="en-US"/>
        </w:rPr>
      </w:pPr>
    </w:p>
    <w:p w14:paraId="46036B1A" w14:textId="3EBE0857" w:rsidR="00F034C0" w:rsidRDefault="00F62A3C" w:rsidP="00197953">
      <w:pPr>
        <w:spacing w:line="480" w:lineRule="auto"/>
        <w:jc w:val="both"/>
        <w:rPr>
          <w:rFonts w:ascii="Arial" w:hAnsi="Arial" w:cs="Arial"/>
          <w:lang w:val="en-US"/>
        </w:rPr>
      </w:pPr>
      <w:r>
        <w:rPr>
          <w:rFonts w:ascii="Arial" w:hAnsi="Arial" w:cs="Arial"/>
          <w:lang w:val="en-US"/>
        </w:rPr>
        <w:t>[8</w:t>
      </w:r>
      <w:r w:rsidR="00C202A4">
        <w:rPr>
          <w:rFonts w:ascii="Arial" w:hAnsi="Arial" w:cs="Arial"/>
          <w:lang w:val="en-US"/>
        </w:rPr>
        <w:t>4</w:t>
      </w:r>
      <w:r>
        <w:rPr>
          <w:rFonts w:ascii="Arial" w:hAnsi="Arial" w:cs="Arial"/>
          <w:lang w:val="en-US"/>
        </w:rPr>
        <w:t>]</w:t>
      </w:r>
      <w:r>
        <w:rPr>
          <w:rFonts w:ascii="Arial" w:hAnsi="Arial" w:cs="Arial"/>
          <w:lang w:val="en-US"/>
        </w:rPr>
        <w:tab/>
      </w:r>
      <w:r w:rsidR="004D507A">
        <w:rPr>
          <w:rFonts w:ascii="Arial" w:hAnsi="Arial" w:cs="Arial"/>
          <w:lang w:val="en-US"/>
        </w:rPr>
        <w:t>In the same vein</w:t>
      </w:r>
      <w:r w:rsidR="008F512F">
        <w:rPr>
          <w:rFonts w:ascii="Arial" w:hAnsi="Arial" w:cs="Arial"/>
          <w:lang w:val="en-US"/>
        </w:rPr>
        <w:t xml:space="preserve">, we are of the view that the </w:t>
      </w:r>
      <w:r w:rsidR="00197953">
        <w:rPr>
          <w:rFonts w:ascii="Arial" w:hAnsi="Arial" w:cs="Arial"/>
          <w:lang w:val="en-US"/>
        </w:rPr>
        <w:t>provision</w:t>
      </w:r>
      <w:r w:rsidR="008F512F">
        <w:rPr>
          <w:rFonts w:ascii="Arial" w:hAnsi="Arial" w:cs="Arial"/>
          <w:lang w:val="en-US"/>
        </w:rPr>
        <w:t>s</w:t>
      </w:r>
      <w:r w:rsidR="00197953">
        <w:rPr>
          <w:rFonts w:ascii="Arial" w:hAnsi="Arial" w:cs="Arial"/>
          <w:lang w:val="en-US"/>
        </w:rPr>
        <w:t xml:space="preserve"> </w:t>
      </w:r>
      <w:r w:rsidR="008F512F">
        <w:rPr>
          <w:rFonts w:ascii="Arial" w:hAnsi="Arial" w:cs="Arial"/>
          <w:lang w:val="en-US"/>
        </w:rPr>
        <w:t xml:space="preserve">of rule 33 </w:t>
      </w:r>
      <w:r w:rsidR="00197953">
        <w:rPr>
          <w:rFonts w:ascii="Arial" w:hAnsi="Arial" w:cs="Arial"/>
          <w:lang w:val="en-US"/>
        </w:rPr>
        <w:t>similarly cannot come to the aid of the appellant</w:t>
      </w:r>
      <w:r w:rsidR="00A57476">
        <w:rPr>
          <w:rFonts w:ascii="Arial" w:hAnsi="Arial" w:cs="Arial"/>
          <w:lang w:val="en-US"/>
        </w:rPr>
        <w:t>,</w:t>
      </w:r>
      <w:r w:rsidR="00197953">
        <w:rPr>
          <w:rFonts w:ascii="Arial" w:hAnsi="Arial" w:cs="Arial"/>
          <w:lang w:val="en-US"/>
        </w:rPr>
        <w:t xml:space="preserve"> </w:t>
      </w:r>
      <w:r w:rsidR="008F512F">
        <w:rPr>
          <w:rFonts w:ascii="Arial" w:hAnsi="Arial" w:cs="Arial"/>
          <w:lang w:val="en-US"/>
        </w:rPr>
        <w:t xml:space="preserve">in order </w:t>
      </w:r>
      <w:r w:rsidR="00197953">
        <w:rPr>
          <w:rFonts w:ascii="Arial" w:hAnsi="Arial" w:cs="Arial"/>
          <w:lang w:val="en-US"/>
        </w:rPr>
        <w:t>to conclude that rule 32(3) properly interpreted</w:t>
      </w:r>
      <w:r w:rsidR="00A57476">
        <w:rPr>
          <w:rFonts w:ascii="Arial" w:hAnsi="Arial" w:cs="Arial"/>
          <w:lang w:val="en-US"/>
        </w:rPr>
        <w:t>,</w:t>
      </w:r>
      <w:r w:rsidR="00197953">
        <w:rPr>
          <w:rFonts w:ascii="Arial" w:hAnsi="Arial" w:cs="Arial"/>
          <w:lang w:val="en-US"/>
        </w:rPr>
        <w:t xml:space="preserve"> permits a taxpayer to include new grounds of appeal on an unrestricted basis. </w:t>
      </w:r>
    </w:p>
    <w:p w14:paraId="42F84861" w14:textId="77777777" w:rsidR="00F034C0" w:rsidRDefault="00F034C0" w:rsidP="00197953">
      <w:pPr>
        <w:spacing w:line="480" w:lineRule="auto"/>
        <w:jc w:val="both"/>
        <w:rPr>
          <w:rFonts w:ascii="Arial" w:hAnsi="Arial" w:cs="Arial"/>
          <w:lang w:val="en-US"/>
        </w:rPr>
      </w:pPr>
    </w:p>
    <w:p w14:paraId="0789F3BA" w14:textId="343E5049" w:rsidR="00D61EA5" w:rsidRDefault="00F034C0" w:rsidP="00197953">
      <w:pPr>
        <w:spacing w:line="480" w:lineRule="auto"/>
        <w:jc w:val="both"/>
        <w:rPr>
          <w:rFonts w:ascii="Arial" w:hAnsi="Arial" w:cs="Arial"/>
          <w:lang w:val="en-US"/>
        </w:rPr>
      </w:pPr>
      <w:r>
        <w:rPr>
          <w:rFonts w:ascii="Arial" w:hAnsi="Arial" w:cs="Arial"/>
          <w:lang w:val="en-US"/>
        </w:rPr>
        <w:t>[85]</w:t>
      </w:r>
      <w:r>
        <w:rPr>
          <w:rFonts w:ascii="Arial" w:hAnsi="Arial" w:cs="Arial"/>
          <w:lang w:val="en-US"/>
        </w:rPr>
        <w:tab/>
      </w:r>
      <w:r w:rsidR="00197953">
        <w:rPr>
          <w:rFonts w:ascii="Arial" w:hAnsi="Arial" w:cs="Arial"/>
          <w:lang w:val="en-US"/>
        </w:rPr>
        <w:t>Rule 33(1) states that</w:t>
      </w:r>
      <w:r w:rsidR="00A20E9F">
        <w:rPr>
          <w:rFonts w:ascii="Arial" w:hAnsi="Arial" w:cs="Arial"/>
          <w:lang w:val="en-US"/>
        </w:rPr>
        <w:t xml:space="preserve"> </w:t>
      </w:r>
      <w:r w:rsidR="00197953">
        <w:rPr>
          <w:rFonts w:ascii="Arial" w:hAnsi="Arial" w:cs="Arial"/>
          <w:lang w:val="en-US"/>
        </w:rPr>
        <w:t>SARS may</w:t>
      </w:r>
      <w:r>
        <w:rPr>
          <w:rFonts w:ascii="Arial" w:hAnsi="Arial" w:cs="Arial"/>
          <w:lang w:val="en-US"/>
        </w:rPr>
        <w:t>,</w:t>
      </w:r>
      <w:r w:rsidR="00197953">
        <w:rPr>
          <w:rFonts w:ascii="Arial" w:hAnsi="Arial" w:cs="Arial"/>
          <w:lang w:val="en-US"/>
        </w:rPr>
        <w:t xml:space="preserve"> after delivery of the statement of grounds of appeal under rule 32, deliver </w:t>
      </w:r>
      <w:r w:rsidR="008F512F">
        <w:rPr>
          <w:rFonts w:ascii="Arial" w:hAnsi="Arial" w:cs="Arial"/>
          <w:lang w:val="en-US"/>
        </w:rPr>
        <w:t xml:space="preserve">a </w:t>
      </w:r>
      <w:r w:rsidR="00197953">
        <w:rPr>
          <w:rFonts w:ascii="Arial" w:hAnsi="Arial" w:cs="Arial"/>
          <w:lang w:val="en-US"/>
        </w:rPr>
        <w:t xml:space="preserve">reply to the statement within the prescribed </w:t>
      </w:r>
      <w:r>
        <w:rPr>
          <w:rFonts w:ascii="Arial" w:hAnsi="Arial" w:cs="Arial"/>
          <w:lang w:val="en-US"/>
        </w:rPr>
        <w:t>period</w:t>
      </w:r>
      <w:r w:rsidR="00197953">
        <w:rPr>
          <w:rFonts w:ascii="Arial" w:hAnsi="Arial" w:cs="Arial"/>
          <w:lang w:val="en-US"/>
        </w:rPr>
        <w:t xml:space="preserve">. </w:t>
      </w:r>
      <w:r w:rsidR="008F512F">
        <w:rPr>
          <w:rFonts w:ascii="Arial" w:hAnsi="Arial" w:cs="Arial"/>
          <w:lang w:val="en-US"/>
        </w:rPr>
        <w:t>As previously pointed out, r</w:t>
      </w:r>
      <w:r w:rsidR="00197953">
        <w:rPr>
          <w:rFonts w:ascii="Arial" w:hAnsi="Arial" w:cs="Arial"/>
          <w:lang w:val="en-US"/>
        </w:rPr>
        <w:t>ule 33(2)</w:t>
      </w:r>
      <w:r w:rsidR="008F512F">
        <w:rPr>
          <w:rFonts w:ascii="Arial" w:hAnsi="Arial" w:cs="Arial"/>
          <w:lang w:val="en-US"/>
        </w:rPr>
        <w:t xml:space="preserve"> provides that the</w:t>
      </w:r>
      <w:r w:rsidR="00197953" w:rsidRPr="008409D5">
        <w:rPr>
          <w:rFonts w:ascii="Arial" w:hAnsi="Arial" w:cs="Arial"/>
          <w:i/>
          <w:lang w:val="en-US"/>
        </w:rPr>
        <w:t xml:space="preserve"> </w:t>
      </w:r>
      <w:r w:rsidR="008F512F" w:rsidRPr="008F512F">
        <w:rPr>
          <w:rFonts w:ascii="Arial" w:hAnsi="Arial" w:cs="Arial"/>
          <w:iCs/>
          <w:lang w:val="en-US"/>
        </w:rPr>
        <w:t xml:space="preserve">reply </w:t>
      </w:r>
      <w:r w:rsidR="00197953" w:rsidRPr="008F512F">
        <w:rPr>
          <w:rFonts w:ascii="Arial" w:hAnsi="Arial" w:cs="Arial"/>
          <w:iCs/>
          <w:lang w:val="en-US"/>
        </w:rPr>
        <w:t>must set out a</w:t>
      </w:r>
      <w:r w:rsidR="00197953" w:rsidRPr="008409D5">
        <w:rPr>
          <w:rFonts w:ascii="Arial" w:hAnsi="Arial" w:cs="Arial"/>
          <w:i/>
          <w:lang w:val="en-US"/>
        </w:rPr>
        <w:t xml:space="preserve"> </w:t>
      </w:r>
      <w:r w:rsidR="008F512F">
        <w:rPr>
          <w:rFonts w:ascii="Arial" w:hAnsi="Arial" w:cs="Arial"/>
          <w:iCs/>
          <w:lang w:val="en-US"/>
        </w:rPr>
        <w:t>‘</w:t>
      </w:r>
      <w:r w:rsidR="00197953" w:rsidRPr="008F512F">
        <w:rPr>
          <w:rFonts w:ascii="Arial" w:hAnsi="Arial" w:cs="Arial"/>
          <w:iCs/>
          <w:lang w:val="en-US"/>
        </w:rPr>
        <w:t>clear and concise</w:t>
      </w:r>
      <w:r w:rsidR="008F512F">
        <w:rPr>
          <w:rFonts w:ascii="Arial" w:hAnsi="Arial" w:cs="Arial"/>
          <w:iCs/>
          <w:lang w:val="en-US"/>
        </w:rPr>
        <w:t>’</w:t>
      </w:r>
      <w:r w:rsidR="00197953" w:rsidRPr="008409D5">
        <w:rPr>
          <w:rFonts w:ascii="Arial" w:hAnsi="Arial" w:cs="Arial"/>
          <w:i/>
          <w:lang w:val="en-US"/>
        </w:rPr>
        <w:t xml:space="preserve"> </w:t>
      </w:r>
      <w:r w:rsidR="008F512F" w:rsidRPr="008F512F">
        <w:rPr>
          <w:rFonts w:ascii="Arial" w:hAnsi="Arial" w:cs="Arial"/>
          <w:iCs/>
          <w:lang w:val="en-US"/>
        </w:rPr>
        <w:t xml:space="preserve">response </w:t>
      </w:r>
      <w:r w:rsidR="00197953" w:rsidRPr="008F512F">
        <w:rPr>
          <w:rFonts w:ascii="Arial" w:hAnsi="Arial" w:cs="Arial"/>
          <w:iCs/>
          <w:lang w:val="en-US"/>
        </w:rPr>
        <w:t>to any new grounds</w:t>
      </w:r>
      <w:r w:rsidR="008F512F">
        <w:rPr>
          <w:rFonts w:ascii="Arial" w:hAnsi="Arial" w:cs="Arial"/>
          <w:iCs/>
          <w:lang w:val="en-US"/>
        </w:rPr>
        <w:t xml:space="preserve"> which </w:t>
      </w:r>
      <w:r w:rsidR="00FF26CB">
        <w:rPr>
          <w:rFonts w:ascii="Arial" w:hAnsi="Arial" w:cs="Arial"/>
          <w:iCs/>
          <w:lang w:val="en-US"/>
        </w:rPr>
        <w:t>wer</w:t>
      </w:r>
      <w:r w:rsidR="008F512F">
        <w:rPr>
          <w:rFonts w:ascii="Arial" w:hAnsi="Arial" w:cs="Arial"/>
          <w:iCs/>
          <w:lang w:val="en-US"/>
        </w:rPr>
        <w:t>e raised by the appellant taxpayer</w:t>
      </w:r>
      <w:r w:rsidR="00761C3B">
        <w:rPr>
          <w:rFonts w:ascii="Arial" w:hAnsi="Arial" w:cs="Arial"/>
          <w:iCs/>
          <w:lang w:val="en-US"/>
        </w:rPr>
        <w:t xml:space="preserve"> and the ‘</w:t>
      </w:r>
      <w:r w:rsidR="00197953" w:rsidRPr="008F512F">
        <w:rPr>
          <w:rFonts w:ascii="Arial" w:hAnsi="Arial" w:cs="Arial"/>
          <w:iCs/>
          <w:lang w:val="en-US"/>
        </w:rPr>
        <w:t>material facts or applicable law</w:t>
      </w:r>
      <w:r w:rsidR="00761C3B">
        <w:rPr>
          <w:rFonts w:ascii="Arial" w:hAnsi="Arial" w:cs="Arial"/>
          <w:iCs/>
          <w:lang w:val="en-US"/>
        </w:rPr>
        <w:t>’</w:t>
      </w:r>
      <w:r w:rsidR="00197953" w:rsidRPr="008F512F">
        <w:rPr>
          <w:rFonts w:ascii="Arial" w:hAnsi="Arial" w:cs="Arial"/>
          <w:iCs/>
          <w:lang w:val="en-US"/>
        </w:rPr>
        <w:t xml:space="preserve"> </w:t>
      </w:r>
      <w:r w:rsidR="003E6440">
        <w:rPr>
          <w:rFonts w:ascii="Arial" w:hAnsi="Arial" w:cs="Arial"/>
          <w:iCs/>
          <w:lang w:val="en-US"/>
        </w:rPr>
        <w:t xml:space="preserve">it </w:t>
      </w:r>
      <w:r w:rsidR="00197953" w:rsidRPr="008F512F">
        <w:rPr>
          <w:rFonts w:ascii="Arial" w:hAnsi="Arial" w:cs="Arial"/>
          <w:iCs/>
          <w:lang w:val="en-US"/>
        </w:rPr>
        <w:t xml:space="preserve">set out in </w:t>
      </w:r>
      <w:r w:rsidR="00761C3B">
        <w:rPr>
          <w:rFonts w:ascii="Arial" w:hAnsi="Arial" w:cs="Arial"/>
          <w:iCs/>
          <w:lang w:val="en-US"/>
        </w:rPr>
        <w:t>its rule 32</w:t>
      </w:r>
      <w:r w:rsidR="00197953" w:rsidRPr="008F512F">
        <w:rPr>
          <w:rFonts w:ascii="Arial" w:hAnsi="Arial" w:cs="Arial"/>
          <w:iCs/>
          <w:lang w:val="en-US"/>
        </w:rPr>
        <w:t xml:space="preserve"> statement</w:t>
      </w:r>
      <w:r w:rsidR="00A20E9F" w:rsidRPr="008F512F">
        <w:rPr>
          <w:rFonts w:ascii="Arial" w:hAnsi="Arial" w:cs="Arial"/>
          <w:iCs/>
          <w:lang w:val="en-US"/>
        </w:rPr>
        <w:t>.</w:t>
      </w:r>
      <w:r w:rsidR="00D61EA5">
        <w:rPr>
          <w:rFonts w:ascii="Arial" w:hAnsi="Arial" w:cs="Arial"/>
          <w:lang w:val="en-US"/>
        </w:rPr>
        <w:t xml:space="preserve">  </w:t>
      </w:r>
      <w:r w:rsidR="008F512F">
        <w:rPr>
          <w:rFonts w:ascii="Arial" w:hAnsi="Arial" w:cs="Arial"/>
          <w:lang w:val="en-US"/>
        </w:rPr>
        <w:t>In its formulation t</w:t>
      </w:r>
      <w:r w:rsidR="00197953">
        <w:rPr>
          <w:rFonts w:ascii="Arial" w:hAnsi="Arial" w:cs="Arial"/>
          <w:lang w:val="en-US"/>
        </w:rPr>
        <w:t xml:space="preserve">his is </w:t>
      </w:r>
      <w:r w:rsidR="00761C3B">
        <w:rPr>
          <w:rFonts w:ascii="Arial" w:hAnsi="Arial" w:cs="Arial"/>
          <w:lang w:val="en-US"/>
        </w:rPr>
        <w:t xml:space="preserve">clearly </w:t>
      </w:r>
      <w:r w:rsidR="00197953">
        <w:rPr>
          <w:rFonts w:ascii="Arial" w:hAnsi="Arial" w:cs="Arial"/>
          <w:lang w:val="en-US"/>
        </w:rPr>
        <w:t>a</w:t>
      </w:r>
      <w:r w:rsidR="008F512F">
        <w:rPr>
          <w:rFonts w:ascii="Arial" w:hAnsi="Arial" w:cs="Arial"/>
          <w:lang w:val="en-US"/>
        </w:rPr>
        <w:t xml:space="preserve"> </w:t>
      </w:r>
      <w:r w:rsidR="00197953">
        <w:rPr>
          <w:rFonts w:ascii="Arial" w:hAnsi="Arial" w:cs="Arial"/>
          <w:lang w:val="en-US"/>
        </w:rPr>
        <w:t xml:space="preserve">provision </w:t>
      </w:r>
      <w:r w:rsidR="008F512F">
        <w:rPr>
          <w:rFonts w:ascii="Arial" w:hAnsi="Arial" w:cs="Arial"/>
          <w:lang w:val="en-US"/>
        </w:rPr>
        <w:t xml:space="preserve">which is akin </w:t>
      </w:r>
      <w:r w:rsidR="00197953" w:rsidRPr="008A16EB">
        <w:rPr>
          <w:rFonts w:ascii="Arial" w:hAnsi="Arial" w:cs="Arial"/>
          <w:lang w:val="en-US"/>
        </w:rPr>
        <w:t xml:space="preserve">to a </w:t>
      </w:r>
      <w:r w:rsidR="00761C3B">
        <w:rPr>
          <w:rFonts w:ascii="Arial" w:hAnsi="Arial" w:cs="Arial"/>
          <w:lang w:val="en-US"/>
        </w:rPr>
        <w:t>replication</w:t>
      </w:r>
      <w:r w:rsidR="00197953" w:rsidRPr="008A16EB">
        <w:rPr>
          <w:rFonts w:ascii="Arial" w:hAnsi="Arial" w:cs="Arial"/>
          <w:lang w:val="en-US"/>
        </w:rPr>
        <w:t xml:space="preserve"> </w:t>
      </w:r>
      <w:r w:rsidR="005E5021">
        <w:rPr>
          <w:rFonts w:ascii="Arial" w:hAnsi="Arial" w:cs="Arial"/>
          <w:lang w:val="en-US"/>
        </w:rPr>
        <w:t xml:space="preserve">in </w:t>
      </w:r>
      <w:r w:rsidR="00197953" w:rsidRPr="008A16EB">
        <w:rPr>
          <w:rFonts w:ascii="Arial" w:hAnsi="Arial" w:cs="Arial"/>
          <w:lang w:val="en-US"/>
        </w:rPr>
        <w:t>answer</w:t>
      </w:r>
      <w:r w:rsidR="00197953">
        <w:rPr>
          <w:rFonts w:ascii="Arial" w:hAnsi="Arial" w:cs="Arial"/>
          <w:lang w:val="en-US"/>
        </w:rPr>
        <w:t xml:space="preserve"> to </w:t>
      </w:r>
      <w:r w:rsidR="00BB74EB">
        <w:rPr>
          <w:rFonts w:ascii="Arial" w:hAnsi="Arial" w:cs="Arial"/>
          <w:lang w:val="en-US"/>
        </w:rPr>
        <w:t>the</w:t>
      </w:r>
      <w:r w:rsidR="00761C3B">
        <w:rPr>
          <w:rFonts w:ascii="Arial" w:hAnsi="Arial" w:cs="Arial"/>
          <w:lang w:val="en-US"/>
        </w:rPr>
        <w:t xml:space="preserve"> appellant’s stated case on appeal. It allows SARS a right to reply to a </w:t>
      </w:r>
      <w:r w:rsidR="00A20E9F">
        <w:rPr>
          <w:rFonts w:ascii="Arial" w:hAnsi="Arial" w:cs="Arial"/>
          <w:lang w:val="en-US"/>
        </w:rPr>
        <w:t>‘</w:t>
      </w:r>
      <w:r w:rsidR="00197953">
        <w:rPr>
          <w:rFonts w:ascii="Arial" w:hAnsi="Arial" w:cs="Arial"/>
          <w:lang w:val="en-US"/>
        </w:rPr>
        <w:t>new ground</w:t>
      </w:r>
      <w:r w:rsidR="00A20E9F">
        <w:rPr>
          <w:rFonts w:ascii="Arial" w:hAnsi="Arial" w:cs="Arial"/>
          <w:lang w:val="en-US"/>
        </w:rPr>
        <w:t>’</w:t>
      </w:r>
      <w:r w:rsidR="00197953">
        <w:rPr>
          <w:rFonts w:ascii="Arial" w:hAnsi="Arial" w:cs="Arial"/>
          <w:lang w:val="en-US"/>
        </w:rPr>
        <w:t xml:space="preserve"> as contemplated in rule 32(3), under circumstances where the new ground </w:t>
      </w:r>
      <w:r w:rsidR="00BB74EB">
        <w:rPr>
          <w:rFonts w:ascii="Arial" w:hAnsi="Arial" w:cs="Arial"/>
          <w:lang w:val="en-US"/>
        </w:rPr>
        <w:t xml:space="preserve">raised </w:t>
      </w:r>
      <w:r w:rsidR="00FF26CB">
        <w:rPr>
          <w:rFonts w:ascii="Arial" w:hAnsi="Arial" w:cs="Arial"/>
          <w:lang w:val="en-US"/>
        </w:rPr>
        <w:t>is</w:t>
      </w:r>
      <w:r w:rsidR="00197953">
        <w:rPr>
          <w:rFonts w:ascii="Arial" w:hAnsi="Arial" w:cs="Arial"/>
          <w:lang w:val="en-US"/>
        </w:rPr>
        <w:t xml:space="preserve"> </w:t>
      </w:r>
      <w:r w:rsidR="00075B95">
        <w:rPr>
          <w:rFonts w:ascii="Arial" w:hAnsi="Arial" w:cs="Arial"/>
          <w:lang w:val="en-US"/>
        </w:rPr>
        <w:t xml:space="preserve">a </w:t>
      </w:r>
      <w:r w:rsidR="00197953">
        <w:rPr>
          <w:rFonts w:ascii="Arial" w:hAnsi="Arial" w:cs="Arial"/>
          <w:lang w:val="en-US"/>
        </w:rPr>
        <w:t>permissible</w:t>
      </w:r>
      <w:r w:rsidR="00075B95">
        <w:rPr>
          <w:rFonts w:ascii="Arial" w:hAnsi="Arial" w:cs="Arial"/>
          <w:lang w:val="en-US"/>
        </w:rPr>
        <w:t xml:space="preserve"> one</w:t>
      </w:r>
      <w:r w:rsidR="00761C3B">
        <w:rPr>
          <w:rFonts w:ascii="Arial" w:hAnsi="Arial" w:cs="Arial"/>
          <w:lang w:val="en-US"/>
        </w:rPr>
        <w:t>. It does not afford SARS a right to reply to a</w:t>
      </w:r>
      <w:r w:rsidR="00197953">
        <w:rPr>
          <w:rFonts w:ascii="Arial" w:hAnsi="Arial" w:cs="Arial"/>
          <w:lang w:val="en-US"/>
        </w:rPr>
        <w:t xml:space="preserve"> new ground </w:t>
      </w:r>
      <w:r w:rsidR="00761C3B">
        <w:rPr>
          <w:rFonts w:ascii="Arial" w:hAnsi="Arial" w:cs="Arial"/>
          <w:lang w:val="en-US"/>
        </w:rPr>
        <w:t xml:space="preserve">which </w:t>
      </w:r>
      <w:r w:rsidR="00197953">
        <w:rPr>
          <w:rFonts w:ascii="Arial" w:hAnsi="Arial" w:cs="Arial"/>
          <w:lang w:val="en-US"/>
        </w:rPr>
        <w:t>is not permissible</w:t>
      </w:r>
      <w:r w:rsidR="00761C3B">
        <w:rPr>
          <w:rFonts w:ascii="Arial" w:hAnsi="Arial" w:cs="Arial"/>
          <w:lang w:val="en-US"/>
        </w:rPr>
        <w:t xml:space="preserve"> i.e. one which falls outside the bounds of rule 32(3), </w:t>
      </w:r>
      <w:r w:rsidR="00BB74EB">
        <w:rPr>
          <w:rFonts w:ascii="Arial" w:hAnsi="Arial" w:cs="Arial"/>
          <w:lang w:val="en-US"/>
        </w:rPr>
        <w:t>as</w:t>
      </w:r>
      <w:r w:rsidR="00761C3B">
        <w:rPr>
          <w:rFonts w:ascii="Arial" w:hAnsi="Arial" w:cs="Arial"/>
          <w:lang w:val="en-US"/>
        </w:rPr>
        <w:t xml:space="preserve"> it amounts to a ground of objection that was not previously raised</w:t>
      </w:r>
      <w:r w:rsidR="00197953">
        <w:rPr>
          <w:rFonts w:ascii="Arial" w:hAnsi="Arial" w:cs="Arial"/>
          <w:lang w:val="en-US"/>
        </w:rPr>
        <w:t>.</w:t>
      </w:r>
      <w:r w:rsidR="008F676A">
        <w:rPr>
          <w:rFonts w:ascii="Arial" w:hAnsi="Arial" w:cs="Arial"/>
          <w:lang w:val="en-US"/>
        </w:rPr>
        <w:t xml:space="preserve">  </w:t>
      </w:r>
    </w:p>
    <w:p w14:paraId="0D9FE3B1" w14:textId="77777777" w:rsidR="00D61EA5" w:rsidRDefault="00D61EA5" w:rsidP="00197953">
      <w:pPr>
        <w:spacing w:line="480" w:lineRule="auto"/>
        <w:jc w:val="both"/>
        <w:rPr>
          <w:rFonts w:ascii="Arial" w:hAnsi="Arial" w:cs="Arial"/>
          <w:lang w:val="en-US"/>
        </w:rPr>
      </w:pPr>
    </w:p>
    <w:p w14:paraId="1018D803" w14:textId="132323C2" w:rsidR="00197953" w:rsidRPr="00C854AA" w:rsidRDefault="00D61EA5" w:rsidP="00197953">
      <w:pPr>
        <w:spacing w:line="480" w:lineRule="auto"/>
        <w:jc w:val="both"/>
        <w:rPr>
          <w:rFonts w:ascii="Arial" w:hAnsi="Arial" w:cs="Arial"/>
          <w:lang w:val="en-US"/>
        </w:rPr>
      </w:pPr>
      <w:r>
        <w:rPr>
          <w:rFonts w:ascii="Arial" w:hAnsi="Arial" w:cs="Arial"/>
          <w:lang w:val="en-US"/>
        </w:rPr>
        <w:t>[8</w:t>
      </w:r>
      <w:r w:rsidR="00C202A4">
        <w:rPr>
          <w:rFonts w:ascii="Arial" w:hAnsi="Arial" w:cs="Arial"/>
          <w:lang w:val="en-US"/>
        </w:rPr>
        <w:t>6</w:t>
      </w:r>
      <w:r>
        <w:rPr>
          <w:rFonts w:ascii="Arial" w:hAnsi="Arial" w:cs="Arial"/>
          <w:lang w:val="en-US"/>
        </w:rPr>
        <w:t>]</w:t>
      </w:r>
      <w:r>
        <w:rPr>
          <w:rFonts w:ascii="Arial" w:hAnsi="Arial" w:cs="Arial"/>
          <w:lang w:val="en-US"/>
        </w:rPr>
        <w:tab/>
      </w:r>
      <w:r w:rsidR="00CB2578">
        <w:rPr>
          <w:rFonts w:ascii="Arial" w:hAnsi="Arial" w:cs="Arial"/>
          <w:lang w:val="en-US"/>
        </w:rPr>
        <w:t>A</w:t>
      </w:r>
      <w:r w:rsidR="00197953">
        <w:rPr>
          <w:rFonts w:ascii="Arial" w:hAnsi="Arial" w:cs="Arial"/>
          <w:lang w:val="en-US"/>
        </w:rPr>
        <w:t xml:space="preserve">s </w:t>
      </w:r>
      <w:r w:rsidR="00FF26CB">
        <w:rPr>
          <w:rFonts w:ascii="Arial" w:hAnsi="Arial" w:cs="Arial"/>
          <w:lang w:val="en-US"/>
        </w:rPr>
        <w:t xml:space="preserve">we understand it </w:t>
      </w:r>
      <w:r w:rsidR="00197953" w:rsidRPr="008F676A">
        <w:rPr>
          <w:rFonts w:ascii="Arial" w:hAnsi="Arial" w:cs="Arial"/>
          <w:i/>
          <w:iCs/>
          <w:lang w:val="en-US"/>
        </w:rPr>
        <w:t>Matla, HR Computek, ITC 1912</w:t>
      </w:r>
      <w:r w:rsidR="00197953">
        <w:rPr>
          <w:rFonts w:ascii="Arial" w:hAnsi="Arial" w:cs="Arial"/>
          <w:lang w:val="en-US"/>
        </w:rPr>
        <w:t xml:space="preserve"> and </w:t>
      </w:r>
      <w:r w:rsidR="00197953" w:rsidRPr="008F676A">
        <w:rPr>
          <w:rFonts w:ascii="Arial" w:hAnsi="Arial" w:cs="Arial"/>
          <w:i/>
          <w:iCs/>
          <w:lang w:val="en-US"/>
        </w:rPr>
        <w:t>Free State Development Corporation</w:t>
      </w:r>
      <w:r w:rsidR="00197953">
        <w:rPr>
          <w:rFonts w:ascii="Arial" w:hAnsi="Arial" w:cs="Arial"/>
          <w:lang w:val="en-US"/>
        </w:rPr>
        <w:t xml:space="preserve"> </w:t>
      </w:r>
      <w:r w:rsidR="00FF26CB">
        <w:rPr>
          <w:rFonts w:ascii="Arial" w:hAnsi="Arial" w:cs="Arial"/>
          <w:lang w:val="en-US"/>
        </w:rPr>
        <w:t xml:space="preserve">essentially held that </w:t>
      </w:r>
      <w:r w:rsidR="00197953">
        <w:rPr>
          <w:rFonts w:ascii="Arial" w:hAnsi="Arial" w:cs="Arial"/>
          <w:lang w:val="en-US"/>
        </w:rPr>
        <w:t>where a new ground is advanced</w:t>
      </w:r>
      <w:r w:rsidR="00114810">
        <w:rPr>
          <w:rFonts w:ascii="Arial" w:hAnsi="Arial" w:cs="Arial"/>
          <w:lang w:val="en-US"/>
        </w:rPr>
        <w:t xml:space="preserve"> by a taxpayer</w:t>
      </w:r>
      <w:r w:rsidR="00CB2578">
        <w:rPr>
          <w:rFonts w:ascii="Arial" w:hAnsi="Arial" w:cs="Arial"/>
          <w:lang w:val="en-US"/>
        </w:rPr>
        <w:t xml:space="preserve"> on appeal</w:t>
      </w:r>
      <w:r w:rsidR="00197953">
        <w:rPr>
          <w:rFonts w:ascii="Arial" w:hAnsi="Arial" w:cs="Arial"/>
          <w:lang w:val="en-US"/>
        </w:rPr>
        <w:t xml:space="preserve">, </w:t>
      </w:r>
      <w:r w:rsidR="00432410">
        <w:rPr>
          <w:rFonts w:ascii="Arial" w:hAnsi="Arial" w:cs="Arial"/>
          <w:lang w:val="en-US"/>
        </w:rPr>
        <w:t xml:space="preserve">it </w:t>
      </w:r>
      <w:r w:rsidR="00062B01">
        <w:rPr>
          <w:rFonts w:ascii="Arial" w:hAnsi="Arial" w:cs="Arial"/>
          <w:lang w:val="en-US"/>
        </w:rPr>
        <w:t xml:space="preserve">must in substance </w:t>
      </w:r>
      <w:r w:rsidR="00502116">
        <w:rPr>
          <w:rFonts w:ascii="Arial" w:hAnsi="Arial" w:cs="Arial"/>
          <w:lang w:val="en-US"/>
        </w:rPr>
        <w:t xml:space="preserve">still </w:t>
      </w:r>
      <w:r w:rsidR="00FF26CB">
        <w:rPr>
          <w:rFonts w:ascii="Arial" w:hAnsi="Arial" w:cs="Arial"/>
          <w:lang w:val="en-US"/>
        </w:rPr>
        <w:t xml:space="preserve">amount to </w:t>
      </w:r>
      <w:r w:rsidR="00075B95">
        <w:rPr>
          <w:rFonts w:ascii="Arial" w:hAnsi="Arial" w:cs="Arial"/>
          <w:lang w:val="en-US"/>
        </w:rPr>
        <w:t>a/</w:t>
      </w:r>
      <w:r w:rsidR="00260D67">
        <w:rPr>
          <w:rFonts w:ascii="Arial" w:hAnsi="Arial" w:cs="Arial"/>
          <w:lang w:val="en-US"/>
        </w:rPr>
        <w:t>the</w:t>
      </w:r>
      <w:r w:rsidR="00197953">
        <w:rPr>
          <w:rFonts w:ascii="Arial" w:hAnsi="Arial" w:cs="Arial"/>
          <w:lang w:val="en-US"/>
        </w:rPr>
        <w:t xml:space="preserve"> ground</w:t>
      </w:r>
      <w:r w:rsidR="00062B01">
        <w:rPr>
          <w:rFonts w:ascii="Arial" w:hAnsi="Arial" w:cs="Arial"/>
          <w:lang w:val="en-US"/>
        </w:rPr>
        <w:t>(</w:t>
      </w:r>
      <w:r w:rsidR="00432410">
        <w:rPr>
          <w:rFonts w:ascii="Arial" w:hAnsi="Arial" w:cs="Arial"/>
          <w:lang w:val="en-US"/>
        </w:rPr>
        <w:t>s</w:t>
      </w:r>
      <w:r w:rsidR="00062B01">
        <w:rPr>
          <w:rFonts w:ascii="Arial" w:hAnsi="Arial" w:cs="Arial"/>
          <w:lang w:val="en-US"/>
        </w:rPr>
        <w:t>)</w:t>
      </w:r>
      <w:r w:rsidR="00197953">
        <w:rPr>
          <w:rFonts w:ascii="Arial" w:hAnsi="Arial" w:cs="Arial"/>
          <w:lang w:val="en-US"/>
        </w:rPr>
        <w:t xml:space="preserve"> of objection </w:t>
      </w:r>
      <w:r w:rsidR="00432410">
        <w:rPr>
          <w:rFonts w:ascii="Arial" w:hAnsi="Arial" w:cs="Arial"/>
          <w:lang w:val="en-US"/>
        </w:rPr>
        <w:t xml:space="preserve">which </w:t>
      </w:r>
      <w:r w:rsidR="00062B01">
        <w:rPr>
          <w:rFonts w:ascii="Arial" w:hAnsi="Arial" w:cs="Arial"/>
          <w:lang w:val="en-US"/>
        </w:rPr>
        <w:t>was/</w:t>
      </w:r>
      <w:r w:rsidR="00432410">
        <w:rPr>
          <w:rFonts w:ascii="Arial" w:hAnsi="Arial" w:cs="Arial"/>
          <w:lang w:val="en-US"/>
        </w:rPr>
        <w:t xml:space="preserve">were initially </w:t>
      </w:r>
      <w:r w:rsidR="00197953">
        <w:rPr>
          <w:rFonts w:ascii="Arial" w:hAnsi="Arial" w:cs="Arial"/>
          <w:lang w:val="en-US"/>
        </w:rPr>
        <w:t xml:space="preserve">advanced in </w:t>
      </w:r>
      <w:r w:rsidR="00260D67">
        <w:rPr>
          <w:rFonts w:ascii="Arial" w:hAnsi="Arial" w:cs="Arial"/>
          <w:lang w:val="en-US"/>
        </w:rPr>
        <w:t xml:space="preserve">terms of </w:t>
      </w:r>
      <w:r w:rsidR="00197953">
        <w:rPr>
          <w:rFonts w:ascii="Arial" w:hAnsi="Arial" w:cs="Arial"/>
          <w:lang w:val="en-US"/>
        </w:rPr>
        <w:t>rule 7</w:t>
      </w:r>
      <w:r w:rsidR="00432410">
        <w:rPr>
          <w:rFonts w:ascii="Arial" w:hAnsi="Arial" w:cs="Arial"/>
          <w:lang w:val="en-US"/>
        </w:rPr>
        <w:t xml:space="preserve">, </w:t>
      </w:r>
      <w:r w:rsidR="00C854AA">
        <w:rPr>
          <w:rFonts w:ascii="Arial" w:hAnsi="Arial" w:cs="Arial"/>
          <w:lang w:val="en-US"/>
        </w:rPr>
        <w:t>o</w:t>
      </w:r>
      <w:r w:rsidR="00432410">
        <w:rPr>
          <w:rFonts w:ascii="Arial" w:hAnsi="Arial" w:cs="Arial"/>
          <w:lang w:val="en-US"/>
        </w:rPr>
        <w:t>r</w:t>
      </w:r>
      <w:r w:rsidR="00C854AA">
        <w:rPr>
          <w:rFonts w:ascii="Arial" w:hAnsi="Arial" w:cs="Arial"/>
          <w:lang w:val="en-US"/>
        </w:rPr>
        <w:t xml:space="preserve"> it must at least,</w:t>
      </w:r>
      <w:r w:rsidR="00432410">
        <w:rPr>
          <w:rFonts w:ascii="Arial" w:hAnsi="Arial" w:cs="Arial"/>
          <w:lang w:val="en-US"/>
        </w:rPr>
        <w:t xml:space="preserve"> in the word</w:t>
      </w:r>
      <w:r w:rsidR="00C854AA">
        <w:rPr>
          <w:rFonts w:ascii="Arial" w:hAnsi="Arial" w:cs="Arial"/>
          <w:lang w:val="en-US"/>
        </w:rPr>
        <w:t>s</w:t>
      </w:r>
      <w:r w:rsidR="00432410">
        <w:rPr>
          <w:rFonts w:ascii="Arial" w:hAnsi="Arial" w:cs="Arial"/>
          <w:lang w:val="en-US"/>
        </w:rPr>
        <w:t xml:space="preserve"> of </w:t>
      </w:r>
      <w:r w:rsidR="00C854AA">
        <w:rPr>
          <w:rFonts w:ascii="Arial" w:hAnsi="Arial" w:cs="Arial"/>
          <w:lang w:val="en-US"/>
        </w:rPr>
        <w:t xml:space="preserve">Weiner JA in </w:t>
      </w:r>
      <w:r w:rsidR="00C854AA" w:rsidRPr="00C854AA">
        <w:rPr>
          <w:rFonts w:ascii="Arial" w:hAnsi="Arial" w:cs="Arial"/>
          <w:i/>
          <w:iCs/>
          <w:lang w:val="en-US"/>
        </w:rPr>
        <w:t xml:space="preserve">Free </w:t>
      </w:r>
      <w:r w:rsidR="00432410" w:rsidRPr="00C854AA">
        <w:rPr>
          <w:rFonts w:ascii="Arial" w:hAnsi="Arial" w:cs="Arial"/>
          <w:i/>
          <w:iCs/>
          <w:lang w:val="en-US"/>
        </w:rPr>
        <w:t>State Development</w:t>
      </w:r>
      <w:r w:rsidR="00C854AA">
        <w:rPr>
          <w:rFonts w:ascii="Arial" w:hAnsi="Arial" w:cs="Arial"/>
          <w:i/>
          <w:iCs/>
          <w:lang w:val="en-US"/>
        </w:rPr>
        <w:t xml:space="preserve"> </w:t>
      </w:r>
      <w:r w:rsidR="00C854AA">
        <w:rPr>
          <w:rStyle w:val="FootnoteReference"/>
          <w:rFonts w:ascii="Arial" w:hAnsi="Arial" w:cs="Arial"/>
          <w:lang w:val="en-US"/>
        </w:rPr>
        <w:footnoteReference w:id="29"/>
      </w:r>
      <w:r w:rsidR="00C854AA">
        <w:rPr>
          <w:rFonts w:ascii="Arial" w:hAnsi="Arial" w:cs="Arial"/>
          <w:lang w:val="en-US"/>
        </w:rPr>
        <w:t xml:space="preserve"> </w:t>
      </w:r>
      <w:r w:rsidR="00260D67">
        <w:rPr>
          <w:rFonts w:ascii="Arial" w:hAnsi="Arial" w:cs="Arial"/>
          <w:lang w:val="en-US"/>
        </w:rPr>
        <w:t>have been ‘foreshadowed’ in the initial grounds.</w:t>
      </w:r>
      <w:r w:rsidR="00062B01">
        <w:rPr>
          <w:rFonts w:ascii="Arial" w:hAnsi="Arial" w:cs="Arial"/>
          <w:lang w:val="en-US"/>
        </w:rPr>
        <w:t xml:space="preserve"> Ultimately, the test is whether</w:t>
      </w:r>
      <w:r w:rsidR="00075B95">
        <w:rPr>
          <w:rFonts w:ascii="Arial" w:hAnsi="Arial" w:cs="Arial"/>
          <w:lang w:val="en-US"/>
        </w:rPr>
        <w:t xml:space="preserve">, on a proper interpretation </w:t>
      </w:r>
      <w:r w:rsidR="00062B01">
        <w:rPr>
          <w:rFonts w:ascii="Arial" w:hAnsi="Arial" w:cs="Arial"/>
          <w:lang w:val="en-US"/>
        </w:rPr>
        <w:t>the ‘substance of the initial objection covers the (new) point which the appellant wishes to advance on appeal</w:t>
      </w:r>
      <w:r w:rsidR="003E6440">
        <w:rPr>
          <w:rFonts w:ascii="Arial" w:hAnsi="Arial" w:cs="Arial"/>
          <w:lang w:val="en-US"/>
        </w:rPr>
        <w:t>.</w:t>
      </w:r>
      <w:r w:rsidR="00062B01">
        <w:rPr>
          <w:rFonts w:ascii="Arial" w:hAnsi="Arial" w:cs="Arial"/>
          <w:lang w:val="en-US"/>
        </w:rPr>
        <w:t>’</w:t>
      </w:r>
      <w:r w:rsidR="00062B01">
        <w:rPr>
          <w:rStyle w:val="FootnoteReference"/>
          <w:rFonts w:ascii="Arial" w:hAnsi="Arial" w:cs="Arial"/>
          <w:lang w:val="en-US"/>
        </w:rPr>
        <w:footnoteReference w:id="30"/>
      </w:r>
      <w:r w:rsidR="003E6440">
        <w:rPr>
          <w:rFonts w:ascii="Arial" w:hAnsi="Arial" w:cs="Arial"/>
          <w:lang w:val="en-US"/>
        </w:rPr>
        <w:t xml:space="preserve"> In our view, </w:t>
      </w:r>
      <w:r w:rsidR="00075B95">
        <w:rPr>
          <w:rFonts w:ascii="Arial" w:hAnsi="Arial" w:cs="Arial"/>
          <w:lang w:val="en-US"/>
        </w:rPr>
        <w:t xml:space="preserve">and in a nutshell, </w:t>
      </w:r>
      <w:r w:rsidR="003E6440">
        <w:rPr>
          <w:rFonts w:ascii="Arial" w:hAnsi="Arial" w:cs="Arial"/>
          <w:lang w:val="en-US"/>
        </w:rPr>
        <w:t>what subrule 32(3)</w:t>
      </w:r>
      <w:r w:rsidR="00AE2010">
        <w:rPr>
          <w:rFonts w:ascii="Arial" w:hAnsi="Arial" w:cs="Arial"/>
          <w:lang w:val="en-US"/>
        </w:rPr>
        <w:t xml:space="preserve"> </w:t>
      </w:r>
      <w:r w:rsidR="00FF26CB">
        <w:rPr>
          <w:rFonts w:ascii="Arial" w:hAnsi="Arial" w:cs="Arial"/>
          <w:lang w:val="en-US"/>
        </w:rPr>
        <w:t xml:space="preserve">therefore </w:t>
      </w:r>
      <w:r w:rsidR="003E6440">
        <w:rPr>
          <w:rFonts w:ascii="Arial" w:hAnsi="Arial" w:cs="Arial"/>
          <w:lang w:val="en-US"/>
        </w:rPr>
        <w:t xml:space="preserve">effectively permits is the raising of </w:t>
      </w:r>
      <w:r w:rsidR="003E6440" w:rsidRPr="003E6440">
        <w:rPr>
          <w:rFonts w:ascii="Arial" w:hAnsi="Arial" w:cs="Arial"/>
          <w:i/>
          <w:iCs/>
          <w:lang w:val="en-US"/>
        </w:rPr>
        <w:t xml:space="preserve">a </w:t>
      </w:r>
      <w:r w:rsidR="003E6440" w:rsidRPr="00BB74EB">
        <w:rPr>
          <w:rFonts w:ascii="Arial" w:hAnsi="Arial" w:cs="Arial"/>
          <w:i/>
          <w:iCs/>
          <w:lang w:val="en-US"/>
        </w:rPr>
        <w:t xml:space="preserve">new </w:t>
      </w:r>
      <w:r w:rsidR="00B00794">
        <w:rPr>
          <w:rFonts w:ascii="Arial" w:hAnsi="Arial" w:cs="Arial"/>
          <w:i/>
          <w:iCs/>
          <w:lang w:val="en-US"/>
        </w:rPr>
        <w:t xml:space="preserve">reason or </w:t>
      </w:r>
      <w:r w:rsidR="003E6440" w:rsidRPr="00BB74EB">
        <w:rPr>
          <w:rFonts w:ascii="Arial" w:hAnsi="Arial" w:cs="Arial"/>
          <w:i/>
          <w:iCs/>
          <w:lang w:val="en-US"/>
        </w:rPr>
        <w:t>argument on appeal</w:t>
      </w:r>
      <w:r w:rsidR="003E6440" w:rsidRPr="00A84141">
        <w:rPr>
          <w:rFonts w:ascii="Arial" w:hAnsi="Arial" w:cs="Arial"/>
          <w:lang w:val="en-US"/>
        </w:rPr>
        <w:t xml:space="preserve"> </w:t>
      </w:r>
      <w:r w:rsidR="003E6440">
        <w:rPr>
          <w:rFonts w:ascii="Arial" w:hAnsi="Arial" w:cs="Arial"/>
          <w:lang w:val="en-US"/>
        </w:rPr>
        <w:t xml:space="preserve">for why the Commissioner was wrong in </w:t>
      </w:r>
      <w:r w:rsidR="00075B95">
        <w:rPr>
          <w:rFonts w:ascii="Arial" w:hAnsi="Arial" w:cs="Arial"/>
          <w:lang w:val="en-US"/>
        </w:rPr>
        <w:t>disallowing an objection to an</w:t>
      </w:r>
      <w:r w:rsidR="003E6440">
        <w:rPr>
          <w:rFonts w:ascii="Arial" w:hAnsi="Arial" w:cs="Arial"/>
          <w:lang w:val="en-US"/>
        </w:rPr>
        <w:t xml:space="preserve"> assessment</w:t>
      </w:r>
      <w:r w:rsidR="00075B95">
        <w:rPr>
          <w:rFonts w:ascii="Arial" w:hAnsi="Arial" w:cs="Arial"/>
          <w:lang w:val="en-US"/>
        </w:rPr>
        <w:t>,</w:t>
      </w:r>
      <w:r w:rsidR="00BA1819">
        <w:rPr>
          <w:rFonts w:ascii="Arial" w:hAnsi="Arial" w:cs="Arial"/>
          <w:lang w:val="en-US"/>
        </w:rPr>
        <w:t xml:space="preserve"> </w:t>
      </w:r>
      <w:r w:rsidR="003E6440">
        <w:rPr>
          <w:rFonts w:ascii="Arial" w:hAnsi="Arial" w:cs="Arial"/>
          <w:lang w:val="en-US"/>
        </w:rPr>
        <w:t xml:space="preserve">but </w:t>
      </w:r>
      <w:r w:rsidR="00A84141">
        <w:rPr>
          <w:rFonts w:ascii="Arial" w:hAnsi="Arial" w:cs="Arial"/>
          <w:lang w:val="en-US"/>
        </w:rPr>
        <w:t xml:space="preserve">does not permit the raising of </w:t>
      </w:r>
      <w:r w:rsidR="003E6440">
        <w:rPr>
          <w:rFonts w:ascii="Arial" w:hAnsi="Arial" w:cs="Arial"/>
          <w:lang w:val="en-US"/>
        </w:rPr>
        <w:t xml:space="preserve">a </w:t>
      </w:r>
      <w:r w:rsidR="003E6440" w:rsidRPr="00A84141">
        <w:rPr>
          <w:rFonts w:ascii="Arial" w:hAnsi="Arial" w:cs="Arial"/>
          <w:lang w:val="en-US"/>
        </w:rPr>
        <w:t xml:space="preserve">new </w:t>
      </w:r>
      <w:r w:rsidR="00A84141" w:rsidRPr="00A84141">
        <w:rPr>
          <w:rFonts w:ascii="Arial" w:hAnsi="Arial" w:cs="Arial"/>
          <w:lang w:val="en-US"/>
        </w:rPr>
        <w:t xml:space="preserve">factual or legal </w:t>
      </w:r>
      <w:r w:rsidR="003E6440" w:rsidRPr="00A84141">
        <w:rPr>
          <w:rFonts w:ascii="Arial" w:hAnsi="Arial" w:cs="Arial"/>
          <w:lang w:val="en-US"/>
        </w:rPr>
        <w:t>basis for objecting to the assessment</w:t>
      </w:r>
      <w:r w:rsidR="00075B95">
        <w:rPr>
          <w:rFonts w:ascii="Arial" w:hAnsi="Arial" w:cs="Arial"/>
          <w:lang w:val="en-US"/>
        </w:rPr>
        <w:t xml:space="preserve">, which amounts to </w:t>
      </w:r>
      <w:r w:rsidR="00FF26CB" w:rsidRPr="00BB74EB">
        <w:rPr>
          <w:rFonts w:ascii="Arial" w:hAnsi="Arial" w:cs="Arial"/>
          <w:i/>
          <w:iCs/>
          <w:lang w:val="en-US"/>
        </w:rPr>
        <w:t>a new objection</w:t>
      </w:r>
      <w:r w:rsidR="00075B95">
        <w:rPr>
          <w:rFonts w:ascii="Arial" w:hAnsi="Arial" w:cs="Arial"/>
          <w:i/>
          <w:iCs/>
          <w:lang w:val="en-US"/>
        </w:rPr>
        <w:t xml:space="preserve"> </w:t>
      </w:r>
      <w:r w:rsidR="00075B95">
        <w:rPr>
          <w:rFonts w:ascii="Arial" w:hAnsi="Arial" w:cs="Arial"/>
          <w:lang w:val="en-US"/>
        </w:rPr>
        <w:t>to it</w:t>
      </w:r>
      <w:r w:rsidR="00243B49">
        <w:rPr>
          <w:rFonts w:ascii="Arial" w:hAnsi="Arial" w:cs="Arial"/>
          <w:lang w:val="en-US"/>
        </w:rPr>
        <w:t>, which was never raised at the time</w:t>
      </w:r>
      <w:r w:rsidR="00FF26CB">
        <w:rPr>
          <w:rFonts w:ascii="Arial" w:hAnsi="Arial" w:cs="Arial"/>
          <w:lang w:val="en-US"/>
        </w:rPr>
        <w:t>.</w:t>
      </w:r>
      <w:r w:rsidR="003E6440">
        <w:rPr>
          <w:rFonts w:ascii="Arial" w:hAnsi="Arial" w:cs="Arial"/>
          <w:lang w:val="en-US"/>
        </w:rPr>
        <w:t xml:space="preserve">  </w:t>
      </w:r>
      <w:r w:rsidR="00062B01">
        <w:rPr>
          <w:rFonts w:ascii="Arial" w:hAnsi="Arial" w:cs="Arial"/>
          <w:lang w:val="en-US"/>
        </w:rPr>
        <w:t xml:space="preserve"> </w:t>
      </w:r>
    </w:p>
    <w:p w14:paraId="108F93F3" w14:textId="77777777" w:rsidR="00D61EA5" w:rsidRDefault="00D61EA5" w:rsidP="00197953">
      <w:pPr>
        <w:spacing w:line="480" w:lineRule="auto"/>
        <w:jc w:val="both"/>
        <w:rPr>
          <w:rFonts w:ascii="Arial" w:hAnsi="Arial" w:cs="Arial"/>
          <w:lang w:val="en-US"/>
        </w:rPr>
      </w:pPr>
    </w:p>
    <w:p w14:paraId="18D2433D" w14:textId="7801B210" w:rsidR="00D61EA5" w:rsidRDefault="00D61EA5" w:rsidP="00197953">
      <w:pPr>
        <w:spacing w:line="480" w:lineRule="auto"/>
        <w:jc w:val="both"/>
        <w:rPr>
          <w:rFonts w:ascii="Arial" w:hAnsi="Arial" w:cs="Arial"/>
          <w:lang w:val="en-US"/>
        </w:rPr>
      </w:pPr>
      <w:r>
        <w:rPr>
          <w:rFonts w:ascii="Arial" w:hAnsi="Arial" w:cs="Arial"/>
          <w:lang w:val="en-US"/>
        </w:rPr>
        <w:t>[8</w:t>
      </w:r>
      <w:r w:rsidR="008536C9">
        <w:rPr>
          <w:rFonts w:ascii="Arial" w:hAnsi="Arial" w:cs="Arial"/>
          <w:lang w:val="en-US"/>
        </w:rPr>
        <w:t>7</w:t>
      </w:r>
      <w:r>
        <w:rPr>
          <w:rFonts w:ascii="Arial" w:hAnsi="Arial" w:cs="Arial"/>
          <w:lang w:val="en-US"/>
        </w:rPr>
        <w:t>]</w:t>
      </w:r>
      <w:r>
        <w:rPr>
          <w:rFonts w:ascii="Arial" w:hAnsi="Arial" w:cs="Arial"/>
          <w:lang w:val="en-US"/>
        </w:rPr>
        <w:tab/>
      </w:r>
      <w:r w:rsidR="00182610">
        <w:rPr>
          <w:rFonts w:ascii="Arial" w:hAnsi="Arial" w:cs="Arial"/>
          <w:lang w:val="en-US"/>
        </w:rPr>
        <w:t>We</w:t>
      </w:r>
      <w:r w:rsidR="00197953">
        <w:rPr>
          <w:rFonts w:ascii="Arial" w:hAnsi="Arial" w:cs="Arial"/>
          <w:lang w:val="en-US"/>
        </w:rPr>
        <w:t xml:space="preserve"> </w:t>
      </w:r>
      <w:r w:rsidR="00A84141">
        <w:rPr>
          <w:rFonts w:ascii="Arial" w:hAnsi="Arial" w:cs="Arial"/>
          <w:lang w:val="en-US"/>
        </w:rPr>
        <w:t xml:space="preserve">further </w:t>
      </w:r>
      <w:r w:rsidR="00197953">
        <w:rPr>
          <w:rFonts w:ascii="Arial" w:hAnsi="Arial" w:cs="Arial"/>
          <w:lang w:val="en-US"/>
        </w:rPr>
        <w:t xml:space="preserve">do not agree with the appellant’s submission that there is nothing in the language or the structure of the tax appeal process established under </w:t>
      </w:r>
      <w:r w:rsidR="00A84141">
        <w:rPr>
          <w:rFonts w:ascii="Arial" w:hAnsi="Arial" w:cs="Arial"/>
          <w:lang w:val="en-US"/>
        </w:rPr>
        <w:t>either the</w:t>
      </w:r>
      <w:r w:rsidR="00197953">
        <w:rPr>
          <w:rFonts w:ascii="Arial" w:hAnsi="Arial" w:cs="Arial"/>
          <w:lang w:val="en-US"/>
        </w:rPr>
        <w:t xml:space="preserve"> previous </w:t>
      </w:r>
      <w:r w:rsidR="00A84141">
        <w:rPr>
          <w:rFonts w:ascii="Arial" w:hAnsi="Arial" w:cs="Arial"/>
          <w:lang w:val="en-US"/>
        </w:rPr>
        <w:t xml:space="preserve">or the current </w:t>
      </w:r>
      <w:r w:rsidR="00197953">
        <w:rPr>
          <w:rFonts w:ascii="Arial" w:hAnsi="Arial" w:cs="Arial"/>
          <w:lang w:val="en-US"/>
        </w:rPr>
        <w:t>rules to suggest that any distinction should be drawn between grounds that cover</w:t>
      </w:r>
      <w:r w:rsidR="00182610">
        <w:rPr>
          <w:rFonts w:ascii="Arial" w:hAnsi="Arial" w:cs="Arial"/>
          <w:lang w:val="en-US"/>
        </w:rPr>
        <w:t>,</w:t>
      </w:r>
      <w:r w:rsidR="00197953">
        <w:rPr>
          <w:rFonts w:ascii="Arial" w:hAnsi="Arial" w:cs="Arial"/>
          <w:lang w:val="en-US"/>
        </w:rPr>
        <w:t xml:space="preserve"> in substance</w:t>
      </w:r>
      <w:r w:rsidR="00182610">
        <w:rPr>
          <w:rFonts w:ascii="Arial" w:hAnsi="Arial" w:cs="Arial"/>
          <w:lang w:val="en-US"/>
        </w:rPr>
        <w:t>,</w:t>
      </w:r>
      <w:r w:rsidR="00197953">
        <w:rPr>
          <w:rFonts w:ascii="Arial" w:hAnsi="Arial" w:cs="Arial"/>
          <w:lang w:val="en-US"/>
        </w:rPr>
        <w:t xml:space="preserve"> the objection and those that </w:t>
      </w:r>
      <w:r w:rsidR="0048773F">
        <w:rPr>
          <w:rFonts w:ascii="Arial" w:hAnsi="Arial" w:cs="Arial"/>
          <w:lang w:val="en-US"/>
        </w:rPr>
        <w:t>do</w:t>
      </w:r>
      <w:r w:rsidR="00197953">
        <w:rPr>
          <w:rFonts w:ascii="Arial" w:hAnsi="Arial" w:cs="Arial"/>
          <w:lang w:val="en-US"/>
        </w:rPr>
        <w:t xml:space="preserve"> not. This is clearly not what the courts </w:t>
      </w:r>
      <w:r w:rsidR="00A84141">
        <w:rPr>
          <w:rFonts w:ascii="Arial" w:hAnsi="Arial" w:cs="Arial"/>
          <w:lang w:val="en-US"/>
        </w:rPr>
        <w:t>held</w:t>
      </w:r>
      <w:r w:rsidR="00197953">
        <w:rPr>
          <w:rFonts w:ascii="Arial" w:hAnsi="Arial" w:cs="Arial"/>
          <w:lang w:val="en-US"/>
        </w:rPr>
        <w:t xml:space="preserve"> in </w:t>
      </w:r>
      <w:r w:rsidR="00197953" w:rsidRPr="00D61EA5">
        <w:rPr>
          <w:rFonts w:ascii="Arial" w:hAnsi="Arial" w:cs="Arial"/>
          <w:i/>
          <w:iCs/>
          <w:lang w:val="en-US"/>
        </w:rPr>
        <w:t>Matla, ITC 1912, HR Computek</w:t>
      </w:r>
      <w:r w:rsidR="00A20E9F">
        <w:rPr>
          <w:rFonts w:ascii="Arial" w:hAnsi="Arial" w:cs="Arial"/>
          <w:i/>
          <w:iCs/>
          <w:lang w:val="en-US"/>
        </w:rPr>
        <w:t>,</w:t>
      </w:r>
      <w:r w:rsidR="00197953">
        <w:rPr>
          <w:rFonts w:ascii="Arial" w:hAnsi="Arial" w:cs="Arial"/>
          <w:lang w:val="en-US"/>
        </w:rPr>
        <w:t xml:space="preserve"> </w:t>
      </w:r>
      <w:r w:rsidR="00C202A4">
        <w:rPr>
          <w:rFonts w:ascii="Arial" w:hAnsi="Arial" w:cs="Arial"/>
          <w:lang w:val="en-US"/>
        </w:rPr>
        <w:t>and</w:t>
      </w:r>
      <w:r w:rsidR="00197953">
        <w:rPr>
          <w:rFonts w:ascii="Arial" w:hAnsi="Arial" w:cs="Arial"/>
          <w:lang w:val="en-US"/>
        </w:rPr>
        <w:t xml:space="preserve"> </w:t>
      </w:r>
      <w:r w:rsidR="00197953" w:rsidRPr="00D61EA5">
        <w:rPr>
          <w:rFonts w:ascii="Arial" w:hAnsi="Arial" w:cs="Arial"/>
          <w:i/>
          <w:iCs/>
          <w:lang w:val="en-US"/>
        </w:rPr>
        <w:t xml:space="preserve">Free </w:t>
      </w:r>
      <w:r w:rsidR="00E81FFE">
        <w:rPr>
          <w:rFonts w:ascii="Arial" w:hAnsi="Arial" w:cs="Arial"/>
          <w:i/>
          <w:iCs/>
          <w:lang w:val="en-US"/>
        </w:rPr>
        <w:t>S</w:t>
      </w:r>
      <w:r w:rsidR="00197953" w:rsidRPr="00D61EA5">
        <w:rPr>
          <w:rFonts w:ascii="Arial" w:hAnsi="Arial" w:cs="Arial"/>
          <w:i/>
          <w:iCs/>
          <w:lang w:val="en-US"/>
        </w:rPr>
        <w:t>tate Development Corp</w:t>
      </w:r>
      <w:r w:rsidR="00A20E9F">
        <w:rPr>
          <w:rFonts w:ascii="Arial" w:hAnsi="Arial" w:cs="Arial"/>
          <w:i/>
          <w:iCs/>
          <w:lang w:val="en-US"/>
        </w:rPr>
        <w:t>oration</w:t>
      </w:r>
      <w:r w:rsidR="00C202A4">
        <w:rPr>
          <w:rFonts w:ascii="Arial" w:hAnsi="Arial" w:cs="Arial"/>
          <w:i/>
          <w:iCs/>
          <w:lang w:val="en-US"/>
        </w:rPr>
        <w:t>.</w:t>
      </w:r>
      <w:r w:rsidR="00197953">
        <w:rPr>
          <w:rFonts w:ascii="Arial" w:hAnsi="Arial" w:cs="Arial"/>
          <w:lang w:val="en-US"/>
        </w:rPr>
        <w:t xml:space="preserve"> </w:t>
      </w:r>
      <w:r w:rsidR="00182610">
        <w:rPr>
          <w:rFonts w:ascii="Arial" w:hAnsi="Arial" w:cs="Arial"/>
          <w:lang w:val="en-US"/>
        </w:rPr>
        <w:t>T</w:t>
      </w:r>
      <w:r w:rsidR="00197953">
        <w:rPr>
          <w:rFonts w:ascii="Arial" w:hAnsi="Arial" w:cs="Arial"/>
          <w:lang w:val="en-US"/>
        </w:rPr>
        <w:t xml:space="preserve">he last decision </w:t>
      </w:r>
      <w:r w:rsidR="00C202A4">
        <w:rPr>
          <w:rFonts w:ascii="Arial" w:hAnsi="Arial" w:cs="Arial"/>
          <w:lang w:val="en-US"/>
        </w:rPr>
        <w:t xml:space="preserve">illustrates the point we made in the previous paragraph. It </w:t>
      </w:r>
      <w:r w:rsidR="00197953">
        <w:rPr>
          <w:rFonts w:ascii="Arial" w:hAnsi="Arial" w:cs="Arial"/>
          <w:lang w:val="en-US"/>
        </w:rPr>
        <w:t xml:space="preserve">was given in the context of </w:t>
      </w:r>
      <w:r w:rsidR="009A7D2E">
        <w:rPr>
          <w:rFonts w:ascii="Arial" w:hAnsi="Arial" w:cs="Arial"/>
          <w:lang w:val="en-US"/>
        </w:rPr>
        <w:t xml:space="preserve">the filing of </w:t>
      </w:r>
      <w:r w:rsidR="00197953">
        <w:rPr>
          <w:rFonts w:ascii="Arial" w:hAnsi="Arial" w:cs="Arial"/>
          <w:lang w:val="en-US"/>
        </w:rPr>
        <w:t>an amend</w:t>
      </w:r>
      <w:r w:rsidR="009A7D2E">
        <w:rPr>
          <w:rFonts w:ascii="Arial" w:hAnsi="Arial" w:cs="Arial"/>
          <w:lang w:val="en-US"/>
        </w:rPr>
        <w:t>ed statement</w:t>
      </w:r>
      <w:r w:rsidR="00197953">
        <w:rPr>
          <w:rFonts w:ascii="Arial" w:hAnsi="Arial" w:cs="Arial"/>
          <w:lang w:val="en-US"/>
        </w:rPr>
        <w:t xml:space="preserve"> of the </w:t>
      </w:r>
      <w:r w:rsidR="00182610">
        <w:rPr>
          <w:rFonts w:ascii="Arial" w:hAnsi="Arial" w:cs="Arial"/>
          <w:lang w:val="en-US"/>
        </w:rPr>
        <w:t xml:space="preserve">appellant’s </w:t>
      </w:r>
      <w:r w:rsidR="00197953">
        <w:rPr>
          <w:rFonts w:ascii="Arial" w:hAnsi="Arial" w:cs="Arial"/>
          <w:lang w:val="en-US"/>
        </w:rPr>
        <w:t>grounds of appeal</w:t>
      </w:r>
      <w:r w:rsidR="00A20E9F">
        <w:rPr>
          <w:rFonts w:ascii="Arial" w:hAnsi="Arial" w:cs="Arial"/>
          <w:lang w:val="en-US"/>
        </w:rPr>
        <w:t>,</w:t>
      </w:r>
      <w:r w:rsidR="00197953">
        <w:rPr>
          <w:rFonts w:ascii="Arial" w:hAnsi="Arial" w:cs="Arial"/>
          <w:lang w:val="en-US"/>
        </w:rPr>
        <w:t xml:space="preserve"> </w:t>
      </w:r>
      <w:r w:rsidR="009A7D2E">
        <w:rPr>
          <w:rFonts w:ascii="Arial" w:hAnsi="Arial" w:cs="Arial"/>
          <w:lang w:val="en-US"/>
        </w:rPr>
        <w:t>in which</w:t>
      </w:r>
      <w:r w:rsidR="00BA0F48">
        <w:rPr>
          <w:rFonts w:ascii="Arial" w:hAnsi="Arial" w:cs="Arial"/>
          <w:lang w:val="en-US"/>
        </w:rPr>
        <w:t xml:space="preserve"> a</w:t>
      </w:r>
      <w:r w:rsidR="009A7D2E">
        <w:rPr>
          <w:rFonts w:ascii="Arial" w:hAnsi="Arial" w:cs="Arial"/>
          <w:lang w:val="en-US"/>
        </w:rPr>
        <w:t xml:space="preserve"> </w:t>
      </w:r>
      <w:r w:rsidR="00197953">
        <w:rPr>
          <w:rFonts w:ascii="Arial" w:hAnsi="Arial" w:cs="Arial"/>
          <w:lang w:val="en-US"/>
        </w:rPr>
        <w:t>new</w:t>
      </w:r>
      <w:r w:rsidR="00182610">
        <w:rPr>
          <w:rFonts w:ascii="Arial" w:hAnsi="Arial" w:cs="Arial"/>
          <w:lang w:val="en-US"/>
        </w:rPr>
        <w:t xml:space="preserve"> </w:t>
      </w:r>
      <w:r w:rsidR="009A7D2E">
        <w:rPr>
          <w:rFonts w:ascii="Arial" w:hAnsi="Arial" w:cs="Arial"/>
          <w:lang w:val="en-US"/>
        </w:rPr>
        <w:t xml:space="preserve">legal </w:t>
      </w:r>
      <w:r w:rsidR="00197953">
        <w:rPr>
          <w:rFonts w:ascii="Arial" w:hAnsi="Arial" w:cs="Arial"/>
          <w:lang w:val="en-US"/>
        </w:rPr>
        <w:t>ground</w:t>
      </w:r>
      <w:r w:rsidR="009A7D2E">
        <w:rPr>
          <w:rFonts w:ascii="Arial" w:hAnsi="Arial" w:cs="Arial"/>
          <w:lang w:val="en-US"/>
        </w:rPr>
        <w:t xml:space="preserve"> of appeal was advanced</w:t>
      </w:r>
      <w:r w:rsidR="00197953">
        <w:rPr>
          <w:rFonts w:ascii="Arial" w:hAnsi="Arial" w:cs="Arial"/>
          <w:lang w:val="en-US"/>
        </w:rPr>
        <w:t>.</w:t>
      </w:r>
      <w:r w:rsidR="001E1950">
        <w:rPr>
          <w:rFonts w:ascii="Arial" w:hAnsi="Arial" w:cs="Arial"/>
          <w:lang w:val="en-US"/>
        </w:rPr>
        <w:t xml:space="preserve"> In its original rule 32(1) statement the taxpayer’s grounds of appeal were that the Commissioner had erred in levying VAT</w:t>
      </w:r>
      <w:r w:rsidR="00BA0F48">
        <w:rPr>
          <w:rFonts w:ascii="Arial" w:hAnsi="Arial" w:cs="Arial"/>
          <w:lang w:val="en-US"/>
        </w:rPr>
        <w:t>,</w:t>
      </w:r>
      <w:r w:rsidR="001E1950">
        <w:rPr>
          <w:rFonts w:ascii="Arial" w:hAnsi="Arial" w:cs="Arial"/>
          <w:lang w:val="en-US"/>
        </w:rPr>
        <w:t xml:space="preserve"> in </w:t>
      </w:r>
      <w:r w:rsidR="00BA0F48">
        <w:rPr>
          <w:rFonts w:ascii="Arial" w:hAnsi="Arial" w:cs="Arial"/>
          <w:lang w:val="en-US"/>
        </w:rPr>
        <w:t>an</w:t>
      </w:r>
      <w:r w:rsidR="001E1950">
        <w:rPr>
          <w:rFonts w:ascii="Arial" w:hAnsi="Arial" w:cs="Arial"/>
          <w:lang w:val="en-US"/>
        </w:rPr>
        <w:t xml:space="preserve"> assessment, as the services which it supplied were </w:t>
      </w:r>
      <w:r w:rsidR="005E567A">
        <w:rPr>
          <w:rFonts w:ascii="Arial" w:hAnsi="Arial" w:cs="Arial"/>
          <w:lang w:val="en-US"/>
        </w:rPr>
        <w:t xml:space="preserve">not taxable in terms of the VAT Act and were </w:t>
      </w:r>
      <w:r w:rsidR="001E1950">
        <w:rPr>
          <w:rFonts w:ascii="Arial" w:hAnsi="Arial" w:cs="Arial"/>
          <w:lang w:val="en-US"/>
        </w:rPr>
        <w:t>‘zero-rated’</w:t>
      </w:r>
      <w:r w:rsidR="005E567A">
        <w:rPr>
          <w:rFonts w:ascii="Arial" w:hAnsi="Arial" w:cs="Arial"/>
          <w:lang w:val="en-US"/>
        </w:rPr>
        <w:t>,</w:t>
      </w:r>
      <w:r w:rsidR="00BA0F48">
        <w:rPr>
          <w:rFonts w:ascii="Arial" w:hAnsi="Arial" w:cs="Arial"/>
          <w:lang w:val="en-US"/>
        </w:rPr>
        <w:t xml:space="preserve"> </w:t>
      </w:r>
      <w:r w:rsidR="005E567A">
        <w:rPr>
          <w:rFonts w:ascii="Arial" w:hAnsi="Arial" w:cs="Arial"/>
          <w:lang w:val="en-US"/>
        </w:rPr>
        <w:t xml:space="preserve">as </w:t>
      </w:r>
      <w:r w:rsidR="00477189">
        <w:rPr>
          <w:rFonts w:ascii="Arial" w:hAnsi="Arial" w:cs="Arial"/>
          <w:lang w:val="en-US"/>
        </w:rPr>
        <w:t>it</w:t>
      </w:r>
      <w:r w:rsidR="005E567A">
        <w:rPr>
          <w:rFonts w:ascii="Arial" w:hAnsi="Arial" w:cs="Arial"/>
          <w:lang w:val="en-US"/>
        </w:rPr>
        <w:t xml:space="preserve"> was</w:t>
      </w:r>
      <w:r w:rsidR="00BA0F48">
        <w:rPr>
          <w:rFonts w:ascii="Arial" w:hAnsi="Arial" w:cs="Arial"/>
          <w:lang w:val="en-US"/>
        </w:rPr>
        <w:t xml:space="preserve"> merely a conduit for providing state funds for development purposes and had not derived any financial benefit or advantage therefrom. </w:t>
      </w:r>
      <w:r w:rsidR="001E1950">
        <w:rPr>
          <w:rFonts w:ascii="Arial" w:hAnsi="Arial" w:cs="Arial"/>
          <w:lang w:val="en-US"/>
        </w:rPr>
        <w:t xml:space="preserve"> In its reply in terms of rule 33 SARS </w:t>
      </w:r>
      <w:r w:rsidR="00BA0F48">
        <w:rPr>
          <w:rFonts w:ascii="Arial" w:hAnsi="Arial" w:cs="Arial"/>
          <w:lang w:val="en-US"/>
        </w:rPr>
        <w:t>averred that as the appellant was a designated entity in terms of the Act the services it supplied were not ‘zero-rated’</w:t>
      </w:r>
      <w:r w:rsidR="00F817AE">
        <w:rPr>
          <w:rFonts w:ascii="Arial" w:hAnsi="Arial" w:cs="Arial"/>
          <w:lang w:val="en-US"/>
        </w:rPr>
        <w:t xml:space="preserve"> and were taxable</w:t>
      </w:r>
      <w:r w:rsidR="00BA0F48">
        <w:rPr>
          <w:rFonts w:ascii="Arial" w:hAnsi="Arial" w:cs="Arial"/>
          <w:lang w:val="en-US"/>
        </w:rPr>
        <w:t xml:space="preserve">. </w:t>
      </w:r>
      <w:r w:rsidR="001E1950">
        <w:rPr>
          <w:rFonts w:ascii="Arial" w:hAnsi="Arial" w:cs="Arial"/>
          <w:lang w:val="en-US"/>
        </w:rPr>
        <w:t>After it obtained a second legal opinion</w:t>
      </w:r>
      <w:r w:rsidR="00BA0F48">
        <w:rPr>
          <w:rFonts w:ascii="Arial" w:hAnsi="Arial" w:cs="Arial"/>
          <w:lang w:val="en-US"/>
        </w:rPr>
        <w:t xml:space="preserve"> the appellant sought</w:t>
      </w:r>
      <w:r w:rsidR="001E1950">
        <w:rPr>
          <w:rFonts w:ascii="Arial" w:hAnsi="Arial" w:cs="Arial"/>
          <w:lang w:val="en-US"/>
        </w:rPr>
        <w:t xml:space="preserve"> to withdraw </w:t>
      </w:r>
      <w:r w:rsidR="00BB74EB">
        <w:rPr>
          <w:rFonts w:ascii="Arial" w:hAnsi="Arial" w:cs="Arial"/>
          <w:lang w:val="en-US"/>
        </w:rPr>
        <w:t>its rule 32</w:t>
      </w:r>
      <w:r w:rsidR="001E1950">
        <w:rPr>
          <w:rFonts w:ascii="Arial" w:hAnsi="Arial" w:cs="Arial"/>
          <w:lang w:val="en-US"/>
        </w:rPr>
        <w:t xml:space="preserve"> statement and to lodge an amended one in its place, in which it </w:t>
      </w:r>
      <w:r w:rsidR="00BA0F48">
        <w:rPr>
          <w:rFonts w:ascii="Arial" w:hAnsi="Arial" w:cs="Arial"/>
          <w:lang w:val="en-US"/>
        </w:rPr>
        <w:t>conceded</w:t>
      </w:r>
      <w:r w:rsidR="001E1950">
        <w:rPr>
          <w:rFonts w:ascii="Arial" w:hAnsi="Arial" w:cs="Arial"/>
          <w:lang w:val="en-US"/>
        </w:rPr>
        <w:t xml:space="preserve"> the services were not ‘zero-rated’</w:t>
      </w:r>
      <w:r w:rsidR="00BA0F48">
        <w:rPr>
          <w:rFonts w:ascii="Arial" w:hAnsi="Arial" w:cs="Arial"/>
          <w:lang w:val="en-US"/>
        </w:rPr>
        <w:t xml:space="preserve"> but contended, as a</w:t>
      </w:r>
      <w:r w:rsidR="001E1950">
        <w:rPr>
          <w:rFonts w:ascii="Arial" w:hAnsi="Arial" w:cs="Arial"/>
          <w:lang w:val="en-US"/>
        </w:rPr>
        <w:t xml:space="preserve"> </w:t>
      </w:r>
      <w:r w:rsidR="00BA0F48">
        <w:rPr>
          <w:rFonts w:ascii="Arial" w:hAnsi="Arial" w:cs="Arial"/>
          <w:lang w:val="en-US"/>
        </w:rPr>
        <w:t xml:space="preserve">‘new’ </w:t>
      </w:r>
      <w:r w:rsidR="001E1950">
        <w:rPr>
          <w:rFonts w:ascii="Arial" w:hAnsi="Arial" w:cs="Arial"/>
          <w:lang w:val="en-US"/>
        </w:rPr>
        <w:t>ground of appeal</w:t>
      </w:r>
      <w:r w:rsidR="00BA0F48">
        <w:rPr>
          <w:rFonts w:ascii="Arial" w:hAnsi="Arial" w:cs="Arial"/>
          <w:lang w:val="en-US"/>
        </w:rPr>
        <w:t>,</w:t>
      </w:r>
      <w:r w:rsidR="001E1950">
        <w:rPr>
          <w:rFonts w:ascii="Arial" w:hAnsi="Arial" w:cs="Arial"/>
          <w:lang w:val="en-US"/>
        </w:rPr>
        <w:t xml:space="preserve"> that the services were not </w:t>
      </w:r>
      <w:r w:rsidR="00F034C0">
        <w:rPr>
          <w:rFonts w:ascii="Arial" w:hAnsi="Arial" w:cs="Arial"/>
          <w:lang w:val="en-US"/>
        </w:rPr>
        <w:t>taxable</w:t>
      </w:r>
      <w:r w:rsidR="00BA0F48">
        <w:rPr>
          <w:rFonts w:ascii="Arial" w:hAnsi="Arial" w:cs="Arial"/>
          <w:lang w:val="en-US"/>
        </w:rPr>
        <w:t xml:space="preserve"> as they did not fall within the definition of ‘supply’ or ‘deemed supply’</w:t>
      </w:r>
      <w:r w:rsidR="00F817AE" w:rsidRPr="00F817AE">
        <w:rPr>
          <w:rFonts w:ascii="Arial" w:hAnsi="Arial" w:cs="Arial"/>
          <w:lang w:val="en-US"/>
        </w:rPr>
        <w:t xml:space="preserve"> </w:t>
      </w:r>
      <w:r w:rsidR="00F817AE">
        <w:rPr>
          <w:rFonts w:ascii="Arial" w:hAnsi="Arial" w:cs="Arial"/>
          <w:lang w:val="en-US"/>
        </w:rPr>
        <w:t>in terms of the VAT Act</w:t>
      </w:r>
      <w:r w:rsidR="001E1950">
        <w:rPr>
          <w:rFonts w:ascii="Arial" w:hAnsi="Arial" w:cs="Arial"/>
          <w:lang w:val="en-US"/>
        </w:rPr>
        <w:t>.</w:t>
      </w:r>
      <w:r w:rsidR="00BA0F48">
        <w:rPr>
          <w:rFonts w:ascii="Arial" w:hAnsi="Arial" w:cs="Arial"/>
          <w:lang w:val="en-US"/>
        </w:rPr>
        <w:t xml:space="preserve"> The Court </w:t>
      </w:r>
      <w:r w:rsidR="003C60F7">
        <w:rPr>
          <w:rFonts w:ascii="Arial" w:hAnsi="Arial" w:cs="Arial"/>
          <w:lang w:val="en-US"/>
        </w:rPr>
        <w:t>held that as the amended statement was based on the same facts and transactions as the first one, and merely sought to contend that the transactions were not liable for VAT</w:t>
      </w:r>
      <w:r w:rsidR="00F817AE" w:rsidRPr="00F817AE">
        <w:rPr>
          <w:rFonts w:ascii="Arial" w:hAnsi="Arial" w:cs="Arial"/>
          <w:lang w:val="en-US"/>
        </w:rPr>
        <w:t xml:space="preserve"> </w:t>
      </w:r>
      <w:r w:rsidR="00F817AE">
        <w:rPr>
          <w:rFonts w:ascii="Arial" w:hAnsi="Arial" w:cs="Arial"/>
          <w:lang w:val="en-US"/>
        </w:rPr>
        <w:t>on a different legal ground</w:t>
      </w:r>
      <w:r w:rsidR="00810E63" w:rsidRPr="00810E63">
        <w:rPr>
          <w:rFonts w:ascii="Arial" w:hAnsi="Arial" w:cs="Arial"/>
          <w:lang w:val="en-US"/>
        </w:rPr>
        <w:t xml:space="preserve"> </w:t>
      </w:r>
      <w:r w:rsidR="00810E63">
        <w:rPr>
          <w:rFonts w:ascii="Arial" w:hAnsi="Arial" w:cs="Arial"/>
          <w:lang w:val="en-US"/>
        </w:rPr>
        <w:t>in terms of the VAT Act</w:t>
      </w:r>
      <w:r w:rsidR="003C60F7">
        <w:rPr>
          <w:rFonts w:ascii="Arial" w:hAnsi="Arial" w:cs="Arial"/>
          <w:lang w:val="en-US"/>
        </w:rPr>
        <w:t xml:space="preserve">, </w:t>
      </w:r>
      <w:r w:rsidR="00F817AE">
        <w:rPr>
          <w:rFonts w:ascii="Arial" w:hAnsi="Arial" w:cs="Arial"/>
          <w:lang w:val="en-US"/>
        </w:rPr>
        <w:t>the taxpayer</w:t>
      </w:r>
      <w:r w:rsidR="003C60F7">
        <w:rPr>
          <w:rFonts w:ascii="Arial" w:hAnsi="Arial" w:cs="Arial"/>
          <w:lang w:val="en-US"/>
        </w:rPr>
        <w:t xml:space="preserve"> did not seek to raise a new ground of appeal that was impermissible. The amended</w:t>
      </w:r>
      <w:r w:rsidR="00C202A4">
        <w:rPr>
          <w:rFonts w:ascii="Arial" w:hAnsi="Arial" w:cs="Arial"/>
          <w:lang w:val="en-US"/>
        </w:rPr>
        <w:t>, new</w:t>
      </w:r>
      <w:r w:rsidR="003C60F7">
        <w:rPr>
          <w:rFonts w:ascii="Arial" w:hAnsi="Arial" w:cs="Arial"/>
          <w:lang w:val="en-US"/>
        </w:rPr>
        <w:t xml:space="preserve"> ground of appeal had been ‘foreshadowed’ in the objection which the appellant had lodged to the assessment</w:t>
      </w:r>
      <w:r w:rsidR="00C202A4">
        <w:rPr>
          <w:rFonts w:ascii="Arial" w:hAnsi="Arial" w:cs="Arial"/>
          <w:lang w:val="en-US"/>
        </w:rPr>
        <w:t xml:space="preserve">, as </w:t>
      </w:r>
      <w:r w:rsidR="00F817AE">
        <w:rPr>
          <w:rFonts w:ascii="Arial" w:hAnsi="Arial" w:cs="Arial"/>
          <w:lang w:val="en-US"/>
        </w:rPr>
        <w:t>it</w:t>
      </w:r>
      <w:r w:rsidR="00C202A4">
        <w:rPr>
          <w:rFonts w:ascii="Arial" w:hAnsi="Arial" w:cs="Arial"/>
          <w:lang w:val="en-US"/>
        </w:rPr>
        <w:t xml:space="preserve"> had there contended that </w:t>
      </w:r>
      <w:r w:rsidR="00F817AE">
        <w:rPr>
          <w:rFonts w:ascii="Arial" w:hAnsi="Arial" w:cs="Arial"/>
          <w:lang w:val="en-US"/>
        </w:rPr>
        <w:t xml:space="preserve">(as a matter of law) </w:t>
      </w:r>
      <w:r w:rsidR="00C202A4">
        <w:rPr>
          <w:rFonts w:ascii="Arial" w:hAnsi="Arial" w:cs="Arial"/>
          <w:lang w:val="en-US"/>
        </w:rPr>
        <w:t>it was not liable for VAT, in terms of the provisions of the VAT Act</w:t>
      </w:r>
      <w:r w:rsidR="003C60F7">
        <w:rPr>
          <w:rFonts w:ascii="Arial" w:hAnsi="Arial" w:cs="Arial"/>
          <w:lang w:val="en-US"/>
        </w:rPr>
        <w:t xml:space="preserve">. </w:t>
      </w:r>
      <w:r w:rsidR="00C202A4">
        <w:rPr>
          <w:rFonts w:ascii="Arial" w:hAnsi="Arial" w:cs="Arial"/>
          <w:lang w:val="en-US"/>
        </w:rPr>
        <w:t xml:space="preserve">On appeal it simply sought to rely on a new, alternative legal </w:t>
      </w:r>
      <w:r w:rsidR="00F817AE">
        <w:rPr>
          <w:rFonts w:ascii="Arial" w:hAnsi="Arial" w:cs="Arial"/>
          <w:lang w:val="en-US"/>
        </w:rPr>
        <w:t>provision in the Act</w:t>
      </w:r>
      <w:r w:rsidR="00C202A4">
        <w:rPr>
          <w:rFonts w:ascii="Arial" w:hAnsi="Arial" w:cs="Arial"/>
          <w:lang w:val="en-US"/>
        </w:rPr>
        <w:t xml:space="preserve"> for why it </w:t>
      </w:r>
      <w:r w:rsidR="00FF26CB">
        <w:rPr>
          <w:rFonts w:ascii="Arial" w:hAnsi="Arial" w:cs="Arial"/>
          <w:lang w:val="en-US"/>
        </w:rPr>
        <w:t xml:space="preserve">contended it </w:t>
      </w:r>
      <w:r w:rsidR="00C202A4">
        <w:rPr>
          <w:rFonts w:ascii="Arial" w:hAnsi="Arial" w:cs="Arial"/>
          <w:lang w:val="en-US"/>
        </w:rPr>
        <w:t>was not so liable.</w:t>
      </w:r>
      <w:r w:rsidR="003C60F7">
        <w:rPr>
          <w:rFonts w:ascii="Arial" w:hAnsi="Arial" w:cs="Arial"/>
          <w:lang w:val="en-US"/>
        </w:rPr>
        <w:t xml:space="preserve">    </w:t>
      </w:r>
      <w:r w:rsidR="001E1950">
        <w:rPr>
          <w:rFonts w:ascii="Arial" w:hAnsi="Arial" w:cs="Arial"/>
          <w:lang w:val="en-US"/>
        </w:rPr>
        <w:t xml:space="preserve">       </w:t>
      </w:r>
      <w:r w:rsidR="00197953">
        <w:rPr>
          <w:rFonts w:ascii="Arial" w:hAnsi="Arial" w:cs="Arial"/>
          <w:lang w:val="en-US"/>
        </w:rPr>
        <w:t xml:space="preserve">   </w:t>
      </w:r>
    </w:p>
    <w:p w14:paraId="0487E5E3" w14:textId="77777777" w:rsidR="00E81FFE" w:rsidRDefault="00E81FFE" w:rsidP="00197953">
      <w:pPr>
        <w:spacing w:line="480" w:lineRule="auto"/>
        <w:jc w:val="both"/>
        <w:rPr>
          <w:rFonts w:ascii="Arial" w:hAnsi="Arial" w:cs="Arial"/>
          <w:lang w:val="en-US"/>
        </w:rPr>
      </w:pPr>
    </w:p>
    <w:p w14:paraId="08FFC40D" w14:textId="77777777" w:rsidR="002C68ED" w:rsidRDefault="00D61EA5" w:rsidP="00197953">
      <w:pPr>
        <w:spacing w:line="480" w:lineRule="auto"/>
        <w:jc w:val="both"/>
        <w:rPr>
          <w:rFonts w:ascii="Arial" w:hAnsi="Arial" w:cs="Arial"/>
          <w:lang w:val="en-US"/>
        </w:rPr>
      </w:pPr>
      <w:r>
        <w:rPr>
          <w:rFonts w:ascii="Arial" w:hAnsi="Arial" w:cs="Arial"/>
          <w:lang w:val="en-US"/>
        </w:rPr>
        <w:t>[8</w:t>
      </w:r>
      <w:r w:rsidR="008536C9">
        <w:rPr>
          <w:rFonts w:ascii="Arial" w:hAnsi="Arial" w:cs="Arial"/>
          <w:lang w:val="en-US"/>
        </w:rPr>
        <w:t>8</w:t>
      </w:r>
      <w:r>
        <w:rPr>
          <w:rFonts w:ascii="Arial" w:hAnsi="Arial" w:cs="Arial"/>
          <w:lang w:val="en-US"/>
        </w:rPr>
        <w:t>]</w:t>
      </w:r>
      <w:r>
        <w:rPr>
          <w:rFonts w:ascii="Arial" w:hAnsi="Arial" w:cs="Arial"/>
          <w:lang w:val="en-US"/>
        </w:rPr>
        <w:tab/>
      </w:r>
      <w:r w:rsidR="00A84141">
        <w:rPr>
          <w:rFonts w:ascii="Arial" w:hAnsi="Arial" w:cs="Arial"/>
          <w:lang w:val="en-US"/>
        </w:rPr>
        <w:t>In this matter t</w:t>
      </w:r>
      <w:r w:rsidR="007211AC">
        <w:rPr>
          <w:rFonts w:ascii="Arial" w:hAnsi="Arial" w:cs="Arial"/>
          <w:lang w:val="en-US"/>
        </w:rPr>
        <w:t xml:space="preserve">he </w:t>
      </w:r>
      <w:r w:rsidR="00C202A4">
        <w:rPr>
          <w:rFonts w:ascii="Arial" w:hAnsi="Arial" w:cs="Arial"/>
          <w:lang w:val="en-US"/>
        </w:rPr>
        <w:t xml:space="preserve">appellant’s </w:t>
      </w:r>
      <w:r w:rsidR="007211AC">
        <w:rPr>
          <w:rFonts w:ascii="Arial" w:hAnsi="Arial" w:cs="Arial"/>
          <w:lang w:val="en-US"/>
        </w:rPr>
        <w:t xml:space="preserve">contention </w:t>
      </w:r>
      <w:r w:rsidR="00810E63">
        <w:rPr>
          <w:rFonts w:ascii="Arial" w:hAnsi="Arial" w:cs="Arial"/>
          <w:lang w:val="en-US"/>
        </w:rPr>
        <w:t xml:space="preserve">is </w:t>
      </w:r>
      <w:r w:rsidR="007211AC" w:rsidRPr="00886149">
        <w:rPr>
          <w:rFonts w:ascii="Arial" w:hAnsi="Arial" w:cs="Arial"/>
          <w:lang w:val="en-US"/>
        </w:rPr>
        <w:t>that</w:t>
      </w:r>
      <w:r w:rsidR="00810E63">
        <w:rPr>
          <w:rFonts w:ascii="Arial" w:hAnsi="Arial" w:cs="Arial"/>
          <w:lang w:val="en-US"/>
        </w:rPr>
        <w:t>,</w:t>
      </w:r>
      <w:r w:rsidR="007211AC" w:rsidRPr="00886149">
        <w:rPr>
          <w:rFonts w:ascii="Arial" w:hAnsi="Arial" w:cs="Arial"/>
          <w:lang w:val="en-US"/>
        </w:rPr>
        <w:t xml:space="preserve"> </w:t>
      </w:r>
      <w:r w:rsidR="00C202A4">
        <w:rPr>
          <w:rFonts w:ascii="Arial" w:hAnsi="Arial" w:cs="Arial"/>
          <w:lang w:val="en-US"/>
        </w:rPr>
        <w:t xml:space="preserve">as </w:t>
      </w:r>
      <w:r w:rsidR="00875A3D">
        <w:rPr>
          <w:rFonts w:ascii="Arial" w:hAnsi="Arial" w:cs="Arial"/>
          <w:lang w:val="en-US"/>
        </w:rPr>
        <w:t xml:space="preserve">the disputed amount </w:t>
      </w:r>
      <w:r w:rsidR="005D4BCB">
        <w:rPr>
          <w:rFonts w:ascii="Arial" w:hAnsi="Arial" w:cs="Arial"/>
          <w:lang w:val="en-US"/>
        </w:rPr>
        <w:t xml:space="preserve">which was raised in </w:t>
      </w:r>
      <w:r w:rsidR="00A84141">
        <w:rPr>
          <w:rFonts w:ascii="Arial" w:hAnsi="Arial" w:cs="Arial"/>
          <w:lang w:val="en-US"/>
        </w:rPr>
        <w:t>its</w:t>
      </w:r>
      <w:r w:rsidR="005D4BCB">
        <w:rPr>
          <w:rFonts w:ascii="Arial" w:hAnsi="Arial" w:cs="Arial"/>
          <w:lang w:val="en-US"/>
        </w:rPr>
        <w:t xml:space="preserve"> objection (</w:t>
      </w:r>
      <w:r w:rsidR="00A84141">
        <w:rPr>
          <w:rFonts w:ascii="Arial" w:hAnsi="Arial" w:cs="Arial"/>
          <w:lang w:val="en-US"/>
        </w:rPr>
        <w:t>under</w:t>
      </w:r>
      <w:r w:rsidR="00C202A4">
        <w:rPr>
          <w:rFonts w:ascii="Arial" w:hAnsi="Arial" w:cs="Arial"/>
          <w:lang w:val="en-US"/>
        </w:rPr>
        <w:t xml:space="preserve"> </w:t>
      </w:r>
      <w:r w:rsidR="00197953" w:rsidRPr="00886149">
        <w:rPr>
          <w:rFonts w:ascii="Arial" w:hAnsi="Arial" w:cs="Arial"/>
          <w:lang w:val="en-US"/>
        </w:rPr>
        <w:t xml:space="preserve">the </w:t>
      </w:r>
      <w:r w:rsidR="00C202A4">
        <w:rPr>
          <w:rFonts w:ascii="Arial" w:hAnsi="Arial" w:cs="Arial"/>
          <w:lang w:val="en-US"/>
        </w:rPr>
        <w:t>original ‘</w:t>
      </w:r>
      <w:r w:rsidR="00197953" w:rsidRPr="00886149">
        <w:rPr>
          <w:rFonts w:ascii="Arial" w:hAnsi="Arial" w:cs="Arial"/>
          <w:lang w:val="en-US"/>
        </w:rPr>
        <w:t>deduction</w:t>
      </w:r>
      <w:r w:rsidR="00C202A4">
        <w:rPr>
          <w:rFonts w:ascii="Arial" w:hAnsi="Arial" w:cs="Arial"/>
          <w:lang w:val="en-US"/>
        </w:rPr>
        <w:t>’</w:t>
      </w:r>
      <w:r w:rsidR="00197953" w:rsidRPr="00886149">
        <w:rPr>
          <w:rFonts w:ascii="Arial" w:hAnsi="Arial" w:cs="Arial"/>
          <w:lang w:val="en-US"/>
        </w:rPr>
        <w:t xml:space="preserve"> ground</w:t>
      </w:r>
      <w:r w:rsidR="005D4BCB">
        <w:rPr>
          <w:rFonts w:ascii="Arial" w:hAnsi="Arial" w:cs="Arial"/>
          <w:lang w:val="en-US"/>
        </w:rPr>
        <w:t>)</w:t>
      </w:r>
      <w:r w:rsidR="00C202A4">
        <w:rPr>
          <w:rFonts w:ascii="Arial" w:hAnsi="Arial" w:cs="Arial"/>
          <w:lang w:val="en-US"/>
        </w:rPr>
        <w:t xml:space="preserve">, is the same </w:t>
      </w:r>
      <w:r w:rsidR="005D4BCB">
        <w:rPr>
          <w:rFonts w:ascii="Arial" w:hAnsi="Arial" w:cs="Arial"/>
          <w:lang w:val="en-US"/>
        </w:rPr>
        <w:t xml:space="preserve">as that which is </w:t>
      </w:r>
      <w:r w:rsidR="002C68ED">
        <w:rPr>
          <w:rFonts w:ascii="Arial" w:hAnsi="Arial" w:cs="Arial"/>
          <w:lang w:val="en-US"/>
        </w:rPr>
        <w:t xml:space="preserve">now </w:t>
      </w:r>
      <w:r w:rsidR="005D4BCB">
        <w:rPr>
          <w:rFonts w:ascii="Arial" w:hAnsi="Arial" w:cs="Arial"/>
          <w:lang w:val="en-US"/>
        </w:rPr>
        <w:t xml:space="preserve">raised in </w:t>
      </w:r>
      <w:r w:rsidR="002C68ED">
        <w:rPr>
          <w:rFonts w:ascii="Arial" w:hAnsi="Arial" w:cs="Arial"/>
          <w:lang w:val="en-US"/>
        </w:rPr>
        <w:t>its</w:t>
      </w:r>
      <w:r w:rsidR="005D4BCB">
        <w:rPr>
          <w:rFonts w:ascii="Arial" w:hAnsi="Arial" w:cs="Arial"/>
          <w:lang w:val="en-US"/>
        </w:rPr>
        <w:t xml:space="preserve"> statement of appeal (</w:t>
      </w:r>
      <w:r w:rsidR="00A84141">
        <w:rPr>
          <w:rFonts w:ascii="Arial" w:hAnsi="Arial" w:cs="Arial"/>
          <w:lang w:val="en-US"/>
        </w:rPr>
        <w:t>under</w:t>
      </w:r>
      <w:r w:rsidR="00C202A4">
        <w:rPr>
          <w:rFonts w:ascii="Arial" w:hAnsi="Arial" w:cs="Arial"/>
          <w:lang w:val="en-US"/>
        </w:rPr>
        <w:t xml:space="preserve"> </w:t>
      </w:r>
      <w:r w:rsidR="005D4BCB">
        <w:rPr>
          <w:rFonts w:ascii="Arial" w:hAnsi="Arial" w:cs="Arial"/>
          <w:lang w:val="en-US"/>
        </w:rPr>
        <w:t>the</w:t>
      </w:r>
      <w:r w:rsidR="00C202A4">
        <w:rPr>
          <w:rFonts w:ascii="Arial" w:hAnsi="Arial" w:cs="Arial"/>
          <w:lang w:val="en-US"/>
        </w:rPr>
        <w:t xml:space="preserve"> new</w:t>
      </w:r>
      <w:r w:rsidR="00197953" w:rsidRPr="00886149">
        <w:rPr>
          <w:rFonts w:ascii="Arial" w:hAnsi="Arial" w:cs="Arial"/>
          <w:lang w:val="en-US"/>
        </w:rPr>
        <w:t xml:space="preserve"> </w:t>
      </w:r>
      <w:r w:rsidR="00C202A4">
        <w:rPr>
          <w:rFonts w:ascii="Arial" w:hAnsi="Arial" w:cs="Arial"/>
          <w:lang w:val="en-US"/>
        </w:rPr>
        <w:t>‘</w:t>
      </w:r>
      <w:r w:rsidR="00197953" w:rsidRPr="00886149">
        <w:rPr>
          <w:rFonts w:ascii="Arial" w:hAnsi="Arial" w:cs="Arial"/>
          <w:lang w:val="en-US"/>
        </w:rPr>
        <w:t>receipt/accrual</w:t>
      </w:r>
      <w:r w:rsidR="00C202A4">
        <w:rPr>
          <w:rFonts w:ascii="Arial" w:hAnsi="Arial" w:cs="Arial"/>
          <w:lang w:val="en-US"/>
        </w:rPr>
        <w:t>’</w:t>
      </w:r>
      <w:r w:rsidR="00197953" w:rsidRPr="00886149">
        <w:rPr>
          <w:rFonts w:ascii="Arial" w:hAnsi="Arial" w:cs="Arial"/>
          <w:lang w:val="en-US"/>
        </w:rPr>
        <w:t xml:space="preserve"> ground</w:t>
      </w:r>
      <w:r w:rsidR="005D4BCB">
        <w:rPr>
          <w:rFonts w:ascii="Arial" w:hAnsi="Arial" w:cs="Arial"/>
          <w:lang w:val="en-US"/>
        </w:rPr>
        <w:t xml:space="preserve">), </w:t>
      </w:r>
      <w:r w:rsidR="00A84141">
        <w:rPr>
          <w:rFonts w:ascii="Arial" w:hAnsi="Arial" w:cs="Arial"/>
          <w:lang w:val="en-US"/>
        </w:rPr>
        <w:t xml:space="preserve">in terms of subrule 32(3) </w:t>
      </w:r>
      <w:r w:rsidR="005D4BCB">
        <w:rPr>
          <w:rFonts w:ascii="Arial" w:hAnsi="Arial" w:cs="Arial"/>
          <w:lang w:val="en-US"/>
        </w:rPr>
        <w:t>it is the</w:t>
      </w:r>
      <w:r w:rsidR="00810E63">
        <w:rPr>
          <w:rFonts w:ascii="Arial" w:hAnsi="Arial" w:cs="Arial"/>
          <w:lang w:val="en-US"/>
        </w:rPr>
        <w:t xml:space="preserve">refore </w:t>
      </w:r>
      <w:r w:rsidR="009F223D">
        <w:rPr>
          <w:rFonts w:ascii="Arial" w:hAnsi="Arial" w:cs="Arial"/>
          <w:lang w:val="en-US"/>
        </w:rPr>
        <w:t>an ‘</w:t>
      </w:r>
      <w:r w:rsidR="005D4BCB">
        <w:rPr>
          <w:rFonts w:ascii="Arial" w:hAnsi="Arial" w:cs="Arial"/>
          <w:lang w:val="en-US"/>
        </w:rPr>
        <w:t>amount</w:t>
      </w:r>
      <w:r w:rsidR="00810E63">
        <w:rPr>
          <w:rFonts w:ascii="Arial" w:hAnsi="Arial" w:cs="Arial"/>
          <w:lang w:val="en-US"/>
        </w:rPr>
        <w:t xml:space="preserve"> </w:t>
      </w:r>
      <w:r w:rsidR="009F223D">
        <w:rPr>
          <w:rFonts w:ascii="Arial" w:hAnsi="Arial" w:cs="Arial"/>
          <w:lang w:val="en-US"/>
        </w:rPr>
        <w:t>of the disputed assessment’ which was objected to under rule 7</w:t>
      </w:r>
      <w:r w:rsidR="00810E63">
        <w:rPr>
          <w:rFonts w:ascii="Arial" w:hAnsi="Arial" w:cs="Arial"/>
          <w:lang w:val="en-US"/>
        </w:rPr>
        <w:t xml:space="preserve">, </w:t>
      </w:r>
      <w:r w:rsidR="00C202A4">
        <w:rPr>
          <w:rFonts w:ascii="Arial" w:hAnsi="Arial" w:cs="Arial"/>
          <w:lang w:val="en-US"/>
        </w:rPr>
        <w:t>as on either basis it falls</w:t>
      </w:r>
      <w:r w:rsidR="00197953">
        <w:rPr>
          <w:rFonts w:ascii="Arial" w:hAnsi="Arial" w:cs="Arial"/>
          <w:lang w:val="en-US"/>
        </w:rPr>
        <w:t xml:space="preserve"> </w:t>
      </w:r>
      <w:r w:rsidR="00C202A4">
        <w:rPr>
          <w:rFonts w:ascii="Arial" w:hAnsi="Arial" w:cs="Arial"/>
          <w:lang w:val="en-US"/>
        </w:rPr>
        <w:t>to be</w:t>
      </w:r>
      <w:r w:rsidR="00197953">
        <w:rPr>
          <w:rFonts w:ascii="Arial" w:hAnsi="Arial" w:cs="Arial"/>
          <w:lang w:val="en-US"/>
        </w:rPr>
        <w:t xml:space="preserve"> excluded from the appellant’s income</w:t>
      </w:r>
      <w:r w:rsidR="009F223D">
        <w:rPr>
          <w:rFonts w:ascii="Arial" w:hAnsi="Arial" w:cs="Arial"/>
          <w:lang w:val="en-US"/>
        </w:rPr>
        <w:t xml:space="preserve">. </w:t>
      </w:r>
      <w:r w:rsidR="00A84141">
        <w:rPr>
          <w:rFonts w:ascii="Arial" w:hAnsi="Arial" w:cs="Arial"/>
          <w:lang w:val="en-US"/>
        </w:rPr>
        <w:t xml:space="preserve">Therefore, it falls within the ambit of what is allowed in terms of the subrule. </w:t>
      </w:r>
    </w:p>
    <w:p w14:paraId="3E729DF9" w14:textId="77777777" w:rsidR="002C68ED" w:rsidRDefault="002C68ED" w:rsidP="00197953">
      <w:pPr>
        <w:spacing w:line="480" w:lineRule="auto"/>
        <w:jc w:val="both"/>
        <w:rPr>
          <w:rFonts w:ascii="Arial" w:hAnsi="Arial" w:cs="Arial"/>
          <w:lang w:val="en-US"/>
        </w:rPr>
      </w:pPr>
    </w:p>
    <w:p w14:paraId="0E5EF14D" w14:textId="3F2FEA19" w:rsidR="00D61EA5" w:rsidRDefault="002C68ED" w:rsidP="00197953">
      <w:pPr>
        <w:spacing w:line="480" w:lineRule="auto"/>
        <w:jc w:val="both"/>
        <w:rPr>
          <w:rFonts w:ascii="Arial" w:hAnsi="Arial" w:cs="Arial"/>
          <w:lang w:val="en-US"/>
        </w:rPr>
      </w:pPr>
      <w:r>
        <w:rPr>
          <w:rFonts w:ascii="Arial" w:hAnsi="Arial" w:cs="Arial"/>
          <w:lang w:val="en-US"/>
        </w:rPr>
        <w:t>[89]</w:t>
      </w:r>
      <w:r>
        <w:rPr>
          <w:rFonts w:ascii="Arial" w:hAnsi="Arial" w:cs="Arial"/>
          <w:lang w:val="en-US"/>
        </w:rPr>
        <w:tab/>
      </w:r>
      <w:r w:rsidR="009F223D">
        <w:rPr>
          <w:rFonts w:ascii="Arial" w:hAnsi="Arial" w:cs="Arial"/>
          <w:lang w:val="en-US"/>
        </w:rPr>
        <w:t xml:space="preserve">We do not agree. In our </w:t>
      </w:r>
      <w:r w:rsidR="00A84141">
        <w:rPr>
          <w:rFonts w:ascii="Arial" w:hAnsi="Arial" w:cs="Arial"/>
          <w:lang w:val="en-US"/>
        </w:rPr>
        <w:t xml:space="preserve">view </w:t>
      </w:r>
      <w:r w:rsidR="009F223D">
        <w:rPr>
          <w:rFonts w:ascii="Arial" w:hAnsi="Arial" w:cs="Arial"/>
          <w:lang w:val="en-US"/>
        </w:rPr>
        <w:t>the contention</w:t>
      </w:r>
      <w:r w:rsidR="00F302A2">
        <w:rPr>
          <w:rFonts w:ascii="Arial" w:hAnsi="Arial" w:cs="Arial"/>
          <w:lang w:val="en-US"/>
        </w:rPr>
        <w:t xml:space="preserve"> is untenable</w:t>
      </w:r>
      <w:r>
        <w:rPr>
          <w:rFonts w:ascii="Arial" w:hAnsi="Arial" w:cs="Arial"/>
          <w:lang w:val="en-US"/>
        </w:rPr>
        <w:t>. T</w:t>
      </w:r>
      <w:r w:rsidR="00A84141">
        <w:rPr>
          <w:rFonts w:ascii="Arial" w:hAnsi="Arial" w:cs="Arial"/>
          <w:lang w:val="en-US"/>
        </w:rPr>
        <w:t xml:space="preserve">he distinction is that </w:t>
      </w:r>
      <w:r w:rsidR="00197953">
        <w:rPr>
          <w:rFonts w:ascii="Arial" w:hAnsi="Arial" w:cs="Arial"/>
          <w:lang w:val="en-US"/>
        </w:rPr>
        <w:t xml:space="preserve">whereas the </w:t>
      </w:r>
      <w:r w:rsidR="009F223D">
        <w:rPr>
          <w:rFonts w:ascii="Arial" w:hAnsi="Arial" w:cs="Arial"/>
          <w:lang w:val="en-US"/>
        </w:rPr>
        <w:t>‘</w:t>
      </w:r>
      <w:r w:rsidR="00197953">
        <w:rPr>
          <w:rFonts w:ascii="Arial" w:hAnsi="Arial" w:cs="Arial"/>
          <w:lang w:val="en-US"/>
        </w:rPr>
        <w:t>deduction</w:t>
      </w:r>
      <w:r w:rsidR="009F223D">
        <w:rPr>
          <w:rFonts w:ascii="Arial" w:hAnsi="Arial" w:cs="Arial"/>
          <w:lang w:val="en-US"/>
        </w:rPr>
        <w:t>’</w:t>
      </w:r>
      <w:r w:rsidR="00197953">
        <w:rPr>
          <w:rFonts w:ascii="Arial" w:hAnsi="Arial" w:cs="Arial"/>
          <w:lang w:val="en-US"/>
        </w:rPr>
        <w:t xml:space="preserve"> ground </w:t>
      </w:r>
      <w:r w:rsidR="009F223D">
        <w:rPr>
          <w:rFonts w:ascii="Arial" w:hAnsi="Arial" w:cs="Arial"/>
          <w:lang w:val="en-US"/>
        </w:rPr>
        <w:t>contends</w:t>
      </w:r>
      <w:r w:rsidR="00197953">
        <w:rPr>
          <w:rFonts w:ascii="Arial" w:hAnsi="Arial" w:cs="Arial"/>
          <w:lang w:val="en-US"/>
        </w:rPr>
        <w:t xml:space="preserve"> that the disputed amount falls to be excluded from taxable income</w:t>
      </w:r>
      <w:r w:rsidR="009F223D">
        <w:rPr>
          <w:rFonts w:ascii="Arial" w:hAnsi="Arial" w:cs="Arial"/>
          <w:lang w:val="en-US"/>
        </w:rPr>
        <w:t xml:space="preserve"> because it is a deductible expense,</w:t>
      </w:r>
      <w:r w:rsidR="00197953">
        <w:rPr>
          <w:rFonts w:ascii="Arial" w:hAnsi="Arial" w:cs="Arial"/>
          <w:lang w:val="en-US"/>
        </w:rPr>
        <w:t xml:space="preserve"> the </w:t>
      </w:r>
      <w:r w:rsidR="00F034C0">
        <w:rPr>
          <w:rFonts w:ascii="Arial" w:hAnsi="Arial" w:cs="Arial"/>
          <w:lang w:val="en-US"/>
        </w:rPr>
        <w:t>‘</w:t>
      </w:r>
      <w:r w:rsidR="00197953">
        <w:rPr>
          <w:rFonts w:ascii="Arial" w:hAnsi="Arial" w:cs="Arial"/>
          <w:lang w:val="en-US"/>
        </w:rPr>
        <w:t>receipt/ accrual</w:t>
      </w:r>
      <w:r w:rsidR="00F034C0">
        <w:rPr>
          <w:rFonts w:ascii="Arial" w:hAnsi="Arial" w:cs="Arial"/>
          <w:lang w:val="en-US"/>
        </w:rPr>
        <w:t>’</w:t>
      </w:r>
      <w:r w:rsidR="00197953">
        <w:rPr>
          <w:rFonts w:ascii="Arial" w:hAnsi="Arial" w:cs="Arial"/>
          <w:lang w:val="en-US"/>
        </w:rPr>
        <w:t xml:space="preserve"> ground </w:t>
      </w:r>
      <w:r w:rsidR="009F223D">
        <w:rPr>
          <w:rFonts w:ascii="Arial" w:hAnsi="Arial" w:cs="Arial"/>
          <w:lang w:val="en-US"/>
        </w:rPr>
        <w:t>contends</w:t>
      </w:r>
      <w:r w:rsidR="00197953">
        <w:rPr>
          <w:rFonts w:ascii="Arial" w:hAnsi="Arial" w:cs="Arial"/>
          <w:lang w:val="en-US"/>
        </w:rPr>
        <w:t xml:space="preserve"> that </w:t>
      </w:r>
      <w:r w:rsidR="009F223D">
        <w:rPr>
          <w:rFonts w:ascii="Arial" w:hAnsi="Arial" w:cs="Arial"/>
          <w:lang w:val="en-US"/>
        </w:rPr>
        <w:t>it</w:t>
      </w:r>
      <w:r w:rsidR="00197953">
        <w:rPr>
          <w:rFonts w:ascii="Arial" w:hAnsi="Arial" w:cs="Arial"/>
          <w:lang w:val="en-US"/>
        </w:rPr>
        <w:t xml:space="preserve"> should be </w:t>
      </w:r>
      <w:r w:rsidR="00F034C0">
        <w:rPr>
          <w:rFonts w:ascii="Arial" w:hAnsi="Arial" w:cs="Arial"/>
          <w:lang w:val="en-US"/>
        </w:rPr>
        <w:t>ex</w:t>
      </w:r>
      <w:r w:rsidR="00197953">
        <w:rPr>
          <w:rFonts w:ascii="Arial" w:hAnsi="Arial" w:cs="Arial"/>
          <w:lang w:val="en-US"/>
        </w:rPr>
        <w:t xml:space="preserve">cluded </w:t>
      </w:r>
      <w:r>
        <w:rPr>
          <w:rFonts w:ascii="Arial" w:hAnsi="Arial" w:cs="Arial"/>
          <w:lang w:val="en-US"/>
        </w:rPr>
        <w:t>from</w:t>
      </w:r>
      <w:r w:rsidR="00197953">
        <w:rPr>
          <w:rFonts w:ascii="Arial" w:hAnsi="Arial" w:cs="Arial"/>
          <w:lang w:val="en-US"/>
        </w:rPr>
        <w:t xml:space="preserve"> the appellant’s gross income</w:t>
      </w:r>
      <w:r w:rsidR="009F223D">
        <w:rPr>
          <w:rFonts w:ascii="Arial" w:hAnsi="Arial" w:cs="Arial"/>
          <w:lang w:val="en-US"/>
        </w:rPr>
        <w:t xml:space="preserve"> as it never accrued to, or was received by, it</w:t>
      </w:r>
      <w:r w:rsidR="001124A4">
        <w:rPr>
          <w:rFonts w:ascii="Arial" w:hAnsi="Arial" w:cs="Arial"/>
          <w:lang w:val="en-US"/>
        </w:rPr>
        <w:t xml:space="preserve">.  </w:t>
      </w:r>
      <w:r w:rsidR="00FD029B">
        <w:rPr>
          <w:rFonts w:ascii="Arial" w:hAnsi="Arial" w:cs="Arial"/>
          <w:lang w:val="en-US"/>
        </w:rPr>
        <w:t xml:space="preserve">The </w:t>
      </w:r>
      <w:r w:rsidR="00A84141">
        <w:rPr>
          <w:rFonts w:ascii="Arial" w:hAnsi="Arial" w:cs="Arial"/>
          <w:lang w:val="en-US"/>
        </w:rPr>
        <w:t>terms</w:t>
      </w:r>
      <w:r w:rsidR="00FD029B">
        <w:rPr>
          <w:rFonts w:ascii="Arial" w:hAnsi="Arial" w:cs="Arial"/>
          <w:lang w:val="en-US"/>
        </w:rPr>
        <w:t xml:space="preserve"> </w:t>
      </w:r>
      <w:r w:rsidR="00736A17">
        <w:rPr>
          <w:rFonts w:ascii="Arial" w:hAnsi="Arial" w:cs="Arial"/>
          <w:lang w:val="en-US"/>
        </w:rPr>
        <w:t xml:space="preserve">on which </w:t>
      </w:r>
      <w:r w:rsidR="009F223D">
        <w:rPr>
          <w:rFonts w:ascii="Arial" w:hAnsi="Arial" w:cs="Arial"/>
          <w:lang w:val="en-US"/>
        </w:rPr>
        <w:t xml:space="preserve">each </w:t>
      </w:r>
      <w:r w:rsidR="00A84141">
        <w:rPr>
          <w:rFonts w:ascii="Arial" w:hAnsi="Arial" w:cs="Arial"/>
          <w:lang w:val="en-US"/>
        </w:rPr>
        <w:t xml:space="preserve">‘deduction’ </w:t>
      </w:r>
      <w:r w:rsidR="00474241">
        <w:rPr>
          <w:rFonts w:ascii="Arial" w:hAnsi="Arial" w:cs="Arial"/>
          <w:lang w:val="en-US"/>
        </w:rPr>
        <w:t>is calculated</w:t>
      </w:r>
      <w:r w:rsidR="00366743">
        <w:rPr>
          <w:rFonts w:ascii="Arial" w:hAnsi="Arial" w:cs="Arial"/>
          <w:lang w:val="en-US"/>
        </w:rPr>
        <w:t xml:space="preserve"> </w:t>
      </w:r>
      <w:r w:rsidR="0023292C">
        <w:rPr>
          <w:rFonts w:ascii="Arial" w:hAnsi="Arial" w:cs="Arial"/>
          <w:lang w:val="en-US"/>
        </w:rPr>
        <w:t>ha</w:t>
      </w:r>
      <w:r w:rsidR="00A84141">
        <w:rPr>
          <w:rFonts w:ascii="Arial" w:hAnsi="Arial" w:cs="Arial"/>
          <w:lang w:val="en-US"/>
        </w:rPr>
        <w:t xml:space="preserve">ve </w:t>
      </w:r>
      <w:r w:rsidR="00FD029B">
        <w:rPr>
          <w:rFonts w:ascii="Arial" w:hAnsi="Arial" w:cs="Arial"/>
          <w:lang w:val="en-US"/>
        </w:rPr>
        <w:t xml:space="preserve">different legal </w:t>
      </w:r>
      <w:r>
        <w:rPr>
          <w:rFonts w:ascii="Arial" w:hAnsi="Arial" w:cs="Arial"/>
          <w:lang w:val="en-US"/>
        </w:rPr>
        <w:t>bases</w:t>
      </w:r>
      <w:r w:rsidR="00FD029B">
        <w:rPr>
          <w:rFonts w:ascii="Arial" w:hAnsi="Arial" w:cs="Arial"/>
          <w:lang w:val="en-US"/>
        </w:rPr>
        <w:t xml:space="preserve">.  </w:t>
      </w:r>
      <w:r w:rsidR="00F034C0">
        <w:rPr>
          <w:rFonts w:ascii="Arial" w:hAnsi="Arial" w:cs="Arial"/>
          <w:lang w:val="en-US"/>
        </w:rPr>
        <w:t>T</w:t>
      </w:r>
      <w:r w:rsidR="009F223D">
        <w:rPr>
          <w:rFonts w:ascii="Arial" w:hAnsi="Arial" w:cs="Arial"/>
          <w:lang w:val="en-US"/>
        </w:rPr>
        <w:t xml:space="preserve">he exercise does not amount to a </w:t>
      </w:r>
      <w:r w:rsidR="00A84141">
        <w:rPr>
          <w:rFonts w:ascii="Arial" w:hAnsi="Arial" w:cs="Arial"/>
          <w:lang w:val="en-US"/>
        </w:rPr>
        <w:t xml:space="preserve">simple </w:t>
      </w:r>
      <w:r w:rsidR="009F223D">
        <w:rPr>
          <w:rFonts w:ascii="Arial" w:hAnsi="Arial" w:cs="Arial"/>
          <w:lang w:val="en-US"/>
        </w:rPr>
        <w:t xml:space="preserve">mathematical deduction, but a calculation that must be arrived at </w:t>
      </w:r>
      <w:r>
        <w:rPr>
          <w:rFonts w:ascii="Arial" w:hAnsi="Arial" w:cs="Arial"/>
          <w:lang w:val="en-US"/>
        </w:rPr>
        <w:t>by the application of</w:t>
      </w:r>
      <w:r w:rsidR="009F223D">
        <w:rPr>
          <w:rFonts w:ascii="Arial" w:hAnsi="Arial" w:cs="Arial"/>
          <w:lang w:val="en-US"/>
        </w:rPr>
        <w:t xml:space="preserve"> different legal </w:t>
      </w:r>
      <w:r>
        <w:rPr>
          <w:rFonts w:ascii="Arial" w:hAnsi="Arial" w:cs="Arial"/>
          <w:lang w:val="en-US"/>
        </w:rPr>
        <w:t>formulae</w:t>
      </w:r>
      <w:r w:rsidR="00F034C0">
        <w:rPr>
          <w:rFonts w:ascii="Arial" w:hAnsi="Arial" w:cs="Arial"/>
          <w:lang w:val="en-US"/>
        </w:rPr>
        <w:t>, provided for in the ITA.</w:t>
      </w:r>
      <w:r w:rsidR="009F223D">
        <w:rPr>
          <w:rFonts w:ascii="Arial" w:hAnsi="Arial" w:cs="Arial"/>
          <w:lang w:val="en-US"/>
        </w:rPr>
        <w:t xml:space="preserve"> </w:t>
      </w:r>
      <w:r w:rsidR="00FD029B">
        <w:rPr>
          <w:rFonts w:ascii="Arial" w:hAnsi="Arial" w:cs="Arial"/>
          <w:lang w:val="en-US"/>
        </w:rPr>
        <w:t xml:space="preserve">The appellant </w:t>
      </w:r>
      <w:r w:rsidR="00044E55">
        <w:rPr>
          <w:rFonts w:ascii="Arial" w:hAnsi="Arial" w:cs="Arial"/>
          <w:lang w:val="en-US"/>
        </w:rPr>
        <w:t xml:space="preserve">cannot have it both ways, it </w:t>
      </w:r>
      <w:r w:rsidR="00A1511C">
        <w:rPr>
          <w:rFonts w:ascii="Arial" w:hAnsi="Arial" w:cs="Arial"/>
          <w:lang w:val="en-US"/>
        </w:rPr>
        <w:t>must either be the one or the other</w:t>
      </w:r>
      <w:r w:rsidR="00A84141">
        <w:rPr>
          <w:rFonts w:ascii="Arial" w:hAnsi="Arial" w:cs="Arial"/>
          <w:lang w:val="en-US"/>
        </w:rPr>
        <w:t>,</w:t>
      </w:r>
      <w:r w:rsidR="009F223D">
        <w:rPr>
          <w:rFonts w:ascii="Arial" w:hAnsi="Arial" w:cs="Arial"/>
          <w:lang w:val="en-US"/>
        </w:rPr>
        <w:t xml:space="preserve"> and</w:t>
      </w:r>
      <w:r w:rsidR="00A84141">
        <w:rPr>
          <w:rFonts w:ascii="Arial" w:hAnsi="Arial" w:cs="Arial"/>
          <w:lang w:val="en-US"/>
        </w:rPr>
        <w:t xml:space="preserve"> </w:t>
      </w:r>
      <w:r w:rsidR="009F223D">
        <w:rPr>
          <w:rFonts w:ascii="Arial" w:hAnsi="Arial" w:cs="Arial"/>
          <w:lang w:val="en-US"/>
        </w:rPr>
        <w:t>as a m</w:t>
      </w:r>
      <w:r w:rsidR="00A84141">
        <w:rPr>
          <w:rFonts w:ascii="Arial" w:hAnsi="Arial" w:cs="Arial"/>
          <w:lang w:val="en-US"/>
        </w:rPr>
        <w:t>a</w:t>
      </w:r>
      <w:r w:rsidR="009F223D">
        <w:rPr>
          <w:rFonts w:ascii="Arial" w:hAnsi="Arial" w:cs="Arial"/>
          <w:lang w:val="en-US"/>
        </w:rPr>
        <w:t>tter of law the two are not legally equivalent</w:t>
      </w:r>
      <w:r>
        <w:rPr>
          <w:rFonts w:ascii="Arial" w:hAnsi="Arial" w:cs="Arial"/>
          <w:lang w:val="en-US"/>
        </w:rPr>
        <w:t>, although they may arrive at the same result mathematically</w:t>
      </w:r>
      <w:r w:rsidR="00A1511C">
        <w:rPr>
          <w:rFonts w:ascii="Arial" w:hAnsi="Arial" w:cs="Arial"/>
          <w:lang w:val="en-US"/>
        </w:rPr>
        <w:t>.</w:t>
      </w:r>
    </w:p>
    <w:p w14:paraId="3A501C83" w14:textId="77777777" w:rsidR="00D61EA5" w:rsidRDefault="00D61EA5" w:rsidP="00197953">
      <w:pPr>
        <w:spacing w:line="480" w:lineRule="auto"/>
        <w:jc w:val="both"/>
        <w:rPr>
          <w:rFonts w:ascii="Arial" w:hAnsi="Arial" w:cs="Arial"/>
          <w:lang w:val="en-US"/>
        </w:rPr>
      </w:pPr>
    </w:p>
    <w:p w14:paraId="05CBEF3F" w14:textId="2D53373F" w:rsidR="00197953" w:rsidRDefault="00D61EA5" w:rsidP="00903F1E">
      <w:pPr>
        <w:spacing w:line="480" w:lineRule="auto"/>
        <w:jc w:val="both"/>
        <w:rPr>
          <w:rFonts w:ascii="Arial" w:hAnsi="Arial" w:cs="Arial"/>
          <w:i/>
          <w:iCs/>
          <w:u w:val="single"/>
          <w:lang w:val="en-US"/>
        </w:rPr>
      </w:pPr>
      <w:r>
        <w:rPr>
          <w:rFonts w:ascii="Arial" w:hAnsi="Arial" w:cs="Arial"/>
          <w:lang w:val="en-US"/>
        </w:rPr>
        <w:t>[</w:t>
      </w:r>
      <w:r w:rsidR="008536C9">
        <w:rPr>
          <w:rFonts w:ascii="Arial" w:hAnsi="Arial" w:cs="Arial"/>
          <w:lang w:val="en-US"/>
        </w:rPr>
        <w:t>9</w:t>
      </w:r>
      <w:r w:rsidR="005829B4">
        <w:rPr>
          <w:rFonts w:ascii="Arial" w:hAnsi="Arial" w:cs="Arial"/>
          <w:lang w:val="en-US"/>
        </w:rPr>
        <w:t>0</w:t>
      </w:r>
      <w:r>
        <w:rPr>
          <w:rFonts w:ascii="Arial" w:hAnsi="Arial" w:cs="Arial"/>
          <w:lang w:val="en-US"/>
        </w:rPr>
        <w:t>]</w:t>
      </w:r>
      <w:r>
        <w:rPr>
          <w:rFonts w:ascii="Arial" w:hAnsi="Arial" w:cs="Arial"/>
          <w:lang w:val="en-US"/>
        </w:rPr>
        <w:tab/>
      </w:r>
      <w:r w:rsidR="00477189">
        <w:rPr>
          <w:rFonts w:ascii="Arial" w:hAnsi="Arial" w:cs="Arial"/>
          <w:lang w:val="en-US"/>
        </w:rPr>
        <w:t>W</w:t>
      </w:r>
      <w:r w:rsidR="00903F1E">
        <w:rPr>
          <w:rFonts w:ascii="Arial" w:hAnsi="Arial" w:cs="Arial"/>
          <w:lang w:val="en-US"/>
        </w:rPr>
        <w:t>e</w:t>
      </w:r>
      <w:r w:rsidR="00197953">
        <w:rPr>
          <w:rFonts w:ascii="Arial" w:hAnsi="Arial" w:cs="Arial"/>
          <w:lang w:val="en-US"/>
        </w:rPr>
        <w:t xml:space="preserve"> agree with the </w:t>
      </w:r>
      <w:r w:rsidR="00903F1E">
        <w:rPr>
          <w:rFonts w:ascii="Arial" w:hAnsi="Arial" w:cs="Arial"/>
          <w:lang w:val="en-US"/>
        </w:rPr>
        <w:t xml:space="preserve">tax </w:t>
      </w:r>
      <w:r w:rsidR="00197953">
        <w:rPr>
          <w:rFonts w:ascii="Arial" w:hAnsi="Arial" w:cs="Arial"/>
          <w:lang w:val="en-US"/>
        </w:rPr>
        <w:t>court</w:t>
      </w:r>
      <w:r w:rsidR="00903F1E">
        <w:rPr>
          <w:rFonts w:ascii="Arial" w:hAnsi="Arial" w:cs="Arial"/>
          <w:lang w:val="en-US"/>
        </w:rPr>
        <w:t xml:space="preserve"> and</w:t>
      </w:r>
      <w:r w:rsidR="00197953">
        <w:rPr>
          <w:rFonts w:ascii="Arial" w:hAnsi="Arial" w:cs="Arial"/>
          <w:lang w:val="en-US"/>
        </w:rPr>
        <w:t xml:space="preserve"> the respondent that the inclusion of the new ground</w:t>
      </w:r>
      <w:r w:rsidR="00903F1E">
        <w:rPr>
          <w:rFonts w:ascii="Arial" w:hAnsi="Arial" w:cs="Arial"/>
          <w:lang w:val="en-US"/>
        </w:rPr>
        <w:t>, on appeal,</w:t>
      </w:r>
      <w:r w:rsidR="00197953">
        <w:rPr>
          <w:rFonts w:ascii="Arial" w:hAnsi="Arial" w:cs="Arial"/>
          <w:lang w:val="en-US"/>
        </w:rPr>
        <w:t xml:space="preserve"> </w:t>
      </w:r>
      <w:r w:rsidR="00903F1E">
        <w:rPr>
          <w:rFonts w:ascii="Arial" w:hAnsi="Arial" w:cs="Arial"/>
          <w:lang w:val="en-US"/>
        </w:rPr>
        <w:t>constitutes</w:t>
      </w:r>
      <w:r w:rsidR="00197953">
        <w:rPr>
          <w:rFonts w:ascii="Arial" w:hAnsi="Arial" w:cs="Arial"/>
          <w:lang w:val="en-US"/>
        </w:rPr>
        <w:t xml:space="preserve"> a </w:t>
      </w:r>
      <w:r w:rsidR="00FF26CB">
        <w:rPr>
          <w:rFonts w:ascii="Arial" w:hAnsi="Arial" w:cs="Arial"/>
          <w:lang w:val="en-US"/>
        </w:rPr>
        <w:t>fundamentally</w:t>
      </w:r>
      <w:r w:rsidR="00197953">
        <w:rPr>
          <w:rFonts w:ascii="Arial" w:hAnsi="Arial" w:cs="Arial"/>
          <w:lang w:val="en-US"/>
        </w:rPr>
        <w:t xml:space="preserve"> different ground of objection </w:t>
      </w:r>
      <w:r w:rsidR="00243B49">
        <w:rPr>
          <w:rFonts w:ascii="Arial" w:hAnsi="Arial" w:cs="Arial"/>
          <w:lang w:val="en-US"/>
        </w:rPr>
        <w:t>to</w:t>
      </w:r>
      <w:r w:rsidR="00197953">
        <w:rPr>
          <w:rFonts w:ascii="Arial" w:hAnsi="Arial" w:cs="Arial"/>
          <w:lang w:val="en-US"/>
        </w:rPr>
        <w:t xml:space="preserve"> the one </w:t>
      </w:r>
      <w:r w:rsidR="002C68ED">
        <w:rPr>
          <w:rFonts w:ascii="Arial" w:hAnsi="Arial" w:cs="Arial"/>
          <w:lang w:val="en-US"/>
        </w:rPr>
        <w:t xml:space="preserve">which was </w:t>
      </w:r>
      <w:r w:rsidR="00197953">
        <w:rPr>
          <w:rFonts w:ascii="Arial" w:hAnsi="Arial" w:cs="Arial"/>
          <w:lang w:val="en-US"/>
        </w:rPr>
        <w:t>filed in the appellant</w:t>
      </w:r>
      <w:r w:rsidR="00903F1E">
        <w:rPr>
          <w:rFonts w:ascii="Arial" w:hAnsi="Arial" w:cs="Arial"/>
          <w:lang w:val="en-US"/>
        </w:rPr>
        <w:t>’</w:t>
      </w:r>
      <w:r w:rsidR="00197953">
        <w:rPr>
          <w:rFonts w:ascii="Arial" w:hAnsi="Arial" w:cs="Arial"/>
          <w:lang w:val="en-US"/>
        </w:rPr>
        <w:t xml:space="preserve">s rule 7(2)(b) </w:t>
      </w:r>
      <w:r w:rsidR="00903F1E">
        <w:rPr>
          <w:rFonts w:ascii="Arial" w:hAnsi="Arial" w:cs="Arial"/>
          <w:lang w:val="en-US"/>
        </w:rPr>
        <w:t xml:space="preserve">notice </w:t>
      </w:r>
      <w:r w:rsidR="00197953">
        <w:rPr>
          <w:rFonts w:ascii="Arial" w:hAnsi="Arial" w:cs="Arial"/>
          <w:lang w:val="en-US"/>
        </w:rPr>
        <w:t xml:space="preserve">of objection. This is clearly what rule 10(3) as well as rule 32(3) prohibits. </w:t>
      </w:r>
    </w:p>
    <w:p w14:paraId="2A269C64" w14:textId="77777777" w:rsidR="00D61EA5" w:rsidRDefault="00D61EA5" w:rsidP="00197953">
      <w:pPr>
        <w:spacing w:line="480" w:lineRule="auto"/>
        <w:jc w:val="both"/>
        <w:rPr>
          <w:rFonts w:ascii="Arial" w:hAnsi="Arial" w:cs="Arial"/>
          <w:i/>
          <w:iCs/>
          <w:u w:val="single"/>
          <w:lang w:val="en-US"/>
        </w:rPr>
      </w:pPr>
    </w:p>
    <w:p w14:paraId="2AA164EF" w14:textId="5469175B" w:rsidR="002B3046" w:rsidRDefault="00AA2922" w:rsidP="00197953">
      <w:pPr>
        <w:spacing w:line="480" w:lineRule="auto"/>
        <w:jc w:val="both"/>
        <w:rPr>
          <w:rFonts w:ascii="Arial" w:hAnsi="Arial" w:cs="Arial"/>
          <w:lang w:val="en-US"/>
        </w:rPr>
      </w:pPr>
      <w:r>
        <w:rPr>
          <w:rFonts w:ascii="Arial" w:hAnsi="Arial" w:cs="Arial"/>
          <w:lang w:val="en-US"/>
        </w:rPr>
        <w:t>[9</w:t>
      </w:r>
      <w:r w:rsidR="005829B4">
        <w:rPr>
          <w:rFonts w:ascii="Arial" w:hAnsi="Arial" w:cs="Arial"/>
          <w:lang w:val="en-US"/>
        </w:rPr>
        <w:t>1</w:t>
      </w:r>
      <w:r>
        <w:rPr>
          <w:rFonts w:ascii="Arial" w:hAnsi="Arial" w:cs="Arial"/>
          <w:lang w:val="en-US"/>
        </w:rPr>
        <w:t>]</w:t>
      </w:r>
      <w:r>
        <w:rPr>
          <w:rFonts w:ascii="Arial" w:hAnsi="Arial" w:cs="Arial"/>
          <w:lang w:val="en-US"/>
        </w:rPr>
        <w:tab/>
      </w:r>
      <w:r w:rsidR="00197953">
        <w:rPr>
          <w:rFonts w:ascii="Arial" w:hAnsi="Arial" w:cs="Arial"/>
          <w:lang w:val="en-US"/>
        </w:rPr>
        <w:t xml:space="preserve">In </w:t>
      </w:r>
      <w:r w:rsidR="00197953" w:rsidRPr="00D61EA5">
        <w:rPr>
          <w:rFonts w:ascii="Arial" w:hAnsi="Arial" w:cs="Arial"/>
          <w:i/>
          <w:iCs/>
          <w:lang w:val="en-US"/>
        </w:rPr>
        <w:t>Matla Coal</w:t>
      </w:r>
      <w:r w:rsidR="00197953">
        <w:rPr>
          <w:rFonts w:ascii="Arial" w:hAnsi="Arial" w:cs="Arial"/>
          <w:lang w:val="en-US"/>
        </w:rPr>
        <w:t xml:space="preserve"> the taxpayer introduced a new ground in relation to the same disputed </w:t>
      </w:r>
      <w:r w:rsidR="00903F1E">
        <w:rPr>
          <w:rFonts w:ascii="Arial" w:hAnsi="Arial" w:cs="Arial"/>
          <w:lang w:val="en-US"/>
        </w:rPr>
        <w:t xml:space="preserve">(gross) </w:t>
      </w:r>
      <w:r w:rsidR="00197953">
        <w:rPr>
          <w:rFonts w:ascii="Arial" w:hAnsi="Arial" w:cs="Arial"/>
          <w:lang w:val="en-US"/>
        </w:rPr>
        <w:t xml:space="preserve">income item which it </w:t>
      </w:r>
      <w:r w:rsidR="00903F1E">
        <w:rPr>
          <w:rFonts w:ascii="Arial" w:hAnsi="Arial" w:cs="Arial"/>
          <w:lang w:val="en-US"/>
        </w:rPr>
        <w:t xml:space="preserve">initially </w:t>
      </w:r>
      <w:r w:rsidR="00197953">
        <w:rPr>
          <w:rFonts w:ascii="Arial" w:hAnsi="Arial" w:cs="Arial"/>
          <w:lang w:val="en-US"/>
        </w:rPr>
        <w:t>alleged</w:t>
      </w:r>
      <w:r w:rsidR="00CB6506">
        <w:rPr>
          <w:rFonts w:ascii="Arial" w:hAnsi="Arial" w:cs="Arial"/>
          <w:lang w:val="en-US"/>
        </w:rPr>
        <w:t>,</w:t>
      </w:r>
      <w:r w:rsidR="00903F1E">
        <w:rPr>
          <w:rFonts w:ascii="Arial" w:hAnsi="Arial" w:cs="Arial"/>
          <w:lang w:val="en-US"/>
        </w:rPr>
        <w:t xml:space="preserve"> in </w:t>
      </w:r>
      <w:r w:rsidR="005829B4">
        <w:rPr>
          <w:rFonts w:ascii="Arial" w:hAnsi="Arial" w:cs="Arial"/>
          <w:lang w:val="en-US"/>
        </w:rPr>
        <w:t>its</w:t>
      </w:r>
      <w:r w:rsidR="00903F1E">
        <w:rPr>
          <w:rFonts w:ascii="Arial" w:hAnsi="Arial" w:cs="Arial"/>
          <w:lang w:val="en-US"/>
        </w:rPr>
        <w:t xml:space="preserve"> objection,</w:t>
      </w:r>
      <w:r w:rsidR="00197953">
        <w:rPr>
          <w:rFonts w:ascii="Arial" w:hAnsi="Arial" w:cs="Arial"/>
          <w:lang w:val="en-US"/>
        </w:rPr>
        <w:t xml:space="preserve"> </w:t>
      </w:r>
      <w:r w:rsidR="00903F1E">
        <w:rPr>
          <w:rFonts w:ascii="Arial" w:hAnsi="Arial" w:cs="Arial"/>
          <w:lang w:val="en-US"/>
        </w:rPr>
        <w:t xml:space="preserve">constituted </w:t>
      </w:r>
      <w:r w:rsidR="00197953">
        <w:rPr>
          <w:rFonts w:ascii="Arial" w:hAnsi="Arial" w:cs="Arial"/>
          <w:lang w:val="en-US"/>
        </w:rPr>
        <w:t>a capital receipt</w:t>
      </w:r>
      <w:r w:rsidR="00903F1E">
        <w:rPr>
          <w:rFonts w:ascii="Arial" w:hAnsi="Arial" w:cs="Arial"/>
          <w:lang w:val="en-US"/>
        </w:rPr>
        <w:t>,</w:t>
      </w:r>
      <w:r w:rsidR="00197953">
        <w:rPr>
          <w:rFonts w:ascii="Arial" w:hAnsi="Arial" w:cs="Arial"/>
          <w:lang w:val="en-US"/>
        </w:rPr>
        <w:t xml:space="preserve"> as it was received </w:t>
      </w:r>
      <w:r w:rsidR="00903F1E">
        <w:rPr>
          <w:rFonts w:ascii="Arial" w:hAnsi="Arial" w:cs="Arial"/>
          <w:lang w:val="en-US"/>
        </w:rPr>
        <w:t xml:space="preserve">in the course of the </w:t>
      </w:r>
      <w:r w:rsidR="00B56DF5">
        <w:rPr>
          <w:rFonts w:ascii="Arial" w:hAnsi="Arial" w:cs="Arial"/>
          <w:lang w:val="en-US"/>
        </w:rPr>
        <w:t>performance</w:t>
      </w:r>
      <w:r w:rsidR="00903F1E">
        <w:rPr>
          <w:rFonts w:ascii="Arial" w:hAnsi="Arial" w:cs="Arial"/>
          <w:lang w:val="en-US"/>
        </w:rPr>
        <w:t xml:space="preserve"> of a </w:t>
      </w:r>
      <w:r w:rsidR="00197953">
        <w:rPr>
          <w:rFonts w:ascii="Arial" w:hAnsi="Arial" w:cs="Arial"/>
          <w:lang w:val="en-US"/>
        </w:rPr>
        <w:t xml:space="preserve">restraint </w:t>
      </w:r>
      <w:r w:rsidR="00903F1E">
        <w:rPr>
          <w:rFonts w:ascii="Arial" w:hAnsi="Arial" w:cs="Arial"/>
          <w:lang w:val="en-US"/>
        </w:rPr>
        <w:t xml:space="preserve">of trade </w:t>
      </w:r>
      <w:r w:rsidR="00197953">
        <w:rPr>
          <w:rFonts w:ascii="Arial" w:hAnsi="Arial" w:cs="Arial"/>
          <w:lang w:val="en-US"/>
        </w:rPr>
        <w:t xml:space="preserve">agreement. </w:t>
      </w:r>
      <w:r w:rsidR="00903F1E">
        <w:rPr>
          <w:rFonts w:ascii="Arial" w:hAnsi="Arial" w:cs="Arial"/>
          <w:lang w:val="en-US"/>
        </w:rPr>
        <w:t xml:space="preserve">When the Commissioner disagreed </w:t>
      </w:r>
      <w:r w:rsidR="002B3046">
        <w:rPr>
          <w:rFonts w:ascii="Arial" w:hAnsi="Arial" w:cs="Arial"/>
          <w:lang w:val="en-US"/>
        </w:rPr>
        <w:t>it still sought to contend</w:t>
      </w:r>
      <w:r w:rsidR="00197953">
        <w:rPr>
          <w:rFonts w:ascii="Arial" w:hAnsi="Arial" w:cs="Arial"/>
          <w:lang w:val="en-US"/>
        </w:rPr>
        <w:t xml:space="preserve"> </w:t>
      </w:r>
      <w:r w:rsidR="002B3046">
        <w:rPr>
          <w:rFonts w:ascii="Arial" w:hAnsi="Arial" w:cs="Arial"/>
          <w:lang w:val="en-US"/>
        </w:rPr>
        <w:t xml:space="preserve">that it </w:t>
      </w:r>
      <w:r w:rsidR="00197953">
        <w:rPr>
          <w:rFonts w:ascii="Arial" w:hAnsi="Arial" w:cs="Arial"/>
          <w:lang w:val="en-US"/>
        </w:rPr>
        <w:t xml:space="preserve">was a capital receipt, but on the basis that it related to the sale of coal rights on capital account. </w:t>
      </w:r>
      <w:r w:rsidR="002B3046">
        <w:rPr>
          <w:rFonts w:ascii="Arial" w:hAnsi="Arial" w:cs="Arial"/>
          <w:lang w:val="en-US"/>
        </w:rPr>
        <w:t>Thus</w:t>
      </w:r>
      <w:r w:rsidR="00197953">
        <w:rPr>
          <w:rFonts w:ascii="Arial" w:hAnsi="Arial" w:cs="Arial"/>
          <w:lang w:val="en-US"/>
        </w:rPr>
        <w:t xml:space="preserve">, the new ground </w:t>
      </w:r>
      <w:r w:rsidR="005829B4">
        <w:rPr>
          <w:rFonts w:ascii="Arial" w:hAnsi="Arial" w:cs="Arial"/>
          <w:lang w:val="en-US"/>
        </w:rPr>
        <w:t xml:space="preserve">which was </w:t>
      </w:r>
      <w:r w:rsidR="002B3046">
        <w:rPr>
          <w:rFonts w:ascii="Arial" w:hAnsi="Arial" w:cs="Arial"/>
          <w:lang w:val="en-US"/>
        </w:rPr>
        <w:t xml:space="preserve">raised </w:t>
      </w:r>
      <w:r w:rsidR="00197953">
        <w:rPr>
          <w:rFonts w:ascii="Arial" w:hAnsi="Arial" w:cs="Arial"/>
          <w:lang w:val="en-US"/>
        </w:rPr>
        <w:t xml:space="preserve">related to the same receipt and the same treatment of the receipt, with the only distinction being the basis upon which </w:t>
      </w:r>
      <w:r w:rsidR="00A14292">
        <w:rPr>
          <w:rFonts w:ascii="Arial" w:hAnsi="Arial" w:cs="Arial"/>
          <w:lang w:val="en-US"/>
        </w:rPr>
        <w:t>it was</w:t>
      </w:r>
      <w:r w:rsidR="002B3046">
        <w:rPr>
          <w:rFonts w:ascii="Arial" w:hAnsi="Arial" w:cs="Arial"/>
          <w:lang w:val="en-US"/>
        </w:rPr>
        <w:t xml:space="preserve"> to be treated </w:t>
      </w:r>
      <w:r w:rsidR="00197953">
        <w:rPr>
          <w:rFonts w:ascii="Arial" w:hAnsi="Arial" w:cs="Arial"/>
          <w:lang w:val="en-US"/>
        </w:rPr>
        <w:t>as capital.</w:t>
      </w:r>
      <w:r>
        <w:rPr>
          <w:rFonts w:ascii="Arial" w:hAnsi="Arial" w:cs="Arial"/>
          <w:lang w:val="en-US"/>
        </w:rPr>
        <w:t xml:space="preserve"> </w:t>
      </w:r>
      <w:r w:rsidR="00B56DF5">
        <w:rPr>
          <w:rFonts w:ascii="Arial" w:hAnsi="Arial" w:cs="Arial"/>
          <w:lang w:val="en-US"/>
        </w:rPr>
        <w:t>Put simply, the taxpayer still sought to argue that the amount was not subject to tax as it was capital, and not income, but for different reason</w:t>
      </w:r>
      <w:r w:rsidR="005829B4">
        <w:rPr>
          <w:rFonts w:ascii="Arial" w:hAnsi="Arial" w:cs="Arial"/>
          <w:lang w:val="en-US"/>
        </w:rPr>
        <w:t>s</w:t>
      </w:r>
      <w:r w:rsidR="00B56DF5">
        <w:rPr>
          <w:rFonts w:ascii="Arial" w:hAnsi="Arial" w:cs="Arial"/>
          <w:lang w:val="en-US"/>
        </w:rPr>
        <w:t>.</w:t>
      </w:r>
    </w:p>
    <w:p w14:paraId="6CE6FC1B" w14:textId="77777777" w:rsidR="002B3046" w:rsidRDefault="002B3046" w:rsidP="00197953">
      <w:pPr>
        <w:spacing w:line="480" w:lineRule="auto"/>
        <w:jc w:val="both"/>
        <w:rPr>
          <w:rFonts w:ascii="Arial" w:hAnsi="Arial" w:cs="Arial"/>
          <w:lang w:val="en-US"/>
        </w:rPr>
      </w:pPr>
    </w:p>
    <w:p w14:paraId="5BEC82FF" w14:textId="65A82DD4" w:rsidR="00197953" w:rsidRPr="002B3046" w:rsidRDefault="002B3046" w:rsidP="002B3046">
      <w:pPr>
        <w:spacing w:line="480" w:lineRule="auto"/>
        <w:jc w:val="both"/>
        <w:rPr>
          <w:rFonts w:ascii="Arial" w:hAnsi="Arial" w:cs="Arial"/>
          <w:lang w:val="en-US"/>
        </w:rPr>
      </w:pPr>
      <w:r>
        <w:rPr>
          <w:rFonts w:ascii="Arial" w:hAnsi="Arial" w:cs="Arial"/>
          <w:lang w:val="en-US"/>
        </w:rPr>
        <w:t>[9</w:t>
      </w:r>
      <w:r w:rsidR="005829B4">
        <w:rPr>
          <w:rFonts w:ascii="Arial" w:hAnsi="Arial" w:cs="Arial"/>
          <w:lang w:val="en-US"/>
        </w:rPr>
        <w:t>2</w:t>
      </w:r>
      <w:r>
        <w:rPr>
          <w:rFonts w:ascii="Arial" w:hAnsi="Arial" w:cs="Arial"/>
          <w:lang w:val="en-US"/>
        </w:rPr>
        <w:t>]</w:t>
      </w:r>
      <w:r>
        <w:rPr>
          <w:rFonts w:ascii="Arial" w:hAnsi="Arial" w:cs="Arial"/>
          <w:lang w:val="en-US"/>
        </w:rPr>
        <w:tab/>
        <w:t>I</w:t>
      </w:r>
      <w:r w:rsidR="00197953">
        <w:rPr>
          <w:rFonts w:ascii="Arial" w:hAnsi="Arial" w:cs="Arial"/>
          <w:lang w:val="en-US"/>
        </w:rPr>
        <w:t xml:space="preserve">n </w:t>
      </w:r>
      <w:r w:rsidR="00E31BE1" w:rsidRPr="008409D5">
        <w:rPr>
          <w:rFonts w:ascii="Arial" w:hAnsi="Arial" w:cs="Arial"/>
          <w:i/>
          <w:lang w:val="en-US"/>
        </w:rPr>
        <w:t>HR</w:t>
      </w:r>
      <w:r w:rsidR="00E31BE1">
        <w:rPr>
          <w:rFonts w:ascii="Arial" w:hAnsi="Arial" w:cs="Arial"/>
          <w:lang w:val="en-US"/>
        </w:rPr>
        <w:t xml:space="preserve"> </w:t>
      </w:r>
      <w:r w:rsidR="00197953" w:rsidRPr="00AA2922">
        <w:rPr>
          <w:rFonts w:ascii="Arial" w:hAnsi="Arial" w:cs="Arial"/>
          <w:i/>
          <w:iCs/>
          <w:lang w:val="en-US"/>
        </w:rPr>
        <w:t>Computek</w:t>
      </w:r>
      <w:r>
        <w:rPr>
          <w:rFonts w:ascii="Arial" w:hAnsi="Arial" w:cs="Arial"/>
          <w:i/>
          <w:iCs/>
          <w:lang w:val="en-US"/>
        </w:rPr>
        <w:t xml:space="preserve"> </w:t>
      </w:r>
      <w:r w:rsidR="00197953">
        <w:rPr>
          <w:rStyle w:val="FootnoteReference"/>
          <w:rFonts w:ascii="Arial" w:hAnsi="Arial" w:cs="Arial"/>
          <w:lang w:val="en-US"/>
        </w:rPr>
        <w:footnoteReference w:id="31"/>
      </w:r>
      <w:r w:rsidR="00197953">
        <w:rPr>
          <w:rFonts w:ascii="Arial" w:hAnsi="Arial" w:cs="Arial"/>
          <w:lang w:val="en-US"/>
        </w:rPr>
        <w:t xml:space="preserve"> </w:t>
      </w:r>
      <w:r>
        <w:rPr>
          <w:rFonts w:ascii="Arial" w:hAnsi="Arial" w:cs="Arial"/>
          <w:lang w:val="en-US"/>
        </w:rPr>
        <w:t xml:space="preserve">the disputed amount was similarly assessed as </w:t>
      </w:r>
      <w:r w:rsidRPr="002B3046">
        <w:rPr>
          <w:rFonts w:ascii="Arial" w:hAnsi="Arial" w:cs="Arial"/>
          <w:lang w:val="en-US"/>
        </w:rPr>
        <w:t>a</w:t>
      </w:r>
      <w:r w:rsidR="00197953" w:rsidRPr="002B3046">
        <w:rPr>
          <w:rFonts w:ascii="Arial" w:hAnsi="Arial" w:cs="Arial"/>
          <w:lang w:val="en-US"/>
        </w:rPr>
        <w:t xml:space="preserve"> capital amount</w:t>
      </w:r>
      <w:r w:rsidRPr="002B3046">
        <w:rPr>
          <w:rFonts w:ascii="Arial" w:hAnsi="Arial" w:cs="Arial"/>
          <w:lang w:val="en-US"/>
        </w:rPr>
        <w:t xml:space="preserve"> which was liable for VAT, to which the</w:t>
      </w:r>
      <w:r w:rsidR="00197953" w:rsidRPr="002B3046">
        <w:rPr>
          <w:rFonts w:ascii="Arial" w:hAnsi="Arial" w:cs="Arial"/>
          <w:lang w:val="en-US"/>
        </w:rPr>
        <w:t xml:space="preserve"> </w:t>
      </w:r>
      <w:r w:rsidRPr="002B3046">
        <w:rPr>
          <w:rFonts w:ascii="Arial" w:hAnsi="Arial" w:cs="Arial"/>
          <w:lang w:val="en-US"/>
        </w:rPr>
        <w:t xml:space="preserve">dissatisfied </w:t>
      </w:r>
      <w:r w:rsidR="00197953" w:rsidRPr="002B3046">
        <w:rPr>
          <w:rFonts w:ascii="Arial" w:hAnsi="Arial" w:cs="Arial"/>
          <w:lang w:val="en-US"/>
        </w:rPr>
        <w:t>taxpayer ought to have objected</w:t>
      </w:r>
      <w:r w:rsidRPr="002B3046">
        <w:rPr>
          <w:rFonts w:ascii="Arial" w:hAnsi="Arial" w:cs="Arial"/>
          <w:lang w:val="en-US"/>
        </w:rPr>
        <w:t>, but did not.</w:t>
      </w:r>
      <w:r w:rsidR="00197953" w:rsidRPr="002B3046">
        <w:rPr>
          <w:rFonts w:ascii="Arial" w:hAnsi="Arial" w:cs="Arial"/>
          <w:lang w:val="en-US"/>
        </w:rPr>
        <w:t xml:space="preserve"> </w:t>
      </w:r>
    </w:p>
    <w:p w14:paraId="62967317" w14:textId="77777777" w:rsidR="00AA2922" w:rsidRPr="006157D6" w:rsidRDefault="00AA2922" w:rsidP="00197953">
      <w:pPr>
        <w:spacing w:line="480" w:lineRule="auto"/>
        <w:jc w:val="both"/>
        <w:rPr>
          <w:rFonts w:ascii="Arial" w:hAnsi="Arial" w:cs="Arial"/>
          <w:i/>
          <w:iCs/>
          <w:lang w:val="en-US"/>
        </w:rPr>
      </w:pPr>
    </w:p>
    <w:p w14:paraId="094968D3" w14:textId="2AF831BE" w:rsidR="00D87D6B" w:rsidRDefault="00AA2922" w:rsidP="00197953">
      <w:pPr>
        <w:spacing w:line="480" w:lineRule="auto"/>
        <w:jc w:val="both"/>
        <w:rPr>
          <w:rFonts w:ascii="Arial" w:hAnsi="Arial" w:cs="Arial"/>
          <w:lang w:val="en-US"/>
        </w:rPr>
      </w:pPr>
      <w:r>
        <w:rPr>
          <w:rFonts w:ascii="Arial" w:hAnsi="Arial" w:cs="Arial"/>
          <w:lang w:val="en-US"/>
        </w:rPr>
        <w:t>[9</w:t>
      </w:r>
      <w:r w:rsidR="005829B4">
        <w:rPr>
          <w:rFonts w:ascii="Arial" w:hAnsi="Arial" w:cs="Arial"/>
          <w:lang w:val="en-US"/>
        </w:rPr>
        <w:t>3</w:t>
      </w:r>
      <w:r>
        <w:rPr>
          <w:rFonts w:ascii="Arial" w:hAnsi="Arial" w:cs="Arial"/>
          <w:lang w:val="en-US"/>
        </w:rPr>
        <w:t>]</w:t>
      </w:r>
      <w:r>
        <w:rPr>
          <w:rFonts w:ascii="Arial" w:hAnsi="Arial" w:cs="Arial"/>
          <w:lang w:val="en-US"/>
        </w:rPr>
        <w:tab/>
      </w:r>
      <w:r w:rsidR="002B3046">
        <w:rPr>
          <w:rFonts w:ascii="Arial" w:hAnsi="Arial" w:cs="Arial"/>
          <w:lang w:val="en-US"/>
        </w:rPr>
        <w:t>Af</w:t>
      </w:r>
      <w:r w:rsidR="00197953">
        <w:rPr>
          <w:rFonts w:ascii="Arial" w:hAnsi="Arial" w:cs="Arial"/>
          <w:lang w:val="en-US"/>
        </w:rPr>
        <w:t>ter referr</w:t>
      </w:r>
      <w:r w:rsidR="002B3046">
        <w:rPr>
          <w:rFonts w:ascii="Arial" w:hAnsi="Arial" w:cs="Arial"/>
          <w:lang w:val="en-US"/>
        </w:rPr>
        <w:t>ing</w:t>
      </w:r>
      <w:r w:rsidR="00197953">
        <w:rPr>
          <w:rFonts w:ascii="Arial" w:hAnsi="Arial" w:cs="Arial"/>
          <w:lang w:val="en-US"/>
        </w:rPr>
        <w:t xml:space="preserve"> to the decision </w:t>
      </w:r>
      <w:r w:rsidR="002B3046">
        <w:rPr>
          <w:rFonts w:ascii="Arial" w:hAnsi="Arial" w:cs="Arial"/>
          <w:lang w:val="en-US"/>
        </w:rPr>
        <w:t>in</w:t>
      </w:r>
      <w:r w:rsidR="00197953">
        <w:rPr>
          <w:rFonts w:ascii="Arial" w:hAnsi="Arial" w:cs="Arial"/>
          <w:lang w:val="en-US"/>
        </w:rPr>
        <w:t xml:space="preserve"> </w:t>
      </w:r>
      <w:r w:rsidR="00197953" w:rsidRPr="00AA2922">
        <w:rPr>
          <w:rFonts w:ascii="Arial" w:hAnsi="Arial" w:cs="Arial"/>
          <w:i/>
          <w:iCs/>
          <w:lang w:val="en-US"/>
        </w:rPr>
        <w:t>Matla Coal</w:t>
      </w:r>
      <w:r w:rsidR="002B3046">
        <w:rPr>
          <w:rFonts w:ascii="Arial" w:hAnsi="Arial" w:cs="Arial"/>
          <w:i/>
          <w:iCs/>
          <w:lang w:val="en-US"/>
        </w:rPr>
        <w:t xml:space="preserve">, </w:t>
      </w:r>
      <w:r w:rsidR="002B3046" w:rsidRPr="002B3046">
        <w:rPr>
          <w:rFonts w:ascii="Arial" w:hAnsi="Arial" w:cs="Arial"/>
          <w:lang w:val="en-US"/>
        </w:rPr>
        <w:t>Ponnan JA</w:t>
      </w:r>
      <w:r w:rsidR="002B3046">
        <w:rPr>
          <w:rFonts w:ascii="Arial" w:hAnsi="Arial" w:cs="Arial"/>
          <w:lang w:val="en-US"/>
        </w:rPr>
        <w:t xml:space="preserve"> held </w:t>
      </w:r>
      <w:r w:rsidR="009F2F27">
        <w:rPr>
          <w:rFonts w:ascii="Arial" w:hAnsi="Arial" w:cs="Arial"/>
          <w:lang w:val="en-US"/>
        </w:rPr>
        <w:t>(</w:t>
      </w:r>
      <w:r w:rsidR="002B3046">
        <w:rPr>
          <w:rFonts w:ascii="Arial" w:hAnsi="Arial" w:cs="Arial"/>
          <w:lang w:val="en-US"/>
        </w:rPr>
        <w:t>with reference to the forerunner to the current rule</w:t>
      </w:r>
      <w:r w:rsidR="009F2F27">
        <w:rPr>
          <w:rFonts w:ascii="Arial" w:hAnsi="Arial" w:cs="Arial"/>
          <w:lang w:val="en-US"/>
        </w:rPr>
        <w:t>s)</w:t>
      </w:r>
      <w:r w:rsidR="00652A55">
        <w:rPr>
          <w:rFonts w:ascii="Arial" w:hAnsi="Arial" w:cs="Arial"/>
          <w:lang w:val="en-US"/>
        </w:rPr>
        <w:t>,</w:t>
      </w:r>
      <w:r w:rsidR="002B3046">
        <w:rPr>
          <w:rFonts w:ascii="Arial" w:hAnsi="Arial" w:cs="Arial"/>
          <w:lang w:val="en-US"/>
        </w:rPr>
        <w:t xml:space="preserve"> </w:t>
      </w:r>
      <w:r w:rsidR="00652A55">
        <w:rPr>
          <w:rFonts w:ascii="Arial" w:hAnsi="Arial" w:cs="Arial"/>
          <w:lang w:val="en-US"/>
        </w:rPr>
        <w:t>that</w:t>
      </w:r>
      <w:r w:rsidR="009F2F27">
        <w:rPr>
          <w:rFonts w:ascii="Arial" w:hAnsi="Arial" w:cs="Arial"/>
          <w:lang w:val="en-US"/>
        </w:rPr>
        <w:t xml:space="preserve"> the resultant </w:t>
      </w:r>
      <w:r w:rsidR="00652A55">
        <w:rPr>
          <w:rFonts w:ascii="Arial" w:hAnsi="Arial" w:cs="Arial"/>
          <w:lang w:val="en-US"/>
        </w:rPr>
        <w:t>effect was that</w:t>
      </w:r>
      <w:r w:rsidR="00197953">
        <w:rPr>
          <w:rFonts w:ascii="Arial" w:hAnsi="Arial" w:cs="Arial"/>
          <w:lang w:val="en-US"/>
        </w:rPr>
        <w:t xml:space="preserve">: </w:t>
      </w:r>
    </w:p>
    <w:p w14:paraId="1B6A581E" w14:textId="7E4A73CD" w:rsidR="00197953" w:rsidRPr="00D87D6B" w:rsidRDefault="00115B24" w:rsidP="001E1950">
      <w:pPr>
        <w:jc w:val="both"/>
        <w:rPr>
          <w:rFonts w:ascii="Arial" w:hAnsi="Arial" w:cs="Arial"/>
          <w:i/>
          <w:iCs/>
          <w:sz w:val="20"/>
          <w:szCs w:val="20"/>
          <w:lang w:val="en-US"/>
        </w:rPr>
      </w:pPr>
      <w:r w:rsidRPr="00D87D6B">
        <w:rPr>
          <w:rFonts w:ascii="Arial" w:hAnsi="Arial" w:cs="Arial"/>
          <w:sz w:val="20"/>
          <w:szCs w:val="20"/>
          <w:lang w:val="en-US"/>
        </w:rPr>
        <w:t>‘</w:t>
      </w:r>
      <w:r w:rsidR="00197953" w:rsidRPr="00F034C0">
        <w:rPr>
          <w:rFonts w:ascii="Arial" w:hAnsi="Arial" w:cs="Arial"/>
          <w:i/>
          <w:iCs/>
          <w:sz w:val="20"/>
          <w:szCs w:val="20"/>
          <w:u w:val="single"/>
          <w:lang w:val="en-US"/>
        </w:rPr>
        <w:t xml:space="preserve">It follows that not having raised an objection to the capital assessment in </w:t>
      </w:r>
      <w:r w:rsidRPr="00F034C0">
        <w:rPr>
          <w:rFonts w:ascii="Arial" w:hAnsi="Arial" w:cs="Arial"/>
          <w:i/>
          <w:iCs/>
          <w:sz w:val="20"/>
          <w:szCs w:val="20"/>
          <w:u w:val="single"/>
          <w:lang w:val="en-US"/>
        </w:rPr>
        <w:t>its</w:t>
      </w:r>
      <w:r w:rsidR="00197953" w:rsidRPr="00F034C0">
        <w:rPr>
          <w:rFonts w:ascii="Arial" w:hAnsi="Arial" w:cs="Arial"/>
          <w:i/>
          <w:iCs/>
          <w:sz w:val="20"/>
          <w:szCs w:val="20"/>
          <w:u w:val="single"/>
          <w:lang w:val="en-US"/>
        </w:rPr>
        <w:t xml:space="preserve"> notice of objection, the taxpayer was precluded from raising it on appeal before the tax court</w:t>
      </w:r>
      <w:r w:rsidR="00197953" w:rsidRPr="00D87D6B">
        <w:rPr>
          <w:rFonts w:ascii="Arial" w:hAnsi="Arial" w:cs="Arial"/>
          <w:i/>
          <w:iCs/>
          <w:sz w:val="20"/>
          <w:szCs w:val="20"/>
          <w:lang w:val="en-US"/>
        </w:rPr>
        <w:t xml:space="preserve">. That that must </w:t>
      </w:r>
      <w:r w:rsidRPr="00D87D6B">
        <w:rPr>
          <w:rFonts w:ascii="Arial" w:hAnsi="Arial" w:cs="Arial"/>
          <w:i/>
          <w:iCs/>
          <w:sz w:val="20"/>
          <w:szCs w:val="20"/>
          <w:lang w:val="en-US"/>
        </w:rPr>
        <w:t xml:space="preserve">be </w:t>
      </w:r>
      <w:r w:rsidR="00197953" w:rsidRPr="00D87D6B">
        <w:rPr>
          <w:rFonts w:ascii="Arial" w:hAnsi="Arial" w:cs="Arial"/>
          <w:i/>
          <w:iCs/>
          <w:sz w:val="20"/>
          <w:szCs w:val="20"/>
          <w:lang w:val="en-US"/>
        </w:rPr>
        <w:t>so find</w:t>
      </w:r>
      <w:r w:rsidRPr="00D87D6B">
        <w:rPr>
          <w:rFonts w:ascii="Arial" w:hAnsi="Arial" w:cs="Arial"/>
          <w:i/>
          <w:iCs/>
          <w:sz w:val="20"/>
          <w:szCs w:val="20"/>
          <w:lang w:val="en-US"/>
        </w:rPr>
        <w:t>s</w:t>
      </w:r>
      <w:r w:rsidR="00197953" w:rsidRPr="00D87D6B">
        <w:rPr>
          <w:rFonts w:ascii="Arial" w:hAnsi="Arial" w:cs="Arial"/>
          <w:i/>
          <w:iCs/>
          <w:sz w:val="20"/>
          <w:szCs w:val="20"/>
          <w:lang w:val="en-US"/>
        </w:rPr>
        <w:t xml:space="preserve"> support in rule 6(3) (a), which provides:</w:t>
      </w:r>
    </w:p>
    <w:p w14:paraId="59C32474" w14:textId="41E6F76B" w:rsidR="00197953" w:rsidRPr="00D87D6B" w:rsidRDefault="00A142E4" w:rsidP="001E1950">
      <w:pPr>
        <w:jc w:val="both"/>
        <w:rPr>
          <w:rFonts w:ascii="Arial" w:hAnsi="Arial" w:cs="Arial"/>
          <w:i/>
          <w:iCs/>
          <w:sz w:val="20"/>
          <w:szCs w:val="20"/>
          <w:lang w:val="en-US"/>
        </w:rPr>
      </w:pPr>
      <w:r w:rsidRPr="00D87D6B">
        <w:rPr>
          <w:rFonts w:ascii="Arial" w:hAnsi="Arial" w:cs="Arial"/>
          <w:i/>
          <w:iCs/>
          <w:sz w:val="20"/>
          <w:szCs w:val="20"/>
          <w:lang w:val="en-US"/>
        </w:rPr>
        <w:t>“</w:t>
      </w:r>
      <w:r w:rsidR="00197953" w:rsidRPr="00D87D6B">
        <w:rPr>
          <w:rFonts w:ascii="Arial" w:hAnsi="Arial" w:cs="Arial"/>
          <w:i/>
          <w:iCs/>
          <w:sz w:val="20"/>
          <w:szCs w:val="20"/>
          <w:lang w:val="en-US"/>
        </w:rPr>
        <w:t>(3) In the taxpayer’s notice of appeal in terms of sub rule (2), he or she-</w:t>
      </w:r>
    </w:p>
    <w:p w14:paraId="2E5A60C4" w14:textId="0C8FA79E" w:rsidR="00197953" w:rsidRPr="00741C84" w:rsidRDefault="00741C84" w:rsidP="00741C84">
      <w:pPr>
        <w:ind w:left="720" w:hanging="360"/>
        <w:jc w:val="both"/>
        <w:rPr>
          <w:rFonts w:ascii="Arial" w:hAnsi="Arial" w:cs="Arial"/>
          <w:i/>
          <w:iCs/>
          <w:sz w:val="20"/>
          <w:szCs w:val="20"/>
          <w:lang w:val="en-US"/>
        </w:rPr>
      </w:pPr>
      <w:r w:rsidRPr="00D87D6B">
        <w:rPr>
          <w:rFonts w:ascii="Arial" w:eastAsiaTheme="minorHAnsi" w:hAnsi="Arial" w:cs="Arial"/>
          <w:i/>
          <w:iCs/>
          <w:sz w:val="20"/>
          <w:szCs w:val="20"/>
          <w:lang w:val="en-US" w:eastAsia="en-US"/>
        </w:rPr>
        <w:t>(a)</w:t>
      </w:r>
      <w:r w:rsidRPr="00D87D6B">
        <w:rPr>
          <w:rFonts w:ascii="Arial" w:eastAsiaTheme="minorHAnsi" w:hAnsi="Arial" w:cs="Arial"/>
          <w:i/>
          <w:iCs/>
          <w:sz w:val="20"/>
          <w:szCs w:val="20"/>
          <w:lang w:val="en-US" w:eastAsia="en-US"/>
        </w:rPr>
        <w:tab/>
      </w:r>
      <w:r w:rsidR="00197953" w:rsidRPr="00741C84">
        <w:rPr>
          <w:rFonts w:ascii="Arial" w:hAnsi="Arial" w:cs="Arial"/>
          <w:i/>
          <w:iCs/>
          <w:sz w:val="20"/>
          <w:szCs w:val="20"/>
          <w:lang w:val="en-US"/>
        </w:rPr>
        <w:t>must indicate in respect of which of the grounds specified in his or her objection in terms of rule 4 he or she is appealing.</w:t>
      </w:r>
      <w:r w:rsidR="00A142E4" w:rsidRPr="00741C84">
        <w:rPr>
          <w:rFonts w:ascii="Arial" w:hAnsi="Arial" w:cs="Arial"/>
          <w:i/>
          <w:iCs/>
          <w:sz w:val="20"/>
          <w:szCs w:val="20"/>
          <w:lang w:val="en-US"/>
        </w:rPr>
        <w:t>”</w:t>
      </w:r>
    </w:p>
    <w:p w14:paraId="5C3F04E3" w14:textId="1A0486C0" w:rsidR="00197953" w:rsidRPr="009F2F27" w:rsidRDefault="00197953" w:rsidP="001E1950">
      <w:pPr>
        <w:jc w:val="both"/>
        <w:rPr>
          <w:rFonts w:ascii="Arial" w:hAnsi="Arial" w:cs="Arial"/>
          <w:lang w:val="en-US"/>
        </w:rPr>
      </w:pPr>
      <w:r w:rsidRPr="00D87D6B">
        <w:rPr>
          <w:rFonts w:ascii="Arial" w:hAnsi="Arial" w:cs="Arial"/>
          <w:i/>
          <w:iCs/>
          <w:sz w:val="20"/>
          <w:szCs w:val="20"/>
          <w:lang w:val="en-US"/>
        </w:rPr>
        <w:t>Thus</w:t>
      </w:r>
      <w:r w:rsidR="002B3046">
        <w:rPr>
          <w:rFonts w:ascii="Arial" w:hAnsi="Arial" w:cs="Arial"/>
          <w:i/>
          <w:iCs/>
          <w:sz w:val="20"/>
          <w:szCs w:val="20"/>
          <w:lang w:val="en-US"/>
        </w:rPr>
        <w:t>,</w:t>
      </w:r>
      <w:r w:rsidRPr="00D87D6B">
        <w:rPr>
          <w:rFonts w:ascii="Arial" w:hAnsi="Arial" w:cs="Arial"/>
          <w:i/>
          <w:iCs/>
          <w:sz w:val="20"/>
          <w:szCs w:val="20"/>
          <w:lang w:val="en-US"/>
        </w:rPr>
        <w:t xml:space="preserve"> </w:t>
      </w:r>
      <w:r w:rsidRPr="00F034C0">
        <w:rPr>
          <w:rFonts w:ascii="Arial" w:hAnsi="Arial" w:cs="Arial"/>
          <w:i/>
          <w:iCs/>
          <w:sz w:val="20"/>
          <w:szCs w:val="20"/>
          <w:u w:val="single"/>
          <w:lang w:val="en-US"/>
        </w:rPr>
        <w:t>when the taxpayer challenge</w:t>
      </w:r>
      <w:r w:rsidR="00A142E4" w:rsidRPr="00F034C0">
        <w:rPr>
          <w:rFonts w:ascii="Arial" w:hAnsi="Arial" w:cs="Arial"/>
          <w:i/>
          <w:iCs/>
          <w:sz w:val="20"/>
          <w:szCs w:val="20"/>
          <w:u w:val="single"/>
          <w:lang w:val="en-US"/>
        </w:rPr>
        <w:t>d</w:t>
      </w:r>
      <w:r w:rsidRPr="00F034C0">
        <w:rPr>
          <w:rFonts w:ascii="Arial" w:hAnsi="Arial" w:cs="Arial"/>
          <w:i/>
          <w:iCs/>
          <w:sz w:val="20"/>
          <w:szCs w:val="20"/>
          <w:u w:val="single"/>
          <w:lang w:val="en-US"/>
        </w:rPr>
        <w:t xml:space="preserve"> the capital amount for the </w:t>
      </w:r>
      <w:r w:rsidR="00A142E4" w:rsidRPr="00F034C0">
        <w:rPr>
          <w:rFonts w:ascii="Arial" w:hAnsi="Arial" w:cs="Arial"/>
          <w:i/>
          <w:iCs/>
          <w:sz w:val="20"/>
          <w:szCs w:val="20"/>
          <w:u w:val="single"/>
          <w:lang w:val="en-US"/>
        </w:rPr>
        <w:t>first</w:t>
      </w:r>
      <w:r w:rsidRPr="00F034C0">
        <w:rPr>
          <w:rFonts w:ascii="Arial" w:hAnsi="Arial" w:cs="Arial"/>
          <w:i/>
          <w:iCs/>
          <w:sz w:val="20"/>
          <w:szCs w:val="20"/>
          <w:u w:val="single"/>
          <w:lang w:val="en-US"/>
        </w:rPr>
        <w:t xml:space="preserve"> time in its 11 statement, it</w:t>
      </w:r>
      <w:r w:rsidR="00A142E4" w:rsidRPr="00F034C0">
        <w:rPr>
          <w:rFonts w:ascii="Arial" w:hAnsi="Arial" w:cs="Arial"/>
          <w:i/>
          <w:iCs/>
          <w:sz w:val="20"/>
          <w:szCs w:val="20"/>
          <w:u w:val="single"/>
          <w:lang w:val="en-US"/>
        </w:rPr>
        <w:t xml:space="preserve"> effectively</w:t>
      </w:r>
      <w:r w:rsidRPr="00F034C0">
        <w:rPr>
          <w:rFonts w:ascii="Arial" w:hAnsi="Arial" w:cs="Arial"/>
          <w:i/>
          <w:iCs/>
          <w:sz w:val="20"/>
          <w:szCs w:val="20"/>
          <w:u w:val="single"/>
          <w:lang w:val="en-US"/>
        </w:rPr>
        <w:t xml:space="preserve"> raised a </w:t>
      </w:r>
      <w:r w:rsidR="00A142E4" w:rsidRPr="00F034C0">
        <w:rPr>
          <w:rFonts w:ascii="Arial" w:hAnsi="Arial" w:cs="Arial"/>
          <w:i/>
          <w:iCs/>
          <w:sz w:val="20"/>
          <w:szCs w:val="20"/>
          <w:u w:val="single"/>
          <w:lang w:val="en-US"/>
        </w:rPr>
        <w:t>“</w:t>
      </w:r>
      <w:r w:rsidRPr="00F034C0">
        <w:rPr>
          <w:rFonts w:ascii="Arial" w:hAnsi="Arial" w:cs="Arial"/>
          <w:i/>
          <w:iCs/>
          <w:sz w:val="20"/>
          <w:szCs w:val="20"/>
          <w:u w:val="single"/>
          <w:lang w:val="en-US"/>
        </w:rPr>
        <w:t>new objection</w:t>
      </w:r>
      <w:r w:rsidR="003D2087" w:rsidRPr="00F034C0">
        <w:rPr>
          <w:rFonts w:ascii="Arial" w:hAnsi="Arial" w:cs="Arial"/>
          <w:i/>
          <w:iCs/>
          <w:sz w:val="20"/>
          <w:szCs w:val="20"/>
          <w:u w:val="single"/>
          <w:lang w:val="en-US"/>
        </w:rPr>
        <w:t>”</w:t>
      </w:r>
      <w:r w:rsidRPr="00F034C0">
        <w:rPr>
          <w:rFonts w:ascii="Arial" w:hAnsi="Arial" w:cs="Arial"/>
          <w:i/>
          <w:iCs/>
          <w:sz w:val="20"/>
          <w:szCs w:val="20"/>
          <w:u w:val="single"/>
          <w:lang w:val="en-US"/>
        </w:rPr>
        <w:t xml:space="preserve"> directed at an individual assessed amount that had not previously been objected to</w:t>
      </w:r>
      <w:r w:rsidR="003D2087" w:rsidRPr="00F034C0">
        <w:rPr>
          <w:rFonts w:ascii="Arial" w:hAnsi="Arial" w:cs="Arial"/>
          <w:i/>
          <w:iCs/>
          <w:sz w:val="20"/>
          <w:szCs w:val="20"/>
          <w:u w:val="single"/>
          <w:lang w:val="en-US"/>
        </w:rPr>
        <w:t xml:space="preserve"> .</w:t>
      </w:r>
      <w:r w:rsidR="003D2087" w:rsidRPr="00D87D6B">
        <w:rPr>
          <w:rFonts w:ascii="Arial" w:hAnsi="Arial" w:cs="Arial"/>
          <w:i/>
          <w:iCs/>
          <w:sz w:val="20"/>
          <w:szCs w:val="20"/>
          <w:lang w:val="en-US"/>
        </w:rPr>
        <w:t xml:space="preserve"> . .</w:t>
      </w:r>
      <w:r w:rsidR="003D2087">
        <w:rPr>
          <w:rFonts w:ascii="Arial" w:hAnsi="Arial" w:cs="Arial"/>
          <w:i/>
          <w:iCs/>
          <w:lang w:val="en-US"/>
        </w:rPr>
        <w:t>’</w:t>
      </w:r>
      <w:r w:rsidR="001E1950">
        <w:rPr>
          <w:rFonts w:ascii="Arial" w:hAnsi="Arial" w:cs="Arial"/>
          <w:i/>
          <w:iCs/>
          <w:lang w:val="en-US"/>
        </w:rPr>
        <w:t xml:space="preserve"> </w:t>
      </w:r>
      <w:r w:rsidR="00115B24" w:rsidRPr="001E1950">
        <w:rPr>
          <w:rStyle w:val="FootnoteReference"/>
          <w:rFonts w:ascii="Arial" w:hAnsi="Arial" w:cs="Arial"/>
          <w:lang w:val="en-US"/>
        </w:rPr>
        <w:footnoteReference w:id="32"/>
      </w:r>
      <w:r w:rsidR="009F2F27">
        <w:rPr>
          <w:rFonts w:ascii="Arial" w:hAnsi="Arial" w:cs="Arial"/>
          <w:i/>
          <w:iCs/>
          <w:lang w:val="en-US"/>
        </w:rPr>
        <w:t xml:space="preserve"> </w:t>
      </w:r>
      <w:r w:rsidR="009F2F27">
        <w:rPr>
          <w:rFonts w:ascii="Arial" w:hAnsi="Arial" w:cs="Arial"/>
          <w:lang w:val="en-US"/>
        </w:rPr>
        <w:t>(our emphasis)</w:t>
      </w:r>
    </w:p>
    <w:p w14:paraId="717A2238" w14:textId="77777777" w:rsidR="00AA2922" w:rsidRDefault="00AA2922" w:rsidP="00197953">
      <w:pPr>
        <w:spacing w:line="480" w:lineRule="auto"/>
        <w:jc w:val="both"/>
        <w:rPr>
          <w:rFonts w:ascii="Arial" w:hAnsi="Arial" w:cs="Arial"/>
          <w:lang w:val="en-US"/>
        </w:rPr>
      </w:pPr>
    </w:p>
    <w:p w14:paraId="1FDA0A46" w14:textId="3DBFE4AB" w:rsidR="00197953" w:rsidRDefault="00AA2922" w:rsidP="00197953">
      <w:pPr>
        <w:spacing w:line="480" w:lineRule="auto"/>
        <w:jc w:val="both"/>
        <w:rPr>
          <w:rFonts w:ascii="Arial" w:hAnsi="Arial" w:cs="Arial"/>
          <w:lang w:val="en-US"/>
        </w:rPr>
      </w:pPr>
      <w:r>
        <w:rPr>
          <w:rFonts w:ascii="Arial" w:hAnsi="Arial" w:cs="Arial"/>
          <w:lang w:val="en-US"/>
        </w:rPr>
        <w:t>[9</w:t>
      </w:r>
      <w:r w:rsidR="005829B4">
        <w:rPr>
          <w:rFonts w:ascii="Arial" w:hAnsi="Arial" w:cs="Arial"/>
          <w:lang w:val="en-US"/>
        </w:rPr>
        <w:t>4</w:t>
      </w:r>
      <w:r>
        <w:rPr>
          <w:rFonts w:ascii="Arial" w:hAnsi="Arial" w:cs="Arial"/>
          <w:lang w:val="en-US"/>
        </w:rPr>
        <w:t>]</w:t>
      </w:r>
      <w:r>
        <w:rPr>
          <w:rFonts w:ascii="Arial" w:hAnsi="Arial" w:cs="Arial"/>
          <w:lang w:val="en-US"/>
        </w:rPr>
        <w:tab/>
      </w:r>
      <w:r w:rsidR="004852E9">
        <w:rPr>
          <w:rFonts w:ascii="Arial" w:hAnsi="Arial" w:cs="Arial"/>
          <w:lang w:val="en-US"/>
        </w:rPr>
        <w:t xml:space="preserve">In our view, the effect of this is that </w:t>
      </w:r>
      <w:r w:rsidR="009F2F27">
        <w:rPr>
          <w:rFonts w:ascii="Arial" w:hAnsi="Arial" w:cs="Arial"/>
          <w:lang w:val="en-US"/>
        </w:rPr>
        <w:t>an</w:t>
      </w:r>
      <w:r w:rsidR="004852E9">
        <w:rPr>
          <w:rFonts w:ascii="Arial" w:hAnsi="Arial" w:cs="Arial"/>
          <w:lang w:val="en-US"/>
        </w:rPr>
        <w:t xml:space="preserve"> amount which is raised in a </w:t>
      </w:r>
      <w:r w:rsidR="00197953">
        <w:rPr>
          <w:rFonts w:ascii="Arial" w:hAnsi="Arial" w:cs="Arial"/>
          <w:lang w:val="en-US"/>
        </w:rPr>
        <w:t>new ground of appeal must</w:t>
      </w:r>
      <w:r w:rsidR="004852E9">
        <w:rPr>
          <w:rFonts w:ascii="Arial" w:hAnsi="Arial" w:cs="Arial"/>
          <w:lang w:val="en-US"/>
        </w:rPr>
        <w:t>,</w:t>
      </w:r>
      <w:r w:rsidR="00197953">
        <w:rPr>
          <w:rFonts w:ascii="Arial" w:hAnsi="Arial" w:cs="Arial"/>
          <w:lang w:val="en-US"/>
        </w:rPr>
        <w:t xml:space="preserve"> in substance</w:t>
      </w:r>
      <w:r w:rsidR="003D2087">
        <w:rPr>
          <w:rFonts w:ascii="Arial" w:hAnsi="Arial" w:cs="Arial"/>
          <w:lang w:val="en-US"/>
        </w:rPr>
        <w:t>,</w:t>
      </w:r>
      <w:r w:rsidR="00197953">
        <w:rPr>
          <w:rFonts w:ascii="Arial" w:hAnsi="Arial" w:cs="Arial"/>
          <w:lang w:val="en-US"/>
        </w:rPr>
        <w:t xml:space="preserve"> </w:t>
      </w:r>
      <w:r w:rsidR="009F2F27">
        <w:rPr>
          <w:rFonts w:ascii="Arial" w:hAnsi="Arial" w:cs="Arial"/>
          <w:lang w:val="en-US"/>
        </w:rPr>
        <w:t>be</w:t>
      </w:r>
      <w:r w:rsidR="00197953">
        <w:rPr>
          <w:rFonts w:ascii="Arial" w:hAnsi="Arial" w:cs="Arial"/>
          <w:lang w:val="en-US"/>
        </w:rPr>
        <w:t xml:space="preserve"> </w:t>
      </w:r>
      <w:r w:rsidR="004852E9">
        <w:rPr>
          <w:rFonts w:ascii="Arial" w:hAnsi="Arial" w:cs="Arial"/>
          <w:lang w:val="en-US"/>
        </w:rPr>
        <w:t xml:space="preserve">the </w:t>
      </w:r>
      <w:r w:rsidR="004852E9" w:rsidRPr="00477189">
        <w:rPr>
          <w:rFonts w:ascii="Arial" w:hAnsi="Arial" w:cs="Arial"/>
          <w:i/>
          <w:iCs/>
          <w:lang w:val="en-US"/>
        </w:rPr>
        <w:t>same</w:t>
      </w:r>
      <w:r w:rsidR="004852E9">
        <w:rPr>
          <w:rFonts w:ascii="Arial" w:hAnsi="Arial" w:cs="Arial"/>
          <w:lang w:val="en-US"/>
        </w:rPr>
        <w:t xml:space="preserve"> amount, the disallowance of which was </w:t>
      </w:r>
      <w:r w:rsidR="00197953">
        <w:rPr>
          <w:rFonts w:ascii="Arial" w:hAnsi="Arial" w:cs="Arial"/>
          <w:lang w:val="en-US"/>
        </w:rPr>
        <w:t>objected to</w:t>
      </w:r>
      <w:r w:rsidR="004852E9">
        <w:rPr>
          <w:rFonts w:ascii="Arial" w:hAnsi="Arial" w:cs="Arial"/>
          <w:lang w:val="en-US"/>
        </w:rPr>
        <w:t xml:space="preserve"> </w:t>
      </w:r>
      <w:r w:rsidR="00197953">
        <w:rPr>
          <w:rFonts w:ascii="Arial" w:hAnsi="Arial" w:cs="Arial"/>
          <w:lang w:val="en-US"/>
        </w:rPr>
        <w:t xml:space="preserve">under rule 7. </w:t>
      </w:r>
      <w:r w:rsidR="00B56DF5">
        <w:rPr>
          <w:rFonts w:ascii="Arial" w:hAnsi="Arial" w:cs="Arial"/>
          <w:lang w:val="en-US"/>
        </w:rPr>
        <w:t xml:space="preserve">In this case the amount objected to pertained to a deduction that was claimed and disallowed, from the taxable income part of the assessment. The fact that the amount that is now referred to in the new ground of appeal </w:t>
      </w:r>
      <w:r w:rsidR="00DD6CF3">
        <w:rPr>
          <w:rFonts w:ascii="Arial" w:hAnsi="Arial" w:cs="Arial"/>
          <w:lang w:val="en-US"/>
        </w:rPr>
        <w:t>i</w:t>
      </w:r>
      <w:r w:rsidR="00B56DF5">
        <w:rPr>
          <w:rFonts w:ascii="Arial" w:hAnsi="Arial" w:cs="Arial"/>
          <w:lang w:val="en-US"/>
        </w:rPr>
        <w:t xml:space="preserve">n the rule 32 statement is </w:t>
      </w:r>
      <w:r w:rsidR="00B56DF5" w:rsidRPr="009F2F27">
        <w:rPr>
          <w:rFonts w:ascii="Arial" w:hAnsi="Arial" w:cs="Arial"/>
          <w:i/>
          <w:iCs/>
          <w:lang w:val="en-US"/>
        </w:rPr>
        <w:t>numerically</w:t>
      </w:r>
      <w:r w:rsidR="00B56DF5">
        <w:rPr>
          <w:rFonts w:ascii="Arial" w:hAnsi="Arial" w:cs="Arial"/>
          <w:lang w:val="en-US"/>
        </w:rPr>
        <w:t xml:space="preserve"> the same, does not make it the same amount that was objected to. The amount that is the subject of the new ground of appeal is an amount that pertains to </w:t>
      </w:r>
      <w:r w:rsidR="00523838">
        <w:rPr>
          <w:rFonts w:ascii="Arial" w:hAnsi="Arial" w:cs="Arial"/>
          <w:lang w:val="en-US"/>
        </w:rPr>
        <w:t xml:space="preserve">an exclusion that is </w:t>
      </w:r>
      <w:r w:rsidR="00A14292">
        <w:rPr>
          <w:rFonts w:ascii="Arial" w:hAnsi="Arial" w:cs="Arial"/>
          <w:lang w:val="en-US"/>
        </w:rPr>
        <w:t xml:space="preserve">now </w:t>
      </w:r>
      <w:r w:rsidR="00523838">
        <w:rPr>
          <w:rFonts w:ascii="Arial" w:hAnsi="Arial" w:cs="Arial"/>
          <w:lang w:val="en-US"/>
        </w:rPr>
        <w:t xml:space="preserve">sought </w:t>
      </w:r>
      <w:r w:rsidR="00DD6CF3">
        <w:rPr>
          <w:rFonts w:ascii="Arial" w:hAnsi="Arial" w:cs="Arial"/>
          <w:lang w:val="en-US"/>
        </w:rPr>
        <w:t>fro</w:t>
      </w:r>
      <w:r w:rsidR="00523838">
        <w:rPr>
          <w:rFonts w:ascii="Arial" w:hAnsi="Arial" w:cs="Arial"/>
          <w:lang w:val="en-US"/>
        </w:rPr>
        <w:t xml:space="preserve">m </w:t>
      </w:r>
      <w:r w:rsidR="00B56DF5">
        <w:rPr>
          <w:rFonts w:ascii="Arial" w:hAnsi="Arial" w:cs="Arial"/>
          <w:lang w:val="en-US"/>
        </w:rPr>
        <w:t>the gross income part of the assessment</w:t>
      </w:r>
      <w:r w:rsidR="00523838">
        <w:rPr>
          <w:rFonts w:ascii="Arial" w:hAnsi="Arial" w:cs="Arial"/>
          <w:lang w:val="en-US"/>
        </w:rPr>
        <w:t>.</w:t>
      </w:r>
      <w:r w:rsidR="00B56DF5">
        <w:rPr>
          <w:rFonts w:ascii="Arial" w:hAnsi="Arial" w:cs="Arial"/>
          <w:lang w:val="en-US"/>
        </w:rPr>
        <w:t xml:space="preserve"> </w:t>
      </w:r>
      <w:r w:rsidR="00197953">
        <w:rPr>
          <w:rFonts w:ascii="Arial" w:hAnsi="Arial" w:cs="Arial"/>
          <w:lang w:val="en-US"/>
        </w:rPr>
        <w:t>The fact that</w:t>
      </w:r>
      <w:r w:rsidR="009F2F27">
        <w:rPr>
          <w:rFonts w:ascii="Arial" w:hAnsi="Arial" w:cs="Arial"/>
          <w:lang w:val="en-US"/>
        </w:rPr>
        <w:t xml:space="preserve"> </w:t>
      </w:r>
      <w:r w:rsidR="00F034C0">
        <w:rPr>
          <w:rFonts w:ascii="Arial" w:hAnsi="Arial" w:cs="Arial"/>
          <w:lang w:val="en-US"/>
        </w:rPr>
        <w:t xml:space="preserve">it </w:t>
      </w:r>
      <w:r w:rsidR="00B56DF5">
        <w:rPr>
          <w:rFonts w:ascii="Arial" w:hAnsi="Arial" w:cs="Arial"/>
          <w:lang w:val="en-US"/>
        </w:rPr>
        <w:t>is</w:t>
      </w:r>
      <w:r w:rsidR="00197953">
        <w:rPr>
          <w:rFonts w:ascii="Arial" w:hAnsi="Arial" w:cs="Arial"/>
          <w:lang w:val="en-US"/>
        </w:rPr>
        <w:t xml:space="preserve"> </w:t>
      </w:r>
      <w:r w:rsidR="00523838">
        <w:rPr>
          <w:rFonts w:ascii="Arial" w:hAnsi="Arial" w:cs="Arial"/>
          <w:lang w:val="en-US"/>
        </w:rPr>
        <w:t xml:space="preserve">numerically </w:t>
      </w:r>
      <w:r w:rsidR="00197953">
        <w:rPr>
          <w:rFonts w:ascii="Arial" w:hAnsi="Arial" w:cs="Arial"/>
          <w:lang w:val="en-US"/>
        </w:rPr>
        <w:t xml:space="preserve">the same does not permit </w:t>
      </w:r>
      <w:r w:rsidR="00523838">
        <w:rPr>
          <w:rFonts w:ascii="Arial" w:hAnsi="Arial" w:cs="Arial"/>
          <w:lang w:val="en-US"/>
        </w:rPr>
        <w:t>the</w:t>
      </w:r>
      <w:r w:rsidR="00197953">
        <w:rPr>
          <w:rFonts w:ascii="Arial" w:hAnsi="Arial" w:cs="Arial"/>
          <w:lang w:val="en-US"/>
        </w:rPr>
        <w:t xml:space="preserve"> taxpayer to raise </w:t>
      </w:r>
      <w:r w:rsidR="00523838">
        <w:rPr>
          <w:rFonts w:ascii="Arial" w:hAnsi="Arial" w:cs="Arial"/>
          <w:lang w:val="en-US"/>
        </w:rPr>
        <w:t xml:space="preserve">it in </w:t>
      </w:r>
      <w:r w:rsidR="00197953">
        <w:rPr>
          <w:rFonts w:ascii="Arial" w:hAnsi="Arial" w:cs="Arial"/>
          <w:lang w:val="en-US"/>
        </w:rPr>
        <w:t>a new ground</w:t>
      </w:r>
      <w:r w:rsidR="00523838">
        <w:rPr>
          <w:rFonts w:ascii="Arial" w:hAnsi="Arial" w:cs="Arial"/>
          <w:lang w:val="en-US"/>
        </w:rPr>
        <w:t xml:space="preserve"> of appeal, in respect of a different </w:t>
      </w:r>
      <w:r w:rsidR="00197953">
        <w:rPr>
          <w:rFonts w:ascii="Arial" w:hAnsi="Arial" w:cs="Arial"/>
          <w:lang w:val="en-US"/>
        </w:rPr>
        <w:t xml:space="preserve">part </w:t>
      </w:r>
      <w:r w:rsidR="00523838">
        <w:rPr>
          <w:rFonts w:ascii="Arial" w:hAnsi="Arial" w:cs="Arial"/>
          <w:lang w:val="en-US"/>
        </w:rPr>
        <w:t xml:space="preserve">of the assessment that was </w:t>
      </w:r>
      <w:r w:rsidR="00197953">
        <w:rPr>
          <w:rFonts w:ascii="Arial" w:hAnsi="Arial" w:cs="Arial"/>
          <w:lang w:val="en-US"/>
        </w:rPr>
        <w:t xml:space="preserve">not objected to </w:t>
      </w:r>
      <w:r w:rsidR="00243B49" w:rsidRPr="00581660">
        <w:rPr>
          <w:rFonts w:ascii="Arial" w:hAnsi="Arial" w:cs="Arial"/>
          <w:u w:val="single"/>
          <w:lang w:val="en-US"/>
        </w:rPr>
        <w:t>in relation to that amount</w:t>
      </w:r>
      <w:r w:rsidR="00243B49">
        <w:rPr>
          <w:rFonts w:ascii="Arial" w:hAnsi="Arial" w:cs="Arial"/>
          <w:lang w:val="en-US"/>
        </w:rPr>
        <w:t xml:space="preserve">, </w:t>
      </w:r>
      <w:r w:rsidR="00197953">
        <w:rPr>
          <w:rFonts w:ascii="Arial" w:hAnsi="Arial" w:cs="Arial"/>
          <w:lang w:val="en-US"/>
        </w:rPr>
        <w:t xml:space="preserve">under rule 7. </w:t>
      </w:r>
      <w:r w:rsidR="00F034C0">
        <w:rPr>
          <w:rFonts w:ascii="Arial" w:hAnsi="Arial" w:cs="Arial"/>
          <w:lang w:val="en-US"/>
        </w:rPr>
        <w:t xml:space="preserve">In our view </w:t>
      </w:r>
      <w:r w:rsidR="00197953">
        <w:rPr>
          <w:rFonts w:ascii="Arial" w:hAnsi="Arial" w:cs="Arial"/>
          <w:lang w:val="en-US"/>
        </w:rPr>
        <w:t xml:space="preserve">there was no </w:t>
      </w:r>
      <w:r w:rsidR="00523838">
        <w:rPr>
          <w:rFonts w:ascii="Arial" w:hAnsi="Arial" w:cs="Arial"/>
          <w:lang w:val="en-US"/>
        </w:rPr>
        <w:t xml:space="preserve">permissible </w:t>
      </w:r>
      <w:r w:rsidR="00197953">
        <w:rPr>
          <w:rFonts w:ascii="Arial" w:hAnsi="Arial" w:cs="Arial"/>
          <w:lang w:val="en-US"/>
        </w:rPr>
        <w:t xml:space="preserve">amendment of an existing ground but </w:t>
      </w:r>
      <w:r w:rsidR="00523838">
        <w:rPr>
          <w:rFonts w:ascii="Arial" w:hAnsi="Arial" w:cs="Arial"/>
          <w:lang w:val="en-US"/>
        </w:rPr>
        <w:t xml:space="preserve">the introduction of </w:t>
      </w:r>
      <w:r w:rsidR="00197953">
        <w:rPr>
          <w:rFonts w:ascii="Arial" w:hAnsi="Arial" w:cs="Arial"/>
          <w:lang w:val="en-US"/>
        </w:rPr>
        <w:t xml:space="preserve">a totally new </w:t>
      </w:r>
      <w:r w:rsidR="00523838">
        <w:rPr>
          <w:rFonts w:ascii="Arial" w:hAnsi="Arial" w:cs="Arial"/>
          <w:lang w:val="en-US"/>
        </w:rPr>
        <w:t>one</w:t>
      </w:r>
      <w:r w:rsidR="00197953">
        <w:rPr>
          <w:rFonts w:ascii="Arial" w:hAnsi="Arial" w:cs="Arial"/>
          <w:lang w:val="en-US"/>
        </w:rPr>
        <w:t xml:space="preserve">. </w:t>
      </w:r>
      <w:r w:rsidR="00523838">
        <w:rPr>
          <w:rFonts w:ascii="Arial" w:hAnsi="Arial" w:cs="Arial"/>
          <w:lang w:val="en-US"/>
        </w:rPr>
        <w:t>This is therefore not a case where the point that is now sought to be argued on appeal in respect of the disputed amount was</w:t>
      </w:r>
      <w:r w:rsidR="00197953">
        <w:rPr>
          <w:rFonts w:ascii="Arial" w:hAnsi="Arial" w:cs="Arial"/>
          <w:lang w:val="en-US"/>
        </w:rPr>
        <w:t xml:space="preserve"> </w:t>
      </w:r>
      <w:r w:rsidR="00523838">
        <w:rPr>
          <w:rFonts w:ascii="Arial" w:hAnsi="Arial" w:cs="Arial"/>
          <w:lang w:val="en-US"/>
        </w:rPr>
        <w:t>‘</w:t>
      </w:r>
      <w:r w:rsidR="00197953">
        <w:rPr>
          <w:rFonts w:ascii="Arial" w:hAnsi="Arial" w:cs="Arial"/>
          <w:lang w:val="en-US"/>
        </w:rPr>
        <w:t>foreshadowed</w:t>
      </w:r>
      <w:r w:rsidR="00523838">
        <w:rPr>
          <w:rFonts w:ascii="Arial" w:hAnsi="Arial" w:cs="Arial"/>
          <w:lang w:val="en-US"/>
        </w:rPr>
        <w:t xml:space="preserve">’ in the objection (as per </w:t>
      </w:r>
      <w:r w:rsidR="00523838" w:rsidRPr="00523838">
        <w:rPr>
          <w:rFonts w:ascii="Arial" w:hAnsi="Arial" w:cs="Arial"/>
          <w:i/>
          <w:iCs/>
          <w:lang w:val="en-US"/>
        </w:rPr>
        <w:t>Free State Development Corporation</w:t>
      </w:r>
      <w:r w:rsidR="00523838">
        <w:rPr>
          <w:rFonts w:ascii="Arial" w:hAnsi="Arial" w:cs="Arial"/>
          <w:i/>
          <w:iCs/>
          <w:lang w:val="en-US"/>
        </w:rPr>
        <w:t>)</w:t>
      </w:r>
      <w:r w:rsidR="00523838">
        <w:rPr>
          <w:rFonts w:ascii="Arial" w:hAnsi="Arial" w:cs="Arial"/>
          <w:lang w:val="en-US"/>
        </w:rPr>
        <w:t xml:space="preserve">, </w:t>
      </w:r>
      <w:r w:rsidR="00DD6CF3">
        <w:rPr>
          <w:rFonts w:ascii="Arial" w:hAnsi="Arial" w:cs="Arial"/>
          <w:lang w:val="en-US"/>
        </w:rPr>
        <w:t>n</w:t>
      </w:r>
      <w:r w:rsidR="00523838">
        <w:rPr>
          <w:rFonts w:ascii="Arial" w:hAnsi="Arial" w:cs="Arial"/>
          <w:lang w:val="en-US"/>
        </w:rPr>
        <w:t xml:space="preserve">or does the objection cover it, in substance (per </w:t>
      </w:r>
      <w:r w:rsidR="00523838" w:rsidRPr="00523838">
        <w:rPr>
          <w:rFonts w:ascii="Arial" w:hAnsi="Arial" w:cs="Arial"/>
          <w:i/>
          <w:iCs/>
          <w:lang w:val="en-US"/>
        </w:rPr>
        <w:t>Matla Coal</w:t>
      </w:r>
      <w:r w:rsidR="00523838">
        <w:rPr>
          <w:rFonts w:ascii="Arial" w:hAnsi="Arial" w:cs="Arial"/>
          <w:lang w:val="en-US"/>
        </w:rPr>
        <w:t xml:space="preserve">). </w:t>
      </w:r>
    </w:p>
    <w:p w14:paraId="0F6C3DB7" w14:textId="77777777" w:rsidR="00AA2922" w:rsidRDefault="00AA2922" w:rsidP="00197953">
      <w:pPr>
        <w:spacing w:line="480" w:lineRule="auto"/>
        <w:jc w:val="both"/>
        <w:rPr>
          <w:rFonts w:ascii="Arial" w:hAnsi="Arial" w:cs="Arial"/>
          <w:lang w:val="en-US"/>
        </w:rPr>
      </w:pPr>
    </w:p>
    <w:p w14:paraId="35186C4D" w14:textId="5FF15503" w:rsidR="00AA2922" w:rsidRDefault="00AA2922" w:rsidP="00197953">
      <w:pPr>
        <w:spacing w:line="480" w:lineRule="auto"/>
        <w:jc w:val="both"/>
        <w:rPr>
          <w:rFonts w:ascii="Arial" w:hAnsi="Arial" w:cs="Arial"/>
          <w:lang w:val="en-US"/>
        </w:rPr>
      </w:pPr>
      <w:r>
        <w:rPr>
          <w:rFonts w:ascii="Arial" w:hAnsi="Arial" w:cs="Arial"/>
          <w:lang w:val="en-US"/>
        </w:rPr>
        <w:t>[9</w:t>
      </w:r>
      <w:r w:rsidR="00C16C1A">
        <w:rPr>
          <w:rFonts w:ascii="Arial" w:hAnsi="Arial" w:cs="Arial"/>
          <w:lang w:val="en-US"/>
        </w:rPr>
        <w:t>5</w:t>
      </w:r>
      <w:r>
        <w:rPr>
          <w:rFonts w:ascii="Arial" w:hAnsi="Arial" w:cs="Arial"/>
          <w:lang w:val="en-US"/>
        </w:rPr>
        <w:t>]</w:t>
      </w:r>
      <w:r>
        <w:rPr>
          <w:rFonts w:ascii="Arial" w:hAnsi="Arial" w:cs="Arial"/>
          <w:lang w:val="en-US"/>
        </w:rPr>
        <w:tab/>
      </w:r>
      <w:r w:rsidR="00197953">
        <w:rPr>
          <w:rFonts w:ascii="Arial" w:hAnsi="Arial" w:cs="Arial"/>
          <w:lang w:val="en-US"/>
        </w:rPr>
        <w:t>In coming back to the issues at hand</w:t>
      </w:r>
      <w:r>
        <w:rPr>
          <w:rFonts w:ascii="Arial" w:hAnsi="Arial" w:cs="Arial"/>
          <w:lang w:val="en-US"/>
        </w:rPr>
        <w:t>,</w:t>
      </w:r>
      <w:r w:rsidR="00197953">
        <w:rPr>
          <w:rFonts w:ascii="Arial" w:hAnsi="Arial" w:cs="Arial"/>
          <w:lang w:val="en-US"/>
        </w:rPr>
        <w:t xml:space="preserve"> </w:t>
      </w:r>
      <w:r w:rsidR="00A14292">
        <w:rPr>
          <w:rFonts w:ascii="Arial" w:hAnsi="Arial" w:cs="Arial"/>
          <w:lang w:val="en-US"/>
        </w:rPr>
        <w:t xml:space="preserve">it bears repeating that, </w:t>
      </w:r>
      <w:r w:rsidR="00197953">
        <w:rPr>
          <w:rFonts w:ascii="Arial" w:hAnsi="Arial" w:cs="Arial"/>
          <w:lang w:val="en-US"/>
        </w:rPr>
        <w:t xml:space="preserve">what the </w:t>
      </w:r>
      <w:r w:rsidR="001708BA">
        <w:rPr>
          <w:rFonts w:ascii="Arial" w:hAnsi="Arial" w:cs="Arial"/>
          <w:lang w:val="en-US"/>
        </w:rPr>
        <w:t>appellant</w:t>
      </w:r>
      <w:r w:rsidR="00197953">
        <w:rPr>
          <w:rFonts w:ascii="Arial" w:hAnsi="Arial" w:cs="Arial"/>
          <w:lang w:val="en-US"/>
        </w:rPr>
        <w:t xml:space="preserve"> seeks</w:t>
      </w:r>
      <w:r w:rsidR="003D2087">
        <w:rPr>
          <w:rFonts w:ascii="Arial" w:hAnsi="Arial" w:cs="Arial"/>
          <w:lang w:val="en-US"/>
        </w:rPr>
        <w:t xml:space="preserve"> to</w:t>
      </w:r>
      <w:r w:rsidR="00197953">
        <w:rPr>
          <w:rFonts w:ascii="Arial" w:hAnsi="Arial" w:cs="Arial"/>
          <w:lang w:val="en-US"/>
        </w:rPr>
        <w:t xml:space="preserve"> retrospectively challenge </w:t>
      </w:r>
      <w:r w:rsidR="003D2087">
        <w:rPr>
          <w:rFonts w:ascii="Arial" w:hAnsi="Arial" w:cs="Arial"/>
          <w:lang w:val="en-US"/>
        </w:rPr>
        <w:t xml:space="preserve">is </w:t>
      </w:r>
      <w:r w:rsidR="00197953">
        <w:rPr>
          <w:rFonts w:ascii="Arial" w:hAnsi="Arial" w:cs="Arial"/>
          <w:lang w:val="en-US"/>
        </w:rPr>
        <w:t xml:space="preserve">the gross income </w:t>
      </w:r>
      <w:r w:rsidR="00DD6CF3">
        <w:rPr>
          <w:rFonts w:ascii="Arial" w:hAnsi="Arial" w:cs="Arial"/>
          <w:lang w:val="en-US"/>
        </w:rPr>
        <w:t>part</w:t>
      </w:r>
      <w:r w:rsidR="00197953">
        <w:rPr>
          <w:rFonts w:ascii="Arial" w:hAnsi="Arial" w:cs="Arial"/>
          <w:lang w:val="en-US"/>
        </w:rPr>
        <w:t xml:space="preserve"> of the disputed assessment. In respect of </w:t>
      </w:r>
      <w:r w:rsidR="00A14292">
        <w:rPr>
          <w:rFonts w:ascii="Arial" w:hAnsi="Arial" w:cs="Arial"/>
          <w:lang w:val="en-US"/>
        </w:rPr>
        <w:t>its</w:t>
      </w:r>
      <w:r w:rsidR="00197953">
        <w:rPr>
          <w:rFonts w:ascii="Arial" w:hAnsi="Arial" w:cs="Arial"/>
          <w:lang w:val="en-US"/>
        </w:rPr>
        <w:t xml:space="preserve"> new ground the appellant </w:t>
      </w:r>
      <w:r w:rsidR="00A14292">
        <w:rPr>
          <w:rFonts w:ascii="Arial" w:hAnsi="Arial" w:cs="Arial"/>
          <w:lang w:val="en-US"/>
        </w:rPr>
        <w:t xml:space="preserve">now </w:t>
      </w:r>
      <w:r w:rsidR="00197953">
        <w:rPr>
          <w:rFonts w:ascii="Arial" w:hAnsi="Arial" w:cs="Arial"/>
          <w:lang w:val="en-US"/>
        </w:rPr>
        <w:t>state</w:t>
      </w:r>
      <w:r w:rsidR="00DD6CF3">
        <w:rPr>
          <w:rFonts w:ascii="Arial" w:hAnsi="Arial" w:cs="Arial"/>
          <w:lang w:val="en-US"/>
        </w:rPr>
        <w:t>s</w:t>
      </w:r>
      <w:r w:rsidR="00197953">
        <w:rPr>
          <w:rFonts w:ascii="Arial" w:hAnsi="Arial" w:cs="Arial"/>
          <w:lang w:val="en-US"/>
        </w:rPr>
        <w:t xml:space="preserve"> that the </w:t>
      </w:r>
      <w:r w:rsidR="00DD6CF3">
        <w:rPr>
          <w:rFonts w:ascii="Arial" w:hAnsi="Arial" w:cs="Arial"/>
          <w:lang w:val="en-US"/>
        </w:rPr>
        <w:t xml:space="preserve">disputed </w:t>
      </w:r>
      <w:r w:rsidR="00197953">
        <w:rPr>
          <w:rFonts w:ascii="Arial" w:hAnsi="Arial" w:cs="Arial"/>
          <w:lang w:val="en-US"/>
        </w:rPr>
        <w:t>amount of R11 072</w:t>
      </w:r>
      <w:r w:rsidR="001B7977">
        <w:rPr>
          <w:rFonts w:ascii="Arial" w:hAnsi="Arial" w:cs="Arial"/>
          <w:lang w:val="en-US"/>
        </w:rPr>
        <w:t> </w:t>
      </w:r>
      <w:r w:rsidR="00197953">
        <w:rPr>
          <w:rFonts w:ascii="Arial" w:hAnsi="Arial" w:cs="Arial"/>
          <w:lang w:val="en-US"/>
        </w:rPr>
        <w:t>237</w:t>
      </w:r>
      <w:r w:rsidR="001B7977">
        <w:rPr>
          <w:rFonts w:ascii="Arial" w:hAnsi="Arial" w:cs="Arial"/>
          <w:lang w:val="en-US"/>
        </w:rPr>
        <w:t>,00</w:t>
      </w:r>
      <w:r w:rsidR="00197953">
        <w:rPr>
          <w:rFonts w:ascii="Arial" w:hAnsi="Arial" w:cs="Arial"/>
          <w:lang w:val="en-US"/>
        </w:rPr>
        <w:t xml:space="preserve"> paid as a profit distribution to the BECP was neither a receipt by</w:t>
      </w:r>
      <w:r w:rsidR="003D2087">
        <w:rPr>
          <w:rFonts w:ascii="Arial" w:hAnsi="Arial" w:cs="Arial"/>
          <w:lang w:val="en-US"/>
        </w:rPr>
        <w:t>,</w:t>
      </w:r>
      <w:r w:rsidR="00197953">
        <w:rPr>
          <w:rFonts w:ascii="Arial" w:hAnsi="Arial" w:cs="Arial"/>
          <w:lang w:val="en-US"/>
        </w:rPr>
        <w:t xml:space="preserve"> nor an accrual </w:t>
      </w:r>
      <w:r w:rsidR="00DD6CF3">
        <w:rPr>
          <w:rFonts w:ascii="Arial" w:hAnsi="Arial" w:cs="Arial"/>
          <w:lang w:val="en-US"/>
        </w:rPr>
        <w:t>to</w:t>
      </w:r>
      <w:r w:rsidR="003D2087">
        <w:rPr>
          <w:rFonts w:ascii="Arial" w:hAnsi="Arial" w:cs="Arial"/>
          <w:lang w:val="en-US"/>
        </w:rPr>
        <w:t>,</w:t>
      </w:r>
      <w:r w:rsidR="00DD6CF3">
        <w:rPr>
          <w:rFonts w:ascii="Arial" w:hAnsi="Arial" w:cs="Arial"/>
          <w:lang w:val="en-US"/>
        </w:rPr>
        <w:t xml:space="preserve"> it</w:t>
      </w:r>
      <w:r w:rsidR="00197953">
        <w:rPr>
          <w:rFonts w:ascii="Arial" w:hAnsi="Arial" w:cs="Arial"/>
          <w:lang w:val="en-US"/>
        </w:rPr>
        <w:t xml:space="preserve"> for its own benefit. The new ground is that the amount </w:t>
      </w:r>
      <w:r w:rsidR="005829B4">
        <w:rPr>
          <w:rFonts w:ascii="Arial" w:hAnsi="Arial" w:cs="Arial"/>
          <w:lang w:val="en-US"/>
        </w:rPr>
        <w:t xml:space="preserve">must be excluded from </w:t>
      </w:r>
      <w:r w:rsidR="00197953">
        <w:rPr>
          <w:rFonts w:ascii="Arial" w:hAnsi="Arial" w:cs="Arial"/>
          <w:lang w:val="en-US"/>
        </w:rPr>
        <w:t xml:space="preserve">the </w:t>
      </w:r>
      <w:r w:rsidR="001708BA">
        <w:rPr>
          <w:rFonts w:ascii="Arial" w:hAnsi="Arial" w:cs="Arial"/>
          <w:lang w:val="en-US"/>
        </w:rPr>
        <w:t>appellant</w:t>
      </w:r>
      <w:r>
        <w:rPr>
          <w:rFonts w:ascii="Arial" w:hAnsi="Arial" w:cs="Arial"/>
          <w:lang w:val="en-US"/>
        </w:rPr>
        <w:t>’s</w:t>
      </w:r>
      <w:r w:rsidR="00197953">
        <w:rPr>
          <w:rFonts w:ascii="Arial" w:hAnsi="Arial" w:cs="Arial"/>
          <w:lang w:val="en-US"/>
        </w:rPr>
        <w:t xml:space="preserve"> gross income. The new ground is therefore an </w:t>
      </w:r>
      <w:r w:rsidR="00DD6CF3">
        <w:rPr>
          <w:rFonts w:ascii="Arial" w:hAnsi="Arial" w:cs="Arial"/>
          <w:lang w:val="en-US"/>
        </w:rPr>
        <w:t xml:space="preserve">attempt to raise a new </w:t>
      </w:r>
      <w:r w:rsidR="00197953">
        <w:rPr>
          <w:rFonts w:ascii="Arial" w:hAnsi="Arial" w:cs="Arial"/>
          <w:lang w:val="en-US"/>
        </w:rPr>
        <w:t>objection</w:t>
      </w:r>
      <w:r w:rsidR="00DD6CF3">
        <w:rPr>
          <w:rFonts w:ascii="Arial" w:hAnsi="Arial" w:cs="Arial"/>
          <w:lang w:val="en-US"/>
        </w:rPr>
        <w:t xml:space="preserve">, against </w:t>
      </w:r>
      <w:r w:rsidR="00197953">
        <w:rPr>
          <w:rFonts w:ascii="Arial" w:hAnsi="Arial" w:cs="Arial"/>
          <w:lang w:val="en-US"/>
        </w:rPr>
        <w:t xml:space="preserve">the gross income </w:t>
      </w:r>
      <w:r w:rsidR="00D87D6B">
        <w:rPr>
          <w:rFonts w:ascii="Arial" w:hAnsi="Arial" w:cs="Arial"/>
          <w:lang w:val="en-US"/>
        </w:rPr>
        <w:t>part</w:t>
      </w:r>
      <w:r w:rsidR="005829B4">
        <w:rPr>
          <w:rFonts w:ascii="Arial" w:hAnsi="Arial" w:cs="Arial"/>
          <w:lang w:val="en-US"/>
        </w:rPr>
        <w:t xml:space="preserve"> i.e. </w:t>
      </w:r>
      <w:r w:rsidR="00F034C0">
        <w:rPr>
          <w:rFonts w:ascii="Arial" w:hAnsi="Arial" w:cs="Arial"/>
          <w:lang w:val="en-US"/>
        </w:rPr>
        <w:t>a</w:t>
      </w:r>
      <w:r w:rsidR="005829B4">
        <w:rPr>
          <w:rFonts w:ascii="Arial" w:hAnsi="Arial" w:cs="Arial"/>
          <w:lang w:val="en-US"/>
        </w:rPr>
        <w:t xml:space="preserve"> different part</w:t>
      </w:r>
      <w:r w:rsidR="00197953">
        <w:rPr>
          <w:rFonts w:ascii="Arial" w:hAnsi="Arial" w:cs="Arial"/>
          <w:lang w:val="en-US"/>
        </w:rPr>
        <w:t xml:space="preserve"> of the disputed assessment.</w:t>
      </w:r>
    </w:p>
    <w:p w14:paraId="7E8E6CA5" w14:textId="77777777" w:rsidR="00DD6CF3" w:rsidRDefault="00DD6CF3" w:rsidP="00197953">
      <w:pPr>
        <w:spacing w:line="480" w:lineRule="auto"/>
        <w:jc w:val="both"/>
        <w:rPr>
          <w:rFonts w:ascii="Arial" w:hAnsi="Arial" w:cs="Arial"/>
          <w:lang w:val="en-US"/>
        </w:rPr>
      </w:pPr>
    </w:p>
    <w:p w14:paraId="4CDEEBFE" w14:textId="03A41728" w:rsidR="00197953" w:rsidRDefault="00AA2922" w:rsidP="00197953">
      <w:pPr>
        <w:spacing w:line="480" w:lineRule="auto"/>
        <w:jc w:val="both"/>
        <w:rPr>
          <w:rFonts w:ascii="Arial" w:hAnsi="Arial" w:cs="Arial"/>
          <w:lang w:val="en-US"/>
        </w:rPr>
      </w:pPr>
      <w:r>
        <w:rPr>
          <w:rFonts w:ascii="Arial" w:hAnsi="Arial" w:cs="Arial"/>
          <w:lang w:val="en-US"/>
        </w:rPr>
        <w:t>[9</w:t>
      </w:r>
      <w:r w:rsidR="00C16C1A">
        <w:rPr>
          <w:rFonts w:ascii="Arial" w:hAnsi="Arial" w:cs="Arial"/>
          <w:lang w:val="en-US"/>
        </w:rPr>
        <w:t>6</w:t>
      </w:r>
      <w:r>
        <w:rPr>
          <w:rFonts w:ascii="Arial" w:hAnsi="Arial" w:cs="Arial"/>
          <w:lang w:val="en-US"/>
        </w:rPr>
        <w:t>]</w:t>
      </w:r>
      <w:r>
        <w:rPr>
          <w:rFonts w:ascii="Arial" w:hAnsi="Arial" w:cs="Arial"/>
          <w:lang w:val="en-US"/>
        </w:rPr>
        <w:tab/>
      </w:r>
      <w:r w:rsidR="005829B4">
        <w:rPr>
          <w:rFonts w:ascii="Arial" w:hAnsi="Arial" w:cs="Arial"/>
          <w:lang w:val="en-US"/>
        </w:rPr>
        <w:t xml:space="preserve">In this regard, </w:t>
      </w:r>
      <w:r w:rsidR="00197953">
        <w:rPr>
          <w:rFonts w:ascii="Arial" w:hAnsi="Arial" w:cs="Arial"/>
          <w:lang w:val="en-US"/>
        </w:rPr>
        <w:t xml:space="preserve">the definition of gross income in terms of the </w:t>
      </w:r>
      <w:r w:rsidR="00067C33">
        <w:rPr>
          <w:rFonts w:ascii="Arial" w:hAnsi="Arial" w:cs="Arial"/>
          <w:lang w:val="en-US"/>
        </w:rPr>
        <w:t>A</w:t>
      </w:r>
      <w:r w:rsidR="00197953">
        <w:rPr>
          <w:rFonts w:ascii="Arial" w:hAnsi="Arial" w:cs="Arial"/>
          <w:lang w:val="en-US"/>
        </w:rPr>
        <w:t xml:space="preserve">ct is </w:t>
      </w:r>
      <w:r w:rsidR="005829B4">
        <w:rPr>
          <w:rFonts w:ascii="Arial" w:hAnsi="Arial" w:cs="Arial"/>
          <w:lang w:val="en-US"/>
        </w:rPr>
        <w:t>a</w:t>
      </w:r>
      <w:r w:rsidR="00197953">
        <w:rPr>
          <w:rFonts w:ascii="Arial" w:hAnsi="Arial" w:cs="Arial"/>
          <w:lang w:val="en-US"/>
        </w:rPr>
        <w:t>s</w:t>
      </w:r>
      <w:r w:rsidR="005829B4">
        <w:rPr>
          <w:rFonts w:ascii="Arial" w:hAnsi="Arial" w:cs="Arial"/>
          <w:lang w:val="en-US"/>
        </w:rPr>
        <w:t xml:space="preserve"> follows</w:t>
      </w:r>
      <w:r w:rsidR="00197953">
        <w:rPr>
          <w:rFonts w:ascii="Arial" w:hAnsi="Arial" w:cs="Arial"/>
          <w:lang w:val="en-US"/>
        </w:rPr>
        <w:t>:</w:t>
      </w:r>
    </w:p>
    <w:p w14:paraId="1F1054BB" w14:textId="6574DF98" w:rsidR="00197953" w:rsidRPr="00B175D6" w:rsidRDefault="00067C33" w:rsidP="00F42685">
      <w:pPr>
        <w:jc w:val="both"/>
        <w:rPr>
          <w:rFonts w:ascii="Arial" w:hAnsi="Arial" w:cs="Arial"/>
          <w:i/>
          <w:iCs/>
          <w:sz w:val="20"/>
          <w:szCs w:val="20"/>
          <w:lang w:val="en-US"/>
        </w:rPr>
      </w:pPr>
      <w:r w:rsidRPr="00B175D6">
        <w:rPr>
          <w:rFonts w:ascii="Arial" w:hAnsi="Arial" w:cs="Arial"/>
          <w:b/>
          <w:bCs/>
          <w:sz w:val="20"/>
          <w:szCs w:val="20"/>
          <w:lang w:val="en-US"/>
        </w:rPr>
        <w:t>‘</w:t>
      </w:r>
      <w:r w:rsidR="00197953" w:rsidRPr="00B175D6">
        <w:rPr>
          <w:rFonts w:ascii="Arial" w:hAnsi="Arial" w:cs="Arial"/>
          <w:b/>
          <w:bCs/>
          <w:sz w:val="20"/>
          <w:szCs w:val="20"/>
          <w:lang w:val="en-US"/>
        </w:rPr>
        <w:t>“</w:t>
      </w:r>
      <w:r w:rsidR="00197953" w:rsidRPr="00B175D6">
        <w:rPr>
          <w:rFonts w:ascii="Arial" w:hAnsi="Arial" w:cs="Arial"/>
          <w:b/>
          <w:bCs/>
          <w:i/>
          <w:iCs/>
          <w:sz w:val="20"/>
          <w:szCs w:val="20"/>
          <w:lang w:val="en-US"/>
        </w:rPr>
        <w:t>gross income”</w:t>
      </w:r>
      <w:r w:rsidR="00197953" w:rsidRPr="00B175D6">
        <w:rPr>
          <w:rFonts w:ascii="Arial" w:hAnsi="Arial" w:cs="Arial"/>
          <w:i/>
          <w:iCs/>
          <w:sz w:val="20"/>
          <w:szCs w:val="20"/>
          <w:lang w:val="en-US"/>
        </w:rPr>
        <w:t>,</w:t>
      </w:r>
      <w:r w:rsidR="00197953" w:rsidRPr="00B175D6">
        <w:rPr>
          <w:rFonts w:ascii="Arial" w:hAnsi="Arial" w:cs="Arial"/>
          <w:b/>
          <w:bCs/>
          <w:i/>
          <w:iCs/>
          <w:sz w:val="20"/>
          <w:szCs w:val="20"/>
          <w:lang w:val="en-US"/>
        </w:rPr>
        <w:t xml:space="preserve"> </w:t>
      </w:r>
      <w:r w:rsidR="00197953" w:rsidRPr="00B175D6">
        <w:rPr>
          <w:rFonts w:ascii="Arial" w:hAnsi="Arial" w:cs="Arial"/>
          <w:i/>
          <w:iCs/>
          <w:sz w:val="20"/>
          <w:szCs w:val="20"/>
          <w:lang w:val="en-US"/>
        </w:rPr>
        <w:t>in</w:t>
      </w:r>
      <w:r w:rsidR="00197953" w:rsidRPr="00B175D6">
        <w:rPr>
          <w:rFonts w:ascii="Arial" w:hAnsi="Arial" w:cs="Arial"/>
          <w:b/>
          <w:bCs/>
          <w:i/>
          <w:iCs/>
          <w:sz w:val="20"/>
          <w:szCs w:val="20"/>
          <w:lang w:val="en-US"/>
        </w:rPr>
        <w:t xml:space="preserve"> </w:t>
      </w:r>
      <w:r w:rsidR="00197953" w:rsidRPr="00B175D6">
        <w:rPr>
          <w:rFonts w:ascii="Arial" w:hAnsi="Arial" w:cs="Arial"/>
          <w:i/>
          <w:iCs/>
          <w:sz w:val="20"/>
          <w:szCs w:val="20"/>
          <w:lang w:val="en-US"/>
        </w:rPr>
        <w:t>relation to any year or period of assessment, means –</w:t>
      </w:r>
    </w:p>
    <w:p w14:paraId="508F3B29" w14:textId="1A2998F9" w:rsidR="00197953" w:rsidRPr="00741C84" w:rsidRDefault="00741C84" w:rsidP="00741C84">
      <w:pPr>
        <w:ind w:left="1080" w:hanging="720"/>
        <w:jc w:val="both"/>
        <w:rPr>
          <w:rFonts w:ascii="Arial" w:hAnsi="Arial" w:cs="Arial"/>
          <w:i/>
          <w:iCs/>
          <w:sz w:val="20"/>
          <w:szCs w:val="20"/>
          <w:lang w:val="en-US"/>
        </w:rPr>
      </w:pPr>
      <w:r w:rsidRPr="00B175D6">
        <w:rPr>
          <w:rFonts w:ascii="Arial" w:eastAsiaTheme="minorHAnsi" w:hAnsi="Arial" w:cs="Arial"/>
          <w:i/>
          <w:iCs/>
          <w:sz w:val="20"/>
          <w:szCs w:val="20"/>
          <w:lang w:val="en-US" w:eastAsia="en-US"/>
        </w:rPr>
        <w:t>(i)</w:t>
      </w:r>
      <w:r w:rsidRPr="00B175D6">
        <w:rPr>
          <w:rFonts w:ascii="Arial" w:eastAsiaTheme="minorHAnsi" w:hAnsi="Arial" w:cs="Arial"/>
          <w:i/>
          <w:iCs/>
          <w:sz w:val="20"/>
          <w:szCs w:val="20"/>
          <w:lang w:val="en-US" w:eastAsia="en-US"/>
        </w:rPr>
        <w:tab/>
      </w:r>
      <w:r w:rsidR="00197953" w:rsidRPr="00741C84">
        <w:rPr>
          <w:rFonts w:ascii="Arial" w:hAnsi="Arial" w:cs="Arial"/>
          <w:i/>
          <w:iCs/>
          <w:sz w:val="20"/>
          <w:szCs w:val="20"/>
          <w:lang w:val="en-US"/>
        </w:rPr>
        <w:t>in the case of any resident, the total amount, in cash or otherwise, received by or accrued to or in favour of such resident; or</w:t>
      </w:r>
    </w:p>
    <w:p w14:paraId="48B8E098" w14:textId="5F1E16C7" w:rsidR="00197953" w:rsidRPr="00741C84" w:rsidRDefault="00741C84" w:rsidP="00741C84">
      <w:pPr>
        <w:ind w:left="1080" w:hanging="720"/>
        <w:jc w:val="both"/>
        <w:rPr>
          <w:rFonts w:ascii="Arial" w:hAnsi="Arial" w:cs="Arial"/>
          <w:i/>
          <w:iCs/>
          <w:sz w:val="20"/>
          <w:szCs w:val="20"/>
          <w:lang w:val="en-US"/>
        </w:rPr>
      </w:pPr>
      <w:r w:rsidRPr="00B175D6">
        <w:rPr>
          <w:rFonts w:ascii="Arial" w:eastAsiaTheme="minorHAnsi" w:hAnsi="Arial" w:cs="Arial"/>
          <w:i/>
          <w:iCs/>
          <w:sz w:val="20"/>
          <w:szCs w:val="20"/>
          <w:lang w:val="en-US" w:eastAsia="en-US"/>
        </w:rPr>
        <w:t>(ii)</w:t>
      </w:r>
      <w:r w:rsidRPr="00B175D6">
        <w:rPr>
          <w:rFonts w:ascii="Arial" w:eastAsiaTheme="minorHAnsi" w:hAnsi="Arial" w:cs="Arial"/>
          <w:i/>
          <w:iCs/>
          <w:sz w:val="20"/>
          <w:szCs w:val="20"/>
          <w:lang w:val="en-US" w:eastAsia="en-US"/>
        </w:rPr>
        <w:tab/>
      </w:r>
      <w:r w:rsidR="00197953" w:rsidRPr="00741C84">
        <w:rPr>
          <w:rFonts w:ascii="Arial" w:hAnsi="Arial" w:cs="Arial"/>
          <w:i/>
          <w:iCs/>
          <w:sz w:val="20"/>
          <w:szCs w:val="20"/>
          <w:lang w:val="en-US"/>
        </w:rPr>
        <w:t xml:space="preserve">in the case of any person other than a resident, the total amount, in cash or otherwise, received by </w:t>
      </w:r>
      <w:r w:rsidR="005C2B1A" w:rsidRPr="00741C84">
        <w:rPr>
          <w:rFonts w:ascii="Arial" w:hAnsi="Arial" w:cs="Arial"/>
          <w:i/>
          <w:iCs/>
          <w:sz w:val="20"/>
          <w:szCs w:val="20"/>
          <w:lang w:val="en-US"/>
        </w:rPr>
        <w:t xml:space="preserve">or accrued </w:t>
      </w:r>
      <w:r w:rsidR="00197953" w:rsidRPr="00741C84">
        <w:rPr>
          <w:rFonts w:ascii="Arial" w:hAnsi="Arial" w:cs="Arial"/>
          <w:i/>
          <w:iCs/>
          <w:sz w:val="20"/>
          <w:szCs w:val="20"/>
          <w:lang w:val="en-US"/>
        </w:rPr>
        <w:t>to or in favour of such person from a source within the Republic,</w:t>
      </w:r>
      <w:r w:rsidR="00AA2922" w:rsidRPr="00741C84">
        <w:rPr>
          <w:rFonts w:ascii="Arial" w:hAnsi="Arial" w:cs="Arial"/>
          <w:i/>
          <w:iCs/>
          <w:sz w:val="20"/>
          <w:szCs w:val="20"/>
          <w:lang w:val="en-US"/>
        </w:rPr>
        <w:t xml:space="preserve"> </w:t>
      </w:r>
      <w:r w:rsidR="00197953" w:rsidRPr="00741C84">
        <w:rPr>
          <w:rFonts w:ascii="Arial" w:hAnsi="Arial" w:cs="Arial"/>
          <w:i/>
          <w:iCs/>
          <w:sz w:val="20"/>
          <w:szCs w:val="20"/>
          <w:lang w:val="en-US"/>
        </w:rPr>
        <w:t xml:space="preserve">during such year or period of assessment, excluding </w:t>
      </w:r>
      <w:r w:rsidR="005C2B1A" w:rsidRPr="00741C84">
        <w:rPr>
          <w:rFonts w:ascii="Arial" w:hAnsi="Arial" w:cs="Arial"/>
          <w:i/>
          <w:iCs/>
          <w:sz w:val="20"/>
          <w:szCs w:val="20"/>
          <w:lang w:val="en-US"/>
        </w:rPr>
        <w:t>receipts</w:t>
      </w:r>
      <w:r w:rsidR="00197953" w:rsidRPr="00741C84">
        <w:rPr>
          <w:rFonts w:ascii="Arial" w:hAnsi="Arial" w:cs="Arial"/>
          <w:i/>
          <w:iCs/>
          <w:sz w:val="20"/>
          <w:szCs w:val="20"/>
          <w:lang w:val="en-US"/>
        </w:rPr>
        <w:t xml:space="preserve"> or </w:t>
      </w:r>
      <w:r w:rsidR="005C2B1A" w:rsidRPr="00741C84">
        <w:rPr>
          <w:rFonts w:ascii="Arial" w:hAnsi="Arial" w:cs="Arial"/>
          <w:i/>
          <w:iCs/>
          <w:sz w:val="20"/>
          <w:szCs w:val="20"/>
          <w:lang w:val="en-US"/>
        </w:rPr>
        <w:t>accruals</w:t>
      </w:r>
      <w:r w:rsidR="00197953" w:rsidRPr="00741C84">
        <w:rPr>
          <w:rFonts w:ascii="Arial" w:hAnsi="Arial" w:cs="Arial"/>
          <w:i/>
          <w:iCs/>
          <w:sz w:val="20"/>
          <w:szCs w:val="20"/>
          <w:lang w:val="en-US"/>
        </w:rPr>
        <w:t xml:space="preserve"> of </w:t>
      </w:r>
      <w:r w:rsidR="005C2B1A" w:rsidRPr="00741C84">
        <w:rPr>
          <w:rFonts w:ascii="Arial" w:hAnsi="Arial" w:cs="Arial"/>
          <w:i/>
          <w:iCs/>
          <w:sz w:val="20"/>
          <w:szCs w:val="20"/>
          <w:lang w:val="en-US"/>
        </w:rPr>
        <w:t>a</w:t>
      </w:r>
      <w:r w:rsidR="00197953" w:rsidRPr="00741C84">
        <w:rPr>
          <w:rFonts w:ascii="Arial" w:hAnsi="Arial" w:cs="Arial"/>
          <w:i/>
          <w:iCs/>
          <w:sz w:val="20"/>
          <w:szCs w:val="20"/>
          <w:lang w:val="en-US"/>
        </w:rPr>
        <w:t xml:space="preserve"> capital nature, but including, without </w:t>
      </w:r>
      <w:r w:rsidR="005C2B1A" w:rsidRPr="00741C84">
        <w:rPr>
          <w:rFonts w:ascii="Arial" w:hAnsi="Arial" w:cs="Arial"/>
          <w:i/>
          <w:iCs/>
          <w:sz w:val="20"/>
          <w:szCs w:val="20"/>
          <w:lang w:val="en-US"/>
        </w:rPr>
        <w:t xml:space="preserve">in </w:t>
      </w:r>
      <w:r w:rsidR="00197953" w:rsidRPr="00741C84">
        <w:rPr>
          <w:rFonts w:ascii="Arial" w:hAnsi="Arial" w:cs="Arial"/>
          <w:i/>
          <w:iCs/>
          <w:sz w:val="20"/>
          <w:szCs w:val="20"/>
          <w:lang w:val="en-US"/>
        </w:rPr>
        <w:t>any way limiting the scope of this definition, such amounts</w:t>
      </w:r>
      <w:r w:rsidR="005C2B1A" w:rsidRPr="00741C84">
        <w:rPr>
          <w:rFonts w:ascii="Arial" w:hAnsi="Arial" w:cs="Arial"/>
          <w:i/>
          <w:iCs/>
          <w:sz w:val="20"/>
          <w:szCs w:val="20"/>
          <w:lang w:val="en-US"/>
        </w:rPr>
        <w:t xml:space="preserve"> </w:t>
      </w:r>
      <w:r w:rsidR="00197953" w:rsidRPr="00741C84">
        <w:rPr>
          <w:rFonts w:ascii="Arial" w:hAnsi="Arial" w:cs="Arial"/>
          <w:i/>
          <w:iCs/>
          <w:sz w:val="20"/>
          <w:szCs w:val="20"/>
          <w:lang w:val="en-US"/>
        </w:rPr>
        <w:t>(whether of the capital nature or not) so receive</w:t>
      </w:r>
      <w:r w:rsidR="005C2B1A" w:rsidRPr="00741C84">
        <w:rPr>
          <w:rFonts w:ascii="Arial" w:hAnsi="Arial" w:cs="Arial"/>
          <w:i/>
          <w:iCs/>
          <w:sz w:val="20"/>
          <w:szCs w:val="20"/>
          <w:lang w:val="en-US"/>
        </w:rPr>
        <w:t>d</w:t>
      </w:r>
      <w:r w:rsidR="00197953" w:rsidRPr="00741C84">
        <w:rPr>
          <w:rFonts w:ascii="Arial" w:hAnsi="Arial" w:cs="Arial"/>
          <w:i/>
          <w:iCs/>
          <w:sz w:val="20"/>
          <w:szCs w:val="20"/>
          <w:lang w:val="en-US"/>
        </w:rPr>
        <w:t xml:space="preserve"> o</w:t>
      </w:r>
      <w:r w:rsidR="005C2B1A" w:rsidRPr="00741C84">
        <w:rPr>
          <w:rFonts w:ascii="Arial" w:hAnsi="Arial" w:cs="Arial"/>
          <w:i/>
          <w:iCs/>
          <w:sz w:val="20"/>
          <w:szCs w:val="20"/>
          <w:lang w:val="en-US"/>
        </w:rPr>
        <w:t>r</w:t>
      </w:r>
      <w:r w:rsidR="00197953" w:rsidRPr="00741C84">
        <w:rPr>
          <w:rFonts w:ascii="Arial" w:hAnsi="Arial" w:cs="Arial"/>
          <w:i/>
          <w:iCs/>
          <w:sz w:val="20"/>
          <w:szCs w:val="20"/>
          <w:lang w:val="en-US"/>
        </w:rPr>
        <w:t xml:space="preserve"> accrued as are described hereunder</w:t>
      </w:r>
      <w:r w:rsidR="005C2B1A" w:rsidRPr="00741C84">
        <w:rPr>
          <w:rFonts w:ascii="Arial" w:hAnsi="Arial" w:cs="Arial"/>
          <w:i/>
          <w:iCs/>
          <w:sz w:val="20"/>
          <w:szCs w:val="20"/>
          <w:lang w:val="en-US"/>
        </w:rPr>
        <w:t>,</w:t>
      </w:r>
      <w:r w:rsidR="00197953" w:rsidRPr="00741C84">
        <w:rPr>
          <w:rFonts w:ascii="Arial" w:hAnsi="Arial" w:cs="Arial"/>
          <w:i/>
          <w:iCs/>
          <w:sz w:val="20"/>
          <w:szCs w:val="20"/>
          <w:lang w:val="en-US"/>
        </w:rPr>
        <w:t>…</w:t>
      </w:r>
      <w:r w:rsidR="005C2B1A" w:rsidRPr="00741C84">
        <w:rPr>
          <w:rFonts w:ascii="Arial" w:hAnsi="Arial" w:cs="Arial"/>
          <w:i/>
          <w:iCs/>
          <w:sz w:val="20"/>
          <w:szCs w:val="20"/>
          <w:lang w:val="en-US"/>
        </w:rPr>
        <w:t>’</w:t>
      </w:r>
    </w:p>
    <w:p w14:paraId="5D651D38" w14:textId="77777777" w:rsidR="00AA2922" w:rsidRDefault="00AA2922" w:rsidP="00AA2922">
      <w:pPr>
        <w:spacing w:line="480" w:lineRule="auto"/>
        <w:jc w:val="both"/>
        <w:rPr>
          <w:rFonts w:ascii="Arial" w:hAnsi="Arial" w:cs="Arial"/>
          <w:lang w:val="en-US"/>
        </w:rPr>
      </w:pPr>
    </w:p>
    <w:p w14:paraId="778D1091" w14:textId="71A59A1B" w:rsidR="00197953" w:rsidRDefault="00AA2922" w:rsidP="00AA2922">
      <w:pPr>
        <w:spacing w:line="480" w:lineRule="auto"/>
        <w:jc w:val="both"/>
        <w:rPr>
          <w:rFonts w:ascii="Arial" w:hAnsi="Arial" w:cs="Arial"/>
          <w:lang w:val="en-US"/>
        </w:rPr>
      </w:pPr>
      <w:r>
        <w:rPr>
          <w:rFonts w:ascii="Arial" w:hAnsi="Arial" w:cs="Arial"/>
          <w:lang w:val="en-US"/>
        </w:rPr>
        <w:t>[9</w:t>
      </w:r>
      <w:r w:rsidR="00C16C1A">
        <w:rPr>
          <w:rFonts w:ascii="Arial" w:hAnsi="Arial" w:cs="Arial"/>
          <w:lang w:val="en-US"/>
        </w:rPr>
        <w:t>7</w:t>
      </w:r>
      <w:r>
        <w:rPr>
          <w:rFonts w:ascii="Arial" w:hAnsi="Arial" w:cs="Arial"/>
          <w:lang w:val="en-US"/>
        </w:rPr>
        <w:t>]</w:t>
      </w:r>
      <w:r>
        <w:rPr>
          <w:rFonts w:ascii="Arial" w:hAnsi="Arial" w:cs="Arial"/>
          <w:lang w:val="en-US"/>
        </w:rPr>
        <w:tab/>
      </w:r>
      <w:r w:rsidR="00197953">
        <w:rPr>
          <w:rFonts w:ascii="Arial" w:hAnsi="Arial" w:cs="Arial"/>
          <w:lang w:val="en-US"/>
        </w:rPr>
        <w:t xml:space="preserve">A taxpayer’s gross income for a tax period </w:t>
      </w:r>
      <w:r w:rsidR="005829B4">
        <w:rPr>
          <w:rFonts w:ascii="Arial" w:hAnsi="Arial" w:cs="Arial"/>
          <w:lang w:val="en-US"/>
        </w:rPr>
        <w:t xml:space="preserve">is </w:t>
      </w:r>
      <w:r w:rsidR="00A14292">
        <w:rPr>
          <w:rFonts w:ascii="Arial" w:hAnsi="Arial" w:cs="Arial"/>
          <w:lang w:val="en-US"/>
        </w:rPr>
        <w:t xml:space="preserve">thus </w:t>
      </w:r>
      <w:r w:rsidR="005829B4">
        <w:rPr>
          <w:rFonts w:ascii="Arial" w:hAnsi="Arial" w:cs="Arial"/>
          <w:lang w:val="en-US"/>
        </w:rPr>
        <w:t xml:space="preserve">determined by </w:t>
      </w:r>
      <w:r w:rsidR="00197953">
        <w:rPr>
          <w:rFonts w:ascii="Arial" w:hAnsi="Arial" w:cs="Arial"/>
          <w:lang w:val="en-US"/>
        </w:rPr>
        <w:t xml:space="preserve">establishing </w:t>
      </w:r>
      <w:r w:rsidR="00A14292">
        <w:rPr>
          <w:rFonts w:ascii="Arial" w:hAnsi="Arial" w:cs="Arial"/>
          <w:lang w:val="en-US"/>
        </w:rPr>
        <w:t>the amount</w:t>
      </w:r>
      <w:r w:rsidR="00DD6CF3">
        <w:rPr>
          <w:rFonts w:ascii="Arial" w:hAnsi="Arial" w:cs="Arial"/>
          <w:lang w:val="en-US"/>
        </w:rPr>
        <w:t>,</w:t>
      </w:r>
      <w:r w:rsidR="00197953">
        <w:rPr>
          <w:rFonts w:ascii="Arial" w:hAnsi="Arial" w:cs="Arial"/>
          <w:lang w:val="en-US"/>
        </w:rPr>
        <w:t xml:space="preserve"> in cash or otherwise</w:t>
      </w:r>
      <w:r w:rsidR="00DD6CF3">
        <w:rPr>
          <w:rFonts w:ascii="Arial" w:hAnsi="Arial" w:cs="Arial"/>
          <w:lang w:val="en-US"/>
        </w:rPr>
        <w:t>,</w:t>
      </w:r>
      <w:r w:rsidR="00197953">
        <w:rPr>
          <w:rFonts w:ascii="Arial" w:hAnsi="Arial" w:cs="Arial"/>
          <w:lang w:val="en-US"/>
        </w:rPr>
        <w:t xml:space="preserve"> that </w:t>
      </w:r>
      <w:r w:rsidR="00DD6CF3">
        <w:rPr>
          <w:rFonts w:ascii="Arial" w:hAnsi="Arial" w:cs="Arial"/>
          <w:lang w:val="en-US"/>
        </w:rPr>
        <w:t>was</w:t>
      </w:r>
      <w:r w:rsidR="00197953">
        <w:rPr>
          <w:rFonts w:ascii="Arial" w:hAnsi="Arial" w:cs="Arial"/>
          <w:lang w:val="en-US"/>
        </w:rPr>
        <w:t xml:space="preserve"> received </w:t>
      </w:r>
      <w:r w:rsidR="00BB74EB">
        <w:rPr>
          <w:rFonts w:ascii="Arial" w:hAnsi="Arial" w:cs="Arial"/>
          <w:lang w:val="en-US"/>
        </w:rPr>
        <w:t>by,</w:t>
      </w:r>
      <w:r w:rsidR="00197953">
        <w:rPr>
          <w:rFonts w:ascii="Arial" w:hAnsi="Arial" w:cs="Arial"/>
          <w:lang w:val="en-US"/>
        </w:rPr>
        <w:t xml:space="preserve"> or </w:t>
      </w:r>
      <w:r w:rsidR="00DD6CF3">
        <w:rPr>
          <w:rFonts w:ascii="Arial" w:hAnsi="Arial" w:cs="Arial"/>
          <w:lang w:val="en-US"/>
        </w:rPr>
        <w:t>which</w:t>
      </w:r>
      <w:r w:rsidR="00197953">
        <w:rPr>
          <w:rFonts w:ascii="Arial" w:hAnsi="Arial" w:cs="Arial"/>
          <w:lang w:val="en-US"/>
        </w:rPr>
        <w:t xml:space="preserve"> accrued to</w:t>
      </w:r>
      <w:r w:rsidR="00DD6CF3">
        <w:rPr>
          <w:rFonts w:ascii="Arial" w:hAnsi="Arial" w:cs="Arial"/>
          <w:lang w:val="en-US"/>
        </w:rPr>
        <w:t>,</w:t>
      </w:r>
      <w:r w:rsidR="00197953">
        <w:rPr>
          <w:rFonts w:ascii="Arial" w:hAnsi="Arial" w:cs="Arial"/>
          <w:lang w:val="en-US"/>
        </w:rPr>
        <w:t xml:space="preserve"> </w:t>
      </w:r>
      <w:r w:rsidR="00DD6CF3">
        <w:rPr>
          <w:rFonts w:ascii="Arial" w:hAnsi="Arial" w:cs="Arial"/>
          <w:lang w:val="en-US"/>
        </w:rPr>
        <w:t xml:space="preserve">or in favour of </w:t>
      </w:r>
      <w:r w:rsidR="005829B4">
        <w:rPr>
          <w:rFonts w:ascii="Arial" w:hAnsi="Arial" w:cs="Arial"/>
          <w:lang w:val="en-US"/>
        </w:rPr>
        <w:t xml:space="preserve">it, </w:t>
      </w:r>
      <w:r w:rsidR="00197953">
        <w:rPr>
          <w:rFonts w:ascii="Arial" w:hAnsi="Arial" w:cs="Arial"/>
          <w:lang w:val="en-US"/>
        </w:rPr>
        <w:t xml:space="preserve">for </w:t>
      </w:r>
      <w:r w:rsidR="00DD6CF3">
        <w:rPr>
          <w:rFonts w:ascii="Arial" w:hAnsi="Arial" w:cs="Arial"/>
          <w:lang w:val="en-US"/>
        </w:rPr>
        <w:t>its</w:t>
      </w:r>
      <w:r w:rsidR="00197953">
        <w:rPr>
          <w:rFonts w:ascii="Arial" w:hAnsi="Arial" w:cs="Arial"/>
          <w:lang w:val="en-US"/>
        </w:rPr>
        <w:t xml:space="preserve"> benefit </w:t>
      </w:r>
      <w:r w:rsidR="00DD6CF3">
        <w:rPr>
          <w:rFonts w:ascii="Arial" w:hAnsi="Arial" w:cs="Arial"/>
          <w:lang w:val="en-US"/>
        </w:rPr>
        <w:t xml:space="preserve">during </w:t>
      </w:r>
      <w:r w:rsidR="00197953">
        <w:rPr>
          <w:rFonts w:ascii="Arial" w:hAnsi="Arial" w:cs="Arial"/>
          <w:lang w:val="en-US"/>
        </w:rPr>
        <w:t>the relevant tax period, excluding capital amounts.</w:t>
      </w:r>
    </w:p>
    <w:p w14:paraId="0BD36D0D" w14:textId="77777777" w:rsidR="00AA2922" w:rsidRDefault="00AA2922" w:rsidP="00AA2922">
      <w:pPr>
        <w:spacing w:line="480" w:lineRule="auto"/>
        <w:jc w:val="both"/>
        <w:rPr>
          <w:rFonts w:ascii="Arial" w:hAnsi="Arial" w:cs="Arial"/>
          <w:lang w:val="en-US"/>
        </w:rPr>
      </w:pPr>
    </w:p>
    <w:p w14:paraId="42A2FA7D" w14:textId="6C7B29ED" w:rsidR="00AA2922" w:rsidRDefault="00AA2922" w:rsidP="00AA2922">
      <w:pPr>
        <w:spacing w:line="480" w:lineRule="auto"/>
        <w:jc w:val="both"/>
        <w:rPr>
          <w:rFonts w:ascii="Arial" w:hAnsi="Arial" w:cs="Arial"/>
          <w:lang w:val="en-US"/>
        </w:rPr>
      </w:pPr>
      <w:r>
        <w:rPr>
          <w:rFonts w:ascii="Arial" w:hAnsi="Arial" w:cs="Arial"/>
          <w:lang w:val="en-US"/>
        </w:rPr>
        <w:t>[9</w:t>
      </w:r>
      <w:r w:rsidR="00C16C1A">
        <w:rPr>
          <w:rFonts w:ascii="Arial" w:hAnsi="Arial" w:cs="Arial"/>
          <w:lang w:val="en-US"/>
        </w:rPr>
        <w:t>8</w:t>
      </w:r>
      <w:r>
        <w:rPr>
          <w:rFonts w:ascii="Arial" w:hAnsi="Arial" w:cs="Arial"/>
          <w:lang w:val="en-US"/>
        </w:rPr>
        <w:t>]</w:t>
      </w:r>
      <w:r>
        <w:rPr>
          <w:rFonts w:ascii="Arial" w:hAnsi="Arial" w:cs="Arial"/>
          <w:lang w:val="en-US"/>
        </w:rPr>
        <w:tab/>
      </w:r>
      <w:r w:rsidR="000919E7">
        <w:rPr>
          <w:rFonts w:ascii="Arial" w:hAnsi="Arial" w:cs="Arial"/>
          <w:lang w:val="en-US"/>
        </w:rPr>
        <w:t xml:space="preserve">At the risk of </w:t>
      </w:r>
      <w:r w:rsidR="00A14292">
        <w:rPr>
          <w:rFonts w:ascii="Arial" w:hAnsi="Arial" w:cs="Arial"/>
          <w:lang w:val="en-US"/>
        </w:rPr>
        <w:t xml:space="preserve">again </w:t>
      </w:r>
      <w:r w:rsidR="000919E7">
        <w:rPr>
          <w:rFonts w:ascii="Arial" w:hAnsi="Arial" w:cs="Arial"/>
          <w:lang w:val="en-US"/>
        </w:rPr>
        <w:t xml:space="preserve">belabouring what </w:t>
      </w:r>
      <w:r w:rsidR="00197953">
        <w:rPr>
          <w:rFonts w:ascii="Arial" w:hAnsi="Arial" w:cs="Arial"/>
          <w:lang w:val="en-US"/>
        </w:rPr>
        <w:t>is common cause</w:t>
      </w:r>
      <w:r w:rsidR="00873807">
        <w:rPr>
          <w:rFonts w:ascii="Arial" w:hAnsi="Arial" w:cs="Arial"/>
          <w:lang w:val="en-US"/>
        </w:rPr>
        <w:t>,</w:t>
      </w:r>
      <w:r w:rsidR="00197953">
        <w:rPr>
          <w:rFonts w:ascii="Arial" w:hAnsi="Arial" w:cs="Arial"/>
          <w:lang w:val="en-US"/>
        </w:rPr>
        <w:t xml:space="preserve"> the </w:t>
      </w:r>
      <w:r w:rsidR="001708BA">
        <w:rPr>
          <w:rFonts w:ascii="Arial" w:hAnsi="Arial" w:cs="Arial"/>
          <w:lang w:val="en-US"/>
        </w:rPr>
        <w:t>appellant</w:t>
      </w:r>
      <w:r w:rsidR="00197953">
        <w:rPr>
          <w:rFonts w:ascii="Arial" w:hAnsi="Arial" w:cs="Arial"/>
          <w:lang w:val="en-US"/>
        </w:rPr>
        <w:t xml:space="preserve"> declared and consiste</w:t>
      </w:r>
      <w:r w:rsidR="005C2B1A">
        <w:rPr>
          <w:rFonts w:ascii="Arial" w:hAnsi="Arial" w:cs="Arial"/>
          <w:lang w:val="en-US"/>
        </w:rPr>
        <w:t>ntly</w:t>
      </w:r>
      <w:r w:rsidR="00197953">
        <w:rPr>
          <w:rFonts w:ascii="Arial" w:hAnsi="Arial" w:cs="Arial"/>
          <w:lang w:val="en-US"/>
        </w:rPr>
        <w:t xml:space="preserve"> reflected in its </w:t>
      </w:r>
      <w:r w:rsidR="00DD6CF3">
        <w:rPr>
          <w:rFonts w:ascii="Arial" w:hAnsi="Arial" w:cs="Arial"/>
          <w:lang w:val="en-US"/>
        </w:rPr>
        <w:t xml:space="preserve">2018 </w:t>
      </w:r>
      <w:r w:rsidR="00197953">
        <w:rPr>
          <w:rFonts w:ascii="Arial" w:hAnsi="Arial" w:cs="Arial"/>
          <w:lang w:val="en-US"/>
        </w:rPr>
        <w:t>return</w:t>
      </w:r>
      <w:r w:rsidR="00DD6CF3">
        <w:rPr>
          <w:rFonts w:ascii="Arial" w:hAnsi="Arial" w:cs="Arial"/>
          <w:lang w:val="en-US"/>
        </w:rPr>
        <w:t xml:space="preserve"> </w:t>
      </w:r>
      <w:r w:rsidR="000919E7">
        <w:rPr>
          <w:rFonts w:ascii="Arial" w:hAnsi="Arial" w:cs="Arial"/>
          <w:lang w:val="en-US"/>
        </w:rPr>
        <w:t>(</w:t>
      </w:r>
      <w:r w:rsidR="00DD6CF3">
        <w:rPr>
          <w:rFonts w:ascii="Arial" w:hAnsi="Arial" w:cs="Arial"/>
          <w:lang w:val="en-US"/>
        </w:rPr>
        <w:t xml:space="preserve">and </w:t>
      </w:r>
      <w:r w:rsidR="00197953">
        <w:rPr>
          <w:rFonts w:ascii="Arial" w:hAnsi="Arial" w:cs="Arial"/>
          <w:lang w:val="en-US"/>
        </w:rPr>
        <w:t>AFS</w:t>
      </w:r>
      <w:r w:rsidR="000919E7">
        <w:rPr>
          <w:rFonts w:ascii="Arial" w:hAnsi="Arial" w:cs="Arial"/>
          <w:lang w:val="en-US"/>
        </w:rPr>
        <w:t>)</w:t>
      </w:r>
      <w:r w:rsidR="00197953">
        <w:rPr>
          <w:rFonts w:ascii="Arial" w:hAnsi="Arial" w:cs="Arial"/>
          <w:lang w:val="en-US"/>
        </w:rPr>
        <w:t xml:space="preserve"> an</w:t>
      </w:r>
      <w:r w:rsidR="00DD6CF3">
        <w:rPr>
          <w:rFonts w:ascii="Arial" w:hAnsi="Arial" w:cs="Arial"/>
          <w:lang w:val="en-US"/>
        </w:rPr>
        <w:t xml:space="preserve"> </w:t>
      </w:r>
      <w:r w:rsidR="00197953">
        <w:rPr>
          <w:rFonts w:ascii="Arial" w:hAnsi="Arial" w:cs="Arial"/>
          <w:lang w:val="en-US"/>
        </w:rPr>
        <w:t>amount of gross income of</w:t>
      </w:r>
      <w:r w:rsidR="00747A22">
        <w:rPr>
          <w:rFonts w:ascii="Arial" w:hAnsi="Arial" w:cs="Arial"/>
          <w:lang w:val="en-US"/>
        </w:rPr>
        <w:t xml:space="preserve"> </w:t>
      </w:r>
      <w:r w:rsidR="00197953">
        <w:rPr>
          <w:rFonts w:ascii="Arial" w:hAnsi="Arial" w:cs="Arial"/>
          <w:lang w:val="en-US"/>
        </w:rPr>
        <w:t>R</w:t>
      </w:r>
      <w:r w:rsidR="00747A22">
        <w:rPr>
          <w:rFonts w:ascii="Arial" w:hAnsi="Arial" w:cs="Arial"/>
          <w:lang w:val="en-US"/>
        </w:rPr>
        <w:t xml:space="preserve"> </w:t>
      </w:r>
      <w:r w:rsidR="00197953">
        <w:rPr>
          <w:rFonts w:ascii="Arial" w:hAnsi="Arial" w:cs="Arial"/>
          <w:lang w:val="en-US"/>
        </w:rPr>
        <w:t>320</w:t>
      </w:r>
      <w:r>
        <w:rPr>
          <w:rFonts w:ascii="Arial" w:hAnsi="Arial" w:cs="Arial"/>
          <w:lang w:val="en-US"/>
        </w:rPr>
        <w:t> </w:t>
      </w:r>
      <w:r w:rsidR="00197953">
        <w:rPr>
          <w:rFonts w:ascii="Arial" w:hAnsi="Arial" w:cs="Arial"/>
          <w:lang w:val="en-US"/>
        </w:rPr>
        <w:t>846</w:t>
      </w:r>
      <w:r w:rsidR="00702D1A">
        <w:rPr>
          <w:rFonts w:ascii="Arial" w:hAnsi="Arial" w:cs="Arial"/>
          <w:lang w:val="en-US"/>
        </w:rPr>
        <w:t> </w:t>
      </w:r>
      <w:r w:rsidR="00197953">
        <w:rPr>
          <w:rFonts w:ascii="Arial" w:hAnsi="Arial" w:cs="Arial"/>
          <w:lang w:val="en-US"/>
        </w:rPr>
        <w:t>361</w:t>
      </w:r>
      <w:r w:rsidR="00702D1A">
        <w:rPr>
          <w:rFonts w:ascii="Arial" w:hAnsi="Arial" w:cs="Arial"/>
          <w:lang w:val="en-US"/>
        </w:rPr>
        <w:t>,00</w:t>
      </w:r>
      <w:r w:rsidR="00197953">
        <w:rPr>
          <w:rFonts w:ascii="Arial" w:hAnsi="Arial" w:cs="Arial"/>
          <w:lang w:val="en-US"/>
        </w:rPr>
        <w:t xml:space="preserve"> for th</w:t>
      </w:r>
      <w:r w:rsidR="000919E7">
        <w:rPr>
          <w:rFonts w:ascii="Arial" w:hAnsi="Arial" w:cs="Arial"/>
          <w:lang w:val="en-US"/>
        </w:rPr>
        <w:t>at</w:t>
      </w:r>
      <w:r w:rsidR="00197953">
        <w:rPr>
          <w:rFonts w:ascii="Arial" w:hAnsi="Arial" w:cs="Arial"/>
          <w:lang w:val="en-US"/>
        </w:rPr>
        <w:t xml:space="preserve"> tax year. </w:t>
      </w:r>
      <w:r w:rsidR="005C2B1A">
        <w:rPr>
          <w:rFonts w:ascii="Arial" w:hAnsi="Arial" w:cs="Arial"/>
          <w:lang w:val="en-US"/>
        </w:rPr>
        <w:t>In</w:t>
      </w:r>
      <w:r w:rsidR="00197953">
        <w:rPr>
          <w:rFonts w:ascii="Arial" w:hAnsi="Arial" w:cs="Arial"/>
          <w:lang w:val="en-US"/>
        </w:rPr>
        <w:t xml:space="preserve"> its original ground</w:t>
      </w:r>
      <w:r w:rsidR="00DD6CF3">
        <w:rPr>
          <w:rFonts w:ascii="Arial" w:hAnsi="Arial" w:cs="Arial"/>
          <w:lang w:val="en-US"/>
        </w:rPr>
        <w:t xml:space="preserve">s of </w:t>
      </w:r>
      <w:r w:rsidR="008942B6">
        <w:rPr>
          <w:rFonts w:ascii="Arial" w:hAnsi="Arial" w:cs="Arial"/>
          <w:lang w:val="en-US"/>
        </w:rPr>
        <w:t>objection</w:t>
      </w:r>
      <w:r w:rsidR="00197953">
        <w:rPr>
          <w:rFonts w:ascii="Arial" w:hAnsi="Arial" w:cs="Arial"/>
          <w:lang w:val="en-US"/>
        </w:rPr>
        <w:t xml:space="preserve"> it </w:t>
      </w:r>
      <w:r w:rsidR="00747A22">
        <w:rPr>
          <w:rFonts w:ascii="Arial" w:hAnsi="Arial" w:cs="Arial"/>
          <w:lang w:val="en-US"/>
        </w:rPr>
        <w:t xml:space="preserve">claimed </w:t>
      </w:r>
      <w:r w:rsidR="00197953">
        <w:rPr>
          <w:rFonts w:ascii="Arial" w:hAnsi="Arial" w:cs="Arial"/>
          <w:lang w:val="en-US"/>
        </w:rPr>
        <w:t>that the R</w:t>
      </w:r>
      <w:r w:rsidR="00747A22">
        <w:rPr>
          <w:rFonts w:ascii="Arial" w:hAnsi="Arial" w:cs="Arial"/>
          <w:lang w:val="en-US"/>
        </w:rPr>
        <w:t xml:space="preserve"> </w:t>
      </w:r>
      <w:r w:rsidR="00197953">
        <w:rPr>
          <w:rFonts w:ascii="Arial" w:hAnsi="Arial" w:cs="Arial"/>
          <w:lang w:val="en-US"/>
        </w:rPr>
        <w:t>11</w:t>
      </w:r>
      <w:r>
        <w:rPr>
          <w:rFonts w:ascii="Arial" w:hAnsi="Arial" w:cs="Arial"/>
          <w:lang w:val="en-US"/>
        </w:rPr>
        <w:t> </w:t>
      </w:r>
      <w:r w:rsidR="00197953">
        <w:rPr>
          <w:rFonts w:ascii="Arial" w:hAnsi="Arial" w:cs="Arial"/>
          <w:lang w:val="en-US"/>
        </w:rPr>
        <w:t>072</w:t>
      </w:r>
      <w:r w:rsidR="00702D1A">
        <w:rPr>
          <w:rFonts w:ascii="Arial" w:hAnsi="Arial" w:cs="Arial"/>
          <w:lang w:val="en-US"/>
        </w:rPr>
        <w:t> </w:t>
      </w:r>
      <w:r w:rsidR="00197953">
        <w:rPr>
          <w:rFonts w:ascii="Arial" w:hAnsi="Arial" w:cs="Arial"/>
          <w:lang w:val="en-US"/>
        </w:rPr>
        <w:t>237</w:t>
      </w:r>
      <w:r w:rsidR="00702D1A">
        <w:rPr>
          <w:rFonts w:ascii="Arial" w:hAnsi="Arial" w:cs="Arial"/>
          <w:lang w:val="en-US"/>
        </w:rPr>
        <w:t>,00</w:t>
      </w:r>
      <w:r w:rsidR="00197953">
        <w:rPr>
          <w:rFonts w:ascii="Arial" w:hAnsi="Arial" w:cs="Arial"/>
          <w:lang w:val="en-US"/>
        </w:rPr>
        <w:t xml:space="preserve"> </w:t>
      </w:r>
      <w:r w:rsidR="00747A22">
        <w:rPr>
          <w:rFonts w:ascii="Arial" w:hAnsi="Arial" w:cs="Arial"/>
          <w:lang w:val="en-US"/>
        </w:rPr>
        <w:t xml:space="preserve">which </w:t>
      </w:r>
      <w:r w:rsidR="00197953">
        <w:rPr>
          <w:rFonts w:ascii="Arial" w:hAnsi="Arial" w:cs="Arial"/>
          <w:lang w:val="en-US"/>
        </w:rPr>
        <w:t xml:space="preserve">was paid to the BECP </w:t>
      </w:r>
      <w:r w:rsidR="00747A22">
        <w:rPr>
          <w:rFonts w:ascii="Arial" w:hAnsi="Arial" w:cs="Arial"/>
          <w:lang w:val="en-US"/>
        </w:rPr>
        <w:t>w</w:t>
      </w:r>
      <w:r w:rsidR="00197953">
        <w:rPr>
          <w:rFonts w:ascii="Arial" w:hAnsi="Arial" w:cs="Arial"/>
          <w:lang w:val="en-US"/>
        </w:rPr>
        <w:t>as an allowable deduction by virtue of s</w:t>
      </w:r>
      <w:r w:rsidR="00747A22">
        <w:rPr>
          <w:rFonts w:ascii="Arial" w:hAnsi="Arial" w:cs="Arial"/>
          <w:lang w:val="en-US"/>
        </w:rPr>
        <w:t>s</w:t>
      </w:r>
      <w:r w:rsidR="00197953">
        <w:rPr>
          <w:rFonts w:ascii="Arial" w:hAnsi="Arial" w:cs="Arial"/>
          <w:lang w:val="en-US"/>
        </w:rPr>
        <w:t xml:space="preserve"> 11(a) </w:t>
      </w:r>
      <w:r w:rsidR="00747A22">
        <w:rPr>
          <w:rFonts w:ascii="Arial" w:hAnsi="Arial" w:cs="Arial"/>
          <w:lang w:val="en-US"/>
        </w:rPr>
        <w:t>and</w:t>
      </w:r>
      <w:r w:rsidR="00197953">
        <w:rPr>
          <w:rFonts w:ascii="Arial" w:hAnsi="Arial" w:cs="Arial"/>
          <w:lang w:val="en-US"/>
        </w:rPr>
        <w:t xml:space="preserve"> 23(g) of the </w:t>
      </w:r>
      <w:r w:rsidR="00747A22">
        <w:rPr>
          <w:rFonts w:ascii="Arial" w:hAnsi="Arial" w:cs="Arial"/>
          <w:lang w:val="en-US"/>
        </w:rPr>
        <w:t>ITA, in that it was an expense incurred in the production of income from trade</w:t>
      </w:r>
      <w:r w:rsidR="00197953">
        <w:rPr>
          <w:rFonts w:ascii="Arial" w:hAnsi="Arial" w:cs="Arial"/>
          <w:lang w:val="en-US"/>
        </w:rPr>
        <w:t xml:space="preserve">. </w:t>
      </w:r>
    </w:p>
    <w:p w14:paraId="408A654C" w14:textId="77777777" w:rsidR="005C2B1A" w:rsidRDefault="005C2B1A" w:rsidP="00AA2922">
      <w:pPr>
        <w:spacing w:line="480" w:lineRule="auto"/>
        <w:jc w:val="both"/>
        <w:rPr>
          <w:rFonts w:ascii="Arial" w:hAnsi="Arial" w:cs="Arial"/>
          <w:lang w:val="en-US"/>
        </w:rPr>
      </w:pPr>
    </w:p>
    <w:p w14:paraId="2679F22B" w14:textId="0171C673" w:rsidR="003D448F" w:rsidRDefault="00AA2922" w:rsidP="00643495">
      <w:pPr>
        <w:spacing w:line="480" w:lineRule="auto"/>
        <w:ind w:left="360" w:hanging="360"/>
        <w:jc w:val="both"/>
        <w:rPr>
          <w:rFonts w:ascii="Arial" w:hAnsi="Arial" w:cs="Arial"/>
          <w:i/>
          <w:iCs/>
          <w:lang w:val="en-US"/>
        </w:rPr>
      </w:pPr>
      <w:r>
        <w:rPr>
          <w:rFonts w:ascii="Arial" w:hAnsi="Arial" w:cs="Arial"/>
          <w:lang w:val="en-US"/>
        </w:rPr>
        <w:t>[9</w:t>
      </w:r>
      <w:r w:rsidR="00C16C1A">
        <w:rPr>
          <w:rFonts w:ascii="Arial" w:hAnsi="Arial" w:cs="Arial"/>
          <w:lang w:val="en-US"/>
        </w:rPr>
        <w:t>9</w:t>
      </w:r>
      <w:r>
        <w:rPr>
          <w:rFonts w:ascii="Arial" w:hAnsi="Arial" w:cs="Arial"/>
          <w:lang w:val="en-US"/>
        </w:rPr>
        <w:t>]</w:t>
      </w:r>
      <w:r>
        <w:rPr>
          <w:rFonts w:ascii="Arial" w:hAnsi="Arial" w:cs="Arial"/>
          <w:lang w:val="en-US"/>
        </w:rPr>
        <w:tab/>
      </w:r>
      <w:r w:rsidR="00747A22">
        <w:rPr>
          <w:rFonts w:ascii="Arial" w:hAnsi="Arial" w:cs="Arial"/>
          <w:lang w:val="en-US"/>
        </w:rPr>
        <w:t>S</w:t>
      </w:r>
      <w:r w:rsidR="00197953">
        <w:rPr>
          <w:rFonts w:ascii="Arial" w:hAnsi="Arial" w:cs="Arial"/>
          <w:lang w:val="en-US"/>
        </w:rPr>
        <w:t xml:space="preserve">ection </w:t>
      </w:r>
      <w:r w:rsidR="00197953" w:rsidRPr="008409D5">
        <w:rPr>
          <w:rFonts w:ascii="Arial" w:hAnsi="Arial" w:cs="Arial"/>
          <w:iCs/>
          <w:lang w:val="en-US"/>
        </w:rPr>
        <w:t>11(a)</w:t>
      </w:r>
      <w:r w:rsidR="00747A22">
        <w:rPr>
          <w:rFonts w:ascii="Arial" w:hAnsi="Arial" w:cs="Arial"/>
          <w:iCs/>
          <w:lang w:val="en-US"/>
        </w:rPr>
        <w:t xml:space="preserve"> (which pertains to the so-called ‘general deduction formula’), reads as follows:</w:t>
      </w:r>
      <w:r w:rsidR="00197953" w:rsidRPr="00D76112">
        <w:rPr>
          <w:rFonts w:ascii="Arial" w:hAnsi="Arial" w:cs="Arial"/>
          <w:i/>
          <w:iCs/>
          <w:lang w:val="en-US"/>
        </w:rPr>
        <w:t xml:space="preserve"> </w:t>
      </w:r>
    </w:p>
    <w:p w14:paraId="0D731419" w14:textId="6F944723" w:rsidR="00197953" w:rsidRPr="003D448F" w:rsidRDefault="005C2B1A" w:rsidP="00873807">
      <w:pPr>
        <w:ind w:left="360" w:hanging="360"/>
        <w:jc w:val="both"/>
        <w:rPr>
          <w:rFonts w:ascii="Arial" w:hAnsi="Arial" w:cs="Arial"/>
          <w:i/>
          <w:iCs/>
          <w:sz w:val="20"/>
          <w:szCs w:val="20"/>
          <w:lang w:val="en-US"/>
        </w:rPr>
      </w:pPr>
      <w:r w:rsidRPr="003D448F">
        <w:rPr>
          <w:rFonts w:ascii="Arial" w:hAnsi="Arial" w:cs="Arial"/>
          <w:b/>
          <w:bCs/>
          <w:i/>
          <w:iCs/>
          <w:sz w:val="20"/>
          <w:szCs w:val="20"/>
          <w:lang w:val="en-US"/>
        </w:rPr>
        <w:t>‘</w:t>
      </w:r>
      <w:r w:rsidR="00197953" w:rsidRPr="003D448F">
        <w:rPr>
          <w:rFonts w:ascii="Arial" w:hAnsi="Arial" w:cs="Arial"/>
          <w:b/>
          <w:bCs/>
          <w:i/>
          <w:iCs/>
          <w:sz w:val="20"/>
          <w:szCs w:val="20"/>
          <w:lang w:val="en-US"/>
        </w:rPr>
        <w:t>General Deductions allowed in determination of taxable income.</w:t>
      </w:r>
      <w:r w:rsidR="00AA2922" w:rsidRPr="003D448F">
        <w:rPr>
          <w:rFonts w:ascii="Arial" w:hAnsi="Arial" w:cs="Arial"/>
          <w:b/>
          <w:bCs/>
          <w:i/>
          <w:iCs/>
          <w:sz w:val="20"/>
          <w:szCs w:val="20"/>
          <w:lang w:val="en-US"/>
        </w:rPr>
        <w:t xml:space="preserve"> </w:t>
      </w:r>
      <w:r w:rsidR="00197953" w:rsidRPr="003D448F">
        <w:rPr>
          <w:rFonts w:ascii="Arial" w:hAnsi="Arial" w:cs="Arial"/>
          <w:i/>
          <w:iCs/>
          <w:sz w:val="20"/>
          <w:szCs w:val="20"/>
          <w:lang w:val="en-US"/>
        </w:rPr>
        <w:t xml:space="preserve">For the purpose of determining the taxable income derived from any person from carrying on </w:t>
      </w:r>
      <w:r w:rsidR="00643495" w:rsidRPr="003D448F">
        <w:rPr>
          <w:rFonts w:ascii="Arial" w:hAnsi="Arial" w:cs="Arial"/>
          <w:i/>
          <w:iCs/>
          <w:sz w:val="20"/>
          <w:szCs w:val="20"/>
          <w:lang w:val="en-US"/>
        </w:rPr>
        <w:t xml:space="preserve">any </w:t>
      </w:r>
      <w:r w:rsidR="00197953" w:rsidRPr="003D448F">
        <w:rPr>
          <w:rFonts w:ascii="Arial" w:hAnsi="Arial" w:cs="Arial"/>
          <w:i/>
          <w:iCs/>
          <w:sz w:val="20"/>
          <w:szCs w:val="20"/>
          <w:lang w:val="en-US"/>
        </w:rPr>
        <w:t>trade, there shall be allowed as deductions from the income such a person so derived-</w:t>
      </w:r>
    </w:p>
    <w:p w14:paraId="12D6B2D0" w14:textId="37FEADC0" w:rsidR="00197953" w:rsidRPr="00741C84" w:rsidRDefault="00741C84" w:rsidP="00741C84">
      <w:pPr>
        <w:ind w:left="360"/>
        <w:jc w:val="both"/>
        <w:rPr>
          <w:rFonts w:ascii="Arial" w:hAnsi="Arial" w:cs="Arial"/>
          <w:i/>
          <w:iCs/>
          <w:sz w:val="20"/>
          <w:szCs w:val="20"/>
          <w:lang w:val="en-US"/>
        </w:rPr>
      </w:pPr>
      <w:r w:rsidRPr="003D448F">
        <w:rPr>
          <w:rFonts w:ascii="Arial" w:eastAsiaTheme="minorHAnsi" w:hAnsi="Arial" w:cs="Arial"/>
          <w:i/>
          <w:iCs/>
          <w:sz w:val="20"/>
          <w:szCs w:val="20"/>
          <w:lang w:val="en-US" w:eastAsia="en-US"/>
        </w:rPr>
        <w:t>(a)</w:t>
      </w:r>
      <w:r w:rsidRPr="003D448F">
        <w:rPr>
          <w:rFonts w:ascii="Arial" w:eastAsiaTheme="minorHAnsi" w:hAnsi="Arial" w:cs="Arial"/>
          <w:i/>
          <w:iCs/>
          <w:sz w:val="20"/>
          <w:szCs w:val="20"/>
          <w:lang w:val="en-US" w:eastAsia="en-US"/>
        </w:rPr>
        <w:tab/>
      </w:r>
      <w:r w:rsidR="00197953" w:rsidRPr="00741C84">
        <w:rPr>
          <w:rFonts w:ascii="Arial" w:hAnsi="Arial" w:cs="Arial"/>
          <w:i/>
          <w:iCs/>
          <w:sz w:val="20"/>
          <w:szCs w:val="20"/>
          <w:lang w:val="en-US"/>
        </w:rPr>
        <w:t xml:space="preserve">expenditure and losses actually incurred in the production of income, provided </w:t>
      </w:r>
      <w:r w:rsidR="00643495" w:rsidRPr="00741C84">
        <w:rPr>
          <w:rFonts w:ascii="Arial" w:hAnsi="Arial" w:cs="Arial"/>
          <w:i/>
          <w:iCs/>
          <w:sz w:val="20"/>
          <w:szCs w:val="20"/>
          <w:lang w:val="en-US"/>
        </w:rPr>
        <w:t>such</w:t>
      </w:r>
      <w:r w:rsidR="00197953" w:rsidRPr="00741C84">
        <w:rPr>
          <w:rFonts w:ascii="Arial" w:hAnsi="Arial" w:cs="Arial"/>
          <w:i/>
          <w:iCs/>
          <w:sz w:val="20"/>
          <w:szCs w:val="20"/>
          <w:lang w:val="en-US"/>
        </w:rPr>
        <w:t xml:space="preserve"> expenditure </w:t>
      </w:r>
      <w:r w:rsidR="00643495" w:rsidRPr="00741C84">
        <w:rPr>
          <w:rFonts w:ascii="Arial" w:hAnsi="Arial" w:cs="Arial"/>
          <w:i/>
          <w:iCs/>
          <w:sz w:val="20"/>
          <w:szCs w:val="20"/>
          <w:lang w:val="en-US"/>
        </w:rPr>
        <w:t>and losses</w:t>
      </w:r>
      <w:r w:rsidR="00197953" w:rsidRPr="00741C84">
        <w:rPr>
          <w:rFonts w:ascii="Arial" w:hAnsi="Arial" w:cs="Arial"/>
          <w:i/>
          <w:iCs/>
          <w:sz w:val="20"/>
          <w:szCs w:val="20"/>
          <w:lang w:val="en-US"/>
        </w:rPr>
        <w:t xml:space="preserve"> are not of </w:t>
      </w:r>
      <w:r w:rsidR="00643495" w:rsidRPr="00741C84">
        <w:rPr>
          <w:rFonts w:ascii="Arial" w:hAnsi="Arial" w:cs="Arial"/>
          <w:i/>
          <w:iCs/>
          <w:sz w:val="20"/>
          <w:szCs w:val="20"/>
          <w:lang w:val="en-US"/>
        </w:rPr>
        <w:t>a</w:t>
      </w:r>
      <w:r w:rsidR="00197953" w:rsidRPr="00741C84">
        <w:rPr>
          <w:rFonts w:ascii="Arial" w:hAnsi="Arial" w:cs="Arial"/>
          <w:i/>
          <w:iCs/>
          <w:sz w:val="20"/>
          <w:szCs w:val="20"/>
          <w:lang w:val="en-US"/>
        </w:rPr>
        <w:t xml:space="preserve"> capital </w:t>
      </w:r>
      <w:r w:rsidR="00A14292" w:rsidRPr="00741C84">
        <w:rPr>
          <w:rFonts w:ascii="Arial" w:hAnsi="Arial" w:cs="Arial"/>
          <w:i/>
          <w:iCs/>
          <w:sz w:val="20"/>
          <w:szCs w:val="20"/>
          <w:lang w:val="en-US"/>
        </w:rPr>
        <w:t>nature.</w:t>
      </w:r>
      <w:r w:rsidR="00197953" w:rsidRPr="00741C84">
        <w:rPr>
          <w:rFonts w:ascii="Arial" w:hAnsi="Arial" w:cs="Arial"/>
          <w:i/>
          <w:iCs/>
          <w:sz w:val="20"/>
          <w:szCs w:val="20"/>
          <w:lang w:val="en-US"/>
        </w:rPr>
        <w:t>”</w:t>
      </w:r>
    </w:p>
    <w:p w14:paraId="5196A416" w14:textId="762D5563" w:rsidR="00197953" w:rsidRDefault="00197953" w:rsidP="00197953">
      <w:pPr>
        <w:spacing w:line="480" w:lineRule="auto"/>
        <w:ind w:left="360"/>
        <w:jc w:val="both"/>
        <w:rPr>
          <w:rFonts w:ascii="Arial" w:hAnsi="Arial" w:cs="Arial"/>
          <w:lang w:val="en-US"/>
        </w:rPr>
      </w:pPr>
      <w:r>
        <w:rPr>
          <w:rFonts w:ascii="Arial" w:hAnsi="Arial" w:cs="Arial"/>
          <w:lang w:val="en-US"/>
        </w:rPr>
        <w:t>Section</w:t>
      </w:r>
      <w:r w:rsidR="00AA2922">
        <w:rPr>
          <w:rFonts w:ascii="Arial" w:hAnsi="Arial" w:cs="Arial"/>
          <w:lang w:val="en-US"/>
        </w:rPr>
        <w:t xml:space="preserve"> </w:t>
      </w:r>
      <w:r>
        <w:rPr>
          <w:rFonts w:ascii="Arial" w:hAnsi="Arial" w:cs="Arial"/>
          <w:lang w:val="en-US"/>
        </w:rPr>
        <w:t>23(g) of the Act provides:</w:t>
      </w:r>
    </w:p>
    <w:p w14:paraId="1B21C79F" w14:textId="77777777" w:rsidR="00197953" w:rsidRPr="00153518" w:rsidRDefault="00197953" w:rsidP="00873807">
      <w:pPr>
        <w:ind w:left="360"/>
        <w:jc w:val="both"/>
        <w:rPr>
          <w:rFonts w:ascii="Arial" w:hAnsi="Arial" w:cs="Arial"/>
          <w:b/>
          <w:bCs/>
          <w:i/>
          <w:iCs/>
          <w:sz w:val="20"/>
          <w:szCs w:val="20"/>
          <w:lang w:val="en-US"/>
        </w:rPr>
      </w:pPr>
      <w:r w:rsidRPr="00153518">
        <w:rPr>
          <w:rFonts w:ascii="Arial" w:hAnsi="Arial" w:cs="Arial"/>
          <w:b/>
          <w:bCs/>
          <w:i/>
          <w:iCs/>
          <w:sz w:val="20"/>
          <w:szCs w:val="20"/>
          <w:lang w:val="en-US"/>
        </w:rPr>
        <w:t>23. Deductions not allowed in determination of taxable income</w:t>
      </w:r>
    </w:p>
    <w:p w14:paraId="79F3DA40" w14:textId="5AA6EC89" w:rsidR="00197953" w:rsidRPr="00153518" w:rsidRDefault="00197953" w:rsidP="00873807">
      <w:pPr>
        <w:ind w:left="360"/>
        <w:jc w:val="both"/>
        <w:rPr>
          <w:rFonts w:ascii="Arial" w:hAnsi="Arial" w:cs="Arial"/>
          <w:i/>
          <w:iCs/>
          <w:sz w:val="20"/>
          <w:szCs w:val="20"/>
          <w:lang w:val="en-US"/>
        </w:rPr>
      </w:pPr>
      <w:r w:rsidRPr="00153518">
        <w:rPr>
          <w:rFonts w:ascii="Arial" w:hAnsi="Arial" w:cs="Arial"/>
          <w:i/>
          <w:iCs/>
          <w:sz w:val="20"/>
          <w:szCs w:val="20"/>
          <w:lang w:val="en-US"/>
        </w:rPr>
        <w:t>No deductions shall in any case be made in respect of the following matters, namely-</w:t>
      </w:r>
    </w:p>
    <w:p w14:paraId="1B08D1FF" w14:textId="06588396" w:rsidR="00197953" w:rsidRPr="00153518" w:rsidRDefault="00197953" w:rsidP="00873807">
      <w:pPr>
        <w:ind w:left="360"/>
        <w:jc w:val="both"/>
        <w:rPr>
          <w:rFonts w:ascii="Arial" w:hAnsi="Arial" w:cs="Arial"/>
          <w:i/>
          <w:iCs/>
          <w:sz w:val="20"/>
          <w:szCs w:val="20"/>
          <w:lang w:val="en-US"/>
        </w:rPr>
      </w:pPr>
      <w:r w:rsidRPr="00153518">
        <w:rPr>
          <w:rFonts w:ascii="Arial" w:hAnsi="Arial" w:cs="Arial"/>
          <w:i/>
          <w:iCs/>
          <w:sz w:val="20"/>
          <w:szCs w:val="20"/>
          <w:lang w:val="en-US"/>
        </w:rPr>
        <w:t>(g) any mon</w:t>
      </w:r>
      <w:r w:rsidR="00643495" w:rsidRPr="00153518">
        <w:rPr>
          <w:rFonts w:ascii="Arial" w:hAnsi="Arial" w:cs="Arial"/>
          <w:i/>
          <w:iCs/>
          <w:sz w:val="20"/>
          <w:szCs w:val="20"/>
          <w:lang w:val="en-US"/>
        </w:rPr>
        <w:t>eys</w:t>
      </w:r>
      <w:r w:rsidRPr="00153518">
        <w:rPr>
          <w:rFonts w:ascii="Arial" w:hAnsi="Arial" w:cs="Arial"/>
          <w:i/>
          <w:iCs/>
          <w:sz w:val="20"/>
          <w:szCs w:val="20"/>
          <w:lang w:val="en-US"/>
        </w:rPr>
        <w:t xml:space="preserve"> claimed as a deduction from income derived </w:t>
      </w:r>
      <w:r w:rsidR="00AA2922" w:rsidRPr="00153518">
        <w:rPr>
          <w:rFonts w:ascii="Arial" w:hAnsi="Arial" w:cs="Arial"/>
          <w:i/>
          <w:iCs/>
          <w:sz w:val="20"/>
          <w:szCs w:val="20"/>
          <w:lang w:val="en-US"/>
        </w:rPr>
        <w:t>from trade</w:t>
      </w:r>
      <w:r w:rsidR="00643495" w:rsidRPr="00153518">
        <w:rPr>
          <w:rFonts w:ascii="Arial" w:hAnsi="Arial" w:cs="Arial"/>
          <w:i/>
          <w:iCs/>
          <w:sz w:val="20"/>
          <w:szCs w:val="20"/>
          <w:lang w:val="en-US"/>
        </w:rPr>
        <w:t>,</w:t>
      </w:r>
      <w:r w:rsidRPr="00153518">
        <w:rPr>
          <w:rFonts w:ascii="Arial" w:hAnsi="Arial" w:cs="Arial"/>
          <w:i/>
          <w:iCs/>
          <w:sz w:val="20"/>
          <w:szCs w:val="20"/>
          <w:lang w:val="en-US"/>
        </w:rPr>
        <w:t xml:space="preserve"> to the extent to which such </w:t>
      </w:r>
      <w:r w:rsidRPr="00153518">
        <w:rPr>
          <w:rFonts w:ascii="Arial" w:hAnsi="Arial" w:cs="Arial"/>
          <w:i/>
          <w:iCs/>
          <w:sz w:val="20"/>
          <w:szCs w:val="20"/>
        </w:rPr>
        <w:t>mon</w:t>
      </w:r>
      <w:r w:rsidR="00643495" w:rsidRPr="00153518">
        <w:rPr>
          <w:rFonts w:ascii="Arial" w:hAnsi="Arial" w:cs="Arial"/>
          <w:i/>
          <w:iCs/>
          <w:sz w:val="20"/>
          <w:szCs w:val="20"/>
        </w:rPr>
        <w:t>ey</w:t>
      </w:r>
      <w:r w:rsidRPr="00153518">
        <w:rPr>
          <w:rFonts w:ascii="Arial" w:hAnsi="Arial" w:cs="Arial"/>
          <w:i/>
          <w:iCs/>
          <w:sz w:val="20"/>
          <w:szCs w:val="20"/>
        </w:rPr>
        <w:t>s</w:t>
      </w:r>
      <w:r w:rsidRPr="00153518">
        <w:rPr>
          <w:rFonts w:ascii="Arial" w:hAnsi="Arial" w:cs="Arial"/>
          <w:i/>
          <w:iCs/>
          <w:sz w:val="20"/>
          <w:szCs w:val="20"/>
          <w:lang w:val="en-US"/>
        </w:rPr>
        <w:t xml:space="preserve"> were not laid out or expended for the purposes of trad</w:t>
      </w:r>
      <w:r w:rsidR="000919E7">
        <w:rPr>
          <w:rFonts w:ascii="Arial" w:hAnsi="Arial" w:cs="Arial"/>
          <w:i/>
          <w:iCs/>
          <w:sz w:val="20"/>
          <w:szCs w:val="20"/>
          <w:lang w:val="en-US"/>
        </w:rPr>
        <w:t>e</w:t>
      </w:r>
      <w:r w:rsidRPr="00153518">
        <w:rPr>
          <w:rFonts w:ascii="Arial" w:hAnsi="Arial" w:cs="Arial"/>
          <w:i/>
          <w:iCs/>
          <w:sz w:val="20"/>
          <w:szCs w:val="20"/>
          <w:lang w:val="en-US"/>
        </w:rPr>
        <w:t>…</w:t>
      </w:r>
      <w:r w:rsidR="005C2B1A" w:rsidRPr="00153518">
        <w:rPr>
          <w:rFonts w:ascii="Arial" w:hAnsi="Arial" w:cs="Arial"/>
          <w:i/>
          <w:iCs/>
          <w:sz w:val="20"/>
          <w:szCs w:val="20"/>
          <w:lang w:val="en-US"/>
        </w:rPr>
        <w:t>’</w:t>
      </w:r>
    </w:p>
    <w:p w14:paraId="25A6D65D" w14:textId="77777777" w:rsidR="00AA2922" w:rsidRDefault="00AA2922" w:rsidP="00197953">
      <w:pPr>
        <w:spacing w:line="480" w:lineRule="auto"/>
        <w:jc w:val="both"/>
        <w:rPr>
          <w:rFonts w:ascii="Arial" w:hAnsi="Arial" w:cs="Arial"/>
          <w:lang w:val="en-US"/>
        </w:rPr>
      </w:pPr>
    </w:p>
    <w:p w14:paraId="1B99EBE0" w14:textId="51C3FD24" w:rsidR="00197953" w:rsidRDefault="00AA2922" w:rsidP="00AA2922">
      <w:pPr>
        <w:spacing w:line="480" w:lineRule="auto"/>
        <w:jc w:val="both"/>
        <w:rPr>
          <w:rFonts w:ascii="Arial" w:hAnsi="Arial" w:cs="Arial"/>
          <w:lang w:val="en-US"/>
        </w:rPr>
      </w:pPr>
      <w:r>
        <w:rPr>
          <w:rFonts w:ascii="Arial" w:hAnsi="Arial" w:cs="Arial"/>
          <w:lang w:val="en-US"/>
        </w:rPr>
        <w:t>[</w:t>
      </w:r>
      <w:r w:rsidR="00C16C1A">
        <w:rPr>
          <w:rFonts w:ascii="Arial" w:hAnsi="Arial" w:cs="Arial"/>
          <w:lang w:val="en-US"/>
        </w:rPr>
        <w:t>100</w:t>
      </w:r>
      <w:r>
        <w:rPr>
          <w:rFonts w:ascii="Arial" w:hAnsi="Arial" w:cs="Arial"/>
          <w:lang w:val="en-US"/>
        </w:rPr>
        <w:t>]</w:t>
      </w:r>
      <w:r>
        <w:rPr>
          <w:rFonts w:ascii="Arial" w:hAnsi="Arial" w:cs="Arial"/>
          <w:lang w:val="en-US"/>
        </w:rPr>
        <w:tab/>
      </w:r>
      <w:r w:rsidR="00197953">
        <w:rPr>
          <w:rFonts w:ascii="Arial" w:hAnsi="Arial" w:cs="Arial"/>
          <w:lang w:val="en-US"/>
        </w:rPr>
        <w:t xml:space="preserve">A determination </w:t>
      </w:r>
      <w:r w:rsidR="00747A22">
        <w:rPr>
          <w:rFonts w:ascii="Arial" w:hAnsi="Arial" w:cs="Arial"/>
          <w:lang w:val="en-US"/>
        </w:rPr>
        <w:t>as to</w:t>
      </w:r>
      <w:r w:rsidR="00197953">
        <w:rPr>
          <w:rFonts w:ascii="Arial" w:hAnsi="Arial" w:cs="Arial"/>
          <w:lang w:val="en-US"/>
        </w:rPr>
        <w:t xml:space="preserve"> whether an amount </w:t>
      </w:r>
      <w:r w:rsidR="00747A22">
        <w:rPr>
          <w:rFonts w:ascii="Arial" w:hAnsi="Arial" w:cs="Arial"/>
          <w:lang w:val="en-US"/>
        </w:rPr>
        <w:t xml:space="preserve">may validly be </w:t>
      </w:r>
      <w:r w:rsidR="00197953">
        <w:rPr>
          <w:rFonts w:ascii="Arial" w:hAnsi="Arial" w:cs="Arial"/>
          <w:lang w:val="en-US"/>
        </w:rPr>
        <w:t>deduct</w:t>
      </w:r>
      <w:r w:rsidR="00747A22">
        <w:rPr>
          <w:rFonts w:ascii="Arial" w:hAnsi="Arial" w:cs="Arial"/>
          <w:lang w:val="en-US"/>
        </w:rPr>
        <w:t>ed as an expense under</w:t>
      </w:r>
      <w:r w:rsidR="00197953">
        <w:rPr>
          <w:rFonts w:ascii="Arial" w:hAnsi="Arial" w:cs="Arial"/>
          <w:lang w:val="en-US"/>
        </w:rPr>
        <w:t xml:space="preserve"> ss 11(a) and 23(g) of the Act </w:t>
      </w:r>
      <w:r w:rsidR="007B1BDF">
        <w:rPr>
          <w:rFonts w:ascii="Arial" w:hAnsi="Arial" w:cs="Arial"/>
          <w:lang w:val="en-US"/>
        </w:rPr>
        <w:t xml:space="preserve">therefore depends </w:t>
      </w:r>
      <w:r w:rsidR="00197953">
        <w:rPr>
          <w:rFonts w:ascii="Arial" w:hAnsi="Arial" w:cs="Arial"/>
          <w:lang w:val="en-US"/>
        </w:rPr>
        <w:t xml:space="preserve">on establishing whether </w:t>
      </w:r>
      <w:r w:rsidR="00747A22">
        <w:rPr>
          <w:rFonts w:ascii="Arial" w:hAnsi="Arial" w:cs="Arial"/>
          <w:lang w:val="en-US"/>
        </w:rPr>
        <w:t>it</w:t>
      </w:r>
      <w:r w:rsidR="00197953">
        <w:rPr>
          <w:rFonts w:ascii="Arial" w:hAnsi="Arial" w:cs="Arial"/>
          <w:lang w:val="en-US"/>
        </w:rPr>
        <w:t xml:space="preserve"> was expended in the production of income for the purpose of trade. This was the </w:t>
      </w:r>
      <w:r w:rsidR="001708BA">
        <w:rPr>
          <w:rFonts w:ascii="Arial" w:hAnsi="Arial" w:cs="Arial"/>
          <w:lang w:val="en-US"/>
        </w:rPr>
        <w:t>appellant</w:t>
      </w:r>
      <w:r w:rsidR="00197953">
        <w:rPr>
          <w:rFonts w:ascii="Arial" w:hAnsi="Arial" w:cs="Arial"/>
          <w:lang w:val="en-US"/>
        </w:rPr>
        <w:t>’s version throughout</w:t>
      </w:r>
      <w:r w:rsidR="004D0B7F">
        <w:rPr>
          <w:rFonts w:ascii="Arial" w:hAnsi="Arial" w:cs="Arial"/>
          <w:lang w:val="en-US"/>
        </w:rPr>
        <w:t xml:space="preserve"> an</w:t>
      </w:r>
      <w:r w:rsidR="00197953">
        <w:rPr>
          <w:rFonts w:ascii="Arial" w:hAnsi="Arial" w:cs="Arial"/>
          <w:lang w:val="en-US"/>
        </w:rPr>
        <w:t xml:space="preserve">d as stated by the </w:t>
      </w:r>
      <w:r w:rsidR="00747A22">
        <w:rPr>
          <w:rFonts w:ascii="Arial" w:hAnsi="Arial" w:cs="Arial"/>
          <w:lang w:val="en-US"/>
        </w:rPr>
        <w:t xml:space="preserve">tax </w:t>
      </w:r>
      <w:r w:rsidR="00197953">
        <w:rPr>
          <w:rFonts w:ascii="Arial" w:hAnsi="Arial" w:cs="Arial"/>
          <w:lang w:val="en-US"/>
        </w:rPr>
        <w:t>court and the respondent</w:t>
      </w:r>
      <w:r w:rsidR="004D0B7F">
        <w:rPr>
          <w:rFonts w:ascii="Arial" w:hAnsi="Arial" w:cs="Arial"/>
          <w:lang w:val="en-US"/>
        </w:rPr>
        <w:t>,</w:t>
      </w:r>
      <w:r w:rsidR="00197953">
        <w:rPr>
          <w:rFonts w:ascii="Arial" w:hAnsi="Arial" w:cs="Arial"/>
          <w:lang w:val="en-US"/>
        </w:rPr>
        <w:t xml:space="preserve"> the </w:t>
      </w:r>
      <w:r w:rsidR="001708BA">
        <w:rPr>
          <w:rFonts w:ascii="Arial" w:hAnsi="Arial" w:cs="Arial"/>
          <w:lang w:val="en-US"/>
        </w:rPr>
        <w:t>appellant</w:t>
      </w:r>
      <w:r w:rsidR="00197953">
        <w:rPr>
          <w:rFonts w:ascii="Arial" w:hAnsi="Arial" w:cs="Arial"/>
          <w:lang w:val="en-US"/>
        </w:rPr>
        <w:t xml:space="preserve"> never alleged any alternative manner of accounting for this payment</w:t>
      </w:r>
      <w:r w:rsidR="00747A22">
        <w:rPr>
          <w:rFonts w:ascii="Arial" w:hAnsi="Arial" w:cs="Arial"/>
          <w:lang w:val="en-US"/>
        </w:rPr>
        <w:t>, prior to the filing of its rule 32 statement</w:t>
      </w:r>
      <w:r w:rsidR="00197953">
        <w:rPr>
          <w:rFonts w:ascii="Arial" w:hAnsi="Arial" w:cs="Arial"/>
          <w:lang w:val="en-US"/>
        </w:rPr>
        <w:t xml:space="preserve">. There was never an issue with regard to </w:t>
      </w:r>
      <w:r w:rsidR="00747A22">
        <w:rPr>
          <w:rFonts w:ascii="Arial" w:hAnsi="Arial" w:cs="Arial"/>
          <w:lang w:val="en-US"/>
        </w:rPr>
        <w:t xml:space="preserve">the respondent’s </w:t>
      </w:r>
      <w:r w:rsidR="00197953">
        <w:rPr>
          <w:rFonts w:ascii="Arial" w:hAnsi="Arial" w:cs="Arial"/>
          <w:lang w:val="en-US"/>
        </w:rPr>
        <w:t xml:space="preserve">tax treatment of the </w:t>
      </w:r>
      <w:r w:rsidR="00747A22">
        <w:rPr>
          <w:rFonts w:ascii="Arial" w:hAnsi="Arial" w:cs="Arial"/>
          <w:lang w:val="en-US"/>
        </w:rPr>
        <w:t>gross income part of the assessment</w:t>
      </w:r>
      <w:r w:rsidR="00197953">
        <w:rPr>
          <w:rFonts w:ascii="Arial" w:hAnsi="Arial" w:cs="Arial"/>
          <w:lang w:val="en-US"/>
        </w:rPr>
        <w:t>.</w:t>
      </w:r>
    </w:p>
    <w:p w14:paraId="46F8F793" w14:textId="77777777" w:rsidR="00AA2922" w:rsidRDefault="00AA2922" w:rsidP="00AA2922">
      <w:pPr>
        <w:spacing w:line="480" w:lineRule="auto"/>
        <w:jc w:val="both"/>
        <w:rPr>
          <w:rFonts w:ascii="Arial" w:hAnsi="Arial" w:cs="Arial"/>
          <w:lang w:val="en-US"/>
        </w:rPr>
      </w:pPr>
    </w:p>
    <w:p w14:paraId="41F4D0C6" w14:textId="4E89AA37" w:rsidR="00F42685" w:rsidRDefault="00AA2922" w:rsidP="00AA2922">
      <w:pPr>
        <w:spacing w:line="480" w:lineRule="auto"/>
        <w:jc w:val="both"/>
        <w:rPr>
          <w:rFonts w:ascii="Arial" w:hAnsi="Arial" w:cs="Arial"/>
          <w:lang w:val="en-US"/>
        </w:rPr>
      </w:pPr>
      <w:r>
        <w:rPr>
          <w:rFonts w:ascii="Arial" w:hAnsi="Arial" w:cs="Arial"/>
          <w:lang w:val="en-US"/>
        </w:rPr>
        <w:t>[</w:t>
      </w:r>
      <w:r w:rsidR="00B22B63">
        <w:rPr>
          <w:rFonts w:ascii="Arial" w:hAnsi="Arial" w:cs="Arial"/>
          <w:lang w:val="en-US"/>
        </w:rPr>
        <w:t>10</w:t>
      </w:r>
      <w:r w:rsidR="00C16C1A">
        <w:rPr>
          <w:rFonts w:ascii="Arial" w:hAnsi="Arial" w:cs="Arial"/>
          <w:lang w:val="en-US"/>
        </w:rPr>
        <w:t>1</w:t>
      </w:r>
      <w:r>
        <w:rPr>
          <w:rFonts w:ascii="Arial" w:hAnsi="Arial" w:cs="Arial"/>
          <w:lang w:val="en-US"/>
        </w:rPr>
        <w:t>]</w:t>
      </w:r>
      <w:r>
        <w:rPr>
          <w:rFonts w:ascii="Arial" w:hAnsi="Arial" w:cs="Arial"/>
          <w:lang w:val="en-US"/>
        </w:rPr>
        <w:tab/>
      </w:r>
      <w:r w:rsidR="00197953">
        <w:rPr>
          <w:rFonts w:ascii="Arial" w:hAnsi="Arial" w:cs="Arial"/>
          <w:lang w:val="en-US"/>
        </w:rPr>
        <w:t>Th</w:t>
      </w:r>
      <w:r w:rsidR="002C1B8B">
        <w:rPr>
          <w:rFonts w:ascii="Arial" w:hAnsi="Arial" w:cs="Arial"/>
          <w:lang w:val="en-US"/>
        </w:rPr>
        <w:t xml:space="preserve">e attempt to now exclude the disputed amount from gross income is an </w:t>
      </w:r>
      <w:r w:rsidR="00197953">
        <w:rPr>
          <w:rFonts w:ascii="Arial" w:hAnsi="Arial" w:cs="Arial"/>
          <w:lang w:val="en-US"/>
        </w:rPr>
        <w:t xml:space="preserve"> aspect </w:t>
      </w:r>
      <w:r w:rsidR="002C1B8B">
        <w:rPr>
          <w:rFonts w:ascii="Arial" w:hAnsi="Arial" w:cs="Arial"/>
          <w:lang w:val="en-US"/>
        </w:rPr>
        <w:t xml:space="preserve">that </w:t>
      </w:r>
      <w:r w:rsidR="00197953">
        <w:rPr>
          <w:rFonts w:ascii="Arial" w:hAnsi="Arial" w:cs="Arial"/>
          <w:lang w:val="en-US"/>
        </w:rPr>
        <w:t>would have been relevant in the course of the audit</w:t>
      </w:r>
      <w:r w:rsidR="007B1BDF">
        <w:rPr>
          <w:rFonts w:ascii="Arial" w:hAnsi="Arial" w:cs="Arial"/>
          <w:lang w:val="en-US"/>
        </w:rPr>
        <w:t>,</w:t>
      </w:r>
      <w:r w:rsidR="00197953">
        <w:rPr>
          <w:rFonts w:ascii="Arial" w:hAnsi="Arial" w:cs="Arial"/>
          <w:lang w:val="en-US"/>
        </w:rPr>
        <w:t xml:space="preserve"> as it would have afforded the</w:t>
      </w:r>
      <w:r w:rsidR="004D0B7F">
        <w:rPr>
          <w:rFonts w:ascii="Arial" w:hAnsi="Arial" w:cs="Arial"/>
          <w:lang w:val="en-US"/>
        </w:rPr>
        <w:t xml:space="preserve"> respondent </w:t>
      </w:r>
      <w:r w:rsidR="007B1BDF">
        <w:rPr>
          <w:rFonts w:ascii="Arial" w:hAnsi="Arial" w:cs="Arial"/>
          <w:lang w:val="en-US"/>
        </w:rPr>
        <w:t>an</w:t>
      </w:r>
      <w:r w:rsidR="00197953">
        <w:rPr>
          <w:rFonts w:ascii="Arial" w:hAnsi="Arial" w:cs="Arial"/>
          <w:lang w:val="en-US"/>
        </w:rPr>
        <w:t xml:space="preserve"> opportunity to </w:t>
      </w:r>
      <w:r>
        <w:rPr>
          <w:rFonts w:ascii="Arial" w:hAnsi="Arial" w:cs="Arial"/>
          <w:lang w:val="en-US"/>
        </w:rPr>
        <w:t>scrutinize</w:t>
      </w:r>
      <w:r w:rsidR="00197953">
        <w:rPr>
          <w:rFonts w:ascii="Arial" w:hAnsi="Arial" w:cs="Arial"/>
          <w:lang w:val="en-US"/>
        </w:rPr>
        <w:t xml:space="preserve"> the transactions</w:t>
      </w:r>
      <w:r w:rsidR="002C1B8B">
        <w:rPr>
          <w:rFonts w:ascii="Arial" w:hAnsi="Arial" w:cs="Arial"/>
          <w:lang w:val="en-US"/>
        </w:rPr>
        <w:t xml:space="preserve"> between the appellant and the BECP</w:t>
      </w:r>
      <w:r w:rsidR="00197953">
        <w:rPr>
          <w:rFonts w:ascii="Arial" w:hAnsi="Arial" w:cs="Arial"/>
          <w:lang w:val="en-US"/>
        </w:rPr>
        <w:t xml:space="preserve"> further</w:t>
      </w:r>
      <w:r w:rsidR="004D0B7F">
        <w:rPr>
          <w:rFonts w:ascii="Arial" w:hAnsi="Arial" w:cs="Arial"/>
          <w:lang w:val="en-US"/>
        </w:rPr>
        <w:t>,</w:t>
      </w:r>
      <w:r w:rsidR="00197953">
        <w:rPr>
          <w:rFonts w:ascii="Arial" w:hAnsi="Arial" w:cs="Arial"/>
          <w:lang w:val="en-US"/>
        </w:rPr>
        <w:t xml:space="preserve"> on the basis that </w:t>
      </w:r>
      <w:r w:rsidR="002C1B8B">
        <w:rPr>
          <w:rFonts w:ascii="Arial" w:hAnsi="Arial" w:cs="Arial"/>
          <w:lang w:val="en-US"/>
        </w:rPr>
        <w:t xml:space="preserve">they </w:t>
      </w:r>
      <w:r w:rsidR="00197953">
        <w:rPr>
          <w:rFonts w:ascii="Arial" w:hAnsi="Arial" w:cs="Arial"/>
          <w:lang w:val="en-US"/>
        </w:rPr>
        <w:t>involve</w:t>
      </w:r>
      <w:r w:rsidR="002C1B8B">
        <w:rPr>
          <w:rFonts w:ascii="Arial" w:hAnsi="Arial" w:cs="Arial"/>
          <w:lang w:val="en-US"/>
        </w:rPr>
        <w:t>d</w:t>
      </w:r>
      <w:r w:rsidR="00197953">
        <w:rPr>
          <w:rFonts w:ascii="Arial" w:hAnsi="Arial" w:cs="Arial"/>
          <w:lang w:val="en-US"/>
        </w:rPr>
        <w:t xml:space="preserve"> amounts </w:t>
      </w:r>
      <w:r w:rsidR="002C1B8B">
        <w:rPr>
          <w:rFonts w:ascii="Arial" w:hAnsi="Arial" w:cs="Arial"/>
          <w:lang w:val="en-US"/>
        </w:rPr>
        <w:t xml:space="preserve">which had </w:t>
      </w:r>
      <w:r w:rsidR="00197953">
        <w:rPr>
          <w:rFonts w:ascii="Arial" w:hAnsi="Arial" w:cs="Arial"/>
          <w:lang w:val="en-US"/>
        </w:rPr>
        <w:t xml:space="preserve">previously </w:t>
      </w:r>
      <w:r w:rsidR="002C1B8B">
        <w:rPr>
          <w:rFonts w:ascii="Arial" w:hAnsi="Arial" w:cs="Arial"/>
          <w:lang w:val="en-US"/>
        </w:rPr>
        <w:t xml:space="preserve">been </w:t>
      </w:r>
      <w:r w:rsidR="00197953">
        <w:rPr>
          <w:rFonts w:ascii="Arial" w:hAnsi="Arial" w:cs="Arial"/>
          <w:lang w:val="en-US"/>
        </w:rPr>
        <w:t>declared as revenue</w:t>
      </w:r>
      <w:r w:rsidR="007B1BDF">
        <w:rPr>
          <w:rFonts w:ascii="Arial" w:hAnsi="Arial" w:cs="Arial"/>
          <w:lang w:val="en-US"/>
        </w:rPr>
        <w:t xml:space="preserve"> which accrued to the taxpayer</w:t>
      </w:r>
      <w:r w:rsidR="002C1B8B">
        <w:rPr>
          <w:rFonts w:ascii="Arial" w:hAnsi="Arial" w:cs="Arial"/>
          <w:lang w:val="en-US"/>
        </w:rPr>
        <w:t>, but which were</w:t>
      </w:r>
      <w:r w:rsidR="00197953">
        <w:rPr>
          <w:rFonts w:ascii="Arial" w:hAnsi="Arial" w:cs="Arial"/>
          <w:lang w:val="en-US"/>
        </w:rPr>
        <w:t xml:space="preserve"> now</w:t>
      </w:r>
      <w:r w:rsidR="004D0B7F">
        <w:rPr>
          <w:rFonts w:ascii="Arial" w:hAnsi="Arial" w:cs="Arial"/>
          <w:lang w:val="en-US"/>
        </w:rPr>
        <w:t xml:space="preserve"> </w:t>
      </w:r>
      <w:r w:rsidR="00197953">
        <w:rPr>
          <w:rFonts w:ascii="Arial" w:hAnsi="Arial" w:cs="Arial"/>
          <w:lang w:val="en-US"/>
        </w:rPr>
        <w:t xml:space="preserve">alleged to be income </w:t>
      </w:r>
      <w:r w:rsidR="009843B6">
        <w:rPr>
          <w:rFonts w:ascii="Arial" w:hAnsi="Arial" w:cs="Arial"/>
          <w:lang w:val="en-US"/>
        </w:rPr>
        <w:t>accruing to, or received by</w:t>
      </w:r>
      <w:r w:rsidR="002C1B8B">
        <w:rPr>
          <w:rFonts w:ascii="Arial" w:hAnsi="Arial" w:cs="Arial"/>
          <w:lang w:val="en-US"/>
        </w:rPr>
        <w:t>, or in favour of</w:t>
      </w:r>
      <w:r w:rsidR="009843B6">
        <w:rPr>
          <w:rFonts w:ascii="Arial" w:hAnsi="Arial" w:cs="Arial"/>
          <w:lang w:val="en-US"/>
        </w:rPr>
        <w:t>, a</w:t>
      </w:r>
      <w:r w:rsidR="00197953">
        <w:rPr>
          <w:rFonts w:ascii="Arial" w:hAnsi="Arial" w:cs="Arial"/>
          <w:lang w:val="en-US"/>
        </w:rPr>
        <w:t xml:space="preserve"> third party. </w:t>
      </w:r>
    </w:p>
    <w:p w14:paraId="07942779" w14:textId="77777777" w:rsidR="002C1B8B" w:rsidRDefault="002C1B8B" w:rsidP="00AA2922">
      <w:pPr>
        <w:spacing w:line="480" w:lineRule="auto"/>
        <w:jc w:val="both"/>
        <w:rPr>
          <w:rFonts w:ascii="Arial" w:hAnsi="Arial" w:cs="Arial"/>
          <w:lang w:val="en-US"/>
        </w:rPr>
      </w:pPr>
    </w:p>
    <w:p w14:paraId="7D724818" w14:textId="4C45E4AD" w:rsidR="00197953" w:rsidRDefault="00AA2922" w:rsidP="00AA2922">
      <w:pPr>
        <w:spacing w:line="480" w:lineRule="auto"/>
        <w:jc w:val="both"/>
        <w:rPr>
          <w:rFonts w:ascii="Arial" w:hAnsi="Arial" w:cs="Arial"/>
          <w:lang w:val="en-US"/>
        </w:rPr>
      </w:pPr>
      <w:r>
        <w:rPr>
          <w:rFonts w:ascii="Arial" w:hAnsi="Arial" w:cs="Arial"/>
          <w:lang w:val="en-US"/>
        </w:rPr>
        <w:t>[10</w:t>
      </w:r>
      <w:r w:rsidR="00C16C1A">
        <w:rPr>
          <w:rFonts w:ascii="Arial" w:hAnsi="Arial" w:cs="Arial"/>
          <w:lang w:val="en-US"/>
        </w:rPr>
        <w:t>2</w:t>
      </w:r>
      <w:r>
        <w:rPr>
          <w:rFonts w:ascii="Arial" w:hAnsi="Arial" w:cs="Arial"/>
          <w:lang w:val="en-US"/>
        </w:rPr>
        <w:t>]</w:t>
      </w:r>
      <w:r>
        <w:rPr>
          <w:rFonts w:ascii="Arial" w:hAnsi="Arial" w:cs="Arial"/>
          <w:lang w:val="en-US"/>
        </w:rPr>
        <w:tab/>
      </w:r>
      <w:r w:rsidR="007B1BDF">
        <w:rPr>
          <w:rFonts w:ascii="Arial" w:hAnsi="Arial" w:cs="Arial"/>
          <w:lang w:val="en-US"/>
        </w:rPr>
        <w:t>T</w:t>
      </w:r>
      <w:r w:rsidR="00197953">
        <w:rPr>
          <w:rFonts w:ascii="Arial" w:hAnsi="Arial" w:cs="Arial"/>
          <w:lang w:val="en-US"/>
        </w:rPr>
        <w:t xml:space="preserve">he appellant </w:t>
      </w:r>
      <w:r w:rsidR="007B1BDF">
        <w:rPr>
          <w:rFonts w:ascii="Arial" w:hAnsi="Arial" w:cs="Arial"/>
          <w:lang w:val="en-US"/>
        </w:rPr>
        <w:t xml:space="preserve">correctly </w:t>
      </w:r>
      <w:r w:rsidR="00197953">
        <w:rPr>
          <w:rFonts w:ascii="Arial" w:hAnsi="Arial" w:cs="Arial"/>
          <w:lang w:val="en-US"/>
        </w:rPr>
        <w:t xml:space="preserve">never challenged the finding of the </w:t>
      </w:r>
      <w:r w:rsidR="009843B6">
        <w:rPr>
          <w:rFonts w:ascii="Arial" w:hAnsi="Arial" w:cs="Arial"/>
          <w:lang w:val="en-US"/>
        </w:rPr>
        <w:t xml:space="preserve">tax </w:t>
      </w:r>
      <w:r w:rsidR="00197953">
        <w:rPr>
          <w:rFonts w:ascii="Arial" w:hAnsi="Arial" w:cs="Arial"/>
          <w:lang w:val="en-US"/>
        </w:rPr>
        <w:t xml:space="preserve">court </w:t>
      </w:r>
      <w:r w:rsidR="002C1B8B">
        <w:rPr>
          <w:rFonts w:ascii="Arial" w:hAnsi="Arial" w:cs="Arial"/>
          <w:lang w:val="en-US"/>
        </w:rPr>
        <w:t>(</w:t>
      </w:r>
      <w:r w:rsidR="00197953">
        <w:rPr>
          <w:rFonts w:ascii="Arial" w:hAnsi="Arial" w:cs="Arial"/>
          <w:lang w:val="en-US"/>
        </w:rPr>
        <w:t xml:space="preserve">and never tried to convince this </w:t>
      </w:r>
      <w:r w:rsidR="009843B6">
        <w:rPr>
          <w:rFonts w:ascii="Arial" w:hAnsi="Arial" w:cs="Arial"/>
          <w:lang w:val="en-US"/>
        </w:rPr>
        <w:t>C</w:t>
      </w:r>
      <w:r w:rsidR="00197953">
        <w:rPr>
          <w:rFonts w:ascii="Arial" w:hAnsi="Arial" w:cs="Arial"/>
          <w:lang w:val="en-US"/>
        </w:rPr>
        <w:t>ourt</w:t>
      </w:r>
      <w:r w:rsidR="009843B6">
        <w:rPr>
          <w:rFonts w:ascii="Arial" w:hAnsi="Arial" w:cs="Arial"/>
          <w:lang w:val="en-US"/>
        </w:rPr>
        <w:t xml:space="preserve"> otherwise</w:t>
      </w:r>
      <w:r w:rsidR="002C1B8B">
        <w:rPr>
          <w:rFonts w:ascii="Arial" w:hAnsi="Arial" w:cs="Arial"/>
          <w:lang w:val="en-US"/>
        </w:rPr>
        <w:t>)</w:t>
      </w:r>
      <w:r w:rsidR="009843B6">
        <w:rPr>
          <w:rFonts w:ascii="Arial" w:hAnsi="Arial" w:cs="Arial"/>
          <w:lang w:val="en-US"/>
        </w:rPr>
        <w:t xml:space="preserve">, </w:t>
      </w:r>
      <w:r w:rsidR="00197953">
        <w:rPr>
          <w:rFonts w:ascii="Arial" w:hAnsi="Arial" w:cs="Arial"/>
          <w:lang w:val="en-US"/>
        </w:rPr>
        <w:t xml:space="preserve">that the </w:t>
      </w:r>
      <w:r>
        <w:rPr>
          <w:rFonts w:ascii="Arial" w:hAnsi="Arial" w:cs="Arial"/>
          <w:lang w:val="en-US"/>
        </w:rPr>
        <w:t>exercise</w:t>
      </w:r>
      <w:r w:rsidR="00197953">
        <w:rPr>
          <w:rFonts w:ascii="Arial" w:hAnsi="Arial" w:cs="Arial"/>
          <w:lang w:val="en-US"/>
        </w:rPr>
        <w:t xml:space="preserve"> </w:t>
      </w:r>
      <w:r w:rsidR="009843B6">
        <w:rPr>
          <w:rFonts w:ascii="Arial" w:hAnsi="Arial" w:cs="Arial"/>
          <w:lang w:val="en-US"/>
        </w:rPr>
        <w:t>of</w:t>
      </w:r>
      <w:r w:rsidR="00197953">
        <w:rPr>
          <w:rFonts w:ascii="Arial" w:hAnsi="Arial" w:cs="Arial"/>
          <w:lang w:val="en-US"/>
        </w:rPr>
        <w:t xml:space="preserve"> determin</w:t>
      </w:r>
      <w:r w:rsidR="009843B6">
        <w:rPr>
          <w:rFonts w:ascii="Arial" w:hAnsi="Arial" w:cs="Arial"/>
          <w:lang w:val="en-US"/>
        </w:rPr>
        <w:t>ing</w:t>
      </w:r>
      <w:r w:rsidR="00197953">
        <w:rPr>
          <w:rFonts w:ascii="Arial" w:hAnsi="Arial" w:cs="Arial"/>
          <w:lang w:val="en-US"/>
        </w:rPr>
        <w:t xml:space="preserve"> a</w:t>
      </w:r>
      <w:r w:rsidR="002C1B8B">
        <w:rPr>
          <w:rFonts w:ascii="Arial" w:hAnsi="Arial" w:cs="Arial"/>
          <w:lang w:val="en-US"/>
        </w:rPr>
        <w:t xml:space="preserve"> deductible </w:t>
      </w:r>
      <w:r w:rsidR="00197953">
        <w:rPr>
          <w:rFonts w:ascii="Arial" w:hAnsi="Arial" w:cs="Arial"/>
          <w:lang w:val="en-US"/>
        </w:rPr>
        <w:t xml:space="preserve">expense is to be contrasted with the test for determining </w:t>
      </w:r>
      <w:r w:rsidR="00BB74EB">
        <w:rPr>
          <w:rFonts w:ascii="Arial" w:hAnsi="Arial" w:cs="Arial"/>
          <w:lang w:val="en-US"/>
        </w:rPr>
        <w:t xml:space="preserve">what forms part of </w:t>
      </w:r>
      <w:r w:rsidR="00197953">
        <w:rPr>
          <w:rFonts w:ascii="Arial" w:hAnsi="Arial" w:cs="Arial"/>
          <w:lang w:val="en-US"/>
        </w:rPr>
        <w:t xml:space="preserve">gross income. </w:t>
      </w:r>
      <w:r w:rsidR="007B1BDF">
        <w:rPr>
          <w:rFonts w:ascii="Arial" w:hAnsi="Arial" w:cs="Arial"/>
          <w:lang w:val="en-US"/>
        </w:rPr>
        <w:t>As is clear from the relevant provisions of the ITA</w:t>
      </w:r>
      <w:r w:rsidR="009843B6">
        <w:rPr>
          <w:rFonts w:ascii="Arial" w:hAnsi="Arial" w:cs="Arial"/>
          <w:lang w:val="en-US"/>
        </w:rPr>
        <w:t>,</w:t>
      </w:r>
      <w:r w:rsidR="00197953">
        <w:rPr>
          <w:rFonts w:ascii="Arial" w:hAnsi="Arial" w:cs="Arial"/>
          <w:lang w:val="en-US"/>
        </w:rPr>
        <w:t xml:space="preserve"> and as the </w:t>
      </w:r>
      <w:r w:rsidR="009843B6">
        <w:rPr>
          <w:rFonts w:ascii="Arial" w:hAnsi="Arial" w:cs="Arial"/>
          <w:lang w:val="en-US"/>
        </w:rPr>
        <w:t xml:space="preserve">tax </w:t>
      </w:r>
      <w:r w:rsidR="00197953">
        <w:rPr>
          <w:rFonts w:ascii="Arial" w:hAnsi="Arial" w:cs="Arial"/>
          <w:lang w:val="en-US"/>
        </w:rPr>
        <w:t>court correctly found</w:t>
      </w:r>
      <w:r w:rsidR="003428D7">
        <w:rPr>
          <w:rFonts w:ascii="Arial" w:hAnsi="Arial" w:cs="Arial"/>
          <w:lang w:val="en-US"/>
        </w:rPr>
        <w:t>,</w:t>
      </w:r>
      <w:r w:rsidR="00197953">
        <w:rPr>
          <w:rFonts w:ascii="Arial" w:hAnsi="Arial" w:cs="Arial"/>
          <w:lang w:val="en-US"/>
        </w:rPr>
        <w:t xml:space="preserve"> </w:t>
      </w:r>
      <w:r w:rsidR="007B1BDF">
        <w:rPr>
          <w:rFonts w:ascii="Arial" w:hAnsi="Arial" w:cs="Arial"/>
          <w:lang w:val="en-US"/>
        </w:rPr>
        <w:t xml:space="preserve">the two processes </w:t>
      </w:r>
      <w:r w:rsidR="00197953">
        <w:rPr>
          <w:rFonts w:ascii="Arial" w:hAnsi="Arial" w:cs="Arial"/>
          <w:lang w:val="en-US"/>
        </w:rPr>
        <w:t xml:space="preserve">are </w:t>
      </w:r>
      <w:r w:rsidR="002C1B8B">
        <w:rPr>
          <w:rFonts w:ascii="Arial" w:hAnsi="Arial" w:cs="Arial"/>
          <w:lang w:val="en-US"/>
        </w:rPr>
        <w:t xml:space="preserve">separate and </w:t>
      </w:r>
      <w:r w:rsidR="00197953">
        <w:rPr>
          <w:rFonts w:ascii="Arial" w:hAnsi="Arial" w:cs="Arial"/>
          <w:lang w:val="en-US"/>
        </w:rPr>
        <w:t xml:space="preserve">distinct. </w:t>
      </w:r>
    </w:p>
    <w:p w14:paraId="0C86BB8E" w14:textId="77777777" w:rsidR="00AA2922" w:rsidRDefault="00AA2922" w:rsidP="00AA2922">
      <w:pPr>
        <w:spacing w:line="480" w:lineRule="auto"/>
        <w:jc w:val="both"/>
        <w:rPr>
          <w:rFonts w:ascii="Arial" w:hAnsi="Arial" w:cs="Arial"/>
          <w:lang w:val="en-US"/>
        </w:rPr>
      </w:pPr>
    </w:p>
    <w:p w14:paraId="151A2A52" w14:textId="6B3E5A73" w:rsidR="00B22B63" w:rsidRDefault="00AA2922" w:rsidP="00197953">
      <w:pPr>
        <w:spacing w:line="480" w:lineRule="auto"/>
        <w:jc w:val="both"/>
        <w:rPr>
          <w:rFonts w:ascii="Arial" w:hAnsi="Arial" w:cs="Arial"/>
          <w:lang w:val="en-US"/>
        </w:rPr>
      </w:pPr>
      <w:r>
        <w:rPr>
          <w:rFonts w:ascii="Arial" w:hAnsi="Arial" w:cs="Arial"/>
          <w:lang w:val="en-US"/>
        </w:rPr>
        <w:t>[10</w:t>
      </w:r>
      <w:r w:rsidR="00C16C1A">
        <w:rPr>
          <w:rFonts w:ascii="Arial" w:hAnsi="Arial" w:cs="Arial"/>
          <w:lang w:val="en-US"/>
        </w:rPr>
        <w:t>3</w:t>
      </w:r>
      <w:r>
        <w:rPr>
          <w:rFonts w:ascii="Arial" w:hAnsi="Arial" w:cs="Arial"/>
          <w:lang w:val="en-US"/>
        </w:rPr>
        <w:t>]</w:t>
      </w:r>
      <w:r>
        <w:rPr>
          <w:rFonts w:ascii="Arial" w:hAnsi="Arial" w:cs="Arial"/>
          <w:lang w:val="en-US"/>
        </w:rPr>
        <w:tab/>
      </w:r>
      <w:r w:rsidR="00197953">
        <w:rPr>
          <w:rFonts w:ascii="Arial" w:hAnsi="Arial" w:cs="Arial"/>
          <w:lang w:val="en-US"/>
        </w:rPr>
        <w:t xml:space="preserve">The appellant’s claim that the new ground and the original ground would achieve the same result, is </w:t>
      </w:r>
      <w:r w:rsidR="00EF77B3">
        <w:rPr>
          <w:rFonts w:ascii="Arial" w:hAnsi="Arial" w:cs="Arial"/>
          <w:lang w:val="en-US"/>
        </w:rPr>
        <w:t xml:space="preserve">thus </w:t>
      </w:r>
      <w:r w:rsidR="00197953">
        <w:rPr>
          <w:rFonts w:ascii="Arial" w:hAnsi="Arial" w:cs="Arial"/>
          <w:lang w:val="en-US"/>
        </w:rPr>
        <w:t xml:space="preserve">not a </w:t>
      </w:r>
      <w:r w:rsidR="000919E7">
        <w:rPr>
          <w:rFonts w:ascii="Arial" w:hAnsi="Arial" w:cs="Arial"/>
          <w:lang w:val="en-US"/>
        </w:rPr>
        <w:t>valid</w:t>
      </w:r>
      <w:r w:rsidR="00197953">
        <w:rPr>
          <w:rFonts w:ascii="Arial" w:hAnsi="Arial" w:cs="Arial"/>
          <w:lang w:val="en-US"/>
        </w:rPr>
        <w:t xml:space="preserve"> reason to render the new ground permissible under rule 32(3).</w:t>
      </w:r>
      <w:r>
        <w:rPr>
          <w:rFonts w:ascii="Arial" w:hAnsi="Arial" w:cs="Arial"/>
          <w:lang w:val="en-US"/>
        </w:rPr>
        <w:t xml:space="preserve">  </w:t>
      </w:r>
    </w:p>
    <w:p w14:paraId="61E9BE00" w14:textId="77777777" w:rsidR="00B22B63" w:rsidRDefault="00B22B63" w:rsidP="00197953">
      <w:pPr>
        <w:spacing w:line="480" w:lineRule="auto"/>
        <w:jc w:val="both"/>
        <w:rPr>
          <w:rFonts w:ascii="Arial" w:hAnsi="Arial" w:cs="Arial"/>
          <w:lang w:val="en-US"/>
        </w:rPr>
      </w:pPr>
    </w:p>
    <w:p w14:paraId="0FE923D7" w14:textId="4ABD97AE" w:rsidR="00AA2922" w:rsidRDefault="00B22B63" w:rsidP="00197953">
      <w:pPr>
        <w:spacing w:line="480" w:lineRule="auto"/>
        <w:jc w:val="both"/>
        <w:rPr>
          <w:rFonts w:ascii="Arial" w:hAnsi="Arial" w:cs="Arial"/>
          <w:lang w:val="en-US"/>
        </w:rPr>
      </w:pPr>
      <w:r>
        <w:rPr>
          <w:rFonts w:ascii="Arial" w:hAnsi="Arial" w:cs="Arial"/>
          <w:lang w:val="en-US"/>
        </w:rPr>
        <w:t>[10</w:t>
      </w:r>
      <w:r w:rsidR="00C16C1A">
        <w:rPr>
          <w:rFonts w:ascii="Arial" w:hAnsi="Arial" w:cs="Arial"/>
          <w:lang w:val="en-US"/>
        </w:rPr>
        <w:t>4</w:t>
      </w:r>
      <w:r>
        <w:rPr>
          <w:rFonts w:ascii="Arial" w:hAnsi="Arial" w:cs="Arial"/>
          <w:lang w:val="en-US"/>
        </w:rPr>
        <w:t>]</w:t>
      </w:r>
      <w:r>
        <w:rPr>
          <w:rFonts w:ascii="Arial" w:hAnsi="Arial" w:cs="Arial"/>
          <w:lang w:val="en-US"/>
        </w:rPr>
        <w:tab/>
      </w:r>
      <w:r w:rsidR="00B41D3E">
        <w:rPr>
          <w:rFonts w:ascii="Arial" w:hAnsi="Arial" w:cs="Arial"/>
          <w:lang w:val="en-US"/>
        </w:rPr>
        <w:t>On this aspect, a</w:t>
      </w:r>
      <w:r>
        <w:rPr>
          <w:rFonts w:ascii="Arial" w:hAnsi="Arial" w:cs="Arial"/>
          <w:lang w:val="en-US"/>
        </w:rPr>
        <w:t xml:space="preserve">side from the cases we have already referred to, we may </w:t>
      </w:r>
      <w:r w:rsidR="008942B6">
        <w:rPr>
          <w:rFonts w:ascii="Arial" w:hAnsi="Arial" w:cs="Arial"/>
          <w:lang w:val="en-US"/>
        </w:rPr>
        <w:t>also</w:t>
      </w:r>
      <w:r>
        <w:rPr>
          <w:rFonts w:ascii="Arial" w:hAnsi="Arial" w:cs="Arial"/>
          <w:lang w:val="en-US"/>
        </w:rPr>
        <w:t xml:space="preserve"> refer to the decision in </w:t>
      </w:r>
      <w:r w:rsidR="00DD5F63" w:rsidRPr="008409D5">
        <w:rPr>
          <w:rFonts w:ascii="Arial" w:hAnsi="Arial" w:cs="Arial"/>
          <w:i/>
        </w:rPr>
        <w:t>PM v Commissioner for the South African Revenue Service</w:t>
      </w:r>
      <w:r w:rsidR="000919E7">
        <w:rPr>
          <w:rFonts w:ascii="Arial" w:hAnsi="Arial" w:cs="Arial"/>
          <w:i/>
        </w:rPr>
        <w:t>,</w:t>
      </w:r>
      <w:r w:rsidR="00DD5F63">
        <w:rPr>
          <w:rStyle w:val="FootnoteReference"/>
          <w:rFonts w:ascii="Arial" w:hAnsi="Arial" w:cs="Arial"/>
          <w:i/>
        </w:rPr>
        <w:footnoteReference w:id="33"/>
      </w:r>
      <w:r w:rsidR="002A3102">
        <w:rPr>
          <w:rFonts w:ascii="Arial" w:hAnsi="Arial" w:cs="Arial"/>
          <w:lang w:val="en-US"/>
        </w:rPr>
        <w:t xml:space="preserve"> </w:t>
      </w:r>
      <w:r>
        <w:rPr>
          <w:rFonts w:ascii="Arial" w:hAnsi="Arial" w:cs="Arial"/>
          <w:lang w:val="en-US"/>
        </w:rPr>
        <w:t xml:space="preserve">where </w:t>
      </w:r>
      <w:r w:rsidR="002A3102">
        <w:rPr>
          <w:rFonts w:ascii="Arial" w:hAnsi="Arial" w:cs="Arial"/>
          <w:lang w:val="en-US"/>
        </w:rPr>
        <w:t xml:space="preserve">the </w:t>
      </w:r>
      <w:r w:rsidR="00197953">
        <w:rPr>
          <w:rFonts w:ascii="Arial" w:hAnsi="Arial" w:cs="Arial"/>
          <w:lang w:val="en-US"/>
        </w:rPr>
        <w:t xml:space="preserve">taxpayer initially alleged that certain </w:t>
      </w:r>
      <w:r w:rsidR="00B41D3E">
        <w:rPr>
          <w:rFonts w:ascii="Arial" w:hAnsi="Arial" w:cs="Arial"/>
          <w:lang w:val="en-US"/>
        </w:rPr>
        <w:t xml:space="preserve">disputed amounts </w:t>
      </w:r>
      <w:r w:rsidR="00197953">
        <w:rPr>
          <w:rFonts w:ascii="Arial" w:hAnsi="Arial" w:cs="Arial"/>
          <w:lang w:val="en-US"/>
        </w:rPr>
        <w:t>were capital</w:t>
      </w:r>
      <w:r w:rsidR="00B41D3E" w:rsidRPr="00B41D3E">
        <w:rPr>
          <w:rFonts w:ascii="Arial" w:hAnsi="Arial" w:cs="Arial"/>
          <w:lang w:val="en-US"/>
        </w:rPr>
        <w:t xml:space="preserve"> </w:t>
      </w:r>
      <w:r w:rsidR="00B41D3E">
        <w:rPr>
          <w:rFonts w:ascii="Arial" w:hAnsi="Arial" w:cs="Arial"/>
          <w:lang w:val="en-US"/>
        </w:rPr>
        <w:t>receipts</w:t>
      </w:r>
      <w:r w:rsidR="00197953">
        <w:rPr>
          <w:rFonts w:ascii="Arial" w:hAnsi="Arial" w:cs="Arial"/>
          <w:lang w:val="en-US"/>
        </w:rPr>
        <w:t xml:space="preserve"> in the form of </w:t>
      </w:r>
      <w:r>
        <w:rPr>
          <w:rFonts w:ascii="Arial" w:hAnsi="Arial" w:cs="Arial"/>
          <w:lang w:val="en-US"/>
        </w:rPr>
        <w:t>loans and</w:t>
      </w:r>
      <w:r w:rsidR="00197953">
        <w:rPr>
          <w:rFonts w:ascii="Arial" w:hAnsi="Arial" w:cs="Arial"/>
          <w:lang w:val="en-US"/>
        </w:rPr>
        <w:t xml:space="preserve"> </w:t>
      </w:r>
      <w:r>
        <w:rPr>
          <w:rFonts w:ascii="Arial" w:hAnsi="Arial" w:cs="Arial"/>
          <w:lang w:val="en-US"/>
        </w:rPr>
        <w:t xml:space="preserve">therefore </w:t>
      </w:r>
      <w:r w:rsidR="00B41D3E">
        <w:rPr>
          <w:rFonts w:ascii="Arial" w:hAnsi="Arial" w:cs="Arial"/>
          <w:lang w:val="en-US"/>
        </w:rPr>
        <w:t xml:space="preserve">did not form part of his </w:t>
      </w:r>
      <w:r w:rsidR="00197953">
        <w:rPr>
          <w:rFonts w:ascii="Arial" w:hAnsi="Arial" w:cs="Arial"/>
          <w:lang w:val="en-US"/>
        </w:rPr>
        <w:t xml:space="preserve">gross income. </w:t>
      </w:r>
      <w:r>
        <w:rPr>
          <w:rFonts w:ascii="Arial" w:hAnsi="Arial" w:cs="Arial"/>
          <w:lang w:val="en-US"/>
        </w:rPr>
        <w:t>He later</w:t>
      </w:r>
      <w:r w:rsidR="00197953">
        <w:rPr>
          <w:rFonts w:ascii="Arial" w:hAnsi="Arial" w:cs="Arial"/>
          <w:lang w:val="en-US"/>
        </w:rPr>
        <w:t xml:space="preserve"> attempted to introduce a new ground </w:t>
      </w:r>
      <w:r>
        <w:rPr>
          <w:rFonts w:ascii="Arial" w:hAnsi="Arial" w:cs="Arial"/>
          <w:lang w:val="en-US"/>
        </w:rPr>
        <w:t xml:space="preserve">on appeal, </w:t>
      </w:r>
      <w:r w:rsidR="008942B6">
        <w:rPr>
          <w:rFonts w:ascii="Arial" w:hAnsi="Arial" w:cs="Arial"/>
          <w:lang w:val="en-US"/>
        </w:rPr>
        <w:t>in which he claimed</w:t>
      </w:r>
      <w:r w:rsidR="00197953">
        <w:rPr>
          <w:rFonts w:ascii="Arial" w:hAnsi="Arial" w:cs="Arial"/>
          <w:lang w:val="en-US"/>
        </w:rPr>
        <w:t xml:space="preserve"> that </w:t>
      </w:r>
      <w:r>
        <w:rPr>
          <w:rFonts w:ascii="Arial" w:hAnsi="Arial" w:cs="Arial"/>
          <w:lang w:val="en-US"/>
        </w:rPr>
        <w:t xml:space="preserve">because </w:t>
      </w:r>
      <w:r w:rsidR="00197953">
        <w:rPr>
          <w:rFonts w:ascii="Arial" w:hAnsi="Arial" w:cs="Arial"/>
          <w:lang w:val="en-US"/>
        </w:rPr>
        <w:t xml:space="preserve">the </w:t>
      </w:r>
      <w:r w:rsidR="000670F4">
        <w:rPr>
          <w:rFonts w:ascii="Arial" w:hAnsi="Arial" w:cs="Arial"/>
          <w:lang w:val="en-US"/>
        </w:rPr>
        <w:t xml:space="preserve">receipts </w:t>
      </w:r>
      <w:r w:rsidR="00197953">
        <w:rPr>
          <w:rFonts w:ascii="Arial" w:hAnsi="Arial" w:cs="Arial"/>
          <w:lang w:val="en-US"/>
        </w:rPr>
        <w:t>were received whil</w:t>
      </w:r>
      <w:r w:rsidR="000670F4">
        <w:rPr>
          <w:rFonts w:ascii="Arial" w:hAnsi="Arial" w:cs="Arial"/>
          <w:lang w:val="en-US"/>
        </w:rPr>
        <w:t>st</w:t>
      </w:r>
      <w:r w:rsidR="00197953">
        <w:rPr>
          <w:rFonts w:ascii="Arial" w:hAnsi="Arial" w:cs="Arial"/>
          <w:lang w:val="en-US"/>
        </w:rPr>
        <w:t xml:space="preserve"> he was </w:t>
      </w:r>
      <w:r w:rsidR="00B41D3E">
        <w:rPr>
          <w:rFonts w:ascii="Arial" w:hAnsi="Arial" w:cs="Arial"/>
          <w:lang w:val="en-US"/>
        </w:rPr>
        <w:t>insolvent</w:t>
      </w:r>
      <w:r w:rsidR="008942B6">
        <w:rPr>
          <w:rFonts w:ascii="Arial" w:hAnsi="Arial" w:cs="Arial"/>
          <w:lang w:val="en-US"/>
        </w:rPr>
        <w:t>,</w:t>
      </w:r>
      <w:r w:rsidRPr="00B22B63">
        <w:rPr>
          <w:rFonts w:ascii="Arial" w:hAnsi="Arial" w:cs="Arial"/>
          <w:lang w:val="en-US"/>
        </w:rPr>
        <w:t xml:space="preserve"> </w:t>
      </w:r>
      <w:r>
        <w:rPr>
          <w:rFonts w:ascii="Arial" w:hAnsi="Arial" w:cs="Arial"/>
          <w:lang w:val="en-US"/>
        </w:rPr>
        <w:t>they should not be regarded as part of his gross income as they did not accrue to him, but to the trustee of his insolvent estate.</w:t>
      </w:r>
      <w:r w:rsidR="00197953">
        <w:rPr>
          <w:rFonts w:ascii="Arial" w:hAnsi="Arial" w:cs="Arial"/>
          <w:lang w:val="en-US"/>
        </w:rPr>
        <w:t xml:space="preserve"> </w:t>
      </w:r>
    </w:p>
    <w:p w14:paraId="5D9EF24B" w14:textId="77777777" w:rsidR="00AA2922" w:rsidRDefault="00AA2922" w:rsidP="00197953">
      <w:pPr>
        <w:spacing w:line="480" w:lineRule="auto"/>
        <w:jc w:val="both"/>
        <w:rPr>
          <w:rFonts w:ascii="Arial" w:hAnsi="Arial" w:cs="Arial"/>
          <w:lang w:val="en-US"/>
        </w:rPr>
      </w:pPr>
    </w:p>
    <w:p w14:paraId="0D61272F" w14:textId="576518D9" w:rsidR="00B22B63" w:rsidRDefault="00AA2922" w:rsidP="00197953">
      <w:pPr>
        <w:spacing w:line="480" w:lineRule="auto"/>
        <w:jc w:val="both"/>
        <w:rPr>
          <w:rFonts w:ascii="Arial" w:hAnsi="Arial" w:cs="Arial"/>
          <w:lang w:val="en-US"/>
        </w:rPr>
      </w:pPr>
      <w:r>
        <w:rPr>
          <w:rFonts w:ascii="Arial" w:hAnsi="Arial" w:cs="Arial"/>
          <w:lang w:val="en-US"/>
        </w:rPr>
        <w:t>[10</w:t>
      </w:r>
      <w:r w:rsidR="00C16C1A">
        <w:rPr>
          <w:rFonts w:ascii="Arial" w:hAnsi="Arial" w:cs="Arial"/>
          <w:lang w:val="en-US"/>
        </w:rPr>
        <w:t>5</w:t>
      </w:r>
      <w:r>
        <w:rPr>
          <w:rFonts w:ascii="Arial" w:hAnsi="Arial" w:cs="Arial"/>
          <w:lang w:val="en-US"/>
        </w:rPr>
        <w:t>]</w:t>
      </w:r>
      <w:r>
        <w:rPr>
          <w:rFonts w:ascii="Arial" w:hAnsi="Arial" w:cs="Arial"/>
          <w:lang w:val="en-US"/>
        </w:rPr>
        <w:tab/>
      </w:r>
      <w:r w:rsidR="00EF77B3">
        <w:rPr>
          <w:rFonts w:ascii="Arial" w:hAnsi="Arial" w:cs="Arial"/>
          <w:lang w:val="en-US"/>
        </w:rPr>
        <w:t xml:space="preserve">He </w:t>
      </w:r>
      <w:r w:rsidR="00197953">
        <w:rPr>
          <w:rFonts w:ascii="Arial" w:hAnsi="Arial" w:cs="Arial"/>
          <w:lang w:val="en-US"/>
        </w:rPr>
        <w:t xml:space="preserve">submitted that </w:t>
      </w:r>
      <w:r w:rsidR="006C6C20">
        <w:rPr>
          <w:rFonts w:ascii="Arial" w:hAnsi="Arial" w:cs="Arial"/>
          <w:lang w:val="en-US"/>
        </w:rPr>
        <w:t xml:space="preserve">the </w:t>
      </w:r>
      <w:r w:rsidR="00197953">
        <w:rPr>
          <w:rFonts w:ascii="Arial" w:hAnsi="Arial" w:cs="Arial"/>
          <w:lang w:val="en-US"/>
        </w:rPr>
        <w:t>introduction of th</w:t>
      </w:r>
      <w:r w:rsidR="00EF77B3">
        <w:rPr>
          <w:rFonts w:ascii="Arial" w:hAnsi="Arial" w:cs="Arial"/>
          <w:lang w:val="en-US"/>
        </w:rPr>
        <w:t>is</w:t>
      </w:r>
      <w:r w:rsidR="00197953">
        <w:rPr>
          <w:rFonts w:ascii="Arial" w:hAnsi="Arial" w:cs="Arial"/>
          <w:lang w:val="en-US"/>
        </w:rPr>
        <w:t xml:space="preserve"> </w:t>
      </w:r>
      <w:r w:rsidR="00B22B63">
        <w:rPr>
          <w:rFonts w:ascii="Arial" w:hAnsi="Arial" w:cs="Arial"/>
          <w:lang w:val="en-US"/>
        </w:rPr>
        <w:t xml:space="preserve">new </w:t>
      </w:r>
      <w:r w:rsidR="00743D22">
        <w:rPr>
          <w:rFonts w:ascii="Arial" w:hAnsi="Arial" w:cs="Arial"/>
          <w:lang w:val="en-US"/>
        </w:rPr>
        <w:t>defense</w:t>
      </w:r>
      <w:r w:rsidR="00197953">
        <w:rPr>
          <w:rFonts w:ascii="Arial" w:hAnsi="Arial" w:cs="Arial"/>
          <w:lang w:val="en-US"/>
        </w:rPr>
        <w:t xml:space="preserve"> by way of an amendment would </w:t>
      </w:r>
      <w:r w:rsidR="00862FF9">
        <w:rPr>
          <w:rFonts w:ascii="Arial" w:hAnsi="Arial" w:cs="Arial"/>
          <w:lang w:val="en-US"/>
        </w:rPr>
        <w:t xml:space="preserve">provide </w:t>
      </w:r>
      <w:r w:rsidR="00197953">
        <w:rPr>
          <w:rFonts w:ascii="Arial" w:hAnsi="Arial" w:cs="Arial"/>
          <w:lang w:val="en-US"/>
        </w:rPr>
        <w:t xml:space="preserve">greater clarity to the </w:t>
      </w:r>
      <w:r w:rsidR="00B22B63">
        <w:rPr>
          <w:rFonts w:ascii="Arial" w:hAnsi="Arial" w:cs="Arial"/>
          <w:lang w:val="en-US"/>
        </w:rPr>
        <w:t>appeal and</w:t>
      </w:r>
      <w:r w:rsidR="00862FF9">
        <w:rPr>
          <w:rFonts w:ascii="Arial" w:hAnsi="Arial" w:cs="Arial"/>
          <w:lang w:val="en-US"/>
        </w:rPr>
        <w:t xml:space="preserve"> should be allowed as it would occasion no prejudice to the Commissioner</w:t>
      </w:r>
      <w:r w:rsidR="00862FF9" w:rsidRPr="00862FF9">
        <w:rPr>
          <w:rFonts w:ascii="Arial" w:hAnsi="Arial" w:cs="Arial"/>
          <w:lang w:val="en-US"/>
        </w:rPr>
        <w:t xml:space="preserve"> </w:t>
      </w:r>
      <w:r w:rsidR="00862FF9">
        <w:rPr>
          <w:rFonts w:ascii="Arial" w:hAnsi="Arial" w:cs="Arial"/>
          <w:lang w:val="en-US"/>
        </w:rPr>
        <w:t xml:space="preserve">which </w:t>
      </w:r>
      <w:r w:rsidR="00862FF9" w:rsidRPr="00162CE0">
        <w:rPr>
          <w:rFonts w:ascii="Arial" w:hAnsi="Arial" w:cs="Arial"/>
          <w:lang w:val="en-US"/>
        </w:rPr>
        <w:t>could not</w:t>
      </w:r>
      <w:r w:rsidR="00862FF9">
        <w:rPr>
          <w:rFonts w:ascii="Arial" w:hAnsi="Arial" w:cs="Arial"/>
          <w:lang w:val="en-US"/>
        </w:rPr>
        <w:t xml:space="preserve"> be remedied by an o</w:t>
      </w:r>
      <w:r w:rsidR="00862FF9" w:rsidRPr="00162CE0">
        <w:rPr>
          <w:rFonts w:ascii="Arial" w:hAnsi="Arial" w:cs="Arial"/>
          <w:lang w:val="en-US"/>
        </w:rPr>
        <w:t>rder</w:t>
      </w:r>
      <w:r w:rsidR="00862FF9">
        <w:rPr>
          <w:rFonts w:ascii="Arial" w:hAnsi="Arial" w:cs="Arial"/>
          <w:lang w:val="en-US"/>
        </w:rPr>
        <w:t xml:space="preserve"> for costs. </w:t>
      </w:r>
      <w:r w:rsidR="00197953">
        <w:rPr>
          <w:rFonts w:ascii="Arial" w:hAnsi="Arial" w:cs="Arial"/>
          <w:lang w:val="en-US"/>
        </w:rPr>
        <w:t>These facts were always known to the Commissioner and the taxpayer would be prejudiced if the amendments were not granted</w:t>
      </w:r>
      <w:r w:rsidR="00743D22">
        <w:rPr>
          <w:rFonts w:ascii="Arial" w:hAnsi="Arial" w:cs="Arial"/>
          <w:lang w:val="en-US"/>
        </w:rPr>
        <w:t>.</w:t>
      </w:r>
      <w:r w:rsidR="00197953">
        <w:rPr>
          <w:rFonts w:ascii="Arial" w:hAnsi="Arial" w:cs="Arial"/>
          <w:lang w:val="en-US"/>
        </w:rPr>
        <w:t xml:space="preserve"> </w:t>
      </w:r>
    </w:p>
    <w:p w14:paraId="3518A670" w14:textId="77777777" w:rsidR="00B22B63" w:rsidRDefault="00B22B63" w:rsidP="00197953">
      <w:pPr>
        <w:spacing w:line="480" w:lineRule="auto"/>
        <w:jc w:val="both"/>
        <w:rPr>
          <w:rFonts w:ascii="Arial" w:hAnsi="Arial" w:cs="Arial"/>
          <w:lang w:val="en-US"/>
        </w:rPr>
      </w:pPr>
    </w:p>
    <w:p w14:paraId="77599A5A" w14:textId="29882F59" w:rsidR="00AA2922" w:rsidRDefault="00B22B63" w:rsidP="00197953">
      <w:pPr>
        <w:spacing w:line="480" w:lineRule="auto"/>
        <w:jc w:val="both"/>
        <w:rPr>
          <w:rFonts w:ascii="Arial" w:hAnsi="Arial" w:cs="Arial"/>
          <w:lang w:val="en-US"/>
        </w:rPr>
      </w:pPr>
      <w:r>
        <w:rPr>
          <w:rFonts w:ascii="Arial" w:hAnsi="Arial" w:cs="Arial"/>
          <w:lang w:val="en-US"/>
        </w:rPr>
        <w:t>[10</w:t>
      </w:r>
      <w:r w:rsidR="00C16C1A">
        <w:rPr>
          <w:rFonts w:ascii="Arial" w:hAnsi="Arial" w:cs="Arial"/>
          <w:lang w:val="en-US"/>
        </w:rPr>
        <w:t>6</w:t>
      </w:r>
      <w:r>
        <w:rPr>
          <w:rFonts w:ascii="Arial" w:hAnsi="Arial" w:cs="Arial"/>
          <w:lang w:val="en-US"/>
        </w:rPr>
        <w:t>]</w:t>
      </w:r>
      <w:r>
        <w:rPr>
          <w:rFonts w:ascii="Arial" w:hAnsi="Arial" w:cs="Arial"/>
          <w:lang w:val="en-US"/>
        </w:rPr>
        <w:tab/>
      </w:r>
      <w:r w:rsidR="00197953">
        <w:rPr>
          <w:rFonts w:ascii="Arial" w:hAnsi="Arial" w:cs="Arial"/>
          <w:lang w:val="en-US"/>
        </w:rPr>
        <w:t>Lopes J</w:t>
      </w:r>
      <w:r w:rsidR="008055A2">
        <w:rPr>
          <w:rFonts w:ascii="Arial" w:hAnsi="Arial" w:cs="Arial"/>
          <w:lang w:val="en-US"/>
        </w:rPr>
        <w:t xml:space="preserve">, </w:t>
      </w:r>
      <w:r w:rsidR="00197953">
        <w:rPr>
          <w:rFonts w:ascii="Arial" w:hAnsi="Arial" w:cs="Arial"/>
          <w:lang w:val="en-US"/>
        </w:rPr>
        <w:t xml:space="preserve">with reference to </w:t>
      </w:r>
      <w:r w:rsidR="00197953" w:rsidRPr="008409D5">
        <w:rPr>
          <w:rFonts w:ascii="Arial" w:hAnsi="Arial" w:cs="Arial"/>
          <w:i/>
          <w:lang w:val="en-US"/>
        </w:rPr>
        <w:t>ITC 1912</w:t>
      </w:r>
      <w:r w:rsidR="00197953">
        <w:rPr>
          <w:rFonts w:ascii="Arial" w:hAnsi="Arial" w:cs="Arial"/>
          <w:lang w:val="en-US"/>
        </w:rPr>
        <w:t xml:space="preserve">, </w:t>
      </w:r>
      <w:r>
        <w:rPr>
          <w:rFonts w:ascii="Arial" w:hAnsi="Arial" w:cs="Arial"/>
          <w:lang w:val="en-US"/>
        </w:rPr>
        <w:t>confirmed</w:t>
      </w:r>
      <w:r w:rsidR="00BC6CEC">
        <w:rPr>
          <w:rStyle w:val="FootnoteReference"/>
          <w:rFonts w:ascii="Arial" w:hAnsi="Arial" w:cs="Arial"/>
          <w:lang w:val="en-US"/>
        </w:rPr>
        <w:footnoteReference w:id="34"/>
      </w:r>
      <w:r w:rsidR="00197953">
        <w:rPr>
          <w:rFonts w:ascii="Arial" w:hAnsi="Arial" w:cs="Arial"/>
          <w:lang w:val="en-US"/>
        </w:rPr>
        <w:t xml:space="preserve"> that although </w:t>
      </w:r>
      <w:r w:rsidR="00E34FF3">
        <w:rPr>
          <w:rFonts w:ascii="Arial" w:hAnsi="Arial" w:cs="Arial"/>
          <w:lang w:val="en-US"/>
        </w:rPr>
        <w:t>the</w:t>
      </w:r>
      <w:r w:rsidR="00197953">
        <w:rPr>
          <w:rFonts w:ascii="Arial" w:hAnsi="Arial" w:cs="Arial"/>
          <w:lang w:val="en-US"/>
        </w:rPr>
        <w:t xml:space="preserve"> taxpayer </w:t>
      </w:r>
      <w:r>
        <w:rPr>
          <w:rFonts w:ascii="Arial" w:hAnsi="Arial" w:cs="Arial"/>
          <w:lang w:val="en-US"/>
        </w:rPr>
        <w:t xml:space="preserve">was </w:t>
      </w:r>
      <w:r w:rsidR="00197953">
        <w:rPr>
          <w:rFonts w:ascii="Arial" w:hAnsi="Arial" w:cs="Arial"/>
          <w:lang w:val="en-US"/>
        </w:rPr>
        <w:t xml:space="preserve">entitled to raise a new ground of appeal in </w:t>
      </w:r>
      <w:r w:rsidR="00E34FF3">
        <w:rPr>
          <w:rFonts w:ascii="Arial" w:hAnsi="Arial" w:cs="Arial"/>
          <w:lang w:val="en-US"/>
        </w:rPr>
        <w:t>his</w:t>
      </w:r>
      <w:r w:rsidR="00197953">
        <w:rPr>
          <w:rFonts w:ascii="Arial" w:hAnsi="Arial" w:cs="Arial"/>
          <w:lang w:val="en-US"/>
        </w:rPr>
        <w:t xml:space="preserve"> proposed amendment, it </w:t>
      </w:r>
      <w:r w:rsidR="00E34FF3">
        <w:rPr>
          <w:rFonts w:ascii="Arial" w:hAnsi="Arial" w:cs="Arial"/>
          <w:lang w:val="en-US"/>
        </w:rPr>
        <w:t>had to</w:t>
      </w:r>
      <w:r w:rsidR="00197953">
        <w:rPr>
          <w:rFonts w:ascii="Arial" w:hAnsi="Arial" w:cs="Arial"/>
          <w:lang w:val="en-US"/>
        </w:rPr>
        <w:t xml:space="preserve"> </w:t>
      </w:r>
      <w:r w:rsidR="00A14292">
        <w:rPr>
          <w:rFonts w:ascii="Arial" w:hAnsi="Arial" w:cs="Arial"/>
          <w:lang w:val="en-US"/>
        </w:rPr>
        <w:t>‘</w:t>
      </w:r>
      <w:r w:rsidR="00197953">
        <w:rPr>
          <w:rFonts w:ascii="Arial" w:hAnsi="Arial" w:cs="Arial"/>
          <w:lang w:val="en-US"/>
        </w:rPr>
        <w:t>relate</w:t>
      </w:r>
      <w:r w:rsidR="00A14292">
        <w:rPr>
          <w:rFonts w:ascii="Arial" w:hAnsi="Arial" w:cs="Arial"/>
          <w:lang w:val="en-US"/>
        </w:rPr>
        <w:t>’</w:t>
      </w:r>
      <w:r w:rsidR="00197953">
        <w:rPr>
          <w:rFonts w:ascii="Arial" w:hAnsi="Arial" w:cs="Arial"/>
          <w:lang w:val="en-US"/>
        </w:rPr>
        <w:t xml:space="preserve"> to an objection to a part or amount of th</w:t>
      </w:r>
      <w:r>
        <w:rPr>
          <w:rFonts w:ascii="Arial" w:hAnsi="Arial" w:cs="Arial"/>
          <w:lang w:val="en-US"/>
        </w:rPr>
        <w:t>e</w:t>
      </w:r>
      <w:r w:rsidR="00197953">
        <w:rPr>
          <w:rFonts w:ascii="Arial" w:hAnsi="Arial" w:cs="Arial"/>
          <w:lang w:val="en-US"/>
        </w:rPr>
        <w:t xml:space="preserve"> dispute</w:t>
      </w:r>
      <w:r>
        <w:rPr>
          <w:rFonts w:ascii="Arial" w:hAnsi="Arial" w:cs="Arial"/>
          <w:lang w:val="en-US"/>
        </w:rPr>
        <w:t>d</w:t>
      </w:r>
      <w:r w:rsidR="00197953">
        <w:rPr>
          <w:rFonts w:ascii="Arial" w:hAnsi="Arial" w:cs="Arial"/>
          <w:lang w:val="en-US"/>
        </w:rPr>
        <w:t xml:space="preserve"> a</w:t>
      </w:r>
      <w:r>
        <w:rPr>
          <w:rFonts w:ascii="Arial" w:hAnsi="Arial" w:cs="Arial"/>
          <w:lang w:val="en-US"/>
        </w:rPr>
        <w:t>ssess</w:t>
      </w:r>
      <w:r w:rsidR="00197953">
        <w:rPr>
          <w:rFonts w:ascii="Arial" w:hAnsi="Arial" w:cs="Arial"/>
          <w:lang w:val="en-US"/>
        </w:rPr>
        <w:t>ment</w:t>
      </w:r>
      <w:r>
        <w:rPr>
          <w:rFonts w:ascii="Arial" w:hAnsi="Arial" w:cs="Arial"/>
          <w:lang w:val="en-US"/>
        </w:rPr>
        <w:t>,</w:t>
      </w:r>
      <w:r w:rsidR="00197953">
        <w:rPr>
          <w:rFonts w:ascii="Arial" w:hAnsi="Arial" w:cs="Arial"/>
          <w:lang w:val="en-US"/>
        </w:rPr>
        <w:t xml:space="preserve"> which was included in </w:t>
      </w:r>
      <w:r>
        <w:rPr>
          <w:rFonts w:ascii="Arial" w:hAnsi="Arial" w:cs="Arial"/>
          <w:lang w:val="en-US"/>
        </w:rPr>
        <w:t>his</w:t>
      </w:r>
      <w:r w:rsidR="00197953">
        <w:rPr>
          <w:rFonts w:ascii="Arial" w:hAnsi="Arial" w:cs="Arial"/>
          <w:lang w:val="en-US"/>
        </w:rPr>
        <w:t xml:space="preserve"> </w:t>
      </w:r>
      <w:r w:rsidR="00CA11A2">
        <w:rPr>
          <w:rFonts w:ascii="Arial" w:hAnsi="Arial" w:cs="Arial"/>
          <w:lang w:val="en-US"/>
        </w:rPr>
        <w:t xml:space="preserve">notice of </w:t>
      </w:r>
      <w:r w:rsidR="008055A2">
        <w:rPr>
          <w:rFonts w:ascii="Arial" w:hAnsi="Arial" w:cs="Arial"/>
          <w:lang w:val="en-US"/>
        </w:rPr>
        <w:t xml:space="preserve">objection in terms of </w:t>
      </w:r>
      <w:r w:rsidR="00197953">
        <w:rPr>
          <w:rFonts w:ascii="Arial" w:hAnsi="Arial" w:cs="Arial"/>
          <w:lang w:val="en-US"/>
        </w:rPr>
        <w:t xml:space="preserve">rule 7. If it was not raised in </w:t>
      </w:r>
      <w:r w:rsidR="00CA11A2">
        <w:rPr>
          <w:rFonts w:ascii="Arial" w:hAnsi="Arial" w:cs="Arial"/>
          <w:lang w:val="en-US"/>
        </w:rPr>
        <w:t>the</w:t>
      </w:r>
      <w:r w:rsidR="00197953">
        <w:rPr>
          <w:rFonts w:ascii="Arial" w:hAnsi="Arial" w:cs="Arial"/>
          <w:lang w:val="en-US"/>
        </w:rPr>
        <w:t xml:space="preserve"> </w:t>
      </w:r>
      <w:r w:rsidR="000670F4">
        <w:rPr>
          <w:rFonts w:ascii="Arial" w:hAnsi="Arial" w:cs="Arial"/>
          <w:lang w:val="en-US"/>
        </w:rPr>
        <w:t>objection,</w:t>
      </w:r>
      <w:r w:rsidR="00CA11A2">
        <w:rPr>
          <w:rFonts w:ascii="Arial" w:hAnsi="Arial" w:cs="Arial"/>
          <w:lang w:val="en-US"/>
        </w:rPr>
        <w:t xml:space="preserve"> it c</w:t>
      </w:r>
      <w:r w:rsidR="00E34FF3">
        <w:rPr>
          <w:rFonts w:ascii="Arial" w:hAnsi="Arial" w:cs="Arial"/>
          <w:lang w:val="en-US"/>
        </w:rPr>
        <w:t xml:space="preserve">ould </w:t>
      </w:r>
      <w:r w:rsidR="00197953">
        <w:rPr>
          <w:rFonts w:ascii="Arial" w:hAnsi="Arial" w:cs="Arial"/>
          <w:lang w:val="en-US"/>
        </w:rPr>
        <w:t xml:space="preserve">not </w:t>
      </w:r>
      <w:r w:rsidR="00CA11A2">
        <w:rPr>
          <w:rFonts w:ascii="Arial" w:hAnsi="Arial" w:cs="Arial"/>
          <w:lang w:val="en-US"/>
        </w:rPr>
        <w:t xml:space="preserve">be raised </w:t>
      </w:r>
      <w:r w:rsidR="00197953">
        <w:rPr>
          <w:rFonts w:ascii="Arial" w:hAnsi="Arial" w:cs="Arial"/>
          <w:lang w:val="en-US"/>
        </w:rPr>
        <w:t xml:space="preserve">by </w:t>
      </w:r>
      <w:r>
        <w:rPr>
          <w:rFonts w:ascii="Arial" w:hAnsi="Arial" w:cs="Arial"/>
          <w:lang w:val="en-US"/>
        </w:rPr>
        <w:t xml:space="preserve">way of an </w:t>
      </w:r>
      <w:r w:rsidR="00197953">
        <w:rPr>
          <w:rFonts w:ascii="Arial" w:hAnsi="Arial" w:cs="Arial"/>
          <w:lang w:val="en-US"/>
        </w:rPr>
        <w:t>amendment</w:t>
      </w:r>
      <w:r w:rsidR="000670F4">
        <w:rPr>
          <w:rFonts w:ascii="Arial" w:hAnsi="Arial" w:cs="Arial"/>
          <w:lang w:val="en-US"/>
        </w:rPr>
        <w:t>,</w:t>
      </w:r>
      <w:r w:rsidR="00CA11A2">
        <w:rPr>
          <w:rFonts w:ascii="Arial" w:hAnsi="Arial" w:cs="Arial"/>
          <w:lang w:val="en-US"/>
        </w:rPr>
        <w:t xml:space="preserve"> on appeal</w:t>
      </w:r>
      <w:r w:rsidR="00197953">
        <w:rPr>
          <w:rFonts w:ascii="Arial" w:hAnsi="Arial" w:cs="Arial"/>
          <w:lang w:val="en-US"/>
        </w:rPr>
        <w:t>.</w:t>
      </w:r>
      <w:r w:rsidR="000670F4" w:rsidRPr="000670F4">
        <w:rPr>
          <w:rFonts w:ascii="Arial" w:hAnsi="Arial" w:cs="Arial"/>
          <w:lang w:val="en-US"/>
        </w:rPr>
        <w:t xml:space="preserve"> </w:t>
      </w:r>
      <w:r w:rsidR="000670F4">
        <w:rPr>
          <w:rFonts w:ascii="Arial" w:hAnsi="Arial" w:cs="Arial"/>
          <w:lang w:val="en-US"/>
        </w:rPr>
        <w:t xml:space="preserve">In addition, it </w:t>
      </w:r>
      <w:r w:rsidR="00E34FF3">
        <w:rPr>
          <w:rFonts w:ascii="Arial" w:hAnsi="Arial" w:cs="Arial"/>
          <w:lang w:val="en-US"/>
        </w:rPr>
        <w:t>had to</w:t>
      </w:r>
      <w:r w:rsidR="000670F4">
        <w:rPr>
          <w:rFonts w:ascii="Arial" w:hAnsi="Arial" w:cs="Arial"/>
          <w:lang w:val="en-US"/>
        </w:rPr>
        <w:t xml:space="preserve"> </w:t>
      </w:r>
      <w:r w:rsidR="00E34FF3">
        <w:rPr>
          <w:rFonts w:ascii="Arial" w:hAnsi="Arial" w:cs="Arial"/>
          <w:lang w:val="en-US"/>
        </w:rPr>
        <w:t>be</w:t>
      </w:r>
      <w:r w:rsidR="000670F4">
        <w:rPr>
          <w:rFonts w:ascii="Arial" w:hAnsi="Arial" w:cs="Arial"/>
          <w:lang w:val="en-US"/>
        </w:rPr>
        <w:t xml:space="preserve"> a ground of appeal which </w:t>
      </w:r>
      <w:r w:rsidR="00B41D3E">
        <w:rPr>
          <w:rFonts w:ascii="Arial" w:hAnsi="Arial" w:cs="Arial"/>
          <w:lang w:val="en-US"/>
        </w:rPr>
        <w:t>wa</w:t>
      </w:r>
      <w:r w:rsidR="000670F4">
        <w:rPr>
          <w:rFonts w:ascii="Arial" w:hAnsi="Arial" w:cs="Arial"/>
          <w:lang w:val="en-US"/>
        </w:rPr>
        <w:t>s sustainable in law.</w:t>
      </w:r>
      <w:r w:rsidR="00197953">
        <w:rPr>
          <w:rFonts w:ascii="Arial" w:hAnsi="Arial" w:cs="Arial"/>
          <w:lang w:val="en-US"/>
        </w:rPr>
        <w:t xml:space="preserve"> </w:t>
      </w:r>
    </w:p>
    <w:p w14:paraId="25B50E8C" w14:textId="77777777" w:rsidR="00AA2922" w:rsidRDefault="00AA2922" w:rsidP="00197953">
      <w:pPr>
        <w:spacing w:line="480" w:lineRule="auto"/>
        <w:jc w:val="both"/>
        <w:rPr>
          <w:rFonts w:ascii="Arial" w:hAnsi="Arial" w:cs="Arial"/>
          <w:lang w:val="en-US"/>
        </w:rPr>
      </w:pPr>
    </w:p>
    <w:p w14:paraId="165F168E" w14:textId="33C54C6D" w:rsidR="00A14292" w:rsidRDefault="00AA2922" w:rsidP="00197953">
      <w:pPr>
        <w:spacing w:line="480" w:lineRule="auto"/>
        <w:jc w:val="both"/>
        <w:rPr>
          <w:rFonts w:ascii="Arial" w:hAnsi="Arial" w:cs="Arial"/>
          <w:lang w:val="en-US"/>
        </w:rPr>
      </w:pPr>
      <w:r>
        <w:rPr>
          <w:rFonts w:ascii="Arial" w:hAnsi="Arial" w:cs="Arial"/>
          <w:lang w:val="en-US"/>
        </w:rPr>
        <w:t>[10</w:t>
      </w:r>
      <w:r w:rsidR="00C16C1A">
        <w:rPr>
          <w:rFonts w:ascii="Arial" w:hAnsi="Arial" w:cs="Arial"/>
          <w:lang w:val="en-US"/>
        </w:rPr>
        <w:t>7</w:t>
      </w:r>
      <w:r>
        <w:rPr>
          <w:rFonts w:ascii="Arial" w:hAnsi="Arial" w:cs="Arial"/>
          <w:lang w:val="en-US"/>
        </w:rPr>
        <w:t>]</w:t>
      </w:r>
      <w:r>
        <w:rPr>
          <w:rFonts w:ascii="Arial" w:hAnsi="Arial" w:cs="Arial"/>
          <w:lang w:val="en-US"/>
        </w:rPr>
        <w:tab/>
      </w:r>
      <w:r w:rsidR="00B41D3E">
        <w:rPr>
          <w:rFonts w:ascii="Arial" w:hAnsi="Arial" w:cs="Arial"/>
          <w:lang w:val="en-US"/>
        </w:rPr>
        <w:t xml:space="preserve">He held that if </w:t>
      </w:r>
      <w:r w:rsidR="00197953">
        <w:rPr>
          <w:rFonts w:ascii="Arial" w:hAnsi="Arial" w:cs="Arial"/>
          <w:lang w:val="en-US"/>
        </w:rPr>
        <w:t xml:space="preserve">the </w:t>
      </w:r>
      <w:r w:rsidR="00E34FF3">
        <w:rPr>
          <w:rFonts w:ascii="Arial" w:hAnsi="Arial" w:cs="Arial"/>
          <w:lang w:val="en-US"/>
        </w:rPr>
        <w:t>new</w:t>
      </w:r>
      <w:r w:rsidR="00197953">
        <w:rPr>
          <w:rFonts w:ascii="Arial" w:hAnsi="Arial" w:cs="Arial"/>
          <w:lang w:val="en-US"/>
        </w:rPr>
        <w:t xml:space="preserve"> </w:t>
      </w:r>
      <w:r w:rsidR="00B41D3E">
        <w:rPr>
          <w:rFonts w:ascii="Arial" w:hAnsi="Arial" w:cs="Arial"/>
          <w:lang w:val="en-US"/>
        </w:rPr>
        <w:t xml:space="preserve">‘incorrect taxpayer’ </w:t>
      </w:r>
      <w:r w:rsidR="00197953">
        <w:rPr>
          <w:rFonts w:ascii="Arial" w:hAnsi="Arial" w:cs="Arial"/>
          <w:lang w:val="en-US"/>
        </w:rPr>
        <w:t>ground was raised in the taxpayer’s rule 7 notice</w:t>
      </w:r>
      <w:r w:rsidR="00743D22">
        <w:rPr>
          <w:rFonts w:ascii="Arial" w:hAnsi="Arial" w:cs="Arial"/>
          <w:lang w:val="en-US"/>
        </w:rPr>
        <w:t>,</w:t>
      </w:r>
      <w:r w:rsidR="00197953">
        <w:rPr>
          <w:rFonts w:ascii="Arial" w:hAnsi="Arial" w:cs="Arial"/>
          <w:lang w:val="en-US"/>
        </w:rPr>
        <w:t xml:space="preserve"> </w:t>
      </w:r>
      <w:r w:rsidR="00E34FF3">
        <w:rPr>
          <w:rFonts w:ascii="Arial" w:hAnsi="Arial" w:cs="Arial"/>
          <w:lang w:val="en-US"/>
        </w:rPr>
        <w:t>it had been</w:t>
      </w:r>
      <w:r w:rsidR="00197953">
        <w:rPr>
          <w:rFonts w:ascii="Arial" w:hAnsi="Arial" w:cs="Arial"/>
          <w:lang w:val="en-US"/>
        </w:rPr>
        <w:t xml:space="preserve"> done </w:t>
      </w:r>
      <w:r w:rsidR="000670F4">
        <w:rPr>
          <w:rFonts w:ascii="Arial" w:hAnsi="Arial" w:cs="Arial"/>
          <w:lang w:val="en-US"/>
        </w:rPr>
        <w:t>so ‘</w:t>
      </w:r>
      <w:r w:rsidR="00197953">
        <w:rPr>
          <w:rFonts w:ascii="Arial" w:hAnsi="Arial" w:cs="Arial"/>
          <w:lang w:val="en-US"/>
        </w:rPr>
        <w:t>very obliquely</w:t>
      </w:r>
      <w:r w:rsidR="000670F4">
        <w:rPr>
          <w:rFonts w:ascii="Arial" w:hAnsi="Arial" w:cs="Arial"/>
          <w:lang w:val="en-US"/>
        </w:rPr>
        <w:t>’</w:t>
      </w:r>
      <w:r w:rsidR="00197953">
        <w:rPr>
          <w:rFonts w:ascii="Arial" w:hAnsi="Arial" w:cs="Arial"/>
          <w:lang w:val="en-US"/>
        </w:rPr>
        <w:t xml:space="preserve">. </w:t>
      </w:r>
      <w:r w:rsidR="00E34FF3">
        <w:rPr>
          <w:rFonts w:ascii="Arial" w:hAnsi="Arial" w:cs="Arial"/>
          <w:lang w:val="en-US"/>
        </w:rPr>
        <w:t xml:space="preserve">However, even if it was to be considered to have been sufficiently raised in the notice of objection, </w:t>
      </w:r>
      <w:r w:rsidR="00B41D3E">
        <w:rPr>
          <w:rFonts w:ascii="Arial" w:hAnsi="Arial" w:cs="Arial"/>
          <w:lang w:val="en-US"/>
        </w:rPr>
        <w:t>it</w:t>
      </w:r>
      <w:r w:rsidR="00E34FF3">
        <w:rPr>
          <w:rFonts w:ascii="Arial" w:hAnsi="Arial" w:cs="Arial"/>
          <w:lang w:val="en-US"/>
        </w:rPr>
        <w:t xml:space="preserve"> was not a valid ground in law, because the fact that the taxpayer was declared insolvent did not prevent him from accruing a new estate immediately</w:t>
      </w:r>
      <w:r w:rsidR="00B41D3E">
        <w:rPr>
          <w:rFonts w:ascii="Arial" w:hAnsi="Arial" w:cs="Arial"/>
          <w:lang w:val="en-US"/>
        </w:rPr>
        <w:t xml:space="preserve"> thereafter</w:t>
      </w:r>
      <w:r w:rsidR="00E34FF3">
        <w:rPr>
          <w:rFonts w:ascii="Arial" w:hAnsi="Arial" w:cs="Arial"/>
          <w:lang w:val="en-US"/>
        </w:rPr>
        <w:t>, albeit one that was under the control of his trustee, and in terms of s  23(9) of the Insolvency Act</w:t>
      </w:r>
      <w:r w:rsidR="00E34FF3">
        <w:rPr>
          <w:rStyle w:val="FootnoteReference"/>
          <w:rFonts w:ascii="Arial" w:hAnsi="Arial" w:cs="Arial"/>
          <w:lang w:val="en-US"/>
        </w:rPr>
        <w:footnoteReference w:id="35"/>
      </w:r>
      <w:r w:rsidR="00E34FF3">
        <w:rPr>
          <w:rFonts w:ascii="Arial" w:hAnsi="Arial" w:cs="Arial"/>
          <w:lang w:val="en-US"/>
        </w:rPr>
        <w:t xml:space="preserve"> he  was entitled to recover any remuneration or monies owing to him at the time</w:t>
      </w:r>
      <w:r w:rsidR="00B41D3E">
        <w:rPr>
          <w:rFonts w:ascii="Arial" w:hAnsi="Arial" w:cs="Arial"/>
          <w:lang w:val="en-US"/>
        </w:rPr>
        <w:t>, in his own name</w:t>
      </w:r>
      <w:r w:rsidR="008942B6">
        <w:rPr>
          <w:rFonts w:ascii="Arial" w:hAnsi="Arial" w:cs="Arial"/>
          <w:lang w:val="en-US"/>
        </w:rPr>
        <w:t xml:space="preserve"> and right</w:t>
      </w:r>
      <w:r w:rsidR="00E34FF3">
        <w:rPr>
          <w:rFonts w:ascii="Arial" w:hAnsi="Arial" w:cs="Arial"/>
          <w:lang w:val="en-US"/>
        </w:rPr>
        <w:t>. In the result</w:t>
      </w:r>
      <w:r w:rsidR="00B41D3E">
        <w:rPr>
          <w:rFonts w:ascii="Arial" w:hAnsi="Arial" w:cs="Arial"/>
          <w:lang w:val="en-US"/>
        </w:rPr>
        <w:t>,</w:t>
      </w:r>
      <w:r w:rsidR="00E34FF3">
        <w:rPr>
          <w:rFonts w:ascii="Arial" w:hAnsi="Arial" w:cs="Arial"/>
          <w:lang w:val="en-US"/>
        </w:rPr>
        <w:t xml:space="preserve"> </w:t>
      </w:r>
      <w:r w:rsidR="00B41D3E">
        <w:rPr>
          <w:rFonts w:ascii="Arial" w:hAnsi="Arial" w:cs="Arial"/>
          <w:lang w:val="en-US"/>
        </w:rPr>
        <w:t>the court</w:t>
      </w:r>
      <w:r w:rsidR="00E34FF3">
        <w:rPr>
          <w:rFonts w:ascii="Arial" w:hAnsi="Arial" w:cs="Arial"/>
          <w:lang w:val="en-US"/>
        </w:rPr>
        <w:t xml:space="preserve"> was o</w:t>
      </w:r>
      <w:r w:rsidR="00197953">
        <w:rPr>
          <w:rFonts w:ascii="Arial" w:hAnsi="Arial" w:cs="Arial"/>
          <w:lang w:val="en-US"/>
        </w:rPr>
        <w:t xml:space="preserve">f the view that the </w:t>
      </w:r>
      <w:r w:rsidR="00E34FF3">
        <w:rPr>
          <w:rFonts w:ascii="Arial" w:hAnsi="Arial" w:cs="Arial"/>
          <w:lang w:val="en-US"/>
        </w:rPr>
        <w:t xml:space="preserve">new ground of appeal was not a valid one and should </w:t>
      </w:r>
      <w:r w:rsidR="00B008F0">
        <w:rPr>
          <w:rFonts w:ascii="Arial" w:hAnsi="Arial" w:cs="Arial"/>
          <w:lang w:val="en-US"/>
        </w:rPr>
        <w:t xml:space="preserve">be </w:t>
      </w:r>
      <w:r w:rsidR="00B41D3E">
        <w:rPr>
          <w:rFonts w:ascii="Arial" w:hAnsi="Arial" w:cs="Arial"/>
          <w:lang w:val="en-US"/>
        </w:rPr>
        <w:t>excluded</w:t>
      </w:r>
      <w:r w:rsidR="008942B6">
        <w:rPr>
          <w:rFonts w:ascii="Arial" w:hAnsi="Arial" w:cs="Arial"/>
          <w:lang w:val="en-US"/>
        </w:rPr>
        <w:t xml:space="preserve">, even though, as </w:t>
      </w:r>
      <w:r w:rsidR="00D72E12">
        <w:rPr>
          <w:rFonts w:ascii="Arial" w:hAnsi="Arial" w:cs="Arial"/>
          <w:lang w:val="en-US"/>
        </w:rPr>
        <w:t xml:space="preserve">is contended </w:t>
      </w:r>
      <w:r w:rsidR="008942B6">
        <w:rPr>
          <w:rFonts w:ascii="Arial" w:hAnsi="Arial" w:cs="Arial"/>
          <w:lang w:val="en-US"/>
        </w:rPr>
        <w:t xml:space="preserve">in this matter, </w:t>
      </w:r>
      <w:r w:rsidR="00185BBC">
        <w:rPr>
          <w:rFonts w:ascii="Arial" w:hAnsi="Arial" w:cs="Arial"/>
          <w:lang w:val="en-US"/>
        </w:rPr>
        <w:t xml:space="preserve">the amount </w:t>
      </w:r>
      <w:r w:rsidR="00A8123D">
        <w:rPr>
          <w:rFonts w:ascii="Arial" w:hAnsi="Arial" w:cs="Arial"/>
          <w:lang w:val="en-US"/>
        </w:rPr>
        <w:t xml:space="preserve">which was referred to in the new ground of appeal </w:t>
      </w:r>
      <w:r w:rsidR="00DC1969">
        <w:rPr>
          <w:rFonts w:ascii="Arial" w:hAnsi="Arial" w:cs="Arial"/>
          <w:lang w:val="en-US"/>
        </w:rPr>
        <w:t xml:space="preserve">remained </w:t>
      </w:r>
      <w:r w:rsidR="00836ABE">
        <w:rPr>
          <w:rFonts w:ascii="Arial" w:hAnsi="Arial" w:cs="Arial"/>
          <w:lang w:val="en-US"/>
        </w:rPr>
        <w:t xml:space="preserve">the same </w:t>
      </w:r>
      <w:r w:rsidR="00A8123D">
        <w:rPr>
          <w:rFonts w:ascii="Arial" w:hAnsi="Arial" w:cs="Arial"/>
          <w:lang w:val="en-US"/>
        </w:rPr>
        <w:t>as that which was raised on objection</w:t>
      </w:r>
      <w:r w:rsidR="00B41D3E">
        <w:rPr>
          <w:rFonts w:ascii="Arial" w:hAnsi="Arial" w:cs="Arial"/>
          <w:lang w:val="en-US"/>
        </w:rPr>
        <w:t>,</w:t>
      </w:r>
      <w:r w:rsidR="00DC1969">
        <w:rPr>
          <w:rFonts w:ascii="Arial" w:hAnsi="Arial" w:cs="Arial"/>
          <w:lang w:val="en-US"/>
        </w:rPr>
        <w:t xml:space="preserve"> </w:t>
      </w:r>
      <w:r w:rsidR="00D72E12">
        <w:rPr>
          <w:rFonts w:ascii="Arial" w:hAnsi="Arial" w:cs="Arial"/>
          <w:lang w:val="en-US"/>
        </w:rPr>
        <w:t>albeit that</w:t>
      </w:r>
      <w:r w:rsidR="00A8123D">
        <w:rPr>
          <w:rFonts w:ascii="Arial" w:hAnsi="Arial" w:cs="Arial"/>
          <w:lang w:val="en-US"/>
        </w:rPr>
        <w:t xml:space="preserve"> </w:t>
      </w:r>
      <w:r w:rsidR="008942B6">
        <w:rPr>
          <w:rFonts w:ascii="Arial" w:hAnsi="Arial" w:cs="Arial"/>
          <w:lang w:val="en-US"/>
        </w:rPr>
        <w:t xml:space="preserve">the appellant sought to have it </w:t>
      </w:r>
      <w:r w:rsidR="00B41D3E">
        <w:rPr>
          <w:rFonts w:ascii="Arial" w:hAnsi="Arial" w:cs="Arial"/>
          <w:lang w:val="en-US"/>
        </w:rPr>
        <w:t xml:space="preserve">excluded from gross income because it </w:t>
      </w:r>
      <w:r w:rsidR="00836ABE">
        <w:rPr>
          <w:rFonts w:ascii="Arial" w:hAnsi="Arial" w:cs="Arial"/>
          <w:lang w:val="en-US"/>
        </w:rPr>
        <w:t xml:space="preserve">had accrued to </w:t>
      </w:r>
      <w:r w:rsidR="009557AC">
        <w:rPr>
          <w:rFonts w:ascii="Arial" w:hAnsi="Arial" w:cs="Arial"/>
          <w:lang w:val="en-US"/>
        </w:rPr>
        <w:t>a different party</w:t>
      </w:r>
      <w:r w:rsidR="00A14292">
        <w:rPr>
          <w:rFonts w:ascii="Arial" w:hAnsi="Arial" w:cs="Arial"/>
          <w:lang w:val="en-US"/>
        </w:rPr>
        <w:t>, as the appellant in this matter seeks to do</w:t>
      </w:r>
      <w:r w:rsidR="008942B6">
        <w:rPr>
          <w:rFonts w:ascii="Arial" w:hAnsi="Arial" w:cs="Arial"/>
          <w:lang w:val="en-US"/>
        </w:rPr>
        <w:t>.</w:t>
      </w:r>
    </w:p>
    <w:p w14:paraId="3033851D" w14:textId="77777777" w:rsidR="00A14292" w:rsidRDefault="00A14292" w:rsidP="00197953">
      <w:pPr>
        <w:spacing w:line="480" w:lineRule="auto"/>
        <w:jc w:val="both"/>
        <w:rPr>
          <w:rFonts w:ascii="Arial" w:hAnsi="Arial" w:cs="Arial"/>
          <w:lang w:val="en-US"/>
        </w:rPr>
      </w:pPr>
    </w:p>
    <w:p w14:paraId="11B04CE4" w14:textId="60E9AA3A" w:rsidR="00AC37B0" w:rsidRDefault="000D22FB" w:rsidP="00197953">
      <w:pPr>
        <w:spacing w:line="480" w:lineRule="auto"/>
        <w:jc w:val="both"/>
        <w:rPr>
          <w:rFonts w:ascii="Arial" w:hAnsi="Arial" w:cs="Arial"/>
          <w:lang w:val="en-US"/>
        </w:rPr>
      </w:pPr>
      <w:r>
        <w:rPr>
          <w:rFonts w:ascii="Arial" w:hAnsi="Arial" w:cs="Arial"/>
          <w:lang w:val="en-US"/>
        </w:rPr>
        <w:t>[108]</w:t>
      </w:r>
      <w:r>
        <w:rPr>
          <w:rFonts w:ascii="Arial" w:hAnsi="Arial" w:cs="Arial"/>
          <w:lang w:val="en-US"/>
        </w:rPr>
        <w:tab/>
        <w:t xml:space="preserve">Shortly before judgment was to be handed down </w:t>
      </w:r>
      <w:r w:rsidR="00475AB0">
        <w:rPr>
          <w:rFonts w:ascii="Arial" w:hAnsi="Arial" w:cs="Arial"/>
          <w:lang w:val="en-US"/>
        </w:rPr>
        <w:t xml:space="preserve">the appellant drew </w:t>
      </w:r>
      <w:r>
        <w:rPr>
          <w:rFonts w:ascii="Arial" w:hAnsi="Arial" w:cs="Arial"/>
          <w:lang w:val="en-US"/>
        </w:rPr>
        <w:t xml:space="preserve">our attention to the </w:t>
      </w:r>
      <w:r w:rsidR="00E5325B">
        <w:rPr>
          <w:rFonts w:ascii="Arial" w:hAnsi="Arial" w:cs="Arial"/>
          <w:lang w:val="en-US"/>
        </w:rPr>
        <w:t xml:space="preserve">recent </w:t>
      </w:r>
      <w:r>
        <w:rPr>
          <w:rFonts w:ascii="Arial" w:hAnsi="Arial" w:cs="Arial"/>
          <w:lang w:val="en-US"/>
        </w:rPr>
        <w:t>decision of the Constitutional Court</w:t>
      </w:r>
      <w:r w:rsidR="005B0F53">
        <w:rPr>
          <w:rFonts w:ascii="Arial" w:hAnsi="Arial" w:cs="Arial"/>
          <w:lang w:val="en-US"/>
        </w:rPr>
        <w:t xml:space="preserve"> (‘the CC’)</w:t>
      </w:r>
      <w:r>
        <w:rPr>
          <w:rFonts w:ascii="Arial" w:hAnsi="Arial" w:cs="Arial"/>
          <w:lang w:val="en-US"/>
        </w:rPr>
        <w:t xml:space="preserve"> in </w:t>
      </w:r>
      <w:r w:rsidRPr="000D22FB">
        <w:rPr>
          <w:rFonts w:ascii="Arial" w:hAnsi="Arial" w:cs="Arial"/>
          <w:i/>
          <w:iCs/>
          <w:lang w:val="en-US"/>
        </w:rPr>
        <w:t>Capitec Bank</w:t>
      </w:r>
      <w:r w:rsidR="00475AB0">
        <w:rPr>
          <w:rFonts w:ascii="Arial" w:hAnsi="Arial" w:cs="Arial"/>
          <w:i/>
          <w:iCs/>
          <w:lang w:val="en-US"/>
        </w:rPr>
        <w:t xml:space="preserve"> Ltd</w:t>
      </w:r>
      <w:r w:rsidRPr="000D22FB">
        <w:rPr>
          <w:rFonts w:ascii="Arial" w:hAnsi="Arial" w:cs="Arial"/>
          <w:i/>
          <w:iCs/>
          <w:lang w:val="en-US"/>
        </w:rPr>
        <w:t xml:space="preserve"> v</w:t>
      </w:r>
      <w:r>
        <w:rPr>
          <w:rFonts w:ascii="Arial" w:hAnsi="Arial" w:cs="Arial"/>
          <w:lang w:val="en-US"/>
        </w:rPr>
        <w:t xml:space="preserve"> </w:t>
      </w:r>
      <w:r w:rsidR="00475AB0">
        <w:rPr>
          <w:rFonts w:ascii="Arial" w:hAnsi="Arial" w:cs="Arial"/>
          <w:i/>
          <w:iCs/>
          <w:lang w:val="en-US"/>
        </w:rPr>
        <w:t xml:space="preserve">Commissioner, South African Revenue Service </w:t>
      </w:r>
      <w:r w:rsidR="00475AB0" w:rsidRPr="00475AB0">
        <w:rPr>
          <w:rStyle w:val="FootnoteReference"/>
          <w:rFonts w:ascii="Arial" w:hAnsi="Arial" w:cs="Arial"/>
          <w:lang w:val="en-US"/>
        </w:rPr>
        <w:footnoteReference w:id="36"/>
      </w:r>
      <w:r w:rsidR="00475AB0">
        <w:rPr>
          <w:rFonts w:ascii="Arial" w:hAnsi="Arial" w:cs="Arial"/>
          <w:i/>
          <w:iCs/>
          <w:lang w:val="en-US"/>
        </w:rPr>
        <w:t xml:space="preserve"> </w:t>
      </w:r>
      <w:r w:rsidR="00475AB0">
        <w:rPr>
          <w:rFonts w:ascii="Arial" w:hAnsi="Arial" w:cs="Arial"/>
          <w:lang w:val="en-US"/>
        </w:rPr>
        <w:t xml:space="preserve">which it contended supported </w:t>
      </w:r>
      <w:r w:rsidR="00E5325B">
        <w:rPr>
          <w:rFonts w:ascii="Arial" w:hAnsi="Arial" w:cs="Arial"/>
          <w:lang w:val="en-US"/>
        </w:rPr>
        <w:t>it</w:t>
      </w:r>
      <w:r w:rsidR="00D15DE1">
        <w:rPr>
          <w:rFonts w:ascii="Arial" w:hAnsi="Arial" w:cs="Arial"/>
          <w:lang w:val="en-US"/>
        </w:rPr>
        <w:t xml:space="preserve">s case. Before setting out, in brief terms, what the facts </w:t>
      </w:r>
      <w:r w:rsidR="00AC37B0">
        <w:rPr>
          <w:rFonts w:ascii="Arial" w:hAnsi="Arial" w:cs="Arial"/>
          <w:lang w:val="en-US"/>
        </w:rPr>
        <w:t>in</w:t>
      </w:r>
      <w:r w:rsidR="00D15DE1">
        <w:rPr>
          <w:rFonts w:ascii="Arial" w:hAnsi="Arial" w:cs="Arial"/>
          <w:lang w:val="en-US"/>
        </w:rPr>
        <w:t xml:space="preserve"> that matter were</w:t>
      </w:r>
      <w:r w:rsidR="00AC37B0">
        <w:rPr>
          <w:rFonts w:ascii="Arial" w:hAnsi="Arial" w:cs="Arial"/>
          <w:lang w:val="en-US"/>
        </w:rPr>
        <w:t xml:space="preserve"> and what the import of the decision </w:t>
      </w:r>
      <w:r w:rsidR="00F853B8">
        <w:rPr>
          <w:rFonts w:ascii="Arial" w:hAnsi="Arial" w:cs="Arial"/>
          <w:lang w:val="en-US"/>
        </w:rPr>
        <w:t xml:space="preserve">therein </w:t>
      </w:r>
      <w:r w:rsidR="00AC37B0">
        <w:rPr>
          <w:rFonts w:ascii="Arial" w:hAnsi="Arial" w:cs="Arial"/>
          <w:lang w:val="en-US"/>
        </w:rPr>
        <w:t>was, insofar as t</w:t>
      </w:r>
      <w:r w:rsidR="005B0F53">
        <w:rPr>
          <w:rFonts w:ascii="Arial" w:hAnsi="Arial" w:cs="Arial"/>
          <w:lang w:val="en-US"/>
        </w:rPr>
        <w:t>hey</w:t>
      </w:r>
      <w:r w:rsidR="00AC37B0">
        <w:rPr>
          <w:rFonts w:ascii="Arial" w:hAnsi="Arial" w:cs="Arial"/>
          <w:lang w:val="en-US"/>
        </w:rPr>
        <w:t xml:space="preserve"> may be relevant, </w:t>
      </w:r>
      <w:r w:rsidR="00D15DE1">
        <w:rPr>
          <w:rFonts w:ascii="Arial" w:hAnsi="Arial" w:cs="Arial"/>
          <w:lang w:val="en-US"/>
        </w:rPr>
        <w:t xml:space="preserve">it is important to point out </w:t>
      </w:r>
      <w:r w:rsidR="00AC37B0">
        <w:rPr>
          <w:rFonts w:ascii="Arial" w:hAnsi="Arial" w:cs="Arial"/>
          <w:lang w:val="en-US"/>
        </w:rPr>
        <w:t>what it did not concern. I</w:t>
      </w:r>
      <w:r w:rsidR="00D15DE1">
        <w:rPr>
          <w:rFonts w:ascii="Arial" w:hAnsi="Arial" w:cs="Arial"/>
          <w:lang w:val="en-US"/>
        </w:rPr>
        <w:t xml:space="preserve">t </w:t>
      </w:r>
      <w:r w:rsidR="00AC37B0">
        <w:rPr>
          <w:rFonts w:ascii="Arial" w:hAnsi="Arial" w:cs="Arial"/>
          <w:lang w:val="en-US"/>
        </w:rPr>
        <w:t>did</w:t>
      </w:r>
      <w:r w:rsidR="00D15DE1">
        <w:rPr>
          <w:rFonts w:ascii="Arial" w:hAnsi="Arial" w:cs="Arial"/>
          <w:lang w:val="en-US"/>
        </w:rPr>
        <w:t xml:space="preserve"> not concern a dispute about the terms of the </w:t>
      </w:r>
      <w:r w:rsidR="005B0F53">
        <w:rPr>
          <w:rFonts w:ascii="Arial" w:hAnsi="Arial" w:cs="Arial"/>
          <w:lang w:val="en-US"/>
        </w:rPr>
        <w:t xml:space="preserve">rule 32 </w:t>
      </w:r>
      <w:r w:rsidR="00D15DE1">
        <w:rPr>
          <w:rFonts w:ascii="Arial" w:hAnsi="Arial" w:cs="Arial"/>
          <w:lang w:val="en-US"/>
        </w:rPr>
        <w:t>statement which the taxpayer, Capitec, filed in its appeal in respect of the disallowance of</w:t>
      </w:r>
      <w:r w:rsidR="00FC21A8">
        <w:rPr>
          <w:rFonts w:ascii="Arial" w:hAnsi="Arial" w:cs="Arial"/>
          <w:lang w:val="en-US"/>
        </w:rPr>
        <w:t xml:space="preserve"> ‘</w:t>
      </w:r>
      <w:r w:rsidR="00AC37B0">
        <w:rPr>
          <w:rFonts w:ascii="Arial" w:hAnsi="Arial" w:cs="Arial"/>
          <w:lang w:val="en-US"/>
        </w:rPr>
        <w:t>input‘ deductions</w:t>
      </w:r>
      <w:r w:rsidR="00FC21A8">
        <w:rPr>
          <w:rFonts w:ascii="Arial" w:hAnsi="Arial" w:cs="Arial"/>
          <w:lang w:val="en-US"/>
        </w:rPr>
        <w:t xml:space="preserve"> it had claimed under s 16(3)(c) of the Value-Added Tax Act (‘the VAT Act’)</w:t>
      </w:r>
      <w:r w:rsidR="00F853B8">
        <w:rPr>
          <w:rFonts w:ascii="Arial" w:hAnsi="Arial" w:cs="Arial"/>
          <w:lang w:val="en-US"/>
        </w:rPr>
        <w:t>,</w:t>
      </w:r>
      <w:r w:rsidR="00FC21A8">
        <w:rPr>
          <w:rStyle w:val="FootnoteReference"/>
          <w:rFonts w:ascii="Arial" w:hAnsi="Arial" w:cs="Arial"/>
          <w:lang w:val="en-US"/>
        </w:rPr>
        <w:footnoteReference w:id="37"/>
      </w:r>
      <w:r w:rsidR="00AC37B0">
        <w:rPr>
          <w:rFonts w:ascii="Arial" w:hAnsi="Arial" w:cs="Arial"/>
          <w:lang w:val="en-US"/>
        </w:rPr>
        <w:t xml:space="preserve"> and </w:t>
      </w:r>
      <w:r w:rsidR="00F853B8">
        <w:rPr>
          <w:rFonts w:ascii="Arial" w:hAnsi="Arial" w:cs="Arial"/>
          <w:lang w:val="en-US"/>
        </w:rPr>
        <w:t>neither the tax court nor the Supreme Court of Appeal</w:t>
      </w:r>
      <w:r w:rsidR="000B49E5">
        <w:rPr>
          <w:rStyle w:val="FootnoteReference"/>
          <w:rFonts w:ascii="Arial" w:hAnsi="Arial" w:cs="Arial"/>
          <w:lang w:val="en-US"/>
        </w:rPr>
        <w:footnoteReference w:id="38"/>
      </w:r>
      <w:r w:rsidR="00F853B8">
        <w:rPr>
          <w:rFonts w:ascii="Arial" w:hAnsi="Arial" w:cs="Arial"/>
          <w:lang w:val="en-US"/>
        </w:rPr>
        <w:t xml:space="preserve"> or the</w:t>
      </w:r>
      <w:r w:rsidR="00AC37B0">
        <w:rPr>
          <w:rFonts w:ascii="Arial" w:hAnsi="Arial" w:cs="Arial"/>
          <w:lang w:val="en-US"/>
        </w:rPr>
        <w:t xml:space="preserve"> CC </w:t>
      </w:r>
      <w:r w:rsidR="00F853B8">
        <w:rPr>
          <w:rFonts w:ascii="Arial" w:hAnsi="Arial" w:cs="Arial"/>
          <w:lang w:val="en-US"/>
        </w:rPr>
        <w:t xml:space="preserve">were called  upon to </w:t>
      </w:r>
      <w:r w:rsidR="00AC37B0">
        <w:rPr>
          <w:rFonts w:ascii="Arial" w:hAnsi="Arial" w:cs="Arial"/>
          <w:lang w:val="en-US"/>
        </w:rPr>
        <w:t xml:space="preserve">rule on this aspect. The dispute concerned the merits </w:t>
      </w:r>
      <w:r w:rsidR="00F853B8">
        <w:rPr>
          <w:rFonts w:ascii="Arial" w:hAnsi="Arial" w:cs="Arial"/>
          <w:lang w:val="en-US"/>
        </w:rPr>
        <w:t>of the findings and the decision of the tax court, as to</w:t>
      </w:r>
      <w:r w:rsidR="00AC37B0">
        <w:rPr>
          <w:rFonts w:ascii="Arial" w:hAnsi="Arial" w:cs="Arial"/>
          <w:lang w:val="en-US"/>
        </w:rPr>
        <w:t xml:space="preserve"> whether SARS had correctly disallowed the deductions</w:t>
      </w:r>
      <w:r w:rsidR="00BF3DCC">
        <w:rPr>
          <w:rFonts w:ascii="Arial" w:hAnsi="Arial" w:cs="Arial"/>
          <w:lang w:val="en-US"/>
        </w:rPr>
        <w:t xml:space="preserve"> claimed</w:t>
      </w:r>
      <w:r w:rsidR="00AC37B0">
        <w:rPr>
          <w:rFonts w:ascii="Arial" w:hAnsi="Arial" w:cs="Arial"/>
          <w:lang w:val="en-US"/>
        </w:rPr>
        <w:t xml:space="preserve">, in whole or in part. </w:t>
      </w:r>
    </w:p>
    <w:p w14:paraId="387CE371" w14:textId="77777777" w:rsidR="00AC37B0" w:rsidRDefault="00AC37B0" w:rsidP="00197953">
      <w:pPr>
        <w:spacing w:line="480" w:lineRule="auto"/>
        <w:jc w:val="both"/>
        <w:rPr>
          <w:rFonts w:ascii="Arial" w:hAnsi="Arial" w:cs="Arial"/>
          <w:lang w:val="en-US"/>
        </w:rPr>
      </w:pPr>
    </w:p>
    <w:p w14:paraId="2A5CFBE7" w14:textId="78CF4B2B" w:rsidR="000A39DA" w:rsidRDefault="00AC37B0" w:rsidP="00197953">
      <w:pPr>
        <w:spacing w:line="480" w:lineRule="auto"/>
        <w:jc w:val="both"/>
        <w:rPr>
          <w:rFonts w:ascii="Arial" w:hAnsi="Arial" w:cs="Arial"/>
          <w:lang w:val="en-US"/>
        </w:rPr>
      </w:pPr>
      <w:r>
        <w:rPr>
          <w:rFonts w:ascii="Arial" w:hAnsi="Arial" w:cs="Arial"/>
          <w:lang w:val="en-US"/>
        </w:rPr>
        <w:t xml:space="preserve">[109]  </w:t>
      </w:r>
      <w:r w:rsidR="00FC21A8">
        <w:rPr>
          <w:rFonts w:ascii="Arial" w:hAnsi="Arial" w:cs="Arial"/>
          <w:lang w:val="en-US"/>
        </w:rPr>
        <w:t xml:space="preserve"> </w:t>
      </w:r>
      <w:r w:rsidR="00D15DE1">
        <w:rPr>
          <w:rFonts w:ascii="Arial" w:hAnsi="Arial" w:cs="Arial"/>
          <w:lang w:val="en-US"/>
        </w:rPr>
        <w:t xml:space="preserve">     </w:t>
      </w:r>
      <w:r w:rsidR="00E5325B">
        <w:rPr>
          <w:rFonts w:ascii="Arial" w:hAnsi="Arial" w:cs="Arial"/>
          <w:lang w:val="en-US"/>
        </w:rPr>
        <w:t xml:space="preserve"> </w:t>
      </w:r>
      <w:r w:rsidR="008942B6" w:rsidRPr="00475AB0">
        <w:rPr>
          <w:rFonts w:ascii="Arial" w:hAnsi="Arial" w:cs="Arial"/>
          <w:lang w:val="en-US"/>
        </w:rPr>
        <w:t xml:space="preserve"> </w:t>
      </w:r>
      <w:r w:rsidR="00011262">
        <w:rPr>
          <w:rFonts w:ascii="Arial" w:hAnsi="Arial" w:cs="Arial"/>
          <w:lang w:val="en-US"/>
        </w:rPr>
        <w:t xml:space="preserve"> </w:t>
      </w:r>
      <w:r w:rsidR="000A39DA">
        <w:rPr>
          <w:rFonts w:ascii="Arial" w:hAnsi="Arial" w:cs="Arial"/>
          <w:lang w:val="en-US"/>
        </w:rPr>
        <w:t>As to the facts, the following.</w:t>
      </w:r>
      <w:r w:rsidR="00CD2918">
        <w:rPr>
          <w:rFonts w:ascii="Arial" w:hAnsi="Arial" w:cs="Arial"/>
          <w:lang w:val="en-US"/>
        </w:rPr>
        <w:t xml:space="preserve"> </w:t>
      </w:r>
      <w:r w:rsidR="00627290">
        <w:rPr>
          <w:rFonts w:ascii="Arial" w:hAnsi="Arial" w:cs="Arial"/>
          <w:lang w:val="en-US"/>
        </w:rPr>
        <w:t xml:space="preserve">Where a charge </w:t>
      </w:r>
      <w:r w:rsidR="00536768">
        <w:rPr>
          <w:rFonts w:ascii="Arial" w:hAnsi="Arial" w:cs="Arial"/>
          <w:lang w:val="en-US"/>
        </w:rPr>
        <w:t>or</w:t>
      </w:r>
      <w:r w:rsidR="00627290">
        <w:rPr>
          <w:rFonts w:ascii="Arial" w:hAnsi="Arial" w:cs="Arial"/>
          <w:lang w:val="en-US"/>
        </w:rPr>
        <w:t xml:space="preserve"> fee is levied in the </w:t>
      </w:r>
      <w:r w:rsidR="00AD67D1">
        <w:rPr>
          <w:rFonts w:ascii="Arial" w:hAnsi="Arial" w:cs="Arial"/>
          <w:lang w:val="en-US"/>
        </w:rPr>
        <w:t>supply</w:t>
      </w:r>
      <w:r w:rsidR="00627290">
        <w:rPr>
          <w:rFonts w:ascii="Arial" w:hAnsi="Arial" w:cs="Arial"/>
          <w:lang w:val="en-US"/>
        </w:rPr>
        <w:t xml:space="preserve"> of a service which forms part of </w:t>
      </w:r>
      <w:r w:rsidR="00AD67D1">
        <w:rPr>
          <w:rFonts w:ascii="Arial" w:hAnsi="Arial" w:cs="Arial"/>
          <w:lang w:val="en-US"/>
        </w:rPr>
        <w:t>a</w:t>
      </w:r>
      <w:r w:rsidR="00627290">
        <w:rPr>
          <w:rFonts w:ascii="Arial" w:hAnsi="Arial" w:cs="Arial"/>
          <w:lang w:val="en-US"/>
        </w:rPr>
        <w:t xml:space="preserve"> provider’s ‘enterprise’ </w:t>
      </w:r>
      <w:r w:rsidR="00536768">
        <w:rPr>
          <w:rFonts w:ascii="Arial" w:hAnsi="Arial" w:cs="Arial"/>
          <w:lang w:val="en-US"/>
        </w:rPr>
        <w:t xml:space="preserve">i.e. </w:t>
      </w:r>
      <w:r w:rsidR="00627290">
        <w:rPr>
          <w:rFonts w:ascii="Arial" w:hAnsi="Arial" w:cs="Arial"/>
          <w:lang w:val="en-US"/>
        </w:rPr>
        <w:t>business, it qualifies as a taxable one</w:t>
      </w:r>
      <w:r w:rsidR="00AD67D1">
        <w:rPr>
          <w:rFonts w:ascii="Arial" w:hAnsi="Arial" w:cs="Arial"/>
          <w:lang w:val="en-US"/>
        </w:rPr>
        <w:t xml:space="preserve"> in terms of the VAT Act</w:t>
      </w:r>
      <w:r w:rsidR="00627290">
        <w:rPr>
          <w:rFonts w:ascii="Arial" w:hAnsi="Arial" w:cs="Arial"/>
          <w:lang w:val="en-US"/>
        </w:rPr>
        <w:t xml:space="preserve">, on which VAT is payable. </w:t>
      </w:r>
      <w:r w:rsidR="00AD67D1">
        <w:rPr>
          <w:rFonts w:ascii="Arial" w:hAnsi="Arial" w:cs="Arial"/>
          <w:lang w:val="en-US"/>
        </w:rPr>
        <w:t>However, i</w:t>
      </w:r>
      <w:r w:rsidR="00CD2918">
        <w:rPr>
          <w:rFonts w:ascii="Arial" w:hAnsi="Arial" w:cs="Arial"/>
          <w:lang w:val="en-US"/>
        </w:rPr>
        <w:t xml:space="preserve">n terms of </w:t>
      </w:r>
      <w:r w:rsidR="00E07310">
        <w:rPr>
          <w:rFonts w:ascii="Arial" w:hAnsi="Arial" w:cs="Arial"/>
          <w:lang w:val="en-US"/>
        </w:rPr>
        <w:t xml:space="preserve">a </w:t>
      </w:r>
      <w:r w:rsidR="00AD67D1">
        <w:rPr>
          <w:rFonts w:ascii="Arial" w:hAnsi="Arial" w:cs="Arial"/>
          <w:lang w:val="en-US"/>
        </w:rPr>
        <w:t xml:space="preserve">specific </w:t>
      </w:r>
      <w:r w:rsidR="00E07310">
        <w:rPr>
          <w:rFonts w:ascii="Arial" w:hAnsi="Arial" w:cs="Arial"/>
          <w:lang w:val="en-US"/>
        </w:rPr>
        <w:t>provision</w:t>
      </w:r>
      <w:r w:rsidR="00CD2918">
        <w:rPr>
          <w:rFonts w:ascii="Arial" w:hAnsi="Arial" w:cs="Arial"/>
          <w:lang w:val="en-US"/>
        </w:rPr>
        <w:t xml:space="preserve"> the supply of financial services in the form of </w:t>
      </w:r>
      <w:r w:rsidR="000A39DA">
        <w:rPr>
          <w:rFonts w:ascii="Arial" w:hAnsi="Arial" w:cs="Arial"/>
          <w:lang w:val="en-US"/>
        </w:rPr>
        <w:t>credit</w:t>
      </w:r>
      <w:r w:rsidR="005B0F53">
        <w:rPr>
          <w:rFonts w:ascii="Arial" w:hAnsi="Arial" w:cs="Arial"/>
          <w:lang w:val="en-US"/>
        </w:rPr>
        <w:t>,</w:t>
      </w:r>
      <w:r w:rsidR="00CD2918">
        <w:rPr>
          <w:rFonts w:ascii="Arial" w:hAnsi="Arial" w:cs="Arial"/>
          <w:lang w:val="en-US"/>
        </w:rPr>
        <w:t xml:space="preserve"> for </w:t>
      </w:r>
      <w:r w:rsidR="005B0F53">
        <w:rPr>
          <w:rFonts w:ascii="Arial" w:hAnsi="Arial" w:cs="Arial"/>
          <w:lang w:val="en-US"/>
        </w:rPr>
        <w:t>interest</w:t>
      </w:r>
      <w:r w:rsidR="000A39DA">
        <w:rPr>
          <w:rFonts w:ascii="Arial" w:hAnsi="Arial" w:cs="Arial"/>
          <w:lang w:val="en-US"/>
        </w:rPr>
        <w:t>,</w:t>
      </w:r>
      <w:r w:rsidR="00CD2918">
        <w:rPr>
          <w:rFonts w:ascii="Arial" w:hAnsi="Arial" w:cs="Arial"/>
          <w:lang w:val="en-US"/>
        </w:rPr>
        <w:t xml:space="preserve"> is exempt from VAT. </w:t>
      </w:r>
    </w:p>
    <w:p w14:paraId="3425D4DE" w14:textId="77777777" w:rsidR="000A39DA" w:rsidRDefault="000A39DA" w:rsidP="00197953">
      <w:pPr>
        <w:spacing w:line="480" w:lineRule="auto"/>
        <w:jc w:val="both"/>
        <w:rPr>
          <w:rFonts w:ascii="Arial" w:hAnsi="Arial" w:cs="Arial"/>
          <w:lang w:val="en-US"/>
        </w:rPr>
      </w:pPr>
    </w:p>
    <w:p w14:paraId="756AD421" w14:textId="73B3528E" w:rsidR="000A39DA" w:rsidRDefault="000A39DA" w:rsidP="00197953">
      <w:pPr>
        <w:spacing w:line="480" w:lineRule="auto"/>
        <w:jc w:val="both"/>
        <w:rPr>
          <w:rFonts w:ascii="Arial" w:hAnsi="Arial" w:cs="Arial"/>
          <w:lang w:val="en-US"/>
        </w:rPr>
      </w:pPr>
      <w:r>
        <w:rPr>
          <w:rFonts w:ascii="Arial" w:hAnsi="Arial" w:cs="Arial"/>
          <w:lang w:val="en-US"/>
        </w:rPr>
        <w:t>[110]</w:t>
      </w:r>
      <w:r>
        <w:rPr>
          <w:rFonts w:ascii="Arial" w:hAnsi="Arial" w:cs="Arial"/>
          <w:lang w:val="en-US"/>
        </w:rPr>
        <w:tab/>
      </w:r>
      <w:r w:rsidR="00F65437">
        <w:rPr>
          <w:rFonts w:ascii="Arial" w:hAnsi="Arial" w:cs="Arial"/>
          <w:lang w:val="en-US"/>
        </w:rPr>
        <w:t>Capitec lent money to clients in terms of short-term, unsecured loans in return for which it levied interest and fees.</w:t>
      </w:r>
      <w:r w:rsidR="00536768">
        <w:rPr>
          <w:rFonts w:ascii="Arial" w:hAnsi="Arial" w:cs="Arial"/>
          <w:lang w:val="en-US"/>
        </w:rPr>
        <w:t xml:space="preserve"> To</w:t>
      </w:r>
      <w:r w:rsidR="00CD2918">
        <w:rPr>
          <w:rFonts w:ascii="Arial" w:hAnsi="Arial" w:cs="Arial"/>
          <w:lang w:val="en-US"/>
        </w:rPr>
        <w:t xml:space="preserve"> protect itself against losses </w:t>
      </w:r>
      <w:r w:rsidR="000B49E5">
        <w:rPr>
          <w:rFonts w:ascii="Arial" w:hAnsi="Arial" w:cs="Arial"/>
          <w:lang w:val="en-US"/>
        </w:rPr>
        <w:t>it</w:t>
      </w:r>
      <w:r w:rsidR="00CD2918">
        <w:rPr>
          <w:rFonts w:ascii="Arial" w:hAnsi="Arial" w:cs="Arial"/>
          <w:lang w:val="en-US"/>
        </w:rPr>
        <w:t xml:space="preserve"> took out insurance cover</w:t>
      </w:r>
      <w:r>
        <w:rPr>
          <w:rFonts w:ascii="Arial" w:hAnsi="Arial" w:cs="Arial"/>
          <w:lang w:val="en-US"/>
        </w:rPr>
        <w:t xml:space="preserve"> over </w:t>
      </w:r>
      <w:r w:rsidR="00B62DA3">
        <w:rPr>
          <w:rFonts w:ascii="Arial" w:hAnsi="Arial" w:cs="Arial"/>
          <w:lang w:val="en-US"/>
        </w:rPr>
        <w:t>these</w:t>
      </w:r>
      <w:r>
        <w:rPr>
          <w:rFonts w:ascii="Arial" w:hAnsi="Arial" w:cs="Arial"/>
          <w:lang w:val="en-US"/>
        </w:rPr>
        <w:t xml:space="preserve"> loans, which would settle the amount of a client’s </w:t>
      </w:r>
      <w:r w:rsidR="00CD2918">
        <w:rPr>
          <w:rFonts w:ascii="Arial" w:hAnsi="Arial" w:cs="Arial"/>
          <w:lang w:val="en-US"/>
        </w:rPr>
        <w:t>in</w:t>
      </w:r>
      <w:r>
        <w:rPr>
          <w:rFonts w:ascii="Arial" w:hAnsi="Arial" w:cs="Arial"/>
          <w:lang w:val="en-US"/>
        </w:rPr>
        <w:t>debtedness in</w:t>
      </w:r>
      <w:r w:rsidR="00CD2918">
        <w:rPr>
          <w:rFonts w:ascii="Arial" w:hAnsi="Arial" w:cs="Arial"/>
          <w:lang w:val="en-US"/>
        </w:rPr>
        <w:t xml:space="preserve"> the event of </w:t>
      </w:r>
      <w:r>
        <w:rPr>
          <w:rFonts w:ascii="Arial" w:hAnsi="Arial" w:cs="Arial"/>
          <w:lang w:val="en-US"/>
        </w:rPr>
        <w:t xml:space="preserve">their </w:t>
      </w:r>
      <w:r w:rsidR="00CD2918">
        <w:rPr>
          <w:rFonts w:ascii="Arial" w:hAnsi="Arial" w:cs="Arial"/>
          <w:lang w:val="en-US"/>
        </w:rPr>
        <w:t>death or retrenchment</w:t>
      </w:r>
      <w:r>
        <w:rPr>
          <w:rFonts w:ascii="Arial" w:hAnsi="Arial" w:cs="Arial"/>
          <w:lang w:val="en-US"/>
        </w:rPr>
        <w:t>. The cover was</w:t>
      </w:r>
      <w:r w:rsidR="00CD2918">
        <w:rPr>
          <w:rFonts w:ascii="Arial" w:hAnsi="Arial" w:cs="Arial"/>
          <w:lang w:val="en-US"/>
        </w:rPr>
        <w:t xml:space="preserve"> provided to clients </w:t>
      </w:r>
      <w:r>
        <w:rPr>
          <w:rFonts w:ascii="Arial" w:hAnsi="Arial" w:cs="Arial"/>
          <w:lang w:val="en-US"/>
        </w:rPr>
        <w:t xml:space="preserve">free of charge, </w:t>
      </w:r>
      <w:r w:rsidR="00CD2918">
        <w:rPr>
          <w:rFonts w:ascii="Arial" w:hAnsi="Arial" w:cs="Arial"/>
          <w:lang w:val="en-US"/>
        </w:rPr>
        <w:t xml:space="preserve">as </w:t>
      </w:r>
      <w:r>
        <w:rPr>
          <w:rFonts w:ascii="Arial" w:hAnsi="Arial" w:cs="Arial"/>
          <w:lang w:val="en-US"/>
        </w:rPr>
        <w:t>a standard term</w:t>
      </w:r>
      <w:r w:rsidR="00CD2918">
        <w:rPr>
          <w:rFonts w:ascii="Arial" w:hAnsi="Arial" w:cs="Arial"/>
          <w:lang w:val="en-US"/>
        </w:rPr>
        <w:t xml:space="preserve"> of</w:t>
      </w:r>
      <w:r>
        <w:rPr>
          <w:rFonts w:ascii="Arial" w:hAnsi="Arial" w:cs="Arial"/>
          <w:lang w:val="en-US"/>
        </w:rPr>
        <w:t xml:space="preserve"> their </w:t>
      </w:r>
      <w:r w:rsidR="00CD2918">
        <w:rPr>
          <w:rFonts w:ascii="Arial" w:hAnsi="Arial" w:cs="Arial"/>
          <w:lang w:val="en-US"/>
        </w:rPr>
        <w:t>loan agreement</w:t>
      </w:r>
      <w:r w:rsidR="004835DD">
        <w:rPr>
          <w:rFonts w:ascii="Arial" w:hAnsi="Arial" w:cs="Arial"/>
          <w:lang w:val="en-US"/>
        </w:rPr>
        <w:t>s</w:t>
      </w:r>
      <w:r w:rsidR="00CD2918">
        <w:rPr>
          <w:rFonts w:ascii="Arial" w:hAnsi="Arial" w:cs="Arial"/>
          <w:lang w:val="en-US"/>
        </w:rPr>
        <w:t xml:space="preserve">. </w:t>
      </w:r>
    </w:p>
    <w:p w14:paraId="53CD1FDC" w14:textId="77777777" w:rsidR="000A39DA" w:rsidRDefault="000A39DA" w:rsidP="00197953">
      <w:pPr>
        <w:spacing w:line="480" w:lineRule="auto"/>
        <w:jc w:val="both"/>
        <w:rPr>
          <w:rFonts w:ascii="Arial" w:hAnsi="Arial" w:cs="Arial"/>
          <w:lang w:val="en-US"/>
        </w:rPr>
      </w:pPr>
    </w:p>
    <w:p w14:paraId="739F2381" w14:textId="7FBAAD81" w:rsidR="00B43B92" w:rsidRDefault="000A39DA" w:rsidP="00197953">
      <w:pPr>
        <w:spacing w:line="480" w:lineRule="auto"/>
        <w:jc w:val="both"/>
        <w:rPr>
          <w:rFonts w:ascii="Arial" w:hAnsi="Arial" w:cs="Arial"/>
          <w:lang w:val="en-US"/>
        </w:rPr>
      </w:pPr>
      <w:r>
        <w:rPr>
          <w:rFonts w:ascii="Arial" w:hAnsi="Arial" w:cs="Arial"/>
          <w:lang w:val="en-US"/>
        </w:rPr>
        <w:t>[111]</w:t>
      </w:r>
      <w:r>
        <w:rPr>
          <w:rFonts w:ascii="Arial" w:hAnsi="Arial" w:cs="Arial"/>
          <w:lang w:val="en-US"/>
        </w:rPr>
        <w:tab/>
      </w:r>
      <w:r w:rsidR="00B43B92">
        <w:rPr>
          <w:rFonts w:ascii="Arial" w:hAnsi="Arial" w:cs="Arial"/>
          <w:lang w:val="en-US"/>
        </w:rPr>
        <w:t>Over</w:t>
      </w:r>
      <w:r w:rsidR="00CD2918">
        <w:rPr>
          <w:rFonts w:ascii="Arial" w:hAnsi="Arial" w:cs="Arial"/>
          <w:lang w:val="en-US"/>
        </w:rPr>
        <w:t xml:space="preserve"> the period November 2014-November 2015 Capitec paid </w:t>
      </w:r>
      <w:r>
        <w:rPr>
          <w:rFonts w:ascii="Arial" w:hAnsi="Arial" w:cs="Arial"/>
          <w:lang w:val="en-US"/>
        </w:rPr>
        <w:t xml:space="preserve">out </w:t>
      </w:r>
      <w:r w:rsidR="00CD2918">
        <w:rPr>
          <w:rFonts w:ascii="Arial" w:hAnsi="Arial" w:cs="Arial"/>
          <w:lang w:val="en-US"/>
        </w:rPr>
        <w:t xml:space="preserve">R 582.3 million in premiums to its insurers in respect of which it sought to claim R 71.5 million as a notional </w:t>
      </w:r>
      <w:r w:rsidR="00287143">
        <w:rPr>
          <w:rFonts w:ascii="Arial" w:hAnsi="Arial" w:cs="Arial"/>
          <w:lang w:val="en-US"/>
        </w:rPr>
        <w:t xml:space="preserve">VAT </w:t>
      </w:r>
      <w:r w:rsidR="00CD2918">
        <w:rPr>
          <w:rFonts w:ascii="Arial" w:hAnsi="Arial" w:cs="Arial"/>
          <w:lang w:val="en-US"/>
        </w:rPr>
        <w:t xml:space="preserve">input tax deduction. In an additional assessment </w:t>
      </w:r>
      <w:r>
        <w:rPr>
          <w:rFonts w:ascii="Arial" w:hAnsi="Arial" w:cs="Arial"/>
          <w:lang w:val="en-US"/>
        </w:rPr>
        <w:t xml:space="preserve">SARS </w:t>
      </w:r>
      <w:r w:rsidR="00CD2918">
        <w:rPr>
          <w:rFonts w:ascii="Arial" w:hAnsi="Arial" w:cs="Arial"/>
          <w:lang w:val="en-US"/>
        </w:rPr>
        <w:t xml:space="preserve">disallowed </w:t>
      </w:r>
      <w:r>
        <w:rPr>
          <w:rFonts w:ascii="Arial" w:hAnsi="Arial" w:cs="Arial"/>
          <w:lang w:val="en-US"/>
        </w:rPr>
        <w:t>the claim, on the grounds</w:t>
      </w:r>
      <w:r w:rsidR="00CD2918">
        <w:rPr>
          <w:rFonts w:ascii="Arial" w:hAnsi="Arial" w:cs="Arial"/>
          <w:lang w:val="en-US"/>
        </w:rPr>
        <w:t xml:space="preserve"> that the loan cover was not a taxable supply as it had been </w:t>
      </w:r>
      <w:r w:rsidR="00B43B92">
        <w:rPr>
          <w:rFonts w:ascii="Arial" w:hAnsi="Arial" w:cs="Arial"/>
          <w:lang w:val="en-US"/>
        </w:rPr>
        <w:t xml:space="preserve">provided </w:t>
      </w:r>
      <w:r w:rsidR="00CD2918">
        <w:rPr>
          <w:rFonts w:ascii="Arial" w:hAnsi="Arial" w:cs="Arial"/>
          <w:lang w:val="en-US"/>
        </w:rPr>
        <w:t xml:space="preserve">free of charge and not in </w:t>
      </w:r>
      <w:r w:rsidR="00114810">
        <w:rPr>
          <w:rFonts w:ascii="Arial" w:hAnsi="Arial" w:cs="Arial"/>
          <w:lang w:val="en-US"/>
        </w:rPr>
        <w:t xml:space="preserve">the course and </w:t>
      </w:r>
      <w:r w:rsidR="00CD2918">
        <w:rPr>
          <w:rFonts w:ascii="Arial" w:hAnsi="Arial" w:cs="Arial"/>
          <w:lang w:val="en-US"/>
        </w:rPr>
        <w:t xml:space="preserve">furtherance of </w:t>
      </w:r>
      <w:r w:rsidR="00B43B92">
        <w:rPr>
          <w:rFonts w:ascii="Arial" w:hAnsi="Arial" w:cs="Arial"/>
          <w:lang w:val="en-US"/>
        </w:rPr>
        <w:t>Capitec’s</w:t>
      </w:r>
      <w:r w:rsidR="00CD2918">
        <w:rPr>
          <w:rFonts w:ascii="Arial" w:hAnsi="Arial" w:cs="Arial"/>
          <w:lang w:val="en-US"/>
        </w:rPr>
        <w:t xml:space="preserve"> enterprise. Capitec lodged an objection against the ‘whole’</w:t>
      </w:r>
      <w:r w:rsidR="00B43B92">
        <w:rPr>
          <w:rFonts w:ascii="Arial" w:hAnsi="Arial" w:cs="Arial"/>
          <w:lang w:val="en-US"/>
        </w:rPr>
        <w:t xml:space="preserve"> of the disallowance</w:t>
      </w:r>
      <w:r w:rsidR="00CD2918">
        <w:rPr>
          <w:rFonts w:ascii="Arial" w:hAnsi="Arial" w:cs="Arial"/>
          <w:lang w:val="en-US"/>
        </w:rPr>
        <w:t xml:space="preserve">, which was dismissed. It then </w:t>
      </w:r>
      <w:r w:rsidR="00B43B92">
        <w:rPr>
          <w:rFonts w:ascii="Arial" w:hAnsi="Arial" w:cs="Arial"/>
          <w:lang w:val="en-US"/>
        </w:rPr>
        <w:t>lodged an appeal</w:t>
      </w:r>
      <w:r w:rsidR="00CD2918">
        <w:rPr>
          <w:rFonts w:ascii="Arial" w:hAnsi="Arial" w:cs="Arial"/>
          <w:lang w:val="en-US"/>
        </w:rPr>
        <w:t xml:space="preserve"> to the tax court against the </w:t>
      </w:r>
      <w:r w:rsidR="00B43B92">
        <w:rPr>
          <w:rFonts w:ascii="Arial" w:hAnsi="Arial" w:cs="Arial"/>
          <w:lang w:val="en-US"/>
        </w:rPr>
        <w:t>‘</w:t>
      </w:r>
      <w:r w:rsidR="00CD2918">
        <w:rPr>
          <w:rFonts w:ascii="Arial" w:hAnsi="Arial" w:cs="Arial"/>
          <w:lang w:val="en-US"/>
        </w:rPr>
        <w:t>whole</w:t>
      </w:r>
      <w:r w:rsidR="00B43B92">
        <w:rPr>
          <w:rFonts w:ascii="Arial" w:hAnsi="Arial" w:cs="Arial"/>
          <w:lang w:val="en-US"/>
        </w:rPr>
        <w:t>’</w:t>
      </w:r>
      <w:r w:rsidR="00CD2918">
        <w:rPr>
          <w:rFonts w:ascii="Arial" w:hAnsi="Arial" w:cs="Arial"/>
          <w:lang w:val="en-US"/>
        </w:rPr>
        <w:t xml:space="preserve"> of the dismissal of its objection. The tax court was of the view that, inasmuch as the loan cover had been provided</w:t>
      </w:r>
      <w:r w:rsidR="002C4C13">
        <w:rPr>
          <w:rFonts w:ascii="Arial" w:hAnsi="Arial" w:cs="Arial"/>
          <w:lang w:val="en-US"/>
        </w:rPr>
        <w:t xml:space="preserve"> </w:t>
      </w:r>
      <w:r w:rsidR="00CD2918">
        <w:rPr>
          <w:rFonts w:ascii="Arial" w:hAnsi="Arial" w:cs="Arial"/>
          <w:lang w:val="en-US"/>
        </w:rPr>
        <w:t>to promote Capitec’s business</w:t>
      </w:r>
      <w:r w:rsidR="002C4C13">
        <w:rPr>
          <w:rFonts w:ascii="Arial" w:hAnsi="Arial" w:cs="Arial"/>
          <w:lang w:val="en-US"/>
        </w:rPr>
        <w:t>,</w:t>
      </w:r>
      <w:r w:rsidR="00CD2918">
        <w:rPr>
          <w:rFonts w:ascii="Arial" w:hAnsi="Arial" w:cs="Arial"/>
          <w:lang w:val="en-US"/>
        </w:rPr>
        <w:t xml:space="preserve"> it </w:t>
      </w:r>
      <w:r w:rsidR="004835DD">
        <w:rPr>
          <w:rFonts w:ascii="Arial" w:hAnsi="Arial" w:cs="Arial"/>
          <w:lang w:val="en-US"/>
        </w:rPr>
        <w:t>was</w:t>
      </w:r>
      <w:r w:rsidR="00B43B92">
        <w:rPr>
          <w:rFonts w:ascii="Arial" w:hAnsi="Arial" w:cs="Arial"/>
          <w:lang w:val="en-US"/>
        </w:rPr>
        <w:t xml:space="preserve"> </w:t>
      </w:r>
      <w:r w:rsidR="002C4C13">
        <w:rPr>
          <w:rFonts w:ascii="Arial" w:hAnsi="Arial" w:cs="Arial"/>
          <w:lang w:val="en-US"/>
        </w:rPr>
        <w:t>supplied</w:t>
      </w:r>
      <w:r w:rsidR="00CD2918">
        <w:rPr>
          <w:rFonts w:ascii="Arial" w:hAnsi="Arial" w:cs="Arial"/>
          <w:lang w:val="en-US"/>
        </w:rPr>
        <w:t xml:space="preserve"> in the course </w:t>
      </w:r>
      <w:r w:rsidR="00B43B92">
        <w:rPr>
          <w:rFonts w:ascii="Arial" w:hAnsi="Arial" w:cs="Arial"/>
          <w:lang w:val="en-US"/>
        </w:rPr>
        <w:t>and</w:t>
      </w:r>
      <w:r w:rsidR="00CD2918">
        <w:rPr>
          <w:rFonts w:ascii="Arial" w:hAnsi="Arial" w:cs="Arial"/>
          <w:lang w:val="en-US"/>
        </w:rPr>
        <w:t xml:space="preserve"> furtherance of </w:t>
      </w:r>
      <w:r w:rsidR="004835DD">
        <w:rPr>
          <w:rFonts w:ascii="Arial" w:hAnsi="Arial" w:cs="Arial"/>
          <w:lang w:val="en-US"/>
        </w:rPr>
        <w:t>its</w:t>
      </w:r>
      <w:r w:rsidR="00CD2918">
        <w:rPr>
          <w:rFonts w:ascii="Arial" w:hAnsi="Arial" w:cs="Arial"/>
          <w:lang w:val="en-US"/>
        </w:rPr>
        <w:t xml:space="preserve"> enterprise</w:t>
      </w:r>
      <w:r w:rsidR="00B43B92">
        <w:rPr>
          <w:rFonts w:ascii="Arial" w:hAnsi="Arial" w:cs="Arial"/>
          <w:lang w:val="en-US"/>
        </w:rPr>
        <w:t>, within the meaning of the Act</w:t>
      </w:r>
      <w:r w:rsidR="00CD2918">
        <w:rPr>
          <w:rFonts w:ascii="Arial" w:hAnsi="Arial" w:cs="Arial"/>
          <w:lang w:val="en-US"/>
        </w:rPr>
        <w:t>, as it did not only seek to advance an activity that was exempt from VAT (the provision of credit for interest) but also one that was taxable (the provision of credit for a fee</w:t>
      </w:r>
      <w:r w:rsidR="004368F7">
        <w:rPr>
          <w:rFonts w:ascii="Arial" w:hAnsi="Arial" w:cs="Arial"/>
          <w:lang w:val="en-US"/>
        </w:rPr>
        <w:t xml:space="preserve">). Consequently, the tax court held </w:t>
      </w:r>
      <w:r w:rsidR="00B43B92">
        <w:rPr>
          <w:rFonts w:ascii="Arial" w:hAnsi="Arial" w:cs="Arial"/>
          <w:lang w:val="en-US"/>
        </w:rPr>
        <w:t xml:space="preserve">that the </w:t>
      </w:r>
      <w:r w:rsidR="004368F7">
        <w:rPr>
          <w:rFonts w:ascii="Arial" w:hAnsi="Arial" w:cs="Arial"/>
          <w:lang w:val="en-US"/>
        </w:rPr>
        <w:t xml:space="preserve">deduction should have been </w:t>
      </w:r>
      <w:r w:rsidR="00B43B92">
        <w:rPr>
          <w:rFonts w:ascii="Arial" w:hAnsi="Arial" w:cs="Arial"/>
          <w:lang w:val="en-US"/>
        </w:rPr>
        <w:t xml:space="preserve">allowed and </w:t>
      </w:r>
      <w:r w:rsidR="004835DD">
        <w:rPr>
          <w:rFonts w:ascii="Arial" w:hAnsi="Arial" w:cs="Arial"/>
          <w:lang w:val="en-US"/>
        </w:rPr>
        <w:t xml:space="preserve">it </w:t>
      </w:r>
      <w:r w:rsidR="00B43B92">
        <w:rPr>
          <w:rFonts w:ascii="Arial" w:hAnsi="Arial" w:cs="Arial"/>
          <w:lang w:val="en-US"/>
        </w:rPr>
        <w:t>set aside the</w:t>
      </w:r>
      <w:r w:rsidR="004368F7">
        <w:rPr>
          <w:rFonts w:ascii="Arial" w:hAnsi="Arial" w:cs="Arial"/>
          <w:lang w:val="en-US"/>
        </w:rPr>
        <w:t xml:space="preserve"> additional assessment. </w:t>
      </w:r>
    </w:p>
    <w:p w14:paraId="2081249A" w14:textId="77777777" w:rsidR="00B43B92" w:rsidRDefault="00B43B92" w:rsidP="00197953">
      <w:pPr>
        <w:spacing w:line="480" w:lineRule="auto"/>
        <w:jc w:val="both"/>
        <w:rPr>
          <w:rFonts w:ascii="Arial" w:hAnsi="Arial" w:cs="Arial"/>
          <w:lang w:val="en-US"/>
        </w:rPr>
      </w:pPr>
    </w:p>
    <w:p w14:paraId="4CE28375" w14:textId="524667B8" w:rsidR="00B61695" w:rsidRDefault="00B43B92" w:rsidP="00197953">
      <w:pPr>
        <w:spacing w:line="480" w:lineRule="auto"/>
        <w:jc w:val="both"/>
        <w:rPr>
          <w:rFonts w:ascii="Arial" w:hAnsi="Arial" w:cs="Arial"/>
          <w:lang w:val="en-US"/>
        </w:rPr>
      </w:pPr>
      <w:r>
        <w:rPr>
          <w:rFonts w:ascii="Arial" w:hAnsi="Arial" w:cs="Arial"/>
          <w:lang w:val="en-US"/>
        </w:rPr>
        <w:t>[</w:t>
      </w:r>
      <w:r w:rsidR="002C43CE">
        <w:rPr>
          <w:rFonts w:ascii="Arial" w:hAnsi="Arial" w:cs="Arial"/>
          <w:lang w:val="en-US"/>
        </w:rPr>
        <w:t>112]</w:t>
      </w:r>
      <w:r w:rsidR="002C43CE">
        <w:rPr>
          <w:rFonts w:ascii="Arial" w:hAnsi="Arial" w:cs="Arial"/>
          <w:lang w:val="en-US"/>
        </w:rPr>
        <w:tab/>
      </w:r>
      <w:r w:rsidR="004368F7">
        <w:rPr>
          <w:rFonts w:ascii="Arial" w:hAnsi="Arial" w:cs="Arial"/>
          <w:lang w:val="en-US"/>
        </w:rPr>
        <w:t xml:space="preserve">On appeal the SCA reversed the decision on the basis that </w:t>
      </w:r>
      <w:r w:rsidR="002C43CE">
        <w:rPr>
          <w:rFonts w:ascii="Arial" w:hAnsi="Arial" w:cs="Arial"/>
          <w:lang w:val="en-US"/>
        </w:rPr>
        <w:t xml:space="preserve">the fact that </w:t>
      </w:r>
      <w:r w:rsidR="004368F7">
        <w:rPr>
          <w:rFonts w:ascii="Arial" w:hAnsi="Arial" w:cs="Arial"/>
          <w:lang w:val="en-US"/>
        </w:rPr>
        <w:t>no consideration was charged for the provision of loan cover</w:t>
      </w:r>
      <w:r w:rsidR="002C43CE">
        <w:rPr>
          <w:rFonts w:ascii="Arial" w:hAnsi="Arial" w:cs="Arial"/>
          <w:lang w:val="en-US"/>
        </w:rPr>
        <w:t>, which was supplied in the course of providing credit, rendered it</w:t>
      </w:r>
      <w:r w:rsidR="004368F7">
        <w:rPr>
          <w:rFonts w:ascii="Arial" w:hAnsi="Arial" w:cs="Arial"/>
          <w:lang w:val="en-US"/>
        </w:rPr>
        <w:t xml:space="preserve"> a </w:t>
      </w:r>
      <w:r w:rsidR="00B61695">
        <w:rPr>
          <w:rFonts w:ascii="Arial" w:hAnsi="Arial" w:cs="Arial"/>
          <w:lang w:val="en-US"/>
        </w:rPr>
        <w:t>VAT-</w:t>
      </w:r>
      <w:r w:rsidR="004368F7">
        <w:rPr>
          <w:rFonts w:ascii="Arial" w:hAnsi="Arial" w:cs="Arial"/>
          <w:lang w:val="en-US"/>
        </w:rPr>
        <w:t>exempt suppl</w:t>
      </w:r>
      <w:r w:rsidR="00B61695">
        <w:rPr>
          <w:rFonts w:ascii="Arial" w:hAnsi="Arial" w:cs="Arial"/>
          <w:lang w:val="en-US"/>
        </w:rPr>
        <w:t>y</w:t>
      </w:r>
      <w:r w:rsidR="004C6730">
        <w:rPr>
          <w:rFonts w:ascii="Arial" w:hAnsi="Arial" w:cs="Arial"/>
          <w:lang w:val="en-US"/>
        </w:rPr>
        <w:t>,</w:t>
      </w:r>
      <w:r w:rsidR="00B61695">
        <w:rPr>
          <w:rFonts w:ascii="Arial" w:hAnsi="Arial" w:cs="Arial"/>
          <w:lang w:val="en-US"/>
        </w:rPr>
        <w:t xml:space="preserve"> and the </w:t>
      </w:r>
      <w:r w:rsidR="004368F7">
        <w:rPr>
          <w:rFonts w:ascii="Arial" w:hAnsi="Arial" w:cs="Arial"/>
          <w:lang w:val="en-US"/>
        </w:rPr>
        <w:t xml:space="preserve">bank was </w:t>
      </w:r>
      <w:r w:rsidR="00B61695">
        <w:rPr>
          <w:rFonts w:ascii="Arial" w:hAnsi="Arial" w:cs="Arial"/>
          <w:lang w:val="en-US"/>
        </w:rPr>
        <w:t xml:space="preserve">consequently </w:t>
      </w:r>
      <w:r w:rsidR="004368F7">
        <w:rPr>
          <w:rFonts w:ascii="Arial" w:hAnsi="Arial" w:cs="Arial"/>
          <w:lang w:val="en-US"/>
        </w:rPr>
        <w:t xml:space="preserve">not entitled to claim </w:t>
      </w:r>
      <w:r w:rsidR="004835DD">
        <w:rPr>
          <w:rFonts w:ascii="Arial" w:hAnsi="Arial" w:cs="Arial"/>
          <w:lang w:val="en-US"/>
        </w:rPr>
        <w:t xml:space="preserve">VAT </w:t>
      </w:r>
      <w:r w:rsidR="004368F7">
        <w:rPr>
          <w:rFonts w:ascii="Arial" w:hAnsi="Arial" w:cs="Arial"/>
          <w:lang w:val="en-US"/>
        </w:rPr>
        <w:t xml:space="preserve">input deductions thereon. </w:t>
      </w:r>
    </w:p>
    <w:p w14:paraId="4F1CA12C" w14:textId="77777777" w:rsidR="00B61695" w:rsidRDefault="00B61695" w:rsidP="00197953">
      <w:pPr>
        <w:spacing w:line="480" w:lineRule="auto"/>
        <w:jc w:val="both"/>
        <w:rPr>
          <w:rFonts w:ascii="Arial" w:hAnsi="Arial" w:cs="Arial"/>
          <w:lang w:val="en-US"/>
        </w:rPr>
      </w:pPr>
    </w:p>
    <w:p w14:paraId="08B95123" w14:textId="6A024CD2" w:rsidR="00B61695" w:rsidRDefault="00B61695" w:rsidP="00197953">
      <w:pPr>
        <w:spacing w:line="480" w:lineRule="auto"/>
        <w:jc w:val="both"/>
        <w:rPr>
          <w:rFonts w:ascii="Arial" w:hAnsi="Arial" w:cs="Arial"/>
          <w:lang w:val="en-US"/>
        </w:rPr>
      </w:pPr>
      <w:r>
        <w:rPr>
          <w:rFonts w:ascii="Arial" w:hAnsi="Arial" w:cs="Arial"/>
          <w:lang w:val="en-US"/>
        </w:rPr>
        <w:t>[113]</w:t>
      </w:r>
      <w:r>
        <w:rPr>
          <w:rFonts w:ascii="Arial" w:hAnsi="Arial" w:cs="Arial"/>
          <w:lang w:val="en-US"/>
        </w:rPr>
        <w:tab/>
      </w:r>
      <w:r w:rsidR="004368F7">
        <w:rPr>
          <w:rFonts w:ascii="Arial" w:hAnsi="Arial" w:cs="Arial"/>
          <w:lang w:val="en-US"/>
        </w:rPr>
        <w:t xml:space="preserve">In a further appeal the CC </w:t>
      </w:r>
      <w:r w:rsidR="004C6730">
        <w:rPr>
          <w:rFonts w:ascii="Arial" w:hAnsi="Arial" w:cs="Arial"/>
          <w:lang w:val="en-US"/>
        </w:rPr>
        <w:t xml:space="preserve">in turn </w:t>
      </w:r>
      <w:r w:rsidR="004368F7">
        <w:rPr>
          <w:rFonts w:ascii="Arial" w:hAnsi="Arial" w:cs="Arial"/>
          <w:lang w:val="en-US"/>
        </w:rPr>
        <w:t>reversed the SCA and r</w:t>
      </w:r>
      <w:r>
        <w:rPr>
          <w:rFonts w:ascii="Arial" w:hAnsi="Arial" w:cs="Arial"/>
          <w:lang w:val="en-US"/>
        </w:rPr>
        <w:t>e</w:t>
      </w:r>
      <w:r w:rsidR="004368F7">
        <w:rPr>
          <w:rFonts w:ascii="Arial" w:hAnsi="Arial" w:cs="Arial"/>
          <w:lang w:val="en-US"/>
        </w:rPr>
        <w:t xml:space="preserve">mitted the </w:t>
      </w:r>
      <w:r w:rsidR="004835DD">
        <w:rPr>
          <w:rFonts w:ascii="Arial" w:hAnsi="Arial" w:cs="Arial"/>
          <w:lang w:val="en-US"/>
        </w:rPr>
        <w:t>matter</w:t>
      </w:r>
      <w:r w:rsidR="004368F7">
        <w:rPr>
          <w:rFonts w:ascii="Arial" w:hAnsi="Arial" w:cs="Arial"/>
          <w:lang w:val="en-US"/>
        </w:rPr>
        <w:t xml:space="preserve"> </w:t>
      </w:r>
      <w:r>
        <w:rPr>
          <w:rFonts w:ascii="Arial" w:hAnsi="Arial" w:cs="Arial"/>
          <w:lang w:val="en-US"/>
        </w:rPr>
        <w:t xml:space="preserve">to SARS </w:t>
      </w:r>
      <w:r w:rsidR="004368F7">
        <w:rPr>
          <w:rFonts w:ascii="Arial" w:hAnsi="Arial" w:cs="Arial"/>
          <w:lang w:val="en-US"/>
        </w:rPr>
        <w:t>for re-</w:t>
      </w:r>
      <w:r w:rsidR="004C6730">
        <w:rPr>
          <w:rFonts w:ascii="Arial" w:hAnsi="Arial" w:cs="Arial"/>
          <w:lang w:val="en-US"/>
        </w:rPr>
        <w:t>assessment</w:t>
      </w:r>
      <w:r w:rsidR="004368F7">
        <w:rPr>
          <w:rFonts w:ascii="Arial" w:hAnsi="Arial" w:cs="Arial"/>
          <w:lang w:val="en-US"/>
        </w:rPr>
        <w:t xml:space="preserve"> in the light of the findings </w:t>
      </w:r>
      <w:r>
        <w:rPr>
          <w:rFonts w:ascii="Arial" w:hAnsi="Arial" w:cs="Arial"/>
          <w:lang w:val="en-US"/>
        </w:rPr>
        <w:t>it</w:t>
      </w:r>
      <w:r w:rsidR="004368F7">
        <w:rPr>
          <w:rFonts w:ascii="Arial" w:hAnsi="Arial" w:cs="Arial"/>
          <w:lang w:val="en-US"/>
        </w:rPr>
        <w:t xml:space="preserve"> </w:t>
      </w:r>
      <w:r>
        <w:rPr>
          <w:rFonts w:ascii="Arial" w:hAnsi="Arial" w:cs="Arial"/>
          <w:lang w:val="en-US"/>
        </w:rPr>
        <w:t>arrived at</w:t>
      </w:r>
      <w:r w:rsidR="004368F7">
        <w:rPr>
          <w:rFonts w:ascii="Arial" w:hAnsi="Arial" w:cs="Arial"/>
          <w:lang w:val="en-US"/>
        </w:rPr>
        <w:t>. I</w:t>
      </w:r>
      <w:r w:rsidR="005773B1">
        <w:rPr>
          <w:rFonts w:ascii="Arial" w:hAnsi="Arial" w:cs="Arial"/>
          <w:lang w:val="en-US"/>
        </w:rPr>
        <w:t xml:space="preserve">t </w:t>
      </w:r>
      <w:r w:rsidR="004368F7">
        <w:rPr>
          <w:rFonts w:ascii="Arial" w:hAnsi="Arial" w:cs="Arial"/>
          <w:lang w:val="en-US"/>
        </w:rPr>
        <w:t>he</w:t>
      </w:r>
      <w:r>
        <w:rPr>
          <w:rFonts w:ascii="Arial" w:hAnsi="Arial" w:cs="Arial"/>
          <w:lang w:val="en-US"/>
        </w:rPr>
        <w:t xml:space="preserve">ld </w:t>
      </w:r>
      <w:r w:rsidR="005773B1">
        <w:rPr>
          <w:rFonts w:ascii="Arial" w:hAnsi="Arial" w:cs="Arial"/>
          <w:lang w:val="en-US"/>
        </w:rPr>
        <w:t xml:space="preserve">that, </w:t>
      </w:r>
      <w:r>
        <w:rPr>
          <w:rFonts w:ascii="Arial" w:hAnsi="Arial" w:cs="Arial"/>
          <w:lang w:val="en-US"/>
        </w:rPr>
        <w:t xml:space="preserve">on a proper interpretation of the relevant provisions of the </w:t>
      </w:r>
      <w:r w:rsidR="002C4C13">
        <w:rPr>
          <w:rFonts w:ascii="Arial" w:hAnsi="Arial" w:cs="Arial"/>
          <w:lang w:val="en-US"/>
        </w:rPr>
        <w:t xml:space="preserve">VAT </w:t>
      </w:r>
      <w:r>
        <w:rPr>
          <w:rFonts w:ascii="Arial" w:hAnsi="Arial" w:cs="Arial"/>
          <w:lang w:val="en-US"/>
        </w:rPr>
        <w:t xml:space="preserve">Act, </w:t>
      </w:r>
      <w:r w:rsidR="004368F7">
        <w:rPr>
          <w:rFonts w:ascii="Arial" w:hAnsi="Arial" w:cs="Arial"/>
          <w:lang w:val="en-US"/>
        </w:rPr>
        <w:t xml:space="preserve">the fact that the loan cover was </w:t>
      </w:r>
      <w:r>
        <w:rPr>
          <w:rFonts w:ascii="Arial" w:hAnsi="Arial" w:cs="Arial"/>
          <w:lang w:val="en-US"/>
        </w:rPr>
        <w:t xml:space="preserve">provided for </w:t>
      </w:r>
      <w:r w:rsidR="004368F7">
        <w:rPr>
          <w:rFonts w:ascii="Arial" w:hAnsi="Arial" w:cs="Arial"/>
          <w:lang w:val="en-US"/>
        </w:rPr>
        <w:t xml:space="preserve">free did not </w:t>
      </w:r>
      <w:r>
        <w:rPr>
          <w:rFonts w:ascii="Arial" w:hAnsi="Arial" w:cs="Arial"/>
          <w:lang w:val="en-US"/>
        </w:rPr>
        <w:t>render</w:t>
      </w:r>
      <w:r w:rsidR="004368F7">
        <w:rPr>
          <w:rFonts w:ascii="Arial" w:hAnsi="Arial" w:cs="Arial"/>
          <w:lang w:val="en-US"/>
        </w:rPr>
        <w:t xml:space="preserve"> it an exempt suppl</w:t>
      </w:r>
      <w:r>
        <w:rPr>
          <w:rFonts w:ascii="Arial" w:hAnsi="Arial" w:cs="Arial"/>
          <w:lang w:val="en-US"/>
        </w:rPr>
        <w:t>y of services.</w:t>
      </w:r>
      <w:r w:rsidR="005773B1">
        <w:rPr>
          <w:rFonts w:ascii="Arial" w:hAnsi="Arial" w:cs="Arial"/>
          <w:lang w:val="en-US"/>
        </w:rPr>
        <w:t xml:space="preserve"> </w:t>
      </w:r>
      <w:r w:rsidR="004835DD">
        <w:rPr>
          <w:rFonts w:ascii="Arial" w:hAnsi="Arial" w:cs="Arial"/>
          <w:lang w:val="en-US"/>
        </w:rPr>
        <w:t>T</w:t>
      </w:r>
      <w:r w:rsidR="004368F7">
        <w:rPr>
          <w:rFonts w:ascii="Arial" w:hAnsi="Arial" w:cs="Arial"/>
          <w:lang w:val="en-US"/>
        </w:rPr>
        <w:t xml:space="preserve">he </w:t>
      </w:r>
      <w:r>
        <w:rPr>
          <w:rFonts w:ascii="Arial" w:hAnsi="Arial" w:cs="Arial"/>
          <w:lang w:val="en-US"/>
        </w:rPr>
        <w:t>A</w:t>
      </w:r>
      <w:r w:rsidR="004368F7">
        <w:rPr>
          <w:rFonts w:ascii="Arial" w:hAnsi="Arial" w:cs="Arial"/>
          <w:lang w:val="en-US"/>
        </w:rPr>
        <w:t>ct provide</w:t>
      </w:r>
      <w:r>
        <w:rPr>
          <w:rFonts w:ascii="Arial" w:hAnsi="Arial" w:cs="Arial"/>
          <w:lang w:val="en-US"/>
        </w:rPr>
        <w:t>s</w:t>
      </w:r>
      <w:r w:rsidR="004368F7">
        <w:rPr>
          <w:rFonts w:ascii="Arial" w:hAnsi="Arial" w:cs="Arial"/>
          <w:lang w:val="en-US"/>
        </w:rPr>
        <w:t xml:space="preserve"> that where a service </w:t>
      </w:r>
      <w:r>
        <w:rPr>
          <w:rFonts w:ascii="Arial" w:hAnsi="Arial" w:cs="Arial"/>
          <w:lang w:val="en-US"/>
        </w:rPr>
        <w:t xml:space="preserve">is </w:t>
      </w:r>
      <w:r w:rsidR="004368F7">
        <w:rPr>
          <w:rFonts w:ascii="Arial" w:hAnsi="Arial" w:cs="Arial"/>
          <w:lang w:val="en-US"/>
        </w:rPr>
        <w:t xml:space="preserve">supplied </w:t>
      </w:r>
      <w:r>
        <w:rPr>
          <w:rFonts w:ascii="Arial" w:hAnsi="Arial" w:cs="Arial"/>
          <w:lang w:val="en-US"/>
        </w:rPr>
        <w:t>for</w:t>
      </w:r>
      <w:r w:rsidR="004368F7">
        <w:rPr>
          <w:rFonts w:ascii="Arial" w:hAnsi="Arial" w:cs="Arial"/>
          <w:lang w:val="en-US"/>
        </w:rPr>
        <w:t xml:space="preserve"> no consideration the value thereof w</w:t>
      </w:r>
      <w:r>
        <w:rPr>
          <w:rFonts w:ascii="Arial" w:hAnsi="Arial" w:cs="Arial"/>
          <w:lang w:val="en-US"/>
        </w:rPr>
        <w:t>ill</w:t>
      </w:r>
      <w:r w:rsidR="004368F7">
        <w:rPr>
          <w:rFonts w:ascii="Arial" w:hAnsi="Arial" w:cs="Arial"/>
          <w:lang w:val="en-US"/>
        </w:rPr>
        <w:t xml:space="preserve"> be deemed to be n</w:t>
      </w:r>
      <w:r>
        <w:rPr>
          <w:rFonts w:ascii="Arial" w:hAnsi="Arial" w:cs="Arial"/>
          <w:lang w:val="en-US"/>
        </w:rPr>
        <w:t>il</w:t>
      </w:r>
      <w:r w:rsidR="004835DD">
        <w:rPr>
          <w:rFonts w:ascii="Arial" w:hAnsi="Arial" w:cs="Arial"/>
          <w:lang w:val="en-US"/>
        </w:rPr>
        <w:t>, but it may still be taxable</w:t>
      </w:r>
      <w:r>
        <w:rPr>
          <w:rFonts w:ascii="Arial" w:hAnsi="Arial" w:cs="Arial"/>
          <w:lang w:val="en-US"/>
        </w:rPr>
        <w:t>, as</w:t>
      </w:r>
      <w:r w:rsidR="004368F7">
        <w:rPr>
          <w:rFonts w:ascii="Arial" w:hAnsi="Arial" w:cs="Arial"/>
          <w:lang w:val="en-US"/>
        </w:rPr>
        <w:t xml:space="preserve"> long as </w:t>
      </w:r>
      <w:r w:rsidR="005A4BB0">
        <w:rPr>
          <w:rFonts w:ascii="Arial" w:hAnsi="Arial" w:cs="Arial"/>
          <w:lang w:val="en-US"/>
        </w:rPr>
        <w:t>it</w:t>
      </w:r>
      <w:r w:rsidR="004368F7">
        <w:rPr>
          <w:rFonts w:ascii="Arial" w:hAnsi="Arial" w:cs="Arial"/>
          <w:lang w:val="en-US"/>
        </w:rPr>
        <w:t xml:space="preserve"> </w:t>
      </w:r>
      <w:r w:rsidR="005A4BB0">
        <w:rPr>
          <w:rFonts w:ascii="Arial" w:hAnsi="Arial" w:cs="Arial"/>
          <w:lang w:val="en-US"/>
        </w:rPr>
        <w:t>occurs</w:t>
      </w:r>
      <w:r>
        <w:rPr>
          <w:rFonts w:ascii="Arial" w:hAnsi="Arial" w:cs="Arial"/>
          <w:lang w:val="en-US"/>
        </w:rPr>
        <w:t xml:space="preserve"> in</w:t>
      </w:r>
      <w:r w:rsidR="004368F7">
        <w:rPr>
          <w:rFonts w:ascii="Arial" w:hAnsi="Arial" w:cs="Arial"/>
          <w:lang w:val="en-US"/>
        </w:rPr>
        <w:t xml:space="preserve"> the </w:t>
      </w:r>
      <w:r w:rsidR="00B62DA3">
        <w:rPr>
          <w:rFonts w:ascii="Arial" w:hAnsi="Arial" w:cs="Arial"/>
          <w:lang w:val="en-US"/>
        </w:rPr>
        <w:t xml:space="preserve">course or </w:t>
      </w:r>
      <w:r w:rsidR="004368F7">
        <w:rPr>
          <w:rFonts w:ascii="Arial" w:hAnsi="Arial" w:cs="Arial"/>
          <w:lang w:val="en-US"/>
        </w:rPr>
        <w:t>furtherance of an enterprise which is liable for VAT. Consequently</w:t>
      </w:r>
      <w:r>
        <w:rPr>
          <w:rFonts w:ascii="Arial" w:hAnsi="Arial" w:cs="Arial"/>
          <w:lang w:val="en-US"/>
        </w:rPr>
        <w:t xml:space="preserve">, </w:t>
      </w:r>
      <w:r w:rsidR="004835DD">
        <w:rPr>
          <w:rFonts w:ascii="Arial" w:hAnsi="Arial" w:cs="Arial"/>
          <w:lang w:val="en-US"/>
        </w:rPr>
        <w:t>the CC</w:t>
      </w:r>
      <w:r>
        <w:rPr>
          <w:rFonts w:ascii="Arial" w:hAnsi="Arial" w:cs="Arial"/>
          <w:lang w:val="en-US"/>
        </w:rPr>
        <w:t xml:space="preserve"> held that </w:t>
      </w:r>
      <w:r w:rsidR="004368F7">
        <w:rPr>
          <w:rFonts w:ascii="Arial" w:hAnsi="Arial" w:cs="Arial"/>
          <w:lang w:val="en-US"/>
        </w:rPr>
        <w:t xml:space="preserve">the </w:t>
      </w:r>
      <w:r>
        <w:rPr>
          <w:rFonts w:ascii="Arial" w:hAnsi="Arial" w:cs="Arial"/>
          <w:lang w:val="en-US"/>
        </w:rPr>
        <w:t>S</w:t>
      </w:r>
      <w:r w:rsidR="004368F7">
        <w:rPr>
          <w:rFonts w:ascii="Arial" w:hAnsi="Arial" w:cs="Arial"/>
          <w:lang w:val="en-US"/>
        </w:rPr>
        <w:t xml:space="preserve">CA had erred in holding that </w:t>
      </w:r>
      <w:r w:rsidR="004835DD">
        <w:rPr>
          <w:rFonts w:ascii="Arial" w:hAnsi="Arial" w:cs="Arial"/>
          <w:lang w:val="en-US"/>
        </w:rPr>
        <w:t xml:space="preserve">simply </w:t>
      </w:r>
      <w:r w:rsidR="004368F7">
        <w:rPr>
          <w:rFonts w:ascii="Arial" w:hAnsi="Arial" w:cs="Arial"/>
          <w:lang w:val="en-US"/>
        </w:rPr>
        <w:t xml:space="preserve">because the loan cover was supplied free of charge it was not a taxable supply. </w:t>
      </w:r>
    </w:p>
    <w:p w14:paraId="3414C980" w14:textId="77777777" w:rsidR="00B61695" w:rsidRDefault="00B61695" w:rsidP="00197953">
      <w:pPr>
        <w:spacing w:line="480" w:lineRule="auto"/>
        <w:jc w:val="both"/>
        <w:rPr>
          <w:rFonts w:ascii="Arial" w:hAnsi="Arial" w:cs="Arial"/>
          <w:lang w:val="en-US"/>
        </w:rPr>
      </w:pPr>
    </w:p>
    <w:p w14:paraId="63E29109" w14:textId="0D1C32A2" w:rsidR="00B61695" w:rsidRDefault="00B61695" w:rsidP="00197953">
      <w:pPr>
        <w:spacing w:line="480" w:lineRule="auto"/>
        <w:jc w:val="both"/>
        <w:rPr>
          <w:rFonts w:ascii="Arial" w:hAnsi="Arial" w:cs="Arial"/>
          <w:lang w:val="en-US"/>
        </w:rPr>
      </w:pPr>
      <w:r>
        <w:rPr>
          <w:rFonts w:ascii="Arial" w:hAnsi="Arial" w:cs="Arial"/>
          <w:lang w:val="en-US"/>
        </w:rPr>
        <w:t>[114]</w:t>
      </w:r>
      <w:r>
        <w:rPr>
          <w:rFonts w:ascii="Arial" w:hAnsi="Arial" w:cs="Arial"/>
          <w:lang w:val="en-US"/>
        </w:rPr>
        <w:tab/>
        <w:t xml:space="preserve"> </w:t>
      </w:r>
      <w:r w:rsidR="00B62DA3">
        <w:rPr>
          <w:rFonts w:ascii="Arial" w:hAnsi="Arial" w:cs="Arial"/>
          <w:lang w:val="en-US"/>
        </w:rPr>
        <w:t xml:space="preserve">It </w:t>
      </w:r>
      <w:r>
        <w:rPr>
          <w:rFonts w:ascii="Arial" w:hAnsi="Arial" w:cs="Arial"/>
          <w:lang w:val="en-US"/>
        </w:rPr>
        <w:t>went on to hold</w:t>
      </w:r>
      <w:r w:rsidR="004368F7">
        <w:rPr>
          <w:rFonts w:ascii="Arial" w:hAnsi="Arial" w:cs="Arial"/>
          <w:lang w:val="en-US"/>
        </w:rPr>
        <w:t xml:space="preserve"> that, properly construed, the services supplied </w:t>
      </w:r>
      <w:r w:rsidR="004835DD">
        <w:rPr>
          <w:rFonts w:ascii="Arial" w:hAnsi="Arial" w:cs="Arial"/>
          <w:lang w:val="en-US"/>
        </w:rPr>
        <w:t xml:space="preserve">by Capitec </w:t>
      </w:r>
      <w:r w:rsidR="004368F7">
        <w:rPr>
          <w:rFonts w:ascii="Arial" w:hAnsi="Arial" w:cs="Arial"/>
          <w:lang w:val="en-US"/>
        </w:rPr>
        <w:t xml:space="preserve">were of </w:t>
      </w:r>
      <w:r>
        <w:rPr>
          <w:rFonts w:ascii="Arial" w:hAnsi="Arial" w:cs="Arial"/>
          <w:lang w:val="en-US"/>
        </w:rPr>
        <w:t>a</w:t>
      </w:r>
      <w:r w:rsidR="004368F7">
        <w:rPr>
          <w:rFonts w:ascii="Arial" w:hAnsi="Arial" w:cs="Arial"/>
          <w:lang w:val="en-US"/>
        </w:rPr>
        <w:t xml:space="preserve"> mixed nature</w:t>
      </w:r>
      <w:r>
        <w:rPr>
          <w:rFonts w:ascii="Arial" w:hAnsi="Arial" w:cs="Arial"/>
          <w:lang w:val="en-US"/>
        </w:rPr>
        <w:t xml:space="preserve"> as</w:t>
      </w:r>
      <w:r w:rsidR="004368F7">
        <w:rPr>
          <w:rFonts w:ascii="Arial" w:hAnsi="Arial" w:cs="Arial"/>
          <w:lang w:val="en-US"/>
        </w:rPr>
        <w:t xml:space="preserve"> they consisted </w:t>
      </w:r>
      <w:r w:rsidR="004835DD">
        <w:rPr>
          <w:rFonts w:ascii="Arial" w:hAnsi="Arial" w:cs="Arial"/>
          <w:lang w:val="en-US"/>
        </w:rPr>
        <w:t xml:space="preserve">of </w:t>
      </w:r>
      <w:r w:rsidR="004368F7">
        <w:rPr>
          <w:rFonts w:ascii="Arial" w:hAnsi="Arial" w:cs="Arial"/>
          <w:lang w:val="en-US"/>
        </w:rPr>
        <w:t xml:space="preserve">both exempt </w:t>
      </w:r>
      <w:r w:rsidR="004835DD">
        <w:rPr>
          <w:rFonts w:ascii="Arial" w:hAnsi="Arial" w:cs="Arial"/>
          <w:lang w:val="en-US"/>
        </w:rPr>
        <w:t>and</w:t>
      </w:r>
      <w:r w:rsidR="004368F7">
        <w:rPr>
          <w:rFonts w:ascii="Arial" w:hAnsi="Arial" w:cs="Arial"/>
          <w:lang w:val="en-US"/>
        </w:rPr>
        <w:t xml:space="preserve"> non-exempt s</w:t>
      </w:r>
      <w:r w:rsidR="005A4BB0">
        <w:rPr>
          <w:rFonts w:ascii="Arial" w:hAnsi="Arial" w:cs="Arial"/>
          <w:lang w:val="en-US"/>
        </w:rPr>
        <w:t>upplies</w:t>
      </w:r>
      <w:r w:rsidR="004368F7">
        <w:rPr>
          <w:rFonts w:ascii="Arial" w:hAnsi="Arial" w:cs="Arial"/>
          <w:lang w:val="en-US"/>
        </w:rPr>
        <w:t xml:space="preserve">. In its view Capitec was accordingly entitled to claim input tax deductions </w:t>
      </w:r>
      <w:r w:rsidRPr="00B61695">
        <w:rPr>
          <w:rFonts w:ascii="Arial" w:hAnsi="Arial" w:cs="Arial"/>
          <w:i/>
          <w:iCs/>
          <w:lang w:val="en-US"/>
        </w:rPr>
        <w:t>pro rata</w:t>
      </w:r>
      <w:r>
        <w:rPr>
          <w:rFonts w:ascii="Arial" w:hAnsi="Arial" w:cs="Arial"/>
          <w:lang w:val="en-US"/>
        </w:rPr>
        <w:t xml:space="preserve"> </w:t>
      </w:r>
      <w:r w:rsidR="004368F7">
        <w:rPr>
          <w:rFonts w:ascii="Arial" w:hAnsi="Arial" w:cs="Arial"/>
          <w:lang w:val="en-US"/>
        </w:rPr>
        <w:t>in respect of th</w:t>
      </w:r>
      <w:r>
        <w:rPr>
          <w:rFonts w:ascii="Arial" w:hAnsi="Arial" w:cs="Arial"/>
          <w:lang w:val="en-US"/>
        </w:rPr>
        <w:t>e</w:t>
      </w:r>
      <w:r w:rsidR="004368F7">
        <w:rPr>
          <w:rFonts w:ascii="Arial" w:hAnsi="Arial" w:cs="Arial"/>
          <w:lang w:val="en-US"/>
        </w:rPr>
        <w:t xml:space="preserve"> </w:t>
      </w:r>
      <w:r>
        <w:rPr>
          <w:rFonts w:ascii="Arial" w:hAnsi="Arial" w:cs="Arial"/>
          <w:lang w:val="en-US"/>
        </w:rPr>
        <w:t xml:space="preserve">tax fraction </w:t>
      </w:r>
      <w:r w:rsidR="004368F7">
        <w:rPr>
          <w:rFonts w:ascii="Arial" w:hAnsi="Arial" w:cs="Arial"/>
          <w:lang w:val="en-US"/>
        </w:rPr>
        <w:t xml:space="preserve">which pertained to </w:t>
      </w:r>
      <w:r>
        <w:rPr>
          <w:rFonts w:ascii="Arial" w:hAnsi="Arial" w:cs="Arial"/>
          <w:lang w:val="en-US"/>
        </w:rPr>
        <w:t xml:space="preserve">the </w:t>
      </w:r>
      <w:r w:rsidR="004368F7">
        <w:rPr>
          <w:rFonts w:ascii="Arial" w:hAnsi="Arial" w:cs="Arial"/>
          <w:lang w:val="en-US"/>
        </w:rPr>
        <w:t>fees</w:t>
      </w:r>
      <w:r>
        <w:rPr>
          <w:rFonts w:ascii="Arial" w:hAnsi="Arial" w:cs="Arial"/>
          <w:lang w:val="en-US"/>
        </w:rPr>
        <w:t xml:space="preserve"> that </w:t>
      </w:r>
      <w:r w:rsidR="004835DD">
        <w:rPr>
          <w:rFonts w:ascii="Arial" w:hAnsi="Arial" w:cs="Arial"/>
          <w:lang w:val="en-US"/>
        </w:rPr>
        <w:t>it had</w:t>
      </w:r>
      <w:r>
        <w:rPr>
          <w:rFonts w:ascii="Arial" w:hAnsi="Arial" w:cs="Arial"/>
          <w:lang w:val="en-US"/>
        </w:rPr>
        <w:t xml:space="preserve"> charged</w:t>
      </w:r>
      <w:r w:rsidR="004368F7">
        <w:rPr>
          <w:rFonts w:ascii="Arial" w:hAnsi="Arial" w:cs="Arial"/>
          <w:lang w:val="en-US"/>
        </w:rPr>
        <w:t xml:space="preserve">. The question that then arose was whether </w:t>
      </w:r>
      <w:r w:rsidR="004835DD">
        <w:rPr>
          <w:rFonts w:ascii="Arial" w:hAnsi="Arial" w:cs="Arial"/>
          <w:lang w:val="en-US"/>
        </w:rPr>
        <w:t>the CC</w:t>
      </w:r>
      <w:r w:rsidR="004368F7">
        <w:rPr>
          <w:rFonts w:ascii="Arial" w:hAnsi="Arial" w:cs="Arial"/>
          <w:lang w:val="en-US"/>
        </w:rPr>
        <w:t xml:space="preserve"> could hold that an apportionment should be made on re</w:t>
      </w:r>
      <w:r w:rsidR="004C6730">
        <w:rPr>
          <w:rFonts w:ascii="Arial" w:hAnsi="Arial" w:cs="Arial"/>
          <w:lang w:val="en-US"/>
        </w:rPr>
        <w:t>-</w:t>
      </w:r>
      <w:r w:rsidR="004368F7">
        <w:rPr>
          <w:rFonts w:ascii="Arial" w:hAnsi="Arial" w:cs="Arial"/>
          <w:lang w:val="en-US"/>
        </w:rPr>
        <w:t xml:space="preserve">assessment. </w:t>
      </w:r>
    </w:p>
    <w:p w14:paraId="6DA50DDB" w14:textId="77777777" w:rsidR="00B61695" w:rsidRDefault="00B61695" w:rsidP="00197953">
      <w:pPr>
        <w:spacing w:line="480" w:lineRule="auto"/>
        <w:jc w:val="both"/>
        <w:rPr>
          <w:rFonts w:ascii="Arial" w:hAnsi="Arial" w:cs="Arial"/>
          <w:lang w:val="en-US"/>
        </w:rPr>
      </w:pPr>
    </w:p>
    <w:p w14:paraId="15BE6FB7" w14:textId="443E12C8" w:rsidR="006448A7" w:rsidRDefault="00B61695" w:rsidP="00197953">
      <w:pPr>
        <w:spacing w:line="480" w:lineRule="auto"/>
        <w:jc w:val="both"/>
        <w:rPr>
          <w:rFonts w:ascii="Arial" w:hAnsi="Arial" w:cs="Arial"/>
          <w:lang w:val="en-US"/>
        </w:rPr>
      </w:pPr>
      <w:r>
        <w:rPr>
          <w:rFonts w:ascii="Arial" w:hAnsi="Arial" w:cs="Arial"/>
          <w:lang w:val="en-US"/>
        </w:rPr>
        <w:t>[115]</w:t>
      </w:r>
      <w:r>
        <w:rPr>
          <w:rFonts w:ascii="Arial" w:hAnsi="Arial" w:cs="Arial"/>
          <w:lang w:val="en-US"/>
        </w:rPr>
        <w:tab/>
      </w:r>
      <w:r w:rsidR="00277BB5">
        <w:rPr>
          <w:rFonts w:ascii="Arial" w:hAnsi="Arial" w:cs="Arial"/>
          <w:lang w:val="en-US"/>
        </w:rPr>
        <w:t xml:space="preserve">SARS contended that this was not permissible as </w:t>
      </w:r>
      <w:r w:rsidR="004368F7">
        <w:rPr>
          <w:rFonts w:ascii="Arial" w:hAnsi="Arial" w:cs="Arial"/>
          <w:lang w:val="en-US"/>
        </w:rPr>
        <w:t xml:space="preserve">Capitec </w:t>
      </w:r>
      <w:r w:rsidR="004C6730">
        <w:rPr>
          <w:rFonts w:ascii="Arial" w:hAnsi="Arial" w:cs="Arial"/>
          <w:lang w:val="en-US"/>
        </w:rPr>
        <w:t>had</w:t>
      </w:r>
      <w:r w:rsidR="004368F7">
        <w:rPr>
          <w:rFonts w:ascii="Arial" w:hAnsi="Arial" w:cs="Arial"/>
          <w:lang w:val="en-US"/>
        </w:rPr>
        <w:t xml:space="preserve"> failed to plead </w:t>
      </w:r>
      <w:r w:rsidR="00B62DA3">
        <w:rPr>
          <w:rFonts w:ascii="Arial" w:hAnsi="Arial" w:cs="Arial"/>
          <w:lang w:val="en-US"/>
        </w:rPr>
        <w:t xml:space="preserve">for </w:t>
      </w:r>
      <w:r w:rsidR="004368F7">
        <w:rPr>
          <w:rFonts w:ascii="Arial" w:hAnsi="Arial" w:cs="Arial"/>
          <w:lang w:val="en-US"/>
        </w:rPr>
        <w:t>an apportionment</w:t>
      </w:r>
      <w:r w:rsidR="00277BB5">
        <w:rPr>
          <w:rFonts w:ascii="Arial" w:hAnsi="Arial" w:cs="Arial"/>
          <w:lang w:val="en-US"/>
        </w:rPr>
        <w:t xml:space="preserve">. </w:t>
      </w:r>
      <w:r w:rsidR="00274AAC">
        <w:rPr>
          <w:rFonts w:ascii="Arial" w:hAnsi="Arial" w:cs="Arial"/>
          <w:lang w:val="en-US"/>
        </w:rPr>
        <w:t xml:space="preserve">The SCA had agreed with this contention. </w:t>
      </w:r>
      <w:r w:rsidR="00277BB5">
        <w:rPr>
          <w:rFonts w:ascii="Arial" w:hAnsi="Arial" w:cs="Arial"/>
          <w:lang w:val="en-US"/>
        </w:rPr>
        <w:t xml:space="preserve">The CC </w:t>
      </w:r>
      <w:r w:rsidR="00AF6802">
        <w:rPr>
          <w:rFonts w:ascii="Arial" w:hAnsi="Arial" w:cs="Arial"/>
          <w:lang w:val="en-US"/>
        </w:rPr>
        <w:t>noted</w:t>
      </w:r>
      <w:r w:rsidR="00277BB5">
        <w:rPr>
          <w:rFonts w:ascii="Arial" w:hAnsi="Arial" w:cs="Arial"/>
          <w:lang w:val="en-US"/>
        </w:rPr>
        <w:t xml:space="preserve"> that</w:t>
      </w:r>
      <w:r w:rsidR="00287143">
        <w:rPr>
          <w:rFonts w:ascii="Arial" w:hAnsi="Arial" w:cs="Arial"/>
          <w:lang w:val="en-US"/>
        </w:rPr>
        <w:t xml:space="preserve"> </w:t>
      </w:r>
      <w:r w:rsidR="00B62DA3">
        <w:rPr>
          <w:rFonts w:ascii="Arial" w:hAnsi="Arial" w:cs="Arial"/>
          <w:lang w:val="en-US"/>
        </w:rPr>
        <w:t>the objection which Capitec</w:t>
      </w:r>
      <w:r w:rsidR="004368F7">
        <w:rPr>
          <w:rFonts w:ascii="Arial" w:hAnsi="Arial" w:cs="Arial"/>
          <w:lang w:val="en-US"/>
        </w:rPr>
        <w:t xml:space="preserve"> had lodged</w:t>
      </w:r>
      <w:r w:rsidR="00B62DA3">
        <w:rPr>
          <w:rFonts w:ascii="Arial" w:hAnsi="Arial" w:cs="Arial"/>
          <w:lang w:val="en-US"/>
        </w:rPr>
        <w:t xml:space="preserve"> had been </w:t>
      </w:r>
      <w:r w:rsidR="004368F7">
        <w:rPr>
          <w:rFonts w:ascii="Arial" w:hAnsi="Arial" w:cs="Arial"/>
          <w:lang w:val="en-US"/>
        </w:rPr>
        <w:t xml:space="preserve">against the </w:t>
      </w:r>
      <w:r w:rsidR="004C6730">
        <w:rPr>
          <w:rFonts w:ascii="Arial" w:hAnsi="Arial" w:cs="Arial"/>
          <w:lang w:val="en-US"/>
        </w:rPr>
        <w:t>‘</w:t>
      </w:r>
      <w:r w:rsidR="004368F7">
        <w:rPr>
          <w:rFonts w:ascii="Arial" w:hAnsi="Arial" w:cs="Arial"/>
          <w:lang w:val="en-US"/>
        </w:rPr>
        <w:t>whole</w:t>
      </w:r>
      <w:r w:rsidR="004C6730">
        <w:rPr>
          <w:rFonts w:ascii="Arial" w:hAnsi="Arial" w:cs="Arial"/>
          <w:lang w:val="en-US"/>
        </w:rPr>
        <w:t>’</w:t>
      </w:r>
      <w:r w:rsidR="004368F7">
        <w:rPr>
          <w:rFonts w:ascii="Arial" w:hAnsi="Arial" w:cs="Arial"/>
          <w:lang w:val="en-US"/>
        </w:rPr>
        <w:t xml:space="preserve"> of the disallowance </w:t>
      </w:r>
      <w:r w:rsidR="004C6730">
        <w:rPr>
          <w:rFonts w:ascii="Arial" w:hAnsi="Arial" w:cs="Arial"/>
          <w:lang w:val="en-US"/>
        </w:rPr>
        <w:t xml:space="preserve">and </w:t>
      </w:r>
      <w:r w:rsidR="00B62DA3">
        <w:rPr>
          <w:rFonts w:ascii="Arial" w:hAnsi="Arial" w:cs="Arial"/>
          <w:lang w:val="en-US"/>
        </w:rPr>
        <w:t xml:space="preserve">it </w:t>
      </w:r>
      <w:r w:rsidR="004368F7">
        <w:rPr>
          <w:rFonts w:ascii="Arial" w:hAnsi="Arial" w:cs="Arial"/>
          <w:lang w:val="en-US"/>
        </w:rPr>
        <w:t>had appealed on the same basis to the tax court</w:t>
      </w:r>
      <w:r w:rsidR="004C6730">
        <w:rPr>
          <w:rFonts w:ascii="Arial" w:hAnsi="Arial" w:cs="Arial"/>
          <w:lang w:val="en-US"/>
        </w:rPr>
        <w:t>.</w:t>
      </w:r>
      <w:r w:rsidR="004368F7">
        <w:rPr>
          <w:rFonts w:ascii="Arial" w:hAnsi="Arial" w:cs="Arial"/>
          <w:lang w:val="en-US"/>
        </w:rPr>
        <w:t xml:space="preserve"> </w:t>
      </w:r>
      <w:r w:rsidR="004C6730">
        <w:rPr>
          <w:rFonts w:ascii="Arial" w:hAnsi="Arial" w:cs="Arial"/>
          <w:lang w:val="en-US"/>
        </w:rPr>
        <w:t>In its view, Capitec’s</w:t>
      </w:r>
      <w:r w:rsidR="004368F7">
        <w:rPr>
          <w:rFonts w:ascii="Arial" w:hAnsi="Arial" w:cs="Arial"/>
          <w:lang w:val="en-US"/>
        </w:rPr>
        <w:t xml:space="preserve"> failure to plead an apportionment by advancing an alternative objection against </w:t>
      </w:r>
      <w:r w:rsidR="004C6730">
        <w:rPr>
          <w:rFonts w:ascii="Arial" w:hAnsi="Arial" w:cs="Arial"/>
          <w:lang w:val="en-US"/>
        </w:rPr>
        <w:t>a</w:t>
      </w:r>
      <w:r w:rsidR="004368F7">
        <w:rPr>
          <w:rFonts w:ascii="Arial" w:hAnsi="Arial" w:cs="Arial"/>
          <w:lang w:val="en-US"/>
        </w:rPr>
        <w:t xml:space="preserve"> part of the disallowance </w:t>
      </w:r>
      <w:r w:rsidR="00AF6802">
        <w:rPr>
          <w:rFonts w:ascii="Arial" w:hAnsi="Arial" w:cs="Arial"/>
          <w:lang w:val="en-US"/>
        </w:rPr>
        <w:t>sh</w:t>
      </w:r>
      <w:r w:rsidR="004368F7">
        <w:rPr>
          <w:rFonts w:ascii="Arial" w:hAnsi="Arial" w:cs="Arial"/>
          <w:lang w:val="en-US"/>
        </w:rPr>
        <w:t>ould</w:t>
      </w:r>
      <w:r w:rsidR="00627290">
        <w:rPr>
          <w:rFonts w:ascii="Arial" w:hAnsi="Arial" w:cs="Arial"/>
          <w:lang w:val="en-US"/>
        </w:rPr>
        <w:t xml:space="preserve"> </w:t>
      </w:r>
      <w:r w:rsidR="004368F7">
        <w:rPr>
          <w:rFonts w:ascii="Arial" w:hAnsi="Arial" w:cs="Arial"/>
          <w:lang w:val="en-US"/>
        </w:rPr>
        <w:t>not serve to non</w:t>
      </w:r>
      <w:r w:rsidR="004C6730">
        <w:rPr>
          <w:rFonts w:ascii="Arial" w:hAnsi="Arial" w:cs="Arial"/>
          <w:lang w:val="en-US"/>
        </w:rPr>
        <w:t>-</w:t>
      </w:r>
      <w:r w:rsidR="004368F7">
        <w:rPr>
          <w:rFonts w:ascii="Arial" w:hAnsi="Arial" w:cs="Arial"/>
          <w:lang w:val="en-US"/>
        </w:rPr>
        <w:t>suit</w:t>
      </w:r>
      <w:r w:rsidR="00C54083">
        <w:rPr>
          <w:rFonts w:ascii="Arial" w:hAnsi="Arial" w:cs="Arial"/>
          <w:lang w:val="en-US"/>
        </w:rPr>
        <w:t xml:space="preserve"> it, </w:t>
      </w:r>
      <w:r w:rsidR="004368F7">
        <w:rPr>
          <w:rFonts w:ascii="Arial" w:hAnsi="Arial" w:cs="Arial"/>
          <w:lang w:val="en-US"/>
        </w:rPr>
        <w:t>as this failure would not have prevented it from arguing th</w:t>
      </w:r>
      <w:r w:rsidR="00B62DA3">
        <w:rPr>
          <w:rFonts w:ascii="Arial" w:hAnsi="Arial" w:cs="Arial"/>
          <w:lang w:val="en-US"/>
        </w:rPr>
        <w:t>e</w:t>
      </w:r>
      <w:r w:rsidR="004368F7">
        <w:rPr>
          <w:rFonts w:ascii="Arial" w:hAnsi="Arial" w:cs="Arial"/>
          <w:lang w:val="en-US"/>
        </w:rPr>
        <w:t xml:space="preserve"> </w:t>
      </w:r>
      <w:r w:rsidR="00AF6802">
        <w:rPr>
          <w:rFonts w:ascii="Arial" w:hAnsi="Arial" w:cs="Arial"/>
          <w:lang w:val="en-US"/>
        </w:rPr>
        <w:t xml:space="preserve">point </w:t>
      </w:r>
      <w:r w:rsidR="00C54083">
        <w:rPr>
          <w:rFonts w:ascii="Arial" w:hAnsi="Arial" w:cs="Arial"/>
          <w:lang w:val="en-US"/>
        </w:rPr>
        <w:t>be</w:t>
      </w:r>
      <w:r w:rsidR="004368F7">
        <w:rPr>
          <w:rFonts w:ascii="Arial" w:hAnsi="Arial" w:cs="Arial"/>
          <w:lang w:val="en-US"/>
        </w:rPr>
        <w:t>for</w:t>
      </w:r>
      <w:r w:rsidR="00C54083">
        <w:rPr>
          <w:rFonts w:ascii="Arial" w:hAnsi="Arial" w:cs="Arial"/>
          <w:lang w:val="en-US"/>
        </w:rPr>
        <w:t>e</w:t>
      </w:r>
      <w:r w:rsidR="004368F7">
        <w:rPr>
          <w:rFonts w:ascii="Arial" w:hAnsi="Arial" w:cs="Arial"/>
          <w:lang w:val="en-US"/>
        </w:rPr>
        <w:t xml:space="preserve"> the tax </w:t>
      </w:r>
      <w:r w:rsidR="00AF6802">
        <w:rPr>
          <w:rFonts w:ascii="Arial" w:hAnsi="Arial" w:cs="Arial"/>
          <w:lang w:val="en-US"/>
        </w:rPr>
        <w:t>court</w:t>
      </w:r>
      <w:r w:rsidR="00287143">
        <w:rPr>
          <w:rFonts w:ascii="Arial" w:hAnsi="Arial" w:cs="Arial"/>
          <w:lang w:val="en-US"/>
        </w:rPr>
        <w:t xml:space="preserve"> on appeal, had it been raised</w:t>
      </w:r>
      <w:r w:rsidR="004368F7">
        <w:rPr>
          <w:rFonts w:ascii="Arial" w:hAnsi="Arial" w:cs="Arial"/>
          <w:lang w:val="en-US"/>
        </w:rPr>
        <w:t xml:space="preserve">. In this regard the CC pointed out that </w:t>
      </w:r>
      <w:r w:rsidR="00AF6802">
        <w:rPr>
          <w:rFonts w:ascii="Arial" w:hAnsi="Arial" w:cs="Arial"/>
          <w:lang w:val="en-US"/>
        </w:rPr>
        <w:t xml:space="preserve">rule 32(3) </w:t>
      </w:r>
      <w:r w:rsidR="00C54083">
        <w:rPr>
          <w:rFonts w:ascii="Arial" w:hAnsi="Arial" w:cs="Arial"/>
          <w:lang w:val="en-US"/>
        </w:rPr>
        <w:t xml:space="preserve">only </w:t>
      </w:r>
      <w:r w:rsidR="004368F7">
        <w:rPr>
          <w:rFonts w:ascii="Arial" w:hAnsi="Arial" w:cs="Arial"/>
          <w:lang w:val="en-US"/>
        </w:rPr>
        <w:t xml:space="preserve">precluded the raising of </w:t>
      </w:r>
      <w:r w:rsidR="00C54083">
        <w:rPr>
          <w:rFonts w:ascii="Arial" w:hAnsi="Arial" w:cs="Arial"/>
          <w:lang w:val="en-US"/>
        </w:rPr>
        <w:t xml:space="preserve">a </w:t>
      </w:r>
      <w:r w:rsidR="004368F7">
        <w:rPr>
          <w:rFonts w:ascii="Arial" w:hAnsi="Arial" w:cs="Arial"/>
          <w:lang w:val="en-US"/>
        </w:rPr>
        <w:t>new ground</w:t>
      </w:r>
      <w:r w:rsidR="00274AAC">
        <w:rPr>
          <w:rFonts w:ascii="Arial" w:hAnsi="Arial" w:cs="Arial"/>
          <w:lang w:val="en-US"/>
        </w:rPr>
        <w:t xml:space="preserve">, </w:t>
      </w:r>
      <w:r w:rsidR="00C54083">
        <w:rPr>
          <w:rFonts w:ascii="Arial" w:hAnsi="Arial" w:cs="Arial"/>
          <w:lang w:val="en-US"/>
        </w:rPr>
        <w:t>on appeal</w:t>
      </w:r>
      <w:r w:rsidR="00274AAC">
        <w:rPr>
          <w:rFonts w:ascii="Arial" w:hAnsi="Arial" w:cs="Arial"/>
          <w:lang w:val="en-US"/>
        </w:rPr>
        <w:t>,</w:t>
      </w:r>
      <w:r w:rsidR="004368F7">
        <w:rPr>
          <w:rFonts w:ascii="Arial" w:hAnsi="Arial" w:cs="Arial"/>
          <w:lang w:val="en-US"/>
        </w:rPr>
        <w:t xml:space="preserve"> </w:t>
      </w:r>
      <w:r w:rsidR="00C54083">
        <w:rPr>
          <w:rFonts w:ascii="Arial" w:hAnsi="Arial" w:cs="Arial"/>
          <w:lang w:val="en-US"/>
        </w:rPr>
        <w:t>which</w:t>
      </w:r>
      <w:r w:rsidR="004368F7">
        <w:rPr>
          <w:rFonts w:ascii="Arial" w:hAnsi="Arial" w:cs="Arial"/>
          <w:lang w:val="en-US"/>
        </w:rPr>
        <w:t xml:space="preserve"> constituted a new objection against a part or amount of the disputed assessment that had not previously been </w:t>
      </w:r>
      <w:r w:rsidR="00626600">
        <w:rPr>
          <w:rFonts w:ascii="Arial" w:hAnsi="Arial" w:cs="Arial"/>
          <w:lang w:val="en-US"/>
        </w:rPr>
        <w:t>raised</w:t>
      </w:r>
      <w:r w:rsidR="004368F7">
        <w:rPr>
          <w:rFonts w:ascii="Arial" w:hAnsi="Arial" w:cs="Arial"/>
          <w:lang w:val="en-US"/>
        </w:rPr>
        <w:t xml:space="preserve"> under </w:t>
      </w:r>
      <w:r w:rsidR="00626600">
        <w:rPr>
          <w:rFonts w:ascii="Arial" w:hAnsi="Arial" w:cs="Arial"/>
          <w:lang w:val="en-US"/>
        </w:rPr>
        <w:t xml:space="preserve">rule </w:t>
      </w:r>
      <w:r w:rsidR="004368F7">
        <w:rPr>
          <w:rFonts w:ascii="Arial" w:hAnsi="Arial" w:cs="Arial"/>
          <w:lang w:val="en-US"/>
        </w:rPr>
        <w:t xml:space="preserve">7. </w:t>
      </w:r>
      <w:r w:rsidR="00287143">
        <w:rPr>
          <w:rFonts w:ascii="Arial" w:hAnsi="Arial" w:cs="Arial"/>
          <w:lang w:val="en-US"/>
        </w:rPr>
        <w:t>Since</w:t>
      </w:r>
      <w:r w:rsidR="004368F7">
        <w:rPr>
          <w:rFonts w:ascii="Arial" w:hAnsi="Arial" w:cs="Arial"/>
          <w:lang w:val="en-US"/>
        </w:rPr>
        <w:t xml:space="preserve"> Capitec had objected to the ‘whole’ of the assessment</w:t>
      </w:r>
      <w:r w:rsidR="00C54083">
        <w:rPr>
          <w:rFonts w:ascii="Arial" w:hAnsi="Arial" w:cs="Arial"/>
          <w:lang w:val="en-US"/>
        </w:rPr>
        <w:t>,</w:t>
      </w:r>
      <w:r w:rsidR="004368F7">
        <w:rPr>
          <w:rFonts w:ascii="Arial" w:hAnsi="Arial" w:cs="Arial"/>
          <w:lang w:val="en-US"/>
        </w:rPr>
        <w:t xml:space="preserve"> had the alternat</w:t>
      </w:r>
      <w:r w:rsidR="00287143">
        <w:rPr>
          <w:rFonts w:ascii="Arial" w:hAnsi="Arial" w:cs="Arial"/>
          <w:lang w:val="en-US"/>
        </w:rPr>
        <w:t>ive</w:t>
      </w:r>
      <w:r w:rsidR="004368F7">
        <w:rPr>
          <w:rFonts w:ascii="Arial" w:hAnsi="Arial" w:cs="Arial"/>
          <w:lang w:val="en-US"/>
        </w:rPr>
        <w:t xml:space="preserve"> g</w:t>
      </w:r>
      <w:r w:rsidR="00C54083">
        <w:rPr>
          <w:rFonts w:ascii="Arial" w:hAnsi="Arial" w:cs="Arial"/>
          <w:lang w:val="en-US"/>
        </w:rPr>
        <w:t>round been</w:t>
      </w:r>
      <w:r w:rsidR="004368F7">
        <w:rPr>
          <w:rFonts w:ascii="Arial" w:hAnsi="Arial" w:cs="Arial"/>
          <w:lang w:val="en-US"/>
        </w:rPr>
        <w:t xml:space="preserve"> raised </w:t>
      </w:r>
      <w:r w:rsidR="00B62DA3">
        <w:rPr>
          <w:rFonts w:ascii="Arial" w:hAnsi="Arial" w:cs="Arial"/>
          <w:lang w:val="en-US"/>
        </w:rPr>
        <w:t xml:space="preserve">in </w:t>
      </w:r>
      <w:r w:rsidR="00274AAC">
        <w:rPr>
          <w:rFonts w:ascii="Arial" w:hAnsi="Arial" w:cs="Arial"/>
          <w:lang w:val="en-US"/>
        </w:rPr>
        <w:t>its</w:t>
      </w:r>
      <w:r w:rsidR="00536768">
        <w:rPr>
          <w:rFonts w:ascii="Arial" w:hAnsi="Arial" w:cs="Arial"/>
          <w:lang w:val="en-US"/>
        </w:rPr>
        <w:t xml:space="preserve"> appeal to the tax court </w:t>
      </w:r>
      <w:r w:rsidR="004368F7">
        <w:rPr>
          <w:rFonts w:ascii="Arial" w:hAnsi="Arial" w:cs="Arial"/>
          <w:lang w:val="en-US"/>
        </w:rPr>
        <w:t xml:space="preserve">it </w:t>
      </w:r>
      <w:r w:rsidR="00C54083">
        <w:rPr>
          <w:rFonts w:ascii="Arial" w:hAnsi="Arial" w:cs="Arial"/>
          <w:lang w:val="en-US"/>
        </w:rPr>
        <w:t xml:space="preserve">would </w:t>
      </w:r>
      <w:r w:rsidR="004368F7">
        <w:rPr>
          <w:rFonts w:ascii="Arial" w:hAnsi="Arial" w:cs="Arial"/>
          <w:lang w:val="en-US"/>
        </w:rPr>
        <w:t>not have involved an attack on a part (or amount) of the assessment to which objection had not previously been taken.</w:t>
      </w:r>
      <w:r w:rsidR="00287143">
        <w:rPr>
          <w:rStyle w:val="FootnoteReference"/>
          <w:rFonts w:ascii="Arial" w:hAnsi="Arial" w:cs="Arial"/>
          <w:lang w:val="en-US"/>
        </w:rPr>
        <w:footnoteReference w:id="39"/>
      </w:r>
      <w:r w:rsidR="004368F7">
        <w:rPr>
          <w:rFonts w:ascii="Arial" w:hAnsi="Arial" w:cs="Arial"/>
          <w:lang w:val="en-US"/>
        </w:rPr>
        <w:t xml:space="preserve"> </w:t>
      </w:r>
    </w:p>
    <w:p w14:paraId="69750B90" w14:textId="77777777" w:rsidR="006448A7" w:rsidRDefault="006448A7" w:rsidP="00197953">
      <w:pPr>
        <w:spacing w:line="480" w:lineRule="auto"/>
        <w:jc w:val="both"/>
        <w:rPr>
          <w:rFonts w:ascii="Arial" w:hAnsi="Arial" w:cs="Arial"/>
          <w:lang w:val="en-US"/>
        </w:rPr>
      </w:pPr>
    </w:p>
    <w:p w14:paraId="29992A3B" w14:textId="75D03672" w:rsidR="00C54083" w:rsidRDefault="006448A7" w:rsidP="00197953">
      <w:pPr>
        <w:spacing w:line="480" w:lineRule="auto"/>
        <w:jc w:val="both"/>
        <w:rPr>
          <w:rFonts w:ascii="Arial" w:hAnsi="Arial" w:cs="Arial"/>
          <w:lang w:val="en-US"/>
        </w:rPr>
      </w:pPr>
      <w:r>
        <w:rPr>
          <w:rFonts w:ascii="Arial" w:hAnsi="Arial" w:cs="Arial"/>
          <w:lang w:val="en-US"/>
        </w:rPr>
        <w:t>[116]</w:t>
      </w:r>
      <w:r>
        <w:rPr>
          <w:rFonts w:ascii="Arial" w:hAnsi="Arial" w:cs="Arial"/>
          <w:lang w:val="en-US"/>
        </w:rPr>
        <w:tab/>
        <w:t xml:space="preserve">From a conspectus of the available facts, as set out in the judgments of the SCA and the CC, it appears that </w:t>
      </w:r>
      <w:r w:rsidR="006D3C74">
        <w:rPr>
          <w:rFonts w:ascii="Arial" w:hAnsi="Arial" w:cs="Arial"/>
          <w:lang w:val="en-US"/>
        </w:rPr>
        <w:t xml:space="preserve">although </w:t>
      </w:r>
      <w:r>
        <w:rPr>
          <w:rFonts w:ascii="Arial" w:hAnsi="Arial" w:cs="Arial"/>
          <w:lang w:val="en-US"/>
        </w:rPr>
        <w:t xml:space="preserve">this was a matter where the objection which was lodged </w:t>
      </w:r>
      <w:r w:rsidR="006D3C74">
        <w:rPr>
          <w:rFonts w:ascii="Arial" w:hAnsi="Arial" w:cs="Arial"/>
          <w:lang w:val="en-US"/>
        </w:rPr>
        <w:t xml:space="preserve">was </w:t>
      </w:r>
      <w:r>
        <w:rPr>
          <w:rFonts w:ascii="Arial" w:hAnsi="Arial" w:cs="Arial"/>
          <w:lang w:val="en-US"/>
        </w:rPr>
        <w:t xml:space="preserve">against the ‘whole’ of the disallowed deduction which was claimed,  </w:t>
      </w:r>
      <w:r w:rsidR="006D3C74">
        <w:rPr>
          <w:rFonts w:ascii="Arial" w:hAnsi="Arial" w:cs="Arial"/>
          <w:lang w:val="en-US"/>
        </w:rPr>
        <w:t xml:space="preserve">it was </w:t>
      </w:r>
      <w:r>
        <w:rPr>
          <w:rFonts w:ascii="Arial" w:hAnsi="Arial" w:cs="Arial"/>
          <w:lang w:val="en-US"/>
        </w:rPr>
        <w:t xml:space="preserve">specific in relation to the part of, and the amount in, the disputed assessment </w:t>
      </w:r>
      <w:r w:rsidR="00DC0375">
        <w:rPr>
          <w:rFonts w:ascii="Arial" w:hAnsi="Arial" w:cs="Arial"/>
          <w:lang w:val="en-US"/>
        </w:rPr>
        <w:t xml:space="preserve">(as required by rule 7), </w:t>
      </w:r>
      <w:r w:rsidR="006D3C74">
        <w:rPr>
          <w:rFonts w:ascii="Arial" w:hAnsi="Arial" w:cs="Arial"/>
          <w:lang w:val="en-US"/>
        </w:rPr>
        <w:t xml:space="preserve">and </w:t>
      </w:r>
      <w:r>
        <w:rPr>
          <w:rFonts w:ascii="Arial" w:hAnsi="Arial" w:cs="Arial"/>
          <w:lang w:val="en-US"/>
        </w:rPr>
        <w:t>was</w:t>
      </w:r>
      <w:r w:rsidR="006D3C74">
        <w:rPr>
          <w:rFonts w:ascii="Arial" w:hAnsi="Arial" w:cs="Arial"/>
          <w:lang w:val="en-US"/>
        </w:rPr>
        <w:t xml:space="preserve"> clear and </w:t>
      </w:r>
      <w:r>
        <w:rPr>
          <w:rFonts w:ascii="Arial" w:hAnsi="Arial" w:cs="Arial"/>
          <w:lang w:val="en-US"/>
        </w:rPr>
        <w:t>sufficient in the way it was presented</w:t>
      </w:r>
      <w:r w:rsidR="006D3C74">
        <w:rPr>
          <w:rFonts w:ascii="Arial" w:hAnsi="Arial" w:cs="Arial"/>
          <w:lang w:val="en-US"/>
        </w:rPr>
        <w:t>:</w:t>
      </w:r>
      <w:r>
        <w:rPr>
          <w:rFonts w:ascii="Arial" w:hAnsi="Arial" w:cs="Arial"/>
          <w:lang w:val="en-US"/>
        </w:rPr>
        <w:t xml:space="preserve"> </w:t>
      </w:r>
      <w:r w:rsidR="00DC0375">
        <w:rPr>
          <w:rFonts w:ascii="Arial" w:hAnsi="Arial" w:cs="Arial"/>
          <w:lang w:val="en-US"/>
        </w:rPr>
        <w:t xml:space="preserve">first </w:t>
      </w:r>
      <w:r>
        <w:rPr>
          <w:rFonts w:ascii="Arial" w:hAnsi="Arial" w:cs="Arial"/>
          <w:lang w:val="en-US"/>
        </w:rPr>
        <w:t>on objection and then on appeal.</w:t>
      </w:r>
      <w:r w:rsidR="00DC0375">
        <w:rPr>
          <w:rFonts w:ascii="Arial" w:hAnsi="Arial" w:cs="Arial"/>
          <w:lang w:val="en-US"/>
        </w:rPr>
        <w:t xml:space="preserve"> In its presentation it made clear that what was being objected to was the disallowance, in its entirety, of its notional input tax deduction, as it </w:t>
      </w:r>
      <w:r w:rsidR="00274AAC">
        <w:rPr>
          <w:rFonts w:ascii="Arial" w:hAnsi="Arial" w:cs="Arial"/>
          <w:lang w:val="en-US"/>
        </w:rPr>
        <w:t xml:space="preserve">contended that it </w:t>
      </w:r>
      <w:r w:rsidR="00DC0375">
        <w:rPr>
          <w:rFonts w:ascii="Arial" w:hAnsi="Arial" w:cs="Arial"/>
          <w:lang w:val="en-US"/>
        </w:rPr>
        <w:t>was</w:t>
      </w:r>
      <w:r>
        <w:rPr>
          <w:rFonts w:ascii="Arial" w:hAnsi="Arial" w:cs="Arial"/>
          <w:lang w:val="en-US"/>
        </w:rPr>
        <w:t xml:space="preserve"> </w:t>
      </w:r>
      <w:r w:rsidR="00DC0375">
        <w:rPr>
          <w:rFonts w:ascii="Arial" w:hAnsi="Arial" w:cs="Arial"/>
          <w:lang w:val="en-US"/>
        </w:rPr>
        <w:t xml:space="preserve">a taxable supply, at least in part. </w:t>
      </w:r>
      <w:r w:rsidR="006D3C74">
        <w:rPr>
          <w:rFonts w:ascii="Arial" w:hAnsi="Arial" w:cs="Arial"/>
          <w:lang w:val="en-US"/>
        </w:rPr>
        <w:t xml:space="preserve">This argument was reiterated on appeal before the tax court. </w:t>
      </w:r>
      <w:r>
        <w:rPr>
          <w:rFonts w:ascii="Arial" w:hAnsi="Arial" w:cs="Arial"/>
          <w:lang w:val="en-US"/>
        </w:rPr>
        <w:t xml:space="preserve">This was </w:t>
      </w:r>
      <w:r w:rsidR="00274AAC">
        <w:rPr>
          <w:rFonts w:ascii="Arial" w:hAnsi="Arial" w:cs="Arial"/>
          <w:lang w:val="en-US"/>
        </w:rPr>
        <w:t xml:space="preserve">therefore </w:t>
      </w:r>
      <w:r>
        <w:rPr>
          <w:rFonts w:ascii="Arial" w:hAnsi="Arial" w:cs="Arial"/>
          <w:lang w:val="en-US"/>
        </w:rPr>
        <w:t>not an instance where the taxpayer sought to advance a new factual basis for the grounds of its appeal,</w:t>
      </w:r>
      <w:r w:rsidR="00274AAC">
        <w:rPr>
          <w:rFonts w:ascii="Arial" w:hAnsi="Arial" w:cs="Arial"/>
          <w:lang w:val="en-US"/>
        </w:rPr>
        <w:t xml:space="preserve"> </w:t>
      </w:r>
      <w:r w:rsidR="00A16AB3">
        <w:rPr>
          <w:rFonts w:ascii="Arial" w:hAnsi="Arial" w:cs="Arial"/>
          <w:lang w:val="en-US"/>
        </w:rPr>
        <w:t>other</w:t>
      </w:r>
      <w:r>
        <w:rPr>
          <w:rFonts w:ascii="Arial" w:hAnsi="Arial" w:cs="Arial"/>
          <w:lang w:val="en-US"/>
        </w:rPr>
        <w:t xml:space="preserve"> than the one it advanced on objection, nor did it in substance seek to raise a new objection when prosecuting its appeal in the tax court. It seems to us that, if the point had arisen in the proceedings before the tax court</w:t>
      </w:r>
      <w:r w:rsidR="00DC0375">
        <w:rPr>
          <w:rFonts w:ascii="Arial" w:hAnsi="Arial" w:cs="Arial"/>
          <w:lang w:val="en-US"/>
        </w:rPr>
        <w:t>,</w:t>
      </w:r>
      <w:r>
        <w:rPr>
          <w:rFonts w:ascii="Arial" w:hAnsi="Arial" w:cs="Arial"/>
          <w:lang w:val="en-US"/>
        </w:rPr>
        <w:t xml:space="preserve"> the riposte would have been that</w:t>
      </w:r>
      <w:r w:rsidR="00DF09E4">
        <w:rPr>
          <w:rFonts w:ascii="Arial" w:hAnsi="Arial" w:cs="Arial"/>
          <w:lang w:val="en-US"/>
        </w:rPr>
        <w:t xml:space="preserve"> the grounds of appeal were foreshadowed in</w:t>
      </w:r>
      <w:r w:rsidR="006D3C74">
        <w:rPr>
          <w:rFonts w:ascii="Arial" w:hAnsi="Arial" w:cs="Arial"/>
          <w:lang w:val="en-US"/>
        </w:rPr>
        <w:t>, and covered by,</w:t>
      </w:r>
      <w:r w:rsidR="00DF09E4">
        <w:rPr>
          <w:rFonts w:ascii="Arial" w:hAnsi="Arial" w:cs="Arial"/>
          <w:lang w:val="en-US"/>
        </w:rPr>
        <w:t xml:space="preserve"> the grounds of objection.</w:t>
      </w:r>
      <w:r>
        <w:rPr>
          <w:rFonts w:ascii="Arial" w:hAnsi="Arial" w:cs="Arial"/>
          <w:lang w:val="en-US"/>
        </w:rPr>
        <w:t xml:space="preserve">          </w:t>
      </w:r>
    </w:p>
    <w:p w14:paraId="3BCDA9C2" w14:textId="77777777" w:rsidR="00C54083" w:rsidRDefault="00C54083" w:rsidP="00197953">
      <w:pPr>
        <w:spacing w:line="480" w:lineRule="auto"/>
        <w:jc w:val="both"/>
        <w:rPr>
          <w:rFonts w:ascii="Arial" w:hAnsi="Arial" w:cs="Arial"/>
          <w:lang w:val="en-US"/>
        </w:rPr>
      </w:pPr>
    </w:p>
    <w:p w14:paraId="63CFA302" w14:textId="4ADD2703" w:rsidR="00C54083" w:rsidRDefault="00C54083" w:rsidP="00197953">
      <w:pPr>
        <w:spacing w:line="480" w:lineRule="auto"/>
        <w:jc w:val="both"/>
        <w:rPr>
          <w:rFonts w:ascii="Arial" w:hAnsi="Arial" w:cs="Arial"/>
          <w:lang w:val="en-US"/>
        </w:rPr>
      </w:pPr>
      <w:r>
        <w:rPr>
          <w:rFonts w:ascii="Arial" w:hAnsi="Arial" w:cs="Arial"/>
          <w:lang w:val="en-US"/>
        </w:rPr>
        <w:t>[11</w:t>
      </w:r>
      <w:r w:rsidR="0096496E">
        <w:rPr>
          <w:rFonts w:ascii="Arial" w:hAnsi="Arial" w:cs="Arial"/>
          <w:lang w:val="en-US"/>
        </w:rPr>
        <w:t>7</w:t>
      </w:r>
      <w:r>
        <w:rPr>
          <w:rFonts w:ascii="Arial" w:hAnsi="Arial" w:cs="Arial"/>
          <w:lang w:val="en-US"/>
        </w:rPr>
        <w:t>]</w:t>
      </w:r>
      <w:r>
        <w:rPr>
          <w:rFonts w:ascii="Arial" w:hAnsi="Arial" w:cs="Arial"/>
          <w:lang w:val="en-US"/>
        </w:rPr>
        <w:tab/>
      </w:r>
      <w:r w:rsidR="00A16AB3">
        <w:rPr>
          <w:rFonts w:ascii="Arial" w:hAnsi="Arial" w:cs="Arial"/>
          <w:lang w:val="en-US"/>
        </w:rPr>
        <w:t>In any event, t</w:t>
      </w:r>
      <w:r>
        <w:rPr>
          <w:rFonts w:ascii="Arial" w:hAnsi="Arial" w:cs="Arial"/>
          <w:lang w:val="en-US"/>
        </w:rPr>
        <w:t xml:space="preserve">he </w:t>
      </w:r>
      <w:r w:rsidR="004368F7">
        <w:rPr>
          <w:rFonts w:ascii="Arial" w:hAnsi="Arial" w:cs="Arial"/>
          <w:lang w:val="en-US"/>
        </w:rPr>
        <w:t>CC held</w:t>
      </w:r>
      <w:r>
        <w:rPr>
          <w:rFonts w:ascii="Arial" w:hAnsi="Arial" w:cs="Arial"/>
          <w:lang w:val="en-US"/>
        </w:rPr>
        <w:t xml:space="preserve"> that</w:t>
      </w:r>
      <w:r w:rsidR="00287143">
        <w:rPr>
          <w:rFonts w:ascii="Arial" w:hAnsi="Arial" w:cs="Arial"/>
          <w:lang w:val="en-US"/>
        </w:rPr>
        <w:t xml:space="preserve"> </w:t>
      </w:r>
      <w:r>
        <w:rPr>
          <w:rFonts w:ascii="Arial" w:hAnsi="Arial" w:cs="Arial"/>
          <w:lang w:val="en-US"/>
        </w:rPr>
        <w:t>it was not prec</w:t>
      </w:r>
      <w:r w:rsidR="004368F7">
        <w:rPr>
          <w:rFonts w:ascii="Arial" w:hAnsi="Arial" w:cs="Arial"/>
          <w:lang w:val="en-US"/>
        </w:rPr>
        <w:t xml:space="preserve">luded as a </w:t>
      </w:r>
      <w:r>
        <w:rPr>
          <w:rFonts w:ascii="Arial" w:hAnsi="Arial" w:cs="Arial"/>
          <w:lang w:val="en-US"/>
        </w:rPr>
        <w:t>C</w:t>
      </w:r>
      <w:r w:rsidR="004368F7">
        <w:rPr>
          <w:rFonts w:ascii="Arial" w:hAnsi="Arial" w:cs="Arial"/>
          <w:lang w:val="en-US"/>
        </w:rPr>
        <w:t xml:space="preserve">ourt, from directing that an apportionment should be made. Although this was not </w:t>
      </w:r>
      <w:r>
        <w:rPr>
          <w:rFonts w:ascii="Arial" w:hAnsi="Arial" w:cs="Arial"/>
          <w:lang w:val="en-US"/>
        </w:rPr>
        <w:t xml:space="preserve">specifically </w:t>
      </w:r>
      <w:r w:rsidR="004368F7">
        <w:rPr>
          <w:rFonts w:ascii="Arial" w:hAnsi="Arial" w:cs="Arial"/>
          <w:lang w:val="en-US"/>
        </w:rPr>
        <w:t xml:space="preserve">provided for in terms of the </w:t>
      </w:r>
      <w:r>
        <w:rPr>
          <w:rFonts w:ascii="Arial" w:hAnsi="Arial" w:cs="Arial"/>
          <w:lang w:val="en-US"/>
        </w:rPr>
        <w:t>A</w:t>
      </w:r>
      <w:r w:rsidR="004368F7">
        <w:rPr>
          <w:rFonts w:ascii="Arial" w:hAnsi="Arial" w:cs="Arial"/>
          <w:lang w:val="en-US"/>
        </w:rPr>
        <w:t xml:space="preserve">ct there was </w:t>
      </w:r>
      <w:r w:rsidR="00133CA4">
        <w:rPr>
          <w:rFonts w:ascii="Arial" w:hAnsi="Arial" w:cs="Arial"/>
          <w:lang w:val="en-US"/>
        </w:rPr>
        <w:t xml:space="preserve">well-established </w:t>
      </w:r>
      <w:r w:rsidR="004368F7">
        <w:rPr>
          <w:rFonts w:ascii="Arial" w:hAnsi="Arial" w:cs="Arial"/>
          <w:lang w:val="en-US"/>
        </w:rPr>
        <w:t>preceden</w:t>
      </w:r>
      <w:r>
        <w:rPr>
          <w:rFonts w:ascii="Arial" w:hAnsi="Arial" w:cs="Arial"/>
          <w:lang w:val="en-US"/>
        </w:rPr>
        <w:t>ce</w:t>
      </w:r>
      <w:r w:rsidR="004368F7">
        <w:rPr>
          <w:rFonts w:ascii="Arial" w:hAnsi="Arial" w:cs="Arial"/>
          <w:lang w:val="en-US"/>
        </w:rPr>
        <w:t xml:space="preserve"> for this in </w:t>
      </w:r>
      <w:r w:rsidR="002C4C13">
        <w:rPr>
          <w:rFonts w:ascii="Arial" w:hAnsi="Arial" w:cs="Arial"/>
          <w:lang w:val="en-US"/>
        </w:rPr>
        <w:t>tax</w:t>
      </w:r>
      <w:r w:rsidR="004368F7">
        <w:rPr>
          <w:rFonts w:ascii="Arial" w:hAnsi="Arial" w:cs="Arial"/>
          <w:lang w:val="en-US"/>
        </w:rPr>
        <w:t xml:space="preserve"> case law</w:t>
      </w:r>
      <w:r>
        <w:rPr>
          <w:rFonts w:ascii="Arial" w:hAnsi="Arial" w:cs="Arial"/>
          <w:lang w:val="en-US"/>
        </w:rPr>
        <w:t>,</w:t>
      </w:r>
      <w:r w:rsidR="00133CA4">
        <w:rPr>
          <w:rStyle w:val="FootnoteReference"/>
          <w:rFonts w:ascii="Arial" w:hAnsi="Arial" w:cs="Arial"/>
          <w:lang w:val="en-US"/>
        </w:rPr>
        <w:footnoteReference w:id="40"/>
      </w:r>
      <w:r>
        <w:rPr>
          <w:rFonts w:ascii="Arial" w:hAnsi="Arial" w:cs="Arial"/>
          <w:lang w:val="en-US"/>
        </w:rPr>
        <w:t xml:space="preserve"> and</w:t>
      </w:r>
      <w:r w:rsidR="004368F7">
        <w:rPr>
          <w:rFonts w:ascii="Arial" w:hAnsi="Arial" w:cs="Arial"/>
          <w:lang w:val="en-US"/>
        </w:rPr>
        <w:t xml:space="preserve"> s 72(</w:t>
      </w:r>
      <w:r>
        <w:rPr>
          <w:rFonts w:ascii="Arial" w:hAnsi="Arial" w:cs="Arial"/>
          <w:lang w:val="en-US"/>
        </w:rPr>
        <w:t>1</w:t>
      </w:r>
      <w:r w:rsidR="004368F7">
        <w:rPr>
          <w:rFonts w:ascii="Arial" w:hAnsi="Arial" w:cs="Arial"/>
          <w:lang w:val="en-US"/>
        </w:rPr>
        <w:t>)</w:t>
      </w:r>
      <w:r>
        <w:rPr>
          <w:rFonts w:ascii="Arial" w:hAnsi="Arial" w:cs="Arial"/>
          <w:lang w:val="en-US"/>
        </w:rPr>
        <w:t>(a) and (b)</w:t>
      </w:r>
      <w:r w:rsidR="004368F7">
        <w:rPr>
          <w:rFonts w:ascii="Arial" w:hAnsi="Arial" w:cs="Arial"/>
          <w:lang w:val="en-US"/>
        </w:rPr>
        <w:t xml:space="preserve"> of the </w:t>
      </w:r>
      <w:r w:rsidR="00133CA4">
        <w:rPr>
          <w:rFonts w:ascii="Arial" w:hAnsi="Arial" w:cs="Arial"/>
          <w:lang w:val="en-US"/>
        </w:rPr>
        <w:t xml:space="preserve">VAT </w:t>
      </w:r>
      <w:r>
        <w:rPr>
          <w:rFonts w:ascii="Arial" w:hAnsi="Arial" w:cs="Arial"/>
          <w:lang w:val="en-US"/>
        </w:rPr>
        <w:t>A</w:t>
      </w:r>
      <w:r w:rsidR="004368F7">
        <w:rPr>
          <w:rFonts w:ascii="Arial" w:hAnsi="Arial" w:cs="Arial"/>
          <w:lang w:val="en-US"/>
        </w:rPr>
        <w:t xml:space="preserve">ct allowed the Commissioner to make a decision </w:t>
      </w:r>
      <w:r>
        <w:rPr>
          <w:rFonts w:ascii="Arial" w:hAnsi="Arial" w:cs="Arial"/>
          <w:lang w:val="en-US"/>
        </w:rPr>
        <w:t>as to th</w:t>
      </w:r>
      <w:r w:rsidR="004368F7">
        <w:rPr>
          <w:rFonts w:ascii="Arial" w:hAnsi="Arial" w:cs="Arial"/>
          <w:lang w:val="en-US"/>
        </w:rPr>
        <w:t xml:space="preserve">e manner in which </w:t>
      </w:r>
      <w:r>
        <w:rPr>
          <w:rFonts w:ascii="Arial" w:hAnsi="Arial" w:cs="Arial"/>
          <w:lang w:val="en-US"/>
        </w:rPr>
        <w:t xml:space="preserve">the </w:t>
      </w:r>
      <w:r w:rsidR="004368F7">
        <w:rPr>
          <w:rFonts w:ascii="Arial" w:hAnsi="Arial" w:cs="Arial"/>
          <w:lang w:val="en-US"/>
        </w:rPr>
        <w:t xml:space="preserve">provisions of the </w:t>
      </w:r>
      <w:r>
        <w:rPr>
          <w:rFonts w:ascii="Arial" w:hAnsi="Arial" w:cs="Arial"/>
          <w:lang w:val="en-US"/>
        </w:rPr>
        <w:t>A</w:t>
      </w:r>
      <w:r w:rsidR="004368F7">
        <w:rPr>
          <w:rFonts w:ascii="Arial" w:hAnsi="Arial" w:cs="Arial"/>
          <w:lang w:val="en-US"/>
        </w:rPr>
        <w:t xml:space="preserve">ct </w:t>
      </w:r>
      <w:r>
        <w:rPr>
          <w:rFonts w:ascii="Arial" w:hAnsi="Arial" w:cs="Arial"/>
          <w:lang w:val="en-US"/>
        </w:rPr>
        <w:t>sh</w:t>
      </w:r>
      <w:r w:rsidR="004368F7">
        <w:rPr>
          <w:rFonts w:ascii="Arial" w:hAnsi="Arial" w:cs="Arial"/>
          <w:lang w:val="en-US"/>
        </w:rPr>
        <w:t>ould be applied</w:t>
      </w:r>
      <w:r>
        <w:rPr>
          <w:rFonts w:ascii="Arial" w:hAnsi="Arial" w:cs="Arial"/>
          <w:lang w:val="en-US"/>
        </w:rPr>
        <w:t xml:space="preserve"> and</w:t>
      </w:r>
      <w:r w:rsidR="004368F7">
        <w:rPr>
          <w:rFonts w:ascii="Arial" w:hAnsi="Arial" w:cs="Arial"/>
          <w:lang w:val="en-US"/>
        </w:rPr>
        <w:t xml:space="preserve"> </w:t>
      </w:r>
      <w:r w:rsidR="00AF6802">
        <w:rPr>
          <w:rFonts w:ascii="Arial" w:hAnsi="Arial" w:cs="Arial"/>
          <w:lang w:val="en-US"/>
        </w:rPr>
        <w:t>how</w:t>
      </w:r>
      <w:r w:rsidR="004368F7">
        <w:rPr>
          <w:rFonts w:ascii="Arial" w:hAnsi="Arial" w:cs="Arial"/>
          <w:lang w:val="en-US"/>
        </w:rPr>
        <w:t xml:space="preserve"> the payment of VAT </w:t>
      </w:r>
      <w:r w:rsidR="00AF6802">
        <w:rPr>
          <w:rFonts w:ascii="Arial" w:hAnsi="Arial" w:cs="Arial"/>
          <w:lang w:val="en-US"/>
        </w:rPr>
        <w:t xml:space="preserve">should be calculated, </w:t>
      </w:r>
      <w:r w:rsidR="004368F7">
        <w:rPr>
          <w:rFonts w:ascii="Arial" w:hAnsi="Arial" w:cs="Arial"/>
          <w:lang w:val="en-US"/>
        </w:rPr>
        <w:t>where ‘difficulties, anomalies or incongruities’ ar</w:t>
      </w:r>
      <w:r>
        <w:rPr>
          <w:rFonts w:ascii="Arial" w:hAnsi="Arial" w:cs="Arial"/>
          <w:lang w:val="en-US"/>
        </w:rPr>
        <w:t>o</w:t>
      </w:r>
      <w:r w:rsidR="004368F7">
        <w:rPr>
          <w:rFonts w:ascii="Arial" w:hAnsi="Arial" w:cs="Arial"/>
          <w:lang w:val="en-US"/>
        </w:rPr>
        <w:t xml:space="preserve">se in regard to </w:t>
      </w:r>
      <w:r>
        <w:rPr>
          <w:rFonts w:ascii="Arial" w:hAnsi="Arial" w:cs="Arial"/>
          <w:lang w:val="en-US"/>
        </w:rPr>
        <w:t>the</w:t>
      </w:r>
      <w:r w:rsidR="004368F7">
        <w:rPr>
          <w:rFonts w:ascii="Arial" w:hAnsi="Arial" w:cs="Arial"/>
          <w:lang w:val="en-US"/>
        </w:rPr>
        <w:t xml:space="preserve"> manner </w:t>
      </w:r>
      <w:r>
        <w:rPr>
          <w:rFonts w:ascii="Arial" w:hAnsi="Arial" w:cs="Arial"/>
          <w:lang w:val="en-US"/>
        </w:rPr>
        <w:t>in which a</w:t>
      </w:r>
      <w:r w:rsidR="004368F7">
        <w:rPr>
          <w:rFonts w:ascii="Arial" w:hAnsi="Arial" w:cs="Arial"/>
          <w:lang w:val="en-US"/>
        </w:rPr>
        <w:t xml:space="preserve"> vendor</w:t>
      </w:r>
      <w:r>
        <w:rPr>
          <w:rFonts w:ascii="Arial" w:hAnsi="Arial" w:cs="Arial"/>
          <w:lang w:val="en-US"/>
        </w:rPr>
        <w:t xml:space="preserve"> (or </w:t>
      </w:r>
      <w:r w:rsidR="004368F7">
        <w:rPr>
          <w:rFonts w:ascii="Arial" w:hAnsi="Arial" w:cs="Arial"/>
          <w:lang w:val="en-US"/>
        </w:rPr>
        <w:t xml:space="preserve">class </w:t>
      </w:r>
      <w:r>
        <w:rPr>
          <w:rFonts w:ascii="Arial" w:hAnsi="Arial" w:cs="Arial"/>
          <w:lang w:val="en-US"/>
        </w:rPr>
        <w:t>of vendors)</w:t>
      </w:r>
      <w:r w:rsidR="003D67A0">
        <w:rPr>
          <w:rFonts w:ascii="Arial" w:hAnsi="Arial" w:cs="Arial"/>
          <w:lang w:val="en-US"/>
        </w:rPr>
        <w:t xml:space="preserve"> conducted their business, trade or occupation.</w:t>
      </w:r>
    </w:p>
    <w:p w14:paraId="2E29B8F4" w14:textId="77777777" w:rsidR="00C54083" w:rsidRDefault="00C54083" w:rsidP="00197953">
      <w:pPr>
        <w:spacing w:line="480" w:lineRule="auto"/>
        <w:jc w:val="both"/>
        <w:rPr>
          <w:rFonts w:ascii="Arial" w:hAnsi="Arial" w:cs="Arial"/>
          <w:lang w:val="en-US"/>
        </w:rPr>
      </w:pPr>
    </w:p>
    <w:p w14:paraId="5EF399BF" w14:textId="1150D964" w:rsidR="007955B1" w:rsidRDefault="00C54083" w:rsidP="00197953">
      <w:pPr>
        <w:spacing w:line="480" w:lineRule="auto"/>
        <w:jc w:val="both"/>
        <w:rPr>
          <w:rFonts w:ascii="Arial" w:hAnsi="Arial" w:cs="Arial"/>
          <w:lang w:val="en-US"/>
        </w:rPr>
      </w:pPr>
      <w:r>
        <w:rPr>
          <w:rFonts w:ascii="Arial" w:hAnsi="Arial" w:cs="Arial"/>
          <w:lang w:val="en-US"/>
        </w:rPr>
        <w:t>[11</w:t>
      </w:r>
      <w:r w:rsidR="0096496E">
        <w:rPr>
          <w:rFonts w:ascii="Arial" w:hAnsi="Arial" w:cs="Arial"/>
          <w:lang w:val="en-US"/>
        </w:rPr>
        <w:t>8</w:t>
      </w:r>
      <w:r>
        <w:rPr>
          <w:rFonts w:ascii="Arial" w:hAnsi="Arial" w:cs="Arial"/>
          <w:lang w:val="en-US"/>
        </w:rPr>
        <w:t>]</w:t>
      </w:r>
      <w:r>
        <w:rPr>
          <w:rFonts w:ascii="Arial" w:hAnsi="Arial" w:cs="Arial"/>
          <w:lang w:val="en-US"/>
        </w:rPr>
        <w:tab/>
      </w:r>
      <w:r w:rsidR="003D67A0">
        <w:rPr>
          <w:rFonts w:ascii="Arial" w:hAnsi="Arial" w:cs="Arial"/>
          <w:lang w:val="en-US"/>
        </w:rPr>
        <w:t xml:space="preserve"> The </w:t>
      </w:r>
      <w:r>
        <w:rPr>
          <w:rFonts w:ascii="Arial" w:hAnsi="Arial" w:cs="Arial"/>
          <w:lang w:val="en-US"/>
        </w:rPr>
        <w:t>C</w:t>
      </w:r>
      <w:r w:rsidR="00133CA4">
        <w:rPr>
          <w:rFonts w:ascii="Arial" w:hAnsi="Arial" w:cs="Arial"/>
          <w:lang w:val="en-US"/>
        </w:rPr>
        <w:t>C</w:t>
      </w:r>
      <w:r w:rsidR="003D67A0">
        <w:rPr>
          <w:rFonts w:ascii="Arial" w:hAnsi="Arial" w:cs="Arial"/>
          <w:lang w:val="en-US"/>
        </w:rPr>
        <w:t xml:space="preserve"> held that as </w:t>
      </w:r>
      <w:r w:rsidR="00AF6802">
        <w:rPr>
          <w:rFonts w:ascii="Arial" w:hAnsi="Arial" w:cs="Arial"/>
          <w:lang w:val="en-US"/>
        </w:rPr>
        <w:t>SARS was an</w:t>
      </w:r>
      <w:r w:rsidR="003D67A0">
        <w:rPr>
          <w:rFonts w:ascii="Arial" w:hAnsi="Arial" w:cs="Arial"/>
          <w:lang w:val="en-US"/>
        </w:rPr>
        <w:t xml:space="preserve"> organ of state </w:t>
      </w:r>
      <w:r w:rsidR="00AF6802">
        <w:rPr>
          <w:rFonts w:ascii="Arial" w:hAnsi="Arial" w:cs="Arial"/>
          <w:lang w:val="en-US"/>
        </w:rPr>
        <w:t xml:space="preserve">which was </w:t>
      </w:r>
      <w:r w:rsidR="003D67A0">
        <w:rPr>
          <w:rFonts w:ascii="Arial" w:hAnsi="Arial" w:cs="Arial"/>
          <w:lang w:val="en-US"/>
        </w:rPr>
        <w:t xml:space="preserve">subject to the </w:t>
      </w:r>
      <w:r w:rsidR="00AF6802">
        <w:rPr>
          <w:rFonts w:ascii="Arial" w:hAnsi="Arial" w:cs="Arial"/>
          <w:lang w:val="en-US"/>
        </w:rPr>
        <w:t>C</w:t>
      </w:r>
      <w:r w:rsidR="003D67A0">
        <w:rPr>
          <w:rFonts w:ascii="Arial" w:hAnsi="Arial" w:cs="Arial"/>
          <w:lang w:val="en-US"/>
        </w:rPr>
        <w:t>onstitution it could not seek to exact t</w:t>
      </w:r>
      <w:r w:rsidR="00133CA4">
        <w:rPr>
          <w:rFonts w:ascii="Arial" w:hAnsi="Arial" w:cs="Arial"/>
          <w:lang w:val="en-US"/>
        </w:rPr>
        <w:t>ax</w:t>
      </w:r>
      <w:r w:rsidR="003D67A0">
        <w:rPr>
          <w:rFonts w:ascii="Arial" w:hAnsi="Arial" w:cs="Arial"/>
          <w:lang w:val="en-US"/>
        </w:rPr>
        <w:t xml:space="preserve"> which was not due and payable to it</w:t>
      </w:r>
      <w:r w:rsidR="00536768">
        <w:rPr>
          <w:rFonts w:ascii="Arial" w:hAnsi="Arial" w:cs="Arial"/>
          <w:lang w:val="en-US"/>
        </w:rPr>
        <w:t>,</w:t>
      </w:r>
      <w:r w:rsidR="003D67A0">
        <w:rPr>
          <w:rFonts w:ascii="Arial" w:hAnsi="Arial" w:cs="Arial"/>
          <w:lang w:val="en-US"/>
        </w:rPr>
        <w:t xml:space="preserve"> </w:t>
      </w:r>
      <w:r w:rsidR="007955B1">
        <w:rPr>
          <w:rFonts w:ascii="Arial" w:hAnsi="Arial" w:cs="Arial"/>
          <w:lang w:val="en-US"/>
        </w:rPr>
        <w:t>and</w:t>
      </w:r>
      <w:r w:rsidR="003D67A0">
        <w:rPr>
          <w:rFonts w:ascii="Arial" w:hAnsi="Arial" w:cs="Arial"/>
          <w:lang w:val="en-US"/>
        </w:rPr>
        <w:t xml:space="preserve"> Capitec should accordingly not be </w:t>
      </w:r>
      <w:r w:rsidR="00A623CA">
        <w:rPr>
          <w:rFonts w:ascii="Arial" w:hAnsi="Arial" w:cs="Arial"/>
          <w:lang w:val="en-US"/>
        </w:rPr>
        <w:t>penalized</w:t>
      </w:r>
      <w:r w:rsidR="003D67A0">
        <w:rPr>
          <w:rFonts w:ascii="Arial" w:hAnsi="Arial" w:cs="Arial"/>
          <w:lang w:val="en-US"/>
        </w:rPr>
        <w:t xml:space="preserve"> for its failure to </w:t>
      </w:r>
      <w:r w:rsidR="00536768">
        <w:rPr>
          <w:rFonts w:ascii="Arial" w:hAnsi="Arial" w:cs="Arial"/>
          <w:lang w:val="en-US"/>
        </w:rPr>
        <w:t xml:space="preserve">have </w:t>
      </w:r>
      <w:r w:rsidR="003D67A0">
        <w:rPr>
          <w:rFonts w:ascii="Arial" w:hAnsi="Arial" w:cs="Arial"/>
          <w:lang w:val="en-US"/>
        </w:rPr>
        <w:t>plead</w:t>
      </w:r>
      <w:r w:rsidR="00536768">
        <w:rPr>
          <w:rFonts w:ascii="Arial" w:hAnsi="Arial" w:cs="Arial"/>
          <w:lang w:val="en-US"/>
        </w:rPr>
        <w:t>ed</w:t>
      </w:r>
      <w:r w:rsidR="003D67A0">
        <w:rPr>
          <w:rFonts w:ascii="Arial" w:hAnsi="Arial" w:cs="Arial"/>
          <w:lang w:val="en-US"/>
        </w:rPr>
        <w:t xml:space="preserve"> </w:t>
      </w:r>
      <w:r w:rsidR="007955B1">
        <w:rPr>
          <w:rFonts w:ascii="Arial" w:hAnsi="Arial" w:cs="Arial"/>
          <w:lang w:val="en-US"/>
        </w:rPr>
        <w:t>an</w:t>
      </w:r>
      <w:r w:rsidR="003D67A0">
        <w:rPr>
          <w:rFonts w:ascii="Arial" w:hAnsi="Arial" w:cs="Arial"/>
          <w:lang w:val="en-US"/>
        </w:rPr>
        <w:t xml:space="preserve"> alternative objection of apportionment.</w:t>
      </w:r>
      <w:r w:rsidR="00133CA4">
        <w:rPr>
          <w:rStyle w:val="FootnoteReference"/>
          <w:rFonts w:ascii="Arial" w:hAnsi="Arial" w:cs="Arial"/>
          <w:lang w:val="en-US"/>
        </w:rPr>
        <w:footnoteReference w:id="41"/>
      </w:r>
      <w:r w:rsidR="003D67A0">
        <w:rPr>
          <w:rFonts w:ascii="Arial" w:hAnsi="Arial" w:cs="Arial"/>
          <w:lang w:val="en-US"/>
        </w:rPr>
        <w:t xml:space="preserve"> </w:t>
      </w:r>
    </w:p>
    <w:p w14:paraId="2F3D42C2" w14:textId="77777777" w:rsidR="007955B1" w:rsidRDefault="007955B1" w:rsidP="00197953">
      <w:pPr>
        <w:spacing w:line="480" w:lineRule="auto"/>
        <w:jc w:val="both"/>
        <w:rPr>
          <w:rFonts w:ascii="Arial" w:hAnsi="Arial" w:cs="Arial"/>
          <w:lang w:val="en-US"/>
        </w:rPr>
      </w:pPr>
    </w:p>
    <w:p w14:paraId="0AD7105A" w14:textId="64C2CFA9" w:rsidR="00627290" w:rsidRDefault="007955B1" w:rsidP="00197953">
      <w:pPr>
        <w:spacing w:line="480" w:lineRule="auto"/>
        <w:jc w:val="both"/>
        <w:rPr>
          <w:rFonts w:ascii="Arial" w:hAnsi="Arial" w:cs="Arial"/>
          <w:lang w:val="en-US"/>
        </w:rPr>
      </w:pPr>
      <w:r>
        <w:rPr>
          <w:rFonts w:ascii="Arial" w:hAnsi="Arial" w:cs="Arial"/>
          <w:lang w:val="en-US"/>
        </w:rPr>
        <w:t>[11</w:t>
      </w:r>
      <w:r w:rsidR="0096496E">
        <w:rPr>
          <w:rFonts w:ascii="Arial" w:hAnsi="Arial" w:cs="Arial"/>
          <w:lang w:val="en-US"/>
        </w:rPr>
        <w:t>9</w:t>
      </w:r>
      <w:r>
        <w:rPr>
          <w:rFonts w:ascii="Arial" w:hAnsi="Arial" w:cs="Arial"/>
          <w:lang w:val="en-US"/>
        </w:rPr>
        <w:t>]</w:t>
      </w:r>
      <w:r>
        <w:rPr>
          <w:rFonts w:ascii="Arial" w:hAnsi="Arial" w:cs="Arial"/>
          <w:lang w:val="en-US"/>
        </w:rPr>
        <w:tab/>
      </w:r>
      <w:r w:rsidR="003D67A0">
        <w:rPr>
          <w:rFonts w:ascii="Arial" w:hAnsi="Arial" w:cs="Arial"/>
          <w:lang w:val="en-US"/>
        </w:rPr>
        <w:t>In its supplementary submissions the appellant now cont</w:t>
      </w:r>
      <w:r>
        <w:rPr>
          <w:rFonts w:ascii="Arial" w:hAnsi="Arial" w:cs="Arial"/>
          <w:lang w:val="en-US"/>
        </w:rPr>
        <w:t>ends</w:t>
      </w:r>
      <w:r w:rsidR="003D67A0">
        <w:rPr>
          <w:rFonts w:ascii="Arial" w:hAnsi="Arial" w:cs="Arial"/>
          <w:lang w:val="en-US"/>
        </w:rPr>
        <w:t xml:space="preserve"> that the ‘practical effect’ of the </w:t>
      </w:r>
      <w:r>
        <w:rPr>
          <w:rFonts w:ascii="Arial" w:hAnsi="Arial" w:cs="Arial"/>
          <w:lang w:val="en-US"/>
        </w:rPr>
        <w:t>CC’s</w:t>
      </w:r>
      <w:r w:rsidR="003D67A0">
        <w:rPr>
          <w:rFonts w:ascii="Arial" w:hAnsi="Arial" w:cs="Arial"/>
          <w:lang w:val="en-US"/>
        </w:rPr>
        <w:t xml:space="preserve"> ruling is that an amendment to a</w:t>
      </w:r>
      <w:r w:rsidR="009C2F42">
        <w:rPr>
          <w:rFonts w:ascii="Arial" w:hAnsi="Arial" w:cs="Arial"/>
          <w:lang w:val="en-US"/>
        </w:rPr>
        <w:t>n appellant’s</w:t>
      </w:r>
      <w:r w:rsidR="003D67A0">
        <w:rPr>
          <w:rFonts w:ascii="Arial" w:hAnsi="Arial" w:cs="Arial"/>
          <w:lang w:val="en-US"/>
        </w:rPr>
        <w:t xml:space="preserve"> rule 32(3) statement should be permitted w</w:t>
      </w:r>
      <w:r w:rsidR="006F0F39">
        <w:rPr>
          <w:rFonts w:ascii="Arial" w:hAnsi="Arial" w:cs="Arial"/>
          <w:lang w:val="en-US"/>
        </w:rPr>
        <w:t>here</w:t>
      </w:r>
      <w:r w:rsidR="003D67A0">
        <w:rPr>
          <w:rFonts w:ascii="Arial" w:hAnsi="Arial" w:cs="Arial"/>
          <w:lang w:val="en-US"/>
        </w:rPr>
        <w:t xml:space="preserve"> there is a danger that SARS might exact t</w:t>
      </w:r>
      <w:r w:rsidR="006F0F39">
        <w:rPr>
          <w:rFonts w:ascii="Arial" w:hAnsi="Arial" w:cs="Arial"/>
          <w:lang w:val="en-US"/>
        </w:rPr>
        <w:t>ax</w:t>
      </w:r>
      <w:r w:rsidR="003D67A0">
        <w:rPr>
          <w:rFonts w:ascii="Arial" w:hAnsi="Arial" w:cs="Arial"/>
          <w:lang w:val="en-US"/>
        </w:rPr>
        <w:t xml:space="preserve"> which is not due and payable to it, w</w:t>
      </w:r>
      <w:r w:rsidR="006F0F39">
        <w:rPr>
          <w:rFonts w:ascii="Arial" w:hAnsi="Arial" w:cs="Arial"/>
          <w:lang w:val="en-US"/>
        </w:rPr>
        <w:t>ere</w:t>
      </w:r>
      <w:r w:rsidR="003D67A0">
        <w:rPr>
          <w:rFonts w:ascii="Arial" w:hAnsi="Arial" w:cs="Arial"/>
          <w:lang w:val="en-US"/>
        </w:rPr>
        <w:t xml:space="preserve"> the amendment not to be allowed. Aside from the </w:t>
      </w:r>
      <w:r w:rsidR="002C4C13">
        <w:rPr>
          <w:rFonts w:ascii="Arial" w:hAnsi="Arial" w:cs="Arial"/>
          <w:lang w:val="en-US"/>
        </w:rPr>
        <w:t xml:space="preserve">cynical </w:t>
      </w:r>
      <w:r w:rsidR="003D67A0">
        <w:rPr>
          <w:rFonts w:ascii="Arial" w:hAnsi="Arial" w:cs="Arial"/>
          <w:lang w:val="en-US"/>
        </w:rPr>
        <w:t>opportunism inherent in th</w:t>
      </w:r>
      <w:r w:rsidR="00C52A72">
        <w:rPr>
          <w:rFonts w:ascii="Arial" w:hAnsi="Arial" w:cs="Arial"/>
          <w:lang w:val="en-US"/>
        </w:rPr>
        <w:t>e</w:t>
      </w:r>
      <w:r w:rsidR="003D67A0">
        <w:rPr>
          <w:rFonts w:ascii="Arial" w:hAnsi="Arial" w:cs="Arial"/>
          <w:lang w:val="en-US"/>
        </w:rPr>
        <w:t xml:space="preserve"> submission</w:t>
      </w:r>
      <w:r w:rsidR="002C4C13">
        <w:rPr>
          <w:rFonts w:ascii="Arial" w:hAnsi="Arial" w:cs="Arial"/>
          <w:lang w:val="en-US"/>
        </w:rPr>
        <w:t xml:space="preserve"> </w:t>
      </w:r>
      <w:r w:rsidR="003D67A0">
        <w:rPr>
          <w:rFonts w:ascii="Arial" w:hAnsi="Arial" w:cs="Arial"/>
          <w:lang w:val="en-US"/>
        </w:rPr>
        <w:t xml:space="preserve">it is an obvious fact that </w:t>
      </w:r>
      <w:r w:rsidR="006F0F39">
        <w:rPr>
          <w:rFonts w:ascii="Arial" w:hAnsi="Arial" w:cs="Arial"/>
          <w:lang w:val="en-US"/>
        </w:rPr>
        <w:t>a</w:t>
      </w:r>
      <w:r w:rsidR="003D67A0">
        <w:rPr>
          <w:rFonts w:ascii="Arial" w:hAnsi="Arial" w:cs="Arial"/>
          <w:lang w:val="en-US"/>
        </w:rPr>
        <w:t xml:space="preserve"> </w:t>
      </w:r>
      <w:r w:rsidR="006F0F39">
        <w:rPr>
          <w:rFonts w:ascii="Arial" w:hAnsi="Arial" w:cs="Arial"/>
          <w:lang w:val="en-US"/>
        </w:rPr>
        <w:t>C</w:t>
      </w:r>
      <w:r w:rsidR="003D67A0">
        <w:rPr>
          <w:rFonts w:ascii="Arial" w:hAnsi="Arial" w:cs="Arial"/>
          <w:lang w:val="en-US"/>
        </w:rPr>
        <w:t>ourt will not</w:t>
      </w:r>
      <w:r w:rsidR="006F0F39">
        <w:rPr>
          <w:rFonts w:ascii="Arial" w:hAnsi="Arial" w:cs="Arial"/>
          <w:lang w:val="en-US"/>
        </w:rPr>
        <w:t>,</w:t>
      </w:r>
      <w:r w:rsidR="003D67A0">
        <w:rPr>
          <w:rFonts w:ascii="Arial" w:hAnsi="Arial" w:cs="Arial"/>
          <w:lang w:val="en-US"/>
        </w:rPr>
        <w:t xml:space="preserve"> in the exercise of its function, countenance the extraction of t</w:t>
      </w:r>
      <w:r w:rsidR="006F0F39">
        <w:rPr>
          <w:rFonts w:ascii="Arial" w:hAnsi="Arial" w:cs="Arial"/>
          <w:lang w:val="en-US"/>
        </w:rPr>
        <w:t>ax</w:t>
      </w:r>
      <w:r w:rsidR="003D67A0">
        <w:rPr>
          <w:rFonts w:ascii="Arial" w:hAnsi="Arial" w:cs="Arial"/>
          <w:lang w:val="en-US"/>
        </w:rPr>
        <w:t xml:space="preserve"> to which SARS is not entitled i.e. where that would be contrary to the law and</w:t>
      </w:r>
      <w:r w:rsidR="006F0F39">
        <w:rPr>
          <w:rFonts w:ascii="Arial" w:hAnsi="Arial" w:cs="Arial"/>
          <w:lang w:val="en-US"/>
        </w:rPr>
        <w:t xml:space="preserve"> the</w:t>
      </w:r>
      <w:r w:rsidR="003D67A0">
        <w:rPr>
          <w:rFonts w:ascii="Arial" w:hAnsi="Arial" w:cs="Arial"/>
          <w:lang w:val="en-US"/>
        </w:rPr>
        <w:t xml:space="preserve"> </w:t>
      </w:r>
      <w:r w:rsidR="006F0F39">
        <w:rPr>
          <w:rFonts w:ascii="Arial" w:hAnsi="Arial" w:cs="Arial"/>
          <w:lang w:val="en-US"/>
        </w:rPr>
        <w:t>C</w:t>
      </w:r>
      <w:r w:rsidR="003D67A0">
        <w:rPr>
          <w:rFonts w:ascii="Arial" w:hAnsi="Arial" w:cs="Arial"/>
          <w:lang w:val="en-US"/>
        </w:rPr>
        <w:t xml:space="preserve">onstitution. </w:t>
      </w:r>
      <w:r w:rsidR="005A4BB0">
        <w:rPr>
          <w:rFonts w:ascii="Arial" w:hAnsi="Arial" w:cs="Arial"/>
          <w:lang w:val="en-US"/>
        </w:rPr>
        <w:t>But t</w:t>
      </w:r>
      <w:r w:rsidR="003D67A0">
        <w:rPr>
          <w:rFonts w:ascii="Arial" w:hAnsi="Arial" w:cs="Arial"/>
          <w:lang w:val="en-US"/>
        </w:rPr>
        <w:t xml:space="preserve">his truism </w:t>
      </w:r>
      <w:r w:rsidR="002C4C13">
        <w:rPr>
          <w:rFonts w:ascii="Arial" w:hAnsi="Arial" w:cs="Arial"/>
          <w:lang w:val="en-US"/>
        </w:rPr>
        <w:t xml:space="preserve">surely </w:t>
      </w:r>
      <w:r w:rsidR="003D67A0">
        <w:rPr>
          <w:rFonts w:ascii="Arial" w:hAnsi="Arial" w:cs="Arial"/>
          <w:lang w:val="en-US"/>
        </w:rPr>
        <w:t>cannot translate into a p</w:t>
      </w:r>
      <w:r w:rsidR="006F0F39">
        <w:rPr>
          <w:rFonts w:ascii="Arial" w:hAnsi="Arial" w:cs="Arial"/>
          <w:lang w:val="en-US"/>
        </w:rPr>
        <w:t>rinciple that</w:t>
      </w:r>
      <w:r w:rsidR="003D67A0">
        <w:rPr>
          <w:rFonts w:ascii="Arial" w:hAnsi="Arial" w:cs="Arial"/>
          <w:lang w:val="en-US"/>
        </w:rPr>
        <w:t xml:space="preserve"> allow</w:t>
      </w:r>
      <w:r w:rsidR="005A4BB0">
        <w:rPr>
          <w:rFonts w:ascii="Arial" w:hAnsi="Arial" w:cs="Arial"/>
          <w:lang w:val="en-US"/>
        </w:rPr>
        <w:t>s</w:t>
      </w:r>
      <w:r w:rsidR="003D67A0">
        <w:rPr>
          <w:rFonts w:ascii="Arial" w:hAnsi="Arial" w:cs="Arial"/>
          <w:lang w:val="en-US"/>
        </w:rPr>
        <w:t xml:space="preserve"> taxpayers to include any new grounds of appeal in the</w:t>
      </w:r>
      <w:r w:rsidR="006F0F39">
        <w:rPr>
          <w:rFonts w:ascii="Arial" w:hAnsi="Arial" w:cs="Arial"/>
          <w:lang w:val="en-US"/>
        </w:rPr>
        <w:t>ir</w:t>
      </w:r>
      <w:r w:rsidR="003D67A0">
        <w:rPr>
          <w:rFonts w:ascii="Arial" w:hAnsi="Arial" w:cs="Arial"/>
          <w:lang w:val="en-US"/>
        </w:rPr>
        <w:t xml:space="preserve"> rule 32 statements</w:t>
      </w:r>
      <w:r w:rsidR="002C4C13">
        <w:rPr>
          <w:rFonts w:ascii="Arial" w:hAnsi="Arial" w:cs="Arial"/>
          <w:lang w:val="en-US"/>
        </w:rPr>
        <w:t>, on this basis</w:t>
      </w:r>
      <w:r w:rsidR="003D67A0">
        <w:rPr>
          <w:rFonts w:ascii="Arial" w:hAnsi="Arial" w:cs="Arial"/>
          <w:lang w:val="en-US"/>
        </w:rPr>
        <w:t xml:space="preserve">. Were it to </w:t>
      </w:r>
      <w:r w:rsidR="002C4C13">
        <w:rPr>
          <w:rFonts w:ascii="Arial" w:hAnsi="Arial" w:cs="Arial"/>
          <w:lang w:val="en-US"/>
        </w:rPr>
        <w:t>be allowed</w:t>
      </w:r>
      <w:r w:rsidR="003D67A0">
        <w:rPr>
          <w:rFonts w:ascii="Arial" w:hAnsi="Arial" w:cs="Arial"/>
          <w:lang w:val="en-US"/>
        </w:rPr>
        <w:t xml:space="preserve"> it would render the provisions of rule</w:t>
      </w:r>
      <w:r w:rsidR="006F0F39">
        <w:rPr>
          <w:rFonts w:ascii="Arial" w:hAnsi="Arial" w:cs="Arial"/>
          <w:lang w:val="en-US"/>
        </w:rPr>
        <w:t>s 7,</w:t>
      </w:r>
      <w:r w:rsidR="003D67A0">
        <w:rPr>
          <w:rFonts w:ascii="Arial" w:hAnsi="Arial" w:cs="Arial"/>
          <w:lang w:val="en-US"/>
        </w:rPr>
        <w:t xml:space="preserve"> 10(3) and 32(3) meaningless and</w:t>
      </w:r>
      <w:r w:rsidR="006F0F39">
        <w:rPr>
          <w:rFonts w:ascii="Arial" w:hAnsi="Arial" w:cs="Arial"/>
          <w:lang w:val="en-US"/>
        </w:rPr>
        <w:t xml:space="preserve"> </w:t>
      </w:r>
      <w:r w:rsidR="005A4BB0">
        <w:rPr>
          <w:rFonts w:ascii="Arial" w:hAnsi="Arial" w:cs="Arial"/>
          <w:lang w:val="en-US"/>
        </w:rPr>
        <w:t>subvert</w:t>
      </w:r>
      <w:r w:rsidR="006F0F39">
        <w:rPr>
          <w:rFonts w:ascii="Arial" w:hAnsi="Arial" w:cs="Arial"/>
          <w:lang w:val="en-US"/>
        </w:rPr>
        <w:t xml:space="preserve"> the</w:t>
      </w:r>
      <w:r w:rsidR="003D67A0">
        <w:rPr>
          <w:rFonts w:ascii="Arial" w:hAnsi="Arial" w:cs="Arial"/>
          <w:lang w:val="en-US"/>
        </w:rPr>
        <w:t xml:space="preserve"> </w:t>
      </w:r>
      <w:r w:rsidR="006F0F39">
        <w:rPr>
          <w:rFonts w:ascii="Arial" w:hAnsi="Arial" w:cs="Arial"/>
          <w:lang w:val="en-US"/>
        </w:rPr>
        <w:t xml:space="preserve">scheme of the </w:t>
      </w:r>
      <w:r w:rsidR="003D67A0">
        <w:rPr>
          <w:rFonts w:ascii="Arial" w:hAnsi="Arial" w:cs="Arial"/>
          <w:lang w:val="en-US"/>
        </w:rPr>
        <w:t xml:space="preserve">dispute resolution processes of objection and appeal which are provided for </w:t>
      </w:r>
      <w:r w:rsidR="006F0F39">
        <w:rPr>
          <w:rFonts w:ascii="Arial" w:hAnsi="Arial" w:cs="Arial"/>
          <w:lang w:val="en-US"/>
        </w:rPr>
        <w:t>by</w:t>
      </w:r>
      <w:r w:rsidR="003D67A0">
        <w:rPr>
          <w:rFonts w:ascii="Arial" w:hAnsi="Arial" w:cs="Arial"/>
          <w:lang w:val="en-US"/>
        </w:rPr>
        <w:t xml:space="preserve"> the TAA</w:t>
      </w:r>
      <w:r w:rsidR="006F0F39">
        <w:rPr>
          <w:rFonts w:ascii="Arial" w:hAnsi="Arial" w:cs="Arial"/>
          <w:lang w:val="en-US"/>
        </w:rPr>
        <w:t xml:space="preserve"> and the TCR</w:t>
      </w:r>
      <w:r w:rsidR="003D67A0">
        <w:rPr>
          <w:rFonts w:ascii="Arial" w:hAnsi="Arial" w:cs="Arial"/>
          <w:lang w:val="en-US"/>
        </w:rPr>
        <w:t>.</w:t>
      </w:r>
      <w:r w:rsidR="00627290">
        <w:rPr>
          <w:rFonts w:ascii="Arial" w:hAnsi="Arial" w:cs="Arial"/>
          <w:lang w:val="en-US"/>
        </w:rPr>
        <w:t xml:space="preserve"> As there is always a danger that, when disallowing an objection SARS might be seeking to lay claim to tax which is not due to it, adopting such a principle would mean that it would always be open to a taxpayer to raise a new ground o</w:t>
      </w:r>
      <w:r w:rsidR="00C52A72">
        <w:rPr>
          <w:rFonts w:ascii="Arial" w:hAnsi="Arial" w:cs="Arial"/>
          <w:lang w:val="en-US"/>
        </w:rPr>
        <w:t>f</w:t>
      </w:r>
      <w:r w:rsidR="00627290">
        <w:rPr>
          <w:rFonts w:ascii="Arial" w:hAnsi="Arial" w:cs="Arial"/>
          <w:lang w:val="en-US"/>
        </w:rPr>
        <w:t xml:space="preserve"> appeal on this basis. </w:t>
      </w:r>
    </w:p>
    <w:p w14:paraId="33616D03" w14:textId="7170AE2E" w:rsidR="006F0F39" w:rsidRDefault="00627290" w:rsidP="00197953">
      <w:pPr>
        <w:spacing w:line="480" w:lineRule="auto"/>
        <w:jc w:val="both"/>
        <w:rPr>
          <w:rFonts w:ascii="Arial" w:hAnsi="Arial" w:cs="Arial"/>
          <w:lang w:val="en-US"/>
        </w:rPr>
      </w:pPr>
      <w:r>
        <w:rPr>
          <w:rFonts w:ascii="Arial" w:hAnsi="Arial" w:cs="Arial"/>
          <w:lang w:val="en-US"/>
        </w:rPr>
        <w:t xml:space="preserve">   </w:t>
      </w:r>
      <w:r w:rsidR="003D67A0">
        <w:rPr>
          <w:rFonts w:ascii="Arial" w:hAnsi="Arial" w:cs="Arial"/>
          <w:lang w:val="en-US"/>
        </w:rPr>
        <w:t xml:space="preserve"> </w:t>
      </w:r>
    </w:p>
    <w:p w14:paraId="02584CE1" w14:textId="6ED7D23E" w:rsidR="00AA2922" w:rsidRDefault="006F0F39" w:rsidP="00197953">
      <w:pPr>
        <w:spacing w:line="480" w:lineRule="auto"/>
        <w:jc w:val="both"/>
        <w:rPr>
          <w:rFonts w:ascii="Arial" w:hAnsi="Arial" w:cs="Arial"/>
          <w:lang w:val="en-US"/>
        </w:rPr>
      </w:pPr>
      <w:r>
        <w:rPr>
          <w:rFonts w:ascii="Arial" w:hAnsi="Arial" w:cs="Arial"/>
          <w:lang w:val="en-US"/>
        </w:rPr>
        <w:t>[1</w:t>
      </w:r>
      <w:r w:rsidR="0096496E">
        <w:rPr>
          <w:rFonts w:ascii="Arial" w:hAnsi="Arial" w:cs="Arial"/>
          <w:lang w:val="en-US"/>
        </w:rPr>
        <w:t>20</w:t>
      </w:r>
      <w:r>
        <w:rPr>
          <w:rFonts w:ascii="Arial" w:hAnsi="Arial" w:cs="Arial"/>
          <w:lang w:val="en-US"/>
        </w:rPr>
        <w:t>]</w:t>
      </w:r>
      <w:r>
        <w:rPr>
          <w:rFonts w:ascii="Arial" w:hAnsi="Arial" w:cs="Arial"/>
          <w:lang w:val="en-US"/>
        </w:rPr>
        <w:tab/>
      </w:r>
      <w:r w:rsidR="003D67A0">
        <w:rPr>
          <w:rFonts w:ascii="Arial" w:hAnsi="Arial" w:cs="Arial"/>
          <w:lang w:val="en-US"/>
        </w:rPr>
        <w:t xml:space="preserve">From </w:t>
      </w:r>
      <w:r>
        <w:rPr>
          <w:rFonts w:ascii="Arial" w:hAnsi="Arial" w:cs="Arial"/>
          <w:lang w:val="en-US"/>
        </w:rPr>
        <w:t xml:space="preserve">our exposition of the </w:t>
      </w:r>
      <w:r w:rsidR="003D67A0">
        <w:rPr>
          <w:rFonts w:ascii="Arial" w:hAnsi="Arial" w:cs="Arial"/>
          <w:lang w:val="en-US"/>
        </w:rPr>
        <w:t xml:space="preserve">judgment it </w:t>
      </w:r>
      <w:r>
        <w:rPr>
          <w:rFonts w:ascii="Arial" w:hAnsi="Arial" w:cs="Arial"/>
          <w:lang w:val="en-US"/>
        </w:rPr>
        <w:t xml:space="preserve">will </w:t>
      </w:r>
      <w:r w:rsidR="00C52A72">
        <w:rPr>
          <w:rFonts w:ascii="Arial" w:hAnsi="Arial" w:cs="Arial"/>
          <w:lang w:val="en-US"/>
        </w:rPr>
        <w:t xml:space="preserve">thus </w:t>
      </w:r>
      <w:r>
        <w:rPr>
          <w:rFonts w:ascii="Arial" w:hAnsi="Arial" w:cs="Arial"/>
          <w:lang w:val="en-US"/>
        </w:rPr>
        <w:t>be</w:t>
      </w:r>
      <w:r w:rsidR="003D67A0">
        <w:rPr>
          <w:rFonts w:ascii="Arial" w:hAnsi="Arial" w:cs="Arial"/>
          <w:lang w:val="en-US"/>
        </w:rPr>
        <w:t xml:space="preserve"> apparent </w:t>
      </w:r>
      <w:r>
        <w:rPr>
          <w:rFonts w:ascii="Arial" w:hAnsi="Arial" w:cs="Arial"/>
          <w:lang w:val="en-US"/>
        </w:rPr>
        <w:t xml:space="preserve">that the </w:t>
      </w:r>
      <w:r w:rsidR="003D67A0">
        <w:rPr>
          <w:rFonts w:ascii="Arial" w:hAnsi="Arial" w:cs="Arial"/>
          <w:lang w:val="en-US"/>
        </w:rPr>
        <w:t xml:space="preserve">CC did not rule that the </w:t>
      </w:r>
      <w:r>
        <w:rPr>
          <w:rFonts w:ascii="Arial" w:hAnsi="Arial" w:cs="Arial"/>
          <w:lang w:val="en-US"/>
        </w:rPr>
        <w:t xml:space="preserve">apportionment </w:t>
      </w:r>
      <w:r w:rsidR="003D67A0">
        <w:rPr>
          <w:rFonts w:ascii="Arial" w:hAnsi="Arial" w:cs="Arial"/>
          <w:lang w:val="en-US"/>
        </w:rPr>
        <w:t xml:space="preserve">ground of </w:t>
      </w:r>
      <w:r w:rsidR="009C2F42">
        <w:rPr>
          <w:rFonts w:ascii="Arial" w:hAnsi="Arial" w:cs="Arial"/>
          <w:lang w:val="en-US"/>
        </w:rPr>
        <w:t>appeal,</w:t>
      </w:r>
      <w:r w:rsidR="003D67A0">
        <w:rPr>
          <w:rFonts w:ascii="Arial" w:hAnsi="Arial" w:cs="Arial"/>
          <w:lang w:val="en-US"/>
        </w:rPr>
        <w:t xml:space="preserve"> which was raised before it and the SCA</w:t>
      </w:r>
      <w:r w:rsidR="009C2F42">
        <w:rPr>
          <w:rFonts w:ascii="Arial" w:hAnsi="Arial" w:cs="Arial"/>
          <w:lang w:val="en-US"/>
        </w:rPr>
        <w:t>, but</w:t>
      </w:r>
      <w:r w:rsidR="003D67A0">
        <w:rPr>
          <w:rFonts w:ascii="Arial" w:hAnsi="Arial" w:cs="Arial"/>
          <w:lang w:val="en-US"/>
        </w:rPr>
        <w:t xml:space="preserve"> not the tax court</w:t>
      </w:r>
      <w:r w:rsidR="009C2F42">
        <w:rPr>
          <w:rFonts w:ascii="Arial" w:hAnsi="Arial" w:cs="Arial"/>
          <w:lang w:val="en-US"/>
        </w:rPr>
        <w:t>,</w:t>
      </w:r>
      <w:r w:rsidR="003D67A0">
        <w:rPr>
          <w:rFonts w:ascii="Arial" w:hAnsi="Arial" w:cs="Arial"/>
          <w:lang w:val="en-US"/>
        </w:rPr>
        <w:t xml:space="preserve"> was one that fell within or out</w:t>
      </w:r>
      <w:r w:rsidR="009C2F42">
        <w:rPr>
          <w:rFonts w:ascii="Arial" w:hAnsi="Arial" w:cs="Arial"/>
          <w:lang w:val="en-US"/>
        </w:rPr>
        <w:t>side of</w:t>
      </w:r>
      <w:r w:rsidR="003D67A0">
        <w:rPr>
          <w:rFonts w:ascii="Arial" w:hAnsi="Arial" w:cs="Arial"/>
          <w:lang w:val="en-US"/>
        </w:rPr>
        <w:t xml:space="preserve"> the bounds of </w:t>
      </w:r>
      <w:r w:rsidR="009C2F42">
        <w:rPr>
          <w:rFonts w:ascii="Arial" w:hAnsi="Arial" w:cs="Arial"/>
          <w:lang w:val="en-US"/>
        </w:rPr>
        <w:t>the appellant’s rule</w:t>
      </w:r>
      <w:r w:rsidR="003D67A0">
        <w:rPr>
          <w:rFonts w:ascii="Arial" w:hAnsi="Arial" w:cs="Arial"/>
          <w:lang w:val="en-US"/>
        </w:rPr>
        <w:t xml:space="preserve"> 32(3)</w:t>
      </w:r>
      <w:r w:rsidR="009C2F42">
        <w:rPr>
          <w:rFonts w:ascii="Arial" w:hAnsi="Arial" w:cs="Arial"/>
          <w:lang w:val="en-US"/>
        </w:rPr>
        <w:t xml:space="preserve"> statement</w:t>
      </w:r>
      <w:r w:rsidR="003D67A0">
        <w:rPr>
          <w:rFonts w:ascii="Arial" w:hAnsi="Arial" w:cs="Arial"/>
          <w:lang w:val="en-US"/>
        </w:rPr>
        <w:t>. The matter was not decided on th</w:t>
      </w:r>
      <w:r w:rsidR="009C2F42">
        <w:rPr>
          <w:rFonts w:ascii="Arial" w:hAnsi="Arial" w:cs="Arial"/>
          <w:lang w:val="en-US"/>
        </w:rPr>
        <w:t>at</w:t>
      </w:r>
      <w:r w:rsidR="003D67A0">
        <w:rPr>
          <w:rFonts w:ascii="Arial" w:hAnsi="Arial" w:cs="Arial"/>
          <w:lang w:val="en-US"/>
        </w:rPr>
        <w:t xml:space="preserve"> basis</w:t>
      </w:r>
      <w:r w:rsidR="009C2F42">
        <w:rPr>
          <w:rFonts w:ascii="Arial" w:hAnsi="Arial" w:cs="Arial"/>
          <w:lang w:val="en-US"/>
        </w:rPr>
        <w:t>,</w:t>
      </w:r>
      <w:r w:rsidR="003D67A0">
        <w:rPr>
          <w:rFonts w:ascii="Arial" w:hAnsi="Arial" w:cs="Arial"/>
          <w:lang w:val="en-US"/>
        </w:rPr>
        <w:t xml:space="preserve"> but on the basis of whether</w:t>
      </w:r>
      <w:r w:rsidR="009C2F42">
        <w:rPr>
          <w:rFonts w:ascii="Arial" w:hAnsi="Arial" w:cs="Arial"/>
          <w:lang w:val="en-US"/>
        </w:rPr>
        <w:t>, in fashioning an appropriate order that would do justice to the appellant the CC</w:t>
      </w:r>
      <w:r w:rsidR="003D67A0">
        <w:rPr>
          <w:rFonts w:ascii="Arial" w:hAnsi="Arial" w:cs="Arial"/>
          <w:lang w:val="en-US"/>
        </w:rPr>
        <w:t xml:space="preserve"> was precluded from ordering a remittal and an apportionment</w:t>
      </w:r>
      <w:r w:rsidR="009C2F42">
        <w:rPr>
          <w:rFonts w:ascii="Arial" w:hAnsi="Arial" w:cs="Arial"/>
          <w:lang w:val="en-US"/>
        </w:rPr>
        <w:t>,</w:t>
      </w:r>
      <w:r w:rsidR="003D67A0">
        <w:rPr>
          <w:rFonts w:ascii="Arial" w:hAnsi="Arial" w:cs="Arial"/>
          <w:lang w:val="en-US"/>
        </w:rPr>
        <w:t xml:space="preserve"> </w:t>
      </w:r>
      <w:r w:rsidR="009C2F42">
        <w:rPr>
          <w:rFonts w:ascii="Arial" w:hAnsi="Arial" w:cs="Arial"/>
          <w:lang w:val="en-US"/>
        </w:rPr>
        <w:t>given</w:t>
      </w:r>
      <w:r w:rsidR="003D67A0">
        <w:rPr>
          <w:rFonts w:ascii="Arial" w:hAnsi="Arial" w:cs="Arial"/>
          <w:lang w:val="en-US"/>
        </w:rPr>
        <w:t xml:space="preserve"> the </w:t>
      </w:r>
      <w:r w:rsidR="009C2F42">
        <w:rPr>
          <w:rFonts w:ascii="Arial" w:hAnsi="Arial" w:cs="Arial"/>
          <w:lang w:val="en-US"/>
        </w:rPr>
        <w:t xml:space="preserve">appellant’s </w:t>
      </w:r>
      <w:r w:rsidR="003D67A0">
        <w:rPr>
          <w:rFonts w:ascii="Arial" w:hAnsi="Arial" w:cs="Arial"/>
          <w:lang w:val="en-US"/>
        </w:rPr>
        <w:t xml:space="preserve">failure to plead </w:t>
      </w:r>
      <w:r w:rsidR="009C2F42">
        <w:rPr>
          <w:rFonts w:ascii="Arial" w:hAnsi="Arial" w:cs="Arial"/>
          <w:lang w:val="en-US"/>
        </w:rPr>
        <w:t>for such relief.</w:t>
      </w:r>
      <w:r w:rsidR="003D67A0">
        <w:rPr>
          <w:rFonts w:ascii="Arial" w:hAnsi="Arial" w:cs="Arial"/>
          <w:lang w:val="en-US"/>
        </w:rPr>
        <w:t xml:space="preserve"> The CC’s ruling was </w:t>
      </w:r>
      <w:r w:rsidR="009C2F42">
        <w:rPr>
          <w:rFonts w:ascii="Arial" w:hAnsi="Arial" w:cs="Arial"/>
          <w:lang w:val="en-US"/>
        </w:rPr>
        <w:t>about</w:t>
      </w:r>
      <w:r w:rsidR="003D67A0">
        <w:rPr>
          <w:rFonts w:ascii="Arial" w:hAnsi="Arial" w:cs="Arial"/>
          <w:lang w:val="en-US"/>
        </w:rPr>
        <w:t xml:space="preserve"> its powers and not about the bounds and confines of rule 32</w:t>
      </w:r>
      <w:r w:rsidR="00AD67D1">
        <w:rPr>
          <w:rFonts w:ascii="Arial" w:hAnsi="Arial" w:cs="Arial"/>
          <w:lang w:val="en-US"/>
        </w:rPr>
        <w:t>,</w:t>
      </w:r>
      <w:r w:rsidR="009C2F42">
        <w:rPr>
          <w:rFonts w:ascii="Arial" w:hAnsi="Arial" w:cs="Arial"/>
          <w:lang w:val="en-US"/>
        </w:rPr>
        <w:t xml:space="preserve"> or the statement which was filed by the appellant in terms thereof.</w:t>
      </w:r>
      <w:r w:rsidR="005B0F53" w:rsidRPr="005B0F53">
        <w:rPr>
          <w:rFonts w:ascii="Arial" w:hAnsi="Arial" w:cs="Arial"/>
          <w:lang w:val="en-US"/>
        </w:rPr>
        <w:t xml:space="preserve"> </w:t>
      </w:r>
      <w:r w:rsidR="009C2F42">
        <w:rPr>
          <w:rFonts w:ascii="Arial" w:hAnsi="Arial" w:cs="Arial"/>
          <w:lang w:val="en-US"/>
        </w:rPr>
        <w:t>In the circumstances we are of the view that the decision is of no assistance to the appellant and does not controvert the views we have expressed and the findings we have arrived at</w:t>
      </w:r>
      <w:r w:rsidR="00801E18">
        <w:rPr>
          <w:rFonts w:ascii="Arial" w:hAnsi="Arial" w:cs="Arial"/>
          <w:lang w:val="en-US"/>
        </w:rPr>
        <w:t xml:space="preserve"> as to our interpretation</w:t>
      </w:r>
      <w:r w:rsidR="002C4C13">
        <w:rPr>
          <w:rFonts w:ascii="Arial" w:hAnsi="Arial" w:cs="Arial"/>
          <w:lang w:val="en-US"/>
        </w:rPr>
        <w:t xml:space="preserve"> of the relevant rules</w:t>
      </w:r>
      <w:r w:rsidR="009C2F42">
        <w:rPr>
          <w:rFonts w:ascii="Arial" w:hAnsi="Arial" w:cs="Arial"/>
          <w:lang w:val="en-US"/>
        </w:rPr>
        <w:t>.</w:t>
      </w:r>
    </w:p>
    <w:p w14:paraId="271D5BE2" w14:textId="77777777" w:rsidR="009C2F42" w:rsidRDefault="009C2F42" w:rsidP="00197953">
      <w:pPr>
        <w:spacing w:line="480" w:lineRule="auto"/>
        <w:jc w:val="both"/>
        <w:rPr>
          <w:rFonts w:ascii="Arial" w:hAnsi="Arial" w:cs="Arial"/>
          <w:lang w:val="en-US"/>
        </w:rPr>
      </w:pPr>
    </w:p>
    <w:p w14:paraId="75FD9E29" w14:textId="7C311750" w:rsidR="00197953" w:rsidRPr="00AA2922" w:rsidRDefault="00197953" w:rsidP="00197953">
      <w:pPr>
        <w:spacing w:line="480" w:lineRule="auto"/>
        <w:jc w:val="both"/>
        <w:rPr>
          <w:rFonts w:ascii="Arial" w:hAnsi="Arial" w:cs="Arial"/>
          <w:u w:val="single"/>
          <w:lang w:val="en-US"/>
        </w:rPr>
      </w:pPr>
      <w:r w:rsidRPr="00AA2922">
        <w:rPr>
          <w:rFonts w:ascii="Arial" w:hAnsi="Arial" w:cs="Arial"/>
          <w:u w:val="single"/>
          <w:lang w:val="en-US"/>
        </w:rPr>
        <w:t>Conclusion:</w:t>
      </w:r>
    </w:p>
    <w:p w14:paraId="7B3785DB" w14:textId="4C97AE6A" w:rsidR="00C16C1A" w:rsidRDefault="00AA2922" w:rsidP="00B37AA5">
      <w:pPr>
        <w:spacing w:line="480" w:lineRule="auto"/>
        <w:jc w:val="both"/>
        <w:rPr>
          <w:rFonts w:ascii="Arial" w:hAnsi="Arial" w:cs="Arial"/>
          <w:lang w:val="en-US"/>
        </w:rPr>
      </w:pPr>
      <w:r>
        <w:rPr>
          <w:rFonts w:ascii="Arial" w:hAnsi="Arial" w:cs="Arial"/>
          <w:lang w:val="en-US"/>
        </w:rPr>
        <w:t>[1</w:t>
      </w:r>
      <w:r w:rsidR="00536768">
        <w:rPr>
          <w:rFonts w:ascii="Arial" w:hAnsi="Arial" w:cs="Arial"/>
          <w:lang w:val="en-US"/>
        </w:rPr>
        <w:t>2</w:t>
      </w:r>
      <w:r w:rsidR="0096496E">
        <w:rPr>
          <w:rFonts w:ascii="Arial" w:hAnsi="Arial" w:cs="Arial"/>
          <w:lang w:val="en-US"/>
        </w:rPr>
        <w:t>1</w:t>
      </w:r>
      <w:r>
        <w:rPr>
          <w:rFonts w:ascii="Arial" w:hAnsi="Arial" w:cs="Arial"/>
          <w:lang w:val="en-US"/>
        </w:rPr>
        <w:t>]</w:t>
      </w:r>
      <w:r>
        <w:rPr>
          <w:rFonts w:ascii="Arial" w:hAnsi="Arial" w:cs="Arial"/>
          <w:lang w:val="en-US"/>
        </w:rPr>
        <w:tab/>
      </w:r>
      <w:r w:rsidR="00197953">
        <w:rPr>
          <w:rFonts w:ascii="Arial" w:hAnsi="Arial" w:cs="Arial"/>
          <w:lang w:val="en-US"/>
        </w:rPr>
        <w:t xml:space="preserve">For the above reasons, </w:t>
      </w:r>
      <w:r w:rsidR="006738A2">
        <w:rPr>
          <w:rFonts w:ascii="Arial" w:hAnsi="Arial" w:cs="Arial"/>
          <w:lang w:val="en-US"/>
        </w:rPr>
        <w:t xml:space="preserve">we are </w:t>
      </w:r>
      <w:r w:rsidR="00197953">
        <w:rPr>
          <w:rFonts w:ascii="Arial" w:hAnsi="Arial" w:cs="Arial"/>
          <w:lang w:val="en-US"/>
        </w:rPr>
        <w:t xml:space="preserve">of the view that the </w:t>
      </w:r>
      <w:r w:rsidR="008055A2">
        <w:rPr>
          <w:rFonts w:ascii="Arial" w:hAnsi="Arial" w:cs="Arial"/>
          <w:lang w:val="en-US"/>
        </w:rPr>
        <w:t xml:space="preserve">tax </w:t>
      </w:r>
      <w:r w:rsidR="00197953">
        <w:rPr>
          <w:rFonts w:ascii="Arial" w:hAnsi="Arial" w:cs="Arial"/>
          <w:lang w:val="en-US"/>
        </w:rPr>
        <w:t xml:space="preserve">court was correct in dismissing the application </w:t>
      </w:r>
      <w:r w:rsidR="008055A2">
        <w:rPr>
          <w:rFonts w:ascii="Arial" w:hAnsi="Arial" w:cs="Arial"/>
          <w:lang w:val="en-US"/>
        </w:rPr>
        <w:t xml:space="preserve">and </w:t>
      </w:r>
      <w:r w:rsidR="00197953">
        <w:rPr>
          <w:rFonts w:ascii="Arial" w:hAnsi="Arial" w:cs="Arial"/>
          <w:lang w:val="en-US"/>
        </w:rPr>
        <w:t xml:space="preserve">in holding that the new ground of appeal </w:t>
      </w:r>
      <w:r w:rsidR="00C16C1A">
        <w:rPr>
          <w:rFonts w:ascii="Arial" w:hAnsi="Arial" w:cs="Arial"/>
          <w:lang w:val="en-US"/>
        </w:rPr>
        <w:t xml:space="preserve">which was </w:t>
      </w:r>
      <w:r w:rsidR="00197953">
        <w:rPr>
          <w:rFonts w:ascii="Arial" w:hAnsi="Arial" w:cs="Arial"/>
          <w:lang w:val="en-US"/>
        </w:rPr>
        <w:t>raised by the appellant</w:t>
      </w:r>
      <w:r w:rsidR="008055A2">
        <w:rPr>
          <w:rFonts w:ascii="Arial" w:hAnsi="Arial" w:cs="Arial"/>
          <w:lang w:val="en-US"/>
        </w:rPr>
        <w:t xml:space="preserve"> </w:t>
      </w:r>
      <w:r w:rsidR="00C16C1A">
        <w:rPr>
          <w:rFonts w:ascii="Arial" w:hAnsi="Arial" w:cs="Arial"/>
          <w:lang w:val="en-US"/>
        </w:rPr>
        <w:t xml:space="preserve">in its statement in terms of rule 32 </w:t>
      </w:r>
      <w:r w:rsidR="008055A2">
        <w:rPr>
          <w:rFonts w:ascii="Arial" w:hAnsi="Arial" w:cs="Arial"/>
          <w:lang w:val="en-US"/>
        </w:rPr>
        <w:t>was</w:t>
      </w:r>
      <w:r w:rsidR="00197953">
        <w:rPr>
          <w:rFonts w:ascii="Arial" w:hAnsi="Arial" w:cs="Arial"/>
          <w:lang w:val="en-US"/>
        </w:rPr>
        <w:t xml:space="preserve"> impermissible</w:t>
      </w:r>
      <w:r w:rsidR="006738A2">
        <w:rPr>
          <w:rFonts w:ascii="Arial" w:hAnsi="Arial" w:cs="Arial"/>
          <w:lang w:val="en-US"/>
        </w:rPr>
        <w:t>, as it</w:t>
      </w:r>
      <w:r w:rsidR="00197953">
        <w:rPr>
          <w:rFonts w:ascii="Arial" w:hAnsi="Arial" w:cs="Arial"/>
          <w:lang w:val="en-US"/>
        </w:rPr>
        <w:t xml:space="preserve"> </w:t>
      </w:r>
      <w:r w:rsidR="008055A2">
        <w:rPr>
          <w:rFonts w:ascii="Arial" w:hAnsi="Arial" w:cs="Arial"/>
          <w:lang w:val="en-US"/>
        </w:rPr>
        <w:t xml:space="preserve">fell outside the bounds of </w:t>
      </w:r>
      <w:r w:rsidR="00197953">
        <w:rPr>
          <w:rFonts w:ascii="Arial" w:hAnsi="Arial" w:cs="Arial"/>
          <w:lang w:val="en-US"/>
        </w:rPr>
        <w:t>rule 32(3).</w:t>
      </w:r>
      <w:r>
        <w:rPr>
          <w:rFonts w:ascii="Arial" w:hAnsi="Arial" w:cs="Arial"/>
          <w:lang w:val="en-US"/>
        </w:rPr>
        <w:t xml:space="preserve"> </w:t>
      </w:r>
      <w:r w:rsidR="00FF1CDC">
        <w:rPr>
          <w:rFonts w:ascii="Arial" w:hAnsi="Arial" w:cs="Arial"/>
          <w:lang w:val="en-US"/>
        </w:rPr>
        <w:t xml:space="preserve"> As the respondent was represented by a</w:t>
      </w:r>
      <w:r w:rsidR="006738A2">
        <w:rPr>
          <w:rFonts w:ascii="Arial" w:hAnsi="Arial" w:cs="Arial"/>
          <w:lang w:val="en-US"/>
        </w:rPr>
        <w:t xml:space="preserve"> tax</w:t>
      </w:r>
      <w:r w:rsidR="00FF1CDC">
        <w:rPr>
          <w:rFonts w:ascii="Arial" w:hAnsi="Arial" w:cs="Arial"/>
          <w:lang w:val="en-US"/>
        </w:rPr>
        <w:t xml:space="preserve"> official in its employ there is no need to make a costs order in its favour.</w:t>
      </w:r>
    </w:p>
    <w:p w14:paraId="151C8235" w14:textId="1C172623" w:rsidR="00B45F8D" w:rsidRDefault="00197953" w:rsidP="00B37AA5">
      <w:pPr>
        <w:spacing w:line="480" w:lineRule="auto"/>
        <w:jc w:val="both"/>
        <w:rPr>
          <w:rFonts w:ascii="Arial" w:hAnsi="Arial" w:cs="Arial"/>
          <w:lang w:val="en-US"/>
        </w:rPr>
      </w:pPr>
      <w:r>
        <w:rPr>
          <w:rFonts w:ascii="Arial" w:hAnsi="Arial" w:cs="Arial"/>
          <w:lang w:val="en-US"/>
        </w:rPr>
        <w:t xml:space="preserve">In the result </w:t>
      </w:r>
      <w:r w:rsidR="00FF1CDC">
        <w:rPr>
          <w:rFonts w:ascii="Arial" w:hAnsi="Arial" w:cs="Arial"/>
          <w:lang w:val="en-US"/>
        </w:rPr>
        <w:t>we</w:t>
      </w:r>
      <w:r>
        <w:rPr>
          <w:rFonts w:ascii="Arial" w:hAnsi="Arial" w:cs="Arial"/>
          <w:lang w:val="en-US"/>
        </w:rPr>
        <w:t xml:space="preserve"> make the following order:</w:t>
      </w:r>
      <w:r w:rsidR="00CA2394">
        <w:rPr>
          <w:rFonts w:ascii="Arial" w:hAnsi="Arial" w:cs="Arial"/>
          <w:lang w:val="en-US"/>
        </w:rPr>
        <w:tab/>
      </w:r>
    </w:p>
    <w:p w14:paraId="7C6A83AC" w14:textId="20310F16" w:rsidR="00FF1CDC" w:rsidRPr="00FF1CDC" w:rsidRDefault="00FF1CDC" w:rsidP="00B37AA5">
      <w:pPr>
        <w:spacing w:line="480" w:lineRule="auto"/>
        <w:jc w:val="both"/>
        <w:rPr>
          <w:rFonts w:ascii="Arial" w:hAnsi="Arial" w:cs="Arial"/>
          <w:lang w:val="en-US"/>
        </w:rPr>
      </w:pPr>
      <w:r w:rsidRPr="00FF1CDC">
        <w:rPr>
          <w:rFonts w:ascii="Arial" w:hAnsi="Arial" w:cs="Arial"/>
          <w:lang w:val="en-US"/>
        </w:rPr>
        <w:t>T</w:t>
      </w:r>
      <w:r w:rsidR="007F3AE1" w:rsidRPr="00FF1CDC">
        <w:rPr>
          <w:rFonts w:ascii="Arial" w:hAnsi="Arial" w:cs="Arial"/>
          <w:lang w:val="en-US"/>
        </w:rPr>
        <w:t>he</w:t>
      </w:r>
      <w:r w:rsidR="00197953" w:rsidRPr="00FF1CDC">
        <w:rPr>
          <w:rFonts w:ascii="Arial" w:hAnsi="Arial" w:cs="Arial"/>
          <w:lang w:val="en-US"/>
        </w:rPr>
        <w:t xml:space="preserve"> appeal is dismissed</w:t>
      </w:r>
      <w:r w:rsidR="00B37AA5" w:rsidRPr="00FF1CDC">
        <w:rPr>
          <w:rFonts w:ascii="Arial" w:hAnsi="Arial" w:cs="Arial"/>
          <w:lang w:val="en-US"/>
        </w:rPr>
        <w:t>.</w:t>
      </w:r>
      <w:r w:rsidR="00624E91" w:rsidRPr="00FF1CDC">
        <w:rPr>
          <w:rFonts w:ascii="Arial" w:hAnsi="Arial" w:cs="Arial"/>
          <w:lang w:val="en-US"/>
        </w:rPr>
        <w:t xml:space="preserve">  </w:t>
      </w:r>
    </w:p>
    <w:p w14:paraId="6E689DEA" w14:textId="54A1A17F" w:rsidR="001B2D74" w:rsidRDefault="00446541" w:rsidP="00446541">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9866C10" w14:textId="77777777" w:rsidR="00C16C1A" w:rsidRDefault="00C16C1A" w:rsidP="00446541">
      <w:pPr>
        <w:spacing w:line="360" w:lineRule="auto"/>
        <w:jc w:val="both"/>
        <w:rPr>
          <w:rFonts w:ascii="Arial" w:hAnsi="Arial" w:cs="Arial"/>
        </w:rPr>
      </w:pPr>
    </w:p>
    <w:p w14:paraId="73CA35B3" w14:textId="77777777" w:rsidR="00743D22" w:rsidRDefault="00743D22" w:rsidP="00446541">
      <w:pPr>
        <w:spacing w:line="360" w:lineRule="auto"/>
        <w:jc w:val="both"/>
        <w:rPr>
          <w:rFonts w:ascii="Arial" w:hAnsi="Arial" w:cs="Arial"/>
        </w:rPr>
      </w:pPr>
    </w:p>
    <w:p w14:paraId="313C946D" w14:textId="1899DF71" w:rsidR="00446541" w:rsidRDefault="00446541" w:rsidP="00446541">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w:t>
      </w:r>
    </w:p>
    <w:p w14:paraId="313C946E" w14:textId="3E82C2DC" w:rsidR="00446541" w:rsidRDefault="00446541" w:rsidP="00446541">
      <w:pPr>
        <w:spacing w:line="360" w:lineRule="auto"/>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F6550" w:rsidRPr="00F34B59">
        <w:rPr>
          <w:rFonts w:ascii="Arial" w:hAnsi="Arial" w:cs="Arial"/>
          <w:b/>
          <w:bCs/>
        </w:rPr>
        <w:t>HENNEY</w:t>
      </w:r>
      <w:r w:rsidRPr="00F34B59">
        <w:rPr>
          <w:rFonts w:ascii="Arial" w:hAnsi="Arial" w:cs="Arial"/>
          <w:b/>
          <w:bCs/>
        </w:rPr>
        <w:t>,</w:t>
      </w:r>
      <w:r>
        <w:rPr>
          <w:rFonts w:ascii="Arial" w:hAnsi="Arial" w:cs="Arial"/>
          <w:b/>
        </w:rPr>
        <w:t xml:space="preserve"> J</w:t>
      </w:r>
    </w:p>
    <w:p w14:paraId="313C946F" w14:textId="77777777" w:rsidR="00446541" w:rsidRDefault="00446541" w:rsidP="00446541">
      <w:pPr>
        <w:spacing w:line="360" w:lineRule="auto"/>
        <w:jc w:val="both"/>
        <w:rPr>
          <w:rFonts w:ascii="Arial" w:hAnsi="Arial" w:cs="Arial"/>
          <w:b/>
        </w:rPr>
      </w:pPr>
    </w:p>
    <w:p w14:paraId="313C9470" w14:textId="1BEEE10A" w:rsidR="00446541" w:rsidRDefault="00446541" w:rsidP="00446541">
      <w:pPr>
        <w:spacing w:line="360" w:lineRule="auto"/>
        <w:jc w:val="both"/>
        <w:rPr>
          <w:rFonts w:ascii="Arial" w:hAnsi="Arial" w:cs="Arial"/>
          <w:b/>
        </w:rPr>
      </w:pPr>
      <w:r>
        <w:rPr>
          <w:rFonts w:ascii="Arial" w:hAnsi="Arial" w:cs="Arial"/>
          <w:b/>
        </w:rPr>
        <w:t>I agree</w:t>
      </w:r>
      <w:r w:rsidR="00624E91">
        <w:rPr>
          <w:rFonts w:ascii="Arial" w:hAnsi="Arial" w:cs="Arial"/>
          <w:b/>
        </w:rPr>
        <w:t>.</w:t>
      </w:r>
    </w:p>
    <w:p w14:paraId="313C9471" w14:textId="77777777" w:rsidR="00446541" w:rsidRDefault="00446541" w:rsidP="00446541">
      <w:pPr>
        <w:spacing w:line="360" w:lineRule="auto"/>
        <w:jc w:val="both"/>
        <w:rPr>
          <w:rFonts w:ascii="Arial" w:hAnsi="Arial" w:cs="Arial"/>
          <w:b/>
        </w:rPr>
      </w:pPr>
    </w:p>
    <w:p w14:paraId="578B771A" w14:textId="77777777" w:rsidR="00FF1CDC" w:rsidRDefault="00FF1CDC" w:rsidP="00446541">
      <w:pPr>
        <w:spacing w:line="360" w:lineRule="auto"/>
        <w:jc w:val="both"/>
        <w:rPr>
          <w:rFonts w:ascii="Arial" w:hAnsi="Arial" w:cs="Arial"/>
          <w:b/>
        </w:rPr>
      </w:pPr>
    </w:p>
    <w:p w14:paraId="2B3D50E3" w14:textId="77777777" w:rsidR="001B2D74" w:rsidRDefault="001B2D74" w:rsidP="00446541">
      <w:pPr>
        <w:spacing w:line="360" w:lineRule="auto"/>
        <w:jc w:val="both"/>
        <w:rPr>
          <w:rFonts w:ascii="Arial" w:hAnsi="Arial" w:cs="Arial"/>
          <w:b/>
        </w:rPr>
      </w:pPr>
    </w:p>
    <w:p w14:paraId="313C9472" w14:textId="75C5026A" w:rsidR="00446541" w:rsidRPr="00624E91" w:rsidRDefault="00446541" w:rsidP="00446541">
      <w:pPr>
        <w:spacing w:line="360" w:lineRule="auto"/>
        <w:jc w:val="both"/>
        <w:rPr>
          <w:rFonts w:ascii="Arial" w:hAnsi="Arial" w:cs="Arial"/>
          <w:bCs/>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624E91">
        <w:rPr>
          <w:rFonts w:ascii="Arial" w:hAnsi="Arial" w:cs="Arial"/>
          <w:bCs/>
        </w:rPr>
        <w:t>________</w:t>
      </w:r>
    </w:p>
    <w:p w14:paraId="313C9473" w14:textId="73DD5949" w:rsidR="00446541" w:rsidRDefault="00446541" w:rsidP="00446541">
      <w:pPr>
        <w:spacing w:line="36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34B59">
        <w:rPr>
          <w:rFonts w:ascii="Arial" w:hAnsi="Arial" w:cs="Arial"/>
          <w:b/>
        </w:rPr>
        <w:t>NUKU</w:t>
      </w:r>
      <w:r>
        <w:rPr>
          <w:rFonts w:ascii="Arial" w:hAnsi="Arial" w:cs="Arial"/>
          <w:b/>
        </w:rPr>
        <w:t>, J</w:t>
      </w:r>
    </w:p>
    <w:p w14:paraId="313C9474" w14:textId="77777777" w:rsidR="00446541" w:rsidRDefault="00446541" w:rsidP="00446541">
      <w:pPr>
        <w:spacing w:line="360" w:lineRule="auto"/>
        <w:jc w:val="both"/>
        <w:rPr>
          <w:rFonts w:ascii="Arial" w:hAnsi="Arial" w:cs="Arial"/>
          <w:b/>
        </w:rPr>
      </w:pPr>
    </w:p>
    <w:p w14:paraId="313C9475" w14:textId="77777777" w:rsidR="00446541" w:rsidRDefault="00446541" w:rsidP="00446541">
      <w:pPr>
        <w:spacing w:line="360" w:lineRule="auto"/>
        <w:jc w:val="both"/>
        <w:rPr>
          <w:rFonts w:ascii="Arial" w:hAnsi="Arial" w:cs="Arial"/>
          <w:b/>
        </w:rPr>
      </w:pPr>
    </w:p>
    <w:p w14:paraId="6677167E" w14:textId="77777777" w:rsidR="001B2D74" w:rsidRDefault="001B2D74" w:rsidP="00446541">
      <w:pPr>
        <w:spacing w:line="360" w:lineRule="auto"/>
        <w:jc w:val="both"/>
        <w:rPr>
          <w:rFonts w:ascii="Arial" w:hAnsi="Arial" w:cs="Arial"/>
          <w:b/>
        </w:rPr>
      </w:pPr>
    </w:p>
    <w:p w14:paraId="23130BE6" w14:textId="77777777" w:rsidR="00FF1CDC" w:rsidRDefault="00FF1CDC" w:rsidP="00446541">
      <w:pPr>
        <w:spacing w:line="360" w:lineRule="auto"/>
        <w:jc w:val="both"/>
        <w:rPr>
          <w:rFonts w:ascii="Arial" w:hAnsi="Arial" w:cs="Arial"/>
          <w:b/>
        </w:rPr>
      </w:pPr>
    </w:p>
    <w:p w14:paraId="56DC9CCB" w14:textId="77777777" w:rsidR="001B2D74" w:rsidRDefault="001B2D74" w:rsidP="00446541">
      <w:pPr>
        <w:spacing w:line="360" w:lineRule="auto"/>
        <w:jc w:val="both"/>
        <w:rPr>
          <w:rFonts w:ascii="Arial" w:hAnsi="Arial" w:cs="Arial"/>
          <w:b/>
        </w:rPr>
      </w:pPr>
    </w:p>
    <w:p w14:paraId="313C9477" w14:textId="16075EB0" w:rsidR="00446541" w:rsidRPr="00624E91" w:rsidRDefault="00446541" w:rsidP="00446541">
      <w:pPr>
        <w:spacing w:line="360" w:lineRule="auto"/>
        <w:jc w:val="both"/>
        <w:rPr>
          <w:rFonts w:ascii="Arial" w:hAnsi="Arial" w:cs="Arial"/>
          <w:bCs/>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624E91">
        <w:rPr>
          <w:rFonts w:ascii="Arial" w:hAnsi="Arial" w:cs="Arial"/>
          <w:bCs/>
        </w:rPr>
        <w:t>________</w:t>
      </w:r>
    </w:p>
    <w:p w14:paraId="313C947B" w14:textId="79A768BF" w:rsidR="00E51E6E" w:rsidRDefault="00446541" w:rsidP="00B45F8D">
      <w:pPr>
        <w:spacing w:line="36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256229">
        <w:rPr>
          <w:rFonts w:ascii="Arial" w:hAnsi="Arial" w:cs="Arial"/>
          <w:b/>
        </w:rPr>
        <w:t>SHER</w:t>
      </w:r>
      <w:r>
        <w:rPr>
          <w:rFonts w:ascii="Arial" w:hAnsi="Arial" w:cs="Arial"/>
          <w:b/>
        </w:rPr>
        <w:t>, J</w:t>
      </w:r>
    </w:p>
    <w:p w14:paraId="19A34F75" w14:textId="77777777" w:rsidR="000B7241" w:rsidRDefault="000B7241" w:rsidP="00B45F8D">
      <w:pPr>
        <w:spacing w:line="360" w:lineRule="auto"/>
        <w:jc w:val="both"/>
        <w:rPr>
          <w:rFonts w:ascii="Arial" w:hAnsi="Arial" w:cs="Arial"/>
          <w:b/>
        </w:rPr>
      </w:pPr>
    </w:p>
    <w:p w14:paraId="4C18C15C" w14:textId="77777777" w:rsidR="00E361C4" w:rsidRDefault="00E361C4" w:rsidP="00B45F8D">
      <w:pPr>
        <w:spacing w:line="360" w:lineRule="auto"/>
        <w:jc w:val="both"/>
        <w:rPr>
          <w:rFonts w:ascii="Arial" w:hAnsi="Arial" w:cs="Arial"/>
          <w:b/>
          <w:sz w:val="20"/>
          <w:szCs w:val="20"/>
          <w:u w:val="single"/>
        </w:rPr>
      </w:pPr>
    </w:p>
    <w:p w14:paraId="6C9ABF3E" w14:textId="77777777" w:rsidR="00E361C4" w:rsidRDefault="00E361C4" w:rsidP="00B45F8D">
      <w:pPr>
        <w:spacing w:line="360" w:lineRule="auto"/>
        <w:jc w:val="both"/>
        <w:rPr>
          <w:rFonts w:ascii="Arial" w:hAnsi="Arial" w:cs="Arial"/>
          <w:b/>
          <w:sz w:val="20"/>
          <w:szCs w:val="20"/>
          <w:u w:val="single"/>
        </w:rPr>
      </w:pPr>
    </w:p>
    <w:p w14:paraId="16AC9726" w14:textId="6CBEBE63" w:rsidR="000B7241" w:rsidRPr="000B7241" w:rsidRDefault="000B7241" w:rsidP="00B45F8D">
      <w:pPr>
        <w:spacing w:line="360" w:lineRule="auto"/>
        <w:jc w:val="both"/>
        <w:rPr>
          <w:rFonts w:ascii="Arial" w:hAnsi="Arial" w:cs="Arial"/>
          <w:b/>
          <w:sz w:val="20"/>
          <w:szCs w:val="20"/>
        </w:rPr>
      </w:pPr>
      <w:r w:rsidRPr="000B7241">
        <w:rPr>
          <w:rFonts w:ascii="Arial" w:hAnsi="Arial" w:cs="Arial"/>
          <w:b/>
          <w:sz w:val="20"/>
          <w:szCs w:val="20"/>
          <w:u w:val="single"/>
        </w:rPr>
        <w:t>Appearances</w:t>
      </w:r>
      <w:r>
        <w:rPr>
          <w:rFonts w:ascii="Arial" w:hAnsi="Arial" w:cs="Arial"/>
          <w:b/>
          <w:sz w:val="20"/>
          <w:szCs w:val="20"/>
        </w:rPr>
        <w:t>:</w:t>
      </w:r>
    </w:p>
    <w:p w14:paraId="34A528DE" w14:textId="7E853078" w:rsidR="000B7241" w:rsidRDefault="000B7241" w:rsidP="000B7241">
      <w:pPr>
        <w:jc w:val="both"/>
        <w:rPr>
          <w:rFonts w:ascii="Arial" w:hAnsi="Arial" w:cs="Arial"/>
          <w:bCs/>
          <w:sz w:val="20"/>
          <w:szCs w:val="20"/>
        </w:rPr>
      </w:pPr>
      <w:r w:rsidRPr="000B7241">
        <w:rPr>
          <w:rFonts w:ascii="Arial" w:hAnsi="Arial" w:cs="Arial"/>
          <w:bCs/>
          <w:sz w:val="20"/>
          <w:szCs w:val="20"/>
        </w:rPr>
        <w:t xml:space="preserve">Appellant’s counsel: </w:t>
      </w:r>
      <w:r>
        <w:rPr>
          <w:rFonts w:ascii="Arial" w:hAnsi="Arial" w:cs="Arial"/>
          <w:bCs/>
          <w:sz w:val="20"/>
          <w:szCs w:val="20"/>
        </w:rPr>
        <w:t>TS Emslie SC and R Kotze</w:t>
      </w:r>
    </w:p>
    <w:p w14:paraId="526DD213" w14:textId="6C101456" w:rsidR="000B7241" w:rsidRDefault="000B7241" w:rsidP="000B7241">
      <w:pPr>
        <w:jc w:val="both"/>
        <w:rPr>
          <w:rFonts w:ascii="Arial" w:hAnsi="Arial" w:cs="Arial"/>
          <w:bCs/>
          <w:sz w:val="20"/>
          <w:szCs w:val="20"/>
        </w:rPr>
      </w:pPr>
      <w:r>
        <w:rPr>
          <w:rFonts w:ascii="Arial" w:hAnsi="Arial" w:cs="Arial"/>
          <w:bCs/>
          <w:sz w:val="20"/>
          <w:szCs w:val="20"/>
        </w:rPr>
        <w:t>Appellant’s attorneys:</w:t>
      </w:r>
      <w:r w:rsidR="005527B1">
        <w:rPr>
          <w:rFonts w:ascii="Arial" w:hAnsi="Arial" w:cs="Arial"/>
          <w:bCs/>
          <w:sz w:val="20"/>
          <w:szCs w:val="20"/>
        </w:rPr>
        <w:t xml:space="preserve"> Werksmans (Stellenbosch)</w:t>
      </w:r>
    </w:p>
    <w:p w14:paraId="08113962" w14:textId="07A7A14B" w:rsidR="000B7241" w:rsidRPr="000B7241" w:rsidRDefault="000B7241" w:rsidP="00E361C4">
      <w:pPr>
        <w:jc w:val="both"/>
        <w:rPr>
          <w:sz w:val="20"/>
          <w:szCs w:val="20"/>
        </w:rPr>
      </w:pPr>
      <w:r>
        <w:rPr>
          <w:rFonts w:ascii="Arial" w:hAnsi="Arial" w:cs="Arial"/>
          <w:bCs/>
          <w:sz w:val="20"/>
          <w:szCs w:val="20"/>
        </w:rPr>
        <w:t xml:space="preserve">Respondent’s representative: Z Vadachia </w:t>
      </w:r>
      <w:r w:rsidR="005527B1">
        <w:rPr>
          <w:rFonts w:ascii="Arial" w:hAnsi="Arial" w:cs="Arial"/>
          <w:bCs/>
          <w:sz w:val="20"/>
          <w:szCs w:val="20"/>
        </w:rPr>
        <w:t>(SARS High Court Litigation Unit Tshwane)</w:t>
      </w:r>
    </w:p>
    <w:sectPr w:rsidR="000B7241" w:rsidRPr="000B7241" w:rsidSect="00ED3672">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76214" w14:textId="77777777" w:rsidR="008F5DA5" w:rsidRDefault="008F5DA5">
      <w:r>
        <w:separator/>
      </w:r>
    </w:p>
  </w:endnote>
  <w:endnote w:type="continuationSeparator" w:id="0">
    <w:p w14:paraId="527ABF8D" w14:textId="77777777" w:rsidR="008F5DA5" w:rsidRDefault="008F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ville Extrabold">
    <w:altName w:val="Calibr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70D6C" w14:textId="77777777" w:rsidR="008F5DA5" w:rsidRDefault="008F5DA5">
      <w:r>
        <w:separator/>
      </w:r>
    </w:p>
  </w:footnote>
  <w:footnote w:type="continuationSeparator" w:id="0">
    <w:p w14:paraId="47B6E356" w14:textId="77777777" w:rsidR="008F5DA5" w:rsidRDefault="008F5DA5">
      <w:r>
        <w:continuationSeparator/>
      </w:r>
    </w:p>
  </w:footnote>
  <w:footnote w:id="1">
    <w:p w14:paraId="5EDE6397" w14:textId="7C3C2261" w:rsidR="00B338EC" w:rsidRPr="009112B8" w:rsidRDefault="00B338EC">
      <w:pPr>
        <w:pStyle w:val="FootnoteText"/>
        <w:rPr>
          <w:rFonts w:cstheme="minorHAnsi"/>
        </w:rPr>
      </w:pPr>
      <w:r>
        <w:rPr>
          <w:rStyle w:val="FootnoteReference"/>
        </w:rPr>
        <w:footnoteRef/>
      </w:r>
      <w:r>
        <w:t xml:space="preserve"> </w:t>
      </w:r>
      <w:r w:rsidRPr="009112B8">
        <w:rPr>
          <w:rFonts w:cstheme="minorHAnsi"/>
        </w:rPr>
        <w:t xml:space="preserve">Promulgated in terms of s 103 of the Tax Administration Act 28 of 2011 (‘the TAA’).  </w:t>
      </w:r>
    </w:p>
  </w:footnote>
  <w:footnote w:id="2">
    <w:p w14:paraId="08C1597F" w14:textId="1A03712F" w:rsidR="006F3534" w:rsidRPr="009112B8" w:rsidRDefault="006F3534" w:rsidP="00F14725">
      <w:pPr>
        <w:pStyle w:val="FootnoteText"/>
        <w:jc w:val="both"/>
        <w:rPr>
          <w:rFonts w:cstheme="minorHAnsi"/>
          <w:lang w:val="en-US"/>
        </w:rPr>
      </w:pPr>
      <w:r w:rsidRPr="009112B8">
        <w:rPr>
          <w:rStyle w:val="FootnoteReference"/>
          <w:rFonts w:cstheme="minorHAnsi"/>
        </w:rPr>
        <w:footnoteRef/>
      </w:r>
      <w:r w:rsidRPr="009112B8">
        <w:rPr>
          <w:rFonts w:cstheme="minorHAnsi"/>
        </w:rPr>
        <w:t xml:space="preserve"> The appellant refers to this entity</w:t>
      </w:r>
      <w:r w:rsidR="00140BA9" w:rsidRPr="009112B8">
        <w:rPr>
          <w:rFonts w:cstheme="minorHAnsi"/>
        </w:rPr>
        <w:t>, in places,</w:t>
      </w:r>
      <w:r w:rsidRPr="009112B8">
        <w:rPr>
          <w:rFonts w:cstheme="minorHAnsi"/>
        </w:rPr>
        <w:t xml:space="preserve"> as the BG LL</w:t>
      </w:r>
      <w:r w:rsidR="00CE7B48">
        <w:rPr>
          <w:rFonts w:cstheme="minorHAnsi"/>
        </w:rPr>
        <w:t>P.</w:t>
      </w:r>
    </w:p>
  </w:footnote>
  <w:footnote w:id="3">
    <w:p w14:paraId="0ACA1003" w14:textId="4DB5EEA1" w:rsidR="005561F4" w:rsidRPr="009112B8" w:rsidRDefault="005561F4" w:rsidP="00651974">
      <w:pPr>
        <w:pStyle w:val="BodyText"/>
        <w:ind w:left="0" w:right="5011"/>
        <w:jc w:val="both"/>
        <w:rPr>
          <w:rFonts w:asciiTheme="minorHAnsi" w:hAnsiTheme="minorHAnsi" w:cstheme="minorHAnsi"/>
          <w:sz w:val="20"/>
          <w:szCs w:val="20"/>
        </w:rPr>
      </w:pPr>
      <w:r w:rsidRPr="00B73CB9">
        <w:rPr>
          <w:rStyle w:val="FootnoteReference"/>
          <w:rFonts w:ascii="Arial" w:hAnsi="Arial" w:cs="Arial"/>
          <w:sz w:val="18"/>
          <w:szCs w:val="18"/>
        </w:rPr>
        <w:footnoteRef/>
      </w:r>
      <w:r w:rsidRPr="00B73CB9">
        <w:rPr>
          <w:rFonts w:ascii="Arial" w:hAnsi="Arial" w:cs="Arial"/>
          <w:sz w:val="18"/>
          <w:szCs w:val="18"/>
        </w:rPr>
        <w:t xml:space="preserve"> </w:t>
      </w:r>
      <w:r w:rsidR="00AB3E77" w:rsidRPr="00AB3E77">
        <w:rPr>
          <w:rFonts w:ascii="Arial" w:hAnsi="Arial" w:cs="Arial"/>
          <w:sz w:val="18"/>
          <w:szCs w:val="18"/>
          <w:lang w:val="en-ZA"/>
        </w:rPr>
        <w:t>in terms of s 102(1)(b) of the TAA</w:t>
      </w:r>
      <w:r w:rsidR="00AB3E77">
        <w:rPr>
          <w:rFonts w:ascii="Arial" w:hAnsi="Arial" w:cs="Arial"/>
          <w:sz w:val="18"/>
          <w:szCs w:val="18"/>
          <w:lang w:val="en-ZA"/>
        </w:rPr>
        <w:t>, which reads as follows:</w:t>
      </w:r>
      <w:r w:rsidR="00AB3E77" w:rsidRPr="00AB3E77">
        <w:rPr>
          <w:rFonts w:ascii="Arial" w:hAnsi="Arial" w:cs="Arial"/>
          <w:sz w:val="18"/>
          <w:szCs w:val="18"/>
          <w:lang w:val="en-ZA"/>
        </w:rPr>
        <w:t xml:space="preserve"> </w:t>
      </w:r>
      <w:r w:rsidR="00AB3E77">
        <w:rPr>
          <w:rFonts w:ascii="Arial" w:hAnsi="Arial" w:cs="Arial"/>
          <w:sz w:val="18"/>
          <w:szCs w:val="18"/>
          <w:lang w:val="en-ZA"/>
        </w:rPr>
        <w:t>‘</w:t>
      </w:r>
      <w:r w:rsidRPr="009112B8">
        <w:rPr>
          <w:rFonts w:asciiTheme="minorHAnsi" w:hAnsiTheme="minorHAnsi" w:cstheme="minorHAnsi"/>
          <w:b/>
          <w:sz w:val="20"/>
          <w:szCs w:val="20"/>
        </w:rPr>
        <w:t>102 Burden</w:t>
      </w:r>
      <w:r w:rsidRPr="009112B8">
        <w:rPr>
          <w:rFonts w:asciiTheme="minorHAnsi" w:hAnsiTheme="minorHAnsi" w:cstheme="minorHAnsi"/>
          <w:b/>
          <w:spacing w:val="4"/>
          <w:sz w:val="20"/>
          <w:szCs w:val="20"/>
        </w:rPr>
        <w:t xml:space="preserve"> </w:t>
      </w:r>
      <w:r w:rsidRPr="009112B8">
        <w:rPr>
          <w:rFonts w:asciiTheme="minorHAnsi" w:hAnsiTheme="minorHAnsi" w:cstheme="minorHAnsi"/>
          <w:b/>
          <w:sz w:val="20"/>
          <w:szCs w:val="20"/>
        </w:rPr>
        <w:t>of</w:t>
      </w:r>
      <w:r w:rsidRPr="009112B8">
        <w:rPr>
          <w:rFonts w:asciiTheme="minorHAnsi" w:hAnsiTheme="minorHAnsi" w:cstheme="minorHAnsi"/>
          <w:b/>
          <w:spacing w:val="4"/>
          <w:sz w:val="20"/>
          <w:szCs w:val="20"/>
        </w:rPr>
        <w:t xml:space="preserve"> </w:t>
      </w:r>
      <w:r w:rsidRPr="009112B8">
        <w:rPr>
          <w:rFonts w:asciiTheme="minorHAnsi" w:hAnsiTheme="minorHAnsi" w:cstheme="minorHAnsi"/>
          <w:b/>
          <w:sz w:val="20"/>
          <w:szCs w:val="20"/>
        </w:rPr>
        <w:t>proof.</w:t>
      </w:r>
      <w:r w:rsidRPr="009112B8">
        <w:rPr>
          <w:rFonts w:asciiTheme="minorHAnsi" w:hAnsiTheme="minorHAnsi" w:cstheme="minorHAnsi"/>
          <w:sz w:val="20"/>
          <w:szCs w:val="20"/>
        </w:rPr>
        <w:t xml:space="preserve">  (1)</w:t>
      </w:r>
      <w:r w:rsidRPr="009112B8">
        <w:rPr>
          <w:rFonts w:asciiTheme="minorHAnsi" w:hAnsiTheme="minorHAnsi" w:cstheme="minorHAnsi"/>
          <w:spacing w:val="89"/>
          <w:sz w:val="20"/>
          <w:szCs w:val="20"/>
        </w:rPr>
        <w:t xml:space="preserve"> </w:t>
      </w:r>
      <w:r w:rsidRPr="009112B8">
        <w:rPr>
          <w:rFonts w:asciiTheme="minorHAnsi" w:hAnsiTheme="minorHAnsi" w:cstheme="minorHAnsi"/>
          <w:sz w:val="20"/>
          <w:szCs w:val="20"/>
        </w:rPr>
        <w:t>A</w:t>
      </w:r>
      <w:r w:rsidRPr="009112B8">
        <w:rPr>
          <w:rFonts w:asciiTheme="minorHAnsi" w:hAnsiTheme="minorHAnsi" w:cstheme="minorHAnsi"/>
          <w:spacing w:val="16"/>
          <w:sz w:val="20"/>
          <w:szCs w:val="20"/>
        </w:rPr>
        <w:t xml:space="preserve"> </w:t>
      </w:r>
      <w:r w:rsidRPr="009112B8">
        <w:rPr>
          <w:rFonts w:asciiTheme="minorHAnsi" w:hAnsiTheme="minorHAnsi" w:cstheme="minorHAnsi"/>
          <w:sz w:val="20"/>
          <w:szCs w:val="20"/>
        </w:rPr>
        <w:t>taxpayer</w:t>
      </w:r>
      <w:r w:rsidRPr="009112B8">
        <w:rPr>
          <w:rFonts w:asciiTheme="minorHAnsi" w:hAnsiTheme="minorHAnsi" w:cstheme="minorHAnsi"/>
          <w:spacing w:val="16"/>
          <w:sz w:val="20"/>
          <w:szCs w:val="20"/>
        </w:rPr>
        <w:t xml:space="preserve"> </w:t>
      </w:r>
      <w:r w:rsidRPr="009112B8">
        <w:rPr>
          <w:rFonts w:asciiTheme="minorHAnsi" w:hAnsiTheme="minorHAnsi" w:cstheme="minorHAnsi"/>
          <w:sz w:val="20"/>
          <w:szCs w:val="20"/>
        </w:rPr>
        <w:t>bears</w:t>
      </w:r>
      <w:r w:rsidRPr="009112B8">
        <w:rPr>
          <w:rFonts w:asciiTheme="minorHAnsi" w:hAnsiTheme="minorHAnsi" w:cstheme="minorHAnsi"/>
          <w:spacing w:val="16"/>
          <w:sz w:val="20"/>
          <w:szCs w:val="20"/>
        </w:rPr>
        <w:t xml:space="preserve"> </w:t>
      </w:r>
      <w:r w:rsidRPr="009112B8">
        <w:rPr>
          <w:rFonts w:asciiTheme="minorHAnsi" w:hAnsiTheme="minorHAnsi" w:cstheme="minorHAnsi"/>
          <w:sz w:val="20"/>
          <w:szCs w:val="20"/>
        </w:rPr>
        <w:t>the</w:t>
      </w:r>
      <w:r w:rsidRPr="009112B8">
        <w:rPr>
          <w:rFonts w:asciiTheme="minorHAnsi" w:hAnsiTheme="minorHAnsi" w:cstheme="minorHAnsi"/>
          <w:spacing w:val="16"/>
          <w:sz w:val="20"/>
          <w:szCs w:val="20"/>
        </w:rPr>
        <w:t xml:space="preserve"> </w:t>
      </w:r>
      <w:r w:rsidRPr="009112B8">
        <w:rPr>
          <w:rFonts w:asciiTheme="minorHAnsi" w:hAnsiTheme="minorHAnsi" w:cstheme="minorHAnsi"/>
          <w:sz w:val="20"/>
          <w:szCs w:val="20"/>
        </w:rPr>
        <w:t>burden</w:t>
      </w:r>
      <w:r w:rsidRPr="009112B8">
        <w:rPr>
          <w:rFonts w:asciiTheme="minorHAnsi" w:hAnsiTheme="minorHAnsi" w:cstheme="minorHAnsi"/>
          <w:spacing w:val="16"/>
          <w:sz w:val="20"/>
          <w:szCs w:val="20"/>
        </w:rPr>
        <w:t xml:space="preserve"> </w:t>
      </w:r>
      <w:r w:rsidRPr="009112B8">
        <w:rPr>
          <w:rFonts w:asciiTheme="minorHAnsi" w:hAnsiTheme="minorHAnsi" w:cstheme="minorHAnsi"/>
          <w:sz w:val="20"/>
          <w:szCs w:val="20"/>
        </w:rPr>
        <w:t>of</w:t>
      </w:r>
      <w:r w:rsidRPr="009112B8">
        <w:rPr>
          <w:rFonts w:asciiTheme="minorHAnsi" w:hAnsiTheme="minorHAnsi" w:cstheme="minorHAnsi"/>
          <w:spacing w:val="16"/>
          <w:sz w:val="20"/>
          <w:szCs w:val="20"/>
        </w:rPr>
        <w:t xml:space="preserve"> </w:t>
      </w:r>
      <w:r w:rsidRPr="009112B8">
        <w:rPr>
          <w:rFonts w:asciiTheme="minorHAnsi" w:hAnsiTheme="minorHAnsi" w:cstheme="minorHAnsi"/>
          <w:sz w:val="20"/>
          <w:szCs w:val="20"/>
        </w:rPr>
        <w:t>proving—</w:t>
      </w:r>
    </w:p>
    <w:p w14:paraId="799683C0" w14:textId="2883AD3E" w:rsidR="005561F4" w:rsidRPr="00741C84" w:rsidRDefault="00741C84" w:rsidP="00741C84">
      <w:pPr>
        <w:widowControl w:val="0"/>
        <w:autoSpaceDE w:val="0"/>
        <w:autoSpaceDN w:val="0"/>
        <w:rPr>
          <w:rFonts w:cstheme="minorHAnsi"/>
          <w:sz w:val="20"/>
          <w:szCs w:val="20"/>
        </w:rPr>
      </w:pPr>
      <w:r w:rsidRPr="009112B8">
        <w:rPr>
          <w:rFonts w:ascii="Verdana" w:eastAsia="Verdana" w:hAnsi="Verdana" w:cs="Verdana"/>
          <w:spacing w:val="-7"/>
          <w:sz w:val="17"/>
          <w:szCs w:val="17"/>
          <w:lang w:val="en-US" w:eastAsia="en-US"/>
        </w:rPr>
        <w:t>(a)</w:t>
      </w:r>
      <w:r w:rsidRPr="009112B8">
        <w:rPr>
          <w:rFonts w:ascii="Verdana" w:eastAsia="Verdana" w:hAnsi="Verdana" w:cs="Verdana"/>
          <w:spacing w:val="-7"/>
          <w:sz w:val="17"/>
          <w:szCs w:val="17"/>
          <w:lang w:val="en-US" w:eastAsia="en-US"/>
        </w:rPr>
        <w:tab/>
      </w:r>
      <w:r w:rsidR="005561F4" w:rsidRPr="00741C84">
        <w:rPr>
          <w:rFonts w:cstheme="minorHAnsi"/>
          <w:position w:val="1"/>
          <w:sz w:val="20"/>
          <w:szCs w:val="20"/>
        </w:rPr>
        <w:t>that</w:t>
      </w:r>
      <w:r w:rsidR="005561F4" w:rsidRPr="00741C84">
        <w:rPr>
          <w:rFonts w:cstheme="minorHAnsi"/>
          <w:spacing w:val="14"/>
          <w:position w:val="1"/>
          <w:sz w:val="20"/>
          <w:szCs w:val="20"/>
        </w:rPr>
        <w:t xml:space="preserve"> </w:t>
      </w:r>
      <w:r w:rsidR="005561F4" w:rsidRPr="00741C84">
        <w:rPr>
          <w:rFonts w:cstheme="minorHAnsi"/>
          <w:position w:val="1"/>
          <w:sz w:val="20"/>
          <w:szCs w:val="20"/>
        </w:rPr>
        <w:t>an</w:t>
      </w:r>
      <w:r w:rsidR="005561F4" w:rsidRPr="00741C84">
        <w:rPr>
          <w:rFonts w:cstheme="minorHAnsi"/>
          <w:spacing w:val="13"/>
          <w:position w:val="1"/>
          <w:sz w:val="20"/>
          <w:szCs w:val="20"/>
        </w:rPr>
        <w:t xml:space="preserve"> </w:t>
      </w:r>
      <w:r w:rsidR="005561F4" w:rsidRPr="00741C84">
        <w:rPr>
          <w:rFonts w:cstheme="minorHAnsi"/>
          <w:position w:val="1"/>
          <w:sz w:val="20"/>
          <w:szCs w:val="20"/>
        </w:rPr>
        <w:t>amount</w:t>
      </w:r>
      <w:r w:rsidR="005561F4" w:rsidRPr="00741C84">
        <w:rPr>
          <w:rFonts w:cstheme="minorHAnsi"/>
          <w:spacing w:val="12"/>
          <w:position w:val="1"/>
          <w:sz w:val="20"/>
          <w:szCs w:val="20"/>
        </w:rPr>
        <w:t xml:space="preserve"> </w:t>
      </w:r>
      <w:r w:rsidR="005561F4" w:rsidRPr="00741C84">
        <w:rPr>
          <w:rFonts w:cstheme="minorHAnsi"/>
          <w:position w:val="1"/>
          <w:sz w:val="20"/>
          <w:szCs w:val="20"/>
        </w:rPr>
        <w:t>or</w:t>
      </w:r>
      <w:r w:rsidR="005561F4" w:rsidRPr="00741C84">
        <w:rPr>
          <w:rFonts w:cstheme="minorHAnsi"/>
          <w:spacing w:val="13"/>
          <w:position w:val="1"/>
          <w:sz w:val="20"/>
          <w:szCs w:val="20"/>
        </w:rPr>
        <w:t xml:space="preserve"> </w:t>
      </w:r>
      <w:r w:rsidR="005561F4" w:rsidRPr="00741C84">
        <w:rPr>
          <w:rFonts w:cstheme="minorHAnsi"/>
          <w:position w:val="1"/>
          <w:sz w:val="20"/>
          <w:szCs w:val="20"/>
        </w:rPr>
        <w:t>item</w:t>
      </w:r>
      <w:r w:rsidR="005561F4" w:rsidRPr="00741C84">
        <w:rPr>
          <w:rFonts w:cstheme="minorHAnsi"/>
          <w:spacing w:val="13"/>
          <w:position w:val="1"/>
          <w:sz w:val="20"/>
          <w:szCs w:val="20"/>
        </w:rPr>
        <w:t xml:space="preserve"> </w:t>
      </w:r>
      <w:r w:rsidR="005561F4" w:rsidRPr="00741C84">
        <w:rPr>
          <w:rFonts w:cstheme="minorHAnsi"/>
          <w:position w:val="1"/>
          <w:sz w:val="20"/>
          <w:szCs w:val="20"/>
        </w:rPr>
        <w:t>is</w:t>
      </w:r>
      <w:r w:rsidR="005561F4" w:rsidRPr="00741C84">
        <w:rPr>
          <w:rFonts w:cstheme="minorHAnsi"/>
          <w:spacing w:val="13"/>
          <w:position w:val="1"/>
          <w:sz w:val="20"/>
          <w:szCs w:val="20"/>
        </w:rPr>
        <w:t xml:space="preserve"> </w:t>
      </w:r>
      <w:r w:rsidR="005561F4" w:rsidRPr="00741C84">
        <w:rPr>
          <w:rFonts w:cstheme="minorHAnsi"/>
          <w:position w:val="1"/>
          <w:sz w:val="20"/>
          <w:szCs w:val="20"/>
        </w:rPr>
        <w:t>deductible</w:t>
      </w:r>
      <w:r w:rsidR="005561F4" w:rsidRPr="00741C84">
        <w:rPr>
          <w:rFonts w:cstheme="minorHAnsi"/>
          <w:spacing w:val="14"/>
          <w:position w:val="1"/>
          <w:sz w:val="20"/>
          <w:szCs w:val="20"/>
        </w:rPr>
        <w:t xml:space="preserve"> </w:t>
      </w:r>
      <w:r w:rsidR="005561F4" w:rsidRPr="00741C84">
        <w:rPr>
          <w:rFonts w:cstheme="minorHAnsi"/>
          <w:position w:val="1"/>
          <w:sz w:val="20"/>
          <w:szCs w:val="20"/>
        </w:rPr>
        <w:t>or</w:t>
      </w:r>
      <w:r w:rsidR="005561F4" w:rsidRPr="00741C84">
        <w:rPr>
          <w:rFonts w:cstheme="minorHAnsi"/>
          <w:spacing w:val="13"/>
          <w:position w:val="1"/>
          <w:sz w:val="20"/>
          <w:szCs w:val="20"/>
        </w:rPr>
        <w:t xml:space="preserve"> </w:t>
      </w:r>
      <w:r w:rsidR="005561F4" w:rsidRPr="00741C84">
        <w:rPr>
          <w:rFonts w:cstheme="minorHAnsi"/>
          <w:position w:val="1"/>
          <w:sz w:val="20"/>
          <w:szCs w:val="20"/>
        </w:rPr>
        <w:t>may</w:t>
      </w:r>
      <w:r w:rsidR="005561F4" w:rsidRPr="00741C84">
        <w:rPr>
          <w:rFonts w:cstheme="minorHAnsi"/>
          <w:spacing w:val="13"/>
          <w:position w:val="1"/>
          <w:sz w:val="20"/>
          <w:szCs w:val="20"/>
        </w:rPr>
        <w:t xml:space="preserve"> </w:t>
      </w:r>
      <w:r w:rsidR="005561F4" w:rsidRPr="00741C84">
        <w:rPr>
          <w:rFonts w:cstheme="minorHAnsi"/>
          <w:position w:val="1"/>
          <w:sz w:val="20"/>
          <w:szCs w:val="20"/>
        </w:rPr>
        <w:t>be</w:t>
      </w:r>
      <w:r w:rsidR="005561F4" w:rsidRPr="00741C84">
        <w:rPr>
          <w:rFonts w:cstheme="minorHAnsi"/>
          <w:spacing w:val="14"/>
          <w:position w:val="1"/>
          <w:sz w:val="20"/>
          <w:szCs w:val="20"/>
        </w:rPr>
        <w:t xml:space="preserve"> </w:t>
      </w:r>
      <w:r w:rsidR="005561F4" w:rsidRPr="00741C84">
        <w:rPr>
          <w:rFonts w:cstheme="minorHAnsi"/>
          <w:position w:val="1"/>
          <w:sz w:val="20"/>
          <w:szCs w:val="20"/>
        </w:rPr>
        <w:t>set</w:t>
      </w:r>
      <w:r w:rsidR="005561F4" w:rsidRPr="00741C84">
        <w:rPr>
          <w:rFonts w:cstheme="minorHAnsi"/>
          <w:spacing w:val="13"/>
          <w:position w:val="1"/>
          <w:sz w:val="20"/>
          <w:szCs w:val="20"/>
        </w:rPr>
        <w:t xml:space="preserve"> </w:t>
      </w:r>
      <w:r w:rsidR="005561F4" w:rsidRPr="00741C84">
        <w:rPr>
          <w:rFonts w:cstheme="minorHAnsi"/>
          <w:position w:val="1"/>
          <w:sz w:val="20"/>
          <w:szCs w:val="20"/>
        </w:rPr>
        <w:t>off</w:t>
      </w:r>
      <w:r w:rsidR="00651974" w:rsidRPr="00741C84">
        <w:rPr>
          <w:rFonts w:cstheme="minorHAnsi"/>
          <w:position w:val="1"/>
          <w:sz w:val="20"/>
          <w:szCs w:val="20"/>
        </w:rPr>
        <w:t>;</w:t>
      </w:r>
    </w:p>
    <w:p w14:paraId="1E494A26" w14:textId="0EABA112" w:rsidR="005561F4" w:rsidRPr="00741C84" w:rsidRDefault="00741C84" w:rsidP="00741C84">
      <w:pPr>
        <w:widowControl w:val="0"/>
        <w:autoSpaceDE w:val="0"/>
        <w:autoSpaceDN w:val="0"/>
        <w:rPr>
          <w:rFonts w:cstheme="minorHAnsi"/>
          <w:sz w:val="20"/>
          <w:szCs w:val="20"/>
        </w:rPr>
      </w:pPr>
      <w:r w:rsidRPr="009112B8">
        <w:rPr>
          <w:rFonts w:ascii="Verdana" w:eastAsia="Verdana" w:hAnsi="Verdana" w:cs="Verdana"/>
          <w:spacing w:val="-7"/>
          <w:sz w:val="17"/>
          <w:szCs w:val="17"/>
          <w:lang w:val="en-US" w:eastAsia="en-US"/>
        </w:rPr>
        <w:t>(b)</w:t>
      </w:r>
      <w:r w:rsidRPr="009112B8">
        <w:rPr>
          <w:rFonts w:ascii="Verdana" w:eastAsia="Verdana" w:hAnsi="Verdana" w:cs="Verdana"/>
          <w:spacing w:val="-7"/>
          <w:sz w:val="17"/>
          <w:szCs w:val="17"/>
          <w:lang w:val="en-US" w:eastAsia="en-US"/>
        </w:rPr>
        <w:tab/>
      </w:r>
      <w:r w:rsidR="005561F4" w:rsidRPr="00741C84">
        <w:rPr>
          <w:rFonts w:cstheme="minorHAnsi"/>
          <w:position w:val="1"/>
          <w:sz w:val="20"/>
          <w:szCs w:val="20"/>
        </w:rPr>
        <w:t>the</w:t>
      </w:r>
      <w:r w:rsidR="005561F4" w:rsidRPr="00741C84">
        <w:rPr>
          <w:rFonts w:cstheme="minorHAnsi"/>
          <w:spacing w:val="19"/>
          <w:position w:val="1"/>
          <w:sz w:val="20"/>
          <w:szCs w:val="20"/>
        </w:rPr>
        <w:t xml:space="preserve"> </w:t>
      </w:r>
      <w:r w:rsidR="005561F4" w:rsidRPr="00741C84">
        <w:rPr>
          <w:rFonts w:cstheme="minorHAnsi"/>
          <w:position w:val="1"/>
          <w:sz w:val="20"/>
          <w:szCs w:val="20"/>
        </w:rPr>
        <w:t>rate</w:t>
      </w:r>
      <w:r w:rsidR="005561F4" w:rsidRPr="00741C84">
        <w:rPr>
          <w:rFonts w:cstheme="minorHAnsi"/>
          <w:spacing w:val="20"/>
          <w:position w:val="1"/>
          <w:sz w:val="20"/>
          <w:szCs w:val="20"/>
        </w:rPr>
        <w:t xml:space="preserve"> </w:t>
      </w:r>
      <w:r w:rsidR="005561F4" w:rsidRPr="00741C84">
        <w:rPr>
          <w:rFonts w:cstheme="minorHAnsi"/>
          <w:position w:val="1"/>
          <w:sz w:val="20"/>
          <w:szCs w:val="20"/>
        </w:rPr>
        <w:t>of</w:t>
      </w:r>
      <w:r w:rsidR="005561F4" w:rsidRPr="00741C84">
        <w:rPr>
          <w:rFonts w:cstheme="minorHAnsi"/>
          <w:spacing w:val="20"/>
          <w:position w:val="1"/>
          <w:sz w:val="20"/>
          <w:szCs w:val="20"/>
        </w:rPr>
        <w:t xml:space="preserve"> </w:t>
      </w:r>
      <w:r w:rsidR="005561F4" w:rsidRPr="00741C84">
        <w:rPr>
          <w:rFonts w:cstheme="minorHAnsi"/>
          <w:position w:val="1"/>
          <w:sz w:val="20"/>
          <w:szCs w:val="20"/>
        </w:rPr>
        <w:t>tax</w:t>
      </w:r>
      <w:r w:rsidR="005561F4" w:rsidRPr="00741C84">
        <w:rPr>
          <w:rFonts w:cstheme="minorHAnsi"/>
          <w:spacing w:val="20"/>
          <w:position w:val="1"/>
          <w:sz w:val="20"/>
          <w:szCs w:val="20"/>
        </w:rPr>
        <w:t xml:space="preserve"> </w:t>
      </w:r>
      <w:r w:rsidR="005561F4" w:rsidRPr="00741C84">
        <w:rPr>
          <w:rFonts w:cstheme="minorHAnsi"/>
          <w:position w:val="1"/>
          <w:sz w:val="20"/>
          <w:szCs w:val="20"/>
        </w:rPr>
        <w:t>applicable</w:t>
      </w:r>
      <w:r w:rsidR="005561F4" w:rsidRPr="00741C84">
        <w:rPr>
          <w:rFonts w:cstheme="minorHAnsi"/>
          <w:spacing w:val="20"/>
          <w:position w:val="1"/>
          <w:sz w:val="20"/>
          <w:szCs w:val="20"/>
        </w:rPr>
        <w:t xml:space="preserve"> </w:t>
      </w:r>
      <w:r w:rsidR="005561F4" w:rsidRPr="00741C84">
        <w:rPr>
          <w:rFonts w:cstheme="minorHAnsi"/>
          <w:position w:val="1"/>
          <w:sz w:val="20"/>
          <w:szCs w:val="20"/>
        </w:rPr>
        <w:t>to</w:t>
      </w:r>
      <w:r w:rsidR="005561F4" w:rsidRPr="00741C84">
        <w:rPr>
          <w:rFonts w:cstheme="minorHAnsi"/>
          <w:spacing w:val="20"/>
          <w:position w:val="1"/>
          <w:sz w:val="20"/>
          <w:szCs w:val="20"/>
        </w:rPr>
        <w:t xml:space="preserve"> </w:t>
      </w:r>
      <w:r w:rsidR="005561F4" w:rsidRPr="00741C84">
        <w:rPr>
          <w:rFonts w:cstheme="minorHAnsi"/>
          <w:position w:val="1"/>
          <w:sz w:val="20"/>
          <w:szCs w:val="20"/>
        </w:rPr>
        <w:t>a</w:t>
      </w:r>
      <w:r w:rsidR="005561F4" w:rsidRPr="00741C84">
        <w:rPr>
          <w:rFonts w:cstheme="minorHAnsi"/>
          <w:spacing w:val="20"/>
          <w:position w:val="1"/>
          <w:sz w:val="20"/>
          <w:szCs w:val="20"/>
        </w:rPr>
        <w:t xml:space="preserve"> </w:t>
      </w:r>
      <w:r w:rsidR="005561F4" w:rsidRPr="00741C84">
        <w:rPr>
          <w:rFonts w:cstheme="minorHAnsi"/>
          <w:position w:val="1"/>
          <w:sz w:val="20"/>
          <w:szCs w:val="20"/>
        </w:rPr>
        <w:t>transaction,</w:t>
      </w:r>
      <w:r w:rsidR="005561F4" w:rsidRPr="00741C84">
        <w:rPr>
          <w:rFonts w:cstheme="minorHAnsi"/>
          <w:spacing w:val="19"/>
          <w:position w:val="1"/>
          <w:sz w:val="20"/>
          <w:szCs w:val="20"/>
        </w:rPr>
        <w:t xml:space="preserve"> </w:t>
      </w:r>
      <w:r w:rsidR="005561F4" w:rsidRPr="00741C84">
        <w:rPr>
          <w:rFonts w:cstheme="minorHAnsi"/>
          <w:position w:val="1"/>
          <w:sz w:val="20"/>
          <w:szCs w:val="20"/>
        </w:rPr>
        <w:t>event,</w:t>
      </w:r>
      <w:r w:rsidR="005561F4" w:rsidRPr="00741C84">
        <w:rPr>
          <w:rFonts w:cstheme="minorHAnsi"/>
          <w:spacing w:val="20"/>
          <w:position w:val="1"/>
          <w:sz w:val="20"/>
          <w:szCs w:val="20"/>
        </w:rPr>
        <w:t xml:space="preserve"> </w:t>
      </w:r>
      <w:r w:rsidR="005561F4" w:rsidRPr="00741C84">
        <w:rPr>
          <w:rFonts w:cstheme="minorHAnsi"/>
          <w:position w:val="1"/>
          <w:sz w:val="20"/>
          <w:szCs w:val="20"/>
        </w:rPr>
        <w:t>item</w:t>
      </w:r>
      <w:r w:rsidR="005561F4" w:rsidRPr="00741C84">
        <w:rPr>
          <w:rFonts w:cstheme="minorHAnsi"/>
          <w:spacing w:val="20"/>
          <w:position w:val="1"/>
          <w:sz w:val="20"/>
          <w:szCs w:val="20"/>
        </w:rPr>
        <w:t xml:space="preserve"> </w:t>
      </w:r>
      <w:r w:rsidR="005561F4" w:rsidRPr="00741C84">
        <w:rPr>
          <w:rFonts w:cstheme="minorHAnsi"/>
          <w:position w:val="1"/>
          <w:sz w:val="20"/>
          <w:szCs w:val="20"/>
        </w:rPr>
        <w:t>or</w:t>
      </w:r>
      <w:r w:rsidR="005561F4" w:rsidRPr="00741C84">
        <w:rPr>
          <w:rFonts w:cstheme="minorHAnsi"/>
          <w:spacing w:val="20"/>
          <w:position w:val="1"/>
          <w:sz w:val="20"/>
          <w:szCs w:val="20"/>
        </w:rPr>
        <w:t xml:space="preserve"> </w:t>
      </w:r>
      <w:r w:rsidR="005561F4" w:rsidRPr="00741C84">
        <w:rPr>
          <w:rFonts w:cstheme="minorHAnsi"/>
          <w:position w:val="1"/>
          <w:sz w:val="20"/>
          <w:szCs w:val="20"/>
        </w:rPr>
        <w:t>class</w:t>
      </w:r>
      <w:r w:rsidR="005561F4" w:rsidRPr="00741C84">
        <w:rPr>
          <w:rFonts w:cstheme="minorHAnsi"/>
          <w:spacing w:val="20"/>
          <w:position w:val="1"/>
          <w:sz w:val="20"/>
          <w:szCs w:val="20"/>
        </w:rPr>
        <w:t xml:space="preserve"> </w:t>
      </w:r>
      <w:r w:rsidR="005561F4" w:rsidRPr="00741C84">
        <w:rPr>
          <w:rFonts w:cstheme="minorHAnsi"/>
          <w:position w:val="1"/>
          <w:sz w:val="20"/>
          <w:szCs w:val="20"/>
        </w:rPr>
        <w:t>of</w:t>
      </w:r>
      <w:r w:rsidR="005561F4" w:rsidRPr="00741C84">
        <w:rPr>
          <w:rFonts w:cstheme="minorHAnsi"/>
          <w:spacing w:val="20"/>
          <w:position w:val="1"/>
          <w:sz w:val="20"/>
          <w:szCs w:val="20"/>
        </w:rPr>
        <w:t xml:space="preserve"> </w:t>
      </w:r>
      <w:r w:rsidR="005561F4" w:rsidRPr="00741C84">
        <w:rPr>
          <w:rFonts w:cstheme="minorHAnsi"/>
          <w:position w:val="1"/>
          <w:sz w:val="20"/>
          <w:szCs w:val="20"/>
        </w:rPr>
        <w:t>taxpayer;</w:t>
      </w:r>
    </w:p>
    <w:p w14:paraId="7CAE4EC5" w14:textId="27F49C2A" w:rsidR="005561F4" w:rsidRPr="00741C84" w:rsidRDefault="00741C84" w:rsidP="00741C84">
      <w:pPr>
        <w:widowControl w:val="0"/>
        <w:autoSpaceDE w:val="0"/>
        <w:autoSpaceDN w:val="0"/>
        <w:rPr>
          <w:rFonts w:cstheme="minorHAnsi"/>
          <w:sz w:val="20"/>
          <w:szCs w:val="20"/>
        </w:rPr>
      </w:pPr>
      <w:r w:rsidRPr="009112B8">
        <w:rPr>
          <w:rFonts w:ascii="Verdana" w:eastAsia="Verdana" w:hAnsi="Verdana" w:cs="Verdana"/>
          <w:spacing w:val="-7"/>
          <w:sz w:val="17"/>
          <w:szCs w:val="17"/>
          <w:lang w:val="en-US" w:eastAsia="en-US"/>
        </w:rPr>
        <w:t>(c)</w:t>
      </w:r>
      <w:r w:rsidRPr="009112B8">
        <w:rPr>
          <w:rFonts w:ascii="Verdana" w:eastAsia="Verdana" w:hAnsi="Verdana" w:cs="Verdana"/>
          <w:spacing w:val="-7"/>
          <w:sz w:val="17"/>
          <w:szCs w:val="17"/>
          <w:lang w:val="en-US" w:eastAsia="en-US"/>
        </w:rPr>
        <w:tab/>
      </w:r>
      <w:r w:rsidR="005561F4" w:rsidRPr="00741C84">
        <w:rPr>
          <w:rFonts w:cstheme="minorHAnsi"/>
          <w:position w:val="1"/>
          <w:sz w:val="20"/>
          <w:szCs w:val="20"/>
        </w:rPr>
        <w:t>that</w:t>
      </w:r>
      <w:r w:rsidR="005561F4" w:rsidRPr="00741C84">
        <w:rPr>
          <w:rFonts w:cstheme="minorHAnsi"/>
          <w:spacing w:val="21"/>
          <w:position w:val="1"/>
          <w:sz w:val="20"/>
          <w:szCs w:val="20"/>
        </w:rPr>
        <w:t xml:space="preserve"> </w:t>
      </w:r>
      <w:r w:rsidR="005561F4" w:rsidRPr="00741C84">
        <w:rPr>
          <w:rFonts w:cstheme="minorHAnsi"/>
          <w:position w:val="1"/>
          <w:sz w:val="20"/>
          <w:szCs w:val="20"/>
        </w:rPr>
        <w:t>an</w:t>
      </w:r>
      <w:r w:rsidR="005561F4" w:rsidRPr="00741C84">
        <w:rPr>
          <w:rFonts w:cstheme="minorHAnsi"/>
          <w:spacing w:val="21"/>
          <w:position w:val="1"/>
          <w:sz w:val="20"/>
          <w:szCs w:val="20"/>
        </w:rPr>
        <w:t xml:space="preserve"> </w:t>
      </w:r>
      <w:r w:rsidR="005561F4" w:rsidRPr="00741C84">
        <w:rPr>
          <w:rFonts w:cstheme="minorHAnsi"/>
          <w:position w:val="1"/>
          <w:sz w:val="20"/>
          <w:szCs w:val="20"/>
        </w:rPr>
        <w:t>amount</w:t>
      </w:r>
      <w:r w:rsidR="005561F4" w:rsidRPr="00741C84">
        <w:rPr>
          <w:rFonts w:cstheme="minorHAnsi"/>
          <w:spacing w:val="21"/>
          <w:position w:val="1"/>
          <w:sz w:val="20"/>
          <w:szCs w:val="20"/>
        </w:rPr>
        <w:t xml:space="preserve"> </w:t>
      </w:r>
      <w:r w:rsidR="005561F4" w:rsidRPr="00741C84">
        <w:rPr>
          <w:rFonts w:cstheme="minorHAnsi"/>
          <w:position w:val="1"/>
          <w:sz w:val="20"/>
          <w:szCs w:val="20"/>
        </w:rPr>
        <w:t>qualifies</w:t>
      </w:r>
      <w:r w:rsidR="005561F4" w:rsidRPr="00741C84">
        <w:rPr>
          <w:rFonts w:cstheme="minorHAnsi"/>
          <w:spacing w:val="22"/>
          <w:position w:val="1"/>
          <w:sz w:val="20"/>
          <w:szCs w:val="20"/>
        </w:rPr>
        <w:t xml:space="preserve"> </w:t>
      </w:r>
      <w:r w:rsidR="005561F4" w:rsidRPr="00741C84">
        <w:rPr>
          <w:rFonts w:cstheme="minorHAnsi"/>
          <w:position w:val="1"/>
          <w:sz w:val="20"/>
          <w:szCs w:val="20"/>
        </w:rPr>
        <w:t>as</w:t>
      </w:r>
      <w:r w:rsidR="005561F4" w:rsidRPr="00741C84">
        <w:rPr>
          <w:rFonts w:cstheme="minorHAnsi"/>
          <w:spacing w:val="21"/>
          <w:position w:val="1"/>
          <w:sz w:val="20"/>
          <w:szCs w:val="20"/>
        </w:rPr>
        <w:t xml:space="preserve"> </w:t>
      </w:r>
      <w:r w:rsidR="005561F4" w:rsidRPr="00741C84">
        <w:rPr>
          <w:rFonts w:cstheme="minorHAnsi"/>
          <w:position w:val="1"/>
          <w:sz w:val="20"/>
          <w:szCs w:val="20"/>
        </w:rPr>
        <w:t>a</w:t>
      </w:r>
      <w:r w:rsidR="005561F4" w:rsidRPr="00741C84">
        <w:rPr>
          <w:rFonts w:cstheme="minorHAnsi"/>
          <w:spacing w:val="21"/>
          <w:position w:val="1"/>
          <w:sz w:val="20"/>
          <w:szCs w:val="20"/>
        </w:rPr>
        <w:t xml:space="preserve"> </w:t>
      </w:r>
      <w:r w:rsidR="005561F4" w:rsidRPr="00741C84">
        <w:rPr>
          <w:rFonts w:cstheme="minorHAnsi"/>
          <w:position w:val="1"/>
          <w:sz w:val="20"/>
          <w:szCs w:val="20"/>
        </w:rPr>
        <w:t>reduction</w:t>
      </w:r>
      <w:r w:rsidR="005561F4" w:rsidRPr="00741C84">
        <w:rPr>
          <w:rFonts w:cstheme="minorHAnsi"/>
          <w:spacing w:val="21"/>
          <w:position w:val="1"/>
          <w:sz w:val="20"/>
          <w:szCs w:val="20"/>
        </w:rPr>
        <w:t xml:space="preserve"> </w:t>
      </w:r>
      <w:r w:rsidR="005561F4" w:rsidRPr="00741C84">
        <w:rPr>
          <w:rFonts w:cstheme="minorHAnsi"/>
          <w:position w:val="1"/>
          <w:sz w:val="20"/>
          <w:szCs w:val="20"/>
        </w:rPr>
        <w:t>of</w:t>
      </w:r>
      <w:r w:rsidR="005561F4" w:rsidRPr="00741C84">
        <w:rPr>
          <w:rFonts w:cstheme="minorHAnsi"/>
          <w:spacing w:val="22"/>
          <w:position w:val="1"/>
          <w:sz w:val="20"/>
          <w:szCs w:val="20"/>
        </w:rPr>
        <w:t xml:space="preserve"> </w:t>
      </w:r>
      <w:r w:rsidR="005561F4" w:rsidRPr="00741C84">
        <w:rPr>
          <w:rFonts w:cstheme="minorHAnsi"/>
          <w:position w:val="1"/>
          <w:sz w:val="20"/>
          <w:szCs w:val="20"/>
        </w:rPr>
        <w:t>tax</w:t>
      </w:r>
      <w:r w:rsidR="005561F4" w:rsidRPr="00741C84">
        <w:rPr>
          <w:rFonts w:cstheme="minorHAnsi"/>
          <w:spacing w:val="21"/>
          <w:position w:val="1"/>
          <w:sz w:val="20"/>
          <w:szCs w:val="20"/>
        </w:rPr>
        <w:t xml:space="preserve"> </w:t>
      </w:r>
      <w:r w:rsidR="005561F4" w:rsidRPr="00741C84">
        <w:rPr>
          <w:rFonts w:cstheme="minorHAnsi"/>
          <w:position w:val="1"/>
          <w:sz w:val="20"/>
          <w:szCs w:val="20"/>
        </w:rPr>
        <w:t>payable;</w:t>
      </w:r>
    </w:p>
    <w:p w14:paraId="4610D9E5" w14:textId="008C44F4" w:rsidR="005561F4" w:rsidRPr="00741C84" w:rsidRDefault="00741C84" w:rsidP="00741C84">
      <w:pPr>
        <w:widowControl w:val="0"/>
        <w:autoSpaceDE w:val="0"/>
        <w:autoSpaceDN w:val="0"/>
        <w:rPr>
          <w:rFonts w:cstheme="minorHAnsi"/>
          <w:sz w:val="20"/>
          <w:szCs w:val="20"/>
        </w:rPr>
      </w:pPr>
      <w:r w:rsidRPr="009112B8">
        <w:rPr>
          <w:rFonts w:ascii="Verdana" w:eastAsia="Verdana" w:hAnsi="Verdana" w:cs="Verdana"/>
          <w:spacing w:val="-7"/>
          <w:sz w:val="17"/>
          <w:szCs w:val="17"/>
          <w:lang w:val="en-US" w:eastAsia="en-US"/>
        </w:rPr>
        <w:t>(d)</w:t>
      </w:r>
      <w:r w:rsidRPr="009112B8">
        <w:rPr>
          <w:rFonts w:ascii="Verdana" w:eastAsia="Verdana" w:hAnsi="Verdana" w:cs="Verdana"/>
          <w:spacing w:val="-7"/>
          <w:sz w:val="17"/>
          <w:szCs w:val="17"/>
          <w:lang w:val="en-US" w:eastAsia="en-US"/>
        </w:rPr>
        <w:tab/>
      </w:r>
      <w:r w:rsidR="005561F4" w:rsidRPr="00741C84">
        <w:rPr>
          <w:rFonts w:cstheme="minorHAnsi"/>
          <w:position w:val="1"/>
          <w:sz w:val="20"/>
          <w:szCs w:val="20"/>
        </w:rPr>
        <w:t>that</w:t>
      </w:r>
      <w:r w:rsidR="005561F4" w:rsidRPr="00741C84">
        <w:rPr>
          <w:rFonts w:cstheme="minorHAnsi"/>
          <w:spacing w:val="15"/>
          <w:position w:val="1"/>
          <w:sz w:val="20"/>
          <w:szCs w:val="20"/>
        </w:rPr>
        <w:t xml:space="preserve"> </w:t>
      </w:r>
      <w:r w:rsidR="005561F4" w:rsidRPr="00741C84">
        <w:rPr>
          <w:rFonts w:cstheme="minorHAnsi"/>
          <w:position w:val="1"/>
          <w:sz w:val="20"/>
          <w:szCs w:val="20"/>
        </w:rPr>
        <w:t>a</w:t>
      </w:r>
      <w:r w:rsidR="005561F4" w:rsidRPr="00741C84">
        <w:rPr>
          <w:rFonts w:cstheme="minorHAnsi"/>
          <w:spacing w:val="15"/>
          <w:position w:val="1"/>
          <w:sz w:val="20"/>
          <w:szCs w:val="20"/>
        </w:rPr>
        <w:t xml:space="preserve"> </w:t>
      </w:r>
      <w:r w:rsidR="005561F4" w:rsidRPr="00741C84">
        <w:rPr>
          <w:rFonts w:cstheme="minorHAnsi"/>
          <w:position w:val="1"/>
          <w:sz w:val="20"/>
          <w:szCs w:val="20"/>
        </w:rPr>
        <w:t>valuation</w:t>
      </w:r>
      <w:r w:rsidR="005561F4" w:rsidRPr="00741C84">
        <w:rPr>
          <w:rFonts w:cstheme="minorHAnsi"/>
          <w:spacing w:val="15"/>
          <w:position w:val="1"/>
          <w:sz w:val="20"/>
          <w:szCs w:val="20"/>
        </w:rPr>
        <w:t xml:space="preserve"> </w:t>
      </w:r>
      <w:r w:rsidR="005561F4" w:rsidRPr="00741C84">
        <w:rPr>
          <w:rFonts w:cstheme="minorHAnsi"/>
          <w:position w:val="1"/>
          <w:sz w:val="20"/>
          <w:szCs w:val="20"/>
        </w:rPr>
        <w:t>is</w:t>
      </w:r>
      <w:r w:rsidR="005561F4" w:rsidRPr="00741C84">
        <w:rPr>
          <w:rFonts w:cstheme="minorHAnsi"/>
          <w:spacing w:val="15"/>
          <w:position w:val="1"/>
          <w:sz w:val="20"/>
          <w:szCs w:val="20"/>
        </w:rPr>
        <w:t xml:space="preserve"> </w:t>
      </w:r>
      <w:r w:rsidR="005561F4" w:rsidRPr="00741C84">
        <w:rPr>
          <w:rFonts w:cstheme="minorHAnsi"/>
          <w:position w:val="1"/>
          <w:sz w:val="20"/>
          <w:szCs w:val="20"/>
        </w:rPr>
        <w:t>correct;</w:t>
      </w:r>
      <w:r w:rsidR="005561F4" w:rsidRPr="00741C84">
        <w:rPr>
          <w:rFonts w:cstheme="minorHAnsi"/>
          <w:spacing w:val="15"/>
          <w:position w:val="1"/>
          <w:sz w:val="20"/>
          <w:szCs w:val="20"/>
        </w:rPr>
        <w:t xml:space="preserve"> </w:t>
      </w:r>
      <w:r w:rsidR="005561F4" w:rsidRPr="00741C84">
        <w:rPr>
          <w:rFonts w:cstheme="minorHAnsi"/>
          <w:position w:val="1"/>
          <w:sz w:val="20"/>
          <w:szCs w:val="20"/>
        </w:rPr>
        <w:t>or</w:t>
      </w:r>
    </w:p>
    <w:p w14:paraId="0F8409A0" w14:textId="61C96B18" w:rsidR="005561F4" w:rsidRPr="009112B8" w:rsidRDefault="005561F4" w:rsidP="00651974">
      <w:pPr>
        <w:pStyle w:val="FootnoteText"/>
        <w:rPr>
          <w:rFonts w:cstheme="minorHAnsi"/>
          <w:position w:val="1"/>
        </w:rPr>
      </w:pPr>
      <w:r w:rsidRPr="009112B8">
        <w:rPr>
          <w:rFonts w:cstheme="minorHAnsi"/>
        </w:rPr>
        <w:t>(</w:t>
      </w:r>
      <w:r w:rsidRPr="009112B8">
        <w:rPr>
          <w:rFonts w:cstheme="minorHAnsi"/>
          <w:i/>
        </w:rPr>
        <w:t>f</w:t>
      </w:r>
      <w:r w:rsidRPr="009112B8">
        <w:rPr>
          <w:rFonts w:cstheme="minorHAnsi"/>
          <w:i/>
          <w:spacing w:val="-5"/>
        </w:rPr>
        <w:t xml:space="preserve"> </w:t>
      </w:r>
      <w:r w:rsidRPr="009112B8">
        <w:rPr>
          <w:rFonts w:cstheme="minorHAnsi"/>
        </w:rPr>
        <w:t xml:space="preserve">)    </w:t>
      </w:r>
      <w:r w:rsidR="00651974" w:rsidRPr="009112B8">
        <w:rPr>
          <w:rFonts w:cstheme="minorHAnsi"/>
        </w:rPr>
        <w:t xml:space="preserve">      </w:t>
      </w:r>
      <w:r w:rsidRPr="009112B8">
        <w:rPr>
          <w:rFonts w:cstheme="minorHAnsi"/>
          <w:position w:val="1"/>
        </w:rPr>
        <w:t>whether</w:t>
      </w:r>
      <w:r w:rsidRPr="009112B8">
        <w:rPr>
          <w:rFonts w:cstheme="minorHAnsi"/>
          <w:spacing w:val="22"/>
          <w:position w:val="1"/>
        </w:rPr>
        <w:t xml:space="preserve"> </w:t>
      </w:r>
      <w:r w:rsidRPr="009112B8">
        <w:rPr>
          <w:rFonts w:cstheme="minorHAnsi"/>
          <w:position w:val="1"/>
        </w:rPr>
        <w:t>a</w:t>
      </w:r>
      <w:r w:rsidRPr="009112B8">
        <w:rPr>
          <w:rFonts w:cstheme="minorHAnsi"/>
          <w:spacing w:val="21"/>
          <w:position w:val="1"/>
        </w:rPr>
        <w:t xml:space="preserve"> </w:t>
      </w:r>
      <w:r w:rsidRPr="009112B8">
        <w:rPr>
          <w:rFonts w:cstheme="minorHAnsi"/>
          <w:position w:val="1"/>
        </w:rPr>
        <w:t>‘decision’</w:t>
      </w:r>
      <w:r w:rsidRPr="009112B8">
        <w:rPr>
          <w:rFonts w:cstheme="minorHAnsi"/>
          <w:spacing w:val="22"/>
          <w:position w:val="1"/>
        </w:rPr>
        <w:t xml:space="preserve"> </w:t>
      </w:r>
      <w:r w:rsidRPr="009112B8">
        <w:rPr>
          <w:rFonts w:cstheme="minorHAnsi"/>
          <w:position w:val="1"/>
        </w:rPr>
        <w:t>that</w:t>
      </w:r>
      <w:r w:rsidRPr="009112B8">
        <w:rPr>
          <w:rFonts w:cstheme="minorHAnsi"/>
          <w:spacing w:val="21"/>
          <w:position w:val="1"/>
        </w:rPr>
        <w:t xml:space="preserve"> </w:t>
      </w:r>
      <w:r w:rsidRPr="009112B8">
        <w:rPr>
          <w:rFonts w:cstheme="minorHAnsi"/>
          <w:position w:val="1"/>
        </w:rPr>
        <w:t>is</w:t>
      </w:r>
      <w:r w:rsidRPr="009112B8">
        <w:rPr>
          <w:rFonts w:cstheme="minorHAnsi"/>
          <w:spacing w:val="22"/>
          <w:position w:val="1"/>
        </w:rPr>
        <w:t xml:space="preserve"> </w:t>
      </w:r>
      <w:r w:rsidRPr="009112B8">
        <w:rPr>
          <w:rFonts w:cstheme="minorHAnsi"/>
          <w:position w:val="1"/>
        </w:rPr>
        <w:t>subject</w:t>
      </w:r>
      <w:r w:rsidRPr="009112B8">
        <w:rPr>
          <w:rFonts w:cstheme="minorHAnsi"/>
          <w:spacing w:val="20"/>
          <w:position w:val="1"/>
        </w:rPr>
        <w:t xml:space="preserve"> </w:t>
      </w:r>
      <w:r w:rsidRPr="009112B8">
        <w:rPr>
          <w:rFonts w:cstheme="minorHAnsi"/>
          <w:position w:val="1"/>
        </w:rPr>
        <w:t>to</w:t>
      </w:r>
      <w:r w:rsidRPr="009112B8">
        <w:rPr>
          <w:rFonts w:cstheme="minorHAnsi"/>
          <w:spacing w:val="22"/>
          <w:position w:val="1"/>
        </w:rPr>
        <w:t xml:space="preserve"> </w:t>
      </w:r>
      <w:r w:rsidRPr="009112B8">
        <w:rPr>
          <w:rFonts w:cstheme="minorHAnsi"/>
          <w:position w:val="1"/>
        </w:rPr>
        <w:t>objection</w:t>
      </w:r>
      <w:r w:rsidRPr="009112B8">
        <w:rPr>
          <w:rFonts w:cstheme="minorHAnsi"/>
          <w:spacing w:val="20"/>
          <w:position w:val="1"/>
        </w:rPr>
        <w:t xml:space="preserve"> </w:t>
      </w:r>
      <w:r w:rsidRPr="009112B8">
        <w:rPr>
          <w:rFonts w:cstheme="minorHAnsi"/>
          <w:position w:val="1"/>
        </w:rPr>
        <w:t>and</w:t>
      </w:r>
      <w:r w:rsidRPr="009112B8">
        <w:rPr>
          <w:rFonts w:cstheme="minorHAnsi"/>
          <w:spacing w:val="22"/>
          <w:position w:val="1"/>
        </w:rPr>
        <w:t xml:space="preserve"> </w:t>
      </w:r>
      <w:r w:rsidRPr="009112B8">
        <w:rPr>
          <w:rFonts w:cstheme="minorHAnsi"/>
          <w:position w:val="1"/>
        </w:rPr>
        <w:t>appeal</w:t>
      </w:r>
      <w:r w:rsidRPr="009112B8">
        <w:rPr>
          <w:rFonts w:cstheme="minorHAnsi"/>
          <w:spacing w:val="21"/>
          <w:position w:val="1"/>
        </w:rPr>
        <w:t xml:space="preserve"> </w:t>
      </w:r>
      <w:r w:rsidRPr="009112B8">
        <w:rPr>
          <w:rFonts w:cstheme="minorHAnsi"/>
          <w:position w:val="1"/>
        </w:rPr>
        <w:t>under</w:t>
      </w:r>
      <w:r w:rsidRPr="009112B8">
        <w:rPr>
          <w:rFonts w:cstheme="minorHAnsi"/>
          <w:spacing w:val="21"/>
          <w:position w:val="1"/>
        </w:rPr>
        <w:t xml:space="preserve"> </w:t>
      </w:r>
      <w:r w:rsidRPr="009112B8">
        <w:rPr>
          <w:rFonts w:cstheme="minorHAnsi"/>
          <w:position w:val="1"/>
        </w:rPr>
        <w:t>a</w:t>
      </w:r>
      <w:r w:rsidRPr="009112B8">
        <w:rPr>
          <w:rFonts w:cstheme="minorHAnsi"/>
          <w:spacing w:val="21"/>
          <w:position w:val="1"/>
        </w:rPr>
        <w:t xml:space="preserve"> </w:t>
      </w:r>
      <w:r w:rsidRPr="009112B8">
        <w:rPr>
          <w:rFonts w:cstheme="minorHAnsi"/>
          <w:position w:val="1"/>
        </w:rPr>
        <w:t>tax</w:t>
      </w:r>
      <w:r w:rsidRPr="009112B8">
        <w:rPr>
          <w:rFonts w:cstheme="minorHAnsi"/>
          <w:spacing w:val="22"/>
          <w:position w:val="1"/>
        </w:rPr>
        <w:t xml:space="preserve"> </w:t>
      </w:r>
      <w:r w:rsidRPr="009112B8">
        <w:rPr>
          <w:rFonts w:cstheme="minorHAnsi"/>
          <w:position w:val="1"/>
        </w:rPr>
        <w:t>Act,</w:t>
      </w:r>
      <w:r w:rsidRPr="009112B8">
        <w:rPr>
          <w:rFonts w:cstheme="minorHAnsi"/>
          <w:spacing w:val="21"/>
          <w:position w:val="1"/>
        </w:rPr>
        <w:t xml:space="preserve"> </w:t>
      </w:r>
      <w:r w:rsidRPr="009112B8">
        <w:rPr>
          <w:rFonts w:cstheme="minorHAnsi"/>
          <w:position w:val="1"/>
        </w:rPr>
        <w:t>is</w:t>
      </w:r>
      <w:r w:rsidRPr="009112B8">
        <w:rPr>
          <w:rFonts w:cstheme="minorHAnsi"/>
          <w:spacing w:val="22"/>
          <w:position w:val="1"/>
        </w:rPr>
        <w:t xml:space="preserve"> </w:t>
      </w:r>
      <w:r w:rsidRPr="009112B8">
        <w:rPr>
          <w:rFonts w:cstheme="minorHAnsi"/>
          <w:position w:val="1"/>
        </w:rPr>
        <w:t>incorrect.</w:t>
      </w:r>
      <w:r w:rsidR="00AB3E77">
        <w:rPr>
          <w:rFonts w:cstheme="minorHAnsi"/>
          <w:position w:val="1"/>
        </w:rPr>
        <w:t>’</w:t>
      </w:r>
    </w:p>
    <w:p w14:paraId="5771F406" w14:textId="77777777" w:rsidR="005561F4" w:rsidRPr="009112B8" w:rsidRDefault="005561F4" w:rsidP="005561F4">
      <w:pPr>
        <w:pStyle w:val="FootnoteText"/>
        <w:ind w:left="284" w:hanging="142"/>
        <w:rPr>
          <w:rFonts w:cstheme="minorHAnsi"/>
          <w:lang w:val="en-US"/>
        </w:rPr>
      </w:pPr>
    </w:p>
  </w:footnote>
  <w:footnote w:id="4">
    <w:p w14:paraId="06DF7A63" w14:textId="6E536B84" w:rsidR="006F3534" w:rsidRPr="009112B8" w:rsidRDefault="006F3534" w:rsidP="00197953">
      <w:pPr>
        <w:pStyle w:val="FootnoteText"/>
        <w:rPr>
          <w:rFonts w:cstheme="minorHAnsi"/>
          <w:lang w:val="en-US"/>
        </w:rPr>
      </w:pPr>
      <w:r w:rsidRPr="00B73CB9">
        <w:rPr>
          <w:rStyle w:val="FootnoteReference"/>
          <w:rFonts w:ascii="Arial" w:hAnsi="Arial" w:cs="Arial"/>
          <w:sz w:val="18"/>
          <w:szCs w:val="18"/>
        </w:rPr>
        <w:footnoteRef/>
      </w:r>
      <w:r w:rsidRPr="00B73CB9">
        <w:rPr>
          <w:rFonts w:ascii="Arial" w:hAnsi="Arial" w:cs="Arial"/>
          <w:sz w:val="18"/>
          <w:szCs w:val="18"/>
        </w:rPr>
        <w:t xml:space="preserve"> </w:t>
      </w:r>
      <w:r w:rsidR="00D63745" w:rsidRPr="009112B8">
        <w:rPr>
          <w:rFonts w:cstheme="minorHAnsi"/>
        </w:rPr>
        <w:t>Page</w:t>
      </w:r>
      <w:r w:rsidRPr="009112B8">
        <w:rPr>
          <w:rFonts w:cstheme="minorHAnsi"/>
          <w:lang w:val="en-US"/>
        </w:rPr>
        <w:t xml:space="preserve"> 52 of the </w:t>
      </w:r>
      <w:r w:rsidR="00FC0E88" w:rsidRPr="009112B8">
        <w:rPr>
          <w:rFonts w:cstheme="minorHAnsi"/>
          <w:lang w:val="en-US"/>
        </w:rPr>
        <w:t>record</w:t>
      </w:r>
      <w:r w:rsidR="00D63745" w:rsidRPr="009112B8">
        <w:rPr>
          <w:rFonts w:cstheme="minorHAnsi"/>
          <w:lang w:val="en-US"/>
        </w:rPr>
        <w:t>.</w:t>
      </w:r>
    </w:p>
  </w:footnote>
  <w:footnote w:id="5">
    <w:p w14:paraId="4666E674" w14:textId="0EF62105" w:rsidR="006F3534" w:rsidRPr="009112B8" w:rsidRDefault="006F3534" w:rsidP="00197953">
      <w:pPr>
        <w:pStyle w:val="FootnoteText"/>
        <w:rPr>
          <w:rFonts w:cstheme="minorHAnsi"/>
          <w:lang w:val="en-US"/>
        </w:rPr>
      </w:pPr>
      <w:r w:rsidRPr="009112B8">
        <w:rPr>
          <w:rStyle w:val="FootnoteReference"/>
          <w:rFonts w:cstheme="minorHAnsi"/>
        </w:rPr>
        <w:footnoteRef/>
      </w:r>
      <w:r w:rsidRPr="009112B8">
        <w:rPr>
          <w:rFonts w:cstheme="minorHAnsi"/>
        </w:rPr>
        <w:t xml:space="preserve"> </w:t>
      </w:r>
      <w:r w:rsidR="00FC0E88" w:rsidRPr="009112B8">
        <w:rPr>
          <w:rFonts w:cstheme="minorHAnsi"/>
        </w:rPr>
        <w:t>Id,</w:t>
      </w:r>
      <w:r w:rsidRPr="009112B8">
        <w:rPr>
          <w:rFonts w:cstheme="minorHAnsi"/>
          <w:lang w:val="en-US"/>
        </w:rPr>
        <w:t xml:space="preserve"> p 58</w:t>
      </w:r>
      <w:r w:rsidR="00FC0E88" w:rsidRPr="009112B8">
        <w:rPr>
          <w:rFonts w:cstheme="minorHAnsi"/>
          <w:lang w:val="en-US"/>
        </w:rPr>
        <w:t>.</w:t>
      </w:r>
    </w:p>
  </w:footnote>
  <w:footnote w:id="6">
    <w:p w14:paraId="47441202" w14:textId="6CA56AAF" w:rsidR="006F3534" w:rsidRPr="00FC6D6E" w:rsidRDefault="006F3534" w:rsidP="00197953">
      <w:pPr>
        <w:pStyle w:val="FootnoteText"/>
        <w:rPr>
          <w:lang w:val="en-US"/>
        </w:rPr>
      </w:pPr>
      <w:r>
        <w:rPr>
          <w:rStyle w:val="FootnoteReference"/>
        </w:rPr>
        <w:footnoteRef/>
      </w:r>
      <w:r>
        <w:t xml:space="preserve"> </w:t>
      </w:r>
      <w:r>
        <w:rPr>
          <w:lang w:val="en-US"/>
        </w:rPr>
        <w:t>Paragraph 69</w:t>
      </w:r>
      <w:r w:rsidR="00A311EA">
        <w:rPr>
          <w:lang w:val="en-US"/>
        </w:rPr>
        <w:t>.</w:t>
      </w:r>
    </w:p>
  </w:footnote>
  <w:footnote w:id="7">
    <w:p w14:paraId="1973AF85" w14:textId="6744E21C" w:rsidR="006F3534" w:rsidRPr="00EF5285" w:rsidRDefault="006F3534" w:rsidP="00197953">
      <w:pPr>
        <w:pStyle w:val="FootnoteText"/>
        <w:rPr>
          <w:lang w:val="en-US"/>
        </w:rPr>
      </w:pPr>
      <w:r>
        <w:rPr>
          <w:rStyle w:val="FootnoteReference"/>
        </w:rPr>
        <w:footnoteRef/>
      </w:r>
      <w:r>
        <w:t xml:space="preserve"> 1987 (1) SA 108 (A)</w:t>
      </w:r>
      <w:r w:rsidR="008A297A">
        <w:t>.</w:t>
      </w:r>
      <w:r>
        <w:t xml:space="preserve"> </w:t>
      </w:r>
    </w:p>
  </w:footnote>
  <w:footnote w:id="8">
    <w:p w14:paraId="06213E29" w14:textId="752BBD80" w:rsidR="006F3534" w:rsidRDefault="006F3534" w:rsidP="00197953">
      <w:pPr>
        <w:pStyle w:val="FootnoteText"/>
      </w:pPr>
      <w:r>
        <w:rPr>
          <w:rStyle w:val="FootnoteReference"/>
        </w:rPr>
        <w:footnoteRef/>
      </w:r>
      <w:r>
        <w:t xml:space="preserve"> </w:t>
      </w:r>
      <w:r>
        <w:rPr>
          <w:lang w:val="en-US"/>
        </w:rPr>
        <w:t>80 SATC 417</w:t>
      </w:r>
      <w:r w:rsidR="00E42EB4">
        <w:rPr>
          <w:lang w:val="en-US"/>
        </w:rPr>
        <w:t>.</w:t>
      </w:r>
    </w:p>
  </w:footnote>
  <w:footnote w:id="9">
    <w:p w14:paraId="38B83654" w14:textId="63007071" w:rsidR="006F3534" w:rsidRPr="008409D5" w:rsidRDefault="006F3534">
      <w:pPr>
        <w:pStyle w:val="FootnoteText"/>
        <w:rPr>
          <w:lang w:val="en-GB"/>
        </w:rPr>
      </w:pPr>
      <w:r>
        <w:rPr>
          <w:rStyle w:val="FootnoteReference"/>
        </w:rPr>
        <w:footnoteRef/>
      </w:r>
      <w:r>
        <w:t xml:space="preserve"> </w:t>
      </w:r>
      <w:r w:rsidR="00640CDF">
        <w:t>Id.</w:t>
      </w:r>
      <w:r>
        <w:t xml:space="preserve"> </w:t>
      </w:r>
    </w:p>
  </w:footnote>
  <w:footnote w:id="10">
    <w:p w14:paraId="6291719E" w14:textId="77777777" w:rsidR="005B426A" w:rsidRDefault="005B426A" w:rsidP="005B426A">
      <w:pPr>
        <w:pStyle w:val="FootnoteText"/>
      </w:pPr>
      <w:r>
        <w:rPr>
          <w:rStyle w:val="FootnoteReference"/>
        </w:rPr>
        <w:footnoteRef/>
      </w:r>
      <w:r>
        <w:t xml:space="preserve"> Recently this Court (per Binns-Ward J),</w:t>
      </w:r>
      <w:r w:rsidRPr="0050507E">
        <w:t xml:space="preserve"> </w:t>
      </w:r>
      <w:r>
        <w:t>held</w:t>
      </w:r>
      <w:r w:rsidRPr="0050507E">
        <w:t xml:space="preserve"> </w:t>
      </w:r>
      <w:r>
        <w:t xml:space="preserve">in </w:t>
      </w:r>
      <w:r w:rsidRPr="0050507E">
        <w:rPr>
          <w:i/>
          <w:iCs/>
        </w:rPr>
        <w:t>Poulter v CSARS</w:t>
      </w:r>
      <w:r>
        <w:t xml:space="preserve"> [2024] ZAWCHC 97 para 52 (following earlier decisions of the Appellate Division in </w:t>
      </w:r>
      <w:r w:rsidRPr="00EC2B4A">
        <w:rPr>
          <w:i/>
          <w:iCs/>
        </w:rPr>
        <w:t>Commissioner for Inland Revenue v City Deep</w:t>
      </w:r>
      <w:r>
        <w:t xml:space="preserve"> 1924 AD 298 at 302 and </w:t>
      </w:r>
      <w:r w:rsidRPr="00EC2B4A">
        <w:rPr>
          <w:i/>
          <w:iCs/>
        </w:rPr>
        <w:t>Rand Rose (Pty) Ltd v Commissioner for Inland Revenue</w:t>
      </w:r>
      <w:r>
        <w:t xml:space="preserve">  1944 AD 142, in respect of the ‘special’ tax courts provided for in the previous Income Tax Acts nos. 41 of 1917 and 58 of 1962), that a tax court is not a court of law, but an administrative tribunal.  Although it is established as a court and as such is called upon to discharge its functions in a judicial manner, it falls outside of the judicial court system and hierarchy envisaged by s 106 of the Constitution. </w:t>
      </w:r>
    </w:p>
    <w:p w14:paraId="40677281" w14:textId="00C09DFB" w:rsidR="005B426A" w:rsidRDefault="005B426A">
      <w:pPr>
        <w:pStyle w:val="FootnoteText"/>
      </w:pPr>
    </w:p>
  </w:footnote>
  <w:footnote w:id="11">
    <w:p w14:paraId="577B15EF" w14:textId="2E36209C" w:rsidR="0050507E" w:rsidRDefault="0050507E">
      <w:pPr>
        <w:pStyle w:val="FootnoteText"/>
      </w:pPr>
      <w:r>
        <w:rPr>
          <w:rStyle w:val="FootnoteReference"/>
        </w:rPr>
        <w:footnoteRef/>
      </w:r>
      <w:r>
        <w:t xml:space="preserve"> </w:t>
      </w:r>
      <w:r w:rsidR="005B426A">
        <w:t>P</w:t>
      </w:r>
      <w:r>
        <w:t xml:space="preserve">romulgated on 10 March 2023 </w:t>
      </w:r>
      <w:r w:rsidR="005B426A">
        <w:t>in</w:t>
      </w:r>
      <w:r>
        <w:t xml:space="preserve"> Government Notice R 3146.</w:t>
      </w:r>
    </w:p>
  </w:footnote>
  <w:footnote w:id="12">
    <w:p w14:paraId="445A7141" w14:textId="0287C5B6" w:rsidR="006F3534" w:rsidRPr="009F57D6" w:rsidRDefault="006F3534" w:rsidP="00197953">
      <w:pPr>
        <w:pStyle w:val="FootnoteText"/>
        <w:rPr>
          <w:lang w:val="en-US"/>
        </w:rPr>
      </w:pPr>
      <w:r>
        <w:rPr>
          <w:rStyle w:val="FootnoteReference"/>
        </w:rPr>
        <w:footnoteRef/>
      </w:r>
      <w:r>
        <w:t xml:space="preserve"> 72 </w:t>
      </w:r>
      <w:r>
        <w:rPr>
          <w:lang w:val="en-US"/>
        </w:rPr>
        <w:t>SATC 229</w:t>
      </w:r>
      <w:r w:rsidR="005606B1">
        <w:rPr>
          <w:lang w:val="en-US"/>
        </w:rPr>
        <w:t>.</w:t>
      </w:r>
    </w:p>
  </w:footnote>
  <w:footnote w:id="13">
    <w:p w14:paraId="59C523AB" w14:textId="25D845D5" w:rsidR="006F3534" w:rsidRDefault="006F3534">
      <w:pPr>
        <w:pStyle w:val="FootnoteText"/>
      </w:pPr>
      <w:r>
        <w:rPr>
          <w:rStyle w:val="FootnoteReference"/>
        </w:rPr>
        <w:footnoteRef/>
      </w:r>
      <w:r>
        <w:t xml:space="preserve"> </w:t>
      </w:r>
      <w:r w:rsidR="005B426A">
        <w:t>Note 8</w:t>
      </w:r>
      <w:r>
        <w:t xml:space="preserve"> para 26</w:t>
      </w:r>
      <w:r w:rsidR="005606B1">
        <w:t>.</w:t>
      </w:r>
      <w:r>
        <w:t xml:space="preserve">  </w:t>
      </w:r>
    </w:p>
  </w:footnote>
  <w:footnote w:id="14">
    <w:p w14:paraId="5CB79398" w14:textId="50AE5A90" w:rsidR="006F3534" w:rsidRPr="00545E44" w:rsidRDefault="006F3534" w:rsidP="00197953">
      <w:pPr>
        <w:pStyle w:val="FootnoteText"/>
        <w:rPr>
          <w:rFonts w:ascii="Arial" w:hAnsi="Arial" w:cs="Arial"/>
          <w:sz w:val="24"/>
          <w:lang w:val="en-US"/>
        </w:rPr>
      </w:pPr>
      <w:r>
        <w:rPr>
          <w:rStyle w:val="FootnoteReference"/>
        </w:rPr>
        <w:footnoteRef/>
      </w:r>
      <w:r>
        <w:t xml:space="preserve"> </w:t>
      </w:r>
      <w:r w:rsidRPr="00C707C6">
        <w:rPr>
          <w:rFonts w:cstheme="minorHAnsi"/>
          <w:lang w:val="en-US"/>
        </w:rPr>
        <w:t>2012</w:t>
      </w:r>
      <w:r>
        <w:rPr>
          <w:rFonts w:cstheme="minorHAnsi"/>
          <w:lang w:val="en-US"/>
        </w:rPr>
        <w:t xml:space="preserve"> </w:t>
      </w:r>
      <w:r w:rsidRPr="00C707C6">
        <w:rPr>
          <w:rFonts w:cstheme="minorHAnsi"/>
          <w:lang w:val="en-US"/>
        </w:rPr>
        <w:t>(4) SA 593</w:t>
      </w:r>
      <w:r>
        <w:rPr>
          <w:rFonts w:cstheme="minorHAnsi"/>
          <w:lang w:val="en-US"/>
        </w:rPr>
        <w:t xml:space="preserve"> </w:t>
      </w:r>
      <w:r w:rsidRPr="00C707C6">
        <w:rPr>
          <w:rFonts w:cstheme="minorHAnsi"/>
          <w:lang w:val="en-US"/>
        </w:rPr>
        <w:t>(SCA)</w:t>
      </w:r>
      <w:r w:rsidR="000361F4">
        <w:rPr>
          <w:rFonts w:cstheme="minorHAnsi"/>
          <w:lang w:val="en-US"/>
        </w:rPr>
        <w:t xml:space="preserve"> </w:t>
      </w:r>
      <w:r w:rsidRPr="008409D5">
        <w:rPr>
          <w:rFonts w:cstheme="minorHAnsi"/>
          <w:lang w:val="en-US"/>
        </w:rPr>
        <w:t>paragraph 18</w:t>
      </w:r>
      <w:r w:rsidR="000361F4">
        <w:rPr>
          <w:rFonts w:cstheme="minorHAnsi"/>
          <w:lang w:val="en-US"/>
        </w:rPr>
        <w:t>.</w:t>
      </w:r>
    </w:p>
  </w:footnote>
  <w:footnote w:id="15">
    <w:p w14:paraId="09A604EA" w14:textId="2E16B83D" w:rsidR="006F3534" w:rsidRPr="00953987" w:rsidRDefault="006F3534" w:rsidP="00197953">
      <w:pPr>
        <w:pStyle w:val="FootnoteText"/>
        <w:rPr>
          <w:lang w:val="en-US"/>
        </w:rPr>
      </w:pPr>
      <w:r>
        <w:rPr>
          <w:rStyle w:val="FootnoteReference"/>
        </w:rPr>
        <w:footnoteRef/>
      </w:r>
      <w:r>
        <w:rPr>
          <w:lang w:val="en-US"/>
        </w:rPr>
        <w:t>2024 (2) SA 282 (SCA)</w:t>
      </w:r>
      <w:r w:rsidR="00A214D9">
        <w:rPr>
          <w:lang w:val="en-US"/>
        </w:rPr>
        <w:t>.</w:t>
      </w:r>
      <w:r>
        <w:t xml:space="preserve"> </w:t>
      </w:r>
    </w:p>
  </w:footnote>
  <w:footnote w:id="16">
    <w:p w14:paraId="41173E8E" w14:textId="48CF9DA1" w:rsidR="006F3534" w:rsidRPr="002712AD" w:rsidRDefault="006F3534" w:rsidP="00197953">
      <w:pPr>
        <w:pStyle w:val="FootnoteText"/>
        <w:rPr>
          <w:lang w:val="en-US"/>
        </w:rPr>
      </w:pPr>
      <w:r>
        <w:rPr>
          <w:rStyle w:val="FootnoteReference"/>
        </w:rPr>
        <w:footnoteRef/>
      </w:r>
      <w:r>
        <w:t xml:space="preserve"> </w:t>
      </w:r>
      <w:r>
        <w:rPr>
          <w:lang w:val="en-US"/>
        </w:rPr>
        <w:t>Paragraph 11 page 77</w:t>
      </w:r>
      <w:r w:rsidR="003C1165">
        <w:rPr>
          <w:lang w:val="en-US"/>
        </w:rPr>
        <w:t>.</w:t>
      </w:r>
    </w:p>
  </w:footnote>
  <w:footnote w:id="17">
    <w:p w14:paraId="65F6A232" w14:textId="5B799EBE" w:rsidR="006F3534" w:rsidRPr="00EF3A33" w:rsidRDefault="006F3534" w:rsidP="00197953">
      <w:pPr>
        <w:pStyle w:val="FootnoteText"/>
        <w:rPr>
          <w:lang w:val="en-US"/>
        </w:rPr>
      </w:pPr>
      <w:r>
        <w:rPr>
          <w:rStyle w:val="FootnoteReference"/>
        </w:rPr>
        <w:footnoteRef/>
      </w:r>
      <w:r>
        <w:t xml:space="preserve"> </w:t>
      </w:r>
      <w:r>
        <w:rPr>
          <w:lang w:val="en-US"/>
        </w:rPr>
        <w:t>Paragraph 12 page 78</w:t>
      </w:r>
      <w:r w:rsidR="003C1165">
        <w:rPr>
          <w:lang w:val="en-US"/>
        </w:rPr>
        <w:t>.</w:t>
      </w:r>
    </w:p>
  </w:footnote>
  <w:footnote w:id="18">
    <w:p w14:paraId="37396EA7" w14:textId="2989F375" w:rsidR="006F3534" w:rsidRPr="008409D5" w:rsidRDefault="006F3534">
      <w:pPr>
        <w:pStyle w:val="FootnoteText"/>
        <w:rPr>
          <w:lang w:val="en-GB"/>
        </w:rPr>
      </w:pPr>
      <w:r>
        <w:rPr>
          <w:rStyle w:val="FootnoteReference"/>
        </w:rPr>
        <w:footnoteRef/>
      </w:r>
      <w:r>
        <w:t xml:space="preserve"> </w:t>
      </w:r>
      <w:r w:rsidR="006E16ED">
        <w:t>Note 14</w:t>
      </w:r>
      <w:r>
        <w:t xml:space="preserve"> para 18</w:t>
      </w:r>
      <w:r w:rsidR="006E16ED">
        <w:t>.</w:t>
      </w:r>
    </w:p>
  </w:footnote>
  <w:footnote w:id="19">
    <w:p w14:paraId="1452A715" w14:textId="5FFBA674" w:rsidR="00A942D5" w:rsidRDefault="00A942D5">
      <w:pPr>
        <w:pStyle w:val="FootnoteText"/>
      </w:pPr>
      <w:r>
        <w:rPr>
          <w:rStyle w:val="FootnoteReference"/>
        </w:rPr>
        <w:footnoteRef/>
      </w:r>
      <w:r>
        <w:t xml:space="preserve"> </w:t>
      </w:r>
      <w:r w:rsidRPr="00A942D5">
        <w:rPr>
          <w:i/>
          <w:iCs/>
        </w:rPr>
        <w:t>Democratic Alliance v Speaker of the National Assembly</w:t>
      </w:r>
      <w:r>
        <w:t xml:space="preserve"> [2016] ZACC; 2016 (3) SA 487 (CC) para 27.</w:t>
      </w:r>
    </w:p>
  </w:footnote>
  <w:footnote w:id="20">
    <w:p w14:paraId="0A8EF361" w14:textId="30933EBE" w:rsidR="006F3534" w:rsidRPr="00091484" w:rsidRDefault="006F3534" w:rsidP="00197953">
      <w:pPr>
        <w:pStyle w:val="FootnoteText"/>
        <w:rPr>
          <w:lang w:val="en-US"/>
        </w:rPr>
      </w:pPr>
      <w:r>
        <w:rPr>
          <w:rStyle w:val="FootnoteReference"/>
        </w:rPr>
        <w:footnoteRef/>
      </w:r>
      <w:r>
        <w:t xml:space="preserve"> </w:t>
      </w:r>
      <w:r w:rsidR="00591158">
        <w:t>A</w:t>
      </w:r>
      <w:r w:rsidR="0072065B">
        <w:t>nnexure ‘</w:t>
      </w:r>
      <w:r>
        <w:rPr>
          <w:lang w:val="en-US"/>
        </w:rPr>
        <w:t>MML 2</w:t>
      </w:r>
      <w:r w:rsidR="0072065B">
        <w:rPr>
          <w:lang w:val="en-US"/>
        </w:rPr>
        <w:t>’</w:t>
      </w:r>
      <w:r>
        <w:rPr>
          <w:lang w:val="en-US"/>
        </w:rPr>
        <w:t xml:space="preserve"> </w:t>
      </w:r>
      <w:r w:rsidR="0072065B" w:rsidRPr="0072065B">
        <w:rPr>
          <w:lang w:val="en-US"/>
        </w:rPr>
        <w:t>to the founding affidavit</w:t>
      </w:r>
      <w:r w:rsidR="00866DD6">
        <w:rPr>
          <w:lang w:val="en-US"/>
        </w:rPr>
        <w:t>,</w:t>
      </w:r>
      <w:r w:rsidR="0072065B" w:rsidRPr="0072065B">
        <w:rPr>
          <w:lang w:val="en-US"/>
        </w:rPr>
        <w:t xml:space="preserve"> </w:t>
      </w:r>
      <w:r>
        <w:rPr>
          <w:lang w:val="en-US"/>
        </w:rPr>
        <w:t>page</w:t>
      </w:r>
      <w:r w:rsidR="0072065B">
        <w:rPr>
          <w:lang w:val="en-US"/>
        </w:rPr>
        <w:t>s</w:t>
      </w:r>
      <w:r>
        <w:rPr>
          <w:lang w:val="en-US"/>
        </w:rPr>
        <w:t xml:space="preserve"> 25 -31</w:t>
      </w:r>
      <w:r w:rsidR="0072065B">
        <w:rPr>
          <w:lang w:val="en-US"/>
        </w:rPr>
        <w:t>.</w:t>
      </w:r>
    </w:p>
  </w:footnote>
  <w:footnote w:id="21">
    <w:p w14:paraId="57ED9E63" w14:textId="31F3CAC0" w:rsidR="00591158" w:rsidRDefault="00591158">
      <w:pPr>
        <w:pStyle w:val="FootnoteText"/>
      </w:pPr>
      <w:r>
        <w:rPr>
          <w:rStyle w:val="FootnoteReference"/>
        </w:rPr>
        <w:footnoteRef/>
      </w:r>
      <w:r>
        <w:t xml:space="preserve"> In terms of s 10(1)(s) of the ITA read with the Employment Tax Incentive Act of 2013.</w:t>
      </w:r>
    </w:p>
  </w:footnote>
  <w:footnote w:id="22">
    <w:p w14:paraId="63C130A1" w14:textId="7618CD92" w:rsidR="00866DD6" w:rsidRDefault="00866DD6">
      <w:pPr>
        <w:pStyle w:val="FootnoteText"/>
      </w:pPr>
      <w:r>
        <w:rPr>
          <w:rStyle w:val="FootnoteReference"/>
        </w:rPr>
        <w:footnoteRef/>
      </w:r>
      <w:r>
        <w:t xml:space="preserve"> In terms of s 11(a) of the ITA.</w:t>
      </w:r>
    </w:p>
  </w:footnote>
  <w:footnote w:id="23">
    <w:p w14:paraId="291B9673" w14:textId="18E43FB6" w:rsidR="006F3534" w:rsidRPr="003F16AE" w:rsidRDefault="006F3534" w:rsidP="00197953">
      <w:pPr>
        <w:pStyle w:val="FootnoteText"/>
        <w:rPr>
          <w:lang w:val="en-US"/>
        </w:rPr>
      </w:pPr>
      <w:r>
        <w:rPr>
          <w:rStyle w:val="FootnoteReference"/>
        </w:rPr>
        <w:footnoteRef/>
      </w:r>
      <w:r>
        <w:t xml:space="preserve"> </w:t>
      </w:r>
      <w:r>
        <w:rPr>
          <w:lang w:val="en-US"/>
        </w:rPr>
        <w:t>Para</w:t>
      </w:r>
      <w:r w:rsidR="002B1153">
        <w:rPr>
          <w:lang w:val="en-US"/>
        </w:rPr>
        <w:t>graph</w:t>
      </w:r>
      <w:r w:rsidR="009112B8">
        <w:rPr>
          <w:lang w:val="en-US"/>
        </w:rPr>
        <w:t xml:space="preserve"> </w:t>
      </w:r>
      <w:r>
        <w:rPr>
          <w:lang w:val="en-US"/>
        </w:rPr>
        <w:t>23</w:t>
      </w:r>
      <w:r w:rsidR="002B1153">
        <w:rPr>
          <w:lang w:val="en-US"/>
        </w:rPr>
        <w:t>.</w:t>
      </w:r>
      <w:r>
        <w:rPr>
          <w:lang w:val="en-US"/>
        </w:rPr>
        <w:t xml:space="preserve"> </w:t>
      </w:r>
    </w:p>
  </w:footnote>
  <w:footnote w:id="24">
    <w:p w14:paraId="226774D3" w14:textId="1FB2B182" w:rsidR="006F3534" w:rsidRPr="0090614C" w:rsidRDefault="006F3534" w:rsidP="00197953">
      <w:pPr>
        <w:pStyle w:val="FootnoteText"/>
        <w:rPr>
          <w:lang w:val="en-US"/>
        </w:rPr>
      </w:pPr>
      <w:r>
        <w:rPr>
          <w:rStyle w:val="FootnoteReference"/>
        </w:rPr>
        <w:footnoteRef/>
      </w:r>
      <w:r>
        <w:t xml:space="preserve">  Paragraph 30</w:t>
      </w:r>
      <w:r w:rsidR="00CB2578">
        <w:t>.</w:t>
      </w:r>
    </w:p>
  </w:footnote>
  <w:footnote w:id="25">
    <w:p w14:paraId="275F60D2" w14:textId="7BD8B9AC" w:rsidR="007A6CF3" w:rsidRDefault="007A6CF3">
      <w:pPr>
        <w:pStyle w:val="FootnoteText"/>
      </w:pPr>
      <w:r>
        <w:rPr>
          <w:rStyle w:val="FootnoteReference"/>
        </w:rPr>
        <w:footnoteRef/>
      </w:r>
      <w:r>
        <w:t xml:space="preserve"> </w:t>
      </w:r>
      <w:r w:rsidRPr="007A6CF3">
        <w:rPr>
          <w:lang w:val="en-US"/>
        </w:rPr>
        <w:t xml:space="preserve">If the appeal </w:t>
      </w:r>
      <w:r w:rsidR="00543CBD">
        <w:rPr>
          <w:lang w:val="en-US"/>
        </w:rPr>
        <w:t>is to</w:t>
      </w:r>
      <w:r w:rsidRPr="007A6CF3">
        <w:rPr>
          <w:lang w:val="en-US"/>
        </w:rPr>
        <w:t xml:space="preserve"> proceed</w:t>
      </w:r>
      <w:r>
        <w:rPr>
          <w:lang w:val="en-US"/>
        </w:rPr>
        <w:t>,</w:t>
      </w:r>
      <w:r w:rsidRPr="007A6CF3">
        <w:rPr>
          <w:lang w:val="en-US"/>
        </w:rPr>
        <w:t xml:space="preserve"> SARS must in terms of rule 31(1</w:t>
      </w:r>
      <w:r>
        <w:rPr>
          <w:lang w:val="en-US"/>
        </w:rPr>
        <w:t xml:space="preserve">) </w:t>
      </w:r>
      <w:r w:rsidRPr="007A6CF3">
        <w:rPr>
          <w:lang w:val="en-US"/>
        </w:rPr>
        <w:t xml:space="preserve">deliver to the appellant </w:t>
      </w:r>
      <w:r>
        <w:rPr>
          <w:lang w:val="en-US"/>
        </w:rPr>
        <w:t>its</w:t>
      </w:r>
      <w:r w:rsidRPr="007A6CF3">
        <w:rPr>
          <w:lang w:val="en-US"/>
        </w:rPr>
        <w:t xml:space="preserve"> statement of the grounds of assessment and oppos</w:t>
      </w:r>
      <w:r>
        <w:rPr>
          <w:lang w:val="en-US"/>
        </w:rPr>
        <w:t>ition to</w:t>
      </w:r>
      <w:r w:rsidRPr="007A6CF3">
        <w:rPr>
          <w:lang w:val="en-US"/>
        </w:rPr>
        <w:t xml:space="preserve"> the appeal</w:t>
      </w:r>
      <w:r w:rsidR="00543CBD">
        <w:rPr>
          <w:lang w:val="en-US"/>
        </w:rPr>
        <w:t>,</w:t>
      </w:r>
      <w:r w:rsidRPr="007A6CF3">
        <w:rPr>
          <w:lang w:val="en-US"/>
        </w:rPr>
        <w:t xml:space="preserve"> within 45 days after the </w:t>
      </w:r>
      <w:r>
        <w:rPr>
          <w:lang w:val="en-US"/>
        </w:rPr>
        <w:t xml:space="preserve">substantiating </w:t>
      </w:r>
      <w:r w:rsidRPr="007A6CF3">
        <w:rPr>
          <w:lang w:val="en-US"/>
        </w:rPr>
        <w:t xml:space="preserve">documents </w:t>
      </w:r>
      <w:r>
        <w:rPr>
          <w:lang w:val="en-US"/>
        </w:rPr>
        <w:t xml:space="preserve">which have been called for </w:t>
      </w:r>
      <w:r w:rsidRPr="007A6CF3">
        <w:rPr>
          <w:lang w:val="en-US"/>
        </w:rPr>
        <w:t>have been delivered in terms of rule 10(5)</w:t>
      </w:r>
      <w:r>
        <w:rPr>
          <w:lang w:val="en-US"/>
        </w:rPr>
        <w:t>.</w:t>
      </w:r>
    </w:p>
  </w:footnote>
  <w:footnote w:id="26">
    <w:p w14:paraId="75F97B38" w14:textId="11CC2631" w:rsidR="006F3534" w:rsidRPr="00F56540" w:rsidRDefault="006F3534" w:rsidP="00197953">
      <w:pPr>
        <w:pStyle w:val="FootnoteText"/>
        <w:rPr>
          <w:lang w:val="en-US"/>
        </w:rPr>
      </w:pPr>
      <w:r>
        <w:rPr>
          <w:rStyle w:val="FootnoteReference"/>
        </w:rPr>
        <w:footnoteRef/>
      </w:r>
      <w:r>
        <w:t xml:space="preserve"> </w:t>
      </w:r>
      <w:r w:rsidR="00625B4F">
        <w:t>[2012]</w:t>
      </w:r>
      <w:r>
        <w:t xml:space="preserve"> ZAGPPHC</w:t>
      </w:r>
      <w:r w:rsidR="00625B4F">
        <w:t xml:space="preserve"> </w:t>
      </w:r>
      <w:r>
        <w:t>321 para</w:t>
      </w:r>
      <w:r w:rsidR="00625B4F">
        <w:t>s</w:t>
      </w:r>
      <w:r>
        <w:t xml:space="preserve"> 21 -2</w:t>
      </w:r>
      <w:r w:rsidR="00625B4F">
        <w:t>5.</w:t>
      </w:r>
    </w:p>
  </w:footnote>
  <w:footnote w:id="27">
    <w:p w14:paraId="7EF918DD" w14:textId="4468ED70" w:rsidR="006F3534" w:rsidRPr="000040AE" w:rsidRDefault="006F3534" w:rsidP="00197953">
      <w:pPr>
        <w:pStyle w:val="FootnoteText"/>
        <w:rPr>
          <w:lang w:val="en-US"/>
        </w:rPr>
      </w:pPr>
      <w:r>
        <w:rPr>
          <w:rStyle w:val="FootnoteReference"/>
        </w:rPr>
        <w:footnoteRef/>
      </w:r>
      <w:r>
        <w:t xml:space="preserve"> </w:t>
      </w:r>
      <w:r w:rsidR="00166A08">
        <w:t xml:space="preserve">Note </w:t>
      </w:r>
      <w:r w:rsidR="00967B75">
        <w:t>7 at</w:t>
      </w:r>
      <w:r>
        <w:rPr>
          <w:lang w:val="en-US"/>
        </w:rPr>
        <w:t xml:space="preserve"> </w:t>
      </w:r>
      <w:r w:rsidR="005D0EDD">
        <w:rPr>
          <w:lang w:val="en-US"/>
        </w:rPr>
        <w:t xml:space="preserve">page </w:t>
      </w:r>
      <w:r>
        <w:rPr>
          <w:lang w:val="en-US"/>
        </w:rPr>
        <w:t>125 H-J</w:t>
      </w:r>
      <w:r w:rsidR="00967B75">
        <w:rPr>
          <w:lang w:val="en-US"/>
        </w:rPr>
        <w:t>.</w:t>
      </w:r>
    </w:p>
  </w:footnote>
  <w:footnote w:id="28">
    <w:p w14:paraId="353BCA80" w14:textId="1FB324DE" w:rsidR="006F3534" w:rsidRPr="00797B72" w:rsidRDefault="006F3534" w:rsidP="00197953">
      <w:pPr>
        <w:pStyle w:val="FootnoteText"/>
        <w:rPr>
          <w:lang w:val="en-US"/>
        </w:rPr>
      </w:pPr>
      <w:r>
        <w:rPr>
          <w:rStyle w:val="FootnoteReference"/>
        </w:rPr>
        <w:footnoteRef/>
      </w:r>
      <w:r>
        <w:t xml:space="preserve"> [2012] ZASCA 178 para 11</w:t>
      </w:r>
      <w:r w:rsidR="00C202A4">
        <w:t>.</w:t>
      </w:r>
    </w:p>
  </w:footnote>
  <w:footnote w:id="29">
    <w:p w14:paraId="1F622BC3" w14:textId="046D78D3" w:rsidR="00C854AA" w:rsidRDefault="00C854AA">
      <w:pPr>
        <w:pStyle w:val="FootnoteText"/>
      </w:pPr>
      <w:r>
        <w:rPr>
          <w:rStyle w:val="FootnoteReference"/>
        </w:rPr>
        <w:footnoteRef/>
      </w:r>
      <w:r>
        <w:t xml:space="preserve"> Note</w:t>
      </w:r>
      <w:r w:rsidR="00445234">
        <w:t xml:space="preserve"> 15</w:t>
      </w:r>
      <w:r>
        <w:t xml:space="preserve"> para</w:t>
      </w:r>
      <w:r w:rsidR="00E4463E">
        <w:t>s 12 and</w:t>
      </w:r>
      <w:r>
        <w:t xml:space="preserve"> 40.</w:t>
      </w:r>
    </w:p>
  </w:footnote>
  <w:footnote w:id="30">
    <w:p w14:paraId="11D24CFA" w14:textId="50E962CF" w:rsidR="00062B01" w:rsidRDefault="00062B01">
      <w:pPr>
        <w:pStyle w:val="FootnoteText"/>
      </w:pPr>
      <w:r>
        <w:rPr>
          <w:rStyle w:val="FootnoteReference"/>
        </w:rPr>
        <w:footnoteRef/>
      </w:r>
      <w:r>
        <w:t xml:space="preserve"> </w:t>
      </w:r>
      <w:r w:rsidR="00721CEB" w:rsidRPr="00721CEB">
        <w:rPr>
          <w:i/>
          <w:iCs/>
        </w:rPr>
        <w:t>Matla</w:t>
      </w:r>
      <w:r w:rsidR="00721CEB">
        <w:t xml:space="preserve"> n </w:t>
      </w:r>
      <w:r w:rsidR="003E6440">
        <w:t>7</w:t>
      </w:r>
      <w:r w:rsidR="00545736">
        <w:t xml:space="preserve"> </w:t>
      </w:r>
      <w:r w:rsidR="00721CEB">
        <w:t>p</w:t>
      </w:r>
      <w:r w:rsidR="00721CEB">
        <w:rPr>
          <w:lang w:val="en-US"/>
        </w:rPr>
        <w:t>age</w:t>
      </w:r>
      <w:r w:rsidR="00545736">
        <w:rPr>
          <w:lang w:val="en-US"/>
        </w:rPr>
        <w:t xml:space="preserve"> </w:t>
      </w:r>
      <w:r w:rsidR="00721CEB">
        <w:rPr>
          <w:lang w:val="en-US"/>
        </w:rPr>
        <w:t>125 H-J.</w:t>
      </w:r>
    </w:p>
  </w:footnote>
  <w:footnote w:id="31">
    <w:p w14:paraId="51D45FD9" w14:textId="438F79A0" w:rsidR="006F3534" w:rsidRPr="00AF04F4" w:rsidRDefault="006F3534" w:rsidP="00197953">
      <w:pPr>
        <w:pStyle w:val="FootnoteText"/>
        <w:rPr>
          <w:lang w:val="en-US"/>
        </w:rPr>
      </w:pPr>
      <w:r>
        <w:rPr>
          <w:rStyle w:val="FootnoteReference"/>
        </w:rPr>
        <w:footnoteRef/>
      </w:r>
      <w:r>
        <w:t xml:space="preserve"> </w:t>
      </w:r>
      <w:r w:rsidR="002B3046">
        <w:t>Id, pa</w:t>
      </w:r>
      <w:r>
        <w:t>ragraph</w:t>
      </w:r>
      <w:r w:rsidR="002B3046">
        <w:t>s</w:t>
      </w:r>
      <w:r>
        <w:t xml:space="preserve"> 10-11</w:t>
      </w:r>
      <w:r w:rsidR="002B3046">
        <w:t>.</w:t>
      </w:r>
    </w:p>
  </w:footnote>
  <w:footnote w:id="32">
    <w:p w14:paraId="42C29CAF" w14:textId="5FDA0E3E" w:rsidR="006F3534" w:rsidRPr="008409D5" w:rsidRDefault="006F3534">
      <w:pPr>
        <w:pStyle w:val="FootnoteText"/>
        <w:rPr>
          <w:lang w:val="en-GB"/>
        </w:rPr>
      </w:pPr>
      <w:r>
        <w:rPr>
          <w:rStyle w:val="FootnoteReference"/>
        </w:rPr>
        <w:footnoteRef/>
      </w:r>
      <w:r>
        <w:t xml:space="preserve"> </w:t>
      </w:r>
      <w:r w:rsidRPr="002B3046">
        <w:rPr>
          <w:i/>
          <w:iCs/>
          <w:lang w:val="en-GB"/>
        </w:rPr>
        <w:t>Matla Coal</w:t>
      </w:r>
      <w:r>
        <w:rPr>
          <w:lang w:val="en-GB"/>
        </w:rPr>
        <w:t xml:space="preserve"> </w:t>
      </w:r>
      <w:r w:rsidR="002B3046">
        <w:rPr>
          <w:lang w:val="en-GB"/>
        </w:rPr>
        <w:t>n 7</w:t>
      </w:r>
      <w:r>
        <w:rPr>
          <w:lang w:val="en-GB"/>
        </w:rPr>
        <w:t xml:space="preserve"> para 12</w:t>
      </w:r>
      <w:r w:rsidR="002B3046">
        <w:rPr>
          <w:lang w:val="en-GB"/>
        </w:rPr>
        <w:t>.</w:t>
      </w:r>
    </w:p>
  </w:footnote>
  <w:footnote w:id="33">
    <w:p w14:paraId="07F46B62" w14:textId="5B1168FB" w:rsidR="006F3534" w:rsidRPr="008409D5" w:rsidRDefault="006F3534">
      <w:pPr>
        <w:pStyle w:val="FootnoteText"/>
        <w:rPr>
          <w:lang w:val="en-GB"/>
        </w:rPr>
      </w:pPr>
      <w:r>
        <w:rPr>
          <w:rStyle w:val="FootnoteReference"/>
        </w:rPr>
        <w:footnoteRef/>
      </w:r>
      <w:r>
        <w:t xml:space="preserve"> </w:t>
      </w:r>
      <w:r w:rsidR="00BC6CEC">
        <w:t>[2019] ZATC 19; 85 SATC 535.</w:t>
      </w:r>
    </w:p>
  </w:footnote>
  <w:footnote w:id="34">
    <w:p w14:paraId="6FB69CB2" w14:textId="26AB66D6" w:rsidR="00BC6CEC" w:rsidRDefault="00BC6CEC">
      <w:pPr>
        <w:pStyle w:val="FootnoteText"/>
      </w:pPr>
      <w:r>
        <w:rPr>
          <w:rStyle w:val="FootnoteReference"/>
        </w:rPr>
        <w:footnoteRef/>
      </w:r>
      <w:r>
        <w:t xml:space="preserve"> Id, para 15.</w:t>
      </w:r>
    </w:p>
  </w:footnote>
  <w:footnote w:id="35">
    <w:p w14:paraId="7C9698D7" w14:textId="318DF913" w:rsidR="00E34FF3" w:rsidRDefault="00E34FF3">
      <w:pPr>
        <w:pStyle w:val="FootnoteText"/>
      </w:pPr>
      <w:r>
        <w:rPr>
          <w:rStyle w:val="FootnoteReference"/>
        </w:rPr>
        <w:footnoteRef/>
      </w:r>
      <w:r>
        <w:t xml:space="preserve"> Act 24 of 1936.</w:t>
      </w:r>
    </w:p>
  </w:footnote>
  <w:footnote w:id="36">
    <w:p w14:paraId="3D6CACD9" w14:textId="2542DE53" w:rsidR="00475AB0" w:rsidRDefault="00475AB0">
      <w:pPr>
        <w:pStyle w:val="FootnoteText"/>
      </w:pPr>
      <w:r>
        <w:rPr>
          <w:rStyle w:val="FootnoteReference"/>
        </w:rPr>
        <w:footnoteRef/>
      </w:r>
      <w:r>
        <w:t xml:space="preserve"> [2024] ZACC 1 (delivered on 12 April 2024).</w:t>
      </w:r>
    </w:p>
  </w:footnote>
  <w:footnote w:id="37">
    <w:p w14:paraId="77905D85" w14:textId="04DA7294" w:rsidR="00FC21A8" w:rsidRDefault="00FC21A8">
      <w:pPr>
        <w:pStyle w:val="FootnoteText"/>
      </w:pPr>
      <w:r>
        <w:rPr>
          <w:rStyle w:val="FootnoteReference"/>
        </w:rPr>
        <w:footnoteRef/>
      </w:r>
      <w:r>
        <w:t xml:space="preserve"> Act</w:t>
      </w:r>
      <w:r w:rsidR="00801E18">
        <w:t xml:space="preserve"> 89 of 1991</w:t>
      </w:r>
      <w:r w:rsidR="00F853B8">
        <w:t>.</w:t>
      </w:r>
    </w:p>
  </w:footnote>
  <w:footnote w:id="38">
    <w:p w14:paraId="3E688A20" w14:textId="1819FFA1" w:rsidR="000B49E5" w:rsidRDefault="000B49E5">
      <w:pPr>
        <w:pStyle w:val="FootnoteText"/>
      </w:pPr>
      <w:r>
        <w:rPr>
          <w:rStyle w:val="FootnoteReference"/>
        </w:rPr>
        <w:footnoteRef/>
      </w:r>
      <w:r>
        <w:t xml:space="preserve"> Its decision is reported </w:t>
      </w:r>
      <w:r w:rsidRPr="00F853B8">
        <w:rPr>
          <w:i/>
          <w:iCs/>
        </w:rPr>
        <w:t>sub nom Commissioner, South African Revenue Service v Capitec</w:t>
      </w:r>
      <w:r>
        <w:rPr>
          <w:i/>
          <w:iCs/>
        </w:rPr>
        <w:t xml:space="preserve"> Bank Ltd</w:t>
      </w:r>
      <w:r>
        <w:t xml:space="preserve"> [2022] ZASCA 97; 2022 (6) SA 76 (SCA).</w:t>
      </w:r>
    </w:p>
  </w:footnote>
  <w:footnote w:id="39">
    <w:p w14:paraId="02B3163D" w14:textId="090C7FBA" w:rsidR="00287143" w:rsidRDefault="00287143">
      <w:pPr>
        <w:pStyle w:val="FootnoteText"/>
      </w:pPr>
      <w:r>
        <w:rPr>
          <w:rStyle w:val="FootnoteReference"/>
        </w:rPr>
        <w:footnoteRef/>
      </w:r>
      <w:r>
        <w:t xml:space="preserve"> Paragraph 93.</w:t>
      </w:r>
    </w:p>
  </w:footnote>
  <w:footnote w:id="40">
    <w:p w14:paraId="0305742A" w14:textId="101DD530" w:rsidR="00133CA4" w:rsidRPr="00133CA4" w:rsidRDefault="00133CA4">
      <w:pPr>
        <w:pStyle w:val="FootnoteText"/>
        <w:rPr>
          <w:i/>
          <w:iCs/>
        </w:rPr>
      </w:pPr>
      <w:r>
        <w:rPr>
          <w:rStyle w:val="FootnoteReference"/>
        </w:rPr>
        <w:footnoteRef/>
      </w:r>
      <w:r>
        <w:t xml:space="preserve"> Vide </w:t>
      </w:r>
      <w:r w:rsidRPr="00133CA4">
        <w:rPr>
          <w:i/>
          <w:iCs/>
        </w:rPr>
        <w:t>Commissioner for Inland Revenue v Nemojim (Pty) Ltd</w:t>
      </w:r>
      <w:r>
        <w:t xml:space="preserve"> </w:t>
      </w:r>
      <w:r w:rsidRPr="00133CA4">
        <w:t>1983 (3) SA 935 (A) at 951B-C</w:t>
      </w:r>
      <w:r>
        <w:rPr>
          <w:i/>
          <w:iCs/>
        </w:rPr>
        <w:t>.</w:t>
      </w:r>
    </w:p>
  </w:footnote>
  <w:footnote w:id="41">
    <w:p w14:paraId="1E037F06" w14:textId="366B26F8" w:rsidR="00133CA4" w:rsidRDefault="00133CA4">
      <w:pPr>
        <w:pStyle w:val="FootnoteText"/>
      </w:pPr>
      <w:r>
        <w:rPr>
          <w:rStyle w:val="FootnoteReference"/>
        </w:rPr>
        <w:footnoteRef/>
      </w:r>
      <w:r>
        <w:t xml:space="preserve"> Paragraph 94.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rPr>
      <w:id w:val="348837086"/>
      <w:docPartObj>
        <w:docPartGallery w:val="Page Numbers (Top of Page)"/>
        <w:docPartUnique/>
      </w:docPartObj>
    </w:sdtPr>
    <w:sdtEndPr>
      <w:rPr>
        <w:b/>
        <w:bCs/>
        <w:noProof/>
        <w:color w:val="auto"/>
        <w:spacing w:val="0"/>
      </w:rPr>
    </w:sdtEndPr>
    <w:sdtContent>
      <w:p w14:paraId="313C9482" w14:textId="360086F3" w:rsidR="006F3534" w:rsidRDefault="006F3534">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741C84" w:rsidRPr="00741C84">
          <w:rPr>
            <w:b/>
            <w:bCs/>
            <w:noProof/>
          </w:rPr>
          <w:t>17</w:t>
        </w:r>
        <w:r>
          <w:rPr>
            <w:b/>
            <w:bCs/>
            <w:noProof/>
          </w:rPr>
          <w:fldChar w:fldCharType="end"/>
        </w:r>
      </w:p>
    </w:sdtContent>
  </w:sdt>
  <w:p w14:paraId="313C9483" w14:textId="77777777" w:rsidR="006F3534" w:rsidRDefault="006F35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339A7"/>
    <w:multiLevelType w:val="hybridMultilevel"/>
    <w:tmpl w:val="0D46A726"/>
    <w:lvl w:ilvl="0" w:tplc="124C3AD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E1B2A0F"/>
    <w:multiLevelType w:val="hybridMultilevel"/>
    <w:tmpl w:val="C82CD22E"/>
    <w:lvl w:ilvl="0" w:tplc="B54A69B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4222496B"/>
    <w:multiLevelType w:val="hybridMultilevel"/>
    <w:tmpl w:val="C4F80CE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46626BA"/>
    <w:multiLevelType w:val="hybridMultilevel"/>
    <w:tmpl w:val="19BEF72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E6D4A9E"/>
    <w:multiLevelType w:val="hybridMultilevel"/>
    <w:tmpl w:val="9C44550A"/>
    <w:lvl w:ilvl="0" w:tplc="4B54364E">
      <w:start w:val="1"/>
      <w:numFmt w:val="lowerRoman"/>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2564D04"/>
    <w:multiLevelType w:val="hybridMultilevel"/>
    <w:tmpl w:val="D0DAD2C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15:restartNumberingAfterBreak="0">
    <w:nsid w:val="7A89329D"/>
    <w:multiLevelType w:val="hybridMultilevel"/>
    <w:tmpl w:val="D6C4C164"/>
    <w:lvl w:ilvl="0" w:tplc="D2C0BB80">
      <w:start w:val="1"/>
      <w:numFmt w:val="decimal"/>
      <w:lvlText w:val="%1."/>
      <w:lvlJc w:val="left"/>
      <w:pPr>
        <w:ind w:left="378" w:hanging="378"/>
        <w:jc w:val="right"/>
      </w:pPr>
      <w:rPr>
        <w:rFonts w:ascii="Verdana" w:eastAsia="Verdana" w:hAnsi="Verdana" w:cs="Verdana" w:hint="default"/>
        <w:b/>
        <w:bCs/>
        <w:spacing w:val="0"/>
        <w:w w:val="100"/>
        <w:sz w:val="17"/>
        <w:szCs w:val="17"/>
        <w:lang w:val="en-US" w:eastAsia="en-US" w:bidi="ar-SA"/>
      </w:rPr>
    </w:lvl>
    <w:lvl w:ilvl="1" w:tplc="D6DA140A">
      <w:start w:val="1"/>
      <w:numFmt w:val="lowerLetter"/>
      <w:lvlText w:val="(%2)"/>
      <w:lvlJc w:val="left"/>
      <w:pPr>
        <w:ind w:left="6402" w:hanging="642"/>
      </w:pPr>
      <w:rPr>
        <w:rFonts w:ascii="Verdana" w:eastAsia="Verdana" w:hAnsi="Verdana" w:cs="Verdana" w:hint="default"/>
        <w:spacing w:val="-7"/>
        <w:w w:val="100"/>
        <w:sz w:val="17"/>
        <w:szCs w:val="17"/>
        <w:lang w:val="en-US" w:eastAsia="en-US" w:bidi="ar-SA"/>
      </w:rPr>
    </w:lvl>
    <w:lvl w:ilvl="2" w:tplc="47A02FFA">
      <w:start w:val="1"/>
      <w:numFmt w:val="lowerRoman"/>
      <w:lvlText w:val="(%3)"/>
      <w:lvlJc w:val="left"/>
      <w:pPr>
        <w:ind w:left="1783" w:hanging="300"/>
        <w:jc w:val="right"/>
      </w:pPr>
      <w:rPr>
        <w:rFonts w:hint="default"/>
        <w:spacing w:val="-9"/>
        <w:w w:val="100"/>
        <w:lang w:val="en-US" w:eastAsia="en-US" w:bidi="ar-SA"/>
      </w:rPr>
    </w:lvl>
    <w:lvl w:ilvl="3" w:tplc="F9ACE60E">
      <w:numFmt w:val="bullet"/>
      <w:lvlText w:val="•"/>
      <w:lvlJc w:val="left"/>
      <w:pPr>
        <w:ind w:left="2897" w:hanging="300"/>
      </w:pPr>
      <w:rPr>
        <w:rFonts w:hint="default"/>
        <w:lang w:val="en-US" w:eastAsia="en-US" w:bidi="ar-SA"/>
      </w:rPr>
    </w:lvl>
    <w:lvl w:ilvl="4" w:tplc="5E7C12FC">
      <w:numFmt w:val="bullet"/>
      <w:lvlText w:val="•"/>
      <w:lvlJc w:val="left"/>
      <w:pPr>
        <w:ind w:left="4015" w:hanging="300"/>
      </w:pPr>
      <w:rPr>
        <w:rFonts w:hint="default"/>
        <w:lang w:val="en-US" w:eastAsia="en-US" w:bidi="ar-SA"/>
      </w:rPr>
    </w:lvl>
    <w:lvl w:ilvl="5" w:tplc="B3F06D1E">
      <w:numFmt w:val="bullet"/>
      <w:lvlText w:val="•"/>
      <w:lvlJc w:val="left"/>
      <w:pPr>
        <w:ind w:left="5132" w:hanging="300"/>
      </w:pPr>
      <w:rPr>
        <w:rFonts w:hint="default"/>
        <w:lang w:val="en-US" w:eastAsia="en-US" w:bidi="ar-SA"/>
      </w:rPr>
    </w:lvl>
    <w:lvl w:ilvl="6" w:tplc="A1083AC8">
      <w:numFmt w:val="bullet"/>
      <w:lvlText w:val="•"/>
      <w:lvlJc w:val="left"/>
      <w:pPr>
        <w:ind w:left="6250" w:hanging="300"/>
      </w:pPr>
      <w:rPr>
        <w:rFonts w:hint="default"/>
        <w:lang w:val="en-US" w:eastAsia="en-US" w:bidi="ar-SA"/>
      </w:rPr>
    </w:lvl>
    <w:lvl w:ilvl="7" w:tplc="76A87118">
      <w:numFmt w:val="bullet"/>
      <w:lvlText w:val="•"/>
      <w:lvlJc w:val="left"/>
      <w:pPr>
        <w:ind w:left="7367" w:hanging="300"/>
      </w:pPr>
      <w:rPr>
        <w:rFonts w:hint="default"/>
        <w:lang w:val="en-US" w:eastAsia="en-US" w:bidi="ar-SA"/>
      </w:rPr>
    </w:lvl>
    <w:lvl w:ilvl="8" w:tplc="0380A878">
      <w:numFmt w:val="bullet"/>
      <w:lvlText w:val="•"/>
      <w:lvlJc w:val="left"/>
      <w:pPr>
        <w:ind w:left="8485" w:hanging="300"/>
      </w:pPr>
      <w:rPr>
        <w:rFonts w:hint="default"/>
        <w:lang w:val="en-US" w:eastAsia="en-US" w:bidi="ar-SA"/>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C8D3B3E-3663-4D63-B934-DD6CE432D3A0}"/>
    <w:docVar w:name="dgnword-eventsink" w:val="554871224"/>
  </w:docVars>
  <w:rsids>
    <w:rsidRoot w:val="00446541"/>
    <w:rsid w:val="0000075E"/>
    <w:rsid w:val="00003365"/>
    <w:rsid w:val="00003A9F"/>
    <w:rsid w:val="000040FB"/>
    <w:rsid w:val="00006284"/>
    <w:rsid w:val="00011262"/>
    <w:rsid w:val="00012339"/>
    <w:rsid w:val="00012D62"/>
    <w:rsid w:val="00020639"/>
    <w:rsid w:val="0002272E"/>
    <w:rsid w:val="000361F4"/>
    <w:rsid w:val="00036727"/>
    <w:rsid w:val="000371A8"/>
    <w:rsid w:val="00037453"/>
    <w:rsid w:val="0004389A"/>
    <w:rsid w:val="0004413C"/>
    <w:rsid w:val="000443EE"/>
    <w:rsid w:val="00044DBC"/>
    <w:rsid w:val="00044E55"/>
    <w:rsid w:val="000454D3"/>
    <w:rsid w:val="000513D1"/>
    <w:rsid w:val="000606C4"/>
    <w:rsid w:val="00061DBA"/>
    <w:rsid w:val="00062B01"/>
    <w:rsid w:val="00063FDC"/>
    <w:rsid w:val="000670F4"/>
    <w:rsid w:val="00067C33"/>
    <w:rsid w:val="00073CEC"/>
    <w:rsid w:val="00075B95"/>
    <w:rsid w:val="0008343E"/>
    <w:rsid w:val="000919E7"/>
    <w:rsid w:val="000952A5"/>
    <w:rsid w:val="000A39DA"/>
    <w:rsid w:val="000A5547"/>
    <w:rsid w:val="000A6ECB"/>
    <w:rsid w:val="000B0665"/>
    <w:rsid w:val="000B49E5"/>
    <w:rsid w:val="000B7241"/>
    <w:rsid w:val="000C12F7"/>
    <w:rsid w:val="000C51B3"/>
    <w:rsid w:val="000D22FB"/>
    <w:rsid w:val="000D37E0"/>
    <w:rsid w:val="000D439E"/>
    <w:rsid w:val="000E6A35"/>
    <w:rsid w:val="000E70F4"/>
    <w:rsid w:val="000F522F"/>
    <w:rsid w:val="000F5F2E"/>
    <w:rsid w:val="000F757E"/>
    <w:rsid w:val="00102870"/>
    <w:rsid w:val="001124A4"/>
    <w:rsid w:val="00114810"/>
    <w:rsid w:val="00115B24"/>
    <w:rsid w:val="00116286"/>
    <w:rsid w:val="00116F5F"/>
    <w:rsid w:val="0012318B"/>
    <w:rsid w:val="00124562"/>
    <w:rsid w:val="0012559F"/>
    <w:rsid w:val="00130F60"/>
    <w:rsid w:val="001319C7"/>
    <w:rsid w:val="00133CA4"/>
    <w:rsid w:val="00134AC8"/>
    <w:rsid w:val="00140BA9"/>
    <w:rsid w:val="001418F4"/>
    <w:rsid w:val="00145166"/>
    <w:rsid w:val="00153518"/>
    <w:rsid w:val="00153D83"/>
    <w:rsid w:val="00156D7E"/>
    <w:rsid w:val="00162CE0"/>
    <w:rsid w:val="00164411"/>
    <w:rsid w:val="00165303"/>
    <w:rsid w:val="00166088"/>
    <w:rsid w:val="00166A08"/>
    <w:rsid w:val="00166DE3"/>
    <w:rsid w:val="00170550"/>
    <w:rsid w:val="001708BA"/>
    <w:rsid w:val="001821CB"/>
    <w:rsid w:val="00182610"/>
    <w:rsid w:val="00185BBC"/>
    <w:rsid w:val="00197953"/>
    <w:rsid w:val="001A32B4"/>
    <w:rsid w:val="001A4B11"/>
    <w:rsid w:val="001B2CF2"/>
    <w:rsid w:val="001B2D74"/>
    <w:rsid w:val="001B4129"/>
    <w:rsid w:val="001B4883"/>
    <w:rsid w:val="001B56B2"/>
    <w:rsid w:val="001B5A9E"/>
    <w:rsid w:val="001B7977"/>
    <w:rsid w:val="001C1992"/>
    <w:rsid w:val="001E1950"/>
    <w:rsid w:val="001E5534"/>
    <w:rsid w:val="001E6661"/>
    <w:rsid w:val="001F1689"/>
    <w:rsid w:val="001F195A"/>
    <w:rsid w:val="001F1DC1"/>
    <w:rsid w:val="001F1E93"/>
    <w:rsid w:val="001F552E"/>
    <w:rsid w:val="0020131B"/>
    <w:rsid w:val="00202056"/>
    <w:rsid w:val="002044ED"/>
    <w:rsid w:val="00206A26"/>
    <w:rsid w:val="0021035F"/>
    <w:rsid w:val="002107E3"/>
    <w:rsid w:val="002110AF"/>
    <w:rsid w:val="00214034"/>
    <w:rsid w:val="00214B29"/>
    <w:rsid w:val="00214B3C"/>
    <w:rsid w:val="00217C23"/>
    <w:rsid w:val="002265ED"/>
    <w:rsid w:val="002309A7"/>
    <w:rsid w:val="0023161F"/>
    <w:rsid w:val="0023292C"/>
    <w:rsid w:val="00235987"/>
    <w:rsid w:val="00237B79"/>
    <w:rsid w:val="00237C07"/>
    <w:rsid w:val="00240860"/>
    <w:rsid w:val="00241A8E"/>
    <w:rsid w:val="00243B49"/>
    <w:rsid w:val="00255145"/>
    <w:rsid w:val="00256229"/>
    <w:rsid w:val="00260D67"/>
    <w:rsid w:val="002631DA"/>
    <w:rsid w:val="00264FF1"/>
    <w:rsid w:val="00265751"/>
    <w:rsid w:val="00271713"/>
    <w:rsid w:val="00274AAC"/>
    <w:rsid w:val="00276615"/>
    <w:rsid w:val="002776A9"/>
    <w:rsid w:val="00277BB5"/>
    <w:rsid w:val="002826DA"/>
    <w:rsid w:val="00287143"/>
    <w:rsid w:val="00291925"/>
    <w:rsid w:val="00295FC2"/>
    <w:rsid w:val="002A0D0E"/>
    <w:rsid w:val="002A3102"/>
    <w:rsid w:val="002A4E70"/>
    <w:rsid w:val="002A7664"/>
    <w:rsid w:val="002B1153"/>
    <w:rsid w:val="002B3046"/>
    <w:rsid w:val="002B4E3B"/>
    <w:rsid w:val="002B5580"/>
    <w:rsid w:val="002B6861"/>
    <w:rsid w:val="002B6E36"/>
    <w:rsid w:val="002C120F"/>
    <w:rsid w:val="002C1B8B"/>
    <w:rsid w:val="002C43CE"/>
    <w:rsid w:val="002C4C13"/>
    <w:rsid w:val="002C57BE"/>
    <w:rsid w:val="002C5839"/>
    <w:rsid w:val="002C67C0"/>
    <w:rsid w:val="002C68ED"/>
    <w:rsid w:val="002D2117"/>
    <w:rsid w:val="002D472D"/>
    <w:rsid w:val="002D49F1"/>
    <w:rsid w:val="002D526E"/>
    <w:rsid w:val="002D5924"/>
    <w:rsid w:val="002E02AF"/>
    <w:rsid w:val="002F1075"/>
    <w:rsid w:val="002F6447"/>
    <w:rsid w:val="003006BC"/>
    <w:rsid w:val="003023DC"/>
    <w:rsid w:val="0030730E"/>
    <w:rsid w:val="0030769E"/>
    <w:rsid w:val="00307BE4"/>
    <w:rsid w:val="00311320"/>
    <w:rsid w:val="00311EE9"/>
    <w:rsid w:val="003127DC"/>
    <w:rsid w:val="00336633"/>
    <w:rsid w:val="00340A67"/>
    <w:rsid w:val="0034140E"/>
    <w:rsid w:val="003422A4"/>
    <w:rsid w:val="003428D7"/>
    <w:rsid w:val="00343FA8"/>
    <w:rsid w:val="003451AE"/>
    <w:rsid w:val="00350542"/>
    <w:rsid w:val="00353759"/>
    <w:rsid w:val="0036492D"/>
    <w:rsid w:val="00366743"/>
    <w:rsid w:val="003668D1"/>
    <w:rsid w:val="0037697E"/>
    <w:rsid w:val="003848B1"/>
    <w:rsid w:val="00385B32"/>
    <w:rsid w:val="00385F37"/>
    <w:rsid w:val="00391AD0"/>
    <w:rsid w:val="003A018C"/>
    <w:rsid w:val="003A0527"/>
    <w:rsid w:val="003A295F"/>
    <w:rsid w:val="003A7EC8"/>
    <w:rsid w:val="003A7F5D"/>
    <w:rsid w:val="003B34C8"/>
    <w:rsid w:val="003C1165"/>
    <w:rsid w:val="003C1EF3"/>
    <w:rsid w:val="003C31BC"/>
    <w:rsid w:val="003C3E36"/>
    <w:rsid w:val="003C60F7"/>
    <w:rsid w:val="003D2087"/>
    <w:rsid w:val="003D35E1"/>
    <w:rsid w:val="003D3D65"/>
    <w:rsid w:val="003D448F"/>
    <w:rsid w:val="003D67A0"/>
    <w:rsid w:val="003D7432"/>
    <w:rsid w:val="003D76D2"/>
    <w:rsid w:val="003E0A12"/>
    <w:rsid w:val="003E4301"/>
    <w:rsid w:val="003E6440"/>
    <w:rsid w:val="003F1A71"/>
    <w:rsid w:val="003F2E0F"/>
    <w:rsid w:val="003F3806"/>
    <w:rsid w:val="003F7752"/>
    <w:rsid w:val="00401171"/>
    <w:rsid w:val="004027A6"/>
    <w:rsid w:val="00406C7D"/>
    <w:rsid w:val="0041196A"/>
    <w:rsid w:val="00412A61"/>
    <w:rsid w:val="00412AE2"/>
    <w:rsid w:val="0042338F"/>
    <w:rsid w:val="00424F3D"/>
    <w:rsid w:val="00426660"/>
    <w:rsid w:val="00432410"/>
    <w:rsid w:val="004337F1"/>
    <w:rsid w:val="004340B9"/>
    <w:rsid w:val="004368F7"/>
    <w:rsid w:val="00445234"/>
    <w:rsid w:val="00446541"/>
    <w:rsid w:val="00446F70"/>
    <w:rsid w:val="00460A37"/>
    <w:rsid w:val="0046228E"/>
    <w:rsid w:val="004634CA"/>
    <w:rsid w:val="0047185D"/>
    <w:rsid w:val="00472759"/>
    <w:rsid w:val="00474241"/>
    <w:rsid w:val="004747A9"/>
    <w:rsid w:val="00475AB0"/>
    <w:rsid w:val="00477189"/>
    <w:rsid w:val="004835DD"/>
    <w:rsid w:val="0048367E"/>
    <w:rsid w:val="004852E9"/>
    <w:rsid w:val="00487651"/>
    <w:rsid w:val="0048773F"/>
    <w:rsid w:val="00493B34"/>
    <w:rsid w:val="0049618A"/>
    <w:rsid w:val="004B64EB"/>
    <w:rsid w:val="004C49F1"/>
    <w:rsid w:val="004C50A8"/>
    <w:rsid w:val="004C6730"/>
    <w:rsid w:val="004C7BCC"/>
    <w:rsid w:val="004D0B7F"/>
    <w:rsid w:val="004D1AC5"/>
    <w:rsid w:val="004D3AAA"/>
    <w:rsid w:val="004D507A"/>
    <w:rsid w:val="004E047F"/>
    <w:rsid w:val="004E53B0"/>
    <w:rsid w:val="004E78E2"/>
    <w:rsid w:val="004F1EC4"/>
    <w:rsid w:val="004F2AE9"/>
    <w:rsid w:val="004F2BF5"/>
    <w:rsid w:val="004F6550"/>
    <w:rsid w:val="004F6F38"/>
    <w:rsid w:val="0050018C"/>
    <w:rsid w:val="00501434"/>
    <w:rsid w:val="00502116"/>
    <w:rsid w:val="0050507E"/>
    <w:rsid w:val="0050617B"/>
    <w:rsid w:val="005118A8"/>
    <w:rsid w:val="00517070"/>
    <w:rsid w:val="00517BEF"/>
    <w:rsid w:val="00523191"/>
    <w:rsid w:val="00523838"/>
    <w:rsid w:val="00536768"/>
    <w:rsid w:val="0054019A"/>
    <w:rsid w:val="0054338A"/>
    <w:rsid w:val="00543CBD"/>
    <w:rsid w:val="00545736"/>
    <w:rsid w:val="005527B1"/>
    <w:rsid w:val="00554498"/>
    <w:rsid w:val="005561F4"/>
    <w:rsid w:val="00557BD7"/>
    <w:rsid w:val="005606B1"/>
    <w:rsid w:val="005629BE"/>
    <w:rsid w:val="0057380C"/>
    <w:rsid w:val="005773B1"/>
    <w:rsid w:val="00581660"/>
    <w:rsid w:val="005816DF"/>
    <w:rsid w:val="005829B4"/>
    <w:rsid w:val="005857C3"/>
    <w:rsid w:val="00587C62"/>
    <w:rsid w:val="00591158"/>
    <w:rsid w:val="005922B0"/>
    <w:rsid w:val="005A0466"/>
    <w:rsid w:val="005A432C"/>
    <w:rsid w:val="005A43E6"/>
    <w:rsid w:val="005A4BB0"/>
    <w:rsid w:val="005A66A6"/>
    <w:rsid w:val="005B0EEE"/>
    <w:rsid w:val="005B0F53"/>
    <w:rsid w:val="005B3862"/>
    <w:rsid w:val="005B426A"/>
    <w:rsid w:val="005B6E32"/>
    <w:rsid w:val="005C2B1A"/>
    <w:rsid w:val="005C36A5"/>
    <w:rsid w:val="005C4292"/>
    <w:rsid w:val="005D0D89"/>
    <w:rsid w:val="005D0EDD"/>
    <w:rsid w:val="005D3B93"/>
    <w:rsid w:val="005D40E6"/>
    <w:rsid w:val="005D4BCB"/>
    <w:rsid w:val="005D7D20"/>
    <w:rsid w:val="005E1247"/>
    <w:rsid w:val="005E5021"/>
    <w:rsid w:val="005E567A"/>
    <w:rsid w:val="005F03C5"/>
    <w:rsid w:val="005F5152"/>
    <w:rsid w:val="005F70E6"/>
    <w:rsid w:val="00601B72"/>
    <w:rsid w:val="00603863"/>
    <w:rsid w:val="0060576B"/>
    <w:rsid w:val="006076F4"/>
    <w:rsid w:val="006127E6"/>
    <w:rsid w:val="00613894"/>
    <w:rsid w:val="006165E1"/>
    <w:rsid w:val="0061670E"/>
    <w:rsid w:val="00624E91"/>
    <w:rsid w:val="00625B4F"/>
    <w:rsid w:val="00626600"/>
    <w:rsid w:val="00627290"/>
    <w:rsid w:val="006408AB"/>
    <w:rsid w:val="00640CDF"/>
    <w:rsid w:val="00643495"/>
    <w:rsid w:val="006448A7"/>
    <w:rsid w:val="00645A99"/>
    <w:rsid w:val="00651904"/>
    <w:rsid w:val="00651974"/>
    <w:rsid w:val="0065238A"/>
    <w:rsid w:val="00652A55"/>
    <w:rsid w:val="00656CBC"/>
    <w:rsid w:val="00660A57"/>
    <w:rsid w:val="00663F2F"/>
    <w:rsid w:val="006641E7"/>
    <w:rsid w:val="0066433F"/>
    <w:rsid w:val="006649F1"/>
    <w:rsid w:val="00666B9F"/>
    <w:rsid w:val="006738A2"/>
    <w:rsid w:val="00677D95"/>
    <w:rsid w:val="0068048E"/>
    <w:rsid w:val="006806CE"/>
    <w:rsid w:val="006860AC"/>
    <w:rsid w:val="006874F0"/>
    <w:rsid w:val="006A179A"/>
    <w:rsid w:val="006A3A98"/>
    <w:rsid w:val="006A5F70"/>
    <w:rsid w:val="006B159C"/>
    <w:rsid w:val="006B28D2"/>
    <w:rsid w:val="006B62EC"/>
    <w:rsid w:val="006B739D"/>
    <w:rsid w:val="006C0F2F"/>
    <w:rsid w:val="006C1246"/>
    <w:rsid w:val="006C6861"/>
    <w:rsid w:val="006C6C20"/>
    <w:rsid w:val="006C7165"/>
    <w:rsid w:val="006D0072"/>
    <w:rsid w:val="006D22E9"/>
    <w:rsid w:val="006D3C74"/>
    <w:rsid w:val="006E16ED"/>
    <w:rsid w:val="006E4E14"/>
    <w:rsid w:val="006E4E4C"/>
    <w:rsid w:val="006E5CBA"/>
    <w:rsid w:val="006E6691"/>
    <w:rsid w:val="006E7998"/>
    <w:rsid w:val="006E7FE4"/>
    <w:rsid w:val="006F0A43"/>
    <w:rsid w:val="006F0F0B"/>
    <w:rsid w:val="006F0F39"/>
    <w:rsid w:val="006F12AA"/>
    <w:rsid w:val="006F228D"/>
    <w:rsid w:val="006F3534"/>
    <w:rsid w:val="00700C9F"/>
    <w:rsid w:val="00702D1A"/>
    <w:rsid w:val="00704003"/>
    <w:rsid w:val="00715747"/>
    <w:rsid w:val="007158AB"/>
    <w:rsid w:val="00715E06"/>
    <w:rsid w:val="00720165"/>
    <w:rsid w:val="0072065B"/>
    <w:rsid w:val="00721067"/>
    <w:rsid w:val="007211AC"/>
    <w:rsid w:val="00721CEB"/>
    <w:rsid w:val="00722873"/>
    <w:rsid w:val="0072297E"/>
    <w:rsid w:val="007243D9"/>
    <w:rsid w:val="0072509F"/>
    <w:rsid w:val="00731DE2"/>
    <w:rsid w:val="00732CB2"/>
    <w:rsid w:val="00736A17"/>
    <w:rsid w:val="00741C84"/>
    <w:rsid w:val="00741D27"/>
    <w:rsid w:val="00743D22"/>
    <w:rsid w:val="00747A22"/>
    <w:rsid w:val="007559FB"/>
    <w:rsid w:val="0076098D"/>
    <w:rsid w:val="00761C3B"/>
    <w:rsid w:val="0076543C"/>
    <w:rsid w:val="00767FE0"/>
    <w:rsid w:val="00772B37"/>
    <w:rsid w:val="007735C7"/>
    <w:rsid w:val="00774645"/>
    <w:rsid w:val="00781FAF"/>
    <w:rsid w:val="007910D4"/>
    <w:rsid w:val="00791DFE"/>
    <w:rsid w:val="007955B1"/>
    <w:rsid w:val="00797DD8"/>
    <w:rsid w:val="007A1302"/>
    <w:rsid w:val="007A1AA8"/>
    <w:rsid w:val="007A2450"/>
    <w:rsid w:val="007A6CF3"/>
    <w:rsid w:val="007B1BDF"/>
    <w:rsid w:val="007C08E9"/>
    <w:rsid w:val="007C48FD"/>
    <w:rsid w:val="007C62D1"/>
    <w:rsid w:val="007D2669"/>
    <w:rsid w:val="007D4CB8"/>
    <w:rsid w:val="007D577E"/>
    <w:rsid w:val="007D7489"/>
    <w:rsid w:val="007D7499"/>
    <w:rsid w:val="007E36A7"/>
    <w:rsid w:val="007E7504"/>
    <w:rsid w:val="007F06A3"/>
    <w:rsid w:val="007F06B6"/>
    <w:rsid w:val="007F2AEC"/>
    <w:rsid w:val="007F2D21"/>
    <w:rsid w:val="007F3AE1"/>
    <w:rsid w:val="0080084E"/>
    <w:rsid w:val="00801E18"/>
    <w:rsid w:val="008035EA"/>
    <w:rsid w:val="008055A2"/>
    <w:rsid w:val="008056CE"/>
    <w:rsid w:val="00810E63"/>
    <w:rsid w:val="008203FF"/>
    <w:rsid w:val="00830AB1"/>
    <w:rsid w:val="008356D8"/>
    <w:rsid w:val="00835CEE"/>
    <w:rsid w:val="00836ABE"/>
    <w:rsid w:val="008371F8"/>
    <w:rsid w:val="008409D5"/>
    <w:rsid w:val="0084188D"/>
    <w:rsid w:val="008472F4"/>
    <w:rsid w:val="008474FC"/>
    <w:rsid w:val="0084797D"/>
    <w:rsid w:val="008508EE"/>
    <w:rsid w:val="0085340C"/>
    <w:rsid w:val="008536C9"/>
    <w:rsid w:val="00855811"/>
    <w:rsid w:val="008568BE"/>
    <w:rsid w:val="00862FF9"/>
    <w:rsid w:val="008666F1"/>
    <w:rsid w:val="00866DD6"/>
    <w:rsid w:val="00873807"/>
    <w:rsid w:val="00874B68"/>
    <w:rsid w:val="00875A3D"/>
    <w:rsid w:val="00886149"/>
    <w:rsid w:val="008942B6"/>
    <w:rsid w:val="008A16EB"/>
    <w:rsid w:val="008A297A"/>
    <w:rsid w:val="008B03BF"/>
    <w:rsid w:val="008B0B21"/>
    <w:rsid w:val="008C3905"/>
    <w:rsid w:val="008D7980"/>
    <w:rsid w:val="008E03F7"/>
    <w:rsid w:val="008E38A4"/>
    <w:rsid w:val="008F29AD"/>
    <w:rsid w:val="008F4ECD"/>
    <w:rsid w:val="008F512F"/>
    <w:rsid w:val="008F52E7"/>
    <w:rsid w:val="008F5C12"/>
    <w:rsid w:val="008F5DA5"/>
    <w:rsid w:val="008F63E6"/>
    <w:rsid w:val="008F676A"/>
    <w:rsid w:val="0090005A"/>
    <w:rsid w:val="00903F1E"/>
    <w:rsid w:val="00910BBA"/>
    <w:rsid w:val="009112B8"/>
    <w:rsid w:val="0091532C"/>
    <w:rsid w:val="00920C03"/>
    <w:rsid w:val="00920D17"/>
    <w:rsid w:val="009216A0"/>
    <w:rsid w:val="009255CB"/>
    <w:rsid w:val="00927461"/>
    <w:rsid w:val="00935B37"/>
    <w:rsid w:val="009422D7"/>
    <w:rsid w:val="00944D91"/>
    <w:rsid w:val="00945DE2"/>
    <w:rsid w:val="009533E8"/>
    <w:rsid w:val="0095523F"/>
    <w:rsid w:val="009557AC"/>
    <w:rsid w:val="009559CB"/>
    <w:rsid w:val="009567E7"/>
    <w:rsid w:val="00960F45"/>
    <w:rsid w:val="00961F52"/>
    <w:rsid w:val="0096496E"/>
    <w:rsid w:val="009673BC"/>
    <w:rsid w:val="00967B75"/>
    <w:rsid w:val="00967FA8"/>
    <w:rsid w:val="00971124"/>
    <w:rsid w:val="009813DD"/>
    <w:rsid w:val="00981D6C"/>
    <w:rsid w:val="009843B6"/>
    <w:rsid w:val="00992A11"/>
    <w:rsid w:val="009936F0"/>
    <w:rsid w:val="0099408A"/>
    <w:rsid w:val="0099656B"/>
    <w:rsid w:val="009968DD"/>
    <w:rsid w:val="00997CC1"/>
    <w:rsid w:val="009A2579"/>
    <w:rsid w:val="009A7D2E"/>
    <w:rsid w:val="009B4286"/>
    <w:rsid w:val="009B5EF4"/>
    <w:rsid w:val="009B78D3"/>
    <w:rsid w:val="009C0E3B"/>
    <w:rsid w:val="009C22E4"/>
    <w:rsid w:val="009C2F42"/>
    <w:rsid w:val="009C4C44"/>
    <w:rsid w:val="009D3314"/>
    <w:rsid w:val="009D3AAE"/>
    <w:rsid w:val="009E052D"/>
    <w:rsid w:val="009E4696"/>
    <w:rsid w:val="009E66F7"/>
    <w:rsid w:val="009E743D"/>
    <w:rsid w:val="009F223D"/>
    <w:rsid w:val="009F2F27"/>
    <w:rsid w:val="009F6699"/>
    <w:rsid w:val="009F70FC"/>
    <w:rsid w:val="009F76E2"/>
    <w:rsid w:val="00A063D2"/>
    <w:rsid w:val="00A102A0"/>
    <w:rsid w:val="00A14292"/>
    <w:rsid w:val="00A142E4"/>
    <w:rsid w:val="00A1511C"/>
    <w:rsid w:val="00A16AB3"/>
    <w:rsid w:val="00A20E9F"/>
    <w:rsid w:val="00A214D9"/>
    <w:rsid w:val="00A2209B"/>
    <w:rsid w:val="00A2338E"/>
    <w:rsid w:val="00A25C9C"/>
    <w:rsid w:val="00A311EA"/>
    <w:rsid w:val="00A31FC6"/>
    <w:rsid w:val="00A42837"/>
    <w:rsid w:val="00A434E0"/>
    <w:rsid w:val="00A43586"/>
    <w:rsid w:val="00A460CB"/>
    <w:rsid w:val="00A47BB1"/>
    <w:rsid w:val="00A5604A"/>
    <w:rsid w:val="00A57476"/>
    <w:rsid w:val="00A60D4B"/>
    <w:rsid w:val="00A623CA"/>
    <w:rsid w:val="00A66282"/>
    <w:rsid w:val="00A723EB"/>
    <w:rsid w:val="00A74BEB"/>
    <w:rsid w:val="00A762E5"/>
    <w:rsid w:val="00A809B3"/>
    <w:rsid w:val="00A8123D"/>
    <w:rsid w:val="00A84141"/>
    <w:rsid w:val="00A849A5"/>
    <w:rsid w:val="00A87935"/>
    <w:rsid w:val="00A921C8"/>
    <w:rsid w:val="00A942A1"/>
    <w:rsid w:val="00A942D5"/>
    <w:rsid w:val="00A95F5B"/>
    <w:rsid w:val="00AA0547"/>
    <w:rsid w:val="00AA2922"/>
    <w:rsid w:val="00AA67ED"/>
    <w:rsid w:val="00AB1497"/>
    <w:rsid w:val="00AB267F"/>
    <w:rsid w:val="00AB3E77"/>
    <w:rsid w:val="00AB5DE2"/>
    <w:rsid w:val="00AB6F00"/>
    <w:rsid w:val="00AB70D4"/>
    <w:rsid w:val="00AC37B0"/>
    <w:rsid w:val="00AD26CC"/>
    <w:rsid w:val="00AD4E78"/>
    <w:rsid w:val="00AD6551"/>
    <w:rsid w:val="00AD67D1"/>
    <w:rsid w:val="00AE0553"/>
    <w:rsid w:val="00AE2010"/>
    <w:rsid w:val="00AE4318"/>
    <w:rsid w:val="00AE5FB1"/>
    <w:rsid w:val="00AF6802"/>
    <w:rsid w:val="00B00794"/>
    <w:rsid w:val="00B008F0"/>
    <w:rsid w:val="00B028FF"/>
    <w:rsid w:val="00B02A39"/>
    <w:rsid w:val="00B03EB6"/>
    <w:rsid w:val="00B04212"/>
    <w:rsid w:val="00B056B5"/>
    <w:rsid w:val="00B05C5E"/>
    <w:rsid w:val="00B102F8"/>
    <w:rsid w:val="00B10E5E"/>
    <w:rsid w:val="00B126B1"/>
    <w:rsid w:val="00B1678C"/>
    <w:rsid w:val="00B16F6F"/>
    <w:rsid w:val="00B175D6"/>
    <w:rsid w:val="00B20075"/>
    <w:rsid w:val="00B22B63"/>
    <w:rsid w:val="00B23219"/>
    <w:rsid w:val="00B25249"/>
    <w:rsid w:val="00B25CD3"/>
    <w:rsid w:val="00B338EC"/>
    <w:rsid w:val="00B37AA5"/>
    <w:rsid w:val="00B41D3E"/>
    <w:rsid w:val="00B43B92"/>
    <w:rsid w:val="00B45F8D"/>
    <w:rsid w:val="00B46F29"/>
    <w:rsid w:val="00B5185F"/>
    <w:rsid w:val="00B53844"/>
    <w:rsid w:val="00B542A7"/>
    <w:rsid w:val="00B56DF5"/>
    <w:rsid w:val="00B6016A"/>
    <w:rsid w:val="00B61695"/>
    <w:rsid w:val="00B62DA3"/>
    <w:rsid w:val="00B63866"/>
    <w:rsid w:val="00B66B6C"/>
    <w:rsid w:val="00B71083"/>
    <w:rsid w:val="00B73CB9"/>
    <w:rsid w:val="00B7505B"/>
    <w:rsid w:val="00B7730A"/>
    <w:rsid w:val="00B84696"/>
    <w:rsid w:val="00B84DFE"/>
    <w:rsid w:val="00B86940"/>
    <w:rsid w:val="00B9270B"/>
    <w:rsid w:val="00B9274A"/>
    <w:rsid w:val="00B935AB"/>
    <w:rsid w:val="00B93C58"/>
    <w:rsid w:val="00B93C6F"/>
    <w:rsid w:val="00BA0439"/>
    <w:rsid w:val="00BA0F48"/>
    <w:rsid w:val="00BA1819"/>
    <w:rsid w:val="00BA2399"/>
    <w:rsid w:val="00BA7B15"/>
    <w:rsid w:val="00BB27A9"/>
    <w:rsid w:val="00BB4513"/>
    <w:rsid w:val="00BB74EB"/>
    <w:rsid w:val="00BC4BC7"/>
    <w:rsid w:val="00BC6CEC"/>
    <w:rsid w:val="00BD3BE2"/>
    <w:rsid w:val="00BD5F4C"/>
    <w:rsid w:val="00BD6EF6"/>
    <w:rsid w:val="00BE35F3"/>
    <w:rsid w:val="00BE48AB"/>
    <w:rsid w:val="00BE5A94"/>
    <w:rsid w:val="00BF3869"/>
    <w:rsid w:val="00BF3DCC"/>
    <w:rsid w:val="00BF4A46"/>
    <w:rsid w:val="00BF4DFB"/>
    <w:rsid w:val="00C009B1"/>
    <w:rsid w:val="00C05DD7"/>
    <w:rsid w:val="00C06675"/>
    <w:rsid w:val="00C16C1A"/>
    <w:rsid w:val="00C202A4"/>
    <w:rsid w:val="00C227EC"/>
    <w:rsid w:val="00C247C7"/>
    <w:rsid w:val="00C27057"/>
    <w:rsid w:val="00C31099"/>
    <w:rsid w:val="00C3658E"/>
    <w:rsid w:val="00C36AC9"/>
    <w:rsid w:val="00C44DFC"/>
    <w:rsid w:val="00C52A72"/>
    <w:rsid w:val="00C54083"/>
    <w:rsid w:val="00C54595"/>
    <w:rsid w:val="00C57922"/>
    <w:rsid w:val="00C63E9D"/>
    <w:rsid w:val="00C707C6"/>
    <w:rsid w:val="00C80D52"/>
    <w:rsid w:val="00C81CF5"/>
    <w:rsid w:val="00C81DD1"/>
    <w:rsid w:val="00C8311E"/>
    <w:rsid w:val="00C854AA"/>
    <w:rsid w:val="00C86C39"/>
    <w:rsid w:val="00C943B9"/>
    <w:rsid w:val="00CA11A2"/>
    <w:rsid w:val="00CA2394"/>
    <w:rsid w:val="00CA3BC4"/>
    <w:rsid w:val="00CA439B"/>
    <w:rsid w:val="00CA74EC"/>
    <w:rsid w:val="00CB221C"/>
    <w:rsid w:val="00CB2578"/>
    <w:rsid w:val="00CB2AC2"/>
    <w:rsid w:val="00CB56E7"/>
    <w:rsid w:val="00CB6506"/>
    <w:rsid w:val="00CB7149"/>
    <w:rsid w:val="00CB79D1"/>
    <w:rsid w:val="00CC281D"/>
    <w:rsid w:val="00CD13A9"/>
    <w:rsid w:val="00CD2918"/>
    <w:rsid w:val="00CD383A"/>
    <w:rsid w:val="00CE4D63"/>
    <w:rsid w:val="00CE7B48"/>
    <w:rsid w:val="00CF25B9"/>
    <w:rsid w:val="00CF2FCF"/>
    <w:rsid w:val="00CF3EFD"/>
    <w:rsid w:val="00CF6FDD"/>
    <w:rsid w:val="00D0016D"/>
    <w:rsid w:val="00D02940"/>
    <w:rsid w:val="00D130EF"/>
    <w:rsid w:val="00D15DE1"/>
    <w:rsid w:val="00D20E9D"/>
    <w:rsid w:val="00D22658"/>
    <w:rsid w:val="00D2333F"/>
    <w:rsid w:val="00D33F30"/>
    <w:rsid w:val="00D34B71"/>
    <w:rsid w:val="00D34EEF"/>
    <w:rsid w:val="00D50197"/>
    <w:rsid w:val="00D55244"/>
    <w:rsid w:val="00D56FF6"/>
    <w:rsid w:val="00D61EA5"/>
    <w:rsid w:val="00D63745"/>
    <w:rsid w:val="00D65D0B"/>
    <w:rsid w:val="00D707A5"/>
    <w:rsid w:val="00D725C8"/>
    <w:rsid w:val="00D72E12"/>
    <w:rsid w:val="00D735DB"/>
    <w:rsid w:val="00D84733"/>
    <w:rsid w:val="00D84BCE"/>
    <w:rsid w:val="00D877E4"/>
    <w:rsid w:val="00D87D6B"/>
    <w:rsid w:val="00D91267"/>
    <w:rsid w:val="00D92D2D"/>
    <w:rsid w:val="00D92FAF"/>
    <w:rsid w:val="00D93B41"/>
    <w:rsid w:val="00D9614C"/>
    <w:rsid w:val="00DA0614"/>
    <w:rsid w:val="00DA21D1"/>
    <w:rsid w:val="00DA3B57"/>
    <w:rsid w:val="00DA3BBF"/>
    <w:rsid w:val="00DA4827"/>
    <w:rsid w:val="00DA579F"/>
    <w:rsid w:val="00DB14CF"/>
    <w:rsid w:val="00DB7D0B"/>
    <w:rsid w:val="00DC0375"/>
    <w:rsid w:val="00DC1969"/>
    <w:rsid w:val="00DC5114"/>
    <w:rsid w:val="00DD2CB3"/>
    <w:rsid w:val="00DD5F63"/>
    <w:rsid w:val="00DD6CF3"/>
    <w:rsid w:val="00DD72B2"/>
    <w:rsid w:val="00DE2FAD"/>
    <w:rsid w:val="00DE4ABF"/>
    <w:rsid w:val="00DF09E4"/>
    <w:rsid w:val="00DF4656"/>
    <w:rsid w:val="00DF7D44"/>
    <w:rsid w:val="00E00EBC"/>
    <w:rsid w:val="00E01D95"/>
    <w:rsid w:val="00E04C99"/>
    <w:rsid w:val="00E07310"/>
    <w:rsid w:val="00E110B0"/>
    <w:rsid w:val="00E11FBB"/>
    <w:rsid w:val="00E14EFD"/>
    <w:rsid w:val="00E155BB"/>
    <w:rsid w:val="00E15794"/>
    <w:rsid w:val="00E16E19"/>
    <w:rsid w:val="00E24F19"/>
    <w:rsid w:val="00E318EF"/>
    <w:rsid w:val="00E31BE1"/>
    <w:rsid w:val="00E325FC"/>
    <w:rsid w:val="00E33F5A"/>
    <w:rsid w:val="00E34FF3"/>
    <w:rsid w:val="00E361C4"/>
    <w:rsid w:val="00E37392"/>
    <w:rsid w:val="00E40259"/>
    <w:rsid w:val="00E4188C"/>
    <w:rsid w:val="00E42EB4"/>
    <w:rsid w:val="00E4463E"/>
    <w:rsid w:val="00E47313"/>
    <w:rsid w:val="00E51D73"/>
    <w:rsid w:val="00E51E6E"/>
    <w:rsid w:val="00E52C85"/>
    <w:rsid w:val="00E5325B"/>
    <w:rsid w:val="00E53788"/>
    <w:rsid w:val="00E6770F"/>
    <w:rsid w:val="00E67FAB"/>
    <w:rsid w:val="00E708B7"/>
    <w:rsid w:val="00E71AAB"/>
    <w:rsid w:val="00E76DCF"/>
    <w:rsid w:val="00E77F09"/>
    <w:rsid w:val="00E81B67"/>
    <w:rsid w:val="00E81FFE"/>
    <w:rsid w:val="00E834B5"/>
    <w:rsid w:val="00E85A6C"/>
    <w:rsid w:val="00E911A1"/>
    <w:rsid w:val="00E91A96"/>
    <w:rsid w:val="00EA26F3"/>
    <w:rsid w:val="00EA2C0B"/>
    <w:rsid w:val="00EA4EEE"/>
    <w:rsid w:val="00EA7881"/>
    <w:rsid w:val="00EB4CBA"/>
    <w:rsid w:val="00EB51A8"/>
    <w:rsid w:val="00EB524C"/>
    <w:rsid w:val="00EC2B4A"/>
    <w:rsid w:val="00EC2CA9"/>
    <w:rsid w:val="00EC673B"/>
    <w:rsid w:val="00EC6BD2"/>
    <w:rsid w:val="00ED0E0F"/>
    <w:rsid w:val="00ED3672"/>
    <w:rsid w:val="00ED6E2E"/>
    <w:rsid w:val="00EE6152"/>
    <w:rsid w:val="00EF08E4"/>
    <w:rsid w:val="00EF1E16"/>
    <w:rsid w:val="00EF205C"/>
    <w:rsid w:val="00EF77B3"/>
    <w:rsid w:val="00F00602"/>
    <w:rsid w:val="00F00F78"/>
    <w:rsid w:val="00F023D9"/>
    <w:rsid w:val="00F034C0"/>
    <w:rsid w:val="00F0361A"/>
    <w:rsid w:val="00F0770E"/>
    <w:rsid w:val="00F10605"/>
    <w:rsid w:val="00F10DD3"/>
    <w:rsid w:val="00F14725"/>
    <w:rsid w:val="00F1518B"/>
    <w:rsid w:val="00F30106"/>
    <w:rsid w:val="00F302A2"/>
    <w:rsid w:val="00F34B59"/>
    <w:rsid w:val="00F35226"/>
    <w:rsid w:val="00F355E8"/>
    <w:rsid w:val="00F42685"/>
    <w:rsid w:val="00F428FA"/>
    <w:rsid w:val="00F45F42"/>
    <w:rsid w:val="00F46A87"/>
    <w:rsid w:val="00F47C80"/>
    <w:rsid w:val="00F50E17"/>
    <w:rsid w:val="00F62A3C"/>
    <w:rsid w:val="00F63BD6"/>
    <w:rsid w:val="00F63EE8"/>
    <w:rsid w:val="00F641B0"/>
    <w:rsid w:val="00F645AF"/>
    <w:rsid w:val="00F64FFA"/>
    <w:rsid w:val="00F65437"/>
    <w:rsid w:val="00F670B3"/>
    <w:rsid w:val="00F71A42"/>
    <w:rsid w:val="00F74A1D"/>
    <w:rsid w:val="00F80DB0"/>
    <w:rsid w:val="00F817AE"/>
    <w:rsid w:val="00F853B8"/>
    <w:rsid w:val="00F90254"/>
    <w:rsid w:val="00F91FF7"/>
    <w:rsid w:val="00F943C5"/>
    <w:rsid w:val="00F97667"/>
    <w:rsid w:val="00FA42CD"/>
    <w:rsid w:val="00FA76CD"/>
    <w:rsid w:val="00FB189C"/>
    <w:rsid w:val="00FB669C"/>
    <w:rsid w:val="00FC0BFB"/>
    <w:rsid w:val="00FC0E88"/>
    <w:rsid w:val="00FC21A8"/>
    <w:rsid w:val="00FC2F2A"/>
    <w:rsid w:val="00FD029B"/>
    <w:rsid w:val="00FD71F3"/>
    <w:rsid w:val="00FE0F21"/>
    <w:rsid w:val="00FE122F"/>
    <w:rsid w:val="00FE442A"/>
    <w:rsid w:val="00FE6503"/>
    <w:rsid w:val="00FE6834"/>
    <w:rsid w:val="00FF1CDC"/>
    <w:rsid w:val="00FF26CB"/>
    <w:rsid w:val="00FF2AFB"/>
    <w:rsid w:val="00FF3F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944B"/>
  <w15:docId w15:val="{63B66378-8A19-4BF0-824B-9182E7E9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541"/>
    <w:pPr>
      <w:spacing w:after="0" w:line="240" w:lineRule="auto"/>
    </w:pPr>
    <w:rPr>
      <w:rFonts w:ascii="Times New Roman" w:eastAsia="Times New Roman" w:hAnsi="Times New Roman" w:cs="Times New Roman"/>
      <w:sz w:val="24"/>
      <w:szCs w:val="24"/>
      <w:lang w:eastAsia="en-ZA"/>
    </w:rPr>
  </w:style>
  <w:style w:type="paragraph" w:styleId="Heading1">
    <w:name w:val="heading 1"/>
    <w:basedOn w:val="Normal"/>
    <w:next w:val="Normal"/>
    <w:link w:val="Heading1Char"/>
    <w:uiPriority w:val="9"/>
    <w:qFormat/>
    <w:rsid w:val="00197953"/>
    <w:pPr>
      <w:keepNext/>
      <w:keepLines/>
      <w:spacing w:before="360" w:after="80" w:line="259" w:lineRule="auto"/>
      <w:outlineLvl w:val="0"/>
    </w:pPr>
    <w:rPr>
      <w:rFonts w:asciiTheme="majorHAnsi" w:eastAsiaTheme="majorEastAsia" w:hAnsiTheme="majorHAnsi" w:cstheme="majorBidi"/>
      <w:color w:val="365F9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197953"/>
    <w:pPr>
      <w:keepNext/>
      <w:keepLines/>
      <w:spacing w:before="160" w:after="80" w:line="259" w:lineRule="auto"/>
      <w:outlineLvl w:val="1"/>
    </w:pPr>
    <w:rPr>
      <w:rFonts w:asciiTheme="majorHAnsi" w:eastAsiaTheme="majorEastAsia" w:hAnsiTheme="majorHAnsi" w:cstheme="majorBidi"/>
      <w:color w:val="365F9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197953"/>
    <w:pPr>
      <w:keepNext/>
      <w:keepLines/>
      <w:spacing w:before="160" w:after="80" w:line="259" w:lineRule="auto"/>
      <w:outlineLvl w:val="2"/>
    </w:pPr>
    <w:rPr>
      <w:rFonts w:asciiTheme="minorHAnsi" w:eastAsiaTheme="majorEastAsia" w:hAnsiTheme="minorHAnsi" w:cstheme="majorBidi"/>
      <w:color w:val="365F9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197953"/>
    <w:pPr>
      <w:keepNext/>
      <w:keepLines/>
      <w:spacing w:before="80" w:after="40" w:line="259" w:lineRule="auto"/>
      <w:outlineLvl w:val="3"/>
    </w:pPr>
    <w:rPr>
      <w:rFonts w:asciiTheme="minorHAnsi" w:eastAsiaTheme="majorEastAsia" w:hAnsiTheme="minorHAnsi" w:cstheme="majorBidi"/>
      <w:i/>
      <w:iCs/>
      <w:color w:val="365F91"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197953"/>
    <w:pPr>
      <w:keepNext/>
      <w:keepLines/>
      <w:spacing w:before="80" w:after="40" w:line="259" w:lineRule="auto"/>
      <w:outlineLvl w:val="4"/>
    </w:pPr>
    <w:rPr>
      <w:rFonts w:asciiTheme="minorHAnsi" w:eastAsiaTheme="majorEastAsia" w:hAnsiTheme="minorHAnsi" w:cstheme="majorBidi"/>
      <w:color w:val="365F91"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197953"/>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197953"/>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197953"/>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197953"/>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pageheading">
    <w:name w:val="Front page heading"/>
    <w:basedOn w:val="Normal"/>
    <w:next w:val="Normal"/>
    <w:semiHidden/>
    <w:rsid w:val="00446541"/>
    <w:pPr>
      <w:spacing w:before="180" w:after="180" w:line="360" w:lineRule="auto"/>
      <w:jc w:val="center"/>
    </w:pPr>
    <w:rPr>
      <w:rFonts w:ascii="Arial" w:eastAsia="Calibri" w:hAnsi="Arial"/>
      <w:b/>
      <w:caps/>
      <w:szCs w:val="22"/>
      <w:lang w:eastAsia="en-US"/>
    </w:rPr>
  </w:style>
  <w:style w:type="paragraph" w:styleId="Header">
    <w:name w:val="header"/>
    <w:basedOn w:val="Normal"/>
    <w:link w:val="HeaderChar"/>
    <w:uiPriority w:val="99"/>
    <w:unhideWhenUsed/>
    <w:rsid w:val="00446541"/>
    <w:pPr>
      <w:tabs>
        <w:tab w:val="center" w:pos="4513"/>
        <w:tab w:val="right" w:pos="9026"/>
      </w:tabs>
    </w:pPr>
  </w:style>
  <w:style w:type="character" w:customStyle="1" w:styleId="HeaderChar">
    <w:name w:val="Header Char"/>
    <w:basedOn w:val="DefaultParagraphFont"/>
    <w:link w:val="Header"/>
    <w:uiPriority w:val="99"/>
    <w:rsid w:val="00446541"/>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446541"/>
    <w:rPr>
      <w:rFonts w:ascii="Tahoma" w:hAnsi="Tahoma" w:cs="Tahoma"/>
      <w:sz w:val="16"/>
      <w:szCs w:val="16"/>
    </w:rPr>
  </w:style>
  <w:style w:type="character" w:customStyle="1" w:styleId="BalloonTextChar">
    <w:name w:val="Balloon Text Char"/>
    <w:basedOn w:val="DefaultParagraphFont"/>
    <w:link w:val="BalloonText"/>
    <w:uiPriority w:val="99"/>
    <w:semiHidden/>
    <w:rsid w:val="00446541"/>
    <w:rPr>
      <w:rFonts w:ascii="Tahoma" w:eastAsia="Times New Roman" w:hAnsi="Tahoma" w:cs="Tahoma"/>
      <w:sz w:val="16"/>
      <w:szCs w:val="16"/>
      <w:lang w:eastAsia="en-ZA"/>
    </w:rPr>
  </w:style>
  <w:style w:type="paragraph" w:styleId="ListParagraph">
    <w:name w:val="List Paragraph"/>
    <w:basedOn w:val="Normal"/>
    <w:uiPriority w:val="1"/>
    <w:qFormat/>
    <w:rsid w:val="00A95F5B"/>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197953"/>
    <w:rPr>
      <w:rFonts w:asciiTheme="majorHAnsi" w:eastAsiaTheme="majorEastAsia" w:hAnsiTheme="majorHAnsi" w:cstheme="majorBidi"/>
      <w:color w:val="365F91" w:themeColor="accent1" w:themeShade="BF"/>
      <w:kern w:val="2"/>
      <w:sz w:val="40"/>
      <w:szCs w:val="40"/>
      <w14:ligatures w14:val="standardContextual"/>
    </w:rPr>
  </w:style>
  <w:style w:type="character" w:customStyle="1" w:styleId="Heading2Char">
    <w:name w:val="Heading 2 Char"/>
    <w:basedOn w:val="DefaultParagraphFont"/>
    <w:link w:val="Heading2"/>
    <w:uiPriority w:val="9"/>
    <w:semiHidden/>
    <w:rsid w:val="00197953"/>
    <w:rPr>
      <w:rFonts w:asciiTheme="majorHAnsi" w:eastAsiaTheme="majorEastAsia" w:hAnsiTheme="majorHAnsi" w:cstheme="majorBidi"/>
      <w:color w:val="365F91" w:themeColor="accent1" w:themeShade="BF"/>
      <w:kern w:val="2"/>
      <w:sz w:val="32"/>
      <w:szCs w:val="32"/>
      <w14:ligatures w14:val="standardContextual"/>
    </w:rPr>
  </w:style>
  <w:style w:type="character" w:customStyle="1" w:styleId="Heading3Char">
    <w:name w:val="Heading 3 Char"/>
    <w:basedOn w:val="DefaultParagraphFont"/>
    <w:link w:val="Heading3"/>
    <w:uiPriority w:val="9"/>
    <w:semiHidden/>
    <w:rsid w:val="00197953"/>
    <w:rPr>
      <w:rFonts w:eastAsiaTheme="majorEastAsia" w:cstheme="majorBidi"/>
      <w:color w:val="365F91" w:themeColor="accent1" w:themeShade="BF"/>
      <w:kern w:val="2"/>
      <w:sz w:val="28"/>
      <w:szCs w:val="28"/>
      <w14:ligatures w14:val="standardContextual"/>
    </w:rPr>
  </w:style>
  <w:style w:type="character" w:customStyle="1" w:styleId="Heading4Char">
    <w:name w:val="Heading 4 Char"/>
    <w:basedOn w:val="DefaultParagraphFont"/>
    <w:link w:val="Heading4"/>
    <w:uiPriority w:val="9"/>
    <w:semiHidden/>
    <w:rsid w:val="00197953"/>
    <w:rPr>
      <w:rFonts w:eastAsiaTheme="majorEastAsia" w:cstheme="majorBidi"/>
      <w:i/>
      <w:iCs/>
      <w:color w:val="365F91" w:themeColor="accent1" w:themeShade="BF"/>
      <w:kern w:val="2"/>
      <w14:ligatures w14:val="standardContextual"/>
    </w:rPr>
  </w:style>
  <w:style w:type="character" w:customStyle="1" w:styleId="Heading5Char">
    <w:name w:val="Heading 5 Char"/>
    <w:basedOn w:val="DefaultParagraphFont"/>
    <w:link w:val="Heading5"/>
    <w:uiPriority w:val="9"/>
    <w:semiHidden/>
    <w:rsid w:val="00197953"/>
    <w:rPr>
      <w:rFonts w:eastAsiaTheme="majorEastAsia" w:cstheme="majorBidi"/>
      <w:color w:val="365F91" w:themeColor="accent1" w:themeShade="BF"/>
      <w:kern w:val="2"/>
      <w14:ligatures w14:val="standardContextual"/>
    </w:rPr>
  </w:style>
  <w:style w:type="character" w:customStyle="1" w:styleId="Heading6Char">
    <w:name w:val="Heading 6 Char"/>
    <w:basedOn w:val="DefaultParagraphFont"/>
    <w:link w:val="Heading6"/>
    <w:uiPriority w:val="9"/>
    <w:semiHidden/>
    <w:rsid w:val="00197953"/>
    <w:rPr>
      <w:rFonts w:eastAsiaTheme="majorEastAsia" w:cstheme="majorBidi"/>
      <w:i/>
      <w:iCs/>
      <w:color w:val="595959" w:themeColor="text1" w:themeTint="A6"/>
      <w:kern w:val="2"/>
      <w14:ligatures w14:val="standardContextual"/>
    </w:rPr>
  </w:style>
  <w:style w:type="character" w:customStyle="1" w:styleId="Heading7Char">
    <w:name w:val="Heading 7 Char"/>
    <w:basedOn w:val="DefaultParagraphFont"/>
    <w:link w:val="Heading7"/>
    <w:uiPriority w:val="9"/>
    <w:semiHidden/>
    <w:rsid w:val="00197953"/>
    <w:rPr>
      <w:rFonts w:eastAsiaTheme="majorEastAsia" w:cstheme="majorBidi"/>
      <w:color w:val="595959" w:themeColor="text1" w:themeTint="A6"/>
      <w:kern w:val="2"/>
      <w14:ligatures w14:val="standardContextual"/>
    </w:rPr>
  </w:style>
  <w:style w:type="character" w:customStyle="1" w:styleId="Heading8Char">
    <w:name w:val="Heading 8 Char"/>
    <w:basedOn w:val="DefaultParagraphFont"/>
    <w:link w:val="Heading8"/>
    <w:uiPriority w:val="9"/>
    <w:semiHidden/>
    <w:rsid w:val="00197953"/>
    <w:rPr>
      <w:rFonts w:eastAsiaTheme="majorEastAsia" w:cstheme="majorBidi"/>
      <w:i/>
      <w:iCs/>
      <w:color w:val="272727" w:themeColor="text1" w:themeTint="D8"/>
      <w:kern w:val="2"/>
      <w14:ligatures w14:val="standardContextual"/>
    </w:rPr>
  </w:style>
  <w:style w:type="character" w:customStyle="1" w:styleId="Heading9Char">
    <w:name w:val="Heading 9 Char"/>
    <w:basedOn w:val="DefaultParagraphFont"/>
    <w:link w:val="Heading9"/>
    <w:uiPriority w:val="9"/>
    <w:semiHidden/>
    <w:rsid w:val="00197953"/>
    <w:rPr>
      <w:rFonts w:eastAsiaTheme="majorEastAsia" w:cstheme="majorBidi"/>
      <w:color w:val="272727" w:themeColor="text1" w:themeTint="D8"/>
      <w:kern w:val="2"/>
      <w14:ligatures w14:val="standardContextual"/>
    </w:rPr>
  </w:style>
  <w:style w:type="paragraph" w:styleId="Title">
    <w:name w:val="Title"/>
    <w:basedOn w:val="Normal"/>
    <w:next w:val="Normal"/>
    <w:link w:val="TitleChar"/>
    <w:uiPriority w:val="10"/>
    <w:qFormat/>
    <w:rsid w:val="00197953"/>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197953"/>
    <w:rPr>
      <w:rFonts w:asciiTheme="majorHAnsi" w:eastAsiaTheme="majorEastAsia" w:hAnsiTheme="majorHAnsi" w:cstheme="majorBidi"/>
      <w:spacing w:val="-10"/>
      <w:kern w:val="28"/>
      <w:sz w:val="56"/>
      <w:szCs w:val="56"/>
      <w14:ligatures w14:val="standardContextual"/>
    </w:rPr>
  </w:style>
  <w:style w:type="paragraph" w:styleId="Subtitle">
    <w:name w:val="Subtitle"/>
    <w:basedOn w:val="Normal"/>
    <w:next w:val="Normal"/>
    <w:link w:val="SubtitleChar"/>
    <w:uiPriority w:val="11"/>
    <w:qFormat/>
    <w:rsid w:val="00197953"/>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197953"/>
    <w:rPr>
      <w:rFonts w:eastAsiaTheme="majorEastAsia" w:cstheme="majorBidi"/>
      <w:color w:val="595959" w:themeColor="text1" w:themeTint="A6"/>
      <w:spacing w:val="15"/>
      <w:kern w:val="2"/>
      <w:sz w:val="28"/>
      <w:szCs w:val="28"/>
      <w14:ligatures w14:val="standardContextual"/>
    </w:rPr>
  </w:style>
  <w:style w:type="paragraph" w:styleId="Quote">
    <w:name w:val="Quote"/>
    <w:basedOn w:val="Normal"/>
    <w:next w:val="Normal"/>
    <w:link w:val="QuoteChar"/>
    <w:uiPriority w:val="29"/>
    <w:qFormat/>
    <w:rsid w:val="00197953"/>
    <w:pPr>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197953"/>
    <w:rPr>
      <w:i/>
      <w:iCs/>
      <w:color w:val="404040" w:themeColor="text1" w:themeTint="BF"/>
      <w:kern w:val="2"/>
      <w14:ligatures w14:val="standardContextual"/>
    </w:rPr>
  </w:style>
  <w:style w:type="character" w:styleId="IntenseEmphasis">
    <w:name w:val="Intense Emphasis"/>
    <w:basedOn w:val="DefaultParagraphFont"/>
    <w:uiPriority w:val="21"/>
    <w:qFormat/>
    <w:rsid w:val="00197953"/>
    <w:rPr>
      <w:i/>
      <w:iCs/>
      <w:color w:val="365F91" w:themeColor="accent1" w:themeShade="BF"/>
    </w:rPr>
  </w:style>
  <w:style w:type="paragraph" w:styleId="IntenseQuote">
    <w:name w:val="Intense Quote"/>
    <w:basedOn w:val="Normal"/>
    <w:next w:val="Normal"/>
    <w:link w:val="IntenseQuoteChar"/>
    <w:uiPriority w:val="30"/>
    <w:qFormat/>
    <w:rsid w:val="00197953"/>
    <w:pPr>
      <w:pBdr>
        <w:top w:val="single" w:sz="4" w:space="10" w:color="365F91" w:themeColor="accent1" w:themeShade="BF"/>
        <w:bottom w:val="single" w:sz="4" w:space="10" w:color="365F91" w:themeColor="accent1" w:themeShade="BF"/>
      </w:pBdr>
      <w:spacing w:before="360" w:after="360" w:line="259" w:lineRule="auto"/>
      <w:ind w:left="864" w:right="864"/>
      <w:jc w:val="center"/>
    </w:pPr>
    <w:rPr>
      <w:rFonts w:asciiTheme="minorHAnsi" w:eastAsiaTheme="minorHAnsi" w:hAnsiTheme="minorHAnsi" w:cstheme="minorBidi"/>
      <w:i/>
      <w:iCs/>
      <w:color w:val="365F91"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197953"/>
    <w:rPr>
      <w:i/>
      <w:iCs/>
      <w:color w:val="365F91" w:themeColor="accent1" w:themeShade="BF"/>
      <w:kern w:val="2"/>
      <w14:ligatures w14:val="standardContextual"/>
    </w:rPr>
  </w:style>
  <w:style w:type="character" w:styleId="IntenseReference">
    <w:name w:val="Intense Reference"/>
    <w:basedOn w:val="DefaultParagraphFont"/>
    <w:uiPriority w:val="32"/>
    <w:qFormat/>
    <w:rsid w:val="00197953"/>
    <w:rPr>
      <w:b/>
      <w:bCs/>
      <w:smallCaps/>
      <w:color w:val="365F91" w:themeColor="accent1" w:themeShade="BF"/>
      <w:spacing w:val="5"/>
    </w:rPr>
  </w:style>
  <w:style w:type="paragraph" w:styleId="FootnoteText">
    <w:name w:val="footnote text"/>
    <w:basedOn w:val="Normal"/>
    <w:link w:val="FootnoteTextChar"/>
    <w:uiPriority w:val="99"/>
    <w:semiHidden/>
    <w:unhideWhenUsed/>
    <w:rsid w:val="00197953"/>
    <w:rPr>
      <w:rFonts w:asciiTheme="minorHAnsi" w:eastAsiaTheme="minorHAnsi" w:hAnsiTheme="minorHAnsi" w:cstheme="minorBidi"/>
      <w:kern w:val="2"/>
      <w:sz w:val="20"/>
      <w:szCs w:val="20"/>
      <w:lang w:eastAsia="en-US"/>
      <w14:ligatures w14:val="standardContextual"/>
    </w:rPr>
  </w:style>
  <w:style w:type="character" w:customStyle="1" w:styleId="FootnoteTextChar">
    <w:name w:val="Footnote Text Char"/>
    <w:basedOn w:val="DefaultParagraphFont"/>
    <w:link w:val="FootnoteText"/>
    <w:uiPriority w:val="99"/>
    <w:semiHidden/>
    <w:rsid w:val="00197953"/>
    <w:rPr>
      <w:kern w:val="2"/>
      <w:sz w:val="20"/>
      <w:szCs w:val="20"/>
      <w14:ligatures w14:val="standardContextual"/>
    </w:rPr>
  </w:style>
  <w:style w:type="character" w:styleId="FootnoteReference">
    <w:name w:val="footnote reference"/>
    <w:basedOn w:val="DefaultParagraphFont"/>
    <w:uiPriority w:val="99"/>
    <w:semiHidden/>
    <w:unhideWhenUsed/>
    <w:rsid w:val="00197953"/>
    <w:rPr>
      <w:vertAlign w:val="superscript"/>
    </w:rPr>
  </w:style>
  <w:style w:type="paragraph" w:styleId="BodyText">
    <w:name w:val="Body Text"/>
    <w:basedOn w:val="Normal"/>
    <w:link w:val="BodyTextChar"/>
    <w:uiPriority w:val="1"/>
    <w:qFormat/>
    <w:rsid w:val="00197953"/>
    <w:pPr>
      <w:widowControl w:val="0"/>
      <w:autoSpaceDE w:val="0"/>
      <w:autoSpaceDN w:val="0"/>
      <w:ind w:left="1398"/>
    </w:pPr>
    <w:rPr>
      <w:rFonts w:ascii="Verdana" w:eastAsia="Verdana" w:hAnsi="Verdana" w:cs="Verdana"/>
      <w:sz w:val="17"/>
      <w:szCs w:val="17"/>
      <w:lang w:val="en-US" w:eastAsia="en-US"/>
    </w:rPr>
  </w:style>
  <w:style w:type="character" w:customStyle="1" w:styleId="BodyTextChar">
    <w:name w:val="Body Text Char"/>
    <w:basedOn w:val="DefaultParagraphFont"/>
    <w:link w:val="BodyText"/>
    <w:uiPriority w:val="1"/>
    <w:rsid w:val="00197953"/>
    <w:rPr>
      <w:rFonts w:ascii="Verdana" w:eastAsia="Verdana" w:hAnsi="Verdana" w:cs="Verdana"/>
      <w:sz w:val="17"/>
      <w:szCs w:val="17"/>
      <w:lang w:val="en-US"/>
    </w:rPr>
  </w:style>
  <w:style w:type="paragraph" w:customStyle="1" w:styleId="western">
    <w:name w:val="western"/>
    <w:basedOn w:val="Normal"/>
    <w:rsid w:val="00197953"/>
    <w:pPr>
      <w:spacing w:before="100" w:beforeAutospacing="1" w:after="100" w:afterAutospacing="1"/>
    </w:pPr>
  </w:style>
  <w:style w:type="character" w:styleId="Hyperlink">
    <w:name w:val="Hyperlink"/>
    <w:basedOn w:val="DefaultParagraphFont"/>
    <w:uiPriority w:val="99"/>
    <w:semiHidden/>
    <w:unhideWhenUsed/>
    <w:rsid w:val="00197953"/>
    <w:rPr>
      <w:color w:val="0000FF"/>
      <w:u w:val="single"/>
    </w:rPr>
  </w:style>
  <w:style w:type="paragraph" w:styleId="Footer">
    <w:name w:val="footer"/>
    <w:basedOn w:val="Normal"/>
    <w:link w:val="FooterChar"/>
    <w:uiPriority w:val="99"/>
    <w:semiHidden/>
    <w:unhideWhenUsed/>
    <w:rsid w:val="00197953"/>
    <w:pPr>
      <w:tabs>
        <w:tab w:val="center" w:pos="4513"/>
        <w:tab w:val="right" w:pos="9026"/>
      </w:tabs>
    </w:pPr>
    <w:rPr>
      <w:rFonts w:asciiTheme="minorHAnsi" w:eastAsiaTheme="minorHAnsi" w:hAnsiTheme="minorHAnsi" w:cstheme="minorBidi"/>
      <w:kern w:val="2"/>
      <w:sz w:val="22"/>
      <w:szCs w:val="22"/>
      <w:lang w:eastAsia="en-US"/>
      <w14:ligatures w14:val="standardContextual"/>
    </w:rPr>
  </w:style>
  <w:style w:type="character" w:customStyle="1" w:styleId="FooterChar">
    <w:name w:val="Footer Char"/>
    <w:basedOn w:val="DefaultParagraphFont"/>
    <w:link w:val="Footer"/>
    <w:uiPriority w:val="99"/>
    <w:semiHidden/>
    <w:rsid w:val="00197953"/>
    <w:rPr>
      <w:kern w:val="2"/>
      <w14:ligatures w14:val="standardContextual"/>
    </w:rPr>
  </w:style>
  <w:style w:type="paragraph" w:styleId="Revision">
    <w:name w:val="Revision"/>
    <w:hidden/>
    <w:uiPriority w:val="99"/>
    <w:semiHidden/>
    <w:rsid w:val="00C707C6"/>
    <w:pPr>
      <w:spacing w:after="0"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7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flii.org/cgi-bin/LawCite?cit=2007%20%286%29%20SA%206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CCA23-23F4-452D-867A-69899797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18</Pages>
  <Words>12542</Words>
  <Characters>71496</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Matthews</dc:creator>
  <cp:keywords/>
  <dc:description/>
  <cp:lastModifiedBy>Mary Bruce</cp:lastModifiedBy>
  <cp:revision>12</cp:revision>
  <cp:lastPrinted>2024-03-18T07:55:00Z</cp:lastPrinted>
  <dcterms:created xsi:type="dcterms:W3CDTF">2024-04-25T11:11:00Z</dcterms:created>
  <dcterms:modified xsi:type="dcterms:W3CDTF">2024-04-29T07:42:00Z</dcterms:modified>
</cp:coreProperties>
</file>