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SIU and Another v Lebelo and Others </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hyperlink r:id="rId8">
              <w:r w:rsidDel="00000000" w:rsidR="00000000" w:rsidRPr="00000000">
                <w:rPr>
                  <w:rFonts w:ascii="Gill Sans" w:cs="Gill Sans" w:eastAsia="Gill Sans" w:hAnsi="Gill Sans"/>
                  <w:color w:val="0563c1"/>
                  <w:u w:val="single"/>
                  <w:rtl w:val="0"/>
                </w:rPr>
                <w:t xml:space="preserve">https://www.justice.gov.za/tribunal/jdm/ST-Judgment-GP-06-2022.pdf</w:t>
              </w:r>
            </w:hyperlink>
            <w:r w:rsidDel="00000000" w:rsidR="00000000" w:rsidRPr="00000000">
              <w:rPr>
                <w:rFonts w:ascii="Gill Sans" w:cs="Gill Sans" w:eastAsia="Gill Sans" w:hAnsi="Gill Sans"/>
                <w:rtl w:val="0"/>
              </w:rPr>
              <w:t xml:space="preserve"> </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(GP06/2022)</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8 August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Rule </w:t>
            </w:r>
            <w:r w:rsidDel="00000000" w:rsidR="00000000" w:rsidRPr="00000000">
              <w:rPr>
                <w:rFonts w:ascii="Gill Sans" w:cs="Gill Sans" w:eastAsia="Gill Sans" w:hAnsi="Gill Sans"/>
                <w:i w:val="1"/>
                <w:rtl w:val="0"/>
              </w:rPr>
              <w:t xml:space="preserve">nisi</w:t>
            </w:r>
            <w:r w:rsidDel="00000000" w:rsidR="00000000" w:rsidRPr="00000000">
              <w:rPr>
                <w:rFonts w:ascii="Gill Sans" w:cs="Gill Sans" w:eastAsia="Gill Sans" w:hAnsi="Gill Sans"/>
                <w:rtl w:val="0"/>
              </w:rPr>
              <w:t xml:space="preserve">, pension benefits, immovable properties, preservation application, curator </w:t>
            </w:r>
            <w:r w:rsidDel="00000000" w:rsidR="00000000" w:rsidRPr="00000000">
              <w:rPr>
                <w:rFonts w:ascii="Gill Sans" w:cs="Gill Sans" w:eastAsia="Gill Sans" w:hAnsi="Gill Sans"/>
                <w:i w:val="1"/>
                <w:rtl w:val="0"/>
              </w:rPr>
              <w:t xml:space="preserve">bonis</w:t>
            </w:r>
            <w:r w:rsidDel="00000000" w:rsidR="00000000" w:rsidRPr="00000000">
              <w:rPr>
                <w:rFonts w:ascii="Gill Sans" w:cs="Gill Sans" w:eastAsia="Gill Sans" w:hAnsi="Gill Sans"/>
                <w:rtl w:val="0"/>
              </w:rPr>
              <w:t xml:space="preserve">, discretion, purpose, pension benefits, misconduct, unlawful, profits, civil proceedings </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Rule </w:t>
            </w:r>
            <w:r w:rsidDel="00000000" w:rsidR="00000000" w:rsidRPr="00000000">
              <w:rPr>
                <w:rFonts w:ascii="Gill Sans" w:cs="Gill Sans" w:eastAsia="Gill Sans" w:hAnsi="Gill Sans"/>
                <w:i w:val="1"/>
                <w:rtl w:val="0"/>
              </w:rPr>
              <w:t xml:space="preserve">nisi</w:t>
            </w:r>
            <w:r w:rsidDel="00000000" w:rsidR="00000000" w:rsidRPr="00000000">
              <w:rPr>
                <w:rFonts w:ascii="Gill Sans" w:cs="Gill Sans" w:eastAsia="Gill Sans" w:hAnsi="Gill Sans"/>
                <w:rtl w:val="0"/>
              </w:rPr>
              <w:t xml:space="preserve"> granted and the respondents ordered to pay curator </w:t>
            </w:r>
            <w:r w:rsidDel="00000000" w:rsidR="00000000" w:rsidRPr="00000000">
              <w:rPr>
                <w:rFonts w:ascii="Gill Sans" w:cs="Gill Sans" w:eastAsia="Gill Sans" w:hAnsi="Gill Sans"/>
                <w:i w:val="1"/>
                <w:rtl w:val="0"/>
              </w:rPr>
              <w:t xml:space="preserve">bonis</w:t>
            </w:r>
            <w:r w:rsidDel="00000000" w:rsidR="00000000" w:rsidRPr="00000000">
              <w:rPr>
                <w:rFonts w:ascii="Gill Sans" w:cs="Gill Sans" w:eastAsia="Gill Sans" w:hAnsi="Gill Sans"/>
                <w:rtl w:val="0"/>
              </w:rPr>
              <w:t xml:space="preserve">’s costs</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Civil procedure – </w:t>
            </w:r>
            <w:r w:rsidDel="00000000" w:rsidR="00000000" w:rsidRPr="00000000">
              <w:rPr>
                <w:rFonts w:ascii="Gill Sans" w:cs="Gill Sans" w:eastAsia="Gill Sans" w:hAnsi="Gill Sans"/>
                <w:rtl w:val="0"/>
              </w:rPr>
              <w:t xml:space="preserve">preservation order and appointment of curator </w:t>
            </w:r>
            <w:r w:rsidDel="00000000" w:rsidR="00000000" w:rsidRPr="00000000">
              <w:rPr>
                <w:rFonts w:ascii="Gill Sans" w:cs="Gill Sans" w:eastAsia="Gill Sans" w:hAnsi="Gill Sans"/>
                <w:i w:val="1"/>
                <w:rtl w:val="0"/>
              </w:rPr>
              <w:t xml:space="preserve">bonis</w:t>
            </w:r>
            <w:r w:rsidDel="00000000" w:rsidR="00000000" w:rsidRPr="00000000">
              <w:rPr>
                <w:rFonts w:ascii="Gill Sans" w:cs="Gill Sans" w:eastAsia="Gill Sans" w:hAnsi="Gill Sans"/>
                <w:rtl w:val="0"/>
              </w:rPr>
              <w:t xml:space="preserve"> – the Tribunal ought to appoint a curator </w:t>
            </w:r>
            <w:r w:rsidDel="00000000" w:rsidR="00000000" w:rsidRPr="00000000">
              <w:rPr>
                <w:rFonts w:ascii="Gill Sans" w:cs="Gill Sans" w:eastAsia="Gill Sans" w:hAnsi="Gill Sans"/>
                <w:i w:val="1"/>
                <w:rtl w:val="0"/>
              </w:rPr>
              <w:t xml:space="preserve">bonis</w:t>
            </w:r>
            <w:r w:rsidDel="00000000" w:rsidR="00000000" w:rsidRPr="00000000">
              <w:rPr>
                <w:rFonts w:ascii="Gill Sans" w:cs="Gill Sans" w:eastAsia="Gill Sans" w:hAnsi="Gill Sans"/>
                <w:rtl w:val="0"/>
              </w:rPr>
              <w:t xml:space="preserve"> if such appointment would give effect to the purpose of the preservation order </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Rule 24 of the Tribunal Rules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37D(1)(b)(ii) of the Pension Funds Act</w:t>
            </w:r>
          </w:p>
        </w:tc>
      </w:tr>
      <w:tr>
        <w:trPr>
          <w:cantSplit w:val="0"/>
          <w:tblHeader w:val="0"/>
        </w:trPr>
        <w:tc>
          <w:tcPr/>
          <w:p w:rsidR="00000000" w:rsidDel="00000000" w:rsidP="00000000" w:rsidRDefault="00000000" w:rsidRPr="00000000" w14:paraId="0000001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Commissioner for the South African Revenue Services v Van der Merwe</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2016 (1) SA 599 (SCA)</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Mngomezulu and Another v Van Den Heever NO and Another</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[2007] 2 All SA 357 (SCA)</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Fraser v Absa Bank Ltd (National Director of Public Prosecutions as Amicus Curiae)</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2007 (3) SA 484 (CC)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Highveld Steel &amp; Vanadium Corporation Ltd v Oosthuizen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2009 (4) SA 1 (SCA)</w:t>
            </w:r>
          </w:p>
        </w:tc>
      </w:tr>
      <w:tr>
        <w:trPr>
          <w:cantSplit w:val="0"/>
          <w:tblHeader w:val="0"/>
        </w:trPr>
        <w:tc>
          <w:tcPr/>
          <w:p w:rsidR="00000000" w:rsidDel="00000000" w:rsidP="00000000" w:rsidRDefault="00000000" w:rsidRPr="00000000" w14:paraId="0000001C">
            <w:pPr>
              <w:tabs>
                <w:tab w:val="right"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D">
            <w:pPr>
              <w:tabs>
                <w:tab w:val="right"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Investigating Unit (</w:t>
            </w:r>
            <w:r w:rsidDel="00000000" w:rsidR="00000000" w:rsidRPr="00000000">
              <w:rPr>
                <w:rFonts w:ascii="Gill Sans" w:cs="Gill Sans" w:eastAsia="Gill Sans" w:hAnsi="Gill Sans"/>
                <w:b w:val="1"/>
                <w:rtl w:val="0"/>
              </w:rPr>
              <w:t xml:space="preserve">SIU</w:t>
            </w:r>
            <w:r w:rsidDel="00000000" w:rsidR="00000000" w:rsidRPr="00000000">
              <w:rPr>
                <w:rFonts w:ascii="Gill Sans" w:cs="Gill Sans" w:eastAsia="Gill Sans" w:hAnsi="Gill Sans"/>
                <w:rtl w:val="0"/>
              </w:rPr>
              <w:t xml:space="preserve">) and Transnet SOC Ltd (</w:t>
            </w:r>
            <w:r w:rsidDel="00000000" w:rsidR="00000000" w:rsidRPr="00000000">
              <w:rPr>
                <w:rFonts w:ascii="Gill Sans" w:cs="Gill Sans" w:eastAsia="Gill Sans" w:hAnsi="Gill Sans"/>
                <w:b w:val="1"/>
                <w:rtl w:val="0"/>
              </w:rPr>
              <w:t xml:space="preserve">Transnet</w:t>
            </w:r>
            <w:r w:rsidDel="00000000" w:rsidR="00000000" w:rsidRPr="00000000">
              <w:rPr>
                <w:rFonts w:ascii="Gill Sans" w:cs="Gill Sans" w:eastAsia="Gill Sans" w:hAnsi="Gill Sans"/>
                <w:rtl w:val="0"/>
              </w:rPr>
              <w:t xml:space="preserve">), as joint applicants, sought to preserve certain immovable properties owned by the first, second, third, fifth and sixth respondents, to restrain the Transnet Retirement Fund (</w:t>
            </w:r>
            <w:r w:rsidDel="00000000" w:rsidR="00000000" w:rsidRPr="00000000">
              <w:rPr>
                <w:rFonts w:ascii="Gill Sans" w:cs="Gill Sans" w:eastAsia="Gill Sans" w:hAnsi="Gill Sans"/>
                <w:b w:val="1"/>
                <w:rtl w:val="0"/>
              </w:rPr>
              <w:t xml:space="preserve">TRF</w:t>
            </w:r>
            <w:r w:rsidDel="00000000" w:rsidR="00000000" w:rsidRPr="00000000">
              <w:rPr>
                <w:rFonts w:ascii="Gill Sans" w:cs="Gill Sans" w:eastAsia="Gill Sans" w:hAnsi="Gill Sans"/>
                <w:rtl w:val="0"/>
              </w:rPr>
              <w:t xml:space="preserve">) from paying out pension benefits to the first respondent, and to appoint a curator </w:t>
            </w:r>
            <w:r w:rsidDel="00000000" w:rsidR="00000000" w:rsidRPr="00000000">
              <w:rPr>
                <w:rFonts w:ascii="Gill Sans" w:cs="Gill Sans" w:eastAsia="Gill Sans" w:hAnsi="Gill Sans"/>
                <w:i w:val="1"/>
                <w:rtl w:val="0"/>
              </w:rPr>
              <w:t xml:space="preserve">bonis</w:t>
            </w:r>
            <w:r w:rsidDel="00000000" w:rsidR="00000000" w:rsidRPr="00000000">
              <w:rPr>
                <w:rFonts w:ascii="Gill Sans" w:cs="Gill Sans" w:eastAsia="Gill Sans" w:hAnsi="Gill Sans"/>
                <w:rtl w:val="0"/>
              </w:rPr>
              <w:t xml:space="preserve"> in terms of Tribunal Rule 24, at the respondents’ cost. The SIU was investigating and intended to institute civil proceedings against the first respondent, Mr Lebelo, and the fifth respondent, Mr Mashamba, for the disgorgement of secret profits earned unlawfully from Transnet suppliers and service providers, as well as bribes received. Pending the civil proceedings, the applicants sought an order prohibiting the respondents from encumbering their properties. </w:t>
            </w:r>
            <w:r w:rsidDel="00000000" w:rsidR="00000000" w:rsidRPr="00000000">
              <w:rPr>
                <w:rFonts w:ascii="Gill Sans" w:cs="Gill Sans" w:eastAsia="Gill Sans" w:hAnsi="Gill Sans"/>
                <w:i w:val="1"/>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1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20">
            <w:pPr>
              <w:spacing w:after="0" w:line="276" w:lineRule="auto"/>
              <w:jc w:val="both"/>
              <w:rPr>
                <w:rFonts w:ascii="Gill Sans" w:cs="Gill Sans" w:eastAsia="Gill Sans" w:hAnsi="Gill Sans"/>
              </w:rPr>
            </w:pPr>
            <w:bookmarkStart w:colFirst="0" w:colLast="0" w:name="_heading=h.jnwmbrohwg7k" w:id="0"/>
            <w:bookmarkEnd w:id="0"/>
            <w:r w:rsidDel="00000000" w:rsidR="00000000" w:rsidRPr="00000000">
              <w:rPr>
                <w:rFonts w:ascii="Gill Sans" w:cs="Gill Sans" w:eastAsia="Gill Sans" w:hAnsi="Gill Sans"/>
                <w:rtl w:val="0"/>
              </w:rPr>
              <w:t xml:space="preserve">The Tribunal was asked to determine whether the applicants had made out a case for the appointment of a curator </w:t>
            </w:r>
            <w:r w:rsidDel="00000000" w:rsidR="00000000" w:rsidRPr="00000000">
              <w:rPr>
                <w:rFonts w:ascii="Gill Sans" w:cs="Gill Sans" w:eastAsia="Gill Sans" w:hAnsi="Gill Sans"/>
                <w:i w:val="1"/>
                <w:rtl w:val="0"/>
              </w:rPr>
              <w:t xml:space="preserve">bonis</w:t>
            </w:r>
            <w:r w:rsidDel="00000000" w:rsidR="00000000" w:rsidRPr="00000000">
              <w:rPr>
                <w:rFonts w:ascii="Gill Sans" w:cs="Gill Sans" w:eastAsia="Gill Sans" w:hAnsi="Gill Sans"/>
                <w:rtl w:val="0"/>
              </w:rPr>
              <w:t xml:space="preserve">, to determine whether the respondents would be liable for the costs of such appointment and whether Mr Lebelo’s pension benefits should be preserved. </w:t>
            </w:r>
          </w:p>
        </w:tc>
      </w:tr>
      <w:tr>
        <w:trPr>
          <w:cantSplit w:val="0"/>
          <w:tblHeader w:val="0"/>
        </w:trPr>
        <w:tc>
          <w:tcPr/>
          <w:p w:rsidR="00000000" w:rsidDel="00000000" w:rsidP="00000000" w:rsidRDefault="00000000" w:rsidRPr="00000000" w14:paraId="0000002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22">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ordered that the first, second, third, fifth and sixth respondents’ properties be preserved and that a curator </w:t>
            </w:r>
            <w:r w:rsidDel="00000000" w:rsidR="00000000" w:rsidRPr="00000000">
              <w:rPr>
                <w:rFonts w:ascii="Gill Sans" w:cs="Gill Sans" w:eastAsia="Gill Sans" w:hAnsi="Gill Sans"/>
                <w:i w:val="1"/>
                <w:rtl w:val="0"/>
              </w:rPr>
              <w:t xml:space="preserve">bonis</w:t>
            </w:r>
            <w:r w:rsidDel="00000000" w:rsidR="00000000" w:rsidRPr="00000000">
              <w:rPr>
                <w:rFonts w:ascii="Gill Sans" w:cs="Gill Sans" w:eastAsia="Gill Sans" w:hAnsi="Gill Sans"/>
                <w:rtl w:val="0"/>
              </w:rPr>
              <w:t xml:space="preserve"> be appointed to take control of these properties. The respondents were ordered to pay the costs of such appointment. The TRF was also interdicted from paying out any pension benefits due to Mr Lebelo until the final determination of civil proceedings instituted by the applicants against the respondents. </w:t>
            </w:r>
          </w:p>
        </w:tc>
      </w:tr>
      <w:tr>
        <w:trPr>
          <w:cantSplit w:val="0"/>
          <w:tblHeader w:val="0"/>
        </w:trPr>
        <w:tc>
          <w:tcPr/>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noted that when considering the appointment of a curator </w:t>
            </w:r>
            <w:r w:rsidDel="00000000" w:rsidR="00000000" w:rsidRPr="00000000">
              <w:rPr>
                <w:rFonts w:ascii="Gill Sans" w:cs="Gill Sans" w:eastAsia="Gill Sans" w:hAnsi="Gill Sans"/>
                <w:i w:val="1"/>
                <w:rtl w:val="0"/>
              </w:rPr>
              <w:t xml:space="preserve">bonis</w:t>
            </w:r>
            <w:r w:rsidDel="00000000" w:rsidR="00000000" w:rsidRPr="00000000">
              <w:rPr>
                <w:rFonts w:ascii="Gill Sans" w:cs="Gill Sans" w:eastAsia="Gill Sans" w:hAnsi="Gill Sans"/>
                <w:rtl w:val="0"/>
              </w:rPr>
              <w:t xml:space="preserve">, it was required to consider the circumstances of each case. When the Tribunal considered the purpose for which the preservation order was sought, it found that the appointment of a curator </w:t>
            </w:r>
            <w:r w:rsidDel="00000000" w:rsidR="00000000" w:rsidRPr="00000000">
              <w:rPr>
                <w:rFonts w:ascii="Gill Sans" w:cs="Gill Sans" w:eastAsia="Gill Sans" w:hAnsi="Gill Sans"/>
                <w:i w:val="1"/>
                <w:rtl w:val="0"/>
              </w:rPr>
              <w:t xml:space="preserve">bonis </w:t>
            </w:r>
            <w:r w:rsidDel="00000000" w:rsidR="00000000" w:rsidRPr="00000000">
              <w:rPr>
                <w:rFonts w:ascii="Gill Sans" w:cs="Gill Sans" w:eastAsia="Gill Sans" w:hAnsi="Gill Sans"/>
                <w:rtl w:val="0"/>
              </w:rPr>
              <w:t xml:space="preserve">would give effect to that purpose. </w:t>
            </w:r>
          </w:p>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found that it would be appropriate for the respondents to pay for the costs of the curator’s appointment, as the respondents were owners of the properties and had a duty to continue paying towards the property maintenance costs. </w:t>
            </w:r>
          </w:p>
          <w:p w:rsidR="00000000" w:rsidDel="00000000" w:rsidP="00000000" w:rsidRDefault="00000000" w:rsidRPr="00000000" w14:paraId="00000027">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also found that TRF was entitled to exercise its discretion to withhold Mr Lebelo’s pension benefits pending an investigation into his suspected misconduct, and this decision was supported by case law. </w:t>
            </w:r>
          </w:p>
        </w:tc>
      </w:tr>
      <w:tr>
        <w:trPr>
          <w:cantSplit w:val="0"/>
          <w:tblHeader w:val="0"/>
        </w:trPr>
        <w:tc>
          <w:tcPr/>
          <w:p w:rsidR="00000000" w:rsidDel="00000000" w:rsidP="00000000" w:rsidRDefault="00000000" w:rsidRPr="00000000" w14:paraId="0000002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9">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C">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10 August 2022</w:t>
            </w:r>
          </w:p>
        </w:tc>
      </w:tr>
    </w:tbl>
    <w:p w:rsidR="00000000" w:rsidDel="00000000" w:rsidP="00000000" w:rsidRDefault="00000000" w:rsidRPr="00000000" w14:paraId="0000002D">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E">
      <w:pPr>
        <w:rPr>
          <w:rFonts w:ascii="Gill Sans" w:cs="Gill Sans" w:eastAsia="Gill Sans" w:hAnsi="Gill Sans"/>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34">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37">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9">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FC579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fricanlii.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justice.gov.za/tribunal/jdm/ST-Judgment-GP-06-2022.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7aVPuETeG5z0mZYyFP4PV+eiw==">AMUW2mXh+Zo7uNsDnUB6bLlMWGRRAfHSwUZ5497L93ncPD5qYbQ1EMQ5bkf2BftXATqGgCK9gWrwdZkegM8qaJ+0i2U6uBr332UCM6YA55pUDQA5Un+WHHVZMS+lHo/lpFDvdHkOqHjx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2022-08-09T21:28:00Z</dcterms:created>
  <dc:creator>Suzanne Nyehita</dc:creator>
</cp:coreProperties>
</file>