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F1B5" w14:textId="77777777" w:rsidR="003F620F" w:rsidRDefault="003F620F" w:rsidP="00E0227E">
      <w:pPr>
        <w:spacing w:after="0" w:line="360" w:lineRule="auto"/>
        <w:rPr>
          <w:rFonts w:ascii="Arial" w:hAnsi="Arial" w:cs="Arial"/>
          <w:b/>
          <w:bCs/>
          <w:sz w:val="24"/>
          <w:szCs w:val="24"/>
          <w:lang w:val="en-GB"/>
        </w:rPr>
      </w:pPr>
      <w:bookmarkStart w:id="0" w:name="_GoBack"/>
      <w:bookmarkEnd w:id="0"/>
    </w:p>
    <w:p w14:paraId="0232C782" w14:textId="77777777" w:rsidR="003E594A" w:rsidRPr="002277E7" w:rsidRDefault="003E594A" w:rsidP="00E0227E">
      <w:pPr>
        <w:spacing w:after="0" w:line="360" w:lineRule="auto"/>
        <w:jc w:val="center"/>
        <w:rPr>
          <w:rFonts w:ascii="Arial" w:hAnsi="Arial" w:cs="Arial"/>
          <w:b/>
          <w:bCs/>
          <w:sz w:val="24"/>
          <w:szCs w:val="24"/>
          <w:lang w:val="en-GB"/>
        </w:rPr>
      </w:pPr>
      <w:r w:rsidRPr="002277E7">
        <w:rPr>
          <w:rFonts w:ascii="Arial" w:hAnsi="Arial" w:cs="Arial"/>
          <w:b/>
          <w:bCs/>
          <w:sz w:val="24"/>
          <w:szCs w:val="24"/>
          <w:lang w:val="en-GB"/>
        </w:rPr>
        <w:t>IN THE ELECTORAL COURT OF SOUTH AFRICA</w:t>
      </w:r>
    </w:p>
    <w:p w14:paraId="373AA843" w14:textId="596F881C" w:rsidR="00B715A6" w:rsidRPr="002277E7" w:rsidRDefault="00B715A6" w:rsidP="00E0227E">
      <w:pPr>
        <w:spacing w:after="0" w:line="360" w:lineRule="auto"/>
        <w:jc w:val="center"/>
        <w:rPr>
          <w:rFonts w:ascii="Arial" w:hAnsi="Arial" w:cs="Arial"/>
          <w:b/>
          <w:bCs/>
          <w:sz w:val="24"/>
          <w:szCs w:val="24"/>
          <w:lang w:val="en-GB"/>
        </w:rPr>
      </w:pPr>
      <w:r w:rsidRPr="002277E7">
        <w:rPr>
          <w:rFonts w:ascii="Arial" w:hAnsi="Arial" w:cs="Arial"/>
          <w:b/>
          <w:bCs/>
          <w:sz w:val="24"/>
          <w:szCs w:val="24"/>
          <w:lang w:val="en-GB"/>
        </w:rPr>
        <w:t>HELD AT BLOEMFONTEIN</w:t>
      </w:r>
    </w:p>
    <w:p w14:paraId="586D5AF4" w14:textId="77777777" w:rsidR="00E0227E" w:rsidRPr="002277E7" w:rsidRDefault="00E0227E" w:rsidP="00E0227E">
      <w:pPr>
        <w:spacing w:after="0" w:line="360" w:lineRule="auto"/>
        <w:jc w:val="right"/>
        <w:rPr>
          <w:rFonts w:ascii="Arial" w:hAnsi="Arial" w:cs="Arial"/>
          <w:b/>
          <w:bCs/>
          <w:sz w:val="24"/>
          <w:szCs w:val="24"/>
          <w:lang w:val="en-GB"/>
        </w:rPr>
      </w:pPr>
    </w:p>
    <w:p w14:paraId="6BB34C42" w14:textId="14FF1815" w:rsidR="00B715A6" w:rsidRPr="002277E7" w:rsidRDefault="00B715A6" w:rsidP="00E0227E">
      <w:pPr>
        <w:spacing w:after="0" w:line="360" w:lineRule="auto"/>
        <w:jc w:val="right"/>
        <w:rPr>
          <w:rFonts w:ascii="Arial" w:hAnsi="Arial" w:cs="Arial"/>
          <w:b/>
          <w:bCs/>
          <w:sz w:val="24"/>
          <w:szCs w:val="24"/>
          <w:lang w:val="en-GB"/>
        </w:rPr>
      </w:pPr>
      <w:r w:rsidRPr="002277E7">
        <w:rPr>
          <w:rFonts w:ascii="Arial" w:hAnsi="Arial" w:cs="Arial"/>
          <w:b/>
          <w:bCs/>
          <w:sz w:val="24"/>
          <w:szCs w:val="24"/>
          <w:lang w:val="en-GB"/>
        </w:rPr>
        <w:t>Reportable</w:t>
      </w:r>
    </w:p>
    <w:p w14:paraId="6B5EEC9B" w14:textId="4936F34A" w:rsidR="003E594A" w:rsidRPr="002F2FE3" w:rsidRDefault="00E0227E" w:rsidP="00E0227E">
      <w:pPr>
        <w:spacing w:after="0" w:line="360" w:lineRule="auto"/>
        <w:jc w:val="right"/>
        <w:rPr>
          <w:rFonts w:ascii="Arial" w:hAnsi="Arial" w:cs="Arial"/>
          <w:b/>
          <w:bCs/>
          <w:sz w:val="24"/>
          <w:szCs w:val="24"/>
          <w:lang w:val="en-GB"/>
        </w:rPr>
      </w:pPr>
      <w:r w:rsidRPr="002F2FE3">
        <w:rPr>
          <w:rFonts w:ascii="Arial" w:hAnsi="Arial" w:cs="Arial"/>
          <w:b/>
          <w:bCs/>
          <w:sz w:val="24"/>
          <w:szCs w:val="24"/>
          <w:lang w:val="en-GB"/>
        </w:rPr>
        <w:t>Case number</w:t>
      </w:r>
      <w:r w:rsidR="003E594A" w:rsidRPr="002F2FE3">
        <w:rPr>
          <w:rFonts w:ascii="Arial" w:hAnsi="Arial" w:cs="Arial"/>
          <w:b/>
          <w:bCs/>
          <w:sz w:val="24"/>
          <w:szCs w:val="24"/>
          <w:lang w:val="en-GB"/>
        </w:rPr>
        <w:t>: 10/</w:t>
      </w:r>
      <w:r w:rsidR="002F2FE3" w:rsidRPr="002F2FE3">
        <w:rPr>
          <w:rFonts w:ascii="Arial" w:hAnsi="Arial" w:cs="Arial"/>
          <w:b/>
          <w:bCs/>
          <w:sz w:val="24"/>
          <w:szCs w:val="24"/>
          <w:lang w:val="en-GB"/>
        </w:rPr>
        <w:t>20</w:t>
      </w:r>
      <w:r w:rsidR="003E594A" w:rsidRPr="002F2FE3">
        <w:rPr>
          <w:rFonts w:ascii="Arial" w:hAnsi="Arial" w:cs="Arial"/>
          <w:b/>
          <w:bCs/>
          <w:sz w:val="24"/>
          <w:szCs w:val="24"/>
          <w:lang w:val="en-GB"/>
        </w:rPr>
        <w:t>22 EC</w:t>
      </w:r>
    </w:p>
    <w:p w14:paraId="33A7F6D0" w14:textId="4FB08D6B" w:rsidR="003E594A" w:rsidRPr="002277E7" w:rsidRDefault="003E594A" w:rsidP="003E594A">
      <w:pPr>
        <w:spacing w:line="360" w:lineRule="auto"/>
        <w:rPr>
          <w:rFonts w:ascii="Arial" w:hAnsi="Arial" w:cs="Arial"/>
          <w:b/>
          <w:bCs/>
          <w:sz w:val="24"/>
          <w:szCs w:val="24"/>
          <w:lang w:val="en-GB"/>
        </w:rPr>
      </w:pPr>
      <w:r w:rsidRPr="002277E7">
        <w:rPr>
          <w:rFonts w:ascii="Arial" w:hAnsi="Arial" w:cs="Arial"/>
          <w:bCs/>
          <w:sz w:val="24"/>
          <w:szCs w:val="24"/>
          <w:lang w:val="en-GB"/>
        </w:rPr>
        <w:t xml:space="preserve">In the matter </w:t>
      </w:r>
      <w:r w:rsidR="00D86457" w:rsidRPr="002277E7">
        <w:rPr>
          <w:rFonts w:ascii="Arial" w:hAnsi="Arial" w:cs="Arial"/>
          <w:bCs/>
          <w:sz w:val="24"/>
          <w:szCs w:val="24"/>
          <w:lang w:val="en-GB"/>
        </w:rPr>
        <w:t xml:space="preserve">between: </w:t>
      </w:r>
    </w:p>
    <w:p w14:paraId="5C37FD5B" w14:textId="3174F7FD" w:rsidR="003E594A" w:rsidRPr="002277E7" w:rsidRDefault="003E594A"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ELECTORAL COMMISSION OF SOUTH AFRICA                                 </w:t>
      </w:r>
      <w:r w:rsidR="002277E7" w:rsidRPr="002277E7">
        <w:rPr>
          <w:rFonts w:ascii="Arial" w:hAnsi="Arial" w:cs="Arial"/>
          <w:b/>
          <w:bCs/>
          <w:sz w:val="24"/>
          <w:szCs w:val="24"/>
          <w:lang w:val="en-GB"/>
        </w:rPr>
        <w:tab/>
      </w:r>
      <w:r w:rsidRPr="002277E7">
        <w:rPr>
          <w:rFonts w:ascii="Arial" w:hAnsi="Arial" w:cs="Arial"/>
          <w:b/>
          <w:bCs/>
          <w:sz w:val="24"/>
          <w:szCs w:val="24"/>
          <w:lang w:val="en-GB"/>
        </w:rPr>
        <w:t>First Applicant</w:t>
      </w:r>
    </w:p>
    <w:p w14:paraId="26B02566" w14:textId="434F75F6" w:rsidR="003E594A" w:rsidRPr="002277E7" w:rsidRDefault="003E594A"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CHIEF ELECTORAL OFFICER                                                          </w:t>
      </w:r>
      <w:r w:rsidR="00B715A6" w:rsidRPr="002277E7">
        <w:rPr>
          <w:rFonts w:ascii="Arial" w:hAnsi="Arial" w:cs="Arial"/>
          <w:b/>
          <w:bCs/>
          <w:sz w:val="24"/>
          <w:szCs w:val="24"/>
          <w:lang w:val="en-GB"/>
        </w:rPr>
        <w:t xml:space="preserve"> </w:t>
      </w:r>
      <w:r w:rsidR="002277E7" w:rsidRPr="002277E7">
        <w:rPr>
          <w:rFonts w:ascii="Arial" w:hAnsi="Arial" w:cs="Arial"/>
          <w:b/>
          <w:bCs/>
          <w:sz w:val="24"/>
          <w:szCs w:val="24"/>
          <w:lang w:val="en-GB"/>
        </w:rPr>
        <w:tab/>
      </w:r>
      <w:r w:rsidRPr="002277E7">
        <w:rPr>
          <w:rFonts w:ascii="Arial" w:hAnsi="Arial" w:cs="Arial"/>
          <w:b/>
          <w:bCs/>
          <w:sz w:val="24"/>
          <w:szCs w:val="24"/>
          <w:lang w:val="en-GB"/>
        </w:rPr>
        <w:t>Second Applicant</w:t>
      </w:r>
    </w:p>
    <w:p w14:paraId="73734447" w14:textId="7017C52A" w:rsidR="003E594A" w:rsidRPr="00786DA8" w:rsidRDefault="00B60792" w:rsidP="002277E7">
      <w:pPr>
        <w:spacing w:line="360" w:lineRule="auto"/>
        <w:rPr>
          <w:rFonts w:ascii="Arial" w:hAnsi="Arial" w:cs="Arial"/>
          <w:bCs/>
          <w:sz w:val="24"/>
          <w:szCs w:val="24"/>
          <w:lang w:val="en-GB"/>
        </w:rPr>
      </w:pPr>
      <w:r w:rsidRPr="00786DA8">
        <w:rPr>
          <w:rFonts w:ascii="Arial" w:hAnsi="Arial" w:cs="Arial"/>
          <w:bCs/>
          <w:sz w:val="24"/>
          <w:szCs w:val="24"/>
          <w:lang w:val="en-GB"/>
        </w:rPr>
        <w:t>a</w:t>
      </w:r>
      <w:r w:rsidR="003E594A" w:rsidRPr="00786DA8">
        <w:rPr>
          <w:rFonts w:ascii="Arial" w:hAnsi="Arial" w:cs="Arial"/>
          <w:bCs/>
          <w:sz w:val="24"/>
          <w:szCs w:val="24"/>
          <w:lang w:val="en-GB"/>
        </w:rPr>
        <w:t>nd</w:t>
      </w:r>
    </w:p>
    <w:p w14:paraId="79A8248D" w14:textId="0062529A" w:rsidR="00B60792" w:rsidRPr="002277E7" w:rsidRDefault="003E594A" w:rsidP="002277E7">
      <w:pPr>
        <w:spacing w:after="0" w:line="240" w:lineRule="auto"/>
        <w:rPr>
          <w:rFonts w:ascii="Arial" w:hAnsi="Arial" w:cs="Arial"/>
          <w:b/>
          <w:bCs/>
          <w:sz w:val="24"/>
          <w:szCs w:val="24"/>
          <w:lang w:val="en-GB"/>
        </w:rPr>
      </w:pPr>
      <w:r w:rsidRPr="002277E7">
        <w:rPr>
          <w:rFonts w:ascii="Arial" w:hAnsi="Arial" w:cs="Arial"/>
          <w:b/>
          <w:bCs/>
          <w:sz w:val="24"/>
          <w:szCs w:val="24"/>
          <w:lang w:val="en-GB"/>
        </w:rPr>
        <w:t>SPEAKER OF THE uMHLATHUZE</w:t>
      </w:r>
    </w:p>
    <w:p w14:paraId="701FBE69" w14:textId="71DBEFF3" w:rsidR="003E594A" w:rsidRPr="002277E7" w:rsidRDefault="003E594A" w:rsidP="002277E7">
      <w:pPr>
        <w:tabs>
          <w:tab w:val="right" w:pos="9356"/>
        </w:tabs>
        <w:spacing w:line="240" w:lineRule="auto"/>
        <w:rPr>
          <w:rFonts w:ascii="Arial" w:hAnsi="Arial" w:cs="Arial"/>
          <w:b/>
          <w:bCs/>
          <w:sz w:val="24"/>
          <w:szCs w:val="24"/>
          <w:lang w:val="en-GB"/>
        </w:rPr>
      </w:pPr>
      <w:r w:rsidRPr="002277E7">
        <w:rPr>
          <w:rFonts w:ascii="Arial" w:hAnsi="Arial" w:cs="Arial"/>
          <w:b/>
          <w:bCs/>
          <w:sz w:val="24"/>
          <w:szCs w:val="24"/>
          <w:lang w:val="en-GB"/>
        </w:rPr>
        <w:t xml:space="preserve">LOCAL COUNCIL      </w:t>
      </w:r>
      <w:r w:rsidR="00B60792" w:rsidRPr="002277E7">
        <w:rPr>
          <w:rFonts w:ascii="Arial" w:hAnsi="Arial" w:cs="Arial"/>
          <w:b/>
          <w:bCs/>
          <w:sz w:val="24"/>
          <w:szCs w:val="24"/>
          <w:lang w:val="en-GB"/>
        </w:rPr>
        <w:t xml:space="preserve">                                                                 </w:t>
      </w:r>
      <w:r w:rsidRPr="002277E7">
        <w:rPr>
          <w:rFonts w:ascii="Arial" w:hAnsi="Arial" w:cs="Arial"/>
          <w:b/>
          <w:bCs/>
          <w:sz w:val="24"/>
          <w:szCs w:val="24"/>
          <w:lang w:val="en-GB"/>
        </w:rPr>
        <w:t xml:space="preserve">        </w:t>
      </w:r>
      <w:r w:rsidR="002277E7" w:rsidRPr="002277E7">
        <w:rPr>
          <w:rFonts w:ascii="Arial" w:hAnsi="Arial" w:cs="Arial"/>
          <w:b/>
          <w:bCs/>
          <w:sz w:val="24"/>
          <w:szCs w:val="24"/>
          <w:lang w:val="en-GB"/>
        </w:rPr>
        <w:tab/>
      </w:r>
      <w:r w:rsidRPr="002277E7">
        <w:rPr>
          <w:rFonts w:ascii="Arial" w:hAnsi="Arial" w:cs="Arial"/>
          <w:b/>
          <w:bCs/>
          <w:sz w:val="24"/>
          <w:szCs w:val="24"/>
          <w:lang w:val="en-GB"/>
        </w:rPr>
        <w:t>First Respondent</w:t>
      </w:r>
    </w:p>
    <w:p w14:paraId="20E3B320" w14:textId="22ECC47B" w:rsidR="00B60792" w:rsidRPr="002277E7" w:rsidRDefault="003E594A" w:rsidP="002277E7">
      <w:pPr>
        <w:spacing w:after="0" w:line="240" w:lineRule="auto"/>
        <w:rPr>
          <w:rFonts w:ascii="Arial" w:hAnsi="Arial" w:cs="Arial"/>
          <w:b/>
          <w:bCs/>
          <w:sz w:val="24"/>
          <w:szCs w:val="24"/>
          <w:lang w:val="en-GB"/>
        </w:rPr>
      </w:pPr>
      <w:r w:rsidRPr="002277E7">
        <w:rPr>
          <w:rFonts w:ascii="Arial" w:hAnsi="Arial" w:cs="Arial"/>
          <w:b/>
          <w:bCs/>
          <w:sz w:val="24"/>
          <w:szCs w:val="24"/>
          <w:lang w:val="en-GB"/>
        </w:rPr>
        <w:t>MUNICIPAL MANAGER: uMHLATHUZE</w:t>
      </w:r>
    </w:p>
    <w:p w14:paraId="10A39C6A" w14:textId="54CDBCCC" w:rsidR="00B60792" w:rsidRPr="002277E7" w:rsidRDefault="003E594A" w:rsidP="002277E7">
      <w:pPr>
        <w:tabs>
          <w:tab w:val="right" w:pos="9356"/>
        </w:tabs>
        <w:spacing w:after="0" w:line="240" w:lineRule="auto"/>
        <w:rPr>
          <w:rFonts w:ascii="Arial" w:hAnsi="Arial" w:cs="Arial"/>
          <w:b/>
          <w:bCs/>
          <w:sz w:val="24"/>
          <w:szCs w:val="24"/>
          <w:lang w:val="en-GB"/>
        </w:rPr>
      </w:pPr>
      <w:r w:rsidRPr="002277E7">
        <w:rPr>
          <w:rFonts w:ascii="Arial" w:hAnsi="Arial" w:cs="Arial"/>
          <w:b/>
          <w:bCs/>
          <w:sz w:val="24"/>
          <w:szCs w:val="24"/>
          <w:lang w:val="en-GB"/>
        </w:rPr>
        <w:t>LOCAL MUNICIPALITY</w:t>
      </w:r>
      <w:r w:rsidR="00B60792" w:rsidRPr="002277E7">
        <w:rPr>
          <w:rFonts w:ascii="Arial" w:hAnsi="Arial" w:cs="Arial"/>
          <w:b/>
          <w:bCs/>
          <w:sz w:val="24"/>
          <w:szCs w:val="24"/>
          <w:lang w:val="en-GB"/>
        </w:rPr>
        <w:t xml:space="preserve">                                                                  </w:t>
      </w:r>
      <w:r w:rsidR="002277E7" w:rsidRPr="002277E7">
        <w:rPr>
          <w:rFonts w:ascii="Arial" w:hAnsi="Arial" w:cs="Arial"/>
          <w:b/>
          <w:bCs/>
          <w:sz w:val="24"/>
          <w:szCs w:val="24"/>
          <w:lang w:val="en-GB"/>
        </w:rPr>
        <w:tab/>
      </w:r>
      <w:r w:rsidR="00B60792" w:rsidRPr="002277E7">
        <w:rPr>
          <w:rFonts w:ascii="Arial" w:hAnsi="Arial" w:cs="Arial"/>
          <w:b/>
          <w:bCs/>
          <w:sz w:val="24"/>
          <w:szCs w:val="24"/>
          <w:lang w:val="en-GB"/>
        </w:rPr>
        <w:t>Second Respondent</w:t>
      </w:r>
    </w:p>
    <w:p w14:paraId="74DDA97A" w14:textId="77777777" w:rsidR="00B60792" w:rsidRPr="002277E7" w:rsidRDefault="00B60792" w:rsidP="002277E7">
      <w:pPr>
        <w:spacing w:after="0" w:line="240" w:lineRule="auto"/>
        <w:rPr>
          <w:rFonts w:ascii="Arial" w:hAnsi="Arial" w:cs="Arial"/>
          <w:b/>
          <w:bCs/>
          <w:sz w:val="24"/>
          <w:szCs w:val="24"/>
          <w:lang w:val="en-GB"/>
        </w:rPr>
      </w:pPr>
    </w:p>
    <w:p w14:paraId="75922684" w14:textId="4B2290BE" w:rsidR="00B60792" w:rsidRPr="002277E7" w:rsidRDefault="00B60792" w:rsidP="002277E7">
      <w:pPr>
        <w:spacing w:after="0" w:line="240" w:lineRule="auto"/>
        <w:rPr>
          <w:rFonts w:ascii="Arial" w:hAnsi="Arial" w:cs="Arial"/>
          <w:b/>
          <w:bCs/>
          <w:sz w:val="24"/>
          <w:szCs w:val="24"/>
          <w:lang w:val="en-GB"/>
        </w:rPr>
      </w:pPr>
      <w:r w:rsidRPr="002277E7">
        <w:rPr>
          <w:rFonts w:ascii="Arial" w:hAnsi="Arial" w:cs="Arial"/>
          <w:b/>
          <w:bCs/>
          <w:sz w:val="24"/>
          <w:szCs w:val="24"/>
          <w:lang w:val="en-GB"/>
        </w:rPr>
        <w:t>SPEAKER OF THE KING CETSHWAYO</w:t>
      </w:r>
    </w:p>
    <w:p w14:paraId="45DCF359" w14:textId="1AE58510" w:rsidR="00B60792" w:rsidRPr="002277E7" w:rsidRDefault="00B60792" w:rsidP="002277E7">
      <w:pPr>
        <w:tabs>
          <w:tab w:val="right" w:pos="9356"/>
        </w:tabs>
        <w:spacing w:after="0" w:line="240" w:lineRule="auto"/>
        <w:rPr>
          <w:rFonts w:ascii="Arial" w:hAnsi="Arial" w:cs="Arial"/>
          <w:b/>
          <w:bCs/>
          <w:sz w:val="24"/>
          <w:szCs w:val="24"/>
          <w:lang w:val="en-GB"/>
        </w:rPr>
      </w:pPr>
      <w:r w:rsidRPr="002277E7">
        <w:rPr>
          <w:rFonts w:ascii="Arial" w:hAnsi="Arial" w:cs="Arial"/>
          <w:b/>
          <w:bCs/>
          <w:sz w:val="24"/>
          <w:szCs w:val="24"/>
          <w:lang w:val="en-GB"/>
        </w:rPr>
        <w:t xml:space="preserve">DISTRICT COUNCIL                                                                           </w:t>
      </w:r>
      <w:r w:rsidR="002277E7" w:rsidRPr="002277E7">
        <w:rPr>
          <w:rFonts w:ascii="Arial" w:hAnsi="Arial" w:cs="Arial"/>
          <w:b/>
          <w:bCs/>
          <w:sz w:val="24"/>
          <w:szCs w:val="24"/>
          <w:lang w:val="en-GB"/>
        </w:rPr>
        <w:tab/>
      </w:r>
      <w:r w:rsidRPr="002277E7">
        <w:rPr>
          <w:rFonts w:ascii="Arial" w:hAnsi="Arial" w:cs="Arial"/>
          <w:b/>
          <w:bCs/>
          <w:sz w:val="24"/>
          <w:szCs w:val="24"/>
          <w:lang w:val="en-GB"/>
        </w:rPr>
        <w:t>Third Respondent</w:t>
      </w:r>
    </w:p>
    <w:p w14:paraId="096258F2" w14:textId="77777777" w:rsidR="00B60792" w:rsidRPr="002277E7" w:rsidRDefault="00B60792" w:rsidP="002277E7">
      <w:pPr>
        <w:spacing w:after="0" w:line="240" w:lineRule="auto"/>
        <w:rPr>
          <w:rFonts w:ascii="Arial" w:hAnsi="Arial" w:cs="Arial"/>
          <w:b/>
          <w:bCs/>
          <w:sz w:val="24"/>
          <w:szCs w:val="24"/>
          <w:lang w:val="en-GB"/>
        </w:rPr>
      </w:pPr>
    </w:p>
    <w:p w14:paraId="24239414" w14:textId="2C815450" w:rsidR="00B60792" w:rsidRPr="002277E7" w:rsidRDefault="00B60792" w:rsidP="002277E7">
      <w:pPr>
        <w:spacing w:after="0" w:line="240" w:lineRule="auto"/>
        <w:rPr>
          <w:rFonts w:ascii="Arial" w:hAnsi="Arial" w:cs="Arial"/>
          <w:b/>
          <w:bCs/>
          <w:sz w:val="24"/>
          <w:szCs w:val="24"/>
          <w:lang w:val="en-GB"/>
        </w:rPr>
      </w:pPr>
      <w:r w:rsidRPr="002277E7">
        <w:rPr>
          <w:rFonts w:ascii="Arial" w:hAnsi="Arial" w:cs="Arial"/>
          <w:b/>
          <w:bCs/>
          <w:sz w:val="24"/>
          <w:szCs w:val="24"/>
          <w:lang w:val="en-GB"/>
        </w:rPr>
        <w:t>MUNICIPAL MANAGER: KING CETSHWAYO</w:t>
      </w:r>
    </w:p>
    <w:p w14:paraId="26764179" w14:textId="0F277F89" w:rsidR="00B60792" w:rsidRPr="002277E7" w:rsidRDefault="00B60792" w:rsidP="002277E7">
      <w:pPr>
        <w:tabs>
          <w:tab w:val="right" w:pos="9356"/>
        </w:tabs>
        <w:spacing w:after="0" w:line="240" w:lineRule="auto"/>
        <w:rPr>
          <w:rFonts w:ascii="Arial" w:hAnsi="Arial" w:cs="Arial"/>
          <w:b/>
          <w:bCs/>
          <w:sz w:val="24"/>
          <w:szCs w:val="24"/>
          <w:lang w:val="en-GB"/>
        </w:rPr>
      </w:pPr>
      <w:r w:rsidRPr="002277E7">
        <w:rPr>
          <w:rFonts w:ascii="Arial" w:hAnsi="Arial" w:cs="Arial"/>
          <w:b/>
          <w:bCs/>
          <w:sz w:val="24"/>
          <w:szCs w:val="24"/>
          <w:lang w:val="en-GB"/>
        </w:rPr>
        <w:t xml:space="preserve">DISTRICT COUNCIL                                                                    </w:t>
      </w:r>
      <w:r w:rsidR="00B715A6" w:rsidRPr="002277E7">
        <w:rPr>
          <w:rFonts w:ascii="Arial" w:hAnsi="Arial" w:cs="Arial"/>
          <w:b/>
          <w:bCs/>
          <w:sz w:val="24"/>
          <w:szCs w:val="24"/>
          <w:lang w:val="en-GB"/>
        </w:rPr>
        <w:t xml:space="preserve"> </w:t>
      </w:r>
      <w:r w:rsidRPr="002277E7">
        <w:rPr>
          <w:rFonts w:ascii="Arial" w:hAnsi="Arial" w:cs="Arial"/>
          <w:b/>
          <w:bCs/>
          <w:sz w:val="24"/>
          <w:szCs w:val="24"/>
          <w:lang w:val="en-GB"/>
        </w:rPr>
        <w:t xml:space="preserve">    </w:t>
      </w:r>
      <w:r w:rsidR="002277E7" w:rsidRPr="002277E7">
        <w:rPr>
          <w:rFonts w:ascii="Arial" w:hAnsi="Arial" w:cs="Arial"/>
          <w:b/>
          <w:bCs/>
          <w:sz w:val="24"/>
          <w:szCs w:val="24"/>
          <w:lang w:val="en-GB"/>
        </w:rPr>
        <w:tab/>
      </w:r>
      <w:r w:rsidRPr="002277E7">
        <w:rPr>
          <w:rFonts w:ascii="Arial" w:hAnsi="Arial" w:cs="Arial"/>
          <w:b/>
          <w:bCs/>
          <w:sz w:val="24"/>
          <w:szCs w:val="24"/>
          <w:lang w:val="en-GB"/>
        </w:rPr>
        <w:t>Fourth Respondent</w:t>
      </w:r>
    </w:p>
    <w:p w14:paraId="330DE75E" w14:textId="77777777" w:rsidR="00B60792" w:rsidRPr="002277E7" w:rsidRDefault="00B60792" w:rsidP="002277E7">
      <w:pPr>
        <w:spacing w:after="0" w:line="240" w:lineRule="auto"/>
        <w:rPr>
          <w:rFonts w:ascii="Arial" w:hAnsi="Arial" w:cs="Arial"/>
          <w:b/>
          <w:bCs/>
          <w:sz w:val="24"/>
          <w:szCs w:val="24"/>
          <w:lang w:val="en-GB"/>
        </w:rPr>
      </w:pPr>
    </w:p>
    <w:p w14:paraId="61F33B89" w14:textId="5735CA8C" w:rsidR="00B60792" w:rsidRPr="002277E7" w:rsidRDefault="00B60792"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INKATHA FREEDOM PARTY                                                              </w:t>
      </w:r>
      <w:r w:rsidR="002277E7" w:rsidRPr="002277E7">
        <w:rPr>
          <w:rFonts w:ascii="Arial" w:hAnsi="Arial" w:cs="Arial"/>
          <w:b/>
          <w:bCs/>
          <w:sz w:val="24"/>
          <w:szCs w:val="24"/>
          <w:lang w:val="en-GB"/>
        </w:rPr>
        <w:tab/>
      </w:r>
      <w:r w:rsidRPr="002277E7">
        <w:rPr>
          <w:rFonts w:ascii="Arial" w:hAnsi="Arial" w:cs="Arial"/>
          <w:b/>
          <w:bCs/>
          <w:sz w:val="24"/>
          <w:szCs w:val="24"/>
          <w:lang w:val="en-GB"/>
        </w:rPr>
        <w:t>Fifth Respondent</w:t>
      </w:r>
    </w:p>
    <w:p w14:paraId="5AB2782F" w14:textId="1C8F53BC" w:rsidR="00B60792" w:rsidRPr="002277E7" w:rsidRDefault="00B60792"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ECONOMIC FREEDOM FIGHTERS                                                   </w:t>
      </w:r>
      <w:r w:rsidR="002277E7" w:rsidRPr="002277E7">
        <w:rPr>
          <w:rFonts w:ascii="Arial" w:hAnsi="Arial" w:cs="Arial"/>
          <w:b/>
          <w:bCs/>
          <w:sz w:val="24"/>
          <w:szCs w:val="24"/>
          <w:lang w:val="en-GB"/>
        </w:rPr>
        <w:tab/>
      </w:r>
      <w:r w:rsidRPr="002277E7">
        <w:rPr>
          <w:rFonts w:ascii="Arial" w:hAnsi="Arial" w:cs="Arial"/>
          <w:b/>
          <w:bCs/>
          <w:sz w:val="24"/>
          <w:szCs w:val="24"/>
          <w:lang w:val="en-GB"/>
        </w:rPr>
        <w:t>Sixth Respondent</w:t>
      </w:r>
    </w:p>
    <w:p w14:paraId="192926D8" w14:textId="1A23E418" w:rsidR="00B60792" w:rsidRPr="002277E7" w:rsidRDefault="00B60792"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DEMOCRATIC ALLIANCE                                                            </w:t>
      </w:r>
      <w:r w:rsidR="002277E7" w:rsidRPr="002277E7">
        <w:rPr>
          <w:rFonts w:ascii="Arial" w:hAnsi="Arial" w:cs="Arial"/>
          <w:b/>
          <w:bCs/>
          <w:sz w:val="24"/>
          <w:szCs w:val="24"/>
          <w:lang w:val="en-GB"/>
        </w:rPr>
        <w:tab/>
      </w:r>
      <w:r w:rsidRPr="002277E7">
        <w:rPr>
          <w:rFonts w:ascii="Arial" w:hAnsi="Arial" w:cs="Arial"/>
          <w:b/>
          <w:bCs/>
          <w:sz w:val="24"/>
          <w:szCs w:val="24"/>
          <w:lang w:val="en-GB"/>
        </w:rPr>
        <w:t>Seventh Respondent</w:t>
      </w:r>
    </w:p>
    <w:p w14:paraId="66890503" w14:textId="46AB9609" w:rsidR="00B60792" w:rsidRPr="002277E7" w:rsidRDefault="00B60792"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COUNCILLOR ANNEKE LANGE                                                     </w:t>
      </w:r>
      <w:r w:rsidR="002277E7" w:rsidRPr="002277E7">
        <w:rPr>
          <w:rFonts w:ascii="Arial" w:hAnsi="Arial" w:cs="Arial"/>
          <w:b/>
          <w:bCs/>
          <w:sz w:val="24"/>
          <w:szCs w:val="24"/>
          <w:lang w:val="en-GB"/>
        </w:rPr>
        <w:tab/>
      </w:r>
      <w:r w:rsidRPr="002277E7">
        <w:rPr>
          <w:rFonts w:ascii="Arial" w:hAnsi="Arial" w:cs="Arial"/>
          <w:b/>
          <w:bCs/>
          <w:sz w:val="24"/>
          <w:szCs w:val="24"/>
          <w:lang w:val="en-GB"/>
        </w:rPr>
        <w:t>Eighth Respondent</w:t>
      </w:r>
    </w:p>
    <w:p w14:paraId="466B0472" w14:textId="62F0FA3D" w:rsidR="00B60792" w:rsidRPr="002277E7" w:rsidRDefault="00B60792" w:rsidP="002277E7">
      <w:pPr>
        <w:tabs>
          <w:tab w:val="right" w:pos="9356"/>
        </w:tabs>
        <w:spacing w:line="360" w:lineRule="auto"/>
        <w:rPr>
          <w:rFonts w:ascii="Arial" w:hAnsi="Arial" w:cs="Arial"/>
          <w:b/>
          <w:bCs/>
          <w:sz w:val="24"/>
          <w:szCs w:val="24"/>
          <w:lang w:val="en-GB"/>
        </w:rPr>
      </w:pPr>
      <w:r w:rsidRPr="002277E7">
        <w:rPr>
          <w:rFonts w:ascii="Arial" w:hAnsi="Arial" w:cs="Arial"/>
          <w:b/>
          <w:bCs/>
          <w:sz w:val="24"/>
          <w:szCs w:val="24"/>
          <w:lang w:val="en-GB"/>
        </w:rPr>
        <w:t xml:space="preserve">COUNCILLOR MUZIWOKUTHULA MSIMANGO                              </w:t>
      </w:r>
      <w:r w:rsidR="002277E7" w:rsidRPr="002277E7">
        <w:rPr>
          <w:rFonts w:ascii="Arial" w:hAnsi="Arial" w:cs="Arial"/>
          <w:b/>
          <w:bCs/>
          <w:sz w:val="24"/>
          <w:szCs w:val="24"/>
          <w:lang w:val="en-GB"/>
        </w:rPr>
        <w:tab/>
        <w:t>Ninth Respondent</w:t>
      </w:r>
    </w:p>
    <w:p w14:paraId="43FAC0E3" w14:textId="1CE662E1" w:rsidR="00071C96" w:rsidRPr="00512F52" w:rsidRDefault="008F7C6F" w:rsidP="002277E7">
      <w:pPr>
        <w:tabs>
          <w:tab w:val="right" w:pos="9356"/>
        </w:tabs>
        <w:spacing w:line="360" w:lineRule="auto"/>
        <w:rPr>
          <w:rFonts w:ascii="Arial" w:hAnsi="Arial" w:cs="Arial"/>
          <w:b/>
          <w:bCs/>
          <w:sz w:val="24"/>
          <w:szCs w:val="24"/>
          <w:lang w:val="en-GB"/>
        </w:rPr>
      </w:pPr>
      <w:r>
        <w:rPr>
          <w:rFonts w:ascii="Arial" w:hAnsi="Arial" w:cs="Arial"/>
          <w:b/>
          <w:bCs/>
          <w:sz w:val="24"/>
          <w:szCs w:val="24"/>
          <w:lang w:val="en-GB"/>
        </w:rPr>
        <w:t xml:space="preserve">COUNCILLOR MAKHOSI </w:t>
      </w:r>
      <w:r w:rsidRPr="00512F52">
        <w:rPr>
          <w:rFonts w:ascii="Arial" w:hAnsi="Arial" w:cs="Arial"/>
          <w:b/>
          <w:bCs/>
          <w:sz w:val="24"/>
          <w:szCs w:val="24"/>
          <w:lang w:val="en-GB"/>
        </w:rPr>
        <w:t>MADID</w:t>
      </w:r>
      <w:r w:rsidR="00B60792" w:rsidRPr="00512F52">
        <w:rPr>
          <w:rFonts w:ascii="Arial" w:hAnsi="Arial" w:cs="Arial"/>
          <w:b/>
          <w:bCs/>
          <w:sz w:val="24"/>
          <w:szCs w:val="24"/>
          <w:lang w:val="en-GB"/>
        </w:rPr>
        <w:t xml:space="preserve">A                                                  </w:t>
      </w:r>
      <w:r w:rsidR="00B715A6" w:rsidRPr="00512F52">
        <w:rPr>
          <w:rFonts w:ascii="Arial" w:hAnsi="Arial" w:cs="Arial"/>
          <w:b/>
          <w:bCs/>
          <w:sz w:val="24"/>
          <w:szCs w:val="24"/>
          <w:lang w:val="en-GB"/>
        </w:rPr>
        <w:t xml:space="preserve"> </w:t>
      </w:r>
      <w:r w:rsidR="002277E7" w:rsidRPr="00512F52">
        <w:rPr>
          <w:rFonts w:ascii="Arial" w:hAnsi="Arial" w:cs="Arial"/>
          <w:b/>
          <w:bCs/>
          <w:sz w:val="24"/>
          <w:szCs w:val="24"/>
          <w:lang w:val="en-GB"/>
        </w:rPr>
        <w:tab/>
      </w:r>
      <w:r w:rsidR="00B60792" w:rsidRPr="00512F52">
        <w:rPr>
          <w:rFonts w:ascii="Arial" w:hAnsi="Arial" w:cs="Arial"/>
          <w:b/>
          <w:bCs/>
          <w:sz w:val="24"/>
          <w:szCs w:val="24"/>
          <w:lang w:val="en-GB"/>
        </w:rPr>
        <w:t>Tenth Respondent</w:t>
      </w:r>
    </w:p>
    <w:p w14:paraId="46530E10" w14:textId="77777777" w:rsidR="00C86116" w:rsidRPr="00512F52" w:rsidRDefault="00C86116" w:rsidP="002277E7">
      <w:pPr>
        <w:spacing w:after="0" w:line="360" w:lineRule="auto"/>
        <w:jc w:val="both"/>
        <w:rPr>
          <w:rFonts w:ascii="Arial" w:hAnsi="Arial" w:cs="Arial"/>
          <w:b/>
          <w:bCs/>
          <w:sz w:val="24"/>
          <w:szCs w:val="24"/>
          <w:lang w:val="en-GB"/>
        </w:rPr>
      </w:pPr>
    </w:p>
    <w:p w14:paraId="2016BCEA" w14:textId="08BD7F7E" w:rsidR="00C86116" w:rsidRPr="00512F52" w:rsidRDefault="00071C96" w:rsidP="002277E7">
      <w:pPr>
        <w:spacing w:after="0" w:line="360" w:lineRule="auto"/>
        <w:jc w:val="both"/>
        <w:rPr>
          <w:rFonts w:ascii="Arial" w:hAnsi="Arial" w:cs="Arial"/>
          <w:bCs/>
          <w:sz w:val="24"/>
          <w:szCs w:val="24"/>
          <w:lang w:val="en-GB"/>
        </w:rPr>
      </w:pPr>
      <w:r w:rsidRPr="00512F52">
        <w:rPr>
          <w:rFonts w:ascii="Arial" w:hAnsi="Arial" w:cs="Arial"/>
          <w:b/>
          <w:bCs/>
          <w:sz w:val="24"/>
          <w:szCs w:val="24"/>
          <w:lang w:val="en-GB"/>
        </w:rPr>
        <w:t>Neutral Citation:</w:t>
      </w:r>
      <w:r w:rsidRPr="00512F52">
        <w:rPr>
          <w:rFonts w:ascii="Arial" w:hAnsi="Arial" w:cs="Arial"/>
          <w:bCs/>
          <w:sz w:val="24"/>
          <w:szCs w:val="24"/>
          <w:lang w:val="en-GB"/>
        </w:rPr>
        <w:tab/>
      </w:r>
      <w:r w:rsidRPr="00512F52">
        <w:rPr>
          <w:rFonts w:ascii="Arial" w:hAnsi="Arial" w:cs="Arial"/>
          <w:bCs/>
          <w:i/>
          <w:sz w:val="24"/>
          <w:szCs w:val="24"/>
          <w:lang w:val="en-GB"/>
        </w:rPr>
        <w:t xml:space="preserve">Electoral Commission of South Africa and Another v Speaker of the uMhlathuze Local Council and Others </w:t>
      </w:r>
      <w:r w:rsidRPr="00512F52">
        <w:rPr>
          <w:rFonts w:ascii="Arial" w:hAnsi="Arial" w:cs="Arial"/>
          <w:bCs/>
          <w:sz w:val="24"/>
          <w:szCs w:val="24"/>
          <w:lang w:val="en-GB"/>
        </w:rPr>
        <w:t>(10/</w:t>
      </w:r>
      <w:r w:rsidR="002F2FE3" w:rsidRPr="00512F52">
        <w:rPr>
          <w:rFonts w:ascii="Arial" w:hAnsi="Arial" w:cs="Arial"/>
          <w:bCs/>
          <w:sz w:val="24"/>
          <w:szCs w:val="24"/>
          <w:lang w:val="en-GB"/>
        </w:rPr>
        <w:t>20</w:t>
      </w:r>
      <w:r w:rsidRPr="00512F52">
        <w:rPr>
          <w:rFonts w:ascii="Arial" w:hAnsi="Arial" w:cs="Arial"/>
          <w:bCs/>
          <w:sz w:val="24"/>
          <w:szCs w:val="24"/>
          <w:lang w:val="en-GB"/>
        </w:rPr>
        <w:t xml:space="preserve">22 EC) [2022] ZAEC </w:t>
      </w:r>
      <w:r w:rsidR="001A49D4">
        <w:rPr>
          <w:rFonts w:ascii="Arial" w:hAnsi="Arial" w:cs="Arial"/>
          <w:bCs/>
          <w:sz w:val="24"/>
          <w:szCs w:val="24"/>
          <w:lang w:val="en-GB"/>
        </w:rPr>
        <w:t>11</w:t>
      </w:r>
      <w:r w:rsidRPr="00512F52">
        <w:rPr>
          <w:rFonts w:ascii="Arial" w:hAnsi="Arial" w:cs="Arial"/>
          <w:bCs/>
          <w:sz w:val="24"/>
          <w:szCs w:val="24"/>
          <w:lang w:val="en-GB"/>
        </w:rPr>
        <w:t xml:space="preserve"> (</w:t>
      </w:r>
      <w:r w:rsidR="001A49D4">
        <w:rPr>
          <w:rFonts w:ascii="Arial" w:hAnsi="Arial" w:cs="Arial"/>
          <w:bCs/>
          <w:sz w:val="24"/>
          <w:szCs w:val="24"/>
          <w:lang w:val="en-GB"/>
        </w:rPr>
        <w:t>1</w:t>
      </w:r>
      <w:r w:rsidRPr="00512F52">
        <w:rPr>
          <w:rFonts w:ascii="Arial" w:hAnsi="Arial" w:cs="Arial"/>
          <w:bCs/>
          <w:sz w:val="24"/>
          <w:szCs w:val="24"/>
          <w:lang w:val="en-GB"/>
        </w:rPr>
        <w:t xml:space="preserve"> </w:t>
      </w:r>
      <w:r w:rsidR="001A49D4">
        <w:rPr>
          <w:rFonts w:ascii="Arial" w:hAnsi="Arial" w:cs="Arial"/>
          <w:bCs/>
          <w:sz w:val="24"/>
          <w:szCs w:val="24"/>
          <w:lang w:val="en-GB"/>
        </w:rPr>
        <w:t>December</w:t>
      </w:r>
      <w:r w:rsidRPr="00512F52">
        <w:rPr>
          <w:rFonts w:ascii="Arial" w:hAnsi="Arial" w:cs="Arial"/>
          <w:bCs/>
          <w:sz w:val="24"/>
          <w:szCs w:val="24"/>
          <w:lang w:val="en-GB"/>
        </w:rPr>
        <w:t xml:space="preserve"> 2022)</w:t>
      </w:r>
    </w:p>
    <w:p w14:paraId="0FCA3F03" w14:textId="4F2C4C7E" w:rsidR="00071C96" w:rsidRDefault="00071C96" w:rsidP="009967BE">
      <w:pPr>
        <w:spacing w:after="0" w:line="360" w:lineRule="auto"/>
        <w:ind w:left="1418" w:hanging="1440"/>
        <w:jc w:val="both"/>
        <w:rPr>
          <w:rFonts w:ascii="Arial" w:hAnsi="Arial" w:cs="Arial"/>
          <w:bCs/>
          <w:sz w:val="24"/>
          <w:szCs w:val="24"/>
          <w:lang w:val="en-GB"/>
        </w:rPr>
      </w:pPr>
      <w:r w:rsidRPr="00512F52">
        <w:rPr>
          <w:rFonts w:ascii="Arial" w:hAnsi="Arial" w:cs="Arial"/>
          <w:b/>
          <w:bCs/>
          <w:sz w:val="24"/>
          <w:szCs w:val="24"/>
          <w:lang w:val="en-GB"/>
        </w:rPr>
        <w:lastRenderedPageBreak/>
        <w:t>Coram:</w:t>
      </w:r>
      <w:r w:rsidRPr="00512F52">
        <w:rPr>
          <w:rFonts w:ascii="Arial" w:hAnsi="Arial" w:cs="Arial"/>
          <w:b/>
          <w:bCs/>
          <w:sz w:val="24"/>
          <w:szCs w:val="24"/>
          <w:lang w:val="en-GB"/>
        </w:rPr>
        <w:tab/>
      </w:r>
      <w:r w:rsidRPr="00512F52">
        <w:rPr>
          <w:rFonts w:ascii="Arial" w:hAnsi="Arial" w:cs="Arial"/>
          <w:bCs/>
          <w:sz w:val="24"/>
          <w:szCs w:val="24"/>
          <w:lang w:val="en-GB"/>
        </w:rPr>
        <w:t xml:space="preserve">Zondi JA, Shongwe AJ, Modiba J, </w:t>
      </w:r>
      <w:r w:rsidR="009967BE" w:rsidRPr="00512F52">
        <w:rPr>
          <w:rFonts w:ascii="Arial" w:hAnsi="Arial" w:cs="Arial"/>
          <w:bCs/>
          <w:sz w:val="24"/>
          <w:szCs w:val="24"/>
          <w:lang w:val="en-GB"/>
        </w:rPr>
        <w:t xml:space="preserve">and </w:t>
      </w:r>
      <w:r w:rsidRPr="00512F52">
        <w:rPr>
          <w:rFonts w:ascii="Arial" w:hAnsi="Arial" w:cs="Arial"/>
          <w:bCs/>
          <w:sz w:val="24"/>
          <w:szCs w:val="24"/>
          <w:lang w:val="en-GB"/>
        </w:rPr>
        <w:t>Professor Ntlama</w:t>
      </w:r>
      <w:r w:rsidR="00021732" w:rsidRPr="00512F52">
        <w:rPr>
          <w:rFonts w:ascii="Arial" w:hAnsi="Arial" w:cs="Arial"/>
          <w:bCs/>
          <w:sz w:val="24"/>
          <w:szCs w:val="24"/>
          <w:lang w:val="en-GB"/>
        </w:rPr>
        <w:t>-</w:t>
      </w:r>
      <w:r w:rsidRPr="00512F52">
        <w:rPr>
          <w:rFonts w:ascii="Arial" w:hAnsi="Arial" w:cs="Arial"/>
          <w:bCs/>
          <w:sz w:val="24"/>
          <w:szCs w:val="24"/>
          <w:lang w:val="en-GB"/>
        </w:rPr>
        <w:t xml:space="preserve">Makhanya and Professor Phooko </w:t>
      </w:r>
      <w:r w:rsidR="009967BE" w:rsidRPr="00512F52">
        <w:rPr>
          <w:rFonts w:ascii="Arial" w:hAnsi="Arial" w:cs="Arial"/>
          <w:bCs/>
          <w:sz w:val="24"/>
          <w:szCs w:val="24"/>
          <w:lang w:val="en-GB"/>
        </w:rPr>
        <w:t>(</w:t>
      </w:r>
      <w:r w:rsidRPr="00512F52">
        <w:rPr>
          <w:rFonts w:ascii="Arial" w:hAnsi="Arial" w:cs="Arial"/>
          <w:bCs/>
          <w:sz w:val="24"/>
          <w:szCs w:val="24"/>
          <w:lang w:val="en-GB"/>
        </w:rPr>
        <w:t>Additional Members</w:t>
      </w:r>
      <w:r w:rsidR="009967BE" w:rsidRPr="00512F52">
        <w:rPr>
          <w:rFonts w:ascii="Arial" w:hAnsi="Arial" w:cs="Arial"/>
          <w:bCs/>
          <w:sz w:val="24"/>
          <w:szCs w:val="24"/>
          <w:lang w:val="en-GB"/>
        </w:rPr>
        <w:t>)</w:t>
      </w:r>
    </w:p>
    <w:p w14:paraId="0856EA79" w14:textId="77777777" w:rsidR="00033155" w:rsidRDefault="00033155" w:rsidP="009967BE">
      <w:pPr>
        <w:spacing w:after="0" w:line="360" w:lineRule="auto"/>
        <w:ind w:left="1418" w:hanging="1440"/>
        <w:jc w:val="both"/>
        <w:rPr>
          <w:rFonts w:ascii="Arial" w:hAnsi="Arial" w:cs="Arial"/>
          <w:b/>
          <w:bCs/>
          <w:sz w:val="24"/>
          <w:szCs w:val="24"/>
          <w:lang w:val="en-GB"/>
        </w:rPr>
      </w:pPr>
    </w:p>
    <w:p w14:paraId="28F7FF01" w14:textId="67D598E1" w:rsidR="00033155" w:rsidRPr="00023F57" w:rsidRDefault="00033155" w:rsidP="009967BE">
      <w:pPr>
        <w:spacing w:after="0" w:line="360" w:lineRule="auto"/>
        <w:ind w:left="1418" w:hanging="1440"/>
        <w:jc w:val="both"/>
        <w:rPr>
          <w:rFonts w:ascii="Arial" w:hAnsi="Arial" w:cs="Arial"/>
          <w:bCs/>
          <w:sz w:val="24"/>
          <w:szCs w:val="24"/>
          <w:lang w:val="en-GB"/>
        </w:rPr>
      </w:pPr>
      <w:r w:rsidRPr="00023F57">
        <w:rPr>
          <w:rFonts w:ascii="Arial" w:hAnsi="Arial" w:cs="Arial"/>
          <w:b/>
          <w:bCs/>
          <w:sz w:val="24"/>
          <w:szCs w:val="24"/>
          <w:lang w:val="en-GB"/>
        </w:rPr>
        <w:t>Heard:</w:t>
      </w:r>
      <w:r w:rsidRPr="00023F57">
        <w:rPr>
          <w:rFonts w:ascii="Arial" w:hAnsi="Arial" w:cs="Arial"/>
          <w:b/>
          <w:bCs/>
          <w:sz w:val="24"/>
          <w:szCs w:val="24"/>
          <w:lang w:val="en-GB"/>
        </w:rPr>
        <w:tab/>
      </w:r>
      <w:r w:rsidRPr="00023F57">
        <w:rPr>
          <w:rFonts w:ascii="Arial" w:hAnsi="Arial" w:cs="Arial"/>
          <w:bCs/>
          <w:sz w:val="24"/>
          <w:szCs w:val="24"/>
          <w:lang w:val="en-GB"/>
        </w:rPr>
        <w:t>22 September 2022</w:t>
      </w:r>
    </w:p>
    <w:p w14:paraId="0A345482" w14:textId="77777777" w:rsidR="00033155" w:rsidRPr="00023F57" w:rsidRDefault="00033155" w:rsidP="009967BE">
      <w:pPr>
        <w:spacing w:after="0" w:line="360" w:lineRule="auto"/>
        <w:ind w:left="1418" w:hanging="1440"/>
        <w:jc w:val="both"/>
        <w:rPr>
          <w:rFonts w:ascii="Arial" w:hAnsi="Arial" w:cs="Arial"/>
          <w:b/>
          <w:bCs/>
          <w:sz w:val="24"/>
          <w:szCs w:val="24"/>
          <w:lang w:val="en-GB"/>
        </w:rPr>
      </w:pPr>
    </w:p>
    <w:p w14:paraId="149ABF85" w14:textId="5E8A20A0" w:rsidR="00033155" w:rsidRPr="00033155" w:rsidRDefault="00033155" w:rsidP="00023F57">
      <w:pPr>
        <w:spacing w:after="0" w:line="360" w:lineRule="auto"/>
        <w:jc w:val="both"/>
        <w:rPr>
          <w:rFonts w:ascii="Arial" w:hAnsi="Arial" w:cs="Arial"/>
          <w:bCs/>
          <w:sz w:val="24"/>
          <w:szCs w:val="24"/>
          <w:lang w:val="en-GB"/>
        </w:rPr>
      </w:pPr>
      <w:r w:rsidRPr="00023F57">
        <w:rPr>
          <w:rFonts w:ascii="Arial" w:hAnsi="Arial" w:cs="Arial"/>
          <w:b/>
          <w:bCs/>
          <w:sz w:val="24"/>
          <w:szCs w:val="24"/>
          <w:lang w:val="en-GB"/>
        </w:rPr>
        <w:t>Delivered:</w:t>
      </w:r>
      <w:r w:rsidR="00023F57">
        <w:rPr>
          <w:rFonts w:ascii="Arial" w:hAnsi="Arial" w:cs="Arial"/>
          <w:b/>
          <w:bCs/>
          <w:sz w:val="24"/>
          <w:szCs w:val="24"/>
          <w:lang w:val="en-GB"/>
        </w:rPr>
        <w:tab/>
      </w:r>
      <w:r w:rsidR="00023F57">
        <w:rPr>
          <w:rFonts w:ascii="Arial" w:hAnsi="Arial" w:cs="Arial"/>
          <w:bCs/>
          <w:sz w:val="24"/>
          <w:szCs w:val="24"/>
          <w:lang w:val="en-GB"/>
        </w:rPr>
        <w:t>This judgment was handed down electronically by circulation to the parties’ representatives by email, publication on the Supreme Court of Appeal website and release to SAFLII. The date and time for hand-do</w:t>
      </w:r>
      <w:r w:rsidR="009F0F3B">
        <w:rPr>
          <w:rFonts w:ascii="Arial" w:hAnsi="Arial" w:cs="Arial"/>
          <w:bCs/>
          <w:sz w:val="24"/>
          <w:szCs w:val="24"/>
          <w:lang w:val="en-GB"/>
        </w:rPr>
        <w:t>wn is deemed to be 09:45 am on 1</w:t>
      </w:r>
      <w:r w:rsidR="00023F57">
        <w:rPr>
          <w:rFonts w:ascii="Arial" w:hAnsi="Arial" w:cs="Arial"/>
          <w:bCs/>
          <w:sz w:val="24"/>
          <w:szCs w:val="24"/>
          <w:lang w:val="en-GB"/>
        </w:rPr>
        <w:t xml:space="preserve"> December 2022.</w:t>
      </w:r>
      <w:r>
        <w:rPr>
          <w:rFonts w:ascii="Arial" w:hAnsi="Arial" w:cs="Arial"/>
          <w:b/>
          <w:bCs/>
          <w:sz w:val="24"/>
          <w:szCs w:val="24"/>
          <w:lang w:val="en-GB"/>
        </w:rPr>
        <w:tab/>
      </w:r>
    </w:p>
    <w:p w14:paraId="3D87C658" w14:textId="77777777" w:rsidR="00C86116" w:rsidRPr="00512F52" w:rsidRDefault="00C86116" w:rsidP="002277E7">
      <w:pPr>
        <w:spacing w:after="0" w:line="360" w:lineRule="auto"/>
        <w:ind w:left="1440" w:hanging="1440"/>
        <w:jc w:val="both"/>
        <w:rPr>
          <w:rFonts w:ascii="Arial" w:hAnsi="Arial" w:cs="Arial"/>
          <w:bCs/>
          <w:sz w:val="24"/>
          <w:szCs w:val="24"/>
          <w:lang w:val="en-GB"/>
        </w:rPr>
      </w:pPr>
    </w:p>
    <w:p w14:paraId="66AE3DA2" w14:textId="757DCC16" w:rsidR="00D86457" w:rsidRPr="00512F52" w:rsidRDefault="00071C96" w:rsidP="009967BE">
      <w:pPr>
        <w:tabs>
          <w:tab w:val="left" w:pos="1418"/>
        </w:tabs>
        <w:spacing w:after="0" w:line="360" w:lineRule="auto"/>
        <w:jc w:val="both"/>
        <w:rPr>
          <w:rFonts w:ascii="Arial" w:hAnsi="Arial" w:cs="Arial"/>
          <w:bCs/>
          <w:sz w:val="24"/>
          <w:szCs w:val="24"/>
          <w:lang w:val="en-GB"/>
        </w:rPr>
      </w:pPr>
      <w:r w:rsidRPr="00512F52">
        <w:rPr>
          <w:rFonts w:ascii="Arial" w:hAnsi="Arial" w:cs="Arial"/>
          <w:b/>
          <w:bCs/>
          <w:sz w:val="24"/>
          <w:szCs w:val="24"/>
          <w:lang w:val="en-GB"/>
        </w:rPr>
        <w:t>Summary:</w:t>
      </w:r>
      <w:r w:rsidRPr="00512F52">
        <w:rPr>
          <w:rFonts w:ascii="Arial" w:hAnsi="Arial" w:cs="Arial"/>
          <w:b/>
          <w:bCs/>
          <w:sz w:val="24"/>
          <w:szCs w:val="24"/>
          <w:lang w:val="en-GB"/>
        </w:rPr>
        <w:tab/>
      </w:r>
      <w:r w:rsidRPr="00512F52">
        <w:rPr>
          <w:rFonts w:ascii="Arial" w:hAnsi="Arial" w:cs="Arial"/>
          <w:bCs/>
          <w:sz w:val="24"/>
          <w:szCs w:val="24"/>
          <w:lang w:val="en-GB"/>
        </w:rPr>
        <w:t>Election of councillors to district council in</w:t>
      </w:r>
      <w:r w:rsidR="00D80306" w:rsidRPr="00512F52">
        <w:rPr>
          <w:rFonts w:ascii="Arial" w:hAnsi="Arial" w:cs="Arial"/>
          <w:bCs/>
          <w:sz w:val="24"/>
          <w:szCs w:val="24"/>
          <w:lang w:val="en-GB"/>
        </w:rPr>
        <w:t xml:space="preserve"> terms of item 20 of Schedule 2</w:t>
      </w:r>
      <w:r w:rsidRPr="00512F52">
        <w:rPr>
          <w:rFonts w:ascii="Arial" w:hAnsi="Arial" w:cs="Arial"/>
          <w:bCs/>
          <w:sz w:val="24"/>
          <w:szCs w:val="24"/>
          <w:lang w:val="en-GB"/>
        </w:rPr>
        <w:t xml:space="preserve"> to the Local Government: Municipal Structures Act 117 of 1998 – Review in terms of </w:t>
      </w:r>
      <w:r w:rsidR="009967BE" w:rsidRPr="00512F52">
        <w:rPr>
          <w:rFonts w:ascii="Arial" w:hAnsi="Arial" w:cs="Arial"/>
          <w:bCs/>
          <w:sz w:val="24"/>
          <w:szCs w:val="24"/>
          <w:lang w:val="en-GB"/>
        </w:rPr>
        <w:t xml:space="preserve">the </w:t>
      </w:r>
      <w:r w:rsidRPr="00512F52">
        <w:rPr>
          <w:rFonts w:ascii="Arial" w:hAnsi="Arial" w:cs="Arial"/>
          <w:bCs/>
          <w:sz w:val="24"/>
          <w:szCs w:val="24"/>
          <w:lang w:val="en-GB"/>
        </w:rPr>
        <w:t>principle of legality</w:t>
      </w:r>
      <w:r w:rsidR="009967BE" w:rsidRPr="00512F52">
        <w:rPr>
          <w:rFonts w:ascii="Arial" w:hAnsi="Arial" w:cs="Arial"/>
          <w:bCs/>
          <w:sz w:val="24"/>
          <w:szCs w:val="24"/>
          <w:lang w:val="en-GB"/>
        </w:rPr>
        <w:t>,</w:t>
      </w:r>
      <w:r w:rsidRPr="00512F52">
        <w:rPr>
          <w:rFonts w:ascii="Arial" w:hAnsi="Arial" w:cs="Arial"/>
          <w:bCs/>
          <w:sz w:val="24"/>
          <w:szCs w:val="24"/>
          <w:lang w:val="en-GB"/>
        </w:rPr>
        <w:t xml:space="preserve"> not brought within </w:t>
      </w:r>
      <w:r w:rsidR="009967BE" w:rsidRPr="00512F52">
        <w:rPr>
          <w:rFonts w:ascii="Arial" w:hAnsi="Arial" w:cs="Arial"/>
          <w:bCs/>
          <w:sz w:val="24"/>
          <w:szCs w:val="24"/>
          <w:lang w:val="en-GB"/>
        </w:rPr>
        <w:t xml:space="preserve">a </w:t>
      </w:r>
      <w:r w:rsidRPr="00512F52">
        <w:rPr>
          <w:rFonts w:ascii="Arial" w:hAnsi="Arial" w:cs="Arial"/>
          <w:bCs/>
          <w:sz w:val="24"/>
          <w:szCs w:val="24"/>
          <w:lang w:val="en-GB"/>
        </w:rPr>
        <w:t>reasonable time – Whether the delay should be overlooked – Interpretation of item 20 as read with s 157 of the Constitution – Just and equitable remedy – Procedure: whether there was non-joinder of other interested parties.</w:t>
      </w:r>
    </w:p>
    <w:p w14:paraId="0C69066C" w14:textId="522D6559" w:rsidR="00EA0119" w:rsidRPr="00512F52" w:rsidRDefault="00EA0119" w:rsidP="00B715A6">
      <w:pPr>
        <w:spacing w:after="0" w:line="360" w:lineRule="auto"/>
        <w:jc w:val="both"/>
        <w:rPr>
          <w:rFonts w:ascii="Arial" w:hAnsi="Arial" w:cs="Arial"/>
          <w:bCs/>
          <w:sz w:val="24"/>
          <w:szCs w:val="24"/>
          <w:lang w:val="en-GB"/>
        </w:rPr>
      </w:pPr>
    </w:p>
    <w:p w14:paraId="3295E824" w14:textId="3733E682" w:rsidR="009967BE" w:rsidRPr="00512F52" w:rsidRDefault="009967BE" w:rsidP="00B715A6">
      <w:pPr>
        <w:spacing w:after="0" w:line="360" w:lineRule="auto"/>
        <w:jc w:val="both"/>
        <w:rPr>
          <w:rFonts w:ascii="Arial" w:hAnsi="Arial" w:cs="Arial"/>
          <w:bCs/>
          <w:sz w:val="24"/>
          <w:szCs w:val="24"/>
          <w:lang w:val="en-GB"/>
        </w:rPr>
      </w:pPr>
    </w:p>
    <w:p w14:paraId="5D1EDCD8" w14:textId="2C0AE0CE" w:rsidR="009967BE" w:rsidRPr="00512F52" w:rsidRDefault="009967BE" w:rsidP="00B715A6">
      <w:pPr>
        <w:spacing w:after="0" w:line="360" w:lineRule="auto"/>
        <w:jc w:val="both"/>
        <w:rPr>
          <w:rFonts w:ascii="Arial" w:hAnsi="Arial" w:cs="Arial"/>
          <w:bCs/>
          <w:sz w:val="24"/>
          <w:szCs w:val="24"/>
          <w:lang w:val="en-GB"/>
        </w:rPr>
      </w:pPr>
    </w:p>
    <w:p w14:paraId="385EF768" w14:textId="16CD4D70" w:rsidR="009967BE" w:rsidRPr="00512F52" w:rsidRDefault="009967BE" w:rsidP="00B715A6">
      <w:pPr>
        <w:spacing w:after="0" w:line="360" w:lineRule="auto"/>
        <w:jc w:val="both"/>
        <w:rPr>
          <w:rFonts w:ascii="Arial" w:hAnsi="Arial" w:cs="Arial"/>
          <w:bCs/>
          <w:sz w:val="24"/>
          <w:szCs w:val="24"/>
          <w:lang w:val="en-GB"/>
        </w:rPr>
      </w:pPr>
    </w:p>
    <w:p w14:paraId="5D2084F9" w14:textId="20474E7F" w:rsidR="009967BE" w:rsidRPr="00512F52" w:rsidRDefault="009967BE" w:rsidP="00B715A6">
      <w:pPr>
        <w:spacing w:after="0" w:line="360" w:lineRule="auto"/>
        <w:jc w:val="both"/>
        <w:rPr>
          <w:rFonts w:ascii="Arial" w:hAnsi="Arial" w:cs="Arial"/>
          <w:bCs/>
          <w:sz w:val="24"/>
          <w:szCs w:val="24"/>
          <w:lang w:val="en-GB"/>
        </w:rPr>
      </w:pPr>
    </w:p>
    <w:p w14:paraId="6A9B283D" w14:textId="3B810748" w:rsidR="009967BE" w:rsidRPr="00512F52" w:rsidRDefault="009967BE" w:rsidP="00B715A6">
      <w:pPr>
        <w:spacing w:after="0" w:line="360" w:lineRule="auto"/>
        <w:jc w:val="both"/>
        <w:rPr>
          <w:rFonts w:ascii="Arial" w:hAnsi="Arial" w:cs="Arial"/>
          <w:bCs/>
          <w:sz w:val="24"/>
          <w:szCs w:val="24"/>
          <w:lang w:val="en-GB"/>
        </w:rPr>
      </w:pPr>
    </w:p>
    <w:p w14:paraId="60011957" w14:textId="4825074D" w:rsidR="009967BE" w:rsidRPr="00512F52" w:rsidRDefault="009967BE" w:rsidP="00B715A6">
      <w:pPr>
        <w:spacing w:after="0" w:line="360" w:lineRule="auto"/>
        <w:jc w:val="both"/>
        <w:rPr>
          <w:rFonts w:ascii="Arial" w:hAnsi="Arial" w:cs="Arial"/>
          <w:bCs/>
          <w:sz w:val="24"/>
          <w:szCs w:val="24"/>
          <w:lang w:val="en-GB"/>
        </w:rPr>
      </w:pPr>
    </w:p>
    <w:p w14:paraId="4F95FE52" w14:textId="7EFB35F8" w:rsidR="009967BE" w:rsidRPr="00512F52" w:rsidRDefault="009967BE" w:rsidP="00B715A6">
      <w:pPr>
        <w:spacing w:after="0" w:line="360" w:lineRule="auto"/>
        <w:jc w:val="both"/>
        <w:rPr>
          <w:rFonts w:ascii="Arial" w:hAnsi="Arial" w:cs="Arial"/>
          <w:bCs/>
          <w:sz w:val="24"/>
          <w:szCs w:val="24"/>
          <w:lang w:val="en-GB"/>
        </w:rPr>
      </w:pPr>
    </w:p>
    <w:p w14:paraId="0652654E" w14:textId="2314B743" w:rsidR="009967BE" w:rsidRPr="00512F52" w:rsidRDefault="009967BE" w:rsidP="00B715A6">
      <w:pPr>
        <w:spacing w:after="0" w:line="360" w:lineRule="auto"/>
        <w:jc w:val="both"/>
        <w:rPr>
          <w:rFonts w:ascii="Arial" w:hAnsi="Arial" w:cs="Arial"/>
          <w:bCs/>
          <w:sz w:val="24"/>
          <w:szCs w:val="24"/>
          <w:lang w:val="en-GB"/>
        </w:rPr>
      </w:pPr>
    </w:p>
    <w:p w14:paraId="6CC74986" w14:textId="22F3A2D6" w:rsidR="009967BE" w:rsidRPr="00512F52" w:rsidRDefault="009967BE" w:rsidP="00B715A6">
      <w:pPr>
        <w:spacing w:after="0" w:line="360" w:lineRule="auto"/>
        <w:jc w:val="both"/>
        <w:rPr>
          <w:rFonts w:ascii="Arial" w:hAnsi="Arial" w:cs="Arial"/>
          <w:bCs/>
          <w:sz w:val="24"/>
          <w:szCs w:val="24"/>
          <w:lang w:val="en-GB"/>
        </w:rPr>
      </w:pPr>
    </w:p>
    <w:p w14:paraId="77BA9E77" w14:textId="3C519DC5" w:rsidR="009967BE" w:rsidRPr="00512F52" w:rsidRDefault="009967BE" w:rsidP="00B715A6">
      <w:pPr>
        <w:spacing w:after="0" w:line="360" w:lineRule="auto"/>
        <w:jc w:val="both"/>
        <w:rPr>
          <w:rFonts w:ascii="Arial" w:hAnsi="Arial" w:cs="Arial"/>
          <w:bCs/>
          <w:sz w:val="24"/>
          <w:szCs w:val="24"/>
          <w:lang w:val="en-GB"/>
        </w:rPr>
      </w:pPr>
    </w:p>
    <w:p w14:paraId="221E5440" w14:textId="1523EB91" w:rsidR="009967BE" w:rsidRPr="00512F52" w:rsidRDefault="009967BE" w:rsidP="00B715A6">
      <w:pPr>
        <w:spacing w:after="0" w:line="360" w:lineRule="auto"/>
        <w:jc w:val="both"/>
        <w:rPr>
          <w:rFonts w:ascii="Arial" w:hAnsi="Arial" w:cs="Arial"/>
          <w:bCs/>
          <w:sz w:val="24"/>
          <w:szCs w:val="24"/>
          <w:lang w:val="en-GB"/>
        </w:rPr>
      </w:pPr>
    </w:p>
    <w:p w14:paraId="1E10DF23" w14:textId="40F33FA8" w:rsidR="009967BE" w:rsidRPr="00512F52" w:rsidRDefault="009967BE" w:rsidP="00B715A6">
      <w:pPr>
        <w:spacing w:after="0" w:line="360" w:lineRule="auto"/>
        <w:jc w:val="both"/>
        <w:rPr>
          <w:rFonts w:ascii="Arial" w:hAnsi="Arial" w:cs="Arial"/>
          <w:bCs/>
          <w:sz w:val="24"/>
          <w:szCs w:val="24"/>
          <w:lang w:val="en-GB"/>
        </w:rPr>
      </w:pPr>
    </w:p>
    <w:p w14:paraId="4EDDE620" w14:textId="640A3931" w:rsidR="009967BE" w:rsidRPr="00512F52" w:rsidRDefault="009967BE" w:rsidP="00B715A6">
      <w:pPr>
        <w:spacing w:after="0" w:line="360" w:lineRule="auto"/>
        <w:jc w:val="both"/>
        <w:rPr>
          <w:rFonts w:ascii="Arial" w:hAnsi="Arial" w:cs="Arial"/>
          <w:bCs/>
          <w:sz w:val="24"/>
          <w:szCs w:val="24"/>
          <w:lang w:val="en-GB"/>
        </w:rPr>
      </w:pPr>
    </w:p>
    <w:p w14:paraId="7740F792" w14:textId="3F90FBB0" w:rsidR="009967BE" w:rsidRPr="00512F52" w:rsidRDefault="009967BE" w:rsidP="00B715A6">
      <w:pPr>
        <w:spacing w:after="0" w:line="360" w:lineRule="auto"/>
        <w:jc w:val="both"/>
        <w:rPr>
          <w:rFonts w:ascii="Arial" w:hAnsi="Arial" w:cs="Arial"/>
          <w:bCs/>
          <w:sz w:val="24"/>
          <w:szCs w:val="24"/>
          <w:lang w:val="en-GB"/>
        </w:rPr>
      </w:pPr>
    </w:p>
    <w:p w14:paraId="3814712B" w14:textId="0412FA7C" w:rsidR="009967BE" w:rsidRPr="00512F52" w:rsidRDefault="009967BE" w:rsidP="00B715A6">
      <w:pPr>
        <w:spacing w:after="0" w:line="360" w:lineRule="auto"/>
        <w:jc w:val="both"/>
        <w:rPr>
          <w:rFonts w:ascii="Arial" w:hAnsi="Arial" w:cs="Arial"/>
          <w:bCs/>
          <w:sz w:val="24"/>
          <w:szCs w:val="24"/>
          <w:lang w:val="en-GB"/>
        </w:rPr>
      </w:pPr>
    </w:p>
    <w:p w14:paraId="77797E32" w14:textId="01D1881C" w:rsidR="00EA0119" w:rsidRPr="00512F52" w:rsidRDefault="00C75ABD" w:rsidP="00B715A6">
      <w:pPr>
        <w:spacing w:after="0" w:line="360" w:lineRule="auto"/>
        <w:jc w:val="both"/>
        <w:rPr>
          <w:rFonts w:ascii="Arial" w:hAnsi="Arial" w:cs="Arial"/>
          <w:bCs/>
          <w:sz w:val="24"/>
          <w:szCs w:val="24"/>
          <w:lang w:val="en-GB"/>
        </w:rPr>
      </w:pPr>
      <w:r w:rsidRPr="00512F52">
        <w:rPr>
          <w:rFonts w:ascii="Arial" w:hAnsi="Arial" w:cs="Arial"/>
          <w:bCs/>
          <w:noProof/>
          <w:sz w:val="24"/>
          <w:szCs w:val="24"/>
          <w:lang w:val="en-ZA" w:eastAsia="en-ZA"/>
        </w:rPr>
        <w:lastRenderedPageBreak/>
        <mc:AlternateContent>
          <mc:Choice Requires="wps">
            <w:drawing>
              <wp:anchor distT="0" distB="0" distL="114300" distR="114300" simplePos="0" relativeHeight="251659264" behindDoc="0" locked="0" layoutInCell="1" allowOverlap="1" wp14:anchorId="4F88FE04" wp14:editId="4C5ECACD">
                <wp:simplePos x="0" y="0"/>
                <wp:positionH relativeFrom="column">
                  <wp:posOffset>7316</wp:posOffset>
                </wp:positionH>
                <wp:positionV relativeFrom="paragraph">
                  <wp:posOffset>70764</wp:posOffset>
                </wp:positionV>
                <wp:extent cx="5917972"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91797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D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55pt" to="466.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" strokecolor="black [3200]" strokeweight="1pt">
                <v:stroke joinstyle="miter"/>
              </v:line>
            </w:pict>
          </mc:Fallback>
        </mc:AlternateContent>
      </w:r>
    </w:p>
    <w:p w14:paraId="5E5F5DE8" w14:textId="2739232F" w:rsidR="00C75ABD" w:rsidRPr="00512F52" w:rsidRDefault="00C75ABD" w:rsidP="00C75ABD">
      <w:pPr>
        <w:spacing w:after="0" w:line="360" w:lineRule="auto"/>
        <w:jc w:val="center"/>
        <w:rPr>
          <w:rFonts w:ascii="Arial" w:hAnsi="Arial" w:cs="Arial"/>
          <w:b/>
          <w:bCs/>
          <w:sz w:val="24"/>
          <w:szCs w:val="24"/>
          <w:lang w:val="en-GB"/>
        </w:rPr>
      </w:pPr>
      <w:r w:rsidRPr="00512F52">
        <w:rPr>
          <w:rFonts w:ascii="Arial" w:hAnsi="Arial" w:cs="Arial"/>
          <w:b/>
          <w:bCs/>
          <w:sz w:val="24"/>
          <w:szCs w:val="24"/>
          <w:lang w:val="en-GB"/>
        </w:rPr>
        <w:t>ORDER</w:t>
      </w:r>
    </w:p>
    <w:p w14:paraId="60E27E69" w14:textId="003B4915" w:rsidR="00EA0119" w:rsidRPr="00512F52" w:rsidRDefault="00C75ABD" w:rsidP="00B715A6">
      <w:pPr>
        <w:spacing w:after="0" w:line="360" w:lineRule="auto"/>
        <w:jc w:val="both"/>
        <w:rPr>
          <w:rFonts w:ascii="Arial" w:hAnsi="Arial" w:cs="Arial"/>
          <w:bCs/>
          <w:sz w:val="24"/>
          <w:szCs w:val="24"/>
          <w:lang w:val="en-GB"/>
        </w:rPr>
      </w:pPr>
      <w:r w:rsidRPr="00512F52">
        <w:rPr>
          <w:rFonts w:ascii="Arial" w:hAnsi="Arial" w:cs="Arial"/>
          <w:bCs/>
          <w:noProof/>
          <w:sz w:val="24"/>
          <w:szCs w:val="24"/>
          <w:lang w:val="en-ZA" w:eastAsia="en-ZA"/>
        </w:rPr>
        <mc:AlternateContent>
          <mc:Choice Requires="wps">
            <w:drawing>
              <wp:anchor distT="0" distB="0" distL="114300" distR="114300" simplePos="0" relativeHeight="251660288" behindDoc="0" locked="0" layoutInCell="1" allowOverlap="1" wp14:anchorId="10A7D459" wp14:editId="030E26F1">
                <wp:simplePos x="0" y="0"/>
                <wp:positionH relativeFrom="column">
                  <wp:posOffset>4763</wp:posOffset>
                </wp:positionH>
                <wp:positionV relativeFrom="paragraph">
                  <wp:posOffset>68898</wp:posOffset>
                </wp:positionV>
                <wp:extent cx="5917565" cy="21945"/>
                <wp:effectExtent l="0" t="0" r="26035" b="35560"/>
                <wp:wrapNone/>
                <wp:docPr id="2" name="Straight Connector 2"/>
                <wp:cNvGraphicFramePr/>
                <a:graphic xmlns:a="http://schemas.openxmlformats.org/drawingml/2006/main">
                  <a:graphicData uri="http://schemas.microsoft.com/office/word/2010/wordprocessingShape">
                    <wps:wsp>
                      <wps:cNvCnPr/>
                      <wps:spPr>
                        <a:xfrm flipV="1">
                          <a:off x="0" y="0"/>
                          <a:ext cx="5917565" cy="219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DE41C"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5pt" to="46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" strokecolor="black [3200]" strokeweight="1pt">
                <v:stroke joinstyle="miter"/>
              </v:line>
            </w:pict>
          </mc:Fallback>
        </mc:AlternateContent>
      </w:r>
    </w:p>
    <w:p w14:paraId="1F2CD82F" w14:textId="371C538D" w:rsidR="00B715A6" w:rsidRPr="00512F52" w:rsidRDefault="00B715A6" w:rsidP="00B715A6">
      <w:pPr>
        <w:spacing w:after="0" w:line="360" w:lineRule="auto"/>
        <w:jc w:val="both"/>
        <w:rPr>
          <w:rFonts w:ascii="Arial" w:hAnsi="Arial" w:cs="Arial"/>
          <w:sz w:val="24"/>
          <w:szCs w:val="24"/>
        </w:rPr>
      </w:pPr>
      <w:r w:rsidRPr="00512F52">
        <w:rPr>
          <w:rFonts w:ascii="Arial" w:hAnsi="Arial" w:cs="Arial"/>
          <w:bCs/>
          <w:sz w:val="24"/>
          <w:szCs w:val="24"/>
          <w:lang w:val="en-GB"/>
        </w:rPr>
        <w:t>1.</w:t>
      </w:r>
      <w:r w:rsidRPr="00512F52">
        <w:rPr>
          <w:rFonts w:ascii="Arial" w:hAnsi="Arial" w:cs="Arial"/>
          <w:bCs/>
          <w:sz w:val="24"/>
          <w:szCs w:val="24"/>
          <w:lang w:val="en-GB"/>
        </w:rPr>
        <w:tab/>
      </w:r>
      <w:r w:rsidR="00D80306" w:rsidRPr="00512F52">
        <w:rPr>
          <w:rFonts w:ascii="Arial" w:hAnsi="Arial" w:cs="Arial"/>
          <w:bCs/>
          <w:sz w:val="24"/>
          <w:szCs w:val="24"/>
          <w:lang w:val="en-GB"/>
        </w:rPr>
        <w:t>It is declared that t</w:t>
      </w:r>
      <w:r w:rsidR="00746535" w:rsidRPr="00512F52">
        <w:rPr>
          <w:rFonts w:ascii="Arial" w:hAnsi="Arial" w:cs="Arial"/>
          <w:sz w:val="24"/>
          <w:szCs w:val="24"/>
        </w:rPr>
        <w:t>he election on 23 November 2021 of the eighth, ninth and tenth respondents by the Electoral Commission as members of the King Cetshwayo</w:t>
      </w:r>
      <w:r w:rsidR="00D80306" w:rsidRPr="00512F52">
        <w:rPr>
          <w:rFonts w:ascii="Arial" w:hAnsi="Arial" w:cs="Arial"/>
          <w:sz w:val="24"/>
          <w:szCs w:val="24"/>
        </w:rPr>
        <w:t xml:space="preserve"> District Council as </w:t>
      </w:r>
      <w:r w:rsidR="00746535" w:rsidRPr="00512F52">
        <w:rPr>
          <w:rFonts w:ascii="Arial" w:hAnsi="Arial" w:cs="Arial"/>
          <w:sz w:val="24"/>
          <w:szCs w:val="24"/>
        </w:rPr>
        <w:t>representative</w:t>
      </w:r>
      <w:r w:rsidR="00021732" w:rsidRPr="00512F52">
        <w:rPr>
          <w:rFonts w:ascii="Arial" w:hAnsi="Arial" w:cs="Arial"/>
          <w:sz w:val="24"/>
          <w:szCs w:val="24"/>
        </w:rPr>
        <w:t>s</w:t>
      </w:r>
      <w:r w:rsidR="00746535" w:rsidRPr="00512F52">
        <w:rPr>
          <w:rFonts w:ascii="Arial" w:hAnsi="Arial" w:cs="Arial"/>
          <w:sz w:val="24"/>
          <w:szCs w:val="24"/>
        </w:rPr>
        <w:t xml:space="preserve"> of </w:t>
      </w:r>
      <w:r w:rsidR="00446963" w:rsidRPr="00512F52">
        <w:rPr>
          <w:rFonts w:ascii="Arial" w:hAnsi="Arial" w:cs="Arial"/>
          <w:sz w:val="24"/>
          <w:szCs w:val="24"/>
        </w:rPr>
        <w:t xml:space="preserve">the </w:t>
      </w:r>
      <w:r w:rsidR="00746535" w:rsidRPr="00512F52">
        <w:rPr>
          <w:rFonts w:ascii="Arial" w:hAnsi="Arial" w:cs="Arial"/>
          <w:sz w:val="24"/>
          <w:szCs w:val="24"/>
        </w:rPr>
        <w:t>uMhlathuze Local Council</w:t>
      </w:r>
      <w:r w:rsidR="00446963" w:rsidRPr="00512F52">
        <w:rPr>
          <w:rFonts w:ascii="Arial" w:hAnsi="Arial" w:cs="Arial"/>
          <w:sz w:val="24"/>
          <w:szCs w:val="24"/>
        </w:rPr>
        <w:t>,</w:t>
      </w:r>
      <w:r w:rsidR="00746535" w:rsidRPr="00512F52">
        <w:rPr>
          <w:rFonts w:ascii="Arial" w:hAnsi="Arial" w:cs="Arial"/>
          <w:sz w:val="24"/>
          <w:szCs w:val="24"/>
        </w:rPr>
        <w:t xml:space="preserve"> as contemplated in s 23(1)</w:t>
      </w:r>
      <w:r w:rsidR="00746535" w:rsidRPr="00512F52">
        <w:rPr>
          <w:rFonts w:ascii="Arial" w:hAnsi="Arial" w:cs="Arial"/>
          <w:i/>
          <w:sz w:val="24"/>
          <w:szCs w:val="24"/>
        </w:rPr>
        <w:t>(b)</w:t>
      </w:r>
      <w:r w:rsidR="00746535" w:rsidRPr="00512F52">
        <w:rPr>
          <w:rFonts w:ascii="Arial" w:hAnsi="Arial" w:cs="Arial"/>
          <w:sz w:val="24"/>
          <w:szCs w:val="24"/>
        </w:rPr>
        <w:t xml:space="preserve"> of the Local Government: Municipal Structures Act 117 of 1998, was unlawful, unconstitutional and invalid</w:t>
      </w:r>
      <w:r w:rsidR="00446963" w:rsidRPr="00512F52">
        <w:rPr>
          <w:rFonts w:ascii="Arial" w:hAnsi="Arial" w:cs="Arial"/>
          <w:sz w:val="24"/>
          <w:szCs w:val="24"/>
        </w:rPr>
        <w:t>.</w:t>
      </w:r>
    </w:p>
    <w:p w14:paraId="187D9DB5" w14:textId="20573502" w:rsidR="00746535" w:rsidRPr="00A25C21" w:rsidRDefault="00746535" w:rsidP="00B715A6">
      <w:pPr>
        <w:spacing w:after="0" w:line="360" w:lineRule="auto"/>
        <w:jc w:val="both"/>
        <w:rPr>
          <w:rFonts w:ascii="Arial" w:hAnsi="Arial" w:cs="Arial"/>
          <w:sz w:val="24"/>
          <w:szCs w:val="24"/>
        </w:rPr>
      </w:pPr>
      <w:r w:rsidRPr="00512F52">
        <w:rPr>
          <w:rFonts w:ascii="Arial" w:hAnsi="Arial" w:cs="Arial"/>
          <w:sz w:val="24"/>
          <w:szCs w:val="24"/>
        </w:rPr>
        <w:t>2.</w:t>
      </w:r>
      <w:r w:rsidR="00B715A6" w:rsidRPr="00512F52">
        <w:rPr>
          <w:rFonts w:ascii="Arial" w:hAnsi="Arial" w:cs="Arial"/>
          <w:sz w:val="24"/>
          <w:szCs w:val="24"/>
        </w:rPr>
        <w:tab/>
      </w:r>
      <w:r w:rsidRPr="00512F52">
        <w:rPr>
          <w:rFonts w:ascii="Arial" w:hAnsi="Arial" w:cs="Arial"/>
          <w:sz w:val="24"/>
          <w:szCs w:val="24"/>
        </w:rPr>
        <w:t>The decision of the Electoral Commission to elect the eighth, ninth and tenth respondents</w:t>
      </w:r>
      <w:r w:rsidR="00EA0119" w:rsidRPr="00512F52">
        <w:rPr>
          <w:rFonts w:ascii="Arial" w:hAnsi="Arial" w:cs="Arial"/>
          <w:sz w:val="24"/>
          <w:szCs w:val="24"/>
        </w:rPr>
        <w:t xml:space="preserve"> is reviewed and set aside.</w:t>
      </w:r>
    </w:p>
    <w:p w14:paraId="00E0A1A3" w14:textId="2F98969B" w:rsidR="00746535" w:rsidRDefault="00746535" w:rsidP="00B715A6">
      <w:pPr>
        <w:spacing w:after="0" w:line="360" w:lineRule="auto"/>
        <w:jc w:val="both"/>
        <w:rPr>
          <w:rFonts w:ascii="Arial" w:hAnsi="Arial" w:cs="Arial"/>
          <w:sz w:val="24"/>
          <w:szCs w:val="24"/>
        </w:rPr>
      </w:pPr>
      <w:r w:rsidRPr="00A25C21">
        <w:rPr>
          <w:rFonts w:ascii="Arial" w:hAnsi="Arial" w:cs="Arial"/>
          <w:sz w:val="24"/>
          <w:szCs w:val="24"/>
        </w:rPr>
        <w:t>3.</w:t>
      </w:r>
      <w:r w:rsidR="00B715A6" w:rsidRPr="00A25C21">
        <w:rPr>
          <w:rFonts w:ascii="Arial" w:hAnsi="Arial" w:cs="Arial"/>
          <w:sz w:val="24"/>
          <w:szCs w:val="24"/>
        </w:rPr>
        <w:tab/>
      </w:r>
      <w:r w:rsidR="008C5655" w:rsidRPr="00A25C21">
        <w:rPr>
          <w:rFonts w:ascii="Arial" w:hAnsi="Arial" w:cs="Arial"/>
          <w:sz w:val="24"/>
          <w:szCs w:val="24"/>
        </w:rPr>
        <w:t>It is declared</w:t>
      </w:r>
      <w:r w:rsidRPr="00A25C21">
        <w:rPr>
          <w:rFonts w:ascii="Arial" w:hAnsi="Arial" w:cs="Arial"/>
          <w:sz w:val="24"/>
          <w:szCs w:val="24"/>
        </w:rPr>
        <w:t xml:space="preserve"> that the proceedings of any decisions taken by the King Cetshwayo District Council are not invalid only by reason that the </w:t>
      </w:r>
      <w:r w:rsidR="008C5655" w:rsidRPr="00A25C21">
        <w:rPr>
          <w:rFonts w:ascii="Arial" w:hAnsi="Arial" w:cs="Arial"/>
          <w:sz w:val="24"/>
          <w:szCs w:val="24"/>
        </w:rPr>
        <w:t>e</w:t>
      </w:r>
      <w:r w:rsidRPr="00A25C21">
        <w:rPr>
          <w:rFonts w:ascii="Arial" w:hAnsi="Arial" w:cs="Arial"/>
          <w:sz w:val="24"/>
          <w:szCs w:val="24"/>
        </w:rPr>
        <w:t xml:space="preserve">ighth, </w:t>
      </w:r>
      <w:r w:rsidR="008C5655" w:rsidRPr="00A25C21">
        <w:rPr>
          <w:rFonts w:ascii="Arial" w:hAnsi="Arial" w:cs="Arial"/>
          <w:sz w:val="24"/>
          <w:szCs w:val="24"/>
        </w:rPr>
        <w:t>ninth and t</w:t>
      </w:r>
      <w:r w:rsidRPr="00A25C21">
        <w:rPr>
          <w:rFonts w:ascii="Arial" w:hAnsi="Arial" w:cs="Arial"/>
          <w:sz w:val="24"/>
          <w:szCs w:val="24"/>
        </w:rPr>
        <w:t xml:space="preserve">enth </w:t>
      </w:r>
      <w:r w:rsidR="008C5655" w:rsidRPr="00A25C21">
        <w:rPr>
          <w:rFonts w:ascii="Arial" w:hAnsi="Arial" w:cs="Arial"/>
          <w:sz w:val="24"/>
          <w:szCs w:val="24"/>
        </w:rPr>
        <w:t>r</w:t>
      </w:r>
      <w:r w:rsidRPr="00A25C21">
        <w:rPr>
          <w:rFonts w:ascii="Arial" w:hAnsi="Arial" w:cs="Arial"/>
          <w:sz w:val="24"/>
          <w:szCs w:val="24"/>
        </w:rPr>
        <w:t>espondents were members of t</w:t>
      </w:r>
      <w:r w:rsidR="00EA0119">
        <w:rPr>
          <w:rFonts w:ascii="Arial" w:hAnsi="Arial" w:cs="Arial"/>
          <w:sz w:val="24"/>
          <w:szCs w:val="24"/>
        </w:rPr>
        <w:t>hat Council at the time</w:t>
      </w:r>
      <w:r w:rsidR="00446963">
        <w:rPr>
          <w:rFonts w:ascii="Arial" w:hAnsi="Arial" w:cs="Arial"/>
          <w:sz w:val="24"/>
          <w:szCs w:val="24"/>
        </w:rPr>
        <w:t>.</w:t>
      </w:r>
    </w:p>
    <w:p w14:paraId="06374C6A" w14:textId="407C0691" w:rsidR="00786DA8" w:rsidRPr="00A25C21" w:rsidRDefault="00786DA8" w:rsidP="00B715A6">
      <w:pPr>
        <w:spacing w:after="0" w:line="360" w:lineRule="auto"/>
        <w:jc w:val="both"/>
        <w:rPr>
          <w:rFonts w:ascii="Arial" w:hAnsi="Arial" w:cs="Arial"/>
          <w:sz w:val="24"/>
          <w:szCs w:val="24"/>
        </w:rPr>
      </w:pPr>
      <w:r>
        <w:rPr>
          <w:rFonts w:ascii="Arial" w:hAnsi="Arial" w:cs="Arial"/>
          <w:sz w:val="24"/>
          <w:szCs w:val="24"/>
        </w:rPr>
        <w:t>4.        The eighth, ninth and tenth respondent</w:t>
      </w:r>
      <w:r w:rsidR="006E4C7A">
        <w:rPr>
          <w:rFonts w:ascii="Arial" w:hAnsi="Arial" w:cs="Arial"/>
          <w:sz w:val="24"/>
          <w:szCs w:val="24"/>
        </w:rPr>
        <w:t>s</w:t>
      </w:r>
      <w:r>
        <w:rPr>
          <w:rFonts w:ascii="Arial" w:hAnsi="Arial" w:cs="Arial"/>
          <w:sz w:val="24"/>
          <w:szCs w:val="24"/>
        </w:rPr>
        <w:t xml:space="preserve"> are ordered to vacate office in the King Cetshwayo District Council within fourteen days from the date of this order.</w:t>
      </w:r>
    </w:p>
    <w:p w14:paraId="2B74849F" w14:textId="3BC3B32F" w:rsidR="008C5655" w:rsidRPr="00A25C21" w:rsidRDefault="006A5398" w:rsidP="00B715A6">
      <w:pPr>
        <w:spacing w:after="0" w:line="360" w:lineRule="auto"/>
        <w:jc w:val="both"/>
        <w:rPr>
          <w:rFonts w:ascii="Arial" w:hAnsi="Arial" w:cs="Arial"/>
          <w:sz w:val="24"/>
          <w:szCs w:val="24"/>
        </w:rPr>
      </w:pPr>
      <w:r>
        <w:rPr>
          <w:rFonts w:ascii="Arial" w:hAnsi="Arial" w:cs="Arial"/>
          <w:sz w:val="24"/>
          <w:szCs w:val="24"/>
        </w:rPr>
        <w:t>5</w:t>
      </w:r>
      <w:r w:rsidR="00746535" w:rsidRPr="00A25C21">
        <w:rPr>
          <w:rFonts w:ascii="Arial" w:hAnsi="Arial" w:cs="Arial"/>
          <w:sz w:val="24"/>
          <w:szCs w:val="24"/>
        </w:rPr>
        <w:t>.</w:t>
      </w:r>
      <w:r w:rsidR="00B715A6" w:rsidRPr="00A25C21">
        <w:rPr>
          <w:rFonts w:ascii="Arial" w:hAnsi="Arial" w:cs="Arial"/>
          <w:sz w:val="24"/>
          <w:szCs w:val="24"/>
        </w:rPr>
        <w:tab/>
      </w:r>
      <w:r w:rsidR="008C5655" w:rsidRPr="00A25C21">
        <w:rPr>
          <w:rFonts w:ascii="Arial" w:hAnsi="Arial" w:cs="Arial"/>
          <w:sz w:val="24"/>
          <w:szCs w:val="24"/>
        </w:rPr>
        <w:t>It is declared</w:t>
      </w:r>
      <w:r w:rsidR="00746535" w:rsidRPr="00A25C21">
        <w:rPr>
          <w:rFonts w:ascii="Arial" w:hAnsi="Arial" w:cs="Arial"/>
          <w:sz w:val="24"/>
          <w:szCs w:val="24"/>
        </w:rPr>
        <w:t xml:space="preserve"> that the orders in paragraphs 1 and 2 shall not affect the legality of the payment of any salary or benefits to the </w:t>
      </w:r>
      <w:r w:rsidR="008C5655" w:rsidRPr="00A25C21">
        <w:rPr>
          <w:rFonts w:ascii="Arial" w:hAnsi="Arial" w:cs="Arial"/>
          <w:sz w:val="24"/>
          <w:szCs w:val="24"/>
        </w:rPr>
        <w:t>e</w:t>
      </w:r>
      <w:r w:rsidR="00746535" w:rsidRPr="00A25C21">
        <w:rPr>
          <w:rFonts w:ascii="Arial" w:hAnsi="Arial" w:cs="Arial"/>
          <w:sz w:val="24"/>
          <w:szCs w:val="24"/>
        </w:rPr>
        <w:t xml:space="preserve">ighth, </w:t>
      </w:r>
      <w:r w:rsidR="008C5655" w:rsidRPr="00A25C21">
        <w:rPr>
          <w:rFonts w:ascii="Arial" w:hAnsi="Arial" w:cs="Arial"/>
          <w:sz w:val="24"/>
          <w:szCs w:val="24"/>
        </w:rPr>
        <w:t>ninth or tenth r</w:t>
      </w:r>
      <w:r w:rsidR="00746535" w:rsidRPr="00A25C21">
        <w:rPr>
          <w:rFonts w:ascii="Arial" w:hAnsi="Arial" w:cs="Arial"/>
          <w:sz w:val="24"/>
          <w:szCs w:val="24"/>
        </w:rPr>
        <w:t>espondents prior to the date of this order.</w:t>
      </w:r>
    </w:p>
    <w:p w14:paraId="1B3D6E65" w14:textId="0B131029" w:rsidR="007A4EC8" w:rsidRPr="00E0227E" w:rsidRDefault="006A5398" w:rsidP="003A33A7">
      <w:pPr>
        <w:spacing w:line="360" w:lineRule="auto"/>
        <w:jc w:val="both"/>
        <w:rPr>
          <w:rFonts w:ascii="Arial" w:hAnsi="Arial" w:cs="Arial"/>
          <w:sz w:val="24"/>
          <w:szCs w:val="24"/>
        </w:rPr>
      </w:pPr>
      <w:r>
        <w:rPr>
          <w:rFonts w:ascii="Arial" w:hAnsi="Arial" w:cs="Arial"/>
          <w:sz w:val="24"/>
          <w:szCs w:val="24"/>
        </w:rPr>
        <w:t>6</w:t>
      </w:r>
      <w:r w:rsidR="008C5655" w:rsidRPr="00A25C21">
        <w:rPr>
          <w:rFonts w:ascii="Arial" w:hAnsi="Arial" w:cs="Arial"/>
          <w:sz w:val="24"/>
          <w:szCs w:val="24"/>
        </w:rPr>
        <w:t>.</w:t>
      </w:r>
      <w:r w:rsidR="008C5655" w:rsidRPr="00A25C21">
        <w:rPr>
          <w:rFonts w:ascii="Arial" w:hAnsi="Arial" w:cs="Arial"/>
          <w:sz w:val="24"/>
          <w:szCs w:val="24"/>
        </w:rPr>
        <w:tab/>
        <w:t>No order as to costs is made.</w:t>
      </w:r>
    </w:p>
    <w:p w14:paraId="13C9CB10" w14:textId="0AEE4519" w:rsidR="00C75ABD" w:rsidRDefault="00C75ABD" w:rsidP="003C0E85">
      <w:pPr>
        <w:spacing w:after="0" w:line="360" w:lineRule="auto"/>
        <w:jc w:val="both"/>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63360" behindDoc="0" locked="0" layoutInCell="1" allowOverlap="1" wp14:anchorId="71DD8A26" wp14:editId="7C086BED">
                <wp:simplePos x="0" y="0"/>
                <wp:positionH relativeFrom="column">
                  <wp:posOffset>4763</wp:posOffset>
                </wp:positionH>
                <wp:positionV relativeFrom="paragraph">
                  <wp:posOffset>80010</wp:posOffset>
                </wp:positionV>
                <wp:extent cx="5917565" cy="14288"/>
                <wp:effectExtent l="0" t="0" r="26035" b="24130"/>
                <wp:wrapNone/>
                <wp:docPr id="5" name="Straight Connector 5"/>
                <wp:cNvGraphicFramePr/>
                <a:graphic xmlns:a="http://schemas.openxmlformats.org/drawingml/2006/main">
                  <a:graphicData uri="http://schemas.microsoft.com/office/word/2010/wordprocessingShape">
                    <wps:wsp>
                      <wps:cNvCnPr/>
                      <wps:spPr>
                        <a:xfrm>
                          <a:off x="0" y="0"/>
                          <a:ext cx="5917565" cy="1428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BF7327"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3pt" to="46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" strokecolor="black [3200]" strokeweight="1pt">
                <v:stroke joinstyle="miter"/>
              </v:line>
            </w:pict>
          </mc:Fallback>
        </mc:AlternateContent>
      </w:r>
    </w:p>
    <w:p w14:paraId="498097F0" w14:textId="7CC3F546" w:rsidR="00C75ABD" w:rsidRPr="00C75ABD" w:rsidRDefault="00C75ABD" w:rsidP="00C75ABD">
      <w:pPr>
        <w:spacing w:after="0" w:line="360" w:lineRule="auto"/>
        <w:jc w:val="center"/>
        <w:rPr>
          <w:rFonts w:ascii="Arial" w:hAnsi="Arial" w:cs="Arial"/>
          <w:b/>
          <w:bCs/>
          <w:sz w:val="24"/>
          <w:szCs w:val="24"/>
          <w:lang w:val="en-GB"/>
        </w:rPr>
      </w:pPr>
      <w:r>
        <w:rPr>
          <w:rFonts w:ascii="Arial" w:hAnsi="Arial" w:cs="Arial"/>
          <w:b/>
          <w:bCs/>
          <w:sz w:val="24"/>
          <w:szCs w:val="24"/>
          <w:lang w:val="en-GB"/>
        </w:rPr>
        <w:t>JUDGMENT</w:t>
      </w:r>
    </w:p>
    <w:p w14:paraId="177A88D7" w14:textId="631919A8" w:rsidR="00C75ABD" w:rsidRPr="00C75ABD" w:rsidRDefault="00C75ABD" w:rsidP="003C0E85">
      <w:pPr>
        <w:spacing w:after="0" w:line="360" w:lineRule="auto"/>
        <w:jc w:val="both"/>
        <w:rPr>
          <w:rFonts w:ascii="Arial" w:hAnsi="Arial" w:cs="Arial"/>
          <w:bCs/>
          <w:sz w:val="24"/>
          <w:szCs w:val="24"/>
          <w:lang w:val="en-GB"/>
        </w:rPr>
      </w:pPr>
      <w:r>
        <w:rPr>
          <w:rFonts w:ascii="Arial" w:hAnsi="Arial" w:cs="Arial"/>
          <w:bCs/>
          <w:noProof/>
          <w:sz w:val="24"/>
          <w:szCs w:val="24"/>
          <w:lang w:val="en-ZA" w:eastAsia="en-ZA"/>
        </w:rPr>
        <mc:AlternateContent>
          <mc:Choice Requires="wps">
            <w:drawing>
              <wp:anchor distT="0" distB="0" distL="114300" distR="114300" simplePos="0" relativeHeight="251662336" behindDoc="0" locked="0" layoutInCell="1" allowOverlap="1" wp14:anchorId="0B1BA4E1" wp14:editId="3E910954">
                <wp:simplePos x="0" y="0"/>
                <wp:positionH relativeFrom="column">
                  <wp:posOffset>4763</wp:posOffset>
                </wp:positionH>
                <wp:positionV relativeFrom="paragraph">
                  <wp:posOffset>68898</wp:posOffset>
                </wp:positionV>
                <wp:extent cx="5917565" cy="21945"/>
                <wp:effectExtent l="0" t="0" r="26035" b="35560"/>
                <wp:wrapNone/>
                <wp:docPr id="3" name="Straight Connector 3"/>
                <wp:cNvGraphicFramePr/>
                <a:graphic xmlns:a="http://schemas.openxmlformats.org/drawingml/2006/main">
                  <a:graphicData uri="http://schemas.microsoft.com/office/word/2010/wordprocessingShape">
                    <wps:wsp>
                      <wps:cNvCnPr/>
                      <wps:spPr>
                        <a:xfrm flipV="1">
                          <a:off x="0" y="0"/>
                          <a:ext cx="5917565" cy="219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6E4631"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5pt" to="46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" strokecolor="black [3200]" strokeweight="1pt">
                <v:stroke joinstyle="miter"/>
              </v:line>
            </w:pict>
          </mc:Fallback>
        </mc:AlternateContent>
      </w:r>
    </w:p>
    <w:p w14:paraId="07856AEC" w14:textId="2CB4E960" w:rsidR="00E5267C" w:rsidRPr="00A25C21" w:rsidRDefault="00021732" w:rsidP="003C0E85">
      <w:pPr>
        <w:spacing w:after="0" w:line="360" w:lineRule="auto"/>
        <w:jc w:val="both"/>
        <w:rPr>
          <w:rFonts w:ascii="Arial" w:hAnsi="Arial" w:cs="Arial"/>
          <w:b/>
          <w:sz w:val="24"/>
          <w:szCs w:val="24"/>
        </w:rPr>
      </w:pPr>
      <w:r w:rsidRPr="00A25C21">
        <w:rPr>
          <w:rFonts w:ascii="Arial" w:hAnsi="Arial" w:cs="Arial"/>
          <w:b/>
          <w:sz w:val="24"/>
          <w:szCs w:val="24"/>
        </w:rPr>
        <w:t xml:space="preserve">Zondi </w:t>
      </w:r>
      <w:r w:rsidRPr="00A35FD2">
        <w:rPr>
          <w:rFonts w:ascii="Arial" w:hAnsi="Arial" w:cs="Arial"/>
          <w:b/>
          <w:sz w:val="24"/>
          <w:szCs w:val="24"/>
        </w:rPr>
        <w:t>JA (</w:t>
      </w:r>
      <w:r w:rsidR="00046F9E" w:rsidRPr="00A35FD2">
        <w:rPr>
          <w:rFonts w:ascii="Arial" w:hAnsi="Arial" w:cs="Arial"/>
          <w:b/>
          <w:bCs/>
          <w:sz w:val="24"/>
          <w:szCs w:val="24"/>
          <w:lang w:val="en-GB"/>
        </w:rPr>
        <w:t>Shongwe AJ, Modiba J, and Professor Ntlama-Makhanya and Professor Phooko (Additional Members)</w:t>
      </w:r>
      <w:r w:rsidR="00046F9E" w:rsidRPr="00A35FD2">
        <w:rPr>
          <w:rFonts w:ascii="Arial" w:hAnsi="Arial" w:cs="Arial"/>
          <w:b/>
          <w:sz w:val="24"/>
          <w:szCs w:val="24"/>
        </w:rPr>
        <w:t xml:space="preserve"> </w:t>
      </w:r>
      <w:r w:rsidRPr="00A35FD2">
        <w:rPr>
          <w:rFonts w:ascii="Arial" w:hAnsi="Arial" w:cs="Arial"/>
          <w:b/>
          <w:sz w:val="24"/>
          <w:szCs w:val="24"/>
        </w:rPr>
        <w:t>concurring</w:t>
      </w:r>
      <w:r w:rsidR="00046F9E" w:rsidRPr="00A35FD2">
        <w:rPr>
          <w:rFonts w:ascii="Arial" w:hAnsi="Arial" w:cs="Arial"/>
          <w:b/>
          <w:sz w:val="24"/>
          <w:szCs w:val="24"/>
        </w:rPr>
        <w:t>)</w:t>
      </w:r>
    </w:p>
    <w:p w14:paraId="5C0A6719" w14:textId="77777777" w:rsidR="00B715A6" w:rsidRPr="00A25C21" w:rsidRDefault="00B715A6" w:rsidP="003C0E85">
      <w:pPr>
        <w:spacing w:after="0" w:line="360" w:lineRule="auto"/>
        <w:jc w:val="both"/>
        <w:rPr>
          <w:rFonts w:ascii="Arial" w:hAnsi="Arial" w:cs="Arial"/>
          <w:b/>
          <w:sz w:val="24"/>
          <w:szCs w:val="24"/>
        </w:rPr>
      </w:pPr>
    </w:p>
    <w:p w14:paraId="2E803E83" w14:textId="79E9DEE8" w:rsidR="00021732" w:rsidRPr="00772102" w:rsidRDefault="00021732" w:rsidP="00772102">
      <w:pPr>
        <w:spacing w:after="0" w:line="360" w:lineRule="auto"/>
        <w:jc w:val="both"/>
        <w:rPr>
          <w:rFonts w:ascii="Arial" w:hAnsi="Arial" w:cs="Arial"/>
          <w:b/>
          <w:sz w:val="24"/>
          <w:szCs w:val="24"/>
        </w:rPr>
      </w:pPr>
      <w:r w:rsidRPr="00772102">
        <w:rPr>
          <w:rFonts w:ascii="Arial" w:hAnsi="Arial" w:cs="Arial"/>
          <w:b/>
          <w:sz w:val="24"/>
          <w:szCs w:val="24"/>
        </w:rPr>
        <w:t>Introduction</w:t>
      </w:r>
    </w:p>
    <w:p w14:paraId="5DFB0730" w14:textId="186A54D5" w:rsidR="00EB7C5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[1]</w:t>
      </w:r>
      <w:r w:rsidRPr="00512F52">
        <w:rPr>
          <w:rFonts w:ascii="Arial" w:hAnsi="Arial" w:cs="Arial"/>
          <w:sz w:val="24"/>
          <w:szCs w:val="24"/>
        </w:rPr>
        <w:tab/>
      </w:r>
      <w:r w:rsidR="00EB7C55" w:rsidRPr="00F669AB">
        <w:rPr>
          <w:rFonts w:ascii="Arial" w:hAnsi="Arial" w:cs="Arial"/>
          <w:sz w:val="24"/>
          <w:szCs w:val="24"/>
        </w:rPr>
        <w:t xml:space="preserve">On 2 August 2022, the applicants, </w:t>
      </w:r>
      <w:r w:rsidR="00A4792F" w:rsidRPr="00F669AB">
        <w:rPr>
          <w:rFonts w:ascii="Arial" w:hAnsi="Arial" w:cs="Arial"/>
          <w:sz w:val="24"/>
          <w:szCs w:val="24"/>
        </w:rPr>
        <w:t xml:space="preserve">the </w:t>
      </w:r>
      <w:r w:rsidR="00EB7C55" w:rsidRPr="00F669AB">
        <w:rPr>
          <w:rFonts w:ascii="Arial" w:hAnsi="Arial" w:cs="Arial"/>
          <w:sz w:val="24"/>
          <w:szCs w:val="24"/>
        </w:rPr>
        <w:t>Electoral Commission of South Africa and the Chief Electoral Officer (the Commission)</w:t>
      </w:r>
      <w:r w:rsidR="00A4792F" w:rsidRPr="00F669AB">
        <w:rPr>
          <w:rFonts w:ascii="Arial" w:hAnsi="Arial" w:cs="Arial"/>
          <w:sz w:val="24"/>
          <w:szCs w:val="24"/>
        </w:rPr>
        <w:t>,</w:t>
      </w:r>
      <w:r w:rsidR="00EB7C55" w:rsidRPr="00F669AB">
        <w:rPr>
          <w:rFonts w:ascii="Arial" w:hAnsi="Arial" w:cs="Arial"/>
          <w:sz w:val="24"/>
          <w:szCs w:val="24"/>
        </w:rPr>
        <w:t xml:space="preserve"> brought an application in this Court seeking an order in the following terms: </w:t>
      </w:r>
    </w:p>
    <w:p w14:paraId="024F9DC6" w14:textId="68AD4D36" w:rsidR="00EB7C55" w:rsidRPr="00512F52" w:rsidRDefault="00EB7C55" w:rsidP="00772102">
      <w:pPr>
        <w:spacing w:after="0" w:line="360" w:lineRule="auto"/>
        <w:jc w:val="both"/>
        <w:rPr>
          <w:rFonts w:ascii="Arial" w:hAnsi="Arial" w:cs="Arial"/>
        </w:rPr>
      </w:pPr>
      <w:r w:rsidRPr="00512F52">
        <w:rPr>
          <w:rFonts w:ascii="Arial" w:hAnsi="Arial" w:cs="Arial"/>
        </w:rPr>
        <w:t xml:space="preserve">‘1. </w:t>
      </w:r>
      <w:r w:rsidR="00A4792F" w:rsidRPr="00512F52">
        <w:rPr>
          <w:rFonts w:ascii="Arial" w:hAnsi="Arial" w:cs="Arial"/>
        </w:rPr>
        <w:tab/>
      </w:r>
      <w:r w:rsidRPr="00512F52">
        <w:rPr>
          <w:rFonts w:ascii="Arial" w:hAnsi="Arial" w:cs="Arial"/>
        </w:rPr>
        <w:t xml:space="preserve">Declaring that the purported election on 23 November 2021 of the Eighth, Ninth and Tenth Respondents as members of the King Cetshwayo District Council as a representative of </w:t>
      </w:r>
      <w:r w:rsidRPr="00512F52">
        <w:rPr>
          <w:rFonts w:ascii="Arial" w:hAnsi="Arial" w:cs="Arial"/>
        </w:rPr>
        <w:lastRenderedPageBreak/>
        <w:t>uMhlathuze Local Council as contemplated in section 23(1)(b) of the Local Government: Municipal Structures Act 117 of 1998, was unlawful, unconstitutional and invalid;</w:t>
      </w:r>
    </w:p>
    <w:p w14:paraId="09770E45" w14:textId="61166E00" w:rsidR="00EB7C55" w:rsidRPr="00512F52" w:rsidRDefault="00EB7C55" w:rsidP="00772102">
      <w:pPr>
        <w:spacing w:after="0" w:line="360" w:lineRule="auto"/>
        <w:jc w:val="both"/>
        <w:rPr>
          <w:rFonts w:ascii="Arial" w:hAnsi="Arial" w:cs="Arial"/>
        </w:rPr>
      </w:pPr>
      <w:r w:rsidRPr="00512F52">
        <w:rPr>
          <w:rFonts w:ascii="Arial" w:hAnsi="Arial" w:cs="Arial"/>
        </w:rPr>
        <w:t xml:space="preserve">2. </w:t>
      </w:r>
      <w:r w:rsidR="00A4792F" w:rsidRPr="00512F52">
        <w:rPr>
          <w:rFonts w:ascii="Arial" w:hAnsi="Arial" w:cs="Arial"/>
        </w:rPr>
        <w:tab/>
      </w:r>
      <w:r w:rsidRPr="00512F52">
        <w:rPr>
          <w:rFonts w:ascii="Arial" w:hAnsi="Arial" w:cs="Arial"/>
        </w:rPr>
        <w:t>Correcting, reviewing and setting aside the above election of the Eighth, Ninth and Tenth Respondents;</w:t>
      </w:r>
    </w:p>
    <w:p w14:paraId="250E37AF" w14:textId="0B9E16E4" w:rsidR="00EB7C55" w:rsidRPr="00512F52" w:rsidRDefault="00EB7C55" w:rsidP="00772102">
      <w:pPr>
        <w:spacing w:after="0" w:line="360" w:lineRule="auto"/>
        <w:jc w:val="both"/>
        <w:rPr>
          <w:rFonts w:ascii="Arial" w:hAnsi="Arial" w:cs="Arial"/>
        </w:rPr>
      </w:pPr>
      <w:r w:rsidRPr="00512F52">
        <w:rPr>
          <w:rFonts w:ascii="Arial" w:hAnsi="Arial" w:cs="Arial"/>
        </w:rPr>
        <w:t xml:space="preserve">3. </w:t>
      </w:r>
      <w:r w:rsidR="00A4792F" w:rsidRPr="00512F52">
        <w:rPr>
          <w:rFonts w:ascii="Arial" w:hAnsi="Arial" w:cs="Arial"/>
        </w:rPr>
        <w:tab/>
      </w:r>
      <w:r w:rsidRPr="00512F52">
        <w:rPr>
          <w:rFonts w:ascii="Arial" w:hAnsi="Arial" w:cs="Arial"/>
        </w:rPr>
        <w:t>Declaring that the proceedings of any decisions taken by the King Cetshwayo District Council are not invalid only by reason that the Eighth, Ninth and Tenth Respondents were members of that Council at the time;</w:t>
      </w:r>
    </w:p>
    <w:p w14:paraId="6E293FF5" w14:textId="3711D94D" w:rsidR="00834B82" w:rsidRPr="00512F52" w:rsidRDefault="00EB7C55" w:rsidP="00772102">
      <w:pPr>
        <w:spacing w:after="0" w:line="360" w:lineRule="auto"/>
        <w:jc w:val="both"/>
        <w:rPr>
          <w:rFonts w:ascii="Arial" w:hAnsi="Arial" w:cs="Arial"/>
        </w:rPr>
      </w:pPr>
      <w:r w:rsidRPr="00512F52">
        <w:rPr>
          <w:rFonts w:ascii="Arial" w:hAnsi="Arial" w:cs="Arial"/>
        </w:rPr>
        <w:t xml:space="preserve">4. </w:t>
      </w:r>
      <w:r w:rsidR="00A4792F" w:rsidRPr="00512F52">
        <w:rPr>
          <w:rFonts w:ascii="Arial" w:hAnsi="Arial" w:cs="Arial"/>
        </w:rPr>
        <w:tab/>
      </w:r>
      <w:r w:rsidRPr="00512F52">
        <w:rPr>
          <w:rFonts w:ascii="Arial" w:hAnsi="Arial" w:cs="Arial"/>
        </w:rPr>
        <w:t>Declaring that the orders in paragraphs 1 and 2 shall not affect the legality of the payment of any salary or benefits to the Eighth, Ninth or Tenth Respondents prior to the date of this order.’</w:t>
      </w:r>
    </w:p>
    <w:p w14:paraId="1415A23B" w14:textId="77777777" w:rsidR="00EB7C55" w:rsidRPr="00512F52" w:rsidRDefault="00EB7C55" w:rsidP="00772102">
      <w:pPr>
        <w:spacing w:after="0" w:line="360" w:lineRule="auto"/>
        <w:jc w:val="both"/>
        <w:rPr>
          <w:rFonts w:ascii="Arial" w:hAnsi="Arial" w:cs="Arial"/>
          <w:sz w:val="24"/>
          <w:szCs w:val="24"/>
        </w:rPr>
      </w:pPr>
    </w:p>
    <w:p w14:paraId="317C9D7B" w14:textId="378573C1" w:rsidR="003C0E8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[2]</w:t>
      </w:r>
      <w:r w:rsidRPr="00512F52">
        <w:rPr>
          <w:rFonts w:ascii="Arial" w:hAnsi="Arial" w:cs="Arial"/>
          <w:sz w:val="24"/>
          <w:szCs w:val="24"/>
        </w:rPr>
        <w:tab/>
      </w:r>
      <w:r w:rsidR="00F33C59" w:rsidRPr="00F669AB">
        <w:rPr>
          <w:rFonts w:ascii="Arial" w:hAnsi="Arial" w:cs="Arial"/>
          <w:sz w:val="24"/>
          <w:szCs w:val="24"/>
        </w:rPr>
        <w:t xml:space="preserve">The purpose of the application is to have reviewed and </w:t>
      </w:r>
      <w:r w:rsidR="005A4E7A" w:rsidRPr="00F669AB">
        <w:rPr>
          <w:rFonts w:ascii="Arial" w:hAnsi="Arial" w:cs="Arial"/>
          <w:sz w:val="24"/>
          <w:szCs w:val="24"/>
        </w:rPr>
        <w:t>set aside the election of the e</w:t>
      </w:r>
      <w:r w:rsidR="00F33C59" w:rsidRPr="00F669AB">
        <w:rPr>
          <w:rFonts w:ascii="Arial" w:hAnsi="Arial" w:cs="Arial"/>
          <w:sz w:val="24"/>
          <w:szCs w:val="24"/>
        </w:rPr>
        <w:t xml:space="preserve">ighth to </w:t>
      </w:r>
      <w:r w:rsidR="005A4E7A" w:rsidRPr="00F669AB">
        <w:rPr>
          <w:rFonts w:ascii="Arial" w:hAnsi="Arial" w:cs="Arial"/>
          <w:sz w:val="24"/>
          <w:szCs w:val="24"/>
        </w:rPr>
        <w:t>t</w:t>
      </w:r>
      <w:r w:rsidR="00F33C59" w:rsidRPr="00F669AB">
        <w:rPr>
          <w:rFonts w:ascii="Arial" w:hAnsi="Arial" w:cs="Arial"/>
          <w:sz w:val="24"/>
          <w:szCs w:val="24"/>
        </w:rPr>
        <w:t>enth respondents (</w:t>
      </w:r>
      <w:r w:rsidR="0086236E" w:rsidRPr="00F669AB">
        <w:rPr>
          <w:rFonts w:ascii="Arial" w:hAnsi="Arial" w:cs="Arial"/>
          <w:sz w:val="24"/>
          <w:szCs w:val="24"/>
        </w:rPr>
        <w:t xml:space="preserve">the </w:t>
      </w:r>
      <w:r w:rsidR="00F33C59" w:rsidRPr="00F669AB">
        <w:rPr>
          <w:rFonts w:ascii="Arial" w:hAnsi="Arial" w:cs="Arial"/>
          <w:sz w:val="24"/>
          <w:szCs w:val="24"/>
        </w:rPr>
        <w:t xml:space="preserve">affected </w:t>
      </w:r>
      <w:r w:rsidR="006428C8" w:rsidRPr="00F669AB">
        <w:rPr>
          <w:rFonts w:ascii="Arial" w:hAnsi="Arial" w:cs="Arial"/>
          <w:sz w:val="24"/>
          <w:szCs w:val="24"/>
        </w:rPr>
        <w:t>counci</w:t>
      </w:r>
      <w:r w:rsidR="009317C7" w:rsidRPr="00F669AB">
        <w:rPr>
          <w:rFonts w:ascii="Arial" w:hAnsi="Arial" w:cs="Arial"/>
          <w:sz w:val="24"/>
          <w:szCs w:val="24"/>
        </w:rPr>
        <w:t>l</w:t>
      </w:r>
      <w:r w:rsidR="006428C8" w:rsidRPr="00F669AB">
        <w:rPr>
          <w:rFonts w:ascii="Arial" w:hAnsi="Arial" w:cs="Arial"/>
          <w:sz w:val="24"/>
          <w:szCs w:val="24"/>
        </w:rPr>
        <w:t>lors</w:t>
      </w:r>
      <w:r w:rsidR="00F33C59" w:rsidRPr="00F669AB">
        <w:rPr>
          <w:rFonts w:ascii="Arial" w:hAnsi="Arial" w:cs="Arial"/>
          <w:sz w:val="24"/>
          <w:szCs w:val="24"/>
        </w:rPr>
        <w:t>)</w:t>
      </w:r>
      <w:r w:rsidR="00053C94" w:rsidRPr="00F669AB">
        <w:rPr>
          <w:rFonts w:ascii="Arial" w:hAnsi="Arial" w:cs="Arial"/>
          <w:sz w:val="24"/>
          <w:szCs w:val="24"/>
        </w:rPr>
        <w:t xml:space="preserve"> as </w:t>
      </w:r>
      <w:r w:rsidR="006428C8" w:rsidRPr="00F669AB">
        <w:rPr>
          <w:rFonts w:ascii="Arial" w:hAnsi="Arial" w:cs="Arial"/>
          <w:sz w:val="24"/>
          <w:szCs w:val="24"/>
        </w:rPr>
        <w:t>council</w:t>
      </w:r>
      <w:r w:rsidR="009317C7" w:rsidRPr="00F669AB">
        <w:rPr>
          <w:rFonts w:ascii="Arial" w:hAnsi="Arial" w:cs="Arial"/>
          <w:sz w:val="24"/>
          <w:szCs w:val="24"/>
        </w:rPr>
        <w:t>l</w:t>
      </w:r>
      <w:r w:rsidR="006428C8" w:rsidRPr="00F669AB">
        <w:rPr>
          <w:rFonts w:ascii="Arial" w:hAnsi="Arial" w:cs="Arial"/>
          <w:sz w:val="24"/>
          <w:szCs w:val="24"/>
        </w:rPr>
        <w:t>ors</w:t>
      </w:r>
      <w:r w:rsidR="00053C94" w:rsidRPr="00F669AB">
        <w:rPr>
          <w:rFonts w:ascii="Arial" w:hAnsi="Arial" w:cs="Arial"/>
          <w:sz w:val="24"/>
          <w:szCs w:val="24"/>
        </w:rPr>
        <w:t xml:space="preserve"> of the King Cetshwayo District Council on 23 November 2021 on the ground that their </w:t>
      </w:r>
      <w:r w:rsidR="007A4EC8" w:rsidRPr="00F669AB">
        <w:rPr>
          <w:rFonts w:ascii="Arial" w:hAnsi="Arial" w:cs="Arial"/>
          <w:sz w:val="24"/>
          <w:szCs w:val="24"/>
        </w:rPr>
        <w:t>election</w:t>
      </w:r>
      <w:r w:rsidR="00053C94" w:rsidRPr="00F669AB">
        <w:rPr>
          <w:rFonts w:ascii="Arial" w:hAnsi="Arial" w:cs="Arial"/>
          <w:sz w:val="24"/>
          <w:szCs w:val="24"/>
        </w:rPr>
        <w:t xml:space="preserve"> was </w:t>
      </w:r>
      <w:r w:rsidR="006B00DB" w:rsidRPr="00F669AB">
        <w:rPr>
          <w:rFonts w:ascii="Arial" w:hAnsi="Arial" w:cs="Arial"/>
          <w:sz w:val="24"/>
          <w:szCs w:val="24"/>
        </w:rPr>
        <w:t>unlawful</w:t>
      </w:r>
      <w:r w:rsidR="0086236E" w:rsidRPr="00F669AB">
        <w:rPr>
          <w:rFonts w:ascii="Arial" w:hAnsi="Arial" w:cs="Arial"/>
          <w:sz w:val="24"/>
          <w:szCs w:val="24"/>
        </w:rPr>
        <w:t>,</w:t>
      </w:r>
      <w:r w:rsidR="006B00DB" w:rsidRPr="00F669AB">
        <w:rPr>
          <w:rFonts w:ascii="Arial" w:hAnsi="Arial" w:cs="Arial"/>
          <w:sz w:val="24"/>
          <w:szCs w:val="24"/>
        </w:rPr>
        <w:t xml:space="preserve"> in that it</w:t>
      </w:r>
      <w:r w:rsidR="00053C94" w:rsidRPr="00F669AB">
        <w:rPr>
          <w:rFonts w:ascii="Arial" w:hAnsi="Arial" w:cs="Arial"/>
          <w:sz w:val="24"/>
          <w:szCs w:val="24"/>
        </w:rPr>
        <w:t xml:space="preserve"> </w:t>
      </w:r>
      <w:r w:rsidR="007A4EC8" w:rsidRPr="00F669AB">
        <w:rPr>
          <w:rFonts w:ascii="Arial" w:hAnsi="Arial" w:cs="Arial"/>
          <w:sz w:val="24"/>
          <w:szCs w:val="24"/>
        </w:rPr>
        <w:t>had been</w:t>
      </w:r>
      <w:r w:rsidR="00053C94" w:rsidRPr="00F669AB">
        <w:rPr>
          <w:rFonts w:ascii="Arial" w:hAnsi="Arial" w:cs="Arial"/>
          <w:sz w:val="24"/>
          <w:szCs w:val="24"/>
        </w:rPr>
        <w:t xml:space="preserve"> conducted in a manner inconsistent with the Local Government</w:t>
      </w:r>
      <w:r w:rsidR="006B00DB" w:rsidRPr="00F669AB">
        <w:rPr>
          <w:rFonts w:ascii="Arial" w:hAnsi="Arial" w:cs="Arial"/>
          <w:sz w:val="24"/>
          <w:szCs w:val="24"/>
        </w:rPr>
        <w:t>:</w:t>
      </w:r>
      <w:r w:rsidR="00053C94" w:rsidRPr="00F669AB">
        <w:rPr>
          <w:rFonts w:ascii="Arial" w:hAnsi="Arial" w:cs="Arial"/>
          <w:sz w:val="24"/>
          <w:szCs w:val="24"/>
        </w:rPr>
        <w:t xml:space="preserve"> Municipal Structures Act 117 of 1998 (the Structures Act)</w:t>
      </w:r>
      <w:r w:rsidR="007A4EC8" w:rsidRPr="00F669AB">
        <w:rPr>
          <w:rFonts w:ascii="Arial" w:hAnsi="Arial" w:cs="Arial"/>
          <w:sz w:val="24"/>
          <w:szCs w:val="24"/>
        </w:rPr>
        <w:t xml:space="preserve"> (</w:t>
      </w:r>
      <w:r w:rsidR="0086236E" w:rsidRPr="00F669AB">
        <w:rPr>
          <w:rFonts w:ascii="Arial" w:hAnsi="Arial" w:cs="Arial"/>
          <w:sz w:val="24"/>
          <w:szCs w:val="24"/>
        </w:rPr>
        <w:t xml:space="preserve">the </w:t>
      </w:r>
      <w:r w:rsidR="007A4EC8" w:rsidRPr="00F669AB">
        <w:rPr>
          <w:rFonts w:ascii="Arial" w:hAnsi="Arial" w:cs="Arial"/>
          <w:sz w:val="24"/>
          <w:szCs w:val="24"/>
        </w:rPr>
        <w:t>impugned decision)</w:t>
      </w:r>
      <w:r w:rsidR="00A55110" w:rsidRPr="00F669AB">
        <w:rPr>
          <w:rFonts w:ascii="Arial" w:hAnsi="Arial" w:cs="Arial"/>
          <w:sz w:val="24"/>
          <w:szCs w:val="24"/>
        </w:rPr>
        <w:t>.</w:t>
      </w:r>
    </w:p>
    <w:p w14:paraId="369E27B6" w14:textId="77777777" w:rsidR="00734DFC" w:rsidRPr="00512F52" w:rsidRDefault="00734DFC" w:rsidP="00772102">
      <w:pPr>
        <w:pStyle w:val="ListParagraph"/>
        <w:spacing w:after="0" w:line="360" w:lineRule="auto"/>
        <w:ind w:left="0"/>
        <w:jc w:val="both"/>
        <w:rPr>
          <w:rFonts w:ascii="Arial" w:hAnsi="Arial" w:cs="Arial"/>
          <w:sz w:val="24"/>
          <w:szCs w:val="24"/>
        </w:rPr>
      </w:pPr>
    </w:p>
    <w:p w14:paraId="3D9812E1" w14:textId="7A27B5B4" w:rsidR="006D5EA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w:t>
      </w:r>
      <w:r w:rsidRPr="00512F52">
        <w:rPr>
          <w:rFonts w:ascii="Arial" w:hAnsi="Arial" w:cs="Arial"/>
          <w:sz w:val="24"/>
          <w:szCs w:val="24"/>
        </w:rPr>
        <w:tab/>
      </w:r>
      <w:r w:rsidR="000234F5" w:rsidRPr="00F669AB">
        <w:rPr>
          <w:rFonts w:ascii="Arial" w:hAnsi="Arial" w:cs="Arial"/>
          <w:sz w:val="24"/>
          <w:szCs w:val="24"/>
        </w:rPr>
        <w:t xml:space="preserve">The impugned decision was made by the Commission’s representatives who were tasked with managing the election and seat allocation procedures on the King Cetshwayo District Council. </w:t>
      </w:r>
      <w:r w:rsidR="006A4034" w:rsidRPr="00F669AB">
        <w:rPr>
          <w:rFonts w:ascii="Arial" w:hAnsi="Arial" w:cs="Arial"/>
          <w:sz w:val="24"/>
          <w:szCs w:val="24"/>
        </w:rPr>
        <w:t xml:space="preserve">In short, the </w:t>
      </w:r>
      <w:r w:rsidR="00834B82" w:rsidRPr="00F669AB">
        <w:rPr>
          <w:rFonts w:ascii="Arial" w:hAnsi="Arial" w:cs="Arial"/>
          <w:sz w:val="24"/>
          <w:szCs w:val="24"/>
        </w:rPr>
        <w:t>Commission</w:t>
      </w:r>
      <w:r w:rsidR="006A4034" w:rsidRPr="00F669AB">
        <w:rPr>
          <w:rFonts w:ascii="Arial" w:hAnsi="Arial" w:cs="Arial"/>
          <w:sz w:val="24"/>
          <w:szCs w:val="24"/>
        </w:rPr>
        <w:t xml:space="preserve"> seeks </w:t>
      </w:r>
      <w:r w:rsidR="007D0FD6" w:rsidRPr="00F669AB">
        <w:rPr>
          <w:rFonts w:ascii="Arial" w:hAnsi="Arial" w:cs="Arial"/>
          <w:sz w:val="24"/>
          <w:szCs w:val="24"/>
        </w:rPr>
        <w:t xml:space="preserve">the </w:t>
      </w:r>
      <w:r w:rsidR="006A4034" w:rsidRPr="00F669AB">
        <w:rPr>
          <w:rFonts w:ascii="Arial" w:hAnsi="Arial" w:cs="Arial"/>
          <w:sz w:val="24"/>
          <w:szCs w:val="24"/>
        </w:rPr>
        <w:t>review and setting aside of its own decision. The</w:t>
      </w:r>
      <w:r w:rsidR="00834B82" w:rsidRPr="00F669AB">
        <w:rPr>
          <w:rFonts w:ascii="Arial" w:hAnsi="Arial" w:cs="Arial"/>
          <w:sz w:val="24"/>
          <w:szCs w:val="24"/>
        </w:rPr>
        <w:t xml:space="preserve"> </w:t>
      </w:r>
      <w:r w:rsidR="008F7C6F" w:rsidRPr="00F669AB">
        <w:rPr>
          <w:rFonts w:ascii="Arial" w:hAnsi="Arial" w:cs="Arial"/>
          <w:sz w:val="24"/>
          <w:szCs w:val="24"/>
        </w:rPr>
        <w:t>Commission delayed to bring the review application. It seeks condonation for the delay.</w:t>
      </w:r>
    </w:p>
    <w:p w14:paraId="6BB9C2E1" w14:textId="319F0BE5" w:rsidR="00734DFC" w:rsidRPr="00512F52" w:rsidRDefault="008F7C6F" w:rsidP="00AC6FAE">
      <w:pPr>
        <w:pStyle w:val="ListParagraph"/>
        <w:spacing w:after="0" w:line="360" w:lineRule="auto"/>
        <w:ind w:left="0"/>
        <w:jc w:val="both"/>
        <w:rPr>
          <w:rFonts w:ascii="Arial" w:hAnsi="Arial" w:cs="Arial"/>
          <w:sz w:val="24"/>
          <w:szCs w:val="24"/>
        </w:rPr>
      </w:pPr>
      <w:r w:rsidRPr="00512F52">
        <w:rPr>
          <w:rFonts w:ascii="Arial" w:hAnsi="Arial" w:cs="Arial"/>
          <w:sz w:val="24"/>
          <w:szCs w:val="24"/>
        </w:rPr>
        <w:t xml:space="preserve"> </w:t>
      </w:r>
    </w:p>
    <w:p w14:paraId="487AC1BA" w14:textId="77882763" w:rsidR="003C0E8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w:t>
      </w:r>
      <w:r w:rsidRPr="00512F52">
        <w:rPr>
          <w:rFonts w:ascii="Arial" w:hAnsi="Arial" w:cs="Arial"/>
          <w:sz w:val="24"/>
          <w:szCs w:val="24"/>
        </w:rPr>
        <w:tab/>
      </w:r>
      <w:r w:rsidR="00B75846" w:rsidRPr="00F669AB">
        <w:rPr>
          <w:rFonts w:ascii="Arial" w:hAnsi="Arial" w:cs="Arial"/>
          <w:sz w:val="24"/>
          <w:szCs w:val="24"/>
        </w:rPr>
        <w:t>The first to</w:t>
      </w:r>
      <w:r w:rsidR="00023F57" w:rsidRPr="00F669AB">
        <w:rPr>
          <w:rFonts w:ascii="Arial" w:hAnsi="Arial" w:cs="Arial"/>
          <w:sz w:val="24"/>
          <w:szCs w:val="24"/>
        </w:rPr>
        <w:t xml:space="preserve"> the</w:t>
      </w:r>
      <w:r w:rsidR="00B75846" w:rsidRPr="00F669AB">
        <w:rPr>
          <w:rFonts w:ascii="Arial" w:hAnsi="Arial" w:cs="Arial"/>
          <w:sz w:val="24"/>
          <w:szCs w:val="24"/>
        </w:rPr>
        <w:t xml:space="preserve"> fifth respondents and the eight</w:t>
      </w:r>
      <w:r w:rsidR="00CB5830" w:rsidRPr="00F669AB">
        <w:rPr>
          <w:rFonts w:ascii="Arial" w:hAnsi="Arial" w:cs="Arial"/>
          <w:sz w:val="24"/>
          <w:szCs w:val="24"/>
        </w:rPr>
        <w:t>h</w:t>
      </w:r>
      <w:r w:rsidR="00B75846" w:rsidRPr="00F669AB">
        <w:rPr>
          <w:rFonts w:ascii="Arial" w:hAnsi="Arial" w:cs="Arial"/>
          <w:sz w:val="24"/>
          <w:szCs w:val="24"/>
        </w:rPr>
        <w:t xml:space="preserve"> to</w:t>
      </w:r>
      <w:r w:rsidR="00023F57" w:rsidRPr="00F669AB">
        <w:rPr>
          <w:rFonts w:ascii="Arial" w:hAnsi="Arial" w:cs="Arial"/>
          <w:sz w:val="24"/>
          <w:szCs w:val="24"/>
        </w:rPr>
        <w:t xml:space="preserve"> the</w:t>
      </w:r>
      <w:r w:rsidR="00B75846" w:rsidRPr="00F669AB">
        <w:rPr>
          <w:rFonts w:ascii="Arial" w:hAnsi="Arial" w:cs="Arial"/>
          <w:sz w:val="24"/>
          <w:szCs w:val="24"/>
        </w:rPr>
        <w:t xml:space="preserve"> tenth respondents</w:t>
      </w:r>
      <w:r w:rsidR="00845255" w:rsidRPr="00F669AB">
        <w:rPr>
          <w:rFonts w:ascii="Arial" w:hAnsi="Arial" w:cs="Arial"/>
          <w:sz w:val="24"/>
          <w:szCs w:val="24"/>
        </w:rPr>
        <w:t xml:space="preserve">, </w:t>
      </w:r>
      <w:r w:rsidR="00B75846" w:rsidRPr="00F669AB">
        <w:rPr>
          <w:rFonts w:ascii="Arial" w:hAnsi="Arial" w:cs="Arial"/>
          <w:sz w:val="24"/>
          <w:szCs w:val="24"/>
        </w:rPr>
        <w:t>the</w:t>
      </w:r>
      <w:r w:rsidR="00834B82" w:rsidRPr="00F669AB">
        <w:rPr>
          <w:rFonts w:ascii="Arial" w:hAnsi="Arial" w:cs="Arial"/>
          <w:sz w:val="24"/>
          <w:szCs w:val="24"/>
        </w:rPr>
        <w:t xml:space="preserve"> three</w:t>
      </w:r>
      <w:r w:rsidR="00B75846" w:rsidRPr="00F669AB">
        <w:rPr>
          <w:rFonts w:ascii="Arial" w:hAnsi="Arial" w:cs="Arial"/>
          <w:sz w:val="24"/>
          <w:szCs w:val="24"/>
        </w:rPr>
        <w:t xml:space="preserve"> affected </w:t>
      </w:r>
      <w:r w:rsidR="006428C8" w:rsidRPr="00F669AB">
        <w:rPr>
          <w:rFonts w:ascii="Arial" w:hAnsi="Arial" w:cs="Arial"/>
          <w:sz w:val="24"/>
          <w:szCs w:val="24"/>
        </w:rPr>
        <w:t>council</w:t>
      </w:r>
      <w:r w:rsidR="009317C7" w:rsidRPr="00F669AB">
        <w:rPr>
          <w:rFonts w:ascii="Arial" w:hAnsi="Arial" w:cs="Arial"/>
          <w:sz w:val="24"/>
          <w:szCs w:val="24"/>
        </w:rPr>
        <w:t>l</w:t>
      </w:r>
      <w:r w:rsidR="006428C8" w:rsidRPr="00F669AB">
        <w:rPr>
          <w:rFonts w:ascii="Arial" w:hAnsi="Arial" w:cs="Arial"/>
          <w:sz w:val="24"/>
          <w:szCs w:val="24"/>
        </w:rPr>
        <w:t>ors</w:t>
      </w:r>
      <w:r w:rsidR="00845255" w:rsidRPr="00F669AB">
        <w:rPr>
          <w:rFonts w:ascii="Arial" w:hAnsi="Arial" w:cs="Arial"/>
          <w:sz w:val="24"/>
          <w:szCs w:val="24"/>
        </w:rPr>
        <w:t>,</w:t>
      </w:r>
      <w:r w:rsidR="00B75846" w:rsidRPr="00F669AB">
        <w:rPr>
          <w:rFonts w:ascii="Arial" w:hAnsi="Arial" w:cs="Arial"/>
          <w:sz w:val="24"/>
          <w:szCs w:val="24"/>
        </w:rPr>
        <w:t xml:space="preserve"> oppose the relief sought by the C</w:t>
      </w:r>
      <w:r w:rsidR="00E20D17" w:rsidRPr="00F669AB">
        <w:rPr>
          <w:rFonts w:ascii="Arial" w:hAnsi="Arial" w:cs="Arial"/>
          <w:sz w:val="24"/>
          <w:szCs w:val="24"/>
        </w:rPr>
        <w:t xml:space="preserve">ommission. These respondents are </w:t>
      </w:r>
      <w:r w:rsidR="00EA04BB" w:rsidRPr="00F669AB">
        <w:rPr>
          <w:rFonts w:ascii="Arial" w:hAnsi="Arial" w:cs="Arial"/>
          <w:sz w:val="24"/>
          <w:szCs w:val="24"/>
        </w:rPr>
        <w:t>t</w:t>
      </w:r>
      <w:r w:rsidR="00CB5830" w:rsidRPr="00F669AB">
        <w:rPr>
          <w:rFonts w:ascii="Arial" w:hAnsi="Arial" w:cs="Arial"/>
          <w:sz w:val="24"/>
          <w:szCs w:val="24"/>
        </w:rPr>
        <w:t>he Speaker of the uM</w:t>
      </w:r>
      <w:r w:rsidR="00675CC5" w:rsidRPr="00F669AB">
        <w:rPr>
          <w:rFonts w:ascii="Arial" w:hAnsi="Arial" w:cs="Arial"/>
          <w:sz w:val="24"/>
          <w:szCs w:val="24"/>
        </w:rPr>
        <w:t>hla</w:t>
      </w:r>
      <w:r w:rsidR="00EA04BB" w:rsidRPr="00F669AB">
        <w:rPr>
          <w:rFonts w:ascii="Arial" w:hAnsi="Arial" w:cs="Arial"/>
          <w:sz w:val="24"/>
          <w:szCs w:val="24"/>
        </w:rPr>
        <w:t>thuze Local Council, t</w:t>
      </w:r>
      <w:r w:rsidR="00675CC5" w:rsidRPr="00F669AB">
        <w:rPr>
          <w:rFonts w:ascii="Arial" w:hAnsi="Arial" w:cs="Arial"/>
          <w:sz w:val="24"/>
          <w:szCs w:val="24"/>
        </w:rPr>
        <w:t xml:space="preserve">he Municipal Manager: </w:t>
      </w:r>
      <w:r w:rsidR="00CB5830" w:rsidRPr="00F669AB">
        <w:rPr>
          <w:rFonts w:ascii="Arial" w:hAnsi="Arial" w:cs="Arial"/>
          <w:sz w:val="24"/>
          <w:szCs w:val="24"/>
        </w:rPr>
        <w:t>uM</w:t>
      </w:r>
      <w:r w:rsidR="00EA04BB" w:rsidRPr="00F669AB">
        <w:rPr>
          <w:rFonts w:ascii="Arial" w:hAnsi="Arial" w:cs="Arial"/>
          <w:sz w:val="24"/>
          <w:szCs w:val="24"/>
        </w:rPr>
        <w:t>hlathuze Local Municipality, t</w:t>
      </w:r>
      <w:r w:rsidR="00675CC5" w:rsidRPr="00F669AB">
        <w:rPr>
          <w:rFonts w:ascii="Arial" w:hAnsi="Arial" w:cs="Arial"/>
          <w:sz w:val="24"/>
          <w:szCs w:val="24"/>
        </w:rPr>
        <w:t>he Speaker of the Ki</w:t>
      </w:r>
      <w:r w:rsidR="00EA04BB" w:rsidRPr="00F669AB">
        <w:rPr>
          <w:rFonts w:ascii="Arial" w:hAnsi="Arial" w:cs="Arial"/>
          <w:sz w:val="24"/>
          <w:szCs w:val="24"/>
        </w:rPr>
        <w:t>ng Cetshwayo District Council, t</w:t>
      </w:r>
      <w:r w:rsidR="00675CC5" w:rsidRPr="00F669AB">
        <w:rPr>
          <w:rFonts w:ascii="Arial" w:hAnsi="Arial" w:cs="Arial"/>
          <w:sz w:val="24"/>
          <w:szCs w:val="24"/>
        </w:rPr>
        <w:t>he Municipal Manager: King Cetshwayo District Council, Inkatha Freedom Party</w:t>
      </w:r>
      <w:r w:rsidR="00735B44" w:rsidRPr="00F669AB">
        <w:rPr>
          <w:rFonts w:ascii="Arial" w:hAnsi="Arial" w:cs="Arial"/>
          <w:sz w:val="24"/>
          <w:szCs w:val="24"/>
        </w:rPr>
        <w:t xml:space="preserve"> (IFP)</w:t>
      </w:r>
      <w:r w:rsidR="00675CC5" w:rsidRPr="00F669AB">
        <w:rPr>
          <w:rFonts w:ascii="Arial" w:hAnsi="Arial" w:cs="Arial"/>
          <w:sz w:val="24"/>
          <w:szCs w:val="24"/>
        </w:rPr>
        <w:t>,</w:t>
      </w:r>
      <w:r w:rsidR="006D5EA9" w:rsidRPr="00F669AB">
        <w:rPr>
          <w:rFonts w:ascii="Arial" w:hAnsi="Arial" w:cs="Arial"/>
          <w:sz w:val="24"/>
          <w:szCs w:val="24"/>
        </w:rPr>
        <w:t xml:space="preserve"> as well as the affected councilors, namely</w:t>
      </w:r>
      <w:r w:rsidR="00675CC5" w:rsidRPr="00F669AB">
        <w:rPr>
          <w:rFonts w:ascii="Arial" w:hAnsi="Arial" w:cs="Arial"/>
          <w:sz w:val="24"/>
          <w:szCs w:val="24"/>
        </w:rPr>
        <w:t xml:space="preserve"> </w:t>
      </w:r>
      <w:r w:rsidR="006428C8" w:rsidRPr="00F669AB">
        <w:rPr>
          <w:rFonts w:ascii="Arial" w:hAnsi="Arial" w:cs="Arial"/>
          <w:sz w:val="24"/>
          <w:szCs w:val="24"/>
        </w:rPr>
        <w:t>Council</w:t>
      </w:r>
      <w:r w:rsidR="009317C7" w:rsidRPr="00F669AB">
        <w:rPr>
          <w:rFonts w:ascii="Arial" w:hAnsi="Arial" w:cs="Arial"/>
          <w:sz w:val="24"/>
          <w:szCs w:val="24"/>
        </w:rPr>
        <w:t>l</w:t>
      </w:r>
      <w:r w:rsidR="006428C8" w:rsidRPr="00F669AB">
        <w:rPr>
          <w:rFonts w:ascii="Arial" w:hAnsi="Arial" w:cs="Arial"/>
          <w:sz w:val="24"/>
          <w:szCs w:val="24"/>
        </w:rPr>
        <w:t>or</w:t>
      </w:r>
      <w:r w:rsidR="00792127" w:rsidRPr="00F669AB">
        <w:rPr>
          <w:rFonts w:ascii="Arial" w:hAnsi="Arial" w:cs="Arial"/>
          <w:sz w:val="24"/>
          <w:szCs w:val="24"/>
        </w:rPr>
        <w:t xml:space="preserve"> Anneke Lange, </w:t>
      </w:r>
      <w:r w:rsidR="006428C8" w:rsidRPr="00F669AB">
        <w:rPr>
          <w:rFonts w:ascii="Arial" w:hAnsi="Arial" w:cs="Arial"/>
          <w:sz w:val="24"/>
          <w:szCs w:val="24"/>
        </w:rPr>
        <w:t>Counci</w:t>
      </w:r>
      <w:r w:rsidR="009317C7" w:rsidRPr="00F669AB">
        <w:rPr>
          <w:rFonts w:ascii="Arial" w:hAnsi="Arial" w:cs="Arial"/>
          <w:sz w:val="24"/>
          <w:szCs w:val="24"/>
        </w:rPr>
        <w:t>l</w:t>
      </w:r>
      <w:r w:rsidR="006428C8" w:rsidRPr="00F669AB">
        <w:rPr>
          <w:rFonts w:ascii="Arial" w:hAnsi="Arial" w:cs="Arial"/>
          <w:sz w:val="24"/>
          <w:szCs w:val="24"/>
        </w:rPr>
        <w:t>lor</w:t>
      </w:r>
      <w:r w:rsidR="00792127" w:rsidRPr="00F669AB">
        <w:rPr>
          <w:rFonts w:ascii="Arial" w:hAnsi="Arial" w:cs="Arial"/>
          <w:sz w:val="24"/>
          <w:szCs w:val="24"/>
        </w:rPr>
        <w:t xml:space="preserve"> Muziwokuthula Msimango and </w:t>
      </w:r>
      <w:r w:rsidR="009317C7" w:rsidRPr="00F669AB">
        <w:rPr>
          <w:rFonts w:ascii="Arial" w:hAnsi="Arial" w:cs="Arial"/>
          <w:sz w:val="24"/>
          <w:szCs w:val="24"/>
        </w:rPr>
        <w:t>Councillor</w:t>
      </w:r>
      <w:r w:rsidR="00792127" w:rsidRPr="00F669AB">
        <w:rPr>
          <w:rFonts w:ascii="Arial" w:hAnsi="Arial" w:cs="Arial"/>
          <w:sz w:val="24"/>
          <w:szCs w:val="24"/>
        </w:rPr>
        <w:t xml:space="preserve"> Makhosi Madi</w:t>
      </w:r>
      <w:r w:rsidR="00E76D17" w:rsidRPr="00F669AB">
        <w:rPr>
          <w:rFonts w:ascii="Arial" w:hAnsi="Arial" w:cs="Arial"/>
          <w:sz w:val="24"/>
          <w:szCs w:val="24"/>
        </w:rPr>
        <w:t>d</w:t>
      </w:r>
      <w:r w:rsidR="00792127" w:rsidRPr="00F669AB">
        <w:rPr>
          <w:rFonts w:ascii="Arial" w:hAnsi="Arial" w:cs="Arial"/>
          <w:sz w:val="24"/>
          <w:szCs w:val="24"/>
        </w:rPr>
        <w:t>a respectively.</w:t>
      </w:r>
    </w:p>
    <w:p w14:paraId="0F5D745F" w14:textId="77777777" w:rsidR="00734DFC" w:rsidRPr="00512F52" w:rsidRDefault="00734DFC" w:rsidP="00772102">
      <w:pPr>
        <w:pStyle w:val="ListParagraph"/>
        <w:spacing w:after="0" w:line="360" w:lineRule="auto"/>
        <w:jc w:val="both"/>
        <w:rPr>
          <w:rFonts w:ascii="Arial" w:hAnsi="Arial" w:cs="Arial"/>
          <w:sz w:val="24"/>
          <w:szCs w:val="24"/>
        </w:rPr>
      </w:pPr>
    </w:p>
    <w:p w14:paraId="5F6A19B4" w14:textId="2C94C829" w:rsidR="00754C88"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lastRenderedPageBreak/>
        <w:t>[5]</w:t>
      </w:r>
      <w:r w:rsidRPr="00512F52">
        <w:rPr>
          <w:rFonts w:ascii="Arial" w:hAnsi="Arial" w:cs="Arial"/>
          <w:sz w:val="24"/>
          <w:szCs w:val="24"/>
        </w:rPr>
        <w:tab/>
      </w:r>
      <w:r w:rsidR="00951857" w:rsidRPr="00F669AB">
        <w:rPr>
          <w:rFonts w:ascii="Arial" w:hAnsi="Arial" w:cs="Arial"/>
          <w:sz w:val="24"/>
          <w:szCs w:val="24"/>
        </w:rPr>
        <w:t xml:space="preserve">The respondents oppose the application essentially on three main grounds. </w:t>
      </w:r>
      <w:r w:rsidR="00EB7C55" w:rsidRPr="00F669AB">
        <w:rPr>
          <w:rFonts w:ascii="Arial" w:hAnsi="Arial" w:cs="Arial"/>
          <w:sz w:val="24"/>
          <w:szCs w:val="24"/>
        </w:rPr>
        <w:t>In a</w:t>
      </w:r>
      <w:r w:rsidR="00077F42" w:rsidRPr="00F669AB">
        <w:rPr>
          <w:rFonts w:ascii="Arial" w:hAnsi="Arial" w:cs="Arial"/>
          <w:sz w:val="24"/>
          <w:szCs w:val="24"/>
        </w:rPr>
        <w:t>d</w:t>
      </w:r>
      <w:r w:rsidR="00EB7C55" w:rsidRPr="00F669AB">
        <w:rPr>
          <w:rFonts w:ascii="Arial" w:hAnsi="Arial" w:cs="Arial"/>
          <w:sz w:val="24"/>
          <w:szCs w:val="24"/>
        </w:rPr>
        <w:t xml:space="preserve">dition to opposing the application on the merits, the respondents also </w:t>
      </w:r>
      <w:r w:rsidR="00077F42" w:rsidRPr="00F669AB">
        <w:rPr>
          <w:rFonts w:ascii="Arial" w:hAnsi="Arial" w:cs="Arial"/>
          <w:sz w:val="24"/>
          <w:szCs w:val="24"/>
        </w:rPr>
        <w:t xml:space="preserve">raise two preliminary points on which they seek the dismissal of the application. </w:t>
      </w:r>
      <w:r w:rsidR="00EA04BB" w:rsidRPr="00F669AB">
        <w:rPr>
          <w:rFonts w:ascii="Arial" w:hAnsi="Arial" w:cs="Arial"/>
          <w:sz w:val="24"/>
          <w:szCs w:val="24"/>
        </w:rPr>
        <w:t xml:space="preserve">They contend, </w:t>
      </w:r>
      <w:r w:rsidR="00792127" w:rsidRPr="00F669AB">
        <w:rPr>
          <w:rFonts w:ascii="Arial" w:hAnsi="Arial" w:cs="Arial"/>
          <w:sz w:val="24"/>
          <w:szCs w:val="24"/>
        </w:rPr>
        <w:t xml:space="preserve">first, </w:t>
      </w:r>
      <w:r w:rsidR="00EA04BB" w:rsidRPr="00F669AB">
        <w:rPr>
          <w:rFonts w:ascii="Arial" w:hAnsi="Arial" w:cs="Arial"/>
          <w:sz w:val="24"/>
          <w:szCs w:val="24"/>
        </w:rPr>
        <w:t xml:space="preserve">that </w:t>
      </w:r>
      <w:r w:rsidR="00792127" w:rsidRPr="00F669AB">
        <w:rPr>
          <w:rFonts w:ascii="Arial" w:hAnsi="Arial" w:cs="Arial"/>
          <w:sz w:val="24"/>
          <w:szCs w:val="24"/>
        </w:rPr>
        <w:t xml:space="preserve">the Commission delayed unreasonably in launching the </w:t>
      </w:r>
      <w:r w:rsidR="00EA04BB" w:rsidRPr="00F669AB">
        <w:rPr>
          <w:rFonts w:ascii="Arial" w:hAnsi="Arial" w:cs="Arial"/>
          <w:sz w:val="24"/>
          <w:szCs w:val="24"/>
        </w:rPr>
        <w:t xml:space="preserve">review </w:t>
      </w:r>
      <w:r w:rsidR="00792127" w:rsidRPr="00F669AB">
        <w:rPr>
          <w:rFonts w:ascii="Arial" w:hAnsi="Arial" w:cs="Arial"/>
          <w:sz w:val="24"/>
          <w:szCs w:val="24"/>
        </w:rPr>
        <w:t>app</w:t>
      </w:r>
      <w:r w:rsidR="00EA04BB" w:rsidRPr="00F669AB">
        <w:rPr>
          <w:rFonts w:ascii="Arial" w:hAnsi="Arial" w:cs="Arial"/>
          <w:sz w:val="24"/>
          <w:szCs w:val="24"/>
        </w:rPr>
        <w:t>lic</w:t>
      </w:r>
      <w:r w:rsidR="002B1807" w:rsidRPr="00F669AB">
        <w:rPr>
          <w:rFonts w:ascii="Arial" w:hAnsi="Arial" w:cs="Arial"/>
          <w:sz w:val="24"/>
          <w:szCs w:val="24"/>
        </w:rPr>
        <w:t>ation</w:t>
      </w:r>
      <w:r w:rsidR="00951857" w:rsidRPr="00F669AB">
        <w:rPr>
          <w:rFonts w:ascii="Arial" w:hAnsi="Arial" w:cs="Arial"/>
          <w:sz w:val="24"/>
          <w:szCs w:val="24"/>
        </w:rPr>
        <w:t>;</w:t>
      </w:r>
      <w:r w:rsidR="002B1807" w:rsidRPr="00F669AB">
        <w:rPr>
          <w:rFonts w:ascii="Arial" w:hAnsi="Arial" w:cs="Arial"/>
          <w:sz w:val="24"/>
          <w:szCs w:val="24"/>
        </w:rPr>
        <w:t xml:space="preserve"> s</w:t>
      </w:r>
      <w:r w:rsidR="00EA04BB" w:rsidRPr="00F669AB">
        <w:rPr>
          <w:rFonts w:ascii="Arial" w:hAnsi="Arial" w:cs="Arial"/>
          <w:sz w:val="24"/>
          <w:szCs w:val="24"/>
        </w:rPr>
        <w:t>econdly,</w:t>
      </w:r>
      <w:r w:rsidR="00792127" w:rsidRPr="00F669AB">
        <w:rPr>
          <w:rFonts w:ascii="Arial" w:hAnsi="Arial" w:cs="Arial"/>
          <w:sz w:val="24"/>
          <w:szCs w:val="24"/>
        </w:rPr>
        <w:t xml:space="preserve"> that the </w:t>
      </w:r>
      <w:r w:rsidR="00245600" w:rsidRPr="00F669AB">
        <w:rPr>
          <w:rFonts w:ascii="Arial" w:hAnsi="Arial" w:cs="Arial"/>
          <w:sz w:val="24"/>
          <w:szCs w:val="24"/>
        </w:rPr>
        <w:t>Commission failed to join the uM</w:t>
      </w:r>
      <w:r w:rsidR="00792127" w:rsidRPr="00F669AB">
        <w:rPr>
          <w:rFonts w:ascii="Arial" w:hAnsi="Arial" w:cs="Arial"/>
          <w:sz w:val="24"/>
          <w:szCs w:val="24"/>
        </w:rPr>
        <w:t>hlathuze Municipal Council</w:t>
      </w:r>
      <w:r w:rsidR="00ED307E" w:rsidRPr="00F669AB">
        <w:rPr>
          <w:rFonts w:ascii="Arial" w:hAnsi="Arial" w:cs="Arial"/>
          <w:sz w:val="24"/>
          <w:szCs w:val="24"/>
        </w:rPr>
        <w:t>, the King Cetshwayo Municipal Council</w:t>
      </w:r>
      <w:r w:rsidR="00792127" w:rsidRPr="00F669AB">
        <w:rPr>
          <w:rFonts w:ascii="Arial" w:hAnsi="Arial" w:cs="Arial"/>
          <w:sz w:val="24"/>
          <w:szCs w:val="24"/>
        </w:rPr>
        <w:t xml:space="preserve">, the </w:t>
      </w:r>
      <w:r w:rsidR="00ED307E" w:rsidRPr="00F669AB">
        <w:rPr>
          <w:rFonts w:ascii="Arial" w:hAnsi="Arial" w:cs="Arial"/>
          <w:sz w:val="24"/>
          <w:szCs w:val="24"/>
        </w:rPr>
        <w:t xml:space="preserve">KwaZulu-Natal Member of the Executive Council for Cooperative Government and Traditional Affairs (the MEC) </w:t>
      </w:r>
      <w:r w:rsidR="00792127" w:rsidRPr="00F669AB">
        <w:rPr>
          <w:rFonts w:ascii="Arial" w:hAnsi="Arial" w:cs="Arial"/>
          <w:sz w:val="24"/>
          <w:szCs w:val="24"/>
        </w:rPr>
        <w:t xml:space="preserve">and the Minister of Cooperative Government and Traditional Affairs </w:t>
      </w:r>
      <w:r w:rsidR="00ED307E" w:rsidRPr="00F669AB">
        <w:rPr>
          <w:rFonts w:ascii="Arial" w:hAnsi="Arial" w:cs="Arial"/>
          <w:sz w:val="24"/>
          <w:szCs w:val="24"/>
        </w:rPr>
        <w:t>(the Minister)</w:t>
      </w:r>
      <w:r w:rsidR="00951857" w:rsidRPr="00F669AB">
        <w:rPr>
          <w:rFonts w:ascii="Arial" w:hAnsi="Arial" w:cs="Arial"/>
          <w:sz w:val="24"/>
          <w:szCs w:val="24"/>
        </w:rPr>
        <w:t>,</w:t>
      </w:r>
      <w:r w:rsidR="00792127" w:rsidRPr="00F669AB">
        <w:rPr>
          <w:rFonts w:ascii="Arial" w:hAnsi="Arial" w:cs="Arial"/>
          <w:sz w:val="24"/>
          <w:szCs w:val="24"/>
        </w:rPr>
        <w:t xml:space="preserve"> who</w:t>
      </w:r>
      <w:r w:rsidR="00EA04BB" w:rsidRPr="00F669AB">
        <w:rPr>
          <w:rFonts w:ascii="Arial" w:hAnsi="Arial" w:cs="Arial"/>
          <w:sz w:val="24"/>
          <w:szCs w:val="24"/>
        </w:rPr>
        <w:t>,</w:t>
      </w:r>
      <w:r w:rsidR="00792127" w:rsidRPr="00F669AB">
        <w:rPr>
          <w:rFonts w:ascii="Arial" w:hAnsi="Arial" w:cs="Arial"/>
          <w:sz w:val="24"/>
          <w:szCs w:val="24"/>
        </w:rPr>
        <w:t xml:space="preserve"> they claim</w:t>
      </w:r>
      <w:r w:rsidR="00EA04BB" w:rsidRPr="00F669AB">
        <w:rPr>
          <w:rFonts w:ascii="Arial" w:hAnsi="Arial" w:cs="Arial"/>
          <w:sz w:val="24"/>
          <w:szCs w:val="24"/>
        </w:rPr>
        <w:t>,</w:t>
      </w:r>
      <w:r w:rsidR="00792127" w:rsidRPr="00F669AB">
        <w:rPr>
          <w:rFonts w:ascii="Arial" w:hAnsi="Arial" w:cs="Arial"/>
          <w:sz w:val="24"/>
          <w:szCs w:val="24"/>
        </w:rPr>
        <w:t xml:space="preserve"> have</w:t>
      </w:r>
      <w:r w:rsidR="0056044F" w:rsidRPr="00F669AB">
        <w:rPr>
          <w:rFonts w:ascii="Arial" w:hAnsi="Arial" w:cs="Arial"/>
          <w:sz w:val="24"/>
          <w:szCs w:val="24"/>
        </w:rPr>
        <w:t xml:space="preserve"> a</w:t>
      </w:r>
      <w:r w:rsidR="00792127" w:rsidRPr="00F669AB">
        <w:rPr>
          <w:rFonts w:ascii="Arial" w:hAnsi="Arial" w:cs="Arial"/>
          <w:sz w:val="24"/>
          <w:szCs w:val="24"/>
        </w:rPr>
        <w:t xml:space="preserve"> direct and substantial interest in the matter (non-joinder)</w:t>
      </w:r>
      <w:r w:rsidR="00EA04BB" w:rsidRPr="00F669AB">
        <w:rPr>
          <w:rFonts w:ascii="Arial" w:hAnsi="Arial" w:cs="Arial"/>
          <w:sz w:val="24"/>
          <w:szCs w:val="24"/>
        </w:rPr>
        <w:t xml:space="preserve">. </w:t>
      </w:r>
      <w:r w:rsidR="00077F42" w:rsidRPr="00F669AB">
        <w:rPr>
          <w:rFonts w:ascii="Arial" w:hAnsi="Arial" w:cs="Arial"/>
          <w:sz w:val="24"/>
          <w:szCs w:val="24"/>
        </w:rPr>
        <w:t>As regards the merits,</w:t>
      </w:r>
      <w:r w:rsidR="00374EAB" w:rsidRPr="00F669AB">
        <w:rPr>
          <w:rFonts w:ascii="Arial" w:hAnsi="Arial" w:cs="Arial"/>
          <w:sz w:val="24"/>
          <w:szCs w:val="24"/>
        </w:rPr>
        <w:t xml:space="preserve"> </w:t>
      </w:r>
      <w:r w:rsidR="002B1807" w:rsidRPr="00F669AB">
        <w:rPr>
          <w:rFonts w:ascii="Arial" w:hAnsi="Arial" w:cs="Arial"/>
          <w:sz w:val="24"/>
          <w:szCs w:val="24"/>
        </w:rPr>
        <w:t>they contend</w:t>
      </w:r>
      <w:r w:rsidR="00245600" w:rsidRPr="00F669AB">
        <w:rPr>
          <w:rFonts w:ascii="Arial" w:hAnsi="Arial" w:cs="Arial"/>
          <w:sz w:val="24"/>
          <w:szCs w:val="24"/>
        </w:rPr>
        <w:t xml:space="preserve"> </w:t>
      </w:r>
      <w:r w:rsidR="00374EAB" w:rsidRPr="00F669AB">
        <w:rPr>
          <w:rFonts w:ascii="Arial" w:hAnsi="Arial" w:cs="Arial"/>
          <w:sz w:val="24"/>
          <w:szCs w:val="24"/>
        </w:rPr>
        <w:t>that</w:t>
      </w:r>
      <w:r w:rsidR="00EA04BB" w:rsidRPr="00F669AB">
        <w:rPr>
          <w:rFonts w:ascii="Arial" w:hAnsi="Arial" w:cs="Arial"/>
          <w:sz w:val="24"/>
          <w:szCs w:val="24"/>
        </w:rPr>
        <w:t xml:space="preserve"> the relief sought by the Commission is incompetent</w:t>
      </w:r>
      <w:r w:rsidR="00951857" w:rsidRPr="00F669AB">
        <w:rPr>
          <w:rFonts w:ascii="Arial" w:hAnsi="Arial" w:cs="Arial"/>
          <w:sz w:val="24"/>
          <w:szCs w:val="24"/>
        </w:rPr>
        <w:t>,</w:t>
      </w:r>
      <w:r w:rsidR="00EA04BB" w:rsidRPr="00F669AB">
        <w:rPr>
          <w:rFonts w:ascii="Arial" w:hAnsi="Arial" w:cs="Arial"/>
          <w:sz w:val="24"/>
          <w:szCs w:val="24"/>
        </w:rPr>
        <w:t xml:space="preserve"> </w:t>
      </w:r>
      <w:r w:rsidR="00374EAB" w:rsidRPr="00F669AB">
        <w:rPr>
          <w:rFonts w:ascii="Arial" w:hAnsi="Arial" w:cs="Arial"/>
          <w:sz w:val="24"/>
          <w:szCs w:val="24"/>
        </w:rPr>
        <w:t xml:space="preserve">as it is based on </w:t>
      </w:r>
      <w:r w:rsidR="00EA04BB" w:rsidRPr="00F669AB">
        <w:rPr>
          <w:rFonts w:ascii="Arial" w:hAnsi="Arial" w:cs="Arial"/>
          <w:sz w:val="24"/>
          <w:szCs w:val="24"/>
        </w:rPr>
        <w:t>the Commission’s flawed construction of the</w:t>
      </w:r>
      <w:r w:rsidR="00077F42" w:rsidRPr="00F669AB">
        <w:rPr>
          <w:rFonts w:ascii="Arial" w:hAnsi="Arial" w:cs="Arial"/>
          <w:sz w:val="24"/>
          <w:szCs w:val="24"/>
        </w:rPr>
        <w:t xml:space="preserve"> relevant provisions of the</w:t>
      </w:r>
      <w:r w:rsidR="00EA04BB" w:rsidRPr="00F669AB">
        <w:rPr>
          <w:rFonts w:ascii="Arial" w:hAnsi="Arial" w:cs="Arial"/>
          <w:sz w:val="24"/>
          <w:szCs w:val="24"/>
        </w:rPr>
        <w:t xml:space="preserve"> Structures Act. In the alternative, the respondents contend </w:t>
      </w:r>
      <w:r w:rsidR="00374EAB" w:rsidRPr="00F669AB">
        <w:rPr>
          <w:rFonts w:ascii="Arial" w:hAnsi="Arial" w:cs="Arial"/>
          <w:sz w:val="24"/>
          <w:szCs w:val="24"/>
        </w:rPr>
        <w:t>that i</w:t>
      </w:r>
      <w:r w:rsidR="00BB4DCB" w:rsidRPr="00F669AB">
        <w:rPr>
          <w:rFonts w:ascii="Arial" w:hAnsi="Arial" w:cs="Arial"/>
          <w:sz w:val="24"/>
          <w:szCs w:val="24"/>
        </w:rPr>
        <w:t xml:space="preserve">f this Court should find that the Commission’s interpretation of the Structures Act is correct and that the three </w:t>
      </w:r>
      <w:r w:rsidR="00951857" w:rsidRPr="00F669AB">
        <w:rPr>
          <w:rFonts w:ascii="Arial" w:hAnsi="Arial" w:cs="Arial"/>
          <w:sz w:val="24"/>
          <w:szCs w:val="24"/>
        </w:rPr>
        <w:t xml:space="preserve">affected </w:t>
      </w:r>
      <w:r w:rsidR="009317C7" w:rsidRPr="00F669AB">
        <w:rPr>
          <w:rFonts w:ascii="Arial" w:hAnsi="Arial" w:cs="Arial"/>
          <w:sz w:val="24"/>
          <w:szCs w:val="24"/>
        </w:rPr>
        <w:t>councillors</w:t>
      </w:r>
      <w:r w:rsidR="00BB4DCB" w:rsidRPr="00F669AB">
        <w:rPr>
          <w:rFonts w:ascii="Arial" w:hAnsi="Arial" w:cs="Arial"/>
          <w:sz w:val="24"/>
          <w:szCs w:val="24"/>
        </w:rPr>
        <w:t xml:space="preserve"> should not have been elected</w:t>
      </w:r>
      <w:r w:rsidR="00E5267C" w:rsidRPr="00F669AB">
        <w:rPr>
          <w:rFonts w:ascii="Arial" w:hAnsi="Arial" w:cs="Arial"/>
          <w:sz w:val="24"/>
          <w:szCs w:val="24"/>
        </w:rPr>
        <w:t>,</w:t>
      </w:r>
      <w:r w:rsidR="00374EAB" w:rsidRPr="00F669AB">
        <w:rPr>
          <w:rFonts w:ascii="Arial" w:hAnsi="Arial" w:cs="Arial"/>
          <w:sz w:val="24"/>
          <w:szCs w:val="24"/>
        </w:rPr>
        <w:t xml:space="preserve"> the Court should </w:t>
      </w:r>
      <w:r w:rsidR="00BB4DCB" w:rsidRPr="00F669AB">
        <w:rPr>
          <w:rFonts w:ascii="Arial" w:hAnsi="Arial" w:cs="Arial"/>
          <w:sz w:val="24"/>
          <w:szCs w:val="24"/>
        </w:rPr>
        <w:t xml:space="preserve">in the </w:t>
      </w:r>
      <w:r w:rsidR="00374EAB" w:rsidRPr="00F669AB">
        <w:rPr>
          <w:rFonts w:ascii="Arial" w:hAnsi="Arial" w:cs="Arial"/>
          <w:sz w:val="24"/>
          <w:szCs w:val="24"/>
        </w:rPr>
        <w:t>exercise</w:t>
      </w:r>
      <w:r w:rsidR="00BB4DCB" w:rsidRPr="00F669AB">
        <w:rPr>
          <w:rFonts w:ascii="Arial" w:hAnsi="Arial" w:cs="Arial"/>
          <w:sz w:val="24"/>
          <w:szCs w:val="24"/>
        </w:rPr>
        <w:t xml:space="preserve"> of</w:t>
      </w:r>
      <w:r w:rsidR="00374EAB" w:rsidRPr="00F669AB">
        <w:rPr>
          <w:rFonts w:ascii="Arial" w:hAnsi="Arial" w:cs="Arial"/>
          <w:sz w:val="24"/>
          <w:szCs w:val="24"/>
        </w:rPr>
        <w:t xml:space="preserve"> its discretion</w:t>
      </w:r>
      <w:r w:rsidR="00BB4DCB" w:rsidRPr="00F669AB">
        <w:rPr>
          <w:rFonts w:ascii="Arial" w:hAnsi="Arial" w:cs="Arial"/>
          <w:sz w:val="24"/>
          <w:szCs w:val="24"/>
        </w:rPr>
        <w:t xml:space="preserve"> grant</w:t>
      </w:r>
      <w:r w:rsidR="00374EAB" w:rsidRPr="00F669AB">
        <w:rPr>
          <w:rFonts w:ascii="Arial" w:hAnsi="Arial" w:cs="Arial"/>
          <w:sz w:val="24"/>
          <w:szCs w:val="24"/>
        </w:rPr>
        <w:t xml:space="preserve"> </w:t>
      </w:r>
      <w:r w:rsidR="00BB4DCB" w:rsidRPr="00F669AB">
        <w:rPr>
          <w:rFonts w:ascii="Arial" w:hAnsi="Arial" w:cs="Arial"/>
          <w:sz w:val="24"/>
          <w:szCs w:val="24"/>
        </w:rPr>
        <w:t>a just and equitable remedy. In this regard, the respondents contend that</w:t>
      </w:r>
      <w:r w:rsidR="00E5267C" w:rsidRPr="00F669AB">
        <w:rPr>
          <w:rFonts w:ascii="Arial" w:hAnsi="Arial" w:cs="Arial"/>
          <w:sz w:val="24"/>
          <w:szCs w:val="24"/>
        </w:rPr>
        <w:t xml:space="preserve"> </w:t>
      </w:r>
      <w:r w:rsidR="00206D00" w:rsidRPr="00F669AB">
        <w:rPr>
          <w:rFonts w:ascii="Arial" w:hAnsi="Arial" w:cs="Arial"/>
          <w:sz w:val="24"/>
          <w:szCs w:val="24"/>
        </w:rPr>
        <w:t xml:space="preserve">in the event that the election of </w:t>
      </w:r>
      <w:r w:rsidR="00E5267C" w:rsidRPr="00F669AB">
        <w:rPr>
          <w:rFonts w:ascii="Arial" w:hAnsi="Arial" w:cs="Arial"/>
          <w:sz w:val="24"/>
          <w:szCs w:val="24"/>
        </w:rPr>
        <w:t>the</w:t>
      </w:r>
      <w:r w:rsidR="00BB4DCB" w:rsidRPr="00F669AB">
        <w:rPr>
          <w:rFonts w:ascii="Arial" w:hAnsi="Arial" w:cs="Arial"/>
          <w:sz w:val="24"/>
          <w:szCs w:val="24"/>
        </w:rPr>
        <w:t xml:space="preserve"> three </w:t>
      </w:r>
      <w:r w:rsidR="00ED307E" w:rsidRPr="00F669AB">
        <w:rPr>
          <w:rFonts w:ascii="Arial" w:hAnsi="Arial" w:cs="Arial"/>
          <w:sz w:val="24"/>
          <w:szCs w:val="24"/>
        </w:rPr>
        <w:t xml:space="preserve">affected </w:t>
      </w:r>
      <w:r w:rsidR="00206D00" w:rsidRPr="00F669AB">
        <w:rPr>
          <w:rFonts w:ascii="Arial" w:hAnsi="Arial" w:cs="Arial"/>
          <w:sz w:val="24"/>
          <w:szCs w:val="24"/>
        </w:rPr>
        <w:t>councilors is found to be irregular</w:t>
      </w:r>
      <w:r w:rsidR="00E5267C" w:rsidRPr="00F669AB">
        <w:rPr>
          <w:rFonts w:ascii="Arial" w:hAnsi="Arial" w:cs="Arial"/>
          <w:sz w:val="24"/>
          <w:szCs w:val="24"/>
        </w:rPr>
        <w:t>,</w:t>
      </w:r>
      <w:r w:rsidR="00BB4DCB" w:rsidRPr="00F669AB">
        <w:rPr>
          <w:rFonts w:ascii="Arial" w:hAnsi="Arial" w:cs="Arial"/>
          <w:sz w:val="24"/>
          <w:szCs w:val="24"/>
        </w:rPr>
        <w:t xml:space="preserve"> </w:t>
      </w:r>
      <w:r w:rsidR="00206D00" w:rsidRPr="00F669AB">
        <w:rPr>
          <w:rFonts w:ascii="Arial" w:hAnsi="Arial" w:cs="Arial"/>
          <w:sz w:val="24"/>
          <w:szCs w:val="24"/>
        </w:rPr>
        <w:t xml:space="preserve">they </w:t>
      </w:r>
      <w:r w:rsidR="00BB4DCB" w:rsidRPr="00F669AB">
        <w:rPr>
          <w:rFonts w:ascii="Arial" w:hAnsi="Arial" w:cs="Arial"/>
          <w:sz w:val="24"/>
          <w:szCs w:val="24"/>
        </w:rPr>
        <w:t>should be</w:t>
      </w:r>
      <w:r w:rsidR="00E5267C" w:rsidRPr="00F669AB">
        <w:rPr>
          <w:rFonts w:ascii="Arial" w:hAnsi="Arial" w:cs="Arial"/>
          <w:sz w:val="24"/>
          <w:szCs w:val="24"/>
        </w:rPr>
        <w:t xml:space="preserve"> allowed to</w:t>
      </w:r>
      <w:r w:rsidR="00374EAB" w:rsidRPr="00F669AB">
        <w:rPr>
          <w:rFonts w:ascii="Arial" w:hAnsi="Arial" w:cs="Arial"/>
          <w:sz w:val="24"/>
          <w:szCs w:val="24"/>
        </w:rPr>
        <w:t xml:space="preserve"> serve until the end of their terms of office or until their removal in terms of s 46 of the Structures Act or their requisition in terms of the Structures Act.</w:t>
      </w:r>
      <w:r w:rsidR="00374EAB" w:rsidRPr="00F669AB">
        <w:rPr>
          <w:rFonts w:ascii="Arial" w:hAnsi="Arial" w:cs="Arial"/>
          <w:b/>
          <w:sz w:val="24"/>
          <w:szCs w:val="24"/>
        </w:rPr>
        <w:t xml:space="preserve"> </w:t>
      </w:r>
    </w:p>
    <w:p w14:paraId="0D3F002E" w14:textId="77777777" w:rsidR="003C0E85" w:rsidRPr="00512F52" w:rsidRDefault="003C0E85" w:rsidP="00772102">
      <w:pPr>
        <w:spacing w:after="0" w:line="360" w:lineRule="auto"/>
        <w:jc w:val="both"/>
        <w:rPr>
          <w:rFonts w:ascii="Arial" w:hAnsi="Arial" w:cs="Arial"/>
          <w:b/>
          <w:sz w:val="24"/>
          <w:szCs w:val="24"/>
        </w:rPr>
      </w:pPr>
    </w:p>
    <w:p w14:paraId="13DD137F" w14:textId="3D8340C4" w:rsidR="00792127" w:rsidRPr="00512F52" w:rsidRDefault="00754C88" w:rsidP="00772102">
      <w:pPr>
        <w:spacing w:after="0" w:line="360" w:lineRule="auto"/>
        <w:jc w:val="both"/>
        <w:rPr>
          <w:rFonts w:ascii="Arial" w:hAnsi="Arial" w:cs="Arial"/>
          <w:sz w:val="24"/>
          <w:szCs w:val="24"/>
        </w:rPr>
      </w:pPr>
      <w:r w:rsidRPr="00512F52">
        <w:rPr>
          <w:rFonts w:ascii="Arial" w:hAnsi="Arial" w:cs="Arial"/>
          <w:b/>
          <w:sz w:val="24"/>
          <w:szCs w:val="24"/>
        </w:rPr>
        <w:t>Issues</w:t>
      </w:r>
      <w:r w:rsidR="00374EAB" w:rsidRPr="00512F52">
        <w:rPr>
          <w:rFonts w:ascii="Arial" w:hAnsi="Arial" w:cs="Arial"/>
          <w:sz w:val="24"/>
          <w:szCs w:val="24"/>
        </w:rPr>
        <w:t xml:space="preserve"> </w:t>
      </w:r>
    </w:p>
    <w:p w14:paraId="41C6E08B" w14:textId="6C8544BB" w:rsidR="00E5267C"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w:t>
      </w:r>
      <w:r w:rsidRPr="00512F52">
        <w:rPr>
          <w:rFonts w:ascii="Arial" w:hAnsi="Arial" w:cs="Arial"/>
          <w:sz w:val="24"/>
          <w:szCs w:val="24"/>
        </w:rPr>
        <w:tab/>
      </w:r>
      <w:r w:rsidR="00374EAB" w:rsidRPr="00F669AB">
        <w:rPr>
          <w:rFonts w:ascii="Arial" w:hAnsi="Arial" w:cs="Arial"/>
          <w:sz w:val="24"/>
          <w:szCs w:val="24"/>
        </w:rPr>
        <w:t xml:space="preserve">Four issues </w:t>
      </w:r>
      <w:r w:rsidR="00E5267C" w:rsidRPr="00F669AB">
        <w:rPr>
          <w:rFonts w:ascii="Arial" w:hAnsi="Arial" w:cs="Arial"/>
          <w:sz w:val="24"/>
          <w:szCs w:val="24"/>
        </w:rPr>
        <w:t>fall to be considered in this matter</w:t>
      </w:r>
      <w:r w:rsidR="00374EAB" w:rsidRPr="00F669AB">
        <w:rPr>
          <w:rFonts w:ascii="Arial" w:hAnsi="Arial" w:cs="Arial"/>
          <w:sz w:val="24"/>
          <w:szCs w:val="24"/>
        </w:rPr>
        <w:t>: first</w:t>
      </w:r>
      <w:r w:rsidR="00ED307E" w:rsidRPr="00F669AB">
        <w:rPr>
          <w:rFonts w:ascii="Arial" w:hAnsi="Arial" w:cs="Arial"/>
          <w:sz w:val="24"/>
          <w:szCs w:val="24"/>
        </w:rPr>
        <w:t>ly</w:t>
      </w:r>
      <w:r w:rsidR="00374EAB" w:rsidRPr="00F669AB">
        <w:rPr>
          <w:rFonts w:ascii="Arial" w:hAnsi="Arial" w:cs="Arial"/>
          <w:sz w:val="24"/>
          <w:szCs w:val="24"/>
        </w:rPr>
        <w:t>, whether the delay should be overlooked; secondly, the merits of the review</w:t>
      </w:r>
      <w:r w:rsidR="00ED307E" w:rsidRPr="00F669AB">
        <w:rPr>
          <w:rFonts w:ascii="Arial" w:hAnsi="Arial" w:cs="Arial"/>
          <w:sz w:val="24"/>
          <w:szCs w:val="24"/>
        </w:rPr>
        <w:t>,</w:t>
      </w:r>
      <w:r w:rsidR="00374EAB" w:rsidRPr="00F669AB">
        <w:rPr>
          <w:rFonts w:ascii="Arial" w:hAnsi="Arial" w:cs="Arial"/>
          <w:sz w:val="24"/>
          <w:szCs w:val="24"/>
        </w:rPr>
        <w:t xml:space="preserve"> which entails the interpretation of the Structures Act; thirdly,</w:t>
      </w:r>
      <w:r w:rsidR="00077F42" w:rsidRPr="00F669AB">
        <w:rPr>
          <w:rFonts w:ascii="Arial" w:hAnsi="Arial" w:cs="Arial"/>
          <w:sz w:val="24"/>
          <w:szCs w:val="24"/>
        </w:rPr>
        <w:t xml:space="preserve"> the determination of the just and equitable</w:t>
      </w:r>
      <w:r w:rsidR="0056044F" w:rsidRPr="00F669AB">
        <w:rPr>
          <w:rFonts w:ascii="Arial" w:hAnsi="Arial" w:cs="Arial"/>
          <w:sz w:val="24"/>
          <w:szCs w:val="24"/>
        </w:rPr>
        <w:t xml:space="preserve"> </w:t>
      </w:r>
      <w:r w:rsidR="00ED307E" w:rsidRPr="00F669AB">
        <w:rPr>
          <w:rFonts w:ascii="Arial" w:hAnsi="Arial" w:cs="Arial"/>
          <w:sz w:val="24"/>
          <w:szCs w:val="24"/>
        </w:rPr>
        <w:t xml:space="preserve">remedy; and </w:t>
      </w:r>
      <w:r w:rsidR="0056044F" w:rsidRPr="00F669AB">
        <w:rPr>
          <w:rFonts w:ascii="Arial" w:hAnsi="Arial" w:cs="Arial"/>
          <w:sz w:val="24"/>
          <w:szCs w:val="24"/>
        </w:rPr>
        <w:t>fourthly</w:t>
      </w:r>
      <w:r w:rsidR="00077F42" w:rsidRPr="00F669AB">
        <w:rPr>
          <w:rFonts w:ascii="Arial" w:hAnsi="Arial" w:cs="Arial"/>
          <w:sz w:val="24"/>
          <w:szCs w:val="24"/>
        </w:rPr>
        <w:t>,</w:t>
      </w:r>
      <w:r w:rsidR="00374EAB" w:rsidRPr="00F669AB">
        <w:rPr>
          <w:rFonts w:ascii="Arial" w:hAnsi="Arial" w:cs="Arial"/>
          <w:sz w:val="24"/>
          <w:szCs w:val="24"/>
        </w:rPr>
        <w:t xml:space="preserve"> whether the </w:t>
      </w:r>
      <w:r w:rsidR="009A0ECB" w:rsidRPr="00F669AB">
        <w:rPr>
          <w:rFonts w:ascii="Arial" w:hAnsi="Arial" w:cs="Arial"/>
          <w:sz w:val="24"/>
          <w:szCs w:val="24"/>
        </w:rPr>
        <w:t xml:space="preserve">Commission’s failure to join the </w:t>
      </w:r>
      <w:r w:rsidR="00374EAB" w:rsidRPr="00F669AB">
        <w:rPr>
          <w:rFonts w:ascii="Arial" w:hAnsi="Arial" w:cs="Arial"/>
          <w:sz w:val="24"/>
          <w:szCs w:val="24"/>
        </w:rPr>
        <w:t xml:space="preserve">Minister, </w:t>
      </w:r>
      <w:r w:rsidR="00ED307E" w:rsidRPr="00F669AB">
        <w:rPr>
          <w:rFonts w:ascii="Arial" w:hAnsi="Arial" w:cs="Arial"/>
          <w:sz w:val="24"/>
          <w:szCs w:val="24"/>
        </w:rPr>
        <w:t xml:space="preserve">the </w:t>
      </w:r>
      <w:r w:rsidR="00374EAB" w:rsidRPr="00F669AB">
        <w:rPr>
          <w:rFonts w:ascii="Arial" w:hAnsi="Arial" w:cs="Arial"/>
          <w:sz w:val="24"/>
          <w:szCs w:val="24"/>
        </w:rPr>
        <w:t>MEC and the relevant municipa</w:t>
      </w:r>
      <w:r w:rsidR="00E5267C" w:rsidRPr="00F669AB">
        <w:rPr>
          <w:rFonts w:ascii="Arial" w:hAnsi="Arial" w:cs="Arial"/>
          <w:sz w:val="24"/>
          <w:szCs w:val="24"/>
        </w:rPr>
        <w:t xml:space="preserve">lities </w:t>
      </w:r>
      <w:r w:rsidR="009A0ECB" w:rsidRPr="00F669AB">
        <w:rPr>
          <w:rFonts w:ascii="Arial" w:hAnsi="Arial" w:cs="Arial"/>
          <w:sz w:val="24"/>
          <w:szCs w:val="24"/>
        </w:rPr>
        <w:t>is fatal to its application</w:t>
      </w:r>
      <w:r w:rsidR="00374EAB" w:rsidRPr="00F669AB">
        <w:rPr>
          <w:rFonts w:ascii="Arial" w:hAnsi="Arial" w:cs="Arial"/>
          <w:sz w:val="24"/>
          <w:szCs w:val="24"/>
        </w:rPr>
        <w:t>.</w:t>
      </w:r>
      <w:r w:rsidR="00E5267C" w:rsidRPr="00F669AB">
        <w:rPr>
          <w:rFonts w:ascii="Arial" w:hAnsi="Arial" w:cs="Arial"/>
          <w:sz w:val="24"/>
          <w:szCs w:val="24"/>
        </w:rPr>
        <w:t xml:space="preserve"> </w:t>
      </w:r>
    </w:p>
    <w:p w14:paraId="5BFC3DB7" w14:textId="77777777" w:rsidR="00005E99" w:rsidRPr="00512F52" w:rsidRDefault="00005E99" w:rsidP="00772102">
      <w:pPr>
        <w:spacing w:after="0" w:line="360" w:lineRule="auto"/>
        <w:jc w:val="both"/>
        <w:rPr>
          <w:rFonts w:ascii="Arial" w:hAnsi="Arial" w:cs="Arial"/>
          <w:sz w:val="24"/>
          <w:szCs w:val="24"/>
        </w:rPr>
      </w:pPr>
    </w:p>
    <w:p w14:paraId="5C034202" w14:textId="77777777" w:rsidR="00005E99" w:rsidRPr="00512F52" w:rsidRDefault="00005E99" w:rsidP="00772102">
      <w:pPr>
        <w:spacing w:after="0" w:line="360" w:lineRule="auto"/>
        <w:jc w:val="both"/>
        <w:rPr>
          <w:rFonts w:ascii="Arial" w:hAnsi="Arial" w:cs="Arial"/>
          <w:b/>
          <w:bCs/>
          <w:sz w:val="24"/>
          <w:szCs w:val="24"/>
        </w:rPr>
      </w:pPr>
      <w:r w:rsidRPr="00512F52">
        <w:rPr>
          <w:rFonts w:ascii="Arial" w:hAnsi="Arial" w:cs="Arial"/>
          <w:b/>
          <w:bCs/>
          <w:sz w:val="24"/>
          <w:szCs w:val="24"/>
        </w:rPr>
        <w:t>The delay</w:t>
      </w:r>
    </w:p>
    <w:p w14:paraId="04082969" w14:textId="5122B1C6" w:rsidR="00005E9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lastRenderedPageBreak/>
        <w:t>[7]</w:t>
      </w:r>
      <w:r w:rsidRPr="00512F52">
        <w:rPr>
          <w:rFonts w:ascii="Arial" w:hAnsi="Arial" w:cs="Arial"/>
          <w:sz w:val="24"/>
          <w:szCs w:val="24"/>
        </w:rPr>
        <w:tab/>
      </w:r>
      <w:r w:rsidR="00005E99" w:rsidRPr="00F669AB">
        <w:rPr>
          <w:rFonts w:ascii="Arial" w:hAnsi="Arial" w:cs="Arial"/>
          <w:sz w:val="24"/>
          <w:szCs w:val="24"/>
        </w:rPr>
        <w:t>This being a legality review, I will consider, as part of assessing the delay, the merits of the impugned decision.</w:t>
      </w:r>
      <w:r w:rsidR="00005E99" w:rsidRPr="00512F52">
        <w:rPr>
          <w:rStyle w:val="FootnoteReference"/>
          <w:rFonts w:ascii="Arial" w:hAnsi="Arial" w:cs="Arial"/>
          <w:sz w:val="24"/>
          <w:szCs w:val="24"/>
        </w:rPr>
        <w:footnoteReference w:id="1"/>
      </w:r>
      <w:r w:rsidR="00005E99" w:rsidRPr="00F669AB">
        <w:rPr>
          <w:rFonts w:ascii="Arial" w:hAnsi="Arial" w:cs="Arial"/>
          <w:sz w:val="24"/>
          <w:szCs w:val="24"/>
        </w:rPr>
        <w:t xml:space="preserve"> </w:t>
      </w:r>
      <w:r w:rsidR="00F05014" w:rsidRPr="00F669AB">
        <w:rPr>
          <w:rFonts w:ascii="Arial" w:hAnsi="Arial" w:cs="Arial"/>
          <w:sz w:val="24"/>
          <w:szCs w:val="24"/>
        </w:rPr>
        <w:t>The respondents assert that</w:t>
      </w:r>
      <w:r w:rsidR="00005E99" w:rsidRPr="00F669AB">
        <w:rPr>
          <w:rFonts w:ascii="Arial" w:hAnsi="Arial" w:cs="Arial"/>
          <w:sz w:val="24"/>
          <w:szCs w:val="24"/>
        </w:rPr>
        <w:t xml:space="preserve"> </w:t>
      </w:r>
      <w:r w:rsidR="00F05014" w:rsidRPr="00F669AB">
        <w:rPr>
          <w:rFonts w:ascii="Arial" w:hAnsi="Arial" w:cs="Arial"/>
          <w:sz w:val="24"/>
          <w:szCs w:val="24"/>
        </w:rPr>
        <w:t>t</w:t>
      </w:r>
      <w:r w:rsidR="00005E99" w:rsidRPr="00F669AB">
        <w:rPr>
          <w:rFonts w:ascii="Arial" w:hAnsi="Arial" w:cs="Arial"/>
          <w:sz w:val="24"/>
          <w:szCs w:val="24"/>
        </w:rPr>
        <w:t>he delay is unreasonable and there is no satisfactory explanation for it. They contend that the Commission’s self-review application should fail for this reason alone.</w:t>
      </w:r>
      <w:r w:rsidR="00F05014" w:rsidRPr="00F669AB">
        <w:rPr>
          <w:rFonts w:ascii="Arial" w:hAnsi="Arial" w:cs="Arial"/>
          <w:sz w:val="24"/>
          <w:szCs w:val="24"/>
        </w:rPr>
        <w:t xml:space="preserve"> As for the merits of the review, the respondents contend that the Commission’s proposed construction of item 20 of Schedule 2 to the Structures Act is incorrect and</w:t>
      </w:r>
      <w:r w:rsidR="00450611" w:rsidRPr="00F669AB">
        <w:rPr>
          <w:rFonts w:ascii="Arial" w:hAnsi="Arial" w:cs="Arial"/>
          <w:sz w:val="24"/>
          <w:szCs w:val="24"/>
        </w:rPr>
        <w:t>,</w:t>
      </w:r>
      <w:r w:rsidR="00F05014" w:rsidRPr="00F669AB">
        <w:rPr>
          <w:rFonts w:ascii="Arial" w:hAnsi="Arial" w:cs="Arial"/>
          <w:sz w:val="24"/>
          <w:szCs w:val="24"/>
        </w:rPr>
        <w:t xml:space="preserve"> that being the case, there is no legal basis to set aside the impugned decision.</w:t>
      </w:r>
    </w:p>
    <w:p w14:paraId="1009F711" w14:textId="77777777" w:rsidR="00734DFC" w:rsidRPr="00512F52" w:rsidRDefault="00734DFC" w:rsidP="00772102">
      <w:pPr>
        <w:pStyle w:val="ListParagraph"/>
        <w:spacing w:after="0" w:line="360" w:lineRule="auto"/>
        <w:ind w:left="0"/>
        <w:jc w:val="both"/>
        <w:rPr>
          <w:rFonts w:ascii="Arial" w:hAnsi="Arial" w:cs="Arial"/>
          <w:sz w:val="24"/>
          <w:szCs w:val="24"/>
        </w:rPr>
      </w:pPr>
    </w:p>
    <w:p w14:paraId="75E4FAD1" w14:textId="239F5A9A" w:rsidR="00005E9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w:t>
      </w:r>
      <w:r w:rsidRPr="00512F52">
        <w:rPr>
          <w:rFonts w:ascii="Arial" w:hAnsi="Arial" w:cs="Arial"/>
          <w:sz w:val="24"/>
          <w:szCs w:val="24"/>
        </w:rPr>
        <w:tab/>
      </w:r>
      <w:r w:rsidR="00C40FBA" w:rsidRPr="00F669AB">
        <w:rPr>
          <w:rFonts w:ascii="Arial" w:hAnsi="Arial" w:cs="Arial"/>
          <w:sz w:val="24"/>
          <w:szCs w:val="24"/>
        </w:rPr>
        <w:t>The Commission concedes</w:t>
      </w:r>
      <w:r w:rsidR="00005E99" w:rsidRPr="00F669AB">
        <w:rPr>
          <w:rFonts w:ascii="Arial" w:hAnsi="Arial" w:cs="Arial"/>
          <w:sz w:val="24"/>
          <w:szCs w:val="24"/>
        </w:rPr>
        <w:t xml:space="preserve"> that its delay</w:t>
      </w:r>
      <w:r w:rsidR="00E4273F" w:rsidRPr="00F669AB">
        <w:rPr>
          <w:rFonts w:ascii="Arial" w:hAnsi="Arial" w:cs="Arial"/>
          <w:sz w:val="24"/>
          <w:szCs w:val="24"/>
        </w:rPr>
        <w:t xml:space="preserve"> (about </w:t>
      </w:r>
      <w:r w:rsidR="00450611" w:rsidRPr="00F669AB">
        <w:rPr>
          <w:rFonts w:ascii="Arial" w:hAnsi="Arial" w:cs="Arial"/>
          <w:sz w:val="24"/>
          <w:szCs w:val="24"/>
        </w:rPr>
        <w:t>nine</w:t>
      </w:r>
      <w:r w:rsidR="00E4273F" w:rsidRPr="00F669AB">
        <w:rPr>
          <w:rFonts w:ascii="Arial" w:hAnsi="Arial" w:cs="Arial"/>
          <w:sz w:val="24"/>
          <w:szCs w:val="24"/>
        </w:rPr>
        <w:t xml:space="preserve"> months)</w:t>
      </w:r>
      <w:r w:rsidR="00206D00" w:rsidRPr="00F669AB">
        <w:rPr>
          <w:rFonts w:ascii="Arial" w:hAnsi="Arial" w:cs="Arial"/>
          <w:sz w:val="24"/>
          <w:szCs w:val="24"/>
        </w:rPr>
        <w:t xml:space="preserve"> was lengthy and unreasonable</w:t>
      </w:r>
      <w:r w:rsidR="0095015E" w:rsidRPr="00F669AB">
        <w:rPr>
          <w:rFonts w:ascii="Arial" w:hAnsi="Arial" w:cs="Arial"/>
          <w:sz w:val="24"/>
          <w:szCs w:val="24"/>
        </w:rPr>
        <w:t>. It</w:t>
      </w:r>
      <w:r w:rsidR="00005E99" w:rsidRPr="00F669AB">
        <w:rPr>
          <w:rFonts w:ascii="Arial" w:hAnsi="Arial" w:cs="Arial"/>
          <w:sz w:val="24"/>
          <w:szCs w:val="24"/>
        </w:rPr>
        <w:t xml:space="preserve"> accepts that it was to blame for the delay. It, however, submits that this Court should overlook the delay and hear the matter despite the delay. I will deal with this aspect more fully when I consider the reasons advanced by the Commission for the delay.</w:t>
      </w:r>
    </w:p>
    <w:p w14:paraId="40D2DDFC" w14:textId="77777777" w:rsidR="00734DFC" w:rsidRPr="00512F52" w:rsidRDefault="00734DFC" w:rsidP="00772102">
      <w:pPr>
        <w:pStyle w:val="ListParagraph"/>
        <w:spacing w:after="0" w:line="360" w:lineRule="auto"/>
        <w:jc w:val="both"/>
        <w:rPr>
          <w:rFonts w:ascii="Arial" w:hAnsi="Arial" w:cs="Arial"/>
          <w:sz w:val="24"/>
          <w:szCs w:val="24"/>
        </w:rPr>
      </w:pPr>
    </w:p>
    <w:p w14:paraId="30D481C5" w14:textId="2F090B27" w:rsidR="00005E9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[9]</w:t>
      </w:r>
      <w:r w:rsidRPr="00512F52">
        <w:rPr>
          <w:rFonts w:ascii="Arial" w:hAnsi="Arial" w:cs="Arial"/>
          <w:sz w:val="24"/>
          <w:szCs w:val="24"/>
        </w:rPr>
        <w:tab/>
      </w:r>
      <w:r w:rsidR="00005E99" w:rsidRPr="00F669AB">
        <w:rPr>
          <w:rFonts w:ascii="Arial" w:hAnsi="Arial" w:cs="Arial"/>
          <w:sz w:val="24"/>
          <w:szCs w:val="24"/>
        </w:rPr>
        <w:t>The Commission brought this review under the principle of legality read with s 20(1)</w:t>
      </w:r>
      <w:r w:rsidR="00005E99" w:rsidRPr="00F669AB">
        <w:rPr>
          <w:rFonts w:ascii="Arial" w:hAnsi="Arial" w:cs="Arial"/>
          <w:i/>
          <w:sz w:val="24"/>
          <w:szCs w:val="24"/>
        </w:rPr>
        <w:t>(a)</w:t>
      </w:r>
      <w:r w:rsidR="00005E99" w:rsidRPr="00F669AB">
        <w:rPr>
          <w:rFonts w:ascii="Arial" w:hAnsi="Arial" w:cs="Arial"/>
          <w:sz w:val="24"/>
          <w:szCs w:val="24"/>
        </w:rPr>
        <w:t xml:space="preserve"> of the Electoral </w:t>
      </w:r>
      <w:r w:rsidR="00C40FBA" w:rsidRPr="00F669AB">
        <w:rPr>
          <w:rFonts w:ascii="Arial" w:hAnsi="Arial" w:cs="Arial"/>
          <w:sz w:val="24"/>
          <w:szCs w:val="24"/>
        </w:rPr>
        <w:t xml:space="preserve">Commission </w:t>
      </w:r>
      <w:r w:rsidR="00005E99" w:rsidRPr="00F669AB">
        <w:rPr>
          <w:rFonts w:ascii="Arial" w:hAnsi="Arial" w:cs="Arial"/>
          <w:sz w:val="24"/>
          <w:szCs w:val="24"/>
        </w:rPr>
        <w:t>Act</w:t>
      </w:r>
      <w:r w:rsidR="00C40FBA" w:rsidRPr="00F669AB">
        <w:rPr>
          <w:rFonts w:ascii="Arial" w:hAnsi="Arial" w:cs="Arial"/>
          <w:sz w:val="24"/>
          <w:szCs w:val="24"/>
        </w:rPr>
        <w:t xml:space="preserve"> 51 of 1996 (</w:t>
      </w:r>
      <w:r w:rsidR="008F7C6F" w:rsidRPr="00F669AB">
        <w:rPr>
          <w:rFonts w:ascii="Arial" w:hAnsi="Arial" w:cs="Arial"/>
          <w:sz w:val="24"/>
          <w:szCs w:val="24"/>
        </w:rPr>
        <w:t>Commission Act</w:t>
      </w:r>
      <w:r w:rsidR="00C40FBA" w:rsidRPr="00F669AB">
        <w:rPr>
          <w:rFonts w:ascii="Arial" w:hAnsi="Arial" w:cs="Arial"/>
          <w:sz w:val="24"/>
          <w:szCs w:val="24"/>
        </w:rPr>
        <w:t>)</w:t>
      </w:r>
      <w:r w:rsidR="00005E99" w:rsidRPr="00F669AB">
        <w:rPr>
          <w:rFonts w:ascii="Arial" w:hAnsi="Arial" w:cs="Arial"/>
          <w:sz w:val="24"/>
          <w:szCs w:val="24"/>
        </w:rPr>
        <w:t xml:space="preserve">. Unlike a review under the Promotion of Administrative Justice Act </w:t>
      </w:r>
      <w:r w:rsidR="00C67E41" w:rsidRPr="00F669AB">
        <w:rPr>
          <w:rFonts w:ascii="Arial" w:hAnsi="Arial" w:cs="Arial"/>
          <w:sz w:val="24"/>
          <w:szCs w:val="24"/>
        </w:rPr>
        <w:t xml:space="preserve">3 of 2000 </w:t>
      </w:r>
      <w:r w:rsidR="00005E99" w:rsidRPr="00F669AB">
        <w:rPr>
          <w:rFonts w:ascii="Arial" w:hAnsi="Arial" w:cs="Arial"/>
          <w:sz w:val="24"/>
          <w:szCs w:val="24"/>
        </w:rPr>
        <w:t>(PAJA), there is no fixed time specified for bringing the review under the principle of legality, the delay rule requires a party to institute review proceedings within a reasonable time</w:t>
      </w:r>
      <w:r w:rsidR="00F8051E" w:rsidRPr="00F669AB">
        <w:rPr>
          <w:rFonts w:ascii="Arial" w:hAnsi="Arial" w:cs="Arial"/>
          <w:sz w:val="24"/>
          <w:szCs w:val="24"/>
        </w:rPr>
        <w:t>, in other words, without undue delay</w:t>
      </w:r>
      <w:r w:rsidR="00005E99" w:rsidRPr="00F669AB">
        <w:rPr>
          <w:rFonts w:ascii="Arial" w:hAnsi="Arial" w:cs="Arial"/>
          <w:sz w:val="24"/>
          <w:szCs w:val="24"/>
        </w:rPr>
        <w:t>.</w:t>
      </w:r>
      <w:r w:rsidR="00005E99" w:rsidRPr="00512F52">
        <w:rPr>
          <w:rStyle w:val="FootnoteReference"/>
          <w:rFonts w:ascii="Arial" w:hAnsi="Arial" w:cs="Arial"/>
          <w:sz w:val="24"/>
          <w:szCs w:val="24"/>
        </w:rPr>
        <w:footnoteReference w:id="2"/>
      </w:r>
      <w:r w:rsidR="00005E99" w:rsidRPr="00F669AB">
        <w:rPr>
          <w:rFonts w:ascii="Arial" w:hAnsi="Arial" w:cs="Arial"/>
          <w:sz w:val="24"/>
          <w:szCs w:val="24"/>
        </w:rPr>
        <w:t xml:space="preserve"> </w:t>
      </w:r>
    </w:p>
    <w:p w14:paraId="51EC520B" w14:textId="77777777" w:rsidR="00734DFC" w:rsidRPr="00512F52" w:rsidRDefault="00734DFC" w:rsidP="00772102">
      <w:pPr>
        <w:pStyle w:val="ListParagraph"/>
        <w:spacing w:after="0" w:line="360" w:lineRule="auto"/>
        <w:jc w:val="both"/>
        <w:rPr>
          <w:rFonts w:ascii="Arial" w:hAnsi="Arial" w:cs="Arial"/>
          <w:sz w:val="24"/>
          <w:szCs w:val="24"/>
        </w:rPr>
      </w:pPr>
    </w:p>
    <w:p w14:paraId="3A894C49" w14:textId="24F6BEDE" w:rsidR="00005E9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[10]</w:t>
      </w:r>
      <w:r w:rsidRPr="00512F52">
        <w:rPr>
          <w:rFonts w:ascii="Arial" w:hAnsi="Arial" w:cs="Arial"/>
          <w:sz w:val="24"/>
          <w:szCs w:val="24"/>
        </w:rPr>
        <w:tab/>
      </w:r>
      <w:r w:rsidR="00005E99" w:rsidRPr="00F669AB">
        <w:rPr>
          <w:rFonts w:ascii="Arial" w:hAnsi="Arial" w:cs="Arial"/>
          <w:sz w:val="24"/>
          <w:szCs w:val="24"/>
        </w:rPr>
        <w:t xml:space="preserve">The purpose and function of the delay rule was explained by Nugent JA in </w:t>
      </w:r>
      <w:r w:rsidR="00005E99" w:rsidRPr="00F669AB">
        <w:rPr>
          <w:rFonts w:ascii="Arial" w:hAnsi="Arial" w:cs="Arial"/>
          <w:i/>
          <w:iCs/>
          <w:sz w:val="24"/>
          <w:szCs w:val="24"/>
        </w:rPr>
        <w:t>Gqwetha v Transkei Development Corporations Ltd and Others</w:t>
      </w:r>
      <w:r w:rsidR="00005E99" w:rsidRPr="00F669AB">
        <w:rPr>
          <w:rFonts w:ascii="Arial" w:hAnsi="Arial" w:cs="Arial"/>
          <w:sz w:val="24"/>
          <w:szCs w:val="24"/>
        </w:rPr>
        <w:t xml:space="preserve"> as follows:</w:t>
      </w:r>
      <w:r w:rsidR="00005E99" w:rsidRPr="00512F52">
        <w:rPr>
          <w:rStyle w:val="FootnoteReference"/>
          <w:rFonts w:ascii="Arial" w:hAnsi="Arial" w:cs="Arial"/>
          <w:sz w:val="24"/>
          <w:szCs w:val="24"/>
        </w:rPr>
        <w:footnoteReference w:id="3"/>
      </w:r>
      <w:r w:rsidR="00005E99" w:rsidRPr="00F669AB">
        <w:rPr>
          <w:rFonts w:ascii="Arial" w:hAnsi="Arial" w:cs="Arial"/>
          <w:sz w:val="24"/>
          <w:szCs w:val="24"/>
        </w:rPr>
        <w:t xml:space="preserve"> </w:t>
      </w:r>
    </w:p>
    <w:p w14:paraId="40405786" w14:textId="4AA4931E" w:rsidR="00005E99" w:rsidRPr="00512F52" w:rsidRDefault="00005E99" w:rsidP="00772102">
      <w:pPr>
        <w:spacing w:after="0" w:line="360" w:lineRule="auto"/>
        <w:jc w:val="both"/>
        <w:rPr>
          <w:rFonts w:ascii="Arial" w:hAnsi="Arial" w:cs="Arial"/>
        </w:rPr>
      </w:pPr>
      <w:r w:rsidRPr="00512F52">
        <w:rPr>
          <w:rFonts w:ascii="Arial" w:hAnsi="Arial" w:cs="Arial"/>
        </w:rPr>
        <w:t xml:space="preserve">‘It is important for the efficient functioning of public bodies (I include the first respondent) that a challenge to the validity of their decisions by proceedings for judicial review should be initiated without undue delay. The rationale for that longstanding rule – reiterated most recently by Brand JA in </w:t>
      </w:r>
      <w:r w:rsidRPr="00512F52">
        <w:rPr>
          <w:rFonts w:ascii="Arial" w:hAnsi="Arial" w:cs="Arial"/>
          <w:i/>
          <w:iCs/>
        </w:rPr>
        <w:t>Associated Institutions Pension Fund v Van Zyl</w:t>
      </w:r>
      <w:r w:rsidRPr="00512F52">
        <w:rPr>
          <w:rFonts w:ascii="Arial" w:hAnsi="Arial" w:cs="Arial"/>
        </w:rPr>
        <w:t xml:space="preserve"> 2005 (2) SA 302 (SCA) at 321 – is twofold: First, the failure to bring a review within a reasonable time may cause prejudice to the respondent. </w:t>
      </w:r>
      <w:r w:rsidRPr="00512F52">
        <w:rPr>
          <w:rFonts w:ascii="Arial" w:hAnsi="Arial" w:cs="Arial"/>
        </w:rPr>
        <w:lastRenderedPageBreak/>
        <w:t xml:space="preserve">Secondly, and in my view more important, there is a public interest element in the finality of administrative decisions and the exercise of administrative functions. As pointed out by Miller JA in </w:t>
      </w:r>
      <w:r w:rsidRPr="00512F52">
        <w:rPr>
          <w:rFonts w:ascii="Arial" w:hAnsi="Arial" w:cs="Arial"/>
          <w:i/>
          <w:iCs/>
        </w:rPr>
        <w:t>Wolgroeiers Afslaers (Edms) Bpk v Munisipaliteit van Kaapstad</w:t>
      </w:r>
      <w:r w:rsidRPr="00512F52">
        <w:rPr>
          <w:rFonts w:ascii="Arial" w:hAnsi="Arial" w:cs="Arial"/>
        </w:rPr>
        <w:t xml:space="preserve"> 1978 (1) SA 13 (A) at 41E-F (my translation):</w:t>
      </w:r>
    </w:p>
    <w:p w14:paraId="7F6A82B2" w14:textId="7AEDC574" w:rsidR="00005E99" w:rsidRPr="00512F52" w:rsidRDefault="00005E99" w:rsidP="00772102">
      <w:pPr>
        <w:spacing w:after="0" w:line="360" w:lineRule="auto"/>
        <w:jc w:val="both"/>
        <w:rPr>
          <w:rFonts w:ascii="Arial" w:hAnsi="Arial" w:cs="Arial"/>
        </w:rPr>
      </w:pPr>
      <w:r w:rsidRPr="00512F52">
        <w:rPr>
          <w:rFonts w:ascii="Arial" w:hAnsi="Arial" w:cs="Arial"/>
        </w:rPr>
        <w:t xml:space="preserve">“It is desirable and important that finality should be arrived at within a reasonable time in relation to judicial and administrative decisions or acts. It can be contrary to the administration of justice and the public interest to allow such decisions or acts to be set aside after an unreasonably long period of time has elapsed </w:t>
      </w:r>
      <w:r w:rsidR="00FE6ADD" w:rsidRPr="00512F52">
        <w:rPr>
          <w:rFonts w:ascii="Arial" w:hAnsi="Arial" w:cs="Arial"/>
        </w:rPr>
        <w:t>–</w:t>
      </w:r>
      <w:r w:rsidRPr="00512F52">
        <w:rPr>
          <w:rFonts w:ascii="Arial" w:hAnsi="Arial" w:cs="Arial"/>
        </w:rPr>
        <w:t xml:space="preserve"> </w:t>
      </w:r>
      <w:r w:rsidRPr="00512F52">
        <w:rPr>
          <w:rFonts w:ascii="Arial" w:hAnsi="Arial" w:cs="Arial"/>
          <w:i/>
          <w:iCs/>
        </w:rPr>
        <w:t>interest reipublicae ut sit finis litium</w:t>
      </w:r>
      <w:r w:rsidR="00FE6ADD" w:rsidRPr="00512F52">
        <w:rPr>
          <w:rFonts w:ascii="Arial" w:hAnsi="Arial" w:cs="Arial"/>
        </w:rPr>
        <w:t xml:space="preserve"> . . . </w:t>
      </w:r>
      <w:r w:rsidRPr="00512F52">
        <w:rPr>
          <w:rFonts w:ascii="Arial" w:hAnsi="Arial" w:cs="Arial"/>
        </w:rPr>
        <w:t>Considerations of this kind undoubtedly constitute part of the underlying reasons for the existence of this rule.”</w:t>
      </w:r>
    </w:p>
    <w:p w14:paraId="3424F0C2" w14:textId="77777777" w:rsidR="00005E99" w:rsidRPr="00512F52" w:rsidRDefault="00005E99" w:rsidP="00772102">
      <w:pPr>
        <w:spacing w:after="0" w:line="360" w:lineRule="auto"/>
        <w:jc w:val="both"/>
        <w:rPr>
          <w:rFonts w:ascii="Arial" w:hAnsi="Arial" w:cs="Arial"/>
        </w:rPr>
      </w:pPr>
      <w:r w:rsidRPr="00512F52">
        <w:rPr>
          <w:rFonts w:ascii="Arial" w:hAnsi="Arial" w:cs="Arial"/>
        </w:rPr>
        <w:t>Underlying that latter aspect of the rationale is the inherent potential for prejudice, both to the efficient functioning of the public body, and to those who rely upon its decisions, if the validity of its decisions remains uncertain. It is for that reason in particular that proof of actual prejudice to the respondent is not a precondition for refusing to entertain review proceedings by reason of undue delay, although the extent to which prejudice has been shown is a relevant consideration that might even be decisive where the delay has been relatively slight (</w:t>
      </w:r>
      <w:r w:rsidRPr="00512F52">
        <w:rPr>
          <w:rFonts w:ascii="Arial" w:hAnsi="Arial" w:cs="Arial"/>
          <w:i/>
          <w:iCs/>
        </w:rPr>
        <w:t>Wolgroeiers Afslaers</w:t>
      </w:r>
      <w:r w:rsidRPr="00512F52">
        <w:rPr>
          <w:rFonts w:ascii="Arial" w:hAnsi="Arial" w:cs="Arial"/>
        </w:rPr>
        <w:t>, above, at 42C).’</w:t>
      </w:r>
    </w:p>
    <w:p w14:paraId="08351354" w14:textId="77777777" w:rsidR="00005E99" w:rsidRPr="00512F52" w:rsidRDefault="00005E99" w:rsidP="00772102">
      <w:pPr>
        <w:spacing w:after="0" w:line="360" w:lineRule="auto"/>
        <w:jc w:val="both"/>
        <w:rPr>
          <w:rFonts w:ascii="Arial" w:hAnsi="Arial" w:cs="Arial"/>
          <w:sz w:val="24"/>
          <w:szCs w:val="24"/>
        </w:rPr>
      </w:pPr>
    </w:p>
    <w:p w14:paraId="7733309D" w14:textId="0C7E88A3"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[11]</w:t>
      </w:r>
      <w:r w:rsidRPr="00512F52">
        <w:rPr>
          <w:rFonts w:ascii="Arial" w:hAnsi="Arial" w:cs="Arial"/>
          <w:sz w:val="24"/>
          <w:szCs w:val="24"/>
          <w:lang w:val="en-ZA"/>
        </w:rPr>
        <w:tab/>
      </w:r>
      <w:r w:rsidR="00005E99" w:rsidRPr="00F669AB">
        <w:rPr>
          <w:rFonts w:ascii="Arial" w:hAnsi="Arial" w:cs="Arial"/>
          <w:sz w:val="24"/>
          <w:szCs w:val="24"/>
        </w:rPr>
        <w:t>The application of the undue delay rule requires a two-stage enquiry.</w:t>
      </w:r>
      <w:r w:rsidR="00005E99" w:rsidRPr="00512F52">
        <w:rPr>
          <w:rStyle w:val="FootnoteReference"/>
          <w:rFonts w:ascii="Arial" w:hAnsi="Arial" w:cs="Arial"/>
          <w:sz w:val="24"/>
          <w:szCs w:val="24"/>
        </w:rPr>
        <w:footnoteReference w:id="4"/>
      </w:r>
      <w:r w:rsidR="00005E99" w:rsidRPr="00F669AB">
        <w:rPr>
          <w:rFonts w:ascii="Arial" w:hAnsi="Arial" w:cs="Arial"/>
          <w:sz w:val="24"/>
          <w:szCs w:val="24"/>
        </w:rPr>
        <w:t xml:space="preserve"> The Constitutional Court in </w:t>
      </w:r>
      <w:r w:rsidR="00005E99" w:rsidRPr="00F669AB">
        <w:rPr>
          <w:rFonts w:ascii="Arial" w:hAnsi="Arial" w:cs="Arial"/>
          <w:i/>
          <w:iCs/>
          <w:sz w:val="24"/>
          <w:szCs w:val="24"/>
          <w:lang w:val="en-ZA"/>
        </w:rPr>
        <w:t>Buffalo City Metropolitan Municipality v Asla Construction (Pty) Limited</w:t>
      </w:r>
      <w:r w:rsidR="00FE6ADD" w:rsidRPr="00512F52">
        <w:rPr>
          <w:rStyle w:val="FootnoteReference"/>
          <w:rFonts w:ascii="Arial" w:hAnsi="Arial" w:cs="Arial"/>
          <w:iCs/>
          <w:sz w:val="24"/>
          <w:szCs w:val="24"/>
          <w:lang w:val="en-ZA"/>
        </w:rPr>
        <w:footnoteReference w:id="5"/>
      </w:r>
      <w:r w:rsidR="00005E99" w:rsidRPr="00F669AB">
        <w:rPr>
          <w:rFonts w:ascii="Arial" w:hAnsi="Arial" w:cs="Arial"/>
          <w:iCs/>
          <w:sz w:val="24"/>
          <w:szCs w:val="24"/>
          <w:lang w:val="en-ZA"/>
        </w:rPr>
        <w:t xml:space="preserve"> </w:t>
      </w:r>
      <w:r w:rsidR="00005E99" w:rsidRPr="00F669AB">
        <w:rPr>
          <w:rFonts w:ascii="Arial" w:hAnsi="Arial" w:cs="Arial"/>
          <w:sz w:val="24"/>
          <w:szCs w:val="24"/>
          <w:lang w:val="en-ZA"/>
        </w:rPr>
        <w:t>stated that firstly, it must be determined whether there was an unreasonable or undue delay and secondly, if so, whether the court should exercise its discretion to overlook the delay and entertain the application.</w:t>
      </w:r>
      <w:r w:rsidR="00005E99" w:rsidRPr="00512F52">
        <w:rPr>
          <w:rStyle w:val="FootnoteReference"/>
          <w:rFonts w:ascii="Arial" w:hAnsi="Arial" w:cs="Arial"/>
          <w:sz w:val="24"/>
          <w:szCs w:val="24"/>
          <w:lang w:val="en-ZA"/>
        </w:rPr>
        <w:footnoteReference w:id="6"/>
      </w:r>
      <w:r w:rsidR="00005E99" w:rsidRPr="00F669AB">
        <w:rPr>
          <w:rFonts w:ascii="Arial" w:hAnsi="Arial" w:cs="Arial"/>
          <w:sz w:val="24"/>
          <w:szCs w:val="24"/>
          <w:lang w:val="en-ZA"/>
        </w:rPr>
        <w:t xml:space="preserve"> The Constitutional Court explained that the first stage involves a factual enquiry upon which a value judgment is made, having regard to all the circumstances of the matter. In other words, whether the interests of justice require an overlooking of the unreasonable delay. The reasonableness of the delay, the Constitutional Court proceeded, ‘must be assessed on, among others, the explanation offered for the delay. Where the delay can be explained and justified, then it is reasonable, and the merits of the review can be considered. If there is an explanation for the delay, the explanation must cover the entirety of the delay. But, as was held in </w:t>
      </w:r>
      <w:r w:rsidR="00005E99" w:rsidRPr="00F669AB">
        <w:rPr>
          <w:rFonts w:ascii="Arial" w:hAnsi="Arial" w:cs="Arial"/>
          <w:i/>
          <w:iCs/>
          <w:sz w:val="24"/>
          <w:szCs w:val="24"/>
          <w:lang w:val="en-ZA"/>
        </w:rPr>
        <w:lastRenderedPageBreak/>
        <w:t>Gijima</w:t>
      </w:r>
      <w:r w:rsidR="00005E99" w:rsidRPr="00F669AB">
        <w:rPr>
          <w:rFonts w:ascii="Arial" w:hAnsi="Arial" w:cs="Arial"/>
          <w:iCs/>
          <w:sz w:val="24"/>
          <w:szCs w:val="24"/>
          <w:lang w:val="en-ZA"/>
        </w:rPr>
        <w:t>,</w:t>
      </w:r>
      <w:r w:rsidR="00005E99" w:rsidRPr="00F669AB">
        <w:rPr>
          <w:rFonts w:ascii="Arial" w:hAnsi="Arial" w:cs="Arial"/>
          <w:sz w:val="24"/>
          <w:szCs w:val="24"/>
          <w:lang w:val="en-ZA"/>
        </w:rPr>
        <w:t xml:space="preserve"> where there is no explanation for the delay, the delay will necessarily be unreasonable</w:t>
      </w:r>
      <w:r w:rsidR="00005E99" w:rsidRPr="00F669AB">
        <w:rPr>
          <w:rFonts w:ascii="Arial" w:hAnsi="Arial" w:cs="Arial"/>
          <w:lang w:val="en-ZA"/>
        </w:rPr>
        <w:t>’</w:t>
      </w:r>
      <w:r w:rsidR="0004079C" w:rsidRPr="00F669AB">
        <w:rPr>
          <w:rFonts w:ascii="Arial" w:hAnsi="Arial" w:cs="Arial"/>
          <w:lang w:val="en-ZA"/>
        </w:rPr>
        <w:t>.</w:t>
      </w:r>
      <w:r w:rsidR="00005E99" w:rsidRPr="00512F52">
        <w:rPr>
          <w:rStyle w:val="FootnoteReference"/>
          <w:rFonts w:ascii="Arial" w:hAnsi="Arial" w:cs="Arial"/>
          <w:lang w:val="en-ZA"/>
        </w:rPr>
        <w:footnoteReference w:id="7"/>
      </w:r>
    </w:p>
    <w:p w14:paraId="6841FF92" w14:textId="77777777" w:rsidR="00734DFC" w:rsidRPr="00512F52" w:rsidRDefault="00734DFC" w:rsidP="00772102">
      <w:pPr>
        <w:pStyle w:val="ListParagraph"/>
        <w:spacing w:after="0" w:line="360" w:lineRule="auto"/>
        <w:ind w:left="0"/>
        <w:jc w:val="both"/>
        <w:rPr>
          <w:rFonts w:ascii="Arial" w:hAnsi="Arial" w:cs="Arial"/>
          <w:lang w:val="en-ZA"/>
        </w:rPr>
      </w:pPr>
    </w:p>
    <w:p w14:paraId="145378EE" w14:textId="24579623"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[12]</w:t>
      </w:r>
      <w:r w:rsidRPr="00512F52">
        <w:rPr>
          <w:rFonts w:ascii="Arial" w:hAnsi="Arial" w:cs="Arial"/>
          <w:sz w:val="24"/>
          <w:szCs w:val="24"/>
          <w:lang w:val="en-ZA"/>
        </w:rPr>
        <w:tab/>
      </w:r>
      <w:r w:rsidR="00005E99" w:rsidRPr="00F669AB">
        <w:rPr>
          <w:rFonts w:ascii="Arial" w:hAnsi="Arial" w:cs="Arial"/>
          <w:sz w:val="24"/>
          <w:szCs w:val="24"/>
          <w:lang w:val="en-ZA"/>
        </w:rPr>
        <w:t>The second stage, on whether an unreasonable delay should be overlooked, is a flexible one and entails a legal evaluation taking into account a number of factors such as potential prejudice to affected parties as well as the possible consequences of setting aside the impugned decision and whether such may be ameliorated by the court’s power to grant a just and equitable remedy.</w:t>
      </w:r>
      <w:r w:rsidR="00005E99" w:rsidRPr="00512F52">
        <w:rPr>
          <w:rStyle w:val="FootnoteReference"/>
          <w:rFonts w:ascii="Arial" w:hAnsi="Arial" w:cs="Arial"/>
          <w:sz w:val="24"/>
          <w:szCs w:val="24"/>
          <w:lang w:val="en-ZA"/>
        </w:rPr>
        <w:footnoteReference w:id="8"/>
      </w:r>
      <w:r w:rsidR="00005E99" w:rsidRPr="00F669AB">
        <w:rPr>
          <w:rFonts w:ascii="Arial" w:hAnsi="Arial" w:cs="Arial"/>
          <w:sz w:val="24"/>
          <w:szCs w:val="24"/>
          <w:lang w:val="en-ZA"/>
        </w:rPr>
        <w:t xml:space="preserve"> The nature of the impugned decision is another factor to be considered which, in essence, requires a consideration of the merits of the legal challenge against that decision.</w:t>
      </w:r>
      <w:r w:rsidR="00005E99" w:rsidRPr="00512F52">
        <w:rPr>
          <w:rStyle w:val="FootnoteReference"/>
          <w:rFonts w:ascii="Arial" w:hAnsi="Arial" w:cs="Arial"/>
          <w:sz w:val="24"/>
          <w:szCs w:val="24"/>
          <w:lang w:val="en-ZA"/>
        </w:rPr>
        <w:footnoteReference w:id="9"/>
      </w:r>
    </w:p>
    <w:p w14:paraId="0D6A622A" w14:textId="77777777" w:rsidR="00734DFC" w:rsidRPr="00512F52" w:rsidRDefault="00734DFC" w:rsidP="00772102">
      <w:pPr>
        <w:pStyle w:val="ListParagraph"/>
        <w:spacing w:after="0" w:line="360" w:lineRule="auto"/>
        <w:jc w:val="both"/>
        <w:rPr>
          <w:rFonts w:ascii="Arial" w:hAnsi="Arial" w:cs="Arial"/>
          <w:lang w:val="en-ZA"/>
        </w:rPr>
      </w:pPr>
    </w:p>
    <w:p w14:paraId="45B7CC1D" w14:textId="6598A053"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[13]</w:t>
      </w:r>
      <w:r w:rsidRPr="00512F52">
        <w:rPr>
          <w:rFonts w:ascii="Arial" w:hAnsi="Arial" w:cs="Arial"/>
          <w:sz w:val="24"/>
          <w:szCs w:val="24"/>
          <w:lang w:val="en-ZA"/>
        </w:rPr>
        <w:tab/>
      </w:r>
      <w:r w:rsidR="00005E99" w:rsidRPr="00F669AB">
        <w:rPr>
          <w:rFonts w:ascii="Arial" w:hAnsi="Arial" w:cs="Arial"/>
          <w:sz w:val="24"/>
          <w:szCs w:val="24"/>
          <w:lang w:val="en-ZA"/>
        </w:rPr>
        <w:t xml:space="preserve">Turning to the </w:t>
      </w:r>
      <w:r w:rsidR="00DB3CF0" w:rsidRPr="00F669AB">
        <w:rPr>
          <w:rFonts w:ascii="Arial" w:hAnsi="Arial" w:cs="Arial"/>
          <w:sz w:val="24"/>
          <w:szCs w:val="24"/>
          <w:lang w:val="en-ZA"/>
        </w:rPr>
        <w:t>explanation for the delay</w:t>
      </w:r>
      <w:r w:rsidR="00005E99" w:rsidRPr="00F669AB">
        <w:rPr>
          <w:rFonts w:ascii="Arial" w:hAnsi="Arial" w:cs="Arial"/>
          <w:sz w:val="24"/>
          <w:szCs w:val="24"/>
          <w:lang w:val="en-ZA"/>
        </w:rPr>
        <w:t xml:space="preserve">, </w:t>
      </w:r>
      <w:r w:rsidR="00851EBA" w:rsidRPr="00F669AB">
        <w:rPr>
          <w:rFonts w:ascii="Arial" w:hAnsi="Arial" w:cs="Arial"/>
          <w:sz w:val="24"/>
          <w:szCs w:val="24"/>
          <w:lang w:val="en-ZA"/>
        </w:rPr>
        <w:t xml:space="preserve">the Commission </w:t>
      </w:r>
      <w:r w:rsidR="00850625" w:rsidRPr="00F669AB">
        <w:rPr>
          <w:rFonts w:ascii="Arial" w:hAnsi="Arial" w:cs="Arial"/>
          <w:sz w:val="24"/>
          <w:szCs w:val="24"/>
          <w:lang w:val="en-ZA"/>
        </w:rPr>
        <w:t>alleges</w:t>
      </w:r>
      <w:r w:rsidR="00851EBA" w:rsidRPr="00F669AB">
        <w:rPr>
          <w:rFonts w:ascii="Arial" w:hAnsi="Arial" w:cs="Arial"/>
          <w:sz w:val="24"/>
          <w:szCs w:val="24"/>
          <w:lang w:val="en-ZA"/>
        </w:rPr>
        <w:t xml:space="preserve"> that </w:t>
      </w:r>
      <w:r w:rsidR="00005E99" w:rsidRPr="00F669AB">
        <w:rPr>
          <w:rFonts w:ascii="Arial" w:hAnsi="Arial" w:cs="Arial"/>
          <w:sz w:val="24"/>
          <w:szCs w:val="24"/>
          <w:lang w:val="en-ZA"/>
        </w:rPr>
        <w:t>the impugned decis</w:t>
      </w:r>
      <w:r w:rsidR="00850625" w:rsidRPr="00F669AB">
        <w:rPr>
          <w:rFonts w:ascii="Arial" w:hAnsi="Arial" w:cs="Arial"/>
          <w:sz w:val="24"/>
          <w:szCs w:val="24"/>
          <w:lang w:val="en-ZA"/>
        </w:rPr>
        <w:t>ion was made by its</w:t>
      </w:r>
      <w:r w:rsidR="00005E99" w:rsidRPr="00F669AB">
        <w:rPr>
          <w:rFonts w:ascii="Arial" w:hAnsi="Arial" w:cs="Arial"/>
          <w:sz w:val="24"/>
          <w:szCs w:val="24"/>
          <w:lang w:val="en-ZA"/>
        </w:rPr>
        <w:t xml:space="preserve"> representative on or about 23 November 2021 as a result of misapplication of the provisions of the Structures Act. The representative concerned was by means of an email dated 2 December 2021 alerted to the fact that the decision might be incorrect and was asked to rectify the mistake. There was no response to this email. Nothing happened until mid-May 2022 when the Commission’s Provincial Office conducted a routine Candidate Nomination System (CNS) audit when the discrepancy between the list of the sitting councillors and what was on the Commission system was again detected.</w:t>
      </w:r>
    </w:p>
    <w:p w14:paraId="5701A427" w14:textId="77777777" w:rsidR="00734DFC" w:rsidRPr="00512F52" w:rsidRDefault="00734DFC" w:rsidP="00772102">
      <w:pPr>
        <w:pStyle w:val="ListParagraph"/>
        <w:spacing w:after="0" w:line="360" w:lineRule="auto"/>
        <w:jc w:val="both"/>
        <w:rPr>
          <w:rFonts w:ascii="Arial" w:hAnsi="Arial" w:cs="Arial"/>
          <w:lang w:val="en-ZA"/>
        </w:rPr>
      </w:pPr>
    </w:p>
    <w:p w14:paraId="21414415" w14:textId="07179BE3"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[14]</w:t>
      </w:r>
      <w:r w:rsidRPr="00512F52">
        <w:rPr>
          <w:rFonts w:ascii="Arial" w:hAnsi="Arial" w:cs="Arial"/>
          <w:sz w:val="24"/>
          <w:szCs w:val="24"/>
          <w:lang w:val="en-ZA"/>
        </w:rPr>
        <w:tab/>
      </w:r>
      <w:r w:rsidR="00005E99" w:rsidRPr="00F669AB">
        <w:rPr>
          <w:rFonts w:ascii="Arial" w:hAnsi="Arial" w:cs="Arial"/>
          <w:sz w:val="24"/>
          <w:szCs w:val="24"/>
          <w:lang w:val="en-ZA"/>
        </w:rPr>
        <w:t>The Commission brought this application on 2 August 2022. It provides the following explanation regarding the steps it took from May 2022 to August 2022. The Commission’s officials deliberated internally between national and provincial offices – on how to deal with the problem identified by the CNS audit. After consulting with Walter Rambele Sheburi, the Deputy Chief Electoral Officer (the DCEO), Ms Masinga, one of the Commission’s officials, decided that the problem should be raised at the next Provincial Liaison Committee (PLC) meeting</w:t>
      </w:r>
      <w:r w:rsidR="008D2F98" w:rsidRPr="00F669AB">
        <w:rPr>
          <w:rFonts w:ascii="Arial" w:hAnsi="Arial" w:cs="Arial"/>
          <w:sz w:val="24"/>
          <w:szCs w:val="24"/>
          <w:lang w:val="en-ZA"/>
        </w:rPr>
        <w:t>,</w:t>
      </w:r>
      <w:r w:rsidR="001927BA" w:rsidRPr="00F669AB">
        <w:rPr>
          <w:rFonts w:ascii="Arial" w:hAnsi="Arial" w:cs="Arial"/>
          <w:sz w:val="24"/>
          <w:szCs w:val="24"/>
          <w:lang w:val="en-ZA"/>
        </w:rPr>
        <w:t xml:space="preserve"> which was to be held</w:t>
      </w:r>
      <w:r w:rsidR="00005E99" w:rsidRPr="00F669AB">
        <w:rPr>
          <w:rFonts w:ascii="Arial" w:hAnsi="Arial" w:cs="Arial"/>
          <w:sz w:val="24"/>
          <w:szCs w:val="24"/>
          <w:lang w:val="en-ZA"/>
        </w:rPr>
        <w:t xml:space="preserve"> on 20 May 2022.</w:t>
      </w:r>
    </w:p>
    <w:p w14:paraId="276F233E" w14:textId="77777777" w:rsidR="00734DFC" w:rsidRPr="00512F52" w:rsidRDefault="00734DFC" w:rsidP="00772102">
      <w:pPr>
        <w:pStyle w:val="ListParagraph"/>
        <w:spacing w:after="0" w:line="360" w:lineRule="auto"/>
        <w:jc w:val="both"/>
        <w:rPr>
          <w:rFonts w:ascii="Arial" w:hAnsi="Arial" w:cs="Arial"/>
          <w:lang w:val="en-ZA"/>
        </w:rPr>
      </w:pPr>
    </w:p>
    <w:p w14:paraId="55076D9D" w14:textId="51FEC515"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lastRenderedPageBreak/>
        <w:t>[15]</w:t>
      </w:r>
      <w:r w:rsidRPr="00512F52">
        <w:rPr>
          <w:rFonts w:ascii="Arial" w:hAnsi="Arial" w:cs="Arial"/>
          <w:sz w:val="24"/>
          <w:szCs w:val="24"/>
          <w:lang w:val="en-ZA"/>
        </w:rPr>
        <w:tab/>
      </w:r>
      <w:r w:rsidR="00005E99" w:rsidRPr="00F669AB">
        <w:rPr>
          <w:rFonts w:ascii="Arial" w:hAnsi="Arial" w:cs="Arial"/>
          <w:sz w:val="24"/>
          <w:szCs w:val="24"/>
          <w:lang w:val="en-ZA"/>
        </w:rPr>
        <w:t xml:space="preserve">The DCEO attended the PLC meeting on 20 May 2022, as did various district managers and members of the political parties and councillors. During the meeting, the DCEO specifically addressed his concerns regarding the election of the three </w:t>
      </w:r>
      <w:r w:rsidR="00206D00" w:rsidRPr="00F669AB">
        <w:rPr>
          <w:rFonts w:ascii="Arial" w:hAnsi="Arial" w:cs="Arial"/>
          <w:sz w:val="24"/>
          <w:szCs w:val="24"/>
          <w:lang w:val="en-ZA"/>
        </w:rPr>
        <w:t xml:space="preserve">affected </w:t>
      </w:r>
      <w:r w:rsidR="00005E99" w:rsidRPr="00F669AB">
        <w:rPr>
          <w:rFonts w:ascii="Arial" w:hAnsi="Arial" w:cs="Arial"/>
          <w:sz w:val="24"/>
          <w:szCs w:val="24"/>
          <w:lang w:val="en-ZA"/>
        </w:rPr>
        <w:t xml:space="preserve">councillors through the third round of elections, which was not provided for in terms of the relevant provisions of the Structures Act. He expressed the view that the election of the three </w:t>
      </w:r>
      <w:r w:rsidR="00206D00" w:rsidRPr="00F669AB">
        <w:rPr>
          <w:rFonts w:ascii="Arial" w:hAnsi="Arial" w:cs="Arial"/>
          <w:sz w:val="24"/>
          <w:szCs w:val="24"/>
          <w:lang w:val="en-ZA"/>
        </w:rPr>
        <w:t xml:space="preserve">affected </w:t>
      </w:r>
      <w:r w:rsidR="00005E99" w:rsidRPr="00F669AB">
        <w:rPr>
          <w:rFonts w:ascii="Arial" w:hAnsi="Arial" w:cs="Arial"/>
          <w:sz w:val="24"/>
          <w:szCs w:val="24"/>
          <w:lang w:val="en-ZA"/>
        </w:rPr>
        <w:t>council</w:t>
      </w:r>
      <w:r w:rsidR="00206D00" w:rsidRPr="00F669AB">
        <w:rPr>
          <w:rFonts w:ascii="Arial" w:hAnsi="Arial" w:cs="Arial"/>
          <w:sz w:val="24"/>
          <w:szCs w:val="24"/>
          <w:lang w:val="en-ZA"/>
        </w:rPr>
        <w:t>lors</w:t>
      </w:r>
      <w:r w:rsidR="00005E99" w:rsidRPr="00F669AB">
        <w:rPr>
          <w:rFonts w:ascii="Arial" w:hAnsi="Arial" w:cs="Arial"/>
          <w:sz w:val="24"/>
          <w:szCs w:val="24"/>
          <w:lang w:val="en-ZA"/>
        </w:rPr>
        <w:t xml:space="preserve"> had been unlawful.</w:t>
      </w:r>
    </w:p>
    <w:p w14:paraId="03375820" w14:textId="77777777" w:rsidR="00734DFC" w:rsidRPr="00512F52" w:rsidRDefault="00734DFC" w:rsidP="00772102">
      <w:pPr>
        <w:pStyle w:val="ListParagraph"/>
        <w:spacing w:after="0" w:line="360" w:lineRule="auto"/>
        <w:jc w:val="both"/>
        <w:rPr>
          <w:rFonts w:ascii="Arial" w:hAnsi="Arial" w:cs="Arial"/>
          <w:lang w:val="en-ZA"/>
        </w:rPr>
      </w:pPr>
    </w:p>
    <w:p w14:paraId="1904FB86" w14:textId="1D31C113"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[16]</w:t>
      </w:r>
      <w:r w:rsidRPr="00512F52">
        <w:rPr>
          <w:rFonts w:ascii="Arial" w:hAnsi="Arial" w:cs="Arial"/>
          <w:sz w:val="24"/>
          <w:szCs w:val="24"/>
          <w:lang w:val="en-ZA"/>
        </w:rPr>
        <w:tab/>
      </w:r>
      <w:r w:rsidR="00005E99" w:rsidRPr="00F669AB">
        <w:rPr>
          <w:rFonts w:ascii="Arial" w:hAnsi="Arial" w:cs="Arial"/>
          <w:sz w:val="24"/>
          <w:szCs w:val="24"/>
          <w:lang w:val="en-ZA"/>
        </w:rPr>
        <w:t>The parties indicated that they would prefer the Commission to approach this Court to clarify the position. Although this is not indicated in the minutes, it was suggested that the Commission should obtain a legal opinion.</w:t>
      </w:r>
    </w:p>
    <w:p w14:paraId="25843058" w14:textId="77777777" w:rsidR="00734DFC" w:rsidRPr="00512F52" w:rsidRDefault="00734DFC" w:rsidP="00772102">
      <w:pPr>
        <w:pStyle w:val="ListParagraph"/>
        <w:spacing w:after="0" w:line="360" w:lineRule="auto"/>
        <w:jc w:val="both"/>
        <w:rPr>
          <w:rFonts w:ascii="Arial" w:hAnsi="Arial" w:cs="Arial"/>
          <w:lang w:val="en-ZA"/>
        </w:rPr>
      </w:pPr>
    </w:p>
    <w:p w14:paraId="6F643757" w14:textId="519CBFE9"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[17]</w:t>
      </w:r>
      <w:r w:rsidRPr="00512F52">
        <w:rPr>
          <w:rFonts w:ascii="Arial" w:hAnsi="Arial" w:cs="Arial"/>
          <w:sz w:val="24"/>
          <w:szCs w:val="24"/>
          <w:lang w:val="en-ZA"/>
        </w:rPr>
        <w:tab/>
      </w:r>
      <w:r w:rsidR="00005E99" w:rsidRPr="00F669AB">
        <w:rPr>
          <w:rFonts w:ascii="Arial" w:hAnsi="Arial" w:cs="Arial"/>
          <w:sz w:val="24"/>
          <w:szCs w:val="24"/>
          <w:lang w:val="en-ZA"/>
        </w:rPr>
        <w:t>The DCEO accepted this suggestion and took steps</w:t>
      </w:r>
      <w:r w:rsidR="0072118D" w:rsidRPr="00F669AB">
        <w:rPr>
          <w:rFonts w:ascii="Arial" w:hAnsi="Arial" w:cs="Arial"/>
          <w:sz w:val="24"/>
          <w:szCs w:val="24"/>
          <w:lang w:val="en-ZA"/>
        </w:rPr>
        <w:t xml:space="preserve"> accordingly</w:t>
      </w:r>
      <w:r w:rsidR="00005E99" w:rsidRPr="00F669AB">
        <w:rPr>
          <w:rFonts w:ascii="Arial" w:hAnsi="Arial" w:cs="Arial"/>
          <w:sz w:val="24"/>
          <w:szCs w:val="24"/>
          <w:lang w:val="en-ZA"/>
        </w:rPr>
        <w:t>. On the same day, the DCEO sent an email to Ms Rekha Raath, a senior manager in the Commission’s Legal Services Department</w:t>
      </w:r>
      <w:r w:rsidR="0072118D" w:rsidRPr="00F669AB">
        <w:rPr>
          <w:rFonts w:ascii="Arial" w:hAnsi="Arial" w:cs="Arial"/>
          <w:sz w:val="24"/>
          <w:szCs w:val="24"/>
          <w:lang w:val="en-ZA"/>
        </w:rPr>
        <w:t>,</w:t>
      </w:r>
      <w:r w:rsidR="00005E99" w:rsidRPr="00F669AB">
        <w:rPr>
          <w:rFonts w:ascii="Arial" w:hAnsi="Arial" w:cs="Arial"/>
          <w:sz w:val="24"/>
          <w:szCs w:val="24"/>
          <w:lang w:val="en-ZA"/>
        </w:rPr>
        <w:t xml:space="preserve"> to ascertain whether the Commission could change their irregular allocations administratively – or whether they needed a court order. Her advice was that a legal opinion be obtained.</w:t>
      </w:r>
    </w:p>
    <w:p w14:paraId="0F5BF3C2" w14:textId="77777777" w:rsidR="00734DFC" w:rsidRPr="00512F52" w:rsidRDefault="00734DFC" w:rsidP="00772102">
      <w:pPr>
        <w:pStyle w:val="ListParagraph"/>
        <w:spacing w:after="0" w:line="360" w:lineRule="auto"/>
        <w:jc w:val="both"/>
        <w:rPr>
          <w:rFonts w:ascii="Arial" w:hAnsi="Arial" w:cs="Arial"/>
          <w:lang w:val="en-ZA"/>
        </w:rPr>
      </w:pPr>
    </w:p>
    <w:p w14:paraId="4BC2D0A3" w14:textId="5122DB95"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[18]</w:t>
      </w:r>
      <w:r w:rsidRPr="00512F52">
        <w:rPr>
          <w:rFonts w:ascii="Arial" w:hAnsi="Arial" w:cs="Arial"/>
          <w:sz w:val="24"/>
          <w:szCs w:val="24"/>
          <w:lang w:val="en-ZA"/>
        </w:rPr>
        <w:tab/>
      </w:r>
      <w:r w:rsidR="00005E99" w:rsidRPr="00F669AB">
        <w:rPr>
          <w:rFonts w:ascii="Arial" w:hAnsi="Arial" w:cs="Arial"/>
          <w:sz w:val="24"/>
          <w:szCs w:val="24"/>
          <w:lang w:val="en-ZA"/>
        </w:rPr>
        <w:t xml:space="preserve">On 30 May 2022, the Commission instructed Moeti Kanyane Attorneys to prepare </w:t>
      </w:r>
      <w:r w:rsidR="00213447" w:rsidRPr="00F669AB">
        <w:rPr>
          <w:rFonts w:ascii="Arial" w:hAnsi="Arial" w:cs="Arial"/>
          <w:sz w:val="24"/>
          <w:szCs w:val="24"/>
          <w:lang w:val="en-ZA"/>
        </w:rPr>
        <w:t xml:space="preserve">a </w:t>
      </w:r>
      <w:r w:rsidR="00005E99" w:rsidRPr="00F669AB">
        <w:rPr>
          <w:rFonts w:ascii="Arial" w:hAnsi="Arial" w:cs="Arial"/>
          <w:sz w:val="24"/>
          <w:szCs w:val="24"/>
          <w:lang w:val="en-ZA"/>
        </w:rPr>
        <w:t>legal opinion. Given the novelty of the issue at hand, Mr Kanyane needed time to research and consider the issues, and to prepare his opinion. The Commission received the written opinion on 20 June 2022 by email. The opinion concluded that the Commission should approach this Court to review and set aside the impugned election.</w:t>
      </w:r>
    </w:p>
    <w:p w14:paraId="426501E7" w14:textId="77777777" w:rsidR="00734DFC" w:rsidRPr="00512F52" w:rsidRDefault="00734DFC" w:rsidP="00772102">
      <w:pPr>
        <w:pStyle w:val="ListParagraph"/>
        <w:spacing w:after="0" w:line="360" w:lineRule="auto"/>
        <w:jc w:val="both"/>
        <w:rPr>
          <w:rFonts w:ascii="Arial" w:hAnsi="Arial" w:cs="Arial"/>
          <w:lang w:val="en-ZA"/>
        </w:rPr>
      </w:pPr>
    </w:p>
    <w:p w14:paraId="7F138C7B" w14:textId="75272E89"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[19]</w:t>
      </w:r>
      <w:r w:rsidRPr="00512F52">
        <w:rPr>
          <w:rFonts w:ascii="Arial" w:hAnsi="Arial" w:cs="Arial"/>
          <w:sz w:val="24"/>
          <w:szCs w:val="24"/>
          <w:lang w:val="en-ZA"/>
        </w:rPr>
        <w:tab/>
      </w:r>
      <w:r w:rsidR="00005E99" w:rsidRPr="00F669AB">
        <w:rPr>
          <w:rFonts w:ascii="Arial" w:hAnsi="Arial" w:cs="Arial"/>
          <w:sz w:val="24"/>
          <w:szCs w:val="24"/>
          <w:lang w:val="en-ZA"/>
        </w:rPr>
        <w:t xml:space="preserve">After considering the legal opinion, on 27 June 2022, the DCEO sent an email to the CEO and Mosotho Moepya, a Commissioner of the Electoral Commission, and asked for authorisation to institute the present application. On 28 June 2022, the Commission issued a request for quotations – and permission to proceed </w:t>
      </w:r>
      <w:r w:rsidR="000A261A" w:rsidRPr="00F669AB">
        <w:rPr>
          <w:rFonts w:ascii="Arial" w:hAnsi="Arial" w:cs="Arial"/>
          <w:sz w:val="24"/>
          <w:szCs w:val="24"/>
          <w:lang w:val="en-ZA"/>
        </w:rPr>
        <w:t>with the appointment of</w:t>
      </w:r>
      <w:r w:rsidR="00005E99" w:rsidRPr="00F669AB">
        <w:rPr>
          <w:rFonts w:ascii="Arial" w:hAnsi="Arial" w:cs="Arial"/>
          <w:sz w:val="24"/>
          <w:szCs w:val="24"/>
          <w:lang w:val="en-ZA"/>
        </w:rPr>
        <w:t xml:space="preserve"> attorneys to institute the application.</w:t>
      </w:r>
    </w:p>
    <w:p w14:paraId="52D88A7E" w14:textId="77777777" w:rsidR="00734DFC" w:rsidRPr="00512F52" w:rsidRDefault="00734DFC" w:rsidP="00772102">
      <w:pPr>
        <w:pStyle w:val="ListParagraph"/>
        <w:spacing w:after="0" w:line="360" w:lineRule="auto"/>
        <w:jc w:val="both"/>
        <w:rPr>
          <w:rFonts w:ascii="Arial" w:hAnsi="Arial" w:cs="Arial"/>
          <w:lang w:val="en-ZA"/>
        </w:rPr>
      </w:pPr>
    </w:p>
    <w:p w14:paraId="46301468" w14:textId="296F03A4"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[20]</w:t>
      </w:r>
      <w:r w:rsidRPr="00512F52">
        <w:rPr>
          <w:rFonts w:ascii="Arial" w:hAnsi="Arial" w:cs="Arial"/>
          <w:sz w:val="24"/>
          <w:szCs w:val="24"/>
          <w:lang w:val="en-ZA"/>
        </w:rPr>
        <w:tab/>
      </w:r>
      <w:r w:rsidR="00005E99" w:rsidRPr="00F669AB">
        <w:rPr>
          <w:rFonts w:ascii="Arial" w:hAnsi="Arial" w:cs="Arial"/>
          <w:sz w:val="24"/>
          <w:szCs w:val="24"/>
          <w:lang w:val="en-ZA"/>
        </w:rPr>
        <w:t xml:space="preserve">DMO Attorneys were appointed as attorneys of record on 30 June 2022. Subsequently, various consultations were held between the Commission’s officials and the instructing attorneys. On 7 July 2022, counsel was briefed to consider the matter – </w:t>
      </w:r>
      <w:r w:rsidR="00005E99" w:rsidRPr="00F669AB">
        <w:rPr>
          <w:rFonts w:ascii="Arial" w:hAnsi="Arial" w:cs="Arial"/>
          <w:sz w:val="24"/>
          <w:szCs w:val="24"/>
          <w:lang w:val="en-ZA"/>
        </w:rPr>
        <w:lastRenderedPageBreak/>
        <w:t>and to prepare the present application. Counsel consulted with the Commission’s officials on 13 July 2022.</w:t>
      </w:r>
    </w:p>
    <w:p w14:paraId="29224386" w14:textId="77777777" w:rsidR="00734DFC" w:rsidRPr="00512F52" w:rsidRDefault="00734DFC" w:rsidP="00772102">
      <w:pPr>
        <w:pStyle w:val="ListParagraph"/>
        <w:spacing w:after="0" w:line="360" w:lineRule="auto"/>
        <w:jc w:val="both"/>
        <w:rPr>
          <w:rFonts w:ascii="Arial" w:hAnsi="Arial" w:cs="Arial"/>
          <w:lang w:val="en-ZA"/>
        </w:rPr>
      </w:pPr>
    </w:p>
    <w:p w14:paraId="0D5759A6" w14:textId="77ACBE00" w:rsidR="002E200D"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[21]</w:t>
      </w:r>
      <w:r w:rsidRPr="00512F52">
        <w:rPr>
          <w:rFonts w:ascii="Arial" w:hAnsi="Arial" w:cs="Arial"/>
          <w:sz w:val="24"/>
          <w:szCs w:val="24"/>
          <w:lang w:val="en-ZA"/>
        </w:rPr>
        <w:tab/>
      </w:r>
      <w:r w:rsidR="00005E99" w:rsidRPr="00F669AB">
        <w:rPr>
          <w:rFonts w:ascii="Arial" w:hAnsi="Arial" w:cs="Arial"/>
          <w:sz w:val="24"/>
          <w:szCs w:val="24"/>
          <w:lang w:val="en-ZA"/>
        </w:rPr>
        <w:t>Mr Mathenjwa, the Commission’s representative to whom an email of 2 December 2021 was addressed, explains why he never acted on it. The fact of the matter is that he forgot about it and the Commission’s officials who issued instruction for the relevant emails to be sent</w:t>
      </w:r>
      <w:r w:rsidR="002E200D" w:rsidRPr="00F669AB">
        <w:rPr>
          <w:rFonts w:ascii="Arial" w:hAnsi="Arial" w:cs="Arial"/>
          <w:sz w:val="24"/>
          <w:szCs w:val="24"/>
          <w:lang w:val="en-ZA"/>
        </w:rPr>
        <w:t>,</w:t>
      </w:r>
      <w:r w:rsidR="00005E99" w:rsidRPr="00F669AB">
        <w:rPr>
          <w:rFonts w:ascii="Arial" w:hAnsi="Arial" w:cs="Arial"/>
          <w:sz w:val="24"/>
          <w:szCs w:val="24"/>
          <w:lang w:val="en-ZA"/>
        </w:rPr>
        <w:t xml:space="preserve"> including those who sent and received them, did absolutely nothing to ensure that the relevant emails were acted upon. </w:t>
      </w:r>
    </w:p>
    <w:p w14:paraId="622DD6E7" w14:textId="77777777" w:rsidR="002E200D" w:rsidRPr="00512F52" w:rsidRDefault="002E200D" w:rsidP="00902187">
      <w:pPr>
        <w:pStyle w:val="ListParagraph"/>
        <w:rPr>
          <w:rFonts w:ascii="Arial" w:hAnsi="Arial" w:cs="Arial"/>
          <w:sz w:val="24"/>
          <w:szCs w:val="24"/>
          <w:lang w:val="en-ZA"/>
        </w:rPr>
      </w:pPr>
    </w:p>
    <w:p w14:paraId="311827B9" w14:textId="6F457B61"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[22]</w:t>
      </w:r>
      <w:r w:rsidRPr="00512F52">
        <w:rPr>
          <w:rFonts w:ascii="Arial" w:hAnsi="Arial" w:cs="Arial"/>
          <w:sz w:val="24"/>
          <w:szCs w:val="24"/>
          <w:lang w:val="en-ZA"/>
        </w:rPr>
        <w:tab/>
      </w:r>
      <w:r w:rsidR="00005E99" w:rsidRPr="00F669AB">
        <w:rPr>
          <w:rFonts w:ascii="Arial" w:hAnsi="Arial" w:cs="Arial"/>
          <w:sz w:val="24"/>
          <w:szCs w:val="24"/>
          <w:lang w:val="en-ZA"/>
        </w:rPr>
        <w:t xml:space="preserve">In the circumstances, the concession by the Commission that the delay is long and the explanation is unsatisfactory, was correctly made. </w:t>
      </w:r>
      <w:r w:rsidR="002E200D" w:rsidRPr="00F669AB">
        <w:rPr>
          <w:rFonts w:ascii="Arial" w:hAnsi="Arial" w:cs="Arial"/>
          <w:sz w:val="24"/>
          <w:szCs w:val="24"/>
          <w:lang w:val="en-ZA"/>
        </w:rPr>
        <w:t>Accordingly, I find that the</w:t>
      </w:r>
      <w:r w:rsidR="00005E99" w:rsidRPr="00F669AB">
        <w:rPr>
          <w:rFonts w:ascii="Arial" w:hAnsi="Arial" w:cs="Arial"/>
          <w:sz w:val="24"/>
          <w:szCs w:val="24"/>
          <w:lang w:val="en-ZA"/>
        </w:rPr>
        <w:t xml:space="preserve"> delay was unreasonable.</w:t>
      </w:r>
    </w:p>
    <w:p w14:paraId="2B88B74A" w14:textId="77777777" w:rsidR="00734DFC" w:rsidRPr="00512F52" w:rsidRDefault="00734DFC" w:rsidP="00772102">
      <w:pPr>
        <w:pStyle w:val="ListParagraph"/>
        <w:spacing w:after="0" w:line="360" w:lineRule="auto"/>
        <w:jc w:val="both"/>
        <w:rPr>
          <w:rFonts w:ascii="Arial" w:hAnsi="Arial" w:cs="Arial"/>
          <w:lang w:val="en-ZA"/>
        </w:rPr>
      </w:pPr>
    </w:p>
    <w:p w14:paraId="7662DAEB" w14:textId="3F1BB362"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[23]</w:t>
      </w:r>
      <w:r w:rsidRPr="00512F52">
        <w:rPr>
          <w:rFonts w:ascii="Arial" w:hAnsi="Arial" w:cs="Arial"/>
          <w:sz w:val="24"/>
          <w:szCs w:val="24"/>
          <w:lang w:val="en-ZA"/>
        </w:rPr>
        <w:tab/>
      </w:r>
      <w:r w:rsidR="00005E99" w:rsidRPr="00F669AB">
        <w:rPr>
          <w:rFonts w:ascii="Arial" w:hAnsi="Arial" w:cs="Arial"/>
          <w:sz w:val="24"/>
          <w:szCs w:val="24"/>
          <w:lang w:val="en-ZA"/>
        </w:rPr>
        <w:t>The Constitutional Court held in</w:t>
      </w:r>
      <w:r w:rsidR="009C7FFD" w:rsidRPr="00F669AB">
        <w:rPr>
          <w:rFonts w:ascii="Arial" w:hAnsi="Arial" w:cs="Arial"/>
          <w:i/>
          <w:iCs/>
        </w:rPr>
        <w:t xml:space="preserve"> </w:t>
      </w:r>
      <w:r w:rsidR="009C7FFD" w:rsidRPr="00F669AB">
        <w:rPr>
          <w:rFonts w:ascii="Arial" w:hAnsi="Arial" w:cs="Arial"/>
          <w:i/>
          <w:iCs/>
          <w:sz w:val="24"/>
          <w:szCs w:val="24"/>
        </w:rPr>
        <w:t>Khumalo and Another v Member of the Executive Council for Education: KwaZulu-Natal</w:t>
      </w:r>
      <w:r w:rsidR="00005E99" w:rsidRPr="00512F52">
        <w:rPr>
          <w:rStyle w:val="FootnoteReference"/>
          <w:rFonts w:ascii="Arial" w:hAnsi="Arial" w:cs="Arial"/>
          <w:sz w:val="24"/>
          <w:szCs w:val="24"/>
          <w:lang w:val="en-ZA"/>
        </w:rPr>
        <w:footnoteReference w:id="10"/>
      </w:r>
      <w:r w:rsidR="00005E99" w:rsidRPr="00F669AB">
        <w:rPr>
          <w:rFonts w:ascii="Arial" w:hAnsi="Arial" w:cs="Arial"/>
          <w:sz w:val="24"/>
          <w:szCs w:val="24"/>
          <w:lang w:val="en-ZA"/>
        </w:rPr>
        <w:t xml:space="preserve"> that s 237 of the Constitution ‘acknowledges the significance of timeous compliance with constitutional prescripts. It elevates expeditious and diligent compliance </w:t>
      </w:r>
      <w:r w:rsidR="009C7FFD" w:rsidRPr="00F669AB">
        <w:rPr>
          <w:rFonts w:ascii="Arial" w:hAnsi="Arial" w:cs="Arial"/>
          <w:sz w:val="24"/>
          <w:szCs w:val="24"/>
          <w:lang w:val="en-ZA"/>
        </w:rPr>
        <w:t xml:space="preserve">with constitutional duties </w:t>
      </w:r>
      <w:r w:rsidR="00005E99" w:rsidRPr="00F669AB">
        <w:rPr>
          <w:rFonts w:ascii="Arial" w:hAnsi="Arial" w:cs="Arial"/>
          <w:sz w:val="24"/>
          <w:szCs w:val="24"/>
          <w:lang w:val="en-ZA"/>
        </w:rPr>
        <w:t>to an obligation in itself. The principle is thus a requirement of legalit</w:t>
      </w:r>
      <w:r w:rsidR="00DB3CF0" w:rsidRPr="00F669AB">
        <w:rPr>
          <w:rFonts w:ascii="Arial" w:hAnsi="Arial" w:cs="Arial"/>
          <w:sz w:val="24"/>
          <w:szCs w:val="24"/>
          <w:lang w:val="en-ZA"/>
        </w:rPr>
        <w:t>y’</w:t>
      </w:r>
      <w:r w:rsidR="009C7FFD" w:rsidRPr="00F669AB">
        <w:rPr>
          <w:rFonts w:ascii="Arial" w:hAnsi="Arial" w:cs="Arial"/>
          <w:sz w:val="24"/>
          <w:szCs w:val="24"/>
          <w:lang w:val="en-ZA"/>
        </w:rPr>
        <w:t>.</w:t>
      </w:r>
      <w:r w:rsidR="00323B1B" w:rsidRPr="00F669AB">
        <w:rPr>
          <w:rFonts w:ascii="Arial" w:hAnsi="Arial" w:cs="Arial"/>
          <w:sz w:val="24"/>
          <w:szCs w:val="24"/>
          <w:lang w:val="en-ZA"/>
        </w:rPr>
        <w:t xml:space="preserve"> </w:t>
      </w:r>
      <w:r w:rsidR="00005E99" w:rsidRPr="00F669AB">
        <w:rPr>
          <w:rFonts w:ascii="Arial" w:hAnsi="Arial" w:cs="Arial"/>
          <w:sz w:val="24"/>
          <w:szCs w:val="24"/>
          <w:lang w:val="en-ZA"/>
        </w:rPr>
        <w:t>The Electoral Court Rules place a premium on the importance of expeditious institution of reviews and this is reflected in Rule 6</w:t>
      </w:r>
      <w:r w:rsidR="009C7FFD" w:rsidRPr="00F669AB">
        <w:rPr>
          <w:rFonts w:ascii="Arial" w:hAnsi="Arial" w:cs="Arial"/>
          <w:sz w:val="24"/>
          <w:szCs w:val="24"/>
          <w:lang w:val="en-ZA"/>
        </w:rPr>
        <w:t>,</w:t>
      </w:r>
      <w:r w:rsidR="00005E99" w:rsidRPr="00F669AB">
        <w:rPr>
          <w:rFonts w:ascii="Arial" w:hAnsi="Arial" w:cs="Arial"/>
          <w:sz w:val="24"/>
          <w:szCs w:val="24"/>
          <w:lang w:val="en-ZA"/>
        </w:rPr>
        <w:t xml:space="preserve"> which stipulates that a party who wants to take the Electoral Commission on review must do so within three days after the decision has been made. The reason for this is that, in general, electoral matters are urgent and </w:t>
      </w:r>
      <w:r w:rsidR="009C7FFD" w:rsidRPr="00F669AB">
        <w:rPr>
          <w:rFonts w:ascii="Arial" w:hAnsi="Arial" w:cs="Arial"/>
          <w:sz w:val="24"/>
          <w:szCs w:val="24"/>
          <w:lang w:val="en-ZA"/>
        </w:rPr>
        <w:t>ought</w:t>
      </w:r>
      <w:r w:rsidR="00005E99" w:rsidRPr="00F669AB">
        <w:rPr>
          <w:rFonts w:ascii="Arial" w:hAnsi="Arial" w:cs="Arial"/>
          <w:sz w:val="24"/>
          <w:szCs w:val="24"/>
          <w:lang w:val="en-ZA"/>
        </w:rPr>
        <w:t xml:space="preserve"> to be finalised expeditiously.</w:t>
      </w:r>
    </w:p>
    <w:p w14:paraId="536BB37B" w14:textId="77777777" w:rsidR="00734DFC" w:rsidRPr="00512F52" w:rsidRDefault="00734DFC" w:rsidP="00772102">
      <w:pPr>
        <w:pStyle w:val="ListParagraph"/>
        <w:spacing w:after="0" w:line="360" w:lineRule="auto"/>
        <w:jc w:val="both"/>
        <w:rPr>
          <w:rFonts w:ascii="Arial" w:hAnsi="Arial" w:cs="Arial"/>
          <w:lang w:val="en-ZA"/>
        </w:rPr>
      </w:pPr>
    </w:p>
    <w:p w14:paraId="3862DDF2" w14:textId="492CADC1"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[24]</w:t>
      </w:r>
      <w:r w:rsidRPr="00512F52">
        <w:rPr>
          <w:rFonts w:ascii="Arial" w:hAnsi="Arial" w:cs="Arial"/>
          <w:sz w:val="24"/>
          <w:szCs w:val="24"/>
          <w:lang w:val="en-ZA"/>
        </w:rPr>
        <w:tab/>
      </w:r>
      <w:r w:rsidR="00005E99" w:rsidRPr="00F669AB">
        <w:rPr>
          <w:rFonts w:ascii="Arial" w:hAnsi="Arial" w:cs="Arial"/>
          <w:sz w:val="24"/>
          <w:szCs w:val="24"/>
          <w:lang w:val="en-ZA"/>
        </w:rPr>
        <w:t xml:space="preserve">The next question is whether this Court should nevertheless exercise its discretion to overlook the delay and entertain the application. Do the interests of justice require </w:t>
      </w:r>
      <w:r w:rsidR="009C7FFD" w:rsidRPr="00F669AB">
        <w:rPr>
          <w:rFonts w:ascii="Arial" w:hAnsi="Arial" w:cs="Arial"/>
          <w:sz w:val="24"/>
          <w:szCs w:val="24"/>
          <w:lang w:val="en-ZA"/>
        </w:rPr>
        <w:t xml:space="preserve">that </w:t>
      </w:r>
      <w:r w:rsidR="00005E99" w:rsidRPr="00F669AB">
        <w:rPr>
          <w:rFonts w:ascii="Arial" w:hAnsi="Arial" w:cs="Arial"/>
          <w:sz w:val="24"/>
          <w:szCs w:val="24"/>
          <w:lang w:val="en-ZA"/>
        </w:rPr>
        <w:t>this Court</w:t>
      </w:r>
      <w:r w:rsidR="000A261A" w:rsidRPr="00F669AB">
        <w:rPr>
          <w:rFonts w:ascii="Arial" w:hAnsi="Arial" w:cs="Arial"/>
          <w:sz w:val="24"/>
          <w:szCs w:val="24"/>
          <w:lang w:val="en-ZA"/>
        </w:rPr>
        <w:t xml:space="preserve"> to</w:t>
      </w:r>
      <w:r w:rsidR="00005E99" w:rsidRPr="00F669AB">
        <w:rPr>
          <w:rFonts w:ascii="Arial" w:hAnsi="Arial" w:cs="Arial"/>
          <w:sz w:val="24"/>
          <w:szCs w:val="24"/>
          <w:lang w:val="en-ZA"/>
        </w:rPr>
        <w:t xml:space="preserve"> overlook the unreasonable delay? In determining whether or not to overlook the unreasonable delay I have considered</w:t>
      </w:r>
      <w:r w:rsidR="009C7FFD" w:rsidRPr="00F669AB">
        <w:rPr>
          <w:rFonts w:ascii="Arial" w:hAnsi="Arial" w:cs="Arial"/>
          <w:sz w:val="24"/>
          <w:szCs w:val="24"/>
          <w:lang w:val="en-ZA"/>
        </w:rPr>
        <w:t>,</w:t>
      </w:r>
      <w:r w:rsidR="00005E99" w:rsidRPr="00F669AB">
        <w:rPr>
          <w:rFonts w:ascii="Arial" w:hAnsi="Arial" w:cs="Arial"/>
          <w:sz w:val="24"/>
          <w:szCs w:val="24"/>
          <w:lang w:val="en-ZA"/>
        </w:rPr>
        <w:t xml:space="preserve"> first, the inherent potential for the resultant prejudice if the impugned decision is set aside. What the Commission seeks in this matter is an order setting aside the</w:t>
      </w:r>
      <w:r w:rsidR="00E4273F" w:rsidRPr="00F669AB">
        <w:rPr>
          <w:rFonts w:ascii="Arial" w:hAnsi="Arial" w:cs="Arial"/>
          <w:sz w:val="24"/>
          <w:szCs w:val="24"/>
          <w:lang w:val="en-ZA"/>
        </w:rPr>
        <w:t xml:space="preserve"> election</w:t>
      </w:r>
      <w:r w:rsidR="00005E99" w:rsidRPr="00F669AB">
        <w:rPr>
          <w:rFonts w:ascii="Arial" w:hAnsi="Arial" w:cs="Arial"/>
          <w:sz w:val="24"/>
          <w:szCs w:val="24"/>
          <w:lang w:val="en-ZA"/>
        </w:rPr>
        <w:t xml:space="preserve"> of the three affected councillors, which, if granted, would mean that they will have to vacate their seats in the </w:t>
      </w:r>
      <w:r w:rsidR="007A3CA6" w:rsidRPr="00F669AB">
        <w:rPr>
          <w:rFonts w:ascii="Arial" w:hAnsi="Arial" w:cs="Arial"/>
          <w:sz w:val="24"/>
          <w:szCs w:val="24"/>
        </w:rPr>
        <w:t xml:space="preserve">King Cetshwayo </w:t>
      </w:r>
      <w:r w:rsidR="00005E99" w:rsidRPr="00F669AB">
        <w:rPr>
          <w:rFonts w:ascii="Arial" w:hAnsi="Arial" w:cs="Arial"/>
          <w:sz w:val="24"/>
          <w:szCs w:val="24"/>
          <w:lang w:val="en-ZA"/>
        </w:rPr>
        <w:t xml:space="preserve">District Council </w:t>
      </w:r>
      <w:r w:rsidR="00005E99" w:rsidRPr="00F669AB">
        <w:rPr>
          <w:rFonts w:ascii="Arial" w:hAnsi="Arial" w:cs="Arial"/>
          <w:sz w:val="24"/>
          <w:szCs w:val="24"/>
          <w:lang w:val="en-ZA"/>
        </w:rPr>
        <w:lastRenderedPageBreak/>
        <w:t xml:space="preserve">and return to </w:t>
      </w:r>
      <w:r w:rsidR="00F65076" w:rsidRPr="00F669AB">
        <w:rPr>
          <w:rFonts w:ascii="Arial" w:hAnsi="Arial" w:cs="Arial"/>
          <w:sz w:val="24"/>
          <w:szCs w:val="24"/>
          <w:lang w:val="en-ZA"/>
        </w:rPr>
        <w:t xml:space="preserve">the </w:t>
      </w:r>
      <w:r w:rsidR="00005E99" w:rsidRPr="00F669AB">
        <w:rPr>
          <w:rFonts w:ascii="Arial" w:hAnsi="Arial" w:cs="Arial"/>
          <w:sz w:val="24"/>
          <w:szCs w:val="24"/>
          <w:lang w:val="en-ZA"/>
        </w:rPr>
        <w:t>uMhlathuze Local Council</w:t>
      </w:r>
      <w:r w:rsidR="007A3CA6" w:rsidRPr="00F669AB">
        <w:rPr>
          <w:rFonts w:ascii="Arial" w:hAnsi="Arial" w:cs="Arial"/>
          <w:sz w:val="24"/>
          <w:szCs w:val="24"/>
          <w:lang w:val="en-ZA"/>
        </w:rPr>
        <w:t>,</w:t>
      </w:r>
      <w:r w:rsidR="00005E99" w:rsidRPr="00F669AB">
        <w:rPr>
          <w:rFonts w:ascii="Arial" w:hAnsi="Arial" w:cs="Arial"/>
          <w:sz w:val="24"/>
          <w:szCs w:val="24"/>
          <w:lang w:val="en-ZA"/>
        </w:rPr>
        <w:t xml:space="preserve"> </w:t>
      </w:r>
      <w:r w:rsidR="007A3CA6" w:rsidRPr="00F669AB">
        <w:rPr>
          <w:rFonts w:ascii="Arial" w:hAnsi="Arial" w:cs="Arial"/>
          <w:sz w:val="24"/>
          <w:szCs w:val="24"/>
          <w:lang w:val="en-ZA"/>
        </w:rPr>
        <w:t>from</w:t>
      </w:r>
      <w:r w:rsidR="00005E99" w:rsidRPr="00F669AB">
        <w:rPr>
          <w:rFonts w:ascii="Arial" w:hAnsi="Arial" w:cs="Arial"/>
          <w:sz w:val="24"/>
          <w:szCs w:val="24"/>
          <w:lang w:val="en-ZA"/>
        </w:rPr>
        <w:t xml:space="preserve"> which they were appointed</w:t>
      </w:r>
      <w:r w:rsidR="00FB7B65" w:rsidRPr="00F669AB">
        <w:rPr>
          <w:rFonts w:ascii="Arial" w:hAnsi="Arial" w:cs="Arial"/>
          <w:sz w:val="24"/>
          <w:szCs w:val="24"/>
          <w:lang w:val="en-ZA"/>
        </w:rPr>
        <w:t>. Further, the</w:t>
      </w:r>
      <w:r w:rsidR="00005E99" w:rsidRPr="00F669AB">
        <w:rPr>
          <w:rFonts w:ascii="Arial" w:hAnsi="Arial" w:cs="Arial"/>
          <w:sz w:val="24"/>
          <w:szCs w:val="24"/>
          <w:lang w:val="en-ZA"/>
        </w:rPr>
        <w:t xml:space="preserve"> </w:t>
      </w:r>
      <w:r w:rsidR="00FB7B65" w:rsidRPr="00F669AB">
        <w:rPr>
          <w:rFonts w:ascii="Arial" w:hAnsi="Arial" w:cs="Arial"/>
          <w:sz w:val="24"/>
          <w:szCs w:val="24"/>
        </w:rPr>
        <w:t xml:space="preserve">King Cetshwayo </w:t>
      </w:r>
      <w:r w:rsidR="00FB7B65" w:rsidRPr="00F669AB">
        <w:rPr>
          <w:rFonts w:ascii="Arial" w:hAnsi="Arial" w:cs="Arial"/>
          <w:sz w:val="24"/>
          <w:szCs w:val="24"/>
          <w:lang w:val="en-ZA"/>
        </w:rPr>
        <w:t xml:space="preserve">District Council, </w:t>
      </w:r>
      <w:r w:rsidR="00005E99" w:rsidRPr="00F669AB">
        <w:rPr>
          <w:rFonts w:ascii="Arial" w:hAnsi="Arial" w:cs="Arial"/>
          <w:sz w:val="24"/>
          <w:szCs w:val="24"/>
          <w:lang w:val="en-ZA"/>
        </w:rPr>
        <w:t>instead of having 10 seats, will have 7 seats and the three seats would remain unallocated.</w:t>
      </w:r>
    </w:p>
    <w:p w14:paraId="23777BB6" w14:textId="77777777" w:rsidR="00734DFC" w:rsidRPr="00512F52" w:rsidRDefault="00734DFC" w:rsidP="00772102">
      <w:pPr>
        <w:pStyle w:val="ListParagraph"/>
        <w:spacing w:after="0" w:line="360" w:lineRule="auto"/>
        <w:jc w:val="both"/>
        <w:rPr>
          <w:rFonts w:ascii="Arial" w:hAnsi="Arial" w:cs="Arial"/>
          <w:lang w:val="en-ZA"/>
        </w:rPr>
      </w:pPr>
    </w:p>
    <w:p w14:paraId="6B6873AC" w14:textId="5E0697A2"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[25]</w:t>
      </w:r>
      <w:r w:rsidRPr="00512F52">
        <w:rPr>
          <w:rFonts w:ascii="Arial" w:hAnsi="Arial" w:cs="Arial"/>
          <w:sz w:val="24"/>
          <w:szCs w:val="24"/>
          <w:lang w:val="en-ZA"/>
        </w:rPr>
        <w:tab/>
      </w:r>
      <w:r w:rsidR="00005E99" w:rsidRPr="00F669AB">
        <w:rPr>
          <w:rFonts w:ascii="Arial" w:hAnsi="Arial" w:cs="Arial"/>
          <w:sz w:val="24"/>
          <w:szCs w:val="24"/>
          <w:lang w:val="en-ZA"/>
        </w:rPr>
        <w:t xml:space="preserve">This will, however, not affect the ability of the </w:t>
      </w:r>
      <w:r w:rsidR="00FF4D18" w:rsidRPr="00F669AB">
        <w:rPr>
          <w:rFonts w:ascii="Arial" w:hAnsi="Arial" w:cs="Arial"/>
          <w:sz w:val="24"/>
          <w:szCs w:val="24"/>
        </w:rPr>
        <w:t xml:space="preserve">King Cetshwayo </w:t>
      </w:r>
      <w:r w:rsidR="00005E99" w:rsidRPr="00F669AB">
        <w:rPr>
          <w:rFonts w:ascii="Arial" w:hAnsi="Arial" w:cs="Arial"/>
          <w:sz w:val="24"/>
          <w:szCs w:val="24"/>
          <w:lang w:val="en-ZA"/>
        </w:rPr>
        <w:t xml:space="preserve">District Council to govern the local government affairs of its own community under s 151(3) and s 160 of the Constitution. It is correct that should the affected councillors be removed from the </w:t>
      </w:r>
      <w:r w:rsidR="00FF4D18" w:rsidRPr="00F669AB">
        <w:rPr>
          <w:rFonts w:ascii="Arial" w:hAnsi="Arial" w:cs="Arial"/>
          <w:sz w:val="24"/>
          <w:szCs w:val="24"/>
        </w:rPr>
        <w:t xml:space="preserve">King Cetshwayo </w:t>
      </w:r>
      <w:r w:rsidR="00005E99" w:rsidRPr="00F669AB">
        <w:rPr>
          <w:rFonts w:ascii="Arial" w:hAnsi="Arial" w:cs="Arial"/>
          <w:sz w:val="24"/>
          <w:szCs w:val="24"/>
          <w:lang w:val="en-ZA"/>
        </w:rPr>
        <w:t xml:space="preserve">District Council, they stand to lose their benefits which they enjoy as members of the </w:t>
      </w:r>
      <w:r w:rsidR="00FF4D18" w:rsidRPr="00F669AB">
        <w:rPr>
          <w:rFonts w:ascii="Arial" w:hAnsi="Arial" w:cs="Arial"/>
          <w:sz w:val="24"/>
          <w:szCs w:val="24"/>
        </w:rPr>
        <w:t xml:space="preserve">King Cetshwayo </w:t>
      </w:r>
      <w:r w:rsidR="00005E99" w:rsidRPr="00F669AB">
        <w:rPr>
          <w:rFonts w:ascii="Arial" w:hAnsi="Arial" w:cs="Arial"/>
          <w:sz w:val="24"/>
          <w:szCs w:val="24"/>
          <w:lang w:val="en-ZA"/>
        </w:rPr>
        <w:t>District Council. In order to avoid the adverse effect</w:t>
      </w:r>
      <w:r w:rsidR="00FF4D18" w:rsidRPr="00F669AB">
        <w:rPr>
          <w:rFonts w:ascii="Arial" w:hAnsi="Arial" w:cs="Arial"/>
          <w:sz w:val="24"/>
          <w:szCs w:val="24"/>
          <w:lang w:val="en-ZA"/>
        </w:rPr>
        <w:t xml:space="preserve"> that</w:t>
      </w:r>
      <w:r w:rsidR="00005E99" w:rsidRPr="00F669AB">
        <w:rPr>
          <w:rFonts w:ascii="Arial" w:hAnsi="Arial" w:cs="Arial"/>
          <w:sz w:val="24"/>
          <w:szCs w:val="24"/>
          <w:lang w:val="en-ZA"/>
        </w:rPr>
        <w:t xml:space="preserve"> t</w:t>
      </w:r>
      <w:r w:rsidR="00A50638" w:rsidRPr="00F669AB">
        <w:rPr>
          <w:rFonts w:ascii="Arial" w:hAnsi="Arial" w:cs="Arial"/>
          <w:sz w:val="24"/>
          <w:szCs w:val="24"/>
          <w:lang w:val="en-ZA"/>
        </w:rPr>
        <w:t>he declaration of invalidity</w:t>
      </w:r>
      <w:r w:rsidR="00005E99" w:rsidRPr="00F669AB">
        <w:rPr>
          <w:rFonts w:ascii="Arial" w:hAnsi="Arial" w:cs="Arial"/>
          <w:sz w:val="24"/>
          <w:szCs w:val="24"/>
          <w:lang w:val="en-ZA"/>
        </w:rPr>
        <w:t xml:space="preserve"> may have on the affected councillor</w:t>
      </w:r>
      <w:r w:rsidR="00A50638" w:rsidRPr="00F669AB">
        <w:rPr>
          <w:rFonts w:ascii="Arial" w:hAnsi="Arial" w:cs="Arial"/>
          <w:sz w:val="24"/>
          <w:szCs w:val="24"/>
          <w:lang w:val="en-ZA"/>
        </w:rPr>
        <w:t xml:space="preserve">s, the Commission requests the Court to declare that </w:t>
      </w:r>
      <w:r w:rsidR="00005E99" w:rsidRPr="00F669AB">
        <w:rPr>
          <w:rFonts w:ascii="Arial" w:hAnsi="Arial" w:cs="Arial"/>
          <w:sz w:val="24"/>
          <w:szCs w:val="24"/>
          <w:lang w:val="en-ZA"/>
        </w:rPr>
        <w:t xml:space="preserve">the setting aside </w:t>
      </w:r>
      <w:r w:rsidR="00FF4D18" w:rsidRPr="00F669AB">
        <w:rPr>
          <w:rFonts w:ascii="Arial" w:hAnsi="Arial" w:cs="Arial"/>
          <w:sz w:val="24"/>
          <w:szCs w:val="24"/>
          <w:lang w:val="en-ZA"/>
        </w:rPr>
        <w:t xml:space="preserve">of the </w:t>
      </w:r>
      <w:r w:rsidR="00005E99" w:rsidRPr="00F669AB">
        <w:rPr>
          <w:rFonts w:ascii="Arial" w:hAnsi="Arial" w:cs="Arial"/>
          <w:sz w:val="24"/>
          <w:szCs w:val="24"/>
          <w:lang w:val="en-ZA"/>
        </w:rPr>
        <w:t>decision should not have retrospective effect</w:t>
      </w:r>
      <w:r w:rsidR="00FF4D18" w:rsidRPr="00F669AB">
        <w:rPr>
          <w:rFonts w:ascii="Arial" w:hAnsi="Arial" w:cs="Arial"/>
          <w:sz w:val="24"/>
          <w:szCs w:val="24"/>
          <w:lang w:val="en-ZA"/>
        </w:rPr>
        <w:t>.</w:t>
      </w:r>
      <w:r w:rsidR="00FF4D18" w:rsidRPr="00512F52">
        <w:rPr>
          <w:rStyle w:val="FootnoteReference"/>
          <w:rFonts w:ascii="Arial" w:hAnsi="Arial" w:cs="Arial"/>
          <w:sz w:val="24"/>
          <w:szCs w:val="24"/>
          <w:lang w:val="en-ZA"/>
        </w:rPr>
        <w:footnoteReference w:id="11"/>
      </w:r>
      <w:r w:rsidR="00A50638" w:rsidRPr="00F669AB">
        <w:rPr>
          <w:rFonts w:ascii="Arial" w:hAnsi="Arial" w:cs="Arial"/>
          <w:i/>
          <w:sz w:val="24"/>
          <w:szCs w:val="24"/>
          <w:lang w:val="en-ZA"/>
        </w:rPr>
        <w:t xml:space="preserve"> </w:t>
      </w:r>
    </w:p>
    <w:p w14:paraId="3CADB3DE" w14:textId="77777777" w:rsidR="00734DFC" w:rsidRPr="00512F52" w:rsidRDefault="00734DFC" w:rsidP="00772102">
      <w:pPr>
        <w:pStyle w:val="ListParagraph"/>
        <w:spacing w:after="0" w:line="360" w:lineRule="auto"/>
        <w:jc w:val="both"/>
        <w:rPr>
          <w:rFonts w:ascii="Arial" w:hAnsi="Arial" w:cs="Arial"/>
          <w:lang w:val="en-ZA"/>
        </w:rPr>
      </w:pPr>
    </w:p>
    <w:p w14:paraId="75E6E8FF" w14:textId="4C28A18F"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[26]</w:t>
      </w:r>
      <w:r w:rsidRPr="00512F52">
        <w:rPr>
          <w:rFonts w:ascii="Arial" w:hAnsi="Arial" w:cs="Arial"/>
          <w:sz w:val="24"/>
          <w:szCs w:val="24"/>
          <w:lang w:val="en-ZA"/>
        </w:rPr>
        <w:tab/>
      </w:r>
      <w:r w:rsidR="00005E99" w:rsidRPr="00F669AB">
        <w:rPr>
          <w:rFonts w:ascii="Arial" w:hAnsi="Arial" w:cs="Arial"/>
          <w:sz w:val="24"/>
          <w:szCs w:val="24"/>
          <w:lang w:val="en-ZA"/>
        </w:rPr>
        <w:t>As regards the nature of the impugned decision, it must be borne in mind that the relief sought by the Commission is based on what it contends is the correct interpretation of item 20 of Schedule 2 to the Structures Act. The respondents reject the construction contended for by the Commission</w:t>
      </w:r>
      <w:r w:rsidR="003807FD" w:rsidRPr="00F669AB">
        <w:rPr>
          <w:rFonts w:ascii="Arial" w:hAnsi="Arial" w:cs="Arial"/>
          <w:sz w:val="24"/>
          <w:szCs w:val="24"/>
          <w:lang w:val="en-ZA"/>
        </w:rPr>
        <w:t>.</w:t>
      </w:r>
      <w:r w:rsidR="00005E99" w:rsidRPr="00F669AB">
        <w:rPr>
          <w:rFonts w:ascii="Arial" w:hAnsi="Arial" w:cs="Arial"/>
          <w:sz w:val="24"/>
          <w:szCs w:val="24"/>
          <w:lang w:val="en-ZA"/>
        </w:rPr>
        <w:t xml:space="preserve"> </w:t>
      </w:r>
      <w:r w:rsidR="003807FD" w:rsidRPr="00F669AB">
        <w:rPr>
          <w:rFonts w:ascii="Arial" w:hAnsi="Arial" w:cs="Arial"/>
          <w:sz w:val="24"/>
          <w:szCs w:val="24"/>
          <w:lang w:val="en-ZA"/>
        </w:rPr>
        <w:t>T</w:t>
      </w:r>
      <w:r w:rsidR="00005E99" w:rsidRPr="00F669AB">
        <w:rPr>
          <w:rFonts w:ascii="Arial" w:hAnsi="Arial" w:cs="Arial"/>
          <w:sz w:val="24"/>
          <w:szCs w:val="24"/>
          <w:lang w:val="en-ZA"/>
        </w:rPr>
        <w:t>hey contend that, properly interpreted, item 20 allows the Commission to allocate all the seats even if one of the political parties decide to walk out of the meeting where the appointment of representatives of the Local Municipality to the District Municipality is to be made.</w:t>
      </w:r>
    </w:p>
    <w:p w14:paraId="4202384F" w14:textId="77777777" w:rsidR="00734DFC" w:rsidRPr="00512F52" w:rsidRDefault="00734DFC" w:rsidP="00772102">
      <w:pPr>
        <w:pStyle w:val="ListParagraph"/>
        <w:spacing w:after="0" w:line="360" w:lineRule="auto"/>
        <w:jc w:val="both"/>
        <w:rPr>
          <w:rFonts w:ascii="Arial" w:hAnsi="Arial" w:cs="Arial"/>
          <w:lang w:val="en-ZA"/>
        </w:rPr>
      </w:pPr>
    </w:p>
    <w:p w14:paraId="3BB5E08A" w14:textId="1823AE11"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[27]</w:t>
      </w:r>
      <w:r w:rsidRPr="00512F52">
        <w:rPr>
          <w:rFonts w:ascii="Arial" w:hAnsi="Arial" w:cs="Arial"/>
          <w:sz w:val="24"/>
          <w:szCs w:val="24"/>
          <w:lang w:val="en-ZA"/>
        </w:rPr>
        <w:tab/>
      </w:r>
      <w:r w:rsidR="00005E99" w:rsidRPr="00F669AB">
        <w:rPr>
          <w:rFonts w:ascii="Arial" w:hAnsi="Arial" w:cs="Arial"/>
          <w:sz w:val="24"/>
          <w:szCs w:val="24"/>
          <w:lang w:val="en-ZA"/>
        </w:rPr>
        <w:t>The matter raises an important issue of law concerning the interpretation of item 20. It is apparent from the parties’ arguments that they interpret item 20 differently and it is important that this controversy should be put to bed</w:t>
      </w:r>
      <w:r w:rsidR="00FE127E" w:rsidRPr="00F669AB">
        <w:rPr>
          <w:rFonts w:ascii="Arial" w:hAnsi="Arial" w:cs="Arial"/>
          <w:sz w:val="24"/>
          <w:szCs w:val="24"/>
          <w:lang w:val="en-ZA"/>
        </w:rPr>
        <w:t>,</w:t>
      </w:r>
      <w:r w:rsidR="00005E99" w:rsidRPr="00F669AB">
        <w:rPr>
          <w:rFonts w:ascii="Arial" w:hAnsi="Arial" w:cs="Arial"/>
          <w:sz w:val="24"/>
          <w:szCs w:val="24"/>
          <w:lang w:val="en-ZA"/>
        </w:rPr>
        <w:t xml:space="preserve"> as it is likely to occur in the future. If the Commission’s proposed interpretation is correct</w:t>
      </w:r>
      <w:r w:rsidR="00FE127E" w:rsidRPr="00F669AB">
        <w:rPr>
          <w:rFonts w:ascii="Arial" w:hAnsi="Arial" w:cs="Arial"/>
          <w:sz w:val="24"/>
          <w:szCs w:val="24"/>
          <w:lang w:val="en-ZA"/>
        </w:rPr>
        <w:t>,</w:t>
      </w:r>
      <w:r w:rsidR="00005E99" w:rsidRPr="00F669AB">
        <w:rPr>
          <w:rFonts w:ascii="Arial" w:hAnsi="Arial" w:cs="Arial"/>
          <w:sz w:val="24"/>
          <w:szCs w:val="24"/>
          <w:lang w:val="en-ZA"/>
        </w:rPr>
        <w:t xml:space="preserve"> then it means that the election of the three councillors was unlawful and this Court is enjoined by s 172(1)</w:t>
      </w:r>
      <w:r w:rsidR="00005E99" w:rsidRPr="00F669AB">
        <w:rPr>
          <w:rFonts w:ascii="Arial" w:hAnsi="Arial" w:cs="Arial"/>
          <w:i/>
          <w:sz w:val="24"/>
          <w:szCs w:val="24"/>
          <w:lang w:val="en-ZA"/>
        </w:rPr>
        <w:t>(a)</w:t>
      </w:r>
      <w:r w:rsidR="00005E99" w:rsidRPr="00F669AB">
        <w:rPr>
          <w:rFonts w:ascii="Arial" w:hAnsi="Arial" w:cs="Arial"/>
          <w:sz w:val="24"/>
          <w:szCs w:val="24"/>
          <w:lang w:val="en-ZA"/>
        </w:rPr>
        <w:t xml:space="preserve"> of the Constitution to declare their election invalid. The delay has not enhanced the prejudice to the three councillors; instead</w:t>
      </w:r>
      <w:r w:rsidR="00FE127E" w:rsidRPr="00F669AB">
        <w:rPr>
          <w:rFonts w:ascii="Arial" w:hAnsi="Arial" w:cs="Arial"/>
          <w:sz w:val="24"/>
          <w:szCs w:val="24"/>
          <w:lang w:val="en-ZA"/>
        </w:rPr>
        <w:t>,</w:t>
      </w:r>
      <w:r w:rsidR="00005E99" w:rsidRPr="00F669AB">
        <w:rPr>
          <w:rFonts w:ascii="Arial" w:hAnsi="Arial" w:cs="Arial"/>
          <w:sz w:val="24"/>
          <w:szCs w:val="24"/>
          <w:lang w:val="en-ZA"/>
        </w:rPr>
        <w:t xml:space="preserve"> they have benefitted from the mistake. The </w:t>
      </w:r>
      <w:r w:rsidR="00FE127E" w:rsidRPr="00F669AB">
        <w:rPr>
          <w:rFonts w:ascii="Arial" w:hAnsi="Arial" w:cs="Arial"/>
          <w:sz w:val="24"/>
          <w:szCs w:val="24"/>
          <w:lang w:val="en-ZA"/>
        </w:rPr>
        <w:t xml:space="preserve">uMhlathuze </w:t>
      </w:r>
      <w:r w:rsidR="00005E99" w:rsidRPr="00F669AB">
        <w:rPr>
          <w:rFonts w:ascii="Arial" w:hAnsi="Arial" w:cs="Arial"/>
          <w:sz w:val="24"/>
          <w:szCs w:val="24"/>
          <w:lang w:val="en-ZA"/>
        </w:rPr>
        <w:t xml:space="preserve">Local Council has also not been prejudiced by the delay. It has enjoyed more </w:t>
      </w:r>
      <w:r w:rsidR="00005E99" w:rsidRPr="00F669AB">
        <w:rPr>
          <w:rFonts w:ascii="Arial" w:hAnsi="Arial" w:cs="Arial"/>
          <w:sz w:val="24"/>
          <w:szCs w:val="24"/>
          <w:lang w:val="en-ZA"/>
        </w:rPr>
        <w:lastRenderedPageBreak/>
        <w:t xml:space="preserve">representation on the </w:t>
      </w:r>
      <w:r w:rsidR="00FE127E" w:rsidRPr="00F669AB">
        <w:rPr>
          <w:rFonts w:ascii="Arial" w:hAnsi="Arial" w:cs="Arial"/>
          <w:sz w:val="24"/>
          <w:szCs w:val="24"/>
        </w:rPr>
        <w:t xml:space="preserve">King Cetshwayo </w:t>
      </w:r>
      <w:r w:rsidR="00005E99" w:rsidRPr="00F669AB">
        <w:rPr>
          <w:rFonts w:ascii="Arial" w:hAnsi="Arial" w:cs="Arial"/>
          <w:sz w:val="24"/>
          <w:szCs w:val="24"/>
          <w:lang w:val="en-ZA"/>
        </w:rPr>
        <w:t xml:space="preserve">District Council than it </w:t>
      </w:r>
      <w:r w:rsidR="00FE127E" w:rsidRPr="00F669AB">
        <w:rPr>
          <w:rFonts w:ascii="Arial" w:hAnsi="Arial" w:cs="Arial"/>
          <w:sz w:val="24"/>
          <w:szCs w:val="24"/>
          <w:lang w:val="en-ZA"/>
        </w:rPr>
        <w:t xml:space="preserve">would </w:t>
      </w:r>
      <w:r w:rsidR="00005E99" w:rsidRPr="00F669AB">
        <w:rPr>
          <w:rFonts w:ascii="Arial" w:hAnsi="Arial" w:cs="Arial"/>
          <w:sz w:val="24"/>
          <w:szCs w:val="24"/>
          <w:lang w:val="en-ZA"/>
        </w:rPr>
        <w:t>have</w:t>
      </w:r>
      <w:r w:rsidR="00FE127E" w:rsidRPr="00F669AB">
        <w:rPr>
          <w:rFonts w:ascii="Arial" w:hAnsi="Arial" w:cs="Arial"/>
          <w:sz w:val="24"/>
          <w:szCs w:val="24"/>
          <w:lang w:val="en-ZA"/>
        </w:rPr>
        <w:t xml:space="preserve"> but for the election decision</w:t>
      </w:r>
      <w:r w:rsidR="00005E99" w:rsidRPr="00F669AB">
        <w:rPr>
          <w:rFonts w:ascii="Arial" w:hAnsi="Arial" w:cs="Arial"/>
          <w:sz w:val="24"/>
          <w:szCs w:val="24"/>
          <w:lang w:val="en-ZA"/>
        </w:rPr>
        <w:t xml:space="preserve">. </w:t>
      </w:r>
      <w:r w:rsidR="00FE127E" w:rsidRPr="00F669AB">
        <w:rPr>
          <w:rFonts w:ascii="Arial" w:hAnsi="Arial" w:cs="Arial"/>
          <w:sz w:val="24"/>
          <w:szCs w:val="24"/>
          <w:lang w:val="en-ZA"/>
        </w:rPr>
        <w:t>Furthermore, t</w:t>
      </w:r>
      <w:r w:rsidR="00005E99" w:rsidRPr="00F669AB">
        <w:rPr>
          <w:rFonts w:ascii="Arial" w:hAnsi="Arial" w:cs="Arial"/>
          <w:sz w:val="24"/>
          <w:szCs w:val="24"/>
          <w:lang w:val="en-ZA"/>
        </w:rPr>
        <w:t xml:space="preserve">his is not a case where the delay may weaken the Court’s ability to fully ventilate the issues arising from the loss of evidence and the key witnesses becoming unavailable. All the facts on which to make a decision are still available. </w:t>
      </w:r>
      <w:r w:rsidR="00FE127E" w:rsidRPr="00F669AB">
        <w:rPr>
          <w:rFonts w:ascii="Arial" w:hAnsi="Arial" w:cs="Arial"/>
          <w:sz w:val="24"/>
          <w:szCs w:val="24"/>
          <w:lang w:val="en-ZA"/>
        </w:rPr>
        <w:t>I am of the view that, i</w:t>
      </w:r>
      <w:r w:rsidR="00005E99" w:rsidRPr="00F669AB">
        <w:rPr>
          <w:rFonts w:ascii="Arial" w:hAnsi="Arial" w:cs="Arial"/>
          <w:sz w:val="24"/>
          <w:szCs w:val="24"/>
          <w:lang w:val="en-ZA"/>
        </w:rPr>
        <w:t>n the interest of legal certainty, the merits of the application including the interpretation of item 20 should be considered.</w:t>
      </w:r>
    </w:p>
    <w:p w14:paraId="18C94F60" w14:textId="77777777" w:rsidR="00734DFC" w:rsidRPr="00512F52" w:rsidRDefault="00734DFC" w:rsidP="00772102">
      <w:pPr>
        <w:pStyle w:val="ListParagraph"/>
        <w:spacing w:after="0" w:line="360" w:lineRule="auto"/>
        <w:ind w:left="0"/>
        <w:jc w:val="both"/>
        <w:rPr>
          <w:rFonts w:ascii="Arial" w:hAnsi="Arial" w:cs="Arial"/>
          <w:lang w:val="en-ZA"/>
        </w:rPr>
      </w:pPr>
    </w:p>
    <w:p w14:paraId="361BC9B6" w14:textId="0A46E6B2" w:rsidR="00005E99" w:rsidRPr="00F669AB" w:rsidRDefault="00F669AB" w:rsidP="00F669AB">
      <w:pPr>
        <w:spacing w:after="0" w:line="360" w:lineRule="auto"/>
        <w:jc w:val="both"/>
        <w:rPr>
          <w:rFonts w:ascii="Arial" w:hAnsi="Arial" w:cs="Arial"/>
          <w:lang w:val="en-ZA"/>
        </w:rPr>
      </w:pPr>
      <w:r w:rsidRPr="00512F52">
        <w:rPr>
          <w:rFonts w:ascii="Arial" w:hAnsi="Arial" w:cs="Arial"/>
          <w:sz w:val="24"/>
          <w:szCs w:val="24"/>
          <w:lang w:val="en-ZA"/>
        </w:rPr>
        <w:t>[28]</w:t>
      </w:r>
      <w:r w:rsidRPr="00512F52">
        <w:rPr>
          <w:rFonts w:ascii="Arial" w:hAnsi="Arial" w:cs="Arial"/>
          <w:sz w:val="24"/>
          <w:szCs w:val="24"/>
          <w:lang w:val="en-ZA"/>
        </w:rPr>
        <w:tab/>
      </w:r>
      <w:r w:rsidR="00005E99" w:rsidRPr="00F669AB">
        <w:rPr>
          <w:rFonts w:ascii="Arial" w:hAnsi="Arial" w:cs="Arial"/>
          <w:sz w:val="24"/>
          <w:szCs w:val="24"/>
          <w:lang w:val="en-ZA"/>
        </w:rPr>
        <w:t>In conclusion</w:t>
      </w:r>
      <w:r w:rsidR="00FE127E" w:rsidRPr="00F669AB">
        <w:rPr>
          <w:rFonts w:ascii="Arial" w:hAnsi="Arial" w:cs="Arial"/>
          <w:sz w:val="24"/>
          <w:szCs w:val="24"/>
          <w:lang w:val="en-ZA"/>
        </w:rPr>
        <w:t>,</w:t>
      </w:r>
      <w:r w:rsidR="00005E99" w:rsidRPr="00F669AB">
        <w:rPr>
          <w:rFonts w:ascii="Arial" w:hAnsi="Arial" w:cs="Arial"/>
          <w:sz w:val="24"/>
          <w:szCs w:val="24"/>
          <w:lang w:val="en-ZA"/>
        </w:rPr>
        <w:t xml:space="preserve"> I hold therefore that the Commission’s unreasonable delay should be overlooked and that the merits of the decision be considered. This then leads me to the merits of the application</w:t>
      </w:r>
      <w:r w:rsidR="003807FD" w:rsidRPr="00F669AB">
        <w:rPr>
          <w:rFonts w:ascii="Arial" w:hAnsi="Arial" w:cs="Arial"/>
          <w:sz w:val="24"/>
          <w:szCs w:val="24"/>
          <w:lang w:val="en-ZA"/>
        </w:rPr>
        <w:t xml:space="preserve"> and how item 20 should be interpreted</w:t>
      </w:r>
      <w:r w:rsidR="00005E99" w:rsidRPr="00F669AB">
        <w:rPr>
          <w:rFonts w:ascii="Arial" w:hAnsi="Arial" w:cs="Arial"/>
          <w:sz w:val="24"/>
          <w:szCs w:val="24"/>
          <w:lang w:val="en-ZA"/>
        </w:rPr>
        <w:t>.</w:t>
      </w:r>
    </w:p>
    <w:p w14:paraId="6FFE8602" w14:textId="77777777" w:rsidR="00005E99" w:rsidRPr="00512F52" w:rsidRDefault="00005E99" w:rsidP="00772102">
      <w:pPr>
        <w:spacing w:after="0" w:line="360" w:lineRule="auto"/>
        <w:jc w:val="both"/>
        <w:rPr>
          <w:rFonts w:ascii="Arial" w:hAnsi="Arial" w:cs="Arial"/>
          <w:sz w:val="24"/>
          <w:szCs w:val="24"/>
        </w:rPr>
      </w:pPr>
    </w:p>
    <w:p w14:paraId="7D8C5E83" w14:textId="123E0153" w:rsidR="00374EAB" w:rsidRPr="00512F52" w:rsidRDefault="00E5267C" w:rsidP="00772102">
      <w:pPr>
        <w:spacing w:after="0" w:line="360" w:lineRule="auto"/>
        <w:jc w:val="both"/>
        <w:rPr>
          <w:rFonts w:ascii="Arial" w:hAnsi="Arial" w:cs="Arial"/>
          <w:b/>
          <w:sz w:val="24"/>
          <w:szCs w:val="24"/>
        </w:rPr>
      </w:pPr>
      <w:r w:rsidRPr="00512F52">
        <w:rPr>
          <w:rFonts w:ascii="Arial" w:hAnsi="Arial" w:cs="Arial"/>
          <w:b/>
          <w:sz w:val="24"/>
          <w:szCs w:val="24"/>
        </w:rPr>
        <w:t>Factual matrix</w:t>
      </w:r>
      <w:r w:rsidR="00374EAB" w:rsidRPr="00512F52">
        <w:rPr>
          <w:rFonts w:ascii="Arial" w:hAnsi="Arial" w:cs="Arial"/>
          <w:b/>
          <w:sz w:val="24"/>
          <w:szCs w:val="24"/>
        </w:rPr>
        <w:t xml:space="preserve"> </w:t>
      </w:r>
    </w:p>
    <w:p w14:paraId="5789B18B" w14:textId="60D6FD39" w:rsidR="00173EC8"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[29]</w:t>
      </w:r>
      <w:r w:rsidRPr="00512F52">
        <w:rPr>
          <w:rFonts w:ascii="Arial" w:hAnsi="Arial" w:cs="Arial"/>
          <w:sz w:val="24"/>
          <w:szCs w:val="24"/>
        </w:rPr>
        <w:tab/>
      </w:r>
      <w:r w:rsidR="00FE7D3F" w:rsidRPr="00F669AB">
        <w:rPr>
          <w:rFonts w:ascii="Arial" w:eastAsia="Verdana" w:hAnsi="Arial" w:cs="Arial"/>
          <w:spacing w:val="9"/>
          <w:sz w:val="24"/>
          <w:szCs w:val="24"/>
        </w:rPr>
        <w:t>Befor</w:t>
      </w:r>
      <w:r w:rsidR="00FE7D3F" w:rsidRPr="00F669AB">
        <w:rPr>
          <w:rFonts w:ascii="Arial" w:eastAsia="Verdana" w:hAnsi="Arial" w:cs="Arial"/>
          <w:sz w:val="24"/>
          <w:szCs w:val="24"/>
        </w:rPr>
        <w:t>e</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9"/>
          <w:sz w:val="24"/>
          <w:szCs w:val="24"/>
        </w:rPr>
        <w:t>t</w:t>
      </w:r>
      <w:r w:rsidR="00FE7D3F" w:rsidRPr="00F669AB">
        <w:rPr>
          <w:rFonts w:ascii="Arial" w:eastAsia="Verdana" w:hAnsi="Arial" w:cs="Arial"/>
          <w:spacing w:val="10"/>
          <w:sz w:val="24"/>
          <w:szCs w:val="24"/>
        </w:rPr>
        <w:t>u</w:t>
      </w:r>
      <w:r w:rsidR="00FE7D3F" w:rsidRPr="00F669AB">
        <w:rPr>
          <w:rFonts w:ascii="Arial" w:eastAsia="Verdana" w:hAnsi="Arial" w:cs="Arial"/>
          <w:spacing w:val="9"/>
          <w:sz w:val="24"/>
          <w:szCs w:val="24"/>
        </w:rPr>
        <w:t>rnin</w:t>
      </w:r>
      <w:r w:rsidR="00FE7D3F" w:rsidRPr="00F669AB">
        <w:rPr>
          <w:rFonts w:ascii="Arial" w:eastAsia="Verdana" w:hAnsi="Arial" w:cs="Arial"/>
          <w:sz w:val="24"/>
          <w:szCs w:val="24"/>
        </w:rPr>
        <w:t>g</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9"/>
          <w:sz w:val="24"/>
          <w:szCs w:val="24"/>
        </w:rPr>
        <w:t>t</w:t>
      </w:r>
      <w:r w:rsidR="00FE7D3F" w:rsidRPr="00F669AB">
        <w:rPr>
          <w:rFonts w:ascii="Arial" w:eastAsia="Verdana" w:hAnsi="Arial" w:cs="Arial"/>
          <w:sz w:val="24"/>
          <w:szCs w:val="24"/>
        </w:rPr>
        <w:t>o</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9"/>
          <w:sz w:val="24"/>
          <w:szCs w:val="24"/>
        </w:rPr>
        <w:t>th</w:t>
      </w:r>
      <w:r w:rsidR="00FE7D3F" w:rsidRPr="00F669AB">
        <w:rPr>
          <w:rFonts w:ascii="Arial" w:eastAsia="Verdana" w:hAnsi="Arial" w:cs="Arial"/>
          <w:sz w:val="24"/>
          <w:szCs w:val="24"/>
        </w:rPr>
        <w:t>e</w:t>
      </w:r>
      <w:r w:rsidR="00FE7D3F" w:rsidRPr="00F669AB">
        <w:rPr>
          <w:rFonts w:ascii="Arial" w:eastAsia="Verdana" w:hAnsi="Arial" w:cs="Arial"/>
          <w:spacing w:val="19"/>
          <w:sz w:val="24"/>
          <w:szCs w:val="24"/>
        </w:rPr>
        <w:t xml:space="preserve"> </w:t>
      </w:r>
      <w:r w:rsidR="00FE7D3F" w:rsidRPr="00F669AB">
        <w:rPr>
          <w:rFonts w:ascii="Arial" w:eastAsia="Verdana" w:hAnsi="Arial" w:cs="Arial"/>
          <w:spacing w:val="9"/>
          <w:sz w:val="24"/>
          <w:szCs w:val="24"/>
        </w:rPr>
        <w:t>interpretatio</w:t>
      </w:r>
      <w:r w:rsidR="00FE7D3F" w:rsidRPr="00F669AB">
        <w:rPr>
          <w:rFonts w:ascii="Arial" w:eastAsia="Verdana" w:hAnsi="Arial" w:cs="Arial"/>
          <w:sz w:val="24"/>
          <w:szCs w:val="24"/>
        </w:rPr>
        <w:t>n</w:t>
      </w:r>
      <w:r w:rsidR="00FE7D3F" w:rsidRPr="00F669AB">
        <w:rPr>
          <w:rFonts w:ascii="Arial" w:eastAsia="Verdana" w:hAnsi="Arial" w:cs="Arial"/>
          <w:spacing w:val="19"/>
          <w:sz w:val="24"/>
          <w:szCs w:val="24"/>
        </w:rPr>
        <w:t xml:space="preserve"> </w:t>
      </w:r>
      <w:r w:rsidR="00FE7D3F" w:rsidRPr="00F669AB">
        <w:rPr>
          <w:rFonts w:ascii="Arial" w:eastAsia="Verdana" w:hAnsi="Arial" w:cs="Arial"/>
          <w:spacing w:val="9"/>
          <w:sz w:val="24"/>
          <w:szCs w:val="24"/>
        </w:rPr>
        <w:t>an</w:t>
      </w:r>
      <w:r w:rsidR="00FE7D3F" w:rsidRPr="00F669AB">
        <w:rPr>
          <w:rFonts w:ascii="Arial" w:eastAsia="Verdana" w:hAnsi="Arial" w:cs="Arial"/>
          <w:sz w:val="24"/>
          <w:szCs w:val="24"/>
        </w:rPr>
        <w:t>d</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9"/>
          <w:sz w:val="24"/>
          <w:szCs w:val="24"/>
        </w:rPr>
        <w:t>applicatio</w:t>
      </w:r>
      <w:r w:rsidR="00FE7D3F" w:rsidRPr="00F669AB">
        <w:rPr>
          <w:rFonts w:ascii="Arial" w:eastAsia="Verdana" w:hAnsi="Arial" w:cs="Arial"/>
          <w:sz w:val="24"/>
          <w:szCs w:val="24"/>
        </w:rPr>
        <w:t>n</w:t>
      </w:r>
      <w:r w:rsidR="00FE7D3F" w:rsidRPr="00F669AB">
        <w:rPr>
          <w:rFonts w:ascii="Arial" w:eastAsia="Verdana" w:hAnsi="Arial" w:cs="Arial"/>
          <w:spacing w:val="19"/>
          <w:sz w:val="24"/>
          <w:szCs w:val="24"/>
        </w:rPr>
        <w:t xml:space="preserve"> </w:t>
      </w:r>
      <w:r w:rsidR="00FE7D3F" w:rsidRPr="00F669AB">
        <w:rPr>
          <w:rFonts w:ascii="Arial" w:eastAsia="Verdana" w:hAnsi="Arial" w:cs="Arial"/>
          <w:spacing w:val="9"/>
          <w:sz w:val="24"/>
          <w:szCs w:val="24"/>
        </w:rPr>
        <w:t>o</w:t>
      </w:r>
      <w:r w:rsidR="00FE7D3F" w:rsidRPr="00F669AB">
        <w:rPr>
          <w:rFonts w:ascii="Arial" w:eastAsia="Verdana" w:hAnsi="Arial" w:cs="Arial"/>
          <w:sz w:val="24"/>
          <w:szCs w:val="24"/>
        </w:rPr>
        <w:t>f</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9"/>
          <w:sz w:val="24"/>
          <w:szCs w:val="24"/>
        </w:rPr>
        <w:t>th</w:t>
      </w:r>
      <w:r w:rsidR="00FE7D3F" w:rsidRPr="00F669AB">
        <w:rPr>
          <w:rFonts w:ascii="Arial" w:eastAsia="Verdana" w:hAnsi="Arial" w:cs="Arial"/>
          <w:sz w:val="24"/>
          <w:szCs w:val="24"/>
        </w:rPr>
        <w:t>e</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10"/>
          <w:sz w:val="24"/>
          <w:szCs w:val="24"/>
        </w:rPr>
        <w:t>p</w:t>
      </w:r>
      <w:r w:rsidR="00FE7D3F" w:rsidRPr="00F669AB">
        <w:rPr>
          <w:rFonts w:ascii="Arial" w:eastAsia="Verdana" w:hAnsi="Arial" w:cs="Arial"/>
          <w:spacing w:val="9"/>
          <w:sz w:val="24"/>
          <w:szCs w:val="24"/>
        </w:rPr>
        <w:t>ertinen</w:t>
      </w:r>
      <w:r w:rsidR="00FE7D3F" w:rsidRPr="00F669AB">
        <w:rPr>
          <w:rFonts w:ascii="Arial" w:eastAsia="Verdana" w:hAnsi="Arial" w:cs="Arial"/>
          <w:sz w:val="24"/>
          <w:szCs w:val="24"/>
        </w:rPr>
        <w:t>t</w:t>
      </w:r>
      <w:r w:rsidR="00FE7D3F" w:rsidRPr="00F669AB">
        <w:rPr>
          <w:rFonts w:ascii="Arial" w:eastAsia="Verdana" w:hAnsi="Arial" w:cs="Arial"/>
          <w:spacing w:val="18"/>
          <w:sz w:val="24"/>
          <w:szCs w:val="24"/>
        </w:rPr>
        <w:t xml:space="preserve"> </w:t>
      </w:r>
      <w:r w:rsidR="00FE7D3F" w:rsidRPr="00F669AB">
        <w:rPr>
          <w:rFonts w:ascii="Arial" w:eastAsia="Verdana" w:hAnsi="Arial" w:cs="Arial"/>
          <w:spacing w:val="9"/>
          <w:sz w:val="24"/>
          <w:szCs w:val="24"/>
        </w:rPr>
        <w:t>statutor</w:t>
      </w:r>
      <w:r w:rsidR="00FE7D3F" w:rsidRPr="00F669AB">
        <w:rPr>
          <w:rFonts w:ascii="Arial" w:eastAsia="Verdana" w:hAnsi="Arial" w:cs="Arial"/>
          <w:sz w:val="24"/>
          <w:szCs w:val="24"/>
        </w:rPr>
        <w:t>y</w:t>
      </w:r>
      <w:r w:rsidR="00FE7D3F" w:rsidRPr="00F669AB">
        <w:rPr>
          <w:rFonts w:ascii="Arial" w:eastAsia="Verdana" w:hAnsi="Arial" w:cs="Arial"/>
          <w:spacing w:val="19"/>
          <w:sz w:val="24"/>
          <w:szCs w:val="24"/>
        </w:rPr>
        <w:t xml:space="preserve"> </w:t>
      </w:r>
      <w:r w:rsidR="00FE7D3F" w:rsidRPr="00F669AB">
        <w:rPr>
          <w:rFonts w:ascii="Arial" w:eastAsia="Verdana" w:hAnsi="Arial" w:cs="Arial"/>
          <w:spacing w:val="9"/>
          <w:sz w:val="24"/>
          <w:szCs w:val="24"/>
        </w:rPr>
        <w:t>provision</w:t>
      </w:r>
      <w:r w:rsidR="00FE7D3F" w:rsidRPr="00F669AB">
        <w:rPr>
          <w:rFonts w:ascii="Arial" w:eastAsia="Verdana" w:hAnsi="Arial" w:cs="Arial"/>
          <w:sz w:val="24"/>
          <w:szCs w:val="24"/>
        </w:rPr>
        <w:t>s,</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4"/>
          <w:sz w:val="24"/>
          <w:szCs w:val="24"/>
        </w:rPr>
        <w:t>i</w:t>
      </w:r>
      <w:r w:rsidR="00FE7D3F" w:rsidRPr="00F669AB">
        <w:rPr>
          <w:rFonts w:ascii="Arial" w:eastAsia="Verdana" w:hAnsi="Arial" w:cs="Arial"/>
          <w:sz w:val="24"/>
          <w:szCs w:val="24"/>
        </w:rPr>
        <w:t>t</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4"/>
          <w:sz w:val="24"/>
          <w:szCs w:val="24"/>
        </w:rPr>
        <w:t>i</w:t>
      </w:r>
      <w:r w:rsidR="00FE7D3F" w:rsidRPr="00F669AB">
        <w:rPr>
          <w:rFonts w:ascii="Arial" w:eastAsia="Verdana" w:hAnsi="Arial" w:cs="Arial"/>
          <w:sz w:val="24"/>
          <w:szCs w:val="24"/>
        </w:rPr>
        <w:t>s</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4"/>
          <w:sz w:val="24"/>
          <w:szCs w:val="24"/>
        </w:rPr>
        <w:t>n</w:t>
      </w:r>
      <w:r w:rsidR="00FE7D3F" w:rsidRPr="00F669AB">
        <w:rPr>
          <w:rFonts w:ascii="Arial" w:eastAsia="Verdana" w:hAnsi="Arial" w:cs="Arial"/>
          <w:spacing w:val="3"/>
          <w:sz w:val="24"/>
          <w:szCs w:val="24"/>
        </w:rPr>
        <w:t>e</w:t>
      </w:r>
      <w:r w:rsidR="00FE7D3F" w:rsidRPr="00F669AB">
        <w:rPr>
          <w:rFonts w:ascii="Arial" w:eastAsia="Verdana" w:hAnsi="Arial" w:cs="Arial"/>
          <w:spacing w:val="4"/>
          <w:sz w:val="24"/>
          <w:szCs w:val="24"/>
        </w:rPr>
        <w:t>cessar</w:t>
      </w:r>
      <w:r w:rsidR="00FE7D3F" w:rsidRPr="00F669AB">
        <w:rPr>
          <w:rFonts w:ascii="Arial" w:eastAsia="Verdana" w:hAnsi="Arial" w:cs="Arial"/>
          <w:sz w:val="24"/>
          <w:szCs w:val="24"/>
        </w:rPr>
        <w:t>y</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4"/>
          <w:sz w:val="24"/>
          <w:szCs w:val="24"/>
        </w:rPr>
        <w:t>t</w:t>
      </w:r>
      <w:r w:rsidR="00FE7D3F" w:rsidRPr="00F669AB">
        <w:rPr>
          <w:rFonts w:ascii="Arial" w:eastAsia="Verdana" w:hAnsi="Arial" w:cs="Arial"/>
          <w:sz w:val="24"/>
          <w:szCs w:val="24"/>
        </w:rPr>
        <w:t>o</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4"/>
          <w:sz w:val="24"/>
          <w:szCs w:val="24"/>
        </w:rPr>
        <w:t>se</w:t>
      </w:r>
      <w:r w:rsidR="00FE7D3F" w:rsidRPr="00F669AB">
        <w:rPr>
          <w:rFonts w:ascii="Arial" w:eastAsia="Verdana" w:hAnsi="Arial" w:cs="Arial"/>
          <w:sz w:val="24"/>
          <w:szCs w:val="24"/>
        </w:rPr>
        <w:t>t</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3"/>
          <w:sz w:val="24"/>
          <w:szCs w:val="24"/>
        </w:rPr>
        <w:t>o</w:t>
      </w:r>
      <w:r w:rsidR="00FE7D3F" w:rsidRPr="00F669AB">
        <w:rPr>
          <w:rFonts w:ascii="Arial" w:eastAsia="Verdana" w:hAnsi="Arial" w:cs="Arial"/>
          <w:spacing w:val="4"/>
          <w:sz w:val="24"/>
          <w:szCs w:val="24"/>
        </w:rPr>
        <w:t>u</w:t>
      </w:r>
      <w:r w:rsidR="00FE7D3F" w:rsidRPr="00F669AB">
        <w:rPr>
          <w:rFonts w:ascii="Arial" w:eastAsia="Verdana" w:hAnsi="Arial" w:cs="Arial"/>
          <w:sz w:val="24"/>
          <w:szCs w:val="24"/>
        </w:rPr>
        <w:t>t</w:t>
      </w:r>
      <w:r w:rsidR="00FE7D3F" w:rsidRPr="00F669AB">
        <w:rPr>
          <w:rFonts w:ascii="Arial" w:eastAsia="Verdana" w:hAnsi="Arial" w:cs="Arial"/>
          <w:spacing w:val="8"/>
          <w:sz w:val="24"/>
          <w:szCs w:val="24"/>
        </w:rPr>
        <w:t xml:space="preserve"> </w:t>
      </w:r>
      <w:r w:rsidR="00FE7D3F" w:rsidRPr="00F669AB">
        <w:rPr>
          <w:rFonts w:ascii="Arial" w:eastAsia="Verdana" w:hAnsi="Arial" w:cs="Arial"/>
          <w:spacing w:val="4"/>
          <w:sz w:val="24"/>
          <w:szCs w:val="24"/>
        </w:rPr>
        <w:t>i</w:t>
      </w:r>
      <w:r w:rsidR="00FE7D3F" w:rsidRPr="00F669AB">
        <w:rPr>
          <w:rFonts w:ascii="Arial" w:eastAsia="Verdana" w:hAnsi="Arial" w:cs="Arial"/>
          <w:sz w:val="24"/>
          <w:szCs w:val="24"/>
        </w:rPr>
        <w:t xml:space="preserve">n </w:t>
      </w:r>
      <w:r w:rsidR="00FE7D3F" w:rsidRPr="00F669AB">
        <w:rPr>
          <w:rFonts w:ascii="Arial" w:eastAsia="Verdana" w:hAnsi="Arial" w:cs="Arial"/>
          <w:spacing w:val="4"/>
          <w:sz w:val="24"/>
          <w:szCs w:val="24"/>
        </w:rPr>
        <w:t>s</w:t>
      </w:r>
      <w:r w:rsidR="00FE7D3F" w:rsidRPr="00F669AB">
        <w:rPr>
          <w:rFonts w:ascii="Arial" w:eastAsia="Verdana" w:hAnsi="Arial" w:cs="Arial"/>
          <w:spacing w:val="5"/>
          <w:sz w:val="24"/>
          <w:szCs w:val="24"/>
        </w:rPr>
        <w:t>om</w:t>
      </w:r>
      <w:r w:rsidR="00FE7D3F" w:rsidRPr="00F669AB">
        <w:rPr>
          <w:rFonts w:ascii="Arial" w:eastAsia="Verdana" w:hAnsi="Arial" w:cs="Arial"/>
          <w:sz w:val="24"/>
          <w:szCs w:val="24"/>
        </w:rPr>
        <w:t>e</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detai</w:t>
      </w:r>
      <w:r w:rsidR="00FE7D3F" w:rsidRPr="00F669AB">
        <w:rPr>
          <w:rFonts w:ascii="Arial" w:eastAsia="Verdana" w:hAnsi="Arial" w:cs="Arial"/>
          <w:sz w:val="24"/>
          <w:szCs w:val="24"/>
        </w:rPr>
        <w:t>l</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th</w:t>
      </w:r>
      <w:r w:rsidR="00FE7D3F" w:rsidRPr="00F669AB">
        <w:rPr>
          <w:rFonts w:ascii="Arial" w:eastAsia="Verdana" w:hAnsi="Arial" w:cs="Arial"/>
          <w:sz w:val="24"/>
          <w:szCs w:val="24"/>
        </w:rPr>
        <w:t>e</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back</w:t>
      </w:r>
      <w:r w:rsidR="00FE7D3F" w:rsidRPr="00F669AB">
        <w:rPr>
          <w:rFonts w:ascii="Arial" w:eastAsia="Verdana" w:hAnsi="Arial" w:cs="Arial"/>
          <w:spacing w:val="4"/>
          <w:sz w:val="24"/>
          <w:szCs w:val="24"/>
        </w:rPr>
        <w:t>g</w:t>
      </w:r>
      <w:r w:rsidR="00FE7D3F" w:rsidRPr="00F669AB">
        <w:rPr>
          <w:rFonts w:ascii="Arial" w:eastAsia="Verdana" w:hAnsi="Arial" w:cs="Arial"/>
          <w:spacing w:val="5"/>
          <w:sz w:val="24"/>
          <w:szCs w:val="24"/>
        </w:rPr>
        <w:t>roun</w:t>
      </w:r>
      <w:r w:rsidR="00FE7D3F" w:rsidRPr="00F669AB">
        <w:rPr>
          <w:rFonts w:ascii="Arial" w:eastAsia="Verdana" w:hAnsi="Arial" w:cs="Arial"/>
          <w:sz w:val="24"/>
          <w:szCs w:val="24"/>
        </w:rPr>
        <w:t>d</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culmina</w:t>
      </w:r>
      <w:r w:rsidR="00FE7D3F" w:rsidRPr="00F669AB">
        <w:rPr>
          <w:rFonts w:ascii="Arial" w:eastAsia="Verdana" w:hAnsi="Arial" w:cs="Arial"/>
          <w:spacing w:val="4"/>
          <w:sz w:val="24"/>
          <w:szCs w:val="24"/>
        </w:rPr>
        <w:t>t</w:t>
      </w:r>
      <w:r w:rsidR="00FE7D3F" w:rsidRPr="00F669AB">
        <w:rPr>
          <w:rFonts w:ascii="Arial" w:eastAsia="Verdana" w:hAnsi="Arial" w:cs="Arial"/>
          <w:spacing w:val="5"/>
          <w:sz w:val="24"/>
          <w:szCs w:val="24"/>
        </w:rPr>
        <w:t>in</w:t>
      </w:r>
      <w:r w:rsidR="00FE7D3F" w:rsidRPr="00F669AB">
        <w:rPr>
          <w:rFonts w:ascii="Arial" w:eastAsia="Verdana" w:hAnsi="Arial" w:cs="Arial"/>
          <w:sz w:val="24"/>
          <w:szCs w:val="24"/>
        </w:rPr>
        <w:t>g</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i</w:t>
      </w:r>
      <w:r w:rsidR="00FE7D3F" w:rsidRPr="00F669AB">
        <w:rPr>
          <w:rFonts w:ascii="Arial" w:eastAsia="Verdana" w:hAnsi="Arial" w:cs="Arial"/>
          <w:sz w:val="24"/>
          <w:szCs w:val="24"/>
        </w:rPr>
        <w:t>n</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th</w:t>
      </w:r>
      <w:r w:rsidR="00FE7D3F" w:rsidRPr="00F669AB">
        <w:rPr>
          <w:rFonts w:ascii="Arial" w:eastAsia="Verdana" w:hAnsi="Arial" w:cs="Arial"/>
          <w:sz w:val="24"/>
          <w:szCs w:val="24"/>
        </w:rPr>
        <w:t>e</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presen</w:t>
      </w:r>
      <w:r w:rsidR="00FE7D3F" w:rsidRPr="00F669AB">
        <w:rPr>
          <w:rFonts w:ascii="Arial" w:eastAsia="Verdana" w:hAnsi="Arial" w:cs="Arial"/>
          <w:sz w:val="24"/>
          <w:szCs w:val="24"/>
        </w:rPr>
        <w:t>t</w:t>
      </w:r>
      <w:r w:rsidR="00FE7D3F" w:rsidRPr="00F669AB">
        <w:rPr>
          <w:rFonts w:ascii="Arial" w:eastAsia="Verdana" w:hAnsi="Arial" w:cs="Arial"/>
          <w:spacing w:val="10"/>
          <w:sz w:val="24"/>
          <w:szCs w:val="24"/>
        </w:rPr>
        <w:t xml:space="preserve"> </w:t>
      </w:r>
      <w:r w:rsidR="00FE7D3F" w:rsidRPr="00F669AB">
        <w:rPr>
          <w:rFonts w:ascii="Arial" w:eastAsia="Verdana" w:hAnsi="Arial" w:cs="Arial"/>
          <w:spacing w:val="5"/>
          <w:sz w:val="24"/>
          <w:szCs w:val="24"/>
        </w:rPr>
        <w:t>app</w:t>
      </w:r>
      <w:r w:rsidR="00FB30DF" w:rsidRPr="00F669AB">
        <w:rPr>
          <w:rFonts w:ascii="Arial" w:eastAsia="Verdana" w:hAnsi="Arial" w:cs="Arial"/>
          <w:spacing w:val="5"/>
          <w:sz w:val="24"/>
          <w:szCs w:val="24"/>
        </w:rPr>
        <w:t>lication</w:t>
      </w:r>
      <w:r w:rsidR="00FE7D3F" w:rsidRPr="00F669AB">
        <w:rPr>
          <w:rFonts w:ascii="Arial" w:eastAsia="Verdana" w:hAnsi="Arial" w:cs="Arial"/>
          <w:sz w:val="24"/>
          <w:szCs w:val="24"/>
        </w:rPr>
        <w:t>.</w:t>
      </w:r>
      <w:r w:rsidR="00FE7D3F" w:rsidRPr="00F669AB">
        <w:rPr>
          <w:rFonts w:ascii="Arial" w:eastAsia="Verdana" w:hAnsi="Arial" w:cs="Arial"/>
          <w:spacing w:val="11"/>
          <w:sz w:val="24"/>
          <w:szCs w:val="24"/>
        </w:rPr>
        <w:t xml:space="preserve"> </w:t>
      </w:r>
      <w:r w:rsidR="00173EC8" w:rsidRPr="00F669AB">
        <w:rPr>
          <w:rFonts w:ascii="Arial" w:hAnsi="Arial" w:cs="Arial"/>
          <w:sz w:val="24"/>
          <w:szCs w:val="24"/>
        </w:rPr>
        <w:t>The Commi</w:t>
      </w:r>
      <w:r w:rsidR="009A0ECB" w:rsidRPr="00F669AB">
        <w:rPr>
          <w:rFonts w:ascii="Arial" w:hAnsi="Arial" w:cs="Arial"/>
          <w:sz w:val="24"/>
          <w:szCs w:val="24"/>
        </w:rPr>
        <w:t>ssion is one of the Chapter 9 i</w:t>
      </w:r>
      <w:r w:rsidR="00173EC8" w:rsidRPr="00F669AB">
        <w:rPr>
          <w:rFonts w:ascii="Arial" w:hAnsi="Arial" w:cs="Arial"/>
          <w:sz w:val="24"/>
          <w:szCs w:val="24"/>
        </w:rPr>
        <w:t>nstitutions</w:t>
      </w:r>
      <w:r w:rsidR="00645C0F" w:rsidRPr="00F669AB">
        <w:rPr>
          <w:rFonts w:ascii="Arial" w:hAnsi="Arial" w:cs="Arial"/>
          <w:sz w:val="24"/>
          <w:szCs w:val="24"/>
        </w:rPr>
        <w:t xml:space="preserve"> which</w:t>
      </w:r>
      <w:r w:rsidR="009A0ECB" w:rsidRPr="00F669AB">
        <w:rPr>
          <w:rFonts w:ascii="Arial" w:hAnsi="Arial" w:cs="Arial"/>
          <w:sz w:val="24"/>
          <w:szCs w:val="24"/>
        </w:rPr>
        <w:t xml:space="preserve"> were </w:t>
      </w:r>
      <w:r w:rsidR="001E7111" w:rsidRPr="00F669AB">
        <w:rPr>
          <w:rFonts w:ascii="Arial" w:hAnsi="Arial" w:cs="Arial"/>
          <w:sz w:val="24"/>
          <w:szCs w:val="24"/>
        </w:rPr>
        <w:t xml:space="preserve">established to support constitutional democracy as required by </w:t>
      </w:r>
      <w:r w:rsidR="00645C0F" w:rsidRPr="00F669AB">
        <w:rPr>
          <w:rFonts w:ascii="Arial" w:hAnsi="Arial" w:cs="Arial"/>
          <w:sz w:val="24"/>
          <w:szCs w:val="24"/>
        </w:rPr>
        <w:t>the Constitution</w:t>
      </w:r>
      <w:r w:rsidR="001E7111" w:rsidRPr="00F669AB">
        <w:rPr>
          <w:rFonts w:ascii="Arial" w:hAnsi="Arial" w:cs="Arial"/>
          <w:sz w:val="24"/>
          <w:szCs w:val="24"/>
        </w:rPr>
        <w:t>.</w:t>
      </w:r>
      <w:r w:rsidR="00645C0F" w:rsidRPr="00F669AB">
        <w:rPr>
          <w:rFonts w:ascii="Arial" w:hAnsi="Arial" w:cs="Arial"/>
          <w:sz w:val="24"/>
          <w:szCs w:val="24"/>
        </w:rPr>
        <w:t xml:space="preserve"> </w:t>
      </w:r>
      <w:r w:rsidR="00173EC8" w:rsidRPr="00F669AB">
        <w:rPr>
          <w:rFonts w:ascii="Arial" w:hAnsi="Arial" w:cs="Arial"/>
          <w:sz w:val="24"/>
          <w:szCs w:val="24"/>
        </w:rPr>
        <w:t xml:space="preserve">It was established in terms of </w:t>
      </w:r>
      <w:r w:rsidR="00B1622A" w:rsidRPr="00F669AB">
        <w:rPr>
          <w:rFonts w:ascii="Arial" w:hAnsi="Arial" w:cs="Arial"/>
          <w:sz w:val="24"/>
          <w:szCs w:val="24"/>
        </w:rPr>
        <w:t xml:space="preserve">the </w:t>
      </w:r>
      <w:r w:rsidR="004C105E" w:rsidRPr="00F669AB">
        <w:rPr>
          <w:rFonts w:ascii="Arial" w:hAnsi="Arial" w:cs="Arial"/>
          <w:sz w:val="24"/>
          <w:szCs w:val="24"/>
        </w:rPr>
        <w:t>Commission</w:t>
      </w:r>
      <w:r w:rsidR="00B1622A" w:rsidRPr="00F669AB">
        <w:rPr>
          <w:rFonts w:ascii="Arial" w:hAnsi="Arial" w:cs="Arial"/>
          <w:sz w:val="24"/>
          <w:szCs w:val="24"/>
        </w:rPr>
        <w:t xml:space="preserve"> Act</w:t>
      </w:r>
      <w:r w:rsidR="001E7111" w:rsidRPr="00F669AB">
        <w:rPr>
          <w:rFonts w:ascii="Arial" w:hAnsi="Arial" w:cs="Arial"/>
          <w:sz w:val="24"/>
          <w:szCs w:val="24"/>
        </w:rPr>
        <w:t>.</w:t>
      </w:r>
      <w:r w:rsidR="00B9217F" w:rsidRPr="00F669AB">
        <w:rPr>
          <w:rFonts w:ascii="Arial" w:hAnsi="Arial" w:cs="Arial"/>
          <w:sz w:val="24"/>
          <w:szCs w:val="24"/>
        </w:rPr>
        <w:t xml:space="preserve"> Its primary duties are to ‘manage elections of national, provincial and municipal legislative bodies in accordance with national legislation</w:t>
      </w:r>
      <w:r w:rsidR="001D70C3" w:rsidRPr="00F669AB">
        <w:rPr>
          <w:rFonts w:ascii="Arial" w:hAnsi="Arial" w:cs="Arial"/>
          <w:sz w:val="24"/>
          <w:szCs w:val="24"/>
        </w:rPr>
        <w:t>’;</w:t>
      </w:r>
      <w:r w:rsidR="00B9217F" w:rsidRPr="00F669AB">
        <w:rPr>
          <w:rFonts w:ascii="Arial" w:hAnsi="Arial" w:cs="Arial"/>
          <w:sz w:val="24"/>
          <w:szCs w:val="24"/>
        </w:rPr>
        <w:t xml:space="preserve"> </w:t>
      </w:r>
      <w:r w:rsidR="00060AC6" w:rsidRPr="00F669AB">
        <w:rPr>
          <w:rFonts w:ascii="Arial" w:hAnsi="Arial" w:cs="Arial"/>
          <w:sz w:val="24"/>
          <w:szCs w:val="24"/>
        </w:rPr>
        <w:t xml:space="preserve">to </w:t>
      </w:r>
      <w:r w:rsidR="001D70C3" w:rsidRPr="00F669AB">
        <w:rPr>
          <w:rFonts w:ascii="Arial" w:hAnsi="Arial" w:cs="Arial"/>
          <w:sz w:val="24"/>
          <w:szCs w:val="24"/>
        </w:rPr>
        <w:t>‘</w:t>
      </w:r>
      <w:r w:rsidR="00060AC6" w:rsidRPr="00F669AB">
        <w:rPr>
          <w:rFonts w:ascii="Arial" w:hAnsi="Arial" w:cs="Arial"/>
          <w:sz w:val="24"/>
          <w:szCs w:val="24"/>
        </w:rPr>
        <w:t>ensure that those elections are free and fair’</w:t>
      </w:r>
      <w:r w:rsidR="001D70C3" w:rsidRPr="00F669AB">
        <w:rPr>
          <w:rFonts w:ascii="Arial" w:hAnsi="Arial" w:cs="Arial"/>
          <w:sz w:val="24"/>
          <w:szCs w:val="24"/>
        </w:rPr>
        <w:t>;</w:t>
      </w:r>
      <w:r w:rsidR="00060AC6" w:rsidRPr="00F669AB">
        <w:rPr>
          <w:rFonts w:ascii="Arial" w:hAnsi="Arial" w:cs="Arial"/>
          <w:sz w:val="24"/>
          <w:szCs w:val="24"/>
        </w:rPr>
        <w:t xml:space="preserve"> and </w:t>
      </w:r>
      <w:r w:rsidR="001D70C3" w:rsidRPr="00F669AB">
        <w:rPr>
          <w:rFonts w:ascii="Arial" w:hAnsi="Arial" w:cs="Arial"/>
          <w:sz w:val="24"/>
          <w:szCs w:val="24"/>
        </w:rPr>
        <w:t xml:space="preserve">to </w:t>
      </w:r>
      <w:r w:rsidR="00060AC6" w:rsidRPr="00F669AB">
        <w:rPr>
          <w:rFonts w:ascii="Arial" w:hAnsi="Arial" w:cs="Arial"/>
          <w:sz w:val="24"/>
          <w:szCs w:val="24"/>
        </w:rPr>
        <w:t>‘declare the results of those elections within a period that must be prescribed by national legislation and that is as short as reasonably possible</w:t>
      </w:r>
      <w:r w:rsidR="001D70C3" w:rsidRPr="00F669AB">
        <w:rPr>
          <w:rFonts w:ascii="Arial" w:hAnsi="Arial" w:cs="Arial"/>
          <w:sz w:val="24"/>
          <w:szCs w:val="24"/>
        </w:rPr>
        <w:t>’</w:t>
      </w:r>
      <w:r w:rsidR="00060AC6" w:rsidRPr="00F669AB">
        <w:rPr>
          <w:rFonts w:ascii="Arial" w:hAnsi="Arial" w:cs="Arial"/>
          <w:sz w:val="24"/>
          <w:szCs w:val="24"/>
        </w:rPr>
        <w:t>.</w:t>
      </w:r>
      <w:r w:rsidR="00FB30DF" w:rsidRPr="00512F52">
        <w:rPr>
          <w:rStyle w:val="FootnoteReference"/>
          <w:rFonts w:ascii="Arial" w:hAnsi="Arial" w:cs="Arial"/>
          <w:sz w:val="24"/>
          <w:szCs w:val="24"/>
        </w:rPr>
        <w:footnoteReference w:id="12"/>
      </w:r>
      <w:r w:rsidR="001E7111" w:rsidRPr="00F669AB">
        <w:rPr>
          <w:rFonts w:ascii="Arial" w:hAnsi="Arial" w:cs="Arial"/>
          <w:sz w:val="24"/>
          <w:szCs w:val="24"/>
        </w:rPr>
        <w:t xml:space="preserve"> In this matter we are required to examine the manner in which</w:t>
      </w:r>
      <w:r w:rsidR="00423251" w:rsidRPr="00F669AB">
        <w:rPr>
          <w:rFonts w:ascii="Arial" w:hAnsi="Arial" w:cs="Arial"/>
          <w:sz w:val="24"/>
          <w:szCs w:val="24"/>
        </w:rPr>
        <w:t xml:space="preserve"> the Commission discharged its function in relation to the election of the three</w:t>
      </w:r>
      <w:r w:rsidR="00B1622A" w:rsidRPr="00F669AB">
        <w:rPr>
          <w:rFonts w:ascii="Arial" w:hAnsi="Arial" w:cs="Arial"/>
          <w:sz w:val="24"/>
          <w:szCs w:val="24"/>
        </w:rPr>
        <w:t xml:space="preserve"> affected</w:t>
      </w:r>
      <w:r w:rsidR="00423251" w:rsidRPr="00F669AB">
        <w:rPr>
          <w:rFonts w:ascii="Arial" w:hAnsi="Arial" w:cs="Arial"/>
          <w:sz w:val="24"/>
          <w:szCs w:val="24"/>
        </w:rPr>
        <w:t xml:space="preserve"> </w:t>
      </w:r>
      <w:r w:rsidR="009317C7" w:rsidRPr="00F669AB">
        <w:rPr>
          <w:rFonts w:ascii="Arial" w:hAnsi="Arial" w:cs="Arial"/>
          <w:sz w:val="24"/>
          <w:szCs w:val="24"/>
        </w:rPr>
        <w:t>councillors</w:t>
      </w:r>
      <w:r w:rsidR="00423251" w:rsidRPr="00F669AB">
        <w:rPr>
          <w:rFonts w:ascii="Arial" w:hAnsi="Arial" w:cs="Arial"/>
          <w:sz w:val="24"/>
          <w:szCs w:val="24"/>
        </w:rPr>
        <w:t xml:space="preserve"> to represent uMhlathuze Local Council</w:t>
      </w:r>
      <w:r w:rsidR="009A0ECB" w:rsidRPr="00F669AB">
        <w:rPr>
          <w:rFonts w:ascii="Arial" w:hAnsi="Arial" w:cs="Arial"/>
          <w:sz w:val="24"/>
          <w:szCs w:val="24"/>
        </w:rPr>
        <w:t xml:space="preserve"> (</w:t>
      </w:r>
      <w:r w:rsidR="001D70C3" w:rsidRPr="00F669AB">
        <w:rPr>
          <w:rFonts w:ascii="Arial" w:hAnsi="Arial" w:cs="Arial"/>
          <w:sz w:val="24"/>
          <w:szCs w:val="24"/>
        </w:rPr>
        <w:t xml:space="preserve">the </w:t>
      </w:r>
      <w:r w:rsidR="009A0ECB" w:rsidRPr="00F669AB">
        <w:rPr>
          <w:rFonts w:ascii="Arial" w:hAnsi="Arial" w:cs="Arial"/>
          <w:sz w:val="24"/>
          <w:szCs w:val="24"/>
        </w:rPr>
        <w:t>Local Council)</w:t>
      </w:r>
      <w:r w:rsidR="00423251" w:rsidRPr="00F669AB">
        <w:rPr>
          <w:rFonts w:ascii="Arial" w:hAnsi="Arial" w:cs="Arial"/>
          <w:sz w:val="24"/>
          <w:szCs w:val="24"/>
        </w:rPr>
        <w:t xml:space="preserve"> in the King Cetshwayo District Council</w:t>
      </w:r>
      <w:r w:rsidR="00F31A44" w:rsidRPr="00F669AB">
        <w:rPr>
          <w:rFonts w:ascii="Arial" w:hAnsi="Arial" w:cs="Arial"/>
          <w:sz w:val="24"/>
          <w:szCs w:val="24"/>
        </w:rPr>
        <w:t xml:space="preserve"> (</w:t>
      </w:r>
      <w:r w:rsidR="001D70C3" w:rsidRPr="00F669AB">
        <w:rPr>
          <w:rFonts w:ascii="Arial" w:hAnsi="Arial" w:cs="Arial"/>
          <w:sz w:val="24"/>
          <w:szCs w:val="24"/>
        </w:rPr>
        <w:t xml:space="preserve">the </w:t>
      </w:r>
      <w:r w:rsidR="00F31A44" w:rsidRPr="00F669AB">
        <w:rPr>
          <w:rFonts w:ascii="Arial" w:hAnsi="Arial" w:cs="Arial"/>
          <w:sz w:val="24"/>
          <w:szCs w:val="24"/>
        </w:rPr>
        <w:t>District Council)</w:t>
      </w:r>
      <w:r w:rsidR="00423251" w:rsidRPr="00F669AB">
        <w:rPr>
          <w:rFonts w:ascii="Arial" w:hAnsi="Arial" w:cs="Arial"/>
          <w:sz w:val="24"/>
          <w:szCs w:val="24"/>
        </w:rPr>
        <w:t>.</w:t>
      </w:r>
    </w:p>
    <w:p w14:paraId="5A35FE75" w14:textId="77777777" w:rsidR="003C0E85" w:rsidRPr="00512F52" w:rsidRDefault="003C0E85" w:rsidP="00772102">
      <w:pPr>
        <w:spacing w:after="0" w:line="360" w:lineRule="auto"/>
        <w:jc w:val="both"/>
        <w:rPr>
          <w:rFonts w:ascii="Arial" w:hAnsi="Arial" w:cs="Arial"/>
          <w:sz w:val="24"/>
          <w:szCs w:val="24"/>
        </w:rPr>
      </w:pPr>
    </w:p>
    <w:p w14:paraId="6CC666DB" w14:textId="3BDA63D7" w:rsidR="00060AC6" w:rsidRPr="00512F52" w:rsidRDefault="00060AC6" w:rsidP="00772102">
      <w:pPr>
        <w:spacing w:after="0" w:line="360" w:lineRule="auto"/>
        <w:jc w:val="both"/>
        <w:rPr>
          <w:rFonts w:ascii="Arial" w:hAnsi="Arial" w:cs="Arial"/>
          <w:b/>
          <w:bCs/>
          <w:sz w:val="24"/>
          <w:szCs w:val="24"/>
        </w:rPr>
      </w:pPr>
      <w:r w:rsidRPr="00512F52">
        <w:rPr>
          <w:rFonts w:ascii="Arial" w:hAnsi="Arial" w:cs="Arial"/>
          <w:b/>
          <w:bCs/>
          <w:sz w:val="24"/>
          <w:szCs w:val="24"/>
        </w:rPr>
        <w:t>The elections</w:t>
      </w:r>
    </w:p>
    <w:p w14:paraId="3B627918" w14:textId="39250C8B" w:rsidR="00EE343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[30]</w:t>
      </w:r>
      <w:r w:rsidRPr="00512F52">
        <w:rPr>
          <w:rFonts w:ascii="Arial" w:hAnsi="Arial" w:cs="Arial"/>
          <w:sz w:val="24"/>
          <w:szCs w:val="24"/>
        </w:rPr>
        <w:tab/>
      </w:r>
      <w:r w:rsidR="009E0423" w:rsidRPr="00F669AB">
        <w:rPr>
          <w:rFonts w:ascii="Arial" w:hAnsi="Arial" w:cs="Arial"/>
          <w:sz w:val="24"/>
          <w:szCs w:val="24"/>
        </w:rPr>
        <w:t>The Local Government Elections were held on 1 November 2021. As a result, a total of 67 (sixty-sev</w:t>
      </w:r>
      <w:r w:rsidR="00033889" w:rsidRPr="00F669AB">
        <w:rPr>
          <w:rFonts w:ascii="Arial" w:hAnsi="Arial" w:cs="Arial"/>
          <w:sz w:val="24"/>
          <w:szCs w:val="24"/>
        </w:rPr>
        <w:t>en) seats were awarded in the uM</w:t>
      </w:r>
      <w:r w:rsidR="009E0423" w:rsidRPr="00F669AB">
        <w:rPr>
          <w:rFonts w:ascii="Arial" w:hAnsi="Arial" w:cs="Arial"/>
          <w:sz w:val="24"/>
          <w:szCs w:val="24"/>
        </w:rPr>
        <w:t xml:space="preserve">hlathuze </w:t>
      </w:r>
      <w:r w:rsidR="00033889" w:rsidRPr="00F669AB">
        <w:rPr>
          <w:rFonts w:ascii="Arial" w:hAnsi="Arial" w:cs="Arial"/>
          <w:sz w:val="24"/>
          <w:szCs w:val="24"/>
        </w:rPr>
        <w:t>Local Municipality</w:t>
      </w:r>
      <w:r w:rsidR="009E0423" w:rsidRPr="00F669AB">
        <w:rPr>
          <w:rFonts w:ascii="Arial" w:hAnsi="Arial" w:cs="Arial"/>
          <w:sz w:val="24"/>
          <w:szCs w:val="24"/>
        </w:rPr>
        <w:t>.</w:t>
      </w:r>
      <w:r w:rsidR="00EE343A" w:rsidRPr="00F669AB">
        <w:rPr>
          <w:rFonts w:ascii="Arial" w:hAnsi="Arial" w:cs="Arial"/>
          <w:b/>
          <w:bCs/>
          <w:sz w:val="24"/>
          <w:szCs w:val="24"/>
        </w:rPr>
        <w:t xml:space="preserve"> </w:t>
      </w:r>
      <w:r w:rsidR="00EE343A" w:rsidRPr="00F669AB">
        <w:rPr>
          <w:rFonts w:ascii="Arial" w:hAnsi="Arial" w:cs="Arial"/>
          <w:sz w:val="24"/>
          <w:szCs w:val="24"/>
        </w:rPr>
        <w:t>The seats were awarded as follows (in descending order):</w:t>
      </w:r>
    </w:p>
    <w:p w14:paraId="4434F95C" w14:textId="42F33259" w:rsidR="00060AC6"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t>(a)</w:t>
      </w:r>
      <w:r w:rsidRPr="00512F52">
        <w:rPr>
          <w:rFonts w:ascii="Arial" w:hAnsi="Arial" w:cs="Arial"/>
          <w:sz w:val="24"/>
          <w:szCs w:val="24"/>
        </w:rPr>
        <w:tab/>
      </w:r>
      <w:r w:rsidR="00EE343A" w:rsidRPr="00512F52">
        <w:rPr>
          <w:rFonts w:ascii="Arial" w:hAnsi="Arial" w:cs="Arial"/>
          <w:sz w:val="24"/>
          <w:szCs w:val="24"/>
        </w:rPr>
        <w:t>African National Congress</w:t>
      </w:r>
      <w:r w:rsidR="00EE343A" w:rsidRPr="00512F52">
        <w:rPr>
          <w:rFonts w:ascii="Arial" w:hAnsi="Arial" w:cs="Arial"/>
          <w:sz w:val="24"/>
          <w:szCs w:val="24"/>
        </w:rPr>
        <w:tab/>
      </w:r>
      <w:r w:rsidR="00EE343A" w:rsidRPr="00512F52">
        <w:rPr>
          <w:rFonts w:ascii="Arial" w:hAnsi="Arial" w:cs="Arial"/>
          <w:sz w:val="24"/>
          <w:szCs w:val="24"/>
        </w:rPr>
        <w:tab/>
      </w:r>
      <w:r w:rsidR="00EE343A" w:rsidRPr="00512F52">
        <w:rPr>
          <w:rFonts w:ascii="Arial" w:hAnsi="Arial" w:cs="Arial"/>
          <w:sz w:val="24"/>
          <w:szCs w:val="24"/>
        </w:rPr>
        <w:tab/>
        <w:t>27 seats;</w:t>
      </w:r>
    </w:p>
    <w:p w14:paraId="18D3A518" w14:textId="7E32D972" w:rsidR="00EE343A"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lastRenderedPageBreak/>
        <w:t>(b)</w:t>
      </w:r>
      <w:r w:rsidRPr="00512F52">
        <w:rPr>
          <w:rFonts w:ascii="Arial" w:hAnsi="Arial" w:cs="Arial"/>
          <w:sz w:val="24"/>
          <w:szCs w:val="24"/>
        </w:rPr>
        <w:tab/>
      </w:r>
      <w:r w:rsidR="00EE343A" w:rsidRPr="00512F52">
        <w:rPr>
          <w:rFonts w:ascii="Arial" w:hAnsi="Arial" w:cs="Arial"/>
          <w:sz w:val="24"/>
          <w:szCs w:val="24"/>
        </w:rPr>
        <w:t>I</w:t>
      </w:r>
      <w:r w:rsidRPr="00512F52">
        <w:rPr>
          <w:rFonts w:ascii="Arial" w:hAnsi="Arial" w:cs="Arial"/>
          <w:sz w:val="24"/>
          <w:szCs w:val="24"/>
        </w:rPr>
        <w:t>nkatha Freedom Party</w:t>
      </w:r>
      <w:r w:rsidRPr="00512F52">
        <w:rPr>
          <w:rFonts w:ascii="Arial" w:hAnsi="Arial" w:cs="Arial"/>
          <w:sz w:val="24"/>
          <w:szCs w:val="24"/>
        </w:rPr>
        <w:tab/>
      </w:r>
      <w:r w:rsidRPr="00512F52">
        <w:rPr>
          <w:rFonts w:ascii="Arial" w:hAnsi="Arial" w:cs="Arial"/>
          <w:sz w:val="24"/>
          <w:szCs w:val="24"/>
        </w:rPr>
        <w:tab/>
      </w:r>
      <w:r w:rsidRPr="00512F52">
        <w:rPr>
          <w:rFonts w:ascii="Arial" w:hAnsi="Arial" w:cs="Arial"/>
          <w:sz w:val="24"/>
          <w:szCs w:val="24"/>
        </w:rPr>
        <w:tab/>
      </w:r>
      <w:r w:rsidR="00EE343A" w:rsidRPr="00512F52">
        <w:rPr>
          <w:rFonts w:ascii="Arial" w:hAnsi="Arial" w:cs="Arial"/>
          <w:sz w:val="24"/>
          <w:szCs w:val="24"/>
        </w:rPr>
        <w:t>23 seats;</w:t>
      </w:r>
    </w:p>
    <w:p w14:paraId="7134BD87" w14:textId="7CA31C20" w:rsidR="00EE343A"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t>(c)</w:t>
      </w:r>
      <w:r w:rsidRPr="00512F52">
        <w:rPr>
          <w:rFonts w:ascii="Arial" w:hAnsi="Arial" w:cs="Arial"/>
          <w:sz w:val="24"/>
          <w:szCs w:val="24"/>
        </w:rPr>
        <w:tab/>
      </w:r>
      <w:r w:rsidR="00EE343A" w:rsidRPr="00512F52">
        <w:rPr>
          <w:rFonts w:ascii="Arial" w:hAnsi="Arial" w:cs="Arial"/>
          <w:sz w:val="24"/>
          <w:szCs w:val="24"/>
        </w:rPr>
        <w:t>Democratic Alliance</w:t>
      </w:r>
      <w:r w:rsidR="00EE343A" w:rsidRPr="00512F52">
        <w:rPr>
          <w:rFonts w:ascii="Arial" w:hAnsi="Arial" w:cs="Arial"/>
          <w:sz w:val="24"/>
          <w:szCs w:val="24"/>
        </w:rPr>
        <w:tab/>
      </w:r>
      <w:r w:rsidR="00EE343A" w:rsidRPr="00512F52">
        <w:rPr>
          <w:rFonts w:ascii="Arial" w:hAnsi="Arial" w:cs="Arial"/>
          <w:sz w:val="24"/>
          <w:szCs w:val="24"/>
        </w:rPr>
        <w:tab/>
      </w:r>
      <w:r w:rsidR="00EE343A" w:rsidRPr="00512F52">
        <w:rPr>
          <w:rFonts w:ascii="Arial" w:hAnsi="Arial" w:cs="Arial"/>
          <w:sz w:val="24"/>
          <w:szCs w:val="24"/>
        </w:rPr>
        <w:tab/>
      </w:r>
      <w:r w:rsidR="00EE343A" w:rsidRPr="00512F52">
        <w:rPr>
          <w:rFonts w:ascii="Arial" w:hAnsi="Arial" w:cs="Arial"/>
          <w:sz w:val="24"/>
          <w:szCs w:val="24"/>
        </w:rPr>
        <w:tab/>
        <w:t>8 seats;</w:t>
      </w:r>
    </w:p>
    <w:p w14:paraId="7E877510" w14:textId="13A485AD" w:rsidR="00EE343A"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t>(d)</w:t>
      </w:r>
      <w:r w:rsidRPr="00512F52">
        <w:rPr>
          <w:rFonts w:ascii="Arial" w:hAnsi="Arial" w:cs="Arial"/>
          <w:sz w:val="24"/>
          <w:szCs w:val="24"/>
        </w:rPr>
        <w:tab/>
        <w:t>Economic Freedom Fighters</w:t>
      </w:r>
      <w:r w:rsidRPr="00512F52">
        <w:rPr>
          <w:rFonts w:ascii="Arial" w:hAnsi="Arial" w:cs="Arial"/>
          <w:sz w:val="24"/>
          <w:szCs w:val="24"/>
        </w:rPr>
        <w:tab/>
      </w:r>
      <w:r w:rsidRPr="00512F52">
        <w:rPr>
          <w:rFonts w:ascii="Arial" w:hAnsi="Arial" w:cs="Arial"/>
          <w:sz w:val="24"/>
          <w:szCs w:val="24"/>
        </w:rPr>
        <w:tab/>
      </w:r>
      <w:r w:rsidR="00EE343A" w:rsidRPr="00512F52">
        <w:rPr>
          <w:rFonts w:ascii="Arial" w:hAnsi="Arial" w:cs="Arial"/>
          <w:sz w:val="24"/>
          <w:szCs w:val="24"/>
        </w:rPr>
        <w:t>6 seats;</w:t>
      </w:r>
    </w:p>
    <w:p w14:paraId="413511A5" w14:textId="01097C34" w:rsidR="00EE343A"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t>(e)</w:t>
      </w:r>
      <w:r w:rsidRPr="00512F52">
        <w:rPr>
          <w:rFonts w:ascii="Arial" w:hAnsi="Arial" w:cs="Arial"/>
          <w:sz w:val="24"/>
          <w:szCs w:val="24"/>
        </w:rPr>
        <w:tab/>
      </w:r>
      <w:r w:rsidR="00EE343A" w:rsidRPr="00512F52">
        <w:rPr>
          <w:rFonts w:ascii="Arial" w:hAnsi="Arial" w:cs="Arial"/>
          <w:sz w:val="24"/>
          <w:szCs w:val="24"/>
        </w:rPr>
        <w:t>African Chris</w:t>
      </w:r>
      <w:r w:rsidRPr="00512F52">
        <w:rPr>
          <w:rFonts w:ascii="Arial" w:hAnsi="Arial" w:cs="Arial"/>
          <w:sz w:val="24"/>
          <w:szCs w:val="24"/>
        </w:rPr>
        <w:t>tian Democratic Party</w:t>
      </w:r>
      <w:r w:rsidRPr="00512F52">
        <w:rPr>
          <w:rFonts w:ascii="Arial" w:hAnsi="Arial" w:cs="Arial"/>
          <w:sz w:val="24"/>
          <w:szCs w:val="24"/>
        </w:rPr>
        <w:tab/>
      </w:r>
      <w:r w:rsidR="00EE343A" w:rsidRPr="00512F52">
        <w:rPr>
          <w:rFonts w:ascii="Arial" w:hAnsi="Arial" w:cs="Arial"/>
          <w:sz w:val="24"/>
          <w:szCs w:val="24"/>
        </w:rPr>
        <w:t>1 seat;</w:t>
      </w:r>
    </w:p>
    <w:p w14:paraId="26A8E0EA" w14:textId="1232DC40" w:rsidR="00EE343A"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t>(f)</w:t>
      </w:r>
      <w:r w:rsidRPr="00512F52">
        <w:rPr>
          <w:rFonts w:ascii="Arial" w:hAnsi="Arial" w:cs="Arial"/>
          <w:sz w:val="24"/>
          <w:szCs w:val="24"/>
        </w:rPr>
        <w:tab/>
      </w:r>
      <w:r w:rsidR="00EE343A" w:rsidRPr="00512F52">
        <w:rPr>
          <w:rFonts w:ascii="Arial" w:hAnsi="Arial" w:cs="Arial"/>
          <w:sz w:val="24"/>
          <w:szCs w:val="24"/>
        </w:rPr>
        <w:t>National Freedom Party</w:t>
      </w:r>
      <w:r w:rsidR="00EE343A" w:rsidRPr="00512F52">
        <w:rPr>
          <w:rFonts w:ascii="Arial" w:hAnsi="Arial" w:cs="Arial"/>
          <w:sz w:val="24"/>
          <w:szCs w:val="24"/>
        </w:rPr>
        <w:tab/>
      </w:r>
      <w:r w:rsidR="00EE343A" w:rsidRPr="00512F52">
        <w:rPr>
          <w:rFonts w:ascii="Arial" w:hAnsi="Arial" w:cs="Arial"/>
          <w:sz w:val="24"/>
          <w:szCs w:val="24"/>
        </w:rPr>
        <w:tab/>
      </w:r>
      <w:r w:rsidR="00EE343A" w:rsidRPr="00512F52">
        <w:rPr>
          <w:rFonts w:ascii="Arial" w:hAnsi="Arial" w:cs="Arial"/>
          <w:sz w:val="24"/>
          <w:szCs w:val="24"/>
        </w:rPr>
        <w:tab/>
        <w:t>1 seat;</w:t>
      </w:r>
    </w:p>
    <w:p w14:paraId="3AE1F718" w14:textId="7A6E8545" w:rsidR="00EE343A" w:rsidRPr="00512F52" w:rsidRDefault="001D70C3" w:rsidP="00772102">
      <w:pPr>
        <w:spacing w:after="0" w:line="360" w:lineRule="auto"/>
        <w:jc w:val="both"/>
        <w:rPr>
          <w:rFonts w:ascii="Arial" w:hAnsi="Arial" w:cs="Arial"/>
          <w:sz w:val="24"/>
          <w:szCs w:val="24"/>
        </w:rPr>
      </w:pPr>
      <w:r w:rsidRPr="00512F52">
        <w:rPr>
          <w:rFonts w:ascii="Arial" w:hAnsi="Arial" w:cs="Arial"/>
          <w:sz w:val="24"/>
          <w:szCs w:val="24"/>
        </w:rPr>
        <w:t>(g)</w:t>
      </w:r>
      <w:r w:rsidR="00823D91" w:rsidRPr="00512F52">
        <w:rPr>
          <w:rFonts w:ascii="Arial" w:hAnsi="Arial" w:cs="Arial"/>
          <w:sz w:val="24"/>
          <w:szCs w:val="24"/>
        </w:rPr>
        <w:tab/>
      </w:r>
      <w:r w:rsidR="00EE343A" w:rsidRPr="00512F52">
        <w:rPr>
          <w:rFonts w:ascii="Arial" w:hAnsi="Arial" w:cs="Arial"/>
          <w:sz w:val="24"/>
          <w:szCs w:val="24"/>
        </w:rPr>
        <w:t>Vryheidsfront Plus</w:t>
      </w:r>
      <w:r w:rsidR="00EE343A" w:rsidRPr="00512F52">
        <w:rPr>
          <w:rFonts w:ascii="Arial" w:hAnsi="Arial" w:cs="Arial"/>
          <w:sz w:val="24"/>
          <w:szCs w:val="24"/>
        </w:rPr>
        <w:tab/>
      </w:r>
      <w:r w:rsidR="00EE343A" w:rsidRPr="00512F52">
        <w:rPr>
          <w:rFonts w:ascii="Arial" w:hAnsi="Arial" w:cs="Arial"/>
          <w:sz w:val="24"/>
          <w:szCs w:val="24"/>
        </w:rPr>
        <w:tab/>
      </w:r>
      <w:r w:rsidR="00EE343A" w:rsidRPr="00512F52">
        <w:rPr>
          <w:rFonts w:ascii="Arial" w:hAnsi="Arial" w:cs="Arial"/>
          <w:sz w:val="24"/>
          <w:szCs w:val="24"/>
        </w:rPr>
        <w:tab/>
      </w:r>
      <w:r w:rsidR="00EE343A" w:rsidRPr="00512F52">
        <w:rPr>
          <w:rFonts w:ascii="Arial" w:hAnsi="Arial" w:cs="Arial"/>
          <w:sz w:val="24"/>
          <w:szCs w:val="24"/>
        </w:rPr>
        <w:tab/>
        <w:t>1 seat</w:t>
      </w:r>
      <w:r w:rsidR="00634E71" w:rsidRPr="00512F52">
        <w:rPr>
          <w:rFonts w:ascii="Arial" w:hAnsi="Arial" w:cs="Arial"/>
          <w:sz w:val="24"/>
          <w:szCs w:val="24"/>
        </w:rPr>
        <w:t>.</w:t>
      </w:r>
    </w:p>
    <w:p w14:paraId="159DFEED" w14:textId="55456F40" w:rsidR="003C0E85" w:rsidRPr="00512F52" w:rsidRDefault="003C0E85" w:rsidP="00772102">
      <w:pPr>
        <w:spacing w:after="0" w:line="360" w:lineRule="auto"/>
        <w:jc w:val="both"/>
        <w:rPr>
          <w:rFonts w:ascii="Arial" w:hAnsi="Arial" w:cs="Arial"/>
          <w:sz w:val="24"/>
          <w:szCs w:val="24"/>
        </w:rPr>
      </w:pPr>
    </w:p>
    <w:p w14:paraId="7BC1EA82" w14:textId="3F30C6D0" w:rsidR="00B72D56"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[31]</w:t>
      </w:r>
      <w:r w:rsidRPr="00512F52">
        <w:rPr>
          <w:rFonts w:ascii="Arial" w:hAnsi="Arial" w:cs="Arial"/>
          <w:sz w:val="24"/>
          <w:szCs w:val="24"/>
        </w:rPr>
        <w:tab/>
      </w:r>
      <w:r w:rsidR="000A261A" w:rsidRPr="00F669AB">
        <w:rPr>
          <w:rFonts w:ascii="Arial" w:hAnsi="Arial" w:cs="Arial"/>
          <w:sz w:val="24"/>
          <w:szCs w:val="24"/>
        </w:rPr>
        <w:t>Subsequently, a</w:t>
      </w:r>
      <w:r w:rsidR="00634E71" w:rsidRPr="00F669AB">
        <w:rPr>
          <w:rFonts w:ascii="Arial" w:hAnsi="Arial" w:cs="Arial"/>
          <w:sz w:val="24"/>
          <w:szCs w:val="24"/>
        </w:rPr>
        <w:t xml:space="preserve"> meeting of the </w:t>
      </w:r>
      <w:r w:rsidR="00835E97" w:rsidRPr="00F669AB">
        <w:rPr>
          <w:rFonts w:ascii="Arial" w:hAnsi="Arial" w:cs="Arial"/>
          <w:sz w:val="24"/>
          <w:szCs w:val="24"/>
        </w:rPr>
        <w:t>local c</w:t>
      </w:r>
      <w:r w:rsidR="00CB5830" w:rsidRPr="00F669AB">
        <w:rPr>
          <w:rFonts w:ascii="Arial" w:hAnsi="Arial" w:cs="Arial"/>
          <w:sz w:val="24"/>
          <w:szCs w:val="24"/>
        </w:rPr>
        <w:t>ouncil was convened</w:t>
      </w:r>
      <w:r w:rsidR="00033889" w:rsidRPr="00F669AB">
        <w:rPr>
          <w:rFonts w:ascii="Arial" w:hAnsi="Arial" w:cs="Arial"/>
          <w:sz w:val="24"/>
          <w:szCs w:val="24"/>
        </w:rPr>
        <w:t xml:space="preserve"> in order to, among other things</w:t>
      </w:r>
      <w:r w:rsidR="005E1F48" w:rsidRPr="00F669AB">
        <w:rPr>
          <w:rFonts w:ascii="Arial" w:hAnsi="Arial" w:cs="Arial"/>
          <w:sz w:val="24"/>
          <w:szCs w:val="24"/>
        </w:rPr>
        <w:t>, conduct the election and appointment</w:t>
      </w:r>
      <w:r w:rsidR="00634E71" w:rsidRPr="00F669AB">
        <w:rPr>
          <w:rFonts w:ascii="Arial" w:hAnsi="Arial" w:cs="Arial"/>
          <w:sz w:val="24"/>
          <w:szCs w:val="24"/>
        </w:rPr>
        <w:t xml:space="preserve"> of representatives of the </w:t>
      </w:r>
      <w:r w:rsidR="006E52E4" w:rsidRPr="00F669AB">
        <w:rPr>
          <w:rFonts w:ascii="Arial" w:hAnsi="Arial" w:cs="Arial"/>
          <w:sz w:val="24"/>
          <w:szCs w:val="24"/>
        </w:rPr>
        <w:t xml:space="preserve">uMhlathuze </w:t>
      </w:r>
      <w:r w:rsidR="00634E71" w:rsidRPr="00F669AB">
        <w:rPr>
          <w:rFonts w:ascii="Arial" w:hAnsi="Arial" w:cs="Arial"/>
          <w:sz w:val="24"/>
          <w:szCs w:val="24"/>
        </w:rPr>
        <w:t>Local Council to the King Cetshwayo District Council</w:t>
      </w:r>
      <w:r w:rsidR="00033889" w:rsidRPr="00F669AB">
        <w:rPr>
          <w:rFonts w:ascii="Arial" w:hAnsi="Arial" w:cs="Arial"/>
          <w:sz w:val="24"/>
          <w:szCs w:val="24"/>
        </w:rPr>
        <w:t xml:space="preserve"> </w:t>
      </w:r>
      <w:r w:rsidR="00634E71" w:rsidRPr="00F669AB">
        <w:rPr>
          <w:rFonts w:ascii="Arial" w:hAnsi="Arial" w:cs="Arial"/>
          <w:sz w:val="24"/>
          <w:szCs w:val="24"/>
        </w:rPr>
        <w:t xml:space="preserve">in terms of Schedule 2 </w:t>
      </w:r>
      <w:r w:rsidR="003539C5" w:rsidRPr="00F669AB">
        <w:rPr>
          <w:rFonts w:ascii="Arial" w:hAnsi="Arial" w:cs="Arial"/>
          <w:sz w:val="24"/>
          <w:szCs w:val="24"/>
        </w:rPr>
        <w:t>to</w:t>
      </w:r>
      <w:r w:rsidR="00634E71" w:rsidRPr="00F669AB">
        <w:rPr>
          <w:rFonts w:ascii="Arial" w:hAnsi="Arial" w:cs="Arial"/>
          <w:sz w:val="24"/>
          <w:szCs w:val="24"/>
        </w:rPr>
        <w:t xml:space="preserve"> the Structures Act. </w:t>
      </w:r>
      <w:r w:rsidR="005E1F48" w:rsidRPr="00F669AB">
        <w:rPr>
          <w:rFonts w:ascii="Arial" w:hAnsi="Arial" w:cs="Arial"/>
          <w:sz w:val="24"/>
          <w:szCs w:val="24"/>
        </w:rPr>
        <w:t>Section 23(1)</w:t>
      </w:r>
      <w:r w:rsidR="005E1F48" w:rsidRPr="00F669AB">
        <w:rPr>
          <w:rFonts w:ascii="Arial" w:hAnsi="Arial" w:cs="Arial"/>
          <w:i/>
          <w:sz w:val="24"/>
          <w:szCs w:val="24"/>
        </w:rPr>
        <w:t>(a)</w:t>
      </w:r>
      <w:r w:rsidR="0004329D" w:rsidRPr="00F669AB">
        <w:rPr>
          <w:rFonts w:ascii="Arial" w:hAnsi="Arial" w:cs="Arial"/>
          <w:sz w:val="24"/>
          <w:szCs w:val="24"/>
        </w:rPr>
        <w:t xml:space="preserve"> and </w:t>
      </w:r>
      <w:r w:rsidR="0004329D" w:rsidRPr="00F669AB">
        <w:rPr>
          <w:rFonts w:ascii="Arial" w:hAnsi="Arial" w:cs="Arial"/>
          <w:i/>
          <w:sz w:val="24"/>
          <w:szCs w:val="24"/>
        </w:rPr>
        <w:t>(b)</w:t>
      </w:r>
      <w:r w:rsidR="00B72D56" w:rsidRPr="00F669AB">
        <w:rPr>
          <w:rFonts w:ascii="Arial" w:hAnsi="Arial" w:cs="Arial"/>
          <w:sz w:val="24"/>
          <w:szCs w:val="24"/>
        </w:rPr>
        <w:t xml:space="preserve"> of the Structures Act</w:t>
      </w:r>
      <w:r w:rsidR="005E1F48" w:rsidRPr="00F669AB">
        <w:rPr>
          <w:rFonts w:ascii="Arial" w:hAnsi="Arial" w:cs="Arial"/>
          <w:sz w:val="24"/>
          <w:szCs w:val="24"/>
        </w:rPr>
        <w:t xml:space="preserve"> provides for </w:t>
      </w:r>
      <w:r w:rsidR="009317C7" w:rsidRPr="00F669AB">
        <w:rPr>
          <w:rFonts w:ascii="Arial" w:hAnsi="Arial" w:cs="Arial"/>
          <w:sz w:val="24"/>
          <w:szCs w:val="24"/>
        </w:rPr>
        <w:t>councillors</w:t>
      </w:r>
      <w:r w:rsidR="005E1F48" w:rsidRPr="00F669AB">
        <w:rPr>
          <w:rFonts w:ascii="Arial" w:hAnsi="Arial" w:cs="Arial"/>
          <w:sz w:val="24"/>
          <w:szCs w:val="24"/>
        </w:rPr>
        <w:t xml:space="preserve"> elected </w:t>
      </w:r>
      <w:r w:rsidR="006E52E4" w:rsidRPr="00F669AB">
        <w:rPr>
          <w:rFonts w:ascii="Arial" w:hAnsi="Arial" w:cs="Arial"/>
          <w:sz w:val="24"/>
          <w:szCs w:val="24"/>
        </w:rPr>
        <w:t xml:space="preserve">in accordance with </w:t>
      </w:r>
      <w:r w:rsidR="0073006D" w:rsidRPr="00F669AB">
        <w:rPr>
          <w:rFonts w:ascii="Arial" w:hAnsi="Arial" w:cs="Arial"/>
          <w:sz w:val="24"/>
          <w:szCs w:val="24"/>
        </w:rPr>
        <w:t xml:space="preserve">Part 1 of </w:t>
      </w:r>
      <w:r w:rsidR="006E52E4" w:rsidRPr="00F669AB">
        <w:rPr>
          <w:rFonts w:ascii="Arial" w:hAnsi="Arial" w:cs="Arial"/>
          <w:sz w:val="24"/>
          <w:szCs w:val="24"/>
        </w:rPr>
        <w:t xml:space="preserve">Schedule 2 by voters, </w:t>
      </w:r>
      <w:r w:rsidR="005E1F48" w:rsidRPr="00F669AB">
        <w:rPr>
          <w:rFonts w:ascii="Arial" w:hAnsi="Arial" w:cs="Arial"/>
          <w:sz w:val="24"/>
          <w:szCs w:val="24"/>
        </w:rPr>
        <w:t xml:space="preserve">to proportionally represent </w:t>
      </w:r>
      <w:r w:rsidR="006E52E4" w:rsidRPr="00F669AB">
        <w:rPr>
          <w:rFonts w:ascii="Arial" w:hAnsi="Arial" w:cs="Arial"/>
          <w:sz w:val="24"/>
          <w:szCs w:val="24"/>
        </w:rPr>
        <w:t xml:space="preserve">the </w:t>
      </w:r>
      <w:r w:rsidR="005E1F48" w:rsidRPr="00F669AB">
        <w:rPr>
          <w:rFonts w:ascii="Arial" w:hAnsi="Arial" w:cs="Arial"/>
          <w:sz w:val="24"/>
          <w:szCs w:val="24"/>
        </w:rPr>
        <w:t>parties that contested the election within the district municipality</w:t>
      </w:r>
      <w:r w:rsidR="006E52E4" w:rsidRPr="00F669AB">
        <w:rPr>
          <w:rFonts w:ascii="Arial" w:hAnsi="Arial" w:cs="Arial"/>
          <w:sz w:val="24"/>
          <w:szCs w:val="24"/>
        </w:rPr>
        <w:t>,</w:t>
      </w:r>
      <w:r w:rsidR="00B37DE6" w:rsidRPr="00F669AB">
        <w:rPr>
          <w:rFonts w:ascii="Arial" w:hAnsi="Arial" w:cs="Arial"/>
          <w:sz w:val="24"/>
          <w:szCs w:val="24"/>
        </w:rPr>
        <w:t xml:space="preserve"> and counci</w:t>
      </w:r>
      <w:r w:rsidR="00BD0EDD" w:rsidRPr="00F669AB">
        <w:rPr>
          <w:rFonts w:ascii="Arial" w:hAnsi="Arial" w:cs="Arial"/>
          <w:sz w:val="24"/>
          <w:szCs w:val="24"/>
        </w:rPr>
        <w:t>l</w:t>
      </w:r>
      <w:r w:rsidR="00B37DE6" w:rsidRPr="00F669AB">
        <w:rPr>
          <w:rFonts w:ascii="Arial" w:hAnsi="Arial" w:cs="Arial"/>
          <w:sz w:val="24"/>
          <w:szCs w:val="24"/>
        </w:rPr>
        <w:t>lors appointed</w:t>
      </w:r>
      <w:r w:rsidR="0004329D" w:rsidRPr="00F669AB">
        <w:rPr>
          <w:rFonts w:ascii="Arial" w:hAnsi="Arial" w:cs="Arial"/>
          <w:sz w:val="24"/>
          <w:szCs w:val="24"/>
        </w:rPr>
        <w:t xml:space="preserve"> in accordance with Schedule 2 by the councils of the respective local municipalities within that district municipality, to directly represent those local municipalities</w:t>
      </w:r>
      <w:r w:rsidR="005E1F48" w:rsidRPr="00F669AB">
        <w:rPr>
          <w:rFonts w:ascii="Arial" w:hAnsi="Arial" w:cs="Arial"/>
          <w:sz w:val="24"/>
          <w:szCs w:val="24"/>
        </w:rPr>
        <w:t xml:space="preserve">. </w:t>
      </w:r>
      <w:r w:rsidR="00A157EE" w:rsidRPr="00F669AB">
        <w:rPr>
          <w:rFonts w:ascii="Arial" w:hAnsi="Arial" w:cs="Arial"/>
          <w:sz w:val="24"/>
          <w:szCs w:val="24"/>
        </w:rPr>
        <w:t xml:space="preserve">The District Council </w:t>
      </w:r>
      <w:r w:rsidR="00F31A44" w:rsidRPr="00F669AB">
        <w:rPr>
          <w:rFonts w:ascii="Arial" w:hAnsi="Arial" w:cs="Arial"/>
          <w:sz w:val="24"/>
          <w:szCs w:val="24"/>
        </w:rPr>
        <w:t>h</w:t>
      </w:r>
      <w:r w:rsidR="008D74E0" w:rsidRPr="00F669AB">
        <w:rPr>
          <w:rFonts w:ascii="Arial" w:hAnsi="Arial" w:cs="Arial"/>
          <w:sz w:val="24"/>
          <w:szCs w:val="24"/>
        </w:rPr>
        <w:t>as a total of 43 seats</w:t>
      </w:r>
      <w:r w:rsidR="0004329D" w:rsidRPr="00F669AB">
        <w:rPr>
          <w:rFonts w:ascii="Arial" w:hAnsi="Arial" w:cs="Arial"/>
          <w:sz w:val="24"/>
          <w:szCs w:val="24"/>
        </w:rPr>
        <w:t xml:space="preserve"> (18 seats allocated</w:t>
      </w:r>
      <w:r w:rsidR="00A157EE" w:rsidRPr="00F669AB">
        <w:rPr>
          <w:rFonts w:ascii="Arial" w:hAnsi="Arial" w:cs="Arial"/>
          <w:sz w:val="24"/>
          <w:szCs w:val="24"/>
        </w:rPr>
        <w:t xml:space="preserve"> to </w:t>
      </w:r>
      <w:r w:rsidR="009317C7" w:rsidRPr="00F669AB">
        <w:rPr>
          <w:rFonts w:ascii="Arial" w:hAnsi="Arial" w:cs="Arial"/>
          <w:sz w:val="24"/>
          <w:szCs w:val="24"/>
        </w:rPr>
        <w:t>counci</w:t>
      </w:r>
      <w:r w:rsidR="00BD0EDD" w:rsidRPr="00F669AB">
        <w:rPr>
          <w:rFonts w:ascii="Arial" w:hAnsi="Arial" w:cs="Arial"/>
          <w:sz w:val="24"/>
          <w:szCs w:val="24"/>
        </w:rPr>
        <w:t>l</w:t>
      </w:r>
      <w:r w:rsidR="009317C7" w:rsidRPr="00F669AB">
        <w:rPr>
          <w:rFonts w:ascii="Arial" w:hAnsi="Arial" w:cs="Arial"/>
          <w:sz w:val="24"/>
          <w:szCs w:val="24"/>
        </w:rPr>
        <w:t>lors</w:t>
      </w:r>
      <w:r w:rsidR="00A157EE" w:rsidRPr="00F669AB">
        <w:rPr>
          <w:rFonts w:ascii="Arial" w:hAnsi="Arial" w:cs="Arial"/>
          <w:sz w:val="24"/>
          <w:szCs w:val="24"/>
        </w:rPr>
        <w:t xml:space="preserve"> </w:t>
      </w:r>
      <w:r w:rsidR="0004329D" w:rsidRPr="00F669AB">
        <w:rPr>
          <w:rFonts w:ascii="Arial" w:hAnsi="Arial" w:cs="Arial"/>
          <w:sz w:val="24"/>
          <w:szCs w:val="24"/>
        </w:rPr>
        <w:t xml:space="preserve">elected </w:t>
      </w:r>
      <w:r w:rsidR="00A157EE" w:rsidRPr="00F669AB">
        <w:rPr>
          <w:rFonts w:ascii="Arial" w:hAnsi="Arial" w:cs="Arial"/>
          <w:sz w:val="24"/>
          <w:szCs w:val="24"/>
        </w:rPr>
        <w:t>in terms of s 23(1)</w:t>
      </w:r>
      <w:r w:rsidR="00B72D56" w:rsidRPr="00F669AB">
        <w:rPr>
          <w:rFonts w:ascii="Arial" w:hAnsi="Arial" w:cs="Arial"/>
          <w:i/>
          <w:iCs/>
          <w:sz w:val="24"/>
          <w:szCs w:val="24"/>
        </w:rPr>
        <w:t>(a)</w:t>
      </w:r>
      <w:r w:rsidR="0004329D" w:rsidRPr="00F669AB">
        <w:rPr>
          <w:rFonts w:ascii="Arial" w:hAnsi="Arial" w:cs="Arial"/>
          <w:sz w:val="24"/>
          <w:szCs w:val="24"/>
        </w:rPr>
        <w:t>, and 25 seats allocated</w:t>
      </w:r>
      <w:r w:rsidR="00A157EE" w:rsidRPr="00F669AB">
        <w:rPr>
          <w:rFonts w:ascii="Arial" w:hAnsi="Arial" w:cs="Arial"/>
          <w:sz w:val="24"/>
          <w:szCs w:val="24"/>
        </w:rPr>
        <w:t xml:space="preserve"> to </w:t>
      </w:r>
      <w:r w:rsidR="0004329D" w:rsidRPr="00F669AB">
        <w:rPr>
          <w:rFonts w:ascii="Arial" w:hAnsi="Arial" w:cs="Arial"/>
          <w:sz w:val="24"/>
          <w:szCs w:val="24"/>
        </w:rPr>
        <w:t>council</w:t>
      </w:r>
      <w:r w:rsidR="00BD0EDD" w:rsidRPr="00F669AB">
        <w:rPr>
          <w:rFonts w:ascii="Arial" w:hAnsi="Arial" w:cs="Arial"/>
          <w:sz w:val="24"/>
          <w:szCs w:val="24"/>
        </w:rPr>
        <w:t>l</w:t>
      </w:r>
      <w:r w:rsidR="0004329D" w:rsidRPr="00F669AB">
        <w:rPr>
          <w:rFonts w:ascii="Arial" w:hAnsi="Arial" w:cs="Arial"/>
          <w:sz w:val="24"/>
          <w:szCs w:val="24"/>
        </w:rPr>
        <w:t>ors appointed</w:t>
      </w:r>
      <w:r w:rsidR="00A157EE" w:rsidRPr="00F669AB">
        <w:rPr>
          <w:rFonts w:ascii="Arial" w:hAnsi="Arial" w:cs="Arial"/>
          <w:sz w:val="24"/>
          <w:szCs w:val="24"/>
        </w:rPr>
        <w:t xml:space="preserve"> in terms of s 23(1)</w:t>
      </w:r>
      <w:r w:rsidR="00A157EE" w:rsidRPr="00F669AB">
        <w:rPr>
          <w:rFonts w:ascii="Arial" w:hAnsi="Arial" w:cs="Arial"/>
          <w:i/>
          <w:iCs/>
          <w:sz w:val="24"/>
          <w:szCs w:val="24"/>
        </w:rPr>
        <w:t>(b)</w:t>
      </w:r>
      <w:r w:rsidR="00A157EE" w:rsidRPr="00F669AB">
        <w:rPr>
          <w:rFonts w:ascii="Arial" w:hAnsi="Arial" w:cs="Arial"/>
          <w:sz w:val="24"/>
          <w:szCs w:val="24"/>
        </w:rPr>
        <w:t xml:space="preserve">). </w:t>
      </w:r>
    </w:p>
    <w:p w14:paraId="3BA1EE2B" w14:textId="77777777" w:rsidR="00734DFC" w:rsidRPr="00512F52" w:rsidRDefault="00734DFC" w:rsidP="00772102">
      <w:pPr>
        <w:pStyle w:val="ListParagraph"/>
        <w:spacing w:after="0" w:line="360" w:lineRule="auto"/>
        <w:ind w:left="0"/>
        <w:jc w:val="both"/>
        <w:rPr>
          <w:rFonts w:ascii="Arial" w:hAnsi="Arial" w:cs="Arial"/>
          <w:sz w:val="24"/>
          <w:szCs w:val="24"/>
        </w:rPr>
      </w:pPr>
    </w:p>
    <w:p w14:paraId="6D6FAEF2" w14:textId="3583955A" w:rsidR="00634E71"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[32]</w:t>
      </w:r>
      <w:r w:rsidRPr="00512F52">
        <w:rPr>
          <w:rFonts w:ascii="Arial" w:hAnsi="Arial" w:cs="Arial"/>
          <w:sz w:val="24"/>
          <w:szCs w:val="24"/>
        </w:rPr>
        <w:tab/>
      </w:r>
      <w:r w:rsidR="00BD0EDD" w:rsidRPr="00F669AB">
        <w:rPr>
          <w:rFonts w:ascii="Arial" w:hAnsi="Arial" w:cs="Arial"/>
          <w:sz w:val="24"/>
          <w:szCs w:val="24"/>
        </w:rPr>
        <w:t xml:space="preserve">King Cetshawayo </w:t>
      </w:r>
      <w:r w:rsidR="00A157EE" w:rsidRPr="00F669AB">
        <w:rPr>
          <w:rFonts w:ascii="Arial" w:hAnsi="Arial" w:cs="Arial"/>
          <w:sz w:val="24"/>
          <w:szCs w:val="24"/>
        </w:rPr>
        <w:t>Di</w:t>
      </w:r>
      <w:r w:rsidR="00033889" w:rsidRPr="00F669AB">
        <w:rPr>
          <w:rFonts w:ascii="Arial" w:hAnsi="Arial" w:cs="Arial"/>
          <w:sz w:val="24"/>
          <w:szCs w:val="24"/>
        </w:rPr>
        <w:t>strict Municipality comprises</w:t>
      </w:r>
      <w:r w:rsidR="00A157EE" w:rsidRPr="00F669AB">
        <w:rPr>
          <w:rFonts w:ascii="Arial" w:hAnsi="Arial" w:cs="Arial"/>
          <w:sz w:val="24"/>
          <w:szCs w:val="24"/>
        </w:rPr>
        <w:t xml:space="preserve"> five local municipalities, and its seats are allocated </w:t>
      </w:r>
      <w:r w:rsidR="00D03E37" w:rsidRPr="00F669AB">
        <w:rPr>
          <w:rFonts w:ascii="Arial" w:hAnsi="Arial" w:cs="Arial"/>
          <w:sz w:val="24"/>
          <w:szCs w:val="24"/>
        </w:rPr>
        <w:t>as follows:</w:t>
      </w:r>
    </w:p>
    <w:p w14:paraId="3FE7B704" w14:textId="54975D4F" w:rsidR="00870473" w:rsidRPr="00512F52" w:rsidRDefault="00860BB6" w:rsidP="00772102">
      <w:pPr>
        <w:spacing w:after="0" w:line="360" w:lineRule="auto"/>
        <w:jc w:val="both"/>
        <w:rPr>
          <w:rFonts w:ascii="Arial" w:hAnsi="Arial" w:cs="Arial"/>
          <w:sz w:val="24"/>
          <w:szCs w:val="24"/>
        </w:rPr>
      </w:pPr>
      <w:r w:rsidRPr="00512F52">
        <w:rPr>
          <w:rFonts w:ascii="Arial" w:hAnsi="Arial" w:cs="Arial"/>
          <w:sz w:val="24"/>
          <w:szCs w:val="24"/>
        </w:rPr>
        <w:t>(a)</w:t>
      </w:r>
      <w:r w:rsidRPr="00512F52">
        <w:rPr>
          <w:rFonts w:ascii="Arial" w:hAnsi="Arial" w:cs="Arial"/>
          <w:sz w:val="24"/>
          <w:szCs w:val="24"/>
        </w:rPr>
        <w:tab/>
      </w:r>
      <w:r w:rsidR="00870473" w:rsidRPr="00512F52">
        <w:rPr>
          <w:rFonts w:ascii="Arial" w:hAnsi="Arial" w:cs="Arial"/>
          <w:sz w:val="24"/>
          <w:szCs w:val="24"/>
        </w:rPr>
        <w:t xml:space="preserve">uMhlathuze Local Municipality </w:t>
      </w:r>
      <w:r w:rsidRPr="00512F52">
        <w:rPr>
          <w:rFonts w:ascii="Arial" w:hAnsi="Arial" w:cs="Arial"/>
          <w:sz w:val="24"/>
          <w:szCs w:val="24"/>
        </w:rPr>
        <w:tab/>
      </w:r>
      <w:r w:rsidRPr="00512F52">
        <w:rPr>
          <w:rFonts w:ascii="Arial" w:hAnsi="Arial" w:cs="Arial"/>
          <w:sz w:val="24"/>
          <w:szCs w:val="24"/>
        </w:rPr>
        <w:tab/>
      </w:r>
      <w:r w:rsidR="00870473" w:rsidRPr="00512F52">
        <w:rPr>
          <w:rFonts w:ascii="Arial" w:hAnsi="Arial" w:cs="Arial"/>
          <w:sz w:val="24"/>
          <w:szCs w:val="24"/>
        </w:rPr>
        <w:t>10 seats;</w:t>
      </w:r>
    </w:p>
    <w:p w14:paraId="521EF93B" w14:textId="6755F492" w:rsidR="00870473" w:rsidRPr="00512F52" w:rsidRDefault="00860BB6" w:rsidP="00772102">
      <w:pPr>
        <w:spacing w:after="0" w:line="360" w:lineRule="auto"/>
        <w:jc w:val="both"/>
        <w:rPr>
          <w:rFonts w:ascii="Arial" w:hAnsi="Arial" w:cs="Arial"/>
          <w:sz w:val="24"/>
          <w:szCs w:val="24"/>
        </w:rPr>
      </w:pPr>
      <w:r w:rsidRPr="00512F52">
        <w:rPr>
          <w:rFonts w:ascii="Arial" w:hAnsi="Arial" w:cs="Arial"/>
          <w:sz w:val="24"/>
          <w:szCs w:val="24"/>
        </w:rPr>
        <w:t>(b)</w:t>
      </w:r>
      <w:r w:rsidRPr="00512F52">
        <w:rPr>
          <w:rFonts w:ascii="Arial" w:hAnsi="Arial" w:cs="Arial"/>
          <w:sz w:val="24"/>
          <w:szCs w:val="24"/>
        </w:rPr>
        <w:tab/>
      </w:r>
      <w:r w:rsidR="00870473" w:rsidRPr="00512F52">
        <w:rPr>
          <w:rFonts w:ascii="Arial" w:hAnsi="Arial" w:cs="Arial"/>
          <w:sz w:val="24"/>
          <w:szCs w:val="24"/>
        </w:rPr>
        <w:t xml:space="preserve">uMlalazi Local Municipality </w:t>
      </w:r>
      <w:r w:rsidRPr="00512F52">
        <w:rPr>
          <w:rFonts w:ascii="Arial" w:hAnsi="Arial" w:cs="Arial"/>
          <w:sz w:val="24"/>
          <w:szCs w:val="24"/>
        </w:rPr>
        <w:tab/>
      </w:r>
      <w:r w:rsidRPr="00512F52">
        <w:rPr>
          <w:rFonts w:ascii="Arial" w:hAnsi="Arial" w:cs="Arial"/>
          <w:sz w:val="24"/>
          <w:szCs w:val="24"/>
        </w:rPr>
        <w:tab/>
      </w:r>
      <w:r w:rsidR="00870473" w:rsidRPr="00512F52">
        <w:rPr>
          <w:rFonts w:ascii="Arial" w:hAnsi="Arial" w:cs="Arial"/>
          <w:sz w:val="24"/>
          <w:szCs w:val="24"/>
        </w:rPr>
        <w:t>6 seats;</w:t>
      </w:r>
    </w:p>
    <w:p w14:paraId="6349B5D4" w14:textId="2E59A95E" w:rsidR="00870473" w:rsidRPr="00512F52" w:rsidRDefault="00860BB6" w:rsidP="00772102">
      <w:pPr>
        <w:spacing w:after="0" w:line="360" w:lineRule="auto"/>
        <w:jc w:val="both"/>
        <w:rPr>
          <w:rFonts w:ascii="Arial" w:hAnsi="Arial" w:cs="Arial"/>
          <w:sz w:val="24"/>
          <w:szCs w:val="24"/>
        </w:rPr>
      </w:pPr>
      <w:r w:rsidRPr="00512F52">
        <w:rPr>
          <w:rFonts w:ascii="Arial" w:hAnsi="Arial" w:cs="Arial"/>
          <w:sz w:val="24"/>
          <w:szCs w:val="24"/>
        </w:rPr>
        <w:t>(c)</w:t>
      </w:r>
      <w:r w:rsidRPr="00512F52">
        <w:rPr>
          <w:rFonts w:ascii="Arial" w:hAnsi="Arial" w:cs="Arial"/>
          <w:sz w:val="24"/>
          <w:szCs w:val="24"/>
        </w:rPr>
        <w:tab/>
      </w:r>
      <w:r w:rsidR="00870473" w:rsidRPr="00512F52">
        <w:rPr>
          <w:rFonts w:ascii="Arial" w:hAnsi="Arial" w:cs="Arial"/>
          <w:sz w:val="24"/>
          <w:szCs w:val="24"/>
        </w:rPr>
        <w:t xml:space="preserve">Mthonjaneni Local Municipality </w:t>
      </w:r>
      <w:r w:rsidRPr="00512F52">
        <w:rPr>
          <w:rFonts w:ascii="Arial" w:hAnsi="Arial" w:cs="Arial"/>
          <w:sz w:val="24"/>
          <w:szCs w:val="24"/>
        </w:rPr>
        <w:tab/>
      </w:r>
      <w:r w:rsidRPr="00512F52">
        <w:rPr>
          <w:rFonts w:ascii="Arial" w:hAnsi="Arial" w:cs="Arial"/>
          <w:sz w:val="24"/>
          <w:szCs w:val="24"/>
        </w:rPr>
        <w:tab/>
      </w:r>
      <w:r w:rsidR="00870473" w:rsidRPr="00512F52">
        <w:rPr>
          <w:rFonts w:ascii="Arial" w:hAnsi="Arial" w:cs="Arial"/>
          <w:sz w:val="24"/>
          <w:szCs w:val="24"/>
        </w:rPr>
        <w:t>2 seats;</w:t>
      </w:r>
    </w:p>
    <w:p w14:paraId="6EAC8598" w14:textId="2DE7FA7F" w:rsidR="00870473" w:rsidRPr="00512F52" w:rsidRDefault="00860BB6" w:rsidP="00772102">
      <w:pPr>
        <w:spacing w:after="0" w:line="360" w:lineRule="auto"/>
        <w:jc w:val="both"/>
        <w:rPr>
          <w:rFonts w:ascii="Arial" w:hAnsi="Arial" w:cs="Arial"/>
          <w:sz w:val="24"/>
          <w:szCs w:val="24"/>
        </w:rPr>
      </w:pPr>
      <w:r w:rsidRPr="00512F52">
        <w:rPr>
          <w:rFonts w:ascii="Arial" w:hAnsi="Arial" w:cs="Arial"/>
          <w:sz w:val="24"/>
          <w:szCs w:val="24"/>
        </w:rPr>
        <w:t>(d)</w:t>
      </w:r>
      <w:r w:rsidRPr="00512F52">
        <w:rPr>
          <w:rFonts w:ascii="Arial" w:hAnsi="Arial" w:cs="Arial"/>
          <w:sz w:val="24"/>
          <w:szCs w:val="24"/>
        </w:rPr>
        <w:tab/>
      </w:r>
      <w:r w:rsidR="00870473" w:rsidRPr="00512F52">
        <w:rPr>
          <w:rFonts w:ascii="Arial" w:hAnsi="Arial" w:cs="Arial"/>
          <w:sz w:val="24"/>
          <w:szCs w:val="24"/>
        </w:rPr>
        <w:t xml:space="preserve">Nkandla Local Municipality </w:t>
      </w:r>
      <w:r w:rsidRPr="00512F52">
        <w:rPr>
          <w:rFonts w:ascii="Arial" w:hAnsi="Arial" w:cs="Arial"/>
          <w:sz w:val="24"/>
          <w:szCs w:val="24"/>
        </w:rPr>
        <w:tab/>
      </w:r>
      <w:r w:rsidRPr="00512F52">
        <w:rPr>
          <w:rFonts w:ascii="Arial" w:hAnsi="Arial" w:cs="Arial"/>
          <w:sz w:val="24"/>
          <w:szCs w:val="24"/>
        </w:rPr>
        <w:tab/>
      </w:r>
      <w:r w:rsidR="00870473" w:rsidRPr="00512F52">
        <w:rPr>
          <w:rFonts w:ascii="Arial" w:hAnsi="Arial" w:cs="Arial"/>
          <w:sz w:val="24"/>
          <w:szCs w:val="24"/>
        </w:rPr>
        <w:t>3 seats; and</w:t>
      </w:r>
    </w:p>
    <w:p w14:paraId="172FB313" w14:textId="6732D5B3" w:rsidR="00734DFC" w:rsidRPr="00512F52" w:rsidRDefault="00860BB6" w:rsidP="00772102">
      <w:pPr>
        <w:spacing w:after="0" w:line="360" w:lineRule="auto"/>
        <w:jc w:val="both"/>
        <w:rPr>
          <w:rFonts w:ascii="Arial" w:hAnsi="Arial" w:cs="Arial"/>
          <w:sz w:val="24"/>
          <w:szCs w:val="24"/>
        </w:rPr>
      </w:pPr>
      <w:r w:rsidRPr="00512F52">
        <w:rPr>
          <w:rFonts w:ascii="Arial" w:hAnsi="Arial" w:cs="Arial"/>
          <w:sz w:val="24"/>
          <w:szCs w:val="24"/>
        </w:rPr>
        <w:t>(e)</w:t>
      </w:r>
      <w:r w:rsidRPr="00512F52">
        <w:rPr>
          <w:rFonts w:ascii="Arial" w:hAnsi="Arial" w:cs="Arial"/>
          <w:sz w:val="24"/>
          <w:szCs w:val="24"/>
        </w:rPr>
        <w:tab/>
      </w:r>
      <w:r w:rsidR="00870473" w:rsidRPr="00512F52">
        <w:rPr>
          <w:rFonts w:ascii="Arial" w:hAnsi="Arial" w:cs="Arial"/>
          <w:sz w:val="24"/>
          <w:szCs w:val="24"/>
        </w:rPr>
        <w:t xml:space="preserve">uMfolozi Local Municipality </w:t>
      </w:r>
      <w:r w:rsidRPr="00512F52">
        <w:rPr>
          <w:rFonts w:ascii="Arial" w:hAnsi="Arial" w:cs="Arial"/>
          <w:sz w:val="24"/>
          <w:szCs w:val="24"/>
        </w:rPr>
        <w:tab/>
      </w:r>
      <w:r w:rsidRPr="00512F52">
        <w:rPr>
          <w:rFonts w:ascii="Arial" w:hAnsi="Arial" w:cs="Arial"/>
          <w:sz w:val="24"/>
          <w:szCs w:val="24"/>
        </w:rPr>
        <w:tab/>
      </w:r>
      <w:r w:rsidR="00870473" w:rsidRPr="00512F52">
        <w:rPr>
          <w:rFonts w:ascii="Arial" w:hAnsi="Arial" w:cs="Arial"/>
          <w:sz w:val="24"/>
          <w:szCs w:val="24"/>
        </w:rPr>
        <w:t xml:space="preserve">4 seats. </w:t>
      </w:r>
    </w:p>
    <w:p w14:paraId="730AB837" w14:textId="77777777" w:rsidR="003C0E85" w:rsidRPr="00512F52" w:rsidRDefault="003C0E85" w:rsidP="00772102">
      <w:pPr>
        <w:spacing w:after="0" w:line="360" w:lineRule="auto"/>
        <w:jc w:val="both"/>
        <w:rPr>
          <w:rFonts w:ascii="Arial" w:hAnsi="Arial" w:cs="Arial"/>
          <w:sz w:val="24"/>
          <w:szCs w:val="24"/>
        </w:rPr>
      </w:pPr>
    </w:p>
    <w:p w14:paraId="7D4A1428" w14:textId="75482378" w:rsidR="003C0E8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[33]</w:t>
      </w:r>
      <w:r w:rsidRPr="00512F52">
        <w:rPr>
          <w:rFonts w:ascii="Arial" w:hAnsi="Arial" w:cs="Arial"/>
          <w:sz w:val="24"/>
          <w:szCs w:val="24"/>
        </w:rPr>
        <w:tab/>
      </w:r>
      <w:r w:rsidR="00CB5830" w:rsidRPr="00F669AB">
        <w:rPr>
          <w:rFonts w:ascii="Arial" w:hAnsi="Arial" w:cs="Arial"/>
          <w:sz w:val="24"/>
          <w:szCs w:val="24"/>
        </w:rPr>
        <w:t xml:space="preserve">The </w:t>
      </w:r>
      <w:r w:rsidR="005F2E08" w:rsidRPr="00F669AB">
        <w:rPr>
          <w:rFonts w:ascii="Arial" w:hAnsi="Arial" w:cs="Arial"/>
          <w:sz w:val="24"/>
          <w:szCs w:val="24"/>
        </w:rPr>
        <w:t>members</w:t>
      </w:r>
      <w:r w:rsidR="00CB5830" w:rsidRPr="00F669AB">
        <w:rPr>
          <w:rFonts w:ascii="Arial" w:hAnsi="Arial" w:cs="Arial"/>
          <w:sz w:val="24"/>
          <w:szCs w:val="24"/>
        </w:rPr>
        <w:t xml:space="preserve"> chosen at this meeting would </w:t>
      </w:r>
      <w:r w:rsidR="004C24EC" w:rsidRPr="00F669AB">
        <w:rPr>
          <w:rFonts w:ascii="Arial" w:hAnsi="Arial" w:cs="Arial"/>
          <w:sz w:val="24"/>
          <w:szCs w:val="24"/>
        </w:rPr>
        <w:t xml:space="preserve">be sent to </w:t>
      </w:r>
      <w:r w:rsidR="005F2E08" w:rsidRPr="00F669AB">
        <w:rPr>
          <w:rFonts w:ascii="Arial" w:hAnsi="Arial" w:cs="Arial"/>
          <w:sz w:val="24"/>
          <w:szCs w:val="24"/>
        </w:rPr>
        <w:t>represent the Local Council on the District Council.</w:t>
      </w:r>
      <w:r w:rsidR="00CB5830" w:rsidRPr="00F669AB">
        <w:rPr>
          <w:rFonts w:ascii="Arial" w:hAnsi="Arial" w:cs="Arial"/>
          <w:sz w:val="24"/>
          <w:szCs w:val="24"/>
        </w:rPr>
        <w:t xml:space="preserve"> However, once the meeting</w:t>
      </w:r>
      <w:r w:rsidR="000861BF" w:rsidRPr="00F669AB">
        <w:rPr>
          <w:rFonts w:ascii="Arial" w:hAnsi="Arial" w:cs="Arial"/>
          <w:sz w:val="24"/>
          <w:szCs w:val="24"/>
        </w:rPr>
        <w:t xml:space="preserve"> was convened, 27 councillors, who represented the A</w:t>
      </w:r>
      <w:r w:rsidR="00947E4F" w:rsidRPr="00F669AB">
        <w:rPr>
          <w:rFonts w:ascii="Arial" w:hAnsi="Arial" w:cs="Arial"/>
          <w:sz w:val="24"/>
          <w:szCs w:val="24"/>
        </w:rPr>
        <w:t xml:space="preserve">frican </w:t>
      </w:r>
      <w:r w:rsidR="000861BF" w:rsidRPr="00F669AB">
        <w:rPr>
          <w:rFonts w:ascii="Arial" w:hAnsi="Arial" w:cs="Arial"/>
          <w:sz w:val="24"/>
          <w:szCs w:val="24"/>
        </w:rPr>
        <w:t>N</w:t>
      </w:r>
      <w:r w:rsidR="00947E4F" w:rsidRPr="00F669AB">
        <w:rPr>
          <w:rFonts w:ascii="Arial" w:hAnsi="Arial" w:cs="Arial"/>
          <w:sz w:val="24"/>
          <w:szCs w:val="24"/>
        </w:rPr>
        <w:t xml:space="preserve">ational </w:t>
      </w:r>
      <w:r w:rsidR="000861BF" w:rsidRPr="00F669AB">
        <w:rPr>
          <w:rFonts w:ascii="Arial" w:hAnsi="Arial" w:cs="Arial"/>
          <w:sz w:val="24"/>
          <w:szCs w:val="24"/>
        </w:rPr>
        <w:t>C</w:t>
      </w:r>
      <w:r w:rsidR="00947E4F" w:rsidRPr="00F669AB">
        <w:rPr>
          <w:rFonts w:ascii="Arial" w:hAnsi="Arial" w:cs="Arial"/>
          <w:sz w:val="24"/>
          <w:szCs w:val="24"/>
        </w:rPr>
        <w:t>ongress (ANC)</w:t>
      </w:r>
      <w:r w:rsidR="00CB5830" w:rsidRPr="00F669AB">
        <w:rPr>
          <w:rFonts w:ascii="Arial" w:hAnsi="Arial" w:cs="Arial"/>
          <w:sz w:val="24"/>
          <w:szCs w:val="24"/>
        </w:rPr>
        <w:t>, walked out of the m</w:t>
      </w:r>
      <w:r w:rsidR="000861BF" w:rsidRPr="00F669AB">
        <w:rPr>
          <w:rFonts w:ascii="Arial" w:hAnsi="Arial" w:cs="Arial"/>
          <w:sz w:val="24"/>
          <w:szCs w:val="24"/>
        </w:rPr>
        <w:t>eeting before signing the attendance register, purportedly in protest</w:t>
      </w:r>
      <w:r w:rsidR="004C24EC" w:rsidRPr="00F669AB">
        <w:rPr>
          <w:rFonts w:ascii="Arial" w:hAnsi="Arial" w:cs="Arial"/>
          <w:sz w:val="24"/>
          <w:szCs w:val="24"/>
        </w:rPr>
        <w:t xml:space="preserve"> for reason</w:t>
      </w:r>
      <w:r w:rsidR="006E52E4" w:rsidRPr="00F669AB">
        <w:rPr>
          <w:rFonts w:ascii="Arial" w:hAnsi="Arial" w:cs="Arial"/>
          <w:sz w:val="24"/>
          <w:szCs w:val="24"/>
        </w:rPr>
        <w:t>s</w:t>
      </w:r>
      <w:r w:rsidR="004C24EC" w:rsidRPr="00F669AB">
        <w:rPr>
          <w:rFonts w:ascii="Arial" w:hAnsi="Arial" w:cs="Arial"/>
          <w:sz w:val="24"/>
          <w:szCs w:val="24"/>
        </w:rPr>
        <w:t xml:space="preserve"> not relevant to</w:t>
      </w:r>
      <w:r w:rsidR="00CB5830" w:rsidRPr="00F669AB">
        <w:rPr>
          <w:rFonts w:ascii="Arial" w:hAnsi="Arial" w:cs="Arial"/>
          <w:sz w:val="24"/>
          <w:szCs w:val="24"/>
        </w:rPr>
        <w:t xml:space="preserve"> these </w:t>
      </w:r>
      <w:r w:rsidR="00CB5830" w:rsidRPr="00F669AB">
        <w:rPr>
          <w:rFonts w:ascii="Arial" w:hAnsi="Arial" w:cs="Arial"/>
          <w:sz w:val="24"/>
          <w:szCs w:val="24"/>
        </w:rPr>
        <w:lastRenderedPageBreak/>
        <w:t>proceedings</w:t>
      </w:r>
      <w:r w:rsidR="000861BF" w:rsidRPr="00F669AB">
        <w:rPr>
          <w:rFonts w:ascii="Arial" w:hAnsi="Arial" w:cs="Arial"/>
          <w:sz w:val="24"/>
          <w:szCs w:val="24"/>
        </w:rPr>
        <w:t xml:space="preserve">. </w:t>
      </w:r>
      <w:r w:rsidR="004C24EC" w:rsidRPr="00F669AB">
        <w:rPr>
          <w:rFonts w:ascii="Arial" w:hAnsi="Arial" w:cs="Arial"/>
          <w:sz w:val="24"/>
          <w:szCs w:val="24"/>
        </w:rPr>
        <w:t>A</w:t>
      </w:r>
      <w:r w:rsidR="000861BF" w:rsidRPr="00F669AB">
        <w:rPr>
          <w:rFonts w:ascii="Arial" w:hAnsi="Arial" w:cs="Arial"/>
          <w:sz w:val="24"/>
          <w:szCs w:val="24"/>
        </w:rPr>
        <w:t xml:space="preserve"> councillor, representing the National Freedom Party</w:t>
      </w:r>
      <w:r w:rsidR="00947E4F" w:rsidRPr="00F669AB">
        <w:rPr>
          <w:rFonts w:ascii="Arial" w:hAnsi="Arial" w:cs="Arial"/>
          <w:sz w:val="24"/>
          <w:szCs w:val="24"/>
        </w:rPr>
        <w:t xml:space="preserve"> (NFP)</w:t>
      </w:r>
      <w:r w:rsidR="000861BF" w:rsidRPr="00F669AB">
        <w:rPr>
          <w:rFonts w:ascii="Arial" w:hAnsi="Arial" w:cs="Arial"/>
          <w:sz w:val="24"/>
          <w:szCs w:val="24"/>
        </w:rPr>
        <w:t>,</w:t>
      </w:r>
      <w:r w:rsidR="004C24EC" w:rsidRPr="00F669AB">
        <w:rPr>
          <w:rFonts w:ascii="Arial" w:hAnsi="Arial" w:cs="Arial"/>
          <w:sz w:val="24"/>
          <w:szCs w:val="24"/>
        </w:rPr>
        <w:t xml:space="preserve"> attended the meeting but</w:t>
      </w:r>
      <w:r w:rsidR="000861BF" w:rsidRPr="00F669AB">
        <w:rPr>
          <w:rFonts w:ascii="Arial" w:hAnsi="Arial" w:cs="Arial"/>
          <w:sz w:val="24"/>
          <w:szCs w:val="24"/>
        </w:rPr>
        <w:t xml:space="preserve"> abstained from voting.</w:t>
      </w:r>
    </w:p>
    <w:p w14:paraId="4D1A76E3" w14:textId="77777777" w:rsidR="00734DFC" w:rsidRPr="00512F52" w:rsidRDefault="00734DFC" w:rsidP="00772102">
      <w:pPr>
        <w:pStyle w:val="ListParagraph"/>
        <w:spacing w:after="0" w:line="360" w:lineRule="auto"/>
        <w:ind w:left="0"/>
        <w:jc w:val="both"/>
        <w:rPr>
          <w:rFonts w:ascii="Arial" w:hAnsi="Arial" w:cs="Arial"/>
          <w:sz w:val="24"/>
          <w:szCs w:val="24"/>
        </w:rPr>
      </w:pPr>
    </w:p>
    <w:p w14:paraId="3E047FCE" w14:textId="7D017C2F" w:rsidR="003C0E8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[34]</w:t>
      </w:r>
      <w:r w:rsidRPr="00512F52">
        <w:rPr>
          <w:rFonts w:ascii="Arial" w:hAnsi="Arial" w:cs="Arial"/>
          <w:sz w:val="24"/>
          <w:szCs w:val="24"/>
        </w:rPr>
        <w:tab/>
      </w:r>
      <w:r w:rsidR="003D5B2C" w:rsidRPr="00F669AB">
        <w:rPr>
          <w:rFonts w:ascii="Arial" w:hAnsi="Arial" w:cs="Arial"/>
          <w:sz w:val="24"/>
          <w:szCs w:val="24"/>
        </w:rPr>
        <w:t xml:space="preserve">Despite the absence of the ANC </w:t>
      </w:r>
      <w:r w:rsidR="00947E4F" w:rsidRPr="00F669AB">
        <w:rPr>
          <w:rFonts w:ascii="Arial" w:hAnsi="Arial" w:cs="Arial"/>
          <w:sz w:val="24"/>
          <w:szCs w:val="24"/>
        </w:rPr>
        <w:t>councillors</w:t>
      </w:r>
      <w:r w:rsidR="003D5B2C" w:rsidRPr="00F669AB">
        <w:rPr>
          <w:rFonts w:ascii="Arial" w:hAnsi="Arial" w:cs="Arial"/>
          <w:sz w:val="24"/>
          <w:szCs w:val="24"/>
        </w:rPr>
        <w:t xml:space="preserve">, a quorum was present as contemplated in s </w:t>
      </w:r>
      <w:r w:rsidR="00947E4F" w:rsidRPr="00F669AB">
        <w:rPr>
          <w:rFonts w:ascii="Arial" w:hAnsi="Arial" w:cs="Arial"/>
          <w:sz w:val="24"/>
          <w:szCs w:val="24"/>
        </w:rPr>
        <w:t>30(1) of the Structures Act. The remaining 39 councillors took part in the proce</w:t>
      </w:r>
      <w:r w:rsidR="004C24EC" w:rsidRPr="00F669AB">
        <w:rPr>
          <w:rFonts w:ascii="Arial" w:hAnsi="Arial" w:cs="Arial"/>
          <w:sz w:val="24"/>
          <w:szCs w:val="24"/>
        </w:rPr>
        <w:t>dures regulated by Schedule 2 to</w:t>
      </w:r>
      <w:r w:rsidR="00947E4F" w:rsidRPr="00F669AB">
        <w:rPr>
          <w:rFonts w:ascii="Arial" w:hAnsi="Arial" w:cs="Arial"/>
          <w:sz w:val="24"/>
          <w:szCs w:val="24"/>
        </w:rPr>
        <w:t xml:space="preserve"> the Structures Act to elect representatives of the Local Council to the District Council.</w:t>
      </w:r>
    </w:p>
    <w:p w14:paraId="26D9EB58" w14:textId="77777777" w:rsidR="00734DFC" w:rsidRPr="00512F52" w:rsidRDefault="00734DFC" w:rsidP="00772102">
      <w:pPr>
        <w:pStyle w:val="ListParagraph"/>
        <w:spacing w:after="0" w:line="360" w:lineRule="auto"/>
        <w:jc w:val="both"/>
        <w:rPr>
          <w:rFonts w:ascii="Arial" w:hAnsi="Arial" w:cs="Arial"/>
          <w:sz w:val="24"/>
          <w:szCs w:val="24"/>
        </w:rPr>
      </w:pPr>
    </w:p>
    <w:p w14:paraId="396D06FF" w14:textId="13F09684" w:rsidR="003C0E8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[35]</w:t>
      </w:r>
      <w:r w:rsidRPr="00512F52">
        <w:rPr>
          <w:rFonts w:ascii="Arial" w:hAnsi="Arial" w:cs="Arial"/>
          <w:sz w:val="24"/>
          <w:szCs w:val="24"/>
        </w:rPr>
        <w:tab/>
      </w:r>
      <w:r w:rsidR="00947E4F" w:rsidRPr="00F669AB">
        <w:rPr>
          <w:rFonts w:ascii="Arial" w:hAnsi="Arial" w:cs="Arial"/>
          <w:sz w:val="24"/>
          <w:szCs w:val="24"/>
        </w:rPr>
        <w:t>Only three parties (the IFP, the DA and the EFF) submitted candidate lists in terms of item 17(1) of Schedule 2 for which the members of the Local Councils cast their votes.</w:t>
      </w:r>
      <w:r w:rsidR="004C24EC" w:rsidRPr="00F669AB">
        <w:rPr>
          <w:rFonts w:ascii="Arial" w:hAnsi="Arial" w:cs="Arial"/>
          <w:sz w:val="24"/>
          <w:szCs w:val="24"/>
        </w:rPr>
        <w:t xml:space="preserve"> </w:t>
      </w:r>
      <w:r w:rsidR="006B51CC" w:rsidRPr="00F669AB">
        <w:rPr>
          <w:rFonts w:ascii="Arial" w:hAnsi="Arial" w:cs="Arial"/>
          <w:sz w:val="24"/>
          <w:szCs w:val="24"/>
        </w:rPr>
        <w:t>In other words, t</w:t>
      </w:r>
      <w:r w:rsidR="00947E4F" w:rsidRPr="00F669AB">
        <w:rPr>
          <w:rFonts w:ascii="Arial" w:hAnsi="Arial" w:cs="Arial"/>
          <w:sz w:val="24"/>
          <w:szCs w:val="24"/>
        </w:rPr>
        <w:t xml:space="preserve">he members of the Local Council </w:t>
      </w:r>
      <w:r w:rsidR="006B51CC" w:rsidRPr="00F669AB">
        <w:rPr>
          <w:rFonts w:ascii="Arial" w:hAnsi="Arial" w:cs="Arial"/>
          <w:sz w:val="24"/>
          <w:szCs w:val="24"/>
        </w:rPr>
        <w:t xml:space="preserve">had to </w:t>
      </w:r>
      <w:r w:rsidR="00947E4F" w:rsidRPr="00F669AB">
        <w:rPr>
          <w:rFonts w:ascii="Arial" w:hAnsi="Arial" w:cs="Arial"/>
          <w:sz w:val="24"/>
          <w:szCs w:val="24"/>
        </w:rPr>
        <w:t>cast their votes in</w:t>
      </w:r>
      <w:r w:rsidR="00632541" w:rsidRPr="00F669AB">
        <w:rPr>
          <w:rFonts w:ascii="Arial" w:hAnsi="Arial" w:cs="Arial"/>
          <w:sz w:val="24"/>
          <w:szCs w:val="24"/>
        </w:rPr>
        <w:t xml:space="preserve"> favour of their preferred list. Each councillor </w:t>
      </w:r>
      <w:r w:rsidR="006A3E6C" w:rsidRPr="00F669AB">
        <w:rPr>
          <w:rFonts w:ascii="Arial" w:hAnsi="Arial" w:cs="Arial"/>
          <w:sz w:val="24"/>
          <w:szCs w:val="24"/>
        </w:rPr>
        <w:t>would cast</w:t>
      </w:r>
      <w:r w:rsidR="00632541" w:rsidRPr="00F669AB">
        <w:rPr>
          <w:rFonts w:ascii="Arial" w:hAnsi="Arial" w:cs="Arial"/>
          <w:sz w:val="24"/>
          <w:szCs w:val="24"/>
        </w:rPr>
        <w:t xml:space="preserve"> one vote for one list only.</w:t>
      </w:r>
    </w:p>
    <w:p w14:paraId="182C60E0" w14:textId="77777777" w:rsidR="00734DFC" w:rsidRPr="00512F52" w:rsidRDefault="00734DFC" w:rsidP="00772102">
      <w:pPr>
        <w:pStyle w:val="ListParagraph"/>
        <w:spacing w:after="0" w:line="360" w:lineRule="auto"/>
        <w:jc w:val="both"/>
        <w:rPr>
          <w:rFonts w:ascii="Arial" w:hAnsi="Arial" w:cs="Arial"/>
          <w:sz w:val="24"/>
          <w:szCs w:val="24"/>
        </w:rPr>
      </w:pPr>
    </w:p>
    <w:p w14:paraId="551191C9" w14:textId="1E33295C" w:rsidR="00947E4F"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[36]</w:t>
      </w:r>
      <w:r w:rsidRPr="00512F52">
        <w:rPr>
          <w:rFonts w:ascii="Arial" w:hAnsi="Arial" w:cs="Arial"/>
          <w:sz w:val="24"/>
          <w:szCs w:val="24"/>
        </w:rPr>
        <w:tab/>
      </w:r>
      <w:r w:rsidR="00947E4F" w:rsidRPr="00F669AB">
        <w:rPr>
          <w:rFonts w:ascii="Arial" w:hAnsi="Arial" w:cs="Arial"/>
          <w:sz w:val="24"/>
          <w:szCs w:val="24"/>
        </w:rPr>
        <w:t xml:space="preserve">The </w:t>
      </w:r>
      <w:r w:rsidR="006B51CC" w:rsidRPr="00F669AB">
        <w:rPr>
          <w:rFonts w:ascii="Arial" w:hAnsi="Arial" w:cs="Arial"/>
          <w:sz w:val="24"/>
          <w:szCs w:val="24"/>
        </w:rPr>
        <w:t xml:space="preserve">quota </w:t>
      </w:r>
      <w:r w:rsidR="00632541" w:rsidRPr="00F669AB">
        <w:rPr>
          <w:rFonts w:ascii="Arial" w:hAnsi="Arial" w:cs="Arial"/>
          <w:sz w:val="24"/>
          <w:szCs w:val="24"/>
        </w:rPr>
        <w:t xml:space="preserve">of votes for a seat was </w:t>
      </w:r>
      <w:r w:rsidR="006B51CC" w:rsidRPr="00F669AB">
        <w:rPr>
          <w:rFonts w:ascii="Arial" w:hAnsi="Arial" w:cs="Arial"/>
          <w:sz w:val="24"/>
          <w:szCs w:val="24"/>
        </w:rPr>
        <w:t>determined in terms of</w:t>
      </w:r>
      <w:r w:rsidR="00947E4F" w:rsidRPr="00F669AB">
        <w:rPr>
          <w:rFonts w:ascii="Arial" w:hAnsi="Arial" w:cs="Arial"/>
          <w:sz w:val="24"/>
          <w:szCs w:val="24"/>
        </w:rPr>
        <w:t xml:space="preserve"> </w:t>
      </w:r>
      <w:r w:rsidR="00632541" w:rsidRPr="00F669AB">
        <w:rPr>
          <w:rFonts w:ascii="Arial" w:hAnsi="Arial" w:cs="Arial"/>
          <w:sz w:val="24"/>
          <w:szCs w:val="24"/>
        </w:rPr>
        <w:t xml:space="preserve">the formula set out in </w:t>
      </w:r>
      <w:r w:rsidR="00947E4F" w:rsidRPr="00F669AB">
        <w:rPr>
          <w:rFonts w:ascii="Arial" w:hAnsi="Arial" w:cs="Arial"/>
          <w:sz w:val="24"/>
          <w:szCs w:val="24"/>
        </w:rPr>
        <w:t>item 19</w:t>
      </w:r>
      <w:r w:rsidR="00632541" w:rsidRPr="00F669AB">
        <w:rPr>
          <w:rFonts w:ascii="Arial" w:hAnsi="Arial" w:cs="Arial"/>
          <w:sz w:val="24"/>
          <w:szCs w:val="24"/>
        </w:rPr>
        <w:t xml:space="preserve"> of Schedule</w:t>
      </w:r>
      <w:r w:rsidR="003539C5" w:rsidRPr="00F669AB">
        <w:rPr>
          <w:rFonts w:ascii="Arial" w:hAnsi="Arial" w:cs="Arial"/>
          <w:sz w:val="24"/>
          <w:szCs w:val="24"/>
        </w:rPr>
        <w:t xml:space="preserve"> 2</w:t>
      </w:r>
      <w:r w:rsidR="00632541" w:rsidRPr="00F669AB">
        <w:rPr>
          <w:rFonts w:ascii="Arial" w:hAnsi="Arial" w:cs="Arial"/>
          <w:sz w:val="24"/>
          <w:szCs w:val="24"/>
        </w:rPr>
        <w:t>, namely,</w:t>
      </w:r>
      <w:r w:rsidR="00947E4F" w:rsidRPr="00F669AB">
        <w:rPr>
          <w:rFonts w:ascii="Arial" w:hAnsi="Arial" w:cs="Arial"/>
          <w:sz w:val="24"/>
          <w:szCs w:val="24"/>
        </w:rPr>
        <w:t xml:space="preserve"> [(</w:t>
      </w:r>
      <w:r w:rsidR="0019679D" w:rsidRPr="00F669AB">
        <w:rPr>
          <w:rFonts w:ascii="Arial" w:hAnsi="Arial" w:cs="Arial"/>
          <w:sz w:val="24"/>
          <w:szCs w:val="24"/>
        </w:rPr>
        <w:t>A</w:t>
      </w:r>
      <w:r w:rsidR="00632541" w:rsidRPr="00F669AB">
        <w:rPr>
          <w:rFonts w:ascii="Arial" w:hAnsi="Arial" w:cs="Arial"/>
          <w:sz w:val="24"/>
          <w:szCs w:val="24"/>
        </w:rPr>
        <w:t>÷B)+1].</w:t>
      </w:r>
      <w:r w:rsidR="00B65224" w:rsidRPr="00F669AB">
        <w:rPr>
          <w:rFonts w:ascii="Arial" w:hAnsi="Arial" w:cs="Arial"/>
          <w:sz w:val="24"/>
          <w:szCs w:val="24"/>
        </w:rPr>
        <w:t xml:space="preserve"> The formula was applied as follow in this case:</w:t>
      </w:r>
      <w:r w:rsidR="008B5B71" w:rsidRPr="00F669AB">
        <w:rPr>
          <w:rFonts w:ascii="Arial" w:hAnsi="Arial" w:cs="Arial"/>
          <w:sz w:val="24"/>
          <w:szCs w:val="24"/>
        </w:rPr>
        <w:t xml:space="preserve"> </w:t>
      </w:r>
    </w:p>
    <w:p w14:paraId="2A072445" w14:textId="558E4812" w:rsidR="008B5B71" w:rsidRPr="00512F52" w:rsidRDefault="008B5B71" w:rsidP="00772102">
      <w:pPr>
        <w:spacing w:after="0" w:line="360" w:lineRule="auto"/>
        <w:jc w:val="both"/>
        <w:rPr>
          <w:rFonts w:ascii="Arial" w:hAnsi="Arial" w:cs="Arial"/>
          <w:sz w:val="24"/>
          <w:szCs w:val="24"/>
        </w:rPr>
      </w:pPr>
      <w:r w:rsidRPr="00512F52">
        <w:rPr>
          <w:rFonts w:ascii="Arial" w:hAnsi="Arial" w:cs="Arial"/>
          <w:sz w:val="24"/>
          <w:szCs w:val="24"/>
        </w:rPr>
        <w:t>67 (being the number of members on the Local Council) ÷ 10 (being the number of seats on the District Council awarded to the Local Council)</w:t>
      </w:r>
    </w:p>
    <w:p w14:paraId="184C39D9" w14:textId="5BB276B3" w:rsidR="008B5B71" w:rsidRPr="00512F52" w:rsidRDefault="008B5B71" w:rsidP="00772102">
      <w:pPr>
        <w:spacing w:after="0" w:line="360" w:lineRule="auto"/>
        <w:jc w:val="both"/>
        <w:rPr>
          <w:rFonts w:ascii="Arial" w:hAnsi="Arial" w:cs="Arial"/>
          <w:sz w:val="24"/>
          <w:szCs w:val="24"/>
        </w:rPr>
      </w:pPr>
      <w:r w:rsidRPr="00512F52">
        <w:rPr>
          <w:rFonts w:ascii="Arial" w:hAnsi="Arial" w:cs="Arial"/>
          <w:sz w:val="24"/>
          <w:szCs w:val="24"/>
        </w:rPr>
        <w:t>= 6.7+1 (disregard fractions)</w:t>
      </w:r>
    </w:p>
    <w:p w14:paraId="249A9F28" w14:textId="77777777" w:rsidR="008B5B71" w:rsidRPr="00512F52" w:rsidRDefault="008B5B71" w:rsidP="00772102">
      <w:pPr>
        <w:spacing w:after="0" w:line="360" w:lineRule="auto"/>
        <w:jc w:val="both"/>
        <w:rPr>
          <w:rFonts w:ascii="Arial" w:hAnsi="Arial" w:cs="Arial"/>
          <w:sz w:val="24"/>
          <w:szCs w:val="24"/>
        </w:rPr>
      </w:pPr>
      <w:r w:rsidRPr="00512F52">
        <w:rPr>
          <w:rFonts w:ascii="Arial" w:hAnsi="Arial" w:cs="Arial"/>
          <w:sz w:val="24"/>
          <w:szCs w:val="24"/>
        </w:rPr>
        <w:t>= 7.</w:t>
      </w:r>
    </w:p>
    <w:p w14:paraId="1FF0F609" w14:textId="77777777" w:rsidR="003C0E85" w:rsidRPr="00512F52" w:rsidRDefault="008B5B71" w:rsidP="00772102">
      <w:pPr>
        <w:spacing w:after="0" w:line="360" w:lineRule="auto"/>
        <w:jc w:val="both"/>
        <w:rPr>
          <w:rFonts w:ascii="Arial" w:hAnsi="Arial" w:cs="Arial"/>
          <w:sz w:val="24"/>
          <w:szCs w:val="24"/>
        </w:rPr>
      </w:pPr>
      <w:r w:rsidRPr="00512F52">
        <w:rPr>
          <w:rFonts w:ascii="Arial" w:hAnsi="Arial" w:cs="Arial"/>
          <w:sz w:val="24"/>
          <w:szCs w:val="24"/>
        </w:rPr>
        <w:t>Accordingly, a candidate list would be allocated</w:t>
      </w:r>
      <w:r w:rsidR="00B65224" w:rsidRPr="00512F52">
        <w:rPr>
          <w:rFonts w:ascii="Arial" w:hAnsi="Arial" w:cs="Arial"/>
          <w:sz w:val="24"/>
          <w:szCs w:val="24"/>
        </w:rPr>
        <w:t xml:space="preserve"> one</w:t>
      </w:r>
      <w:r w:rsidRPr="00512F52">
        <w:rPr>
          <w:rFonts w:ascii="Arial" w:hAnsi="Arial" w:cs="Arial"/>
          <w:sz w:val="24"/>
          <w:szCs w:val="24"/>
        </w:rPr>
        <w:t xml:space="preserve"> </w:t>
      </w:r>
      <w:r w:rsidR="00B65224" w:rsidRPr="00512F52">
        <w:rPr>
          <w:rFonts w:ascii="Arial" w:hAnsi="Arial" w:cs="Arial"/>
          <w:sz w:val="24"/>
          <w:szCs w:val="24"/>
        </w:rPr>
        <w:t>(</w:t>
      </w:r>
      <w:r w:rsidRPr="00512F52">
        <w:rPr>
          <w:rFonts w:ascii="Arial" w:hAnsi="Arial" w:cs="Arial"/>
          <w:sz w:val="24"/>
          <w:szCs w:val="24"/>
        </w:rPr>
        <w:t>1</w:t>
      </w:r>
      <w:r w:rsidR="00B65224" w:rsidRPr="00512F52">
        <w:rPr>
          <w:rFonts w:ascii="Arial" w:hAnsi="Arial" w:cs="Arial"/>
          <w:sz w:val="24"/>
          <w:szCs w:val="24"/>
        </w:rPr>
        <w:t>)</w:t>
      </w:r>
      <w:r w:rsidRPr="00512F52">
        <w:rPr>
          <w:rFonts w:ascii="Arial" w:hAnsi="Arial" w:cs="Arial"/>
          <w:sz w:val="24"/>
          <w:szCs w:val="24"/>
        </w:rPr>
        <w:t xml:space="preserve"> seat on the District Council for every</w:t>
      </w:r>
      <w:r w:rsidR="00B65224" w:rsidRPr="00512F52">
        <w:rPr>
          <w:rFonts w:ascii="Arial" w:hAnsi="Arial" w:cs="Arial"/>
          <w:sz w:val="24"/>
          <w:szCs w:val="24"/>
        </w:rPr>
        <w:t xml:space="preserve"> seven</w:t>
      </w:r>
      <w:r w:rsidRPr="00512F52">
        <w:rPr>
          <w:rFonts w:ascii="Arial" w:hAnsi="Arial" w:cs="Arial"/>
          <w:sz w:val="24"/>
          <w:szCs w:val="24"/>
        </w:rPr>
        <w:t xml:space="preserve"> </w:t>
      </w:r>
      <w:r w:rsidR="00B65224" w:rsidRPr="00512F52">
        <w:rPr>
          <w:rFonts w:ascii="Arial" w:hAnsi="Arial" w:cs="Arial"/>
          <w:sz w:val="24"/>
          <w:szCs w:val="24"/>
        </w:rPr>
        <w:t>(</w:t>
      </w:r>
      <w:r w:rsidRPr="00512F52">
        <w:rPr>
          <w:rFonts w:ascii="Arial" w:hAnsi="Arial" w:cs="Arial"/>
          <w:sz w:val="24"/>
          <w:szCs w:val="24"/>
        </w:rPr>
        <w:t>7</w:t>
      </w:r>
      <w:r w:rsidR="00B65224" w:rsidRPr="00512F52">
        <w:rPr>
          <w:rFonts w:ascii="Arial" w:hAnsi="Arial" w:cs="Arial"/>
          <w:sz w:val="24"/>
          <w:szCs w:val="24"/>
        </w:rPr>
        <w:t>)</w:t>
      </w:r>
      <w:r w:rsidRPr="00512F52">
        <w:rPr>
          <w:rFonts w:ascii="Arial" w:hAnsi="Arial" w:cs="Arial"/>
          <w:sz w:val="24"/>
          <w:szCs w:val="24"/>
        </w:rPr>
        <w:t xml:space="preserve"> votes received.</w:t>
      </w:r>
    </w:p>
    <w:p w14:paraId="32B5A8E6" w14:textId="0990A67A" w:rsidR="009438E1" w:rsidRPr="00512F52" w:rsidRDefault="009438E1" w:rsidP="00772102">
      <w:pPr>
        <w:spacing w:after="0" w:line="360" w:lineRule="auto"/>
        <w:ind w:firstLine="60"/>
        <w:jc w:val="both"/>
        <w:rPr>
          <w:rFonts w:ascii="Arial" w:hAnsi="Arial" w:cs="Arial"/>
          <w:sz w:val="24"/>
          <w:szCs w:val="24"/>
        </w:rPr>
      </w:pPr>
    </w:p>
    <w:p w14:paraId="0E9549BC" w14:textId="236D49D1" w:rsidR="008B5B71" w:rsidRPr="00512F52" w:rsidRDefault="009438E1" w:rsidP="00772102">
      <w:pPr>
        <w:spacing w:after="0" w:line="360" w:lineRule="auto"/>
        <w:jc w:val="both"/>
        <w:rPr>
          <w:rFonts w:ascii="Arial" w:hAnsi="Arial" w:cs="Arial"/>
          <w:sz w:val="24"/>
          <w:szCs w:val="24"/>
        </w:rPr>
      </w:pPr>
      <w:r w:rsidRPr="00512F52">
        <w:rPr>
          <w:rFonts w:ascii="Arial" w:hAnsi="Arial" w:cs="Arial"/>
          <w:b/>
          <w:bCs/>
          <w:sz w:val="24"/>
          <w:szCs w:val="24"/>
        </w:rPr>
        <w:t>The impugned decision</w:t>
      </w:r>
    </w:p>
    <w:p w14:paraId="721BE3F8" w14:textId="3F694B11" w:rsidR="002105F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[37]</w:t>
      </w:r>
      <w:r w:rsidRPr="00512F52">
        <w:rPr>
          <w:rFonts w:ascii="Arial" w:hAnsi="Arial" w:cs="Arial"/>
          <w:sz w:val="24"/>
          <w:szCs w:val="24"/>
        </w:rPr>
        <w:tab/>
      </w:r>
      <w:r w:rsidR="009438E1" w:rsidRPr="00F669AB">
        <w:rPr>
          <w:rFonts w:ascii="Arial" w:hAnsi="Arial" w:cs="Arial"/>
          <w:sz w:val="24"/>
          <w:szCs w:val="24"/>
        </w:rPr>
        <w:t>The IFP</w:t>
      </w:r>
      <w:r w:rsidR="0073006D" w:rsidRPr="00F669AB">
        <w:rPr>
          <w:rFonts w:ascii="Arial" w:hAnsi="Arial" w:cs="Arial"/>
          <w:sz w:val="24"/>
          <w:szCs w:val="24"/>
        </w:rPr>
        <w:t>’s list received 25</w:t>
      </w:r>
      <w:r w:rsidR="009438E1" w:rsidRPr="00F669AB">
        <w:rPr>
          <w:rFonts w:ascii="Arial" w:hAnsi="Arial" w:cs="Arial"/>
          <w:sz w:val="24"/>
          <w:szCs w:val="24"/>
        </w:rPr>
        <w:t xml:space="preserve"> votes, the DA</w:t>
      </w:r>
      <w:r w:rsidR="0073006D" w:rsidRPr="00F669AB">
        <w:rPr>
          <w:rFonts w:ascii="Arial" w:hAnsi="Arial" w:cs="Arial"/>
          <w:sz w:val="24"/>
          <w:szCs w:val="24"/>
        </w:rPr>
        <w:t>’ list</w:t>
      </w:r>
      <w:r w:rsidR="009438E1" w:rsidRPr="00F669AB">
        <w:rPr>
          <w:rFonts w:ascii="Arial" w:hAnsi="Arial" w:cs="Arial"/>
          <w:sz w:val="24"/>
          <w:szCs w:val="24"/>
        </w:rPr>
        <w:t xml:space="preserve"> received </w:t>
      </w:r>
      <w:r w:rsidR="0073006D" w:rsidRPr="00F669AB">
        <w:rPr>
          <w:rFonts w:ascii="Arial" w:hAnsi="Arial" w:cs="Arial"/>
          <w:sz w:val="24"/>
          <w:szCs w:val="24"/>
        </w:rPr>
        <w:t>8</w:t>
      </w:r>
      <w:r w:rsidR="009438E1" w:rsidRPr="00F669AB">
        <w:rPr>
          <w:rFonts w:ascii="Arial" w:hAnsi="Arial" w:cs="Arial"/>
          <w:sz w:val="24"/>
          <w:szCs w:val="24"/>
        </w:rPr>
        <w:t xml:space="preserve"> votes and the EFF</w:t>
      </w:r>
      <w:r w:rsidR="0073006D" w:rsidRPr="00F669AB">
        <w:rPr>
          <w:rFonts w:ascii="Arial" w:hAnsi="Arial" w:cs="Arial"/>
          <w:sz w:val="24"/>
          <w:szCs w:val="24"/>
        </w:rPr>
        <w:t>’s list</w:t>
      </w:r>
      <w:r w:rsidR="009438E1" w:rsidRPr="00F669AB">
        <w:rPr>
          <w:rFonts w:ascii="Arial" w:hAnsi="Arial" w:cs="Arial"/>
          <w:sz w:val="24"/>
          <w:szCs w:val="24"/>
        </w:rPr>
        <w:t xml:space="preserve"> received </w:t>
      </w:r>
      <w:r w:rsidR="0073006D" w:rsidRPr="00F669AB">
        <w:rPr>
          <w:rFonts w:ascii="Arial" w:hAnsi="Arial" w:cs="Arial"/>
          <w:sz w:val="24"/>
          <w:szCs w:val="24"/>
        </w:rPr>
        <w:t>6</w:t>
      </w:r>
      <w:r w:rsidR="009438E1" w:rsidRPr="00F669AB">
        <w:rPr>
          <w:rFonts w:ascii="Arial" w:hAnsi="Arial" w:cs="Arial"/>
          <w:sz w:val="24"/>
          <w:szCs w:val="24"/>
        </w:rPr>
        <w:t xml:space="preserve"> votes. </w:t>
      </w:r>
      <w:r w:rsidR="006B51CC" w:rsidRPr="00F669AB">
        <w:rPr>
          <w:rFonts w:ascii="Arial" w:hAnsi="Arial" w:cs="Arial"/>
          <w:sz w:val="24"/>
          <w:szCs w:val="24"/>
        </w:rPr>
        <w:t>Thereafter</w:t>
      </w:r>
      <w:r w:rsidR="00735B44" w:rsidRPr="00F669AB">
        <w:rPr>
          <w:rFonts w:ascii="Arial" w:hAnsi="Arial" w:cs="Arial"/>
          <w:sz w:val="24"/>
          <w:szCs w:val="24"/>
        </w:rPr>
        <w:t>,</w:t>
      </w:r>
      <w:r w:rsidR="006B51CC" w:rsidRPr="00F669AB">
        <w:rPr>
          <w:rFonts w:ascii="Arial" w:hAnsi="Arial" w:cs="Arial"/>
          <w:sz w:val="24"/>
          <w:szCs w:val="24"/>
        </w:rPr>
        <w:t xml:space="preserve"> the seats had to be allocated in terms of the procedure stipulated in item 20 of Schedule 2</w:t>
      </w:r>
      <w:r w:rsidR="00B51D05" w:rsidRPr="00F669AB">
        <w:rPr>
          <w:rFonts w:ascii="Arial" w:hAnsi="Arial" w:cs="Arial"/>
          <w:sz w:val="24"/>
          <w:szCs w:val="24"/>
        </w:rPr>
        <w:t xml:space="preserve">. I will deal with the provisions of </w:t>
      </w:r>
      <w:r w:rsidR="001927BA" w:rsidRPr="00F669AB">
        <w:rPr>
          <w:rFonts w:ascii="Arial" w:hAnsi="Arial" w:cs="Arial"/>
          <w:sz w:val="24"/>
          <w:szCs w:val="24"/>
        </w:rPr>
        <w:t>i</w:t>
      </w:r>
      <w:r w:rsidR="002105F5" w:rsidRPr="00F669AB">
        <w:rPr>
          <w:rFonts w:ascii="Arial" w:hAnsi="Arial" w:cs="Arial"/>
          <w:sz w:val="24"/>
          <w:szCs w:val="24"/>
        </w:rPr>
        <w:t>tem 20</w:t>
      </w:r>
      <w:r w:rsidR="00735B44" w:rsidRPr="00F669AB">
        <w:rPr>
          <w:rFonts w:ascii="Arial" w:hAnsi="Arial" w:cs="Arial"/>
          <w:sz w:val="24"/>
          <w:szCs w:val="24"/>
        </w:rPr>
        <w:t xml:space="preserve"> shortly</w:t>
      </w:r>
      <w:r w:rsidR="00B51D05" w:rsidRPr="00F669AB">
        <w:rPr>
          <w:rFonts w:ascii="Arial" w:hAnsi="Arial" w:cs="Arial"/>
          <w:sz w:val="24"/>
          <w:szCs w:val="24"/>
        </w:rPr>
        <w:t xml:space="preserve">. </w:t>
      </w:r>
      <w:r w:rsidR="009438E1" w:rsidRPr="00F669AB">
        <w:rPr>
          <w:rFonts w:ascii="Arial" w:hAnsi="Arial" w:cs="Arial"/>
          <w:sz w:val="24"/>
          <w:szCs w:val="24"/>
        </w:rPr>
        <w:t>During the first</w:t>
      </w:r>
      <w:r w:rsidR="00735B44" w:rsidRPr="00F669AB">
        <w:rPr>
          <w:rFonts w:ascii="Arial" w:hAnsi="Arial" w:cs="Arial"/>
          <w:sz w:val="24"/>
          <w:szCs w:val="24"/>
        </w:rPr>
        <w:t xml:space="preserve"> </w:t>
      </w:r>
      <w:r w:rsidR="009438E1" w:rsidRPr="00F669AB">
        <w:rPr>
          <w:rFonts w:ascii="Arial" w:hAnsi="Arial" w:cs="Arial"/>
          <w:sz w:val="24"/>
          <w:szCs w:val="24"/>
        </w:rPr>
        <w:t>round</w:t>
      </w:r>
      <w:r w:rsidR="000A34EC" w:rsidRPr="00F669AB">
        <w:rPr>
          <w:rFonts w:ascii="Arial" w:hAnsi="Arial" w:cs="Arial"/>
          <w:sz w:val="24"/>
          <w:szCs w:val="24"/>
        </w:rPr>
        <w:t>,</w:t>
      </w:r>
      <w:r w:rsidR="009438E1" w:rsidRPr="00F669AB">
        <w:rPr>
          <w:rFonts w:ascii="Arial" w:hAnsi="Arial" w:cs="Arial"/>
          <w:sz w:val="24"/>
          <w:szCs w:val="24"/>
        </w:rPr>
        <w:t xml:space="preserve"> </w:t>
      </w:r>
      <w:r w:rsidR="002105F5" w:rsidRPr="00F669AB">
        <w:rPr>
          <w:rFonts w:ascii="Arial" w:hAnsi="Arial" w:cs="Arial"/>
          <w:sz w:val="24"/>
          <w:szCs w:val="24"/>
        </w:rPr>
        <w:t>seats were allocated as follows in terms of item 20:</w:t>
      </w:r>
    </w:p>
    <w:p w14:paraId="34588F2E" w14:textId="7934F86C" w:rsidR="009438E1"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(a)</w:t>
      </w:r>
      <w:r w:rsidRPr="00512F52">
        <w:rPr>
          <w:rFonts w:ascii="Arial" w:hAnsi="Arial" w:cs="Arial"/>
          <w:sz w:val="24"/>
          <w:szCs w:val="24"/>
        </w:rPr>
        <w:tab/>
      </w:r>
      <w:r w:rsidR="009438E1" w:rsidRPr="00512F52">
        <w:rPr>
          <w:rFonts w:ascii="Arial" w:hAnsi="Arial" w:cs="Arial"/>
          <w:sz w:val="24"/>
          <w:szCs w:val="24"/>
        </w:rPr>
        <w:t>The IFP’s candidate</w:t>
      </w:r>
      <w:r w:rsidR="000A34EC" w:rsidRPr="00512F52">
        <w:rPr>
          <w:rFonts w:ascii="Arial" w:hAnsi="Arial" w:cs="Arial"/>
          <w:sz w:val="24"/>
          <w:szCs w:val="24"/>
        </w:rPr>
        <w:t>s’</w:t>
      </w:r>
      <w:r w:rsidR="009438E1" w:rsidRPr="00512F52">
        <w:rPr>
          <w:rFonts w:ascii="Arial" w:hAnsi="Arial" w:cs="Arial"/>
          <w:sz w:val="24"/>
          <w:szCs w:val="24"/>
        </w:rPr>
        <w:t xml:space="preserve"> list was allocated 3 of the 10 available seats;</w:t>
      </w:r>
    </w:p>
    <w:p w14:paraId="6D782A88" w14:textId="1BC9E479" w:rsidR="009438E1"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(b)</w:t>
      </w:r>
      <w:r w:rsidRPr="00512F52">
        <w:rPr>
          <w:rFonts w:ascii="Arial" w:hAnsi="Arial" w:cs="Arial"/>
          <w:sz w:val="24"/>
          <w:szCs w:val="24"/>
        </w:rPr>
        <w:tab/>
      </w:r>
      <w:r w:rsidR="009438E1" w:rsidRPr="00512F52">
        <w:rPr>
          <w:rFonts w:ascii="Arial" w:hAnsi="Arial" w:cs="Arial"/>
          <w:sz w:val="24"/>
          <w:szCs w:val="24"/>
        </w:rPr>
        <w:t>The DA’s candidate</w:t>
      </w:r>
      <w:r w:rsidR="000A34EC" w:rsidRPr="00512F52">
        <w:rPr>
          <w:rFonts w:ascii="Arial" w:hAnsi="Arial" w:cs="Arial"/>
          <w:sz w:val="24"/>
          <w:szCs w:val="24"/>
        </w:rPr>
        <w:t>s’</w:t>
      </w:r>
      <w:r w:rsidR="009438E1" w:rsidRPr="00512F52">
        <w:rPr>
          <w:rFonts w:ascii="Arial" w:hAnsi="Arial" w:cs="Arial"/>
          <w:sz w:val="24"/>
          <w:szCs w:val="24"/>
        </w:rPr>
        <w:t xml:space="preserve"> list was allocated 1 of the 10 available seats;</w:t>
      </w:r>
    </w:p>
    <w:p w14:paraId="01F47941" w14:textId="7B3B10CC" w:rsidR="009438E1"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(c)</w:t>
      </w:r>
      <w:r w:rsidRPr="00512F52">
        <w:rPr>
          <w:rFonts w:ascii="Arial" w:hAnsi="Arial" w:cs="Arial"/>
          <w:sz w:val="24"/>
          <w:szCs w:val="24"/>
        </w:rPr>
        <w:tab/>
      </w:r>
      <w:r w:rsidR="000E5934" w:rsidRPr="00512F52">
        <w:rPr>
          <w:rFonts w:ascii="Arial" w:hAnsi="Arial" w:cs="Arial"/>
          <w:sz w:val="24"/>
          <w:szCs w:val="24"/>
        </w:rPr>
        <w:t>The EFF’s candidate</w:t>
      </w:r>
      <w:r w:rsidR="000A34EC" w:rsidRPr="00512F52">
        <w:rPr>
          <w:rFonts w:ascii="Arial" w:hAnsi="Arial" w:cs="Arial"/>
          <w:sz w:val="24"/>
          <w:szCs w:val="24"/>
        </w:rPr>
        <w:t>s’</w:t>
      </w:r>
      <w:r w:rsidR="000E5934" w:rsidRPr="00512F52">
        <w:rPr>
          <w:rFonts w:ascii="Arial" w:hAnsi="Arial" w:cs="Arial"/>
          <w:sz w:val="24"/>
          <w:szCs w:val="24"/>
        </w:rPr>
        <w:t xml:space="preserve"> list was allocated 0 of the available seats. </w:t>
      </w:r>
    </w:p>
    <w:p w14:paraId="0AF1C1F7" w14:textId="1BC63934" w:rsidR="00772102" w:rsidRPr="00512F52" w:rsidRDefault="002105F5" w:rsidP="00772102">
      <w:pPr>
        <w:spacing w:after="0" w:line="360" w:lineRule="auto"/>
        <w:jc w:val="both"/>
        <w:rPr>
          <w:rFonts w:ascii="Arial" w:hAnsi="Arial" w:cs="Arial"/>
          <w:sz w:val="24"/>
          <w:szCs w:val="24"/>
        </w:rPr>
      </w:pPr>
      <w:r w:rsidRPr="00512F52">
        <w:rPr>
          <w:rFonts w:ascii="Arial" w:hAnsi="Arial" w:cs="Arial"/>
          <w:sz w:val="24"/>
          <w:szCs w:val="24"/>
        </w:rPr>
        <w:t>Thus</w:t>
      </w:r>
      <w:r w:rsidR="00735B44" w:rsidRPr="00512F52">
        <w:rPr>
          <w:rFonts w:ascii="Arial" w:hAnsi="Arial" w:cs="Arial"/>
          <w:sz w:val="24"/>
          <w:szCs w:val="24"/>
        </w:rPr>
        <w:t>,</w:t>
      </w:r>
      <w:r w:rsidRPr="00512F52">
        <w:rPr>
          <w:rFonts w:ascii="Arial" w:hAnsi="Arial" w:cs="Arial"/>
          <w:sz w:val="24"/>
          <w:szCs w:val="24"/>
        </w:rPr>
        <w:t xml:space="preserve"> a</w:t>
      </w:r>
      <w:r w:rsidR="000E5934" w:rsidRPr="00512F52">
        <w:rPr>
          <w:rFonts w:ascii="Arial" w:hAnsi="Arial" w:cs="Arial"/>
          <w:sz w:val="24"/>
          <w:szCs w:val="24"/>
        </w:rPr>
        <w:t>fter the f</w:t>
      </w:r>
      <w:r w:rsidRPr="00512F52">
        <w:rPr>
          <w:rFonts w:ascii="Arial" w:hAnsi="Arial" w:cs="Arial"/>
          <w:sz w:val="24"/>
          <w:szCs w:val="24"/>
        </w:rPr>
        <w:t>irst round of seat allocation</w:t>
      </w:r>
      <w:r w:rsidR="000E5934" w:rsidRPr="00512F52">
        <w:rPr>
          <w:rFonts w:ascii="Arial" w:hAnsi="Arial" w:cs="Arial"/>
          <w:sz w:val="24"/>
          <w:szCs w:val="24"/>
        </w:rPr>
        <w:t>, 4 of</w:t>
      </w:r>
      <w:r w:rsidRPr="00512F52">
        <w:rPr>
          <w:rFonts w:ascii="Arial" w:hAnsi="Arial" w:cs="Arial"/>
          <w:sz w:val="24"/>
          <w:szCs w:val="24"/>
        </w:rPr>
        <w:t xml:space="preserve"> the 10 available seats were</w:t>
      </w:r>
      <w:r w:rsidR="000E5934" w:rsidRPr="00512F52">
        <w:rPr>
          <w:rFonts w:ascii="Arial" w:hAnsi="Arial" w:cs="Arial"/>
          <w:sz w:val="24"/>
          <w:szCs w:val="24"/>
        </w:rPr>
        <w:t xml:space="preserve"> allocated.</w:t>
      </w:r>
    </w:p>
    <w:p w14:paraId="4012A4F0" w14:textId="10B5E935" w:rsidR="000E5934"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lastRenderedPageBreak/>
        <w:t>[38]</w:t>
      </w:r>
      <w:r w:rsidRPr="00512F52">
        <w:rPr>
          <w:rFonts w:ascii="Arial" w:hAnsi="Arial" w:cs="Arial"/>
          <w:sz w:val="24"/>
          <w:szCs w:val="24"/>
        </w:rPr>
        <w:tab/>
      </w:r>
      <w:r w:rsidR="00B65224" w:rsidRPr="00F669AB">
        <w:rPr>
          <w:rFonts w:ascii="Arial" w:hAnsi="Arial" w:cs="Arial"/>
          <w:sz w:val="24"/>
          <w:szCs w:val="24"/>
        </w:rPr>
        <w:t>The surpluses of the lists were used to allocate the remaining seats in terms of item 20(2)</w:t>
      </w:r>
      <w:r w:rsidR="00B65224" w:rsidRPr="00F669AB">
        <w:rPr>
          <w:rFonts w:ascii="Arial" w:hAnsi="Arial" w:cs="Arial"/>
          <w:i/>
          <w:sz w:val="24"/>
          <w:szCs w:val="24"/>
        </w:rPr>
        <w:t>(a)</w:t>
      </w:r>
      <w:r w:rsidR="00B65224" w:rsidRPr="00F669AB">
        <w:rPr>
          <w:rFonts w:ascii="Arial" w:hAnsi="Arial" w:cs="Arial"/>
          <w:sz w:val="24"/>
          <w:szCs w:val="24"/>
        </w:rPr>
        <w:t xml:space="preserve"> and this exercise produced the following results:</w:t>
      </w:r>
      <w:r w:rsidR="000E5934" w:rsidRPr="00F669AB">
        <w:rPr>
          <w:rFonts w:ascii="Arial" w:hAnsi="Arial" w:cs="Arial"/>
          <w:sz w:val="24"/>
          <w:szCs w:val="24"/>
        </w:rPr>
        <w:t xml:space="preserve"> </w:t>
      </w:r>
    </w:p>
    <w:p w14:paraId="2B3FB83C" w14:textId="13642A57" w:rsidR="00433514"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(a)</w:t>
      </w:r>
      <w:r w:rsidRPr="00512F52">
        <w:rPr>
          <w:rFonts w:ascii="Arial" w:hAnsi="Arial" w:cs="Arial"/>
          <w:sz w:val="24"/>
          <w:szCs w:val="24"/>
        </w:rPr>
        <w:tab/>
      </w:r>
      <w:r w:rsidR="00433514" w:rsidRPr="00512F52">
        <w:rPr>
          <w:rFonts w:ascii="Arial" w:hAnsi="Arial" w:cs="Arial"/>
          <w:sz w:val="24"/>
          <w:szCs w:val="24"/>
        </w:rPr>
        <w:t>The IFP’s candidate</w:t>
      </w:r>
      <w:r w:rsidR="000A34EC" w:rsidRPr="00512F52">
        <w:rPr>
          <w:rFonts w:ascii="Arial" w:hAnsi="Arial" w:cs="Arial"/>
          <w:sz w:val="24"/>
          <w:szCs w:val="24"/>
        </w:rPr>
        <w:t>s’</w:t>
      </w:r>
      <w:r w:rsidR="00433514" w:rsidRPr="00512F52">
        <w:rPr>
          <w:rFonts w:ascii="Arial" w:hAnsi="Arial" w:cs="Arial"/>
          <w:sz w:val="24"/>
          <w:szCs w:val="24"/>
        </w:rPr>
        <w:t xml:space="preserve"> list was allocated one additional seat;</w:t>
      </w:r>
    </w:p>
    <w:p w14:paraId="71D0C7B8" w14:textId="4CFEA6B3" w:rsidR="00433514"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(b)</w:t>
      </w:r>
      <w:r w:rsidRPr="00512F52">
        <w:rPr>
          <w:rFonts w:ascii="Arial" w:hAnsi="Arial" w:cs="Arial"/>
          <w:sz w:val="24"/>
          <w:szCs w:val="24"/>
        </w:rPr>
        <w:tab/>
      </w:r>
      <w:r w:rsidR="00433514" w:rsidRPr="00512F52">
        <w:rPr>
          <w:rFonts w:ascii="Arial" w:hAnsi="Arial" w:cs="Arial"/>
          <w:sz w:val="24"/>
          <w:szCs w:val="24"/>
        </w:rPr>
        <w:t>The DA’s candidate</w:t>
      </w:r>
      <w:r w:rsidR="000A34EC" w:rsidRPr="00512F52">
        <w:rPr>
          <w:rFonts w:ascii="Arial" w:hAnsi="Arial" w:cs="Arial"/>
          <w:sz w:val="24"/>
          <w:szCs w:val="24"/>
        </w:rPr>
        <w:t>s’</w:t>
      </w:r>
      <w:r w:rsidR="00433514" w:rsidRPr="00512F52">
        <w:rPr>
          <w:rFonts w:ascii="Arial" w:hAnsi="Arial" w:cs="Arial"/>
          <w:sz w:val="24"/>
          <w:szCs w:val="24"/>
        </w:rPr>
        <w:t xml:space="preserve"> list was allocated one additional seat; and</w:t>
      </w:r>
    </w:p>
    <w:p w14:paraId="2D65D456" w14:textId="76E8427F" w:rsidR="00433514"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(c)</w:t>
      </w:r>
      <w:r w:rsidRPr="00512F52">
        <w:rPr>
          <w:rFonts w:ascii="Arial" w:hAnsi="Arial" w:cs="Arial"/>
          <w:sz w:val="24"/>
          <w:szCs w:val="24"/>
        </w:rPr>
        <w:tab/>
      </w:r>
      <w:r w:rsidR="00433514" w:rsidRPr="00512F52">
        <w:rPr>
          <w:rFonts w:ascii="Arial" w:hAnsi="Arial" w:cs="Arial"/>
          <w:sz w:val="24"/>
          <w:szCs w:val="24"/>
        </w:rPr>
        <w:t>The EFFs candidate</w:t>
      </w:r>
      <w:r w:rsidR="000A34EC" w:rsidRPr="00512F52">
        <w:rPr>
          <w:rFonts w:ascii="Arial" w:hAnsi="Arial" w:cs="Arial"/>
          <w:sz w:val="24"/>
          <w:szCs w:val="24"/>
        </w:rPr>
        <w:t>s’</w:t>
      </w:r>
      <w:r w:rsidR="00433514" w:rsidRPr="00512F52">
        <w:rPr>
          <w:rFonts w:ascii="Arial" w:hAnsi="Arial" w:cs="Arial"/>
          <w:sz w:val="24"/>
          <w:szCs w:val="24"/>
        </w:rPr>
        <w:t xml:space="preserve"> list was allocated one seat.</w:t>
      </w:r>
    </w:p>
    <w:p w14:paraId="09079E57" w14:textId="3F0B6539" w:rsidR="00772102" w:rsidRPr="00512F52" w:rsidRDefault="00735B44" w:rsidP="00772102">
      <w:pPr>
        <w:spacing w:after="0" w:line="360" w:lineRule="auto"/>
        <w:jc w:val="both"/>
        <w:rPr>
          <w:rFonts w:ascii="Arial" w:hAnsi="Arial" w:cs="Arial"/>
          <w:sz w:val="24"/>
          <w:szCs w:val="24"/>
        </w:rPr>
      </w:pPr>
      <w:r w:rsidRPr="00512F52">
        <w:rPr>
          <w:rFonts w:ascii="Arial" w:hAnsi="Arial" w:cs="Arial"/>
          <w:sz w:val="24"/>
          <w:szCs w:val="24"/>
        </w:rPr>
        <w:t xml:space="preserve">Thus, after the second </w:t>
      </w:r>
      <w:r w:rsidR="00433514" w:rsidRPr="00512F52">
        <w:rPr>
          <w:rFonts w:ascii="Arial" w:hAnsi="Arial" w:cs="Arial"/>
          <w:sz w:val="24"/>
          <w:szCs w:val="24"/>
        </w:rPr>
        <w:t>round</w:t>
      </w:r>
      <w:r w:rsidR="00B65224" w:rsidRPr="00512F52">
        <w:rPr>
          <w:rFonts w:ascii="Arial" w:hAnsi="Arial" w:cs="Arial"/>
          <w:sz w:val="24"/>
          <w:szCs w:val="24"/>
        </w:rPr>
        <w:t xml:space="preserve"> of</w:t>
      </w:r>
      <w:r w:rsidR="00433514" w:rsidRPr="00512F52">
        <w:rPr>
          <w:rFonts w:ascii="Arial" w:hAnsi="Arial" w:cs="Arial"/>
          <w:sz w:val="24"/>
          <w:szCs w:val="24"/>
        </w:rPr>
        <w:t xml:space="preserve"> allocations of seats, 7 of the 10 available seats had been allocated.</w:t>
      </w:r>
    </w:p>
    <w:p w14:paraId="09621E35" w14:textId="30F805C9" w:rsidR="00433514" w:rsidRPr="00512F52" w:rsidRDefault="00433514" w:rsidP="00772102">
      <w:pPr>
        <w:spacing w:after="0" w:line="360" w:lineRule="auto"/>
        <w:ind w:firstLine="135"/>
        <w:jc w:val="both"/>
        <w:rPr>
          <w:rFonts w:ascii="Arial" w:hAnsi="Arial" w:cs="Arial"/>
          <w:sz w:val="24"/>
          <w:szCs w:val="24"/>
        </w:rPr>
      </w:pPr>
    </w:p>
    <w:p w14:paraId="54A13C16" w14:textId="759544FB" w:rsidR="008F7BBE"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[39]</w:t>
      </w:r>
      <w:r w:rsidRPr="00512F52">
        <w:rPr>
          <w:rFonts w:ascii="Arial" w:hAnsi="Arial" w:cs="Arial"/>
          <w:sz w:val="24"/>
          <w:szCs w:val="24"/>
        </w:rPr>
        <w:tab/>
      </w:r>
      <w:r w:rsidR="00C50E97" w:rsidRPr="00F669AB">
        <w:rPr>
          <w:rFonts w:ascii="Arial" w:hAnsi="Arial" w:cs="Arial"/>
          <w:sz w:val="24"/>
          <w:szCs w:val="24"/>
        </w:rPr>
        <w:t>The Commission alleges</w:t>
      </w:r>
      <w:r w:rsidR="00433514" w:rsidRPr="00F669AB">
        <w:rPr>
          <w:rFonts w:ascii="Arial" w:hAnsi="Arial" w:cs="Arial"/>
          <w:sz w:val="24"/>
          <w:szCs w:val="24"/>
        </w:rPr>
        <w:t xml:space="preserve"> that at this point, </w:t>
      </w:r>
      <w:r w:rsidR="00C50E97" w:rsidRPr="00F669AB">
        <w:rPr>
          <w:rFonts w:ascii="Arial" w:hAnsi="Arial" w:cs="Arial"/>
          <w:sz w:val="24"/>
          <w:szCs w:val="24"/>
        </w:rPr>
        <w:t>in terms of item 20</w:t>
      </w:r>
      <w:r w:rsidR="006A3E6C" w:rsidRPr="00F669AB">
        <w:rPr>
          <w:rFonts w:ascii="Arial" w:hAnsi="Arial" w:cs="Arial"/>
          <w:sz w:val="24"/>
          <w:szCs w:val="24"/>
        </w:rPr>
        <w:t>,</w:t>
      </w:r>
      <w:r w:rsidR="00C50E97" w:rsidRPr="00F669AB">
        <w:rPr>
          <w:rFonts w:ascii="Arial" w:hAnsi="Arial" w:cs="Arial"/>
          <w:sz w:val="24"/>
          <w:szCs w:val="24"/>
        </w:rPr>
        <w:t xml:space="preserve"> </w:t>
      </w:r>
      <w:r w:rsidR="00433514" w:rsidRPr="00F669AB">
        <w:rPr>
          <w:rFonts w:ascii="Arial" w:hAnsi="Arial" w:cs="Arial"/>
          <w:sz w:val="24"/>
          <w:szCs w:val="24"/>
        </w:rPr>
        <w:t>the process for the allocation of seats to the Distr</w:t>
      </w:r>
      <w:r w:rsidR="006A3E6C" w:rsidRPr="00F669AB">
        <w:rPr>
          <w:rFonts w:ascii="Arial" w:hAnsi="Arial" w:cs="Arial"/>
          <w:sz w:val="24"/>
          <w:szCs w:val="24"/>
        </w:rPr>
        <w:t xml:space="preserve">ict Council should have stopped. This is because, so runs the argument, </w:t>
      </w:r>
      <w:r w:rsidR="00433514" w:rsidRPr="00F669AB">
        <w:rPr>
          <w:rFonts w:ascii="Arial" w:hAnsi="Arial" w:cs="Arial"/>
          <w:sz w:val="24"/>
          <w:szCs w:val="24"/>
        </w:rPr>
        <w:t>only seven</w:t>
      </w:r>
      <w:r w:rsidR="006A3E6C" w:rsidRPr="00F669AB">
        <w:rPr>
          <w:rFonts w:ascii="Arial" w:hAnsi="Arial" w:cs="Arial"/>
          <w:sz w:val="24"/>
          <w:szCs w:val="24"/>
        </w:rPr>
        <w:t xml:space="preserve"> seats were allocated owing to</w:t>
      </w:r>
      <w:r w:rsidR="00433514" w:rsidRPr="00F669AB">
        <w:rPr>
          <w:rFonts w:ascii="Arial" w:hAnsi="Arial" w:cs="Arial"/>
          <w:sz w:val="24"/>
          <w:szCs w:val="24"/>
        </w:rPr>
        <w:t xml:space="preserve"> the absence of the ANC</w:t>
      </w:r>
      <w:r w:rsidR="00C50E97" w:rsidRPr="00F669AB">
        <w:rPr>
          <w:rFonts w:ascii="Arial" w:hAnsi="Arial" w:cs="Arial"/>
          <w:sz w:val="24"/>
          <w:szCs w:val="24"/>
        </w:rPr>
        <w:t xml:space="preserve"> councillors</w:t>
      </w:r>
      <w:r w:rsidR="00433514" w:rsidRPr="00F669AB">
        <w:rPr>
          <w:rFonts w:ascii="Arial" w:hAnsi="Arial" w:cs="Arial"/>
          <w:sz w:val="24"/>
          <w:szCs w:val="24"/>
        </w:rPr>
        <w:t xml:space="preserve"> and </w:t>
      </w:r>
      <w:r w:rsidR="00C50E97" w:rsidRPr="00F669AB">
        <w:rPr>
          <w:rFonts w:ascii="Arial" w:hAnsi="Arial" w:cs="Arial"/>
          <w:sz w:val="24"/>
          <w:szCs w:val="24"/>
        </w:rPr>
        <w:t xml:space="preserve">the abstention of the </w:t>
      </w:r>
      <w:r w:rsidR="00433514" w:rsidRPr="00F669AB">
        <w:rPr>
          <w:rFonts w:ascii="Arial" w:hAnsi="Arial" w:cs="Arial"/>
          <w:sz w:val="24"/>
          <w:szCs w:val="24"/>
        </w:rPr>
        <w:t>NFP</w:t>
      </w:r>
      <w:r w:rsidR="00C50E97" w:rsidRPr="00F669AB">
        <w:rPr>
          <w:rFonts w:ascii="Arial" w:hAnsi="Arial" w:cs="Arial"/>
          <w:sz w:val="24"/>
          <w:szCs w:val="24"/>
        </w:rPr>
        <w:t xml:space="preserve"> </w:t>
      </w:r>
      <w:r w:rsidR="00F36893" w:rsidRPr="00F669AB">
        <w:rPr>
          <w:rFonts w:ascii="Arial" w:hAnsi="Arial" w:cs="Arial"/>
          <w:sz w:val="24"/>
          <w:szCs w:val="24"/>
        </w:rPr>
        <w:t>councilor. T</w:t>
      </w:r>
      <w:r w:rsidR="000C7C94" w:rsidRPr="00F669AB">
        <w:rPr>
          <w:rFonts w:ascii="Arial" w:hAnsi="Arial" w:cs="Arial"/>
          <w:sz w:val="24"/>
          <w:szCs w:val="24"/>
        </w:rPr>
        <w:t>he three remaining seats should have been left unallocated. It says this did not happen. Instead, the Commission’s representatives</w:t>
      </w:r>
      <w:r w:rsidR="00B33C13" w:rsidRPr="00F669AB">
        <w:rPr>
          <w:rFonts w:ascii="Arial" w:hAnsi="Arial" w:cs="Arial"/>
          <w:sz w:val="24"/>
          <w:szCs w:val="24"/>
        </w:rPr>
        <w:t>,</w:t>
      </w:r>
      <w:r w:rsidR="000C7C94" w:rsidRPr="00F669AB">
        <w:rPr>
          <w:rFonts w:ascii="Arial" w:hAnsi="Arial" w:cs="Arial"/>
          <w:sz w:val="24"/>
          <w:szCs w:val="24"/>
        </w:rPr>
        <w:t xml:space="preserve"> who were tasked with managing the election and seat allocation procedures, took the independent decision to allocate the three remaining seats by allocating one additional seat to each of the three contesting candidates</w:t>
      </w:r>
      <w:r w:rsidR="000A34EC" w:rsidRPr="00F669AB">
        <w:rPr>
          <w:rFonts w:ascii="Arial" w:hAnsi="Arial" w:cs="Arial"/>
          <w:sz w:val="24"/>
          <w:szCs w:val="24"/>
        </w:rPr>
        <w:t>’</w:t>
      </w:r>
      <w:r w:rsidR="000C7C94" w:rsidRPr="00F669AB">
        <w:rPr>
          <w:rFonts w:ascii="Arial" w:hAnsi="Arial" w:cs="Arial"/>
          <w:sz w:val="24"/>
          <w:szCs w:val="24"/>
        </w:rPr>
        <w:t xml:space="preserve"> list (the IFP, the DA and the EFF).</w:t>
      </w:r>
      <w:r w:rsidR="00C50E97" w:rsidRPr="00F669AB">
        <w:rPr>
          <w:rFonts w:ascii="Arial" w:hAnsi="Arial" w:cs="Arial"/>
          <w:sz w:val="24"/>
          <w:szCs w:val="24"/>
        </w:rPr>
        <w:t xml:space="preserve"> </w:t>
      </w:r>
    </w:p>
    <w:p w14:paraId="0EEFF855" w14:textId="77777777" w:rsidR="00772102" w:rsidRPr="00512F52" w:rsidRDefault="00772102" w:rsidP="00772102">
      <w:pPr>
        <w:pStyle w:val="ListParagraph"/>
        <w:spacing w:after="0" w:line="360" w:lineRule="auto"/>
        <w:ind w:left="0"/>
        <w:jc w:val="both"/>
        <w:rPr>
          <w:rFonts w:ascii="Arial" w:hAnsi="Arial" w:cs="Arial"/>
          <w:sz w:val="24"/>
          <w:szCs w:val="24"/>
        </w:rPr>
      </w:pPr>
    </w:p>
    <w:p w14:paraId="48D27581" w14:textId="00238466" w:rsidR="00001F3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[40]</w:t>
      </w:r>
      <w:r w:rsidRPr="00512F52">
        <w:rPr>
          <w:rFonts w:ascii="Arial" w:hAnsi="Arial" w:cs="Arial"/>
          <w:sz w:val="24"/>
          <w:szCs w:val="24"/>
        </w:rPr>
        <w:tab/>
      </w:r>
      <w:r w:rsidR="00C50E97" w:rsidRPr="00F669AB">
        <w:rPr>
          <w:rFonts w:ascii="Arial" w:hAnsi="Arial" w:cs="Arial"/>
          <w:sz w:val="24"/>
          <w:szCs w:val="24"/>
        </w:rPr>
        <w:t>The respondents disagree with the Commission’s interpretation of item 20. Although they accept that the surpluses remaining after the first allocation should be used to allocate the remaining seats, they</w:t>
      </w:r>
      <w:r w:rsidR="008F7BBE" w:rsidRPr="00F669AB">
        <w:rPr>
          <w:rFonts w:ascii="Arial" w:hAnsi="Arial" w:cs="Arial"/>
          <w:sz w:val="24"/>
          <w:szCs w:val="24"/>
        </w:rPr>
        <w:t xml:space="preserve"> disagree that the seats remai</w:t>
      </w:r>
      <w:r w:rsidR="0039110F" w:rsidRPr="00F669AB">
        <w:rPr>
          <w:rFonts w:ascii="Arial" w:hAnsi="Arial" w:cs="Arial"/>
          <w:sz w:val="24"/>
          <w:szCs w:val="24"/>
        </w:rPr>
        <w:t xml:space="preserve">ning after </w:t>
      </w:r>
      <w:r w:rsidR="00B33C13" w:rsidRPr="00F669AB">
        <w:rPr>
          <w:rFonts w:ascii="Arial" w:hAnsi="Arial" w:cs="Arial"/>
          <w:color w:val="FF0000"/>
          <w:sz w:val="24"/>
          <w:szCs w:val="24"/>
        </w:rPr>
        <w:t xml:space="preserve">the </w:t>
      </w:r>
      <w:r w:rsidR="0039110F" w:rsidRPr="00F669AB">
        <w:rPr>
          <w:rFonts w:ascii="Arial" w:hAnsi="Arial" w:cs="Arial"/>
          <w:sz w:val="24"/>
          <w:szCs w:val="24"/>
        </w:rPr>
        <w:t xml:space="preserve">use of </w:t>
      </w:r>
      <w:r w:rsidR="00635AD3" w:rsidRPr="00F669AB">
        <w:rPr>
          <w:rFonts w:ascii="Arial" w:hAnsi="Arial" w:cs="Arial"/>
          <w:sz w:val="24"/>
          <w:szCs w:val="24"/>
        </w:rPr>
        <w:t xml:space="preserve">the </w:t>
      </w:r>
      <w:r w:rsidR="0039110F" w:rsidRPr="00F669AB">
        <w:rPr>
          <w:rFonts w:ascii="Arial" w:hAnsi="Arial" w:cs="Arial"/>
          <w:sz w:val="24"/>
          <w:szCs w:val="24"/>
        </w:rPr>
        <w:t>surpluses should have</w:t>
      </w:r>
      <w:r w:rsidR="008F7BBE" w:rsidRPr="00F669AB">
        <w:rPr>
          <w:rFonts w:ascii="Arial" w:hAnsi="Arial" w:cs="Arial"/>
          <w:sz w:val="24"/>
          <w:szCs w:val="24"/>
        </w:rPr>
        <w:t xml:space="preserve"> remain</w:t>
      </w:r>
      <w:r w:rsidR="0039110F" w:rsidRPr="00F669AB">
        <w:rPr>
          <w:rFonts w:ascii="Arial" w:hAnsi="Arial" w:cs="Arial"/>
          <w:sz w:val="24"/>
          <w:szCs w:val="24"/>
        </w:rPr>
        <w:t>ed</w:t>
      </w:r>
      <w:r w:rsidR="008F7BBE" w:rsidRPr="00F669AB">
        <w:rPr>
          <w:rFonts w:ascii="Arial" w:hAnsi="Arial" w:cs="Arial"/>
          <w:sz w:val="24"/>
          <w:szCs w:val="24"/>
        </w:rPr>
        <w:t xml:space="preserve"> unallocated. They contend that if there are still seats to allocate after the second round, the Commission must continue to allocate them in the order of the highest surplus until all </w:t>
      </w:r>
      <w:r w:rsidR="00B33C13" w:rsidRPr="00F669AB">
        <w:rPr>
          <w:rFonts w:ascii="Arial" w:hAnsi="Arial" w:cs="Arial"/>
          <w:sz w:val="24"/>
          <w:szCs w:val="24"/>
        </w:rPr>
        <w:t xml:space="preserve">the </w:t>
      </w:r>
      <w:r w:rsidR="008F7BBE" w:rsidRPr="00F669AB">
        <w:rPr>
          <w:rFonts w:ascii="Arial" w:hAnsi="Arial" w:cs="Arial"/>
          <w:sz w:val="24"/>
          <w:szCs w:val="24"/>
        </w:rPr>
        <w:t>seats are allocated.</w:t>
      </w:r>
    </w:p>
    <w:p w14:paraId="3BABDEEE" w14:textId="48C05264" w:rsidR="00571BAB" w:rsidRPr="00512F52" w:rsidRDefault="00571BAB" w:rsidP="00772102">
      <w:pPr>
        <w:spacing w:after="0" w:line="360" w:lineRule="auto"/>
        <w:ind w:firstLine="60"/>
        <w:jc w:val="both"/>
        <w:rPr>
          <w:rFonts w:ascii="Arial" w:hAnsi="Arial" w:cs="Arial"/>
          <w:sz w:val="24"/>
          <w:szCs w:val="24"/>
        </w:rPr>
      </w:pPr>
    </w:p>
    <w:p w14:paraId="37B502A1" w14:textId="6F925640" w:rsidR="00E43E7E" w:rsidRPr="00512F52" w:rsidRDefault="00E43E7E" w:rsidP="00772102">
      <w:pPr>
        <w:spacing w:after="0" w:line="360" w:lineRule="auto"/>
        <w:jc w:val="both"/>
        <w:rPr>
          <w:rFonts w:ascii="Arial" w:hAnsi="Arial" w:cs="Arial"/>
          <w:b/>
          <w:bCs/>
          <w:sz w:val="24"/>
          <w:szCs w:val="24"/>
        </w:rPr>
      </w:pPr>
      <w:r w:rsidRPr="00512F52">
        <w:rPr>
          <w:rFonts w:ascii="Arial" w:hAnsi="Arial" w:cs="Arial"/>
          <w:b/>
          <w:bCs/>
          <w:sz w:val="24"/>
          <w:szCs w:val="24"/>
        </w:rPr>
        <w:t xml:space="preserve">Interpretation </w:t>
      </w:r>
    </w:p>
    <w:p w14:paraId="5075A8DD" w14:textId="7B62E8E9" w:rsidR="00242A42"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[41]</w:t>
      </w:r>
      <w:r w:rsidRPr="00512F52">
        <w:rPr>
          <w:rFonts w:ascii="Arial" w:hAnsi="Arial" w:cs="Arial"/>
          <w:sz w:val="24"/>
          <w:szCs w:val="24"/>
          <w:lang w:val="en-ZA"/>
        </w:rPr>
        <w:tab/>
      </w:r>
      <w:r w:rsidR="008F7BBE" w:rsidRPr="00F669AB">
        <w:rPr>
          <w:rFonts w:ascii="Arial" w:hAnsi="Arial" w:cs="Arial"/>
          <w:sz w:val="24"/>
          <w:szCs w:val="24"/>
        </w:rPr>
        <w:t>The dispute therefore is abou</w:t>
      </w:r>
      <w:r w:rsidR="00E43E7E" w:rsidRPr="00F669AB">
        <w:rPr>
          <w:rFonts w:ascii="Arial" w:hAnsi="Arial" w:cs="Arial"/>
          <w:sz w:val="24"/>
          <w:szCs w:val="24"/>
        </w:rPr>
        <w:t>t a proper interpretation</w:t>
      </w:r>
      <w:r w:rsidR="008F7BBE" w:rsidRPr="00F669AB">
        <w:rPr>
          <w:rFonts w:ascii="Arial" w:hAnsi="Arial" w:cs="Arial"/>
          <w:sz w:val="24"/>
          <w:szCs w:val="24"/>
        </w:rPr>
        <w:t xml:space="preserve"> and application</w:t>
      </w:r>
      <w:r w:rsidR="00E43E7E" w:rsidRPr="00F669AB">
        <w:rPr>
          <w:rFonts w:ascii="Arial" w:hAnsi="Arial" w:cs="Arial"/>
          <w:sz w:val="24"/>
          <w:szCs w:val="24"/>
        </w:rPr>
        <w:t xml:space="preserve"> of item 20 of Schedule 2 to the Structures Act. Which</w:t>
      </w:r>
      <w:r w:rsidR="00B51D05" w:rsidRPr="00F669AB">
        <w:rPr>
          <w:rFonts w:ascii="Arial" w:hAnsi="Arial" w:cs="Arial"/>
          <w:sz w:val="24"/>
          <w:szCs w:val="24"/>
        </w:rPr>
        <w:t xml:space="preserve"> one</w:t>
      </w:r>
      <w:r w:rsidR="00E43E7E" w:rsidRPr="00F669AB">
        <w:rPr>
          <w:rFonts w:ascii="Arial" w:hAnsi="Arial" w:cs="Arial"/>
          <w:sz w:val="24"/>
          <w:szCs w:val="24"/>
        </w:rPr>
        <w:t xml:space="preserve"> </w:t>
      </w:r>
      <w:r w:rsidR="00242A42" w:rsidRPr="00F669AB">
        <w:rPr>
          <w:rFonts w:ascii="Arial" w:hAnsi="Arial" w:cs="Arial"/>
          <w:sz w:val="24"/>
          <w:szCs w:val="24"/>
        </w:rPr>
        <w:t xml:space="preserve">of the two interpretations is a correct one? The proper approach to statutory interpretation is well known following </w:t>
      </w:r>
      <w:bookmarkStart w:id="5" w:name="_Hlk117262806"/>
      <w:r w:rsidR="00242A42" w:rsidRPr="00F669AB">
        <w:rPr>
          <w:rFonts w:ascii="Arial" w:hAnsi="Arial" w:cs="Arial"/>
          <w:i/>
          <w:iCs/>
          <w:sz w:val="24"/>
          <w:szCs w:val="24"/>
          <w:lang w:val="en-ZA"/>
        </w:rPr>
        <w:t xml:space="preserve">Natal Joint </w:t>
      </w:r>
      <w:r w:rsidR="00242A42" w:rsidRPr="00F669AB">
        <w:rPr>
          <w:rFonts w:ascii="Arial" w:hAnsi="Arial" w:cs="Arial"/>
          <w:i/>
          <w:iCs/>
          <w:sz w:val="24"/>
          <w:szCs w:val="24"/>
          <w:lang w:val="en-ZA"/>
        </w:rPr>
        <w:lastRenderedPageBreak/>
        <w:t>Municipal Pension Fund v Endumeni Municipality</w:t>
      </w:r>
      <w:bookmarkEnd w:id="5"/>
      <w:r w:rsidR="001E2E2F" w:rsidRPr="00F669AB">
        <w:rPr>
          <w:rFonts w:ascii="Arial" w:hAnsi="Arial" w:cs="Arial"/>
          <w:iCs/>
          <w:sz w:val="24"/>
          <w:szCs w:val="24"/>
          <w:lang w:val="en-ZA"/>
        </w:rPr>
        <w:t>,</w:t>
      </w:r>
      <w:r w:rsidR="00CB6935" w:rsidRPr="00512F52">
        <w:rPr>
          <w:rStyle w:val="FootnoteReference"/>
          <w:rFonts w:ascii="Arial" w:hAnsi="Arial" w:cs="Arial"/>
          <w:iCs/>
          <w:sz w:val="24"/>
          <w:szCs w:val="24"/>
          <w:lang w:val="en-ZA"/>
        </w:rPr>
        <w:footnoteReference w:id="13"/>
      </w:r>
      <w:r w:rsidR="00242A42" w:rsidRPr="00F669AB">
        <w:rPr>
          <w:rFonts w:ascii="Arial" w:hAnsi="Arial" w:cs="Arial"/>
          <w:sz w:val="24"/>
          <w:szCs w:val="24"/>
          <w:lang w:val="en-ZA"/>
        </w:rPr>
        <w:t xml:space="preserve"> </w:t>
      </w:r>
      <w:r w:rsidR="006F0805" w:rsidRPr="00F669AB">
        <w:rPr>
          <w:rFonts w:ascii="Arial" w:hAnsi="Arial" w:cs="Arial"/>
          <w:sz w:val="24"/>
          <w:szCs w:val="24"/>
          <w:lang w:val="en-ZA"/>
        </w:rPr>
        <w:t xml:space="preserve">which was </w:t>
      </w:r>
      <w:r w:rsidR="0035004D" w:rsidRPr="00F669AB">
        <w:rPr>
          <w:rFonts w:ascii="Arial" w:hAnsi="Arial" w:cs="Arial"/>
          <w:sz w:val="24"/>
          <w:szCs w:val="24"/>
          <w:lang w:val="en-ZA"/>
        </w:rPr>
        <w:t>endorsed</w:t>
      </w:r>
      <w:r w:rsidR="008F7BBE" w:rsidRPr="00F669AB">
        <w:rPr>
          <w:rFonts w:ascii="Arial" w:hAnsi="Arial" w:cs="Arial"/>
          <w:sz w:val="24"/>
          <w:szCs w:val="24"/>
          <w:lang w:val="en-ZA"/>
        </w:rPr>
        <w:t xml:space="preserve"> </w:t>
      </w:r>
      <w:r w:rsidR="00CB6935" w:rsidRPr="00F669AB">
        <w:rPr>
          <w:rFonts w:ascii="Arial" w:hAnsi="Arial" w:cs="Arial"/>
          <w:sz w:val="24"/>
          <w:szCs w:val="24"/>
          <w:lang w:val="en-ZA"/>
        </w:rPr>
        <w:t xml:space="preserve">in </w:t>
      </w:r>
      <w:r w:rsidR="00CB6935" w:rsidRPr="00F669AB">
        <w:rPr>
          <w:rFonts w:ascii="Arial" w:hAnsi="Arial" w:cs="Arial"/>
          <w:i/>
          <w:iCs/>
          <w:sz w:val="24"/>
          <w:szCs w:val="24"/>
          <w:lang w:val="en-ZA"/>
        </w:rPr>
        <w:t>Capitec Bank Holdings Limited v Coral Lagoon Investments</w:t>
      </w:r>
      <w:r w:rsidR="001E2E2F" w:rsidRPr="00F669AB">
        <w:rPr>
          <w:rFonts w:ascii="Arial" w:hAnsi="Arial" w:cs="Arial"/>
          <w:iCs/>
          <w:sz w:val="24"/>
          <w:szCs w:val="24"/>
          <w:lang w:val="en-ZA"/>
        </w:rPr>
        <w:t>,</w:t>
      </w:r>
      <w:r w:rsidR="005F40AE" w:rsidRPr="00F669AB">
        <w:rPr>
          <w:rFonts w:ascii="Arial" w:hAnsi="Arial" w:cs="Arial"/>
          <w:iCs/>
          <w:sz w:val="24"/>
          <w:szCs w:val="24"/>
          <w:lang w:val="en-ZA"/>
        </w:rPr>
        <w:t xml:space="preserve"> in which it was stated</w:t>
      </w:r>
      <w:r w:rsidR="00CB6935" w:rsidRPr="00F669AB">
        <w:rPr>
          <w:rFonts w:ascii="Arial" w:hAnsi="Arial" w:cs="Arial"/>
          <w:sz w:val="24"/>
          <w:szCs w:val="24"/>
          <w:lang w:val="en-ZA"/>
        </w:rPr>
        <w:t>:</w:t>
      </w:r>
      <w:r w:rsidR="00CB6935" w:rsidRPr="00512F52">
        <w:rPr>
          <w:rStyle w:val="FootnoteReference"/>
          <w:rFonts w:ascii="Arial" w:hAnsi="Arial" w:cs="Arial"/>
          <w:sz w:val="24"/>
          <w:szCs w:val="24"/>
          <w:lang w:val="en-ZA"/>
        </w:rPr>
        <w:footnoteReference w:id="14"/>
      </w:r>
    </w:p>
    <w:p w14:paraId="5C03BAED" w14:textId="78518DC2" w:rsidR="00E43E7E" w:rsidRPr="00512F52" w:rsidRDefault="001E2E2F" w:rsidP="001E2E2F">
      <w:pPr>
        <w:spacing w:after="0" w:line="360" w:lineRule="auto"/>
        <w:jc w:val="both"/>
        <w:rPr>
          <w:rFonts w:ascii="Arial" w:hAnsi="Arial" w:cs="Arial"/>
        </w:rPr>
      </w:pPr>
      <w:r w:rsidRPr="00512F52">
        <w:rPr>
          <w:rFonts w:ascii="Arial" w:hAnsi="Arial" w:cs="Arial"/>
        </w:rPr>
        <w:t xml:space="preserve">‘. . . </w:t>
      </w:r>
      <w:r w:rsidR="00CB6935" w:rsidRPr="00512F52">
        <w:rPr>
          <w:rFonts w:ascii="Arial" w:hAnsi="Arial" w:cs="Arial"/>
        </w:rPr>
        <w:t>The much-cited passages from </w:t>
      </w:r>
      <w:r w:rsidR="00CB6935" w:rsidRPr="00512F52">
        <w:rPr>
          <w:rFonts w:ascii="Arial" w:hAnsi="Arial" w:cs="Arial"/>
          <w:i/>
          <w:iCs/>
        </w:rPr>
        <w:t>Natal Joint Municipal Pension Fund v Endumeni Municipality (Endumeni)</w:t>
      </w:r>
      <w:r w:rsidR="00CB6935" w:rsidRPr="00512F52">
        <w:rPr>
          <w:rFonts w:ascii="Arial" w:hAnsi="Arial" w:cs="Arial"/>
        </w:rPr>
        <w:t xml:space="preserve"> 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w:t>
      </w:r>
      <w:r w:rsidR="00CB6935" w:rsidRPr="00512F52">
        <w:rPr>
          <w:rFonts w:ascii="Arial" w:hAnsi="Arial" w:cs="Arial"/>
          <w:i/>
          <w:iCs/>
        </w:rPr>
        <w:t>Endumeni</w:t>
      </w:r>
      <w:r w:rsidR="00CB6935" w:rsidRPr="00512F52">
        <w:rPr>
          <w:rFonts w:ascii="Arial" w:hAnsi="Arial" w:cs="Arial"/>
        </w:rPr>
        <w:t> emphasised, citing well-known cases, ‘[t]he inevitable point of departure is the language of the provision itself.’</w:t>
      </w:r>
    </w:p>
    <w:p w14:paraId="4061D210" w14:textId="3EEC5653" w:rsidR="0035004D" w:rsidRPr="00512F52" w:rsidRDefault="0035004D" w:rsidP="00772102">
      <w:pPr>
        <w:spacing w:after="0" w:line="360" w:lineRule="auto"/>
        <w:jc w:val="both"/>
        <w:rPr>
          <w:rFonts w:ascii="Arial" w:hAnsi="Arial" w:cs="Arial"/>
          <w:sz w:val="24"/>
          <w:szCs w:val="24"/>
        </w:rPr>
      </w:pPr>
      <w:r w:rsidRPr="00512F52">
        <w:rPr>
          <w:rFonts w:ascii="Arial" w:hAnsi="Arial" w:cs="Arial"/>
          <w:sz w:val="24"/>
          <w:szCs w:val="24"/>
        </w:rPr>
        <w:t>What this means is that one is firstly to consider the language used, which must be given its ordinary grammatical meaning</w:t>
      </w:r>
      <w:r w:rsidR="001E2E2F" w:rsidRPr="00512F52">
        <w:rPr>
          <w:rFonts w:ascii="Arial" w:hAnsi="Arial" w:cs="Arial"/>
          <w:sz w:val="24"/>
          <w:szCs w:val="24"/>
        </w:rPr>
        <w:t>,</w:t>
      </w:r>
      <w:r w:rsidRPr="00512F52">
        <w:rPr>
          <w:rFonts w:ascii="Arial" w:hAnsi="Arial" w:cs="Arial"/>
          <w:sz w:val="24"/>
          <w:szCs w:val="24"/>
        </w:rPr>
        <w:t xml:space="preserve"> unless this results in absurdity, repugnancy, or inconsistency with the rest of the document.</w:t>
      </w:r>
      <w:r w:rsidR="00656F2A" w:rsidRPr="00512F52">
        <w:rPr>
          <w:rFonts w:ascii="Arial" w:hAnsi="Arial" w:cs="Arial"/>
          <w:sz w:val="24"/>
          <w:szCs w:val="24"/>
        </w:rPr>
        <w:t xml:space="preserve"> The language used</w:t>
      </w:r>
      <w:r w:rsidR="00E027D4" w:rsidRPr="00512F52">
        <w:rPr>
          <w:rFonts w:ascii="Arial" w:hAnsi="Arial" w:cs="Arial"/>
          <w:sz w:val="24"/>
          <w:szCs w:val="24"/>
        </w:rPr>
        <w:t xml:space="preserve"> must be understood in the context</w:t>
      </w:r>
      <w:r w:rsidR="00F8051E" w:rsidRPr="00512F52">
        <w:rPr>
          <w:rFonts w:ascii="Arial" w:hAnsi="Arial" w:cs="Arial"/>
          <w:sz w:val="24"/>
          <w:szCs w:val="24"/>
        </w:rPr>
        <w:t xml:space="preserve"> in which</w:t>
      </w:r>
      <w:r w:rsidR="00E027D4" w:rsidRPr="00512F52">
        <w:rPr>
          <w:rFonts w:ascii="Arial" w:hAnsi="Arial" w:cs="Arial"/>
          <w:sz w:val="24"/>
          <w:szCs w:val="24"/>
        </w:rPr>
        <w:t xml:space="preserve"> it is used and having regard to the purpose of the provision of the document.</w:t>
      </w:r>
    </w:p>
    <w:p w14:paraId="53D3F08D" w14:textId="77777777" w:rsidR="00001F32" w:rsidRPr="00512F52" w:rsidRDefault="00001F32" w:rsidP="00772102">
      <w:pPr>
        <w:spacing w:after="0" w:line="360" w:lineRule="auto"/>
        <w:jc w:val="both"/>
        <w:rPr>
          <w:rFonts w:ascii="Arial" w:hAnsi="Arial" w:cs="Arial"/>
        </w:rPr>
      </w:pPr>
    </w:p>
    <w:p w14:paraId="6B17FFC0" w14:textId="3490F27F" w:rsidR="00CB6935"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[42]</w:t>
      </w:r>
      <w:r w:rsidRPr="00512F52">
        <w:rPr>
          <w:rFonts w:ascii="Arial" w:hAnsi="Arial" w:cs="Arial"/>
          <w:sz w:val="24"/>
          <w:szCs w:val="24"/>
          <w:lang w:val="en-ZA"/>
        </w:rPr>
        <w:tab/>
      </w:r>
      <w:r w:rsidR="00E22BBC" w:rsidRPr="00F669AB">
        <w:rPr>
          <w:rFonts w:ascii="Arial" w:hAnsi="Arial" w:cs="Arial"/>
          <w:sz w:val="24"/>
          <w:szCs w:val="24"/>
        </w:rPr>
        <w:t xml:space="preserve">Section </w:t>
      </w:r>
      <w:r w:rsidR="00CB6935" w:rsidRPr="00F669AB">
        <w:rPr>
          <w:rFonts w:ascii="Arial" w:hAnsi="Arial" w:cs="Arial"/>
          <w:sz w:val="24"/>
          <w:szCs w:val="24"/>
        </w:rPr>
        <w:t>39(2) of the Co</w:t>
      </w:r>
      <w:r w:rsidR="00656F2A" w:rsidRPr="00F669AB">
        <w:rPr>
          <w:rFonts w:ascii="Arial" w:hAnsi="Arial" w:cs="Arial"/>
          <w:sz w:val="24"/>
          <w:szCs w:val="24"/>
        </w:rPr>
        <w:t>nstitution</w:t>
      </w:r>
      <w:r w:rsidR="00CB6935" w:rsidRPr="00F669AB">
        <w:rPr>
          <w:rFonts w:ascii="Arial" w:hAnsi="Arial" w:cs="Arial"/>
          <w:sz w:val="24"/>
          <w:szCs w:val="24"/>
        </w:rPr>
        <w:t xml:space="preserve"> </w:t>
      </w:r>
      <w:r w:rsidR="00E862ED" w:rsidRPr="00F669AB">
        <w:rPr>
          <w:rFonts w:ascii="Arial" w:hAnsi="Arial" w:cs="Arial"/>
          <w:sz w:val="24"/>
          <w:szCs w:val="24"/>
        </w:rPr>
        <w:t>enjoins a</w:t>
      </w:r>
      <w:r w:rsidR="00CB6935" w:rsidRPr="00F669AB">
        <w:rPr>
          <w:rFonts w:ascii="Arial" w:hAnsi="Arial" w:cs="Arial"/>
          <w:sz w:val="24"/>
          <w:szCs w:val="24"/>
        </w:rPr>
        <w:t xml:space="preserve"> court</w:t>
      </w:r>
      <w:r w:rsidR="00E862ED" w:rsidRPr="00F669AB">
        <w:rPr>
          <w:rFonts w:ascii="Arial" w:hAnsi="Arial" w:cs="Arial"/>
          <w:sz w:val="24"/>
          <w:szCs w:val="24"/>
        </w:rPr>
        <w:t>, when interpreting any legislation</w:t>
      </w:r>
      <w:r w:rsidR="001E2E2F" w:rsidRPr="00F669AB">
        <w:rPr>
          <w:rFonts w:ascii="Arial" w:hAnsi="Arial" w:cs="Arial"/>
          <w:sz w:val="24"/>
          <w:szCs w:val="24"/>
        </w:rPr>
        <w:t>,</w:t>
      </w:r>
      <w:r w:rsidR="00E862ED" w:rsidRPr="00F669AB">
        <w:rPr>
          <w:rFonts w:ascii="Arial" w:hAnsi="Arial" w:cs="Arial"/>
          <w:sz w:val="24"/>
          <w:szCs w:val="24"/>
        </w:rPr>
        <w:t xml:space="preserve"> to promote the spirit, purport and objects of the Bill of Rights.</w:t>
      </w:r>
      <w:r w:rsidR="00CB6935" w:rsidRPr="00512F52">
        <w:rPr>
          <w:rStyle w:val="FootnoteReference"/>
          <w:rFonts w:ascii="Arial" w:hAnsi="Arial" w:cs="Arial"/>
          <w:sz w:val="24"/>
          <w:szCs w:val="24"/>
        </w:rPr>
        <w:footnoteReference w:id="15"/>
      </w:r>
      <w:r w:rsidR="00CB6935" w:rsidRPr="00F669AB">
        <w:rPr>
          <w:rFonts w:ascii="Arial" w:hAnsi="Arial" w:cs="Arial"/>
          <w:sz w:val="24"/>
          <w:szCs w:val="24"/>
        </w:rPr>
        <w:t xml:space="preserve"> This </w:t>
      </w:r>
      <w:r w:rsidR="00E862ED" w:rsidRPr="00F669AB">
        <w:rPr>
          <w:rFonts w:ascii="Arial" w:hAnsi="Arial" w:cs="Arial"/>
          <w:sz w:val="24"/>
          <w:szCs w:val="24"/>
        </w:rPr>
        <w:t xml:space="preserve">means that the </w:t>
      </w:r>
      <w:r w:rsidR="00CB6935" w:rsidRPr="00F669AB">
        <w:rPr>
          <w:rFonts w:ascii="Arial" w:hAnsi="Arial" w:cs="Arial"/>
          <w:sz w:val="24"/>
          <w:szCs w:val="24"/>
        </w:rPr>
        <w:t>interpretation</w:t>
      </w:r>
      <w:r w:rsidR="00E862ED" w:rsidRPr="00F669AB">
        <w:rPr>
          <w:rFonts w:ascii="Arial" w:hAnsi="Arial" w:cs="Arial"/>
          <w:sz w:val="24"/>
          <w:szCs w:val="24"/>
        </w:rPr>
        <w:t xml:space="preserve"> to be placed</w:t>
      </w:r>
      <w:r w:rsidR="00DD2F28" w:rsidRPr="00F669AB">
        <w:rPr>
          <w:rFonts w:ascii="Arial" w:hAnsi="Arial" w:cs="Arial"/>
          <w:sz w:val="24"/>
          <w:szCs w:val="24"/>
        </w:rPr>
        <w:t xml:space="preserve"> </w:t>
      </w:r>
      <w:r w:rsidR="00E862ED" w:rsidRPr="00F669AB">
        <w:rPr>
          <w:rFonts w:ascii="Arial" w:hAnsi="Arial" w:cs="Arial"/>
          <w:sz w:val="24"/>
          <w:szCs w:val="24"/>
        </w:rPr>
        <w:t>upon a statute must, wher</w:t>
      </w:r>
      <w:r w:rsidR="00DD2F28" w:rsidRPr="00F669AB">
        <w:rPr>
          <w:rFonts w:ascii="Arial" w:hAnsi="Arial" w:cs="Arial"/>
          <w:sz w:val="24"/>
          <w:szCs w:val="24"/>
        </w:rPr>
        <w:t xml:space="preserve">e possible, be one that would advance at least an identifiable value enshrined in the Bill of Rights; and the statute must </w:t>
      </w:r>
      <w:r w:rsidR="00B51D05" w:rsidRPr="00F669AB">
        <w:rPr>
          <w:rFonts w:ascii="Arial" w:hAnsi="Arial" w:cs="Arial"/>
          <w:sz w:val="24"/>
          <w:szCs w:val="24"/>
        </w:rPr>
        <w:t>be</w:t>
      </w:r>
      <w:r w:rsidR="00DD2F28" w:rsidRPr="00F669AB">
        <w:rPr>
          <w:rFonts w:ascii="Arial" w:hAnsi="Arial" w:cs="Arial"/>
          <w:sz w:val="24"/>
          <w:szCs w:val="24"/>
        </w:rPr>
        <w:t xml:space="preserve"> reasonably capable of such interpretation.</w:t>
      </w:r>
      <w:r w:rsidR="00E20E0E" w:rsidRPr="00512F52">
        <w:rPr>
          <w:rStyle w:val="FootnoteReference"/>
          <w:rFonts w:ascii="Arial" w:hAnsi="Arial" w:cs="Arial"/>
          <w:sz w:val="24"/>
          <w:szCs w:val="24"/>
        </w:rPr>
        <w:footnoteReference w:id="16"/>
      </w:r>
      <w:r w:rsidR="00CB6935" w:rsidRPr="00F669AB">
        <w:rPr>
          <w:rFonts w:ascii="Arial" w:hAnsi="Arial" w:cs="Arial"/>
          <w:sz w:val="24"/>
          <w:szCs w:val="24"/>
        </w:rPr>
        <w:t xml:space="preserve"> </w:t>
      </w:r>
    </w:p>
    <w:p w14:paraId="2E0510EC" w14:textId="77777777" w:rsidR="00772102" w:rsidRPr="00512F52" w:rsidRDefault="00772102" w:rsidP="00772102">
      <w:pPr>
        <w:pStyle w:val="ListParagraph"/>
        <w:spacing w:after="0" w:line="360" w:lineRule="auto"/>
        <w:ind w:left="0"/>
        <w:jc w:val="both"/>
        <w:rPr>
          <w:rFonts w:ascii="Arial" w:hAnsi="Arial" w:cs="Arial"/>
          <w:sz w:val="24"/>
          <w:szCs w:val="24"/>
          <w:lang w:val="en-ZA"/>
        </w:rPr>
      </w:pPr>
    </w:p>
    <w:p w14:paraId="3ED70902" w14:textId="6C6C1A93" w:rsidR="00A46208"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[43]</w:t>
      </w:r>
      <w:r w:rsidRPr="00512F52">
        <w:rPr>
          <w:rFonts w:ascii="Arial" w:hAnsi="Arial" w:cs="Arial"/>
          <w:sz w:val="24"/>
          <w:szCs w:val="24"/>
          <w:lang w:val="en-ZA"/>
        </w:rPr>
        <w:tab/>
      </w:r>
      <w:r w:rsidR="000C37D3" w:rsidRPr="00F669AB">
        <w:rPr>
          <w:rFonts w:ascii="Arial" w:hAnsi="Arial" w:cs="Arial"/>
          <w:sz w:val="24"/>
          <w:szCs w:val="24"/>
          <w:lang w:val="en-ZA"/>
        </w:rPr>
        <w:t xml:space="preserve">Item 20 is located in </w:t>
      </w:r>
      <w:r w:rsidR="00A46208" w:rsidRPr="00F669AB">
        <w:rPr>
          <w:rFonts w:ascii="Arial" w:hAnsi="Arial" w:cs="Arial"/>
          <w:sz w:val="24"/>
          <w:szCs w:val="24"/>
          <w:lang w:val="en-ZA"/>
        </w:rPr>
        <w:t>Schedule 2 to the Structures Act</w:t>
      </w:r>
      <w:r w:rsidR="001E2E2F" w:rsidRPr="00F669AB">
        <w:rPr>
          <w:rFonts w:ascii="Arial" w:hAnsi="Arial" w:cs="Arial"/>
          <w:sz w:val="24"/>
          <w:szCs w:val="24"/>
          <w:lang w:val="en-ZA"/>
        </w:rPr>
        <w:t>,</w:t>
      </w:r>
      <w:r w:rsidR="00A46208" w:rsidRPr="00F669AB">
        <w:rPr>
          <w:rFonts w:ascii="Arial" w:hAnsi="Arial" w:cs="Arial"/>
          <w:sz w:val="24"/>
          <w:szCs w:val="24"/>
          <w:lang w:val="en-ZA"/>
        </w:rPr>
        <w:t xml:space="preserve"> </w:t>
      </w:r>
      <w:r w:rsidR="002D433E" w:rsidRPr="00F669AB">
        <w:rPr>
          <w:rFonts w:ascii="Arial" w:hAnsi="Arial" w:cs="Arial"/>
          <w:sz w:val="24"/>
          <w:szCs w:val="24"/>
          <w:lang w:val="en-ZA"/>
        </w:rPr>
        <w:t>which is headed</w:t>
      </w:r>
      <w:r w:rsidR="00A46208" w:rsidRPr="00F669AB">
        <w:rPr>
          <w:rFonts w:ascii="Arial" w:hAnsi="Arial" w:cs="Arial"/>
          <w:sz w:val="24"/>
          <w:szCs w:val="24"/>
          <w:lang w:val="en-ZA"/>
        </w:rPr>
        <w:t xml:space="preserve"> ‘Electoral System for District Councils’. It is in Part</w:t>
      </w:r>
      <w:r w:rsidR="002D433E" w:rsidRPr="00F669AB">
        <w:rPr>
          <w:rFonts w:ascii="Arial" w:hAnsi="Arial" w:cs="Arial"/>
          <w:sz w:val="24"/>
          <w:szCs w:val="24"/>
          <w:lang w:val="en-ZA"/>
        </w:rPr>
        <w:t xml:space="preserve"> 2 of Schedule 2</w:t>
      </w:r>
      <w:r w:rsidR="00BD7F14" w:rsidRPr="00F669AB">
        <w:rPr>
          <w:rFonts w:ascii="Arial" w:hAnsi="Arial" w:cs="Arial"/>
          <w:sz w:val="24"/>
          <w:szCs w:val="24"/>
          <w:lang w:val="en-ZA"/>
        </w:rPr>
        <w:t>,</w:t>
      </w:r>
      <w:r w:rsidR="002D433E" w:rsidRPr="00F669AB">
        <w:rPr>
          <w:rFonts w:ascii="Arial" w:hAnsi="Arial" w:cs="Arial"/>
          <w:sz w:val="24"/>
          <w:szCs w:val="24"/>
          <w:lang w:val="en-ZA"/>
        </w:rPr>
        <w:t xml:space="preserve"> which deals with</w:t>
      </w:r>
      <w:r w:rsidR="00A46208" w:rsidRPr="00F669AB">
        <w:rPr>
          <w:rFonts w:ascii="Arial" w:hAnsi="Arial" w:cs="Arial"/>
          <w:sz w:val="24"/>
          <w:szCs w:val="24"/>
          <w:lang w:val="en-ZA"/>
        </w:rPr>
        <w:t xml:space="preserve"> </w:t>
      </w:r>
      <w:r w:rsidR="00BD7F14" w:rsidRPr="00F669AB">
        <w:rPr>
          <w:rFonts w:ascii="Arial" w:hAnsi="Arial" w:cs="Arial"/>
          <w:sz w:val="24"/>
          <w:szCs w:val="24"/>
          <w:lang w:val="en-ZA"/>
        </w:rPr>
        <w:t xml:space="preserve">the </w:t>
      </w:r>
      <w:r w:rsidR="00A46208" w:rsidRPr="00F669AB">
        <w:rPr>
          <w:rFonts w:ascii="Arial" w:hAnsi="Arial" w:cs="Arial"/>
          <w:sz w:val="24"/>
          <w:szCs w:val="24"/>
          <w:lang w:val="en-ZA"/>
        </w:rPr>
        <w:t xml:space="preserve">‘Allocation </w:t>
      </w:r>
      <w:r w:rsidR="00A46208" w:rsidRPr="00F669AB">
        <w:rPr>
          <w:rFonts w:ascii="Arial" w:hAnsi="Arial" w:cs="Arial"/>
          <w:sz w:val="24"/>
          <w:szCs w:val="24"/>
          <w:lang w:val="en-ZA"/>
        </w:rPr>
        <w:lastRenderedPageBreak/>
        <w:t xml:space="preserve">and </w:t>
      </w:r>
      <w:r w:rsidR="005F4F98" w:rsidRPr="00F669AB">
        <w:rPr>
          <w:rFonts w:ascii="Arial" w:hAnsi="Arial" w:cs="Arial"/>
          <w:sz w:val="24"/>
          <w:szCs w:val="24"/>
          <w:lang w:val="en-ZA"/>
        </w:rPr>
        <w:t>E</w:t>
      </w:r>
      <w:r w:rsidR="00A46208" w:rsidRPr="00F669AB">
        <w:rPr>
          <w:rFonts w:ascii="Arial" w:hAnsi="Arial" w:cs="Arial"/>
          <w:sz w:val="24"/>
          <w:szCs w:val="24"/>
          <w:lang w:val="en-ZA"/>
        </w:rPr>
        <w:t xml:space="preserve">lection of </w:t>
      </w:r>
      <w:r w:rsidR="005F4F98" w:rsidRPr="00F669AB">
        <w:rPr>
          <w:rFonts w:ascii="Arial" w:hAnsi="Arial" w:cs="Arial"/>
          <w:sz w:val="24"/>
          <w:szCs w:val="24"/>
          <w:lang w:val="en-ZA"/>
        </w:rPr>
        <w:t>R</w:t>
      </w:r>
      <w:r w:rsidR="00A46208" w:rsidRPr="00F669AB">
        <w:rPr>
          <w:rFonts w:ascii="Arial" w:hAnsi="Arial" w:cs="Arial"/>
          <w:sz w:val="24"/>
          <w:szCs w:val="24"/>
          <w:lang w:val="en-ZA"/>
        </w:rPr>
        <w:t>epresentative</w:t>
      </w:r>
      <w:r w:rsidR="002D433E" w:rsidRPr="00F669AB">
        <w:rPr>
          <w:rFonts w:ascii="Arial" w:hAnsi="Arial" w:cs="Arial"/>
          <w:sz w:val="24"/>
          <w:szCs w:val="24"/>
          <w:lang w:val="en-ZA"/>
        </w:rPr>
        <w:t>s</w:t>
      </w:r>
      <w:r w:rsidR="00A46208" w:rsidRPr="00F669AB">
        <w:rPr>
          <w:rFonts w:ascii="Arial" w:hAnsi="Arial" w:cs="Arial"/>
          <w:sz w:val="24"/>
          <w:szCs w:val="24"/>
          <w:lang w:val="en-ZA"/>
        </w:rPr>
        <w:t xml:space="preserve"> of </w:t>
      </w:r>
      <w:r w:rsidR="005F4F98" w:rsidRPr="00F669AB">
        <w:rPr>
          <w:rFonts w:ascii="Arial" w:hAnsi="Arial" w:cs="Arial"/>
          <w:sz w:val="24"/>
          <w:szCs w:val="24"/>
          <w:lang w:val="en-ZA"/>
        </w:rPr>
        <w:t>L</w:t>
      </w:r>
      <w:r w:rsidR="00A46208" w:rsidRPr="00F669AB">
        <w:rPr>
          <w:rFonts w:ascii="Arial" w:hAnsi="Arial" w:cs="Arial"/>
          <w:sz w:val="24"/>
          <w:szCs w:val="24"/>
          <w:lang w:val="en-ZA"/>
        </w:rPr>
        <w:t xml:space="preserve">ocal Councils to District Councils’. Item 20 provides as follows: </w:t>
      </w:r>
    </w:p>
    <w:p w14:paraId="797ED73A" w14:textId="2E484C76" w:rsidR="00DD2F28" w:rsidRPr="00512F52" w:rsidRDefault="00DD2F28" w:rsidP="00BD7F14">
      <w:pPr>
        <w:spacing w:after="0" w:line="360" w:lineRule="auto"/>
        <w:jc w:val="both"/>
        <w:rPr>
          <w:rFonts w:ascii="Arial" w:hAnsi="Arial" w:cs="Arial"/>
          <w:lang w:val="en-ZA"/>
        </w:rPr>
      </w:pPr>
      <w:r w:rsidRPr="00512F52">
        <w:rPr>
          <w:rFonts w:ascii="Arial" w:hAnsi="Arial" w:cs="Arial"/>
          <w:lang w:val="en-ZA"/>
        </w:rPr>
        <w:t>‘</w:t>
      </w:r>
      <w:r w:rsidRPr="00512F52">
        <w:rPr>
          <w:rFonts w:ascii="Arial" w:hAnsi="Arial" w:cs="Arial"/>
        </w:rPr>
        <w:t xml:space="preserve">20 </w:t>
      </w:r>
      <w:r w:rsidR="00BD7F14" w:rsidRPr="00512F52">
        <w:rPr>
          <w:rFonts w:ascii="Arial" w:hAnsi="Arial" w:cs="Arial"/>
        </w:rPr>
        <w:tab/>
      </w:r>
      <w:r w:rsidRPr="00512F52">
        <w:rPr>
          <w:rFonts w:ascii="Arial" w:hAnsi="Arial" w:cs="Arial"/>
        </w:rPr>
        <w:t xml:space="preserve">Allocating seats </w:t>
      </w:r>
    </w:p>
    <w:p w14:paraId="1213C89B" w14:textId="7942A111" w:rsidR="00DD2F28" w:rsidRPr="00F669AB" w:rsidRDefault="00F669AB" w:rsidP="00F669AB">
      <w:pPr>
        <w:spacing w:after="0" w:line="360" w:lineRule="auto"/>
        <w:jc w:val="both"/>
        <w:rPr>
          <w:rFonts w:ascii="Arial" w:hAnsi="Arial" w:cs="Arial"/>
        </w:rPr>
      </w:pPr>
      <w:r w:rsidRPr="00512F52">
        <w:rPr>
          <w:rFonts w:ascii="Arial" w:hAnsi="Arial" w:cs="Arial"/>
        </w:rPr>
        <w:t>(1)</w:t>
      </w:r>
      <w:r w:rsidRPr="00512F52">
        <w:rPr>
          <w:rFonts w:ascii="Arial" w:hAnsi="Arial" w:cs="Arial"/>
        </w:rPr>
        <w:tab/>
      </w:r>
      <w:r w:rsidR="00DD2F28" w:rsidRPr="00F669AB">
        <w:rPr>
          <w:rFonts w:ascii="Arial" w:hAnsi="Arial" w:cs="Arial"/>
        </w:rPr>
        <w:t xml:space="preserve">The number of votes cast in favour of each list must be divided by the quota of votes for a seat and the result is the number of seats allocated to that list. </w:t>
      </w:r>
    </w:p>
    <w:p w14:paraId="1C039197" w14:textId="5F31C84F" w:rsidR="00DD2F28" w:rsidRPr="00F669AB" w:rsidRDefault="00F669AB" w:rsidP="00F669AB">
      <w:pPr>
        <w:spacing w:after="0" w:line="360" w:lineRule="auto"/>
        <w:ind w:left="709" w:hanging="709"/>
        <w:jc w:val="both"/>
        <w:rPr>
          <w:rFonts w:ascii="Arial" w:hAnsi="Arial" w:cs="Arial"/>
        </w:rPr>
      </w:pPr>
      <w:r w:rsidRPr="00512F52">
        <w:rPr>
          <w:rFonts w:ascii="Arial" w:hAnsi="Arial" w:cs="Arial"/>
        </w:rPr>
        <w:t>(2)</w:t>
      </w:r>
      <w:r w:rsidRPr="00512F52">
        <w:rPr>
          <w:rFonts w:ascii="Arial" w:hAnsi="Arial" w:cs="Arial"/>
        </w:rPr>
        <w:tab/>
      </w:r>
      <w:r w:rsidR="00DD2F28" w:rsidRPr="00F669AB">
        <w:rPr>
          <w:rFonts w:ascii="Arial" w:hAnsi="Arial" w:cs="Arial"/>
          <w:i/>
        </w:rPr>
        <w:t>(a)</w:t>
      </w:r>
      <w:r w:rsidR="00DD2F28" w:rsidRPr="00F669AB">
        <w:rPr>
          <w:rFonts w:ascii="Arial" w:hAnsi="Arial" w:cs="Arial"/>
        </w:rPr>
        <w:t xml:space="preserve"> </w:t>
      </w:r>
      <w:r w:rsidR="00BD7F14" w:rsidRPr="00F669AB">
        <w:rPr>
          <w:rFonts w:ascii="Arial" w:hAnsi="Arial" w:cs="Arial"/>
        </w:rPr>
        <w:t xml:space="preserve"> </w:t>
      </w:r>
      <w:r w:rsidR="00DD2F28" w:rsidRPr="00F669AB">
        <w:rPr>
          <w:rFonts w:ascii="Arial" w:hAnsi="Arial" w:cs="Arial"/>
        </w:rPr>
        <w:t xml:space="preserve">If the calculation in subitem (1) gives a surplus, that surplus must compete with other similar surpluses of any other lists, and any seat or seats not allocated under subitem (1) must be awarded in sequence of the highest surplus. </w:t>
      </w:r>
    </w:p>
    <w:p w14:paraId="4FF518EF" w14:textId="154AB8E2" w:rsidR="00DD2F28" w:rsidRPr="00512F52" w:rsidRDefault="00BD7F14" w:rsidP="00902187">
      <w:pPr>
        <w:spacing w:after="0" w:line="360" w:lineRule="auto"/>
        <w:ind w:left="720"/>
        <w:jc w:val="both"/>
        <w:rPr>
          <w:rFonts w:ascii="Arial" w:hAnsi="Arial" w:cs="Arial"/>
        </w:rPr>
      </w:pPr>
      <w:r w:rsidRPr="00512F52">
        <w:rPr>
          <w:rFonts w:ascii="Arial" w:hAnsi="Arial" w:cs="Arial"/>
          <w:i/>
        </w:rPr>
        <w:t>(b)</w:t>
      </w:r>
      <w:r w:rsidRPr="00512F52">
        <w:rPr>
          <w:rFonts w:ascii="Arial" w:hAnsi="Arial" w:cs="Arial"/>
        </w:rPr>
        <w:t xml:space="preserve">  </w:t>
      </w:r>
      <w:r w:rsidR="00DD2F28" w:rsidRPr="00512F52">
        <w:rPr>
          <w:rFonts w:ascii="Arial" w:hAnsi="Arial" w:cs="Arial"/>
        </w:rPr>
        <w:t>If the surplus on one list is equal to the surplus on any other list, the seat or seats must be awarded in sequence of the highest number of votes cast for those lists.’</w:t>
      </w:r>
    </w:p>
    <w:p w14:paraId="52D31C3F" w14:textId="37641013" w:rsidR="00001F32" w:rsidRPr="00512F52" w:rsidRDefault="007176F8" w:rsidP="00772102">
      <w:pPr>
        <w:spacing w:after="0" w:line="360" w:lineRule="auto"/>
        <w:jc w:val="both"/>
        <w:rPr>
          <w:rFonts w:ascii="Arial" w:hAnsi="Arial" w:cs="Arial"/>
          <w:sz w:val="24"/>
          <w:szCs w:val="24"/>
        </w:rPr>
      </w:pPr>
      <w:r w:rsidRPr="00512F52">
        <w:rPr>
          <w:rFonts w:ascii="Arial" w:hAnsi="Arial" w:cs="Arial"/>
          <w:sz w:val="24"/>
          <w:szCs w:val="24"/>
        </w:rPr>
        <w:t xml:space="preserve">The crucial provision is </w:t>
      </w:r>
      <w:r w:rsidR="00BD7F14" w:rsidRPr="00512F52">
        <w:rPr>
          <w:rFonts w:ascii="Arial" w:hAnsi="Arial" w:cs="Arial"/>
          <w:sz w:val="24"/>
          <w:szCs w:val="24"/>
        </w:rPr>
        <w:t xml:space="preserve">thus </w:t>
      </w:r>
      <w:r w:rsidRPr="00512F52">
        <w:rPr>
          <w:rFonts w:ascii="Arial" w:hAnsi="Arial" w:cs="Arial"/>
          <w:sz w:val="24"/>
          <w:szCs w:val="24"/>
        </w:rPr>
        <w:t>item 20(2)</w:t>
      </w:r>
      <w:r w:rsidRPr="00512F52">
        <w:rPr>
          <w:rFonts w:ascii="Arial" w:hAnsi="Arial" w:cs="Arial"/>
          <w:i/>
          <w:iCs/>
          <w:sz w:val="24"/>
          <w:szCs w:val="24"/>
        </w:rPr>
        <w:t>(a)</w:t>
      </w:r>
      <w:r w:rsidR="00BD7F14" w:rsidRPr="00512F52">
        <w:rPr>
          <w:rFonts w:ascii="Arial" w:hAnsi="Arial" w:cs="Arial"/>
          <w:iCs/>
          <w:sz w:val="24"/>
          <w:szCs w:val="24"/>
        </w:rPr>
        <w:t>,</w:t>
      </w:r>
      <w:r w:rsidRPr="00512F52">
        <w:rPr>
          <w:rFonts w:ascii="Arial" w:hAnsi="Arial" w:cs="Arial"/>
          <w:i/>
          <w:iCs/>
          <w:sz w:val="24"/>
          <w:szCs w:val="24"/>
        </w:rPr>
        <w:t xml:space="preserve"> </w:t>
      </w:r>
      <w:r w:rsidRPr="00512F52">
        <w:rPr>
          <w:rFonts w:ascii="Arial" w:hAnsi="Arial" w:cs="Arial"/>
          <w:sz w:val="24"/>
          <w:szCs w:val="24"/>
        </w:rPr>
        <w:t xml:space="preserve">and the question </w:t>
      </w:r>
      <w:r w:rsidR="00BD7F14" w:rsidRPr="00512F52">
        <w:rPr>
          <w:rFonts w:ascii="Arial" w:hAnsi="Arial" w:cs="Arial"/>
          <w:sz w:val="24"/>
          <w:szCs w:val="24"/>
        </w:rPr>
        <w:t xml:space="preserve">to be determined </w:t>
      </w:r>
      <w:r w:rsidRPr="00512F52">
        <w:rPr>
          <w:rFonts w:ascii="Arial" w:hAnsi="Arial" w:cs="Arial"/>
          <w:sz w:val="24"/>
          <w:szCs w:val="24"/>
        </w:rPr>
        <w:t>is the meaning of the phrase ‘any seat or seats not allocated under subitem (1) must be awarded in sequence of the highest surplus’</w:t>
      </w:r>
      <w:r w:rsidR="009E2C92" w:rsidRPr="00512F52">
        <w:rPr>
          <w:rFonts w:ascii="Arial" w:hAnsi="Arial" w:cs="Arial"/>
          <w:sz w:val="24"/>
          <w:szCs w:val="24"/>
        </w:rPr>
        <w:t>.</w:t>
      </w:r>
    </w:p>
    <w:p w14:paraId="04B39D97" w14:textId="766D1D1D" w:rsidR="007176F8" w:rsidRPr="00512F52" w:rsidRDefault="007176F8" w:rsidP="009E2C92">
      <w:pPr>
        <w:spacing w:after="0" w:line="360" w:lineRule="auto"/>
        <w:jc w:val="both"/>
        <w:rPr>
          <w:rFonts w:ascii="Arial" w:hAnsi="Arial" w:cs="Arial"/>
          <w:sz w:val="24"/>
          <w:szCs w:val="24"/>
        </w:rPr>
      </w:pPr>
    </w:p>
    <w:p w14:paraId="0EAF30FC" w14:textId="688CB36A" w:rsidR="00007E36" w:rsidRPr="00512F52" w:rsidRDefault="004E5B18" w:rsidP="00772102">
      <w:pPr>
        <w:spacing w:after="0" w:line="360" w:lineRule="auto"/>
        <w:jc w:val="both"/>
        <w:rPr>
          <w:rFonts w:ascii="Arial" w:hAnsi="Arial" w:cs="Arial"/>
          <w:b/>
          <w:bCs/>
          <w:sz w:val="24"/>
          <w:szCs w:val="24"/>
        </w:rPr>
      </w:pPr>
      <w:r w:rsidRPr="00512F52">
        <w:rPr>
          <w:rFonts w:ascii="Arial" w:hAnsi="Arial" w:cs="Arial"/>
          <w:b/>
          <w:bCs/>
          <w:sz w:val="24"/>
          <w:szCs w:val="24"/>
        </w:rPr>
        <w:t>The Commission’s contentions</w:t>
      </w:r>
      <w:r w:rsidR="00CC1210" w:rsidRPr="00512F52">
        <w:rPr>
          <w:rFonts w:ascii="Arial" w:hAnsi="Arial" w:cs="Arial"/>
          <w:b/>
          <w:bCs/>
          <w:sz w:val="24"/>
          <w:szCs w:val="24"/>
        </w:rPr>
        <w:t xml:space="preserve"> </w:t>
      </w:r>
    </w:p>
    <w:p w14:paraId="0882510E" w14:textId="4B95935E" w:rsidR="00001F3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[44]</w:t>
      </w:r>
      <w:r w:rsidRPr="00512F52">
        <w:rPr>
          <w:rFonts w:ascii="Arial" w:hAnsi="Arial" w:cs="Arial"/>
          <w:sz w:val="24"/>
          <w:szCs w:val="24"/>
        </w:rPr>
        <w:tab/>
      </w:r>
      <w:r w:rsidR="001C51BD" w:rsidRPr="00F669AB">
        <w:rPr>
          <w:rFonts w:ascii="Arial" w:hAnsi="Arial" w:cs="Arial"/>
          <w:sz w:val="24"/>
          <w:szCs w:val="24"/>
        </w:rPr>
        <w:t>As regards the text of item 20</w:t>
      </w:r>
      <w:r w:rsidR="00394951" w:rsidRPr="00F669AB">
        <w:rPr>
          <w:rFonts w:ascii="Arial" w:hAnsi="Arial" w:cs="Arial"/>
          <w:sz w:val="24"/>
          <w:szCs w:val="24"/>
        </w:rPr>
        <w:t>,</w:t>
      </w:r>
      <w:r w:rsidR="001C51BD" w:rsidRPr="00F669AB">
        <w:rPr>
          <w:rFonts w:ascii="Arial" w:hAnsi="Arial" w:cs="Arial"/>
          <w:sz w:val="24"/>
          <w:szCs w:val="24"/>
        </w:rPr>
        <w:t xml:space="preserve"> t</w:t>
      </w:r>
      <w:r w:rsidR="00007E36" w:rsidRPr="00F669AB">
        <w:rPr>
          <w:rFonts w:ascii="Arial" w:hAnsi="Arial" w:cs="Arial"/>
          <w:sz w:val="24"/>
          <w:szCs w:val="24"/>
        </w:rPr>
        <w:t>he Commission contends that the interpretation of item 20(2)</w:t>
      </w:r>
      <w:r w:rsidR="00007E36" w:rsidRPr="00F669AB">
        <w:rPr>
          <w:rFonts w:ascii="Arial" w:hAnsi="Arial" w:cs="Arial"/>
          <w:i/>
          <w:iCs/>
          <w:sz w:val="24"/>
          <w:szCs w:val="24"/>
        </w:rPr>
        <w:t xml:space="preserve">(a) </w:t>
      </w:r>
      <w:r w:rsidR="00007E36" w:rsidRPr="00F669AB">
        <w:rPr>
          <w:rFonts w:ascii="Arial" w:hAnsi="Arial" w:cs="Arial"/>
          <w:sz w:val="24"/>
          <w:szCs w:val="24"/>
        </w:rPr>
        <w:t xml:space="preserve">contended for by the respondents, which is to the effect that all the remaining seats must be awarded in sequence of the highest surplus, is </w:t>
      </w:r>
      <w:r w:rsidR="00042003" w:rsidRPr="00F669AB">
        <w:rPr>
          <w:rFonts w:ascii="Arial" w:hAnsi="Arial" w:cs="Arial"/>
          <w:sz w:val="24"/>
          <w:szCs w:val="24"/>
        </w:rPr>
        <w:t>absurd</w:t>
      </w:r>
      <w:r w:rsidR="00007E36" w:rsidRPr="00F669AB">
        <w:rPr>
          <w:rFonts w:ascii="Arial" w:hAnsi="Arial" w:cs="Arial"/>
          <w:sz w:val="24"/>
          <w:szCs w:val="24"/>
        </w:rPr>
        <w:t>. It argues that the problem with this reading</w:t>
      </w:r>
      <w:r w:rsidR="00EA4171" w:rsidRPr="00F669AB">
        <w:rPr>
          <w:rFonts w:ascii="Arial" w:hAnsi="Arial" w:cs="Arial"/>
          <w:sz w:val="24"/>
          <w:szCs w:val="24"/>
        </w:rPr>
        <w:t xml:space="preserve"> is that it focuses on the words ‘any seat or </w:t>
      </w:r>
      <w:r w:rsidR="002D433E" w:rsidRPr="00F669AB">
        <w:rPr>
          <w:rFonts w:ascii="Arial" w:hAnsi="Arial" w:cs="Arial"/>
          <w:sz w:val="24"/>
          <w:szCs w:val="24"/>
        </w:rPr>
        <w:t>seats</w:t>
      </w:r>
      <w:r w:rsidR="00EA3555" w:rsidRPr="00F669AB">
        <w:rPr>
          <w:rFonts w:ascii="Arial" w:hAnsi="Arial" w:cs="Arial"/>
          <w:sz w:val="24"/>
          <w:szCs w:val="24"/>
        </w:rPr>
        <w:t xml:space="preserve"> . . . </w:t>
      </w:r>
      <w:r w:rsidR="002D433E" w:rsidRPr="00F669AB">
        <w:rPr>
          <w:rFonts w:ascii="Arial" w:hAnsi="Arial" w:cs="Arial"/>
          <w:sz w:val="24"/>
          <w:szCs w:val="24"/>
        </w:rPr>
        <w:t xml:space="preserve">must be awarded’, </w:t>
      </w:r>
      <w:r w:rsidR="0035004D" w:rsidRPr="00F669AB">
        <w:rPr>
          <w:rFonts w:ascii="Arial" w:hAnsi="Arial" w:cs="Arial"/>
          <w:sz w:val="24"/>
          <w:szCs w:val="24"/>
        </w:rPr>
        <w:t xml:space="preserve">and </w:t>
      </w:r>
      <w:r w:rsidR="00EA4171" w:rsidRPr="00F669AB">
        <w:rPr>
          <w:rFonts w:ascii="Arial" w:hAnsi="Arial" w:cs="Arial"/>
          <w:sz w:val="24"/>
          <w:szCs w:val="24"/>
        </w:rPr>
        <w:t>ignores the fact that the seats are awarded by competing with other surpluses</w:t>
      </w:r>
      <w:r w:rsidR="00660951" w:rsidRPr="00F669AB">
        <w:rPr>
          <w:rFonts w:ascii="Arial" w:hAnsi="Arial" w:cs="Arial"/>
          <w:sz w:val="24"/>
          <w:szCs w:val="24"/>
        </w:rPr>
        <w:t>. The following example may explain how the process contemplated by item 20(2)</w:t>
      </w:r>
      <w:r w:rsidR="00660951" w:rsidRPr="00F669AB">
        <w:rPr>
          <w:rFonts w:ascii="Arial" w:hAnsi="Arial" w:cs="Arial"/>
          <w:i/>
          <w:sz w:val="24"/>
          <w:szCs w:val="24"/>
        </w:rPr>
        <w:t>(a)</w:t>
      </w:r>
      <w:r w:rsidR="00660951" w:rsidRPr="00F669AB">
        <w:rPr>
          <w:rFonts w:ascii="Arial" w:hAnsi="Arial" w:cs="Arial"/>
          <w:sz w:val="24"/>
          <w:szCs w:val="24"/>
        </w:rPr>
        <w:t xml:space="preserve"> applies</w:t>
      </w:r>
      <w:r w:rsidR="00EA4171" w:rsidRPr="00F669AB">
        <w:rPr>
          <w:rFonts w:ascii="Arial" w:hAnsi="Arial" w:cs="Arial"/>
          <w:sz w:val="24"/>
          <w:szCs w:val="24"/>
        </w:rPr>
        <w:t xml:space="preserve">: (a) A surplus is the fraction which represents how close a list was to achieving an additional seat; (b) If the quota for a seat is 10 votes, and a list receives 25 votes, it will receive </w:t>
      </w:r>
      <w:r w:rsidR="004E441D" w:rsidRPr="00F669AB">
        <w:rPr>
          <w:rFonts w:ascii="Arial" w:hAnsi="Arial" w:cs="Arial"/>
          <w:sz w:val="24"/>
          <w:szCs w:val="24"/>
        </w:rPr>
        <w:t>two</w:t>
      </w:r>
      <w:r w:rsidR="00EA4171" w:rsidRPr="00F669AB">
        <w:rPr>
          <w:rFonts w:ascii="Arial" w:hAnsi="Arial" w:cs="Arial"/>
          <w:sz w:val="24"/>
          <w:szCs w:val="24"/>
        </w:rPr>
        <w:t xml:space="preserve"> seats in round one, and have a surplus of 0.5. Another list that receives 32 votes, will have </w:t>
      </w:r>
      <w:r w:rsidR="004E441D" w:rsidRPr="00F669AB">
        <w:rPr>
          <w:rFonts w:ascii="Arial" w:hAnsi="Arial" w:cs="Arial"/>
          <w:sz w:val="24"/>
          <w:szCs w:val="24"/>
        </w:rPr>
        <w:t>three</w:t>
      </w:r>
      <w:r w:rsidR="00EA4171" w:rsidRPr="00F669AB">
        <w:rPr>
          <w:rFonts w:ascii="Arial" w:hAnsi="Arial" w:cs="Arial"/>
          <w:sz w:val="24"/>
          <w:szCs w:val="24"/>
        </w:rPr>
        <w:t xml:space="preserve"> seats in round one, and a surplus of 0.2; (c) When those surpluses compete, 0.5 is higher than 0.2, so the first list will receive the first additional seat; </w:t>
      </w:r>
      <w:r w:rsidR="00522AE0" w:rsidRPr="00F669AB">
        <w:rPr>
          <w:rFonts w:ascii="Arial" w:hAnsi="Arial" w:cs="Arial"/>
          <w:sz w:val="24"/>
          <w:szCs w:val="24"/>
        </w:rPr>
        <w:t xml:space="preserve">and </w:t>
      </w:r>
      <w:r w:rsidR="00EA4171" w:rsidRPr="00F669AB">
        <w:rPr>
          <w:rFonts w:ascii="Arial" w:hAnsi="Arial" w:cs="Arial"/>
          <w:sz w:val="24"/>
          <w:szCs w:val="24"/>
        </w:rPr>
        <w:t>(d)</w:t>
      </w:r>
      <w:r w:rsidR="005A73E1" w:rsidRPr="00F669AB">
        <w:rPr>
          <w:rFonts w:ascii="Arial" w:hAnsi="Arial" w:cs="Arial"/>
          <w:sz w:val="24"/>
          <w:szCs w:val="24"/>
        </w:rPr>
        <w:t>.</w:t>
      </w:r>
      <w:r w:rsidR="00EA4171" w:rsidRPr="00F669AB">
        <w:rPr>
          <w:rFonts w:ascii="Arial" w:hAnsi="Arial" w:cs="Arial"/>
          <w:sz w:val="24"/>
          <w:szCs w:val="24"/>
        </w:rPr>
        <w:t xml:space="preserve"> </w:t>
      </w:r>
      <w:r w:rsidR="00522AE0" w:rsidRPr="00F669AB">
        <w:rPr>
          <w:rFonts w:ascii="Arial" w:hAnsi="Arial" w:cs="Arial"/>
          <w:sz w:val="24"/>
          <w:szCs w:val="24"/>
        </w:rPr>
        <w:t xml:space="preserve">However, </w:t>
      </w:r>
      <w:r w:rsidR="00EA4171" w:rsidRPr="00F669AB">
        <w:rPr>
          <w:rFonts w:ascii="Arial" w:hAnsi="Arial" w:cs="Arial"/>
          <w:sz w:val="24"/>
          <w:szCs w:val="24"/>
        </w:rPr>
        <w:t xml:space="preserve">the surpluses are then finished. They are a representation of almost achieving another seat. </w:t>
      </w:r>
      <w:r w:rsidR="001C51BD" w:rsidRPr="00F669AB">
        <w:rPr>
          <w:rFonts w:ascii="Arial" w:hAnsi="Arial" w:cs="Arial"/>
          <w:sz w:val="24"/>
          <w:szCs w:val="24"/>
        </w:rPr>
        <w:t xml:space="preserve">The Commission asserts that the surpluses </w:t>
      </w:r>
      <w:r w:rsidR="00EA4171" w:rsidRPr="00F669AB">
        <w:rPr>
          <w:rFonts w:ascii="Arial" w:hAnsi="Arial" w:cs="Arial"/>
          <w:sz w:val="24"/>
          <w:szCs w:val="24"/>
        </w:rPr>
        <w:t>can logically only ‘compete’</w:t>
      </w:r>
      <w:r w:rsidR="006B1424" w:rsidRPr="00F669AB">
        <w:rPr>
          <w:rFonts w:ascii="Arial" w:hAnsi="Arial" w:cs="Arial"/>
          <w:sz w:val="24"/>
          <w:szCs w:val="24"/>
        </w:rPr>
        <w:t xml:space="preserve"> </w:t>
      </w:r>
      <w:r w:rsidR="00EA4171" w:rsidRPr="00F669AB">
        <w:rPr>
          <w:rFonts w:ascii="Arial" w:hAnsi="Arial" w:cs="Arial"/>
          <w:sz w:val="24"/>
          <w:szCs w:val="24"/>
        </w:rPr>
        <w:t>once.</w:t>
      </w:r>
      <w:r w:rsidR="006B1424" w:rsidRPr="00F669AB">
        <w:rPr>
          <w:rFonts w:ascii="Arial" w:hAnsi="Arial" w:cs="Arial"/>
          <w:sz w:val="24"/>
          <w:szCs w:val="24"/>
        </w:rPr>
        <w:t xml:space="preserve"> </w:t>
      </w:r>
      <w:r w:rsidR="001C51BD" w:rsidRPr="00F669AB">
        <w:rPr>
          <w:rFonts w:ascii="Arial" w:hAnsi="Arial" w:cs="Arial"/>
          <w:sz w:val="24"/>
          <w:szCs w:val="24"/>
        </w:rPr>
        <w:t>On the basis of this analysis the Commission argues that t</w:t>
      </w:r>
      <w:r w:rsidR="006B1424" w:rsidRPr="00F669AB">
        <w:rPr>
          <w:rFonts w:ascii="Arial" w:hAnsi="Arial" w:cs="Arial"/>
          <w:sz w:val="24"/>
          <w:szCs w:val="24"/>
        </w:rPr>
        <w:t>he respo</w:t>
      </w:r>
      <w:r w:rsidR="001C51BD" w:rsidRPr="00F669AB">
        <w:rPr>
          <w:rFonts w:ascii="Arial" w:hAnsi="Arial" w:cs="Arial"/>
          <w:sz w:val="24"/>
          <w:szCs w:val="24"/>
        </w:rPr>
        <w:t>ndent’s interpretation makes no sense to the extent that i</w:t>
      </w:r>
      <w:r w:rsidR="006B1424" w:rsidRPr="00F669AB">
        <w:rPr>
          <w:rFonts w:ascii="Arial" w:hAnsi="Arial" w:cs="Arial"/>
          <w:sz w:val="24"/>
          <w:szCs w:val="24"/>
        </w:rPr>
        <w:t>t ignores the nature of a ‘surplus</w:t>
      </w:r>
      <w:r w:rsidR="001C51BD" w:rsidRPr="00F669AB">
        <w:rPr>
          <w:rFonts w:ascii="Arial" w:hAnsi="Arial" w:cs="Arial"/>
          <w:sz w:val="24"/>
          <w:szCs w:val="24"/>
        </w:rPr>
        <w:t>’, and the requirement that the surpluses</w:t>
      </w:r>
      <w:r w:rsidR="006B1424" w:rsidRPr="00F669AB">
        <w:rPr>
          <w:rFonts w:ascii="Arial" w:hAnsi="Arial" w:cs="Arial"/>
          <w:sz w:val="24"/>
          <w:szCs w:val="24"/>
        </w:rPr>
        <w:t xml:space="preserve"> compete.</w:t>
      </w:r>
    </w:p>
    <w:p w14:paraId="67394739" w14:textId="77777777" w:rsidR="00772102" w:rsidRPr="00512F52" w:rsidRDefault="00772102" w:rsidP="00772102">
      <w:pPr>
        <w:pStyle w:val="ListParagraph"/>
        <w:spacing w:after="0" w:line="360" w:lineRule="auto"/>
        <w:ind w:left="0"/>
        <w:jc w:val="both"/>
        <w:rPr>
          <w:rFonts w:ascii="Arial" w:hAnsi="Arial" w:cs="Arial"/>
          <w:sz w:val="24"/>
          <w:szCs w:val="24"/>
        </w:rPr>
      </w:pPr>
    </w:p>
    <w:p w14:paraId="190C9145" w14:textId="200D3EF0" w:rsidR="00B724F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lastRenderedPageBreak/>
        <w:t>[45]</w:t>
      </w:r>
      <w:r w:rsidRPr="00512F52">
        <w:rPr>
          <w:rFonts w:ascii="Arial" w:hAnsi="Arial" w:cs="Arial"/>
          <w:sz w:val="24"/>
          <w:szCs w:val="24"/>
        </w:rPr>
        <w:tab/>
      </w:r>
      <w:r w:rsidR="00B724FA" w:rsidRPr="00F669AB">
        <w:rPr>
          <w:rFonts w:ascii="Arial" w:hAnsi="Arial" w:cs="Arial"/>
          <w:sz w:val="24"/>
          <w:szCs w:val="24"/>
        </w:rPr>
        <w:t xml:space="preserve">With regard to the </w:t>
      </w:r>
      <w:r w:rsidR="00394951" w:rsidRPr="00F669AB">
        <w:rPr>
          <w:rFonts w:ascii="Arial" w:hAnsi="Arial" w:cs="Arial"/>
          <w:sz w:val="24"/>
          <w:szCs w:val="24"/>
        </w:rPr>
        <w:t>context</w:t>
      </w:r>
      <w:r w:rsidR="002E6A6E" w:rsidRPr="00F669AB">
        <w:rPr>
          <w:rFonts w:ascii="Arial" w:hAnsi="Arial" w:cs="Arial"/>
          <w:sz w:val="24"/>
          <w:szCs w:val="24"/>
        </w:rPr>
        <w:t>, counsel for the</w:t>
      </w:r>
      <w:r w:rsidR="00394951" w:rsidRPr="00F669AB">
        <w:rPr>
          <w:rFonts w:ascii="Arial" w:hAnsi="Arial" w:cs="Arial"/>
          <w:sz w:val="24"/>
          <w:szCs w:val="24"/>
        </w:rPr>
        <w:t xml:space="preserve"> Commission </w:t>
      </w:r>
      <w:r w:rsidR="002E6A6E" w:rsidRPr="00F669AB">
        <w:rPr>
          <w:rFonts w:ascii="Arial" w:hAnsi="Arial" w:cs="Arial"/>
          <w:sz w:val="24"/>
          <w:szCs w:val="24"/>
        </w:rPr>
        <w:t>submitted</w:t>
      </w:r>
      <w:r w:rsidR="00394951" w:rsidRPr="00F669AB">
        <w:rPr>
          <w:rFonts w:ascii="Arial" w:hAnsi="Arial" w:cs="Arial"/>
          <w:sz w:val="24"/>
          <w:szCs w:val="24"/>
        </w:rPr>
        <w:t xml:space="preserve"> that </w:t>
      </w:r>
      <w:r w:rsidR="00B724FA" w:rsidRPr="00F669AB">
        <w:rPr>
          <w:rFonts w:ascii="Arial" w:hAnsi="Arial" w:cs="Arial"/>
          <w:sz w:val="24"/>
          <w:szCs w:val="24"/>
        </w:rPr>
        <w:t>item 20 must be interpreted</w:t>
      </w:r>
      <w:r w:rsidR="002E6A6E" w:rsidRPr="00F669AB">
        <w:rPr>
          <w:rFonts w:ascii="Arial" w:hAnsi="Arial" w:cs="Arial"/>
          <w:sz w:val="24"/>
          <w:szCs w:val="24"/>
        </w:rPr>
        <w:t xml:space="preserve"> in the context, first</w:t>
      </w:r>
      <w:r w:rsidR="004C5E19" w:rsidRPr="00F669AB">
        <w:rPr>
          <w:rFonts w:ascii="Arial" w:hAnsi="Arial" w:cs="Arial"/>
          <w:sz w:val="24"/>
          <w:szCs w:val="24"/>
        </w:rPr>
        <w:t>ly</w:t>
      </w:r>
      <w:r w:rsidR="002E6A6E" w:rsidRPr="00F669AB">
        <w:rPr>
          <w:rFonts w:ascii="Arial" w:hAnsi="Arial" w:cs="Arial"/>
          <w:sz w:val="24"/>
          <w:szCs w:val="24"/>
        </w:rPr>
        <w:t>, of</w:t>
      </w:r>
      <w:r w:rsidR="00B724FA" w:rsidRPr="00F669AB">
        <w:rPr>
          <w:rFonts w:ascii="Arial" w:hAnsi="Arial" w:cs="Arial"/>
          <w:sz w:val="24"/>
          <w:szCs w:val="24"/>
        </w:rPr>
        <w:t xml:space="preserve"> s</w:t>
      </w:r>
      <w:r w:rsidR="002E6A6E" w:rsidRPr="00F669AB">
        <w:rPr>
          <w:rFonts w:ascii="Arial" w:hAnsi="Arial" w:cs="Arial"/>
          <w:sz w:val="24"/>
          <w:szCs w:val="24"/>
        </w:rPr>
        <w:t xml:space="preserve"> 157 of the Constitution and</w:t>
      </w:r>
      <w:r w:rsidR="004C5E19" w:rsidRPr="00F669AB">
        <w:rPr>
          <w:rFonts w:ascii="Arial" w:hAnsi="Arial" w:cs="Arial"/>
          <w:sz w:val="24"/>
          <w:szCs w:val="24"/>
        </w:rPr>
        <w:t>,</w:t>
      </w:r>
      <w:r w:rsidR="00394951" w:rsidRPr="00F669AB">
        <w:rPr>
          <w:rFonts w:ascii="Arial" w:hAnsi="Arial" w:cs="Arial"/>
          <w:sz w:val="24"/>
          <w:szCs w:val="24"/>
        </w:rPr>
        <w:t xml:space="preserve"> second</w:t>
      </w:r>
      <w:r w:rsidR="002E6A6E" w:rsidRPr="00F669AB">
        <w:rPr>
          <w:rFonts w:ascii="Arial" w:hAnsi="Arial" w:cs="Arial"/>
          <w:sz w:val="24"/>
          <w:szCs w:val="24"/>
        </w:rPr>
        <w:t xml:space="preserve">ly, of </w:t>
      </w:r>
      <w:r w:rsidR="00394951" w:rsidRPr="00F669AB">
        <w:rPr>
          <w:rFonts w:ascii="Arial" w:hAnsi="Arial" w:cs="Arial"/>
          <w:sz w:val="24"/>
          <w:szCs w:val="24"/>
        </w:rPr>
        <w:t>Schedule 2</w:t>
      </w:r>
      <w:r w:rsidR="00296DE2" w:rsidRPr="00F669AB">
        <w:rPr>
          <w:rFonts w:ascii="Arial" w:hAnsi="Arial" w:cs="Arial"/>
          <w:sz w:val="24"/>
          <w:szCs w:val="24"/>
        </w:rPr>
        <w:t xml:space="preserve"> to the Structures Act</w:t>
      </w:r>
      <w:r w:rsidR="004C5E19" w:rsidRPr="00F669AB">
        <w:rPr>
          <w:rFonts w:ascii="Arial" w:hAnsi="Arial" w:cs="Arial"/>
          <w:sz w:val="24"/>
          <w:szCs w:val="24"/>
        </w:rPr>
        <w:t>,</w:t>
      </w:r>
      <w:r w:rsidR="002E6A6E" w:rsidRPr="00F669AB">
        <w:rPr>
          <w:rFonts w:ascii="Arial" w:hAnsi="Arial" w:cs="Arial"/>
          <w:sz w:val="24"/>
          <w:szCs w:val="24"/>
        </w:rPr>
        <w:t xml:space="preserve"> in which it is located</w:t>
      </w:r>
      <w:r w:rsidR="00394951" w:rsidRPr="00F669AB">
        <w:rPr>
          <w:rFonts w:ascii="Arial" w:hAnsi="Arial" w:cs="Arial"/>
          <w:sz w:val="24"/>
          <w:szCs w:val="24"/>
        </w:rPr>
        <w:t>.</w:t>
      </w:r>
      <w:r w:rsidR="00296DE2" w:rsidRPr="00F669AB">
        <w:rPr>
          <w:rFonts w:ascii="Arial" w:hAnsi="Arial" w:cs="Arial"/>
          <w:sz w:val="24"/>
          <w:szCs w:val="24"/>
        </w:rPr>
        <w:t xml:space="preserve"> Section</w:t>
      </w:r>
      <w:r w:rsidR="002E6A6E" w:rsidRPr="00F669AB">
        <w:rPr>
          <w:rFonts w:ascii="Arial" w:hAnsi="Arial" w:cs="Arial"/>
          <w:sz w:val="24"/>
          <w:szCs w:val="24"/>
        </w:rPr>
        <w:t xml:space="preserve"> </w:t>
      </w:r>
      <w:r w:rsidR="00296DE2" w:rsidRPr="00F669AB">
        <w:rPr>
          <w:rFonts w:ascii="Arial" w:hAnsi="Arial" w:cs="Arial"/>
          <w:sz w:val="24"/>
          <w:szCs w:val="24"/>
        </w:rPr>
        <w:t xml:space="preserve">157 </w:t>
      </w:r>
      <w:r w:rsidR="00B724FA" w:rsidRPr="00F669AB">
        <w:rPr>
          <w:rFonts w:ascii="Arial" w:hAnsi="Arial" w:cs="Arial"/>
          <w:sz w:val="24"/>
          <w:szCs w:val="24"/>
        </w:rPr>
        <w:t xml:space="preserve">of the Constitution </w:t>
      </w:r>
      <w:r w:rsidR="00C21355" w:rsidRPr="00F669AB">
        <w:rPr>
          <w:rFonts w:ascii="Arial" w:hAnsi="Arial" w:cs="Arial"/>
          <w:sz w:val="24"/>
          <w:szCs w:val="24"/>
        </w:rPr>
        <w:t>is headed ‘Composition and election of Municipal Councils’. It provides as follows:</w:t>
      </w:r>
    </w:p>
    <w:p w14:paraId="484C3019" w14:textId="62AB7253" w:rsidR="007F125C" w:rsidRPr="00512F52" w:rsidRDefault="00B724FA" w:rsidP="00522AE0">
      <w:pPr>
        <w:spacing w:after="0" w:line="360" w:lineRule="auto"/>
        <w:jc w:val="both"/>
        <w:rPr>
          <w:rFonts w:ascii="Arial" w:hAnsi="Arial" w:cs="Arial"/>
        </w:rPr>
      </w:pPr>
      <w:r w:rsidRPr="00512F52">
        <w:rPr>
          <w:rFonts w:ascii="Arial" w:hAnsi="Arial" w:cs="Arial"/>
        </w:rPr>
        <w:t>‘</w:t>
      </w:r>
      <w:r w:rsidR="007F125C" w:rsidRPr="00512F52">
        <w:rPr>
          <w:rFonts w:ascii="Arial" w:hAnsi="Arial" w:cs="Arial"/>
        </w:rPr>
        <w:t>(1)</w:t>
      </w:r>
      <w:r w:rsidR="00AC105A" w:rsidRPr="00512F52">
        <w:rPr>
          <w:rFonts w:ascii="Arial" w:hAnsi="Arial" w:cs="Arial"/>
        </w:rPr>
        <w:tab/>
      </w:r>
      <w:r w:rsidR="007F125C" w:rsidRPr="00512F52">
        <w:rPr>
          <w:rFonts w:ascii="Arial" w:hAnsi="Arial" w:cs="Arial"/>
        </w:rPr>
        <w:t xml:space="preserve">A Municipal Council consists of— </w:t>
      </w:r>
    </w:p>
    <w:p w14:paraId="3CAF78E3" w14:textId="234D6FFC" w:rsidR="007F125C" w:rsidRPr="00F669AB" w:rsidRDefault="00F669AB" w:rsidP="00F669AB">
      <w:pPr>
        <w:spacing w:after="0" w:line="360" w:lineRule="auto"/>
        <w:ind w:left="709"/>
        <w:jc w:val="both"/>
        <w:rPr>
          <w:rFonts w:ascii="Arial" w:hAnsi="Arial" w:cs="Arial"/>
        </w:rPr>
      </w:pPr>
      <w:r w:rsidRPr="00512F52">
        <w:rPr>
          <w:rFonts w:ascii="Arial" w:hAnsi="Arial" w:cs="Arial"/>
        </w:rPr>
        <w:t>(a)</w:t>
      </w:r>
      <w:r w:rsidRPr="00512F52">
        <w:rPr>
          <w:rFonts w:ascii="Arial" w:hAnsi="Arial" w:cs="Arial"/>
        </w:rPr>
        <w:tab/>
      </w:r>
      <w:r w:rsidR="007F125C" w:rsidRPr="00F669AB">
        <w:rPr>
          <w:rFonts w:ascii="Arial" w:hAnsi="Arial" w:cs="Arial"/>
        </w:rPr>
        <w:t xml:space="preserve">members elected in accordance with subsections (2) and (3); or </w:t>
      </w:r>
    </w:p>
    <w:p w14:paraId="2759B810" w14:textId="4BD3462C" w:rsidR="007F125C" w:rsidRPr="00F669AB" w:rsidRDefault="00F669AB" w:rsidP="00F669AB">
      <w:pPr>
        <w:spacing w:after="0" w:line="360" w:lineRule="auto"/>
        <w:ind w:left="709"/>
        <w:jc w:val="both"/>
        <w:rPr>
          <w:rFonts w:ascii="Arial" w:hAnsi="Arial" w:cs="Arial"/>
        </w:rPr>
      </w:pPr>
      <w:r w:rsidRPr="00512F52">
        <w:rPr>
          <w:rFonts w:ascii="Arial" w:hAnsi="Arial" w:cs="Arial"/>
        </w:rPr>
        <w:t>(b)</w:t>
      </w:r>
      <w:r w:rsidRPr="00512F52">
        <w:rPr>
          <w:rFonts w:ascii="Arial" w:hAnsi="Arial" w:cs="Arial"/>
        </w:rPr>
        <w:tab/>
      </w:r>
      <w:r w:rsidR="007F125C" w:rsidRPr="00F669AB">
        <w:rPr>
          <w:rFonts w:ascii="Arial" w:hAnsi="Arial" w:cs="Arial"/>
        </w:rPr>
        <w:t xml:space="preserve">if provided for by national legislation— </w:t>
      </w:r>
    </w:p>
    <w:p w14:paraId="454041D3" w14:textId="70E44F85" w:rsidR="007F125C" w:rsidRPr="00512F52" w:rsidRDefault="00BB70CD" w:rsidP="00902187">
      <w:pPr>
        <w:pStyle w:val="ListParagraph"/>
        <w:spacing w:after="0" w:line="360" w:lineRule="auto"/>
        <w:ind w:left="1440"/>
        <w:jc w:val="both"/>
        <w:rPr>
          <w:rFonts w:ascii="Arial" w:hAnsi="Arial" w:cs="Arial"/>
        </w:rPr>
      </w:pPr>
      <w:r w:rsidRPr="00512F52">
        <w:rPr>
          <w:rFonts w:ascii="Arial" w:hAnsi="Arial" w:cs="Arial"/>
        </w:rPr>
        <w:t xml:space="preserve">(i) </w:t>
      </w:r>
      <w:r w:rsidRPr="00512F52">
        <w:rPr>
          <w:rFonts w:ascii="Arial" w:hAnsi="Arial" w:cs="Arial"/>
        </w:rPr>
        <w:tab/>
      </w:r>
      <w:r w:rsidR="007F125C" w:rsidRPr="00512F52">
        <w:rPr>
          <w:rFonts w:ascii="Arial" w:hAnsi="Arial" w:cs="Arial"/>
        </w:rPr>
        <w:t xml:space="preserve">members appointed by other Municipal Councils to represent those other Councils; or </w:t>
      </w:r>
    </w:p>
    <w:p w14:paraId="6E14B973" w14:textId="32D857D7" w:rsidR="00D95065" w:rsidRPr="00512F52" w:rsidRDefault="00BB70CD" w:rsidP="00902187">
      <w:pPr>
        <w:pStyle w:val="ListParagraph"/>
        <w:spacing w:after="0" w:line="360" w:lineRule="auto"/>
        <w:ind w:left="1440"/>
        <w:jc w:val="both"/>
        <w:rPr>
          <w:rFonts w:ascii="Arial" w:hAnsi="Arial" w:cs="Arial"/>
        </w:rPr>
      </w:pPr>
      <w:r w:rsidRPr="00512F52">
        <w:rPr>
          <w:rFonts w:ascii="Arial" w:hAnsi="Arial" w:cs="Arial"/>
        </w:rPr>
        <w:t xml:space="preserve">(ii) </w:t>
      </w:r>
      <w:r w:rsidRPr="00512F52">
        <w:rPr>
          <w:rFonts w:ascii="Arial" w:hAnsi="Arial" w:cs="Arial"/>
        </w:rPr>
        <w:tab/>
      </w:r>
      <w:r w:rsidR="007F125C" w:rsidRPr="00512F52">
        <w:rPr>
          <w:rFonts w:ascii="Arial" w:hAnsi="Arial" w:cs="Arial"/>
        </w:rPr>
        <w:t xml:space="preserve">both members elected in accordance with paragraph </w:t>
      </w:r>
      <w:r w:rsidR="007F125C" w:rsidRPr="00512F52">
        <w:rPr>
          <w:rFonts w:ascii="Arial" w:hAnsi="Arial" w:cs="Arial"/>
          <w:i/>
        </w:rPr>
        <w:t>(a)</w:t>
      </w:r>
      <w:r w:rsidR="007F125C" w:rsidRPr="00512F52">
        <w:rPr>
          <w:rFonts w:ascii="Arial" w:hAnsi="Arial" w:cs="Arial"/>
        </w:rPr>
        <w:t xml:space="preserve"> and members appointed in accordance with subparagraph (i) of this paragraph.</w:t>
      </w:r>
    </w:p>
    <w:p w14:paraId="5335DF03" w14:textId="2C69D358" w:rsidR="00D95065" w:rsidRPr="00F669AB" w:rsidRDefault="00F669AB" w:rsidP="00F669AB">
      <w:pPr>
        <w:spacing w:after="0" w:line="360" w:lineRule="auto"/>
        <w:jc w:val="both"/>
        <w:rPr>
          <w:rFonts w:ascii="Arial" w:hAnsi="Arial" w:cs="Arial"/>
        </w:rPr>
      </w:pPr>
      <w:r w:rsidRPr="00512F52">
        <w:rPr>
          <w:rFonts w:ascii="Arial" w:hAnsi="Arial" w:cs="Arial"/>
        </w:rPr>
        <w:t>(2)</w:t>
      </w:r>
      <w:r w:rsidRPr="00512F52">
        <w:rPr>
          <w:rFonts w:ascii="Arial" w:hAnsi="Arial" w:cs="Arial"/>
        </w:rPr>
        <w:tab/>
      </w:r>
      <w:r w:rsidR="00D95065" w:rsidRPr="00F669AB">
        <w:rPr>
          <w:rFonts w:ascii="Arial" w:hAnsi="Arial" w:cs="Arial"/>
        </w:rPr>
        <w:t>The election of members to a Municipal Council as anticipated in subsection (1)</w:t>
      </w:r>
      <w:r w:rsidR="00D95065" w:rsidRPr="00F669AB">
        <w:rPr>
          <w:rFonts w:ascii="Arial" w:hAnsi="Arial" w:cs="Arial"/>
          <w:i/>
        </w:rPr>
        <w:t>(a)</w:t>
      </w:r>
      <w:r w:rsidR="00D95065" w:rsidRPr="00F669AB">
        <w:rPr>
          <w:rFonts w:ascii="Arial" w:hAnsi="Arial" w:cs="Arial"/>
        </w:rPr>
        <w:t xml:space="preserve"> must be in accordance with national legislation, which must prescribe a system─</w:t>
      </w:r>
    </w:p>
    <w:p w14:paraId="02DD26DA" w14:textId="68B63727" w:rsidR="00D95065" w:rsidRPr="00F669AB" w:rsidRDefault="00F669AB" w:rsidP="00F669AB">
      <w:pPr>
        <w:spacing w:after="0" w:line="360" w:lineRule="auto"/>
        <w:ind w:left="709"/>
        <w:jc w:val="both"/>
        <w:rPr>
          <w:rFonts w:ascii="Arial" w:hAnsi="Arial" w:cs="Arial"/>
        </w:rPr>
      </w:pPr>
      <w:r w:rsidRPr="00512F52">
        <w:rPr>
          <w:rFonts w:ascii="Arial" w:hAnsi="Arial" w:cs="Arial"/>
        </w:rPr>
        <w:t>(a)</w:t>
      </w:r>
      <w:r w:rsidRPr="00512F52">
        <w:rPr>
          <w:rFonts w:ascii="Arial" w:hAnsi="Arial" w:cs="Arial"/>
        </w:rPr>
        <w:tab/>
      </w:r>
      <w:r w:rsidR="00D95065" w:rsidRPr="00F669AB">
        <w:rPr>
          <w:rFonts w:ascii="Arial" w:hAnsi="Arial" w:cs="Arial"/>
        </w:rPr>
        <w:t>of proportional representation based on that municipality’s segment of the national common voters roll, and which provides for the election of members from lists of party candidates drawn up in a party’s order of preference; or</w:t>
      </w:r>
    </w:p>
    <w:p w14:paraId="19B50BBE" w14:textId="6153ACDC" w:rsidR="00D95065" w:rsidRPr="00F669AB" w:rsidRDefault="00F669AB" w:rsidP="00F669AB">
      <w:pPr>
        <w:spacing w:after="0" w:line="360" w:lineRule="auto"/>
        <w:ind w:left="709"/>
        <w:jc w:val="both"/>
        <w:rPr>
          <w:rFonts w:ascii="Arial" w:hAnsi="Arial" w:cs="Arial"/>
        </w:rPr>
      </w:pPr>
      <w:r w:rsidRPr="00512F52">
        <w:rPr>
          <w:rFonts w:ascii="Arial" w:hAnsi="Arial" w:cs="Arial"/>
        </w:rPr>
        <w:t>(b)</w:t>
      </w:r>
      <w:r w:rsidRPr="00512F52">
        <w:rPr>
          <w:rFonts w:ascii="Arial" w:hAnsi="Arial" w:cs="Arial"/>
        </w:rPr>
        <w:tab/>
      </w:r>
      <w:r w:rsidR="00D95065" w:rsidRPr="00F669AB">
        <w:rPr>
          <w:rFonts w:ascii="Arial" w:hAnsi="Arial" w:cs="Arial"/>
        </w:rPr>
        <w:t>of proportional representation as described in paragraph (a) combined with a system of ward representation based on that municipality’s segment of the national common voters roll.</w:t>
      </w:r>
    </w:p>
    <w:p w14:paraId="54E8B448" w14:textId="637FA243" w:rsidR="00D95065" w:rsidRPr="00F669AB" w:rsidRDefault="00F669AB" w:rsidP="00F669AB">
      <w:pPr>
        <w:spacing w:after="0" w:line="360" w:lineRule="auto"/>
        <w:jc w:val="both"/>
        <w:rPr>
          <w:rFonts w:ascii="Arial" w:hAnsi="Arial" w:cs="Arial"/>
        </w:rPr>
      </w:pPr>
      <w:r w:rsidRPr="00512F52">
        <w:rPr>
          <w:rFonts w:ascii="Arial" w:hAnsi="Arial" w:cs="Arial"/>
        </w:rPr>
        <w:t>(3)</w:t>
      </w:r>
      <w:r w:rsidRPr="00512F52">
        <w:rPr>
          <w:rFonts w:ascii="Arial" w:hAnsi="Arial" w:cs="Arial"/>
        </w:rPr>
        <w:tab/>
      </w:r>
      <w:r w:rsidR="00D95065" w:rsidRPr="00F669AB">
        <w:rPr>
          <w:rFonts w:ascii="Arial" w:hAnsi="Arial" w:cs="Arial"/>
        </w:rPr>
        <w:t>An electoral system in terms of subsection (2) must result, in general, in proportional representation.</w:t>
      </w:r>
    </w:p>
    <w:p w14:paraId="07C486D4" w14:textId="6BAE3D68" w:rsidR="00D95065" w:rsidRPr="00512F52" w:rsidRDefault="00D95065" w:rsidP="00902187">
      <w:pPr>
        <w:pStyle w:val="ListParagraph"/>
        <w:spacing w:after="0" w:line="360" w:lineRule="auto"/>
        <w:ind w:hanging="720"/>
        <w:jc w:val="both"/>
        <w:rPr>
          <w:rFonts w:ascii="Arial" w:hAnsi="Arial" w:cs="Arial"/>
        </w:rPr>
      </w:pPr>
      <w:r w:rsidRPr="00512F52">
        <w:rPr>
          <w:rFonts w:ascii="Arial" w:hAnsi="Arial" w:cs="Arial"/>
        </w:rPr>
        <w:t>(4)</w:t>
      </w:r>
      <w:r w:rsidRPr="00512F52">
        <w:rPr>
          <w:rFonts w:ascii="Arial" w:hAnsi="Arial" w:cs="Arial"/>
        </w:rPr>
        <w:tab/>
      </w:r>
      <w:r w:rsidRPr="00512F52">
        <w:rPr>
          <w:rFonts w:ascii="Arial" w:hAnsi="Arial" w:cs="Arial"/>
          <w:i/>
        </w:rPr>
        <w:t>(a)</w:t>
      </w:r>
      <w:r w:rsidRPr="00512F52">
        <w:rPr>
          <w:rFonts w:ascii="Arial" w:hAnsi="Arial" w:cs="Arial"/>
        </w:rPr>
        <w:tab/>
        <w:t>If the electoral system includes ward representation, the delimitation of wards must be done by an independent authority appointed in terms of, and operating according to, procedures and criteria prescribed by national legislation.</w:t>
      </w:r>
    </w:p>
    <w:p w14:paraId="1676B146" w14:textId="7255530A" w:rsidR="00D95065" w:rsidRPr="00512F52" w:rsidRDefault="004C5E19" w:rsidP="00522AE0">
      <w:pPr>
        <w:pStyle w:val="ListParagraph"/>
        <w:spacing w:after="0" w:line="360" w:lineRule="auto"/>
        <w:ind w:left="0"/>
        <w:jc w:val="both"/>
        <w:rPr>
          <w:rFonts w:ascii="Arial" w:hAnsi="Arial" w:cs="Arial"/>
          <w:i/>
        </w:rPr>
      </w:pPr>
      <w:r w:rsidRPr="00512F52">
        <w:rPr>
          <w:rFonts w:ascii="Arial" w:hAnsi="Arial" w:cs="Arial"/>
        </w:rPr>
        <w:tab/>
      </w:r>
      <w:r w:rsidRPr="00512F52">
        <w:rPr>
          <w:rFonts w:ascii="Arial" w:hAnsi="Arial" w:cs="Arial"/>
          <w:i/>
        </w:rPr>
        <w:t>(b)</w:t>
      </w:r>
      <w:r w:rsidRPr="00512F52">
        <w:rPr>
          <w:rFonts w:ascii="Arial" w:hAnsi="Arial" w:cs="Arial"/>
          <w:i/>
        </w:rPr>
        <w:tab/>
      </w:r>
      <w:r w:rsidRPr="00512F52">
        <w:rPr>
          <w:rFonts w:ascii="Arial" w:hAnsi="Arial" w:cs="Arial"/>
        </w:rPr>
        <w:t xml:space="preserve">. . . </w:t>
      </w:r>
    </w:p>
    <w:p w14:paraId="581C4220" w14:textId="6C3E48C7" w:rsidR="001F2D2D" w:rsidRPr="00512F52" w:rsidRDefault="001F2D2D" w:rsidP="00522AE0">
      <w:pPr>
        <w:pStyle w:val="ListParagraph"/>
        <w:spacing w:after="0" w:line="360" w:lineRule="auto"/>
        <w:ind w:left="0"/>
        <w:jc w:val="both"/>
        <w:rPr>
          <w:rFonts w:ascii="Arial" w:hAnsi="Arial" w:cs="Arial"/>
        </w:rPr>
      </w:pPr>
      <w:r w:rsidRPr="00512F52">
        <w:rPr>
          <w:rFonts w:ascii="Arial" w:hAnsi="Arial" w:cs="Arial"/>
        </w:rPr>
        <w:t>(5)</w:t>
      </w:r>
      <w:r w:rsidRPr="00512F52">
        <w:rPr>
          <w:rFonts w:ascii="Arial" w:hAnsi="Arial" w:cs="Arial"/>
        </w:rPr>
        <w:tab/>
        <w:t xml:space="preserve">A person </w:t>
      </w:r>
      <w:r w:rsidR="00C80461" w:rsidRPr="00512F52">
        <w:rPr>
          <w:rFonts w:ascii="Arial" w:hAnsi="Arial" w:cs="Arial"/>
        </w:rPr>
        <w:t>may vote in a municipality only if that person is registered on that municipality’s segment of the national common voters roll.</w:t>
      </w:r>
    </w:p>
    <w:p w14:paraId="714B2E5B" w14:textId="496E1C05" w:rsidR="00C80461" w:rsidRPr="00512F52" w:rsidRDefault="00C80461" w:rsidP="00522AE0">
      <w:pPr>
        <w:pStyle w:val="ListParagraph"/>
        <w:spacing w:after="0" w:line="360" w:lineRule="auto"/>
        <w:ind w:left="0"/>
        <w:jc w:val="both"/>
        <w:rPr>
          <w:rFonts w:ascii="Arial" w:hAnsi="Arial" w:cs="Arial"/>
        </w:rPr>
      </w:pPr>
      <w:r w:rsidRPr="00512F52">
        <w:rPr>
          <w:rFonts w:ascii="Arial" w:hAnsi="Arial" w:cs="Arial"/>
        </w:rPr>
        <w:t>(6)</w:t>
      </w:r>
      <w:r w:rsidRPr="00512F52">
        <w:rPr>
          <w:rFonts w:ascii="Arial" w:hAnsi="Arial" w:cs="Arial"/>
        </w:rPr>
        <w:tab/>
        <w:t>The national legislation referred to in subsection (1)</w:t>
      </w:r>
      <w:r w:rsidRPr="00512F52">
        <w:rPr>
          <w:rFonts w:ascii="Arial" w:hAnsi="Arial" w:cs="Arial"/>
          <w:i/>
        </w:rPr>
        <w:t>(b)</w:t>
      </w:r>
      <w:r w:rsidRPr="00512F52">
        <w:rPr>
          <w:rFonts w:ascii="Arial" w:hAnsi="Arial" w:cs="Arial"/>
        </w:rPr>
        <w:t xml:space="preserve"> must establish a system that allows for parties and interests reflected within the Municipal Council making the appointment, to be fairly represented in the Municipal Council to which the appointment is made.’</w:t>
      </w:r>
    </w:p>
    <w:p w14:paraId="79BB1DC3" w14:textId="77777777" w:rsidR="00D95065" w:rsidRPr="00512F52" w:rsidRDefault="00D95065" w:rsidP="00772102">
      <w:pPr>
        <w:spacing w:after="0" w:line="360" w:lineRule="auto"/>
        <w:ind w:left="720" w:hanging="720"/>
        <w:jc w:val="both"/>
        <w:rPr>
          <w:rFonts w:ascii="Arial" w:hAnsi="Arial" w:cs="Arial"/>
          <w:sz w:val="24"/>
          <w:szCs w:val="24"/>
        </w:rPr>
      </w:pPr>
    </w:p>
    <w:p w14:paraId="09BFD9F7" w14:textId="03635779" w:rsidR="004073D1"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[46]</w:t>
      </w:r>
      <w:r w:rsidRPr="00512F52">
        <w:rPr>
          <w:rFonts w:ascii="Arial" w:hAnsi="Arial" w:cs="Arial"/>
          <w:sz w:val="24"/>
          <w:szCs w:val="24"/>
        </w:rPr>
        <w:tab/>
      </w:r>
      <w:r w:rsidR="0004143C" w:rsidRPr="00F669AB">
        <w:rPr>
          <w:rFonts w:ascii="Arial" w:hAnsi="Arial" w:cs="Arial"/>
          <w:sz w:val="24"/>
          <w:szCs w:val="24"/>
        </w:rPr>
        <w:t xml:space="preserve">In developing this argument </w:t>
      </w:r>
      <w:r w:rsidR="006F0805" w:rsidRPr="00F669AB">
        <w:rPr>
          <w:rFonts w:ascii="Arial" w:hAnsi="Arial" w:cs="Arial"/>
          <w:sz w:val="24"/>
          <w:szCs w:val="24"/>
        </w:rPr>
        <w:t>c</w:t>
      </w:r>
      <w:r w:rsidR="0004143C" w:rsidRPr="00F669AB">
        <w:rPr>
          <w:rFonts w:ascii="Arial" w:hAnsi="Arial" w:cs="Arial"/>
          <w:sz w:val="24"/>
          <w:szCs w:val="24"/>
        </w:rPr>
        <w:t xml:space="preserve">ounsel </w:t>
      </w:r>
      <w:r w:rsidR="00855A75" w:rsidRPr="00F669AB">
        <w:rPr>
          <w:rFonts w:ascii="Arial" w:hAnsi="Arial" w:cs="Arial"/>
          <w:sz w:val="24"/>
          <w:szCs w:val="24"/>
        </w:rPr>
        <w:t xml:space="preserve">for the Commission </w:t>
      </w:r>
      <w:r w:rsidR="0004143C" w:rsidRPr="00F669AB">
        <w:rPr>
          <w:rFonts w:ascii="Arial" w:hAnsi="Arial" w:cs="Arial"/>
          <w:sz w:val="24"/>
          <w:szCs w:val="24"/>
        </w:rPr>
        <w:t>submitted</w:t>
      </w:r>
      <w:r w:rsidR="007F125C" w:rsidRPr="00F669AB">
        <w:rPr>
          <w:rFonts w:ascii="Arial" w:hAnsi="Arial" w:cs="Arial"/>
          <w:sz w:val="24"/>
          <w:szCs w:val="24"/>
        </w:rPr>
        <w:t xml:space="preserve"> that s 157(6) of the Constitution </w:t>
      </w:r>
      <w:r w:rsidR="0004143C" w:rsidRPr="00F669AB">
        <w:rPr>
          <w:rFonts w:ascii="Arial" w:hAnsi="Arial" w:cs="Arial"/>
          <w:sz w:val="24"/>
          <w:szCs w:val="24"/>
        </w:rPr>
        <w:t xml:space="preserve">requires the national </w:t>
      </w:r>
      <w:r w:rsidR="007F125C" w:rsidRPr="00F669AB">
        <w:rPr>
          <w:rFonts w:ascii="Arial" w:hAnsi="Arial" w:cs="Arial"/>
          <w:sz w:val="24"/>
          <w:szCs w:val="24"/>
        </w:rPr>
        <w:t>legislation envisaged in s 157(1)</w:t>
      </w:r>
      <w:r w:rsidR="007F125C" w:rsidRPr="00F669AB">
        <w:rPr>
          <w:rFonts w:ascii="Arial" w:hAnsi="Arial" w:cs="Arial"/>
          <w:i/>
          <w:iCs/>
          <w:sz w:val="24"/>
          <w:szCs w:val="24"/>
        </w:rPr>
        <w:t>(b)</w:t>
      </w:r>
      <w:r w:rsidR="0004143C" w:rsidRPr="00F669AB">
        <w:rPr>
          <w:rFonts w:ascii="Arial" w:hAnsi="Arial" w:cs="Arial"/>
          <w:sz w:val="24"/>
          <w:szCs w:val="24"/>
        </w:rPr>
        <w:t xml:space="preserve"> to</w:t>
      </w:r>
      <w:r w:rsidR="00253B9E" w:rsidRPr="00F669AB">
        <w:rPr>
          <w:rFonts w:ascii="Arial" w:hAnsi="Arial" w:cs="Arial"/>
          <w:sz w:val="24"/>
          <w:szCs w:val="24"/>
        </w:rPr>
        <w:t xml:space="preserve"> </w:t>
      </w:r>
      <w:r w:rsidR="001037B9" w:rsidRPr="00F669AB">
        <w:rPr>
          <w:rFonts w:ascii="Arial" w:hAnsi="Arial" w:cs="Arial"/>
          <w:sz w:val="24"/>
          <w:szCs w:val="24"/>
        </w:rPr>
        <w:t>‘</w:t>
      </w:r>
      <w:r w:rsidR="00253B9E" w:rsidRPr="00F669AB">
        <w:rPr>
          <w:rFonts w:ascii="Arial" w:hAnsi="Arial" w:cs="Arial"/>
          <w:i/>
          <w:sz w:val="24"/>
          <w:szCs w:val="24"/>
        </w:rPr>
        <w:t xml:space="preserve">establish </w:t>
      </w:r>
      <w:r w:rsidR="00253B9E" w:rsidRPr="00F669AB">
        <w:rPr>
          <w:rFonts w:ascii="Arial" w:hAnsi="Arial" w:cs="Arial"/>
          <w:i/>
          <w:sz w:val="24"/>
          <w:szCs w:val="24"/>
        </w:rPr>
        <w:lastRenderedPageBreak/>
        <w:t>a system that allows for parties and interests reflected within the Municipal Council making the appointment, to be fairly represented in the Municipal Counci</w:t>
      </w:r>
      <w:r w:rsidR="004073D1" w:rsidRPr="00F669AB">
        <w:rPr>
          <w:rFonts w:ascii="Arial" w:hAnsi="Arial" w:cs="Arial"/>
          <w:i/>
          <w:sz w:val="24"/>
          <w:szCs w:val="24"/>
        </w:rPr>
        <w:t>l to which the appointment is made</w:t>
      </w:r>
      <w:r w:rsidR="004073D1" w:rsidRPr="00F669AB">
        <w:rPr>
          <w:rFonts w:ascii="Arial" w:hAnsi="Arial" w:cs="Arial"/>
          <w:sz w:val="24"/>
          <w:szCs w:val="24"/>
        </w:rPr>
        <w:t>’</w:t>
      </w:r>
      <w:r w:rsidR="00C32EAD" w:rsidRPr="00F669AB">
        <w:rPr>
          <w:rFonts w:ascii="Arial" w:hAnsi="Arial" w:cs="Arial"/>
          <w:sz w:val="24"/>
          <w:szCs w:val="24"/>
        </w:rPr>
        <w:t>.</w:t>
      </w:r>
      <w:r w:rsidR="004073D1" w:rsidRPr="00F669AB">
        <w:rPr>
          <w:rFonts w:ascii="Arial" w:hAnsi="Arial" w:cs="Arial"/>
          <w:sz w:val="24"/>
          <w:szCs w:val="24"/>
        </w:rPr>
        <w:t xml:space="preserve"> That is why</w:t>
      </w:r>
      <w:r w:rsidR="006F0805" w:rsidRPr="00F669AB">
        <w:rPr>
          <w:rFonts w:ascii="Arial" w:hAnsi="Arial" w:cs="Arial"/>
          <w:sz w:val="24"/>
          <w:szCs w:val="24"/>
        </w:rPr>
        <w:t>, argued c</w:t>
      </w:r>
      <w:r w:rsidR="001037B9" w:rsidRPr="00F669AB">
        <w:rPr>
          <w:rFonts w:ascii="Arial" w:hAnsi="Arial" w:cs="Arial"/>
          <w:sz w:val="24"/>
          <w:szCs w:val="24"/>
        </w:rPr>
        <w:t>ounsel,</w:t>
      </w:r>
      <w:r w:rsidR="004073D1" w:rsidRPr="00F669AB">
        <w:rPr>
          <w:rFonts w:ascii="Arial" w:hAnsi="Arial" w:cs="Arial"/>
          <w:sz w:val="24"/>
          <w:szCs w:val="24"/>
        </w:rPr>
        <w:t xml:space="preserve"> the Structures Act does not simply permit</w:t>
      </w:r>
      <w:r w:rsidR="001037B9" w:rsidRPr="00F669AB">
        <w:rPr>
          <w:rFonts w:ascii="Arial" w:hAnsi="Arial" w:cs="Arial"/>
          <w:sz w:val="24"/>
          <w:szCs w:val="24"/>
        </w:rPr>
        <w:t xml:space="preserve"> the local council to appoint, b</w:t>
      </w:r>
      <w:r w:rsidR="004073D1" w:rsidRPr="00F669AB">
        <w:rPr>
          <w:rFonts w:ascii="Arial" w:hAnsi="Arial" w:cs="Arial"/>
          <w:sz w:val="24"/>
          <w:szCs w:val="24"/>
        </w:rPr>
        <w:t xml:space="preserve">y majority rule, whomever it pleases to represent it on the </w:t>
      </w:r>
      <w:r w:rsidR="00E07E92" w:rsidRPr="00F669AB">
        <w:rPr>
          <w:rFonts w:ascii="Arial" w:hAnsi="Arial" w:cs="Arial"/>
          <w:sz w:val="24"/>
          <w:szCs w:val="24"/>
        </w:rPr>
        <w:t>d</w:t>
      </w:r>
      <w:r w:rsidR="004073D1" w:rsidRPr="00F669AB">
        <w:rPr>
          <w:rFonts w:ascii="Arial" w:hAnsi="Arial" w:cs="Arial"/>
          <w:sz w:val="24"/>
          <w:szCs w:val="24"/>
        </w:rPr>
        <w:t xml:space="preserve">istrict </w:t>
      </w:r>
      <w:r w:rsidR="00E07E92" w:rsidRPr="00F669AB">
        <w:rPr>
          <w:rFonts w:ascii="Arial" w:hAnsi="Arial" w:cs="Arial"/>
          <w:sz w:val="24"/>
          <w:szCs w:val="24"/>
        </w:rPr>
        <w:t>c</w:t>
      </w:r>
      <w:r w:rsidR="004073D1" w:rsidRPr="00F669AB">
        <w:rPr>
          <w:rFonts w:ascii="Arial" w:hAnsi="Arial" w:cs="Arial"/>
          <w:sz w:val="24"/>
          <w:szCs w:val="24"/>
        </w:rPr>
        <w:t>ouncil. Instead, it seeks to ensure ‘fair representation’ by requiring an election in line with each list’s support in the council.</w:t>
      </w:r>
    </w:p>
    <w:p w14:paraId="37B1549F" w14:textId="77777777" w:rsidR="00772102" w:rsidRPr="00512F52" w:rsidRDefault="00772102" w:rsidP="00772102">
      <w:pPr>
        <w:pStyle w:val="ListParagraph"/>
        <w:spacing w:after="0" w:line="360" w:lineRule="auto"/>
        <w:ind w:left="0"/>
        <w:jc w:val="both"/>
        <w:rPr>
          <w:rFonts w:ascii="Arial" w:hAnsi="Arial" w:cs="Arial"/>
          <w:sz w:val="24"/>
          <w:szCs w:val="24"/>
        </w:rPr>
      </w:pPr>
    </w:p>
    <w:p w14:paraId="05A945EB" w14:textId="17BFA337" w:rsidR="007F125C"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[47]</w:t>
      </w:r>
      <w:r w:rsidRPr="00512F52">
        <w:rPr>
          <w:rFonts w:ascii="Arial" w:hAnsi="Arial" w:cs="Arial"/>
          <w:sz w:val="24"/>
          <w:szCs w:val="24"/>
        </w:rPr>
        <w:tab/>
      </w:r>
      <w:r w:rsidR="001037B9" w:rsidRPr="00F669AB">
        <w:rPr>
          <w:rFonts w:ascii="Arial" w:hAnsi="Arial" w:cs="Arial"/>
          <w:sz w:val="24"/>
          <w:szCs w:val="24"/>
        </w:rPr>
        <w:t>To bolster his argument</w:t>
      </w:r>
      <w:r w:rsidR="00087172" w:rsidRPr="00F669AB">
        <w:rPr>
          <w:rFonts w:ascii="Arial" w:hAnsi="Arial" w:cs="Arial"/>
          <w:sz w:val="24"/>
          <w:szCs w:val="24"/>
        </w:rPr>
        <w:t>,</w:t>
      </w:r>
      <w:r w:rsidR="001037B9" w:rsidRPr="00F669AB">
        <w:rPr>
          <w:rFonts w:ascii="Arial" w:hAnsi="Arial" w:cs="Arial"/>
          <w:sz w:val="24"/>
          <w:szCs w:val="24"/>
        </w:rPr>
        <w:t xml:space="preserve"> </w:t>
      </w:r>
      <w:r w:rsidR="00087172" w:rsidRPr="00F669AB">
        <w:rPr>
          <w:rFonts w:ascii="Arial" w:hAnsi="Arial" w:cs="Arial"/>
          <w:sz w:val="24"/>
          <w:szCs w:val="24"/>
        </w:rPr>
        <w:t xml:space="preserve">counsel referred to </w:t>
      </w:r>
      <w:r w:rsidR="004073D1" w:rsidRPr="00F669AB">
        <w:rPr>
          <w:rFonts w:ascii="Arial" w:hAnsi="Arial" w:cs="Arial"/>
          <w:sz w:val="24"/>
          <w:szCs w:val="24"/>
        </w:rPr>
        <w:t>Steytler and De Visser</w:t>
      </w:r>
      <w:r w:rsidR="00001F32" w:rsidRPr="00F669AB">
        <w:rPr>
          <w:rFonts w:ascii="Arial" w:hAnsi="Arial" w:cs="Arial"/>
          <w:sz w:val="24"/>
          <w:szCs w:val="24"/>
        </w:rPr>
        <w:t>,</w:t>
      </w:r>
      <w:r w:rsidR="004073D1" w:rsidRPr="00F669AB">
        <w:rPr>
          <w:rFonts w:ascii="Arial" w:hAnsi="Arial" w:cs="Arial"/>
          <w:sz w:val="24"/>
          <w:szCs w:val="24"/>
        </w:rPr>
        <w:t xml:space="preserve"> </w:t>
      </w:r>
      <w:r w:rsidR="00087172" w:rsidRPr="00F669AB">
        <w:rPr>
          <w:rFonts w:ascii="Arial" w:hAnsi="Arial" w:cs="Arial"/>
          <w:sz w:val="24"/>
          <w:szCs w:val="24"/>
        </w:rPr>
        <w:t xml:space="preserve">who </w:t>
      </w:r>
      <w:r w:rsidR="004073D1" w:rsidRPr="00F669AB">
        <w:rPr>
          <w:rFonts w:ascii="Arial" w:hAnsi="Arial" w:cs="Arial"/>
          <w:sz w:val="24"/>
          <w:szCs w:val="24"/>
        </w:rPr>
        <w:t xml:space="preserve">conclude that </w:t>
      </w:r>
      <w:r w:rsidR="00C91CCC" w:rsidRPr="00F669AB">
        <w:rPr>
          <w:rFonts w:ascii="Arial" w:hAnsi="Arial" w:cs="Arial"/>
          <w:sz w:val="24"/>
          <w:szCs w:val="24"/>
        </w:rPr>
        <w:t>the system established by the Structures Act for a local council to appoint members to the district ‘</w:t>
      </w:r>
      <w:r w:rsidR="00C91CCC" w:rsidRPr="00F669AB">
        <w:rPr>
          <w:rFonts w:ascii="Arial" w:hAnsi="Arial" w:cs="Arial"/>
          <w:i/>
          <w:sz w:val="24"/>
          <w:szCs w:val="24"/>
        </w:rPr>
        <w:t xml:space="preserve">stays </w:t>
      </w:r>
      <w:r w:rsidR="00087172" w:rsidRPr="00F669AB">
        <w:rPr>
          <w:rFonts w:ascii="Arial" w:hAnsi="Arial" w:cs="Arial"/>
          <w:i/>
          <w:sz w:val="24"/>
          <w:szCs w:val="24"/>
        </w:rPr>
        <w:t xml:space="preserve">well within the limits set by </w:t>
      </w:r>
      <w:r w:rsidR="00C32EAD" w:rsidRPr="00F669AB">
        <w:rPr>
          <w:rFonts w:ascii="Arial" w:hAnsi="Arial" w:cs="Arial"/>
          <w:i/>
          <w:sz w:val="24"/>
          <w:szCs w:val="24"/>
        </w:rPr>
        <w:t>. . .</w:t>
      </w:r>
      <w:r w:rsidR="00C91CCC" w:rsidRPr="00F669AB">
        <w:rPr>
          <w:rFonts w:ascii="Arial" w:hAnsi="Arial" w:cs="Arial"/>
          <w:i/>
          <w:sz w:val="24"/>
          <w:szCs w:val="24"/>
        </w:rPr>
        <w:t xml:space="preserve"> s 157(6)</w:t>
      </w:r>
      <w:r w:rsidR="00C91CCC" w:rsidRPr="00F669AB">
        <w:rPr>
          <w:rFonts w:ascii="Arial" w:hAnsi="Arial" w:cs="Arial"/>
          <w:sz w:val="24"/>
          <w:szCs w:val="24"/>
        </w:rPr>
        <w:t>’</w:t>
      </w:r>
      <w:r w:rsidR="00C32EAD" w:rsidRPr="00F669AB">
        <w:rPr>
          <w:rFonts w:ascii="Arial" w:hAnsi="Arial" w:cs="Arial"/>
          <w:sz w:val="24"/>
          <w:szCs w:val="24"/>
        </w:rPr>
        <w:t>.</w:t>
      </w:r>
      <w:r w:rsidR="00C91CCC" w:rsidRPr="00512F52">
        <w:rPr>
          <w:rStyle w:val="FootnoteReference"/>
          <w:rFonts w:ascii="Arial" w:hAnsi="Arial" w:cs="Arial"/>
          <w:sz w:val="24"/>
          <w:szCs w:val="24"/>
        </w:rPr>
        <w:footnoteReference w:id="17"/>
      </w:r>
      <w:r w:rsidR="00C91CCC" w:rsidRPr="00F669AB">
        <w:rPr>
          <w:rFonts w:ascii="Arial" w:hAnsi="Arial" w:cs="Arial"/>
          <w:sz w:val="24"/>
          <w:szCs w:val="24"/>
        </w:rPr>
        <w:t xml:space="preserve"> It does so</w:t>
      </w:r>
      <w:r w:rsidR="00C32EAD" w:rsidRPr="00F669AB">
        <w:rPr>
          <w:rFonts w:ascii="Arial" w:hAnsi="Arial" w:cs="Arial"/>
          <w:sz w:val="24"/>
          <w:szCs w:val="24"/>
        </w:rPr>
        <w:t>,</w:t>
      </w:r>
      <w:r w:rsidR="00C91CCC" w:rsidRPr="00F669AB">
        <w:rPr>
          <w:rFonts w:ascii="Arial" w:hAnsi="Arial" w:cs="Arial"/>
          <w:sz w:val="24"/>
          <w:szCs w:val="24"/>
        </w:rPr>
        <w:t xml:space="preserve"> because the system </w:t>
      </w:r>
      <w:r w:rsidR="00C91CCC" w:rsidRPr="00F669AB">
        <w:rPr>
          <w:rFonts w:ascii="Arial" w:hAnsi="Arial" w:cs="Arial"/>
          <w:i/>
          <w:sz w:val="24"/>
          <w:szCs w:val="24"/>
        </w:rPr>
        <w:t>‘is based on proportionality</w:t>
      </w:r>
      <w:r w:rsidR="00C32EAD" w:rsidRPr="00F669AB">
        <w:rPr>
          <w:rFonts w:ascii="Arial" w:hAnsi="Arial" w:cs="Arial"/>
          <w:i/>
          <w:sz w:val="24"/>
          <w:szCs w:val="24"/>
        </w:rPr>
        <w:t xml:space="preserve">. . . </w:t>
      </w:r>
      <w:r w:rsidR="00C91CCC" w:rsidRPr="00F669AB">
        <w:rPr>
          <w:rFonts w:ascii="Arial" w:hAnsi="Arial" w:cs="Arial"/>
          <w:i/>
          <w:sz w:val="24"/>
          <w:szCs w:val="24"/>
        </w:rPr>
        <w:t>The composition of a local council’s delegation to the district council will thus reflect the compositio</w:t>
      </w:r>
      <w:r w:rsidR="005D769F" w:rsidRPr="00F669AB">
        <w:rPr>
          <w:rFonts w:ascii="Arial" w:hAnsi="Arial" w:cs="Arial"/>
          <w:i/>
          <w:sz w:val="24"/>
          <w:szCs w:val="24"/>
        </w:rPr>
        <w:t>n of the local council</w:t>
      </w:r>
      <w:r w:rsidR="00C32EAD" w:rsidRPr="00F669AB">
        <w:rPr>
          <w:rFonts w:ascii="Arial" w:hAnsi="Arial" w:cs="Arial"/>
          <w:sz w:val="24"/>
          <w:szCs w:val="24"/>
        </w:rPr>
        <w:t>’</w:t>
      </w:r>
      <w:r w:rsidR="005D769F" w:rsidRPr="00F669AB">
        <w:rPr>
          <w:rFonts w:ascii="Arial" w:hAnsi="Arial" w:cs="Arial"/>
          <w:sz w:val="24"/>
          <w:szCs w:val="24"/>
        </w:rPr>
        <w:t>.</w:t>
      </w:r>
      <w:r w:rsidR="005D769F" w:rsidRPr="00512F52">
        <w:rPr>
          <w:rStyle w:val="FootnoteReference"/>
          <w:rFonts w:ascii="Arial" w:hAnsi="Arial" w:cs="Arial"/>
          <w:sz w:val="24"/>
          <w:szCs w:val="24"/>
        </w:rPr>
        <w:footnoteReference w:id="18"/>
      </w:r>
      <w:r w:rsidR="005D769F" w:rsidRPr="00F669AB">
        <w:rPr>
          <w:rFonts w:ascii="Arial" w:hAnsi="Arial" w:cs="Arial"/>
          <w:sz w:val="24"/>
          <w:szCs w:val="24"/>
        </w:rPr>
        <w:t xml:space="preserve"> It is not a constitutional deficiency that the </w:t>
      </w:r>
      <w:r w:rsidR="00C32EAD" w:rsidRPr="00F669AB">
        <w:rPr>
          <w:rFonts w:ascii="Arial" w:hAnsi="Arial" w:cs="Arial"/>
          <w:sz w:val="24"/>
          <w:szCs w:val="24"/>
        </w:rPr>
        <w:t xml:space="preserve">Structures </w:t>
      </w:r>
      <w:r w:rsidR="005D769F" w:rsidRPr="00F669AB">
        <w:rPr>
          <w:rFonts w:ascii="Arial" w:hAnsi="Arial" w:cs="Arial"/>
          <w:sz w:val="24"/>
          <w:szCs w:val="24"/>
        </w:rPr>
        <w:t>Act ‘goes beyond the constitutional instruction of “fairness” and demands such proportionality’</w:t>
      </w:r>
      <w:r w:rsidR="00C32EAD" w:rsidRPr="00F669AB">
        <w:rPr>
          <w:rFonts w:ascii="Arial" w:hAnsi="Arial" w:cs="Arial"/>
          <w:sz w:val="24"/>
          <w:szCs w:val="24"/>
        </w:rPr>
        <w:t>.</w:t>
      </w:r>
      <w:r w:rsidR="005D769F" w:rsidRPr="00512F52">
        <w:rPr>
          <w:rStyle w:val="FootnoteReference"/>
          <w:rFonts w:ascii="Arial" w:hAnsi="Arial" w:cs="Arial"/>
          <w:sz w:val="24"/>
          <w:szCs w:val="24"/>
        </w:rPr>
        <w:footnoteReference w:id="19"/>
      </w:r>
      <w:r w:rsidR="004073D1" w:rsidRPr="00F669AB">
        <w:rPr>
          <w:rFonts w:ascii="Arial" w:hAnsi="Arial" w:cs="Arial"/>
          <w:sz w:val="24"/>
          <w:szCs w:val="24"/>
        </w:rPr>
        <w:t xml:space="preserve"> </w:t>
      </w:r>
      <w:r w:rsidR="005D769F" w:rsidRPr="00F669AB">
        <w:rPr>
          <w:rFonts w:ascii="Arial" w:hAnsi="Arial" w:cs="Arial"/>
          <w:sz w:val="24"/>
          <w:szCs w:val="24"/>
        </w:rPr>
        <w:t>By doing so, it provides ‘greater protection for minorities than the constitutional provision requires’</w:t>
      </w:r>
      <w:r w:rsidR="00C32EAD" w:rsidRPr="00F669AB">
        <w:rPr>
          <w:rFonts w:ascii="Arial" w:hAnsi="Arial" w:cs="Arial"/>
          <w:sz w:val="24"/>
          <w:szCs w:val="24"/>
        </w:rPr>
        <w:t>.</w:t>
      </w:r>
      <w:r w:rsidR="005D769F" w:rsidRPr="00512F52">
        <w:rPr>
          <w:rStyle w:val="FootnoteReference"/>
          <w:rFonts w:ascii="Arial" w:hAnsi="Arial" w:cs="Arial"/>
          <w:sz w:val="24"/>
          <w:szCs w:val="24"/>
        </w:rPr>
        <w:footnoteReference w:id="20"/>
      </w:r>
    </w:p>
    <w:p w14:paraId="55020CD9" w14:textId="77777777" w:rsidR="00772102" w:rsidRPr="00512F52" w:rsidRDefault="00772102" w:rsidP="00772102">
      <w:pPr>
        <w:pStyle w:val="ListParagraph"/>
        <w:spacing w:after="0" w:line="360" w:lineRule="auto"/>
        <w:jc w:val="both"/>
        <w:rPr>
          <w:rFonts w:ascii="Arial" w:hAnsi="Arial" w:cs="Arial"/>
          <w:sz w:val="24"/>
          <w:szCs w:val="24"/>
        </w:rPr>
      </w:pPr>
    </w:p>
    <w:p w14:paraId="1F90848D" w14:textId="1363B1C3" w:rsidR="00AE50C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[48]</w:t>
      </w:r>
      <w:r w:rsidRPr="00512F52">
        <w:rPr>
          <w:rFonts w:ascii="Arial" w:hAnsi="Arial" w:cs="Arial"/>
          <w:sz w:val="24"/>
          <w:szCs w:val="24"/>
        </w:rPr>
        <w:tab/>
      </w:r>
      <w:r w:rsidR="00087172" w:rsidRPr="00F669AB">
        <w:rPr>
          <w:rFonts w:ascii="Arial" w:hAnsi="Arial" w:cs="Arial"/>
          <w:sz w:val="24"/>
          <w:szCs w:val="24"/>
        </w:rPr>
        <w:t xml:space="preserve">Counsel </w:t>
      </w:r>
      <w:r w:rsidR="00D72F3F" w:rsidRPr="00F669AB">
        <w:rPr>
          <w:rFonts w:ascii="Arial" w:hAnsi="Arial" w:cs="Arial"/>
          <w:sz w:val="24"/>
          <w:szCs w:val="24"/>
        </w:rPr>
        <w:t>submitted that the Commission’s interpretation gives effect to this protection by ensuring that the local council’s seats on the district council proportionally represent each party’s support in the local municipality.</w:t>
      </w:r>
      <w:r w:rsidR="00A92982" w:rsidRPr="00F669AB">
        <w:rPr>
          <w:rFonts w:ascii="Arial" w:hAnsi="Arial" w:cs="Arial"/>
          <w:sz w:val="24"/>
          <w:szCs w:val="24"/>
        </w:rPr>
        <w:t xml:space="preserve"> </w:t>
      </w:r>
      <w:r w:rsidR="00777B54" w:rsidRPr="00F669AB">
        <w:rPr>
          <w:rFonts w:ascii="Arial" w:hAnsi="Arial" w:cs="Arial"/>
          <w:sz w:val="24"/>
          <w:szCs w:val="24"/>
        </w:rPr>
        <w:t>C</w:t>
      </w:r>
      <w:r w:rsidR="002E6A6E" w:rsidRPr="00F669AB">
        <w:rPr>
          <w:rFonts w:ascii="Arial" w:hAnsi="Arial" w:cs="Arial"/>
          <w:sz w:val="24"/>
          <w:szCs w:val="24"/>
        </w:rPr>
        <w:t>ounsel</w:t>
      </w:r>
      <w:r w:rsidR="00777B54" w:rsidRPr="00F669AB">
        <w:rPr>
          <w:rFonts w:ascii="Arial" w:hAnsi="Arial" w:cs="Arial"/>
          <w:sz w:val="24"/>
          <w:szCs w:val="24"/>
        </w:rPr>
        <w:t xml:space="preserve"> pointed out that</w:t>
      </w:r>
      <w:r w:rsidR="006E12B5" w:rsidRPr="00F669AB">
        <w:rPr>
          <w:rFonts w:ascii="Arial" w:hAnsi="Arial" w:cs="Arial"/>
          <w:sz w:val="24"/>
          <w:szCs w:val="24"/>
        </w:rPr>
        <w:t xml:space="preserve"> Schedule</w:t>
      </w:r>
      <w:r w:rsidR="002E6A6E" w:rsidRPr="00F669AB">
        <w:rPr>
          <w:rFonts w:ascii="Arial" w:hAnsi="Arial" w:cs="Arial"/>
          <w:sz w:val="24"/>
          <w:szCs w:val="24"/>
        </w:rPr>
        <w:t xml:space="preserve"> 2</w:t>
      </w:r>
      <w:r w:rsidR="006E12B5" w:rsidRPr="00F669AB">
        <w:rPr>
          <w:rFonts w:ascii="Arial" w:hAnsi="Arial" w:cs="Arial"/>
          <w:sz w:val="24"/>
          <w:szCs w:val="24"/>
        </w:rPr>
        <w:t xml:space="preserve"> </w:t>
      </w:r>
      <w:r w:rsidR="00777B54" w:rsidRPr="00F669AB">
        <w:rPr>
          <w:rFonts w:ascii="Arial" w:hAnsi="Arial" w:cs="Arial"/>
          <w:sz w:val="24"/>
          <w:szCs w:val="24"/>
        </w:rPr>
        <w:t>does specifically provide</w:t>
      </w:r>
      <w:r w:rsidR="006E12B5" w:rsidRPr="00F669AB">
        <w:rPr>
          <w:rFonts w:ascii="Arial" w:hAnsi="Arial" w:cs="Arial"/>
          <w:sz w:val="24"/>
          <w:szCs w:val="24"/>
        </w:rPr>
        <w:t xml:space="preserve"> for leaving a local council’s seats on</w:t>
      </w:r>
      <w:r w:rsidR="00777B54" w:rsidRPr="00F669AB">
        <w:rPr>
          <w:rFonts w:ascii="Arial" w:hAnsi="Arial" w:cs="Arial"/>
          <w:sz w:val="24"/>
          <w:szCs w:val="24"/>
        </w:rPr>
        <w:t xml:space="preserve"> the district council unfilled and t</w:t>
      </w:r>
      <w:r w:rsidR="006E12B5" w:rsidRPr="00F669AB">
        <w:rPr>
          <w:rFonts w:ascii="Arial" w:hAnsi="Arial" w:cs="Arial"/>
          <w:sz w:val="24"/>
          <w:szCs w:val="24"/>
        </w:rPr>
        <w:t>his can occur in two situations:</w:t>
      </w:r>
      <w:r w:rsidR="00777B54" w:rsidRPr="00F669AB">
        <w:rPr>
          <w:rFonts w:ascii="Arial" w:hAnsi="Arial" w:cs="Arial"/>
          <w:sz w:val="24"/>
          <w:szCs w:val="24"/>
        </w:rPr>
        <w:t xml:space="preserve"> </w:t>
      </w:r>
      <w:r w:rsidR="006E12B5" w:rsidRPr="00F669AB">
        <w:rPr>
          <w:rFonts w:ascii="Arial" w:hAnsi="Arial" w:cs="Arial"/>
          <w:sz w:val="24"/>
          <w:szCs w:val="24"/>
        </w:rPr>
        <w:t xml:space="preserve">(a) Item 22 provides that, if a party’s list contains ‘fewer names than the number of seats allocated to that list’, then item 10 applies to the extent </w:t>
      </w:r>
      <w:r w:rsidR="002F2074" w:rsidRPr="00F669AB">
        <w:rPr>
          <w:rFonts w:ascii="Arial" w:hAnsi="Arial" w:cs="Arial"/>
          <w:sz w:val="24"/>
          <w:szCs w:val="24"/>
        </w:rPr>
        <w:t xml:space="preserve">that </w:t>
      </w:r>
      <w:r w:rsidR="006E12B5" w:rsidRPr="00F669AB">
        <w:rPr>
          <w:rFonts w:ascii="Arial" w:hAnsi="Arial" w:cs="Arial"/>
          <w:sz w:val="24"/>
          <w:szCs w:val="24"/>
        </w:rPr>
        <w:t>it can be applied. Item 10 deals with insufficient party lists for direct elections to the district council. Item 10(3)</w:t>
      </w:r>
      <w:r w:rsidR="006E12B5" w:rsidRPr="00F669AB">
        <w:rPr>
          <w:rFonts w:ascii="Arial" w:hAnsi="Arial" w:cs="Arial"/>
          <w:i/>
          <w:iCs/>
          <w:sz w:val="24"/>
          <w:szCs w:val="24"/>
        </w:rPr>
        <w:t xml:space="preserve">(a) </w:t>
      </w:r>
      <w:r w:rsidR="006E12B5" w:rsidRPr="00F669AB">
        <w:rPr>
          <w:rFonts w:ascii="Arial" w:hAnsi="Arial" w:cs="Arial"/>
          <w:sz w:val="24"/>
          <w:szCs w:val="24"/>
        </w:rPr>
        <w:t xml:space="preserve">specifically provides for situations where ‘the seat or seats must remain unfilled’. It is only if the vacancies caused by unfilled seats means the district cannot achieve a quorum that the party forfeits the seats and they are </w:t>
      </w:r>
      <w:r w:rsidR="00777B54" w:rsidRPr="00F669AB">
        <w:rPr>
          <w:rFonts w:ascii="Arial" w:hAnsi="Arial" w:cs="Arial"/>
          <w:sz w:val="24"/>
          <w:szCs w:val="24"/>
        </w:rPr>
        <w:t>reallocated.</w:t>
      </w:r>
      <w:r w:rsidR="00AE50CA" w:rsidRPr="00512F52">
        <w:rPr>
          <w:rStyle w:val="FootnoteReference"/>
          <w:rFonts w:ascii="Arial" w:hAnsi="Arial" w:cs="Arial"/>
          <w:sz w:val="24"/>
          <w:szCs w:val="24"/>
        </w:rPr>
        <w:footnoteReference w:id="21"/>
      </w:r>
      <w:r w:rsidR="00C907B4" w:rsidRPr="00F669AB">
        <w:rPr>
          <w:rFonts w:ascii="Arial" w:hAnsi="Arial" w:cs="Arial"/>
          <w:sz w:val="24"/>
          <w:szCs w:val="24"/>
        </w:rPr>
        <w:t xml:space="preserve"> </w:t>
      </w:r>
      <w:r w:rsidR="00AE50CA" w:rsidRPr="00F669AB">
        <w:rPr>
          <w:rFonts w:ascii="Arial" w:hAnsi="Arial" w:cs="Arial"/>
          <w:sz w:val="24"/>
          <w:szCs w:val="24"/>
        </w:rPr>
        <w:t xml:space="preserve">(b) </w:t>
      </w:r>
      <w:r w:rsidR="005F247C" w:rsidRPr="00F669AB">
        <w:rPr>
          <w:rFonts w:ascii="Arial" w:hAnsi="Arial" w:cs="Arial"/>
          <w:sz w:val="24"/>
          <w:szCs w:val="24"/>
        </w:rPr>
        <w:t xml:space="preserve">Similarly, under item 23, if a councillor appointed by the local </w:t>
      </w:r>
      <w:r w:rsidR="005F247C" w:rsidRPr="00F669AB">
        <w:rPr>
          <w:rFonts w:ascii="Arial" w:hAnsi="Arial" w:cs="Arial"/>
          <w:sz w:val="24"/>
          <w:szCs w:val="24"/>
        </w:rPr>
        <w:lastRenderedPageBreak/>
        <w:t>municipality ceases to hold office, item 11 applies. It provides that the next person on the party’s list is appointed. But item 11(2) provides:</w:t>
      </w:r>
    </w:p>
    <w:p w14:paraId="48D5688C" w14:textId="77777777" w:rsidR="00A92982" w:rsidRPr="00512F52" w:rsidRDefault="005F247C" w:rsidP="00772102">
      <w:pPr>
        <w:spacing w:after="0" w:line="360" w:lineRule="auto"/>
        <w:jc w:val="both"/>
        <w:rPr>
          <w:rFonts w:ascii="Arial" w:hAnsi="Arial" w:cs="Arial"/>
        </w:rPr>
      </w:pPr>
      <w:r w:rsidRPr="00512F52">
        <w:rPr>
          <w:rFonts w:ascii="Arial" w:hAnsi="Arial" w:cs="Arial"/>
        </w:rPr>
        <w:t>‘Where a party list has become exhausted, item 10, adjusted as may contextually be necessary, applies to the supplementation of the list, and if the party fails to supplement its list, or if the party has ceased to exist, the vacancy must remain unfilled.’</w:t>
      </w:r>
    </w:p>
    <w:p w14:paraId="5E6C83EC" w14:textId="032D3C00" w:rsidR="005F247C" w:rsidRPr="00512F52" w:rsidRDefault="005F247C" w:rsidP="00772102">
      <w:pPr>
        <w:spacing w:after="0" w:line="360" w:lineRule="auto"/>
        <w:ind w:firstLine="60"/>
        <w:jc w:val="both"/>
        <w:rPr>
          <w:rFonts w:ascii="Arial" w:hAnsi="Arial" w:cs="Arial"/>
        </w:rPr>
      </w:pPr>
    </w:p>
    <w:p w14:paraId="501B1DE4" w14:textId="400539C0"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[49]</w:t>
      </w:r>
      <w:r w:rsidRPr="00512F52">
        <w:rPr>
          <w:rFonts w:ascii="Arial" w:hAnsi="Arial" w:cs="Arial"/>
          <w:sz w:val="24"/>
          <w:szCs w:val="24"/>
        </w:rPr>
        <w:tab/>
      </w:r>
      <w:r w:rsidR="002F2074" w:rsidRPr="00F669AB">
        <w:rPr>
          <w:rFonts w:ascii="Arial" w:hAnsi="Arial" w:cs="Arial"/>
          <w:sz w:val="24"/>
          <w:szCs w:val="24"/>
        </w:rPr>
        <w:t>Counsel</w:t>
      </w:r>
      <w:r w:rsidR="005F247C" w:rsidRPr="00F669AB">
        <w:rPr>
          <w:rFonts w:ascii="Arial" w:hAnsi="Arial" w:cs="Arial"/>
          <w:sz w:val="24"/>
          <w:szCs w:val="24"/>
        </w:rPr>
        <w:t xml:space="preserve"> submitted that these prov</w:t>
      </w:r>
      <w:r w:rsidR="006F169F" w:rsidRPr="00F669AB">
        <w:rPr>
          <w:rFonts w:ascii="Arial" w:hAnsi="Arial" w:cs="Arial"/>
          <w:sz w:val="24"/>
          <w:szCs w:val="24"/>
        </w:rPr>
        <w:t>isions show that</w:t>
      </w:r>
      <w:r w:rsidR="005F247C" w:rsidRPr="00F669AB">
        <w:rPr>
          <w:rFonts w:ascii="Arial" w:hAnsi="Arial" w:cs="Arial"/>
          <w:sz w:val="24"/>
          <w:szCs w:val="24"/>
        </w:rPr>
        <w:t xml:space="preserve"> the Structures Act does not abhor a vacuum. It specifically provides for seats to ‘remain unfilled’ where the party that obtained the necessary votes to fill them cannot do so. It is only when there is a risk the district municipality will be inquorate that those seats are filled by other parties.</w:t>
      </w:r>
    </w:p>
    <w:p w14:paraId="5C89E4E9" w14:textId="77777777" w:rsidR="00772102" w:rsidRPr="00512F52" w:rsidRDefault="00772102" w:rsidP="00772102">
      <w:pPr>
        <w:pStyle w:val="ListParagraph"/>
        <w:spacing w:after="0" w:line="360" w:lineRule="auto"/>
        <w:ind w:left="0"/>
        <w:jc w:val="both"/>
        <w:rPr>
          <w:rFonts w:ascii="Arial" w:hAnsi="Arial" w:cs="Arial"/>
          <w:sz w:val="24"/>
          <w:szCs w:val="24"/>
        </w:rPr>
      </w:pPr>
    </w:p>
    <w:p w14:paraId="02352E6B" w14:textId="169EF470"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[50]</w:t>
      </w:r>
      <w:r w:rsidRPr="00512F52">
        <w:rPr>
          <w:rFonts w:ascii="Arial" w:hAnsi="Arial" w:cs="Arial"/>
          <w:sz w:val="24"/>
          <w:szCs w:val="24"/>
        </w:rPr>
        <w:tab/>
      </w:r>
      <w:r w:rsidR="005F247C" w:rsidRPr="00F669AB">
        <w:rPr>
          <w:rFonts w:ascii="Arial" w:hAnsi="Arial" w:cs="Arial"/>
          <w:sz w:val="24"/>
          <w:szCs w:val="24"/>
        </w:rPr>
        <w:t>Counsel went further to state that the same principle should govern the interpretation of item 20</w:t>
      </w:r>
      <w:r w:rsidR="0000248D" w:rsidRPr="00F669AB">
        <w:rPr>
          <w:rFonts w:ascii="Arial" w:hAnsi="Arial" w:cs="Arial"/>
          <w:sz w:val="24"/>
          <w:szCs w:val="24"/>
        </w:rPr>
        <w:t>,</w:t>
      </w:r>
      <w:r w:rsidR="005F247C" w:rsidRPr="00F669AB">
        <w:rPr>
          <w:rFonts w:ascii="Arial" w:hAnsi="Arial" w:cs="Arial"/>
          <w:sz w:val="24"/>
          <w:szCs w:val="24"/>
        </w:rPr>
        <w:t xml:space="preserve"> asserting that parties should only receive seats that reflect their votes on the local council, and therefore their support amongst the municipality’s </w:t>
      </w:r>
      <w:r w:rsidR="006F169F" w:rsidRPr="00F669AB">
        <w:rPr>
          <w:rFonts w:ascii="Arial" w:hAnsi="Arial" w:cs="Arial"/>
          <w:sz w:val="24"/>
          <w:szCs w:val="24"/>
        </w:rPr>
        <w:t xml:space="preserve">residents. Counsel submitted that the </w:t>
      </w:r>
      <w:r w:rsidR="005F247C" w:rsidRPr="00F669AB">
        <w:rPr>
          <w:rFonts w:ascii="Arial" w:hAnsi="Arial" w:cs="Arial"/>
          <w:sz w:val="24"/>
          <w:szCs w:val="24"/>
        </w:rPr>
        <w:t xml:space="preserve">Commission’s interpretation achieves </w:t>
      </w:r>
      <w:r w:rsidR="006F169F" w:rsidRPr="00F669AB">
        <w:rPr>
          <w:rFonts w:ascii="Arial" w:hAnsi="Arial" w:cs="Arial"/>
          <w:sz w:val="24"/>
          <w:szCs w:val="24"/>
        </w:rPr>
        <w:t>this and the respondents’</w:t>
      </w:r>
      <w:r w:rsidR="002E3306" w:rsidRPr="00F669AB">
        <w:rPr>
          <w:rFonts w:ascii="Arial" w:hAnsi="Arial" w:cs="Arial"/>
          <w:sz w:val="24"/>
          <w:szCs w:val="24"/>
        </w:rPr>
        <w:t xml:space="preserve"> interpretation seeks to fill a vacuum at all costs, even if that cost is to distort the will of the electorate.</w:t>
      </w:r>
    </w:p>
    <w:p w14:paraId="7FC5DE6C" w14:textId="77777777" w:rsidR="00772102" w:rsidRPr="00512F52" w:rsidRDefault="00772102" w:rsidP="00772102">
      <w:pPr>
        <w:pStyle w:val="ListParagraph"/>
        <w:spacing w:after="0" w:line="360" w:lineRule="auto"/>
        <w:jc w:val="both"/>
        <w:rPr>
          <w:rFonts w:ascii="Arial" w:hAnsi="Arial" w:cs="Arial"/>
          <w:sz w:val="24"/>
          <w:szCs w:val="24"/>
        </w:rPr>
      </w:pPr>
    </w:p>
    <w:p w14:paraId="5B403B84" w14:textId="5743F3E1" w:rsidR="002E3306"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[51]</w:t>
      </w:r>
      <w:r w:rsidRPr="00512F52">
        <w:rPr>
          <w:rFonts w:ascii="Arial" w:hAnsi="Arial" w:cs="Arial"/>
          <w:sz w:val="24"/>
          <w:szCs w:val="24"/>
        </w:rPr>
        <w:tab/>
      </w:r>
      <w:r w:rsidR="002E3306" w:rsidRPr="00F669AB">
        <w:rPr>
          <w:rFonts w:ascii="Arial" w:hAnsi="Arial" w:cs="Arial"/>
          <w:sz w:val="24"/>
          <w:szCs w:val="24"/>
        </w:rPr>
        <w:t>In the third instance, counsel submitted that the Structures Act should be compared to other electoral legislation dealing with the allocation of seats.</w:t>
      </w:r>
      <w:r w:rsidR="0057616E" w:rsidRPr="00F669AB">
        <w:rPr>
          <w:rFonts w:ascii="Arial" w:hAnsi="Arial" w:cs="Arial"/>
          <w:sz w:val="24"/>
          <w:szCs w:val="24"/>
        </w:rPr>
        <w:t xml:space="preserve"> </w:t>
      </w:r>
      <w:r w:rsidR="00F8051E" w:rsidRPr="00F669AB">
        <w:rPr>
          <w:rFonts w:ascii="Arial" w:hAnsi="Arial" w:cs="Arial"/>
          <w:sz w:val="24"/>
          <w:szCs w:val="24"/>
        </w:rPr>
        <w:t>As a case in point he cited</w:t>
      </w:r>
      <w:r w:rsidR="002E3306" w:rsidRPr="00F669AB">
        <w:rPr>
          <w:rFonts w:ascii="Arial" w:hAnsi="Arial" w:cs="Arial"/>
          <w:sz w:val="24"/>
          <w:szCs w:val="24"/>
        </w:rPr>
        <w:t xml:space="preserve"> Schedule 1A to the Electoral Act 73 of 1998</w:t>
      </w:r>
      <w:r w:rsidR="000968D2" w:rsidRPr="00F669AB">
        <w:rPr>
          <w:rFonts w:ascii="Arial" w:hAnsi="Arial" w:cs="Arial"/>
          <w:sz w:val="24"/>
          <w:szCs w:val="24"/>
        </w:rPr>
        <w:t xml:space="preserve"> (Electoral Act)</w:t>
      </w:r>
      <w:r w:rsidR="0000248D" w:rsidRPr="00F669AB">
        <w:rPr>
          <w:rFonts w:ascii="Arial" w:hAnsi="Arial" w:cs="Arial"/>
          <w:sz w:val="24"/>
          <w:szCs w:val="24"/>
        </w:rPr>
        <w:t>,</w:t>
      </w:r>
      <w:r w:rsidR="00F8051E" w:rsidRPr="00F669AB">
        <w:rPr>
          <w:rFonts w:ascii="Arial" w:hAnsi="Arial" w:cs="Arial"/>
          <w:sz w:val="24"/>
          <w:szCs w:val="24"/>
        </w:rPr>
        <w:t xml:space="preserve"> which</w:t>
      </w:r>
      <w:r w:rsidR="002E3306" w:rsidRPr="00F669AB">
        <w:rPr>
          <w:rFonts w:ascii="Arial" w:hAnsi="Arial" w:cs="Arial"/>
          <w:sz w:val="24"/>
          <w:szCs w:val="24"/>
        </w:rPr>
        <w:t xml:space="preserve"> deals with the allocation of seats in the National Assembly. It provides for the award of seats from both a regional list, and a national list. For the national list, seats are allocated, in the first round, in the same way as under item 20 – the number of votes is divided by the quota for a seat. </w:t>
      </w:r>
    </w:p>
    <w:p w14:paraId="43B8E0A6" w14:textId="77777777" w:rsidR="00772102" w:rsidRPr="00512F52" w:rsidRDefault="00772102" w:rsidP="00772102">
      <w:pPr>
        <w:pStyle w:val="ListParagraph"/>
        <w:spacing w:after="0" w:line="360" w:lineRule="auto"/>
        <w:jc w:val="both"/>
        <w:rPr>
          <w:rFonts w:ascii="Arial" w:hAnsi="Arial" w:cs="Arial"/>
          <w:sz w:val="24"/>
          <w:szCs w:val="24"/>
        </w:rPr>
      </w:pPr>
    </w:p>
    <w:p w14:paraId="16B3B8CD" w14:textId="4795E5CB" w:rsidR="0057616E"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[52]</w:t>
      </w:r>
      <w:r w:rsidRPr="00512F52">
        <w:rPr>
          <w:rFonts w:ascii="Arial" w:hAnsi="Arial" w:cs="Arial"/>
          <w:sz w:val="24"/>
          <w:szCs w:val="24"/>
        </w:rPr>
        <w:tab/>
      </w:r>
      <w:r w:rsidR="009F4C69" w:rsidRPr="00F669AB">
        <w:rPr>
          <w:rFonts w:ascii="Arial" w:hAnsi="Arial" w:cs="Arial"/>
          <w:sz w:val="24"/>
          <w:szCs w:val="24"/>
        </w:rPr>
        <w:t xml:space="preserve">But then, unlike item 20, he proceeded, </w:t>
      </w:r>
      <w:r w:rsidR="0057616E" w:rsidRPr="00F669AB">
        <w:rPr>
          <w:rFonts w:ascii="Arial" w:hAnsi="Arial" w:cs="Arial"/>
          <w:sz w:val="24"/>
          <w:szCs w:val="24"/>
        </w:rPr>
        <w:t>Schedule 1A</w:t>
      </w:r>
      <w:r w:rsidR="009F4C69" w:rsidRPr="00F669AB">
        <w:rPr>
          <w:rFonts w:ascii="Arial" w:hAnsi="Arial" w:cs="Arial"/>
          <w:sz w:val="24"/>
          <w:szCs w:val="24"/>
        </w:rPr>
        <w:t xml:space="preserve"> specifically provides for a second and third round of allocations</w:t>
      </w:r>
      <w:r w:rsidR="0000248D" w:rsidRPr="00F669AB">
        <w:rPr>
          <w:rFonts w:ascii="Arial" w:hAnsi="Arial" w:cs="Arial"/>
          <w:sz w:val="24"/>
          <w:szCs w:val="24"/>
        </w:rPr>
        <w:t>. The Commission’s heads of argument ably argued  this point as follows:</w:t>
      </w:r>
    </w:p>
    <w:p w14:paraId="3E464CFA" w14:textId="1B58FADF" w:rsidR="00A92982" w:rsidRPr="00512F52" w:rsidRDefault="0057616E" w:rsidP="00772102">
      <w:pPr>
        <w:spacing w:after="0" w:line="360" w:lineRule="auto"/>
        <w:jc w:val="both"/>
        <w:rPr>
          <w:rFonts w:ascii="Arial" w:hAnsi="Arial" w:cs="Arial"/>
        </w:rPr>
      </w:pPr>
      <w:r w:rsidRPr="00512F52">
        <w:rPr>
          <w:rFonts w:ascii="Arial" w:hAnsi="Arial" w:cs="Arial"/>
        </w:rPr>
        <w:t>‘</w:t>
      </w:r>
      <w:r w:rsidR="00A27055" w:rsidRPr="00512F52">
        <w:rPr>
          <w:rFonts w:ascii="Arial" w:hAnsi="Arial" w:cs="Arial"/>
        </w:rPr>
        <w:t xml:space="preserve">It first provides for the award of seats according </w:t>
      </w:r>
      <w:r w:rsidR="000968D2" w:rsidRPr="00512F52">
        <w:rPr>
          <w:rFonts w:ascii="Arial" w:hAnsi="Arial" w:cs="Arial"/>
        </w:rPr>
        <w:t>[</w:t>
      </w:r>
      <w:r w:rsidR="00A27055" w:rsidRPr="00512F52">
        <w:rPr>
          <w:rFonts w:ascii="Arial" w:hAnsi="Arial" w:cs="Arial"/>
        </w:rPr>
        <w:t>to</w:t>
      </w:r>
      <w:r w:rsidR="000968D2" w:rsidRPr="00512F52">
        <w:rPr>
          <w:rFonts w:ascii="Arial" w:hAnsi="Arial" w:cs="Arial"/>
        </w:rPr>
        <w:t>]</w:t>
      </w:r>
      <w:r w:rsidR="00A27055" w:rsidRPr="00512F52">
        <w:rPr>
          <w:rFonts w:ascii="Arial" w:hAnsi="Arial" w:cs="Arial"/>
        </w:rPr>
        <w:t xml:space="preserve"> the highest surplus, like item 20</w:t>
      </w:r>
      <w:r w:rsidR="000968D2" w:rsidRPr="00512F52">
        <w:rPr>
          <w:rFonts w:ascii="Arial" w:hAnsi="Arial" w:cs="Arial"/>
        </w:rPr>
        <w:t xml:space="preserve">. </w:t>
      </w:r>
      <w:r w:rsidR="00A27055" w:rsidRPr="00512F52">
        <w:rPr>
          <w:rFonts w:ascii="Arial" w:hAnsi="Arial" w:cs="Arial"/>
        </w:rPr>
        <w:t xml:space="preserve">But it limits the award of those seats </w:t>
      </w:r>
      <w:r w:rsidR="000968D2" w:rsidRPr="00512F52">
        <w:rPr>
          <w:rFonts w:ascii="Arial" w:hAnsi="Arial" w:cs="Arial"/>
          <w:i/>
        </w:rPr>
        <w:t>“</w:t>
      </w:r>
      <w:r w:rsidR="00A27055" w:rsidRPr="00512F52">
        <w:rPr>
          <w:rFonts w:ascii="Arial" w:hAnsi="Arial" w:cs="Arial"/>
          <w:i/>
        </w:rPr>
        <w:t xml:space="preserve">up to a maximum of five seats so awarded: Provided that subsequent awards of seats still remaining unawarded must be made in sequence to those parties having the </w:t>
      </w:r>
      <w:r w:rsidR="00A27055" w:rsidRPr="00512F52">
        <w:rPr>
          <w:rFonts w:ascii="Arial" w:hAnsi="Arial" w:cs="Arial"/>
          <w:i/>
        </w:rPr>
        <w:lastRenderedPageBreak/>
        <w:t>highest average number of votes per seat already awarded</w:t>
      </w:r>
      <w:r w:rsidR="000968D2" w:rsidRPr="00512F52">
        <w:rPr>
          <w:rFonts w:ascii="Arial" w:hAnsi="Arial" w:cs="Arial"/>
          <w:i/>
        </w:rPr>
        <w:t>”.</w:t>
      </w:r>
      <w:r w:rsidR="000968D2" w:rsidRPr="00512F52">
        <w:rPr>
          <w:rStyle w:val="FootnoteReference"/>
          <w:rFonts w:ascii="Arial" w:hAnsi="Arial" w:cs="Arial"/>
        </w:rPr>
        <w:footnoteReference w:id="22"/>
      </w:r>
      <w:r w:rsidR="000968D2" w:rsidRPr="00512F52">
        <w:rPr>
          <w:rFonts w:ascii="Arial" w:hAnsi="Arial" w:cs="Arial"/>
        </w:rPr>
        <w:t xml:space="preserve"> </w:t>
      </w:r>
      <w:r w:rsidR="00A27055" w:rsidRPr="00512F52">
        <w:rPr>
          <w:rFonts w:ascii="Arial" w:hAnsi="Arial" w:cs="Arial"/>
        </w:rPr>
        <w:t>This item specifically contemplates a third round of allocation, and does it on a basis that makes sense – instead of continuing to allocate seats based on the order of surplus, after five seats have been awarded on that basis, it changes the basis of award to the average number of votes per seat</w:t>
      </w:r>
      <w:r w:rsidR="000968D2" w:rsidRPr="00512F52">
        <w:rPr>
          <w:rFonts w:ascii="Arial" w:hAnsi="Arial" w:cs="Arial"/>
        </w:rPr>
        <w:t>. . . [</w:t>
      </w:r>
      <w:r w:rsidR="00A27055" w:rsidRPr="00512F52">
        <w:rPr>
          <w:rFonts w:ascii="Arial" w:hAnsi="Arial" w:cs="Arial"/>
        </w:rPr>
        <w:t>This</w:t>
      </w:r>
      <w:r w:rsidR="000968D2" w:rsidRPr="00512F52">
        <w:rPr>
          <w:rFonts w:ascii="Arial" w:hAnsi="Arial" w:cs="Arial"/>
        </w:rPr>
        <w:t>]</w:t>
      </w:r>
      <w:r w:rsidR="00A27055" w:rsidRPr="00512F52">
        <w:rPr>
          <w:rFonts w:ascii="Arial" w:hAnsi="Arial" w:cs="Arial"/>
        </w:rPr>
        <w:t xml:space="preserve"> avoids the irrational distortions of doing multiple rounds of seat allocation based on the highest surplus.</w:t>
      </w:r>
      <w:r w:rsidR="00F550A1" w:rsidRPr="00512F52">
        <w:rPr>
          <w:rFonts w:ascii="Arial" w:hAnsi="Arial" w:cs="Arial"/>
        </w:rPr>
        <w:t>’</w:t>
      </w:r>
      <w:r w:rsidR="00C86016" w:rsidRPr="00512F52">
        <w:rPr>
          <w:rFonts w:ascii="Arial" w:hAnsi="Arial" w:cs="Arial"/>
        </w:rPr>
        <w:t xml:space="preserve"> (Own emphasis.)</w:t>
      </w:r>
    </w:p>
    <w:p w14:paraId="689DE24A" w14:textId="209F12D3" w:rsidR="00A27055" w:rsidRPr="00512F52" w:rsidRDefault="00A27055" w:rsidP="00772102">
      <w:pPr>
        <w:spacing w:after="0" w:line="360" w:lineRule="auto"/>
        <w:ind w:firstLine="60"/>
        <w:jc w:val="both"/>
        <w:rPr>
          <w:rFonts w:ascii="Arial" w:hAnsi="Arial" w:cs="Arial"/>
          <w:sz w:val="24"/>
          <w:szCs w:val="24"/>
        </w:rPr>
      </w:pPr>
    </w:p>
    <w:p w14:paraId="7064C60D" w14:textId="7B1F3B25"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[53]</w:t>
      </w:r>
      <w:r w:rsidRPr="00512F52">
        <w:rPr>
          <w:rFonts w:ascii="Arial" w:hAnsi="Arial" w:cs="Arial"/>
          <w:sz w:val="24"/>
          <w:szCs w:val="24"/>
        </w:rPr>
        <w:tab/>
      </w:r>
      <w:r w:rsidR="00F550A1" w:rsidRPr="00F669AB">
        <w:rPr>
          <w:rFonts w:ascii="Arial" w:hAnsi="Arial" w:cs="Arial"/>
          <w:sz w:val="24"/>
          <w:szCs w:val="24"/>
        </w:rPr>
        <w:t>C</w:t>
      </w:r>
      <w:r w:rsidR="006C762B" w:rsidRPr="00F669AB">
        <w:rPr>
          <w:rFonts w:ascii="Arial" w:hAnsi="Arial" w:cs="Arial"/>
          <w:sz w:val="24"/>
          <w:szCs w:val="24"/>
        </w:rPr>
        <w:t>ounsel</w:t>
      </w:r>
      <w:r w:rsidR="00F550A1" w:rsidRPr="00F669AB">
        <w:rPr>
          <w:rFonts w:ascii="Arial" w:hAnsi="Arial" w:cs="Arial"/>
          <w:sz w:val="24"/>
          <w:szCs w:val="24"/>
        </w:rPr>
        <w:t xml:space="preserve"> stated that it was clear from this analysis that</w:t>
      </w:r>
      <w:r w:rsidR="006C762B" w:rsidRPr="00F669AB">
        <w:rPr>
          <w:rFonts w:ascii="Arial" w:hAnsi="Arial" w:cs="Arial"/>
          <w:sz w:val="24"/>
          <w:szCs w:val="24"/>
        </w:rPr>
        <w:t xml:space="preserve"> </w:t>
      </w:r>
      <w:r w:rsidR="00A27055" w:rsidRPr="00F669AB">
        <w:rPr>
          <w:rFonts w:ascii="Arial" w:hAnsi="Arial" w:cs="Arial"/>
          <w:sz w:val="24"/>
          <w:szCs w:val="24"/>
        </w:rPr>
        <w:t>where the Legislature wanted three rounds of allocation, it said so, and it specified how it would happen. In item 20</w:t>
      </w:r>
      <w:r w:rsidR="00144F68" w:rsidRPr="00F669AB">
        <w:rPr>
          <w:rFonts w:ascii="Arial" w:hAnsi="Arial" w:cs="Arial"/>
          <w:sz w:val="24"/>
          <w:szCs w:val="24"/>
        </w:rPr>
        <w:t xml:space="preserve"> of </w:t>
      </w:r>
      <w:r w:rsidR="00243F50" w:rsidRPr="00F669AB">
        <w:rPr>
          <w:rFonts w:ascii="Arial" w:hAnsi="Arial" w:cs="Arial"/>
          <w:sz w:val="24"/>
          <w:szCs w:val="24"/>
        </w:rPr>
        <w:t xml:space="preserve">Schedule 2 to </w:t>
      </w:r>
      <w:r w:rsidR="00144F68" w:rsidRPr="00F669AB">
        <w:rPr>
          <w:rFonts w:ascii="Arial" w:hAnsi="Arial" w:cs="Arial"/>
          <w:sz w:val="24"/>
          <w:szCs w:val="24"/>
        </w:rPr>
        <w:t>the Structures Act</w:t>
      </w:r>
      <w:r w:rsidR="00A27055" w:rsidRPr="00F669AB">
        <w:rPr>
          <w:rFonts w:ascii="Arial" w:hAnsi="Arial" w:cs="Arial"/>
          <w:sz w:val="24"/>
          <w:szCs w:val="24"/>
        </w:rPr>
        <w:t>,</w:t>
      </w:r>
      <w:r w:rsidR="00144F68" w:rsidRPr="00F669AB">
        <w:rPr>
          <w:rFonts w:ascii="Arial" w:hAnsi="Arial" w:cs="Arial"/>
          <w:sz w:val="24"/>
          <w:szCs w:val="24"/>
        </w:rPr>
        <w:t xml:space="preserve"> however,</w:t>
      </w:r>
      <w:r w:rsidR="00A27055" w:rsidRPr="00F669AB">
        <w:rPr>
          <w:rFonts w:ascii="Arial" w:hAnsi="Arial" w:cs="Arial"/>
          <w:sz w:val="24"/>
          <w:szCs w:val="24"/>
        </w:rPr>
        <w:t xml:space="preserve"> Parliament did not specify a third round</w:t>
      </w:r>
      <w:r w:rsidR="00144F68" w:rsidRPr="00F669AB">
        <w:rPr>
          <w:rFonts w:ascii="Arial" w:hAnsi="Arial" w:cs="Arial"/>
          <w:sz w:val="24"/>
          <w:szCs w:val="24"/>
        </w:rPr>
        <w:t>,</w:t>
      </w:r>
      <w:r w:rsidR="00A27055" w:rsidRPr="00F669AB">
        <w:rPr>
          <w:rFonts w:ascii="Arial" w:hAnsi="Arial" w:cs="Arial"/>
          <w:sz w:val="24"/>
          <w:szCs w:val="24"/>
        </w:rPr>
        <w:t xml:space="preserve"> because it preferred to leave seats not allocated in the second round unallocated.</w:t>
      </w:r>
    </w:p>
    <w:p w14:paraId="58CBF0C3" w14:textId="77777777" w:rsidR="00772102" w:rsidRPr="00512F52" w:rsidRDefault="00772102" w:rsidP="00772102">
      <w:pPr>
        <w:pStyle w:val="ListParagraph"/>
        <w:spacing w:after="0" w:line="360" w:lineRule="auto"/>
        <w:ind w:left="0"/>
        <w:jc w:val="both"/>
        <w:rPr>
          <w:rFonts w:ascii="Arial" w:hAnsi="Arial" w:cs="Arial"/>
          <w:sz w:val="24"/>
          <w:szCs w:val="24"/>
        </w:rPr>
      </w:pPr>
    </w:p>
    <w:p w14:paraId="52A6345A" w14:textId="7464DDB7" w:rsidR="00125771"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[54]</w:t>
      </w:r>
      <w:r w:rsidRPr="00512F52">
        <w:rPr>
          <w:rFonts w:ascii="Arial" w:hAnsi="Arial" w:cs="Arial"/>
          <w:sz w:val="24"/>
          <w:szCs w:val="24"/>
        </w:rPr>
        <w:tab/>
      </w:r>
      <w:r w:rsidR="00D72F3F" w:rsidRPr="00F669AB">
        <w:rPr>
          <w:rFonts w:ascii="Arial" w:hAnsi="Arial" w:cs="Arial"/>
          <w:sz w:val="24"/>
          <w:szCs w:val="24"/>
        </w:rPr>
        <w:t xml:space="preserve">As regards the purpose of item 20, counsel </w:t>
      </w:r>
      <w:r w:rsidR="0099291C" w:rsidRPr="00F669AB">
        <w:rPr>
          <w:rFonts w:ascii="Arial" w:hAnsi="Arial" w:cs="Arial"/>
          <w:sz w:val="24"/>
          <w:szCs w:val="24"/>
        </w:rPr>
        <w:t>submitted</w:t>
      </w:r>
      <w:r w:rsidR="00D72F3F" w:rsidRPr="00F669AB">
        <w:rPr>
          <w:rFonts w:ascii="Arial" w:hAnsi="Arial" w:cs="Arial"/>
          <w:sz w:val="24"/>
          <w:szCs w:val="24"/>
        </w:rPr>
        <w:t xml:space="preserve"> that its plain purpose is to ensure that a district council’s representative</w:t>
      </w:r>
      <w:r w:rsidR="0099291C" w:rsidRPr="00F669AB">
        <w:rPr>
          <w:rFonts w:ascii="Arial" w:hAnsi="Arial" w:cs="Arial"/>
          <w:sz w:val="24"/>
          <w:szCs w:val="24"/>
        </w:rPr>
        <w:t>s</w:t>
      </w:r>
      <w:r w:rsidR="00D72F3F" w:rsidRPr="00F669AB">
        <w:rPr>
          <w:rFonts w:ascii="Arial" w:hAnsi="Arial" w:cs="Arial"/>
          <w:sz w:val="24"/>
          <w:szCs w:val="24"/>
        </w:rPr>
        <w:t xml:space="preserve"> reflect the extent of support for the </w:t>
      </w:r>
      <w:r w:rsidR="00144F68" w:rsidRPr="00F669AB">
        <w:rPr>
          <w:rFonts w:ascii="Arial" w:hAnsi="Arial" w:cs="Arial"/>
          <w:sz w:val="24"/>
          <w:szCs w:val="24"/>
        </w:rPr>
        <w:t xml:space="preserve">respective </w:t>
      </w:r>
      <w:r w:rsidR="00D72F3F" w:rsidRPr="00F669AB">
        <w:rPr>
          <w:rFonts w:ascii="Arial" w:hAnsi="Arial" w:cs="Arial"/>
          <w:sz w:val="24"/>
          <w:szCs w:val="24"/>
        </w:rPr>
        <w:t>parties in the local municipality.</w:t>
      </w:r>
      <w:r w:rsidR="00125771" w:rsidRPr="00F669AB">
        <w:rPr>
          <w:rFonts w:ascii="Arial" w:hAnsi="Arial" w:cs="Arial"/>
          <w:sz w:val="24"/>
          <w:szCs w:val="24"/>
        </w:rPr>
        <w:t xml:space="preserve"> The Commission’s interpretation of item 20</w:t>
      </w:r>
      <w:r w:rsidR="004D3177" w:rsidRPr="00F669AB">
        <w:rPr>
          <w:rFonts w:ascii="Arial" w:hAnsi="Arial" w:cs="Arial"/>
          <w:sz w:val="24"/>
          <w:szCs w:val="24"/>
        </w:rPr>
        <w:t>, he argued,</w:t>
      </w:r>
      <w:r w:rsidR="00125771" w:rsidRPr="00F669AB">
        <w:rPr>
          <w:rFonts w:ascii="Arial" w:hAnsi="Arial" w:cs="Arial"/>
          <w:sz w:val="24"/>
          <w:szCs w:val="24"/>
        </w:rPr>
        <w:t xml:space="preserve"> achieves that goal perfectly. Parties will never receive more district seats than the votes they can muster for their lists in the local council:</w:t>
      </w:r>
    </w:p>
    <w:p w14:paraId="527DE90A" w14:textId="7D796BA3" w:rsidR="00125771"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(a)</w:t>
      </w:r>
      <w:r w:rsidRPr="00512F52">
        <w:rPr>
          <w:rFonts w:ascii="Arial" w:hAnsi="Arial" w:cs="Arial"/>
          <w:sz w:val="24"/>
          <w:szCs w:val="24"/>
        </w:rPr>
        <w:tab/>
      </w:r>
      <w:r w:rsidR="00125771" w:rsidRPr="00F669AB">
        <w:rPr>
          <w:rFonts w:ascii="Arial" w:hAnsi="Arial" w:cs="Arial"/>
          <w:sz w:val="24"/>
          <w:szCs w:val="24"/>
        </w:rPr>
        <w:t xml:space="preserve">It ensures that, if a party decides not to vote when district representatives are elected (either by being absent or abstaining), that party will not get representation on the </w:t>
      </w:r>
      <w:r w:rsidR="00C86016" w:rsidRPr="00F669AB">
        <w:rPr>
          <w:rFonts w:ascii="Arial" w:hAnsi="Arial" w:cs="Arial"/>
          <w:sz w:val="24"/>
          <w:szCs w:val="24"/>
        </w:rPr>
        <w:t>d</w:t>
      </w:r>
      <w:r w:rsidR="00125771" w:rsidRPr="00F669AB">
        <w:rPr>
          <w:rFonts w:ascii="Arial" w:hAnsi="Arial" w:cs="Arial"/>
          <w:sz w:val="24"/>
          <w:szCs w:val="24"/>
        </w:rPr>
        <w:t xml:space="preserve">istrict </w:t>
      </w:r>
      <w:r w:rsidR="00C86016" w:rsidRPr="00F669AB">
        <w:rPr>
          <w:rFonts w:ascii="Arial" w:hAnsi="Arial" w:cs="Arial"/>
          <w:sz w:val="24"/>
          <w:szCs w:val="24"/>
        </w:rPr>
        <w:t>c</w:t>
      </w:r>
      <w:r w:rsidR="00125771" w:rsidRPr="00F669AB">
        <w:rPr>
          <w:rFonts w:ascii="Arial" w:hAnsi="Arial" w:cs="Arial"/>
          <w:sz w:val="24"/>
          <w:szCs w:val="24"/>
        </w:rPr>
        <w:t>ouncil;</w:t>
      </w:r>
    </w:p>
    <w:p w14:paraId="15AA8CA0" w14:textId="5E030717" w:rsidR="00125771"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(b)</w:t>
      </w:r>
      <w:r w:rsidRPr="00512F52">
        <w:rPr>
          <w:rFonts w:ascii="Arial" w:hAnsi="Arial" w:cs="Arial"/>
          <w:sz w:val="24"/>
          <w:szCs w:val="24"/>
        </w:rPr>
        <w:tab/>
      </w:r>
      <w:r w:rsidR="00125771" w:rsidRPr="00F669AB">
        <w:rPr>
          <w:rFonts w:ascii="Arial" w:hAnsi="Arial" w:cs="Arial"/>
          <w:sz w:val="24"/>
          <w:szCs w:val="24"/>
        </w:rPr>
        <w:t xml:space="preserve">If the results </w:t>
      </w:r>
      <w:r w:rsidR="005106A3" w:rsidRPr="00F669AB">
        <w:rPr>
          <w:rFonts w:ascii="Arial" w:hAnsi="Arial" w:cs="Arial"/>
          <w:sz w:val="24"/>
          <w:szCs w:val="24"/>
        </w:rPr>
        <w:t>are</w:t>
      </w:r>
      <w:r w:rsidR="00125771" w:rsidRPr="00F669AB">
        <w:rPr>
          <w:rFonts w:ascii="Arial" w:hAnsi="Arial" w:cs="Arial"/>
          <w:sz w:val="24"/>
          <w:szCs w:val="24"/>
        </w:rPr>
        <w:t xml:space="preserve"> that seats are unfilled, that is not a result of a flawed electoral system, but a reflection of the political choices made by parties on the local council;</w:t>
      </w:r>
      <w:r w:rsidR="00C86016" w:rsidRPr="00F669AB">
        <w:rPr>
          <w:rFonts w:ascii="Arial" w:hAnsi="Arial" w:cs="Arial"/>
          <w:sz w:val="24"/>
          <w:szCs w:val="24"/>
        </w:rPr>
        <w:t xml:space="preserve"> and</w:t>
      </w:r>
    </w:p>
    <w:p w14:paraId="052E48FD" w14:textId="57C5E682"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(c)</w:t>
      </w:r>
      <w:r w:rsidRPr="00512F52">
        <w:rPr>
          <w:rFonts w:ascii="Arial" w:hAnsi="Arial" w:cs="Arial"/>
          <w:sz w:val="24"/>
          <w:szCs w:val="24"/>
        </w:rPr>
        <w:tab/>
      </w:r>
      <w:r w:rsidR="00125771" w:rsidRPr="00F669AB">
        <w:rPr>
          <w:rFonts w:ascii="Arial" w:hAnsi="Arial" w:cs="Arial"/>
          <w:sz w:val="24"/>
          <w:szCs w:val="24"/>
        </w:rPr>
        <w:t>In this case,</w:t>
      </w:r>
      <w:r w:rsidR="004D3177" w:rsidRPr="00F669AB">
        <w:rPr>
          <w:rFonts w:ascii="Arial" w:hAnsi="Arial" w:cs="Arial"/>
          <w:sz w:val="24"/>
          <w:szCs w:val="24"/>
        </w:rPr>
        <w:t xml:space="preserve"> he submitted,</w:t>
      </w:r>
      <w:r w:rsidR="00125771" w:rsidRPr="00F669AB">
        <w:rPr>
          <w:rFonts w:ascii="Arial" w:hAnsi="Arial" w:cs="Arial"/>
          <w:sz w:val="24"/>
          <w:szCs w:val="24"/>
        </w:rPr>
        <w:t xml:space="preserve"> the three seats should be unfiled</w:t>
      </w:r>
      <w:r w:rsidR="00511032" w:rsidRPr="00F669AB">
        <w:rPr>
          <w:rFonts w:ascii="Arial" w:hAnsi="Arial" w:cs="Arial"/>
          <w:sz w:val="24"/>
          <w:szCs w:val="24"/>
        </w:rPr>
        <w:t>,</w:t>
      </w:r>
      <w:r w:rsidR="00125771" w:rsidRPr="00F669AB">
        <w:rPr>
          <w:rFonts w:ascii="Arial" w:hAnsi="Arial" w:cs="Arial"/>
          <w:sz w:val="24"/>
          <w:szCs w:val="24"/>
        </w:rPr>
        <w:t xml:space="preserve"> because the ANC chose not to participate. That was its choice, freely taken.</w:t>
      </w:r>
    </w:p>
    <w:p w14:paraId="707D95BF" w14:textId="49DB5ADE" w:rsidR="00D72F3F" w:rsidRPr="00512F52" w:rsidRDefault="00D72F3F" w:rsidP="00772102">
      <w:pPr>
        <w:spacing w:after="0" w:line="360" w:lineRule="auto"/>
        <w:ind w:firstLine="60"/>
        <w:jc w:val="both"/>
        <w:rPr>
          <w:rFonts w:ascii="Arial" w:hAnsi="Arial" w:cs="Arial"/>
          <w:sz w:val="24"/>
          <w:szCs w:val="24"/>
        </w:rPr>
      </w:pPr>
    </w:p>
    <w:p w14:paraId="271D956F" w14:textId="227ADBBE" w:rsidR="00BE0FC4" w:rsidRPr="00512F52" w:rsidRDefault="006C762B" w:rsidP="00772102">
      <w:pPr>
        <w:spacing w:after="0" w:line="360" w:lineRule="auto"/>
        <w:jc w:val="both"/>
        <w:rPr>
          <w:rFonts w:ascii="Arial" w:hAnsi="Arial" w:cs="Arial"/>
          <w:b/>
          <w:bCs/>
          <w:sz w:val="24"/>
          <w:szCs w:val="24"/>
        </w:rPr>
      </w:pPr>
      <w:r w:rsidRPr="00512F52">
        <w:rPr>
          <w:rFonts w:ascii="Arial" w:hAnsi="Arial" w:cs="Arial"/>
          <w:b/>
          <w:bCs/>
          <w:sz w:val="24"/>
          <w:szCs w:val="24"/>
        </w:rPr>
        <w:t>Submissions on behalf of uM</w:t>
      </w:r>
      <w:r w:rsidR="00BE0FC4" w:rsidRPr="00512F52">
        <w:rPr>
          <w:rFonts w:ascii="Arial" w:hAnsi="Arial" w:cs="Arial"/>
          <w:b/>
          <w:bCs/>
          <w:sz w:val="24"/>
          <w:szCs w:val="24"/>
        </w:rPr>
        <w:t>hla</w:t>
      </w:r>
      <w:r w:rsidRPr="00512F52">
        <w:rPr>
          <w:rFonts w:ascii="Arial" w:hAnsi="Arial" w:cs="Arial"/>
          <w:b/>
          <w:bCs/>
          <w:sz w:val="24"/>
          <w:szCs w:val="24"/>
        </w:rPr>
        <w:t xml:space="preserve">thuze Local Council and </w:t>
      </w:r>
      <w:r w:rsidR="00CA0907" w:rsidRPr="00512F52">
        <w:rPr>
          <w:rFonts w:ascii="Arial" w:hAnsi="Arial" w:cs="Arial"/>
          <w:b/>
          <w:bCs/>
          <w:sz w:val="24"/>
          <w:szCs w:val="24"/>
        </w:rPr>
        <w:t>affected</w:t>
      </w:r>
      <w:r w:rsidR="00BE0FC4" w:rsidRPr="00512F52">
        <w:rPr>
          <w:rFonts w:ascii="Arial" w:hAnsi="Arial" w:cs="Arial"/>
          <w:b/>
          <w:bCs/>
          <w:sz w:val="24"/>
          <w:szCs w:val="24"/>
        </w:rPr>
        <w:t xml:space="preserve"> council</w:t>
      </w:r>
      <w:r w:rsidRPr="00512F52">
        <w:rPr>
          <w:rFonts w:ascii="Arial" w:hAnsi="Arial" w:cs="Arial"/>
          <w:b/>
          <w:bCs/>
          <w:sz w:val="24"/>
          <w:szCs w:val="24"/>
        </w:rPr>
        <w:t>l</w:t>
      </w:r>
      <w:r w:rsidR="00BE0FC4" w:rsidRPr="00512F52">
        <w:rPr>
          <w:rFonts w:ascii="Arial" w:hAnsi="Arial" w:cs="Arial"/>
          <w:b/>
          <w:bCs/>
          <w:sz w:val="24"/>
          <w:szCs w:val="24"/>
        </w:rPr>
        <w:t>or</w:t>
      </w:r>
      <w:r w:rsidRPr="00512F52">
        <w:rPr>
          <w:rFonts w:ascii="Arial" w:hAnsi="Arial" w:cs="Arial"/>
          <w:b/>
          <w:bCs/>
          <w:sz w:val="24"/>
          <w:szCs w:val="24"/>
        </w:rPr>
        <w:t xml:space="preserve">s </w:t>
      </w:r>
    </w:p>
    <w:p w14:paraId="01B3331B" w14:textId="7B3A2890" w:rsidR="0077210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[55]</w:t>
      </w:r>
      <w:r w:rsidRPr="00512F52">
        <w:rPr>
          <w:rFonts w:ascii="Arial" w:hAnsi="Arial" w:cs="Arial"/>
          <w:sz w:val="24"/>
          <w:szCs w:val="24"/>
        </w:rPr>
        <w:tab/>
      </w:r>
      <w:r w:rsidR="006C762B" w:rsidRPr="00F669AB">
        <w:rPr>
          <w:rFonts w:ascii="Arial" w:hAnsi="Arial" w:cs="Arial"/>
          <w:sz w:val="24"/>
          <w:szCs w:val="24"/>
        </w:rPr>
        <w:t>The thrust of counsel for uM</w:t>
      </w:r>
      <w:r w:rsidR="00BE0FC4" w:rsidRPr="00F669AB">
        <w:rPr>
          <w:rFonts w:ascii="Arial" w:hAnsi="Arial" w:cs="Arial"/>
          <w:sz w:val="24"/>
          <w:szCs w:val="24"/>
        </w:rPr>
        <w:t>hla</w:t>
      </w:r>
      <w:r w:rsidR="004A3E58" w:rsidRPr="00F669AB">
        <w:rPr>
          <w:rFonts w:ascii="Arial" w:hAnsi="Arial" w:cs="Arial"/>
          <w:sz w:val="24"/>
          <w:szCs w:val="24"/>
        </w:rPr>
        <w:t>thuze Local Council and the three</w:t>
      </w:r>
      <w:r w:rsidR="00992A75" w:rsidRPr="00F669AB">
        <w:rPr>
          <w:rFonts w:ascii="Arial" w:hAnsi="Arial" w:cs="Arial"/>
          <w:sz w:val="24"/>
          <w:szCs w:val="24"/>
        </w:rPr>
        <w:t xml:space="preserve"> </w:t>
      </w:r>
      <w:r w:rsidR="00CA0907" w:rsidRPr="00F669AB">
        <w:rPr>
          <w:rFonts w:ascii="Arial" w:hAnsi="Arial" w:cs="Arial"/>
          <w:sz w:val="24"/>
          <w:szCs w:val="24"/>
        </w:rPr>
        <w:t xml:space="preserve">affected </w:t>
      </w:r>
      <w:r w:rsidR="00992A75" w:rsidRPr="00F669AB">
        <w:rPr>
          <w:rFonts w:ascii="Arial" w:hAnsi="Arial" w:cs="Arial"/>
          <w:sz w:val="24"/>
          <w:szCs w:val="24"/>
        </w:rPr>
        <w:t>councillors’ argument is</w:t>
      </w:r>
      <w:r w:rsidR="00BE0FC4" w:rsidRPr="00F669AB">
        <w:rPr>
          <w:rFonts w:ascii="Arial" w:hAnsi="Arial" w:cs="Arial"/>
          <w:sz w:val="24"/>
          <w:szCs w:val="24"/>
        </w:rPr>
        <w:t xml:space="preserve"> that item 20 </w:t>
      </w:r>
      <w:r w:rsidR="00CA3F06" w:rsidRPr="00F669AB">
        <w:rPr>
          <w:rFonts w:ascii="Arial" w:hAnsi="Arial" w:cs="Arial"/>
          <w:sz w:val="24"/>
          <w:szCs w:val="24"/>
        </w:rPr>
        <w:t>does not determine</w:t>
      </w:r>
      <w:r w:rsidR="00BE0FC4" w:rsidRPr="00F669AB">
        <w:rPr>
          <w:rFonts w:ascii="Arial" w:hAnsi="Arial" w:cs="Arial"/>
          <w:sz w:val="24"/>
          <w:szCs w:val="24"/>
        </w:rPr>
        <w:t xml:space="preserve"> quotas for</w:t>
      </w:r>
      <w:r w:rsidR="00BE0FC4" w:rsidRPr="00F669AB">
        <w:rPr>
          <w:rFonts w:ascii="Arial" w:hAnsi="Arial" w:cs="Arial"/>
          <w:i/>
          <w:sz w:val="24"/>
          <w:szCs w:val="24"/>
        </w:rPr>
        <w:t xml:space="preserve"> political parties</w:t>
      </w:r>
      <w:r w:rsidR="00BE0FC4" w:rsidRPr="00F669AB">
        <w:rPr>
          <w:rFonts w:ascii="Arial" w:hAnsi="Arial" w:cs="Arial"/>
          <w:sz w:val="24"/>
          <w:szCs w:val="24"/>
        </w:rPr>
        <w:t xml:space="preserve"> who are represented on the district council. On the contrary, proceeded his argument, what item 20 does is determine quotas for </w:t>
      </w:r>
      <w:r w:rsidR="00BE0FC4" w:rsidRPr="00F669AB">
        <w:rPr>
          <w:rFonts w:ascii="Arial" w:hAnsi="Arial" w:cs="Arial"/>
          <w:i/>
          <w:sz w:val="24"/>
          <w:szCs w:val="24"/>
        </w:rPr>
        <w:t>local councils</w:t>
      </w:r>
      <w:r w:rsidR="00BE0FC4" w:rsidRPr="00F669AB">
        <w:rPr>
          <w:rFonts w:ascii="Arial" w:hAnsi="Arial" w:cs="Arial"/>
          <w:sz w:val="24"/>
          <w:szCs w:val="24"/>
        </w:rPr>
        <w:t xml:space="preserve"> in relation to representation in </w:t>
      </w:r>
      <w:r w:rsidR="00385F85" w:rsidRPr="00F669AB">
        <w:rPr>
          <w:rFonts w:ascii="Arial" w:hAnsi="Arial" w:cs="Arial"/>
          <w:sz w:val="24"/>
          <w:szCs w:val="24"/>
        </w:rPr>
        <w:t xml:space="preserve">the </w:t>
      </w:r>
      <w:r w:rsidR="00BE0FC4" w:rsidRPr="00F669AB">
        <w:rPr>
          <w:rFonts w:ascii="Arial" w:hAnsi="Arial" w:cs="Arial"/>
          <w:sz w:val="24"/>
          <w:szCs w:val="24"/>
        </w:rPr>
        <w:lastRenderedPageBreak/>
        <w:t xml:space="preserve">district council. This was so, he argued, because the Structures Act recognises that the </w:t>
      </w:r>
      <w:r w:rsidR="00CA0907" w:rsidRPr="00F669AB">
        <w:rPr>
          <w:rFonts w:ascii="Arial" w:hAnsi="Arial" w:cs="Arial"/>
          <w:sz w:val="24"/>
          <w:szCs w:val="24"/>
        </w:rPr>
        <w:t>m</w:t>
      </w:r>
      <w:r w:rsidR="00BE0FC4" w:rsidRPr="00F669AB">
        <w:rPr>
          <w:rFonts w:ascii="Arial" w:hAnsi="Arial" w:cs="Arial"/>
          <w:sz w:val="24"/>
          <w:szCs w:val="24"/>
        </w:rPr>
        <w:t xml:space="preserve">unicipal </w:t>
      </w:r>
      <w:r w:rsidR="00CA0907" w:rsidRPr="00F669AB">
        <w:rPr>
          <w:rFonts w:ascii="Arial" w:hAnsi="Arial" w:cs="Arial"/>
          <w:sz w:val="24"/>
          <w:szCs w:val="24"/>
        </w:rPr>
        <w:t>c</w:t>
      </w:r>
      <w:r w:rsidR="00BE0FC4" w:rsidRPr="00F669AB">
        <w:rPr>
          <w:rFonts w:ascii="Arial" w:hAnsi="Arial" w:cs="Arial"/>
          <w:sz w:val="24"/>
          <w:szCs w:val="24"/>
        </w:rPr>
        <w:t>ouncils do not consist exclusively of political partie</w:t>
      </w:r>
      <w:r w:rsidR="00CD7BC8" w:rsidRPr="00F669AB">
        <w:rPr>
          <w:rFonts w:ascii="Arial" w:hAnsi="Arial" w:cs="Arial"/>
          <w:sz w:val="24"/>
          <w:szCs w:val="24"/>
        </w:rPr>
        <w:t>s who must be given an enclave</w:t>
      </w:r>
      <w:r w:rsidR="00BE0FC4" w:rsidRPr="00F669AB">
        <w:rPr>
          <w:rFonts w:ascii="Arial" w:hAnsi="Arial" w:cs="Arial"/>
          <w:sz w:val="24"/>
          <w:szCs w:val="24"/>
        </w:rPr>
        <w:t xml:space="preserve"> or</w:t>
      </w:r>
      <w:r w:rsidR="00CD7BC8" w:rsidRPr="00F669AB">
        <w:rPr>
          <w:rFonts w:ascii="Arial" w:hAnsi="Arial" w:cs="Arial"/>
          <w:sz w:val="24"/>
          <w:szCs w:val="24"/>
        </w:rPr>
        <w:t xml:space="preserve"> reservation of interest in </w:t>
      </w:r>
      <w:r w:rsidR="00BE0FC4" w:rsidRPr="00F669AB">
        <w:rPr>
          <w:rFonts w:ascii="Arial" w:hAnsi="Arial" w:cs="Arial"/>
          <w:sz w:val="24"/>
          <w:szCs w:val="24"/>
        </w:rPr>
        <w:t>council</w:t>
      </w:r>
      <w:r w:rsidR="00CD7BC8" w:rsidRPr="00F669AB">
        <w:rPr>
          <w:rFonts w:ascii="Arial" w:hAnsi="Arial" w:cs="Arial"/>
          <w:sz w:val="24"/>
          <w:szCs w:val="24"/>
        </w:rPr>
        <w:t>s</w:t>
      </w:r>
      <w:r w:rsidR="00385F85" w:rsidRPr="00F669AB">
        <w:rPr>
          <w:rFonts w:ascii="Arial" w:hAnsi="Arial" w:cs="Arial"/>
          <w:sz w:val="24"/>
          <w:szCs w:val="24"/>
        </w:rPr>
        <w:t>. This</w:t>
      </w:r>
      <w:r w:rsidR="001025CD" w:rsidRPr="00F669AB">
        <w:rPr>
          <w:rFonts w:ascii="Arial" w:hAnsi="Arial" w:cs="Arial"/>
          <w:sz w:val="24"/>
          <w:szCs w:val="24"/>
        </w:rPr>
        <w:t xml:space="preserve"> is because, proceeded the argument, firstly</w:t>
      </w:r>
      <w:r w:rsidR="00CA0907" w:rsidRPr="00F669AB">
        <w:rPr>
          <w:rFonts w:ascii="Arial" w:hAnsi="Arial" w:cs="Arial"/>
          <w:sz w:val="24"/>
          <w:szCs w:val="24"/>
        </w:rPr>
        <w:t>,</w:t>
      </w:r>
      <w:r w:rsidR="001025CD" w:rsidRPr="00F669AB">
        <w:rPr>
          <w:rFonts w:ascii="Arial" w:hAnsi="Arial" w:cs="Arial"/>
          <w:sz w:val="24"/>
          <w:szCs w:val="24"/>
        </w:rPr>
        <w:t xml:space="preserve"> t</w:t>
      </w:r>
      <w:r w:rsidR="00385F85" w:rsidRPr="00F669AB">
        <w:rPr>
          <w:rFonts w:ascii="Arial" w:hAnsi="Arial" w:cs="Arial"/>
          <w:sz w:val="24"/>
          <w:szCs w:val="24"/>
        </w:rPr>
        <w:t>he political p</w:t>
      </w:r>
      <w:r w:rsidR="001025CD" w:rsidRPr="00F669AB">
        <w:rPr>
          <w:rFonts w:ascii="Arial" w:hAnsi="Arial" w:cs="Arial"/>
          <w:sz w:val="24"/>
          <w:szCs w:val="24"/>
        </w:rPr>
        <w:t xml:space="preserve">arties </w:t>
      </w:r>
      <w:r w:rsidR="00385F85" w:rsidRPr="00F669AB">
        <w:rPr>
          <w:rFonts w:ascii="Arial" w:hAnsi="Arial" w:cs="Arial"/>
          <w:sz w:val="24"/>
          <w:szCs w:val="24"/>
        </w:rPr>
        <w:t>are already partly accorded proportional representation at local level through s 22 read with Part 3 of Schedule</w:t>
      </w:r>
      <w:r w:rsidR="00CA0907" w:rsidRPr="00F669AB">
        <w:rPr>
          <w:rFonts w:ascii="Arial" w:hAnsi="Arial" w:cs="Arial"/>
          <w:sz w:val="24"/>
          <w:szCs w:val="24"/>
        </w:rPr>
        <w:t xml:space="preserve"> </w:t>
      </w:r>
      <w:r w:rsidR="00385F85" w:rsidRPr="00F669AB">
        <w:rPr>
          <w:rFonts w:ascii="Arial" w:hAnsi="Arial" w:cs="Arial"/>
          <w:sz w:val="24"/>
          <w:szCs w:val="24"/>
        </w:rPr>
        <w:t>1 to the Structures Act, that is</w:t>
      </w:r>
      <w:r w:rsidR="00CA0907" w:rsidRPr="00F669AB">
        <w:rPr>
          <w:rFonts w:ascii="Arial" w:hAnsi="Arial" w:cs="Arial"/>
          <w:sz w:val="24"/>
          <w:szCs w:val="24"/>
        </w:rPr>
        <w:t>,</w:t>
      </w:r>
      <w:r w:rsidR="00385F85" w:rsidRPr="00F669AB">
        <w:rPr>
          <w:rFonts w:ascii="Arial" w:hAnsi="Arial" w:cs="Arial"/>
          <w:sz w:val="24"/>
          <w:szCs w:val="24"/>
        </w:rPr>
        <w:t xml:space="preserve"> between the party representatives and ward or independent councillors.</w:t>
      </w:r>
      <w:r w:rsidR="001025CD" w:rsidRPr="00F669AB">
        <w:rPr>
          <w:rFonts w:ascii="Arial" w:hAnsi="Arial" w:cs="Arial"/>
          <w:sz w:val="24"/>
          <w:szCs w:val="24"/>
        </w:rPr>
        <w:t xml:space="preserve"> Secondly, political parties are already partly accorded proportional representation through s 23(1)</w:t>
      </w:r>
      <w:r w:rsidR="001025CD" w:rsidRPr="00F669AB">
        <w:rPr>
          <w:rFonts w:ascii="Arial" w:hAnsi="Arial" w:cs="Arial"/>
          <w:i/>
          <w:sz w:val="24"/>
          <w:szCs w:val="24"/>
        </w:rPr>
        <w:t>(a)</w:t>
      </w:r>
      <w:r w:rsidR="001025CD" w:rsidRPr="00F669AB">
        <w:rPr>
          <w:rFonts w:ascii="Arial" w:hAnsi="Arial" w:cs="Arial"/>
          <w:sz w:val="24"/>
          <w:szCs w:val="24"/>
        </w:rPr>
        <w:t xml:space="preserve"> read with Part 1 of Schedule 2 </w:t>
      </w:r>
      <w:r w:rsidR="00CA0907" w:rsidRPr="00F669AB">
        <w:rPr>
          <w:rFonts w:ascii="Arial" w:hAnsi="Arial" w:cs="Arial"/>
          <w:sz w:val="24"/>
          <w:szCs w:val="24"/>
        </w:rPr>
        <w:t>to</w:t>
      </w:r>
      <w:r w:rsidR="001025CD" w:rsidRPr="00F669AB">
        <w:rPr>
          <w:rFonts w:ascii="Arial" w:hAnsi="Arial" w:cs="Arial"/>
          <w:sz w:val="24"/>
          <w:szCs w:val="24"/>
        </w:rPr>
        <w:t xml:space="preserve"> the Structures Act, through council</w:t>
      </w:r>
      <w:r w:rsidR="00A45DEC" w:rsidRPr="00F669AB">
        <w:rPr>
          <w:rFonts w:ascii="Arial" w:hAnsi="Arial" w:cs="Arial"/>
          <w:sz w:val="24"/>
          <w:szCs w:val="24"/>
        </w:rPr>
        <w:t>l</w:t>
      </w:r>
      <w:r w:rsidR="00E77D87" w:rsidRPr="00F669AB">
        <w:rPr>
          <w:rFonts w:ascii="Arial" w:hAnsi="Arial" w:cs="Arial"/>
          <w:sz w:val="24"/>
          <w:szCs w:val="24"/>
        </w:rPr>
        <w:t xml:space="preserve">ors directly </w:t>
      </w:r>
      <w:r w:rsidR="001025CD" w:rsidRPr="00F669AB">
        <w:rPr>
          <w:rFonts w:ascii="Arial" w:hAnsi="Arial" w:cs="Arial"/>
          <w:sz w:val="24"/>
          <w:szCs w:val="24"/>
        </w:rPr>
        <w:t>elected to represent political parties at district council level.</w:t>
      </w:r>
    </w:p>
    <w:p w14:paraId="348B69DD" w14:textId="3943A334" w:rsidR="00772102" w:rsidRPr="00512F52" w:rsidRDefault="00772102" w:rsidP="00772102">
      <w:pPr>
        <w:pStyle w:val="ListParagraph"/>
        <w:spacing w:after="0" w:line="360" w:lineRule="auto"/>
        <w:ind w:left="0"/>
        <w:jc w:val="both"/>
        <w:rPr>
          <w:rFonts w:ascii="Arial" w:hAnsi="Arial" w:cs="Arial"/>
          <w:sz w:val="24"/>
          <w:szCs w:val="24"/>
        </w:rPr>
      </w:pPr>
    </w:p>
    <w:p w14:paraId="186918C8" w14:textId="532C2D23"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[56]</w:t>
      </w:r>
      <w:r w:rsidRPr="00512F52">
        <w:rPr>
          <w:rFonts w:ascii="Arial" w:hAnsi="Arial" w:cs="Arial"/>
          <w:sz w:val="24"/>
          <w:szCs w:val="24"/>
        </w:rPr>
        <w:tab/>
      </w:r>
      <w:r w:rsidR="00CD7BC8" w:rsidRPr="00F669AB">
        <w:rPr>
          <w:rFonts w:ascii="Arial" w:hAnsi="Arial" w:cs="Arial"/>
          <w:sz w:val="24"/>
          <w:szCs w:val="24"/>
        </w:rPr>
        <w:t xml:space="preserve">In developing his argument counsel </w:t>
      </w:r>
      <w:r w:rsidR="00450E72" w:rsidRPr="00F669AB">
        <w:rPr>
          <w:rFonts w:ascii="Arial" w:hAnsi="Arial" w:cs="Arial"/>
          <w:sz w:val="24"/>
          <w:szCs w:val="24"/>
        </w:rPr>
        <w:t xml:space="preserve">submitted that </w:t>
      </w:r>
      <w:r w:rsidR="00CA0907" w:rsidRPr="00F669AB">
        <w:rPr>
          <w:rFonts w:ascii="Arial" w:hAnsi="Arial" w:cs="Arial"/>
          <w:sz w:val="24"/>
          <w:szCs w:val="24"/>
        </w:rPr>
        <w:t>in the</w:t>
      </w:r>
      <w:r w:rsidR="00450E72" w:rsidRPr="00F669AB">
        <w:rPr>
          <w:rFonts w:ascii="Arial" w:hAnsi="Arial" w:cs="Arial"/>
          <w:sz w:val="24"/>
          <w:szCs w:val="24"/>
        </w:rPr>
        <w:t xml:space="preserve"> local government sphere, the Constitution envisages a mixed electoral system that is based on constituency representation (ward counci</w:t>
      </w:r>
      <w:r w:rsidR="000F11EB" w:rsidRPr="00F669AB">
        <w:rPr>
          <w:rFonts w:ascii="Arial" w:hAnsi="Arial" w:cs="Arial"/>
          <w:sz w:val="24"/>
          <w:szCs w:val="24"/>
        </w:rPr>
        <w:t>l</w:t>
      </w:r>
      <w:r w:rsidR="00450E72" w:rsidRPr="00F669AB">
        <w:rPr>
          <w:rFonts w:ascii="Arial" w:hAnsi="Arial" w:cs="Arial"/>
          <w:sz w:val="24"/>
          <w:szCs w:val="24"/>
        </w:rPr>
        <w:t>lors) and party proportional representation. He emphasised that this case concerns</w:t>
      </w:r>
      <w:r w:rsidR="00D2265F" w:rsidRPr="00F669AB">
        <w:rPr>
          <w:rFonts w:ascii="Arial" w:hAnsi="Arial" w:cs="Arial"/>
          <w:sz w:val="24"/>
          <w:szCs w:val="24"/>
        </w:rPr>
        <w:t xml:space="preserve"> a mixed electoral system that is not dependent solely on political party representation.</w:t>
      </w:r>
      <w:r w:rsidR="00E77D87" w:rsidRPr="00F669AB">
        <w:rPr>
          <w:rFonts w:ascii="Arial" w:hAnsi="Arial" w:cs="Arial"/>
          <w:sz w:val="24"/>
          <w:szCs w:val="24"/>
        </w:rPr>
        <w:t xml:space="preserve"> He rejected the Commission’s argument that where a party chooses not to participate in a local council’s election, it is deciding not to send its share of councillors to the district council</w:t>
      </w:r>
      <w:r w:rsidR="00CA0907" w:rsidRPr="00F669AB">
        <w:rPr>
          <w:rFonts w:ascii="Arial" w:hAnsi="Arial" w:cs="Arial"/>
          <w:sz w:val="24"/>
          <w:szCs w:val="24"/>
        </w:rPr>
        <w:t>,</w:t>
      </w:r>
      <w:r w:rsidR="00E77D87" w:rsidRPr="00F669AB">
        <w:rPr>
          <w:rFonts w:ascii="Arial" w:hAnsi="Arial" w:cs="Arial"/>
          <w:sz w:val="24"/>
          <w:szCs w:val="24"/>
        </w:rPr>
        <w:t xml:space="preserve"> and that there is no reason why its choice should provide a windfall of seats to its political opponents that is disproportionate to their support among the citizens of the local municipality. He argued that the Commission’s </w:t>
      </w:r>
      <w:r w:rsidR="00DA330F" w:rsidRPr="00F669AB">
        <w:rPr>
          <w:rFonts w:ascii="Arial" w:hAnsi="Arial" w:cs="Arial"/>
          <w:sz w:val="24"/>
          <w:szCs w:val="24"/>
        </w:rPr>
        <w:t>interpretation seeks to achieve a preservation of political party interest at the district level</w:t>
      </w:r>
      <w:r w:rsidR="00CA0907" w:rsidRPr="00F669AB">
        <w:rPr>
          <w:rFonts w:ascii="Arial" w:hAnsi="Arial" w:cs="Arial"/>
          <w:sz w:val="24"/>
          <w:szCs w:val="24"/>
        </w:rPr>
        <w:t>,</w:t>
      </w:r>
      <w:r w:rsidR="00DA330F" w:rsidRPr="00F669AB">
        <w:rPr>
          <w:rFonts w:ascii="Arial" w:hAnsi="Arial" w:cs="Arial"/>
          <w:sz w:val="24"/>
          <w:szCs w:val="24"/>
        </w:rPr>
        <w:t xml:space="preserve"> which is something that is not consonant w</w:t>
      </w:r>
      <w:r w:rsidR="000B39F9" w:rsidRPr="00F669AB">
        <w:rPr>
          <w:rFonts w:ascii="Arial" w:hAnsi="Arial" w:cs="Arial"/>
          <w:sz w:val="24"/>
          <w:szCs w:val="24"/>
        </w:rPr>
        <w:t>ith a scheme designed by</w:t>
      </w:r>
      <w:r w:rsidR="00DA330F" w:rsidRPr="00F669AB">
        <w:rPr>
          <w:rFonts w:ascii="Arial" w:hAnsi="Arial" w:cs="Arial"/>
          <w:sz w:val="24"/>
          <w:szCs w:val="24"/>
        </w:rPr>
        <w:t xml:space="preserve"> s 157(3) of the Constitution and the Structures Act.</w:t>
      </w:r>
    </w:p>
    <w:p w14:paraId="4CCE78E5" w14:textId="77777777" w:rsidR="00772102" w:rsidRPr="00512F52" w:rsidRDefault="00772102" w:rsidP="00772102">
      <w:pPr>
        <w:pStyle w:val="ListParagraph"/>
        <w:spacing w:after="0" w:line="360" w:lineRule="auto"/>
        <w:jc w:val="both"/>
        <w:rPr>
          <w:rFonts w:ascii="Arial" w:hAnsi="Arial" w:cs="Arial"/>
          <w:sz w:val="24"/>
          <w:szCs w:val="24"/>
        </w:rPr>
      </w:pPr>
    </w:p>
    <w:p w14:paraId="277C0E30" w14:textId="3320B540" w:rsidR="000B39F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[57]</w:t>
      </w:r>
      <w:r w:rsidRPr="00512F52">
        <w:rPr>
          <w:rFonts w:ascii="Arial" w:hAnsi="Arial" w:cs="Arial"/>
          <w:sz w:val="24"/>
          <w:szCs w:val="24"/>
        </w:rPr>
        <w:tab/>
      </w:r>
      <w:r w:rsidR="000B39F9" w:rsidRPr="00F669AB">
        <w:rPr>
          <w:rFonts w:ascii="Arial" w:hAnsi="Arial" w:cs="Arial"/>
          <w:sz w:val="24"/>
          <w:szCs w:val="24"/>
        </w:rPr>
        <w:t xml:space="preserve">He argued that the interpretation of s 157(3) of the Constitution that places an emphasis on the protection of the political parties was </w:t>
      </w:r>
      <w:r w:rsidR="000B39F9" w:rsidRPr="00F669AB">
        <w:rPr>
          <w:rFonts w:ascii="Arial" w:hAnsi="Arial" w:cs="Arial"/>
          <w:i/>
          <w:sz w:val="24"/>
          <w:szCs w:val="24"/>
        </w:rPr>
        <w:t xml:space="preserve">rejected </w:t>
      </w:r>
      <w:r w:rsidR="000B39F9" w:rsidRPr="00F669AB">
        <w:rPr>
          <w:rFonts w:ascii="Arial" w:hAnsi="Arial" w:cs="Arial"/>
          <w:sz w:val="24"/>
          <w:szCs w:val="24"/>
        </w:rPr>
        <w:t>by Madlanga J in</w:t>
      </w:r>
      <w:r w:rsidR="000B39F9" w:rsidRPr="00F669AB">
        <w:rPr>
          <w:rFonts w:ascii="Arial" w:hAnsi="Arial" w:cs="Arial"/>
          <w:i/>
          <w:sz w:val="24"/>
          <w:szCs w:val="24"/>
        </w:rPr>
        <w:t xml:space="preserve"> New Nation Movement NPC and Others v President of the Republic of South Africa and Others</w:t>
      </w:r>
      <w:r w:rsidR="00CA0907" w:rsidRPr="00F669AB">
        <w:rPr>
          <w:rFonts w:ascii="Arial" w:hAnsi="Arial" w:cs="Arial"/>
          <w:sz w:val="24"/>
          <w:szCs w:val="24"/>
        </w:rPr>
        <w:t>.</w:t>
      </w:r>
      <w:r w:rsidR="00CA0907" w:rsidRPr="00512F52">
        <w:rPr>
          <w:rStyle w:val="FootnoteReference"/>
          <w:rFonts w:ascii="Arial" w:hAnsi="Arial" w:cs="Arial"/>
          <w:sz w:val="24"/>
          <w:szCs w:val="24"/>
        </w:rPr>
        <w:footnoteReference w:id="23"/>
      </w:r>
      <w:r w:rsidR="000B39F9" w:rsidRPr="00F669AB">
        <w:rPr>
          <w:rFonts w:ascii="Arial" w:hAnsi="Arial" w:cs="Arial"/>
          <w:i/>
          <w:sz w:val="24"/>
          <w:szCs w:val="24"/>
        </w:rPr>
        <w:t xml:space="preserve"> </w:t>
      </w:r>
      <w:r w:rsidR="000B39F9" w:rsidRPr="00F669AB">
        <w:rPr>
          <w:rFonts w:ascii="Arial" w:hAnsi="Arial" w:cs="Arial"/>
          <w:sz w:val="24"/>
          <w:szCs w:val="24"/>
        </w:rPr>
        <w:t>Madlanga J had this to say at para 80:</w:t>
      </w:r>
    </w:p>
    <w:p w14:paraId="1C3E42A9" w14:textId="2B8DB6F6" w:rsidR="000B39F9" w:rsidRPr="00512F52" w:rsidRDefault="009561B8" w:rsidP="00772102">
      <w:pPr>
        <w:spacing w:after="0" w:line="360" w:lineRule="auto"/>
        <w:jc w:val="both"/>
        <w:rPr>
          <w:rFonts w:ascii="Arial" w:hAnsi="Arial" w:cs="Arial"/>
        </w:rPr>
      </w:pPr>
      <w:r w:rsidRPr="00512F52">
        <w:rPr>
          <w:rFonts w:ascii="Arial" w:hAnsi="Arial" w:cs="Arial"/>
        </w:rPr>
        <w:t xml:space="preserve">‘Section 157(3) then requires that an electoral system under section 157(2) (meaning either exclusively party based or comprising a combination of party lists and ward representation) “must </w:t>
      </w:r>
      <w:r w:rsidRPr="00512F52">
        <w:rPr>
          <w:rFonts w:ascii="Arial" w:hAnsi="Arial" w:cs="Arial"/>
        </w:rPr>
        <w:lastRenderedPageBreak/>
        <w:t>result, in general, in proportional representation”. This is the clearest possible statement that dispels the notion that proportional representation is consonant only with representation through political parties. So, the reference in sections 46(1)(d) and 105(1)(d) to “results, in general, in proportional representation” does not assist the interpretation advanced by the respondents.’</w:t>
      </w:r>
    </w:p>
    <w:p w14:paraId="275BDC15" w14:textId="0A16DC56" w:rsidR="00150A14" w:rsidRPr="00512F52" w:rsidRDefault="00150A14" w:rsidP="00772102">
      <w:pPr>
        <w:spacing w:after="0" w:line="360" w:lineRule="auto"/>
        <w:jc w:val="both"/>
        <w:rPr>
          <w:rFonts w:ascii="Arial" w:hAnsi="Arial" w:cs="Arial"/>
          <w:sz w:val="24"/>
          <w:szCs w:val="24"/>
        </w:rPr>
      </w:pPr>
    </w:p>
    <w:p w14:paraId="2A0F8664" w14:textId="47168282" w:rsidR="00150A14"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[58]</w:t>
      </w:r>
      <w:r w:rsidRPr="00512F52">
        <w:rPr>
          <w:rFonts w:ascii="Arial" w:hAnsi="Arial" w:cs="Arial"/>
          <w:sz w:val="24"/>
          <w:szCs w:val="24"/>
        </w:rPr>
        <w:tab/>
      </w:r>
      <w:r w:rsidR="00150A14" w:rsidRPr="00F669AB">
        <w:rPr>
          <w:rFonts w:ascii="Arial" w:hAnsi="Arial" w:cs="Arial"/>
          <w:sz w:val="24"/>
          <w:szCs w:val="24"/>
        </w:rPr>
        <w:t xml:space="preserve">Counsel submitted that following the Constitutional Court judgment in </w:t>
      </w:r>
      <w:r w:rsidR="00150A14" w:rsidRPr="00F669AB">
        <w:rPr>
          <w:rFonts w:ascii="Arial" w:hAnsi="Arial" w:cs="Arial"/>
          <w:i/>
          <w:sz w:val="24"/>
          <w:szCs w:val="24"/>
        </w:rPr>
        <w:t>New Nation Movement</w:t>
      </w:r>
      <w:r w:rsidR="003919DF" w:rsidRPr="00F669AB">
        <w:rPr>
          <w:rFonts w:ascii="Arial" w:hAnsi="Arial" w:cs="Arial"/>
          <w:sz w:val="24"/>
          <w:szCs w:val="24"/>
        </w:rPr>
        <w:t>,</w:t>
      </w:r>
      <w:r w:rsidR="00150A14" w:rsidRPr="00F669AB">
        <w:rPr>
          <w:rFonts w:ascii="Arial" w:hAnsi="Arial" w:cs="Arial"/>
          <w:sz w:val="24"/>
          <w:szCs w:val="24"/>
        </w:rPr>
        <w:t xml:space="preserve"> the </w:t>
      </w:r>
      <w:r w:rsidR="00AE12DB" w:rsidRPr="00F669AB">
        <w:rPr>
          <w:rFonts w:ascii="Arial" w:hAnsi="Arial" w:cs="Arial"/>
          <w:sz w:val="24"/>
          <w:szCs w:val="24"/>
        </w:rPr>
        <w:t>focus</w:t>
      </w:r>
      <w:r w:rsidR="00150A14" w:rsidRPr="00F669AB">
        <w:rPr>
          <w:rFonts w:ascii="Arial" w:hAnsi="Arial" w:cs="Arial"/>
          <w:sz w:val="24"/>
          <w:szCs w:val="24"/>
        </w:rPr>
        <w:t xml:space="preserve"> has now shifted from political parties to the right of the citizens to participate in political activities. In support of this proposition he referred </w:t>
      </w:r>
      <w:r w:rsidR="00364549" w:rsidRPr="00F669AB">
        <w:rPr>
          <w:rFonts w:ascii="Arial" w:hAnsi="Arial" w:cs="Arial"/>
          <w:sz w:val="24"/>
          <w:szCs w:val="24"/>
        </w:rPr>
        <w:t>to paras 158</w:t>
      </w:r>
      <w:r w:rsidR="00150A14" w:rsidRPr="00F669AB">
        <w:rPr>
          <w:rFonts w:ascii="Arial" w:hAnsi="Arial" w:cs="Arial"/>
          <w:sz w:val="24"/>
          <w:szCs w:val="24"/>
        </w:rPr>
        <w:t xml:space="preserve"> </w:t>
      </w:r>
      <w:r w:rsidR="00364549" w:rsidRPr="00F669AB">
        <w:rPr>
          <w:rFonts w:ascii="Arial" w:hAnsi="Arial" w:cs="Arial"/>
          <w:sz w:val="24"/>
          <w:szCs w:val="24"/>
        </w:rPr>
        <w:t xml:space="preserve">and 159 </w:t>
      </w:r>
      <w:r w:rsidR="00150A14" w:rsidRPr="00F669AB">
        <w:rPr>
          <w:rFonts w:ascii="Arial" w:hAnsi="Arial" w:cs="Arial"/>
          <w:sz w:val="24"/>
          <w:szCs w:val="24"/>
        </w:rPr>
        <w:t>of the judgment</w:t>
      </w:r>
      <w:r w:rsidR="003919DF" w:rsidRPr="00F669AB">
        <w:rPr>
          <w:rFonts w:ascii="Arial" w:hAnsi="Arial" w:cs="Arial"/>
          <w:sz w:val="24"/>
          <w:szCs w:val="24"/>
        </w:rPr>
        <w:t>,</w:t>
      </w:r>
      <w:r w:rsidR="00150A14" w:rsidRPr="00F669AB">
        <w:rPr>
          <w:rFonts w:ascii="Arial" w:hAnsi="Arial" w:cs="Arial"/>
          <w:sz w:val="24"/>
          <w:szCs w:val="24"/>
        </w:rPr>
        <w:t xml:space="preserve"> in</w:t>
      </w:r>
      <w:r w:rsidR="00364549" w:rsidRPr="00F669AB">
        <w:rPr>
          <w:rFonts w:ascii="Arial" w:hAnsi="Arial" w:cs="Arial"/>
          <w:sz w:val="24"/>
          <w:szCs w:val="24"/>
        </w:rPr>
        <w:t xml:space="preserve"> which</w:t>
      </w:r>
      <w:r w:rsidR="00150A14" w:rsidRPr="00F669AB">
        <w:rPr>
          <w:rFonts w:ascii="Arial" w:hAnsi="Arial" w:cs="Arial"/>
          <w:sz w:val="24"/>
          <w:szCs w:val="24"/>
        </w:rPr>
        <w:t xml:space="preserve"> Jafta J</w:t>
      </w:r>
      <w:r w:rsidR="00364549" w:rsidRPr="00F669AB">
        <w:rPr>
          <w:rFonts w:ascii="Arial" w:hAnsi="Arial" w:cs="Arial"/>
          <w:sz w:val="24"/>
          <w:szCs w:val="24"/>
        </w:rPr>
        <w:t xml:space="preserve"> stated:</w:t>
      </w:r>
    </w:p>
    <w:p w14:paraId="39D16D28" w14:textId="66458657" w:rsidR="00364549" w:rsidRPr="00512F52" w:rsidRDefault="00DD0DBB" w:rsidP="00772102">
      <w:pPr>
        <w:spacing w:after="0" w:line="360" w:lineRule="auto"/>
        <w:jc w:val="both"/>
        <w:rPr>
          <w:rFonts w:ascii="Arial" w:hAnsi="Arial" w:cs="Arial"/>
        </w:rPr>
      </w:pPr>
      <w:r w:rsidRPr="00512F52">
        <w:rPr>
          <w:rFonts w:ascii="Arial" w:hAnsi="Arial" w:cs="Arial"/>
        </w:rPr>
        <w:t>‘When political parties contest elections, they do not do so at the behest of citizens. And citizens who are not members of the party cannot demand to be nominated by it. Even those who are members cannot all be nominated despite their wish to hold public office. The nomination of candidates is left to the whims of the political party concerned. This is inimical to the exercise of rights so fundamental to our democracy. Section 19(3)(b) entitles every adult South African who wishes to do so, to contest elections and if elected to hold public office.</w:t>
      </w:r>
    </w:p>
    <w:p w14:paraId="7C2AD77F" w14:textId="56BF485D" w:rsidR="00DD0DBB" w:rsidRPr="00512F52" w:rsidRDefault="00DD0DBB" w:rsidP="003919DF">
      <w:pPr>
        <w:spacing w:after="0" w:line="360" w:lineRule="auto"/>
        <w:jc w:val="both"/>
        <w:rPr>
          <w:rFonts w:ascii="Arial" w:hAnsi="Arial" w:cs="Arial"/>
        </w:rPr>
      </w:pPr>
      <w:r w:rsidRPr="00512F52">
        <w:rPr>
          <w:rFonts w:ascii="Arial" w:hAnsi="Arial" w:cs="Arial"/>
        </w:rPr>
        <w:t>The exercise of these important rights is not within the gift of political parties which may choose who gets to enjoy the right to hold office. Political parties may justifiably do that where they have contested elections in their own right. If they win, it is proper for them to nominate their own representatives in the National Assembly or Provincial Legislatures.’</w:t>
      </w:r>
    </w:p>
    <w:p w14:paraId="341EA222" w14:textId="3E51EEFA" w:rsidR="00BE0FC4" w:rsidRPr="00512F52" w:rsidRDefault="00BE0FC4" w:rsidP="00772102">
      <w:pPr>
        <w:spacing w:after="0" w:line="360" w:lineRule="auto"/>
        <w:jc w:val="both"/>
        <w:rPr>
          <w:rFonts w:ascii="Arial" w:hAnsi="Arial" w:cs="Arial"/>
          <w:sz w:val="24"/>
          <w:szCs w:val="24"/>
        </w:rPr>
      </w:pPr>
    </w:p>
    <w:p w14:paraId="43EEB0D0" w14:textId="7F74623D" w:rsidR="00154DF4"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[59]</w:t>
      </w:r>
      <w:r w:rsidRPr="00512F52">
        <w:rPr>
          <w:rFonts w:ascii="Arial" w:hAnsi="Arial" w:cs="Arial"/>
          <w:sz w:val="24"/>
          <w:szCs w:val="24"/>
        </w:rPr>
        <w:tab/>
      </w:r>
      <w:r w:rsidR="00AE12DB" w:rsidRPr="00F669AB">
        <w:rPr>
          <w:rFonts w:ascii="Arial" w:hAnsi="Arial" w:cs="Arial"/>
          <w:sz w:val="24"/>
          <w:szCs w:val="24"/>
        </w:rPr>
        <w:t>C</w:t>
      </w:r>
      <w:r w:rsidR="00786042" w:rsidRPr="00F669AB">
        <w:rPr>
          <w:rFonts w:ascii="Arial" w:hAnsi="Arial" w:cs="Arial"/>
          <w:sz w:val="24"/>
          <w:szCs w:val="24"/>
        </w:rPr>
        <w:t>ounsel submitted</w:t>
      </w:r>
      <w:r w:rsidR="005D51A3" w:rsidRPr="00F669AB">
        <w:rPr>
          <w:rFonts w:ascii="Arial" w:hAnsi="Arial" w:cs="Arial"/>
          <w:sz w:val="24"/>
          <w:szCs w:val="24"/>
        </w:rPr>
        <w:t xml:space="preserve"> </w:t>
      </w:r>
      <w:r w:rsidR="00546384" w:rsidRPr="00F669AB">
        <w:rPr>
          <w:rFonts w:ascii="Arial" w:hAnsi="Arial" w:cs="Arial"/>
          <w:sz w:val="24"/>
          <w:szCs w:val="24"/>
        </w:rPr>
        <w:t>that the Structures Act</w:t>
      </w:r>
      <w:r w:rsidR="00450E72" w:rsidRPr="00F669AB">
        <w:rPr>
          <w:rFonts w:ascii="Arial" w:hAnsi="Arial" w:cs="Arial"/>
          <w:sz w:val="24"/>
          <w:szCs w:val="24"/>
        </w:rPr>
        <w:t xml:space="preserve"> – a national legislation envisaged in s 157(1)</w:t>
      </w:r>
      <w:r w:rsidR="00450E72" w:rsidRPr="00F669AB">
        <w:rPr>
          <w:rFonts w:ascii="Arial" w:hAnsi="Arial" w:cs="Arial"/>
          <w:i/>
          <w:sz w:val="24"/>
          <w:szCs w:val="24"/>
        </w:rPr>
        <w:t>(b)</w:t>
      </w:r>
      <w:r w:rsidR="00450E72" w:rsidRPr="00F669AB">
        <w:rPr>
          <w:rFonts w:ascii="Arial" w:hAnsi="Arial" w:cs="Arial"/>
          <w:sz w:val="24"/>
          <w:szCs w:val="24"/>
        </w:rPr>
        <w:t xml:space="preserve"> </w:t>
      </w:r>
      <w:r w:rsidR="003919DF" w:rsidRPr="00F669AB">
        <w:rPr>
          <w:rFonts w:ascii="Arial" w:hAnsi="Arial" w:cs="Arial"/>
          <w:sz w:val="24"/>
          <w:szCs w:val="24"/>
        </w:rPr>
        <w:t xml:space="preserve">of the Constitution – </w:t>
      </w:r>
      <w:r w:rsidR="00546384" w:rsidRPr="00F669AB">
        <w:rPr>
          <w:rFonts w:ascii="Arial" w:hAnsi="Arial" w:cs="Arial"/>
          <w:sz w:val="24"/>
          <w:szCs w:val="24"/>
        </w:rPr>
        <w:t xml:space="preserve">enacted ss 22 and 23 to respond to what s 157 mandated. He stated that the </w:t>
      </w:r>
      <w:r w:rsidR="003919DF" w:rsidRPr="00F669AB">
        <w:rPr>
          <w:rFonts w:ascii="Arial" w:hAnsi="Arial" w:cs="Arial"/>
          <w:sz w:val="24"/>
          <w:szCs w:val="24"/>
        </w:rPr>
        <w:t>L</w:t>
      </w:r>
      <w:r w:rsidR="00546384" w:rsidRPr="00F669AB">
        <w:rPr>
          <w:rFonts w:ascii="Arial" w:hAnsi="Arial" w:cs="Arial"/>
          <w:sz w:val="24"/>
          <w:szCs w:val="24"/>
        </w:rPr>
        <w:t>egislature chose the option in s 157(2)</w:t>
      </w:r>
      <w:r w:rsidR="00546384" w:rsidRPr="00F669AB">
        <w:rPr>
          <w:rFonts w:ascii="Arial" w:hAnsi="Arial" w:cs="Arial"/>
          <w:i/>
          <w:iCs/>
          <w:sz w:val="24"/>
          <w:szCs w:val="24"/>
        </w:rPr>
        <w:t xml:space="preserve">(b) </w:t>
      </w:r>
      <w:r w:rsidR="00546384" w:rsidRPr="00F669AB">
        <w:rPr>
          <w:rFonts w:ascii="Arial" w:hAnsi="Arial" w:cs="Arial"/>
          <w:sz w:val="24"/>
          <w:szCs w:val="24"/>
        </w:rPr>
        <w:t xml:space="preserve">to have a mixed electoral system at local government level deliberately. He argued </w:t>
      </w:r>
      <w:r w:rsidR="00145BE5" w:rsidRPr="00F669AB">
        <w:rPr>
          <w:rFonts w:ascii="Arial" w:hAnsi="Arial" w:cs="Arial"/>
          <w:sz w:val="24"/>
          <w:szCs w:val="24"/>
        </w:rPr>
        <w:t>that at district level, s 23(1) of the Structures Act draws a distinction between two forms of representation</w:t>
      </w:r>
      <w:r w:rsidR="00254C88" w:rsidRPr="00F669AB">
        <w:rPr>
          <w:rFonts w:ascii="Arial" w:hAnsi="Arial" w:cs="Arial"/>
          <w:sz w:val="24"/>
          <w:szCs w:val="24"/>
        </w:rPr>
        <w:t>,</w:t>
      </w:r>
      <w:r w:rsidR="00C669DE" w:rsidRPr="00F669AB">
        <w:rPr>
          <w:rFonts w:ascii="Arial" w:hAnsi="Arial" w:cs="Arial"/>
          <w:sz w:val="24"/>
          <w:szCs w:val="24"/>
        </w:rPr>
        <w:t xml:space="preserve"> namely</w:t>
      </w:r>
      <w:r w:rsidR="00145BE5" w:rsidRPr="00F669AB">
        <w:rPr>
          <w:rFonts w:ascii="Arial" w:hAnsi="Arial" w:cs="Arial"/>
          <w:sz w:val="24"/>
          <w:szCs w:val="24"/>
        </w:rPr>
        <w:t xml:space="preserve">, proportional representation, </w:t>
      </w:r>
      <w:r w:rsidR="00C669DE" w:rsidRPr="00F669AB">
        <w:rPr>
          <w:rFonts w:ascii="Arial" w:hAnsi="Arial" w:cs="Arial"/>
          <w:sz w:val="24"/>
          <w:szCs w:val="24"/>
        </w:rPr>
        <w:t xml:space="preserve">which </w:t>
      </w:r>
      <w:r w:rsidR="00145BE5" w:rsidRPr="00F669AB">
        <w:rPr>
          <w:rFonts w:ascii="Arial" w:hAnsi="Arial" w:cs="Arial"/>
          <w:sz w:val="24"/>
          <w:szCs w:val="24"/>
        </w:rPr>
        <w:t>is provided for in s 23(1)</w:t>
      </w:r>
      <w:r w:rsidR="00145BE5" w:rsidRPr="00F669AB">
        <w:rPr>
          <w:rFonts w:ascii="Arial" w:hAnsi="Arial" w:cs="Arial"/>
          <w:i/>
          <w:iCs/>
          <w:sz w:val="24"/>
          <w:szCs w:val="24"/>
        </w:rPr>
        <w:t>(a)</w:t>
      </w:r>
      <w:r w:rsidR="00C669DE" w:rsidRPr="00F669AB">
        <w:rPr>
          <w:rFonts w:ascii="Arial" w:hAnsi="Arial" w:cs="Arial"/>
          <w:sz w:val="24"/>
          <w:szCs w:val="24"/>
        </w:rPr>
        <w:t xml:space="preserve"> and constituency representation, which</w:t>
      </w:r>
      <w:r w:rsidR="00145BE5" w:rsidRPr="00F669AB">
        <w:rPr>
          <w:rFonts w:ascii="Arial" w:hAnsi="Arial" w:cs="Arial"/>
          <w:sz w:val="24"/>
          <w:szCs w:val="24"/>
        </w:rPr>
        <w:t xml:space="preserve"> is</w:t>
      </w:r>
      <w:r w:rsidR="00C669DE" w:rsidRPr="00F669AB">
        <w:rPr>
          <w:rFonts w:ascii="Arial" w:hAnsi="Arial" w:cs="Arial"/>
          <w:sz w:val="24"/>
          <w:szCs w:val="24"/>
        </w:rPr>
        <w:t xml:space="preserve"> provided for in</w:t>
      </w:r>
      <w:r w:rsidR="00145BE5" w:rsidRPr="00F669AB">
        <w:rPr>
          <w:rFonts w:ascii="Arial" w:hAnsi="Arial" w:cs="Arial"/>
          <w:sz w:val="24"/>
          <w:szCs w:val="24"/>
        </w:rPr>
        <w:t xml:space="preserve"> s 23(1)</w:t>
      </w:r>
      <w:r w:rsidR="00145BE5" w:rsidRPr="00F669AB">
        <w:rPr>
          <w:rFonts w:ascii="Arial" w:hAnsi="Arial" w:cs="Arial"/>
          <w:i/>
          <w:iCs/>
          <w:sz w:val="24"/>
          <w:szCs w:val="24"/>
        </w:rPr>
        <w:t>(b)</w:t>
      </w:r>
      <w:r w:rsidR="00145BE5" w:rsidRPr="00F669AB">
        <w:rPr>
          <w:rFonts w:ascii="Arial" w:hAnsi="Arial" w:cs="Arial"/>
          <w:sz w:val="24"/>
          <w:szCs w:val="24"/>
        </w:rPr>
        <w:t>.</w:t>
      </w:r>
      <w:r w:rsidR="00C669DE" w:rsidRPr="00F669AB">
        <w:rPr>
          <w:rFonts w:ascii="Arial" w:hAnsi="Arial" w:cs="Arial"/>
          <w:sz w:val="24"/>
          <w:szCs w:val="24"/>
        </w:rPr>
        <w:t xml:space="preserve"> </w:t>
      </w:r>
    </w:p>
    <w:p w14:paraId="11751560" w14:textId="77777777" w:rsidR="003919DF" w:rsidRPr="00512F52" w:rsidRDefault="003919DF" w:rsidP="003919DF">
      <w:pPr>
        <w:pStyle w:val="ListParagraph"/>
        <w:spacing w:after="0" w:line="360" w:lineRule="auto"/>
        <w:ind w:left="0"/>
        <w:jc w:val="both"/>
        <w:rPr>
          <w:rFonts w:ascii="Arial" w:hAnsi="Arial" w:cs="Arial"/>
          <w:sz w:val="24"/>
          <w:szCs w:val="24"/>
        </w:rPr>
      </w:pPr>
    </w:p>
    <w:p w14:paraId="6B00CEEB" w14:textId="57EB03D6" w:rsidR="00643DA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[60]</w:t>
      </w:r>
      <w:r w:rsidRPr="00512F52">
        <w:rPr>
          <w:rFonts w:ascii="Arial" w:hAnsi="Arial" w:cs="Arial"/>
          <w:sz w:val="24"/>
          <w:szCs w:val="24"/>
        </w:rPr>
        <w:tab/>
      </w:r>
      <w:r w:rsidR="00643DA2" w:rsidRPr="00F669AB">
        <w:rPr>
          <w:rFonts w:ascii="Arial" w:hAnsi="Arial" w:cs="Arial"/>
          <w:sz w:val="24"/>
          <w:szCs w:val="24"/>
        </w:rPr>
        <w:t>Counsel rejected the Commission’s argument that only seven seats</w:t>
      </w:r>
      <w:r w:rsidR="009466BD" w:rsidRPr="00F669AB">
        <w:rPr>
          <w:rFonts w:ascii="Arial" w:hAnsi="Arial" w:cs="Arial"/>
          <w:sz w:val="24"/>
          <w:szCs w:val="24"/>
        </w:rPr>
        <w:t xml:space="preserve"> should have been</w:t>
      </w:r>
      <w:r w:rsidR="00643DA2" w:rsidRPr="00F669AB">
        <w:rPr>
          <w:rFonts w:ascii="Arial" w:hAnsi="Arial" w:cs="Arial"/>
          <w:sz w:val="24"/>
          <w:szCs w:val="24"/>
        </w:rPr>
        <w:t xml:space="preserve"> allocated because of the absence of the ANC and NFP council</w:t>
      </w:r>
      <w:r w:rsidR="002B7D79" w:rsidRPr="00F669AB">
        <w:rPr>
          <w:rFonts w:ascii="Arial" w:hAnsi="Arial" w:cs="Arial"/>
          <w:sz w:val="24"/>
          <w:szCs w:val="24"/>
        </w:rPr>
        <w:t>l</w:t>
      </w:r>
      <w:r w:rsidR="00643DA2" w:rsidRPr="00F669AB">
        <w:rPr>
          <w:rFonts w:ascii="Arial" w:hAnsi="Arial" w:cs="Arial"/>
          <w:sz w:val="24"/>
          <w:szCs w:val="24"/>
        </w:rPr>
        <w:t>ors and that the three remaining seats should have been left unallocated. He argued that</w:t>
      </w:r>
      <w:r w:rsidR="00A746CB" w:rsidRPr="00F669AB">
        <w:rPr>
          <w:rFonts w:ascii="Arial" w:hAnsi="Arial" w:cs="Arial"/>
          <w:sz w:val="24"/>
          <w:szCs w:val="24"/>
        </w:rPr>
        <w:t xml:space="preserve"> the absence of the 27 ANC council</w:t>
      </w:r>
      <w:r w:rsidR="002B7D79" w:rsidRPr="00F669AB">
        <w:rPr>
          <w:rFonts w:ascii="Arial" w:hAnsi="Arial" w:cs="Arial"/>
          <w:sz w:val="24"/>
          <w:szCs w:val="24"/>
        </w:rPr>
        <w:t>l</w:t>
      </w:r>
      <w:r w:rsidR="00A746CB" w:rsidRPr="00F669AB">
        <w:rPr>
          <w:rFonts w:ascii="Arial" w:hAnsi="Arial" w:cs="Arial"/>
          <w:sz w:val="24"/>
          <w:szCs w:val="24"/>
        </w:rPr>
        <w:t xml:space="preserve">ors at the local council meeting at which the representatives to the </w:t>
      </w:r>
      <w:r w:rsidR="00A746CB" w:rsidRPr="00F669AB">
        <w:rPr>
          <w:rFonts w:ascii="Arial" w:hAnsi="Arial" w:cs="Arial"/>
          <w:sz w:val="24"/>
          <w:szCs w:val="24"/>
        </w:rPr>
        <w:lastRenderedPageBreak/>
        <w:t xml:space="preserve">district </w:t>
      </w:r>
      <w:r w:rsidR="002B7D79" w:rsidRPr="00F669AB">
        <w:rPr>
          <w:rFonts w:ascii="Arial" w:hAnsi="Arial" w:cs="Arial"/>
          <w:sz w:val="24"/>
          <w:szCs w:val="24"/>
        </w:rPr>
        <w:t xml:space="preserve">council </w:t>
      </w:r>
      <w:r w:rsidR="00A746CB" w:rsidRPr="00F669AB">
        <w:rPr>
          <w:rFonts w:ascii="Arial" w:hAnsi="Arial" w:cs="Arial"/>
          <w:sz w:val="24"/>
          <w:szCs w:val="24"/>
        </w:rPr>
        <w:t>were being elected did not result in the Local Council representative having to be restricted to seven seats in the District Council and did not mean that three seats ought to have been left unallocated. He stated that the Local Council was entitled, by law and through the formula determined by the Minister in terms of s 20(1)</w:t>
      </w:r>
      <w:r w:rsidR="00A746CB" w:rsidRPr="00F669AB">
        <w:rPr>
          <w:rFonts w:ascii="Arial" w:hAnsi="Arial" w:cs="Arial"/>
          <w:i/>
          <w:sz w:val="24"/>
          <w:szCs w:val="24"/>
        </w:rPr>
        <w:t>(a)</w:t>
      </w:r>
      <w:r w:rsidR="00A746CB" w:rsidRPr="00F669AB">
        <w:rPr>
          <w:rFonts w:ascii="Arial" w:hAnsi="Arial" w:cs="Arial"/>
          <w:sz w:val="24"/>
          <w:szCs w:val="24"/>
        </w:rPr>
        <w:t xml:space="preserve"> and </w:t>
      </w:r>
      <w:r w:rsidR="00A746CB" w:rsidRPr="00F669AB">
        <w:rPr>
          <w:rFonts w:ascii="Arial" w:hAnsi="Arial" w:cs="Arial"/>
          <w:i/>
          <w:sz w:val="24"/>
          <w:szCs w:val="24"/>
        </w:rPr>
        <w:t>(b)</w:t>
      </w:r>
      <w:r w:rsidR="009466BD" w:rsidRPr="00F669AB">
        <w:rPr>
          <w:rFonts w:ascii="Arial" w:hAnsi="Arial" w:cs="Arial"/>
          <w:sz w:val="24"/>
          <w:szCs w:val="24"/>
        </w:rPr>
        <w:t xml:space="preserve">, to 10 seats in the District </w:t>
      </w:r>
      <w:r w:rsidR="00ED70ED" w:rsidRPr="00F669AB">
        <w:rPr>
          <w:rFonts w:ascii="Arial" w:hAnsi="Arial" w:cs="Arial"/>
          <w:sz w:val="24"/>
          <w:szCs w:val="24"/>
        </w:rPr>
        <w:t>Council</w:t>
      </w:r>
      <w:r w:rsidR="00A746CB" w:rsidRPr="00F669AB">
        <w:rPr>
          <w:rFonts w:ascii="Arial" w:hAnsi="Arial" w:cs="Arial"/>
          <w:sz w:val="24"/>
          <w:szCs w:val="24"/>
        </w:rPr>
        <w:t>.</w:t>
      </w:r>
      <w:r w:rsidR="00643DA2" w:rsidRPr="00F669AB">
        <w:rPr>
          <w:rFonts w:ascii="Arial" w:hAnsi="Arial" w:cs="Arial"/>
          <w:sz w:val="24"/>
          <w:szCs w:val="24"/>
        </w:rPr>
        <w:t xml:space="preserve"> </w:t>
      </w:r>
      <w:r w:rsidR="00A746CB" w:rsidRPr="00F669AB">
        <w:rPr>
          <w:rFonts w:ascii="Arial" w:hAnsi="Arial" w:cs="Arial"/>
          <w:sz w:val="24"/>
          <w:szCs w:val="24"/>
        </w:rPr>
        <w:t>He argued that item 20 leaves no room for ‘unallocated’ seats</w:t>
      </w:r>
      <w:r w:rsidR="00D11D61" w:rsidRPr="00F669AB">
        <w:rPr>
          <w:rFonts w:ascii="Arial" w:hAnsi="Arial" w:cs="Arial"/>
          <w:sz w:val="24"/>
          <w:szCs w:val="24"/>
        </w:rPr>
        <w:t>.</w:t>
      </w:r>
      <w:r w:rsidR="001D03C2" w:rsidRPr="00F669AB">
        <w:rPr>
          <w:rFonts w:ascii="Arial" w:hAnsi="Arial" w:cs="Arial"/>
          <w:sz w:val="24"/>
          <w:szCs w:val="24"/>
        </w:rPr>
        <w:t xml:space="preserve"> He maintained that what is envisaged in item 20, regarding allocation, is that ordinarily the allocation determined by item 20(1) will not result in any surpluses and that all seats will be allocated.</w:t>
      </w:r>
    </w:p>
    <w:p w14:paraId="3FD2713C" w14:textId="77777777" w:rsidR="00772102" w:rsidRPr="00512F52" w:rsidRDefault="00772102" w:rsidP="00772102">
      <w:pPr>
        <w:pStyle w:val="ListParagraph"/>
        <w:spacing w:after="0" w:line="360" w:lineRule="auto"/>
        <w:ind w:left="0"/>
        <w:jc w:val="both"/>
        <w:rPr>
          <w:rFonts w:ascii="Arial" w:hAnsi="Arial" w:cs="Arial"/>
          <w:sz w:val="24"/>
          <w:szCs w:val="24"/>
        </w:rPr>
      </w:pPr>
    </w:p>
    <w:p w14:paraId="5B232DB1" w14:textId="26DAFBF4" w:rsidR="002E1BC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[61]</w:t>
      </w:r>
      <w:r w:rsidRPr="00512F52">
        <w:rPr>
          <w:rFonts w:ascii="Arial" w:hAnsi="Arial" w:cs="Arial"/>
          <w:sz w:val="24"/>
          <w:szCs w:val="24"/>
        </w:rPr>
        <w:tab/>
      </w:r>
      <w:r w:rsidR="00145BE5" w:rsidRPr="00F669AB">
        <w:rPr>
          <w:rFonts w:ascii="Arial" w:hAnsi="Arial" w:cs="Arial"/>
          <w:sz w:val="24"/>
          <w:szCs w:val="24"/>
        </w:rPr>
        <w:t xml:space="preserve">He submitted that the interpretation of item 20 contended for by the Commission is absurd and has the effect of </w:t>
      </w:r>
      <w:r w:rsidR="002E1BCA" w:rsidRPr="00F669AB">
        <w:rPr>
          <w:rFonts w:ascii="Arial" w:hAnsi="Arial" w:cs="Arial"/>
          <w:sz w:val="24"/>
          <w:szCs w:val="24"/>
        </w:rPr>
        <w:t>disenfranchising</w:t>
      </w:r>
      <w:r w:rsidR="00145BE5" w:rsidRPr="00F669AB">
        <w:rPr>
          <w:rFonts w:ascii="Arial" w:hAnsi="Arial" w:cs="Arial"/>
          <w:sz w:val="24"/>
          <w:szCs w:val="24"/>
        </w:rPr>
        <w:t xml:space="preserve"> the relevant local council at district level and would have the following undemocratic consequences:</w:t>
      </w:r>
    </w:p>
    <w:p w14:paraId="150E0EFC" w14:textId="7F6AC647" w:rsidR="002E1BC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(a)</w:t>
      </w:r>
      <w:r w:rsidRPr="00512F52">
        <w:rPr>
          <w:rFonts w:ascii="Arial" w:hAnsi="Arial" w:cs="Arial"/>
          <w:sz w:val="24"/>
          <w:szCs w:val="24"/>
        </w:rPr>
        <w:tab/>
      </w:r>
      <w:r w:rsidR="002E1BCA" w:rsidRPr="00F669AB">
        <w:rPr>
          <w:rFonts w:ascii="Arial" w:hAnsi="Arial" w:cs="Arial"/>
          <w:sz w:val="24"/>
          <w:szCs w:val="24"/>
        </w:rPr>
        <w:t xml:space="preserve">It would undermine the composition of the </w:t>
      </w:r>
      <w:r w:rsidR="007A7C0F" w:rsidRPr="00F669AB">
        <w:rPr>
          <w:rFonts w:ascii="Arial" w:hAnsi="Arial" w:cs="Arial"/>
          <w:sz w:val="24"/>
          <w:szCs w:val="24"/>
        </w:rPr>
        <w:t>D</w:t>
      </w:r>
      <w:r w:rsidR="002E1BCA" w:rsidRPr="00F669AB">
        <w:rPr>
          <w:rFonts w:ascii="Arial" w:hAnsi="Arial" w:cs="Arial"/>
          <w:sz w:val="24"/>
          <w:szCs w:val="24"/>
        </w:rPr>
        <w:t xml:space="preserve">istrict </w:t>
      </w:r>
      <w:r w:rsidR="007A7C0F" w:rsidRPr="00F669AB">
        <w:rPr>
          <w:rFonts w:ascii="Arial" w:hAnsi="Arial" w:cs="Arial"/>
          <w:sz w:val="24"/>
          <w:szCs w:val="24"/>
        </w:rPr>
        <w:t>C</w:t>
      </w:r>
      <w:r w:rsidR="002E1BCA" w:rsidRPr="00F669AB">
        <w:rPr>
          <w:rFonts w:ascii="Arial" w:hAnsi="Arial" w:cs="Arial"/>
          <w:sz w:val="24"/>
          <w:szCs w:val="24"/>
        </w:rPr>
        <w:t>ouncil and thereby its institutional integrity;</w:t>
      </w:r>
    </w:p>
    <w:p w14:paraId="79F05087" w14:textId="4D0ECF2A" w:rsidR="002E1BC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(b)</w:t>
      </w:r>
      <w:r w:rsidRPr="00512F52">
        <w:rPr>
          <w:rFonts w:ascii="Arial" w:hAnsi="Arial" w:cs="Arial"/>
          <w:sz w:val="24"/>
          <w:szCs w:val="24"/>
        </w:rPr>
        <w:tab/>
      </w:r>
      <w:r w:rsidR="002E1BCA" w:rsidRPr="00F669AB">
        <w:rPr>
          <w:rFonts w:ascii="Arial" w:hAnsi="Arial" w:cs="Arial"/>
          <w:sz w:val="24"/>
          <w:szCs w:val="24"/>
        </w:rPr>
        <w:t xml:space="preserve">Leaving three seats unallocated, would have the effect of creating vacancies within the </w:t>
      </w:r>
      <w:r w:rsidR="007A7C0F" w:rsidRPr="00F669AB">
        <w:rPr>
          <w:rFonts w:ascii="Arial" w:hAnsi="Arial" w:cs="Arial"/>
          <w:sz w:val="24"/>
          <w:szCs w:val="24"/>
        </w:rPr>
        <w:t>D</w:t>
      </w:r>
      <w:r w:rsidR="002E1BCA" w:rsidRPr="00F669AB">
        <w:rPr>
          <w:rFonts w:ascii="Arial" w:hAnsi="Arial" w:cs="Arial"/>
          <w:sz w:val="24"/>
          <w:szCs w:val="24"/>
        </w:rPr>
        <w:t xml:space="preserve">istrict </w:t>
      </w:r>
      <w:r w:rsidR="007A7C0F" w:rsidRPr="00F669AB">
        <w:rPr>
          <w:rFonts w:ascii="Arial" w:hAnsi="Arial" w:cs="Arial"/>
          <w:sz w:val="24"/>
          <w:szCs w:val="24"/>
        </w:rPr>
        <w:t>C</w:t>
      </w:r>
      <w:r w:rsidR="002E1BCA" w:rsidRPr="00F669AB">
        <w:rPr>
          <w:rFonts w:ascii="Arial" w:hAnsi="Arial" w:cs="Arial"/>
          <w:sz w:val="24"/>
          <w:szCs w:val="24"/>
        </w:rPr>
        <w:t xml:space="preserve">ouncil which would necessitate another process of filing them (there would only be 40 of the 43 seats at the </w:t>
      </w:r>
      <w:r w:rsidR="007A7C0F" w:rsidRPr="00F669AB">
        <w:rPr>
          <w:rFonts w:ascii="Arial" w:hAnsi="Arial" w:cs="Arial"/>
          <w:sz w:val="24"/>
          <w:szCs w:val="24"/>
        </w:rPr>
        <w:t>D</w:t>
      </w:r>
      <w:r w:rsidR="002E1BCA" w:rsidRPr="00F669AB">
        <w:rPr>
          <w:rFonts w:ascii="Arial" w:hAnsi="Arial" w:cs="Arial"/>
          <w:sz w:val="24"/>
          <w:szCs w:val="24"/>
        </w:rPr>
        <w:t xml:space="preserve">istrict </w:t>
      </w:r>
      <w:r w:rsidR="007A7C0F" w:rsidRPr="00F669AB">
        <w:rPr>
          <w:rFonts w:ascii="Arial" w:hAnsi="Arial" w:cs="Arial"/>
          <w:sz w:val="24"/>
          <w:szCs w:val="24"/>
        </w:rPr>
        <w:t>C</w:t>
      </w:r>
      <w:r w:rsidR="002E1BCA" w:rsidRPr="00F669AB">
        <w:rPr>
          <w:rFonts w:ascii="Arial" w:hAnsi="Arial" w:cs="Arial"/>
          <w:sz w:val="24"/>
          <w:szCs w:val="24"/>
        </w:rPr>
        <w:t>ouncil filled);</w:t>
      </w:r>
    </w:p>
    <w:p w14:paraId="279A9022" w14:textId="6C0C018F" w:rsidR="002E1BC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(c)</w:t>
      </w:r>
      <w:r w:rsidRPr="00512F52">
        <w:rPr>
          <w:rFonts w:ascii="Arial" w:hAnsi="Arial" w:cs="Arial"/>
          <w:sz w:val="24"/>
          <w:szCs w:val="24"/>
        </w:rPr>
        <w:tab/>
      </w:r>
      <w:r w:rsidR="002E1BCA" w:rsidRPr="00F669AB">
        <w:rPr>
          <w:rFonts w:ascii="Arial" w:hAnsi="Arial" w:cs="Arial"/>
          <w:sz w:val="24"/>
          <w:szCs w:val="24"/>
        </w:rPr>
        <w:t xml:space="preserve">This would undermine democracy of local government to represent its electorate at district level. It will attenuate or reduce its representativity at </w:t>
      </w:r>
      <w:r w:rsidR="00013448" w:rsidRPr="00F669AB">
        <w:rPr>
          <w:rFonts w:ascii="Arial" w:hAnsi="Arial" w:cs="Arial"/>
          <w:sz w:val="24"/>
          <w:szCs w:val="24"/>
        </w:rPr>
        <w:t xml:space="preserve">the district </w:t>
      </w:r>
      <w:r w:rsidR="002E1BCA" w:rsidRPr="00F669AB">
        <w:rPr>
          <w:rFonts w:ascii="Arial" w:hAnsi="Arial" w:cs="Arial"/>
          <w:sz w:val="24"/>
          <w:szCs w:val="24"/>
        </w:rPr>
        <w:t>council level undemocratically.</w:t>
      </w:r>
    </w:p>
    <w:p w14:paraId="524B9854" w14:textId="1ABC227C" w:rsidR="002E1BC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(d)</w:t>
      </w:r>
      <w:r w:rsidRPr="00512F52">
        <w:rPr>
          <w:rFonts w:ascii="Arial" w:hAnsi="Arial" w:cs="Arial"/>
          <w:sz w:val="24"/>
          <w:szCs w:val="24"/>
        </w:rPr>
        <w:tab/>
      </w:r>
      <w:r w:rsidR="001B44BE" w:rsidRPr="00F669AB">
        <w:rPr>
          <w:rFonts w:ascii="Arial" w:hAnsi="Arial" w:cs="Arial"/>
          <w:sz w:val="24"/>
          <w:szCs w:val="24"/>
        </w:rPr>
        <w:t>It would reduce the voice of uM</w:t>
      </w:r>
      <w:r w:rsidR="002E1BCA" w:rsidRPr="00F669AB">
        <w:rPr>
          <w:rFonts w:ascii="Arial" w:hAnsi="Arial" w:cs="Arial"/>
          <w:sz w:val="24"/>
          <w:szCs w:val="24"/>
        </w:rPr>
        <w:t>hlathuze Local Council</w:t>
      </w:r>
      <w:r w:rsidR="007A7C0F" w:rsidRPr="00F669AB">
        <w:rPr>
          <w:rFonts w:ascii="Arial" w:hAnsi="Arial" w:cs="Arial"/>
          <w:sz w:val="24"/>
          <w:szCs w:val="24"/>
        </w:rPr>
        <w:t>,</w:t>
      </w:r>
      <w:r w:rsidR="002E1BCA" w:rsidRPr="00F669AB">
        <w:rPr>
          <w:rFonts w:ascii="Arial" w:hAnsi="Arial" w:cs="Arial"/>
          <w:sz w:val="24"/>
          <w:szCs w:val="24"/>
        </w:rPr>
        <w:t xml:space="preserve"> in that it would have three less votes as a</w:t>
      </w:r>
      <w:r w:rsidR="006C725F" w:rsidRPr="00F669AB">
        <w:rPr>
          <w:rFonts w:ascii="Arial" w:hAnsi="Arial" w:cs="Arial"/>
          <w:sz w:val="24"/>
          <w:szCs w:val="24"/>
        </w:rPr>
        <w:t xml:space="preserve"> ‘bloc’ in the </w:t>
      </w:r>
      <w:r w:rsidR="007A7C0F" w:rsidRPr="00F669AB">
        <w:rPr>
          <w:rFonts w:ascii="Arial" w:hAnsi="Arial" w:cs="Arial"/>
          <w:sz w:val="24"/>
          <w:szCs w:val="24"/>
        </w:rPr>
        <w:t>D</w:t>
      </w:r>
      <w:r w:rsidR="006C725F" w:rsidRPr="00F669AB">
        <w:rPr>
          <w:rFonts w:ascii="Arial" w:hAnsi="Arial" w:cs="Arial"/>
          <w:sz w:val="24"/>
          <w:szCs w:val="24"/>
        </w:rPr>
        <w:t xml:space="preserve">istrict </w:t>
      </w:r>
      <w:r w:rsidR="007A7C0F" w:rsidRPr="00F669AB">
        <w:rPr>
          <w:rFonts w:ascii="Arial" w:hAnsi="Arial" w:cs="Arial"/>
          <w:sz w:val="24"/>
          <w:szCs w:val="24"/>
        </w:rPr>
        <w:t>C</w:t>
      </w:r>
      <w:r w:rsidR="006C725F" w:rsidRPr="00F669AB">
        <w:rPr>
          <w:rFonts w:ascii="Arial" w:hAnsi="Arial" w:cs="Arial"/>
          <w:sz w:val="24"/>
          <w:szCs w:val="24"/>
        </w:rPr>
        <w:t>ouncil.</w:t>
      </w:r>
    </w:p>
    <w:p w14:paraId="76EEA4F1" w14:textId="77777777" w:rsidR="00772102" w:rsidRPr="00512F52" w:rsidRDefault="00772102" w:rsidP="00772102">
      <w:pPr>
        <w:spacing w:after="0" w:line="360" w:lineRule="auto"/>
        <w:jc w:val="both"/>
        <w:rPr>
          <w:rFonts w:ascii="Arial" w:hAnsi="Arial" w:cs="Arial"/>
          <w:sz w:val="24"/>
          <w:szCs w:val="24"/>
        </w:rPr>
      </w:pPr>
    </w:p>
    <w:p w14:paraId="1475C2DC" w14:textId="7ADC2A18"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[62]</w:t>
      </w:r>
      <w:r w:rsidRPr="00512F52">
        <w:rPr>
          <w:rFonts w:ascii="Arial" w:hAnsi="Arial" w:cs="Arial"/>
          <w:sz w:val="24"/>
          <w:szCs w:val="24"/>
        </w:rPr>
        <w:tab/>
      </w:r>
      <w:r w:rsidR="00DF047E" w:rsidRPr="00F669AB">
        <w:rPr>
          <w:rFonts w:ascii="Arial" w:hAnsi="Arial" w:cs="Arial"/>
          <w:sz w:val="24"/>
          <w:szCs w:val="24"/>
        </w:rPr>
        <w:t>Counsel for King Cetshwayo District Council associated himself with the s</w:t>
      </w:r>
      <w:r w:rsidR="001B44BE" w:rsidRPr="00F669AB">
        <w:rPr>
          <w:rFonts w:ascii="Arial" w:hAnsi="Arial" w:cs="Arial"/>
          <w:sz w:val="24"/>
          <w:szCs w:val="24"/>
        </w:rPr>
        <w:t>ubmissions made by counsel for uM</w:t>
      </w:r>
      <w:r w:rsidR="00DF047E" w:rsidRPr="00F669AB">
        <w:rPr>
          <w:rFonts w:ascii="Arial" w:hAnsi="Arial" w:cs="Arial"/>
          <w:sz w:val="24"/>
          <w:szCs w:val="24"/>
        </w:rPr>
        <w:t xml:space="preserve">hlathuze Local Municipality parties and the three affected </w:t>
      </w:r>
      <w:r w:rsidR="006C725F" w:rsidRPr="00F669AB">
        <w:rPr>
          <w:rFonts w:ascii="Arial" w:hAnsi="Arial" w:cs="Arial"/>
          <w:sz w:val="24"/>
          <w:szCs w:val="24"/>
        </w:rPr>
        <w:t>council</w:t>
      </w:r>
      <w:r w:rsidR="00720608" w:rsidRPr="00F669AB">
        <w:rPr>
          <w:rFonts w:ascii="Arial" w:hAnsi="Arial" w:cs="Arial"/>
          <w:sz w:val="24"/>
          <w:szCs w:val="24"/>
        </w:rPr>
        <w:t>l</w:t>
      </w:r>
      <w:r w:rsidR="006C725F" w:rsidRPr="00F669AB">
        <w:rPr>
          <w:rFonts w:ascii="Arial" w:hAnsi="Arial" w:cs="Arial"/>
          <w:sz w:val="24"/>
          <w:szCs w:val="24"/>
        </w:rPr>
        <w:t>ors relating to the interpreta</w:t>
      </w:r>
      <w:r w:rsidR="000B2608" w:rsidRPr="00F669AB">
        <w:rPr>
          <w:rFonts w:ascii="Arial" w:hAnsi="Arial" w:cs="Arial"/>
          <w:sz w:val="24"/>
          <w:szCs w:val="24"/>
        </w:rPr>
        <w:t>tion and application of item 20</w:t>
      </w:r>
      <w:r w:rsidR="00DF047E" w:rsidRPr="00F669AB">
        <w:rPr>
          <w:rFonts w:ascii="Arial" w:hAnsi="Arial" w:cs="Arial"/>
          <w:sz w:val="24"/>
          <w:szCs w:val="24"/>
        </w:rPr>
        <w:t>.</w:t>
      </w:r>
    </w:p>
    <w:p w14:paraId="1C3BDEEB" w14:textId="77777777" w:rsidR="005A745C" w:rsidRPr="00512F52" w:rsidRDefault="005A745C" w:rsidP="005A745C">
      <w:pPr>
        <w:pStyle w:val="ListParagraph"/>
        <w:spacing w:after="0" w:line="360" w:lineRule="auto"/>
        <w:ind w:left="0"/>
        <w:jc w:val="both"/>
        <w:rPr>
          <w:rFonts w:ascii="Arial" w:hAnsi="Arial" w:cs="Arial"/>
          <w:sz w:val="24"/>
          <w:szCs w:val="24"/>
        </w:rPr>
      </w:pPr>
    </w:p>
    <w:p w14:paraId="48F5E69C" w14:textId="0A6537F1" w:rsidR="00CC152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[63]</w:t>
      </w:r>
      <w:r w:rsidRPr="00512F52">
        <w:rPr>
          <w:rFonts w:ascii="Arial" w:hAnsi="Arial" w:cs="Arial"/>
          <w:sz w:val="24"/>
          <w:szCs w:val="24"/>
        </w:rPr>
        <w:tab/>
      </w:r>
      <w:r w:rsidR="00CC1522" w:rsidRPr="00F669AB">
        <w:rPr>
          <w:rFonts w:ascii="Arial" w:hAnsi="Arial" w:cs="Arial"/>
          <w:sz w:val="24"/>
          <w:szCs w:val="24"/>
        </w:rPr>
        <w:t xml:space="preserve">The reliance by counsel for the affected councillors on the </w:t>
      </w:r>
      <w:r w:rsidR="00CC1522" w:rsidRPr="00F669AB">
        <w:rPr>
          <w:rFonts w:ascii="Arial" w:hAnsi="Arial" w:cs="Arial"/>
          <w:i/>
          <w:sz w:val="24"/>
          <w:szCs w:val="24"/>
        </w:rPr>
        <w:t>New Nation Movement</w:t>
      </w:r>
      <w:r w:rsidR="00CC1522" w:rsidRPr="00F669AB">
        <w:rPr>
          <w:rFonts w:ascii="Arial" w:hAnsi="Arial" w:cs="Arial"/>
          <w:sz w:val="24"/>
          <w:szCs w:val="24"/>
        </w:rPr>
        <w:t xml:space="preserve"> judgment is misplaced. The </w:t>
      </w:r>
      <w:r w:rsidR="00CC1522" w:rsidRPr="00F669AB">
        <w:rPr>
          <w:rFonts w:ascii="Arial" w:hAnsi="Arial" w:cs="Arial"/>
          <w:i/>
          <w:sz w:val="24"/>
          <w:szCs w:val="24"/>
        </w:rPr>
        <w:t>New National Movement</w:t>
      </w:r>
      <w:r w:rsidR="00CC1522" w:rsidRPr="00F669AB">
        <w:rPr>
          <w:rFonts w:ascii="Arial" w:hAnsi="Arial" w:cs="Arial"/>
          <w:sz w:val="24"/>
          <w:szCs w:val="24"/>
        </w:rPr>
        <w:t xml:space="preserve"> is irrelevant to the issues before this Court. The issue before the Constitutional Court in the </w:t>
      </w:r>
      <w:r w:rsidR="00CC1522" w:rsidRPr="00F669AB">
        <w:rPr>
          <w:rFonts w:ascii="Arial" w:hAnsi="Arial" w:cs="Arial"/>
          <w:i/>
          <w:sz w:val="24"/>
          <w:szCs w:val="24"/>
        </w:rPr>
        <w:t>New Nation Movement</w:t>
      </w:r>
      <w:r w:rsidR="00CC1522" w:rsidRPr="00F669AB">
        <w:rPr>
          <w:rFonts w:ascii="Arial" w:hAnsi="Arial" w:cs="Arial"/>
          <w:sz w:val="24"/>
          <w:szCs w:val="24"/>
        </w:rPr>
        <w:t xml:space="preserve"> concerned the constitutionality of the Electoral Act</w:t>
      </w:r>
      <w:r w:rsidR="006A5398" w:rsidRPr="00F669AB">
        <w:rPr>
          <w:rFonts w:ascii="Arial" w:hAnsi="Arial" w:cs="Arial"/>
          <w:sz w:val="24"/>
          <w:szCs w:val="24"/>
        </w:rPr>
        <w:t xml:space="preserve">. The question there was whether, to the extent </w:t>
      </w:r>
      <w:r w:rsidR="006A5398" w:rsidRPr="00F669AB">
        <w:rPr>
          <w:rFonts w:ascii="Arial" w:hAnsi="Arial" w:cs="Arial"/>
          <w:sz w:val="24"/>
          <w:szCs w:val="24"/>
        </w:rPr>
        <w:lastRenderedPageBreak/>
        <w:t>that it allows individuals to be elected to the National Assembly and Provincial Legislature only through membership of political parties, the Electoral Act is unconstitutional. The issue before the Constitutional Court did not concern the interpretation of item 20 of Schedule 2 to the Structures Act which deals with ‘Electoral System for District Councils.’</w:t>
      </w:r>
    </w:p>
    <w:p w14:paraId="7F77CB7A" w14:textId="77777777" w:rsidR="001C40D6" w:rsidRPr="00512F52" w:rsidRDefault="001C40D6" w:rsidP="00772102">
      <w:pPr>
        <w:spacing w:after="0" w:line="360" w:lineRule="auto"/>
        <w:jc w:val="both"/>
        <w:rPr>
          <w:rFonts w:ascii="Arial" w:hAnsi="Arial" w:cs="Arial"/>
          <w:sz w:val="24"/>
          <w:szCs w:val="24"/>
        </w:rPr>
      </w:pPr>
    </w:p>
    <w:p w14:paraId="622ED036" w14:textId="47CACD4B" w:rsidR="000B2608" w:rsidRPr="00512F52" w:rsidRDefault="000B2608" w:rsidP="00772102">
      <w:pPr>
        <w:spacing w:after="0" w:line="360" w:lineRule="auto"/>
        <w:jc w:val="both"/>
        <w:rPr>
          <w:rFonts w:ascii="Arial" w:hAnsi="Arial" w:cs="Arial"/>
          <w:b/>
          <w:sz w:val="24"/>
          <w:szCs w:val="24"/>
        </w:rPr>
      </w:pPr>
      <w:r w:rsidRPr="00512F52">
        <w:rPr>
          <w:rFonts w:ascii="Arial" w:hAnsi="Arial" w:cs="Arial"/>
          <w:b/>
          <w:sz w:val="24"/>
          <w:szCs w:val="24"/>
        </w:rPr>
        <w:t>IFP’</w:t>
      </w:r>
      <w:r w:rsidR="007A7C0F" w:rsidRPr="00512F52">
        <w:rPr>
          <w:rFonts w:ascii="Arial" w:hAnsi="Arial" w:cs="Arial"/>
          <w:b/>
          <w:sz w:val="24"/>
          <w:szCs w:val="24"/>
        </w:rPr>
        <w:t>s</w:t>
      </w:r>
      <w:r w:rsidRPr="00512F52">
        <w:rPr>
          <w:rFonts w:ascii="Arial" w:hAnsi="Arial" w:cs="Arial"/>
          <w:b/>
          <w:sz w:val="24"/>
          <w:szCs w:val="24"/>
        </w:rPr>
        <w:t xml:space="preserve"> </w:t>
      </w:r>
      <w:r w:rsidR="007A7C0F" w:rsidRPr="00512F52">
        <w:rPr>
          <w:rFonts w:ascii="Arial" w:hAnsi="Arial" w:cs="Arial"/>
          <w:b/>
          <w:sz w:val="24"/>
          <w:szCs w:val="24"/>
        </w:rPr>
        <w:t>c</w:t>
      </w:r>
      <w:r w:rsidRPr="00512F52">
        <w:rPr>
          <w:rFonts w:ascii="Arial" w:hAnsi="Arial" w:cs="Arial"/>
          <w:b/>
          <w:sz w:val="24"/>
          <w:szCs w:val="24"/>
        </w:rPr>
        <w:t>ontentions</w:t>
      </w:r>
    </w:p>
    <w:p w14:paraId="26101F9E" w14:textId="4B196B0D" w:rsidR="0077210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[64]</w:t>
      </w:r>
      <w:r w:rsidRPr="00512F52">
        <w:rPr>
          <w:rFonts w:ascii="Arial" w:hAnsi="Arial" w:cs="Arial"/>
          <w:sz w:val="24"/>
          <w:szCs w:val="24"/>
        </w:rPr>
        <w:tab/>
      </w:r>
      <w:r w:rsidR="00DF047E" w:rsidRPr="00F669AB">
        <w:rPr>
          <w:rFonts w:ascii="Arial" w:hAnsi="Arial" w:cs="Arial"/>
          <w:sz w:val="24"/>
          <w:szCs w:val="24"/>
        </w:rPr>
        <w:t xml:space="preserve">Counsel for </w:t>
      </w:r>
      <w:r w:rsidR="007A7C0F" w:rsidRPr="00F669AB">
        <w:rPr>
          <w:rFonts w:ascii="Arial" w:hAnsi="Arial" w:cs="Arial"/>
          <w:sz w:val="24"/>
          <w:szCs w:val="24"/>
        </w:rPr>
        <w:t xml:space="preserve">the </w:t>
      </w:r>
      <w:r w:rsidR="00DF047E" w:rsidRPr="00F669AB">
        <w:rPr>
          <w:rFonts w:ascii="Arial" w:hAnsi="Arial" w:cs="Arial"/>
          <w:sz w:val="24"/>
          <w:szCs w:val="24"/>
        </w:rPr>
        <w:t>IFP submitted that there are two jurisdictional facts to be met for item 20(2)</w:t>
      </w:r>
      <w:r w:rsidR="00DF047E" w:rsidRPr="00F669AB">
        <w:rPr>
          <w:rFonts w:ascii="Arial" w:hAnsi="Arial" w:cs="Arial"/>
          <w:i/>
          <w:iCs/>
          <w:sz w:val="24"/>
          <w:szCs w:val="24"/>
        </w:rPr>
        <w:t xml:space="preserve">(a) </w:t>
      </w:r>
      <w:r w:rsidR="00DF047E" w:rsidRPr="00F669AB">
        <w:rPr>
          <w:rFonts w:ascii="Arial" w:hAnsi="Arial" w:cs="Arial"/>
          <w:sz w:val="24"/>
          <w:szCs w:val="24"/>
        </w:rPr>
        <w:t>to be operative. First</w:t>
      </w:r>
      <w:r w:rsidR="00E54A49" w:rsidRPr="00F669AB">
        <w:rPr>
          <w:rFonts w:ascii="Arial" w:hAnsi="Arial" w:cs="Arial"/>
          <w:sz w:val="24"/>
          <w:szCs w:val="24"/>
        </w:rPr>
        <w:t>ly</w:t>
      </w:r>
      <w:r w:rsidR="00DF047E" w:rsidRPr="00F669AB">
        <w:rPr>
          <w:rFonts w:ascii="Arial" w:hAnsi="Arial" w:cs="Arial"/>
          <w:sz w:val="24"/>
          <w:szCs w:val="24"/>
        </w:rPr>
        <w:t xml:space="preserve">, there must be a surplus after having done ‘round one’ in </w:t>
      </w:r>
      <w:r w:rsidR="004101BE" w:rsidRPr="00F669AB">
        <w:rPr>
          <w:rFonts w:ascii="Arial" w:hAnsi="Arial" w:cs="Arial"/>
          <w:sz w:val="24"/>
          <w:szCs w:val="24"/>
        </w:rPr>
        <w:t xml:space="preserve">item 20(1). Secondly, </w:t>
      </w:r>
      <w:r w:rsidR="00DF047E" w:rsidRPr="00F669AB">
        <w:rPr>
          <w:rFonts w:ascii="Arial" w:hAnsi="Arial" w:cs="Arial"/>
          <w:sz w:val="24"/>
          <w:szCs w:val="24"/>
        </w:rPr>
        <w:t>there must be a rema</w:t>
      </w:r>
      <w:r w:rsidR="004948AE" w:rsidRPr="00F669AB">
        <w:rPr>
          <w:rFonts w:ascii="Arial" w:hAnsi="Arial" w:cs="Arial"/>
          <w:sz w:val="24"/>
          <w:szCs w:val="24"/>
        </w:rPr>
        <w:t>ining seat unallocated in</w:t>
      </w:r>
      <w:r w:rsidR="00DF047E" w:rsidRPr="00F669AB">
        <w:rPr>
          <w:rFonts w:ascii="Arial" w:hAnsi="Arial" w:cs="Arial"/>
          <w:sz w:val="24"/>
          <w:szCs w:val="24"/>
        </w:rPr>
        <w:t xml:space="preserve"> item 20(1) and the seat available for allocation must be awarded in sequence of the highest surplus. </w:t>
      </w:r>
      <w:r w:rsidR="00F736BC" w:rsidRPr="00F669AB">
        <w:rPr>
          <w:rFonts w:ascii="Arial" w:hAnsi="Arial" w:cs="Arial"/>
          <w:sz w:val="24"/>
          <w:szCs w:val="24"/>
        </w:rPr>
        <w:t>She submitted that if there are still seats</w:t>
      </w:r>
      <w:r w:rsidR="004948AE" w:rsidRPr="00F669AB">
        <w:rPr>
          <w:rFonts w:ascii="Arial" w:hAnsi="Arial" w:cs="Arial"/>
          <w:sz w:val="24"/>
          <w:szCs w:val="24"/>
        </w:rPr>
        <w:t xml:space="preserve"> and surpluses remaining</w:t>
      </w:r>
      <w:r w:rsidR="00E54A49" w:rsidRPr="00F669AB">
        <w:rPr>
          <w:rFonts w:ascii="Arial" w:hAnsi="Arial" w:cs="Arial"/>
          <w:sz w:val="24"/>
          <w:szCs w:val="24"/>
        </w:rPr>
        <w:t xml:space="preserve"> – </w:t>
      </w:r>
      <w:r w:rsidR="00F736BC" w:rsidRPr="00F669AB">
        <w:rPr>
          <w:rFonts w:ascii="Arial" w:hAnsi="Arial" w:cs="Arial"/>
          <w:sz w:val="24"/>
          <w:szCs w:val="24"/>
        </w:rPr>
        <w:t>surplus</w:t>
      </w:r>
      <w:r w:rsidR="004948AE" w:rsidRPr="00F669AB">
        <w:rPr>
          <w:rFonts w:ascii="Arial" w:hAnsi="Arial" w:cs="Arial"/>
          <w:sz w:val="24"/>
          <w:szCs w:val="24"/>
        </w:rPr>
        <w:t>es</w:t>
      </w:r>
      <w:r w:rsidR="00F736BC" w:rsidRPr="00F669AB">
        <w:rPr>
          <w:rFonts w:ascii="Arial" w:hAnsi="Arial" w:cs="Arial"/>
          <w:sz w:val="24"/>
          <w:szCs w:val="24"/>
        </w:rPr>
        <w:t xml:space="preserve"> arising from t</w:t>
      </w:r>
      <w:r w:rsidR="004948AE" w:rsidRPr="00F669AB">
        <w:rPr>
          <w:rFonts w:ascii="Arial" w:hAnsi="Arial" w:cs="Arial"/>
          <w:sz w:val="24"/>
          <w:szCs w:val="24"/>
        </w:rPr>
        <w:t xml:space="preserve">he calculation under item 20(1) </w:t>
      </w:r>
      <w:r w:rsidR="00E54A49" w:rsidRPr="00F669AB">
        <w:rPr>
          <w:rFonts w:ascii="Arial" w:hAnsi="Arial" w:cs="Arial"/>
          <w:sz w:val="24"/>
          <w:szCs w:val="24"/>
        </w:rPr>
        <w:t xml:space="preserve">– </w:t>
      </w:r>
      <w:r w:rsidR="00F736BC" w:rsidRPr="00F669AB">
        <w:rPr>
          <w:rFonts w:ascii="Arial" w:hAnsi="Arial" w:cs="Arial"/>
          <w:sz w:val="24"/>
          <w:szCs w:val="24"/>
        </w:rPr>
        <w:t>not arising from calculation under item 20(2)</w:t>
      </w:r>
      <w:r w:rsidR="00F736BC" w:rsidRPr="00F669AB">
        <w:rPr>
          <w:rFonts w:ascii="Arial" w:hAnsi="Arial" w:cs="Arial"/>
          <w:i/>
          <w:iCs/>
          <w:sz w:val="24"/>
          <w:szCs w:val="24"/>
        </w:rPr>
        <w:t>(a)</w:t>
      </w:r>
      <w:r w:rsidR="00F736BC" w:rsidRPr="00F669AB">
        <w:rPr>
          <w:rFonts w:ascii="Arial" w:hAnsi="Arial" w:cs="Arial"/>
          <w:sz w:val="24"/>
          <w:szCs w:val="24"/>
        </w:rPr>
        <w:t>, the remaining seats must be allocated.</w:t>
      </w:r>
    </w:p>
    <w:p w14:paraId="7AE59F79" w14:textId="009AD303" w:rsidR="00772102" w:rsidRPr="00512F52" w:rsidRDefault="00772102" w:rsidP="00772102">
      <w:pPr>
        <w:pStyle w:val="ListParagraph"/>
        <w:spacing w:after="0" w:line="360" w:lineRule="auto"/>
        <w:ind w:left="0"/>
        <w:jc w:val="both"/>
        <w:rPr>
          <w:rFonts w:ascii="Arial" w:hAnsi="Arial" w:cs="Arial"/>
          <w:sz w:val="24"/>
          <w:szCs w:val="24"/>
        </w:rPr>
      </w:pPr>
    </w:p>
    <w:p w14:paraId="4E9DD668" w14:textId="5AF28900" w:rsidR="004814F9" w:rsidRPr="00512F52" w:rsidRDefault="004814F9" w:rsidP="00772102">
      <w:pPr>
        <w:pStyle w:val="ListParagraph"/>
        <w:spacing w:after="0" w:line="360" w:lineRule="auto"/>
        <w:ind w:left="0"/>
        <w:jc w:val="both"/>
        <w:rPr>
          <w:rFonts w:ascii="Arial" w:hAnsi="Arial" w:cs="Arial"/>
          <w:b/>
          <w:sz w:val="24"/>
          <w:szCs w:val="24"/>
        </w:rPr>
      </w:pPr>
      <w:r w:rsidRPr="00512F52">
        <w:rPr>
          <w:rFonts w:ascii="Arial" w:hAnsi="Arial" w:cs="Arial"/>
          <w:b/>
          <w:sz w:val="24"/>
          <w:szCs w:val="24"/>
        </w:rPr>
        <w:t xml:space="preserve">Findings </w:t>
      </w:r>
    </w:p>
    <w:p w14:paraId="264222F1" w14:textId="0E096CC4"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[65]</w:t>
      </w:r>
      <w:r w:rsidRPr="00512F52">
        <w:rPr>
          <w:rFonts w:ascii="Arial" w:hAnsi="Arial" w:cs="Arial"/>
          <w:sz w:val="24"/>
          <w:szCs w:val="24"/>
        </w:rPr>
        <w:tab/>
      </w:r>
      <w:r w:rsidR="0041299F" w:rsidRPr="00F669AB">
        <w:rPr>
          <w:rFonts w:ascii="Arial" w:hAnsi="Arial" w:cs="Arial"/>
          <w:sz w:val="24"/>
          <w:szCs w:val="24"/>
        </w:rPr>
        <w:t>The interpretation contended for by the IFP cannot be correct. It does not expl</w:t>
      </w:r>
      <w:r w:rsidR="004948AE" w:rsidRPr="00F669AB">
        <w:rPr>
          <w:rFonts w:ascii="Arial" w:hAnsi="Arial" w:cs="Arial"/>
          <w:sz w:val="24"/>
          <w:szCs w:val="24"/>
        </w:rPr>
        <w:t>ain what happens if there are no</w:t>
      </w:r>
      <w:r w:rsidR="0041299F" w:rsidRPr="00F669AB">
        <w:rPr>
          <w:rFonts w:ascii="Arial" w:hAnsi="Arial" w:cs="Arial"/>
          <w:sz w:val="24"/>
          <w:szCs w:val="24"/>
        </w:rPr>
        <w:t xml:space="preserve"> surpluses but not all seats are allocated. It would seem to me that if there are no surpluses under item 20(1</w:t>
      </w:r>
      <w:r w:rsidR="004948AE" w:rsidRPr="00F669AB">
        <w:rPr>
          <w:rFonts w:ascii="Arial" w:hAnsi="Arial" w:cs="Arial"/>
          <w:sz w:val="24"/>
          <w:szCs w:val="24"/>
        </w:rPr>
        <w:t>), the operation of item 20(2)</w:t>
      </w:r>
      <w:r w:rsidR="004948AE" w:rsidRPr="00F669AB">
        <w:rPr>
          <w:rFonts w:ascii="Arial" w:hAnsi="Arial" w:cs="Arial"/>
          <w:i/>
          <w:sz w:val="24"/>
          <w:szCs w:val="24"/>
        </w:rPr>
        <w:t>(a</w:t>
      </w:r>
      <w:r w:rsidR="0041299F" w:rsidRPr="00F669AB">
        <w:rPr>
          <w:rFonts w:ascii="Arial" w:hAnsi="Arial" w:cs="Arial"/>
          <w:i/>
          <w:sz w:val="24"/>
          <w:szCs w:val="24"/>
        </w:rPr>
        <w:t>)</w:t>
      </w:r>
      <w:r w:rsidR="0041299F" w:rsidRPr="00F669AB">
        <w:rPr>
          <w:rFonts w:ascii="Arial" w:hAnsi="Arial" w:cs="Arial"/>
          <w:sz w:val="24"/>
          <w:szCs w:val="24"/>
        </w:rPr>
        <w:t xml:space="preserve"> is not triggered and therefore the remaining seats must be left unfi</w:t>
      </w:r>
      <w:r w:rsidR="00593339" w:rsidRPr="00F669AB">
        <w:rPr>
          <w:rFonts w:ascii="Arial" w:hAnsi="Arial" w:cs="Arial"/>
          <w:sz w:val="24"/>
          <w:szCs w:val="24"/>
        </w:rPr>
        <w:t>lle</w:t>
      </w:r>
      <w:r w:rsidR="0041299F" w:rsidRPr="00F669AB">
        <w:rPr>
          <w:rFonts w:ascii="Arial" w:hAnsi="Arial" w:cs="Arial"/>
          <w:sz w:val="24"/>
          <w:szCs w:val="24"/>
        </w:rPr>
        <w:t>d. The IFP’s interpretation does not explain why the remaining seats in the absence of surpluses could be l</w:t>
      </w:r>
      <w:r w:rsidR="0001011A" w:rsidRPr="00F669AB">
        <w:rPr>
          <w:rFonts w:ascii="Arial" w:hAnsi="Arial" w:cs="Arial"/>
          <w:sz w:val="24"/>
          <w:szCs w:val="24"/>
        </w:rPr>
        <w:t xml:space="preserve">eft unfilled. </w:t>
      </w:r>
      <w:r w:rsidR="00BC38E7" w:rsidRPr="00F669AB">
        <w:rPr>
          <w:rFonts w:ascii="Arial" w:hAnsi="Arial" w:cs="Arial"/>
          <w:sz w:val="24"/>
          <w:szCs w:val="24"/>
        </w:rPr>
        <w:t>That construction is, in my view, not the correct one.</w:t>
      </w:r>
    </w:p>
    <w:p w14:paraId="7C169A05" w14:textId="77777777" w:rsidR="00772102" w:rsidRPr="00512F52" w:rsidRDefault="00772102" w:rsidP="00772102">
      <w:pPr>
        <w:pStyle w:val="ListParagraph"/>
        <w:spacing w:after="0" w:line="360" w:lineRule="auto"/>
        <w:jc w:val="both"/>
        <w:rPr>
          <w:rFonts w:ascii="Arial" w:hAnsi="Arial" w:cs="Arial"/>
          <w:sz w:val="24"/>
          <w:szCs w:val="24"/>
        </w:rPr>
      </w:pPr>
    </w:p>
    <w:p w14:paraId="798DF268" w14:textId="0AB46539"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[66]</w:t>
      </w:r>
      <w:r w:rsidRPr="00512F52">
        <w:rPr>
          <w:rFonts w:ascii="Arial" w:hAnsi="Arial" w:cs="Arial"/>
          <w:sz w:val="24"/>
          <w:szCs w:val="24"/>
        </w:rPr>
        <w:tab/>
      </w:r>
      <w:r w:rsidR="00223560" w:rsidRPr="00F669AB">
        <w:rPr>
          <w:rFonts w:ascii="Arial" w:hAnsi="Arial" w:cs="Arial"/>
          <w:sz w:val="24"/>
          <w:szCs w:val="24"/>
        </w:rPr>
        <w:t>The result of using ‘the highest surplus’ multiple times</w:t>
      </w:r>
      <w:r w:rsidR="00E54A49" w:rsidRPr="00F669AB">
        <w:rPr>
          <w:rFonts w:ascii="Arial" w:hAnsi="Arial" w:cs="Arial"/>
          <w:sz w:val="24"/>
          <w:szCs w:val="24"/>
        </w:rPr>
        <w:t>,</w:t>
      </w:r>
      <w:r w:rsidR="00223560" w:rsidRPr="00F669AB">
        <w:rPr>
          <w:rFonts w:ascii="Arial" w:hAnsi="Arial" w:cs="Arial"/>
          <w:sz w:val="24"/>
          <w:szCs w:val="24"/>
        </w:rPr>
        <w:t xml:space="preserve"> as suggested by the IFP</w:t>
      </w:r>
      <w:r w:rsidR="00186A07" w:rsidRPr="00F669AB">
        <w:rPr>
          <w:rFonts w:ascii="Arial" w:hAnsi="Arial" w:cs="Arial"/>
          <w:sz w:val="24"/>
          <w:szCs w:val="24"/>
        </w:rPr>
        <w:t xml:space="preserve"> and the three affected councillors</w:t>
      </w:r>
      <w:r w:rsidR="00E54A49" w:rsidRPr="00F669AB">
        <w:rPr>
          <w:rFonts w:ascii="Arial" w:hAnsi="Arial" w:cs="Arial"/>
          <w:sz w:val="24"/>
          <w:szCs w:val="24"/>
        </w:rPr>
        <w:t>,</w:t>
      </w:r>
      <w:r w:rsidR="00223560" w:rsidRPr="00F669AB">
        <w:rPr>
          <w:rFonts w:ascii="Arial" w:hAnsi="Arial" w:cs="Arial"/>
          <w:sz w:val="24"/>
          <w:szCs w:val="24"/>
        </w:rPr>
        <w:t xml:space="preserve"> is that a party that may have fewer votes ends up benefiting more than a party that has more votes. I agree with the Commission’s </w:t>
      </w:r>
      <w:r w:rsidR="0001011A" w:rsidRPr="00F669AB">
        <w:rPr>
          <w:rFonts w:ascii="Arial" w:hAnsi="Arial" w:cs="Arial"/>
          <w:sz w:val="24"/>
          <w:szCs w:val="24"/>
        </w:rPr>
        <w:t xml:space="preserve">proposed </w:t>
      </w:r>
      <w:r w:rsidR="00223560" w:rsidRPr="00F669AB">
        <w:rPr>
          <w:rFonts w:ascii="Arial" w:hAnsi="Arial" w:cs="Arial"/>
          <w:sz w:val="24"/>
          <w:szCs w:val="24"/>
        </w:rPr>
        <w:t>interpretation of item 20(2)</w:t>
      </w:r>
      <w:r w:rsidR="00223560" w:rsidRPr="00F669AB">
        <w:rPr>
          <w:rFonts w:ascii="Arial" w:hAnsi="Arial" w:cs="Arial"/>
          <w:i/>
          <w:iCs/>
          <w:sz w:val="24"/>
          <w:szCs w:val="24"/>
        </w:rPr>
        <w:t>(a)</w:t>
      </w:r>
      <w:r w:rsidR="00223560" w:rsidRPr="00F669AB">
        <w:rPr>
          <w:rFonts w:ascii="Arial" w:hAnsi="Arial" w:cs="Arial"/>
          <w:sz w:val="24"/>
          <w:szCs w:val="24"/>
        </w:rPr>
        <w:t>. It makes sense both textually and contextually.</w:t>
      </w:r>
      <w:r w:rsidR="00B947DB" w:rsidRPr="00F669AB">
        <w:rPr>
          <w:rFonts w:ascii="Arial" w:hAnsi="Arial" w:cs="Arial"/>
          <w:sz w:val="24"/>
          <w:szCs w:val="24"/>
        </w:rPr>
        <w:t xml:space="preserve"> The words ‘any seat or seats’ mean that the second round only applies if all th</w:t>
      </w:r>
      <w:r w:rsidR="00BE5520" w:rsidRPr="00F669AB">
        <w:rPr>
          <w:rFonts w:ascii="Arial" w:hAnsi="Arial" w:cs="Arial"/>
          <w:sz w:val="24"/>
          <w:szCs w:val="24"/>
        </w:rPr>
        <w:t>e seats were not assigned in the first</w:t>
      </w:r>
      <w:r w:rsidR="00B947DB" w:rsidRPr="00F669AB">
        <w:rPr>
          <w:rFonts w:ascii="Arial" w:hAnsi="Arial" w:cs="Arial"/>
          <w:sz w:val="24"/>
          <w:szCs w:val="24"/>
        </w:rPr>
        <w:t xml:space="preserve"> round. If all the seats are allocated in the first round, one does not need to go to the second round. However, this does not mean that all available seats must be allocated even if there are no surpluses.</w:t>
      </w:r>
    </w:p>
    <w:p w14:paraId="0EFA5654" w14:textId="77777777" w:rsidR="00772102" w:rsidRPr="00512F52" w:rsidRDefault="00772102" w:rsidP="00772102">
      <w:pPr>
        <w:pStyle w:val="ListParagraph"/>
        <w:spacing w:after="0" w:line="360" w:lineRule="auto"/>
        <w:jc w:val="both"/>
        <w:rPr>
          <w:rFonts w:ascii="Arial" w:hAnsi="Arial" w:cs="Arial"/>
          <w:sz w:val="24"/>
          <w:szCs w:val="24"/>
        </w:rPr>
      </w:pPr>
    </w:p>
    <w:p w14:paraId="798B3DD9" w14:textId="560BCD08"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lastRenderedPageBreak/>
        <w:t>[67]</w:t>
      </w:r>
      <w:r w:rsidRPr="00512F52">
        <w:rPr>
          <w:rFonts w:ascii="Arial" w:hAnsi="Arial" w:cs="Arial"/>
          <w:sz w:val="24"/>
          <w:szCs w:val="24"/>
        </w:rPr>
        <w:tab/>
      </w:r>
      <w:r w:rsidR="001D2192" w:rsidRPr="00F669AB">
        <w:rPr>
          <w:rFonts w:ascii="Arial" w:hAnsi="Arial" w:cs="Arial"/>
          <w:sz w:val="24"/>
          <w:szCs w:val="24"/>
        </w:rPr>
        <w:t>The Commission’s interpretation is also supported by s 157 of the Constitution</w:t>
      </w:r>
      <w:r w:rsidR="00904AC8" w:rsidRPr="00F669AB">
        <w:rPr>
          <w:rFonts w:ascii="Arial" w:hAnsi="Arial" w:cs="Arial"/>
          <w:sz w:val="24"/>
          <w:szCs w:val="24"/>
        </w:rPr>
        <w:t xml:space="preserve"> in the context of which</w:t>
      </w:r>
      <w:r w:rsidR="001D2192" w:rsidRPr="00F669AB">
        <w:rPr>
          <w:rFonts w:ascii="Arial" w:hAnsi="Arial" w:cs="Arial"/>
          <w:sz w:val="24"/>
          <w:szCs w:val="24"/>
        </w:rPr>
        <w:t xml:space="preserve"> </w:t>
      </w:r>
      <w:r w:rsidR="00F926B9" w:rsidRPr="00F669AB">
        <w:rPr>
          <w:rFonts w:ascii="Arial" w:hAnsi="Arial" w:cs="Arial"/>
          <w:sz w:val="24"/>
          <w:szCs w:val="24"/>
        </w:rPr>
        <w:t xml:space="preserve">item 20 </w:t>
      </w:r>
      <w:r w:rsidR="001D2192" w:rsidRPr="00F669AB">
        <w:rPr>
          <w:rFonts w:ascii="Arial" w:hAnsi="Arial" w:cs="Arial"/>
          <w:sz w:val="24"/>
          <w:szCs w:val="24"/>
        </w:rPr>
        <w:t>must be interpreted. Section 157(6) ensures that the system establish</w:t>
      </w:r>
      <w:r w:rsidR="00904AC8" w:rsidRPr="00F669AB">
        <w:rPr>
          <w:rFonts w:ascii="Arial" w:hAnsi="Arial" w:cs="Arial"/>
          <w:sz w:val="24"/>
          <w:szCs w:val="24"/>
        </w:rPr>
        <w:t xml:space="preserve">ed by the Structures Act for a </w:t>
      </w:r>
      <w:r w:rsidR="00E54A49" w:rsidRPr="00F669AB">
        <w:rPr>
          <w:rFonts w:ascii="Arial" w:hAnsi="Arial" w:cs="Arial"/>
          <w:sz w:val="24"/>
          <w:szCs w:val="24"/>
        </w:rPr>
        <w:t>l</w:t>
      </w:r>
      <w:r w:rsidR="00904AC8" w:rsidRPr="00F669AB">
        <w:rPr>
          <w:rFonts w:ascii="Arial" w:hAnsi="Arial" w:cs="Arial"/>
          <w:sz w:val="24"/>
          <w:szCs w:val="24"/>
        </w:rPr>
        <w:t>ocal</w:t>
      </w:r>
      <w:r w:rsidR="004D7695" w:rsidRPr="00F669AB">
        <w:rPr>
          <w:rFonts w:ascii="Arial" w:hAnsi="Arial" w:cs="Arial"/>
          <w:sz w:val="24"/>
          <w:szCs w:val="24"/>
        </w:rPr>
        <w:t xml:space="preserve"> </w:t>
      </w:r>
      <w:r w:rsidR="00E54A49" w:rsidRPr="00F669AB">
        <w:rPr>
          <w:rFonts w:ascii="Arial" w:hAnsi="Arial" w:cs="Arial"/>
          <w:sz w:val="24"/>
          <w:szCs w:val="24"/>
        </w:rPr>
        <w:t>c</w:t>
      </w:r>
      <w:r w:rsidR="001D2192" w:rsidRPr="00F669AB">
        <w:rPr>
          <w:rFonts w:ascii="Arial" w:hAnsi="Arial" w:cs="Arial"/>
          <w:sz w:val="24"/>
          <w:szCs w:val="24"/>
        </w:rPr>
        <w:t>ou</w:t>
      </w:r>
      <w:r w:rsidR="00904AC8" w:rsidRPr="00F669AB">
        <w:rPr>
          <w:rFonts w:ascii="Arial" w:hAnsi="Arial" w:cs="Arial"/>
          <w:sz w:val="24"/>
          <w:szCs w:val="24"/>
        </w:rPr>
        <w:t xml:space="preserve">ncil to appoint members to </w:t>
      </w:r>
      <w:r w:rsidR="00E54A49" w:rsidRPr="00F669AB">
        <w:rPr>
          <w:rFonts w:ascii="Arial" w:hAnsi="Arial" w:cs="Arial"/>
          <w:sz w:val="24"/>
          <w:szCs w:val="24"/>
        </w:rPr>
        <w:t>a</w:t>
      </w:r>
      <w:r w:rsidR="00904AC8" w:rsidRPr="00F669AB">
        <w:rPr>
          <w:rFonts w:ascii="Arial" w:hAnsi="Arial" w:cs="Arial"/>
          <w:sz w:val="24"/>
          <w:szCs w:val="24"/>
        </w:rPr>
        <w:t xml:space="preserve"> </w:t>
      </w:r>
      <w:r w:rsidR="00E54A49" w:rsidRPr="00F669AB">
        <w:rPr>
          <w:rFonts w:ascii="Arial" w:hAnsi="Arial" w:cs="Arial"/>
          <w:sz w:val="24"/>
          <w:szCs w:val="24"/>
        </w:rPr>
        <w:t>d</w:t>
      </w:r>
      <w:r w:rsidR="00904AC8" w:rsidRPr="00F669AB">
        <w:rPr>
          <w:rFonts w:ascii="Arial" w:hAnsi="Arial" w:cs="Arial"/>
          <w:sz w:val="24"/>
          <w:szCs w:val="24"/>
        </w:rPr>
        <w:t xml:space="preserve">istrict </w:t>
      </w:r>
      <w:r w:rsidR="00E54A49" w:rsidRPr="00F669AB">
        <w:rPr>
          <w:rFonts w:ascii="Arial" w:hAnsi="Arial" w:cs="Arial"/>
          <w:sz w:val="24"/>
          <w:szCs w:val="24"/>
        </w:rPr>
        <w:t>c</w:t>
      </w:r>
      <w:r w:rsidR="001D2192" w:rsidRPr="00F669AB">
        <w:rPr>
          <w:rFonts w:ascii="Arial" w:hAnsi="Arial" w:cs="Arial"/>
          <w:sz w:val="24"/>
          <w:szCs w:val="24"/>
        </w:rPr>
        <w:t>ouncil reflects the composition of the local council.</w:t>
      </w:r>
    </w:p>
    <w:p w14:paraId="09BA2276" w14:textId="77777777" w:rsidR="00772102" w:rsidRPr="00512F52" w:rsidRDefault="00772102" w:rsidP="00772102">
      <w:pPr>
        <w:pStyle w:val="ListParagraph"/>
        <w:spacing w:after="0" w:line="360" w:lineRule="auto"/>
        <w:jc w:val="both"/>
        <w:rPr>
          <w:rFonts w:ascii="Arial" w:hAnsi="Arial" w:cs="Arial"/>
          <w:sz w:val="24"/>
          <w:szCs w:val="24"/>
        </w:rPr>
      </w:pPr>
    </w:p>
    <w:p w14:paraId="7B1E70AA" w14:textId="34BBDE00" w:rsidR="00A9298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[68]</w:t>
      </w:r>
      <w:r w:rsidRPr="00512F52">
        <w:rPr>
          <w:rFonts w:ascii="Arial" w:hAnsi="Arial" w:cs="Arial"/>
          <w:sz w:val="24"/>
          <w:szCs w:val="24"/>
        </w:rPr>
        <w:tab/>
      </w:r>
      <w:r w:rsidR="00353D13" w:rsidRPr="00F669AB">
        <w:rPr>
          <w:rFonts w:ascii="Arial" w:hAnsi="Arial" w:cs="Arial"/>
          <w:sz w:val="24"/>
          <w:szCs w:val="24"/>
        </w:rPr>
        <w:t>The purpos</w:t>
      </w:r>
      <w:r w:rsidR="00BE5520" w:rsidRPr="00F669AB">
        <w:rPr>
          <w:rFonts w:ascii="Arial" w:hAnsi="Arial" w:cs="Arial"/>
          <w:sz w:val="24"/>
          <w:szCs w:val="24"/>
        </w:rPr>
        <w:t>e of item 20 is to ensure that the</w:t>
      </w:r>
      <w:r w:rsidR="00353D13" w:rsidRPr="00F669AB">
        <w:rPr>
          <w:rFonts w:ascii="Arial" w:hAnsi="Arial" w:cs="Arial"/>
          <w:sz w:val="24"/>
          <w:szCs w:val="24"/>
        </w:rPr>
        <w:t xml:space="preserve"> district council’s representatives reflect the extent of support for the parties in the local municipality. The Commission’s interpretation of item 20 achieves that goal. That interpretation ensures that parties will never receive more district </w:t>
      </w:r>
      <w:r w:rsidR="00013448" w:rsidRPr="00F669AB">
        <w:rPr>
          <w:rFonts w:ascii="Arial" w:hAnsi="Arial" w:cs="Arial"/>
          <w:sz w:val="24"/>
          <w:szCs w:val="24"/>
        </w:rPr>
        <w:t xml:space="preserve">council </w:t>
      </w:r>
      <w:r w:rsidR="00353D13" w:rsidRPr="00F669AB">
        <w:rPr>
          <w:rFonts w:ascii="Arial" w:hAnsi="Arial" w:cs="Arial"/>
          <w:sz w:val="24"/>
          <w:szCs w:val="24"/>
        </w:rPr>
        <w:t>seats than the votes they can muster for their lists in the local council. Unlike the respondents</w:t>
      </w:r>
      <w:r w:rsidR="00EE390A" w:rsidRPr="00F669AB">
        <w:rPr>
          <w:rFonts w:ascii="Arial" w:hAnsi="Arial" w:cs="Arial"/>
          <w:sz w:val="24"/>
          <w:szCs w:val="24"/>
        </w:rPr>
        <w:t>’</w:t>
      </w:r>
      <w:r w:rsidR="00353D13" w:rsidRPr="00F669AB">
        <w:rPr>
          <w:rFonts w:ascii="Arial" w:hAnsi="Arial" w:cs="Arial"/>
          <w:sz w:val="24"/>
          <w:szCs w:val="24"/>
        </w:rPr>
        <w:t xml:space="preserve"> interpretation, the Commission’s interpretation does not create multiple distorting effects in instances where a large number of councillors do not participate on the election</w:t>
      </w:r>
      <w:r w:rsidR="00CB73FC" w:rsidRPr="00F669AB">
        <w:rPr>
          <w:rFonts w:ascii="Arial" w:hAnsi="Arial" w:cs="Arial"/>
          <w:sz w:val="24"/>
          <w:szCs w:val="24"/>
        </w:rPr>
        <w:t>,</w:t>
      </w:r>
      <w:r w:rsidR="00353D13" w:rsidRPr="00F669AB">
        <w:rPr>
          <w:rFonts w:ascii="Arial" w:hAnsi="Arial" w:cs="Arial"/>
          <w:sz w:val="24"/>
          <w:szCs w:val="24"/>
        </w:rPr>
        <w:t xml:space="preserve"> as it recognises that the Structures Act does provide for seats to remain unfilled where the party that obtained the necessary votes, such as in the present case, to fill them</w:t>
      </w:r>
      <w:r w:rsidR="00BE5520" w:rsidRPr="00F669AB">
        <w:rPr>
          <w:rFonts w:ascii="Arial" w:hAnsi="Arial" w:cs="Arial"/>
          <w:sz w:val="24"/>
          <w:szCs w:val="24"/>
        </w:rPr>
        <w:t>,</w:t>
      </w:r>
      <w:r w:rsidR="00353D13" w:rsidRPr="00F669AB">
        <w:rPr>
          <w:rFonts w:ascii="Arial" w:hAnsi="Arial" w:cs="Arial"/>
          <w:sz w:val="24"/>
          <w:szCs w:val="24"/>
        </w:rPr>
        <w:t xml:space="preserve"> </w:t>
      </w:r>
      <w:r w:rsidR="00BE5520" w:rsidRPr="00F669AB">
        <w:rPr>
          <w:rFonts w:ascii="Arial" w:hAnsi="Arial" w:cs="Arial"/>
          <w:sz w:val="24"/>
          <w:szCs w:val="24"/>
        </w:rPr>
        <w:t>cannot</w:t>
      </w:r>
      <w:r w:rsidR="00353D13" w:rsidRPr="00F669AB">
        <w:rPr>
          <w:rFonts w:ascii="Arial" w:hAnsi="Arial" w:cs="Arial"/>
          <w:sz w:val="24"/>
          <w:szCs w:val="24"/>
        </w:rPr>
        <w:t xml:space="preserve"> do so.</w:t>
      </w:r>
    </w:p>
    <w:p w14:paraId="6542627C" w14:textId="77777777" w:rsidR="00772102" w:rsidRPr="00512F52" w:rsidRDefault="00772102" w:rsidP="00772102">
      <w:pPr>
        <w:pStyle w:val="ListParagraph"/>
        <w:spacing w:after="0" w:line="360" w:lineRule="auto"/>
        <w:jc w:val="both"/>
        <w:rPr>
          <w:rFonts w:ascii="Arial" w:hAnsi="Arial" w:cs="Arial"/>
          <w:sz w:val="24"/>
          <w:szCs w:val="24"/>
        </w:rPr>
      </w:pPr>
    </w:p>
    <w:p w14:paraId="49E98082" w14:textId="781D82F1" w:rsidR="00353D13"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[69]</w:t>
      </w:r>
      <w:r w:rsidRPr="00512F52">
        <w:rPr>
          <w:rFonts w:ascii="Arial" w:hAnsi="Arial" w:cs="Arial"/>
          <w:sz w:val="24"/>
          <w:szCs w:val="24"/>
        </w:rPr>
        <w:tab/>
      </w:r>
      <w:r w:rsidR="00353D13" w:rsidRPr="00F669AB">
        <w:rPr>
          <w:rFonts w:ascii="Arial" w:hAnsi="Arial" w:cs="Arial"/>
          <w:sz w:val="24"/>
          <w:szCs w:val="24"/>
        </w:rPr>
        <w:t>The allocation by the Commission’s representatives of the remaining three seats</w:t>
      </w:r>
      <w:r w:rsidR="00525716" w:rsidRPr="00F669AB">
        <w:rPr>
          <w:rFonts w:ascii="Arial" w:hAnsi="Arial" w:cs="Arial"/>
          <w:sz w:val="24"/>
          <w:szCs w:val="24"/>
        </w:rPr>
        <w:t>,</w:t>
      </w:r>
      <w:r w:rsidR="00353D13" w:rsidRPr="00F669AB">
        <w:rPr>
          <w:rFonts w:ascii="Arial" w:hAnsi="Arial" w:cs="Arial"/>
          <w:sz w:val="24"/>
          <w:szCs w:val="24"/>
        </w:rPr>
        <w:t xml:space="preserve"> to the IFP</w:t>
      </w:r>
      <w:r w:rsidR="00BE5520" w:rsidRPr="00F669AB">
        <w:rPr>
          <w:rFonts w:ascii="Arial" w:hAnsi="Arial" w:cs="Arial"/>
          <w:sz w:val="24"/>
          <w:szCs w:val="24"/>
        </w:rPr>
        <w:t>, the DA and the EFF</w:t>
      </w:r>
      <w:r w:rsidR="00CB73FC" w:rsidRPr="00F669AB">
        <w:rPr>
          <w:rFonts w:ascii="Arial" w:hAnsi="Arial" w:cs="Arial"/>
          <w:sz w:val="24"/>
          <w:szCs w:val="24"/>
        </w:rPr>
        <w:t>,</w:t>
      </w:r>
      <w:r w:rsidR="004D7695" w:rsidRPr="00F669AB">
        <w:rPr>
          <w:rFonts w:ascii="Arial" w:hAnsi="Arial" w:cs="Arial"/>
          <w:sz w:val="24"/>
          <w:szCs w:val="24"/>
        </w:rPr>
        <w:t xml:space="preserve"> respectively</w:t>
      </w:r>
      <w:r w:rsidR="00CB73FC" w:rsidRPr="00F669AB">
        <w:rPr>
          <w:rFonts w:ascii="Arial" w:hAnsi="Arial" w:cs="Arial"/>
          <w:sz w:val="24"/>
          <w:szCs w:val="24"/>
        </w:rPr>
        <w:t>,</w:t>
      </w:r>
      <w:r w:rsidR="00BE5520" w:rsidRPr="00F669AB">
        <w:rPr>
          <w:rFonts w:ascii="Arial" w:hAnsi="Arial" w:cs="Arial"/>
          <w:sz w:val="24"/>
          <w:szCs w:val="24"/>
        </w:rPr>
        <w:t xml:space="preserve"> resulting</w:t>
      </w:r>
      <w:r w:rsidR="00013448" w:rsidRPr="00F669AB">
        <w:rPr>
          <w:rFonts w:ascii="Arial" w:hAnsi="Arial" w:cs="Arial"/>
          <w:sz w:val="24"/>
          <w:szCs w:val="24"/>
        </w:rPr>
        <w:t xml:space="preserve"> from using the surpluses twice</w:t>
      </w:r>
      <w:r w:rsidR="00525716" w:rsidRPr="00F669AB">
        <w:rPr>
          <w:rFonts w:ascii="Arial" w:hAnsi="Arial" w:cs="Arial"/>
          <w:sz w:val="24"/>
          <w:szCs w:val="24"/>
        </w:rPr>
        <w:t>,</w:t>
      </w:r>
      <w:r w:rsidR="00353D13" w:rsidRPr="00F669AB">
        <w:rPr>
          <w:rFonts w:ascii="Arial" w:hAnsi="Arial" w:cs="Arial"/>
          <w:sz w:val="24"/>
          <w:szCs w:val="24"/>
        </w:rPr>
        <w:t xml:space="preserve"> </w:t>
      </w:r>
      <w:r w:rsidR="00525716" w:rsidRPr="00F669AB">
        <w:rPr>
          <w:rFonts w:ascii="Arial" w:hAnsi="Arial" w:cs="Arial"/>
          <w:sz w:val="24"/>
          <w:szCs w:val="24"/>
        </w:rPr>
        <w:t xml:space="preserve">was unlawful and was inconsistent with the Structures Act. The appointment of the three </w:t>
      </w:r>
      <w:r w:rsidR="00CB73FC" w:rsidRPr="00F669AB">
        <w:rPr>
          <w:rFonts w:ascii="Arial" w:hAnsi="Arial" w:cs="Arial"/>
          <w:sz w:val="24"/>
          <w:szCs w:val="24"/>
        </w:rPr>
        <w:t xml:space="preserve">affected </w:t>
      </w:r>
      <w:r w:rsidR="00525716" w:rsidRPr="00F669AB">
        <w:rPr>
          <w:rFonts w:ascii="Arial" w:hAnsi="Arial" w:cs="Arial"/>
          <w:sz w:val="24"/>
          <w:szCs w:val="24"/>
        </w:rPr>
        <w:t xml:space="preserve">councillors was </w:t>
      </w:r>
      <w:r w:rsidR="007E6F78" w:rsidRPr="00F669AB">
        <w:rPr>
          <w:rFonts w:ascii="Arial" w:hAnsi="Arial" w:cs="Arial"/>
          <w:sz w:val="24"/>
          <w:szCs w:val="24"/>
        </w:rPr>
        <w:t>therefore</w:t>
      </w:r>
      <w:r w:rsidR="00863B20" w:rsidRPr="00F669AB">
        <w:rPr>
          <w:rFonts w:ascii="Arial" w:hAnsi="Arial" w:cs="Arial"/>
          <w:sz w:val="24"/>
          <w:szCs w:val="24"/>
        </w:rPr>
        <w:t xml:space="preserve"> unlawful,</w:t>
      </w:r>
      <w:r w:rsidR="007E6F78" w:rsidRPr="00F669AB">
        <w:rPr>
          <w:rFonts w:ascii="Arial" w:hAnsi="Arial" w:cs="Arial"/>
          <w:sz w:val="24"/>
          <w:szCs w:val="24"/>
        </w:rPr>
        <w:t xml:space="preserve"> </w:t>
      </w:r>
      <w:r w:rsidR="00863B20" w:rsidRPr="00F669AB">
        <w:rPr>
          <w:rFonts w:ascii="Arial" w:hAnsi="Arial" w:cs="Arial"/>
          <w:sz w:val="24"/>
          <w:szCs w:val="24"/>
        </w:rPr>
        <w:t>unconstitutional</w:t>
      </w:r>
      <w:r w:rsidR="00525716" w:rsidRPr="00F669AB">
        <w:rPr>
          <w:rFonts w:ascii="Arial" w:hAnsi="Arial" w:cs="Arial"/>
          <w:sz w:val="24"/>
          <w:szCs w:val="24"/>
        </w:rPr>
        <w:t xml:space="preserve"> and </w:t>
      </w:r>
      <w:r w:rsidR="00863B20" w:rsidRPr="00F669AB">
        <w:rPr>
          <w:rFonts w:ascii="Arial" w:hAnsi="Arial" w:cs="Arial"/>
          <w:sz w:val="24"/>
          <w:szCs w:val="24"/>
        </w:rPr>
        <w:t>invalid.</w:t>
      </w:r>
      <w:r w:rsidR="00525716" w:rsidRPr="00F669AB">
        <w:rPr>
          <w:rFonts w:ascii="Arial" w:hAnsi="Arial" w:cs="Arial"/>
          <w:sz w:val="24"/>
          <w:szCs w:val="24"/>
        </w:rPr>
        <w:t xml:space="preserve"> </w:t>
      </w:r>
      <w:r w:rsidR="00CB73FC" w:rsidRPr="00F669AB">
        <w:rPr>
          <w:rFonts w:ascii="Arial" w:hAnsi="Arial" w:cs="Arial"/>
          <w:sz w:val="24"/>
          <w:szCs w:val="24"/>
        </w:rPr>
        <w:t>Consequently, t</w:t>
      </w:r>
      <w:r w:rsidR="00525716" w:rsidRPr="00F669AB">
        <w:rPr>
          <w:rFonts w:ascii="Arial" w:hAnsi="Arial" w:cs="Arial"/>
          <w:sz w:val="24"/>
          <w:szCs w:val="24"/>
        </w:rPr>
        <w:t>he question is whether the appointment should be set aside. This is the question I now turn to.</w:t>
      </w:r>
    </w:p>
    <w:p w14:paraId="600E2741" w14:textId="77777777" w:rsidR="00A92982" w:rsidRPr="00512F52" w:rsidRDefault="00A92982" w:rsidP="00772102">
      <w:pPr>
        <w:spacing w:after="0" w:line="360" w:lineRule="auto"/>
        <w:jc w:val="both"/>
        <w:rPr>
          <w:rFonts w:ascii="Arial" w:hAnsi="Arial" w:cs="Arial"/>
          <w:sz w:val="24"/>
          <w:szCs w:val="24"/>
        </w:rPr>
      </w:pPr>
    </w:p>
    <w:p w14:paraId="23A6232E" w14:textId="7216FB19" w:rsidR="00525716" w:rsidRPr="00512F52" w:rsidRDefault="00525716" w:rsidP="00772102">
      <w:pPr>
        <w:spacing w:after="0" w:line="360" w:lineRule="auto"/>
        <w:jc w:val="both"/>
        <w:rPr>
          <w:rFonts w:ascii="Arial" w:hAnsi="Arial" w:cs="Arial"/>
          <w:b/>
          <w:bCs/>
          <w:sz w:val="24"/>
          <w:szCs w:val="24"/>
        </w:rPr>
      </w:pPr>
      <w:r w:rsidRPr="00512F52">
        <w:rPr>
          <w:rFonts w:ascii="Arial" w:hAnsi="Arial" w:cs="Arial"/>
          <w:b/>
          <w:bCs/>
          <w:sz w:val="24"/>
          <w:szCs w:val="24"/>
        </w:rPr>
        <w:t>Just and equitable relief</w:t>
      </w:r>
    </w:p>
    <w:p w14:paraId="2B737EE1" w14:textId="492DE905" w:rsidR="00975DE1" w:rsidRPr="00F669AB" w:rsidRDefault="00F669AB" w:rsidP="00F669AB">
      <w:pPr>
        <w:spacing w:after="0" w:line="360" w:lineRule="auto"/>
        <w:jc w:val="both"/>
        <w:rPr>
          <w:rFonts w:ascii="Arial" w:hAnsi="Arial" w:cs="Arial"/>
          <w:i/>
          <w:iCs/>
          <w:sz w:val="24"/>
          <w:szCs w:val="24"/>
          <w:lang w:val="en-ZA"/>
        </w:rPr>
      </w:pPr>
      <w:r w:rsidRPr="00512F52">
        <w:rPr>
          <w:rFonts w:ascii="Arial" w:hAnsi="Arial" w:cs="Arial"/>
          <w:iCs/>
          <w:sz w:val="24"/>
          <w:szCs w:val="24"/>
          <w:lang w:val="en-ZA"/>
        </w:rPr>
        <w:t>[70]</w:t>
      </w:r>
      <w:r w:rsidRPr="00512F52">
        <w:rPr>
          <w:rFonts w:ascii="Arial" w:hAnsi="Arial" w:cs="Arial"/>
          <w:iCs/>
          <w:sz w:val="24"/>
          <w:szCs w:val="24"/>
          <w:lang w:val="en-ZA"/>
        </w:rPr>
        <w:tab/>
      </w:r>
      <w:r w:rsidR="00156DE9" w:rsidRPr="00F669AB">
        <w:rPr>
          <w:rFonts w:ascii="Arial" w:hAnsi="Arial" w:cs="Arial"/>
          <w:sz w:val="24"/>
          <w:szCs w:val="24"/>
        </w:rPr>
        <w:t>As regards the remedy, s 172(1)</w:t>
      </w:r>
      <w:r w:rsidR="00156DE9" w:rsidRPr="00F669AB">
        <w:rPr>
          <w:rFonts w:ascii="Arial" w:hAnsi="Arial" w:cs="Arial"/>
          <w:i/>
          <w:iCs/>
          <w:sz w:val="24"/>
          <w:szCs w:val="24"/>
        </w:rPr>
        <w:t xml:space="preserve">(b) </w:t>
      </w:r>
      <w:r w:rsidR="00156DE9" w:rsidRPr="00F669AB">
        <w:rPr>
          <w:rFonts w:ascii="Arial" w:hAnsi="Arial" w:cs="Arial"/>
          <w:sz w:val="24"/>
          <w:szCs w:val="24"/>
        </w:rPr>
        <w:t xml:space="preserve">of the Constitution provides that upon a declaration of constitutional invalidity, a court may make any order that is just and equitable. </w:t>
      </w:r>
      <w:r w:rsidR="0062321C" w:rsidRPr="00F669AB">
        <w:rPr>
          <w:rFonts w:ascii="Arial" w:hAnsi="Arial" w:cs="Arial"/>
          <w:sz w:val="24"/>
          <w:szCs w:val="24"/>
        </w:rPr>
        <w:t xml:space="preserve">In </w:t>
      </w:r>
      <w:r w:rsidR="00690B81" w:rsidRPr="00F669AB">
        <w:rPr>
          <w:rFonts w:ascii="Arial" w:hAnsi="Arial" w:cs="Arial"/>
          <w:i/>
          <w:sz w:val="24"/>
          <w:szCs w:val="24"/>
        </w:rPr>
        <w:t>E</w:t>
      </w:r>
      <w:r w:rsidR="008D5933" w:rsidRPr="00F669AB">
        <w:rPr>
          <w:rFonts w:ascii="Arial" w:hAnsi="Arial" w:cs="Arial"/>
          <w:i/>
          <w:sz w:val="24"/>
          <w:szCs w:val="24"/>
        </w:rPr>
        <w:t>conomic Freedom Fighters</w:t>
      </w:r>
      <w:r w:rsidR="003E594A" w:rsidRPr="00F669AB">
        <w:rPr>
          <w:rFonts w:ascii="Arial" w:hAnsi="Arial" w:cs="Arial"/>
          <w:i/>
          <w:sz w:val="24"/>
          <w:szCs w:val="24"/>
        </w:rPr>
        <w:t xml:space="preserve"> and Others v </w:t>
      </w:r>
      <w:r w:rsidR="00690B81" w:rsidRPr="00F669AB">
        <w:rPr>
          <w:rFonts w:ascii="Arial" w:hAnsi="Arial" w:cs="Arial"/>
          <w:i/>
          <w:sz w:val="24"/>
          <w:szCs w:val="24"/>
        </w:rPr>
        <w:t>Speaker</w:t>
      </w:r>
      <w:r w:rsidR="003E594A" w:rsidRPr="00F669AB">
        <w:rPr>
          <w:rFonts w:ascii="Arial" w:hAnsi="Arial" w:cs="Arial"/>
          <w:i/>
          <w:sz w:val="24"/>
          <w:szCs w:val="24"/>
        </w:rPr>
        <w:t xml:space="preserve"> of the</w:t>
      </w:r>
      <w:r w:rsidR="00690B81" w:rsidRPr="00F669AB">
        <w:rPr>
          <w:rFonts w:ascii="Arial" w:hAnsi="Arial" w:cs="Arial"/>
          <w:i/>
          <w:sz w:val="24"/>
          <w:szCs w:val="24"/>
        </w:rPr>
        <w:t xml:space="preserve"> National Assembly</w:t>
      </w:r>
      <w:r w:rsidR="003E594A" w:rsidRPr="00F669AB">
        <w:rPr>
          <w:rFonts w:ascii="Arial" w:hAnsi="Arial" w:cs="Arial"/>
          <w:i/>
          <w:sz w:val="24"/>
          <w:szCs w:val="24"/>
        </w:rPr>
        <w:t xml:space="preserve"> and Another</w:t>
      </w:r>
      <w:r w:rsidR="00F7586F" w:rsidRPr="00F669AB">
        <w:rPr>
          <w:rFonts w:ascii="Arial" w:hAnsi="Arial" w:cs="Arial"/>
          <w:sz w:val="24"/>
          <w:szCs w:val="24"/>
        </w:rPr>
        <w:t>,</w:t>
      </w:r>
      <w:r w:rsidR="00F7586F" w:rsidRPr="00512F52">
        <w:rPr>
          <w:rStyle w:val="FootnoteReference"/>
          <w:rFonts w:ascii="Arial" w:hAnsi="Arial" w:cs="Arial"/>
          <w:sz w:val="24"/>
          <w:szCs w:val="24"/>
        </w:rPr>
        <w:footnoteReference w:id="24"/>
      </w:r>
      <w:r w:rsidR="00F271CA" w:rsidRPr="00F669AB">
        <w:rPr>
          <w:rFonts w:ascii="Arial" w:hAnsi="Arial" w:cs="Arial"/>
          <w:i/>
          <w:sz w:val="24"/>
          <w:szCs w:val="24"/>
        </w:rPr>
        <w:t xml:space="preserve"> </w:t>
      </w:r>
      <w:r w:rsidR="00690B81" w:rsidRPr="00F669AB">
        <w:rPr>
          <w:rFonts w:ascii="Arial" w:hAnsi="Arial" w:cs="Arial"/>
          <w:sz w:val="24"/>
          <w:szCs w:val="24"/>
        </w:rPr>
        <w:t xml:space="preserve">Jafta J stated that the court’s remedial power is not limited to declarations </w:t>
      </w:r>
      <w:r w:rsidR="00690B81" w:rsidRPr="00F669AB">
        <w:rPr>
          <w:rFonts w:ascii="Arial" w:hAnsi="Arial" w:cs="Arial"/>
          <w:sz w:val="24"/>
          <w:szCs w:val="24"/>
        </w:rPr>
        <w:lastRenderedPageBreak/>
        <w:t xml:space="preserve">of invalidity. It is much wider and is without restrictions or conditions. The learned judge referred with approval to </w:t>
      </w:r>
      <w:r w:rsidR="00690B81" w:rsidRPr="00F669AB">
        <w:rPr>
          <w:rFonts w:ascii="Arial" w:hAnsi="Arial" w:cs="Arial"/>
          <w:i/>
          <w:sz w:val="24"/>
          <w:szCs w:val="24"/>
        </w:rPr>
        <w:t>Ho</w:t>
      </w:r>
      <w:r w:rsidR="00A92982" w:rsidRPr="00F669AB">
        <w:rPr>
          <w:rFonts w:ascii="Arial" w:hAnsi="Arial" w:cs="Arial"/>
          <w:i/>
          <w:sz w:val="24"/>
          <w:szCs w:val="24"/>
        </w:rPr>
        <w:t>ë</w:t>
      </w:r>
      <w:r w:rsidR="00690B81" w:rsidRPr="00F669AB">
        <w:rPr>
          <w:rFonts w:ascii="Arial" w:hAnsi="Arial" w:cs="Arial"/>
          <w:i/>
          <w:sz w:val="24"/>
          <w:szCs w:val="24"/>
        </w:rPr>
        <w:t>rskool Ermelo</w:t>
      </w:r>
      <w:r w:rsidR="00F7586F" w:rsidRPr="00F669AB">
        <w:rPr>
          <w:rFonts w:ascii="Arial" w:hAnsi="Arial" w:cs="Arial"/>
          <w:sz w:val="24"/>
          <w:szCs w:val="24"/>
        </w:rPr>
        <w:t>,</w:t>
      </w:r>
      <w:r w:rsidR="00E36ED8" w:rsidRPr="00512F52">
        <w:rPr>
          <w:vertAlign w:val="superscript"/>
          <w:lang w:val="en-ZA"/>
        </w:rPr>
        <w:footnoteReference w:id="25"/>
      </w:r>
      <w:r w:rsidR="00975DE1" w:rsidRPr="00F669AB">
        <w:rPr>
          <w:rFonts w:ascii="Arial" w:hAnsi="Arial" w:cs="Arial"/>
          <w:sz w:val="24"/>
          <w:szCs w:val="24"/>
        </w:rPr>
        <w:t xml:space="preserve"> in which the following </w:t>
      </w:r>
      <w:r w:rsidR="00506A10" w:rsidRPr="00F669AB">
        <w:rPr>
          <w:rFonts w:ascii="Arial" w:hAnsi="Arial" w:cs="Arial"/>
          <w:sz w:val="24"/>
          <w:szCs w:val="24"/>
        </w:rPr>
        <w:t>is</w:t>
      </w:r>
      <w:r w:rsidR="00975DE1" w:rsidRPr="00F669AB">
        <w:rPr>
          <w:rFonts w:ascii="Arial" w:hAnsi="Arial" w:cs="Arial"/>
          <w:sz w:val="24"/>
          <w:szCs w:val="24"/>
        </w:rPr>
        <w:t xml:space="preserve"> stated at para 96:</w:t>
      </w:r>
    </w:p>
    <w:p w14:paraId="4E9B9981" w14:textId="563F7E52" w:rsidR="00AC105A" w:rsidRPr="00512F52" w:rsidRDefault="00F271CA" w:rsidP="00772102">
      <w:pPr>
        <w:spacing w:after="0" w:line="360" w:lineRule="auto"/>
        <w:jc w:val="both"/>
        <w:rPr>
          <w:rFonts w:ascii="Arial" w:hAnsi="Arial" w:cs="Arial"/>
          <w:lang w:val="en-ZA"/>
        </w:rPr>
      </w:pPr>
      <w:r w:rsidRPr="00512F52">
        <w:rPr>
          <w:rFonts w:ascii="Arial" w:hAnsi="Arial" w:cs="Arial"/>
          <w:lang w:val="en-ZA"/>
        </w:rPr>
        <w:t>‘</w:t>
      </w:r>
      <w:r w:rsidR="00E36ED8" w:rsidRPr="00512F52">
        <w:rPr>
          <w:rFonts w:ascii="Arial" w:hAnsi="Arial" w:cs="Arial"/>
          <w:lang w:val="en-ZA"/>
        </w:rPr>
        <w:t>The power to make such an order derives from s 172(1)</w:t>
      </w:r>
      <w:r w:rsidR="00E36ED8" w:rsidRPr="00512F52">
        <w:rPr>
          <w:rFonts w:ascii="Arial" w:hAnsi="Arial" w:cs="Arial"/>
          <w:i/>
          <w:lang w:val="en-ZA"/>
        </w:rPr>
        <w:t>(b)</w:t>
      </w:r>
      <w:r w:rsidR="00E36ED8" w:rsidRPr="00512F52">
        <w:rPr>
          <w:rFonts w:ascii="Arial" w:hAnsi="Arial" w:cs="Arial"/>
          <w:lang w:val="en-ZA"/>
        </w:rPr>
        <w:t xml:space="preserve"> of the Constitution. First, s 172(1)</w:t>
      </w:r>
      <w:r w:rsidR="00E36ED8" w:rsidRPr="00512F52">
        <w:rPr>
          <w:rFonts w:ascii="Arial" w:hAnsi="Arial" w:cs="Arial"/>
          <w:i/>
          <w:lang w:val="en-ZA"/>
        </w:rPr>
        <w:t xml:space="preserve">(a) </w:t>
      </w:r>
      <w:r w:rsidR="00E36ED8" w:rsidRPr="00512F52">
        <w:rPr>
          <w:rFonts w:ascii="Arial" w:hAnsi="Arial" w:cs="Arial"/>
          <w:lang w:val="en-ZA"/>
        </w:rPr>
        <w:t xml:space="preserve">requires a court, when deciding a constitutional matter within its power, to declare any law or conduct that is </w:t>
      </w:r>
      <w:r w:rsidR="00C0519E" w:rsidRPr="00512F52">
        <w:rPr>
          <w:rFonts w:ascii="Arial" w:hAnsi="Arial" w:cs="Arial"/>
          <w:lang w:val="en-ZA"/>
        </w:rPr>
        <w:t>in</w:t>
      </w:r>
      <w:r w:rsidR="00E36ED8" w:rsidRPr="00512F52">
        <w:rPr>
          <w:rFonts w:ascii="Arial" w:hAnsi="Arial" w:cs="Arial"/>
          <w:lang w:val="en-ZA"/>
        </w:rPr>
        <w:t>consistent with the Constitution invalid to the extent of its inconsistency.</w:t>
      </w:r>
      <w:r w:rsidR="00614554" w:rsidRPr="00512F52">
        <w:rPr>
          <w:rFonts w:ascii="Arial" w:hAnsi="Arial" w:cs="Arial"/>
          <w:lang w:val="en-ZA"/>
        </w:rPr>
        <w:t xml:space="preserve"> </w:t>
      </w:r>
      <w:r w:rsidR="00E36ED8" w:rsidRPr="00512F52">
        <w:rPr>
          <w:rFonts w:ascii="Arial" w:hAnsi="Arial" w:cs="Arial"/>
          <w:lang w:val="en-ZA"/>
        </w:rPr>
        <w:t>Section 172(1)</w:t>
      </w:r>
      <w:r w:rsidR="00E36ED8" w:rsidRPr="00512F52">
        <w:rPr>
          <w:rFonts w:ascii="Arial" w:hAnsi="Arial" w:cs="Arial"/>
          <w:i/>
          <w:lang w:val="en-ZA"/>
        </w:rPr>
        <w:t>(b)</w:t>
      </w:r>
      <w:r w:rsidR="00E36ED8" w:rsidRPr="00512F52">
        <w:rPr>
          <w:rFonts w:ascii="Arial" w:hAnsi="Arial" w:cs="Arial"/>
          <w:lang w:val="en-ZA"/>
        </w:rPr>
        <w:t xml:space="preserve"> of the Constitution provides that when this </w:t>
      </w:r>
      <w:r w:rsidR="00C0519E" w:rsidRPr="00512F52">
        <w:rPr>
          <w:rFonts w:ascii="Arial" w:hAnsi="Arial" w:cs="Arial"/>
          <w:lang w:val="en-ZA"/>
        </w:rPr>
        <w:t>C</w:t>
      </w:r>
      <w:r w:rsidR="00E36ED8" w:rsidRPr="00512F52">
        <w:rPr>
          <w:rFonts w:ascii="Arial" w:hAnsi="Arial" w:cs="Arial"/>
          <w:lang w:val="en-ZA"/>
        </w:rPr>
        <w:t>ourt decides a constitutional matter within its power it “may make any order that is just and equitable”. The litmus test will be whether considerations of justice and equity in a particular case dictate t</w:t>
      </w:r>
      <w:r w:rsidR="00614554" w:rsidRPr="00512F52">
        <w:rPr>
          <w:rFonts w:ascii="Arial" w:hAnsi="Arial" w:cs="Arial"/>
          <w:lang w:val="en-ZA"/>
        </w:rPr>
        <w:t>hat the order be made. In other</w:t>
      </w:r>
      <w:r w:rsidR="006F77EA" w:rsidRPr="00512F52">
        <w:rPr>
          <w:rFonts w:ascii="Arial" w:hAnsi="Arial" w:cs="Arial"/>
          <w:lang w:val="en-ZA"/>
        </w:rPr>
        <w:t xml:space="preserve"> </w:t>
      </w:r>
      <w:r w:rsidR="00E36ED8" w:rsidRPr="00512F52">
        <w:rPr>
          <w:rFonts w:ascii="Arial" w:hAnsi="Arial" w:cs="Arial"/>
          <w:lang w:val="en-ZA"/>
        </w:rPr>
        <w:t>words the order must be fair and just within the context of a particular dispute.</w:t>
      </w:r>
      <w:r w:rsidR="004D7695" w:rsidRPr="00512F52">
        <w:rPr>
          <w:rFonts w:ascii="Arial" w:hAnsi="Arial" w:cs="Arial"/>
          <w:lang w:val="en-ZA"/>
        </w:rPr>
        <w:t>’</w:t>
      </w:r>
    </w:p>
    <w:p w14:paraId="7D6D6F4F" w14:textId="77777777" w:rsidR="00AC105A" w:rsidRPr="00512F52" w:rsidRDefault="00AC105A" w:rsidP="00772102">
      <w:pPr>
        <w:spacing w:after="0" w:line="360" w:lineRule="auto"/>
        <w:jc w:val="both"/>
        <w:rPr>
          <w:rFonts w:ascii="Arial" w:hAnsi="Arial" w:cs="Arial"/>
          <w:sz w:val="24"/>
          <w:szCs w:val="24"/>
          <w:lang w:val="en-ZA"/>
        </w:rPr>
      </w:pPr>
    </w:p>
    <w:p w14:paraId="09898266" w14:textId="6E79B418" w:rsidR="008D5933" w:rsidRPr="00F669AB" w:rsidRDefault="00F669AB" w:rsidP="00F669AB">
      <w:pPr>
        <w:spacing w:after="0" w:line="360" w:lineRule="auto"/>
        <w:jc w:val="both"/>
        <w:rPr>
          <w:rFonts w:ascii="Arial" w:hAnsi="Arial" w:cs="Arial"/>
          <w:iCs/>
          <w:sz w:val="24"/>
          <w:szCs w:val="24"/>
          <w:lang w:val="en-ZA"/>
        </w:rPr>
      </w:pPr>
      <w:r w:rsidRPr="00512F52">
        <w:rPr>
          <w:rFonts w:ascii="Arial" w:hAnsi="Arial" w:cs="Arial"/>
          <w:iCs/>
          <w:sz w:val="24"/>
          <w:szCs w:val="24"/>
          <w:lang w:val="en-ZA"/>
        </w:rPr>
        <w:t>[71]</w:t>
      </w:r>
      <w:r w:rsidRPr="00512F52">
        <w:rPr>
          <w:rFonts w:ascii="Arial" w:hAnsi="Arial" w:cs="Arial"/>
          <w:iCs/>
          <w:sz w:val="24"/>
          <w:szCs w:val="24"/>
          <w:lang w:val="en-ZA"/>
        </w:rPr>
        <w:tab/>
      </w:r>
      <w:r w:rsidR="00975DE1" w:rsidRPr="00F669AB">
        <w:rPr>
          <w:rFonts w:ascii="Arial" w:hAnsi="Arial" w:cs="Arial"/>
          <w:iCs/>
          <w:sz w:val="24"/>
          <w:szCs w:val="24"/>
          <w:lang w:val="en-ZA"/>
        </w:rPr>
        <w:t xml:space="preserve">Jafta J went on to hold </w:t>
      </w:r>
      <w:r w:rsidR="00C0519E" w:rsidRPr="00F669AB">
        <w:rPr>
          <w:rFonts w:ascii="Arial" w:hAnsi="Arial" w:cs="Arial"/>
          <w:iCs/>
          <w:sz w:val="24"/>
          <w:szCs w:val="24"/>
          <w:lang w:val="en-ZA"/>
        </w:rPr>
        <w:t xml:space="preserve">in </w:t>
      </w:r>
      <w:r w:rsidR="00C0519E" w:rsidRPr="00F669AB">
        <w:rPr>
          <w:rFonts w:ascii="Arial" w:hAnsi="Arial" w:cs="Arial"/>
          <w:i/>
          <w:sz w:val="24"/>
          <w:szCs w:val="24"/>
        </w:rPr>
        <w:t>Economic Freedom Fighters</w:t>
      </w:r>
      <w:r w:rsidR="00975DE1" w:rsidRPr="00F669AB">
        <w:rPr>
          <w:rFonts w:ascii="Arial" w:hAnsi="Arial" w:cs="Arial"/>
          <w:iCs/>
          <w:sz w:val="24"/>
          <w:szCs w:val="24"/>
          <w:lang w:val="en-ZA"/>
        </w:rPr>
        <w:t xml:space="preserve">: </w:t>
      </w:r>
    </w:p>
    <w:p w14:paraId="46349A8C" w14:textId="7B5C4A15" w:rsidR="008D5933" w:rsidRPr="00512F52" w:rsidRDefault="008D5933" w:rsidP="00772102">
      <w:pPr>
        <w:spacing w:after="0" w:line="360" w:lineRule="auto"/>
        <w:jc w:val="both"/>
        <w:rPr>
          <w:rFonts w:ascii="Arial" w:hAnsi="Arial" w:cs="Arial"/>
          <w:lang w:val="en-ZA"/>
        </w:rPr>
      </w:pPr>
      <w:r w:rsidRPr="00512F52">
        <w:rPr>
          <w:rFonts w:ascii="Arial" w:hAnsi="Arial" w:cs="Arial"/>
          <w:lang w:val="en-ZA"/>
        </w:rPr>
        <w:t>‘</w:t>
      </w:r>
      <w:r w:rsidR="00F271CA" w:rsidRPr="00512F52">
        <w:rPr>
          <w:rFonts w:ascii="Arial" w:hAnsi="Arial" w:cs="Arial"/>
          <w:lang w:val="en-ZA"/>
        </w:rPr>
        <w:t xml:space="preserve">The power to grant a just and equitable order is so wide and flexible that it allows courts to formulate an order that does not follow prayers in the notice of motion or some other pleading. This power enables courts to address the real dispute between the parties by requiring them to take steps aimed at making their conduct to be consistent with the Constitution. In </w:t>
      </w:r>
      <w:r w:rsidR="00F271CA" w:rsidRPr="00512F52">
        <w:rPr>
          <w:rFonts w:ascii="Arial" w:hAnsi="Arial" w:cs="Arial"/>
          <w:i/>
          <w:lang w:val="en-ZA"/>
        </w:rPr>
        <w:t xml:space="preserve">Hoërskool Ermelo </w:t>
      </w:r>
      <w:r w:rsidR="00F271CA" w:rsidRPr="00512F52">
        <w:rPr>
          <w:rFonts w:ascii="Arial" w:hAnsi="Arial" w:cs="Arial"/>
          <w:lang w:val="en-ZA"/>
        </w:rPr>
        <w:t>Moseneke DCJ declared:</w:t>
      </w:r>
    </w:p>
    <w:p w14:paraId="45F1C0C8" w14:textId="231D49D8" w:rsidR="00F271CA" w:rsidRPr="00512F52" w:rsidRDefault="00F271CA" w:rsidP="00772102">
      <w:pPr>
        <w:spacing w:after="0" w:line="360" w:lineRule="auto"/>
        <w:jc w:val="both"/>
        <w:rPr>
          <w:rFonts w:ascii="Arial" w:hAnsi="Arial" w:cs="Arial"/>
          <w:lang w:val="en-ZA"/>
        </w:rPr>
      </w:pPr>
      <w:r w:rsidRPr="00512F52">
        <w:rPr>
          <w:rFonts w:ascii="Arial" w:hAnsi="Arial" w:cs="Arial"/>
          <w:lang w:val="en-ZA"/>
        </w:rPr>
        <w:t>“A just and equitable order may be made even in instances where the outcome of a constitutional dispute does not hinge on constitutional invalidity of legislation or conduct. This ample and flexible remedial jurisdiction in constitutional disputes permits a court to forge an order that would place substance above mere form by identifying the actual underlying dispute between the parties and by requiring the parties to take steps directed at resolving the dispute in a manner consistent with constitutional requirements. In several cases, this Court has found it fair to fashion orders to facilitate a substantive resolution of the underlying dispute between the parties. Sometimes orders</w:t>
      </w:r>
      <w:r w:rsidR="008D5933" w:rsidRPr="00512F52">
        <w:rPr>
          <w:rFonts w:ascii="Arial" w:hAnsi="Arial" w:cs="Arial"/>
          <w:lang w:val="en-ZA"/>
        </w:rPr>
        <w:t xml:space="preserve"> </w:t>
      </w:r>
      <w:r w:rsidRPr="00512F52">
        <w:rPr>
          <w:rFonts w:ascii="Arial" w:hAnsi="Arial" w:cs="Arial"/>
          <w:lang w:val="en-ZA"/>
        </w:rPr>
        <w:t>of this class have taken the form of structural interdicts or supervisory orders. This approach is valuable and advances constitutional justice particularly by ensuring that the parties themselves become part of the solution”</w:t>
      </w:r>
      <w:r w:rsidR="00D94023" w:rsidRPr="00512F52">
        <w:rPr>
          <w:rFonts w:ascii="Arial" w:hAnsi="Arial" w:cs="Arial"/>
          <w:lang w:val="en-ZA"/>
        </w:rPr>
        <w:t>.</w:t>
      </w:r>
      <w:r w:rsidR="008D5933" w:rsidRPr="00512F52">
        <w:rPr>
          <w:rFonts w:ascii="Arial" w:hAnsi="Arial" w:cs="Arial"/>
          <w:lang w:val="en-ZA"/>
        </w:rPr>
        <w:t>’</w:t>
      </w:r>
      <w:r w:rsidR="00C0519E" w:rsidRPr="00512F52">
        <w:rPr>
          <w:rStyle w:val="FootnoteReference"/>
          <w:rFonts w:ascii="Arial" w:hAnsi="Arial" w:cs="Arial"/>
          <w:lang w:val="en-ZA"/>
        </w:rPr>
        <w:footnoteReference w:id="26"/>
      </w:r>
    </w:p>
    <w:p w14:paraId="44BEE325" w14:textId="339A9D13" w:rsidR="00F271CA" w:rsidRPr="00512F52" w:rsidRDefault="00F271CA" w:rsidP="00772102">
      <w:pPr>
        <w:spacing w:after="0" w:line="360" w:lineRule="auto"/>
        <w:jc w:val="both"/>
        <w:rPr>
          <w:rFonts w:ascii="Arial" w:hAnsi="Arial" w:cs="Arial"/>
          <w:sz w:val="24"/>
          <w:szCs w:val="24"/>
          <w:lang w:val="en-ZA"/>
        </w:rPr>
      </w:pPr>
    </w:p>
    <w:p w14:paraId="1F6A2549" w14:textId="09CB1445" w:rsidR="000C21B1"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[72]</w:t>
      </w:r>
      <w:r w:rsidRPr="00512F52">
        <w:rPr>
          <w:rFonts w:ascii="Arial" w:hAnsi="Arial" w:cs="Arial"/>
          <w:sz w:val="24"/>
          <w:szCs w:val="24"/>
          <w:lang w:val="en-ZA"/>
        </w:rPr>
        <w:tab/>
      </w:r>
      <w:r w:rsidR="00A3005D" w:rsidRPr="00F669AB">
        <w:rPr>
          <w:rFonts w:ascii="Arial" w:hAnsi="Arial" w:cs="Arial"/>
          <w:sz w:val="24"/>
          <w:szCs w:val="24"/>
          <w:lang w:val="en-ZA"/>
        </w:rPr>
        <w:t xml:space="preserve">Counsel for the </w:t>
      </w:r>
      <w:r w:rsidR="00D94023" w:rsidRPr="00F669AB">
        <w:rPr>
          <w:rFonts w:ascii="Arial" w:hAnsi="Arial" w:cs="Arial"/>
          <w:sz w:val="24"/>
          <w:szCs w:val="24"/>
          <w:lang w:val="en-ZA"/>
        </w:rPr>
        <w:t xml:space="preserve">affected </w:t>
      </w:r>
      <w:r w:rsidR="00A3005D" w:rsidRPr="00F669AB">
        <w:rPr>
          <w:rFonts w:ascii="Arial" w:hAnsi="Arial" w:cs="Arial"/>
          <w:sz w:val="24"/>
          <w:szCs w:val="24"/>
          <w:lang w:val="en-ZA"/>
        </w:rPr>
        <w:t>councillors and the municipalities concerned</w:t>
      </w:r>
      <w:r w:rsidR="002D5C4E" w:rsidRPr="00F669AB">
        <w:rPr>
          <w:rFonts w:ascii="Arial" w:hAnsi="Arial" w:cs="Arial"/>
          <w:sz w:val="24"/>
          <w:szCs w:val="24"/>
          <w:lang w:val="en-ZA"/>
        </w:rPr>
        <w:t xml:space="preserve"> </w:t>
      </w:r>
      <w:r w:rsidR="00B37DE6" w:rsidRPr="00F669AB">
        <w:rPr>
          <w:rFonts w:ascii="Arial" w:hAnsi="Arial" w:cs="Arial"/>
          <w:sz w:val="24"/>
          <w:szCs w:val="24"/>
          <w:lang w:val="en-ZA"/>
        </w:rPr>
        <w:t xml:space="preserve">urged this Court to, in the exercise of it discretion, </w:t>
      </w:r>
      <w:r w:rsidR="002D5C4E" w:rsidRPr="00F669AB">
        <w:rPr>
          <w:rFonts w:ascii="Arial" w:hAnsi="Arial" w:cs="Arial"/>
          <w:sz w:val="24"/>
          <w:szCs w:val="24"/>
          <w:lang w:val="en-ZA"/>
        </w:rPr>
        <w:t>decline grant</w:t>
      </w:r>
      <w:r w:rsidR="00A15B85" w:rsidRPr="00F669AB">
        <w:rPr>
          <w:rFonts w:ascii="Arial" w:hAnsi="Arial" w:cs="Arial"/>
          <w:sz w:val="24"/>
          <w:szCs w:val="24"/>
          <w:lang w:val="en-ZA"/>
        </w:rPr>
        <w:t>ing a declaratory relief</w:t>
      </w:r>
      <w:r w:rsidR="00B37DE6" w:rsidRPr="00F669AB">
        <w:rPr>
          <w:rFonts w:ascii="Arial" w:hAnsi="Arial" w:cs="Arial"/>
          <w:sz w:val="24"/>
          <w:szCs w:val="24"/>
          <w:lang w:val="en-ZA"/>
        </w:rPr>
        <w:t xml:space="preserve"> even if it should find that the appo</w:t>
      </w:r>
      <w:r w:rsidR="00D83604" w:rsidRPr="00F669AB">
        <w:rPr>
          <w:rFonts w:ascii="Arial" w:hAnsi="Arial" w:cs="Arial"/>
          <w:sz w:val="24"/>
          <w:szCs w:val="24"/>
          <w:lang w:val="en-ZA"/>
        </w:rPr>
        <w:t>intment</w:t>
      </w:r>
      <w:r w:rsidR="00013448" w:rsidRPr="00F669AB">
        <w:rPr>
          <w:rFonts w:ascii="Arial" w:hAnsi="Arial" w:cs="Arial"/>
          <w:sz w:val="24"/>
          <w:szCs w:val="24"/>
          <w:lang w:val="en-ZA"/>
        </w:rPr>
        <w:t xml:space="preserve"> of the affected</w:t>
      </w:r>
      <w:r w:rsidR="00A15B85" w:rsidRPr="00F669AB">
        <w:rPr>
          <w:rFonts w:ascii="Arial" w:hAnsi="Arial" w:cs="Arial"/>
          <w:sz w:val="24"/>
          <w:szCs w:val="24"/>
          <w:lang w:val="en-ZA"/>
        </w:rPr>
        <w:t xml:space="preserve"> councillors</w:t>
      </w:r>
      <w:r w:rsidR="00B37DE6" w:rsidRPr="00F669AB">
        <w:rPr>
          <w:rFonts w:ascii="Arial" w:hAnsi="Arial" w:cs="Arial"/>
          <w:sz w:val="24"/>
          <w:szCs w:val="24"/>
          <w:lang w:val="en-ZA"/>
        </w:rPr>
        <w:t xml:space="preserve"> was unlawful.</w:t>
      </w:r>
      <w:r w:rsidR="00A15B85" w:rsidRPr="00F669AB">
        <w:rPr>
          <w:rFonts w:ascii="Arial" w:hAnsi="Arial" w:cs="Arial"/>
          <w:sz w:val="24"/>
          <w:szCs w:val="24"/>
          <w:lang w:val="en-ZA"/>
        </w:rPr>
        <w:t xml:space="preserve"> This was due </w:t>
      </w:r>
      <w:r w:rsidR="00A15B85" w:rsidRPr="00F669AB">
        <w:rPr>
          <w:rFonts w:ascii="Arial" w:hAnsi="Arial" w:cs="Arial"/>
          <w:sz w:val="24"/>
          <w:szCs w:val="24"/>
          <w:lang w:val="en-ZA"/>
        </w:rPr>
        <w:lastRenderedPageBreak/>
        <w:t>to the Commission’s inexcusable delay and that the relief is inconsequential and their appointment caused no harm to the extent that it did alter the political control of the District Council. In the alternative</w:t>
      </w:r>
      <w:r w:rsidR="00D94023" w:rsidRPr="00F669AB">
        <w:rPr>
          <w:rFonts w:ascii="Arial" w:hAnsi="Arial" w:cs="Arial"/>
          <w:sz w:val="24"/>
          <w:szCs w:val="24"/>
          <w:lang w:val="en-ZA"/>
        </w:rPr>
        <w:t>,</w:t>
      </w:r>
      <w:r w:rsidR="00A15B85" w:rsidRPr="00F669AB">
        <w:rPr>
          <w:rFonts w:ascii="Arial" w:hAnsi="Arial" w:cs="Arial"/>
          <w:sz w:val="24"/>
          <w:szCs w:val="24"/>
          <w:lang w:val="en-ZA"/>
        </w:rPr>
        <w:t xml:space="preserve"> it was submitted by the respondents that if the Court was inclined to grant the declaratory relie</w:t>
      </w:r>
      <w:r w:rsidR="00A3005D" w:rsidRPr="00F669AB">
        <w:rPr>
          <w:rFonts w:ascii="Arial" w:hAnsi="Arial" w:cs="Arial"/>
          <w:sz w:val="24"/>
          <w:szCs w:val="24"/>
          <w:lang w:val="en-ZA"/>
        </w:rPr>
        <w:t>f</w:t>
      </w:r>
      <w:r w:rsidR="00D94023" w:rsidRPr="00F669AB">
        <w:rPr>
          <w:rFonts w:ascii="Arial" w:hAnsi="Arial" w:cs="Arial"/>
          <w:sz w:val="24"/>
          <w:szCs w:val="24"/>
          <w:lang w:val="en-ZA"/>
        </w:rPr>
        <w:t>,</w:t>
      </w:r>
      <w:r w:rsidR="00A3005D" w:rsidRPr="00F669AB">
        <w:rPr>
          <w:rFonts w:ascii="Arial" w:hAnsi="Arial" w:cs="Arial"/>
          <w:sz w:val="24"/>
          <w:szCs w:val="24"/>
          <w:lang w:val="en-ZA"/>
        </w:rPr>
        <w:t xml:space="preserve"> it should, however</w:t>
      </w:r>
      <w:r w:rsidR="00D94023" w:rsidRPr="00F669AB">
        <w:rPr>
          <w:rFonts w:ascii="Arial" w:hAnsi="Arial" w:cs="Arial"/>
          <w:sz w:val="24"/>
          <w:szCs w:val="24"/>
          <w:lang w:val="en-ZA"/>
        </w:rPr>
        <w:t>,</w:t>
      </w:r>
      <w:r w:rsidR="00A3005D" w:rsidRPr="00F669AB">
        <w:rPr>
          <w:rFonts w:ascii="Arial" w:hAnsi="Arial" w:cs="Arial"/>
          <w:sz w:val="24"/>
          <w:szCs w:val="24"/>
          <w:lang w:val="en-ZA"/>
        </w:rPr>
        <w:t xml:space="preserve"> decline to</w:t>
      </w:r>
      <w:r w:rsidR="00C42A7E" w:rsidRPr="00F669AB">
        <w:rPr>
          <w:rFonts w:ascii="Arial" w:hAnsi="Arial" w:cs="Arial"/>
          <w:sz w:val="24"/>
          <w:szCs w:val="24"/>
          <w:lang w:val="en-ZA"/>
        </w:rPr>
        <w:t xml:space="preserve"> set aside the irregular appointment</w:t>
      </w:r>
      <w:r w:rsidR="008B256B" w:rsidRPr="00F669AB">
        <w:rPr>
          <w:rFonts w:ascii="Arial" w:hAnsi="Arial" w:cs="Arial"/>
          <w:sz w:val="24"/>
          <w:szCs w:val="24"/>
          <w:lang w:val="en-ZA"/>
        </w:rPr>
        <w:t>s</w:t>
      </w:r>
      <w:r w:rsidR="00C42A7E" w:rsidRPr="00F669AB">
        <w:rPr>
          <w:rFonts w:ascii="Arial" w:hAnsi="Arial" w:cs="Arial"/>
          <w:sz w:val="24"/>
          <w:szCs w:val="24"/>
          <w:lang w:val="en-ZA"/>
        </w:rPr>
        <w:t>.</w:t>
      </w:r>
      <w:r w:rsidR="00D458AF" w:rsidRPr="00F669AB">
        <w:rPr>
          <w:rFonts w:ascii="Arial" w:hAnsi="Arial" w:cs="Arial"/>
          <w:sz w:val="24"/>
          <w:szCs w:val="24"/>
          <w:lang w:val="en-ZA"/>
        </w:rPr>
        <w:t xml:space="preserve"> It was argued that the effect of removing the three councillors </w:t>
      </w:r>
      <w:r w:rsidR="00A3005D" w:rsidRPr="00F669AB">
        <w:rPr>
          <w:rFonts w:ascii="Arial" w:hAnsi="Arial" w:cs="Arial"/>
          <w:sz w:val="24"/>
          <w:szCs w:val="24"/>
          <w:lang w:val="en-ZA"/>
        </w:rPr>
        <w:t>would have the effect that the Local C</w:t>
      </w:r>
      <w:r w:rsidR="00D458AF" w:rsidRPr="00F669AB">
        <w:rPr>
          <w:rFonts w:ascii="Arial" w:hAnsi="Arial" w:cs="Arial"/>
          <w:sz w:val="24"/>
          <w:szCs w:val="24"/>
          <w:lang w:val="en-ZA"/>
        </w:rPr>
        <w:t>ouncil is penalised by depriving</w:t>
      </w:r>
      <w:r w:rsidR="008B256B" w:rsidRPr="00F669AB">
        <w:rPr>
          <w:rFonts w:ascii="Arial" w:hAnsi="Arial" w:cs="Arial"/>
          <w:sz w:val="24"/>
          <w:szCs w:val="24"/>
          <w:lang w:val="en-ZA"/>
        </w:rPr>
        <w:t xml:space="preserve"> it</w:t>
      </w:r>
      <w:r w:rsidR="00D458AF" w:rsidRPr="00F669AB">
        <w:rPr>
          <w:rFonts w:ascii="Arial" w:hAnsi="Arial" w:cs="Arial"/>
          <w:sz w:val="24"/>
          <w:szCs w:val="24"/>
          <w:lang w:val="en-ZA"/>
        </w:rPr>
        <w:t xml:space="preserve"> of its al</w:t>
      </w:r>
      <w:r w:rsidR="00A3005D" w:rsidRPr="00F669AB">
        <w:rPr>
          <w:rFonts w:ascii="Arial" w:hAnsi="Arial" w:cs="Arial"/>
          <w:sz w:val="24"/>
          <w:szCs w:val="24"/>
          <w:lang w:val="en-ZA"/>
        </w:rPr>
        <w:t>located number of seats in the District C</w:t>
      </w:r>
      <w:r w:rsidR="00D458AF" w:rsidRPr="00F669AB">
        <w:rPr>
          <w:rFonts w:ascii="Arial" w:hAnsi="Arial" w:cs="Arial"/>
          <w:sz w:val="24"/>
          <w:szCs w:val="24"/>
          <w:lang w:val="en-ZA"/>
        </w:rPr>
        <w:t>ouncil as a result of the election by certain of its councillors,</w:t>
      </w:r>
      <w:r w:rsidR="000C21B1" w:rsidRPr="00F669AB">
        <w:rPr>
          <w:rFonts w:ascii="Arial" w:hAnsi="Arial" w:cs="Arial"/>
          <w:sz w:val="24"/>
          <w:szCs w:val="24"/>
          <w:lang w:val="en-ZA"/>
        </w:rPr>
        <w:t xml:space="preserve"> along the party lines, not to partic</w:t>
      </w:r>
      <w:r w:rsidR="00A3005D" w:rsidRPr="00F669AB">
        <w:rPr>
          <w:rFonts w:ascii="Arial" w:hAnsi="Arial" w:cs="Arial"/>
          <w:sz w:val="24"/>
          <w:szCs w:val="24"/>
          <w:lang w:val="en-ZA"/>
        </w:rPr>
        <w:t>ipate in its intern</w:t>
      </w:r>
      <w:r w:rsidR="000C21B1" w:rsidRPr="00F669AB">
        <w:rPr>
          <w:rFonts w:ascii="Arial" w:hAnsi="Arial" w:cs="Arial"/>
          <w:sz w:val="24"/>
          <w:szCs w:val="24"/>
          <w:lang w:val="en-ZA"/>
        </w:rPr>
        <w:t xml:space="preserve">al process for the election of representatives. </w:t>
      </w:r>
      <w:r w:rsidR="00B0671D" w:rsidRPr="00F669AB">
        <w:rPr>
          <w:rFonts w:ascii="Arial" w:hAnsi="Arial" w:cs="Arial"/>
          <w:sz w:val="24"/>
          <w:szCs w:val="24"/>
          <w:lang w:val="en-ZA"/>
        </w:rPr>
        <w:t>The argument was that all councillors should remain representatives until the end of their terms of office; or until properly removed in terms of s 46 of the Structures Act; or until they resign or are removed in accordance with the provisions of the Structures Act.</w:t>
      </w:r>
    </w:p>
    <w:p w14:paraId="0B7E6634" w14:textId="77777777" w:rsidR="00772102" w:rsidRPr="00512F52" w:rsidRDefault="00772102" w:rsidP="00772102">
      <w:pPr>
        <w:pStyle w:val="ListParagraph"/>
        <w:spacing w:after="0" w:line="360" w:lineRule="auto"/>
        <w:ind w:left="0"/>
        <w:jc w:val="both"/>
        <w:rPr>
          <w:rFonts w:ascii="Arial" w:hAnsi="Arial" w:cs="Arial"/>
          <w:sz w:val="24"/>
          <w:szCs w:val="24"/>
          <w:lang w:val="en-ZA"/>
        </w:rPr>
      </w:pPr>
    </w:p>
    <w:p w14:paraId="6E06770F" w14:textId="63FCB3B6" w:rsidR="00833901"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[73]</w:t>
      </w:r>
      <w:r w:rsidRPr="00512F52">
        <w:rPr>
          <w:rFonts w:ascii="Arial" w:hAnsi="Arial" w:cs="Arial"/>
          <w:sz w:val="24"/>
          <w:szCs w:val="24"/>
          <w:lang w:val="en-ZA"/>
        </w:rPr>
        <w:tab/>
      </w:r>
      <w:r w:rsidR="00B0671D" w:rsidRPr="00F669AB">
        <w:rPr>
          <w:rFonts w:ascii="Arial" w:hAnsi="Arial" w:cs="Arial"/>
          <w:sz w:val="24"/>
          <w:szCs w:val="24"/>
          <w:lang w:val="en-ZA"/>
        </w:rPr>
        <w:t xml:space="preserve">Counsel </w:t>
      </w:r>
      <w:r w:rsidR="002D79FC" w:rsidRPr="00F669AB">
        <w:rPr>
          <w:rFonts w:ascii="Arial" w:hAnsi="Arial" w:cs="Arial"/>
          <w:sz w:val="24"/>
          <w:szCs w:val="24"/>
          <w:lang w:val="en-ZA"/>
        </w:rPr>
        <w:t>for the IFP submitted that</w:t>
      </w:r>
      <w:r w:rsidR="00D94023" w:rsidRPr="00F669AB">
        <w:rPr>
          <w:rFonts w:ascii="Arial" w:hAnsi="Arial" w:cs="Arial"/>
          <w:sz w:val="24"/>
          <w:szCs w:val="24"/>
          <w:lang w:val="en-ZA"/>
        </w:rPr>
        <w:t>,</w:t>
      </w:r>
      <w:r w:rsidR="002D79FC" w:rsidRPr="00F669AB">
        <w:rPr>
          <w:rFonts w:ascii="Arial" w:hAnsi="Arial" w:cs="Arial"/>
          <w:sz w:val="24"/>
          <w:szCs w:val="24"/>
          <w:lang w:val="en-ZA"/>
        </w:rPr>
        <w:t xml:space="preserve"> in the e</w:t>
      </w:r>
      <w:r w:rsidR="008B256B" w:rsidRPr="00F669AB">
        <w:rPr>
          <w:rFonts w:ascii="Arial" w:hAnsi="Arial" w:cs="Arial"/>
          <w:sz w:val="24"/>
          <w:szCs w:val="24"/>
          <w:lang w:val="en-ZA"/>
        </w:rPr>
        <w:t>xercise of its discretion, the C</w:t>
      </w:r>
      <w:r w:rsidR="002D79FC" w:rsidRPr="00F669AB">
        <w:rPr>
          <w:rFonts w:ascii="Arial" w:hAnsi="Arial" w:cs="Arial"/>
          <w:sz w:val="24"/>
          <w:szCs w:val="24"/>
          <w:lang w:val="en-ZA"/>
        </w:rPr>
        <w:t xml:space="preserve">ourt should take into </w:t>
      </w:r>
      <w:r w:rsidR="009274A3" w:rsidRPr="00F669AB">
        <w:rPr>
          <w:rFonts w:ascii="Arial" w:hAnsi="Arial" w:cs="Arial"/>
          <w:sz w:val="24"/>
          <w:szCs w:val="24"/>
          <w:lang w:val="en-ZA"/>
        </w:rPr>
        <w:t>account the fact that there is no explanation by the Commission why it did not proceed in terms of s 20(6) read with Rule 7 of the Electoral Court Rules</w:t>
      </w:r>
      <w:r w:rsidR="00D94023" w:rsidRPr="00F669AB">
        <w:rPr>
          <w:rFonts w:ascii="Arial" w:hAnsi="Arial" w:cs="Arial"/>
          <w:sz w:val="24"/>
          <w:szCs w:val="24"/>
          <w:lang w:val="en-ZA"/>
        </w:rPr>
        <w:t>,</w:t>
      </w:r>
      <w:r w:rsidR="009274A3" w:rsidRPr="00F669AB">
        <w:rPr>
          <w:rFonts w:ascii="Arial" w:hAnsi="Arial" w:cs="Arial"/>
          <w:sz w:val="24"/>
          <w:szCs w:val="24"/>
          <w:lang w:val="en-ZA"/>
        </w:rPr>
        <w:t xml:space="preserve"> which allows it to approach this </w:t>
      </w:r>
      <w:r w:rsidR="008B256B" w:rsidRPr="00F669AB">
        <w:rPr>
          <w:rFonts w:ascii="Arial" w:hAnsi="Arial" w:cs="Arial"/>
          <w:sz w:val="24"/>
          <w:szCs w:val="24"/>
          <w:lang w:val="en-ZA"/>
        </w:rPr>
        <w:t>C</w:t>
      </w:r>
      <w:r w:rsidR="009274A3" w:rsidRPr="00F669AB">
        <w:rPr>
          <w:rFonts w:ascii="Arial" w:hAnsi="Arial" w:cs="Arial"/>
          <w:sz w:val="24"/>
          <w:szCs w:val="24"/>
          <w:lang w:val="en-ZA"/>
        </w:rPr>
        <w:t xml:space="preserve">ourt for a ruling on the proper interpretation of </w:t>
      </w:r>
      <w:r w:rsidR="008B256B" w:rsidRPr="00F669AB">
        <w:rPr>
          <w:rFonts w:ascii="Arial" w:hAnsi="Arial" w:cs="Arial"/>
          <w:sz w:val="24"/>
          <w:szCs w:val="24"/>
          <w:lang w:val="en-ZA"/>
        </w:rPr>
        <w:t>any law</w:t>
      </w:r>
      <w:r w:rsidR="009274A3" w:rsidRPr="00F669AB">
        <w:rPr>
          <w:rFonts w:ascii="Arial" w:hAnsi="Arial" w:cs="Arial"/>
          <w:sz w:val="24"/>
          <w:szCs w:val="24"/>
          <w:lang w:val="en-ZA"/>
        </w:rPr>
        <w:t xml:space="preserve"> in relation to future matters. She argued that the Commission could have approached this </w:t>
      </w:r>
      <w:r w:rsidR="00D94023" w:rsidRPr="00F669AB">
        <w:rPr>
          <w:rFonts w:ascii="Arial" w:hAnsi="Arial" w:cs="Arial"/>
          <w:sz w:val="24"/>
          <w:szCs w:val="24"/>
          <w:lang w:val="en-ZA"/>
        </w:rPr>
        <w:t>C</w:t>
      </w:r>
      <w:r w:rsidR="009274A3" w:rsidRPr="00F669AB">
        <w:rPr>
          <w:rFonts w:ascii="Arial" w:hAnsi="Arial" w:cs="Arial"/>
          <w:sz w:val="24"/>
          <w:szCs w:val="24"/>
          <w:lang w:val="en-ZA"/>
        </w:rPr>
        <w:t>ourt for declaratory relief concerning the proper interpretation of the Structures Act.</w:t>
      </w:r>
    </w:p>
    <w:p w14:paraId="5C38F197" w14:textId="77777777" w:rsidR="00772102" w:rsidRPr="00512F52" w:rsidRDefault="00772102" w:rsidP="00772102">
      <w:pPr>
        <w:pStyle w:val="ListParagraph"/>
        <w:spacing w:after="0" w:line="360" w:lineRule="auto"/>
        <w:jc w:val="both"/>
        <w:rPr>
          <w:rFonts w:ascii="Arial" w:hAnsi="Arial" w:cs="Arial"/>
          <w:sz w:val="24"/>
          <w:szCs w:val="24"/>
          <w:lang w:val="en-ZA"/>
        </w:rPr>
      </w:pPr>
    </w:p>
    <w:p w14:paraId="76ABD5EE" w14:textId="5C704CD8" w:rsidR="00525716"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[74]</w:t>
      </w:r>
      <w:r w:rsidRPr="00512F52">
        <w:rPr>
          <w:rFonts w:ascii="Arial" w:hAnsi="Arial" w:cs="Arial"/>
          <w:sz w:val="24"/>
          <w:szCs w:val="24"/>
          <w:lang w:val="en-ZA"/>
        </w:rPr>
        <w:tab/>
      </w:r>
      <w:r w:rsidR="00462748" w:rsidRPr="00F669AB">
        <w:rPr>
          <w:rFonts w:ascii="Arial" w:hAnsi="Arial" w:cs="Arial"/>
          <w:sz w:val="24"/>
          <w:szCs w:val="24"/>
          <w:lang w:val="en-ZA"/>
        </w:rPr>
        <w:t xml:space="preserve">In relation to the just and equitable remedy, the </w:t>
      </w:r>
      <w:r w:rsidR="00CA7543" w:rsidRPr="00F669AB">
        <w:rPr>
          <w:rFonts w:ascii="Arial" w:hAnsi="Arial" w:cs="Arial"/>
          <w:sz w:val="24"/>
          <w:szCs w:val="24"/>
          <w:lang w:val="en-ZA"/>
        </w:rPr>
        <w:t>Commission submitted that this C</w:t>
      </w:r>
      <w:r w:rsidR="00462748" w:rsidRPr="00F669AB">
        <w:rPr>
          <w:rFonts w:ascii="Arial" w:hAnsi="Arial" w:cs="Arial"/>
          <w:sz w:val="24"/>
          <w:szCs w:val="24"/>
          <w:lang w:val="en-ZA"/>
        </w:rPr>
        <w:t xml:space="preserve">ourt should grant a three-part remedy. First, it should declare that the election of the </w:t>
      </w:r>
      <w:r w:rsidR="00D94023" w:rsidRPr="00F669AB">
        <w:rPr>
          <w:rFonts w:ascii="Arial" w:hAnsi="Arial" w:cs="Arial"/>
          <w:sz w:val="24"/>
          <w:szCs w:val="24"/>
          <w:lang w:val="en-ZA"/>
        </w:rPr>
        <w:t xml:space="preserve">affected </w:t>
      </w:r>
      <w:r w:rsidR="00462748" w:rsidRPr="00F669AB">
        <w:rPr>
          <w:rFonts w:ascii="Arial" w:hAnsi="Arial" w:cs="Arial"/>
          <w:sz w:val="24"/>
          <w:szCs w:val="24"/>
          <w:lang w:val="en-ZA"/>
        </w:rPr>
        <w:t xml:space="preserve">councillors to serve as the Local </w:t>
      </w:r>
      <w:r w:rsidR="00CA7543" w:rsidRPr="00F669AB">
        <w:rPr>
          <w:rFonts w:ascii="Arial" w:hAnsi="Arial" w:cs="Arial"/>
          <w:sz w:val="24"/>
          <w:szCs w:val="24"/>
          <w:lang w:val="en-ZA"/>
        </w:rPr>
        <w:t>Council</w:t>
      </w:r>
      <w:r w:rsidR="00462748" w:rsidRPr="00F669AB">
        <w:rPr>
          <w:rFonts w:ascii="Arial" w:hAnsi="Arial" w:cs="Arial"/>
          <w:sz w:val="24"/>
          <w:szCs w:val="24"/>
          <w:lang w:val="en-ZA"/>
        </w:rPr>
        <w:t>’s representatives on the District Counc</w:t>
      </w:r>
      <w:r w:rsidR="00CA7543" w:rsidRPr="00F669AB">
        <w:rPr>
          <w:rFonts w:ascii="Arial" w:hAnsi="Arial" w:cs="Arial"/>
          <w:sz w:val="24"/>
          <w:szCs w:val="24"/>
          <w:lang w:val="en-ZA"/>
        </w:rPr>
        <w:t>il was</w:t>
      </w:r>
      <w:r w:rsidR="00462748" w:rsidRPr="00F669AB">
        <w:rPr>
          <w:rFonts w:ascii="Arial" w:hAnsi="Arial" w:cs="Arial"/>
          <w:sz w:val="24"/>
          <w:szCs w:val="24"/>
          <w:lang w:val="en-ZA"/>
        </w:rPr>
        <w:t xml:space="preserve"> unlawful, unconstitutional and invalid and set</w:t>
      </w:r>
      <w:r w:rsidR="00CA7543" w:rsidRPr="00F669AB">
        <w:rPr>
          <w:rFonts w:ascii="Arial" w:hAnsi="Arial" w:cs="Arial"/>
          <w:sz w:val="24"/>
          <w:szCs w:val="24"/>
          <w:lang w:val="en-ZA"/>
        </w:rPr>
        <w:t xml:space="preserve"> it</w:t>
      </w:r>
      <w:r w:rsidR="00462748" w:rsidRPr="00F669AB">
        <w:rPr>
          <w:rFonts w:ascii="Arial" w:hAnsi="Arial" w:cs="Arial"/>
          <w:sz w:val="24"/>
          <w:szCs w:val="24"/>
          <w:lang w:val="en-ZA"/>
        </w:rPr>
        <w:t xml:space="preserve"> aside. Second,</w:t>
      </w:r>
      <w:r w:rsidR="00F62966" w:rsidRPr="00F669AB">
        <w:rPr>
          <w:rFonts w:ascii="Arial" w:hAnsi="Arial" w:cs="Arial"/>
          <w:sz w:val="24"/>
          <w:szCs w:val="24"/>
          <w:lang w:val="en-ZA"/>
        </w:rPr>
        <w:t xml:space="preserve"> it should declare that the setting aside decision should</w:t>
      </w:r>
      <w:r w:rsidR="00462748" w:rsidRPr="00F669AB">
        <w:rPr>
          <w:rFonts w:ascii="Arial" w:hAnsi="Arial" w:cs="Arial"/>
          <w:sz w:val="24"/>
          <w:szCs w:val="24"/>
          <w:lang w:val="en-ZA"/>
        </w:rPr>
        <w:t xml:space="preserve"> not affect the validity of decisions taken</w:t>
      </w:r>
      <w:r w:rsidR="00F62966" w:rsidRPr="00F669AB">
        <w:rPr>
          <w:rFonts w:ascii="Arial" w:hAnsi="Arial" w:cs="Arial"/>
          <w:sz w:val="24"/>
          <w:szCs w:val="24"/>
          <w:lang w:val="en-ZA"/>
        </w:rPr>
        <w:t xml:space="preserve"> by the District Council</w:t>
      </w:r>
      <w:r w:rsidR="00C14801" w:rsidRPr="00F669AB">
        <w:rPr>
          <w:rFonts w:ascii="Arial" w:hAnsi="Arial" w:cs="Arial"/>
          <w:sz w:val="24"/>
          <w:szCs w:val="24"/>
          <w:lang w:val="en-ZA"/>
        </w:rPr>
        <w:t xml:space="preserve"> while the affected councillors were in office</w:t>
      </w:r>
      <w:r w:rsidR="00462748" w:rsidRPr="00F669AB">
        <w:rPr>
          <w:rFonts w:ascii="Arial" w:hAnsi="Arial" w:cs="Arial"/>
          <w:sz w:val="24"/>
          <w:szCs w:val="24"/>
          <w:lang w:val="en-ZA"/>
        </w:rPr>
        <w:t xml:space="preserve">. The </w:t>
      </w:r>
      <w:r w:rsidR="00F62966" w:rsidRPr="00F669AB">
        <w:rPr>
          <w:rFonts w:ascii="Arial" w:hAnsi="Arial" w:cs="Arial"/>
          <w:sz w:val="24"/>
          <w:szCs w:val="24"/>
          <w:lang w:val="en-ZA"/>
        </w:rPr>
        <w:t>C</w:t>
      </w:r>
      <w:r w:rsidR="00462748" w:rsidRPr="00F669AB">
        <w:rPr>
          <w:rFonts w:ascii="Arial" w:hAnsi="Arial" w:cs="Arial"/>
          <w:sz w:val="24"/>
          <w:szCs w:val="24"/>
          <w:lang w:val="en-ZA"/>
        </w:rPr>
        <w:t xml:space="preserve">ourt was requested specifically to order that those decisions are not </w:t>
      </w:r>
      <w:r w:rsidR="00C14801" w:rsidRPr="00F669AB">
        <w:rPr>
          <w:rFonts w:ascii="Arial" w:hAnsi="Arial" w:cs="Arial"/>
          <w:sz w:val="24"/>
          <w:szCs w:val="24"/>
          <w:lang w:val="en-ZA"/>
        </w:rPr>
        <w:t xml:space="preserve">adversely </w:t>
      </w:r>
      <w:r w:rsidR="00462748" w:rsidRPr="00F669AB">
        <w:rPr>
          <w:rFonts w:ascii="Arial" w:hAnsi="Arial" w:cs="Arial"/>
          <w:sz w:val="24"/>
          <w:szCs w:val="24"/>
          <w:lang w:val="en-ZA"/>
        </w:rPr>
        <w:t xml:space="preserve">affected by the fact that </w:t>
      </w:r>
      <w:r w:rsidR="00D94023" w:rsidRPr="00F669AB">
        <w:rPr>
          <w:rFonts w:ascii="Arial" w:hAnsi="Arial" w:cs="Arial"/>
          <w:sz w:val="24"/>
          <w:szCs w:val="24"/>
          <w:lang w:val="en-ZA"/>
        </w:rPr>
        <w:t xml:space="preserve">the affected </w:t>
      </w:r>
      <w:r w:rsidR="00462748" w:rsidRPr="00F669AB">
        <w:rPr>
          <w:rFonts w:ascii="Arial" w:hAnsi="Arial" w:cs="Arial"/>
          <w:sz w:val="24"/>
          <w:szCs w:val="24"/>
          <w:lang w:val="en-ZA"/>
        </w:rPr>
        <w:t>councillors were improperly in place.</w:t>
      </w:r>
      <w:r w:rsidR="00F62966" w:rsidRPr="00F669AB">
        <w:rPr>
          <w:rFonts w:ascii="Arial" w:hAnsi="Arial" w:cs="Arial"/>
          <w:sz w:val="24"/>
          <w:szCs w:val="24"/>
          <w:lang w:val="en-ZA"/>
        </w:rPr>
        <w:t xml:space="preserve"> There is authority for this proposition.</w:t>
      </w:r>
      <w:r w:rsidR="00462748" w:rsidRPr="00F669AB">
        <w:rPr>
          <w:rFonts w:ascii="Arial" w:hAnsi="Arial" w:cs="Arial"/>
          <w:sz w:val="24"/>
          <w:szCs w:val="24"/>
          <w:lang w:val="en-ZA"/>
        </w:rPr>
        <w:t xml:space="preserve"> This was the approach adopted by the Constitutional Court in </w:t>
      </w:r>
      <w:r w:rsidR="00523352" w:rsidRPr="00F669AB">
        <w:rPr>
          <w:rFonts w:ascii="Arial" w:hAnsi="Arial" w:cs="Arial"/>
          <w:i/>
          <w:iCs/>
          <w:sz w:val="24"/>
          <w:szCs w:val="24"/>
        </w:rPr>
        <w:t xml:space="preserve">Corruption Watch NPC and Others v </w:t>
      </w:r>
      <w:r w:rsidR="00523352" w:rsidRPr="00F669AB">
        <w:rPr>
          <w:rFonts w:ascii="Arial" w:hAnsi="Arial" w:cs="Arial"/>
          <w:i/>
          <w:iCs/>
          <w:sz w:val="24"/>
          <w:szCs w:val="24"/>
        </w:rPr>
        <w:lastRenderedPageBreak/>
        <w:t>President of the Republic of South Africa and Others</w:t>
      </w:r>
      <w:r w:rsidR="00523352" w:rsidRPr="00F669AB">
        <w:rPr>
          <w:rFonts w:ascii="Arial" w:hAnsi="Arial" w:cs="Arial"/>
          <w:iCs/>
          <w:sz w:val="24"/>
          <w:szCs w:val="24"/>
        </w:rPr>
        <w:t>.</w:t>
      </w:r>
      <w:r w:rsidR="0080276F" w:rsidRPr="00512F52">
        <w:rPr>
          <w:rStyle w:val="FootnoteReference"/>
          <w:rFonts w:ascii="Arial" w:hAnsi="Arial" w:cs="Arial"/>
          <w:iCs/>
          <w:sz w:val="24"/>
          <w:szCs w:val="24"/>
        </w:rPr>
        <w:footnoteReference w:id="27"/>
      </w:r>
      <w:r w:rsidR="00536D88" w:rsidRPr="00F669AB">
        <w:rPr>
          <w:rFonts w:ascii="Arial" w:hAnsi="Arial" w:cs="Arial"/>
          <w:sz w:val="24"/>
          <w:szCs w:val="24"/>
        </w:rPr>
        <w:t xml:space="preserve"> Third, the order should also not require the </w:t>
      </w:r>
      <w:r w:rsidR="00307CE5" w:rsidRPr="00F669AB">
        <w:rPr>
          <w:rFonts w:ascii="Arial" w:hAnsi="Arial" w:cs="Arial"/>
          <w:sz w:val="24"/>
          <w:szCs w:val="24"/>
        </w:rPr>
        <w:t>affected</w:t>
      </w:r>
      <w:r w:rsidR="00536D88" w:rsidRPr="00F669AB">
        <w:rPr>
          <w:rFonts w:ascii="Arial" w:hAnsi="Arial" w:cs="Arial"/>
          <w:sz w:val="24"/>
          <w:szCs w:val="24"/>
        </w:rPr>
        <w:t xml:space="preserve"> councillors to repay any salary or benefits that they received.</w:t>
      </w:r>
    </w:p>
    <w:p w14:paraId="4139A437" w14:textId="77777777" w:rsidR="00772102" w:rsidRPr="00512F52" w:rsidRDefault="00772102" w:rsidP="00772102">
      <w:pPr>
        <w:pStyle w:val="ListParagraph"/>
        <w:spacing w:after="0" w:line="360" w:lineRule="auto"/>
        <w:jc w:val="both"/>
        <w:rPr>
          <w:rFonts w:ascii="Arial" w:hAnsi="Arial" w:cs="Arial"/>
          <w:sz w:val="24"/>
          <w:szCs w:val="24"/>
          <w:lang w:val="en-ZA"/>
        </w:rPr>
      </w:pPr>
    </w:p>
    <w:p w14:paraId="547123EE" w14:textId="78B6D2E7" w:rsidR="00833901"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[75]</w:t>
      </w:r>
      <w:r w:rsidRPr="00512F52">
        <w:rPr>
          <w:rFonts w:ascii="Arial" w:hAnsi="Arial" w:cs="Arial"/>
          <w:sz w:val="24"/>
          <w:szCs w:val="24"/>
          <w:lang w:val="en-ZA"/>
        </w:rPr>
        <w:tab/>
      </w:r>
      <w:r w:rsidR="00812109" w:rsidRPr="00F669AB">
        <w:rPr>
          <w:rFonts w:ascii="Arial" w:hAnsi="Arial" w:cs="Arial"/>
          <w:sz w:val="24"/>
          <w:szCs w:val="24"/>
        </w:rPr>
        <w:t xml:space="preserve">It is correct that the election of the </w:t>
      </w:r>
      <w:r w:rsidR="00273780" w:rsidRPr="00F669AB">
        <w:rPr>
          <w:rFonts w:ascii="Arial" w:hAnsi="Arial" w:cs="Arial"/>
          <w:sz w:val="24"/>
          <w:szCs w:val="24"/>
        </w:rPr>
        <w:t>affected</w:t>
      </w:r>
      <w:r w:rsidR="00812109" w:rsidRPr="00F669AB">
        <w:rPr>
          <w:rFonts w:ascii="Arial" w:hAnsi="Arial" w:cs="Arial"/>
          <w:sz w:val="24"/>
          <w:szCs w:val="24"/>
        </w:rPr>
        <w:t xml:space="preserve"> councillors occurred as a result of the Commission’s </w:t>
      </w:r>
      <w:r w:rsidR="00726DAD" w:rsidRPr="00F669AB">
        <w:rPr>
          <w:rFonts w:ascii="Arial" w:hAnsi="Arial" w:cs="Arial"/>
          <w:sz w:val="24"/>
          <w:szCs w:val="24"/>
        </w:rPr>
        <w:t>representatives</w:t>
      </w:r>
      <w:r w:rsidR="00E35E6A" w:rsidRPr="00F669AB">
        <w:rPr>
          <w:rFonts w:ascii="Arial" w:hAnsi="Arial" w:cs="Arial"/>
          <w:sz w:val="24"/>
          <w:szCs w:val="24"/>
        </w:rPr>
        <w:t>’</w:t>
      </w:r>
      <w:r w:rsidR="00726DAD" w:rsidRPr="00F669AB">
        <w:rPr>
          <w:rFonts w:ascii="Arial" w:hAnsi="Arial" w:cs="Arial"/>
          <w:sz w:val="24"/>
          <w:szCs w:val="24"/>
        </w:rPr>
        <w:t xml:space="preserve"> error resulting from misapplication of the provisions of item 20 of Schedule 2. As I have demonstrated in the preceding paragraphs, the consequence of the error is that the representation of the </w:t>
      </w:r>
      <w:r w:rsidR="00273780" w:rsidRPr="00F669AB">
        <w:rPr>
          <w:rFonts w:ascii="Arial" w:hAnsi="Arial" w:cs="Arial"/>
          <w:sz w:val="24"/>
          <w:szCs w:val="24"/>
        </w:rPr>
        <w:t xml:space="preserve">Local Council on the </w:t>
      </w:r>
      <w:r w:rsidR="00726DAD" w:rsidRPr="00F669AB">
        <w:rPr>
          <w:rFonts w:ascii="Arial" w:hAnsi="Arial" w:cs="Arial"/>
          <w:sz w:val="24"/>
          <w:szCs w:val="24"/>
        </w:rPr>
        <w:t xml:space="preserve">District Council has been distorted. If the Court should allow the </w:t>
      </w:r>
      <w:r w:rsidR="00273780" w:rsidRPr="00F669AB">
        <w:rPr>
          <w:rFonts w:ascii="Arial" w:hAnsi="Arial" w:cs="Arial"/>
          <w:sz w:val="24"/>
          <w:szCs w:val="24"/>
        </w:rPr>
        <w:t>affected</w:t>
      </w:r>
      <w:r w:rsidR="00726DAD" w:rsidRPr="00F669AB">
        <w:rPr>
          <w:rFonts w:ascii="Arial" w:hAnsi="Arial" w:cs="Arial"/>
          <w:sz w:val="24"/>
          <w:szCs w:val="24"/>
        </w:rPr>
        <w:t xml:space="preserve"> councillors to remain on the District Council until their term of office ends, the distortion of representation on the District Council will continue to exist.</w:t>
      </w:r>
    </w:p>
    <w:p w14:paraId="50E69DB7" w14:textId="77777777" w:rsidR="00772102" w:rsidRPr="00512F52" w:rsidRDefault="00772102" w:rsidP="00772102">
      <w:pPr>
        <w:pStyle w:val="ListParagraph"/>
        <w:spacing w:after="0" w:line="360" w:lineRule="auto"/>
        <w:jc w:val="both"/>
        <w:rPr>
          <w:rFonts w:ascii="Arial" w:hAnsi="Arial" w:cs="Arial"/>
          <w:sz w:val="24"/>
          <w:szCs w:val="24"/>
          <w:lang w:val="en-ZA"/>
        </w:rPr>
      </w:pPr>
    </w:p>
    <w:p w14:paraId="717F377E" w14:textId="6903C252" w:rsidR="00726DAD"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[76]</w:t>
      </w:r>
      <w:r w:rsidRPr="00512F52">
        <w:rPr>
          <w:rFonts w:ascii="Arial" w:hAnsi="Arial" w:cs="Arial"/>
          <w:sz w:val="24"/>
          <w:szCs w:val="24"/>
          <w:lang w:val="en-ZA"/>
        </w:rPr>
        <w:tab/>
      </w:r>
      <w:r w:rsidR="00726DAD" w:rsidRPr="00F669AB">
        <w:rPr>
          <w:rFonts w:ascii="Arial" w:hAnsi="Arial" w:cs="Arial"/>
          <w:sz w:val="24"/>
          <w:szCs w:val="24"/>
        </w:rPr>
        <w:t>I accept that the mistake was innocent and that the decision to</w:t>
      </w:r>
      <w:r w:rsidR="00087884" w:rsidRPr="00F669AB">
        <w:rPr>
          <w:rFonts w:ascii="Arial" w:hAnsi="Arial" w:cs="Arial"/>
          <w:sz w:val="24"/>
          <w:szCs w:val="24"/>
        </w:rPr>
        <w:t xml:space="preserve"> remove</w:t>
      </w:r>
      <w:r w:rsidR="00726DAD" w:rsidRPr="00F669AB">
        <w:rPr>
          <w:rFonts w:ascii="Arial" w:hAnsi="Arial" w:cs="Arial"/>
          <w:sz w:val="24"/>
          <w:szCs w:val="24"/>
        </w:rPr>
        <w:t xml:space="preserve"> the three councillors who benefited </w:t>
      </w:r>
      <w:r w:rsidR="00087884" w:rsidRPr="00F669AB">
        <w:rPr>
          <w:rFonts w:ascii="Arial" w:hAnsi="Arial" w:cs="Arial"/>
          <w:sz w:val="24"/>
          <w:szCs w:val="24"/>
        </w:rPr>
        <w:t xml:space="preserve">from the mistake will </w:t>
      </w:r>
      <w:r w:rsidR="00E35E6A" w:rsidRPr="00F669AB">
        <w:rPr>
          <w:rFonts w:ascii="Arial" w:hAnsi="Arial" w:cs="Arial"/>
          <w:sz w:val="24"/>
          <w:szCs w:val="24"/>
        </w:rPr>
        <w:t>cause them prejudice</w:t>
      </w:r>
      <w:r w:rsidR="00087884" w:rsidRPr="00F669AB">
        <w:rPr>
          <w:rFonts w:ascii="Arial" w:hAnsi="Arial" w:cs="Arial"/>
          <w:sz w:val="24"/>
          <w:szCs w:val="24"/>
        </w:rPr>
        <w:t xml:space="preserve">. However, the mistake resulting from the misapplication of </w:t>
      </w:r>
      <w:r w:rsidR="00273780" w:rsidRPr="00F669AB">
        <w:rPr>
          <w:rFonts w:ascii="Arial" w:hAnsi="Arial" w:cs="Arial"/>
          <w:sz w:val="24"/>
          <w:szCs w:val="24"/>
        </w:rPr>
        <w:t>i</w:t>
      </w:r>
      <w:r w:rsidR="00087884" w:rsidRPr="00F669AB">
        <w:rPr>
          <w:rFonts w:ascii="Arial" w:hAnsi="Arial" w:cs="Arial"/>
          <w:sz w:val="24"/>
          <w:szCs w:val="24"/>
        </w:rPr>
        <w:t>tem 20 should not be allowed to upset the balance which s 157(6) of the Constitution seeks to establish by requiring that the Structures Act ‘must establish a system that allows for parties and interests reflected within the Municipal Council making the appointment, to be fairly represented in the Municipal Council to which the appointment is made’</w:t>
      </w:r>
      <w:r w:rsidR="00273780" w:rsidRPr="00F669AB">
        <w:rPr>
          <w:rFonts w:ascii="Arial" w:hAnsi="Arial" w:cs="Arial"/>
          <w:sz w:val="24"/>
          <w:szCs w:val="24"/>
        </w:rPr>
        <w:t>.</w:t>
      </w:r>
      <w:r w:rsidR="00D710B1" w:rsidRPr="00F669AB">
        <w:rPr>
          <w:rFonts w:ascii="Arial" w:hAnsi="Arial" w:cs="Arial"/>
          <w:sz w:val="24"/>
          <w:szCs w:val="24"/>
        </w:rPr>
        <w:t xml:space="preserve"> As Steytler </w:t>
      </w:r>
      <w:r w:rsidR="003B3B7F" w:rsidRPr="00F669AB">
        <w:rPr>
          <w:rFonts w:ascii="Arial" w:hAnsi="Arial" w:cs="Arial"/>
          <w:sz w:val="24"/>
          <w:szCs w:val="24"/>
        </w:rPr>
        <w:t>and</w:t>
      </w:r>
      <w:r w:rsidR="00D710B1" w:rsidRPr="00F669AB">
        <w:rPr>
          <w:rFonts w:ascii="Arial" w:hAnsi="Arial" w:cs="Arial"/>
          <w:sz w:val="24"/>
          <w:szCs w:val="24"/>
        </w:rPr>
        <w:t xml:space="preserve"> De Visser correctly observe, s 157(6) ensures that the composition of a local council’s delegation to the district council should reflect the composition of the local council.</w:t>
      </w:r>
      <w:r w:rsidR="00D710B1" w:rsidRPr="00512F52">
        <w:rPr>
          <w:rStyle w:val="FootnoteReference"/>
          <w:rFonts w:ascii="Arial" w:hAnsi="Arial" w:cs="Arial"/>
          <w:sz w:val="24"/>
          <w:szCs w:val="24"/>
        </w:rPr>
        <w:footnoteReference w:id="28"/>
      </w:r>
    </w:p>
    <w:p w14:paraId="069B67C4" w14:textId="77777777" w:rsidR="00772102" w:rsidRPr="00512F52" w:rsidRDefault="00772102" w:rsidP="00772102">
      <w:pPr>
        <w:pStyle w:val="ListParagraph"/>
        <w:spacing w:after="0" w:line="360" w:lineRule="auto"/>
        <w:jc w:val="both"/>
        <w:rPr>
          <w:rFonts w:ascii="Arial" w:hAnsi="Arial" w:cs="Arial"/>
          <w:sz w:val="24"/>
          <w:szCs w:val="24"/>
          <w:lang w:val="en-ZA"/>
        </w:rPr>
      </w:pPr>
    </w:p>
    <w:p w14:paraId="5DDEBB10" w14:textId="3E62EDB9" w:rsidR="00833901"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t>[77]</w:t>
      </w:r>
      <w:r w:rsidRPr="00512F52">
        <w:rPr>
          <w:rFonts w:ascii="Arial" w:hAnsi="Arial" w:cs="Arial"/>
          <w:sz w:val="24"/>
          <w:szCs w:val="24"/>
          <w:lang w:val="en-ZA"/>
        </w:rPr>
        <w:tab/>
      </w:r>
      <w:r w:rsidR="006137DA" w:rsidRPr="00F669AB">
        <w:rPr>
          <w:rFonts w:ascii="Arial" w:hAnsi="Arial" w:cs="Arial"/>
          <w:sz w:val="24"/>
          <w:szCs w:val="24"/>
        </w:rPr>
        <w:t xml:space="preserve">I am led to the conclusion that the election of the </w:t>
      </w:r>
      <w:r w:rsidR="00273780" w:rsidRPr="00F669AB">
        <w:rPr>
          <w:rFonts w:ascii="Arial" w:hAnsi="Arial" w:cs="Arial"/>
          <w:sz w:val="24"/>
          <w:szCs w:val="24"/>
        </w:rPr>
        <w:t>affected</w:t>
      </w:r>
      <w:r w:rsidR="006137DA" w:rsidRPr="00F669AB">
        <w:rPr>
          <w:rFonts w:ascii="Arial" w:hAnsi="Arial" w:cs="Arial"/>
          <w:sz w:val="24"/>
          <w:szCs w:val="24"/>
        </w:rPr>
        <w:t xml:space="preserve"> councillors was constitutionally invalid and should be set aside. It is</w:t>
      </w:r>
      <w:r w:rsidR="00CA7543" w:rsidRPr="00F669AB">
        <w:rPr>
          <w:rFonts w:ascii="Arial" w:hAnsi="Arial" w:cs="Arial"/>
          <w:sz w:val="24"/>
          <w:szCs w:val="24"/>
        </w:rPr>
        <w:t>,</w:t>
      </w:r>
      <w:r w:rsidR="006137DA" w:rsidRPr="00F669AB">
        <w:rPr>
          <w:rFonts w:ascii="Arial" w:hAnsi="Arial" w:cs="Arial"/>
          <w:sz w:val="24"/>
          <w:szCs w:val="24"/>
        </w:rPr>
        <w:t xml:space="preserve"> however, important that in order to limit the consequences which this order may have on the decisions taken by the District Council </w:t>
      </w:r>
      <w:r w:rsidR="00CA7543" w:rsidRPr="00F669AB">
        <w:rPr>
          <w:rFonts w:ascii="Arial" w:hAnsi="Arial" w:cs="Arial"/>
          <w:sz w:val="24"/>
          <w:szCs w:val="24"/>
        </w:rPr>
        <w:t xml:space="preserve">and the benefits the </w:t>
      </w:r>
      <w:r w:rsidR="00273780" w:rsidRPr="00F669AB">
        <w:rPr>
          <w:rFonts w:ascii="Arial" w:hAnsi="Arial" w:cs="Arial"/>
          <w:sz w:val="24"/>
          <w:szCs w:val="24"/>
        </w:rPr>
        <w:t>affected</w:t>
      </w:r>
      <w:r w:rsidR="00CA7543" w:rsidRPr="00F669AB">
        <w:rPr>
          <w:rFonts w:ascii="Arial" w:hAnsi="Arial" w:cs="Arial"/>
          <w:sz w:val="24"/>
          <w:szCs w:val="24"/>
        </w:rPr>
        <w:t xml:space="preserve"> counci</w:t>
      </w:r>
      <w:r w:rsidR="00C14801" w:rsidRPr="00F669AB">
        <w:rPr>
          <w:rFonts w:ascii="Arial" w:hAnsi="Arial" w:cs="Arial"/>
          <w:sz w:val="24"/>
          <w:szCs w:val="24"/>
        </w:rPr>
        <w:t>l</w:t>
      </w:r>
      <w:r w:rsidR="00CA7543" w:rsidRPr="00F669AB">
        <w:rPr>
          <w:rFonts w:ascii="Arial" w:hAnsi="Arial" w:cs="Arial"/>
          <w:sz w:val="24"/>
          <w:szCs w:val="24"/>
        </w:rPr>
        <w:t xml:space="preserve">lors received </w:t>
      </w:r>
      <w:r w:rsidR="006137DA" w:rsidRPr="00F669AB">
        <w:rPr>
          <w:rFonts w:ascii="Arial" w:hAnsi="Arial" w:cs="Arial"/>
          <w:sz w:val="24"/>
          <w:szCs w:val="24"/>
        </w:rPr>
        <w:t>while the</w:t>
      </w:r>
      <w:r w:rsidR="002258D7" w:rsidRPr="00F669AB">
        <w:rPr>
          <w:rFonts w:ascii="Arial" w:hAnsi="Arial" w:cs="Arial"/>
          <w:sz w:val="24"/>
          <w:szCs w:val="24"/>
        </w:rPr>
        <w:t>y</w:t>
      </w:r>
      <w:r w:rsidR="006137DA" w:rsidRPr="00F669AB">
        <w:rPr>
          <w:rFonts w:ascii="Arial" w:hAnsi="Arial" w:cs="Arial"/>
          <w:sz w:val="24"/>
          <w:szCs w:val="24"/>
        </w:rPr>
        <w:t xml:space="preserve"> were in </w:t>
      </w:r>
      <w:r w:rsidR="00273780" w:rsidRPr="00F669AB">
        <w:rPr>
          <w:rFonts w:ascii="Arial" w:hAnsi="Arial" w:cs="Arial"/>
          <w:sz w:val="24"/>
          <w:szCs w:val="24"/>
        </w:rPr>
        <w:t>office</w:t>
      </w:r>
      <w:r w:rsidR="002258D7" w:rsidRPr="00F669AB">
        <w:rPr>
          <w:rFonts w:ascii="Arial" w:hAnsi="Arial" w:cs="Arial"/>
          <w:sz w:val="24"/>
          <w:szCs w:val="24"/>
        </w:rPr>
        <w:t>,</w:t>
      </w:r>
      <w:r w:rsidR="006137DA" w:rsidRPr="00F669AB">
        <w:rPr>
          <w:rFonts w:ascii="Arial" w:hAnsi="Arial" w:cs="Arial"/>
          <w:sz w:val="24"/>
          <w:szCs w:val="24"/>
        </w:rPr>
        <w:t xml:space="preserve"> the </w:t>
      </w:r>
      <w:r w:rsidR="00C14801" w:rsidRPr="00F669AB">
        <w:rPr>
          <w:rFonts w:ascii="Arial" w:hAnsi="Arial" w:cs="Arial"/>
          <w:sz w:val="24"/>
          <w:szCs w:val="24"/>
        </w:rPr>
        <w:t xml:space="preserve">declaration of the </w:t>
      </w:r>
      <w:r w:rsidR="006137DA" w:rsidRPr="00F669AB">
        <w:rPr>
          <w:rFonts w:ascii="Arial" w:hAnsi="Arial" w:cs="Arial"/>
          <w:sz w:val="24"/>
          <w:szCs w:val="24"/>
        </w:rPr>
        <w:t xml:space="preserve">invalidity order should not </w:t>
      </w:r>
      <w:r w:rsidR="00C14801" w:rsidRPr="00F669AB">
        <w:rPr>
          <w:rFonts w:ascii="Arial" w:hAnsi="Arial" w:cs="Arial"/>
          <w:sz w:val="24"/>
          <w:szCs w:val="24"/>
        </w:rPr>
        <w:t xml:space="preserve">adversely </w:t>
      </w:r>
      <w:r w:rsidR="006137DA" w:rsidRPr="00F669AB">
        <w:rPr>
          <w:rFonts w:ascii="Arial" w:hAnsi="Arial" w:cs="Arial"/>
          <w:sz w:val="24"/>
          <w:szCs w:val="24"/>
        </w:rPr>
        <w:t>affect such decisions and benefits.</w:t>
      </w:r>
    </w:p>
    <w:p w14:paraId="27ABD4B1" w14:textId="77777777" w:rsidR="00772102" w:rsidRPr="00512F52" w:rsidRDefault="00772102" w:rsidP="00772102">
      <w:pPr>
        <w:pStyle w:val="ListParagraph"/>
        <w:spacing w:after="0" w:line="360" w:lineRule="auto"/>
        <w:jc w:val="both"/>
        <w:rPr>
          <w:rFonts w:ascii="Arial" w:hAnsi="Arial" w:cs="Arial"/>
          <w:sz w:val="24"/>
          <w:szCs w:val="24"/>
          <w:lang w:val="en-ZA"/>
        </w:rPr>
      </w:pPr>
    </w:p>
    <w:p w14:paraId="724018FA" w14:textId="22DF390B" w:rsidR="00BE67BF" w:rsidRPr="00F669AB" w:rsidRDefault="00F669AB" w:rsidP="00F669AB">
      <w:pPr>
        <w:spacing w:after="0" w:line="360" w:lineRule="auto"/>
        <w:jc w:val="both"/>
        <w:rPr>
          <w:rFonts w:ascii="Arial" w:hAnsi="Arial" w:cs="Arial"/>
          <w:sz w:val="24"/>
          <w:szCs w:val="24"/>
          <w:lang w:val="en-ZA"/>
        </w:rPr>
      </w:pPr>
      <w:r w:rsidRPr="00512F52">
        <w:rPr>
          <w:rFonts w:ascii="Arial" w:hAnsi="Arial" w:cs="Arial"/>
          <w:sz w:val="24"/>
          <w:szCs w:val="24"/>
          <w:lang w:val="en-ZA"/>
        </w:rPr>
        <w:lastRenderedPageBreak/>
        <w:t>[78]</w:t>
      </w:r>
      <w:r w:rsidRPr="00512F52">
        <w:rPr>
          <w:rFonts w:ascii="Arial" w:hAnsi="Arial" w:cs="Arial"/>
          <w:sz w:val="24"/>
          <w:szCs w:val="24"/>
          <w:lang w:val="en-ZA"/>
        </w:rPr>
        <w:tab/>
      </w:r>
      <w:r w:rsidR="007017A1" w:rsidRPr="00F669AB">
        <w:rPr>
          <w:rFonts w:ascii="Arial" w:hAnsi="Arial" w:cs="Arial"/>
          <w:sz w:val="24"/>
          <w:szCs w:val="24"/>
        </w:rPr>
        <w:t xml:space="preserve">The </w:t>
      </w:r>
      <w:r w:rsidR="002258D7" w:rsidRPr="00F669AB">
        <w:rPr>
          <w:rFonts w:ascii="Arial" w:hAnsi="Arial" w:cs="Arial"/>
          <w:sz w:val="24"/>
          <w:szCs w:val="24"/>
        </w:rPr>
        <w:t>IFP’s contention</w:t>
      </w:r>
      <w:r w:rsidR="007017A1" w:rsidRPr="00F669AB">
        <w:rPr>
          <w:rFonts w:ascii="Arial" w:hAnsi="Arial" w:cs="Arial"/>
          <w:sz w:val="24"/>
          <w:szCs w:val="24"/>
        </w:rPr>
        <w:t xml:space="preserve"> that the election of the </w:t>
      </w:r>
      <w:r w:rsidR="00273780" w:rsidRPr="00F669AB">
        <w:rPr>
          <w:rFonts w:ascii="Arial" w:hAnsi="Arial" w:cs="Arial"/>
          <w:sz w:val="24"/>
          <w:szCs w:val="24"/>
        </w:rPr>
        <w:t>affected</w:t>
      </w:r>
      <w:r w:rsidR="002258D7" w:rsidRPr="00F669AB">
        <w:rPr>
          <w:rFonts w:ascii="Arial" w:hAnsi="Arial" w:cs="Arial"/>
          <w:sz w:val="24"/>
          <w:szCs w:val="24"/>
        </w:rPr>
        <w:t xml:space="preserve"> </w:t>
      </w:r>
      <w:r w:rsidR="007017A1" w:rsidRPr="00F669AB">
        <w:rPr>
          <w:rFonts w:ascii="Arial" w:hAnsi="Arial" w:cs="Arial"/>
          <w:sz w:val="24"/>
          <w:szCs w:val="24"/>
        </w:rPr>
        <w:t>councillors</w:t>
      </w:r>
      <w:r w:rsidR="002258D7" w:rsidRPr="00F669AB">
        <w:rPr>
          <w:rFonts w:ascii="Arial" w:hAnsi="Arial" w:cs="Arial"/>
          <w:sz w:val="24"/>
          <w:szCs w:val="24"/>
        </w:rPr>
        <w:t xml:space="preserve"> should not be set aside on the ground that</w:t>
      </w:r>
      <w:r w:rsidR="007017A1" w:rsidRPr="00F669AB">
        <w:rPr>
          <w:rFonts w:ascii="Arial" w:hAnsi="Arial" w:cs="Arial"/>
          <w:sz w:val="24"/>
          <w:szCs w:val="24"/>
        </w:rPr>
        <w:t xml:space="preserve"> the Commission should</w:t>
      </w:r>
      <w:r w:rsidR="002258D7" w:rsidRPr="00F669AB">
        <w:rPr>
          <w:rFonts w:ascii="Arial" w:hAnsi="Arial" w:cs="Arial"/>
          <w:sz w:val="24"/>
          <w:szCs w:val="24"/>
        </w:rPr>
        <w:t xml:space="preserve"> not</w:t>
      </w:r>
      <w:r w:rsidR="007017A1" w:rsidRPr="00F669AB">
        <w:rPr>
          <w:rFonts w:ascii="Arial" w:hAnsi="Arial" w:cs="Arial"/>
          <w:sz w:val="24"/>
          <w:szCs w:val="24"/>
        </w:rPr>
        <w:t xml:space="preserve"> have</w:t>
      </w:r>
      <w:r w:rsidR="002258D7" w:rsidRPr="00F669AB">
        <w:rPr>
          <w:rFonts w:ascii="Arial" w:hAnsi="Arial" w:cs="Arial"/>
          <w:sz w:val="24"/>
          <w:szCs w:val="24"/>
        </w:rPr>
        <w:t xml:space="preserve"> instituted the review proceedings but should have</w:t>
      </w:r>
      <w:r w:rsidR="007017A1" w:rsidRPr="00F669AB">
        <w:rPr>
          <w:rFonts w:ascii="Arial" w:hAnsi="Arial" w:cs="Arial"/>
          <w:sz w:val="24"/>
          <w:szCs w:val="24"/>
        </w:rPr>
        <w:t xml:space="preserve"> approached this Court in terms of s 20(6) read with Rule 7 of the Electoral Court Rules for a ruling on the proper interpretation of the law </w:t>
      </w:r>
      <w:r w:rsidR="002258D7" w:rsidRPr="00F669AB">
        <w:rPr>
          <w:rFonts w:ascii="Arial" w:hAnsi="Arial" w:cs="Arial"/>
          <w:sz w:val="24"/>
          <w:szCs w:val="24"/>
        </w:rPr>
        <w:t>in relation to future matters, must be</w:t>
      </w:r>
      <w:r w:rsidR="007017A1" w:rsidRPr="00F669AB">
        <w:rPr>
          <w:rFonts w:ascii="Arial" w:hAnsi="Arial" w:cs="Arial"/>
          <w:sz w:val="24"/>
          <w:szCs w:val="24"/>
        </w:rPr>
        <w:t xml:space="preserve"> rejected. The Commission was not only entitled</w:t>
      </w:r>
      <w:r w:rsidR="00273780" w:rsidRPr="00F669AB">
        <w:rPr>
          <w:rFonts w:ascii="Arial" w:hAnsi="Arial" w:cs="Arial"/>
          <w:sz w:val="24"/>
          <w:szCs w:val="24"/>
        </w:rPr>
        <w:t>,</w:t>
      </w:r>
      <w:r w:rsidR="007017A1" w:rsidRPr="00F669AB">
        <w:rPr>
          <w:rFonts w:ascii="Arial" w:hAnsi="Arial" w:cs="Arial"/>
          <w:sz w:val="24"/>
          <w:szCs w:val="24"/>
        </w:rPr>
        <w:t xml:space="preserve"> but also duty bound, upon the discovery of the mistake to approach this C</w:t>
      </w:r>
      <w:r w:rsidR="002258D7" w:rsidRPr="00F669AB">
        <w:rPr>
          <w:rFonts w:ascii="Arial" w:hAnsi="Arial" w:cs="Arial"/>
          <w:sz w:val="24"/>
          <w:szCs w:val="24"/>
        </w:rPr>
        <w:t>ourt for a setting aside of the unlawful decision resulting from its</w:t>
      </w:r>
      <w:r w:rsidR="007017A1" w:rsidRPr="00F669AB">
        <w:rPr>
          <w:rFonts w:ascii="Arial" w:hAnsi="Arial" w:cs="Arial"/>
          <w:sz w:val="24"/>
          <w:szCs w:val="24"/>
        </w:rPr>
        <w:t xml:space="preserve"> mistake.</w:t>
      </w:r>
      <w:r w:rsidR="007017A1" w:rsidRPr="00512F52">
        <w:rPr>
          <w:rStyle w:val="FootnoteReference"/>
          <w:rFonts w:ascii="Arial" w:hAnsi="Arial" w:cs="Arial"/>
          <w:sz w:val="24"/>
          <w:szCs w:val="24"/>
        </w:rPr>
        <w:footnoteReference w:id="29"/>
      </w:r>
      <w:r w:rsidR="007017A1" w:rsidRPr="00F669AB">
        <w:rPr>
          <w:rFonts w:ascii="Arial" w:hAnsi="Arial" w:cs="Arial"/>
          <w:sz w:val="24"/>
          <w:szCs w:val="24"/>
        </w:rPr>
        <w:t xml:space="preserve"> </w:t>
      </w:r>
      <w:r w:rsidR="0007669E" w:rsidRPr="00F669AB">
        <w:rPr>
          <w:rFonts w:ascii="Arial" w:hAnsi="Arial" w:cs="Arial"/>
          <w:sz w:val="24"/>
          <w:szCs w:val="24"/>
        </w:rPr>
        <w:t>This is because s 2 of the Constitution proclaims that the Constitution is supreme</w:t>
      </w:r>
      <w:r w:rsidR="00254C88" w:rsidRPr="00F669AB">
        <w:rPr>
          <w:rFonts w:ascii="Arial" w:hAnsi="Arial" w:cs="Arial"/>
          <w:sz w:val="24"/>
          <w:szCs w:val="24"/>
        </w:rPr>
        <w:t>;</w:t>
      </w:r>
      <w:r w:rsidR="0007669E" w:rsidRPr="00F669AB">
        <w:rPr>
          <w:rFonts w:ascii="Arial" w:hAnsi="Arial" w:cs="Arial"/>
          <w:sz w:val="24"/>
          <w:szCs w:val="24"/>
        </w:rPr>
        <w:t xml:space="preserve"> and that law or conduct that is inconsistent with it is invalid.</w:t>
      </w:r>
    </w:p>
    <w:p w14:paraId="744A4D91" w14:textId="77777777" w:rsidR="00772102" w:rsidRPr="00512F52" w:rsidRDefault="00772102" w:rsidP="00772102">
      <w:pPr>
        <w:spacing w:after="0" w:line="360" w:lineRule="auto"/>
        <w:jc w:val="both"/>
        <w:rPr>
          <w:rFonts w:ascii="Arial" w:hAnsi="Arial" w:cs="Arial"/>
          <w:sz w:val="24"/>
          <w:szCs w:val="24"/>
        </w:rPr>
      </w:pPr>
    </w:p>
    <w:p w14:paraId="4F0FFD56" w14:textId="2909148B" w:rsidR="009317C7" w:rsidRPr="00512F52" w:rsidRDefault="002A5865" w:rsidP="00772102">
      <w:pPr>
        <w:spacing w:after="0" w:line="360" w:lineRule="auto"/>
        <w:jc w:val="both"/>
        <w:rPr>
          <w:rFonts w:ascii="Arial" w:hAnsi="Arial" w:cs="Arial"/>
          <w:b/>
          <w:bCs/>
          <w:sz w:val="24"/>
          <w:szCs w:val="24"/>
        </w:rPr>
      </w:pPr>
      <w:r w:rsidRPr="00512F52">
        <w:rPr>
          <w:rFonts w:ascii="Arial" w:hAnsi="Arial" w:cs="Arial"/>
          <w:b/>
          <w:bCs/>
          <w:sz w:val="24"/>
          <w:szCs w:val="24"/>
          <w:lang w:val="en-ZA"/>
        </w:rPr>
        <w:t>Non-</w:t>
      </w:r>
      <w:r w:rsidR="006C1768" w:rsidRPr="00512F52">
        <w:rPr>
          <w:rFonts w:ascii="Arial" w:hAnsi="Arial" w:cs="Arial"/>
          <w:b/>
          <w:bCs/>
          <w:sz w:val="24"/>
          <w:szCs w:val="24"/>
          <w:lang w:val="en-ZA"/>
        </w:rPr>
        <w:t>j</w:t>
      </w:r>
      <w:r w:rsidRPr="00512F52">
        <w:rPr>
          <w:rFonts w:ascii="Arial" w:hAnsi="Arial" w:cs="Arial"/>
          <w:b/>
          <w:bCs/>
          <w:sz w:val="24"/>
          <w:szCs w:val="24"/>
          <w:lang w:val="en-ZA"/>
        </w:rPr>
        <w:t>oinder</w:t>
      </w:r>
      <w:r w:rsidR="0096787D" w:rsidRPr="00512F52">
        <w:rPr>
          <w:rFonts w:ascii="Arial" w:hAnsi="Arial" w:cs="Arial"/>
          <w:b/>
          <w:bCs/>
          <w:sz w:val="24"/>
          <w:szCs w:val="24"/>
          <w:lang w:val="en-ZA"/>
        </w:rPr>
        <w:t xml:space="preserve"> </w:t>
      </w:r>
      <w:r w:rsidR="00B735DF" w:rsidRPr="00512F52">
        <w:rPr>
          <w:rFonts w:ascii="Arial" w:hAnsi="Arial" w:cs="Arial"/>
          <w:b/>
          <w:bCs/>
          <w:sz w:val="24"/>
          <w:szCs w:val="24"/>
          <w:lang w:val="en-ZA"/>
        </w:rPr>
        <w:t xml:space="preserve"> </w:t>
      </w:r>
      <w:r w:rsidR="002E18FC" w:rsidRPr="00512F52">
        <w:rPr>
          <w:rFonts w:ascii="Arial" w:hAnsi="Arial" w:cs="Arial"/>
          <w:b/>
          <w:bCs/>
          <w:sz w:val="24"/>
          <w:szCs w:val="24"/>
          <w:lang w:val="en-ZA"/>
        </w:rPr>
        <w:t xml:space="preserve"> </w:t>
      </w:r>
      <w:r w:rsidR="0082613F" w:rsidRPr="00512F52">
        <w:rPr>
          <w:rFonts w:ascii="Arial" w:hAnsi="Arial" w:cs="Arial"/>
          <w:b/>
          <w:bCs/>
          <w:sz w:val="24"/>
          <w:szCs w:val="24"/>
          <w:lang w:val="en-ZA"/>
        </w:rPr>
        <w:t xml:space="preserve"> </w:t>
      </w:r>
    </w:p>
    <w:p w14:paraId="31701A86" w14:textId="11B8CE49" w:rsidR="009317C7"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[79]</w:t>
      </w:r>
      <w:r w:rsidRPr="00512F52">
        <w:rPr>
          <w:rFonts w:ascii="Arial" w:hAnsi="Arial" w:cs="Arial"/>
          <w:sz w:val="24"/>
          <w:szCs w:val="24"/>
        </w:rPr>
        <w:tab/>
      </w:r>
      <w:r w:rsidR="000B3ADB" w:rsidRPr="00F669AB">
        <w:rPr>
          <w:rFonts w:ascii="Arial" w:hAnsi="Arial" w:cs="Arial"/>
          <w:sz w:val="24"/>
          <w:szCs w:val="24"/>
        </w:rPr>
        <w:t xml:space="preserve">The </w:t>
      </w:r>
      <w:r w:rsidR="0004784E" w:rsidRPr="00F669AB">
        <w:rPr>
          <w:rFonts w:ascii="Arial" w:hAnsi="Arial" w:cs="Arial"/>
          <w:sz w:val="24"/>
          <w:szCs w:val="24"/>
        </w:rPr>
        <w:t>next</w:t>
      </w:r>
      <w:r w:rsidR="000B3ADB" w:rsidRPr="00F669AB">
        <w:rPr>
          <w:rFonts w:ascii="Arial" w:hAnsi="Arial" w:cs="Arial"/>
          <w:sz w:val="24"/>
          <w:szCs w:val="24"/>
        </w:rPr>
        <w:t xml:space="preserve"> point taken by uMhlathuze Local Municipality was that </w:t>
      </w:r>
      <w:r w:rsidR="009317C7" w:rsidRPr="00F669AB">
        <w:rPr>
          <w:rFonts w:ascii="Arial" w:hAnsi="Arial" w:cs="Arial"/>
          <w:sz w:val="24"/>
          <w:szCs w:val="24"/>
        </w:rPr>
        <w:t>there has been non-joinder of all the parties with a material interest in these proceedings, namely</w:t>
      </w:r>
      <w:r w:rsidR="00254C88" w:rsidRPr="00F669AB">
        <w:rPr>
          <w:rFonts w:ascii="Arial" w:hAnsi="Arial" w:cs="Arial"/>
          <w:sz w:val="24"/>
          <w:szCs w:val="24"/>
        </w:rPr>
        <w:t>,</w:t>
      </w:r>
      <w:r w:rsidR="009317C7" w:rsidRPr="00F669AB">
        <w:rPr>
          <w:rFonts w:ascii="Arial" w:hAnsi="Arial" w:cs="Arial"/>
          <w:sz w:val="24"/>
          <w:szCs w:val="24"/>
        </w:rPr>
        <w:t xml:space="preserve"> the uMhlathuze Municipal Council, the King Cetshwayo Municipal Council, the Minister of Cooperative Governance and Traditional Affairs (the Minister) and the M</w:t>
      </w:r>
      <w:r w:rsidR="00652DD6" w:rsidRPr="00F669AB">
        <w:rPr>
          <w:rFonts w:ascii="Arial" w:hAnsi="Arial" w:cs="Arial"/>
          <w:sz w:val="24"/>
          <w:szCs w:val="24"/>
        </w:rPr>
        <w:t xml:space="preserve">ember of the </w:t>
      </w:r>
      <w:r w:rsidR="009317C7" w:rsidRPr="00F669AB">
        <w:rPr>
          <w:rFonts w:ascii="Arial" w:hAnsi="Arial" w:cs="Arial"/>
          <w:sz w:val="24"/>
          <w:szCs w:val="24"/>
        </w:rPr>
        <w:t>E</w:t>
      </w:r>
      <w:r w:rsidR="00652DD6" w:rsidRPr="00F669AB">
        <w:rPr>
          <w:rFonts w:ascii="Arial" w:hAnsi="Arial" w:cs="Arial"/>
          <w:sz w:val="24"/>
          <w:szCs w:val="24"/>
        </w:rPr>
        <w:t xml:space="preserve">xecutive </w:t>
      </w:r>
      <w:r w:rsidR="009317C7" w:rsidRPr="00F669AB">
        <w:rPr>
          <w:rFonts w:ascii="Arial" w:hAnsi="Arial" w:cs="Arial"/>
          <w:sz w:val="24"/>
          <w:szCs w:val="24"/>
        </w:rPr>
        <w:t>C</w:t>
      </w:r>
      <w:r w:rsidR="00652DD6" w:rsidRPr="00F669AB">
        <w:rPr>
          <w:rFonts w:ascii="Arial" w:hAnsi="Arial" w:cs="Arial"/>
          <w:sz w:val="24"/>
          <w:szCs w:val="24"/>
        </w:rPr>
        <w:t>ouncil</w:t>
      </w:r>
      <w:r w:rsidR="009317C7" w:rsidRPr="00F669AB">
        <w:rPr>
          <w:rFonts w:ascii="Arial" w:hAnsi="Arial" w:cs="Arial"/>
          <w:sz w:val="24"/>
          <w:szCs w:val="24"/>
        </w:rPr>
        <w:t xml:space="preserve"> for Cooperative Governance and Traditional Affairs (the MEC)</w:t>
      </w:r>
      <w:r w:rsidR="00652DD6" w:rsidRPr="00F669AB">
        <w:rPr>
          <w:rFonts w:ascii="Arial" w:hAnsi="Arial" w:cs="Arial"/>
          <w:sz w:val="24"/>
          <w:szCs w:val="24"/>
        </w:rPr>
        <w:t>,</w:t>
      </w:r>
      <w:r w:rsidR="008E1E33" w:rsidRPr="00F669AB">
        <w:rPr>
          <w:rFonts w:ascii="Arial" w:hAnsi="Arial" w:cs="Arial"/>
          <w:sz w:val="24"/>
          <w:szCs w:val="24"/>
        </w:rPr>
        <w:t xml:space="preserve"> and that for this reason</w:t>
      </w:r>
      <w:r w:rsidR="0004784E" w:rsidRPr="00F669AB">
        <w:rPr>
          <w:rFonts w:ascii="Arial" w:hAnsi="Arial" w:cs="Arial"/>
          <w:sz w:val="24"/>
          <w:szCs w:val="24"/>
        </w:rPr>
        <w:t>,</w:t>
      </w:r>
      <w:r w:rsidR="008E1E33" w:rsidRPr="00F669AB">
        <w:rPr>
          <w:rFonts w:ascii="Arial" w:hAnsi="Arial" w:cs="Arial"/>
          <w:sz w:val="24"/>
          <w:szCs w:val="24"/>
        </w:rPr>
        <w:t xml:space="preserve"> the application should be dismissed.</w:t>
      </w:r>
      <w:r w:rsidR="009317C7" w:rsidRPr="00F669AB">
        <w:rPr>
          <w:rFonts w:ascii="Arial" w:hAnsi="Arial" w:cs="Arial"/>
          <w:sz w:val="24"/>
          <w:szCs w:val="24"/>
        </w:rPr>
        <w:t xml:space="preserve"> </w:t>
      </w:r>
    </w:p>
    <w:p w14:paraId="1443B6B8" w14:textId="77777777" w:rsidR="00772102" w:rsidRPr="00512F52" w:rsidRDefault="00772102" w:rsidP="00772102">
      <w:pPr>
        <w:pStyle w:val="ListParagraph"/>
        <w:spacing w:after="0" w:line="360" w:lineRule="auto"/>
        <w:ind w:left="0"/>
        <w:jc w:val="both"/>
        <w:rPr>
          <w:rFonts w:ascii="Arial" w:hAnsi="Arial" w:cs="Arial"/>
          <w:sz w:val="24"/>
          <w:szCs w:val="24"/>
        </w:rPr>
      </w:pPr>
    </w:p>
    <w:p w14:paraId="6CB3D2CC" w14:textId="02CD4D5E" w:rsidR="004F0FF4"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[80]</w:t>
      </w:r>
      <w:r w:rsidRPr="00512F52">
        <w:rPr>
          <w:rFonts w:ascii="Arial" w:hAnsi="Arial" w:cs="Arial"/>
          <w:sz w:val="24"/>
          <w:szCs w:val="24"/>
        </w:rPr>
        <w:tab/>
      </w:r>
      <w:r w:rsidR="000E3040" w:rsidRPr="00F669AB">
        <w:rPr>
          <w:rFonts w:ascii="Arial" w:hAnsi="Arial" w:cs="Arial"/>
          <w:sz w:val="24"/>
          <w:szCs w:val="24"/>
        </w:rPr>
        <w:t>In general, t</w:t>
      </w:r>
      <w:r w:rsidR="004F0FF4" w:rsidRPr="00F669AB">
        <w:rPr>
          <w:rFonts w:ascii="Arial" w:hAnsi="Arial" w:cs="Arial"/>
          <w:sz w:val="24"/>
          <w:szCs w:val="24"/>
        </w:rPr>
        <w:t>he courts have consistently refrained from dealing with issues in which a third party may have a direct and substantial interest without either having that party joined in the proceedings or</w:t>
      </w:r>
      <w:r w:rsidR="00652DD6" w:rsidRPr="00F669AB">
        <w:rPr>
          <w:rFonts w:ascii="Arial" w:hAnsi="Arial" w:cs="Arial"/>
          <w:sz w:val="24"/>
          <w:szCs w:val="24"/>
        </w:rPr>
        <w:t>,</w:t>
      </w:r>
      <w:r w:rsidR="004F0FF4" w:rsidRPr="00F669AB">
        <w:rPr>
          <w:rFonts w:ascii="Arial" w:hAnsi="Arial" w:cs="Arial"/>
          <w:sz w:val="24"/>
          <w:szCs w:val="24"/>
        </w:rPr>
        <w:t xml:space="preserve"> if the circumstances of the case admit of such a course, taking other adequate steps to ensure that its judgment will not prejudi</w:t>
      </w:r>
      <w:r w:rsidR="002303A4" w:rsidRPr="00F669AB">
        <w:rPr>
          <w:rFonts w:ascii="Arial" w:hAnsi="Arial" w:cs="Arial"/>
          <w:sz w:val="24"/>
          <w:szCs w:val="24"/>
        </w:rPr>
        <w:t>ci</w:t>
      </w:r>
      <w:r w:rsidR="004F0FF4" w:rsidRPr="00F669AB">
        <w:rPr>
          <w:rFonts w:ascii="Arial" w:hAnsi="Arial" w:cs="Arial"/>
          <w:sz w:val="24"/>
          <w:szCs w:val="24"/>
        </w:rPr>
        <w:t>ally affect the</w:t>
      </w:r>
      <w:r w:rsidR="002303A4" w:rsidRPr="00F669AB">
        <w:rPr>
          <w:rFonts w:ascii="Arial" w:hAnsi="Arial" w:cs="Arial"/>
          <w:sz w:val="24"/>
          <w:szCs w:val="24"/>
        </w:rPr>
        <w:t xml:space="preserve"> party’s interests.</w:t>
      </w:r>
      <w:r w:rsidR="002303A4" w:rsidRPr="00512F52">
        <w:rPr>
          <w:rStyle w:val="FootnoteReference"/>
          <w:rFonts w:ascii="Arial" w:hAnsi="Arial" w:cs="Arial"/>
          <w:sz w:val="24"/>
          <w:szCs w:val="24"/>
        </w:rPr>
        <w:footnoteReference w:id="30"/>
      </w:r>
      <w:r w:rsidR="002303A4" w:rsidRPr="00F669AB">
        <w:rPr>
          <w:rFonts w:ascii="Arial" w:hAnsi="Arial" w:cs="Arial"/>
          <w:sz w:val="24"/>
          <w:szCs w:val="24"/>
        </w:rPr>
        <w:t xml:space="preserve"> This principle was reaffirmed by the Constitutional Court in </w:t>
      </w:r>
      <w:r w:rsidR="002303A4" w:rsidRPr="00F669AB">
        <w:rPr>
          <w:rFonts w:ascii="Arial" w:hAnsi="Arial" w:cs="Arial"/>
          <w:i/>
          <w:sz w:val="24"/>
          <w:szCs w:val="24"/>
        </w:rPr>
        <w:t>Snyders v De Jager</w:t>
      </w:r>
      <w:r w:rsidR="00FD164E" w:rsidRPr="00F669AB">
        <w:rPr>
          <w:rFonts w:ascii="Arial" w:hAnsi="Arial" w:cs="Arial"/>
          <w:sz w:val="24"/>
          <w:szCs w:val="24"/>
        </w:rPr>
        <w:t>.</w:t>
      </w:r>
      <w:r w:rsidR="001807AF" w:rsidRPr="00512F52">
        <w:rPr>
          <w:rStyle w:val="FootnoteReference"/>
          <w:rFonts w:ascii="Arial" w:hAnsi="Arial" w:cs="Arial"/>
          <w:sz w:val="24"/>
          <w:szCs w:val="24"/>
        </w:rPr>
        <w:footnoteReference w:id="31"/>
      </w:r>
      <w:r w:rsidR="002303A4" w:rsidRPr="00F669AB">
        <w:rPr>
          <w:rFonts w:ascii="Arial" w:hAnsi="Arial" w:cs="Arial"/>
          <w:i/>
          <w:sz w:val="24"/>
          <w:szCs w:val="24"/>
        </w:rPr>
        <w:t xml:space="preserve"> </w:t>
      </w:r>
      <w:r w:rsidR="002303A4" w:rsidRPr="00F669AB">
        <w:rPr>
          <w:rFonts w:ascii="Arial" w:hAnsi="Arial" w:cs="Arial"/>
          <w:sz w:val="24"/>
          <w:szCs w:val="24"/>
        </w:rPr>
        <w:t>The test for joinder is that a litigant must have a direct and substantial legal interest that may be affected prejudicially by the judgment of the court in the proceedings concerned. Thus</w:t>
      </w:r>
      <w:r w:rsidR="00652DD6" w:rsidRPr="00F669AB">
        <w:rPr>
          <w:rFonts w:ascii="Arial" w:hAnsi="Arial" w:cs="Arial"/>
          <w:sz w:val="24"/>
          <w:szCs w:val="24"/>
        </w:rPr>
        <w:t>,</w:t>
      </w:r>
      <w:r w:rsidR="002303A4" w:rsidRPr="00F669AB">
        <w:rPr>
          <w:rFonts w:ascii="Arial" w:hAnsi="Arial" w:cs="Arial"/>
          <w:sz w:val="24"/>
          <w:szCs w:val="24"/>
        </w:rPr>
        <w:t xml:space="preserve"> if an order or judgment cannot be sustained without necessarily </w:t>
      </w:r>
      <w:r w:rsidR="002303A4" w:rsidRPr="00F669AB">
        <w:rPr>
          <w:rFonts w:ascii="Arial" w:hAnsi="Arial" w:cs="Arial"/>
          <w:sz w:val="24"/>
          <w:szCs w:val="24"/>
        </w:rPr>
        <w:lastRenderedPageBreak/>
        <w:t>prejudicing the interest</w:t>
      </w:r>
      <w:r w:rsidR="00652DD6" w:rsidRPr="00F669AB">
        <w:rPr>
          <w:rFonts w:ascii="Arial" w:hAnsi="Arial" w:cs="Arial"/>
          <w:sz w:val="24"/>
          <w:szCs w:val="24"/>
        </w:rPr>
        <w:t>s</w:t>
      </w:r>
      <w:r w:rsidR="002303A4" w:rsidRPr="00F669AB">
        <w:rPr>
          <w:rFonts w:ascii="Arial" w:hAnsi="Arial" w:cs="Arial"/>
          <w:sz w:val="24"/>
          <w:szCs w:val="24"/>
        </w:rPr>
        <w:t xml:space="preserve"> of third parties that had not been joined, then such parties have a legal interest in the matter and must be joined.</w:t>
      </w:r>
      <w:r w:rsidR="002303A4" w:rsidRPr="00512F52">
        <w:rPr>
          <w:rStyle w:val="FootnoteReference"/>
          <w:rFonts w:ascii="Arial" w:hAnsi="Arial" w:cs="Arial"/>
          <w:sz w:val="24"/>
          <w:szCs w:val="24"/>
        </w:rPr>
        <w:footnoteReference w:id="32"/>
      </w:r>
    </w:p>
    <w:p w14:paraId="13D0B284" w14:textId="77777777" w:rsidR="00772102" w:rsidRPr="00512F52" w:rsidRDefault="00772102" w:rsidP="00772102">
      <w:pPr>
        <w:pStyle w:val="ListParagraph"/>
        <w:spacing w:after="0" w:line="360" w:lineRule="auto"/>
        <w:jc w:val="both"/>
        <w:rPr>
          <w:rFonts w:ascii="Arial" w:hAnsi="Arial" w:cs="Arial"/>
          <w:sz w:val="24"/>
          <w:szCs w:val="24"/>
        </w:rPr>
      </w:pPr>
    </w:p>
    <w:p w14:paraId="51DEA39E" w14:textId="69BCE995" w:rsidR="00494D97"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[81]</w:t>
      </w:r>
      <w:r w:rsidRPr="00512F52">
        <w:rPr>
          <w:rFonts w:ascii="Arial" w:hAnsi="Arial" w:cs="Arial"/>
          <w:sz w:val="24"/>
          <w:szCs w:val="24"/>
        </w:rPr>
        <w:tab/>
      </w:r>
      <w:r w:rsidR="00677C6F" w:rsidRPr="00F669AB">
        <w:rPr>
          <w:rFonts w:ascii="Arial" w:hAnsi="Arial" w:cs="Arial"/>
          <w:sz w:val="24"/>
          <w:szCs w:val="24"/>
        </w:rPr>
        <w:t>Counsel</w:t>
      </w:r>
      <w:r w:rsidR="00494D97" w:rsidRPr="00F669AB">
        <w:rPr>
          <w:rFonts w:ascii="Arial" w:hAnsi="Arial" w:cs="Arial"/>
          <w:sz w:val="24"/>
          <w:szCs w:val="24"/>
        </w:rPr>
        <w:t xml:space="preserve"> argued that uMhlathuze Local Council has a material interest and is a necessary party to be joined in these proceedings. </w:t>
      </w:r>
      <w:r w:rsidR="00677C6F" w:rsidRPr="00F669AB">
        <w:rPr>
          <w:rFonts w:ascii="Arial" w:hAnsi="Arial" w:cs="Arial"/>
          <w:sz w:val="24"/>
          <w:szCs w:val="24"/>
        </w:rPr>
        <w:t>This, it was contended, arises from</w:t>
      </w:r>
      <w:r w:rsidR="00494D97" w:rsidRPr="00F669AB">
        <w:rPr>
          <w:rFonts w:ascii="Arial" w:hAnsi="Arial" w:cs="Arial"/>
          <w:sz w:val="24"/>
          <w:szCs w:val="24"/>
        </w:rPr>
        <w:t xml:space="preserve"> the fact that should the relief sought in this application be granted, it would reduce the voice of uMhlathuze Local Council in the District Council</w:t>
      </w:r>
      <w:r w:rsidR="00652DD6" w:rsidRPr="00F669AB">
        <w:rPr>
          <w:rFonts w:ascii="Arial" w:hAnsi="Arial" w:cs="Arial"/>
          <w:sz w:val="24"/>
          <w:szCs w:val="24"/>
        </w:rPr>
        <w:t>,</w:t>
      </w:r>
      <w:r w:rsidR="00494D97" w:rsidRPr="00F669AB">
        <w:rPr>
          <w:rFonts w:ascii="Arial" w:hAnsi="Arial" w:cs="Arial"/>
          <w:sz w:val="24"/>
          <w:szCs w:val="24"/>
        </w:rPr>
        <w:t xml:space="preserve"> in that it would have three less seats and vote</w:t>
      </w:r>
      <w:r w:rsidR="00652DD6" w:rsidRPr="00F669AB">
        <w:rPr>
          <w:rFonts w:ascii="Arial" w:hAnsi="Arial" w:cs="Arial"/>
          <w:sz w:val="24"/>
          <w:szCs w:val="24"/>
        </w:rPr>
        <w:t>s</w:t>
      </w:r>
      <w:r w:rsidR="00494D97" w:rsidRPr="00F669AB">
        <w:rPr>
          <w:rFonts w:ascii="Arial" w:hAnsi="Arial" w:cs="Arial"/>
          <w:sz w:val="24"/>
          <w:szCs w:val="24"/>
        </w:rPr>
        <w:t xml:space="preserve">. It would </w:t>
      </w:r>
      <w:r w:rsidR="00652DD6" w:rsidRPr="00F669AB">
        <w:rPr>
          <w:rFonts w:ascii="Arial" w:hAnsi="Arial" w:cs="Arial"/>
          <w:sz w:val="24"/>
          <w:szCs w:val="24"/>
        </w:rPr>
        <w:t xml:space="preserve">thus </w:t>
      </w:r>
      <w:r w:rsidR="00494D97" w:rsidRPr="00F669AB">
        <w:rPr>
          <w:rFonts w:ascii="Arial" w:hAnsi="Arial" w:cs="Arial"/>
          <w:sz w:val="24"/>
          <w:szCs w:val="24"/>
        </w:rPr>
        <w:t>prejudicially affect its interest. It was submitted that the citation of the Speaker or the Municipal Manager is not enough.</w:t>
      </w:r>
    </w:p>
    <w:p w14:paraId="70BB3CBF" w14:textId="77777777" w:rsidR="00772102" w:rsidRPr="00512F52" w:rsidRDefault="00772102" w:rsidP="00772102">
      <w:pPr>
        <w:pStyle w:val="ListParagraph"/>
        <w:spacing w:after="0" w:line="360" w:lineRule="auto"/>
        <w:jc w:val="both"/>
        <w:rPr>
          <w:rFonts w:ascii="Arial" w:hAnsi="Arial" w:cs="Arial"/>
          <w:sz w:val="24"/>
          <w:szCs w:val="24"/>
        </w:rPr>
      </w:pPr>
    </w:p>
    <w:p w14:paraId="7AA651A2" w14:textId="4D11FAD5" w:rsidR="007B49AF"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[82]</w:t>
      </w:r>
      <w:r w:rsidRPr="00512F52">
        <w:rPr>
          <w:rFonts w:ascii="Arial" w:hAnsi="Arial" w:cs="Arial"/>
          <w:sz w:val="24"/>
          <w:szCs w:val="24"/>
        </w:rPr>
        <w:tab/>
      </w:r>
      <w:r w:rsidR="007B49AF" w:rsidRPr="00F669AB">
        <w:rPr>
          <w:rFonts w:ascii="Arial" w:hAnsi="Arial" w:cs="Arial"/>
          <w:sz w:val="24"/>
          <w:szCs w:val="24"/>
        </w:rPr>
        <w:t>The uMhlathuze Local</w:t>
      </w:r>
      <w:r w:rsidR="000E3040" w:rsidRPr="00F669AB">
        <w:rPr>
          <w:rFonts w:ascii="Arial" w:hAnsi="Arial" w:cs="Arial"/>
          <w:sz w:val="24"/>
          <w:szCs w:val="24"/>
        </w:rPr>
        <w:t xml:space="preserve"> Municipality’s non-joinder point</w:t>
      </w:r>
      <w:r w:rsidR="007B49AF" w:rsidRPr="00F669AB">
        <w:rPr>
          <w:rFonts w:ascii="Arial" w:hAnsi="Arial" w:cs="Arial"/>
          <w:sz w:val="24"/>
          <w:szCs w:val="24"/>
        </w:rPr>
        <w:t xml:space="preserve"> should fail. It was not necessary for the Commission to cite it separately.</w:t>
      </w:r>
      <w:r w:rsidR="000E3040" w:rsidRPr="00F669AB">
        <w:rPr>
          <w:rFonts w:ascii="Arial" w:hAnsi="Arial" w:cs="Arial"/>
          <w:sz w:val="24"/>
          <w:szCs w:val="24"/>
        </w:rPr>
        <w:t xml:space="preserve"> </w:t>
      </w:r>
      <w:r w:rsidR="00B33364" w:rsidRPr="00F669AB">
        <w:rPr>
          <w:rFonts w:ascii="Arial" w:hAnsi="Arial" w:cs="Arial"/>
          <w:sz w:val="24"/>
          <w:szCs w:val="24"/>
        </w:rPr>
        <w:t>A similar point was</w:t>
      </w:r>
      <w:r w:rsidR="00664637" w:rsidRPr="00F669AB">
        <w:rPr>
          <w:rFonts w:ascii="Arial" w:hAnsi="Arial" w:cs="Arial"/>
          <w:sz w:val="24"/>
          <w:szCs w:val="24"/>
        </w:rPr>
        <w:t xml:space="preserve"> raised by the municipality, and, rejected by the court </w:t>
      </w:r>
      <w:r w:rsidR="00B33364" w:rsidRPr="00F669AB">
        <w:rPr>
          <w:rFonts w:ascii="Arial" w:hAnsi="Arial" w:cs="Arial"/>
          <w:sz w:val="24"/>
          <w:szCs w:val="24"/>
        </w:rPr>
        <w:t>in</w:t>
      </w:r>
      <w:r w:rsidR="007B49AF" w:rsidRPr="00F669AB">
        <w:rPr>
          <w:rFonts w:ascii="Arial" w:hAnsi="Arial" w:cs="Arial"/>
          <w:sz w:val="24"/>
          <w:szCs w:val="24"/>
        </w:rPr>
        <w:t xml:space="preserve"> </w:t>
      </w:r>
      <w:r w:rsidR="007B49AF" w:rsidRPr="00F669AB">
        <w:rPr>
          <w:rFonts w:ascii="Arial" w:hAnsi="Arial" w:cs="Arial"/>
          <w:i/>
          <w:sz w:val="24"/>
          <w:szCs w:val="24"/>
        </w:rPr>
        <w:t>S</w:t>
      </w:r>
      <w:r w:rsidR="00677C6F" w:rsidRPr="00F669AB">
        <w:rPr>
          <w:rFonts w:ascii="Arial" w:hAnsi="Arial" w:cs="Arial"/>
          <w:i/>
          <w:sz w:val="24"/>
          <w:szCs w:val="24"/>
        </w:rPr>
        <w:t>k</w:t>
      </w:r>
      <w:r w:rsidR="007B49AF" w:rsidRPr="00F669AB">
        <w:rPr>
          <w:rFonts w:ascii="Arial" w:hAnsi="Arial" w:cs="Arial"/>
          <w:i/>
          <w:sz w:val="24"/>
          <w:szCs w:val="24"/>
        </w:rPr>
        <w:t>weit</w:t>
      </w:r>
      <w:r w:rsidR="00B33364" w:rsidRPr="00F669AB">
        <w:rPr>
          <w:rFonts w:ascii="Arial" w:hAnsi="Arial" w:cs="Arial"/>
          <w:sz w:val="24"/>
          <w:szCs w:val="24"/>
        </w:rPr>
        <w:t>.</w:t>
      </w:r>
      <w:r w:rsidR="007B49AF" w:rsidRPr="00512F52">
        <w:rPr>
          <w:rStyle w:val="FootnoteReference"/>
          <w:rFonts w:ascii="Arial" w:hAnsi="Arial" w:cs="Arial"/>
          <w:sz w:val="24"/>
          <w:szCs w:val="24"/>
        </w:rPr>
        <w:footnoteReference w:id="33"/>
      </w:r>
      <w:r w:rsidR="007B49AF" w:rsidRPr="00F669AB">
        <w:rPr>
          <w:rFonts w:ascii="Arial" w:hAnsi="Arial" w:cs="Arial"/>
          <w:sz w:val="24"/>
          <w:szCs w:val="24"/>
        </w:rPr>
        <w:t xml:space="preserve"> </w:t>
      </w:r>
      <w:r w:rsidR="00B33364" w:rsidRPr="00F669AB">
        <w:rPr>
          <w:rFonts w:ascii="Arial" w:hAnsi="Arial" w:cs="Arial"/>
          <w:sz w:val="24"/>
          <w:szCs w:val="24"/>
        </w:rPr>
        <w:t xml:space="preserve">In </w:t>
      </w:r>
      <w:r w:rsidR="00B33364" w:rsidRPr="00F669AB">
        <w:rPr>
          <w:rFonts w:ascii="Arial" w:hAnsi="Arial" w:cs="Arial"/>
          <w:i/>
          <w:sz w:val="24"/>
          <w:szCs w:val="24"/>
        </w:rPr>
        <w:t>Skweit</w:t>
      </w:r>
      <w:r w:rsidR="00B33364" w:rsidRPr="00F669AB">
        <w:rPr>
          <w:rFonts w:ascii="Arial" w:hAnsi="Arial" w:cs="Arial"/>
          <w:sz w:val="24"/>
          <w:szCs w:val="24"/>
        </w:rPr>
        <w:t xml:space="preserve">, </w:t>
      </w:r>
      <w:r w:rsidR="007B49AF" w:rsidRPr="00F669AB">
        <w:rPr>
          <w:rFonts w:ascii="Arial" w:hAnsi="Arial" w:cs="Arial"/>
          <w:sz w:val="24"/>
          <w:szCs w:val="24"/>
        </w:rPr>
        <w:t xml:space="preserve">the applicant </w:t>
      </w:r>
      <w:r w:rsidR="00B33364" w:rsidRPr="00F669AB">
        <w:rPr>
          <w:rFonts w:ascii="Arial" w:hAnsi="Arial" w:cs="Arial"/>
          <w:sz w:val="24"/>
          <w:szCs w:val="24"/>
        </w:rPr>
        <w:t>had approached the court</w:t>
      </w:r>
      <w:r w:rsidR="00BF2D64" w:rsidRPr="00F669AB">
        <w:rPr>
          <w:rFonts w:ascii="Arial" w:hAnsi="Arial" w:cs="Arial"/>
          <w:sz w:val="24"/>
          <w:szCs w:val="24"/>
        </w:rPr>
        <w:t xml:space="preserve"> seek</w:t>
      </w:r>
      <w:r w:rsidR="00B33364" w:rsidRPr="00F669AB">
        <w:rPr>
          <w:rFonts w:ascii="Arial" w:hAnsi="Arial" w:cs="Arial"/>
          <w:sz w:val="24"/>
          <w:szCs w:val="24"/>
        </w:rPr>
        <w:t>ing</w:t>
      </w:r>
      <w:r w:rsidR="00BF2D64" w:rsidRPr="00F669AB">
        <w:rPr>
          <w:rFonts w:ascii="Arial" w:hAnsi="Arial" w:cs="Arial"/>
          <w:sz w:val="24"/>
          <w:szCs w:val="24"/>
        </w:rPr>
        <w:t xml:space="preserve"> a review and setting aside of the Greater Taung Municipality’s decision to remove him as a member of the </w:t>
      </w:r>
      <w:r w:rsidR="00652DD6" w:rsidRPr="00F669AB">
        <w:rPr>
          <w:rFonts w:ascii="Arial" w:hAnsi="Arial" w:cs="Arial"/>
          <w:sz w:val="24"/>
          <w:szCs w:val="24"/>
        </w:rPr>
        <w:t>e</w:t>
      </w:r>
      <w:r w:rsidR="00BF2D64" w:rsidRPr="00F669AB">
        <w:rPr>
          <w:rFonts w:ascii="Arial" w:hAnsi="Arial" w:cs="Arial"/>
          <w:sz w:val="24"/>
          <w:szCs w:val="24"/>
        </w:rPr>
        <w:t xml:space="preserve">xecutive </w:t>
      </w:r>
      <w:r w:rsidR="00652DD6" w:rsidRPr="00F669AB">
        <w:rPr>
          <w:rFonts w:ascii="Arial" w:hAnsi="Arial" w:cs="Arial"/>
          <w:sz w:val="24"/>
          <w:szCs w:val="24"/>
        </w:rPr>
        <w:t>c</w:t>
      </w:r>
      <w:r w:rsidR="00BF2D64" w:rsidRPr="00F669AB">
        <w:rPr>
          <w:rFonts w:ascii="Arial" w:hAnsi="Arial" w:cs="Arial"/>
          <w:sz w:val="24"/>
          <w:szCs w:val="24"/>
        </w:rPr>
        <w:t>ommittee of the Municipality. In response, the Municipality contended that although the applicant had cited the Speaker and Municipal Manager in their official capacities, that was not enough, and that the applicant ought to have cited</w:t>
      </w:r>
      <w:r w:rsidR="00652DD6" w:rsidRPr="00F669AB">
        <w:rPr>
          <w:rFonts w:ascii="Arial" w:hAnsi="Arial" w:cs="Arial"/>
          <w:sz w:val="24"/>
          <w:szCs w:val="24"/>
        </w:rPr>
        <w:t xml:space="preserve"> the</w:t>
      </w:r>
      <w:r w:rsidR="00BF2D64" w:rsidRPr="00F669AB">
        <w:rPr>
          <w:rFonts w:ascii="Arial" w:hAnsi="Arial" w:cs="Arial"/>
          <w:sz w:val="24"/>
          <w:szCs w:val="24"/>
        </w:rPr>
        <w:t xml:space="preserve"> Municipality itself.</w:t>
      </w:r>
      <w:r w:rsidR="00BF2D64" w:rsidRPr="00512F52">
        <w:rPr>
          <w:rStyle w:val="FootnoteReference"/>
          <w:rFonts w:ascii="Arial" w:hAnsi="Arial" w:cs="Arial"/>
          <w:sz w:val="24"/>
          <w:szCs w:val="24"/>
        </w:rPr>
        <w:footnoteReference w:id="34"/>
      </w:r>
    </w:p>
    <w:p w14:paraId="0C5EDB32" w14:textId="77777777" w:rsidR="00772102" w:rsidRPr="00512F52" w:rsidRDefault="00772102" w:rsidP="00772102">
      <w:pPr>
        <w:pStyle w:val="ListParagraph"/>
        <w:spacing w:after="0" w:line="360" w:lineRule="auto"/>
        <w:jc w:val="both"/>
        <w:rPr>
          <w:rFonts w:ascii="Arial" w:hAnsi="Arial" w:cs="Arial"/>
          <w:sz w:val="24"/>
          <w:szCs w:val="24"/>
        </w:rPr>
      </w:pPr>
    </w:p>
    <w:p w14:paraId="386F912B" w14:textId="5FBA7669" w:rsidR="00BB0A50"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[83]</w:t>
      </w:r>
      <w:r w:rsidRPr="00512F52">
        <w:rPr>
          <w:rFonts w:ascii="Arial" w:hAnsi="Arial" w:cs="Arial"/>
          <w:sz w:val="24"/>
          <w:szCs w:val="24"/>
        </w:rPr>
        <w:tab/>
      </w:r>
      <w:r w:rsidR="00B33364" w:rsidRPr="00F669AB">
        <w:rPr>
          <w:rFonts w:ascii="Arial" w:hAnsi="Arial" w:cs="Arial"/>
          <w:sz w:val="24"/>
          <w:szCs w:val="24"/>
        </w:rPr>
        <w:t>The c</w:t>
      </w:r>
      <w:r w:rsidR="00BB0A50" w:rsidRPr="00F669AB">
        <w:rPr>
          <w:rFonts w:ascii="Arial" w:hAnsi="Arial" w:cs="Arial"/>
          <w:sz w:val="24"/>
          <w:szCs w:val="24"/>
        </w:rPr>
        <w:t>ourt rejected the non-joinder objection. Leeuw J held that the</w:t>
      </w:r>
      <w:r w:rsidR="00BB0A50" w:rsidRPr="00F669AB">
        <w:rPr>
          <w:rFonts w:ascii="Arial" w:hAnsi="Arial" w:cs="Arial"/>
          <w:i/>
          <w:sz w:val="24"/>
          <w:szCs w:val="24"/>
        </w:rPr>
        <w:t xml:space="preserve"> </w:t>
      </w:r>
      <w:r w:rsidR="002B5CC2" w:rsidRPr="00F669AB">
        <w:rPr>
          <w:rFonts w:ascii="Arial" w:hAnsi="Arial" w:cs="Arial"/>
          <w:i/>
          <w:sz w:val="24"/>
          <w:szCs w:val="24"/>
        </w:rPr>
        <w:t>‘</w:t>
      </w:r>
      <w:r w:rsidR="00BB0A50" w:rsidRPr="00F669AB">
        <w:rPr>
          <w:rFonts w:ascii="Arial" w:hAnsi="Arial" w:cs="Arial"/>
          <w:i/>
          <w:sz w:val="24"/>
          <w:szCs w:val="24"/>
        </w:rPr>
        <w:t>failure to cite the Municipality as a party to the application</w:t>
      </w:r>
      <w:r w:rsidR="002B5CC2" w:rsidRPr="00F669AB">
        <w:rPr>
          <w:rFonts w:ascii="Arial" w:hAnsi="Arial" w:cs="Arial"/>
          <w:i/>
          <w:sz w:val="24"/>
          <w:szCs w:val="24"/>
        </w:rPr>
        <w:t xml:space="preserve"> . . . </w:t>
      </w:r>
      <w:r w:rsidR="00BB0A50" w:rsidRPr="00F669AB">
        <w:rPr>
          <w:rFonts w:ascii="Arial" w:hAnsi="Arial" w:cs="Arial"/>
          <w:i/>
          <w:sz w:val="24"/>
          <w:szCs w:val="24"/>
        </w:rPr>
        <w:t>does not prejudice the Applicant in any way</w:t>
      </w:r>
      <w:r w:rsidR="000D7899" w:rsidRPr="00F669AB">
        <w:rPr>
          <w:rFonts w:ascii="Arial" w:hAnsi="Arial" w:cs="Arial"/>
          <w:i/>
          <w:sz w:val="24"/>
          <w:szCs w:val="24"/>
        </w:rPr>
        <w:t>’</w:t>
      </w:r>
      <w:r w:rsidR="00BB0A50" w:rsidRPr="00F669AB">
        <w:rPr>
          <w:rFonts w:ascii="Arial" w:hAnsi="Arial" w:cs="Arial"/>
          <w:sz w:val="24"/>
          <w:szCs w:val="24"/>
        </w:rPr>
        <w:t>.</w:t>
      </w:r>
      <w:r w:rsidR="00BB0A50" w:rsidRPr="00512F52">
        <w:rPr>
          <w:rStyle w:val="FootnoteReference"/>
          <w:rFonts w:ascii="Arial" w:hAnsi="Arial" w:cs="Arial"/>
          <w:sz w:val="24"/>
          <w:szCs w:val="24"/>
        </w:rPr>
        <w:footnoteReference w:id="35"/>
      </w:r>
      <w:r w:rsidR="00BB0A50" w:rsidRPr="00F669AB">
        <w:rPr>
          <w:rFonts w:ascii="Arial" w:hAnsi="Arial" w:cs="Arial"/>
          <w:i/>
          <w:sz w:val="24"/>
          <w:szCs w:val="24"/>
        </w:rPr>
        <w:t xml:space="preserve"> </w:t>
      </w:r>
      <w:r w:rsidR="00B33364" w:rsidRPr="00F669AB">
        <w:rPr>
          <w:rFonts w:ascii="Arial" w:hAnsi="Arial" w:cs="Arial"/>
          <w:sz w:val="24"/>
          <w:szCs w:val="24"/>
        </w:rPr>
        <w:t xml:space="preserve">The learned </w:t>
      </w:r>
      <w:r w:rsidR="002B5CC2" w:rsidRPr="00F669AB">
        <w:rPr>
          <w:rFonts w:ascii="Arial" w:hAnsi="Arial" w:cs="Arial"/>
          <w:sz w:val="24"/>
          <w:szCs w:val="24"/>
        </w:rPr>
        <w:t>j</w:t>
      </w:r>
      <w:r w:rsidR="00B33364" w:rsidRPr="00F669AB">
        <w:rPr>
          <w:rFonts w:ascii="Arial" w:hAnsi="Arial" w:cs="Arial"/>
          <w:sz w:val="24"/>
          <w:szCs w:val="24"/>
        </w:rPr>
        <w:t>udge</w:t>
      </w:r>
      <w:r w:rsidR="00BB0A50" w:rsidRPr="00F669AB">
        <w:rPr>
          <w:rFonts w:ascii="Arial" w:hAnsi="Arial" w:cs="Arial"/>
          <w:sz w:val="24"/>
          <w:szCs w:val="24"/>
        </w:rPr>
        <w:t xml:space="preserve"> pointed out that even under </w:t>
      </w:r>
      <w:r w:rsidR="002B5CC2" w:rsidRPr="00F669AB">
        <w:rPr>
          <w:rFonts w:ascii="Arial" w:hAnsi="Arial" w:cs="Arial"/>
          <w:sz w:val="24"/>
          <w:szCs w:val="24"/>
        </w:rPr>
        <w:t>Uniform r</w:t>
      </w:r>
      <w:r w:rsidR="00BB0A50" w:rsidRPr="00F669AB">
        <w:rPr>
          <w:rFonts w:ascii="Arial" w:hAnsi="Arial" w:cs="Arial"/>
          <w:sz w:val="24"/>
          <w:szCs w:val="24"/>
        </w:rPr>
        <w:t>ule 53</w:t>
      </w:r>
      <w:r w:rsidR="002B5CC2" w:rsidRPr="00F669AB">
        <w:rPr>
          <w:rFonts w:ascii="Arial" w:hAnsi="Arial" w:cs="Arial"/>
          <w:sz w:val="24"/>
          <w:szCs w:val="24"/>
        </w:rPr>
        <w:t>,</w:t>
      </w:r>
      <w:r w:rsidR="00BB0A50" w:rsidRPr="00F669AB">
        <w:rPr>
          <w:rFonts w:ascii="Arial" w:hAnsi="Arial" w:cs="Arial"/>
          <w:sz w:val="24"/>
          <w:szCs w:val="24"/>
        </w:rPr>
        <w:t xml:space="preserve"> which deals with the production of a </w:t>
      </w:r>
      <w:r w:rsidR="002B5CC2" w:rsidRPr="00F669AB">
        <w:rPr>
          <w:rFonts w:ascii="Arial" w:hAnsi="Arial" w:cs="Arial"/>
          <w:sz w:val="24"/>
          <w:szCs w:val="24"/>
        </w:rPr>
        <w:t>r</w:t>
      </w:r>
      <w:r w:rsidR="00BB0A50" w:rsidRPr="00F669AB">
        <w:rPr>
          <w:rFonts w:ascii="Arial" w:hAnsi="Arial" w:cs="Arial"/>
          <w:sz w:val="24"/>
          <w:szCs w:val="24"/>
        </w:rPr>
        <w:t xml:space="preserve">ecord for review purposes, there is no requirement that there be a </w:t>
      </w:r>
      <w:r w:rsidR="000D7899" w:rsidRPr="00F669AB">
        <w:rPr>
          <w:rFonts w:ascii="Arial" w:hAnsi="Arial" w:cs="Arial"/>
          <w:sz w:val="24"/>
          <w:szCs w:val="24"/>
        </w:rPr>
        <w:t>‘</w:t>
      </w:r>
      <w:r w:rsidR="00BB0A50" w:rsidRPr="00F669AB">
        <w:rPr>
          <w:rFonts w:ascii="Arial" w:hAnsi="Arial" w:cs="Arial"/>
          <w:i/>
          <w:sz w:val="24"/>
          <w:szCs w:val="24"/>
        </w:rPr>
        <w:t xml:space="preserve">separate citation </w:t>
      </w:r>
      <w:r w:rsidR="000D7899" w:rsidRPr="00F669AB">
        <w:rPr>
          <w:rFonts w:ascii="Arial" w:hAnsi="Arial" w:cs="Arial"/>
          <w:i/>
          <w:sz w:val="24"/>
          <w:szCs w:val="24"/>
        </w:rPr>
        <w:t>of the board or tribunal itself</w:t>
      </w:r>
      <w:r w:rsidR="000D7899" w:rsidRPr="00F669AB">
        <w:rPr>
          <w:rFonts w:ascii="Arial" w:hAnsi="Arial" w:cs="Arial"/>
          <w:sz w:val="24"/>
          <w:szCs w:val="24"/>
        </w:rPr>
        <w:t>’</w:t>
      </w:r>
      <w:r w:rsidR="00BB0A50" w:rsidRPr="00F669AB">
        <w:rPr>
          <w:rFonts w:ascii="Arial" w:hAnsi="Arial" w:cs="Arial"/>
          <w:i/>
          <w:sz w:val="24"/>
          <w:szCs w:val="24"/>
        </w:rPr>
        <w:t xml:space="preserve"> </w:t>
      </w:r>
      <w:r w:rsidR="00BB0A50" w:rsidRPr="00F669AB">
        <w:rPr>
          <w:rFonts w:ascii="Arial" w:hAnsi="Arial" w:cs="Arial"/>
          <w:sz w:val="24"/>
          <w:szCs w:val="24"/>
        </w:rPr>
        <w:t xml:space="preserve">in addition to any office bearer cited on the behalf of </w:t>
      </w:r>
      <w:r w:rsidR="002B5CC2" w:rsidRPr="00F669AB">
        <w:rPr>
          <w:rFonts w:ascii="Arial" w:hAnsi="Arial" w:cs="Arial"/>
          <w:sz w:val="24"/>
          <w:szCs w:val="24"/>
        </w:rPr>
        <w:t xml:space="preserve">the </w:t>
      </w:r>
      <w:r w:rsidR="00BB0A50" w:rsidRPr="00F669AB">
        <w:rPr>
          <w:rFonts w:ascii="Arial" w:hAnsi="Arial" w:cs="Arial"/>
          <w:sz w:val="24"/>
          <w:szCs w:val="24"/>
        </w:rPr>
        <w:t>board or tribunal.</w:t>
      </w:r>
      <w:r w:rsidR="00BB0A50" w:rsidRPr="00512F52">
        <w:rPr>
          <w:rStyle w:val="FootnoteReference"/>
          <w:rFonts w:ascii="Arial" w:hAnsi="Arial" w:cs="Arial"/>
          <w:sz w:val="24"/>
          <w:szCs w:val="24"/>
        </w:rPr>
        <w:footnoteReference w:id="36"/>
      </w:r>
      <w:r w:rsidR="00BB0A50" w:rsidRPr="00F669AB">
        <w:rPr>
          <w:rFonts w:ascii="Arial" w:hAnsi="Arial" w:cs="Arial"/>
          <w:sz w:val="24"/>
          <w:szCs w:val="24"/>
        </w:rPr>
        <w:t xml:space="preserve"> The same is true in this case. It was unnecessary for the Commission to cite</w:t>
      </w:r>
      <w:r w:rsidR="00B33364" w:rsidRPr="00F669AB">
        <w:rPr>
          <w:rFonts w:ascii="Arial" w:hAnsi="Arial" w:cs="Arial"/>
          <w:sz w:val="24"/>
          <w:szCs w:val="24"/>
        </w:rPr>
        <w:t xml:space="preserve"> the </w:t>
      </w:r>
      <w:r w:rsidR="002B5CC2" w:rsidRPr="00F669AB">
        <w:rPr>
          <w:rFonts w:ascii="Arial" w:hAnsi="Arial" w:cs="Arial"/>
          <w:sz w:val="24"/>
          <w:szCs w:val="24"/>
        </w:rPr>
        <w:t>m</w:t>
      </w:r>
      <w:r w:rsidR="00B33364" w:rsidRPr="00F669AB">
        <w:rPr>
          <w:rFonts w:ascii="Arial" w:hAnsi="Arial" w:cs="Arial"/>
          <w:sz w:val="24"/>
          <w:szCs w:val="24"/>
        </w:rPr>
        <w:t>unicipalities separately.</w:t>
      </w:r>
      <w:r w:rsidR="00BB0A50" w:rsidRPr="00F669AB">
        <w:rPr>
          <w:rFonts w:ascii="Arial" w:hAnsi="Arial" w:cs="Arial"/>
        </w:rPr>
        <w:t xml:space="preserve"> </w:t>
      </w:r>
    </w:p>
    <w:p w14:paraId="7ED1D11F" w14:textId="77777777" w:rsidR="00772102" w:rsidRPr="00512F52" w:rsidRDefault="00772102" w:rsidP="00772102">
      <w:pPr>
        <w:pStyle w:val="ListParagraph"/>
        <w:spacing w:after="0" w:line="360" w:lineRule="auto"/>
        <w:jc w:val="both"/>
        <w:rPr>
          <w:rFonts w:ascii="Arial" w:hAnsi="Arial" w:cs="Arial"/>
          <w:sz w:val="24"/>
          <w:szCs w:val="24"/>
        </w:rPr>
      </w:pPr>
    </w:p>
    <w:p w14:paraId="0BF0DCC2" w14:textId="78DC63D0" w:rsidR="00A503B9"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lastRenderedPageBreak/>
        <w:t>[84]</w:t>
      </w:r>
      <w:r w:rsidRPr="00512F52">
        <w:rPr>
          <w:rFonts w:ascii="Arial" w:hAnsi="Arial" w:cs="Arial"/>
          <w:sz w:val="24"/>
          <w:szCs w:val="24"/>
        </w:rPr>
        <w:tab/>
      </w:r>
      <w:r w:rsidR="00A503B9" w:rsidRPr="00F669AB">
        <w:rPr>
          <w:rFonts w:ascii="Arial" w:hAnsi="Arial" w:cs="Arial"/>
          <w:sz w:val="24"/>
          <w:szCs w:val="24"/>
        </w:rPr>
        <w:t>A</w:t>
      </w:r>
      <w:r w:rsidR="00677C6F" w:rsidRPr="00F669AB">
        <w:rPr>
          <w:rFonts w:ascii="Arial" w:hAnsi="Arial" w:cs="Arial"/>
          <w:sz w:val="24"/>
          <w:szCs w:val="24"/>
        </w:rPr>
        <w:t xml:space="preserve"> further point raised b</w:t>
      </w:r>
      <w:r w:rsidR="00354B67" w:rsidRPr="00F669AB">
        <w:rPr>
          <w:rFonts w:ascii="Arial" w:hAnsi="Arial" w:cs="Arial"/>
          <w:sz w:val="24"/>
          <w:szCs w:val="24"/>
        </w:rPr>
        <w:t xml:space="preserve">y the uMhlathuze </w:t>
      </w:r>
      <w:r w:rsidR="00677C6F" w:rsidRPr="00F669AB">
        <w:rPr>
          <w:rFonts w:ascii="Arial" w:hAnsi="Arial" w:cs="Arial"/>
          <w:sz w:val="24"/>
          <w:szCs w:val="24"/>
        </w:rPr>
        <w:t xml:space="preserve">Local Municipality was </w:t>
      </w:r>
      <w:r w:rsidR="00354B67" w:rsidRPr="00F669AB">
        <w:rPr>
          <w:rFonts w:ascii="Arial" w:hAnsi="Arial" w:cs="Arial"/>
          <w:sz w:val="24"/>
          <w:szCs w:val="24"/>
        </w:rPr>
        <w:t>that all of its council</w:t>
      </w:r>
      <w:r w:rsidR="00712081" w:rsidRPr="00F669AB">
        <w:rPr>
          <w:rFonts w:ascii="Arial" w:hAnsi="Arial" w:cs="Arial"/>
          <w:sz w:val="24"/>
          <w:szCs w:val="24"/>
        </w:rPr>
        <w:t>l</w:t>
      </w:r>
      <w:r w:rsidR="00354B67" w:rsidRPr="00F669AB">
        <w:rPr>
          <w:rFonts w:ascii="Arial" w:hAnsi="Arial" w:cs="Arial"/>
          <w:sz w:val="24"/>
          <w:szCs w:val="24"/>
        </w:rPr>
        <w:t xml:space="preserve">ors should have </w:t>
      </w:r>
      <w:r w:rsidR="00712081" w:rsidRPr="00F669AB">
        <w:rPr>
          <w:rFonts w:ascii="Arial" w:hAnsi="Arial" w:cs="Arial"/>
          <w:sz w:val="24"/>
          <w:szCs w:val="24"/>
        </w:rPr>
        <w:t>been joined and the Commission</w:t>
      </w:r>
      <w:r w:rsidR="00354B67" w:rsidRPr="00F669AB">
        <w:rPr>
          <w:rFonts w:ascii="Arial" w:hAnsi="Arial" w:cs="Arial"/>
          <w:sz w:val="24"/>
          <w:szCs w:val="24"/>
        </w:rPr>
        <w:t>’s failure to join them was fatal. A similar argument</w:t>
      </w:r>
      <w:r w:rsidR="00A040CF" w:rsidRPr="00F669AB">
        <w:rPr>
          <w:rFonts w:ascii="Arial" w:hAnsi="Arial" w:cs="Arial"/>
          <w:sz w:val="24"/>
          <w:szCs w:val="24"/>
        </w:rPr>
        <w:t xml:space="preserve"> in a litigation against </w:t>
      </w:r>
      <w:r w:rsidR="002B5CC2" w:rsidRPr="00F669AB">
        <w:rPr>
          <w:rFonts w:ascii="Arial" w:hAnsi="Arial" w:cs="Arial"/>
          <w:sz w:val="24"/>
          <w:szCs w:val="24"/>
        </w:rPr>
        <w:t xml:space="preserve">a </w:t>
      </w:r>
      <w:r w:rsidR="00632675" w:rsidRPr="00F669AB">
        <w:rPr>
          <w:rFonts w:ascii="Arial" w:hAnsi="Arial" w:cs="Arial"/>
          <w:sz w:val="24"/>
          <w:szCs w:val="24"/>
        </w:rPr>
        <w:t xml:space="preserve">municipal </w:t>
      </w:r>
      <w:r w:rsidR="00A040CF" w:rsidRPr="00F669AB">
        <w:rPr>
          <w:rFonts w:ascii="Arial" w:hAnsi="Arial" w:cs="Arial"/>
          <w:sz w:val="24"/>
          <w:szCs w:val="24"/>
        </w:rPr>
        <w:t>c</w:t>
      </w:r>
      <w:r w:rsidR="00A503B9" w:rsidRPr="00F669AB">
        <w:rPr>
          <w:rFonts w:ascii="Arial" w:hAnsi="Arial" w:cs="Arial"/>
          <w:sz w:val="24"/>
          <w:szCs w:val="24"/>
        </w:rPr>
        <w:t>ouncil was raised</w:t>
      </w:r>
      <w:r w:rsidR="00354B67" w:rsidRPr="00F669AB">
        <w:rPr>
          <w:rFonts w:ascii="Arial" w:hAnsi="Arial" w:cs="Arial"/>
          <w:sz w:val="24"/>
          <w:szCs w:val="24"/>
        </w:rPr>
        <w:t>,</w:t>
      </w:r>
      <w:r w:rsidR="00A503B9" w:rsidRPr="00F669AB">
        <w:rPr>
          <w:rFonts w:ascii="Arial" w:hAnsi="Arial" w:cs="Arial"/>
          <w:sz w:val="24"/>
          <w:szCs w:val="24"/>
        </w:rPr>
        <w:t xml:space="preserve"> and</w:t>
      </w:r>
      <w:r w:rsidR="00354B67" w:rsidRPr="00F669AB">
        <w:rPr>
          <w:rFonts w:ascii="Arial" w:hAnsi="Arial" w:cs="Arial"/>
          <w:sz w:val="24"/>
          <w:szCs w:val="24"/>
        </w:rPr>
        <w:t>,</w:t>
      </w:r>
      <w:r w:rsidR="00A503B9" w:rsidRPr="00F669AB">
        <w:rPr>
          <w:rFonts w:ascii="Arial" w:hAnsi="Arial" w:cs="Arial"/>
          <w:sz w:val="24"/>
          <w:szCs w:val="24"/>
        </w:rPr>
        <w:t xml:space="preserve"> rejected by the court in </w:t>
      </w:r>
      <w:r w:rsidR="00A503B9" w:rsidRPr="00F669AB">
        <w:rPr>
          <w:rFonts w:ascii="Arial" w:hAnsi="Arial" w:cs="Arial"/>
          <w:i/>
          <w:sz w:val="24"/>
          <w:szCs w:val="24"/>
        </w:rPr>
        <w:t xml:space="preserve">Nelson Mandela Bay Municipality and Others v Qaba and </w:t>
      </w:r>
      <w:r w:rsidR="00632675" w:rsidRPr="00F669AB">
        <w:rPr>
          <w:rFonts w:ascii="Arial" w:hAnsi="Arial" w:cs="Arial"/>
          <w:i/>
          <w:sz w:val="24"/>
          <w:szCs w:val="24"/>
        </w:rPr>
        <w:t>O</w:t>
      </w:r>
      <w:r w:rsidR="00A503B9" w:rsidRPr="00F669AB">
        <w:rPr>
          <w:rFonts w:ascii="Arial" w:hAnsi="Arial" w:cs="Arial"/>
          <w:i/>
          <w:sz w:val="24"/>
          <w:szCs w:val="24"/>
        </w:rPr>
        <w:t>ther</w:t>
      </w:r>
      <w:r w:rsidR="00632675" w:rsidRPr="00F669AB">
        <w:rPr>
          <w:rFonts w:ascii="Arial" w:hAnsi="Arial" w:cs="Arial"/>
          <w:i/>
          <w:sz w:val="24"/>
          <w:szCs w:val="24"/>
        </w:rPr>
        <w:t>s</w:t>
      </w:r>
      <w:r w:rsidR="00CA77EB" w:rsidRPr="00F669AB">
        <w:rPr>
          <w:rFonts w:ascii="Arial" w:hAnsi="Arial" w:cs="Arial"/>
          <w:sz w:val="24"/>
          <w:szCs w:val="24"/>
        </w:rPr>
        <w:t>.</w:t>
      </w:r>
      <w:r w:rsidR="00CA77EB" w:rsidRPr="00512F52">
        <w:rPr>
          <w:rStyle w:val="FootnoteReference"/>
          <w:rFonts w:ascii="Arial" w:hAnsi="Arial" w:cs="Arial"/>
          <w:sz w:val="24"/>
          <w:szCs w:val="24"/>
        </w:rPr>
        <w:footnoteReference w:id="37"/>
      </w:r>
      <w:r w:rsidR="00A503B9" w:rsidRPr="00F669AB">
        <w:rPr>
          <w:rFonts w:ascii="Arial" w:hAnsi="Arial" w:cs="Arial"/>
          <w:sz w:val="24"/>
          <w:szCs w:val="24"/>
        </w:rPr>
        <w:t xml:space="preserve"> The court reasoned as follows at para 43:</w:t>
      </w:r>
    </w:p>
    <w:p w14:paraId="0A28EB33" w14:textId="0431E92A" w:rsidR="00A503B9" w:rsidRPr="00512F52" w:rsidRDefault="00BC4065" w:rsidP="00772102">
      <w:pPr>
        <w:spacing w:after="0" w:line="360" w:lineRule="auto"/>
        <w:jc w:val="both"/>
        <w:rPr>
          <w:rFonts w:ascii="Arial" w:hAnsi="Arial" w:cs="Arial"/>
        </w:rPr>
      </w:pPr>
      <w:r w:rsidRPr="00512F52">
        <w:rPr>
          <w:rFonts w:ascii="Arial" w:hAnsi="Arial" w:cs="Arial"/>
        </w:rPr>
        <w:t xml:space="preserve">‘However, ordinarily, when a municipal council is cited in proceedings its chairperson or speaker is cited </w:t>
      </w:r>
      <w:r w:rsidRPr="00512F52">
        <w:rPr>
          <w:rFonts w:ascii="Arial" w:hAnsi="Arial" w:cs="Arial"/>
          <w:i/>
        </w:rPr>
        <w:t xml:space="preserve">nomine officio </w:t>
      </w:r>
      <w:r w:rsidRPr="00512F52">
        <w:rPr>
          <w:rFonts w:ascii="Arial" w:hAnsi="Arial" w:cs="Arial"/>
        </w:rPr>
        <w:t>and it is not necessary to</w:t>
      </w:r>
      <w:r w:rsidR="00A040CF" w:rsidRPr="00512F52">
        <w:rPr>
          <w:rFonts w:ascii="Arial" w:hAnsi="Arial" w:cs="Arial"/>
        </w:rPr>
        <w:t xml:space="preserve"> cite each individual council</w:t>
      </w:r>
      <w:r w:rsidR="00060C8B" w:rsidRPr="00512F52">
        <w:rPr>
          <w:rFonts w:ascii="Arial" w:hAnsi="Arial" w:cs="Arial"/>
        </w:rPr>
        <w:t>l</w:t>
      </w:r>
      <w:r w:rsidR="00A040CF" w:rsidRPr="00512F52">
        <w:rPr>
          <w:rFonts w:ascii="Arial" w:hAnsi="Arial" w:cs="Arial"/>
        </w:rPr>
        <w:t>or.</w:t>
      </w:r>
      <w:r w:rsidRPr="00512F52">
        <w:rPr>
          <w:rFonts w:ascii="Arial" w:hAnsi="Arial" w:cs="Arial"/>
        </w:rPr>
        <w:t xml:space="preserve"> If the applicants succeed</w:t>
      </w:r>
      <w:r w:rsidR="00A040CF" w:rsidRPr="00512F52">
        <w:rPr>
          <w:rFonts w:ascii="Arial" w:hAnsi="Arial" w:cs="Arial"/>
        </w:rPr>
        <w:t>,</w:t>
      </w:r>
      <w:r w:rsidRPr="00512F52">
        <w:rPr>
          <w:rFonts w:ascii="Arial" w:hAnsi="Arial" w:cs="Arial"/>
        </w:rPr>
        <w:t xml:space="preserve"> the order – interim in nature – will be to suspend operation of certain resolutions taken by the municipal council pending a review to set them aside. Such order would be operative against the council as a whole. In this sense it will bind individual councillors.’</w:t>
      </w:r>
    </w:p>
    <w:p w14:paraId="72595FAB" w14:textId="77777777" w:rsidR="00BC4065" w:rsidRPr="00512F52" w:rsidRDefault="00BC4065" w:rsidP="00772102">
      <w:pPr>
        <w:spacing w:after="0" w:line="360" w:lineRule="auto"/>
        <w:jc w:val="both"/>
        <w:rPr>
          <w:rFonts w:ascii="Arial" w:hAnsi="Arial" w:cs="Arial"/>
          <w:sz w:val="24"/>
          <w:szCs w:val="24"/>
        </w:rPr>
      </w:pPr>
    </w:p>
    <w:p w14:paraId="129A25E0" w14:textId="3CB49778" w:rsidR="004516C8"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[85]</w:t>
      </w:r>
      <w:r w:rsidRPr="00512F52">
        <w:rPr>
          <w:rFonts w:ascii="Arial" w:hAnsi="Arial" w:cs="Arial"/>
          <w:sz w:val="24"/>
          <w:szCs w:val="24"/>
        </w:rPr>
        <w:tab/>
      </w:r>
      <w:r w:rsidR="004516C8" w:rsidRPr="00F669AB">
        <w:rPr>
          <w:rFonts w:ascii="Arial" w:hAnsi="Arial" w:cs="Arial"/>
          <w:sz w:val="24"/>
          <w:szCs w:val="24"/>
        </w:rPr>
        <w:t>In relation to the non-joinder of the Minister and the MEC</w:t>
      </w:r>
      <w:r w:rsidR="00A040CF" w:rsidRPr="00F669AB">
        <w:rPr>
          <w:rFonts w:ascii="Arial" w:hAnsi="Arial" w:cs="Arial"/>
          <w:sz w:val="24"/>
          <w:szCs w:val="24"/>
        </w:rPr>
        <w:t>,</w:t>
      </w:r>
      <w:r w:rsidR="004516C8" w:rsidRPr="00F669AB">
        <w:rPr>
          <w:rFonts w:ascii="Arial" w:hAnsi="Arial" w:cs="Arial"/>
          <w:sz w:val="24"/>
          <w:szCs w:val="24"/>
        </w:rPr>
        <w:t xml:space="preserve"> counsel for </w:t>
      </w:r>
      <w:r w:rsidR="00BC4065" w:rsidRPr="00F669AB">
        <w:rPr>
          <w:rFonts w:ascii="Arial" w:hAnsi="Arial" w:cs="Arial"/>
          <w:sz w:val="24"/>
          <w:szCs w:val="24"/>
        </w:rPr>
        <w:t>uMhlathuze Local Municipality</w:t>
      </w:r>
      <w:r w:rsidR="004516C8" w:rsidRPr="00F669AB">
        <w:rPr>
          <w:rFonts w:ascii="Arial" w:hAnsi="Arial" w:cs="Arial"/>
          <w:sz w:val="24"/>
          <w:szCs w:val="24"/>
        </w:rPr>
        <w:t xml:space="preserve"> submitted that the Minister has a direct and substantial interest in the relief</w:t>
      </w:r>
      <w:r w:rsidR="00A040CF" w:rsidRPr="00F669AB">
        <w:rPr>
          <w:rFonts w:ascii="Arial" w:hAnsi="Arial" w:cs="Arial"/>
          <w:sz w:val="24"/>
          <w:szCs w:val="24"/>
        </w:rPr>
        <w:t xml:space="preserve"> and should have been joined</w:t>
      </w:r>
      <w:r w:rsidR="004516C8" w:rsidRPr="00F669AB">
        <w:rPr>
          <w:rFonts w:ascii="Arial" w:hAnsi="Arial" w:cs="Arial"/>
          <w:sz w:val="24"/>
          <w:szCs w:val="24"/>
        </w:rPr>
        <w:t>, because the effect of the relief</w:t>
      </w:r>
      <w:r w:rsidR="00A040CF" w:rsidRPr="00F669AB">
        <w:rPr>
          <w:rFonts w:ascii="Arial" w:hAnsi="Arial" w:cs="Arial"/>
          <w:sz w:val="24"/>
          <w:szCs w:val="24"/>
        </w:rPr>
        <w:t xml:space="preserve"> sought, if granted</w:t>
      </w:r>
      <w:r w:rsidR="008F2890" w:rsidRPr="00F669AB">
        <w:rPr>
          <w:rFonts w:ascii="Arial" w:hAnsi="Arial" w:cs="Arial"/>
          <w:sz w:val="24"/>
          <w:szCs w:val="24"/>
        </w:rPr>
        <w:t>, would</w:t>
      </w:r>
      <w:r w:rsidR="004516C8" w:rsidRPr="00F669AB">
        <w:rPr>
          <w:rFonts w:ascii="Arial" w:hAnsi="Arial" w:cs="Arial"/>
          <w:sz w:val="24"/>
          <w:szCs w:val="24"/>
        </w:rPr>
        <w:t xml:space="preserve"> subvert the Minister’s formula for the determination of the number of councillors. T</w:t>
      </w:r>
      <w:r w:rsidR="00B30A48" w:rsidRPr="00F669AB">
        <w:rPr>
          <w:rFonts w:ascii="Arial" w:hAnsi="Arial" w:cs="Arial"/>
          <w:sz w:val="24"/>
          <w:szCs w:val="24"/>
        </w:rPr>
        <w:t>he basis for this contention is</w:t>
      </w:r>
      <w:r w:rsidR="004516C8" w:rsidRPr="00F669AB">
        <w:rPr>
          <w:rFonts w:ascii="Arial" w:hAnsi="Arial" w:cs="Arial"/>
          <w:sz w:val="24"/>
          <w:szCs w:val="24"/>
        </w:rPr>
        <w:t xml:space="preserve"> </w:t>
      </w:r>
      <w:r w:rsidR="00632675" w:rsidRPr="00F669AB">
        <w:rPr>
          <w:rFonts w:ascii="Arial" w:hAnsi="Arial" w:cs="Arial"/>
          <w:sz w:val="24"/>
          <w:szCs w:val="24"/>
        </w:rPr>
        <w:t xml:space="preserve">that </w:t>
      </w:r>
      <w:r w:rsidR="004516C8" w:rsidRPr="00F669AB">
        <w:rPr>
          <w:rFonts w:ascii="Arial" w:hAnsi="Arial" w:cs="Arial"/>
          <w:sz w:val="24"/>
          <w:szCs w:val="24"/>
        </w:rPr>
        <w:t>the Minister is entitled to determine, and has determined, the formula to be utili</w:t>
      </w:r>
      <w:r w:rsidR="00632675" w:rsidRPr="00F669AB">
        <w:rPr>
          <w:rFonts w:ascii="Arial" w:hAnsi="Arial" w:cs="Arial"/>
          <w:sz w:val="24"/>
          <w:szCs w:val="24"/>
        </w:rPr>
        <w:t>s</w:t>
      </w:r>
      <w:r w:rsidR="004516C8" w:rsidRPr="00F669AB">
        <w:rPr>
          <w:rFonts w:ascii="Arial" w:hAnsi="Arial" w:cs="Arial"/>
          <w:sz w:val="24"/>
          <w:szCs w:val="24"/>
        </w:rPr>
        <w:t xml:space="preserve">ed to determine the number of councillors of a municipal council and that number, the argument proceeded, is determined based on the number of voters registered in that municipality’s segment of the </w:t>
      </w:r>
      <w:r w:rsidR="00632675" w:rsidRPr="00F669AB">
        <w:rPr>
          <w:rFonts w:ascii="Arial" w:hAnsi="Arial" w:cs="Arial"/>
          <w:sz w:val="24"/>
          <w:szCs w:val="24"/>
        </w:rPr>
        <w:t>n</w:t>
      </w:r>
      <w:r w:rsidR="004516C8" w:rsidRPr="00F669AB">
        <w:rPr>
          <w:rFonts w:ascii="Arial" w:hAnsi="Arial" w:cs="Arial"/>
          <w:sz w:val="24"/>
          <w:szCs w:val="24"/>
        </w:rPr>
        <w:t xml:space="preserve">ational </w:t>
      </w:r>
      <w:r w:rsidR="00632675" w:rsidRPr="00F669AB">
        <w:rPr>
          <w:rFonts w:ascii="Arial" w:hAnsi="Arial" w:cs="Arial"/>
          <w:sz w:val="24"/>
          <w:szCs w:val="24"/>
        </w:rPr>
        <w:t>c</w:t>
      </w:r>
      <w:r w:rsidR="004516C8" w:rsidRPr="00F669AB">
        <w:rPr>
          <w:rFonts w:ascii="Arial" w:hAnsi="Arial" w:cs="Arial"/>
          <w:sz w:val="24"/>
          <w:szCs w:val="24"/>
        </w:rPr>
        <w:t xml:space="preserve">ommon </w:t>
      </w:r>
      <w:r w:rsidR="00632675" w:rsidRPr="00F669AB">
        <w:rPr>
          <w:rFonts w:ascii="Arial" w:hAnsi="Arial" w:cs="Arial"/>
          <w:sz w:val="24"/>
          <w:szCs w:val="24"/>
        </w:rPr>
        <w:t>v</w:t>
      </w:r>
      <w:r w:rsidR="004516C8" w:rsidRPr="00F669AB">
        <w:rPr>
          <w:rFonts w:ascii="Arial" w:hAnsi="Arial" w:cs="Arial"/>
          <w:sz w:val="24"/>
          <w:szCs w:val="24"/>
        </w:rPr>
        <w:t>oters’ roll.</w:t>
      </w:r>
      <w:r w:rsidR="004516C8" w:rsidRPr="00512F52">
        <w:rPr>
          <w:rStyle w:val="FootnoteReference"/>
          <w:rFonts w:ascii="Arial" w:hAnsi="Arial" w:cs="Arial"/>
          <w:sz w:val="24"/>
          <w:szCs w:val="24"/>
        </w:rPr>
        <w:footnoteReference w:id="38"/>
      </w:r>
    </w:p>
    <w:p w14:paraId="2B89F10D" w14:textId="77777777" w:rsidR="00772102" w:rsidRPr="00512F52" w:rsidRDefault="00772102" w:rsidP="00772102">
      <w:pPr>
        <w:pStyle w:val="ListParagraph"/>
        <w:spacing w:after="0" w:line="360" w:lineRule="auto"/>
        <w:ind w:left="0"/>
        <w:jc w:val="both"/>
        <w:rPr>
          <w:rFonts w:ascii="Arial" w:hAnsi="Arial" w:cs="Arial"/>
          <w:sz w:val="24"/>
          <w:szCs w:val="24"/>
        </w:rPr>
      </w:pPr>
    </w:p>
    <w:p w14:paraId="3AFB3158" w14:textId="30B3DDCF" w:rsidR="004516C8"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[86]</w:t>
      </w:r>
      <w:r w:rsidRPr="00512F52">
        <w:rPr>
          <w:rFonts w:ascii="Arial" w:hAnsi="Arial" w:cs="Arial"/>
          <w:sz w:val="24"/>
          <w:szCs w:val="24"/>
        </w:rPr>
        <w:tab/>
      </w:r>
      <w:r w:rsidR="004516C8" w:rsidRPr="00F669AB">
        <w:rPr>
          <w:rFonts w:ascii="Arial" w:hAnsi="Arial" w:cs="Arial"/>
          <w:sz w:val="24"/>
          <w:szCs w:val="24"/>
        </w:rPr>
        <w:t>As regards the</w:t>
      </w:r>
      <w:r w:rsidR="00A040CF" w:rsidRPr="00F669AB">
        <w:rPr>
          <w:rFonts w:ascii="Arial" w:hAnsi="Arial" w:cs="Arial"/>
          <w:sz w:val="24"/>
          <w:szCs w:val="24"/>
        </w:rPr>
        <w:t xml:space="preserve"> </w:t>
      </w:r>
      <w:r w:rsidR="004516C8" w:rsidRPr="00F669AB">
        <w:rPr>
          <w:rFonts w:ascii="Arial" w:hAnsi="Arial" w:cs="Arial"/>
          <w:sz w:val="24"/>
          <w:szCs w:val="24"/>
        </w:rPr>
        <w:t>MEC</w:t>
      </w:r>
      <w:r w:rsidR="00A040CF" w:rsidRPr="00F669AB">
        <w:rPr>
          <w:rFonts w:ascii="Arial" w:hAnsi="Arial" w:cs="Arial"/>
          <w:sz w:val="24"/>
          <w:szCs w:val="24"/>
        </w:rPr>
        <w:t>,</w:t>
      </w:r>
      <w:r w:rsidR="004516C8" w:rsidRPr="00F669AB">
        <w:rPr>
          <w:rFonts w:ascii="Arial" w:hAnsi="Arial" w:cs="Arial"/>
          <w:sz w:val="24"/>
          <w:szCs w:val="24"/>
        </w:rPr>
        <w:t xml:space="preserve"> it was submitted that</w:t>
      </w:r>
      <w:r w:rsidR="0058696A" w:rsidRPr="00F669AB">
        <w:rPr>
          <w:rFonts w:ascii="Arial" w:hAnsi="Arial" w:cs="Arial"/>
          <w:sz w:val="24"/>
          <w:szCs w:val="24"/>
        </w:rPr>
        <w:t xml:space="preserve"> the MEC has a direct and substantial in</w:t>
      </w:r>
      <w:r w:rsidR="008F2890" w:rsidRPr="00F669AB">
        <w:rPr>
          <w:rFonts w:ascii="Arial" w:hAnsi="Arial" w:cs="Arial"/>
          <w:sz w:val="24"/>
          <w:szCs w:val="24"/>
        </w:rPr>
        <w:t>terest in</w:t>
      </w:r>
      <w:r w:rsidR="0058696A" w:rsidRPr="00F669AB">
        <w:rPr>
          <w:rFonts w:ascii="Arial" w:hAnsi="Arial" w:cs="Arial"/>
          <w:sz w:val="24"/>
          <w:szCs w:val="24"/>
        </w:rPr>
        <w:t xml:space="preserve"> these proceedings and should have been joined</w:t>
      </w:r>
      <w:r w:rsidR="008D7B0D" w:rsidRPr="00F669AB">
        <w:rPr>
          <w:rFonts w:ascii="Arial" w:hAnsi="Arial" w:cs="Arial"/>
          <w:sz w:val="24"/>
          <w:szCs w:val="24"/>
        </w:rPr>
        <w:t>,</w:t>
      </w:r>
      <w:r w:rsidR="0058696A" w:rsidRPr="00F669AB">
        <w:rPr>
          <w:rFonts w:ascii="Arial" w:hAnsi="Arial" w:cs="Arial"/>
          <w:sz w:val="24"/>
          <w:szCs w:val="24"/>
        </w:rPr>
        <w:t xml:space="preserve"> because, proceeded the argument,</w:t>
      </w:r>
      <w:r w:rsidR="004516C8" w:rsidRPr="00F669AB">
        <w:rPr>
          <w:rFonts w:ascii="Arial" w:hAnsi="Arial" w:cs="Arial"/>
          <w:sz w:val="24"/>
          <w:szCs w:val="24"/>
        </w:rPr>
        <w:t xml:space="preserve"> in terms of s 20(3) of</w:t>
      </w:r>
      <w:r w:rsidR="0058696A" w:rsidRPr="00F669AB">
        <w:rPr>
          <w:rFonts w:ascii="Arial" w:hAnsi="Arial" w:cs="Arial"/>
          <w:sz w:val="24"/>
          <w:szCs w:val="24"/>
        </w:rPr>
        <w:t xml:space="preserve"> the Structures Act, the MEC has powers to</w:t>
      </w:r>
      <w:r w:rsidR="004516C8" w:rsidRPr="00F669AB">
        <w:rPr>
          <w:rFonts w:ascii="Arial" w:hAnsi="Arial" w:cs="Arial"/>
          <w:sz w:val="24"/>
          <w:szCs w:val="24"/>
        </w:rPr>
        <w:t xml:space="preserve"> deviate</w:t>
      </w:r>
      <w:r w:rsidR="008F2890" w:rsidRPr="00F669AB">
        <w:rPr>
          <w:rFonts w:ascii="Arial" w:hAnsi="Arial" w:cs="Arial"/>
          <w:sz w:val="24"/>
          <w:szCs w:val="24"/>
        </w:rPr>
        <w:t xml:space="preserve"> from the number of councillors</w:t>
      </w:r>
      <w:r w:rsidR="004516C8" w:rsidRPr="00F669AB">
        <w:rPr>
          <w:rFonts w:ascii="Arial" w:hAnsi="Arial" w:cs="Arial"/>
          <w:sz w:val="24"/>
          <w:szCs w:val="24"/>
        </w:rPr>
        <w:t xml:space="preserve"> determined within the prescribed confines.</w:t>
      </w:r>
    </w:p>
    <w:p w14:paraId="6FF0F80B" w14:textId="77777777" w:rsidR="00772102" w:rsidRPr="00512F52" w:rsidRDefault="00772102" w:rsidP="00772102">
      <w:pPr>
        <w:pStyle w:val="ListParagraph"/>
        <w:spacing w:after="0" w:line="360" w:lineRule="auto"/>
        <w:jc w:val="both"/>
        <w:rPr>
          <w:rFonts w:ascii="Arial" w:hAnsi="Arial" w:cs="Arial"/>
          <w:sz w:val="24"/>
          <w:szCs w:val="24"/>
        </w:rPr>
      </w:pPr>
    </w:p>
    <w:p w14:paraId="5B73E4B9" w14:textId="0D6A6756" w:rsidR="004B579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[87]</w:t>
      </w:r>
      <w:r w:rsidRPr="00512F52">
        <w:rPr>
          <w:rFonts w:ascii="Arial" w:hAnsi="Arial" w:cs="Arial"/>
          <w:sz w:val="24"/>
          <w:szCs w:val="24"/>
        </w:rPr>
        <w:tab/>
      </w:r>
      <w:r w:rsidR="004516C8" w:rsidRPr="00F669AB">
        <w:rPr>
          <w:rFonts w:ascii="Arial" w:hAnsi="Arial" w:cs="Arial"/>
          <w:sz w:val="24"/>
          <w:szCs w:val="24"/>
        </w:rPr>
        <w:t xml:space="preserve">This </w:t>
      </w:r>
      <w:r w:rsidR="00EA3AFF" w:rsidRPr="00F669AB">
        <w:rPr>
          <w:rFonts w:ascii="Arial" w:hAnsi="Arial" w:cs="Arial"/>
          <w:sz w:val="24"/>
          <w:szCs w:val="24"/>
        </w:rPr>
        <w:t xml:space="preserve">contention is based on </w:t>
      </w:r>
      <w:r w:rsidR="008D7B0D" w:rsidRPr="00F669AB">
        <w:rPr>
          <w:rFonts w:ascii="Arial" w:hAnsi="Arial" w:cs="Arial"/>
          <w:sz w:val="24"/>
          <w:szCs w:val="24"/>
        </w:rPr>
        <w:t xml:space="preserve">an </w:t>
      </w:r>
      <w:r w:rsidR="00EA3AFF" w:rsidRPr="00F669AB">
        <w:rPr>
          <w:rFonts w:ascii="Arial" w:hAnsi="Arial" w:cs="Arial"/>
          <w:sz w:val="24"/>
          <w:szCs w:val="24"/>
        </w:rPr>
        <w:t xml:space="preserve">incorrect reading of the relief sought </w:t>
      </w:r>
      <w:r w:rsidR="00AA390A" w:rsidRPr="00F669AB">
        <w:rPr>
          <w:rFonts w:ascii="Arial" w:hAnsi="Arial" w:cs="Arial"/>
          <w:sz w:val="24"/>
          <w:szCs w:val="24"/>
        </w:rPr>
        <w:t>by the Commission.</w:t>
      </w:r>
      <w:r w:rsidR="0058696A" w:rsidRPr="00F669AB">
        <w:rPr>
          <w:rFonts w:ascii="Arial" w:hAnsi="Arial" w:cs="Arial"/>
          <w:sz w:val="24"/>
          <w:szCs w:val="24"/>
        </w:rPr>
        <w:t xml:space="preserve"> Properly construed,</w:t>
      </w:r>
      <w:r w:rsidR="00AA390A" w:rsidRPr="00F669AB">
        <w:rPr>
          <w:rFonts w:ascii="Arial" w:hAnsi="Arial" w:cs="Arial"/>
          <w:sz w:val="24"/>
          <w:szCs w:val="24"/>
        </w:rPr>
        <w:t xml:space="preserve"> the Commission</w:t>
      </w:r>
      <w:r w:rsidR="0058696A" w:rsidRPr="00F669AB">
        <w:rPr>
          <w:rFonts w:ascii="Arial" w:hAnsi="Arial" w:cs="Arial"/>
          <w:sz w:val="24"/>
          <w:szCs w:val="24"/>
        </w:rPr>
        <w:t>’s case is that, based on its own interpretation of item 20,</w:t>
      </w:r>
      <w:r w:rsidR="00AA390A" w:rsidRPr="00F669AB">
        <w:rPr>
          <w:rFonts w:ascii="Arial" w:hAnsi="Arial" w:cs="Arial"/>
          <w:sz w:val="24"/>
          <w:szCs w:val="24"/>
        </w:rPr>
        <w:t xml:space="preserve"> the </w:t>
      </w:r>
      <w:r w:rsidR="008F2890" w:rsidRPr="00F669AB">
        <w:rPr>
          <w:rFonts w:ascii="Arial" w:hAnsi="Arial" w:cs="Arial"/>
          <w:sz w:val="24"/>
          <w:szCs w:val="24"/>
        </w:rPr>
        <w:t xml:space="preserve">election of the </w:t>
      </w:r>
      <w:r w:rsidR="008D7B0D" w:rsidRPr="00F669AB">
        <w:rPr>
          <w:rFonts w:ascii="Arial" w:hAnsi="Arial" w:cs="Arial"/>
          <w:sz w:val="24"/>
          <w:szCs w:val="24"/>
        </w:rPr>
        <w:t>affected</w:t>
      </w:r>
      <w:r w:rsidR="008F2890" w:rsidRPr="00F669AB">
        <w:rPr>
          <w:rFonts w:ascii="Arial" w:hAnsi="Arial" w:cs="Arial"/>
          <w:sz w:val="24"/>
          <w:szCs w:val="24"/>
        </w:rPr>
        <w:t xml:space="preserve"> councillors</w:t>
      </w:r>
      <w:r w:rsidR="00AA390A" w:rsidRPr="00F669AB">
        <w:rPr>
          <w:rFonts w:ascii="Arial" w:hAnsi="Arial" w:cs="Arial"/>
          <w:sz w:val="24"/>
          <w:szCs w:val="24"/>
        </w:rPr>
        <w:t xml:space="preserve"> to the District Council was </w:t>
      </w:r>
      <w:r w:rsidR="00AA390A" w:rsidRPr="00F669AB">
        <w:rPr>
          <w:rFonts w:ascii="Arial" w:hAnsi="Arial" w:cs="Arial"/>
          <w:sz w:val="24"/>
          <w:szCs w:val="24"/>
        </w:rPr>
        <w:lastRenderedPageBreak/>
        <w:t>unlawful</w:t>
      </w:r>
      <w:r w:rsidR="008D7B0D" w:rsidRPr="00F669AB">
        <w:rPr>
          <w:rFonts w:ascii="Arial" w:hAnsi="Arial" w:cs="Arial"/>
          <w:sz w:val="24"/>
          <w:szCs w:val="24"/>
        </w:rPr>
        <w:t>,</w:t>
      </w:r>
      <w:r w:rsidR="008F2890" w:rsidRPr="00F669AB">
        <w:rPr>
          <w:rFonts w:ascii="Arial" w:hAnsi="Arial" w:cs="Arial"/>
          <w:sz w:val="24"/>
          <w:szCs w:val="24"/>
        </w:rPr>
        <w:t xml:space="preserve"> in that after the second round of allocation of the seats</w:t>
      </w:r>
      <w:r w:rsidR="00AA390A" w:rsidRPr="00F669AB">
        <w:rPr>
          <w:rFonts w:ascii="Arial" w:hAnsi="Arial" w:cs="Arial"/>
          <w:sz w:val="24"/>
          <w:szCs w:val="24"/>
        </w:rPr>
        <w:t xml:space="preserve"> the three remaining</w:t>
      </w:r>
      <w:r w:rsidR="008F2890" w:rsidRPr="00F669AB">
        <w:rPr>
          <w:rFonts w:ascii="Arial" w:hAnsi="Arial" w:cs="Arial"/>
          <w:sz w:val="24"/>
          <w:szCs w:val="24"/>
        </w:rPr>
        <w:t xml:space="preserve"> seats</w:t>
      </w:r>
      <w:r w:rsidR="00AA390A" w:rsidRPr="00F669AB">
        <w:rPr>
          <w:rFonts w:ascii="Arial" w:hAnsi="Arial" w:cs="Arial"/>
          <w:sz w:val="24"/>
          <w:szCs w:val="24"/>
        </w:rPr>
        <w:t xml:space="preserve"> should have been left unfilled. Should </w:t>
      </w:r>
      <w:r w:rsidR="00E44DDF" w:rsidRPr="00F669AB">
        <w:rPr>
          <w:rFonts w:ascii="Arial" w:hAnsi="Arial" w:cs="Arial"/>
          <w:sz w:val="24"/>
          <w:szCs w:val="24"/>
        </w:rPr>
        <w:t>the relief sought be granted, it will not interfere with the MEC’s exercise of powers under s 20 of the Structures Act</w:t>
      </w:r>
      <w:r w:rsidR="00677C6F" w:rsidRPr="00F669AB">
        <w:rPr>
          <w:rFonts w:ascii="Arial" w:hAnsi="Arial" w:cs="Arial"/>
          <w:sz w:val="24"/>
          <w:szCs w:val="24"/>
        </w:rPr>
        <w:t>. The MEC</w:t>
      </w:r>
      <w:r w:rsidR="00354B67" w:rsidRPr="00F669AB">
        <w:rPr>
          <w:rFonts w:ascii="Arial" w:hAnsi="Arial" w:cs="Arial"/>
          <w:sz w:val="24"/>
          <w:szCs w:val="24"/>
        </w:rPr>
        <w:t>’s competence to deviate from</w:t>
      </w:r>
      <w:r w:rsidR="004B579A" w:rsidRPr="00F669AB">
        <w:rPr>
          <w:rFonts w:ascii="Arial" w:hAnsi="Arial" w:cs="Arial"/>
          <w:sz w:val="24"/>
          <w:szCs w:val="24"/>
        </w:rPr>
        <w:t xml:space="preserve"> the number of </w:t>
      </w:r>
      <w:r w:rsidR="00354B67" w:rsidRPr="00F669AB">
        <w:rPr>
          <w:rFonts w:ascii="Arial" w:hAnsi="Arial" w:cs="Arial"/>
          <w:sz w:val="24"/>
          <w:szCs w:val="24"/>
        </w:rPr>
        <w:t>councilors determined by the Minister</w:t>
      </w:r>
      <w:r w:rsidR="004B579A" w:rsidRPr="00F669AB">
        <w:rPr>
          <w:rFonts w:ascii="Arial" w:hAnsi="Arial" w:cs="Arial"/>
          <w:sz w:val="24"/>
          <w:szCs w:val="24"/>
        </w:rPr>
        <w:t xml:space="preserve"> in the uMhlathuze Local Municipality will remain unaffected by the order sought and</w:t>
      </w:r>
      <w:r w:rsidR="008D7B0D" w:rsidRPr="00F669AB">
        <w:rPr>
          <w:rFonts w:ascii="Arial" w:hAnsi="Arial" w:cs="Arial"/>
          <w:sz w:val="24"/>
          <w:szCs w:val="24"/>
        </w:rPr>
        <w:t>,</w:t>
      </w:r>
      <w:r w:rsidR="004B579A" w:rsidRPr="00F669AB">
        <w:rPr>
          <w:rFonts w:ascii="Arial" w:hAnsi="Arial" w:cs="Arial"/>
          <w:sz w:val="24"/>
          <w:szCs w:val="24"/>
        </w:rPr>
        <w:t xml:space="preserve"> th</w:t>
      </w:r>
      <w:r w:rsidR="00677C6F" w:rsidRPr="00F669AB">
        <w:rPr>
          <w:rFonts w:ascii="Arial" w:hAnsi="Arial" w:cs="Arial"/>
          <w:sz w:val="24"/>
          <w:szCs w:val="24"/>
        </w:rPr>
        <w:t>at</w:t>
      </w:r>
      <w:r w:rsidR="008D7B0D" w:rsidRPr="00F669AB">
        <w:rPr>
          <w:rFonts w:ascii="Arial" w:hAnsi="Arial" w:cs="Arial"/>
          <w:sz w:val="24"/>
          <w:szCs w:val="24"/>
        </w:rPr>
        <w:t xml:space="preserve"> </w:t>
      </w:r>
      <w:r w:rsidR="00677C6F" w:rsidRPr="00F669AB">
        <w:rPr>
          <w:rFonts w:ascii="Arial" w:hAnsi="Arial" w:cs="Arial"/>
          <w:sz w:val="24"/>
          <w:szCs w:val="24"/>
        </w:rPr>
        <w:t>being the case, the MEC</w:t>
      </w:r>
      <w:r w:rsidR="004B579A" w:rsidRPr="00F669AB">
        <w:rPr>
          <w:rFonts w:ascii="Arial" w:hAnsi="Arial" w:cs="Arial"/>
          <w:sz w:val="24"/>
          <w:szCs w:val="24"/>
        </w:rPr>
        <w:t xml:space="preserve"> has no</w:t>
      </w:r>
      <w:r w:rsidR="00677C6F" w:rsidRPr="00F669AB">
        <w:rPr>
          <w:rFonts w:ascii="Arial" w:hAnsi="Arial" w:cs="Arial"/>
          <w:sz w:val="24"/>
          <w:szCs w:val="24"/>
        </w:rPr>
        <w:t xml:space="preserve"> direct</w:t>
      </w:r>
      <w:r w:rsidR="004B579A" w:rsidRPr="00F669AB">
        <w:rPr>
          <w:rFonts w:ascii="Arial" w:hAnsi="Arial" w:cs="Arial"/>
          <w:sz w:val="24"/>
          <w:szCs w:val="24"/>
        </w:rPr>
        <w:t xml:space="preserve"> and substantial interest in the outcome of these proceedings.</w:t>
      </w:r>
    </w:p>
    <w:p w14:paraId="07881CC5" w14:textId="77777777" w:rsidR="00772102" w:rsidRPr="00512F52" w:rsidRDefault="00772102" w:rsidP="00772102">
      <w:pPr>
        <w:pStyle w:val="ListParagraph"/>
        <w:spacing w:after="0" w:line="360" w:lineRule="auto"/>
        <w:jc w:val="both"/>
        <w:rPr>
          <w:rFonts w:ascii="Arial" w:hAnsi="Arial" w:cs="Arial"/>
          <w:sz w:val="24"/>
          <w:szCs w:val="24"/>
        </w:rPr>
      </w:pPr>
    </w:p>
    <w:p w14:paraId="30C3FFBC" w14:textId="4DC034AD" w:rsidR="004B579A"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[88]</w:t>
      </w:r>
      <w:r w:rsidRPr="00512F52">
        <w:rPr>
          <w:rFonts w:ascii="Arial" w:hAnsi="Arial" w:cs="Arial"/>
          <w:sz w:val="24"/>
          <w:szCs w:val="24"/>
        </w:rPr>
        <w:tab/>
      </w:r>
      <w:r w:rsidR="004B579A" w:rsidRPr="00F669AB">
        <w:rPr>
          <w:rFonts w:ascii="Arial" w:hAnsi="Arial" w:cs="Arial"/>
          <w:sz w:val="24"/>
          <w:szCs w:val="24"/>
        </w:rPr>
        <w:t>In other words, the order sought will not compromise the Minister’</w:t>
      </w:r>
      <w:r w:rsidR="0004784E" w:rsidRPr="00F669AB">
        <w:rPr>
          <w:rFonts w:ascii="Arial" w:hAnsi="Arial" w:cs="Arial"/>
          <w:sz w:val="24"/>
          <w:szCs w:val="24"/>
        </w:rPr>
        <w:t>s</w:t>
      </w:r>
      <w:r w:rsidR="004B579A" w:rsidRPr="00F669AB">
        <w:rPr>
          <w:rFonts w:ascii="Arial" w:hAnsi="Arial" w:cs="Arial"/>
          <w:sz w:val="24"/>
          <w:szCs w:val="24"/>
        </w:rPr>
        <w:t xml:space="preserve"> rights to determine the formula according to which the number of councillors should be determined or the MEC’s rights to deviate from the number of councillors determined for a municipality. There is no logical reason for the contention that the decision of this Court </w:t>
      </w:r>
      <w:r w:rsidR="00354B67" w:rsidRPr="00F669AB">
        <w:rPr>
          <w:rFonts w:ascii="Arial" w:hAnsi="Arial" w:cs="Arial"/>
          <w:sz w:val="24"/>
          <w:szCs w:val="24"/>
        </w:rPr>
        <w:t>on the meaning of item 20</w:t>
      </w:r>
      <w:r w:rsidR="004B579A" w:rsidRPr="00F669AB">
        <w:rPr>
          <w:rFonts w:ascii="Arial" w:hAnsi="Arial" w:cs="Arial"/>
          <w:sz w:val="24"/>
          <w:szCs w:val="24"/>
        </w:rPr>
        <w:t xml:space="preserve"> will affect the</w:t>
      </w:r>
      <w:r w:rsidR="00354B67" w:rsidRPr="00F669AB">
        <w:rPr>
          <w:rFonts w:ascii="Arial" w:hAnsi="Arial" w:cs="Arial"/>
          <w:sz w:val="24"/>
          <w:szCs w:val="24"/>
        </w:rPr>
        <w:t xml:space="preserve"> powers of the </w:t>
      </w:r>
      <w:r w:rsidR="004B579A" w:rsidRPr="00F669AB">
        <w:rPr>
          <w:rFonts w:ascii="Arial" w:hAnsi="Arial" w:cs="Arial"/>
          <w:sz w:val="24"/>
          <w:szCs w:val="24"/>
        </w:rPr>
        <w:t>Minister or the MEC.</w:t>
      </w:r>
      <w:r w:rsidR="004B579A" w:rsidRPr="00512F52">
        <w:rPr>
          <w:rStyle w:val="FootnoteReference"/>
          <w:rFonts w:ascii="Arial" w:hAnsi="Arial" w:cs="Arial"/>
          <w:sz w:val="24"/>
          <w:szCs w:val="24"/>
        </w:rPr>
        <w:footnoteReference w:id="39"/>
      </w:r>
      <w:r w:rsidR="004B579A" w:rsidRPr="00F669AB">
        <w:rPr>
          <w:rFonts w:ascii="Arial" w:hAnsi="Arial" w:cs="Arial"/>
          <w:sz w:val="24"/>
          <w:szCs w:val="24"/>
        </w:rPr>
        <w:t xml:space="preserve"> The non-joinder point in respect of the Minister and the MEC must </w:t>
      </w:r>
      <w:r w:rsidR="00C06545" w:rsidRPr="00F669AB">
        <w:rPr>
          <w:rFonts w:ascii="Arial" w:hAnsi="Arial" w:cs="Arial"/>
          <w:sz w:val="24"/>
          <w:szCs w:val="24"/>
        </w:rPr>
        <w:t xml:space="preserve">therefore </w:t>
      </w:r>
      <w:r w:rsidR="004B579A" w:rsidRPr="00F669AB">
        <w:rPr>
          <w:rFonts w:ascii="Arial" w:hAnsi="Arial" w:cs="Arial"/>
          <w:sz w:val="24"/>
          <w:szCs w:val="24"/>
        </w:rPr>
        <w:t>fail.</w:t>
      </w:r>
    </w:p>
    <w:p w14:paraId="73D498C3" w14:textId="3667F1B6" w:rsidR="00772102" w:rsidRPr="00512F52" w:rsidRDefault="00772102" w:rsidP="00902187">
      <w:pPr>
        <w:spacing w:after="0" w:line="360" w:lineRule="auto"/>
        <w:jc w:val="both"/>
        <w:rPr>
          <w:rFonts w:ascii="Arial" w:hAnsi="Arial" w:cs="Arial"/>
          <w:sz w:val="24"/>
          <w:szCs w:val="24"/>
        </w:rPr>
      </w:pPr>
    </w:p>
    <w:p w14:paraId="4CB093A1" w14:textId="6DF7A9B8" w:rsidR="00C06545" w:rsidRPr="00512F52" w:rsidRDefault="00C06545" w:rsidP="00902187">
      <w:pPr>
        <w:spacing w:after="0" w:line="360" w:lineRule="auto"/>
        <w:jc w:val="both"/>
        <w:rPr>
          <w:rFonts w:ascii="Arial" w:hAnsi="Arial" w:cs="Arial"/>
          <w:b/>
          <w:sz w:val="24"/>
          <w:szCs w:val="24"/>
        </w:rPr>
      </w:pPr>
      <w:r w:rsidRPr="00512F52">
        <w:rPr>
          <w:rFonts w:ascii="Arial" w:hAnsi="Arial" w:cs="Arial"/>
          <w:b/>
          <w:sz w:val="24"/>
          <w:szCs w:val="24"/>
        </w:rPr>
        <w:t>Conclusion</w:t>
      </w:r>
    </w:p>
    <w:p w14:paraId="6A7FFD3A" w14:textId="14AF4A04" w:rsidR="00821188"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[89]</w:t>
      </w:r>
      <w:r w:rsidRPr="00512F52">
        <w:rPr>
          <w:rFonts w:ascii="Arial" w:hAnsi="Arial" w:cs="Arial"/>
          <w:sz w:val="24"/>
          <w:szCs w:val="24"/>
        </w:rPr>
        <w:tab/>
      </w:r>
      <w:r w:rsidR="004B579A" w:rsidRPr="00F669AB">
        <w:rPr>
          <w:rFonts w:ascii="Arial" w:hAnsi="Arial" w:cs="Arial"/>
          <w:sz w:val="24"/>
          <w:szCs w:val="24"/>
        </w:rPr>
        <w:t>In conclusion, the Commissioner’s delay in bringing the review application is overlooked</w:t>
      </w:r>
      <w:r w:rsidR="006E6ECF" w:rsidRPr="00F669AB">
        <w:rPr>
          <w:rFonts w:ascii="Arial" w:hAnsi="Arial" w:cs="Arial"/>
          <w:sz w:val="24"/>
          <w:szCs w:val="24"/>
        </w:rPr>
        <w:t>,</w:t>
      </w:r>
      <w:r w:rsidR="004B579A" w:rsidRPr="00F669AB">
        <w:rPr>
          <w:rFonts w:ascii="Arial" w:hAnsi="Arial" w:cs="Arial"/>
          <w:sz w:val="24"/>
          <w:szCs w:val="24"/>
        </w:rPr>
        <w:t xml:space="preserve"> as it is in the interest</w:t>
      </w:r>
      <w:r w:rsidR="00C06545" w:rsidRPr="00F669AB">
        <w:rPr>
          <w:rFonts w:ascii="Arial" w:hAnsi="Arial" w:cs="Arial"/>
          <w:sz w:val="24"/>
          <w:szCs w:val="24"/>
        </w:rPr>
        <w:t>s</w:t>
      </w:r>
      <w:r w:rsidR="004B579A" w:rsidRPr="00F669AB">
        <w:rPr>
          <w:rFonts w:ascii="Arial" w:hAnsi="Arial" w:cs="Arial"/>
          <w:sz w:val="24"/>
          <w:szCs w:val="24"/>
        </w:rPr>
        <w:t xml:space="preserve"> of justice to do so. </w:t>
      </w:r>
      <w:r w:rsidR="00BD4580" w:rsidRPr="00F669AB">
        <w:rPr>
          <w:rFonts w:ascii="Arial" w:hAnsi="Arial" w:cs="Arial"/>
          <w:sz w:val="24"/>
          <w:szCs w:val="24"/>
        </w:rPr>
        <w:t xml:space="preserve">There is an explanation, albeit inadequate, for </w:t>
      </w:r>
      <w:r w:rsidR="00C06545" w:rsidRPr="00F669AB">
        <w:rPr>
          <w:rFonts w:ascii="Arial" w:hAnsi="Arial" w:cs="Arial"/>
          <w:sz w:val="24"/>
          <w:szCs w:val="24"/>
        </w:rPr>
        <w:t xml:space="preserve">the </w:t>
      </w:r>
      <w:r w:rsidR="00BD4580" w:rsidRPr="00F669AB">
        <w:rPr>
          <w:rFonts w:ascii="Arial" w:hAnsi="Arial" w:cs="Arial"/>
          <w:sz w:val="24"/>
          <w:szCs w:val="24"/>
        </w:rPr>
        <w:t xml:space="preserve">unreasonable delay. The unlawfulness at issue warrants overlooking </w:t>
      </w:r>
      <w:r w:rsidR="00B30A48" w:rsidRPr="00F669AB">
        <w:rPr>
          <w:rFonts w:ascii="Arial" w:hAnsi="Arial" w:cs="Arial"/>
          <w:sz w:val="24"/>
          <w:szCs w:val="24"/>
        </w:rPr>
        <w:t>the Commission’s unreasonable delay in seeking a review and setting aside of the impugned decision</w:t>
      </w:r>
      <w:r w:rsidR="00BD4580" w:rsidRPr="00F669AB">
        <w:rPr>
          <w:rFonts w:ascii="Arial" w:hAnsi="Arial" w:cs="Arial"/>
          <w:sz w:val="24"/>
          <w:szCs w:val="24"/>
        </w:rPr>
        <w:t>.</w:t>
      </w:r>
      <w:r w:rsidR="00E53977" w:rsidRPr="00F669AB">
        <w:rPr>
          <w:rFonts w:ascii="Arial" w:hAnsi="Arial" w:cs="Arial"/>
          <w:sz w:val="24"/>
          <w:szCs w:val="24"/>
        </w:rPr>
        <w:t xml:space="preserve"> The matter concerns the interpretation of item 20 of Schedule 2 to the Structure</w:t>
      </w:r>
      <w:r w:rsidR="00C06545" w:rsidRPr="00F669AB">
        <w:rPr>
          <w:rFonts w:ascii="Arial" w:hAnsi="Arial" w:cs="Arial"/>
          <w:sz w:val="24"/>
          <w:szCs w:val="24"/>
        </w:rPr>
        <w:t>s</w:t>
      </w:r>
      <w:r w:rsidR="00E53977" w:rsidRPr="00F669AB">
        <w:rPr>
          <w:rFonts w:ascii="Arial" w:hAnsi="Arial" w:cs="Arial"/>
          <w:sz w:val="24"/>
          <w:szCs w:val="24"/>
        </w:rPr>
        <w:t xml:space="preserve"> Act</w:t>
      </w:r>
      <w:r w:rsidR="00C06545" w:rsidRPr="00F669AB">
        <w:rPr>
          <w:rFonts w:ascii="Arial" w:hAnsi="Arial" w:cs="Arial"/>
          <w:sz w:val="24"/>
          <w:szCs w:val="24"/>
        </w:rPr>
        <w:t>,</w:t>
      </w:r>
      <w:r w:rsidR="00E53977" w:rsidRPr="00F669AB">
        <w:rPr>
          <w:rFonts w:ascii="Arial" w:hAnsi="Arial" w:cs="Arial"/>
          <w:sz w:val="24"/>
          <w:szCs w:val="24"/>
        </w:rPr>
        <w:t xml:space="preserve"> which determines the manner in which the seats in the </w:t>
      </w:r>
      <w:r w:rsidR="008F0DB0" w:rsidRPr="00F669AB">
        <w:rPr>
          <w:rFonts w:ascii="Arial" w:hAnsi="Arial" w:cs="Arial"/>
          <w:sz w:val="24"/>
          <w:szCs w:val="24"/>
        </w:rPr>
        <w:t xml:space="preserve">King Cetshwayo </w:t>
      </w:r>
      <w:r w:rsidR="00C06545" w:rsidRPr="00F669AB">
        <w:rPr>
          <w:rFonts w:ascii="Arial" w:hAnsi="Arial" w:cs="Arial"/>
          <w:sz w:val="24"/>
          <w:szCs w:val="24"/>
        </w:rPr>
        <w:t>D</w:t>
      </w:r>
      <w:r w:rsidR="00E53977" w:rsidRPr="00F669AB">
        <w:rPr>
          <w:rFonts w:ascii="Arial" w:hAnsi="Arial" w:cs="Arial"/>
          <w:sz w:val="24"/>
          <w:szCs w:val="24"/>
        </w:rPr>
        <w:t xml:space="preserve">istrict </w:t>
      </w:r>
      <w:r w:rsidR="00C06545" w:rsidRPr="00F669AB">
        <w:rPr>
          <w:rFonts w:ascii="Arial" w:hAnsi="Arial" w:cs="Arial"/>
          <w:sz w:val="24"/>
          <w:szCs w:val="24"/>
        </w:rPr>
        <w:t>C</w:t>
      </w:r>
      <w:r w:rsidR="00E53977" w:rsidRPr="00F669AB">
        <w:rPr>
          <w:rFonts w:ascii="Arial" w:hAnsi="Arial" w:cs="Arial"/>
          <w:sz w:val="24"/>
          <w:szCs w:val="24"/>
        </w:rPr>
        <w:t xml:space="preserve">ouncil were to be allocated. A distortion in the allocation of seats resulting from the misinterpretation of item 20 occurred in this matter. The effect of this was that the three </w:t>
      </w:r>
      <w:r w:rsidR="008F0DB0" w:rsidRPr="00F669AB">
        <w:rPr>
          <w:rFonts w:ascii="Arial" w:hAnsi="Arial" w:cs="Arial"/>
          <w:sz w:val="24"/>
          <w:szCs w:val="24"/>
        </w:rPr>
        <w:t xml:space="preserve">affected </w:t>
      </w:r>
      <w:r w:rsidR="00E53977" w:rsidRPr="00F669AB">
        <w:rPr>
          <w:rFonts w:ascii="Arial" w:hAnsi="Arial" w:cs="Arial"/>
          <w:sz w:val="24"/>
          <w:szCs w:val="24"/>
        </w:rPr>
        <w:t>council</w:t>
      </w:r>
      <w:r w:rsidR="00B30A48" w:rsidRPr="00F669AB">
        <w:rPr>
          <w:rFonts w:ascii="Arial" w:hAnsi="Arial" w:cs="Arial"/>
          <w:sz w:val="24"/>
          <w:szCs w:val="24"/>
        </w:rPr>
        <w:t>l</w:t>
      </w:r>
      <w:r w:rsidR="00E53977" w:rsidRPr="00F669AB">
        <w:rPr>
          <w:rFonts w:ascii="Arial" w:hAnsi="Arial" w:cs="Arial"/>
          <w:sz w:val="24"/>
          <w:szCs w:val="24"/>
        </w:rPr>
        <w:t>ors were elected</w:t>
      </w:r>
      <w:r w:rsidR="000421AB" w:rsidRPr="00F669AB">
        <w:rPr>
          <w:rFonts w:ascii="Arial" w:hAnsi="Arial" w:cs="Arial"/>
          <w:sz w:val="24"/>
          <w:szCs w:val="24"/>
        </w:rPr>
        <w:t xml:space="preserve"> </w:t>
      </w:r>
      <w:r w:rsidR="00712081" w:rsidRPr="00F669AB">
        <w:rPr>
          <w:rFonts w:ascii="Arial" w:hAnsi="Arial" w:cs="Arial"/>
          <w:sz w:val="24"/>
          <w:szCs w:val="24"/>
        </w:rPr>
        <w:t>when they</w:t>
      </w:r>
      <w:r w:rsidR="000421AB" w:rsidRPr="00F669AB">
        <w:rPr>
          <w:rFonts w:ascii="Arial" w:hAnsi="Arial" w:cs="Arial"/>
          <w:sz w:val="24"/>
          <w:szCs w:val="24"/>
        </w:rPr>
        <w:t xml:space="preserve"> should not </w:t>
      </w:r>
      <w:r w:rsidR="00712081" w:rsidRPr="00F669AB">
        <w:rPr>
          <w:rFonts w:ascii="Arial" w:hAnsi="Arial" w:cs="Arial"/>
          <w:sz w:val="24"/>
          <w:szCs w:val="24"/>
        </w:rPr>
        <w:t xml:space="preserve">have </w:t>
      </w:r>
      <w:r w:rsidR="000421AB" w:rsidRPr="00F669AB">
        <w:rPr>
          <w:rFonts w:ascii="Arial" w:hAnsi="Arial" w:cs="Arial"/>
          <w:sz w:val="24"/>
          <w:szCs w:val="24"/>
        </w:rPr>
        <w:t>been</w:t>
      </w:r>
      <w:r w:rsidR="00E53977" w:rsidRPr="00F669AB">
        <w:rPr>
          <w:rFonts w:ascii="Arial" w:hAnsi="Arial" w:cs="Arial"/>
          <w:sz w:val="24"/>
          <w:szCs w:val="24"/>
        </w:rPr>
        <w:t>. Their election was unlawful.</w:t>
      </w:r>
      <w:r w:rsidR="00BD4580" w:rsidRPr="00F669AB">
        <w:rPr>
          <w:rFonts w:ascii="Arial" w:hAnsi="Arial" w:cs="Arial"/>
          <w:sz w:val="24"/>
          <w:szCs w:val="24"/>
        </w:rPr>
        <w:t xml:space="preserve"> This is a legality review</w:t>
      </w:r>
      <w:r w:rsidR="00F92E27" w:rsidRPr="00F669AB">
        <w:rPr>
          <w:rFonts w:ascii="Arial" w:hAnsi="Arial" w:cs="Arial"/>
          <w:sz w:val="24"/>
          <w:szCs w:val="24"/>
        </w:rPr>
        <w:t xml:space="preserve"> and the most basic imperative of the principle of legality requires the consequences of invalidity to be corrected or reversed where t</w:t>
      </w:r>
      <w:r w:rsidR="00E53977" w:rsidRPr="00F669AB">
        <w:rPr>
          <w:rFonts w:ascii="Arial" w:hAnsi="Arial" w:cs="Arial"/>
          <w:sz w:val="24"/>
          <w:szCs w:val="24"/>
        </w:rPr>
        <w:t>hey can no longer be prevented</w:t>
      </w:r>
      <w:r w:rsidR="000644F9" w:rsidRPr="00F669AB">
        <w:rPr>
          <w:rFonts w:ascii="Arial" w:hAnsi="Arial" w:cs="Arial"/>
          <w:sz w:val="24"/>
          <w:szCs w:val="24"/>
        </w:rPr>
        <w:t>.</w:t>
      </w:r>
      <w:r w:rsidR="000644F9" w:rsidRPr="00512F52">
        <w:rPr>
          <w:rStyle w:val="FootnoteReference"/>
          <w:rFonts w:ascii="Arial" w:hAnsi="Arial" w:cs="Arial"/>
          <w:sz w:val="24"/>
          <w:szCs w:val="24"/>
        </w:rPr>
        <w:footnoteReference w:id="40"/>
      </w:r>
      <w:r w:rsidR="00E53977" w:rsidRPr="00F669AB">
        <w:rPr>
          <w:rFonts w:ascii="Arial" w:hAnsi="Arial" w:cs="Arial"/>
          <w:sz w:val="24"/>
          <w:szCs w:val="24"/>
        </w:rPr>
        <w:t xml:space="preserve"> The C</w:t>
      </w:r>
      <w:r w:rsidR="00821188" w:rsidRPr="00F669AB">
        <w:rPr>
          <w:rFonts w:ascii="Arial" w:hAnsi="Arial" w:cs="Arial"/>
          <w:sz w:val="24"/>
          <w:szCs w:val="24"/>
        </w:rPr>
        <w:t xml:space="preserve">ommission is not seeking in this review to promote its own interest </w:t>
      </w:r>
      <w:r w:rsidR="00B30A48" w:rsidRPr="00F669AB">
        <w:rPr>
          <w:rFonts w:ascii="Arial" w:hAnsi="Arial" w:cs="Arial"/>
          <w:sz w:val="24"/>
          <w:szCs w:val="24"/>
        </w:rPr>
        <w:t>or to</w:t>
      </w:r>
      <w:r w:rsidR="00821188" w:rsidRPr="00F669AB">
        <w:rPr>
          <w:rFonts w:ascii="Arial" w:hAnsi="Arial" w:cs="Arial"/>
          <w:sz w:val="24"/>
          <w:szCs w:val="24"/>
        </w:rPr>
        <w:t xml:space="preserve"> avoid the consequences of its own decision. </w:t>
      </w:r>
      <w:r w:rsidR="008308E8" w:rsidRPr="00F669AB">
        <w:rPr>
          <w:rFonts w:ascii="Arial" w:hAnsi="Arial" w:cs="Arial"/>
          <w:sz w:val="24"/>
          <w:szCs w:val="24"/>
        </w:rPr>
        <w:t xml:space="preserve">What </w:t>
      </w:r>
      <w:r w:rsidR="00821188" w:rsidRPr="00F669AB">
        <w:rPr>
          <w:rFonts w:ascii="Arial" w:hAnsi="Arial" w:cs="Arial"/>
          <w:sz w:val="24"/>
          <w:szCs w:val="24"/>
        </w:rPr>
        <w:t xml:space="preserve">it </w:t>
      </w:r>
      <w:r w:rsidR="00821188" w:rsidRPr="00F669AB">
        <w:rPr>
          <w:rFonts w:ascii="Arial" w:hAnsi="Arial" w:cs="Arial"/>
          <w:sz w:val="24"/>
          <w:szCs w:val="24"/>
        </w:rPr>
        <w:lastRenderedPageBreak/>
        <w:t>seeks is the</w:t>
      </w:r>
      <w:r w:rsidR="00542428" w:rsidRPr="00F669AB">
        <w:rPr>
          <w:rFonts w:ascii="Arial" w:hAnsi="Arial" w:cs="Arial"/>
          <w:sz w:val="24"/>
          <w:szCs w:val="24"/>
        </w:rPr>
        <w:t xml:space="preserve"> </w:t>
      </w:r>
      <w:r w:rsidR="00821188" w:rsidRPr="00F669AB">
        <w:rPr>
          <w:rFonts w:ascii="Arial" w:hAnsi="Arial" w:cs="Arial"/>
          <w:sz w:val="24"/>
          <w:szCs w:val="24"/>
        </w:rPr>
        <w:t>correction of the</w:t>
      </w:r>
      <w:r w:rsidR="008308E8" w:rsidRPr="00F669AB">
        <w:rPr>
          <w:rFonts w:ascii="Arial" w:hAnsi="Arial" w:cs="Arial"/>
          <w:sz w:val="24"/>
          <w:szCs w:val="24"/>
        </w:rPr>
        <w:t xml:space="preserve"> consequences of invalidity.</w:t>
      </w:r>
      <w:r w:rsidR="00C908B2" w:rsidRPr="00F669AB">
        <w:rPr>
          <w:rFonts w:ascii="Arial" w:hAnsi="Arial" w:cs="Arial"/>
          <w:sz w:val="24"/>
          <w:szCs w:val="24"/>
        </w:rPr>
        <w:t xml:space="preserve"> The election of the </w:t>
      </w:r>
      <w:r w:rsidR="009C6F6E" w:rsidRPr="00F669AB">
        <w:rPr>
          <w:rFonts w:ascii="Arial" w:hAnsi="Arial" w:cs="Arial"/>
          <w:sz w:val="24"/>
          <w:szCs w:val="24"/>
        </w:rPr>
        <w:t>three councilors was unlawful and must be s</w:t>
      </w:r>
      <w:r w:rsidR="00B30A48" w:rsidRPr="00F669AB">
        <w:rPr>
          <w:rFonts w:ascii="Arial" w:hAnsi="Arial" w:cs="Arial"/>
          <w:sz w:val="24"/>
          <w:szCs w:val="24"/>
        </w:rPr>
        <w:t>et aside. The setting aside should</w:t>
      </w:r>
      <w:r w:rsidR="009C6F6E" w:rsidRPr="00F669AB">
        <w:rPr>
          <w:rFonts w:ascii="Arial" w:hAnsi="Arial" w:cs="Arial"/>
          <w:sz w:val="24"/>
          <w:szCs w:val="24"/>
        </w:rPr>
        <w:t xml:space="preserve"> not, however, have a retrospective effect.</w:t>
      </w:r>
    </w:p>
    <w:p w14:paraId="2510432D" w14:textId="77777777" w:rsidR="00772102" w:rsidRPr="00512F52" w:rsidRDefault="00772102" w:rsidP="00772102">
      <w:pPr>
        <w:pStyle w:val="ListParagraph"/>
        <w:spacing w:after="0" w:line="360" w:lineRule="auto"/>
        <w:ind w:left="0"/>
        <w:jc w:val="both"/>
        <w:rPr>
          <w:rFonts w:ascii="Arial" w:hAnsi="Arial" w:cs="Arial"/>
          <w:sz w:val="24"/>
          <w:szCs w:val="24"/>
        </w:rPr>
      </w:pPr>
    </w:p>
    <w:p w14:paraId="69B815E9" w14:textId="6C7EC74E" w:rsidR="00BC4065"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[90]</w:t>
      </w:r>
      <w:r w:rsidRPr="00512F52">
        <w:rPr>
          <w:rFonts w:ascii="Arial" w:hAnsi="Arial" w:cs="Arial"/>
          <w:sz w:val="24"/>
          <w:szCs w:val="24"/>
        </w:rPr>
        <w:tab/>
      </w:r>
      <w:r w:rsidR="00821188" w:rsidRPr="00F669AB">
        <w:rPr>
          <w:rFonts w:ascii="Arial" w:hAnsi="Arial" w:cs="Arial"/>
          <w:sz w:val="24"/>
          <w:szCs w:val="24"/>
        </w:rPr>
        <w:t>The non-joinder point should fail. It was not necessary for the Commission to join the relevant municipalities</w:t>
      </w:r>
      <w:r w:rsidR="008D649B" w:rsidRPr="00F669AB">
        <w:rPr>
          <w:rFonts w:ascii="Arial" w:hAnsi="Arial" w:cs="Arial"/>
          <w:sz w:val="24"/>
          <w:szCs w:val="24"/>
        </w:rPr>
        <w:t xml:space="preserve"> separately</w:t>
      </w:r>
      <w:r w:rsidR="008F0DB0" w:rsidRPr="00F669AB">
        <w:rPr>
          <w:rFonts w:ascii="Arial" w:hAnsi="Arial" w:cs="Arial"/>
          <w:sz w:val="24"/>
          <w:szCs w:val="24"/>
        </w:rPr>
        <w:t>,</w:t>
      </w:r>
      <w:r w:rsidR="00060C8B" w:rsidRPr="00F669AB">
        <w:rPr>
          <w:rFonts w:ascii="Arial" w:hAnsi="Arial" w:cs="Arial"/>
          <w:sz w:val="24"/>
          <w:szCs w:val="24"/>
        </w:rPr>
        <w:t xml:space="preserve"> because their respective Speakers have been cited in their representative capacity. The Minister and the MEC</w:t>
      </w:r>
      <w:r w:rsidR="008308E8" w:rsidRPr="00F669AB">
        <w:rPr>
          <w:rFonts w:ascii="Arial" w:hAnsi="Arial" w:cs="Arial"/>
          <w:sz w:val="24"/>
          <w:szCs w:val="24"/>
        </w:rPr>
        <w:t xml:space="preserve"> do not have a direct and substantial interest in the</w:t>
      </w:r>
      <w:r w:rsidR="00060C8B" w:rsidRPr="00F669AB">
        <w:rPr>
          <w:rFonts w:ascii="Arial" w:hAnsi="Arial" w:cs="Arial"/>
          <w:sz w:val="24"/>
          <w:szCs w:val="24"/>
        </w:rPr>
        <w:t>se</w:t>
      </w:r>
      <w:r w:rsidR="00B20462" w:rsidRPr="00F669AB">
        <w:rPr>
          <w:rFonts w:ascii="Arial" w:hAnsi="Arial" w:cs="Arial"/>
          <w:sz w:val="24"/>
          <w:szCs w:val="24"/>
        </w:rPr>
        <w:t xml:space="preserve"> proceedings and their citation was </w:t>
      </w:r>
      <w:r w:rsidR="008F0DB0" w:rsidRPr="00F669AB">
        <w:rPr>
          <w:rFonts w:ascii="Arial" w:hAnsi="Arial" w:cs="Arial"/>
          <w:sz w:val="24"/>
          <w:szCs w:val="24"/>
        </w:rPr>
        <w:t xml:space="preserve">not </w:t>
      </w:r>
      <w:r w:rsidR="00B20462" w:rsidRPr="00F669AB">
        <w:rPr>
          <w:rFonts w:ascii="Arial" w:hAnsi="Arial" w:cs="Arial"/>
          <w:sz w:val="24"/>
          <w:szCs w:val="24"/>
        </w:rPr>
        <w:t>necessary.</w:t>
      </w:r>
    </w:p>
    <w:p w14:paraId="4A44329F" w14:textId="3556E444" w:rsidR="009C6F6E" w:rsidRPr="00512F52" w:rsidRDefault="009C6F6E" w:rsidP="00772102">
      <w:pPr>
        <w:spacing w:after="0" w:line="360" w:lineRule="auto"/>
        <w:jc w:val="both"/>
        <w:rPr>
          <w:rFonts w:ascii="Arial" w:hAnsi="Arial" w:cs="Arial"/>
          <w:sz w:val="24"/>
          <w:szCs w:val="24"/>
        </w:rPr>
      </w:pPr>
    </w:p>
    <w:p w14:paraId="617FCAC2" w14:textId="5A0D14C1" w:rsidR="009C6F6E" w:rsidRPr="00512F52" w:rsidRDefault="009C6F6E" w:rsidP="00772102">
      <w:pPr>
        <w:spacing w:after="0" w:line="360" w:lineRule="auto"/>
        <w:jc w:val="both"/>
        <w:rPr>
          <w:rFonts w:ascii="Arial" w:hAnsi="Arial" w:cs="Arial"/>
          <w:b/>
          <w:sz w:val="24"/>
          <w:szCs w:val="24"/>
        </w:rPr>
      </w:pPr>
      <w:r w:rsidRPr="00512F52">
        <w:rPr>
          <w:rFonts w:ascii="Arial" w:hAnsi="Arial" w:cs="Arial"/>
          <w:b/>
          <w:sz w:val="24"/>
          <w:szCs w:val="24"/>
        </w:rPr>
        <w:t>Costs</w:t>
      </w:r>
    </w:p>
    <w:p w14:paraId="42E20DEC" w14:textId="5F2244C0" w:rsidR="00BC1832"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[91]</w:t>
      </w:r>
      <w:r w:rsidRPr="00512F52">
        <w:rPr>
          <w:rFonts w:ascii="Arial" w:hAnsi="Arial" w:cs="Arial"/>
          <w:sz w:val="24"/>
          <w:szCs w:val="24"/>
        </w:rPr>
        <w:tab/>
      </w:r>
      <w:r w:rsidR="00BC1832" w:rsidRPr="00F669AB">
        <w:rPr>
          <w:rFonts w:ascii="Arial" w:hAnsi="Arial" w:cs="Arial"/>
          <w:sz w:val="24"/>
          <w:szCs w:val="24"/>
        </w:rPr>
        <w:t>As regards costs</w:t>
      </w:r>
      <w:r w:rsidR="008F0DB0" w:rsidRPr="00F669AB">
        <w:rPr>
          <w:rFonts w:ascii="Arial" w:hAnsi="Arial" w:cs="Arial"/>
          <w:sz w:val="24"/>
          <w:szCs w:val="24"/>
        </w:rPr>
        <w:t>,</w:t>
      </w:r>
      <w:r w:rsidR="00BC1832" w:rsidRPr="00F669AB">
        <w:rPr>
          <w:rFonts w:ascii="Arial" w:hAnsi="Arial" w:cs="Arial"/>
          <w:sz w:val="24"/>
          <w:szCs w:val="24"/>
        </w:rPr>
        <w:t xml:space="preserve"> the general rule is that costs follow the event. But</w:t>
      </w:r>
      <w:r w:rsidR="008F0DB0" w:rsidRPr="00F669AB">
        <w:rPr>
          <w:rFonts w:ascii="Arial" w:hAnsi="Arial" w:cs="Arial"/>
          <w:sz w:val="24"/>
          <w:szCs w:val="24"/>
        </w:rPr>
        <w:t>,</w:t>
      </w:r>
      <w:r w:rsidR="00BC1832" w:rsidRPr="00F669AB">
        <w:rPr>
          <w:rFonts w:ascii="Arial" w:hAnsi="Arial" w:cs="Arial"/>
          <w:sz w:val="24"/>
          <w:szCs w:val="24"/>
        </w:rPr>
        <w:t xml:space="preserve"> this being a constitutional litigation</w:t>
      </w:r>
      <w:r w:rsidR="00054E94" w:rsidRPr="00F669AB">
        <w:rPr>
          <w:rFonts w:ascii="Arial" w:hAnsi="Arial" w:cs="Arial"/>
          <w:sz w:val="24"/>
          <w:szCs w:val="24"/>
        </w:rPr>
        <w:t xml:space="preserve"> involving the Commission, an organ of state,</w:t>
      </w:r>
      <w:r w:rsidR="00BC1832" w:rsidRPr="00F669AB">
        <w:rPr>
          <w:rFonts w:ascii="Arial" w:hAnsi="Arial" w:cs="Arial"/>
          <w:sz w:val="24"/>
          <w:szCs w:val="24"/>
        </w:rPr>
        <w:t xml:space="preserve"> the general rule does not find </w:t>
      </w:r>
      <w:r w:rsidR="00460943" w:rsidRPr="00F669AB">
        <w:rPr>
          <w:rFonts w:ascii="Arial" w:hAnsi="Arial" w:cs="Arial"/>
          <w:sz w:val="24"/>
          <w:szCs w:val="24"/>
        </w:rPr>
        <w:t>application. The issue was</w:t>
      </w:r>
      <w:r w:rsidR="00407346" w:rsidRPr="00F669AB">
        <w:rPr>
          <w:rFonts w:ascii="Arial" w:hAnsi="Arial" w:cs="Arial"/>
          <w:sz w:val="24"/>
          <w:szCs w:val="24"/>
        </w:rPr>
        <w:t xml:space="preserve"> whether the election of the </w:t>
      </w:r>
      <w:r w:rsidR="008F0DB0" w:rsidRPr="00F669AB">
        <w:rPr>
          <w:rFonts w:ascii="Arial" w:hAnsi="Arial" w:cs="Arial"/>
          <w:sz w:val="24"/>
          <w:szCs w:val="24"/>
        </w:rPr>
        <w:t>affected</w:t>
      </w:r>
      <w:r w:rsidR="00407346" w:rsidRPr="00F669AB">
        <w:rPr>
          <w:rFonts w:ascii="Arial" w:hAnsi="Arial" w:cs="Arial"/>
          <w:sz w:val="24"/>
          <w:szCs w:val="24"/>
        </w:rPr>
        <w:t xml:space="preserve"> council</w:t>
      </w:r>
      <w:r w:rsidR="00B30A48" w:rsidRPr="00F669AB">
        <w:rPr>
          <w:rFonts w:ascii="Arial" w:hAnsi="Arial" w:cs="Arial"/>
          <w:sz w:val="24"/>
          <w:szCs w:val="24"/>
        </w:rPr>
        <w:t>i</w:t>
      </w:r>
      <w:r w:rsidR="00407346" w:rsidRPr="00F669AB">
        <w:rPr>
          <w:rFonts w:ascii="Arial" w:hAnsi="Arial" w:cs="Arial"/>
          <w:sz w:val="24"/>
          <w:szCs w:val="24"/>
        </w:rPr>
        <w:t xml:space="preserve">ors to the </w:t>
      </w:r>
      <w:r w:rsidR="008F0DB0" w:rsidRPr="00F669AB">
        <w:rPr>
          <w:rFonts w:ascii="Arial" w:hAnsi="Arial" w:cs="Arial"/>
          <w:sz w:val="24"/>
          <w:szCs w:val="24"/>
        </w:rPr>
        <w:t>D</w:t>
      </w:r>
      <w:r w:rsidR="00407346" w:rsidRPr="00F669AB">
        <w:rPr>
          <w:rFonts w:ascii="Arial" w:hAnsi="Arial" w:cs="Arial"/>
          <w:sz w:val="24"/>
          <w:szCs w:val="24"/>
        </w:rPr>
        <w:t xml:space="preserve">istrict </w:t>
      </w:r>
      <w:r w:rsidR="008F0DB0" w:rsidRPr="00F669AB">
        <w:rPr>
          <w:rFonts w:ascii="Arial" w:hAnsi="Arial" w:cs="Arial"/>
          <w:sz w:val="24"/>
          <w:szCs w:val="24"/>
        </w:rPr>
        <w:t>C</w:t>
      </w:r>
      <w:r w:rsidR="00407346" w:rsidRPr="00F669AB">
        <w:rPr>
          <w:rFonts w:ascii="Arial" w:hAnsi="Arial" w:cs="Arial"/>
          <w:sz w:val="24"/>
          <w:szCs w:val="24"/>
        </w:rPr>
        <w:t>ouncil was unlawful</w:t>
      </w:r>
      <w:r w:rsidR="008F0DB0" w:rsidRPr="00F669AB">
        <w:rPr>
          <w:rFonts w:ascii="Arial" w:hAnsi="Arial" w:cs="Arial"/>
          <w:sz w:val="24"/>
          <w:szCs w:val="24"/>
        </w:rPr>
        <w:t>,</w:t>
      </w:r>
      <w:r w:rsidR="00407346" w:rsidRPr="00F669AB">
        <w:rPr>
          <w:rFonts w:ascii="Arial" w:hAnsi="Arial" w:cs="Arial"/>
          <w:sz w:val="24"/>
          <w:szCs w:val="24"/>
        </w:rPr>
        <w:t xml:space="preserve"> as </w:t>
      </w:r>
      <w:r w:rsidR="00460943" w:rsidRPr="00F669AB">
        <w:rPr>
          <w:rFonts w:ascii="Arial" w:hAnsi="Arial" w:cs="Arial"/>
          <w:sz w:val="24"/>
          <w:szCs w:val="24"/>
        </w:rPr>
        <w:t xml:space="preserve">contended by the Commission. This turned on </w:t>
      </w:r>
      <w:r w:rsidR="00BC1832" w:rsidRPr="00F669AB">
        <w:rPr>
          <w:rFonts w:ascii="Arial" w:hAnsi="Arial" w:cs="Arial"/>
          <w:sz w:val="24"/>
          <w:szCs w:val="24"/>
        </w:rPr>
        <w:t xml:space="preserve">the interpretation of the statutory provision relating to </w:t>
      </w:r>
      <w:r w:rsidR="00054E94" w:rsidRPr="00F669AB">
        <w:rPr>
          <w:rFonts w:ascii="Arial" w:hAnsi="Arial" w:cs="Arial"/>
          <w:sz w:val="24"/>
          <w:szCs w:val="24"/>
        </w:rPr>
        <w:t>the appointment of</w:t>
      </w:r>
      <w:r w:rsidR="00BC1832" w:rsidRPr="00F669AB">
        <w:rPr>
          <w:rFonts w:ascii="Arial" w:hAnsi="Arial" w:cs="Arial"/>
          <w:sz w:val="24"/>
          <w:szCs w:val="24"/>
        </w:rPr>
        <w:t xml:space="preserve"> council</w:t>
      </w:r>
      <w:r w:rsidR="00F16535" w:rsidRPr="00F669AB">
        <w:rPr>
          <w:rFonts w:ascii="Arial" w:hAnsi="Arial" w:cs="Arial"/>
          <w:sz w:val="24"/>
          <w:szCs w:val="24"/>
        </w:rPr>
        <w:t>l</w:t>
      </w:r>
      <w:r w:rsidR="00BC1832" w:rsidRPr="00F669AB">
        <w:rPr>
          <w:rFonts w:ascii="Arial" w:hAnsi="Arial" w:cs="Arial"/>
          <w:sz w:val="24"/>
          <w:szCs w:val="24"/>
        </w:rPr>
        <w:t xml:space="preserve">ors to the </w:t>
      </w:r>
      <w:r w:rsidR="008F0DB0" w:rsidRPr="00F669AB">
        <w:rPr>
          <w:rFonts w:ascii="Arial" w:hAnsi="Arial" w:cs="Arial"/>
          <w:sz w:val="24"/>
          <w:szCs w:val="24"/>
        </w:rPr>
        <w:t>D</w:t>
      </w:r>
      <w:r w:rsidR="00BC1832" w:rsidRPr="00F669AB">
        <w:rPr>
          <w:rFonts w:ascii="Arial" w:hAnsi="Arial" w:cs="Arial"/>
          <w:sz w:val="24"/>
          <w:szCs w:val="24"/>
        </w:rPr>
        <w:t xml:space="preserve">istrict </w:t>
      </w:r>
      <w:r w:rsidR="008F0DB0" w:rsidRPr="00F669AB">
        <w:rPr>
          <w:rFonts w:ascii="Arial" w:hAnsi="Arial" w:cs="Arial"/>
          <w:sz w:val="24"/>
          <w:szCs w:val="24"/>
        </w:rPr>
        <w:t>C</w:t>
      </w:r>
      <w:r w:rsidR="00BC1832" w:rsidRPr="00F669AB">
        <w:rPr>
          <w:rFonts w:ascii="Arial" w:hAnsi="Arial" w:cs="Arial"/>
          <w:sz w:val="24"/>
          <w:szCs w:val="24"/>
        </w:rPr>
        <w:t xml:space="preserve">ouncil to represent the </w:t>
      </w:r>
      <w:r w:rsidR="008F0DB0" w:rsidRPr="00F669AB">
        <w:rPr>
          <w:rFonts w:ascii="Arial" w:hAnsi="Arial" w:cs="Arial"/>
          <w:sz w:val="24"/>
          <w:szCs w:val="24"/>
        </w:rPr>
        <w:t>L</w:t>
      </w:r>
      <w:r w:rsidR="00BC1832" w:rsidRPr="00F669AB">
        <w:rPr>
          <w:rFonts w:ascii="Arial" w:hAnsi="Arial" w:cs="Arial"/>
          <w:sz w:val="24"/>
          <w:szCs w:val="24"/>
        </w:rPr>
        <w:t xml:space="preserve">ocal </w:t>
      </w:r>
      <w:r w:rsidR="008F0DB0" w:rsidRPr="00F669AB">
        <w:rPr>
          <w:rFonts w:ascii="Arial" w:hAnsi="Arial" w:cs="Arial"/>
          <w:sz w:val="24"/>
          <w:szCs w:val="24"/>
        </w:rPr>
        <w:t>C</w:t>
      </w:r>
      <w:r w:rsidR="00BC1832" w:rsidRPr="00F669AB">
        <w:rPr>
          <w:rFonts w:ascii="Arial" w:hAnsi="Arial" w:cs="Arial"/>
          <w:sz w:val="24"/>
          <w:szCs w:val="24"/>
        </w:rPr>
        <w:t xml:space="preserve">ouncil and the manner in which seats in the </w:t>
      </w:r>
      <w:r w:rsidR="008F0DB0" w:rsidRPr="00F669AB">
        <w:rPr>
          <w:rFonts w:ascii="Arial" w:hAnsi="Arial" w:cs="Arial"/>
          <w:sz w:val="24"/>
          <w:szCs w:val="24"/>
        </w:rPr>
        <w:t>D</w:t>
      </w:r>
      <w:r w:rsidR="00BC1832" w:rsidRPr="00F669AB">
        <w:rPr>
          <w:rFonts w:ascii="Arial" w:hAnsi="Arial" w:cs="Arial"/>
          <w:sz w:val="24"/>
          <w:szCs w:val="24"/>
        </w:rPr>
        <w:t xml:space="preserve">istrict </w:t>
      </w:r>
      <w:r w:rsidR="008F0DB0" w:rsidRPr="00F669AB">
        <w:rPr>
          <w:rFonts w:ascii="Arial" w:hAnsi="Arial" w:cs="Arial"/>
          <w:sz w:val="24"/>
          <w:szCs w:val="24"/>
        </w:rPr>
        <w:t>C</w:t>
      </w:r>
      <w:r w:rsidR="00BC1832" w:rsidRPr="00F669AB">
        <w:rPr>
          <w:rFonts w:ascii="Arial" w:hAnsi="Arial" w:cs="Arial"/>
          <w:sz w:val="24"/>
          <w:szCs w:val="24"/>
        </w:rPr>
        <w:t xml:space="preserve">ouncil should be allocated. </w:t>
      </w:r>
      <w:r w:rsidR="00460943" w:rsidRPr="00F669AB">
        <w:rPr>
          <w:rFonts w:ascii="Arial" w:hAnsi="Arial" w:cs="Arial"/>
          <w:sz w:val="24"/>
          <w:szCs w:val="24"/>
        </w:rPr>
        <w:t>The parties interpreted the relevant statutory provision differently and advanced their case based</w:t>
      </w:r>
      <w:r w:rsidR="00DF5414" w:rsidRPr="00F669AB">
        <w:rPr>
          <w:rFonts w:ascii="Arial" w:hAnsi="Arial" w:cs="Arial"/>
          <w:sz w:val="24"/>
          <w:szCs w:val="24"/>
        </w:rPr>
        <w:t xml:space="preserve"> on their own interpretation</w:t>
      </w:r>
      <w:r w:rsidR="00460943" w:rsidRPr="00F669AB">
        <w:rPr>
          <w:rFonts w:ascii="Arial" w:hAnsi="Arial" w:cs="Arial"/>
          <w:sz w:val="24"/>
          <w:szCs w:val="24"/>
        </w:rPr>
        <w:t xml:space="preserve">. </w:t>
      </w:r>
      <w:r w:rsidR="00BC1832" w:rsidRPr="00F669AB">
        <w:rPr>
          <w:rFonts w:ascii="Arial" w:hAnsi="Arial" w:cs="Arial"/>
          <w:sz w:val="24"/>
          <w:szCs w:val="24"/>
        </w:rPr>
        <w:t xml:space="preserve">Opposition </w:t>
      </w:r>
      <w:r w:rsidR="00DF5414" w:rsidRPr="00F669AB">
        <w:rPr>
          <w:rFonts w:ascii="Arial" w:hAnsi="Arial" w:cs="Arial"/>
          <w:sz w:val="24"/>
          <w:szCs w:val="24"/>
        </w:rPr>
        <w:t>to the relief sought by the Commission was therefore</w:t>
      </w:r>
      <w:r w:rsidR="00BC1832" w:rsidRPr="00F669AB">
        <w:rPr>
          <w:rFonts w:ascii="Arial" w:hAnsi="Arial" w:cs="Arial"/>
          <w:sz w:val="24"/>
          <w:szCs w:val="24"/>
        </w:rPr>
        <w:t xml:space="preserve"> not unreasonable</w:t>
      </w:r>
      <w:r w:rsidR="00DF5414" w:rsidRPr="00F669AB">
        <w:rPr>
          <w:rFonts w:ascii="Arial" w:hAnsi="Arial" w:cs="Arial"/>
          <w:sz w:val="24"/>
          <w:szCs w:val="24"/>
        </w:rPr>
        <w:t xml:space="preserve"> based as it was on the respondents’ interpretation of the relevant statutory provision.</w:t>
      </w:r>
      <w:r w:rsidR="00BC1832" w:rsidRPr="00F669AB">
        <w:rPr>
          <w:rFonts w:ascii="Arial" w:hAnsi="Arial" w:cs="Arial"/>
          <w:sz w:val="24"/>
          <w:szCs w:val="24"/>
        </w:rPr>
        <w:t xml:space="preserve"> </w:t>
      </w:r>
      <w:r w:rsidR="00054E94" w:rsidRPr="00F669AB">
        <w:rPr>
          <w:rFonts w:ascii="Arial" w:hAnsi="Arial" w:cs="Arial"/>
          <w:sz w:val="24"/>
          <w:szCs w:val="24"/>
        </w:rPr>
        <w:t xml:space="preserve">In the circumstances, in accordance with the </w:t>
      </w:r>
      <w:r w:rsidR="00054E94" w:rsidRPr="00F669AB">
        <w:rPr>
          <w:rFonts w:ascii="Arial" w:hAnsi="Arial" w:cs="Arial"/>
          <w:i/>
          <w:sz w:val="24"/>
          <w:szCs w:val="24"/>
        </w:rPr>
        <w:t>Biowatch</w:t>
      </w:r>
      <w:r w:rsidR="00EA744A" w:rsidRPr="00512F52">
        <w:rPr>
          <w:rStyle w:val="FootnoteReference"/>
          <w:rFonts w:ascii="Arial" w:hAnsi="Arial" w:cs="Arial"/>
          <w:sz w:val="24"/>
          <w:szCs w:val="24"/>
        </w:rPr>
        <w:footnoteReference w:id="41"/>
      </w:r>
      <w:r w:rsidR="00054E94" w:rsidRPr="00F669AB">
        <w:rPr>
          <w:rFonts w:ascii="Arial" w:hAnsi="Arial" w:cs="Arial"/>
          <w:sz w:val="24"/>
          <w:szCs w:val="24"/>
        </w:rPr>
        <w:t xml:space="preserve"> principle, the Commission, despite its success, will not be awarded costs. </w:t>
      </w:r>
      <w:r w:rsidR="00F16535" w:rsidRPr="00F669AB">
        <w:rPr>
          <w:rFonts w:ascii="Arial" w:hAnsi="Arial" w:cs="Arial"/>
          <w:sz w:val="24"/>
          <w:szCs w:val="24"/>
        </w:rPr>
        <w:t>In the circumstances</w:t>
      </w:r>
      <w:r w:rsidR="008F0DB0" w:rsidRPr="00F669AB">
        <w:rPr>
          <w:rFonts w:ascii="Arial" w:hAnsi="Arial" w:cs="Arial"/>
          <w:sz w:val="24"/>
          <w:szCs w:val="24"/>
        </w:rPr>
        <w:t>,</w:t>
      </w:r>
      <w:r w:rsidR="00F16535" w:rsidRPr="00F669AB">
        <w:rPr>
          <w:rFonts w:ascii="Arial" w:hAnsi="Arial" w:cs="Arial"/>
          <w:sz w:val="24"/>
          <w:szCs w:val="24"/>
        </w:rPr>
        <w:t xml:space="preserve"> n</w:t>
      </w:r>
      <w:r w:rsidR="00054E94" w:rsidRPr="00F669AB">
        <w:rPr>
          <w:rFonts w:ascii="Arial" w:hAnsi="Arial" w:cs="Arial"/>
          <w:sz w:val="24"/>
          <w:szCs w:val="24"/>
        </w:rPr>
        <w:t>o order will be made as to costs.</w:t>
      </w:r>
    </w:p>
    <w:p w14:paraId="22392C36" w14:textId="77777777" w:rsidR="00B20462" w:rsidRPr="00512F52" w:rsidRDefault="00B20462" w:rsidP="00772102">
      <w:pPr>
        <w:spacing w:after="0" w:line="360" w:lineRule="auto"/>
        <w:jc w:val="both"/>
        <w:rPr>
          <w:rFonts w:ascii="Arial" w:hAnsi="Arial" w:cs="Arial"/>
          <w:b/>
          <w:sz w:val="24"/>
          <w:szCs w:val="24"/>
        </w:rPr>
      </w:pPr>
    </w:p>
    <w:p w14:paraId="3B3AD7CD" w14:textId="1A89A3EE" w:rsidR="00A2653E" w:rsidRPr="00512F52" w:rsidRDefault="00A2653E" w:rsidP="00772102">
      <w:pPr>
        <w:spacing w:after="0" w:line="360" w:lineRule="auto"/>
        <w:jc w:val="both"/>
        <w:rPr>
          <w:rFonts w:ascii="Arial" w:hAnsi="Arial" w:cs="Arial"/>
          <w:b/>
          <w:sz w:val="24"/>
          <w:szCs w:val="24"/>
        </w:rPr>
      </w:pPr>
      <w:r w:rsidRPr="00512F52">
        <w:rPr>
          <w:rFonts w:ascii="Arial" w:hAnsi="Arial" w:cs="Arial"/>
          <w:b/>
          <w:sz w:val="24"/>
          <w:szCs w:val="24"/>
        </w:rPr>
        <w:t xml:space="preserve">The </w:t>
      </w:r>
      <w:r w:rsidR="006C1768" w:rsidRPr="00512F52">
        <w:rPr>
          <w:rFonts w:ascii="Arial" w:hAnsi="Arial" w:cs="Arial"/>
          <w:b/>
          <w:sz w:val="24"/>
          <w:szCs w:val="24"/>
        </w:rPr>
        <w:t>o</w:t>
      </w:r>
      <w:r w:rsidRPr="00512F52">
        <w:rPr>
          <w:rFonts w:ascii="Arial" w:hAnsi="Arial" w:cs="Arial"/>
          <w:b/>
          <w:sz w:val="24"/>
          <w:szCs w:val="24"/>
        </w:rPr>
        <w:t>rder</w:t>
      </w:r>
    </w:p>
    <w:p w14:paraId="11F7ADB0" w14:textId="6E77AD4F" w:rsidR="008D649B" w:rsidRPr="00F669AB" w:rsidRDefault="00F669AB" w:rsidP="00F669AB">
      <w:pPr>
        <w:spacing w:after="0" w:line="360" w:lineRule="auto"/>
        <w:jc w:val="both"/>
        <w:rPr>
          <w:rFonts w:ascii="Arial" w:hAnsi="Arial" w:cs="Arial"/>
          <w:sz w:val="24"/>
          <w:szCs w:val="24"/>
        </w:rPr>
      </w:pPr>
      <w:r w:rsidRPr="00512F52">
        <w:rPr>
          <w:rFonts w:ascii="Arial" w:hAnsi="Arial" w:cs="Arial"/>
          <w:sz w:val="24"/>
          <w:szCs w:val="24"/>
        </w:rPr>
        <w:t>[92]</w:t>
      </w:r>
      <w:r w:rsidRPr="00512F52">
        <w:rPr>
          <w:rFonts w:ascii="Arial" w:hAnsi="Arial" w:cs="Arial"/>
          <w:sz w:val="24"/>
          <w:szCs w:val="24"/>
        </w:rPr>
        <w:tab/>
      </w:r>
      <w:r w:rsidR="008D649B" w:rsidRPr="00F669AB">
        <w:rPr>
          <w:rFonts w:ascii="Arial" w:hAnsi="Arial" w:cs="Arial"/>
          <w:sz w:val="24"/>
          <w:szCs w:val="24"/>
        </w:rPr>
        <w:t>In the result</w:t>
      </w:r>
      <w:r w:rsidR="006C1768" w:rsidRPr="00F669AB">
        <w:rPr>
          <w:rFonts w:ascii="Arial" w:hAnsi="Arial" w:cs="Arial"/>
          <w:sz w:val="24"/>
          <w:szCs w:val="24"/>
        </w:rPr>
        <w:t>,</w:t>
      </w:r>
      <w:r w:rsidR="008D649B" w:rsidRPr="00F669AB">
        <w:rPr>
          <w:rFonts w:ascii="Arial" w:hAnsi="Arial" w:cs="Arial"/>
          <w:sz w:val="24"/>
          <w:szCs w:val="24"/>
        </w:rPr>
        <w:t xml:space="preserve"> I make the following order:</w:t>
      </w:r>
      <w:r w:rsidR="006D7A1E" w:rsidRPr="00F669AB">
        <w:rPr>
          <w:rFonts w:ascii="Arial" w:hAnsi="Arial" w:cs="Arial"/>
          <w:sz w:val="24"/>
          <w:szCs w:val="24"/>
        </w:rPr>
        <w:t xml:space="preserve">                                                           </w:t>
      </w:r>
    </w:p>
    <w:p w14:paraId="2404D584" w14:textId="77777777" w:rsidR="00AC6FAE" w:rsidRPr="00512F52" w:rsidRDefault="00AC6FAE" w:rsidP="00AC6FAE">
      <w:pPr>
        <w:spacing w:after="0" w:line="360" w:lineRule="auto"/>
        <w:jc w:val="both"/>
        <w:rPr>
          <w:rFonts w:ascii="Arial" w:hAnsi="Arial" w:cs="Arial"/>
          <w:sz w:val="24"/>
          <w:szCs w:val="24"/>
        </w:rPr>
      </w:pPr>
      <w:r w:rsidRPr="00512F52">
        <w:rPr>
          <w:rFonts w:ascii="Arial" w:hAnsi="Arial" w:cs="Arial"/>
          <w:bCs/>
          <w:sz w:val="24"/>
          <w:szCs w:val="24"/>
          <w:lang w:val="en-GB"/>
        </w:rPr>
        <w:t>1.</w:t>
      </w:r>
      <w:r w:rsidRPr="00512F52">
        <w:rPr>
          <w:rFonts w:ascii="Arial" w:hAnsi="Arial" w:cs="Arial"/>
          <w:bCs/>
          <w:sz w:val="24"/>
          <w:szCs w:val="24"/>
          <w:lang w:val="en-GB"/>
        </w:rPr>
        <w:tab/>
        <w:t>It is declared that t</w:t>
      </w:r>
      <w:r w:rsidRPr="00512F52">
        <w:rPr>
          <w:rFonts w:ascii="Arial" w:hAnsi="Arial" w:cs="Arial"/>
          <w:sz w:val="24"/>
          <w:szCs w:val="24"/>
        </w:rPr>
        <w:t xml:space="preserve">he election on 23 November 2021 of the eighth, ninth and tenth respondents by the Electoral Commission as members of the King Cetshwayo District Council as representatives of the uMhlathuze Local Council, as contemplated in s </w:t>
      </w:r>
      <w:r w:rsidRPr="00512F52">
        <w:rPr>
          <w:rFonts w:ascii="Arial" w:hAnsi="Arial" w:cs="Arial"/>
          <w:sz w:val="24"/>
          <w:szCs w:val="24"/>
        </w:rPr>
        <w:lastRenderedPageBreak/>
        <w:t>23(1)</w:t>
      </w:r>
      <w:r w:rsidRPr="00512F52">
        <w:rPr>
          <w:rFonts w:ascii="Arial" w:hAnsi="Arial" w:cs="Arial"/>
          <w:i/>
          <w:sz w:val="24"/>
          <w:szCs w:val="24"/>
        </w:rPr>
        <w:t>(b)</w:t>
      </w:r>
      <w:r w:rsidRPr="00512F52">
        <w:rPr>
          <w:rFonts w:ascii="Arial" w:hAnsi="Arial" w:cs="Arial"/>
          <w:sz w:val="24"/>
          <w:szCs w:val="24"/>
        </w:rPr>
        <w:t xml:space="preserve"> of the Local Government: Municipal Structures Act 117 of 1998, was unlawful, unconstitutional and invalid.</w:t>
      </w:r>
    </w:p>
    <w:p w14:paraId="687FE6D7" w14:textId="77777777" w:rsidR="00AC6FAE" w:rsidRPr="00512F52" w:rsidRDefault="00AC6FAE" w:rsidP="00AC6FAE">
      <w:pPr>
        <w:spacing w:after="0" w:line="360" w:lineRule="auto"/>
        <w:jc w:val="both"/>
        <w:rPr>
          <w:rFonts w:ascii="Arial" w:hAnsi="Arial" w:cs="Arial"/>
          <w:sz w:val="24"/>
          <w:szCs w:val="24"/>
        </w:rPr>
      </w:pPr>
      <w:r w:rsidRPr="00512F52">
        <w:rPr>
          <w:rFonts w:ascii="Arial" w:hAnsi="Arial" w:cs="Arial"/>
          <w:sz w:val="24"/>
          <w:szCs w:val="24"/>
        </w:rPr>
        <w:t>2.</w:t>
      </w:r>
      <w:r w:rsidRPr="00512F52">
        <w:rPr>
          <w:rFonts w:ascii="Arial" w:hAnsi="Arial" w:cs="Arial"/>
          <w:sz w:val="24"/>
          <w:szCs w:val="24"/>
        </w:rPr>
        <w:tab/>
        <w:t>The decision of the Electoral Commission to elect the eighth, ninth and tenth respondents is reviewed and set aside.</w:t>
      </w:r>
    </w:p>
    <w:p w14:paraId="0DC7C7A9" w14:textId="77777777" w:rsidR="00AC6FAE" w:rsidRPr="00512F52" w:rsidRDefault="00AC6FAE" w:rsidP="00AC6FAE">
      <w:pPr>
        <w:spacing w:after="0" w:line="360" w:lineRule="auto"/>
        <w:jc w:val="both"/>
        <w:rPr>
          <w:rFonts w:ascii="Arial" w:hAnsi="Arial" w:cs="Arial"/>
          <w:sz w:val="24"/>
          <w:szCs w:val="24"/>
        </w:rPr>
      </w:pPr>
      <w:r w:rsidRPr="00512F52">
        <w:rPr>
          <w:rFonts w:ascii="Arial" w:hAnsi="Arial" w:cs="Arial"/>
          <w:sz w:val="24"/>
          <w:szCs w:val="24"/>
        </w:rPr>
        <w:t>3.</w:t>
      </w:r>
      <w:r w:rsidRPr="00512F52">
        <w:rPr>
          <w:rFonts w:ascii="Arial" w:hAnsi="Arial" w:cs="Arial"/>
          <w:sz w:val="24"/>
          <w:szCs w:val="24"/>
        </w:rPr>
        <w:tab/>
        <w:t>It is declared that the proceedings of any decisions taken by the King Cetshwayo District Council are not invalid only by reason that the eighth, ninth and tenth respondents were members of that Council at the time.</w:t>
      </w:r>
    </w:p>
    <w:p w14:paraId="4443540B" w14:textId="18B2698A" w:rsidR="00AC6FAE" w:rsidRPr="00512F52" w:rsidRDefault="00AC6FAE" w:rsidP="00AC6FAE">
      <w:pPr>
        <w:spacing w:after="0" w:line="360" w:lineRule="auto"/>
        <w:jc w:val="both"/>
        <w:rPr>
          <w:rFonts w:ascii="Arial" w:hAnsi="Arial" w:cs="Arial"/>
          <w:sz w:val="24"/>
          <w:szCs w:val="24"/>
        </w:rPr>
      </w:pPr>
      <w:r w:rsidRPr="00512F52">
        <w:rPr>
          <w:rFonts w:ascii="Arial" w:hAnsi="Arial" w:cs="Arial"/>
          <w:sz w:val="24"/>
          <w:szCs w:val="24"/>
        </w:rPr>
        <w:t>4.        The eighth, ninth and tenth respondent</w:t>
      </w:r>
      <w:r w:rsidR="006700A3" w:rsidRPr="00512F52">
        <w:rPr>
          <w:rFonts w:ascii="Arial" w:hAnsi="Arial" w:cs="Arial"/>
          <w:sz w:val="24"/>
          <w:szCs w:val="24"/>
        </w:rPr>
        <w:t>s</w:t>
      </w:r>
      <w:r w:rsidRPr="00512F52">
        <w:rPr>
          <w:rFonts w:ascii="Arial" w:hAnsi="Arial" w:cs="Arial"/>
          <w:sz w:val="24"/>
          <w:szCs w:val="24"/>
        </w:rPr>
        <w:t xml:space="preserve"> are ordered to vacate office in the King Cetshwayo District Council within fourteen days from the date of this order.</w:t>
      </w:r>
    </w:p>
    <w:p w14:paraId="65FC05EE" w14:textId="77777777" w:rsidR="00AC6FAE" w:rsidRPr="00512F52" w:rsidRDefault="00AC6FAE" w:rsidP="00AC6FAE">
      <w:pPr>
        <w:spacing w:after="0" w:line="360" w:lineRule="auto"/>
        <w:jc w:val="both"/>
        <w:rPr>
          <w:rFonts w:ascii="Arial" w:hAnsi="Arial" w:cs="Arial"/>
          <w:sz w:val="24"/>
          <w:szCs w:val="24"/>
        </w:rPr>
      </w:pPr>
      <w:r w:rsidRPr="00512F52">
        <w:rPr>
          <w:rFonts w:ascii="Arial" w:hAnsi="Arial" w:cs="Arial"/>
          <w:sz w:val="24"/>
          <w:szCs w:val="24"/>
        </w:rPr>
        <w:t>5.</w:t>
      </w:r>
      <w:r w:rsidRPr="00512F52">
        <w:rPr>
          <w:rFonts w:ascii="Arial" w:hAnsi="Arial" w:cs="Arial"/>
          <w:sz w:val="24"/>
          <w:szCs w:val="24"/>
        </w:rPr>
        <w:tab/>
        <w:t>It is declared that the orders in paragraphs 1 and 2 shall not affect the legality of the payment of any salary or benefits to the eighth, ninth or tenth respondents prior to the date of this order.</w:t>
      </w:r>
    </w:p>
    <w:p w14:paraId="3064BF1F" w14:textId="107C76CC" w:rsidR="00AC6FAE" w:rsidRPr="00512F52" w:rsidRDefault="00AC6FAE" w:rsidP="00AC6FAE">
      <w:pPr>
        <w:spacing w:after="0" w:line="360" w:lineRule="auto"/>
        <w:jc w:val="both"/>
        <w:rPr>
          <w:rFonts w:ascii="Arial" w:hAnsi="Arial" w:cs="Arial"/>
          <w:sz w:val="24"/>
          <w:szCs w:val="24"/>
        </w:rPr>
      </w:pPr>
      <w:r w:rsidRPr="00512F52">
        <w:rPr>
          <w:rFonts w:ascii="Arial" w:hAnsi="Arial" w:cs="Arial"/>
          <w:sz w:val="24"/>
          <w:szCs w:val="24"/>
        </w:rPr>
        <w:t>6.</w:t>
      </w:r>
      <w:r w:rsidRPr="00512F52">
        <w:rPr>
          <w:rFonts w:ascii="Arial" w:hAnsi="Arial" w:cs="Arial"/>
          <w:sz w:val="24"/>
          <w:szCs w:val="24"/>
        </w:rPr>
        <w:tab/>
        <w:t>No order as to costs is made.</w:t>
      </w:r>
    </w:p>
    <w:p w14:paraId="063F629C" w14:textId="77777777" w:rsidR="001B7E84" w:rsidRPr="00512F52" w:rsidRDefault="001B7E84" w:rsidP="00772102">
      <w:pPr>
        <w:spacing w:after="0" w:line="360" w:lineRule="auto"/>
        <w:jc w:val="both"/>
        <w:rPr>
          <w:rFonts w:ascii="Arial" w:hAnsi="Arial" w:cs="Arial"/>
          <w:sz w:val="24"/>
          <w:szCs w:val="24"/>
        </w:rPr>
      </w:pPr>
    </w:p>
    <w:p w14:paraId="48B6B9C3" w14:textId="77777777" w:rsidR="001B7E84" w:rsidRPr="00512F52" w:rsidRDefault="001B7E84" w:rsidP="00772102">
      <w:pPr>
        <w:spacing w:after="0" w:line="360" w:lineRule="auto"/>
        <w:jc w:val="both"/>
        <w:rPr>
          <w:rFonts w:ascii="Arial" w:hAnsi="Arial" w:cs="Arial"/>
          <w:sz w:val="24"/>
          <w:szCs w:val="24"/>
        </w:rPr>
      </w:pPr>
    </w:p>
    <w:p w14:paraId="0AACD355" w14:textId="5BBC136F" w:rsidR="006D7A1E" w:rsidRPr="00512F52" w:rsidRDefault="006D7A1E" w:rsidP="00F261FD">
      <w:pPr>
        <w:spacing w:after="0" w:line="360" w:lineRule="auto"/>
        <w:jc w:val="right"/>
        <w:rPr>
          <w:rFonts w:ascii="Arial" w:hAnsi="Arial" w:cs="Arial"/>
          <w:sz w:val="24"/>
          <w:szCs w:val="24"/>
        </w:rPr>
      </w:pPr>
      <w:r w:rsidRPr="00512F52">
        <w:rPr>
          <w:rFonts w:ascii="Arial" w:hAnsi="Arial" w:cs="Arial"/>
          <w:sz w:val="24"/>
          <w:szCs w:val="24"/>
        </w:rPr>
        <w:t>_______________</w:t>
      </w:r>
      <w:r w:rsidR="00F261FD" w:rsidRPr="00512F52">
        <w:rPr>
          <w:rFonts w:ascii="Arial" w:hAnsi="Arial" w:cs="Arial"/>
          <w:sz w:val="24"/>
          <w:szCs w:val="24"/>
        </w:rPr>
        <w:t>___</w:t>
      </w:r>
    </w:p>
    <w:p w14:paraId="21403562" w14:textId="77777777" w:rsidR="00F261FD" w:rsidRPr="00512F52" w:rsidRDefault="00F261FD" w:rsidP="00F261FD">
      <w:pPr>
        <w:spacing w:after="0" w:line="360" w:lineRule="auto"/>
        <w:jc w:val="right"/>
        <w:rPr>
          <w:rFonts w:ascii="Arial" w:hAnsi="Arial" w:cs="Arial"/>
          <w:sz w:val="24"/>
          <w:szCs w:val="24"/>
        </w:rPr>
      </w:pPr>
      <w:r w:rsidRPr="00512F52">
        <w:rPr>
          <w:rFonts w:ascii="Arial" w:hAnsi="Arial" w:cs="Arial"/>
          <w:sz w:val="24"/>
          <w:szCs w:val="24"/>
        </w:rPr>
        <w:t>D H ZONDI</w:t>
      </w:r>
    </w:p>
    <w:p w14:paraId="3D258929" w14:textId="14BDCAA9" w:rsidR="00EA0119" w:rsidRPr="00512F52" w:rsidRDefault="006D7A1E" w:rsidP="00F261FD">
      <w:pPr>
        <w:spacing w:after="0" w:line="360" w:lineRule="auto"/>
        <w:jc w:val="right"/>
        <w:rPr>
          <w:rFonts w:ascii="Arial" w:hAnsi="Arial" w:cs="Arial"/>
          <w:sz w:val="24"/>
          <w:szCs w:val="24"/>
        </w:rPr>
      </w:pPr>
      <w:r w:rsidRPr="00512F52">
        <w:rPr>
          <w:rFonts w:ascii="Arial" w:hAnsi="Arial" w:cs="Arial"/>
          <w:sz w:val="24"/>
          <w:szCs w:val="24"/>
        </w:rPr>
        <w:t>JUDGE OF</w:t>
      </w:r>
      <w:r w:rsidR="00EA0119" w:rsidRPr="00512F52">
        <w:rPr>
          <w:rFonts w:ascii="Arial" w:hAnsi="Arial" w:cs="Arial"/>
          <w:sz w:val="24"/>
          <w:szCs w:val="24"/>
        </w:rPr>
        <w:t xml:space="preserve"> THE</w:t>
      </w:r>
    </w:p>
    <w:p w14:paraId="2F5C0578" w14:textId="54EA5757" w:rsidR="006D7A1E" w:rsidRPr="00512F52" w:rsidRDefault="005365E7" w:rsidP="00F261FD">
      <w:pPr>
        <w:spacing w:after="0" w:line="360" w:lineRule="auto"/>
        <w:jc w:val="right"/>
        <w:rPr>
          <w:rFonts w:ascii="Arial" w:hAnsi="Arial" w:cs="Arial"/>
          <w:sz w:val="24"/>
          <w:szCs w:val="24"/>
        </w:rPr>
      </w:pPr>
      <w:r w:rsidRPr="00512F52">
        <w:rPr>
          <w:rFonts w:ascii="Arial" w:hAnsi="Arial" w:cs="Arial"/>
          <w:sz w:val="24"/>
          <w:szCs w:val="24"/>
        </w:rPr>
        <w:t>ELECTORAL COURT</w:t>
      </w:r>
    </w:p>
    <w:p w14:paraId="3CD173C3" w14:textId="598B9696" w:rsidR="001B7E84" w:rsidRPr="00512F52" w:rsidRDefault="001B7E84" w:rsidP="00772102">
      <w:pPr>
        <w:spacing w:after="0" w:line="360" w:lineRule="auto"/>
        <w:jc w:val="both"/>
        <w:rPr>
          <w:rFonts w:ascii="Arial" w:hAnsi="Arial" w:cs="Arial"/>
          <w:sz w:val="24"/>
          <w:szCs w:val="24"/>
        </w:rPr>
      </w:pPr>
    </w:p>
    <w:p w14:paraId="664399FF" w14:textId="77777777" w:rsidR="005365E7" w:rsidRPr="00512F52" w:rsidRDefault="005365E7" w:rsidP="00772102">
      <w:pPr>
        <w:spacing w:after="0" w:line="360" w:lineRule="auto"/>
        <w:jc w:val="both"/>
        <w:rPr>
          <w:rFonts w:ascii="Arial" w:hAnsi="Arial" w:cs="Arial"/>
          <w:b/>
          <w:sz w:val="24"/>
          <w:szCs w:val="24"/>
        </w:rPr>
      </w:pPr>
    </w:p>
    <w:p w14:paraId="4A77BE34" w14:textId="77777777" w:rsidR="005365E7" w:rsidRPr="00512F52" w:rsidRDefault="005365E7" w:rsidP="00772102">
      <w:pPr>
        <w:spacing w:after="0" w:line="360" w:lineRule="auto"/>
        <w:jc w:val="both"/>
        <w:rPr>
          <w:rFonts w:ascii="Arial" w:hAnsi="Arial" w:cs="Arial"/>
          <w:b/>
          <w:sz w:val="24"/>
          <w:szCs w:val="24"/>
        </w:rPr>
      </w:pPr>
    </w:p>
    <w:p w14:paraId="1B6EC185" w14:textId="77777777" w:rsidR="005A745C" w:rsidRPr="00512F52" w:rsidRDefault="005A745C">
      <w:pPr>
        <w:rPr>
          <w:rFonts w:ascii="Arial" w:hAnsi="Arial" w:cs="Arial"/>
          <w:sz w:val="24"/>
          <w:szCs w:val="24"/>
        </w:rPr>
      </w:pPr>
      <w:r w:rsidRPr="00512F52">
        <w:rPr>
          <w:rFonts w:ascii="Arial" w:hAnsi="Arial" w:cs="Arial"/>
          <w:sz w:val="24"/>
          <w:szCs w:val="24"/>
        </w:rPr>
        <w:br w:type="page"/>
      </w:r>
    </w:p>
    <w:p w14:paraId="4A52E1C5" w14:textId="3FE3A647" w:rsidR="001B7E84" w:rsidRPr="00512F52" w:rsidRDefault="001B7E84" w:rsidP="00C345F3">
      <w:pPr>
        <w:spacing w:after="0" w:line="360" w:lineRule="auto"/>
        <w:rPr>
          <w:rFonts w:ascii="Arial" w:hAnsi="Arial" w:cs="Arial"/>
          <w:sz w:val="24"/>
          <w:szCs w:val="24"/>
        </w:rPr>
      </w:pPr>
      <w:r w:rsidRPr="00512F52">
        <w:rPr>
          <w:rFonts w:ascii="Arial" w:hAnsi="Arial" w:cs="Arial"/>
          <w:sz w:val="24"/>
          <w:szCs w:val="24"/>
        </w:rPr>
        <w:lastRenderedPageBreak/>
        <w:t>APPEARANCES</w:t>
      </w:r>
    </w:p>
    <w:p w14:paraId="4C27E39B" w14:textId="77777777" w:rsidR="001B7E84" w:rsidRPr="00512F52" w:rsidRDefault="001B7E84" w:rsidP="00C345F3">
      <w:pPr>
        <w:spacing w:after="0" w:line="360" w:lineRule="auto"/>
        <w:rPr>
          <w:rFonts w:ascii="Arial" w:hAnsi="Arial" w:cs="Arial"/>
          <w:sz w:val="24"/>
          <w:szCs w:val="24"/>
        </w:rPr>
      </w:pPr>
    </w:p>
    <w:p w14:paraId="280FAAD9" w14:textId="70AA6170" w:rsidR="00CD514C" w:rsidRPr="00512F52" w:rsidRDefault="001B7E84" w:rsidP="00C345F3">
      <w:pPr>
        <w:spacing w:after="0" w:line="360" w:lineRule="auto"/>
        <w:rPr>
          <w:rFonts w:ascii="Arial" w:hAnsi="Arial" w:cs="Arial"/>
          <w:sz w:val="24"/>
          <w:szCs w:val="24"/>
        </w:rPr>
      </w:pPr>
      <w:r w:rsidRPr="00512F52">
        <w:rPr>
          <w:rFonts w:ascii="Arial" w:hAnsi="Arial" w:cs="Arial"/>
          <w:sz w:val="24"/>
          <w:szCs w:val="24"/>
        </w:rPr>
        <w:t>For the first and second applicant</w:t>
      </w:r>
      <w:r w:rsidR="000F4016" w:rsidRPr="00512F52">
        <w:rPr>
          <w:rFonts w:ascii="Arial" w:hAnsi="Arial" w:cs="Arial"/>
          <w:sz w:val="24"/>
          <w:szCs w:val="24"/>
        </w:rPr>
        <w:t>s</w:t>
      </w:r>
      <w:r w:rsidRPr="00512F52">
        <w:rPr>
          <w:rFonts w:ascii="Arial" w:hAnsi="Arial" w:cs="Arial"/>
          <w:sz w:val="24"/>
          <w:szCs w:val="24"/>
        </w:rPr>
        <w:t>:</w:t>
      </w:r>
      <w:r w:rsidRPr="00512F52">
        <w:rPr>
          <w:rFonts w:ascii="Arial" w:hAnsi="Arial" w:cs="Arial"/>
          <w:sz w:val="24"/>
          <w:szCs w:val="24"/>
        </w:rPr>
        <w:tab/>
      </w:r>
      <w:r w:rsidR="00307CE5" w:rsidRPr="00512F52">
        <w:rPr>
          <w:rFonts w:ascii="Arial" w:hAnsi="Arial" w:cs="Arial"/>
          <w:sz w:val="24"/>
          <w:szCs w:val="24"/>
        </w:rPr>
        <w:tab/>
      </w:r>
      <w:r w:rsidRPr="00512F52">
        <w:rPr>
          <w:rFonts w:ascii="Arial" w:hAnsi="Arial" w:cs="Arial"/>
          <w:sz w:val="24"/>
          <w:szCs w:val="24"/>
        </w:rPr>
        <w:t>Michael Bishop</w:t>
      </w:r>
      <w:r w:rsidR="00307CE5" w:rsidRPr="00512F52">
        <w:rPr>
          <w:rFonts w:ascii="Arial" w:hAnsi="Arial" w:cs="Arial"/>
          <w:sz w:val="24"/>
          <w:szCs w:val="24"/>
        </w:rPr>
        <w:t xml:space="preserve"> and Michael Tsele</w:t>
      </w:r>
    </w:p>
    <w:p w14:paraId="2EE6BF31" w14:textId="791CE9F3" w:rsidR="001B7E84" w:rsidRPr="00512F52" w:rsidRDefault="001B7E84" w:rsidP="00C345F3">
      <w:pPr>
        <w:spacing w:after="0" w:line="360" w:lineRule="auto"/>
        <w:rPr>
          <w:rFonts w:ascii="Arial" w:hAnsi="Arial" w:cs="Arial"/>
          <w:sz w:val="24"/>
          <w:szCs w:val="24"/>
        </w:rPr>
      </w:pPr>
      <w:r w:rsidRPr="00512F52">
        <w:rPr>
          <w:rFonts w:ascii="Arial" w:hAnsi="Arial" w:cs="Arial"/>
          <w:sz w:val="24"/>
          <w:szCs w:val="24"/>
        </w:rPr>
        <w:t>Instructed by:</w:t>
      </w:r>
      <w:r w:rsidR="00CD514C" w:rsidRPr="00512F52">
        <w:rPr>
          <w:rFonts w:ascii="Arial" w:hAnsi="Arial" w:cs="Arial"/>
          <w:sz w:val="24"/>
          <w:szCs w:val="24"/>
        </w:rPr>
        <w:tab/>
      </w:r>
      <w:r w:rsidR="00CD514C" w:rsidRPr="00512F52">
        <w:rPr>
          <w:rFonts w:ascii="Arial" w:hAnsi="Arial" w:cs="Arial"/>
          <w:sz w:val="24"/>
          <w:szCs w:val="24"/>
        </w:rPr>
        <w:tab/>
      </w:r>
      <w:r w:rsidR="00CD514C" w:rsidRPr="00512F52">
        <w:rPr>
          <w:rFonts w:ascii="Arial" w:hAnsi="Arial" w:cs="Arial"/>
          <w:sz w:val="24"/>
          <w:szCs w:val="24"/>
        </w:rPr>
        <w:tab/>
      </w:r>
      <w:r w:rsidR="00CD514C" w:rsidRPr="00512F52">
        <w:rPr>
          <w:rFonts w:ascii="Arial" w:hAnsi="Arial" w:cs="Arial"/>
          <w:sz w:val="24"/>
          <w:szCs w:val="24"/>
        </w:rPr>
        <w:tab/>
      </w:r>
      <w:r w:rsidR="00307CE5" w:rsidRPr="00512F52">
        <w:rPr>
          <w:rFonts w:ascii="Arial" w:hAnsi="Arial" w:cs="Arial"/>
          <w:sz w:val="24"/>
          <w:szCs w:val="24"/>
        </w:rPr>
        <w:tab/>
      </w:r>
      <w:r w:rsidR="00CD514C" w:rsidRPr="00512F52">
        <w:rPr>
          <w:rFonts w:ascii="Arial" w:hAnsi="Arial" w:cs="Arial"/>
          <w:sz w:val="24"/>
          <w:szCs w:val="24"/>
        </w:rPr>
        <w:t>DMO Attorneys, Bryanston</w:t>
      </w:r>
    </w:p>
    <w:p w14:paraId="7230228E" w14:textId="58ECE877" w:rsidR="001B7E84" w:rsidRPr="00512F52" w:rsidRDefault="00F261FD" w:rsidP="00C345F3">
      <w:pPr>
        <w:spacing w:after="0" w:line="360" w:lineRule="auto"/>
        <w:rPr>
          <w:rFonts w:ascii="Arial" w:hAnsi="Arial" w:cs="Arial"/>
          <w:sz w:val="24"/>
          <w:szCs w:val="24"/>
        </w:rPr>
      </w:pPr>
      <w:r w:rsidRPr="00512F52">
        <w:rPr>
          <w:rFonts w:ascii="Arial" w:hAnsi="Arial" w:cs="Arial"/>
          <w:sz w:val="24"/>
          <w:szCs w:val="24"/>
        </w:rPr>
        <w:tab/>
      </w:r>
      <w:r w:rsidRPr="00512F52">
        <w:rPr>
          <w:rFonts w:ascii="Arial" w:hAnsi="Arial" w:cs="Arial"/>
          <w:sz w:val="24"/>
          <w:szCs w:val="24"/>
        </w:rPr>
        <w:tab/>
      </w:r>
      <w:r w:rsidRPr="00512F52">
        <w:rPr>
          <w:rFonts w:ascii="Arial" w:hAnsi="Arial" w:cs="Arial"/>
          <w:sz w:val="24"/>
          <w:szCs w:val="24"/>
        </w:rPr>
        <w:tab/>
      </w:r>
      <w:r w:rsidRPr="00512F52">
        <w:rPr>
          <w:rFonts w:ascii="Arial" w:hAnsi="Arial" w:cs="Arial"/>
          <w:sz w:val="24"/>
          <w:szCs w:val="24"/>
        </w:rPr>
        <w:tab/>
      </w:r>
      <w:r w:rsidRPr="00512F52">
        <w:rPr>
          <w:rFonts w:ascii="Arial" w:hAnsi="Arial" w:cs="Arial"/>
          <w:sz w:val="24"/>
          <w:szCs w:val="24"/>
        </w:rPr>
        <w:tab/>
      </w:r>
      <w:r w:rsidRPr="00512F52">
        <w:rPr>
          <w:rFonts w:ascii="Arial" w:hAnsi="Arial" w:cs="Arial"/>
          <w:sz w:val="24"/>
          <w:szCs w:val="24"/>
        </w:rPr>
        <w:tab/>
      </w:r>
    </w:p>
    <w:p w14:paraId="229F5DA3" w14:textId="77777777" w:rsidR="00F261FD" w:rsidRPr="00512F52" w:rsidRDefault="001B7E84" w:rsidP="00C345F3">
      <w:pPr>
        <w:spacing w:after="0" w:line="360" w:lineRule="auto"/>
        <w:rPr>
          <w:rFonts w:ascii="Arial" w:hAnsi="Arial" w:cs="Arial"/>
          <w:sz w:val="24"/>
          <w:szCs w:val="24"/>
        </w:rPr>
      </w:pPr>
      <w:r w:rsidRPr="00512F52">
        <w:rPr>
          <w:rFonts w:ascii="Arial" w:hAnsi="Arial" w:cs="Arial"/>
          <w:sz w:val="24"/>
          <w:szCs w:val="24"/>
        </w:rPr>
        <w:t xml:space="preserve">For the first, second, eighth, ninth </w:t>
      </w:r>
    </w:p>
    <w:p w14:paraId="1D3C27DF" w14:textId="77777777" w:rsidR="00C345F3" w:rsidRPr="00512F52" w:rsidRDefault="001B7E84" w:rsidP="00C345F3">
      <w:pPr>
        <w:spacing w:after="0" w:line="360" w:lineRule="auto"/>
        <w:rPr>
          <w:rFonts w:ascii="Arial" w:hAnsi="Arial" w:cs="Arial"/>
          <w:sz w:val="24"/>
          <w:szCs w:val="24"/>
        </w:rPr>
      </w:pPr>
      <w:r w:rsidRPr="00512F52">
        <w:rPr>
          <w:rFonts w:ascii="Arial" w:hAnsi="Arial" w:cs="Arial"/>
          <w:sz w:val="24"/>
          <w:szCs w:val="24"/>
        </w:rPr>
        <w:t>and tenth respondents:</w:t>
      </w:r>
      <w:r w:rsidRPr="00512F52">
        <w:rPr>
          <w:rFonts w:ascii="Arial" w:hAnsi="Arial" w:cs="Arial"/>
          <w:sz w:val="24"/>
          <w:szCs w:val="24"/>
        </w:rPr>
        <w:tab/>
      </w:r>
      <w:r w:rsidR="00F261FD" w:rsidRPr="00512F52">
        <w:rPr>
          <w:rFonts w:ascii="Arial" w:hAnsi="Arial" w:cs="Arial"/>
          <w:sz w:val="24"/>
          <w:szCs w:val="24"/>
        </w:rPr>
        <w:tab/>
      </w:r>
      <w:r w:rsidR="00F261FD" w:rsidRPr="00512F52">
        <w:rPr>
          <w:rFonts w:ascii="Arial" w:hAnsi="Arial" w:cs="Arial"/>
          <w:sz w:val="24"/>
          <w:szCs w:val="24"/>
        </w:rPr>
        <w:tab/>
      </w:r>
      <w:r w:rsidR="00307CE5" w:rsidRPr="00512F52">
        <w:rPr>
          <w:rFonts w:ascii="Arial" w:hAnsi="Arial" w:cs="Arial"/>
          <w:sz w:val="24"/>
          <w:szCs w:val="24"/>
        </w:rPr>
        <w:tab/>
      </w:r>
      <w:r w:rsidRPr="00512F52">
        <w:rPr>
          <w:rFonts w:ascii="Arial" w:hAnsi="Arial" w:cs="Arial"/>
          <w:sz w:val="24"/>
          <w:szCs w:val="24"/>
        </w:rPr>
        <w:t>T G Madonsela SC</w:t>
      </w:r>
      <w:r w:rsidR="00C345F3" w:rsidRPr="00512F52">
        <w:rPr>
          <w:rFonts w:ascii="Arial" w:hAnsi="Arial" w:cs="Arial"/>
          <w:sz w:val="24"/>
          <w:szCs w:val="24"/>
        </w:rPr>
        <w:t xml:space="preserve">, </w:t>
      </w:r>
      <w:r w:rsidR="001B5C61" w:rsidRPr="00512F52">
        <w:rPr>
          <w:rFonts w:ascii="Arial" w:hAnsi="Arial" w:cs="Arial"/>
          <w:sz w:val="24"/>
          <w:szCs w:val="24"/>
        </w:rPr>
        <w:t>T Palmer</w:t>
      </w:r>
      <w:r w:rsidR="00C345F3" w:rsidRPr="00512F52">
        <w:rPr>
          <w:rFonts w:ascii="Arial" w:hAnsi="Arial" w:cs="Arial"/>
          <w:sz w:val="24"/>
          <w:szCs w:val="24"/>
        </w:rPr>
        <w:t xml:space="preserve"> and </w:t>
      </w:r>
    </w:p>
    <w:p w14:paraId="3501CA5B" w14:textId="4C4C112F" w:rsidR="00122E42" w:rsidRPr="00512F52" w:rsidRDefault="00C345F3" w:rsidP="00C345F3">
      <w:pPr>
        <w:spacing w:after="0" w:line="360" w:lineRule="auto"/>
        <w:ind w:left="4320" w:firstLine="720"/>
        <w:rPr>
          <w:rFonts w:ascii="Arial" w:hAnsi="Arial" w:cs="Arial"/>
          <w:sz w:val="24"/>
          <w:szCs w:val="24"/>
        </w:rPr>
      </w:pPr>
      <w:r w:rsidRPr="00512F52">
        <w:rPr>
          <w:rFonts w:ascii="Arial" w:hAnsi="Arial" w:cs="Arial"/>
          <w:sz w:val="24"/>
          <w:szCs w:val="24"/>
        </w:rPr>
        <w:t xml:space="preserve">S N </w:t>
      </w:r>
      <w:r w:rsidR="001B5C61" w:rsidRPr="00512F52">
        <w:rPr>
          <w:rFonts w:ascii="Arial" w:hAnsi="Arial" w:cs="Arial"/>
          <w:sz w:val="24"/>
          <w:szCs w:val="24"/>
        </w:rPr>
        <w:t>Mfayela</w:t>
      </w:r>
    </w:p>
    <w:p w14:paraId="056475E6" w14:textId="08411F5B" w:rsidR="00122E42" w:rsidRPr="00512F52" w:rsidRDefault="00C345F3" w:rsidP="00C345F3">
      <w:pPr>
        <w:spacing w:after="0" w:line="360" w:lineRule="auto"/>
        <w:ind w:left="5040" w:hanging="5040"/>
        <w:rPr>
          <w:rFonts w:ascii="Arial" w:hAnsi="Arial" w:cs="Arial"/>
          <w:sz w:val="24"/>
          <w:szCs w:val="24"/>
        </w:rPr>
      </w:pPr>
      <w:r w:rsidRPr="00512F52">
        <w:rPr>
          <w:rFonts w:ascii="Arial" w:hAnsi="Arial" w:cs="Arial"/>
          <w:sz w:val="24"/>
          <w:szCs w:val="24"/>
        </w:rPr>
        <w:t xml:space="preserve">Instructed by: </w:t>
      </w:r>
      <w:r w:rsidRPr="00512F52">
        <w:rPr>
          <w:rFonts w:ascii="Arial" w:hAnsi="Arial" w:cs="Arial"/>
          <w:sz w:val="24"/>
          <w:szCs w:val="24"/>
        </w:rPr>
        <w:tab/>
      </w:r>
      <w:r w:rsidR="00512F52">
        <w:rPr>
          <w:rFonts w:ascii="Arial" w:hAnsi="Arial" w:cs="Arial"/>
          <w:sz w:val="24"/>
          <w:szCs w:val="24"/>
        </w:rPr>
        <w:t>P</w:t>
      </w:r>
      <w:r w:rsidR="00483B50">
        <w:rPr>
          <w:rFonts w:ascii="Arial" w:hAnsi="Arial" w:cs="Arial"/>
          <w:sz w:val="24"/>
          <w:szCs w:val="24"/>
        </w:rPr>
        <w:t>oswa</w:t>
      </w:r>
      <w:r w:rsidRPr="00512F52">
        <w:rPr>
          <w:rFonts w:ascii="Arial" w:hAnsi="Arial" w:cs="Arial"/>
          <w:sz w:val="24"/>
          <w:szCs w:val="24"/>
        </w:rPr>
        <w:t xml:space="preserve"> Attorneys</w:t>
      </w:r>
      <w:r w:rsidR="00483B50">
        <w:rPr>
          <w:rFonts w:ascii="Arial" w:hAnsi="Arial" w:cs="Arial"/>
          <w:sz w:val="24"/>
          <w:szCs w:val="24"/>
        </w:rPr>
        <w:t xml:space="preserve"> Incorporated</w:t>
      </w:r>
      <w:r w:rsidRPr="00512F52">
        <w:rPr>
          <w:rFonts w:ascii="Arial" w:hAnsi="Arial" w:cs="Arial"/>
          <w:sz w:val="24"/>
          <w:szCs w:val="24"/>
        </w:rPr>
        <w:t>,</w:t>
      </w:r>
      <w:r w:rsidR="00483B50">
        <w:rPr>
          <w:rFonts w:ascii="Arial" w:hAnsi="Arial" w:cs="Arial"/>
          <w:sz w:val="24"/>
          <w:szCs w:val="24"/>
        </w:rPr>
        <w:t xml:space="preserve"> Umhlanga, KwaZulu Natal</w:t>
      </w:r>
    </w:p>
    <w:p w14:paraId="10141F60" w14:textId="77777777" w:rsidR="00C345F3" w:rsidRPr="00512F52" w:rsidRDefault="00C345F3" w:rsidP="00C345F3">
      <w:pPr>
        <w:spacing w:after="0" w:line="360" w:lineRule="auto"/>
        <w:ind w:left="5040" w:hanging="5040"/>
        <w:rPr>
          <w:rFonts w:ascii="Arial" w:hAnsi="Arial" w:cs="Arial"/>
          <w:sz w:val="24"/>
          <w:szCs w:val="24"/>
        </w:rPr>
      </w:pPr>
    </w:p>
    <w:p w14:paraId="49D80C46" w14:textId="70C8FFA4" w:rsidR="00B51025" w:rsidRPr="007A4EC5" w:rsidRDefault="00B51025" w:rsidP="00B51025">
      <w:pPr>
        <w:spacing w:after="0" w:line="360" w:lineRule="auto"/>
        <w:ind w:left="5040" w:hanging="5040"/>
        <w:jc w:val="both"/>
        <w:rPr>
          <w:rFonts w:ascii="Arial" w:hAnsi="Arial" w:cs="Arial"/>
          <w:sz w:val="24"/>
          <w:szCs w:val="24"/>
        </w:rPr>
      </w:pPr>
      <w:r w:rsidRPr="00512F52">
        <w:rPr>
          <w:rFonts w:ascii="Arial" w:hAnsi="Arial" w:cs="Arial"/>
          <w:sz w:val="24"/>
          <w:szCs w:val="24"/>
        </w:rPr>
        <w:t>For the third and fourth respondents</w:t>
      </w:r>
      <w:r w:rsidRPr="007A4EC5">
        <w:rPr>
          <w:rFonts w:ascii="Arial" w:hAnsi="Arial" w:cs="Arial"/>
          <w:sz w:val="24"/>
          <w:szCs w:val="24"/>
        </w:rPr>
        <w:t>:</w:t>
      </w:r>
      <w:r w:rsidRPr="007A4EC5">
        <w:rPr>
          <w:rFonts w:ascii="Arial" w:hAnsi="Arial" w:cs="Arial"/>
          <w:sz w:val="24"/>
          <w:szCs w:val="24"/>
        </w:rPr>
        <w:tab/>
        <w:t>L Broster</w:t>
      </w:r>
    </w:p>
    <w:p w14:paraId="005BB2F9" w14:textId="4DA83F5D" w:rsidR="00B51025" w:rsidRPr="007A4EC5" w:rsidRDefault="00B51025" w:rsidP="00B51025">
      <w:pPr>
        <w:spacing w:after="0" w:line="360" w:lineRule="auto"/>
        <w:ind w:left="5040" w:hanging="5040"/>
        <w:jc w:val="both"/>
        <w:rPr>
          <w:rFonts w:ascii="Arial" w:hAnsi="Arial" w:cs="Arial"/>
          <w:sz w:val="24"/>
          <w:szCs w:val="24"/>
        </w:rPr>
      </w:pPr>
      <w:r w:rsidRPr="007A4EC5">
        <w:rPr>
          <w:rFonts w:ascii="Arial" w:hAnsi="Arial" w:cs="Arial"/>
          <w:sz w:val="24"/>
          <w:szCs w:val="24"/>
        </w:rPr>
        <w:t>Instructed by:</w:t>
      </w:r>
      <w:r w:rsidRPr="007A4EC5">
        <w:rPr>
          <w:rFonts w:ascii="Arial" w:hAnsi="Arial" w:cs="Arial"/>
          <w:sz w:val="24"/>
          <w:szCs w:val="24"/>
        </w:rPr>
        <w:tab/>
        <w:t>AP Ngubo Attorneys, Pietermaritzburg</w:t>
      </w:r>
      <w:r w:rsidR="00577418" w:rsidRPr="007A4EC5">
        <w:rPr>
          <w:rFonts w:ascii="Arial" w:hAnsi="Arial" w:cs="Arial"/>
          <w:sz w:val="24"/>
          <w:szCs w:val="24"/>
        </w:rPr>
        <w:t xml:space="preserve"> </w:t>
      </w:r>
    </w:p>
    <w:p w14:paraId="58EDB041" w14:textId="77777777" w:rsidR="00B51025" w:rsidRPr="007A4EC5" w:rsidRDefault="00B51025" w:rsidP="00B51025">
      <w:pPr>
        <w:spacing w:after="0" w:line="360" w:lineRule="auto"/>
        <w:jc w:val="both"/>
        <w:rPr>
          <w:rFonts w:ascii="Arial" w:hAnsi="Arial" w:cs="Arial"/>
          <w:sz w:val="24"/>
          <w:szCs w:val="24"/>
        </w:rPr>
      </w:pPr>
    </w:p>
    <w:p w14:paraId="318F977D" w14:textId="77777777" w:rsidR="00B51025" w:rsidRPr="007A4EC5" w:rsidRDefault="00B51025" w:rsidP="00B51025">
      <w:pPr>
        <w:spacing w:after="0" w:line="360" w:lineRule="auto"/>
        <w:jc w:val="both"/>
        <w:rPr>
          <w:rFonts w:ascii="Arial" w:hAnsi="Arial" w:cs="Arial"/>
          <w:sz w:val="24"/>
          <w:szCs w:val="24"/>
        </w:rPr>
      </w:pPr>
      <w:r w:rsidRPr="007A4EC5">
        <w:rPr>
          <w:rFonts w:ascii="Arial" w:hAnsi="Arial" w:cs="Arial"/>
          <w:sz w:val="24"/>
          <w:szCs w:val="24"/>
        </w:rPr>
        <w:t>For the fifth respondent:</w:t>
      </w:r>
      <w:r w:rsidRPr="007A4EC5">
        <w:rPr>
          <w:rFonts w:ascii="Arial" w:hAnsi="Arial" w:cs="Arial"/>
          <w:sz w:val="24"/>
          <w:szCs w:val="24"/>
        </w:rPr>
        <w:tab/>
      </w:r>
      <w:r w:rsidRPr="007A4EC5">
        <w:rPr>
          <w:rFonts w:ascii="Arial" w:hAnsi="Arial" w:cs="Arial"/>
          <w:sz w:val="24"/>
          <w:szCs w:val="24"/>
        </w:rPr>
        <w:tab/>
      </w:r>
      <w:r w:rsidRPr="007A4EC5">
        <w:rPr>
          <w:rFonts w:ascii="Arial" w:hAnsi="Arial" w:cs="Arial"/>
          <w:sz w:val="24"/>
          <w:szCs w:val="24"/>
        </w:rPr>
        <w:tab/>
      </w:r>
      <w:r w:rsidRPr="007A4EC5">
        <w:rPr>
          <w:rFonts w:ascii="Arial" w:hAnsi="Arial" w:cs="Arial"/>
          <w:sz w:val="24"/>
          <w:szCs w:val="24"/>
        </w:rPr>
        <w:tab/>
        <w:t>S F Pudifin-Jones</w:t>
      </w:r>
      <w:r w:rsidRPr="007A4EC5">
        <w:rPr>
          <w:rFonts w:ascii="Arial" w:hAnsi="Arial" w:cs="Arial"/>
          <w:sz w:val="24"/>
          <w:szCs w:val="24"/>
        </w:rPr>
        <w:tab/>
      </w:r>
    </w:p>
    <w:p w14:paraId="6CB37185" w14:textId="77777777" w:rsidR="00B51025" w:rsidRDefault="00B51025" w:rsidP="00B51025">
      <w:pPr>
        <w:spacing w:after="0" w:line="360" w:lineRule="auto"/>
        <w:jc w:val="both"/>
        <w:rPr>
          <w:rFonts w:ascii="Arial" w:hAnsi="Arial" w:cs="Arial"/>
          <w:sz w:val="24"/>
          <w:szCs w:val="24"/>
        </w:rPr>
      </w:pPr>
      <w:r w:rsidRPr="007A4EC5">
        <w:rPr>
          <w:rFonts w:ascii="Arial" w:hAnsi="Arial" w:cs="Arial"/>
          <w:sz w:val="24"/>
          <w:szCs w:val="24"/>
        </w:rPr>
        <w:t>Instructed by:</w:t>
      </w:r>
      <w:r w:rsidRPr="007A4EC5">
        <w:rPr>
          <w:rFonts w:ascii="Arial" w:hAnsi="Arial" w:cs="Arial"/>
          <w:sz w:val="24"/>
          <w:szCs w:val="24"/>
        </w:rPr>
        <w:tab/>
      </w:r>
      <w:r w:rsidRPr="007A4EC5">
        <w:rPr>
          <w:rFonts w:ascii="Arial" w:hAnsi="Arial" w:cs="Arial"/>
          <w:sz w:val="24"/>
          <w:szCs w:val="24"/>
        </w:rPr>
        <w:tab/>
      </w:r>
      <w:r w:rsidRPr="007A4EC5">
        <w:rPr>
          <w:rFonts w:ascii="Arial" w:hAnsi="Arial" w:cs="Arial"/>
          <w:sz w:val="24"/>
          <w:szCs w:val="24"/>
        </w:rPr>
        <w:tab/>
      </w:r>
      <w:r w:rsidRPr="007A4EC5">
        <w:rPr>
          <w:rFonts w:ascii="Arial" w:hAnsi="Arial" w:cs="Arial"/>
          <w:sz w:val="24"/>
          <w:szCs w:val="24"/>
        </w:rPr>
        <w:tab/>
      </w:r>
      <w:r w:rsidRPr="007A4EC5">
        <w:rPr>
          <w:rFonts w:ascii="Arial" w:hAnsi="Arial" w:cs="Arial"/>
          <w:sz w:val="24"/>
          <w:szCs w:val="24"/>
        </w:rPr>
        <w:tab/>
        <w:t>Lourens de Klerk Attorneys, Durban</w:t>
      </w:r>
      <w:r w:rsidRPr="00772102">
        <w:rPr>
          <w:rFonts w:ascii="Arial" w:hAnsi="Arial" w:cs="Arial"/>
          <w:sz w:val="24"/>
          <w:szCs w:val="24"/>
        </w:rPr>
        <w:tab/>
      </w:r>
      <w:r w:rsidRPr="00772102">
        <w:rPr>
          <w:rFonts w:ascii="Arial" w:hAnsi="Arial" w:cs="Arial"/>
          <w:sz w:val="24"/>
          <w:szCs w:val="24"/>
        </w:rPr>
        <w:tab/>
      </w:r>
      <w:r w:rsidRPr="00772102">
        <w:rPr>
          <w:rFonts w:ascii="Arial" w:hAnsi="Arial" w:cs="Arial"/>
          <w:sz w:val="24"/>
          <w:szCs w:val="24"/>
        </w:rPr>
        <w:tab/>
      </w:r>
      <w:r w:rsidRPr="00772102">
        <w:rPr>
          <w:rFonts w:ascii="Arial" w:hAnsi="Arial" w:cs="Arial"/>
          <w:sz w:val="24"/>
          <w:szCs w:val="24"/>
        </w:rPr>
        <w:tab/>
      </w:r>
      <w:r>
        <w:rPr>
          <w:rFonts w:ascii="Arial" w:hAnsi="Arial" w:cs="Arial"/>
          <w:sz w:val="24"/>
          <w:szCs w:val="24"/>
        </w:rPr>
        <w:tab/>
      </w:r>
    </w:p>
    <w:p w14:paraId="6FC3E93F" w14:textId="77777777" w:rsidR="00B51025" w:rsidRDefault="00B51025" w:rsidP="00C345F3">
      <w:pPr>
        <w:spacing w:after="0" w:line="360" w:lineRule="auto"/>
        <w:ind w:left="5040" w:hanging="5040"/>
        <w:rPr>
          <w:rFonts w:ascii="Arial" w:hAnsi="Arial" w:cs="Arial"/>
          <w:sz w:val="24"/>
          <w:szCs w:val="24"/>
        </w:rPr>
      </w:pPr>
    </w:p>
    <w:sectPr w:rsidR="00B510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09F5" w14:textId="77777777" w:rsidR="00E53413" w:rsidRDefault="00E53413" w:rsidP="00A4020C">
      <w:pPr>
        <w:spacing w:after="0" w:line="240" w:lineRule="auto"/>
      </w:pPr>
      <w:r>
        <w:separator/>
      </w:r>
    </w:p>
  </w:endnote>
  <w:endnote w:type="continuationSeparator" w:id="0">
    <w:p w14:paraId="7BB051DB" w14:textId="77777777" w:rsidR="00E53413" w:rsidRDefault="00E53413" w:rsidP="00A4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2536" w14:textId="77777777" w:rsidR="00E53413" w:rsidRDefault="00E53413" w:rsidP="00A4020C">
      <w:pPr>
        <w:spacing w:after="0" w:line="240" w:lineRule="auto"/>
      </w:pPr>
      <w:r>
        <w:separator/>
      </w:r>
    </w:p>
  </w:footnote>
  <w:footnote w:type="continuationSeparator" w:id="0">
    <w:p w14:paraId="754C71CB" w14:textId="77777777" w:rsidR="00E53413" w:rsidRDefault="00E53413" w:rsidP="00A4020C">
      <w:pPr>
        <w:spacing w:after="0" w:line="240" w:lineRule="auto"/>
      </w:pPr>
      <w:r>
        <w:continuationSeparator/>
      </w:r>
    </w:p>
  </w:footnote>
  <w:footnote w:id="1">
    <w:p w14:paraId="62050EA6" w14:textId="3CF73373" w:rsidR="00CC1522" w:rsidRPr="002E200D" w:rsidRDefault="00CC1522" w:rsidP="00005E99">
      <w:pPr>
        <w:pStyle w:val="FootnoteText"/>
        <w:jc w:val="both"/>
        <w:rPr>
          <w:rFonts w:ascii="Arial" w:hAnsi="Arial" w:cs="Arial"/>
          <w:iCs/>
          <w:lang w:val="en-ZA"/>
        </w:rPr>
      </w:pPr>
      <w:r w:rsidRPr="00323B1B">
        <w:rPr>
          <w:rStyle w:val="FootnoteReference"/>
          <w:rFonts w:ascii="Arial" w:hAnsi="Arial" w:cs="Arial"/>
        </w:rPr>
        <w:footnoteRef/>
      </w:r>
      <w:r w:rsidRPr="00323B1B">
        <w:rPr>
          <w:rFonts w:ascii="Arial" w:hAnsi="Arial" w:cs="Arial"/>
        </w:rPr>
        <w:t xml:space="preserve"> </w:t>
      </w:r>
      <w:r w:rsidRPr="00323B1B">
        <w:rPr>
          <w:rFonts w:ascii="Arial" w:hAnsi="Arial" w:cs="Arial"/>
          <w:i/>
          <w:iCs/>
          <w:lang w:val="en-ZA"/>
        </w:rPr>
        <w:t xml:space="preserve">South African National Roads Agency Limited v City of Cape Town </w:t>
      </w:r>
      <w:r w:rsidRPr="00323B1B">
        <w:rPr>
          <w:rFonts w:ascii="Arial" w:hAnsi="Arial" w:cs="Arial"/>
          <w:iCs/>
          <w:lang w:val="en-ZA"/>
        </w:rPr>
        <w:t>[2016] ZASCA 122;</w:t>
      </w:r>
      <w:r w:rsidRPr="00450611">
        <w:rPr>
          <w:rFonts w:ascii="Arial" w:eastAsia="Times New Roman" w:hAnsi="Arial" w:cs="Arial"/>
          <w:color w:val="64473A"/>
          <w:sz w:val="36"/>
          <w:szCs w:val="36"/>
          <w:lang w:val="en-ZA" w:eastAsia="en-ZA"/>
        </w:rPr>
        <w:t xml:space="preserve"> </w:t>
      </w:r>
      <w:r w:rsidRPr="00450611">
        <w:rPr>
          <w:rFonts w:ascii="Arial" w:hAnsi="Arial" w:cs="Arial"/>
          <w:iCs/>
          <w:lang w:val="en-ZA"/>
        </w:rPr>
        <w:t>[2016] 4 All SA 332 (SCA);</w:t>
      </w:r>
      <w:r w:rsidRPr="00323B1B">
        <w:rPr>
          <w:rFonts w:ascii="Arial" w:hAnsi="Arial" w:cs="Arial"/>
          <w:iCs/>
          <w:lang w:val="en-ZA"/>
        </w:rPr>
        <w:t xml:space="preserve"> 2017 (1) SA 468 (SCA)</w:t>
      </w:r>
      <w:r w:rsidRPr="00323B1B">
        <w:rPr>
          <w:rFonts w:ascii="Arial" w:hAnsi="Arial" w:cs="Arial"/>
          <w:i/>
          <w:iCs/>
          <w:lang w:val="en-ZA"/>
        </w:rPr>
        <w:t xml:space="preserve"> </w:t>
      </w:r>
      <w:r w:rsidRPr="00323B1B">
        <w:rPr>
          <w:rFonts w:ascii="Arial" w:hAnsi="Arial" w:cs="Arial"/>
          <w:lang w:val="en-ZA"/>
        </w:rPr>
        <w:t xml:space="preserve">para 81; see also </w:t>
      </w:r>
      <w:r w:rsidRPr="00323B1B">
        <w:rPr>
          <w:rFonts w:ascii="Arial" w:hAnsi="Arial" w:cs="Arial"/>
          <w:i/>
          <w:iCs/>
          <w:lang w:val="en-ZA"/>
        </w:rPr>
        <w:t>Buffalo City Metropolitan Municipality v Asla Construction (Pty) Limited</w:t>
      </w:r>
      <w:r w:rsidRPr="00323B1B">
        <w:rPr>
          <w:rFonts w:ascii="Arial" w:hAnsi="Arial" w:cs="Arial"/>
          <w:lang w:val="en-ZA"/>
        </w:rPr>
        <w:t xml:space="preserve"> [2019] ZACC 15; </w:t>
      </w:r>
      <w:r w:rsidRPr="00450611">
        <w:rPr>
          <w:rFonts w:ascii="Arial" w:hAnsi="Arial" w:cs="Arial"/>
          <w:lang w:val="en-ZA"/>
        </w:rPr>
        <w:t xml:space="preserve">2019 (6) BCLR 661 (CC); </w:t>
      </w:r>
      <w:r w:rsidRPr="00323B1B">
        <w:rPr>
          <w:rFonts w:ascii="Arial" w:hAnsi="Arial" w:cs="Arial"/>
          <w:lang w:val="en-ZA"/>
        </w:rPr>
        <w:t>2019 (</w:t>
      </w:r>
      <w:r>
        <w:rPr>
          <w:rFonts w:ascii="Arial" w:hAnsi="Arial" w:cs="Arial"/>
          <w:lang w:val="en-ZA"/>
        </w:rPr>
        <w:t>4</w:t>
      </w:r>
      <w:r w:rsidRPr="00323B1B">
        <w:rPr>
          <w:rFonts w:ascii="Arial" w:hAnsi="Arial" w:cs="Arial"/>
          <w:lang w:val="en-ZA"/>
        </w:rPr>
        <w:t>) SA 331 (CC) para 56.</w:t>
      </w:r>
    </w:p>
  </w:footnote>
  <w:footnote w:id="2">
    <w:p w14:paraId="770FF36F" w14:textId="34457713" w:rsidR="00CC1522" w:rsidRPr="00A46208" w:rsidRDefault="00CC1522" w:rsidP="00005E99">
      <w:pPr>
        <w:pStyle w:val="FootnoteText"/>
        <w:jc w:val="both"/>
        <w:rPr>
          <w:rFonts w:ascii="Arial" w:hAnsi="Arial" w:cs="Arial"/>
          <w:lang w:val="en-ZA"/>
        </w:rPr>
      </w:pPr>
      <w:r w:rsidRPr="00A46208">
        <w:rPr>
          <w:rStyle w:val="FootnoteReference"/>
          <w:rFonts w:ascii="Arial" w:hAnsi="Arial" w:cs="Arial"/>
        </w:rPr>
        <w:footnoteRef/>
      </w:r>
      <w:bookmarkStart w:id="1" w:name="_Hlk115336097"/>
      <w:bookmarkStart w:id="2" w:name="_Hlk115336260"/>
      <w:r>
        <w:rPr>
          <w:rFonts w:ascii="Arial" w:hAnsi="Arial" w:cs="Arial"/>
          <w:i/>
          <w:iCs/>
          <w:lang w:val="en-ZA"/>
        </w:rPr>
        <w:t xml:space="preserve"> </w:t>
      </w:r>
      <w:r w:rsidRPr="00A46208">
        <w:rPr>
          <w:rFonts w:ascii="Arial" w:hAnsi="Arial" w:cs="Arial"/>
          <w:i/>
          <w:iCs/>
          <w:lang w:val="en-ZA"/>
        </w:rPr>
        <w:t>Buffalo City Metropolitan Municipality v Asla Construction (Pty) Limited</w:t>
      </w:r>
      <w:r w:rsidRPr="00A46208">
        <w:rPr>
          <w:rFonts w:ascii="Arial" w:hAnsi="Arial" w:cs="Arial"/>
        </w:rPr>
        <w:t xml:space="preserve"> </w:t>
      </w:r>
      <w:bookmarkEnd w:id="1"/>
      <w:r w:rsidRPr="00C67E41">
        <w:rPr>
          <w:rFonts w:ascii="Arial" w:hAnsi="Arial" w:cs="Arial"/>
        </w:rPr>
        <w:t xml:space="preserve">[2019] ZACC 15; 2019 (6) BCLR 661 (CC); 2019 (4) SA 331 (CC) </w:t>
      </w:r>
      <w:r w:rsidRPr="00A46208">
        <w:rPr>
          <w:rFonts w:ascii="Arial" w:hAnsi="Arial" w:cs="Arial"/>
        </w:rPr>
        <w:t>para 48</w:t>
      </w:r>
      <w:bookmarkEnd w:id="2"/>
      <w:r w:rsidRPr="00A46208">
        <w:rPr>
          <w:rFonts w:ascii="Arial" w:hAnsi="Arial" w:cs="Arial"/>
        </w:rPr>
        <w:t>.</w:t>
      </w:r>
    </w:p>
  </w:footnote>
  <w:footnote w:id="3">
    <w:p w14:paraId="39FAD034" w14:textId="659AEE9E" w:rsidR="00CC1522" w:rsidRPr="00654676" w:rsidRDefault="00CC1522" w:rsidP="00005E99">
      <w:pPr>
        <w:pStyle w:val="FootnoteText"/>
        <w:jc w:val="both"/>
        <w:rPr>
          <w:lang w:val="en-ZA"/>
        </w:rPr>
      </w:pPr>
      <w:r w:rsidRPr="00902187">
        <w:rPr>
          <w:rStyle w:val="FootnoteReference"/>
          <w:rFonts w:ascii="Arial" w:hAnsi="Arial" w:cs="Arial"/>
          <w:iCs/>
        </w:rPr>
        <w:footnoteRef/>
      </w:r>
      <w:r w:rsidRPr="00902187">
        <w:rPr>
          <w:rFonts w:ascii="Arial" w:hAnsi="Arial" w:cs="Arial"/>
          <w:iCs/>
        </w:rPr>
        <w:t xml:space="preserve"> </w:t>
      </w:r>
      <w:bookmarkStart w:id="3" w:name="_Hlk115335895"/>
      <w:r w:rsidRPr="00A46208">
        <w:rPr>
          <w:rFonts w:ascii="Arial" w:hAnsi="Arial" w:cs="Arial"/>
          <w:i/>
          <w:iCs/>
        </w:rPr>
        <w:t>Gqwetha v Transkei Development Corporations Ltd and</w:t>
      </w:r>
      <w:r>
        <w:rPr>
          <w:rFonts w:ascii="Arial" w:hAnsi="Arial" w:cs="Arial"/>
          <w:i/>
          <w:iCs/>
        </w:rPr>
        <w:t xml:space="preserve"> </w:t>
      </w:r>
      <w:r w:rsidRPr="00A46208">
        <w:rPr>
          <w:rFonts w:ascii="Arial" w:hAnsi="Arial" w:cs="Arial"/>
          <w:i/>
          <w:iCs/>
        </w:rPr>
        <w:t>Others</w:t>
      </w:r>
      <w:bookmarkEnd w:id="3"/>
      <w:r w:rsidRPr="00A46208">
        <w:rPr>
          <w:rFonts w:ascii="Arial" w:hAnsi="Arial" w:cs="Arial"/>
        </w:rPr>
        <w:t xml:space="preserve"> [2005] ZASCA 51; [2006] 3 All SA 245 (SCA) para</w:t>
      </w:r>
      <w:r>
        <w:rPr>
          <w:rFonts w:ascii="Arial" w:hAnsi="Arial" w:cs="Arial"/>
        </w:rPr>
        <w:t>s</w:t>
      </w:r>
      <w:r w:rsidRPr="00A46208">
        <w:rPr>
          <w:rFonts w:ascii="Arial" w:hAnsi="Arial" w:cs="Arial"/>
        </w:rPr>
        <w:t xml:space="preserve"> 22-23.</w:t>
      </w:r>
      <w:r>
        <w:t xml:space="preserve"> </w:t>
      </w:r>
    </w:p>
  </w:footnote>
  <w:footnote w:id="4">
    <w:p w14:paraId="66121D80" w14:textId="2F357034" w:rsidR="00CC1522" w:rsidRPr="00C92E59" w:rsidRDefault="00CC1522" w:rsidP="00005E99">
      <w:pPr>
        <w:pStyle w:val="FootnoteText"/>
        <w:jc w:val="both"/>
        <w:rPr>
          <w:rFonts w:ascii="Arial" w:hAnsi="Arial" w:cs="Arial"/>
          <w:lang w:val="en-ZA"/>
        </w:rPr>
      </w:pPr>
      <w:r w:rsidRPr="00C92E59">
        <w:rPr>
          <w:rStyle w:val="FootnoteReference"/>
          <w:rFonts w:ascii="Arial" w:hAnsi="Arial" w:cs="Arial"/>
        </w:rPr>
        <w:footnoteRef/>
      </w:r>
      <w:r w:rsidRPr="00C92E59">
        <w:rPr>
          <w:rFonts w:ascii="Arial" w:hAnsi="Arial" w:cs="Arial"/>
        </w:rPr>
        <w:t xml:space="preserve"> </w:t>
      </w:r>
      <w:r w:rsidRPr="00C92E59">
        <w:rPr>
          <w:rFonts w:ascii="Arial" w:hAnsi="Arial" w:cs="Arial"/>
          <w:i/>
          <w:iCs/>
        </w:rPr>
        <w:t>Gqwetha</w:t>
      </w:r>
      <w:r>
        <w:rPr>
          <w:rFonts w:ascii="Arial" w:hAnsi="Arial" w:cs="Arial"/>
          <w:iCs/>
        </w:rPr>
        <w:t>,</w:t>
      </w:r>
      <w:r w:rsidRPr="00C92E59">
        <w:rPr>
          <w:rFonts w:ascii="Arial" w:hAnsi="Arial" w:cs="Arial"/>
          <w:i/>
          <w:iCs/>
        </w:rPr>
        <w:t xml:space="preserve"> </w:t>
      </w:r>
      <w:r w:rsidRPr="00C92E59">
        <w:rPr>
          <w:rFonts w:ascii="Arial" w:hAnsi="Arial" w:cs="Arial"/>
        </w:rPr>
        <w:t xml:space="preserve">which was adopted in </w:t>
      </w:r>
      <w:r w:rsidRPr="00C92E59">
        <w:rPr>
          <w:rFonts w:ascii="Arial" w:hAnsi="Arial" w:cs="Arial"/>
          <w:i/>
          <w:iCs/>
        </w:rPr>
        <w:t>Khumalo and Another v Member of the Executive Council for Education: KwaZulu</w:t>
      </w:r>
      <w:r>
        <w:rPr>
          <w:rFonts w:ascii="Arial" w:hAnsi="Arial" w:cs="Arial"/>
          <w:i/>
          <w:iCs/>
        </w:rPr>
        <w:t>-</w:t>
      </w:r>
      <w:r w:rsidRPr="00C92E59">
        <w:rPr>
          <w:rFonts w:ascii="Arial" w:hAnsi="Arial" w:cs="Arial"/>
          <w:i/>
          <w:iCs/>
        </w:rPr>
        <w:t>Natal</w:t>
      </w:r>
      <w:r w:rsidRPr="00C92E59">
        <w:rPr>
          <w:rFonts w:ascii="Arial" w:hAnsi="Arial" w:cs="Arial"/>
        </w:rPr>
        <w:t xml:space="preserve"> [2013] ZACC 49; 2014 (3) BCLR 333 (CC); (2014) 35 ILJ 613 (CC); 2014 (5) SA 579 (CC)</w:t>
      </w:r>
      <w:r>
        <w:rPr>
          <w:rFonts w:ascii="Arial" w:hAnsi="Arial" w:cs="Arial"/>
        </w:rPr>
        <w:t xml:space="preserve"> para 49</w:t>
      </w:r>
      <w:r w:rsidRPr="00C92E59">
        <w:rPr>
          <w:rFonts w:ascii="Arial" w:hAnsi="Arial" w:cs="Arial"/>
        </w:rPr>
        <w:t>.</w:t>
      </w:r>
    </w:p>
  </w:footnote>
  <w:footnote w:id="5">
    <w:p w14:paraId="5EF64BDE" w14:textId="5D7678A1" w:rsidR="00CC1522" w:rsidRPr="00902187" w:rsidRDefault="00CC1522" w:rsidP="00FE6ADD">
      <w:pPr>
        <w:pStyle w:val="FootnoteText"/>
        <w:rPr>
          <w:lang w:val="en-ZA"/>
        </w:rPr>
      </w:pPr>
      <w:r>
        <w:rPr>
          <w:rStyle w:val="FootnoteReference"/>
        </w:rPr>
        <w:footnoteRef/>
      </w:r>
      <w:r>
        <w:t xml:space="preserve"> </w:t>
      </w:r>
      <w:r w:rsidRPr="00C92E59">
        <w:rPr>
          <w:rFonts w:ascii="Arial" w:hAnsi="Arial" w:cs="Arial"/>
          <w:i/>
          <w:iCs/>
          <w:lang w:val="en-ZA"/>
        </w:rPr>
        <w:t>Buffalo City</w:t>
      </w:r>
      <w:r>
        <w:rPr>
          <w:rFonts w:ascii="Arial" w:hAnsi="Arial" w:cs="Arial"/>
          <w:iCs/>
          <w:lang w:val="en-ZA"/>
        </w:rPr>
        <w:t xml:space="preserve"> fn 2 above.</w:t>
      </w:r>
    </w:p>
  </w:footnote>
  <w:footnote w:id="6">
    <w:p w14:paraId="6002A3B2" w14:textId="1B6F66ED" w:rsidR="00CC1522" w:rsidRPr="00C92E59" w:rsidRDefault="00CC1522" w:rsidP="00005E99">
      <w:pPr>
        <w:pStyle w:val="FootnoteText"/>
        <w:jc w:val="both"/>
        <w:rPr>
          <w:lang w:val="en-ZA"/>
        </w:rPr>
      </w:pPr>
      <w:r w:rsidRPr="00C92E59">
        <w:rPr>
          <w:rStyle w:val="FootnoteReference"/>
          <w:rFonts w:ascii="Arial" w:hAnsi="Arial" w:cs="Arial"/>
        </w:rPr>
        <w:footnoteRef/>
      </w:r>
      <w:r w:rsidRPr="00C92E59">
        <w:rPr>
          <w:rFonts w:ascii="Arial" w:hAnsi="Arial" w:cs="Arial"/>
        </w:rPr>
        <w:t xml:space="preserve"> </w:t>
      </w:r>
      <w:bookmarkStart w:id="4" w:name="_Hlk115336830"/>
      <w:r w:rsidRPr="00C92E59">
        <w:rPr>
          <w:rFonts w:ascii="Arial" w:hAnsi="Arial" w:cs="Arial"/>
          <w:i/>
          <w:iCs/>
          <w:lang w:val="en-ZA"/>
        </w:rPr>
        <w:t xml:space="preserve">Buffalo City </w:t>
      </w:r>
      <w:bookmarkEnd w:id="4"/>
      <w:r w:rsidRPr="00C92E59">
        <w:rPr>
          <w:rFonts w:ascii="Arial" w:hAnsi="Arial" w:cs="Arial"/>
        </w:rPr>
        <w:t>para 48.</w:t>
      </w:r>
    </w:p>
  </w:footnote>
  <w:footnote w:id="7">
    <w:p w14:paraId="604EC897" w14:textId="48EF077A" w:rsidR="00CC1522" w:rsidRPr="00C36AC9" w:rsidRDefault="00CC1522" w:rsidP="00005E99">
      <w:pPr>
        <w:pStyle w:val="FootnoteText"/>
        <w:jc w:val="both"/>
        <w:rPr>
          <w:rFonts w:ascii="Arial" w:hAnsi="Arial" w:cs="Arial"/>
          <w:lang w:val="en-ZA"/>
        </w:rPr>
      </w:pPr>
      <w:r w:rsidRPr="00C36AC9">
        <w:rPr>
          <w:rStyle w:val="FootnoteReference"/>
          <w:rFonts w:ascii="Arial" w:hAnsi="Arial" w:cs="Arial"/>
        </w:rPr>
        <w:footnoteRef/>
      </w:r>
      <w:r w:rsidRPr="00C36AC9">
        <w:rPr>
          <w:rFonts w:ascii="Arial" w:hAnsi="Arial" w:cs="Arial"/>
        </w:rPr>
        <w:t xml:space="preserve"> </w:t>
      </w:r>
      <w:r w:rsidRPr="00C36AC9">
        <w:rPr>
          <w:rFonts w:ascii="Arial" w:hAnsi="Arial" w:cs="Arial"/>
          <w:i/>
          <w:iCs/>
          <w:lang w:val="en-ZA"/>
        </w:rPr>
        <w:t xml:space="preserve">Buffalo City </w:t>
      </w:r>
      <w:r w:rsidRPr="00C36AC9">
        <w:rPr>
          <w:rFonts w:ascii="Arial" w:hAnsi="Arial" w:cs="Arial"/>
          <w:lang w:val="en-ZA"/>
        </w:rPr>
        <w:t>para 52.</w:t>
      </w:r>
    </w:p>
  </w:footnote>
  <w:footnote w:id="8">
    <w:p w14:paraId="49723C65" w14:textId="68CC41F9" w:rsidR="00CC1522" w:rsidRPr="00323B1B" w:rsidRDefault="00CC1522" w:rsidP="00005E99">
      <w:pPr>
        <w:pStyle w:val="FootnoteText"/>
        <w:rPr>
          <w:lang w:val="en-GB"/>
        </w:rPr>
      </w:pPr>
      <w:r w:rsidRPr="00323B1B">
        <w:rPr>
          <w:rStyle w:val="FootnoteReference"/>
          <w:rFonts w:ascii="Arial" w:hAnsi="Arial" w:cs="Arial"/>
        </w:rPr>
        <w:footnoteRef/>
      </w:r>
      <w:r w:rsidRPr="00323B1B">
        <w:rPr>
          <w:rFonts w:ascii="Arial" w:hAnsi="Arial" w:cs="Arial"/>
        </w:rPr>
        <w:t xml:space="preserve"> </w:t>
      </w:r>
      <w:r>
        <w:rPr>
          <w:rFonts w:ascii="Arial" w:hAnsi="Arial" w:cs="Arial"/>
          <w:i/>
          <w:iCs/>
          <w:lang w:val="en-ZA"/>
        </w:rPr>
        <w:t>Buffalo City</w:t>
      </w:r>
      <w:r>
        <w:rPr>
          <w:rFonts w:ascii="Arial" w:hAnsi="Arial" w:cs="Arial"/>
        </w:rPr>
        <w:t xml:space="preserve"> para</w:t>
      </w:r>
      <w:r w:rsidRPr="00323B1B">
        <w:rPr>
          <w:rFonts w:ascii="Arial" w:hAnsi="Arial" w:cs="Arial"/>
          <w:lang w:val="en-ZA"/>
        </w:rPr>
        <w:t xml:space="preserve"> 54.</w:t>
      </w:r>
    </w:p>
  </w:footnote>
  <w:footnote w:id="9">
    <w:p w14:paraId="3E83CBFA" w14:textId="27755B19" w:rsidR="00CC1522" w:rsidRPr="001807AF" w:rsidRDefault="00CC1522" w:rsidP="00005E99">
      <w:pPr>
        <w:pStyle w:val="FootnoteText"/>
        <w:rPr>
          <w:rFonts w:ascii="Arial" w:hAnsi="Arial" w:cs="Arial"/>
          <w:lang w:val="en-GB"/>
        </w:rPr>
      </w:pPr>
      <w:r w:rsidRPr="00323B1B">
        <w:rPr>
          <w:rStyle w:val="FootnoteReference"/>
          <w:rFonts w:ascii="Arial" w:hAnsi="Arial" w:cs="Arial"/>
        </w:rPr>
        <w:footnoteRef/>
      </w:r>
      <w:r w:rsidRPr="00323B1B">
        <w:rPr>
          <w:rFonts w:ascii="Arial" w:hAnsi="Arial" w:cs="Arial"/>
        </w:rPr>
        <w:t xml:space="preserve"> </w:t>
      </w:r>
      <w:r w:rsidRPr="00C36AC9">
        <w:rPr>
          <w:rFonts w:ascii="Arial" w:hAnsi="Arial" w:cs="Arial"/>
          <w:i/>
          <w:iCs/>
          <w:lang w:val="en-ZA"/>
        </w:rPr>
        <w:t xml:space="preserve">Buffalo City </w:t>
      </w:r>
      <w:r>
        <w:rPr>
          <w:rFonts w:ascii="Arial" w:hAnsi="Arial" w:cs="Arial"/>
        </w:rPr>
        <w:t>para</w:t>
      </w:r>
      <w:r w:rsidRPr="00323B1B">
        <w:rPr>
          <w:rFonts w:ascii="Arial" w:hAnsi="Arial" w:cs="Arial"/>
          <w:lang w:val="en-ZA"/>
        </w:rPr>
        <w:t xml:space="preserve"> 55.</w:t>
      </w:r>
    </w:p>
  </w:footnote>
  <w:footnote w:id="10">
    <w:p w14:paraId="61351521" w14:textId="480ABAE4" w:rsidR="00CC1522" w:rsidRPr="007A3CA6" w:rsidRDefault="00CC1522" w:rsidP="00005E99">
      <w:pPr>
        <w:pStyle w:val="FootnoteText"/>
        <w:jc w:val="both"/>
        <w:rPr>
          <w:rFonts w:ascii="Arial" w:hAnsi="Arial" w:cs="Arial"/>
          <w:lang w:val="en-GB"/>
        </w:rPr>
      </w:pPr>
      <w:r w:rsidRPr="007A3CA6">
        <w:rPr>
          <w:rStyle w:val="FootnoteReference"/>
          <w:rFonts w:ascii="Arial" w:hAnsi="Arial" w:cs="Arial"/>
        </w:rPr>
        <w:footnoteRef/>
      </w:r>
      <w:r w:rsidRPr="007A3CA6">
        <w:rPr>
          <w:rFonts w:ascii="Arial" w:hAnsi="Arial" w:cs="Arial"/>
        </w:rPr>
        <w:t xml:space="preserve"> </w:t>
      </w:r>
      <w:r w:rsidRPr="00902187">
        <w:rPr>
          <w:rFonts w:ascii="Arial" w:hAnsi="Arial" w:cs="Arial"/>
          <w:i/>
          <w:iCs/>
        </w:rPr>
        <w:t>Khumalo</w:t>
      </w:r>
      <w:r w:rsidRPr="007A3CA6" w:rsidDel="009C7FFD">
        <w:rPr>
          <w:rFonts w:ascii="Arial" w:hAnsi="Arial" w:cs="Arial"/>
          <w:lang w:val="en-GB"/>
        </w:rPr>
        <w:t xml:space="preserve"> </w:t>
      </w:r>
      <w:r w:rsidRPr="007A3CA6">
        <w:rPr>
          <w:rFonts w:ascii="Arial" w:hAnsi="Arial" w:cs="Arial"/>
          <w:lang w:val="en-GB"/>
        </w:rPr>
        <w:t xml:space="preserve">fn 4 </w:t>
      </w:r>
      <w:r>
        <w:rPr>
          <w:rFonts w:ascii="Arial" w:hAnsi="Arial" w:cs="Arial"/>
          <w:lang w:val="en-GB"/>
        </w:rPr>
        <w:t xml:space="preserve">above </w:t>
      </w:r>
      <w:r w:rsidRPr="007A3CA6">
        <w:rPr>
          <w:rFonts w:ascii="Arial" w:hAnsi="Arial" w:cs="Arial"/>
          <w:lang w:val="en-GB"/>
        </w:rPr>
        <w:t>para 4</w:t>
      </w:r>
      <w:r>
        <w:rPr>
          <w:rFonts w:ascii="Arial" w:hAnsi="Arial" w:cs="Arial"/>
          <w:lang w:val="en-GB"/>
        </w:rPr>
        <w:t>6</w:t>
      </w:r>
      <w:r w:rsidRPr="007A3CA6">
        <w:rPr>
          <w:rFonts w:ascii="Arial" w:hAnsi="Arial" w:cs="Arial"/>
          <w:lang w:val="en-GB"/>
        </w:rPr>
        <w:t>.</w:t>
      </w:r>
    </w:p>
  </w:footnote>
  <w:footnote w:id="11">
    <w:p w14:paraId="4491CEDD" w14:textId="18069A19" w:rsidR="00CC1522" w:rsidRPr="00902187" w:rsidRDefault="00CC1522" w:rsidP="00902187">
      <w:pPr>
        <w:pStyle w:val="FootnoteText"/>
        <w:jc w:val="both"/>
        <w:rPr>
          <w:rFonts w:ascii="Arial" w:hAnsi="Arial" w:cs="Arial"/>
          <w:lang w:val="en-ZA"/>
        </w:rPr>
      </w:pPr>
      <w:r w:rsidRPr="00902187">
        <w:rPr>
          <w:rStyle w:val="FootnoteReference"/>
          <w:rFonts w:ascii="Arial" w:hAnsi="Arial" w:cs="Arial"/>
        </w:rPr>
        <w:footnoteRef/>
      </w:r>
      <w:r w:rsidRPr="00902187">
        <w:rPr>
          <w:rFonts w:ascii="Arial" w:hAnsi="Arial" w:cs="Arial"/>
        </w:rPr>
        <w:t xml:space="preserve"> </w:t>
      </w:r>
      <w:r w:rsidRPr="00902187">
        <w:rPr>
          <w:rFonts w:ascii="Arial" w:hAnsi="Arial" w:cs="Arial"/>
          <w:i/>
          <w:lang w:val="en-ZA"/>
        </w:rPr>
        <w:t xml:space="preserve">National Energy Regulator of South Africa and Another v PG Group (Pty) Limited and Others </w:t>
      </w:r>
      <w:r w:rsidRPr="00902187">
        <w:rPr>
          <w:rFonts w:ascii="Arial" w:hAnsi="Arial" w:cs="Arial"/>
          <w:lang w:val="en-ZA"/>
        </w:rPr>
        <w:t xml:space="preserve">[2019] ZACC </w:t>
      </w:r>
      <w:r w:rsidRPr="003539C5">
        <w:rPr>
          <w:rFonts w:ascii="Arial" w:hAnsi="Arial" w:cs="Arial"/>
          <w:lang w:val="en-ZA"/>
        </w:rPr>
        <w:t>28; 2020 (1) SA 450 (CC) para 91</w:t>
      </w:r>
      <w:r w:rsidRPr="00902187">
        <w:rPr>
          <w:rFonts w:ascii="Arial" w:hAnsi="Arial" w:cs="Arial"/>
          <w:lang w:val="en-ZA"/>
        </w:rPr>
        <w:t>.</w:t>
      </w:r>
    </w:p>
  </w:footnote>
  <w:footnote w:id="12">
    <w:p w14:paraId="51752299" w14:textId="6E69B607" w:rsidR="00CC1522" w:rsidRPr="00FB30DF" w:rsidRDefault="00CC1522" w:rsidP="00FB30DF">
      <w:pPr>
        <w:pStyle w:val="FootnoteText"/>
        <w:jc w:val="both"/>
        <w:rPr>
          <w:rFonts w:ascii="Arial" w:hAnsi="Arial" w:cs="Arial"/>
          <w:lang w:val="en-GB"/>
        </w:rPr>
      </w:pPr>
      <w:r w:rsidRPr="00323B1B">
        <w:rPr>
          <w:rStyle w:val="FootnoteReference"/>
          <w:rFonts w:ascii="Arial" w:hAnsi="Arial" w:cs="Arial"/>
        </w:rPr>
        <w:footnoteRef/>
      </w:r>
      <w:r w:rsidRPr="00323B1B">
        <w:rPr>
          <w:rFonts w:ascii="Arial" w:hAnsi="Arial" w:cs="Arial"/>
        </w:rPr>
        <w:t xml:space="preserve"> </w:t>
      </w:r>
      <w:r w:rsidRPr="00323B1B">
        <w:rPr>
          <w:rFonts w:ascii="Arial" w:hAnsi="Arial" w:cs="Arial"/>
          <w:lang w:val="en-GB"/>
        </w:rPr>
        <w:t>Section 190</w:t>
      </w:r>
      <w:r>
        <w:rPr>
          <w:rFonts w:ascii="Arial" w:hAnsi="Arial" w:cs="Arial"/>
          <w:lang w:val="en-GB"/>
        </w:rPr>
        <w:t>(1)</w:t>
      </w:r>
      <w:r w:rsidRPr="00323B1B">
        <w:rPr>
          <w:rFonts w:ascii="Arial" w:hAnsi="Arial" w:cs="Arial"/>
          <w:lang w:val="en-GB"/>
        </w:rPr>
        <w:t xml:space="preserve"> of the Constitution.</w:t>
      </w:r>
    </w:p>
  </w:footnote>
  <w:footnote w:id="13">
    <w:p w14:paraId="0EEE839E" w14:textId="2D3815E2" w:rsidR="00CC1522" w:rsidRPr="00CB6935" w:rsidRDefault="00CC1522" w:rsidP="00CB6935">
      <w:pPr>
        <w:pStyle w:val="FootnoteText"/>
        <w:jc w:val="both"/>
        <w:rPr>
          <w:rFonts w:ascii="Arial" w:hAnsi="Arial" w:cs="Arial"/>
          <w:lang w:val="en-ZA"/>
        </w:rPr>
      </w:pPr>
      <w:r w:rsidRPr="00CB6935">
        <w:rPr>
          <w:rStyle w:val="FootnoteReference"/>
          <w:rFonts w:ascii="Arial" w:hAnsi="Arial" w:cs="Arial"/>
        </w:rPr>
        <w:footnoteRef/>
      </w:r>
      <w:r w:rsidRPr="00CB6935">
        <w:rPr>
          <w:rFonts w:ascii="Arial" w:hAnsi="Arial" w:cs="Arial"/>
        </w:rPr>
        <w:t xml:space="preserve"> </w:t>
      </w:r>
      <w:r w:rsidRPr="00CB6935">
        <w:rPr>
          <w:rFonts w:ascii="Arial" w:hAnsi="Arial" w:cs="Arial"/>
          <w:i/>
          <w:iCs/>
          <w:lang w:val="en-ZA"/>
        </w:rPr>
        <w:t>Natal Joint Municipal Pension Fund v Endumeni Municipality</w:t>
      </w:r>
      <w:r w:rsidRPr="00CB6935">
        <w:rPr>
          <w:rFonts w:ascii="Arial" w:hAnsi="Arial" w:cs="Arial"/>
          <w:lang w:val="en-ZA"/>
        </w:rPr>
        <w:t xml:space="preserve"> [2012] ZASCA 13; [2012] 2 All SA 262 (SCA); 2012 (4) SA 593 (SCA).</w:t>
      </w:r>
    </w:p>
  </w:footnote>
  <w:footnote w:id="14">
    <w:p w14:paraId="24AE999A" w14:textId="3AADE4CB" w:rsidR="00CC1522" w:rsidRPr="00CB6935" w:rsidRDefault="00CC1522" w:rsidP="00CB6935">
      <w:pPr>
        <w:pStyle w:val="FootnoteText"/>
        <w:jc w:val="both"/>
        <w:rPr>
          <w:rFonts w:ascii="Arial" w:hAnsi="Arial" w:cs="Arial"/>
          <w:lang w:val="en-ZA"/>
        </w:rPr>
      </w:pPr>
      <w:r w:rsidRPr="00390486">
        <w:rPr>
          <w:rStyle w:val="FootnoteReference"/>
          <w:rFonts w:ascii="Arial" w:hAnsi="Arial" w:cs="Arial"/>
        </w:rPr>
        <w:footnoteRef/>
      </w:r>
      <w:r w:rsidRPr="00390486">
        <w:rPr>
          <w:rFonts w:ascii="Arial" w:hAnsi="Arial" w:cs="Arial"/>
        </w:rPr>
        <w:t xml:space="preserve"> </w:t>
      </w:r>
      <w:r w:rsidRPr="00390486">
        <w:rPr>
          <w:rFonts w:ascii="Arial" w:hAnsi="Arial" w:cs="Arial"/>
          <w:i/>
          <w:iCs/>
          <w:lang w:val="en-ZA"/>
        </w:rPr>
        <w:t>Capitec Bank Holdings Limited and Another v Coral Lagoon Investments 194 (Pty) Ltd and Others</w:t>
      </w:r>
      <w:r w:rsidRPr="00390486">
        <w:rPr>
          <w:rFonts w:ascii="Arial" w:hAnsi="Arial" w:cs="Arial"/>
          <w:lang w:val="en-ZA"/>
        </w:rPr>
        <w:t xml:space="preserve"> [2021] ZASCA 99; [2021] 3 All SA 647 (SCA); 2022 (1) SA 100 (SCA) at para 25.</w:t>
      </w:r>
    </w:p>
  </w:footnote>
  <w:footnote w:id="15">
    <w:p w14:paraId="6AE18132" w14:textId="4CCC59D6" w:rsidR="00CC1522" w:rsidRPr="00001F32" w:rsidRDefault="00CC1522" w:rsidP="00001F32">
      <w:pPr>
        <w:pStyle w:val="FootnoteText"/>
        <w:jc w:val="both"/>
        <w:rPr>
          <w:rFonts w:ascii="Arial" w:hAnsi="Arial" w:cs="Arial"/>
          <w:lang w:val="en-ZA"/>
        </w:rPr>
      </w:pPr>
      <w:r w:rsidRPr="00001F32">
        <w:rPr>
          <w:rStyle w:val="FootnoteReference"/>
          <w:rFonts w:ascii="Arial" w:hAnsi="Arial" w:cs="Arial"/>
        </w:rPr>
        <w:footnoteRef/>
      </w:r>
      <w:r>
        <w:rPr>
          <w:rFonts w:ascii="Arial" w:hAnsi="Arial" w:cs="Arial"/>
          <w:i/>
          <w:iCs/>
          <w:lang w:val="en-ZA"/>
        </w:rPr>
        <w:t xml:space="preserve"> </w:t>
      </w:r>
      <w:r w:rsidRPr="00001F32">
        <w:rPr>
          <w:rFonts w:ascii="Arial" w:hAnsi="Arial" w:cs="Arial"/>
          <w:i/>
          <w:iCs/>
          <w:lang w:val="en-ZA"/>
        </w:rPr>
        <w:t>Bato Star Fishing (Pty) Ltd v Minister of Environmental Affairs and Tourism and Others</w:t>
      </w:r>
      <w:r w:rsidRPr="00001F32">
        <w:rPr>
          <w:rFonts w:ascii="Arial" w:hAnsi="Arial" w:cs="Arial"/>
          <w:lang w:val="en-ZA"/>
        </w:rPr>
        <w:t xml:space="preserve"> [2004] ZACC 15; 2004 (4) SA 490 (CC); 2004 (7) BCLR 687 (CC)</w:t>
      </w:r>
      <w:r>
        <w:rPr>
          <w:rFonts w:ascii="Arial" w:hAnsi="Arial" w:cs="Arial"/>
          <w:lang w:val="en-ZA"/>
        </w:rPr>
        <w:t xml:space="preserve"> para 72</w:t>
      </w:r>
      <w:r w:rsidRPr="00001F32">
        <w:rPr>
          <w:rFonts w:ascii="Arial" w:hAnsi="Arial" w:cs="Arial"/>
          <w:lang w:val="en-ZA"/>
        </w:rPr>
        <w:t>.</w:t>
      </w:r>
    </w:p>
  </w:footnote>
  <w:footnote w:id="16">
    <w:p w14:paraId="35CF6CDA" w14:textId="69C50F73" w:rsidR="00CC1522" w:rsidRPr="00E20E0E" w:rsidRDefault="00CC1522" w:rsidP="00E20E0E">
      <w:pPr>
        <w:pStyle w:val="FootnoteText"/>
        <w:jc w:val="both"/>
        <w:rPr>
          <w:rFonts w:ascii="Arial" w:hAnsi="Arial" w:cs="Arial"/>
          <w:lang w:val="en-GB"/>
        </w:rPr>
      </w:pPr>
      <w:r w:rsidRPr="00323B1B">
        <w:rPr>
          <w:rStyle w:val="FootnoteReference"/>
          <w:rFonts w:ascii="Arial" w:hAnsi="Arial" w:cs="Arial"/>
        </w:rPr>
        <w:footnoteRef/>
      </w:r>
      <w:r w:rsidRPr="00323B1B">
        <w:rPr>
          <w:rFonts w:ascii="Arial" w:hAnsi="Arial" w:cs="Arial"/>
        </w:rPr>
        <w:t xml:space="preserve"> </w:t>
      </w:r>
      <w:r w:rsidRPr="00323B1B">
        <w:rPr>
          <w:rFonts w:ascii="Arial" w:hAnsi="Arial" w:cs="Arial"/>
          <w:i/>
          <w:iCs/>
          <w:lang w:val="en-ZA"/>
        </w:rPr>
        <w:t xml:space="preserve">Bato Star </w:t>
      </w:r>
      <w:r w:rsidRPr="00323B1B">
        <w:rPr>
          <w:rFonts w:ascii="Arial" w:hAnsi="Arial" w:cs="Arial"/>
          <w:lang w:val="en-ZA"/>
        </w:rPr>
        <w:t xml:space="preserve">was quoted with approval by Khampepe J in </w:t>
      </w:r>
      <w:r w:rsidRPr="00323B1B">
        <w:rPr>
          <w:rFonts w:ascii="Arial" w:hAnsi="Arial" w:cs="Arial"/>
          <w:i/>
          <w:iCs/>
          <w:lang w:val="en-ZA"/>
        </w:rPr>
        <w:t xml:space="preserve">Chisuse and Others v Director-General, Department of Home Affairs and Another </w:t>
      </w:r>
      <w:r w:rsidRPr="00323B1B">
        <w:rPr>
          <w:rFonts w:ascii="Arial" w:hAnsi="Arial" w:cs="Arial"/>
          <w:iCs/>
          <w:lang w:val="en-ZA"/>
        </w:rPr>
        <w:t xml:space="preserve">[2020] ZACC 20; 2020 (10) BCLR 1173 (CC); 2020 (6) </w:t>
      </w:r>
      <w:r>
        <w:rPr>
          <w:rFonts w:ascii="Arial" w:hAnsi="Arial" w:cs="Arial"/>
          <w:iCs/>
          <w:lang w:val="en-ZA"/>
        </w:rPr>
        <w:t>SA</w:t>
      </w:r>
      <w:r w:rsidRPr="00323B1B">
        <w:rPr>
          <w:rFonts w:ascii="Arial" w:hAnsi="Arial" w:cs="Arial"/>
          <w:iCs/>
          <w:lang w:val="en-ZA"/>
        </w:rPr>
        <w:t xml:space="preserve"> 14 (CC) para 50</w:t>
      </w:r>
      <w:r w:rsidRPr="00323B1B">
        <w:rPr>
          <w:rFonts w:ascii="Arial" w:hAnsi="Arial" w:cs="Arial"/>
          <w:lang w:val="en-ZA"/>
        </w:rPr>
        <w:t>.</w:t>
      </w:r>
    </w:p>
  </w:footnote>
  <w:footnote w:id="17">
    <w:p w14:paraId="4A4308BA" w14:textId="62D4D6C1" w:rsidR="00CC1522" w:rsidRPr="00323B1B" w:rsidRDefault="00CC1522" w:rsidP="005D769F">
      <w:pPr>
        <w:pStyle w:val="FootnoteText"/>
        <w:jc w:val="both"/>
        <w:rPr>
          <w:rFonts w:ascii="Arial" w:hAnsi="Arial" w:cs="Arial"/>
          <w:lang w:val="en-ZA"/>
        </w:rPr>
      </w:pPr>
      <w:r w:rsidRPr="005D769F">
        <w:rPr>
          <w:rStyle w:val="FootnoteReference"/>
          <w:rFonts w:ascii="Arial" w:hAnsi="Arial" w:cs="Arial"/>
        </w:rPr>
        <w:footnoteRef/>
      </w:r>
      <w:r w:rsidRPr="005D769F">
        <w:rPr>
          <w:rFonts w:ascii="Arial" w:hAnsi="Arial" w:cs="Arial"/>
        </w:rPr>
        <w:t xml:space="preserve"> </w:t>
      </w:r>
      <w:r w:rsidRPr="00323B1B">
        <w:rPr>
          <w:rFonts w:ascii="Arial" w:hAnsi="Arial" w:cs="Arial"/>
        </w:rPr>
        <w:t xml:space="preserve">Steytler and De </w:t>
      </w:r>
      <w:r w:rsidRPr="00CA0907">
        <w:rPr>
          <w:rFonts w:ascii="Arial" w:hAnsi="Arial" w:cs="Arial"/>
        </w:rPr>
        <w:t xml:space="preserve">Visser </w:t>
      </w:r>
      <w:r>
        <w:rPr>
          <w:rFonts w:ascii="Arial" w:hAnsi="Arial" w:cs="Arial"/>
        </w:rPr>
        <w:t>‘</w:t>
      </w:r>
      <w:r w:rsidRPr="00902187">
        <w:rPr>
          <w:rFonts w:ascii="Arial" w:hAnsi="Arial" w:cs="Arial"/>
          <w:iCs/>
        </w:rPr>
        <w:t>Local Government</w:t>
      </w:r>
      <w:r>
        <w:rPr>
          <w:rFonts w:ascii="Arial" w:hAnsi="Arial" w:cs="Arial"/>
          <w:iCs/>
        </w:rPr>
        <w:t>’</w:t>
      </w:r>
      <w:r w:rsidRPr="00902187">
        <w:rPr>
          <w:rFonts w:ascii="Arial" w:hAnsi="Arial" w:cs="Arial"/>
          <w:iCs/>
        </w:rPr>
        <w:t xml:space="preserve"> in </w:t>
      </w:r>
      <w:r w:rsidRPr="007F3EB8">
        <w:rPr>
          <w:rFonts w:ascii="Arial" w:hAnsi="Arial" w:cs="Arial"/>
          <w:iCs/>
        </w:rPr>
        <w:t>S</w:t>
      </w:r>
      <w:r w:rsidRPr="00CA0907">
        <w:rPr>
          <w:rFonts w:ascii="Arial" w:hAnsi="Arial" w:cs="Arial"/>
          <w:iCs/>
        </w:rPr>
        <w:t xml:space="preserve"> </w:t>
      </w:r>
      <w:r w:rsidRPr="00902187">
        <w:rPr>
          <w:rFonts w:ascii="Arial" w:hAnsi="Arial" w:cs="Arial"/>
          <w:iCs/>
        </w:rPr>
        <w:t>Woolman et al (eds)</w:t>
      </w:r>
      <w:r w:rsidRPr="00323B1B">
        <w:rPr>
          <w:rFonts w:ascii="Arial" w:hAnsi="Arial" w:cs="Arial"/>
          <w:i/>
          <w:iCs/>
        </w:rPr>
        <w:t xml:space="preserve"> Constitutional Law of South Africa</w:t>
      </w:r>
      <w:r w:rsidRPr="00323B1B">
        <w:rPr>
          <w:rFonts w:ascii="Arial" w:hAnsi="Arial" w:cs="Arial"/>
        </w:rPr>
        <w:t xml:space="preserve"> 2 ed (2008) at 26.</w:t>
      </w:r>
    </w:p>
  </w:footnote>
  <w:footnote w:id="18">
    <w:p w14:paraId="007F39D3" w14:textId="54D52988" w:rsidR="00CC1522" w:rsidRPr="005D769F" w:rsidRDefault="00CC1522" w:rsidP="005D769F">
      <w:pPr>
        <w:pStyle w:val="FootnoteText"/>
        <w:jc w:val="both"/>
        <w:rPr>
          <w:rFonts w:ascii="Arial" w:hAnsi="Arial" w:cs="Arial"/>
          <w:lang w:val="en-ZA"/>
        </w:rPr>
      </w:pPr>
      <w:r w:rsidRPr="00323B1B">
        <w:rPr>
          <w:rStyle w:val="FootnoteReference"/>
          <w:rFonts w:ascii="Arial" w:hAnsi="Arial" w:cs="Arial"/>
        </w:rPr>
        <w:footnoteRef/>
      </w:r>
      <w:r w:rsidRPr="00323B1B">
        <w:rPr>
          <w:rFonts w:ascii="Arial" w:hAnsi="Arial" w:cs="Arial"/>
        </w:rPr>
        <w:t xml:space="preserve"> </w:t>
      </w:r>
      <w:r w:rsidRPr="00323B1B">
        <w:rPr>
          <w:rFonts w:ascii="Arial" w:hAnsi="Arial" w:cs="Arial"/>
          <w:lang w:val="en-ZA"/>
        </w:rPr>
        <w:t>Ibid</w:t>
      </w:r>
      <w:r w:rsidRPr="005D769F">
        <w:rPr>
          <w:rFonts w:ascii="Arial" w:hAnsi="Arial" w:cs="Arial"/>
          <w:lang w:val="en-ZA"/>
        </w:rPr>
        <w:t>.</w:t>
      </w:r>
    </w:p>
  </w:footnote>
  <w:footnote w:id="19">
    <w:p w14:paraId="5AC7B576" w14:textId="58A80F9F" w:rsidR="00CC1522" w:rsidRPr="00947969" w:rsidRDefault="00CC1522" w:rsidP="00AE50CA">
      <w:pPr>
        <w:pStyle w:val="FootnoteText"/>
        <w:jc w:val="both"/>
        <w:rPr>
          <w:rFonts w:ascii="Arial" w:hAnsi="Arial" w:cs="Arial"/>
          <w:lang w:val="en-ZA"/>
        </w:rPr>
      </w:pPr>
      <w:r w:rsidRPr="00AE50CA">
        <w:rPr>
          <w:rStyle w:val="FootnoteReference"/>
          <w:rFonts w:ascii="Arial" w:hAnsi="Arial" w:cs="Arial"/>
        </w:rPr>
        <w:footnoteRef/>
      </w:r>
      <w:r w:rsidRPr="00AE50CA">
        <w:rPr>
          <w:rFonts w:ascii="Arial" w:hAnsi="Arial" w:cs="Arial"/>
        </w:rPr>
        <w:t xml:space="preserve"> </w:t>
      </w:r>
      <w:r w:rsidRPr="00AE50CA">
        <w:rPr>
          <w:rFonts w:ascii="Arial" w:hAnsi="Arial" w:cs="Arial"/>
          <w:lang w:val="en-ZA"/>
        </w:rPr>
        <w:t>Ib</w:t>
      </w:r>
      <w:r w:rsidRPr="00947969">
        <w:rPr>
          <w:rFonts w:ascii="Arial" w:hAnsi="Arial" w:cs="Arial"/>
          <w:lang w:val="en-ZA"/>
        </w:rPr>
        <w:t>id at 27.</w:t>
      </w:r>
    </w:p>
  </w:footnote>
  <w:footnote w:id="20">
    <w:p w14:paraId="034812A3" w14:textId="59B7064E" w:rsidR="00CC1522" w:rsidRPr="00AE50CA" w:rsidRDefault="00CC1522" w:rsidP="00AE50CA">
      <w:pPr>
        <w:pStyle w:val="FootnoteText"/>
        <w:jc w:val="both"/>
        <w:rPr>
          <w:rFonts w:ascii="Arial" w:hAnsi="Arial" w:cs="Arial"/>
          <w:lang w:val="en-ZA"/>
        </w:rPr>
      </w:pPr>
      <w:r w:rsidRPr="00947969">
        <w:rPr>
          <w:rStyle w:val="FootnoteReference"/>
          <w:rFonts w:ascii="Arial" w:hAnsi="Arial" w:cs="Arial"/>
        </w:rPr>
        <w:footnoteRef/>
      </w:r>
      <w:r w:rsidRPr="00947969">
        <w:rPr>
          <w:rFonts w:ascii="Arial" w:hAnsi="Arial" w:cs="Arial"/>
        </w:rPr>
        <w:t xml:space="preserve"> </w:t>
      </w:r>
      <w:r w:rsidRPr="00947969">
        <w:rPr>
          <w:rFonts w:ascii="Arial" w:hAnsi="Arial" w:cs="Arial"/>
          <w:lang w:val="en-ZA"/>
        </w:rPr>
        <w:t>Ib</w:t>
      </w:r>
      <w:r w:rsidRPr="00AE50CA">
        <w:rPr>
          <w:rFonts w:ascii="Arial" w:hAnsi="Arial" w:cs="Arial"/>
          <w:lang w:val="en-ZA"/>
        </w:rPr>
        <w:t>id.</w:t>
      </w:r>
    </w:p>
  </w:footnote>
  <w:footnote w:id="21">
    <w:p w14:paraId="07C3CD02" w14:textId="6AB7DF15" w:rsidR="00CC1522" w:rsidRPr="00AE50CA" w:rsidRDefault="00CC1522" w:rsidP="00AE50CA">
      <w:pPr>
        <w:pStyle w:val="FootnoteText"/>
        <w:jc w:val="both"/>
        <w:rPr>
          <w:lang w:val="en-ZA"/>
        </w:rPr>
      </w:pPr>
      <w:r w:rsidRPr="00AE50CA">
        <w:rPr>
          <w:rStyle w:val="FootnoteReference"/>
          <w:rFonts w:ascii="Arial" w:hAnsi="Arial" w:cs="Arial"/>
        </w:rPr>
        <w:footnoteRef/>
      </w:r>
      <w:r w:rsidRPr="00AE50CA">
        <w:rPr>
          <w:rFonts w:ascii="Arial" w:hAnsi="Arial" w:cs="Arial"/>
        </w:rPr>
        <w:t xml:space="preserve"> </w:t>
      </w:r>
      <w:r w:rsidRPr="00AE50CA">
        <w:rPr>
          <w:rFonts w:ascii="Arial" w:hAnsi="Arial" w:cs="Arial"/>
          <w:lang w:val="en-ZA"/>
        </w:rPr>
        <w:t>Structures Act</w:t>
      </w:r>
      <w:r>
        <w:rPr>
          <w:rFonts w:ascii="Arial" w:hAnsi="Arial" w:cs="Arial"/>
          <w:lang w:val="en-ZA"/>
        </w:rPr>
        <w:t>,</w:t>
      </w:r>
      <w:r w:rsidRPr="00AE50CA">
        <w:rPr>
          <w:rFonts w:ascii="Arial" w:hAnsi="Arial" w:cs="Arial"/>
          <w:lang w:val="en-ZA"/>
        </w:rPr>
        <w:t xml:space="preserve"> Schedule 2, items 10(3)</w:t>
      </w:r>
      <w:r w:rsidRPr="00AE50CA">
        <w:rPr>
          <w:rFonts w:ascii="Arial" w:hAnsi="Arial" w:cs="Arial"/>
          <w:i/>
          <w:iCs/>
          <w:lang w:val="en-ZA"/>
        </w:rPr>
        <w:t xml:space="preserve">(b) </w:t>
      </w:r>
      <w:r w:rsidRPr="00AE50CA">
        <w:rPr>
          <w:rFonts w:ascii="Arial" w:hAnsi="Arial" w:cs="Arial"/>
          <w:lang w:val="en-ZA"/>
        </w:rPr>
        <w:t>and following.</w:t>
      </w:r>
    </w:p>
  </w:footnote>
  <w:footnote w:id="22">
    <w:p w14:paraId="2D02474A" w14:textId="54DD79FF" w:rsidR="00CC1522" w:rsidRPr="00CA0907" w:rsidRDefault="00CC1522" w:rsidP="00CA0907">
      <w:pPr>
        <w:pStyle w:val="FootnoteText"/>
        <w:jc w:val="both"/>
        <w:rPr>
          <w:rFonts w:ascii="Arial" w:hAnsi="Arial" w:cs="Arial"/>
          <w:lang w:val="en-GB"/>
        </w:rPr>
      </w:pPr>
      <w:r w:rsidRPr="00CA0907">
        <w:rPr>
          <w:rStyle w:val="FootnoteReference"/>
          <w:rFonts w:ascii="Arial" w:hAnsi="Arial" w:cs="Arial"/>
        </w:rPr>
        <w:footnoteRef/>
      </w:r>
      <w:r w:rsidRPr="00CA0907">
        <w:rPr>
          <w:rFonts w:ascii="Arial" w:hAnsi="Arial" w:cs="Arial"/>
        </w:rPr>
        <w:t xml:space="preserve"> </w:t>
      </w:r>
      <w:r w:rsidRPr="00902187">
        <w:rPr>
          <w:rFonts w:ascii="Arial" w:hAnsi="Arial" w:cs="Arial"/>
        </w:rPr>
        <w:t xml:space="preserve">Electoral Act, Schedule 1A, </w:t>
      </w:r>
      <w:r w:rsidRPr="00CA0907">
        <w:rPr>
          <w:rFonts w:ascii="Arial" w:hAnsi="Arial" w:cs="Arial"/>
          <w:lang w:val="en-GB"/>
        </w:rPr>
        <w:t>item 6</w:t>
      </w:r>
      <w:r w:rsidRPr="00902187">
        <w:rPr>
          <w:rFonts w:ascii="Arial" w:hAnsi="Arial" w:cs="Arial"/>
          <w:i/>
          <w:lang w:val="en-GB"/>
        </w:rPr>
        <w:t>(c)</w:t>
      </w:r>
      <w:r w:rsidRPr="00CA0907">
        <w:rPr>
          <w:rFonts w:ascii="Arial" w:hAnsi="Arial" w:cs="Arial"/>
          <w:lang w:val="en-GB"/>
        </w:rPr>
        <w:t>.</w:t>
      </w:r>
    </w:p>
  </w:footnote>
  <w:footnote w:id="23">
    <w:p w14:paraId="3089A189" w14:textId="279732A5" w:rsidR="00CC1522" w:rsidRPr="00902187" w:rsidRDefault="00CC1522">
      <w:pPr>
        <w:pStyle w:val="FootnoteText"/>
        <w:rPr>
          <w:lang w:val="en-ZA"/>
        </w:rPr>
      </w:pPr>
      <w:r w:rsidRPr="00902187">
        <w:rPr>
          <w:rStyle w:val="FootnoteReference"/>
          <w:rFonts w:ascii="Arial" w:hAnsi="Arial" w:cs="Arial"/>
        </w:rPr>
        <w:footnoteRef/>
      </w:r>
      <w:r w:rsidRPr="00902187">
        <w:rPr>
          <w:rFonts w:ascii="Arial" w:hAnsi="Arial" w:cs="Arial"/>
        </w:rPr>
        <w:t xml:space="preserve"> </w:t>
      </w:r>
      <w:r w:rsidRPr="00902187">
        <w:rPr>
          <w:rFonts w:ascii="Arial" w:hAnsi="Arial" w:cs="Arial"/>
          <w:i/>
        </w:rPr>
        <w:t>New Nation Movement NPC and Others v President of the Republic of South Africa and Others</w:t>
      </w:r>
      <w:r w:rsidRPr="00902187">
        <w:rPr>
          <w:rFonts w:ascii="Arial" w:hAnsi="Arial" w:cs="Arial"/>
        </w:rPr>
        <w:t xml:space="preserve"> [2020] ZACC 11; 2020 (8) BCLR 950 (CC); 2020 (6) SA 257 (CC).</w:t>
      </w:r>
    </w:p>
  </w:footnote>
  <w:footnote w:id="24">
    <w:p w14:paraId="70E31504" w14:textId="4B07D90B" w:rsidR="00CC1522" w:rsidRPr="00902187" w:rsidRDefault="00CC1522" w:rsidP="00902187">
      <w:pPr>
        <w:pStyle w:val="FootnoteText"/>
        <w:jc w:val="both"/>
        <w:rPr>
          <w:rFonts w:ascii="Arial" w:hAnsi="Arial" w:cs="Arial"/>
          <w:lang w:val="en-ZA"/>
        </w:rPr>
      </w:pPr>
      <w:r w:rsidRPr="00902187">
        <w:rPr>
          <w:rStyle w:val="FootnoteReference"/>
          <w:rFonts w:ascii="Arial" w:hAnsi="Arial" w:cs="Arial"/>
        </w:rPr>
        <w:footnoteRef/>
      </w:r>
      <w:r w:rsidRPr="00902187">
        <w:rPr>
          <w:rFonts w:ascii="Arial" w:hAnsi="Arial" w:cs="Arial"/>
        </w:rPr>
        <w:t xml:space="preserve"> </w:t>
      </w:r>
      <w:r w:rsidRPr="00902187">
        <w:rPr>
          <w:rFonts w:ascii="Arial" w:hAnsi="Arial" w:cs="Arial"/>
          <w:i/>
        </w:rPr>
        <w:t>Economic Freedom Fighters and Others v Speaker of the National Assembly and Another</w:t>
      </w:r>
      <w:r w:rsidRPr="00902187">
        <w:rPr>
          <w:rFonts w:ascii="Arial" w:hAnsi="Arial" w:cs="Arial"/>
        </w:rPr>
        <w:t xml:space="preserve"> [2017] ZACC 47; 2018 (3) BCLR 259 (CC); 2018 (2) SA 571 (CC)</w:t>
      </w:r>
      <w:r>
        <w:rPr>
          <w:rFonts w:ascii="Arial" w:hAnsi="Arial" w:cs="Arial"/>
        </w:rPr>
        <w:t xml:space="preserve"> para 210</w:t>
      </w:r>
      <w:r w:rsidRPr="00902187">
        <w:rPr>
          <w:rFonts w:ascii="Arial" w:hAnsi="Arial" w:cs="Arial"/>
        </w:rPr>
        <w:t>.</w:t>
      </w:r>
    </w:p>
  </w:footnote>
  <w:footnote w:id="25">
    <w:p w14:paraId="6486F8CF" w14:textId="6D9C579C" w:rsidR="00CC1522" w:rsidRPr="00046F9E" w:rsidRDefault="00CC1522" w:rsidP="00E36ED8">
      <w:pPr>
        <w:pStyle w:val="FootnoteText"/>
        <w:jc w:val="both"/>
        <w:rPr>
          <w:rFonts w:ascii="Arial" w:hAnsi="Arial" w:cs="Arial"/>
        </w:rPr>
      </w:pPr>
      <w:r w:rsidRPr="00046F9E">
        <w:rPr>
          <w:rStyle w:val="FootnoteReference"/>
          <w:rFonts w:ascii="Arial" w:hAnsi="Arial" w:cs="Arial"/>
        </w:rPr>
        <w:footnoteRef/>
      </w:r>
      <w:r w:rsidRPr="00046F9E">
        <w:rPr>
          <w:rFonts w:ascii="Arial" w:hAnsi="Arial" w:cs="Arial"/>
        </w:rPr>
        <w:t xml:space="preserve"> </w:t>
      </w:r>
      <w:r w:rsidRPr="00046F9E">
        <w:rPr>
          <w:rFonts w:ascii="Arial" w:hAnsi="Arial" w:cs="Arial"/>
          <w:i/>
        </w:rPr>
        <w:t xml:space="preserve">Head of Department: Mpumalanga Department of Education and Another v Hoërskool Ermelo and Another </w:t>
      </w:r>
      <w:r w:rsidRPr="00046F9E">
        <w:rPr>
          <w:rFonts w:ascii="Arial" w:hAnsi="Arial" w:cs="Arial"/>
        </w:rPr>
        <w:t>[2009] ZACC 32; 2010 (2) SA 415 (CC); 2010 (3) BCLR 177 (CC).</w:t>
      </w:r>
    </w:p>
  </w:footnote>
  <w:footnote w:id="26">
    <w:p w14:paraId="088323FD" w14:textId="283D74F6" w:rsidR="00CC1522" w:rsidRPr="00902187" w:rsidRDefault="00CC1522" w:rsidP="00C0519E">
      <w:pPr>
        <w:pStyle w:val="FootnoteText"/>
        <w:rPr>
          <w:lang w:val="en-ZA"/>
        </w:rPr>
      </w:pPr>
      <w:r w:rsidRPr="00046F9E">
        <w:rPr>
          <w:rStyle w:val="FootnoteReference"/>
          <w:rFonts w:ascii="Arial" w:hAnsi="Arial" w:cs="Arial"/>
        </w:rPr>
        <w:footnoteRef/>
      </w:r>
      <w:r w:rsidRPr="00046F9E">
        <w:rPr>
          <w:rFonts w:ascii="Arial" w:hAnsi="Arial" w:cs="Arial"/>
        </w:rPr>
        <w:t xml:space="preserve"> </w:t>
      </w:r>
      <w:r w:rsidRPr="00046F9E">
        <w:rPr>
          <w:rFonts w:ascii="Arial" w:hAnsi="Arial" w:cs="Arial"/>
          <w:i/>
        </w:rPr>
        <w:t>Economic Freedom Fighters</w:t>
      </w:r>
      <w:r w:rsidRPr="00046F9E">
        <w:rPr>
          <w:rFonts w:ascii="Arial" w:hAnsi="Arial" w:cs="Arial"/>
        </w:rPr>
        <w:t xml:space="preserve"> fn 25 above para 211.</w:t>
      </w:r>
    </w:p>
  </w:footnote>
  <w:footnote w:id="27">
    <w:p w14:paraId="417C9D11" w14:textId="6B036288" w:rsidR="00CC1522" w:rsidRPr="0080276F" w:rsidRDefault="00CC1522" w:rsidP="0080276F">
      <w:pPr>
        <w:pStyle w:val="FootnoteText"/>
        <w:jc w:val="both"/>
        <w:rPr>
          <w:rFonts w:ascii="Arial" w:hAnsi="Arial" w:cs="Arial"/>
          <w:lang w:val="en-ZA"/>
        </w:rPr>
      </w:pPr>
      <w:r w:rsidRPr="0080276F">
        <w:rPr>
          <w:rStyle w:val="FootnoteReference"/>
          <w:rFonts w:ascii="Arial" w:hAnsi="Arial" w:cs="Arial"/>
        </w:rPr>
        <w:footnoteRef/>
      </w:r>
      <w:r w:rsidRPr="0080276F">
        <w:rPr>
          <w:rFonts w:ascii="Arial" w:hAnsi="Arial" w:cs="Arial"/>
        </w:rPr>
        <w:t xml:space="preserve"> </w:t>
      </w:r>
      <w:r w:rsidRPr="0080276F">
        <w:rPr>
          <w:rFonts w:ascii="Arial" w:hAnsi="Arial" w:cs="Arial"/>
          <w:i/>
          <w:iCs/>
        </w:rPr>
        <w:t>Co</w:t>
      </w:r>
      <w:r w:rsidRPr="00BE67BF">
        <w:rPr>
          <w:rFonts w:ascii="Arial" w:hAnsi="Arial" w:cs="Arial"/>
          <w:i/>
          <w:iCs/>
        </w:rPr>
        <w:t>rruption Watch NPC and Others v President of the Republic of South Africa and Others</w:t>
      </w:r>
      <w:r>
        <w:rPr>
          <w:rFonts w:ascii="Arial" w:hAnsi="Arial" w:cs="Arial"/>
          <w:i/>
          <w:iCs/>
        </w:rPr>
        <w:t>;</w:t>
      </w:r>
      <w:r w:rsidRPr="00BE67BF">
        <w:rPr>
          <w:rFonts w:ascii="Arial" w:hAnsi="Arial" w:cs="Arial"/>
        </w:rPr>
        <w:t xml:space="preserve"> </w:t>
      </w:r>
      <w:r w:rsidRPr="00902187">
        <w:rPr>
          <w:rFonts w:ascii="Arial" w:hAnsi="Arial" w:cs="Arial"/>
          <w:i/>
        </w:rPr>
        <w:t xml:space="preserve">Nxasana v Corruption Watch NPC and Others </w:t>
      </w:r>
      <w:r w:rsidRPr="00BE67BF">
        <w:rPr>
          <w:rFonts w:ascii="Arial" w:hAnsi="Arial" w:cs="Arial"/>
        </w:rPr>
        <w:t>[2018] ZACC 23; 2018 (10) BCLR 1179 (CC)</w:t>
      </w:r>
      <w:r>
        <w:rPr>
          <w:rFonts w:ascii="Arial" w:hAnsi="Arial" w:cs="Arial"/>
        </w:rPr>
        <w:t>;</w:t>
      </w:r>
      <w:r w:rsidRPr="00580881">
        <w:t xml:space="preserve"> </w:t>
      </w:r>
      <w:r w:rsidRPr="00580881">
        <w:rPr>
          <w:rFonts w:ascii="Arial" w:hAnsi="Arial" w:cs="Arial"/>
        </w:rPr>
        <w:t>2018 (2) SACR 442 (CC)</w:t>
      </w:r>
      <w:r>
        <w:rPr>
          <w:rFonts w:ascii="Arial" w:hAnsi="Arial" w:cs="Arial"/>
        </w:rPr>
        <w:t xml:space="preserve"> </w:t>
      </w:r>
      <w:r w:rsidRPr="0080276F">
        <w:rPr>
          <w:rFonts w:ascii="Arial" w:hAnsi="Arial" w:cs="Arial"/>
        </w:rPr>
        <w:t>para 93.</w:t>
      </w:r>
    </w:p>
  </w:footnote>
  <w:footnote w:id="28">
    <w:p w14:paraId="5B8701D4" w14:textId="68D5859E" w:rsidR="00CC1522" w:rsidRPr="006137DA" w:rsidRDefault="00CC1522" w:rsidP="00BD40DD">
      <w:pPr>
        <w:pStyle w:val="FootnoteText"/>
        <w:jc w:val="both"/>
        <w:rPr>
          <w:rFonts w:ascii="Arial" w:hAnsi="Arial" w:cs="Arial"/>
          <w:lang w:val="en-ZA"/>
        </w:rPr>
      </w:pPr>
      <w:r w:rsidRPr="00BE67BF">
        <w:rPr>
          <w:rStyle w:val="FootnoteReference"/>
          <w:rFonts w:ascii="Arial" w:hAnsi="Arial" w:cs="Arial"/>
        </w:rPr>
        <w:footnoteRef/>
      </w:r>
      <w:r w:rsidRPr="00BE67BF">
        <w:rPr>
          <w:rFonts w:ascii="Arial" w:hAnsi="Arial" w:cs="Arial"/>
        </w:rPr>
        <w:t xml:space="preserve"> Steytler and De Visser </w:t>
      </w:r>
      <w:r w:rsidRPr="00652DD6">
        <w:rPr>
          <w:rFonts w:ascii="Arial" w:hAnsi="Arial" w:cs="Arial"/>
        </w:rPr>
        <w:t>‘</w:t>
      </w:r>
      <w:r w:rsidRPr="00902187">
        <w:rPr>
          <w:rFonts w:ascii="Arial" w:hAnsi="Arial" w:cs="Arial"/>
          <w:iCs/>
        </w:rPr>
        <w:t xml:space="preserve">Local Government’ in </w:t>
      </w:r>
      <w:r w:rsidRPr="00397A33">
        <w:rPr>
          <w:rFonts w:ascii="Arial" w:hAnsi="Arial" w:cs="Arial"/>
          <w:iCs/>
        </w:rPr>
        <w:t>S</w:t>
      </w:r>
      <w:r w:rsidRPr="00652DD6">
        <w:rPr>
          <w:rFonts w:ascii="Arial" w:hAnsi="Arial" w:cs="Arial"/>
          <w:iCs/>
        </w:rPr>
        <w:t xml:space="preserve"> </w:t>
      </w:r>
      <w:r w:rsidRPr="00902187">
        <w:rPr>
          <w:rFonts w:ascii="Arial" w:hAnsi="Arial" w:cs="Arial"/>
          <w:iCs/>
        </w:rPr>
        <w:t xml:space="preserve">Woolman et al (eds) </w:t>
      </w:r>
      <w:r w:rsidRPr="00BE67BF">
        <w:rPr>
          <w:rFonts w:ascii="Arial" w:hAnsi="Arial" w:cs="Arial"/>
          <w:i/>
          <w:iCs/>
        </w:rPr>
        <w:t>Constitutional Law of South Africa</w:t>
      </w:r>
      <w:r w:rsidRPr="00BE67BF">
        <w:rPr>
          <w:rFonts w:ascii="Arial" w:hAnsi="Arial" w:cs="Arial"/>
        </w:rPr>
        <w:t xml:space="preserve"> 2</w:t>
      </w:r>
      <w:r w:rsidRPr="006137DA">
        <w:rPr>
          <w:rFonts w:ascii="Arial" w:hAnsi="Arial" w:cs="Arial"/>
        </w:rPr>
        <w:t xml:space="preserve"> ed (2008) at 26.</w:t>
      </w:r>
    </w:p>
  </w:footnote>
  <w:footnote w:id="29">
    <w:p w14:paraId="1E6B9AB5" w14:textId="039927CF" w:rsidR="00CC1522" w:rsidRPr="00BD40DD" w:rsidRDefault="00CC1522" w:rsidP="00BD40DD">
      <w:pPr>
        <w:pStyle w:val="FootnoteText"/>
        <w:jc w:val="both"/>
        <w:rPr>
          <w:rFonts w:ascii="Arial" w:hAnsi="Arial" w:cs="Arial"/>
          <w:lang w:val="en-ZA"/>
        </w:rPr>
      </w:pPr>
      <w:r w:rsidRPr="00BD40DD">
        <w:rPr>
          <w:rStyle w:val="FootnoteReference"/>
          <w:rFonts w:ascii="Arial" w:hAnsi="Arial" w:cs="Arial"/>
        </w:rPr>
        <w:footnoteRef/>
      </w:r>
      <w:r>
        <w:rPr>
          <w:rFonts w:ascii="Arial" w:hAnsi="Arial" w:cs="Arial"/>
          <w:i/>
          <w:iCs/>
          <w:lang w:val="en-ZA"/>
        </w:rPr>
        <w:t xml:space="preserve"> </w:t>
      </w:r>
      <w:r w:rsidRPr="00BD40DD">
        <w:rPr>
          <w:rFonts w:ascii="Arial" w:hAnsi="Arial" w:cs="Arial"/>
          <w:i/>
          <w:iCs/>
          <w:lang w:val="en-ZA"/>
        </w:rPr>
        <w:t>Khumalo and Another v Member of the Executive Council for Education: KwaZulu</w:t>
      </w:r>
      <w:r w:rsidRPr="00BD40DD">
        <w:rPr>
          <w:rFonts w:ascii="Arial" w:hAnsi="Arial" w:cs="Arial"/>
          <w:lang w:val="en-ZA"/>
        </w:rPr>
        <w:t xml:space="preserve"> Natal [2013] ZACC 49; 2014 (3) BCLR 333 (CC); (2014) 35 ILJ 613 (CC); 2014 (5) SA 579 (CC) para 33.</w:t>
      </w:r>
      <w:r w:rsidRPr="00BD40DD">
        <w:rPr>
          <w:rFonts w:ascii="Arial" w:hAnsi="Arial" w:cs="Arial"/>
        </w:rPr>
        <w:t xml:space="preserve"> </w:t>
      </w:r>
    </w:p>
  </w:footnote>
  <w:footnote w:id="30">
    <w:p w14:paraId="20A2A092" w14:textId="33AC7973" w:rsidR="00CC1522" w:rsidRPr="002303A4" w:rsidRDefault="00CC1522" w:rsidP="002303A4">
      <w:pPr>
        <w:pStyle w:val="FootnoteText"/>
        <w:jc w:val="both"/>
        <w:rPr>
          <w:rFonts w:ascii="Arial" w:hAnsi="Arial" w:cs="Arial"/>
          <w:lang w:val="en-GB"/>
        </w:rPr>
      </w:pPr>
      <w:r w:rsidRPr="002303A4">
        <w:rPr>
          <w:rStyle w:val="FootnoteReference"/>
          <w:rFonts w:ascii="Arial" w:hAnsi="Arial" w:cs="Arial"/>
        </w:rPr>
        <w:footnoteRef/>
      </w:r>
      <w:r w:rsidRPr="002303A4">
        <w:rPr>
          <w:rFonts w:ascii="Arial" w:hAnsi="Arial" w:cs="Arial"/>
        </w:rPr>
        <w:t xml:space="preserve"> </w:t>
      </w:r>
      <w:r w:rsidRPr="002303A4">
        <w:rPr>
          <w:rFonts w:ascii="Arial" w:hAnsi="Arial" w:cs="Arial"/>
          <w:i/>
          <w:lang w:val="en-GB"/>
        </w:rPr>
        <w:t xml:space="preserve">Amalgamated Engineering Union v Minister of Labour </w:t>
      </w:r>
      <w:r w:rsidRPr="002303A4">
        <w:rPr>
          <w:rFonts w:ascii="Arial" w:hAnsi="Arial" w:cs="Arial"/>
          <w:lang w:val="en-GB"/>
        </w:rPr>
        <w:t>1949 (3) SA 637 (A) at 659.</w:t>
      </w:r>
    </w:p>
  </w:footnote>
  <w:footnote w:id="31">
    <w:p w14:paraId="3E0BDC87" w14:textId="4EC30D5B" w:rsidR="00CC1522" w:rsidRPr="00902187" w:rsidRDefault="00CC1522" w:rsidP="00FD164E">
      <w:pPr>
        <w:pStyle w:val="FootnoteText"/>
        <w:jc w:val="both"/>
        <w:rPr>
          <w:rFonts w:ascii="Arial" w:hAnsi="Arial" w:cs="Arial"/>
          <w:lang w:val="en-GB"/>
        </w:rPr>
      </w:pPr>
      <w:r w:rsidRPr="00902187">
        <w:rPr>
          <w:rStyle w:val="FootnoteReference"/>
          <w:rFonts w:ascii="Arial" w:hAnsi="Arial" w:cs="Arial"/>
        </w:rPr>
        <w:footnoteRef/>
      </w:r>
      <w:r w:rsidRPr="00902187">
        <w:rPr>
          <w:rFonts w:ascii="Arial" w:hAnsi="Arial" w:cs="Arial"/>
        </w:rPr>
        <w:t xml:space="preserve"> </w:t>
      </w:r>
      <w:r w:rsidRPr="00342C8C">
        <w:rPr>
          <w:rFonts w:ascii="Arial" w:hAnsi="Arial" w:cs="Arial"/>
          <w:i/>
        </w:rPr>
        <w:t>Snyders and Others v De Jager</w:t>
      </w:r>
      <w:r w:rsidRPr="00902187">
        <w:rPr>
          <w:rFonts w:ascii="Arial" w:hAnsi="Arial" w:cs="Arial"/>
          <w:i/>
          <w:lang w:val="en-GB"/>
        </w:rPr>
        <w:t xml:space="preserve"> (Joinder)</w:t>
      </w:r>
      <w:r w:rsidRPr="00342C8C">
        <w:rPr>
          <w:rFonts w:ascii="Arial" w:hAnsi="Arial" w:cs="Arial"/>
          <w:lang w:val="en-GB"/>
        </w:rPr>
        <w:t xml:space="preserve"> </w:t>
      </w:r>
      <w:r w:rsidRPr="00652DD6">
        <w:rPr>
          <w:rFonts w:ascii="Arial" w:hAnsi="Arial" w:cs="Arial"/>
          <w:lang w:val="en-GB"/>
        </w:rPr>
        <w:t>[2016]</w:t>
      </w:r>
      <w:r>
        <w:rPr>
          <w:rFonts w:ascii="Arial" w:hAnsi="Arial" w:cs="Arial"/>
          <w:lang w:val="en-GB"/>
        </w:rPr>
        <w:t xml:space="preserve"> ZACC 54; </w:t>
      </w:r>
      <w:r w:rsidRPr="00902187">
        <w:rPr>
          <w:rFonts w:ascii="Arial" w:hAnsi="Arial" w:cs="Arial"/>
          <w:lang w:val="en-GB"/>
        </w:rPr>
        <w:t>2</w:t>
      </w:r>
      <w:r w:rsidRPr="00342C8C">
        <w:rPr>
          <w:rFonts w:ascii="Arial" w:hAnsi="Arial" w:cs="Arial"/>
        </w:rPr>
        <w:t>017 (5) BCLR 604 (CC) para 6.</w:t>
      </w:r>
    </w:p>
  </w:footnote>
  <w:footnote w:id="32">
    <w:p w14:paraId="2406CF21" w14:textId="2590F438" w:rsidR="00CC1522" w:rsidRPr="002303A4" w:rsidRDefault="00CC1522" w:rsidP="002303A4">
      <w:pPr>
        <w:pStyle w:val="FootnoteText"/>
        <w:jc w:val="both"/>
        <w:rPr>
          <w:rFonts w:ascii="Arial" w:hAnsi="Arial" w:cs="Arial"/>
          <w:lang w:val="en-GB"/>
        </w:rPr>
      </w:pPr>
      <w:r w:rsidRPr="00BE67BF">
        <w:rPr>
          <w:rStyle w:val="FootnoteReference"/>
          <w:rFonts w:ascii="Arial" w:hAnsi="Arial" w:cs="Arial"/>
        </w:rPr>
        <w:footnoteRef/>
      </w:r>
      <w:r w:rsidRPr="00BE67BF">
        <w:rPr>
          <w:rFonts w:ascii="Arial" w:hAnsi="Arial" w:cs="Arial"/>
        </w:rPr>
        <w:t xml:space="preserve"> </w:t>
      </w:r>
      <w:r w:rsidRPr="00BE67BF">
        <w:rPr>
          <w:rFonts w:ascii="Arial" w:hAnsi="Arial" w:cs="Arial"/>
          <w:i/>
          <w:lang w:val="en-GB"/>
        </w:rPr>
        <w:t xml:space="preserve">Judicial Service Commission and Another v Cape Bar Council and Another </w:t>
      </w:r>
      <w:r w:rsidRPr="00902187">
        <w:rPr>
          <w:rFonts w:ascii="Arial" w:hAnsi="Arial" w:cs="Arial"/>
          <w:lang w:val="en-GB"/>
        </w:rPr>
        <w:t xml:space="preserve">[2012] ZASCA 115; 2012 (11) BCLR 1239 (SCA); 2013 (1) SA 170 (SCA); [2013] 1 All SA 40 (SCA) </w:t>
      </w:r>
      <w:r w:rsidRPr="00342C8C">
        <w:rPr>
          <w:rFonts w:ascii="Arial" w:hAnsi="Arial" w:cs="Arial"/>
          <w:lang w:val="en-GB"/>
        </w:rPr>
        <w:t>para 12.</w:t>
      </w:r>
    </w:p>
  </w:footnote>
  <w:footnote w:id="33">
    <w:p w14:paraId="7FDB9B81" w14:textId="20D7CA31" w:rsidR="00CC1522" w:rsidRPr="00BE67BF" w:rsidRDefault="00CC1522" w:rsidP="00BB0A50">
      <w:pPr>
        <w:pStyle w:val="FootnoteText"/>
        <w:jc w:val="both"/>
        <w:rPr>
          <w:rFonts w:ascii="Arial" w:hAnsi="Arial" w:cs="Arial"/>
          <w:lang w:val="en-GB"/>
        </w:rPr>
      </w:pPr>
      <w:r w:rsidRPr="005A1D0F">
        <w:rPr>
          <w:rStyle w:val="FootnoteReference"/>
          <w:rFonts w:ascii="Arial" w:hAnsi="Arial" w:cs="Arial"/>
        </w:rPr>
        <w:footnoteRef/>
      </w:r>
      <w:r w:rsidRPr="005A1D0F">
        <w:rPr>
          <w:rFonts w:ascii="Arial" w:hAnsi="Arial" w:cs="Arial"/>
        </w:rPr>
        <w:t xml:space="preserve"> </w:t>
      </w:r>
      <w:r w:rsidRPr="005A1D0F">
        <w:rPr>
          <w:rFonts w:ascii="Arial" w:hAnsi="Arial" w:cs="Arial"/>
          <w:i/>
          <w:lang w:val="en-GB"/>
        </w:rPr>
        <w:t>Sk</w:t>
      </w:r>
      <w:r w:rsidRPr="00BE67BF">
        <w:rPr>
          <w:rFonts w:ascii="Arial" w:hAnsi="Arial" w:cs="Arial"/>
          <w:i/>
          <w:lang w:val="en-GB"/>
        </w:rPr>
        <w:t xml:space="preserve">weit v Speaker of the Greater Taung Local Municipality and Others </w:t>
      </w:r>
      <w:r w:rsidRPr="00BE67BF">
        <w:rPr>
          <w:rFonts w:ascii="Arial" w:hAnsi="Arial" w:cs="Arial"/>
          <w:lang w:val="en-GB"/>
        </w:rPr>
        <w:t>[2008] ZANWHC 52</w:t>
      </w:r>
      <w:r>
        <w:rPr>
          <w:rFonts w:ascii="Arial" w:hAnsi="Arial" w:cs="Arial"/>
          <w:lang w:val="en-GB"/>
        </w:rPr>
        <w:t xml:space="preserve"> (NWM)</w:t>
      </w:r>
      <w:r w:rsidRPr="00BE67BF">
        <w:rPr>
          <w:rFonts w:ascii="Arial" w:hAnsi="Arial" w:cs="Arial"/>
          <w:lang w:val="en-GB"/>
        </w:rPr>
        <w:t>.</w:t>
      </w:r>
    </w:p>
  </w:footnote>
  <w:footnote w:id="34">
    <w:p w14:paraId="58E3835D" w14:textId="7F1FE29A" w:rsidR="00CC1522" w:rsidRPr="00902187" w:rsidRDefault="00CC1522" w:rsidP="00BB0A50">
      <w:pPr>
        <w:pStyle w:val="FootnoteText"/>
        <w:jc w:val="both"/>
        <w:rPr>
          <w:rFonts w:ascii="Arial" w:hAnsi="Arial" w:cs="Arial"/>
          <w:lang w:val="en-ZA"/>
        </w:rPr>
      </w:pPr>
      <w:r w:rsidRPr="00BE67BF">
        <w:rPr>
          <w:rStyle w:val="FootnoteReference"/>
          <w:rFonts w:ascii="Arial" w:hAnsi="Arial" w:cs="Arial"/>
        </w:rPr>
        <w:footnoteRef/>
      </w:r>
      <w:r w:rsidRPr="00BE67BF">
        <w:rPr>
          <w:rFonts w:ascii="Arial" w:hAnsi="Arial" w:cs="Arial"/>
        </w:rPr>
        <w:t xml:space="preserve"> Ibid</w:t>
      </w:r>
      <w:r w:rsidRPr="00BE67BF">
        <w:rPr>
          <w:rFonts w:ascii="Arial" w:hAnsi="Arial" w:cs="Arial"/>
          <w:lang w:val="en-GB"/>
        </w:rPr>
        <w:t xml:space="preserve"> para </w:t>
      </w:r>
      <w:r>
        <w:rPr>
          <w:rFonts w:ascii="Arial" w:hAnsi="Arial" w:cs="Arial"/>
          <w:lang w:val="en-GB"/>
        </w:rPr>
        <w:t>24</w:t>
      </w:r>
      <w:r w:rsidRPr="00BE67BF">
        <w:rPr>
          <w:rFonts w:ascii="Arial" w:hAnsi="Arial" w:cs="Arial"/>
          <w:lang w:val="en-GB"/>
        </w:rPr>
        <w:t>.</w:t>
      </w:r>
    </w:p>
  </w:footnote>
  <w:footnote w:id="35">
    <w:p w14:paraId="20BB1B57" w14:textId="53F91284" w:rsidR="00CC1522" w:rsidRPr="00BB0A50" w:rsidRDefault="00CC1522" w:rsidP="00BB0A50">
      <w:pPr>
        <w:pStyle w:val="FootnoteText"/>
        <w:jc w:val="both"/>
        <w:rPr>
          <w:rFonts w:ascii="Arial" w:hAnsi="Arial" w:cs="Arial"/>
          <w:lang w:val="en-GB"/>
        </w:rPr>
      </w:pPr>
      <w:r w:rsidRPr="00BE67BF">
        <w:rPr>
          <w:rStyle w:val="FootnoteReference"/>
          <w:rFonts w:ascii="Arial" w:hAnsi="Arial" w:cs="Arial"/>
        </w:rPr>
        <w:footnoteRef/>
      </w:r>
      <w:r w:rsidRPr="00BE67BF">
        <w:rPr>
          <w:rFonts w:ascii="Arial" w:hAnsi="Arial" w:cs="Arial"/>
        </w:rPr>
        <w:t xml:space="preserve"> Ibid</w:t>
      </w:r>
      <w:r w:rsidRPr="00BE67BF">
        <w:rPr>
          <w:rFonts w:ascii="Arial" w:hAnsi="Arial" w:cs="Arial"/>
          <w:i/>
          <w:lang w:val="en-GB"/>
        </w:rPr>
        <w:t xml:space="preserve"> </w:t>
      </w:r>
      <w:r w:rsidRPr="00BE67BF">
        <w:rPr>
          <w:rFonts w:ascii="Arial" w:hAnsi="Arial" w:cs="Arial"/>
          <w:lang w:val="en-GB"/>
        </w:rPr>
        <w:t>p</w:t>
      </w:r>
      <w:r w:rsidRPr="00BB0A50">
        <w:rPr>
          <w:rFonts w:ascii="Arial" w:hAnsi="Arial" w:cs="Arial"/>
          <w:lang w:val="en-GB"/>
        </w:rPr>
        <w:t>ara 26.</w:t>
      </w:r>
    </w:p>
  </w:footnote>
  <w:footnote w:id="36">
    <w:p w14:paraId="514424E3" w14:textId="2A485104" w:rsidR="00CC1522" w:rsidRPr="006F77EA" w:rsidRDefault="00CC1522" w:rsidP="006F77EA">
      <w:pPr>
        <w:pStyle w:val="FootnoteText"/>
        <w:tabs>
          <w:tab w:val="left" w:pos="4202"/>
        </w:tabs>
        <w:jc w:val="both"/>
        <w:rPr>
          <w:rFonts w:ascii="Arial" w:hAnsi="Arial" w:cs="Arial"/>
          <w:lang w:val="en-GB"/>
        </w:rPr>
      </w:pPr>
      <w:r w:rsidRPr="00CA77EB">
        <w:rPr>
          <w:rStyle w:val="FootnoteReference"/>
          <w:rFonts w:ascii="Arial" w:hAnsi="Arial" w:cs="Arial"/>
        </w:rPr>
        <w:footnoteRef/>
      </w:r>
      <w:r w:rsidRPr="00CA77EB">
        <w:rPr>
          <w:rFonts w:ascii="Arial" w:hAnsi="Arial" w:cs="Arial"/>
        </w:rPr>
        <w:t xml:space="preserve"> </w:t>
      </w:r>
      <w:r w:rsidRPr="00CA77EB">
        <w:rPr>
          <w:rFonts w:ascii="Arial" w:hAnsi="Arial" w:cs="Arial"/>
          <w:lang w:val="en-GB"/>
        </w:rPr>
        <w:t>Ib</w:t>
      </w:r>
      <w:r w:rsidRPr="006F77EA">
        <w:rPr>
          <w:rFonts w:ascii="Arial" w:hAnsi="Arial" w:cs="Arial"/>
          <w:lang w:val="en-GB"/>
        </w:rPr>
        <w:t>id.</w:t>
      </w:r>
      <w:r>
        <w:rPr>
          <w:rFonts w:ascii="Arial" w:hAnsi="Arial" w:cs="Arial"/>
          <w:lang w:val="en-GB"/>
        </w:rPr>
        <w:tab/>
      </w:r>
    </w:p>
  </w:footnote>
  <w:footnote w:id="37">
    <w:p w14:paraId="3DDAAFDB" w14:textId="473DDACB" w:rsidR="00CC1522" w:rsidRPr="006F77EA" w:rsidRDefault="00CC1522" w:rsidP="00CA77EB">
      <w:pPr>
        <w:pStyle w:val="FootnoteText"/>
        <w:jc w:val="both"/>
        <w:rPr>
          <w:rFonts w:ascii="Arial" w:hAnsi="Arial" w:cs="Arial"/>
          <w:lang w:val="en-GB"/>
        </w:rPr>
      </w:pPr>
      <w:r w:rsidRPr="006F77EA">
        <w:rPr>
          <w:rStyle w:val="FootnoteReference"/>
          <w:rFonts w:ascii="Arial" w:hAnsi="Arial" w:cs="Arial"/>
        </w:rPr>
        <w:footnoteRef/>
      </w:r>
      <w:r w:rsidRPr="006F77EA">
        <w:rPr>
          <w:rFonts w:ascii="Arial" w:hAnsi="Arial" w:cs="Arial"/>
        </w:rPr>
        <w:t xml:space="preserve"> </w:t>
      </w:r>
      <w:r w:rsidRPr="006F77EA">
        <w:rPr>
          <w:rFonts w:ascii="Arial" w:hAnsi="Arial" w:cs="Arial"/>
          <w:i/>
        </w:rPr>
        <w:t xml:space="preserve">Nelson Mandela Bay Municipality and Others v Qaba and Another </w:t>
      </w:r>
      <w:r w:rsidRPr="006F77EA">
        <w:rPr>
          <w:rFonts w:ascii="Arial" w:hAnsi="Arial" w:cs="Arial"/>
        </w:rPr>
        <w:t>[2022] 3 All SA 239</w:t>
      </w:r>
      <w:r>
        <w:rPr>
          <w:rFonts w:ascii="Arial" w:hAnsi="Arial" w:cs="Arial"/>
        </w:rPr>
        <w:t xml:space="preserve"> (ECP)</w:t>
      </w:r>
      <w:r w:rsidRPr="006F77EA">
        <w:rPr>
          <w:rFonts w:ascii="Arial" w:hAnsi="Arial" w:cs="Arial"/>
        </w:rPr>
        <w:t xml:space="preserve">. </w:t>
      </w:r>
      <w:r w:rsidRPr="006F77EA">
        <w:rPr>
          <w:rFonts w:ascii="Arial" w:hAnsi="Arial" w:cs="Arial"/>
          <w:i/>
        </w:rPr>
        <w:t xml:space="preserve"> </w:t>
      </w:r>
    </w:p>
  </w:footnote>
  <w:footnote w:id="38">
    <w:p w14:paraId="2D0DF008" w14:textId="7BAA0ABB" w:rsidR="00CC1522" w:rsidRPr="00CA77EB" w:rsidRDefault="00CC1522" w:rsidP="00CA77EB">
      <w:pPr>
        <w:pStyle w:val="FootnoteText"/>
        <w:jc w:val="both"/>
        <w:rPr>
          <w:rFonts w:ascii="Arial" w:hAnsi="Arial" w:cs="Arial"/>
          <w:lang w:val="en-GB"/>
        </w:rPr>
      </w:pPr>
      <w:r w:rsidRPr="006F77EA">
        <w:rPr>
          <w:rStyle w:val="FootnoteReference"/>
          <w:rFonts w:ascii="Arial" w:hAnsi="Arial" w:cs="Arial"/>
        </w:rPr>
        <w:footnoteRef/>
      </w:r>
      <w:r w:rsidRPr="006F77EA">
        <w:rPr>
          <w:rFonts w:ascii="Arial" w:hAnsi="Arial" w:cs="Arial"/>
        </w:rPr>
        <w:t xml:space="preserve"> </w:t>
      </w:r>
      <w:r w:rsidRPr="006F77EA">
        <w:rPr>
          <w:rFonts w:ascii="Arial" w:hAnsi="Arial" w:cs="Arial"/>
          <w:lang w:val="en-GB"/>
        </w:rPr>
        <w:t>Section 20(1) and (2) of the Structures Act.</w:t>
      </w:r>
    </w:p>
  </w:footnote>
  <w:footnote w:id="39">
    <w:p w14:paraId="1735F6A0" w14:textId="7C53EABC" w:rsidR="00CC1522" w:rsidRPr="00BE67BF" w:rsidRDefault="00CC1522" w:rsidP="004B579A">
      <w:pPr>
        <w:pStyle w:val="FootnoteText"/>
        <w:jc w:val="both"/>
        <w:rPr>
          <w:rFonts w:ascii="Arial" w:hAnsi="Arial" w:cs="Arial"/>
          <w:lang w:val="en-GB"/>
        </w:rPr>
      </w:pPr>
      <w:r w:rsidRPr="004B579A">
        <w:rPr>
          <w:rStyle w:val="FootnoteReference"/>
          <w:rFonts w:ascii="Arial" w:hAnsi="Arial" w:cs="Arial"/>
        </w:rPr>
        <w:footnoteRef/>
      </w:r>
      <w:r w:rsidRPr="004B579A">
        <w:rPr>
          <w:rFonts w:ascii="Arial" w:hAnsi="Arial" w:cs="Arial"/>
        </w:rPr>
        <w:t xml:space="preserve"> </w:t>
      </w:r>
      <w:r w:rsidRPr="004B579A">
        <w:rPr>
          <w:rFonts w:ascii="Arial" w:hAnsi="Arial" w:cs="Arial"/>
          <w:i/>
          <w:lang w:val="en-GB"/>
        </w:rPr>
        <w:t>Mi</w:t>
      </w:r>
      <w:r w:rsidRPr="00BE67BF">
        <w:rPr>
          <w:rFonts w:ascii="Arial" w:hAnsi="Arial" w:cs="Arial"/>
          <w:i/>
          <w:lang w:val="en-GB"/>
        </w:rPr>
        <w:t xml:space="preserve">nister of Public Service and Administration and Another v Public Servants Association obo Makwela and Others </w:t>
      </w:r>
      <w:r w:rsidRPr="00BE67BF">
        <w:rPr>
          <w:rFonts w:ascii="Arial" w:hAnsi="Arial" w:cs="Arial"/>
          <w:lang w:val="en-GB"/>
        </w:rPr>
        <w:t>[2017] ZALAC 64; [2018] 1 BLLR 7 (LAC); (2018) 39 ILJ 376 (LAC).</w:t>
      </w:r>
    </w:p>
  </w:footnote>
  <w:footnote w:id="40">
    <w:p w14:paraId="6B0ADFD6" w14:textId="07AE21D1" w:rsidR="00CC1522" w:rsidRPr="00BE67BF" w:rsidRDefault="00CC1522" w:rsidP="000644F9">
      <w:pPr>
        <w:pStyle w:val="FootnoteText"/>
        <w:jc w:val="both"/>
        <w:rPr>
          <w:rFonts w:ascii="Arial" w:hAnsi="Arial" w:cs="Arial"/>
          <w:lang w:val="en-GB"/>
        </w:rPr>
      </w:pPr>
      <w:r w:rsidRPr="00BE67BF">
        <w:rPr>
          <w:rStyle w:val="FootnoteReference"/>
          <w:rFonts w:ascii="Arial" w:hAnsi="Arial" w:cs="Arial"/>
        </w:rPr>
        <w:footnoteRef/>
      </w:r>
      <w:r w:rsidRPr="00BE67BF">
        <w:rPr>
          <w:rFonts w:ascii="Arial" w:hAnsi="Arial" w:cs="Arial"/>
        </w:rPr>
        <w:t xml:space="preserve"> Asla para 118.</w:t>
      </w:r>
    </w:p>
  </w:footnote>
  <w:footnote w:id="41">
    <w:p w14:paraId="750A8D7F" w14:textId="4196CB0A" w:rsidR="00CC1522" w:rsidRPr="00CE1114" w:rsidRDefault="00CC1522" w:rsidP="00CE1114">
      <w:pPr>
        <w:pStyle w:val="FootnoteText"/>
        <w:jc w:val="both"/>
        <w:rPr>
          <w:rFonts w:ascii="Arial" w:hAnsi="Arial" w:cs="Arial"/>
          <w:lang w:val="en-GB"/>
        </w:rPr>
      </w:pPr>
      <w:r w:rsidRPr="00BE67BF">
        <w:rPr>
          <w:rStyle w:val="FootnoteReference"/>
          <w:rFonts w:ascii="Arial" w:hAnsi="Arial" w:cs="Arial"/>
        </w:rPr>
        <w:footnoteRef/>
      </w:r>
      <w:r w:rsidRPr="00BE67BF">
        <w:rPr>
          <w:rFonts w:ascii="Arial" w:hAnsi="Arial" w:cs="Arial"/>
        </w:rPr>
        <w:t xml:space="preserve"> </w:t>
      </w:r>
      <w:r w:rsidRPr="00BE67BF">
        <w:rPr>
          <w:rFonts w:ascii="Arial" w:hAnsi="Arial" w:cs="Arial"/>
          <w:i/>
          <w:lang w:val="en-GB"/>
        </w:rPr>
        <w:t xml:space="preserve">Biowatch </w:t>
      </w:r>
      <w:r w:rsidRPr="00BE67BF">
        <w:rPr>
          <w:rFonts w:ascii="Arial" w:hAnsi="Arial" w:cs="Arial"/>
          <w:i/>
        </w:rPr>
        <w:t xml:space="preserve">Trust v Registrar Genetic Resources and Others </w:t>
      </w:r>
      <w:r w:rsidRPr="00BE67BF">
        <w:rPr>
          <w:rFonts w:ascii="Arial" w:hAnsi="Arial" w:cs="Arial"/>
        </w:rPr>
        <w:t>[2009] ZACC 14; 2009 (6) SA 232 (CC)</w:t>
      </w:r>
      <w:r>
        <w:rPr>
          <w:rFonts w:ascii="Arial" w:hAnsi="Arial" w:cs="Arial"/>
        </w:rPr>
        <w:t xml:space="preserve">; </w:t>
      </w:r>
      <w:r w:rsidRPr="00144A95">
        <w:rPr>
          <w:rFonts w:ascii="Arial" w:hAnsi="Arial" w:cs="Arial"/>
        </w:rPr>
        <w:t>2009 (10) BCLR 1014 (CC)</w:t>
      </w:r>
      <w:r w:rsidRPr="00BE67BF">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91501"/>
      <w:docPartObj>
        <w:docPartGallery w:val="Page Numbers (Top of Page)"/>
        <w:docPartUnique/>
      </w:docPartObj>
    </w:sdtPr>
    <w:sdtEndPr>
      <w:rPr>
        <w:noProof/>
      </w:rPr>
    </w:sdtEndPr>
    <w:sdtContent>
      <w:p w14:paraId="0235FCBF" w14:textId="4D15CED6" w:rsidR="00CC1522" w:rsidRDefault="00CC1522">
        <w:pPr>
          <w:pStyle w:val="Header"/>
          <w:jc w:val="right"/>
        </w:pPr>
        <w:r>
          <w:fldChar w:fldCharType="begin"/>
        </w:r>
        <w:r>
          <w:instrText xml:space="preserve"> PAGE   \* MERGEFORMAT </w:instrText>
        </w:r>
        <w:r>
          <w:fldChar w:fldCharType="separate"/>
        </w:r>
        <w:r w:rsidR="00F669AB">
          <w:rPr>
            <w:noProof/>
          </w:rPr>
          <w:t>1</w:t>
        </w:r>
        <w:r>
          <w:rPr>
            <w:noProof/>
          </w:rPr>
          <w:fldChar w:fldCharType="end"/>
        </w:r>
      </w:p>
    </w:sdtContent>
  </w:sdt>
  <w:p w14:paraId="2614550F" w14:textId="77777777" w:rsidR="00CC1522" w:rsidRDefault="00CC15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702"/>
    <w:multiLevelType w:val="hybridMultilevel"/>
    <w:tmpl w:val="2AC2C59E"/>
    <w:lvl w:ilvl="0" w:tplc="DA767BEC">
      <w:start w:val="1"/>
      <w:numFmt w:val="lowerLetter"/>
      <w:lvlText w:val="(%1)"/>
      <w:lvlJc w:val="left"/>
      <w:pPr>
        <w:ind w:left="720" w:hanging="360"/>
      </w:pPr>
      <w:rPr>
        <w:rFonts w:hint="default"/>
      </w:rPr>
    </w:lvl>
    <w:lvl w:ilvl="1" w:tplc="EA2EA29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8C3D27"/>
    <w:multiLevelType w:val="hybridMultilevel"/>
    <w:tmpl w:val="42400ADA"/>
    <w:lvl w:ilvl="0" w:tplc="63E609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B248F8"/>
    <w:multiLevelType w:val="hybridMultilevel"/>
    <w:tmpl w:val="3CD299B6"/>
    <w:lvl w:ilvl="0" w:tplc="4AA065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1330F5"/>
    <w:multiLevelType w:val="hybridMultilevel"/>
    <w:tmpl w:val="F01C0954"/>
    <w:lvl w:ilvl="0" w:tplc="8932D0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62636C"/>
    <w:multiLevelType w:val="hybridMultilevel"/>
    <w:tmpl w:val="7DBE5990"/>
    <w:lvl w:ilvl="0" w:tplc="7848E4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310AE"/>
    <w:multiLevelType w:val="multilevel"/>
    <w:tmpl w:val="264A65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46DDC"/>
    <w:multiLevelType w:val="hybridMultilevel"/>
    <w:tmpl w:val="A0AA32A8"/>
    <w:lvl w:ilvl="0" w:tplc="DA767BE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3FAE3F8A"/>
    <w:multiLevelType w:val="hybridMultilevel"/>
    <w:tmpl w:val="BE66DD0E"/>
    <w:lvl w:ilvl="0" w:tplc="464641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267626"/>
    <w:multiLevelType w:val="hybridMultilevel"/>
    <w:tmpl w:val="AC863C82"/>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1663A3"/>
    <w:multiLevelType w:val="hybridMultilevel"/>
    <w:tmpl w:val="5418A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9067B4"/>
    <w:multiLevelType w:val="hybridMultilevel"/>
    <w:tmpl w:val="114630EE"/>
    <w:lvl w:ilvl="0" w:tplc="D5B89D48">
      <w:start w:val="1"/>
      <w:numFmt w:val="decimal"/>
      <w:lvlText w:val="[%1]"/>
      <w:lvlJc w:val="left"/>
      <w:pPr>
        <w:ind w:left="720" w:hanging="360"/>
      </w:pPr>
      <w:rPr>
        <w:rFonts w:ascii="Arial" w:hAnsi="Arial" w:cs="Arial" w:hint="default"/>
        <w:b w:val="0"/>
        <w:i w:val="0"/>
        <w:color w:val="auto"/>
        <w:sz w:val="24"/>
        <w:szCs w:val="24"/>
      </w:rPr>
    </w:lvl>
    <w:lvl w:ilvl="1" w:tplc="348C5ECA">
      <w:start w:val="1"/>
      <w:numFmt w:val="decimal"/>
      <w:lvlText w:val="(%2)"/>
      <w:lvlJc w:val="left"/>
      <w:pPr>
        <w:ind w:left="1440" w:hanging="360"/>
      </w:pPr>
      <w:rPr>
        <w:rFonts w:hint="default"/>
      </w:rPr>
    </w:lvl>
    <w:lvl w:ilvl="2" w:tplc="8CC027B8">
      <w:start w:val="1"/>
      <w:numFmt w:val="lowerLetter"/>
      <w:lvlText w:val="(%3)"/>
      <w:lvlJc w:val="left"/>
      <w:pPr>
        <w:ind w:left="2700" w:hanging="720"/>
      </w:pPr>
      <w:rPr>
        <w:rFonts w:hint="default"/>
        <w:i w:val="0"/>
      </w:rPr>
    </w:lvl>
    <w:lvl w:ilvl="3" w:tplc="11F2B276">
      <w:start w:val="1"/>
      <w:numFmt w:val="decimal"/>
      <w:lvlText w:val="%4."/>
      <w:lvlJc w:val="left"/>
      <w:pPr>
        <w:ind w:left="3240" w:hanging="72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6055529"/>
    <w:multiLevelType w:val="hybridMultilevel"/>
    <w:tmpl w:val="34FE478C"/>
    <w:lvl w:ilvl="0" w:tplc="AB5C9630">
      <w:start w:val="1"/>
      <w:numFmt w:val="lowerRoman"/>
      <w:lvlText w:val="(%1)"/>
      <w:lvlJc w:val="left"/>
      <w:pPr>
        <w:ind w:left="1080" w:hanging="72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B5878C5"/>
    <w:multiLevelType w:val="hybridMultilevel"/>
    <w:tmpl w:val="DC0C65D4"/>
    <w:lvl w:ilvl="0" w:tplc="E104D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701124"/>
    <w:multiLevelType w:val="hybridMultilevel"/>
    <w:tmpl w:val="4C68B4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EA05044"/>
    <w:multiLevelType w:val="hybridMultilevel"/>
    <w:tmpl w:val="CA56CEC0"/>
    <w:lvl w:ilvl="0" w:tplc="8DC06C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16A51EA"/>
    <w:multiLevelType w:val="hybridMultilevel"/>
    <w:tmpl w:val="908CD8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A9F0974"/>
    <w:multiLevelType w:val="hybridMultilevel"/>
    <w:tmpl w:val="E22C48F0"/>
    <w:lvl w:ilvl="0" w:tplc="70CA5F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3F3B9E"/>
    <w:multiLevelType w:val="hybridMultilevel"/>
    <w:tmpl w:val="9808EFE8"/>
    <w:lvl w:ilvl="0" w:tplc="DA767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7"/>
  </w:num>
  <w:num w:numId="5">
    <w:abstractNumId w:val="14"/>
  </w:num>
  <w:num w:numId="6">
    <w:abstractNumId w:val="6"/>
  </w:num>
  <w:num w:numId="7">
    <w:abstractNumId w:val="17"/>
  </w:num>
  <w:num w:numId="8">
    <w:abstractNumId w:val="0"/>
  </w:num>
  <w:num w:numId="9">
    <w:abstractNumId w:val="8"/>
  </w:num>
  <w:num w:numId="10">
    <w:abstractNumId w:val="5"/>
  </w:num>
  <w:num w:numId="11">
    <w:abstractNumId w:val="2"/>
  </w:num>
  <w:num w:numId="12">
    <w:abstractNumId w:val="3"/>
  </w:num>
  <w:num w:numId="13">
    <w:abstractNumId w:val="1"/>
  </w:num>
  <w:num w:numId="14">
    <w:abstractNumId w:val="16"/>
  </w:num>
  <w:num w:numId="15">
    <w:abstractNumId w:val="4"/>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59"/>
    <w:rsid w:val="00001AFB"/>
    <w:rsid w:val="00001F32"/>
    <w:rsid w:val="0000248D"/>
    <w:rsid w:val="00004DF6"/>
    <w:rsid w:val="00005E99"/>
    <w:rsid w:val="00006308"/>
    <w:rsid w:val="00007E36"/>
    <w:rsid w:val="0001011A"/>
    <w:rsid w:val="00013448"/>
    <w:rsid w:val="000208B4"/>
    <w:rsid w:val="00021732"/>
    <w:rsid w:val="00022AF8"/>
    <w:rsid w:val="000234F5"/>
    <w:rsid w:val="000237ED"/>
    <w:rsid w:val="00023F57"/>
    <w:rsid w:val="00032FC8"/>
    <w:rsid w:val="00033155"/>
    <w:rsid w:val="00033889"/>
    <w:rsid w:val="00035F5C"/>
    <w:rsid w:val="0004079C"/>
    <w:rsid w:val="0004143C"/>
    <w:rsid w:val="00042003"/>
    <w:rsid w:val="000421AB"/>
    <w:rsid w:val="0004329D"/>
    <w:rsid w:val="00046F9E"/>
    <w:rsid w:val="0004784E"/>
    <w:rsid w:val="00053C94"/>
    <w:rsid w:val="00054E94"/>
    <w:rsid w:val="00057E47"/>
    <w:rsid w:val="00060AC6"/>
    <w:rsid w:val="00060C8B"/>
    <w:rsid w:val="000644F9"/>
    <w:rsid w:val="00071C96"/>
    <w:rsid w:val="00074DB1"/>
    <w:rsid w:val="00075B5C"/>
    <w:rsid w:val="0007669E"/>
    <w:rsid w:val="00077F42"/>
    <w:rsid w:val="00080E4A"/>
    <w:rsid w:val="000861BF"/>
    <w:rsid w:val="00087172"/>
    <w:rsid w:val="00087884"/>
    <w:rsid w:val="000967A3"/>
    <w:rsid w:val="000968D2"/>
    <w:rsid w:val="000A261A"/>
    <w:rsid w:val="000A34EC"/>
    <w:rsid w:val="000A691D"/>
    <w:rsid w:val="000A746C"/>
    <w:rsid w:val="000B256F"/>
    <w:rsid w:val="000B2608"/>
    <w:rsid w:val="000B2A82"/>
    <w:rsid w:val="000B39F9"/>
    <w:rsid w:val="000B3ADB"/>
    <w:rsid w:val="000C21B1"/>
    <w:rsid w:val="000C37D3"/>
    <w:rsid w:val="000C7C94"/>
    <w:rsid w:val="000D7899"/>
    <w:rsid w:val="000E2BCF"/>
    <w:rsid w:val="000E3040"/>
    <w:rsid w:val="000E5934"/>
    <w:rsid w:val="000F11EB"/>
    <w:rsid w:val="000F4016"/>
    <w:rsid w:val="0010187B"/>
    <w:rsid w:val="001025CD"/>
    <w:rsid w:val="001037B9"/>
    <w:rsid w:val="00105180"/>
    <w:rsid w:val="00122E42"/>
    <w:rsid w:val="00125771"/>
    <w:rsid w:val="001270BE"/>
    <w:rsid w:val="0013459F"/>
    <w:rsid w:val="00140685"/>
    <w:rsid w:val="00144A95"/>
    <w:rsid w:val="00144F68"/>
    <w:rsid w:val="00145BE5"/>
    <w:rsid w:val="0015030B"/>
    <w:rsid w:val="00150A14"/>
    <w:rsid w:val="00154767"/>
    <w:rsid w:val="00154DF4"/>
    <w:rsid w:val="00155662"/>
    <w:rsid w:val="00156DE9"/>
    <w:rsid w:val="00162598"/>
    <w:rsid w:val="00172CC9"/>
    <w:rsid w:val="00173EC8"/>
    <w:rsid w:val="00180531"/>
    <w:rsid w:val="001807AF"/>
    <w:rsid w:val="00181F68"/>
    <w:rsid w:val="00186A07"/>
    <w:rsid w:val="001927BA"/>
    <w:rsid w:val="001946A3"/>
    <w:rsid w:val="0019679D"/>
    <w:rsid w:val="001A49D4"/>
    <w:rsid w:val="001B279C"/>
    <w:rsid w:val="001B44BE"/>
    <w:rsid w:val="001B5C61"/>
    <w:rsid w:val="001B7E84"/>
    <w:rsid w:val="001C40D6"/>
    <w:rsid w:val="001C51BD"/>
    <w:rsid w:val="001C5B5C"/>
    <w:rsid w:val="001C6F76"/>
    <w:rsid w:val="001D03C2"/>
    <w:rsid w:val="001D063F"/>
    <w:rsid w:val="001D2192"/>
    <w:rsid w:val="001D70C3"/>
    <w:rsid w:val="001E1439"/>
    <w:rsid w:val="001E2E2F"/>
    <w:rsid w:val="001E7111"/>
    <w:rsid w:val="001E71B6"/>
    <w:rsid w:val="001F1306"/>
    <w:rsid w:val="001F28E0"/>
    <w:rsid w:val="001F2D2D"/>
    <w:rsid w:val="00206D00"/>
    <w:rsid w:val="002105F5"/>
    <w:rsid w:val="00213447"/>
    <w:rsid w:val="00223560"/>
    <w:rsid w:val="00224CDC"/>
    <w:rsid w:val="002250D4"/>
    <w:rsid w:val="002258D7"/>
    <w:rsid w:val="002277E7"/>
    <w:rsid w:val="00227CAD"/>
    <w:rsid w:val="00227ED0"/>
    <w:rsid w:val="002303A4"/>
    <w:rsid w:val="00232573"/>
    <w:rsid w:val="002362F8"/>
    <w:rsid w:val="00242A42"/>
    <w:rsid w:val="00243506"/>
    <w:rsid w:val="00243F50"/>
    <w:rsid w:val="00245600"/>
    <w:rsid w:val="00246488"/>
    <w:rsid w:val="00246491"/>
    <w:rsid w:val="002475FF"/>
    <w:rsid w:val="00253B9E"/>
    <w:rsid w:val="00254C88"/>
    <w:rsid w:val="002608DF"/>
    <w:rsid w:val="0026197B"/>
    <w:rsid w:val="002630BF"/>
    <w:rsid w:val="00273780"/>
    <w:rsid w:val="00280E0C"/>
    <w:rsid w:val="00296DE2"/>
    <w:rsid w:val="002A5865"/>
    <w:rsid w:val="002B12C8"/>
    <w:rsid w:val="002B1807"/>
    <w:rsid w:val="002B5CC2"/>
    <w:rsid w:val="002B7D79"/>
    <w:rsid w:val="002C4E10"/>
    <w:rsid w:val="002D01D6"/>
    <w:rsid w:val="002D0E5F"/>
    <w:rsid w:val="002D433E"/>
    <w:rsid w:val="002D5C4E"/>
    <w:rsid w:val="002D79FC"/>
    <w:rsid w:val="002E18FC"/>
    <w:rsid w:val="002E1BCA"/>
    <w:rsid w:val="002E200D"/>
    <w:rsid w:val="002E3306"/>
    <w:rsid w:val="002E6A6E"/>
    <w:rsid w:val="002E7E1D"/>
    <w:rsid w:val="002F2074"/>
    <w:rsid w:val="002F2FE3"/>
    <w:rsid w:val="002F558E"/>
    <w:rsid w:val="002F7512"/>
    <w:rsid w:val="002F7B2C"/>
    <w:rsid w:val="00304CEB"/>
    <w:rsid w:val="00307CE5"/>
    <w:rsid w:val="00307F45"/>
    <w:rsid w:val="00312AD9"/>
    <w:rsid w:val="003165A9"/>
    <w:rsid w:val="00323B1B"/>
    <w:rsid w:val="003275EA"/>
    <w:rsid w:val="00327679"/>
    <w:rsid w:val="00333A20"/>
    <w:rsid w:val="003408BD"/>
    <w:rsid w:val="00342C8C"/>
    <w:rsid w:val="00343DB0"/>
    <w:rsid w:val="00345EE8"/>
    <w:rsid w:val="0034716E"/>
    <w:rsid w:val="00347CC1"/>
    <w:rsid w:val="0035004D"/>
    <w:rsid w:val="003539C5"/>
    <w:rsid w:val="00353D13"/>
    <w:rsid w:val="00354B67"/>
    <w:rsid w:val="00364549"/>
    <w:rsid w:val="003655B9"/>
    <w:rsid w:val="003663FC"/>
    <w:rsid w:val="0036679F"/>
    <w:rsid w:val="0037153E"/>
    <w:rsid w:val="00372246"/>
    <w:rsid w:val="0037394B"/>
    <w:rsid w:val="00374EAB"/>
    <w:rsid w:val="003807FD"/>
    <w:rsid w:val="00385F85"/>
    <w:rsid w:val="00390486"/>
    <w:rsid w:val="0039110F"/>
    <w:rsid w:val="003919DF"/>
    <w:rsid w:val="00394951"/>
    <w:rsid w:val="00394A4A"/>
    <w:rsid w:val="003A33A7"/>
    <w:rsid w:val="003B0816"/>
    <w:rsid w:val="003B3B7F"/>
    <w:rsid w:val="003B5A3F"/>
    <w:rsid w:val="003C0E85"/>
    <w:rsid w:val="003C160C"/>
    <w:rsid w:val="003C64F7"/>
    <w:rsid w:val="003D5B2C"/>
    <w:rsid w:val="003E23FE"/>
    <w:rsid w:val="003E594A"/>
    <w:rsid w:val="003E6C24"/>
    <w:rsid w:val="003F535E"/>
    <w:rsid w:val="003F620F"/>
    <w:rsid w:val="00407346"/>
    <w:rsid w:val="004073D1"/>
    <w:rsid w:val="004101BE"/>
    <w:rsid w:val="0041299F"/>
    <w:rsid w:val="004175AE"/>
    <w:rsid w:val="00423251"/>
    <w:rsid w:val="00433514"/>
    <w:rsid w:val="0043356B"/>
    <w:rsid w:val="00434296"/>
    <w:rsid w:val="00446963"/>
    <w:rsid w:val="00446DBD"/>
    <w:rsid w:val="00447645"/>
    <w:rsid w:val="00450611"/>
    <w:rsid w:val="00450C22"/>
    <w:rsid w:val="00450E72"/>
    <w:rsid w:val="004516C8"/>
    <w:rsid w:val="00452CC0"/>
    <w:rsid w:val="00460943"/>
    <w:rsid w:val="00462748"/>
    <w:rsid w:val="0047223E"/>
    <w:rsid w:val="004814F9"/>
    <w:rsid w:val="00483B50"/>
    <w:rsid w:val="0048734E"/>
    <w:rsid w:val="00492626"/>
    <w:rsid w:val="00494086"/>
    <w:rsid w:val="004948AE"/>
    <w:rsid w:val="00494D97"/>
    <w:rsid w:val="004A3E58"/>
    <w:rsid w:val="004B0B50"/>
    <w:rsid w:val="004B45EB"/>
    <w:rsid w:val="004B579A"/>
    <w:rsid w:val="004B7667"/>
    <w:rsid w:val="004C105E"/>
    <w:rsid w:val="004C24EC"/>
    <w:rsid w:val="004C534A"/>
    <w:rsid w:val="004C5E19"/>
    <w:rsid w:val="004D1E7C"/>
    <w:rsid w:val="004D3177"/>
    <w:rsid w:val="004D3DA5"/>
    <w:rsid w:val="004D7695"/>
    <w:rsid w:val="004E0E5D"/>
    <w:rsid w:val="004E441D"/>
    <w:rsid w:val="004E48AC"/>
    <w:rsid w:val="004E5B18"/>
    <w:rsid w:val="004E61BF"/>
    <w:rsid w:val="004F002A"/>
    <w:rsid w:val="004F0FF4"/>
    <w:rsid w:val="004F1DE3"/>
    <w:rsid w:val="004F4BE0"/>
    <w:rsid w:val="005025D0"/>
    <w:rsid w:val="00504378"/>
    <w:rsid w:val="00506A10"/>
    <w:rsid w:val="00507398"/>
    <w:rsid w:val="005077FE"/>
    <w:rsid w:val="005106A3"/>
    <w:rsid w:val="00511032"/>
    <w:rsid w:val="005122E9"/>
    <w:rsid w:val="00512F52"/>
    <w:rsid w:val="0051578C"/>
    <w:rsid w:val="005207AE"/>
    <w:rsid w:val="00521E38"/>
    <w:rsid w:val="00522AE0"/>
    <w:rsid w:val="00523352"/>
    <w:rsid w:val="00525716"/>
    <w:rsid w:val="005365E7"/>
    <w:rsid w:val="00536D88"/>
    <w:rsid w:val="00542428"/>
    <w:rsid w:val="00543914"/>
    <w:rsid w:val="00544D20"/>
    <w:rsid w:val="00546384"/>
    <w:rsid w:val="00547BF0"/>
    <w:rsid w:val="00553183"/>
    <w:rsid w:val="0056044F"/>
    <w:rsid w:val="005633F3"/>
    <w:rsid w:val="00571BAB"/>
    <w:rsid w:val="0057616E"/>
    <w:rsid w:val="00577418"/>
    <w:rsid w:val="00580881"/>
    <w:rsid w:val="005810A0"/>
    <w:rsid w:val="00581FE2"/>
    <w:rsid w:val="0058696A"/>
    <w:rsid w:val="00593339"/>
    <w:rsid w:val="005951B0"/>
    <w:rsid w:val="00596114"/>
    <w:rsid w:val="005A1D0F"/>
    <w:rsid w:val="005A4110"/>
    <w:rsid w:val="005A4E7A"/>
    <w:rsid w:val="005A73E1"/>
    <w:rsid w:val="005A745C"/>
    <w:rsid w:val="005D51A3"/>
    <w:rsid w:val="005D769F"/>
    <w:rsid w:val="005E1C06"/>
    <w:rsid w:val="005E1F48"/>
    <w:rsid w:val="005F1EFA"/>
    <w:rsid w:val="005F247C"/>
    <w:rsid w:val="005F2E08"/>
    <w:rsid w:val="005F40AE"/>
    <w:rsid w:val="005F4F98"/>
    <w:rsid w:val="005F5974"/>
    <w:rsid w:val="006137DA"/>
    <w:rsid w:val="00614554"/>
    <w:rsid w:val="0061776A"/>
    <w:rsid w:val="0061790A"/>
    <w:rsid w:val="0062321C"/>
    <w:rsid w:val="00623F12"/>
    <w:rsid w:val="00625E3D"/>
    <w:rsid w:val="00630843"/>
    <w:rsid w:val="006324E4"/>
    <w:rsid w:val="00632541"/>
    <w:rsid w:val="00632675"/>
    <w:rsid w:val="00634E71"/>
    <w:rsid w:val="00635AD3"/>
    <w:rsid w:val="006428C8"/>
    <w:rsid w:val="00643DA2"/>
    <w:rsid w:val="00645C0F"/>
    <w:rsid w:val="00652DD6"/>
    <w:rsid w:val="00654676"/>
    <w:rsid w:val="00656F2A"/>
    <w:rsid w:val="0065778A"/>
    <w:rsid w:val="00660951"/>
    <w:rsid w:val="00664637"/>
    <w:rsid w:val="00666709"/>
    <w:rsid w:val="006700A3"/>
    <w:rsid w:val="00675CC5"/>
    <w:rsid w:val="00677C6F"/>
    <w:rsid w:val="006818E5"/>
    <w:rsid w:val="006849EA"/>
    <w:rsid w:val="00684B21"/>
    <w:rsid w:val="0069048E"/>
    <w:rsid w:val="00690B81"/>
    <w:rsid w:val="00693F49"/>
    <w:rsid w:val="006A3E6C"/>
    <w:rsid w:val="006A4034"/>
    <w:rsid w:val="006A5398"/>
    <w:rsid w:val="006B00DB"/>
    <w:rsid w:val="006B1424"/>
    <w:rsid w:val="006B231F"/>
    <w:rsid w:val="006B50D9"/>
    <w:rsid w:val="006B51CC"/>
    <w:rsid w:val="006C0A54"/>
    <w:rsid w:val="006C1768"/>
    <w:rsid w:val="006C1EC8"/>
    <w:rsid w:val="006C5B4C"/>
    <w:rsid w:val="006C66B6"/>
    <w:rsid w:val="006C725F"/>
    <w:rsid w:val="006C762B"/>
    <w:rsid w:val="006D1757"/>
    <w:rsid w:val="006D283A"/>
    <w:rsid w:val="006D3CAE"/>
    <w:rsid w:val="006D5EA9"/>
    <w:rsid w:val="006D63EC"/>
    <w:rsid w:val="006D7A1E"/>
    <w:rsid w:val="006E0F3C"/>
    <w:rsid w:val="006E12B5"/>
    <w:rsid w:val="006E3C10"/>
    <w:rsid w:val="006E4C7A"/>
    <w:rsid w:val="006E52E4"/>
    <w:rsid w:val="006E55AF"/>
    <w:rsid w:val="006E671E"/>
    <w:rsid w:val="006E6B22"/>
    <w:rsid w:val="006E6ECF"/>
    <w:rsid w:val="006E71CB"/>
    <w:rsid w:val="006F0805"/>
    <w:rsid w:val="006F169F"/>
    <w:rsid w:val="006F77EA"/>
    <w:rsid w:val="006F7874"/>
    <w:rsid w:val="007017A1"/>
    <w:rsid w:val="00701894"/>
    <w:rsid w:val="00705812"/>
    <w:rsid w:val="0070752E"/>
    <w:rsid w:val="007076D7"/>
    <w:rsid w:val="00712081"/>
    <w:rsid w:val="00712593"/>
    <w:rsid w:val="007176F8"/>
    <w:rsid w:val="00720608"/>
    <w:rsid w:val="0072118D"/>
    <w:rsid w:val="00726DAD"/>
    <w:rsid w:val="0073006D"/>
    <w:rsid w:val="00734DFC"/>
    <w:rsid w:val="00735B44"/>
    <w:rsid w:val="007402F4"/>
    <w:rsid w:val="00746535"/>
    <w:rsid w:val="00746963"/>
    <w:rsid w:val="0075035D"/>
    <w:rsid w:val="00750B72"/>
    <w:rsid w:val="007525A9"/>
    <w:rsid w:val="00753919"/>
    <w:rsid w:val="00754C88"/>
    <w:rsid w:val="00772102"/>
    <w:rsid w:val="00777B54"/>
    <w:rsid w:val="0078583D"/>
    <w:rsid w:val="00786042"/>
    <w:rsid w:val="00786DA8"/>
    <w:rsid w:val="00792127"/>
    <w:rsid w:val="007933D3"/>
    <w:rsid w:val="00795C44"/>
    <w:rsid w:val="007A3CA6"/>
    <w:rsid w:val="007A4EC5"/>
    <w:rsid w:val="007A4EC8"/>
    <w:rsid w:val="007A7C0F"/>
    <w:rsid w:val="007B0AEA"/>
    <w:rsid w:val="007B49AF"/>
    <w:rsid w:val="007C10E3"/>
    <w:rsid w:val="007C4371"/>
    <w:rsid w:val="007C4EFD"/>
    <w:rsid w:val="007D0FD6"/>
    <w:rsid w:val="007E174F"/>
    <w:rsid w:val="007E4539"/>
    <w:rsid w:val="007E6F78"/>
    <w:rsid w:val="007E7BD8"/>
    <w:rsid w:val="007F125C"/>
    <w:rsid w:val="007F5B6F"/>
    <w:rsid w:val="0080276F"/>
    <w:rsid w:val="008112D0"/>
    <w:rsid w:val="00812109"/>
    <w:rsid w:val="00821188"/>
    <w:rsid w:val="00821D69"/>
    <w:rsid w:val="00823D91"/>
    <w:rsid w:val="0082535D"/>
    <w:rsid w:val="00825C59"/>
    <w:rsid w:val="0082613F"/>
    <w:rsid w:val="008308E8"/>
    <w:rsid w:val="00833901"/>
    <w:rsid w:val="00834B82"/>
    <w:rsid w:val="00835E97"/>
    <w:rsid w:val="0084332F"/>
    <w:rsid w:val="00845255"/>
    <w:rsid w:val="00850625"/>
    <w:rsid w:val="00851347"/>
    <w:rsid w:val="00851EBA"/>
    <w:rsid w:val="00855A75"/>
    <w:rsid w:val="008568B7"/>
    <w:rsid w:val="00857B40"/>
    <w:rsid w:val="00860BB6"/>
    <w:rsid w:val="0086236E"/>
    <w:rsid w:val="00863B20"/>
    <w:rsid w:val="00863DFB"/>
    <w:rsid w:val="00870473"/>
    <w:rsid w:val="00873C1D"/>
    <w:rsid w:val="008741EC"/>
    <w:rsid w:val="0088126F"/>
    <w:rsid w:val="0088168E"/>
    <w:rsid w:val="00894892"/>
    <w:rsid w:val="00897CBA"/>
    <w:rsid w:val="008A09EE"/>
    <w:rsid w:val="008A2234"/>
    <w:rsid w:val="008A2C08"/>
    <w:rsid w:val="008A5E09"/>
    <w:rsid w:val="008A648D"/>
    <w:rsid w:val="008B07FF"/>
    <w:rsid w:val="008B256B"/>
    <w:rsid w:val="008B5B71"/>
    <w:rsid w:val="008B5CD7"/>
    <w:rsid w:val="008B7F5B"/>
    <w:rsid w:val="008C5655"/>
    <w:rsid w:val="008D2F98"/>
    <w:rsid w:val="008D5933"/>
    <w:rsid w:val="008D649B"/>
    <w:rsid w:val="008D74E0"/>
    <w:rsid w:val="008D7B0D"/>
    <w:rsid w:val="008E1E33"/>
    <w:rsid w:val="008F0DB0"/>
    <w:rsid w:val="008F17BC"/>
    <w:rsid w:val="008F2890"/>
    <w:rsid w:val="008F7BBE"/>
    <w:rsid w:val="008F7C6F"/>
    <w:rsid w:val="00902187"/>
    <w:rsid w:val="00904AC8"/>
    <w:rsid w:val="00904D01"/>
    <w:rsid w:val="009053F0"/>
    <w:rsid w:val="0090562D"/>
    <w:rsid w:val="009274A3"/>
    <w:rsid w:val="009316A8"/>
    <w:rsid w:val="009317C7"/>
    <w:rsid w:val="009322E6"/>
    <w:rsid w:val="0094210A"/>
    <w:rsid w:val="009437B7"/>
    <w:rsid w:val="009438E1"/>
    <w:rsid w:val="009466BD"/>
    <w:rsid w:val="00947969"/>
    <w:rsid w:val="00947E4F"/>
    <w:rsid w:val="0095015E"/>
    <w:rsid w:val="00951857"/>
    <w:rsid w:val="009561B8"/>
    <w:rsid w:val="009615D9"/>
    <w:rsid w:val="0096559B"/>
    <w:rsid w:val="009661FF"/>
    <w:rsid w:val="0096787D"/>
    <w:rsid w:val="009702BF"/>
    <w:rsid w:val="00971C60"/>
    <w:rsid w:val="00975DE1"/>
    <w:rsid w:val="0099291C"/>
    <w:rsid w:val="00992A75"/>
    <w:rsid w:val="009948C9"/>
    <w:rsid w:val="009967BE"/>
    <w:rsid w:val="009A0ECB"/>
    <w:rsid w:val="009A1C9A"/>
    <w:rsid w:val="009B230E"/>
    <w:rsid w:val="009B53AD"/>
    <w:rsid w:val="009B75E8"/>
    <w:rsid w:val="009C6F6E"/>
    <w:rsid w:val="009C7FFD"/>
    <w:rsid w:val="009E0423"/>
    <w:rsid w:val="009E13D5"/>
    <w:rsid w:val="009E2237"/>
    <w:rsid w:val="009E2C92"/>
    <w:rsid w:val="009F0458"/>
    <w:rsid w:val="009F0F3B"/>
    <w:rsid w:val="009F0F7E"/>
    <w:rsid w:val="009F4C69"/>
    <w:rsid w:val="00A023C8"/>
    <w:rsid w:val="00A040CF"/>
    <w:rsid w:val="00A157EE"/>
    <w:rsid w:val="00A15B85"/>
    <w:rsid w:val="00A20D83"/>
    <w:rsid w:val="00A22BB4"/>
    <w:rsid w:val="00A25C21"/>
    <w:rsid w:val="00A2653E"/>
    <w:rsid w:val="00A27055"/>
    <w:rsid w:val="00A3005D"/>
    <w:rsid w:val="00A35FD2"/>
    <w:rsid w:val="00A4020C"/>
    <w:rsid w:val="00A41160"/>
    <w:rsid w:val="00A424CB"/>
    <w:rsid w:val="00A45DEC"/>
    <w:rsid w:val="00A46208"/>
    <w:rsid w:val="00A4792F"/>
    <w:rsid w:val="00A503B9"/>
    <w:rsid w:val="00A50638"/>
    <w:rsid w:val="00A53FB6"/>
    <w:rsid w:val="00A54B39"/>
    <w:rsid w:val="00A55110"/>
    <w:rsid w:val="00A60383"/>
    <w:rsid w:val="00A61BE3"/>
    <w:rsid w:val="00A633CD"/>
    <w:rsid w:val="00A672A0"/>
    <w:rsid w:val="00A67D6F"/>
    <w:rsid w:val="00A714AB"/>
    <w:rsid w:val="00A746CB"/>
    <w:rsid w:val="00A80555"/>
    <w:rsid w:val="00A830EA"/>
    <w:rsid w:val="00A92982"/>
    <w:rsid w:val="00AA390A"/>
    <w:rsid w:val="00AA4487"/>
    <w:rsid w:val="00AA53C1"/>
    <w:rsid w:val="00AC105A"/>
    <w:rsid w:val="00AC1347"/>
    <w:rsid w:val="00AC1A7C"/>
    <w:rsid w:val="00AC3B38"/>
    <w:rsid w:val="00AC6FAE"/>
    <w:rsid w:val="00AE12DB"/>
    <w:rsid w:val="00AE256F"/>
    <w:rsid w:val="00AE3BF8"/>
    <w:rsid w:val="00AE5015"/>
    <w:rsid w:val="00AE50CA"/>
    <w:rsid w:val="00B043B5"/>
    <w:rsid w:val="00B04907"/>
    <w:rsid w:val="00B05452"/>
    <w:rsid w:val="00B066ED"/>
    <w:rsid w:val="00B0671D"/>
    <w:rsid w:val="00B1622A"/>
    <w:rsid w:val="00B20462"/>
    <w:rsid w:val="00B23FB8"/>
    <w:rsid w:val="00B265E5"/>
    <w:rsid w:val="00B30A48"/>
    <w:rsid w:val="00B31CD4"/>
    <w:rsid w:val="00B33134"/>
    <w:rsid w:val="00B33364"/>
    <w:rsid w:val="00B33C13"/>
    <w:rsid w:val="00B37DE6"/>
    <w:rsid w:val="00B41B91"/>
    <w:rsid w:val="00B45047"/>
    <w:rsid w:val="00B51025"/>
    <w:rsid w:val="00B519D6"/>
    <w:rsid w:val="00B51D05"/>
    <w:rsid w:val="00B60792"/>
    <w:rsid w:val="00B65224"/>
    <w:rsid w:val="00B65720"/>
    <w:rsid w:val="00B6622E"/>
    <w:rsid w:val="00B715A6"/>
    <w:rsid w:val="00B724FA"/>
    <w:rsid w:val="00B72D56"/>
    <w:rsid w:val="00B735DF"/>
    <w:rsid w:val="00B73703"/>
    <w:rsid w:val="00B75846"/>
    <w:rsid w:val="00B80067"/>
    <w:rsid w:val="00B85D40"/>
    <w:rsid w:val="00B86156"/>
    <w:rsid w:val="00B9217F"/>
    <w:rsid w:val="00B9380F"/>
    <w:rsid w:val="00B947DB"/>
    <w:rsid w:val="00B95428"/>
    <w:rsid w:val="00BB020F"/>
    <w:rsid w:val="00BB0A50"/>
    <w:rsid w:val="00BB1C6A"/>
    <w:rsid w:val="00BB4DCB"/>
    <w:rsid w:val="00BB70CD"/>
    <w:rsid w:val="00BC1832"/>
    <w:rsid w:val="00BC38E7"/>
    <w:rsid w:val="00BC4065"/>
    <w:rsid w:val="00BD0EDD"/>
    <w:rsid w:val="00BD40DD"/>
    <w:rsid w:val="00BD4580"/>
    <w:rsid w:val="00BD7F14"/>
    <w:rsid w:val="00BE0FC4"/>
    <w:rsid w:val="00BE5520"/>
    <w:rsid w:val="00BE67BF"/>
    <w:rsid w:val="00BF2D64"/>
    <w:rsid w:val="00BF5D21"/>
    <w:rsid w:val="00BF72EE"/>
    <w:rsid w:val="00C0519E"/>
    <w:rsid w:val="00C06545"/>
    <w:rsid w:val="00C13213"/>
    <w:rsid w:val="00C14440"/>
    <w:rsid w:val="00C14801"/>
    <w:rsid w:val="00C201E5"/>
    <w:rsid w:val="00C21355"/>
    <w:rsid w:val="00C32EAD"/>
    <w:rsid w:val="00C345F3"/>
    <w:rsid w:val="00C36AC9"/>
    <w:rsid w:val="00C40FBA"/>
    <w:rsid w:val="00C42A7E"/>
    <w:rsid w:val="00C4434E"/>
    <w:rsid w:val="00C50E97"/>
    <w:rsid w:val="00C5446E"/>
    <w:rsid w:val="00C569C9"/>
    <w:rsid w:val="00C56CCE"/>
    <w:rsid w:val="00C6673B"/>
    <w:rsid w:val="00C669DE"/>
    <w:rsid w:val="00C670A5"/>
    <w:rsid w:val="00C67A68"/>
    <w:rsid w:val="00C67E41"/>
    <w:rsid w:val="00C71082"/>
    <w:rsid w:val="00C71FC4"/>
    <w:rsid w:val="00C75206"/>
    <w:rsid w:val="00C75ABD"/>
    <w:rsid w:val="00C774AB"/>
    <w:rsid w:val="00C80461"/>
    <w:rsid w:val="00C80809"/>
    <w:rsid w:val="00C86016"/>
    <w:rsid w:val="00C86116"/>
    <w:rsid w:val="00C907B4"/>
    <w:rsid w:val="00C908B2"/>
    <w:rsid w:val="00C91CCC"/>
    <w:rsid w:val="00C92E59"/>
    <w:rsid w:val="00C96C71"/>
    <w:rsid w:val="00CA0907"/>
    <w:rsid w:val="00CA3F06"/>
    <w:rsid w:val="00CA7543"/>
    <w:rsid w:val="00CA77EB"/>
    <w:rsid w:val="00CB46F9"/>
    <w:rsid w:val="00CB5830"/>
    <w:rsid w:val="00CB6935"/>
    <w:rsid w:val="00CB73FC"/>
    <w:rsid w:val="00CC1210"/>
    <w:rsid w:val="00CC1522"/>
    <w:rsid w:val="00CD514C"/>
    <w:rsid w:val="00CD519D"/>
    <w:rsid w:val="00CD6644"/>
    <w:rsid w:val="00CD7BC8"/>
    <w:rsid w:val="00CE1114"/>
    <w:rsid w:val="00CE3189"/>
    <w:rsid w:val="00CE42B3"/>
    <w:rsid w:val="00CE48DD"/>
    <w:rsid w:val="00CE55CE"/>
    <w:rsid w:val="00CF128A"/>
    <w:rsid w:val="00D03E37"/>
    <w:rsid w:val="00D07FD8"/>
    <w:rsid w:val="00D11D61"/>
    <w:rsid w:val="00D12D31"/>
    <w:rsid w:val="00D13E42"/>
    <w:rsid w:val="00D2265F"/>
    <w:rsid w:val="00D32003"/>
    <w:rsid w:val="00D37F2B"/>
    <w:rsid w:val="00D458AF"/>
    <w:rsid w:val="00D51A28"/>
    <w:rsid w:val="00D52709"/>
    <w:rsid w:val="00D573A0"/>
    <w:rsid w:val="00D60672"/>
    <w:rsid w:val="00D710B1"/>
    <w:rsid w:val="00D72F3F"/>
    <w:rsid w:val="00D7414C"/>
    <w:rsid w:val="00D76B46"/>
    <w:rsid w:val="00D80306"/>
    <w:rsid w:val="00D80CBF"/>
    <w:rsid w:val="00D83604"/>
    <w:rsid w:val="00D86457"/>
    <w:rsid w:val="00D86DA6"/>
    <w:rsid w:val="00D92F6F"/>
    <w:rsid w:val="00D94023"/>
    <w:rsid w:val="00D95065"/>
    <w:rsid w:val="00DA330F"/>
    <w:rsid w:val="00DB3CF0"/>
    <w:rsid w:val="00DB6507"/>
    <w:rsid w:val="00DC0C60"/>
    <w:rsid w:val="00DC3054"/>
    <w:rsid w:val="00DC6C0E"/>
    <w:rsid w:val="00DD0DBB"/>
    <w:rsid w:val="00DD2F28"/>
    <w:rsid w:val="00DF047E"/>
    <w:rsid w:val="00DF5414"/>
    <w:rsid w:val="00E01CCB"/>
    <w:rsid w:val="00E0227E"/>
    <w:rsid w:val="00E027D4"/>
    <w:rsid w:val="00E068B4"/>
    <w:rsid w:val="00E07E92"/>
    <w:rsid w:val="00E20D17"/>
    <w:rsid w:val="00E20E0E"/>
    <w:rsid w:val="00E20F6D"/>
    <w:rsid w:val="00E22BBC"/>
    <w:rsid w:val="00E35E6A"/>
    <w:rsid w:val="00E36ED8"/>
    <w:rsid w:val="00E4273F"/>
    <w:rsid w:val="00E43E7E"/>
    <w:rsid w:val="00E44027"/>
    <w:rsid w:val="00E44DDF"/>
    <w:rsid w:val="00E45592"/>
    <w:rsid w:val="00E50054"/>
    <w:rsid w:val="00E50DD2"/>
    <w:rsid w:val="00E5267C"/>
    <w:rsid w:val="00E53413"/>
    <w:rsid w:val="00E53977"/>
    <w:rsid w:val="00E54A49"/>
    <w:rsid w:val="00E70C17"/>
    <w:rsid w:val="00E7378C"/>
    <w:rsid w:val="00E76BCD"/>
    <w:rsid w:val="00E76D17"/>
    <w:rsid w:val="00E77D87"/>
    <w:rsid w:val="00E862ED"/>
    <w:rsid w:val="00E922FF"/>
    <w:rsid w:val="00E937A5"/>
    <w:rsid w:val="00E93F17"/>
    <w:rsid w:val="00E9480D"/>
    <w:rsid w:val="00E96716"/>
    <w:rsid w:val="00E96FBF"/>
    <w:rsid w:val="00EA0119"/>
    <w:rsid w:val="00EA04BB"/>
    <w:rsid w:val="00EA3555"/>
    <w:rsid w:val="00EA3AFF"/>
    <w:rsid w:val="00EA4171"/>
    <w:rsid w:val="00EA48C8"/>
    <w:rsid w:val="00EA744A"/>
    <w:rsid w:val="00EB695E"/>
    <w:rsid w:val="00EB7C55"/>
    <w:rsid w:val="00EC7B66"/>
    <w:rsid w:val="00ED23D8"/>
    <w:rsid w:val="00ED307E"/>
    <w:rsid w:val="00ED4E68"/>
    <w:rsid w:val="00ED70ED"/>
    <w:rsid w:val="00EE3026"/>
    <w:rsid w:val="00EE343A"/>
    <w:rsid w:val="00EE390A"/>
    <w:rsid w:val="00EF4729"/>
    <w:rsid w:val="00EF7900"/>
    <w:rsid w:val="00EF7ACD"/>
    <w:rsid w:val="00F05014"/>
    <w:rsid w:val="00F16535"/>
    <w:rsid w:val="00F17D34"/>
    <w:rsid w:val="00F22463"/>
    <w:rsid w:val="00F25B40"/>
    <w:rsid w:val="00F261FD"/>
    <w:rsid w:val="00F271CA"/>
    <w:rsid w:val="00F31A44"/>
    <w:rsid w:val="00F33C59"/>
    <w:rsid w:val="00F35902"/>
    <w:rsid w:val="00F359E0"/>
    <w:rsid w:val="00F36893"/>
    <w:rsid w:val="00F43F2B"/>
    <w:rsid w:val="00F518D6"/>
    <w:rsid w:val="00F550A1"/>
    <w:rsid w:val="00F62966"/>
    <w:rsid w:val="00F65076"/>
    <w:rsid w:val="00F65CD5"/>
    <w:rsid w:val="00F6616B"/>
    <w:rsid w:val="00F669AB"/>
    <w:rsid w:val="00F736BC"/>
    <w:rsid w:val="00F7586F"/>
    <w:rsid w:val="00F8051E"/>
    <w:rsid w:val="00F926B9"/>
    <w:rsid w:val="00F92E27"/>
    <w:rsid w:val="00FA03D7"/>
    <w:rsid w:val="00FA5D94"/>
    <w:rsid w:val="00FB055C"/>
    <w:rsid w:val="00FB30DF"/>
    <w:rsid w:val="00FB7B65"/>
    <w:rsid w:val="00FD144E"/>
    <w:rsid w:val="00FD164E"/>
    <w:rsid w:val="00FD1A16"/>
    <w:rsid w:val="00FE0D37"/>
    <w:rsid w:val="00FE127E"/>
    <w:rsid w:val="00FE3907"/>
    <w:rsid w:val="00FE6ADD"/>
    <w:rsid w:val="00FE7D3F"/>
    <w:rsid w:val="00FF07B6"/>
    <w:rsid w:val="00FF4D18"/>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613E"/>
  <w15:chartTrackingRefBased/>
  <w15:docId w15:val="{9EE7E2C7-C6B5-4703-9AB9-E4E7BED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01"/>
  </w:style>
  <w:style w:type="paragraph" w:styleId="Heading2">
    <w:name w:val="heading 2"/>
    <w:basedOn w:val="Normal"/>
    <w:next w:val="Normal"/>
    <w:link w:val="Heading2Char"/>
    <w:uiPriority w:val="9"/>
    <w:semiHidden/>
    <w:unhideWhenUsed/>
    <w:qFormat/>
    <w:rsid w:val="00A40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FD8"/>
    <w:rPr>
      <w:sz w:val="16"/>
      <w:szCs w:val="16"/>
    </w:rPr>
  </w:style>
  <w:style w:type="paragraph" w:styleId="CommentText">
    <w:name w:val="annotation text"/>
    <w:basedOn w:val="Normal"/>
    <w:link w:val="CommentTextChar"/>
    <w:uiPriority w:val="99"/>
    <w:semiHidden/>
    <w:unhideWhenUsed/>
    <w:rsid w:val="00D07FD8"/>
    <w:pPr>
      <w:spacing w:line="240" w:lineRule="auto"/>
    </w:pPr>
    <w:rPr>
      <w:sz w:val="20"/>
      <w:szCs w:val="20"/>
    </w:rPr>
  </w:style>
  <w:style w:type="character" w:customStyle="1" w:styleId="CommentTextChar">
    <w:name w:val="Comment Text Char"/>
    <w:basedOn w:val="DefaultParagraphFont"/>
    <w:link w:val="CommentText"/>
    <w:uiPriority w:val="99"/>
    <w:semiHidden/>
    <w:rsid w:val="00D07FD8"/>
    <w:rPr>
      <w:sz w:val="20"/>
      <w:szCs w:val="20"/>
    </w:rPr>
  </w:style>
  <w:style w:type="paragraph" w:styleId="CommentSubject">
    <w:name w:val="annotation subject"/>
    <w:basedOn w:val="CommentText"/>
    <w:next w:val="CommentText"/>
    <w:link w:val="CommentSubjectChar"/>
    <w:uiPriority w:val="99"/>
    <w:semiHidden/>
    <w:unhideWhenUsed/>
    <w:rsid w:val="00D07FD8"/>
    <w:rPr>
      <w:b/>
      <w:bCs/>
    </w:rPr>
  </w:style>
  <w:style w:type="character" w:customStyle="1" w:styleId="CommentSubjectChar">
    <w:name w:val="Comment Subject Char"/>
    <w:basedOn w:val="CommentTextChar"/>
    <w:link w:val="CommentSubject"/>
    <w:uiPriority w:val="99"/>
    <w:semiHidden/>
    <w:rsid w:val="00D07FD8"/>
    <w:rPr>
      <w:b/>
      <w:bCs/>
      <w:sz w:val="20"/>
      <w:szCs w:val="20"/>
    </w:rPr>
  </w:style>
  <w:style w:type="paragraph" w:styleId="BalloonText">
    <w:name w:val="Balloon Text"/>
    <w:basedOn w:val="Normal"/>
    <w:link w:val="BalloonTextChar"/>
    <w:uiPriority w:val="99"/>
    <w:semiHidden/>
    <w:unhideWhenUsed/>
    <w:rsid w:val="00D0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D8"/>
    <w:rPr>
      <w:rFonts w:ascii="Segoe UI" w:hAnsi="Segoe UI" w:cs="Segoe UI"/>
      <w:sz w:val="18"/>
      <w:szCs w:val="18"/>
    </w:rPr>
  </w:style>
  <w:style w:type="paragraph" w:styleId="ListParagraph">
    <w:name w:val="List Paragraph"/>
    <w:basedOn w:val="Normal"/>
    <w:uiPriority w:val="34"/>
    <w:qFormat/>
    <w:rsid w:val="00A41160"/>
    <w:pPr>
      <w:ind w:left="720"/>
      <w:contextualSpacing/>
    </w:pPr>
  </w:style>
  <w:style w:type="paragraph" w:styleId="FootnoteText">
    <w:name w:val="footnote text"/>
    <w:basedOn w:val="Normal"/>
    <w:link w:val="FootnoteTextChar"/>
    <w:uiPriority w:val="99"/>
    <w:semiHidden/>
    <w:unhideWhenUsed/>
    <w:rsid w:val="00A40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20C"/>
    <w:rPr>
      <w:sz w:val="20"/>
      <w:szCs w:val="20"/>
    </w:rPr>
  </w:style>
  <w:style w:type="character" w:styleId="FootnoteReference">
    <w:name w:val="footnote reference"/>
    <w:basedOn w:val="DefaultParagraphFont"/>
    <w:uiPriority w:val="99"/>
    <w:semiHidden/>
    <w:unhideWhenUsed/>
    <w:rsid w:val="00A4020C"/>
    <w:rPr>
      <w:vertAlign w:val="superscript"/>
    </w:rPr>
  </w:style>
  <w:style w:type="character" w:customStyle="1" w:styleId="Heading2Char">
    <w:name w:val="Heading 2 Char"/>
    <w:basedOn w:val="DefaultParagraphFont"/>
    <w:link w:val="Heading2"/>
    <w:uiPriority w:val="9"/>
    <w:semiHidden/>
    <w:rsid w:val="00A402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6935"/>
    <w:rPr>
      <w:color w:val="0563C1" w:themeColor="hyperlink"/>
      <w:u w:val="single"/>
    </w:rPr>
  </w:style>
  <w:style w:type="character" w:customStyle="1" w:styleId="UnresolvedMention">
    <w:name w:val="Unresolved Mention"/>
    <w:basedOn w:val="DefaultParagraphFont"/>
    <w:uiPriority w:val="99"/>
    <w:semiHidden/>
    <w:unhideWhenUsed/>
    <w:rsid w:val="00CB6935"/>
    <w:rPr>
      <w:color w:val="605E5C"/>
      <w:shd w:val="clear" w:color="auto" w:fill="E1DFDD"/>
    </w:rPr>
  </w:style>
  <w:style w:type="paragraph" w:styleId="NormalWeb">
    <w:name w:val="Normal (Web)"/>
    <w:basedOn w:val="Normal"/>
    <w:uiPriority w:val="99"/>
    <w:semiHidden/>
    <w:unhideWhenUsed/>
    <w:rsid w:val="002D5C4E"/>
    <w:rPr>
      <w:rFonts w:ascii="Times New Roman" w:hAnsi="Times New Roman" w:cs="Times New Roman"/>
      <w:sz w:val="24"/>
      <w:szCs w:val="24"/>
    </w:rPr>
  </w:style>
  <w:style w:type="paragraph" w:styleId="Header">
    <w:name w:val="header"/>
    <w:basedOn w:val="Normal"/>
    <w:link w:val="HeaderChar"/>
    <w:uiPriority w:val="99"/>
    <w:unhideWhenUsed/>
    <w:rsid w:val="00DD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28"/>
  </w:style>
  <w:style w:type="paragraph" w:styleId="Footer">
    <w:name w:val="footer"/>
    <w:basedOn w:val="Normal"/>
    <w:link w:val="FooterChar"/>
    <w:uiPriority w:val="99"/>
    <w:unhideWhenUsed/>
    <w:rsid w:val="00DD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28"/>
  </w:style>
  <w:style w:type="paragraph" w:styleId="Revision">
    <w:name w:val="Revision"/>
    <w:hidden/>
    <w:uiPriority w:val="99"/>
    <w:semiHidden/>
    <w:rsid w:val="00342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6877">
      <w:bodyDiv w:val="1"/>
      <w:marLeft w:val="0"/>
      <w:marRight w:val="0"/>
      <w:marTop w:val="0"/>
      <w:marBottom w:val="0"/>
      <w:divBdr>
        <w:top w:val="none" w:sz="0" w:space="0" w:color="auto"/>
        <w:left w:val="none" w:sz="0" w:space="0" w:color="auto"/>
        <w:bottom w:val="none" w:sz="0" w:space="0" w:color="auto"/>
        <w:right w:val="none" w:sz="0" w:space="0" w:color="auto"/>
      </w:divBdr>
    </w:div>
    <w:div w:id="334501307">
      <w:bodyDiv w:val="1"/>
      <w:marLeft w:val="0"/>
      <w:marRight w:val="0"/>
      <w:marTop w:val="0"/>
      <w:marBottom w:val="0"/>
      <w:divBdr>
        <w:top w:val="none" w:sz="0" w:space="0" w:color="auto"/>
        <w:left w:val="none" w:sz="0" w:space="0" w:color="auto"/>
        <w:bottom w:val="none" w:sz="0" w:space="0" w:color="auto"/>
        <w:right w:val="none" w:sz="0" w:space="0" w:color="auto"/>
      </w:divBdr>
    </w:div>
    <w:div w:id="371542876">
      <w:bodyDiv w:val="1"/>
      <w:marLeft w:val="0"/>
      <w:marRight w:val="0"/>
      <w:marTop w:val="0"/>
      <w:marBottom w:val="0"/>
      <w:divBdr>
        <w:top w:val="none" w:sz="0" w:space="0" w:color="auto"/>
        <w:left w:val="none" w:sz="0" w:space="0" w:color="auto"/>
        <w:bottom w:val="none" w:sz="0" w:space="0" w:color="auto"/>
        <w:right w:val="none" w:sz="0" w:space="0" w:color="auto"/>
      </w:divBdr>
    </w:div>
    <w:div w:id="378669636">
      <w:bodyDiv w:val="1"/>
      <w:marLeft w:val="0"/>
      <w:marRight w:val="0"/>
      <w:marTop w:val="0"/>
      <w:marBottom w:val="0"/>
      <w:divBdr>
        <w:top w:val="none" w:sz="0" w:space="0" w:color="auto"/>
        <w:left w:val="none" w:sz="0" w:space="0" w:color="auto"/>
        <w:bottom w:val="none" w:sz="0" w:space="0" w:color="auto"/>
        <w:right w:val="none" w:sz="0" w:space="0" w:color="auto"/>
      </w:divBdr>
    </w:div>
    <w:div w:id="387610197">
      <w:bodyDiv w:val="1"/>
      <w:marLeft w:val="0"/>
      <w:marRight w:val="0"/>
      <w:marTop w:val="0"/>
      <w:marBottom w:val="0"/>
      <w:divBdr>
        <w:top w:val="none" w:sz="0" w:space="0" w:color="auto"/>
        <w:left w:val="none" w:sz="0" w:space="0" w:color="auto"/>
        <w:bottom w:val="none" w:sz="0" w:space="0" w:color="auto"/>
        <w:right w:val="none" w:sz="0" w:space="0" w:color="auto"/>
      </w:divBdr>
    </w:div>
    <w:div w:id="465663707">
      <w:bodyDiv w:val="1"/>
      <w:marLeft w:val="0"/>
      <w:marRight w:val="0"/>
      <w:marTop w:val="0"/>
      <w:marBottom w:val="0"/>
      <w:divBdr>
        <w:top w:val="none" w:sz="0" w:space="0" w:color="auto"/>
        <w:left w:val="none" w:sz="0" w:space="0" w:color="auto"/>
        <w:bottom w:val="none" w:sz="0" w:space="0" w:color="auto"/>
        <w:right w:val="none" w:sz="0" w:space="0" w:color="auto"/>
      </w:divBdr>
    </w:div>
    <w:div w:id="841241105">
      <w:bodyDiv w:val="1"/>
      <w:marLeft w:val="0"/>
      <w:marRight w:val="0"/>
      <w:marTop w:val="0"/>
      <w:marBottom w:val="0"/>
      <w:divBdr>
        <w:top w:val="none" w:sz="0" w:space="0" w:color="auto"/>
        <w:left w:val="none" w:sz="0" w:space="0" w:color="auto"/>
        <w:bottom w:val="none" w:sz="0" w:space="0" w:color="auto"/>
        <w:right w:val="none" w:sz="0" w:space="0" w:color="auto"/>
      </w:divBdr>
    </w:div>
    <w:div w:id="856508673">
      <w:bodyDiv w:val="1"/>
      <w:marLeft w:val="0"/>
      <w:marRight w:val="0"/>
      <w:marTop w:val="0"/>
      <w:marBottom w:val="0"/>
      <w:divBdr>
        <w:top w:val="none" w:sz="0" w:space="0" w:color="auto"/>
        <w:left w:val="none" w:sz="0" w:space="0" w:color="auto"/>
        <w:bottom w:val="none" w:sz="0" w:space="0" w:color="auto"/>
        <w:right w:val="none" w:sz="0" w:space="0" w:color="auto"/>
      </w:divBdr>
    </w:div>
    <w:div w:id="858272825">
      <w:bodyDiv w:val="1"/>
      <w:marLeft w:val="0"/>
      <w:marRight w:val="0"/>
      <w:marTop w:val="0"/>
      <w:marBottom w:val="0"/>
      <w:divBdr>
        <w:top w:val="none" w:sz="0" w:space="0" w:color="auto"/>
        <w:left w:val="none" w:sz="0" w:space="0" w:color="auto"/>
        <w:bottom w:val="none" w:sz="0" w:space="0" w:color="auto"/>
        <w:right w:val="none" w:sz="0" w:space="0" w:color="auto"/>
      </w:divBdr>
    </w:div>
    <w:div w:id="874578837">
      <w:bodyDiv w:val="1"/>
      <w:marLeft w:val="0"/>
      <w:marRight w:val="0"/>
      <w:marTop w:val="0"/>
      <w:marBottom w:val="0"/>
      <w:divBdr>
        <w:top w:val="none" w:sz="0" w:space="0" w:color="auto"/>
        <w:left w:val="none" w:sz="0" w:space="0" w:color="auto"/>
        <w:bottom w:val="none" w:sz="0" w:space="0" w:color="auto"/>
        <w:right w:val="none" w:sz="0" w:space="0" w:color="auto"/>
      </w:divBdr>
    </w:div>
    <w:div w:id="1170750098">
      <w:bodyDiv w:val="1"/>
      <w:marLeft w:val="0"/>
      <w:marRight w:val="0"/>
      <w:marTop w:val="0"/>
      <w:marBottom w:val="0"/>
      <w:divBdr>
        <w:top w:val="none" w:sz="0" w:space="0" w:color="auto"/>
        <w:left w:val="none" w:sz="0" w:space="0" w:color="auto"/>
        <w:bottom w:val="none" w:sz="0" w:space="0" w:color="auto"/>
        <w:right w:val="none" w:sz="0" w:space="0" w:color="auto"/>
      </w:divBdr>
    </w:div>
    <w:div w:id="1243299755">
      <w:bodyDiv w:val="1"/>
      <w:marLeft w:val="0"/>
      <w:marRight w:val="0"/>
      <w:marTop w:val="0"/>
      <w:marBottom w:val="0"/>
      <w:divBdr>
        <w:top w:val="none" w:sz="0" w:space="0" w:color="auto"/>
        <w:left w:val="none" w:sz="0" w:space="0" w:color="auto"/>
        <w:bottom w:val="none" w:sz="0" w:space="0" w:color="auto"/>
        <w:right w:val="none" w:sz="0" w:space="0" w:color="auto"/>
      </w:divBdr>
    </w:div>
    <w:div w:id="1419787489">
      <w:bodyDiv w:val="1"/>
      <w:marLeft w:val="0"/>
      <w:marRight w:val="0"/>
      <w:marTop w:val="0"/>
      <w:marBottom w:val="0"/>
      <w:divBdr>
        <w:top w:val="none" w:sz="0" w:space="0" w:color="auto"/>
        <w:left w:val="none" w:sz="0" w:space="0" w:color="auto"/>
        <w:bottom w:val="none" w:sz="0" w:space="0" w:color="auto"/>
        <w:right w:val="none" w:sz="0" w:space="0" w:color="auto"/>
      </w:divBdr>
    </w:div>
    <w:div w:id="1545482699">
      <w:bodyDiv w:val="1"/>
      <w:marLeft w:val="0"/>
      <w:marRight w:val="0"/>
      <w:marTop w:val="0"/>
      <w:marBottom w:val="0"/>
      <w:divBdr>
        <w:top w:val="none" w:sz="0" w:space="0" w:color="auto"/>
        <w:left w:val="none" w:sz="0" w:space="0" w:color="auto"/>
        <w:bottom w:val="none" w:sz="0" w:space="0" w:color="auto"/>
        <w:right w:val="none" w:sz="0" w:space="0" w:color="auto"/>
      </w:divBdr>
    </w:div>
    <w:div w:id="19171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45A9-6414-42EC-AABB-C3E5E593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10651</Words>
  <Characters>60713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Zibusiso</dc:creator>
  <cp:keywords/>
  <dc:description/>
  <cp:lastModifiedBy>Mary Bruce</cp:lastModifiedBy>
  <cp:revision>3</cp:revision>
  <cp:lastPrinted>2022-11-30T13:15:00Z</cp:lastPrinted>
  <dcterms:created xsi:type="dcterms:W3CDTF">2022-12-07T06:59:00Z</dcterms:created>
  <dcterms:modified xsi:type="dcterms:W3CDTF">2022-12-15T14:06:00Z</dcterms:modified>
</cp:coreProperties>
</file>