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363F" w14:textId="5A77EEDD" w:rsidR="00F17FD3" w:rsidRPr="00A51CBC" w:rsidRDefault="00F17FD3" w:rsidP="00F17FD3">
      <w:pPr>
        <w:rPr>
          <w:rFonts w:ascii="Arial" w:hAnsi="Arial" w:cs="Arial"/>
          <w:bCs/>
          <w:sz w:val="28"/>
          <w:szCs w:val="28"/>
          <w:lang w:val="en-ZA"/>
        </w:rPr>
      </w:pPr>
    </w:p>
    <w:p w14:paraId="6C1CD744" w14:textId="4613837B" w:rsidR="00F17FD3" w:rsidRPr="00A51CBC" w:rsidRDefault="001629E6" w:rsidP="00F17FD3">
      <w:pPr>
        <w:jc w:val="center"/>
        <w:rPr>
          <w:rFonts w:ascii="Arial" w:hAnsi="Arial" w:cs="Arial"/>
          <w:b/>
          <w:bCs/>
          <w:sz w:val="28"/>
          <w:szCs w:val="28"/>
        </w:rPr>
      </w:pPr>
      <w:r w:rsidRPr="0066058F">
        <w:rPr>
          <w:rFonts w:ascii="Arial" w:hAnsi="Arial" w:cs="Arial"/>
          <w:noProof/>
          <w:lang w:val="en-US"/>
        </w:rPr>
        <w:drawing>
          <wp:anchor distT="0" distB="0" distL="114300" distR="114300" simplePos="0" relativeHeight="251659264" behindDoc="0" locked="0" layoutInCell="1" allowOverlap="1" wp14:anchorId="44B2A350" wp14:editId="41A786D7">
            <wp:simplePos x="0" y="0"/>
            <wp:positionH relativeFrom="page">
              <wp:posOffset>3380105</wp:posOffset>
            </wp:positionH>
            <wp:positionV relativeFrom="paragraph">
              <wp:posOffset>24130</wp:posOffset>
            </wp:positionV>
            <wp:extent cx="79883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14:sizeRelH relativeFrom="page">
              <wp14:pctWidth>0</wp14:pctWidth>
            </wp14:sizeRelH>
            <wp14:sizeRelV relativeFrom="page">
              <wp14:pctHeight>0</wp14:pctHeight>
            </wp14:sizeRelV>
          </wp:anchor>
        </w:drawing>
      </w:r>
    </w:p>
    <w:p w14:paraId="297B3760" w14:textId="77777777" w:rsidR="00F17FD3" w:rsidRPr="00A51CBC" w:rsidRDefault="00F17FD3" w:rsidP="00F17FD3">
      <w:pPr>
        <w:jc w:val="center"/>
        <w:rPr>
          <w:rFonts w:ascii="Arial" w:hAnsi="Arial" w:cs="Arial"/>
          <w:b/>
          <w:bCs/>
          <w:sz w:val="28"/>
          <w:szCs w:val="28"/>
        </w:rPr>
      </w:pPr>
    </w:p>
    <w:p w14:paraId="77083876" w14:textId="27B6FE0F" w:rsidR="00F17FD3" w:rsidRDefault="00F17FD3" w:rsidP="00F17FD3">
      <w:pPr>
        <w:jc w:val="center"/>
        <w:rPr>
          <w:rFonts w:ascii="Arial" w:hAnsi="Arial" w:cs="Arial"/>
          <w:b/>
          <w:bCs/>
          <w:sz w:val="28"/>
          <w:szCs w:val="28"/>
        </w:rPr>
      </w:pPr>
    </w:p>
    <w:p w14:paraId="52ECAC2A" w14:textId="77777777" w:rsidR="001629E6" w:rsidRPr="0066058F" w:rsidRDefault="001629E6" w:rsidP="00F17FD3">
      <w:pPr>
        <w:jc w:val="center"/>
        <w:rPr>
          <w:rFonts w:ascii="Arial" w:hAnsi="Arial" w:cs="Arial"/>
          <w:b/>
          <w:bCs/>
          <w:sz w:val="28"/>
          <w:szCs w:val="28"/>
        </w:rPr>
      </w:pPr>
    </w:p>
    <w:p w14:paraId="116AF7DD" w14:textId="77777777" w:rsidR="00F17FD3" w:rsidRPr="00B1555D" w:rsidRDefault="00F17FD3" w:rsidP="00C84BBD">
      <w:pPr>
        <w:spacing w:line="360" w:lineRule="auto"/>
        <w:rPr>
          <w:b/>
          <w:bCs/>
          <w:sz w:val="28"/>
          <w:szCs w:val="28"/>
        </w:rPr>
      </w:pPr>
    </w:p>
    <w:p w14:paraId="4FB38977" w14:textId="77777777" w:rsidR="00F17FD3" w:rsidRPr="00B1555D" w:rsidRDefault="00F17FD3" w:rsidP="00F17FD3">
      <w:pPr>
        <w:spacing w:line="360" w:lineRule="auto"/>
        <w:jc w:val="center"/>
        <w:rPr>
          <w:b/>
          <w:bCs/>
          <w:sz w:val="28"/>
          <w:szCs w:val="28"/>
        </w:rPr>
      </w:pPr>
      <w:r w:rsidRPr="00B1555D">
        <w:rPr>
          <w:b/>
          <w:bCs/>
          <w:sz w:val="28"/>
          <w:szCs w:val="28"/>
        </w:rPr>
        <w:t>THE SUPREME COURT OF APPEAL OF SOUTH AFRICA</w:t>
      </w:r>
    </w:p>
    <w:p w14:paraId="591CD5CA" w14:textId="691EFC43" w:rsidR="00F17FD3" w:rsidRPr="00B1555D" w:rsidRDefault="00F17FD3" w:rsidP="00C84BBD">
      <w:pPr>
        <w:pStyle w:val="Heading3"/>
        <w:jc w:val="center"/>
        <w:rPr>
          <w:rFonts w:ascii="Times New Roman" w:hAnsi="Times New Roman" w:cs="Times New Roman"/>
          <w:b/>
          <w:i w:val="0"/>
          <w:szCs w:val="28"/>
        </w:rPr>
      </w:pPr>
      <w:r w:rsidRPr="00B1555D">
        <w:rPr>
          <w:rFonts w:ascii="Times New Roman" w:hAnsi="Times New Roman" w:cs="Times New Roman"/>
          <w:b/>
          <w:i w:val="0"/>
          <w:szCs w:val="28"/>
        </w:rPr>
        <w:t>JUDGMENT</w:t>
      </w:r>
    </w:p>
    <w:p w14:paraId="259382FF" w14:textId="77777777" w:rsidR="009224BD" w:rsidRPr="00B1555D" w:rsidRDefault="009224BD" w:rsidP="009224BD">
      <w:pPr>
        <w:rPr>
          <w:sz w:val="28"/>
          <w:szCs w:val="28"/>
        </w:rPr>
      </w:pPr>
    </w:p>
    <w:p w14:paraId="00BB462A" w14:textId="055B82CD" w:rsidR="009224BD" w:rsidRPr="00B1555D" w:rsidRDefault="009224BD" w:rsidP="009224BD">
      <w:pPr>
        <w:spacing w:line="360" w:lineRule="auto"/>
        <w:jc w:val="right"/>
        <w:rPr>
          <w:b/>
          <w:sz w:val="28"/>
          <w:szCs w:val="28"/>
        </w:rPr>
      </w:pPr>
      <w:r w:rsidRPr="00B1555D">
        <w:rPr>
          <w:b/>
          <w:sz w:val="28"/>
          <w:szCs w:val="28"/>
        </w:rPr>
        <w:t>Reportable</w:t>
      </w:r>
    </w:p>
    <w:p w14:paraId="2B7F6671" w14:textId="77777777" w:rsidR="009224BD" w:rsidRPr="00B1555D" w:rsidRDefault="009224BD" w:rsidP="009224BD">
      <w:pPr>
        <w:spacing w:line="360" w:lineRule="auto"/>
        <w:jc w:val="right"/>
        <w:rPr>
          <w:sz w:val="28"/>
          <w:szCs w:val="28"/>
        </w:rPr>
      </w:pPr>
      <w:r w:rsidRPr="00B1555D">
        <w:rPr>
          <w:sz w:val="28"/>
          <w:szCs w:val="28"/>
        </w:rPr>
        <w:t>Case no: 038/2022</w:t>
      </w:r>
    </w:p>
    <w:p w14:paraId="5189C4D5" w14:textId="77777777" w:rsidR="009224BD" w:rsidRPr="00B1555D" w:rsidRDefault="009224BD" w:rsidP="009224BD">
      <w:pPr>
        <w:spacing w:line="360" w:lineRule="auto"/>
        <w:rPr>
          <w:sz w:val="28"/>
          <w:szCs w:val="28"/>
        </w:rPr>
      </w:pPr>
    </w:p>
    <w:p w14:paraId="2D51052C" w14:textId="77777777" w:rsidR="009224BD" w:rsidRPr="00B1555D" w:rsidRDefault="009224BD" w:rsidP="00F16221">
      <w:pPr>
        <w:spacing w:line="360" w:lineRule="auto"/>
        <w:rPr>
          <w:sz w:val="28"/>
          <w:szCs w:val="28"/>
        </w:rPr>
      </w:pPr>
      <w:r w:rsidRPr="00B1555D">
        <w:rPr>
          <w:sz w:val="28"/>
          <w:szCs w:val="28"/>
        </w:rPr>
        <w:t>In the matter between:</w:t>
      </w:r>
    </w:p>
    <w:p w14:paraId="1840266E" w14:textId="77777777" w:rsidR="009224BD" w:rsidRPr="00B1555D" w:rsidRDefault="009224BD" w:rsidP="00F16221">
      <w:pPr>
        <w:widowControl w:val="0"/>
        <w:tabs>
          <w:tab w:val="right" w:pos="9360"/>
        </w:tabs>
        <w:autoSpaceDE w:val="0"/>
        <w:autoSpaceDN w:val="0"/>
        <w:adjustRightInd w:val="0"/>
        <w:spacing w:line="360" w:lineRule="auto"/>
        <w:rPr>
          <w:b/>
          <w:bCs/>
          <w:sz w:val="28"/>
          <w:szCs w:val="28"/>
        </w:rPr>
      </w:pPr>
    </w:p>
    <w:p w14:paraId="700EFB56" w14:textId="05E8D40F" w:rsidR="009224BD" w:rsidRPr="00B1555D" w:rsidRDefault="009224BD" w:rsidP="00F16221">
      <w:pPr>
        <w:widowControl w:val="0"/>
        <w:tabs>
          <w:tab w:val="right" w:pos="9360"/>
        </w:tabs>
        <w:autoSpaceDE w:val="0"/>
        <w:autoSpaceDN w:val="0"/>
        <w:adjustRightInd w:val="0"/>
        <w:spacing w:line="360" w:lineRule="auto"/>
        <w:rPr>
          <w:b/>
          <w:bCs/>
          <w:sz w:val="28"/>
          <w:szCs w:val="28"/>
        </w:rPr>
      </w:pPr>
      <w:r w:rsidRPr="00B1555D">
        <w:rPr>
          <w:b/>
          <w:bCs/>
          <w:sz w:val="28"/>
          <w:szCs w:val="28"/>
        </w:rPr>
        <w:t>THE BUTCHER SHOP AND GRILL CC</w:t>
      </w:r>
      <w:r w:rsidRPr="00B1555D">
        <w:rPr>
          <w:b/>
          <w:bCs/>
          <w:sz w:val="28"/>
          <w:szCs w:val="28"/>
        </w:rPr>
        <w:tab/>
        <w:t xml:space="preserve"> A</w:t>
      </w:r>
      <w:r w:rsidR="00B278E3">
        <w:rPr>
          <w:b/>
          <w:bCs/>
          <w:sz w:val="28"/>
          <w:szCs w:val="28"/>
        </w:rPr>
        <w:t>PPELLANT</w:t>
      </w:r>
    </w:p>
    <w:p w14:paraId="09CD06FC" w14:textId="77777777" w:rsidR="009224BD" w:rsidRPr="00B1555D" w:rsidRDefault="009224BD" w:rsidP="00F16221">
      <w:pPr>
        <w:widowControl w:val="0"/>
        <w:tabs>
          <w:tab w:val="right" w:pos="9360"/>
        </w:tabs>
        <w:autoSpaceDE w:val="0"/>
        <w:autoSpaceDN w:val="0"/>
        <w:adjustRightInd w:val="0"/>
        <w:spacing w:line="360" w:lineRule="auto"/>
        <w:rPr>
          <w:b/>
          <w:bCs/>
          <w:sz w:val="28"/>
          <w:szCs w:val="28"/>
        </w:rPr>
      </w:pPr>
    </w:p>
    <w:p w14:paraId="1991A506" w14:textId="77777777" w:rsidR="009224BD" w:rsidRPr="00B1555D" w:rsidRDefault="009224BD" w:rsidP="00F16221">
      <w:pPr>
        <w:widowControl w:val="0"/>
        <w:autoSpaceDE w:val="0"/>
        <w:autoSpaceDN w:val="0"/>
        <w:adjustRightInd w:val="0"/>
        <w:spacing w:line="360" w:lineRule="auto"/>
        <w:rPr>
          <w:bCs/>
          <w:iCs/>
          <w:sz w:val="28"/>
          <w:szCs w:val="28"/>
        </w:rPr>
      </w:pPr>
      <w:r w:rsidRPr="00B1555D">
        <w:rPr>
          <w:bCs/>
          <w:iCs/>
          <w:sz w:val="28"/>
          <w:szCs w:val="28"/>
        </w:rPr>
        <w:t>and</w:t>
      </w:r>
    </w:p>
    <w:p w14:paraId="0374A8DB" w14:textId="77777777" w:rsidR="009224BD" w:rsidRPr="00B1555D" w:rsidRDefault="009224BD" w:rsidP="00F16221">
      <w:pPr>
        <w:widowControl w:val="0"/>
        <w:autoSpaceDE w:val="0"/>
        <w:autoSpaceDN w:val="0"/>
        <w:adjustRightInd w:val="0"/>
        <w:spacing w:line="360" w:lineRule="auto"/>
        <w:rPr>
          <w:sz w:val="28"/>
          <w:szCs w:val="28"/>
        </w:rPr>
      </w:pPr>
    </w:p>
    <w:p w14:paraId="2D7E8C96" w14:textId="77777777" w:rsidR="009224BD" w:rsidRPr="00B1555D" w:rsidRDefault="009224BD" w:rsidP="00F16221">
      <w:pPr>
        <w:widowControl w:val="0"/>
        <w:tabs>
          <w:tab w:val="right" w:pos="9360"/>
        </w:tabs>
        <w:autoSpaceDE w:val="0"/>
        <w:autoSpaceDN w:val="0"/>
        <w:adjustRightInd w:val="0"/>
        <w:spacing w:line="360" w:lineRule="auto"/>
        <w:rPr>
          <w:b/>
          <w:bCs/>
          <w:sz w:val="28"/>
          <w:szCs w:val="28"/>
        </w:rPr>
      </w:pPr>
      <w:r w:rsidRPr="00B1555D">
        <w:rPr>
          <w:b/>
          <w:bCs/>
          <w:sz w:val="28"/>
          <w:szCs w:val="28"/>
        </w:rPr>
        <w:t>THE TRUSTEES FOR THE TIME BEING OF THE</w:t>
      </w:r>
    </w:p>
    <w:p w14:paraId="6AE424B7" w14:textId="0B0833EB" w:rsidR="009224BD" w:rsidRPr="00B1555D" w:rsidRDefault="009224BD" w:rsidP="00F16221">
      <w:pPr>
        <w:widowControl w:val="0"/>
        <w:tabs>
          <w:tab w:val="right" w:pos="9360"/>
        </w:tabs>
        <w:autoSpaceDE w:val="0"/>
        <w:autoSpaceDN w:val="0"/>
        <w:adjustRightInd w:val="0"/>
        <w:spacing w:line="360" w:lineRule="auto"/>
        <w:rPr>
          <w:bCs/>
          <w:i/>
          <w:sz w:val="28"/>
          <w:szCs w:val="28"/>
        </w:rPr>
      </w:pPr>
      <w:r w:rsidRPr="00B1555D">
        <w:rPr>
          <w:b/>
          <w:bCs/>
          <w:sz w:val="28"/>
          <w:szCs w:val="28"/>
        </w:rPr>
        <w:t xml:space="preserve">BYMYAM TRUST </w:t>
      </w:r>
      <w:r w:rsidRPr="00B1555D">
        <w:rPr>
          <w:b/>
          <w:bCs/>
          <w:sz w:val="28"/>
          <w:szCs w:val="28"/>
        </w:rPr>
        <w:tab/>
        <w:t>R</w:t>
      </w:r>
      <w:r w:rsidR="00B278E3">
        <w:rPr>
          <w:b/>
          <w:bCs/>
          <w:sz w:val="28"/>
          <w:szCs w:val="28"/>
        </w:rPr>
        <w:t>ESPONDENT</w:t>
      </w:r>
    </w:p>
    <w:p w14:paraId="4D617299" w14:textId="77777777" w:rsidR="009224BD" w:rsidRPr="00B1555D" w:rsidRDefault="009224BD" w:rsidP="008961FC">
      <w:pPr>
        <w:widowControl w:val="0"/>
        <w:tabs>
          <w:tab w:val="right" w:pos="9360"/>
        </w:tabs>
        <w:autoSpaceDE w:val="0"/>
        <w:autoSpaceDN w:val="0"/>
        <w:adjustRightInd w:val="0"/>
        <w:spacing w:line="276" w:lineRule="auto"/>
        <w:rPr>
          <w:bCs/>
          <w:i/>
          <w:sz w:val="28"/>
          <w:szCs w:val="28"/>
        </w:rPr>
      </w:pPr>
    </w:p>
    <w:p w14:paraId="0541E5B5" w14:textId="6E3AB9B5" w:rsidR="009224BD" w:rsidRPr="00B1555D" w:rsidRDefault="009224BD" w:rsidP="00D751EB">
      <w:pPr>
        <w:spacing w:line="360" w:lineRule="auto"/>
        <w:ind w:left="2160" w:hanging="2160"/>
        <w:jc w:val="both"/>
        <w:rPr>
          <w:b/>
          <w:bCs/>
          <w:sz w:val="28"/>
          <w:szCs w:val="28"/>
        </w:rPr>
      </w:pPr>
      <w:r w:rsidRPr="00B1555D">
        <w:rPr>
          <w:b/>
          <w:bCs/>
          <w:sz w:val="28"/>
          <w:szCs w:val="28"/>
        </w:rPr>
        <w:t>Neutral citation:</w:t>
      </w:r>
      <w:r w:rsidRPr="00B1555D">
        <w:rPr>
          <w:b/>
          <w:bCs/>
          <w:sz w:val="28"/>
          <w:szCs w:val="28"/>
        </w:rPr>
        <w:tab/>
      </w:r>
      <w:r w:rsidRPr="00B1555D">
        <w:rPr>
          <w:bCs/>
          <w:i/>
          <w:sz w:val="28"/>
          <w:szCs w:val="28"/>
        </w:rPr>
        <w:t xml:space="preserve">The Butcher Shop and Grill CC v The </w:t>
      </w:r>
      <w:r w:rsidR="00F33075">
        <w:rPr>
          <w:bCs/>
          <w:i/>
          <w:sz w:val="28"/>
          <w:szCs w:val="28"/>
        </w:rPr>
        <w:t>T</w:t>
      </w:r>
      <w:r w:rsidRPr="00B1555D">
        <w:rPr>
          <w:bCs/>
          <w:i/>
          <w:sz w:val="28"/>
          <w:szCs w:val="28"/>
        </w:rPr>
        <w:t xml:space="preserve">rustees for the time being of the Bymyam Trust </w:t>
      </w:r>
      <w:r w:rsidRPr="00B1555D">
        <w:rPr>
          <w:bCs/>
          <w:sz w:val="28"/>
          <w:szCs w:val="28"/>
        </w:rPr>
        <w:t xml:space="preserve">(038/2022) [2023] ZASCA </w:t>
      </w:r>
      <w:r w:rsidR="00B067D9">
        <w:rPr>
          <w:bCs/>
          <w:sz w:val="28"/>
          <w:szCs w:val="28"/>
        </w:rPr>
        <w:t xml:space="preserve">57 </w:t>
      </w:r>
      <w:r w:rsidRPr="00B1555D">
        <w:rPr>
          <w:bCs/>
          <w:sz w:val="28"/>
          <w:szCs w:val="28"/>
        </w:rPr>
        <w:t>(</w:t>
      </w:r>
      <w:r w:rsidR="00B067D9">
        <w:rPr>
          <w:bCs/>
          <w:sz w:val="28"/>
          <w:szCs w:val="28"/>
        </w:rPr>
        <w:t>21</w:t>
      </w:r>
      <w:r w:rsidR="00850AC9">
        <w:rPr>
          <w:bCs/>
          <w:sz w:val="28"/>
          <w:szCs w:val="28"/>
        </w:rPr>
        <w:t xml:space="preserve"> April</w:t>
      </w:r>
      <w:r w:rsidRPr="00B1555D">
        <w:rPr>
          <w:bCs/>
          <w:sz w:val="28"/>
          <w:szCs w:val="28"/>
        </w:rPr>
        <w:t xml:space="preserve"> 2023)</w:t>
      </w:r>
    </w:p>
    <w:p w14:paraId="0242ED68" w14:textId="232CF084" w:rsidR="009224BD" w:rsidRPr="00B1555D" w:rsidRDefault="009224BD" w:rsidP="00D751EB">
      <w:pPr>
        <w:spacing w:line="276" w:lineRule="auto"/>
        <w:ind w:left="1440" w:hanging="1440"/>
        <w:jc w:val="both"/>
        <w:rPr>
          <w:b/>
          <w:bCs/>
          <w:sz w:val="28"/>
          <w:szCs w:val="28"/>
        </w:rPr>
      </w:pPr>
      <w:r w:rsidRPr="00B1555D">
        <w:rPr>
          <w:b/>
          <w:bCs/>
          <w:sz w:val="28"/>
          <w:szCs w:val="28"/>
        </w:rPr>
        <w:t>Coram:</w:t>
      </w:r>
      <w:r w:rsidRPr="00B1555D">
        <w:rPr>
          <w:sz w:val="28"/>
          <w:szCs w:val="28"/>
        </w:rPr>
        <w:tab/>
      </w:r>
      <w:r w:rsidRPr="00B1555D">
        <w:rPr>
          <w:bCs/>
          <w:sz w:val="28"/>
          <w:szCs w:val="28"/>
        </w:rPr>
        <w:t>VAN DER MERWE, MBATHA, CARELSE, WEINER and GOOSEN JJA</w:t>
      </w:r>
    </w:p>
    <w:p w14:paraId="6DD316B4" w14:textId="442D5F40" w:rsidR="00F16221" w:rsidRDefault="009224BD" w:rsidP="00D751EB">
      <w:pPr>
        <w:spacing w:line="360" w:lineRule="auto"/>
        <w:rPr>
          <w:b/>
          <w:bCs/>
          <w:sz w:val="28"/>
          <w:szCs w:val="28"/>
        </w:rPr>
      </w:pPr>
      <w:r w:rsidRPr="00B1555D">
        <w:rPr>
          <w:b/>
          <w:bCs/>
          <w:sz w:val="28"/>
          <w:szCs w:val="28"/>
        </w:rPr>
        <w:t>Heard</w:t>
      </w:r>
      <w:r w:rsidRPr="00B1555D">
        <w:rPr>
          <w:sz w:val="28"/>
          <w:szCs w:val="28"/>
        </w:rPr>
        <w:t>:</w:t>
      </w:r>
      <w:r w:rsidRPr="00B1555D">
        <w:rPr>
          <w:sz w:val="28"/>
          <w:szCs w:val="28"/>
        </w:rPr>
        <w:tab/>
        <w:t>2 March 2023</w:t>
      </w:r>
    </w:p>
    <w:p w14:paraId="0155660D" w14:textId="2B088852" w:rsidR="00850AC9" w:rsidRPr="00850AC9" w:rsidRDefault="008A20CC" w:rsidP="00F16221">
      <w:pPr>
        <w:tabs>
          <w:tab w:val="left" w:pos="699"/>
        </w:tabs>
        <w:spacing w:line="360" w:lineRule="auto"/>
        <w:jc w:val="both"/>
        <w:rPr>
          <w:sz w:val="28"/>
          <w:szCs w:val="28"/>
          <w:lang w:val="en-ZA"/>
        </w:rPr>
      </w:pPr>
      <w:r w:rsidRPr="00B1555D">
        <w:rPr>
          <w:b/>
          <w:bCs/>
          <w:sz w:val="28"/>
          <w:szCs w:val="28"/>
        </w:rPr>
        <w:t>Delivered</w:t>
      </w:r>
      <w:r w:rsidRPr="00B1555D">
        <w:rPr>
          <w:sz w:val="28"/>
          <w:szCs w:val="28"/>
        </w:rPr>
        <w:t>:</w:t>
      </w:r>
      <w:r w:rsidRPr="00B1555D">
        <w:rPr>
          <w:sz w:val="28"/>
          <w:szCs w:val="28"/>
        </w:rPr>
        <w:tab/>
      </w:r>
      <w:r w:rsidR="00850AC9" w:rsidRPr="00850AC9">
        <w:rPr>
          <w:sz w:val="28"/>
          <w:szCs w:val="28"/>
          <w:lang w:val="en-ZA"/>
        </w:rPr>
        <w:t xml:space="preserve">This judgment was handed down electronically by circulation to the parties’ representatives by email, publication on the Supreme Court of Appeal website and release to SAFLII. The date and time for hand-down is deemed to be </w:t>
      </w:r>
      <w:r w:rsidR="00850AC9">
        <w:rPr>
          <w:sz w:val="28"/>
          <w:szCs w:val="28"/>
          <w:lang w:val="en-ZA"/>
        </w:rPr>
        <w:t>11h00</w:t>
      </w:r>
      <w:r w:rsidR="00850AC9" w:rsidRPr="00850AC9">
        <w:rPr>
          <w:sz w:val="28"/>
          <w:szCs w:val="28"/>
          <w:lang w:val="en-ZA"/>
        </w:rPr>
        <w:t xml:space="preserve"> on </w:t>
      </w:r>
      <w:r w:rsidR="00910FD2">
        <w:rPr>
          <w:sz w:val="28"/>
          <w:szCs w:val="28"/>
          <w:lang w:val="en-ZA"/>
        </w:rPr>
        <w:t xml:space="preserve">21 </w:t>
      </w:r>
      <w:r w:rsidR="00850AC9">
        <w:rPr>
          <w:sz w:val="28"/>
          <w:szCs w:val="28"/>
          <w:lang w:val="en-ZA"/>
        </w:rPr>
        <w:t>April</w:t>
      </w:r>
      <w:r w:rsidR="00850AC9" w:rsidRPr="00850AC9">
        <w:rPr>
          <w:sz w:val="28"/>
          <w:szCs w:val="28"/>
          <w:lang w:val="en-ZA"/>
        </w:rPr>
        <w:t xml:space="preserve"> 2023.</w:t>
      </w:r>
    </w:p>
    <w:p w14:paraId="112C1C61" w14:textId="77777777" w:rsidR="00F16221" w:rsidRDefault="00F16221" w:rsidP="00D751EB">
      <w:pPr>
        <w:tabs>
          <w:tab w:val="left" w:pos="699"/>
        </w:tabs>
        <w:spacing w:line="360" w:lineRule="auto"/>
        <w:jc w:val="both"/>
        <w:rPr>
          <w:b/>
          <w:bCs/>
          <w:sz w:val="28"/>
          <w:szCs w:val="28"/>
        </w:rPr>
      </w:pPr>
    </w:p>
    <w:p w14:paraId="7C2236E4" w14:textId="51A71060" w:rsidR="00E42E5E" w:rsidRPr="00B1555D" w:rsidRDefault="008159AB" w:rsidP="00F16221">
      <w:pPr>
        <w:spacing w:line="360" w:lineRule="auto"/>
        <w:jc w:val="both"/>
        <w:rPr>
          <w:bCs/>
          <w:sz w:val="28"/>
          <w:szCs w:val="28"/>
        </w:rPr>
      </w:pPr>
      <w:r w:rsidRPr="00B1555D">
        <w:rPr>
          <w:b/>
          <w:bCs/>
          <w:sz w:val="28"/>
          <w:szCs w:val="28"/>
        </w:rPr>
        <w:t>Summary:</w:t>
      </w:r>
      <w:r w:rsidR="00B75EBB" w:rsidRPr="00B1555D">
        <w:rPr>
          <w:b/>
          <w:bCs/>
          <w:sz w:val="28"/>
          <w:szCs w:val="28"/>
        </w:rPr>
        <w:tab/>
      </w:r>
      <w:r w:rsidR="00850AC9">
        <w:rPr>
          <w:sz w:val="28"/>
          <w:szCs w:val="28"/>
        </w:rPr>
        <w:t>Lease –</w:t>
      </w:r>
      <w:r w:rsidR="008961FC">
        <w:rPr>
          <w:sz w:val="28"/>
          <w:szCs w:val="28"/>
        </w:rPr>
        <w:t xml:space="preserve"> remission and abatement of rent – </w:t>
      </w:r>
      <w:r w:rsidR="008961FC">
        <w:rPr>
          <w:i/>
          <w:iCs/>
          <w:sz w:val="28"/>
          <w:szCs w:val="28"/>
        </w:rPr>
        <w:t>vis major</w:t>
      </w:r>
      <w:r w:rsidR="008961FC">
        <w:rPr>
          <w:sz w:val="28"/>
          <w:szCs w:val="28"/>
        </w:rPr>
        <w:t xml:space="preserve"> – subtenant suffering loss of use and enjoyment of leased premises – whether tenant entitled to claim remission – piercing of corporate veil – application of common law principles – whether common law to be developed – appeal dismissed.</w:t>
      </w:r>
      <w:r w:rsidR="00334079" w:rsidRPr="00B1555D">
        <w:rPr>
          <w:b/>
          <w:bCs/>
          <w:sz w:val="28"/>
          <w:szCs w:val="28"/>
        </w:rPr>
        <w:tab/>
      </w:r>
      <w:r w:rsidR="00C328F1" w:rsidRPr="00B1555D">
        <w:rPr>
          <w:sz w:val="28"/>
          <w:szCs w:val="28"/>
        </w:rPr>
        <w:t xml:space="preserve"> </w:t>
      </w:r>
    </w:p>
    <w:p w14:paraId="36FAF66C" w14:textId="7EE700F1" w:rsidR="00BB1B22" w:rsidRPr="00B1555D" w:rsidRDefault="00E42E5E" w:rsidP="00F16221">
      <w:pPr>
        <w:spacing w:after="160" w:line="360" w:lineRule="auto"/>
        <w:rPr>
          <w:b/>
          <w:sz w:val="28"/>
          <w:szCs w:val="28"/>
        </w:rPr>
      </w:pPr>
      <w:r w:rsidRPr="00B1555D">
        <w:rPr>
          <w:bCs/>
          <w:sz w:val="28"/>
          <w:szCs w:val="28"/>
        </w:rPr>
        <w:br w:type="page"/>
      </w:r>
      <w:r w:rsidR="005023EF" w:rsidRPr="00B1555D">
        <w:rPr>
          <w:b/>
          <w:sz w:val="28"/>
          <w:szCs w:val="28"/>
        </w:rPr>
        <w:lastRenderedPageBreak/>
        <w:t>________________________________________________________________</w:t>
      </w:r>
    </w:p>
    <w:p w14:paraId="54CC67AC" w14:textId="77777777" w:rsidR="005023EF" w:rsidRPr="00B1555D" w:rsidRDefault="005023EF" w:rsidP="000E3AE8">
      <w:pPr>
        <w:spacing w:line="276" w:lineRule="auto"/>
        <w:jc w:val="both"/>
        <w:rPr>
          <w:b/>
          <w:sz w:val="28"/>
          <w:szCs w:val="28"/>
        </w:rPr>
      </w:pPr>
    </w:p>
    <w:p w14:paraId="40B2148A" w14:textId="77777777" w:rsidR="005023EF" w:rsidRPr="00B1555D" w:rsidRDefault="005023EF" w:rsidP="000E3AE8">
      <w:pPr>
        <w:spacing w:line="276" w:lineRule="auto"/>
        <w:jc w:val="center"/>
        <w:rPr>
          <w:b/>
          <w:sz w:val="28"/>
          <w:szCs w:val="28"/>
        </w:rPr>
      </w:pPr>
      <w:r w:rsidRPr="00B1555D">
        <w:rPr>
          <w:b/>
          <w:sz w:val="28"/>
          <w:szCs w:val="28"/>
        </w:rPr>
        <w:t>ORDER</w:t>
      </w:r>
    </w:p>
    <w:p w14:paraId="0ACAD0EC" w14:textId="3D1FA507" w:rsidR="005023EF" w:rsidRPr="00B1555D" w:rsidRDefault="005023EF" w:rsidP="000E3AE8">
      <w:pPr>
        <w:spacing w:line="276" w:lineRule="auto"/>
        <w:jc w:val="both"/>
        <w:rPr>
          <w:b/>
          <w:sz w:val="28"/>
          <w:szCs w:val="28"/>
        </w:rPr>
      </w:pPr>
      <w:r w:rsidRPr="00B1555D">
        <w:rPr>
          <w:b/>
          <w:sz w:val="28"/>
          <w:szCs w:val="28"/>
        </w:rPr>
        <w:t>________________________________________________________________</w:t>
      </w:r>
    </w:p>
    <w:p w14:paraId="71021D8B" w14:textId="3571020A" w:rsidR="00351B4B" w:rsidRDefault="00E0572D" w:rsidP="000815BD">
      <w:pPr>
        <w:pStyle w:val="ListBullet"/>
        <w:numPr>
          <w:ilvl w:val="0"/>
          <w:numId w:val="0"/>
        </w:numPr>
        <w:spacing w:before="240" w:after="0" w:line="360" w:lineRule="auto"/>
        <w:jc w:val="both"/>
        <w:rPr>
          <w:rFonts w:ascii="Times New Roman" w:hAnsi="Times New Roman" w:cs="Times New Roman"/>
          <w:bCs/>
          <w:sz w:val="28"/>
          <w:szCs w:val="28"/>
        </w:rPr>
      </w:pPr>
      <w:r w:rsidRPr="00B1555D">
        <w:rPr>
          <w:rFonts w:ascii="Times New Roman" w:hAnsi="Times New Roman" w:cs="Times New Roman"/>
          <w:b/>
          <w:bCs/>
          <w:sz w:val="28"/>
          <w:szCs w:val="28"/>
        </w:rPr>
        <w:t xml:space="preserve">On appeal from: </w:t>
      </w:r>
      <w:r w:rsidR="009224BD" w:rsidRPr="00B1555D">
        <w:rPr>
          <w:rFonts w:ascii="Times New Roman" w:hAnsi="Times New Roman" w:cs="Times New Roman"/>
          <w:bCs/>
          <w:sz w:val="28"/>
          <w:szCs w:val="28"/>
        </w:rPr>
        <w:t>Western Cape</w:t>
      </w:r>
      <w:r w:rsidR="00285F3E" w:rsidRPr="00B1555D">
        <w:rPr>
          <w:rFonts w:ascii="Times New Roman" w:hAnsi="Times New Roman" w:cs="Times New Roman"/>
          <w:bCs/>
          <w:sz w:val="28"/>
          <w:szCs w:val="28"/>
        </w:rPr>
        <w:t xml:space="preserve"> Divisio</w:t>
      </w:r>
      <w:r w:rsidR="00B35557" w:rsidRPr="00B1555D">
        <w:rPr>
          <w:rFonts w:ascii="Times New Roman" w:hAnsi="Times New Roman" w:cs="Times New Roman"/>
          <w:bCs/>
          <w:sz w:val="28"/>
          <w:szCs w:val="28"/>
        </w:rPr>
        <w:t xml:space="preserve">n of the High Court, </w:t>
      </w:r>
      <w:r w:rsidR="009224BD" w:rsidRPr="00B1555D">
        <w:rPr>
          <w:rFonts w:ascii="Times New Roman" w:hAnsi="Times New Roman" w:cs="Times New Roman"/>
          <w:bCs/>
          <w:sz w:val="28"/>
          <w:szCs w:val="28"/>
        </w:rPr>
        <w:t>Cape Town</w:t>
      </w:r>
      <w:r w:rsidR="00BB7BE8" w:rsidRPr="00B1555D">
        <w:rPr>
          <w:rFonts w:ascii="Times New Roman" w:hAnsi="Times New Roman" w:cs="Times New Roman"/>
          <w:bCs/>
          <w:sz w:val="28"/>
          <w:szCs w:val="28"/>
        </w:rPr>
        <w:t xml:space="preserve"> (</w:t>
      </w:r>
      <w:r w:rsidR="009224BD" w:rsidRPr="00B1555D">
        <w:rPr>
          <w:rFonts w:ascii="Times New Roman" w:hAnsi="Times New Roman" w:cs="Times New Roman"/>
          <w:bCs/>
          <w:sz w:val="28"/>
          <w:szCs w:val="28"/>
        </w:rPr>
        <w:t>Pangarker A</w:t>
      </w:r>
      <w:r w:rsidR="00BB7BE8" w:rsidRPr="00B1555D">
        <w:rPr>
          <w:rFonts w:ascii="Times New Roman" w:hAnsi="Times New Roman" w:cs="Times New Roman"/>
          <w:sz w:val="28"/>
          <w:szCs w:val="28"/>
        </w:rPr>
        <w:t>J</w:t>
      </w:r>
      <w:r w:rsidR="000815BD" w:rsidRPr="00B1555D">
        <w:rPr>
          <w:rFonts w:ascii="Times New Roman" w:hAnsi="Times New Roman" w:cs="Times New Roman"/>
          <w:sz w:val="28"/>
          <w:szCs w:val="28"/>
        </w:rPr>
        <w:t>,</w:t>
      </w:r>
      <w:r w:rsidR="00BB7BE8" w:rsidRPr="00B1555D">
        <w:rPr>
          <w:rFonts w:ascii="Times New Roman" w:hAnsi="Times New Roman" w:cs="Times New Roman"/>
          <w:bCs/>
          <w:sz w:val="28"/>
          <w:szCs w:val="28"/>
        </w:rPr>
        <w:t xml:space="preserve"> sitting as</w:t>
      </w:r>
      <w:r w:rsidR="00B35557" w:rsidRPr="00B1555D">
        <w:rPr>
          <w:rFonts w:ascii="Times New Roman" w:hAnsi="Times New Roman" w:cs="Times New Roman"/>
          <w:bCs/>
          <w:sz w:val="28"/>
          <w:szCs w:val="28"/>
        </w:rPr>
        <w:t xml:space="preserve"> </w:t>
      </w:r>
      <w:r w:rsidR="005D3E8E" w:rsidRPr="00B1555D">
        <w:rPr>
          <w:rFonts w:ascii="Times New Roman" w:hAnsi="Times New Roman" w:cs="Times New Roman"/>
          <w:bCs/>
          <w:sz w:val="28"/>
          <w:szCs w:val="28"/>
        </w:rPr>
        <w:t>court of first instance</w:t>
      </w:r>
      <w:r w:rsidR="00C936A2" w:rsidRPr="00B1555D">
        <w:rPr>
          <w:rFonts w:ascii="Times New Roman" w:hAnsi="Times New Roman" w:cs="Times New Roman"/>
          <w:bCs/>
          <w:sz w:val="28"/>
          <w:szCs w:val="28"/>
        </w:rPr>
        <w:t>)</w:t>
      </w:r>
      <w:r w:rsidR="00B278E3">
        <w:rPr>
          <w:rFonts w:ascii="Times New Roman" w:hAnsi="Times New Roman" w:cs="Times New Roman"/>
          <w:bCs/>
          <w:sz w:val="28"/>
          <w:szCs w:val="28"/>
        </w:rPr>
        <w:t xml:space="preserve">: judgment </w:t>
      </w:r>
      <w:r w:rsidR="00C70156">
        <w:rPr>
          <w:rFonts w:ascii="Times New Roman" w:hAnsi="Times New Roman" w:cs="Times New Roman"/>
          <w:bCs/>
          <w:sz w:val="28"/>
          <w:szCs w:val="28"/>
        </w:rPr>
        <w:t>reported</w:t>
      </w:r>
      <w:r w:rsidR="00A92AC9">
        <w:rPr>
          <w:rFonts w:ascii="Times New Roman" w:hAnsi="Times New Roman" w:cs="Times New Roman"/>
          <w:bCs/>
          <w:i/>
          <w:iCs/>
          <w:sz w:val="28"/>
          <w:szCs w:val="28"/>
        </w:rPr>
        <w:t xml:space="preserve"> sub nom</w:t>
      </w:r>
      <w:r w:rsidR="00C70156">
        <w:rPr>
          <w:rFonts w:ascii="Times New Roman" w:hAnsi="Times New Roman" w:cs="Times New Roman"/>
          <w:bCs/>
          <w:i/>
          <w:iCs/>
          <w:sz w:val="28"/>
          <w:szCs w:val="28"/>
        </w:rPr>
        <w:t xml:space="preserve"> </w:t>
      </w:r>
      <w:r w:rsidR="00A92AC9">
        <w:rPr>
          <w:rFonts w:ascii="Times New Roman" w:hAnsi="Times New Roman" w:cs="Times New Roman"/>
          <w:bCs/>
          <w:i/>
          <w:iCs/>
          <w:sz w:val="28"/>
          <w:szCs w:val="28"/>
        </w:rPr>
        <w:t xml:space="preserve">The Trustees for the time being of the Bymyam Trust </w:t>
      </w:r>
      <w:r w:rsidR="00C70156">
        <w:rPr>
          <w:rFonts w:ascii="Times New Roman" w:hAnsi="Times New Roman" w:cs="Times New Roman"/>
          <w:bCs/>
          <w:i/>
          <w:iCs/>
          <w:sz w:val="28"/>
          <w:szCs w:val="28"/>
        </w:rPr>
        <w:t xml:space="preserve">v The Butcher Shop and Grill </w:t>
      </w:r>
      <w:r w:rsidR="00C70156" w:rsidRPr="00C70156">
        <w:rPr>
          <w:rFonts w:ascii="Times New Roman" w:hAnsi="Times New Roman" w:cs="Times New Roman"/>
          <w:bCs/>
          <w:sz w:val="28"/>
          <w:szCs w:val="28"/>
        </w:rPr>
        <w:t xml:space="preserve">CC </w:t>
      </w:r>
      <w:r w:rsidR="00A92AC9" w:rsidRPr="00C70156">
        <w:rPr>
          <w:rFonts w:ascii="Times New Roman" w:hAnsi="Times New Roman" w:cs="Times New Roman"/>
          <w:bCs/>
          <w:sz w:val="28"/>
          <w:szCs w:val="28"/>
        </w:rPr>
        <w:t>2022 (2) SA 99 (WC</w:t>
      </w:r>
      <w:r w:rsidR="00C70156">
        <w:rPr>
          <w:rFonts w:ascii="Times New Roman" w:hAnsi="Times New Roman" w:cs="Times New Roman"/>
          <w:bCs/>
          <w:sz w:val="28"/>
          <w:szCs w:val="28"/>
        </w:rPr>
        <w:t>C</w:t>
      </w:r>
      <w:r w:rsidR="00A92AC9" w:rsidRPr="00C70156">
        <w:rPr>
          <w:rFonts w:ascii="Times New Roman" w:hAnsi="Times New Roman" w:cs="Times New Roman"/>
          <w:bCs/>
          <w:sz w:val="28"/>
          <w:szCs w:val="28"/>
        </w:rPr>
        <w:t>)</w:t>
      </w:r>
    </w:p>
    <w:p w14:paraId="4CD4A47E" w14:textId="1E6166A8" w:rsidR="00F33075" w:rsidRPr="00B1555D" w:rsidRDefault="00F33075" w:rsidP="000815BD">
      <w:pPr>
        <w:pStyle w:val="ListBullet"/>
        <w:numPr>
          <w:ilvl w:val="0"/>
          <w:numId w:val="0"/>
        </w:numPr>
        <w:spacing w:before="240" w:after="0" w:line="360" w:lineRule="auto"/>
        <w:jc w:val="both"/>
        <w:rPr>
          <w:rFonts w:ascii="Times New Roman" w:hAnsi="Times New Roman" w:cs="Times New Roman"/>
          <w:bCs/>
          <w:sz w:val="28"/>
          <w:szCs w:val="28"/>
        </w:rPr>
      </w:pPr>
      <w:r>
        <w:rPr>
          <w:rFonts w:ascii="Times New Roman" w:hAnsi="Times New Roman" w:cs="Times New Roman"/>
          <w:bCs/>
          <w:sz w:val="28"/>
          <w:szCs w:val="28"/>
        </w:rPr>
        <w:t>The appeal is dismissed with costs.</w:t>
      </w:r>
    </w:p>
    <w:p w14:paraId="37180EDE" w14:textId="4386758A" w:rsidR="00AE7FF7" w:rsidRPr="00B1555D" w:rsidRDefault="00AE7FF7" w:rsidP="000815BD">
      <w:pPr>
        <w:pStyle w:val="ListBullet"/>
        <w:numPr>
          <w:ilvl w:val="0"/>
          <w:numId w:val="0"/>
        </w:numPr>
        <w:spacing w:before="240" w:after="0" w:line="360" w:lineRule="auto"/>
        <w:ind w:left="720" w:hanging="720"/>
        <w:jc w:val="both"/>
        <w:rPr>
          <w:rFonts w:ascii="Times New Roman" w:hAnsi="Times New Roman" w:cs="Times New Roman"/>
          <w:bCs/>
          <w:sz w:val="28"/>
          <w:szCs w:val="28"/>
        </w:rPr>
      </w:pPr>
    </w:p>
    <w:p w14:paraId="110D8A57" w14:textId="38C5F983" w:rsidR="000E3AE8" w:rsidRPr="00B1555D" w:rsidRDefault="000E3AE8" w:rsidP="000E3AE8">
      <w:pPr>
        <w:pStyle w:val="ListBullet"/>
        <w:numPr>
          <w:ilvl w:val="0"/>
          <w:numId w:val="0"/>
        </w:numPr>
        <w:spacing w:after="0" w:line="276" w:lineRule="auto"/>
        <w:jc w:val="both"/>
        <w:rPr>
          <w:rFonts w:ascii="Times New Roman" w:hAnsi="Times New Roman" w:cs="Times New Roman"/>
          <w:b/>
          <w:sz w:val="28"/>
          <w:szCs w:val="28"/>
        </w:rPr>
      </w:pPr>
      <w:r w:rsidRPr="00B1555D">
        <w:rPr>
          <w:rFonts w:ascii="Times New Roman" w:hAnsi="Times New Roman" w:cs="Times New Roman"/>
          <w:b/>
          <w:sz w:val="28"/>
          <w:szCs w:val="28"/>
        </w:rPr>
        <w:t>________________________________________________________________</w:t>
      </w:r>
    </w:p>
    <w:p w14:paraId="4F80F1DA" w14:textId="77777777" w:rsidR="000E3AE8" w:rsidRPr="00B1555D" w:rsidRDefault="000E3AE8" w:rsidP="000E3AE8">
      <w:pPr>
        <w:pStyle w:val="ListBullet"/>
        <w:numPr>
          <w:ilvl w:val="0"/>
          <w:numId w:val="0"/>
        </w:numPr>
        <w:spacing w:after="0" w:line="276" w:lineRule="auto"/>
        <w:jc w:val="center"/>
        <w:rPr>
          <w:rFonts w:ascii="Times New Roman" w:hAnsi="Times New Roman" w:cs="Times New Roman"/>
          <w:b/>
          <w:sz w:val="28"/>
          <w:szCs w:val="28"/>
        </w:rPr>
      </w:pPr>
    </w:p>
    <w:p w14:paraId="20CB09E8" w14:textId="1E1EE0EC" w:rsidR="000E3AE8" w:rsidRPr="00B1555D" w:rsidRDefault="000E3AE8" w:rsidP="000E3AE8">
      <w:pPr>
        <w:pStyle w:val="ListBullet"/>
        <w:numPr>
          <w:ilvl w:val="0"/>
          <w:numId w:val="0"/>
        </w:numPr>
        <w:spacing w:after="0" w:line="276" w:lineRule="auto"/>
        <w:jc w:val="center"/>
        <w:rPr>
          <w:rFonts w:ascii="Times New Roman" w:hAnsi="Times New Roman" w:cs="Times New Roman"/>
          <w:b/>
          <w:sz w:val="28"/>
          <w:szCs w:val="28"/>
        </w:rPr>
      </w:pPr>
      <w:r w:rsidRPr="00B1555D">
        <w:rPr>
          <w:rFonts w:ascii="Times New Roman" w:hAnsi="Times New Roman" w:cs="Times New Roman"/>
          <w:b/>
          <w:sz w:val="28"/>
          <w:szCs w:val="28"/>
        </w:rPr>
        <w:t>JUDGMENT</w:t>
      </w:r>
    </w:p>
    <w:p w14:paraId="2847D303" w14:textId="2169720B" w:rsidR="000E3AE8" w:rsidRPr="00B1555D" w:rsidRDefault="000E3AE8" w:rsidP="000E3AE8">
      <w:pPr>
        <w:pStyle w:val="ListBullet"/>
        <w:numPr>
          <w:ilvl w:val="0"/>
          <w:numId w:val="0"/>
        </w:numPr>
        <w:spacing w:after="0" w:line="360" w:lineRule="auto"/>
        <w:rPr>
          <w:rFonts w:ascii="Times New Roman" w:hAnsi="Times New Roman" w:cs="Times New Roman"/>
          <w:b/>
          <w:sz w:val="28"/>
          <w:szCs w:val="28"/>
        </w:rPr>
      </w:pPr>
      <w:r w:rsidRPr="00B1555D">
        <w:rPr>
          <w:rFonts w:ascii="Times New Roman" w:hAnsi="Times New Roman" w:cs="Times New Roman"/>
          <w:b/>
          <w:sz w:val="28"/>
          <w:szCs w:val="28"/>
        </w:rPr>
        <w:t>________________________________________________________________</w:t>
      </w:r>
    </w:p>
    <w:p w14:paraId="6E7337D2" w14:textId="0149A5E0" w:rsidR="009539FF" w:rsidRPr="00B1555D" w:rsidRDefault="009224BD" w:rsidP="000815BD">
      <w:pPr>
        <w:spacing w:before="240" w:after="240" w:line="360" w:lineRule="auto"/>
        <w:jc w:val="both"/>
        <w:rPr>
          <w:b/>
          <w:sz w:val="28"/>
          <w:szCs w:val="28"/>
        </w:rPr>
      </w:pPr>
      <w:r w:rsidRPr="00B1555D">
        <w:rPr>
          <w:b/>
          <w:sz w:val="28"/>
          <w:szCs w:val="28"/>
        </w:rPr>
        <w:t>Goosen</w:t>
      </w:r>
      <w:r w:rsidR="008B3391" w:rsidRPr="00B1555D">
        <w:rPr>
          <w:b/>
          <w:sz w:val="28"/>
          <w:szCs w:val="28"/>
        </w:rPr>
        <w:t xml:space="preserve"> </w:t>
      </w:r>
      <w:r w:rsidR="000E3AE8" w:rsidRPr="00B1555D">
        <w:rPr>
          <w:b/>
          <w:sz w:val="28"/>
          <w:szCs w:val="28"/>
        </w:rPr>
        <w:t>J</w:t>
      </w:r>
      <w:r w:rsidR="00075D7F" w:rsidRPr="00B1555D">
        <w:rPr>
          <w:b/>
          <w:sz w:val="28"/>
          <w:szCs w:val="28"/>
        </w:rPr>
        <w:t>A</w:t>
      </w:r>
      <w:r w:rsidR="00FF5A22" w:rsidRPr="00B1555D">
        <w:rPr>
          <w:b/>
          <w:sz w:val="28"/>
          <w:szCs w:val="28"/>
        </w:rPr>
        <w:t xml:space="preserve"> (</w:t>
      </w:r>
      <w:r w:rsidR="00850AC9">
        <w:rPr>
          <w:b/>
          <w:sz w:val="28"/>
          <w:szCs w:val="28"/>
        </w:rPr>
        <w:t>Van der Merwe, Mbatha, Carelse and Weiner JJA concurring</w:t>
      </w:r>
      <w:r w:rsidR="003D4416" w:rsidRPr="00B1555D">
        <w:rPr>
          <w:b/>
          <w:sz w:val="28"/>
          <w:szCs w:val="28"/>
        </w:rPr>
        <w:t>)</w:t>
      </w:r>
      <w:r w:rsidR="000815BD" w:rsidRPr="00B1555D">
        <w:rPr>
          <w:b/>
          <w:sz w:val="28"/>
          <w:szCs w:val="28"/>
        </w:rPr>
        <w:t>:</w:t>
      </w:r>
    </w:p>
    <w:p w14:paraId="430E92DB" w14:textId="6057F778" w:rsidR="006D5903" w:rsidRPr="00E16CE9" w:rsidRDefault="00E16CE9" w:rsidP="00E16CE9">
      <w:pPr>
        <w:spacing w:line="360" w:lineRule="auto"/>
        <w:jc w:val="both"/>
        <w:rPr>
          <w:rFonts w:eastAsia="Calibri"/>
          <w:sz w:val="28"/>
          <w:szCs w:val="28"/>
          <w:lang w:val="en-ZA"/>
        </w:rPr>
      </w:pPr>
      <w:r>
        <w:rPr>
          <w:rFonts w:eastAsia="Calibri"/>
          <w:sz w:val="28"/>
          <w:szCs w:val="28"/>
          <w:lang w:val="en-ZA"/>
        </w:rPr>
        <w:t>[1]</w:t>
      </w:r>
      <w:r>
        <w:rPr>
          <w:rFonts w:eastAsia="Calibri"/>
          <w:sz w:val="28"/>
          <w:szCs w:val="28"/>
          <w:lang w:val="en-ZA"/>
        </w:rPr>
        <w:tab/>
      </w:r>
      <w:r w:rsidR="00A3645C" w:rsidRPr="00E16CE9">
        <w:rPr>
          <w:rFonts w:eastAsia="Calibri"/>
          <w:sz w:val="28"/>
          <w:szCs w:val="28"/>
          <w:lang w:val="en-ZA"/>
        </w:rPr>
        <w:t>Th</w:t>
      </w:r>
      <w:r w:rsidR="00713113" w:rsidRPr="00E16CE9">
        <w:rPr>
          <w:rFonts w:eastAsia="Calibri"/>
          <w:sz w:val="28"/>
          <w:szCs w:val="28"/>
          <w:lang w:val="en-ZA"/>
        </w:rPr>
        <w:t>is a</w:t>
      </w:r>
      <w:bookmarkStart w:id="0" w:name="_GoBack"/>
      <w:bookmarkEnd w:id="0"/>
      <w:r w:rsidR="00713113" w:rsidRPr="00E16CE9">
        <w:rPr>
          <w:rFonts w:eastAsia="Calibri"/>
          <w:sz w:val="28"/>
          <w:szCs w:val="28"/>
          <w:lang w:val="en-ZA"/>
        </w:rPr>
        <w:t xml:space="preserve">ppeal raises the question of a lessee’s entitlement to claim remission of rent payable to a lessor in circumstances where </w:t>
      </w:r>
      <w:r w:rsidR="00713113" w:rsidRPr="00E16CE9">
        <w:rPr>
          <w:rFonts w:eastAsia="Calibri"/>
          <w:i/>
          <w:sz w:val="28"/>
          <w:szCs w:val="28"/>
          <w:lang w:val="en-ZA"/>
        </w:rPr>
        <w:t>vis major</w:t>
      </w:r>
      <w:r w:rsidR="00713113" w:rsidRPr="00E16CE9">
        <w:rPr>
          <w:rFonts w:eastAsia="Calibri"/>
          <w:sz w:val="28"/>
          <w:szCs w:val="28"/>
          <w:lang w:val="en-ZA"/>
        </w:rPr>
        <w:t xml:space="preserve"> has interfered with the beneficial use and enjoyment of leased property</w:t>
      </w:r>
      <w:r w:rsidR="008961FC" w:rsidRPr="00E16CE9">
        <w:rPr>
          <w:rFonts w:eastAsia="Calibri"/>
          <w:sz w:val="28"/>
          <w:szCs w:val="28"/>
          <w:lang w:val="en-ZA"/>
        </w:rPr>
        <w:t xml:space="preserve"> by a sub-lessee</w:t>
      </w:r>
      <w:r w:rsidR="00713113" w:rsidRPr="00E16CE9">
        <w:rPr>
          <w:rFonts w:eastAsia="Calibri"/>
          <w:sz w:val="28"/>
          <w:szCs w:val="28"/>
          <w:lang w:val="en-ZA"/>
        </w:rPr>
        <w:t xml:space="preserve">. The question arises in the context of the economic </w:t>
      </w:r>
      <w:r w:rsidR="00F33075" w:rsidRPr="00E16CE9">
        <w:rPr>
          <w:rFonts w:eastAsia="Calibri"/>
          <w:sz w:val="28"/>
          <w:szCs w:val="28"/>
          <w:lang w:val="en-ZA"/>
        </w:rPr>
        <w:t>disruptions</w:t>
      </w:r>
      <w:r w:rsidR="00713113" w:rsidRPr="00E16CE9">
        <w:rPr>
          <w:rFonts w:eastAsia="Calibri"/>
          <w:sz w:val="28"/>
          <w:szCs w:val="28"/>
          <w:lang w:val="en-ZA"/>
        </w:rPr>
        <w:t xml:space="preserve"> caused by the Covid</w:t>
      </w:r>
      <w:r w:rsidR="00B278E3" w:rsidRPr="00E16CE9">
        <w:rPr>
          <w:rFonts w:eastAsia="Calibri"/>
          <w:sz w:val="28"/>
          <w:szCs w:val="28"/>
          <w:lang w:val="en-ZA"/>
        </w:rPr>
        <w:t>-</w:t>
      </w:r>
      <w:r w:rsidR="00713113" w:rsidRPr="00E16CE9">
        <w:rPr>
          <w:rFonts w:eastAsia="Calibri"/>
          <w:sz w:val="28"/>
          <w:szCs w:val="28"/>
          <w:lang w:val="en-ZA"/>
        </w:rPr>
        <w:t>19 pandemic</w:t>
      </w:r>
      <w:r w:rsidR="008961FC" w:rsidRPr="00E16CE9">
        <w:rPr>
          <w:rFonts w:eastAsia="Calibri"/>
          <w:sz w:val="28"/>
          <w:szCs w:val="28"/>
          <w:lang w:val="en-ZA"/>
        </w:rPr>
        <w:t xml:space="preserve"> and the </w:t>
      </w:r>
      <w:r w:rsidR="00390F25" w:rsidRPr="00E16CE9">
        <w:rPr>
          <w:rFonts w:eastAsia="Calibri"/>
          <w:sz w:val="28"/>
          <w:szCs w:val="28"/>
          <w:lang w:val="en-ZA"/>
        </w:rPr>
        <w:t xml:space="preserve">consequent </w:t>
      </w:r>
      <w:r w:rsidR="008961FC" w:rsidRPr="00E16CE9">
        <w:rPr>
          <w:rFonts w:eastAsia="Calibri"/>
          <w:sz w:val="28"/>
          <w:szCs w:val="28"/>
          <w:lang w:val="en-ZA"/>
        </w:rPr>
        <w:t>declaration of a national state of disaster.</w:t>
      </w:r>
    </w:p>
    <w:p w14:paraId="3C1B230B" w14:textId="77777777" w:rsidR="00F33075" w:rsidRPr="00B1555D" w:rsidRDefault="00F33075" w:rsidP="00F33075">
      <w:pPr>
        <w:pStyle w:val="ListParagraph"/>
        <w:spacing w:line="360" w:lineRule="auto"/>
        <w:ind w:left="0"/>
        <w:jc w:val="both"/>
        <w:rPr>
          <w:rFonts w:eastAsia="Calibri"/>
          <w:sz w:val="28"/>
          <w:szCs w:val="28"/>
          <w:lang w:val="en-ZA"/>
        </w:rPr>
      </w:pPr>
    </w:p>
    <w:p w14:paraId="43BDB46C" w14:textId="2100A8B6" w:rsidR="008F4FCF" w:rsidRPr="00E16CE9" w:rsidRDefault="00E16CE9" w:rsidP="00E16CE9">
      <w:pPr>
        <w:spacing w:line="360" w:lineRule="auto"/>
        <w:jc w:val="both"/>
        <w:rPr>
          <w:rFonts w:eastAsia="Calibri"/>
          <w:sz w:val="28"/>
          <w:szCs w:val="28"/>
          <w:lang w:val="en-ZA"/>
        </w:rPr>
      </w:pPr>
      <w:r w:rsidRPr="00B1555D">
        <w:rPr>
          <w:rFonts w:eastAsia="Calibri"/>
          <w:sz w:val="28"/>
          <w:szCs w:val="28"/>
          <w:lang w:val="en-ZA"/>
        </w:rPr>
        <w:t>[2]</w:t>
      </w:r>
      <w:r w:rsidRPr="00B1555D">
        <w:rPr>
          <w:rFonts w:eastAsia="Calibri"/>
          <w:sz w:val="28"/>
          <w:szCs w:val="28"/>
          <w:lang w:val="en-ZA"/>
        </w:rPr>
        <w:tab/>
      </w:r>
      <w:r w:rsidR="006D5903" w:rsidRPr="00E16CE9">
        <w:rPr>
          <w:rFonts w:eastAsia="Calibri"/>
          <w:sz w:val="28"/>
          <w:szCs w:val="28"/>
          <w:lang w:val="en-ZA"/>
        </w:rPr>
        <w:t>The</w:t>
      </w:r>
      <w:r w:rsidR="00390F25" w:rsidRPr="00E16CE9">
        <w:rPr>
          <w:rFonts w:eastAsia="Calibri"/>
          <w:sz w:val="28"/>
          <w:szCs w:val="28"/>
          <w:lang w:val="en-ZA"/>
        </w:rPr>
        <w:t xml:space="preserve"> respondent, the trustees for the time being of the</w:t>
      </w:r>
      <w:r w:rsidR="006D5903" w:rsidRPr="00E16CE9">
        <w:rPr>
          <w:rFonts w:eastAsia="Calibri"/>
          <w:sz w:val="28"/>
          <w:szCs w:val="28"/>
          <w:lang w:val="en-ZA"/>
        </w:rPr>
        <w:t xml:space="preserve"> Bymyam Trust (the Trust)</w:t>
      </w:r>
      <w:r w:rsidR="00390F25" w:rsidRPr="00E16CE9">
        <w:rPr>
          <w:rFonts w:eastAsia="Calibri"/>
          <w:sz w:val="28"/>
          <w:szCs w:val="28"/>
          <w:lang w:val="en-ZA"/>
        </w:rPr>
        <w:t>,</w:t>
      </w:r>
      <w:r w:rsidR="006D5903" w:rsidRPr="00E16CE9">
        <w:rPr>
          <w:rFonts w:eastAsia="Calibri"/>
          <w:sz w:val="28"/>
          <w:szCs w:val="28"/>
          <w:lang w:val="en-ZA"/>
        </w:rPr>
        <w:t xml:space="preserve"> owns sections in a sectional title scheme that applies to a building (Amalfi) situated in Mouille Point, Cape Town. </w:t>
      </w:r>
      <w:r w:rsidR="008961FC" w:rsidRPr="00E16CE9">
        <w:rPr>
          <w:rFonts w:eastAsia="Calibri"/>
          <w:sz w:val="28"/>
          <w:szCs w:val="28"/>
          <w:lang w:val="en-ZA"/>
        </w:rPr>
        <w:t>In</w:t>
      </w:r>
      <w:r w:rsidR="006D5903" w:rsidRPr="00E16CE9">
        <w:rPr>
          <w:rFonts w:eastAsia="Calibri"/>
          <w:sz w:val="28"/>
          <w:szCs w:val="28"/>
          <w:lang w:val="en-ZA"/>
        </w:rPr>
        <w:t xml:space="preserve"> 2014</w:t>
      </w:r>
      <w:r w:rsidR="008961FC" w:rsidRPr="00E16CE9">
        <w:rPr>
          <w:rFonts w:eastAsia="Calibri"/>
          <w:sz w:val="28"/>
          <w:szCs w:val="28"/>
          <w:lang w:val="en-ZA"/>
        </w:rPr>
        <w:t xml:space="preserve"> </w:t>
      </w:r>
      <w:r w:rsidR="006D5903" w:rsidRPr="00E16CE9">
        <w:rPr>
          <w:rFonts w:eastAsia="Calibri"/>
          <w:sz w:val="28"/>
          <w:szCs w:val="28"/>
          <w:lang w:val="en-ZA"/>
        </w:rPr>
        <w:t xml:space="preserve">it concluded a lease agreement in respect of a section of the scheme (the </w:t>
      </w:r>
      <w:r w:rsidR="00AD5D5C" w:rsidRPr="00E16CE9">
        <w:rPr>
          <w:rFonts w:eastAsia="Calibri"/>
          <w:sz w:val="28"/>
          <w:szCs w:val="28"/>
          <w:lang w:val="en-ZA"/>
        </w:rPr>
        <w:t>premises)</w:t>
      </w:r>
      <w:r w:rsidR="006D5903" w:rsidRPr="00E16CE9">
        <w:rPr>
          <w:rFonts w:eastAsia="Calibri"/>
          <w:sz w:val="28"/>
          <w:szCs w:val="28"/>
          <w:lang w:val="en-ZA"/>
        </w:rPr>
        <w:t xml:space="preserve"> with the</w:t>
      </w:r>
      <w:r w:rsidR="00390F25" w:rsidRPr="00E16CE9">
        <w:rPr>
          <w:rFonts w:eastAsia="Calibri"/>
          <w:sz w:val="28"/>
          <w:szCs w:val="28"/>
          <w:lang w:val="en-ZA"/>
        </w:rPr>
        <w:t xml:space="preserve"> appellant, the</w:t>
      </w:r>
      <w:r w:rsidR="006D5903" w:rsidRPr="00E16CE9">
        <w:rPr>
          <w:rFonts w:eastAsia="Calibri"/>
          <w:sz w:val="28"/>
          <w:szCs w:val="28"/>
          <w:lang w:val="en-ZA"/>
        </w:rPr>
        <w:t xml:space="preserve"> Butcher Shop &amp; Grill (Pty) Ltd (the Butcher Shop).</w:t>
      </w:r>
      <w:r w:rsidR="006D5903" w:rsidRPr="00B1555D">
        <w:rPr>
          <w:rStyle w:val="FootnoteReference"/>
          <w:rFonts w:eastAsia="Calibri"/>
          <w:sz w:val="28"/>
          <w:szCs w:val="28"/>
          <w:lang w:val="en-ZA"/>
        </w:rPr>
        <w:footnoteReference w:id="1"/>
      </w:r>
      <w:r w:rsidR="00713113" w:rsidRPr="00E16CE9">
        <w:rPr>
          <w:rFonts w:eastAsia="Calibri"/>
          <w:sz w:val="28"/>
          <w:szCs w:val="28"/>
          <w:lang w:val="en-ZA"/>
        </w:rPr>
        <w:t xml:space="preserve"> </w:t>
      </w:r>
      <w:r w:rsidR="006D5903" w:rsidRPr="00E16CE9">
        <w:rPr>
          <w:rFonts w:eastAsia="Calibri"/>
          <w:sz w:val="28"/>
          <w:szCs w:val="28"/>
          <w:lang w:val="en-ZA"/>
        </w:rPr>
        <w:t xml:space="preserve">The </w:t>
      </w:r>
      <w:r w:rsidR="00390F25" w:rsidRPr="00E16CE9">
        <w:rPr>
          <w:rFonts w:eastAsia="Calibri"/>
          <w:sz w:val="28"/>
          <w:szCs w:val="28"/>
          <w:lang w:val="en-ZA"/>
        </w:rPr>
        <w:t xml:space="preserve">premises </w:t>
      </w:r>
      <w:r w:rsidR="0001152A" w:rsidRPr="00E16CE9">
        <w:rPr>
          <w:rFonts w:eastAsia="Calibri"/>
          <w:sz w:val="28"/>
          <w:szCs w:val="28"/>
          <w:lang w:val="en-ZA"/>
        </w:rPr>
        <w:t>were</w:t>
      </w:r>
      <w:r w:rsidR="00390F25" w:rsidRPr="00E16CE9">
        <w:rPr>
          <w:rFonts w:eastAsia="Calibri"/>
          <w:sz w:val="28"/>
          <w:szCs w:val="28"/>
          <w:lang w:val="en-ZA"/>
        </w:rPr>
        <w:t xml:space="preserve"> </w:t>
      </w:r>
      <w:r w:rsidR="009C32CB" w:rsidRPr="00E16CE9">
        <w:rPr>
          <w:rFonts w:eastAsia="Calibri"/>
          <w:sz w:val="28"/>
          <w:szCs w:val="28"/>
          <w:lang w:val="en-ZA"/>
        </w:rPr>
        <w:t>occupied</w:t>
      </w:r>
      <w:r w:rsidR="00AD5D5C" w:rsidRPr="00E16CE9">
        <w:rPr>
          <w:rFonts w:eastAsia="Calibri"/>
          <w:sz w:val="28"/>
          <w:szCs w:val="28"/>
          <w:lang w:val="en-ZA"/>
        </w:rPr>
        <w:t xml:space="preserve"> in </w:t>
      </w:r>
      <w:r w:rsidR="00AD5D5C" w:rsidRPr="00E16CE9">
        <w:rPr>
          <w:rFonts w:eastAsia="Calibri"/>
          <w:sz w:val="28"/>
          <w:szCs w:val="28"/>
          <w:lang w:val="en-ZA"/>
        </w:rPr>
        <w:lastRenderedPageBreak/>
        <w:t xml:space="preserve">February 2014 </w:t>
      </w:r>
      <w:r w:rsidR="00390F25" w:rsidRPr="00E16CE9">
        <w:rPr>
          <w:rFonts w:eastAsia="Calibri"/>
          <w:sz w:val="28"/>
          <w:szCs w:val="28"/>
          <w:lang w:val="en-ZA"/>
        </w:rPr>
        <w:t xml:space="preserve">for the purpose of conducting business </w:t>
      </w:r>
      <w:r w:rsidR="00AD5D5C" w:rsidRPr="00E16CE9">
        <w:rPr>
          <w:rFonts w:eastAsia="Calibri"/>
          <w:sz w:val="28"/>
          <w:szCs w:val="28"/>
          <w:lang w:val="en-ZA"/>
        </w:rPr>
        <w:t>as the Butcher Shop and Grill</w:t>
      </w:r>
      <w:r w:rsidR="008961FC" w:rsidRPr="00E16CE9">
        <w:rPr>
          <w:rFonts w:eastAsia="Calibri"/>
          <w:sz w:val="28"/>
          <w:szCs w:val="28"/>
          <w:lang w:val="en-ZA"/>
        </w:rPr>
        <w:t xml:space="preserve"> (the restaurant).</w:t>
      </w:r>
      <w:r w:rsidR="00AD5D5C" w:rsidRPr="00E16CE9">
        <w:rPr>
          <w:rFonts w:eastAsia="Calibri"/>
          <w:sz w:val="28"/>
          <w:szCs w:val="28"/>
          <w:lang w:val="en-ZA"/>
        </w:rPr>
        <w:t xml:space="preserve"> </w:t>
      </w:r>
    </w:p>
    <w:p w14:paraId="68A31A6D" w14:textId="77777777" w:rsidR="00217499" w:rsidRPr="00D751EB" w:rsidRDefault="00217499" w:rsidP="00FE0A75">
      <w:pPr>
        <w:spacing w:line="360" w:lineRule="auto"/>
        <w:rPr>
          <w:rFonts w:eastAsia="Calibri"/>
          <w:sz w:val="28"/>
          <w:szCs w:val="28"/>
          <w:lang w:val="en-ZA"/>
        </w:rPr>
      </w:pPr>
    </w:p>
    <w:p w14:paraId="1AC59F42" w14:textId="413A9CD6" w:rsidR="000C1370" w:rsidRPr="00E16CE9" w:rsidRDefault="00E16CE9" w:rsidP="00E16CE9">
      <w:pPr>
        <w:spacing w:line="360" w:lineRule="auto"/>
        <w:jc w:val="both"/>
        <w:rPr>
          <w:rFonts w:eastAsia="Calibri"/>
          <w:sz w:val="28"/>
          <w:szCs w:val="28"/>
          <w:lang w:val="en-ZA"/>
        </w:rPr>
      </w:pPr>
      <w:r w:rsidRPr="008961FC">
        <w:rPr>
          <w:rFonts w:eastAsia="Calibri"/>
          <w:sz w:val="28"/>
          <w:szCs w:val="28"/>
          <w:lang w:val="en-ZA"/>
        </w:rPr>
        <w:t>[3]</w:t>
      </w:r>
      <w:r w:rsidRPr="008961FC">
        <w:rPr>
          <w:rFonts w:eastAsia="Calibri"/>
          <w:sz w:val="28"/>
          <w:szCs w:val="28"/>
          <w:lang w:val="en-ZA"/>
        </w:rPr>
        <w:tab/>
      </w:r>
      <w:r w:rsidR="00381278" w:rsidRPr="00E16CE9">
        <w:rPr>
          <w:rFonts w:eastAsia="Calibri"/>
          <w:sz w:val="28"/>
          <w:szCs w:val="28"/>
          <w:lang w:val="en-ZA"/>
        </w:rPr>
        <w:t xml:space="preserve">During 2019 the Trust </w:t>
      </w:r>
      <w:r w:rsidR="008961FC" w:rsidRPr="00E16CE9">
        <w:rPr>
          <w:rFonts w:eastAsia="Calibri"/>
          <w:sz w:val="28"/>
          <w:szCs w:val="28"/>
          <w:lang w:val="en-ZA"/>
        </w:rPr>
        <w:t xml:space="preserve">became aware </w:t>
      </w:r>
      <w:r w:rsidR="00381278" w:rsidRPr="00E16CE9">
        <w:rPr>
          <w:rFonts w:eastAsia="Calibri"/>
          <w:sz w:val="28"/>
          <w:szCs w:val="28"/>
          <w:lang w:val="en-ZA"/>
        </w:rPr>
        <w:t xml:space="preserve">that the premises </w:t>
      </w:r>
      <w:r w:rsidR="0001152A" w:rsidRPr="00E16CE9">
        <w:rPr>
          <w:rFonts w:eastAsia="Calibri"/>
          <w:sz w:val="28"/>
          <w:szCs w:val="28"/>
          <w:lang w:val="en-ZA"/>
        </w:rPr>
        <w:t xml:space="preserve">were </w:t>
      </w:r>
      <w:r w:rsidR="00381278" w:rsidRPr="00E16CE9">
        <w:rPr>
          <w:rFonts w:eastAsia="Calibri"/>
          <w:sz w:val="28"/>
          <w:szCs w:val="28"/>
          <w:lang w:val="en-ZA"/>
        </w:rPr>
        <w:t>occupied by Apoldo</w:t>
      </w:r>
      <w:r w:rsidR="00AD5D5C" w:rsidRPr="00E16CE9">
        <w:rPr>
          <w:rFonts w:eastAsia="Calibri"/>
          <w:sz w:val="28"/>
          <w:szCs w:val="28"/>
          <w:lang w:val="en-ZA"/>
        </w:rPr>
        <w:t xml:space="preserve"> Trading</w:t>
      </w:r>
      <w:r w:rsidR="00381278" w:rsidRPr="00E16CE9">
        <w:rPr>
          <w:rFonts w:eastAsia="Calibri"/>
          <w:sz w:val="28"/>
          <w:szCs w:val="28"/>
          <w:lang w:val="en-ZA"/>
        </w:rPr>
        <w:t xml:space="preserve"> (Pty) Ltd (Apoldo)</w:t>
      </w:r>
      <w:r w:rsidR="002C7971" w:rsidRPr="00E16CE9">
        <w:rPr>
          <w:rFonts w:eastAsia="Calibri"/>
          <w:sz w:val="28"/>
          <w:szCs w:val="28"/>
          <w:lang w:val="en-ZA"/>
        </w:rPr>
        <w:t>,</w:t>
      </w:r>
      <w:r w:rsidR="00F02153" w:rsidRPr="00E16CE9">
        <w:rPr>
          <w:rFonts w:eastAsia="Calibri"/>
          <w:sz w:val="28"/>
          <w:szCs w:val="28"/>
          <w:lang w:val="en-ZA"/>
        </w:rPr>
        <w:t xml:space="preserve"> which was conducting the business of the restaurant. Apoldo</w:t>
      </w:r>
      <w:r w:rsidR="00381278" w:rsidRPr="00E16CE9">
        <w:rPr>
          <w:rFonts w:eastAsia="Calibri"/>
          <w:sz w:val="28"/>
          <w:szCs w:val="28"/>
          <w:lang w:val="en-ZA"/>
        </w:rPr>
        <w:t xml:space="preserve"> is related to the Butcher Shop </w:t>
      </w:r>
      <w:r w:rsidR="00013F1F" w:rsidRPr="00E16CE9">
        <w:rPr>
          <w:rFonts w:eastAsia="Calibri"/>
          <w:sz w:val="28"/>
          <w:szCs w:val="28"/>
          <w:lang w:val="en-ZA"/>
        </w:rPr>
        <w:t>inasmuch as its sole shareholder is the same as the sole shareholder of the Butcher Shop, a Mr Pick.</w:t>
      </w:r>
      <w:r w:rsidR="008961FC" w:rsidRPr="00E16CE9">
        <w:rPr>
          <w:rFonts w:eastAsia="Calibri"/>
          <w:sz w:val="28"/>
          <w:szCs w:val="28"/>
          <w:lang w:val="en-ZA"/>
        </w:rPr>
        <w:t xml:space="preserve"> T</w:t>
      </w:r>
      <w:r w:rsidR="000C1370" w:rsidRPr="00E16CE9">
        <w:rPr>
          <w:rFonts w:eastAsia="Calibri"/>
          <w:sz w:val="28"/>
          <w:szCs w:val="28"/>
          <w:lang w:val="en-ZA"/>
        </w:rPr>
        <w:t xml:space="preserve">he Trust and the Butcher Shop </w:t>
      </w:r>
      <w:r w:rsidR="008961FC" w:rsidRPr="00E16CE9">
        <w:rPr>
          <w:rFonts w:eastAsia="Calibri"/>
          <w:sz w:val="28"/>
          <w:szCs w:val="28"/>
          <w:lang w:val="en-ZA"/>
        </w:rPr>
        <w:t xml:space="preserve">then </w:t>
      </w:r>
      <w:r w:rsidR="000C1370" w:rsidRPr="00E16CE9">
        <w:rPr>
          <w:rFonts w:eastAsia="Calibri"/>
          <w:sz w:val="28"/>
          <w:szCs w:val="28"/>
          <w:lang w:val="en-ZA"/>
        </w:rPr>
        <w:t>entered into an Addendum Agreement</w:t>
      </w:r>
      <w:r w:rsidR="008961FC" w:rsidRPr="00E16CE9">
        <w:rPr>
          <w:rFonts w:eastAsia="Calibri"/>
          <w:sz w:val="28"/>
          <w:szCs w:val="28"/>
          <w:lang w:val="en-ZA"/>
        </w:rPr>
        <w:t xml:space="preserve"> (the </w:t>
      </w:r>
      <w:r w:rsidR="002C7971" w:rsidRPr="00E16CE9">
        <w:rPr>
          <w:rFonts w:eastAsia="Calibri"/>
          <w:sz w:val="28"/>
          <w:szCs w:val="28"/>
          <w:lang w:val="en-ZA"/>
        </w:rPr>
        <w:t>a</w:t>
      </w:r>
      <w:r w:rsidR="008961FC" w:rsidRPr="00E16CE9">
        <w:rPr>
          <w:rFonts w:eastAsia="Calibri"/>
          <w:sz w:val="28"/>
          <w:szCs w:val="28"/>
          <w:lang w:val="en-ZA"/>
        </w:rPr>
        <w:t>ddendum)</w:t>
      </w:r>
      <w:r w:rsidR="000C1370" w:rsidRPr="00E16CE9">
        <w:rPr>
          <w:rFonts w:eastAsia="Calibri"/>
          <w:sz w:val="28"/>
          <w:szCs w:val="28"/>
          <w:lang w:val="en-ZA"/>
        </w:rPr>
        <w:t xml:space="preserve"> to the lease agreement. Its primary effect was to grant consent to the subletting arrangement between the Butcher Shop and Apoldo.</w:t>
      </w:r>
    </w:p>
    <w:p w14:paraId="13504F76" w14:textId="77777777" w:rsidR="000C1370" w:rsidRPr="00B1555D" w:rsidRDefault="000C1370" w:rsidP="000C1370">
      <w:pPr>
        <w:spacing w:line="360" w:lineRule="auto"/>
        <w:jc w:val="both"/>
        <w:rPr>
          <w:rFonts w:eastAsia="Calibri"/>
          <w:sz w:val="28"/>
          <w:szCs w:val="28"/>
          <w:lang w:val="en-ZA"/>
        </w:rPr>
      </w:pPr>
    </w:p>
    <w:p w14:paraId="136F95E3" w14:textId="26053874" w:rsidR="00AD5D5C" w:rsidRPr="00E16CE9" w:rsidRDefault="00E16CE9" w:rsidP="00E16CE9">
      <w:pPr>
        <w:spacing w:line="360" w:lineRule="auto"/>
        <w:jc w:val="both"/>
        <w:rPr>
          <w:rFonts w:eastAsia="Calibri"/>
          <w:sz w:val="28"/>
          <w:szCs w:val="28"/>
          <w:lang w:val="en-ZA"/>
        </w:rPr>
      </w:pPr>
      <w:r>
        <w:rPr>
          <w:rFonts w:eastAsia="Calibri"/>
          <w:sz w:val="28"/>
          <w:szCs w:val="28"/>
          <w:lang w:val="en-ZA"/>
        </w:rPr>
        <w:t>[4]</w:t>
      </w:r>
      <w:r>
        <w:rPr>
          <w:rFonts w:eastAsia="Calibri"/>
          <w:sz w:val="28"/>
          <w:szCs w:val="28"/>
          <w:lang w:val="en-ZA"/>
        </w:rPr>
        <w:tab/>
      </w:r>
      <w:r w:rsidR="000C1370" w:rsidRPr="00E16CE9">
        <w:rPr>
          <w:rFonts w:eastAsia="Calibri"/>
          <w:sz w:val="28"/>
          <w:szCs w:val="28"/>
          <w:lang w:val="en-ZA"/>
        </w:rPr>
        <w:t>The advent of the Covid</w:t>
      </w:r>
      <w:r w:rsidR="002C7971" w:rsidRPr="00E16CE9">
        <w:rPr>
          <w:rFonts w:eastAsia="Calibri"/>
          <w:sz w:val="28"/>
          <w:szCs w:val="28"/>
          <w:lang w:val="en-ZA"/>
        </w:rPr>
        <w:t>-</w:t>
      </w:r>
      <w:r w:rsidR="000C1370" w:rsidRPr="00E16CE9">
        <w:rPr>
          <w:rFonts w:eastAsia="Calibri"/>
          <w:sz w:val="28"/>
          <w:szCs w:val="28"/>
          <w:lang w:val="en-ZA"/>
        </w:rPr>
        <w:t xml:space="preserve">19 pandemic and the promulgation of a National State of Disaster in March 2020 gave rise to the present dispute. It is common cause that the imposition of trading restrictions on restaurants and on the sale of </w:t>
      </w:r>
      <w:r w:rsidR="00F33075" w:rsidRPr="00E16CE9">
        <w:rPr>
          <w:rFonts w:eastAsia="Calibri"/>
          <w:sz w:val="28"/>
          <w:szCs w:val="28"/>
          <w:lang w:val="en-ZA"/>
        </w:rPr>
        <w:t>liquor</w:t>
      </w:r>
      <w:r w:rsidR="000C1370" w:rsidRPr="00E16CE9">
        <w:rPr>
          <w:rFonts w:eastAsia="Calibri"/>
          <w:sz w:val="28"/>
          <w:szCs w:val="28"/>
          <w:lang w:val="en-ZA"/>
        </w:rPr>
        <w:t xml:space="preserve"> </w:t>
      </w:r>
      <w:r w:rsidR="00390F25" w:rsidRPr="00E16CE9">
        <w:rPr>
          <w:rFonts w:eastAsia="Calibri"/>
          <w:sz w:val="28"/>
          <w:szCs w:val="28"/>
          <w:lang w:val="en-ZA"/>
        </w:rPr>
        <w:t xml:space="preserve">initially precluded and subsequently </w:t>
      </w:r>
      <w:r w:rsidR="0046529E" w:rsidRPr="00E16CE9">
        <w:rPr>
          <w:rFonts w:eastAsia="Calibri"/>
          <w:sz w:val="28"/>
          <w:szCs w:val="28"/>
          <w:lang w:val="en-ZA"/>
        </w:rPr>
        <w:t>limited the</w:t>
      </w:r>
      <w:r w:rsidR="00F02153" w:rsidRPr="00E16CE9">
        <w:rPr>
          <w:rFonts w:eastAsia="Calibri"/>
          <w:sz w:val="28"/>
          <w:szCs w:val="28"/>
          <w:lang w:val="en-ZA"/>
        </w:rPr>
        <w:t xml:space="preserve"> </w:t>
      </w:r>
      <w:r w:rsidR="000C1370" w:rsidRPr="00E16CE9">
        <w:rPr>
          <w:rFonts w:eastAsia="Calibri"/>
          <w:sz w:val="28"/>
          <w:szCs w:val="28"/>
          <w:lang w:val="en-ZA"/>
        </w:rPr>
        <w:t xml:space="preserve">operation of the </w:t>
      </w:r>
      <w:r w:rsidR="00850AC9" w:rsidRPr="00E16CE9">
        <w:rPr>
          <w:rFonts w:eastAsia="Calibri"/>
          <w:sz w:val="28"/>
          <w:szCs w:val="28"/>
          <w:lang w:val="en-ZA"/>
        </w:rPr>
        <w:t>restaurant during</w:t>
      </w:r>
      <w:r w:rsidR="000C1370" w:rsidRPr="00E16CE9">
        <w:rPr>
          <w:rFonts w:eastAsia="Calibri"/>
          <w:sz w:val="28"/>
          <w:szCs w:val="28"/>
          <w:lang w:val="en-ZA"/>
        </w:rPr>
        <w:t xml:space="preserve"> certain stages of the nat</w:t>
      </w:r>
      <w:r w:rsidR="00AD5D5C" w:rsidRPr="00E16CE9">
        <w:rPr>
          <w:rFonts w:eastAsia="Calibri"/>
          <w:sz w:val="28"/>
          <w:szCs w:val="28"/>
          <w:lang w:val="en-ZA"/>
        </w:rPr>
        <w:t>ional</w:t>
      </w:r>
      <w:r w:rsidR="000C1370" w:rsidRPr="00E16CE9">
        <w:rPr>
          <w:rFonts w:eastAsia="Calibri"/>
          <w:sz w:val="28"/>
          <w:szCs w:val="28"/>
          <w:lang w:val="en-ZA"/>
        </w:rPr>
        <w:t xml:space="preserve"> ‘lockdown’. </w:t>
      </w:r>
      <w:r w:rsidR="00F02153" w:rsidRPr="00E16CE9">
        <w:rPr>
          <w:rFonts w:eastAsia="Calibri"/>
          <w:sz w:val="28"/>
          <w:szCs w:val="28"/>
          <w:lang w:val="en-ZA"/>
        </w:rPr>
        <w:t>T</w:t>
      </w:r>
      <w:r w:rsidR="000C1370" w:rsidRPr="00E16CE9">
        <w:rPr>
          <w:rFonts w:eastAsia="Calibri"/>
          <w:sz w:val="28"/>
          <w:szCs w:val="28"/>
          <w:lang w:val="en-ZA"/>
        </w:rPr>
        <w:t xml:space="preserve">he Butcher Shop withheld payment of </w:t>
      </w:r>
      <w:r w:rsidR="009C32CB" w:rsidRPr="00E16CE9">
        <w:rPr>
          <w:rFonts w:eastAsia="Calibri"/>
          <w:sz w:val="28"/>
          <w:szCs w:val="28"/>
          <w:lang w:val="en-ZA"/>
        </w:rPr>
        <w:t>rent</w:t>
      </w:r>
      <w:r w:rsidR="000C1370" w:rsidRPr="00E16CE9">
        <w:rPr>
          <w:rFonts w:eastAsia="Calibri"/>
          <w:sz w:val="28"/>
          <w:szCs w:val="28"/>
          <w:lang w:val="en-ZA"/>
        </w:rPr>
        <w:t xml:space="preserve"> due to the Trust. It contended for a remission of rent on the basis that it had suffered a significant loss of turnover. It claimed that since it </w:t>
      </w:r>
      <w:r w:rsidR="00F02153" w:rsidRPr="00E16CE9">
        <w:rPr>
          <w:rFonts w:eastAsia="Calibri"/>
          <w:sz w:val="28"/>
          <w:szCs w:val="28"/>
          <w:lang w:val="en-ZA"/>
        </w:rPr>
        <w:t xml:space="preserve">was </w:t>
      </w:r>
      <w:r w:rsidR="00AD5D5C" w:rsidRPr="00E16CE9">
        <w:rPr>
          <w:rFonts w:eastAsia="Calibri"/>
          <w:sz w:val="28"/>
          <w:szCs w:val="28"/>
          <w:lang w:val="en-ZA"/>
        </w:rPr>
        <w:t>denied</w:t>
      </w:r>
      <w:r w:rsidR="000C1370" w:rsidRPr="00E16CE9">
        <w:rPr>
          <w:rFonts w:eastAsia="Calibri"/>
          <w:sz w:val="28"/>
          <w:szCs w:val="28"/>
          <w:lang w:val="en-ZA"/>
        </w:rPr>
        <w:t xml:space="preserve"> beneficial use of the premises</w:t>
      </w:r>
      <w:r w:rsidR="00AD5D5C" w:rsidRPr="00E16CE9">
        <w:rPr>
          <w:rFonts w:eastAsia="Calibri"/>
          <w:sz w:val="28"/>
          <w:szCs w:val="28"/>
          <w:lang w:val="en-ZA"/>
        </w:rPr>
        <w:t xml:space="preserve"> because of the lockdown restrictions</w:t>
      </w:r>
      <w:r w:rsidR="00F02153" w:rsidRPr="00E16CE9">
        <w:rPr>
          <w:rFonts w:eastAsia="Calibri"/>
          <w:sz w:val="28"/>
          <w:szCs w:val="28"/>
          <w:lang w:val="en-ZA"/>
        </w:rPr>
        <w:t>,</w:t>
      </w:r>
      <w:r w:rsidR="000C1370" w:rsidRPr="00E16CE9">
        <w:rPr>
          <w:rFonts w:eastAsia="Calibri"/>
          <w:sz w:val="28"/>
          <w:szCs w:val="28"/>
          <w:lang w:val="en-ZA"/>
        </w:rPr>
        <w:t xml:space="preserve"> it was not obliged to make payment of the </w:t>
      </w:r>
      <w:r w:rsidR="0001152A" w:rsidRPr="00E16CE9">
        <w:rPr>
          <w:rFonts w:eastAsia="Calibri"/>
          <w:sz w:val="28"/>
          <w:szCs w:val="28"/>
          <w:lang w:val="en-ZA"/>
        </w:rPr>
        <w:t xml:space="preserve">full amount of </w:t>
      </w:r>
      <w:r w:rsidR="000C1370" w:rsidRPr="00E16CE9">
        <w:rPr>
          <w:rFonts w:eastAsia="Calibri"/>
          <w:sz w:val="28"/>
          <w:szCs w:val="28"/>
          <w:lang w:val="en-ZA"/>
        </w:rPr>
        <w:t>rent</w:t>
      </w:r>
      <w:r w:rsidR="00F02153" w:rsidRPr="00E16CE9">
        <w:rPr>
          <w:rFonts w:eastAsia="Calibri"/>
          <w:sz w:val="28"/>
          <w:szCs w:val="28"/>
          <w:lang w:val="en-ZA"/>
        </w:rPr>
        <w:t xml:space="preserve"> due</w:t>
      </w:r>
      <w:r w:rsidR="000C1370" w:rsidRPr="00E16CE9">
        <w:rPr>
          <w:rFonts w:eastAsia="Calibri"/>
          <w:sz w:val="28"/>
          <w:szCs w:val="28"/>
          <w:lang w:val="en-ZA"/>
        </w:rPr>
        <w:t xml:space="preserve"> in terms of the lease.</w:t>
      </w:r>
      <w:r w:rsidR="00AD5D5C" w:rsidRPr="00E16CE9">
        <w:rPr>
          <w:rFonts w:eastAsia="Calibri"/>
          <w:sz w:val="28"/>
          <w:szCs w:val="28"/>
          <w:lang w:val="en-ZA"/>
        </w:rPr>
        <w:t xml:space="preserve"> </w:t>
      </w:r>
    </w:p>
    <w:p w14:paraId="13FE0006" w14:textId="77777777" w:rsidR="00F02153" w:rsidRPr="00D751EB" w:rsidRDefault="00F02153" w:rsidP="00FE0A75">
      <w:pPr>
        <w:rPr>
          <w:rFonts w:eastAsia="Calibri"/>
          <w:lang w:val="en-ZA"/>
        </w:rPr>
      </w:pPr>
    </w:p>
    <w:p w14:paraId="01EB39B0" w14:textId="65F061CB" w:rsidR="00217499" w:rsidRPr="00E16CE9" w:rsidRDefault="00E16CE9" w:rsidP="00E16CE9">
      <w:pPr>
        <w:spacing w:line="360" w:lineRule="auto"/>
        <w:jc w:val="both"/>
        <w:rPr>
          <w:rFonts w:eastAsia="Calibri"/>
          <w:sz w:val="28"/>
          <w:szCs w:val="28"/>
          <w:lang w:val="en-ZA"/>
        </w:rPr>
      </w:pPr>
      <w:r w:rsidRPr="00B1555D">
        <w:rPr>
          <w:rFonts w:eastAsia="Calibri"/>
          <w:sz w:val="28"/>
          <w:szCs w:val="28"/>
          <w:lang w:val="en-ZA"/>
        </w:rPr>
        <w:t>[5]</w:t>
      </w:r>
      <w:r w:rsidRPr="00B1555D">
        <w:rPr>
          <w:rFonts w:eastAsia="Calibri"/>
          <w:sz w:val="28"/>
          <w:szCs w:val="28"/>
          <w:lang w:val="en-ZA"/>
        </w:rPr>
        <w:tab/>
      </w:r>
      <w:r w:rsidR="00AD5D5C" w:rsidRPr="00E16CE9">
        <w:rPr>
          <w:rFonts w:eastAsia="Calibri"/>
          <w:sz w:val="28"/>
          <w:szCs w:val="28"/>
          <w:lang w:val="en-ZA"/>
        </w:rPr>
        <w:t>On 13 October 2020, t</w:t>
      </w:r>
      <w:r w:rsidR="000C1370" w:rsidRPr="00E16CE9">
        <w:rPr>
          <w:rFonts w:eastAsia="Calibri"/>
          <w:sz w:val="28"/>
          <w:szCs w:val="28"/>
          <w:lang w:val="en-ZA"/>
        </w:rPr>
        <w:t xml:space="preserve">he Trust launched an application in the </w:t>
      </w:r>
      <w:r w:rsidR="00AD5D5C" w:rsidRPr="00E16CE9">
        <w:rPr>
          <w:rFonts w:eastAsia="Calibri"/>
          <w:sz w:val="28"/>
          <w:szCs w:val="28"/>
          <w:lang w:val="en-ZA"/>
        </w:rPr>
        <w:t xml:space="preserve">Western Cape </w:t>
      </w:r>
      <w:r w:rsidR="002C7971" w:rsidRPr="00E16CE9">
        <w:rPr>
          <w:rFonts w:eastAsia="Calibri"/>
          <w:sz w:val="28"/>
          <w:szCs w:val="28"/>
          <w:lang w:val="en-ZA"/>
        </w:rPr>
        <w:t xml:space="preserve">Division of the </w:t>
      </w:r>
      <w:r w:rsidR="00AD5D5C" w:rsidRPr="00E16CE9">
        <w:rPr>
          <w:rFonts w:eastAsia="Calibri"/>
          <w:sz w:val="28"/>
          <w:szCs w:val="28"/>
          <w:lang w:val="en-ZA"/>
        </w:rPr>
        <w:t>High Court</w:t>
      </w:r>
      <w:r w:rsidR="002C7971" w:rsidRPr="00E16CE9">
        <w:rPr>
          <w:rFonts w:eastAsia="Calibri"/>
          <w:sz w:val="28"/>
          <w:szCs w:val="28"/>
          <w:lang w:val="en-ZA"/>
        </w:rPr>
        <w:t>, Cape Town</w:t>
      </w:r>
      <w:r w:rsidR="00AD5D5C" w:rsidRPr="00E16CE9">
        <w:rPr>
          <w:rFonts w:eastAsia="Calibri"/>
          <w:sz w:val="28"/>
          <w:szCs w:val="28"/>
          <w:lang w:val="en-ZA"/>
        </w:rPr>
        <w:t xml:space="preserve"> (the </w:t>
      </w:r>
      <w:r w:rsidR="000C1370" w:rsidRPr="00E16CE9">
        <w:rPr>
          <w:rFonts w:eastAsia="Calibri"/>
          <w:sz w:val="28"/>
          <w:szCs w:val="28"/>
          <w:lang w:val="en-ZA"/>
        </w:rPr>
        <w:t>high court</w:t>
      </w:r>
      <w:r w:rsidR="00AD5D5C" w:rsidRPr="00E16CE9">
        <w:rPr>
          <w:rFonts w:eastAsia="Calibri"/>
          <w:sz w:val="28"/>
          <w:szCs w:val="28"/>
          <w:lang w:val="en-ZA"/>
        </w:rPr>
        <w:t>)</w:t>
      </w:r>
      <w:r w:rsidR="000C1370" w:rsidRPr="00E16CE9">
        <w:rPr>
          <w:rFonts w:eastAsia="Calibri"/>
          <w:sz w:val="28"/>
          <w:szCs w:val="28"/>
          <w:lang w:val="en-ZA"/>
        </w:rPr>
        <w:t xml:space="preserve"> in which it claimed </w:t>
      </w:r>
      <w:r w:rsidR="00331D9C" w:rsidRPr="00E16CE9">
        <w:rPr>
          <w:rFonts w:eastAsia="Calibri"/>
          <w:sz w:val="28"/>
          <w:szCs w:val="28"/>
          <w:lang w:val="en-ZA"/>
        </w:rPr>
        <w:t>payment of an amount of R</w:t>
      </w:r>
      <w:r w:rsidR="006D10A6" w:rsidRPr="00E16CE9">
        <w:rPr>
          <w:rFonts w:eastAsia="Calibri"/>
          <w:sz w:val="28"/>
          <w:szCs w:val="28"/>
          <w:lang w:val="en-ZA"/>
        </w:rPr>
        <w:t>1 576 919.20</w:t>
      </w:r>
      <w:r w:rsidR="00331D9C" w:rsidRPr="00E16CE9">
        <w:rPr>
          <w:rFonts w:eastAsia="Calibri"/>
          <w:sz w:val="28"/>
          <w:szCs w:val="28"/>
          <w:lang w:val="en-ZA"/>
        </w:rPr>
        <w:t xml:space="preserve"> for </w:t>
      </w:r>
      <w:r w:rsidR="006D10A6" w:rsidRPr="00E16CE9">
        <w:rPr>
          <w:rFonts w:eastAsia="Calibri"/>
          <w:sz w:val="28"/>
          <w:szCs w:val="28"/>
          <w:lang w:val="en-ZA"/>
        </w:rPr>
        <w:t xml:space="preserve">amounts due </w:t>
      </w:r>
      <w:r w:rsidR="009C32CB" w:rsidRPr="00E16CE9">
        <w:rPr>
          <w:rFonts w:eastAsia="Calibri"/>
          <w:sz w:val="28"/>
          <w:szCs w:val="28"/>
          <w:lang w:val="en-ZA"/>
        </w:rPr>
        <w:t>(</w:t>
      </w:r>
      <w:r w:rsidR="006D10A6" w:rsidRPr="00E16CE9">
        <w:rPr>
          <w:rFonts w:eastAsia="Calibri"/>
          <w:sz w:val="28"/>
          <w:szCs w:val="28"/>
          <w:lang w:val="en-ZA"/>
        </w:rPr>
        <w:t>the main application)</w:t>
      </w:r>
      <w:r w:rsidR="00331D9C" w:rsidRPr="00E16CE9">
        <w:rPr>
          <w:rFonts w:eastAsia="Calibri"/>
          <w:sz w:val="28"/>
          <w:szCs w:val="28"/>
          <w:lang w:val="en-ZA"/>
        </w:rPr>
        <w:t>. The Butcher Shop opposed the application and filed a counter</w:t>
      </w:r>
      <w:r w:rsidR="00AA594F" w:rsidRPr="00E16CE9">
        <w:rPr>
          <w:rFonts w:eastAsia="Calibri"/>
          <w:sz w:val="28"/>
          <w:szCs w:val="28"/>
          <w:lang w:val="en-ZA"/>
        </w:rPr>
        <w:t xml:space="preserve"> </w:t>
      </w:r>
      <w:r w:rsidR="00331D9C" w:rsidRPr="00E16CE9">
        <w:rPr>
          <w:rFonts w:eastAsia="Calibri"/>
          <w:sz w:val="28"/>
          <w:szCs w:val="28"/>
          <w:lang w:val="en-ZA"/>
        </w:rPr>
        <w:t>application (the counter</w:t>
      </w:r>
      <w:r w:rsidR="00AA594F" w:rsidRPr="00E16CE9">
        <w:rPr>
          <w:rFonts w:eastAsia="Calibri"/>
          <w:sz w:val="28"/>
          <w:szCs w:val="28"/>
          <w:lang w:val="en-ZA"/>
        </w:rPr>
        <w:t xml:space="preserve"> </w:t>
      </w:r>
      <w:r w:rsidR="00331D9C" w:rsidRPr="00E16CE9">
        <w:rPr>
          <w:rFonts w:eastAsia="Calibri"/>
          <w:sz w:val="28"/>
          <w:szCs w:val="28"/>
          <w:lang w:val="en-ZA"/>
        </w:rPr>
        <w:t>application) in which it sought</w:t>
      </w:r>
      <w:r w:rsidR="002C7971" w:rsidRPr="00E16CE9">
        <w:rPr>
          <w:rFonts w:eastAsia="Calibri"/>
          <w:sz w:val="28"/>
          <w:szCs w:val="28"/>
          <w:lang w:val="en-ZA"/>
        </w:rPr>
        <w:t>:</w:t>
      </w:r>
      <w:r w:rsidR="00331D9C" w:rsidRPr="00E16CE9">
        <w:rPr>
          <w:rFonts w:eastAsia="Calibri"/>
          <w:sz w:val="28"/>
          <w:szCs w:val="28"/>
          <w:lang w:val="en-ZA"/>
        </w:rPr>
        <w:t xml:space="preserve"> (a) that the main application be stayed; (b) a declaration that it is entitled to remission of </w:t>
      </w:r>
      <w:r w:rsidR="006D10A6" w:rsidRPr="00E16CE9">
        <w:rPr>
          <w:rFonts w:eastAsia="Calibri"/>
          <w:sz w:val="28"/>
          <w:szCs w:val="28"/>
          <w:lang w:val="en-ZA"/>
        </w:rPr>
        <w:t xml:space="preserve">the base </w:t>
      </w:r>
      <w:r w:rsidR="00331D9C" w:rsidRPr="00E16CE9">
        <w:rPr>
          <w:rFonts w:eastAsia="Calibri"/>
          <w:sz w:val="28"/>
          <w:szCs w:val="28"/>
          <w:lang w:val="en-ZA"/>
        </w:rPr>
        <w:t>rental</w:t>
      </w:r>
      <w:r w:rsidR="006D10A6" w:rsidRPr="00E16CE9">
        <w:rPr>
          <w:rFonts w:eastAsia="Calibri"/>
          <w:sz w:val="28"/>
          <w:szCs w:val="28"/>
          <w:lang w:val="en-ZA"/>
        </w:rPr>
        <w:t xml:space="preserve"> payable </w:t>
      </w:r>
      <w:r w:rsidR="0041229A" w:rsidRPr="00E16CE9">
        <w:rPr>
          <w:rFonts w:eastAsia="Calibri"/>
          <w:sz w:val="28"/>
          <w:szCs w:val="28"/>
          <w:lang w:val="en-ZA"/>
        </w:rPr>
        <w:t xml:space="preserve">in </w:t>
      </w:r>
      <w:r w:rsidR="007F12BA" w:rsidRPr="00E16CE9">
        <w:rPr>
          <w:rFonts w:eastAsia="Calibri"/>
          <w:sz w:val="28"/>
          <w:szCs w:val="28"/>
          <w:lang w:val="en-ZA"/>
        </w:rPr>
        <w:t>a specified</w:t>
      </w:r>
      <w:r w:rsidR="006D10A6" w:rsidRPr="00E16CE9">
        <w:rPr>
          <w:rFonts w:eastAsia="Calibri"/>
          <w:sz w:val="28"/>
          <w:szCs w:val="28"/>
          <w:lang w:val="en-ZA"/>
        </w:rPr>
        <w:t xml:space="preserve"> amount</w:t>
      </w:r>
      <w:r w:rsidR="0041229A" w:rsidRPr="00E16CE9">
        <w:rPr>
          <w:rFonts w:eastAsia="Calibri"/>
          <w:sz w:val="28"/>
          <w:szCs w:val="28"/>
          <w:lang w:val="en-ZA"/>
        </w:rPr>
        <w:t>;</w:t>
      </w:r>
      <w:r w:rsidR="006D10A6" w:rsidRPr="00E16CE9">
        <w:rPr>
          <w:rFonts w:eastAsia="Calibri"/>
          <w:sz w:val="28"/>
          <w:szCs w:val="28"/>
          <w:lang w:val="en-ZA"/>
        </w:rPr>
        <w:t xml:space="preserve"> </w:t>
      </w:r>
      <w:r w:rsidR="00331D9C" w:rsidRPr="00E16CE9">
        <w:rPr>
          <w:rFonts w:eastAsia="Calibri"/>
          <w:sz w:val="28"/>
          <w:szCs w:val="28"/>
          <w:lang w:val="en-ZA"/>
        </w:rPr>
        <w:t xml:space="preserve">and (c) that </w:t>
      </w:r>
      <w:r w:rsidR="006D10A6" w:rsidRPr="00E16CE9">
        <w:rPr>
          <w:rFonts w:eastAsia="Calibri"/>
          <w:sz w:val="28"/>
          <w:szCs w:val="28"/>
          <w:lang w:val="en-ZA"/>
        </w:rPr>
        <w:t>the main application be dismissed.</w:t>
      </w:r>
    </w:p>
    <w:p w14:paraId="3322621F" w14:textId="0F48F96D" w:rsidR="006D10A6" w:rsidRPr="00E16CE9" w:rsidRDefault="00E16CE9" w:rsidP="00E16CE9">
      <w:pPr>
        <w:spacing w:line="360" w:lineRule="auto"/>
        <w:jc w:val="both"/>
        <w:rPr>
          <w:rFonts w:eastAsia="Calibri"/>
          <w:sz w:val="28"/>
          <w:szCs w:val="28"/>
          <w:lang w:val="en-ZA"/>
        </w:rPr>
      </w:pPr>
      <w:r w:rsidRPr="0041229A">
        <w:rPr>
          <w:rFonts w:eastAsia="Calibri"/>
          <w:sz w:val="28"/>
          <w:szCs w:val="28"/>
          <w:lang w:val="en-ZA"/>
        </w:rPr>
        <w:lastRenderedPageBreak/>
        <w:t>[6]</w:t>
      </w:r>
      <w:r w:rsidRPr="0041229A">
        <w:rPr>
          <w:rFonts w:eastAsia="Calibri"/>
          <w:sz w:val="28"/>
          <w:szCs w:val="28"/>
          <w:lang w:val="en-ZA"/>
        </w:rPr>
        <w:tab/>
      </w:r>
      <w:r w:rsidR="006D10A6" w:rsidRPr="00E16CE9">
        <w:rPr>
          <w:rFonts w:eastAsia="Calibri"/>
          <w:sz w:val="28"/>
          <w:szCs w:val="28"/>
          <w:lang w:val="en-ZA"/>
        </w:rPr>
        <w:t xml:space="preserve">The Butcher Shop’s </w:t>
      </w:r>
      <w:r w:rsidR="0041229A" w:rsidRPr="00E16CE9">
        <w:rPr>
          <w:rFonts w:eastAsia="Calibri"/>
          <w:sz w:val="28"/>
          <w:szCs w:val="28"/>
          <w:lang w:val="en-ZA"/>
        </w:rPr>
        <w:t>case was that</w:t>
      </w:r>
      <w:r w:rsidR="006D10A6" w:rsidRPr="00E16CE9">
        <w:rPr>
          <w:rFonts w:eastAsia="Calibri"/>
          <w:sz w:val="28"/>
          <w:szCs w:val="28"/>
          <w:lang w:val="en-ZA"/>
        </w:rPr>
        <w:t xml:space="preserve"> its loss of the use and enjoyment of the premises </w:t>
      </w:r>
      <w:r w:rsidR="0041229A" w:rsidRPr="00E16CE9">
        <w:rPr>
          <w:rFonts w:eastAsia="Calibri"/>
          <w:sz w:val="28"/>
          <w:szCs w:val="28"/>
          <w:lang w:val="en-ZA"/>
        </w:rPr>
        <w:t>caused it</w:t>
      </w:r>
      <w:r w:rsidR="006D10A6" w:rsidRPr="00E16CE9">
        <w:rPr>
          <w:rFonts w:eastAsia="Calibri"/>
          <w:sz w:val="28"/>
          <w:szCs w:val="28"/>
          <w:lang w:val="en-ZA"/>
        </w:rPr>
        <w:t xml:space="preserve"> a significant loss of turnover in its business</w:t>
      </w:r>
      <w:r w:rsidR="002C7971" w:rsidRPr="00E16CE9">
        <w:rPr>
          <w:rFonts w:eastAsia="Calibri"/>
          <w:sz w:val="28"/>
          <w:szCs w:val="28"/>
          <w:lang w:val="en-ZA"/>
        </w:rPr>
        <w:t>,</w:t>
      </w:r>
      <w:r w:rsidR="0041229A" w:rsidRPr="00E16CE9">
        <w:rPr>
          <w:rFonts w:eastAsia="Calibri"/>
          <w:sz w:val="28"/>
          <w:szCs w:val="28"/>
          <w:lang w:val="en-ZA"/>
        </w:rPr>
        <w:t xml:space="preserve"> which entitled it to remission or abatement of rent</w:t>
      </w:r>
      <w:r w:rsidR="006D10A6" w:rsidRPr="00E16CE9">
        <w:rPr>
          <w:rFonts w:eastAsia="Calibri"/>
          <w:sz w:val="28"/>
          <w:szCs w:val="28"/>
          <w:lang w:val="en-ZA"/>
        </w:rPr>
        <w:t>.</w:t>
      </w:r>
      <w:r w:rsidR="0041229A" w:rsidRPr="00E16CE9">
        <w:rPr>
          <w:rFonts w:eastAsia="Calibri"/>
          <w:sz w:val="28"/>
          <w:szCs w:val="28"/>
          <w:lang w:val="en-ZA"/>
        </w:rPr>
        <w:t xml:space="preserve"> </w:t>
      </w:r>
      <w:r w:rsidR="006D10A6" w:rsidRPr="00E16CE9">
        <w:rPr>
          <w:rFonts w:eastAsia="Calibri"/>
          <w:sz w:val="28"/>
          <w:szCs w:val="28"/>
          <w:lang w:val="en-ZA"/>
        </w:rPr>
        <w:t>Insofar as the sub-tenancy of Apoldo was concerned</w:t>
      </w:r>
      <w:r w:rsidR="0041229A" w:rsidRPr="00E16CE9">
        <w:rPr>
          <w:rFonts w:eastAsia="Calibri"/>
          <w:sz w:val="28"/>
          <w:szCs w:val="28"/>
          <w:lang w:val="en-ZA"/>
        </w:rPr>
        <w:t>,</w:t>
      </w:r>
      <w:r w:rsidR="006D10A6" w:rsidRPr="00E16CE9">
        <w:rPr>
          <w:rFonts w:eastAsia="Calibri"/>
          <w:sz w:val="28"/>
          <w:szCs w:val="28"/>
          <w:lang w:val="en-ZA"/>
        </w:rPr>
        <w:t xml:space="preserve"> it </w:t>
      </w:r>
      <w:r w:rsidR="00B03DE8" w:rsidRPr="00E16CE9">
        <w:rPr>
          <w:rFonts w:eastAsia="Calibri"/>
          <w:sz w:val="28"/>
          <w:szCs w:val="28"/>
          <w:lang w:val="en-ZA"/>
        </w:rPr>
        <w:t>based its case upon the</w:t>
      </w:r>
      <w:r w:rsidR="006D10A6" w:rsidRPr="00E16CE9">
        <w:rPr>
          <w:rFonts w:eastAsia="Calibri"/>
          <w:sz w:val="28"/>
          <w:szCs w:val="28"/>
          <w:lang w:val="en-ZA"/>
        </w:rPr>
        <w:t xml:space="preserve"> following contentions:</w:t>
      </w:r>
    </w:p>
    <w:p w14:paraId="45DD438F" w14:textId="11A53593" w:rsidR="006D10A6" w:rsidRPr="00D751EB" w:rsidRDefault="002C7971" w:rsidP="00D751EB">
      <w:pPr>
        <w:spacing w:line="360" w:lineRule="auto"/>
        <w:jc w:val="both"/>
        <w:rPr>
          <w:rFonts w:eastAsia="Calibri"/>
          <w:sz w:val="28"/>
          <w:szCs w:val="28"/>
          <w:lang w:val="en-ZA"/>
        </w:rPr>
      </w:pPr>
      <w:r>
        <w:rPr>
          <w:rFonts w:eastAsia="Calibri"/>
          <w:sz w:val="28"/>
          <w:szCs w:val="28"/>
          <w:lang w:val="en-ZA"/>
        </w:rPr>
        <w:t xml:space="preserve">(a) </w:t>
      </w:r>
      <w:r w:rsidR="00AB68A8" w:rsidRPr="00D751EB">
        <w:rPr>
          <w:rFonts w:eastAsia="Calibri"/>
          <w:sz w:val="28"/>
          <w:szCs w:val="28"/>
          <w:lang w:val="en-ZA"/>
        </w:rPr>
        <w:t xml:space="preserve">A lessee is entitled to claim remission of rental arising from the loss of a sub-lessee’s beneficial occupation on account of </w:t>
      </w:r>
      <w:r w:rsidR="00AB68A8" w:rsidRPr="00D751EB">
        <w:rPr>
          <w:rFonts w:eastAsia="Calibri"/>
          <w:i/>
          <w:iCs/>
          <w:sz w:val="28"/>
          <w:szCs w:val="28"/>
          <w:lang w:val="en-ZA"/>
        </w:rPr>
        <w:t>vis major</w:t>
      </w:r>
      <w:r w:rsidR="00AB68A8" w:rsidRPr="00D751EB">
        <w:rPr>
          <w:rFonts w:eastAsia="Calibri"/>
          <w:sz w:val="28"/>
          <w:szCs w:val="28"/>
          <w:lang w:val="en-ZA"/>
        </w:rPr>
        <w:t xml:space="preserve"> or </w:t>
      </w:r>
      <w:r w:rsidR="00AB68A8" w:rsidRPr="00D751EB">
        <w:rPr>
          <w:rFonts w:eastAsia="Calibri"/>
          <w:i/>
          <w:iCs/>
          <w:sz w:val="28"/>
          <w:szCs w:val="28"/>
          <w:lang w:val="en-ZA"/>
        </w:rPr>
        <w:t>casus fortuitus</w:t>
      </w:r>
      <w:r w:rsidR="00AB68A8" w:rsidRPr="00D751EB">
        <w:rPr>
          <w:rFonts w:eastAsia="Calibri"/>
          <w:sz w:val="28"/>
          <w:szCs w:val="28"/>
          <w:lang w:val="en-ZA"/>
        </w:rPr>
        <w:t>.</w:t>
      </w:r>
    </w:p>
    <w:p w14:paraId="388E96B5" w14:textId="12AFFA70" w:rsidR="00AB68A8" w:rsidRPr="00B1555D" w:rsidRDefault="002C7971" w:rsidP="00D751EB">
      <w:pPr>
        <w:pStyle w:val="ListParagraph"/>
        <w:spacing w:line="360" w:lineRule="auto"/>
        <w:ind w:left="0"/>
        <w:jc w:val="both"/>
        <w:rPr>
          <w:rFonts w:eastAsia="Calibri"/>
          <w:sz w:val="28"/>
          <w:szCs w:val="28"/>
          <w:lang w:val="en-ZA"/>
        </w:rPr>
      </w:pPr>
      <w:r>
        <w:rPr>
          <w:rFonts w:eastAsia="Calibri"/>
          <w:sz w:val="28"/>
          <w:szCs w:val="28"/>
          <w:lang w:val="en-ZA"/>
        </w:rPr>
        <w:t xml:space="preserve">(b) </w:t>
      </w:r>
      <w:r w:rsidR="0041229A">
        <w:rPr>
          <w:rFonts w:eastAsia="Calibri"/>
          <w:sz w:val="28"/>
          <w:szCs w:val="28"/>
          <w:lang w:val="en-ZA"/>
        </w:rPr>
        <w:t>In the alternative, that t</w:t>
      </w:r>
      <w:r w:rsidR="00AB68A8" w:rsidRPr="00B1555D">
        <w:rPr>
          <w:rFonts w:eastAsia="Calibri"/>
          <w:sz w:val="28"/>
          <w:szCs w:val="28"/>
          <w:lang w:val="en-ZA"/>
        </w:rPr>
        <w:t xml:space="preserve">he Butcher Shop and Apoldo are in effect, Mr Pick, </w:t>
      </w:r>
      <w:r w:rsidR="00B03DE8" w:rsidRPr="00B1555D">
        <w:rPr>
          <w:rFonts w:eastAsia="Calibri"/>
          <w:sz w:val="28"/>
          <w:szCs w:val="28"/>
          <w:lang w:val="en-ZA"/>
        </w:rPr>
        <w:t xml:space="preserve">their sole shareholder, </w:t>
      </w:r>
      <w:r w:rsidR="00AB68A8" w:rsidRPr="00B1555D">
        <w:rPr>
          <w:rFonts w:eastAsia="Calibri"/>
          <w:sz w:val="28"/>
          <w:szCs w:val="28"/>
          <w:lang w:val="en-ZA"/>
        </w:rPr>
        <w:t>in corporate guise</w:t>
      </w:r>
      <w:r w:rsidR="0041229A">
        <w:rPr>
          <w:rFonts w:eastAsia="Calibri"/>
          <w:sz w:val="28"/>
          <w:szCs w:val="28"/>
          <w:lang w:val="en-ZA"/>
        </w:rPr>
        <w:t xml:space="preserve"> and therefore one business entity. T</w:t>
      </w:r>
      <w:r w:rsidR="00AB68A8" w:rsidRPr="00B1555D">
        <w:rPr>
          <w:rFonts w:eastAsia="Calibri"/>
          <w:sz w:val="28"/>
          <w:szCs w:val="28"/>
          <w:lang w:val="en-ZA"/>
        </w:rPr>
        <w:t>he common law either recognises or ought to recognise as a remedy in equity, the entitlement of the Butc</w:t>
      </w:r>
      <w:r w:rsidR="00B03DE8" w:rsidRPr="00B1555D">
        <w:rPr>
          <w:rFonts w:eastAsia="Calibri"/>
          <w:sz w:val="28"/>
          <w:szCs w:val="28"/>
          <w:lang w:val="en-ZA"/>
        </w:rPr>
        <w:t>h</w:t>
      </w:r>
      <w:r w:rsidR="00AB68A8" w:rsidRPr="00B1555D">
        <w:rPr>
          <w:rFonts w:eastAsia="Calibri"/>
          <w:sz w:val="28"/>
          <w:szCs w:val="28"/>
          <w:lang w:val="en-ZA"/>
        </w:rPr>
        <w:t xml:space="preserve">er Shop to claim remission of rent </w:t>
      </w:r>
      <w:r w:rsidR="00AA594F" w:rsidRPr="00B1555D">
        <w:rPr>
          <w:rFonts w:eastAsia="Calibri"/>
          <w:sz w:val="28"/>
          <w:szCs w:val="28"/>
          <w:lang w:val="en-ZA"/>
        </w:rPr>
        <w:t>because of</w:t>
      </w:r>
      <w:r w:rsidR="00B03DE8" w:rsidRPr="00B1555D">
        <w:rPr>
          <w:rFonts w:eastAsia="Calibri"/>
          <w:sz w:val="28"/>
          <w:szCs w:val="28"/>
          <w:lang w:val="en-ZA"/>
        </w:rPr>
        <w:t xml:space="preserve"> </w:t>
      </w:r>
      <w:r w:rsidR="0041229A">
        <w:rPr>
          <w:rFonts w:eastAsia="Calibri"/>
          <w:sz w:val="28"/>
          <w:szCs w:val="28"/>
          <w:lang w:val="en-ZA"/>
        </w:rPr>
        <w:t xml:space="preserve">the </w:t>
      </w:r>
      <w:r w:rsidR="00B03DE8" w:rsidRPr="00B1555D">
        <w:rPr>
          <w:rFonts w:eastAsia="Calibri"/>
          <w:sz w:val="28"/>
          <w:szCs w:val="28"/>
          <w:lang w:val="en-ZA"/>
        </w:rPr>
        <w:t>loss of beneficial occupation suffered by Apoldo.</w:t>
      </w:r>
    </w:p>
    <w:p w14:paraId="14D4B497" w14:textId="77777777" w:rsidR="006D10A6" w:rsidRPr="00D751EB" w:rsidRDefault="006D10A6" w:rsidP="00FE0A75">
      <w:pPr>
        <w:rPr>
          <w:rFonts w:eastAsia="Calibri"/>
          <w:sz w:val="28"/>
          <w:szCs w:val="28"/>
          <w:lang w:val="en-ZA"/>
        </w:rPr>
      </w:pPr>
    </w:p>
    <w:p w14:paraId="3568B432" w14:textId="4A1EEEF8" w:rsidR="00B03DE8" w:rsidRPr="00E16CE9" w:rsidRDefault="00E16CE9" w:rsidP="00E16CE9">
      <w:pPr>
        <w:spacing w:line="360" w:lineRule="auto"/>
        <w:jc w:val="both"/>
        <w:rPr>
          <w:rFonts w:eastAsia="Calibri"/>
          <w:sz w:val="28"/>
          <w:szCs w:val="28"/>
          <w:lang w:val="en-ZA"/>
        </w:rPr>
      </w:pPr>
      <w:r w:rsidRPr="00B1555D">
        <w:rPr>
          <w:rFonts w:eastAsia="Calibri"/>
          <w:sz w:val="28"/>
          <w:szCs w:val="28"/>
          <w:lang w:val="en-ZA"/>
        </w:rPr>
        <w:t>[7]</w:t>
      </w:r>
      <w:r w:rsidRPr="00B1555D">
        <w:rPr>
          <w:rFonts w:eastAsia="Calibri"/>
          <w:sz w:val="28"/>
          <w:szCs w:val="28"/>
          <w:lang w:val="en-ZA"/>
        </w:rPr>
        <w:tab/>
      </w:r>
      <w:r w:rsidR="00331D9C" w:rsidRPr="00E16CE9">
        <w:rPr>
          <w:rFonts w:eastAsia="Calibri"/>
          <w:sz w:val="28"/>
          <w:szCs w:val="28"/>
          <w:lang w:val="en-ZA"/>
        </w:rPr>
        <w:t>On 19 November 202</w:t>
      </w:r>
      <w:r w:rsidR="0041229A" w:rsidRPr="00E16CE9">
        <w:rPr>
          <w:rFonts w:eastAsia="Calibri"/>
          <w:sz w:val="28"/>
          <w:szCs w:val="28"/>
          <w:lang w:val="en-ZA"/>
        </w:rPr>
        <w:t>1</w:t>
      </w:r>
      <w:r w:rsidR="000C5791" w:rsidRPr="00E16CE9">
        <w:rPr>
          <w:rFonts w:eastAsia="Calibri"/>
          <w:sz w:val="28"/>
          <w:szCs w:val="28"/>
          <w:lang w:val="en-ZA"/>
        </w:rPr>
        <w:t>,</w:t>
      </w:r>
      <w:r w:rsidR="00331D9C" w:rsidRPr="00E16CE9">
        <w:rPr>
          <w:rFonts w:eastAsia="Calibri"/>
          <w:sz w:val="28"/>
          <w:szCs w:val="28"/>
          <w:lang w:val="en-ZA"/>
        </w:rPr>
        <w:t xml:space="preserve"> the high court dismissed the counter</w:t>
      </w:r>
      <w:r w:rsidR="00AA594F" w:rsidRPr="00E16CE9">
        <w:rPr>
          <w:rFonts w:eastAsia="Calibri"/>
          <w:sz w:val="28"/>
          <w:szCs w:val="28"/>
          <w:lang w:val="en-ZA"/>
        </w:rPr>
        <w:t xml:space="preserve"> </w:t>
      </w:r>
      <w:r w:rsidR="00331D9C" w:rsidRPr="00E16CE9">
        <w:rPr>
          <w:rFonts w:eastAsia="Calibri"/>
          <w:sz w:val="28"/>
          <w:szCs w:val="28"/>
          <w:lang w:val="en-ZA"/>
        </w:rPr>
        <w:t xml:space="preserve">application and granted an order in the main application, </w:t>
      </w:r>
      <w:r w:rsidR="000C5791" w:rsidRPr="00E16CE9">
        <w:rPr>
          <w:rFonts w:eastAsia="Calibri"/>
          <w:sz w:val="28"/>
          <w:szCs w:val="28"/>
          <w:lang w:val="en-ZA"/>
        </w:rPr>
        <w:t>requiring</w:t>
      </w:r>
      <w:r w:rsidR="00331D9C" w:rsidRPr="00E16CE9">
        <w:rPr>
          <w:rFonts w:eastAsia="Calibri"/>
          <w:sz w:val="28"/>
          <w:szCs w:val="28"/>
          <w:lang w:val="en-ZA"/>
        </w:rPr>
        <w:t xml:space="preserve"> the Butcher Shop to pay an amount of R2 703 191,17</w:t>
      </w:r>
      <w:r w:rsidR="00B03DE8" w:rsidRPr="00B1555D">
        <w:rPr>
          <w:rStyle w:val="FootnoteReference"/>
          <w:rFonts w:eastAsia="Calibri"/>
          <w:sz w:val="28"/>
          <w:szCs w:val="28"/>
          <w:lang w:val="en-ZA"/>
        </w:rPr>
        <w:footnoteReference w:id="2"/>
      </w:r>
      <w:r w:rsidR="00331D9C" w:rsidRPr="00E16CE9">
        <w:rPr>
          <w:rFonts w:eastAsia="Calibri"/>
          <w:sz w:val="28"/>
          <w:szCs w:val="28"/>
          <w:lang w:val="en-ZA"/>
        </w:rPr>
        <w:t xml:space="preserve"> together with interest and costs on an attorney </w:t>
      </w:r>
      <w:r w:rsidR="0001152A" w:rsidRPr="00E16CE9">
        <w:rPr>
          <w:rFonts w:eastAsia="Calibri"/>
          <w:sz w:val="28"/>
          <w:szCs w:val="28"/>
          <w:lang w:val="en-ZA"/>
        </w:rPr>
        <w:t xml:space="preserve">and </w:t>
      </w:r>
      <w:r w:rsidR="00331D9C" w:rsidRPr="00E16CE9">
        <w:rPr>
          <w:rFonts w:eastAsia="Calibri"/>
          <w:sz w:val="28"/>
          <w:szCs w:val="28"/>
          <w:lang w:val="en-ZA"/>
        </w:rPr>
        <w:t>client scale. Leave to appeal to this Court was granted on 22 December 2021.</w:t>
      </w:r>
    </w:p>
    <w:p w14:paraId="01C367A1" w14:textId="77777777" w:rsidR="00037916" w:rsidRPr="00B1555D" w:rsidRDefault="00037916" w:rsidP="00037916">
      <w:pPr>
        <w:pStyle w:val="ListParagraph"/>
        <w:spacing w:line="360" w:lineRule="auto"/>
        <w:ind w:left="0"/>
        <w:jc w:val="both"/>
        <w:rPr>
          <w:rFonts w:eastAsia="Calibri"/>
          <w:sz w:val="28"/>
          <w:szCs w:val="28"/>
          <w:lang w:val="en-ZA"/>
        </w:rPr>
      </w:pPr>
    </w:p>
    <w:p w14:paraId="428BB7F2" w14:textId="38A872C6" w:rsidR="00B67DF1" w:rsidRPr="00E16CE9" w:rsidRDefault="00E16CE9" w:rsidP="00E16CE9">
      <w:pPr>
        <w:spacing w:line="360" w:lineRule="auto"/>
        <w:jc w:val="both"/>
        <w:rPr>
          <w:rFonts w:eastAsia="Calibri"/>
          <w:sz w:val="28"/>
          <w:szCs w:val="28"/>
          <w:lang w:val="en-ZA"/>
        </w:rPr>
      </w:pPr>
      <w:r>
        <w:rPr>
          <w:rFonts w:eastAsia="Calibri"/>
          <w:sz w:val="28"/>
          <w:szCs w:val="28"/>
          <w:lang w:val="en-ZA"/>
        </w:rPr>
        <w:t>[8]</w:t>
      </w:r>
      <w:r>
        <w:rPr>
          <w:rFonts w:eastAsia="Calibri"/>
          <w:sz w:val="28"/>
          <w:szCs w:val="28"/>
          <w:lang w:val="en-ZA"/>
        </w:rPr>
        <w:tab/>
      </w:r>
      <w:r w:rsidR="00D87F8A" w:rsidRPr="00E16CE9">
        <w:rPr>
          <w:rFonts w:eastAsia="Calibri"/>
          <w:sz w:val="28"/>
          <w:szCs w:val="28"/>
          <w:lang w:val="en-ZA"/>
        </w:rPr>
        <w:t xml:space="preserve">It is common cause that from the </w:t>
      </w:r>
      <w:r w:rsidR="00B67DF1" w:rsidRPr="00E16CE9">
        <w:rPr>
          <w:rFonts w:eastAsia="Calibri"/>
          <w:sz w:val="28"/>
          <w:szCs w:val="28"/>
          <w:lang w:val="en-ZA"/>
        </w:rPr>
        <w:t xml:space="preserve">commencement </w:t>
      </w:r>
      <w:r w:rsidR="00D87F8A" w:rsidRPr="00E16CE9">
        <w:rPr>
          <w:rFonts w:eastAsia="Calibri"/>
          <w:sz w:val="28"/>
          <w:szCs w:val="28"/>
          <w:lang w:val="en-ZA"/>
        </w:rPr>
        <w:t>of the lease</w:t>
      </w:r>
      <w:r w:rsidR="0041229A" w:rsidRPr="00E16CE9">
        <w:rPr>
          <w:rFonts w:eastAsia="Calibri"/>
          <w:sz w:val="28"/>
          <w:szCs w:val="28"/>
          <w:lang w:val="en-ZA"/>
        </w:rPr>
        <w:t xml:space="preserve">, </w:t>
      </w:r>
      <w:r w:rsidR="00D87F8A" w:rsidRPr="00E16CE9">
        <w:rPr>
          <w:rFonts w:eastAsia="Calibri"/>
          <w:sz w:val="28"/>
          <w:szCs w:val="28"/>
          <w:lang w:val="en-ZA"/>
        </w:rPr>
        <w:t>the Butcher Shop</w:t>
      </w:r>
      <w:r w:rsidR="00447D59" w:rsidRPr="00E16CE9">
        <w:rPr>
          <w:rFonts w:eastAsia="Calibri"/>
          <w:sz w:val="28"/>
          <w:szCs w:val="28"/>
          <w:lang w:val="en-ZA"/>
        </w:rPr>
        <w:t>,</w:t>
      </w:r>
      <w:r w:rsidR="00D87F8A" w:rsidRPr="00E16CE9">
        <w:rPr>
          <w:rFonts w:eastAsia="Calibri"/>
          <w:sz w:val="28"/>
          <w:szCs w:val="28"/>
          <w:lang w:val="en-ZA"/>
        </w:rPr>
        <w:t xml:space="preserve"> a</w:t>
      </w:r>
      <w:r w:rsidR="00065D22" w:rsidRPr="00E16CE9">
        <w:rPr>
          <w:rFonts w:eastAsia="Calibri"/>
          <w:sz w:val="28"/>
          <w:szCs w:val="28"/>
          <w:lang w:val="en-ZA"/>
        </w:rPr>
        <w:t>s</w:t>
      </w:r>
      <w:r w:rsidR="00D87F8A" w:rsidRPr="00E16CE9">
        <w:rPr>
          <w:rFonts w:eastAsia="Calibri"/>
          <w:sz w:val="28"/>
          <w:szCs w:val="28"/>
          <w:lang w:val="en-ZA"/>
        </w:rPr>
        <w:t xml:space="preserve"> tenant, sublet the whole of the premises to Apoldo. Apoldo conducted the business of the </w:t>
      </w:r>
      <w:r w:rsidR="0041229A" w:rsidRPr="00E16CE9">
        <w:rPr>
          <w:rFonts w:eastAsia="Calibri"/>
          <w:sz w:val="28"/>
          <w:szCs w:val="28"/>
          <w:lang w:val="en-ZA"/>
        </w:rPr>
        <w:t>restaurant</w:t>
      </w:r>
      <w:r w:rsidR="00D87F8A" w:rsidRPr="00E16CE9">
        <w:rPr>
          <w:rFonts w:eastAsia="Calibri"/>
          <w:sz w:val="28"/>
          <w:szCs w:val="28"/>
          <w:lang w:val="en-ZA"/>
        </w:rPr>
        <w:t xml:space="preserve">. </w:t>
      </w:r>
      <w:r w:rsidR="00447D59" w:rsidRPr="00E16CE9">
        <w:rPr>
          <w:rFonts w:eastAsia="Calibri"/>
          <w:sz w:val="28"/>
          <w:szCs w:val="28"/>
          <w:lang w:val="en-ZA"/>
        </w:rPr>
        <w:t xml:space="preserve">The Addendum was </w:t>
      </w:r>
      <w:r w:rsidR="0041229A" w:rsidRPr="00E16CE9">
        <w:rPr>
          <w:rFonts w:eastAsia="Calibri"/>
          <w:sz w:val="28"/>
          <w:szCs w:val="28"/>
          <w:lang w:val="en-ZA"/>
        </w:rPr>
        <w:t>concluded</w:t>
      </w:r>
      <w:r w:rsidR="00447D59" w:rsidRPr="00E16CE9">
        <w:rPr>
          <w:rFonts w:eastAsia="Calibri"/>
          <w:sz w:val="28"/>
          <w:szCs w:val="28"/>
          <w:lang w:val="en-ZA"/>
        </w:rPr>
        <w:t xml:space="preserve"> on 14 August 2019. It was signed by Mr Shapiro on behalf of the Trust and by Mr Pick on behalf of both the Butcher Shop and Apoldo. It </w:t>
      </w:r>
      <w:r w:rsidR="0004764F" w:rsidRPr="00E16CE9">
        <w:rPr>
          <w:rFonts w:eastAsia="Calibri"/>
          <w:i/>
          <w:iCs/>
          <w:sz w:val="28"/>
          <w:szCs w:val="28"/>
          <w:lang w:val="en-ZA"/>
        </w:rPr>
        <w:t xml:space="preserve">inter alia </w:t>
      </w:r>
      <w:r w:rsidR="00447D59" w:rsidRPr="00E16CE9">
        <w:rPr>
          <w:rFonts w:eastAsia="Calibri"/>
          <w:sz w:val="28"/>
          <w:szCs w:val="28"/>
          <w:lang w:val="en-ZA"/>
        </w:rPr>
        <w:t>record</w:t>
      </w:r>
      <w:r w:rsidR="0004764F" w:rsidRPr="00E16CE9">
        <w:rPr>
          <w:rFonts w:eastAsia="Calibri"/>
          <w:sz w:val="28"/>
          <w:szCs w:val="28"/>
          <w:lang w:val="en-ZA"/>
        </w:rPr>
        <w:t>ed</w:t>
      </w:r>
      <w:r w:rsidR="00447D59" w:rsidRPr="00E16CE9">
        <w:rPr>
          <w:rFonts w:eastAsia="Calibri"/>
          <w:sz w:val="28"/>
          <w:szCs w:val="28"/>
          <w:lang w:val="en-ZA"/>
        </w:rPr>
        <w:t xml:space="preserve"> that</w:t>
      </w:r>
      <w:r w:rsidR="00B67DF1" w:rsidRPr="00E16CE9">
        <w:rPr>
          <w:rFonts w:eastAsia="Calibri"/>
          <w:sz w:val="28"/>
          <w:szCs w:val="28"/>
          <w:lang w:val="en-ZA"/>
        </w:rPr>
        <w:t>:</w:t>
      </w:r>
    </w:p>
    <w:p w14:paraId="5B5F6FF6" w14:textId="177E9C10" w:rsidR="00037916" w:rsidRPr="00B67DF1" w:rsidRDefault="004E72D0" w:rsidP="0001152A">
      <w:pPr>
        <w:pStyle w:val="ListParagraph"/>
        <w:spacing w:line="360" w:lineRule="auto"/>
        <w:ind w:left="0" w:right="-472"/>
        <w:jc w:val="both"/>
        <w:rPr>
          <w:rFonts w:eastAsia="Calibri"/>
          <w:lang w:val="en-ZA"/>
        </w:rPr>
      </w:pPr>
      <w:r w:rsidRPr="00FE0A75">
        <w:rPr>
          <w:rFonts w:eastAsia="Calibri"/>
          <w:lang w:val="en-ZA"/>
        </w:rPr>
        <w:t>‘</w:t>
      </w:r>
      <w:r w:rsidR="000C5791" w:rsidRPr="00FE0A75">
        <w:rPr>
          <w:rFonts w:eastAsia="Calibri"/>
          <w:lang w:val="en-ZA"/>
        </w:rPr>
        <w:t>(</w:t>
      </w:r>
      <w:r w:rsidRPr="00FE0A75">
        <w:rPr>
          <w:rFonts w:eastAsia="Calibri"/>
          <w:lang w:val="en-ZA"/>
        </w:rPr>
        <w:t xml:space="preserve">a) The Tenant hereby agrees to remain </w:t>
      </w:r>
      <w:r w:rsidR="0001152A" w:rsidRPr="00FE0A75">
        <w:rPr>
          <w:rFonts w:eastAsia="Calibri"/>
          <w:lang w:val="en-ZA"/>
        </w:rPr>
        <w:t xml:space="preserve">[responsible] </w:t>
      </w:r>
      <w:r w:rsidRPr="00FE0A75">
        <w:rPr>
          <w:rFonts w:eastAsia="Calibri"/>
          <w:lang w:val="en-ZA"/>
        </w:rPr>
        <w:t xml:space="preserve">for all the terms and conditions of the </w:t>
      </w:r>
      <w:r w:rsidR="008F42D8" w:rsidRPr="00FE0A75">
        <w:rPr>
          <w:rFonts w:eastAsia="Calibri"/>
          <w:lang w:val="en-ZA"/>
        </w:rPr>
        <w:t>L</w:t>
      </w:r>
      <w:r w:rsidRPr="00FE0A75">
        <w:rPr>
          <w:rFonts w:eastAsia="Calibri"/>
          <w:lang w:val="en-ZA"/>
        </w:rPr>
        <w:t xml:space="preserve">ease. </w:t>
      </w:r>
      <w:r w:rsidR="00037916" w:rsidRPr="00FE0A75">
        <w:rPr>
          <w:rFonts w:eastAsia="Calibri"/>
          <w:lang w:val="en-ZA"/>
        </w:rPr>
        <w:br/>
      </w:r>
      <w:r w:rsidR="000C5791" w:rsidRPr="00FE0A75">
        <w:rPr>
          <w:rFonts w:eastAsia="Calibri"/>
          <w:lang w:val="en-ZA"/>
        </w:rPr>
        <w:t>(</w:t>
      </w:r>
      <w:r w:rsidRPr="00FE0A75">
        <w:rPr>
          <w:rFonts w:eastAsia="Calibri"/>
          <w:lang w:val="en-ZA"/>
        </w:rPr>
        <w:t xml:space="preserve">b) </w:t>
      </w:r>
      <w:r w:rsidR="008F42D8" w:rsidRPr="00FE0A75">
        <w:rPr>
          <w:rFonts w:eastAsia="Calibri"/>
          <w:lang w:val="en-ZA"/>
        </w:rPr>
        <w:t xml:space="preserve">APOLDO TRADE (PROPRIETARY) LIMITED </w:t>
      </w:r>
      <w:r w:rsidRPr="00FE0A75">
        <w:rPr>
          <w:rFonts w:eastAsia="Calibri"/>
          <w:lang w:val="en-ZA"/>
        </w:rPr>
        <w:t>hereby agrees to b</w:t>
      </w:r>
      <w:r w:rsidR="000C5791" w:rsidRPr="00FE0A75">
        <w:rPr>
          <w:rFonts w:eastAsia="Calibri"/>
          <w:lang w:val="en-ZA"/>
        </w:rPr>
        <w:t>e</w:t>
      </w:r>
      <w:r w:rsidRPr="00FE0A75">
        <w:rPr>
          <w:rFonts w:eastAsia="Calibri"/>
          <w:lang w:val="en-ZA"/>
        </w:rPr>
        <w:t xml:space="preserve"> jointly and severally equally responsible for the term of the </w:t>
      </w:r>
      <w:r w:rsidR="008F42D8" w:rsidRPr="00FE0A75">
        <w:rPr>
          <w:rFonts w:eastAsia="Calibri"/>
          <w:lang w:val="en-ZA"/>
        </w:rPr>
        <w:t>L</w:t>
      </w:r>
      <w:r w:rsidRPr="00FE0A75">
        <w:rPr>
          <w:rFonts w:eastAsia="Calibri"/>
          <w:lang w:val="en-ZA"/>
        </w:rPr>
        <w:t>ease.’</w:t>
      </w:r>
    </w:p>
    <w:p w14:paraId="15B05303" w14:textId="77777777" w:rsidR="00427A7E" w:rsidRDefault="00427A7E" w:rsidP="00037916">
      <w:pPr>
        <w:pStyle w:val="ListParagraph"/>
        <w:spacing w:line="360" w:lineRule="auto"/>
        <w:ind w:left="0"/>
        <w:jc w:val="both"/>
        <w:rPr>
          <w:rFonts w:eastAsia="Calibri"/>
          <w:sz w:val="28"/>
          <w:szCs w:val="28"/>
          <w:lang w:val="en-ZA"/>
        </w:rPr>
      </w:pPr>
    </w:p>
    <w:p w14:paraId="286D45C6" w14:textId="77777777" w:rsidR="00427A7E" w:rsidRDefault="00427A7E" w:rsidP="00037916">
      <w:pPr>
        <w:pStyle w:val="ListParagraph"/>
        <w:spacing w:line="360" w:lineRule="auto"/>
        <w:ind w:left="0"/>
        <w:jc w:val="both"/>
        <w:rPr>
          <w:rFonts w:eastAsia="Calibri"/>
          <w:sz w:val="28"/>
          <w:szCs w:val="28"/>
          <w:lang w:val="en-ZA"/>
        </w:rPr>
      </w:pPr>
    </w:p>
    <w:p w14:paraId="627230E2" w14:textId="77777777" w:rsidR="005F5049" w:rsidRPr="00B1555D" w:rsidRDefault="005F5049" w:rsidP="00037916">
      <w:pPr>
        <w:pStyle w:val="ListParagraph"/>
        <w:spacing w:line="360" w:lineRule="auto"/>
        <w:ind w:left="0"/>
        <w:jc w:val="both"/>
        <w:rPr>
          <w:rFonts w:eastAsia="Calibri"/>
          <w:sz w:val="28"/>
          <w:szCs w:val="28"/>
          <w:lang w:val="en-ZA"/>
        </w:rPr>
      </w:pPr>
    </w:p>
    <w:p w14:paraId="0D2BF5E2" w14:textId="168BEEED" w:rsidR="005F446C" w:rsidRPr="00B1555D" w:rsidRDefault="005F446C" w:rsidP="000C1370">
      <w:pPr>
        <w:spacing w:line="360" w:lineRule="auto"/>
        <w:jc w:val="both"/>
        <w:rPr>
          <w:rFonts w:eastAsia="Calibri"/>
          <w:b/>
          <w:sz w:val="28"/>
          <w:szCs w:val="28"/>
          <w:lang w:val="en-ZA"/>
        </w:rPr>
      </w:pPr>
      <w:r w:rsidRPr="00B1555D">
        <w:rPr>
          <w:rFonts w:eastAsia="Calibri"/>
          <w:b/>
          <w:sz w:val="28"/>
          <w:szCs w:val="28"/>
          <w:lang w:val="en-ZA"/>
        </w:rPr>
        <w:lastRenderedPageBreak/>
        <w:t>The issue</w:t>
      </w:r>
      <w:r w:rsidR="000C5791" w:rsidRPr="00B1555D">
        <w:rPr>
          <w:rFonts w:eastAsia="Calibri"/>
          <w:b/>
          <w:sz w:val="28"/>
          <w:szCs w:val="28"/>
          <w:lang w:val="en-ZA"/>
        </w:rPr>
        <w:t>s</w:t>
      </w:r>
    </w:p>
    <w:p w14:paraId="24CBA397" w14:textId="731ABC31" w:rsidR="001E4E0C" w:rsidRPr="00B1555D" w:rsidRDefault="005F446C" w:rsidP="000C1370">
      <w:pPr>
        <w:spacing w:line="360" w:lineRule="auto"/>
        <w:jc w:val="both"/>
        <w:rPr>
          <w:rFonts w:eastAsia="Calibri"/>
          <w:sz w:val="28"/>
          <w:szCs w:val="28"/>
          <w:lang w:val="en-ZA"/>
        </w:rPr>
      </w:pPr>
      <w:r w:rsidRPr="00B1555D">
        <w:rPr>
          <w:rFonts w:eastAsia="Calibri"/>
          <w:sz w:val="28"/>
          <w:szCs w:val="28"/>
          <w:lang w:val="en-ZA"/>
        </w:rPr>
        <w:t>[</w:t>
      </w:r>
      <w:r w:rsidR="00F97733">
        <w:rPr>
          <w:rFonts w:eastAsia="Calibri"/>
          <w:sz w:val="28"/>
          <w:szCs w:val="28"/>
          <w:lang w:val="en-ZA"/>
        </w:rPr>
        <w:t>9</w:t>
      </w:r>
      <w:r w:rsidRPr="00B1555D">
        <w:rPr>
          <w:rFonts w:eastAsia="Calibri"/>
          <w:sz w:val="28"/>
          <w:szCs w:val="28"/>
          <w:lang w:val="en-ZA"/>
        </w:rPr>
        <w:t>]</w:t>
      </w:r>
      <w:r w:rsidRPr="00B1555D">
        <w:rPr>
          <w:rFonts w:eastAsia="Calibri"/>
          <w:sz w:val="28"/>
          <w:szCs w:val="28"/>
          <w:lang w:val="en-ZA"/>
        </w:rPr>
        <w:tab/>
        <w:t>The appeal raises four issue</w:t>
      </w:r>
      <w:r w:rsidR="00A20A3E" w:rsidRPr="00B1555D">
        <w:rPr>
          <w:rFonts w:eastAsia="Calibri"/>
          <w:sz w:val="28"/>
          <w:szCs w:val="28"/>
          <w:lang w:val="en-ZA"/>
        </w:rPr>
        <w:t>s</w:t>
      </w:r>
      <w:r w:rsidRPr="00B1555D">
        <w:rPr>
          <w:rFonts w:eastAsia="Calibri"/>
          <w:sz w:val="28"/>
          <w:szCs w:val="28"/>
          <w:lang w:val="en-ZA"/>
        </w:rPr>
        <w:t xml:space="preserve">. The first is whether the lease agreement </w:t>
      </w:r>
      <w:r w:rsidR="00F33075" w:rsidRPr="00B1555D">
        <w:rPr>
          <w:rFonts w:eastAsia="Calibri"/>
          <w:sz w:val="28"/>
          <w:szCs w:val="28"/>
          <w:lang w:val="en-ZA"/>
        </w:rPr>
        <w:t>exclude</w:t>
      </w:r>
      <w:r w:rsidR="00F97733">
        <w:rPr>
          <w:rFonts w:eastAsia="Calibri"/>
          <w:sz w:val="28"/>
          <w:szCs w:val="28"/>
          <w:lang w:val="en-ZA"/>
        </w:rPr>
        <w:t>s</w:t>
      </w:r>
      <w:r w:rsidRPr="00B1555D">
        <w:rPr>
          <w:rFonts w:eastAsia="Calibri"/>
          <w:sz w:val="28"/>
          <w:szCs w:val="28"/>
          <w:lang w:val="en-ZA"/>
        </w:rPr>
        <w:t xml:space="preserve"> </w:t>
      </w:r>
      <w:r w:rsidR="00F97733">
        <w:rPr>
          <w:rFonts w:eastAsia="Calibri"/>
          <w:sz w:val="28"/>
          <w:szCs w:val="28"/>
          <w:lang w:val="en-ZA"/>
        </w:rPr>
        <w:t>the</w:t>
      </w:r>
      <w:r w:rsidRPr="00B1555D">
        <w:rPr>
          <w:rFonts w:eastAsia="Calibri"/>
          <w:sz w:val="28"/>
          <w:szCs w:val="28"/>
          <w:lang w:val="en-ZA"/>
        </w:rPr>
        <w:t xml:space="preserve"> claim for remission of rent </w:t>
      </w:r>
      <w:r w:rsidR="00F97733">
        <w:rPr>
          <w:rFonts w:eastAsia="Calibri"/>
          <w:sz w:val="28"/>
          <w:szCs w:val="28"/>
          <w:lang w:val="en-ZA"/>
        </w:rPr>
        <w:t xml:space="preserve">raised by the Butcher Shop. </w:t>
      </w:r>
      <w:r w:rsidRPr="00B1555D">
        <w:rPr>
          <w:rFonts w:eastAsia="Calibri"/>
          <w:sz w:val="28"/>
          <w:szCs w:val="28"/>
          <w:lang w:val="en-ZA"/>
        </w:rPr>
        <w:t xml:space="preserve">If the answer to this question is </w:t>
      </w:r>
      <w:r w:rsidR="00F97733">
        <w:rPr>
          <w:rFonts w:eastAsia="Calibri"/>
          <w:sz w:val="28"/>
          <w:szCs w:val="28"/>
          <w:lang w:val="en-ZA"/>
        </w:rPr>
        <w:t>positive,</w:t>
      </w:r>
      <w:r w:rsidRPr="00B1555D">
        <w:rPr>
          <w:rFonts w:eastAsia="Calibri"/>
          <w:sz w:val="28"/>
          <w:szCs w:val="28"/>
          <w:lang w:val="en-ZA"/>
        </w:rPr>
        <w:t xml:space="preserve"> it </w:t>
      </w:r>
      <w:r w:rsidR="0004764F">
        <w:rPr>
          <w:rFonts w:eastAsia="Calibri"/>
          <w:sz w:val="28"/>
          <w:szCs w:val="28"/>
          <w:lang w:val="en-ZA"/>
        </w:rPr>
        <w:t xml:space="preserve">would </w:t>
      </w:r>
      <w:r w:rsidRPr="00B1555D">
        <w:rPr>
          <w:rFonts w:eastAsia="Calibri"/>
          <w:sz w:val="28"/>
          <w:szCs w:val="28"/>
          <w:lang w:val="en-ZA"/>
        </w:rPr>
        <w:t xml:space="preserve">dispose of the appeal. </w:t>
      </w:r>
      <w:r w:rsidR="001E4E0C" w:rsidRPr="00B1555D">
        <w:rPr>
          <w:rFonts w:eastAsia="Calibri"/>
          <w:sz w:val="28"/>
          <w:szCs w:val="28"/>
          <w:lang w:val="en-ZA"/>
        </w:rPr>
        <w:t>If not, the further issues require consideration.</w:t>
      </w:r>
    </w:p>
    <w:p w14:paraId="0FA0B689" w14:textId="77777777" w:rsidR="001E4E0C" w:rsidRPr="00B1555D" w:rsidRDefault="001E4E0C" w:rsidP="000C1370">
      <w:pPr>
        <w:spacing w:line="360" w:lineRule="auto"/>
        <w:jc w:val="both"/>
        <w:rPr>
          <w:rFonts w:eastAsia="Calibri"/>
          <w:sz w:val="28"/>
          <w:szCs w:val="28"/>
          <w:lang w:val="en-ZA"/>
        </w:rPr>
      </w:pPr>
    </w:p>
    <w:p w14:paraId="62DB6F00" w14:textId="1FAA9403" w:rsidR="001E4E0C" w:rsidRPr="00B1555D" w:rsidRDefault="001E4E0C" w:rsidP="000C1370">
      <w:pPr>
        <w:spacing w:line="360" w:lineRule="auto"/>
        <w:jc w:val="both"/>
        <w:rPr>
          <w:rFonts w:eastAsia="Calibri"/>
          <w:sz w:val="28"/>
          <w:szCs w:val="28"/>
          <w:lang w:val="en-ZA"/>
        </w:rPr>
      </w:pPr>
      <w:r w:rsidRPr="00B1555D">
        <w:rPr>
          <w:rFonts w:eastAsia="Calibri"/>
          <w:sz w:val="28"/>
          <w:szCs w:val="28"/>
          <w:lang w:val="en-ZA"/>
        </w:rPr>
        <w:t>[</w:t>
      </w:r>
      <w:r w:rsidR="00F97733">
        <w:rPr>
          <w:rFonts w:eastAsia="Calibri"/>
          <w:sz w:val="28"/>
          <w:szCs w:val="28"/>
          <w:lang w:val="en-ZA"/>
        </w:rPr>
        <w:t>10</w:t>
      </w:r>
      <w:r w:rsidRPr="00B1555D">
        <w:rPr>
          <w:rFonts w:eastAsia="Calibri"/>
          <w:sz w:val="28"/>
          <w:szCs w:val="28"/>
          <w:lang w:val="en-ZA"/>
        </w:rPr>
        <w:t>]</w:t>
      </w:r>
      <w:r w:rsidRPr="00B1555D">
        <w:rPr>
          <w:rFonts w:eastAsia="Calibri"/>
          <w:sz w:val="28"/>
          <w:szCs w:val="28"/>
          <w:lang w:val="en-ZA"/>
        </w:rPr>
        <w:tab/>
        <w:t xml:space="preserve">The second question is whether the Butcher Shop, a tenant, may claim remission of rental in circumstances where the loss of use and enjoyment of the property is suffered by </w:t>
      </w:r>
      <w:r w:rsidR="00F97733">
        <w:rPr>
          <w:rFonts w:eastAsia="Calibri"/>
          <w:sz w:val="28"/>
          <w:szCs w:val="28"/>
          <w:lang w:val="en-ZA"/>
        </w:rPr>
        <w:t xml:space="preserve">its </w:t>
      </w:r>
      <w:r w:rsidRPr="00B1555D">
        <w:rPr>
          <w:rFonts w:eastAsia="Calibri"/>
          <w:sz w:val="28"/>
          <w:szCs w:val="28"/>
          <w:lang w:val="en-ZA"/>
        </w:rPr>
        <w:t>sub-tenant, Apoldo.</w:t>
      </w:r>
    </w:p>
    <w:p w14:paraId="484ADA44" w14:textId="77777777" w:rsidR="001E4E0C" w:rsidRPr="00B1555D" w:rsidRDefault="001E4E0C" w:rsidP="000C1370">
      <w:pPr>
        <w:spacing w:line="360" w:lineRule="auto"/>
        <w:jc w:val="both"/>
        <w:rPr>
          <w:rFonts w:eastAsia="Calibri"/>
          <w:sz w:val="28"/>
          <w:szCs w:val="28"/>
          <w:lang w:val="en-ZA"/>
        </w:rPr>
      </w:pPr>
    </w:p>
    <w:p w14:paraId="17C81A82" w14:textId="0CB9C5F7" w:rsidR="00AD60FF" w:rsidRPr="00B1555D" w:rsidRDefault="001E4E0C" w:rsidP="000C1370">
      <w:pPr>
        <w:spacing w:line="360" w:lineRule="auto"/>
        <w:jc w:val="both"/>
        <w:rPr>
          <w:rFonts w:eastAsia="Calibri"/>
          <w:sz w:val="28"/>
          <w:szCs w:val="28"/>
          <w:lang w:val="en-ZA"/>
        </w:rPr>
      </w:pPr>
      <w:r w:rsidRPr="00B1555D">
        <w:rPr>
          <w:rFonts w:eastAsia="Calibri"/>
          <w:sz w:val="28"/>
          <w:szCs w:val="28"/>
          <w:lang w:val="en-ZA"/>
        </w:rPr>
        <w:t>[1</w:t>
      </w:r>
      <w:r w:rsidR="00F97733">
        <w:rPr>
          <w:rFonts w:eastAsia="Calibri"/>
          <w:sz w:val="28"/>
          <w:szCs w:val="28"/>
          <w:lang w:val="en-ZA"/>
        </w:rPr>
        <w:t>1</w:t>
      </w:r>
      <w:r w:rsidRPr="00B1555D">
        <w:rPr>
          <w:rFonts w:eastAsia="Calibri"/>
          <w:sz w:val="28"/>
          <w:szCs w:val="28"/>
          <w:lang w:val="en-ZA"/>
        </w:rPr>
        <w:t>]</w:t>
      </w:r>
      <w:r w:rsidRPr="00B1555D">
        <w:rPr>
          <w:rFonts w:eastAsia="Calibri"/>
          <w:sz w:val="28"/>
          <w:szCs w:val="28"/>
          <w:lang w:val="en-ZA"/>
        </w:rPr>
        <w:tab/>
        <w:t xml:space="preserve">The third issue concerns </w:t>
      </w:r>
      <w:r w:rsidR="00F97733">
        <w:rPr>
          <w:rFonts w:eastAsia="Calibri"/>
          <w:sz w:val="28"/>
          <w:szCs w:val="28"/>
          <w:lang w:val="en-ZA"/>
        </w:rPr>
        <w:t xml:space="preserve">a </w:t>
      </w:r>
      <w:r w:rsidRPr="00B1555D">
        <w:rPr>
          <w:rFonts w:eastAsia="Calibri"/>
          <w:sz w:val="28"/>
          <w:szCs w:val="28"/>
          <w:lang w:val="en-ZA"/>
        </w:rPr>
        <w:t>so-called reverse piercing of the corporate veil.</w:t>
      </w:r>
      <w:r w:rsidR="00D87F8A" w:rsidRPr="00B1555D">
        <w:rPr>
          <w:rFonts w:eastAsia="Calibri"/>
          <w:sz w:val="28"/>
          <w:szCs w:val="28"/>
          <w:lang w:val="en-ZA"/>
        </w:rPr>
        <w:t xml:space="preserve"> </w:t>
      </w:r>
      <w:r w:rsidR="00037916" w:rsidRPr="00B1555D">
        <w:rPr>
          <w:rFonts w:eastAsia="Calibri"/>
          <w:sz w:val="28"/>
          <w:szCs w:val="28"/>
          <w:lang w:val="en-ZA"/>
        </w:rPr>
        <w:t>Essentially</w:t>
      </w:r>
      <w:r w:rsidR="00F97733">
        <w:rPr>
          <w:rFonts w:eastAsia="Calibri"/>
          <w:sz w:val="28"/>
          <w:szCs w:val="28"/>
          <w:lang w:val="en-ZA"/>
        </w:rPr>
        <w:t xml:space="preserve">, the question </w:t>
      </w:r>
      <w:r w:rsidR="00037916" w:rsidRPr="00B1555D">
        <w:rPr>
          <w:rFonts w:eastAsia="Calibri"/>
          <w:sz w:val="28"/>
          <w:szCs w:val="28"/>
          <w:lang w:val="en-ZA"/>
        </w:rPr>
        <w:t>is</w:t>
      </w:r>
      <w:r w:rsidRPr="00B1555D">
        <w:rPr>
          <w:rFonts w:eastAsia="Calibri"/>
          <w:sz w:val="28"/>
          <w:szCs w:val="28"/>
          <w:lang w:val="en-ZA"/>
        </w:rPr>
        <w:t xml:space="preserve"> whether</w:t>
      </w:r>
      <w:r w:rsidR="00F97733">
        <w:rPr>
          <w:rFonts w:eastAsia="Calibri"/>
          <w:sz w:val="28"/>
          <w:szCs w:val="28"/>
          <w:lang w:val="en-ZA"/>
        </w:rPr>
        <w:t>,</w:t>
      </w:r>
      <w:r w:rsidRPr="00B1555D">
        <w:rPr>
          <w:rFonts w:eastAsia="Calibri"/>
          <w:sz w:val="28"/>
          <w:szCs w:val="28"/>
          <w:lang w:val="en-ZA"/>
        </w:rPr>
        <w:t xml:space="preserve"> </w:t>
      </w:r>
      <w:r w:rsidR="00F97733">
        <w:rPr>
          <w:rFonts w:eastAsia="Calibri"/>
          <w:sz w:val="28"/>
          <w:szCs w:val="28"/>
          <w:lang w:val="en-ZA"/>
        </w:rPr>
        <w:t>on the facts</w:t>
      </w:r>
      <w:r w:rsidRPr="00B1555D">
        <w:rPr>
          <w:rFonts w:eastAsia="Calibri"/>
          <w:sz w:val="28"/>
          <w:szCs w:val="28"/>
          <w:lang w:val="en-ZA"/>
        </w:rPr>
        <w:t xml:space="preserve"> of this case, </w:t>
      </w:r>
      <w:r w:rsidR="00F33075" w:rsidRPr="00B1555D">
        <w:rPr>
          <w:rFonts w:eastAsia="Calibri"/>
          <w:sz w:val="28"/>
          <w:szCs w:val="28"/>
          <w:lang w:val="en-ZA"/>
        </w:rPr>
        <w:t>th</w:t>
      </w:r>
      <w:r w:rsidR="00F97733">
        <w:rPr>
          <w:rFonts w:eastAsia="Calibri"/>
          <w:sz w:val="28"/>
          <w:szCs w:val="28"/>
          <w:lang w:val="en-ZA"/>
        </w:rPr>
        <w:t>is</w:t>
      </w:r>
      <w:r w:rsidR="00F33075" w:rsidRPr="00B1555D">
        <w:rPr>
          <w:rFonts w:eastAsia="Calibri"/>
          <w:sz w:val="28"/>
          <w:szCs w:val="28"/>
          <w:lang w:val="en-ZA"/>
        </w:rPr>
        <w:t xml:space="preserve"> </w:t>
      </w:r>
      <w:r w:rsidR="00F97733">
        <w:rPr>
          <w:rFonts w:eastAsia="Calibri"/>
          <w:sz w:val="28"/>
          <w:szCs w:val="28"/>
          <w:lang w:val="en-ZA"/>
        </w:rPr>
        <w:t>C</w:t>
      </w:r>
      <w:r w:rsidR="00F33075" w:rsidRPr="00B1555D">
        <w:rPr>
          <w:rFonts w:eastAsia="Calibri"/>
          <w:sz w:val="28"/>
          <w:szCs w:val="28"/>
          <w:lang w:val="en-ZA"/>
        </w:rPr>
        <w:t>ourt</w:t>
      </w:r>
      <w:r w:rsidR="00CB645E" w:rsidRPr="00B1555D">
        <w:rPr>
          <w:rFonts w:eastAsia="Calibri"/>
          <w:sz w:val="28"/>
          <w:szCs w:val="28"/>
          <w:lang w:val="en-ZA"/>
        </w:rPr>
        <w:t xml:space="preserve"> should </w:t>
      </w:r>
      <w:r w:rsidR="00F97733">
        <w:rPr>
          <w:rFonts w:eastAsia="Calibri"/>
          <w:sz w:val="28"/>
          <w:szCs w:val="28"/>
          <w:lang w:val="en-ZA"/>
        </w:rPr>
        <w:t>disregard</w:t>
      </w:r>
      <w:r w:rsidR="00CB645E" w:rsidRPr="00B1555D">
        <w:rPr>
          <w:rFonts w:eastAsia="Calibri"/>
          <w:sz w:val="28"/>
          <w:szCs w:val="28"/>
          <w:lang w:val="en-ZA"/>
        </w:rPr>
        <w:t xml:space="preserve"> the separate legal personality of Apoldo, </w:t>
      </w:r>
      <w:r w:rsidR="00F97733" w:rsidRPr="00B1555D">
        <w:rPr>
          <w:rFonts w:eastAsia="Calibri"/>
          <w:sz w:val="28"/>
          <w:szCs w:val="28"/>
          <w:lang w:val="en-ZA"/>
        </w:rPr>
        <w:t>to</w:t>
      </w:r>
      <w:r w:rsidR="00CB645E" w:rsidRPr="00B1555D">
        <w:rPr>
          <w:rFonts w:eastAsia="Calibri"/>
          <w:sz w:val="28"/>
          <w:szCs w:val="28"/>
          <w:lang w:val="en-ZA"/>
        </w:rPr>
        <w:t xml:space="preserve"> allow the Butcher Shop</w:t>
      </w:r>
      <w:r w:rsidR="00F97733">
        <w:rPr>
          <w:rFonts w:eastAsia="Calibri"/>
          <w:sz w:val="28"/>
          <w:szCs w:val="28"/>
          <w:lang w:val="en-ZA"/>
        </w:rPr>
        <w:t xml:space="preserve"> </w:t>
      </w:r>
      <w:r w:rsidR="00CB645E" w:rsidRPr="00B1555D">
        <w:rPr>
          <w:rFonts w:eastAsia="Calibri"/>
          <w:sz w:val="28"/>
          <w:szCs w:val="28"/>
          <w:lang w:val="en-ZA"/>
        </w:rPr>
        <w:t xml:space="preserve">to raise </w:t>
      </w:r>
      <w:r w:rsidRPr="00B1555D">
        <w:rPr>
          <w:rFonts w:eastAsia="Calibri"/>
          <w:sz w:val="28"/>
          <w:szCs w:val="28"/>
          <w:lang w:val="en-ZA"/>
        </w:rPr>
        <w:t xml:space="preserve">as a defence </w:t>
      </w:r>
      <w:r w:rsidR="00CB645E" w:rsidRPr="00B1555D">
        <w:rPr>
          <w:rFonts w:eastAsia="Calibri"/>
          <w:sz w:val="28"/>
          <w:szCs w:val="28"/>
          <w:lang w:val="en-ZA"/>
        </w:rPr>
        <w:t>to the Trust’s claim</w:t>
      </w:r>
      <w:r w:rsidR="00F97733">
        <w:rPr>
          <w:rFonts w:eastAsia="Calibri"/>
          <w:sz w:val="28"/>
          <w:szCs w:val="28"/>
          <w:lang w:val="en-ZA"/>
        </w:rPr>
        <w:t xml:space="preserve"> for payment of rent</w:t>
      </w:r>
      <w:r w:rsidR="00CB645E" w:rsidRPr="00B1555D">
        <w:rPr>
          <w:rFonts w:eastAsia="Calibri"/>
          <w:sz w:val="28"/>
          <w:szCs w:val="28"/>
          <w:lang w:val="en-ZA"/>
        </w:rPr>
        <w:t xml:space="preserve">, a defence that Apoldo </w:t>
      </w:r>
      <w:r w:rsidR="00F97733">
        <w:rPr>
          <w:rFonts w:eastAsia="Calibri"/>
          <w:sz w:val="28"/>
          <w:szCs w:val="28"/>
          <w:lang w:val="en-ZA"/>
        </w:rPr>
        <w:t>would be entitled to raise</w:t>
      </w:r>
      <w:r w:rsidR="00CB645E" w:rsidRPr="00B1555D">
        <w:rPr>
          <w:rFonts w:eastAsia="Calibri"/>
          <w:sz w:val="28"/>
          <w:szCs w:val="28"/>
          <w:lang w:val="en-ZA"/>
        </w:rPr>
        <w:t xml:space="preserve"> against </w:t>
      </w:r>
      <w:r w:rsidR="00F97733">
        <w:rPr>
          <w:rFonts w:eastAsia="Calibri"/>
          <w:sz w:val="28"/>
          <w:szCs w:val="28"/>
          <w:lang w:val="en-ZA"/>
        </w:rPr>
        <w:t>it</w:t>
      </w:r>
      <w:r w:rsidR="00CB645E" w:rsidRPr="00B1555D">
        <w:rPr>
          <w:rFonts w:eastAsia="Calibri"/>
          <w:sz w:val="28"/>
          <w:szCs w:val="28"/>
          <w:lang w:val="en-ZA"/>
        </w:rPr>
        <w:t xml:space="preserve">. </w:t>
      </w:r>
    </w:p>
    <w:p w14:paraId="0B1B59AE" w14:textId="77777777" w:rsidR="001E4E0C" w:rsidRPr="00B1555D" w:rsidRDefault="001E4E0C" w:rsidP="000C1370">
      <w:pPr>
        <w:spacing w:line="360" w:lineRule="auto"/>
        <w:jc w:val="both"/>
        <w:rPr>
          <w:rFonts w:eastAsia="Calibri"/>
          <w:sz w:val="28"/>
          <w:szCs w:val="28"/>
          <w:lang w:val="en-ZA"/>
        </w:rPr>
      </w:pPr>
    </w:p>
    <w:p w14:paraId="6A70279C" w14:textId="6563DD46" w:rsidR="00CB645E" w:rsidRPr="00B1555D" w:rsidRDefault="001E4E0C" w:rsidP="000C1370">
      <w:pPr>
        <w:spacing w:line="360" w:lineRule="auto"/>
        <w:jc w:val="both"/>
        <w:rPr>
          <w:rFonts w:eastAsia="Calibri"/>
          <w:sz w:val="28"/>
          <w:szCs w:val="28"/>
          <w:lang w:val="en-ZA"/>
        </w:rPr>
      </w:pPr>
      <w:r w:rsidRPr="00B1555D">
        <w:rPr>
          <w:rFonts w:eastAsia="Calibri"/>
          <w:sz w:val="28"/>
          <w:szCs w:val="28"/>
          <w:lang w:val="en-ZA"/>
        </w:rPr>
        <w:t>[1</w:t>
      </w:r>
      <w:r w:rsidR="00F97733">
        <w:rPr>
          <w:rFonts w:eastAsia="Calibri"/>
          <w:sz w:val="28"/>
          <w:szCs w:val="28"/>
          <w:lang w:val="en-ZA"/>
        </w:rPr>
        <w:t>2</w:t>
      </w:r>
      <w:r w:rsidRPr="00B1555D">
        <w:rPr>
          <w:rFonts w:eastAsia="Calibri"/>
          <w:sz w:val="28"/>
          <w:szCs w:val="28"/>
          <w:lang w:val="en-ZA"/>
        </w:rPr>
        <w:t>]</w:t>
      </w:r>
      <w:r w:rsidRPr="00B1555D">
        <w:rPr>
          <w:rFonts w:eastAsia="Calibri"/>
          <w:sz w:val="28"/>
          <w:szCs w:val="28"/>
          <w:lang w:val="en-ZA"/>
        </w:rPr>
        <w:tab/>
        <w:t xml:space="preserve">The fourth issue arises </w:t>
      </w:r>
      <w:r w:rsidR="00B67DF1" w:rsidRPr="00B1555D">
        <w:rPr>
          <w:rFonts w:eastAsia="Calibri"/>
          <w:sz w:val="28"/>
          <w:szCs w:val="28"/>
          <w:lang w:val="en-ZA"/>
        </w:rPr>
        <w:t>if</w:t>
      </w:r>
      <w:r w:rsidR="001813E0" w:rsidRPr="00B1555D">
        <w:rPr>
          <w:rFonts w:eastAsia="Calibri"/>
          <w:sz w:val="28"/>
          <w:szCs w:val="28"/>
          <w:lang w:val="en-ZA"/>
        </w:rPr>
        <w:t xml:space="preserve"> the answer to the third is negative. In that event, the </w:t>
      </w:r>
      <w:r w:rsidR="00F97733">
        <w:rPr>
          <w:rFonts w:eastAsia="Calibri"/>
          <w:sz w:val="28"/>
          <w:szCs w:val="28"/>
          <w:lang w:val="en-ZA"/>
        </w:rPr>
        <w:t>Butcher Shop contends that</w:t>
      </w:r>
      <w:r w:rsidR="001813E0" w:rsidRPr="00B1555D">
        <w:rPr>
          <w:rFonts w:eastAsia="Calibri"/>
          <w:sz w:val="28"/>
          <w:szCs w:val="28"/>
          <w:lang w:val="en-ZA"/>
        </w:rPr>
        <w:t xml:space="preserve"> the common law ought to be developed </w:t>
      </w:r>
      <w:r w:rsidR="00C256CA">
        <w:rPr>
          <w:rFonts w:eastAsia="Calibri"/>
          <w:sz w:val="28"/>
          <w:szCs w:val="28"/>
          <w:lang w:val="en-ZA"/>
        </w:rPr>
        <w:t>to permit this Court to disregard the corporate personality of Apoldo in the present circumstances</w:t>
      </w:r>
      <w:r w:rsidR="00C309A8">
        <w:rPr>
          <w:rFonts w:eastAsia="Calibri"/>
          <w:sz w:val="28"/>
          <w:szCs w:val="28"/>
          <w:lang w:val="en-ZA"/>
        </w:rPr>
        <w:t>.</w:t>
      </w:r>
      <w:r w:rsidR="001813E0" w:rsidRPr="00B1555D">
        <w:rPr>
          <w:rFonts w:eastAsia="Calibri"/>
          <w:sz w:val="28"/>
          <w:szCs w:val="28"/>
          <w:lang w:val="en-ZA"/>
        </w:rPr>
        <w:t xml:space="preserve"> </w:t>
      </w:r>
    </w:p>
    <w:p w14:paraId="3CE3369D" w14:textId="77777777" w:rsidR="001B6201" w:rsidRPr="00B1555D" w:rsidRDefault="001B6201" w:rsidP="000C1370">
      <w:pPr>
        <w:spacing w:line="360" w:lineRule="auto"/>
        <w:jc w:val="both"/>
        <w:rPr>
          <w:rFonts w:eastAsia="Calibri"/>
          <w:sz w:val="28"/>
          <w:szCs w:val="28"/>
          <w:lang w:val="en-ZA"/>
        </w:rPr>
      </w:pPr>
    </w:p>
    <w:p w14:paraId="4A014500" w14:textId="6BAC6A3B" w:rsidR="001813E0" w:rsidRPr="00B1555D" w:rsidRDefault="001813E0" w:rsidP="000C1370">
      <w:pPr>
        <w:spacing w:line="360" w:lineRule="auto"/>
        <w:jc w:val="both"/>
        <w:rPr>
          <w:rFonts w:eastAsia="Calibri"/>
          <w:sz w:val="28"/>
          <w:szCs w:val="28"/>
          <w:lang w:val="en-ZA"/>
        </w:rPr>
      </w:pPr>
      <w:r w:rsidRPr="00B1555D">
        <w:rPr>
          <w:rFonts w:eastAsia="Calibri"/>
          <w:b/>
          <w:sz w:val="28"/>
          <w:szCs w:val="28"/>
          <w:lang w:val="en-ZA"/>
        </w:rPr>
        <w:t>The lease agreement and remission</w:t>
      </w:r>
    </w:p>
    <w:p w14:paraId="2B466767" w14:textId="4A494F90" w:rsidR="003D485E" w:rsidRDefault="00AE62DB" w:rsidP="000C1370">
      <w:pPr>
        <w:spacing w:line="360" w:lineRule="auto"/>
        <w:jc w:val="both"/>
        <w:rPr>
          <w:rFonts w:eastAsia="Calibri"/>
          <w:sz w:val="28"/>
          <w:szCs w:val="28"/>
          <w:lang w:val="en-ZA"/>
        </w:rPr>
      </w:pPr>
      <w:r w:rsidRPr="00B1555D">
        <w:rPr>
          <w:rFonts w:eastAsia="Calibri"/>
          <w:sz w:val="28"/>
          <w:szCs w:val="28"/>
          <w:lang w:val="en-ZA"/>
        </w:rPr>
        <w:t>[</w:t>
      </w:r>
      <w:r w:rsidR="00065D22" w:rsidRPr="00B1555D">
        <w:rPr>
          <w:rFonts w:eastAsia="Calibri"/>
          <w:sz w:val="28"/>
          <w:szCs w:val="28"/>
          <w:lang w:val="en-ZA"/>
        </w:rPr>
        <w:t>1</w:t>
      </w:r>
      <w:r w:rsidR="00C309A8">
        <w:rPr>
          <w:rFonts w:eastAsia="Calibri"/>
          <w:sz w:val="28"/>
          <w:szCs w:val="28"/>
          <w:lang w:val="en-ZA"/>
        </w:rPr>
        <w:t>3</w:t>
      </w:r>
      <w:r w:rsidRPr="00B1555D">
        <w:rPr>
          <w:rFonts w:eastAsia="Calibri"/>
          <w:sz w:val="28"/>
          <w:szCs w:val="28"/>
          <w:lang w:val="en-ZA"/>
        </w:rPr>
        <w:t>]</w:t>
      </w:r>
      <w:r w:rsidRPr="00B1555D">
        <w:rPr>
          <w:rFonts w:eastAsia="Calibri"/>
          <w:sz w:val="28"/>
          <w:szCs w:val="28"/>
          <w:lang w:val="en-ZA"/>
        </w:rPr>
        <w:tab/>
        <w:t xml:space="preserve">The circumstances in which a tenant is entitled to </w:t>
      </w:r>
      <w:r w:rsidR="00C309A8">
        <w:rPr>
          <w:rFonts w:eastAsia="Calibri"/>
          <w:sz w:val="28"/>
          <w:szCs w:val="28"/>
          <w:lang w:val="en-ZA"/>
        </w:rPr>
        <w:t xml:space="preserve">claim </w:t>
      </w:r>
      <w:r w:rsidRPr="00B1555D">
        <w:rPr>
          <w:rFonts w:eastAsia="Calibri"/>
          <w:sz w:val="28"/>
          <w:szCs w:val="28"/>
          <w:lang w:val="en-ZA"/>
        </w:rPr>
        <w:t xml:space="preserve">remission of rent, at common law, </w:t>
      </w:r>
      <w:r w:rsidR="009C32CB">
        <w:rPr>
          <w:rFonts w:eastAsia="Calibri"/>
          <w:sz w:val="28"/>
          <w:szCs w:val="28"/>
          <w:lang w:val="en-ZA"/>
        </w:rPr>
        <w:t>are</w:t>
      </w:r>
      <w:r w:rsidRPr="00B1555D">
        <w:rPr>
          <w:rFonts w:eastAsia="Calibri"/>
          <w:sz w:val="28"/>
          <w:szCs w:val="28"/>
          <w:lang w:val="en-ZA"/>
        </w:rPr>
        <w:t xml:space="preserve"> not controversial. A lessee is obliged to fulfil all obligations which were expressly or impliedly undertaken by agreement with the lessor. </w:t>
      </w:r>
      <w:r w:rsidR="00C309A8">
        <w:rPr>
          <w:rFonts w:eastAsia="Calibri"/>
          <w:sz w:val="28"/>
          <w:szCs w:val="28"/>
          <w:lang w:val="en-ZA"/>
        </w:rPr>
        <w:t>It is obliged</w:t>
      </w:r>
      <w:r w:rsidRPr="00B1555D">
        <w:rPr>
          <w:rFonts w:eastAsia="Calibri"/>
          <w:sz w:val="28"/>
          <w:szCs w:val="28"/>
          <w:lang w:val="en-ZA"/>
        </w:rPr>
        <w:t xml:space="preserve"> to pay the rent; to care for the property let; not to use it for a purpose other than for which it was let; and to restore it in the same good order upon termination of the lease.</w:t>
      </w:r>
      <w:r w:rsidR="009C32CB">
        <w:rPr>
          <w:rFonts w:eastAsia="Calibri"/>
          <w:sz w:val="28"/>
          <w:szCs w:val="28"/>
          <w:lang w:val="en-ZA"/>
        </w:rPr>
        <w:t xml:space="preserve"> </w:t>
      </w:r>
      <w:r w:rsidRPr="00B1555D">
        <w:rPr>
          <w:rFonts w:eastAsia="Calibri"/>
          <w:sz w:val="28"/>
          <w:szCs w:val="28"/>
          <w:lang w:val="en-ZA"/>
        </w:rPr>
        <w:t xml:space="preserve">The </w:t>
      </w:r>
      <w:r w:rsidR="00C309A8">
        <w:rPr>
          <w:rFonts w:eastAsia="Calibri"/>
          <w:sz w:val="28"/>
          <w:szCs w:val="28"/>
          <w:lang w:val="en-ZA"/>
        </w:rPr>
        <w:t>lessee must</w:t>
      </w:r>
      <w:r w:rsidRPr="00B1555D">
        <w:rPr>
          <w:rFonts w:eastAsia="Calibri"/>
          <w:sz w:val="28"/>
          <w:szCs w:val="28"/>
          <w:lang w:val="en-ZA"/>
        </w:rPr>
        <w:t xml:space="preserve"> pay the full amount of rent</w:t>
      </w:r>
      <w:r w:rsidR="00C309A8">
        <w:rPr>
          <w:rFonts w:eastAsia="Calibri"/>
          <w:sz w:val="28"/>
          <w:szCs w:val="28"/>
          <w:lang w:val="en-ZA"/>
        </w:rPr>
        <w:t xml:space="preserve"> due</w:t>
      </w:r>
      <w:r w:rsidRPr="00B1555D">
        <w:rPr>
          <w:rFonts w:eastAsia="Calibri"/>
          <w:sz w:val="28"/>
          <w:szCs w:val="28"/>
          <w:lang w:val="en-ZA"/>
        </w:rPr>
        <w:t xml:space="preserve"> less that </w:t>
      </w:r>
      <w:r w:rsidRPr="00B1555D">
        <w:rPr>
          <w:rFonts w:eastAsia="Calibri"/>
          <w:sz w:val="28"/>
          <w:szCs w:val="28"/>
          <w:lang w:val="en-ZA"/>
        </w:rPr>
        <w:lastRenderedPageBreak/>
        <w:t>which is remitted by law.</w:t>
      </w:r>
      <w:r w:rsidRPr="00C309A8">
        <w:rPr>
          <w:rStyle w:val="FootnoteReference"/>
          <w:rFonts w:eastAsia="Calibri"/>
          <w:bCs/>
          <w:sz w:val="28"/>
          <w:szCs w:val="28"/>
          <w:lang w:val="en-ZA"/>
        </w:rPr>
        <w:footnoteReference w:id="3"/>
      </w:r>
      <w:r w:rsidRPr="00C309A8">
        <w:rPr>
          <w:rFonts w:eastAsia="Calibri"/>
          <w:bCs/>
          <w:sz w:val="28"/>
          <w:szCs w:val="28"/>
          <w:lang w:val="en-ZA"/>
        </w:rPr>
        <w:t xml:space="preserve"> </w:t>
      </w:r>
      <w:r w:rsidRPr="00B1555D">
        <w:rPr>
          <w:rFonts w:eastAsia="Calibri"/>
          <w:sz w:val="28"/>
          <w:szCs w:val="28"/>
          <w:lang w:val="en-ZA"/>
        </w:rPr>
        <w:t xml:space="preserve">For </w:t>
      </w:r>
      <w:r w:rsidR="00C309A8">
        <w:rPr>
          <w:rFonts w:eastAsia="Calibri"/>
          <w:sz w:val="28"/>
          <w:szCs w:val="28"/>
          <w:lang w:val="en-ZA"/>
        </w:rPr>
        <w:t xml:space="preserve">the </w:t>
      </w:r>
      <w:r w:rsidRPr="00B1555D">
        <w:rPr>
          <w:rFonts w:eastAsia="Calibri"/>
          <w:sz w:val="28"/>
          <w:szCs w:val="28"/>
          <w:lang w:val="en-ZA"/>
        </w:rPr>
        <w:t xml:space="preserve">present </w:t>
      </w:r>
      <w:r w:rsidR="00C309A8">
        <w:rPr>
          <w:rFonts w:eastAsia="Calibri"/>
          <w:sz w:val="28"/>
          <w:szCs w:val="28"/>
          <w:lang w:val="en-ZA"/>
        </w:rPr>
        <w:t>we need</w:t>
      </w:r>
      <w:r w:rsidRPr="00B1555D">
        <w:rPr>
          <w:rFonts w:eastAsia="Calibri"/>
          <w:sz w:val="28"/>
          <w:szCs w:val="28"/>
          <w:lang w:val="en-ZA"/>
        </w:rPr>
        <w:t xml:space="preserve"> only deal with </w:t>
      </w:r>
      <w:r w:rsidR="00C309A8">
        <w:rPr>
          <w:rFonts w:eastAsia="Calibri"/>
          <w:sz w:val="28"/>
          <w:szCs w:val="28"/>
          <w:lang w:val="en-ZA"/>
        </w:rPr>
        <w:t xml:space="preserve">entitlement to </w:t>
      </w:r>
      <w:r w:rsidRPr="00B1555D">
        <w:rPr>
          <w:rFonts w:eastAsia="Calibri"/>
          <w:sz w:val="28"/>
          <w:szCs w:val="28"/>
          <w:lang w:val="en-ZA"/>
        </w:rPr>
        <w:t xml:space="preserve">remission </w:t>
      </w:r>
      <w:r w:rsidR="00C309A8">
        <w:rPr>
          <w:rFonts w:eastAsia="Calibri"/>
          <w:sz w:val="28"/>
          <w:szCs w:val="28"/>
          <w:lang w:val="en-ZA"/>
        </w:rPr>
        <w:t xml:space="preserve">when </w:t>
      </w:r>
      <w:r w:rsidRPr="00B1555D">
        <w:rPr>
          <w:rFonts w:eastAsia="Calibri"/>
          <w:sz w:val="28"/>
          <w:szCs w:val="28"/>
          <w:lang w:val="en-ZA"/>
        </w:rPr>
        <w:t xml:space="preserve">the property is not placed at the disposal of the lessee, either by the lessor or </w:t>
      </w:r>
      <w:r w:rsidR="00C309A8">
        <w:rPr>
          <w:rFonts w:eastAsia="Calibri"/>
          <w:sz w:val="28"/>
          <w:szCs w:val="28"/>
          <w:lang w:val="en-ZA"/>
        </w:rPr>
        <w:t>because</w:t>
      </w:r>
      <w:r w:rsidRPr="00B1555D">
        <w:rPr>
          <w:rFonts w:eastAsia="Calibri"/>
          <w:sz w:val="28"/>
          <w:szCs w:val="28"/>
          <w:lang w:val="en-ZA"/>
        </w:rPr>
        <w:t xml:space="preserve"> of </w:t>
      </w:r>
      <w:r w:rsidR="00C309A8">
        <w:rPr>
          <w:rFonts w:eastAsia="Calibri"/>
          <w:sz w:val="28"/>
          <w:szCs w:val="28"/>
          <w:lang w:val="en-ZA"/>
        </w:rPr>
        <w:t>an</w:t>
      </w:r>
      <w:r w:rsidRPr="00B1555D">
        <w:rPr>
          <w:rFonts w:eastAsia="Calibri"/>
          <w:sz w:val="28"/>
          <w:szCs w:val="28"/>
          <w:lang w:val="en-ZA"/>
        </w:rPr>
        <w:t xml:space="preserve"> </w:t>
      </w:r>
      <w:r w:rsidR="00F33075" w:rsidRPr="00B1555D">
        <w:rPr>
          <w:rFonts w:eastAsia="Calibri"/>
          <w:sz w:val="28"/>
          <w:szCs w:val="28"/>
          <w:lang w:val="en-ZA"/>
        </w:rPr>
        <w:t>intervening</w:t>
      </w:r>
      <w:r w:rsidRPr="00B1555D">
        <w:rPr>
          <w:rFonts w:eastAsia="Calibri"/>
          <w:sz w:val="28"/>
          <w:szCs w:val="28"/>
          <w:lang w:val="en-ZA"/>
        </w:rPr>
        <w:t xml:space="preserve"> circumstance.</w:t>
      </w:r>
      <w:r w:rsidR="00EF2EFC">
        <w:rPr>
          <w:rFonts w:eastAsia="Calibri"/>
          <w:sz w:val="28"/>
          <w:szCs w:val="28"/>
          <w:lang w:val="en-ZA"/>
        </w:rPr>
        <w:t xml:space="preserve"> Th</w:t>
      </w:r>
      <w:r w:rsidR="00C309A8">
        <w:rPr>
          <w:rFonts w:eastAsia="Calibri"/>
          <w:sz w:val="28"/>
          <w:szCs w:val="28"/>
          <w:lang w:val="en-ZA"/>
        </w:rPr>
        <w:t>e</w:t>
      </w:r>
      <w:r w:rsidR="00EF2EFC">
        <w:rPr>
          <w:rFonts w:eastAsia="Calibri"/>
          <w:sz w:val="28"/>
          <w:szCs w:val="28"/>
          <w:lang w:val="en-ZA"/>
        </w:rPr>
        <w:t xml:space="preserve"> principle was set out in </w:t>
      </w:r>
      <w:r w:rsidR="00EF2EFC">
        <w:rPr>
          <w:rFonts w:eastAsia="Calibri"/>
          <w:i/>
          <w:iCs/>
          <w:sz w:val="28"/>
          <w:szCs w:val="28"/>
          <w:lang w:val="en-ZA"/>
        </w:rPr>
        <w:t>Hansen, Schrader &amp; Co v Kopelowitz</w:t>
      </w:r>
      <w:r w:rsidR="000C351B">
        <w:rPr>
          <w:rFonts w:eastAsia="Calibri"/>
          <w:sz w:val="28"/>
          <w:szCs w:val="28"/>
          <w:lang w:val="en-ZA"/>
        </w:rPr>
        <w:t>:</w:t>
      </w:r>
    </w:p>
    <w:p w14:paraId="724ED31F" w14:textId="63732DF1" w:rsidR="003D485E" w:rsidRPr="003D485E" w:rsidRDefault="003D485E" w:rsidP="000C1370">
      <w:pPr>
        <w:spacing w:line="360" w:lineRule="auto"/>
        <w:jc w:val="both"/>
        <w:rPr>
          <w:rFonts w:eastAsia="Calibri"/>
          <w:lang w:val="en-ZA"/>
        </w:rPr>
      </w:pPr>
      <w:r>
        <w:rPr>
          <w:rFonts w:eastAsia="Calibri"/>
          <w:lang w:val="en-ZA"/>
        </w:rPr>
        <w:t>‘</w:t>
      </w:r>
      <w:r w:rsidR="000C351B">
        <w:rPr>
          <w:rFonts w:eastAsia="Calibri"/>
          <w:lang w:val="en-ZA"/>
        </w:rPr>
        <w:t>. . . [</w:t>
      </w:r>
      <w:r>
        <w:rPr>
          <w:rFonts w:eastAsia="Calibri"/>
          <w:lang w:val="en-ZA"/>
        </w:rPr>
        <w:t>A</w:t>
      </w:r>
      <w:r w:rsidR="000C351B">
        <w:rPr>
          <w:rFonts w:eastAsia="Calibri"/>
          <w:lang w:val="en-ZA"/>
        </w:rPr>
        <w:t>]</w:t>
      </w:r>
      <w:r>
        <w:rPr>
          <w:rFonts w:eastAsia="Calibri"/>
          <w:lang w:val="en-ZA"/>
        </w:rPr>
        <w:t xml:space="preserve"> lessee is entitled to remission of rent either wholly or in part where he has been prevented either entirely or to a considerable extent in making use of the property for the purposes for which it was let, by some </w:t>
      </w:r>
      <w:r>
        <w:rPr>
          <w:rFonts w:eastAsia="Calibri"/>
          <w:i/>
          <w:iCs/>
          <w:lang w:val="en-ZA"/>
        </w:rPr>
        <w:t>vis major</w:t>
      </w:r>
      <w:r>
        <w:rPr>
          <w:rFonts w:eastAsia="Calibri"/>
          <w:lang w:val="en-ZA"/>
        </w:rPr>
        <w:t xml:space="preserve"> or </w:t>
      </w:r>
      <w:r>
        <w:rPr>
          <w:rFonts w:eastAsia="Calibri"/>
          <w:i/>
          <w:iCs/>
          <w:lang w:val="en-ZA"/>
        </w:rPr>
        <w:t>casus fortuitus,</w:t>
      </w:r>
      <w:r>
        <w:rPr>
          <w:rFonts w:eastAsia="Calibri"/>
          <w:lang w:val="en-ZA"/>
        </w:rPr>
        <w:t xml:space="preserve"> provided always that the loss of enjoyment of the property is the direct and immediate result of the </w:t>
      </w:r>
      <w:r>
        <w:rPr>
          <w:rFonts w:eastAsia="Calibri"/>
          <w:i/>
          <w:iCs/>
          <w:lang w:val="en-ZA"/>
        </w:rPr>
        <w:t>vis major</w:t>
      </w:r>
      <w:r>
        <w:rPr>
          <w:rFonts w:eastAsia="Calibri"/>
          <w:lang w:val="en-ZA"/>
        </w:rPr>
        <w:t xml:space="preserve"> or </w:t>
      </w:r>
      <w:r>
        <w:rPr>
          <w:rFonts w:eastAsia="Calibri"/>
          <w:i/>
          <w:iCs/>
          <w:lang w:val="en-ZA"/>
        </w:rPr>
        <w:t>casus fortuitus</w:t>
      </w:r>
      <w:r>
        <w:rPr>
          <w:rFonts w:eastAsia="Calibri"/>
          <w:lang w:val="en-ZA"/>
        </w:rPr>
        <w:t>, and is not merely indirectly or remotely connected therewith.’</w:t>
      </w:r>
      <w:r>
        <w:rPr>
          <w:rStyle w:val="FootnoteReference"/>
          <w:rFonts w:eastAsia="Calibri"/>
          <w:lang w:val="en-ZA"/>
        </w:rPr>
        <w:footnoteReference w:id="4"/>
      </w:r>
    </w:p>
    <w:p w14:paraId="7D7A7077" w14:textId="77777777" w:rsidR="003D485E" w:rsidRDefault="00EF2EFC" w:rsidP="000C1370">
      <w:pPr>
        <w:spacing w:line="360" w:lineRule="auto"/>
        <w:jc w:val="both"/>
        <w:rPr>
          <w:rFonts w:eastAsia="Calibri"/>
          <w:sz w:val="28"/>
          <w:szCs w:val="28"/>
          <w:lang w:val="en-ZA"/>
        </w:rPr>
      </w:pPr>
      <w:r>
        <w:rPr>
          <w:rFonts w:eastAsia="Calibri"/>
          <w:i/>
          <w:iCs/>
          <w:sz w:val="28"/>
          <w:szCs w:val="28"/>
          <w:lang w:val="en-ZA"/>
        </w:rPr>
        <w:t xml:space="preserve"> </w:t>
      </w:r>
      <w:r w:rsidR="00AE62DB" w:rsidRPr="00B1555D">
        <w:rPr>
          <w:rFonts w:eastAsia="Calibri"/>
          <w:sz w:val="28"/>
          <w:szCs w:val="28"/>
          <w:lang w:val="en-ZA"/>
        </w:rPr>
        <w:t xml:space="preserve"> </w:t>
      </w:r>
    </w:p>
    <w:p w14:paraId="34C55FFD" w14:textId="7B326C39" w:rsidR="00D3645D" w:rsidRPr="00EF2EFC" w:rsidRDefault="00065D22" w:rsidP="000C1370">
      <w:pPr>
        <w:spacing w:line="360" w:lineRule="auto"/>
        <w:jc w:val="both"/>
        <w:rPr>
          <w:rFonts w:eastAsia="Calibri"/>
          <w:sz w:val="28"/>
          <w:szCs w:val="28"/>
          <w:lang w:val="en-ZA"/>
        </w:rPr>
      </w:pPr>
      <w:r w:rsidRPr="00B1555D">
        <w:rPr>
          <w:rFonts w:eastAsia="Calibri"/>
          <w:sz w:val="28"/>
          <w:szCs w:val="28"/>
          <w:lang w:val="en-ZA"/>
        </w:rPr>
        <w:t>[</w:t>
      </w:r>
      <w:r w:rsidR="00C309A8">
        <w:rPr>
          <w:rFonts w:eastAsia="Calibri"/>
          <w:sz w:val="28"/>
          <w:szCs w:val="28"/>
          <w:lang w:val="en-ZA"/>
        </w:rPr>
        <w:t>1</w:t>
      </w:r>
      <w:r w:rsidR="00F3017F">
        <w:rPr>
          <w:rFonts w:eastAsia="Calibri"/>
          <w:sz w:val="28"/>
          <w:szCs w:val="28"/>
          <w:lang w:val="en-ZA"/>
        </w:rPr>
        <w:t>4</w:t>
      </w:r>
      <w:r w:rsidRPr="00B1555D">
        <w:rPr>
          <w:rFonts w:eastAsia="Calibri"/>
          <w:sz w:val="28"/>
          <w:szCs w:val="28"/>
          <w:lang w:val="en-ZA"/>
        </w:rPr>
        <w:t>]</w:t>
      </w:r>
      <w:r w:rsidRPr="00B1555D">
        <w:rPr>
          <w:rFonts w:eastAsia="Calibri"/>
          <w:sz w:val="28"/>
          <w:szCs w:val="28"/>
          <w:lang w:val="en-ZA"/>
        </w:rPr>
        <w:tab/>
      </w:r>
      <w:r w:rsidR="00C309A8">
        <w:rPr>
          <w:rFonts w:eastAsia="Calibri"/>
          <w:sz w:val="28"/>
          <w:szCs w:val="28"/>
          <w:lang w:val="en-ZA"/>
        </w:rPr>
        <w:t>P</w:t>
      </w:r>
      <w:r w:rsidR="00D3645D" w:rsidRPr="00B1555D">
        <w:rPr>
          <w:rFonts w:eastAsia="Calibri"/>
          <w:sz w:val="28"/>
          <w:szCs w:val="28"/>
          <w:lang w:val="en-ZA"/>
        </w:rPr>
        <w:t>arties may limit</w:t>
      </w:r>
      <w:r w:rsidR="007344FF" w:rsidRPr="00B1555D">
        <w:rPr>
          <w:rFonts w:eastAsia="Calibri"/>
          <w:sz w:val="28"/>
          <w:szCs w:val="28"/>
          <w:lang w:val="en-ZA"/>
        </w:rPr>
        <w:t xml:space="preserve"> or exclude</w:t>
      </w:r>
      <w:r w:rsidR="00D3645D" w:rsidRPr="00B1555D">
        <w:rPr>
          <w:rFonts w:eastAsia="Calibri"/>
          <w:sz w:val="28"/>
          <w:szCs w:val="28"/>
          <w:lang w:val="en-ZA"/>
        </w:rPr>
        <w:t xml:space="preserve"> the right to claim remission of rent in circumstances</w:t>
      </w:r>
      <w:r w:rsidR="007344FF" w:rsidRPr="00B1555D">
        <w:rPr>
          <w:rFonts w:eastAsia="Calibri"/>
          <w:sz w:val="28"/>
          <w:szCs w:val="28"/>
          <w:lang w:val="en-ZA"/>
        </w:rPr>
        <w:t xml:space="preserve"> </w:t>
      </w:r>
      <w:r w:rsidR="00000130" w:rsidRPr="00B1555D">
        <w:rPr>
          <w:rFonts w:eastAsia="Calibri"/>
          <w:sz w:val="28"/>
          <w:szCs w:val="28"/>
          <w:lang w:val="en-ZA"/>
        </w:rPr>
        <w:t xml:space="preserve">of </w:t>
      </w:r>
      <w:r w:rsidR="00000130" w:rsidRPr="00B1555D">
        <w:rPr>
          <w:rFonts w:eastAsia="Calibri"/>
          <w:i/>
          <w:iCs/>
          <w:sz w:val="28"/>
          <w:szCs w:val="28"/>
          <w:lang w:val="en-ZA"/>
        </w:rPr>
        <w:t>vis</w:t>
      </w:r>
      <w:r w:rsidR="00D3645D" w:rsidRPr="00B1555D">
        <w:rPr>
          <w:rFonts w:eastAsia="Calibri"/>
          <w:i/>
          <w:iCs/>
          <w:sz w:val="28"/>
          <w:szCs w:val="28"/>
          <w:lang w:val="en-ZA"/>
        </w:rPr>
        <w:t xml:space="preserve"> major.</w:t>
      </w:r>
      <w:r w:rsidR="00D3645D" w:rsidRPr="00B1555D">
        <w:rPr>
          <w:rFonts w:eastAsia="Calibri"/>
          <w:sz w:val="28"/>
          <w:szCs w:val="28"/>
        </w:rPr>
        <w:t xml:space="preserve"> </w:t>
      </w:r>
      <w:r w:rsidR="00000130">
        <w:rPr>
          <w:rFonts w:eastAsia="Calibri"/>
          <w:sz w:val="28"/>
          <w:szCs w:val="28"/>
        </w:rPr>
        <w:t>When construing a</w:t>
      </w:r>
      <w:r w:rsidR="00D3645D" w:rsidRPr="00B1555D">
        <w:rPr>
          <w:rFonts w:eastAsia="Calibri"/>
          <w:sz w:val="28"/>
          <w:szCs w:val="28"/>
        </w:rPr>
        <w:t xml:space="preserve"> lease agreement, it is </w:t>
      </w:r>
      <w:r w:rsidR="00000130">
        <w:rPr>
          <w:rFonts w:eastAsia="Calibri"/>
          <w:sz w:val="28"/>
          <w:szCs w:val="28"/>
        </w:rPr>
        <w:t>assumed</w:t>
      </w:r>
      <w:r w:rsidR="00D3645D" w:rsidRPr="00B1555D">
        <w:rPr>
          <w:rFonts w:eastAsia="Calibri"/>
          <w:sz w:val="28"/>
          <w:szCs w:val="28"/>
        </w:rPr>
        <w:t xml:space="preserve"> that </w:t>
      </w:r>
      <w:r w:rsidR="00000130">
        <w:rPr>
          <w:rFonts w:eastAsia="Calibri"/>
          <w:sz w:val="28"/>
          <w:szCs w:val="28"/>
        </w:rPr>
        <w:t>they</w:t>
      </w:r>
      <w:r w:rsidR="00D3645D" w:rsidRPr="00B1555D">
        <w:rPr>
          <w:rFonts w:eastAsia="Calibri"/>
          <w:sz w:val="28"/>
          <w:szCs w:val="28"/>
        </w:rPr>
        <w:t xml:space="preserve"> intend the operation of principles of the common law. As stated in </w:t>
      </w:r>
      <w:r w:rsidR="00D3645D" w:rsidRPr="00B1555D">
        <w:rPr>
          <w:rFonts w:eastAsia="Calibri"/>
          <w:i/>
          <w:iCs/>
          <w:sz w:val="28"/>
          <w:szCs w:val="28"/>
        </w:rPr>
        <w:t xml:space="preserve">First National Bank </w:t>
      </w:r>
      <w:r w:rsidR="008B5B9D" w:rsidRPr="00B1555D">
        <w:rPr>
          <w:rFonts w:eastAsia="Calibri"/>
          <w:i/>
          <w:iCs/>
          <w:sz w:val="28"/>
          <w:szCs w:val="28"/>
        </w:rPr>
        <w:t xml:space="preserve">of SA </w:t>
      </w:r>
      <w:r w:rsidR="00D3645D" w:rsidRPr="00B1555D">
        <w:rPr>
          <w:rFonts w:eastAsia="Calibri"/>
          <w:i/>
          <w:iCs/>
          <w:sz w:val="28"/>
          <w:szCs w:val="28"/>
        </w:rPr>
        <w:t>Ltd v Rosenblum</w:t>
      </w:r>
      <w:r w:rsidR="000C351B">
        <w:rPr>
          <w:rFonts w:eastAsia="Calibri"/>
          <w:i/>
          <w:iCs/>
          <w:sz w:val="28"/>
          <w:szCs w:val="28"/>
        </w:rPr>
        <w:t xml:space="preserve"> &amp; Another</w:t>
      </w:r>
      <w:r w:rsidR="00D3645D" w:rsidRPr="00B1555D">
        <w:rPr>
          <w:rFonts w:eastAsia="Calibri"/>
          <w:sz w:val="28"/>
          <w:szCs w:val="28"/>
        </w:rPr>
        <w:t xml:space="preserve">, </w:t>
      </w:r>
    </w:p>
    <w:p w14:paraId="01AE7C8B" w14:textId="7783B0FA" w:rsidR="008B5B9D" w:rsidRPr="008F5401" w:rsidRDefault="008B5B9D" w:rsidP="000C1370">
      <w:pPr>
        <w:spacing w:line="360" w:lineRule="auto"/>
        <w:jc w:val="both"/>
        <w:rPr>
          <w:rFonts w:eastAsia="Calibri"/>
          <w:i/>
          <w:iCs/>
        </w:rPr>
      </w:pPr>
      <w:r w:rsidRPr="009761A7">
        <w:rPr>
          <w:rFonts w:eastAsia="Calibri"/>
        </w:rPr>
        <w:t xml:space="preserve">‘In matters of contract the parties are taken to have intended their legal rights and obligations to be </w:t>
      </w:r>
      <w:r w:rsidRPr="00D751EB">
        <w:rPr>
          <w:rFonts w:eastAsia="Calibri"/>
          <w:i/>
        </w:rPr>
        <w:t>governed by the common law unless they plainly and unambiguously indicated the contrary</w:t>
      </w:r>
      <w:r w:rsidRPr="009761A7">
        <w:rPr>
          <w:rFonts w:eastAsia="Calibri"/>
        </w:rPr>
        <w:t>. Where one of the parties wishes to be absolved either wholly or partially from an obligation or liability which would or could arise at common law under a contract of the kind which the parties intend to conclude, it is for that party to ensure that the extent to which he, she or it is to be absolved is plainly spelt out. This strictness of approach is exemplified by the cases in which liability for negligence is under consideration. Thus</w:t>
      </w:r>
      <w:r w:rsidRPr="00D751EB">
        <w:rPr>
          <w:rFonts w:eastAsia="Calibri"/>
          <w:i/>
        </w:rPr>
        <w:t>, even where an exclusionary clause is couched in language</w:t>
      </w:r>
      <w:r w:rsidR="007344FF" w:rsidRPr="00D751EB">
        <w:rPr>
          <w:rFonts w:eastAsia="Calibri"/>
          <w:i/>
        </w:rPr>
        <w:t xml:space="preserve"> sufficiently wide to be capable of excluding liability</w:t>
      </w:r>
      <w:r w:rsidR="007344FF" w:rsidRPr="009761A7">
        <w:rPr>
          <w:rFonts w:eastAsia="Calibri"/>
        </w:rPr>
        <w:t xml:space="preserve"> for a negligent failure to fulfil a contractual obligation or </w:t>
      </w:r>
      <w:r w:rsidR="003A7519">
        <w:rPr>
          <w:rFonts w:eastAsia="Calibri"/>
        </w:rPr>
        <w:t xml:space="preserve">for </w:t>
      </w:r>
      <w:r w:rsidR="007344FF" w:rsidRPr="009761A7">
        <w:rPr>
          <w:rFonts w:eastAsia="Calibri"/>
        </w:rPr>
        <w:t xml:space="preserve">a negligent act or omission, </w:t>
      </w:r>
      <w:r w:rsidR="007344FF" w:rsidRPr="00D751EB">
        <w:rPr>
          <w:rFonts w:eastAsia="Calibri"/>
          <w:i/>
        </w:rPr>
        <w:t>it will not be regarded as doing so if there is another realistic and not fanciful basis</w:t>
      </w:r>
      <w:r w:rsidR="007344FF" w:rsidRPr="009761A7">
        <w:rPr>
          <w:rFonts w:eastAsia="Calibri"/>
        </w:rPr>
        <w:t xml:space="preserve"> of potential liability to which the clause could apply </w:t>
      </w:r>
      <w:r w:rsidR="007344FF" w:rsidRPr="00D751EB">
        <w:rPr>
          <w:rFonts w:eastAsia="Calibri"/>
          <w:i/>
        </w:rPr>
        <w:t>and so have a field of meaningful application</w:t>
      </w:r>
      <w:r w:rsidR="007344FF" w:rsidRPr="009761A7">
        <w:rPr>
          <w:rFonts w:eastAsia="Calibri"/>
        </w:rPr>
        <w:t xml:space="preserve">. (See </w:t>
      </w:r>
      <w:r w:rsidR="003A7519">
        <w:rPr>
          <w:rFonts w:eastAsia="Calibri"/>
        </w:rPr>
        <w:t>[</w:t>
      </w:r>
      <w:r w:rsidR="007344FF" w:rsidRPr="009761A7">
        <w:rPr>
          <w:rFonts w:eastAsia="Calibri"/>
          <w:i/>
          <w:iCs/>
        </w:rPr>
        <w:t>South African Railways and Harbours</w:t>
      </w:r>
      <w:r w:rsidR="003A7519">
        <w:rPr>
          <w:rFonts w:eastAsia="Calibri"/>
          <w:i/>
          <w:iCs/>
        </w:rPr>
        <w:t>]</w:t>
      </w:r>
      <w:r w:rsidR="007344FF" w:rsidRPr="009761A7">
        <w:rPr>
          <w:rFonts w:eastAsia="Calibri"/>
          <w:i/>
          <w:iCs/>
        </w:rPr>
        <w:t xml:space="preserve"> v Lyle Shipping Co Ltd</w:t>
      </w:r>
      <w:r w:rsidR="007344FF" w:rsidRPr="009761A7">
        <w:rPr>
          <w:rFonts w:eastAsia="Calibri"/>
        </w:rPr>
        <w:t xml:space="preserve"> 1958 (3) SA 416 (A) at 419D-E)</w:t>
      </w:r>
      <w:r w:rsidR="003A7519">
        <w:rPr>
          <w:rFonts w:eastAsia="Calibri"/>
        </w:rPr>
        <w:t>.</w:t>
      </w:r>
      <w:r w:rsidR="007344FF" w:rsidRPr="009761A7">
        <w:rPr>
          <w:rFonts w:eastAsia="Calibri"/>
        </w:rPr>
        <w:t>’</w:t>
      </w:r>
      <w:r w:rsidR="008F5401" w:rsidRPr="008F5401">
        <w:rPr>
          <w:rStyle w:val="FootnoteReference"/>
          <w:rFonts w:eastAsia="Calibri"/>
          <w:sz w:val="28"/>
          <w:szCs w:val="28"/>
        </w:rPr>
        <w:footnoteReference w:id="5"/>
      </w:r>
    </w:p>
    <w:p w14:paraId="0D987A90" w14:textId="4B054EA5" w:rsidR="00D3645D" w:rsidRPr="00D751EB" w:rsidRDefault="008F5401" w:rsidP="000C1370">
      <w:pPr>
        <w:spacing w:line="360" w:lineRule="auto"/>
        <w:jc w:val="both"/>
        <w:rPr>
          <w:rFonts w:eastAsia="Calibri"/>
        </w:rPr>
      </w:pPr>
      <w:r w:rsidRPr="00D751EB">
        <w:rPr>
          <w:rFonts w:eastAsia="Calibri"/>
        </w:rPr>
        <w:t>(My emphasis.)</w:t>
      </w:r>
    </w:p>
    <w:p w14:paraId="7B20A353" w14:textId="77777777" w:rsidR="007F12BA" w:rsidRDefault="007F12BA" w:rsidP="000C1370">
      <w:pPr>
        <w:spacing w:line="360" w:lineRule="auto"/>
        <w:jc w:val="both"/>
        <w:rPr>
          <w:rFonts w:eastAsia="Calibri"/>
          <w:sz w:val="28"/>
          <w:szCs w:val="28"/>
        </w:rPr>
      </w:pPr>
    </w:p>
    <w:p w14:paraId="5F2D35E7" w14:textId="0A78E476" w:rsidR="00D13AAA" w:rsidRDefault="00D3645D" w:rsidP="000C1370">
      <w:pPr>
        <w:spacing w:line="360" w:lineRule="auto"/>
        <w:jc w:val="both"/>
        <w:rPr>
          <w:rFonts w:eastAsia="Calibri"/>
          <w:sz w:val="28"/>
          <w:szCs w:val="28"/>
        </w:rPr>
      </w:pPr>
      <w:r w:rsidRPr="00B1555D">
        <w:rPr>
          <w:rFonts w:eastAsia="Calibri"/>
          <w:sz w:val="28"/>
          <w:szCs w:val="28"/>
        </w:rPr>
        <w:lastRenderedPageBreak/>
        <w:t>[</w:t>
      </w:r>
      <w:r w:rsidR="008F5401">
        <w:rPr>
          <w:rFonts w:eastAsia="Calibri"/>
          <w:sz w:val="28"/>
          <w:szCs w:val="28"/>
        </w:rPr>
        <w:t>1</w:t>
      </w:r>
      <w:r w:rsidR="00F3017F">
        <w:rPr>
          <w:rFonts w:eastAsia="Calibri"/>
          <w:sz w:val="28"/>
          <w:szCs w:val="28"/>
        </w:rPr>
        <w:t>5</w:t>
      </w:r>
      <w:r w:rsidRPr="00B1555D">
        <w:rPr>
          <w:rFonts w:eastAsia="Calibri"/>
          <w:sz w:val="28"/>
          <w:szCs w:val="28"/>
        </w:rPr>
        <w:t>]</w:t>
      </w:r>
      <w:r w:rsidRPr="00B1555D">
        <w:rPr>
          <w:rFonts w:eastAsia="Calibri"/>
          <w:sz w:val="28"/>
          <w:szCs w:val="28"/>
        </w:rPr>
        <w:tab/>
      </w:r>
      <w:r w:rsidR="008F5401">
        <w:rPr>
          <w:rFonts w:eastAsia="Calibri"/>
          <w:sz w:val="28"/>
          <w:szCs w:val="28"/>
        </w:rPr>
        <w:t>The Trust</w:t>
      </w:r>
      <w:r w:rsidRPr="00B1555D">
        <w:rPr>
          <w:rFonts w:eastAsia="Calibri"/>
          <w:sz w:val="28"/>
          <w:szCs w:val="28"/>
        </w:rPr>
        <w:t xml:space="preserve"> contended that the lease agreement did not </w:t>
      </w:r>
      <w:r w:rsidR="00EC569E" w:rsidRPr="00B1555D">
        <w:rPr>
          <w:rFonts w:eastAsia="Calibri"/>
          <w:sz w:val="28"/>
          <w:szCs w:val="28"/>
        </w:rPr>
        <w:t xml:space="preserve">envisage a claim for remission of rental. </w:t>
      </w:r>
      <w:r w:rsidR="008F5401">
        <w:rPr>
          <w:rFonts w:eastAsia="Calibri"/>
          <w:sz w:val="28"/>
          <w:szCs w:val="28"/>
        </w:rPr>
        <w:t xml:space="preserve">It based its argument </w:t>
      </w:r>
      <w:r w:rsidR="00F3017F">
        <w:rPr>
          <w:rFonts w:eastAsia="Calibri"/>
          <w:sz w:val="28"/>
          <w:szCs w:val="28"/>
        </w:rPr>
        <w:t xml:space="preserve">on </w:t>
      </w:r>
      <w:r w:rsidR="00A07915">
        <w:rPr>
          <w:rFonts w:eastAsia="Calibri"/>
          <w:sz w:val="28"/>
          <w:szCs w:val="28"/>
        </w:rPr>
        <w:t>the premise that</w:t>
      </w:r>
      <w:r w:rsidR="008F5401">
        <w:rPr>
          <w:rFonts w:eastAsia="Calibri"/>
          <w:sz w:val="28"/>
          <w:szCs w:val="28"/>
        </w:rPr>
        <w:t>,</w:t>
      </w:r>
    </w:p>
    <w:p w14:paraId="53C89488" w14:textId="257E4317" w:rsidR="008F5401" w:rsidRDefault="008F5401" w:rsidP="000C1370">
      <w:pPr>
        <w:spacing w:line="360" w:lineRule="auto"/>
        <w:jc w:val="both"/>
        <w:rPr>
          <w:rFonts w:eastAsia="Calibri"/>
          <w:sz w:val="28"/>
          <w:szCs w:val="28"/>
        </w:rPr>
      </w:pPr>
      <w:r>
        <w:rPr>
          <w:rFonts w:eastAsia="Calibri"/>
          <w:sz w:val="28"/>
          <w:szCs w:val="28"/>
        </w:rPr>
        <w:t>(a)</w:t>
      </w:r>
      <w:r w:rsidR="003A7519">
        <w:rPr>
          <w:rFonts w:eastAsia="Calibri"/>
          <w:sz w:val="28"/>
          <w:szCs w:val="28"/>
        </w:rPr>
        <w:t xml:space="preserve"> </w:t>
      </w:r>
      <w:r>
        <w:rPr>
          <w:rFonts w:eastAsia="Calibri"/>
          <w:sz w:val="28"/>
          <w:szCs w:val="28"/>
        </w:rPr>
        <w:t xml:space="preserve">the lease restricted beneficial </w:t>
      </w:r>
      <w:r w:rsidR="00A07915">
        <w:rPr>
          <w:rFonts w:eastAsia="Calibri"/>
          <w:sz w:val="28"/>
          <w:szCs w:val="28"/>
        </w:rPr>
        <w:t>occupation</w:t>
      </w:r>
      <w:r>
        <w:rPr>
          <w:rFonts w:eastAsia="Calibri"/>
          <w:sz w:val="28"/>
          <w:szCs w:val="28"/>
        </w:rPr>
        <w:t xml:space="preserve"> to physical occupation and </w:t>
      </w:r>
      <w:r w:rsidR="00A07915">
        <w:rPr>
          <w:rFonts w:eastAsia="Calibri"/>
          <w:sz w:val="28"/>
          <w:szCs w:val="28"/>
        </w:rPr>
        <w:t>control.</w:t>
      </w:r>
    </w:p>
    <w:p w14:paraId="436762BD" w14:textId="4353BEDA" w:rsidR="008F5401" w:rsidRDefault="008F5401" w:rsidP="000C1370">
      <w:pPr>
        <w:spacing w:line="360" w:lineRule="auto"/>
        <w:jc w:val="both"/>
        <w:rPr>
          <w:rFonts w:eastAsia="Calibri"/>
          <w:sz w:val="28"/>
          <w:szCs w:val="28"/>
        </w:rPr>
      </w:pPr>
      <w:r>
        <w:rPr>
          <w:rFonts w:eastAsia="Calibri"/>
          <w:sz w:val="28"/>
          <w:szCs w:val="28"/>
        </w:rPr>
        <w:t>(</w:t>
      </w:r>
      <w:r w:rsidR="00F3017F">
        <w:rPr>
          <w:rFonts w:eastAsia="Calibri"/>
          <w:sz w:val="28"/>
          <w:szCs w:val="28"/>
        </w:rPr>
        <w:t>b</w:t>
      </w:r>
      <w:r>
        <w:rPr>
          <w:rFonts w:eastAsia="Calibri"/>
          <w:sz w:val="28"/>
          <w:szCs w:val="28"/>
        </w:rPr>
        <w:t>)</w:t>
      </w:r>
      <w:r w:rsidR="003A7519">
        <w:rPr>
          <w:rFonts w:eastAsia="Calibri"/>
          <w:sz w:val="28"/>
          <w:szCs w:val="28"/>
        </w:rPr>
        <w:t xml:space="preserve"> </w:t>
      </w:r>
      <w:r w:rsidR="00035ABC">
        <w:rPr>
          <w:rFonts w:eastAsia="Calibri"/>
          <w:sz w:val="28"/>
          <w:szCs w:val="28"/>
        </w:rPr>
        <w:t xml:space="preserve">the obligation to pay the base rent was not </w:t>
      </w:r>
      <w:r w:rsidR="00035ABC" w:rsidRPr="004F0A73">
        <w:rPr>
          <w:rFonts w:eastAsia="Calibri"/>
          <w:sz w:val="28"/>
          <w:szCs w:val="28"/>
        </w:rPr>
        <w:t>reciprocal</w:t>
      </w:r>
      <w:r w:rsidR="00CE00E1" w:rsidRPr="004F0A73">
        <w:rPr>
          <w:rFonts w:eastAsia="Calibri"/>
          <w:sz w:val="28"/>
          <w:szCs w:val="28"/>
        </w:rPr>
        <w:t>, as the base rental was payable in advance</w:t>
      </w:r>
      <w:r w:rsidR="00A07915" w:rsidRPr="004F0A73">
        <w:rPr>
          <w:rFonts w:eastAsia="Calibri"/>
          <w:sz w:val="28"/>
          <w:szCs w:val="28"/>
        </w:rPr>
        <w:t>; and</w:t>
      </w:r>
    </w:p>
    <w:p w14:paraId="7F8B0061" w14:textId="64EE8DF6" w:rsidR="00A07915" w:rsidRPr="00A07915" w:rsidRDefault="00A07915" w:rsidP="000C1370">
      <w:pPr>
        <w:spacing w:line="360" w:lineRule="auto"/>
        <w:jc w:val="both"/>
        <w:rPr>
          <w:rFonts w:eastAsia="Calibri"/>
          <w:sz w:val="28"/>
          <w:szCs w:val="28"/>
        </w:rPr>
      </w:pPr>
      <w:r>
        <w:rPr>
          <w:rFonts w:eastAsia="Calibri"/>
          <w:sz w:val="28"/>
          <w:szCs w:val="28"/>
        </w:rPr>
        <w:t>(</w:t>
      </w:r>
      <w:r w:rsidR="004F0A73">
        <w:rPr>
          <w:rFonts w:eastAsia="Calibri"/>
          <w:sz w:val="28"/>
          <w:szCs w:val="28"/>
        </w:rPr>
        <w:t>c</w:t>
      </w:r>
      <w:r>
        <w:rPr>
          <w:rFonts w:eastAsia="Calibri"/>
          <w:sz w:val="28"/>
          <w:szCs w:val="28"/>
        </w:rPr>
        <w:t>)</w:t>
      </w:r>
      <w:r w:rsidR="003A7519">
        <w:rPr>
          <w:rFonts w:eastAsia="Calibri"/>
          <w:sz w:val="28"/>
          <w:szCs w:val="28"/>
        </w:rPr>
        <w:t xml:space="preserve"> </w:t>
      </w:r>
      <w:r w:rsidR="00035ABC">
        <w:rPr>
          <w:rFonts w:eastAsia="Calibri"/>
          <w:sz w:val="28"/>
          <w:szCs w:val="28"/>
        </w:rPr>
        <w:t>the Butcher Shop</w:t>
      </w:r>
      <w:r>
        <w:rPr>
          <w:rFonts w:eastAsia="Calibri"/>
          <w:sz w:val="28"/>
          <w:szCs w:val="28"/>
        </w:rPr>
        <w:t xml:space="preserve"> had assumed the risk of a </w:t>
      </w:r>
      <w:r>
        <w:rPr>
          <w:rFonts w:eastAsia="Calibri"/>
          <w:i/>
          <w:iCs/>
          <w:sz w:val="28"/>
          <w:szCs w:val="28"/>
        </w:rPr>
        <w:t>vis major</w:t>
      </w:r>
      <w:r>
        <w:rPr>
          <w:rFonts w:eastAsia="Calibri"/>
          <w:sz w:val="28"/>
          <w:szCs w:val="28"/>
        </w:rPr>
        <w:t xml:space="preserve"> event such as had occurred.</w:t>
      </w:r>
    </w:p>
    <w:p w14:paraId="2F18E079" w14:textId="77777777" w:rsidR="00D13AAA" w:rsidRPr="00B1555D" w:rsidRDefault="00D13AAA" w:rsidP="000C1370">
      <w:pPr>
        <w:spacing w:line="360" w:lineRule="auto"/>
        <w:jc w:val="both"/>
        <w:rPr>
          <w:rFonts w:eastAsia="Calibri"/>
          <w:sz w:val="28"/>
          <w:szCs w:val="28"/>
        </w:rPr>
      </w:pPr>
    </w:p>
    <w:p w14:paraId="65AB0A78" w14:textId="6036DAF1" w:rsidR="009E7650" w:rsidRPr="00B1555D" w:rsidRDefault="009E7650" w:rsidP="000C1370">
      <w:pPr>
        <w:spacing w:line="360" w:lineRule="auto"/>
        <w:jc w:val="both"/>
        <w:rPr>
          <w:rFonts w:eastAsia="Calibri"/>
          <w:sz w:val="28"/>
          <w:szCs w:val="28"/>
          <w:lang w:val="en-ZA"/>
        </w:rPr>
      </w:pPr>
      <w:r w:rsidRPr="00B1555D">
        <w:rPr>
          <w:rFonts w:eastAsia="Calibri"/>
          <w:sz w:val="28"/>
          <w:szCs w:val="28"/>
          <w:lang w:val="en-ZA"/>
        </w:rPr>
        <w:t>[</w:t>
      </w:r>
      <w:r w:rsidR="00A07915">
        <w:rPr>
          <w:rFonts w:eastAsia="Calibri"/>
          <w:sz w:val="28"/>
          <w:szCs w:val="28"/>
          <w:lang w:val="en-ZA"/>
        </w:rPr>
        <w:t>1</w:t>
      </w:r>
      <w:r w:rsidR="00F3017F">
        <w:rPr>
          <w:rFonts w:eastAsia="Calibri"/>
          <w:sz w:val="28"/>
          <w:szCs w:val="28"/>
          <w:lang w:val="en-ZA"/>
        </w:rPr>
        <w:t>6</w:t>
      </w:r>
      <w:r w:rsidRPr="00B1555D">
        <w:rPr>
          <w:rFonts w:eastAsia="Calibri"/>
          <w:sz w:val="28"/>
          <w:szCs w:val="28"/>
          <w:lang w:val="en-ZA"/>
        </w:rPr>
        <w:t>]</w:t>
      </w:r>
      <w:r w:rsidRPr="00B1555D">
        <w:rPr>
          <w:rFonts w:eastAsia="Calibri"/>
          <w:sz w:val="28"/>
          <w:szCs w:val="28"/>
          <w:lang w:val="en-ZA"/>
        </w:rPr>
        <w:tab/>
        <w:t xml:space="preserve">Clause 1 of the lease defines </w:t>
      </w:r>
      <w:r w:rsidR="00DE3F8C" w:rsidRPr="00B1555D">
        <w:rPr>
          <w:rFonts w:eastAsia="Calibri"/>
          <w:sz w:val="28"/>
          <w:szCs w:val="28"/>
          <w:lang w:val="en-ZA"/>
        </w:rPr>
        <w:t>‘beneficial</w:t>
      </w:r>
      <w:r w:rsidRPr="00B1555D">
        <w:rPr>
          <w:rFonts w:eastAsia="Calibri"/>
          <w:sz w:val="28"/>
          <w:szCs w:val="28"/>
          <w:lang w:val="en-ZA"/>
        </w:rPr>
        <w:t xml:space="preserve"> occupation’ to mean the physical possession and control of the leased premises. It was submitted that the restrictive definition </w:t>
      </w:r>
      <w:r w:rsidR="00A07915">
        <w:rPr>
          <w:rFonts w:eastAsia="Calibri"/>
          <w:sz w:val="28"/>
          <w:szCs w:val="28"/>
          <w:lang w:val="en-ZA"/>
        </w:rPr>
        <w:t xml:space="preserve">reflected an intention to place the lessee </w:t>
      </w:r>
      <w:r w:rsidRPr="00B1555D">
        <w:rPr>
          <w:rFonts w:eastAsia="Calibri"/>
          <w:sz w:val="28"/>
          <w:szCs w:val="28"/>
          <w:lang w:val="en-ZA"/>
        </w:rPr>
        <w:t xml:space="preserve">in physical possession of the premises in exchange for the payment of a base rental. Since </w:t>
      </w:r>
      <w:r w:rsidR="00A07915">
        <w:rPr>
          <w:rFonts w:eastAsia="Calibri"/>
          <w:sz w:val="28"/>
          <w:szCs w:val="28"/>
          <w:lang w:val="en-ZA"/>
        </w:rPr>
        <w:t>the</w:t>
      </w:r>
      <w:r w:rsidRPr="00B1555D">
        <w:rPr>
          <w:rFonts w:eastAsia="Calibri"/>
          <w:sz w:val="28"/>
          <w:szCs w:val="28"/>
          <w:lang w:val="en-ZA"/>
        </w:rPr>
        <w:t xml:space="preserve"> payment of turnover rent</w:t>
      </w:r>
      <w:r w:rsidR="00F3017F">
        <w:rPr>
          <w:rFonts w:eastAsia="Calibri"/>
          <w:sz w:val="28"/>
          <w:szCs w:val="28"/>
          <w:lang w:val="en-ZA"/>
        </w:rPr>
        <w:t xml:space="preserve"> </w:t>
      </w:r>
      <w:r w:rsidR="00A07915">
        <w:rPr>
          <w:rFonts w:eastAsia="Calibri"/>
          <w:sz w:val="28"/>
          <w:szCs w:val="28"/>
          <w:lang w:val="en-ZA"/>
        </w:rPr>
        <w:t>related</w:t>
      </w:r>
      <w:r w:rsidRPr="00B1555D">
        <w:rPr>
          <w:rFonts w:eastAsia="Calibri"/>
          <w:sz w:val="28"/>
          <w:szCs w:val="28"/>
          <w:lang w:val="en-ZA"/>
        </w:rPr>
        <w:t xml:space="preserve"> to the conduct of the </w:t>
      </w:r>
      <w:r w:rsidR="00A07915">
        <w:rPr>
          <w:rFonts w:eastAsia="Calibri"/>
          <w:sz w:val="28"/>
          <w:szCs w:val="28"/>
          <w:lang w:val="en-ZA"/>
        </w:rPr>
        <w:t xml:space="preserve">restaurant </w:t>
      </w:r>
      <w:r w:rsidRPr="00B1555D">
        <w:rPr>
          <w:rFonts w:eastAsia="Calibri"/>
          <w:sz w:val="28"/>
          <w:szCs w:val="28"/>
          <w:lang w:val="en-ZA"/>
        </w:rPr>
        <w:t>business</w:t>
      </w:r>
      <w:r w:rsidR="00A07915">
        <w:rPr>
          <w:rFonts w:eastAsia="Calibri"/>
          <w:sz w:val="28"/>
          <w:szCs w:val="28"/>
          <w:lang w:val="en-ZA"/>
        </w:rPr>
        <w:t xml:space="preserve"> </w:t>
      </w:r>
      <w:r w:rsidR="00F3017F">
        <w:rPr>
          <w:rFonts w:eastAsia="Calibri"/>
          <w:sz w:val="28"/>
          <w:szCs w:val="28"/>
          <w:lang w:val="en-ZA"/>
        </w:rPr>
        <w:t>as</w:t>
      </w:r>
      <w:r w:rsidRPr="00B1555D">
        <w:rPr>
          <w:rFonts w:eastAsia="Calibri"/>
          <w:sz w:val="28"/>
          <w:szCs w:val="28"/>
          <w:lang w:val="en-ZA"/>
        </w:rPr>
        <w:t xml:space="preserve"> a separate charge, the conduct of the business from the premises did not form part of the </w:t>
      </w:r>
      <w:r w:rsidRPr="00B1555D">
        <w:rPr>
          <w:rFonts w:eastAsia="Calibri"/>
          <w:i/>
          <w:iCs/>
          <w:sz w:val="28"/>
          <w:szCs w:val="28"/>
          <w:lang w:val="en-ZA"/>
        </w:rPr>
        <w:t>commodus usus</w:t>
      </w:r>
      <w:r w:rsidRPr="00B1555D">
        <w:rPr>
          <w:rFonts w:eastAsia="Calibri"/>
          <w:sz w:val="28"/>
          <w:szCs w:val="28"/>
          <w:lang w:val="en-ZA"/>
        </w:rPr>
        <w:t xml:space="preserve"> </w:t>
      </w:r>
      <w:r w:rsidR="00F34DC8">
        <w:rPr>
          <w:rFonts w:eastAsia="Calibri"/>
          <w:sz w:val="28"/>
          <w:szCs w:val="28"/>
          <w:lang w:val="en-ZA"/>
        </w:rPr>
        <w:t xml:space="preserve">conferred by </w:t>
      </w:r>
      <w:r w:rsidRPr="00B1555D">
        <w:rPr>
          <w:rFonts w:eastAsia="Calibri"/>
          <w:sz w:val="28"/>
          <w:szCs w:val="28"/>
          <w:lang w:val="en-ZA"/>
        </w:rPr>
        <w:t xml:space="preserve">the lease. </w:t>
      </w:r>
      <w:r w:rsidR="00C27CFA" w:rsidRPr="00B1555D">
        <w:rPr>
          <w:rFonts w:eastAsia="Calibri"/>
          <w:sz w:val="28"/>
          <w:szCs w:val="28"/>
          <w:lang w:val="en-ZA"/>
        </w:rPr>
        <w:t xml:space="preserve">The lease did not contemplate a common </w:t>
      </w:r>
      <w:r w:rsidR="00F34DC8" w:rsidRPr="00B1555D">
        <w:rPr>
          <w:rFonts w:eastAsia="Calibri"/>
          <w:sz w:val="28"/>
          <w:szCs w:val="28"/>
          <w:lang w:val="en-ZA"/>
        </w:rPr>
        <w:t>law-based</w:t>
      </w:r>
      <w:r w:rsidR="00C27CFA" w:rsidRPr="00B1555D">
        <w:rPr>
          <w:rFonts w:eastAsia="Calibri"/>
          <w:sz w:val="28"/>
          <w:szCs w:val="28"/>
          <w:lang w:val="en-ZA"/>
        </w:rPr>
        <w:t xml:space="preserve"> claim for remission of base rental other than provided by clause 34, which deals with the </w:t>
      </w:r>
      <w:r w:rsidR="00F34DC8">
        <w:rPr>
          <w:rFonts w:eastAsia="Calibri"/>
          <w:sz w:val="28"/>
          <w:szCs w:val="28"/>
          <w:lang w:val="en-ZA"/>
        </w:rPr>
        <w:t xml:space="preserve">physical </w:t>
      </w:r>
      <w:r w:rsidR="00C27CFA" w:rsidRPr="00B1555D">
        <w:rPr>
          <w:rFonts w:eastAsia="Calibri"/>
          <w:sz w:val="28"/>
          <w:szCs w:val="28"/>
          <w:lang w:val="en-ZA"/>
        </w:rPr>
        <w:t>destruction of the premises.</w:t>
      </w:r>
    </w:p>
    <w:p w14:paraId="40713555" w14:textId="77777777" w:rsidR="00B67DF1" w:rsidRDefault="00B67DF1" w:rsidP="000C1370">
      <w:pPr>
        <w:spacing w:line="360" w:lineRule="auto"/>
        <w:jc w:val="both"/>
        <w:rPr>
          <w:rFonts w:eastAsia="Calibri"/>
          <w:sz w:val="28"/>
          <w:szCs w:val="28"/>
          <w:lang w:val="en-ZA"/>
        </w:rPr>
      </w:pPr>
    </w:p>
    <w:p w14:paraId="45AFC04F" w14:textId="694F22B6" w:rsidR="00354BFA" w:rsidRPr="00B1555D" w:rsidRDefault="00354BFA" w:rsidP="000C1370">
      <w:pPr>
        <w:spacing w:line="360" w:lineRule="auto"/>
        <w:jc w:val="both"/>
        <w:rPr>
          <w:rFonts w:eastAsia="Calibri"/>
          <w:sz w:val="28"/>
          <w:szCs w:val="28"/>
          <w:lang w:val="en-ZA"/>
        </w:rPr>
      </w:pPr>
      <w:r w:rsidRPr="00B1555D">
        <w:rPr>
          <w:rFonts w:eastAsia="Calibri"/>
          <w:sz w:val="28"/>
          <w:szCs w:val="28"/>
          <w:lang w:val="en-ZA"/>
        </w:rPr>
        <w:t>[</w:t>
      </w:r>
      <w:r w:rsidR="000E339B">
        <w:rPr>
          <w:rFonts w:eastAsia="Calibri"/>
          <w:sz w:val="28"/>
          <w:szCs w:val="28"/>
          <w:lang w:val="en-ZA"/>
        </w:rPr>
        <w:t>1</w:t>
      </w:r>
      <w:r w:rsidR="00F3017F">
        <w:rPr>
          <w:rFonts w:eastAsia="Calibri"/>
          <w:sz w:val="28"/>
          <w:szCs w:val="28"/>
          <w:lang w:val="en-ZA"/>
        </w:rPr>
        <w:t>7</w:t>
      </w:r>
      <w:r w:rsidRPr="00B1555D">
        <w:rPr>
          <w:rFonts w:eastAsia="Calibri"/>
          <w:sz w:val="28"/>
          <w:szCs w:val="28"/>
          <w:lang w:val="en-ZA"/>
        </w:rPr>
        <w:t>]</w:t>
      </w:r>
      <w:r w:rsidRPr="00B1555D">
        <w:rPr>
          <w:rFonts w:eastAsia="Calibri"/>
          <w:sz w:val="28"/>
          <w:szCs w:val="28"/>
          <w:lang w:val="en-ZA"/>
        </w:rPr>
        <w:tab/>
        <w:t xml:space="preserve">The argument </w:t>
      </w:r>
      <w:r w:rsidR="00F34DC8">
        <w:rPr>
          <w:rFonts w:eastAsia="Calibri"/>
          <w:sz w:val="28"/>
          <w:szCs w:val="28"/>
          <w:lang w:val="en-ZA"/>
        </w:rPr>
        <w:t xml:space="preserve">loses sight of the context of the lease agreement construed as a whole. </w:t>
      </w:r>
      <w:r w:rsidRPr="00B1555D">
        <w:rPr>
          <w:rFonts w:eastAsia="Calibri"/>
          <w:sz w:val="28"/>
          <w:szCs w:val="28"/>
          <w:lang w:val="en-ZA"/>
        </w:rPr>
        <w:t xml:space="preserve">The term ‘beneficial occupation’ does not define the use and enjoyment </w:t>
      </w:r>
      <w:r w:rsidR="0031708C">
        <w:rPr>
          <w:rFonts w:eastAsia="Calibri"/>
          <w:sz w:val="28"/>
          <w:szCs w:val="28"/>
          <w:lang w:val="en-ZA"/>
        </w:rPr>
        <w:t>that</w:t>
      </w:r>
      <w:r w:rsidRPr="00B1555D">
        <w:rPr>
          <w:rFonts w:eastAsia="Calibri"/>
          <w:sz w:val="28"/>
          <w:szCs w:val="28"/>
          <w:lang w:val="en-ZA"/>
        </w:rPr>
        <w:t xml:space="preserve"> is conferred by the lease agreement. Clause 3 records that the premises are leased ‘</w:t>
      </w:r>
      <w:r w:rsidR="0031708C">
        <w:rPr>
          <w:rFonts w:eastAsia="Calibri"/>
          <w:sz w:val="28"/>
          <w:szCs w:val="28"/>
          <w:lang w:val="en-ZA"/>
        </w:rPr>
        <w:t>. . .</w:t>
      </w:r>
      <w:r w:rsidRPr="00B1555D">
        <w:rPr>
          <w:rFonts w:eastAsia="Calibri"/>
          <w:sz w:val="28"/>
          <w:szCs w:val="28"/>
          <w:lang w:val="en-ZA"/>
        </w:rPr>
        <w:t>on the terms and conditions set out in the Agreement and Schedules 1 and 2 attached</w:t>
      </w:r>
      <w:r w:rsidR="0031708C">
        <w:rPr>
          <w:rFonts w:eastAsia="Calibri"/>
          <w:sz w:val="28"/>
          <w:szCs w:val="28"/>
          <w:lang w:val="en-ZA"/>
        </w:rPr>
        <w:t xml:space="preserve"> . . . </w:t>
      </w:r>
      <w:r w:rsidRPr="00B1555D">
        <w:rPr>
          <w:rFonts w:eastAsia="Calibri"/>
          <w:sz w:val="28"/>
          <w:szCs w:val="28"/>
          <w:lang w:val="en-ZA"/>
        </w:rPr>
        <w:t xml:space="preserve">’ to the agreement. Schedule 1 deals with the period of the lease and the rates applicable to the calculation of the base and turnover rental. Paragraph 16, under the heading ‘right of use’ </w:t>
      </w:r>
      <w:r w:rsidR="00C41B86">
        <w:rPr>
          <w:rFonts w:eastAsia="Calibri"/>
          <w:sz w:val="28"/>
          <w:szCs w:val="28"/>
          <w:lang w:val="en-ZA"/>
        </w:rPr>
        <w:t>states</w:t>
      </w:r>
      <w:r w:rsidRPr="00B1555D">
        <w:rPr>
          <w:rFonts w:eastAsia="Calibri"/>
          <w:sz w:val="28"/>
          <w:szCs w:val="28"/>
          <w:lang w:val="en-ZA"/>
        </w:rPr>
        <w:t xml:space="preserve"> that</w:t>
      </w:r>
      <w:r w:rsidR="0031708C">
        <w:rPr>
          <w:rFonts w:eastAsia="Calibri"/>
          <w:sz w:val="28"/>
          <w:szCs w:val="28"/>
          <w:lang w:val="en-ZA"/>
        </w:rPr>
        <w:t>:</w:t>
      </w:r>
      <w:r w:rsidRPr="00B1555D">
        <w:rPr>
          <w:rFonts w:eastAsia="Calibri"/>
          <w:sz w:val="28"/>
          <w:szCs w:val="28"/>
          <w:lang w:val="en-ZA"/>
        </w:rPr>
        <w:t xml:space="preserve"> </w:t>
      </w:r>
    </w:p>
    <w:p w14:paraId="326259C7" w14:textId="1B97F75A" w:rsidR="00B67DF1" w:rsidRDefault="00354BFA" w:rsidP="000C1370">
      <w:pPr>
        <w:spacing w:line="360" w:lineRule="auto"/>
        <w:jc w:val="both"/>
        <w:rPr>
          <w:rFonts w:eastAsia="Calibri"/>
          <w:lang w:val="en-ZA"/>
        </w:rPr>
      </w:pPr>
      <w:r w:rsidRPr="00B67DF1">
        <w:rPr>
          <w:rFonts w:eastAsia="Calibri"/>
          <w:lang w:val="en-ZA"/>
        </w:rPr>
        <w:t xml:space="preserve">‘The Tenant will open an upmarket steakhouse, butchery, wine shop in </w:t>
      </w:r>
      <w:r w:rsidR="0031708C">
        <w:rPr>
          <w:rFonts w:eastAsia="Calibri"/>
          <w:lang w:val="en-ZA"/>
        </w:rPr>
        <w:t>s</w:t>
      </w:r>
      <w:r w:rsidRPr="00B67DF1">
        <w:rPr>
          <w:rFonts w:eastAsia="Calibri"/>
          <w:lang w:val="en-ZA"/>
        </w:rPr>
        <w:t xml:space="preserve">ection 1 and will be responsible for all licences and planning submissions required by local or national </w:t>
      </w:r>
      <w:r w:rsidR="0031708C">
        <w:rPr>
          <w:rFonts w:eastAsia="Calibri"/>
          <w:lang w:val="en-ZA"/>
        </w:rPr>
        <w:t>authorities</w:t>
      </w:r>
      <w:r w:rsidRPr="00B67DF1">
        <w:rPr>
          <w:rFonts w:eastAsia="Calibri"/>
          <w:lang w:val="en-ZA"/>
        </w:rPr>
        <w:t>.’</w:t>
      </w:r>
    </w:p>
    <w:p w14:paraId="4227CCED" w14:textId="77777777" w:rsidR="00B67DF1" w:rsidRPr="00B67DF1" w:rsidRDefault="00B67DF1" w:rsidP="000C1370">
      <w:pPr>
        <w:spacing w:line="360" w:lineRule="auto"/>
        <w:jc w:val="both"/>
        <w:rPr>
          <w:rFonts w:eastAsia="Calibri"/>
          <w:lang w:val="en-ZA"/>
        </w:rPr>
      </w:pPr>
    </w:p>
    <w:p w14:paraId="0F5E5FDF" w14:textId="66A0477A" w:rsidR="00354BFA" w:rsidRPr="00B1555D" w:rsidRDefault="009A6270" w:rsidP="000C1370">
      <w:pPr>
        <w:spacing w:line="360" w:lineRule="auto"/>
        <w:jc w:val="both"/>
        <w:rPr>
          <w:rFonts w:eastAsia="Calibri"/>
          <w:sz w:val="28"/>
          <w:szCs w:val="28"/>
          <w:lang w:val="en-ZA"/>
        </w:rPr>
      </w:pPr>
      <w:r w:rsidRPr="00B1555D">
        <w:rPr>
          <w:rFonts w:eastAsia="Calibri"/>
          <w:sz w:val="28"/>
          <w:szCs w:val="28"/>
          <w:lang w:val="en-ZA"/>
        </w:rPr>
        <w:lastRenderedPageBreak/>
        <w:t>[</w:t>
      </w:r>
      <w:r w:rsidR="000E339B">
        <w:rPr>
          <w:rFonts w:eastAsia="Calibri"/>
          <w:sz w:val="28"/>
          <w:szCs w:val="28"/>
          <w:lang w:val="en-ZA"/>
        </w:rPr>
        <w:t>1</w:t>
      </w:r>
      <w:r w:rsidR="00F3017F">
        <w:rPr>
          <w:rFonts w:eastAsia="Calibri"/>
          <w:sz w:val="28"/>
          <w:szCs w:val="28"/>
          <w:lang w:val="en-ZA"/>
        </w:rPr>
        <w:t>8</w:t>
      </w:r>
      <w:r w:rsidRPr="00B1555D">
        <w:rPr>
          <w:rFonts w:eastAsia="Calibri"/>
          <w:sz w:val="28"/>
          <w:szCs w:val="28"/>
          <w:lang w:val="en-ZA"/>
        </w:rPr>
        <w:t>]</w:t>
      </w:r>
      <w:r w:rsidRPr="00B1555D">
        <w:rPr>
          <w:rFonts w:eastAsia="Calibri"/>
          <w:sz w:val="28"/>
          <w:szCs w:val="28"/>
          <w:lang w:val="en-ZA"/>
        </w:rPr>
        <w:tab/>
        <w:t xml:space="preserve">Clause 9.1 states that the </w:t>
      </w:r>
      <w:r w:rsidR="00C41B86">
        <w:rPr>
          <w:rFonts w:eastAsia="Calibri"/>
          <w:sz w:val="28"/>
          <w:szCs w:val="28"/>
          <w:lang w:val="en-ZA"/>
        </w:rPr>
        <w:t>tenan</w:t>
      </w:r>
      <w:r w:rsidRPr="00B1555D">
        <w:rPr>
          <w:rFonts w:eastAsia="Calibri"/>
          <w:sz w:val="28"/>
          <w:szCs w:val="28"/>
          <w:lang w:val="en-ZA"/>
        </w:rPr>
        <w:t xml:space="preserve">t shall not use the leased premises for any purpose </w:t>
      </w:r>
      <w:r w:rsidR="0031708C">
        <w:rPr>
          <w:rFonts w:eastAsia="Calibri"/>
          <w:sz w:val="28"/>
          <w:szCs w:val="28"/>
          <w:lang w:val="en-ZA"/>
        </w:rPr>
        <w:t xml:space="preserve">other </w:t>
      </w:r>
      <w:r w:rsidRPr="00B1555D">
        <w:rPr>
          <w:rFonts w:eastAsia="Calibri"/>
          <w:sz w:val="28"/>
          <w:szCs w:val="28"/>
          <w:lang w:val="en-ZA"/>
        </w:rPr>
        <w:t xml:space="preserve">than that set out in paragraph 16 of Schedule 1. Although clause 9.2 </w:t>
      </w:r>
      <w:r w:rsidR="00C41B86" w:rsidRPr="00B1555D">
        <w:rPr>
          <w:rFonts w:eastAsia="Calibri"/>
          <w:sz w:val="28"/>
          <w:szCs w:val="28"/>
          <w:lang w:val="en-ZA"/>
        </w:rPr>
        <w:t>expressly excludes</w:t>
      </w:r>
      <w:r w:rsidRPr="00B1555D">
        <w:rPr>
          <w:rFonts w:eastAsia="Calibri"/>
          <w:sz w:val="28"/>
          <w:szCs w:val="28"/>
          <w:lang w:val="en-ZA"/>
        </w:rPr>
        <w:t xml:space="preserve"> a warranty that the leased premises ‘has been configured for the purposes</w:t>
      </w:r>
      <w:r w:rsidR="00EE4832" w:rsidRPr="00B1555D">
        <w:rPr>
          <w:rFonts w:eastAsia="Calibri"/>
          <w:sz w:val="28"/>
          <w:szCs w:val="28"/>
          <w:lang w:val="en-ZA"/>
        </w:rPr>
        <w:t xml:space="preserve">’ of </w:t>
      </w:r>
      <w:r w:rsidR="00C41B86" w:rsidRPr="00B1555D">
        <w:rPr>
          <w:rFonts w:eastAsia="Calibri"/>
          <w:sz w:val="28"/>
          <w:szCs w:val="28"/>
          <w:lang w:val="en-ZA"/>
        </w:rPr>
        <w:t>the business</w:t>
      </w:r>
      <w:r w:rsidR="00EE4832" w:rsidRPr="00B1555D">
        <w:rPr>
          <w:rFonts w:eastAsia="Calibri"/>
          <w:sz w:val="28"/>
          <w:szCs w:val="28"/>
          <w:lang w:val="en-ZA"/>
        </w:rPr>
        <w:t xml:space="preserve">, other clauses serve to ensure that the premises may be put to the use contemplated by the lease agreement. </w:t>
      </w:r>
      <w:r w:rsidR="00B81BEC" w:rsidRPr="00B1555D">
        <w:rPr>
          <w:rFonts w:eastAsia="Calibri"/>
          <w:sz w:val="28"/>
          <w:szCs w:val="28"/>
          <w:lang w:val="en-ZA"/>
        </w:rPr>
        <w:t xml:space="preserve">Thus, in clause 9.15 the </w:t>
      </w:r>
      <w:r w:rsidR="00C41B86">
        <w:rPr>
          <w:rFonts w:eastAsia="Calibri"/>
          <w:sz w:val="28"/>
          <w:szCs w:val="28"/>
          <w:lang w:val="en-ZA"/>
        </w:rPr>
        <w:t xml:space="preserve">Trust </w:t>
      </w:r>
      <w:r w:rsidR="00B81BEC" w:rsidRPr="00B1555D">
        <w:rPr>
          <w:rFonts w:eastAsia="Calibri"/>
          <w:sz w:val="28"/>
          <w:szCs w:val="28"/>
          <w:lang w:val="en-ZA"/>
        </w:rPr>
        <w:t xml:space="preserve">warranted that the property had been zoned for the </w:t>
      </w:r>
      <w:r w:rsidR="00C41B86">
        <w:rPr>
          <w:rFonts w:eastAsia="Calibri"/>
          <w:sz w:val="28"/>
          <w:szCs w:val="28"/>
          <w:lang w:val="en-ZA"/>
        </w:rPr>
        <w:t xml:space="preserve">contemplated </w:t>
      </w:r>
      <w:r w:rsidR="00B81BEC" w:rsidRPr="00B1555D">
        <w:rPr>
          <w:rFonts w:eastAsia="Calibri"/>
          <w:sz w:val="28"/>
          <w:szCs w:val="28"/>
          <w:lang w:val="en-ZA"/>
        </w:rPr>
        <w:t>use</w:t>
      </w:r>
      <w:r w:rsidR="00C41B86">
        <w:rPr>
          <w:rFonts w:eastAsia="Calibri"/>
          <w:sz w:val="28"/>
          <w:szCs w:val="28"/>
          <w:lang w:val="en-ZA"/>
        </w:rPr>
        <w:t>.</w:t>
      </w:r>
      <w:r w:rsidR="00B81BEC" w:rsidRPr="00B1555D">
        <w:rPr>
          <w:rFonts w:eastAsia="Calibri"/>
          <w:sz w:val="28"/>
          <w:szCs w:val="28"/>
          <w:lang w:val="en-ZA"/>
        </w:rPr>
        <w:t xml:space="preserve"> C</w:t>
      </w:r>
      <w:r w:rsidR="00716406" w:rsidRPr="00B1555D">
        <w:rPr>
          <w:rFonts w:eastAsia="Calibri"/>
          <w:sz w:val="28"/>
          <w:szCs w:val="28"/>
          <w:lang w:val="en-ZA"/>
        </w:rPr>
        <w:t>lau</w:t>
      </w:r>
      <w:r w:rsidR="00B81BEC" w:rsidRPr="00B1555D">
        <w:rPr>
          <w:rFonts w:eastAsia="Calibri"/>
          <w:sz w:val="28"/>
          <w:szCs w:val="28"/>
          <w:lang w:val="en-ZA"/>
        </w:rPr>
        <w:t xml:space="preserve">se 10.1 contains a similar warranty </w:t>
      </w:r>
      <w:r w:rsidR="00716406" w:rsidRPr="00B1555D">
        <w:rPr>
          <w:rFonts w:eastAsia="Calibri"/>
          <w:sz w:val="28"/>
          <w:szCs w:val="28"/>
          <w:lang w:val="en-ZA"/>
        </w:rPr>
        <w:t>in relation to the body corporate rules of the sectional title scheme.</w:t>
      </w:r>
    </w:p>
    <w:p w14:paraId="3188510F" w14:textId="77777777" w:rsidR="00B67DF1" w:rsidRDefault="00B67DF1" w:rsidP="000C1370">
      <w:pPr>
        <w:spacing w:line="360" w:lineRule="auto"/>
        <w:jc w:val="both"/>
        <w:rPr>
          <w:rFonts w:eastAsia="Calibri"/>
          <w:sz w:val="28"/>
          <w:szCs w:val="28"/>
          <w:lang w:val="en-ZA"/>
        </w:rPr>
      </w:pPr>
    </w:p>
    <w:p w14:paraId="0C1C1D7C" w14:textId="32F9BF64" w:rsidR="00B67DF1" w:rsidRDefault="00716406" w:rsidP="000C1370">
      <w:pPr>
        <w:spacing w:line="360" w:lineRule="auto"/>
        <w:jc w:val="both"/>
        <w:rPr>
          <w:rFonts w:eastAsia="Calibri"/>
          <w:sz w:val="28"/>
          <w:szCs w:val="28"/>
          <w:lang w:val="en-ZA"/>
        </w:rPr>
      </w:pPr>
      <w:r w:rsidRPr="00B1555D">
        <w:rPr>
          <w:rFonts w:eastAsia="Calibri"/>
          <w:sz w:val="28"/>
          <w:szCs w:val="28"/>
          <w:lang w:val="en-ZA"/>
        </w:rPr>
        <w:t>[</w:t>
      </w:r>
      <w:r w:rsidR="00F3017F">
        <w:rPr>
          <w:rFonts w:eastAsia="Calibri"/>
          <w:sz w:val="28"/>
          <w:szCs w:val="28"/>
          <w:lang w:val="en-ZA"/>
        </w:rPr>
        <w:t>19</w:t>
      </w:r>
      <w:r w:rsidRPr="00B1555D">
        <w:rPr>
          <w:rFonts w:eastAsia="Calibri"/>
          <w:sz w:val="28"/>
          <w:szCs w:val="28"/>
          <w:lang w:val="en-ZA"/>
        </w:rPr>
        <w:t>]</w:t>
      </w:r>
      <w:r w:rsidRPr="00B1555D">
        <w:rPr>
          <w:rFonts w:eastAsia="Calibri"/>
          <w:sz w:val="28"/>
          <w:szCs w:val="28"/>
          <w:lang w:val="en-ZA"/>
        </w:rPr>
        <w:tab/>
        <w:t xml:space="preserve">These provisions </w:t>
      </w:r>
      <w:r w:rsidR="00C41B86">
        <w:rPr>
          <w:rFonts w:eastAsia="Calibri"/>
          <w:sz w:val="28"/>
          <w:szCs w:val="28"/>
          <w:lang w:val="en-ZA"/>
        </w:rPr>
        <w:t xml:space="preserve">plainly and unambiguously </w:t>
      </w:r>
      <w:r w:rsidRPr="00B1555D">
        <w:rPr>
          <w:rFonts w:eastAsia="Calibri"/>
          <w:sz w:val="28"/>
          <w:szCs w:val="28"/>
          <w:lang w:val="en-ZA"/>
        </w:rPr>
        <w:t>indicate that the property was let for the purpose of conducting a restaurant business from the premises</w:t>
      </w:r>
      <w:r w:rsidRPr="005F5049">
        <w:rPr>
          <w:rFonts w:eastAsia="Calibri"/>
          <w:sz w:val="28"/>
          <w:szCs w:val="28"/>
          <w:lang w:val="en-ZA"/>
        </w:rPr>
        <w:t xml:space="preserve">. The term ‘beneficial occupation’ therefore did not restrict the use and enjoyment </w:t>
      </w:r>
      <w:r w:rsidR="00C41B86" w:rsidRPr="005F5049">
        <w:rPr>
          <w:rFonts w:eastAsia="Calibri"/>
          <w:sz w:val="28"/>
          <w:szCs w:val="28"/>
          <w:lang w:val="en-ZA"/>
        </w:rPr>
        <w:t>of the property</w:t>
      </w:r>
      <w:r w:rsidRPr="005F5049">
        <w:rPr>
          <w:rFonts w:eastAsia="Calibri"/>
          <w:sz w:val="28"/>
          <w:szCs w:val="28"/>
          <w:lang w:val="en-ZA"/>
        </w:rPr>
        <w:t xml:space="preserve"> to mere physical occupation and possession.</w:t>
      </w:r>
      <w:r w:rsidR="00C41B86">
        <w:rPr>
          <w:rFonts w:eastAsia="Calibri"/>
          <w:sz w:val="28"/>
          <w:szCs w:val="28"/>
          <w:lang w:val="en-ZA"/>
        </w:rPr>
        <w:t xml:space="preserve"> </w:t>
      </w:r>
      <w:r w:rsidRPr="00B1555D">
        <w:rPr>
          <w:rFonts w:eastAsia="Calibri"/>
          <w:sz w:val="28"/>
          <w:szCs w:val="28"/>
          <w:lang w:val="en-ZA"/>
        </w:rPr>
        <w:t>The context</w:t>
      </w:r>
      <w:r w:rsidR="00C41B86">
        <w:rPr>
          <w:rFonts w:eastAsia="Calibri"/>
          <w:sz w:val="28"/>
          <w:szCs w:val="28"/>
          <w:lang w:val="en-ZA"/>
        </w:rPr>
        <w:t>, furthermore,</w:t>
      </w:r>
      <w:r w:rsidR="00A529CD" w:rsidRPr="00B1555D">
        <w:rPr>
          <w:rFonts w:eastAsia="Calibri"/>
          <w:sz w:val="28"/>
          <w:szCs w:val="28"/>
          <w:lang w:val="en-ZA"/>
        </w:rPr>
        <w:t xml:space="preserve"> indicates that </w:t>
      </w:r>
      <w:r w:rsidR="00C41B86">
        <w:rPr>
          <w:rFonts w:eastAsia="Calibri"/>
          <w:sz w:val="28"/>
          <w:szCs w:val="28"/>
          <w:lang w:val="en-ZA"/>
        </w:rPr>
        <w:t>beneficial</w:t>
      </w:r>
      <w:r w:rsidR="00A529CD" w:rsidRPr="00B1555D">
        <w:rPr>
          <w:rFonts w:eastAsia="Calibri"/>
          <w:sz w:val="28"/>
          <w:szCs w:val="28"/>
          <w:lang w:val="en-ZA"/>
        </w:rPr>
        <w:t xml:space="preserve"> occupation </w:t>
      </w:r>
      <w:r w:rsidR="00C41B86">
        <w:rPr>
          <w:rFonts w:eastAsia="Calibri"/>
          <w:sz w:val="28"/>
          <w:szCs w:val="28"/>
          <w:lang w:val="en-ZA"/>
        </w:rPr>
        <w:t>was</w:t>
      </w:r>
      <w:r w:rsidR="00A529CD" w:rsidRPr="00B1555D">
        <w:rPr>
          <w:rFonts w:eastAsia="Calibri"/>
          <w:sz w:val="28"/>
          <w:szCs w:val="28"/>
          <w:lang w:val="en-ZA"/>
        </w:rPr>
        <w:t xml:space="preserve"> given in order to </w:t>
      </w:r>
      <w:r w:rsidR="00C41B86">
        <w:rPr>
          <w:rFonts w:eastAsia="Calibri"/>
          <w:sz w:val="28"/>
          <w:szCs w:val="28"/>
          <w:lang w:val="en-ZA"/>
        </w:rPr>
        <w:t xml:space="preserve">allow </w:t>
      </w:r>
      <w:r w:rsidR="00A529CD" w:rsidRPr="00B1555D">
        <w:rPr>
          <w:rFonts w:eastAsia="Calibri"/>
          <w:sz w:val="28"/>
          <w:szCs w:val="28"/>
          <w:lang w:val="en-ZA"/>
        </w:rPr>
        <w:t xml:space="preserve">the </w:t>
      </w:r>
      <w:r w:rsidR="00C41B86">
        <w:rPr>
          <w:rFonts w:eastAsia="Calibri"/>
          <w:sz w:val="28"/>
          <w:szCs w:val="28"/>
          <w:lang w:val="en-ZA"/>
        </w:rPr>
        <w:t>fitting-out of</w:t>
      </w:r>
      <w:r w:rsidR="00A529CD" w:rsidRPr="00B1555D">
        <w:rPr>
          <w:rFonts w:eastAsia="Calibri"/>
          <w:sz w:val="28"/>
          <w:szCs w:val="28"/>
          <w:lang w:val="en-ZA"/>
        </w:rPr>
        <w:t xml:space="preserve"> </w:t>
      </w:r>
      <w:r w:rsidR="00AE614E" w:rsidRPr="00B1555D">
        <w:rPr>
          <w:rFonts w:eastAsia="Calibri"/>
          <w:sz w:val="28"/>
          <w:szCs w:val="28"/>
          <w:lang w:val="en-ZA"/>
        </w:rPr>
        <w:t xml:space="preserve">the </w:t>
      </w:r>
      <w:r w:rsidR="00A529CD" w:rsidRPr="00B1555D">
        <w:rPr>
          <w:rFonts w:eastAsia="Calibri"/>
          <w:sz w:val="28"/>
          <w:szCs w:val="28"/>
          <w:lang w:val="en-ZA"/>
        </w:rPr>
        <w:t>premises as a restaurant</w:t>
      </w:r>
      <w:r w:rsidR="00C41B86">
        <w:rPr>
          <w:rFonts w:eastAsia="Calibri"/>
          <w:sz w:val="28"/>
          <w:szCs w:val="28"/>
          <w:lang w:val="en-ZA"/>
        </w:rPr>
        <w:t>,</w:t>
      </w:r>
      <w:r w:rsidR="00A529CD" w:rsidRPr="00B1555D">
        <w:rPr>
          <w:rFonts w:eastAsia="Calibri"/>
          <w:sz w:val="28"/>
          <w:szCs w:val="28"/>
          <w:lang w:val="en-ZA"/>
        </w:rPr>
        <w:t xml:space="preserve"> prior to the commencement of trading. </w:t>
      </w:r>
      <w:r w:rsidR="00C41B86">
        <w:rPr>
          <w:rFonts w:eastAsia="Calibri"/>
          <w:sz w:val="28"/>
          <w:szCs w:val="28"/>
          <w:lang w:val="en-ZA"/>
        </w:rPr>
        <w:t>T</w:t>
      </w:r>
      <w:r w:rsidR="00A529CD" w:rsidRPr="00B1555D">
        <w:rPr>
          <w:rFonts w:eastAsia="Calibri"/>
          <w:sz w:val="28"/>
          <w:szCs w:val="28"/>
          <w:lang w:val="en-ZA"/>
        </w:rPr>
        <w:t xml:space="preserve">he responsibility for the fitting out of the premises, the installation of electrical, gas and other services was </w:t>
      </w:r>
      <w:r w:rsidR="00C41B86">
        <w:rPr>
          <w:rFonts w:eastAsia="Calibri"/>
          <w:sz w:val="28"/>
          <w:szCs w:val="28"/>
          <w:lang w:val="en-ZA"/>
        </w:rPr>
        <w:t>that</w:t>
      </w:r>
      <w:r w:rsidR="00A529CD" w:rsidRPr="00B1555D">
        <w:rPr>
          <w:rFonts w:eastAsia="Calibri"/>
          <w:sz w:val="28"/>
          <w:szCs w:val="28"/>
          <w:lang w:val="en-ZA"/>
        </w:rPr>
        <w:t xml:space="preserve"> of the </w:t>
      </w:r>
      <w:r w:rsidR="00C41B86">
        <w:rPr>
          <w:rFonts w:eastAsia="Calibri"/>
          <w:sz w:val="28"/>
          <w:szCs w:val="28"/>
          <w:lang w:val="en-ZA"/>
        </w:rPr>
        <w:t>Butcher Shop</w:t>
      </w:r>
      <w:r w:rsidR="00A529CD" w:rsidRPr="00B1555D">
        <w:rPr>
          <w:rFonts w:eastAsia="Calibri"/>
          <w:sz w:val="28"/>
          <w:szCs w:val="28"/>
          <w:lang w:val="en-ZA"/>
        </w:rPr>
        <w:t xml:space="preserve">. </w:t>
      </w:r>
      <w:r w:rsidR="00C41B86">
        <w:rPr>
          <w:rFonts w:eastAsia="Calibri"/>
          <w:sz w:val="28"/>
          <w:szCs w:val="28"/>
          <w:lang w:val="en-ZA"/>
        </w:rPr>
        <w:t>It</w:t>
      </w:r>
      <w:r w:rsidR="00AE614E" w:rsidRPr="00B1555D">
        <w:rPr>
          <w:rFonts w:eastAsia="Calibri"/>
          <w:sz w:val="28"/>
          <w:szCs w:val="28"/>
          <w:lang w:val="en-ZA"/>
        </w:rPr>
        <w:t xml:space="preserve"> was obliged to submit building plans to the local authority </w:t>
      </w:r>
      <w:r w:rsidR="00F33075" w:rsidRPr="00B1555D">
        <w:rPr>
          <w:rFonts w:eastAsia="Calibri"/>
          <w:sz w:val="28"/>
          <w:szCs w:val="28"/>
          <w:lang w:val="en-ZA"/>
        </w:rPr>
        <w:t>for</w:t>
      </w:r>
      <w:r w:rsidR="00AE614E" w:rsidRPr="00B1555D">
        <w:rPr>
          <w:rFonts w:eastAsia="Calibri"/>
          <w:sz w:val="28"/>
          <w:szCs w:val="28"/>
          <w:lang w:val="en-ZA"/>
        </w:rPr>
        <w:t xml:space="preserve"> approval</w:t>
      </w:r>
      <w:r w:rsidR="00C41B86">
        <w:rPr>
          <w:rFonts w:eastAsia="Calibri"/>
          <w:sz w:val="28"/>
          <w:szCs w:val="28"/>
          <w:lang w:val="en-ZA"/>
        </w:rPr>
        <w:t xml:space="preserve">. </w:t>
      </w:r>
      <w:r w:rsidR="00AE614E" w:rsidRPr="00B1555D">
        <w:rPr>
          <w:rFonts w:eastAsia="Calibri"/>
          <w:sz w:val="28"/>
          <w:szCs w:val="28"/>
          <w:lang w:val="en-ZA"/>
        </w:rPr>
        <w:t xml:space="preserve">To this end provision was made for a power of attorney given to the </w:t>
      </w:r>
      <w:r w:rsidR="00C41B86">
        <w:rPr>
          <w:rFonts w:eastAsia="Calibri"/>
          <w:sz w:val="28"/>
          <w:szCs w:val="28"/>
          <w:lang w:val="en-ZA"/>
        </w:rPr>
        <w:t>Butcher Shop</w:t>
      </w:r>
      <w:r w:rsidR="00AE614E" w:rsidRPr="00B1555D">
        <w:rPr>
          <w:rFonts w:eastAsia="Calibri"/>
          <w:sz w:val="28"/>
          <w:szCs w:val="28"/>
          <w:lang w:val="en-ZA"/>
        </w:rPr>
        <w:t xml:space="preserve"> to authorise submission of the plans. Common sense dictates that physical occupation and control of the leased premises would necessarily be required in order </w:t>
      </w:r>
      <w:r w:rsidR="00AE614E" w:rsidRPr="004F0A73">
        <w:rPr>
          <w:rFonts w:eastAsia="Calibri"/>
          <w:sz w:val="28"/>
          <w:szCs w:val="28"/>
          <w:lang w:val="en-ZA"/>
        </w:rPr>
        <w:t xml:space="preserve">to </w:t>
      </w:r>
      <w:r w:rsidR="00E0529A" w:rsidRPr="004F0A73">
        <w:rPr>
          <w:rFonts w:eastAsia="Calibri"/>
          <w:sz w:val="28"/>
          <w:szCs w:val="28"/>
          <w:lang w:val="en-ZA"/>
        </w:rPr>
        <w:t>enable the Butcher Shop</w:t>
      </w:r>
      <w:r w:rsidR="00E0529A">
        <w:rPr>
          <w:rFonts w:eastAsia="Calibri"/>
          <w:sz w:val="28"/>
          <w:szCs w:val="28"/>
          <w:lang w:val="en-ZA"/>
        </w:rPr>
        <w:t xml:space="preserve"> to </w:t>
      </w:r>
      <w:r w:rsidR="0094027C">
        <w:rPr>
          <w:rFonts w:eastAsia="Calibri"/>
          <w:sz w:val="28"/>
          <w:szCs w:val="28"/>
          <w:lang w:val="en-ZA"/>
        </w:rPr>
        <w:t>carry out</w:t>
      </w:r>
      <w:r w:rsidR="00AE614E" w:rsidRPr="00B1555D">
        <w:rPr>
          <w:rFonts w:eastAsia="Calibri"/>
          <w:sz w:val="28"/>
          <w:szCs w:val="28"/>
          <w:lang w:val="en-ZA"/>
        </w:rPr>
        <w:t xml:space="preserve"> its obligations in the development of the premises.</w:t>
      </w:r>
    </w:p>
    <w:p w14:paraId="396AF3C6" w14:textId="77777777" w:rsidR="00B67DF1" w:rsidRDefault="00B67DF1" w:rsidP="000C1370">
      <w:pPr>
        <w:spacing w:line="360" w:lineRule="auto"/>
        <w:jc w:val="both"/>
        <w:rPr>
          <w:rFonts w:eastAsia="Calibri"/>
          <w:sz w:val="28"/>
          <w:szCs w:val="28"/>
          <w:lang w:val="en-ZA"/>
        </w:rPr>
      </w:pPr>
    </w:p>
    <w:p w14:paraId="359D1193" w14:textId="7F8081B4" w:rsidR="00AE614E" w:rsidRPr="00B1555D" w:rsidRDefault="00AE614E" w:rsidP="000C1370">
      <w:pPr>
        <w:spacing w:line="360" w:lineRule="auto"/>
        <w:jc w:val="both"/>
        <w:rPr>
          <w:rFonts w:eastAsia="Calibri"/>
          <w:sz w:val="28"/>
          <w:szCs w:val="28"/>
          <w:lang w:val="en-ZA"/>
        </w:rPr>
      </w:pPr>
      <w:r w:rsidRPr="00B1555D">
        <w:rPr>
          <w:rFonts w:eastAsia="Calibri"/>
          <w:sz w:val="28"/>
          <w:szCs w:val="28"/>
          <w:lang w:val="en-ZA"/>
        </w:rPr>
        <w:t>[</w:t>
      </w:r>
      <w:r w:rsidR="0094027C">
        <w:rPr>
          <w:rFonts w:eastAsia="Calibri"/>
          <w:sz w:val="28"/>
          <w:szCs w:val="28"/>
          <w:lang w:val="en-ZA"/>
        </w:rPr>
        <w:t>2</w:t>
      </w:r>
      <w:r w:rsidR="00F3017F">
        <w:rPr>
          <w:rFonts w:eastAsia="Calibri"/>
          <w:sz w:val="28"/>
          <w:szCs w:val="28"/>
          <w:lang w:val="en-ZA"/>
        </w:rPr>
        <w:t>0</w:t>
      </w:r>
      <w:r w:rsidRPr="00B1555D">
        <w:rPr>
          <w:rFonts w:eastAsia="Calibri"/>
          <w:sz w:val="28"/>
          <w:szCs w:val="28"/>
          <w:lang w:val="en-ZA"/>
        </w:rPr>
        <w:t>]</w:t>
      </w:r>
      <w:r w:rsidRPr="00B1555D">
        <w:rPr>
          <w:rFonts w:eastAsia="Calibri"/>
          <w:sz w:val="28"/>
          <w:szCs w:val="28"/>
          <w:lang w:val="en-ZA"/>
        </w:rPr>
        <w:tab/>
        <w:t xml:space="preserve">The beneficial occupation date </w:t>
      </w:r>
      <w:r w:rsidR="0094027C">
        <w:rPr>
          <w:rFonts w:eastAsia="Calibri"/>
          <w:sz w:val="28"/>
          <w:szCs w:val="28"/>
          <w:lang w:val="en-ZA"/>
        </w:rPr>
        <w:t>was set</w:t>
      </w:r>
      <w:r w:rsidRPr="00B1555D">
        <w:rPr>
          <w:rFonts w:eastAsia="Calibri"/>
          <w:sz w:val="28"/>
          <w:szCs w:val="28"/>
          <w:lang w:val="en-ZA"/>
        </w:rPr>
        <w:t xml:space="preserve"> </w:t>
      </w:r>
      <w:r w:rsidR="0094027C">
        <w:rPr>
          <w:rFonts w:eastAsia="Calibri"/>
          <w:sz w:val="28"/>
          <w:szCs w:val="28"/>
          <w:lang w:val="en-ZA"/>
        </w:rPr>
        <w:t>as</w:t>
      </w:r>
      <w:r w:rsidRPr="00B1555D">
        <w:rPr>
          <w:rFonts w:eastAsia="Calibri"/>
          <w:sz w:val="28"/>
          <w:szCs w:val="28"/>
          <w:lang w:val="en-ZA"/>
        </w:rPr>
        <w:t xml:space="preserve"> the first business day after the last of </w:t>
      </w:r>
      <w:r w:rsidR="00F1224F" w:rsidRPr="00B1555D">
        <w:rPr>
          <w:rFonts w:eastAsia="Calibri"/>
          <w:sz w:val="28"/>
          <w:szCs w:val="28"/>
          <w:lang w:val="en-ZA"/>
        </w:rPr>
        <w:t xml:space="preserve">three identified documents </w:t>
      </w:r>
      <w:r w:rsidR="0094027C">
        <w:rPr>
          <w:rFonts w:eastAsia="Calibri"/>
          <w:sz w:val="28"/>
          <w:szCs w:val="28"/>
          <w:lang w:val="en-ZA"/>
        </w:rPr>
        <w:t>were</w:t>
      </w:r>
      <w:r w:rsidR="00F1224F" w:rsidRPr="00B1555D">
        <w:rPr>
          <w:rFonts w:eastAsia="Calibri"/>
          <w:sz w:val="28"/>
          <w:szCs w:val="28"/>
          <w:lang w:val="en-ZA"/>
        </w:rPr>
        <w:t xml:space="preserve"> delivered</w:t>
      </w:r>
      <w:r w:rsidR="0094027C">
        <w:rPr>
          <w:rFonts w:eastAsia="Calibri"/>
          <w:sz w:val="28"/>
          <w:szCs w:val="28"/>
          <w:lang w:val="en-ZA"/>
        </w:rPr>
        <w:t>.</w:t>
      </w:r>
      <w:r w:rsidR="00F1224F" w:rsidRPr="00B1555D">
        <w:rPr>
          <w:rFonts w:eastAsia="Calibri"/>
          <w:sz w:val="28"/>
          <w:szCs w:val="28"/>
          <w:lang w:val="en-ZA"/>
        </w:rPr>
        <w:t xml:space="preserve"> These </w:t>
      </w:r>
      <w:r w:rsidR="0094027C">
        <w:rPr>
          <w:rFonts w:eastAsia="Calibri"/>
          <w:sz w:val="28"/>
          <w:szCs w:val="28"/>
          <w:lang w:val="en-ZA"/>
        </w:rPr>
        <w:t>were</w:t>
      </w:r>
      <w:r w:rsidR="00F1224F" w:rsidRPr="00B1555D">
        <w:rPr>
          <w:rFonts w:eastAsia="Calibri"/>
          <w:sz w:val="28"/>
          <w:szCs w:val="28"/>
          <w:lang w:val="en-ZA"/>
        </w:rPr>
        <w:t xml:space="preserve"> the power of attorney </w:t>
      </w:r>
      <w:r w:rsidR="0094027C">
        <w:rPr>
          <w:rFonts w:eastAsia="Calibri"/>
          <w:sz w:val="28"/>
          <w:szCs w:val="28"/>
          <w:lang w:val="en-ZA"/>
        </w:rPr>
        <w:t xml:space="preserve">referred to above; </w:t>
      </w:r>
      <w:r w:rsidR="0094027C" w:rsidRPr="00B1555D">
        <w:rPr>
          <w:rFonts w:eastAsia="Calibri"/>
          <w:sz w:val="28"/>
          <w:szCs w:val="28"/>
          <w:lang w:val="en-ZA"/>
        </w:rPr>
        <w:t>a</w:t>
      </w:r>
      <w:r w:rsidR="00F1224F" w:rsidRPr="00B1555D">
        <w:rPr>
          <w:rFonts w:eastAsia="Calibri"/>
          <w:sz w:val="28"/>
          <w:szCs w:val="28"/>
          <w:lang w:val="en-ZA"/>
        </w:rPr>
        <w:t xml:space="preserve"> practical completion certificate issued by an architect; and a partial occupation certificate. This latter certificate was defined to mean</w:t>
      </w:r>
      <w:r w:rsidR="00AF0A76">
        <w:rPr>
          <w:rFonts w:eastAsia="Calibri"/>
          <w:sz w:val="28"/>
          <w:szCs w:val="28"/>
          <w:lang w:val="en-ZA"/>
        </w:rPr>
        <w:t>:</w:t>
      </w:r>
    </w:p>
    <w:p w14:paraId="31D5BFF3" w14:textId="07F18792" w:rsidR="00F1224F" w:rsidRPr="00B67DF1" w:rsidRDefault="00F1224F" w:rsidP="000C1370">
      <w:pPr>
        <w:spacing w:line="360" w:lineRule="auto"/>
        <w:jc w:val="both"/>
        <w:rPr>
          <w:rFonts w:eastAsia="Calibri"/>
          <w:lang w:val="en-ZA"/>
        </w:rPr>
      </w:pPr>
      <w:r w:rsidRPr="00B67DF1">
        <w:rPr>
          <w:rFonts w:eastAsia="Calibri"/>
          <w:lang w:val="en-ZA"/>
        </w:rPr>
        <w:lastRenderedPageBreak/>
        <w:t>‘a letter of consent issued by the Landlord … or a certificate/</w:t>
      </w:r>
      <w:r w:rsidR="00AF0A76" w:rsidRPr="00AF0A76">
        <w:rPr>
          <w:rFonts w:eastAsia="Calibri"/>
          <w:lang w:val="en-ZA"/>
        </w:rPr>
        <w:t xml:space="preserve"> </w:t>
      </w:r>
      <w:r w:rsidR="00AF0A76" w:rsidRPr="00B67DF1">
        <w:rPr>
          <w:rFonts w:eastAsia="Calibri"/>
          <w:lang w:val="en-ZA"/>
        </w:rPr>
        <w:t>approval</w:t>
      </w:r>
      <w:r w:rsidR="00AF0A76">
        <w:rPr>
          <w:rFonts w:eastAsia="Calibri"/>
          <w:lang w:val="en-ZA"/>
        </w:rPr>
        <w:t>/</w:t>
      </w:r>
      <w:r w:rsidRPr="00B67DF1">
        <w:rPr>
          <w:rFonts w:eastAsia="Calibri"/>
          <w:lang w:val="en-ZA"/>
        </w:rPr>
        <w:t>consent issued</w:t>
      </w:r>
      <w:r w:rsidR="00AF0A76">
        <w:rPr>
          <w:rFonts w:eastAsia="Calibri"/>
          <w:lang w:val="en-ZA"/>
        </w:rPr>
        <w:t xml:space="preserve"> . . . </w:t>
      </w:r>
      <w:r w:rsidRPr="00B67DF1">
        <w:rPr>
          <w:rFonts w:eastAsia="Calibri"/>
          <w:lang w:val="en-ZA"/>
        </w:rPr>
        <w:t>as may be required which allows the Tenant to commence its fit out of the Leased Premises by allowing the Tenant’s contractors and other professionals access to the Building, Property and Leased Premises…</w:t>
      </w:r>
      <w:r w:rsidR="00AF0A76">
        <w:rPr>
          <w:rFonts w:eastAsia="Calibri"/>
          <w:lang w:val="en-ZA"/>
        </w:rPr>
        <w:t>.</w:t>
      </w:r>
      <w:r w:rsidRPr="00B67DF1">
        <w:rPr>
          <w:rFonts w:eastAsia="Calibri"/>
          <w:lang w:val="en-ZA"/>
        </w:rPr>
        <w:t>’</w:t>
      </w:r>
    </w:p>
    <w:p w14:paraId="3AC98B14" w14:textId="60E95DDF" w:rsidR="00F1224F" w:rsidRPr="00B1555D" w:rsidRDefault="00F1224F" w:rsidP="000C1370">
      <w:pPr>
        <w:spacing w:line="360" w:lineRule="auto"/>
        <w:jc w:val="both"/>
        <w:rPr>
          <w:rFonts w:eastAsia="Calibri"/>
          <w:sz w:val="28"/>
          <w:szCs w:val="28"/>
          <w:lang w:val="en-ZA"/>
        </w:rPr>
      </w:pPr>
    </w:p>
    <w:p w14:paraId="6E10355F" w14:textId="369AD967" w:rsidR="00150E73" w:rsidRPr="00B1555D" w:rsidRDefault="000C4E7C" w:rsidP="000C1370">
      <w:pPr>
        <w:spacing w:line="360" w:lineRule="auto"/>
        <w:jc w:val="both"/>
        <w:rPr>
          <w:rFonts w:eastAsia="Calibri"/>
          <w:sz w:val="28"/>
          <w:szCs w:val="28"/>
          <w:lang w:val="en-ZA"/>
        </w:rPr>
      </w:pPr>
      <w:r w:rsidRPr="00B1555D">
        <w:rPr>
          <w:rFonts w:eastAsia="Calibri"/>
          <w:sz w:val="28"/>
          <w:szCs w:val="28"/>
          <w:lang w:val="en-ZA"/>
        </w:rPr>
        <w:t>[</w:t>
      </w:r>
      <w:r w:rsidR="0094027C">
        <w:rPr>
          <w:rFonts w:eastAsia="Calibri"/>
          <w:sz w:val="28"/>
          <w:szCs w:val="28"/>
          <w:lang w:val="en-ZA"/>
        </w:rPr>
        <w:t>2</w:t>
      </w:r>
      <w:r w:rsidR="00F3017F">
        <w:rPr>
          <w:rFonts w:eastAsia="Calibri"/>
          <w:sz w:val="28"/>
          <w:szCs w:val="28"/>
          <w:lang w:val="en-ZA"/>
        </w:rPr>
        <w:t>1</w:t>
      </w:r>
      <w:r w:rsidRPr="00B1555D">
        <w:rPr>
          <w:rFonts w:eastAsia="Calibri"/>
          <w:sz w:val="28"/>
          <w:szCs w:val="28"/>
          <w:lang w:val="en-ZA"/>
        </w:rPr>
        <w:t>]</w:t>
      </w:r>
      <w:r w:rsidRPr="00B1555D">
        <w:rPr>
          <w:rFonts w:eastAsia="Calibri"/>
          <w:sz w:val="28"/>
          <w:szCs w:val="28"/>
          <w:lang w:val="en-ZA"/>
        </w:rPr>
        <w:tab/>
      </w:r>
      <w:r w:rsidR="0094027C">
        <w:rPr>
          <w:rFonts w:eastAsia="Calibri"/>
          <w:sz w:val="28"/>
          <w:szCs w:val="28"/>
          <w:lang w:val="en-ZA"/>
        </w:rPr>
        <w:t>T</w:t>
      </w:r>
      <w:r w:rsidRPr="00B1555D">
        <w:rPr>
          <w:rFonts w:eastAsia="Calibri"/>
          <w:sz w:val="28"/>
          <w:szCs w:val="28"/>
          <w:lang w:val="en-ZA"/>
        </w:rPr>
        <w:t>hese provisions</w:t>
      </w:r>
      <w:r w:rsidR="0094027C">
        <w:rPr>
          <w:rFonts w:eastAsia="Calibri"/>
          <w:sz w:val="28"/>
          <w:szCs w:val="28"/>
          <w:lang w:val="en-ZA"/>
        </w:rPr>
        <w:t>,</w:t>
      </w:r>
      <w:r w:rsidRPr="00B1555D">
        <w:rPr>
          <w:rFonts w:eastAsia="Calibri"/>
          <w:sz w:val="28"/>
          <w:szCs w:val="28"/>
          <w:lang w:val="en-ZA"/>
        </w:rPr>
        <w:t xml:space="preserve"> considered in their proper context</w:t>
      </w:r>
      <w:r w:rsidR="0094027C">
        <w:rPr>
          <w:rFonts w:eastAsia="Calibri"/>
          <w:sz w:val="28"/>
          <w:szCs w:val="28"/>
          <w:lang w:val="en-ZA"/>
        </w:rPr>
        <w:t xml:space="preserve">, </w:t>
      </w:r>
      <w:r w:rsidR="00035ABC">
        <w:rPr>
          <w:rFonts w:eastAsia="Calibri"/>
          <w:sz w:val="28"/>
          <w:szCs w:val="28"/>
          <w:lang w:val="en-ZA"/>
        </w:rPr>
        <w:t xml:space="preserve">point to the </w:t>
      </w:r>
      <w:r w:rsidRPr="00B1555D">
        <w:rPr>
          <w:rFonts w:eastAsia="Calibri"/>
          <w:sz w:val="28"/>
          <w:szCs w:val="28"/>
          <w:lang w:val="en-ZA"/>
        </w:rPr>
        <w:t>conclusion that</w:t>
      </w:r>
      <w:r w:rsidR="00150E73" w:rsidRPr="00B1555D">
        <w:rPr>
          <w:rFonts w:eastAsia="Calibri"/>
          <w:sz w:val="28"/>
          <w:szCs w:val="28"/>
          <w:lang w:val="en-ZA"/>
        </w:rPr>
        <w:t xml:space="preserve"> the restrictive definition of ‘beneficial occupation’ does not </w:t>
      </w:r>
      <w:r w:rsidR="00035ABC">
        <w:rPr>
          <w:rFonts w:eastAsia="Calibri"/>
          <w:sz w:val="28"/>
          <w:szCs w:val="28"/>
          <w:lang w:val="en-ZA"/>
        </w:rPr>
        <w:t>define the use and enjoyment of the premises. Since</w:t>
      </w:r>
      <w:r w:rsidR="00C41EE8">
        <w:rPr>
          <w:rFonts w:eastAsia="Calibri"/>
          <w:sz w:val="28"/>
          <w:szCs w:val="28"/>
          <w:lang w:val="en-ZA"/>
        </w:rPr>
        <w:t xml:space="preserve"> the</w:t>
      </w:r>
      <w:r w:rsidR="00035ABC">
        <w:rPr>
          <w:rFonts w:eastAsia="Calibri"/>
          <w:sz w:val="28"/>
          <w:szCs w:val="28"/>
          <w:lang w:val="en-ZA"/>
        </w:rPr>
        <w:t xml:space="preserve"> lease in fact conferred use and enjoyment beyond mere physical possession and control, a </w:t>
      </w:r>
      <w:r w:rsidR="00035ABC" w:rsidRPr="00035ABC">
        <w:rPr>
          <w:rFonts w:eastAsia="Calibri"/>
          <w:i/>
          <w:iCs/>
          <w:sz w:val="28"/>
          <w:szCs w:val="28"/>
          <w:lang w:val="en-ZA"/>
        </w:rPr>
        <w:t>vis major</w:t>
      </w:r>
      <w:r w:rsidR="00035ABC">
        <w:rPr>
          <w:rFonts w:eastAsia="Calibri"/>
          <w:sz w:val="28"/>
          <w:szCs w:val="28"/>
          <w:lang w:val="en-ZA"/>
        </w:rPr>
        <w:t xml:space="preserve"> event</w:t>
      </w:r>
      <w:r w:rsidR="00AF0A76">
        <w:rPr>
          <w:rFonts w:eastAsia="Calibri"/>
          <w:sz w:val="28"/>
          <w:szCs w:val="28"/>
          <w:lang w:val="en-ZA"/>
        </w:rPr>
        <w:t>,</w:t>
      </w:r>
      <w:r w:rsidR="00035ABC">
        <w:rPr>
          <w:rFonts w:eastAsia="Calibri"/>
          <w:sz w:val="28"/>
          <w:szCs w:val="28"/>
          <w:lang w:val="en-ZA"/>
        </w:rPr>
        <w:t xml:space="preserve"> which did not interfere with physical possession and control, could give rise to a claim for remission. </w:t>
      </w:r>
      <w:r w:rsidR="00150E73" w:rsidRPr="00B1555D">
        <w:rPr>
          <w:rFonts w:eastAsia="Calibri"/>
          <w:sz w:val="28"/>
          <w:szCs w:val="28"/>
          <w:lang w:val="en-ZA"/>
        </w:rPr>
        <w:t xml:space="preserve"> </w:t>
      </w:r>
    </w:p>
    <w:p w14:paraId="48CC33E4" w14:textId="77777777" w:rsidR="00B67DF1" w:rsidRDefault="00B67DF1" w:rsidP="000C1370">
      <w:pPr>
        <w:spacing w:line="360" w:lineRule="auto"/>
        <w:jc w:val="both"/>
        <w:rPr>
          <w:rFonts w:eastAsia="Calibri"/>
          <w:sz w:val="28"/>
          <w:szCs w:val="28"/>
          <w:lang w:val="en-ZA"/>
        </w:rPr>
      </w:pPr>
    </w:p>
    <w:p w14:paraId="199AFA4C" w14:textId="7773F26B" w:rsidR="000C4E7C" w:rsidRPr="00B1555D" w:rsidRDefault="00150E73" w:rsidP="000C1370">
      <w:pPr>
        <w:spacing w:line="360" w:lineRule="auto"/>
        <w:jc w:val="both"/>
        <w:rPr>
          <w:rFonts w:eastAsia="Calibri"/>
          <w:i/>
          <w:iCs/>
          <w:sz w:val="28"/>
          <w:szCs w:val="28"/>
          <w:lang w:val="en-ZA"/>
        </w:rPr>
      </w:pPr>
      <w:r w:rsidRPr="00B1555D">
        <w:rPr>
          <w:rFonts w:eastAsia="Calibri"/>
          <w:sz w:val="28"/>
          <w:szCs w:val="28"/>
          <w:lang w:val="en-ZA"/>
        </w:rPr>
        <w:t>[</w:t>
      </w:r>
      <w:r w:rsidR="00091ECF">
        <w:rPr>
          <w:rFonts w:eastAsia="Calibri"/>
          <w:sz w:val="28"/>
          <w:szCs w:val="28"/>
          <w:lang w:val="en-ZA"/>
        </w:rPr>
        <w:t>2</w:t>
      </w:r>
      <w:r w:rsidR="00F3017F">
        <w:rPr>
          <w:rFonts w:eastAsia="Calibri"/>
          <w:sz w:val="28"/>
          <w:szCs w:val="28"/>
          <w:lang w:val="en-ZA"/>
        </w:rPr>
        <w:t>2</w:t>
      </w:r>
      <w:r w:rsidRPr="00B1555D">
        <w:rPr>
          <w:rFonts w:eastAsia="Calibri"/>
          <w:sz w:val="28"/>
          <w:szCs w:val="28"/>
          <w:lang w:val="en-ZA"/>
        </w:rPr>
        <w:t>]</w:t>
      </w:r>
      <w:r w:rsidRPr="00B1555D">
        <w:rPr>
          <w:rFonts w:eastAsia="Calibri"/>
          <w:sz w:val="28"/>
          <w:szCs w:val="28"/>
          <w:lang w:val="en-ZA"/>
        </w:rPr>
        <w:tab/>
      </w:r>
      <w:r w:rsidR="00C41EE8">
        <w:rPr>
          <w:rFonts w:eastAsia="Calibri"/>
          <w:sz w:val="28"/>
          <w:szCs w:val="28"/>
          <w:lang w:val="en-ZA"/>
        </w:rPr>
        <w:t>Clause 34 also does not assist the Butcher Shop. It</w:t>
      </w:r>
      <w:r w:rsidR="004A15B9" w:rsidRPr="00B1555D">
        <w:rPr>
          <w:rFonts w:eastAsia="Calibri"/>
          <w:sz w:val="28"/>
          <w:szCs w:val="28"/>
          <w:lang w:val="en-ZA"/>
        </w:rPr>
        <w:t xml:space="preserve"> contemplates two scenarios. The first is where </w:t>
      </w:r>
      <w:r w:rsidR="00F33075" w:rsidRPr="00B1555D">
        <w:rPr>
          <w:rFonts w:eastAsia="Calibri"/>
          <w:sz w:val="28"/>
          <w:szCs w:val="28"/>
          <w:lang w:val="en-ZA"/>
        </w:rPr>
        <w:t>the leased</w:t>
      </w:r>
      <w:r w:rsidR="004A15B9" w:rsidRPr="00B1555D">
        <w:rPr>
          <w:rFonts w:eastAsia="Calibri"/>
          <w:sz w:val="28"/>
          <w:szCs w:val="28"/>
          <w:lang w:val="en-ZA"/>
        </w:rPr>
        <w:t xml:space="preserve"> premises is destroyed or </w:t>
      </w:r>
      <w:r w:rsidR="004A15B9" w:rsidRPr="008F42D8">
        <w:rPr>
          <w:rFonts w:eastAsia="Calibri"/>
          <w:sz w:val="28"/>
          <w:szCs w:val="28"/>
          <w:lang w:val="en-ZA"/>
        </w:rPr>
        <w:t>damaged ‘to an extent which prevents the Tenant from being able to conduct its business’. In that event, if the premises cannot be restored to its condition within a period of nine months, the landlord has an election to cancel the lease. If the landlord does not notify the tenant of its election</w:t>
      </w:r>
      <w:r w:rsidR="00F3017F" w:rsidRPr="008F42D8">
        <w:rPr>
          <w:rFonts w:eastAsia="Calibri"/>
          <w:sz w:val="28"/>
          <w:szCs w:val="28"/>
          <w:lang w:val="en-ZA"/>
        </w:rPr>
        <w:t>,</w:t>
      </w:r>
      <w:r w:rsidR="004A15B9" w:rsidRPr="008F42D8">
        <w:rPr>
          <w:rFonts w:eastAsia="Calibri"/>
          <w:sz w:val="28"/>
          <w:szCs w:val="28"/>
          <w:lang w:val="en-ZA"/>
        </w:rPr>
        <w:t xml:space="preserve"> the lease is deemed to have been cancelled. It is then provided that the tenant shall have no claim against the landlord and that the tenant is not liable for the payment of rent and operating costs ‘from the date of destruction’. If the landlord elects not to cancel, it is obliged to reinstate the</w:t>
      </w:r>
      <w:r w:rsidR="004A15B9" w:rsidRPr="00B1555D">
        <w:rPr>
          <w:rFonts w:eastAsia="Calibri"/>
          <w:sz w:val="28"/>
          <w:szCs w:val="28"/>
          <w:lang w:val="en-ZA"/>
        </w:rPr>
        <w:t xml:space="preserve"> premises and the tenant is excused from the payment of rent and operating costs for as long as it is unable to conduct its business. The total physical destruction is not confined to circumstances arising</w:t>
      </w:r>
      <w:r w:rsidR="005F5049">
        <w:rPr>
          <w:rFonts w:eastAsia="Calibri"/>
          <w:sz w:val="28"/>
          <w:szCs w:val="28"/>
          <w:lang w:val="en-ZA"/>
        </w:rPr>
        <w:t xml:space="preserve"> from a</w:t>
      </w:r>
      <w:r w:rsidR="004A15B9" w:rsidRPr="00B1555D">
        <w:rPr>
          <w:rFonts w:eastAsia="Calibri"/>
          <w:sz w:val="28"/>
          <w:szCs w:val="28"/>
          <w:lang w:val="en-ZA"/>
        </w:rPr>
        <w:t xml:space="preserve"> </w:t>
      </w:r>
      <w:r w:rsidR="001645B5" w:rsidRPr="004F0A73">
        <w:rPr>
          <w:rFonts w:eastAsia="Calibri"/>
          <w:i/>
          <w:sz w:val="28"/>
          <w:szCs w:val="28"/>
          <w:lang w:val="en-ZA"/>
        </w:rPr>
        <w:t>vi</w:t>
      </w:r>
      <w:r w:rsidR="005F5049">
        <w:rPr>
          <w:rFonts w:eastAsia="Calibri"/>
          <w:i/>
          <w:sz w:val="28"/>
          <w:szCs w:val="28"/>
          <w:lang w:val="en-ZA"/>
        </w:rPr>
        <w:t>s</w:t>
      </w:r>
      <w:r w:rsidR="004A15B9" w:rsidRPr="00B1555D">
        <w:rPr>
          <w:rFonts w:eastAsia="Calibri"/>
          <w:i/>
          <w:iCs/>
          <w:sz w:val="28"/>
          <w:szCs w:val="28"/>
          <w:lang w:val="en-ZA"/>
        </w:rPr>
        <w:t xml:space="preserve"> major</w:t>
      </w:r>
      <w:r w:rsidR="005F5049">
        <w:rPr>
          <w:rFonts w:eastAsia="Calibri"/>
          <w:i/>
          <w:iCs/>
          <w:sz w:val="28"/>
          <w:szCs w:val="28"/>
          <w:lang w:val="en-ZA"/>
        </w:rPr>
        <w:t xml:space="preserve"> </w:t>
      </w:r>
      <w:r w:rsidR="005F5049">
        <w:rPr>
          <w:rFonts w:eastAsia="Calibri"/>
          <w:sz w:val="28"/>
          <w:szCs w:val="28"/>
          <w:lang w:val="en-ZA"/>
        </w:rPr>
        <w:t>event</w:t>
      </w:r>
      <w:r w:rsidR="004A15B9" w:rsidRPr="00B1555D">
        <w:rPr>
          <w:rFonts w:eastAsia="Calibri"/>
          <w:i/>
          <w:iCs/>
          <w:sz w:val="28"/>
          <w:szCs w:val="28"/>
          <w:lang w:val="en-ZA"/>
        </w:rPr>
        <w:t>.</w:t>
      </w:r>
    </w:p>
    <w:p w14:paraId="6F7CF1E2" w14:textId="77777777" w:rsidR="00B67DF1" w:rsidRDefault="00B67DF1" w:rsidP="000C1370">
      <w:pPr>
        <w:spacing w:line="360" w:lineRule="auto"/>
        <w:jc w:val="both"/>
        <w:rPr>
          <w:rFonts w:eastAsia="Calibri"/>
          <w:sz w:val="28"/>
          <w:szCs w:val="28"/>
          <w:lang w:val="en-ZA"/>
        </w:rPr>
      </w:pPr>
    </w:p>
    <w:p w14:paraId="7A358DAF" w14:textId="686D8B4A" w:rsidR="004A15B9" w:rsidRPr="001645B5" w:rsidRDefault="004A15B9" w:rsidP="000C1370">
      <w:pPr>
        <w:spacing w:line="360" w:lineRule="auto"/>
        <w:jc w:val="both"/>
        <w:rPr>
          <w:rFonts w:eastAsia="Calibri"/>
          <w:sz w:val="28"/>
          <w:szCs w:val="28"/>
          <w:u w:val="single"/>
          <w:lang w:val="en-ZA"/>
        </w:rPr>
      </w:pPr>
      <w:r w:rsidRPr="00B1555D">
        <w:rPr>
          <w:rFonts w:eastAsia="Calibri"/>
          <w:sz w:val="28"/>
          <w:szCs w:val="28"/>
          <w:lang w:val="en-ZA"/>
        </w:rPr>
        <w:t>[</w:t>
      </w:r>
      <w:r w:rsidR="00091ECF">
        <w:rPr>
          <w:rFonts w:eastAsia="Calibri"/>
          <w:sz w:val="28"/>
          <w:szCs w:val="28"/>
          <w:lang w:val="en-ZA"/>
        </w:rPr>
        <w:t>2</w:t>
      </w:r>
      <w:r w:rsidR="00F3017F">
        <w:rPr>
          <w:rFonts w:eastAsia="Calibri"/>
          <w:sz w:val="28"/>
          <w:szCs w:val="28"/>
          <w:lang w:val="en-ZA"/>
        </w:rPr>
        <w:t>3</w:t>
      </w:r>
      <w:r w:rsidRPr="00B1555D">
        <w:rPr>
          <w:rFonts w:eastAsia="Calibri"/>
          <w:sz w:val="28"/>
          <w:szCs w:val="28"/>
          <w:lang w:val="en-ZA"/>
        </w:rPr>
        <w:t>]</w:t>
      </w:r>
      <w:r w:rsidRPr="00B1555D">
        <w:rPr>
          <w:rFonts w:eastAsia="Calibri"/>
          <w:sz w:val="28"/>
          <w:szCs w:val="28"/>
          <w:lang w:val="en-ZA"/>
        </w:rPr>
        <w:tab/>
        <w:t>The second scenario involves partial</w:t>
      </w:r>
      <w:r w:rsidR="005900C7" w:rsidRPr="00B1555D">
        <w:rPr>
          <w:rFonts w:eastAsia="Calibri"/>
          <w:sz w:val="28"/>
          <w:szCs w:val="28"/>
          <w:lang w:val="en-ZA"/>
        </w:rPr>
        <w:t xml:space="preserve"> destruction or damage by whatever cause, provided that the damage was not caused by a </w:t>
      </w:r>
      <w:r w:rsidR="005900C7" w:rsidRPr="00B1555D">
        <w:rPr>
          <w:rFonts w:eastAsia="Calibri"/>
          <w:i/>
          <w:iCs/>
          <w:sz w:val="28"/>
          <w:szCs w:val="28"/>
          <w:lang w:val="en-ZA"/>
        </w:rPr>
        <w:t>vis major</w:t>
      </w:r>
      <w:r w:rsidR="005900C7" w:rsidRPr="00B1555D">
        <w:rPr>
          <w:rFonts w:eastAsia="Calibri"/>
          <w:sz w:val="28"/>
          <w:szCs w:val="28"/>
          <w:lang w:val="en-ZA"/>
        </w:rPr>
        <w:t xml:space="preserve"> event or by the tenant. In such event the agreement shall not be cancelled. It is provided that the rent and operating costs payable by the tenant shall be reduced </w:t>
      </w:r>
      <w:r w:rsidR="005900C7" w:rsidRPr="00B1555D">
        <w:rPr>
          <w:rFonts w:eastAsia="Calibri"/>
          <w:i/>
          <w:iCs/>
          <w:sz w:val="28"/>
          <w:szCs w:val="28"/>
          <w:lang w:val="en-ZA"/>
        </w:rPr>
        <w:t xml:space="preserve">pro rata </w:t>
      </w:r>
      <w:r w:rsidR="005900C7" w:rsidRPr="00B1555D">
        <w:rPr>
          <w:rFonts w:eastAsia="Calibri"/>
          <w:sz w:val="28"/>
          <w:szCs w:val="28"/>
          <w:lang w:val="en-ZA"/>
        </w:rPr>
        <w:t xml:space="preserve">and to </w:t>
      </w:r>
      <w:r w:rsidR="005900C7" w:rsidRPr="00B1555D">
        <w:rPr>
          <w:rFonts w:eastAsia="Calibri"/>
          <w:sz w:val="28"/>
          <w:szCs w:val="28"/>
          <w:lang w:val="en-ZA"/>
        </w:rPr>
        <w:lastRenderedPageBreak/>
        <w:t>the extent to which the tenant’s turnover is reduced. Apart from this, the tenant shall have no claim whatsoever against the landlord as a result of the damage, no matter how caused.</w:t>
      </w:r>
      <w:r w:rsidR="00F87424" w:rsidRPr="00F87424">
        <w:rPr>
          <w:rFonts w:eastAsia="Calibri"/>
          <w:sz w:val="28"/>
          <w:szCs w:val="28"/>
          <w:lang w:val="en-ZA"/>
        </w:rPr>
        <w:t xml:space="preserve"> </w:t>
      </w:r>
      <w:r w:rsidR="00F87424" w:rsidRPr="005F5049">
        <w:rPr>
          <w:rFonts w:eastAsia="Calibri"/>
          <w:sz w:val="28"/>
          <w:szCs w:val="28"/>
          <w:lang w:val="en-ZA"/>
        </w:rPr>
        <w:t>Clause 34 therefore does not purport to limit or restrict the appellant’s right to rely upon common law principles</w:t>
      </w:r>
      <w:r w:rsidR="00E2722D">
        <w:rPr>
          <w:rFonts w:eastAsia="Calibri"/>
          <w:sz w:val="28"/>
          <w:szCs w:val="28"/>
          <w:lang w:val="en-ZA"/>
        </w:rPr>
        <w:t>,</w:t>
      </w:r>
      <w:r w:rsidR="00F87424" w:rsidRPr="005F5049">
        <w:rPr>
          <w:rFonts w:eastAsia="Calibri"/>
          <w:sz w:val="28"/>
          <w:szCs w:val="28"/>
          <w:lang w:val="en-ZA"/>
        </w:rPr>
        <w:t xml:space="preserve"> which regulate the consequences of a </w:t>
      </w:r>
      <w:r w:rsidR="00F87424" w:rsidRPr="005F5049">
        <w:rPr>
          <w:rFonts w:eastAsia="Calibri"/>
          <w:i/>
          <w:iCs/>
          <w:sz w:val="28"/>
          <w:szCs w:val="28"/>
          <w:lang w:val="en-ZA"/>
        </w:rPr>
        <w:t>vis major</w:t>
      </w:r>
      <w:r w:rsidR="00F87424" w:rsidRPr="005F5049">
        <w:rPr>
          <w:rFonts w:eastAsia="Calibri"/>
          <w:sz w:val="28"/>
          <w:szCs w:val="28"/>
          <w:lang w:val="en-ZA"/>
        </w:rPr>
        <w:t xml:space="preserve"> event.</w:t>
      </w:r>
    </w:p>
    <w:p w14:paraId="42644CF5" w14:textId="77777777" w:rsidR="00B67DF1" w:rsidRDefault="00B67DF1" w:rsidP="000C1370">
      <w:pPr>
        <w:spacing w:line="360" w:lineRule="auto"/>
        <w:jc w:val="both"/>
        <w:rPr>
          <w:rFonts w:eastAsia="Calibri"/>
          <w:sz w:val="28"/>
          <w:szCs w:val="28"/>
          <w:lang w:val="en-ZA"/>
        </w:rPr>
      </w:pPr>
    </w:p>
    <w:p w14:paraId="50A637F1" w14:textId="1FF64D6A" w:rsidR="00440744" w:rsidRDefault="004F2403" w:rsidP="000C1370">
      <w:pPr>
        <w:spacing w:line="360" w:lineRule="auto"/>
        <w:jc w:val="both"/>
        <w:rPr>
          <w:rFonts w:eastAsia="Calibri"/>
          <w:sz w:val="28"/>
          <w:szCs w:val="28"/>
          <w:lang w:val="en-ZA"/>
        </w:rPr>
      </w:pPr>
      <w:r w:rsidRPr="00B1555D">
        <w:rPr>
          <w:rFonts w:eastAsia="Calibri"/>
          <w:sz w:val="28"/>
          <w:szCs w:val="28"/>
          <w:lang w:val="en-ZA"/>
        </w:rPr>
        <w:t>[</w:t>
      </w:r>
      <w:r w:rsidR="00091ECF">
        <w:rPr>
          <w:rFonts w:eastAsia="Calibri"/>
          <w:sz w:val="28"/>
          <w:szCs w:val="28"/>
          <w:lang w:val="en-ZA"/>
        </w:rPr>
        <w:t>2</w:t>
      </w:r>
      <w:r w:rsidR="00F3017F">
        <w:rPr>
          <w:rFonts w:eastAsia="Calibri"/>
          <w:sz w:val="28"/>
          <w:szCs w:val="28"/>
          <w:lang w:val="en-ZA"/>
        </w:rPr>
        <w:t>4</w:t>
      </w:r>
      <w:r w:rsidRPr="00B1555D">
        <w:rPr>
          <w:rFonts w:eastAsia="Calibri"/>
          <w:sz w:val="28"/>
          <w:szCs w:val="28"/>
          <w:lang w:val="en-ZA"/>
        </w:rPr>
        <w:t>]</w:t>
      </w:r>
      <w:r w:rsidRPr="00B1555D">
        <w:rPr>
          <w:rFonts w:eastAsia="Calibri"/>
          <w:sz w:val="28"/>
          <w:szCs w:val="28"/>
          <w:lang w:val="en-ZA"/>
        </w:rPr>
        <w:tab/>
      </w:r>
      <w:r w:rsidR="00091ECF">
        <w:rPr>
          <w:rFonts w:eastAsia="Calibri"/>
          <w:sz w:val="28"/>
          <w:szCs w:val="28"/>
          <w:lang w:val="en-ZA"/>
        </w:rPr>
        <w:t xml:space="preserve">The </w:t>
      </w:r>
      <w:r w:rsidR="00F3017F">
        <w:rPr>
          <w:rFonts w:eastAsia="Calibri"/>
          <w:sz w:val="28"/>
          <w:szCs w:val="28"/>
          <w:lang w:val="en-ZA"/>
        </w:rPr>
        <w:t xml:space="preserve">further </w:t>
      </w:r>
      <w:r w:rsidR="00091ECF">
        <w:rPr>
          <w:rFonts w:eastAsia="Calibri"/>
          <w:sz w:val="28"/>
          <w:szCs w:val="28"/>
          <w:lang w:val="en-ZA"/>
        </w:rPr>
        <w:t xml:space="preserve">argument based on the absence of reciprocity was, correctly, not pressed with enthusiasm. The requirement that the </w:t>
      </w:r>
      <w:r w:rsidR="00BF248B">
        <w:rPr>
          <w:rFonts w:eastAsia="Calibri"/>
          <w:sz w:val="28"/>
          <w:szCs w:val="28"/>
          <w:lang w:val="en-ZA"/>
        </w:rPr>
        <w:t>rent</w:t>
      </w:r>
      <w:r w:rsidR="00091ECF">
        <w:rPr>
          <w:rFonts w:eastAsia="Calibri"/>
          <w:sz w:val="28"/>
          <w:szCs w:val="28"/>
          <w:lang w:val="en-ZA"/>
        </w:rPr>
        <w:t xml:space="preserve"> be paid monthly in advance has the effect that the payment of the rent is not reciprocal to the delivery of the use and enjoyment of the leased property. </w:t>
      </w:r>
      <w:r w:rsidR="00BF248B">
        <w:rPr>
          <w:rFonts w:eastAsia="Calibri"/>
          <w:sz w:val="28"/>
          <w:szCs w:val="28"/>
          <w:lang w:val="en-ZA"/>
        </w:rPr>
        <w:t>Such clause does not, however, preclude the right to claim a remission or abatement of rent which arises by operation of law.</w:t>
      </w:r>
      <w:r w:rsidR="00440744">
        <w:rPr>
          <w:rStyle w:val="FootnoteReference"/>
          <w:rFonts w:eastAsia="Calibri"/>
          <w:sz w:val="28"/>
          <w:szCs w:val="28"/>
          <w:lang w:val="en-ZA"/>
        </w:rPr>
        <w:footnoteReference w:id="6"/>
      </w:r>
      <w:r w:rsidR="00BF248B">
        <w:rPr>
          <w:rFonts w:eastAsia="Calibri"/>
          <w:sz w:val="28"/>
          <w:szCs w:val="28"/>
          <w:lang w:val="en-ZA"/>
        </w:rPr>
        <w:t xml:space="preserve"> </w:t>
      </w:r>
      <w:r w:rsidR="00440744">
        <w:rPr>
          <w:rFonts w:eastAsia="Calibri"/>
          <w:sz w:val="28"/>
          <w:szCs w:val="28"/>
          <w:lang w:val="en-ZA"/>
        </w:rPr>
        <w:t>Nor does a clause which requires that payment be made without deduction or set-off.</w:t>
      </w:r>
      <w:r w:rsidR="00440744">
        <w:rPr>
          <w:rStyle w:val="FootnoteReference"/>
          <w:rFonts w:eastAsia="Calibri"/>
          <w:sz w:val="28"/>
          <w:szCs w:val="28"/>
          <w:lang w:val="en-ZA"/>
        </w:rPr>
        <w:footnoteReference w:id="7"/>
      </w:r>
      <w:r w:rsidR="00440744">
        <w:rPr>
          <w:rFonts w:eastAsia="Calibri"/>
          <w:sz w:val="28"/>
          <w:szCs w:val="28"/>
          <w:lang w:val="en-ZA"/>
        </w:rPr>
        <w:t xml:space="preserve"> </w:t>
      </w:r>
    </w:p>
    <w:p w14:paraId="556ED82F" w14:textId="77777777" w:rsidR="00440744" w:rsidRDefault="00440744" w:rsidP="000C1370">
      <w:pPr>
        <w:spacing w:line="360" w:lineRule="auto"/>
        <w:jc w:val="both"/>
        <w:rPr>
          <w:rFonts w:eastAsia="Calibri"/>
          <w:sz w:val="28"/>
          <w:szCs w:val="28"/>
          <w:lang w:val="en-ZA"/>
        </w:rPr>
      </w:pPr>
    </w:p>
    <w:p w14:paraId="5000D7FE" w14:textId="69A0215A" w:rsidR="004F2403" w:rsidRDefault="00440744" w:rsidP="000C1370">
      <w:pPr>
        <w:spacing w:line="360" w:lineRule="auto"/>
        <w:jc w:val="both"/>
        <w:rPr>
          <w:rFonts w:eastAsia="Calibri"/>
          <w:sz w:val="28"/>
          <w:szCs w:val="28"/>
          <w:lang w:val="en-ZA"/>
        </w:rPr>
      </w:pPr>
      <w:r>
        <w:rPr>
          <w:rFonts w:eastAsia="Calibri"/>
          <w:sz w:val="28"/>
          <w:szCs w:val="28"/>
          <w:lang w:val="en-ZA"/>
        </w:rPr>
        <w:t>[</w:t>
      </w:r>
      <w:r w:rsidR="000E339B">
        <w:rPr>
          <w:rFonts w:eastAsia="Calibri"/>
          <w:sz w:val="28"/>
          <w:szCs w:val="28"/>
          <w:lang w:val="en-ZA"/>
        </w:rPr>
        <w:t>2</w:t>
      </w:r>
      <w:r w:rsidR="00F3017F">
        <w:rPr>
          <w:rFonts w:eastAsia="Calibri"/>
          <w:sz w:val="28"/>
          <w:szCs w:val="28"/>
          <w:lang w:val="en-ZA"/>
        </w:rPr>
        <w:t>5</w:t>
      </w:r>
      <w:r>
        <w:rPr>
          <w:rFonts w:eastAsia="Calibri"/>
          <w:sz w:val="28"/>
          <w:szCs w:val="28"/>
          <w:lang w:val="en-ZA"/>
        </w:rPr>
        <w:t>]</w:t>
      </w:r>
      <w:r>
        <w:rPr>
          <w:rFonts w:eastAsia="Calibri"/>
          <w:sz w:val="28"/>
          <w:szCs w:val="28"/>
          <w:lang w:val="en-ZA"/>
        </w:rPr>
        <w:tab/>
      </w:r>
      <w:r w:rsidR="00266892">
        <w:rPr>
          <w:rFonts w:eastAsia="Calibri"/>
          <w:sz w:val="28"/>
          <w:szCs w:val="28"/>
          <w:lang w:val="en-ZA"/>
        </w:rPr>
        <w:t>The Trust</w:t>
      </w:r>
      <w:r>
        <w:rPr>
          <w:rFonts w:eastAsia="Calibri"/>
          <w:sz w:val="28"/>
          <w:szCs w:val="28"/>
          <w:lang w:val="en-ZA"/>
        </w:rPr>
        <w:t>’s</w:t>
      </w:r>
      <w:r w:rsidR="00266892">
        <w:rPr>
          <w:rFonts w:eastAsia="Calibri"/>
          <w:sz w:val="28"/>
          <w:szCs w:val="28"/>
          <w:lang w:val="en-ZA"/>
        </w:rPr>
        <w:t xml:space="preserve"> conten</w:t>
      </w:r>
      <w:r>
        <w:rPr>
          <w:rFonts w:eastAsia="Calibri"/>
          <w:sz w:val="28"/>
          <w:szCs w:val="28"/>
          <w:lang w:val="en-ZA"/>
        </w:rPr>
        <w:t>tion</w:t>
      </w:r>
      <w:r w:rsidR="00266892">
        <w:rPr>
          <w:rFonts w:eastAsia="Calibri"/>
          <w:sz w:val="28"/>
          <w:szCs w:val="28"/>
          <w:lang w:val="en-ZA"/>
        </w:rPr>
        <w:t xml:space="preserve"> that the </w:t>
      </w:r>
      <w:r w:rsidR="00F33075">
        <w:rPr>
          <w:rFonts w:eastAsia="Calibri"/>
          <w:sz w:val="28"/>
          <w:szCs w:val="28"/>
          <w:lang w:val="en-ZA"/>
        </w:rPr>
        <w:t>Butcher</w:t>
      </w:r>
      <w:r w:rsidR="00266892">
        <w:rPr>
          <w:rFonts w:eastAsia="Calibri"/>
          <w:sz w:val="28"/>
          <w:szCs w:val="28"/>
          <w:lang w:val="en-ZA"/>
        </w:rPr>
        <w:t xml:space="preserve"> Shop had voluntarily assumed the risk of a </w:t>
      </w:r>
      <w:r w:rsidR="00266892">
        <w:rPr>
          <w:rFonts w:eastAsia="Calibri"/>
          <w:i/>
          <w:iCs/>
          <w:sz w:val="28"/>
          <w:szCs w:val="28"/>
          <w:lang w:val="en-ZA"/>
        </w:rPr>
        <w:t>vis major</w:t>
      </w:r>
      <w:r w:rsidR="00266892">
        <w:rPr>
          <w:rFonts w:eastAsia="Calibri"/>
          <w:sz w:val="28"/>
          <w:szCs w:val="28"/>
          <w:lang w:val="en-ZA"/>
        </w:rPr>
        <w:t xml:space="preserve"> event such as that upon which it relied</w:t>
      </w:r>
      <w:r>
        <w:rPr>
          <w:rFonts w:eastAsia="Calibri"/>
          <w:sz w:val="28"/>
          <w:szCs w:val="28"/>
          <w:lang w:val="en-ZA"/>
        </w:rPr>
        <w:t xml:space="preserve">, was based on </w:t>
      </w:r>
      <w:r w:rsidR="00266892">
        <w:rPr>
          <w:rFonts w:eastAsia="Calibri"/>
          <w:sz w:val="28"/>
          <w:szCs w:val="28"/>
          <w:lang w:val="en-ZA"/>
        </w:rPr>
        <w:t>clause 15.1 of the agreement</w:t>
      </w:r>
      <w:r>
        <w:rPr>
          <w:rFonts w:eastAsia="Calibri"/>
          <w:sz w:val="28"/>
          <w:szCs w:val="28"/>
          <w:lang w:val="en-ZA"/>
        </w:rPr>
        <w:t>.</w:t>
      </w:r>
      <w:r w:rsidR="00266892">
        <w:rPr>
          <w:rFonts w:eastAsia="Calibri"/>
          <w:sz w:val="28"/>
          <w:szCs w:val="28"/>
          <w:lang w:val="en-ZA"/>
        </w:rPr>
        <w:t xml:space="preserve"> </w:t>
      </w:r>
      <w:r>
        <w:rPr>
          <w:rFonts w:eastAsia="Calibri"/>
          <w:sz w:val="28"/>
          <w:szCs w:val="28"/>
          <w:lang w:val="en-ZA"/>
        </w:rPr>
        <w:t xml:space="preserve">It stated </w:t>
      </w:r>
      <w:r w:rsidR="00266892">
        <w:rPr>
          <w:rFonts w:eastAsia="Calibri"/>
          <w:sz w:val="28"/>
          <w:szCs w:val="28"/>
          <w:lang w:val="en-ZA"/>
        </w:rPr>
        <w:t>that,</w:t>
      </w:r>
    </w:p>
    <w:p w14:paraId="778852AC" w14:textId="7046D2D7" w:rsidR="00266892" w:rsidRDefault="00266892" w:rsidP="000C1370">
      <w:pPr>
        <w:spacing w:line="360" w:lineRule="auto"/>
        <w:jc w:val="both"/>
        <w:rPr>
          <w:rFonts w:eastAsia="Calibri"/>
          <w:lang w:val="en-ZA"/>
        </w:rPr>
      </w:pPr>
      <w:r w:rsidRPr="00266892">
        <w:rPr>
          <w:rFonts w:eastAsia="Calibri"/>
          <w:lang w:val="en-ZA"/>
        </w:rPr>
        <w:t xml:space="preserve">‘The Tenant shall not contravene or permit the contravention of any law, by-law, ordinances, proclamation or statutory regulation </w:t>
      </w:r>
      <w:r w:rsidR="00E2722D">
        <w:rPr>
          <w:rFonts w:eastAsia="Calibri"/>
          <w:lang w:val="en-ZA"/>
        </w:rPr>
        <w:t>or</w:t>
      </w:r>
      <w:r w:rsidRPr="00266892">
        <w:rPr>
          <w:rFonts w:eastAsia="Calibri"/>
          <w:lang w:val="en-ZA"/>
        </w:rPr>
        <w:t xml:space="preserve"> the conditions of any licence relating to or affecting the carrying on of any business in the Building.’</w:t>
      </w:r>
    </w:p>
    <w:p w14:paraId="3545505A" w14:textId="77777777" w:rsidR="00B67DF1" w:rsidRDefault="00B67DF1" w:rsidP="000C1370">
      <w:pPr>
        <w:spacing w:line="360" w:lineRule="auto"/>
        <w:jc w:val="both"/>
        <w:rPr>
          <w:rFonts w:eastAsia="Calibri"/>
          <w:sz w:val="28"/>
          <w:szCs w:val="28"/>
          <w:lang w:val="en-ZA"/>
        </w:rPr>
      </w:pPr>
    </w:p>
    <w:p w14:paraId="249B8BCA" w14:textId="1F4144C0" w:rsidR="00266892" w:rsidRDefault="00266892" w:rsidP="000C1370">
      <w:pPr>
        <w:spacing w:line="360" w:lineRule="auto"/>
        <w:jc w:val="both"/>
        <w:rPr>
          <w:rFonts w:eastAsia="Calibri"/>
          <w:sz w:val="28"/>
          <w:szCs w:val="28"/>
          <w:lang w:val="en-ZA"/>
        </w:rPr>
      </w:pPr>
      <w:r>
        <w:rPr>
          <w:rFonts w:eastAsia="Calibri"/>
          <w:sz w:val="28"/>
          <w:szCs w:val="28"/>
          <w:lang w:val="en-ZA"/>
        </w:rPr>
        <w:t>[</w:t>
      </w:r>
      <w:r w:rsidR="000E339B">
        <w:rPr>
          <w:rFonts w:eastAsia="Calibri"/>
          <w:sz w:val="28"/>
          <w:szCs w:val="28"/>
          <w:lang w:val="en-ZA"/>
        </w:rPr>
        <w:t>2</w:t>
      </w:r>
      <w:r w:rsidR="0088586C">
        <w:rPr>
          <w:rFonts w:eastAsia="Calibri"/>
          <w:sz w:val="28"/>
          <w:szCs w:val="28"/>
          <w:lang w:val="en-ZA"/>
        </w:rPr>
        <w:t>6</w:t>
      </w:r>
      <w:r>
        <w:rPr>
          <w:rFonts w:eastAsia="Calibri"/>
          <w:sz w:val="28"/>
          <w:szCs w:val="28"/>
          <w:lang w:val="en-ZA"/>
        </w:rPr>
        <w:t>]</w:t>
      </w:r>
      <w:r>
        <w:rPr>
          <w:rFonts w:eastAsia="Calibri"/>
          <w:sz w:val="28"/>
          <w:szCs w:val="28"/>
          <w:lang w:val="en-ZA"/>
        </w:rPr>
        <w:tab/>
        <w:t xml:space="preserve">This clause, so the argument went, is sufficiently broad to cover the imposition of general trading restrictions as were imposed </w:t>
      </w:r>
      <w:r w:rsidR="00E52F56">
        <w:rPr>
          <w:rFonts w:eastAsia="Calibri"/>
          <w:sz w:val="28"/>
          <w:szCs w:val="28"/>
          <w:lang w:val="en-ZA"/>
        </w:rPr>
        <w:t xml:space="preserve">pursuant to the declaration of </w:t>
      </w:r>
      <w:r w:rsidR="00440744">
        <w:rPr>
          <w:rFonts w:eastAsia="Calibri"/>
          <w:sz w:val="28"/>
          <w:szCs w:val="28"/>
          <w:lang w:val="en-ZA"/>
        </w:rPr>
        <w:t xml:space="preserve">the </w:t>
      </w:r>
      <w:r w:rsidR="00E52F56">
        <w:rPr>
          <w:rFonts w:eastAsia="Calibri"/>
          <w:sz w:val="28"/>
          <w:szCs w:val="28"/>
          <w:lang w:val="en-ZA"/>
        </w:rPr>
        <w:t>National State of Disaster. It should therefore be accepted that the Butcher Shop had assumed the risk that its business operations may be precluded by law or regulation.</w:t>
      </w:r>
    </w:p>
    <w:p w14:paraId="0C54230C" w14:textId="77777777" w:rsidR="00B67DF1" w:rsidRDefault="00B67DF1" w:rsidP="000C1370">
      <w:pPr>
        <w:spacing w:line="360" w:lineRule="auto"/>
        <w:jc w:val="both"/>
        <w:rPr>
          <w:rFonts w:eastAsia="Calibri"/>
          <w:sz w:val="28"/>
          <w:szCs w:val="28"/>
          <w:lang w:val="en-ZA"/>
        </w:rPr>
      </w:pPr>
    </w:p>
    <w:p w14:paraId="46690D2C" w14:textId="6FE3D8A8" w:rsidR="003426AE" w:rsidRDefault="003426AE" w:rsidP="000C1370">
      <w:pPr>
        <w:spacing w:line="360" w:lineRule="auto"/>
        <w:jc w:val="both"/>
        <w:rPr>
          <w:rFonts w:eastAsia="Calibri"/>
          <w:sz w:val="28"/>
          <w:szCs w:val="28"/>
          <w:lang w:val="en-ZA"/>
        </w:rPr>
      </w:pPr>
      <w:r>
        <w:rPr>
          <w:rFonts w:eastAsia="Calibri"/>
          <w:sz w:val="28"/>
          <w:szCs w:val="28"/>
          <w:lang w:val="en-ZA"/>
        </w:rPr>
        <w:lastRenderedPageBreak/>
        <w:t>[</w:t>
      </w:r>
      <w:r w:rsidR="000E339B">
        <w:rPr>
          <w:rFonts w:eastAsia="Calibri"/>
          <w:sz w:val="28"/>
          <w:szCs w:val="28"/>
          <w:lang w:val="en-ZA"/>
        </w:rPr>
        <w:t>2</w:t>
      </w:r>
      <w:r w:rsidR="0088586C">
        <w:rPr>
          <w:rFonts w:eastAsia="Calibri"/>
          <w:sz w:val="28"/>
          <w:szCs w:val="28"/>
          <w:lang w:val="en-ZA"/>
        </w:rPr>
        <w:t>7</w:t>
      </w:r>
      <w:r>
        <w:rPr>
          <w:rFonts w:eastAsia="Calibri"/>
          <w:sz w:val="28"/>
          <w:szCs w:val="28"/>
          <w:lang w:val="en-ZA"/>
        </w:rPr>
        <w:t>]</w:t>
      </w:r>
      <w:r>
        <w:rPr>
          <w:rFonts w:eastAsia="Calibri"/>
          <w:sz w:val="28"/>
          <w:szCs w:val="28"/>
          <w:lang w:val="en-ZA"/>
        </w:rPr>
        <w:tab/>
        <w:t>The language employed in the clause is directed to compliance with laws and regulations which affect the business of the tenant. It says nothing of the consequences which flow from the curtailment of business activities.  It prohibits contravention of laws. The clause must be read in context. I have already pointed to several provisions of the lease agreement which placed upon the Butcher Shop the obligation</w:t>
      </w:r>
      <w:r w:rsidR="009761A7">
        <w:rPr>
          <w:rFonts w:eastAsia="Calibri"/>
          <w:sz w:val="28"/>
          <w:szCs w:val="28"/>
          <w:lang w:val="en-ZA"/>
        </w:rPr>
        <w:t xml:space="preserve"> to obtain the required licences and local authority approval for the conduct of its business. In addition, the lease indemnif</w:t>
      </w:r>
      <w:r w:rsidR="00440744">
        <w:rPr>
          <w:rFonts w:eastAsia="Calibri"/>
          <w:sz w:val="28"/>
          <w:szCs w:val="28"/>
          <w:lang w:val="en-ZA"/>
        </w:rPr>
        <w:t>ied</w:t>
      </w:r>
      <w:r w:rsidR="009761A7">
        <w:rPr>
          <w:rFonts w:eastAsia="Calibri"/>
          <w:sz w:val="28"/>
          <w:szCs w:val="28"/>
          <w:lang w:val="en-ZA"/>
        </w:rPr>
        <w:t xml:space="preserve"> the Trust from liability aris</w:t>
      </w:r>
      <w:r w:rsidR="007D5CC4">
        <w:rPr>
          <w:rFonts w:eastAsia="Calibri"/>
          <w:sz w:val="28"/>
          <w:szCs w:val="28"/>
          <w:lang w:val="en-ZA"/>
        </w:rPr>
        <w:t>ing</w:t>
      </w:r>
      <w:r w:rsidR="009761A7">
        <w:rPr>
          <w:rFonts w:eastAsia="Calibri"/>
          <w:sz w:val="28"/>
          <w:szCs w:val="28"/>
          <w:lang w:val="en-ZA"/>
        </w:rPr>
        <w:t xml:space="preserve"> from the Butcher Shop’s failure to comply with licencing or local authority requirements.</w:t>
      </w:r>
    </w:p>
    <w:p w14:paraId="18C260A9" w14:textId="77777777" w:rsidR="00B67DF1" w:rsidRDefault="00B67DF1" w:rsidP="000C1370">
      <w:pPr>
        <w:spacing w:line="360" w:lineRule="auto"/>
        <w:jc w:val="both"/>
        <w:rPr>
          <w:rFonts w:eastAsia="Calibri"/>
          <w:sz w:val="28"/>
          <w:szCs w:val="28"/>
          <w:lang w:val="en-ZA"/>
        </w:rPr>
      </w:pPr>
    </w:p>
    <w:p w14:paraId="6188FAD0" w14:textId="356E9D85" w:rsidR="00F33075" w:rsidRDefault="00F33075" w:rsidP="000C1370">
      <w:pPr>
        <w:spacing w:line="360" w:lineRule="auto"/>
        <w:jc w:val="both"/>
        <w:rPr>
          <w:rFonts w:eastAsia="Calibri"/>
          <w:sz w:val="28"/>
          <w:szCs w:val="28"/>
          <w:lang w:val="en-ZA"/>
        </w:rPr>
      </w:pPr>
      <w:r>
        <w:rPr>
          <w:rFonts w:eastAsia="Calibri"/>
          <w:sz w:val="28"/>
          <w:szCs w:val="28"/>
          <w:lang w:val="en-ZA"/>
        </w:rPr>
        <w:t>[</w:t>
      </w:r>
      <w:r w:rsidR="0088586C">
        <w:rPr>
          <w:rFonts w:eastAsia="Calibri"/>
          <w:sz w:val="28"/>
          <w:szCs w:val="28"/>
          <w:lang w:val="en-ZA"/>
        </w:rPr>
        <w:t>28</w:t>
      </w:r>
      <w:r>
        <w:rPr>
          <w:rFonts w:eastAsia="Calibri"/>
          <w:sz w:val="28"/>
          <w:szCs w:val="28"/>
          <w:lang w:val="en-ZA"/>
        </w:rPr>
        <w:t>]</w:t>
      </w:r>
      <w:r>
        <w:rPr>
          <w:rFonts w:eastAsia="Calibri"/>
          <w:sz w:val="28"/>
          <w:szCs w:val="28"/>
          <w:lang w:val="en-ZA"/>
        </w:rPr>
        <w:tab/>
        <w:t xml:space="preserve">It follows that the </w:t>
      </w:r>
      <w:r w:rsidR="007D5CC4">
        <w:rPr>
          <w:rFonts w:eastAsia="Calibri"/>
          <w:sz w:val="28"/>
          <w:szCs w:val="28"/>
          <w:lang w:val="en-ZA"/>
        </w:rPr>
        <w:t>first question must be answered in the negative. The lease agreement d</w:t>
      </w:r>
      <w:r w:rsidR="0088586C">
        <w:rPr>
          <w:rFonts w:eastAsia="Calibri"/>
          <w:sz w:val="28"/>
          <w:szCs w:val="28"/>
          <w:lang w:val="en-ZA"/>
        </w:rPr>
        <w:t>id</w:t>
      </w:r>
      <w:r>
        <w:rPr>
          <w:rFonts w:eastAsia="Calibri"/>
          <w:sz w:val="28"/>
          <w:szCs w:val="28"/>
          <w:lang w:val="en-ZA"/>
        </w:rPr>
        <w:t xml:space="preserve"> not preclude a claim for remission of rent arising from a </w:t>
      </w:r>
      <w:r>
        <w:rPr>
          <w:rFonts w:eastAsia="Calibri"/>
          <w:i/>
          <w:iCs/>
          <w:sz w:val="28"/>
          <w:szCs w:val="28"/>
          <w:lang w:val="en-ZA"/>
        </w:rPr>
        <w:t>vis major</w:t>
      </w:r>
      <w:r>
        <w:rPr>
          <w:rFonts w:eastAsia="Calibri"/>
          <w:sz w:val="28"/>
          <w:szCs w:val="28"/>
          <w:lang w:val="en-ZA"/>
        </w:rPr>
        <w:t xml:space="preserve"> event such as that relied upon in this case. </w:t>
      </w:r>
    </w:p>
    <w:p w14:paraId="2F31A13E" w14:textId="7E025E95" w:rsidR="00B67DF1" w:rsidRDefault="00B67DF1" w:rsidP="000C1370">
      <w:pPr>
        <w:spacing w:line="360" w:lineRule="auto"/>
        <w:jc w:val="both"/>
        <w:rPr>
          <w:rFonts w:eastAsia="Calibri"/>
          <w:sz w:val="28"/>
          <w:szCs w:val="28"/>
          <w:lang w:val="en-ZA"/>
        </w:rPr>
      </w:pPr>
    </w:p>
    <w:p w14:paraId="3BF38053" w14:textId="59389357" w:rsidR="00D93766" w:rsidRPr="00D93766" w:rsidRDefault="00D93766" w:rsidP="000C1370">
      <w:pPr>
        <w:spacing w:line="360" w:lineRule="auto"/>
        <w:jc w:val="both"/>
        <w:rPr>
          <w:rFonts w:eastAsia="Calibri"/>
          <w:b/>
          <w:bCs/>
          <w:sz w:val="28"/>
          <w:szCs w:val="28"/>
          <w:lang w:val="en-ZA"/>
        </w:rPr>
      </w:pPr>
      <w:r>
        <w:rPr>
          <w:rFonts w:eastAsia="Calibri"/>
          <w:b/>
          <w:bCs/>
          <w:sz w:val="28"/>
          <w:szCs w:val="28"/>
          <w:lang w:val="en-ZA"/>
        </w:rPr>
        <w:t>The effect of the Apoldo sub-tenancy</w:t>
      </w:r>
    </w:p>
    <w:p w14:paraId="7862B2DC" w14:textId="6C62F4D5" w:rsidR="003917D8" w:rsidRDefault="00B67DF1" w:rsidP="000C1370">
      <w:pPr>
        <w:spacing w:line="360" w:lineRule="auto"/>
        <w:jc w:val="both"/>
        <w:rPr>
          <w:rFonts w:eastAsia="Calibri"/>
          <w:iCs/>
          <w:sz w:val="28"/>
          <w:szCs w:val="28"/>
          <w:lang w:val="en-ZA"/>
        </w:rPr>
      </w:pPr>
      <w:r>
        <w:rPr>
          <w:rFonts w:eastAsia="Calibri"/>
          <w:sz w:val="28"/>
          <w:szCs w:val="28"/>
          <w:lang w:val="en-ZA"/>
        </w:rPr>
        <w:t>[</w:t>
      </w:r>
      <w:r w:rsidR="0088586C">
        <w:rPr>
          <w:rFonts w:eastAsia="Calibri"/>
          <w:sz w:val="28"/>
          <w:szCs w:val="28"/>
          <w:lang w:val="en-ZA"/>
        </w:rPr>
        <w:t>29</w:t>
      </w:r>
      <w:r>
        <w:rPr>
          <w:rFonts w:eastAsia="Calibri"/>
          <w:sz w:val="28"/>
          <w:szCs w:val="28"/>
          <w:lang w:val="en-ZA"/>
        </w:rPr>
        <w:t>]</w:t>
      </w:r>
      <w:r>
        <w:rPr>
          <w:rFonts w:eastAsia="Calibri"/>
          <w:sz w:val="28"/>
          <w:szCs w:val="28"/>
          <w:lang w:val="en-ZA"/>
        </w:rPr>
        <w:tab/>
      </w:r>
      <w:r w:rsidR="007D5CC4">
        <w:rPr>
          <w:rFonts w:eastAsia="Calibri"/>
          <w:sz w:val="28"/>
          <w:szCs w:val="28"/>
          <w:lang w:val="en-ZA"/>
        </w:rPr>
        <w:t>T</w:t>
      </w:r>
      <w:r w:rsidR="00D93766">
        <w:rPr>
          <w:rFonts w:eastAsia="Calibri"/>
          <w:sz w:val="28"/>
          <w:szCs w:val="28"/>
          <w:lang w:val="en-ZA"/>
        </w:rPr>
        <w:t>he</w:t>
      </w:r>
      <w:r w:rsidR="0088586C">
        <w:rPr>
          <w:rFonts w:eastAsia="Calibri"/>
          <w:sz w:val="28"/>
          <w:szCs w:val="28"/>
          <w:lang w:val="en-ZA"/>
        </w:rPr>
        <w:t xml:space="preserve"> next</w:t>
      </w:r>
      <w:r w:rsidR="00D93766">
        <w:rPr>
          <w:rFonts w:eastAsia="Calibri"/>
          <w:sz w:val="28"/>
          <w:szCs w:val="28"/>
          <w:lang w:val="en-ZA"/>
        </w:rPr>
        <w:t xml:space="preserve"> question </w:t>
      </w:r>
      <w:r w:rsidR="007D5CC4">
        <w:rPr>
          <w:rFonts w:eastAsia="Calibri"/>
          <w:sz w:val="28"/>
          <w:szCs w:val="28"/>
          <w:lang w:val="en-ZA"/>
        </w:rPr>
        <w:t xml:space="preserve">which </w:t>
      </w:r>
      <w:r w:rsidR="00D93766">
        <w:rPr>
          <w:rFonts w:eastAsia="Calibri"/>
          <w:sz w:val="28"/>
          <w:szCs w:val="28"/>
          <w:lang w:val="en-ZA"/>
        </w:rPr>
        <w:t>arises</w:t>
      </w:r>
      <w:r w:rsidR="007D5CC4">
        <w:rPr>
          <w:rFonts w:eastAsia="Calibri"/>
          <w:sz w:val="28"/>
          <w:szCs w:val="28"/>
          <w:lang w:val="en-ZA"/>
        </w:rPr>
        <w:t xml:space="preserve"> is </w:t>
      </w:r>
      <w:r w:rsidR="00D93766">
        <w:rPr>
          <w:rFonts w:eastAsia="Calibri"/>
          <w:sz w:val="28"/>
          <w:szCs w:val="28"/>
          <w:lang w:val="en-ZA"/>
        </w:rPr>
        <w:t>whether the Butcher Shop</w:t>
      </w:r>
      <w:r w:rsidR="0088586C">
        <w:rPr>
          <w:rFonts w:eastAsia="Calibri"/>
          <w:sz w:val="28"/>
          <w:szCs w:val="28"/>
          <w:lang w:val="en-ZA"/>
        </w:rPr>
        <w:t xml:space="preserve"> </w:t>
      </w:r>
      <w:r w:rsidR="002E1082">
        <w:rPr>
          <w:rFonts w:eastAsia="Calibri"/>
          <w:sz w:val="28"/>
          <w:szCs w:val="28"/>
          <w:lang w:val="en-ZA"/>
        </w:rPr>
        <w:t>has</w:t>
      </w:r>
      <w:r w:rsidR="00D93766">
        <w:rPr>
          <w:rFonts w:eastAsia="Calibri"/>
          <w:sz w:val="28"/>
          <w:szCs w:val="28"/>
          <w:lang w:val="en-ZA"/>
        </w:rPr>
        <w:t xml:space="preserve"> </w:t>
      </w:r>
      <w:r w:rsidR="0088586C">
        <w:rPr>
          <w:rFonts w:eastAsia="Calibri"/>
          <w:sz w:val="28"/>
          <w:szCs w:val="28"/>
          <w:lang w:val="en-ZA"/>
        </w:rPr>
        <w:t>a</w:t>
      </w:r>
      <w:r w:rsidR="00D93766">
        <w:rPr>
          <w:rFonts w:eastAsia="Calibri"/>
          <w:sz w:val="28"/>
          <w:szCs w:val="28"/>
          <w:lang w:val="en-ZA"/>
        </w:rPr>
        <w:t xml:space="preserve"> claim</w:t>
      </w:r>
      <w:r w:rsidR="0088586C">
        <w:rPr>
          <w:rFonts w:eastAsia="Calibri"/>
          <w:sz w:val="28"/>
          <w:szCs w:val="28"/>
          <w:lang w:val="en-ZA"/>
        </w:rPr>
        <w:t>, in law,</w:t>
      </w:r>
      <w:r w:rsidR="002E1082">
        <w:rPr>
          <w:rFonts w:eastAsia="Calibri"/>
          <w:sz w:val="28"/>
          <w:szCs w:val="28"/>
          <w:lang w:val="en-ZA"/>
        </w:rPr>
        <w:t xml:space="preserve"> for </w:t>
      </w:r>
      <w:r w:rsidR="0088586C">
        <w:rPr>
          <w:rFonts w:eastAsia="Calibri"/>
          <w:sz w:val="28"/>
          <w:szCs w:val="28"/>
          <w:lang w:val="en-ZA"/>
        </w:rPr>
        <w:t xml:space="preserve">the </w:t>
      </w:r>
      <w:r w:rsidR="002E1082">
        <w:rPr>
          <w:rFonts w:eastAsia="Calibri"/>
          <w:sz w:val="28"/>
          <w:szCs w:val="28"/>
          <w:lang w:val="en-ZA"/>
        </w:rPr>
        <w:t>loss of use and enjoyment of the premises suffered by Apoldo</w:t>
      </w:r>
      <w:r w:rsidR="00D93766">
        <w:rPr>
          <w:rFonts w:eastAsia="Calibri"/>
          <w:sz w:val="28"/>
          <w:szCs w:val="28"/>
          <w:lang w:val="en-ZA"/>
        </w:rPr>
        <w:t>.</w:t>
      </w:r>
      <w:r w:rsidR="007D5CC4">
        <w:rPr>
          <w:rFonts w:eastAsia="Calibri"/>
          <w:sz w:val="28"/>
          <w:szCs w:val="28"/>
          <w:lang w:val="en-ZA"/>
        </w:rPr>
        <w:t xml:space="preserve"> </w:t>
      </w:r>
      <w:r w:rsidR="007E06E2">
        <w:rPr>
          <w:rFonts w:eastAsia="Calibri"/>
          <w:sz w:val="28"/>
          <w:szCs w:val="28"/>
          <w:lang w:val="en-ZA"/>
        </w:rPr>
        <w:t xml:space="preserve">Counsel for the Butcher Shop placed heavy reliance upon the judgment in </w:t>
      </w:r>
      <w:r w:rsidR="007E06E2">
        <w:rPr>
          <w:rFonts w:eastAsia="Calibri"/>
          <w:i/>
          <w:iCs/>
          <w:sz w:val="28"/>
          <w:szCs w:val="28"/>
          <w:lang w:val="en-ZA"/>
        </w:rPr>
        <w:t>North Western Hotel Ltd v Rolfes, Nebel &amp; Co</w:t>
      </w:r>
      <w:r w:rsidR="007E06E2">
        <w:rPr>
          <w:rStyle w:val="FootnoteReference"/>
          <w:rFonts w:eastAsia="Calibri"/>
          <w:iCs/>
          <w:sz w:val="28"/>
          <w:szCs w:val="28"/>
          <w:lang w:val="en-ZA"/>
        </w:rPr>
        <w:footnoteReference w:id="8"/>
      </w:r>
      <w:r w:rsidR="00A55F59">
        <w:rPr>
          <w:rFonts w:eastAsia="Calibri"/>
          <w:i/>
          <w:iCs/>
          <w:sz w:val="28"/>
          <w:szCs w:val="28"/>
          <w:lang w:val="en-ZA"/>
        </w:rPr>
        <w:t xml:space="preserve"> </w:t>
      </w:r>
      <w:r w:rsidR="007E06E2">
        <w:rPr>
          <w:rFonts w:eastAsia="Calibri"/>
          <w:iCs/>
          <w:sz w:val="28"/>
          <w:szCs w:val="28"/>
          <w:lang w:val="en-ZA"/>
        </w:rPr>
        <w:t xml:space="preserve">to support the proposition that a tenant may seek remission of rent in circumstances where a sub-tenant has suffered the loss of use and enjoyment of the leased property as a result of </w:t>
      </w:r>
      <w:r w:rsidR="007E06E2">
        <w:rPr>
          <w:rFonts w:eastAsia="Calibri"/>
          <w:i/>
          <w:sz w:val="28"/>
          <w:szCs w:val="28"/>
          <w:lang w:val="en-ZA"/>
        </w:rPr>
        <w:t>vis major.</w:t>
      </w:r>
      <w:r w:rsidR="00A64141">
        <w:rPr>
          <w:rFonts w:eastAsia="Calibri"/>
          <w:iCs/>
          <w:sz w:val="28"/>
          <w:szCs w:val="28"/>
          <w:lang w:val="en-ZA"/>
        </w:rPr>
        <w:t xml:space="preserve"> </w:t>
      </w:r>
    </w:p>
    <w:p w14:paraId="7D010870" w14:textId="77777777" w:rsidR="003917D8" w:rsidRDefault="003917D8" w:rsidP="000C1370">
      <w:pPr>
        <w:spacing w:line="360" w:lineRule="auto"/>
        <w:jc w:val="both"/>
        <w:rPr>
          <w:rFonts w:eastAsia="Calibri"/>
          <w:iCs/>
          <w:sz w:val="28"/>
          <w:szCs w:val="28"/>
          <w:lang w:val="en-ZA"/>
        </w:rPr>
      </w:pPr>
    </w:p>
    <w:p w14:paraId="71AD1782" w14:textId="34932F0F" w:rsidR="007E06E2" w:rsidRPr="007D5CC4" w:rsidRDefault="003917D8" w:rsidP="000C1370">
      <w:pPr>
        <w:spacing w:line="360" w:lineRule="auto"/>
        <w:jc w:val="both"/>
        <w:rPr>
          <w:rFonts w:eastAsia="Calibri"/>
          <w:sz w:val="28"/>
          <w:szCs w:val="28"/>
          <w:lang w:val="en-ZA"/>
        </w:rPr>
      </w:pPr>
      <w:r>
        <w:rPr>
          <w:rFonts w:eastAsia="Calibri"/>
          <w:iCs/>
          <w:sz w:val="28"/>
          <w:szCs w:val="28"/>
          <w:lang w:val="en-ZA"/>
        </w:rPr>
        <w:t>[3</w:t>
      </w:r>
      <w:r w:rsidR="0088586C">
        <w:rPr>
          <w:rFonts w:eastAsia="Calibri"/>
          <w:iCs/>
          <w:sz w:val="28"/>
          <w:szCs w:val="28"/>
          <w:lang w:val="en-ZA"/>
        </w:rPr>
        <w:t>0</w:t>
      </w:r>
      <w:r>
        <w:rPr>
          <w:rFonts w:eastAsia="Calibri"/>
          <w:iCs/>
          <w:sz w:val="28"/>
          <w:szCs w:val="28"/>
          <w:lang w:val="en-ZA"/>
        </w:rPr>
        <w:t>]</w:t>
      </w:r>
      <w:r>
        <w:rPr>
          <w:rFonts w:eastAsia="Calibri"/>
          <w:iCs/>
          <w:sz w:val="28"/>
          <w:szCs w:val="28"/>
          <w:lang w:val="en-ZA"/>
        </w:rPr>
        <w:tab/>
      </w:r>
      <w:r w:rsidR="00A64141">
        <w:rPr>
          <w:rFonts w:eastAsia="Calibri"/>
          <w:iCs/>
          <w:sz w:val="28"/>
          <w:szCs w:val="28"/>
          <w:lang w:val="en-ZA"/>
        </w:rPr>
        <w:t xml:space="preserve">The facts of that matter were as follows. The </w:t>
      </w:r>
      <w:r w:rsidR="00FB7581">
        <w:rPr>
          <w:rFonts w:eastAsia="Calibri"/>
          <w:iCs/>
          <w:sz w:val="28"/>
          <w:szCs w:val="28"/>
          <w:lang w:val="en-ZA"/>
        </w:rPr>
        <w:t>plaintiff</w:t>
      </w:r>
      <w:r w:rsidR="00A64141">
        <w:rPr>
          <w:rFonts w:eastAsia="Calibri"/>
          <w:iCs/>
          <w:sz w:val="28"/>
          <w:szCs w:val="28"/>
          <w:lang w:val="en-ZA"/>
        </w:rPr>
        <w:t xml:space="preserve">, </w:t>
      </w:r>
      <w:r w:rsidR="00FB7581">
        <w:rPr>
          <w:rFonts w:eastAsia="Calibri"/>
          <w:iCs/>
          <w:sz w:val="28"/>
          <w:szCs w:val="28"/>
          <w:lang w:val="en-ZA"/>
        </w:rPr>
        <w:t>North Western</w:t>
      </w:r>
      <w:r w:rsidR="00A64141">
        <w:rPr>
          <w:rFonts w:eastAsia="Calibri"/>
          <w:iCs/>
          <w:sz w:val="28"/>
          <w:szCs w:val="28"/>
          <w:lang w:val="en-ZA"/>
        </w:rPr>
        <w:t>, owned a property on which was constructed an hotel. It let the property to the defendant, Rolfes, Nebel &amp; Co</w:t>
      </w:r>
      <w:r w:rsidR="0088586C">
        <w:rPr>
          <w:rFonts w:eastAsia="Calibri"/>
          <w:iCs/>
          <w:sz w:val="28"/>
          <w:szCs w:val="28"/>
          <w:lang w:val="en-ZA"/>
        </w:rPr>
        <w:t xml:space="preserve"> (Rolfes)</w:t>
      </w:r>
      <w:r w:rsidR="00A64141">
        <w:rPr>
          <w:rFonts w:eastAsia="Calibri"/>
          <w:iCs/>
          <w:sz w:val="28"/>
          <w:szCs w:val="28"/>
          <w:lang w:val="en-ZA"/>
        </w:rPr>
        <w:t>, who in turn sub-let the property to two sub-</w:t>
      </w:r>
      <w:r w:rsidR="00FB7581">
        <w:rPr>
          <w:rFonts w:eastAsia="Calibri"/>
          <w:iCs/>
          <w:sz w:val="28"/>
          <w:szCs w:val="28"/>
          <w:lang w:val="en-ZA"/>
        </w:rPr>
        <w:t>tenants</w:t>
      </w:r>
      <w:r w:rsidR="00A64141">
        <w:rPr>
          <w:rFonts w:eastAsia="Calibri"/>
          <w:iCs/>
          <w:sz w:val="28"/>
          <w:szCs w:val="28"/>
          <w:lang w:val="en-ZA"/>
        </w:rPr>
        <w:t xml:space="preserve"> who </w:t>
      </w:r>
      <w:r w:rsidR="00FB7581">
        <w:rPr>
          <w:rFonts w:eastAsia="Calibri"/>
          <w:iCs/>
          <w:sz w:val="28"/>
          <w:szCs w:val="28"/>
          <w:lang w:val="en-ZA"/>
        </w:rPr>
        <w:t>conducted the</w:t>
      </w:r>
      <w:r w:rsidR="00A64141">
        <w:rPr>
          <w:rFonts w:eastAsia="Calibri"/>
          <w:iCs/>
          <w:sz w:val="28"/>
          <w:szCs w:val="28"/>
          <w:lang w:val="en-ZA"/>
        </w:rPr>
        <w:t xml:space="preserve"> business of an hotel on the property. The lease conferred on the tenant the right to cancel the lease </w:t>
      </w:r>
      <w:r w:rsidR="0088586C">
        <w:rPr>
          <w:rFonts w:eastAsia="Calibri"/>
          <w:iCs/>
          <w:sz w:val="28"/>
          <w:szCs w:val="28"/>
          <w:lang w:val="en-ZA"/>
        </w:rPr>
        <w:t>if</w:t>
      </w:r>
      <w:r w:rsidR="00A64141">
        <w:rPr>
          <w:rFonts w:eastAsia="Calibri"/>
          <w:iCs/>
          <w:sz w:val="28"/>
          <w:szCs w:val="28"/>
          <w:lang w:val="en-ZA"/>
        </w:rPr>
        <w:t xml:space="preserve"> its </w:t>
      </w:r>
      <w:r w:rsidR="00FB7581">
        <w:rPr>
          <w:rFonts w:eastAsia="Calibri"/>
          <w:iCs/>
          <w:sz w:val="28"/>
          <w:szCs w:val="28"/>
          <w:lang w:val="en-ZA"/>
        </w:rPr>
        <w:t>liquor</w:t>
      </w:r>
      <w:r w:rsidR="00A64141">
        <w:rPr>
          <w:rFonts w:eastAsia="Calibri"/>
          <w:iCs/>
          <w:sz w:val="28"/>
          <w:szCs w:val="28"/>
          <w:lang w:val="en-ZA"/>
        </w:rPr>
        <w:t xml:space="preserve"> licence was </w:t>
      </w:r>
      <w:r w:rsidR="00A64141">
        <w:rPr>
          <w:rFonts w:eastAsia="Calibri"/>
          <w:iCs/>
          <w:sz w:val="28"/>
          <w:szCs w:val="28"/>
          <w:lang w:val="en-ZA"/>
        </w:rPr>
        <w:lastRenderedPageBreak/>
        <w:t>revoked</w:t>
      </w:r>
      <w:r w:rsidR="00ED1600">
        <w:rPr>
          <w:rFonts w:eastAsia="Calibri"/>
          <w:iCs/>
          <w:sz w:val="28"/>
          <w:szCs w:val="28"/>
          <w:lang w:val="en-ZA"/>
        </w:rPr>
        <w:t xml:space="preserve">. At the outbreak of the South African War, the </w:t>
      </w:r>
      <w:r w:rsidR="00FB7581">
        <w:rPr>
          <w:rFonts w:eastAsia="Calibri"/>
          <w:iCs/>
          <w:sz w:val="28"/>
          <w:szCs w:val="28"/>
          <w:lang w:val="en-ZA"/>
        </w:rPr>
        <w:t>Government</w:t>
      </w:r>
      <w:r w:rsidR="00ED1600">
        <w:rPr>
          <w:rFonts w:eastAsia="Calibri"/>
          <w:iCs/>
          <w:sz w:val="28"/>
          <w:szCs w:val="28"/>
          <w:lang w:val="en-ZA"/>
        </w:rPr>
        <w:t xml:space="preserve"> of the Zuid Afrikaanse Republiek prohibited the sale of liquor at hotels and bars. When the sub-tenants </w:t>
      </w:r>
      <w:r>
        <w:rPr>
          <w:rFonts w:eastAsia="Calibri"/>
          <w:iCs/>
          <w:sz w:val="28"/>
          <w:szCs w:val="28"/>
          <w:lang w:val="en-ZA"/>
        </w:rPr>
        <w:t xml:space="preserve">wanted </w:t>
      </w:r>
      <w:r w:rsidR="00ED1600">
        <w:rPr>
          <w:rFonts w:eastAsia="Calibri"/>
          <w:iCs/>
          <w:sz w:val="28"/>
          <w:szCs w:val="28"/>
          <w:lang w:val="en-ZA"/>
        </w:rPr>
        <w:t>to cease operating the hotel</w:t>
      </w:r>
      <w:r>
        <w:rPr>
          <w:rFonts w:eastAsia="Calibri"/>
          <w:iCs/>
          <w:sz w:val="28"/>
          <w:szCs w:val="28"/>
          <w:lang w:val="en-ZA"/>
        </w:rPr>
        <w:t>,</w:t>
      </w:r>
      <w:r w:rsidR="00ED1600">
        <w:rPr>
          <w:rFonts w:eastAsia="Calibri"/>
          <w:iCs/>
          <w:sz w:val="28"/>
          <w:szCs w:val="28"/>
          <w:lang w:val="en-ZA"/>
        </w:rPr>
        <w:t xml:space="preserve"> they were compelled to continue its operation under threat that the Government would take over the operation. At some point thereafter the liquor licence was </w:t>
      </w:r>
      <w:r w:rsidR="0088586C">
        <w:rPr>
          <w:rFonts w:eastAsia="Calibri"/>
          <w:iCs/>
          <w:sz w:val="28"/>
          <w:szCs w:val="28"/>
          <w:lang w:val="en-ZA"/>
        </w:rPr>
        <w:t>restored,</w:t>
      </w:r>
      <w:r w:rsidR="00ED1600">
        <w:rPr>
          <w:rFonts w:eastAsia="Calibri"/>
          <w:iCs/>
          <w:sz w:val="28"/>
          <w:szCs w:val="28"/>
          <w:lang w:val="en-ZA"/>
        </w:rPr>
        <w:t xml:space="preserve"> and they were able to operate the hotel along normal lines. Still later, the British military authorities took occupation of the hotel. It was </w:t>
      </w:r>
      <w:r>
        <w:rPr>
          <w:rFonts w:eastAsia="Calibri"/>
          <w:iCs/>
          <w:sz w:val="28"/>
          <w:szCs w:val="28"/>
          <w:lang w:val="en-ZA"/>
        </w:rPr>
        <w:t>then</w:t>
      </w:r>
      <w:r w:rsidR="00ED1600">
        <w:rPr>
          <w:rFonts w:eastAsia="Calibri"/>
          <w:iCs/>
          <w:sz w:val="28"/>
          <w:szCs w:val="28"/>
          <w:lang w:val="en-ZA"/>
        </w:rPr>
        <w:t xml:space="preserve"> </w:t>
      </w:r>
      <w:r w:rsidR="00FB7581">
        <w:rPr>
          <w:rFonts w:eastAsia="Calibri"/>
          <w:iCs/>
          <w:sz w:val="28"/>
          <w:szCs w:val="28"/>
          <w:lang w:val="en-ZA"/>
        </w:rPr>
        <w:t>used</w:t>
      </w:r>
      <w:r w:rsidR="00ED1600">
        <w:rPr>
          <w:rFonts w:eastAsia="Calibri"/>
          <w:iCs/>
          <w:sz w:val="28"/>
          <w:szCs w:val="28"/>
          <w:lang w:val="en-ZA"/>
        </w:rPr>
        <w:t xml:space="preserve"> to accommodate a military unit and as a site for accommodating refugees. During this latter period considerable damage was done to the </w:t>
      </w:r>
      <w:r>
        <w:rPr>
          <w:rFonts w:eastAsia="Calibri"/>
          <w:iCs/>
          <w:sz w:val="28"/>
          <w:szCs w:val="28"/>
          <w:lang w:val="en-ZA"/>
        </w:rPr>
        <w:t xml:space="preserve">property and the </w:t>
      </w:r>
      <w:r w:rsidR="00ED1600">
        <w:rPr>
          <w:rFonts w:eastAsia="Calibri"/>
          <w:iCs/>
          <w:sz w:val="28"/>
          <w:szCs w:val="28"/>
          <w:lang w:val="en-ZA"/>
        </w:rPr>
        <w:t>furniture of the hotel.</w:t>
      </w:r>
    </w:p>
    <w:p w14:paraId="0D6B66D0" w14:textId="77777777" w:rsidR="00FB7581" w:rsidRDefault="00FB7581" w:rsidP="000C1370">
      <w:pPr>
        <w:spacing w:line="360" w:lineRule="auto"/>
        <w:jc w:val="both"/>
        <w:rPr>
          <w:rFonts w:eastAsia="Calibri"/>
          <w:iCs/>
          <w:sz w:val="28"/>
          <w:szCs w:val="28"/>
          <w:lang w:val="en-ZA"/>
        </w:rPr>
      </w:pPr>
    </w:p>
    <w:p w14:paraId="4431641E" w14:textId="62478EC8" w:rsidR="00FB7581" w:rsidRDefault="00ED1600" w:rsidP="000C1370">
      <w:pPr>
        <w:spacing w:line="360" w:lineRule="auto"/>
        <w:jc w:val="both"/>
        <w:rPr>
          <w:rFonts w:eastAsia="Calibri"/>
          <w:iCs/>
          <w:sz w:val="28"/>
          <w:szCs w:val="28"/>
          <w:lang w:val="en-ZA"/>
        </w:rPr>
      </w:pPr>
      <w:r>
        <w:rPr>
          <w:rFonts w:eastAsia="Calibri"/>
          <w:iCs/>
          <w:sz w:val="28"/>
          <w:szCs w:val="28"/>
          <w:lang w:val="en-ZA"/>
        </w:rPr>
        <w:t>[</w:t>
      </w:r>
      <w:r w:rsidR="003917D8">
        <w:rPr>
          <w:rFonts w:eastAsia="Calibri"/>
          <w:iCs/>
          <w:sz w:val="28"/>
          <w:szCs w:val="28"/>
          <w:lang w:val="en-ZA"/>
        </w:rPr>
        <w:t>3</w:t>
      </w:r>
      <w:r w:rsidR="0088586C">
        <w:rPr>
          <w:rFonts w:eastAsia="Calibri"/>
          <w:iCs/>
          <w:sz w:val="28"/>
          <w:szCs w:val="28"/>
          <w:lang w:val="en-ZA"/>
        </w:rPr>
        <w:t>1</w:t>
      </w:r>
      <w:r>
        <w:rPr>
          <w:rFonts w:eastAsia="Calibri"/>
          <w:iCs/>
          <w:sz w:val="28"/>
          <w:szCs w:val="28"/>
          <w:lang w:val="en-ZA"/>
        </w:rPr>
        <w:t>]</w:t>
      </w:r>
      <w:r>
        <w:rPr>
          <w:rFonts w:eastAsia="Calibri"/>
          <w:iCs/>
          <w:sz w:val="28"/>
          <w:szCs w:val="28"/>
          <w:lang w:val="en-ZA"/>
        </w:rPr>
        <w:tab/>
        <w:t>North Western brought an action to recover rent due to it</w:t>
      </w:r>
      <w:r w:rsidR="00987E4F">
        <w:rPr>
          <w:rFonts w:eastAsia="Calibri"/>
          <w:iCs/>
          <w:sz w:val="28"/>
          <w:szCs w:val="28"/>
          <w:lang w:val="en-ZA"/>
        </w:rPr>
        <w:t xml:space="preserve">; </w:t>
      </w:r>
      <w:r>
        <w:rPr>
          <w:rFonts w:eastAsia="Calibri"/>
          <w:iCs/>
          <w:sz w:val="28"/>
          <w:szCs w:val="28"/>
          <w:lang w:val="en-ZA"/>
        </w:rPr>
        <w:t>for compensation for the damage to the furniture</w:t>
      </w:r>
      <w:r w:rsidR="00987E4F">
        <w:rPr>
          <w:rFonts w:eastAsia="Calibri"/>
          <w:iCs/>
          <w:sz w:val="28"/>
          <w:szCs w:val="28"/>
          <w:lang w:val="en-ZA"/>
        </w:rPr>
        <w:t xml:space="preserve">; and </w:t>
      </w:r>
      <w:r w:rsidR="006823C2">
        <w:rPr>
          <w:rFonts w:eastAsia="Calibri"/>
          <w:iCs/>
          <w:sz w:val="28"/>
          <w:szCs w:val="28"/>
          <w:lang w:val="en-ZA"/>
        </w:rPr>
        <w:t xml:space="preserve">that Rolfes deliver the property in proper repair or pay an amount sufficient to </w:t>
      </w:r>
      <w:r w:rsidR="003917D8">
        <w:rPr>
          <w:rFonts w:eastAsia="Calibri"/>
          <w:iCs/>
          <w:sz w:val="28"/>
          <w:szCs w:val="28"/>
          <w:lang w:val="en-ZA"/>
        </w:rPr>
        <w:t>undertake</w:t>
      </w:r>
      <w:r w:rsidR="006823C2">
        <w:rPr>
          <w:rFonts w:eastAsia="Calibri"/>
          <w:iCs/>
          <w:sz w:val="28"/>
          <w:szCs w:val="28"/>
          <w:lang w:val="en-ZA"/>
        </w:rPr>
        <w:t xml:space="preserve"> such repairs.</w:t>
      </w:r>
      <w:r>
        <w:rPr>
          <w:rFonts w:eastAsia="Calibri"/>
          <w:iCs/>
          <w:sz w:val="28"/>
          <w:szCs w:val="28"/>
          <w:lang w:val="en-ZA"/>
        </w:rPr>
        <w:t xml:space="preserve"> </w:t>
      </w:r>
      <w:r w:rsidR="00987E4F">
        <w:rPr>
          <w:rFonts w:eastAsia="Calibri"/>
          <w:iCs/>
          <w:sz w:val="28"/>
          <w:szCs w:val="28"/>
          <w:lang w:val="en-ZA"/>
        </w:rPr>
        <w:t>Rolfes</w:t>
      </w:r>
      <w:r w:rsidR="006823C2">
        <w:rPr>
          <w:rFonts w:eastAsia="Calibri"/>
          <w:iCs/>
          <w:sz w:val="28"/>
          <w:szCs w:val="28"/>
          <w:lang w:val="en-ZA"/>
        </w:rPr>
        <w:t xml:space="preserve"> resisted the claim on the basis that the sub-tenant had been deprived of its use and enjoyment of the property and that the damage caused to the furniture and the property occurred </w:t>
      </w:r>
      <w:r w:rsidR="006823C2">
        <w:rPr>
          <w:rFonts w:eastAsia="Calibri"/>
          <w:i/>
          <w:sz w:val="28"/>
          <w:szCs w:val="28"/>
          <w:lang w:val="en-ZA"/>
        </w:rPr>
        <w:t xml:space="preserve">casus fortuitus. </w:t>
      </w:r>
      <w:r w:rsidR="006823C2">
        <w:rPr>
          <w:rFonts w:eastAsia="Calibri"/>
          <w:iCs/>
          <w:sz w:val="28"/>
          <w:szCs w:val="28"/>
          <w:lang w:val="en-ZA"/>
        </w:rPr>
        <w:t xml:space="preserve">It sought determination of the remission by way of a claim in reconvention. </w:t>
      </w:r>
      <w:r w:rsidR="00987E4F">
        <w:rPr>
          <w:rFonts w:eastAsia="Calibri"/>
          <w:iCs/>
          <w:sz w:val="28"/>
          <w:szCs w:val="28"/>
          <w:lang w:val="en-ZA"/>
        </w:rPr>
        <w:t>The court</w:t>
      </w:r>
      <w:r w:rsidR="006823C2">
        <w:rPr>
          <w:rFonts w:eastAsia="Calibri"/>
          <w:iCs/>
          <w:sz w:val="28"/>
          <w:szCs w:val="28"/>
          <w:lang w:val="en-ZA"/>
        </w:rPr>
        <w:t xml:space="preserve"> granted judgment in favour of North Western for rent</w:t>
      </w:r>
      <w:r w:rsidR="003917D8">
        <w:rPr>
          <w:rFonts w:eastAsia="Calibri"/>
          <w:iCs/>
          <w:sz w:val="28"/>
          <w:szCs w:val="28"/>
          <w:lang w:val="en-ZA"/>
        </w:rPr>
        <w:t xml:space="preserve"> </w:t>
      </w:r>
      <w:r w:rsidR="00500470">
        <w:rPr>
          <w:rFonts w:eastAsia="Calibri"/>
          <w:iCs/>
          <w:sz w:val="28"/>
          <w:szCs w:val="28"/>
          <w:lang w:val="en-ZA"/>
        </w:rPr>
        <w:t xml:space="preserve">which was payable during the period from the outbreak of war until 5 August 1900 when the British forces </w:t>
      </w:r>
      <w:r w:rsidR="00FB7581">
        <w:rPr>
          <w:rFonts w:eastAsia="Calibri"/>
          <w:iCs/>
          <w:sz w:val="28"/>
          <w:szCs w:val="28"/>
          <w:lang w:val="en-ZA"/>
        </w:rPr>
        <w:t>commandeered</w:t>
      </w:r>
      <w:r w:rsidR="00500470">
        <w:rPr>
          <w:rFonts w:eastAsia="Calibri"/>
          <w:iCs/>
          <w:sz w:val="28"/>
          <w:szCs w:val="28"/>
          <w:lang w:val="en-ZA"/>
        </w:rPr>
        <w:t xml:space="preserve"> the hotel. It allowed Rolfes full remission of rent for the period 5 August 1900 until 15 July 1901on the basis that the British occupation of the hotel deprived the sub-tenants of the </w:t>
      </w:r>
      <w:r w:rsidR="002E1082">
        <w:rPr>
          <w:rFonts w:eastAsia="Calibri"/>
          <w:iCs/>
          <w:sz w:val="28"/>
          <w:szCs w:val="28"/>
          <w:lang w:val="en-ZA"/>
        </w:rPr>
        <w:t xml:space="preserve">beneficial </w:t>
      </w:r>
      <w:r w:rsidR="00500470">
        <w:rPr>
          <w:rFonts w:eastAsia="Calibri"/>
          <w:iCs/>
          <w:sz w:val="28"/>
          <w:szCs w:val="28"/>
          <w:lang w:val="en-ZA"/>
        </w:rPr>
        <w:t>use of the property. It also granted full remission of rent for the period</w:t>
      </w:r>
      <w:r w:rsidR="00376E30">
        <w:rPr>
          <w:rFonts w:eastAsia="Calibri"/>
          <w:iCs/>
          <w:sz w:val="28"/>
          <w:szCs w:val="28"/>
          <w:lang w:val="en-ZA"/>
        </w:rPr>
        <w:t xml:space="preserve"> from July 1901 until the tenants quit the hotel in September 1902. The court did so on the basis that the damage to the furniture </w:t>
      </w:r>
      <w:r w:rsidR="003917D8">
        <w:rPr>
          <w:rFonts w:eastAsia="Calibri"/>
          <w:iCs/>
          <w:sz w:val="28"/>
          <w:szCs w:val="28"/>
          <w:lang w:val="en-ZA"/>
        </w:rPr>
        <w:t>rendered the</w:t>
      </w:r>
      <w:r w:rsidR="00376E30">
        <w:rPr>
          <w:rFonts w:eastAsia="Calibri"/>
          <w:iCs/>
          <w:sz w:val="28"/>
          <w:szCs w:val="28"/>
          <w:lang w:val="en-ZA"/>
        </w:rPr>
        <w:t xml:space="preserve"> property unfit for the purpose for which it was let. It found that </w:t>
      </w:r>
      <w:r w:rsidR="00FB7581">
        <w:rPr>
          <w:rFonts w:eastAsia="Calibri"/>
          <w:iCs/>
          <w:sz w:val="28"/>
          <w:szCs w:val="28"/>
          <w:lang w:val="en-ZA"/>
        </w:rPr>
        <w:t>the circumstances</w:t>
      </w:r>
      <w:r w:rsidR="00376E30">
        <w:rPr>
          <w:rFonts w:eastAsia="Calibri"/>
          <w:iCs/>
          <w:sz w:val="28"/>
          <w:szCs w:val="28"/>
          <w:lang w:val="en-ZA"/>
        </w:rPr>
        <w:t xml:space="preserve"> in which the property came to be damaged</w:t>
      </w:r>
      <w:r w:rsidR="003917D8">
        <w:rPr>
          <w:rFonts w:eastAsia="Calibri"/>
          <w:iCs/>
          <w:sz w:val="28"/>
          <w:szCs w:val="28"/>
          <w:lang w:val="en-ZA"/>
        </w:rPr>
        <w:t>,</w:t>
      </w:r>
      <w:r w:rsidR="00376E30">
        <w:rPr>
          <w:rFonts w:eastAsia="Calibri"/>
          <w:iCs/>
          <w:sz w:val="28"/>
          <w:szCs w:val="28"/>
          <w:lang w:val="en-ZA"/>
        </w:rPr>
        <w:t xml:space="preserve"> was not within the contemplation of the parties; that Rolfes had not assumed such risk and had not assumed the landlord’s obligations to keep the property in proper repair. The court </w:t>
      </w:r>
      <w:r w:rsidR="003917D8">
        <w:rPr>
          <w:rFonts w:eastAsia="Calibri"/>
          <w:iCs/>
          <w:sz w:val="28"/>
          <w:szCs w:val="28"/>
          <w:lang w:val="en-ZA"/>
        </w:rPr>
        <w:t xml:space="preserve">therefore </w:t>
      </w:r>
      <w:r w:rsidR="00376E30">
        <w:rPr>
          <w:rFonts w:eastAsia="Calibri"/>
          <w:iCs/>
          <w:sz w:val="28"/>
          <w:szCs w:val="28"/>
          <w:lang w:val="en-ZA"/>
        </w:rPr>
        <w:t>dismissed the claim for payment of the damage caused to the furniture and the buildings.</w:t>
      </w:r>
    </w:p>
    <w:p w14:paraId="3FAED21F" w14:textId="4970F234" w:rsidR="00376E30" w:rsidRDefault="00376E30" w:rsidP="000C1370">
      <w:pPr>
        <w:spacing w:line="360" w:lineRule="auto"/>
        <w:jc w:val="both"/>
        <w:rPr>
          <w:rFonts w:eastAsia="Calibri"/>
          <w:iCs/>
          <w:sz w:val="28"/>
          <w:szCs w:val="28"/>
          <w:lang w:val="en-ZA"/>
        </w:rPr>
      </w:pPr>
      <w:r>
        <w:rPr>
          <w:rFonts w:eastAsia="Calibri"/>
          <w:iCs/>
          <w:sz w:val="28"/>
          <w:szCs w:val="28"/>
          <w:lang w:val="en-ZA"/>
        </w:rPr>
        <w:lastRenderedPageBreak/>
        <w:t>[</w:t>
      </w:r>
      <w:r w:rsidR="003917D8">
        <w:rPr>
          <w:rFonts w:eastAsia="Calibri"/>
          <w:iCs/>
          <w:sz w:val="28"/>
          <w:szCs w:val="28"/>
          <w:lang w:val="en-ZA"/>
        </w:rPr>
        <w:t>3</w:t>
      </w:r>
      <w:r w:rsidR="0088586C">
        <w:rPr>
          <w:rFonts w:eastAsia="Calibri"/>
          <w:iCs/>
          <w:sz w:val="28"/>
          <w:szCs w:val="28"/>
          <w:lang w:val="en-ZA"/>
        </w:rPr>
        <w:t>2</w:t>
      </w:r>
      <w:r>
        <w:rPr>
          <w:rFonts w:eastAsia="Calibri"/>
          <w:iCs/>
          <w:sz w:val="28"/>
          <w:szCs w:val="28"/>
          <w:lang w:val="en-ZA"/>
        </w:rPr>
        <w:t>]</w:t>
      </w:r>
      <w:r>
        <w:rPr>
          <w:rFonts w:eastAsia="Calibri"/>
          <w:iCs/>
          <w:sz w:val="28"/>
          <w:szCs w:val="28"/>
          <w:lang w:val="en-ZA"/>
        </w:rPr>
        <w:tab/>
        <w:t xml:space="preserve">While these facts suggest, at face value, that the court in </w:t>
      </w:r>
      <w:r>
        <w:rPr>
          <w:rFonts w:eastAsia="Calibri"/>
          <w:i/>
          <w:sz w:val="28"/>
          <w:szCs w:val="28"/>
          <w:lang w:val="en-ZA"/>
        </w:rPr>
        <w:t>North Western Hotel</w:t>
      </w:r>
      <w:r>
        <w:rPr>
          <w:rFonts w:eastAsia="Calibri"/>
          <w:iCs/>
          <w:sz w:val="28"/>
          <w:szCs w:val="28"/>
          <w:lang w:val="en-ZA"/>
        </w:rPr>
        <w:t xml:space="preserve"> </w:t>
      </w:r>
      <w:r w:rsidR="003917D8">
        <w:rPr>
          <w:rFonts w:eastAsia="Calibri"/>
          <w:iCs/>
          <w:sz w:val="28"/>
          <w:szCs w:val="28"/>
          <w:lang w:val="en-ZA"/>
        </w:rPr>
        <w:t>found</w:t>
      </w:r>
      <w:r>
        <w:rPr>
          <w:rFonts w:eastAsia="Calibri"/>
          <w:iCs/>
          <w:sz w:val="28"/>
          <w:szCs w:val="28"/>
          <w:lang w:val="en-ZA"/>
        </w:rPr>
        <w:t xml:space="preserve"> that a </w:t>
      </w:r>
      <w:r w:rsidR="008D1D61">
        <w:rPr>
          <w:rFonts w:eastAsia="Calibri"/>
          <w:iCs/>
          <w:sz w:val="28"/>
          <w:szCs w:val="28"/>
          <w:lang w:val="en-ZA"/>
        </w:rPr>
        <w:t xml:space="preserve">lessee may rely upon the loss suffered by a sub-lessee, it did not. </w:t>
      </w:r>
      <w:r w:rsidR="003917D8">
        <w:rPr>
          <w:rFonts w:eastAsia="Calibri"/>
          <w:iCs/>
          <w:sz w:val="28"/>
          <w:szCs w:val="28"/>
          <w:lang w:val="en-ZA"/>
        </w:rPr>
        <w:t>T</w:t>
      </w:r>
      <w:r w:rsidR="008D1D61">
        <w:rPr>
          <w:rFonts w:eastAsia="Calibri"/>
          <w:iCs/>
          <w:sz w:val="28"/>
          <w:szCs w:val="28"/>
          <w:lang w:val="en-ZA"/>
        </w:rPr>
        <w:t xml:space="preserve">he court was not called upon to decide that question. That issue, although raised on the pleadings, was disposed by the acceptance, at trial, that the lessee and sub-lessee could be regarded as one party. </w:t>
      </w:r>
      <w:r w:rsidR="008B7F9E">
        <w:rPr>
          <w:rFonts w:eastAsia="Calibri"/>
          <w:iCs/>
          <w:sz w:val="28"/>
          <w:szCs w:val="28"/>
          <w:lang w:val="en-ZA"/>
        </w:rPr>
        <w:t>The judgment states</w:t>
      </w:r>
      <w:r w:rsidR="00B81880">
        <w:rPr>
          <w:rFonts w:eastAsia="Calibri"/>
          <w:iCs/>
          <w:sz w:val="28"/>
          <w:szCs w:val="28"/>
          <w:lang w:val="en-ZA"/>
        </w:rPr>
        <w:t>:</w:t>
      </w:r>
    </w:p>
    <w:p w14:paraId="52B517E9" w14:textId="1B50AFF9" w:rsidR="008B7F9E" w:rsidRDefault="008B7F9E" w:rsidP="000C1370">
      <w:pPr>
        <w:spacing w:line="360" w:lineRule="auto"/>
        <w:jc w:val="both"/>
        <w:rPr>
          <w:rFonts w:eastAsia="Calibri"/>
          <w:iCs/>
          <w:sz w:val="28"/>
          <w:szCs w:val="28"/>
          <w:lang w:val="en-ZA"/>
        </w:rPr>
      </w:pPr>
      <w:r>
        <w:rPr>
          <w:rFonts w:eastAsia="Calibri"/>
          <w:iCs/>
          <w:lang w:val="en-ZA"/>
        </w:rPr>
        <w:t xml:space="preserve">‘The contention of the defendants that they are in the same favourable </w:t>
      </w:r>
      <w:r w:rsidR="00FB7581">
        <w:rPr>
          <w:rFonts w:eastAsia="Calibri"/>
          <w:iCs/>
          <w:lang w:val="en-ZA"/>
        </w:rPr>
        <w:t>position as</w:t>
      </w:r>
      <w:r>
        <w:rPr>
          <w:rFonts w:eastAsia="Calibri"/>
          <w:iCs/>
          <w:lang w:val="en-ZA"/>
        </w:rPr>
        <w:t xml:space="preserve"> the sub-</w:t>
      </w:r>
      <w:r w:rsidR="00FB7581">
        <w:rPr>
          <w:rFonts w:eastAsia="Calibri"/>
          <w:iCs/>
          <w:lang w:val="en-ZA"/>
        </w:rPr>
        <w:t>lessees</w:t>
      </w:r>
      <w:r>
        <w:rPr>
          <w:rFonts w:eastAsia="Calibri"/>
          <w:iCs/>
          <w:lang w:val="en-ZA"/>
        </w:rPr>
        <w:t xml:space="preserve"> is practically admitted by the plaintiff company; for though the company denies generally the amended plea of the defendants, their counsel, Mr </w:t>
      </w:r>
      <w:r>
        <w:rPr>
          <w:rFonts w:eastAsia="Calibri"/>
          <w:i/>
          <w:lang w:val="en-ZA"/>
        </w:rPr>
        <w:t>Leonard</w:t>
      </w:r>
      <w:r>
        <w:rPr>
          <w:rFonts w:eastAsia="Calibri"/>
          <w:iCs/>
          <w:lang w:val="en-ZA"/>
        </w:rPr>
        <w:t>, boldly accepted this position and argued his whole case from the standpoint that the lessees and sub-lessees were one.</w:t>
      </w:r>
      <w:r w:rsidR="00FB7581">
        <w:rPr>
          <w:rFonts w:eastAsia="Calibri"/>
          <w:iCs/>
          <w:lang w:val="en-ZA"/>
        </w:rPr>
        <w:t>’</w:t>
      </w:r>
      <w:r w:rsidR="00FB7581">
        <w:rPr>
          <w:rStyle w:val="FootnoteReference"/>
          <w:rFonts w:eastAsia="Calibri"/>
          <w:iCs/>
          <w:lang w:val="en-ZA"/>
        </w:rPr>
        <w:footnoteReference w:id="9"/>
      </w:r>
    </w:p>
    <w:p w14:paraId="6A7C9306" w14:textId="48213914" w:rsidR="00FB7581" w:rsidRDefault="00FB7581" w:rsidP="000C1370">
      <w:pPr>
        <w:spacing w:line="360" w:lineRule="auto"/>
        <w:jc w:val="both"/>
        <w:rPr>
          <w:rFonts w:eastAsia="Calibri"/>
          <w:iCs/>
          <w:sz w:val="28"/>
          <w:szCs w:val="28"/>
          <w:lang w:val="en-ZA"/>
        </w:rPr>
      </w:pPr>
    </w:p>
    <w:p w14:paraId="3D977D52" w14:textId="2459F1B2" w:rsidR="00FB7581" w:rsidRDefault="00FB7581" w:rsidP="000C1370">
      <w:pPr>
        <w:spacing w:line="360" w:lineRule="auto"/>
        <w:jc w:val="both"/>
        <w:rPr>
          <w:rFonts w:eastAsia="Calibri"/>
          <w:iCs/>
          <w:sz w:val="28"/>
          <w:szCs w:val="28"/>
          <w:lang w:val="en-ZA"/>
        </w:rPr>
      </w:pPr>
      <w:r>
        <w:rPr>
          <w:rFonts w:eastAsia="Calibri"/>
          <w:iCs/>
          <w:sz w:val="28"/>
          <w:szCs w:val="28"/>
          <w:lang w:val="en-ZA"/>
        </w:rPr>
        <w:t>[</w:t>
      </w:r>
      <w:r w:rsidR="003917D8">
        <w:rPr>
          <w:rFonts w:eastAsia="Calibri"/>
          <w:iCs/>
          <w:sz w:val="28"/>
          <w:szCs w:val="28"/>
          <w:lang w:val="en-ZA"/>
        </w:rPr>
        <w:t>3</w:t>
      </w:r>
      <w:r w:rsidR="00B033BF">
        <w:rPr>
          <w:rFonts w:eastAsia="Calibri"/>
          <w:iCs/>
          <w:sz w:val="28"/>
          <w:szCs w:val="28"/>
          <w:lang w:val="en-ZA"/>
        </w:rPr>
        <w:t>3</w:t>
      </w:r>
      <w:r>
        <w:rPr>
          <w:rFonts w:eastAsia="Calibri"/>
          <w:iCs/>
          <w:sz w:val="28"/>
          <w:szCs w:val="28"/>
          <w:lang w:val="en-ZA"/>
        </w:rPr>
        <w:t>]</w:t>
      </w:r>
      <w:r>
        <w:rPr>
          <w:rFonts w:eastAsia="Calibri"/>
          <w:iCs/>
          <w:sz w:val="28"/>
          <w:szCs w:val="28"/>
          <w:lang w:val="en-ZA"/>
        </w:rPr>
        <w:tab/>
      </w:r>
      <w:r w:rsidR="003917D8">
        <w:rPr>
          <w:rFonts w:eastAsia="Calibri"/>
          <w:iCs/>
          <w:sz w:val="28"/>
          <w:szCs w:val="28"/>
          <w:lang w:val="en-ZA"/>
        </w:rPr>
        <w:t xml:space="preserve">What </w:t>
      </w:r>
      <w:r w:rsidR="00C954E8">
        <w:rPr>
          <w:rFonts w:eastAsia="Calibri"/>
          <w:iCs/>
          <w:sz w:val="28"/>
          <w:szCs w:val="28"/>
          <w:lang w:val="en-ZA"/>
        </w:rPr>
        <w:t>the court was required to decide in relation to the remission of rent, was whether the election not to cancel the lease in the face of the imposed restrictions</w:t>
      </w:r>
      <w:r w:rsidR="003917D8">
        <w:rPr>
          <w:rFonts w:eastAsia="Calibri"/>
          <w:iCs/>
          <w:sz w:val="28"/>
          <w:szCs w:val="28"/>
          <w:lang w:val="en-ZA"/>
        </w:rPr>
        <w:t>,</w:t>
      </w:r>
      <w:r w:rsidR="00C954E8">
        <w:rPr>
          <w:rFonts w:eastAsia="Calibri"/>
          <w:iCs/>
          <w:sz w:val="28"/>
          <w:szCs w:val="28"/>
          <w:lang w:val="en-ZA"/>
        </w:rPr>
        <w:t xml:space="preserve"> and the fact that compensation for losses was claimed from a third party</w:t>
      </w:r>
      <w:r w:rsidR="000569F1">
        <w:rPr>
          <w:rFonts w:eastAsia="Calibri"/>
          <w:iCs/>
          <w:sz w:val="28"/>
          <w:szCs w:val="28"/>
          <w:lang w:val="en-ZA"/>
        </w:rPr>
        <w:t>,</w:t>
      </w:r>
      <w:r w:rsidR="00C954E8">
        <w:rPr>
          <w:rFonts w:eastAsia="Calibri"/>
          <w:iCs/>
          <w:sz w:val="28"/>
          <w:szCs w:val="28"/>
          <w:lang w:val="en-ZA"/>
        </w:rPr>
        <w:t xml:space="preserve"> constituted a waiver of the right to assert non-beneficial occupation by reason of </w:t>
      </w:r>
      <w:r w:rsidR="00C954E8">
        <w:rPr>
          <w:rFonts w:eastAsia="Calibri"/>
          <w:i/>
          <w:sz w:val="28"/>
          <w:szCs w:val="28"/>
          <w:lang w:val="en-ZA"/>
        </w:rPr>
        <w:t xml:space="preserve">vis major. </w:t>
      </w:r>
      <w:r w:rsidR="00C954E8">
        <w:rPr>
          <w:rFonts w:eastAsia="Calibri"/>
          <w:iCs/>
          <w:sz w:val="28"/>
          <w:szCs w:val="28"/>
          <w:lang w:val="en-ZA"/>
        </w:rPr>
        <w:t xml:space="preserve">The court held that it did not constitute a waiver. A claim lodged against the party that caused the loss of beneficial occupation did not preclude a claim for remission as against the landlord. </w:t>
      </w:r>
      <w:r w:rsidR="000569F1">
        <w:rPr>
          <w:rFonts w:eastAsia="Calibri"/>
          <w:iCs/>
          <w:sz w:val="28"/>
          <w:szCs w:val="28"/>
          <w:lang w:val="en-ZA"/>
        </w:rPr>
        <w:t>N</w:t>
      </w:r>
      <w:r w:rsidR="00C954E8">
        <w:rPr>
          <w:rFonts w:eastAsia="Calibri"/>
          <w:iCs/>
          <w:sz w:val="28"/>
          <w:szCs w:val="28"/>
          <w:lang w:val="en-ZA"/>
        </w:rPr>
        <w:t xml:space="preserve">o compensation </w:t>
      </w:r>
      <w:r w:rsidR="000569F1">
        <w:rPr>
          <w:rFonts w:eastAsia="Calibri"/>
          <w:iCs/>
          <w:sz w:val="28"/>
          <w:szCs w:val="28"/>
          <w:lang w:val="en-ZA"/>
        </w:rPr>
        <w:t>had been</w:t>
      </w:r>
      <w:r w:rsidR="00C954E8">
        <w:rPr>
          <w:rFonts w:eastAsia="Calibri"/>
          <w:iCs/>
          <w:sz w:val="28"/>
          <w:szCs w:val="28"/>
          <w:lang w:val="en-ZA"/>
        </w:rPr>
        <w:t xml:space="preserve"> paid. Importantly</w:t>
      </w:r>
      <w:r w:rsidR="000569F1">
        <w:rPr>
          <w:rFonts w:eastAsia="Calibri"/>
          <w:iCs/>
          <w:sz w:val="28"/>
          <w:szCs w:val="28"/>
          <w:lang w:val="en-ZA"/>
        </w:rPr>
        <w:t>,</w:t>
      </w:r>
      <w:r w:rsidR="00C954E8">
        <w:rPr>
          <w:rFonts w:eastAsia="Calibri"/>
          <w:iCs/>
          <w:sz w:val="28"/>
          <w:szCs w:val="28"/>
          <w:lang w:val="en-ZA"/>
        </w:rPr>
        <w:t xml:space="preserve"> the court held </w:t>
      </w:r>
      <w:r w:rsidR="000569F1">
        <w:rPr>
          <w:rFonts w:eastAsia="Calibri"/>
          <w:iCs/>
          <w:sz w:val="28"/>
          <w:szCs w:val="28"/>
          <w:lang w:val="en-ZA"/>
        </w:rPr>
        <w:t xml:space="preserve">that </w:t>
      </w:r>
      <w:r w:rsidR="00C954E8">
        <w:rPr>
          <w:rFonts w:eastAsia="Calibri"/>
          <w:iCs/>
          <w:sz w:val="28"/>
          <w:szCs w:val="28"/>
          <w:lang w:val="en-ZA"/>
        </w:rPr>
        <w:t>different consideration</w:t>
      </w:r>
      <w:r w:rsidR="000569F1">
        <w:rPr>
          <w:rFonts w:eastAsia="Calibri"/>
          <w:iCs/>
          <w:sz w:val="28"/>
          <w:szCs w:val="28"/>
          <w:lang w:val="en-ZA"/>
        </w:rPr>
        <w:t>s</w:t>
      </w:r>
      <w:r w:rsidR="00C954E8">
        <w:rPr>
          <w:rFonts w:eastAsia="Calibri"/>
          <w:iCs/>
          <w:sz w:val="28"/>
          <w:szCs w:val="28"/>
          <w:lang w:val="en-ZA"/>
        </w:rPr>
        <w:t xml:space="preserve"> would apply if compensation had been received. It held</w:t>
      </w:r>
      <w:r w:rsidR="00B81880">
        <w:rPr>
          <w:rFonts w:eastAsia="Calibri"/>
          <w:iCs/>
          <w:sz w:val="28"/>
          <w:szCs w:val="28"/>
          <w:lang w:val="en-ZA"/>
        </w:rPr>
        <w:t>:</w:t>
      </w:r>
      <w:r w:rsidR="00C954E8">
        <w:rPr>
          <w:rFonts w:eastAsia="Calibri"/>
          <w:iCs/>
          <w:sz w:val="28"/>
          <w:szCs w:val="28"/>
          <w:lang w:val="en-ZA"/>
        </w:rPr>
        <w:t xml:space="preserve"> </w:t>
      </w:r>
    </w:p>
    <w:p w14:paraId="62CF5806" w14:textId="68C84B9B" w:rsidR="00C954E8" w:rsidRDefault="00C954E8" w:rsidP="000C1370">
      <w:pPr>
        <w:spacing w:line="360" w:lineRule="auto"/>
        <w:jc w:val="both"/>
        <w:rPr>
          <w:rFonts w:eastAsia="Calibri"/>
          <w:iCs/>
          <w:lang w:val="en-ZA"/>
        </w:rPr>
      </w:pPr>
      <w:r>
        <w:rPr>
          <w:rFonts w:eastAsia="Calibri"/>
          <w:iCs/>
          <w:lang w:val="en-ZA"/>
        </w:rPr>
        <w:t>‘</w:t>
      </w:r>
      <w:r w:rsidR="00B74EF0">
        <w:rPr>
          <w:rFonts w:eastAsia="Calibri"/>
          <w:iCs/>
          <w:lang w:val="en-ZA"/>
        </w:rPr>
        <w:t xml:space="preserve">If the lessees had been paid the full rent and damage suffered by the forcible ejectment either by the military power </w:t>
      </w:r>
      <w:r w:rsidR="00B81880">
        <w:rPr>
          <w:rFonts w:eastAsia="Calibri"/>
          <w:iCs/>
          <w:lang w:val="en-ZA"/>
        </w:rPr>
        <w:t xml:space="preserve">that ejected them </w:t>
      </w:r>
      <w:r w:rsidR="00B74EF0">
        <w:rPr>
          <w:rFonts w:eastAsia="Calibri"/>
          <w:iCs/>
          <w:lang w:val="en-ZA"/>
        </w:rPr>
        <w:t xml:space="preserve">or by </w:t>
      </w:r>
      <w:r w:rsidR="006075E7">
        <w:rPr>
          <w:rFonts w:eastAsia="Calibri"/>
          <w:iCs/>
          <w:lang w:val="en-ZA"/>
        </w:rPr>
        <w:t>someone</w:t>
      </w:r>
      <w:r w:rsidR="00B74EF0">
        <w:rPr>
          <w:rFonts w:eastAsia="Calibri"/>
          <w:iCs/>
          <w:lang w:val="en-ZA"/>
        </w:rPr>
        <w:t xml:space="preserve"> else, and they then claimed a remission of rent from the lessors, they would have been met by the </w:t>
      </w:r>
      <w:r w:rsidR="00B74EF0">
        <w:rPr>
          <w:rFonts w:eastAsia="Calibri"/>
          <w:i/>
          <w:lang w:val="en-ZA"/>
        </w:rPr>
        <w:t>exceptio doli mali</w:t>
      </w:r>
      <w:r w:rsidR="00B74EF0">
        <w:rPr>
          <w:rFonts w:eastAsia="Calibri"/>
          <w:iCs/>
          <w:lang w:val="en-ZA"/>
        </w:rPr>
        <w:t>, and if hereafter they are paid compensation the lessors can for similar reasons claim any money so paid to them.’</w:t>
      </w:r>
      <w:r w:rsidR="00B74EF0">
        <w:rPr>
          <w:rStyle w:val="FootnoteReference"/>
          <w:rFonts w:eastAsia="Calibri"/>
          <w:iCs/>
          <w:lang w:val="en-ZA"/>
        </w:rPr>
        <w:footnoteReference w:id="10"/>
      </w:r>
    </w:p>
    <w:p w14:paraId="3C43066C" w14:textId="2FFCDF93" w:rsidR="00B74EF0" w:rsidRDefault="00B74EF0" w:rsidP="000C1370">
      <w:pPr>
        <w:spacing w:line="360" w:lineRule="auto"/>
        <w:jc w:val="both"/>
        <w:rPr>
          <w:rFonts w:eastAsia="Calibri"/>
          <w:iCs/>
          <w:sz w:val="28"/>
          <w:szCs w:val="28"/>
          <w:lang w:val="en-ZA"/>
        </w:rPr>
      </w:pPr>
    </w:p>
    <w:p w14:paraId="1319E4B2" w14:textId="7C33F76B" w:rsidR="00B74EF0" w:rsidRDefault="00B74EF0" w:rsidP="000C1370">
      <w:pPr>
        <w:spacing w:line="360" w:lineRule="auto"/>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3</w:t>
      </w:r>
      <w:r w:rsidR="00B033BF">
        <w:rPr>
          <w:rFonts w:eastAsia="Calibri"/>
          <w:iCs/>
          <w:sz w:val="28"/>
          <w:szCs w:val="28"/>
          <w:lang w:val="en-ZA"/>
        </w:rPr>
        <w:t>4</w:t>
      </w:r>
      <w:r>
        <w:rPr>
          <w:rFonts w:eastAsia="Calibri"/>
          <w:iCs/>
          <w:sz w:val="28"/>
          <w:szCs w:val="28"/>
          <w:lang w:val="en-ZA"/>
        </w:rPr>
        <w:t>]</w:t>
      </w:r>
      <w:r>
        <w:rPr>
          <w:rFonts w:eastAsia="Calibri"/>
          <w:iCs/>
          <w:sz w:val="28"/>
          <w:szCs w:val="28"/>
          <w:lang w:val="en-ZA"/>
        </w:rPr>
        <w:tab/>
      </w:r>
      <w:r>
        <w:rPr>
          <w:rFonts w:eastAsia="Calibri"/>
          <w:i/>
          <w:sz w:val="28"/>
          <w:szCs w:val="28"/>
          <w:lang w:val="en-ZA"/>
        </w:rPr>
        <w:t>North Western Hotel</w:t>
      </w:r>
      <w:r>
        <w:rPr>
          <w:rFonts w:eastAsia="Calibri"/>
          <w:iCs/>
          <w:sz w:val="28"/>
          <w:szCs w:val="28"/>
          <w:lang w:val="en-ZA"/>
        </w:rPr>
        <w:t xml:space="preserve"> is </w:t>
      </w:r>
      <w:r w:rsidRPr="004F0A73">
        <w:rPr>
          <w:rFonts w:eastAsia="Calibri"/>
          <w:iCs/>
          <w:sz w:val="28"/>
          <w:szCs w:val="28"/>
          <w:lang w:val="en-ZA"/>
        </w:rPr>
        <w:t>therefore no</w:t>
      </w:r>
      <w:r w:rsidR="0061609F" w:rsidRPr="004F0A73">
        <w:rPr>
          <w:rFonts w:eastAsia="Calibri"/>
          <w:iCs/>
          <w:sz w:val="28"/>
          <w:szCs w:val="28"/>
          <w:lang w:val="en-ZA"/>
        </w:rPr>
        <w:t>t</w:t>
      </w:r>
      <w:r>
        <w:rPr>
          <w:rFonts w:eastAsia="Calibri"/>
          <w:iCs/>
          <w:sz w:val="28"/>
          <w:szCs w:val="28"/>
          <w:lang w:val="en-ZA"/>
        </w:rPr>
        <w:t xml:space="preserve"> authority for the proposition advanced by counsel for the Butcher Shop. It is, if anything</w:t>
      </w:r>
      <w:r w:rsidRPr="004F0A73">
        <w:rPr>
          <w:rFonts w:eastAsia="Calibri"/>
          <w:iCs/>
          <w:sz w:val="28"/>
          <w:szCs w:val="28"/>
          <w:lang w:val="en-ZA"/>
        </w:rPr>
        <w:t>, against</w:t>
      </w:r>
      <w:r>
        <w:rPr>
          <w:rFonts w:eastAsia="Calibri"/>
          <w:iCs/>
          <w:sz w:val="28"/>
          <w:szCs w:val="28"/>
          <w:lang w:val="en-ZA"/>
        </w:rPr>
        <w:t xml:space="preserve"> the proposition, since </w:t>
      </w:r>
      <w:r>
        <w:rPr>
          <w:rFonts w:eastAsia="Calibri"/>
          <w:iCs/>
          <w:sz w:val="28"/>
          <w:szCs w:val="28"/>
          <w:lang w:val="en-ZA"/>
        </w:rPr>
        <w:lastRenderedPageBreak/>
        <w:t>it holds that actual loss must be established by the party seeking remission of rental. This accords with general principle. Remission of rent is available to a lessee or tenant who suffers loss consequent upon the interference with its use and enjoyment of the leased property. It is an equitable remedy which seeks to ameliorate the prejudice caused by c</w:t>
      </w:r>
      <w:r w:rsidR="00F7793C">
        <w:rPr>
          <w:rFonts w:eastAsia="Calibri"/>
          <w:iCs/>
          <w:sz w:val="28"/>
          <w:szCs w:val="28"/>
          <w:lang w:val="en-ZA"/>
        </w:rPr>
        <w:t>i</w:t>
      </w:r>
      <w:r>
        <w:rPr>
          <w:rFonts w:eastAsia="Calibri"/>
          <w:iCs/>
          <w:sz w:val="28"/>
          <w:szCs w:val="28"/>
          <w:lang w:val="en-ZA"/>
        </w:rPr>
        <w:t>rcu</w:t>
      </w:r>
      <w:r w:rsidR="00F7793C">
        <w:rPr>
          <w:rFonts w:eastAsia="Calibri"/>
          <w:iCs/>
          <w:sz w:val="28"/>
          <w:szCs w:val="28"/>
          <w:lang w:val="en-ZA"/>
        </w:rPr>
        <w:t>msta</w:t>
      </w:r>
      <w:r>
        <w:rPr>
          <w:rFonts w:eastAsia="Calibri"/>
          <w:iCs/>
          <w:sz w:val="28"/>
          <w:szCs w:val="28"/>
          <w:lang w:val="en-ZA"/>
        </w:rPr>
        <w:t>nces beyond the control of the parties</w:t>
      </w:r>
      <w:r w:rsidR="000569F1">
        <w:rPr>
          <w:rFonts w:eastAsia="Calibri"/>
          <w:iCs/>
          <w:sz w:val="28"/>
          <w:szCs w:val="28"/>
          <w:lang w:val="en-ZA"/>
        </w:rPr>
        <w:t xml:space="preserve"> to the lease</w:t>
      </w:r>
      <w:r>
        <w:rPr>
          <w:rFonts w:eastAsia="Calibri"/>
          <w:iCs/>
          <w:sz w:val="28"/>
          <w:szCs w:val="28"/>
          <w:lang w:val="en-ZA"/>
        </w:rPr>
        <w:t>. It may only be claimed by the party</w:t>
      </w:r>
      <w:r w:rsidR="00F7793C">
        <w:rPr>
          <w:rFonts w:eastAsia="Calibri"/>
          <w:iCs/>
          <w:sz w:val="28"/>
          <w:szCs w:val="28"/>
          <w:lang w:val="en-ZA"/>
        </w:rPr>
        <w:t xml:space="preserve"> who suffers the loss. Such loss must be directly attributable to the </w:t>
      </w:r>
      <w:r w:rsidR="00F7793C">
        <w:rPr>
          <w:rFonts w:eastAsia="Calibri"/>
          <w:i/>
          <w:sz w:val="28"/>
          <w:szCs w:val="28"/>
          <w:lang w:val="en-ZA"/>
        </w:rPr>
        <w:t xml:space="preserve">vis </w:t>
      </w:r>
      <w:r w:rsidR="00DE3F8C">
        <w:rPr>
          <w:rFonts w:eastAsia="Calibri"/>
          <w:i/>
          <w:sz w:val="28"/>
          <w:szCs w:val="28"/>
          <w:lang w:val="en-ZA"/>
        </w:rPr>
        <w:t xml:space="preserve">major </w:t>
      </w:r>
      <w:r w:rsidR="00DE3F8C">
        <w:rPr>
          <w:rFonts w:eastAsia="Calibri"/>
          <w:iCs/>
          <w:sz w:val="28"/>
          <w:szCs w:val="28"/>
          <w:lang w:val="en-ZA"/>
        </w:rPr>
        <w:t>event</w:t>
      </w:r>
      <w:r w:rsidR="00F7793C">
        <w:rPr>
          <w:rFonts w:eastAsia="Calibri"/>
          <w:iCs/>
          <w:sz w:val="28"/>
          <w:szCs w:val="28"/>
          <w:lang w:val="en-ZA"/>
        </w:rPr>
        <w:t xml:space="preserve"> and must be substantial.</w:t>
      </w:r>
      <w:r w:rsidR="00F7793C">
        <w:rPr>
          <w:rStyle w:val="FootnoteReference"/>
          <w:rFonts w:eastAsia="Calibri"/>
          <w:iCs/>
          <w:sz w:val="28"/>
          <w:szCs w:val="28"/>
          <w:lang w:val="en-ZA"/>
        </w:rPr>
        <w:footnoteReference w:id="11"/>
      </w:r>
    </w:p>
    <w:p w14:paraId="17992CC8" w14:textId="6A57A26F" w:rsidR="00F7793C" w:rsidRDefault="00F7793C" w:rsidP="000C1370">
      <w:pPr>
        <w:spacing w:line="360" w:lineRule="auto"/>
        <w:jc w:val="both"/>
        <w:rPr>
          <w:rFonts w:eastAsia="Calibri"/>
          <w:iCs/>
          <w:sz w:val="28"/>
          <w:szCs w:val="28"/>
          <w:lang w:val="en-ZA"/>
        </w:rPr>
      </w:pPr>
    </w:p>
    <w:p w14:paraId="3EFF7BDA" w14:textId="19565637" w:rsidR="00F7793C" w:rsidRDefault="00F7793C" w:rsidP="000C1370">
      <w:pPr>
        <w:spacing w:line="360" w:lineRule="auto"/>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3</w:t>
      </w:r>
      <w:r w:rsidR="00B033BF">
        <w:rPr>
          <w:rFonts w:eastAsia="Calibri"/>
          <w:iCs/>
          <w:sz w:val="28"/>
          <w:szCs w:val="28"/>
          <w:lang w:val="en-ZA"/>
        </w:rPr>
        <w:t>5</w:t>
      </w:r>
      <w:r>
        <w:rPr>
          <w:rFonts w:eastAsia="Calibri"/>
          <w:iCs/>
          <w:sz w:val="28"/>
          <w:szCs w:val="28"/>
          <w:lang w:val="en-ZA"/>
        </w:rPr>
        <w:t>]</w:t>
      </w:r>
      <w:r>
        <w:rPr>
          <w:rFonts w:eastAsia="Calibri"/>
          <w:iCs/>
          <w:sz w:val="28"/>
          <w:szCs w:val="28"/>
          <w:lang w:val="en-ZA"/>
        </w:rPr>
        <w:tab/>
        <w:t>In this instance, Apoldo</w:t>
      </w:r>
      <w:r w:rsidR="00B033BF">
        <w:rPr>
          <w:rFonts w:eastAsia="Calibri"/>
          <w:iCs/>
          <w:sz w:val="28"/>
          <w:szCs w:val="28"/>
          <w:lang w:val="en-ZA"/>
        </w:rPr>
        <w:t xml:space="preserve">, </w:t>
      </w:r>
      <w:r>
        <w:rPr>
          <w:rFonts w:eastAsia="Calibri"/>
          <w:iCs/>
          <w:sz w:val="28"/>
          <w:szCs w:val="28"/>
          <w:lang w:val="en-ZA"/>
        </w:rPr>
        <w:t>a</w:t>
      </w:r>
      <w:r w:rsidR="00B033BF">
        <w:rPr>
          <w:rFonts w:eastAsia="Calibri"/>
          <w:iCs/>
          <w:sz w:val="28"/>
          <w:szCs w:val="28"/>
          <w:lang w:val="en-ZA"/>
        </w:rPr>
        <w:t xml:space="preserve"> </w:t>
      </w:r>
      <w:r>
        <w:rPr>
          <w:rFonts w:eastAsia="Calibri"/>
          <w:iCs/>
          <w:sz w:val="28"/>
          <w:szCs w:val="28"/>
          <w:lang w:val="en-ZA"/>
        </w:rPr>
        <w:t>separate legal entity</w:t>
      </w:r>
      <w:r w:rsidR="00B033BF">
        <w:rPr>
          <w:rFonts w:eastAsia="Calibri"/>
          <w:iCs/>
          <w:sz w:val="28"/>
          <w:szCs w:val="28"/>
          <w:lang w:val="en-ZA"/>
        </w:rPr>
        <w:t xml:space="preserve">, </w:t>
      </w:r>
      <w:r w:rsidR="00781A70">
        <w:rPr>
          <w:rFonts w:eastAsia="Calibri"/>
          <w:iCs/>
          <w:sz w:val="28"/>
          <w:szCs w:val="28"/>
          <w:lang w:val="en-ZA"/>
        </w:rPr>
        <w:t>occupied the premises</w:t>
      </w:r>
      <w:r w:rsidR="00B033BF">
        <w:rPr>
          <w:rFonts w:eastAsia="Calibri"/>
          <w:iCs/>
          <w:sz w:val="28"/>
          <w:szCs w:val="28"/>
          <w:lang w:val="en-ZA"/>
        </w:rPr>
        <w:t>;</w:t>
      </w:r>
      <w:r w:rsidR="000569F1">
        <w:rPr>
          <w:rFonts w:eastAsia="Calibri"/>
          <w:iCs/>
          <w:sz w:val="28"/>
          <w:szCs w:val="28"/>
          <w:lang w:val="en-ZA"/>
        </w:rPr>
        <w:t xml:space="preserve"> </w:t>
      </w:r>
      <w:r w:rsidR="00781A70">
        <w:rPr>
          <w:rFonts w:eastAsia="Calibri"/>
          <w:iCs/>
          <w:sz w:val="28"/>
          <w:szCs w:val="28"/>
          <w:lang w:val="en-ZA"/>
        </w:rPr>
        <w:t xml:space="preserve">had use and enjoyment thereof and conducted the business of the </w:t>
      </w:r>
      <w:r w:rsidR="000569F1">
        <w:rPr>
          <w:rFonts w:eastAsia="Calibri"/>
          <w:iCs/>
          <w:sz w:val="28"/>
          <w:szCs w:val="28"/>
          <w:lang w:val="en-ZA"/>
        </w:rPr>
        <w:t>restaurant</w:t>
      </w:r>
      <w:r w:rsidR="003E1584">
        <w:rPr>
          <w:rFonts w:eastAsia="Calibri"/>
          <w:iCs/>
          <w:sz w:val="28"/>
          <w:szCs w:val="28"/>
          <w:lang w:val="en-ZA"/>
        </w:rPr>
        <w:t xml:space="preserve">. </w:t>
      </w:r>
      <w:r w:rsidR="000569F1">
        <w:rPr>
          <w:rFonts w:eastAsia="Calibri"/>
          <w:iCs/>
          <w:sz w:val="28"/>
          <w:szCs w:val="28"/>
          <w:lang w:val="en-ZA"/>
        </w:rPr>
        <w:t>In terms of the sub-letting arrangement between the Butcher Shop and Apoldo, it</w:t>
      </w:r>
      <w:r w:rsidR="00781A70">
        <w:rPr>
          <w:rFonts w:eastAsia="Calibri"/>
          <w:iCs/>
          <w:sz w:val="28"/>
          <w:szCs w:val="28"/>
          <w:lang w:val="en-ZA"/>
        </w:rPr>
        <w:t xml:space="preserve"> stood in the position of tenant vis-à-vis the Butcher Shop as landlord. </w:t>
      </w:r>
      <w:r w:rsidR="000569F1">
        <w:rPr>
          <w:rFonts w:eastAsia="Calibri"/>
          <w:iCs/>
          <w:sz w:val="28"/>
          <w:szCs w:val="28"/>
          <w:lang w:val="en-ZA"/>
        </w:rPr>
        <w:t>A</w:t>
      </w:r>
      <w:r w:rsidR="00781A70">
        <w:rPr>
          <w:rFonts w:eastAsia="Calibri"/>
          <w:iCs/>
          <w:sz w:val="28"/>
          <w:szCs w:val="28"/>
          <w:lang w:val="en-ZA"/>
        </w:rPr>
        <w:t xml:space="preserve">s a matter of </w:t>
      </w:r>
      <w:r w:rsidR="00A954A5">
        <w:rPr>
          <w:rFonts w:eastAsia="Calibri"/>
          <w:iCs/>
          <w:sz w:val="28"/>
          <w:szCs w:val="28"/>
          <w:lang w:val="en-ZA"/>
        </w:rPr>
        <w:t>fact</w:t>
      </w:r>
      <w:r w:rsidR="00781A70">
        <w:rPr>
          <w:rFonts w:eastAsia="Calibri"/>
          <w:iCs/>
          <w:sz w:val="28"/>
          <w:szCs w:val="28"/>
          <w:lang w:val="en-ZA"/>
        </w:rPr>
        <w:t xml:space="preserve">, </w:t>
      </w:r>
      <w:r w:rsidR="000B47DB">
        <w:rPr>
          <w:rFonts w:eastAsia="Calibri"/>
          <w:iCs/>
          <w:sz w:val="28"/>
          <w:szCs w:val="28"/>
          <w:lang w:val="en-ZA"/>
        </w:rPr>
        <w:t>the loss of beneficial use and enjoyment of the sub-leased premises was suffered by Apoldo</w:t>
      </w:r>
      <w:r w:rsidR="003E1584">
        <w:rPr>
          <w:rFonts w:eastAsia="Calibri"/>
          <w:iCs/>
          <w:sz w:val="28"/>
          <w:szCs w:val="28"/>
          <w:lang w:val="en-ZA"/>
        </w:rPr>
        <w:t>, not the Butcher Shop.</w:t>
      </w:r>
      <w:r w:rsidR="000B47DB">
        <w:rPr>
          <w:rFonts w:eastAsia="Calibri"/>
          <w:iCs/>
          <w:sz w:val="28"/>
          <w:szCs w:val="28"/>
          <w:lang w:val="en-ZA"/>
        </w:rPr>
        <w:t xml:space="preserve"> The existence of the sub-tenancy</w:t>
      </w:r>
      <w:r w:rsidR="002E1082">
        <w:rPr>
          <w:rFonts w:eastAsia="Calibri"/>
          <w:iCs/>
          <w:sz w:val="28"/>
          <w:szCs w:val="28"/>
          <w:lang w:val="en-ZA"/>
        </w:rPr>
        <w:t xml:space="preserve"> in law</w:t>
      </w:r>
      <w:r w:rsidR="000B47DB">
        <w:rPr>
          <w:rFonts w:eastAsia="Calibri"/>
          <w:iCs/>
          <w:sz w:val="28"/>
          <w:szCs w:val="28"/>
          <w:lang w:val="en-ZA"/>
        </w:rPr>
        <w:t xml:space="preserve"> </w:t>
      </w:r>
      <w:r w:rsidR="003E1584">
        <w:rPr>
          <w:rFonts w:eastAsia="Calibri"/>
          <w:iCs/>
          <w:sz w:val="28"/>
          <w:szCs w:val="28"/>
          <w:lang w:val="en-ZA"/>
        </w:rPr>
        <w:t>precludes a</w:t>
      </w:r>
      <w:r w:rsidR="000B47DB">
        <w:rPr>
          <w:rFonts w:eastAsia="Calibri"/>
          <w:iCs/>
          <w:sz w:val="28"/>
          <w:szCs w:val="28"/>
          <w:lang w:val="en-ZA"/>
        </w:rPr>
        <w:t xml:space="preserve"> claim</w:t>
      </w:r>
      <w:r w:rsidR="003E1584">
        <w:rPr>
          <w:rFonts w:eastAsia="Calibri"/>
          <w:iCs/>
          <w:sz w:val="28"/>
          <w:szCs w:val="28"/>
          <w:lang w:val="en-ZA"/>
        </w:rPr>
        <w:t xml:space="preserve"> for remission based on </w:t>
      </w:r>
      <w:r w:rsidR="000B47DB">
        <w:rPr>
          <w:rFonts w:eastAsia="Calibri"/>
          <w:iCs/>
          <w:sz w:val="28"/>
          <w:szCs w:val="28"/>
          <w:lang w:val="en-ZA"/>
        </w:rPr>
        <w:t>loss suffered by the sub-tenant.</w:t>
      </w:r>
    </w:p>
    <w:p w14:paraId="2E1CE49E" w14:textId="257B42BD" w:rsidR="000B47DB" w:rsidRDefault="000B47DB" w:rsidP="000C1370">
      <w:pPr>
        <w:spacing w:line="360" w:lineRule="auto"/>
        <w:jc w:val="both"/>
        <w:rPr>
          <w:rFonts w:eastAsia="Calibri"/>
          <w:iCs/>
          <w:sz w:val="28"/>
          <w:szCs w:val="28"/>
          <w:lang w:val="en-ZA"/>
        </w:rPr>
      </w:pPr>
    </w:p>
    <w:p w14:paraId="04BC0F20" w14:textId="27366BB4" w:rsidR="000B47DB" w:rsidRPr="000B47DB" w:rsidRDefault="000B47DB" w:rsidP="000C1370">
      <w:pPr>
        <w:spacing w:line="360" w:lineRule="auto"/>
        <w:jc w:val="both"/>
        <w:rPr>
          <w:rFonts w:eastAsia="Calibri"/>
          <w:b/>
          <w:bCs/>
          <w:iCs/>
          <w:sz w:val="28"/>
          <w:szCs w:val="28"/>
          <w:lang w:val="en-ZA"/>
        </w:rPr>
      </w:pPr>
      <w:r>
        <w:rPr>
          <w:rFonts w:eastAsia="Calibri"/>
          <w:b/>
          <w:bCs/>
          <w:iCs/>
          <w:sz w:val="28"/>
          <w:szCs w:val="28"/>
          <w:lang w:val="en-ZA"/>
        </w:rPr>
        <w:t>The piercing of the corporate veil</w:t>
      </w:r>
    </w:p>
    <w:p w14:paraId="0CD452E3" w14:textId="45DFBDEA" w:rsidR="008B7F9E" w:rsidRDefault="000B47DB" w:rsidP="000C1370">
      <w:pPr>
        <w:spacing w:line="360" w:lineRule="auto"/>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3</w:t>
      </w:r>
      <w:r w:rsidR="00B033BF">
        <w:rPr>
          <w:rFonts w:eastAsia="Calibri"/>
          <w:iCs/>
          <w:sz w:val="28"/>
          <w:szCs w:val="28"/>
          <w:lang w:val="en-ZA"/>
        </w:rPr>
        <w:t>6</w:t>
      </w:r>
      <w:r>
        <w:rPr>
          <w:rFonts w:eastAsia="Calibri"/>
          <w:iCs/>
          <w:sz w:val="28"/>
          <w:szCs w:val="28"/>
          <w:lang w:val="en-ZA"/>
        </w:rPr>
        <w:t>]</w:t>
      </w:r>
      <w:r>
        <w:rPr>
          <w:rFonts w:eastAsia="Calibri"/>
          <w:iCs/>
          <w:sz w:val="28"/>
          <w:szCs w:val="28"/>
          <w:lang w:val="en-ZA"/>
        </w:rPr>
        <w:tab/>
        <w:t xml:space="preserve">This brings me to the nub of </w:t>
      </w:r>
      <w:r w:rsidR="00ED1650">
        <w:rPr>
          <w:rFonts w:eastAsia="Calibri"/>
          <w:iCs/>
          <w:sz w:val="28"/>
          <w:szCs w:val="28"/>
          <w:lang w:val="en-ZA"/>
        </w:rPr>
        <w:t xml:space="preserve">the case for the Butcher Shop. It was this: the Butcher Shop and Apoldo are no more than their sole shareholder and controlling mind, Mr Pick, in corporate guise. Apoldo has </w:t>
      </w:r>
      <w:r w:rsidR="003E1584">
        <w:rPr>
          <w:rFonts w:eastAsia="Calibri"/>
          <w:iCs/>
          <w:sz w:val="28"/>
          <w:szCs w:val="28"/>
          <w:lang w:val="en-ZA"/>
        </w:rPr>
        <w:t>traded the restaurant</w:t>
      </w:r>
      <w:r w:rsidR="00ED1650">
        <w:rPr>
          <w:rFonts w:eastAsia="Calibri"/>
          <w:iCs/>
          <w:sz w:val="28"/>
          <w:szCs w:val="28"/>
          <w:lang w:val="en-ZA"/>
        </w:rPr>
        <w:t xml:space="preserve"> since </w:t>
      </w:r>
      <w:r w:rsidR="000801AE">
        <w:rPr>
          <w:rFonts w:eastAsia="Calibri"/>
          <w:iCs/>
          <w:sz w:val="28"/>
          <w:szCs w:val="28"/>
          <w:lang w:val="en-ZA"/>
        </w:rPr>
        <w:t>the start</w:t>
      </w:r>
      <w:r w:rsidR="00ED1650">
        <w:rPr>
          <w:rFonts w:eastAsia="Calibri"/>
          <w:iCs/>
          <w:sz w:val="28"/>
          <w:szCs w:val="28"/>
          <w:lang w:val="en-ZA"/>
        </w:rPr>
        <w:t xml:space="preserve"> of the lease agreement. It has paid the rental due to the Trust. Apoldo and the Butcher Shop are, vis-à-vis the Trust essentially a single entity and the Trust dr</w:t>
      </w:r>
      <w:r w:rsidR="00B033BF">
        <w:rPr>
          <w:rFonts w:eastAsia="Calibri"/>
          <w:iCs/>
          <w:sz w:val="28"/>
          <w:szCs w:val="28"/>
          <w:lang w:val="en-ZA"/>
        </w:rPr>
        <w:t>ew</w:t>
      </w:r>
      <w:r w:rsidR="00ED1650">
        <w:rPr>
          <w:rFonts w:eastAsia="Calibri"/>
          <w:iCs/>
          <w:sz w:val="28"/>
          <w:szCs w:val="28"/>
          <w:lang w:val="en-ZA"/>
        </w:rPr>
        <w:t xml:space="preserve"> no </w:t>
      </w:r>
      <w:r w:rsidR="005133FA">
        <w:rPr>
          <w:rFonts w:eastAsia="Calibri"/>
          <w:iCs/>
          <w:sz w:val="28"/>
          <w:szCs w:val="28"/>
          <w:lang w:val="en-ZA"/>
        </w:rPr>
        <w:t>distinction</w:t>
      </w:r>
      <w:r w:rsidR="00ED1650">
        <w:rPr>
          <w:rFonts w:eastAsia="Calibri"/>
          <w:iCs/>
          <w:sz w:val="28"/>
          <w:szCs w:val="28"/>
          <w:lang w:val="en-ZA"/>
        </w:rPr>
        <w:t xml:space="preserve"> between them, save by formal consent to the sub-lease in 2019.</w:t>
      </w:r>
      <w:r w:rsidR="00BD4544">
        <w:rPr>
          <w:rFonts w:eastAsia="Calibri"/>
          <w:iCs/>
          <w:sz w:val="28"/>
          <w:szCs w:val="28"/>
          <w:lang w:val="en-ZA"/>
        </w:rPr>
        <w:t xml:space="preserve"> </w:t>
      </w:r>
      <w:r w:rsidR="00ED1650">
        <w:rPr>
          <w:rFonts w:eastAsia="Calibri"/>
          <w:iCs/>
          <w:sz w:val="28"/>
          <w:szCs w:val="28"/>
          <w:lang w:val="en-ZA"/>
        </w:rPr>
        <w:t xml:space="preserve">On this basis, </w:t>
      </w:r>
      <w:r w:rsidR="003E1584">
        <w:rPr>
          <w:rFonts w:eastAsia="Calibri"/>
          <w:iCs/>
          <w:sz w:val="28"/>
          <w:szCs w:val="28"/>
          <w:lang w:val="en-ZA"/>
        </w:rPr>
        <w:t>it was submitted</w:t>
      </w:r>
      <w:r w:rsidR="00ED1650">
        <w:rPr>
          <w:rFonts w:eastAsia="Calibri"/>
          <w:iCs/>
          <w:sz w:val="28"/>
          <w:szCs w:val="28"/>
          <w:lang w:val="en-ZA"/>
        </w:rPr>
        <w:t xml:space="preserve">, the common law principles which </w:t>
      </w:r>
      <w:r w:rsidR="00B83283">
        <w:rPr>
          <w:rFonts w:eastAsia="Calibri"/>
          <w:iCs/>
          <w:sz w:val="28"/>
          <w:szCs w:val="28"/>
          <w:lang w:val="en-ZA"/>
        </w:rPr>
        <w:t xml:space="preserve">allow </w:t>
      </w:r>
      <w:r w:rsidR="002E1082">
        <w:rPr>
          <w:rFonts w:eastAsia="Calibri"/>
          <w:iCs/>
          <w:sz w:val="28"/>
          <w:szCs w:val="28"/>
          <w:lang w:val="en-ZA"/>
        </w:rPr>
        <w:t>a</w:t>
      </w:r>
      <w:r w:rsidR="005133FA">
        <w:rPr>
          <w:rFonts w:eastAsia="Calibri"/>
          <w:iCs/>
          <w:sz w:val="28"/>
          <w:szCs w:val="28"/>
          <w:lang w:val="en-ZA"/>
        </w:rPr>
        <w:t xml:space="preserve"> separate legal personality to be disregarded</w:t>
      </w:r>
      <w:r w:rsidR="00B83283">
        <w:rPr>
          <w:rFonts w:eastAsia="Calibri"/>
          <w:iCs/>
          <w:sz w:val="28"/>
          <w:szCs w:val="28"/>
          <w:lang w:val="en-ZA"/>
        </w:rPr>
        <w:t>,</w:t>
      </w:r>
      <w:r w:rsidR="005133FA">
        <w:rPr>
          <w:rFonts w:eastAsia="Calibri"/>
          <w:iCs/>
          <w:sz w:val="28"/>
          <w:szCs w:val="28"/>
          <w:lang w:val="en-ZA"/>
        </w:rPr>
        <w:t xml:space="preserve"> ought to apply. These principles</w:t>
      </w:r>
      <w:r w:rsidR="00B83283">
        <w:rPr>
          <w:rFonts w:eastAsia="Calibri"/>
          <w:iCs/>
          <w:sz w:val="28"/>
          <w:szCs w:val="28"/>
          <w:lang w:val="en-ZA"/>
        </w:rPr>
        <w:t>, it was argued,</w:t>
      </w:r>
      <w:r w:rsidR="005133FA">
        <w:rPr>
          <w:rFonts w:eastAsia="Calibri"/>
          <w:iCs/>
          <w:sz w:val="28"/>
          <w:szCs w:val="28"/>
          <w:lang w:val="en-ZA"/>
        </w:rPr>
        <w:t xml:space="preserve"> are sufficiently flexible to allow the Butcher Shop to put up the loss </w:t>
      </w:r>
      <w:r w:rsidR="005133FA">
        <w:rPr>
          <w:rFonts w:eastAsia="Calibri"/>
          <w:iCs/>
          <w:sz w:val="28"/>
          <w:szCs w:val="28"/>
          <w:lang w:val="en-ZA"/>
        </w:rPr>
        <w:lastRenderedPageBreak/>
        <w:t xml:space="preserve">suffered by Apoldo as </w:t>
      </w:r>
      <w:r w:rsidR="00CF027A" w:rsidRPr="004F0A73">
        <w:rPr>
          <w:rFonts w:eastAsia="Calibri"/>
          <w:iCs/>
          <w:sz w:val="28"/>
          <w:szCs w:val="28"/>
          <w:lang w:val="en-ZA"/>
        </w:rPr>
        <w:t>a</w:t>
      </w:r>
      <w:r w:rsidR="00CF027A">
        <w:rPr>
          <w:rFonts w:eastAsia="Calibri"/>
          <w:iCs/>
          <w:sz w:val="28"/>
          <w:szCs w:val="28"/>
          <w:lang w:val="en-ZA"/>
        </w:rPr>
        <w:t xml:space="preserve"> </w:t>
      </w:r>
      <w:r w:rsidR="005133FA">
        <w:rPr>
          <w:rFonts w:eastAsia="Calibri"/>
          <w:iCs/>
          <w:sz w:val="28"/>
          <w:szCs w:val="28"/>
          <w:lang w:val="en-ZA"/>
        </w:rPr>
        <w:t>defence to the Trust’s claim for rent payable by the Butcher Shop.</w:t>
      </w:r>
    </w:p>
    <w:p w14:paraId="05BE3EFD" w14:textId="77777777" w:rsidR="000801AE" w:rsidRDefault="000801AE" w:rsidP="000C1370">
      <w:pPr>
        <w:spacing w:line="360" w:lineRule="auto"/>
        <w:jc w:val="both"/>
        <w:rPr>
          <w:rFonts w:eastAsia="Calibri"/>
          <w:iCs/>
          <w:sz w:val="28"/>
          <w:szCs w:val="28"/>
          <w:lang w:val="en-ZA"/>
        </w:rPr>
      </w:pPr>
    </w:p>
    <w:p w14:paraId="5028F649" w14:textId="1B720EE6" w:rsidR="005133FA" w:rsidRDefault="005133FA" w:rsidP="000C1370">
      <w:pPr>
        <w:spacing w:line="360" w:lineRule="auto"/>
        <w:jc w:val="both"/>
        <w:rPr>
          <w:rFonts w:eastAsia="Calibri"/>
          <w:iCs/>
          <w:sz w:val="28"/>
          <w:szCs w:val="28"/>
          <w:lang w:val="en-ZA"/>
        </w:rPr>
      </w:pPr>
      <w:r>
        <w:rPr>
          <w:rFonts w:eastAsia="Calibri"/>
          <w:iCs/>
          <w:sz w:val="28"/>
          <w:szCs w:val="28"/>
          <w:lang w:val="en-ZA"/>
        </w:rPr>
        <w:t>[</w:t>
      </w:r>
      <w:r w:rsidR="00B033BF">
        <w:rPr>
          <w:rFonts w:eastAsia="Calibri"/>
          <w:iCs/>
          <w:sz w:val="28"/>
          <w:szCs w:val="28"/>
          <w:lang w:val="en-ZA"/>
        </w:rPr>
        <w:t>37</w:t>
      </w:r>
      <w:r>
        <w:rPr>
          <w:rFonts w:eastAsia="Calibri"/>
          <w:iCs/>
          <w:sz w:val="28"/>
          <w:szCs w:val="28"/>
          <w:lang w:val="en-ZA"/>
        </w:rPr>
        <w:t>]</w:t>
      </w:r>
      <w:r>
        <w:rPr>
          <w:rFonts w:eastAsia="Calibri"/>
          <w:iCs/>
          <w:sz w:val="28"/>
          <w:szCs w:val="28"/>
          <w:lang w:val="en-ZA"/>
        </w:rPr>
        <w:tab/>
      </w:r>
      <w:r w:rsidR="00B83283">
        <w:rPr>
          <w:rFonts w:eastAsia="Calibri"/>
          <w:iCs/>
          <w:sz w:val="28"/>
          <w:szCs w:val="28"/>
          <w:lang w:val="en-ZA"/>
        </w:rPr>
        <w:t>T</w:t>
      </w:r>
      <w:r>
        <w:rPr>
          <w:rFonts w:eastAsia="Calibri"/>
          <w:iCs/>
          <w:sz w:val="28"/>
          <w:szCs w:val="28"/>
          <w:lang w:val="en-ZA"/>
        </w:rPr>
        <w:t>he argument</w:t>
      </w:r>
      <w:r w:rsidR="00B83283">
        <w:rPr>
          <w:rFonts w:eastAsia="Calibri"/>
          <w:iCs/>
          <w:sz w:val="28"/>
          <w:szCs w:val="28"/>
          <w:lang w:val="en-ZA"/>
        </w:rPr>
        <w:t xml:space="preserve">, </w:t>
      </w:r>
      <w:r>
        <w:rPr>
          <w:rFonts w:eastAsia="Calibri"/>
          <w:iCs/>
          <w:sz w:val="28"/>
          <w:szCs w:val="28"/>
          <w:lang w:val="en-ZA"/>
        </w:rPr>
        <w:t xml:space="preserve">in the main, </w:t>
      </w:r>
      <w:r w:rsidR="00B83283">
        <w:rPr>
          <w:rFonts w:eastAsia="Calibri"/>
          <w:iCs/>
          <w:sz w:val="28"/>
          <w:szCs w:val="28"/>
          <w:lang w:val="en-ZA"/>
        </w:rPr>
        <w:t>was</w:t>
      </w:r>
      <w:r>
        <w:rPr>
          <w:rFonts w:eastAsia="Calibri"/>
          <w:iCs/>
          <w:sz w:val="28"/>
          <w:szCs w:val="28"/>
          <w:lang w:val="en-ZA"/>
        </w:rPr>
        <w:t xml:space="preserve"> that the existing principles of the common law support the outcome. </w:t>
      </w:r>
      <w:r w:rsidR="00B83283">
        <w:rPr>
          <w:rFonts w:eastAsia="Calibri"/>
          <w:iCs/>
          <w:sz w:val="28"/>
          <w:szCs w:val="28"/>
          <w:lang w:val="en-ZA"/>
        </w:rPr>
        <w:t xml:space="preserve">The </w:t>
      </w:r>
      <w:r>
        <w:rPr>
          <w:rFonts w:eastAsia="Calibri"/>
          <w:iCs/>
          <w:sz w:val="28"/>
          <w:szCs w:val="28"/>
          <w:lang w:val="en-ZA"/>
        </w:rPr>
        <w:t>alternative argument was that, if it is found that the common law does not</w:t>
      </w:r>
      <w:r w:rsidR="000801AE">
        <w:rPr>
          <w:rFonts w:eastAsia="Calibri"/>
          <w:iCs/>
          <w:sz w:val="28"/>
          <w:szCs w:val="28"/>
          <w:lang w:val="en-ZA"/>
        </w:rPr>
        <w:t xml:space="preserve"> permit the ‘piercing of the veil’, then it should be developed to allow the remission claim in this case.</w:t>
      </w:r>
      <w:r w:rsidR="000801AE">
        <w:rPr>
          <w:rStyle w:val="FootnoteReference"/>
          <w:rFonts w:eastAsia="Calibri"/>
          <w:iCs/>
          <w:sz w:val="28"/>
          <w:szCs w:val="28"/>
          <w:lang w:val="en-ZA"/>
        </w:rPr>
        <w:footnoteReference w:id="12"/>
      </w:r>
    </w:p>
    <w:p w14:paraId="7334AED7" w14:textId="77777777" w:rsidR="00B83283" w:rsidRDefault="00B83283" w:rsidP="000C1370">
      <w:pPr>
        <w:spacing w:line="360" w:lineRule="auto"/>
        <w:jc w:val="both"/>
        <w:rPr>
          <w:rFonts w:eastAsia="Calibri"/>
          <w:iCs/>
          <w:sz w:val="28"/>
          <w:szCs w:val="28"/>
          <w:lang w:val="en-ZA"/>
        </w:rPr>
      </w:pPr>
    </w:p>
    <w:p w14:paraId="0A408D9A" w14:textId="788F967B" w:rsidR="00956A43" w:rsidRDefault="000801AE" w:rsidP="000C1370">
      <w:pPr>
        <w:spacing w:line="360" w:lineRule="auto"/>
        <w:jc w:val="both"/>
        <w:rPr>
          <w:rFonts w:eastAsia="Calibri"/>
          <w:iCs/>
          <w:sz w:val="28"/>
          <w:szCs w:val="28"/>
          <w:lang w:val="en-ZA"/>
        </w:rPr>
      </w:pPr>
      <w:r>
        <w:rPr>
          <w:rFonts w:eastAsia="Calibri"/>
          <w:iCs/>
          <w:sz w:val="28"/>
          <w:szCs w:val="28"/>
          <w:lang w:val="en-ZA"/>
        </w:rPr>
        <w:t>[</w:t>
      </w:r>
      <w:r w:rsidR="00B033BF">
        <w:rPr>
          <w:rFonts w:eastAsia="Calibri"/>
          <w:iCs/>
          <w:sz w:val="28"/>
          <w:szCs w:val="28"/>
          <w:lang w:val="en-ZA"/>
        </w:rPr>
        <w:t>38</w:t>
      </w:r>
      <w:r>
        <w:rPr>
          <w:rFonts w:eastAsia="Calibri"/>
          <w:iCs/>
          <w:sz w:val="28"/>
          <w:szCs w:val="28"/>
          <w:lang w:val="en-ZA"/>
        </w:rPr>
        <w:t>]</w:t>
      </w:r>
      <w:r>
        <w:rPr>
          <w:rFonts w:eastAsia="Calibri"/>
          <w:iCs/>
          <w:sz w:val="28"/>
          <w:szCs w:val="28"/>
          <w:lang w:val="en-ZA"/>
        </w:rPr>
        <w:tab/>
        <w:t>It is necessary</w:t>
      </w:r>
      <w:r w:rsidR="00B83283">
        <w:rPr>
          <w:rFonts w:eastAsia="Calibri"/>
          <w:iCs/>
          <w:sz w:val="28"/>
          <w:szCs w:val="28"/>
          <w:lang w:val="en-ZA"/>
        </w:rPr>
        <w:t>, given the arguments advanced,</w:t>
      </w:r>
      <w:r>
        <w:rPr>
          <w:rFonts w:eastAsia="Calibri"/>
          <w:iCs/>
          <w:sz w:val="28"/>
          <w:szCs w:val="28"/>
          <w:lang w:val="en-ZA"/>
        </w:rPr>
        <w:t xml:space="preserve"> to begin by considering </w:t>
      </w:r>
      <w:r w:rsidR="008334C7">
        <w:rPr>
          <w:rFonts w:eastAsia="Calibri"/>
          <w:iCs/>
          <w:sz w:val="28"/>
          <w:szCs w:val="28"/>
          <w:lang w:val="en-ZA"/>
        </w:rPr>
        <w:t>whether s 20(9) of the Companies Act 71 of 2008 (the Companies Act) has codified</w:t>
      </w:r>
      <w:r w:rsidR="00E5462F">
        <w:rPr>
          <w:rFonts w:eastAsia="Calibri"/>
          <w:iCs/>
          <w:sz w:val="28"/>
          <w:szCs w:val="28"/>
          <w:lang w:val="en-ZA"/>
        </w:rPr>
        <w:t xml:space="preserve">, in the sense of having </w:t>
      </w:r>
      <w:r w:rsidR="005B2061">
        <w:rPr>
          <w:rFonts w:eastAsia="Calibri"/>
          <w:iCs/>
          <w:sz w:val="28"/>
          <w:szCs w:val="28"/>
          <w:lang w:val="en-ZA"/>
        </w:rPr>
        <w:t>replaced, the</w:t>
      </w:r>
      <w:r w:rsidR="008334C7">
        <w:rPr>
          <w:rFonts w:eastAsia="Calibri"/>
          <w:iCs/>
          <w:sz w:val="28"/>
          <w:szCs w:val="28"/>
          <w:lang w:val="en-ZA"/>
        </w:rPr>
        <w:t xml:space="preserve"> common law in relation to </w:t>
      </w:r>
      <w:r w:rsidR="00B83283">
        <w:rPr>
          <w:rFonts w:eastAsia="Calibri"/>
          <w:iCs/>
          <w:sz w:val="28"/>
          <w:szCs w:val="28"/>
          <w:lang w:val="en-ZA"/>
        </w:rPr>
        <w:t>when corporate personality may be disregarded.</w:t>
      </w:r>
      <w:r w:rsidR="008334C7">
        <w:rPr>
          <w:rFonts w:eastAsia="Calibri"/>
          <w:iCs/>
          <w:sz w:val="28"/>
          <w:szCs w:val="28"/>
          <w:lang w:val="en-ZA"/>
        </w:rPr>
        <w:t xml:space="preserve"> </w:t>
      </w:r>
      <w:r w:rsidR="00230D65">
        <w:rPr>
          <w:rFonts w:eastAsia="Calibri"/>
          <w:iCs/>
          <w:sz w:val="28"/>
          <w:szCs w:val="28"/>
          <w:lang w:val="en-ZA"/>
        </w:rPr>
        <w:t>Section 20 deals with the validity of company actions. It contains several provisions which relate to actions taken by a company contrary to any limitation or restriction imposed by its memorandum of incorporation</w:t>
      </w:r>
      <w:r w:rsidR="005F558B">
        <w:rPr>
          <w:rFonts w:eastAsia="Calibri"/>
          <w:iCs/>
          <w:sz w:val="28"/>
          <w:szCs w:val="28"/>
          <w:lang w:val="en-ZA"/>
        </w:rPr>
        <w:t xml:space="preserve"> and with instances of conduct which is </w:t>
      </w:r>
      <w:r w:rsidR="005F558B">
        <w:rPr>
          <w:rFonts w:eastAsia="Calibri"/>
          <w:i/>
          <w:sz w:val="28"/>
          <w:szCs w:val="28"/>
          <w:lang w:val="en-ZA"/>
        </w:rPr>
        <w:t>ultra vires</w:t>
      </w:r>
      <w:r w:rsidR="005F558B">
        <w:rPr>
          <w:rFonts w:eastAsia="Calibri"/>
          <w:iCs/>
          <w:sz w:val="28"/>
          <w:szCs w:val="28"/>
          <w:lang w:val="en-ZA"/>
        </w:rPr>
        <w:t xml:space="preserve"> the authority of the directors or officers of the company. </w:t>
      </w:r>
      <w:r w:rsidR="00956A43">
        <w:rPr>
          <w:rFonts w:eastAsia="Calibri"/>
          <w:iCs/>
          <w:sz w:val="28"/>
          <w:szCs w:val="28"/>
          <w:lang w:val="en-ZA"/>
        </w:rPr>
        <w:t>Many of these provisions implicate principles which find expression in the common law.</w:t>
      </w:r>
      <w:r w:rsidR="00956A43">
        <w:rPr>
          <w:rStyle w:val="FootnoteReference"/>
          <w:rFonts w:eastAsia="Calibri"/>
          <w:iCs/>
          <w:sz w:val="28"/>
          <w:szCs w:val="28"/>
          <w:lang w:val="en-ZA"/>
        </w:rPr>
        <w:footnoteReference w:id="13"/>
      </w:r>
    </w:p>
    <w:p w14:paraId="2CCA53CA" w14:textId="77777777" w:rsidR="00956A43" w:rsidRDefault="00956A43" w:rsidP="000C1370">
      <w:pPr>
        <w:spacing w:line="360" w:lineRule="auto"/>
        <w:jc w:val="both"/>
        <w:rPr>
          <w:rFonts w:eastAsia="Calibri"/>
          <w:iCs/>
          <w:sz w:val="28"/>
          <w:szCs w:val="28"/>
          <w:lang w:val="en-ZA"/>
        </w:rPr>
      </w:pPr>
    </w:p>
    <w:p w14:paraId="55C94B0C" w14:textId="3D9385A9" w:rsidR="000801AE" w:rsidRDefault="00956A43" w:rsidP="000C1370">
      <w:pPr>
        <w:spacing w:line="360" w:lineRule="auto"/>
        <w:jc w:val="both"/>
        <w:rPr>
          <w:rFonts w:eastAsia="Calibri"/>
          <w:iCs/>
          <w:sz w:val="28"/>
          <w:szCs w:val="28"/>
          <w:lang w:val="en-ZA"/>
        </w:rPr>
      </w:pPr>
      <w:r>
        <w:rPr>
          <w:rFonts w:eastAsia="Calibri"/>
          <w:iCs/>
          <w:sz w:val="28"/>
          <w:szCs w:val="28"/>
          <w:lang w:val="en-ZA"/>
        </w:rPr>
        <w:t>[</w:t>
      </w:r>
      <w:r w:rsidR="00B033BF">
        <w:rPr>
          <w:rFonts w:eastAsia="Calibri"/>
          <w:iCs/>
          <w:sz w:val="28"/>
          <w:szCs w:val="28"/>
          <w:lang w:val="en-ZA"/>
        </w:rPr>
        <w:t>39</w:t>
      </w:r>
      <w:r>
        <w:rPr>
          <w:rFonts w:eastAsia="Calibri"/>
          <w:iCs/>
          <w:sz w:val="28"/>
          <w:szCs w:val="28"/>
          <w:lang w:val="en-ZA"/>
        </w:rPr>
        <w:t>]</w:t>
      </w:r>
      <w:r>
        <w:rPr>
          <w:rFonts w:eastAsia="Calibri"/>
          <w:iCs/>
          <w:sz w:val="28"/>
          <w:szCs w:val="28"/>
          <w:lang w:val="en-ZA"/>
        </w:rPr>
        <w:tab/>
      </w:r>
      <w:r w:rsidR="00E5462F">
        <w:rPr>
          <w:rFonts w:eastAsia="Calibri"/>
          <w:iCs/>
          <w:sz w:val="28"/>
          <w:szCs w:val="28"/>
          <w:lang w:val="en-ZA"/>
        </w:rPr>
        <w:t>Subsection (9) provides that:</w:t>
      </w:r>
    </w:p>
    <w:p w14:paraId="349F392E" w14:textId="1C478123" w:rsidR="00E5462F" w:rsidRDefault="00E5462F" w:rsidP="000C1370">
      <w:pPr>
        <w:spacing w:line="360" w:lineRule="auto"/>
        <w:jc w:val="both"/>
        <w:rPr>
          <w:rFonts w:eastAsia="Calibri"/>
          <w:iCs/>
          <w:lang w:val="en-ZA"/>
        </w:rPr>
      </w:pPr>
      <w:r>
        <w:rPr>
          <w:rFonts w:eastAsia="Calibri"/>
          <w:iCs/>
          <w:sz w:val="28"/>
          <w:szCs w:val="28"/>
          <w:lang w:val="en-ZA"/>
        </w:rPr>
        <w:t>‘</w:t>
      </w:r>
      <w:r>
        <w:rPr>
          <w:rFonts w:eastAsia="Calibri"/>
          <w:iCs/>
          <w:lang w:val="en-ZA"/>
        </w:rPr>
        <w:t>If, on application by an interested person or in any proceedings in which a company is involved, a court finds that the incorporation of the company, any use of the company, or any act by or on behalf of the company, constitutes an unconscionable abuse of the juristic personality of the company as a separate entity, the court may –</w:t>
      </w:r>
      <w:r w:rsidR="00267446">
        <w:rPr>
          <w:rFonts w:eastAsia="Calibri"/>
          <w:iCs/>
          <w:lang w:val="en-ZA"/>
        </w:rPr>
        <w:t xml:space="preserve"> </w:t>
      </w:r>
    </w:p>
    <w:p w14:paraId="465ABEE9" w14:textId="5BC6693C" w:rsidR="00E5462F" w:rsidRDefault="00267446" w:rsidP="00D751EB">
      <w:pPr>
        <w:pStyle w:val="ListParagraph"/>
        <w:spacing w:line="360" w:lineRule="auto"/>
        <w:ind w:left="0"/>
        <w:jc w:val="both"/>
        <w:rPr>
          <w:rFonts w:eastAsia="Calibri"/>
          <w:iCs/>
          <w:lang w:val="en-ZA"/>
        </w:rPr>
      </w:pPr>
      <w:r>
        <w:rPr>
          <w:rFonts w:eastAsia="Calibri"/>
          <w:i/>
          <w:iCs/>
          <w:lang w:val="en-ZA"/>
        </w:rPr>
        <w:t xml:space="preserve">(a) </w:t>
      </w:r>
      <w:r w:rsidR="002F79D4">
        <w:rPr>
          <w:rFonts w:eastAsia="Calibri"/>
          <w:iCs/>
          <w:lang w:val="en-ZA"/>
        </w:rPr>
        <w:t>d</w:t>
      </w:r>
      <w:r w:rsidR="00E5462F">
        <w:rPr>
          <w:rFonts w:eastAsia="Calibri"/>
          <w:iCs/>
          <w:lang w:val="en-ZA"/>
        </w:rPr>
        <w:t xml:space="preserve">eclare that the company is to be deemed not to be a juristic person in respect of any right, obligation or liability of the company or, </w:t>
      </w:r>
      <w:r>
        <w:rPr>
          <w:rFonts w:eastAsia="Calibri"/>
          <w:iCs/>
          <w:lang w:val="en-ZA"/>
        </w:rPr>
        <w:t xml:space="preserve">of a shareholder of the company or, </w:t>
      </w:r>
      <w:r w:rsidR="00E5462F">
        <w:rPr>
          <w:rFonts w:eastAsia="Calibri"/>
          <w:iCs/>
          <w:lang w:val="en-ZA"/>
        </w:rPr>
        <w:t>in the case of a non-profit company, a member the company, or of another person specified in the declaration; and</w:t>
      </w:r>
    </w:p>
    <w:p w14:paraId="225EAA41" w14:textId="605F0A82" w:rsidR="00E5462F" w:rsidRDefault="002F79D4" w:rsidP="00D751EB">
      <w:pPr>
        <w:pStyle w:val="ListParagraph"/>
        <w:spacing w:line="360" w:lineRule="auto"/>
        <w:ind w:left="0"/>
        <w:jc w:val="both"/>
        <w:rPr>
          <w:rFonts w:eastAsia="Calibri"/>
          <w:iCs/>
          <w:lang w:val="en-ZA"/>
        </w:rPr>
      </w:pPr>
      <w:r>
        <w:rPr>
          <w:rFonts w:eastAsia="Calibri"/>
          <w:i/>
          <w:iCs/>
          <w:lang w:val="en-ZA"/>
        </w:rPr>
        <w:lastRenderedPageBreak/>
        <w:t xml:space="preserve">(b) </w:t>
      </w:r>
      <w:r>
        <w:rPr>
          <w:rFonts w:eastAsia="Calibri"/>
          <w:iCs/>
          <w:lang w:val="en-ZA"/>
        </w:rPr>
        <w:t>m</w:t>
      </w:r>
      <w:r w:rsidR="00E5462F">
        <w:rPr>
          <w:rFonts w:eastAsia="Calibri"/>
          <w:iCs/>
          <w:lang w:val="en-ZA"/>
        </w:rPr>
        <w:t xml:space="preserve">ake any further order the court considers appropriate to give effect to a declaration contemplated in paragraph </w:t>
      </w:r>
      <w:r w:rsidR="00E5462F" w:rsidRPr="00D751EB">
        <w:rPr>
          <w:rFonts w:eastAsia="Calibri"/>
          <w:i/>
          <w:iCs/>
          <w:lang w:val="en-ZA"/>
        </w:rPr>
        <w:t>(</w:t>
      </w:r>
      <w:r w:rsidR="00E5462F" w:rsidRPr="0050496A">
        <w:rPr>
          <w:rFonts w:eastAsia="Calibri"/>
          <w:i/>
          <w:lang w:val="en-ZA"/>
        </w:rPr>
        <w:t>a</w:t>
      </w:r>
      <w:r w:rsidR="00E5462F" w:rsidRPr="00D751EB">
        <w:rPr>
          <w:rFonts w:eastAsia="Calibri"/>
          <w:i/>
          <w:iCs/>
          <w:lang w:val="en-ZA"/>
        </w:rPr>
        <w:t>)</w:t>
      </w:r>
      <w:r w:rsidR="00E5462F">
        <w:rPr>
          <w:rFonts w:eastAsia="Calibri"/>
          <w:iCs/>
          <w:lang w:val="en-ZA"/>
        </w:rPr>
        <w:t>.’</w:t>
      </w:r>
    </w:p>
    <w:p w14:paraId="6D33971B" w14:textId="7B37929A" w:rsidR="00E5462F" w:rsidRDefault="00E5462F" w:rsidP="00E5462F">
      <w:pPr>
        <w:pStyle w:val="ListParagraph"/>
        <w:spacing w:line="360" w:lineRule="auto"/>
        <w:ind w:left="0"/>
        <w:jc w:val="both"/>
        <w:rPr>
          <w:rFonts w:eastAsia="Calibri"/>
          <w:iCs/>
          <w:sz w:val="28"/>
          <w:szCs w:val="28"/>
          <w:lang w:val="en-ZA"/>
        </w:rPr>
      </w:pPr>
    </w:p>
    <w:p w14:paraId="1E0017C8" w14:textId="0ED4BADB" w:rsidR="00E5462F" w:rsidRDefault="00E5462F"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B83283">
        <w:rPr>
          <w:rFonts w:eastAsia="Calibri"/>
          <w:iCs/>
          <w:sz w:val="28"/>
          <w:szCs w:val="28"/>
          <w:lang w:val="en-ZA"/>
        </w:rPr>
        <w:t>4</w:t>
      </w:r>
      <w:r w:rsidR="00B033BF">
        <w:rPr>
          <w:rFonts w:eastAsia="Calibri"/>
          <w:iCs/>
          <w:sz w:val="28"/>
          <w:szCs w:val="28"/>
          <w:lang w:val="en-ZA"/>
        </w:rPr>
        <w:t>0</w:t>
      </w:r>
      <w:r>
        <w:rPr>
          <w:rFonts w:eastAsia="Calibri"/>
          <w:iCs/>
          <w:sz w:val="28"/>
          <w:szCs w:val="28"/>
          <w:lang w:val="en-ZA"/>
        </w:rPr>
        <w:t>]</w:t>
      </w:r>
      <w:r>
        <w:rPr>
          <w:rFonts w:eastAsia="Calibri"/>
          <w:iCs/>
          <w:sz w:val="28"/>
          <w:szCs w:val="28"/>
          <w:lang w:val="en-ZA"/>
        </w:rPr>
        <w:tab/>
      </w:r>
      <w:r w:rsidR="002E1082">
        <w:rPr>
          <w:rFonts w:eastAsia="Calibri"/>
          <w:iCs/>
          <w:sz w:val="28"/>
          <w:szCs w:val="28"/>
          <w:lang w:val="en-ZA"/>
        </w:rPr>
        <w:t>The question is one of interpretation.</w:t>
      </w:r>
      <w:r w:rsidR="00387CBB">
        <w:rPr>
          <w:rFonts w:eastAsia="Calibri"/>
          <w:iCs/>
          <w:sz w:val="28"/>
          <w:szCs w:val="28"/>
          <w:lang w:val="en-ZA"/>
        </w:rPr>
        <w:t xml:space="preserve"> </w:t>
      </w:r>
      <w:r w:rsidR="005B2061">
        <w:rPr>
          <w:rFonts w:eastAsia="Calibri"/>
          <w:iCs/>
          <w:sz w:val="28"/>
          <w:szCs w:val="28"/>
          <w:lang w:val="en-ZA"/>
        </w:rPr>
        <w:t xml:space="preserve">As noted in </w:t>
      </w:r>
      <w:r w:rsidR="005B2061">
        <w:rPr>
          <w:rFonts w:eastAsia="Calibri"/>
          <w:i/>
          <w:sz w:val="28"/>
          <w:szCs w:val="28"/>
          <w:lang w:val="en-ZA"/>
        </w:rPr>
        <w:t>Ex Parte Gore and Others N</w:t>
      </w:r>
      <w:r w:rsidR="002F79D4">
        <w:rPr>
          <w:rFonts w:eastAsia="Calibri"/>
          <w:i/>
          <w:sz w:val="28"/>
          <w:szCs w:val="28"/>
          <w:lang w:val="en-ZA"/>
        </w:rPr>
        <w:t xml:space="preserve"> </w:t>
      </w:r>
      <w:r w:rsidR="005B2061">
        <w:rPr>
          <w:rFonts w:eastAsia="Calibri"/>
          <w:i/>
          <w:sz w:val="28"/>
          <w:szCs w:val="28"/>
          <w:lang w:val="en-ZA"/>
        </w:rPr>
        <w:t>N</w:t>
      </w:r>
      <w:r w:rsidR="002F79D4">
        <w:rPr>
          <w:rFonts w:eastAsia="Calibri"/>
          <w:i/>
          <w:sz w:val="28"/>
          <w:szCs w:val="28"/>
          <w:lang w:val="en-ZA"/>
        </w:rPr>
        <w:t xml:space="preserve"> </w:t>
      </w:r>
      <w:r w:rsidR="005B2061">
        <w:rPr>
          <w:rFonts w:eastAsia="Calibri"/>
          <w:i/>
          <w:sz w:val="28"/>
          <w:szCs w:val="28"/>
          <w:lang w:val="en-ZA"/>
        </w:rPr>
        <w:t>O</w:t>
      </w:r>
      <w:r w:rsidR="002F79D4">
        <w:rPr>
          <w:rFonts w:eastAsia="Calibri"/>
          <w:i/>
          <w:sz w:val="28"/>
          <w:szCs w:val="28"/>
          <w:lang w:val="en-ZA"/>
        </w:rPr>
        <w:t xml:space="preserve"> (Gore),</w:t>
      </w:r>
      <w:r w:rsidR="005B2061" w:rsidRPr="005B2061">
        <w:rPr>
          <w:rStyle w:val="FootnoteReference"/>
          <w:rFonts w:eastAsia="Calibri"/>
          <w:iCs/>
          <w:sz w:val="28"/>
          <w:szCs w:val="28"/>
          <w:lang w:val="en-ZA"/>
        </w:rPr>
        <w:footnoteReference w:id="14"/>
      </w:r>
      <w:r w:rsidR="005B2061">
        <w:rPr>
          <w:rFonts w:eastAsia="Calibri"/>
          <w:i/>
          <w:sz w:val="28"/>
          <w:szCs w:val="28"/>
          <w:lang w:val="en-ZA"/>
        </w:rPr>
        <w:t xml:space="preserve"> </w:t>
      </w:r>
      <w:r w:rsidR="005B2061">
        <w:rPr>
          <w:rFonts w:eastAsia="Calibri"/>
          <w:iCs/>
          <w:sz w:val="28"/>
          <w:szCs w:val="28"/>
          <w:lang w:val="en-ZA"/>
        </w:rPr>
        <w:t xml:space="preserve">there </w:t>
      </w:r>
      <w:r w:rsidR="00B033BF">
        <w:rPr>
          <w:rFonts w:eastAsia="Calibri"/>
          <w:iCs/>
          <w:sz w:val="28"/>
          <w:szCs w:val="28"/>
          <w:lang w:val="en-ZA"/>
        </w:rPr>
        <w:t>is no</w:t>
      </w:r>
      <w:r w:rsidR="005B2061">
        <w:rPr>
          <w:rFonts w:eastAsia="Calibri"/>
          <w:iCs/>
          <w:sz w:val="28"/>
          <w:szCs w:val="28"/>
          <w:lang w:val="en-ZA"/>
        </w:rPr>
        <w:t xml:space="preserve"> language which expresses </w:t>
      </w:r>
      <w:r w:rsidR="00AA594F">
        <w:rPr>
          <w:rFonts w:eastAsia="Calibri"/>
          <w:iCs/>
          <w:sz w:val="28"/>
          <w:szCs w:val="28"/>
          <w:lang w:val="en-ZA"/>
        </w:rPr>
        <w:t>an intention</w:t>
      </w:r>
      <w:r w:rsidR="002E1082">
        <w:rPr>
          <w:rFonts w:eastAsia="Calibri"/>
          <w:iCs/>
          <w:sz w:val="28"/>
          <w:szCs w:val="28"/>
          <w:lang w:val="en-ZA"/>
        </w:rPr>
        <w:t xml:space="preserve"> either way</w:t>
      </w:r>
      <w:r w:rsidR="005B2061">
        <w:rPr>
          <w:rFonts w:eastAsia="Calibri"/>
          <w:iCs/>
          <w:sz w:val="28"/>
          <w:szCs w:val="28"/>
          <w:lang w:val="en-ZA"/>
        </w:rPr>
        <w:t xml:space="preserve">. </w:t>
      </w:r>
      <w:r w:rsidR="007B0FEB">
        <w:rPr>
          <w:rFonts w:eastAsia="Calibri"/>
          <w:iCs/>
          <w:sz w:val="28"/>
          <w:szCs w:val="28"/>
          <w:lang w:val="en-ZA"/>
        </w:rPr>
        <w:t xml:space="preserve">In </w:t>
      </w:r>
      <w:r w:rsidR="007B0FEB">
        <w:rPr>
          <w:rFonts w:eastAsia="Calibri"/>
          <w:i/>
          <w:sz w:val="28"/>
          <w:szCs w:val="28"/>
          <w:lang w:val="en-ZA"/>
        </w:rPr>
        <w:t>Gore</w:t>
      </w:r>
      <w:r w:rsidR="007B0FEB">
        <w:rPr>
          <w:rFonts w:eastAsia="Calibri"/>
          <w:iCs/>
          <w:sz w:val="28"/>
          <w:szCs w:val="28"/>
          <w:lang w:val="en-ZA"/>
        </w:rPr>
        <w:t>, Binns-Ward J, concluded that there was no discord between the section and the approach to piercing the veil set out in the cases decided before the section was enacted.</w:t>
      </w:r>
      <w:r w:rsidR="007B0FEB">
        <w:rPr>
          <w:rStyle w:val="FootnoteReference"/>
          <w:rFonts w:eastAsia="Calibri"/>
          <w:iCs/>
          <w:sz w:val="28"/>
          <w:szCs w:val="28"/>
          <w:lang w:val="en-ZA"/>
        </w:rPr>
        <w:footnoteReference w:id="15"/>
      </w:r>
      <w:r w:rsidR="007B0FEB">
        <w:rPr>
          <w:rFonts w:eastAsia="Calibri"/>
          <w:iCs/>
          <w:sz w:val="28"/>
          <w:szCs w:val="28"/>
          <w:lang w:val="en-ZA"/>
        </w:rPr>
        <w:t xml:space="preserve"> The learned judge held that the provision ‘broadens the bases upon which the courts in this country…have hitherto been prepared to grant relief that entails disregarding corporate personality’.</w:t>
      </w:r>
      <w:r w:rsidR="007B0FEB">
        <w:rPr>
          <w:rStyle w:val="FootnoteReference"/>
          <w:rFonts w:eastAsia="Calibri"/>
          <w:iCs/>
          <w:sz w:val="28"/>
          <w:szCs w:val="28"/>
          <w:lang w:val="en-ZA"/>
        </w:rPr>
        <w:footnoteReference w:id="16"/>
      </w:r>
      <w:r w:rsidR="007B0FEB">
        <w:rPr>
          <w:rFonts w:eastAsia="Calibri"/>
          <w:iCs/>
          <w:sz w:val="28"/>
          <w:szCs w:val="28"/>
          <w:lang w:val="en-ZA"/>
        </w:rPr>
        <w:t xml:space="preserve"> Section 20(9), therefore does not replace the common law, it supplements the common law. This Court, </w:t>
      </w:r>
      <w:r w:rsidR="007B0FEB" w:rsidRPr="0050496A">
        <w:rPr>
          <w:rFonts w:eastAsia="Calibri"/>
          <w:iCs/>
          <w:sz w:val="28"/>
          <w:szCs w:val="28"/>
          <w:lang w:val="en-ZA"/>
        </w:rPr>
        <w:t xml:space="preserve">in </w:t>
      </w:r>
      <w:r w:rsidR="007B0FEB" w:rsidRPr="0050496A">
        <w:rPr>
          <w:rFonts w:eastAsia="Calibri"/>
          <w:i/>
          <w:sz w:val="28"/>
          <w:szCs w:val="28"/>
          <w:lang w:val="en-ZA"/>
        </w:rPr>
        <w:t>City Capital SA Property Holdings Ltd v Chavonnes Badenhorst St Clair Cooper and Others</w:t>
      </w:r>
      <w:r w:rsidR="00E71200" w:rsidRPr="000C07CD">
        <w:rPr>
          <w:rFonts w:eastAsia="Calibri"/>
          <w:iCs/>
          <w:sz w:val="28"/>
          <w:szCs w:val="28"/>
          <w:lang w:val="en-ZA"/>
        </w:rPr>
        <w:t>,</w:t>
      </w:r>
      <w:r w:rsidR="007B0FEB" w:rsidRPr="0050496A">
        <w:rPr>
          <w:rStyle w:val="FootnoteReference"/>
          <w:rFonts w:eastAsia="Calibri"/>
          <w:iCs/>
          <w:sz w:val="28"/>
          <w:szCs w:val="28"/>
          <w:lang w:val="en-ZA"/>
        </w:rPr>
        <w:footnoteReference w:id="17"/>
      </w:r>
      <w:r w:rsidR="007B0FEB" w:rsidRPr="0050496A">
        <w:rPr>
          <w:rFonts w:eastAsia="Calibri"/>
          <w:iCs/>
          <w:sz w:val="28"/>
          <w:szCs w:val="28"/>
          <w:lang w:val="en-ZA"/>
        </w:rPr>
        <w:t xml:space="preserve"> expressed the view that the section supplements the common law.</w:t>
      </w:r>
    </w:p>
    <w:p w14:paraId="49791AE0" w14:textId="4608D259" w:rsidR="008866EB" w:rsidRDefault="008866EB" w:rsidP="00E5462F">
      <w:pPr>
        <w:pStyle w:val="ListParagraph"/>
        <w:spacing w:line="360" w:lineRule="auto"/>
        <w:ind w:left="0"/>
        <w:jc w:val="both"/>
        <w:rPr>
          <w:rFonts w:eastAsia="Calibri"/>
          <w:iCs/>
          <w:sz w:val="28"/>
          <w:szCs w:val="28"/>
          <w:lang w:val="en-ZA"/>
        </w:rPr>
      </w:pPr>
    </w:p>
    <w:p w14:paraId="63B45CD5" w14:textId="3416F3AA" w:rsidR="007A6ECA" w:rsidRDefault="008866EB"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A6ECA">
        <w:rPr>
          <w:rFonts w:eastAsia="Calibri"/>
          <w:iCs/>
          <w:sz w:val="28"/>
          <w:szCs w:val="28"/>
          <w:lang w:val="en-ZA"/>
        </w:rPr>
        <w:t>4</w:t>
      </w:r>
      <w:r w:rsidR="00B033BF">
        <w:rPr>
          <w:rFonts w:eastAsia="Calibri"/>
          <w:iCs/>
          <w:sz w:val="28"/>
          <w:szCs w:val="28"/>
          <w:lang w:val="en-ZA"/>
        </w:rPr>
        <w:t>1</w:t>
      </w:r>
      <w:r>
        <w:rPr>
          <w:rFonts w:eastAsia="Calibri"/>
          <w:iCs/>
          <w:sz w:val="28"/>
          <w:szCs w:val="28"/>
          <w:lang w:val="en-ZA"/>
        </w:rPr>
        <w:t>]</w:t>
      </w:r>
      <w:r>
        <w:rPr>
          <w:rFonts w:eastAsia="Calibri"/>
          <w:iCs/>
          <w:sz w:val="28"/>
          <w:szCs w:val="28"/>
          <w:lang w:val="en-ZA"/>
        </w:rPr>
        <w:tab/>
      </w:r>
      <w:r w:rsidR="007B0FEB">
        <w:rPr>
          <w:rFonts w:eastAsia="Calibri"/>
          <w:iCs/>
          <w:sz w:val="28"/>
          <w:szCs w:val="28"/>
          <w:lang w:val="en-ZA"/>
        </w:rPr>
        <w:t>The section does not contain language which evidences an intention to abolish or replace the common law, such as that contained in s 165(1) of the Act.</w:t>
      </w:r>
      <w:r w:rsidR="007B0FEB">
        <w:rPr>
          <w:rStyle w:val="FootnoteReference"/>
          <w:rFonts w:eastAsia="Calibri"/>
          <w:iCs/>
          <w:sz w:val="28"/>
          <w:szCs w:val="28"/>
          <w:lang w:val="en-ZA"/>
        </w:rPr>
        <w:footnoteReference w:id="18"/>
      </w:r>
      <w:r w:rsidR="007B0FEB">
        <w:rPr>
          <w:rFonts w:eastAsia="Calibri"/>
          <w:iCs/>
          <w:sz w:val="28"/>
          <w:szCs w:val="28"/>
          <w:lang w:val="en-ZA"/>
        </w:rPr>
        <w:t xml:space="preserve"> This, for me</w:t>
      </w:r>
      <w:r w:rsidR="00A94EAA">
        <w:rPr>
          <w:rFonts w:eastAsia="Calibri"/>
          <w:iCs/>
          <w:sz w:val="28"/>
          <w:szCs w:val="28"/>
          <w:lang w:val="en-ZA"/>
        </w:rPr>
        <w:t>,</w:t>
      </w:r>
      <w:r w:rsidR="007B0FEB">
        <w:rPr>
          <w:rFonts w:eastAsia="Calibri"/>
          <w:iCs/>
          <w:sz w:val="28"/>
          <w:szCs w:val="28"/>
          <w:lang w:val="en-ZA"/>
        </w:rPr>
        <w:t xml:space="preserve"> is the </w:t>
      </w:r>
      <w:r w:rsidR="00A94EAA">
        <w:rPr>
          <w:rFonts w:eastAsia="Calibri"/>
          <w:iCs/>
          <w:sz w:val="28"/>
          <w:szCs w:val="28"/>
          <w:lang w:val="en-ZA"/>
        </w:rPr>
        <w:t>decisive</w:t>
      </w:r>
      <w:r w:rsidR="007B0FEB">
        <w:rPr>
          <w:rFonts w:eastAsia="Calibri"/>
          <w:iCs/>
          <w:sz w:val="28"/>
          <w:szCs w:val="28"/>
          <w:lang w:val="en-ZA"/>
        </w:rPr>
        <w:t xml:space="preserve"> consideration.</w:t>
      </w:r>
      <w:r w:rsidR="007B0FEB" w:rsidRPr="007B0FEB">
        <w:rPr>
          <w:rFonts w:eastAsia="Calibri"/>
          <w:iCs/>
          <w:sz w:val="28"/>
          <w:szCs w:val="28"/>
          <w:lang w:val="en-ZA"/>
        </w:rPr>
        <w:t xml:space="preserve"> </w:t>
      </w:r>
      <w:r w:rsidR="007B0FEB">
        <w:rPr>
          <w:rFonts w:eastAsia="Calibri"/>
          <w:iCs/>
          <w:sz w:val="28"/>
          <w:szCs w:val="28"/>
          <w:lang w:val="en-ZA"/>
        </w:rPr>
        <w:t>It must therefore be accepted that s</w:t>
      </w:r>
      <w:r w:rsidR="00AF4C5E">
        <w:rPr>
          <w:rFonts w:eastAsia="Calibri"/>
          <w:iCs/>
          <w:sz w:val="28"/>
          <w:szCs w:val="28"/>
          <w:lang w:val="en-ZA"/>
        </w:rPr>
        <w:t> </w:t>
      </w:r>
      <w:r w:rsidR="007B0FEB">
        <w:rPr>
          <w:rFonts w:eastAsia="Calibri"/>
          <w:iCs/>
          <w:sz w:val="28"/>
          <w:szCs w:val="28"/>
          <w:lang w:val="en-ZA"/>
        </w:rPr>
        <w:t>20(9) does not replace the common law nor establish a defined set of circumstances in which a court may disregard the separate legal personality of a company.</w:t>
      </w:r>
      <w:r w:rsidR="00E5639D">
        <w:rPr>
          <w:rFonts w:eastAsia="Calibri"/>
          <w:iCs/>
          <w:sz w:val="28"/>
          <w:szCs w:val="28"/>
          <w:lang w:val="en-ZA"/>
        </w:rPr>
        <w:t xml:space="preserve"> </w:t>
      </w:r>
    </w:p>
    <w:p w14:paraId="373B3F31" w14:textId="77777777" w:rsidR="007A6ECA" w:rsidRDefault="007A6ECA" w:rsidP="00E5462F">
      <w:pPr>
        <w:pStyle w:val="ListParagraph"/>
        <w:spacing w:line="360" w:lineRule="auto"/>
        <w:ind w:left="0"/>
        <w:jc w:val="both"/>
        <w:rPr>
          <w:rFonts w:eastAsia="Calibri"/>
          <w:iCs/>
          <w:sz w:val="28"/>
          <w:szCs w:val="28"/>
          <w:lang w:val="en-ZA"/>
        </w:rPr>
      </w:pPr>
    </w:p>
    <w:p w14:paraId="2BD5E33A" w14:textId="7AFC63BB" w:rsidR="008B0CAD" w:rsidRDefault="008B0CAD" w:rsidP="00E5462F">
      <w:pPr>
        <w:pStyle w:val="ListParagraph"/>
        <w:spacing w:line="360" w:lineRule="auto"/>
        <w:ind w:left="0"/>
        <w:jc w:val="both"/>
        <w:rPr>
          <w:rFonts w:eastAsia="Calibri"/>
          <w:iCs/>
          <w:sz w:val="28"/>
          <w:szCs w:val="28"/>
          <w:lang w:val="en-ZA"/>
        </w:rPr>
      </w:pPr>
      <w:r>
        <w:rPr>
          <w:rFonts w:eastAsia="Calibri"/>
          <w:iCs/>
          <w:sz w:val="28"/>
          <w:szCs w:val="28"/>
          <w:lang w:val="en-ZA"/>
        </w:rPr>
        <w:lastRenderedPageBreak/>
        <w:t>[</w:t>
      </w:r>
      <w:r w:rsidR="007A6ECA">
        <w:rPr>
          <w:rFonts w:eastAsia="Calibri"/>
          <w:iCs/>
          <w:sz w:val="28"/>
          <w:szCs w:val="28"/>
          <w:lang w:val="en-ZA"/>
        </w:rPr>
        <w:t>4</w:t>
      </w:r>
      <w:r w:rsidR="00B033BF">
        <w:rPr>
          <w:rFonts w:eastAsia="Calibri"/>
          <w:iCs/>
          <w:sz w:val="28"/>
          <w:szCs w:val="28"/>
          <w:lang w:val="en-ZA"/>
        </w:rPr>
        <w:t>2</w:t>
      </w:r>
      <w:r>
        <w:rPr>
          <w:rFonts w:eastAsia="Calibri"/>
          <w:iCs/>
          <w:sz w:val="28"/>
          <w:szCs w:val="28"/>
          <w:lang w:val="en-ZA"/>
        </w:rPr>
        <w:t>]</w:t>
      </w:r>
      <w:r>
        <w:rPr>
          <w:rFonts w:eastAsia="Calibri"/>
          <w:iCs/>
          <w:sz w:val="28"/>
          <w:szCs w:val="28"/>
          <w:lang w:val="en-ZA"/>
        </w:rPr>
        <w:tab/>
      </w:r>
      <w:r w:rsidR="00A94EAA">
        <w:rPr>
          <w:rFonts w:eastAsia="Calibri"/>
          <w:iCs/>
          <w:sz w:val="28"/>
          <w:szCs w:val="28"/>
          <w:lang w:val="en-ZA"/>
        </w:rPr>
        <w:t>The next enquiry is what general common law principles apply when the question of piercing the corporate veil arises.</w:t>
      </w:r>
      <w:r w:rsidR="00355222">
        <w:rPr>
          <w:rFonts w:eastAsia="Calibri"/>
          <w:iCs/>
          <w:sz w:val="28"/>
          <w:szCs w:val="28"/>
          <w:lang w:val="en-ZA"/>
        </w:rPr>
        <w:t xml:space="preserve"> Smalberger JA</w:t>
      </w:r>
      <w:r w:rsidR="00B62AEC">
        <w:rPr>
          <w:rFonts w:eastAsia="Calibri"/>
          <w:iCs/>
          <w:sz w:val="28"/>
          <w:szCs w:val="28"/>
          <w:lang w:val="en-ZA"/>
        </w:rPr>
        <w:t>,</w:t>
      </w:r>
      <w:r w:rsidR="00355222">
        <w:rPr>
          <w:rFonts w:eastAsia="Calibri"/>
          <w:iCs/>
          <w:sz w:val="28"/>
          <w:szCs w:val="28"/>
          <w:lang w:val="en-ZA"/>
        </w:rPr>
        <w:t xml:space="preserve"> </w:t>
      </w:r>
      <w:r w:rsidR="004975D8">
        <w:rPr>
          <w:rFonts w:eastAsia="Calibri"/>
          <w:iCs/>
          <w:sz w:val="28"/>
          <w:szCs w:val="28"/>
          <w:lang w:val="en-ZA"/>
        </w:rPr>
        <w:t xml:space="preserve">in </w:t>
      </w:r>
      <w:r w:rsidR="004975D8">
        <w:rPr>
          <w:rFonts w:eastAsia="Calibri"/>
          <w:i/>
          <w:sz w:val="28"/>
          <w:szCs w:val="28"/>
          <w:lang w:val="en-ZA"/>
        </w:rPr>
        <w:t xml:space="preserve">Cape Pacific </w:t>
      </w:r>
      <w:r w:rsidR="00355222">
        <w:rPr>
          <w:rFonts w:eastAsia="Calibri"/>
          <w:i/>
          <w:sz w:val="28"/>
          <w:szCs w:val="28"/>
          <w:lang w:val="en-ZA"/>
        </w:rPr>
        <w:t>Ltd v Lubner Controlling Investments (Pty) Ltd and Others</w:t>
      </w:r>
      <w:r w:rsidR="00AF4C5E">
        <w:rPr>
          <w:rFonts w:eastAsia="Calibri"/>
          <w:i/>
          <w:sz w:val="28"/>
          <w:szCs w:val="28"/>
          <w:lang w:val="en-ZA"/>
        </w:rPr>
        <w:t>,</w:t>
      </w:r>
      <w:r w:rsidR="00355222">
        <w:rPr>
          <w:rStyle w:val="FootnoteReference"/>
          <w:rFonts w:eastAsia="Calibri"/>
          <w:iCs/>
          <w:sz w:val="28"/>
          <w:szCs w:val="28"/>
          <w:lang w:val="en-ZA"/>
        </w:rPr>
        <w:footnoteReference w:id="19"/>
      </w:r>
      <w:r w:rsidR="00B62AEC">
        <w:rPr>
          <w:rFonts w:eastAsia="Calibri"/>
          <w:iCs/>
          <w:sz w:val="28"/>
          <w:szCs w:val="28"/>
          <w:lang w:val="en-ZA"/>
        </w:rPr>
        <w:t xml:space="preserve"> </w:t>
      </w:r>
      <w:r w:rsidR="00A55F59">
        <w:rPr>
          <w:rFonts w:eastAsia="Calibri"/>
          <w:iCs/>
          <w:sz w:val="28"/>
          <w:szCs w:val="28"/>
          <w:lang w:val="en-ZA"/>
        </w:rPr>
        <w:t>observed</w:t>
      </w:r>
      <w:r w:rsidR="00355222">
        <w:rPr>
          <w:rFonts w:eastAsia="Calibri"/>
          <w:iCs/>
          <w:sz w:val="28"/>
          <w:szCs w:val="28"/>
          <w:lang w:val="en-ZA"/>
        </w:rPr>
        <w:t xml:space="preserve"> that a company might be used as a façade even though it was not originally incorporated with any deceptive intention. </w:t>
      </w:r>
      <w:r w:rsidR="00A94EAA">
        <w:rPr>
          <w:rFonts w:eastAsia="Calibri"/>
          <w:iCs/>
          <w:sz w:val="28"/>
          <w:szCs w:val="28"/>
          <w:lang w:val="en-ZA"/>
        </w:rPr>
        <w:t>He observed that the law is far from settled regarding such circumstances and that each instance involves an enquiry into the facts, which may be decisive.</w:t>
      </w:r>
      <w:r w:rsidR="00A94EAA">
        <w:rPr>
          <w:rStyle w:val="FootnoteReference"/>
          <w:rFonts w:eastAsia="Calibri"/>
          <w:iCs/>
          <w:sz w:val="28"/>
          <w:szCs w:val="28"/>
          <w:lang w:val="en-ZA"/>
        </w:rPr>
        <w:footnoteReference w:id="20"/>
      </w:r>
    </w:p>
    <w:p w14:paraId="466EF6F2" w14:textId="2A047D54" w:rsidR="00DA6AEE" w:rsidRDefault="00DA6AEE" w:rsidP="00E5462F">
      <w:pPr>
        <w:pStyle w:val="ListParagraph"/>
        <w:spacing w:line="360" w:lineRule="auto"/>
        <w:ind w:left="0"/>
        <w:jc w:val="both"/>
        <w:rPr>
          <w:rFonts w:eastAsia="Calibri"/>
          <w:iCs/>
          <w:sz w:val="28"/>
          <w:szCs w:val="28"/>
          <w:lang w:val="en-ZA"/>
        </w:rPr>
      </w:pPr>
    </w:p>
    <w:p w14:paraId="0948CA13" w14:textId="625EA396" w:rsidR="00DA6AEE" w:rsidRDefault="00DA6AEE"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4</w:t>
      </w:r>
      <w:r w:rsidR="00883996">
        <w:rPr>
          <w:rFonts w:eastAsia="Calibri"/>
          <w:iCs/>
          <w:sz w:val="28"/>
          <w:szCs w:val="28"/>
          <w:lang w:val="en-ZA"/>
        </w:rPr>
        <w:t>3</w:t>
      </w:r>
      <w:r>
        <w:rPr>
          <w:rFonts w:eastAsia="Calibri"/>
          <w:iCs/>
          <w:sz w:val="28"/>
          <w:szCs w:val="28"/>
          <w:lang w:val="en-ZA"/>
        </w:rPr>
        <w:t>]</w:t>
      </w:r>
      <w:r>
        <w:rPr>
          <w:rFonts w:eastAsia="Calibri"/>
          <w:iCs/>
          <w:sz w:val="28"/>
          <w:szCs w:val="28"/>
          <w:lang w:val="en-ZA"/>
        </w:rPr>
        <w:tab/>
      </w:r>
      <w:r w:rsidR="007A6ECA">
        <w:rPr>
          <w:rFonts w:eastAsia="Calibri"/>
          <w:iCs/>
          <w:sz w:val="28"/>
          <w:szCs w:val="28"/>
          <w:lang w:val="en-ZA"/>
        </w:rPr>
        <w:t>However, h</w:t>
      </w:r>
      <w:r>
        <w:rPr>
          <w:rFonts w:eastAsia="Calibri"/>
          <w:iCs/>
          <w:sz w:val="28"/>
          <w:szCs w:val="28"/>
          <w:lang w:val="en-ZA"/>
        </w:rPr>
        <w:t xml:space="preserve">aving made this observation, Smalberger JA proceeded to assert several principles which </w:t>
      </w:r>
      <w:r w:rsidR="007A6ECA">
        <w:rPr>
          <w:rFonts w:eastAsia="Calibri"/>
          <w:iCs/>
          <w:sz w:val="28"/>
          <w:szCs w:val="28"/>
          <w:lang w:val="en-ZA"/>
        </w:rPr>
        <w:t>were sufficiently clear to apply to the facts of the case.</w:t>
      </w:r>
      <w:r>
        <w:rPr>
          <w:rFonts w:eastAsia="Calibri"/>
          <w:iCs/>
          <w:sz w:val="28"/>
          <w:szCs w:val="28"/>
          <w:lang w:val="en-ZA"/>
        </w:rPr>
        <w:t xml:space="preserve"> The first</w:t>
      </w:r>
      <w:r w:rsidR="00C6053F">
        <w:rPr>
          <w:rFonts w:eastAsia="Calibri"/>
          <w:iCs/>
          <w:sz w:val="28"/>
          <w:szCs w:val="28"/>
          <w:lang w:val="en-ZA"/>
        </w:rPr>
        <w:t xml:space="preserve"> is that a court has no general discretion to simply disregard a company’s separate legal personality whenever it considers it just to do so.</w:t>
      </w:r>
      <w:r w:rsidR="00C6053F">
        <w:rPr>
          <w:rStyle w:val="FootnoteReference"/>
          <w:rFonts w:eastAsia="Calibri"/>
          <w:iCs/>
          <w:sz w:val="28"/>
          <w:szCs w:val="28"/>
          <w:lang w:val="en-ZA"/>
        </w:rPr>
        <w:footnoteReference w:id="21"/>
      </w:r>
      <w:r>
        <w:rPr>
          <w:rFonts w:eastAsia="Calibri"/>
          <w:iCs/>
          <w:sz w:val="28"/>
          <w:szCs w:val="28"/>
          <w:lang w:val="en-ZA"/>
        </w:rPr>
        <w:t xml:space="preserve"> </w:t>
      </w:r>
      <w:r w:rsidR="00C6053F">
        <w:rPr>
          <w:rFonts w:eastAsia="Calibri"/>
          <w:iCs/>
          <w:sz w:val="28"/>
          <w:szCs w:val="28"/>
          <w:lang w:val="en-ZA"/>
        </w:rPr>
        <w:t xml:space="preserve">The second, drawing upon the judgment of Corbet CJ in </w:t>
      </w:r>
      <w:r w:rsidR="00C6053F">
        <w:rPr>
          <w:rFonts w:eastAsia="Calibri"/>
          <w:i/>
          <w:sz w:val="28"/>
          <w:szCs w:val="28"/>
          <w:lang w:val="en-ZA"/>
        </w:rPr>
        <w:t>The Shipping Corporation of India Ltd v Evdomon Corporation and Another</w:t>
      </w:r>
      <w:r w:rsidR="00E71200" w:rsidRPr="00D751EB">
        <w:rPr>
          <w:rFonts w:eastAsia="Calibri"/>
          <w:bCs/>
          <w:iCs/>
          <w:sz w:val="28"/>
          <w:szCs w:val="28"/>
          <w:lang w:val="en-ZA"/>
        </w:rPr>
        <w:t>,</w:t>
      </w:r>
      <w:r w:rsidR="00C6053F" w:rsidRPr="00E71200">
        <w:rPr>
          <w:rStyle w:val="FootnoteReference"/>
          <w:rFonts w:eastAsia="Calibri"/>
          <w:iCs/>
          <w:sz w:val="28"/>
          <w:szCs w:val="28"/>
          <w:lang w:val="en-ZA"/>
        </w:rPr>
        <w:footnoteReference w:id="22"/>
      </w:r>
      <w:r w:rsidR="00C6053F" w:rsidRPr="00D751EB">
        <w:rPr>
          <w:rFonts w:eastAsia="Calibri"/>
          <w:bCs/>
          <w:iCs/>
          <w:sz w:val="28"/>
          <w:szCs w:val="28"/>
          <w:lang w:val="en-ZA"/>
        </w:rPr>
        <w:t xml:space="preserve"> </w:t>
      </w:r>
      <w:r w:rsidR="00C6053F">
        <w:rPr>
          <w:rFonts w:eastAsia="Calibri"/>
          <w:iCs/>
          <w:sz w:val="28"/>
          <w:szCs w:val="28"/>
          <w:lang w:val="en-ZA"/>
        </w:rPr>
        <w:t>is that</w:t>
      </w:r>
      <w:r w:rsidR="00897A47">
        <w:rPr>
          <w:rFonts w:eastAsia="Calibri"/>
          <w:iCs/>
          <w:sz w:val="28"/>
          <w:szCs w:val="28"/>
          <w:lang w:val="en-ZA"/>
        </w:rPr>
        <w:t>, as a matter of policy,</w:t>
      </w:r>
      <w:r w:rsidR="00C6053F">
        <w:rPr>
          <w:rFonts w:eastAsia="Calibri"/>
          <w:iCs/>
          <w:sz w:val="28"/>
          <w:szCs w:val="28"/>
          <w:lang w:val="en-ZA"/>
        </w:rPr>
        <w:t xml:space="preserve"> the</w:t>
      </w:r>
      <w:r w:rsidR="00D55234">
        <w:rPr>
          <w:rFonts w:eastAsia="Calibri"/>
          <w:iCs/>
          <w:sz w:val="28"/>
          <w:szCs w:val="28"/>
          <w:lang w:val="en-ZA"/>
        </w:rPr>
        <w:t xml:space="preserve"> separate corporate personality ought to be </w:t>
      </w:r>
      <w:r w:rsidR="00897A47">
        <w:rPr>
          <w:rFonts w:eastAsia="Calibri"/>
          <w:iCs/>
          <w:sz w:val="28"/>
          <w:szCs w:val="28"/>
          <w:lang w:val="en-ZA"/>
        </w:rPr>
        <w:t xml:space="preserve">upheld. </w:t>
      </w:r>
      <w:r w:rsidR="00C6053F">
        <w:rPr>
          <w:rFonts w:eastAsia="Calibri"/>
          <w:iCs/>
          <w:sz w:val="28"/>
          <w:szCs w:val="28"/>
          <w:lang w:val="en-ZA"/>
        </w:rPr>
        <w:t>‘</w:t>
      </w:r>
      <w:r w:rsidR="00897A47">
        <w:rPr>
          <w:rFonts w:eastAsia="Calibri"/>
          <w:iCs/>
          <w:sz w:val="28"/>
          <w:szCs w:val="28"/>
          <w:lang w:val="en-ZA"/>
        </w:rPr>
        <w:t>P</w:t>
      </w:r>
      <w:r w:rsidR="00C6053F">
        <w:rPr>
          <w:rFonts w:eastAsia="Calibri"/>
          <w:iCs/>
          <w:sz w:val="28"/>
          <w:szCs w:val="28"/>
          <w:lang w:val="en-ZA"/>
        </w:rPr>
        <w:t>iercing’ or ‘lifting’ of the corporate veil</w:t>
      </w:r>
      <w:r w:rsidR="00D36305">
        <w:rPr>
          <w:rFonts w:eastAsia="Calibri"/>
          <w:iCs/>
          <w:sz w:val="28"/>
          <w:szCs w:val="28"/>
          <w:lang w:val="en-ZA"/>
        </w:rPr>
        <w:t xml:space="preserve"> will not lightly occur</w:t>
      </w:r>
      <w:r w:rsidR="008434DD">
        <w:rPr>
          <w:rFonts w:eastAsia="Calibri"/>
          <w:iCs/>
          <w:sz w:val="28"/>
          <w:szCs w:val="28"/>
          <w:lang w:val="en-ZA"/>
        </w:rPr>
        <w:t>, and then only whe</w:t>
      </w:r>
      <w:r w:rsidR="005874C3">
        <w:rPr>
          <w:rFonts w:eastAsia="Calibri"/>
          <w:iCs/>
          <w:sz w:val="28"/>
          <w:szCs w:val="28"/>
          <w:lang w:val="en-ZA"/>
        </w:rPr>
        <w:t>n</w:t>
      </w:r>
      <w:r w:rsidR="008434DD">
        <w:rPr>
          <w:rFonts w:eastAsia="Calibri"/>
          <w:iCs/>
          <w:sz w:val="28"/>
          <w:szCs w:val="28"/>
          <w:lang w:val="en-ZA"/>
        </w:rPr>
        <w:t xml:space="preserve"> considerations of policy</w:t>
      </w:r>
      <w:r w:rsidR="005874C3">
        <w:rPr>
          <w:rFonts w:eastAsia="Calibri"/>
          <w:iCs/>
          <w:sz w:val="28"/>
          <w:szCs w:val="28"/>
          <w:lang w:val="en-ZA"/>
        </w:rPr>
        <w:t xml:space="preserve"> favour it</w:t>
      </w:r>
      <w:r w:rsidR="00D36305">
        <w:rPr>
          <w:rFonts w:eastAsia="Calibri"/>
          <w:iCs/>
          <w:sz w:val="28"/>
          <w:szCs w:val="28"/>
          <w:lang w:val="en-ZA"/>
        </w:rPr>
        <w:t>. The learned judge held</w:t>
      </w:r>
      <w:r w:rsidR="00BE68FC">
        <w:rPr>
          <w:rFonts w:eastAsia="Calibri"/>
          <w:iCs/>
          <w:sz w:val="28"/>
          <w:szCs w:val="28"/>
          <w:lang w:val="en-ZA"/>
        </w:rPr>
        <w:t>:</w:t>
      </w:r>
    </w:p>
    <w:p w14:paraId="01014C29" w14:textId="77AA6DD2" w:rsidR="00D36305" w:rsidRDefault="008434DD" w:rsidP="00E5462F">
      <w:pPr>
        <w:pStyle w:val="ListParagraph"/>
        <w:spacing w:line="360" w:lineRule="auto"/>
        <w:ind w:left="0"/>
        <w:jc w:val="both"/>
        <w:rPr>
          <w:rFonts w:eastAsia="Calibri"/>
          <w:iCs/>
          <w:sz w:val="28"/>
          <w:szCs w:val="28"/>
          <w:lang w:val="en-ZA"/>
        </w:rPr>
      </w:pPr>
      <w:r>
        <w:rPr>
          <w:rFonts w:eastAsia="Calibri"/>
          <w:iCs/>
          <w:lang w:val="en-ZA"/>
        </w:rPr>
        <w:t xml:space="preserve">‘It is undoubtedly a salutary principle that our </w:t>
      </w:r>
      <w:r w:rsidR="00BE68FC">
        <w:rPr>
          <w:rFonts w:eastAsia="Calibri"/>
          <w:iCs/>
          <w:lang w:val="en-ZA"/>
        </w:rPr>
        <w:t>c</w:t>
      </w:r>
      <w:r>
        <w:rPr>
          <w:rFonts w:eastAsia="Calibri"/>
          <w:iCs/>
          <w:lang w:val="en-ZA"/>
        </w:rPr>
        <w:t xml:space="preserve">ourts should not lightly disregard a company’s separate legal </w:t>
      </w:r>
      <w:r w:rsidR="001B778D">
        <w:rPr>
          <w:rFonts w:eastAsia="Calibri"/>
          <w:iCs/>
          <w:lang w:val="en-ZA"/>
        </w:rPr>
        <w:t>personality but</w:t>
      </w:r>
      <w:r>
        <w:rPr>
          <w:rFonts w:eastAsia="Calibri"/>
          <w:iCs/>
          <w:lang w:val="en-ZA"/>
        </w:rPr>
        <w:t xml:space="preserve"> should strive to uphold it. To do otherwise would negate or undermine the policy and principles that underpin the concept of separate corporate personality and the legal consequences that attach to it. But where fraud, dishonesty or other improper conduct … </w:t>
      </w:r>
      <w:r w:rsidR="00BE68FC">
        <w:rPr>
          <w:rFonts w:eastAsia="Calibri"/>
          <w:iCs/>
          <w:lang w:val="en-ZA"/>
        </w:rPr>
        <w:t>are</w:t>
      </w:r>
      <w:r>
        <w:rPr>
          <w:rFonts w:eastAsia="Calibri"/>
          <w:iCs/>
          <w:lang w:val="en-ZA"/>
        </w:rPr>
        <w:t xml:space="preserve"> found to be present, other considerations </w:t>
      </w:r>
      <w:r w:rsidR="005874C3">
        <w:rPr>
          <w:rFonts w:eastAsia="Calibri"/>
          <w:iCs/>
          <w:lang w:val="en-ZA"/>
        </w:rPr>
        <w:t>will come into play. The need to preserve the separate corporate identity would in such circumstances have to be balanced against policy considerations which arise in favour of piercing the corporate veil…’</w:t>
      </w:r>
      <w:r w:rsidR="005874C3">
        <w:rPr>
          <w:rStyle w:val="FootnoteReference"/>
          <w:rFonts w:eastAsia="Calibri"/>
          <w:iCs/>
          <w:lang w:val="en-ZA"/>
        </w:rPr>
        <w:footnoteReference w:id="23"/>
      </w:r>
    </w:p>
    <w:p w14:paraId="419C1087" w14:textId="1B32EBC7" w:rsidR="005874C3" w:rsidRDefault="005874C3" w:rsidP="00E5462F">
      <w:pPr>
        <w:pStyle w:val="ListParagraph"/>
        <w:spacing w:line="360" w:lineRule="auto"/>
        <w:ind w:left="0"/>
        <w:jc w:val="both"/>
        <w:rPr>
          <w:rFonts w:eastAsia="Calibri"/>
          <w:iCs/>
          <w:sz w:val="28"/>
          <w:szCs w:val="28"/>
          <w:lang w:val="en-ZA"/>
        </w:rPr>
      </w:pPr>
    </w:p>
    <w:p w14:paraId="0B8BF7E1" w14:textId="218B47F6" w:rsidR="005874C3" w:rsidRDefault="005874C3" w:rsidP="00E5462F">
      <w:pPr>
        <w:pStyle w:val="ListParagraph"/>
        <w:spacing w:line="360" w:lineRule="auto"/>
        <w:ind w:left="0"/>
        <w:jc w:val="both"/>
        <w:rPr>
          <w:rFonts w:eastAsia="Calibri"/>
          <w:iCs/>
          <w:sz w:val="28"/>
          <w:szCs w:val="28"/>
          <w:lang w:val="en-ZA"/>
        </w:rPr>
      </w:pPr>
      <w:r>
        <w:rPr>
          <w:rFonts w:eastAsia="Calibri"/>
          <w:iCs/>
          <w:sz w:val="28"/>
          <w:szCs w:val="28"/>
          <w:lang w:val="en-ZA"/>
        </w:rPr>
        <w:lastRenderedPageBreak/>
        <w:t>[</w:t>
      </w:r>
      <w:r w:rsidR="00764A2C">
        <w:rPr>
          <w:rFonts w:eastAsia="Calibri"/>
          <w:iCs/>
          <w:sz w:val="28"/>
          <w:szCs w:val="28"/>
          <w:lang w:val="en-ZA"/>
        </w:rPr>
        <w:t>4</w:t>
      </w:r>
      <w:r w:rsidR="00883996">
        <w:rPr>
          <w:rFonts w:eastAsia="Calibri"/>
          <w:iCs/>
          <w:sz w:val="28"/>
          <w:szCs w:val="28"/>
          <w:lang w:val="en-ZA"/>
        </w:rPr>
        <w:t>4</w:t>
      </w:r>
      <w:r>
        <w:rPr>
          <w:rFonts w:eastAsia="Calibri"/>
          <w:iCs/>
          <w:sz w:val="28"/>
          <w:szCs w:val="28"/>
          <w:lang w:val="en-ZA"/>
        </w:rPr>
        <w:t>]</w:t>
      </w:r>
      <w:r w:rsidR="00E71200">
        <w:rPr>
          <w:rFonts w:eastAsia="Calibri"/>
          <w:iCs/>
          <w:sz w:val="28"/>
          <w:szCs w:val="28"/>
          <w:lang w:val="en-ZA"/>
        </w:rPr>
        <w:tab/>
      </w:r>
      <w:r>
        <w:rPr>
          <w:rFonts w:eastAsia="Calibri"/>
          <w:iCs/>
          <w:sz w:val="28"/>
          <w:szCs w:val="28"/>
          <w:lang w:val="en-ZA"/>
        </w:rPr>
        <w:t>The third principle</w:t>
      </w:r>
      <w:r w:rsidR="007D601B">
        <w:rPr>
          <w:rFonts w:eastAsia="Calibri"/>
          <w:iCs/>
          <w:sz w:val="28"/>
          <w:szCs w:val="28"/>
          <w:lang w:val="en-ZA"/>
        </w:rPr>
        <w:t xml:space="preserve">, encapsulated in the quoted passage, </w:t>
      </w:r>
      <w:r>
        <w:rPr>
          <w:rFonts w:eastAsia="Calibri"/>
          <w:iCs/>
          <w:sz w:val="28"/>
          <w:szCs w:val="28"/>
          <w:lang w:val="en-ZA"/>
        </w:rPr>
        <w:t xml:space="preserve">is that </w:t>
      </w:r>
      <w:r w:rsidR="00897A47">
        <w:rPr>
          <w:rFonts w:eastAsia="Calibri"/>
          <w:iCs/>
          <w:sz w:val="28"/>
          <w:szCs w:val="28"/>
          <w:lang w:val="en-ZA"/>
        </w:rPr>
        <w:t xml:space="preserve">the balancing </w:t>
      </w:r>
      <w:r w:rsidR="00883996">
        <w:rPr>
          <w:rFonts w:eastAsia="Calibri"/>
          <w:iCs/>
          <w:sz w:val="28"/>
          <w:szCs w:val="28"/>
          <w:lang w:val="en-ZA"/>
        </w:rPr>
        <w:t xml:space="preserve">of </w:t>
      </w:r>
      <w:r>
        <w:rPr>
          <w:rFonts w:eastAsia="Calibri"/>
          <w:iCs/>
          <w:sz w:val="28"/>
          <w:szCs w:val="28"/>
          <w:lang w:val="en-ZA"/>
        </w:rPr>
        <w:t>policy con</w:t>
      </w:r>
      <w:r w:rsidR="007D601B">
        <w:rPr>
          <w:rFonts w:eastAsia="Calibri"/>
          <w:iCs/>
          <w:sz w:val="28"/>
          <w:szCs w:val="28"/>
          <w:lang w:val="en-ZA"/>
        </w:rPr>
        <w:t>si</w:t>
      </w:r>
      <w:r>
        <w:rPr>
          <w:rFonts w:eastAsia="Calibri"/>
          <w:iCs/>
          <w:sz w:val="28"/>
          <w:szCs w:val="28"/>
          <w:lang w:val="en-ZA"/>
        </w:rPr>
        <w:t xml:space="preserve">derations will </w:t>
      </w:r>
      <w:r w:rsidR="00897A47">
        <w:rPr>
          <w:rFonts w:eastAsia="Calibri"/>
          <w:iCs/>
          <w:sz w:val="28"/>
          <w:szCs w:val="28"/>
          <w:lang w:val="en-ZA"/>
        </w:rPr>
        <w:t xml:space="preserve">only </w:t>
      </w:r>
      <w:r>
        <w:rPr>
          <w:rFonts w:eastAsia="Calibri"/>
          <w:iCs/>
          <w:sz w:val="28"/>
          <w:szCs w:val="28"/>
          <w:lang w:val="en-ZA"/>
        </w:rPr>
        <w:t xml:space="preserve">arise where there is some element of </w:t>
      </w:r>
      <w:r w:rsidR="00D55234">
        <w:rPr>
          <w:rFonts w:eastAsia="Calibri"/>
          <w:iCs/>
          <w:sz w:val="28"/>
          <w:szCs w:val="28"/>
          <w:lang w:val="en-ZA"/>
        </w:rPr>
        <w:t xml:space="preserve">fraud, abuse or </w:t>
      </w:r>
      <w:r>
        <w:rPr>
          <w:rFonts w:eastAsia="Calibri"/>
          <w:iCs/>
          <w:sz w:val="28"/>
          <w:szCs w:val="28"/>
          <w:lang w:val="en-ZA"/>
        </w:rPr>
        <w:t>dishonesty</w:t>
      </w:r>
      <w:r w:rsidR="007D601B">
        <w:rPr>
          <w:rFonts w:eastAsia="Calibri"/>
          <w:iCs/>
          <w:sz w:val="28"/>
          <w:szCs w:val="28"/>
          <w:lang w:val="en-ZA"/>
        </w:rPr>
        <w:t xml:space="preserve"> </w:t>
      </w:r>
      <w:r w:rsidR="00FF1CA3">
        <w:rPr>
          <w:rFonts w:eastAsia="Calibri"/>
          <w:iCs/>
          <w:sz w:val="28"/>
          <w:szCs w:val="28"/>
          <w:lang w:val="en-ZA"/>
        </w:rPr>
        <w:t xml:space="preserve">in </w:t>
      </w:r>
      <w:r w:rsidR="00883996">
        <w:rPr>
          <w:rFonts w:eastAsia="Calibri"/>
          <w:iCs/>
          <w:sz w:val="28"/>
          <w:szCs w:val="28"/>
          <w:lang w:val="en-ZA"/>
        </w:rPr>
        <w:t>respect of</w:t>
      </w:r>
      <w:r w:rsidR="007D601B">
        <w:rPr>
          <w:rFonts w:eastAsia="Calibri"/>
          <w:iCs/>
          <w:sz w:val="28"/>
          <w:szCs w:val="28"/>
          <w:lang w:val="en-ZA"/>
        </w:rPr>
        <w:t xml:space="preserve"> the corporate personality</w:t>
      </w:r>
      <w:r>
        <w:rPr>
          <w:rFonts w:eastAsia="Calibri"/>
          <w:iCs/>
          <w:sz w:val="28"/>
          <w:szCs w:val="28"/>
          <w:lang w:val="en-ZA"/>
        </w:rPr>
        <w:t xml:space="preserve">. The fourth, is that the purpose of </w:t>
      </w:r>
      <w:r w:rsidR="00FF1CA3">
        <w:rPr>
          <w:rFonts w:eastAsia="Calibri"/>
          <w:iCs/>
          <w:sz w:val="28"/>
          <w:szCs w:val="28"/>
          <w:lang w:val="en-ZA"/>
        </w:rPr>
        <w:t>piercing</w:t>
      </w:r>
      <w:r>
        <w:rPr>
          <w:rFonts w:eastAsia="Calibri"/>
          <w:iCs/>
          <w:sz w:val="28"/>
          <w:szCs w:val="28"/>
          <w:lang w:val="en-ZA"/>
        </w:rPr>
        <w:t xml:space="preserve"> the corporate veil is to fix </w:t>
      </w:r>
      <w:r w:rsidR="007D601B">
        <w:rPr>
          <w:rFonts w:eastAsia="Calibri"/>
          <w:iCs/>
          <w:sz w:val="28"/>
          <w:szCs w:val="28"/>
          <w:lang w:val="en-ZA"/>
        </w:rPr>
        <w:t>the person or persons responsible for abuse with liability</w:t>
      </w:r>
      <w:r w:rsidR="00D55234">
        <w:rPr>
          <w:rFonts w:eastAsia="Calibri"/>
          <w:iCs/>
          <w:sz w:val="28"/>
          <w:szCs w:val="28"/>
          <w:lang w:val="en-ZA"/>
        </w:rPr>
        <w:t>.</w:t>
      </w:r>
      <w:r w:rsidR="007D601B">
        <w:rPr>
          <w:rStyle w:val="FootnoteReference"/>
          <w:rFonts w:eastAsia="Calibri"/>
          <w:iCs/>
          <w:sz w:val="28"/>
          <w:szCs w:val="28"/>
          <w:lang w:val="en-ZA"/>
        </w:rPr>
        <w:footnoteReference w:id="24"/>
      </w:r>
      <w:r w:rsidR="007D601B">
        <w:rPr>
          <w:rFonts w:eastAsia="Calibri"/>
          <w:iCs/>
          <w:sz w:val="28"/>
          <w:szCs w:val="28"/>
          <w:lang w:val="en-ZA"/>
        </w:rPr>
        <w:t xml:space="preserve"> </w:t>
      </w:r>
    </w:p>
    <w:p w14:paraId="3244A692" w14:textId="0EB6F088" w:rsidR="00D55234" w:rsidRDefault="00D55234" w:rsidP="00E5462F">
      <w:pPr>
        <w:pStyle w:val="ListParagraph"/>
        <w:spacing w:line="360" w:lineRule="auto"/>
        <w:ind w:left="0"/>
        <w:jc w:val="both"/>
        <w:rPr>
          <w:rFonts w:eastAsia="Calibri"/>
          <w:iCs/>
          <w:sz w:val="28"/>
          <w:szCs w:val="28"/>
          <w:lang w:val="en-ZA"/>
        </w:rPr>
      </w:pPr>
    </w:p>
    <w:p w14:paraId="1B363B72" w14:textId="529CE033" w:rsidR="00D55234" w:rsidRDefault="00D55234"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4</w:t>
      </w:r>
      <w:r w:rsidR="00883996">
        <w:rPr>
          <w:rFonts w:eastAsia="Calibri"/>
          <w:iCs/>
          <w:sz w:val="28"/>
          <w:szCs w:val="28"/>
          <w:lang w:val="en-ZA"/>
        </w:rPr>
        <w:t>5</w:t>
      </w:r>
      <w:r>
        <w:rPr>
          <w:rFonts w:eastAsia="Calibri"/>
          <w:iCs/>
          <w:sz w:val="28"/>
          <w:szCs w:val="28"/>
          <w:lang w:val="en-ZA"/>
        </w:rPr>
        <w:t>]</w:t>
      </w:r>
      <w:r>
        <w:rPr>
          <w:rFonts w:eastAsia="Calibri"/>
          <w:iCs/>
          <w:sz w:val="28"/>
          <w:szCs w:val="28"/>
          <w:lang w:val="en-ZA"/>
        </w:rPr>
        <w:tab/>
        <w:t xml:space="preserve">These principles were affirmed in </w:t>
      </w:r>
      <w:r>
        <w:rPr>
          <w:rFonts w:eastAsia="Calibri"/>
          <w:i/>
          <w:sz w:val="28"/>
          <w:szCs w:val="28"/>
          <w:lang w:val="en-ZA"/>
        </w:rPr>
        <w:t>H</w:t>
      </w:r>
      <w:r w:rsidR="008D744D">
        <w:rPr>
          <w:rFonts w:eastAsia="Calibri"/>
          <w:i/>
          <w:sz w:val="28"/>
          <w:szCs w:val="28"/>
          <w:lang w:val="en-ZA"/>
        </w:rPr>
        <w:t>ülse-Reuter and Others v Gödde</w:t>
      </w:r>
      <w:r w:rsidR="00BE68FC">
        <w:rPr>
          <w:rFonts w:eastAsia="Calibri"/>
          <w:iCs/>
          <w:sz w:val="28"/>
          <w:szCs w:val="28"/>
          <w:lang w:val="en-ZA"/>
        </w:rPr>
        <w:t>,</w:t>
      </w:r>
      <w:r w:rsidR="008D744D">
        <w:rPr>
          <w:rStyle w:val="FootnoteReference"/>
          <w:rFonts w:eastAsia="Calibri"/>
          <w:iCs/>
          <w:sz w:val="28"/>
          <w:szCs w:val="28"/>
          <w:lang w:val="en-ZA"/>
        </w:rPr>
        <w:footnoteReference w:id="25"/>
      </w:r>
      <w:r w:rsidR="004D67DA">
        <w:rPr>
          <w:rFonts w:eastAsia="Calibri"/>
          <w:iCs/>
          <w:sz w:val="28"/>
          <w:szCs w:val="28"/>
          <w:lang w:val="en-ZA"/>
        </w:rPr>
        <w:t xml:space="preserve"> </w:t>
      </w:r>
      <w:r w:rsidR="00BE68FC">
        <w:rPr>
          <w:rFonts w:eastAsia="Calibri"/>
          <w:iCs/>
          <w:sz w:val="28"/>
          <w:szCs w:val="28"/>
          <w:lang w:val="en-ZA"/>
        </w:rPr>
        <w:t>where t</w:t>
      </w:r>
      <w:r w:rsidR="004D67DA">
        <w:rPr>
          <w:rFonts w:eastAsia="Calibri"/>
          <w:iCs/>
          <w:sz w:val="28"/>
          <w:szCs w:val="28"/>
          <w:lang w:val="en-ZA"/>
        </w:rPr>
        <w:t xml:space="preserve">he court emphasised that the misuse or abuse of the distinction between the corporate entity and those who control it should result in some unfair advantage to them. </w:t>
      </w:r>
      <w:r w:rsidR="004B0844">
        <w:rPr>
          <w:rFonts w:eastAsia="Calibri"/>
          <w:iCs/>
          <w:sz w:val="28"/>
          <w:szCs w:val="28"/>
          <w:lang w:val="en-ZA"/>
        </w:rPr>
        <w:t>In the context of that case</w:t>
      </w:r>
      <w:r w:rsidR="00897A47">
        <w:rPr>
          <w:rFonts w:eastAsia="Calibri"/>
          <w:iCs/>
          <w:sz w:val="28"/>
          <w:szCs w:val="28"/>
          <w:lang w:val="en-ZA"/>
        </w:rPr>
        <w:t>,</w:t>
      </w:r>
      <w:r w:rsidR="00EC0A13">
        <w:rPr>
          <w:rFonts w:eastAsia="Calibri"/>
          <w:iCs/>
          <w:sz w:val="28"/>
          <w:szCs w:val="28"/>
          <w:lang w:val="en-ZA"/>
        </w:rPr>
        <w:t xml:space="preserve"> the availability of an alternative remedy to the party seeking to have the corporate identity disregarded, was decisive.</w:t>
      </w:r>
      <w:r w:rsidR="00EC0A13">
        <w:rPr>
          <w:rStyle w:val="FootnoteReference"/>
          <w:rFonts w:eastAsia="Calibri"/>
          <w:iCs/>
          <w:sz w:val="28"/>
          <w:szCs w:val="28"/>
          <w:lang w:val="en-ZA"/>
        </w:rPr>
        <w:footnoteReference w:id="26"/>
      </w:r>
      <w:r w:rsidR="00EC0A13">
        <w:rPr>
          <w:rFonts w:eastAsia="Calibri"/>
          <w:iCs/>
          <w:sz w:val="28"/>
          <w:szCs w:val="28"/>
          <w:lang w:val="en-ZA"/>
        </w:rPr>
        <w:t xml:space="preserve"> It was held that the dictum in </w:t>
      </w:r>
      <w:r w:rsidR="00EC0A13">
        <w:rPr>
          <w:rFonts w:eastAsia="Calibri"/>
          <w:i/>
          <w:sz w:val="28"/>
          <w:szCs w:val="28"/>
          <w:lang w:val="en-ZA"/>
        </w:rPr>
        <w:t>Cape Pacific</w:t>
      </w:r>
      <w:r w:rsidR="00EC0A13">
        <w:rPr>
          <w:rFonts w:eastAsia="Calibri"/>
          <w:iCs/>
          <w:sz w:val="28"/>
          <w:szCs w:val="28"/>
          <w:lang w:val="en-ZA"/>
        </w:rPr>
        <w:t xml:space="preserve"> to the effect that piercing of the veil is not necessarily precluded if another remedy exists,</w:t>
      </w:r>
      <w:r w:rsidR="00EC0A13">
        <w:rPr>
          <w:rStyle w:val="FootnoteReference"/>
          <w:rFonts w:eastAsia="Calibri"/>
          <w:iCs/>
          <w:sz w:val="28"/>
          <w:szCs w:val="28"/>
          <w:lang w:val="en-ZA"/>
        </w:rPr>
        <w:footnoteReference w:id="27"/>
      </w:r>
      <w:r w:rsidR="00EC0A13">
        <w:rPr>
          <w:rFonts w:eastAsia="Calibri"/>
          <w:iCs/>
          <w:sz w:val="28"/>
          <w:szCs w:val="28"/>
          <w:lang w:val="en-ZA"/>
        </w:rPr>
        <w:t xml:space="preserve"> means no more than that the existence of such remedy is a relevant factor to be weighed in the policy judgment applied when disregarding the separate corporate personality.</w:t>
      </w:r>
      <w:r w:rsidR="00EC0A13">
        <w:rPr>
          <w:rStyle w:val="FootnoteReference"/>
          <w:rFonts w:eastAsia="Calibri"/>
          <w:iCs/>
          <w:sz w:val="28"/>
          <w:szCs w:val="28"/>
          <w:lang w:val="en-ZA"/>
        </w:rPr>
        <w:footnoteReference w:id="28"/>
      </w:r>
    </w:p>
    <w:p w14:paraId="4E636B51" w14:textId="5718D525" w:rsidR="005C2884" w:rsidRDefault="005C2884" w:rsidP="00E5462F">
      <w:pPr>
        <w:pStyle w:val="ListParagraph"/>
        <w:spacing w:line="360" w:lineRule="auto"/>
        <w:ind w:left="0"/>
        <w:jc w:val="both"/>
        <w:rPr>
          <w:rFonts w:eastAsia="Calibri"/>
          <w:iCs/>
          <w:sz w:val="28"/>
          <w:szCs w:val="28"/>
          <w:lang w:val="en-ZA"/>
        </w:rPr>
      </w:pPr>
    </w:p>
    <w:p w14:paraId="6EB5DAA9" w14:textId="6D01561C" w:rsidR="005C2884" w:rsidRDefault="005C2884"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883996">
        <w:rPr>
          <w:rFonts w:eastAsia="Calibri"/>
          <w:iCs/>
          <w:sz w:val="28"/>
          <w:szCs w:val="28"/>
          <w:lang w:val="en-ZA"/>
        </w:rPr>
        <w:t>46</w:t>
      </w:r>
      <w:r>
        <w:rPr>
          <w:rFonts w:eastAsia="Calibri"/>
          <w:iCs/>
          <w:sz w:val="28"/>
          <w:szCs w:val="28"/>
          <w:lang w:val="en-ZA"/>
        </w:rPr>
        <w:t>]</w:t>
      </w:r>
      <w:r>
        <w:rPr>
          <w:rFonts w:eastAsia="Calibri"/>
          <w:iCs/>
          <w:sz w:val="28"/>
          <w:szCs w:val="28"/>
          <w:lang w:val="en-ZA"/>
        </w:rPr>
        <w:tab/>
        <w:t xml:space="preserve">These </w:t>
      </w:r>
      <w:r w:rsidR="00C12A62">
        <w:rPr>
          <w:rFonts w:eastAsia="Calibri"/>
          <w:iCs/>
          <w:sz w:val="28"/>
          <w:szCs w:val="28"/>
          <w:lang w:val="en-ZA"/>
        </w:rPr>
        <w:t>are</w:t>
      </w:r>
      <w:r w:rsidR="00897A47">
        <w:rPr>
          <w:rFonts w:eastAsia="Calibri"/>
          <w:iCs/>
          <w:sz w:val="28"/>
          <w:szCs w:val="28"/>
          <w:lang w:val="en-ZA"/>
        </w:rPr>
        <w:t xml:space="preserve"> </w:t>
      </w:r>
      <w:r w:rsidR="00C12A62">
        <w:rPr>
          <w:rFonts w:eastAsia="Calibri"/>
          <w:iCs/>
          <w:sz w:val="28"/>
          <w:szCs w:val="28"/>
          <w:lang w:val="en-ZA"/>
        </w:rPr>
        <w:t>clear guiding principles which h</w:t>
      </w:r>
      <w:r>
        <w:rPr>
          <w:rFonts w:eastAsia="Calibri"/>
          <w:iCs/>
          <w:sz w:val="28"/>
          <w:szCs w:val="28"/>
          <w:lang w:val="en-ZA"/>
        </w:rPr>
        <w:t xml:space="preserve">ave consistently been </w:t>
      </w:r>
      <w:r w:rsidR="00C12A62">
        <w:rPr>
          <w:rFonts w:eastAsia="Calibri"/>
          <w:iCs/>
          <w:sz w:val="28"/>
          <w:szCs w:val="28"/>
          <w:lang w:val="en-ZA"/>
        </w:rPr>
        <w:t>applied in matters where the separate legal personality of a company is sought to be disregarded</w:t>
      </w:r>
      <w:r>
        <w:rPr>
          <w:rFonts w:eastAsia="Calibri"/>
          <w:iCs/>
          <w:sz w:val="28"/>
          <w:szCs w:val="28"/>
          <w:lang w:val="en-ZA"/>
        </w:rPr>
        <w:t>.</w:t>
      </w:r>
      <w:r w:rsidR="00CC649F">
        <w:rPr>
          <w:rFonts w:eastAsia="Calibri"/>
          <w:iCs/>
          <w:sz w:val="28"/>
          <w:szCs w:val="28"/>
          <w:lang w:val="en-ZA"/>
        </w:rPr>
        <w:t xml:space="preserve"> The argument by counsel for the Butcher Shop was that these principles, applied with the required flexibility to the facts of this case, entitle the </w:t>
      </w:r>
      <w:r w:rsidR="006B654C">
        <w:rPr>
          <w:rFonts w:eastAsia="Calibri"/>
          <w:iCs/>
          <w:sz w:val="28"/>
          <w:szCs w:val="28"/>
          <w:lang w:val="en-ZA"/>
        </w:rPr>
        <w:t xml:space="preserve">Butcher Shop to the relief it sought in </w:t>
      </w:r>
      <w:r w:rsidR="00DE3F8C">
        <w:rPr>
          <w:rFonts w:eastAsia="Calibri"/>
          <w:iCs/>
          <w:sz w:val="28"/>
          <w:szCs w:val="28"/>
          <w:lang w:val="en-ZA"/>
        </w:rPr>
        <w:t>its</w:t>
      </w:r>
      <w:r w:rsidR="006B654C">
        <w:rPr>
          <w:rFonts w:eastAsia="Calibri"/>
          <w:iCs/>
          <w:sz w:val="28"/>
          <w:szCs w:val="28"/>
          <w:lang w:val="en-ZA"/>
        </w:rPr>
        <w:t xml:space="preserve"> counter</w:t>
      </w:r>
      <w:r w:rsidR="00AA594F">
        <w:rPr>
          <w:rFonts w:eastAsia="Calibri"/>
          <w:iCs/>
          <w:sz w:val="28"/>
          <w:szCs w:val="28"/>
          <w:lang w:val="en-ZA"/>
        </w:rPr>
        <w:t xml:space="preserve"> </w:t>
      </w:r>
      <w:r w:rsidR="006B654C">
        <w:rPr>
          <w:rFonts w:eastAsia="Calibri"/>
          <w:iCs/>
          <w:sz w:val="28"/>
          <w:szCs w:val="28"/>
          <w:lang w:val="en-ZA"/>
        </w:rPr>
        <w:t>application for remission of rent.</w:t>
      </w:r>
    </w:p>
    <w:p w14:paraId="173744AB" w14:textId="3E520C78" w:rsidR="00FC6BFD" w:rsidRDefault="00FC6BFD" w:rsidP="00E5462F">
      <w:pPr>
        <w:pStyle w:val="ListParagraph"/>
        <w:spacing w:line="360" w:lineRule="auto"/>
        <w:ind w:left="0"/>
        <w:jc w:val="both"/>
        <w:rPr>
          <w:rFonts w:eastAsia="Calibri"/>
          <w:iCs/>
          <w:sz w:val="28"/>
          <w:szCs w:val="28"/>
          <w:lang w:val="en-ZA"/>
        </w:rPr>
      </w:pPr>
    </w:p>
    <w:p w14:paraId="7CA9D084" w14:textId="2C1D88C5" w:rsidR="009736B4" w:rsidRDefault="00FC6BFD"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883996">
        <w:rPr>
          <w:rFonts w:eastAsia="Calibri"/>
          <w:iCs/>
          <w:sz w:val="28"/>
          <w:szCs w:val="28"/>
          <w:lang w:val="en-ZA"/>
        </w:rPr>
        <w:t>47</w:t>
      </w:r>
      <w:r>
        <w:rPr>
          <w:rFonts w:eastAsia="Calibri"/>
          <w:iCs/>
          <w:sz w:val="28"/>
          <w:szCs w:val="28"/>
          <w:lang w:val="en-ZA"/>
        </w:rPr>
        <w:t>]</w:t>
      </w:r>
      <w:r>
        <w:rPr>
          <w:rFonts w:eastAsia="Calibri"/>
          <w:iCs/>
          <w:sz w:val="28"/>
          <w:szCs w:val="28"/>
          <w:lang w:val="en-ZA"/>
        </w:rPr>
        <w:tab/>
        <w:t xml:space="preserve">It was submitted that several factors rendered the matter exceptional. The two corporate entities, the Butcher Shop and Apoldo, were in essence Mr Pick in </w:t>
      </w:r>
      <w:r>
        <w:rPr>
          <w:rFonts w:eastAsia="Calibri"/>
          <w:iCs/>
          <w:sz w:val="28"/>
          <w:szCs w:val="28"/>
          <w:lang w:val="en-ZA"/>
        </w:rPr>
        <w:lastRenderedPageBreak/>
        <w:t xml:space="preserve">corporate guise. Mr Pick, as sole shareholder, conducted a family business, in which his son was also involved, and he did so via the two corporate entities. The business was that of Mr Pick. Seen from this perspective, it was suggested that there was no </w:t>
      </w:r>
      <w:r>
        <w:rPr>
          <w:rFonts w:eastAsia="Calibri"/>
          <w:i/>
          <w:sz w:val="28"/>
          <w:szCs w:val="28"/>
          <w:lang w:val="en-ZA"/>
        </w:rPr>
        <w:t>de facto</w:t>
      </w:r>
      <w:r>
        <w:rPr>
          <w:rFonts w:eastAsia="Calibri"/>
          <w:iCs/>
          <w:sz w:val="28"/>
          <w:szCs w:val="28"/>
          <w:lang w:val="en-ZA"/>
        </w:rPr>
        <w:t xml:space="preserve"> distinction between the Butcher Shop and Apoldo.</w:t>
      </w:r>
      <w:r w:rsidR="009736B4">
        <w:rPr>
          <w:rFonts w:eastAsia="Calibri"/>
          <w:iCs/>
          <w:sz w:val="28"/>
          <w:szCs w:val="28"/>
          <w:lang w:val="en-ZA"/>
        </w:rPr>
        <w:t xml:space="preserve"> Furthermore, the </w:t>
      </w:r>
      <w:r w:rsidR="00626BD1">
        <w:rPr>
          <w:rFonts w:eastAsia="Calibri"/>
          <w:iCs/>
          <w:sz w:val="28"/>
          <w:szCs w:val="28"/>
          <w:lang w:val="en-ZA"/>
        </w:rPr>
        <w:t>a</w:t>
      </w:r>
      <w:r w:rsidR="009736B4">
        <w:rPr>
          <w:rFonts w:eastAsia="Calibri"/>
          <w:iCs/>
          <w:sz w:val="28"/>
          <w:szCs w:val="28"/>
          <w:lang w:val="en-ZA"/>
        </w:rPr>
        <w:t xml:space="preserve">ddendum to the lease agreement was a tripartite agreement. The involvement of Apoldo in the conduct of the business was known, and accepted, by the Trust. Invoices for the monthly rental were submitted to Apoldo, and the base </w:t>
      </w:r>
      <w:r w:rsidR="00DA2088">
        <w:rPr>
          <w:rFonts w:eastAsia="Calibri"/>
          <w:iCs/>
          <w:sz w:val="28"/>
          <w:szCs w:val="28"/>
          <w:lang w:val="en-ZA"/>
        </w:rPr>
        <w:t>rent</w:t>
      </w:r>
      <w:r w:rsidR="009736B4">
        <w:rPr>
          <w:rFonts w:eastAsia="Calibri"/>
          <w:iCs/>
          <w:sz w:val="28"/>
          <w:szCs w:val="28"/>
          <w:lang w:val="en-ZA"/>
        </w:rPr>
        <w:t xml:space="preserve"> was paid by Apoldo. These facts indicated that the Trust treated the Butcher Shop and Apoldo as a single trading entity. </w:t>
      </w:r>
    </w:p>
    <w:p w14:paraId="4084CB40" w14:textId="77777777" w:rsidR="009736B4" w:rsidRDefault="009736B4" w:rsidP="00E5462F">
      <w:pPr>
        <w:pStyle w:val="ListParagraph"/>
        <w:spacing w:line="360" w:lineRule="auto"/>
        <w:ind w:left="0"/>
        <w:jc w:val="both"/>
        <w:rPr>
          <w:rFonts w:eastAsia="Calibri"/>
          <w:iCs/>
          <w:sz w:val="28"/>
          <w:szCs w:val="28"/>
          <w:lang w:val="en-ZA"/>
        </w:rPr>
      </w:pPr>
    </w:p>
    <w:p w14:paraId="6CB521D8" w14:textId="3B1A3691" w:rsidR="00FC6BFD" w:rsidRDefault="009736B4"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883996">
        <w:rPr>
          <w:rFonts w:eastAsia="Calibri"/>
          <w:iCs/>
          <w:sz w:val="28"/>
          <w:szCs w:val="28"/>
          <w:lang w:val="en-ZA"/>
        </w:rPr>
        <w:t>48</w:t>
      </w:r>
      <w:r>
        <w:rPr>
          <w:rFonts w:eastAsia="Calibri"/>
          <w:iCs/>
          <w:sz w:val="28"/>
          <w:szCs w:val="28"/>
          <w:lang w:val="en-ZA"/>
        </w:rPr>
        <w:t>]</w:t>
      </w:r>
      <w:r>
        <w:rPr>
          <w:rFonts w:eastAsia="Calibri"/>
          <w:iCs/>
          <w:sz w:val="28"/>
          <w:szCs w:val="28"/>
          <w:lang w:val="en-ZA"/>
        </w:rPr>
        <w:tab/>
        <w:t xml:space="preserve">It was argued that these facts call for an equitable treatment of the two corporate entities. If the court did not treat the two entities as one for the purpose of the rent remission claim, it would give rise to an anomaly in relation to the Butcher Shop’s liability to the Trust for turnover rental, inasmuch as the turnover from the business was that of Apoldo rather than the Butcher Shop. The Trust would therefore not be entitled to </w:t>
      </w:r>
      <w:r w:rsidR="00DA2088">
        <w:rPr>
          <w:rFonts w:eastAsia="Calibri"/>
          <w:iCs/>
          <w:sz w:val="28"/>
          <w:szCs w:val="28"/>
          <w:lang w:val="en-ZA"/>
        </w:rPr>
        <w:t>turnover rental based on Apoldo’s turnover.</w:t>
      </w:r>
      <w:r w:rsidR="00FC6BFD">
        <w:rPr>
          <w:rFonts w:eastAsia="Calibri"/>
          <w:iCs/>
          <w:sz w:val="28"/>
          <w:szCs w:val="28"/>
          <w:lang w:val="en-ZA"/>
        </w:rPr>
        <w:t xml:space="preserve"> </w:t>
      </w:r>
    </w:p>
    <w:p w14:paraId="51762AA5" w14:textId="3D4ED22F" w:rsidR="006B654C" w:rsidRDefault="006B654C" w:rsidP="00E5462F">
      <w:pPr>
        <w:pStyle w:val="ListParagraph"/>
        <w:spacing w:line="360" w:lineRule="auto"/>
        <w:ind w:left="0"/>
        <w:jc w:val="both"/>
        <w:rPr>
          <w:rFonts w:eastAsia="Calibri"/>
          <w:iCs/>
          <w:sz w:val="28"/>
          <w:szCs w:val="28"/>
          <w:lang w:val="en-ZA"/>
        </w:rPr>
      </w:pPr>
    </w:p>
    <w:p w14:paraId="53C31E42" w14:textId="7DAD586F" w:rsidR="009427A0" w:rsidRDefault="006B654C"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883996">
        <w:rPr>
          <w:rFonts w:eastAsia="Calibri"/>
          <w:iCs/>
          <w:sz w:val="28"/>
          <w:szCs w:val="28"/>
          <w:lang w:val="en-ZA"/>
        </w:rPr>
        <w:t>49</w:t>
      </w:r>
      <w:r>
        <w:rPr>
          <w:rFonts w:eastAsia="Calibri"/>
          <w:iCs/>
          <w:sz w:val="28"/>
          <w:szCs w:val="28"/>
          <w:lang w:val="en-ZA"/>
        </w:rPr>
        <w:t>]</w:t>
      </w:r>
      <w:r>
        <w:rPr>
          <w:rFonts w:eastAsia="Calibri"/>
          <w:iCs/>
          <w:sz w:val="28"/>
          <w:szCs w:val="28"/>
          <w:lang w:val="en-ZA"/>
        </w:rPr>
        <w:tab/>
        <w:t xml:space="preserve">Flexibility, as enjoined by the judgment in </w:t>
      </w:r>
      <w:r>
        <w:rPr>
          <w:rFonts w:eastAsia="Calibri"/>
          <w:i/>
          <w:sz w:val="28"/>
          <w:szCs w:val="28"/>
          <w:lang w:val="en-ZA"/>
        </w:rPr>
        <w:t>Cape Pacific</w:t>
      </w:r>
      <w:r w:rsidR="00E71200" w:rsidRPr="00E71200">
        <w:rPr>
          <w:rFonts w:eastAsia="Calibri"/>
          <w:iCs/>
          <w:sz w:val="28"/>
          <w:szCs w:val="28"/>
          <w:lang w:val="en-ZA"/>
        </w:rPr>
        <w:t>,</w:t>
      </w:r>
      <w:r w:rsidRPr="00E71200">
        <w:rPr>
          <w:rStyle w:val="FootnoteReference"/>
          <w:rFonts w:eastAsia="Calibri"/>
          <w:iCs/>
          <w:sz w:val="28"/>
          <w:szCs w:val="28"/>
          <w:lang w:val="en-ZA"/>
        </w:rPr>
        <w:footnoteReference w:id="29"/>
      </w:r>
      <w:r w:rsidR="00E71200">
        <w:rPr>
          <w:rFonts w:eastAsia="Calibri"/>
          <w:iCs/>
          <w:sz w:val="28"/>
          <w:szCs w:val="28"/>
          <w:lang w:val="en-ZA"/>
        </w:rPr>
        <w:t xml:space="preserve"> </w:t>
      </w:r>
      <w:r>
        <w:rPr>
          <w:rFonts w:eastAsia="Calibri"/>
          <w:iCs/>
          <w:sz w:val="28"/>
          <w:szCs w:val="28"/>
          <w:lang w:val="en-ZA"/>
        </w:rPr>
        <w:t xml:space="preserve">does not imply that the guiding principles are jettisoned. It means no more than that careful consideration be given to the facts of the case and that the matter </w:t>
      </w:r>
      <w:r w:rsidR="00883996">
        <w:rPr>
          <w:rFonts w:eastAsia="Calibri"/>
          <w:iCs/>
          <w:sz w:val="28"/>
          <w:szCs w:val="28"/>
          <w:lang w:val="en-ZA"/>
        </w:rPr>
        <w:t>is not</w:t>
      </w:r>
      <w:r>
        <w:rPr>
          <w:rFonts w:eastAsia="Calibri"/>
          <w:iCs/>
          <w:sz w:val="28"/>
          <w:szCs w:val="28"/>
          <w:lang w:val="en-ZA"/>
        </w:rPr>
        <w:t xml:space="preserve"> approached on the basis that the principles apply only in </w:t>
      </w:r>
      <w:r w:rsidR="000C2288">
        <w:rPr>
          <w:rFonts w:eastAsia="Calibri"/>
          <w:iCs/>
          <w:sz w:val="28"/>
          <w:szCs w:val="28"/>
          <w:lang w:val="en-ZA"/>
        </w:rPr>
        <w:t xml:space="preserve">a </w:t>
      </w:r>
      <w:r w:rsidR="00AA594F">
        <w:rPr>
          <w:rFonts w:eastAsia="Calibri"/>
          <w:iCs/>
          <w:sz w:val="28"/>
          <w:szCs w:val="28"/>
          <w:lang w:val="en-ZA"/>
        </w:rPr>
        <w:t>set category of cases</w:t>
      </w:r>
      <w:r>
        <w:rPr>
          <w:rFonts w:eastAsia="Calibri"/>
          <w:iCs/>
          <w:sz w:val="28"/>
          <w:szCs w:val="28"/>
          <w:lang w:val="en-ZA"/>
        </w:rPr>
        <w:t>. Counsel’s argument proceeded from the acceptance that this is not the usual case in which a piercing of the veil is sought.</w:t>
      </w:r>
      <w:r w:rsidR="00A63EC4">
        <w:rPr>
          <w:rFonts w:eastAsia="Calibri"/>
          <w:iCs/>
          <w:sz w:val="28"/>
          <w:szCs w:val="28"/>
          <w:lang w:val="en-ZA"/>
        </w:rPr>
        <w:t xml:space="preserve"> This</w:t>
      </w:r>
      <w:r w:rsidR="005414E3">
        <w:rPr>
          <w:rFonts w:eastAsia="Calibri"/>
          <w:iCs/>
          <w:sz w:val="28"/>
          <w:szCs w:val="28"/>
          <w:lang w:val="en-ZA"/>
        </w:rPr>
        <w:t xml:space="preserve">, it was submitted, was akin to </w:t>
      </w:r>
      <w:r w:rsidR="00A63EC4">
        <w:rPr>
          <w:rFonts w:eastAsia="Calibri"/>
          <w:iCs/>
          <w:sz w:val="28"/>
          <w:szCs w:val="28"/>
          <w:lang w:val="en-ZA"/>
        </w:rPr>
        <w:t>‘reverse piercing’</w:t>
      </w:r>
      <w:r w:rsidR="00BB679A">
        <w:rPr>
          <w:rFonts w:eastAsia="Calibri"/>
          <w:iCs/>
          <w:sz w:val="28"/>
          <w:szCs w:val="28"/>
          <w:lang w:val="en-ZA"/>
        </w:rPr>
        <w:t xml:space="preserve">, where the members or shareholders of a company seek to have the corporate identity of the company disregarded </w:t>
      </w:r>
      <w:r w:rsidR="005414E3">
        <w:rPr>
          <w:rFonts w:eastAsia="Calibri"/>
          <w:iCs/>
          <w:sz w:val="28"/>
          <w:szCs w:val="28"/>
          <w:lang w:val="en-ZA"/>
        </w:rPr>
        <w:t>to</w:t>
      </w:r>
      <w:r w:rsidR="00BB679A">
        <w:rPr>
          <w:rFonts w:eastAsia="Calibri"/>
          <w:iCs/>
          <w:sz w:val="28"/>
          <w:szCs w:val="28"/>
          <w:lang w:val="en-ZA"/>
        </w:rPr>
        <w:t xml:space="preserve"> advance rights which would otherwise accrue to the company</w:t>
      </w:r>
      <w:r w:rsidR="000C2288">
        <w:rPr>
          <w:rFonts w:eastAsia="Calibri"/>
          <w:iCs/>
          <w:sz w:val="28"/>
          <w:szCs w:val="28"/>
          <w:lang w:val="en-ZA"/>
        </w:rPr>
        <w:t>,</w:t>
      </w:r>
      <w:r w:rsidR="00BB679A">
        <w:rPr>
          <w:rFonts w:eastAsia="Calibri"/>
          <w:iCs/>
          <w:sz w:val="28"/>
          <w:szCs w:val="28"/>
          <w:lang w:val="en-ZA"/>
        </w:rPr>
        <w:t xml:space="preserve"> as their rights.</w:t>
      </w:r>
      <w:r w:rsidR="00BB679A">
        <w:rPr>
          <w:rStyle w:val="FootnoteReference"/>
          <w:rFonts w:eastAsia="Calibri"/>
          <w:iCs/>
          <w:sz w:val="28"/>
          <w:szCs w:val="28"/>
          <w:lang w:val="en-ZA"/>
        </w:rPr>
        <w:footnoteReference w:id="30"/>
      </w:r>
      <w:r w:rsidR="00BB679A">
        <w:rPr>
          <w:rFonts w:eastAsia="Calibri"/>
          <w:iCs/>
          <w:sz w:val="28"/>
          <w:szCs w:val="28"/>
          <w:lang w:val="en-ZA"/>
        </w:rPr>
        <w:t xml:space="preserve"> </w:t>
      </w:r>
      <w:r w:rsidR="000C2288">
        <w:rPr>
          <w:rFonts w:eastAsia="Calibri"/>
          <w:iCs/>
          <w:sz w:val="28"/>
          <w:szCs w:val="28"/>
          <w:lang w:val="en-ZA"/>
        </w:rPr>
        <w:t>I</w:t>
      </w:r>
      <w:r w:rsidR="005414E3">
        <w:rPr>
          <w:rFonts w:eastAsia="Calibri"/>
          <w:iCs/>
          <w:sz w:val="28"/>
          <w:szCs w:val="28"/>
          <w:lang w:val="en-ZA"/>
        </w:rPr>
        <w:t xml:space="preserve">t was argued that </w:t>
      </w:r>
      <w:r w:rsidR="009427A0">
        <w:rPr>
          <w:rFonts w:eastAsia="Calibri"/>
          <w:iCs/>
          <w:sz w:val="28"/>
          <w:szCs w:val="28"/>
          <w:lang w:val="en-ZA"/>
        </w:rPr>
        <w:t xml:space="preserve">the remedy </w:t>
      </w:r>
      <w:r w:rsidR="009427A0">
        <w:rPr>
          <w:rFonts w:eastAsia="Calibri"/>
          <w:iCs/>
          <w:sz w:val="28"/>
          <w:szCs w:val="28"/>
          <w:lang w:val="en-ZA"/>
        </w:rPr>
        <w:lastRenderedPageBreak/>
        <w:t xml:space="preserve">is </w:t>
      </w:r>
      <w:r w:rsidR="000C2288">
        <w:rPr>
          <w:rFonts w:eastAsia="Calibri"/>
          <w:iCs/>
          <w:sz w:val="28"/>
          <w:szCs w:val="28"/>
          <w:lang w:val="en-ZA"/>
        </w:rPr>
        <w:t xml:space="preserve">not </w:t>
      </w:r>
      <w:r w:rsidR="009427A0">
        <w:rPr>
          <w:rFonts w:eastAsia="Calibri"/>
          <w:iCs/>
          <w:sz w:val="28"/>
          <w:szCs w:val="28"/>
          <w:lang w:val="en-ZA"/>
        </w:rPr>
        <w:t xml:space="preserve">only available to an outside party or creditor who seeks </w:t>
      </w:r>
      <w:r w:rsidR="009427A0" w:rsidRPr="004F0A73">
        <w:rPr>
          <w:rFonts w:eastAsia="Calibri"/>
          <w:iCs/>
          <w:sz w:val="28"/>
          <w:szCs w:val="28"/>
          <w:lang w:val="en-ZA"/>
        </w:rPr>
        <w:t xml:space="preserve">to </w:t>
      </w:r>
      <w:r w:rsidR="00B9117A" w:rsidRPr="004F0A73">
        <w:rPr>
          <w:rFonts w:eastAsia="Calibri"/>
          <w:iCs/>
          <w:sz w:val="28"/>
          <w:szCs w:val="28"/>
          <w:lang w:val="en-ZA"/>
        </w:rPr>
        <w:t>ignore</w:t>
      </w:r>
      <w:r w:rsidR="00B9117A">
        <w:rPr>
          <w:rFonts w:eastAsia="Calibri"/>
          <w:iCs/>
          <w:sz w:val="28"/>
          <w:szCs w:val="28"/>
          <w:lang w:val="en-ZA"/>
        </w:rPr>
        <w:t xml:space="preserve"> </w:t>
      </w:r>
      <w:r w:rsidR="009427A0">
        <w:rPr>
          <w:rFonts w:eastAsia="Calibri"/>
          <w:iCs/>
          <w:sz w:val="28"/>
          <w:szCs w:val="28"/>
          <w:lang w:val="en-ZA"/>
        </w:rPr>
        <w:t>the consequences of the separate legal personality of a company</w:t>
      </w:r>
      <w:r w:rsidR="000C2288">
        <w:rPr>
          <w:rFonts w:eastAsia="Calibri"/>
          <w:iCs/>
          <w:sz w:val="28"/>
          <w:szCs w:val="28"/>
          <w:lang w:val="en-ZA"/>
        </w:rPr>
        <w:t xml:space="preserve"> in order to </w:t>
      </w:r>
      <w:r w:rsidR="009427A0">
        <w:rPr>
          <w:rFonts w:eastAsia="Calibri"/>
          <w:iCs/>
          <w:sz w:val="28"/>
          <w:szCs w:val="28"/>
          <w:lang w:val="en-ZA"/>
        </w:rPr>
        <w:t>fix liability upon the shareholders</w:t>
      </w:r>
      <w:r w:rsidR="000C2288">
        <w:rPr>
          <w:rFonts w:eastAsia="Calibri"/>
          <w:iCs/>
          <w:sz w:val="28"/>
          <w:szCs w:val="28"/>
          <w:lang w:val="en-ZA"/>
        </w:rPr>
        <w:t xml:space="preserve"> </w:t>
      </w:r>
      <w:r w:rsidR="009427A0">
        <w:rPr>
          <w:rFonts w:eastAsia="Calibri"/>
          <w:iCs/>
          <w:sz w:val="28"/>
          <w:szCs w:val="28"/>
          <w:lang w:val="en-ZA"/>
        </w:rPr>
        <w:t xml:space="preserve">of </w:t>
      </w:r>
      <w:r w:rsidR="000C2288">
        <w:rPr>
          <w:rFonts w:eastAsia="Calibri"/>
          <w:iCs/>
          <w:sz w:val="28"/>
          <w:szCs w:val="28"/>
          <w:lang w:val="en-ZA"/>
        </w:rPr>
        <w:t xml:space="preserve">the </w:t>
      </w:r>
      <w:r w:rsidR="009427A0">
        <w:rPr>
          <w:rFonts w:eastAsia="Calibri"/>
          <w:iCs/>
          <w:sz w:val="28"/>
          <w:szCs w:val="28"/>
          <w:lang w:val="en-ZA"/>
        </w:rPr>
        <w:t xml:space="preserve">company. </w:t>
      </w:r>
    </w:p>
    <w:p w14:paraId="0514C344" w14:textId="77777777" w:rsidR="009427A0" w:rsidRDefault="009427A0" w:rsidP="00E5462F">
      <w:pPr>
        <w:pStyle w:val="ListParagraph"/>
        <w:spacing w:line="360" w:lineRule="auto"/>
        <w:ind w:left="0"/>
        <w:jc w:val="both"/>
        <w:rPr>
          <w:rFonts w:eastAsia="Calibri"/>
          <w:iCs/>
          <w:sz w:val="28"/>
          <w:szCs w:val="28"/>
          <w:lang w:val="en-ZA"/>
        </w:rPr>
      </w:pPr>
    </w:p>
    <w:p w14:paraId="71D3A5D0" w14:textId="47E02D83" w:rsidR="001175D3" w:rsidRDefault="009427A0"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0C2288">
        <w:rPr>
          <w:rFonts w:eastAsia="Calibri"/>
          <w:iCs/>
          <w:sz w:val="28"/>
          <w:szCs w:val="28"/>
          <w:lang w:val="en-ZA"/>
        </w:rPr>
        <w:t>5</w:t>
      </w:r>
      <w:r w:rsidR="00883996">
        <w:rPr>
          <w:rFonts w:eastAsia="Calibri"/>
          <w:iCs/>
          <w:sz w:val="28"/>
          <w:szCs w:val="28"/>
          <w:lang w:val="en-ZA"/>
        </w:rPr>
        <w:t>0</w:t>
      </w:r>
      <w:r>
        <w:rPr>
          <w:rFonts w:eastAsia="Calibri"/>
          <w:iCs/>
          <w:sz w:val="28"/>
          <w:szCs w:val="28"/>
          <w:lang w:val="en-ZA"/>
        </w:rPr>
        <w:t>]</w:t>
      </w:r>
      <w:r>
        <w:rPr>
          <w:rFonts w:eastAsia="Calibri"/>
          <w:iCs/>
          <w:sz w:val="28"/>
          <w:szCs w:val="28"/>
          <w:lang w:val="en-ZA"/>
        </w:rPr>
        <w:tab/>
        <w:t>This submission is, so far as it goes, accurate. It is true that none of the reported cases specify it as a requirement that the remedy is only available at the instance of a creditor</w:t>
      </w:r>
      <w:r w:rsidR="000C2288">
        <w:rPr>
          <w:rFonts w:eastAsia="Calibri"/>
          <w:iCs/>
          <w:sz w:val="28"/>
          <w:szCs w:val="28"/>
          <w:lang w:val="en-ZA"/>
        </w:rPr>
        <w:t xml:space="preserve">. </w:t>
      </w:r>
      <w:r w:rsidR="00CD5C74">
        <w:rPr>
          <w:rFonts w:eastAsia="Calibri"/>
          <w:iCs/>
          <w:sz w:val="28"/>
          <w:szCs w:val="28"/>
          <w:lang w:val="en-ZA"/>
        </w:rPr>
        <w:t xml:space="preserve">The </w:t>
      </w:r>
      <w:r w:rsidR="00587DAF">
        <w:rPr>
          <w:rFonts w:eastAsia="Calibri"/>
          <w:iCs/>
          <w:sz w:val="28"/>
          <w:szCs w:val="28"/>
          <w:lang w:val="en-ZA"/>
        </w:rPr>
        <w:t>question, however, is this: is</w:t>
      </w:r>
      <w:r w:rsidR="00CD5C74">
        <w:rPr>
          <w:rFonts w:eastAsia="Calibri"/>
          <w:iCs/>
          <w:sz w:val="28"/>
          <w:szCs w:val="28"/>
          <w:lang w:val="en-ZA"/>
        </w:rPr>
        <w:t xml:space="preserve"> the Butcher Shop </w:t>
      </w:r>
      <w:r w:rsidR="00587DAF">
        <w:rPr>
          <w:rFonts w:eastAsia="Calibri"/>
          <w:iCs/>
          <w:sz w:val="28"/>
          <w:szCs w:val="28"/>
          <w:lang w:val="en-ZA"/>
        </w:rPr>
        <w:t>entitled to ignore the corporate personality of Apoldo so that it may assert rights which accrue to Apoldo?</w:t>
      </w:r>
      <w:r w:rsidR="00CD5C74">
        <w:rPr>
          <w:rFonts w:eastAsia="Calibri"/>
          <w:iCs/>
          <w:sz w:val="28"/>
          <w:szCs w:val="28"/>
          <w:lang w:val="en-ZA"/>
        </w:rPr>
        <w:t xml:space="preserve"> </w:t>
      </w:r>
      <w:r w:rsidR="007F5B18">
        <w:rPr>
          <w:rFonts w:eastAsia="Calibri"/>
          <w:iCs/>
          <w:sz w:val="28"/>
          <w:szCs w:val="28"/>
          <w:lang w:val="en-ZA"/>
        </w:rPr>
        <w:t xml:space="preserve">Counsel submitted that fraud or </w:t>
      </w:r>
      <w:r w:rsidR="00DE3F8C">
        <w:rPr>
          <w:rFonts w:eastAsia="Calibri"/>
          <w:iCs/>
          <w:sz w:val="28"/>
          <w:szCs w:val="28"/>
          <w:lang w:val="en-ZA"/>
        </w:rPr>
        <w:t>dishonesty,</w:t>
      </w:r>
      <w:r w:rsidR="007F5B18">
        <w:rPr>
          <w:rFonts w:eastAsia="Calibri"/>
          <w:iCs/>
          <w:sz w:val="28"/>
          <w:szCs w:val="28"/>
          <w:lang w:val="en-ZA"/>
        </w:rPr>
        <w:t xml:space="preserve"> or unconscionable conduct is </w:t>
      </w:r>
      <w:r w:rsidR="00E93B56">
        <w:rPr>
          <w:rFonts w:eastAsia="Calibri"/>
          <w:iCs/>
          <w:sz w:val="28"/>
          <w:szCs w:val="28"/>
          <w:lang w:val="en-ZA"/>
        </w:rPr>
        <w:t xml:space="preserve">not </w:t>
      </w:r>
      <w:r w:rsidR="001175D3">
        <w:rPr>
          <w:rFonts w:eastAsia="Calibri"/>
          <w:iCs/>
          <w:sz w:val="28"/>
          <w:szCs w:val="28"/>
          <w:lang w:val="en-ZA"/>
        </w:rPr>
        <w:t xml:space="preserve">a </w:t>
      </w:r>
      <w:r w:rsidR="00E93B56">
        <w:rPr>
          <w:rFonts w:eastAsia="Calibri"/>
          <w:iCs/>
          <w:sz w:val="28"/>
          <w:szCs w:val="28"/>
          <w:lang w:val="en-ZA"/>
        </w:rPr>
        <w:t>pre</w:t>
      </w:r>
      <w:r w:rsidR="00587DAF">
        <w:rPr>
          <w:rFonts w:eastAsia="Calibri"/>
          <w:iCs/>
          <w:sz w:val="28"/>
          <w:szCs w:val="28"/>
          <w:lang w:val="en-ZA"/>
        </w:rPr>
        <w:t>-</w:t>
      </w:r>
      <w:r w:rsidR="00E93B56">
        <w:rPr>
          <w:rFonts w:eastAsia="Calibri"/>
          <w:iCs/>
          <w:sz w:val="28"/>
          <w:szCs w:val="28"/>
          <w:lang w:val="en-ZA"/>
        </w:rPr>
        <w:t>requisite</w:t>
      </w:r>
      <w:r w:rsidR="007F5B18">
        <w:rPr>
          <w:rFonts w:eastAsia="Calibri"/>
          <w:iCs/>
          <w:sz w:val="28"/>
          <w:szCs w:val="28"/>
          <w:lang w:val="en-ZA"/>
        </w:rPr>
        <w:t xml:space="preserve"> for the remedy.</w:t>
      </w:r>
      <w:r w:rsidR="00E93B56">
        <w:rPr>
          <w:rFonts w:eastAsia="Calibri"/>
          <w:iCs/>
          <w:sz w:val="28"/>
          <w:szCs w:val="28"/>
          <w:lang w:val="en-ZA"/>
        </w:rPr>
        <w:t xml:space="preserve"> The submission is</w:t>
      </w:r>
      <w:r w:rsidR="00587DAF">
        <w:rPr>
          <w:rFonts w:eastAsia="Calibri"/>
          <w:iCs/>
          <w:sz w:val="28"/>
          <w:szCs w:val="28"/>
          <w:lang w:val="en-ZA"/>
        </w:rPr>
        <w:t>, however,</w:t>
      </w:r>
      <w:r w:rsidR="00E93B56">
        <w:rPr>
          <w:rFonts w:eastAsia="Calibri"/>
          <w:iCs/>
          <w:sz w:val="28"/>
          <w:szCs w:val="28"/>
          <w:lang w:val="en-ZA"/>
        </w:rPr>
        <w:t xml:space="preserve"> in conflict with established authority of this Court. There is no authority for the proposition that the ordinary employment and use of a corporate form, involving no abuse, misuse or unconscionable conduct would entitle a court to ignore the separate legal personality of a company.</w:t>
      </w:r>
    </w:p>
    <w:p w14:paraId="415F1681" w14:textId="77777777" w:rsidR="001175D3" w:rsidRDefault="001175D3" w:rsidP="00E5462F">
      <w:pPr>
        <w:pStyle w:val="ListParagraph"/>
        <w:spacing w:line="360" w:lineRule="auto"/>
        <w:ind w:left="0"/>
        <w:jc w:val="both"/>
        <w:rPr>
          <w:rFonts w:eastAsia="Calibri"/>
          <w:iCs/>
          <w:sz w:val="28"/>
          <w:szCs w:val="28"/>
          <w:lang w:val="en-ZA"/>
        </w:rPr>
      </w:pPr>
    </w:p>
    <w:p w14:paraId="13E2318A" w14:textId="2B4D7825" w:rsidR="006B654C" w:rsidRDefault="001175D3"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4D5975">
        <w:rPr>
          <w:rFonts w:eastAsia="Calibri"/>
          <w:iCs/>
          <w:sz w:val="28"/>
          <w:szCs w:val="28"/>
          <w:lang w:val="en-ZA"/>
        </w:rPr>
        <w:t>5</w:t>
      </w:r>
      <w:r w:rsidR="00883996">
        <w:rPr>
          <w:rFonts w:eastAsia="Calibri"/>
          <w:iCs/>
          <w:sz w:val="28"/>
          <w:szCs w:val="28"/>
          <w:lang w:val="en-ZA"/>
        </w:rPr>
        <w:t>1</w:t>
      </w:r>
      <w:r>
        <w:rPr>
          <w:rFonts w:eastAsia="Calibri"/>
          <w:iCs/>
          <w:sz w:val="28"/>
          <w:szCs w:val="28"/>
          <w:lang w:val="en-ZA"/>
        </w:rPr>
        <w:t>]</w:t>
      </w:r>
      <w:r>
        <w:rPr>
          <w:rFonts w:eastAsia="Calibri"/>
          <w:iCs/>
          <w:sz w:val="28"/>
          <w:szCs w:val="28"/>
          <w:lang w:val="en-ZA"/>
        </w:rPr>
        <w:tab/>
      </w:r>
      <w:r w:rsidR="004D5975">
        <w:rPr>
          <w:rFonts w:eastAsia="Calibri"/>
          <w:iCs/>
          <w:sz w:val="28"/>
          <w:szCs w:val="28"/>
          <w:lang w:val="en-ZA"/>
        </w:rPr>
        <w:t>T</w:t>
      </w:r>
      <w:r w:rsidR="00587DAF">
        <w:rPr>
          <w:rFonts w:eastAsia="Calibri"/>
          <w:iCs/>
          <w:sz w:val="28"/>
          <w:szCs w:val="28"/>
          <w:lang w:val="en-ZA"/>
        </w:rPr>
        <w:t>he</w:t>
      </w:r>
      <w:r w:rsidR="00DA2088">
        <w:rPr>
          <w:rFonts w:eastAsia="Calibri"/>
          <w:iCs/>
          <w:sz w:val="28"/>
          <w:szCs w:val="28"/>
          <w:lang w:val="en-ZA"/>
        </w:rPr>
        <w:t xml:space="preserve"> lease agreement </w:t>
      </w:r>
      <w:r w:rsidR="00587DAF">
        <w:rPr>
          <w:rFonts w:eastAsia="Calibri"/>
          <w:iCs/>
          <w:sz w:val="28"/>
          <w:szCs w:val="28"/>
          <w:lang w:val="en-ZA"/>
        </w:rPr>
        <w:t xml:space="preserve">between the Butcher Shop and </w:t>
      </w:r>
      <w:r w:rsidR="00DA2088">
        <w:rPr>
          <w:rFonts w:eastAsia="Calibri"/>
          <w:iCs/>
          <w:sz w:val="28"/>
          <w:szCs w:val="28"/>
          <w:lang w:val="en-ZA"/>
        </w:rPr>
        <w:t xml:space="preserve">the Trust was premised on the fact that the Butcher Shop would occupy and use the leased premises for the purpose of </w:t>
      </w:r>
      <w:r w:rsidR="00587DAF">
        <w:rPr>
          <w:rFonts w:eastAsia="Calibri"/>
          <w:iCs/>
          <w:sz w:val="28"/>
          <w:szCs w:val="28"/>
          <w:lang w:val="en-ZA"/>
        </w:rPr>
        <w:t xml:space="preserve">running the restaurant. Yet, </w:t>
      </w:r>
      <w:r w:rsidR="00DA2088">
        <w:rPr>
          <w:rFonts w:eastAsia="Calibri"/>
          <w:iCs/>
          <w:sz w:val="28"/>
          <w:szCs w:val="28"/>
          <w:lang w:val="en-ZA"/>
        </w:rPr>
        <w:t>the</w:t>
      </w:r>
      <w:r w:rsidR="004D5975">
        <w:rPr>
          <w:rFonts w:eastAsia="Calibri"/>
          <w:iCs/>
          <w:sz w:val="28"/>
          <w:szCs w:val="28"/>
          <w:lang w:val="en-ZA"/>
        </w:rPr>
        <w:t xml:space="preserve"> premises</w:t>
      </w:r>
      <w:r w:rsidR="00DA2088">
        <w:rPr>
          <w:rFonts w:eastAsia="Calibri"/>
          <w:iCs/>
          <w:sz w:val="28"/>
          <w:szCs w:val="28"/>
          <w:lang w:val="en-ZA"/>
        </w:rPr>
        <w:t xml:space="preserve"> </w:t>
      </w:r>
      <w:r w:rsidR="004D5975">
        <w:rPr>
          <w:rFonts w:eastAsia="Calibri"/>
          <w:iCs/>
          <w:sz w:val="28"/>
          <w:szCs w:val="28"/>
          <w:lang w:val="en-ZA"/>
        </w:rPr>
        <w:t xml:space="preserve">were sub-let to Apoldo, and it conducted the business. </w:t>
      </w:r>
      <w:r w:rsidR="00DA2088">
        <w:rPr>
          <w:rFonts w:eastAsia="Calibri"/>
          <w:iCs/>
          <w:sz w:val="28"/>
          <w:szCs w:val="28"/>
          <w:lang w:val="en-ZA"/>
        </w:rPr>
        <w:t xml:space="preserve">This choice of business arrangement was not explained. </w:t>
      </w:r>
      <w:r w:rsidR="00C15137">
        <w:rPr>
          <w:rFonts w:eastAsia="Calibri"/>
          <w:iCs/>
          <w:sz w:val="28"/>
          <w:szCs w:val="28"/>
          <w:lang w:val="en-ZA"/>
        </w:rPr>
        <w:t xml:space="preserve">The rationale is not strictly relevant. What is relevant is that Mr Pick, who on the submission of counsel is to be regarded as the person conducting the business, chose to do so in the form of a corporate entity. </w:t>
      </w:r>
    </w:p>
    <w:p w14:paraId="0DBE05A9" w14:textId="4DEBE56F" w:rsidR="00AF5A0A" w:rsidRDefault="00AF5A0A" w:rsidP="00E5462F">
      <w:pPr>
        <w:pStyle w:val="ListParagraph"/>
        <w:spacing w:line="360" w:lineRule="auto"/>
        <w:ind w:left="0"/>
        <w:jc w:val="both"/>
        <w:rPr>
          <w:rFonts w:eastAsia="Calibri"/>
          <w:iCs/>
          <w:sz w:val="28"/>
          <w:szCs w:val="28"/>
          <w:lang w:val="en-ZA"/>
        </w:rPr>
      </w:pPr>
    </w:p>
    <w:p w14:paraId="6DCDA046" w14:textId="12CFCD1A" w:rsidR="00AF5A0A" w:rsidRDefault="00AF5A0A"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5</w:t>
      </w:r>
      <w:r w:rsidR="00883996">
        <w:rPr>
          <w:rFonts w:eastAsia="Calibri"/>
          <w:iCs/>
          <w:sz w:val="28"/>
          <w:szCs w:val="28"/>
          <w:lang w:val="en-ZA"/>
        </w:rPr>
        <w:t>2</w:t>
      </w:r>
      <w:r>
        <w:rPr>
          <w:rFonts w:eastAsia="Calibri"/>
          <w:iCs/>
          <w:sz w:val="28"/>
          <w:szCs w:val="28"/>
          <w:lang w:val="en-ZA"/>
        </w:rPr>
        <w:t>]</w:t>
      </w:r>
      <w:r>
        <w:rPr>
          <w:rFonts w:eastAsia="Calibri"/>
          <w:iCs/>
          <w:sz w:val="28"/>
          <w:szCs w:val="28"/>
          <w:lang w:val="en-ZA"/>
        </w:rPr>
        <w:tab/>
        <w:t xml:space="preserve">In </w:t>
      </w:r>
      <w:r>
        <w:rPr>
          <w:rFonts w:eastAsia="Calibri"/>
          <w:i/>
          <w:sz w:val="28"/>
          <w:szCs w:val="28"/>
          <w:lang w:val="en-ZA"/>
        </w:rPr>
        <w:t>Ochberg v Commissioner for Inland Revenue</w:t>
      </w:r>
      <w:r w:rsidR="00E71200">
        <w:rPr>
          <w:rFonts w:eastAsia="Calibri"/>
          <w:i/>
          <w:sz w:val="28"/>
          <w:szCs w:val="28"/>
          <w:lang w:val="en-ZA"/>
        </w:rPr>
        <w:t xml:space="preserve"> </w:t>
      </w:r>
      <w:r w:rsidR="00AC5F0B">
        <w:rPr>
          <w:rFonts w:eastAsia="Calibri"/>
          <w:iCs/>
          <w:sz w:val="28"/>
          <w:szCs w:val="28"/>
          <w:lang w:val="en-ZA"/>
        </w:rPr>
        <w:t xml:space="preserve">De Villiers </w:t>
      </w:r>
      <w:r w:rsidR="00764A2C">
        <w:rPr>
          <w:rFonts w:eastAsia="Calibri"/>
          <w:iCs/>
          <w:sz w:val="28"/>
          <w:szCs w:val="28"/>
          <w:lang w:val="en-ZA"/>
        </w:rPr>
        <w:t>CJ said</w:t>
      </w:r>
      <w:r w:rsidR="00AC5F0B">
        <w:rPr>
          <w:rFonts w:eastAsia="Calibri"/>
          <w:iCs/>
          <w:sz w:val="28"/>
          <w:szCs w:val="28"/>
          <w:lang w:val="en-ZA"/>
        </w:rPr>
        <w:t xml:space="preserve">, in relation to the distinction between a company and its shareholder, </w:t>
      </w:r>
    </w:p>
    <w:p w14:paraId="0CF8B584" w14:textId="7385B20B" w:rsidR="00AC5F0B" w:rsidRPr="00AC5F0B" w:rsidRDefault="00AC5F0B" w:rsidP="00E5462F">
      <w:pPr>
        <w:pStyle w:val="ListParagraph"/>
        <w:spacing w:line="360" w:lineRule="auto"/>
        <w:ind w:left="0"/>
        <w:jc w:val="both"/>
        <w:rPr>
          <w:rFonts w:eastAsia="Calibri"/>
          <w:iCs/>
          <w:lang w:val="en-ZA"/>
        </w:rPr>
      </w:pPr>
      <w:r>
        <w:rPr>
          <w:rFonts w:eastAsia="Calibri"/>
          <w:iCs/>
          <w:lang w:val="en-ZA"/>
        </w:rPr>
        <w:t xml:space="preserve">‘The wisdom of allowing a person to escape the natural consequences of his commercial sins under the ordinary law, and for his own private purposes virtually to turn himself into a </w:t>
      </w:r>
      <w:r>
        <w:rPr>
          <w:rFonts w:eastAsia="Calibri"/>
          <w:iCs/>
          <w:lang w:val="en-ZA"/>
        </w:rPr>
        <w:lastRenderedPageBreak/>
        <w:t xml:space="preserve">corporation with limited liability may well be open to doubt. But as long as the law allows it the Court has to recognise the position. But then too the person himself must abide by that. A company, being a juristic person, remains a juristic person separate and distinct from the person who may own all the shares, and must not be confused with the latter. To say that a company sustains a separate </w:t>
      </w:r>
      <w:r>
        <w:rPr>
          <w:rFonts w:eastAsia="Calibri"/>
          <w:i/>
          <w:lang w:val="en-ZA"/>
        </w:rPr>
        <w:t>persona</w:t>
      </w:r>
      <w:r>
        <w:rPr>
          <w:rFonts w:eastAsia="Calibri"/>
          <w:iCs/>
          <w:lang w:val="en-ZA"/>
        </w:rPr>
        <w:t xml:space="preserve"> and yet in the same breath to argue that in substance the person holding all the shares is the company is an attempt to have it both ways, which cannot be allowed.</w:t>
      </w:r>
      <w:r w:rsidR="00E71200">
        <w:rPr>
          <w:rStyle w:val="FootnoteReference"/>
          <w:rFonts w:eastAsia="Calibri"/>
          <w:iCs/>
          <w:sz w:val="28"/>
          <w:szCs w:val="28"/>
          <w:lang w:val="en-ZA"/>
        </w:rPr>
        <w:footnoteReference w:id="31"/>
      </w:r>
    </w:p>
    <w:p w14:paraId="0FF4FCE3" w14:textId="4496485D" w:rsidR="00C15137" w:rsidRDefault="00C15137" w:rsidP="00E5462F">
      <w:pPr>
        <w:pStyle w:val="ListParagraph"/>
        <w:spacing w:line="360" w:lineRule="auto"/>
        <w:ind w:left="0"/>
        <w:jc w:val="both"/>
        <w:rPr>
          <w:rFonts w:eastAsia="Calibri"/>
          <w:iCs/>
          <w:sz w:val="28"/>
          <w:szCs w:val="28"/>
          <w:lang w:val="en-ZA"/>
        </w:rPr>
      </w:pPr>
    </w:p>
    <w:p w14:paraId="64DD0BF9" w14:textId="456E8D82" w:rsidR="00DB62DA" w:rsidRDefault="00C15137"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5</w:t>
      </w:r>
      <w:r w:rsidR="00883996">
        <w:rPr>
          <w:rFonts w:eastAsia="Calibri"/>
          <w:iCs/>
          <w:sz w:val="28"/>
          <w:szCs w:val="28"/>
          <w:lang w:val="en-ZA"/>
        </w:rPr>
        <w:t>3</w:t>
      </w:r>
      <w:r>
        <w:rPr>
          <w:rFonts w:eastAsia="Calibri"/>
          <w:iCs/>
          <w:sz w:val="28"/>
          <w:szCs w:val="28"/>
          <w:lang w:val="en-ZA"/>
        </w:rPr>
        <w:t>]</w:t>
      </w:r>
      <w:r>
        <w:rPr>
          <w:rFonts w:eastAsia="Calibri"/>
          <w:iCs/>
          <w:sz w:val="28"/>
          <w:szCs w:val="28"/>
          <w:lang w:val="en-ZA"/>
        </w:rPr>
        <w:tab/>
      </w:r>
      <w:r w:rsidR="00AC5F0B" w:rsidRPr="00177559">
        <w:rPr>
          <w:rFonts w:eastAsia="Calibri"/>
          <w:iCs/>
          <w:sz w:val="28"/>
          <w:szCs w:val="28"/>
          <w:lang w:val="en-ZA"/>
        </w:rPr>
        <w:t xml:space="preserve">A similar view </w:t>
      </w:r>
      <w:r w:rsidR="00DB62DA" w:rsidRPr="00177559">
        <w:rPr>
          <w:rFonts w:eastAsia="Calibri"/>
          <w:iCs/>
          <w:sz w:val="28"/>
          <w:szCs w:val="28"/>
          <w:lang w:val="en-ZA"/>
        </w:rPr>
        <w:t>was</w:t>
      </w:r>
      <w:r w:rsidR="00DB62DA">
        <w:rPr>
          <w:rFonts w:eastAsia="Calibri"/>
          <w:iCs/>
          <w:sz w:val="28"/>
          <w:szCs w:val="28"/>
          <w:lang w:val="en-ZA"/>
        </w:rPr>
        <w:t xml:space="preserve"> </w:t>
      </w:r>
      <w:r w:rsidR="004D5975">
        <w:rPr>
          <w:rFonts w:eastAsia="Calibri"/>
          <w:iCs/>
          <w:sz w:val="28"/>
          <w:szCs w:val="28"/>
          <w:lang w:val="en-ZA"/>
        </w:rPr>
        <w:t xml:space="preserve">expressed </w:t>
      </w:r>
      <w:r w:rsidR="00DB62DA">
        <w:rPr>
          <w:rFonts w:eastAsia="Calibri"/>
          <w:iCs/>
          <w:sz w:val="28"/>
          <w:szCs w:val="28"/>
          <w:lang w:val="en-ZA"/>
        </w:rPr>
        <w:t xml:space="preserve">in </w:t>
      </w:r>
      <w:r w:rsidR="00DB62DA">
        <w:rPr>
          <w:rFonts w:eastAsia="Calibri"/>
          <w:i/>
          <w:sz w:val="28"/>
          <w:szCs w:val="28"/>
          <w:lang w:val="en-ZA"/>
        </w:rPr>
        <w:t>Tunstall v Steigma</w:t>
      </w:r>
      <w:r w:rsidR="00E71200">
        <w:rPr>
          <w:rFonts w:eastAsia="Calibri"/>
          <w:i/>
          <w:sz w:val="28"/>
          <w:szCs w:val="28"/>
          <w:lang w:val="en-ZA"/>
        </w:rPr>
        <w:t>n</w:t>
      </w:r>
      <w:r w:rsidR="00DB62DA">
        <w:rPr>
          <w:rFonts w:eastAsia="Calibri"/>
          <w:i/>
          <w:sz w:val="28"/>
          <w:szCs w:val="28"/>
          <w:lang w:val="en-ZA"/>
        </w:rPr>
        <w:t>n</w:t>
      </w:r>
      <w:r w:rsidR="00897EF5">
        <w:rPr>
          <w:rFonts w:eastAsia="Calibri"/>
          <w:i/>
          <w:sz w:val="28"/>
          <w:szCs w:val="28"/>
          <w:lang w:val="en-ZA"/>
        </w:rPr>
        <w:t>.</w:t>
      </w:r>
      <w:r w:rsidR="00DB62DA" w:rsidRPr="00E71200">
        <w:rPr>
          <w:rStyle w:val="FootnoteReference"/>
          <w:rFonts w:eastAsia="Calibri"/>
          <w:iCs/>
          <w:sz w:val="28"/>
          <w:szCs w:val="28"/>
          <w:lang w:val="en-ZA"/>
        </w:rPr>
        <w:footnoteReference w:id="32"/>
      </w:r>
      <w:r w:rsidR="00DB62DA">
        <w:rPr>
          <w:rFonts w:eastAsia="Calibri"/>
          <w:i/>
          <w:sz w:val="28"/>
          <w:szCs w:val="28"/>
          <w:lang w:val="en-ZA"/>
        </w:rPr>
        <w:t xml:space="preserve"> </w:t>
      </w:r>
      <w:r w:rsidR="00DB62DA">
        <w:rPr>
          <w:rFonts w:eastAsia="Calibri"/>
          <w:iCs/>
          <w:sz w:val="28"/>
          <w:szCs w:val="28"/>
          <w:lang w:val="en-ZA"/>
        </w:rPr>
        <w:t xml:space="preserve">In that case it was contended that a sole shareholder of a company should be held to occupy premises for the purpose of a business conducted by the company. The Court of Appeal rejected the notion. It </w:t>
      </w:r>
      <w:r w:rsidR="003B174F">
        <w:rPr>
          <w:rFonts w:eastAsia="Calibri"/>
          <w:iCs/>
          <w:sz w:val="28"/>
          <w:szCs w:val="28"/>
          <w:lang w:val="en-ZA"/>
        </w:rPr>
        <w:t>said</w:t>
      </w:r>
      <w:r w:rsidR="001C5147">
        <w:rPr>
          <w:rFonts w:eastAsia="Calibri"/>
          <w:iCs/>
          <w:sz w:val="28"/>
          <w:szCs w:val="28"/>
          <w:lang w:val="en-ZA"/>
        </w:rPr>
        <w:t>:</w:t>
      </w:r>
      <w:r w:rsidR="00DB62DA">
        <w:rPr>
          <w:rFonts w:eastAsia="Calibri"/>
          <w:iCs/>
          <w:sz w:val="28"/>
          <w:szCs w:val="28"/>
          <w:lang w:val="en-ZA"/>
        </w:rPr>
        <w:t xml:space="preserve"> </w:t>
      </w:r>
    </w:p>
    <w:p w14:paraId="0808E577" w14:textId="7AFA43FD" w:rsidR="00DB62DA" w:rsidRPr="00DB62DA" w:rsidRDefault="00DB62DA" w:rsidP="00E5462F">
      <w:pPr>
        <w:pStyle w:val="ListParagraph"/>
        <w:spacing w:line="360" w:lineRule="auto"/>
        <w:ind w:left="0"/>
        <w:jc w:val="both"/>
        <w:rPr>
          <w:rFonts w:eastAsia="Calibri"/>
          <w:iCs/>
          <w:lang w:val="en-ZA"/>
        </w:rPr>
      </w:pPr>
      <w:r>
        <w:rPr>
          <w:rFonts w:eastAsia="Calibri"/>
          <w:iCs/>
          <w:lang w:val="en-ZA"/>
        </w:rPr>
        <w:t xml:space="preserve">‘But the fact remains that she has disposed of her business to a limited company…It is to be assumed that </w:t>
      </w:r>
      <w:r w:rsidR="00E300BF">
        <w:rPr>
          <w:rFonts w:eastAsia="Calibri"/>
          <w:iCs/>
          <w:lang w:val="en-ZA"/>
        </w:rPr>
        <w:t>the landlord in this case</w:t>
      </w:r>
      <w:r>
        <w:rPr>
          <w:rFonts w:eastAsia="Calibri"/>
          <w:iCs/>
          <w:lang w:val="en-ZA"/>
        </w:rPr>
        <w:t xml:space="preserve"> assigned her business to the limited company for some good reason which she considered to be of an advantage to her</w:t>
      </w:r>
      <w:r w:rsidR="003B174F">
        <w:rPr>
          <w:rFonts w:eastAsia="Calibri"/>
          <w:iCs/>
          <w:lang w:val="en-ZA"/>
        </w:rPr>
        <w:t>. She cannot say that in a case of this kind she is entitled to take the benefit of any advantage</w:t>
      </w:r>
      <w:r w:rsidR="00E300BF">
        <w:rPr>
          <w:rFonts w:eastAsia="Calibri"/>
          <w:iCs/>
          <w:lang w:val="en-ZA"/>
        </w:rPr>
        <w:t>s</w:t>
      </w:r>
      <w:r w:rsidR="003B174F">
        <w:rPr>
          <w:rFonts w:eastAsia="Calibri"/>
          <w:iCs/>
          <w:lang w:val="en-ZA"/>
        </w:rPr>
        <w:t xml:space="preserve"> that the formation of the company gave her</w:t>
      </w:r>
      <w:r w:rsidR="00E300BF">
        <w:rPr>
          <w:rFonts w:eastAsia="Calibri"/>
          <w:iCs/>
          <w:lang w:val="en-ZA"/>
        </w:rPr>
        <w:t>,</w:t>
      </w:r>
      <w:r w:rsidR="003B174F">
        <w:rPr>
          <w:rFonts w:eastAsia="Calibri"/>
          <w:iCs/>
          <w:lang w:val="en-ZA"/>
        </w:rPr>
        <w:t xml:space="preserve"> without at the same time accepting the liabilities arising therefrom. She cannot say that she is carrying on the business or intends to carry on the business … and at the same time say that her liability is limited as provided in the Companies Act.’</w:t>
      </w:r>
      <w:r w:rsidR="003B174F">
        <w:rPr>
          <w:rStyle w:val="FootnoteReference"/>
          <w:rFonts w:eastAsia="Calibri"/>
          <w:iCs/>
          <w:lang w:val="en-ZA"/>
        </w:rPr>
        <w:footnoteReference w:id="33"/>
      </w:r>
    </w:p>
    <w:p w14:paraId="4160AC38" w14:textId="77777777" w:rsidR="003B174F" w:rsidRDefault="003B174F" w:rsidP="00E5462F">
      <w:pPr>
        <w:pStyle w:val="ListParagraph"/>
        <w:spacing w:line="360" w:lineRule="auto"/>
        <w:ind w:left="0"/>
        <w:jc w:val="both"/>
        <w:rPr>
          <w:rFonts w:eastAsia="Calibri"/>
          <w:iCs/>
          <w:sz w:val="28"/>
          <w:szCs w:val="28"/>
          <w:lang w:val="en-ZA"/>
        </w:rPr>
      </w:pPr>
    </w:p>
    <w:p w14:paraId="4B70F9D7" w14:textId="544B25B0" w:rsidR="003E4CD7" w:rsidRDefault="00946B45"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883996">
        <w:rPr>
          <w:rFonts w:eastAsia="Calibri"/>
          <w:iCs/>
          <w:sz w:val="28"/>
          <w:szCs w:val="28"/>
          <w:lang w:val="en-ZA"/>
        </w:rPr>
        <w:t>54</w:t>
      </w:r>
      <w:r>
        <w:rPr>
          <w:rFonts w:eastAsia="Calibri"/>
          <w:iCs/>
          <w:sz w:val="28"/>
          <w:szCs w:val="28"/>
          <w:lang w:val="en-ZA"/>
        </w:rPr>
        <w:t>]</w:t>
      </w:r>
      <w:r>
        <w:rPr>
          <w:rFonts w:eastAsia="Calibri"/>
          <w:iCs/>
          <w:sz w:val="28"/>
          <w:szCs w:val="28"/>
          <w:lang w:val="en-ZA"/>
        </w:rPr>
        <w:tab/>
      </w:r>
      <w:r w:rsidR="009F6550">
        <w:rPr>
          <w:rFonts w:eastAsia="Calibri"/>
          <w:iCs/>
          <w:sz w:val="28"/>
          <w:szCs w:val="28"/>
          <w:lang w:val="en-ZA"/>
        </w:rPr>
        <w:t>As I have demonstrated</w:t>
      </w:r>
      <w:r>
        <w:rPr>
          <w:rFonts w:eastAsia="Calibri"/>
          <w:iCs/>
          <w:sz w:val="28"/>
          <w:szCs w:val="28"/>
          <w:lang w:val="en-ZA"/>
        </w:rPr>
        <w:t xml:space="preserve">, there is no scope for the application of </w:t>
      </w:r>
      <w:r w:rsidR="006D031F">
        <w:rPr>
          <w:rFonts w:eastAsia="Calibri"/>
          <w:iCs/>
          <w:sz w:val="28"/>
          <w:szCs w:val="28"/>
          <w:lang w:val="en-ZA"/>
        </w:rPr>
        <w:t xml:space="preserve">the remedy of disregarding the corporate identity, upon the existing principles of the common law, on the facts of this case. What the Butcher Shop seeks is </w:t>
      </w:r>
      <w:r w:rsidR="009F6550">
        <w:rPr>
          <w:rFonts w:eastAsia="Calibri"/>
          <w:iCs/>
          <w:sz w:val="28"/>
          <w:szCs w:val="28"/>
          <w:lang w:val="en-ZA"/>
        </w:rPr>
        <w:t>to disregard, for its own benefit, the separate</w:t>
      </w:r>
      <w:r w:rsidR="006D031F">
        <w:rPr>
          <w:rFonts w:eastAsia="Calibri"/>
          <w:iCs/>
          <w:sz w:val="28"/>
          <w:szCs w:val="28"/>
          <w:lang w:val="en-ZA"/>
        </w:rPr>
        <w:t xml:space="preserve"> corporate personality </w:t>
      </w:r>
      <w:r w:rsidR="00AF5A0A">
        <w:rPr>
          <w:rFonts w:eastAsia="Calibri"/>
          <w:iCs/>
          <w:sz w:val="28"/>
          <w:szCs w:val="28"/>
          <w:lang w:val="en-ZA"/>
        </w:rPr>
        <w:t>of Apoldo</w:t>
      </w:r>
      <w:r w:rsidR="009F6550">
        <w:rPr>
          <w:rFonts w:eastAsia="Calibri"/>
          <w:iCs/>
          <w:sz w:val="28"/>
          <w:szCs w:val="28"/>
          <w:lang w:val="en-ZA"/>
        </w:rPr>
        <w:t xml:space="preserve">, in circumstances where their joint shareholder has </w:t>
      </w:r>
      <w:r w:rsidR="009858EC">
        <w:rPr>
          <w:rFonts w:eastAsia="Calibri"/>
          <w:iCs/>
          <w:sz w:val="28"/>
          <w:szCs w:val="28"/>
          <w:lang w:val="en-ZA"/>
        </w:rPr>
        <w:t xml:space="preserve">deliberately </w:t>
      </w:r>
      <w:r w:rsidR="006075E7">
        <w:rPr>
          <w:rFonts w:eastAsia="Calibri"/>
          <w:iCs/>
          <w:sz w:val="28"/>
          <w:szCs w:val="28"/>
          <w:lang w:val="en-ZA"/>
        </w:rPr>
        <w:t>arranged that</w:t>
      </w:r>
      <w:r w:rsidR="009F6550">
        <w:rPr>
          <w:rFonts w:eastAsia="Calibri"/>
          <w:iCs/>
          <w:sz w:val="28"/>
          <w:szCs w:val="28"/>
          <w:lang w:val="en-ZA"/>
        </w:rPr>
        <w:t xml:space="preserve"> Apoldo operates the restaurant even though the Butcher Shop is the Trust’s </w:t>
      </w:r>
      <w:r w:rsidR="00EC5798">
        <w:rPr>
          <w:rFonts w:eastAsia="Calibri"/>
          <w:iCs/>
          <w:sz w:val="28"/>
          <w:szCs w:val="28"/>
          <w:lang w:val="en-ZA"/>
        </w:rPr>
        <w:t>tenant.</w:t>
      </w:r>
      <w:r w:rsidR="00DB62DA">
        <w:rPr>
          <w:rFonts w:eastAsia="Calibri"/>
          <w:iCs/>
          <w:sz w:val="28"/>
          <w:szCs w:val="28"/>
          <w:lang w:val="en-ZA"/>
        </w:rPr>
        <w:t xml:space="preserve"> </w:t>
      </w:r>
      <w:r w:rsidR="009F6550">
        <w:rPr>
          <w:rFonts w:eastAsia="Calibri"/>
          <w:iCs/>
          <w:sz w:val="28"/>
          <w:szCs w:val="28"/>
          <w:lang w:val="en-ZA"/>
        </w:rPr>
        <w:t>T</w:t>
      </w:r>
      <w:r w:rsidR="00DB62DA">
        <w:rPr>
          <w:rFonts w:eastAsia="Calibri"/>
          <w:iCs/>
          <w:sz w:val="28"/>
          <w:szCs w:val="28"/>
          <w:lang w:val="en-ZA"/>
        </w:rPr>
        <w:t>he common law</w:t>
      </w:r>
      <w:r w:rsidR="009F6550">
        <w:rPr>
          <w:rFonts w:eastAsia="Calibri"/>
          <w:iCs/>
          <w:sz w:val="28"/>
          <w:szCs w:val="28"/>
          <w:lang w:val="en-ZA"/>
        </w:rPr>
        <w:t xml:space="preserve"> does</w:t>
      </w:r>
      <w:r w:rsidR="00DB62DA">
        <w:rPr>
          <w:rFonts w:eastAsia="Calibri"/>
          <w:iCs/>
          <w:sz w:val="28"/>
          <w:szCs w:val="28"/>
          <w:lang w:val="en-ZA"/>
        </w:rPr>
        <w:t xml:space="preserve"> no</w:t>
      </w:r>
      <w:r w:rsidR="009F6550">
        <w:rPr>
          <w:rFonts w:eastAsia="Calibri"/>
          <w:iCs/>
          <w:sz w:val="28"/>
          <w:szCs w:val="28"/>
          <w:lang w:val="en-ZA"/>
        </w:rPr>
        <w:t>t</w:t>
      </w:r>
      <w:r w:rsidR="00DB62DA">
        <w:rPr>
          <w:rFonts w:eastAsia="Calibri"/>
          <w:iCs/>
          <w:sz w:val="28"/>
          <w:szCs w:val="28"/>
          <w:lang w:val="en-ZA"/>
        </w:rPr>
        <w:t xml:space="preserve"> countenance </w:t>
      </w:r>
      <w:r w:rsidR="003B174F">
        <w:rPr>
          <w:rFonts w:eastAsia="Calibri"/>
          <w:iCs/>
          <w:sz w:val="28"/>
          <w:szCs w:val="28"/>
          <w:lang w:val="en-ZA"/>
        </w:rPr>
        <w:t>disregarding corporate identities to allow this to be done.</w:t>
      </w:r>
    </w:p>
    <w:p w14:paraId="1E7A7A98" w14:textId="77777777" w:rsidR="00E71200" w:rsidRDefault="00E71200" w:rsidP="00E5462F">
      <w:pPr>
        <w:pStyle w:val="ListParagraph"/>
        <w:spacing w:line="360" w:lineRule="auto"/>
        <w:ind w:left="0"/>
        <w:jc w:val="both"/>
        <w:rPr>
          <w:rFonts w:eastAsia="Calibri"/>
          <w:b/>
          <w:bCs/>
          <w:iCs/>
          <w:sz w:val="28"/>
          <w:szCs w:val="28"/>
          <w:lang w:val="en-ZA"/>
        </w:rPr>
      </w:pPr>
    </w:p>
    <w:p w14:paraId="32DB6E89" w14:textId="0922FE17" w:rsidR="003E4CD7" w:rsidRPr="003E4CD7" w:rsidRDefault="003E4CD7" w:rsidP="00E5462F">
      <w:pPr>
        <w:pStyle w:val="ListParagraph"/>
        <w:spacing w:line="360" w:lineRule="auto"/>
        <w:ind w:left="0"/>
        <w:jc w:val="both"/>
        <w:rPr>
          <w:rFonts w:eastAsia="Calibri"/>
          <w:b/>
          <w:bCs/>
          <w:iCs/>
          <w:sz w:val="28"/>
          <w:szCs w:val="28"/>
          <w:lang w:val="en-ZA"/>
        </w:rPr>
      </w:pPr>
      <w:r>
        <w:rPr>
          <w:rFonts w:eastAsia="Calibri"/>
          <w:b/>
          <w:bCs/>
          <w:iCs/>
          <w:sz w:val="28"/>
          <w:szCs w:val="28"/>
          <w:lang w:val="en-ZA"/>
        </w:rPr>
        <w:lastRenderedPageBreak/>
        <w:t>The development of the common law</w:t>
      </w:r>
    </w:p>
    <w:p w14:paraId="1695F877" w14:textId="3790216B" w:rsidR="003E4CD7" w:rsidRDefault="003E4CD7"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55</w:t>
      </w:r>
      <w:r>
        <w:rPr>
          <w:rFonts w:eastAsia="Calibri"/>
          <w:iCs/>
          <w:sz w:val="28"/>
          <w:szCs w:val="28"/>
          <w:lang w:val="en-ZA"/>
        </w:rPr>
        <w:t>]</w:t>
      </w:r>
      <w:r>
        <w:rPr>
          <w:rFonts w:eastAsia="Calibri"/>
          <w:iCs/>
          <w:sz w:val="28"/>
          <w:szCs w:val="28"/>
          <w:lang w:val="en-ZA"/>
        </w:rPr>
        <w:tab/>
        <w:t xml:space="preserve">This brings me to the alternative argument advanced by counsel for the Butcher Shop. It was that, in the light of the </w:t>
      </w:r>
      <w:r w:rsidR="00D745A0">
        <w:rPr>
          <w:rFonts w:eastAsia="Calibri"/>
          <w:iCs/>
          <w:sz w:val="28"/>
          <w:szCs w:val="28"/>
          <w:lang w:val="en-ZA"/>
        </w:rPr>
        <w:t>circumstances</w:t>
      </w:r>
      <w:r>
        <w:rPr>
          <w:rFonts w:eastAsia="Calibri"/>
          <w:iCs/>
          <w:sz w:val="28"/>
          <w:szCs w:val="28"/>
          <w:lang w:val="en-ZA"/>
        </w:rPr>
        <w:t xml:space="preserve"> of the case, the existing principles of the common law ought to be developed in order to make available the remedy of piercing the veil </w:t>
      </w:r>
      <w:r w:rsidR="009858EC">
        <w:rPr>
          <w:rFonts w:eastAsia="Calibri"/>
          <w:iCs/>
          <w:sz w:val="28"/>
          <w:szCs w:val="28"/>
          <w:lang w:val="en-ZA"/>
        </w:rPr>
        <w:t>in circumstances such as the present</w:t>
      </w:r>
      <w:r>
        <w:rPr>
          <w:rFonts w:eastAsia="Calibri"/>
          <w:iCs/>
          <w:sz w:val="28"/>
          <w:szCs w:val="28"/>
          <w:lang w:val="en-ZA"/>
        </w:rPr>
        <w:t>.</w:t>
      </w:r>
    </w:p>
    <w:p w14:paraId="254D34E4" w14:textId="1DF2DA5C" w:rsidR="003A6ACF" w:rsidRDefault="003A6ACF" w:rsidP="00E5462F">
      <w:pPr>
        <w:pStyle w:val="ListParagraph"/>
        <w:spacing w:line="360" w:lineRule="auto"/>
        <w:ind w:left="0"/>
        <w:jc w:val="both"/>
        <w:rPr>
          <w:rFonts w:eastAsia="Calibri"/>
          <w:iCs/>
          <w:sz w:val="28"/>
          <w:szCs w:val="28"/>
          <w:lang w:val="en-ZA"/>
        </w:rPr>
      </w:pPr>
    </w:p>
    <w:p w14:paraId="08AFB27F" w14:textId="2EE4D6C1" w:rsidR="003A6ACF" w:rsidRDefault="003A6ACF"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56</w:t>
      </w:r>
      <w:r>
        <w:rPr>
          <w:rFonts w:eastAsia="Calibri"/>
          <w:iCs/>
          <w:sz w:val="28"/>
          <w:szCs w:val="28"/>
          <w:lang w:val="en-ZA"/>
        </w:rPr>
        <w:t>]</w:t>
      </w:r>
      <w:r>
        <w:rPr>
          <w:rFonts w:eastAsia="Calibri"/>
          <w:iCs/>
          <w:sz w:val="28"/>
          <w:szCs w:val="28"/>
          <w:lang w:val="en-ZA"/>
        </w:rPr>
        <w:tab/>
        <w:t xml:space="preserve">The Butcher Shop’s case for the development of the common law was not based upon a claim that an existing common law rule </w:t>
      </w:r>
      <w:r w:rsidR="00774E00">
        <w:rPr>
          <w:rFonts w:eastAsia="Calibri"/>
          <w:iCs/>
          <w:sz w:val="28"/>
          <w:szCs w:val="28"/>
          <w:lang w:val="en-ZA"/>
        </w:rPr>
        <w:t>conflicts with</w:t>
      </w:r>
      <w:r>
        <w:rPr>
          <w:rFonts w:eastAsia="Calibri"/>
          <w:iCs/>
          <w:sz w:val="28"/>
          <w:szCs w:val="28"/>
          <w:lang w:val="en-ZA"/>
        </w:rPr>
        <w:t xml:space="preserve"> a provision of the Constitution. The </w:t>
      </w:r>
      <w:r w:rsidR="00D745A0">
        <w:rPr>
          <w:rFonts w:eastAsia="Calibri"/>
          <w:iCs/>
          <w:sz w:val="28"/>
          <w:szCs w:val="28"/>
          <w:lang w:val="en-ZA"/>
        </w:rPr>
        <w:t xml:space="preserve">injunction to develop the common law arises, instead, in the context of the </w:t>
      </w:r>
      <w:r w:rsidR="00E300BF">
        <w:rPr>
          <w:rFonts w:eastAsia="Calibri"/>
          <w:iCs/>
          <w:sz w:val="28"/>
          <w:szCs w:val="28"/>
          <w:lang w:val="en-ZA"/>
        </w:rPr>
        <w:t>c</w:t>
      </w:r>
      <w:r w:rsidR="00D745A0">
        <w:rPr>
          <w:rFonts w:eastAsia="Calibri"/>
          <w:iCs/>
          <w:sz w:val="28"/>
          <w:szCs w:val="28"/>
          <w:lang w:val="en-ZA"/>
        </w:rPr>
        <w:t>ourt’s inherent jurisdiction to do so, in the interests of justice.</w:t>
      </w:r>
      <w:r w:rsidR="00D745A0">
        <w:rPr>
          <w:rStyle w:val="FootnoteReference"/>
          <w:rFonts w:eastAsia="Calibri"/>
          <w:iCs/>
          <w:sz w:val="28"/>
          <w:szCs w:val="28"/>
          <w:lang w:val="en-ZA"/>
        </w:rPr>
        <w:footnoteReference w:id="34"/>
      </w:r>
      <w:r w:rsidR="00D745A0">
        <w:rPr>
          <w:rFonts w:eastAsia="Calibri"/>
          <w:iCs/>
          <w:sz w:val="28"/>
          <w:szCs w:val="28"/>
          <w:lang w:val="en-ZA"/>
        </w:rPr>
        <w:t xml:space="preserve"> Once the </w:t>
      </w:r>
      <w:r w:rsidR="00E300BF">
        <w:rPr>
          <w:rFonts w:eastAsia="Calibri"/>
          <w:iCs/>
          <w:sz w:val="28"/>
          <w:szCs w:val="28"/>
          <w:lang w:val="en-ZA"/>
        </w:rPr>
        <w:t>c</w:t>
      </w:r>
      <w:r w:rsidR="00D745A0">
        <w:rPr>
          <w:rFonts w:eastAsia="Calibri"/>
          <w:iCs/>
          <w:sz w:val="28"/>
          <w:szCs w:val="28"/>
          <w:lang w:val="en-ZA"/>
        </w:rPr>
        <w:t>ourt is engaged in developing the common law, it is enjoined to do so in conformity with the Constitution and in a manner that promotes the spirit, purport and objects of the Bill of Rights.</w:t>
      </w:r>
      <w:r w:rsidR="00D745A0">
        <w:rPr>
          <w:rStyle w:val="FootnoteReference"/>
          <w:rFonts w:eastAsia="Calibri"/>
          <w:iCs/>
          <w:sz w:val="28"/>
          <w:szCs w:val="28"/>
          <w:lang w:val="en-ZA"/>
        </w:rPr>
        <w:footnoteReference w:id="35"/>
      </w:r>
    </w:p>
    <w:p w14:paraId="13736992" w14:textId="4DA5B492" w:rsidR="00774E00" w:rsidRDefault="00774E00" w:rsidP="00E5462F">
      <w:pPr>
        <w:pStyle w:val="ListParagraph"/>
        <w:spacing w:line="360" w:lineRule="auto"/>
        <w:ind w:left="0"/>
        <w:jc w:val="both"/>
        <w:rPr>
          <w:rFonts w:eastAsia="Calibri"/>
          <w:iCs/>
          <w:sz w:val="28"/>
          <w:szCs w:val="28"/>
          <w:lang w:val="en-ZA"/>
        </w:rPr>
      </w:pPr>
    </w:p>
    <w:p w14:paraId="690D1729" w14:textId="5A980E52" w:rsidR="00774E00" w:rsidRDefault="00774E00"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57</w:t>
      </w:r>
      <w:r>
        <w:rPr>
          <w:rFonts w:eastAsia="Calibri"/>
          <w:iCs/>
          <w:sz w:val="28"/>
          <w:szCs w:val="28"/>
          <w:lang w:val="en-ZA"/>
        </w:rPr>
        <w:t>]</w:t>
      </w:r>
      <w:r>
        <w:rPr>
          <w:rFonts w:eastAsia="Calibri"/>
          <w:iCs/>
          <w:sz w:val="28"/>
          <w:szCs w:val="28"/>
          <w:lang w:val="en-ZA"/>
        </w:rPr>
        <w:tab/>
      </w:r>
      <w:r w:rsidR="00431709">
        <w:rPr>
          <w:rFonts w:eastAsia="Calibri"/>
          <w:iCs/>
          <w:sz w:val="28"/>
          <w:szCs w:val="28"/>
          <w:lang w:val="en-ZA"/>
        </w:rPr>
        <w:t xml:space="preserve">The first difficulty which confronts the Butcher Shop is that, apart from contentions in argument, no proper case </w:t>
      </w:r>
      <w:r w:rsidR="003F5EE0">
        <w:rPr>
          <w:rFonts w:eastAsia="Calibri"/>
          <w:iCs/>
          <w:sz w:val="28"/>
          <w:szCs w:val="28"/>
          <w:lang w:val="en-ZA"/>
        </w:rPr>
        <w:t xml:space="preserve">has been </w:t>
      </w:r>
      <w:r w:rsidR="00431709">
        <w:rPr>
          <w:rFonts w:eastAsia="Calibri"/>
          <w:iCs/>
          <w:sz w:val="28"/>
          <w:szCs w:val="28"/>
          <w:lang w:val="en-ZA"/>
        </w:rPr>
        <w:t xml:space="preserve">made out upon which </w:t>
      </w:r>
      <w:r w:rsidR="003F5EE0">
        <w:rPr>
          <w:rFonts w:eastAsia="Calibri"/>
          <w:iCs/>
          <w:sz w:val="28"/>
          <w:szCs w:val="28"/>
          <w:lang w:val="en-ZA"/>
        </w:rPr>
        <w:t xml:space="preserve">the Court can engage in </w:t>
      </w:r>
      <w:r w:rsidR="006945BD">
        <w:rPr>
          <w:rFonts w:eastAsia="Calibri"/>
          <w:iCs/>
          <w:sz w:val="28"/>
          <w:szCs w:val="28"/>
          <w:lang w:val="en-ZA"/>
        </w:rPr>
        <w:t>the</w:t>
      </w:r>
      <w:r w:rsidR="003F5EE0">
        <w:rPr>
          <w:rFonts w:eastAsia="Calibri"/>
          <w:iCs/>
          <w:sz w:val="28"/>
          <w:szCs w:val="28"/>
          <w:lang w:val="en-ZA"/>
        </w:rPr>
        <w:t xml:space="preserve"> development of the common law in a constitutional context. In </w:t>
      </w:r>
      <w:r w:rsidR="003F5EE0">
        <w:rPr>
          <w:rFonts w:eastAsia="Calibri"/>
          <w:i/>
          <w:sz w:val="28"/>
          <w:szCs w:val="28"/>
          <w:lang w:val="en-ZA"/>
        </w:rPr>
        <w:t>MEC for Health and Social Development, Gauteng v D Z obo WZ</w:t>
      </w:r>
      <w:r w:rsidR="00E71200">
        <w:rPr>
          <w:rFonts w:eastAsia="Calibri"/>
          <w:iCs/>
          <w:sz w:val="28"/>
          <w:szCs w:val="28"/>
          <w:lang w:val="en-ZA"/>
        </w:rPr>
        <w:t xml:space="preserve">, </w:t>
      </w:r>
      <w:r w:rsidR="003F5EE0">
        <w:rPr>
          <w:rFonts w:eastAsia="Calibri"/>
          <w:iCs/>
          <w:sz w:val="28"/>
          <w:szCs w:val="28"/>
          <w:lang w:val="en-ZA"/>
        </w:rPr>
        <w:t xml:space="preserve">the approach to </w:t>
      </w:r>
      <w:r w:rsidR="00E300BF">
        <w:rPr>
          <w:rFonts w:eastAsia="Calibri"/>
          <w:iCs/>
          <w:sz w:val="28"/>
          <w:szCs w:val="28"/>
          <w:lang w:val="en-ZA"/>
        </w:rPr>
        <w:t xml:space="preserve">the </w:t>
      </w:r>
      <w:r w:rsidR="003F5EE0">
        <w:rPr>
          <w:rFonts w:eastAsia="Calibri"/>
          <w:iCs/>
          <w:sz w:val="28"/>
          <w:szCs w:val="28"/>
          <w:lang w:val="en-ZA"/>
        </w:rPr>
        <w:t>development of the common law in the context of s 39(2) of the Constitution was held to require that</w:t>
      </w:r>
      <w:r w:rsidR="00E300BF">
        <w:rPr>
          <w:rFonts w:eastAsia="Calibri"/>
          <w:iCs/>
          <w:sz w:val="28"/>
          <w:szCs w:val="28"/>
          <w:lang w:val="en-ZA"/>
        </w:rPr>
        <w:t>:</w:t>
      </w:r>
    </w:p>
    <w:p w14:paraId="677DD7BF" w14:textId="5E895D66" w:rsidR="003F5EE0" w:rsidRDefault="003F5EE0" w:rsidP="00E5462F">
      <w:pPr>
        <w:pStyle w:val="ListParagraph"/>
        <w:spacing w:line="360" w:lineRule="auto"/>
        <w:ind w:left="0"/>
        <w:jc w:val="both"/>
        <w:rPr>
          <w:rFonts w:eastAsia="Calibri"/>
          <w:iCs/>
          <w:lang w:val="en-ZA"/>
        </w:rPr>
      </w:pPr>
      <w:r>
        <w:rPr>
          <w:rFonts w:eastAsia="Calibri"/>
          <w:iCs/>
          <w:lang w:val="en-ZA"/>
        </w:rPr>
        <w:t xml:space="preserve">‘… </w:t>
      </w:r>
      <w:r w:rsidR="00E300BF">
        <w:rPr>
          <w:rFonts w:eastAsia="Calibri"/>
          <w:iCs/>
          <w:lang w:val="en-ZA"/>
        </w:rPr>
        <w:t>[a]</w:t>
      </w:r>
      <w:r>
        <w:rPr>
          <w:rFonts w:eastAsia="Calibri"/>
          <w:iCs/>
          <w:lang w:val="en-ZA"/>
        </w:rPr>
        <w:t xml:space="preserve"> court must: (1) determine what the existing common</w:t>
      </w:r>
      <w:r w:rsidR="00E300BF">
        <w:rPr>
          <w:rFonts w:eastAsia="Calibri"/>
          <w:iCs/>
          <w:lang w:val="en-ZA"/>
        </w:rPr>
        <w:t>-</w:t>
      </w:r>
      <w:r>
        <w:rPr>
          <w:rFonts w:eastAsia="Calibri"/>
          <w:iCs/>
          <w:lang w:val="en-ZA"/>
        </w:rPr>
        <w:t>law position is; (2) consider its underlying rationale; (3) enquire whether the rule offends s 39(2) of the Constitution; (4) if it does so offend, consider how development in accordance with s 39(2) ought to take place; and (5) consider the wider consequences of the proposed change on the relevant area of the law.’</w:t>
      </w:r>
      <w:r w:rsidR="00AA2A3E" w:rsidRPr="00E71200">
        <w:rPr>
          <w:rStyle w:val="FootnoteReference"/>
          <w:rFonts w:eastAsia="Calibri"/>
          <w:iCs/>
          <w:sz w:val="28"/>
          <w:szCs w:val="28"/>
          <w:lang w:val="en-ZA"/>
        </w:rPr>
        <w:footnoteReference w:id="36"/>
      </w:r>
    </w:p>
    <w:p w14:paraId="1D6EB9D0" w14:textId="58C402FA" w:rsidR="002940C8" w:rsidRDefault="002940C8" w:rsidP="00E5462F">
      <w:pPr>
        <w:pStyle w:val="ListParagraph"/>
        <w:spacing w:line="360" w:lineRule="auto"/>
        <w:ind w:left="0"/>
        <w:jc w:val="both"/>
        <w:rPr>
          <w:rFonts w:eastAsia="Calibri"/>
          <w:iCs/>
          <w:sz w:val="28"/>
          <w:szCs w:val="28"/>
          <w:lang w:val="en-ZA"/>
        </w:rPr>
      </w:pPr>
    </w:p>
    <w:p w14:paraId="5F462DAC" w14:textId="0D81EFE4" w:rsidR="002940C8" w:rsidRDefault="002940C8" w:rsidP="00E5462F">
      <w:pPr>
        <w:pStyle w:val="ListParagraph"/>
        <w:spacing w:line="360" w:lineRule="auto"/>
        <w:ind w:left="0"/>
        <w:jc w:val="both"/>
        <w:rPr>
          <w:rFonts w:eastAsia="Calibri"/>
          <w:iCs/>
          <w:sz w:val="28"/>
          <w:szCs w:val="28"/>
          <w:lang w:val="en-ZA"/>
        </w:rPr>
      </w:pPr>
      <w:r>
        <w:rPr>
          <w:rFonts w:eastAsia="Calibri"/>
          <w:iCs/>
          <w:sz w:val="28"/>
          <w:szCs w:val="28"/>
          <w:lang w:val="en-ZA"/>
        </w:rPr>
        <w:lastRenderedPageBreak/>
        <w:t>[</w:t>
      </w:r>
      <w:r w:rsidR="00EC5798">
        <w:rPr>
          <w:rFonts w:eastAsia="Calibri"/>
          <w:iCs/>
          <w:sz w:val="28"/>
          <w:szCs w:val="28"/>
          <w:lang w:val="en-ZA"/>
        </w:rPr>
        <w:t>58</w:t>
      </w:r>
      <w:r>
        <w:rPr>
          <w:rFonts w:eastAsia="Calibri"/>
          <w:iCs/>
          <w:sz w:val="28"/>
          <w:szCs w:val="28"/>
          <w:lang w:val="en-ZA"/>
        </w:rPr>
        <w:t>]</w:t>
      </w:r>
      <w:r>
        <w:rPr>
          <w:rFonts w:eastAsia="Calibri"/>
          <w:iCs/>
          <w:sz w:val="28"/>
          <w:szCs w:val="28"/>
          <w:lang w:val="en-ZA"/>
        </w:rPr>
        <w:tab/>
        <w:t xml:space="preserve">The argument for </w:t>
      </w:r>
      <w:r w:rsidR="006945BD">
        <w:rPr>
          <w:rFonts w:eastAsia="Calibri"/>
          <w:iCs/>
          <w:sz w:val="28"/>
          <w:szCs w:val="28"/>
          <w:lang w:val="en-ZA"/>
        </w:rPr>
        <w:t>the</w:t>
      </w:r>
      <w:r>
        <w:rPr>
          <w:rFonts w:eastAsia="Calibri"/>
          <w:iCs/>
          <w:sz w:val="28"/>
          <w:szCs w:val="28"/>
          <w:lang w:val="en-ZA"/>
        </w:rPr>
        <w:t xml:space="preserve"> development of the common law was premised upon the particular facts of the case. No general policy considerations were raised as being a conceivable basis for </w:t>
      </w:r>
      <w:r w:rsidR="006945BD">
        <w:rPr>
          <w:rFonts w:eastAsia="Calibri"/>
          <w:iCs/>
          <w:sz w:val="28"/>
          <w:szCs w:val="28"/>
          <w:lang w:val="en-ZA"/>
        </w:rPr>
        <w:t>such</w:t>
      </w:r>
      <w:r>
        <w:rPr>
          <w:rFonts w:eastAsia="Calibri"/>
          <w:iCs/>
          <w:sz w:val="28"/>
          <w:szCs w:val="28"/>
          <w:lang w:val="en-ZA"/>
        </w:rPr>
        <w:t xml:space="preserve"> development. The proposition was that the common law ought to recognise the </w:t>
      </w:r>
      <w:r w:rsidR="006945BD">
        <w:rPr>
          <w:rFonts w:eastAsia="Calibri"/>
          <w:iCs/>
          <w:sz w:val="28"/>
          <w:szCs w:val="28"/>
          <w:lang w:val="en-ZA"/>
        </w:rPr>
        <w:t>availability</w:t>
      </w:r>
      <w:r>
        <w:rPr>
          <w:rFonts w:eastAsia="Calibri"/>
          <w:iCs/>
          <w:sz w:val="28"/>
          <w:szCs w:val="28"/>
          <w:lang w:val="en-ZA"/>
        </w:rPr>
        <w:t xml:space="preserve"> of the remedy of disregarding corporate identity as a generally available equitable remedy</w:t>
      </w:r>
      <w:r w:rsidR="00EE230E">
        <w:rPr>
          <w:rFonts w:eastAsia="Calibri"/>
          <w:iCs/>
          <w:sz w:val="28"/>
          <w:szCs w:val="28"/>
          <w:lang w:val="en-ZA"/>
        </w:rPr>
        <w:t xml:space="preserve"> to meet the exigencies of this case. </w:t>
      </w:r>
      <w:r w:rsidR="00B62AEC">
        <w:rPr>
          <w:rFonts w:eastAsia="Calibri"/>
          <w:iCs/>
          <w:sz w:val="28"/>
          <w:szCs w:val="28"/>
          <w:lang w:val="en-ZA"/>
        </w:rPr>
        <w:t>The proposition</w:t>
      </w:r>
      <w:r w:rsidR="00EE230E">
        <w:rPr>
          <w:rFonts w:eastAsia="Calibri"/>
          <w:iCs/>
          <w:sz w:val="28"/>
          <w:szCs w:val="28"/>
          <w:lang w:val="en-ZA"/>
        </w:rPr>
        <w:t xml:space="preserve"> would require this </w:t>
      </w:r>
      <w:r w:rsidR="006945BD">
        <w:rPr>
          <w:rFonts w:eastAsia="Calibri"/>
          <w:iCs/>
          <w:sz w:val="28"/>
          <w:szCs w:val="28"/>
          <w:lang w:val="en-ZA"/>
        </w:rPr>
        <w:t>C</w:t>
      </w:r>
      <w:r w:rsidR="00EE230E">
        <w:rPr>
          <w:rFonts w:eastAsia="Calibri"/>
          <w:iCs/>
          <w:sz w:val="28"/>
          <w:szCs w:val="28"/>
          <w:lang w:val="en-ZA"/>
        </w:rPr>
        <w:t xml:space="preserve">ourt </w:t>
      </w:r>
      <w:r w:rsidR="00EC5798">
        <w:rPr>
          <w:rFonts w:eastAsia="Calibri"/>
          <w:iCs/>
          <w:sz w:val="28"/>
          <w:szCs w:val="28"/>
          <w:lang w:val="en-ZA"/>
        </w:rPr>
        <w:t xml:space="preserve">to </w:t>
      </w:r>
      <w:r w:rsidR="00EE230E">
        <w:rPr>
          <w:rFonts w:eastAsia="Calibri"/>
          <w:iCs/>
          <w:sz w:val="28"/>
          <w:szCs w:val="28"/>
          <w:lang w:val="en-ZA"/>
        </w:rPr>
        <w:t>hold:</w:t>
      </w:r>
    </w:p>
    <w:p w14:paraId="0E25F5CE" w14:textId="56C2A53C" w:rsidR="00EE230E" w:rsidRDefault="00EE230E" w:rsidP="00E5462F">
      <w:pPr>
        <w:pStyle w:val="ListParagraph"/>
        <w:spacing w:line="360" w:lineRule="auto"/>
        <w:ind w:left="0"/>
        <w:jc w:val="both"/>
        <w:rPr>
          <w:rFonts w:eastAsia="Calibri"/>
          <w:iCs/>
          <w:sz w:val="28"/>
          <w:szCs w:val="28"/>
          <w:lang w:val="en-ZA"/>
        </w:rPr>
      </w:pPr>
      <w:r>
        <w:rPr>
          <w:rFonts w:eastAsia="Calibri"/>
          <w:iCs/>
          <w:sz w:val="28"/>
          <w:szCs w:val="28"/>
          <w:lang w:val="en-ZA"/>
        </w:rPr>
        <w:t>(a)</w:t>
      </w:r>
      <w:r w:rsidR="00155D3A">
        <w:rPr>
          <w:rFonts w:eastAsia="Calibri"/>
          <w:iCs/>
          <w:sz w:val="28"/>
          <w:szCs w:val="28"/>
          <w:lang w:val="en-ZA"/>
        </w:rPr>
        <w:t xml:space="preserve"> </w:t>
      </w:r>
      <w:r>
        <w:rPr>
          <w:rFonts w:eastAsia="Calibri"/>
          <w:iCs/>
          <w:sz w:val="28"/>
          <w:szCs w:val="28"/>
          <w:lang w:val="en-ZA"/>
        </w:rPr>
        <w:t>that our law accepts that</w:t>
      </w:r>
      <w:r w:rsidR="006945BD">
        <w:rPr>
          <w:rFonts w:eastAsia="Calibri"/>
          <w:iCs/>
          <w:sz w:val="28"/>
          <w:szCs w:val="28"/>
          <w:lang w:val="en-ZA"/>
        </w:rPr>
        <w:t xml:space="preserve"> </w:t>
      </w:r>
      <w:r>
        <w:rPr>
          <w:rFonts w:eastAsia="Calibri"/>
          <w:iCs/>
          <w:sz w:val="28"/>
          <w:szCs w:val="28"/>
          <w:lang w:val="en-ZA"/>
        </w:rPr>
        <w:t>the courts will pierce the corporate veil in the interests of justice</w:t>
      </w:r>
      <w:r w:rsidR="006945BD">
        <w:rPr>
          <w:rFonts w:eastAsia="Calibri"/>
          <w:iCs/>
          <w:sz w:val="28"/>
          <w:szCs w:val="28"/>
          <w:lang w:val="en-ZA"/>
        </w:rPr>
        <w:t>.</w:t>
      </w:r>
    </w:p>
    <w:p w14:paraId="058B9621" w14:textId="2509287C" w:rsidR="00EE230E" w:rsidRDefault="00EE230E" w:rsidP="00E5462F">
      <w:pPr>
        <w:pStyle w:val="ListParagraph"/>
        <w:spacing w:line="360" w:lineRule="auto"/>
        <w:ind w:left="0"/>
        <w:jc w:val="both"/>
        <w:rPr>
          <w:rFonts w:eastAsia="Calibri"/>
          <w:iCs/>
          <w:sz w:val="28"/>
          <w:szCs w:val="28"/>
          <w:lang w:val="en-ZA"/>
        </w:rPr>
      </w:pPr>
      <w:r>
        <w:rPr>
          <w:rFonts w:eastAsia="Calibri"/>
          <w:iCs/>
          <w:sz w:val="28"/>
          <w:szCs w:val="28"/>
          <w:lang w:val="en-ZA"/>
        </w:rPr>
        <w:t>(b)</w:t>
      </w:r>
      <w:r w:rsidR="00155D3A">
        <w:rPr>
          <w:rFonts w:eastAsia="Calibri"/>
          <w:iCs/>
          <w:sz w:val="28"/>
          <w:szCs w:val="28"/>
          <w:lang w:val="en-ZA"/>
        </w:rPr>
        <w:t xml:space="preserve"> </w:t>
      </w:r>
      <w:r>
        <w:rPr>
          <w:rFonts w:eastAsia="Calibri"/>
          <w:iCs/>
          <w:sz w:val="28"/>
          <w:szCs w:val="28"/>
          <w:lang w:val="en-ZA"/>
        </w:rPr>
        <w:t xml:space="preserve">that the remedy is available even in circumstances where the use of a corporate personality involved no misuse, abuse, or other form of unconscionable </w:t>
      </w:r>
      <w:r w:rsidR="00DE3F8C">
        <w:rPr>
          <w:rFonts w:eastAsia="Calibri"/>
          <w:iCs/>
          <w:sz w:val="28"/>
          <w:szCs w:val="28"/>
          <w:lang w:val="en-ZA"/>
        </w:rPr>
        <w:t>conduct.</w:t>
      </w:r>
    </w:p>
    <w:p w14:paraId="74445754" w14:textId="39804F06" w:rsidR="00EE230E" w:rsidRDefault="00EE230E" w:rsidP="00E5462F">
      <w:pPr>
        <w:pStyle w:val="ListParagraph"/>
        <w:spacing w:line="360" w:lineRule="auto"/>
        <w:ind w:left="0"/>
        <w:jc w:val="both"/>
        <w:rPr>
          <w:rFonts w:eastAsia="Calibri"/>
          <w:iCs/>
          <w:sz w:val="28"/>
          <w:szCs w:val="28"/>
          <w:lang w:val="en-ZA"/>
        </w:rPr>
      </w:pPr>
      <w:r>
        <w:rPr>
          <w:rFonts w:eastAsia="Calibri"/>
          <w:iCs/>
          <w:sz w:val="28"/>
          <w:szCs w:val="28"/>
          <w:lang w:val="en-ZA"/>
        </w:rPr>
        <w:t>(c)</w:t>
      </w:r>
      <w:r w:rsidR="00155D3A">
        <w:rPr>
          <w:rFonts w:eastAsia="Calibri"/>
          <w:iCs/>
          <w:sz w:val="28"/>
          <w:szCs w:val="28"/>
          <w:lang w:val="en-ZA"/>
        </w:rPr>
        <w:t xml:space="preserve"> </w:t>
      </w:r>
      <w:r>
        <w:rPr>
          <w:rFonts w:eastAsia="Calibri"/>
          <w:iCs/>
          <w:sz w:val="28"/>
          <w:szCs w:val="28"/>
          <w:lang w:val="en-ZA"/>
        </w:rPr>
        <w:t xml:space="preserve">that a court may disregard the existence of a separate legal personality </w:t>
      </w:r>
      <w:r w:rsidR="0097133B">
        <w:rPr>
          <w:rFonts w:eastAsia="Calibri"/>
          <w:iCs/>
          <w:sz w:val="28"/>
          <w:szCs w:val="28"/>
          <w:lang w:val="en-ZA"/>
        </w:rPr>
        <w:t xml:space="preserve">in order to confer upon </w:t>
      </w:r>
      <w:r w:rsidR="006945BD">
        <w:rPr>
          <w:rFonts w:eastAsia="Calibri"/>
          <w:iCs/>
          <w:sz w:val="28"/>
          <w:szCs w:val="28"/>
          <w:lang w:val="en-ZA"/>
        </w:rPr>
        <w:t>a third</w:t>
      </w:r>
      <w:r w:rsidR="0097133B">
        <w:rPr>
          <w:rFonts w:eastAsia="Calibri"/>
          <w:iCs/>
          <w:sz w:val="28"/>
          <w:szCs w:val="28"/>
          <w:lang w:val="en-ZA"/>
        </w:rPr>
        <w:t xml:space="preserve"> party</w:t>
      </w:r>
      <w:r w:rsidR="006945BD">
        <w:rPr>
          <w:rFonts w:eastAsia="Calibri"/>
          <w:iCs/>
          <w:sz w:val="28"/>
          <w:szCs w:val="28"/>
          <w:lang w:val="en-ZA"/>
        </w:rPr>
        <w:t xml:space="preserve">, who is not a shareholder </w:t>
      </w:r>
      <w:r w:rsidR="0097133B">
        <w:rPr>
          <w:rFonts w:eastAsia="Calibri"/>
          <w:iCs/>
          <w:sz w:val="28"/>
          <w:szCs w:val="28"/>
          <w:lang w:val="en-ZA"/>
        </w:rPr>
        <w:t xml:space="preserve">of the corporate entity, rights which vest in the corporate </w:t>
      </w:r>
      <w:r w:rsidR="00DE3F8C">
        <w:rPr>
          <w:rFonts w:eastAsia="Calibri"/>
          <w:iCs/>
          <w:sz w:val="28"/>
          <w:szCs w:val="28"/>
          <w:lang w:val="en-ZA"/>
        </w:rPr>
        <w:t>entity</w:t>
      </w:r>
      <w:r w:rsidR="0097133B">
        <w:rPr>
          <w:rFonts w:eastAsia="Calibri"/>
          <w:iCs/>
          <w:sz w:val="28"/>
          <w:szCs w:val="28"/>
          <w:lang w:val="en-ZA"/>
        </w:rPr>
        <w:t xml:space="preserve"> so disregarded.</w:t>
      </w:r>
    </w:p>
    <w:p w14:paraId="0CE6A77C" w14:textId="60372306" w:rsidR="006945BD" w:rsidRDefault="006945BD" w:rsidP="00E5462F">
      <w:pPr>
        <w:pStyle w:val="ListParagraph"/>
        <w:spacing w:line="360" w:lineRule="auto"/>
        <w:ind w:left="0"/>
        <w:jc w:val="both"/>
        <w:rPr>
          <w:rFonts w:eastAsia="Calibri"/>
          <w:iCs/>
          <w:sz w:val="28"/>
          <w:szCs w:val="28"/>
          <w:lang w:val="en-ZA"/>
        </w:rPr>
      </w:pPr>
      <w:r>
        <w:rPr>
          <w:rFonts w:eastAsia="Calibri"/>
          <w:iCs/>
          <w:sz w:val="28"/>
          <w:szCs w:val="28"/>
          <w:lang w:val="en-ZA"/>
        </w:rPr>
        <w:t>(d)</w:t>
      </w:r>
      <w:r w:rsidR="00155D3A">
        <w:rPr>
          <w:rFonts w:eastAsia="Calibri"/>
          <w:iCs/>
          <w:sz w:val="28"/>
          <w:szCs w:val="28"/>
          <w:lang w:val="en-ZA"/>
        </w:rPr>
        <w:t xml:space="preserve"> </w:t>
      </w:r>
      <w:r>
        <w:rPr>
          <w:rFonts w:eastAsia="Calibri"/>
          <w:iCs/>
          <w:sz w:val="28"/>
          <w:szCs w:val="28"/>
          <w:lang w:val="en-ZA"/>
        </w:rPr>
        <w:t xml:space="preserve">that it may do so even if the corporate </w:t>
      </w:r>
      <w:r w:rsidR="000A3FCE">
        <w:rPr>
          <w:rFonts w:eastAsia="Calibri"/>
          <w:iCs/>
          <w:sz w:val="28"/>
          <w:szCs w:val="28"/>
          <w:lang w:val="en-ZA"/>
        </w:rPr>
        <w:t>entity</w:t>
      </w:r>
      <w:r>
        <w:rPr>
          <w:rFonts w:eastAsia="Calibri"/>
          <w:iCs/>
          <w:sz w:val="28"/>
          <w:szCs w:val="28"/>
          <w:lang w:val="en-ZA"/>
        </w:rPr>
        <w:t xml:space="preserve"> whose personality is to be disregarded and its shareholder are not </w:t>
      </w:r>
      <w:r w:rsidR="000A3FCE">
        <w:rPr>
          <w:rFonts w:eastAsia="Calibri"/>
          <w:iCs/>
          <w:sz w:val="28"/>
          <w:szCs w:val="28"/>
          <w:lang w:val="en-ZA"/>
        </w:rPr>
        <w:t>before the court.</w:t>
      </w:r>
    </w:p>
    <w:p w14:paraId="5BB5366E" w14:textId="51F5F29A" w:rsidR="0097133B" w:rsidRDefault="0097133B" w:rsidP="00E5462F">
      <w:pPr>
        <w:pStyle w:val="ListParagraph"/>
        <w:spacing w:line="360" w:lineRule="auto"/>
        <w:ind w:left="0"/>
        <w:jc w:val="both"/>
        <w:rPr>
          <w:rFonts w:eastAsia="Calibri"/>
          <w:iCs/>
          <w:sz w:val="28"/>
          <w:szCs w:val="28"/>
          <w:lang w:val="en-ZA"/>
        </w:rPr>
      </w:pPr>
    </w:p>
    <w:p w14:paraId="6368D336" w14:textId="57940E26" w:rsidR="0097133B" w:rsidRDefault="0097133B"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59</w:t>
      </w:r>
      <w:r>
        <w:rPr>
          <w:rFonts w:eastAsia="Calibri"/>
          <w:iCs/>
          <w:sz w:val="28"/>
          <w:szCs w:val="28"/>
          <w:lang w:val="en-ZA"/>
        </w:rPr>
        <w:t>]</w:t>
      </w:r>
      <w:r>
        <w:rPr>
          <w:rFonts w:eastAsia="Calibri"/>
          <w:iCs/>
          <w:sz w:val="28"/>
          <w:szCs w:val="28"/>
          <w:lang w:val="en-ZA"/>
        </w:rPr>
        <w:tab/>
        <w:t>Such development is, in truth, not a development of the common law so much as an abrogation of the principles of the common law, long accepted by the courts of this country; duly recognised i</w:t>
      </w:r>
      <w:r w:rsidR="00EC5798">
        <w:rPr>
          <w:rFonts w:eastAsia="Calibri"/>
          <w:iCs/>
          <w:sz w:val="28"/>
          <w:szCs w:val="28"/>
          <w:lang w:val="en-ZA"/>
        </w:rPr>
        <w:t>n</w:t>
      </w:r>
      <w:r>
        <w:rPr>
          <w:rFonts w:eastAsia="Calibri"/>
          <w:iCs/>
          <w:sz w:val="28"/>
          <w:szCs w:val="28"/>
          <w:lang w:val="en-ZA"/>
        </w:rPr>
        <w:t xml:space="preserve"> statutory form by s 20(9) of the Companies Act; and consonant with legal principles applied in international </w:t>
      </w:r>
      <w:r w:rsidR="002A31DC">
        <w:rPr>
          <w:rFonts w:eastAsia="Calibri"/>
          <w:iCs/>
          <w:sz w:val="28"/>
          <w:szCs w:val="28"/>
          <w:lang w:val="en-ZA"/>
        </w:rPr>
        <w:t>jurisdictions</w:t>
      </w:r>
      <w:r>
        <w:rPr>
          <w:rFonts w:eastAsia="Calibri"/>
          <w:iCs/>
          <w:sz w:val="28"/>
          <w:szCs w:val="28"/>
          <w:lang w:val="en-ZA"/>
        </w:rPr>
        <w:t>.</w:t>
      </w:r>
    </w:p>
    <w:p w14:paraId="4279BA33" w14:textId="52E904FA" w:rsidR="0097133B" w:rsidRDefault="0097133B" w:rsidP="00E5462F">
      <w:pPr>
        <w:pStyle w:val="ListParagraph"/>
        <w:spacing w:line="360" w:lineRule="auto"/>
        <w:ind w:left="0"/>
        <w:jc w:val="both"/>
        <w:rPr>
          <w:rFonts w:eastAsia="Calibri"/>
          <w:iCs/>
          <w:sz w:val="28"/>
          <w:szCs w:val="28"/>
          <w:lang w:val="en-ZA"/>
        </w:rPr>
      </w:pPr>
    </w:p>
    <w:p w14:paraId="5070CB7A" w14:textId="08CBCE41" w:rsidR="0097133B" w:rsidRDefault="0097133B"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6</w:t>
      </w:r>
      <w:r w:rsidR="00EC5798">
        <w:rPr>
          <w:rFonts w:eastAsia="Calibri"/>
          <w:iCs/>
          <w:sz w:val="28"/>
          <w:szCs w:val="28"/>
          <w:lang w:val="en-ZA"/>
        </w:rPr>
        <w:t>0</w:t>
      </w:r>
      <w:r>
        <w:rPr>
          <w:rFonts w:eastAsia="Calibri"/>
          <w:iCs/>
          <w:sz w:val="28"/>
          <w:szCs w:val="28"/>
          <w:lang w:val="en-ZA"/>
        </w:rPr>
        <w:t>]</w:t>
      </w:r>
      <w:r>
        <w:rPr>
          <w:rFonts w:eastAsia="Calibri"/>
          <w:iCs/>
          <w:sz w:val="28"/>
          <w:szCs w:val="28"/>
          <w:lang w:val="en-ZA"/>
        </w:rPr>
        <w:tab/>
        <w:t xml:space="preserve">The existence and effect of s 20(9) of the Companies Act cannot be overemphasised. It was introduced to the Companies Act by an amendment effected in 2011. As explained earlier in this judgment, the section does not abrogate or replace the common law. It supplements the common law. The judgment in </w:t>
      </w:r>
      <w:r>
        <w:rPr>
          <w:rFonts w:eastAsia="Calibri"/>
          <w:i/>
          <w:sz w:val="28"/>
          <w:szCs w:val="28"/>
          <w:lang w:val="en-ZA"/>
        </w:rPr>
        <w:t>Gore</w:t>
      </w:r>
      <w:r>
        <w:rPr>
          <w:rFonts w:eastAsia="Calibri"/>
          <w:iCs/>
          <w:sz w:val="28"/>
          <w:szCs w:val="28"/>
          <w:lang w:val="en-ZA"/>
        </w:rPr>
        <w:t xml:space="preserve"> explains, correctly, that use of the term ‘unconscionable conduct’ broadens the reach of the doctrine. </w:t>
      </w:r>
      <w:r w:rsidR="000A3FCE">
        <w:rPr>
          <w:rFonts w:eastAsia="Calibri"/>
          <w:iCs/>
          <w:sz w:val="28"/>
          <w:szCs w:val="28"/>
          <w:lang w:val="en-ZA"/>
        </w:rPr>
        <w:t>T</w:t>
      </w:r>
      <w:r>
        <w:rPr>
          <w:rFonts w:eastAsia="Calibri"/>
          <w:iCs/>
          <w:sz w:val="28"/>
          <w:szCs w:val="28"/>
          <w:lang w:val="en-ZA"/>
        </w:rPr>
        <w:t>he section</w:t>
      </w:r>
      <w:r w:rsidR="000A3FCE">
        <w:rPr>
          <w:rFonts w:eastAsia="Calibri"/>
          <w:iCs/>
          <w:sz w:val="28"/>
          <w:szCs w:val="28"/>
          <w:lang w:val="en-ZA"/>
        </w:rPr>
        <w:t>, however,</w:t>
      </w:r>
      <w:r>
        <w:rPr>
          <w:rFonts w:eastAsia="Calibri"/>
          <w:iCs/>
          <w:sz w:val="28"/>
          <w:szCs w:val="28"/>
          <w:lang w:val="en-ZA"/>
        </w:rPr>
        <w:t xml:space="preserve"> </w:t>
      </w:r>
      <w:r w:rsidR="009C7A06">
        <w:rPr>
          <w:rFonts w:eastAsia="Calibri"/>
          <w:iCs/>
          <w:sz w:val="28"/>
          <w:szCs w:val="28"/>
          <w:lang w:val="en-ZA"/>
        </w:rPr>
        <w:t xml:space="preserve">clearly </w:t>
      </w:r>
      <w:r w:rsidR="009C7A06">
        <w:rPr>
          <w:rFonts w:eastAsia="Calibri"/>
          <w:iCs/>
          <w:sz w:val="28"/>
          <w:szCs w:val="28"/>
          <w:lang w:val="en-ZA"/>
        </w:rPr>
        <w:lastRenderedPageBreak/>
        <w:t>contemplates some form of misuse or abuse of a separate corporate identity as a necessary condition for the application of the remedy.</w:t>
      </w:r>
    </w:p>
    <w:p w14:paraId="504FA4C6" w14:textId="1A7117E6" w:rsidR="009C7A06" w:rsidRDefault="009C7A06" w:rsidP="00E5462F">
      <w:pPr>
        <w:pStyle w:val="ListParagraph"/>
        <w:spacing w:line="360" w:lineRule="auto"/>
        <w:ind w:left="0"/>
        <w:jc w:val="both"/>
        <w:rPr>
          <w:rFonts w:eastAsia="Calibri"/>
          <w:iCs/>
          <w:sz w:val="28"/>
          <w:szCs w:val="28"/>
          <w:lang w:val="en-ZA"/>
        </w:rPr>
      </w:pPr>
    </w:p>
    <w:p w14:paraId="7FAE8F78" w14:textId="45E6D786" w:rsidR="009C7A06" w:rsidRDefault="009C7A06"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764A2C">
        <w:rPr>
          <w:rFonts w:eastAsia="Calibri"/>
          <w:iCs/>
          <w:sz w:val="28"/>
          <w:szCs w:val="28"/>
          <w:lang w:val="en-ZA"/>
        </w:rPr>
        <w:t>6</w:t>
      </w:r>
      <w:r w:rsidR="00EC5798">
        <w:rPr>
          <w:rFonts w:eastAsia="Calibri"/>
          <w:iCs/>
          <w:sz w:val="28"/>
          <w:szCs w:val="28"/>
          <w:lang w:val="en-ZA"/>
        </w:rPr>
        <w:t>1</w:t>
      </w:r>
      <w:r>
        <w:rPr>
          <w:rFonts w:eastAsia="Calibri"/>
          <w:iCs/>
          <w:sz w:val="28"/>
          <w:szCs w:val="28"/>
          <w:lang w:val="en-ZA"/>
        </w:rPr>
        <w:t>]</w:t>
      </w:r>
      <w:r>
        <w:rPr>
          <w:rFonts w:eastAsia="Calibri"/>
          <w:iCs/>
          <w:sz w:val="28"/>
          <w:szCs w:val="28"/>
          <w:lang w:val="en-ZA"/>
        </w:rPr>
        <w:tab/>
        <w:t>A court will exercise its inherent discretion to develop the common law sparingly.</w:t>
      </w:r>
      <w:r>
        <w:rPr>
          <w:rStyle w:val="FootnoteReference"/>
          <w:rFonts w:eastAsia="Calibri"/>
          <w:iCs/>
          <w:sz w:val="28"/>
          <w:szCs w:val="28"/>
          <w:lang w:val="en-ZA"/>
        </w:rPr>
        <w:footnoteReference w:id="37"/>
      </w:r>
      <w:r>
        <w:rPr>
          <w:rFonts w:eastAsia="Calibri"/>
          <w:iCs/>
          <w:sz w:val="28"/>
          <w:szCs w:val="28"/>
          <w:lang w:val="en-ZA"/>
        </w:rPr>
        <w:t xml:space="preserve"> It will approach the task</w:t>
      </w:r>
      <w:r w:rsidR="00B6490A">
        <w:rPr>
          <w:rFonts w:eastAsia="Calibri"/>
          <w:iCs/>
          <w:sz w:val="28"/>
          <w:szCs w:val="28"/>
          <w:lang w:val="en-ZA"/>
        </w:rPr>
        <w:t xml:space="preserve">, as indicated in </w:t>
      </w:r>
      <w:r w:rsidR="00B6490A">
        <w:rPr>
          <w:rFonts w:eastAsia="Calibri"/>
          <w:i/>
          <w:sz w:val="28"/>
          <w:szCs w:val="28"/>
          <w:lang w:val="en-ZA"/>
        </w:rPr>
        <w:t>Carmichele v Minister of Safety and Security and Another</w:t>
      </w:r>
      <w:r w:rsidR="00155D3A">
        <w:rPr>
          <w:rFonts w:eastAsia="Calibri"/>
          <w:i/>
          <w:sz w:val="28"/>
          <w:szCs w:val="28"/>
          <w:lang w:val="en-ZA"/>
        </w:rPr>
        <w:t>:</w:t>
      </w:r>
    </w:p>
    <w:p w14:paraId="6675AB6B" w14:textId="5487E2BA" w:rsidR="00B6490A" w:rsidRDefault="00B6490A" w:rsidP="00E5462F">
      <w:pPr>
        <w:pStyle w:val="ListParagraph"/>
        <w:spacing w:line="360" w:lineRule="auto"/>
        <w:ind w:left="0"/>
        <w:jc w:val="both"/>
        <w:rPr>
          <w:rFonts w:eastAsia="Calibri"/>
          <w:iCs/>
          <w:lang w:val="en-ZA"/>
        </w:rPr>
      </w:pPr>
      <w:r>
        <w:rPr>
          <w:rFonts w:eastAsia="Calibri"/>
          <w:iCs/>
          <w:lang w:val="en-ZA"/>
        </w:rPr>
        <w:t>‘</w:t>
      </w:r>
      <w:r w:rsidR="000A3FCE">
        <w:rPr>
          <w:rFonts w:eastAsia="Calibri"/>
          <w:iCs/>
          <w:lang w:val="en-ZA"/>
        </w:rPr>
        <w:t>…</w:t>
      </w:r>
      <w:r w:rsidR="00595C89">
        <w:rPr>
          <w:rFonts w:eastAsia="Calibri"/>
          <w:iCs/>
          <w:lang w:val="en-ZA"/>
        </w:rPr>
        <w:t xml:space="preserve"> </w:t>
      </w:r>
      <w:r w:rsidR="00155D3A">
        <w:rPr>
          <w:rFonts w:eastAsia="Calibri"/>
          <w:iCs/>
          <w:lang w:val="en-ZA"/>
        </w:rPr>
        <w:t>[M]</w:t>
      </w:r>
      <w:r w:rsidR="00595C89">
        <w:rPr>
          <w:rFonts w:eastAsia="Calibri"/>
          <w:iCs/>
          <w:lang w:val="en-ZA"/>
        </w:rPr>
        <w:t xml:space="preserve">indful of the fact that the major engine for law reform should be the </w:t>
      </w:r>
      <w:r w:rsidR="00155D3A">
        <w:rPr>
          <w:rFonts w:eastAsia="Calibri"/>
          <w:iCs/>
          <w:lang w:val="en-ZA"/>
        </w:rPr>
        <w:t>l</w:t>
      </w:r>
      <w:r w:rsidR="00595C89">
        <w:rPr>
          <w:rFonts w:eastAsia="Calibri"/>
          <w:iCs/>
          <w:lang w:val="en-ZA"/>
        </w:rPr>
        <w:t xml:space="preserve">egislature and not the </w:t>
      </w:r>
      <w:r w:rsidR="00155D3A">
        <w:rPr>
          <w:rFonts w:eastAsia="Calibri"/>
          <w:iCs/>
          <w:lang w:val="en-ZA"/>
        </w:rPr>
        <w:t>j</w:t>
      </w:r>
      <w:r w:rsidR="00595C89">
        <w:rPr>
          <w:rFonts w:eastAsia="Calibri"/>
          <w:iCs/>
          <w:lang w:val="en-ZA"/>
        </w:rPr>
        <w:t xml:space="preserve">udiciary. In this regard it is worth repeating the dictum of Iacobucci J in </w:t>
      </w:r>
      <w:r w:rsidR="00595C89" w:rsidRPr="00AA2A3E">
        <w:rPr>
          <w:rFonts w:eastAsia="Calibri"/>
          <w:i/>
          <w:lang w:val="en-ZA"/>
        </w:rPr>
        <w:t>R v Salituro</w:t>
      </w:r>
      <w:r w:rsidR="00595C89">
        <w:rPr>
          <w:rFonts w:eastAsia="Calibri"/>
          <w:iCs/>
          <w:lang w:val="en-ZA"/>
        </w:rPr>
        <w:t xml:space="preserve">, which was cited by Kentridge AJ in </w:t>
      </w:r>
      <w:r w:rsidR="00595C89" w:rsidRPr="00AA2A3E">
        <w:rPr>
          <w:rFonts w:eastAsia="Calibri"/>
          <w:i/>
          <w:lang w:val="en-ZA"/>
        </w:rPr>
        <w:t>Du Plessis v De Klerk</w:t>
      </w:r>
      <w:r w:rsidR="00595C89">
        <w:rPr>
          <w:rFonts w:eastAsia="Calibri"/>
          <w:iCs/>
          <w:lang w:val="en-ZA"/>
        </w:rPr>
        <w:t>:</w:t>
      </w:r>
    </w:p>
    <w:p w14:paraId="767222EA" w14:textId="38ED584F" w:rsidR="00595C89" w:rsidRDefault="00595C89" w:rsidP="00E5462F">
      <w:pPr>
        <w:pStyle w:val="ListParagraph"/>
        <w:spacing w:line="360" w:lineRule="auto"/>
        <w:ind w:left="0"/>
        <w:jc w:val="both"/>
        <w:rPr>
          <w:rFonts w:eastAsia="Calibri"/>
          <w:iCs/>
          <w:sz w:val="22"/>
          <w:szCs w:val="22"/>
          <w:lang w:val="en-ZA"/>
        </w:rPr>
      </w:pPr>
      <w:r w:rsidRPr="00AA2A3E">
        <w:rPr>
          <w:rFonts w:eastAsia="Calibri"/>
          <w:iCs/>
          <w:lang w:val="en-ZA"/>
        </w:rPr>
        <w:t xml:space="preserve">“Judges can and should adapt the common law to reflect the changing social, moral and economic fabric of the country. Judges should not be quick to perpetuate rules whose social foundation has long since disappeared. Nonetheless there are significant constraints on the power of the </w:t>
      </w:r>
      <w:r w:rsidR="00155D3A">
        <w:rPr>
          <w:rFonts w:eastAsia="Calibri"/>
          <w:iCs/>
          <w:lang w:val="en-ZA"/>
        </w:rPr>
        <w:t>j</w:t>
      </w:r>
      <w:r w:rsidRPr="00AA2A3E">
        <w:rPr>
          <w:rFonts w:eastAsia="Calibri"/>
          <w:iCs/>
          <w:lang w:val="en-ZA"/>
        </w:rPr>
        <w:t>udiciary to change the law. … In a constitutional democracy such as ours it is the Legislature and not the courts which has the major responsibility for law reform. … The Judiciary should confine itself to those incremental changes which are necessary to keep the common law in step with the dynamic and evolving fabric of our society.”</w:t>
      </w:r>
      <w:r w:rsidR="00081326" w:rsidRPr="00AA2A3E">
        <w:rPr>
          <w:rFonts w:eastAsia="Calibri"/>
          <w:iCs/>
          <w:lang w:val="en-ZA"/>
        </w:rPr>
        <w:t>’</w:t>
      </w:r>
      <w:r w:rsidR="00AA2A3E" w:rsidRPr="00AA2A3E">
        <w:rPr>
          <w:rStyle w:val="FootnoteReference"/>
          <w:rFonts w:eastAsia="Calibri"/>
          <w:iCs/>
          <w:sz w:val="28"/>
          <w:szCs w:val="28"/>
          <w:lang w:val="en-ZA"/>
        </w:rPr>
        <w:t xml:space="preserve"> </w:t>
      </w:r>
      <w:r w:rsidR="00AA2A3E">
        <w:rPr>
          <w:rStyle w:val="FootnoteReference"/>
          <w:rFonts w:eastAsia="Calibri"/>
          <w:iCs/>
          <w:sz w:val="28"/>
          <w:szCs w:val="28"/>
          <w:lang w:val="en-ZA"/>
        </w:rPr>
        <w:footnoteReference w:id="38"/>
      </w:r>
    </w:p>
    <w:p w14:paraId="778099DB" w14:textId="44A2BDAE" w:rsidR="00081326" w:rsidRDefault="00081326" w:rsidP="00E5462F">
      <w:pPr>
        <w:pStyle w:val="ListParagraph"/>
        <w:spacing w:line="360" w:lineRule="auto"/>
        <w:ind w:left="0"/>
        <w:jc w:val="both"/>
        <w:rPr>
          <w:rFonts w:eastAsia="Calibri"/>
          <w:iCs/>
          <w:sz w:val="28"/>
          <w:szCs w:val="28"/>
          <w:lang w:val="en-ZA"/>
        </w:rPr>
      </w:pPr>
    </w:p>
    <w:p w14:paraId="3253900F" w14:textId="2B4CC47C" w:rsidR="00081326" w:rsidRDefault="00081326"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62</w:t>
      </w:r>
      <w:r>
        <w:rPr>
          <w:rFonts w:eastAsia="Calibri"/>
          <w:iCs/>
          <w:sz w:val="28"/>
          <w:szCs w:val="28"/>
          <w:lang w:val="en-ZA"/>
        </w:rPr>
        <w:t>]</w:t>
      </w:r>
      <w:r>
        <w:rPr>
          <w:rFonts w:eastAsia="Calibri"/>
          <w:iCs/>
          <w:sz w:val="28"/>
          <w:szCs w:val="28"/>
          <w:lang w:val="en-ZA"/>
        </w:rPr>
        <w:tab/>
        <w:t>In this instance the legislature has recently considered the questions</w:t>
      </w:r>
      <w:r w:rsidR="0041237B">
        <w:rPr>
          <w:rFonts w:eastAsia="Calibri"/>
          <w:iCs/>
          <w:sz w:val="28"/>
          <w:szCs w:val="28"/>
          <w:lang w:val="en-ZA"/>
        </w:rPr>
        <w:t xml:space="preserve"> that</w:t>
      </w:r>
      <w:r>
        <w:rPr>
          <w:rFonts w:eastAsia="Calibri"/>
          <w:iCs/>
          <w:sz w:val="28"/>
          <w:szCs w:val="28"/>
          <w:lang w:val="en-ZA"/>
        </w:rPr>
        <w:t xml:space="preserve"> arise in this case. It enacted s 20(9) of the Companies Act in the form that it did. It did not introduce a general discretion to disregard the separate corporate personality of a company and it chose to confirm, even if in broader formulation, an essential requirement for the granting of the remedy, namely some form of unconscionable conduct. It was not suggested that s 20(9) offends a provision of the Constitution. </w:t>
      </w:r>
    </w:p>
    <w:p w14:paraId="43CA895E" w14:textId="4C04C0FA" w:rsidR="00081326" w:rsidRDefault="00081326" w:rsidP="00E5462F">
      <w:pPr>
        <w:pStyle w:val="ListParagraph"/>
        <w:spacing w:line="360" w:lineRule="auto"/>
        <w:ind w:left="0"/>
        <w:jc w:val="both"/>
        <w:rPr>
          <w:rFonts w:eastAsia="Calibri"/>
          <w:iCs/>
          <w:sz w:val="28"/>
          <w:szCs w:val="28"/>
          <w:lang w:val="en-ZA"/>
        </w:rPr>
      </w:pPr>
    </w:p>
    <w:p w14:paraId="6D6C0AE3" w14:textId="3E34B251" w:rsidR="00081326" w:rsidRDefault="00081326"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63</w:t>
      </w:r>
      <w:r>
        <w:rPr>
          <w:rFonts w:eastAsia="Calibri"/>
          <w:iCs/>
          <w:sz w:val="28"/>
          <w:szCs w:val="28"/>
          <w:lang w:val="en-ZA"/>
        </w:rPr>
        <w:t>]</w:t>
      </w:r>
      <w:r>
        <w:rPr>
          <w:rFonts w:eastAsia="Calibri"/>
          <w:iCs/>
          <w:sz w:val="28"/>
          <w:szCs w:val="28"/>
          <w:lang w:val="en-ZA"/>
        </w:rPr>
        <w:tab/>
        <w:t xml:space="preserve">This is not a case where there is any warrant for the sort of development of the law sought by the Butcher Shop. All that might notionally be available to </w:t>
      </w:r>
      <w:r w:rsidR="000A3FCE">
        <w:rPr>
          <w:rFonts w:eastAsia="Calibri"/>
          <w:iCs/>
          <w:sz w:val="28"/>
          <w:szCs w:val="28"/>
          <w:lang w:val="en-ZA"/>
        </w:rPr>
        <w:t>it</w:t>
      </w:r>
      <w:r>
        <w:rPr>
          <w:rFonts w:eastAsia="Calibri"/>
          <w:iCs/>
          <w:sz w:val="28"/>
          <w:szCs w:val="28"/>
          <w:lang w:val="en-ZA"/>
        </w:rPr>
        <w:t xml:space="preserve"> is some </w:t>
      </w:r>
      <w:r w:rsidR="00A716ED">
        <w:rPr>
          <w:rFonts w:eastAsia="Calibri"/>
          <w:iCs/>
          <w:sz w:val="28"/>
          <w:szCs w:val="28"/>
          <w:lang w:val="en-ZA"/>
        </w:rPr>
        <w:t>‘</w:t>
      </w:r>
      <w:r>
        <w:rPr>
          <w:rFonts w:eastAsia="Calibri"/>
          <w:iCs/>
          <w:sz w:val="28"/>
          <w:szCs w:val="28"/>
          <w:lang w:val="en-ZA"/>
        </w:rPr>
        <w:t xml:space="preserve">incremental change which keeps the common law in step with the dynamic </w:t>
      </w:r>
      <w:r>
        <w:rPr>
          <w:rFonts w:eastAsia="Calibri"/>
          <w:iCs/>
          <w:sz w:val="28"/>
          <w:szCs w:val="28"/>
          <w:lang w:val="en-ZA"/>
        </w:rPr>
        <w:lastRenderedPageBreak/>
        <w:t xml:space="preserve">and evolving fabric of our society’. </w:t>
      </w:r>
      <w:r w:rsidR="00A716ED">
        <w:rPr>
          <w:rFonts w:eastAsia="Calibri"/>
          <w:iCs/>
          <w:sz w:val="28"/>
          <w:szCs w:val="28"/>
          <w:lang w:val="en-ZA"/>
        </w:rPr>
        <w:t xml:space="preserve">In the preceding section dealing with the application of the common law principles to the facts of this case, I indicated that </w:t>
      </w:r>
      <w:r w:rsidR="000A3FCE">
        <w:rPr>
          <w:rFonts w:eastAsia="Calibri"/>
          <w:iCs/>
          <w:sz w:val="28"/>
          <w:szCs w:val="28"/>
          <w:lang w:val="en-ZA"/>
        </w:rPr>
        <w:t>they</w:t>
      </w:r>
      <w:r w:rsidR="00A716ED">
        <w:rPr>
          <w:rFonts w:eastAsia="Calibri"/>
          <w:iCs/>
          <w:sz w:val="28"/>
          <w:szCs w:val="28"/>
          <w:lang w:val="en-ZA"/>
        </w:rPr>
        <w:t xml:space="preserve"> do not </w:t>
      </w:r>
      <w:r w:rsidR="000A3FCE">
        <w:rPr>
          <w:rFonts w:eastAsia="Calibri"/>
          <w:iCs/>
          <w:sz w:val="28"/>
          <w:szCs w:val="28"/>
          <w:lang w:val="en-ZA"/>
        </w:rPr>
        <w:t xml:space="preserve">countenance </w:t>
      </w:r>
      <w:r w:rsidR="00A716ED">
        <w:rPr>
          <w:rFonts w:eastAsia="Calibri"/>
          <w:iCs/>
          <w:sz w:val="28"/>
          <w:szCs w:val="28"/>
          <w:lang w:val="en-ZA"/>
        </w:rPr>
        <w:t xml:space="preserve">the </w:t>
      </w:r>
      <w:r w:rsidR="000A3FCE">
        <w:rPr>
          <w:rFonts w:eastAsia="Calibri"/>
          <w:iCs/>
          <w:sz w:val="28"/>
          <w:szCs w:val="28"/>
          <w:lang w:val="en-ZA"/>
        </w:rPr>
        <w:t>relief</w:t>
      </w:r>
      <w:r w:rsidR="00A716ED">
        <w:rPr>
          <w:rFonts w:eastAsia="Calibri"/>
          <w:iCs/>
          <w:sz w:val="28"/>
          <w:szCs w:val="28"/>
          <w:lang w:val="en-ZA"/>
        </w:rPr>
        <w:t xml:space="preserve"> sought by the Butcher Shop. Two further considerations militate against any form of ‘incremental’ </w:t>
      </w:r>
      <w:r w:rsidR="00D13659">
        <w:rPr>
          <w:rFonts w:eastAsia="Calibri"/>
          <w:iCs/>
          <w:sz w:val="28"/>
          <w:szCs w:val="28"/>
          <w:lang w:val="en-ZA"/>
        </w:rPr>
        <w:t>fact-based</w:t>
      </w:r>
      <w:r w:rsidR="00A716ED">
        <w:rPr>
          <w:rFonts w:eastAsia="Calibri"/>
          <w:iCs/>
          <w:sz w:val="28"/>
          <w:szCs w:val="28"/>
          <w:lang w:val="en-ZA"/>
        </w:rPr>
        <w:t xml:space="preserve"> development to accommodate the position of the Butcher Shop.</w:t>
      </w:r>
    </w:p>
    <w:p w14:paraId="6A40F801" w14:textId="59771CC6" w:rsidR="00D13659" w:rsidRDefault="00D13659" w:rsidP="00E5462F">
      <w:pPr>
        <w:pStyle w:val="ListParagraph"/>
        <w:spacing w:line="360" w:lineRule="auto"/>
        <w:ind w:left="0"/>
        <w:jc w:val="both"/>
        <w:rPr>
          <w:rFonts w:eastAsia="Calibri"/>
          <w:iCs/>
          <w:sz w:val="28"/>
          <w:szCs w:val="28"/>
          <w:lang w:val="en-ZA"/>
        </w:rPr>
      </w:pPr>
    </w:p>
    <w:p w14:paraId="4997ACAC" w14:textId="06A9A9F7" w:rsidR="00D13659" w:rsidRDefault="00D13659"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64</w:t>
      </w:r>
      <w:r>
        <w:rPr>
          <w:rFonts w:eastAsia="Calibri"/>
          <w:iCs/>
          <w:sz w:val="28"/>
          <w:szCs w:val="28"/>
          <w:lang w:val="en-ZA"/>
        </w:rPr>
        <w:t>]</w:t>
      </w:r>
      <w:r>
        <w:rPr>
          <w:rFonts w:eastAsia="Calibri"/>
          <w:iCs/>
          <w:sz w:val="28"/>
          <w:szCs w:val="28"/>
          <w:lang w:val="en-ZA"/>
        </w:rPr>
        <w:tab/>
        <w:t xml:space="preserve">Firstly, the existence of separate corporate identities and the consequences which attach thereto are by no means inherently unfair or unjust. </w:t>
      </w:r>
      <w:r w:rsidR="00EC5798">
        <w:rPr>
          <w:rFonts w:eastAsia="Calibri"/>
          <w:iCs/>
          <w:sz w:val="28"/>
          <w:szCs w:val="28"/>
          <w:lang w:val="en-ZA"/>
        </w:rPr>
        <w:t>Nor</w:t>
      </w:r>
      <w:r>
        <w:rPr>
          <w:rFonts w:eastAsia="Calibri"/>
          <w:iCs/>
          <w:sz w:val="28"/>
          <w:szCs w:val="28"/>
          <w:lang w:val="en-ZA"/>
        </w:rPr>
        <w:t xml:space="preserve"> is there anything to suggest that the enforcement of the obligations undertaken by the Butcher Shop will bring about an injustice. Secondly, our law does not countenance a casuistic resort to equity and fairness to circumvent statutory provisions or </w:t>
      </w:r>
      <w:r w:rsidR="000A3FCE">
        <w:rPr>
          <w:rFonts w:eastAsia="Calibri"/>
          <w:iCs/>
          <w:sz w:val="28"/>
          <w:szCs w:val="28"/>
          <w:lang w:val="en-ZA"/>
        </w:rPr>
        <w:t>the</w:t>
      </w:r>
      <w:r>
        <w:rPr>
          <w:rFonts w:eastAsia="Calibri"/>
          <w:iCs/>
          <w:sz w:val="28"/>
          <w:szCs w:val="28"/>
          <w:lang w:val="en-ZA"/>
        </w:rPr>
        <w:t xml:space="preserve"> rules of the common law.</w:t>
      </w:r>
      <w:r>
        <w:rPr>
          <w:rStyle w:val="FootnoteReference"/>
          <w:rFonts w:eastAsia="Calibri"/>
          <w:iCs/>
          <w:sz w:val="28"/>
          <w:szCs w:val="28"/>
          <w:lang w:val="en-ZA"/>
        </w:rPr>
        <w:footnoteReference w:id="39"/>
      </w:r>
      <w:r>
        <w:rPr>
          <w:rFonts w:eastAsia="Calibri"/>
          <w:iCs/>
          <w:sz w:val="28"/>
          <w:szCs w:val="28"/>
          <w:lang w:val="en-ZA"/>
        </w:rPr>
        <w:t xml:space="preserve"> </w:t>
      </w:r>
    </w:p>
    <w:p w14:paraId="00C7D974" w14:textId="54972C80" w:rsidR="001E1FF5" w:rsidRDefault="001E1FF5" w:rsidP="00E5462F">
      <w:pPr>
        <w:pStyle w:val="ListParagraph"/>
        <w:spacing w:line="360" w:lineRule="auto"/>
        <w:ind w:left="0"/>
        <w:jc w:val="both"/>
        <w:rPr>
          <w:rFonts w:eastAsia="Calibri"/>
          <w:iCs/>
          <w:sz w:val="28"/>
          <w:szCs w:val="28"/>
          <w:lang w:val="en-ZA"/>
        </w:rPr>
      </w:pPr>
    </w:p>
    <w:p w14:paraId="46931798" w14:textId="4B4A4EEF" w:rsidR="001E1FF5" w:rsidRPr="00152445" w:rsidRDefault="00152445" w:rsidP="00E5462F">
      <w:pPr>
        <w:pStyle w:val="ListParagraph"/>
        <w:spacing w:line="360" w:lineRule="auto"/>
        <w:ind w:left="0"/>
        <w:jc w:val="both"/>
        <w:rPr>
          <w:rFonts w:eastAsia="Calibri"/>
          <w:b/>
          <w:bCs/>
          <w:iCs/>
          <w:sz w:val="28"/>
          <w:szCs w:val="28"/>
          <w:lang w:val="en-ZA"/>
        </w:rPr>
      </w:pPr>
      <w:r>
        <w:rPr>
          <w:rFonts w:eastAsia="Calibri"/>
          <w:b/>
          <w:bCs/>
          <w:iCs/>
          <w:sz w:val="28"/>
          <w:szCs w:val="28"/>
          <w:lang w:val="en-ZA"/>
        </w:rPr>
        <w:t>Conclusion</w:t>
      </w:r>
    </w:p>
    <w:p w14:paraId="7D28CBBB" w14:textId="41ED4AFF" w:rsidR="001E1FF5" w:rsidRDefault="001E1FF5"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65</w:t>
      </w:r>
      <w:r>
        <w:rPr>
          <w:rFonts w:eastAsia="Calibri"/>
          <w:iCs/>
          <w:sz w:val="28"/>
          <w:szCs w:val="28"/>
          <w:lang w:val="en-ZA"/>
        </w:rPr>
        <w:t>]</w:t>
      </w:r>
      <w:r>
        <w:rPr>
          <w:rFonts w:eastAsia="Calibri"/>
          <w:iCs/>
          <w:sz w:val="28"/>
          <w:szCs w:val="28"/>
          <w:lang w:val="en-ZA"/>
        </w:rPr>
        <w:tab/>
      </w:r>
      <w:r w:rsidR="00152445">
        <w:rPr>
          <w:rFonts w:eastAsia="Calibri"/>
          <w:iCs/>
          <w:sz w:val="28"/>
          <w:szCs w:val="28"/>
          <w:lang w:val="en-ZA"/>
        </w:rPr>
        <w:t>The appeal was argued primarily on the issues raised in the counter</w:t>
      </w:r>
      <w:r w:rsidR="00AA594F">
        <w:rPr>
          <w:rFonts w:eastAsia="Calibri"/>
          <w:iCs/>
          <w:sz w:val="28"/>
          <w:szCs w:val="28"/>
          <w:lang w:val="en-ZA"/>
        </w:rPr>
        <w:t xml:space="preserve"> </w:t>
      </w:r>
      <w:r w:rsidR="00152445">
        <w:rPr>
          <w:rFonts w:eastAsia="Calibri"/>
          <w:iCs/>
          <w:sz w:val="28"/>
          <w:szCs w:val="28"/>
          <w:lang w:val="en-ZA"/>
        </w:rPr>
        <w:t>application brought by the Butcher Shop. There was, in effect, no contest in relation to the relief which was sought in the main application brought by</w:t>
      </w:r>
      <w:r w:rsidR="00D751EB">
        <w:rPr>
          <w:rFonts w:eastAsia="Calibri"/>
          <w:iCs/>
          <w:sz w:val="28"/>
          <w:szCs w:val="28"/>
          <w:lang w:val="en-ZA"/>
        </w:rPr>
        <w:t xml:space="preserve"> the Trust</w:t>
      </w:r>
      <w:r w:rsidR="00152445">
        <w:rPr>
          <w:rFonts w:eastAsia="Calibri"/>
          <w:iCs/>
          <w:sz w:val="28"/>
          <w:szCs w:val="28"/>
          <w:lang w:val="en-ZA"/>
        </w:rPr>
        <w:t>. Counsel accepted that the lease agreement precluded the withholding of payment of the base rental. It was accepted that the Butcher Shop had withheld payments and, in the absence of success in the counter</w:t>
      </w:r>
      <w:r w:rsidR="00AA594F">
        <w:rPr>
          <w:rFonts w:eastAsia="Calibri"/>
          <w:iCs/>
          <w:sz w:val="28"/>
          <w:szCs w:val="28"/>
          <w:lang w:val="en-ZA"/>
        </w:rPr>
        <w:t xml:space="preserve"> </w:t>
      </w:r>
      <w:r w:rsidR="00152445">
        <w:rPr>
          <w:rFonts w:eastAsia="Calibri"/>
          <w:iCs/>
          <w:sz w:val="28"/>
          <w:szCs w:val="28"/>
          <w:lang w:val="en-ZA"/>
        </w:rPr>
        <w:t>application, the relief was properly granted in the main application.</w:t>
      </w:r>
      <w:r w:rsidR="00AA2A3E" w:rsidRPr="00AA2A3E">
        <w:rPr>
          <w:rFonts w:eastAsia="Calibri"/>
          <w:iCs/>
          <w:sz w:val="28"/>
          <w:szCs w:val="28"/>
          <w:lang w:val="en-ZA"/>
        </w:rPr>
        <w:t xml:space="preserve"> </w:t>
      </w:r>
      <w:r w:rsidR="00AA2A3E">
        <w:rPr>
          <w:rFonts w:eastAsia="Calibri"/>
          <w:iCs/>
          <w:sz w:val="28"/>
          <w:szCs w:val="28"/>
          <w:lang w:val="en-ZA"/>
        </w:rPr>
        <w:t>The conclusions reached on the four issues which were debated before this Court mean that the high court’s orders must stand</w:t>
      </w:r>
      <w:r w:rsidR="00F16221">
        <w:rPr>
          <w:rFonts w:eastAsia="Calibri"/>
          <w:iCs/>
          <w:sz w:val="28"/>
          <w:szCs w:val="28"/>
          <w:lang w:val="en-ZA"/>
        </w:rPr>
        <w:t>.</w:t>
      </w:r>
    </w:p>
    <w:p w14:paraId="1AF777F2" w14:textId="22C14294" w:rsidR="00152445" w:rsidRDefault="00152445" w:rsidP="00E5462F">
      <w:pPr>
        <w:pStyle w:val="ListParagraph"/>
        <w:spacing w:line="360" w:lineRule="auto"/>
        <w:ind w:left="0"/>
        <w:jc w:val="both"/>
        <w:rPr>
          <w:rFonts w:eastAsia="Calibri"/>
          <w:iCs/>
          <w:sz w:val="28"/>
          <w:szCs w:val="28"/>
          <w:lang w:val="en-ZA"/>
        </w:rPr>
      </w:pPr>
    </w:p>
    <w:p w14:paraId="6B23DC10" w14:textId="5B357626" w:rsidR="00152445" w:rsidRDefault="00152445" w:rsidP="00E5462F">
      <w:pPr>
        <w:pStyle w:val="ListParagraph"/>
        <w:spacing w:line="360" w:lineRule="auto"/>
        <w:ind w:left="0"/>
        <w:jc w:val="both"/>
        <w:rPr>
          <w:rFonts w:eastAsia="Calibri"/>
          <w:iCs/>
          <w:sz w:val="28"/>
          <w:szCs w:val="28"/>
          <w:lang w:val="en-ZA"/>
        </w:rPr>
      </w:pPr>
      <w:r>
        <w:rPr>
          <w:rFonts w:eastAsia="Calibri"/>
          <w:iCs/>
          <w:sz w:val="28"/>
          <w:szCs w:val="28"/>
          <w:lang w:val="en-ZA"/>
        </w:rPr>
        <w:t>[</w:t>
      </w:r>
      <w:r w:rsidR="00EC5798">
        <w:rPr>
          <w:rFonts w:eastAsia="Calibri"/>
          <w:iCs/>
          <w:sz w:val="28"/>
          <w:szCs w:val="28"/>
          <w:lang w:val="en-ZA"/>
        </w:rPr>
        <w:t>66</w:t>
      </w:r>
      <w:r>
        <w:rPr>
          <w:rFonts w:eastAsia="Calibri"/>
          <w:iCs/>
          <w:sz w:val="28"/>
          <w:szCs w:val="28"/>
          <w:lang w:val="en-ZA"/>
        </w:rPr>
        <w:t>]</w:t>
      </w:r>
      <w:r>
        <w:rPr>
          <w:rFonts w:eastAsia="Calibri"/>
          <w:iCs/>
          <w:sz w:val="28"/>
          <w:szCs w:val="28"/>
          <w:lang w:val="en-ZA"/>
        </w:rPr>
        <w:tab/>
        <w:t xml:space="preserve">In the result, </w:t>
      </w:r>
      <w:r w:rsidR="00F16221">
        <w:rPr>
          <w:rFonts w:eastAsia="Calibri"/>
          <w:iCs/>
          <w:sz w:val="28"/>
          <w:szCs w:val="28"/>
          <w:lang w:val="en-ZA"/>
        </w:rPr>
        <w:t>the appeal is dismissed with costs.</w:t>
      </w:r>
    </w:p>
    <w:p w14:paraId="646EB305" w14:textId="060CECDD" w:rsidR="00152445" w:rsidRPr="00081326" w:rsidRDefault="00152445" w:rsidP="00E5462F">
      <w:pPr>
        <w:pStyle w:val="ListParagraph"/>
        <w:spacing w:line="360" w:lineRule="auto"/>
        <w:ind w:left="0"/>
        <w:jc w:val="both"/>
        <w:rPr>
          <w:rFonts w:eastAsia="Calibri"/>
          <w:iCs/>
          <w:sz w:val="28"/>
          <w:szCs w:val="28"/>
          <w:lang w:val="en-ZA"/>
        </w:rPr>
      </w:pPr>
    </w:p>
    <w:p w14:paraId="52101E24" w14:textId="77777777" w:rsidR="00ED1600" w:rsidRPr="00A64141" w:rsidRDefault="00ED1600" w:rsidP="000C1370">
      <w:pPr>
        <w:spacing w:line="360" w:lineRule="auto"/>
        <w:jc w:val="both"/>
        <w:rPr>
          <w:rFonts w:eastAsia="Calibri"/>
          <w:iCs/>
          <w:sz w:val="28"/>
          <w:szCs w:val="28"/>
          <w:lang w:val="en-ZA"/>
        </w:rPr>
      </w:pPr>
    </w:p>
    <w:p w14:paraId="55316E18" w14:textId="77777777" w:rsidR="009539FF" w:rsidRPr="00B1555D" w:rsidRDefault="009539FF" w:rsidP="00C61353">
      <w:pPr>
        <w:spacing w:line="360" w:lineRule="auto"/>
        <w:jc w:val="both"/>
        <w:rPr>
          <w:rFonts w:eastAsia="Calibri"/>
          <w:sz w:val="28"/>
          <w:szCs w:val="28"/>
          <w:lang w:val="en-ZA"/>
        </w:rPr>
      </w:pPr>
    </w:p>
    <w:p w14:paraId="41F6BBB4" w14:textId="1627C93C" w:rsidR="00637177" w:rsidRPr="00B1555D" w:rsidRDefault="00637177" w:rsidP="00637177">
      <w:pPr>
        <w:pStyle w:val="ListParagraph"/>
        <w:spacing w:line="360" w:lineRule="auto"/>
        <w:ind w:left="6480"/>
        <w:jc w:val="both"/>
        <w:rPr>
          <w:sz w:val="28"/>
          <w:szCs w:val="28"/>
        </w:rPr>
      </w:pPr>
      <w:r w:rsidRPr="00B1555D">
        <w:rPr>
          <w:noProof/>
          <w:sz w:val="28"/>
          <w:szCs w:val="28"/>
          <w:lang w:val="en-ZA" w:eastAsia="en-ZA"/>
        </w:rPr>
        <w:t xml:space="preserve">     </w:t>
      </w:r>
    </w:p>
    <w:p w14:paraId="3976DD25" w14:textId="2A35993C" w:rsidR="008E3C8C" w:rsidRPr="00B1555D" w:rsidRDefault="00F43000" w:rsidP="00D50B1F">
      <w:pPr>
        <w:spacing w:line="360" w:lineRule="auto"/>
        <w:jc w:val="right"/>
        <w:rPr>
          <w:bCs/>
          <w:sz w:val="28"/>
          <w:szCs w:val="28"/>
        </w:rPr>
      </w:pPr>
      <w:r w:rsidRPr="00B1555D">
        <w:rPr>
          <w:bCs/>
          <w:sz w:val="28"/>
          <w:szCs w:val="28"/>
        </w:rPr>
        <w:t>____</w:t>
      </w:r>
      <w:r w:rsidR="008E3C8C" w:rsidRPr="00B1555D">
        <w:rPr>
          <w:bCs/>
          <w:sz w:val="28"/>
          <w:szCs w:val="28"/>
        </w:rPr>
        <w:t>_____</w:t>
      </w:r>
      <w:r w:rsidRPr="00B1555D">
        <w:rPr>
          <w:bCs/>
          <w:sz w:val="28"/>
          <w:szCs w:val="28"/>
        </w:rPr>
        <w:t>________</w:t>
      </w:r>
    </w:p>
    <w:p w14:paraId="0AC9F279" w14:textId="57F50146" w:rsidR="008E3C8C" w:rsidRPr="00B1555D" w:rsidRDefault="000C5791" w:rsidP="008E3C8C">
      <w:pPr>
        <w:spacing w:line="360" w:lineRule="auto"/>
        <w:jc w:val="right"/>
        <w:rPr>
          <w:bCs/>
          <w:sz w:val="28"/>
          <w:szCs w:val="28"/>
        </w:rPr>
      </w:pPr>
      <w:r w:rsidRPr="00B1555D">
        <w:rPr>
          <w:bCs/>
          <w:sz w:val="28"/>
          <w:szCs w:val="28"/>
        </w:rPr>
        <w:t>G G GOOSEN</w:t>
      </w:r>
    </w:p>
    <w:p w14:paraId="7DF16237" w14:textId="3CD404E6" w:rsidR="009A1544" w:rsidRPr="00B1555D" w:rsidRDefault="008D7B35" w:rsidP="0069216F">
      <w:pPr>
        <w:spacing w:line="360" w:lineRule="auto"/>
        <w:jc w:val="right"/>
        <w:rPr>
          <w:bCs/>
          <w:sz w:val="28"/>
          <w:szCs w:val="28"/>
        </w:rPr>
      </w:pPr>
      <w:r w:rsidRPr="00B1555D">
        <w:rPr>
          <w:bCs/>
          <w:sz w:val="28"/>
          <w:szCs w:val="28"/>
        </w:rPr>
        <w:t>JUDGE OF APPEAL</w:t>
      </w:r>
      <w:r w:rsidR="009A1544" w:rsidRPr="00B1555D">
        <w:rPr>
          <w:sz w:val="28"/>
          <w:szCs w:val="28"/>
        </w:rPr>
        <w:br w:type="page"/>
      </w:r>
    </w:p>
    <w:p w14:paraId="52AA18EB" w14:textId="78E7D515" w:rsidR="00F43000" w:rsidRPr="00B1555D" w:rsidRDefault="008D7B35" w:rsidP="00F43000">
      <w:pPr>
        <w:spacing w:after="160" w:line="259" w:lineRule="auto"/>
        <w:rPr>
          <w:sz w:val="28"/>
          <w:szCs w:val="28"/>
        </w:rPr>
      </w:pPr>
      <w:r w:rsidRPr="00B1555D">
        <w:rPr>
          <w:sz w:val="28"/>
          <w:szCs w:val="28"/>
        </w:rPr>
        <w:lastRenderedPageBreak/>
        <w:t>A</w:t>
      </w:r>
      <w:r w:rsidR="0041237B">
        <w:rPr>
          <w:sz w:val="28"/>
          <w:szCs w:val="28"/>
        </w:rPr>
        <w:t>ppearances</w:t>
      </w:r>
    </w:p>
    <w:p w14:paraId="628AD592" w14:textId="77777777" w:rsidR="00F43000" w:rsidRPr="00B1555D" w:rsidRDefault="00F43000" w:rsidP="00F43000">
      <w:pPr>
        <w:spacing w:line="360" w:lineRule="auto"/>
        <w:rPr>
          <w:sz w:val="28"/>
          <w:szCs w:val="28"/>
        </w:rPr>
      </w:pPr>
    </w:p>
    <w:p w14:paraId="033038F4" w14:textId="5AD10EF1" w:rsidR="00F43000" w:rsidRPr="00B1555D" w:rsidRDefault="00F43000" w:rsidP="00F43000">
      <w:pPr>
        <w:spacing w:line="360" w:lineRule="auto"/>
        <w:rPr>
          <w:sz w:val="28"/>
          <w:szCs w:val="28"/>
        </w:rPr>
      </w:pPr>
      <w:r w:rsidRPr="00B1555D">
        <w:rPr>
          <w:sz w:val="28"/>
          <w:szCs w:val="28"/>
        </w:rPr>
        <w:t>For</w:t>
      </w:r>
      <w:r w:rsidR="00783DBA" w:rsidRPr="00B1555D">
        <w:rPr>
          <w:sz w:val="28"/>
          <w:szCs w:val="28"/>
        </w:rPr>
        <w:t xml:space="preserve"> the</w:t>
      </w:r>
      <w:r w:rsidRPr="00B1555D">
        <w:rPr>
          <w:sz w:val="28"/>
          <w:szCs w:val="28"/>
        </w:rPr>
        <w:t xml:space="preserve"> appellant:</w:t>
      </w:r>
      <w:r w:rsidRPr="00B1555D">
        <w:rPr>
          <w:sz w:val="28"/>
          <w:szCs w:val="28"/>
        </w:rPr>
        <w:tab/>
      </w:r>
      <w:r w:rsidRPr="00B1555D">
        <w:rPr>
          <w:sz w:val="28"/>
          <w:szCs w:val="28"/>
        </w:rPr>
        <w:tab/>
      </w:r>
      <w:r w:rsidR="00A61409" w:rsidRPr="00B1555D">
        <w:rPr>
          <w:sz w:val="28"/>
          <w:szCs w:val="28"/>
        </w:rPr>
        <w:tab/>
      </w:r>
      <w:r w:rsidR="009224BD" w:rsidRPr="00B1555D">
        <w:rPr>
          <w:sz w:val="28"/>
          <w:szCs w:val="28"/>
        </w:rPr>
        <w:t>J Muller SC and L Kelly</w:t>
      </w:r>
    </w:p>
    <w:p w14:paraId="6C05A63B" w14:textId="4B5F0AB6" w:rsidR="00F43000" w:rsidRPr="00B1555D" w:rsidRDefault="00F43000" w:rsidP="00F43000">
      <w:pPr>
        <w:spacing w:line="360" w:lineRule="auto"/>
        <w:rPr>
          <w:bCs/>
          <w:sz w:val="28"/>
          <w:szCs w:val="28"/>
        </w:rPr>
      </w:pPr>
      <w:r w:rsidRPr="00B1555D">
        <w:rPr>
          <w:bCs/>
          <w:sz w:val="28"/>
          <w:szCs w:val="28"/>
        </w:rPr>
        <w:t>Instructed by:</w:t>
      </w:r>
      <w:r w:rsidRPr="00B1555D">
        <w:rPr>
          <w:bCs/>
          <w:sz w:val="28"/>
          <w:szCs w:val="28"/>
        </w:rPr>
        <w:tab/>
      </w:r>
      <w:r w:rsidRPr="00B1555D">
        <w:rPr>
          <w:bCs/>
          <w:sz w:val="28"/>
          <w:szCs w:val="28"/>
        </w:rPr>
        <w:tab/>
      </w:r>
      <w:r w:rsidR="00A61409" w:rsidRPr="00B1555D">
        <w:rPr>
          <w:bCs/>
          <w:sz w:val="28"/>
          <w:szCs w:val="28"/>
        </w:rPr>
        <w:tab/>
      </w:r>
      <w:r w:rsidR="009224BD" w:rsidRPr="00B1555D">
        <w:rPr>
          <w:bCs/>
          <w:sz w:val="28"/>
          <w:szCs w:val="28"/>
        </w:rPr>
        <w:t>Werksmans Attorney</w:t>
      </w:r>
      <w:r w:rsidRPr="00B1555D">
        <w:rPr>
          <w:bCs/>
          <w:sz w:val="28"/>
          <w:szCs w:val="28"/>
        </w:rPr>
        <w:t xml:space="preserve">, </w:t>
      </w:r>
      <w:r w:rsidR="009224BD" w:rsidRPr="00B1555D">
        <w:rPr>
          <w:bCs/>
          <w:sz w:val="28"/>
          <w:szCs w:val="28"/>
        </w:rPr>
        <w:t>Cape Town</w:t>
      </w:r>
      <w:r w:rsidRPr="00B1555D">
        <w:rPr>
          <w:bCs/>
          <w:sz w:val="28"/>
          <w:szCs w:val="28"/>
        </w:rPr>
        <w:t xml:space="preserve"> </w:t>
      </w:r>
    </w:p>
    <w:p w14:paraId="2FC70B1D" w14:textId="25FBBBEB" w:rsidR="00F43000" w:rsidRPr="00B1555D" w:rsidRDefault="00F43000" w:rsidP="00F43000">
      <w:pPr>
        <w:spacing w:line="360" w:lineRule="auto"/>
        <w:ind w:left="459" w:firstLine="1701"/>
        <w:rPr>
          <w:bCs/>
          <w:sz w:val="28"/>
          <w:szCs w:val="28"/>
        </w:rPr>
      </w:pPr>
      <w:r w:rsidRPr="00B1555D">
        <w:rPr>
          <w:bCs/>
          <w:sz w:val="28"/>
          <w:szCs w:val="28"/>
        </w:rPr>
        <w:tab/>
      </w:r>
      <w:r w:rsidR="00A61409" w:rsidRPr="00B1555D">
        <w:rPr>
          <w:bCs/>
          <w:sz w:val="28"/>
          <w:szCs w:val="28"/>
        </w:rPr>
        <w:tab/>
      </w:r>
      <w:r w:rsidR="007D3AE2" w:rsidRPr="00B1555D">
        <w:rPr>
          <w:bCs/>
          <w:sz w:val="28"/>
          <w:szCs w:val="28"/>
        </w:rPr>
        <w:t>Lovius Block</w:t>
      </w:r>
      <w:r w:rsidR="009224BD" w:rsidRPr="00B1555D">
        <w:rPr>
          <w:bCs/>
          <w:sz w:val="28"/>
          <w:szCs w:val="28"/>
        </w:rPr>
        <w:t xml:space="preserve"> Inc</w:t>
      </w:r>
      <w:r w:rsidRPr="00B1555D">
        <w:rPr>
          <w:bCs/>
          <w:sz w:val="28"/>
          <w:szCs w:val="28"/>
        </w:rPr>
        <w:t>, Bloemfontein</w:t>
      </w:r>
      <w:r w:rsidR="00EC5798">
        <w:rPr>
          <w:bCs/>
          <w:sz w:val="28"/>
          <w:szCs w:val="28"/>
        </w:rPr>
        <w:t>.</w:t>
      </w:r>
    </w:p>
    <w:p w14:paraId="020234AD" w14:textId="77777777" w:rsidR="00F43000" w:rsidRPr="00B1555D" w:rsidRDefault="00F43000" w:rsidP="00F43000">
      <w:pPr>
        <w:spacing w:line="360" w:lineRule="auto"/>
        <w:rPr>
          <w:bCs/>
          <w:sz w:val="28"/>
          <w:szCs w:val="28"/>
        </w:rPr>
      </w:pPr>
      <w:r w:rsidRPr="00B1555D">
        <w:rPr>
          <w:bCs/>
          <w:sz w:val="28"/>
          <w:szCs w:val="28"/>
        </w:rPr>
        <w:t xml:space="preserve"> </w:t>
      </w:r>
    </w:p>
    <w:p w14:paraId="6474C5FC" w14:textId="35EA28B8" w:rsidR="0091032F" w:rsidRPr="00B1555D" w:rsidRDefault="00F43000" w:rsidP="00F43000">
      <w:pPr>
        <w:spacing w:line="360" w:lineRule="auto"/>
        <w:rPr>
          <w:sz w:val="28"/>
          <w:szCs w:val="28"/>
        </w:rPr>
      </w:pPr>
      <w:r w:rsidRPr="002A31DC">
        <w:rPr>
          <w:sz w:val="28"/>
          <w:szCs w:val="28"/>
        </w:rPr>
        <w:t>For</w:t>
      </w:r>
      <w:r w:rsidR="00783DBA" w:rsidRPr="002A31DC">
        <w:rPr>
          <w:sz w:val="28"/>
          <w:szCs w:val="28"/>
        </w:rPr>
        <w:t xml:space="preserve"> the</w:t>
      </w:r>
      <w:r w:rsidR="000D28CE" w:rsidRPr="002A31DC">
        <w:rPr>
          <w:sz w:val="28"/>
          <w:szCs w:val="28"/>
        </w:rPr>
        <w:t xml:space="preserve"> </w:t>
      </w:r>
      <w:r w:rsidRPr="002A31DC">
        <w:rPr>
          <w:sz w:val="28"/>
          <w:szCs w:val="28"/>
        </w:rPr>
        <w:t>respondent:</w:t>
      </w:r>
      <w:r w:rsidR="00D7114E" w:rsidRPr="002A31DC">
        <w:rPr>
          <w:sz w:val="28"/>
          <w:szCs w:val="28"/>
        </w:rPr>
        <w:tab/>
      </w:r>
      <w:r w:rsidR="00A61409" w:rsidRPr="002A31DC">
        <w:rPr>
          <w:sz w:val="28"/>
          <w:szCs w:val="28"/>
        </w:rPr>
        <w:tab/>
      </w:r>
      <w:r w:rsidR="002A31DC">
        <w:rPr>
          <w:sz w:val="28"/>
          <w:szCs w:val="28"/>
        </w:rPr>
        <w:t>P A Corbett SC</w:t>
      </w:r>
    </w:p>
    <w:p w14:paraId="32BB6471" w14:textId="6EDC4756" w:rsidR="00F43000" w:rsidRPr="00B1555D" w:rsidRDefault="00F43000" w:rsidP="00F43000">
      <w:pPr>
        <w:spacing w:line="360" w:lineRule="auto"/>
        <w:rPr>
          <w:bCs/>
          <w:sz w:val="28"/>
          <w:szCs w:val="28"/>
        </w:rPr>
      </w:pPr>
      <w:r w:rsidRPr="00B1555D">
        <w:rPr>
          <w:bCs/>
          <w:sz w:val="28"/>
          <w:szCs w:val="28"/>
        </w:rPr>
        <w:t>Instructed by:</w:t>
      </w:r>
      <w:r w:rsidRPr="00B1555D">
        <w:rPr>
          <w:bCs/>
          <w:sz w:val="28"/>
          <w:szCs w:val="28"/>
        </w:rPr>
        <w:tab/>
      </w:r>
      <w:r w:rsidRPr="00B1555D">
        <w:rPr>
          <w:bCs/>
          <w:sz w:val="28"/>
          <w:szCs w:val="28"/>
        </w:rPr>
        <w:tab/>
      </w:r>
      <w:r w:rsidR="00A61409" w:rsidRPr="00B1555D">
        <w:rPr>
          <w:bCs/>
          <w:sz w:val="28"/>
          <w:szCs w:val="28"/>
        </w:rPr>
        <w:tab/>
      </w:r>
      <w:r w:rsidR="0091032F" w:rsidRPr="00B1555D">
        <w:rPr>
          <w:bCs/>
          <w:sz w:val="28"/>
          <w:szCs w:val="28"/>
        </w:rPr>
        <w:t>Van Rensburg &amp; Co, Cape Town</w:t>
      </w:r>
    </w:p>
    <w:p w14:paraId="455C9B6B" w14:textId="04CB374E" w:rsidR="0091032F" w:rsidRPr="00B1555D" w:rsidRDefault="0091032F" w:rsidP="0091032F">
      <w:pPr>
        <w:spacing w:line="360" w:lineRule="auto"/>
        <w:rPr>
          <w:bCs/>
          <w:sz w:val="28"/>
          <w:szCs w:val="28"/>
        </w:rPr>
      </w:pPr>
      <w:r w:rsidRPr="00B1555D">
        <w:rPr>
          <w:bCs/>
          <w:sz w:val="28"/>
          <w:szCs w:val="28"/>
        </w:rPr>
        <w:tab/>
      </w:r>
      <w:r w:rsidRPr="00B1555D">
        <w:rPr>
          <w:bCs/>
          <w:sz w:val="28"/>
          <w:szCs w:val="28"/>
        </w:rPr>
        <w:tab/>
      </w:r>
      <w:r w:rsidRPr="00B1555D">
        <w:rPr>
          <w:bCs/>
          <w:sz w:val="28"/>
          <w:szCs w:val="28"/>
        </w:rPr>
        <w:tab/>
      </w:r>
      <w:r w:rsidRPr="00B1555D">
        <w:rPr>
          <w:bCs/>
          <w:sz w:val="28"/>
          <w:szCs w:val="28"/>
        </w:rPr>
        <w:tab/>
      </w:r>
      <w:r w:rsidRPr="00B1555D">
        <w:rPr>
          <w:bCs/>
          <w:sz w:val="28"/>
          <w:szCs w:val="28"/>
        </w:rPr>
        <w:tab/>
        <w:t xml:space="preserve">Symington </w:t>
      </w:r>
      <w:r w:rsidR="0041237B">
        <w:rPr>
          <w:bCs/>
          <w:sz w:val="28"/>
          <w:szCs w:val="28"/>
        </w:rPr>
        <w:t>de</w:t>
      </w:r>
      <w:r w:rsidRPr="00B1555D">
        <w:rPr>
          <w:bCs/>
          <w:sz w:val="28"/>
          <w:szCs w:val="28"/>
        </w:rPr>
        <w:t xml:space="preserve"> Kok</w:t>
      </w:r>
      <w:r w:rsidR="0041237B">
        <w:rPr>
          <w:bCs/>
          <w:sz w:val="28"/>
          <w:szCs w:val="28"/>
        </w:rPr>
        <w:t xml:space="preserve"> Inc</w:t>
      </w:r>
      <w:r w:rsidRPr="00B1555D">
        <w:rPr>
          <w:bCs/>
          <w:sz w:val="28"/>
          <w:szCs w:val="28"/>
        </w:rPr>
        <w:t>, Bloemfontein</w:t>
      </w:r>
      <w:r w:rsidR="00EC5798">
        <w:rPr>
          <w:bCs/>
          <w:sz w:val="28"/>
          <w:szCs w:val="28"/>
        </w:rPr>
        <w:t>.</w:t>
      </w:r>
    </w:p>
    <w:p w14:paraId="4D59A98C" w14:textId="30EB139F" w:rsidR="000D28CE" w:rsidRPr="00B1555D" w:rsidRDefault="00F43000" w:rsidP="00F43000">
      <w:pPr>
        <w:spacing w:line="360" w:lineRule="auto"/>
        <w:rPr>
          <w:bCs/>
          <w:sz w:val="28"/>
          <w:szCs w:val="28"/>
        </w:rPr>
      </w:pPr>
      <w:r w:rsidRPr="00B1555D">
        <w:rPr>
          <w:bCs/>
          <w:sz w:val="28"/>
          <w:szCs w:val="28"/>
        </w:rPr>
        <w:tab/>
      </w:r>
      <w:r w:rsidR="002069E5" w:rsidRPr="00B1555D">
        <w:rPr>
          <w:bCs/>
          <w:sz w:val="28"/>
          <w:szCs w:val="28"/>
        </w:rPr>
        <w:tab/>
      </w:r>
      <w:r w:rsidR="002069E5" w:rsidRPr="00B1555D">
        <w:rPr>
          <w:bCs/>
          <w:sz w:val="28"/>
          <w:szCs w:val="28"/>
        </w:rPr>
        <w:tab/>
      </w:r>
      <w:r w:rsidR="002069E5" w:rsidRPr="00B1555D">
        <w:rPr>
          <w:bCs/>
          <w:sz w:val="28"/>
          <w:szCs w:val="28"/>
        </w:rPr>
        <w:tab/>
      </w:r>
      <w:r w:rsidR="00A61409" w:rsidRPr="00B1555D">
        <w:rPr>
          <w:bCs/>
          <w:sz w:val="28"/>
          <w:szCs w:val="28"/>
        </w:rPr>
        <w:tab/>
      </w:r>
    </w:p>
    <w:p w14:paraId="2512A3E3" w14:textId="77777777" w:rsidR="000D28CE" w:rsidRPr="00B1555D" w:rsidRDefault="000D28CE" w:rsidP="000D28CE">
      <w:pPr>
        <w:rPr>
          <w:bCs/>
          <w:sz w:val="28"/>
          <w:szCs w:val="28"/>
        </w:rPr>
      </w:pPr>
    </w:p>
    <w:p w14:paraId="5938CFC7" w14:textId="77777777" w:rsidR="00F43000" w:rsidRPr="00D751EB" w:rsidRDefault="00F43000" w:rsidP="00040B65">
      <w:pPr>
        <w:spacing w:line="360" w:lineRule="auto"/>
        <w:jc w:val="both"/>
        <w:rPr>
          <w:sz w:val="28"/>
          <w:szCs w:val="28"/>
        </w:rPr>
      </w:pPr>
    </w:p>
    <w:p w14:paraId="387D93E2" w14:textId="2DFD2D35" w:rsidR="005E0CD4" w:rsidRPr="00B1555D" w:rsidRDefault="00181F71" w:rsidP="005D58D2">
      <w:pPr>
        <w:spacing w:line="360" w:lineRule="auto"/>
        <w:jc w:val="both"/>
        <w:rPr>
          <w:sz w:val="28"/>
          <w:szCs w:val="28"/>
        </w:rPr>
      </w:pPr>
      <w:r w:rsidRPr="00B1555D">
        <w:rPr>
          <w:sz w:val="28"/>
          <w:szCs w:val="28"/>
        </w:rPr>
        <w:tab/>
      </w:r>
      <w:r w:rsidRPr="00B1555D">
        <w:rPr>
          <w:sz w:val="28"/>
          <w:szCs w:val="28"/>
        </w:rPr>
        <w:tab/>
      </w:r>
      <w:r w:rsidRPr="00B1555D">
        <w:rPr>
          <w:sz w:val="28"/>
          <w:szCs w:val="28"/>
        </w:rPr>
        <w:tab/>
      </w:r>
      <w:r w:rsidRPr="00B1555D">
        <w:rPr>
          <w:sz w:val="28"/>
          <w:szCs w:val="28"/>
        </w:rPr>
        <w:tab/>
      </w:r>
      <w:r w:rsidRPr="00B1555D">
        <w:rPr>
          <w:sz w:val="28"/>
          <w:szCs w:val="28"/>
        </w:rPr>
        <w:tab/>
        <w:t xml:space="preserve">        </w:t>
      </w:r>
      <w:r w:rsidR="005E0CD4" w:rsidRPr="00B1555D">
        <w:rPr>
          <w:sz w:val="28"/>
          <w:szCs w:val="28"/>
        </w:rPr>
        <w:t xml:space="preserve">     </w:t>
      </w:r>
    </w:p>
    <w:sectPr w:rsidR="005E0CD4" w:rsidRPr="00B1555D"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A24AB" w14:textId="77777777" w:rsidR="00AB52D2" w:rsidRDefault="00AB52D2" w:rsidP="005023EF">
      <w:r>
        <w:separator/>
      </w:r>
    </w:p>
  </w:endnote>
  <w:endnote w:type="continuationSeparator" w:id="0">
    <w:p w14:paraId="4F7A921C" w14:textId="77777777" w:rsidR="00AB52D2" w:rsidRDefault="00AB52D2"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61FF" w14:textId="77777777" w:rsidR="00AB52D2" w:rsidRDefault="00AB52D2" w:rsidP="005023EF">
      <w:r>
        <w:separator/>
      </w:r>
    </w:p>
  </w:footnote>
  <w:footnote w:type="continuationSeparator" w:id="0">
    <w:p w14:paraId="3371F722" w14:textId="77777777" w:rsidR="00AB52D2" w:rsidRDefault="00AB52D2" w:rsidP="005023EF">
      <w:r>
        <w:continuationSeparator/>
      </w:r>
    </w:p>
  </w:footnote>
  <w:footnote w:id="1">
    <w:p w14:paraId="36AAA17F" w14:textId="27E80A87" w:rsidR="0050496A" w:rsidRPr="006D5903" w:rsidRDefault="0050496A" w:rsidP="008F42D8">
      <w:pPr>
        <w:pStyle w:val="FootnoteText"/>
        <w:jc w:val="both"/>
        <w:rPr>
          <w:lang w:val="en-ZA"/>
        </w:rPr>
      </w:pPr>
      <w:r>
        <w:rPr>
          <w:rStyle w:val="FootnoteReference"/>
        </w:rPr>
        <w:footnoteRef/>
      </w:r>
      <w:r>
        <w:t xml:space="preserve"> </w:t>
      </w:r>
      <w:r>
        <w:rPr>
          <w:lang w:val="en-ZA"/>
        </w:rPr>
        <w:t>The lease agreement was concluded with the Butcher Shop &amp; Grill CC, which subsequently changed its corporate structure to that of a limited company. The lease was concluded on 20 February 2014.</w:t>
      </w:r>
    </w:p>
  </w:footnote>
  <w:footnote w:id="2">
    <w:p w14:paraId="3DB24A38" w14:textId="575A0FE3" w:rsidR="0050496A" w:rsidRPr="00B03DE8" w:rsidRDefault="0050496A">
      <w:pPr>
        <w:pStyle w:val="FootnoteText"/>
        <w:jc w:val="both"/>
        <w:rPr>
          <w:lang w:val="en-ZA"/>
        </w:rPr>
      </w:pPr>
      <w:r>
        <w:rPr>
          <w:rStyle w:val="FootnoteReference"/>
        </w:rPr>
        <w:footnoteRef/>
      </w:r>
      <w:r>
        <w:t xml:space="preserve"> </w:t>
      </w:r>
      <w:r>
        <w:rPr>
          <w:lang w:val="en-ZA"/>
        </w:rPr>
        <w:t>The Trust had supplemented its papers in the high court to claim further amounts</w:t>
      </w:r>
      <w:r w:rsidR="0041237B">
        <w:rPr>
          <w:lang w:val="en-ZA"/>
        </w:rPr>
        <w:t>.</w:t>
      </w:r>
      <w:r>
        <w:rPr>
          <w:lang w:val="en-ZA"/>
        </w:rPr>
        <w:t xml:space="preserve"> which became due after the launch of the main application.</w:t>
      </w:r>
    </w:p>
  </w:footnote>
  <w:footnote w:id="3">
    <w:p w14:paraId="085A2883" w14:textId="0D5D0D7C" w:rsidR="0050496A" w:rsidRPr="000C5791" w:rsidRDefault="0050496A">
      <w:pPr>
        <w:pStyle w:val="FootnoteText"/>
        <w:jc w:val="both"/>
      </w:pPr>
      <w:r w:rsidRPr="000C5791">
        <w:rPr>
          <w:rStyle w:val="FootnoteReference"/>
        </w:rPr>
        <w:footnoteRef/>
      </w:r>
      <w:r w:rsidRPr="000C5791">
        <w:t xml:space="preserve"> A J Kerr</w:t>
      </w:r>
      <w:r>
        <w:t>,</w:t>
      </w:r>
      <w:r w:rsidRPr="000C5791">
        <w:t xml:space="preserve"> </w:t>
      </w:r>
      <w:r w:rsidRPr="000C5791">
        <w:rPr>
          <w:i/>
        </w:rPr>
        <w:t xml:space="preserve">The Law of </w:t>
      </w:r>
      <w:r>
        <w:rPr>
          <w:i/>
        </w:rPr>
        <w:t>S</w:t>
      </w:r>
      <w:r w:rsidRPr="000C5791">
        <w:rPr>
          <w:i/>
        </w:rPr>
        <w:t xml:space="preserve">ale and </w:t>
      </w:r>
      <w:r>
        <w:rPr>
          <w:i/>
        </w:rPr>
        <w:t>L</w:t>
      </w:r>
      <w:r w:rsidRPr="000C5791">
        <w:rPr>
          <w:i/>
        </w:rPr>
        <w:t>ease</w:t>
      </w:r>
      <w:r w:rsidRPr="000C5791">
        <w:t xml:space="preserve"> 3</w:t>
      </w:r>
      <w:r>
        <w:t>rd</w:t>
      </w:r>
      <w:r w:rsidRPr="000C5791">
        <w:t xml:space="preserve"> ed </w:t>
      </w:r>
      <w:r>
        <w:t xml:space="preserve">at </w:t>
      </w:r>
      <w:r w:rsidRPr="000C5791">
        <w:t>350.</w:t>
      </w:r>
    </w:p>
  </w:footnote>
  <w:footnote w:id="4">
    <w:p w14:paraId="73FCF173" w14:textId="2E020516" w:rsidR="0050496A" w:rsidRPr="003D485E" w:rsidRDefault="0050496A">
      <w:pPr>
        <w:pStyle w:val="FootnoteText"/>
        <w:jc w:val="both"/>
        <w:rPr>
          <w:lang w:val="en-ZA"/>
        </w:rPr>
      </w:pPr>
      <w:r>
        <w:rPr>
          <w:rStyle w:val="FootnoteReference"/>
        </w:rPr>
        <w:footnoteRef/>
      </w:r>
      <w:r>
        <w:t xml:space="preserve"> </w:t>
      </w:r>
      <w:r>
        <w:rPr>
          <w:i/>
          <w:iCs/>
          <w:lang w:val="en-ZA"/>
        </w:rPr>
        <w:t xml:space="preserve">Hansen, Schrader &amp; Co v Kopelowitz </w:t>
      </w:r>
      <w:r>
        <w:t>1903 TS 707 at 718-719; see also</w:t>
      </w:r>
      <w:r w:rsidRPr="007F12BA">
        <w:rPr>
          <w:i/>
        </w:rPr>
        <w:t xml:space="preserve"> </w:t>
      </w:r>
      <w:r w:rsidRPr="000C5791">
        <w:rPr>
          <w:i/>
        </w:rPr>
        <w:t xml:space="preserve">Thompson v Scholtz </w:t>
      </w:r>
      <w:r>
        <w:t xml:space="preserve">[1998] 4 All SA 526 (A); </w:t>
      </w:r>
      <w:r w:rsidRPr="000C5791">
        <w:t>1999 (1) SA 232 (SCA) at 237H-238C.</w:t>
      </w:r>
    </w:p>
  </w:footnote>
  <w:footnote w:id="5">
    <w:p w14:paraId="6B47C4DA" w14:textId="341B3968" w:rsidR="0050496A" w:rsidRPr="008B5B9D" w:rsidRDefault="0050496A">
      <w:pPr>
        <w:pStyle w:val="FootnoteText"/>
        <w:jc w:val="both"/>
        <w:rPr>
          <w:lang w:val="en-ZA"/>
        </w:rPr>
      </w:pPr>
      <w:r>
        <w:rPr>
          <w:rStyle w:val="FootnoteReference"/>
        </w:rPr>
        <w:footnoteRef/>
      </w:r>
      <w:r>
        <w:t xml:space="preserve"> </w:t>
      </w:r>
      <w:r>
        <w:rPr>
          <w:i/>
          <w:iCs/>
          <w:lang w:val="en-ZA"/>
        </w:rPr>
        <w:t>First National Bank of SA Ltd v Rosenblum</w:t>
      </w:r>
      <w:r>
        <w:rPr>
          <w:lang w:val="en-ZA"/>
        </w:rPr>
        <w:t xml:space="preserve"> </w:t>
      </w:r>
      <w:r>
        <w:rPr>
          <w:i/>
          <w:lang w:val="en-ZA"/>
        </w:rPr>
        <w:t xml:space="preserve">&amp; Another </w:t>
      </w:r>
      <w:r>
        <w:rPr>
          <w:lang w:val="en-ZA"/>
        </w:rPr>
        <w:t>[2001] 4 All SA 355 (SCA); 2001 (4) SA 189 (SCA) para 6.</w:t>
      </w:r>
    </w:p>
  </w:footnote>
  <w:footnote w:id="6">
    <w:p w14:paraId="2B6BA032" w14:textId="3A61F7ED" w:rsidR="0050496A" w:rsidRPr="00440744" w:rsidRDefault="0050496A">
      <w:pPr>
        <w:pStyle w:val="FootnoteText"/>
        <w:jc w:val="both"/>
        <w:rPr>
          <w:lang w:val="en-ZA"/>
        </w:rPr>
      </w:pPr>
      <w:r>
        <w:rPr>
          <w:rStyle w:val="FootnoteReference"/>
        </w:rPr>
        <w:footnoteRef/>
      </w:r>
      <w:r>
        <w:t xml:space="preserve"> </w:t>
      </w:r>
      <w:r>
        <w:rPr>
          <w:lang w:val="en-ZA"/>
        </w:rPr>
        <w:t xml:space="preserve">Kerr </w:t>
      </w:r>
      <w:r w:rsidR="0041237B">
        <w:rPr>
          <w:lang w:val="en-ZA"/>
        </w:rPr>
        <w:t xml:space="preserve">fn 3 above at </w:t>
      </w:r>
      <w:r>
        <w:rPr>
          <w:lang w:val="en-ZA"/>
        </w:rPr>
        <w:t>353.</w:t>
      </w:r>
    </w:p>
  </w:footnote>
  <w:footnote w:id="7">
    <w:p w14:paraId="187C9462" w14:textId="395E0D57" w:rsidR="0050496A" w:rsidRPr="00440744" w:rsidRDefault="0050496A">
      <w:pPr>
        <w:pStyle w:val="FootnoteText"/>
        <w:jc w:val="both"/>
        <w:rPr>
          <w:lang w:val="en-ZA"/>
        </w:rPr>
      </w:pPr>
      <w:r>
        <w:rPr>
          <w:rStyle w:val="FootnoteReference"/>
        </w:rPr>
        <w:footnoteRef/>
      </w:r>
      <w:r>
        <w:t xml:space="preserve"> </w:t>
      </w:r>
      <w:r>
        <w:rPr>
          <w:lang w:val="en-ZA"/>
        </w:rPr>
        <w:t>Ibid at 357</w:t>
      </w:r>
      <w:r w:rsidR="0041237B">
        <w:rPr>
          <w:lang w:val="en-ZA"/>
        </w:rPr>
        <w:t>.</w:t>
      </w:r>
      <w:r>
        <w:rPr>
          <w:lang w:val="en-ZA"/>
        </w:rPr>
        <w:t xml:space="preserve"> </w:t>
      </w:r>
    </w:p>
  </w:footnote>
  <w:footnote w:id="8">
    <w:p w14:paraId="41E979E6" w14:textId="34D64FC0" w:rsidR="0050496A" w:rsidRPr="007E06E2" w:rsidRDefault="0050496A">
      <w:pPr>
        <w:pStyle w:val="FootnoteText"/>
        <w:jc w:val="both"/>
        <w:rPr>
          <w:lang w:val="en-ZA"/>
        </w:rPr>
      </w:pPr>
      <w:r>
        <w:rPr>
          <w:rStyle w:val="FootnoteReference"/>
        </w:rPr>
        <w:footnoteRef/>
      </w:r>
      <w:r>
        <w:t xml:space="preserve"> </w:t>
      </w:r>
      <w:r>
        <w:rPr>
          <w:i/>
          <w:iCs/>
          <w:lang w:val="en-ZA"/>
        </w:rPr>
        <w:t>North Western Hotel Ltd v Rolfes, Nebel &amp; Co</w:t>
      </w:r>
      <w:r>
        <w:rPr>
          <w:lang w:val="en-ZA"/>
        </w:rPr>
        <w:t xml:space="preserve"> 1902 TS 324 (</w:t>
      </w:r>
      <w:r>
        <w:rPr>
          <w:i/>
          <w:iCs/>
          <w:lang w:val="en-ZA"/>
        </w:rPr>
        <w:t>North Western Hotel)</w:t>
      </w:r>
      <w:r>
        <w:rPr>
          <w:lang w:val="en-ZA"/>
        </w:rPr>
        <w:t>.</w:t>
      </w:r>
    </w:p>
  </w:footnote>
  <w:footnote w:id="9">
    <w:p w14:paraId="12F05B3E" w14:textId="6A68C998" w:rsidR="0050496A" w:rsidRPr="00FB7581" w:rsidRDefault="0050496A">
      <w:pPr>
        <w:pStyle w:val="FootnoteText"/>
        <w:jc w:val="both"/>
        <w:rPr>
          <w:lang w:val="en-ZA"/>
        </w:rPr>
      </w:pPr>
      <w:r>
        <w:rPr>
          <w:rStyle w:val="FootnoteReference"/>
        </w:rPr>
        <w:footnoteRef/>
      </w:r>
      <w:r>
        <w:t xml:space="preserve"> </w:t>
      </w:r>
      <w:r>
        <w:rPr>
          <w:lang w:val="en-ZA"/>
        </w:rPr>
        <w:t>Fn 8 above at 329.</w:t>
      </w:r>
    </w:p>
  </w:footnote>
  <w:footnote w:id="10">
    <w:p w14:paraId="646A2FFF" w14:textId="436E6F8A" w:rsidR="0050496A" w:rsidRPr="00B74EF0" w:rsidRDefault="0050496A">
      <w:pPr>
        <w:pStyle w:val="FootnoteText"/>
        <w:jc w:val="both"/>
        <w:rPr>
          <w:lang w:val="en-ZA"/>
        </w:rPr>
      </w:pPr>
      <w:r>
        <w:rPr>
          <w:rStyle w:val="FootnoteReference"/>
        </w:rPr>
        <w:footnoteRef/>
      </w:r>
      <w:r>
        <w:t xml:space="preserve"> </w:t>
      </w:r>
      <w:r>
        <w:rPr>
          <w:lang w:val="en-ZA"/>
        </w:rPr>
        <w:t>Ibid at 332.</w:t>
      </w:r>
    </w:p>
  </w:footnote>
  <w:footnote w:id="11">
    <w:p w14:paraId="35D50798" w14:textId="74F5D5BA" w:rsidR="0050496A" w:rsidRPr="00F7793C" w:rsidRDefault="0050496A">
      <w:pPr>
        <w:pStyle w:val="FootnoteText"/>
        <w:jc w:val="both"/>
        <w:rPr>
          <w:lang w:val="en-ZA"/>
        </w:rPr>
      </w:pPr>
      <w:r>
        <w:rPr>
          <w:rStyle w:val="FootnoteReference"/>
        </w:rPr>
        <w:footnoteRef/>
      </w:r>
      <w:r>
        <w:t xml:space="preserve"> </w:t>
      </w:r>
      <w:r>
        <w:rPr>
          <w:lang w:val="en-ZA"/>
        </w:rPr>
        <w:t xml:space="preserve">Kerr </w:t>
      </w:r>
      <w:r w:rsidR="0041237B">
        <w:rPr>
          <w:lang w:val="en-ZA"/>
        </w:rPr>
        <w:t xml:space="preserve">fn 3 above at </w:t>
      </w:r>
      <w:r>
        <w:rPr>
          <w:lang w:val="en-ZA"/>
        </w:rPr>
        <w:t xml:space="preserve">353 – 356; </w:t>
      </w:r>
      <w:r w:rsidR="0041237B">
        <w:rPr>
          <w:lang w:val="en-ZA"/>
        </w:rPr>
        <w:t>, Du Bois et al</w:t>
      </w:r>
      <w:r w:rsidR="0041237B">
        <w:rPr>
          <w:i/>
          <w:iCs/>
          <w:lang w:val="en-ZA"/>
        </w:rPr>
        <w:t xml:space="preserve"> </w:t>
      </w:r>
      <w:r>
        <w:rPr>
          <w:i/>
          <w:iCs/>
          <w:lang w:val="en-ZA"/>
        </w:rPr>
        <w:t>Wille’s Principles of South African Law</w:t>
      </w:r>
      <w:r>
        <w:rPr>
          <w:lang w:val="en-ZA"/>
        </w:rPr>
        <w:t xml:space="preserve"> </w:t>
      </w:r>
      <w:r w:rsidR="00770EB9">
        <w:rPr>
          <w:lang w:val="en-ZA"/>
        </w:rPr>
        <w:t xml:space="preserve">(2007) </w:t>
      </w:r>
      <w:r>
        <w:rPr>
          <w:lang w:val="en-ZA"/>
        </w:rPr>
        <w:t>9 ed</w:t>
      </w:r>
      <w:r w:rsidR="00770EB9">
        <w:rPr>
          <w:lang w:val="en-ZA"/>
        </w:rPr>
        <w:t xml:space="preserve"> at</w:t>
      </w:r>
      <w:r>
        <w:rPr>
          <w:lang w:val="en-ZA"/>
        </w:rPr>
        <w:t xml:space="preserve"> 916.</w:t>
      </w:r>
    </w:p>
  </w:footnote>
  <w:footnote w:id="12">
    <w:p w14:paraId="7906C8D1" w14:textId="73EA9709" w:rsidR="0050496A" w:rsidRPr="000801AE" w:rsidRDefault="0050496A">
      <w:pPr>
        <w:pStyle w:val="FootnoteText"/>
        <w:jc w:val="both"/>
        <w:rPr>
          <w:lang w:val="en-ZA"/>
        </w:rPr>
      </w:pPr>
      <w:r>
        <w:rPr>
          <w:rStyle w:val="FootnoteReference"/>
        </w:rPr>
        <w:footnoteRef/>
      </w:r>
      <w:r>
        <w:t xml:space="preserve"> </w:t>
      </w:r>
      <w:r>
        <w:rPr>
          <w:lang w:val="en-ZA"/>
        </w:rPr>
        <w:t>I deal with the ‘development of the common law’ argument later in this judgment. See para 55 below.</w:t>
      </w:r>
    </w:p>
  </w:footnote>
  <w:footnote w:id="13">
    <w:p w14:paraId="579C19DD" w14:textId="5593CE0C" w:rsidR="0050496A" w:rsidRPr="00956A43" w:rsidRDefault="0050496A">
      <w:pPr>
        <w:pStyle w:val="FootnoteText"/>
        <w:jc w:val="both"/>
        <w:rPr>
          <w:lang w:val="en-ZA"/>
        </w:rPr>
      </w:pPr>
      <w:r>
        <w:rPr>
          <w:rStyle w:val="FootnoteReference"/>
        </w:rPr>
        <w:footnoteRef/>
      </w:r>
      <w:r>
        <w:t xml:space="preserve"> </w:t>
      </w:r>
      <w:r>
        <w:rPr>
          <w:lang w:val="en-ZA"/>
        </w:rPr>
        <w:t xml:space="preserve">For example, matters which arise in relation to the </w:t>
      </w:r>
      <w:r>
        <w:rPr>
          <w:i/>
          <w:iCs/>
          <w:lang w:val="en-ZA"/>
        </w:rPr>
        <w:t>Turquand</w:t>
      </w:r>
      <w:r>
        <w:rPr>
          <w:lang w:val="en-ZA"/>
        </w:rPr>
        <w:t xml:space="preserve"> rule and the protection of persons who, bona fide, rely upon the conduct of directors and officers of a company purportedly carried out with authority to bind the company.</w:t>
      </w:r>
    </w:p>
  </w:footnote>
  <w:footnote w:id="14">
    <w:p w14:paraId="38A01054" w14:textId="7ECBFBE8" w:rsidR="0050496A" w:rsidRPr="005B2061" w:rsidRDefault="0050496A" w:rsidP="00FE0A75">
      <w:pPr>
        <w:pStyle w:val="FootnoteText"/>
        <w:jc w:val="both"/>
        <w:rPr>
          <w:lang w:val="en-ZA"/>
        </w:rPr>
      </w:pPr>
      <w:r>
        <w:rPr>
          <w:rStyle w:val="FootnoteReference"/>
        </w:rPr>
        <w:footnoteRef/>
      </w:r>
      <w:r>
        <w:t xml:space="preserve"> </w:t>
      </w:r>
      <w:r>
        <w:rPr>
          <w:i/>
          <w:iCs/>
          <w:lang w:val="en-ZA"/>
        </w:rPr>
        <w:t>Ex Parte Gore and Others</w:t>
      </w:r>
      <w:r>
        <w:rPr>
          <w:lang w:val="en-ZA"/>
        </w:rPr>
        <w:t xml:space="preserve"> 2013 (3) SA 382 (WC); [2013] 2 All SA 437 (WCC) (</w:t>
      </w:r>
      <w:r>
        <w:rPr>
          <w:i/>
          <w:iCs/>
          <w:lang w:val="en-ZA"/>
        </w:rPr>
        <w:t>Gore</w:t>
      </w:r>
      <w:r>
        <w:rPr>
          <w:lang w:val="en-ZA"/>
        </w:rPr>
        <w:t>) para 31.</w:t>
      </w:r>
    </w:p>
  </w:footnote>
  <w:footnote w:id="15">
    <w:p w14:paraId="77CA5F11" w14:textId="77777777" w:rsidR="0050496A" w:rsidRPr="00E5639D" w:rsidRDefault="0050496A">
      <w:pPr>
        <w:pStyle w:val="FootnoteText"/>
        <w:jc w:val="both"/>
        <w:rPr>
          <w:lang w:val="en-ZA"/>
        </w:rPr>
      </w:pPr>
      <w:r>
        <w:rPr>
          <w:rStyle w:val="FootnoteReference"/>
        </w:rPr>
        <w:footnoteRef/>
      </w:r>
      <w:r>
        <w:t xml:space="preserve"> </w:t>
      </w:r>
      <w:r>
        <w:rPr>
          <w:lang w:val="en-ZA"/>
        </w:rPr>
        <w:t>Ibid para 32.</w:t>
      </w:r>
    </w:p>
  </w:footnote>
  <w:footnote w:id="16">
    <w:p w14:paraId="29AE05F0" w14:textId="77777777" w:rsidR="0050496A" w:rsidRPr="00E5639D" w:rsidRDefault="0050496A">
      <w:pPr>
        <w:pStyle w:val="FootnoteText"/>
        <w:jc w:val="both"/>
        <w:rPr>
          <w:lang w:val="en-ZA"/>
        </w:rPr>
      </w:pPr>
      <w:r>
        <w:rPr>
          <w:rStyle w:val="FootnoteReference"/>
        </w:rPr>
        <w:footnoteRef/>
      </w:r>
      <w:r>
        <w:t xml:space="preserve"> </w:t>
      </w:r>
      <w:r>
        <w:rPr>
          <w:lang w:val="en-ZA"/>
        </w:rPr>
        <w:t>Ibid para 33.</w:t>
      </w:r>
    </w:p>
  </w:footnote>
  <w:footnote w:id="17">
    <w:p w14:paraId="01A26441" w14:textId="7233BA99" w:rsidR="0050496A" w:rsidRPr="00E5639D" w:rsidRDefault="0050496A">
      <w:pPr>
        <w:pStyle w:val="FootnoteText"/>
        <w:jc w:val="both"/>
        <w:rPr>
          <w:lang w:val="en-ZA"/>
        </w:rPr>
      </w:pPr>
      <w:r>
        <w:rPr>
          <w:rStyle w:val="FootnoteReference"/>
        </w:rPr>
        <w:footnoteRef/>
      </w:r>
      <w:r>
        <w:t xml:space="preserve"> </w:t>
      </w:r>
      <w:r>
        <w:rPr>
          <w:i/>
          <w:iCs/>
          <w:lang w:val="en-ZA"/>
        </w:rPr>
        <w:t>City Capital SA Property Holdings Ltd v Chavonnes Badenhorst St Clair Cooper and Others</w:t>
      </w:r>
      <w:r>
        <w:rPr>
          <w:lang w:val="en-ZA"/>
        </w:rPr>
        <w:t xml:space="preserve"> [2017] ZASCA 177; 2018 (4) SA 71 (SCA).</w:t>
      </w:r>
    </w:p>
  </w:footnote>
  <w:footnote w:id="18">
    <w:p w14:paraId="2542B8D0" w14:textId="77777777" w:rsidR="0050496A" w:rsidRDefault="0050496A">
      <w:pPr>
        <w:pStyle w:val="FootnoteText"/>
        <w:jc w:val="both"/>
        <w:rPr>
          <w:lang w:val="en-ZA"/>
        </w:rPr>
      </w:pPr>
      <w:r>
        <w:rPr>
          <w:rStyle w:val="FootnoteReference"/>
        </w:rPr>
        <w:footnoteRef/>
      </w:r>
      <w:r>
        <w:t xml:space="preserve"> </w:t>
      </w:r>
      <w:r>
        <w:rPr>
          <w:lang w:val="en-ZA"/>
        </w:rPr>
        <w:t>Section 165 deals with derivative actions. Subsection (1) states that:</w:t>
      </w:r>
    </w:p>
    <w:p w14:paraId="0BB8D6A9" w14:textId="34EF476E" w:rsidR="0050496A" w:rsidRDefault="0050496A">
      <w:pPr>
        <w:pStyle w:val="FootnoteText"/>
        <w:jc w:val="both"/>
        <w:rPr>
          <w:lang w:val="en-ZA"/>
        </w:rPr>
      </w:pPr>
      <w:r>
        <w:rPr>
          <w:lang w:val="en-ZA"/>
        </w:rPr>
        <w:t>‘Any right at common law of a person other than a company to bring or prosecute any legal proceedings on behalf of that company is abolished, and the rights in this section are in substitution for any such abolished right.’</w:t>
      </w:r>
    </w:p>
    <w:p w14:paraId="4D0FD5BB" w14:textId="0BC8ABCD" w:rsidR="0050496A" w:rsidRPr="00387CBB" w:rsidRDefault="0050496A">
      <w:pPr>
        <w:pStyle w:val="FootnoteText"/>
        <w:jc w:val="both"/>
        <w:rPr>
          <w:lang w:val="en-ZA"/>
        </w:rPr>
      </w:pPr>
      <w:r>
        <w:rPr>
          <w:lang w:val="en-ZA"/>
        </w:rPr>
        <w:t>Section 161 deals with the protection of the rights of holders of securities. It provides in subsection (2) that the right to approach a court conferred by the section is in addition to the rights conferred at common law. It is not without significance that subsection (2) was amended by the Companies Amendment Act 3 of 2011, which is the same amending legislation which introduced s 20(9) to the Act.</w:t>
      </w:r>
    </w:p>
  </w:footnote>
  <w:footnote w:id="19">
    <w:p w14:paraId="4D2FBFB1" w14:textId="4B773631" w:rsidR="0050496A" w:rsidRPr="00355222" w:rsidRDefault="0050496A">
      <w:pPr>
        <w:pStyle w:val="FootnoteText"/>
        <w:jc w:val="both"/>
        <w:rPr>
          <w:lang w:val="en-ZA"/>
        </w:rPr>
      </w:pPr>
      <w:r>
        <w:rPr>
          <w:rStyle w:val="FootnoteReference"/>
        </w:rPr>
        <w:footnoteRef/>
      </w:r>
      <w:r>
        <w:t xml:space="preserve"> </w:t>
      </w:r>
      <w:r>
        <w:rPr>
          <w:i/>
          <w:iCs/>
          <w:lang w:val="en-ZA"/>
        </w:rPr>
        <w:t>Cape Pacific Ltd v Lubner Controlling Investments (Pty) Ltd and Others</w:t>
      </w:r>
      <w:r>
        <w:rPr>
          <w:lang w:val="en-ZA"/>
        </w:rPr>
        <w:t xml:space="preserve"> [1995] 2 All SA 543 (A); 1995 (4) SA 790 (A) at 804C-D (</w:t>
      </w:r>
      <w:r>
        <w:rPr>
          <w:i/>
          <w:iCs/>
          <w:lang w:val="en-ZA"/>
        </w:rPr>
        <w:t>Cape Pacific</w:t>
      </w:r>
      <w:r>
        <w:rPr>
          <w:lang w:val="en-ZA"/>
        </w:rPr>
        <w:t>).</w:t>
      </w:r>
    </w:p>
  </w:footnote>
  <w:footnote w:id="20">
    <w:p w14:paraId="4D21EB27" w14:textId="77777777" w:rsidR="0050496A" w:rsidRPr="00DA6AEE" w:rsidRDefault="0050496A">
      <w:pPr>
        <w:pStyle w:val="FootnoteText"/>
        <w:jc w:val="both"/>
        <w:rPr>
          <w:lang w:val="en-ZA"/>
        </w:rPr>
      </w:pPr>
      <w:r>
        <w:rPr>
          <w:rStyle w:val="FootnoteReference"/>
        </w:rPr>
        <w:footnoteRef/>
      </w:r>
      <w:r>
        <w:t xml:space="preserve"> </w:t>
      </w:r>
      <w:r>
        <w:rPr>
          <w:lang w:val="en-ZA"/>
        </w:rPr>
        <w:t>Ibid at 802H-I.</w:t>
      </w:r>
    </w:p>
  </w:footnote>
  <w:footnote w:id="21">
    <w:p w14:paraId="4154B816" w14:textId="3F9447B0" w:rsidR="0050496A" w:rsidRPr="00C6053F" w:rsidRDefault="0050496A">
      <w:pPr>
        <w:pStyle w:val="FootnoteText"/>
        <w:jc w:val="both"/>
        <w:rPr>
          <w:lang w:val="en-ZA"/>
        </w:rPr>
      </w:pPr>
      <w:r>
        <w:rPr>
          <w:rStyle w:val="FootnoteReference"/>
        </w:rPr>
        <w:footnoteRef/>
      </w:r>
      <w:r>
        <w:t xml:space="preserve"> </w:t>
      </w:r>
      <w:r>
        <w:rPr>
          <w:lang w:val="en-ZA"/>
        </w:rPr>
        <w:t>Ibid at 803A.</w:t>
      </w:r>
    </w:p>
  </w:footnote>
  <w:footnote w:id="22">
    <w:p w14:paraId="06D56167" w14:textId="11E7D8E4" w:rsidR="0050496A" w:rsidRPr="00C6053F" w:rsidRDefault="0050496A">
      <w:pPr>
        <w:pStyle w:val="FootnoteText"/>
        <w:jc w:val="both"/>
        <w:rPr>
          <w:lang w:val="en-ZA"/>
        </w:rPr>
      </w:pPr>
      <w:r>
        <w:rPr>
          <w:rStyle w:val="FootnoteReference"/>
        </w:rPr>
        <w:footnoteRef/>
      </w:r>
      <w:r>
        <w:t xml:space="preserve"> </w:t>
      </w:r>
      <w:r>
        <w:rPr>
          <w:i/>
          <w:iCs/>
          <w:lang w:val="en-ZA"/>
        </w:rPr>
        <w:t>The Shipping Corporation of India Ltd v Evdomon Corporation and Another</w:t>
      </w:r>
      <w:r>
        <w:t>1994 (1) SA 550 (A) at 566C-F.</w:t>
      </w:r>
    </w:p>
  </w:footnote>
  <w:footnote w:id="23">
    <w:p w14:paraId="62FE6A3E" w14:textId="2E030468" w:rsidR="0050496A" w:rsidRPr="005874C3" w:rsidRDefault="0050496A">
      <w:pPr>
        <w:pStyle w:val="FootnoteText"/>
        <w:jc w:val="both"/>
        <w:rPr>
          <w:lang w:val="en-ZA"/>
        </w:rPr>
      </w:pPr>
      <w:r>
        <w:rPr>
          <w:rStyle w:val="FootnoteReference"/>
        </w:rPr>
        <w:footnoteRef/>
      </w:r>
      <w:r>
        <w:t xml:space="preserve"> </w:t>
      </w:r>
      <w:r>
        <w:rPr>
          <w:i/>
          <w:iCs/>
          <w:lang w:val="en-ZA"/>
        </w:rPr>
        <w:t xml:space="preserve">Cape Pacific </w:t>
      </w:r>
      <w:r>
        <w:rPr>
          <w:lang w:val="en-ZA"/>
        </w:rPr>
        <w:t>fn 19 above at 803H-I.</w:t>
      </w:r>
    </w:p>
  </w:footnote>
  <w:footnote w:id="24">
    <w:p w14:paraId="41921E77" w14:textId="6910657D" w:rsidR="0050496A" w:rsidRPr="007D601B" w:rsidRDefault="0050496A">
      <w:pPr>
        <w:pStyle w:val="FootnoteText"/>
        <w:jc w:val="both"/>
        <w:rPr>
          <w:lang w:val="en-ZA"/>
        </w:rPr>
      </w:pPr>
      <w:r>
        <w:rPr>
          <w:rStyle w:val="FootnoteReference"/>
        </w:rPr>
        <w:footnoteRef/>
      </w:r>
      <w:r>
        <w:t xml:space="preserve"> </w:t>
      </w:r>
      <w:r>
        <w:rPr>
          <w:lang w:val="en-ZA"/>
        </w:rPr>
        <w:t>Ibid at 804D.</w:t>
      </w:r>
    </w:p>
  </w:footnote>
  <w:footnote w:id="25">
    <w:p w14:paraId="78F8281E" w14:textId="441ED771" w:rsidR="0050496A" w:rsidRPr="008D744D" w:rsidRDefault="0050496A">
      <w:pPr>
        <w:pStyle w:val="FootnoteText"/>
        <w:jc w:val="both"/>
        <w:rPr>
          <w:lang w:val="en-ZA"/>
        </w:rPr>
      </w:pPr>
      <w:r>
        <w:rPr>
          <w:rStyle w:val="FootnoteReference"/>
        </w:rPr>
        <w:footnoteRef/>
      </w:r>
      <w:r>
        <w:t xml:space="preserve"> </w:t>
      </w:r>
      <w:r>
        <w:rPr>
          <w:i/>
          <w:iCs/>
          <w:lang w:val="en-ZA"/>
        </w:rPr>
        <w:t>Hülse-Reut</w:t>
      </w:r>
      <w:r w:rsidR="00770EB9">
        <w:rPr>
          <w:i/>
          <w:iCs/>
          <w:lang w:val="en-ZA"/>
        </w:rPr>
        <w:t>t</w:t>
      </w:r>
      <w:r>
        <w:rPr>
          <w:i/>
          <w:iCs/>
          <w:lang w:val="en-ZA"/>
        </w:rPr>
        <w:t>er and Others v Gödde</w:t>
      </w:r>
      <w:r>
        <w:rPr>
          <w:lang w:val="en-ZA"/>
        </w:rPr>
        <w:t xml:space="preserve"> 2001 (4) SA 1336 (SCA)</w:t>
      </w:r>
      <w:r w:rsidR="00770EB9">
        <w:rPr>
          <w:lang w:val="en-ZA"/>
        </w:rPr>
        <w:t>; [2002] 2 All SA 211 (A)</w:t>
      </w:r>
      <w:r>
        <w:rPr>
          <w:lang w:val="en-ZA"/>
        </w:rPr>
        <w:t xml:space="preserve"> para 20.</w:t>
      </w:r>
    </w:p>
  </w:footnote>
  <w:footnote w:id="26">
    <w:p w14:paraId="0438D1D7" w14:textId="0C195F6B" w:rsidR="0050496A" w:rsidRPr="00EC0A13" w:rsidRDefault="0050496A">
      <w:pPr>
        <w:pStyle w:val="FootnoteText"/>
        <w:jc w:val="both"/>
        <w:rPr>
          <w:lang w:val="en-ZA"/>
        </w:rPr>
      </w:pPr>
      <w:r>
        <w:rPr>
          <w:rStyle w:val="FootnoteReference"/>
        </w:rPr>
        <w:footnoteRef/>
      </w:r>
      <w:r>
        <w:t xml:space="preserve"> </w:t>
      </w:r>
      <w:r>
        <w:rPr>
          <w:lang w:val="en-ZA"/>
        </w:rPr>
        <w:t>Ibid para 23</w:t>
      </w:r>
      <w:r w:rsidR="00770EB9">
        <w:rPr>
          <w:lang w:val="en-ZA"/>
        </w:rPr>
        <w:t>.</w:t>
      </w:r>
      <w:r>
        <w:rPr>
          <w:lang w:val="en-ZA"/>
        </w:rPr>
        <w:t>.</w:t>
      </w:r>
    </w:p>
  </w:footnote>
  <w:footnote w:id="27">
    <w:p w14:paraId="0541AC2F" w14:textId="65B67919" w:rsidR="0050496A" w:rsidRPr="00EC0A13" w:rsidRDefault="0050496A">
      <w:pPr>
        <w:pStyle w:val="FootnoteText"/>
        <w:jc w:val="both"/>
        <w:rPr>
          <w:lang w:val="en-ZA"/>
        </w:rPr>
      </w:pPr>
      <w:r>
        <w:rPr>
          <w:rStyle w:val="FootnoteReference"/>
        </w:rPr>
        <w:footnoteRef/>
      </w:r>
      <w:r>
        <w:t xml:space="preserve"> </w:t>
      </w:r>
      <w:r>
        <w:rPr>
          <w:i/>
          <w:iCs/>
          <w:lang w:val="en-ZA"/>
        </w:rPr>
        <w:t xml:space="preserve">Cape Pacific </w:t>
      </w:r>
      <w:r>
        <w:rPr>
          <w:lang w:val="en-ZA"/>
        </w:rPr>
        <w:t>fn 19 above at 805G-I. The court held that ‘</w:t>
      </w:r>
      <w:r w:rsidR="00770EB9">
        <w:rPr>
          <w:lang w:val="en-ZA"/>
        </w:rPr>
        <w:t>[</w:t>
      </w:r>
      <w:r>
        <w:rPr>
          <w:lang w:val="en-ZA"/>
        </w:rPr>
        <w:t>t</w:t>
      </w:r>
      <w:r w:rsidR="00770EB9">
        <w:rPr>
          <w:lang w:val="en-ZA"/>
        </w:rPr>
        <w:t>]</w:t>
      </w:r>
      <w:r>
        <w:rPr>
          <w:lang w:val="en-ZA"/>
        </w:rPr>
        <w:t>he existence of another remedy, or the failure to pursue one that was available, may be a relevant factor when policy considerations come into play, but it cannot be of overriding importance’</w:t>
      </w:r>
      <w:r w:rsidR="00770EB9">
        <w:rPr>
          <w:lang w:val="en-ZA"/>
        </w:rPr>
        <w:t>.</w:t>
      </w:r>
    </w:p>
  </w:footnote>
  <w:footnote w:id="28">
    <w:p w14:paraId="5368A50E" w14:textId="6E3BD2BB" w:rsidR="0050496A" w:rsidRPr="00EC0A13" w:rsidRDefault="0050496A">
      <w:pPr>
        <w:pStyle w:val="FootnoteText"/>
        <w:jc w:val="both"/>
        <w:rPr>
          <w:lang w:val="en-ZA"/>
        </w:rPr>
      </w:pPr>
      <w:r>
        <w:rPr>
          <w:rStyle w:val="FootnoteReference"/>
        </w:rPr>
        <w:footnoteRef/>
      </w:r>
      <w:r>
        <w:t xml:space="preserve"> </w:t>
      </w:r>
      <w:r>
        <w:rPr>
          <w:i/>
          <w:iCs/>
          <w:lang w:val="en-ZA"/>
        </w:rPr>
        <w:t>Hülse-Reut</w:t>
      </w:r>
      <w:r w:rsidR="00770EB9">
        <w:rPr>
          <w:i/>
          <w:iCs/>
          <w:lang w:val="en-ZA"/>
        </w:rPr>
        <w:t>t</w:t>
      </w:r>
      <w:r>
        <w:rPr>
          <w:i/>
          <w:iCs/>
          <w:lang w:val="en-ZA"/>
        </w:rPr>
        <w:t>er</w:t>
      </w:r>
      <w:r>
        <w:rPr>
          <w:lang w:val="en-ZA"/>
        </w:rPr>
        <w:t xml:space="preserve"> fn 25 above para 23.</w:t>
      </w:r>
    </w:p>
  </w:footnote>
  <w:footnote w:id="29">
    <w:p w14:paraId="2DDB7220" w14:textId="1FD9CAB2" w:rsidR="0050496A" w:rsidRPr="006B654C" w:rsidRDefault="0050496A">
      <w:pPr>
        <w:pStyle w:val="FootnoteText"/>
        <w:jc w:val="both"/>
        <w:rPr>
          <w:lang w:val="en-ZA"/>
        </w:rPr>
      </w:pPr>
      <w:r>
        <w:rPr>
          <w:rStyle w:val="FootnoteReference"/>
        </w:rPr>
        <w:footnoteRef/>
      </w:r>
      <w:r>
        <w:t xml:space="preserve"> </w:t>
      </w:r>
      <w:r>
        <w:rPr>
          <w:i/>
          <w:iCs/>
          <w:lang w:val="en-ZA"/>
        </w:rPr>
        <w:t xml:space="preserve">Cape Pacific </w:t>
      </w:r>
      <w:r>
        <w:rPr>
          <w:lang w:val="en-ZA"/>
        </w:rPr>
        <w:t>fn 19 above at 805F.</w:t>
      </w:r>
    </w:p>
  </w:footnote>
  <w:footnote w:id="30">
    <w:p w14:paraId="73F59E4B" w14:textId="5059EE04" w:rsidR="0050496A" w:rsidRPr="00FE0A75" w:rsidRDefault="0050496A">
      <w:pPr>
        <w:pStyle w:val="FootnoteText"/>
        <w:jc w:val="both"/>
        <w:rPr>
          <w:lang w:val="en-ZA"/>
        </w:rPr>
      </w:pPr>
      <w:r>
        <w:rPr>
          <w:rStyle w:val="FootnoteReference"/>
        </w:rPr>
        <w:footnoteRef/>
      </w:r>
      <w:r>
        <w:t xml:space="preserve"> </w:t>
      </w:r>
      <w:r w:rsidRPr="00FE0A75">
        <w:rPr>
          <w:i/>
          <w:iCs/>
          <w:lang w:val="en-ZA"/>
        </w:rPr>
        <w:t>The Law of South Africa (LAWSA)</w:t>
      </w:r>
      <w:r w:rsidRPr="00FE0A75">
        <w:rPr>
          <w:lang w:val="en-ZA"/>
        </w:rPr>
        <w:t xml:space="preserve"> 3</w:t>
      </w:r>
      <w:r w:rsidRPr="00FE0A75">
        <w:rPr>
          <w:vertAlign w:val="superscript"/>
          <w:lang w:val="en-ZA"/>
        </w:rPr>
        <w:t>rd</w:t>
      </w:r>
      <w:r w:rsidRPr="00FE0A75">
        <w:rPr>
          <w:lang w:val="en-ZA"/>
        </w:rPr>
        <w:t xml:space="preserve"> ed, Vol 6, Part 1, para 6</w:t>
      </w:r>
      <w:r w:rsidR="00910FD2" w:rsidRPr="00FE0A75">
        <w:rPr>
          <w:lang w:val="en-ZA"/>
        </w:rPr>
        <w:t>4</w:t>
      </w:r>
      <w:r w:rsidRPr="00FE0A75">
        <w:rPr>
          <w:lang w:val="en-ZA"/>
        </w:rPr>
        <w:t>, where it is described as:</w:t>
      </w:r>
    </w:p>
    <w:p w14:paraId="52C428AD" w14:textId="34F8ECE0" w:rsidR="0050496A" w:rsidRPr="005414E3" w:rsidRDefault="0050496A">
      <w:pPr>
        <w:pStyle w:val="FootnoteText"/>
        <w:jc w:val="both"/>
        <w:rPr>
          <w:lang w:val="en-ZA"/>
        </w:rPr>
      </w:pPr>
      <w:r w:rsidRPr="00FE0A75">
        <w:rPr>
          <w:lang w:val="en-ZA"/>
        </w:rPr>
        <w:t>‘</w:t>
      </w:r>
      <w:r w:rsidRPr="00FE0A75">
        <w:t>Veil piercing is referred to as “reverse veil piercing” when the persons who sought to have the veil set aside were the shareholders themselves. Thus, while the more usual situation is for a creditor to attempt to pierce the corporate veil in order to impose personal liability on the corporate members, in the case of a reverse piercing the members of the company attempt to pierce the corporate veil from within, usually by claiming that the court ought to treat them as the true owners of the business or assets of the company.’</w:t>
      </w:r>
      <w:r>
        <w:t xml:space="preserve"> </w:t>
      </w:r>
    </w:p>
  </w:footnote>
  <w:footnote w:id="31">
    <w:p w14:paraId="4DF85E86" w14:textId="77777777" w:rsidR="0050496A" w:rsidRPr="00AF5A0A" w:rsidRDefault="0050496A">
      <w:pPr>
        <w:pStyle w:val="FootnoteText"/>
        <w:jc w:val="both"/>
        <w:rPr>
          <w:lang w:val="en-ZA"/>
        </w:rPr>
      </w:pPr>
      <w:r>
        <w:rPr>
          <w:rStyle w:val="FootnoteReference"/>
        </w:rPr>
        <w:footnoteRef/>
      </w:r>
      <w:r>
        <w:t xml:space="preserve"> </w:t>
      </w:r>
      <w:r>
        <w:rPr>
          <w:i/>
          <w:iCs/>
          <w:lang w:val="en-ZA"/>
        </w:rPr>
        <w:t>Ochberg v Commissioner for Inland Revenue</w:t>
      </w:r>
      <w:r>
        <w:rPr>
          <w:lang w:val="en-ZA"/>
        </w:rPr>
        <w:t xml:space="preserve"> 1931 AD 215 at 232.</w:t>
      </w:r>
    </w:p>
  </w:footnote>
  <w:footnote w:id="32">
    <w:p w14:paraId="55480585" w14:textId="0A908777" w:rsidR="0050496A" w:rsidRPr="004F0A73" w:rsidRDefault="0050496A">
      <w:pPr>
        <w:pStyle w:val="FootnoteText"/>
        <w:jc w:val="both"/>
        <w:rPr>
          <w:lang w:val="en-ZA"/>
        </w:rPr>
      </w:pPr>
      <w:r>
        <w:rPr>
          <w:rStyle w:val="FootnoteReference"/>
        </w:rPr>
        <w:footnoteRef/>
      </w:r>
      <w:r>
        <w:t xml:space="preserve"> </w:t>
      </w:r>
      <w:r>
        <w:rPr>
          <w:i/>
          <w:iCs/>
          <w:lang w:val="en-ZA"/>
        </w:rPr>
        <w:t xml:space="preserve">Tunstall </w:t>
      </w:r>
      <w:r w:rsidRPr="004F0A73">
        <w:rPr>
          <w:i/>
          <w:iCs/>
          <w:lang w:val="en-ZA"/>
        </w:rPr>
        <w:t>v Steigmann</w:t>
      </w:r>
      <w:r w:rsidRPr="004F0A73">
        <w:t xml:space="preserve"> 1962 (2) Q.B. 593; [1962] 2 All ER 417 (CA).</w:t>
      </w:r>
    </w:p>
  </w:footnote>
  <w:footnote w:id="33">
    <w:p w14:paraId="64656D54" w14:textId="28D65802" w:rsidR="0050496A" w:rsidRPr="003B174F" w:rsidRDefault="0050496A">
      <w:pPr>
        <w:pStyle w:val="FootnoteText"/>
        <w:jc w:val="both"/>
        <w:rPr>
          <w:lang w:val="en-ZA"/>
        </w:rPr>
      </w:pPr>
      <w:r w:rsidRPr="004F0A73">
        <w:rPr>
          <w:rStyle w:val="FootnoteReference"/>
        </w:rPr>
        <w:footnoteRef/>
      </w:r>
      <w:r w:rsidRPr="004F0A73">
        <w:t xml:space="preserve"> </w:t>
      </w:r>
      <w:r w:rsidRPr="004F0A73">
        <w:rPr>
          <w:lang w:val="en-ZA"/>
        </w:rPr>
        <w:t>Ibid at 420I-421A.</w:t>
      </w:r>
    </w:p>
  </w:footnote>
  <w:footnote w:id="34">
    <w:p w14:paraId="418AE1C4" w14:textId="654FB621" w:rsidR="0050496A" w:rsidRPr="00D745A0" w:rsidRDefault="0050496A">
      <w:pPr>
        <w:pStyle w:val="FootnoteText"/>
        <w:jc w:val="both"/>
        <w:rPr>
          <w:lang w:val="en-ZA"/>
        </w:rPr>
      </w:pPr>
      <w:r>
        <w:rPr>
          <w:rStyle w:val="FootnoteReference"/>
        </w:rPr>
        <w:footnoteRef/>
      </w:r>
      <w:r>
        <w:t xml:space="preserve"> </w:t>
      </w:r>
      <w:r>
        <w:rPr>
          <w:lang w:val="en-ZA"/>
        </w:rPr>
        <w:t>Constitution s 173.</w:t>
      </w:r>
    </w:p>
  </w:footnote>
  <w:footnote w:id="35">
    <w:p w14:paraId="3175858C" w14:textId="7CA4D910" w:rsidR="0050496A" w:rsidRPr="00D745A0" w:rsidRDefault="0050496A">
      <w:pPr>
        <w:pStyle w:val="FootnoteText"/>
        <w:jc w:val="both"/>
        <w:rPr>
          <w:lang w:val="en-ZA"/>
        </w:rPr>
      </w:pPr>
      <w:r>
        <w:rPr>
          <w:rStyle w:val="FootnoteReference"/>
        </w:rPr>
        <w:footnoteRef/>
      </w:r>
      <w:r>
        <w:t xml:space="preserve"> </w:t>
      </w:r>
      <w:r>
        <w:rPr>
          <w:lang w:val="en-ZA"/>
        </w:rPr>
        <w:t>Constitution s 39(2).</w:t>
      </w:r>
    </w:p>
  </w:footnote>
  <w:footnote w:id="36">
    <w:p w14:paraId="0092350D" w14:textId="49F68A06" w:rsidR="0050496A" w:rsidRPr="003F5EE0" w:rsidRDefault="0050496A">
      <w:pPr>
        <w:pStyle w:val="FootnoteText"/>
        <w:jc w:val="both"/>
        <w:rPr>
          <w:lang w:val="en-ZA"/>
        </w:rPr>
      </w:pPr>
      <w:r>
        <w:rPr>
          <w:rStyle w:val="FootnoteReference"/>
        </w:rPr>
        <w:footnoteRef/>
      </w:r>
      <w:r>
        <w:t xml:space="preserve"> </w:t>
      </w:r>
      <w:r>
        <w:rPr>
          <w:i/>
          <w:iCs/>
          <w:lang w:val="en-ZA"/>
        </w:rPr>
        <w:t>MEC for Health and Social Development, Gauteng v DZ obo WZ</w:t>
      </w:r>
      <w:r>
        <w:rPr>
          <w:lang w:val="en-ZA"/>
        </w:rPr>
        <w:t xml:space="preserve"> </w:t>
      </w:r>
      <w:r w:rsidR="00E300BF">
        <w:rPr>
          <w:lang w:val="en-ZA"/>
        </w:rPr>
        <w:t xml:space="preserve">[2017] ZACC 37; </w:t>
      </w:r>
      <w:r>
        <w:rPr>
          <w:lang w:val="en-ZA"/>
        </w:rPr>
        <w:t xml:space="preserve">2018 (1) SA 335 (CC) para 31; see also </w:t>
      </w:r>
      <w:r>
        <w:rPr>
          <w:i/>
          <w:iCs/>
          <w:lang w:val="en-ZA"/>
        </w:rPr>
        <w:t>Thebus and Another</w:t>
      </w:r>
      <w:r>
        <w:rPr>
          <w:lang w:val="en-ZA"/>
        </w:rPr>
        <w:t xml:space="preserve"> </w:t>
      </w:r>
      <w:r w:rsidR="00155D3A">
        <w:rPr>
          <w:i/>
          <w:lang w:val="en-ZA"/>
        </w:rPr>
        <w:t xml:space="preserve">v S </w:t>
      </w:r>
      <w:r>
        <w:rPr>
          <w:lang w:val="en-ZA"/>
        </w:rPr>
        <w:t>2003 (6) SA 505 (CC)</w:t>
      </w:r>
      <w:r w:rsidR="00155D3A">
        <w:rPr>
          <w:lang w:val="en-ZA"/>
        </w:rPr>
        <w:t>; 2003 (10) BCLR 1100 (CC)</w:t>
      </w:r>
      <w:r>
        <w:rPr>
          <w:lang w:val="en-ZA"/>
        </w:rPr>
        <w:t xml:space="preserve"> para 28.</w:t>
      </w:r>
    </w:p>
  </w:footnote>
  <w:footnote w:id="37">
    <w:p w14:paraId="7BE703E5" w14:textId="21FE40B2" w:rsidR="0050496A" w:rsidRPr="009C7A06" w:rsidRDefault="0050496A">
      <w:pPr>
        <w:pStyle w:val="FootnoteText"/>
        <w:jc w:val="both"/>
        <w:rPr>
          <w:lang w:val="en-ZA"/>
        </w:rPr>
      </w:pPr>
      <w:r>
        <w:rPr>
          <w:rStyle w:val="FootnoteReference"/>
        </w:rPr>
        <w:footnoteRef/>
      </w:r>
      <w:r>
        <w:t xml:space="preserve"> </w:t>
      </w:r>
      <w:r>
        <w:rPr>
          <w:i/>
          <w:iCs/>
          <w:lang w:val="en-ZA"/>
        </w:rPr>
        <w:t>Phillips and Others v National Director of Public Prosecutions</w:t>
      </w:r>
      <w:r>
        <w:rPr>
          <w:lang w:val="en-ZA"/>
        </w:rPr>
        <w:t xml:space="preserve"> 2006 (1) SA 505 (CC) para</w:t>
      </w:r>
      <w:r w:rsidR="00177559">
        <w:rPr>
          <w:lang w:val="en-ZA"/>
        </w:rPr>
        <w:t>s</w:t>
      </w:r>
      <w:r>
        <w:rPr>
          <w:lang w:val="en-ZA"/>
        </w:rPr>
        <w:t xml:space="preserve"> 51</w:t>
      </w:r>
      <w:r w:rsidR="00177559">
        <w:rPr>
          <w:lang w:val="en-ZA"/>
        </w:rPr>
        <w:t xml:space="preserve"> &amp; </w:t>
      </w:r>
      <w:r>
        <w:rPr>
          <w:lang w:val="en-ZA"/>
        </w:rPr>
        <w:t>52.</w:t>
      </w:r>
    </w:p>
  </w:footnote>
  <w:footnote w:id="38">
    <w:p w14:paraId="794E952F" w14:textId="6B0D6B10" w:rsidR="0050496A" w:rsidRPr="00B6490A" w:rsidRDefault="0050496A">
      <w:pPr>
        <w:pStyle w:val="FootnoteText"/>
        <w:jc w:val="both"/>
        <w:rPr>
          <w:lang w:val="en-ZA"/>
        </w:rPr>
      </w:pPr>
      <w:r>
        <w:rPr>
          <w:rStyle w:val="FootnoteReference"/>
        </w:rPr>
        <w:footnoteRef/>
      </w:r>
      <w:r>
        <w:t xml:space="preserve"> </w:t>
      </w:r>
      <w:r>
        <w:rPr>
          <w:i/>
          <w:iCs/>
          <w:lang w:val="en-ZA"/>
        </w:rPr>
        <w:t xml:space="preserve">Carmichele v Minister of Safety and Security </w:t>
      </w:r>
      <w:r>
        <w:rPr>
          <w:lang w:val="en-ZA"/>
        </w:rPr>
        <w:t>2001 (4) SA 938 (CC)</w:t>
      </w:r>
      <w:r w:rsidR="0041237B">
        <w:rPr>
          <w:lang w:val="en-ZA"/>
        </w:rPr>
        <w:t>; 2001 (10) BCLR 995 (CC)</w:t>
      </w:r>
      <w:r>
        <w:rPr>
          <w:lang w:val="en-ZA"/>
        </w:rPr>
        <w:t xml:space="preserve"> para 36.</w:t>
      </w:r>
    </w:p>
  </w:footnote>
  <w:footnote w:id="39">
    <w:p w14:paraId="41B4EDA8" w14:textId="314CD4AB" w:rsidR="0050496A" w:rsidRPr="00D13659" w:rsidRDefault="0050496A">
      <w:pPr>
        <w:pStyle w:val="FootnoteText"/>
        <w:jc w:val="both"/>
        <w:rPr>
          <w:lang w:val="en-ZA"/>
        </w:rPr>
      </w:pPr>
      <w:r>
        <w:rPr>
          <w:rStyle w:val="FootnoteReference"/>
        </w:rPr>
        <w:footnoteRef/>
      </w:r>
      <w:r>
        <w:t xml:space="preserve"> </w:t>
      </w:r>
      <w:r>
        <w:rPr>
          <w:i/>
          <w:iCs/>
          <w:lang w:val="en-ZA"/>
        </w:rPr>
        <w:t>Cool Ideas 1186 CC v Hubbard and Another</w:t>
      </w:r>
      <w:r>
        <w:rPr>
          <w:lang w:val="en-ZA"/>
        </w:rPr>
        <w:t xml:space="preserve"> </w:t>
      </w:r>
      <w:r w:rsidR="00177559">
        <w:rPr>
          <w:lang w:val="en-ZA"/>
        </w:rPr>
        <w:t xml:space="preserve">[2014] ZACC 16; </w:t>
      </w:r>
      <w:r>
        <w:rPr>
          <w:lang w:val="en-ZA"/>
        </w:rPr>
        <w:t>2014 (4) SA 474 (CC)</w:t>
      </w:r>
      <w:r w:rsidR="00177559">
        <w:rPr>
          <w:lang w:val="en-ZA"/>
        </w:rPr>
        <w:t>; 2014 (8) BCLR 869 (CC)</w:t>
      </w:r>
      <w:r>
        <w:rPr>
          <w:lang w:val="en-ZA"/>
        </w:rPr>
        <w:t xml:space="preserve"> para 52; </w:t>
      </w:r>
      <w:r>
        <w:rPr>
          <w:i/>
          <w:iCs/>
          <w:lang w:val="en-ZA"/>
        </w:rPr>
        <w:t>S v Zuma and Others</w:t>
      </w:r>
      <w:r>
        <w:rPr>
          <w:lang w:val="en-ZA"/>
        </w:rPr>
        <w:t xml:space="preserve"> 1995 (2) SA 642 (CC)</w:t>
      </w:r>
      <w:r w:rsidR="008F42D8">
        <w:rPr>
          <w:lang w:val="en-ZA"/>
        </w:rPr>
        <w:t>; 1995 (4) BCLR 401 (SA)</w:t>
      </w:r>
      <w:r>
        <w:rPr>
          <w:lang w:val="en-ZA"/>
        </w:rPr>
        <w:t xml:space="preserve">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84116"/>
      <w:docPartObj>
        <w:docPartGallery w:val="Page Numbers (Top of Page)"/>
        <w:docPartUnique/>
      </w:docPartObj>
    </w:sdtPr>
    <w:sdtEndPr>
      <w:rPr>
        <w:noProof/>
      </w:rPr>
    </w:sdtEndPr>
    <w:sdtContent>
      <w:p w14:paraId="63F90BA4" w14:textId="71ADE176" w:rsidR="0050496A" w:rsidRDefault="0050496A">
        <w:pPr>
          <w:pStyle w:val="Header"/>
          <w:jc w:val="right"/>
        </w:pPr>
        <w:r>
          <w:fldChar w:fldCharType="begin"/>
        </w:r>
        <w:r>
          <w:instrText xml:space="preserve"> PAGE   \* MERGEFORMAT </w:instrText>
        </w:r>
        <w:r>
          <w:fldChar w:fldCharType="separate"/>
        </w:r>
        <w:r w:rsidR="00E16CE9">
          <w:rPr>
            <w:noProof/>
          </w:rPr>
          <w:t>3</w:t>
        </w:r>
        <w:r>
          <w:rPr>
            <w:noProof/>
          </w:rPr>
          <w:fldChar w:fldCharType="end"/>
        </w:r>
      </w:p>
    </w:sdtContent>
  </w:sdt>
  <w:p w14:paraId="75535076" w14:textId="77777777" w:rsidR="0050496A" w:rsidRDefault="005049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D613E8"/>
    <w:multiLevelType w:val="hybridMultilevel"/>
    <w:tmpl w:val="2D9864A2"/>
    <w:lvl w:ilvl="0" w:tplc="0D1656D6">
      <w:start w:val="1"/>
      <w:numFmt w:val="decimal"/>
      <w:lvlText w:val="[%1]"/>
      <w:lvlJc w:val="left"/>
      <w:pPr>
        <w:ind w:left="720" w:hanging="360"/>
      </w:pPr>
      <w:rPr>
        <w:rFonts w:hint="default"/>
        <w:sz w:val="28"/>
        <w:szCs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0F6CAB"/>
    <w:multiLevelType w:val="hybridMultilevel"/>
    <w:tmpl w:val="A85C52B8"/>
    <w:lvl w:ilvl="0" w:tplc="1D627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8">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0EF3F4A"/>
    <w:multiLevelType w:val="hybridMultilevel"/>
    <w:tmpl w:val="0DCCCF9E"/>
    <w:lvl w:ilvl="0" w:tplc="6D84C2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0"/>
  </w:num>
  <w:num w:numId="5">
    <w:abstractNumId w:val="9"/>
  </w:num>
  <w:num w:numId="6">
    <w:abstractNumId w:val="5"/>
  </w:num>
  <w:num w:numId="7">
    <w:abstractNumId w:val="7"/>
  </w:num>
  <w:num w:numId="8">
    <w:abstractNumId w:val="8"/>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130"/>
    <w:rsid w:val="000008E3"/>
    <w:rsid w:val="00001B9A"/>
    <w:rsid w:val="000028CE"/>
    <w:rsid w:val="00004CDD"/>
    <w:rsid w:val="000078C0"/>
    <w:rsid w:val="0001152A"/>
    <w:rsid w:val="0001201C"/>
    <w:rsid w:val="000128B0"/>
    <w:rsid w:val="00013F1F"/>
    <w:rsid w:val="00014159"/>
    <w:rsid w:val="000155EA"/>
    <w:rsid w:val="00015759"/>
    <w:rsid w:val="00015CDF"/>
    <w:rsid w:val="00015E7E"/>
    <w:rsid w:val="00017206"/>
    <w:rsid w:val="0001732F"/>
    <w:rsid w:val="00017AA6"/>
    <w:rsid w:val="00017E19"/>
    <w:rsid w:val="000202EF"/>
    <w:rsid w:val="00023842"/>
    <w:rsid w:val="00023AA2"/>
    <w:rsid w:val="000267AE"/>
    <w:rsid w:val="000307C8"/>
    <w:rsid w:val="00031F15"/>
    <w:rsid w:val="00032865"/>
    <w:rsid w:val="00033B85"/>
    <w:rsid w:val="00033B9F"/>
    <w:rsid w:val="00034635"/>
    <w:rsid w:val="00034CE6"/>
    <w:rsid w:val="00035ABC"/>
    <w:rsid w:val="00037916"/>
    <w:rsid w:val="000404DB"/>
    <w:rsid w:val="00040611"/>
    <w:rsid w:val="00040B65"/>
    <w:rsid w:val="00041CBA"/>
    <w:rsid w:val="00044F23"/>
    <w:rsid w:val="0004540D"/>
    <w:rsid w:val="00046101"/>
    <w:rsid w:val="00047339"/>
    <w:rsid w:val="0004764F"/>
    <w:rsid w:val="00052C1C"/>
    <w:rsid w:val="00053740"/>
    <w:rsid w:val="00053FF2"/>
    <w:rsid w:val="0005538E"/>
    <w:rsid w:val="00055AD5"/>
    <w:rsid w:val="00055C99"/>
    <w:rsid w:val="000569F1"/>
    <w:rsid w:val="000600FC"/>
    <w:rsid w:val="00060A27"/>
    <w:rsid w:val="000637FA"/>
    <w:rsid w:val="000639C5"/>
    <w:rsid w:val="000644DA"/>
    <w:rsid w:val="000648D0"/>
    <w:rsid w:val="0006511B"/>
    <w:rsid w:val="00065D22"/>
    <w:rsid w:val="00067EC8"/>
    <w:rsid w:val="00071738"/>
    <w:rsid w:val="00072319"/>
    <w:rsid w:val="00075D7F"/>
    <w:rsid w:val="000801AE"/>
    <w:rsid w:val="00080877"/>
    <w:rsid w:val="00081326"/>
    <w:rsid w:val="000815BD"/>
    <w:rsid w:val="0008450F"/>
    <w:rsid w:val="00084A04"/>
    <w:rsid w:val="00085254"/>
    <w:rsid w:val="000853B3"/>
    <w:rsid w:val="0009007F"/>
    <w:rsid w:val="00090E16"/>
    <w:rsid w:val="00091ECF"/>
    <w:rsid w:val="00092984"/>
    <w:rsid w:val="000933C2"/>
    <w:rsid w:val="00093927"/>
    <w:rsid w:val="00093BB8"/>
    <w:rsid w:val="0009629E"/>
    <w:rsid w:val="00096D7C"/>
    <w:rsid w:val="000A3662"/>
    <w:rsid w:val="000A3FCE"/>
    <w:rsid w:val="000B034A"/>
    <w:rsid w:val="000B0842"/>
    <w:rsid w:val="000B2624"/>
    <w:rsid w:val="000B2C3C"/>
    <w:rsid w:val="000B47DB"/>
    <w:rsid w:val="000B498F"/>
    <w:rsid w:val="000B6146"/>
    <w:rsid w:val="000B6953"/>
    <w:rsid w:val="000B73BA"/>
    <w:rsid w:val="000B7C09"/>
    <w:rsid w:val="000C07CD"/>
    <w:rsid w:val="000C1370"/>
    <w:rsid w:val="000C19D4"/>
    <w:rsid w:val="000C1E28"/>
    <w:rsid w:val="000C2288"/>
    <w:rsid w:val="000C25EC"/>
    <w:rsid w:val="000C351B"/>
    <w:rsid w:val="000C4E7C"/>
    <w:rsid w:val="000C5791"/>
    <w:rsid w:val="000D28CE"/>
    <w:rsid w:val="000D3D83"/>
    <w:rsid w:val="000D723F"/>
    <w:rsid w:val="000D7B16"/>
    <w:rsid w:val="000D7DC5"/>
    <w:rsid w:val="000E07D8"/>
    <w:rsid w:val="000E2370"/>
    <w:rsid w:val="000E339B"/>
    <w:rsid w:val="000E3AE8"/>
    <w:rsid w:val="000E4080"/>
    <w:rsid w:val="000E4AC6"/>
    <w:rsid w:val="000E5110"/>
    <w:rsid w:val="000E616C"/>
    <w:rsid w:val="000E6F29"/>
    <w:rsid w:val="000F141A"/>
    <w:rsid w:val="000F26CC"/>
    <w:rsid w:val="000F3079"/>
    <w:rsid w:val="000F3229"/>
    <w:rsid w:val="000F38D5"/>
    <w:rsid w:val="000F45D2"/>
    <w:rsid w:val="000F7215"/>
    <w:rsid w:val="0010259F"/>
    <w:rsid w:val="0010418F"/>
    <w:rsid w:val="001051AB"/>
    <w:rsid w:val="00112757"/>
    <w:rsid w:val="00113BE9"/>
    <w:rsid w:val="00114D5C"/>
    <w:rsid w:val="001152F3"/>
    <w:rsid w:val="00116255"/>
    <w:rsid w:val="00116D28"/>
    <w:rsid w:val="001173DD"/>
    <w:rsid w:val="001175D3"/>
    <w:rsid w:val="00117B0F"/>
    <w:rsid w:val="001218FD"/>
    <w:rsid w:val="00122485"/>
    <w:rsid w:val="00123077"/>
    <w:rsid w:val="0012308D"/>
    <w:rsid w:val="00123C58"/>
    <w:rsid w:val="00125610"/>
    <w:rsid w:val="00125745"/>
    <w:rsid w:val="001301F3"/>
    <w:rsid w:val="00130D21"/>
    <w:rsid w:val="0013126A"/>
    <w:rsid w:val="00132E62"/>
    <w:rsid w:val="00133113"/>
    <w:rsid w:val="0013371E"/>
    <w:rsid w:val="00134156"/>
    <w:rsid w:val="001363A1"/>
    <w:rsid w:val="001401AF"/>
    <w:rsid w:val="00140596"/>
    <w:rsid w:val="001406DB"/>
    <w:rsid w:val="00140BF4"/>
    <w:rsid w:val="00141EE1"/>
    <w:rsid w:val="0014291B"/>
    <w:rsid w:val="00144A7F"/>
    <w:rsid w:val="00144C2D"/>
    <w:rsid w:val="00150BE9"/>
    <w:rsid w:val="00150E73"/>
    <w:rsid w:val="0015111A"/>
    <w:rsid w:val="00151B7C"/>
    <w:rsid w:val="0015219C"/>
    <w:rsid w:val="00152445"/>
    <w:rsid w:val="00154F91"/>
    <w:rsid w:val="001552E6"/>
    <w:rsid w:val="00155D3A"/>
    <w:rsid w:val="001562BD"/>
    <w:rsid w:val="00156619"/>
    <w:rsid w:val="00156B90"/>
    <w:rsid w:val="0016054A"/>
    <w:rsid w:val="00160B6B"/>
    <w:rsid w:val="001629E6"/>
    <w:rsid w:val="00163532"/>
    <w:rsid w:val="001645B5"/>
    <w:rsid w:val="00164FDE"/>
    <w:rsid w:val="0017036E"/>
    <w:rsid w:val="0017101D"/>
    <w:rsid w:val="001763CC"/>
    <w:rsid w:val="00177559"/>
    <w:rsid w:val="001806A3"/>
    <w:rsid w:val="00181225"/>
    <w:rsid w:val="001813E0"/>
    <w:rsid w:val="00181535"/>
    <w:rsid w:val="00181F71"/>
    <w:rsid w:val="00183C38"/>
    <w:rsid w:val="00185DB7"/>
    <w:rsid w:val="001871AD"/>
    <w:rsid w:val="00190699"/>
    <w:rsid w:val="00190CD3"/>
    <w:rsid w:val="001927F6"/>
    <w:rsid w:val="00194DE9"/>
    <w:rsid w:val="00195560"/>
    <w:rsid w:val="00196989"/>
    <w:rsid w:val="001A0009"/>
    <w:rsid w:val="001A03E2"/>
    <w:rsid w:val="001A2033"/>
    <w:rsid w:val="001A3E96"/>
    <w:rsid w:val="001A4230"/>
    <w:rsid w:val="001A594F"/>
    <w:rsid w:val="001A60A3"/>
    <w:rsid w:val="001A75B7"/>
    <w:rsid w:val="001A7A18"/>
    <w:rsid w:val="001B0A38"/>
    <w:rsid w:val="001B0A5A"/>
    <w:rsid w:val="001B218D"/>
    <w:rsid w:val="001B2EEA"/>
    <w:rsid w:val="001B5E69"/>
    <w:rsid w:val="001B6201"/>
    <w:rsid w:val="001B67F6"/>
    <w:rsid w:val="001B778D"/>
    <w:rsid w:val="001C0439"/>
    <w:rsid w:val="001C25A9"/>
    <w:rsid w:val="001C4A2C"/>
    <w:rsid w:val="001C5147"/>
    <w:rsid w:val="001C60B5"/>
    <w:rsid w:val="001C6558"/>
    <w:rsid w:val="001C6FBF"/>
    <w:rsid w:val="001D0541"/>
    <w:rsid w:val="001D1924"/>
    <w:rsid w:val="001D26E5"/>
    <w:rsid w:val="001D28B7"/>
    <w:rsid w:val="001D2C29"/>
    <w:rsid w:val="001D3386"/>
    <w:rsid w:val="001D5022"/>
    <w:rsid w:val="001D55E8"/>
    <w:rsid w:val="001D765D"/>
    <w:rsid w:val="001D7AD1"/>
    <w:rsid w:val="001D7B33"/>
    <w:rsid w:val="001E0605"/>
    <w:rsid w:val="001E19C1"/>
    <w:rsid w:val="001E1B79"/>
    <w:rsid w:val="001E1FF5"/>
    <w:rsid w:val="001E393C"/>
    <w:rsid w:val="001E4E0C"/>
    <w:rsid w:val="001E58F7"/>
    <w:rsid w:val="001F0246"/>
    <w:rsid w:val="001F0465"/>
    <w:rsid w:val="001F0ACB"/>
    <w:rsid w:val="001F0F9C"/>
    <w:rsid w:val="001F3841"/>
    <w:rsid w:val="001F7872"/>
    <w:rsid w:val="00202C9C"/>
    <w:rsid w:val="00203035"/>
    <w:rsid w:val="002069E5"/>
    <w:rsid w:val="002073CD"/>
    <w:rsid w:val="00210C6A"/>
    <w:rsid w:val="002143AC"/>
    <w:rsid w:val="00217499"/>
    <w:rsid w:val="00222136"/>
    <w:rsid w:val="0022233E"/>
    <w:rsid w:val="00223AEC"/>
    <w:rsid w:val="00224A0E"/>
    <w:rsid w:val="00226052"/>
    <w:rsid w:val="002265E5"/>
    <w:rsid w:val="002266AC"/>
    <w:rsid w:val="002308D7"/>
    <w:rsid w:val="00230D65"/>
    <w:rsid w:val="0023112C"/>
    <w:rsid w:val="00232C2E"/>
    <w:rsid w:val="00232E2C"/>
    <w:rsid w:val="002407F9"/>
    <w:rsid w:val="00241362"/>
    <w:rsid w:val="00241BEF"/>
    <w:rsid w:val="0024265E"/>
    <w:rsid w:val="00242C99"/>
    <w:rsid w:val="002445CE"/>
    <w:rsid w:val="002464C9"/>
    <w:rsid w:val="0025154F"/>
    <w:rsid w:val="0026028E"/>
    <w:rsid w:val="002603CE"/>
    <w:rsid w:val="00261FDC"/>
    <w:rsid w:val="002642C6"/>
    <w:rsid w:val="0026443F"/>
    <w:rsid w:val="00264DAE"/>
    <w:rsid w:val="00266892"/>
    <w:rsid w:val="00267446"/>
    <w:rsid w:val="00271AEF"/>
    <w:rsid w:val="00273BB7"/>
    <w:rsid w:val="0027443D"/>
    <w:rsid w:val="00274669"/>
    <w:rsid w:val="00274A22"/>
    <w:rsid w:val="00275006"/>
    <w:rsid w:val="00275D95"/>
    <w:rsid w:val="002766BB"/>
    <w:rsid w:val="00276D86"/>
    <w:rsid w:val="002774D4"/>
    <w:rsid w:val="0028047F"/>
    <w:rsid w:val="00280F54"/>
    <w:rsid w:val="00283405"/>
    <w:rsid w:val="00283FA2"/>
    <w:rsid w:val="002849E5"/>
    <w:rsid w:val="0028531F"/>
    <w:rsid w:val="00285F3E"/>
    <w:rsid w:val="002876C3"/>
    <w:rsid w:val="002876C7"/>
    <w:rsid w:val="00287B86"/>
    <w:rsid w:val="00290A50"/>
    <w:rsid w:val="002916AA"/>
    <w:rsid w:val="0029377C"/>
    <w:rsid w:val="002940C8"/>
    <w:rsid w:val="002A199D"/>
    <w:rsid w:val="002A26E5"/>
    <w:rsid w:val="002A31DC"/>
    <w:rsid w:val="002A4493"/>
    <w:rsid w:val="002A46C7"/>
    <w:rsid w:val="002A4B87"/>
    <w:rsid w:val="002A5D5D"/>
    <w:rsid w:val="002A6D60"/>
    <w:rsid w:val="002B48FE"/>
    <w:rsid w:val="002B76BE"/>
    <w:rsid w:val="002B7CC2"/>
    <w:rsid w:val="002C723E"/>
    <w:rsid w:val="002C7971"/>
    <w:rsid w:val="002C7C98"/>
    <w:rsid w:val="002D0A2E"/>
    <w:rsid w:val="002D59E9"/>
    <w:rsid w:val="002D5F62"/>
    <w:rsid w:val="002D7A30"/>
    <w:rsid w:val="002E1082"/>
    <w:rsid w:val="002E1E4C"/>
    <w:rsid w:val="002E2BF3"/>
    <w:rsid w:val="002E4936"/>
    <w:rsid w:val="002E6C89"/>
    <w:rsid w:val="002F240C"/>
    <w:rsid w:val="002F729A"/>
    <w:rsid w:val="002F79D4"/>
    <w:rsid w:val="00301B5E"/>
    <w:rsid w:val="00303F39"/>
    <w:rsid w:val="00305E51"/>
    <w:rsid w:val="00306347"/>
    <w:rsid w:val="003073CB"/>
    <w:rsid w:val="00307BF6"/>
    <w:rsid w:val="003106A5"/>
    <w:rsid w:val="00313166"/>
    <w:rsid w:val="003135E0"/>
    <w:rsid w:val="00315026"/>
    <w:rsid w:val="003151A7"/>
    <w:rsid w:val="00316423"/>
    <w:rsid w:val="0031708C"/>
    <w:rsid w:val="00317763"/>
    <w:rsid w:val="00317F69"/>
    <w:rsid w:val="00321661"/>
    <w:rsid w:val="003225D4"/>
    <w:rsid w:val="00331D9C"/>
    <w:rsid w:val="00331F16"/>
    <w:rsid w:val="00334079"/>
    <w:rsid w:val="00336B1C"/>
    <w:rsid w:val="003374E4"/>
    <w:rsid w:val="0033794E"/>
    <w:rsid w:val="00340233"/>
    <w:rsid w:val="00340A7C"/>
    <w:rsid w:val="003426AE"/>
    <w:rsid w:val="00343A8F"/>
    <w:rsid w:val="00344681"/>
    <w:rsid w:val="003508EB"/>
    <w:rsid w:val="003514B9"/>
    <w:rsid w:val="00351661"/>
    <w:rsid w:val="00351B4B"/>
    <w:rsid w:val="00353528"/>
    <w:rsid w:val="00353C2A"/>
    <w:rsid w:val="00354421"/>
    <w:rsid w:val="00354BFA"/>
    <w:rsid w:val="00355222"/>
    <w:rsid w:val="00355ABF"/>
    <w:rsid w:val="0035679F"/>
    <w:rsid w:val="0036002E"/>
    <w:rsid w:val="0036026A"/>
    <w:rsid w:val="00361C13"/>
    <w:rsid w:val="00361E70"/>
    <w:rsid w:val="0036244E"/>
    <w:rsid w:val="00364FD1"/>
    <w:rsid w:val="003653B5"/>
    <w:rsid w:val="003657B2"/>
    <w:rsid w:val="003679B1"/>
    <w:rsid w:val="00370203"/>
    <w:rsid w:val="003714FC"/>
    <w:rsid w:val="00373DB7"/>
    <w:rsid w:val="00374415"/>
    <w:rsid w:val="00375FDD"/>
    <w:rsid w:val="00376E30"/>
    <w:rsid w:val="00380398"/>
    <w:rsid w:val="003807D7"/>
    <w:rsid w:val="00381278"/>
    <w:rsid w:val="003828B8"/>
    <w:rsid w:val="00383787"/>
    <w:rsid w:val="00383D59"/>
    <w:rsid w:val="003858DE"/>
    <w:rsid w:val="003869DE"/>
    <w:rsid w:val="00386A69"/>
    <w:rsid w:val="003877E1"/>
    <w:rsid w:val="00387CBB"/>
    <w:rsid w:val="00387FD4"/>
    <w:rsid w:val="00390F25"/>
    <w:rsid w:val="003911BD"/>
    <w:rsid w:val="003917D8"/>
    <w:rsid w:val="00392119"/>
    <w:rsid w:val="00392AF1"/>
    <w:rsid w:val="00393D5E"/>
    <w:rsid w:val="00394422"/>
    <w:rsid w:val="00395256"/>
    <w:rsid w:val="00395FF5"/>
    <w:rsid w:val="00396B45"/>
    <w:rsid w:val="00397D3B"/>
    <w:rsid w:val="003A171B"/>
    <w:rsid w:val="003A1D65"/>
    <w:rsid w:val="003A28B9"/>
    <w:rsid w:val="003A2F50"/>
    <w:rsid w:val="003A3460"/>
    <w:rsid w:val="003A68B6"/>
    <w:rsid w:val="003A6ACF"/>
    <w:rsid w:val="003A7519"/>
    <w:rsid w:val="003B03DF"/>
    <w:rsid w:val="003B0413"/>
    <w:rsid w:val="003B0B2D"/>
    <w:rsid w:val="003B113A"/>
    <w:rsid w:val="003B174F"/>
    <w:rsid w:val="003B697D"/>
    <w:rsid w:val="003C02B4"/>
    <w:rsid w:val="003C1E0F"/>
    <w:rsid w:val="003C4E37"/>
    <w:rsid w:val="003C52C3"/>
    <w:rsid w:val="003C6D17"/>
    <w:rsid w:val="003D0730"/>
    <w:rsid w:val="003D18FF"/>
    <w:rsid w:val="003D269F"/>
    <w:rsid w:val="003D4416"/>
    <w:rsid w:val="003D485E"/>
    <w:rsid w:val="003D4F37"/>
    <w:rsid w:val="003D5109"/>
    <w:rsid w:val="003E0565"/>
    <w:rsid w:val="003E0944"/>
    <w:rsid w:val="003E0B55"/>
    <w:rsid w:val="003E0C8F"/>
    <w:rsid w:val="003E1584"/>
    <w:rsid w:val="003E2469"/>
    <w:rsid w:val="003E4CD7"/>
    <w:rsid w:val="003E51C8"/>
    <w:rsid w:val="003E589E"/>
    <w:rsid w:val="003E6C1B"/>
    <w:rsid w:val="003F03DC"/>
    <w:rsid w:val="003F3634"/>
    <w:rsid w:val="003F4A3C"/>
    <w:rsid w:val="003F4CC3"/>
    <w:rsid w:val="003F53A1"/>
    <w:rsid w:val="003F5872"/>
    <w:rsid w:val="003F5EE0"/>
    <w:rsid w:val="003F774A"/>
    <w:rsid w:val="00400314"/>
    <w:rsid w:val="00400F97"/>
    <w:rsid w:val="0040246F"/>
    <w:rsid w:val="00402AAB"/>
    <w:rsid w:val="00403516"/>
    <w:rsid w:val="0040554A"/>
    <w:rsid w:val="004066B2"/>
    <w:rsid w:val="00406814"/>
    <w:rsid w:val="00406AA7"/>
    <w:rsid w:val="00406F0A"/>
    <w:rsid w:val="00406F30"/>
    <w:rsid w:val="00407823"/>
    <w:rsid w:val="0041188E"/>
    <w:rsid w:val="0041229A"/>
    <w:rsid w:val="0041237B"/>
    <w:rsid w:val="00412A5B"/>
    <w:rsid w:val="004133FA"/>
    <w:rsid w:val="00413648"/>
    <w:rsid w:val="0041597F"/>
    <w:rsid w:val="00415C6C"/>
    <w:rsid w:val="00420D99"/>
    <w:rsid w:val="004212A7"/>
    <w:rsid w:val="0042254A"/>
    <w:rsid w:val="00423768"/>
    <w:rsid w:val="004250B1"/>
    <w:rsid w:val="00427A7E"/>
    <w:rsid w:val="004309EC"/>
    <w:rsid w:val="00431709"/>
    <w:rsid w:val="00432BD1"/>
    <w:rsid w:val="00433D37"/>
    <w:rsid w:val="00440125"/>
    <w:rsid w:val="00440744"/>
    <w:rsid w:val="00441A07"/>
    <w:rsid w:val="00446B7D"/>
    <w:rsid w:val="00446CF3"/>
    <w:rsid w:val="004470F1"/>
    <w:rsid w:val="004470FA"/>
    <w:rsid w:val="00447D59"/>
    <w:rsid w:val="0045166F"/>
    <w:rsid w:val="004540BB"/>
    <w:rsid w:val="00456961"/>
    <w:rsid w:val="00457F22"/>
    <w:rsid w:val="00462293"/>
    <w:rsid w:val="004623EA"/>
    <w:rsid w:val="00463AC1"/>
    <w:rsid w:val="0046467F"/>
    <w:rsid w:val="00464C52"/>
    <w:rsid w:val="00464C8C"/>
    <w:rsid w:val="0046529E"/>
    <w:rsid w:val="00466F6B"/>
    <w:rsid w:val="0046737A"/>
    <w:rsid w:val="00470017"/>
    <w:rsid w:val="004713B0"/>
    <w:rsid w:val="004727B0"/>
    <w:rsid w:val="0047314A"/>
    <w:rsid w:val="004733B9"/>
    <w:rsid w:val="00474C0E"/>
    <w:rsid w:val="00476178"/>
    <w:rsid w:val="00476310"/>
    <w:rsid w:val="0047746A"/>
    <w:rsid w:val="00477A67"/>
    <w:rsid w:val="0048194F"/>
    <w:rsid w:val="00481CF0"/>
    <w:rsid w:val="00482F35"/>
    <w:rsid w:val="004834FD"/>
    <w:rsid w:val="00484D5F"/>
    <w:rsid w:val="00485993"/>
    <w:rsid w:val="00485C08"/>
    <w:rsid w:val="004868B5"/>
    <w:rsid w:val="00486E9F"/>
    <w:rsid w:val="00487348"/>
    <w:rsid w:val="00487613"/>
    <w:rsid w:val="00487BDD"/>
    <w:rsid w:val="00487C75"/>
    <w:rsid w:val="00491A79"/>
    <w:rsid w:val="004975D8"/>
    <w:rsid w:val="004A145D"/>
    <w:rsid w:val="004A15B9"/>
    <w:rsid w:val="004A240D"/>
    <w:rsid w:val="004A2551"/>
    <w:rsid w:val="004A3B59"/>
    <w:rsid w:val="004A46E2"/>
    <w:rsid w:val="004A4AC9"/>
    <w:rsid w:val="004A4B33"/>
    <w:rsid w:val="004A4BD0"/>
    <w:rsid w:val="004A5201"/>
    <w:rsid w:val="004A7705"/>
    <w:rsid w:val="004B0844"/>
    <w:rsid w:val="004B0C34"/>
    <w:rsid w:val="004B10AD"/>
    <w:rsid w:val="004B219D"/>
    <w:rsid w:val="004B37A7"/>
    <w:rsid w:val="004B4F54"/>
    <w:rsid w:val="004B5077"/>
    <w:rsid w:val="004C0015"/>
    <w:rsid w:val="004C0917"/>
    <w:rsid w:val="004C1EA9"/>
    <w:rsid w:val="004C39E3"/>
    <w:rsid w:val="004C4294"/>
    <w:rsid w:val="004C76D6"/>
    <w:rsid w:val="004D036D"/>
    <w:rsid w:val="004D086B"/>
    <w:rsid w:val="004D0C14"/>
    <w:rsid w:val="004D0C86"/>
    <w:rsid w:val="004D247C"/>
    <w:rsid w:val="004D4B5F"/>
    <w:rsid w:val="004D5605"/>
    <w:rsid w:val="004D575F"/>
    <w:rsid w:val="004D5975"/>
    <w:rsid w:val="004D6471"/>
    <w:rsid w:val="004D67DA"/>
    <w:rsid w:val="004D6C51"/>
    <w:rsid w:val="004D6D54"/>
    <w:rsid w:val="004E175B"/>
    <w:rsid w:val="004E268C"/>
    <w:rsid w:val="004E3353"/>
    <w:rsid w:val="004E5D9C"/>
    <w:rsid w:val="004E5ED6"/>
    <w:rsid w:val="004E60E6"/>
    <w:rsid w:val="004E72D0"/>
    <w:rsid w:val="004F0A73"/>
    <w:rsid w:val="004F2403"/>
    <w:rsid w:val="004F306E"/>
    <w:rsid w:val="004F4507"/>
    <w:rsid w:val="004F47EB"/>
    <w:rsid w:val="004F60CA"/>
    <w:rsid w:val="004F6686"/>
    <w:rsid w:val="004F721C"/>
    <w:rsid w:val="004F7928"/>
    <w:rsid w:val="00500470"/>
    <w:rsid w:val="005023EF"/>
    <w:rsid w:val="00502C4D"/>
    <w:rsid w:val="00503581"/>
    <w:rsid w:val="00503C2C"/>
    <w:rsid w:val="005042AB"/>
    <w:rsid w:val="0050496A"/>
    <w:rsid w:val="0050562A"/>
    <w:rsid w:val="00507536"/>
    <w:rsid w:val="00512500"/>
    <w:rsid w:val="00512D47"/>
    <w:rsid w:val="005133FA"/>
    <w:rsid w:val="0051652C"/>
    <w:rsid w:val="005176EB"/>
    <w:rsid w:val="00517DB0"/>
    <w:rsid w:val="00520768"/>
    <w:rsid w:val="005209E5"/>
    <w:rsid w:val="00521B76"/>
    <w:rsid w:val="00522F4C"/>
    <w:rsid w:val="00523C9C"/>
    <w:rsid w:val="00523F7B"/>
    <w:rsid w:val="00524776"/>
    <w:rsid w:val="00524BBD"/>
    <w:rsid w:val="00524D19"/>
    <w:rsid w:val="005255CD"/>
    <w:rsid w:val="00525995"/>
    <w:rsid w:val="0052658A"/>
    <w:rsid w:val="00526B29"/>
    <w:rsid w:val="00526F1F"/>
    <w:rsid w:val="0052751C"/>
    <w:rsid w:val="00527D95"/>
    <w:rsid w:val="00530F26"/>
    <w:rsid w:val="0053208F"/>
    <w:rsid w:val="00534618"/>
    <w:rsid w:val="0053571A"/>
    <w:rsid w:val="00535E53"/>
    <w:rsid w:val="00536053"/>
    <w:rsid w:val="005414E3"/>
    <w:rsid w:val="005422DE"/>
    <w:rsid w:val="0054367E"/>
    <w:rsid w:val="00550410"/>
    <w:rsid w:val="005515EB"/>
    <w:rsid w:val="0055470B"/>
    <w:rsid w:val="00555174"/>
    <w:rsid w:val="00555870"/>
    <w:rsid w:val="005558B3"/>
    <w:rsid w:val="00560594"/>
    <w:rsid w:val="005626A7"/>
    <w:rsid w:val="00564DE9"/>
    <w:rsid w:val="00570AAF"/>
    <w:rsid w:val="00570B5F"/>
    <w:rsid w:val="00570F21"/>
    <w:rsid w:val="0057141E"/>
    <w:rsid w:val="0057322F"/>
    <w:rsid w:val="00576234"/>
    <w:rsid w:val="005775F8"/>
    <w:rsid w:val="00581C10"/>
    <w:rsid w:val="00582F65"/>
    <w:rsid w:val="00583C9D"/>
    <w:rsid w:val="005856B2"/>
    <w:rsid w:val="005874C3"/>
    <w:rsid w:val="00587DAF"/>
    <w:rsid w:val="005900C7"/>
    <w:rsid w:val="0059168D"/>
    <w:rsid w:val="005919E4"/>
    <w:rsid w:val="005932B1"/>
    <w:rsid w:val="00595C89"/>
    <w:rsid w:val="005A0757"/>
    <w:rsid w:val="005A0F21"/>
    <w:rsid w:val="005A57AC"/>
    <w:rsid w:val="005A5974"/>
    <w:rsid w:val="005A7BC6"/>
    <w:rsid w:val="005A7C0F"/>
    <w:rsid w:val="005B1F94"/>
    <w:rsid w:val="005B2061"/>
    <w:rsid w:val="005B3397"/>
    <w:rsid w:val="005B3853"/>
    <w:rsid w:val="005B6E78"/>
    <w:rsid w:val="005C1EFC"/>
    <w:rsid w:val="005C2884"/>
    <w:rsid w:val="005C2B16"/>
    <w:rsid w:val="005C3D5E"/>
    <w:rsid w:val="005C49A1"/>
    <w:rsid w:val="005C6407"/>
    <w:rsid w:val="005D3E8E"/>
    <w:rsid w:val="005D58D2"/>
    <w:rsid w:val="005D6437"/>
    <w:rsid w:val="005E056B"/>
    <w:rsid w:val="005E05BB"/>
    <w:rsid w:val="005E0CD4"/>
    <w:rsid w:val="005E1B9C"/>
    <w:rsid w:val="005E2A12"/>
    <w:rsid w:val="005E45DF"/>
    <w:rsid w:val="005E46B7"/>
    <w:rsid w:val="005E53A1"/>
    <w:rsid w:val="005E6C50"/>
    <w:rsid w:val="005F0269"/>
    <w:rsid w:val="005F066A"/>
    <w:rsid w:val="005F2A25"/>
    <w:rsid w:val="005F2A4D"/>
    <w:rsid w:val="005F39BE"/>
    <w:rsid w:val="005F446C"/>
    <w:rsid w:val="005F5049"/>
    <w:rsid w:val="005F5523"/>
    <w:rsid w:val="005F558B"/>
    <w:rsid w:val="005F571D"/>
    <w:rsid w:val="005F7AC8"/>
    <w:rsid w:val="0060013A"/>
    <w:rsid w:val="00600850"/>
    <w:rsid w:val="00602DBB"/>
    <w:rsid w:val="00604606"/>
    <w:rsid w:val="00605EA1"/>
    <w:rsid w:val="006060FD"/>
    <w:rsid w:val="0060758D"/>
    <w:rsid w:val="006075E7"/>
    <w:rsid w:val="00610A7F"/>
    <w:rsid w:val="006111BB"/>
    <w:rsid w:val="00612469"/>
    <w:rsid w:val="00613AF2"/>
    <w:rsid w:val="00614833"/>
    <w:rsid w:val="00614A18"/>
    <w:rsid w:val="00615E44"/>
    <w:rsid w:val="0061609F"/>
    <w:rsid w:val="006234EA"/>
    <w:rsid w:val="006238DE"/>
    <w:rsid w:val="00626380"/>
    <w:rsid w:val="00626BD1"/>
    <w:rsid w:val="00627868"/>
    <w:rsid w:val="00632823"/>
    <w:rsid w:val="006336C8"/>
    <w:rsid w:val="00634D7A"/>
    <w:rsid w:val="00635310"/>
    <w:rsid w:val="00636616"/>
    <w:rsid w:val="00637177"/>
    <w:rsid w:val="00637B09"/>
    <w:rsid w:val="00637CFD"/>
    <w:rsid w:val="00640344"/>
    <w:rsid w:val="00640976"/>
    <w:rsid w:val="00640A8C"/>
    <w:rsid w:val="00642E50"/>
    <w:rsid w:val="00645EFE"/>
    <w:rsid w:val="006465DA"/>
    <w:rsid w:val="00647B54"/>
    <w:rsid w:val="00647C15"/>
    <w:rsid w:val="00650157"/>
    <w:rsid w:val="00653CB4"/>
    <w:rsid w:val="0065467D"/>
    <w:rsid w:val="00655D53"/>
    <w:rsid w:val="00655D91"/>
    <w:rsid w:val="00656412"/>
    <w:rsid w:val="00657EFE"/>
    <w:rsid w:val="0066058F"/>
    <w:rsid w:val="006615B4"/>
    <w:rsid w:val="00662F82"/>
    <w:rsid w:val="00672186"/>
    <w:rsid w:val="00673071"/>
    <w:rsid w:val="006736AF"/>
    <w:rsid w:val="00674D02"/>
    <w:rsid w:val="00675B4C"/>
    <w:rsid w:val="00675D7E"/>
    <w:rsid w:val="00676B13"/>
    <w:rsid w:val="006823C2"/>
    <w:rsid w:val="006835B2"/>
    <w:rsid w:val="00683CFD"/>
    <w:rsid w:val="00691C34"/>
    <w:rsid w:val="0069216F"/>
    <w:rsid w:val="006945BD"/>
    <w:rsid w:val="006A0506"/>
    <w:rsid w:val="006A3CEC"/>
    <w:rsid w:val="006A40D6"/>
    <w:rsid w:val="006A551B"/>
    <w:rsid w:val="006A6BB1"/>
    <w:rsid w:val="006A747C"/>
    <w:rsid w:val="006B0AF6"/>
    <w:rsid w:val="006B12E6"/>
    <w:rsid w:val="006B344E"/>
    <w:rsid w:val="006B58EE"/>
    <w:rsid w:val="006B5FD8"/>
    <w:rsid w:val="006B6475"/>
    <w:rsid w:val="006B654C"/>
    <w:rsid w:val="006C00C0"/>
    <w:rsid w:val="006C083D"/>
    <w:rsid w:val="006C13A8"/>
    <w:rsid w:val="006C15E1"/>
    <w:rsid w:val="006C1C8C"/>
    <w:rsid w:val="006C21D7"/>
    <w:rsid w:val="006C4C77"/>
    <w:rsid w:val="006D031F"/>
    <w:rsid w:val="006D050E"/>
    <w:rsid w:val="006D10A6"/>
    <w:rsid w:val="006D2439"/>
    <w:rsid w:val="006D25CD"/>
    <w:rsid w:val="006D273E"/>
    <w:rsid w:val="006D2784"/>
    <w:rsid w:val="006D4F92"/>
    <w:rsid w:val="006D5903"/>
    <w:rsid w:val="006D69BC"/>
    <w:rsid w:val="006D70DD"/>
    <w:rsid w:val="006E05D3"/>
    <w:rsid w:val="006E087F"/>
    <w:rsid w:val="006E2841"/>
    <w:rsid w:val="006E63F2"/>
    <w:rsid w:val="006E7141"/>
    <w:rsid w:val="006F13CF"/>
    <w:rsid w:val="006F1F6E"/>
    <w:rsid w:val="006F26FB"/>
    <w:rsid w:val="006F30E4"/>
    <w:rsid w:val="006F380E"/>
    <w:rsid w:val="006F38DA"/>
    <w:rsid w:val="006F5D41"/>
    <w:rsid w:val="006F79C9"/>
    <w:rsid w:val="007007A5"/>
    <w:rsid w:val="00702604"/>
    <w:rsid w:val="0070380F"/>
    <w:rsid w:val="00703988"/>
    <w:rsid w:val="0070416D"/>
    <w:rsid w:val="007055F6"/>
    <w:rsid w:val="00710284"/>
    <w:rsid w:val="00711A64"/>
    <w:rsid w:val="007123B0"/>
    <w:rsid w:val="00713113"/>
    <w:rsid w:val="007153DE"/>
    <w:rsid w:val="00715B32"/>
    <w:rsid w:val="00716406"/>
    <w:rsid w:val="00716433"/>
    <w:rsid w:val="007179F7"/>
    <w:rsid w:val="0072083C"/>
    <w:rsid w:val="007211DA"/>
    <w:rsid w:val="007216A9"/>
    <w:rsid w:val="00722131"/>
    <w:rsid w:val="00722C5C"/>
    <w:rsid w:val="00725B44"/>
    <w:rsid w:val="0072685F"/>
    <w:rsid w:val="007322EE"/>
    <w:rsid w:val="007327F5"/>
    <w:rsid w:val="00732F87"/>
    <w:rsid w:val="007341E7"/>
    <w:rsid w:val="007344FF"/>
    <w:rsid w:val="007347F1"/>
    <w:rsid w:val="00734EE4"/>
    <w:rsid w:val="007354A2"/>
    <w:rsid w:val="00736C51"/>
    <w:rsid w:val="00741586"/>
    <w:rsid w:val="007430DA"/>
    <w:rsid w:val="007442B5"/>
    <w:rsid w:val="00746C70"/>
    <w:rsid w:val="00746F87"/>
    <w:rsid w:val="007472CF"/>
    <w:rsid w:val="00747551"/>
    <w:rsid w:val="007504E7"/>
    <w:rsid w:val="00750A2E"/>
    <w:rsid w:val="0075113D"/>
    <w:rsid w:val="0075221D"/>
    <w:rsid w:val="00752469"/>
    <w:rsid w:val="00753C11"/>
    <w:rsid w:val="00754DF0"/>
    <w:rsid w:val="00755C2B"/>
    <w:rsid w:val="007575E8"/>
    <w:rsid w:val="0075765A"/>
    <w:rsid w:val="0076269E"/>
    <w:rsid w:val="00762A3C"/>
    <w:rsid w:val="00762F1F"/>
    <w:rsid w:val="00764537"/>
    <w:rsid w:val="00764A2C"/>
    <w:rsid w:val="00764C4B"/>
    <w:rsid w:val="007653DA"/>
    <w:rsid w:val="00770877"/>
    <w:rsid w:val="00770EB9"/>
    <w:rsid w:val="00771EC2"/>
    <w:rsid w:val="00772E3A"/>
    <w:rsid w:val="00772E6C"/>
    <w:rsid w:val="00774ADC"/>
    <w:rsid w:val="00774E00"/>
    <w:rsid w:val="00776664"/>
    <w:rsid w:val="007772C6"/>
    <w:rsid w:val="0077749F"/>
    <w:rsid w:val="0077784F"/>
    <w:rsid w:val="0077799E"/>
    <w:rsid w:val="007806B4"/>
    <w:rsid w:val="00781A70"/>
    <w:rsid w:val="007838B8"/>
    <w:rsid w:val="00783DBA"/>
    <w:rsid w:val="00787799"/>
    <w:rsid w:val="00791318"/>
    <w:rsid w:val="00792212"/>
    <w:rsid w:val="007924F1"/>
    <w:rsid w:val="00792B50"/>
    <w:rsid w:val="00794403"/>
    <w:rsid w:val="007954BB"/>
    <w:rsid w:val="00795E7A"/>
    <w:rsid w:val="007976B8"/>
    <w:rsid w:val="007A02C9"/>
    <w:rsid w:val="007A2CB2"/>
    <w:rsid w:val="007A5EEB"/>
    <w:rsid w:val="007A6ECA"/>
    <w:rsid w:val="007B0FEB"/>
    <w:rsid w:val="007B3A35"/>
    <w:rsid w:val="007B4B46"/>
    <w:rsid w:val="007B5CF4"/>
    <w:rsid w:val="007B5F6A"/>
    <w:rsid w:val="007B65D6"/>
    <w:rsid w:val="007B6739"/>
    <w:rsid w:val="007B7108"/>
    <w:rsid w:val="007C082B"/>
    <w:rsid w:val="007C0F4D"/>
    <w:rsid w:val="007C2B09"/>
    <w:rsid w:val="007C40C7"/>
    <w:rsid w:val="007C45AE"/>
    <w:rsid w:val="007C54BC"/>
    <w:rsid w:val="007C753E"/>
    <w:rsid w:val="007D1DA1"/>
    <w:rsid w:val="007D23AD"/>
    <w:rsid w:val="007D3730"/>
    <w:rsid w:val="007D3AE2"/>
    <w:rsid w:val="007D5CC4"/>
    <w:rsid w:val="007D601B"/>
    <w:rsid w:val="007D6C22"/>
    <w:rsid w:val="007D70EC"/>
    <w:rsid w:val="007E012F"/>
    <w:rsid w:val="007E06E2"/>
    <w:rsid w:val="007E1387"/>
    <w:rsid w:val="007E3E21"/>
    <w:rsid w:val="007E487F"/>
    <w:rsid w:val="007E67A2"/>
    <w:rsid w:val="007E6E84"/>
    <w:rsid w:val="007E7750"/>
    <w:rsid w:val="007E7E86"/>
    <w:rsid w:val="007F12BA"/>
    <w:rsid w:val="007F26AD"/>
    <w:rsid w:val="007F2F3F"/>
    <w:rsid w:val="007F3E84"/>
    <w:rsid w:val="007F5B18"/>
    <w:rsid w:val="007F775F"/>
    <w:rsid w:val="007F7899"/>
    <w:rsid w:val="008021CD"/>
    <w:rsid w:val="00802548"/>
    <w:rsid w:val="0080458E"/>
    <w:rsid w:val="008067B1"/>
    <w:rsid w:val="0080683B"/>
    <w:rsid w:val="008105BE"/>
    <w:rsid w:val="008119D5"/>
    <w:rsid w:val="008137FE"/>
    <w:rsid w:val="00813A9F"/>
    <w:rsid w:val="008159AB"/>
    <w:rsid w:val="008163BA"/>
    <w:rsid w:val="00816A00"/>
    <w:rsid w:val="00816B60"/>
    <w:rsid w:val="00821843"/>
    <w:rsid w:val="0082320E"/>
    <w:rsid w:val="008251A8"/>
    <w:rsid w:val="00826353"/>
    <w:rsid w:val="00826D1B"/>
    <w:rsid w:val="008270F8"/>
    <w:rsid w:val="008273A1"/>
    <w:rsid w:val="0083175E"/>
    <w:rsid w:val="008334C7"/>
    <w:rsid w:val="00834BDA"/>
    <w:rsid w:val="008408EE"/>
    <w:rsid w:val="00842E18"/>
    <w:rsid w:val="008434DD"/>
    <w:rsid w:val="00844695"/>
    <w:rsid w:val="00846328"/>
    <w:rsid w:val="008502DA"/>
    <w:rsid w:val="00850AC9"/>
    <w:rsid w:val="00851A19"/>
    <w:rsid w:val="00857053"/>
    <w:rsid w:val="00857242"/>
    <w:rsid w:val="00861AE3"/>
    <w:rsid w:val="008624BE"/>
    <w:rsid w:val="00862EA1"/>
    <w:rsid w:val="00865B64"/>
    <w:rsid w:val="008661D9"/>
    <w:rsid w:val="00867DA8"/>
    <w:rsid w:val="008718BD"/>
    <w:rsid w:val="00874D32"/>
    <w:rsid w:val="0087682E"/>
    <w:rsid w:val="00877912"/>
    <w:rsid w:val="00880344"/>
    <w:rsid w:val="0088086D"/>
    <w:rsid w:val="008823DE"/>
    <w:rsid w:val="008833CD"/>
    <w:rsid w:val="00883504"/>
    <w:rsid w:val="00883996"/>
    <w:rsid w:val="00883F69"/>
    <w:rsid w:val="008842C8"/>
    <w:rsid w:val="008846CE"/>
    <w:rsid w:val="0088586C"/>
    <w:rsid w:val="008866EB"/>
    <w:rsid w:val="00886DE4"/>
    <w:rsid w:val="0088704F"/>
    <w:rsid w:val="008878F4"/>
    <w:rsid w:val="00891481"/>
    <w:rsid w:val="00894FC8"/>
    <w:rsid w:val="00895315"/>
    <w:rsid w:val="008961FC"/>
    <w:rsid w:val="00896351"/>
    <w:rsid w:val="008963FC"/>
    <w:rsid w:val="008967CD"/>
    <w:rsid w:val="008976CD"/>
    <w:rsid w:val="00897A47"/>
    <w:rsid w:val="00897EF5"/>
    <w:rsid w:val="008A1D9E"/>
    <w:rsid w:val="008A20CC"/>
    <w:rsid w:val="008A2832"/>
    <w:rsid w:val="008A2AC2"/>
    <w:rsid w:val="008A2E05"/>
    <w:rsid w:val="008A2EA8"/>
    <w:rsid w:val="008A318A"/>
    <w:rsid w:val="008A4DAC"/>
    <w:rsid w:val="008A521C"/>
    <w:rsid w:val="008A5269"/>
    <w:rsid w:val="008A590B"/>
    <w:rsid w:val="008A6247"/>
    <w:rsid w:val="008B0CAD"/>
    <w:rsid w:val="008B27B9"/>
    <w:rsid w:val="008B3391"/>
    <w:rsid w:val="008B4696"/>
    <w:rsid w:val="008B5B9D"/>
    <w:rsid w:val="008B5D5F"/>
    <w:rsid w:val="008B7130"/>
    <w:rsid w:val="008B7F9E"/>
    <w:rsid w:val="008C005E"/>
    <w:rsid w:val="008C2048"/>
    <w:rsid w:val="008C39BB"/>
    <w:rsid w:val="008C3D8D"/>
    <w:rsid w:val="008C4A04"/>
    <w:rsid w:val="008C6149"/>
    <w:rsid w:val="008C62ED"/>
    <w:rsid w:val="008C693A"/>
    <w:rsid w:val="008C6FF6"/>
    <w:rsid w:val="008C7DB4"/>
    <w:rsid w:val="008D1D61"/>
    <w:rsid w:val="008D2647"/>
    <w:rsid w:val="008D3643"/>
    <w:rsid w:val="008D4002"/>
    <w:rsid w:val="008D5067"/>
    <w:rsid w:val="008D5275"/>
    <w:rsid w:val="008D5AE1"/>
    <w:rsid w:val="008D705F"/>
    <w:rsid w:val="008D744D"/>
    <w:rsid w:val="008D7B35"/>
    <w:rsid w:val="008E0232"/>
    <w:rsid w:val="008E0948"/>
    <w:rsid w:val="008E1C88"/>
    <w:rsid w:val="008E2FF2"/>
    <w:rsid w:val="008E31BC"/>
    <w:rsid w:val="008E3C8C"/>
    <w:rsid w:val="008E4F8D"/>
    <w:rsid w:val="008E53C7"/>
    <w:rsid w:val="008E572E"/>
    <w:rsid w:val="008F063C"/>
    <w:rsid w:val="008F0A81"/>
    <w:rsid w:val="008F0FE2"/>
    <w:rsid w:val="008F42D8"/>
    <w:rsid w:val="008F4FCF"/>
    <w:rsid w:val="008F5401"/>
    <w:rsid w:val="008F58F1"/>
    <w:rsid w:val="008F657B"/>
    <w:rsid w:val="0090013C"/>
    <w:rsid w:val="009011B9"/>
    <w:rsid w:val="0090239A"/>
    <w:rsid w:val="00902C91"/>
    <w:rsid w:val="00902ED4"/>
    <w:rsid w:val="00905A2B"/>
    <w:rsid w:val="009061DE"/>
    <w:rsid w:val="0091032F"/>
    <w:rsid w:val="00910FD2"/>
    <w:rsid w:val="00911943"/>
    <w:rsid w:val="00912768"/>
    <w:rsid w:val="0091297B"/>
    <w:rsid w:val="00913E90"/>
    <w:rsid w:val="009157D7"/>
    <w:rsid w:val="00917FE0"/>
    <w:rsid w:val="0092226B"/>
    <w:rsid w:val="009224BD"/>
    <w:rsid w:val="00922C15"/>
    <w:rsid w:val="009233D7"/>
    <w:rsid w:val="00923A83"/>
    <w:rsid w:val="009269B2"/>
    <w:rsid w:val="0093101D"/>
    <w:rsid w:val="00931ECC"/>
    <w:rsid w:val="00932682"/>
    <w:rsid w:val="00932C1C"/>
    <w:rsid w:val="0093337C"/>
    <w:rsid w:val="0093457A"/>
    <w:rsid w:val="009352AF"/>
    <w:rsid w:val="00935D3B"/>
    <w:rsid w:val="00935EF9"/>
    <w:rsid w:val="0094027C"/>
    <w:rsid w:val="00940E00"/>
    <w:rsid w:val="009427A0"/>
    <w:rsid w:val="00942954"/>
    <w:rsid w:val="00943188"/>
    <w:rsid w:val="009435D4"/>
    <w:rsid w:val="00943F28"/>
    <w:rsid w:val="00944370"/>
    <w:rsid w:val="00944422"/>
    <w:rsid w:val="0094459C"/>
    <w:rsid w:val="009451E4"/>
    <w:rsid w:val="00945420"/>
    <w:rsid w:val="00946B45"/>
    <w:rsid w:val="009531F2"/>
    <w:rsid w:val="009539FF"/>
    <w:rsid w:val="009551EF"/>
    <w:rsid w:val="00956A43"/>
    <w:rsid w:val="00960086"/>
    <w:rsid w:val="00960CAC"/>
    <w:rsid w:val="009634D2"/>
    <w:rsid w:val="00964E34"/>
    <w:rsid w:val="00964EA7"/>
    <w:rsid w:val="00970C1E"/>
    <w:rsid w:val="0097133B"/>
    <w:rsid w:val="00972D4D"/>
    <w:rsid w:val="009736B4"/>
    <w:rsid w:val="00973AB5"/>
    <w:rsid w:val="0097535E"/>
    <w:rsid w:val="00975E40"/>
    <w:rsid w:val="009761A7"/>
    <w:rsid w:val="00977858"/>
    <w:rsid w:val="00980346"/>
    <w:rsid w:val="00984243"/>
    <w:rsid w:val="009858EC"/>
    <w:rsid w:val="00985903"/>
    <w:rsid w:val="0098697C"/>
    <w:rsid w:val="00987293"/>
    <w:rsid w:val="00987763"/>
    <w:rsid w:val="00987E4F"/>
    <w:rsid w:val="00987E57"/>
    <w:rsid w:val="0099140A"/>
    <w:rsid w:val="00991564"/>
    <w:rsid w:val="0099325E"/>
    <w:rsid w:val="009933FB"/>
    <w:rsid w:val="0099517D"/>
    <w:rsid w:val="00997460"/>
    <w:rsid w:val="009A0EFF"/>
    <w:rsid w:val="009A1544"/>
    <w:rsid w:val="009A1B4A"/>
    <w:rsid w:val="009A50E7"/>
    <w:rsid w:val="009A5133"/>
    <w:rsid w:val="009A5CDF"/>
    <w:rsid w:val="009A6270"/>
    <w:rsid w:val="009A654B"/>
    <w:rsid w:val="009B25E8"/>
    <w:rsid w:val="009B2813"/>
    <w:rsid w:val="009B4F01"/>
    <w:rsid w:val="009B503A"/>
    <w:rsid w:val="009C08FD"/>
    <w:rsid w:val="009C253D"/>
    <w:rsid w:val="009C28D4"/>
    <w:rsid w:val="009C32CB"/>
    <w:rsid w:val="009C348C"/>
    <w:rsid w:val="009C36D7"/>
    <w:rsid w:val="009C6B86"/>
    <w:rsid w:val="009C78F0"/>
    <w:rsid w:val="009C7A06"/>
    <w:rsid w:val="009D0377"/>
    <w:rsid w:val="009D1C8C"/>
    <w:rsid w:val="009D2208"/>
    <w:rsid w:val="009D231A"/>
    <w:rsid w:val="009D61C9"/>
    <w:rsid w:val="009D6F89"/>
    <w:rsid w:val="009E2B39"/>
    <w:rsid w:val="009E3AD4"/>
    <w:rsid w:val="009E6588"/>
    <w:rsid w:val="009E6DC2"/>
    <w:rsid w:val="009E7650"/>
    <w:rsid w:val="009F29E1"/>
    <w:rsid w:val="009F4C8F"/>
    <w:rsid w:val="009F601F"/>
    <w:rsid w:val="009F61B5"/>
    <w:rsid w:val="009F6550"/>
    <w:rsid w:val="009F79A7"/>
    <w:rsid w:val="00A01326"/>
    <w:rsid w:val="00A030E0"/>
    <w:rsid w:val="00A031D5"/>
    <w:rsid w:val="00A07915"/>
    <w:rsid w:val="00A104B1"/>
    <w:rsid w:val="00A1090C"/>
    <w:rsid w:val="00A1103D"/>
    <w:rsid w:val="00A1254D"/>
    <w:rsid w:val="00A135F4"/>
    <w:rsid w:val="00A13CB9"/>
    <w:rsid w:val="00A1481D"/>
    <w:rsid w:val="00A16A10"/>
    <w:rsid w:val="00A17272"/>
    <w:rsid w:val="00A20A3E"/>
    <w:rsid w:val="00A21958"/>
    <w:rsid w:val="00A21BAF"/>
    <w:rsid w:val="00A248F9"/>
    <w:rsid w:val="00A26046"/>
    <w:rsid w:val="00A27377"/>
    <w:rsid w:val="00A3143D"/>
    <w:rsid w:val="00A3347E"/>
    <w:rsid w:val="00A3365A"/>
    <w:rsid w:val="00A33BFC"/>
    <w:rsid w:val="00A35D6D"/>
    <w:rsid w:val="00A35E1B"/>
    <w:rsid w:val="00A3645C"/>
    <w:rsid w:val="00A36E66"/>
    <w:rsid w:val="00A405DF"/>
    <w:rsid w:val="00A4481B"/>
    <w:rsid w:val="00A456B0"/>
    <w:rsid w:val="00A51D65"/>
    <w:rsid w:val="00A529CD"/>
    <w:rsid w:val="00A55BC7"/>
    <w:rsid w:val="00A55F59"/>
    <w:rsid w:val="00A562BE"/>
    <w:rsid w:val="00A61179"/>
    <w:rsid w:val="00A61409"/>
    <w:rsid w:val="00A61B32"/>
    <w:rsid w:val="00A61D3E"/>
    <w:rsid w:val="00A61E29"/>
    <w:rsid w:val="00A61FE1"/>
    <w:rsid w:val="00A63833"/>
    <w:rsid w:val="00A63EC4"/>
    <w:rsid w:val="00A64141"/>
    <w:rsid w:val="00A645E2"/>
    <w:rsid w:val="00A64EAD"/>
    <w:rsid w:val="00A70298"/>
    <w:rsid w:val="00A716ED"/>
    <w:rsid w:val="00A744AF"/>
    <w:rsid w:val="00A75478"/>
    <w:rsid w:val="00A75801"/>
    <w:rsid w:val="00A77166"/>
    <w:rsid w:val="00A82F63"/>
    <w:rsid w:val="00A844ED"/>
    <w:rsid w:val="00A85157"/>
    <w:rsid w:val="00A858BB"/>
    <w:rsid w:val="00A8647B"/>
    <w:rsid w:val="00A9192A"/>
    <w:rsid w:val="00A91E70"/>
    <w:rsid w:val="00A920EF"/>
    <w:rsid w:val="00A92AC9"/>
    <w:rsid w:val="00A94898"/>
    <w:rsid w:val="00A94C0C"/>
    <w:rsid w:val="00A94EAA"/>
    <w:rsid w:val="00A954A5"/>
    <w:rsid w:val="00AA2A3E"/>
    <w:rsid w:val="00AA594F"/>
    <w:rsid w:val="00AA7F1C"/>
    <w:rsid w:val="00AB0FA6"/>
    <w:rsid w:val="00AB128B"/>
    <w:rsid w:val="00AB39D7"/>
    <w:rsid w:val="00AB4BE9"/>
    <w:rsid w:val="00AB52D2"/>
    <w:rsid w:val="00AB58CA"/>
    <w:rsid w:val="00AB68A8"/>
    <w:rsid w:val="00AB7047"/>
    <w:rsid w:val="00AB734D"/>
    <w:rsid w:val="00AB7483"/>
    <w:rsid w:val="00AC2059"/>
    <w:rsid w:val="00AC2AD1"/>
    <w:rsid w:val="00AC5F0B"/>
    <w:rsid w:val="00AC6E54"/>
    <w:rsid w:val="00AC73C6"/>
    <w:rsid w:val="00AC7CBC"/>
    <w:rsid w:val="00AD300D"/>
    <w:rsid w:val="00AD4403"/>
    <w:rsid w:val="00AD4B24"/>
    <w:rsid w:val="00AD5D5C"/>
    <w:rsid w:val="00AD5E40"/>
    <w:rsid w:val="00AD60FF"/>
    <w:rsid w:val="00AD69E7"/>
    <w:rsid w:val="00AE2083"/>
    <w:rsid w:val="00AE614E"/>
    <w:rsid w:val="00AE62DB"/>
    <w:rsid w:val="00AE6682"/>
    <w:rsid w:val="00AE7FF7"/>
    <w:rsid w:val="00AF0A76"/>
    <w:rsid w:val="00AF1E1C"/>
    <w:rsid w:val="00AF2CE1"/>
    <w:rsid w:val="00AF2ECF"/>
    <w:rsid w:val="00AF39AC"/>
    <w:rsid w:val="00AF41C8"/>
    <w:rsid w:val="00AF4C5E"/>
    <w:rsid w:val="00AF5A0A"/>
    <w:rsid w:val="00AF7CED"/>
    <w:rsid w:val="00B004E6"/>
    <w:rsid w:val="00B02222"/>
    <w:rsid w:val="00B033BF"/>
    <w:rsid w:val="00B03DE8"/>
    <w:rsid w:val="00B0534A"/>
    <w:rsid w:val="00B0598C"/>
    <w:rsid w:val="00B05A20"/>
    <w:rsid w:val="00B060AE"/>
    <w:rsid w:val="00B067D9"/>
    <w:rsid w:val="00B07873"/>
    <w:rsid w:val="00B07D4D"/>
    <w:rsid w:val="00B07FAC"/>
    <w:rsid w:val="00B105E6"/>
    <w:rsid w:val="00B10D6B"/>
    <w:rsid w:val="00B13685"/>
    <w:rsid w:val="00B1458C"/>
    <w:rsid w:val="00B1555D"/>
    <w:rsid w:val="00B157E9"/>
    <w:rsid w:val="00B15ECD"/>
    <w:rsid w:val="00B16DC3"/>
    <w:rsid w:val="00B177C5"/>
    <w:rsid w:val="00B20589"/>
    <w:rsid w:val="00B221A4"/>
    <w:rsid w:val="00B2360E"/>
    <w:rsid w:val="00B2469B"/>
    <w:rsid w:val="00B253A3"/>
    <w:rsid w:val="00B2618E"/>
    <w:rsid w:val="00B2763F"/>
    <w:rsid w:val="00B278E3"/>
    <w:rsid w:val="00B31810"/>
    <w:rsid w:val="00B32915"/>
    <w:rsid w:val="00B34BED"/>
    <w:rsid w:val="00B35557"/>
    <w:rsid w:val="00B36F36"/>
    <w:rsid w:val="00B4079C"/>
    <w:rsid w:val="00B4231A"/>
    <w:rsid w:val="00B42954"/>
    <w:rsid w:val="00B4518D"/>
    <w:rsid w:val="00B45A3D"/>
    <w:rsid w:val="00B45E6C"/>
    <w:rsid w:val="00B462DE"/>
    <w:rsid w:val="00B518E1"/>
    <w:rsid w:val="00B52E74"/>
    <w:rsid w:val="00B553CD"/>
    <w:rsid w:val="00B61F4B"/>
    <w:rsid w:val="00B62AEC"/>
    <w:rsid w:val="00B63C33"/>
    <w:rsid w:val="00B6490A"/>
    <w:rsid w:val="00B655A1"/>
    <w:rsid w:val="00B65A77"/>
    <w:rsid w:val="00B664C8"/>
    <w:rsid w:val="00B66C85"/>
    <w:rsid w:val="00B67910"/>
    <w:rsid w:val="00B67DF1"/>
    <w:rsid w:val="00B70373"/>
    <w:rsid w:val="00B73745"/>
    <w:rsid w:val="00B74BFE"/>
    <w:rsid w:val="00B74EF0"/>
    <w:rsid w:val="00B75EBB"/>
    <w:rsid w:val="00B76B89"/>
    <w:rsid w:val="00B805FB"/>
    <w:rsid w:val="00B81880"/>
    <w:rsid w:val="00B81BEC"/>
    <w:rsid w:val="00B81C5C"/>
    <w:rsid w:val="00B83283"/>
    <w:rsid w:val="00B8665E"/>
    <w:rsid w:val="00B87C00"/>
    <w:rsid w:val="00B9117A"/>
    <w:rsid w:val="00B95180"/>
    <w:rsid w:val="00B96308"/>
    <w:rsid w:val="00BA3CB2"/>
    <w:rsid w:val="00BA3FE5"/>
    <w:rsid w:val="00BA4740"/>
    <w:rsid w:val="00BA5358"/>
    <w:rsid w:val="00BA537D"/>
    <w:rsid w:val="00BB0A27"/>
    <w:rsid w:val="00BB0B0B"/>
    <w:rsid w:val="00BB0E9B"/>
    <w:rsid w:val="00BB1B22"/>
    <w:rsid w:val="00BB3337"/>
    <w:rsid w:val="00BB679A"/>
    <w:rsid w:val="00BB6EB2"/>
    <w:rsid w:val="00BB6EC2"/>
    <w:rsid w:val="00BB755C"/>
    <w:rsid w:val="00BB7BE8"/>
    <w:rsid w:val="00BC0338"/>
    <w:rsid w:val="00BC07AA"/>
    <w:rsid w:val="00BC283D"/>
    <w:rsid w:val="00BC2B37"/>
    <w:rsid w:val="00BC4851"/>
    <w:rsid w:val="00BC4926"/>
    <w:rsid w:val="00BC69F3"/>
    <w:rsid w:val="00BC6EFE"/>
    <w:rsid w:val="00BC778D"/>
    <w:rsid w:val="00BC7F02"/>
    <w:rsid w:val="00BD2D93"/>
    <w:rsid w:val="00BD3FD5"/>
    <w:rsid w:val="00BD4544"/>
    <w:rsid w:val="00BD531D"/>
    <w:rsid w:val="00BD5AD0"/>
    <w:rsid w:val="00BD6128"/>
    <w:rsid w:val="00BD650D"/>
    <w:rsid w:val="00BD7C74"/>
    <w:rsid w:val="00BE0A30"/>
    <w:rsid w:val="00BE1452"/>
    <w:rsid w:val="00BE22A6"/>
    <w:rsid w:val="00BE23E6"/>
    <w:rsid w:val="00BE68FC"/>
    <w:rsid w:val="00BF017A"/>
    <w:rsid w:val="00BF0ED2"/>
    <w:rsid w:val="00BF12C0"/>
    <w:rsid w:val="00BF248B"/>
    <w:rsid w:val="00BF2D38"/>
    <w:rsid w:val="00BF31E4"/>
    <w:rsid w:val="00BF526A"/>
    <w:rsid w:val="00BF5952"/>
    <w:rsid w:val="00BF7AF6"/>
    <w:rsid w:val="00BF7EAB"/>
    <w:rsid w:val="00C02463"/>
    <w:rsid w:val="00C03AFA"/>
    <w:rsid w:val="00C03EC7"/>
    <w:rsid w:val="00C03F4F"/>
    <w:rsid w:val="00C043B0"/>
    <w:rsid w:val="00C06900"/>
    <w:rsid w:val="00C12A62"/>
    <w:rsid w:val="00C12DAC"/>
    <w:rsid w:val="00C15137"/>
    <w:rsid w:val="00C1779F"/>
    <w:rsid w:val="00C21E54"/>
    <w:rsid w:val="00C256CA"/>
    <w:rsid w:val="00C27CFA"/>
    <w:rsid w:val="00C30567"/>
    <w:rsid w:val="00C309A8"/>
    <w:rsid w:val="00C31092"/>
    <w:rsid w:val="00C310C9"/>
    <w:rsid w:val="00C328F1"/>
    <w:rsid w:val="00C33026"/>
    <w:rsid w:val="00C366A1"/>
    <w:rsid w:val="00C36747"/>
    <w:rsid w:val="00C41404"/>
    <w:rsid w:val="00C41B86"/>
    <w:rsid w:val="00C41EE8"/>
    <w:rsid w:val="00C43AD0"/>
    <w:rsid w:val="00C45AAC"/>
    <w:rsid w:val="00C4659D"/>
    <w:rsid w:val="00C500E4"/>
    <w:rsid w:val="00C52961"/>
    <w:rsid w:val="00C53CF0"/>
    <w:rsid w:val="00C55E6B"/>
    <w:rsid w:val="00C574DF"/>
    <w:rsid w:val="00C57698"/>
    <w:rsid w:val="00C6053F"/>
    <w:rsid w:val="00C61353"/>
    <w:rsid w:val="00C643BE"/>
    <w:rsid w:val="00C64880"/>
    <w:rsid w:val="00C6581C"/>
    <w:rsid w:val="00C66506"/>
    <w:rsid w:val="00C70156"/>
    <w:rsid w:val="00C707AF"/>
    <w:rsid w:val="00C714A7"/>
    <w:rsid w:val="00C71F48"/>
    <w:rsid w:val="00C73F54"/>
    <w:rsid w:val="00C76471"/>
    <w:rsid w:val="00C824DF"/>
    <w:rsid w:val="00C84600"/>
    <w:rsid w:val="00C84608"/>
    <w:rsid w:val="00C84BBD"/>
    <w:rsid w:val="00C84CDE"/>
    <w:rsid w:val="00C87838"/>
    <w:rsid w:val="00C90295"/>
    <w:rsid w:val="00C905E8"/>
    <w:rsid w:val="00C936A2"/>
    <w:rsid w:val="00C95335"/>
    <w:rsid w:val="00C954E8"/>
    <w:rsid w:val="00CA1841"/>
    <w:rsid w:val="00CA38F0"/>
    <w:rsid w:val="00CA6F3B"/>
    <w:rsid w:val="00CA790C"/>
    <w:rsid w:val="00CB3AAF"/>
    <w:rsid w:val="00CB507F"/>
    <w:rsid w:val="00CB645E"/>
    <w:rsid w:val="00CB7FAD"/>
    <w:rsid w:val="00CC0022"/>
    <w:rsid w:val="00CC15CB"/>
    <w:rsid w:val="00CC297F"/>
    <w:rsid w:val="00CC2BCE"/>
    <w:rsid w:val="00CC2C6C"/>
    <w:rsid w:val="00CC3C11"/>
    <w:rsid w:val="00CC5016"/>
    <w:rsid w:val="00CC649F"/>
    <w:rsid w:val="00CC6B43"/>
    <w:rsid w:val="00CD2867"/>
    <w:rsid w:val="00CD3C7C"/>
    <w:rsid w:val="00CD40E1"/>
    <w:rsid w:val="00CD4335"/>
    <w:rsid w:val="00CD5C74"/>
    <w:rsid w:val="00CD7EB3"/>
    <w:rsid w:val="00CE00E1"/>
    <w:rsid w:val="00CE13FA"/>
    <w:rsid w:val="00CE205D"/>
    <w:rsid w:val="00CE33E4"/>
    <w:rsid w:val="00CE3FF3"/>
    <w:rsid w:val="00CE4AE9"/>
    <w:rsid w:val="00CE5515"/>
    <w:rsid w:val="00CF027A"/>
    <w:rsid w:val="00CF1D90"/>
    <w:rsid w:val="00CF2D15"/>
    <w:rsid w:val="00CF303D"/>
    <w:rsid w:val="00CF3619"/>
    <w:rsid w:val="00CF5501"/>
    <w:rsid w:val="00D0072D"/>
    <w:rsid w:val="00D011F9"/>
    <w:rsid w:val="00D045F8"/>
    <w:rsid w:val="00D1011D"/>
    <w:rsid w:val="00D10A35"/>
    <w:rsid w:val="00D10DDA"/>
    <w:rsid w:val="00D13659"/>
    <w:rsid w:val="00D13AAA"/>
    <w:rsid w:val="00D13B0B"/>
    <w:rsid w:val="00D13D46"/>
    <w:rsid w:val="00D15CD7"/>
    <w:rsid w:val="00D15D4C"/>
    <w:rsid w:val="00D1674D"/>
    <w:rsid w:val="00D171BA"/>
    <w:rsid w:val="00D17D9D"/>
    <w:rsid w:val="00D17F7C"/>
    <w:rsid w:val="00D2044C"/>
    <w:rsid w:val="00D20492"/>
    <w:rsid w:val="00D20605"/>
    <w:rsid w:val="00D210B2"/>
    <w:rsid w:val="00D21422"/>
    <w:rsid w:val="00D21A97"/>
    <w:rsid w:val="00D21FDB"/>
    <w:rsid w:val="00D2229D"/>
    <w:rsid w:val="00D23585"/>
    <w:rsid w:val="00D24910"/>
    <w:rsid w:val="00D31088"/>
    <w:rsid w:val="00D32154"/>
    <w:rsid w:val="00D32FED"/>
    <w:rsid w:val="00D342A7"/>
    <w:rsid w:val="00D36305"/>
    <w:rsid w:val="00D3645D"/>
    <w:rsid w:val="00D374B6"/>
    <w:rsid w:val="00D41F5D"/>
    <w:rsid w:val="00D42C39"/>
    <w:rsid w:val="00D447A2"/>
    <w:rsid w:val="00D44AB7"/>
    <w:rsid w:val="00D44CE6"/>
    <w:rsid w:val="00D45C54"/>
    <w:rsid w:val="00D4634D"/>
    <w:rsid w:val="00D507D6"/>
    <w:rsid w:val="00D50900"/>
    <w:rsid w:val="00D50B1F"/>
    <w:rsid w:val="00D53FD2"/>
    <w:rsid w:val="00D54CD3"/>
    <w:rsid w:val="00D54FBE"/>
    <w:rsid w:val="00D55234"/>
    <w:rsid w:val="00D553DD"/>
    <w:rsid w:val="00D560F3"/>
    <w:rsid w:val="00D62F1C"/>
    <w:rsid w:val="00D63CBC"/>
    <w:rsid w:val="00D64BD6"/>
    <w:rsid w:val="00D65091"/>
    <w:rsid w:val="00D65C0D"/>
    <w:rsid w:val="00D70330"/>
    <w:rsid w:val="00D70AB4"/>
    <w:rsid w:val="00D70CC3"/>
    <w:rsid w:val="00D7114E"/>
    <w:rsid w:val="00D71C4D"/>
    <w:rsid w:val="00D724E7"/>
    <w:rsid w:val="00D73E50"/>
    <w:rsid w:val="00D745A0"/>
    <w:rsid w:val="00D7481B"/>
    <w:rsid w:val="00D74C83"/>
    <w:rsid w:val="00D751EB"/>
    <w:rsid w:val="00D76522"/>
    <w:rsid w:val="00D80F04"/>
    <w:rsid w:val="00D818B7"/>
    <w:rsid w:val="00D82398"/>
    <w:rsid w:val="00D824D4"/>
    <w:rsid w:val="00D82DC6"/>
    <w:rsid w:val="00D8350A"/>
    <w:rsid w:val="00D83C1C"/>
    <w:rsid w:val="00D83F9E"/>
    <w:rsid w:val="00D849C8"/>
    <w:rsid w:val="00D84E9E"/>
    <w:rsid w:val="00D851E2"/>
    <w:rsid w:val="00D8639F"/>
    <w:rsid w:val="00D8748E"/>
    <w:rsid w:val="00D874EB"/>
    <w:rsid w:val="00D87F8A"/>
    <w:rsid w:val="00D915D3"/>
    <w:rsid w:val="00D91FD0"/>
    <w:rsid w:val="00D9348F"/>
    <w:rsid w:val="00D93766"/>
    <w:rsid w:val="00D938B6"/>
    <w:rsid w:val="00D94E83"/>
    <w:rsid w:val="00D95458"/>
    <w:rsid w:val="00D95548"/>
    <w:rsid w:val="00D9750D"/>
    <w:rsid w:val="00DA1AB8"/>
    <w:rsid w:val="00DA2088"/>
    <w:rsid w:val="00DA28BC"/>
    <w:rsid w:val="00DA2F53"/>
    <w:rsid w:val="00DA3317"/>
    <w:rsid w:val="00DA40C8"/>
    <w:rsid w:val="00DA560C"/>
    <w:rsid w:val="00DA5AD3"/>
    <w:rsid w:val="00DA6413"/>
    <w:rsid w:val="00DA6A28"/>
    <w:rsid w:val="00DA6AEE"/>
    <w:rsid w:val="00DB3F2A"/>
    <w:rsid w:val="00DB62DA"/>
    <w:rsid w:val="00DB664E"/>
    <w:rsid w:val="00DB6A28"/>
    <w:rsid w:val="00DB72F6"/>
    <w:rsid w:val="00DB76E2"/>
    <w:rsid w:val="00DC3042"/>
    <w:rsid w:val="00DC3AEF"/>
    <w:rsid w:val="00DC4A46"/>
    <w:rsid w:val="00DC5B8F"/>
    <w:rsid w:val="00DC71F3"/>
    <w:rsid w:val="00DC7C93"/>
    <w:rsid w:val="00DD1205"/>
    <w:rsid w:val="00DD3EC9"/>
    <w:rsid w:val="00DD42A2"/>
    <w:rsid w:val="00DD61A4"/>
    <w:rsid w:val="00DD646C"/>
    <w:rsid w:val="00DD7D9E"/>
    <w:rsid w:val="00DD7DA4"/>
    <w:rsid w:val="00DE1A13"/>
    <w:rsid w:val="00DE23B1"/>
    <w:rsid w:val="00DE3C8C"/>
    <w:rsid w:val="00DE3F8C"/>
    <w:rsid w:val="00DE527D"/>
    <w:rsid w:val="00DE5D6F"/>
    <w:rsid w:val="00DE7634"/>
    <w:rsid w:val="00DF02FF"/>
    <w:rsid w:val="00DF21AE"/>
    <w:rsid w:val="00DF3306"/>
    <w:rsid w:val="00DF50E8"/>
    <w:rsid w:val="00DF738D"/>
    <w:rsid w:val="00E018E4"/>
    <w:rsid w:val="00E033B1"/>
    <w:rsid w:val="00E04596"/>
    <w:rsid w:val="00E049A6"/>
    <w:rsid w:val="00E04D77"/>
    <w:rsid w:val="00E0529A"/>
    <w:rsid w:val="00E0572D"/>
    <w:rsid w:val="00E0591A"/>
    <w:rsid w:val="00E101B1"/>
    <w:rsid w:val="00E10C37"/>
    <w:rsid w:val="00E10ECD"/>
    <w:rsid w:val="00E13942"/>
    <w:rsid w:val="00E16CE9"/>
    <w:rsid w:val="00E2121C"/>
    <w:rsid w:val="00E216DF"/>
    <w:rsid w:val="00E21E84"/>
    <w:rsid w:val="00E21F0C"/>
    <w:rsid w:val="00E24006"/>
    <w:rsid w:val="00E24111"/>
    <w:rsid w:val="00E2722D"/>
    <w:rsid w:val="00E300BF"/>
    <w:rsid w:val="00E334AF"/>
    <w:rsid w:val="00E33FF9"/>
    <w:rsid w:val="00E349DC"/>
    <w:rsid w:val="00E42681"/>
    <w:rsid w:val="00E42E5E"/>
    <w:rsid w:val="00E430AB"/>
    <w:rsid w:val="00E43993"/>
    <w:rsid w:val="00E45BB0"/>
    <w:rsid w:val="00E504B9"/>
    <w:rsid w:val="00E50C30"/>
    <w:rsid w:val="00E52F56"/>
    <w:rsid w:val="00E54028"/>
    <w:rsid w:val="00E5462F"/>
    <w:rsid w:val="00E54BAB"/>
    <w:rsid w:val="00E55676"/>
    <w:rsid w:val="00E55AF8"/>
    <w:rsid w:val="00E55DDB"/>
    <w:rsid w:val="00E5639D"/>
    <w:rsid w:val="00E57867"/>
    <w:rsid w:val="00E57C5E"/>
    <w:rsid w:val="00E60980"/>
    <w:rsid w:val="00E611D0"/>
    <w:rsid w:val="00E61575"/>
    <w:rsid w:val="00E61DF5"/>
    <w:rsid w:val="00E63677"/>
    <w:rsid w:val="00E63A84"/>
    <w:rsid w:val="00E64059"/>
    <w:rsid w:val="00E6645F"/>
    <w:rsid w:val="00E71200"/>
    <w:rsid w:val="00E72239"/>
    <w:rsid w:val="00E726F7"/>
    <w:rsid w:val="00E7371C"/>
    <w:rsid w:val="00E73A3A"/>
    <w:rsid w:val="00E75AD8"/>
    <w:rsid w:val="00E801F4"/>
    <w:rsid w:val="00E81286"/>
    <w:rsid w:val="00E81338"/>
    <w:rsid w:val="00E82413"/>
    <w:rsid w:val="00E82BFB"/>
    <w:rsid w:val="00E84A95"/>
    <w:rsid w:val="00E85640"/>
    <w:rsid w:val="00E856C2"/>
    <w:rsid w:val="00E86918"/>
    <w:rsid w:val="00E86FD2"/>
    <w:rsid w:val="00E87405"/>
    <w:rsid w:val="00E879D7"/>
    <w:rsid w:val="00E92A36"/>
    <w:rsid w:val="00E93B56"/>
    <w:rsid w:val="00E93F46"/>
    <w:rsid w:val="00E941A7"/>
    <w:rsid w:val="00E94223"/>
    <w:rsid w:val="00E950CF"/>
    <w:rsid w:val="00E97140"/>
    <w:rsid w:val="00E97368"/>
    <w:rsid w:val="00EA0958"/>
    <w:rsid w:val="00EA111B"/>
    <w:rsid w:val="00EA14BA"/>
    <w:rsid w:val="00EA180C"/>
    <w:rsid w:val="00EA2553"/>
    <w:rsid w:val="00EA3379"/>
    <w:rsid w:val="00EA34D9"/>
    <w:rsid w:val="00EA73B5"/>
    <w:rsid w:val="00EB361C"/>
    <w:rsid w:val="00EB41F4"/>
    <w:rsid w:val="00EB44C8"/>
    <w:rsid w:val="00EB626F"/>
    <w:rsid w:val="00EB6400"/>
    <w:rsid w:val="00EB694B"/>
    <w:rsid w:val="00EB7C22"/>
    <w:rsid w:val="00EB7CFA"/>
    <w:rsid w:val="00EB7D4D"/>
    <w:rsid w:val="00EB7F64"/>
    <w:rsid w:val="00EC0A13"/>
    <w:rsid w:val="00EC0C33"/>
    <w:rsid w:val="00EC0CF1"/>
    <w:rsid w:val="00EC1DF8"/>
    <w:rsid w:val="00EC3BB3"/>
    <w:rsid w:val="00EC3D69"/>
    <w:rsid w:val="00EC4068"/>
    <w:rsid w:val="00EC569E"/>
    <w:rsid w:val="00EC5798"/>
    <w:rsid w:val="00EC6177"/>
    <w:rsid w:val="00EC799D"/>
    <w:rsid w:val="00ED0606"/>
    <w:rsid w:val="00ED0CF7"/>
    <w:rsid w:val="00ED12C1"/>
    <w:rsid w:val="00ED15E3"/>
    <w:rsid w:val="00ED1600"/>
    <w:rsid w:val="00ED1650"/>
    <w:rsid w:val="00ED1D0C"/>
    <w:rsid w:val="00ED36E9"/>
    <w:rsid w:val="00ED4B5B"/>
    <w:rsid w:val="00ED4E84"/>
    <w:rsid w:val="00ED54AD"/>
    <w:rsid w:val="00EE193D"/>
    <w:rsid w:val="00EE230E"/>
    <w:rsid w:val="00EE4832"/>
    <w:rsid w:val="00EE5904"/>
    <w:rsid w:val="00EE6C10"/>
    <w:rsid w:val="00EE6CB6"/>
    <w:rsid w:val="00EE6DD0"/>
    <w:rsid w:val="00EF0B1B"/>
    <w:rsid w:val="00EF2EFC"/>
    <w:rsid w:val="00EF3790"/>
    <w:rsid w:val="00EF3801"/>
    <w:rsid w:val="00EF4F45"/>
    <w:rsid w:val="00EF4F9B"/>
    <w:rsid w:val="00EF634B"/>
    <w:rsid w:val="00EF70F4"/>
    <w:rsid w:val="00EF73D5"/>
    <w:rsid w:val="00F0093A"/>
    <w:rsid w:val="00F00DBF"/>
    <w:rsid w:val="00F02153"/>
    <w:rsid w:val="00F03B6B"/>
    <w:rsid w:val="00F054FA"/>
    <w:rsid w:val="00F05C8A"/>
    <w:rsid w:val="00F0716C"/>
    <w:rsid w:val="00F07E64"/>
    <w:rsid w:val="00F10AAD"/>
    <w:rsid w:val="00F11937"/>
    <w:rsid w:val="00F1224F"/>
    <w:rsid w:val="00F1311B"/>
    <w:rsid w:val="00F13665"/>
    <w:rsid w:val="00F13979"/>
    <w:rsid w:val="00F152DF"/>
    <w:rsid w:val="00F15CC9"/>
    <w:rsid w:val="00F16032"/>
    <w:rsid w:val="00F16221"/>
    <w:rsid w:val="00F16B24"/>
    <w:rsid w:val="00F16EA4"/>
    <w:rsid w:val="00F17FD3"/>
    <w:rsid w:val="00F207D2"/>
    <w:rsid w:val="00F21D1C"/>
    <w:rsid w:val="00F254B6"/>
    <w:rsid w:val="00F267DB"/>
    <w:rsid w:val="00F2694E"/>
    <w:rsid w:val="00F26A59"/>
    <w:rsid w:val="00F27003"/>
    <w:rsid w:val="00F3017F"/>
    <w:rsid w:val="00F3030B"/>
    <w:rsid w:val="00F31642"/>
    <w:rsid w:val="00F32768"/>
    <w:rsid w:val="00F328FF"/>
    <w:rsid w:val="00F33075"/>
    <w:rsid w:val="00F33D4E"/>
    <w:rsid w:val="00F347A6"/>
    <w:rsid w:val="00F34DC8"/>
    <w:rsid w:val="00F354E4"/>
    <w:rsid w:val="00F3555A"/>
    <w:rsid w:val="00F37E23"/>
    <w:rsid w:val="00F37EB1"/>
    <w:rsid w:val="00F403BA"/>
    <w:rsid w:val="00F42D86"/>
    <w:rsid w:val="00F43000"/>
    <w:rsid w:val="00F46078"/>
    <w:rsid w:val="00F46BED"/>
    <w:rsid w:val="00F4734C"/>
    <w:rsid w:val="00F5177A"/>
    <w:rsid w:val="00F519C9"/>
    <w:rsid w:val="00F53AE8"/>
    <w:rsid w:val="00F53F9B"/>
    <w:rsid w:val="00F54765"/>
    <w:rsid w:val="00F55CAE"/>
    <w:rsid w:val="00F55DC8"/>
    <w:rsid w:val="00F55EB5"/>
    <w:rsid w:val="00F56B5E"/>
    <w:rsid w:val="00F60ED1"/>
    <w:rsid w:val="00F61024"/>
    <w:rsid w:val="00F6142C"/>
    <w:rsid w:val="00F61569"/>
    <w:rsid w:val="00F615A4"/>
    <w:rsid w:val="00F623A0"/>
    <w:rsid w:val="00F64D3B"/>
    <w:rsid w:val="00F64F55"/>
    <w:rsid w:val="00F653C3"/>
    <w:rsid w:val="00F660E2"/>
    <w:rsid w:val="00F67616"/>
    <w:rsid w:val="00F71491"/>
    <w:rsid w:val="00F726FC"/>
    <w:rsid w:val="00F73855"/>
    <w:rsid w:val="00F756B2"/>
    <w:rsid w:val="00F75C37"/>
    <w:rsid w:val="00F76459"/>
    <w:rsid w:val="00F77590"/>
    <w:rsid w:val="00F7793C"/>
    <w:rsid w:val="00F81097"/>
    <w:rsid w:val="00F824AC"/>
    <w:rsid w:val="00F82EB8"/>
    <w:rsid w:val="00F84F1C"/>
    <w:rsid w:val="00F8541A"/>
    <w:rsid w:val="00F86360"/>
    <w:rsid w:val="00F87424"/>
    <w:rsid w:val="00F91891"/>
    <w:rsid w:val="00F91ACE"/>
    <w:rsid w:val="00F92432"/>
    <w:rsid w:val="00F9625D"/>
    <w:rsid w:val="00F97733"/>
    <w:rsid w:val="00FA1332"/>
    <w:rsid w:val="00FA6561"/>
    <w:rsid w:val="00FA6EEF"/>
    <w:rsid w:val="00FA72EA"/>
    <w:rsid w:val="00FB2A65"/>
    <w:rsid w:val="00FB4048"/>
    <w:rsid w:val="00FB651B"/>
    <w:rsid w:val="00FB7581"/>
    <w:rsid w:val="00FC082E"/>
    <w:rsid w:val="00FC28B8"/>
    <w:rsid w:val="00FC2BF2"/>
    <w:rsid w:val="00FC6BFD"/>
    <w:rsid w:val="00FC766A"/>
    <w:rsid w:val="00FD0FEE"/>
    <w:rsid w:val="00FD1501"/>
    <w:rsid w:val="00FD1893"/>
    <w:rsid w:val="00FD26D0"/>
    <w:rsid w:val="00FD37DF"/>
    <w:rsid w:val="00FD5B50"/>
    <w:rsid w:val="00FD6297"/>
    <w:rsid w:val="00FD77CF"/>
    <w:rsid w:val="00FE0A75"/>
    <w:rsid w:val="00FE16FE"/>
    <w:rsid w:val="00FE7AD7"/>
    <w:rsid w:val="00FF0373"/>
    <w:rsid w:val="00FF1CA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54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5FC3-C1E6-4B44-B9B6-F5707130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Mokone</cp:lastModifiedBy>
  <cp:revision>3</cp:revision>
  <cp:lastPrinted>2023-04-17T10:06:00Z</cp:lastPrinted>
  <dcterms:created xsi:type="dcterms:W3CDTF">2023-04-21T15:17:00Z</dcterms:created>
  <dcterms:modified xsi:type="dcterms:W3CDTF">2023-04-21T15:17:00Z</dcterms:modified>
</cp:coreProperties>
</file>